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320"/>
        <w:spacing w:after="0"/>
        <w:rPr>
          <w:sz w:val="20"/>
          <w:szCs w:val="20"/>
          <w:color w:val="auto"/>
        </w:rPr>
      </w:pPr>
      <w:r>
        <w:rPr>
          <w:rFonts w:ascii="Arial" w:cs="Arial" w:eastAsia="Arial" w:hAnsi="Arial"/>
          <w:sz w:val="13"/>
          <w:szCs w:val="13"/>
          <w:b w:val="1"/>
          <w:bCs w:val="1"/>
          <w:color w:val="auto"/>
        </w:rPr>
        <w:drawing>
          <wp:anchor simplePos="0" relativeHeight="251657728" behindDoc="1" locked="0" layoutInCell="0" allowOverlap="1">
            <wp:simplePos x="0" y="0"/>
            <wp:positionH relativeFrom="page">
              <wp:posOffset>137795</wp:posOffset>
            </wp:positionH>
            <wp:positionV relativeFrom="page">
              <wp:posOffset>235585</wp:posOffset>
            </wp:positionV>
            <wp:extent cx="7285990" cy="184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85990" cy="18415"/>
                    </a:xfrm>
                    <a:prstGeom prst="rect">
                      <a:avLst/>
                    </a:prstGeom>
                    <a:noFill/>
                  </pic:spPr>
                </pic:pic>
              </a:graphicData>
            </a:graphic>
          </wp:anchor>
        </w:drawing>
        <w:drawing>
          <wp:anchor simplePos="0" relativeHeight="251657728" behindDoc="1" locked="0" layoutInCell="0" allowOverlap="1">
            <wp:simplePos x="0" y="0"/>
            <wp:positionH relativeFrom="page">
              <wp:posOffset>137795</wp:posOffset>
            </wp:positionH>
            <wp:positionV relativeFrom="page">
              <wp:posOffset>260350</wp:posOffset>
            </wp:positionV>
            <wp:extent cx="7285990" cy="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85990" cy="6350"/>
                    </a:xfrm>
                    <a:prstGeom prst="rect">
                      <a:avLst/>
                    </a:prstGeom>
                    <a:noFill/>
                  </pic:spPr>
                </pic:pic>
              </a:graphicData>
            </a:graphic>
          </wp:anchor>
        </w:drawing>
        <w:t>UNITED STATES</w:t>
      </w:r>
    </w:p>
    <w:p>
      <w:pPr>
        <w:spacing w:after="0" w:line="17" w:lineRule="exact"/>
        <w:rPr>
          <w:sz w:val="24"/>
          <w:szCs w:val="24"/>
          <w:color w:val="auto"/>
        </w:rPr>
      </w:pPr>
    </w:p>
    <w:p>
      <w:pPr>
        <w:jc w:val="center"/>
        <w:ind w:right="-320"/>
        <w:spacing w:after="0"/>
        <w:rPr>
          <w:sz w:val="20"/>
          <w:szCs w:val="20"/>
          <w:color w:val="auto"/>
        </w:rPr>
      </w:pPr>
      <w:r>
        <w:rPr>
          <w:rFonts w:ascii="Arial" w:cs="Arial" w:eastAsia="Arial" w:hAnsi="Arial"/>
          <w:sz w:val="13"/>
          <w:szCs w:val="13"/>
          <w:b w:val="1"/>
          <w:bCs w:val="1"/>
          <w:color w:val="auto"/>
        </w:rPr>
        <w:t>SECURITIES AND EXCHANGE COMMISSION</w:t>
      </w:r>
    </w:p>
    <w:p>
      <w:pPr>
        <w:spacing w:after="0" w:line="5" w:lineRule="exact"/>
        <w:rPr>
          <w:sz w:val="24"/>
          <w:szCs w:val="24"/>
          <w:color w:val="auto"/>
        </w:rPr>
      </w:pPr>
    </w:p>
    <w:p>
      <w:pPr>
        <w:jc w:val="center"/>
        <w:ind w:right="-320"/>
        <w:spacing w:after="0"/>
        <w:rPr>
          <w:sz w:val="20"/>
          <w:szCs w:val="20"/>
          <w:color w:val="auto"/>
        </w:rPr>
      </w:pPr>
      <w:r>
        <w:rPr>
          <w:rFonts w:ascii="Arial" w:cs="Arial" w:eastAsia="Arial" w:hAnsi="Arial"/>
          <w:sz w:val="13"/>
          <w:szCs w:val="13"/>
          <w:b w:val="1"/>
          <w:bCs w:val="1"/>
          <w:color w:val="auto"/>
        </w:rPr>
        <w:t>Washington, D.C. 20549</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2512695</wp:posOffset>
            </wp:positionH>
            <wp:positionV relativeFrom="paragraph">
              <wp:posOffset>125730</wp:posOffset>
            </wp:positionV>
            <wp:extent cx="1087755" cy="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1087755" cy="6350"/>
                    </a:xfrm>
                    <a:prstGeom prst="rect">
                      <a:avLst/>
                    </a:prstGeom>
                    <a:noFill/>
                  </pic:spPr>
                </pic:pic>
              </a:graphicData>
            </a:graphic>
          </wp:anchor>
        </w:drawing>
      </w:r>
    </w:p>
    <w:p>
      <w:pPr>
        <w:spacing w:after="0" w:line="380" w:lineRule="exact"/>
        <w:rPr>
          <w:sz w:val="24"/>
          <w:szCs w:val="24"/>
          <w:color w:val="auto"/>
        </w:rPr>
      </w:pPr>
    </w:p>
    <w:p>
      <w:pPr>
        <w:jc w:val="center"/>
        <w:ind w:right="-320"/>
        <w:spacing w:after="0"/>
        <w:rPr>
          <w:sz w:val="20"/>
          <w:szCs w:val="20"/>
          <w:color w:val="auto"/>
        </w:rPr>
      </w:pPr>
      <w:r>
        <w:rPr>
          <w:rFonts w:ascii="Arial" w:cs="Arial" w:eastAsia="Arial" w:hAnsi="Arial"/>
          <w:sz w:val="13"/>
          <w:szCs w:val="13"/>
          <w:color w:val="auto"/>
        </w:rPr>
        <w:t>FORM 20-F</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2512695</wp:posOffset>
            </wp:positionH>
            <wp:positionV relativeFrom="paragraph">
              <wp:posOffset>130810</wp:posOffset>
            </wp:positionV>
            <wp:extent cx="1087755" cy="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1087755" cy="6350"/>
                    </a:xfrm>
                    <a:prstGeom prst="rect">
                      <a:avLst/>
                    </a:prstGeom>
                    <a:noFill/>
                  </pic:spPr>
                </pic:pic>
              </a:graphicData>
            </a:graphic>
          </wp:anchor>
        </w:drawing>
      </w:r>
    </w:p>
    <w:p>
      <w:pPr>
        <w:spacing w:after="0" w:line="394" w:lineRule="exact"/>
        <w:rPr>
          <w:sz w:val="24"/>
          <w:szCs w:val="24"/>
          <w:color w:val="auto"/>
        </w:rPr>
      </w:pPr>
    </w:p>
    <w:p>
      <w:pPr>
        <w:spacing w:after="0"/>
        <w:rPr>
          <w:sz w:val="20"/>
          <w:szCs w:val="20"/>
          <w:color w:val="auto"/>
        </w:rPr>
      </w:pPr>
      <w:r>
        <w:rPr>
          <w:rFonts w:ascii="Arial" w:cs="Arial" w:eastAsia="Arial" w:hAnsi="Arial"/>
          <w:sz w:val="13"/>
          <w:szCs w:val="13"/>
          <w:b w:val="1"/>
          <w:bCs w:val="1"/>
          <w:color w:val="auto"/>
        </w:rPr>
        <w:t>(Mark One)</w:t>
      </w:r>
    </w:p>
    <w:p>
      <w:pPr>
        <w:spacing w:after="0" w:line="163" w:lineRule="exact"/>
        <w:rPr>
          <w:sz w:val="24"/>
          <w:szCs w:val="24"/>
          <w:color w:val="auto"/>
        </w:rPr>
      </w:pPr>
    </w:p>
    <w:p>
      <w:pPr>
        <w:ind w:left="3560" w:right="2399" w:hanging="856"/>
        <w:spacing w:after="0" w:line="267" w:lineRule="auto"/>
        <w:tabs>
          <w:tab w:leader="none" w:pos="2858" w:val="left"/>
        </w:tabs>
        <w:numPr>
          <w:ilvl w:val="0"/>
          <w:numId w:val="1"/>
        </w:numPr>
        <w:rPr>
          <w:rFonts w:ascii="MS PGothic" w:cs="MS PGothic" w:eastAsia="MS PGothic" w:hAnsi="MS PGothic"/>
          <w:sz w:val="13"/>
          <w:szCs w:val="13"/>
          <w:color w:val="auto"/>
        </w:rPr>
      </w:pPr>
      <w:r>
        <w:rPr>
          <w:rFonts w:ascii="Arial" w:cs="Arial" w:eastAsia="Arial" w:hAnsi="Arial"/>
          <w:sz w:val="13"/>
          <w:szCs w:val="13"/>
          <w:color w:val="auto"/>
        </w:rPr>
        <w:t>REGISTRATION STATEMENT PURSUANT TO SECTION 12(b) OR (g) OF THE SECURITIES EXCHANGE ACT OF 1934</w:t>
      </w:r>
    </w:p>
    <w:p>
      <w:pPr>
        <w:spacing w:after="0" w:line="129" w:lineRule="exact"/>
        <w:rPr>
          <w:sz w:val="24"/>
          <w:szCs w:val="24"/>
          <w:color w:val="auto"/>
        </w:rPr>
      </w:pPr>
    </w:p>
    <w:p>
      <w:pPr>
        <w:jc w:val="center"/>
        <w:ind w:right="-320"/>
        <w:spacing w:after="0"/>
        <w:rPr>
          <w:sz w:val="20"/>
          <w:szCs w:val="20"/>
          <w:color w:val="auto"/>
        </w:rPr>
      </w:pPr>
      <w:r>
        <w:rPr>
          <w:rFonts w:ascii="Arial" w:cs="Arial" w:eastAsia="Arial" w:hAnsi="Arial"/>
          <w:sz w:val="13"/>
          <w:szCs w:val="13"/>
          <w:color w:val="auto"/>
        </w:rPr>
        <w:t>OR</w:t>
      </w:r>
    </w:p>
    <w:p>
      <w:pPr>
        <w:spacing w:after="0" w:line="159" w:lineRule="exact"/>
        <w:rPr>
          <w:sz w:val="24"/>
          <w:szCs w:val="24"/>
          <w:color w:val="auto"/>
        </w:rPr>
      </w:pPr>
    </w:p>
    <w:p>
      <w:pPr>
        <w:ind w:left="3560" w:right="2739" w:hanging="529"/>
        <w:spacing w:after="0" w:line="310" w:lineRule="auto"/>
        <w:tabs>
          <w:tab w:leader="none" w:pos="3177" w:val="left"/>
        </w:tabs>
        <w:numPr>
          <w:ilvl w:val="0"/>
          <w:numId w:val="2"/>
        </w:numPr>
        <w:rPr>
          <w:rFonts w:ascii="MS PGothic" w:cs="MS PGothic" w:eastAsia="MS PGothic" w:hAnsi="MS PGothic"/>
          <w:sz w:val="12"/>
          <w:szCs w:val="12"/>
          <w:color w:val="auto"/>
        </w:rPr>
      </w:pPr>
      <w:r>
        <w:rPr>
          <w:rFonts w:ascii="Arial" w:cs="Arial" w:eastAsia="Arial" w:hAnsi="Arial"/>
          <w:sz w:val="12"/>
          <w:szCs w:val="12"/>
          <w:color w:val="auto"/>
        </w:rPr>
        <w:t>ANNUAL REPORT PURSUANT TO SECTION 13 OR 15(d) OF THE SECURITIES EXCHANGE ACT OF 1934</w:t>
      </w:r>
    </w:p>
    <w:p>
      <w:pPr>
        <w:spacing w:after="0" w:line="106" w:lineRule="exact"/>
        <w:rPr>
          <w:sz w:val="24"/>
          <w:szCs w:val="24"/>
          <w:color w:val="auto"/>
        </w:rPr>
      </w:pPr>
    </w:p>
    <w:p>
      <w:pPr>
        <w:jc w:val="center"/>
        <w:ind w:right="-320"/>
        <w:spacing w:after="0"/>
        <w:rPr>
          <w:sz w:val="20"/>
          <w:szCs w:val="20"/>
          <w:color w:val="auto"/>
        </w:rPr>
      </w:pPr>
      <w:r>
        <w:rPr>
          <w:rFonts w:ascii="Arial" w:cs="Arial" w:eastAsia="Arial" w:hAnsi="Arial"/>
          <w:sz w:val="13"/>
          <w:szCs w:val="13"/>
          <w:color w:val="auto"/>
        </w:rPr>
        <w:t>For the fiscal year ended December 31, 2018</w:t>
      </w:r>
    </w:p>
    <w:p>
      <w:pPr>
        <w:spacing w:after="0" w:line="159" w:lineRule="exact"/>
        <w:rPr>
          <w:sz w:val="24"/>
          <w:szCs w:val="24"/>
          <w:color w:val="auto"/>
        </w:rPr>
      </w:pPr>
    </w:p>
    <w:p>
      <w:pPr>
        <w:jc w:val="center"/>
        <w:ind w:right="-320"/>
        <w:spacing w:after="0"/>
        <w:rPr>
          <w:sz w:val="20"/>
          <w:szCs w:val="20"/>
          <w:color w:val="auto"/>
        </w:rPr>
      </w:pPr>
      <w:r>
        <w:rPr>
          <w:rFonts w:ascii="Arial" w:cs="Arial" w:eastAsia="Arial" w:hAnsi="Arial"/>
          <w:sz w:val="13"/>
          <w:szCs w:val="13"/>
          <w:color w:val="auto"/>
        </w:rPr>
        <w:t>OR</w:t>
      </w:r>
    </w:p>
    <w:p>
      <w:pPr>
        <w:spacing w:after="0" w:line="159" w:lineRule="exact"/>
        <w:rPr>
          <w:sz w:val="24"/>
          <w:szCs w:val="24"/>
          <w:color w:val="auto"/>
        </w:rPr>
      </w:pPr>
    </w:p>
    <w:p>
      <w:pPr>
        <w:ind w:left="3560" w:right="2599" w:hanging="642"/>
        <w:spacing w:after="0" w:line="310" w:lineRule="auto"/>
        <w:tabs>
          <w:tab w:leader="none" w:pos="3069" w:val="left"/>
        </w:tabs>
        <w:numPr>
          <w:ilvl w:val="0"/>
          <w:numId w:val="3"/>
        </w:numPr>
        <w:rPr>
          <w:rFonts w:ascii="MS PGothic" w:cs="MS PGothic" w:eastAsia="MS PGothic" w:hAnsi="MS PGothic"/>
          <w:sz w:val="12"/>
          <w:szCs w:val="12"/>
          <w:color w:val="auto"/>
        </w:rPr>
      </w:pPr>
      <w:r>
        <w:rPr>
          <w:rFonts w:ascii="Arial" w:cs="Arial" w:eastAsia="Arial" w:hAnsi="Arial"/>
          <w:sz w:val="12"/>
          <w:szCs w:val="12"/>
          <w:color w:val="auto"/>
        </w:rPr>
        <w:t>TRANSITION REPORT PURSUANT TO SECTION 13 OR 15(d) OF THE SECURITIES EXCHANGE ACT OF 1934</w:t>
      </w:r>
    </w:p>
    <w:p>
      <w:pPr>
        <w:spacing w:after="0" w:line="106" w:lineRule="exact"/>
        <w:rPr>
          <w:sz w:val="24"/>
          <w:szCs w:val="24"/>
          <w:color w:val="auto"/>
        </w:rPr>
      </w:pPr>
    </w:p>
    <w:p>
      <w:pPr>
        <w:jc w:val="center"/>
        <w:ind w:right="-320"/>
        <w:spacing w:after="0"/>
        <w:rPr>
          <w:sz w:val="20"/>
          <w:szCs w:val="20"/>
          <w:color w:val="auto"/>
        </w:rPr>
      </w:pPr>
      <w:r>
        <w:rPr>
          <w:rFonts w:ascii="Arial" w:cs="Arial" w:eastAsia="Arial" w:hAnsi="Arial"/>
          <w:sz w:val="13"/>
          <w:szCs w:val="13"/>
          <w:color w:val="auto"/>
        </w:rPr>
        <w:t>OR</w:t>
      </w:r>
    </w:p>
    <w:p>
      <w:pPr>
        <w:spacing w:after="0" w:line="159" w:lineRule="exact"/>
        <w:rPr>
          <w:sz w:val="24"/>
          <w:szCs w:val="24"/>
          <w:color w:val="auto"/>
        </w:rPr>
      </w:pPr>
    </w:p>
    <w:p>
      <w:pPr>
        <w:ind w:left="3560" w:right="2459" w:hanging="789"/>
        <w:spacing w:after="0" w:line="267" w:lineRule="auto"/>
        <w:tabs>
          <w:tab w:leader="none" w:pos="2925" w:val="left"/>
        </w:tabs>
        <w:numPr>
          <w:ilvl w:val="0"/>
          <w:numId w:val="4"/>
        </w:numPr>
        <w:rPr>
          <w:rFonts w:ascii="MS PGothic" w:cs="MS PGothic" w:eastAsia="MS PGothic" w:hAnsi="MS PGothic"/>
          <w:sz w:val="13"/>
          <w:szCs w:val="13"/>
          <w:color w:val="auto"/>
        </w:rPr>
      </w:pPr>
      <w:r>
        <w:rPr>
          <w:rFonts w:ascii="Arial" w:cs="Arial" w:eastAsia="Arial" w:hAnsi="Arial"/>
          <w:sz w:val="13"/>
          <w:szCs w:val="13"/>
          <w:color w:val="auto"/>
        </w:rPr>
        <w:t>SHELL COMPANY REPORT PURSUANT TO SECTION 13 OR 15(d) OF THE SECURITIES EXCHANGE ACT OF 1934</w:t>
      </w:r>
    </w:p>
    <w:p>
      <w:pPr>
        <w:spacing w:after="0" w:line="129" w:lineRule="exact"/>
        <w:rPr>
          <w:sz w:val="24"/>
          <w:szCs w:val="24"/>
          <w:color w:val="auto"/>
        </w:rPr>
      </w:pPr>
    </w:p>
    <w:p>
      <w:pPr>
        <w:ind w:left="2840"/>
        <w:spacing w:after="0"/>
        <w:rPr>
          <w:sz w:val="20"/>
          <w:szCs w:val="20"/>
          <w:color w:val="auto"/>
        </w:rPr>
      </w:pPr>
      <w:r>
        <w:rPr>
          <w:rFonts w:ascii="Arial" w:cs="Arial" w:eastAsia="Arial" w:hAnsi="Arial"/>
          <w:sz w:val="13"/>
          <w:szCs w:val="13"/>
          <w:color w:val="auto"/>
        </w:rPr>
        <w:t>Date of event requiring this shell company report……………………………</w:t>
      </w:r>
    </w:p>
    <w:p>
      <w:pPr>
        <w:spacing w:after="0" w:line="159" w:lineRule="exact"/>
        <w:rPr>
          <w:sz w:val="24"/>
          <w:szCs w:val="24"/>
          <w:color w:val="auto"/>
        </w:rPr>
      </w:pPr>
    </w:p>
    <w:p>
      <w:pPr>
        <w:ind w:left="3540"/>
        <w:spacing w:after="0"/>
        <w:rPr>
          <w:sz w:val="20"/>
          <w:szCs w:val="20"/>
          <w:color w:val="auto"/>
        </w:rPr>
      </w:pPr>
      <w:r>
        <w:rPr>
          <w:rFonts w:ascii="Arial" w:cs="Arial" w:eastAsia="Arial" w:hAnsi="Arial"/>
          <w:sz w:val="13"/>
          <w:szCs w:val="13"/>
          <w:color w:val="auto"/>
        </w:rPr>
        <w:t>For the transition period from ______ to _______</w:t>
      </w:r>
    </w:p>
    <w:p>
      <w:pPr>
        <w:spacing w:after="0" w:line="159" w:lineRule="exact"/>
        <w:rPr>
          <w:sz w:val="24"/>
          <w:szCs w:val="24"/>
          <w:color w:val="auto"/>
        </w:rPr>
      </w:pPr>
    </w:p>
    <w:p>
      <w:pPr>
        <w:jc w:val="center"/>
        <w:ind w:right="-320"/>
        <w:spacing w:after="0"/>
        <w:rPr>
          <w:sz w:val="20"/>
          <w:szCs w:val="20"/>
          <w:color w:val="auto"/>
        </w:rPr>
      </w:pPr>
      <w:r>
        <w:rPr>
          <w:rFonts w:ascii="Arial" w:cs="Arial" w:eastAsia="Arial" w:hAnsi="Arial"/>
          <w:sz w:val="13"/>
          <w:szCs w:val="13"/>
          <w:color w:val="auto"/>
        </w:rPr>
        <w:t>Commission File Number 1-11414</w:t>
      </w:r>
    </w:p>
    <w:p>
      <w:pPr>
        <w:spacing w:after="0" w:line="151" w:lineRule="exact"/>
        <w:rPr>
          <w:sz w:val="24"/>
          <w:szCs w:val="24"/>
          <w:color w:val="auto"/>
        </w:rPr>
      </w:pPr>
    </w:p>
    <w:p>
      <w:pPr>
        <w:jc w:val="center"/>
        <w:ind w:right="-320"/>
        <w:spacing w:after="0"/>
        <w:rPr>
          <w:sz w:val="20"/>
          <w:szCs w:val="20"/>
          <w:color w:val="auto"/>
        </w:rPr>
      </w:pPr>
      <w:r>
        <w:rPr>
          <w:rFonts w:ascii="Arial" w:cs="Arial" w:eastAsia="Arial" w:hAnsi="Arial"/>
          <w:sz w:val="18"/>
          <w:szCs w:val="18"/>
          <w:b w:val="1"/>
          <w:bCs w:val="1"/>
          <w:color w:val="auto"/>
        </w:rPr>
        <w:t>BANCO LATINOAMERICANO DE COMERCIO EXTERIOR, S.A.</w:t>
      </w:r>
    </w:p>
    <w:p>
      <w:pPr>
        <w:spacing w:after="0" w:line="22" w:lineRule="exact"/>
        <w:rPr>
          <w:sz w:val="24"/>
          <w:szCs w:val="24"/>
          <w:color w:val="auto"/>
        </w:rPr>
      </w:pPr>
    </w:p>
    <w:p>
      <w:pPr>
        <w:jc w:val="center"/>
        <w:ind w:right="-320"/>
        <w:spacing w:after="0"/>
        <w:rPr>
          <w:sz w:val="20"/>
          <w:szCs w:val="20"/>
          <w:color w:val="auto"/>
        </w:rPr>
      </w:pPr>
      <w:r>
        <w:rPr>
          <w:rFonts w:ascii="Arial" w:cs="Arial" w:eastAsia="Arial" w:hAnsi="Arial"/>
          <w:sz w:val="13"/>
          <w:szCs w:val="13"/>
          <w:i w:val="1"/>
          <w:iCs w:val="1"/>
          <w:color w:val="auto"/>
        </w:rPr>
        <w:t>(Exact name of Registrant as specified in its charter)</w:t>
      </w:r>
    </w:p>
    <w:p>
      <w:pPr>
        <w:sectPr>
          <w:pgSz w:w="11900" w:h="16838" w:orient="portrait"/>
          <w:cols w:equalWidth="0" w:num="1">
            <w:col w:w="9319"/>
          </w:cols>
          <w:pgMar w:left="1140" w:top="560" w:right="1440" w:bottom="1440" w:gutter="0" w:footer="0" w:header="0"/>
        </w:sectPr>
      </w:pPr>
    </w:p>
    <w:p>
      <w:pPr>
        <w:spacing w:after="0" w:line="145" w:lineRule="exact"/>
        <w:rPr>
          <w:sz w:val="24"/>
          <w:szCs w:val="24"/>
          <w:color w:val="auto"/>
        </w:rPr>
      </w:pPr>
    </w:p>
    <w:p>
      <w:pPr>
        <w:jc w:val="center"/>
        <w:ind w:right="1880"/>
        <w:spacing w:after="0"/>
        <w:rPr>
          <w:sz w:val="20"/>
          <w:szCs w:val="20"/>
          <w:color w:val="auto"/>
        </w:rPr>
      </w:pPr>
      <w:r>
        <w:rPr>
          <w:rFonts w:ascii="Arial" w:cs="Arial" w:eastAsia="Arial" w:hAnsi="Arial"/>
          <w:sz w:val="13"/>
          <w:szCs w:val="13"/>
          <w:b w:val="1"/>
          <w:bCs w:val="1"/>
          <w:color w:val="auto"/>
        </w:rPr>
        <w:t>FOREIGN TRADE BANK OF LATIN AMERICA, INC.</w:t>
      </w:r>
    </w:p>
    <w:p>
      <w:pPr>
        <w:spacing w:after="0" w:line="17" w:lineRule="exact"/>
        <w:rPr>
          <w:sz w:val="24"/>
          <w:szCs w:val="24"/>
          <w:color w:val="auto"/>
        </w:rPr>
      </w:pPr>
    </w:p>
    <w:p>
      <w:pPr>
        <w:jc w:val="center"/>
        <w:ind w:right="1880"/>
        <w:spacing w:after="0"/>
        <w:rPr>
          <w:sz w:val="20"/>
          <w:szCs w:val="20"/>
          <w:color w:val="auto"/>
        </w:rPr>
      </w:pPr>
      <w:r>
        <w:rPr>
          <w:rFonts w:ascii="Arial" w:cs="Arial" w:eastAsia="Arial" w:hAnsi="Arial"/>
          <w:sz w:val="13"/>
          <w:szCs w:val="13"/>
          <w:i w:val="1"/>
          <w:iCs w:val="1"/>
          <w:color w:val="auto"/>
        </w:rPr>
        <w:t>(Translation of Registrant’s name into English)</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2512695</wp:posOffset>
            </wp:positionH>
            <wp:positionV relativeFrom="paragraph">
              <wp:posOffset>125730</wp:posOffset>
            </wp:positionV>
            <wp:extent cx="1087755" cy="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1087755" cy="6350"/>
                    </a:xfrm>
                    <a:prstGeom prst="rect">
                      <a:avLst/>
                    </a:prstGeom>
                    <a:noFill/>
                  </pic:spPr>
                </pic:pic>
              </a:graphicData>
            </a:graphic>
          </wp:anchor>
        </w:drawing>
      </w:r>
    </w:p>
    <w:p>
      <w:pPr>
        <w:spacing w:after="0" w:line="20" w:lineRule="exact"/>
        <w:rPr>
          <w:sz w:val="24"/>
          <w:szCs w:val="24"/>
          <w:color w:val="auto"/>
        </w:rPr>
      </w:pPr>
      <w:r>
        <w:rPr>
          <w:sz w:val="24"/>
          <w:szCs w:val="24"/>
          <w:color w:val="auto"/>
        </w:rPr>
        <w:br w:type="column"/>
      </w:r>
    </w:p>
    <w:p>
      <w:pPr>
        <w:spacing w:after="0" w:line="125" w:lineRule="exact"/>
        <w:rPr>
          <w:sz w:val="24"/>
          <w:szCs w:val="24"/>
          <w:color w:val="auto"/>
        </w:rPr>
      </w:pPr>
    </w:p>
    <w:p>
      <w:pPr>
        <w:jc w:val="center"/>
        <w:ind w:right="439"/>
        <w:spacing w:after="0"/>
        <w:rPr>
          <w:sz w:val="20"/>
          <w:szCs w:val="20"/>
          <w:color w:val="auto"/>
        </w:rPr>
      </w:pPr>
      <w:r>
        <w:rPr>
          <w:rFonts w:ascii="Arial" w:cs="Arial" w:eastAsia="Arial" w:hAnsi="Arial"/>
          <w:sz w:val="13"/>
          <w:szCs w:val="13"/>
          <w:b w:val="1"/>
          <w:bCs w:val="1"/>
          <w:color w:val="auto"/>
        </w:rPr>
        <w:t>REPUBLIC OF PANAMA</w:t>
      </w:r>
    </w:p>
    <w:p>
      <w:pPr>
        <w:spacing w:after="0" w:line="17" w:lineRule="exact"/>
        <w:rPr>
          <w:sz w:val="24"/>
          <w:szCs w:val="24"/>
          <w:color w:val="auto"/>
        </w:rPr>
      </w:pPr>
    </w:p>
    <w:p>
      <w:pPr>
        <w:jc w:val="center"/>
        <w:ind w:right="439"/>
        <w:spacing w:after="0"/>
        <w:rPr>
          <w:sz w:val="20"/>
          <w:szCs w:val="20"/>
          <w:color w:val="auto"/>
        </w:rPr>
      </w:pPr>
      <w:r>
        <w:rPr>
          <w:rFonts w:ascii="Arial" w:cs="Arial" w:eastAsia="Arial" w:hAnsi="Arial"/>
          <w:sz w:val="12"/>
          <w:szCs w:val="12"/>
          <w:i w:val="1"/>
          <w:iCs w:val="1"/>
          <w:color w:val="auto"/>
        </w:rPr>
        <w:t>(Jurisdiction of incorporation or organization)</w:t>
      </w:r>
    </w:p>
    <w:p>
      <w:pPr>
        <w:spacing w:after="0" w:line="211" w:lineRule="exact"/>
        <w:rPr>
          <w:sz w:val="24"/>
          <w:szCs w:val="24"/>
          <w:color w:val="auto"/>
        </w:rPr>
      </w:pPr>
    </w:p>
    <w:p>
      <w:pPr>
        <w:sectPr>
          <w:pgSz w:w="11900" w:h="16838" w:orient="portrait"/>
          <w:cols w:equalWidth="0" w:num="2">
            <w:col w:w="5760" w:space="720"/>
            <w:col w:w="2839"/>
          </w:cols>
          <w:pgMar w:left="1140" w:top="560" w:right="1440" w:bottom="1440" w:gutter="0" w:footer="0" w:header="0"/>
          <w:type w:val="continuous"/>
        </w:sectPr>
      </w:pPr>
    </w:p>
    <w:p>
      <w:pPr>
        <w:spacing w:after="0" w:line="196" w:lineRule="exact"/>
        <w:rPr>
          <w:sz w:val="24"/>
          <w:szCs w:val="24"/>
          <w:color w:val="auto"/>
        </w:rPr>
      </w:pPr>
    </w:p>
    <w:p>
      <w:pPr>
        <w:jc w:val="center"/>
        <w:ind w:right="-320"/>
        <w:spacing w:after="0"/>
        <w:rPr>
          <w:sz w:val="20"/>
          <w:szCs w:val="20"/>
          <w:color w:val="auto"/>
        </w:rPr>
      </w:pPr>
      <w:r>
        <w:rPr>
          <w:rFonts w:ascii="Arial" w:cs="Arial" w:eastAsia="Arial" w:hAnsi="Arial"/>
          <w:sz w:val="13"/>
          <w:szCs w:val="13"/>
          <w:b w:val="1"/>
          <w:bCs w:val="1"/>
          <w:color w:val="auto"/>
        </w:rPr>
        <w:t>Torre V, Business Park</w:t>
      </w:r>
    </w:p>
    <w:p>
      <w:pPr>
        <w:spacing w:after="0" w:line="17" w:lineRule="exact"/>
        <w:rPr>
          <w:sz w:val="24"/>
          <w:szCs w:val="24"/>
          <w:color w:val="auto"/>
        </w:rPr>
      </w:pPr>
    </w:p>
    <w:p>
      <w:pPr>
        <w:jc w:val="center"/>
        <w:ind w:right="-320"/>
        <w:spacing w:after="0"/>
        <w:rPr>
          <w:sz w:val="20"/>
          <w:szCs w:val="20"/>
          <w:color w:val="auto"/>
        </w:rPr>
      </w:pPr>
      <w:r>
        <w:rPr>
          <w:rFonts w:ascii="Arial" w:cs="Arial" w:eastAsia="Arial" w:hAnsi="Arial"/>
          <w:sz w:val="13"/>
          <w:szCs w:val="13"/>
          <w:b w:val="1"/>
          <w:bCs w:val="1"/>
          <w:color w:val="auto"/>
        </w:rPr>
        <w:t>Avenida La Rotonda, Urb. Costa del Este</w:t>
      </w:r>
    </w:p>
    <w:p>
      <w:pPr>
        <w:spacing w:after="0" w:line="5" w:lineRule="exact"/>
        <w:rPr>
          <w:sz w:val="24"/>
          <w:szCs w:val="24"/>
          <w:color w:val="auto"/>
        </w:rPr>
      </w:pPr>
    </w:p>
    <w:p>
      <w:pPr>
        <w:jc w:val="center"/>
        <w:ind w:right="-320"/>
        <w:spacing w:after="0"/>
        <w:rPr>
          <w:sz w:val="20"/>
          <w:szCs w:val="20"/>
          <w:color w:val="auto"/>
        </w:rPr>
      </w:pPr>
      <w:r>
        <w:rPr>
          <w:rFonts w:ascii="Arial" w:cs="Arial" w:eastAsia="Arial" w:hAnsi="Arial"/>
          <w:sz w:val="13"/>
          <w:szCs w:val="13"/>
          <w:b w:val="1"/>
          <w:bCs w:val="1"/>
          <w:color w:val="auto"/>
        </w:rPr>
        <w:t>P.O. Box 0819-08730</w:t>
      </w:r>
    </w:p>
    <w:p>
      <w:pPr>
        <w:spacing w:after="0" w:line="5" w:lineRule="exact"/>
        <w:rPr>
          <w:sz w:val="24"/>
          <w:szCs w:val="24"/>
          <w:color w:val="auto"/>
        </w:rPr>
      </w:pPr>
    </w:p>
    <w:p>
      <w:pPr>
        <w:jc w:val="center"/>
        <w:ind w:right="-320"/>
        <w:spacing w:after="0"/>
        <w:rPr>
          <w:sz w:val="20"/>
          <w:szCs w:val="20"/>
          <w:color w:val="auto"/>
        </w:rPr>
      </w:pPr>
      <w:r>
        <w:rPr>
          <w:rFonts w:ascii="Arial" w:cs="Arial" w:eastAsia="Arial" w:hAnsi="Arial"/>
          <w:sz w:val="13"/>
          <w:szCs w:val="13"/>
          <w:b w:val="1"/>
          <w:bCs w:val="1"/>
          <w:color w:val="auto"/>
        </w:rPr>
        <w:t>Panama City, Republic of Panama</w:t>
      </w:r>
    </w:p>
    <w:p>
      <w:pPr>
        <w:spacing w:after="0" w:line="5" w:lineRule="exact"/>
        <w:rPr>
          <w:sz w:val="24"/>
          <w:szCs w:val="24"/>
          <w:color w:val="auto"/>
        </w:rPr>
      </w:pPr>
    </w:p>
    <w:p>
      <w:pPr>
        <w:jc w:val="center"/>
        <w:ind w:right="-320"/>
        <w:spacing w:after="0"/>
        <w:rPr>
          <w:sz w:val="20"/>
          <w:szCs w:val="20"/>
          <w:color w:val="auto"/>
        </w:rPr>
      </w:pPr>
      <w:r>
        <w:rPr>
          <w:rFonts w:ascii="Arial" w:cs="Arial" w:eastAsia="Arial" w:hAnsi="Arial"/>
          <w:sz w:val="13"/>
          <w:szCs w:val="13"/>
          <w:i w:val="1"/>
          <w:iCs w:val="1"/>
          <w:color w:val="auto"/>
        </w:rPr>
        <w:t>(Address of principal executive offices)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2512695</wp:posOffset>
            </wp:positionH>
            <wp:positionV relativeFrom="paragraph">
              <wp:posOffset>125730</wp:posOffset>
            </wp:positionV>
            <wp:extent cx="1087755" cy="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1087755" cy="6350"/>
                    </a:xfrm>
                    <a:prstGeom prst="rect">
                      <a:avLst/>
                    </a:prstGeom>
                    <a:noFill/>
                  </pic:spPr>
                </pic:pic>
              </a:graphicData>
            </a:graphic>
          </wp:anchor>
        </w:drawing>
      </w:r>
    </w:p>
    <w:p>
      <w:pPr>
        <w:spacing w:after="0" w:line="376" w:lineRule="exact"/>
        <w:rPr>
          <w:sz w:val="24"/>
          <w:szCs w:val="24"/>
          <w:color w:val="auto"/>
        </w:rPr>
      </w:pPr>
    </w:p>
    <w:p>
      <w:pPr>
        <w:jc w:val="center"/>
        <w:ind w:right="-320"/>
        <w:spacing w:after="0"/>
        <w:rPr>
          <w:sz w:val="20"/>
          <w:szCs w:val="20"/>
          <w:color w:val="auto"/>
        </w:rPr>
      </w:pPr>
      <w:r>
        <w:rPr>
          <w:rFonts w:ascii="Arial" w:cs="Arial" w:eastAsia="Arial" w:hAnsi="Arial"/>
          <w:sz w:val="13"/>
          <w:szCs w:val="13"/>
          <w:b w:val="1"/>
          <w:bCs w:val="1"/>
          <w:color w:val="auto"/>
        </w:rPr>
        <w:t>Ana Graciela de Méndez</w:t>
      </w:r>
    </w:p>
    <w:p>
      <w:pPr>
        <w:spacing w:after="0" w:line="17" w:lineRule="exact"/>
        <w:rPr>
          <w:sz w:val="24"/>
          <w:szCs w:val="24"/>
          <w:color w:val="auto"/>
        </w:rPr>
      </w:pPr>
    </w:p>
    <w:p>
      <w:pPr>
        <w:jc w:val="center"/>
        <w:ind w:right="-320"/>
        <w:spacing w:after="0"/>
        <w:rPr>
          <w:sz w:val="20"/>
          <w:szCs w:val="20"/>
          <w:color w:val="auto"/>
        </w:rPr>
      </w:pPr>
      <w:r>
        <w:rPr>
          <w:rFonts w:ascii="Arial" w:cs="Arial" w:eastAsia="Arial" w:hAnsi="Arial"/>
          <w:sz w:val="13"/>
          <w:szCs w:val="13"/>
          <w:b w:val="1"/>
          <w:bCs w:val="1"/>
          <w:color w:val="auto"/>
        </w:rPr>
        <w:t>Chief Financial Officer</w:t>
      </w:r>
    </w:p>
    <w:p>
      <w:pPr>
        <w:spacing w:after="0" w:line="5" w:lineRule="exact"/>
        <w:rPr>
          <w:sz w:val="24"/>
          <w:szCs w:val="24"/>
          <w:color w:val="auto"/>
        </w:rPr>
      </w:pPr>
    </w:p>
    <w:p>
      <w:pPr>
        <w:jc w:val="center"/>
        <w:ind w:right="-320"/>
        <w:spacing w:after="0"/>
        <w:rPr>
          <w:sz w:val="20"/>
          <w:szCs w:val="20"/>
          <w:color w:val="auto"/>
        </w:rPr>
      </w:pPr>
      <w:r>
        <w:rPr>
          <w:rFonts w:ascii="Arial" w:cs="Arial" w:eastAsia="Arial" w:hAnsi="Arial"/>
          <w:sz w:val="13"/>
          <w:szCs w:val="13"/>
          <w:b w:val="1"/>
          <w:bCs w:val="1"/>
          <w:color w:val="auto"/>
        </w:rPr>
        <w:t>+507 210-8500</w:t>
      </w:r>
    </w:p>
    <w:p>
      <w:pPr>
        <w:spacing w:after="0" w:line="5" w:lineRule="exact"/>
        <w:rPr>
          <w:sz w:val="24"/>
          <w:szCs w:val="24"/>
          <w:color w:val="auto"/>
        </w:rPr>
      </w:pPr>
    </w:p>
    <w:p>
      <w:pPr>
        <w:jc w:val="center"/>
        <w:ind w:right="-320"/>
        <w:spacing w:after="0"/>
        <w:rPr>
          <w:sz w:val="20"/>
          <w:szCs w:val="20"/>
          <w:color w:val="auto"/>
        </w:rPr>
      </w:pPr>
      <w:r>
        <w:rPr>
          <w:rFonts w:ascii="Arial" w:cs="Arial" w:eastAsia="Arial" w:hAnsi="Arial"/>
          <w:sz w:val="13"/>
          <w:szCs w:val="13"/>
          <w:b w:val="1"/>
          <w:bCs w:val="1"/>
          <w:color w:val="auto"/>
        </w:rPr>
        <w:t>Email address: amendez@bladex.com</w:t>
      </w:r>
    </w:p>
    <w:p>
      <w:pPr>
        <w:spacing w:after="0" w:line="5" w:lineRule="exact"/>
        <w:rPr>
          <w:sz w:val="24"/>
          <w:szCs w:val="24"/>
          <w:color w:val="auto"/>
        </w:rPr>
      </w:pPr>
    </w:p>
    <w:p>
      <w:pPr>
        <w:jc w:val="center"/>
        <w:ind w:right="-320"/>
        <w:spacing w:after="0"/>
        <w:rPr>
          <w:sz w:val="20"/>
          <w:szCs w:val="20"/>
          <w:color w:val="auto"/>
        </w:rPr>
      </w:pPr>
      <w:r>
        <w:rPr>
          <w:rFonts w:ascii="Arial" w:cs="Arial" w:eastAsia="Arial" w:hAnsi="Arial"/>
          <w:sz w:val="11"/>
          <w:szCs w:val="11"/>
          <w:i w:val="1"/>
          <w:iCs w:val="1"/>
          <w:color w:val="auto"/>
        </w:rPr>
        <w:t>(Name, Telephone, E-mail and/or Facsimile number and Address of Company Contact Person)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-585470</wp:posOffset>
            </wp:positionH>
            <wp:positionV relativeFrom="paragraph">
              <wp:posOffset>24130</wp:posOffset>
            </wp:positionV>
            <wp:extent cx="7285990" cy="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85990" cy="6350"/>
                    </a:xfrm>
                    <a:prstGeom prst="rect">
                      <a:avLst/>
                    </a:prstGeom>
                    <a:noFill/>
                  </pic:spPr>
                </pic:pic>
              </a:graphicData>
            </a:graphic>
          </wp:anchor>
        </w:drawing>
        <w:drawing>
          <wp:anchor simplePos="0" relativeHeight="251657728" behindDoc="1" locked="0" layoutInCell="0" allowOverlap="1">
            <wp:simplePos x="0" y="0"/>
            <wp:positionH relativeFrom="column">
              <wp:posOffset>2512695</wp:posOffset>
            </wp:positionH>
            <wp:positionV relativeFrom="paragraph">
              <wp:posOffset>152400</wp:posOffset>
            </wp:positionV>
            <wp:extent cx="1087755" cy="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1087755" cy="6350"/>
                    </a:xfrm>
                    <a:prstGeom prst="rect">
                      <a:avLst/>
                    </a:prstGeom>
                    <a:noFill/>
                  </pic:spPr>
                </pic:pic>
              </a:graphicData>
            </a:graphic>
          </wp:anchor>
        </w:drawing>
      </w:r>
    </w:p>
    <w:p>
      <w:pPr>
        <w:spacing w:after="0" w:line="200" w:lineRule="exact"/>
        <w:rPr>
          <w:sz w:val="24"/>
          <w:szCs w:val="24"/>
          <w:color w:val="auto"/>
        </w:rPr>
      </w:pPr>
    </w:p>
    <w:p>
      <w:pPr>
        <w:spacing w:after="0" w:line="223" w:lineRule="exact"/>
        <w:rPr>
          <w:sz w:val="24"/>
          <w:szCs w:val="24"/>
          <w:color w:val="auto"/>
        </w:rPr>
      </w:pPr>
    </w:p>
    <w:p>
      <w:pPr>
        <w:ind w:left="2860"/>
        <w:spacing w:after="0"/>
        <w:rPr>
          <w:sz w:val="20"/>
          <w:szCs w:val="20"/>
          <w:color w:val="auto"/>
        </w:rPr>
      </w:pPr>
      <w:r>
        <w:rPr>
          <w:rFonts w:ascii="Arial" w:cs="Arial" w:eastAsia="Arial" w:hAnsi="Arial"/>
          <w:sz w:val="13"/>
          <w:szCs w:val="13"/>
          <w:color w:val="auto"/>
        </w:rPr>
        <w:t>Securities registered or to be registered pursuant to Section 12(b) of the Act.</w:t>
      </w:r>
    </w:p>
    <w:p>
      <w:pPr>
        <w:sectPr>
          <w:pgSz w:w="11900" w:h="16838" w:orient="portrait"/>
          <w:cols w:equalWidth="0" w:num="1">
            <w:col w:w="9319"/>
          </w:cols>
          <w:pgMar w:left="1140" w:top="560" w:right="1440" w:bottom="1440" w:gutter="0" w:footer="0" w:header="0"/>
          <w:type w:val="continuous"/>
        </w:sectPr>
      </w:pPr>
    </w:p>
    <w:p>
      <w:pPr>
        <w:spacing w:after="0" w:line="155" w:lineRule="exact"/>
        <w:rPr>
          <w:sz w:val="24"/>
          <w:szCs w:val="24"/>
          <w:color w:val="auto"/>
        </w:rPr>
      </w:pPr>
    </w:p>
    <w:p>
      <w:pPr>
        <w:jc w:val="center"/>
        <w:ind w:right="1880"/>
        <w:spacing w:after="0"/>
        <w:rPr>
          <w:sz w:val="20"/>
          <w:szCs w:val="20"/>
          <w:color w:val="auto"/>
        </w:rPr>
      </w:pPr>
      <w:r>
        <w:rPr>
          <w:rFonts w:ascii="Arial" w:cs="Arial" w:eastAsia="Arial" w:hAnsi="Arial"/>
          <w:sz w:val="13"/>
          <w:szCs w:val="13"/>
          <w:b w:val="1"/>
          <w:bCs w:val="1"/>
          <w:color w:val="auto"/>
        </w:rPr>
        <w:t>Title of each class</w:t>
      </w:r>
    </w:p>
    <w:p>
      <w:pPr>
        <w:spacing w:after="0" w:line="17" w:lineRule="exact"/>
        <w:rPr>
          <w:sz w:val="24"/>
          <w:szCs w:val="24"/>
          <w:color w:val="auto"/>
        </w:rPr>
      </w:pPr>
    </w:p>
    <w:p>
      <w:pPr>
        <w:jc w:val="center"/>
        <w:ind w:right="1880"/>
        <w:spacing w:after="0"/>
        <w:rPr>
          <w:sz w:val="20"/>
          <w:szCs w:val="20"/>
          <w:color w:val="auto"/>
        </w:rPr>
      </w:pPr>
      <w:r>
        <w:rPr>
          <w:rFonts w:ascii="Arial" w:cs="Arial" w:eastAsia="Arial" w:hAnsi="Arial"/>
          <w:sz w:val="11"/>
          <w:szCs w:val="11"/>
          <w:color w:val="auto"/>
        </w:rPr>
        <w:t>Class E Common Stock</w:t>
      </w:r>
    </w:p>
    <w:p>
      <w:pPr>
        <w:spacing w:after="0" w:line="20" w:lineRule="exact"/>
        <w:rPr>
          <w:sz w:val="24"/>
          <w:szCs w:val="24"/>
          <w:color w:val="auto"/>
        </w:rPr>
      </w:pPr>
      <w:r>
        <w:rPr>
          <w:sz w:val="24"/>
          <w:szCs w:val="24"/>
          <w:color w:val="auto"/>
        </w:rPr>
        <w:br w:type="column"/>
      </w:r>
    </w:p>
    <w:p>
      <w:pPr>
        <w:spacing w:after="0" w:line="135" w:lineRule="exact"/>
        <w:rPr>
          <w:sz w:val="24"/>
          <w:szCs w:val="24"/>
          <w:color w:val="auto"/>
        </w:rPr>
      </w:pPr>
    </w:p>
    <w:p>
      <w:pPr>
        <w:jc w:val="center"/>
        <w:ind w:right="439"/>
        <w:spacing w:after="0"/>
        <w:rPr>
          <w:sz w:val="20"/>
          <w:szCs w:val="20"/>
          <w:color w:val="auto"/>
        </w:rPr>
      </w:pPr>
      <w:r>
        <w:rPr>
          <w:rFonts w:ascii="Arial" w:cs="Arial" w:eastAsia="Arial" w:hAnsi="Arial"/>
          <w:sz w:val="11"/>
          <w:szCs w:val="11"/>
          <w:b w:val="1"/>
          <w:bCs w:val="1"/>
          <w:color w:val="auto"/>
        </w:rPr>
        <w:t>Name of each exchange on which registered</w:t>
      </w:r>
    </w:p>
    <w:p>
      <w:pPr>
        <w:spacing w:after="0" w:line="40" w:lineRule="exact"/>
        <w:rPr>
          <w:sz w:val="24"/>
          <w:szCs w:val="24"/>
          <w:color w:val="auto"/>
        </w:rPr>
      </w:pPr>
    </w:p>
    <w:p>
      <w:pPr>
        <w:jc w:val="center"/>
        <w:ind w:right="439"/>
        <w:spacing w:after="0"/>
        <w:rPr>
          <w:sz w:val="20"/>
          <w:szCs w:val="20"/>
          <w:color w:val="auto"/>
        </w:rPr>
      </w:pPr>
      <w:r>
        <w:rPr>
          <w:rFonts w:ascii="Arial" w:cs="Arial" w:eastAsia="Arial" w:hAnsi="Arial"/>
          <w:sz w:val="13"/>
          <w:szCs w:val="13"/>
          <w:color w:val="auto"/>
        </w:rPr>
        <w:t>New York Stock Exchange</w:t>
      </w:r>
    </w:p>
    <w:p>
      <w:pPr>
        <w:spacing w:after="0" w:line="150" w:lineRule="exact"/>
        <w:rPr>
          <w:sz w:val="24"/>
          <w:szCs w:val="24"/>
          <w:color w:val="auto"/>
        </w:rPr>
      </w:pPr>
    </w:p>
    <w:p>
      <w:pPr>
        <w:sectPr>
          <w:pgSz w:w="11900" w:h="16838" w:orient="portrait"/>
          <w:cols w:equalWidth="0" w:num="2">
            <w:col w:w="5780" w:space="720"/>
            <w:col w:w="2819"/>
          </w:cols>
          <w:pgMar w:left="1140" w:top="560" w:right="1440" w:bottom="1440" w:gutter="0" w:footer="0" w:header="0"/>
          <w:type w:val="continuous"/>
        </w:sectPr>
      </w:pPr>
    </w:p>
    <w:p>
      <w:pPr>
        <w:jc w:val="center"/>
        <w:ind w:right="-300"/>
        <w:spacing w:after="0"/>
        <w:rPr>
          <w:sz w:val="20"/>
          <w:szCs w:val="20"/>
          <w:color w:val="auto"/>
        </w:rPr>
      </w:pPr>
      <w:r>
        <w:rPr>
          <w:rFonts w:ascii="Arial" w:cs="Arial" w:eastAsia="Arial" w:hAnsi="Arial"/>
          <w:sz w:val="13"/>
          <w:szCs w:val="13"/>
          <w:color w:val="auto"/>
        </w:rPr>
        <w:t>Securities registered or to be registered pursuant to Section 12(g) of the Act.</w:t>
      </w:r>
    </w:p>
    <w:p>
      <w:pPr>
        <w:spacing w:after="0" w:line="13" w:lineRule="exact"/>
        <w:rPr>
          <w:sz w:val="24"/>
          <w:szCs w:val="24"/>
          <w:color w:val="auto"/>
        </w:rPr>
      </w:pPr>
    </w:p>
    <w:p>
      <w:pPr>
        <w:jc w:val="center"/>
        <w:ind w:right="-300"/>
        <w:spacing w:after="0"/>
        <w:rPr>
          <w:sz w:val="20"/>
          <w:szCs w:val="20"/>
          <w:color w:val="auto"/>
        </w:rPr>
      </w:pPr>
      <w:r>
        <w:rPr>
          <w:rFonts w:ascii="Arial" w:cs="Arial" w:eastAsia="Arial" w:hAnsi="Arial"/>
          <w:sz w:val="13"/>
          <w:szCs w:val="13"/>
          <w:color w:val="auto"/>
        </w:rPr>
        <w:t>None</w:t>
      </w:r>
    </w:p>
    <w:p>
      <w:pPr>
        <w:spacing w:after="0" w:line="150" w:lineRule="exact"/>
        <w:rPr>
          <w:sz w:val="24"/>
          <w:szCs w:val="24"/>
          <w:color w:val="auto"/>
        </w:rPr>
      </w:pPr>
    </w:p>
    <w:p>
      <w:pPr>
        <w:jc w:val="center"/>
        <w:ind w:right="-300"/>
        <w:spacing w:after="0"/>
        <w:rPr>
          <w:sz w:val="20"/>
          <w:szCs w:val="20"/>
          <w:color w:val="auto"/>
        </w:rPr>
      </w:pPr>
      <w:r>
        <w:rPr>
          <w:rFonts w:ascii="Arial" w:cs="Arial" w:eastAsia="Arial" w:hAnsi="Arial"/>
          <w:sz w:val="11"/>
          <w:szCs w:val="11"/>
          <w:color w:val="auto"/>
        </w:rPr>
        <w:t>Securities for which there is a reporting obligation pursuant to Section 15(d) of the Act.</w:t>
      </w:r>
    </w:p>
    <w:p>
      <w:pPr>
        <w:spacing w:after="0" w:line="36" w:lineRule="exact"/>
        <w:rPr>
          <w:sz w:val="24"/>
          <w:szCs w:val="24"/>
          <w:color w:val="auto"/>
        </w:rPr>
      </w:pPr>
    </w:p>
    <w:p>
      <w:pPr>
        <w:jc w:val="center"/>
        <w:ind w:right="-300"/>
        <w:spacing w:after="0"/>
        <w:rPr>
          <w:sz w:val="20"/>
          <w:szCs w:val="20"/>
          <w:color w:val="auto"/>
        </w:rPr>
      </w:pPr>
      <w:r>
        <w:rPr>
          <w:rFonts w:ascii="Arial" w:cs="Arial" w:eastAsia="Arial" w:hAnsi="Arial"/>
          <w:sz w:val="13"/>
          <w:szCs w:val="13"/>
          <w:color w:val="auto"/>
        </w:rPr>
        <w:t>None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2512695</wp:posOffset>
            </wp:positionH>
            <wp:positionV relativeFrom="paragraph">
              <wp:posOffset>125730</wp:posOffset>
            </wp:positionV>
            <wp:extent cx="1087755" cy="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1087755" cy="6350"/>
                    </a:xfrm>
                    <a:prstGeom prst="rect">
                      <a:avLst/>
                    </a:prstGeom>
                    <a:noFill/>
                  </pic:spPr>
                </pic:pic>
              </a:graphicData>
            </a:graphic>
          </wp:anchor>
        </w:drawing>
        <w:drawing>
          <wp:anchor simplePos="0" relativeHeight="251657728" behindDoc="1" locked="0" layoutInCell="0" allowOverlap="1">
            <wp:simplePos x="0" y="0"/>
            <wp:positionH relativeFrom="column">
              <wp:posOffset>-585470</wp:posOffset>
            </wp:positionH>
            <wp:positionV relativeFrom="paragraph">
              <wp:posOffset>473710</wp:posOffset>
            </wp:positionV>
            <wp:extent cx="7285990" cy="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9319"/>
          </w:cols>
          <w:pgMar w:left="1140" w:top="560" w:right="1440" w:bottom="1440" w:gutter="0" w:footer="0" w:header="0"/>
          <w:type w:val="continuous"/>
        </w:sectPr>
      </w:pPr>
    </w:p>
    <w:bookmarkStart w:id="1" w:name="page2"/>
    <w:bookmarkEnd w:id="1"/>
    <w:p>
      <w:pPr>
        <w:spacing w:after="0"/>
        <w:rPr>
          <w:sz w:val="20"/>
          <w:szCs w:val="20"/>
          <w:color w:val="auto"/>
        </w:rPr>
      </w:pPr>
      <w:r>
        <w:rPr>
          <w:rFonts w:ascii="Arial" w:cs="Arial" w:eastAsia="Arial" w:hAnsi="Arial"/>
          <w:sz w:val="13"/>
          <w:szCs w:val="13"/>
          <w:color w:val="auto"/>
        </w:rPr>
        <w:t>Indicate the number of outstanding shares of each of the issuer’s classes of capital or common stock as of the close of the period covered by the annual report.</w:t>
      </w:r>
    </w:p>
    <w:p>
      <w:pPr>
        <w:spacing w:after="0" w:line="167" w:lineRule="exact"/>
        <w:rPr>
          <w:sz w:val="20"/>
          <w:szCs w:val="20"/>
          <w:color w:val="auto"/>
        </w:rPr>
      </w:pPr>
    </w:p>
    <w:tbl>
      <w:tblPr>
        <w:tblLayout w:type="fixed"/>
        <w:tblInd w:w="1720" w:type="dxa"/>
        <w:tblCellMar>
          <w:top w:w="0" w:type="dxa"/>
          <w:left w:w="0" w:type="dxa"/>
          <w:bottom w:w="0" w:type="dxa"/>
          <w:right w:w="0" w:type="dxa"/>
        </w:tblCellMar>
      </w:tblPr>
      <w:tr>
        <w:trPr>
          <w:trHeight w:val="154"/>
        </w:trPr>
        <w:tc>
          <w:tcPr>
            <w:tcW w:w="2400" w:type="dxa"/>
            <w:vAlign w:val="bottom"/>
            <w:shd w:val="clear" w:color="auto" w:fill="CCEEFF"/>
          </w:tcPr>
          <w:p>
            <w:pPr>
              <w:jc w:val="right"/>
              <w:ind w:right="236"/>
              <w:spacing w:after="0"/>
              <w:rPr>
                <w:sz w:val="20"/>
                <w:szCs w:val="20"/>
                <w:color w:val="auto"/>
              </w:rPr>
            </w:pPr>
            <w:r>
              <w:rPr>
                <w:rFonts w:ascii="Arial" w:cs="Arial" w:eastAsia="Arial" w:hAnsi="Arial"/>
                <w:sz w:val="13"/>
                <w:szCs w:val="13"/>
                <w:color w:val="auto"/>
              </w:rPr>
              <w:t>6,342,189</w:t>
            </w:r>
          </w:p>
        </w:tc>
        <w:tc>
          <w:tcPr>
            <w:tcW w:w="5620" w:type="dxa"/>
            <w:vAlign w:val="bottom"/>
            <w:shd w:val="clear" w:color="auto" w:fill="CCEEFF"/>
          </w:tcPr>
          <w:p>
            <w:pPr>
              <w:ind w:left="280"/>
              <w:spacing w:after="0"/>
              <w:rPr>
                <w:sz w:val="20"/>
                <w:szCs w:val="20"/>
                <w:color w:val="auto"/>
              </w:rPr>
            </w:pPr>
            <w:r>
              <w:rPr>
                <w:rFonts w:ascii="Arial" w:cs="Arial" w:eastAsia="Arial" w:hAnsi="Arial"/>
                <w:sz w:val="13"/>
                <w:szCs w:val="13"/>
                <w:color w:val="auto"/>
              </w:rPr>
              <w:t>Shares of Class A Common Stock</w:t>
            </w:r>
          </w:p>
        </w:tc>
      </w:tr>
      <w:tr>
        <w:trPr>
          <w:trHeight w:val="154"/>
        </w:trPr>
        <w:tc>
          <w:tcPr>
            <w:tcW w:w="2400" w:type="dxa"/>
            <w:vAlign w:val="bottom"/>
          </w:tcPr>
          <w:p>
            <w:pPr>
              <w:jc w:val="right"/>
              <w:ind w:right="236"/>
              <w:spacing w:after="0"/>
              <w:rPr>
                <w:sz w:val="20"/>
                <w:szCs w:val="20"/>
                <w:color w:val="auto"/>
              </w:rPr>
            </w:pPr>
            <w:r>
              <w:rPr>
                <w:rFonts w:ascii="Arial" w:cs="Arial" w:eastAsia="Arial" w:hAnsi="Arial"/>
                <w:sz w:val="13"/>
                <w:szCs w:val="13"/>
                <w:color w:val="auto"/>
              </w:rPr>
              <w:t>2,245,227</w:t>
            </w:r>
          </w:p>
        </w:tc>
        <w:tc>
          <w:tcPr>
            <w:tcW w:w="5620" w:type="dxa"/>
            <w:vAlign w:val="bottom"/>
          </w:tcPr>
          <w:p>
            <w:pPr>
              <w:ind w:left="280"/>
              <w:spacing w:after="0"/>
              <w:rPr>
                <w:sz w:val="20"/>
                <w:szCs w:val="20"/>
                <w:color w:val="auto"/>
              </w:rPr>
            </w:pPr>
            <w:r>
              <w:rPr>
                <w:rFonts w:ascii="Arial" w:cs="Arial" w:eastAsia="Arial" w:hAnsi="Arial"/>
                <w:sz w:val="13"/>
                <w:szCs w:val="13"/>
                <w:color w:val="auto"/>
              </w:rPr>
              <w:t>Shares of Class B Common Stock</w:t>
            </w:r>
          </w:p>
        </w:tc>
      </w:tr>
      <w:tr>
        <w:trPr>
          <w:trHeight w:val="154"/>
        </w:trPr>
        <w:tc>
          <w:tcPr>
            <w:tcW w:w="2400" w:type="dxa"/>
            <w:vAlign w:val="bottom"/>
            <w:shd w:val="clear" w:color="auto" w:fill="CCEEFF"/>
          </w:tcPr>
          <w:p>
            <w:pPr>
              <w:jc w:val="right"/>
              <w:ind w:right="236"/>
              <w:spacing w:after="0"/>
              <w:rPr>
                <w:sz w:val="20"/>
                <w:szCs w:val="20"/>
                <w:color w:val="auto"/>
              </w:rPr>
            </w:pPr>
            <w:r>
              <w:rPr>
                <w:rFonts w:ascii="Arial" w:cs="Arial" w:eastAsia="Arial" w:hAnsi="Arial"/>
                <w:sz w:val="13"/>
                <w:szCs w:val="13"/>
                <w:color w:val="auto"/>
              </w:rPr>
              <w:t>30,951,135</w:t>
            </w:r>
          </w:p>
        </w:tc>
        <w:tc>
          <w:tcPr>
            <w:tcW w:w="5620" w:type="dxa"/>
            <w:vAlign w:val="bottom"/>
            <w:shd w:val="clear" w:color="auto" w:fill="CCEEFF"/>
          </w:tcPr>
          <w:p>
            <w:pPr>
              <w:ind w:left="280"/>
              <w:spacing w:after="0"/>
              <w:rPr>
                <w:sz w:val="20"/>
                <w:szCs w:val="20"/>
                <w:color w:val="auto"/>
              </w:rPr>
            </w:pPr>
            <w:r>
              <w:rPr>
                <w:rFonts w:ascii="Arial" w:cs="Arial" w:eastAsia="Arial" w:hAnsi="Arial"/>
                <w:sz w:val="13"/>
                <w:szCs w:val="13"/>
                <w:color w:val="auto"/>
              </w:rPr>
              <w:t>Shares of Class E Common Stock</w:t>
            </w:r>
          </w:p>
        </w:tc>
      </w:tr>
    </w:tbl>
    <w:p>
      <w:pPr>
        <w:ind w:left="4400" w:hanging="646"/>
        <w:spacing w:after="0"/>
        <w:tabs>
          <w:tab w:leader="none" w:pos="4400" w:val="left"/>
        </w:tabs>
        <w:numPr>
          <w:ilvl w:val="0"/>
          <w:numId w:val="5"/>
        </w:numPr>
        <w:rPr>
          <w:rFonts w:ascii="Arial" w:cs="Arial" w:eastAsia="Arial" w:hAnsi="Arial"/>
          <w:sz w:val="13"/>
          <w:szCs w:val="13"/>
          <w:color w:val="auto"/>
        </w:rPr>
      </w:pPr>
      <w:r>
        <w:rPr>
          <w:rFonts w:ascii="Arial" w:cs="Arial" w:eastAsia="Arial" w:hAnsi="Arial"/>
          <w:sz w:val="13"/>
          <w:szCs w:val="13"/>
          <w:color w:val="auto"/>
        </w:rPr>
        <w:t>Shares of Class F Common Stock</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1092200</wp:posOffset>
            </wp:positionH>
            <wp:positionV relativeFrom="paragraph">
              <wp:posOffset>8890</wp:posOffset>
            </wp:positionV>
            <wp:extent cx="5097780" cy="1041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5097780" cy="104140"/>
                    </a:xfrm>
                    <a:prstGeom prst="rect">
                      <a:avLst/>
                    </a:prstGeom>
                    <a:noFill/>
                  </pic:spPr>
                </pic:pic>
              </a:graphicData>
            </a:graphic>
          </wp:anchor>
        </w:drawing>
      </w:r>
    </w:p>
    <w:p>
      <w:pPr>
        <w:ind w:left="3240"/>
        <w:spacing w:after="0"/>
        <w:tabs>
          <w:tab w:leader="none" w:pos="4380" w:val="left"/>
        </w:tabs>
        <w:rPr>
          <w:sz w:val="20"/>
          <w:szCs w:val="20"/>
          <w:color w:val="auto"/>
        </w:rPr>
      </w:pPr>
      <w:r>
        <w:rPr>
          <w:rFonts w:ascii="Arial" w:cs="Arial" w:eastAsia="Arial" w:hAnsi="Arial"/>
          <w:sz w:val="13"/>
          <w:szCs w:val="13"/>
          <w:color w:val="auto"/>
        </w:rPr>
        <w:t>39,538,551</w:t>
      </w:r>
      <w:r>
        <w:rPr>
          <w:sz w:val="20"/>
          <w:szCs w:val="20"/>
          <w:color w:val="auto"/>
        </w:rPr>
        <w:tab/>
      </w:r>
      <w:r>
        <w:rPr>
          <w:rFonts w:ascii="Arial" w:cs="Arial" w:eastAsia="Arial" w:hAnsi="Arial"/>
          <w:sz w:val="13"/>
          <w:szCs w:val="13"/>
          <w:color w:val="auto"/>
        </w:rPr>
        <w:t>Total Shares of Common Stock</w:t>
      </w:r>
    </w:p>
    <w:p>
      <w:pPr>
        <w:spacing w:after="0" w:line="159" w:lineRule="exact"/>
        <w:rPr>
          <w:sz w:val="20"/>
          <w:szCs w:val="20"/>
          <w:color w:val="auto"/>
        </w:rPr>
      </w:pPr>
    </w:p>
    <w:p>
      <w:pPr>
        <w:jc w:val="center"/>
        <w:ind w:right="20"/>
        <w:spacing w:after="0"/>
        <w:rPr>
          <w:sz w:val="20"/>
          <w:szCs w:val="20"/>
          <w:color w:val="auto"/>
        </w:rPr>
      </w:pPr>
      <w:r>
        <w:rPr>
          <w:rFonts w:ascii="Arial" w:cs="Arial" w:eastAsia="Arial" w:hAnsi="Arial"/>
          <w:sz w:val="13"/>
          <w:szCs w:val="13"/>
          <w:color w:val="auto"/>
        </w:rPr>
        <w:t>Indicate by check mark if the registrant is a well-known seasoned issuer, as defined in Rule 405 of the Securities Act.</w:t>
      </w:r>
    </w:p>
    <w:p>
      <w:pPr>
        <w:spacing w:after="0" w:line="134" w:lineRule="exact"/>
        <w:rPr>
          <w:sz w:val="20"/>
          <w:szCs w:val="20"/>
          <w:color w:val="auto"/>
        </w:rPr>
      </w:pPr>
    </w:p>
    <w:p>
      <w:pPr>
        <w:ind w:left="3820"/>
        <w:spacing w:after="0" w:line="150" w:lineRule="exact"/>
        <w:tabs>
          <w:tab w:leader="none" w:pos="7260" w:val="left"/>
        </w:tabs>
        <w:rPr>
          <w:sz w:val="20"/>
          <w:szCs w:val="20"/>
          <w:color w:val="auto"/>
        </w:rPr>
      </w:pPr>
      <w:r>
        <w:rPr>
          <w:rFonts w:ascii="MS PGothic" w:cs="MS PGothic" w:eastAsia="MS PGothic" w:hAnsi="MS PGothic"/>
          <w:sz w:val="13"/>
          <w:szCs w:val="13"/>
          <w:color w:val="auto"/>
        </w:rPr>
        <w:t>☒</w:t>
      </w:r>
      <w:r>
        <w:rPr>
          <w:rFonts w:ascii="Arial" w:cs="Arial" w:eastAsia="Arial" w:hAnsi="Arial"/>
          <w:sz w:val="13"/>
          <w:szCs w:val="13"/>
          <w:color w:val="auto"/>
        </w:rPr>
        <w:t xml:space="preserve"> Yes</w:t>
      </w:r>
      <w:r>
        <w:rPr>
          <w:sz w:val="20"/>
          <w:szCs w:val="20"/>
          <w:color w:val="auto"/>
        </w:rPr>
        <w:tab/>
      </w:r>
      <w:r>
        <w:rPr>
          <w:rFonts w:ascii="MS PGothic" w:cs="MS PGothic" w:eastAsia="MS PGothic" w:hAnsi="MS PGothic"/>
          <w:sz w:val="13"/>
          <w:szCs w:val="13"/>
          <w:color w:val="auto"/>
        </w:rPr>
        <w:t xml:space="preserve">☐ </w:t>
      </w:r>
      <w:r>
        <w:rPr>
          <w:rFonts w:ascii="Arial" w:cs="Arial" w:eastAsia="Arial" w:hAnsi="Arial"/>
          <w:sz w:val="13"/>
          <w:szCs w:val="13"/>
          <w:color w:val="auto"/>
        </w:rPr>
        <w:t>No</w:t>
      </w:r>
    </w:p>
    <w:p>
      <w:pPr>
        <w:spacing w:after="0" w:line="183" w:lineRule="exact"/>
        <w:rPr>
          <w:sz w:val="20"/>
          <w:szCs w:val="20"/>
          <w:color w:val="auto"/>
        </w:rPr>
      </w:pPr>
    </w:p>
    <w:p>
      <w:pPr>
        <w:jc w:val="center"/>
        <w:ind w:right="20"/>
        <w:spacing w:after="0"/>
        <w:rPr>
          <w:sz w:val="20"/>
          <w:szCs w:val="20"/>
          <w:color w:val="auto"/>
        </w:rPr>
      </w:pPr>
      <w:r>
        <w:rPr>
          <w:rFonts w:ascii="Arial" w:cs="Arial" w:eastAsia="Arial" w:hAnsi="Arial"/>
          <w:sz w:val="13"/>
          <w:szCs w:val="13"/>
          <w:color w:val="auto"/>
        </w:rPr>
        <w:t>If this report is an annual or transition report, indicate by check mark if the registrant is not required to file reports pursuant to Section 13 or 15(d) of the Securities Exchange Act of 1934.</w:t>
      </w:r>
    </w:p>
    <w:p>
      <w:pPr>
        <w:spacing w:after="0" w:line="134" w:lineRule="exact"/>
        <w:rPr>
          <w:sz w:val="20"/>
          <w:szCs w:val="20"/>
          <w:color w:val="auto"/>
        </w:rPr>
      </w:pPr>
    </w:p>
    <w:p>
      <w:pPr>
        <w:ind w:left="3820"/>
        <w:spacing w:after="0" w:line="150" w:lineRule="exact"/>
        <w:tabs>
          <w:tab w:leader="none" w:pos="7260" w:val="left"/>
        </w:tabs>
        <w:rPr>
          <w:sz w:val="20"/>
          <w:szCs w:val="20"/>
          <w:color w:val="auto"/>
        </w:rPr>
      </w:pPr>
      <w:r>
        <w:rPr>
          <w:rFonts w:ascii="MS PGothic" w:cs="MS PGothic" w:eastAsia="MS PGothic" w:hAnsi="MS PGothic"/>
          <w:sz w:val="13"/>
          <w:szCs w:val="13"/>
          <w:color w:val="auto"/>
        </w:rPr>
        <w:t>☐</w:t>
      </w:r>
      <w:r>
        <w:rPr>
          <w:rFonts w:ascii="Arial" w:cs="Arial" w:eastAsia="Arial" w:hAnsi="Arial"/>
          <w:sz w:val="13"/>
          <w:szCs w:val="13"/>
          <w:color w:val="auto"/>
        </w:rPr>
        <w:t xml:space="preserve"> Yes</w:t>
      </w:r>
      <w:r>
        <w:rPr>
          <w:sz w:val="20"/>
          <w:szCs w:val="20"/>
          <w:color w:val="auto"/>
        </w:rPr>
        <w:tab/>
      </w:r>
      <w:r>
        <w:rPr>
          <w:rFonts w:ascii="MS PGothic" w:cs="MS PGothic" w:eastAsia="MS PGothic" w:hAnsi="MS PGothic"/>
          <w:sz w:val="13"/>
          <w:szCs w:val="13"/>
          <w:color w:val="auto"/>
        </w:rPr>
        <w:t xml:space="preserve">☒ </w:t>
      </w:r>
      <w:r>
        <w:rPr>
          <w:rFonts w:ascii="Arial" w:cs="Arial" w:eastAsia="Arial" w:hAnsi="Arial"/>
          <w:sz w:val="13"/>
          <w:szCs w:val="13"/>
          <w:color w:val="auto"/>
        </w:rPr>
        <w:t>No</w:t>
      </w:r>
    </w:p>
    <w:p>
      <w:pPr>
        <w:spacing w:after="0" w:line="183" w:lineRule="exact"/>
        <w:rPr>
          <w:sz w:val="20"/>
          <w:szCs w:val="20"/>
          <w:color w:val="auto"/>
        </w:rPr>
      </w:pPr>
    </w:p>
    <w:p>
      <w:pPr>
        <w:jc w:val="center"/>
        <w:ind w:right="20"/>
        <w:spacing w:after="0"/>
        <w:rPr>
          <w:sz w:val="20"/>
          <w:szCs w:val="20"/>
          <w:color w:val="auto"/>
        </w:rPr>
      </w:pPr>
      <w:r>
        <w:rPr>
          <w:rFonts w:ascii="Arial" w:cs="Arial" w:eastAsia="Arial" w:hAnsi="Arial"/>
          <w:sz w:val="13"/>
          <w:szCs w:val="13"/>
          <w:color w:val="auto"/>
        </w:rPr>
        <w:t>Note – Checking the box above will not relieve any registrant required to file reports pursuant to Section 13 or 15(d) of the Securities Exchange Act of 1934 from their obligations under those Sections.</w:t>
      </w:r>
    </w:p>
    <w:p>
      <w:pPr>
        <w:spacing w:after="0" w:line="159"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w:t>
      </w:r>
    </w:p>
    <w:p>
      <w:pPr>
        <w:spacing w:after="0" w:line="105" w:lineRule="exact"/>
        <w:rPr>
          <w:sz w:val="20"/>
          <w:szCs w:val="20"/>
          <w:color w:val="auto"/>
        </w:rPr>
      </w:pPr>
    </w:p>
    <w:p>
      <w:pPr>
        <w:ind w:left="3820"/>
        <w:spacing w:after="0" w:line="150" w:lineRule="exact"/>
        <w:tabs>
          <w:tab w:leader="none" w:pos="7260" w:val="left"/>
        </w:tabs>
        <w:rPr>
          <w:sz w:val="20"/>
          <w:szCs w:val="20"/>
          <w:color w:val="auto"/>
        </w:rPr>
      </w:pPr>
      <w:r>
        <w:rPr>
          <w:rFonts w:ascii="MS PGothic" w:cs="MS PGothic" w:eastAsia="MS PGothic" w:hAnsi="MS PGothic"/>
          <w:sz w:val="13"/>
          <w:szCs w:val="13"/>
          <w:color w:val="auto"/>
        </w:rPr>
        <w:t>☒</w:t>
      </w:r>
      <w:r>
        <w:rPr>
          <w:rFonts w:ascii="Arial" w:cs="Arial" w:eastAsia="Arial" w:hAnsi="Arial"/>
          <w:sz w:val="13"/>
          <w:szCs w:val="13"/>
          <w:color w:val="auto"/>
        </w:rPr>
        <w:t xml:space="preserve"> Yes</w:t>
      </w:r>
      <w:r>
        <w:rPr>
          <w:sz w:val="20"/>
          <w:szCs w:val="20"/>
          <w:color w:val="auto"/>
        </w:rPr>
        <w:tab/>
      </w:r>
      <w:r>
        <w:rPr>
          <w:rFonts w:ascii="MS PGothic" w:cs="MS PGothic" w:eastAsia="MS PGothic" w:hAnsi="MS PGothic"/>
          <w:sz w:val="13"/>
          <w:szCs w:val="13"/>
          <w:color w:val="auto"/>
        </w:rPr>
        <w:t xml:space="preserve">☐ </w:t>
      </w:r>
      <w:r>
        <w:rPr>
          <w:rFonts w:ascii="Arial" w:cs="Arial" w:eastAsia="Arial" w:hAnsi="Arial"/>
          <w:sz w:val="13"/>
          <w:szCs w:val="13"/>
          <w:color w:val="auto"/>
        </w:rPr>
        <w:t>No</w:t>
      </w:r>
    </w:p>
    <w:p>
      <w:pPr>
        <w:spacing w:after="0" w:line="183"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Indicate by check mark whether the registrant has submitted electronically every Interactive Data File required to be submitted pursuant to Rule 405 of Regulation S-T (§232.405 of this chapter) during the preceding 12 months (or for such shorter period that the registrant was required to submit such files).</w:t>
      </w:r>
    </w:p>
    <w:p>
      <w:pPr>
        <w:spacing w:after="0" w:line="105" w:lineRule="exact"/>
        <w:rPr>
          <w:sz w:val="20"/>
          <w:szCs w:val="20"/>
          <w:color w:val="auto"/>
        </w:rPr>
      </w:pPr>
    </w:p>
    <w:p>
      <w:pPr>
        <w:ind w:left="3820"/>
        <w:spacing w:after="0" w:line="150" w:lineRule="exact"/>
        <w:tabs>
          <w:tab w:leader="none" w:pos="7260" w:val="left"/>
        </w:tabs>
        <w:rPr>
          <w:sz w:val="20"/>
          <w:szCs w:val="20"/>
          <w:color w:val="auto"/>
        </w:rPr>
      </w:pPr>
      <w:r>
        <w:rPr>
          <w:rFonts w:ascii="MS PGothic" w:cs="MS PGothic" w:eastAsia="MS PGothic" w:hAnsi="MS PGothic"/>
          <w:sz w:val="13"/>
          <w:szCs w:val="13"/>
          <w:color w:val="auto"/>
        </w:rPr>
        <w:t>☒</w:t>
      </w:r>
      <w:r>
        <w:rPr>
          <w:rFonts w:ascii="Arial" w:cs="Arial" w:eastAsia="Arial" w:hAnsi="Arial"/>
          <w:sz w:val="13"/>
          <w:szCs w:val="13"/>
          <w:color w:val="auto"/>
        </w:rPr>
        <w:t xml:space="preserve"> Yes</w:t>
      </w:r>
      <w:r>
        <w:rPr>
          <w:sz w:val="20"/>
          <w:szCs w:val="20"/>
          <w:color w:val="auto"/>
        </w:rPr>
        <w:tab/>
      </w:r>
      <w:r>
        <w:rPr>
          <w:rFonts w:ascii="MS PGothic" w:cs="MS PGothic" w:eastAsia="MS PGothic" w:hAnsi="MS PGothic"/>
          <w:sz w:val="13"/>
          <w:szCs w:val="13"/>
          <w:color w:val="auto"/>
        </w:rPr>
        <w:t xml:space="preserve">☐ </w:t>
      </w:r>
      <w:r>
        <w:rPr>
          <w:rFonts w:ascii="Arial" w:cs="Arial" w:eastAsia="Arial" w:hAnsi="Arial"/>
          <w:sz w:val="13"/>
          <w:szCs w:val="13"/>
          <w:color w:val="auto"/>
        </w:rPr>
        <w:t>No</w:t>
      </w:r>
    </w:p>
    <w:p>
      <w:pPr>
        <w:spacing w:after="0" w:line="183"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Indicate by check mark whether the registrant is a large accelerated filer, an accelerated filer, a non-accelerated filer, or an emerging growth company. See definition of “large accelerated filer,” “accelerated filer,” and “emerging growth company” in Rule 12b-2 of the Exchange Act.</w:t>
      </w:r>
    </w:p>
    <w:p>
      <w:pPr>
        <w:sectPr>
          <w:pgSz w:w="11900" w:h="16838" w:orient="portrait"/>
          <w:cols w:equalWidth="0" w:num="1">
            <w:col w:w="11480"/>
          </w:cols>
          <w:pgMar w:left="220" w:top="689" w:right="199" w:bottom="1440" w:gutter="0" w:footer="0" w:header="0"/>
        </w:sectPr>
      </w:pPr>
    </w:p>
    <w:p>
      <w:pPr>
        <w:spacing w:after="0" w:line="105" w:lineRule="exact"/>
        <w:rPr>
          <w:sz w:val="20"/>
          <w:szCs w:val="20"/>
          <w:color w:val="auto"/>
        </w:rPr>
      </w:pPr>
    </w:p>
    <w:p>
      <w:pPr>
        <w:ind w:left="460"/>
        <w:spacing w:after="0" w:line="127" w:lineRule="exact"/>
        <w:rPr>
          <w:sz w:val="20"/>
          <w:szCs w:val="20"/>
          <w:color w:val="auto"/>
        </w:rPr>
      </w:pPr>
      <w:r>
        <w:rPr>
          <w:rFonts w:ascii="MS PGothic" w:cs="MS PGothic" w:eastAsia="MS PGothic" w:hAnsi="MS PGothic"/>
          <w:sz w:val="11"/>
          <w:szCs w:val="11"/>
          <w:color w:val="auto"/>
        </w:rPr>
        <w:t>☒</w:t>
      </w:r>
      <w:r>
        <w:rPr>
          <w:rFonts w:ascii="Arial" w:cs="Arial" w:eastAsia="Arial" w:hAnsi="Arial"/>
          <w:sz w:val="11"/>
          <w:szCs w:val="11"/>
          <w:color w:val="auto"/>
        </w:rPr>
        <w:t xml:space="preserve"> Large Accelerated Filer</w:t>
      </w:r>
    </w:p>
    <w:p>
      <w:pPr>
        <w:spacing w:after="0" w:line="20" w:lineRule="exact"/>
        <w:rPr>
          <w:sz w:val="20"/>
          <w:szCs w:val="20"/>
          <w:color w:val="auto"/>
        </w:rPr>
      </w:pPr>
      <w:r>
        <w:rPr>
          <w:sz w:val="20"/>
          <w:szCs w:val="20"/>
          <w:color w:val="auto"/>
        </w:rPr>
        <w:br w:type="column"/>
      </w:r>
    </w:p>
    <w:p>
      <w:pPr>
        <w:spacing w:after="0" w:line="85" w:lineRule="exact"/>
        <w:rPr>
          <w:sz w:val="20"/>
          <w:szCs w:val="20"/>
          <w:color w:val="auto"/>
        </w:rPr>
      </w:pPr>
    </w:p>
    <w:p>
      <w:pPr>
        <w:jc w:val="center"/>
        <w:ind w:right="1680"/>
        <w:spacing w:after="0" w:line="127" w:lineRule="exact"/>
        <w:rPr>
          <w:sz w:val="20"/>
          <w:szCs w:val="20"/>
          <w:color w:val="auto"/>
        </w:rPr>
      </w:pPr>
      <w:r>
        <w:rPr>
          <w:rFonts w:ascii="MS PGothic" w:cs="MS PGothic" w:eastAsia="MS PGothic" w:hAnsi="MS PGothic"/>
          <w:sz w:val="11"/>
          <w:szCs w:val="11"/>
          <w:color w:val="auto"/>
        </w:rPr>
        <w:t>☐</w:t>
      </w:r>
      <w:r>
        <w:rPr>
          <w:rFonts w:ascii="Arial" w:cs="Arial" w:eastAsia="Arial" w:hAnsi="Arial"/>
          <w:sz w:val="11"/>
          <w:szCs w:val="11"/>
          <w:color w:val="auto"/>
        </w:rPr>
        <w:t xml:space="preserve"> Accelerated Filer</w:t>
      </w:r>
    </w:p>
    <w:p>
      <w:pPr>
        <w:spacing w:after="0" w:line="20" w:lineRule="exact"/>
        <w:rPr>
          <w:sz w:val="20"/>
          <w:szCs w:val="20"/>
          <w:color w:val="auto"/>
        </w:rPr>
      </w:pPr>
      <w:r>
        <w:rPr>
          <w:sz w:val="20"/>
          <w:szCs w:val="20"/>
          <w:color w:val="auto"/>
        </w:rPr>
        <w:br w:type="column"/>
      </w:r>
    </w:p>
    <w:p>
      <w:pPr>
        <w:spacing w:after="0" w:line="85" w:lineRule="exact"/>
        <w:rPr>
          <w:sz w:val="20"/>
          <w:szCs w:val="20"/>
          <w:color w:val="auto"/>
        </w:rPr>
      </w:pPr>
    </w:p>
    <w:p>
      <w:pPr>
        <w:spacing w:after="0" w:line="150" w:lineRule="exact"/>
        <w:rPr>
          <w:sz w:val="20"/>
          <w:szCs w:val="20"/>
          <w:color w:val="auto"/>
        </w:rPr>
      </w:pPr>
      <w:r>
        <w:rPr>
          <w:rFonts w:ascii="MS PGothic" w:cs="MS PGothic" w:eastAsia="MS PGothic" w:hAnsi="MS PGothic"/>
          <w:sz w:val="13"/>
          <w:szCs w:val="13"/>
          <w:color w:val="auto"/>
        </w:rPr>
        <w:t>☐</w:t>
      </w:r>
      <w:r>
        <w:rPr>
          <w:rFonts w:ascii="Arial" w:cs="Arial" w:eastAsia="Arial" w:hAnsi="Arial"/>
          <w:sz w:val="13"/>
          <w:szCs w:val="13"/>
          <w:color w:val="auto"/>
        </w:rPr>
        <w:t xml:space="preserve"> Non-accelerated Filer</w:t>
      </w:r>
    </w:p>
    <w:p>
      <w:pPr>
        <w:spacing w:after="0" w:line="39" w:lineRule="exact"/>
        <w:rPr>
          <w:sz w:val="20"/>
          <w:szCs w:val="20"/>
          <w:color w:val="auto"/>
        </w:rPr>
      </w:pPr>
    </w:p>
    <w:p>
      <w:pPr>
        <w:spacing w:after="0" w:line="127" w:lineRule="exact"/>
        <w:rPr>
          <w:sz w:val="20"/>
          <w:szCs w:val="20"/>
          <w:color w:val="auto"/>
        </w:rPr>
      </w:pPr>
      <w:r>
        <w:rPr>
          <w:rFonts w:ascii="MS PGothic" w:cs="MS PGothic" w:eastAsia="MS PGothic" w:hAnsi="MS PGothic"/>
          <w:sz w:val="11"/>
          <w:szCs w:val="11"/>
          <w:color w:val="auto"/>
        </w:rPr>
        <w:t>☐</w:t>
      </w:r>
      <w:r>
        <w:rPr>
          <w:rFonts w:ascii="Arial" w:cs="Arial" w:eastAsia="Arial" w:hAnsi="Arial"/>
          <w:sz w:val="11"/>
          <w:szCs w:val="11"/>
          <w:color w:val="auto"/>
        </w:rPr>
        <w:t xml:space="preserve"> Emerging growth company</w:t>
      </w:r>
    </w:p>
    <w:p>
      <w:pPr>
        <w:spacing w:after="0" w:line="172" w:lineRule="exact"/>
        <w:rPr>
          <w:sz w:val="20"/>
          <w:szCs w:val="20"/>
          <w:color w:val="auto"/>
        </w:rPr>
      </w:pPr>
    </w:p>
    <w:p>
      <w:pPr>
        <w:sectPr>
          <w:pgSz w:w="11900" w:h="16838" w:orient="portrait"/>
          <w:cols w:equalWidth="0" w:num="3">
            <w:col w:w="3300" w:space="720"/>
            <w:col w:w="2720" w:space="720"/>
            <w:col w:w="4020"/>
          </w:cols>
          <w:pgMar w:left="220" w:top="689" w:right="199" w:bottom="1440" w:gutter="0" w:footer="0" w:header="0"/>
          <w:type w:val="continuous"/>
        </w:sectPr>
      </w:pPr>
    </w:p>
    <w:p>
      <w:pPr>
        <w:ind w:left="460"/>
        <w:spacing w:after="0" w:line="166" w:lineRule="exact"/>
        <w:rPr>
          <w:sz w:val="20"/>
          <w:szCs w:val="20"/>
          <w:color w:val="auto"/>
        </w:rPr>
      </w:pPr>
      <w:r>
        <w:rPr>
          <w:rFonts w:ascii="Arial" w:cs="Arial" w:eastAsia="Arial" w:hAnsi="Arial"/>
          <w:sz w:val="13"/>
          <w:szCs w:val="13"/>
          <w:color w:val="auto"/>
        </w:rPr>
        <w:t xml:space="preserve">If an emerging growth company that prepares its financial statements in accordance with U.S. GAAP, indicate by check mark if the registrant has elected not to use the extended transition period for complying with any new or revised financial accounting standards† provided pursuant to Section 13(a) of the Exchange Act. </w:t>
      </w:r>
      <w:r>
        <w:rPr>
          <w:rFonts w:ascii="MS PGothic" w:cs="MS PGothic" w:eastAsia="MS PGothic" w:hAnsi="MS PGothic"/>
          <w:sz w:val="13"/>
          <w:szCs w:val="13"/>
          <w:color w:val="auto"/>
        </w:rPr>
        <w:t>☐</w:t>
      </w:r>
    </w:p>
    <w:p>
      <w:pPr>
        <w:spacing w:after="0" w:line="132" w:lineRule="exact"/>
        <w:rPr>
          <w:sz w:val="20"/>
          <w:szCs w:val="20"/>
          <w:color w:val="auto"/>
        </w:rPr>
      </w:pPr>
    </w:p>
    <w:p>
      <w:pPr>
        <w:ind w:right="1100" w:firstLine="459"/>
        <w:spacing w:after="0" w:line="474" w:lineRule="auto"/>
        <w:tabs>
          <w:tab w:leader="none" w:pos="558" w:val="left"/>
        </w:tabs>
        <w:numPr>
          <w:ilvl w:val="0"/>
          <w:numId w:val="6"/>
        </w:numPr>
        <w:rPr>
          <w:rFonts w:ascii="Arial" w:cs="Arial" w:eastAsia="Arial" w:hAnsi="Arial"/>
          <w:sz w:val="13"/>
          <w:szCs w:val="13"/>
          <w:color w:val="auto"/>
        </w:rPr>
      </w:pPr>
      <w:r>
        <w:rPr>
          <w:rFonts w:ascii="Arial" w:cs="Arial" w:eastAsia="Arial" w:hAnsi="Arial"/>
          <w:sz w:val="13"/>
          <w:szCs w:val="13"/>
          <w:color w:val="auto"/>
        </w:rPr>
        <w:t>The term “new or revised financial accounting standard” refers to any update issued by the Financial Accounting Standards Board to its Accounting Standards Codification after April 5, 2012. Indicate by check mark which basis of accounting the registrant has used to prepare the financial statements included in this filing:</w:t>
      </w:r>
    </w:p>
    <w:p>
      <w:pPr>
        <w:sectPr>
          <w:pgSz w:w="11900" w:h="16838" w:orient="portrait"/>
          <w:cols w:equalWidth="0" w:num="1">
            <w:col w:w="11480"/>
          </w:cols>
          <w:pgMar w:left="220" w:top="689" w:right="199" w:bottom="1440" w:gutter="0" w:footer="0" w:header="0"/>
          <w:type w:val="continuous"/>
        </w:sectPr>
      </w:pPr>
    </w:p>
    <w:p>
      <w:pPr>
        <w:spacing w:after="0" w:line="1" w:lineRule="exact"/>
        <w:rPr>
          <w:sz w:val="20"/>
          <w:szCs w:val="20"/>
          <w:color w:val="auto"/>
        </w:rPr>
      </w:pPr>
    </w:p>
    <w:p>
      <w:pPr>
        <w:ind w:left="1060"/>
        <w:spacing w:after="0" w:line="138" w:lineRule="exact"/>
        <w:rPr>
          <w:sz w:val="20"/>
          <w:szCs w:val="20"/>
          <w:color w:val="auto"/>
        </w:rPr>
      </w:pPr>
      <w:r>
        <w:rPr>
          <w:rFonts w:ascii="MS PGothic" w:cs="MS PGothic" w:eastAsia="MS PGothic" w:hAnsi="MS PGothic"/>
          <w:sz w:val="12"/>
          <w:szCs w:val="12"/>
          <w:color w:val="auto"/>
        </w:rPr>
        <w:t>☐</w:t>
      </w:r>
      <w:r>
        <w:rPr>
          <w:rFonts w:ascii="Arial" w:cs="Arial" w:eastAsia="Arial" w:hAnsi="Arial"/>
          <w:sz w:val="12"/>
          <w:szCs w:val="12"/>
          <w:color w:val="auto"/>
        </w:rPr>
        <w:t xml:space="preserve"> U.S. GAAP</w:t>
      </w:r>
    </w:p>
    <w:p>
      <w:pPr>
        <w:spacing w:after="0" w:line="20" w:lineRule="exact"/>
        <w:rPr>
          <w:sz w:val="20"/>
          <w:szCs w:val="20"/>
          <w:color w:val="auto"/>
        </w:rPr>
      </w:pPr>
      <w:r>
        <w:rPr>
          <w:sz w:val="20"/>
          <w:szCs w:val="20"/>
          <w:color w:val="auto"/>
        </w:rPr>
        <w:br w:type="column"/>
      </w:r>
    </w:p>
    <w:p>
      <w:pPr>
        <w:spacing w:after="0"/>
        <w:tabs>
          <w:tab w:leader="none" w:pos="320" w:val="left"/>
        </w:tabs>
        <w:rPr>
          <w:sz w:val="20"/>
          <w:szCs w:val="20"/>
          <w:color w:val="auto"/>
        </w:rPr>
      </w:pPr>
      <w:r>
        <w:rPr>
          <w:rFonts w:ascii="MS PGothic" w:cs="MS PGothic" w:eastAsia="MS PGothic" w:hAnsi="MS PGothic"/>
          <w:sz w:val="11"/>
          <w:szCs w:val="11"/>
          <w:color w:val="auto"/>
        </w:rPr>
        <w:t>☒</w:t>
      </w:r>
      <w:r>
        <w:rPr>
          <w:sz w:val="20"/>
          <w:szCs w:val="20"/>
          <w:color w:val="auto"/>
        </w:rPr>
        <w:tab/>
      </w:r>
      <w:r>
        <w:rPr>
          <w:rFonts w:ascii="Arial" w:cs="Arial" w:eastAsia="Arial" w:hAnsi="Arial"/>
          <w:sz w:val="11"/>
          <w:szCs w:val="11"/>
          <w:color w:val="auto"/>
        </w:rPr>
        <w:t>International Financial Reporting Standards as issued</w:t>
      </w:r>
    </w:p>
    <w:p>
      <w:pPr>
        <w:spacing w:after="0" w:line="62" w:lineRule="exact"/>
        <w:rPr>
          <w:sz w:val="20"/>
          <w:szCs w:val="20"/>
          <w:color w:val="auto"/>
        </w:rPr>
      </w:pPr>
    </w:p>
    <w:p>
      <w:pPr>
        <w:ind w:left="340"/>
        <w:spacing w:after="0"/>
        <w:rPr>
          <w:sz w:val="20"/>
          <w:szCs w:val="20"/>
          <w:color w:val="auto"/>
        </w:rPr>
      </w:pPr>
      <w:r>
        <w:rPr>
          <w:rFonts w:ascii="Arial" w:cs="Arial" w:eastAsia="Arial" w:hAnsi="Arial"/>
          <w:sz w:val="12"/>
          <w:szCs w:val="12"/>
          <w:color w:val="auto"/>
        </w:rPr>
        <w:t>by the International Accounting Standards Board</w:t>
      </w:r>
    </w:p>
    <w:p>
      <w:pPr>
        <w:spacing w:after="0" w:line="20" w:lineRule="exact"/>
        <w:rPr>
          <w:sz w:val="20"/>
          <w:szCs w:val="20"/>
          <w:color w:val="auto"/>
        </w:rPr>
      </w:pPr>
      <w:r>
        <w:rPr>
          <w:sz w:val="20"/>
          <w:szCs w:val="20"/>
          <w:color w:val="auto"/>
        </w:rPr>
        <w:br w:type="column"/>
      </w:r>
    </w:p>
    <w:p>
      <w:pPr>
        <w:spacing w:after="0" w:line="108" w:lineRule="exact"/>
        <w:rPr>
          <w:sz w:val="20"/>
          <w:szCs w:val="20"/>
          <w:color w:val="auto"/>
        </w:rPr>
      </w:pPr>
      <w:r>
        <w:rPr>
          <w:rFonts w:ascii="MS PGothic" w:cs="MS PGothic" w:eastAsia="MS PGothic" w:hAnsi="MS PGothic"/>
          <w:sz w:val="11"/>
          <w:szCs w:val="11"/>
          <w:color w:val="auto"/>
        </w:rPr>
        <w:t>☐</w:t>
      </w:r>
      <w:r>
        <w:rPr>
          <w:rFonts w:ascii="Arial" w:cs="Arial" w:eastAsia="Arial" w:hAnsi="Arial"/>
          <w:sz w:val="11"/>
          <w:szCs w:val="11"/>
          <w:color w:val="auto"/>
        </w:rPr>
        <w:t xml:space="preserve"> Other</w:t>
      </w:r>
    </w:p>
    <w:p>
      <w:pPr>
        <w:spacing w:after="0" w:line="360" w:lineRule="exact"/>
        <w:rPr>
          <w:sz w:val="20"/>
          <w:szCs w:val="20"/>
          <w:color w:val="auto"/>
        </w:rPr>
      </w:pPr>
    </w:p>
    <w:p>
      <w:pPr>
        <w:sectPr>
          <w:pgSz w:w="11900" w:h="16838" w:orient="portrait"/>
          <w:cols w:equalWidth="0" w:num="3">
            <w:col w:w="2380" w:space="720"/>
            <w:col w:w="6000" w:space="720"/>
            <w:col w:w="1660"/>
          </w:cols>
          <w:pgMar w:left="220" w:top="689" w:right="199" w:bottom="1440" w:gutter="0" w:footer="0" w:header="0"/>
          <w:type w:val="continuous"/>
        </w:sectPr>
      </w:pPr>
    </w:p>
    <w:p>
      <w:pPr>
        <w:spacing w:after="0"/>
        <w:rPr>
          <w:sz w:val="20"/>
          <w:szCs w:val="20"/>
          <w:color w:val="auto"/>
        </w:rPr>
      </w:pPr>
      <w:r>
        <w:rPr>
          <w:rFonts w:ascii="Arial" w:cs="Arial" w:eastAsia="Arial" w:hAnsi="Arial"/>
          <w:sz w:val="11"/>
          <w:szCs w:val="11"/>
          <w:color w:val="auto"/>
        </w:rPr>
        <w:t>If “Other” has been checked in response to the previous question, indicate by check mark which financial statement item the registrant has elected to follow.</w:t>
      </w:r>
    </w:p>
    <w:p>
      <w:pPr>
        <w:spacing w:after="0" w:line="157" w:lineRule="exact"/>
        <w:rPr>
          <w:sz w:val="20"/>
          <w:szCs w:val="20"/>
          <w:color w:val="auto"/>
        </w:rPr>
      </w:pPr>
    </w:p>
    <w:p>
      <w:pPr>
        <w:ind w:left="3720"/>
        <w:spacing w:after="0" w:line="150" w:lineRule="exact"/>
        <w:tabs>
          <w:tab w:leader="none" w:pos="3900" w:val="left"/>
          <w:tab w:leader="none" w:pos="7140" w:val="left"/>
        </w:tabs>
        <w:rPr>
          <w:sz w:val="20"/>
          <w:szCs w:val="20"/>
          <w:color w:val="auto"/>
        </w:rPr>
      </w:pPr>
      <w:r>
        <w:rPr>
          <w:rFonts w:ascii="MS PGothic" w:cs="MS PGothic" w:eastAsia="MS PGothic" w:hAnsi="MS PGothic"/>
          <w:sz w:val="13"/>
          <w:szCs w:val="13"/>
          <w:color w:val="auto"/>
        </w:rPr>
        <w:t>☐</w:t>
      </w:r>
      <w:r>
        <w:rPr>
          <w:rFonts w:ascii="Arial" w:cs="Arial" w:eastAsia="Arial" w:hAnsi="Arial"/>
          <w:sz w:val="13"/>
          <w:szCs w:val="13"/>
          <w:color w:val="auto"/>
        </w:rPr>
        <w:tab/>
        <w:t>Item 17</w:t>
      </w:r>
      <w:r>
        <w:rPr>
          <w:sz w:val="20"/>
          <w:szCs w:val="20"/>
          <w:color w:val="auto"/>
        </w:rPr>
        <w:tab/>
      </w:r>
      <w:r>
        <w:rPr>
          <w:rFonts w:ascii="MS PGothic" w:cs="MS PGothic" w:eastAsia="MS PGothic" w:hAnsi="MS PGothic"/>
          <w:sz w:val="12"/>
          <w:szCs w:val="12"/>
          <w:color w:val="auto"/>
        </w:rPr>
        <w:t xml:space="preserve">☐ </w:t>
      </w:r>
      <w:r>
        <w:rPr>
          <w:rFonts w:ascii="Arial" w:cs="Arial" w:eastAsia="Arial" w:hAnsi="Arial"/>
          <w:sz w:val="12"/>
          <w:szCs w:val="12"/>
          <w:color w:val="auto"/>
        </w:rPr>
        <w:t>Item 18</w:t>
      </w:r>
    </w:p>
    <w:p>
      <w:pPr>
        <w:spacing w:after="0" w:line="183" w:lineRule="exact"/>
        <w:rPr>
          <w:sz w:val="20"/>
          <w:szCs w:val="20"/>
          <w:color w:val="auto"/>
        </w:rPr>
      </w:pPr>
    </w:p>
    <w:p>
      <w:pPr>
        <w:spacing w:after="0"/>
        <w:rPr>
          <w:sz w:val="20"/>
          <w:szCs w:val="20"/>
          <w:color w:val="auto"/>
        </w:rPr>
      </w:pPr>
      <w:r>
        <w:rPr>
          <w:rFonts w:ascii="Arial" w:cs="Arial" w:eastAsia="Arial" w:hAnsi="Arial"/>
          <w:sz w:val="13"/>
          <w:szCs w:val="13"/>
          <w:color w:val="auto"/>
        </w:rPr>
        <w:t>If this is an annual report, indicate by check mark whether the registrant is a shell company (as defined in Rule 12b-2 of the Exchange Act).</w:t>
      </w:r>
    </w:p>
    <w:p>
      <w:pPr>
        <w:spacing w:after="0" w:line="134" w:lineRule="exact"/>
        <w:rPr>
          <w:sz w:val="20"/>
          <w:szCs w:val="20"/>
          <w:color w:val="auto"/>
        </w:rPr>
      </w:pPr>
    </w:p>
    <w:p>
      <w:pPr>
        <w:ind w:left="3820"/>
        <w:spacing w:after="0" w:line="150" w:lineRule="exact"/>
        <w:tabs>
          <w:tab w:leader="none" w:pos="7260" w:val="left"/>
        </w:tabs>
        <w:rPr>
          <w:sz w:val="20"/>
          <w:szCs w:val="20"/>
          <w:color w:val="auto"/>
        </w:rPr>
      </w:pPr>
      <w:r>
        <w:rPr>
          <w:rFonts w:ascii="MS PGothic" w:cs="MS PGothic" w:eastAsia="MS PGothic" w:hAnsi="MS PGothic"/>
          <w:sz w:val="13"/>
          <w:szCs w:val="13"/>
          <w:color w:val="auto"/>
        </w:rPr>
        <w:t>☐</w:t>
      </w:r>
      <w:r>
        <w:rPr>
          <w:rFonts w:ascii="Arial" w:cs="Arial" w:eastAsia="Arial" w:hAnsi="Arial"/>
          <w:sz w:val="13"/>
          <w:szCs w:val="13"/>
          <w:color w:val="auto"/>
        </w:rPr>
        <w:t xml:space="preserve"> Yes</w:t>
      </w:r>
      <w:r>
        <w:rPr>
          <w:sz w:val="20"/>
          <w:szCs w:val="20"/>
          <w:color w:val="auto"/>
        </w:rPr>
        <w:tab/>
      </w:r>
      <w:r>
        <w:rPr>
          <w:rFonts w:ascii="MS PGothic" w:cs="MS PGothic" w:eastAsia="MS PGothic" w:hAnsi="MS PGothic"/>
          <w:sz w:val="13"/>
          <w:szCs w:val="13"/>
          <w:color w:val="auto"/>
        </w:rPr>
        <w:t xml:space="preserve">☒ </w:t>
      </w:r>
      <w:r>
        <w:rPr>
          <w:rFonts w:ascii="Arial" w:cs="Arial" w:eastAsia="Arial" w:hAnsi="Arial"/>
          <w:sz w:val="13"/>
          <w:szCs w:val="13"/>
          <w:color w:val="auto"/>
        </w:rPr>
        <w:t>No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121920</wp:posOffset>
            </wp:positionV>
            <wp:extent cx="7285990" cy="63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285990" cy="6350"/>
                    </a:xfrm>
                    <a:prstGeom prst="rect">
                      <a:avLst/>
                    </a:prstGeom>
                    <a:noFill/>
                  </pic:spPr>
                </pic:pic>
              </a:graphicData>
            </a:graphic>
          </wp:anchor>
        </w:drawing>
        <w:drawing>
          <wp:anchor simplePos="0" relativeHeight="251657728" behindDoc="1" locked="0" layoutInCell="0" allowOverlap="1">
            <wp:simplePos x="0" y="0"/>
            <wp:positionH relativeFrom="column">
              <wp:posOffset>-1270</wp:posOffset>
            </wp:positionH>
            <wp:positionV relativeFrom="paragraph">
              <wp:posOffset>133985</wp:posOffset>
            </wp:positionV>
            <wp:extent cx="7285990" cy="1841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285990" cy="18415"/>
                    </a:xfrm>
                    <a:prstGeom prst="rect">
                      <a:avLst/>
                    </a:prstGeom>
                    <a:noFill/>
                  </pic:spPr>
                </pic:pic>
              </a:graphicData>
            </a:graphic>
          </wp:anchor>
        </w:drawing>
        <w:drawing>
          <wp:anchor simplePos="0" relativeHeight="251657728" behindDoc="1" locked="0" layoutInCell="0" allowOverlap="1">
            <wp:simplePos x="0" y="0"/>
            <wp:positionH relativeFrom="column">
              <wp:posOffset>-1270</wp:posOffset>
            </wp:positionH>
            <wp:positionV relativeFrom="paragraph">
              <wp:posOffset>360680</wp:posOffset>
            </wp:positionV>
            <wp:extent cx="7285990" cy="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type w:val="continuous"/>
        </w:sectPr>
      </w:pPr>
    </w:p>
    <w:bookmarkStart w:id="2" w:name="page3"/>
    <w:bookmarkEnd w:id="2"/>
    <w:tbl>
      <w:tblPr>
        <w:tblLayout w:type="fixed"/>
        <w:tblInd w:w="0" w:type="dxa"/>
        <w:tblCellMar>
          <w:top w:w="0" w:type="dxa"/>
          <w:left w:w="0" w:type="dxa"/>
          <w:bottom w:w="0" w:type="dxa"/>
          <w:right w:w="0" w:type="dxa"/>
        </w:tblCellMar>
      </w:tblPr>
      <w:tr>
        <w:trPr>
          <w:trHeight w:val="166"/>
        </w:trPr>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4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4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7180" w:type="dxa"/>
            <w:vAlign w:val="bottom"/>
            <w:gridSpan w:val="3"/>
          </w:tcPr>
          <w:p>
            <w:pPr>
              <w:jc w:val="center"/>
              <w:ind w:right="3076"/>
              <w:spacing w:after="0"/>
              <w:rPr>
                <w:sz w:val="20"/>
                <w:szCs w:val="20"/>
                <w:color w:val="auto"/>
              </w:rPr>
            </w:pPr>
            <w:r>
              <w:rPr>
                <w:rFonts w:ascii="Arial" w:cs="Arial" w:eastAsia="Arial" w:hAnsi="Arial"/>
                <w:sz w:val="13"/>
                <w:szCs w:val="13"/>
                <w:b w:val="1"/>
                <w:bCs w:val="1"/>
                <w:color w:val="auto"/>
              </w:rPr>
              <w:t>BANCO LATINOAMERICANO DE COMERCIO EXTERIOR, S.A.</w:t>
            </w:r>
          </w:p>
        </w:tc>
        <w:tc>
          <w:tcPr>
            <w:tcW w:w="5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08"/>
        </w:trPr>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6720" w:type="dxa"/>
            <w:vAlign w:val="bottom"/>
          </w:tcPr>
          <w:p>
            <w:pPr>
              <w:jc w:val="center"/>
              <w:ind w:right="3556"/>
              <w:spacing w:after="0"/>
              <w:rPr>
                <w:sz w:val="20"/>
                <w:szCs w:val="20"/>
                <w:color w:val="auto"/>
              </w:rPr>
            </w:pPr>
            <w:r>
              <w:rPr>
                <w:rFonts w:ascii="Arial" w:cs="Arial" w:eastAsia="Arial" w:hAnsi="Arial"/>
                <w:sz w:val="13"/>
                <w:szCs w:val="13"/>
                <w:b w:val="1"/>
                <w:bCs w:val="1"/>
                <w:color w:val="auto"/>
                <w:w w:val="98"/>
              </w:rPr>
              <w:t>TABLE OF CONTENTS</w:t>
            </w:r>
          </w:p>
        </w:tc>
        <w:tc>
          <w:tcPr>
            <w:tcW w:w="5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08"/>
        </w:trPr>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6720" w:type="dxa"/>
            <w:vAlign w:val="bottom"/>
          </w:tcPr>
          <w:p>
            <w:pPr>
              <w:spacing w:after="0"/>
              <w:rPr>
                <w:sz w:val="24"/>
                <w:szCs w:val="24"/>
                <w:color w:val="auto"/>
              </w:rPr>
            </w:pPr>
          </w:p>
        </w:tc>
        <w:tc>
          <w:tcPr>
            <w:tcW w:w="600" w:type="dxa"/>
            <w:vAlign w:val="bottom"/>
            <w:gridSpan w:val="3"/>
          </w:tcPr>
          <w:p>
            <w:pPr>
              <w:ind w:left="160"/>
              <w:spacing w:after="0"/>
              <w:rPr>
                <w:sz w:val="20"/>
                <w:szCs w:val="20"/>
                <w:color w:val="auto"/>
              </w:rPr>
            </w:pPr>
            <w:r>
              <w:rPr>
                <w:rFonts w:ascii="Arial" w:cs="Arial" w:eastAsia="Arial" w:hAnsi="Arial"/>
                <w:sz w:val="13"/>
                <w:szCs w:val="13"/>
                <w:b w:val="1"/>
                <w:bCs w:val="1"/>
                <w:color w:val="auto"/>
              </w:rPr>
              <w:t>Page</w:t>
            </w: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8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4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720" w:type="dxa"/>
            <w:vAlign w:val="bottom"/>
          </w:tcPr>
          <w:p>
            <w:pPr>
              <w:spacing w:after="0"/>
              <w:rPr>
                <w:sz w:val="12"/>
                <w:szCs w:val="12"/>
                <w:color w:val="auto"/>
              </w:rPr>
            </w:pPr>
          </w:p>
        </w:tc>
        <w:tc>
          <w:tcPr>
            <w:tcW w:w="500" w:type="dxa"/>
            <w:vAlign w:val="bottom"/>
            <w:tcBorders>
              <w:top w:val="single" w:sz="8" w:color="auto"/>
            </w:tcBorders>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20" w:type="dxa"/>
            <w:vAlign w:val="bottom"/>
            <w:vMerge w:val="restart"/>
          </w:tcPr>
          <w:p>
            <w:pPr>
              <w:spacing w:after="0"/>
              <w:rPr>
                <w:sz w:val="12"/>
                <w:szCs w:val="12"/>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560" w:type="dxa"/>
            <w:vAlign w:val="bottom"/>
            <w:gridSpan w:val="4"/>
            <w:shd w:val="clear" w:color="auto" w:fill="CCEEFF"/>
          </w:tcPr>
          <w:p>
            <w:pPr>
              <w:spacing w:after="0" w:line="125" w:lineRule="exact"/>
              <w:rPr>
                <w:rFonts w:ascii="Arial" w:cs="Arial" w:eastAsia="Arial" w:hAnsi="Arial"/>
                <w:sz w:val="13"/>
                <w:szCs w:val="13"/>
                <w:b w:val="1"/>
                <w:bCs w:val="1"/>
                <w:color w:val="0000EE"/>
              </w:rPr>
            </w:pPr>
            <w:hyperlink w:anchor="page7">
              <w:r>
                <w:rPr>
                  <w:rFonts w:ascii="Arial" w:cs="Arial" w:eastAsia="Arial" w:hAnsi="Arial"/>
                  <w:sz w:val="13"/>
                  <w:szCs w:val="13"/>
                  <w:b w:val="1"/>
                  <w:bCs w:val="1"/>
                  <w:color w:val="0000EE"/>
                </w:rPr>
                <w:t>PART I</w:t>
              </w:r>
            </w:hyperlink>
          </w:p>
        </w:tc>
        <w:tc>
          <w:tcPr>
            <w:tcW w:w="420" w:type="dxa"/>
            <w:vAlign w:val="bottom"/>
            <w:shd w:val="clear" w:color="auto" w:fill="CCEEFF"/>
          </w:tcPr>
          <w:p>
            <w:pPr>
              <w:spacing w:after="0"/>
              <w:rPr>
                <w:sz w:val="11"/>
                <w:szCs w:val="11"/>
                <w:color w:val="auto"/>
              </w:rPr>
            </w:pPr>
          </w:p>
        </w:tc>
        <w:tc>
          <w:tcPr>
            <w:tcW w:w="220" w:type="dxa"/>
            <w:vAlign w:val="bottom"/>
            <w:tcBorders>
              <w:right w:val="single" w:sz="8" w:color="CCEEFF"/>
            </w:tcBorders>
            <w:shd w:val="clear" w:color="auto" w:fill="CCEEFF"/>
          </w:tcPr>
          <w:p>
            <w:pPr>
              <w:spacing w:after="0"/>
              <w:rPr>
                <w:sz w:val="11"/>
                <w:szCs w:val="11"/>
                <w:color w:val="auto"/>
              </w:rPr>
            </w:pPr>
          </w:p>
        </w:tc>
        <w:tc>
          <w:tcPr>
            <w:tcW w:w="160" w:type="dxa"/>
            <w:vAlign w:val="bottom"/>
            <w:tcBorders>
              <w:right w:val="single" w:sz="8" w:color="CCEEFF"/>
            </w:tcBorders>
            <w:shd w:val="clear" w:color="auto" w:fill="CCEEFF"/>
          </w:tcPr>
          <w:p>
            <w:pPr>
              <w:spacing w:after="0"/>
              <w:rPr>
                <w:sz w:val="11"/>
                <w:szCs w:val="11"/>
                <w:color w:val="auto"/>
              </w:rPr>
            </w:pPr>
          </w:p>
        </w:tc>
        <w:tc>
          <w:tcPr>
            <w:tcW w:w="120" w:type="dxa"/>
            <w:vAlign w:val="bottom"/>
            <w:tcBorders>
              <w:right w:val="single" w:sz="8" w:color="CCEEFF"/>
            </w:tcBorders>
            <w:shd w:val="clear" w:color="auto" w:fill="CCEEFF"/>
          </w:tcPr>
          <w:p>
            <w:pPr>
              <w:spacing w:after="0"/>
              <w:rPr>
                <w:sz w:val="11"/>
                <w:szCs w:val="11"/>
                <w:color w:val="auto"/>
              </w:rPr>
            </w:pPr>
          </w:p>
        </w:tc>
        <w:tc>
          <w:tcPr>
            <w:tcW w:w="140" w:type="dxa"/>
            <w:vAlign w:val="bottom"/>
            <w:tcBorders>
              <w:left w:val="single" w:sz="8" w:color="CCEEFF"/>
              <w:right w:val="single" w:sz="8" w:color="CCEEFF"/>
            </w:tcBorders>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tcBorders>
              <w:right w:val="single" w:sz="8" w:color="CCEEFF"/>
            </w:tcBorders>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80" w:type="dxa"/>
            <w:vAlign w:val="bottom"/>
            <w:tcBorders>
              <w:right w:val="single" w:sz="8" w:color="CCEEFF"/>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40" w:type="dxa"/>
            <w:vAlign w:val="bottom"/>
            <w:tcBorders>
              <w:right w:val="single" w:sz="8" w:color="CCEEFF"/>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3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420" w:type="dxa"/>
            <w:vAlign w:val="bottom"/>
            <w:tcBorders>
              <w:right w:val="single" w:sz="8" w:color="CCEEFF"/>
            </w:tcBorders>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180" w:type="dxa"/>
            <w:vAlign w:val="bottom"/>
            <w:tcBorders>
              <w:left w:val="single" w:sz="8" w:color="CCEEFF"/>
            </w:tcBorders>
            <w:shd w:val="clear" w:color="auto" w:fill="CCEEFF"/>
          </w:tcPr>
          <w:p>
            <w:pPr>
              <w:spacing w:after="0"/>
              <w:rPr>
                <w:sz w:val="11"/>
                <w:szCs w:val="11"/>
                <w:color w:val="auto"/>
              </w:rPr>
            </w:pPr>
          </w:p>
        </w:tc>
        <w:tc>
          <w:tcPr>
            <w:tcW w:w="3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720" w:type="dxa"/>
            <w:vAlign w:val="bottom"/>
            <w:shd w:val="clear" w:color="auto" w:fill="CCEEFF"/>
          </w:tcPr>
          <w:p>
            <w:pPr>
              <w:spacing w:after="0"/>
              <w:rPr>
                <w:sz w:val="11"/>
                <w:szCs w:val="11"/>
                <w:color w:val="auto"/>
              </w:rPr>
            </w:pPr>
          </w:p>
        </w:tc>
        <w:tc>
          <w:tcPr>
            <w:tcW w:w="580" w:type="dxa"/>
            <w:vAlign w:val="bottom"/>
            <w:gridSpan w:val="2"/>
            <w:shd w:val="clear" w:color="auto" w:fill="CCEEFF"/>
          </w:tcPr>
          <w:p>
            <w:pPr>
              <w:jc w:val="right"/>
              <w:spacing w:after="0" w:line="125" w:lineRule="exact"/>
              <w:rPr>
                <w:rFonts w:ascii="Arial" w:cs="Arial" w:eastAsia="Arial" w:hAnsi="Arial"/>
                <w:sz w:val="13"/>
                <w:szCs w:val="13"/>
                <w:b w:val="1"/>
                <w:bCs w:val="1"/>
                <w:color w:val="0000EE"/>
              </w:rPr>
            </w:pPr>
            <w:hyperlink w:anchor="page7">
              <w:r>
                <w:rPr>
                  <w:rFonts w:ascii="Arial" w:cs="Arial" w:eastAsia="Arial" w:hAnsi="Arial"/>
                  <w:sz w:val="13"/>
                  <w:szCs w:val="13"/>
                  <w:b w:val="1"/>
                  <w:bCs w:val="1"/>
                  <w:color w:val="0000EE"/>
                </w:rPr>
                <w:t>5</w:t>
              </w:r>
            </w:hyperlink>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280" w:type="dxa"/>
            <w:vAlign w:val="bottom"/>
            <w:tcBorders>
              <w:top w:val="single" w:sz="8" w:color="0000EE"/>
            </w:tcBorders>
          </w:tcPr>
          <w:p>
            <w:pPr>
              <w:spacing w:after="0"/>
              <w:rPr>
                <w:sz w:val="13"/>
                <w:szCs w:val="13"/>
                <w:color w:val="auto"/>
              </w:rPr>
            </w:pPr>
          </w:p>
        </w:tc>
        <w:tc>
          <w:tcPr>
            <w:tcW w:w="100" w:type="dxa"/>
            <w:vAlign w:val="bottom"/>
            <w:tcBorders>
              <w:top w:val="single" w:sz="8" w:color="CCEEFF"/>
            </w:tcBorders>
          </w:tcPr>
          <w:p>
            <w:pPr>
              <w:spacing w:after="0"/>
              <w:rPr>
                <w:sz w:val="13"/>
                <w:szCs w:val="13"/>
                <w:color w:val="auto"/>
              </w:rPr>
            </w:pPr>
          </w:p>
        </w:tc>
        <w:tc>
          <w:tcPr>
            <w:tcW w:w="100" w:type="dxa"/>
            <w:vAlign w:val="bottom"/>
            <w:tcBorders>
              <w:top w:val="single" w:sz="8" w:color="CCEEFF"/>
            </w:tcBorders>
          </w:tcPr>
          <w:p>
            <w:pPr>
              <w:spacing w:after="0"/>
              <w:rPr>
                <w:sz w:val="13"/>
                <w:szCs w:val="13"/>
                <w:color w:val="auto"/>
              </w:rPr>
            </w:pPr>
          </w:p>
        </w:tc>
        <w:tc>
          <w:tcPr>
            <w:tcW w:w="420" w:type="dxa"/>
            <w:vAlign w:val="bottom"/>
            <w:tcBorders>
              <w:top w:val="single" w:sz="8" w:color="CCEEFF"/>
            </w:tcBorders>
          </w:tcPr>
          <w:p>
            <w:pPr>
              <w:spacing w:after="0"/>
              <w:rPr>
                <w:sz w:val="13"/>
                <w:szCs w:val="13"/>
                <w:color w:val="auto"/>
              </w:rPr>
            </w:pPr>
          </w:p>
        </w:tc>
        <w:tc>
          <w:tcPr>
            <w:tcW w:w="220" w:type="dxa"/>
            <w:vAlign w:val="bottom"/>
            <w:tcBorders>
              <w:top w:val="single" w:sz="8" w:color="CCEEFF"/>
            </w:tcBorders>
          </w:tcPr>
          <w:p>
            <w:pPr>
              <w:spacing w:after="0"/>
              <w:rPr>
                <w:sz w:val="13"/>
                <w:szCs w:val="13"/>
                <w:color w:val="auto"/>
              </w:rPr>
            </w:pPr>
          </w:p>
        </w:tc>
        <w:tc>
          <w:tcPr>
            <w:tcW w:w="160" w:type="dxa"/>
            <w:vAlign w:val="bottom"/>
            <w:tcBorders>
              <w:top w:val="single" w:sz="8" w:color="CCEEFF"/>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140" w:type="dxa"/>
            <w:vAlign w:val="bottom"/>
            <w:tcBorders>
              <w:top w:val="single" w:sz="8" w:color="CCEEFF"/>
            </w:tcBorders>
          </w:tcPr>
          <w:p>
            <w:pPr>
              <w:spacing w:after="0"/>
              <w:rPr>
                <w:sz w:val="13"/>
                <w:szCs w:val="13"/>
                <w:color w:val="auto"/>
              </w:rPr>
            </w:pPr>
          </w:p>
        </w:tc>
        <w:tc>
          <w:tcPr>
            <w:tcW w:w="160" w:type="dxa"/>
            <w:vAlign w:val="bottom"/>
            <w:tcBorders>
              <w:top w:val="single" w:sz="8" w:color="CCEEFF"/>
            </w:tcBorders>
          </w:tcPr>
          <w:p>
            <w:pPr>
              <w:spacing w:after="0"/>
              <w:rPr>
                <w:sz w:val="13"/>
                <w:szCs w:val="13"/>
                <w:color w:val="auto"/>
              </w:rPr>
            </w:pPr>
          </w:p>
        </w:tc>
        <w:tc>
          <w:tcPr>
            <w:tcW w:w="60" w:type="dxa"/>
            <w:vAlign w:val="bottom"/>
            <w:tcBorders>
              <w:top w:val="single" w:sz="8" w:color="CCEEFF"/>
            </w:tcBorders>
          </w:tcPr>
          <w:p>
            <w:pPr>
              <w:spacing w:after="0"/>
              <w:rPr>
                <w:sz w:val="13"/>
                <w:szCs w:val="13"/>
                <w:color w:val="auto"/>
              </w:rPr>
            </w:pPr>
          </w:p>
        </w:tc>
        <w:tc>
          <w:tcPr>
            <w:tcW w:w="10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20" w:type="dxa"/>
            <w:vAlign w:val="bottom"/>
            <w:tcBorders>
              <w:top w:val="single" w:sz="8" w:color="CCEEFF"/>
            </w:tcBorders>
          </w:tcPr>
          <w:p>
            <w:pPr>
              <w:spacing w:after="0"/>
              <w:rPr>
                <w:sz w:val="13"/>
                <w:szCs w:val="13"/>
                <w:color w:val="auto"/>
              </w:rPr>
            </w:pPr>
          </w:p>
        </w:tc>
        <w:tc>
          <w:tcPr>
            <w:tcW w:w="4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32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42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300" w:type="dxa"/>
            <w:vAlign w:val="bottom"/>
            <w:tcBorders>
              <w:top w:val="single" w:sz="8" w:color="CCEEFF"/>
            </w:tcBorders>
          </w:tcPr>
          <w:p>
            <w:pPr>
              <w:spacing w:after="0"/>
              <w:rPr>
                <w:sz w:val="13"/>
                <w:szCs w:val="13"/>
                <w:color w:val="auto"/>
              </w:rPr>
            </w:pPr>
          </w:p>
        </w:tc>
        <w:tc>
          <w:tcPr>
            <w:tcW w:w="160" w:type="dxa"/>
            <w:vAlign w:val="bottom"/>
            <w:tcBorders>
              <w:top w:val="single" w:sz="8" w:color="CCEEFF"/>
            </w:tcBorders>
          </w:tcPr>
          <w:p>
            <w:pPr>
              <w:spacing w:after="0"/>
              <w:rPr>
                <w:sz w:val="13"/>
                <w:szCs w:val="13"/>
                <w:color w:val="auto"/>
              </w:rPr>
            </w:pPr>
          </w:p>
        </w:tc>
        <w:tc>
          <w:tcPr>
            <w:tcW w:w="6720" w:type="dxa"/>
            <w:vAlign w:val="bottom"/>
            <w:tcBorders>
              <w:top w:val="single" w:sz="8" w:color="CCEEFF"/>
            </w:tcBorders>
          </w:tcPr>
          <w:p>
            <w:pPr>
              <w:spacing w:after="0"/>
              <w:rPr>
                <w:sz w:val="13"/>
                <w:szCs w:val="13"/>
                <w:color w:val="auto"/>
              </w:rPr>
            </w:pPr>
          </w:p>
        </w:tc>
        <w:tc>
          <w:tcPr>
            <w:tcW w:w="500" w:type="dxa"/>
            <w:vAlign w:val="bottom"/>
            <w:tcBorders>
              <w:top w:val="single" w:sz="8" w:color="CCEEFF"/>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560" w:type="dxa"/>
            <w:vAlign w:val="bottom"/>
            <w:gridSpan w:val="4"/>
            <w:shd w:val="clear" w:color="auto" w:fill="CCEEFF"/>
          </w:tcPr>
          <w:p>
            <w:pPr>
              <w:spacing w:after="0" w:line="125" w:lineRule="exact"/>
              <w:rPr>
                <w:rFonts w:ascii="Arial" w:cs="Arial" w:eastAsia="Arial" w:hAnsi="Arial"/>
                <w:sz w:val="13"/>
                <w:szCs w:val="13"/>
                <w:b w:val="1"/>
                <w:bCs w:val="1"/>
                <w:color w:val="0000EE"/>
              </w:rPr>
            </w:pPr>
            <w:hyperlink w:anchor="page7">
              <w:r>
                <w:rPr>
                  <w:rFonts w:ascii="Arial" w:cs="Arial" w:eastAsia="Arial" w:hAnsi="Arial"/>
                  <w:sz w:val="13"/>
                  <w:szCs w:val="13"/>
                  <w:b w:val="1"/>
                  <w:bCs w:val="1"/>
                  <w:color w:val="0000EE"/>
                </w:rPr>
                <w:t>Item 1.</w:t>
              </w:r>
            </w:hyperlink>
          </w:p>
        </w:tc>
        <w:tc>
          <w:tcPr>
            <w:tcW w:w="420" w:type="dxa"/>
            <w:vAlign w:val="bottom"/>
            <w:shd w:val="clear" w:color="auto" w:fill="CCEEFF"/>
          </w:tcPr>
          <w:p>
            <w:pPr>
              <w:spacing w:after="0"/>
              <w:rPr>
                <w:sz w:val="11"/>
                <w:szCs w:val="11"/>
                <w:color w:val="auto"/>
              </w:rPr>
            </w:pPr>
          </w:p>
        </w:tc>
        <w:tc>
          <w:tcPr>
            <w:tcW w:w="220" w:type="dxa"/>
            <w:vAlign w:val="bottom"/>
            <w:tcBorders>
              <w:right w:val="single" w:sz="8" w:color="CCEEFF"/>
            </w:tcBorders>
            <w:shd w:val="clear" w:color="auto" w:fill="CCEEFF"/>
          </w:tcPr>
          <w:p>
            <w:pPr>
              <w:spacing w:after="0"/>
              <w:rPr>
                <w:sz w:val="11"/>
                <w:szCs w:val="11"/>
                <w:color w:val="auto"/>
              </w:rPr>
            </w:pPr>
          </w:p>
        </w:tc>
        <w:tc>
          <w:tcPr>
            <w:tcW w:w="9680" w:type="dxa"/>
            <w:vAlign w:val="bottom"/>
            <w:gridSpan w:val="20"/>
            <w:shd w:val="clear" w:color="auto" w:fill="CCEEFF"/>
          </w:tcPr>
          <w:p>
            <w:pPr>
              <w:spacing w:after="0" w:line="125" w:lineRule="exact"/>
              <w:rPr>
                <w:rFonts w:ascii="Arial" w:cs="Arial" w:eastAsia="Arial" w:hAnsi="Arial"/>
                <w:sz w:val="13"/>
                <w:szCs w:val="13"/>
                <w:b w:val="1"/>
                <w:bCs w:val="1"/>
                <w:color w:val="0000EE"/>
              </w:rPr>
            </w:pPr>
            <w:hyperlink w:anchor="page7">
              <w:r>
                <w:rPr>
                  <w:rFonts w:ascii="Arial" w:cs="Arial" w:eastAsia="Arial" w:hAnsi="Arial"/>
                  <w:sz w:val="13"/>
                  <w:szCs w:val="13"/>
                  <w:b w:val="1"/>
                  <w:bCs w:val="1"/>
                  <w:color w:val="0000EE"/>
                </w:rPr>
                <w:t>Identity of Directors, Senior Management and Advisers</w:t>
              </w:r>
            </w:hyperlink>
          </w:p>
        </w:tc>
        <w:tc>
          <w:tcPr>
            <w:tcW w:w="580" w:type="dxa"/>
            <w:vAlign w:val="bottom"/>
            <w:gridSpan w:val="2"/>
            <w:shd w:val="clear" w:color="auto" w:fill="CCEEFF"/>
          </w:tcPr>
          <w:p>
            <w:pPr>
              <w:jc w:val="right"/>
              <w:spacing w:after="0" w:line="125" w:lineRule="exact"/>
              <w:rPr>
                <w:rFonts w:ascii="Arial" w:cs="Arial" w:eastAsia="Arial" w:hAnsi="Arial"/>
                <w:sz w:val="13"/>
                <w:szCs w:val="13"/>
                <w:b w:val="1"/>
                <w:bCs w:val="1"/>
                <w:color w:val="0000EE"/>
              </w:rPr>
            </w:pPr>
            <w:hyperlink w:anchor="page7">
              <w:r>
                <w:rPr>
                  <w:rFonts w:ascii="Arial" w:cs="Arial" w:eastAsia="Arial" w:hAnsi="Arial"/>
                  <w:sz w:val="13"/>
                  <w:szCs w:val="13"/>
                  <w:b w:val="1"/>
                  <w:bCs w:val="1"/>
                  <w:color w:val="0000EE"/>
                </w:rPr>
                <w:t>5</w:t>
              </w:r>
            </w:hyperlink>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280" w:type="dxa"/>
            <w:vAlign w:val="bottom"/>
            <w:tcBorders>
              <w:top w:val="single" w:sz="8" w:color="0000EE"/>
            </w:tcBorders>
          </w:tcPr>
          <w:p>
            <w:pPr>
              <w:spacing w:after="0"/>
              <w:rPr>
                <w:sz w:val="13"/>
                <w:szCs w:val="13"/>
                <w:color w:val="auto"/>
              </w:rPr>
            </w:pPr>
          </w:p>
        </w:tc>
        <w:tc>
          <w:tcPr>
            <w:tcW w:w="100" w:type="dxa"/>
            <w:vAlign w:val="bottom"/>
            <w:tcBorders>
              <w:top w:val="single" w:sz="8" w:color="CCEEFF"/>
            </w:tcBorders>
          </w:tcPr>
          <w:p>
            <w:pPr>
              <w:spacing w:after="0"/>
              <w:rPr>
                <w:sz w:val="13"/>
                <w:szCs w:val="13"/>
                <w:color w:val="auto"/>
              </w:rPr>
            </w:pPr>
          </w:p>
        </w:tc>
        <w:tc>
          <w:tcPr>
            <w:tcW w:w="100" w:type="dxa"/>
            <w:vAlign w:val="bottom"/>
            <w:tcBorders>
              <w:top w:val="single" w:sz="8" w:color="CCEEFF"/>
            </w:tcBorders>
          </w:tcPr>
          <w:p>
            <w:pPr>
              <w:spacing w:after="0"/>
              <w:rPr>
                <w:sz w:val="13"/>
                <w:szCs w:val="13"/>
                <w:color w:val="auto"/>
              </w:rPr>
            </w:pPr>
          </w:p>
        </w:tc>
        <w:tc>
          <w:tcPr>
            <w:tcW w:w="420" w:type="dxa"/>
            <w:vAlign w:val="bottom"/>
            <w:tcBorders>
              <w:top w:val="single" w:sz="8" w:color="CCEEFF"/>
            </w:tcBorders>
          </w:tcPr>
          <w:p>
            <w:pPr>
              <w:spacing w:after="0"/>
              <w:rPr>
                <w:sz w:val="13"/>
                <w:szCs w:val="13"/>
                <w:color w:val="auto"/>
              </w:rPr>
            </w:pPr>
          </w:p>
        </w:tc>
        <w:tc>
          <w:tcPr>
            <w:tcW w:w="220" w:type="dxa"/>
            <w:vAlign w:val="bottom"/>
            <w:tcBorders>
              <w:top w:val="single" w:sz="8" w:color="CCEEFF"/>
            </w:tcBorders>
          </w:tcPr>
          <w:p>
            <w:pPr>
              <w:spacing w:after="0"/>
              <w:rPr>
                <w:sz w:val="13"/>
                <w:szCs w:val="13"/>
                <w:color w:val="auto"/>
              </w:rPr>
            </w:pPr>
          </w:p>
        </w:tc>
        <w:tc>
          <w:tcPr>
            <w:tcW w:w="160" w:type="dxa"/>
            <w:vAlign w:val="bottom"/>
            <w:tcBorders>
              <w:top w:val="single" w:sz="8" w:color="0000EE"/>
            </w:tcBorders>
          </w:tcPr>
          <w:p>
            <w:pPr>
              <w:spacing w:after="0"/>
              <w:rPr>
                <w:sz w:val="13"/>
                <w:szCs w:val="13"/>
                <w:color w:val="auto"/>
              </w:rPr>
            </w:pPr>
          </w:p>
        </w:tc>
        <w:tc>
          <w:tcPr>
            <w:tcW w:w="120" w:type="dxa"/>
            <w:vAlign w:val="bottom"/>
            <w:tcBorders>
              <w:top w:val="single" w:sz="8" w:color="0000EE"/>
            </w:tcBorders>
          </w:tcPr>
          <w:p>
            <w:pPr>
              <w:spacing w:after="0"/>
              <w:rPr>
                <w:sz w:val="13"/>
                <w:szCs w:val="13"/>
                <w:color w:val="auto"/>
              </w:rPr>
            </w:pPr>
          </w:p>
        </w:tc>
        <w:tc>
          <w:tcPr>
            <w:tcW w:w="140" w:type="dxa"/>
            <w:vAlign w:val="bottom"/>
            <w:tcBorders>
              <w:top w:val="single" w:sz="8" w:color="0000EE"/>
            </w:tcBorders>
          </w:tcPr>
          <w:p>
            <w:pPr>
              <w:spacing w:after="0"/>
              <w:rPr>
                <w:sz w:val="13"/>
                <w:szCs w:val="13"/>
                <w:color w:val="auto"/>
              </w:rPr>
            </w:pPr>
          </w:p>
        </w:tc>
        <w:tc>
          <w:tcPr>
            <w:tcW w:w="160" w:type="dxa"/>
            <w:vAlign w:val="bottom"/>
            <w:tcBorders>
              <w:top w:val="single" w:sz="8" w:color="0000EE"/>
            </w:tcBorders>
          </w:tcPr>
          <w:p>
            <w:pPr>
              <w:spacing w:after="0"/>
              <w:rPr>
                <w:sz w:val="13"/>
                <w:szCs w:val="13"/>
                <w:color w:val="auto"/>
              </w:rPr>
            </w:pPr>
          </w:p>
        </w:tc>
        <w:tc>
          <w:tcPr>
            <w:tcW w:w="60" w:type="dxa"/>
            <w:vAlign w:val="bottom"/>
            <w:tcBorders>
              <w:top w:val="single" w:sz="8" w:color="0000EE"/>
            </w:tcBorders>
          </w:tcPr>
          <w:p>
            <w:pPr>
              <w:spacing w:after="0"/>
              <w:rPr>
                <w:sz w:val="13"/>
                <w:szCs w:val="13"/>
                <w:color w:val="auto"/>
              </w:rPr>
            </w:pPr>
          </w:p>
        </w:tc>
        <w:tc>
          <w:tcPr>
            <w:tcW w:w="100" w:type="dxa"/>
            <w:vAlign w:val="bottom"/>
            <w:tcBorders>
              <w:top w:val="single" w:sz="8" w:color="0000EE"/>
            </w:tcBorders>
          </w:tcPr>
          <w:p>
            <w:pPr>
              <w:spacing w:after="0"/>
              <w:rPr>
                <w:sz w:val="13"/>
                <w:szCs w:val="13"/>
                <w:color w:val="auto"/>
              </w:rPr>
            </w:pPr>
          </w:p>
        </w:tc>
        <w:tc>
          <w:tcPr>
            <w:tcW w:w="18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20" w:type="dxa"/>
            <w:vAlign w:val="bottom"/>
            <w:tcBorders>
              <w:top w:val="single" w:sz="8" w:color="0000EE"/>
            </w:tcBorders>
          </w:tcPr>
          <w:p>
            <w:pPr>
              <w:spacing w:after="0"/>
              <w:rPr>
                <w:sz w:val="13"/>
                <w:szCs w:val="13"/>
                <w:color w:val="auto"/>
              </w:rPr>
            </w:pPr>
          </w:p>
        </w:tc>
        <w:tc>
          <w:tcPr>
            <w:tcW w:w="4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32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180" w:type="dxa"/>
            <w:vAlign w:val="bottom"/>
            <w:tcBorders>
              <w:top w:val="single" w:sz="8" w:color="0000EE"/>
            </w:tcBorders>
          </w:tcPr>
          <w:p>
            <w:pPr>
              <w:spacing w:after="0"/>
              <w:rPr>
                <w:sz w:val="13"/>
                <w:szCs w:val="13"/>
                <w:color w:val="auto"/>
              </w:rPr>
            </w:pPr>
          </w:p>
        </w:tc>
        <w:tc>
          <w:tcPr>
            <w:tcW w:w="420" w:type="dxa"/>
            <w:vAlign w:val="bottom"/>
            <w:tcBorders>
              <w:top w:val="single" w:sz="8" w:color="0000EE"/>
            </w:tcBorders>
          </w:tcPr>
          <w:p>
            <w:pPr>
              <w:spacing w:after="0"/>
              <w:rPr>
                <w:sz w:val="13"/>
                <w:szCs w:val="13"/>
                <w:color w:val="auto"/>
              </w:rPr>
            </w:pPr>
          </w:p>
        </w:tc>
        <w:tc>
          <w:tcPr>
            <w:tcW w:w="180" w:type="dxa"/>
            <w:vAlign w:val="bottom"/>
            <w:tcBorders>
              <w:top w:val="single" w:sz="8" w:color="0000EE"/>
            </w:tcBorders>
          </w:tcPr>
          <w:p>
            <w:pPr>
              <w:spacing w:after="0"/>
              <w:rPr>
                <w:sz w:val="13"/>
                <w:szCs w:val="13"/>
                <w:color w:val="auto"/>
              </w:rPr>
            </w:pPr>
          </w:p>
        </w:tc>
        <w:tc>
          <w:tcPr>
            <w:tcW w:w="180" w:type="dxa"/>
            <w:vAlign w:val="bottom"/>
            <w:tcBorders>
              <w:top w:val="single" w:sz="8" w:color="0000EE"/>
            </w:tcBorders>
          </w:tcPr>
          <w:p>
            <w:pPr>
              <w:spacing w:after="0"/>
              <w:rPr>
                <w:sz w:val="13"/>
                <w:szCs w:val="13"/>
                <w:color w:val="auto"/>
              </w:rPr>
            </w:pPr>
          </w:p>
        </w:tc>
        <w:tc>
          <w:tcPr>
            <w:tcW w:w="300" w:type="dxa"/>
            <w:vAlign w:val="bottom"/>
            <w:tcBorders>
              <w:top w:val="single" w:sz="8" w:color="0000EE"/>
            </w:tcBorders>
          </w:tcPr>
          <w:p>
            <w:pPr>
              <w:spacing w:after="0"/>
              <w:rPr>
                <w:sz w:val="13"/>
                <w:szCs w:val="13"/>
                <w:color w:val="auto"/>
              </w:rPr>
            </w:pPr>
          </w:p>
        </w:tc>
        <w:tc>
          <w:tcPr>
            <w:tcW w:w="160" w:type="dxa"/>
            <w:vAlign w:val="bottom"/>
            <w:tcBorders>
              <w:top w:val="single" w:sz="8" w:color="0000EE"/>
            </w:tcBorders>
          </w:tcPr>
          <w:p>
            <w:pPr>
              <w:spacing w:after="0"/>
              <w:rPr>
                <w:sz w:val="13"/>
                <w:szCs w:val="13"/>
                <w:color w:val="auto"/>
              </w:rPr>
            </w:pPr>
          </w:p>
        </w:tc>
        <w:tc>
          <w:tcPr>
            <w:tcW w:w="6720" w:type="dxa"/>
            <w:vAlign w:val="bottom"/>
            <w:tcBorders>
              <w:top w:val="single" w:sz="8" w:color="CCEEFF"/>
            </w:tcBorders>
          </w:tcPr>
          <w:p>
            <w:pPr>
              <w:spacing w:after="0"/>
              <w:rPr>
                <w:sz w:val="13"/>
                <w:szCs w:val="13"/>
                <w:color w:val="auto"/>
              </w:rPr>
            </w:pPr>
          </w:p>
        </w:tc>
        <w:tc>
          <w:tcPr>
            <w:tcW w:w="500" w:type="dxa"/>
            <w:vAlign w:val="bottom"/>
            <w:tcBorders>
              <w:top w:val="single" w:sz="8" w:color="CCEEFF"/>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560" w:type="dxa"/>
            <w:vAlign w:val="bottom"/>
            <w:gridSpan w:val="4"/>
            <w:shd w:val="clear" w:color="auto" w:fill="CCEEFF"/>
          </w:tcPr>
          <w:p>
            <w:pPr>
              <w:spacing w:after="0" w:line="125" w:lineRule="exact"/>
              <w:rPr>
                <w:rFonts w:ascii="Arial" w:cs="Arial" w:eastAsia="Arial" w:hAnsi="Arial"/>
                <w:sz w:val="13"/>
                <w:szCs w:val="13"/>
                <w:b w:val="1"/>
                <w:bCs w:val="1"/>
                <w:color w:val="0000EE"/>
              </w:rPr>
            </w:pPr>
            <w:hyperlink w:anchor="page7">
              <w:r>
                <w:rPr>
                  <w:rFonts w:ascii="Arial" w:cs="Arial" w:eastAsia="Arial" w:hAnsi="Arial"/>
                  <w:sz w:val="13"/>
                  <w:szCs w:val="13"/>
                  <w:b w:val="1"/>
                  <w:bCs w:val="1"/>
                  <w:color w:val="0000EE"/>
                </w:rPr>
                <w:t>Item 2.</w:t>
              </w:r>
            </w:hyperlink>
          </w:p>
        </w:tc>
        <w:tc>
          <w:tcPr>
            <w:tcW w:w="420" w:type="dxa"/>
            <w:vAlign w:val="bottom"/>
            <w:shd w:val="clear" w:color="auto" w:fill="CCEEFF"/>
          </w:tcPr>
          <w:p>
            <w:pPr>
              <w:spacing w:after="0"/>
              <w:rPr>
                <w:sz w:val="11"/>
                <w:szCs w:val="11"/>
                <w:color w:val="auto"/>
              </w:rPr>
            </w:pPr>
          </w:p>
        </w:tc>
        <w:tc>
          <w:tcPr>
            <w:tcW w:w="220" w:type="dxa"/>
            <w:vAlign w:val="bottom"/>
            <w:tcBorders>
              <w:right w:val="single" w:sz="8" w:color="CCEEFF"/>
            </w:tcBorders>
            <w:shd w:val="clear" w:color="auto" w:fill="CCEEFF"/>
          </w:tcPr>
          <w:p>
            <w:pPr>
              <w:spacing w:after="0"/>
              <w:rPr>
                <w:sz w:val="11"/>
                <w:szCs w:val="11"/>
                <w:color w:val="auto"/>
              </w:rPr>
            </w:pPr>
          </w:p>
        </w:tc>
        <w:tc>
          <w:tcPr>
            <w:tcW w:w="9680" w:type="dxa"/>
            <w:vAlign w:val="bottom"/>
            <w:gridSpan w:val="20"/>
            <w:shd w:val="clear" w:color="auto" w:fill="CCEEFF"/>
          </w:tcPr>
          <w:p>
            <w:pPr>
              <w:spacing w:after="0" w:line="125" w:lineRule="exact"/>
              <w:rPr>
                <w:rFonts w:ascii="Arial" w:cs="Arial" w:eastAsia="Arial" w:hAnsi="Arial"/>
                <w:sz w:val="13"/>
                <w:szCs w:val="13"/>
                <w:b w:val="1"/>
                <w:bCs w:val="1"/>
                <w:color w:val="0000EE"/>
              </w:rPr>
            </w:pPr>
            <w:hyperlink w:anchor="page7">
              <w:r>
                <w:rPr>
                  <w:rFonts w:ascii="Arial" w:cs="Arial" w:eastAsia="Arial" w:hAnsi="Arial"/>
                  <w:sz w:val="13"/>
                  <w:szCs w:val="13"/>
                  <w:b w:val="1"/>
                  <w:bCs w:val="1"/>
                  <w:color w:val="0000EE"/>
                </w:rPr>
                <w:t>Offer Statistics and Expected Timetable</w:t>
              </w:r>
            </w:hyperlink>
          </w:p>
        </w:tc>
        <w:tc>
          <w:tcPr>
            <w:tcW w:w="580" w:type="dxa"/>
            <w:vAlign w:val="bottom"/>
            <w:gridSpan w:val="2"/>
            <w:shd w:val="clear" w:color="auto" w:fill="CCEEFF"/>
          </w:tcPr>
          <w:p>
            <w:pPr>
              <w:jc w:val="right"/>
              <w:spacing w:after="0" w:line="125" w:lineRule="exact"/>
              <w:rPr>
                <w:rFonts w:ascii="Arial" w:cs="Arial" w:eastAsia="Arial" w:hAnsi="Arial"/>
                <w:sz w:val="13"/>
                <w:szCs w:val="13"/>
                <w:b w:val="1"/>
                <w:bCs w:val="1"/>
                <w:color w:val="0000EE"/>
              </w:rPr>
            </w:pPr>
            <w:hyperlink w:anchor="page7">
              <w:r>
                <w:rPr>
                  <w:rFonts w:ascii="Arial" w:cs="Arial" w:eastAsia="Arial" w:hAnsi="Arial"/>
                  <w:sz w:val="13"/>
                  <w:szCs w:val="13"/>
                  <w:b w:val="1"/>
                  <w:bCs w:val="1"/>
                  <w:color w:val="0000EE"/>
                </w:rPr>
                <w:t>5</w:t>
              </w:r>
            </w:hyperlink>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280" w:type="dxa"/>
            <w:vAlign w:val="bottom"/>
            <w:tcBorders>
              <w:top w:val="single" w:sz="8" w:color="0000EE"/>
            </w:tcBorders>
          </w:tcPr>
          <w:p>
            <w:pPr>
              <w:spacing w:after="0"/>
              <w:rPr>
                <w:sz w:val="13"/>
                <w:szCs w:val="13"/>
                <w:color w:val="auto"/>
              </w:rPr>
            </w:pPr>
          </w:p>
        </w:tc>
        <w:tc>
          <w:tcPr>
            <w:tcW w:w="100" w:type="dxa"/>
            <w:vAlign w:val="bottom"/>
            <w:tcBorders>
              <w:top w:val="single" w:sz="8" w:color="CCEEFF"/>
            </w:tcBorders>
          </w:tcPr>
          <w:p>
            <w:pPr>
              <w:spacing w:after="0"/>
              <w:rPr>
                <w:sz w:val="13"/>
                <w:szCs w:val="13"/>
                <w:color w:val="auto"/>
              </w:rPr>
            </w:pPr>
          </w:p>
        </w:tc>
        <w:tc>
          <w:tcPr>
            <w:tcW w:w="100" w:type="dxa"/>
            <w:vAlign w:val="bottom"/>
            <w:tcBorders>
              <w:top w:val="single" w:sz="8" w:color="CCEEFF"/>
            </w:tcBorders>
          </w:tcPr>
          <w:p>
            <w:pPr>
              <w:spacing w:after="0"/>
              <w:rPr>
                <w:sz w:val="13"/>
                <w:szCs w:val="13"/>
                <w:color w:val="auto"/>
              </w:rPr>
            </w:pPr>
          </w:p>
        </w:tc>
        <w:tc>
          <w:tcPr>
            <w:tcW w:w="420" w:type="dxa"/>
            <w:vAlign w:val="bottom"/>
            <w:tcBorders>
              <w:top w:val="single" w:sz="8" w:color="CCEEFF"/>
            </w:tcBorders>
          </w:tcPr>
          <w:p>
            <w:pPr>
              <w:spacing w:after="0"/>
              <w:rPr>
                <w:sz w:val="13"/>
                <w:szCs w:val="13"/>
                <w:color w:val="auto"/>
              </w:rPr>
            </w:pPr>
          </w:p>
        </w:tc>
        <w:tc>
          <w:tcPr>
            <w:tcW w:w="220" w:type="dxa"/>
            <w:vAlign w:val="bottom"/>
            <w:tcBorders>
              <w:top w:val="single" w:sz="8" w:color="CCEEFF"/>
            </w:tcBorders>
          </w:tcPr>
          <w:p>
            <w:pPr>
              <w:spacing w:after="0"/>
              <w:rPr>
                <w:sz w:val="13"/>
                <w:szCs w:val="13"/>
                <w:color w:val="auto"/>
              </w:rPr>
            </w:pPr>
          </w:p>
        </w:tc>
        <w:tc>
          <w:tcPr>
            <w:tcW w:w="160" w:type="dxa"/>
            <w:vAlign w:val="bottom"/>
            <w:tcBorders>
              <w:top w:val="single" w:sz="8" w:color="0000EE"/>
            </w:tcBorders>
          </w:tcPr>
          <w:p>
            <w:pPr>
              <w:spacing w:after="0"/>
              <w:rPr>
                <w:sz w:val="13"/>
                <w:szCs w:val="13"/>
                <w:color w:val="auto"/>
              </w:rPr>
            </w:pPr>
          </w:p>
        </w:tc>
        <w:tc>
          <w:tcPr>
            <w:tcW w:w="120" w:type="dxa"/>
            <w:vAlign w:val="bottom"/>
            <w:tcBorders>
              <w:top w:val="single" w:sz="8" w:color="0000EE"/>
            </w:tcBorders>
          </w:tcPr>
          <w:p>
            <w:pPr>
              <w:spacing w:after="0"/>
              <w:rPr>
                <w:sz w:val="13"/>
                <w:szCs w:val="13"/>
                <w:color w:val="auto"/>
              </w:rPr>
            </w:pPr>
          </w:p>
        </w:tc>
        <w:tc>
          <w:tcPr>
            <w:tcW w:w="140" w:type="dxa"/>
            <w:vAlign w:val="bottom"/>
            <w:tcBorders>
              <w:top w:val="single" w:sz="8" w:color="0000EE"/>
            </w:tcBorders>
          </w:tcPr>
          <w:p>
            <w:pPr>
              <w:spacing w:after="0"/>
              <w:rPr>
                <w:sz w:val="13"/>
                <w:szCs w:val="13"/>
                <w:color w:val="auto"/>
              </w:rPr>
            </w:pPr>
          </w:p>
        </w:tc>
        <w:tc>
          <w:tcPr>
            <w:tcW w:w="160" w:type="dxa"/>
            <w:vAlign w:val="bottom"/>
            <w:tcBorders>
              <w:top w:val="single" w:sz="8" w:color="0000EE"/>
            </w:tcBorders>
          </w:tcPr>
          <w:p>
            <w:pPr>
              <w:spacing w:after="0"/>
              <w:rPr>
                <w:sz w:val="13"/>
                <w:szCs w:val="13"/>
                <w:color w:val="auto"/>
              </w:rPr>
            </w:pPr>
          </w:p>
        </w:tc>
        <w:tc>
          <w:tcPr>
            <w:tcW w:w="60" w:type="dxa"/>
            <w:vAlign w:val="bottom"/>
            <w:tcBorders>
              <w:top w:val="single" w:sz="8" w:color="0000EE"/>
            </w:tcBorders>
          </w:tcPr>
          <w:p>
            <w:pPr>
              <w:spacing w:after="0"/>
              <w:rPr>
                <w:sz w:val="13"/>
                <w:szCs w:val="13"/>
                <w:color w:val="auto"/>
              </w:rPr>
            </w:pPr>
          </w:p>
        </w:tc>
        <w:tc>
          <w:tcPr>
            <w:tcW w:w="100" w:type="dxa"/>
            <w:vAlign w:val="bottom"/>
            <w:tcBorders>
              <w:top w:val="single" w:sz="8" w:color="0000EE"/>
            </w:tcBorders>
          </w:tcPr>
          <w:p>
            <w:pPr>
              <w:spacing w:after="0"/>
              <w:rPr>
                <w:sz w:val="13"/>
                <w:szCs w:val="13"/>
                <w:color w:val="auto"/>
              </w:rPr>
            </w:pPr>
          </w:p>
        </w:tc>
        <w:tc>
          <w:tcPr>
            <w:tcW w:w="18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20" w:type="dxa"/>
            <w:vAlign w:val="bottom"/>
            <w:tcBorders>
              <w:top w:val="single" w:sz="8" w:color="0000EE"/>
            </w:tcBorders>
          </w:tcPr>
          <w:p>
            <w:pPr>
              <w:spacing w:after="0"/>
              <w:rPr>
                <w:sz w:val="13"/>
                <w:szCs w:val="13"/>
                <w:color w:val="auto"/>
              </w:rPr>
            </w:pPr>
          </w:p>
        </w:tc>
        <w:tc>
          <w:tcPr>
            <w:tcW w:w="4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32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180" w:type="dxa"/>
            <w:vAlign w:val="bottom"/>
            <w:tcBorders>
              <w:top w:val="single" w:sz="8" w:color="0000EE"/>
            </w:tcBorders>
          </w:tcPr>
          <w:p>
            <w:pPr>
              <w:spacing w:after="0"/>
              <w:rPr>
                <w:sz w:val="13"/>
                <w:szCs w:val="13"/>
                <w:color w:val="auto"/>
              </w:rPr>
            </w:pPr>
          </w:p>
        </w:tc>
        <w:tc>
          <w:tcPr>
            <w:tcW w:w="420" w:type="dxa"/>
            <w:vAlign w:val="bottom"/>
            <w:tcBorders>
              <w:top w:val="single" w:sz="8" w:color="0000EE"/>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300" w:type="dxa"/>
            <w:vAlign w:val="bottom"/>
            <w:tcBorders>
              <w:top w:val="single" w:sz="8" w:color="CCEEFF"/>
            </w:tcBorders>
          </w:tcPr>
          <w:p>
            <w:pPr>
              <w:spacing w:after="0"/>
              <w:rPr>
                <w:sz w:val="13"/>
                <w:szCs w:val="13"/>
                <w:color w:val="auto"/>
              </w:rPr>
            </w:pPr>
          </w:p>
        </w:tc>
        <w:tc>
          <w:tcPr>
            <w:tcW w:w="160" w:type="dxa"/>
            <w:vAlign w:val="bottom"/>
            <w:tcBorders>
              <w:top w:val="single" w:sz="8" w:color="CCEEFF"/>
            </w:tcBorders>
          </w:tcPr>
          <w:p>
            <w:pPr>
              <w:spacing w:after="0"/>
              <w:rPr>
                <w:sz w:val="13"/>
                <w:szCs w:val="13"/>
                <w:color w:val="auto"/>
              </w:rPr>
            </w:pPr>
          </w:p>
        </w:tc>
        <w:tc>
          <w:tcPr>
            <w:tcW w:w="6720" w:type="dxa"/>
            <w:vAlign w:val="bottom"/>
            <w:tcBorders>
              <w:top w:val="single" w:sz="8" w:color="CCEEFF"/>
            </w:tcBorders>
          </w:tcPr>
          <w:p>
            <w:pPr>
              <w:spacing w:after="0"/>
              <w:rPr>
                <w:sz w:val="13"/>
                <w:szCs w:val="13"/>
                <w:color w:val="auto"/>
              </w:rPr>
            </w:pPr>
          </w:p>
        </w:tc>
        <w:tc>
          <w:tcPr>
            <w:tcW w:w="500" w:type="dxa"/>
            <w:vAlign w:val="bottom"/>
            <w:tcBorders>
              <w:top w:val="single" w:sz="8" w:color="CCEEFF"/>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25"/>
        </w:trPr>
        <w:tc>
          <w:tcPr>
            <w:tcW w:w="20" w:type="dxa"/>
            <w:vAlign w:val="bottom"/>
            <w:vMerge w:val="continue"/>
          </w:tcPr>
          <w:p>
            <w:pPr>
              <w:spacing w:after="0"/>
              <w:rPr>
                <w:sz w:val="10"/>
                <w:szCs w:val="10"/>
                <w:color w:val="auto"/>
              </w:rPr>
            </w:pPr>
          </w:p>
        </w:tc>
        <w:tc>
          <w:tcPr>
            <w:tcW w:w="560" w:type="dxa"/>
            <w:vAlign w:val="bottom"/>
            <w:gridSpan w:val="4"/>
            <w:shd w:val="clear" w:color="auto" w:fill="CCEEFF"/>
          </w:tcPr>
          <w:p>
            <w:pPr>
              <w:spacing w:after="0" w:line="125" w:lineRule="exact"/>
              <w:rPr>
                <w:rFonts w:ascii="Arial" w:cs="Arial" w:eastAsia="Arial" w:hAnsi="Arial"/>
                <w:sz w:val="13"/>
                <w:szCs w:val="13"/>
                <w:b w:val="1"/>
                <w:bCs w:val="1"/>
                <w:color w:val="0000EE"/>
              </w:rPr>
            </w:pPr>
            <w:hyperlink w:anchor="page7">
              <w:r>
                <w:rPr>
                  <w:rFonts w:ascii="Arial" w:cs="Arial" w:eastAsia="Arial" w:hAnsi="Arial"/>
                  <w:sz w:val="13"/>
                  <w:szCs w:val="13"/>
                  <w:b w:val="1"/>
                  <w:bCs w:val="1"/>
                  <w:color w:val="0000EE"/>
                </w:rPr>
                <w:t>Item 3.</w:t>
              </w:r>
            </w:hyperlink>
          </w:p>
        </w:tc>
        <w:tc>
          <w:tcPr>
            <w:tcW w:w="420" w:type="dxa"/>
            <w:vAlign w:val="bottom"/>
            <w:shd w:val="clear" w:color="auto" w:fill="CCEEFF"/>
          </w:tcPr>
          <w:p>
            <w:pPr>
              <w:spacing w:after="0"/>
              <w:rPr>
                <w:sz w:val="10"/>
                <w:szCs w:val="10"/>
                <w:color w:val="auto"/>
              </w:rPr>
            </w:pPr>
          </w:p>
        </w:tc>
        <w:tc>
          <w:tcPr>
            <w:tcW w:w="220" w:type="dxa"/>
            <w:vAlign w:val="bottom"/>
            <w:tcBorders>
              <w:right w:val="single" w:sz="8" w:color="CCEEFF"/>
            </w:tcBorders>
            <w:shd w:val="clear" w:color="auto" w:fill="CCEEFF"/>
          </w:tcPr>
          <w:p>
            <w:pPr>
              <w:spacing w:after="0"/>
              <w:rPr>
                <w:sz w:val="10"/>
                <w:szCs w:val="10"/>
                <w:color w:val="auto"/>
              </w:rPr>
            </w:pPr>
          </w:p>
        </w:tc>
        <w:tc>
          <w:tcPr>
            <w:tcW w:w="9680" w:type="dxa"/>
            <w:vAlign w:val="bottom"/>
            <w:gridSpan w:val="20"/>
            <w:shd w:val="clear" w:color="auto" w:fill="CCEEFF"/>
          </w:tcPr>
          <w:p>
            <w:pPr>
              <w:spacing w:after="0" w:line="125" w:lineRule="exact"/>
              <w:rPr>
                <w:rFonts w:ascii="Arial" w:cs="Arial" w:eastAsia="Arial" w:hAnsi="Arial"/>
                <w:sz w:val="13"/>
                <w:szCs w:val="13"/>
                <w:b w:val="1"/>
                <w:bCs w:val="1"/>
                <w:color w:val="0000EE"/>
              </w:rPr>
            </w:pPr>
            <w:hyperlink w:anchor="page7">
              <w:r>
                <w:rPr>
                  <w:rFonts w:ascii="Arial" w:cs="Arial" w:eastAsia="Arial" w:hAnsi="Arial"/>
                  <w:sz w:val="13"/>
                  <w:szCs w:val="13"/>
                  <w:b w:val="1"/>
                  <w:bCs w:val="1"/>
                  <w:color w:val="0000EE"/>
                </w:rPr>
                <w:t>Key Information</w:t>
              </w:r>
            </w:hyperlink>
          </w:p>
        </w:tc>
        <w:tc>
          <w:tcPr>
            <w:tcW w:w="580" w:type="dxa"/>
            <w:vAlign w:val="bottom"/>
            <w:gridSpan w:val="2"/>
            <w:shd w:val="clear" w:color="auto" w:fill="CCEEFF"/>
          </w:tcPr>
          <w:p>
            <w:pPr>
              <w:jc w:val="right"/>
              <w:spacing w:after="0" w:line="125" w:lineRule="exact"/>
              <w:rPr>
                <w:rFonts w:ascii="Arial" w:cs="Arial" w:eastAsia="Arial" w:hAnsi="Arial"/>
                <w:sz w:val="13"/>
                <w:szCs w:val="13"/>
                <w:b w:val="1"/>
                <w:bCs w:val="1"/>
                <w:color w:val="0000EE"/>
              </w:rPr>
            </w:pPr>
            <w:hyperlink w:anchor="page7">
              <w:r>
                <w:rPr>
                  <w:rFonts w:ascii="Arial" w:cs="Arial" w:eastAsia="Arial" w:hAnsi="Arial"/>
                  <w:sz w:val="13"/>
                  <w:szCs w:val="13"/>
                  <w:b w:val="1"/>
                  <w:bCs w:val="1"/>
                  <w:color w:val="0000EE"/>
                </w:rPr>
                <w:t>5</w:t>
              </w:r>
            </w:hyperlink>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80" w:type="dxa"/>
            <w:vAlign w:val="bottom"/>
            <w:tcBorders>
              <w:left w:val="single" w:sz="8" w:color="0000EE"/>
            </w:tcBorders>
            <w:shd w:val="clear" w:color="auto" w:fill="0000EE"/>
          </w:tcPr>
          <w:p>
            <w:pPr>
              <w:spacing w:after="0"/>
              <w:rPr>
                <w:sz w:val="2"/>
                <w:szCs w:val="2"/>
                <w:color w:val="auto"/>
              </w:rPr>
            </w:pPr>
          </w:p>
        </w:tc>
        <w:tc>
          <w:tcPr>
            <w:tcW w:w="100" w:type="dxa"/>
            <w:vAlign w:val="bottom"/>
            <w:tcBorders>
              <w:left w:val="single" w:sz="8" w:color="CCEEFF"/>
            </w:tcBorders>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420" w:type="dxa"/>
            <w:vAlign w:val="bottom"/>
            <w:shd w:val="clear" w:color="auto" w:fill="CCEEFF"/>
          </w:tcPr>
          <w:p>
            <w:pPr>
              <w:spacing w:after="0"/>
              <w:rPr>
                <w:sz w:val="2"/>
                <w:szCs w:val="2"/>
                <w:color w:val="auto"/>
              </w:rPr>
            </w:pPr>
          </w:p>
        </w:tc>
        <w:tc>
          <w:tcPr>
            <w:tcW w:w="220" w:type="dxa"/>
            <w:vAlign w:val="bottom"/>
            <w:tcBorders>
              <w:right w:val="single" w:sz="8" w:color="0000EE"/>
            </w:tcBorders>
            <w:shd w:val="clear" w:color="auto" w:fill="CCEEFF"/>
          </w:tcPr>
          <w:p>
            <w:pPr>
              <w:spacing w:after="0"/>
              <w:rPr>
                <w:sz w:val="2"/>
                <w:szCs w:val="2"/>
                <w:color w:val="auto"/>
              </w:rPr>
            </w:pPr>
          </w:p>
        </w:tc>
        <w:tc>
          <w:tcPr>
            <w:tcW w:w="160" w:type="dxa"/>
            <w:vAlign w:val="bottom"/>
            <w:tcBorders>
              <w:right w:val="single" w:sz="8" w:color="0000EE"/>
            </w:tcBorders>
            <w:shd w:val="clear" w:color="auto" w:fill="0000EE"/>
          </w:tcPr>
          <w:p>
            <w:pPr>
              <w:spacing w:after="0"/>
              <w:rPr>
                <w:sz w:val="2"/>
                <w:szCs w:val="2"/>
                <w:color w:val="auto"/>
              </w:rPr>
            </w:pPr>
          </w:p>
        </w:tc>
        <w:tc>
          <w:tcPr>
            <w:tcW w:w="120" w:type="dxa"/>
            <w:vAlign w:val="bottom"/>
            <w:tcBorders>
              <w:right w:val="single" w:sz="8" w:color="0000EE"/>
            </w:tcBorders>
            <w:shd w:val="clear" w:color="auto" w:fill="0000EE"/>
          </w:tcPr>
          <w:p>
            <w:pPr>
              <w:spacing w:after="0"/>
              <w:rPr>
                <w:sz w:val="2"/>
                <w:szCs w:val="2"/>
                <w:color w:val="auto"/>
              </w:rPr>
            </w:pPr>
          </w:p>
        </w:tc>
        <w:tc>
          <w:tcPr>
            <w:tcW w:w="140" w:type="dxa"/>
            <w:vAlign w:val="bottom"/>
            <w:tcBorders>
              <w:left w:val="single" w:sz="8" w:color="0000EE"/>
              <w:right w:val="single" w:sz="8" w:color="0000EE"/>
            </w:tcBorders>
            <w:shd w:val="clear" w:color="auto" w:fill="0000EE"/>
          </w:tcPr>
          <w:p>
            <w:pPr>
              <w:spacing w:after="0"/>
              <w:rPr>
                <w:sz w:val="2"/>
                <w:szCs w:val="2"/>
                <w:color w:val="auto"/>
              </w:rPr>
            </w:pPr>
          </w:p>
        </w:tc>
        <w:tc>
          <w:tcPr>
            <w:tcW w:w="160" w:type="dxa"/>
            <w:vAlign w:val="bottom"/>
            <w:shd w:val="clear" w:color="auto" w:fill="0000EE"/>
          </w:tcPr>
          <w:p>
            <w:pPr>
              <w:spacing w:after="0"/>
              <w:rPr>
                <w:sz w:val="2"/>
                <w:szCs w:val="2"/>
                <w:color w:val="auto"/>
              </w:rPr>
            </w:pPr>
          </w:p>
        </w:tc>
        <w:tc>
          <w:tcPr>
            <w:tcW w:w="60" w:type="dxa"/>
            <w:vAlign w:val="bottom"/>
            <w:tcBorders>
              <w:right w:val="single" w:sz="8" w:color="0000EE"/>
            </w:tcBorders>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180" w:type="dxa"/>
            <w:vAlign w:val="bottom"/>
            <w:tcBorders>
              <w:right w:val="single" w:sz="8" w:color="CCEEFF"/>
            </w:tcBorders>
            <w:shd w:val="clear" w:color="auto" w:fill="0000EE"/>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20" w:type="dxa"/>
            <w:vAlign w:val="bottom"/>
            <w:shd w:val="clear" w:color="auto" w:fill="CCEEFF"/>
          </w:tcPr>
          <w:p>
            <w:pPr>
              <w:spacing w:after="0"/>
              <w:rPr>
                <w:sz w:val="2"/>
                <w:szCs w:val="2"/>
                <w:color w:val="auto"/>
              </w:rPr>
            </w:pPr>
          </w:p>
        </w:tc>
        <w:tc>
          <w:tcPr>
            <w:tcW w:w="40" w:type="dxa"/>
            <w:vAlign w:val="bottom"/>
            <w:tcBorders>
              <w:right w:val="single" w:sz="8" w:color="CCEEFF"/>
            </w:tcBorders>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32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420" w:type="dxa"/>
            <w:vAlign w:val="bottom"/>
            <w:tcBorders>
              <w:right w:val="single" w:sz="8" w:color="CCEEFF"/>
            </w:tcBorders>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180" w:type="dxa"/>
            <w:vAlign w:val="bottom"/>
            <w:tcBorders>
              <w:left w:val="single" w:sz="8" w:color="CCEEFF"/>
            </w:tcBorders>
            <w:shd w:val="clear" w:color="auto" w:fill="CCEEFF"/>
          </w:tcPr>
          <w:p>
            <w:pPr>
              <w:spacing w:after="0"/>
              <w:rPr>
                <w:sz w:val="2"/>
                <w:szCs w:val="2"/>
                <w:color w:val="auto"/>
              </w:rPr>
            </w:pPr>
          </w:p>
        </w:tc>
        <w:tc>
          <w:tcPr>
            <w:tcW w:w="300" w:type="dxa"/>
            <w:vAlign w:val="bottom"/>
            <w:shd w:val="clear" w:color="auto" w:fill="CCEEFF"/>
          </w:tcPr>
          <w:p>
            <w:pPr>
              <w:spacing w:after="0"/>
              <w:rPr>
                <w:sz w:val="2"/>
                <w:szCs w:val="2"/>
                <w:color w:val="auto"/>
              </w:rPr>
            </w:pPr>
          </w:p>
        </w:tc>
        <w:tc>
          <w:tcPr>
            <w:tcW w:w="160" w:type="dxa"/>
            <w:vAlign w:val="bottom"/>
            <w:shd w:val="clear" w:color="auto" w:fill="CCEEFF"/>
          </w:tcPr>
          <w:p>
            <w:pPr>
              <w:spacing w:after="0"/>
              <w:rPr>
                <w:sz w:val="2"/>
                <w:szCs w:val="2"/>
                <w:color w:val="auto"/>
              </w:rPr>
            </w:pPr>
          </w:p>
        </w:tc>
        <w:tc>
          <w:tcPr>
            <w:tcW w:w="6720" w:type="dxa"/>
            <w:vAlign w:val="bottom"/>
            <w:shd w:val="clear" w:color="auto" w:fill="CCEEFF"/>
          </w:tcPr>
          <w:p>
            <w:pPr>
              <w:spacing w:after="0"/>
              <w:rPr>
                <w:sz w:val="2"/>
                <w:szCs w:val="2"/>
                <w:color w:val="auto"/>
              </w:rPr>
            </w:pPr>
          </w:p>
        </w:tc>
        <w:tc>
          <w:tcPr>
            <w:tcW w:w="500" w:type="dxa"/>
            <w:vAlign w:val="bottom"/>
            <w:tcBorders>
              <w:right w:val="single" w:sz="8" w:color="CCEEFF"/>
            </w:tcBorders>
            <w:shd w:val="clear" w:color="auto" w:fill="CCEEFF"/>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25"/>
        </w:trPr>
        <w:tc>
          <w:tcPr>
            <w:tcW w:w="20" w:type="dxa"/>
            <w:vAlign w:val="bottom"/>
            <w:vMerge w:val="continue"/>
          </w:tcPr>
          <w:p>
            <w:pPr>
              <w:spacing w:after="0"/>
              <w:rPr>
                <w:sz w:val="10"/>
                <w:szCs w:val="10"/>
                <w:color w:val="auto"/>
              </w:rPr>
            </w:pPr>
          </w:p>
        </w:tc>
        <w:tc>
          <w:tcPr>
            <w:tcW w:w="360" w:type="dxa"/>
            <w:vAlign w:val="bottom"/>
            <w:gridSpan w:val="2"/>
          </w:tcPr>
          <w:p>
            <w:pPr>
              <w:spacing w:after="0" w:line="125" w:lineRule="exact"/>
              <w:rPr>
                <w:rFonts w:ascii="Arial" w:cs="Arial" w:eastAsia="Arial" w:hAnsi="Arial"/>
                <w:sz w:val="13"/>
                <w:szCs w:val="13"/>
                <w:color w:val="0000EE"/>
              </w:rPr>
            </w:pPr>
            <w:hyperlink w:anchor="page7">
              <w:r>
                <w:rPr>
                  <w:rFonts w:ascii="Arial" w:cs="Arial" w:eastAsia="Arial" w:hAnsi="Arial"/>
                  <w:sz w:val="13"/>
                  <w:szCs w:val="13"/>
                  <w:color w:val="0000EE"/>
                </w:rPr>
                <w:t>A.</w:t>
              </w:r>
            </w:hyperlink>
          </w:p>
        </w:tc>
        <w:tc>
          <w:tcPr>
            <w:tcW w:w="200" w:type="dxa"/>
            <w:vAlign w:val="bottom"/>
            <w:gridSpan w:val="2"/>
          </w:tcPr>
          <w:p>
            <w:pPr>
              <w:spacing w:after="0"/>
              <w:rPr>
                <w:sz w:val="10"/>
                <w:szCs w:val="10"/>
                <w:color w:val="auto"/>
              </w:rPr>
            </w:pPr>
          </w:p>
        </w:tc>
        <w:tc>
          <w:tcPr>
            <w:tcW w:w="10320" w:type="dxa"/>
            <w:vAlign w:val="bottom"/>
            <w:gridSpan w:val="22"/>
          </w:tcPr>
          <w:p>
            <w:pPr>
              <w:spacing w:after="0" w:line="125" w:lineRule="exact"/>
              <w:rPr>
                <w:rFonts w:ascii="Arial" w:cs="Arial" w:eastAsia="Arial" w:hAnsi="Arial"/>
                <w:sz w:val="13"/>
                <w:szCs w:val="13"/>
                <w:color w:val="0000EE"/>
              </w:rPr>
            </w:pPr>
            <w:hyperlink w:anchor="page7">
              <w:r>
                <w:rPr>
                  <w:rFonts w:ascii="Arial" w:cs="Arial" w:eastAsia="Arial" w:hAnsi="Arial"/>
                  <w:sz w:val="13"/>
                  <w:szCs w:val="13"/>
                  <w:color w:val="0000EE"/>
                </w:rPr>
                <w:t>Selected Financial Data</w:t>
              </w:r>
            </w:hyperlink>
          </w:p>
        </w:tc>
        <w:tc>
          <w:tcPr>
            <w:tcW w:w="580" w:type="dxa"/>
            <w:vAlign w:val="bottom"/>
            <w:gridSpan w:val="2"/>
          </w:tcPr>
          <w:p>
            <w:pPr>
              <w:jc w:val="right"/>
              <w:spacing w:after="0" w:line="125" w:lineRule="exact"/>
              <w:rPr>
                <w:rFonts w:ascii="Arial" w:cs="Arial" w:eastAsia="Arial" w:hAnsi="Arial"/>
                <w:sz w:val="13"/>
                <w:szCs w:val="13"/>
                <w:color w:val="0000EE"/>
              </w:rPr>
            </w:pPr>
            <w:hyperlink w:anchor="page7">
              <w:r>
                <w:rPr>
                  <w:rFonts w:ascii="Arial" w:cs="Arial" w:eastAsia="Arial" w:hAnsi="Arial"/>
                  <w:sz w:val="13"/>
                  <w:szCs w:val="13"/>
                  <w:color w:val="0000EE"/>
                </w:rPr>
                <w:t>5</w:t>
              </w:r>
            </w:hyperlink>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80" w:type="dxa"/>
            <w:vAlign w:val="bottom"/>
            <w:tcBorders>
              <w:left w:val="single" w:sz="8" w:color="0000EE"/>
            </w:tcBorders>
          </w:tcPr>
          <w:p>
            <w:pPr>
              <w:spacing w:after="0"/>
              <w:rPr>
                <w:sz w:val="2"/>
                <w:szCs w:val="2"/>
                <w:color w:val="auto"/>
              </w:rPr>
            </w:pPr>
          </w:p>
        </w:tc>
        <w:tc>
          <w:tcPr>
            <w:tcW w:w="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420" w:type="dxa"/>
            <w:vAlign w:val="bottom"/>
            <w:shd w:val="clear" w:color="auto" w:fill="0000EE"/>
          </w:tcPr>
          <w:p>
            <w:pPr>
              <w:spacing w:after="0"/>
              <w:rPr>
                <w:sz w:val="2"/>
                <w:szCs w:val="2"/>
                <w:color w:val="auto"/>
              </w:rPr>
            </w:pPr>
          </w:p>
        </w:tc>
        <w:tc>
          <w:tcPr>
            <w:tcW w:w="220" w:type="dxa"/>
            <w:vAlign w:val="bottom"/>
            <w:tcBorders>
              <w:right w:val="single" w:sz="8" w:color="0000EE"/>
            </w:tcBorders>
            <w:shd w:val="clear" w:color="auto" w:fill="0000EE"/>
          </w:tcPr>
          <w:p>
            <w:pPr>
              <w:spacing w:after="0"/>
              <w:rPr>
                <w:sz w:val="2"/>
                <w:szCs w:val="2"/>
                <w:color w:val="auto"/>
              </w:rPr>
            </w:pPr>
          </w:p>
        </w:tc>
        <w:tc>
          <w:tcPr>
            <w:tcW w:w="160" w:type="dxa"/>
            <w:vAlign w:val="bottom"/>
            <w:tcBorders>
              <w:right w:val="single" w:sz="8" w:color="0000EE"/>
            </w:tcBorders>
            <w:shd w:val="clear" w:color="auto" w:fill="0000EE"/>
          </w:tcPr>
          <w:p>
            <w:pPr>
              <w:spacing w:after="0"/>
              <w:rPr>
                <w:sz w:val="2"/>
                <w:szCs w:val="2"/>
                <w:color w:val="auto"/>
              </w:rPr>
            </w:pPr>
          </w:p>
        </w:tc>
        <w:tc>
          <w:tcPr>
            <w:tcW w:w="120" w:type="dxa"/>
            <w:vAlign w:val="bottom"/>
            <w:tcBorders>
              <w:right w:val="single" w:sz="8" w:color="0000EE"/>
            </w:tcBorders>
            <w:shd w:val="clear" w:color="auto" w:fill="0000EE"/>
          </w:tcPr>
          <w:p>
            <w:pPr>
              <w:spacing w:after="0"/>
              <w:rPr>
                <w:sz w:val="2"/>
                <w:szCs w:val="2"/>
                <w:color w:val="auto"/>
              </w:rPr>
            </w:pPr>
          </w:p>
        </w:tc>
        <w:tc>
          <w:tcPr>
            <w:tcW w:w="140" w:type="dxa"/>
            <w:vAlign w:val="bottom"/>
            <w:tcBorders>
              <w:left w:val="single" w:sz="8" w:color="0000EE"/>
              <w:right w:val="single" w:sz="8" w:color="0000EE"/>
            </w:tcBorders>
            <w:shd w:val="clear" w:color="auto" w:fill="0000EE"/>
          </w:tcPr>
          <w:p>
            <w:pPr>
              <w:spacing w:after="0"/>
              <w:rPr>
                <w:sz w:val="2"/>
                <w:szCs w:val="2"/>
                <w:color w:val="auto"/>
              </w:rPr>
            </w:pPr>
          </w:p>
        </w:tc>
        <w:tc>
          <w:tcPr>
            <w:tcW w:w="160" w:type="dxa"/>
            <w:vAlign w:val="bottom"/>
            <w:shd w:val="clear" w:color="auto" w:fill="0000EE"/>
          </w:tcPr>
          <w:p>
            <w:pPr>
              <w:spacing w:after="0"/>
              <w:rPr>
                <w:sz w:val="2"/>
                <w:szCs w:val="2"/>
                <w:color w:val="auto"/>
              </w:rPr>
            </w:pPr>
          </w:p>
        </w:tc>
        <w:tc>
          <w:tcPr>
            <w:tcW w:w="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Pr>
          <w:p>
            <w:pPr>
              <w:spacing w:after="0"/>
              <w:rPr>
                <w:sz w:val="2"/>
                <w:szCs w:val="2"/>
                <w:color w:val="auto"/>
              </w:rPr>
            </w:pPr>
          </w:p>
        </w:tc>
        <w:tc>
          <w:tcPr>
            <w:tcW w:w="80" w:type="dxa"/>
            <w:vAlign w:val="bottom"/>
          </w:tcPr>
          <w:p>
            <w:pPr>
              <w:spacing w:after="0"/>
              <w:rPr>
                <w:sz w:val="2"/>
                <w:szCs w:val="2"/>
                <w:color w:val="auto"/>
              </w:rPr>
            </w:pPr>
          </w:p>
        </w:tc>
        <w:tc>
          <w:tcPr>
            <w:tcW w:w="20" w:type="dxa"/>
            <w:vAlign w:val="bottom"/>
          </w:tcPr>
          <w:p>
            <w:pPr>
              <w:spacing w:after="0"/>
              <w:rPr>
                <w:sz w:val="2"/>
                <w:szCs w:val="2"/>
                <w:color w:val="auto"/>
              </w:rPr>
            </w:pPr>
          </w:p>
        </w:tc>
        <w:tc>
          <w:tcPr>
            <w:tcW w:w="40" w:type="dxa"/>
            <w:vAlign w:val="bottom"/>
          </w:tcPr>
          <w:p>
            <w:pPr>
              <w:spacing w:after="0"/>
              <w:rPr>
                <w:sz w:val="2"/>
                <w:szCs w:val="2"/>
                <w:color w:val="auto"/>
              </w:rPr>
            </w:pPr>
          </w:p>
        </w:tc>
        <w:tc>
          <w:tcPr>
            <w:tcW w:w="80" w:type="dxa"/>
            <w:vAlign w:val="bottom"/>
          </w:tcPr>
          <w:p>
            <w:pPr>
              <w:spacing w:after="0"/>
              <w:rPr>
                <w:sz w:val="2"/>
                <w:szCs w:val="2"/>
                <w:color w:val="auto"/>
              </w:rPr>
            </w:pPr>
          </w:p>
        </w:tc>
        <w:tc>
          <w:tcPr>
            <w:tcW w:w="32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420" w:type="dxa"/>
            <w:vAlign w:val="bottom"/>
          </w:tcPr>
          <w:p>
            <w:pPr>
              <w:spacing w:after="0"/>
              <w:rPr>
                <w:sz w:val="2"/>
                <w:szCs w:val="2"/>
                <w:color w:val="auto"/>
              </w:rPr>
            </w:pPr>
          </w:p>
        </w:tc>
        <w:tc>
          <w:tcPr>
            <w:tcW w:w="180" w:type="dxa"/>
            <w:vAlign w:val="bottom"/>
          </w:tcPr>
          <w:p>
            <w:pPr>
              <w:spacing w:after="0"/>
              <w:rPr>
                <w:sz w:val="2"/>
                <w:szCs w:val="2"/>
                <w:color w:val="auto"/>
              </w:rPr>
            </w:pPr>
          </w:p>
        </w:tc>
        <w:tc>
          <w:tcPr>
            <w:tcW w:w="180" w:type="dxa"/>
            <w:vAlign w:val="bottom"/>
          </w:tcPr>
          <w:p>
            <w:pPr>
              <w:spacing w:after="0"/>
              <w:rPr>
                <w:sz w:val="2"/>
                <w:szCs w:val="2"/>
                <w:color w:val="auto"/>
              </w:rPr>
            </w:pPr>
          </w:p>
        </w:tc>
        <w:tc>
          <w:tcPr>
            <w:tcW w:w="300" w:type="dxa"/>
            <w:vAlign w:val="bottom"/>
          </w:tcPr>
          <w:p>
            <w:pPr>
              <w:spacing w:after="0"/>
              <w:rPr>
                <w:sz w:val="2"/>
                <w:szCs w:val="2"/>
                <w:color w:val="auto"/>
              </w:rPr>
            </w:pPr>
          </w:p>
        </w:tc>
        <w:tc>
          <w:tcPr>
            <w:tcW w:w="160" w:type="dxa"/>
            <w:vAlign w:val="bottom"/>
          </w:tcPr>
          <w:p>
            <w:pPr>
              <w:spacing w:after="0"/>
              <w:rPr>
                <w:sz w:val="2"/>
                <w:szCs w:val="2"/>
                <w:color w:val="auto"/>
              </w:rPr>
            </w:pPr>
          </w:p>
        </w:tc>
        <w:tc>
          <w:tcPr>
            <w:tcW w:w="6720" w:type="dxa"/>
            <w:vAlign w:val="bottom"/>
          </w:tcPr>
          <w:p>
            <w:pPr>
              <w:spacing w:after="0"/>
              <w:rPr>
                <w:sz w:val="2"/>
                <w:szCs w:val="2"/>
                <w:color w:val="auto"/>
              </w:rPr>
            </w:pPr>
          </w:p>
        </w:tc>
        <w:tc>
          <w:tcPr>
            <w:tcW w:w="500" w:type="dxa"/>
            <w:vAlign w:val="bottom"/>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34"/>
        </w:trPr>
        <w:tc>
          <w:tcPr>
            <w:tcW w:w="20" w:type="dxa"/>
            <w:vAlign w:val="bottom"/>
            <w:vMerge w:val="continue"/>
          </w:tcPr>
          <w:p>
            <w:pPr>
              <w:spacing w:after="0"/>
              <w:rPr>
                <w:sz w:val="11"/>
                <w:szCs w:val="11"/>
                <w:color w:val="auto"/>
              </w:rPr>
            </w:pPr>
          </w:p>
        </w:tc>
        <w:tc>
          <w:tcPr>
            <w:tcW w:w="80" w:type="dxa"/>
            <w:vAlign w:val="bottom"/>
            <w:tcBorders>
              <w:bottom w:val="single" w:sz="8" w:color="0000EE"/>
            </w:tcBorders>
            <w:shd w:val="clear" w:color="auto" w:fill="CCEEFF"/>
          </w:tcPr>
          <w:p>
            <w:pPr>
              <w:spacing w:after="0"/>
              <w:rPr>
                <w:rFonts w:ascii="Arial" w:cs="Arial" w:eastAsia="Arial" w:hAnsi="Arial"/>
                <w:sz w:val="5"/>
                <w:szCs w:val="5"/>
                <w:color w:val="0000EE"/>
                <w:w w:val="83"/>
              </w:rPr>
            </w:pPr>
            <w:hyperlink w:anchor="page9">
              <w:r>
                <w:rPr>
                  <w:rFonts w:ascii="Arial" w:cs="Arial" w:eastAsia="Arial" w:hAnsi="Arial"/>
                  <w:sz w:val="5"/>
                  <w:szCs w:val="5"/>
                  <w:color w:val="0000EE"/>
                  <w:w w:val="83"/>
                </w:rPr>
                <w:t>B.</w:t>
              </w:r>
            </w:hyperlink>
          </w:p>
        </w:tc>
        <w:tc>
          <w:tcPr>
            <w:tcW w:w="480" w:type="dxa"/>
            <w:vAlign w:val="bottom"/>
            <w:tcBorders>
              <w:left w:val="single" w:sz="8" w:color="CCEEFF"/>
              <w:bottom w:val="single" w:sz="8" w:color="CCEEFF"/>
            </w:tcBorders>
            <w:gridSpan w:val="3"/>
            <w:shd w:val="clear" w:color="auto" w:fill="CCEEFF"/>
          </w:tcPr>
          <w:p>
            <w:pPr>
              <w:spacing w:after="0"/>
              <w:rPr>
                <w:sz w:val="11"/>
                <w:szCs w:val="11"/>
                <w:color w:val="auto"/>
              </w:rPr>
            </w:pPr>
          </w:p>
        </w:tc>
        <w:tc>
          <w:tcPr>
            <w:tcW w:w="1640" w:type="dxa"/>
            <w:vAlign w:val="bottom"/>
            <w:tcBorders>
              <w:bottom w:val="single" w:sz="8" w:color="0000EE"/>
            </w:tcBorders>
            <w:gridSpan w:val="10"/>
            <w:shd w:val="clear" w:color="auto" w:fill="CCEEFF"/>
          </w:tcPr>
          <w:p>
            <w:pPr>
              <w:spacing w:after="0" w:line="125" w:lineRule="exact"/>
              <w:rPr>
                <w:rFonts w:ascii="Arial" w:cs="Arial" w:eastAsia="Arial" w:hAnsi="Arial"/>
                <w:sz w:val="13"/>
                <w:szCs w:val="13"/>
                <w:color w:val="0000EE"/>
                <w:w w:val="87"/>
              </w:rPr>
            </w:pPr>
            <w:hyperlink w:anchor="page9">
              <w:r>
                <w:rPr>
                  <w:rFonts w:ascii="Arial" w:cs="Arial" w:eastAsia="Arial" w:hAnsi="Arial"/>
                  <w:sz w:val="13"/>
                  <w:szCs w:val="13"/>
                  <w:color w:val="0000EE"/>
                  <w:w w:val="87"/>
                </w:rPr>
                <w:t>Capitalization and Indebtedness</w:t>
              </w:r>
            </w:hyperlink>
          </w:p>
        </w:tc>
        <w:tc>
          <w:tcPr>
            <w:tcW w:w="8680" w:type="dxa"/>
            <w:vAlign w:val="bottom"/>
            <w:tcBorders>
              <w:bottom w:val="single" w:sz="8" w:color="CCEEFF"/>
            </w:tcBorders>
            <w:gridSpan w:val="12"/>
            <w:shd w:val="clear" w:color="auto" w:fill="CCEEFF"/>
          </w:tcPr>
          <w:p>
            <w:pPr>
              <w:spacing w:after="0"/>
              <w:rPr>
                <w:sz w:val="11"/>
                <w:szCs w:val="11"/>
                <w:color w:val="auto"/>
              </w:rPr>
            </w:pPr>
          </w:p>
        </w:tc>
        <w:tc>
          <w:tcPr>
            <w:tcW w:w="500" w:type="dxa"/>
            <w:vAlign w:val="bottom"/>
            <w:tcBorders>
              <w:bottom w:val="single" w:sz="8" w:color="CCEEFF"/>
              <w:right w:val="single" w:sz="8" w:color="CCEEFF"/>
            </w:tcBorders>
            <w:shd w:val="clear" w:color="auto" w:fill="CCEEFF"/>
          </w:tcPr>
          <w:p>
            <w:pPr>
              <w:spacing w:after="0"/>
              <w:rPr>
                <w:sz w:val="11"/>
                <w:szCs w:val="11"/>
                <w:color w:val="auto"/>
              </w:rPr>
            </w:pPr>
          </w:p>
        </w:tc>
        <w:tc>
          <w:tcPr>
            <w:tcW w:w="80" w:type="dxa"/>
            <w:vAlign w:val="bottom"/>
            <w:tcBorders>
              <w:bottom w:val="single" w:sz="8" w:color="0000EE"/>
            </w:tcBorders>
            <w:shd w:val="clear" w:color="auto" w:fill="CCEEFF"/>
          </w:tcPr>
          <w:p>
            <w:pPr>
              <w:jc w:val="right"/>
              <w:spacing w:after="0" w:line="125" w:lineRule="exact"/>
              <w:rPr>
                <w:rFonts w:ascii="Arial" w:cs="Arial" w:eastAsia="Arial" w:hAnsi="Arial"/>
                <w:sz w:val="13"/>
                <w:szCs w:val="13"/>
                <w:color w:val="0000EE"/>
                <w:w w:val="82"/>
              </w:rPr>
            </w:pPr>
            <w:hyperlink w:anchor="page9">
              <w:r>
                <w:rPr>
                  <w:rFonts w:ascii="Arial" w:cs="Arial" w:eastAsia="Arial" w:hAnsi="Arial"/>
                  <w:sz w:val="13"/>
                  <w:szCs w:val="13"/>
                  <w:color w:val="0000EE"/>
                  <w:w w:val="82"/>
                </w:rPr>
                <w:t>7</w:t>
              </w:r>
            </w:hyperlink>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25"/>
        </w:trPr>
        <w:tc>
          <w:tcPr>
            <w:tcW w:w="20" w:type="dxa"/>
            <w:vAlign w:val="bottom"/>
          </w:tcPr>
          <w:p>
            <w:pPr>
              <w:spacing w:after="0"/>
              <w:rPr>
                <w:sz w:val="10"/>
                <w:szCs w:val="10"/>
                <w:color w:val="auto"/>
              </w:rPr>
            </w:pPr>
          </w:p>
        </w:tc>
        <w:tc>
          <w:tcPr>
            <w:tcW w:w="80" w:type="dxa"/>
            <w:vAlign w:val="bottom"/>
          </w:tcPr>
          <w:p>
            <w:pPr>
              <w:spacing w:after="0"/>
              <w:rPr>
                <w:rFonts w:ascii="Arial" w:cs="Arial" w:eastAsia="Arial" w:hAnsi="Arial"/>
                <w:sz w:val="5"/>
                <w:szCs w:val="5"/>
                <w:color w:val="0000EE"/>
                <w:w w:val="78"/>
              </w:rPr>
            </w:pPr>
            <w:hyperlink w:anchor="page9">
              <w:r>
                <w:rPr>
                  <w:rFonts w:ascii="Arial" w:cs="Arial" w:eastAsia="Arial" w:hAnsi="Arial"/>
                  <w:sz w:val="5"/>
                  <w:szCs w:val="5"/>
                  <w:color w:val="0000EE"/>
                  <w:w w:val="78"/>
                </w:rPr>
                <w:t>C.</w:t>
              </w:r>
            </w:hyperlink>
          </w:p>
        </w:tc>
        <w:tc>
          <w:tcPr>
            <w:tcW w:w="480" w:type="dxa"/>
            <w:vAlign w:val="bottom"/>
            <w:gridSpan w:val="3"/>
          </w:tcPr>
          <w:p>
            <w:pPr>
              <w:spacing w:after="0"/>
              <w:rPr>
                <w:sz w:val="10"/>
                <w:szCs w:val="10"/>
                <w:color w:val="auto"/>
              </w:rPr>
            </w:pPr>
          </w:p>
        </w:tc>
        <w:tc>
          <w:tcPr>
            <w:tcW w:w="10320" w:type="dxa"/>
            <w:vAlign w:val="bottom"/>
            <w:gridSpan w:val="22"/>
          </w:tcPr>
          <w:p>
            <w:pPr>
              <w:spacing w:after="0" w:line="125" w:lineRule="exact"/>
              <w:rPr>
                <w:rFonts w:ascii="Arial" w:cs="Arial" w:eastAsia="Arial" w:hAnsi="Arial"/>
                <w:sz w:val="13"/>
                <w:szCs w:val="13"/>
                <w:color w:val="0000EE"/>
              </w:rPr>
            </w:pPr>
            <w:hyperlink w:anchor="page9">
              <w:r>
                <w:rPr>
                  <w:rFonts w:ascii="Arial" w:cs="Arial" w:eastAsia="Arial" w:hAnsi="Arial"/>
                  <w:sz w:val="13"/>
                  <w:szCs w:val="13"/>
                  <w:color w:val="0000EE"/>
                </w:rPr>
                <w:t>Reasons for the Offer and Use of Proceeds</w:t>
              </w:r>
            </w:hyperlink>
          </w:p>
        </w:tc>
        <w:tc>
          <w:tcPr>
            <w:tcW w:w="580" w:type="dxa"/>
            <w:vAlign w:val="bottom"/>
            <w:gridSpan w:val="2"/>
          </w:tcPr>
          <w:p>
            <w:pPr>
              <w:jc w:val="right"/>
              <w:spacing w:after="0" w:line="125" w:lineRule="exact"/>
              <w:rPr>
                <w:rFonts w:ascii="Arial" w:cs="Arial" w:eastAsia="Arial" w:hAnsi="Arial"/>
                <w:sz w:val="13"/>
                <w:szCs w:val="13"/>
                <w:color w:val="0000EE"/>
              </w:rPr>
            </w:pPr>
            <w:hyperlink w:anchor="page9">
              <w:r>
                <w:rPr>
                  <w:rFonts w:ascii="Arial" w:cs="Arial" w:eastAsia="Arial" w:hAnsi="Arial"/>
                  <w:sz w:val="13"/>
                  <w:szCs w:val="13"/>
                  <w:color w:val="0000EE"/>
                </w:rPr>
                <w:t>7</w:t>
              </w:r>
            </w:hyperlink>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80" w:type="dxa"/>
            <w:vAlign w:val="bottom"/>
            <w:tcBorders>
              <w:left w:val="single" w:sz="8" w:color="0000EE"/>
            </w:tcBorders>
          </w:tcPr>
          <w:p>
            <w:pPr>
              <w:spacing w:after="0"/>
              <w:rPr>
                <w:sz w:val="2"/>
                <w:szCs w:val="2"/>
                <w:color w:val="auto"/>
              </w:rPr>
            </w:pPr>
          </w:p>
        </w:tc>
        <w:tc>
          <w:tcPr>
            <w:tcW w:w="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420" w:type="dxa"/>
            <w:vAlign w:val="bottom"/>
            <w:shd w:val="clear" w:color="auto" w:fill="0000EE"/>
          </w:tcPr>
          <w:p>
            <w:pPr>
              <w:spacing w:after="0"/>
              <w:rPr>
                <w:sz w:val="2"/>
                <w:szCs w:val="2"/>
                <w:color w:val="auto"/>
              </w:rPr>
            </w:pPr>
          </w:p>
        </w:tc>
        <w:tc>
          <w:tcPr>
            <w:tcW w:w="220" w:type="dxa"/>
            <w:vAlign w:val="bottom"/>
            <w:tcBorders>
              <w:right w:val="single" w:sz="8" w:color="0000EE"/>
            </w:tcBorders>
            <w:shd w:val="clear" w:color="auto" w:fill="0000EE"/>
          </w:tcPr>
          <w:p>
            <w:pPr>
              <w:spacing w:after="0"/>
              <w:rPr>
                <w:sz w:val="2"/>
                <w:szCs w:val="2"/>
                <w:color w:val="auto"/>
              </w:rPr>
            </w:pPr>
          </w:p>
        </w:tc>
        <w:tc>
          <w:tcPr>
            <w:tcW w:w="160" w:type="dxa"/>
            <w:vAlign w:val="bottom"/>
            <w:tcBorders>
              <w:right w:val="single" w:sz="8" w:color="0000EE"/>
            </w:tcBorders>
            <w:shd w:val="clear" w:color="auto" w:fill="0000EE"/>
          </w:tcPr>
          <w:p>
            <w:pPr>
              <w:spacing w:after="0"/>
              <w:rPr>
                <w:sz w:val="2"/>
                <w:szCs w:val="2"/>
                <w:color w:val="auto"/>
              </w:rPr>
            </w:pPr>
          </w:p>
        </w:tc>
        <w:tc>
          <w:tcPr>
            <w:tcW w:w="120" w:type="dxa"/>
            <w:vAlign w:val="bottom"/>
            <w:tcBorders>
              <w:right w:val="single" w:sz="8" w:color="0000EE"/>
            </w:tcBorders>
            <w:shd w:val="clear" w:color="auto" w:fill="0000EE"/>
          </w:tcPr>
          <w:p>
            <w:pPr>
              <w:spacing w:after="0"/>
              <w:rPr>
                <w:sz w:val="2"/>
                <w:szCs w:val="2"/>
                <w:color w:val="auto"/>
              </w:rPr>
            </w:pPr>
          </w:p>
        </w:tc>
        <w:tc>
          <w:tcPr>
            <w:tcW w:w="140" w:type="dxa"/>
            <w:vAlign w:val="bottom"/>
            <w:tcBorders>
              <w:left w:val="single" w:sz="8" w:color="0000EE"/>
              <w:right w:val="single" w:sz="8" w:color="0000EE"/>
            </w:tcBorders>
            <w:shd w:val="clear" w:color="auto" w:fill="0000EE"/>
          </w:tcPr>
          <w:p>
            <w:pPr>
              <w:spacing w:after="0"/>
              <w:rPr>
                <w:sz w:val="2"/>
                <w:szCs w:val="2"/>
                <w:color w:val="auto"/>
              </w:rPr>
            </w:pPr>
          </w:p>
        </w:tc>
        <w:tc>
          <w:tcPr>
            <w:tcW w:w="160" w:type="dxa"/>
            <w:vAlign w:val="bottom"/>
            <w:shd w:val="clear" w:color="auto" w:fill="0000EE"/>
          </w:tcPr>
          <w:p>
            <w:pPr>
              <w:spacing w:after="0"/>
              <w:rPr>
                <w:sz w:val="2"/>
                <w:szCs w:val="2"/>
                <w:color w:val="auto"/>
              </w:rPr>
            </w:pPr>
          </w:p>
        </w:tc>
        <w:tc>
          <w:tcPr>
            <w:tcW w:w="60" w:type="dxa"/>
            <w:vAlign w:val="bottom"/>
            <w:tcBorders>
              <w:right w:val="single" w:sz="8" w:color="0000EE"/>
            </w:tcBorders>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180" w:type="dxa"/>
            <w:vAlign w:val="bottom"/>
            <w:tcBorders>
              <w:right w:val="single" w:sz="8" w:color="0000EE"/>
            </w:tcBorders>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0" w:type="dxa"/>
            <w:vAlign w:val="bottom"/>
            <w:shd w:val="clear" w:color="auto" w:fill="0000EE"/>
          </w:tcPr>
          <w:p>
            <w:pPr>
              <w:spacing w:after="0"/>
              <w:rPr>
                <w:sz w:val="2"/>
                <w:szCs w:val="2"/>
                <w:color w:val="auto"/>
              </w:rPr>
            </w:pPr>
          </w:p>
        </w:tc>
        <w:tc>
          <w:tcPr>
            <w:tcW w:w="40" w:type="dxa"/>
            <w:vAlign w:val="bottom"/>
            <w:tcBorders>
              <w:right w:val="single" w:sz="8" w:color="0000EE"/>
            </w:tcBorders>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32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180" w:type="dxa"/>
            <w:vAlign w:val="bottom"/>
          </w:tcPr>
          <w:p>
            <w:pPr>
              <w:spacing w:after="0"/>
              <w:rPr>
                <w:sz w:val="2"/>
                <w:szCs w:val="2"/>
                <w:color w:val="auto"/>
              </w:rPr>
            </w:pPr>
          </w:p>
        </w:tc>
        <w:tc>
          <w:tcPr>
            <w:tcW w:w="420" w:type="dxa"/>
            <w:vAlign w:val="bottom"/>
          </w:tcPr>
          <w:p>
            <w:pPr>
              <w:spacing w:after="0"/>
              <w:rPr>
                <w:sz w:val="2"/>
                <w:szCs w:val="2"/>
                <w:color w:val="auto"/>
              </w:rPr>
            </w:pPr>
          </w:p>
        </w:tc>
        <w:tc>
          <w:tcPr>
            <w:tcW w:w="180" w:type="dxa"/>
            <w:vAlign w:val="bottom"/>
          </w:tcPr>
          <w:p>
            <w:pPr>
              <w:spacing w:after="0"/>
              <w:rPr>
                <w:sz w:val="2"/>
                <w:szCs w:val="2"/>
                <w:color w:val="auto"/>
              </w:rPr>
            </w:pPr>
          </w:p>
        </w:tc>
        <w:tc>
          <w:tcPr>
            <w:tcW w:w="180" w:type="dxa"/>
            <w:vAlign w:val="bottom"/>
          </w:tcPr>
          <w:p>
            <w:pPr>
              <w:spacing w:after="0"/>
              <w:rPr>
                <w:sz w:val="2"/>
                <w:szCs w:val="2"/>
                <w:color w:val="auto"/>
              </w:rPr>
            </w:pPr>
          </w:p>
        </w:tc>
        <w:tc>
          <w:tcPr>
            <w:tcW w:w="300" w:type="dxa"/>
            <w:vAlign w:val="bottom"/>
          </w:tcPr>
          <w:p>
            <w:pPr>
              <w:spacing w:after="0"/>
              <w:rPr>
                <w:sz w:val="2"/>
                <w:szCs w:val="2"/>
                <w:color w:val="auto"/>
              </w:rPr>
            </w:pPr>
          </w:p>
        </w:tc>
        <w:tc>
          <w:tcPr>
            <w:tcW w:w="160" w:type="dxa"/>
            <w:vAlign w:val="bottom"/>
          </w:tcPr>
          <w:p>
            <w:pPr>
              <w:spacing w:after="0"/>
              <w:rPr>
                <w:sz w:val="2"/>
                <w:szCs w:val="2"/>
                <w:color w:val="auto"/>
              </w:rPr>
            </w:pPr>
          </w:p>
        </w:tc>
        <w:tc>
          <w:tcPr>
            <w:tcW w:w="6720" w:type="dxa"/>
            <w:vAlign w:val="bottom"/>
          </w:tcPr>
          <w:p>
            <w:pPr>
              <w:spacing w:after="0"/>
              <w:rPr>
                <w:sz w:val="2"/>
                <w:szCs w:val="2"/>
                <w:color w:val="auto"/>
              </w:rPr>
            </w:pPr>
          </w:p>
        </w:tc>
        <w:tc>
          <w:tcPr>
            <w:tcW w:w="500" w:type="dxa"/>
            <w:vAlign w:val="bottom"/>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34"/>
        </w:trPr>
        <w:tc>
          <w:tcPr>
            <w:tcW w:w="20" w:type="dxa"/>
            <w:vAlign w:val="bottom"/>
            <w:vMerge w:val="continue"/>
          </w:tcPr>
          <w:p>
            <w:pPr>
              <w:spacing w:after="0"/>
              <w:rPr>
                <w:sz w:val="11"/>
                <w:szCs w:val="11"/>
                <w:color w:val="auto"/>
              </w:rPr>
            </w:pPr>
          </w:p>
        </w:tc>
        <w:tc>
          <w:tcPr>
            <w:tcW w:w="560" w:type="dxa"/>
            <w:vAlign w:val="bottom"/>
            <w:gridSpan w:val="4"/>
            <w:shd w:val="clear" w:color="auto" w:fill="CCEEFF"/>
          </w:tcPr>
          <w:p>
            <w:pPr>
              <w:spacing w:after="0" w:line="125" w:lineRule="exact"/>
              <w:rPr>
                <w:rFonts w:ascii="Arial" w:cs="Arial" w:eastAsia="Arial" w:hAnsi="Arial"/>
                <w:sz w:val="13"/>
                <w:szCs w:val="13"/>
                <w:color w:val="0000EE"/>
              </w:rPr>
            </w:pPr>
            <w:hyperlink w:anchor="page9">
              <w:r>
                <w:rPr>
                  <w:rFonts w:ascii="Arial" w:cs="Arial" w:eastAsia="Arial" w:hAnsi="Arial"/>
                  <w:sz w:val="13"/>
                  <w:szCs w:val="13"/>
                  <w:color w:val="0000EE"/>
                </w:rPr>
                <w:t>D.</w:t>
              </w:r>
            </w:hyperlink>
          </w:p>
        </w:tc>
        <w:tc>
          <w:tcPr>
            <w:tcW w:w="10320" w:type="dxa"/>
            <w:vAlign w:val="bottom"/>
            <w:gridSpan w:val="22"/>
            <w:shd w:val="clear" w:color="auto" w:fill="CCEEFF"/>
          </w:tcPr>
          <w:p>
            <w:pPr>
              <w:spacing w:after="0" w:line="125" w:lineRule="exact"/>
              <w:rPr>
                <w:rFonts w:ascii="Arial" w:cs="Arial" w:eastAsia="Arial" w:hAnsi="Arial"/>
                <w:sz w:val="13"/>
                <w:szCs w:val="13"/>
                <w:color w:val="0000EE"/>
              </w:rPr>
            </w:pPr>
            <w:hyperlink w:anchor="page9">
              <w:r>
                <w:rPr>
                  <w:rFonts w:ascii="Arial" w:cs="Arial" w:eastAsia="Arial" w:hAnsi="Arial"/>
                  <w:sz w:val="13"/>
                  <w:szCs w:val="13"/>
                  <w:color w:val="0000EE"/>
                </w:rPr>
                <w:t>Risk Factors</w:t>
              </w:r>
            </w:hyperlink>
          </w:p>
        </w:tc>
        <w:tc>
          <w:tcPr>
            <w:tcW w:w="580" w:type="dxa"/>
            <w:vAlign w:val="bottom"/>
            <w:gridSpan w:val="2"/>
            <w:shd w:val="clear" w:color="auto" w:fill="CCEEFF"/>
          </w:tcPr>
          <w:p>
            <w:pPr>
              <w:jc w:val="right"/>
              <w:spacing w:after="0" w:line="125" w:lineRule="exact"/>
              <w:rPr>
                <w:rFonts w:ascii="Arial" w:cs="Arial" w:eastAsia="Arial" w:hAnsi="Arial"/>
                <w:sz w:val="13"/>
                <w:szCs w:val="13"/>
                <w:color w:val="0000EE"/>
              </w:rPr>
            </w:pPr>
            <w:hyperlink w:anchor="page9">
              <w:r>
                <w:rPr>
                  <w:rFonts w:ascii="Arial" w:cs="Arial" w:eastAsia="Arial" w:hAnsi="Arial"/>
                  <w:sz w:val="13"/>
                  <w:szCs w:val="13"/>
                  <w:color w:val="0000EE"/>
                </w:rPr>
                <w:t>7</w:t>
              </w:r>
            </w:hyperlink>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280" w:type="dxa"/>
            <w:vAlign w:val="bottom"/>
            <w:tcBorders>
              <w:top w:val="single" w:sz="8" w:color="CCEEFF"/>
            </w:tcBorders>
          </w:tcPr>
          <w:p>
            <w:pPr>
              <w:spacing w:after="0"/>
              <w:rPr>
                <w:sz w:val="13"/>
                <w:szCs w:val="13"/>
                <w:color w:val="auto"/>
              </w:rPr>
            </w:pPr>
          </w:p>
        </w:tc>
        <w:tc>
          <w:tcPr>
            <w:tcW w:w="100" w:type="dxa"/>
            <w:vAlign w:val="bottom"/>
            <w:tcBorders>
              <w:top w:val="single" w:sz="8" w:color="CCEEFF"/>
            </w:tcBorders>
          </w:tcPr>
          <w:p>
            <w:pPr>
              <w:spacing w:after="0"/>
              <w:rPr>
                <w:sz w:val="13"/>
                <w:szCs w:val="13"/>
                <w:color w:val="auto"/>
              </w:rPr>
            </w:pPr>
          </w:p>
        </w:tc>
        <w:tc>
          <w:tcPr>
            <w:tcW w:w="100" w:type="dxa"/>
            <w:vAlign w:val="bottom"/>
            <w:tcBorders>
              <w:top w:val="single" w:sz="8" w:color="CCEEFF"/>
            </w:tcBorders>
          </w:tcPr>
          <w:p>
            <w:pPr>
              <w:spacing w:after="0"/>
              <w:rPr>
                <w:sz w:val="13"/>
                <w:szCs w:val="13"/>
                <w:color w:val="auto"/>
              </w:rPr>
            </w:pPr>
          </w:p>
        </w:tc>
        <w:tc>
          <w:tcPr>
            <w:tcW w:w="420" w:type="dxa"/>
            <w:vAlign w:val="bottom"/>
            <w:tcBorders>
              <w:top w:val="single" w:sz="8" w:color="0000EE"/>
            </w:tcBorders>
          </w:tcPr>
          <w:p>
            <w:pPr>
              <w:spacing w:after="0"/>
              <w:rPr>
                <w:sz w:val="13"/>
                <w:szCs w:val="13"/>
                <w:color w:val="auto"/>
              </w:rPr>
            </w:pPr>
          </w:p>
        </w:tc>
        <w:tc>
          <w:tcPr>
            <w:tcW w:w="220" w:type="dxa"/>
            <w:vAlign w:val="bottom"/>
            <w:tcBorders>
              <w:top w:val="single" w:sz="8" w:color="0000EE"/>
            </w:tcBorders>
          </w:tcPr>
          <w:p>
            <w:pPr>
              <w:spacing w:after="0"/>
              <w:rPr>
                <w:sz w:val="13"/>
                <w:szCs w:val="13"/>
                <w:color w:val="auto"/>
              </w:rPr>
            </w:pPr>
          </w:p>
        </w:tc>
        <w:tc>
          <w:tcPr>
            <w:tcW w:w="160" w:type="dxa"/>
            <w:vAlign w:val="bottom"/>
            <w:tcBorders>
              <w:top w:val="single" w:sz="8" w:color="CCEEFF"/>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140" w:type="dxa"/>
            <w:vAlign w:val="bottom"/>
            <w:tcBorders>
              <w:top w:val="single" w:sz="8" w:color="CCEEFF"/>
            </w:tcBorders>
          </w:tcPr>
          <w:p>
            <w:pPr>
              <w:spacing w:after="0"/>
              <w:rPr>
                <w:sz w:val="13"/>
                <w:szCs w:val="13"/>
                <w:color w:val="auto"/>
              </w:rPr>
            </w:pPr>
          </w:p>
        </w:tc>
        <w:tc>
          <w:tcPr>
            <w:tcW w:w="160" w:type="dxa"/>
            <w:vAlign w:val="bottom"/>
            <w:tcBorders>
              <w:top w:val="single" w:sz="8" w:color="CCEEFF"/>
            </w:tcBorders>
          </w:tcPr>
          <w:p>
            <w:pPr>
              <w:spacing w:after="0"/>
              <w:rPr>
                <w:sz w:val="13"/>
                <w:szCs w:val="13"/>
                <w:color w:val="auto"/>
              </w:rPr>
            </w:pPr>
          </w:p>
        </w:tc>
        <w:tc>
          <w:tcPr>
            <w:tcW w:w="60" w:type="dxa"/>
            <w:vAlign w:val="bottom"/>
            <w:tcBorders>
              <w:top w:val="single" w:sz="8" w:color="CCEEFF"/>
            </w:tcBorders>
          </w:tcPr>
          <w:p>
            <w:pPr>
              <w:spacing w:after="0"/>
              <w:rPr>
                <w:sz w:val="13"/>
                <w:szCs w:val="13"/>
                <w:color w:val="auto"/>
              </w:rPr>
            </w:pPr>
          </w:p>
        </w:tc>
        <w:tc>
          <w:tcPr>
            <w:tcW w:w="10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20" w:type="dxa"/>
            <w:vAlign w:val="bottom"/>
            <w:tcBorders>
              <w:top w:val="single" w:sz="8" w:color="CCEEFF"/>
            </w:tcBorders>
          </w:tcPr>
          <w:p>
            <w:pPr>
              <w:spacing w:after="0"/>
              <w:rPr>
                <w:sz w:val="13"/>
                <w:szCs w:val="13"/>
                <w:color w:val="auto"/>
              </w:rPr>
            </w:pPr>
          </w:p>
        </w:tc>
        <w:tc>
          <w:tcPr>
            <w:tcW w:w="4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32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42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300" w:type="dxa"/>
            <w:vAlign w:val="bottom"/>
            <w:tcBorders>
              <w:top w:val="single" w:sz="8" w:color="CCEEFF"/>
            </w:tcBorders>
          </w:tcPr>
          <w:p>
            <w:pPr>
              <w:spacing w:after="0"/>
              <w:rPr>
                <w:sz w:val="13"/>
                <w:szCs w:val="13"/>
                <w:color w:val="auto"/>
              </w:rPr>
            </w:pPr>
          </w:p>
        </w:tc>
        <w:tc>
          <w:tcPr>
            <w:tcW w:w="160" w:type="dxa"/>
            <w:vAlign w:val="bottom"/>
            <w:tcBorders>
              <w:top w:val="single" w:sz="8" w:color="CCEEFF"/>
            </w:tcBorders>
          </w:tcPr>
          <w:p>
            <w:pPr>
              <w:spacing w:after="0"/>
              <w:rPr>
                <w:sz w:val="13"/>
                <w:szCs w:val="13"/>
                <w:color w:val="auto"/>
              </w:rPr>
            </w:pPr>
          </w:p>
        </w:tc>
        <w:tc>
          <w:tcPr>
            <w:tcW w:w="6720" w:type="dxa"/>
            <w:vAlign w:val="bottom"/>
            <w:tcBorders>
              <w:top w:val="single" w:sz="8" w:color="CCEEFF"/>
            </w:tcBorders>
          </w:tcPr>
          <w:p>
            <w:pPr>
              <w:spacing w:after="0"/>
              <w:rPr>
                <w:sz w:val="13"/>
                <w:szCs w:val="13"/>
                <w:color w:val="auto"/>
              </w:rPr>
            </w:pPr>
          </w:p>
        </w:tc>
        <w:tc>
          <w:tcPr>
            <w:tcW w:w="500" w:type="dxa"/>
            <w:vAlign w:val="bottom"/>
            <w:tcBorders>
              <w:top w:val="single" w:sz="8" w:color="CCEEFF"/>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25"/>
        </w:trPr>
        <w:tc>
          <w:tcPr>
            <w:tcW w:w="20" w:type="dxa"/>
            <w:vAlign w:val="bottom"/>
            <w:vMerge w:val="continue"/>
          </w:tcPr>
          <w:p>
            <w:pPr>
              <w:spacing w:after="0"/>
              <w:rPr>
                <w:sz w:val="10"/>
                <w:szCs w:val="10"/>
                <w:color w:val="auto"/>
              </w:rPr>
            </w:pPr>
          </w:p>
        </w:tc>
        <w:tc>
          <w:tcPr>
            <w:tcW w:w="560" w:type="dxa"/>
            <w:vAlign w:val="bottom"/>
            <w:gridSpan w:val="4"/>
            <w:shd w:val="clear" w:color="auto" w:fill="CCEEFF"/>
          </w:tcPr>
          <w:p>
            <w:pPr>
              <w:spacing w:after="0" w:line="125" w:lineRule="exact"/>
              <w:rPr>
                <w:rFonts w:ascii="Arial" w:cs="Arial" w:eastAsia="Arial" w:hAnsi="Arial"/>
                <w:sz w:val="13"/>
                <w:szCs w:val="13"/>
                <w:b w:val="1"/>
                <w:bCs w:val="1"/>
                <w:color w:val="0000EE"/>
              </w:rPr>
            </w:pPr>
            <w:hyperlink w:anchor="page22">
              <w:r>
                <w:rPr>
                  <w:rFonts w:ascii="Arial" w:cs="Arial" w:eastAsia="Arial" w:hAnsi="Arial"/>
                  <w:sz w:val="13"/>
                  <w:szCs w:val="13"/>
                  <w:b w:val="1"/>
                  <w:bCs w:val="1"/>
                  <w:color w:val="0000EE"/>
                </w:rPr>
                <w:t>Item 4.</w:t>
              </w:r>
            </w:hyperlink>
          </w:p>
        </w:tc>
        <w:tc>
          <w:tcPr>
            <w:tcW w:w="420" w:type="dxa"/>
            <w:vAlign w:val="bottom"/>
            <w:shd w:val="clear" w:color="auto" w:fill="CCEEFF"/>
          </w:tcPr>
          <w:p>
            <w:pPr>
              <w:spacing w:after="0"/>
              <w:rPr>
                <w:sz w:val="10"/>
                <w:szCs w:val="10"/>
                <w:color w:val="auto"/>
              </w:rPr>
            </w:pPr>
          </w:p>
        </w:tc>
        <w:tc>
          <w:tcPr>
            <w:tcW w:w="220" w:type="dxa"/>
            <w:vAlign w:val="bottom"/>
            <w:tcBorders>
              <w:right w:val="single" w:sz="8" w:color="CCEEFF"/>
            </w:tcBorders>
            <w:shd w:val="clear" w:color="auto" w:fill="CCEEFF"/>
          </w:tcPr>
          <w:p>
            <w:pPr>
              <w:spacing w:after="0"/>
              <w:rPr>
                <w:sz w:val="10"/>
                <w:szCs w:val="10"/>
                <w:color w:val="auto"/>
              </w:rPr>
            </w:pPr>
          </w:p>
        </w:tc>
        <w:tc>
          <w:tcPr>
            <w:tcW w:w="9680" w:type="dxa"/>
            <w:vAlign w:val="bottom"/>
            <w:gridSpan w:val="20"/>
            <w:shd w:val="clear" w:color="auto" w:fill="CCEEFF"/>
          </w:tcPr>
          <w:p>
            <w:pPr>
              <w:spacing w:after="0" w:line="125" w:lineRule="exact"/>
              <w:rPr>
                <w:rFonts w:ascii="Arial" w:cs="Arial" w:eastAsia="Arial" w:hAnsi="Arial"/>
                <w:sz w:val="13"/>
                <w:szCs w:val="13"/>
                <w:b w:val="1"/>
                <w:bCs w:val="1"/>
                <w:color w:val="0000EE"/>
              </w:rPr>
            </w:pPr>
            <w:hyperlink w:anchor="page22">
              <w:r>
                <w:rPr>
                  <w:rFonts w:ascii="Arial" w:cs="Arial" w:eastAsia="Arial" w:hAnsi="Arial"/>
                  <w:sz w:val="13"/>
                  <w:szCs w:val="13"/>
                  <w:b w:val="1"/>
                  <w:bCs w:val="1"/>
                  <w:color w:val="0000EE"/>
                </w:rPr>
                <w:t>Information on the Company</w:t>
              </w:r>
            </w:hyperlink>
          </w:p>
        </w:tc>
        <w:tc>
          <w:tcPr>
            <w:tcW w:w="580" w:type="dxa"/>
            <w:vAlign w:val="bottom"/>
            <w:gridSpan w:val="2"/>
            <w:shd w:val="clear" w:color="auto" w:fill="CCEEFF"/>
          </w:tcPr>
          <w:p>
            <w:pPr>
              <w:jc w:val="right"/>
              <w:spacing w:after="0" w:line="125" w:lineRule="exact"/>
              <w:rPr>
                <w:rFonts w:ascii="Arial" w:cs="Arial" w:eastAsia="Arial" w:hAnsi="Arial"/>
                <w:sz w:val="13"/>
                <w:szCs w:val="13"/>
                <w:b w:val="1"/>
                <w:bCs w:val="1"/>
                <w:color w:val="0000EE"/>
              </w:rPr>
            </w:pPr>
            <w:hyperlink w:anchor="page22">
              <w:r>
                <w:rPr>
                  <w:rFonts w:ascii="Arial" w:cs="Arial" w:eastAsia="Arial" w:hAnsi="Arial"/>
                  <w:sz w:val="13"/>
                  <w:szCs w:val="13"/>
                  <w:b w:val="1"/>
                  <w:bCs w:val="1"/>
                  <w:color w:val="0000EE"/>
                </w:rPr>
                <w:t>20</w:t>
              </w:r>
            </w:hyperlink>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80" w:type="dxa"/>
            <w:vAlign w:val="bottom"/>
            <w:tcBorders>
              <w:left w:val="single" w:sz="8" w:color="0000EE"/>
            </w:tcBorders>
            <w:shd w:val="clear" w:color="auto" w:fill="0000EE"/>
          </w:tcPr>
          <w:p>
            <w:pPr>
              <w:spacing w:after="0"/>
              <w:rPr>
                <w:sz w:val="2"/>
                <w:szCs w:val="2"/>
                <w:color w:val="auto"/>
              </w:rPr>
            </w:pPr>
          </w:p>
        </w:tc>
        <w:tc>
          <w:tcPr>
            <w:tcW w:w="100" w:type="dxa"/>
            <w:vAlign w:val="bottom"/>
            <w:tcBorders>
              <w:left w:val="single" w:sz="8" w:color="CCEEFF"/>
            </w:tcBorders>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420" w:type="dxa"/>
            <w:vAlign w:val="bottom"/>
            <w:shd w:val="clear" w:color="auto" w:fill="CCEEFF"/>
          </w:tcPr>
          <w:p>
            <w:pPr>
              <w:spacing w:after="0"/>
              <w:rPr>
                <w:sz w:val="2"/>
                <w:szCs w:val="2"/>
                <w:color w:val="auto"/>
              </w:rPr>
            </w:pPr>
          </w:p>
        </w:tc>
        <w:tc>
          <w:tcPr>
            <w:tcW w:w="220" w:type="dxa"/>
            <w:vAlign w:val="bottom"/>
            <w:tcBorders>
              <w:right w:val="single" w:sz="8" w:color="0000EE"/>
            </w:tcBorders>
            <w:shd w:val="clear" w:color="auto" w:fill="CCEEFF"/>
          </w:tcPr>
          <w:p>
            <w:pPr>
              <w:spacing w:after="0"/>
              <w:rPr>
                <w:sz w:val="2"/>
                <w:szCs w:val="2"/>
                <w:color w:val="auto"/>
              </w:rPr>
            </w:pPr>
          </w:p>
        </w:tc>
        <w:tc>
          <w:tcPr>
            <w:tcW w:w="160" w:type="dxa"/>
            <w:vAlign w:val="bottom"/>
            <w:tcBorders>
              <w:right w:val="single" w:sz="8" w:color="0000EE"/>
            </w:tcBorders>
            <w:shd w:val="clear" w:color="auto" w:fill="0000EE"/>
          </w:tcPr>
          <w:p>
            <w:pPr>
              <w:spacing w:after="0"/>
              <w:rPr>
                <w:sz w:val="2"/>
                <w:szCs w:val="2"/>
                <w:color w:val="auto"/>
              </w:rPr>
            </w:pPr>
          </w:p>
        </w:tc>
        <w:tc>
          <w:tcPr>
            <w:tcW w:w="120" w:type="dxa"/>
            <w:vAlign w:val="bottom"/>
            <w:tcBorders>
              <w:right w:val="single" w:sz="8" w:color="0000EE"/>
            </w:tcBorders>
            <w:shd w:val="clear" w:color="auto" w:fill="0000EE"/>
          </w:tcPr>
          <w:p>
            <w:pPr>
              <w:spacing w:after="0"/>
              <w:rPr>
                <w:sz w:val="2"/>
                <w:szCs w:val="2"/>
                <w:color w:val="auto"/>
              </w:rPr>
            </w:pPr>
          </w:p>
        </w:tc>
        <w:tc>
          <w:tcPr>
            <w:tcW w:w="140" w:type="dxa"/>
            <w:vAlign w:val="bottom"/>
            <w:tcBorders>
              <w:left w:val="single" w:sz="8" w:color="0000EE"/>
              <w:right w:val="single" w:sz="8" w:color="0000EE"/>
            </w:tcBorders>
            <w:shd w:val="clear" w:color="auto" w:fill="0000EE"/>
          </w:tcPr>
          <w:p>
            <w:pPr>
              <w:spacing w:after="0"/>
              <w:rPr>
                <w:sz w:val="2"/>
                <w:szCs w:val="2"/>
                <w:color w:val="auto"/>
              </w:rPr>
            </w:pPr>
          </w:p>
        </w:tc>
        <w:tc>
          <w:tcPr>
            <w:tcW w:w="160" w:type="dxa"/>
            <w:vAlign w:val="bottom"/>
            <w:shd w:val="clear" w:color="auto" w:fill="0000EE"/>
          </w:tcPr>
          <w:p>
            <w:pPr>
              <w:spacing w:after="0"/>
              <w:rPr>
                <w:sz w:val="2"/>
                <w:szCs w:val="2"/>
                <w:color w:val="auto"/>
              </w:rPr>
            </w:pPr>
          </w:p>
        </w:tc>
        <w:tc>
          <w:tcPr>
            <w:tcW w:w="60" w:type="dxa"/>
            <w:vAlign w:val="bottom"/>
            <w:tcBorders>
              <w:right w:val="single" w:sz="8" w:color="0000EE"/>
            </w:tcBorders>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180" w:type="dxa"/>
            <w:vAlign w:val="bottom"/>
            <w:tcBorders>
              <w:right w:val="single" w:sz="8" w:color="0000EE"/>
            </w:tcBorders>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0" w:type="dxa"/>
            <w:vAlign w:val="bottom"/>
            <w:shd w:val="clear" w:color="auto" w:fill="0000EE"/>
          </w:tcPr>
          <w:p>
            <w:pPr>
              <w:spacing w:after="0"/>
              <w:rPr>
                <w:sz w:val="2"/>
                <w:szCs w:val="2"/>
                <w:color w:val="auto"/>
              </w:rPr>
            </w:pPr>
          </w:p>
        </w:tc>
        <w:tc>
          <w:tcPr>
            <w:tcW w:w="40" w:type="dxa"/>
            <w:vAlign w:val="bottom"/>
            <w:tcBorders>
              <w:right w:val="single" w:sz="8" w:color="0000EE"/>
            </w:tcBorders>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32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420" w:type="dxa"/>
            <w:vAlign w:val="bottom"/>
            <w:tcBorders>
              <w:right w:val="single" w:sz="8" w:color="CCEEFF"/>
            </w:tcBorders>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180" w:type="dxa"/>
            <w:vAlign w:val="bottom"/>
            <w:tcBorders>
              <w:left w:val="single" w:sz="8" w:color="CCEEFF"/>
            </w:tcBorders>
            <w:shd w:val="clear" w:color="auto" w:fill="CCEEFF"/>
          </w:tcPr>
          <w:p>
            <w:pPr>
              <w:spacing w:after="0"/>
              <w:rPr>
                <w:sz w:val="2"/>
                <w:szCs w:val="2"/>
                <w:color w:val="auto"/>
              </w:rPr>
            </w:pPr>
          </w:p>
        </w:tc>
        <w:tc>
          <w:tcPr>
            <w:tcW w:w="300" w:type="dxa"/>
            <w:vAlign w:val="bottom"/>
            <w:shd w:val="clear" w:color="auto" w:fill="CCEEFF"/>
          </w:tcPr>
          <w:p>
            <w:pPr>
              <w:spacing w:after="0"/>
              <w:rPr>
                <w:sz w:val="2"/>
                <w:szCs w:val="2"/>
                <w:color w:val="auto"/>
              </w:rPr>
            </w:pPr>
          </w:p>
        </w:tc>
        <w:tc>
          <w:tcPr>
            <w:tcW w:w="160" w:type="dxa"/>
            <w:vAlign w:val="bottom"/>
            <w:shd w:val="clear" w:color="auto" w:fill="CCEEFF"/>
          </w:tcPr>
          <w:p>
            <w:pPr>
              <w:spacing w:after="0"/>
              <w:rPr>
                <w:sz w:val="2"/>
                <w:szCs w:val="2"/>
                <w:color w:val="auto"/>
              </w:rPr>
            </w:pPr>
          </w:p>
        </w:tc>
        <w:tc>
          <w:tcPr>
            <w:tcW w:w="6720" w:type="dxa"/>
            <w:vAlign w:val="bottom"/>
            <w:shd w:val="clear" w:color="auto" w:fill="CCEEFF"/>
          </w:tcPr>
          <w:p>
            <w:pPr>
              <w:spacing w:after="0"/>
              <w:rPr>
                <w:sz w:val="2"/>
                <w:szCs w:val="2"/>
                <w:color w:val="auto"/>
              </w:rPr>
            </w:pPr>
          </w:p>
        </w:tc>
        <w:tc>
          <w:tcPr>
            <w:tcW w:w="500" w:type="dxa"/>
            <w:vAlign w:val="bottom"/>
            <w:tcBorders>
              <w:right w:val="single" w:sz="8" w:color="0000EE"/>
            </w:tcBorders>
            <w:shd w:val="clear" w:color="auto" w:fill="CCEEFF"/>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34"/>
        </w:trPr>
        <w:tc>
          <w:tcPr>
            <w:tcW w:w="20" w:type="dxa"/>
            <w:vAlign w:val="bottom"/>
            <w:vMerge w:val="continue"/>
          </w:tcPr>
          <w:p>
            <w:pPr>
              <w:spacing w:after="0"/>
              <w:rPr>
                <w:sz w:val="11"/>
                <w:szCs w:val="11"/>
                <w:color w:val="auto"/>
              </w:rPr>
            </w:pPr>
          </w:p>
        </w:tc>
        <w:tc>
          <w:tcPr>
            <w:tcW w:w="360" w:type="dxa"/>
            <w:vAlign w:val="bottom"/>
            <w:gridSpan w:val="2"/>
          </w:tcPr>
          <w:p>
            <w:pPr>
              <w:spacing w:after="0" w:line="125" w:lineRule="exact"/>
              <w:rPr>
                <w:rFonts w:ascii="Arial" w:cs="Arial" w:eastAsia="Arial" w:hAnsi="Arial"/>
                <w:sz w:val="13"/>
                <w:szCs w:val="13"/>
                <w:color w:val="0000EE"/>
              </w:rPr>
            </w:pPr>
            <w:hyperlink w:anchor="page22">
              <w:r>
                <w:rPr>
                  <w:rFonts w:ascii="Arial" w:cs="Arial" w:eastAsia="Arial" w:hAnsi="Arial"/>
                  <w:sz w:val="13"/>
                  <w:szCs w:val="13"/>
                  <w:color w:val="0000EE"/>
                </w:rPr>
                <w:t>A.</w:t>
              </w:r>
            </w:hyperlink>
          </w:p>
        </w:tc>
        <w:tc>
          <w:tcPr>
            <w:tcW w:w="200" w:type="dxa"/>
            <w:vAlign w:val="bottom"/>
            <w:gridSpan w:val="2"/>
          </w:tcPr>
          <w:p>
            <w:pPr>
              <w:spacing w:after="0"/>
              <w:rPr>
                <w:sz w:val="11"/>
                <w:szCs w:val="11"/>
                <w:color w:val="auto"/>
              </w:rPr>
            </w:pPr>
          </w:p>
        </w:tc>
        <w:tc>
          <w:tcPr>
            <w:tcW w:w="10320" w:type="dxa"/>
            <w:vAlign w:val="bottom"/>
            <w:gridSpan w:val="22"/>
          </w:tcPr>
          <w:p>
            <w:pPr>
              <w:spacing w:after="0" w:line="125" w:lineRule="exact"/>
              <w:rPr>
                <w:rFonts w:ascii="Arial" w:cs="Arial" w:eastAsia="Arial" w:hAnsi="Arial"/>
                <w:sz w:val="13"/>
                <w:szCs w:val="13"/>
                <w:color w:val="0000EE"/>
              </w:rPr>
            </w:pPr>
            <w:hyperlink w:anchor="page22">
              <w:r>
                <w:rPr>
                  <w:rFonts w:ascii="Arial" w:cs="Arial" w:eastAsia="Arial" w:hAnsi="Arial"/>
                  <w:sz w:val="13"/>
                  <w:szCs w:val="13"/>
                  <w:color w:val="0000EE"/>
                </w:rPr>
                <w:t>History and Development of the Company</w:t>
              </w:r>
            </w:hyperlink>
          </w:p>
        </w:tc>
        <w:tc>
          <w:tcPr>
            <w:tcW w:w="580" w:type="dxa"/>
            <w:vAlign w:val="bottom"/>
            <w:gridSpan w:val="2"/>
          </w:tcPr>
          <w:p>
            <w:pPr>
              <w:jc w:val="right"/>
              <w:spacing w:after="0" w:line="125" w:lineRule="exact"/>
              <w:rPr>
                <w:rFonts w:ascii="Arial" w:cs="Arial" w:eastAsia="Arial" w:hAnsi="Arial"/>
                <w:sz w:val="13"/>
                <w:szCs w:val="13"/>
                <w:color w:val="0000EE"/>
              </w:rPr>
            </w:pPr>
            <w:hyperlink w:anchor="page22">
              <w:r>
                <w:rPr>
                  <w:rFonts w:ascii="Arial" w:cs="Arial" w:eastAsia="Arial" w:hAnsi="Arial"/>
                  <w:sz w:val="13"/>
                  <w:szCs w:val="13"/>
                  <w:color w:val="0000EE"/>
                </w:rPr>
                <w:t>20</w:t>
              </w:r>
            </w:hyperlink>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25"/>
        </w:trPr>
        <w:tc>
          <w:tcPr>
            <w:tcW w:w="20" w:type="dxa"/>
            <w:vAlign w:val="bottom"/>
          </w:tcPr>
          <w:p>
            <w:pPr>
              <w:spacing w:after="0"/>
              <w:rPr>
                <w:sz w:val="10"/>
                <w:szCs w:val="10"/>
                <w:color w:val="auto"/>
              </w:rPr>
            </w:pPr>
          </w:p>
        </w:tc>
        <w:tc>
          <w:tcPr>
            <w:tcW w:w="80" w:type="dxa"/>
            <w:vAlign w:val="bottom"/>
            <w:tcBorders>
              <w:top w:val="single" w:sz="8" w:color="0000EE"/>
            </w:tcBorders>
            <w:shd w:val="clear" w:color="auto" w:fill="CCEEFF"/>
          </w:tcPr>
          <w:p>
            <w:pPr>
              <w:spacing w:after="0"/>
              <w:rPr>
                <w:rFonts w:ascii="Arial" w:cs="Arial" w:eastAsia="Arial" w:hAnsi="Arial"/>
                <w:sz w:val="5"/>
                <w:szCs w:val="5"/>
                <w:color w:val="0000EE"/>
                <w:w w:val="83"/>
              </w:rPr>
            </w:pPr>
            <w:hyperlink w:anchor="page23">
              <w:r>
                <w:rPr>
                  <w:rFonts w:ascii="Arial" w:cs="Arial" w:eastAsia="Arial" w:hAnsi="Arial"/>
                  <w:sz w:val="5"/>
                  <w:szCs w:val="5"/>
                  <w:color w:val="0000EE"/>
                  <w:w w:val="83"/>
                </w:rPr>
                <w:t>B.</w:t>
              </w:r>
            </w:hyperlink>
          </w:p>
        </w:tc>
        <w:tc>
          <w:tcPr>
            <w:tcW w:w="480" w:type="dxa"/>
            <w:vAlign w:val="bottom"/>
            <w:tcBorders>
              <w:left w:val="single" w:sz="8" w:color="CCEEFF"/>
            </w:tcBorders>
            <w:gridSpan w:val="3"/>
            <w:shd w:val="clear" w:color="auto" w:fill="CCEEFF"/>
          </w:tcPr>
          <w:p>
            <w:pPr>
              <w:spacing w:after="0"/>
              <w:rPr>
                <w:sz w:val="10"/>
                <w:szCs w:val="10"/>
                <w:color w:val="auto"/>
              </w:rPr>
            </w:pPr>
          </w:p>
        </w:tc>
        <w:tc>
          <w:tcPr>
            <w:tcW w:w="2180" w:type="dxa"/>
            <w:vAlign w:val="bottom"/>
            <w:tcBorders>
              <w:top w:val="single" w:sz="8" w:color="0000EE"/>
            </w:tcBorders>
            <w:gridSpan w:val="15"/>
            <w:shd w:val="clear" w:color="auto" w:fill="CCEEFF"/>
          </w:tcPr>
          <w:p>
            <w:pPr>
              <w:spacing w:after="0" w:line="125" w:lineRule="exact"/>
              <w:rPr>
                <w:rFonts w:ascii="Arial" w:cs="Arial" w:eastAsia="Arial" w:hAnsi="Arial"/>
                <w:sz w:val="13"/>
                <w:szCs w:val="13"/>
                <w:color w:val="0000EE"/>
              </w:rPr>
            </w:pPr>
            <w:hyperlink w:anchor="page23">
              <w:r>
                <w:rPr>
                  <w:rFonts w:ascii="Arial" w:cs="Arial" w:eastAsia="Arial" w:hAnsi="Arial"/>
                  <w:sz w:val="13"/>
                  <w:szCs w:val="13"/>
                  <w:color w:val="0000EE"/>
                </w:rPr>
                <w:t>Business Overview</w:t>
              </w:r>
            </w:hyperlink>
          </w:p>
        </w:tc>
        <w:tc>
          <w:tcPr>
            <w:tcW w:w="8140" w:type="dxa"/>
            <w:vAlign w:val="bottom"/>
            <w:gridSpan w:val="7"/>
            <w:shd w:val="clear" w:color="auto" w:fill="CCEEFF"/>
          </w:tcPr>
          <w:p>
            <w:pPr>
              <w:spacing w:after="0"/>
              <w:rPr>
                <w:sz w:val="10"/>
                <w:szCs w:val="10"/>
                <w:color w:val="auto"/>
              </w:rPr>
            </w:pPr>
          </w:p>
        </w:tc>
        <w:tc>
          <w:tcPr>
            <w:tcW w:w="500" w:type="dxa"/>
            <w:vAlign w:val="bottom"/>
            <w:tcBorders>
              <w:right w:val="single" w:sz="8" w:color="CCEEFF"/>
            </w:tcBorders>
            <w:shd w:val="clear" w:color="auto" w:fill="CCEEFF"/>
          </w:tcPr>
          <w:p>
            <w:pPr>
              <w:spacing w:after="0"/>
              <w:rPr>
                <w:sz w:val="10"/>
                <w:szCs w:val="10"/>
                <w:color w:val="auto"/>
              </w:rPr>
            </w:pPr>
          </w:p>
        </w:tc>
        <w:tc>
          <w:tcPr>
            <w:tcW w:w="80" w:type="dxa"/>
            <w:vAlign w:val="bottom"/>
            <w:tcBorders>
              <w:top w:val="single" w:sz="8" w:color="0000EE"/>
            </w:tcBorders>
            <w:shd w:val="clear" w:color="auto" w:fill="CCEEFF"/>
          </w:tcPr>
          <w:p>
            <w:pPr>
              <w:jc w:val="right"/>
              <w:spacing w:after="0"/>
              <w:rPr>
                <w:rFonts w:ascii="Arial" w:cs="Arial" w:eastAsia="Arial" w:hAnsi="Arial"/>
                <w:sz w:val="7"/>
                <w:szCs w:val="7"/>
                <w:color w:val="0000EE"/>
                <w:w w:val="76"/>
              </w:rPr>
            </w:pPr>
            <w:hyperlink w:anchor="page23">
              <w:r>
                <w:rPr>
                  <w:rFonts w:ascii="Arial" w:cs="Arial" w:eastAsia="Arial" w:hAnsi="Arial"/>
                  <w:sz w:val="7"/>
                  <w:szCs w:val="7"/>
                  <w:color w:val="0000EE"/>
                  <w:w w:val="76"/>
                </w:rPr>
                <w:t>21</w:t>
              </w:r>
            </w:hyperlink>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80" w:type="dxa"/>
            <w:vAlign w:val="bottom"/>
            <w:tcBorders>
              <w:left w:val="single" w:sz="8" w:color="0000EE"/>
            </w:tcBorders>
            <w:shd w:val="clear" w:color="auto" w:fill="CCEEFF"/>
          </w:tcPr>
          <w:p>
            <w:pPr>
              <w:spacing w:after="0"/>
              <w:rPr>
                <w:sz w:val="2"/>
                <w:szCs w:val="2"/>
                <w:color w:val="auto"/>
              </w:rPr>
            </w:pPr>
          </w:p>
        </w:tc>
        <w:tc>
          <w:tcPr>
            <w:tcW w:w="100" w:type="dxa"/>
            <w:vAlign w:val="bottom"/>
            <w:tcBorders>
              <w:left w:val="single" w:sz="8" w:color="CCEEFF"/>
            </w:tcBorders>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420" w:type="dxa"/>
            <w:vAlign w:val="bottom"/>
            <w:shd w:val="clear" w:color="auto" w:fill="0000EE"/>
          </w:tcPr>
          <w:p>
            <w:pPr>
              <w:spacing w:after="0"/>
              <w:rPr>
                <w:sz w:val="2"/>
                <w:szCs w:val="2"/>
                <w:color w:val="auto"/>
              </w:rPr>
            </w:pPr>
          </w:p>
        </w:tc>
        <w:tc>
          <w:tcPr>
            <w:tcW w:w="220" w:type="dxa"/>
            <w:vAlign w:val="bottom"/>
            <w:tcBorders>
              <w:right w:val="single" w:sz="8" w:color="0000EE"/>
            </w:tcBorders>
            <w:shd w:val="clear" w:color="auto" w:fill="0000EE"/>
          </w:tcPr>
          <w:p>
            <w:pPr>
              <w:spacing w:after="0"/>
              <w:rPr>
                <w:sz w:val="2"/>
                <w:szCs w:val="2"/>
                <w:color w:val="auto"/>
              </w:rPr>
            </w:pPr>
          </w:p>
        </w:tc>
        <w:tc>
          <w:tcPr>
            <w:tcW w:w="160" w:type="dxa"/>
            <w:vAlign w:val="bottom"/>
            <w:tcBorders>
              <w:right w:val="single" w:sz="8" w:color="0000EE"/>
            </w:tcBorders>
            <w:shd w:val="clear" w:color="auto" w:fill="0000EE"/>
          </w:tcPr>
          <w:p>
            <w:pPr>
              <w:spacing w:after="0"/>
              <w:rPr>
                <w:sz w:val="2"/>
                <w:szCs w:val="2"/>
                <w:color w:val="auto"/>
              </w:rPr>
            </w:pPr>
          </w:p>
        </w:tc>
        <w:tc>
          <w:tcPr>
            <w:tcW w:w="120" w:type="dxa"/>
            <w:vAlign w:val="bottom"/>
            <w:tcBorders>
              <w:right w:val="single" w:sz="8" w:color="0000EE"/>
            </w:tcBorders>
            <w:shd w:val="clear" w:color="auto" w:fill="0000EE"/>
          </w:tcPr>
          <w:p>
            <w:pPr>
              <w:spacing w:after="0"/>
              <w:rPr>
                <w:sz w:val="2"/>
                <w:szCs w:val="2"/>
                <w:color w:val="auto"/>
              </w:rPr>
            </w:pPr>
          </w:p>
        </w:tc>
        <w:tc>
          <w:tcPr>
            <w:tcW w:w="140" w:type="dxa"/>
            <w:vAlign w:val="bottom"/>
            <w:tcBorders>
              <w:left w:val="single" w:sz="8" w:color="0000EE"/>
              <w:right w:val="single" w:sz="8" w:color="CCEEFF"/>
            </w:tcBorders>
            <w:shd w:val="clear" w:color="auto" w:fill="CCEEFF"/>
          </w:tcPr>
          <w:p>
            <w:pPr>
              <w:spacing w:after="0"/>
              <w:rPr>
                <w:sz w:val="2"/>
                <w:szCs w:val="2"/>
                <w:color w:val="auto"/>
              </w:rPr>
            </w:pPr>
          </w:p>
        </w:tc>
        <w:tc>
          <w:tcPr>
            <w:tcW w:w="160" w:type="dxa"/>
            <w:vAlign w:val="bottom"/>
            <w:shd w:val="clear" w:color="auto" w:fill="CCEEFF"/>
          </w:tcPr>
          <w:p>
            <w:pPr>
              <w:spacing w:after="0"/>
              <w:rPr>
                <w:sz w:val="2"/>
                <w:szCs w:val="2"/>
                <w:color w:val="auto"/>
              </w:rPr>
            </w:pPr>
          </w:p>
        </w:tc>
        <w:tc>
          <w:tcPr>
            <w:tcW w:w="60" w:type="dxa"/>
            <w:vAlign w:val="bottom"/>
            <w:tcBorders>
              <w:right w:val="single" w:sz="8" w:color="CCEEFF"/>
            </w:tcBorders>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180" w:type="dxa"/>
            <w:vAlign w:val="bottom"/>
            <w:tcBorders>
              <w:right w:val="single" w:sz="8" w:color="CCEEFF"/>
            </w:tcBorders>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20" w:type="dxa"/>
            <w:vAlign w:val="bottom"/>
            <w:shd w:val="clear" w:color="auto" w:fill="CCEEFF"/>
          </w:tcPr>
          <w:p>
            <w:pPr>
              <w:spacing w:after="0"/>
              <w:rPr>
                <w:sz w:val="2"/>
                <w:szCs w:val="2"/>
                <w:color w:val="auto"/>
              </w:rPr>
            </w:pPr>
          </w:p>
        </w:tc>
        <w:tc>
          <w:tcPr>
            <w:tcW w:w="40" w:type="dxa"/>
            <w:vAlign w:val="bottom"/>
            <w:tcBorders>
              <w:right w:val="single" w:sz="8" w:color="CCEEFF"/>
            </w:tcBorders>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32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420" w:type="dxa"/>
            <w:vAlign w:val="bottom"/>
            <w:tcBorders>
              <w:right w:val="single" w:sz="8" w:color="CCEEFF"/>
            </w:tcBorders>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180" w:type="dxa"/>
            <w:vAlign w:val="bottom"/>
            <w:tcBorders>
              <w:left w:val="single" w:sz="8" w:color="CCEEFF"/>
            </w:tcBorders>
            <w:shd w:val="clear" w:color="auto" w:fill="CCEEFF"/>
          </w:tcPr>
          <w:p>
            <w:pPr>
              <w:spacing w:after="0"/>
              <w:rPr>
                <w:sz w:val="2"/>
                <w:szCs w:val="2"/>
                <w:color w:val="auto"/>
              </w:rPr>
            </w:pPr>
          </w:p>
        </w:tc>
        <w:tc>
          <w:tcPr>
            <w:tcW w:w="300" w:type="dxa"/>
            <w:vAlign w:val="bottom"/>
            <w:shd w:val="clear" w:color="auto" w:fill="CCEEFF"/>
          </w:tcPr>
          <w:p>
            <w:pPr>
              <w:spacing w:after="0"/>
              <w:rPr>
                <w:sz w:val="2"/>
                <w:szCs w:val="2"/>
                <w:color w:val="auto"/>
              </w:rPr>
            </w:pPr>
          </w:p>
        </w:tc>
        <w:tc>
          <w:tcPr>
            <w:tcW w:w="160" w:type="dxa"/>
            <w:vAlign w:val="bottom"/>
            <w:shd w:val="clear" w:color="auto" w:fill="CCEEFF"/>
          </w:tcPr>
          <w:p>
            <w:pPr>
              <w:spacing w:after="0"/>
              <w:rPr>
                <w:sz w:val="2"/>
                <w:szCs w:val="2"/>
                <w:color w:val="auto"/>
              </w:rPr>
            </w:pPr>
          </w:p>
        </w:tc>
        <w:tc>
          <w:tcPr>
            <w:tcW w:w="6720" w:type="dxa"/>
            <w:vAlign w:val="bottom"/>
            <w:shd w:val="clear" w:color="auto" w:fill="CCEEFF"/>
          </w:tcPr>
          <w:p>
            <w:pPr>
              <w:spacing w:after="0"/>
              <w:rPr>
                <w:sz w:val="2"/>
                <w:szCs w:val="2"/>
                <w:color w:val="auto"/>
              </w:rPr>
            </w:pPr>
          </w:p>
        </w:tc>
        <w:tc>
          <w:tcPr>
            <w:tcW w:w="500" w:type="dxa"/>
            <w:vAlign w:val="bottom"/>
            <w:tcBorders>
              <w:right w:val="single" w:sz="8" w:color="0000EE"/>
            </w:tcBorders>
            <w:shd w:val="clear" w:color="auto" w:fill="CCEEFF"/>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34"/>
        </w:trPr>
        <w:tc>
          <w:tcPr>
            <w:tcW w:w="20" w:type="dxa"/>
            <w:vAlign w:val="bottom"/>
            <w:vMerge w:val="continue"/>
          </w:tcPr>
          <w:p>
            <w:pPr>
              <w:spacing w:after="0"/>
              <w:rPr>
                <w:sz w:val="11"/>
                <w:szCs w:val="11"/>
                <w:color w:val="auto"/>
              </w:rPr>
            </w:pPr>
          </w:p>
        </w:tc>
        <w:tc>
          <w:tcPr>
            <w:tcW w:w="80" w:type="dxa"/>
            <w:vAlign w:val="bottom"/>
            <w:tcBorders>
              <w:bottom w:val="single" w:sz="8" w:color="0000EE"/>
            </w:tcBorders>
          </w:tcPr>
          <w:p>
            <w:pPr>
              <w:spacing w:after="0"/>
              <w:rPr>
                <w:rFonts w:ascii="Arial" w:cs="Arial" w:eastAsia="Arial" w:hAnsi="Arial"/>
                <w:sz w:val="5"/>
                <w:szCs w:val="5"/>
                <w:color w:val="0000EE"/>
                <w:w w:val="78"/>
              </w:rPr>
            </w:pPr>
            <w:hyperlink w:anchor="page46">
              <w:r>
                <w:rPr>
                  <w:rFonts w:ascii="Arial" w:cs="Arial" w:eastAsia="Arial" w:hAnsi="Arial"/>
                  <w:sz w:val="5"/>
                  <w:szCs w:val="5"/>
                  <w:color w:val="0000EE"/>
                  <w:w w:val="78"/>
                </w:rPr>
                <w:t>C.</w:t>
              </w:r>
            </w:hyperlink>
          </w:p>
        </w:tc>
        <w:tc>
          <w:tcPr>
            <w:tcW w:w="480" w:type="dxa"/>
            <w:vAlign w:val="bottom"/>
            <w:gridSpan w:val="3"/>
          </w:tcPr>
          <w:p>
            <w:pPr>
              <w:spacing w:after="0"/>
              <w:rPr>
                <w:sz w:val="11"/>
                <w:szCs w:val="11"/>
                <w:color w:val="auto"/>
              </w:rPr>
            </w:pPr>
          </w:p>
        </w:tc>
        <w:tc>
          <w:tcPr>
            <w:tcW w:w="1280" w:type="dxa"/>
            <w:vAlign w:val="bottom"/>
            <w:tcBorders>
              <w:bottom w:val="single" w:sz="8" w:color="0000EE"/>
            </w:tcBorders>
            <w:gridSpan w:val="7"/>
          </w:tcPr>
          <w:p>
            <w:pPr>
              <w:spacing w:after="0" w:line="125" w:lineRule="exact"/>
              <w:rPr>
                <w:rFonts w:ascii="Arial" w:cs="Arial" w:eastAsia="Arial" w:hAnsi="Arial"/>
                <w:sz w:val="13"/>
                <w:szCs w:val="13"/>
                <w:color w:val="0000EE"/>
                <w:w w:val="88"/>
              </w:rPr>
            </w:pPr>
            <w:hyperlink w:anchor="page46">
              <w:r>
                <w:rPr>
                  <w:rFonts w:ascii="Arial" w:cs="Arial" w:eastAsia="Arial" w:hAnsi="Arial"/>
                  <w:sz w:val="13"/>
                  <w:szCs w:val="13"/>
                  <w:color w:val="0000EE"/>
                  <w:w w:val="88"/>
                </w:rPr>
                <w:t>Organizational Structure</w:t>
              </w:r>
            </w:hyperlink>
          </w:p>
        </w:tc>
        <w:tc>
          <w:tcPr>
            <w:tcW w:w="9040" w:type="dxa"/>
            <w:vAlign w:val="bottom"/>
            <w:gridSpan w:val="15"/>
          </w:tcPr>
          <w:p>
            <w:pPr>
              <w:spacing w:after="0"/>
              <w:rPr>
                <w:sz w:val="11"/>
                <w:szCs w:val="11"/>
                <w:color w:val="auto"/>
              </w:rPr>
            </w:pPr>
          </w:p>
        </w:tc>
        <w:tc>
          <w:tcPr>
            <w:tcW w:w="500" w:type="dxa"/>
            <w:vAlign w:val="bottom"/>
          </w:tcPr>
          <w:p>
            <w:pPr>
              <w:spacing w:after="0"/>
              <w:rPr>
                <w:sz w:val="11"/>
                <w:szCs w:val="11"/>
                <w:color w:val="auto"/>
              </w:rPr>
            </w:pPr>
          </w:p>
        </w:tc>
        <w:tc>
          <w:tcPr>
            <w:tcW w:w="80" w:type="dxa"/>
            <w:vAlign w:val="bottom"/>
            <w:tcBorders>
              <w:bottom w:val="single" w:sz="8" w:color="0000EE"/>
            </w:tcBorders>
          </w:tcPr>
          <w:p>
            <w:pPr>
              <w:jc w:val="right"/>
              <w:spacing w:after="0"/>
              <w:rPr>
                <w:rFonts w:ascii="Arial" w:cs="Arial" w:eastAsia="Arial" w:hAnsi="Arial"/>
                <w:sz w:val="7"/>
                <w:szCs w:val="7"/>
                <w:color w:val="0000EE"/>
                <w:w w:val="76"/>
              </w:rPr>
            </w:pPr>
            <w:hyperlink w:anchor="page46">
              <w:r>
                <w:rPr>
                  <w:rFonts w:ascii="Arial" w:cs="Arial" w:eastAsia="Arial" w:hAnsi="Arial"/>
                  <w:sz w:val="7"/>
                  <w:szCs w:val="7"/>
                  <w:color w:val="0000EE"/>
                  <w:w w:val="76"/>
                </w:rPr>
                <w:t>44</w:t>
              </w:r>
            </w:hyperlink>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560" w:type="dxa"/>
            <w:vAlign w:val="bottom"/>
            <w:gridSpan w:val="4"/>
            <w:shd w:val="clear" w:color="auto" w:fill="CCEEFF"/>
          </w:tcPr>
          <w:p>
            <w:pPr>
              <w:spacing w:after="0" w:line="125" w:lineRule="exact"/>
              <w:rPr>
                <w:rFonts w:ascii="Arial" w:cs="Arial" w:eastAsia="Arial" w:hAnsi="Arial"/>
                <w:sz w:val="13"/>
                <w:szCs w:val="13"/>
                <w:color w:val="0000EE"/>
              </w:rPr>
            </w:pPr>
            <w:hyperlink w:anchor="page46">
              <w:r>
                <w:rPr>
                  <w:rFonts w:ascii="Arial" w:cs="Arial" w:eastAsia="Arial" w:hAnsi="Arial"/>
                  <w:sz w:val="13"/>
                  <w:szCs w:val="13"/>
                  <w:color w:val="0000EE"/>
                </w:rPr>
                <w:t>D.</w:t>
              </w:r>
            </w:hyperlink>
          </w:p>
        </w:tc>
        <w:tc>
          <w:tcPr>
            <w:tcW w:w="10320" w:type="dxa"/>
            <w:vAlign w:val="bottom"/>
            <w:gridSpan w:val="22"/>
            <w:shd w:val="clear" w:color="auto" w:fill="CCEEFF"/>
          </w:tcPr>
          <w:p>
            <w:pPr>
              <w:spacing w:after="0" w:line="125" w:lineRule="exact"/>
              <w:rPr>
                <w:rFonts w:ascii="Arial" w:cs="Arial" w:eastAsia="Arial" w:hAnsi="Arial"/>
                <w:sz w:val="13"/>
                <w:szCs w:val="13"/>
                <w:color w:val="0000EE"/>
              </w:rPr>
            </w:pPr>
            <w:hyperlink w:anchor="page46">
              <w:r>
                <w:rPr>
                  <w:rFonts w:ascii="Arial" w:cs="Arial" w:eastAsia="Arial" w:hAnsi="Arial"/>
                  <w:sz w:val="13"/>
                  <w:szCs w:val="13"/>
                  <w:color w:val="0000EE"/>
                </w:rPr>
                <w:t>Property, Plant and Equipment</w:t>
              </w:r>
            </w:hyperlink>
          </w:p>
        </w:tc>
        <w:tc>
          <w:tcPr>
            <w:tcW w:w="580" w:type="dxa"/>
            <w:vAlign w:val="bottom"/>
            <w:gridSpan w:val="2"/>
            <w:shd w:val="clear" w:color="auto" w:fill="CCEEFF"/>
          </w:tcPr>
          <w:p>
            <w:pPr>
              <w:jc w:val="right"/>
              <w:spacing w:after="0" w:line="125" w:lineRule="exact"/>
              <w:rPr>
                <w:rFonts w:ascii="Arial" w:cs="Arial" w:eastAsia="Arial" w:hAnsi="Arial"/>
                <w:sz w:val="13"/>
                <w:szCs w:val="13"/>
                <w:color w:val="0000EE"/>
              </w:rPr>
            </w:pPr>
            <w:hyperlink w:anchor="page46">
              <w:r>
                <w:rPr>
                  <w:rFonts w:ascii="Arial" w:cs="Arial" w:eastAsia="Arial" w:hAnsi="Arial"/>
                  <w:sz w:val="13"/>
                  <w:szCs w:val="13"/>
                  <w:color w:val="0000EE"/>
                </w:rPr>
                <w:t>44</w:t>
              </w:r>
            </w:hyperlink>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280" w:type="dxa"/>
            <w:vAlign w:val="bottom"/>
            <w:tcBorders>
              <w:top w:val="single" w:sz="8" w:color="CCEEFF"/>
            </w:tcBorders>
          </w:tcPr>
          <w:p>
            <w:pPr>
              <w:spacing w:after="0"/>
              <w:rPr>
                <w:sz w:val="13"/>
                <w:szCs w:val="13"/>
                <w:color w:val="auto"/>
              </w:rPr>
            </w:pPr>
          </w:p>
        </w:tc>
        <w:tc>
          <w:tcPr>
            <w:tcW w:w="100" w:type="dxa"/>
            <w:vAlign w:val="bottom"/>
            <w:tcBorders>
              <w:top w:val="single" w:sz="8" w:color="CCEEFF"/>
            </w:tcBorders>
          </w:tcPr>
          <w:p>
            <w:pPr>
              <w:spacing w:after="0"/>
              <w:rPr>
                <w:sz w:val="13"/>
                <w:szCs w:val="13"/>
                <w:color w:val="auto"/>
              </w:rPr>
            </w:pPr>
          </w:p>
        </w:tc>
        <w:tc>
          <w:tcPr>
            <w:tcW w:w="100" w:type="dxa"/>
            <w:vAlign w:val="bottom"/>
            <w:tcBorders>
              <w:top w:val="single" w:sz="8" w:color="CCEEFF"/>
            </w:tcBorders>
          </w:tcPr>
          <w:p>
            <w:pPr>
              <w:spacing w:after="0"/>
              <w:rPr>
                <w:sz w:val="13"/>
                <w:szCs w:val="13"/>
                <w:color w:val="auto"/>
              </w:rPr>
            </w:pPr>
          </w:p>
        </w:tc>
        <w:tc>
          <w:tcPr>
            <w:tcW w:w="420" w:type="dxa"/>
            <w:vAlign w:val="bottom"/>
            <w:tcBorders>
              <w:top w:val="single" w:sz="8" w:color="0000EE"/>
            </w:tcBorders>
          </w:tcPr>
          <w:p>
            <w:pPr>
              <w:spacing w:after="0"/>
              <w:rPr>
                <w:sz w:val="13"/>
                <w:szCs w:val="13"/>
                <w:color w:val="auto"/>
              </w:rPr>
            </w:pPr>
          </w:p>
        </w:tc>
        <w:tc>
          <w:tcPr>
            <w:tcW w:w="220" w:type="dxa"/>
            <w:vAlign w:val="bottom"/>
            <w:tcBorders>
              <w:top w:val="single" w:sz="8" w:color="0000EE"/>
            </w:tcBorders>
          </w:tcPr>
          <w:p>
            <w:pPr>
              <w:spacing w:after="0"/>
              <w:rPr>
                <w:sz w:val="13"/>
                <w:szCs w:val="13"/>
                <w:color w:val="auto"/>
              </w:rPr>
            </w:pPr>
          </w:p>
        </w:tc>
        <w:tc>
          <w:tcPr>
            <w:tcW w:w="160" w:type="dxa"/>
            <w:vAlign w:val="bottom"/>
            <w:tcBorders>
              <w:top w:val="single" w:sz="8" w:color="0000EE"/>
            </w:tcBorders>
          </w:tcPr>
          <w:p>
            <w:pPr>
              <w:spacing w:after="0"/>
              <w:rPr>
                <w:sz w:val="13"/>
                <w:szCs w:val="13"/>
                <w:color w:val="auto"/>
              </w:rPr>
            </w:pPr>
          </w:p>
        </w:tc>
        <w:tc>
          <w:tcPr>
            <w:tcW w:w="120" w:type="dxa"/>
            <w:vAlign w:val="bottom"/>
            <w:tcBorders>
              <w:top w:val="single" w:sz="8" w:color="0000EE"/>
            </w:tcBorders>
          </w:tcPr>
          <w:p>
            <w:pPr>
              <w:spacing w:after="0"/>
              <w:rPr>
                <w:sz w:val="13"/>
                <w:szCs w:val="13"/>
                <w:color w:val="auto"/>
              </w:rPr>
            </w:pPr>
          </w:p>
        </w:tc>
        <w:tc>
          <w:tcPr>
            <w:tcW w:w="140" w:type="dxa"/>
            <w:vAlign w:val="bottom"/>
            <w:tcBorders>
              <w:top w:val="single" w:sz="8" w:color="0000EE"/>
            </w:tcBorders>
          </w:tcPr>
          <w:p>
            <w:pPr>
              <w:spacing w:after="0"/>
              <w:rPr>
                <w:sz w:val="13"/>
                <w:szCs w:val="13"/>
                <w:color w:val="auto"/>
              </w:rPr>
            </w:pPr>
          </w:p>
        </w:tc>
        <w:tc>
          <w:tcPr>
            <w:tcW w:w="160" w:type="dxa"/>
            <w:vAlign w:val="bottom"/>
            <w:tcBorders>
              <w:top w:val="single" w:sz="8" w:color="0000EE"/>
            </w:tcBorders>
          </w:tcPr>
          <w:p>
            <w:pPr>
              <w:spacing w:after="0"/>
              <w:rPr>
                <w:sz w:val="13"/>
                <w:szCs w:val="13"/>
                <w:color w:val="auto"/>
              </w:rPr>
            </w:pPr>
          </w:p>
        </w:tc>
        <w:tc>
          <w:tcPr>
            <w:tcW w:w="60" w:type="dxa"/>
            <w:vAlign w:val="bottom"/>
            <w:tcBorders>
              <w:top w:val="single" w:sz="8" w:color="0000EE"/>
            </w:tcBorders>
          </w:tcPr>
          <w:p>
            <w:pPr>
              <w:spacing w:after="0"/>
              <w:rPr>
                <w:sz w:val="13"/>
                <w:szCs w:val="13"/>
                <w:color w:val="auto"/>
              </w:rPr>
            </w:pPr>
          </w:p>
        </w:tc>
        <w:tc>
          <w:tcPr>
            <w:tcW w:w="100" w:type="dxa"/>
            <w:vAlign w:val="bottom"/>
            <w:tcBorders>
              <w:top w:val="single" w:sz="8" w:color="0000EE"/>
            </w:tcBorders>
          </w:tcPr>
          <w:p>
            <w:pPr>
              <w:spacing w:after="0"/>
              <w:rPr>
                <w:sz w:val="13"/>
                <w:szCs w:val="13"/>
                <w:color w:val="auto"/>
              </w:rPr>
            </w:pPr>
          </w:p>
        </w:tc>
        <w:tc>
          <w:tcPr>
            <w:tcW w:w="180" w:type="dxa"/>
            <w:vAlign w:val="bottom"/>
            <w:tcBorders>
              <w:top w:val="single" w:sz="8" w:color="0000EE"/>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20" w:type="dxa"/>
            <w:vAlign w:val="bottom"/>
            <w:tcBorders>
              <w:top w:val="single" w:sz="8" w:color="CCEEFF"/>
            </w:tcBorders>
          </w:tcPr>
          <w:p>
            <w:pPr>
              <w:spacing w:after="0"/>
              <w:rPr>
                <w:sz w:val="13"/>
                <w:szCs w:val="13"/>
                <w:color w:val="auto"/>
              </w:rPr>
            </w:pPr>
          </w:p>
        </w:tc>
        <w:tc>
          <w:tcPr>
            <w:tcW w:w="4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32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42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300" w:type="dxa"/>
            <w:vAlign w:val="bottom"/>
            <w:tcBorders>
              <w:top w:val="single" w:sz="8" w:color="CCEEFF"/>
            </w:tcBorders>
          </w:tcPr>
          <w:p>
            <w:pPr>
              <w:spacing w:after="0"/>
              <w:rPr>
                <w:sz w:val="13"/>
                <w:szCs w:val="13"/>
                <w:color w:val="auto"/>
              </w:rPr>
            </w:pPr>
          </w:p>
        </w:tc>
        <w:tc>
          <w:tcPr>
            <w:tcW w:w="160" w:type="dxa"/>
            <w:vAlign w:val="bottom"/>
            <w:tcBorders>
              <w:top w:val="single" w:sz="8" w:color="CCEEFF"/>
            </w:tcBorders>
          </w:tcPr>
          <w:p>
            <w:pPr>
              <w:spacing w:after="0"/>
              <w:rPr>
                <w:sz w:val="13"/>
                <w:szCs w:val="13"/>
                <w:color w:val="auto"/>
              </w:rPr>
            </w:pPr>
          </w:p>
        </w:tc>
        <w:tc>
          <w:tcPr>
            <w:tcW w:w="6720" w:type="dxa"/>
            <w:vAlign w:val="bottom"/>
            <w:tcBorders>
              <w:top w:val="single" w:sz="8" w:color="CCEEFF"/>
            </w:tcBorders>
          </w:tcPr>
          <w:p>
            <w:pPr>
              <w:spacing w:after="0"/>
              <w:rPr>
                <w:sz w:val="13"/>
                <w:szCs w:val="13"/>
                <w:color w:val="auto"/>
              </w:rPr>
            </w:pPr>
          </w:p>
        </w:tc>
        <w:tc>
          <w:tcPr>
            <w:tcW w:w="500" w:type="dxa"/>
            <w:vAlign w:val="bottom"/>
            <w:tcBorders>
              <w:top w:val="single" w:sz="8" w:color="CCEEFF"/>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560" w:type="dxa"/>
            <w:vAlign w:val="bottom"/>
            <w:gridSpan w:val="4"/>
            <w:shd w:val="clear" w:color="auto" w:fill="CCEEFF"/>
          </w:tcPr>
          <w:p>
            <w:pPr>
              <w:spacing w:after="0" w:line="125" w:lineRule="exact"/>
              <w:rPr>
                <w:rFonts w:ascii="Arial" w:cs="Arial" w:eastAsia="Arial" w:hAnsi="Arial"/>
                <w:sz w:val="13"/>
                <w:szCs w:val="13"/>
                <w:b w:val="1"/>
                <w:bCs w:val="1"/>
                <w:color w:val="0000EE"/>
              </w:rPr>
            </w:pPr>
            <w:hyperlink w:anchor="page46">
              <w:r>
                <w:rPr>
                  <w:rFonts w:ascii="Arial" w:cs="Arial" w:eastAsia="Arial" w:hAnsi="Arial"/>
                  <w:sz w:val="13"/>
                  <w:szCs w:val="13"/>
                  <w:b w:val="1"/>
                  <w:bCs w:val="1"/>
                  <w:color w:val="0000EE"/>
                </w:rPr>
                <w:t>Item 4A.</w:t>
              </w:r>
            </w:hyperlink>
          </w:p>
        </w:tc>
        <w:tc>
          <w:tcPr>
            <w:tcW w:w="420" w:type="dxa"/>
            <w:vAlign w:val="bottom"/>
            <w:shd w:val="clear" w:color="auto" w:fill="CCEEFF"/>
          </w:tcPr>
          <w:p>
            <w:pPr>
              <w:spacing w:after="0"/>
              <w:rPr>
                <w:sz w:val="11"/>
                <w:szCs w:val="11"/>
                <w:color w:val="auto"/>
              </w:rPr>
            </w:pPr>
          </w:p>
        </w:tc>
        <w:tc>
          <w:tcPr>
            <w:tcW w:w="220" w:type="dxa"/>
            <w:vAlign w:val="bottom"/>
            <w:tcBorders>
              <w:right w:val="single" w:sz="8" w:color="CCEEFF"/>
            </w:tcBorders>
            <w:shd w:val="clear" w:color="auto" w:fill="CCEEFF"/>
          </w:tcPr>
          <w:p>
            <w:pPr>
              <w:spacing w:after="0"/>
              <w:rPr>
                <w:sz w:val="11"/>
                <w:szCs w:val="11"/>
                <w:color w:val="auto"/>
              </w:rPr>
            </w:pPr>
          </w:p>
        </w:tc>
        <w:tc>
          <w:tcPr>
            <w:tcW w:w="9680" w:type="dxa"/>
            <w:vAlign w:val="bottom"/>
            <w:gridSpan w:val="20"/>
            <w:shd w:val="clear" w:color="auto" w:fill="CCEEFF"/>
          </w:tcPr>
          <w:p>
            <w:pPr>
              <w:spacing w:after="0" w:line="125" w:lineRule="exact"/>
              <w:rPr>
                <w:rFonts w:ascii="Arial" w:cs="Arial" w:eastAsia="Arial" w:hAnsi="Arial"/>
                <w:sz w:val="13"/>
                <w:szCs w:val="13"/>
                <w:b w:val="1"/>
                <w:bCs w:val="1"/>
                <w:color w:val="0000EE"/>
              </w:rPr>
            </w:pPr>
            <w:hyperlink w:anchor="page46">
              <w:r>
                <w:rPr>
                  <w:rFonts w:ascii="Arial" w:cs="Arial" w:eastAsia="Arial" w:hAnsi="Arial"/>
                  <w:sz w:val="13"/>
                  <w:szCs w:val="13"/>
                  <w:b w:val="1"/>
                  <w:bCs w:val="1"/>
                  <w:color w:val="0000EE"/>
                </w:rPr>
                <w:t>Unresolved Staff Comments</w:t>
              </w:r>
            </w:hyperlink>
          </w:p>
        </w:tc>
        <w:tc>
          <w:tcPr>
            <w:tcW w:w="580" w:type="dxa"/>
            <w:vAlign w:val="bottom"/>
            <w:gridSpan w:val="2"/>
            <w:shd w:val="clear" w:color="auto" w:fill="CCEEFF"/>
          </w:tcPr>
          <w:p>
            <w:pPr>
              <w:jc w:val="right"/>
              <w:spacing w:after="0" w:line="125" w:lineRule="exact"/>
              <w:rPr>
                <w:rFonts w:ascii="Arial" w:cs="Arial" w:eastAsia="Arial" w:hAnsi="Arial"/>
                <w:sz w:val="13"/>
                <w:szCs w:val="13"/>
                <w:b w:val="1"/>
                <w:bCs w:val="1"/>
                <w:color w:val="0000EE"/>
              </w:rPr>
            </w:pPr>
            <w:hyperlink w:anchor="page46">
              <w:r>
                <w:rPr>
                  <w:rFonts w:ascii="Arial" w:cs="Arial" w:eastAsia="Arial" w:hAnsi="Arial"/>
                  <w:sz w:val="13"/>
                  <w:szCs w:val="13"/>
                  <w:b w:val="1"/>
                  <w:bCs w:val="1"/>
                  <w:color w:val="0000EE"/>
                </w:rPr>
                <w:t>44</w:t>
              </w:r>
            </w:hyperlink>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280" w:type="dxa"/>
            <w:vAlign w:val="bottom"/>
            <w:tcBorders>
              <w:top w:val="single" w:sz="8" w:color="0000EE"/>
            </w:tcBorders>
          </w:tcPr>
          <w:p>
            <w:pPr>
              <w:spacing w:after="0"/>
              <w:rPr>
                <w:sz w:val="13"/>
                <w:szCs w:val="13"/>
                <w:color w:val="auto"/>
              </w:rPr>
            </w:pPr>
          </w:p>
        </w:tc>
        <w:tc>
          <w:tcPr>
            <w:tcW w:w="100" w:type="dxa"/>
            <w:vAlign w:val="bottom"/>
            <w:tcBorders>
              <w:top w:val="single" w:sz="8" w:color="0000EE"/>
            </w:tcBorders>
          </w:tcPr>
          <w:p>
            <w:pPr>
              <w:spacing w:after="0"/>
              <w:rPr>
                <w:sz w:val="13"/>
                <w:szCs w:val="13"/>
                <w:color w:val="auto"/>
              </w:rPr>
            </w:pPr>
          </w:p>
        </w:tc>
        <w:tc>
          <w:tcPr>
            <w:tcW w:w="100" w:type="dxa"/>
            <w:vAlign w:val="bottom"/>
            <w:tcBorders>
              <w:top w:val="single" w:sz="8" w:color="CCEEFF"/>
            </w:tcBorders>
          </w:tcPr>
          <w:p>
            <w:pPr>
              <w:spacing w:after="0"/>
              <w:rPr>
                <w:sz w:val="13"/>
                <w:szCs w:val="13"/>
                <w:color w:val="auto"/>
              </w:rPr>
            </w:pPr>
          </w:p>
        </w:tc>
        <w:tc>
          <w:tcPr>
            <w:tcW w:w="420" w:type="dxa"/>
            <w:vAlign w:val="bottom"/>
            <w:tcBorders>
              <w:top w:val="single" w:sz="8" w:color="CCEEFF"/>
            </w:tcBorders>
          </w:tcPr>
          <w:p>
            <w:pPr>
              <w:spacing w:after="0"/>
              <w:rPr>
                <w:sz w:val="13"/>
                <w:szCs w:val="13"/>
                <w:color w:val="auto"/>
              </w:rPr>
            </w:pPr>
          </w:p>
        </w:tc>
        <w:tc>
          <w:tcPr>
            <w:tcW w:w="220" w:type="dxa"/>
            <w:vAlign w:val="bottom"/>
            <w:tcBorders>
              <w:top w:val="single" w:sz="8" w:color="CCEEFF"/>
            </w:tcBorders>
          </w:tcPr>
          <w:p>
            <w:pPr>
              <w:spacing w:after="0"/>
              <w:rPr>
                <w:sz w:val="13"/>
                <w:szCs w:val="13"/>
                <w:color w:val="auto"/>
              </w:rPr>
            </w:pPr>
          </w:p>
        </w:tc>
        <w:tc>
          <w:tcPr>
            <w:tcW w:w="160" w:type="dxa"/>
            <w:vAlign w:val="bottom"/>
            <w:tcBorders>
              <w:top w:val="single" w:sz="8" w:color="0000EE"/>
            </w:tcBorders>
          </w:tcPr>
          <w:p>
            <w:pPr>
              <w:spacing w:after="0"/>
              <w:rPr>
                <w:sz w:val="13"/>
                <w:szCs w:val="13"/>
                <w:color w:val="auto"/>
              </w:rPr>
            </w:pPr>
          </w:p>
        </w:tc>
        <w:tc>
          <w:tcPr>
            <w:tcW w:w="120" w:type="dxa"/>
            <w:vAlign w:val="bottom"/>
            <w:tcBorders>
              <w:top w:val="single" w:sz="8" w:color="0000EE"/>
            </w:tcBorders>
          </w:tcPr>
          <w:p>
            <w:pPr>
              <w:spacing w:after="0"/>
              <w:rPr>
                <w:sz w:val="13"/>
                <w:szCs w:val="13"/>
                <w:color w:val="auto"/>
              </w:rPr>
            </w:pPr>
          </w:p>
        </w:tc>
        <w:tc>
          <w:tcPr>
            <w:tcW w:w="140" w:type="dxa"/>
            <w:vAlign w:val="bottom"/>
            <w:tcBorders>
              <w:top w:val="single" w:sz="8" w:color="0000EE"/>
            </w:tcBorders>
          </w:tcPr>
          <w:p>
            <w:pPr>
              <w:spacing w:after="0"/>
              <w:rPr>
                <w:sz w:val="13"/>
                <w:szCs w:val="13"/>
                <w:color w:val="auto"/>
              </w:rPr>
            </w:pPr>
          </w:p>
        </w:tc>
        <w:tc>
          <w:tcPr>
            <w:tcW w:w="160" w:type="dxa"/>
            <w:vAlign w:val="bottom"/>
            <w:tcBorders>
              <w:top w:val="single" w:sz="8" w:color="0000EE"/>
            </w:tcBorders>
          </w:tcPr>
          <w:p>
            <w:pPr>
              <w:spacing w:after="0"/>
              <w:rPr>
                <w:sz w:val="13"/>
                <w:szCs w:val="13"/>
                <w:color w:val="auto"/>
              </w:rPr>
            </w:pPr>
          </w:p>
        </w:tc>
        <w:tc>
          <w:tcPr>
            <w:tcW w:w="60" w:type="dxa"/>
            <w:vAlign w:val="bottom"/>
            <w:tcBorders>
              <w:top w:val="single" w:sz="8" w:color="0000EE"/>
            </w:tcBorders>
          </w:tcPr>
          <w:p>
            <w:pPr>
              <w:spacing w:after="0"/>
              <w:rPr>
                <w:sz w:val="13"/>
                <w:szCs w:val="13"/>
                <w:color w:val="auto"/>
              </w:rPr>
            </w:pPr>
          </w:p>
        </w:tc>
        <w:tc>
          <w:tcPr>
            <w:tcW w:w="100" w:type="dxa"/>
            <w:vAlign w:val="bottom"/>
            <w:tcBorders>
              <w:top w:val="single" w:sz="8" w:color="0000EE"/>
            </w:tcBorders>
          </w:tcPr>
          <w:p>
            <w:pPr>
              <w:spacing w:after="0"/>
              <w:rPr>
                <w:sz w:val="13"/>
                <w:szCs w:val="13"/>
                <w:color w:val="auto"/>
              </w:rPr>
            </w:pPr>
          </w:p>
        </w:tc>
        <w:tc>
          <w:tcPr>
            <w:tcW w:w="18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20" w:type="dxa"/>
            <w:vAlign w:val="bottom"/>
            <w:tcBorders>
              <w:top w:val="single" w:sz="8" w:color="0000EE"/>
            </w:tcBorders>
          </w:tcPr>
          <w:p>
            <w:pPr>
              <w:spacing w:after="0"/>
              <w:rPr>
                <w:sz w:val="13"/>
                <w:szCs w:val="13"/>
                <w:color w:val="auto"/>
              </w:rPr>
            </w:pPr>
          </w:p>
        </w:tc>
        <w:tc>
          <w:tcPr>
            <w:tcW w:w="4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320" w:type="dxa"/>
            <w:vAlign w:val="bottom"/>
            <w:tcBorders>
              <w:top w:val="single" w:sz="8" w:color="0000EE"/>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42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300" w:type="dxa"/>
            <w:vAlign w:val="bottom"/>
            <w:tcBorders>
              <w:top w:val="single" w:sz="8" w:color="CCEEFF"/>
            </w:tcBorders>
          </w:tcPr>
          <w:p>
            <w:pPr>
              <w:spacing w:after="0"/>
              <w:rPr>
                <w:sz w:val="13"/>
                <w:szCs w:val="13"/>
                <w:color w:val="auto"/>
              </w:rPr>
            </w:pPr>
          </w:p>
        </w:tc>
        <w:tc>
          <w:tcPr>
            <w:tcW w:w="160" w:type="dxa"/>
            <w:vAlign w:val="bottom"/>
            <w:tcBorders>
              <w:top w:val="single" w:sz="8" w:color="CCEEFF"/>
            </w:tcBorders>
          </w:tcPr>
          <w:p>
            <w:pPr>
              <w:spacing w:after="0"/>
              <w:rPr>
                <w:sz w:val="13"/>
                <w:szCs w:val="13"/>
                <w:color w:val="auto"/>
              </w:rPr>
            </w:pPr>
          </w:p>
        </w:tc>
        <w:tc>
          <w:tcPr>
            <w:tcW w:w="6720" w:type="dxa"/>
            <w:vAlign w:val="bottom"/>
            <w:tcBorders>
              <w:top w:val="single" w:sz="8" w:color="CCEEFF"/>
            </w:tcBorders>
          </w:tcPr>
          <w:p>
            <w:pPr>
              <w:spacing w:after="0"/>
              <w:rPr>
                <w:sz w:val="13"/>
                <w:szCs w:val="13"/>
                <w:color w:val="auto"/>
              </w:rPr>
            </w:pPr>
          </w:p>
        </w:tc>
        <w:tc>
          <w:tcPr>
            <w:tcW w:w="500" w:type="dxa"/>
            <w:vAlign w:val="bottom"/>
            <w:tcBorders>
              <w:top w:val="single" w:sz="8" w:color="CCEEFF"/>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25"/>
        </w:trPr>
        <w:tc>
          <w:tcPr>
            <w:tcW w:w="20" w:type="dxa"/>
            <w:vAlign w:val="bottom"/>
            <w:vMerge w:val="continue"/>
          </w:tcPr>
          <w:p>
            <w:pPr>
              <w:spacing w:after="0"/>
              <w:rPr>
                <w:sz w:val="10"/>
                <w:szCs w:val="10"/>
                <w:color w:val="auto"/>
              </w:rPr>
            </w:pPr>
          </w:p>
        </w:tc>
        <w:tc>
          <w:tcPr>
            <w:tcW w:w="560" w:type="dxa"/>
            <w:vAlign w:val="bottom"/>
            <w:gridSpan w:val="4"/>
            <w:shd w:val="clear" w:color="auto" w:fill="CCEEFF"/>
          </w:tcPr>
          <w:p>
            <w:pPr>
              <w:spacing w:after="0" w:line="125" w:lineRule="exact"/>
              <w:rPr>
                <w:rFonts w:ascii="Arial" w:cs="Arial" w:eastAsia="Arial" w:hAnsi="Arial"/>
                <w:sz w:val="13"/>
                <w:szCs w:val="13"/>
                <w:b w:val="1"/>
                <w:bCs w:val="1"/>
                <w:color w:val="0000EE"/>
              </w:rPr>
            </w:pPr>
            <w:hyperlink w:anchor="page46">
              <w:r>
                <w:rPr>
                  <w:rFonts w:ascii="Arial" w:cs="Arial" w:eastAsia="Arial" w:hAnsi="Arial"/>
                  <w:sz w:val="13"/>
                  <w:szCs w:val="13"/>
                  <w:b w:val="1"/>
                  <w:bCs w:val="1"/>
                  <w:color w:val="0000EE"/>
                </w:rPr>
                <w:t>Item 5.</w:t>
              </w:r>
            </w:hyperlink>
          </w:p>
        </w:tc>
        <w:tc>
          <w:tcPr>
            <w:tcW w:w="420" w:type="dxa"/>
            <w:vAlign w:val="bottom"/>
            <w:shd w:val="clear" w:color="auto" w:fill="CCEEFF"/>
          </w:tcPr>
          <w:p>
            <w:pPr>
              <w:spacing w:after="0"/>
              <w:rPr>
                <w:sz w:val="10"/>
                <w:szCs w:val="10"/>
                <w:color w:val="auto"/>
              </w:rPr>
            </w:pPr>
          </w:p>
        </w:tc>
        <w:tc>
          <w:tcPr>
            <w:tcW w:w="220" w:type="dxa"/>
            <w:vAlign w:val="bottom"/>
            <w:tcBorders>
              <w:right w:val="single" w:sz="8" w:color="CCEEFF"/>
            </w:tcBorders>
            <w:shd w:val="clear" w:color="auto" w:fill="CCEEFF"/>
          </w:tcPr>
          <w:p>
            <w:pPr>
              <w:spacing w:after="0"/>
              <w:rPr>
                <w:sz w:val="10"/>
                <w:szCs w:val="10"/>
                <w:color w:val="auto"/>
              </w:rPr>
            </w:pPr>
          </w:p>
        </w:tc>
        <w:tc>
          <w:tcPr>
            <w:tcW w:w="9680" w:type="dxa"/>
            <w:vAlign w:val="bottom"/>
            <w:gridSpan w:val="20"/>
            <w:shd w:val="clear" w:color="auto" w:fill="CCEEFF"/>
          </w:tcPr>
          <w:p>
            <w:pPr>
              <w:spacing w:after="0" w:line="125" w:lineRule="exact"/>
              <w:rPr>
                <w:rFonts w:ascii="Arial" w:cs="Arial" w:eastAsia="Arial" w:hAnsi="Arial"/>
                <w:sz w:val="13"/>
                <w:szCs w:val="13"/>
                <w:b w:val="1"/>
                <w:bCs w:val="1"/>
                <w:color w:val="0000EE"/>
              </w:rPr>
            </w:pPr>
            <w:hyperlink w:anchor="page46">
              <w:r>
                <w:rPr>
                  <w:rFonts w:ascii="Arial" w:cs="Arial" w:eastAsia="Arial" w:hAnsi="Arial"/>
                  <w:sz w:val="13"/>
                  <w:szCs w:val="13"/>
                  <w:b w:val="1"/>
                  <w:bCs w:val="1"/>
                  <w:color w:val="0000EE"/>
                </w:rPr>
                <w:t>Operating and Financial Review and Prospects</w:t>
              </w:r>
            </w:hyperlink>
          </w:p>
        </w:tc>
        <w:tc>
          <w:tcPr>
            <w:tcW w:w="580" w:type="dxa"/>
            <w:vAlign w:val="bottom"/>
            <w:gridSpan w:val="2"/>
            <w:shd w:val="clear" w:color="auto" w:fill="CCEEFF"/>
          </w:tcPr>
          <w:p>
            <w:pPr>
              <w:jc w:val="right"/>
              <w:spacing w:after="0" w:line="125" w:lineRule="exact"/>
              <w:rPr>
                <w:rFonts w:ascii="Arial" w:cs="Arial" w:eastAsia="Arial" w:hAnsi="Arial"/>
                <w:sz w:val="13"/>
                <w:szCs w:val="13"/>
                <w:b w:val="1"/>
                <w:bCs w:val="1"/>
                <w:color w:val="0000EE"/>
              </w:rPr>
            </w:pPr>
            <w:hyperlink w:anchor="page46">
              <w:r>
                <w:rPr>
                  <w:rFonts w:ascii="Arial" w:cs="Arial" w:eastAsia="Arial" w:hAnsi="Arial"/>
                  <w:sz w:val="13"/>
                  <w:szCs w:val="13"/>
                  <w:b w:val="1"/>
                  <w:bCs w:val="1"/>
                  <w:color w:val="0000EE"/>
                </w:rPr>
                <w:t>44</w:t>
              </w:r>
            </w:hyperlink>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80" w:type="dxa"/>
            <w:vAlign w:val="bottom"/>
            <w:tcBorders>
              <w:left w:val="single" w:sz="8" w:color="0000EE"/>
            </w:tcBorders>
            <w:shd w:val="clear" w:color="auto" w:fill="0000EE"/>
          </w:tcPr>
          <w:p>
            <w:pPr>
              <w:spacing w:after="0"/>
              <w:rPr>
                <w:sz w:val="2"/>
                <w:szCs w:val="2"/>
                <w:color w:val="auto"/>
              </w:rPr>
            </w:pPr>
          </w:p>
        </w:tc>
        <w:tc>
          <w:tcPr>
            <w:tcW w:w="100" w:type="dxa"/>
            <w:vAlign w:val="bottom"/>
            <w:tcBorders>
              <w:left w:val="single" w:sz="8" w:color="CCEEFF"/>
            </w:tcBorders>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420" w:type="dxa"/>
            <w:vAlign w:val="bottom"/>
            <w:shd w:val="clear" w:color="auto" w:fill="CCEEFF"/>
          </w:tcPr>
          <w:p>
            <w:pPr>
              <w:spacing w:after="0"/>
              <w:rPr>
                <w:sz w:val="2"/>
                <w:szCs w:val="2"/>
                <w:color w:val="auto"/>
              </w:rPr>
            </w:pPr>
          </w:p>
        </w:tc>
        <w:tc>
          <w:tcPr>
            <w:tcW w:w="220" w:type="dxa"/>
            <w:vAlign w:val="bottom"/>
            <w:tcBorders>
              <w:right w:val="single" w:sz="8" w:color="0000EE"/>
            </w:tcBorders>
            <w:shd w:val="clear" w:color="auto" w:fill="CCEEFF"/>
          </w:tcPr>
          <w:p>
            <w:pPr>
              <w:spacing w:after="0"/>
              <w:rPr>
                <w:sz w:val="2"/>
                <w:szCs w:val="2"/>
                <w:color w:val="auto"/>
              </w:rPr>
            </w:pPr>
          </w:p>
        </w:tc>
        <w:tc>
          <w:tcPr>
            <w:tcW w:w="160" w:type="dxa"/>
            <w:vAlign w:val="bottom"/>
            <w:tcBorders>
              <w:right w:val="single" w:sz="8" w:color="0000EE"/>
            </w:tcBorders>
            <w:shd w:val="clear" w:color="auto" w:fill="0000EE"/>
          </w:tcPr>
          <w:p>
            <w:pPr>
              <w:spacing w:after="0"/>
              <w:rPr>
                <w:sz w:val="2"/>
                <w:szCs w:val="2"/>
                <w:color w:val="auto"/>
              </w:rPr>
            </w:pPr>
          </w:p>
        </w:tc>
        <w:tc>
          <w:tcPr>
            <w:tcW w:w="120" w:type="dxa"/>
            <w:vAlign w:val="bottom"/>
            <w:tcBorders>
              <w:right w:val="single" w:sz="8" w:color="0000EE"/>
            </w:tcBorders>
            <w:shd w:val="clear" w:color="auto" w:fill="0000EE"/>
          </w:tcPr>
          <w:p>
            <w:pPr>
              <w:spacing w:after="0"/>
              <w:rPr>
                <w:sz w:val="2"/>
                <w:szCs w:val="2"/>
                <w:color w:val="auto"/>
              </w:rPr>
            </w:pPr>
          </w:p>
        </w:tc>
        <w:tc>
          <w:tcPr>
            <w:tcW w:w="140" w:type="dxa"/>
            <w:vAlign w:val="bottom"/>
            <w:tcBorders>
              <w:left w:val="single" w:sz="8" w:color="0000EE"/>
              <w:right w:val="single" w:sz="8" w:color="0000EE"/>
            </w:tcBorders>
            <w:shd w:val="clear" w:color="auto" w:fill="0000EE"/>
          </w:tcPr>
          <w:p>
            <w:pPr>
              <w:spacing w:after="0"/>
              <w:rPr>
                <w:sz w:val="2"/>
                <w:szCs w:val="2"/>
                <w:color w:val="auto"/>
              </w:rPr>
            </w:pPr>
          </w:p>
        </w:tc>
        <w:tc>
          <w:tcPr>
            <w:tcW w:w="160" w:type="dxa"/>
            <w:vAlign w:val="bottom"/>
            <w:shd w:val="clear" w:color="auto" w:fill="0000EE"/>
          </w:tcPr>
          <w:p>
            <w:pPr>
              <w:spacing w:after="0"/>
              <w:rPr>
                <w:sz w:val="2"/>
                <w:szCs w:val="2"/>
                <w:color w:val="auto"/>
              </w:rPr>
            </w:pPr>
          </w:p>
        </w:tc>
        <w:tc>
          <w:tcPr>
            <w:tcW w:w="60" w:type="dxa"/>
            <w:vAlign w:val="bottom"/>
            <w:tcBorders>
              <w:right w:val="single" w:sz="8" w:color="0000EE"/>
            </w:tcBorders>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180" w:type="dxa"/>
            <w:vAlign w:val="bottom"/>
            <w:tcBorders>
              <w:right w:val="single" w:sz="8" w:color="0000EE"/>
            </w:tcBorders>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0" w:type="dxa"/>
            <w:vAlign w:val="bottom"/>
            <w:shd w:val="clear" w:color="auto" w:fill="0000EE"/>
          </w:tcPr>
          <w:p>
            <w:pPr>
              <w:spacing w:after="0"/>
              <w:rPr>
                <w:sz w:val="2"/>
                <w:szCs w:val="2"/>
                <w:color w:val="auto"/>
              </w:rPr>
            </w:pPr>
          </w:p>
        </w:tc>
        <w:tc>
          <w:tcPr>
            <w:tcW w:w="40" w:type="dxa"/>
            <w:vAlign w:val="bottom"/>
            <w:tcBorders>
              <w:right w:val="single" w:sz="8" w:color="0000EE"/>
            </w:tcBorders>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32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180" w:type="dxa"/>
            <w:vAlign w:val="bottom"/>
            <w:shd w:val="clear" w:color="auto" w:fill="0000EE"/>
          </w:tcPr>
          <w:p>
            <w:pPr>
              <w:spacing w:after="0"/>
              <w:rPr>
                <w:sz w:val="2"/>
                <w:szCs w:val="2"/>
                <w:color w:val="auto"/>
              </w:rPr>
            </w:pPr>
          </w:p>
        </w:tc>
        <w:tc>
          <w:tcPr>
            <w:tcW w:w="420" w:type="dxa"/>
            <w:vAlign w:val="bottom"/>
            <w:tcBorders>
              <w:right w:val="single" w:sz="8" w:color="0000EE"/>
            </w:tcBorders>
            <w:shd w:val="clear" w:color="auto" w:fill="0000EE"/>
          </w:tcPr>
          <w:p>
            <w:pPr>
              <w:spacing w:after="0"/>
              <w:rPr>
                <w:sz w:val="2"/>
                <w:szCs w:val="2"/>
                <w:color w:val="auto"/>
              </w:rPr>
            </w:pPr>
          </w:p>
        </w:tc>
        <w:tc>
          <w:tcPr>
            <w:tcW w:w="180" w:type="dxa"/>
            <w:vAlign w:val="bottom"/>
            <w:shd w:val="clear" w:color="auto" w:fill="0000EE"/>
          </w:tcPr>
          <w:p>
            <w:pPr>
              <w:spacing w:after="0"/>
              <w:rPr>
                <w:sz w:val="2"/>
                <w:szCs w:val="2"/>
                <w:color w:val="auto"/>
              </w:rPr>
            </w:pPr>
          </w:p>
        </w:tc>
        <w:tc>
          <w:tcPr>
            <w:tcW w:w="180" w:type="dxa"/>
            <w:vAlign w:val="bottom"/>
            <w:tcBorders>
              <w:left w:val="single" w:sz="8" w:color="0000EE"/>
            </w:tcBorders>
            <w:shd w:val="clear" w:color="auto" w:fill="0000EE"/>
          </w:tcPr>
          <w:p>
            <w:pPr>
              <w:spacing w:after="0"/>
              <w:rPr>
                <w:sz w:val="2"/>
                <w:szCs w:val="2"/>
                <w:color w:val="auto"/>
              </w:rPr>
            </w:pPr>
          </w:p>
        </w:tc>
        <w:tc>
          <w:tcPr>
            <w:tcW w:w="300" w:type="dxa"/>
            <w:vAlign w:val="bottom"/>
            <w:shd w:val="clear" w:color="auto" w:fill="CCEEFF"/>
          </w:tcPr>
          <w:p>
            <w:pPr>
              <w:spacing w:after="0"/>
              <w:rPr>
                <w:sz w:val="2"/>
                <w:szCs w:val="2"/>
                <w:color w:val="auto"/>
              </w:rPr>
            </w:pPr>
          </w:p>
        </w:tc>
        <w:tc>
          <w:tcPr>
            <w:tcW w:w="160" w:type="dxa"/>
            <w:vAlign w:val="bottom"/>
            <w:shd w:val="clear" w:color="auto" w:fill="CCEEFF"/>
          </w:tcPr>
          <w:p>
            <w:pPr>
              <w:spacing w:after="0"/>
              <w:rPr>
                <w:sz w:val="2"/>
                <w:szCs w:val="2"/>
                <w:color w:val="auto"/>
              </w:rPr>
            </w:pPr>
          </w:p>
        </w:tc>
        <w:tc>
          <w:tcPr>
            <w:tcW w:w="6720" w:type="dxa"/>
            <w:vAlign w:val="bottom"/>
            <w:shd w:val="clear" w:color="auto" w:fill="CCEEFF"/>
          </w:tcPr>
          <w:p>
            <w:pPr>
              <w:spacing w:after="0"/>
              <w:rPr>
                <w:sz w:val="2"/>
                <w:szCs w:val="2"/>
                <w:color w:val="auto"/>
              </w:rPr>
            </w:pPr>
          </w:p>
        </w:tc>
        <w:tc>
          <w:tcPr>
            <w:tcW w:w="500" w:type="dxa"/>
            <w:vAlign w:val="bottom"/>
            <w:tcBorders>
              <w:right w:val="single" w:sz="8" w:color="0000EE"/>
            </w:tcBorders>
            <w:shd w:val="clear" w:color="auto" w:fill="CCEEFF"/>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25"/>
        </w:trPr>
        <w:tc>
          <w:tcPr>
            <w:tcW w:w="20" w:type="dxa"/>
            <w:vAlign w:val="bottom"/>
            <w:vMerge w:val="continue"/>
          </w:tcPr>
          <w:p>
            <w:pPr>
              <w:spacing w:after="0"/>
              <w:rPr>
                <w:sz w:val="10"/>
                <w:szCs w:val="10"/>
                <w:color w:val="auto"/>
              </w:rPr>
            </w:pPr>
          </w:p>
        </w:tc>
        <w:tc>
          <w:tcPr>
            <w:tcW w:w="360" w:type="dxa"/>
            <w:vAlign w:val="bottom"/>
            <w:gridSpan w:val="2"/>
          </w:tcPr>
          <w:p>
            <w:pPr>
              <w:spacing w:after="0" w:line="125" w:lineRule="exact"/>
              <w:rPr>
                <w:rFonts w:ascii="Arial" w:cs="Arial" w:eastAsia="Arial" w:hAnsi="Arial"/>
                <w:sz w:val="13"/>
                <w:szCs w:val="13"/>
                <w:color w:val="0000EE"/>
              </w:rPr>
            </w:pPr>
            <w:hyperlink w:anchor="page47">
              <w:r>
                <w:rPr>
                  <w:rFonts w:ascii="Arial" w:cs="Arial" w:eastAsia="Arial" w:hAnsi="Arial"/>
                  <w:sz w:val="13"/>
                  <w:szCs w:val="13"/>
                  <w:color w:val="0000EE"/>
                </w:rPr>
                <w:t>A.</w:t>
              </w:r>
            </w:hyperlink>
          </w:p>
        </w:tc>
        <w:tc>
          <w:tcPr>
            <w:tcW w:w="200" w:type="dxa"/>
            <w:vAlign w:val="bottom"/>
            <w:gridSpan w:val="2"/>
          </w:tcPr>
          <w:p>
            <w:pPr>
              <w:spacing w:after="0"/>
              <w:rPr>
                <w:sz w:val="10"/>
                <w:szCs w:val="10"/>
                <w:color w:val="auto"/>
              </w:rPr>
            </w:pPr>
          </w:p>
        </w:tc>
        <w:tc>
          <w:tcPr>
            <w:tcW w:w="10320" w:type="dxa"/>
            <w:vAlign w:val="bottom"/>
            <w:gridSpan w:val="22"/>
          </w:tcPr>
          <w:p>
            <w:pPr>
              <w:spacing w:after="0" w:line="125" w:lineRule="exact"/>
              <w:rPr>
                <w:rFonts w:ascii="Arial" w:cs="Arial" w:eastAsia="Arial" w:hAnsi="Arial"/>
                <w:sz w:val="13"/>
                <w:szCs w:val="13"/>
                <w:color w:val="0000EE"/>
              </w:rPr>
            </w:pPr>
            <w:hyperlink w:anchor="page47">
              <w:r>
                <w:rPr>
                  <w:rFonts w:ascii="Arial" w:cs="Arial" w:eastAsia="Arial" w:hAnsi="Arial"/>
                  <w:sz w:val="13"/>
                  <w:szCs w:val="13"/>
                  <w:color w:val="0000EE"/>
                </w:rPr>
                <w:t>Operating Results</w:t>
              </w:r>
            </w:hyperlink>
          </w:p>
        </w:tc>
        <w:tc>
          <w:tcPr>
            <w:tcW w:w="580" w:type="dxa"/>
            <w:vAlign w:val="bottom"/>
            <w:gridSpan w:val="2"/>
          </w:tcPr>
          <w:p>
            <w:pPr>
              <w:jc w:val="right"/>
              <w:spacing w:after="0" w:line="125" w:lineRule="exact"/>
              <w:rPr>
                <w:rFonts w:ascii="Arial" w:cs="Arial" w:eastAsia="Arial" w:hAnsi="Arial"/>
                <w:sz w:val="13"/>
                <w:szCs w:val="13"/>
                <w:color w:val="0000EE"/>
              </w:rPr>
            </w:pPr>
            <w:hyperlink w:anchor="page47">
              <w:r>
                <w:rPr>
                  <w:rFonts w:ascii="Arial" w:cs="Arial" w:eastAsia="Arial" w:hAnsi="Arial"/>
                  <w:sz w:val="13"/>
                  <w:szCs w:val="13"/>
                  <w:color w:val="0000EE"/>
                </w:rPr>
                <w:t>45</w:t>
              </w:r>
            </w:hyperlink>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80" w:type="dxa"/>
            <w:vAlign w:val="bottom"/>
            <w:tcBorders>
              <w:left w:val="single" w:sz="8" w:color="0000EE"/>
            </w:tcBorders>
          </w:tcPr>
          <w:p>
            <w:pPr>
              <w:spacing w:after="0"/>
              <w:rPr>
                <w:sz w:val="2"/>
                <w:szCs w:val="2"/>
                <w:color w:val="auto"/>
              </w:rPr>
            </w:pPr>
          </w:p>
        </w:tc>
        <w:tc>
          <w:tcPr>
            <w:tcW w:w="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420" w:type="dxa"/>
            <w:vAlign w:val="bottom"/>
            <w:shd w:val="clear" w:color="auto" w:fill="0000EE"/>
          </w:tcPr>
          <w:p>
            <w:pPr>
              <w:spacing w:after="0"/>
              <w:rPr>
                <w:sz w:val="2"/>
                <w:szCs w:val="2"/>
                <w:color w:val="auto"/>
              </w:rPr>
            </w:pPr>
          </w:p>
        </w:tc>
        <w:tc>
          <w:tcPr>
            <w:tcW w:w="220" w:type="dxa"/>
            <w:vAlign w:val="bottom"/>
            <w:tcBorders>
              <w:right w:val="single" w:sz="8" w:color="0000EE"/>
            </w:tcBorders>
            <w:shd w:val="clear" w:color="auto" w:fill="0000EE"/>
          </w:tcPr>
          <w:p>
            <w:pPr>
              <w:spacing w:after="0"/>
              <w:rPr>
                <w:sz w:val="2"/>
                <w:szCs w:val="2"/>
                <w:color w:val="auto"/>
              </w:rPr>
            </w:pPr>
          </w:p>
        </w:tc>
        <w:tc>
          <w:tcPr>
            <w:tcW w:w="160" w:type="dxa"/>
            <w:vAlign w:val="bottom"/>
            <w:tcBorders>
              <w:right w:val="single" w:sz="8" w:color="0000EE"/>
            </w:tcBorders>
            <w:shd w:val="clear" w:color="auto" w:fill="0000EE"/>
          </w:tcPr>
          <w:p>
            <w:pPr>
              <w:spacing w:after="0"/>
              <w:rPr>
                <w:sz w:val="2"/>
                <w:szCs w:val="2"/>
                <w:color w:val="auto"/>
              </w:rPr>
            </w:pPr>
          </w:p>
        </w:tc>
        <w:tc>
          <w:tcPr>
            <w:tcW w:w="120" w:type="dxa"/>
            <w:vAlign w:val="bottom"/>
            <w:tcBorders>
              <w:right w:val="single" w:sz="8" w:color="0000EE"/>
            </w:tcBorders>
            <w:shd w:val="clear" w:color="auto" w:fill="0000EE"/>
          </w:tcPr>
          <w:p>
            <w:pPr>
              <w:spacing w:after="0"/>
              <w:rPr>
                <w:sz w:val="2"/>
                <w:szCs w:val="2"/>
                <w:color w:val="auto"/>
              </w:rPr>
            </w:pPr>
          </w:p>
        </w:tc>
        <w:tc>
          <w:tcPr>
            <w:tcW w:w="140" w:type="dxa"/>
            <w:vAlign w:val="bottom"/>
          </w:tcPr>
          <w:p>
            <w:pPr>
              <w:spacing w:after="0"/>
              <w:rPr>
                <w:sz w:val="2"/>
                <w:szCs w:val="2"/>
                <w:color w:val="auto"/>
              </w:rPr>
            </w:pPr>
          </w:p>
        </w:tc>
        <w:tc>
          <w:tcPr>
            <w:tcW w:w="160" w:type="dxa"/>
            <w:vAlign w:val="bottom"/>
          </w:tcPr>
          <w:p>
            <w:pPr>
              <w:spacing w:after="0"/>
              <w:rPr>
                <w:sz w:val="2"/>
                <w:szCs w:val="2"/>
                <w:color w:val="auto"/>
              </w:rPr>
            </w:pPr>
          </w:p>
        </w:tc>
        <w:tc>
          <w:tcPr>
            <w:tcW w:w="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Pr>
          <w:p>
            <w:pPr>
              <w:spacing w:after="0"/>
              <w:rPr>
                <w:sz w:val="2"/>
                <w:szCs w:val="2"/>
                <w:color w:val="auto"/>
              </w:rPr>
            </w:pPr>
          </w:p>
        </w:tc>
        <w:tc>
          <w:tcPr>
            <w:tcW w:w="80" w:type="dxa"/>
            <w:vAlign w:val="bottom"/>
          </w:tcPr>
          <w:p>
            <w:pPr>
              <w:spacing w:after="0"/>
              <w:rPr>
                <w:sz w:val="2"/>
                <w:szCs w:val="2"/>
                <w:color w:val="auto"/>
              </w:rPr>
            </w:pPr>
          </w:p>
        </w:tc>
        <w:tc>
          <w:tcPr>
            <w:tcW w:w="20" w:type="dxa"/>
            <w:vAlign w:val="bottom"/>
          </w:tcPr>
          <w:p>
            <w:pPr>
              <w:spacing w:after="0"/>
              <w:rPr>
                <w:sz w:val="2"/>
                <w:szCs w:val="2"/>
                <w:color w:val="auto"/>
              </w:rPr>
            </w:pPr>
          </w:p>
        </w:tc>
        <w:tc>
          <w:tcPr>
            <w:tcW w:w="40" w:type="dxa"/>
            <w:vAlign w:val="bottom"/>
          </w:tcPr>
          <w:p>
            <w:pPr>
              <w:spacing w:after="0"/>
              <w:rPr>
                <w:sz w:val="2"/>
                <w:szCs w:val="2"/>
                <w:color w:val="auto"/>
              </w:rPr>
            </w:pPr>
          </w:p>
        </w:tc>
        <w:tc>
          <w:tcPr>
            <w:tcW w:w="80" w:type="dxa"/>
            <w:vAlign w:val="bottom"/>
          </w:tcPr>
          <w:p>
            <w:pPr>
              <w:spacing w:after="0"/>
              <w:rPr>
                <w:sz w:val="2"/>
                <w:szCs w:val="2"/>
                <w:color w:val="auto"/>
              </w:rPr>
            </w:pPr>
          </w:p>
        </w:tc>
        <w:tc>
          <w:tcPr>
            <w:tcW w:w="32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420" w:type="dxa"/>
            <w:vAlign w:val="bottom"/>
          </w:tcPr>
          <w:p>
            <w:pPr>
              <w:spacing w:after="0"/>
              <w:rPr>
                <w:sz w:val="2"/>
                <w:szCs w:val="2"/>
                <w:color w:val="auto"/>
              </w:rPr>
            </w:pPr>
          </w:p>
        </w:tc>
        <w:tc>
          <w:tcPr>
            <w:tcW w:w="180" w:type="dxa"/>
            <w:vAlign w:val="bottom"/>
          </w:tcPr>
          <w:p>
            <w:pPr>
              <w:spacing w:after="0"/>
              <w:rPr>
                <w:sz w:val="2"/>
                <w:szCs w:val="2"/>
                <w:color w:val="auto"/>
              </w:rPr>
            </w:pPr>
          </w:p>
        </w:tc>
        <w:tc>
          <w:tcPr>
            <w:tcW w:w="180" w:type="dxa"/>
            <w:vAlign w:val="bottom"/>
          </w:tcPr>
          <w:p>
            <w:pPr>
              <w:spacing w:after="0"/>
              <w:rPr>
                <w:sz w:val="2"/>
                <w:szCs w:val="2"/>
                <w:color w:val="auto"/>
              </w:rPr>
            </w:pPr>
          </w:p>
        </w:tc>
        <w:tc>
          <w:tcPr>
            <w:tcW w:w="300" w:type="dxa"/>
            <w:vAlign w:val="bottom"/>
          </w:tcPr>
          <w:p>
            <w:pPr>
              <w:spacing w:after="0"/>
              <w:rPr>
                <w:sz w:val="2"/>
                <w:szCs w:val="2"/>
                <w:color w:val="auto"/>
              </w:rPr>
            </w:pPr>
          </w:p>
        </w:tc>
        <w:tc>
          <w:tcPr>
            <w:tcW w:w="160" w:type="dxa"/>
            <w:vAlign w:val="bottom"/>
          </w:tcPr>
          <w:p>
            <w:pPr>
              <w:spacing w:after="0"/>
              <w:rPr>
                <w:sz w:val="2"/>
                <w:szCs w:val="2"/>
                <w:color w:val="auto"/>
              </w:rPr>
            </w:pPr>
          </w:p>
        </w:tc>
        <w:tc>
          <w:tcPr>
            <w:tcW w:w="6720" w:type="dxa"/>
            <w:vAlign w:val="bottom"/>
          </w:tcPr>
          <w:p>
            <w:pPr>
              <w:spacing w:after="0"/>
              <w:rPr>
                <w:sz w:val="2"/>
                <w:szCs w:val="2"/>
                <w:color w:val="auto"/>
              </w:rPr>
            </w:pPr>
          </w:p>
        </w:tc>
        <w:tc>
          <w:tcPr>
            <w:tcW w:w="500" w:type="dxa"/>
            <w:vAlign w:val="bottom"/>
            <w:tcBorders>
              <w:right w:val="single" w:sz="8" w:color="0000EE"/>
            </w:tcBorders>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34"/>
        </w:trPr>
        <w:tc>
          <w:tcPr>
            <w:tcW w:w="20" w:type="dxa"/>
            <w:vAlign w:val="bottom"/>
            <w:vMerge w:val="continue"/>
          </w:tcPr>
          <w:p>
            <w:pPr>
              <w:spacing w:after="0"/>
              <w:rPr>
                <w:sz w:val="11"/>
                <w:szCs w:val="11"/>
                <w:color w:val="auto"/>
              </w:rPr>
            </w:pPr>
          </w:p>
        </w:tc>
        <w:tc>
          <w:tcPr>
            <w:tcW w:w="80" w:type="dxa"/>
            <w:vAlign w:val="bottom"/>
            <w:tcBorders>
              <w:bottom w:val="single" w:sz="8" w:color="0000EE"/>
            </w:tcBorders>
            <w:shd w:val="clear" w:color="auto" w:fill="CCEEFF"/>
          </w:tcPr>
          <w:p>
            <w:pPr>
              <w:spacing w:after="0"/>
              <w:rPr>
                <w:rFonts w:ascii="Arial" w:cs="Arial" w:eastAsia="Arial" w:hAnsi="Arial"/>
                <w:sz w:val="5"/>
                <w:szCs w:val="5"/>
                <w:color w:val="0000EE"/>
                <w:w w:val="83"/>
              </w:rPr>
            </w:pPr>
            <w:hyperlink w:anchor="page68">
              <w:r>
                <w:rPr>
                  <w:rFonts w:ascii="Arial" w:cs="Arial" w:eastAsia="Arial" w:hAnsi="Arial"/>
                  <w:sz w:val="5"/>
                  <w:szCs w:val="5"/>
                  <w:color w:val="0000EE"/>
                  <w:w w:val="83"/>
                </w:rPr>
                <w:t>B.</w:t>
              </w:r>
            </w:hyperlink>
          </w:p>
        </w:tc>
        <w:tc>
          <w:tcPr>
            <w:tcW w:w="480" w:type="dxa"/>
            <w:vAlign w:val="bottom"/>
            <w:tcBorders>
              <w:left w:val="single" w:sz="8" w:color="CCEEFF"/>
              <w:bottom w:val="single" w:sz="8" w:color="CCEEFF"/>
            </w:tcBorders>
            <w:gridSpan w:val="3"/>
            <w:shd w:val="clear" w:color="auto" w:fill="CCEEFF"/>
          </w:tcPr>
          <w:p>
            <w:pPr>
              <w:spacing w:after="0"/>
              <w:rPr>
                <w:sz w:val="11"/>
                <w:szCs w:val="11"/>
                <w:color w:val="auto"/>
              </w:rPr>
            </w:pPr>
          </w:p>
        </w:tc>
        <w:tc>
          <w:tcPr>
            <w:tcW w:w="1660" w:type="dxa"/>
            <w:vAlign w:val="bottom"/>
            <w:tcBorders>
              <w:bottom w:val="single" w:sz="8" w:color="0000EE"/>
            </w:tcBorders>
            <w:gridSpan w:val="11"/>
            <w:shd w:val="clear" w:color="auto" w:fill="CCEEFF"/>
          </w:tcPr>
          <w:p>
            <w:pPr>
              <w:spacing w:after="0" w:line="125" w:lineRule="exact"/>
              <w:rPr>
                <w:rFonts w:ascii="Arial" w:cs="Arial" w:eastAsia="Arial" w:hAnsi="Arial"/>
                <w:sz w:val="13"/>
                <w:szCs w:val="13"/>
                <w:color w:val="0000EE"/>
                <w:w w:val="89"/>
              </w:rPr>
            </w:pPr>
            <w:hyperlink w:anchor="page68">
              <w:r>
                <w:rPr>
                  <w:rFonts w:ascii="Arial" w:cs="Arial" w:eastAsia="Arial" w:hAnsi="Arial"/>
                  <w:sz w:val="13"/>
                  <w:szCs w:val="13"/>
                  <w:color w:val="0000EE"/>
                  <w:w w:val="89"/>
                </w:rPr>
                <w:t>Liquidity and Capital Resources</w:t>
              </w:r>
            </w:hyperlink>
          </w:p>
        </w:tc>
        <w:tc>
          <w:tcPr>
            <w:tcW w:w="8660" w:type="dxa"/>
            <w:vAlign w:val="bottom"/>
            <w:tcBorders>
              <w:bottom w:val="single" w:sz="8" w:color="CCEEFF"/>
            </w:tcBorders>
            <w:gridSpan w:val="11"/>
            <w:shd w:val="clear" w:color="auto" w:fill="CCEEFF"/>
          </w:tcPr>
          <w:p>
            <w:pPr>
              <w:spacing w:after="0"/>
              <w:rPr>
                <w:sz w:val="11"/>
                <w:szCs w:val="11"/>
                <w:color w:val="auto"/>
              </w:rPr>
            </w:pPr>
          </w:p>
        </w:tc>
        <w:tc>
          <w:tcPr>
            <w:tcW w:w="500" w:type="dxa"/>
            <w:vAlign w:val="bottom"/>
            <w:tcBorders>
              <w:bottom w:val="single" w:sz="8" w:color="CCEEFF"/>
              <w:right w:val="single" w:sz="8" w:color="CCEEFF"/>
            </w:tcBorders>
            <w:shd w:val="clear" w:color="auto" w:fill="CCEEFF"/>
          </w:tcPr>
          <w:p>
            <w:pPr>
              <w:spacing w:after="0"/>
              <w:rPr>
                <w:sz w:val="11"/>
                <w:szCs w:val="11"/>
                <w:color w:val="auto"/>
              </w:rPr>
            </w:pPr>
          </w:p>
        </w:tc>
        <w:tc>
          <w:tcPr>
            <w:tcW w:w="80" w:type="dxa"/>
            <w:vAlign w:val="bottom"/>
            <w:tcBorders>
              <w:bottom w:val="single" w:sz="8" w:color="0000EE"/>
            </w:tcBorders>
            <w:shd w:val="clear" w:color="auto" w:fill="CCEEFF"/>
          </w:tcPr>
          <w:p>
            <w:pPr>
              <w:jc w:val="right"/>
              <w:spacing w:after="0"/>
              <w:rPr>
                <w:rFonts w:ascii="Arial" w:cs="Arial" w:eastAsia="Arial" w:hAnsi="Arial"/>
                <w:sz w:val="7"/>
                <w:szCs w:val="7"/>
                <w:color w:val="0000EE"/>
                <w:w w:val="76"/>
              </w:rPr>
            </w:pPr>
            <w:hyperlink w:anchor="page68">
              <w:r>
                <w:rPr>
                  <w:rFonts w:ascii="Arial" w:cs="Arial" w:eastAsia="Arial" w:hAnsi="Arial"/>
                  <w:sz w:val="7"/>
                  <w:szCs w:val="7"/>
                  <w:color w:val="0000EE"/>
                  <w:w w:val="76"/>
                </w:rPr>
                <w:t>66</w:t>
              </w:r>
            </w:hyperlink>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25"/>
        </w:trPr>
        <w:tc>
          <w:tcPr>
            <w:tcW w:w="20" w:type="dxa"/>
            <w:vAlign w:val="bottom"/>
          </w:tcPr>
          <w:p>
            <w:pPr>
              <w:spacing w:after="0"/>
              <w:rPr>
                <w:sz w:val="10"/>
                <w:szCs w:val="10"/>
                <w:color w:val="auto"/>
              </w:rPr>
            </w:pPr>
          </w:p>
        </w:tc>
        <w:tc>
          <w:tcPr>
            <w:tcW w:w="80" w:type="dxa"/>
            <w:vAlign w:val="bottom"/>
          </w:tcPr>
          <w:p>
            <w:pPr>
              <w:spacing w:after="0"/>
              <w:rPr>
                <w:rFonts w:ascii="Arial" w:cs="Arial" w:eastAsia="Arial" w:hAnsi="Arial"/>
                <w:sz w:val="5"/>
                <w:szCs w:val="5"/>
                <w:color w:val="0000EE"/>
                <w:w w:val="78"/>
              </w:rPr>
            </w:pPr>
            <w:hyperlink w:anchor="page78">
              <w:r>
                <w:rPr>
                  <w:rFonts w:ascii="Arial" w:cs="Arial" w:eastAsia="Arial" w:hAnsi="Arial"/>
                  <w:sz w:val="5"/>
                  <w:szCs w:val="5"/>
                  <w:color w:val="0000EE"/>
                  <w:w w:val="78"/>
                </w:rPr>
                <w:t>C.</w:t>
              </w:r>
            </w:hyperlink>
          </w:p>
        </w:tc>
        <w:tc>
          <w:tcPr>
            <w:tcW w:w="480" w:type="dxa"/>
            <w:vAlign w:val="bottom"/>
            <w:gridSpan w:val="3"/>
          </w:tcPr>
          <w:p>
            <w:pPr>
              <w:spacing w:after="0"/>
              <w:rPr>
                <w:sz w:val="10"/>
                <w:szCs w:val="10"/>
                <w:color w:val="auto"/>
              </w:rPr>
            </w:pPr>
          </w:p>
        </w:tc>
        <w:tc>
          <w:tcPr>
            <w:tcW w:w="10320" w:type="dxa"/>
            <w:vAlign w:val="bottom"/>
            <w:gridSpan w:val="22"/>
          </w:tcPr>
          <w:p>
            <w:pPr>
              <w:spacing w:after="0" w:line="125" w:lineRule="exact"/>
              <w:rPr>
                <w:rFonts w:ascii="Arial" w:cs="Arial" w:eastAsia="Arial" w:hAnsi="Arial"/>
                <w:sz w:val="13"/>
                <w:szCs w:val="13"/>
                <w:color w:val="0000EE"/>
              </w:rPr>
            </w:pPr>
            <w:hyperlink w:anchor="page78">
              <w:r>
                <w:rPr>
                  <w:rFonts w:ascii="Arial" w:cs="Arial" w:eastAsia="Arial" w:hAnsi="Arial"/>
                  <w:sz w:val="13"/>
                  <w:szCs w:val="13"/>
                  <w:color w:val="0000EE"/>
                </w:rPr>
                <w:t>Research and Development, Patents and Licenses, etc.</w:t>
              </w:r>
            </w:hyperlink>
          </w:p>
        </w:tc>
        <w:tc>
          <w:tcPr>
            <w:tcW w:w="580" w:type="dxa"/>
            <w:vAlign w:val="bottom"/>
            <w:gridSpan w:val="2"/>
          </w:tcPr>
          <w:p>
            <w:pPr>
              <w:jc w:val="right"/>
              <w:spacing w:after="0" w:line="125" w:lineRule="exact"/>
              <w:rPr>
                <w:rFonts w:ascii="Arial" w:cs="Arial" w:eastAsia="Arial" w:hAnsi="Arial"/>
                <w:sz w:val="13"/>
                <w:szCs w:val="13"/>
                <w:color w:val="0000EE"/>
              </w:rPr>
            </w:pPr>
            <w:hyperlink w:anchor="page78">
              <w:r>
                <w:rPr>
                  <w:rFonts w:ascii="Arial" w:cs="Arial" w:eastAsia="Arial" w:hAnsi="Arial"/>
                  <w:sz w:val="13"/>
                  <w:szCs w:val="13"/>
                  <w:color w:val="0000EE"/>
                </w:rPr>
                <w:t>76</w:t>
              </w:r>
            </w:hyperlink>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80" w:type="dxa"/>
            <w:vAlign w:val="bottom"/>
            <w:tcBorders>
              <w:left w:val="single" w:sz="8" w:color="0000EE"/>
            </w:tcBorders>
          </w:tcPr>
          <w:p>
            <w:pPr>
              <w:spacing w:after="0"/>
              <w:rPr>
                <w:sz w:val="2"/>
                <w:szCs w:val="2"/>
                <w:color w:val="auto"/>
              </w:rPr>
            </w:pPr>
          </w:p>
        </w:tc>
        <w:tc>
          <w:tcPr>
            <w:tcW w:w="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420" w:type="dxa"/>
            <w:vAlign w:val="bottom"/>
            <w:shd w:val="clear" w:color="auto" w:fill="0000EE"/>
          </w:tcPr>
          <w:p>
            <w:pPr>
              <w:spacing w:after="0"/>
              <w:rPr>
                <w:sz w:val="2"/>
                <w:szCs w:val="2"/>
                <w:color w:val="auto"/>
              </w:rPr>
            </w:pPr>
          </w:p>
        </w:tc>
        <w:tc>
          <w:tcPr>
            <w:tcW w:w="220" w:type="dxa"/>
            <w:vAlign w:val="bottom"/>
            <w:tcBorders>
              <w:right w:val="single" w:sz="8" w:color="0000EE"/>
            </w:tcBorders>
            <w:shd w:val="clear" w:color="auto" w:fill="0000EE"/>
          </w:tcPr>
          <w:p>
            <w:pPr>
              <w:spacing w:after="0"/>
              <w:rPr>
                <w:sz w:val="2"/>
                <w:szCs w:val="2"/>
                <w:color w:val="auto"/>
              </w:rPr>
            </w:pPr>
          </w:p>
        </w:tc>
        <w:tc>
          <w:tcPr>
            <w:tcW w:w="160" w:type="dxa"/>
            <w:vAlign w:val="bottom"/>
            <w:tcBorders>
              <w:right w:val="single" w:sz="8" w:color="0000EE"/>
            </w:tcBorders>
            <w:shd w:val="clear" w:color="auto" w:fill="0000EE"/>
          </w:tcPr>
          <w:p>
            <w:pPr>
              <w:spacing w:after="0"/>
              <w:rPr>
                <w:sz w:val="2"/>
                <w:szCs w:val="2"/>
                <w:color w:val="auto"/>
              </w:rPr>
            </w:pPr>
          </w:p>
        </w:tc>
        <w:tc>
          <w:tcPr>
            <w:tcW w:w="120" w:type="dxa"/>
            <w:vAlign w:val="bottom"/>
            <w:tcBorders>
              <w:right w:val="single" w:sz="8" w:color="0000EE"/>
            </w:tcBorders>
            <w:shd w:val="clear" w:color="auto" w:fill="0000EE"/>
          </w:tcPr>
          <w:p>
            <w:pPr>
              <w:spacing w:after="0"/>
              <w:rPr>
                <w:sz w:val="2"/>
                <w:szCs w:val="2"/>
                <w:color w:val="auto"/>
              </w:rPr>
            </w:pPr>
          </w:p>
        </w:tc>
        <w:tc>
          <w:tcPr>
            <w:tcW w:w="140" w:type="dxa"/>
            <w:vAlign w:val="bottom"/>
            <w:tcBorders>
              <w:left w:val="single" w:sz="8" w:color="0000EE"/>
              <w:right w:val="single" w:sz="8" w:color="0000EE"/>
            </w:tcBorders>
            <w:shd w:val="clear" w:color="auto" w:fill="0000EE"/>
          </w:tcPr>
          <w:p>
            <w:pPr>
              <w:spacing w:after="0"/>
              <w:rPr>
                <w:sz w:val="2"/>
                <w:szCs w:val="2"/>
                <w:color w:val="auto"/>
              </w:rPr>
            </w:pPr>
          </w:p>
        </w:tc>
        <w:tc>
          <w:tcPr>
            <w:tcW w:w="160" w:type="dxa"/>
            <w:vAlign w:val="bottom"/>
            <w:shd w:val="clear" w:color="auto" w:fill="0000EE"/>
          </w:tcPr>
          <w:p>
            <w:pPr>
              <w:spacing w:after="0"/>
              <w:rPr>
                <w:sz w:val="2"/>
                <w:szCs w:val="2"/>
                <w:color w:val="auto"/>
              </w:rPr>
            </w:pPr>
          </w:p>
        </w:tc>
        <w:tc>
          <w:tcPr>
            <w:tcW w:w="60" w:type="dxa"/>
            <w:vAlign w:val="bottom"/>
            <w:tcBorders>
              <w:right w:val="single" w:sz="8" w:color="0000EE"/>
            </w:tcBorders>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180" w:type="dxa"/>
            <w:vAlign w:val="bottom"/>
            <w:tcBorders>
              <w:right w:val="single" w:sz="8" w:color="0000EE"/>
            </w:tcBorders>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0" w:type="dxa"/>
            <w:vAlign w:val="bottom"/>
            <w:shd w:val="clear" w:color="auto" w:fill="0000EE"/>
          </w:tcPr>
          <w:p>
            <w:pPr>
              <w:spacing w:after="0"/>
              <w:rPr>
                <w:sz w:val="2"/>
                <w:szCs w:val="2"/>
                <w:color w:val="auto"/>
              </w:rPr>
            </w:pPr>
          </w:p>
        </w:tc>
        <w:tc>
          <w:tcPr>
            <w:tcW w:w="40" w:type="dxa"/>
            <w:vAlign w:val="bottom"/>
            <w:tcBorders>
              <w:right w:val="single" w:sz="8" w:color="0000EE"/>
            </w:tcBorders>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32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180" w:type="dxa"/>
            <w:vAlign w:val="bottom"/>
            <w:shd w:val="clear" w:color="auto" w:fill="0000EE"/>
          </w:tcPr>
          <w:p>
            <w:pPr>
              <w:spacing w:after="0"/>
              <w:rPr>
                <w:sz w:val="2"/>
                <w:szCs w:val="2"/>
                <w:color w:val="auto"/>
              </w:rPr>
            </w:pPr>
          </w:p>
        </w:tc>
        <w:tc>
          <w:tcPr>
            <w:tcW w:w="420" w:type="dxa"/>
            <w:vAlign w:val="bottom"/>
            <w:tcBorders>
              <w:right w:val="single" w:sz="8" w:color="0000EE"/>
            </w:tcBorders>
            <w:shd w:val="clear" w:color="auto" w:fill="0000EE"/>
          </w:tcPr>
          <w:p>
            <w:pPr>
              <w:spacing w:after="0"/>
              <w:rPr>
                <w:sz w:val="2"/>
                <w:szCs w:val="2"/>
                <w:color w:val="auto"/>
              </w:rPr>
            </w:pPr>
          </w:p>
        </w:tc>
        <w:tc>
          <w:tcPr>
            <w:tcW w:w="180" w:type="dxa"/>
            <w:vAlign w:val="bottom"/>
          </w:tcPr>
          <w:p>
            <w:pPr>
              <w:spacing w:after="0"/>
              <w:rPr>
                <w:sz w:val="2"/>
                <w:szCs w:val="2"/>
                <w:color w:val="auto"/>
              </w:rPr>
            </w:pPr>
          </w:p>
        </w:tc>
        <w:tc>
          <w:tcPr>
            <w:tcW w:w="180" w:type="dxa"/>
            <w:vAlign w:val="bottom"/>
          </w:tcPr>
          <w:p>
            <w:pPr>
              <w:spacing w:after="0"/>
              <w:rPr>
                <w:sz w:val="2"/>
                <w:szCs w:val="2"/>
                <w:color w:val="auto"/>
              </w:rPr>
            </w:pPr>
          </w:p>
        </w:tc>
        <w:tc>
          <w:tcPr>
            <w:tcW w:w="300" w:type="dxa"/>
            <w:vAlign w:val="bottom"/>
          </w:tcPr>
          <w:p>
            <w:pPr>
              <w:spacing w:after="0"/>
              <w:rPr>
                <w:sz w:val="2"/>
                <w:szCs w:val="2"/>
                <w:color w:val="auto"/>
              </w:rPr>
            </w:pPr>
          </w:p>
        </w:tc>
        <w:tc>
          <w:tcPr>
            <w:tcW w:w="160" w:type="dxa"/>
            <w:vAlign w:val="bottom"/>
          </w:tcPr>
          <w:p>
            <w:pPr>
              <w:spacing w:after="0"/>
              <w:rPr>
                <w:sz w:val="2"/>
                <w:szCs w:val="2"/>
                <w:color w:val="auto"/>
              </w:rPr>
            </w:pPr>
          </w:p>
        </w:tc>
        <w:tc>
          <w:tcPr>
            <w:tcW w:w="6720" w:type="dxa"/>
            <w:vAlign w:val="bottom"/>
          </w:tcPr>
          <w:p>
            <w:pPr>
              <w:spacing w:after="0"/>
              <w:rPr>
                <w:sz w:val="2"/>
                <w:szCs w:val="2"/>
                <w:color w:val="auto"/>
              </w:rPr>
            </w:pPr>
          </w:p>
        </w:tc>
        <w:tc>
          <w:tcPr>
            <w:tcW w:w="500" w:type="dxa"/>
            <w:vAlign w:val="bottom"/>
            <w:tcBorders>
              <w:right w:val="single" w:sz="8" w:color="0000EE"/>
            </w:tcBorders>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25"/>
        </w:trPr>
        <w:tc>
          <w:tcPr>
            <w:tcW w:w="20" w:type="dxa"/>
            <w:vAlign w:val="bottom"/>
            <w:vMerge w:val="continue"/>
          </w:tcPr>
          <w:p>
            <w:pPr>
              <w:spacing w:after="0"/>
              <w:rPr>
                <w:sz w:val="10"/>
                <w:szCs w:val="10"/>
                <w:color w:val="auto"/>
              </w:rPr>
            </w:pPr>
          </w:p>
        </w:tc>
        <w:tc>
          <w:tcPr>
            <w:tcW w:w="560" w:type="dxa"/>
            <w:vAlign w:val="bottom"/>
            <w:gridSpan w:val="4"/>
            <w:shd w:val="clear" w:color="auto" w:fill="CCEEFF"/>
          </w:tcPr>
          <w:p>
            <w:pPr>
              <w:spacing w:after="0" w:line="125" w:lineRule="exact"/>
              <w:rPr>
                <w:rFonts w:ascii="Arial" w:cs="Arial" w:eastAsia="Arial" w:hAnsi="Arial"/>
                <w:sz w:val="13"/>
                <w:szCs w:val="13"/>
                <w:color w:val="0000EE"/>
              </w:rPr>
            </w:pPr>
            <w:hyperlink w:anchor="page78">
              <w:r>
                <w:rPr>
                  <w:rFonts w:ascii="Arial" w:cs="Arial" w:eastAsia="Arial" w:hAnsi="Arial"/>
                  <w:sz w:val="13"/>
                  <w:szCs w:val="13"/>
                  <w:color w:val="0000EE"/>
                </w:rPr>
                <w:t>D.</w:t>
              </w:r>
            </w:hyperlink>
          </w:p>
        </w:tc>
        <w:tc>
          <w:tcPr>
            <w:tcW w:w="10320" w:type="dxa"/>
            <w:vAlign w:val="bottom"/>
            <w:gridSpan w:val="22"/>
            <w:shd w:val="clear" w:color="auto" w:fill="CCEEFF"/>
          </w:tcPr>
          <w:p>
            <w:pPr>
              <w:spacing w:after="0" w:line="125" w:lineRule="exact"/>
              <w:rPr>
                <w:rFonts w:ascii="Arial" w:cs="Arial" w:eastAsia="Arial" w:hAnsi="Arial"/>
                <w:sz w:val="13"/>
                <w:szCs w:val="13"/>
                <w:color w:val="0000EE"/>
              </w:rPr>
            </w:pPr>
            <w:hyperlink w:anchor="page78">
              <w:r>
                <w:rPr>
                  <w:rFonts w:ascii="Arial" w:cs="Arial" w:eastAsia="Arial" w:hAnsi="Arial"/>
                  <w:sz w:val="13"/>
                  <w:szCs w:val="13"/>
                  <w:color w:val="0000EE"/>
                </w:rPr>
                <w:t>Trend Information</w:t>
              </w:r>
            </w:hyperlink>
          </w:p>
        </w:tc>
        <w:tc>
          <w:tcPr>
            <w:tcW w:w="580" w:type="dxa"/>
            <w:vAlign w:val="bottom"/>
            <w:gridSpan w:val="2"/>
            <w:shd w:val="clear" w:color="auto" w:fill="CCEEFF"/>
          </w:tcPr>
          <w:p>
            <w:pPr>
              <w:jc w:val="right"/>
              <w:spacing w:after="0" w:line="125" w:lineRule="exact"/>
              <w:rPr>
                <w:rFonts w:ascii="Arial" w:cs="Arial" w:eastAsia="Arial" w:hAnsi="Arial"/>
                <w:sz w:val="13"/>
                <w:szCs w:val="13"/>
                <w:color w:val="0000EE"/>
              </w:rPr>
            </w:pPr>
            <w:hyperlink w:anchor="page78">
              <w:r>
                <w:rPr>
                  <w:rFonts w:ascii="Arial" w:cs="Arial" w:eastAsia="Arial" w:hAnsi="Arial"/>
                  <w:sz w:val="13"/>
                  <w:szCs w:val="13"/>
                  <w:color w:val="0000EE"/>
                </w:rPr>
                <w:t>76</w:t>
              </w:r>
            </w:hyperlink>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80" w:type="dxa"/>
            <w:vAlign w:val="bottom"/>
            <w:tcBorders>
              <w:left w:val="single" w:sz="8" w:color="0000EE"/>
            </w:tcBorders>
            <w:shd w:val="clear" w:color="auto" w:fill="CCEEFF"/>
          </w:tcPr>
          <w:p>
            <w:pPr>
              <w:spacing w:after="0"/>
              <w:rPr>
                <w:sz w:val="2"/>
                <w:szCs w:val="2"/>
                <w:color w:val="auto"/>
              </w:rPr>
            </w:pPr>
          </w:p>
        </w:tc>
        <w:tc>
          <w:tcPr>
            <w:tcW w:w="100" w:type="dxa"/>
            <w:vAlign w:val="bottom"/>
            <w:tcBorders>
              <w:left w:val="single" w:sz="8" w:color="CCEEFF"/>
            </w:tcBorders>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420" w:type="dxa"/>
            <w:vAlign w:val="bottom"/>
            <w:shd w:val="clear" w:color="auto" w:fill="0000EE"/>
          </w:tcPr>
          <w:p>
            <w:pPr>
              <w:spacing w:after="0"/>
              <w:rPr>
                <w:sz w:val="2"/>
                <w:szCs w:val="2"/>
                <w:color w:val="auto"/>
              </w:rPr>
            </w:pPr>
          </w:p>
        </w:tc>
        <w:tc>
          <w:tcPr>
            <w:tcW w:w="220" w:type="dxa"/>
            <w:vAlign w:val="bottom"/>
            <w:tcBorders>
              <w:right w:val="single" w:sz="8" w:color="0000EE"/>
            </w:tcBorders>
            <w:shd w:val="clear" w:color="auto" w:fill="0000EE"/>
          </w:tcPr>
          <w:p>
            <w:pPr>
              <w:spacing w:after="0"/>
              <w:rPr>
                <w:sz w:val="2"/>
                <w:szCs w:val="2"/>
                <w:color w:val="auto"/>
              </w:rPr>
            </w:pPr>
          </w:p>
        </w:tc>
        <w:tc>
          <w:tcPr>
            <w:tcW w:w="160" w:type="dxa"/>
            <w:vAlign w:val="bottom"/>
            <w:tcBorders>
              <w:right w:val="single" w:sz="8" w:color="0000EE"/>
            </w:tcBorders>
            <w:shd w:val="clear" w:color="auto" w:fill="0000EE"/>
          </w:tcPr>
          <w:p>
            <w:pPr>
              <w:spacing w:after="0"/>
              <w:rPr>
                <w:sz w:val="2"/>
                <w:szCs w:val="2"/>
                <w:color w:val="auto"/>
              </w:rPr>
            </w:pPr>
          </w:p>
        </w:tc>
        <w:tc>
          <w:tcPr>
            <w:tcW w:w="120" w:type="dxa"/>
            <w:vAlign w:val="bottom"/>
            <w:tcBorders>
              <w:right w:val="single" w:sz="8" w:color="0000EE"/>
            </w:tcBorders>
            <w:shd w:val="clear" w:color="auto" w:fill="0000EE"/>
          </w:tcPr>
          <w:p>
            <w:pPr>
              <w:spacing w:after="0"/>
              <w:rPr>
                <w:sz w:val="2"/>
                <w:szCs w:val="2"/>
                <w:color w:val="auto"/>
              </w:rPr>
            </w:pPr>
          </w:p>
        </w:tc>
        <w:tc>
          <w:tcPr>
            <w:tcW w:w="140" w:type="dxa"/>
            <w:vAlign w:val="bottom"/>
            <w:tcBorders>
              <w:left w:val="single" w:sz="8" w:color="CCEEFF"/>
              <w:right w:val="single" w:sz="8" w:color="CCEEFF"/>
            </w:tcBorders>
            <w:shd w:val="clear" w:color="auto" w:fill="CCEEFF"/>
          </w:tcPr>
          <w:p>
            <w:pPr>
              <w:spacing w:after="0"/>
              <w:rPr>
                <w:sz w:val="2"/>
                <w:szCs w:val="2"/>
                <w:color w:val="auto"/>
              </w:rPr>
            </w:pPr>
          </w:p>
        </w:tc>
        <w:tc>
          <w:tcPr>
            <w:tcW w:w="160" w:type="dxa"/>
            <w:vAlign w:val="bottom"/>
            <w:shd w:val="clear" w:color="auto" w:fill="CCEEFF"/>
          </w:tcPr>
          <w:p>
            <w:pPr>
              <w:spacing w:after="0"/>
              <w:rPr>
                <w:sz w:val="2"/>
                <w:szCs w:val="2"/>
                <w:color w:val="auto"/>
              </w:rPr>
            </w:pPr>
          </w:p>
        </w:tc>
        <w:tc>
          <w:tcPr>
            <w:tcW w:w="60" w:type="dxa"/>
            <w:vAlign w:val="bottom"/>
            <w:tcBorders>
              <w:right w:val="single" w:sz="8" w:color="CCEEFF"/>
            </w:tcBorders>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180" w:type="dxa"/>
            <w:vAlign w:val="bottom"/>
            <w:tcBorders>
              <w:right w:val="single" w:sz="8" w:color="CCEEFF"/>
            </w:tcBorders>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20" w:type="dxa"/>
            <w:vAlign w:val="bottom"/>
            <w:shd w:val="clear" w:color="auto" w:fill="CCEEFF"/>
          </w:tcPr>
          <w:p>
            <w:pPr>
              <w:spacing w:after="0"/>
              <w:rPr>
                <w:sz w:val="2"/>
                <w:szCs w:val="2"/>
                <w:color w:val="auto"/>
              </w:rPr>
            </w:pPr>
          </w:p>
        </w:tc>
        <w:tc>
          <w:tcPr>
            <w:tcW w:w="40" w:type="dxa"/>
            <w:vAlign w:val="bottom"/>
            <w:tcBorders>
              <w:right w:val="single" w:sz="8" w:color="CCEEFF"/>
            </w:tcBorders>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32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420" w:type="dxa"/>
            <w:vAlign w:val="bottom"/>
            <w:tcBorders>
              <w:right w:val="single" w:sz="8" w:color="CCEEFF"/>
            </w:tcBorders>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180" w:type="dxa"/>
            <w:vAlign w:val="bottom"/>
            <w:tcBorders>
              <w:left w:val="single" w:sz="8" w:color="CCEEFF"/>
            </w:tcBorders>
            <w:shd w:val="clear" w:color="auto" w:fill="CCEEFF"/>
          </w:tcPr>
          <w:p>
            <w:pPr>
              <w:spacing w:after="0"/>
              <w:rPr>
                <w:sz w:val="2"/>
                <w:szCs w:val="2"/>
                <w:color w:val="auto"/>
              </w:rPr>
            </w:pPr>
          </w:p>
        </w:tc>
        <w:tc>
          <w:tcPr>
            <w:tcW w:w="300" w:type="dxa"/>
            <w:vAlign w:val="bottom"/>
            <w:shd w:val="clear" w:color="auto" w:fill="CCEEFF"/>
          </w:tcPr>
          <w:p>
            <w:pPr>
              <w:spacing w:after="0"/>
              <w:rPr>
                <w:sz w:val="2"/>
                <w:szCs w:val="2"/>
                <w:color w:val="auto"/>
              </w:rPr>
            </w:pPr>
          </w:p>
        </w:tc>
        <w:tc>
          <w:tcPr>
            <w:tcW w:w="160" w:type="dxa"/>
            <w:vAlign w:val="bottom"/>
            <w:shd w:val="clear" w:color="auto" w:fill="CCEEFF"/>
          </w:tcPr>
          <w:p>
            <w:pPr>
              <w:spacing w:after="0"/>
              <w:rPr>
                <w:sz w:val="2"/>
                <w:szCs w:val="2"/>
                <w:color w:val="auto"/>
              </w:rPr>
            </w:pPr>
          </w:p>
        </w:tc>
        <w:tc>
          <w:tcPr>
            <w:tcW w:w="6720" w:type="dxa"/>
            <w:vAlign w:val="bottom"/>
            <w:shd w:val="clear" w:color="auto" w:fill="CCEEFF"/>
          </w:tcPr>
          <w:p>
            <w:pPr>
              <w:spacing w:after="0"/>
              <w:rPr>
                <w:sz w:val="2"/>
                <w:szCs w:val="2"/>
                <w:color w:val="auto"/>
              </w:rPr>
            </w:pPr>
          </w:p>
        </w:tc>
        <w:tc>
          <w:tcPr>
            <w:tcW w:w="500" w:type="dxa"/>
            <w:vAlign w:val="bottom"/>
            <w:tcBorders>
              <w:right w:val="single" w:sz="8" w:color="0000EE"/>
            </w:tcBorders>
            <w:shd w:val="clear" w:color="auto" w:fill="CCEEFF"/>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25"/>
        </w:trPr>
        <w:tc>
          <w:tcPr>
            <w:tcW w:w="20" w:type="dxa"/>
            <w:vAlign w:val="bottom"/>
            <w:vMerge w:val="continue"/>
          </w:tcPr>
          <w:p>
            <w:pPr>
              <w:spacing w:after="0"/>
              <w:rPr>
                <w:sz w:val="10"/>
                <w:szCs w:val="10"/>
                <w:color w:val="auto"/>
              </w:rPr>
            </w:pPr>
          </w:p>
        </w:tc>
        <w:tc>
          <w:tcPr>
            <w:tcW w:w="80" w:type="dxa"/>
            <w:vAlign w:val="bottom"/>
          </w:tcPr>
          <w:p>
            <w:pPr>
              <w:spacing w:after="0"/>
              <w:rPr>
                <w:rFonts w:ascii="Arial" w:cs="Arial" w:eastAsia="Arial" w:hAnsi="Arial"/>
                <w:sz w:val="5"/>
                <w:szCs w:val="5"/>
                <w:color w:val="0000EE"/>
                <w:w w:val="83"/>
              </w:rPr>
            </w:pPr>
            <w:hyperlink w:anchor="page81">
              <w:r>
                <w:rPr>
                  <w:rFonts w:ascii="Arial" w:cs="Arial" w:eastAsia="Arial" w:hAnsi="Arial"/>
                  <w:sz w:val="5"/>
                  <w:szCs w:val="5"/>
                  <w:color w:val="0000EE"/>
                  <w:w w:val="83"/>
                </w:rPr>
                <w:t>E.</w:t>
              </w:r>
            </w:hyperlink>
          </w:p>
        </w:tc>
        <w:tc>
          <w:tcPr>
            <w:tcW w:w="480" w:type="dxa"/>
            <w:vAlign w:val="bottom"/>
            <w:gridSpan w:val="3"/>
          </w:tcPr>
          <w:p>
            <w:pPr>
              <w:spacing w:after="0"/>
              <w:rPr>
                <w:sz w:val="10"/>
                <w:szCs w:val="10"/>
                <w:color w:val="auto"/>
              </w:rPr>
            </w:pPr>
          </w:p>
        </w:tc>
        <w:tc>
          <w:tcPr>
            <w:tcW w:w="10320" w:type="dxa"/>
            <w:vAlign w:val="bottom"/>
            <w:gridSpan w:val="22"/>
          </w:tcPr>
          <w:p>
            <w:pPr>
              <w:spacing w:after="0" w:line="125" w:lineRule="exact"/>
              <w:rPr>
                <w:rFonts w:ascii="Arial" w:cs="Arial" w:eastAsia="Arial" w:hAnsi="Arial"/>
                <w:sz w:val="13"/>
                <w:szCs w:val="13"/>
                <w:color w:val="0000EE"/>
              </w:rPr>
            </w:pPr>
            <w:hyperlink w:anchor="page81">
              <w:r>
                <w:rPr>
                  <w:rFonts w:ascii="Arial" w:cs="Arial" w:eastAsia="Arial" w:hAnsi="Arial"/>
                  <w:sz w:val="13"/>
                  <w:szCs w:val="13"/>
                  <w:color w:val="0000EE"/>
                </w:rPr>
                <w:t>Off-Balance Sheet Arrangements</w:t>
              </w:r>
            </w:hyperlink>
          </w:p>
        </w:tc>
        <w:tc>
          <w:tcPr>
            <w:tcW w:w="580" w:type="dxa"/>
            <w:vAlign w:val="bottom"/>
            <w:gridSpan w:val="2"/>
          </w:tcPr>
          <w:p>
            <w:pPr>
              <w:jc w:val="right"/>
              <w:spacing w:after="0" w:line="125" w:lineRule="exact"/>
              <w:rPr>
                <w:rFonts w:ascii="Arial" w:cs="Arial" w:eastAsia="Arial" w:hAnsi="Arial"/>
                <w:sz w:val="13"/>
                <w:szCs w:val="13"/>
                <w:color w:val="0000EE"/>
              </w:rPr>
            </w:pPr>
            <w:hyperlink w:anchor="page81">
              <w:r>
                <w:rPr>
                  <w:rFonts w:ascii="Arial" w:cs="Arial" w:eastAsia="Arial" w:hAnsi="Arial"/>
                  <w:sz w:val="13"/>
                  <w:szCs w:val="13"/>
                  <w:color w:val="0000EE"/>
                </w:rPr>
                <w:t>79</w:t>
              </w:r>
            </w:hyperlink>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420" w:type="dxa"/>
            <w:vAlign w:val="bottom"/>
            <w:shd w:val="clear" w:color="auto" w:fill="0000EE"/>
          </w:tcPr>
          <w:p>
            <w:pPr>
              <w:spacing w:after="0"/>
              <w:rPr>
                <w:sz w:val="2"/>
                <w:szCs w:val="2"/>
                <w:color w:val="auto"/>
              </w:rPr>
            </w:pPr>
          </w:p>
        </w:tc>
        <w:tc>
          <w:tcPr>
            <w:tcW w:w="220" w:type="dxa"/>
            <w:vAlign w:val="bottom"/>
            <w:tcBorders>
              <w:right w:val="single" w:sz="8" w:color="0000EE"/>
            </w:tcBorders>
            <w:shd w:val="clear" w:color="auto" w:fill="0000EE"/>
          </w:tcPr>
          <w:p>
            <w:pPr>
              <w:spacing w:after="0"/>
              <w:rPr>
                <w:sz w:val="2"/>
                <w:szCs w:val="2"/>
                <w:color w:val="auto"/>
              </w:rPr>
            </w:pPr>
          </w:p>
        </w:tc>
        <w:tc>
          <w:tcPr>
            <w:tcW w:w="160" w:type="dxa"/>
            <w:vAlign w:val="bottom"/>
            <w:tcBorders>
              <w:right w:val="single" w:sz="8" w:color="0000EE"/>
            </w:tcBorders>
            <w:shd w:val="clear" w:color="auto" w:fill="0000EE"/>
          </w:tcPr>
          <w:p>
            <w:pPr>
              <w:spacing w:after="0"/>
              <w:rPr>
                <w:sz w:val="2"/>
                <w:szCs w:val="2"/>
                <w:color w:val="auto"/>
              </w:rPr>
            </w:pPr>
          </w:p>
        </w:tc>
        <w:tc>
          <w:tcPr>
            <w:tcW w:w="120" w:type="dxa"/>
            <w:vAlign w:val="bottom"/>
            <w:tcBorders>
              <w:right w:val="single" w:sz="8" w:color="0000EE"/>
            </w:tcBorders>
            <w:shd w:val="clear" w:color="auto" w:fill="0000EE"/>
          </w:tcPr>
          <w:p>
            <w:pPr>
              <w:spacing w:after="0"/>
              <w:rPr>
                <w:sz w:val="2"/>
                <w:szCs w:val="2"/>
                <w:color w:val="auto"/>
              </w:rPr>
            </w:pPr>
          </w:p>
        </w:tc>
        <w:tc>
          <w:tcPr>
            <w:tcW w:w="140" w:type="dxa"/>
            <w:vAlign w:val="bottom"/>
            <w:tcBorders>
              <w:left w:val="single" w:sz="8" w:color="0000EE"/>
              <w:right w:val="single" w:sz="8" w:color="0000EE"/>
            </w:tcBorders>
            <w:shd w:val="clear" w:color="auto" w:fill="0000EE"/>
          </w:tcPr>
          <w:p>
            <w:pPr>
              <w:spacing w:after="0"/>
              <w:rPr>
                <w:sz w:val="2"/>
                <w:szCs w:val="2"/>
                <w:color w:val="auto"/>
              </w:rPr>
            </w:pPr>
          </w:p>
        </w:tc>
        <w:tc>
          <w:tcPr>
            <w:tcW w:w="160" w:type="dxa"/>
            <w:vAlign w:val="bottom"/>
            <w:shd w:val="clear" w:color="auto" w:fill="0000EE"/>
          </w:tcPr>
          <w:p>
            <w:pPr>
              <w:spacing w:after="0"/>
              <w:rPr>
                <w:sz w:val="2"/>
                <w:szCs w:val="2"/>
                <w:color w:val="auto"/>
              </w:rPr>
            </w:pPr>
          </w:p>
        </w:tc>
        <w:tc>
          <w:tcPr>
            <w:tcW w:w="60" w:type="dxa"/>
            <w:vAlign w:val="bottom"/>
            <w:tcBorders>
              <w:right w:val="single" w:sz="8" w:color="0000EE"/>
            </w:tcBorders>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180" w:type="dxa"/>
            <w:vAlign w:val="bottom"/>
            <w:tcBorders>
              <w:right w:val="single" w:sz="8" w:color="0000EE"/>
            </w:tcBorders>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0" w:type="dxa"/>
            <w:vAlign w:val="bottom"/>
            <w:shd w:val="clear" w:color="auto" w:fill="0000EE"/>
          </w:tcPr>
          <w:p>
            <w:pPr>
              <w:spacing w:after="0"/>
              <w:rPr>
                <w:sz w:val="2"/>
                <w:szCs w:val="2"/>
                <w:color w:val="auto"/>
              </w:rPr>
            </w:pPr>
          </w:p>
        </w:tc>
        <w:tc>
          <w:tcPr>
            <w:tcW w:w="40" w:type="dxa"/>
            <w:vAlign w:val="bottom"/>
            <w:tcBorders>
              <w:right w:val="single" w:sz="8" w:color="0000EE"/>
            </w:tcBorders>
            <w:shd w:val="clear" w:color="auto" w:fill="0000EE"/>
          </w:tcPr>
          <w:p>
            <w:pPr>
              <w:spacing w:after="0"/>
              <w:rPr>
                <w:sz w:val="2"/>
                <w:szCs w:val="2"/>
                <w:color w:val="auto"/>
              </w:rPr>
            </w:pPr>
          </w:p>
        </w:tc>
        <w:tc>
          <w:tcPr>
            <w:tcW w:w="80" w:type="dxa"/>
            <w:vAlign w:val="bottom"/>
          </w:tcPr>
          <w:p>
            <w:pPr>
              <w:spacing w:after="0"/>
              <w:rPr>
                <w:sz w:val="2"/>
                <w:szCs w:val="2"/>
                <w:color w:val="auto"/>
              </w:rPr>
            </w:pPr>
          </w:p>
        </w:tc>
        <w:tc>
          <w:tcPr>
            <w:tcW w:w="32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420" w:type="dxa"/>
            <w:vAlign w:val="bottom"/>
          </w:tcPr>
          <w:p>
            <w:pPr>
              <w:spacing w:after="0"/>
              <w:rPr>
                <w:sz w:val="2"/>
                <w:szCs w:val="2"/>
                <w:color w:val="auto"/>
              </w:rPr>
            </w:pPr>
          </w:p>
        </w:tc>
        <w:tc>
          <w:tcPr>
            <w:tcW w:w="180" w:type="dxa"/>
            <w:vAlign w:val="bottom"/>
          </w:tcPr>
          <w:p>
            <w:pPr>
              <w:spacing w:after="0"/>
              <w:rPr>
                <w:sz w:val="2"/>
                <w:szCs w:val="2"/>
                <w:color w:val="auto"/>
              </w:rPr>
            </w:pPr>
          </w:p>
        </w:tc>
        <w:tc>
          <w:tcPr>
            <w:tcW w:w="180" w:type="dxa"/>
            <w:vAlign w:val="bottom"/>
          </w:tcPr>
          <w:p>
            <w:pPr>
              <w:spacing w:after="0"/>
              <w:rPr>
                <w:sz w:val="2"/>
                <w:szCs w:val="2"/>
                <w:color w:val="auto"/>
              </w:rPr>
            </w:pPr>
          </w:p>
        </w:tc>
        <w:tc>
          <w:tcPr>
            <w:tcW w:w="300" w:type="dxa"/>
            <w:vAlign w:val="bottom"/>
          </w:tcPr>
          <w:p>
            <w:pPr>
              <w:spacing w:after="0"/>
              <w:rPr>
                <w:sz w:val="2"/>
                <w:szCs w:val="2"/>
                <w:color w:val="auto"/>
              </w:rPr>
            </w:pPr>
          </w:p>
        </w:tc>
        <w:tc>
          <w:tcPr>
            <w:tcW w:w="160" w:type="dxa"/>
            <w:vAlign w:val="bottom"/>
          </w:tcPr>
          <w:p>
            <w:pPr>
              <w:spacing w:after="0"/>
              <w:rPr>
                <w:sz w:val="2"/>
                <w:szCs w:val="2"/>
                <w:color w:val="auto"/>
              </w:rPr>
            </w:pPr>
          </w:p>
        </w:tc>
        <w:tc>
          <w:tcPr>
            <w:tcW w:w="6720" w:type="dxa"/>
            <w:vAlign w:val="bottom"/>
          </w:tcPr>
          <w:p>
            <w:pPr>
              <w:spacing w:after="0"/>
              <w:rPr>
                <w:sz w:val="2"/>
                <w:szCs w:val="2"/>
                <w:color w:val="auto"/>
              </w:rPr>
            </w:pPr>
          </w:p>
        </w:tc>
        <w:tc>
          <w:tcPr>
            <w:tcW w:w="500" w:type="dxa"/>
            <w:vAlign w:val="bottom"/>
            <w:tcBorders>
              <w:right w:val="single" w:sz="8" w:color="0000EE"/>
            </w:tcBorders>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34"/>
        </w:trPr>
        <w:tc>
          <w:tcPr>
            <w:tcW w:w="20" w:type="dxa"/>
            <w:vAlign w:val="bottom"/>
            <w:vMerge w:val="continue"/>
          </w:tcPr>
          <w:p>
            <w:pPr>
              <w:spacing w:after="0"/>
              <w:rPr>
                <w:sz w:val="11"/>
                <w:szCs w:val="11"/>
                <w:color w:val="auto"/>
              </w:rPr>
            </w:pPr>
          </w:p>
        </w:tc>
        <w:tc>
          <w:tcPr>
            <w:tcW w:w="80" w:type="dxa"/>
            <w:vAlign w:val="bottom"/>
            <w:shd w:val="clear" w:color="auto" w:fill="CCEEFF"/>
          </w:tcPr>
          <w:p>
            <w:pPr>
              <w:spacing w:after="0"/>
              <w:rPr>
                <w:rFonts w:ascii="Arial" w:cs="Arial" w:eastAsia="Arial" w:hAnsi="Arial"/>
                <w:sz w:val="6"/>
                <w:szCs w:val="6"/>
                <w:color w:val="0000EE"/>
                <w:w w:val="74"/>
              </w:rPr>
            </w:pPr>
            <w:hyperlink w:anchor="page82">
              <w:r>
                <w:rPr>
                  <w:rFonts w:ascii="Arial" w:cs="Arial" w:eastAsia="Arial" w:hAnsi="Arial"/>
                  <w:sz w:val="6"/>
                  <w:szCs w:val="6"/>
                  <w:color w:val="0000EE"/>
                  <w:w w:val="74"/>
                </w:rPr>
                <w:t>F.</w:t>
              </w:r>
            </w:hyperlink>
          </w:p>
        </w:tc>
        <w:tc>
          <w:tcPr>
            <w:tcW w:w="480" w:type="dxa"/>
            <w:vAlign w:val="bottom"/>
            <w:tcBorders>
              <w:left w:val="single" w:sz="8" w:color="CCEEFF"/>
            </w:tcBorders>
            <w:gridSpan w:val="3"/>
            <w:shd w:val="clear" w:color="auto" w:fill="CCEEFF"/>
          </w:tcPr>
          <w:p>
            <w:pPr>
              <w:spacing w:after="0"/>
              <w:rPr>
                <w:sz w:val="11"/>
                <w:szCs w:val="11"/>
                <w:color w:val="auto"/>
              </w:rPr>
            </w:pPr>
          </w:p>
        </w:tc>
        <w:tc>
          <w:tcPr>
            <w:tcW w:w="10320" w:type="dxa"/>
            <w:vAlign w:val="bottom"/>
            <w:gridSpan w:val="22"/>
            <w:shd w:val="clear" w:color="auto" w:fill="CCEEFF"/>
          </w:tcPr>
          <w:p>
            <w:pPr>
              <w:spacing w:after="0" w:line="125" w:lineRule="exact"/>
              <w:rPr>
                <w:rFonts w:ascii="Arial" w:cs="Arial" w:eastAsia="Arial" w:hAnsi="Arial"/>
                <w:sz w:val="13"/>
                <w:szCs w:val="13"/>
                <w:color w:val="0000EE"/>
              </w:rPr>
            </w:pPr>
            <w:hyperlink w:anchor="page82">
              <w:r>
                <w:rPr>
                  <w:rFonts w:ascii="Arial" w:cs="Arial" w:eastAsia="Arial" w:hAnsi="Arial"/>
                  <w:sz w:val="13"/>
                  <w:szCs w:val="13"/>
                  <w:color w:val="0000EE"/>
                </w:rPr>
                <w:t>Tabular Disclosure of Contractual Obligations</w:t>
              </w:r>
            </w:hyperlink>
          </w:p>
        </w:tc>
        <w:tc>
          <w:tcPr>
            <w:tcW w:w="580" w:type="dxa"/>
            <w:vAlign w:val="bottom"/>
            <w:gridSpan w:val="2"/>
            <w:shd w:val="clear" w:color="auto" w:fill="CCEEFF"/>
          </w:tcPr>
          <w:p>
            <w:pPr>
              <w:jc w:val="right"/>
              <w:spacing w:after="0" w:line="125" w:lineRule="exact"/>
              <w:rPr>
                <w:rFonts w:ascii="Arial" w:cs="Arial" w:eastAsia="Arial" w:hAnsi="Arial"/>
                <w:sz w:val="13"/>
                <w:szCs w:val="13"/>
                <w:color w:val="0000EE"/>
              </w:rPr>
            </w:pPr>
            <w:hyperlink w:anchor="page82">
              <w:r>
                <w:rPr>
                  <w:rFonts w:ascii="Arial" w:cs="Arial" w:eastAsia="Arial" w:hAnsi="Arial"/>
                  <w:sz w:val="13"/>
                  <w:szCs w:val="13"/>
                  <w:color w:val="0000EE"/>
                </w:rPr>
                <w:t>80</w:t>
              </w:r>
            </w:hyperlink>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280" w:type="dxa"/>
            <w:vAlign w:val="bottom"/>
            <w:tcBorders>
              <w:top w:val="single" w:sz="8" w:color="CCEEFF"/>
            </w:tcBorders>
          </w:tcPr>
          <w:p>
            <w:pPr>
              <w:spacing w:after="0"/>
              <w:rPr>
                <w:sz w:val="13"/>
                <w:szCs w:val="13"/>
                <w:color w:val="auto"/>
              </w:rPr>
            </w:pPr>
          </w:p>
        </w:tc>
        <w:tc>
          <w:tcPr>
            <w:tcW w:w="100" w:type="dxa"/>
            <w:vAlign w:val="bottom"/>
            <w:tcBorders>
              <w:top w:val="single" w:sz="8" w:color="CCEEFF"/>
            </w:tcBorders>
          </w:tcPr>
          <w:p>
            <w:pPr>
              <w:spacing w:after="0"/>
              <w:rPr>
                <w:sz w:val="13"/>
                <w:szCs w:val="13"/>
                <w:color w:val="auto"/>
              </w:rPr>
            </w:pPr>
          </w:p>
        </w:tc>
        <w:tc>
          <w:tcPr>
            <w:tcW w:w="100" w:type="dxa"/>
            <w:vAlign w:val="bottom"/>
            <w:tcBorders>
              <w:top w:val="single" w:sz="8" w:color="CCEEFF"/>
            </w:tcBorders>
          </w:tcPr>
          <w:p>
            <w:pPr>
              <w:spacing w:after="0"/>
              <w:rPr>
                <w:sz w:val="13"/>
                <w:szCs w:val="13"/>
                <w:color w:val="auto"/>
              </w:rPr>
            </w:pPr>
          </w:p>
        </w:tc>
        <w:tc>
          <w:tcPr>
            <w:tcW w:w="420" w:type="dxa"/>
            <w:vAlign w:val="bottom"/>
            <w:tcBorders>
              <w:top w:val="single" w:sz="8" w:color="0000EE"/>
            </w:tcBorders>
          </w:tcPr>
          <w:p>
            <w:pPr>
              <w:spacing w:after="0"/>
              <w:rPr>
                <w:sz w:val="13"/>
                <w:szCs w:val="13"/>
                <w:color w:val="auto"/>
              </w:rPr>
            </w:pPr>
          </w:p>
        </w:tc>
        <w:tc>
          <w:tcPr>
            <w:tcW w:w="220" w:type="dxa"/>
            <w:vAlign w:val="bottom"/>
            <w:tcBorders>
              <w:top w:val="single" w:sz="8" w:color="0000EE"/>
            </w:tcBorders>
          </w:tcPr>
          <w:p>
            <w:pPr>
              <w:spacing w:after="0"/>
              <w:rPr>
                <w:sz w:val="13"/>
                <w:szCs w:val="13"/>
                <w:color w:val="auto"/>
              </w:rPr>
            </w:pPr>
          </w:p>
        </w:tc>
        <w:tc>
          <w:tcPr>
            <w:tcW w:w="160" w:type="dxa"/>
            <w:vAlign w:val="bottom"/>
            <w:tcBorders>
              <w:top w:val="single" w:sz="8" w:color="0000EE"/>
            </w:tcBorders>
          </w:tcPr>
          <w:p>
            <w:pPr>
              <w:spacing w:after="0"/>
              <w:rPr>
                <w:sz w:val="13"/>
                <w:szCs w:val="13"/>
                <w:color w:val="auto"/>
              </w:rPr>
            </w:pPr>
          </w:p>
        </w:tc>
        <w:tc>
          <w:tcPr>
            <w:tcW w:w="120" w:type="dxa"/>
            <w:vAlign w:val="bottom"/>
            <w:tcBorders>
              <w:top w:val="single" w:sz="8" w:color="0000EE"/>
            </w:tcBorders>
          </w:tcPr>
          <w:p>
            <w:pPr>
              <w:spacing w:after="0"/>
              <w:rPr>
                <w:sz w:val="13"/>
                <w:szCs w:val="13"/>
                <w:color w:val="auto"/>
              </w:rPr>
            </w:pPr>
          </w:p>
        </w:tc>
        <w:tc>
          <w:tcPr>
            <w:tcW w:w="140" w:type="dxa"/>
            <w:vAlign w:val="bottom"/>
            <w:tcBorders>
              <w:top w:val="single" w:sz="8" w:color="0000EE"/>
            </w:tcBorders>
          </w:tcPr>
          <w:p>
            <w:pPr>
              <w:spacing w:after="0"/>
              <w:rPr>
                <w:sz w:val="13"/>
                <w:szCs w:val="13"/>
                <w:color w:val="auto"/>
              </w:rPr>
            </w:pPr>
          </w:p>
        </w:tc>
        <w:tc>
          <w:tcPr>
            <w:tcW w:w="160" w:type="dxa"/>
            <w:vAlign w:val="bottom"/>
            <w:tcBorders>
              <w:top w:val="single" w:sz="8" w:color="0000EE"/>
            </w:tcBorders>
          </w:tcPr>
          <w:p>
            <w:pPr>
              <w:spacing w:after="0"/>
              <w:rPr>
                <w:sz w:val="13"/>
                <w:szCs w:val="13"/>
                <w:color w:val="auto"/>
              </w:rPr>
            </w:pPr>
          </w:p>
        </w:tc>
        <w:tc>
          <w:tcPr>
            <w:tcW w:w="60" w:type="dxa"/>
            <w:vAlign w:val="bottom"/>
            <w:tcBorders>
              <w:top w:val="single" w:sz="8" w:color="0000EE"/>
            </w:tcBorders>
          </w:tcPr>
          <w:p>
            <w:pPr>
              <w:spacing w:after="0"/>
              <w:rPr>
                <w:sz w:val="13"/>
                <w:szCs w:val="13"/>
                <w:color w:val="auto"/>
              </w:rPr>
            </w:pPr>
          </w:p>
        </w:tc>
        <w:tc>
          <w:tcPr>
            <w:tcW w:w="100" w:type="dxa"/>
            <w:vAlign w:val="bottom"/>
            <w:tcBorders>
              <w:top w:val="single" w:sz="8" w:color="0000EE"/>
            </w:tcBorders>
          </w:tcPr>
          <w:p>
            <w:pPr>
              <w:spacing w:after="0"/>
              <w:rPr>
                <w:sz w:val="13"/>
                <w:szCs w:val="13"/>
                <w:color w:val="auto"/>
              </w:rPr>
            </w:pPr>
          </w:p>
        </w:tc>
        <w:tc>
          <w:tcPr>
            <w:tcW w:w="18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20" w:type="dxa"/>
            <w:vAlign w:val="bottom"/>
            <w:tcBorders>
              <w:top w:val="single" w:sz="8" w:color="0000EE"/>
            </w:tcBorders>
          </w:tcPr>
          <w:p>
            <w:pPr>
              <w:spacing w:after="0"/>
              <w:rPr>
                <w:sz w:val="13"/>
                <w:szCs w:val="13"/>
                <w:color w:val="auto"/>
              </w:rPr>
            </w:pPr>
          </w:p>
        </w:tc>
        <w:tc>
          <w:tcPr>
            <w:tcW w:w="4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32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180" w:type="dxa"/>
            <w:vAlign w:val="bottom"/>
            <w:tcBorders>
              <w:top w:val="single" w:sz="8" w:color="0000EE"/>
            </w:tcBorders>
          </w:tcPr>
          <w:p>
            <w:pPr>
              <w:spacing w:after="0"/>
              <w:rPr>
                <w:sz w:val="13"/>
                <w:szCs w:val="13"/>
                <w:color w:val="auto"/>
              </w:rPr>
            </w:pPr>
          </w:p>
        </w:tc>
        <w:tc>
          <w:tcPr>
            <w:tcW w:w="42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300" w:type="dxa"/>
            <w:vAlign w:val="bottom"/>
            <w:tcBorders>
              <w:top w:val="single" w:sz="8" w:color="CCEEFF"/>
            </w:tcBorders>
          </w:tcPr>
          <w:p>
            <w:pPr>
              <w:spacing w:after="0"/>
              <w:rPr>
                <w:sz w:val="13"/>
                <w:szCs w:val="13"/>
                <w:color w:val="auto"/>
              </w:rPr>
            </w:pPr>
          </w:p>
        </w:tc>
        <w:tc>
          <w:tcPr>
            <w:tcW w:w="160" w:type="dxa"/>
            <w:vAlign w:val="bottom"/>
            <w:tcBorders>
              <w:top w:val="single" w:sz="8" w:color="CCEEFF"/>
            </w:tcBorders>
          </w:tcPr>
          <w:p>
            <w:pPr>
              <w:spacing w:after="0"/>
              <w:rPr>
                <w:sz w:val="13"/>
                <w:szCs w:val="13"/>
                <w:color w:val="auto"/>
              </w:rPr>
            </w:pPr>
          </w:p>
        </w:tc>
        <w:tc>
          <w:tcPr>
            <w:tcW w:w="6720" w:type="dxa"/>
            <w:vAlign w:val="bottom"/>
            <w:tcBorders>
              <w:top w:val="single" w:sz="8" w:color="CCEEFF"/>
            </w:tcBorders>
          </w:tcPr>
          <w:p>
            <w:pPr>
              <w:spacing w:after="0"/>
              <w:rPr>
                <w:sz w:val="13"/>
                <w:szCs w:val="13"/>
                <w:color w:val="auto"/>
              </w:rPr>
            </w:pPr>
          </w:p>
        </w:tc>
        <w:tc>
          <w:tcPr>
            <w:tcW w:w="500" w:type="dxa"/>
            <w:vAlign w:val="bottom"/>
            <w:tcBorders>
              <w:top w:val="single" w:sz="8" w:color="CCEEFF"/>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25"/>
        </w:trPr>
        <w:tc>
          <w:tcPr>
            <w:tcW w:w="20" w:type="dxa"/>
            <w:vAlign w:val="bottom"/>
            <w:vMerge w:val="continue"/>
          </w:tcPr>
          <w:p>
            <w:pPr>
              <w:spacing w:after="0"/>
              <w:rPr>
                <w:sz w:val="10"/>
                <w:szCs w:val="10"/>
                <w:color w:val="auto"/>
              </w:rPr>
            </w:pPr>
          </w:p>
        </w:tc>
        <w:tc>
          <w:tcPr>
            <w:tcW w:w="560" w:type="dxa"/>
            <w:vAlign w:val="bottom"/>
            <w:gridSpan w:val="4"/>
            <w:shd w:val="clear" w:color="auto" w:fill="CCEEFF"/>
          </w:tcPr>
          <w:p>
            <w:pPr>
              <w:spacing w:after="0" w:line="125" w:lineRule="exact"/>
              <w:rPr>
                <w:rFonts w:ascii="Arial" w:cs="Arial" w:eastAsia="Arial" w:hAnsi="Arial"/>
                <w:sz w:val="13"/>
                <w:szCs w:val="13"/>
                <w:b w:val="1"/>
                <w:bCs w:val="1"/>
                <w:color w:val="0000EE"/>
              </w:rPr>
            </w:pPr>
            <w:hyperlink w:anchor="page83">
              <w:r>
                <w:rPr>
                  <w:rFonts w:ascii="Arial" w:cs="Arial" w:eastAsia="Arial" w:hAnsi="Arial"/>
                  <w:sz w:val="13"/>
                  <w:szCs w:val="13"/>
                  <w:b w:val="1"/>
                  <w:bCs w:val="1"/>
                  <w:color w:val="0000EE"/>
                </w:rPr>
                <w:t>Item 6.</w:t>
              </w:r>
            </w:hyperlink>
          </w:p>
        </w:tc>
        <w:tc>
          <w:tcPr>
            <w:tcW w:w="420" w:type="dxa"/>
            <w:vAlign w:val="bottom"/>
            <w:shd w:val="clear" w:color="auto" w:fill="CCEEFF"/>
          </w:tcPr>
          <w:p>
            <w:pPr>
              <w:spacing w:after="0"/>
              <w:rPr>
                <w:sz w:val="10"/>
                <w:szCs w:val="10"/>
                <w:color w:val="auto"/>
              </w:rPr>
            </w:pPr>
          </w:p>
        </w:tc>
        <w:tc>
          <w:tcPr>
            <w:tcW w:w="220" w:type="dxa"/>
            <w:vAlign w:val="bottom"/>
            <w:tcBorders>
              <w:right w:val="single" w:sz="8" w:color="CCEEFF"/>
            </w:tcBorders>
            <w:shd w:val="clear" w:color="auto" w:fill="CCEEFF"/>
          </w:tcPr>
          <w:p>
            <w:pPr>
              <w:spacing w:after="0"/>
              <w:rPr>
                <w:sz w:val="10"/>
                <w:szCs w:val="10"/>
                <w:color w:val="auto"/>
              </w:rPr>
            </w:pPr>
          </w:p>
        </w:tc>
        <w:tc>
          <w:tcPr>
            <w:tcW w:w="9680" w:type="dxa"/>
            <w:vAlign w:val="bottom"/>
            <w:gridSpan w:val="20"/>
            <w:shd w:val="clear" w:color="auto" w:fill="CCEEFF"/>
          </w:tcPr>
          <w:p>
            <w:pPr>
              <w:spacing w:after="0" w:line="125" w:lineRule="exact"/>
              <w:rPr>
                <w:rFonts w:ascii="Arial" w:cs="Arial" w:eastAsia="Arial" w:hAnsi="Arial"/>
                <w:sz w:val="13"/>
                <w:szCs w:val="13"/>
                <w:b w:val="1"/>
                <w:bCs w:val="1"/>
                <w:color w:val="0000EE"/>
              </w:rPr>
            </w:pPr>
            <w:hyperlink w:anchor="page83">
              <w:r>
                <w:rPr>
                  <w:rFonts w:ascii="Arial" w:cs="Arial" w:eastAsia="Arial" w:hAnsi="Arial"/>
                  <w:sz w:val="13"/>
                  <w:szCs w:val="13"/>
                  <w:b w:val="1"/>
                  <w:bCs w:val="1"/>
                  <w:color w:val="0000EE"/>
                </w:rPr>
                <w:t>Directors, Executive Officers and Employees</w:t>
              </w:r>
            </w:hyperlink>
          </w:p>
        </w:tc>
        <w:tc>
          <w:tcPr>
            <w:tcW w:w="580" w:type="dxa"/>
            <w:vAlign w:val="bottom"/>
            <w:gridSpan w:val="2"/>
            <w:shd w:val="clear" w:color="auto" w:fill="CCEEFF"/>
          </w:tcPr>
          <w:p>
            <w:pPr>
              <w:jc w:val="right"/>
              <w:spacing w:after="0" w:line="125" w:lineRule="exact"/>
              <w:rPr>
                <w:rFonts w:ascii="Arial" w:cs="Arial" w:eastAsia="Arial" w:hAnsi="Arial"/>
                <w:sz w:val="13"/>
                <w:szCs w:val="13"/>
                <w:b w:val="1"/>
                <w:bCs w:val="1"/>
                <w:color w:val="0000EE"/>
              </w:rPr>
            </w:pPr>
            <w:hyperlink w:anchor="page83">
              <w:r>
                <w:rPr>
                  <w:rFonts w:ascii="Arial" w:cs="Arial" w:eastAsia="Arial" w:hAnsi="Arial"/>
                  <w:sz w:val="13"/>
                  <w:szCs w:val="13"/>
                  <w:b w:val="1"/>
                  <w:bCs w:val="1"/>
                  <w:color w:val="0000EE"/>
                </w:rPr>
                <w:t>81</w:t>
              </w:r>
            </w:hyperlink>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80" w:type="dxa"/>
            <w:vAlign w:val="bottom"/>
            <w:tcBorders>
              <w:left w:val="single" w:sz="8" w:color="0000EE"/>
            </w:tcBorders>
            <w:shd w:val="clear" w:color="auto" w:fill="0000EE"/>
          </w:tcPr>
          <w:p>
            <w:pPr>
              <w:spacing w:after="0"/>
              <w:rPr>
                <w:sz w:val="2"/>
                <w:szCs w:val="2"/>
                <w:color w:val="auto"/>
              </w:rPr>
            </w:pPr>
          </w:p>
        </w:tc>
        <w:tc>
          <w:tcPr>
            <w:tcW w:w="100" w:type="dxa"/>
            <w:vAlign w:val="bottom"/>
            <w:tcBorders>
              <w:left w:val="single" w:sz="8" w:color="CCEEFF"/>
            </w:tcBorders>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420" w:type="dxa"/>
            <w:vAlign w:val="bottom"/>
            <w:shd w:val="clear" w:color="auto" w:fill="CCEEFF"/>
          </w:tcPr>
          <w:p>
            <w:pPr>
              <w:spacing w:after="0"/>
              <w:rPr>
                <w:sz w:val="2"/>
                <w:szCs w:val="2"/>
                <w:color w:val="auto"/>
              </w:rPr>
            </w:pPr>
          </w:p>
        </w:tc>
        <w:tc>
          <w:tcPr>
            <w:tcW w:w="220" w:type="dxa"/>
            <w:vAlign w:val="bottom"/>
            <w:tcBorders>
              <w:right w:val="single" w:sz="8" w:color="0000EE"/>
            </w:tcBorders>
            <w:shd w:val="clear" w:color="auto" w:fill="CCEEFF"/>
          </w:tcPr>
          <w:p>
            <w:pPr>
              <w:spacing w:after="0"/>
              <w:rPr>
                <w:sz w:val="2"/>
                <w:szCs w:val="2"/>
                <w:color w:val="auto"/>
              </w:rPr>
            </w:pPr>
          </w:p>
        </w:tc>
        <w:tc>
          <w:tcPr>
            <w:tcW w:w="160" w:type="dxa"/>
            <w:vAlign w:val="bottom"/>
            <w:tcBorders>
              <w:right w:val="single" w:sz="8" w:color="0000EE"/>
            </w:tcBorders>
            <w:shd w:val="clear" w:color="auto" w:fill="0000EE"/>
          </w:tcPr>
          <w:p>
            <w:pPr>
              <w:spacing w:after="0"/>
              <w:rPr>
                <w:sz w:val="2"/>
                <w:szCs w:val="2"/>
                <w:color w:val="auto"/>
              </w:rPr>
            </w:pPr>
          </w:p>
        </w:tc>
        <w:tc>
          <w:tcPr>
            <w:tcW w:w="120" w:type="dxa"/>
            <w:vAlign w:val="bottom"/>
            <w:tcBorders>
              <w:right w:val="single" w:sz="8" w:color="0000EE"/>
            </w:tcBorders>
            <w:shd w:val="clear" w:color="auto" w:fill="0000EE"/>
          </w:tcPr>
          <w:p>
            <w:pPr>
              <w:spacing w:after="0"/>
              <w:rPr>
                <w:sz w:val="2"/>
                <w:szCs w:val="2"/>
                <w:color w:val="auto"/>
              </w:rPr>
            </w:pPr>
          </w:p>
        </w:tc>
        <w:tc>
          <w:tcPr>
            <w:tcW w:w="140" w:type="dxa"/>
            <w:vAlign w:val="bottom"/>
            <w:tcBorders>
              <w:left w:val="single" w:sz="8" w:color="0000EE"/>
              <w:right w:val="single" w:sz="8" w:color="0000EE"/>
            </w:tcBorders>
            <w:shd w:val="clear" w:color="auto" w:fill="0000EE"/>
          </w:tcPr>
          <w:p>
            <w:pPr>
              <w:spacing w:after="0"/>
              <w:rPr>
                <w:sz w:val="2"/>
                <w:szCs w:val="2"/>
                <w:color w:val="auto"/>
              </w:rPr>
            </w:pPr>
          </w:p>
        </w:tc>
        <w:tc>
          <w:tcPr>
            <w:tcW w:w="160" w:type="dxa"/>
            <w:vAlign w:val="bottom"/>
            <w:shd w:val="clear" w:color="auto" w:fill="0000EE"/>
          </w:tcPr>
          <w:p>
            <w:pPr>
              <w:spacing w:after="0"/>
              <w:rPr>
                <w:sz w:val="2"/>
                <w:szCs w:val="2"/>
                <w:color w:val="auto"/>
              </w:rPr>
            </w:pPr>
          </w:p>
        </w:tc>
        <w:tc>
          <w:tcPr>
            <w:tcW w:w="60" w:type="dxa"/>
            <w:vAlign w:val="bottom"/>
            <w:tcBorders>
              <w:right w:val="single" w:sz="8" w:color="0000EE"/>
            </w:tcBorders>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180" w:type="dxa"/>
            <w:vAlign w:val="bottom"/>
            <w:tcBorders>
              <w:right w:val="single" w:sz="8" w:color="0000EE"/>
            </w:tcBorders>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0" w:type="dxa"/>
            <w:vAlign w:val="bottom"/>
            <w:shd w:val="clear" w:color="auto" w:fill="0000EE"/>
          </w:tcPr>
          <w:p>
            <w:pPr>
              <w:spacing w:after="0"/>
              <w:rPr>
                <w:sz w:val="2"/>
                <w:szCs w:val="2"/>
                <w:color w:val="auto"/>
              </w:rPr>
            </w:pPr>
          </w:p>
        </w:tc>
        <w:tc>
          <w:tcPr>
            <w:tcW w:w="40" w:type="dxa"/>
            <w:vAlign w:val="bottom"/>
            <w:tcBorders>
              <w:right w:val="single" w:sz="8" w:color="0000EE"/>
            </w:tcBorders>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32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180" w:type="dxa"/>
            <w:vAlign w:val="bottom"/>
            <w:shd w:val="clear" w:color="auto" w:fill="0000EE"/>
          </w:tcPr>
          <w:p>
            <w:pPr>
              <w:spacing w:after="0"/>
              <w:rPr>
                <w:sz w:val="2"/>
                <w:szCs w:val="2"/>
                <w:color w:val="auto"/>
              </w:rPr>
            </w:pPr>
          </w:p>
        </w:tc>
        <w:tc>
          <w:tcPr>
            <w:tcW w:w="420" w:type="dxa"/>
            <w:vAlign w:val="bottom"/>
            <w:tcBorders>
              <w:right w:val="single" w:sz="8" w:color="0000EE"/>
            </w:tcBorders>
            <w:shd w:val="clear" w:color="auto" w:fill="0000EE"/>
          </w:tcPr>
          <w:p>
            <w:pPr>
              <w:spacing w:after="0"/>
              <w:rPr>
                <w:sz w:val="2"/>
                <w:szCs w:val="2"/>
                <w:color w:val="auto"/>
              </w:rPr>
            </w:pPr>
          </w:p>
        </w:tc>
        <w:tc>
          <w:tcPr>
            <w:tcW w:w="180" w:type="dxa"/>
            <w:vAlign w:val="bottom"/>
            <w:shd w:val="clear" w:color="auto" w:fill="0000EE"/>
          </w:tcPr>
          <w:p>
            <w:pPr>
              <w:spacing w:after="0"/>
              <w:rPr>
                <w:sz w:val="2"/>
                <w:szCs w:val="2"/>
                <w:color w:val="auto"/>
              </w:rPr>
            </w:pPr>
          </w:p>
        </w:tc>
        <w:tc>
          <w:tcPr>
            <w:tcW w:w="180" w:type="dxa"/>
            <w:vAlign w:val="bottom"/>
            <w:tcBorders>
              <w:left w:val="single" w:sz="8" w:color="0000EE"/>
            </w:tcBorders>
            <w:shd w:val="clear" w:color="auto" w:fill="CCEEFF"/>
          </w:tcPr>
          <w:p>
            <w:pPr>
              <w:spacing w:after="0"/>
              <w:rPr>
                <w:sz w:val="2"/>
                <w:szCs w:val="2"/>
                <w:color w:val="auto"/>
              </w:rPr>
            </w:pPr>
          </w:p>
        </w:tc>
        <w:tc>
          <w:tcPr>
            <w:tcW w:w="300" w:type="dxa"/>
            <w:vAlign w:val="bottom"/>
            <w:shd w:val="clear" w:color="auto" w:fill="CCEEFF"/>
          </w:tcPr>
          <w:p>
            <w:pPr>
              <w:spacing w:after="0"/>
              <w:rPr>
                <w:sz w:val="2"/>
                <w:szCs w:val="2"/>
                <w:color w:val="auto"/>
              </w:rPr>
            </w:pPr>
          </w:p>
        </w:tc>
        <w:tc>
          <w:tcPr>
            <w:tcW w:w="160" w:type="dxa"/>
            <w:vAlign w:val="bottom"/>
            <w:shd w:val="clear" w:color="auto" w:fill="CCEEFF"/>
          </w:tcPr>
          <w:p>
            <w:pPr>
              <w:spacing w:after="0"/>
              <w:rPr>
                <w:sz w:val="2"/>
                <w:szCs w:val="2"/>
                <w:color w:val="auto"/>
              </w:rPr>
            </w:pPr>
          </w:p>
        </w:tc>
        <w:tc>
          <w:tcPr>
            <w:tcW w:w="6720" w:type="dxa"/>
            <w:vAlign w:val="bottom"/>
            <w:shd w:val="clear" w:color="auto" w:fill="CCEEFF"/>
          </w:tcPr>
          <w:p>
            <w:pPr>
              <w:spacing w:after="0"/>
              <w:rPr>
                <w:sz w:val="2"/>
                <w:szCs w:val="2"/>
                <w:color w:val="auto"/>
              </w:rPr>
            </w:pPr>
          </w:p>
        </w:tc>
        <w:tc>
          <w:tcPr>
            <w:tcW w:w="500" w:type="dxa"/>
            <w:vAlign w:val="bottom"/>
            <w:tcBorders>
              <w:right w:val="single" w:sz="8" w:color="0000EE"/>
            </w:tcBorders>
            <w:shd w:val="clear" w:color="auto" w:fill="CCEEFF"/>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34"/>
        </w:trPr>
        <w:tc>
          <w:tcPr>
            <w:tcW w:w="20" w:type="dxa"/>
            <w:vAlign w:val="bottom"/>
            <w:vMerge w:val="continue"/>
          </w:tcPr>
          <w:p>
            <w:pPr>
              <w:spacing w:after="0"/>
              <w:rPr>
                <w:sz w:val="11"/>
                <w:szCs w:val="11"/>
                <w:color w:val="auto"/>
              </w:rPr>
            </w:pPr>
          </w:p>
        </w:tc>
        <w:tc>
          <w:tcPr>
            <w:tcW w:w="360" w:type="dxa"/>
            <w:vAlign w:val="bottom"/>
            <w:gridSpan w:val="2"/>
          </w:tcPr>
          <w:p>
            <w:pPr>
              <w:spacing w:after="0" w:line="125" w:lineRule="exact"/>
              <w:rPr>
                <w:rFonts w:ascii="Arial" w:cs="Arial" w:eastAsia="Arial" w:hAnsi="Arial"/>
                <w:sz w:val="13"/>
                <w:szCs w:val="13"/>
                <w:color w:val="0000EE"/>
              </w:rPr>
            </w:pPr>
            <w:hyperlink w:anchor="page83">
              <w:r>
                <w:rPr>
                  <w:rFonts w:ascii="Arial" w:cs="Arial" w:eastAsia="Arial" w:hAnsi="Arial"/>
                  <w:sz w:val="13"/>
                  <w:szCs w:val="13"/>
                  <w:color w:val="0000EE"/>
                </w:rPr>
                <w:t>A.</w:t>
              </w:r>
            </w:hyperlink>
          </w:p>
        </w:tc>
        <w:tc>
          <w:tcPr>
            <w:tcW w:w="200" w:type="dxa"/>
            <w:vAlign w:val="bottom"/>
            <w:gridSpan w:val="2"/>
          </w:tcPr>
          <w:p>
            <w:pPr>
              <w:spacing w:after="0"/>
              <w:rPr>
                <w:sz w:val="11"/>
                <w:szCs w:val="11"/>
                <w:color w:val="auto"/>
              </w:rPr>
            </w:pPr>
          </w:p>
        </w:tc>
        <w:tc>
          <w:tcPr>
            <w:tcW w:w="10320" w:type="dxa"/>
            <w:vAlign w:val="bottom"/>
            <w:gridSpan w:val="22"/>
          </w:tcPr>
          <w:p>
            <w:pPr>
              <w:spacing w:after="0" w:line="125" w:lineRule="exact"/>
              <w:rPr>
                <w:rFonts w:ascii="Arial" w:cs="Arial" w:eastAsia="Arial" w:hAnsi="Arial"/>
                <w:sz w:val="13"/>
                <w:szCs w:val="13"/>
                <w:color w:val="0000EE"/>
              </w:rPr>
            </w:pPr>
            <w:hyperlink w:anchor="page83">
              <w:r>
                <w:rPr>
                  <w:rFonts w:ascii="Arial" w:cs="Arial" w:eastAsia="Arial" w:hAnsi="Arial"/>
                  <w:sz w:val="13"/>
                  <w:szCs w:val="13"/>
                  <w:color w:val="0000EE"/>
                </w:rPr>
                <w:t>Directors and Executive Officers</w:t>
              </w:r>
            </w:hyperlink>
          </w:p>
        </w:tc>
        <w:tc>
          <w:tcPr>
            <w:tcW w:w="580" w:type="dxa"/>
            <w:vAlign w:val="bottom"/>
            <w:gridSpan w:val="2"/>
          </w:tcPr>
          <w:p>
            <w:pPr>
              <w:jc w:val="right"/>
              <w:spacing w:after="0" w:line="125" w:lineRule="exact"/>
              <w:rPr>
                <w:rFonts w:ascii="Arial" w:cs="Arial" w:eastAsia="Arial" w:hAnsi="Arial"/>
                <w:sz w:val="13"/>
                <w:szCs w:val="13"/>
                <w:color w:val="0000EE"/>
              </w:rPr>
            </w:pPr>
            <w:hyperlink w:anchor="page83">
              <w:r>
                <w:rPr>
                  <w:rFonts w:ascii="Arial" w:cs="Arial" w:eastAsia="Arial" w:hAnsi="Arial"/>
                  <w:sz w:val="13"/>
                  <w:szCs w:val="13"/>
                  <w:color w:val="0000EE"/>
                </w:rPr>
                <w:t>81</w:t>
              </w:r>
            </w:hyperlink>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80" w:type="dxa"/>
            <w:vAlign w:val="bottom"/>
            <w:tcBorders>
              <w:top w:val="single" w:sz="8" w:color="0000EE"/>
              <w:bottom w:val="single" w:sz="8" w:color="0000EE"/>
            </w:tcBorders>
            <w:shd w:val="clear" w:color="auto" w:fill="CCEEFF"/>
          </w:tcPr>
          <w:p>
            <w:pPr>
              <w:spacing w:after="0"/>
              <w:rPr>
                <w:rFonts w:ascii="Arial" w:cs="Arial" w:eastAsia="Arial" w:hAnsi="Arial"/>
                <w:sz w:val="5"/>
                <w:szCs w:val="5"/>
                <w:color w:val="0000EE"/>
                <w:w w:val="83"/>
              </w:rPr>
            </w:pPr>
            <w:hyperlink w:anchor="page89">
              <w:r>
                <w:rPr>
                  <w:rFonts w:ascii="Arial" w:cs="Arial" w:eastAsia="Arial" w:hAnsi="Arial"/>
                  <w:sz w:val="5"/>
                  <w:szCs w:val="5"/>
                  <w:color w:val="0000EE"/>
                  <w:w w:val="83"/>
                </w:rPr>
                <w:t>B.</w:t>
              </w:r>
            </w:hyperlink>
          </w:p>
        </w:tc>
        <w:tc>
          <w:tcPr>
            <w:tcW w:w="480" w:type="dxa"/>
            <w:vAlign w:val="bottom"/>
            <w:tcBorders>
              <w:left w:val="single" w:sz="8" w:color="CCEEFF"/>
              <w:bottom w:val="single" w:sz="8" w:color="CCEEFF"/>
            </w:tcBorders>
            <w:gridSpan w:val="3"/>
            <w:shd w:val="clear" w:color="auto" w:fill="CCEEFF"/>
          </w:tcPr>
          <w:p>
            <w:pPr>
              <w:spacing w:after="0"/>
              <w:rPr>
                <w:sz w:val="11"/>
                <w:szCs w:val="11"/>
                <w:color w:val="auto"/>
              </w:rPr>
            </w:pPr>
          </w:p>
        </w:tc>
        <w:tc>
          <w:tcPr>
            <w:tcW w:w="800" w:type="dxa"/>
            <w:vAlign w:val="bottom"/>
            <w:tcBorders>
              <w:top w:val="single" w:sz="8" w:color="0000EE"/>
              <w:bottom w:val="single" w:sz="8" w:color="0000EE"/>
              <w:right w:val="single" w:sz="8" w:color="CCEEFF"/>
            </w:tcBorders>
            <w:gridSpan w:val="3"/>
            <w:shd w:val="clear" w:color="auto" w:fill="CCEEFF"/>
          </w:tcPr>
          <w:p>
            <w:pPr>
              <w:spacing w:after="0" w:line="125" w:lineRule="exact"/>
              <w:rPr>
                <w:rFonts w:ascii="Arial" w:cs="Arial" w:eastAsia="Arial" w:hAnsi="Arial"/>
                <w:sz w:val="13"/>
                <w:szCs w:val="13"/>
                <w:color w:val="0000EE"/>
                <w:w w:val="90"/>
              </w:rPr>
            </w:pPr>
            <w:hyperlink w:anchor="page89">
              <w:r>
                <w:rPr>
                  <w:rFonts w:ascii="Arial" w:cs="Arial" w:eastAsia="Arial" w:hAnsi="Arial"/>
                  <w:sz w:val="13"/>
                  <w:szCs w:val="13"/>
                  <w:color w:val="0000EE"/>
                  <w:w w:val="90"/>
                </w:rPr>
                <w:t>Compensation</w:t>
              </w:r>
            </w:hyperlink>
          </w:p>
        </w:tc>
        <w:tc>
          <w:tcPr>
            <w:tcW w:w="900" w:type="dxa"/>
            <w:vAlign w:val="bottom"/>
            <w:tcBorders>
              <w:top w:val="single" w:sz="8" w:color="0000EE"/>
              <w:bottom w:val="single" w:sz="8" w:color="CCEEFF"/>
              <w:right w:val="single" w:sz="8" w:color="CCEEFF"/>
            </w:tcBorders>
            <w:gridSpan w:val="9"/>
            <w:shd w:val="clear" w:color="auto" w:fill="CCEEFF"/>
          </w:tcPr>
          <w:p>
            <w:pPr>
              <w:spacing w:after="0"/>
              <w:rPr>
                <w:sz w:val="11"/>
                <w:szCs w:val="11"/>
                <w:color w:val="auto"/>
              </w:rPr>
            </w:pPr>
          </w:p>
        </w:tc>
        <w:tc>
          <w:tcPr>
            <w:tcW w:w="8620" w:type="dxa"/>
            <w:vAlign w:val="bottom"/>
            <w:tcBorders>
              <w:bottom w:val="single" w:sz="8" w:color="CCEEFF"/>
            </w:tcBorders>
            <w:gridSpan w:val="10"/>
            <w:shd w:val="clear" w:color="auto" w:fill="CCEEFF"/>
          </w:tcPr>
          <w:p>
            <w:pPr>
              <w:spacing w:after="0"/>
              <w:rPr>
                <w:sz w:val="11"/>
                <w:szCs w:val="11"/>
                <w:color w:val="auto"/>
              </w:rPr>
            </w:pPr>
          </w:p>
        </w:tc>
        <w:tc>
          <w:tcPr>
            <w:tcW w:w="500" w:type="dxa"/>
            <w:vAlign w:val="bottom"/>
            <w:tcBorders>
              <w:bottom w:val="single" w:sz="8" w:color="CCEEFF"/>
              <w:right w:val="single" w:sz="8" w:color="CCEEFF"/>
            </w:tcBorders>
            <w:shd w:val="clear" w:color="auto" w:fill="CCEEFF"/>
          </w:tcPr>
          <w:p>
            <w:pPr>
              <w:spacing w:after="0"/>
              <w:rPr>
                <w:sz w:val="11"/>
                <w:szCs w:val="11"/>
                <w:color w:val="auto"/>
              </w:rPr>
            </w:pPr>
          </w:p>
        </w:tc>
        <w:tc>
          <w:tcPr>
            <w:tcW w:w="80" w:type="dxa"/>
            <w:vAlign w:val="bottom"/>
            <w:tcBorders>
              <w:top w:val="single" w:sz="8" w:color="0000EE"/>
              <w:bottom w:val="single" w:sz="8" w:color="0000EE"/>
            </w:tcBorders>
            <w:shd w:val="clear" w:color="auto" w:fill="CCEEFF"/>
          </w:tcPr>
          <w:p>
            <w:pPr>
              <w:jc w:val="right"/>
              <w:spacing w:after="0"/>
              <w:rPr>
                <w:rFonts w:ascii="Arial" w:cs="Arial" w:eastAsia="Arial" w:hAnsi="Arial"/>
                <w:sz w:val="7"/>
                <w:szCs w:val="7"/>
                <w:color w:val="0000EE"/>
                <w:w w:val="76"/>
              </w:rPr>
            </w:pPr>
            <w:hyperlink w:anchor="page89">
              <w:r>
                <w:rPr>
                  <w:rFonts w:ascii="Arial" w:cs="Arial" w:eastAsia="Arial" w:hAnsi="Arial"/>
                  <w:sz w:val="7"/>
                  <w:szCs w:val="7"/>
                  <w:color w:val="0000EE"/>
                  <w:w w:val="76"/>
                </w:rPr>
                <w:t>87</w:t>
              </w:r>
            </w:hyperlink>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5"/>
        </w:trPr>
        <w:tc>
          <w:tcPr>
            <w:tcW w:w="20" w:type="dxa"/>
            <w:vAlign w:val="bottom"/>
          </w:tcPr>
          <w:p>
            <w:pPr>
              <w:spacing w:after="0"/>
              <w:rPr>
                <w:sz w:val="10"/>
                <w:szCs w:val="10"/>
                <w:color w:val="auto"/>
              </w:rPr>
            </w:pPr>
          </w:p>
        </w:tc>
        <w:tc>
          <w:tcPr>
            <w:tcW w:w="80" w:type="dxa"/>
            <w:vAlign w:val="bottom"/>
          </w:tcPr>
          <w:p>
            <w:pPr>
              <w:spacing w:after="0"/>
              <w:rPr>
                <w:rFonts w:ascii="Arial" w:cs="Arial" w:eastAsia="Arial" w:hAnsi="Arial"/>
                <w:sz w:val="5"/>
                <w:szCs w:val="5"/>
                <w:color w:val="0000EE"/>
                <w:w w:val="78"/>
              </w:rPr>
            </w:pPr>
            <w:hyperlink w:anchor="page93">
              <w:r>
                <w:rPr>
                  <w:rFonts w:ascii="Arial" w:cs="Arial" w:eastAsia="Arial" w:hAnsi="Arial"/>
                  <w:sz w:val="5"/>
                  <w:szCs w:val="5"/>
                  <w:color w:val="0000EE"/>
                  <w:w w:val="78"/>
                </w:rPr>
                <w:t>C.</w:t>
              </w:r>
            </w:hyperlink>
          </w:p>
        </w:tc>
        <w:tc>
          <w:tcPr>
            <w:tcW w:w="480" w:type="dxa"/>
            <w:vAlign w:val="bottom"/>
            <w:gridSpan w:val="3"/>
          </w:tcPr>
          <w:p>
            <w:pPr>
              <w:spacing w:after="0"/>
              <w:rPr>
                <w:sz w:val="10"/>
                <w:szCs w:val="10"/>
                <w:color w:val="auto"/>
              </w:rPr>
            </w:pPr>
          </w:p>
        </w:tc>
        <w:tc>
          <w:tcPr>
            <w:tcW w:w="10320" w:type="dxa"/>
            <w:vAlign w:val="bottom"/>
            <w:gridSpan w:val="22"/>
          </w:tcPr>
          <w:p>
            <w:pPr>
              <w:spacing w:after="0" w:line="125" w:lineRule="exact"/>
              <w:rPr>
                <w:rFonts w:ascii="Arial" w:cs="Arial" w:eastAsia="Arial" w:hAnsi="Arial"/>
                <w:sz w:val="13"/>
                <w:szCs w:val="13"/>
                <w:color w:val="0000EE"/>
              </w:rPr>
            </w:pPr>
            <w:hyperlink w:anchor="page93">
              <w:r>
                <w:rPr>
                  <w:rFonts w:ascii="Arial" w:cs="Arial" w:eastAsia="Arial" w:hAnsi="Arial"/>
                  <w:sz w:val="13"/>
                  <w:szCs w:val="13"/>
                  <w:color w:val="0000EE"/>
                </w:rPr>
                <w:t>Board Practices</w:t>
              </w:r>
            </w:hyperlink>
          </w:p>
        </w:tc>
        <w:tc>
          <w:tcPr>
            <w:tcW w:w="580" w:type="dxa"/>
            <w:vAlign w:val="bottom"/>
            <w:gridSpan w:val="2"/>
          </w:tcPr>
          <w:p>
            <w:pPr>
              <w:jc w:val="right"/>
              <w:spacing w:after="0" w:line="125" w:lineRule="exact"/>
              <w:rPr>
                <w:rFonts w:ascii="Arial" w:cs="Arial" w:eastAsia="Arial" w:hAnsi="Arial"/>
                <w:sz w:val="13"/>
                <w:szCs w:val="13"/>
                <w:color w:val="0000EE"/>
              </w:rPr>
            </w:pPr>
            <w:hyperlink w:anchor="page93">
              <w:r>
                <w:rPr>
                  <w:rFonts w:ascii="Arial" w:cs="Arial" w:eastAsia="Arial" w:hAnsi="Arial"/>
                  <w:sz w:val="13"/>
                  <w:szCs w:val="13"/>
                  <w:color w:val="0000EE"/>
                </w:rPr>
                <w:t>91</w:t>
              </w:r>
            </w:hyperlink>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80" w:type="dxa"/>
            <w:vAlign w:val="bottom"/>
            <w:tcBorders>
              <w:left w:val="single" w:sz="8" w:color="0000EE"/>
            </w:tcBorders>
          </w:tcPr>
          <w:p>
            <w:pPr>
              <w:spacing w:after="0"/>
              <w:rPr>
                <w:sz w:val="2"/>
                <w:szCs w:val="2"/>
                <w:color w:val="auto"/>
              </w:rPr>
            </w:pPr>
          </w:p>
        </w:tc>
        <w:tc>
          <w:tcPr>
            <w:tcW w:w="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420" w:type="dxa"/>
            <w:vAlign w:val="bottom"/>
            <w:shd w:val="clear" w:color="auto" w:fill="0000EE"/>
          </w:tcPr>
          <w:p>
            <w:pPr>
              <w:spacing w:after="0"/>
              <w:rPr>
                <w:sz w:val="2"/>
                <w:szCs w:val="2"/>
                <w:color w:val="auto"/>
              </w:rPr>
            </w:pPr>
          </w:p>
        </w:tc>
        <w:tc>
          <w:tcPr>
            <w:tcW w:w="220" w:type="dxa"/>
            <w:vAlign w:val="bottom"/>
            <w:tcBorders>
              <w:right w:val="single" w:sz="8" w:color="0000EE"/>
            </w:tcBorders>
            <w:shd w:val="clear" w:color="auto" w:fill="0000EE"/>
          </w:tcPr>
          <w:p>
            <w:pPr>
              <w:spacing w:after="0"/>
              <w:rPr>
                <w:sz w:val="2"/>
                <w:szCs w:val="2"/>
                <w:color w:val="auto"/>
              </w:rPr>
            </w:pPr>
          </w:p>
        </w:tc>
        <w:tc>
          <w:tcPr>
            <w:tcW w:w="160" w:type="dxa"/>
            <w:vAlign w:val="bottom"/>
            <w:tcBorders>
              <w:right w:val="single" w:sz="8" w:color="0000EE"/>
            </w:tcBorders>
            <w:shd w:val="clear" w:color="auto" w:fill="0000EE"/>
          </w:tcPr>
          <w:p>
            <w:pPr>
              <w:spacing w:after="0"/>
              <w:rPr>
                <w:sz w:val="2"/>
                <w:szCs w:val="2"/>
                <w:color w:val="auto"/>
              </w:rPr>
            </w:pPr>
          </w:p>
        </w:tc>
        <w:tc>
          <w:tcPr>
            <w:tcW w:w="120" w:type="dxa"/>
            <w:vAlign w:val="bottom"/>
          </w:tcPr>
          <w:p>
            <w:pPr>
              <w:spacing w:after="0"/>
              <w:rPr>
                <w:sz w:val="2"/>
                <w:szCs w:val="2"/>
                <w:color w:val="auto"/>
              </w:rPr>
            </w:pPr>
          </w:p>
        </w:tc>
        <w:tc>
          <w:tcPr>
            <w:tcW w:w="140" w:type="dxa"/>
            <w:vAlign w:val="bottom"/>
          </w:tcPr>
          <w:p>
            <w:pPr>
              <w:spacing w:after="0"/>
              <w:rPr>
                <w:sz w:val="2"/>
                <w:szCs w:val="2"/>
                <w:color w:val="auto"/>
              </w:rPr>
            </w:pPr>
          </w:p>
        </w:tc>
        <w:tc>
          <w:tcPr>
            <w:tcW w:w="160" w:type="dxa"/>
            <w:vAlign w:val="bottom"/>
          </w:tcPr>
          <w:p>
            <w:pPr>
              <w:spacing w:after="0"/>
              <w:rPr>
                <w:sz w:val="2"/>
                <w:szCs w:val="2"/>
                <w:color w:val="auto"/>
              </w:rPr>
            </w:pPr>
          </w:p>
        </w:tc>
        <w:tc>
          <w:tcPr>
            <w:tcW w:w="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Pr>
          <w:p>
            <w:pPr>
              <w:spacing w:after="0"/>
              <w:rPr>
                <w:sz w:val="2"/>
                <w:szCs w:val="2"/>
                <w:color w:val="auto"/>
              </w:rPr>
            </w:pPr>
          </w:p>
        </w:tc>
        <w:tc>
          <w:tcPr>
            <w:tcW w:w="80" w:type="dxa"/>
            <w:vAlign w:val="bottom"/>
          </w:tcPr>
          <w:p>
            <w:pPr>
              <w:spacing w:after="0"/>
              <w:rPr>
                <w:sz w:val="2"/>
                <w:szCs w:val="2"/>
                <w:color w:val="auto"/>
              </w:rPr>
            </w:pPr>
          </w:p>
        </w:tc>
        <w:tc>
          <w:tcPr>
            <w:tcW w:w="20" w:type="dxa"/>
            <w:vAlign w:val="bottom"/>
          </w:tcPr>
          <w:p>
            <w:pPr>
              <w:spacing w:after="0"/>
              <w:rPr>
                <w:sz w:val="2"/>
                <w:szCs w:val="2"/>
                <w:color w:val="auto"/>
              </w:rPr>
            </w:pPr>
          </w:p>
        </w:tc>
        <w:tc>
          <w:tcPr>
            <w:tcW w:w="40" w:type="dxa"/>
            <w:vAlign w:val="bottom"/>
          </w:tcPr>
          <w:p>
            <w:pPr>
              <w:spacing w:after="0"/>
              <w:rPr>
                <w:sz w:val="2"/>
                <w:szCs w:val="2"/>
                <w:color w:val="auto"/>
              </w:rPr>
            </w:pPr>
          </w:p>
        </w:tc>
        <w:tc>
          <w:tcPr>
            <w:tcW w:w="80" w:type="dxa"/>
            <w:vAlign w:val="bottom"/>
          </w:tcPr>
          <w:p>
            <w:pPr>
              <w:spacing w:after="0"/>
              <w:rPr>
                <w:sz w:val="2"/>
                <w:szCs w:val="2"/>
                <w:color w:val="auto"/>
              </w:rPr>
            </w:pPr>
          </w:p>
        </w:tc>
        <w:tc>
          <w:tcPr>
            <w:tcW w:w="32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420" w:type="dxa"/>
            <w:vAlign w:val="bottom"/>
          </w:tcPr>
          <w:p>
            <w:pPr>
              <w:spacing w:after="0"/>
              <w:rPr>
                <w:sz w:val="2"/>
                <w:szCs w:val="2"/>
                <w:color w:val="auto"/>
              </w:rPr>
            </w:pPr>
          </w:p>
        </w:tc>
        <w:tc>
          <w:tcPr>
            <w:tcW w:w="180" w:type="dxa"/>
            <w:vAlign w:val="bottom"/>
          </w:tcPr>
          <w:p>
            <w:pPr>
              <w:spacing w:after="0"/>
              <w:rPr>
                <w:sz w:val="2"/>
                <w:szCs w:val="2"/>
                <w:color w:val="auto"/>
              </w:rPr>
            </w:pPr>
          </w:p>
        </w:tc>
        <w:tc>
          <w:tcPr>
            <w:tcW w:w="180" w:type="dxa"/>
            <w:vAlign w:val="bottom"/>
          </w:tcPr>
          <w:p>
            <w:pPr>
              <w:spacing w:after="0"/>
              <w:rPr>
                <w:sz w:val="2"/>
                <w:szCs w:val="2"/>
                <w:color w:val="auto"/>
              </w:rPr>
            </w:pPr>
          </w:p>
        </w:tc>
        <w:tc>
          <w:tcPr>
            <w:tcW w:w="300" w:type="dxa"/>
            <w:vAlign w:val="bottom"/>
          </w:tcPr>
          <w:p>
            <w:pPr>
              <w:spacing w:after="0"/>
              <w:rPr>
                <w:sz w:val="2"/>
                <w:szCs w:val="2"/>
                <w:color w:val="auto"/>
              </w:rPr>
            </w:pPr>
          </w:p>
        </w:tc>
        <w:tc>
          <w:tcPr>
            <w:tcW w:w="160" w:type="dxa"/>
            <w:vAlign w:val="bottom"/>
          </w:tcPr>
          <w:p>
            <w:pPr>
              <w:spacing w:after="0"/>
              <w:rPr>
                <w:sz w:val="2"/>
                <w:szCs w:val="2"/>
                <w:color w:val="auto"/>
              </w:rPr>
            </w:pPr>
          </w:p>
        </w:tc>
        <w:tc>
          <w:tcPr>
            <w:tcW w:w="6720" w:type="dxa"/>
            <w:vAlign w:val="bottom"/>
          </w:tcPr>
          <w:p>
            <w:pPr>
              <w:spacing w:after="0"/>
              <w:rPr>
                <w:sz w:val="2"/>
                <w:szCs w:val="2"/>
                <w:color w:val="auto"/>
              </w:rPr>
            </w:pPr>
          </w:p>
        </w:tc>
        <w:tc>
          <w:tcPr>
            <w:tcW w:w="500" w:type="dxa"/>
            <w:vAlign w:val="bottom"/>
            <w:tcBorders>
              <w:right w:val="single" w:sz="8" w:color="0000EE"/>
            </w:tcBorders>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25"/>
        </w:trPr>
        <w:tc>
          <w:tcPr>
            <w:tcW w:w="20" w:type="dxa"/>
            <w:vAlign w:val="bottom"/>
            <w:vMerge w:val="continue"/>
          </w:tcPr>
          <w:p>
            <w:pPr>
              <w:spacing w:after="0"/>
              <w:rPr>
                <w:sz w:val="10"/>
                <w:szCs w:val="10"/>
                <w:color w:val="auto"/>
              </w:rPr>
            </w:pPr>
          </w:p>
        </w:tc>
        <w:tc>
          <w:tcPr>
            <w:tcW w:w="560" w:type="dxa"/>
            <w:vAlign w:val="bottom"/>
            <w:gridSpan w:val="4"/>
            <w:shd w:val="clear" w:color="auto" w:fill="CCEEFF"/>
          </w:tcPr>
          <w:p>
            <w:pPr>
              <w:spacing w:after="0" w:line="125" w:lineRule="exact"/>
              <w:rPr>
                <w:rFonts w:ascii="Arial" w:cs="Arial" w:eastAsia="Arial" w:hAnsi="Arial"/>
                <w:sz w:val="13"/>
                <w:szCs w:val="13"/>
                <w:color w:val="0000EE"/>
              </w:rPr>
            </w:pPr>
            <w:hyperlink w:anchor="page97">
              <w:r>
                <w:rPr>
                  <w:rFonts w:ascii="Arial" w:cs="Arial" w:eastAsia="Arial" w:hAnsi="Arial"/>
                  <w:sz w:val="13"/>
                  <w:szCs w:val="13"/>
                  <w:color w:val="0000EE"/>
                </w:rPr>
                <w:t>D.</w:t>
              </w:r>
            </w:hyperlink>
          </w:p>
        </w:tc>
        <w:tc>
          <w:tcPr>
            <w:tcW w:w="10320" w:type="dxa"/>
            <w:vAlign w:val="bottom"/>
            <w:gridSpan w:val="22"/>
            <w:shd w:val="clear" w:color="auto" w:fill="CCEEFF"/>
          </w:tcPr>
          <w:p>
            <w:pPr>
              <w:spacing w:after="0" w:line="125" w:lineRule="exact"/>
              <w:rPr>
                <w:rFonts w:ascii="Arial" w:cs="Arial" w:eastAsia="Arial" w:hAnsi="Arial"/>
                <w:sz w:val="13"/>
                <w:szCs w:val="13"/>
                <w:color w:val="0000EE"/>
              </w:rPr>
            </w:pPr>
            <w:hyperlink w:anchor="page97">
              <w:r>
                <w:rPr>
                  <w:rFonts w:ascii="Arial" w:cs="Arial" w:eastAsia="Arial" w:hAnsi="Arial"/>
                  <w:sz w:val="13"/>
                  <w:szCs w:val="13"/>
                  <w:color w:val="0000EE"/>
                </w:rPr>
                <w:t>Employees</w:t>
              </w:r>
            </w:hyperlink>
          </w:p>
        </w:tc>
        <w:tc>
          <w:tcPr>
            <w:tcW w:w="580" w:type="dxa"/>
            <w:vAlign w:val="bottom"/>
            <w:gridSpan w:val="2"/>
            <w:shd w:val="clear" w:color="auto" w:fill="CCEEFF"/>
          </w:tcPr>
          <w:p>
            <w:pPr>
              <w:jc w:val="right"/>
              <w:spacing w:after="0" w:line="125" w:lineRule="exact"/>
              <w:rPr>
                <w:rFonts w:ascii="Arial" w:cs="Arial" w:eastAsia="Arial" w:hAnsi="Arial"/>
                <w:sz w:val="13"/>
                <w:szCs w:val="13"/>
                <w:color w:val="0000EE"/>
              </w:rPr>
            </w:pPr>
            <w:hyperlink w:anchor="page97">
              <w:r>
                <w:rPr>
                  <w:rFonts w:ascii="Arial" w:cs="Arial" w:eastAsia="Arial" w:hAnsi="Arial"/>
                  <w:sz w:val="13"/>
                  <w:szCs w:val="13"/>
                  <w:color w:val="0000EE"/>
                </w:rPr>
                <w:t>95</w:t>
              </w:r>
            </w:hyperlink>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80" w:type="dxa"/>
            <w:vAlign w:val="bottom"/>
            <w:tcBorders>
              <w:left w:val="single" w:sz="8" w:color="0000EE"/>
            </w:tcBorders>
            <w:shd w:val="clear" w:color="auto" w:fill="CCEEFF"/>
          </w:tcPr>
          <w:p>
            <w:pPr>
              <w:spacing w:after="0"/>
              <w:rPr>
                <w:sz w:val="2"/>
                <w:szCs w:val="2"/>
                <w:color w:val="auto"/>
              </w:rPr>
            </w:pPr>
          </w:p>
        </w:tc>
        <w:tc>
          <w:tcPr>
            <w:tcW w:w="100" w:type="dxa"/>
            <w:vAlign w:val="bottom"/>
            <w:tcBorders>
              <w:left w:val="single" w:sz="8" w:color="CCEEFF"/>
            </w:tcBorders>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420" w:type="dxa"/>
            <w:vAlign w:val="bottom"/>
            <w:shd w:val="clear" w:color="auto" w:fill="0000EE"/>
          </w:tcPr>
          <w:p>
            <w:pPr>
              <w:spacing w:after="0"/>
              <w:rPr>
                <w:sz w:val="2"/>
                <w:szCs w:val="2"/>
                <w:color w:val="auto"/>
              </w:rPr>
            </w:pPr>
          </w:p>
        </w:tc>
        <w:tc>
          <w:tcPr>
            <w:tcW w:w="220" w:type="dxa"/>
            <w:vAlign w:val="bottom"/>
            <w:tcBorders>
              <w:right w:val="single" w:sz="8" w:color="CCEEFF"/>
            </w:tcBorders>
            <w:shd w:val="clear" w:color="auto" w:fill="0000EE"/>
          </w:tcPr>
          <w:p>
            <w:pPr>
              <w:spacing w:after="0"/>
              <w:rPr>
                <w:sz w:val="2"/>
                <w:szCs w:val="2"/>
                <w:color w:val="auto"/>
              </w:rPr>
            </w:pPr>
          </w:p>
        </w:tc>
        <w:tc>
          <w:tcPr>
            <w:tcW w:w="160" w:type="dxa"/>
            <w:vAlign w:val="bottom"/>
            <w:tcBorders>
              <w:right w:val="single" w:sz="8" w:color="CCEEFF"/>
            </w:tcBorders>
            <w:shd w:val="clear" w:color="auto" w:fill="CCEEFF"/>
          </w:tcPr>
          <w:p>
            <w:pPr>
              <w:spacing w:after="0"/>
              <w:rPr>
                <w:sz w:val="2"/>
                <w:szCs w:val="2"/>
                <w:color w:val="auto"/>
              </w:rPr>
            </w:pPr>
          </w:p>
        </w:tc>
        <w:tc>
          <w:tcPr>
            <w:tcW w:w="120" w:type="dxa"/>
            <w:vAlign w:val="bottom"/>
            <w:tcBorders>
              <w:right w:val="single" w:sz="8" w:color="CCEEFF"/>
            </w:tcBorders>
            <w:shd w:val="clear" w:color="auto" w:fill="CCEEFF"/>
          </w:tcPr>
          <w:p>
            <w:pPr>
              <w:spacing w:after="0"/>
              <w:rPr>
                <w:sz w:val="2"/>
                <w:szCs w:val="2"/>
                <w:color w:val="auto"/>
              </w:rPr>
            </w:pPr>
          </w:p>
        </w:tc>
        <w:tc>
          <w:tcPr>
            <w:tcW w:w="140" w:type="dxa"/>
            <w:vAlign w:val="bottom"/>
            <w:tcBorders>
              <w:left w:val="single" w:sz="8" w:color="CCEEFF"/>
              <w:right w:val="single" w:sz="8" w:color="CCEEFF"/>
            </w:tcBorders>
            <w:shd w:val="clear" w:color="auto" w:fill="CCEEFF"/>
          </w:tcPr>
          <w:p>
            <w:pPr>
              <w:spacing w:after="0"/>
              <w:rPr>
                <w:sz w:val="2"/>
                <w:szCs w:val="2"/>
                <w:color w:val="auto"/>
              </w:rPr>
            </w:pPr>
          </w:p>
        </w:tc>
        <w:tc>
          <w:tcPr>
            <w:tcW w:w="160" w:type="dxa"/>
            <w:vAlign w:val="bottom"/>
            <w:shd w:val="clear" w:color="auto" w:fill="CCEEFF"/>
          </w:tcPr>
          <w:p>
            <w:pPr>
              <w:spacing w:after="0"/>
              <w:rPr>
                <w:sz w:val="2"/>
                <w:szCs w:val="2"/>
                <w:color w:val="auto"/>
              </w:rPr>
            </w:pPr>
          </w:p>
        </w:tc>
        <w:tc>
          <w:tcPr>
            <w:tcW w:w="60" w:type="dxa"/>
            <w:vAlign w:val="bottom"/>
            <w:tcBorders>
              <w:right w:val="single" w:sz="8" w:color="CCEEFF"/>
            </w:tcBorders>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180" w:type="dxa"/>
            <w:vAlign w:val="bottom"/>
            <w:tcBorders>
              <w:right w:val="single" w:sz="8" w:color="CCEEFF"/>
            </w:tcBorders>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20" w:type="dxa"/>
            <w:vAlign w:val="bottom"/>
            <w:shd w:val="clear" w:color="auto" w:fill="CCEEFF"/>
          </w:tcPr>
          <w:p>
            <w:pPr>
              <w:spacing w:after="0"/>
              <w:rPr>
                <w:sz w:val="2"/>
                <w:szCs w:val="2"/>
                <w:color w:val="auto"/>
              </w:rPr>
            </w:pPr>
          </w:p>
        </w:tc>
        <w:tc>
          <w:tcPr>
            <w:tcW w:w="40" w:type="dxa"/>
            <w:vAlign w:val="bottom"/>
            <w:tcBorders>
              <w:right w:val="single" w:sz="8" w:color="CCEEFF"/>
            </w:tcBorders>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32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420" w:type="dxa"/>
            <w:vAlign w:val="bottom"/>
            <w:tcBorders>
              <w:right w:val="single" w:sz="8" w:color="CCEEFF"/>
            </w:tcBorders>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180" w:type="dxa"/>
            <w:vAlign w:val="bottom"/>
            <w:tcBorders>
              <w:left w:val="single" w:sz="8" w:color="CCEEFF"/>
            </w:tcBorders>
            <w:shd w:val="clear" w:color="auto" w:fill="CCEEFF"/>
          </w:tcPr>
          <w:p>
            <w:pPr>
              <w:spacing w:after="0"/>
              <w:rPr>
                <w:sz w:val="2"/>
                <w:szCs w:val="2"/>
                <w:color w:val="auto"/>
              </w:rPr>
            </w:pPr>
          </w:p>
        </w:tc>
        <w:tc>
          <w:tcPr>
            <w:tcW w:w="300" w:type="dxa"/>
            <w:vAlign w:val="bottom"/>
            <w:shd w:val="clear" w:color="auto" w:fill="CCEEFF"/>
          </w:tcPr>
          <w:p>
            <w:pPr>
              <w:spacing w:after="0"/>
              <w:rPr>
                <w:sz w:val="2"/>
                <w:szCs w:val="2"/>
                <w:color w:val="auto"/>
              </w:rPr>
            </w:pPr>
          </w:p>
        </w:tc>
        <w:tc>
          <w:tcPr>
            <w:tcW w:w="160" w:type="dxa"/>
            <w:vAlign w:val="bottom"/>
            <w:shd w:val="clear" w:color="auto" w:fill="CCEEFF"/>
          </w:tcPr>
          <w:p>
            <w:pPr>
              <w:spacing w:after="0"/>
              <w:rPr>
                <w:sz w:val="2"/>
                <w:szCs w:val="2"/>
                <w:color w:val="auto"/>
              </w:rPr>
            </w:pPr>
          </w:p>
        </w:tc>
        <w:tc>
          <w:tcPr>
            <w:tcW w:w="6720" w:type="dxa"/>
            <w:vAlign w:val="bottom"/>
            <w:shd w:val="clear" w:color="auto" w:fill="CCEEFF"/>
          </w:tcPr>
          <w:p>
            <w:pPr>
              <w:spacing w:after="0"/>
              <w:rPr>
                <w:sz w:val="2"/>
                <w:szCs w:val="2"/>
                <w:color w:val="auto"/>
              </w:rPr>
            </w:pPr>
          </w:p>
        </w:tc>
        <w:tc>
          <w:tcPr>
            <w:tcW w:w="500" w:type="dxa"/>
            <w:vAlign w:val="bottom"/>
            <w:tcBorders>
              <w:right w:val="single" w:sz="8" w:color="0000EE"/>
            </w:tcBorders>
            <w:shd w:val="clear" w:color="auto" w:fill="CCEEFF"/>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34"/>
        </w:trPr>
        <w:tc>
          <w:tcPr>
            <w:tcW w:w="20" w:type="dxa"/>
            <w:vAlign w:val="bottom"/>
            <w:vMerge w:val="continue"/>
          </w:tcPr>
          <w:p>
            <w:pPr>
              <w:spacing w:after="0"/>
              <w:rPr>
                <w:sz w:val="11"/>
                <w:szCs w:val="11"/>
                <w:color w:val="auto"/>
              </w:rPr>
            </w:pPr>
          </w:p>
        </w:tc>
        <w:tc>
          <w:tcPr>
            <w:tcW w:w="80" w:type="dxa"/>
            <w:vAlign w:val="bottom"/>
          </w:tcPr>
          <w:p>
            <w:pPr>
              <w:spacing w:after="0"/>
              <w:rPr>
                <w:rFonts w:ascii="Arial" w:cs="Arial" w:eastAsia="Arial" w:hAnsi="Arial"/>
                <w:sz w:val="5"/>
                <w:szCs w:val="5"/>
                <w:color w:val="0000EE"/>
                <w:w w:val="83"/>
              </w:rPr>
            </w:pPr>
            <w:hyperlink w:anchor="page98">
              <w:r>
                <w:rPr>
                  <w:rFonts w:ascii="Arial" w:cs="Arial" w:eastAsia="Arial" w:hAnsi="Arial"/>
                  <w:sz w:val="5"/>
                  <w:szCs w:val="5"/>
                  <w:color w:val="0000EE"/>
                  <w:w w:val="83"/>
                </w:rPr>
                <w:t>E.</w:t>
              </w:r>
            </w:hyperlink>
          </w:p>
        </w:tc>
        <w:tc>
          <w:tcPr>
            <w:tcW w:w="480" w:type="dxa"/>
            <w:vAlign w:val="bottom"/>
            <w:gridSpan w:val="3"/>
          </w:tcPr>
          <w:p>
            <w:pPr>
              <w:spacing w:after="0"/>
              <w:rPr>
                <w:sz w:val="11"/>
                <w:szCs w:val="11"/>
                <w:color w:val="auto"/>
              </w:rPr>
            </w:pPr>
          </w:p>
        </w:tc>
        <w:tc>
          <w:tcPr>
            <w:tcW w:w="10320" w:type="dxa"/>
            <w:vAlign w:val="bottom"/>
            <w:gridSpan w:val="22"/>
          </w:tcPr>
          <w:p>
            <w:pPr>
              <w:spacing w:after="0" w:line="125" w:lineRule="exact"/>
              <w:rPr>
                <w:rFonts w:ascii="Arial" w:cs="Arial" w:eastAsia="Arial" w:hAnsi="Arial"/>
                <w:sz w:val="13"/>
                <w:szCs w:val="13"/>
                <w:color w:val="0000EE"/>
              </w:rPr>
            </w:pPr>
            <w:hyperlink w:anchor="page98">
              <w:r>
                <w:rPr>
                  <w:rFonts w:ascii="Arial" w:cs="Arial" w:eastAsia="Arial" w:hAnsi="Arial"/>
                  <w:sz w:val="13"/>
                  <w:szCs w:val="13"/>
                  <w:color w:val="0000EE"/>
                </w:rPr>
                <w:t>Share Ownership</w:t>
              </w:r>
            </w:hyperlink>
          </w:p>
        </w:tc>
        <w:tc>
          <w:tcPr>
            <w:tcW w:w="580" w:type="dxa"/>
            <w:vAlign w:val="bottom"/>
            <w:gridSpan w:val="2"/>
          </w:tcPr>
          <w:p>
            <w:pPr>
              <w:jc w:val="right"/>
              <w:spacing w:after="0" w:line="125" w:lineRule="exact"/>
              <w:rPr>
                <w:rFonts w:ascii="Arial" w:cs="Arial" w:eastAsia="Arial" w:hAnsi="Arial"/>
                <w:sz w:val="13"/>
                <w:szCs w:val="13"/>
                <w:color w:val="0000EE"/>
              </w:rPr>
            </w:pPr>
            <w:hyperlink w:anchor="page98">
              <w:r>
                <w:rPr>
                  <w:rFonts w:ascii="Arial" w:cs="Arial" w:eastAsia="Arial" w:hAnsi="Arial"/>
                  <w:sz w:val="13"/>
                  <w:szCs w:val="13"/>
                  <w:color w:val="0000EE"/>
                </w:rPr>
                <w:t>96</w:t>
              </w:r>
            </w:hyperlink>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80" w:type="dxa"/>
            <w:vAlign w:val="bottom"/>
            <w:tcBorders>
              <w:top w:val="single" w:sz="8" w:color="0000EE"/>
            </w:tcBorders>
            <w:shd w:val="clear" w:color="auto" w:fill="CCEEFF"/>
          </w:tcPr>
          <w:p>
            <w:pPr>
              <w:spacing w:after="0"/>
              <w:rPr>
                <w:sz w:val="13"/>
                <w:szCs w:val="13"/>
                <w:color w:val="auto"/>
              </w:rPr>
            </w:pPr>
          </w:p>
        </w:tc>
        <w:tc>
          <w:tcPr>
            <w:tcW w:w="280" w:type="dxa"/>
            <w:vAlign w:val="bottom"/>
            <w:tcBorders>
              <w:left w:val="single" w:sz="8" w:color="CCEEFF"/>
            </w:tcBorders>
            <w:shd w:val="clear" w:color="auto" w:fill="CCEEFF"/>
          </w:tcPr>
          <w:p>
            <w:pPr>
              <w:spacing w:after="0"/>
              <w:rPr>
                <w:sz w:val="13"/>
                <w:szCs w:val="13"/>
                <w:color w:val="auto"/>
              </w:rPr>
            </w:pPr>
          </w:p>
        </w:tc>
        <w:tc>
          <w:tcPr>
            <w:tcW w:w="100" w:type="dxa"/>
            <w:vAlign w:val="bottom"/>
            <w:tcBorders>
              <w:left w:val="single" w:sz="8" w:color="CCEEFF"/>
            </w:tcBorders>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420" w:type="dxa"/>
            <w:vAlign w:val="bottom"/>
            <w:tcBorders>
              <w:top w:val="single" w:sz="8" w:color="0000EE"/>
            </w:tcBorders>
            <w:shd w:val="clear" w:color="auto" w:fill="CCEEFF"/>
          </w:tcPr>
          <w:p>
            <w:pPr>
              <w:spacing w:after="0"/>
              <w:rPr>
                <w:sz w:val="13"/>
                <w:szCs w:val="13"/>
                <w:color w:val="auto"/>
              </w:rPr>
            </w:pPr>
          </w:p>
        </w:tc>
        <w:tc>
          <w:tcPr>
            <w:tcW w:w="220" w:type="dxa"/>
            <w:vAlign w:val="bottom"/>
            <w:tcBorders>
              <w:top w:val="single" w:sz="8" w:color="0000EE"/>
              <w:right w:val="single" w:sz="8" w:color="CCEEFF"/>
            </w:tcBorders>
            <w:shd w:val="clear" w:color="auto" w:fill="CCEEFF"/>
          </w:tcPr>
          <w:p>
            <w:pPr>
              <w:spacing w:after="0"/>
              <w:rPr>
                <w:sz w:val="13"/>
                <w:szCs w:val="13"/>
                <w:color w:val="auto"/>
              </w:rPr>
            </w:pPr>
          </w:p>
        </w:tc>
        <w:tc>
          <w:tcPr>
            <w:tcW w:w="160" w:type="dxa"/>
            <w:vAlign w:val="bottom"/>
            <w:tcBorders>
              <w:top w:val="single" w:sz="8" w:color="0000EE"/>
              <w:right w:val="single" w:sz="8" w:color="CCEEFF"/>
            </w:tcBorders>
            <w:shd w:val="clear" w:color="auto" w:fill="CCEEFF"/>
          </w:tcPr>
          <w:p>
            <w:pPr>
              <w:spacing w:after="0"/>
              <w:rPr>
                <w:sz w:val="13"/>
                <w:szCs w:val="13"/>
                <w:color w:val="auto"/>
              </w:rPr>
            </w:pPr>
          </w:p>
        </w:tc>
        <w:tc>
          <w:tcPr>
            <w:tcW w:w="120" w:type="dxa"/>
            <w:vAlign w:val="bottom"/>
            <w:tcBorders>
              <w:top w:val="single" w:sz="8" w:color="0000EE"/>
              <w:right w:val="single" w:sz="8" w:color="CCEEFF"/>
            </w:tcBorders>
            <w:shd w:val="clear" w:color="auto" w:fill="CCEEFF"/>
          </w:tcPr>
          <w:p>
            <w:pPr>
              <w:spacing w:after="0"/>
              <w:rPr>
                <w:sz w:val="13"/>
                <w:szCs w:val="13"/>
                <w:color w:val="auto"/>
              </w:rPr>
            </w:pPr>
          </w:p>
        </w:tc>
        <w:tc>
          <w:tcPr>
            <w:tcW w:w="140" w:type="dxa"/>
            <w:vAlign w:val="bottom"/>
            <w:tcBorders>
              <w:left w:val="single" w:sz="8" w:color="CCEEFF"/>
              <w:right w:val="single" w:sz="8" w:color="CCEEFF"/>
            </w:tcBorders>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0" w:type="dxa"/>
            <w:vAlign w:val="bottom"/>
            <w:tcBorders>
              <w:right w:val="single" w:sz="8" w:color="CCEEFF"/>
            </w:tcBorders>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80" w:type="dxa"/>
            <w:vAlign w:val="bottom"/>
            <w:tcBorders>
              <w:right w:val="single" w:sz="8" w:color="CCEEFF"/>
            </w:tcBorders>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40" w:type="dxa"/>
            <w:vAlign w:val="bottom"/>
            <w:tcBorders>
              <w:right w:val="single" w:sz="8" w:color="CCEEFF"/>
            </w:tcBorders>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420" w:type="dxa"/>
            <w:vAlign w:val="bottom"/>
            <w:tcBorders>
              <w:right w:val="single" w:sz="8" w:color="CCEEFF"/>
            </w:tcBorders>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180" w:type="dxa"/>
            <w:vAlign w:val="bottom"/>
            <w:tcBorders>
              <w:left w:val="single" w:sz="8" w:color="CCEEFF"/>
            </w:tcBorders>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720" w:type="dxa"/>
            <w:vAlign w:val="bottom"/>
            <w:shd w:val="clear" w:color="auto" w:fill="CCEEFF"/>
          </w:tcPr>
          <w:p>
            <w:pPr>
              <w:spacing w:after="0"/>
              <w:rPr>
                <w:sz w:val="13"/>
                <w:szCs w:val="13"/>
                <w:color w:val="auto"/>
              </w:rPr>
            </w:pPr>
          </w:p>
        </w:tc>
        <w:tc>
          <w:tcPr>
            <w:tcW w:w="500" w:type="dxa"/>
            <w:vAlign w:val="bottom"/>
            <w:tcBorders>
              <w:right w:val="single" w:sz="8" w:color="CCEEFF"/>
            </w:tcBorders>
            <w:shd w:val="clear" w:color="auto" w:fill="CCEEFF"/>
          </w:tcPr>
          <w:p>
            <w:pPr>
              <w:spacing w:after="0"/>
              <w:rPr>
                <w:sz w:val="13"/>
                <w:szCs w:val="13"/>
                <w:color w:val="auto"/>
              </w:rPr>
            </w:pPr>
          </w:p>
        </w:tc>
        <w:tc>
          <w:tcPr>
            <w:tcW w:w="80" w:type="dxa"/>
            <w:vAlign w:val="bottom"/>
            <w:tcBorders>
              <w:top w:val="single" w:sz="8" w:color="0000EE"/>
            </w:tcBorders>
            <w:shd w:val="clear" w:color="auto" w:fill="CCEEFF"/>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25"/>
        </w:trPr>
        <w:tc>
          <w:tcPr>
            <w:tcW w:w="20" w:type="dxa"/>
            <w:vAlign w:val="bottom"/>
            <w:vMerge w:val="continue"/>
          </w:tcPr>
          <w:p>
            <w:pPr>
              <w:spacing w:after="0"/>
              <w:rPr>
                <w:sz w:val="10"/>
                <w:szCs w:val="10"/>
                <w:color w:val="auto"/>
              </w:rPr>
            </w:pPr>
          </w:p>
        </w:tc>
        <w:tc>
          <w:tcPr>
            <w:tcW w:w="560" w:type="dxa"/>
            <w:vAlign w:val="bottom"/>
            <w:gridSpan w:val="4"/>
          </w:tcPr>
          <w:p>
            <w:pPr>
              <w:spacing w:after="0" w:line="125" w:lineRule="exact"/>
              <w:rPr>
                <w:rFonts w:ascii="Arial" w:cs="Arial" w:eastAsia="Arial" w:hAnsi="Arial"/>
                <w:sz w:val="13"/>
                <w:szCs w:val="13"/>
                <w:b w:val="1"/>
                <w:bCs w:val="1"/>
                <w:color w:val="0000EE"/>
              </w:rPr>
            </w:pPr>
            <w:hyperlink w:anchor="page98">
              <w:r>
                <w:rPr>
                  <w:rFonts w:ascii="Arial" w:cs="Arial" w:eastAsia="Arial" w:hAnsi="Arial"/>
                  <w:sz w:val="13"/>
                  <w:szCs w:val="13"/>
                  <w:b w:val="1"/>
                  <w:bCs w:val="1"/>
                  <w:color w:val="0000EE"/>
                </w:rPr>
                <w:t>Item 7.</w:t>
              </w:r>
            </w:hyperlink>
          </w:p>
        </w:tc>
        <w:tc>
          <w:tcPr>
            <w:tcW w:w="4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9680" w:type="dxa"/>
            <w:vAlign w:val="bottom"/>
            <w:gridSpan w:val="20"/>
          </w:tcPr>
          <w:p>
            <w:pPr>
              <w:spacing w:after="0" w:line="125" w:lineRule="exact"/>
              <w:rPr>
                <w:rFonts w:ascii="Arial" w:cs="Arial" w:eastAsia="Arial" w:hAnsi="Arial"/>
                <w:sz w:val="13"/>
                <w:szCs w:val="13"/>
                <w:b w:val="1"/>
                <w:bCs w:val="1"/>
                <w:color w:val="0000EE"/>
              </w:rPr>
            </w:pPr>
            <w:hyperlink w:anchor="page98">
              <w:r>
                <w:rPr>
                  <w:rFonts w:ascii="Arial" w:cs="Arial" w:eastAsia="Arial" w:hAnsi="Arial"/>
                  <w:sz w:val="13"/>
                  <w:szCs w:val="13"/>
                  <w:b w:val="1"/>
                  <w:bCs w:val="1"/>
                  <w:color w:val="0000EE"/>
                </w:rPr>
                <w:t>Major Shareholders and Related Party Transactions</w:t>
              </w:r>
            </w:hyperlink>
          </w:p>
        </w:tc>
        <w:tc>
          <w:tcPr>
            <w:tcW w:w="580" w:type="dxa"/>
            <w:vAlign w:val="bottom"/>
            <w:gridSpan w:val="2"/>
          </w:tcPr>
          <w:p>
            <w:pPr>
              <w:jc w:val="right"/>
              <w:spacing w:after="0" w:line="125" w:lineRule="exact"/>
              <w:rPr>
                <w:rFonts w:ascii="Arial" w:cs="Arial" w:eastAsia="Arial" w:hAnsi="Arial"/>
                <w:sz w:val="13"/>
                <w:szCs w:val="13"/>
                <w:b w:val="1"/>
                <w:bCs w:val="1"/>
                <w:color w:val="0000EE"/>
              </w:rPr>
            </w:pPr>
            <w:hyperlink w:anchor="page98">
              <w:r>
                <w:rPr>
                  <w:rFonts w:ascii="Arial" w:cs="Arial" w:eastAsia="Arial" w:hAnsi="Arial"/>
                  <w:sz w:val="13"/>
                  <w:szCs w:val="13"/>
                  <w:b w:val="1"/>
                  <w:bCs w:val="1"/>
                  <w:color w:val="0000EE"/>
                </w:rPr>
                <w:t>96</w:t>
              </w:r>
            </w:hyperlink>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80" w:type="dxa"/>
            <w:vAlign w:val="bottom"/>
            <w:tcBorders>
              <w:left w:val="single" w:sz="8" w:color="0000EE"/>
            </w:tcBorders>
            <w:shd w:val="clear" w:color="auto" w:fill="0000EE"/>
          </w:tcPr>
          <w:p>
            <w:pPr>
              <w:spacing w:after="0"/>
              <w:rPr>
                <w:sz w:val="2"/>
                <w:szCs w:val="2"/>
                <w:color w:val="auto"/>
              </w:rPr>
            </w:pPr>
          </w:p>
        </w:tc>
        <w:tc>
          <w:tcPr>
            <w:tcW w:w="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420" w:type="dxa"/>
            <w:vAlign w:val="bottom"/>
          </w:tcPr>
          <w:p>
            <w:pPr>
              <w:spacing w:after="0"/>
              <w:rPr>
                <w:sz w:val="2"/>
                <w:szCs w:val="2"/>
                <w:color w:val="auto"/>
              </w:rPr>
            </w:pPr>
          </w:p>
        </w:tc>
        <w:tc>
          <w:tcPr>
            <w:tcW w:w="220" w:type="dxa"/>
            <w:vAlign w:val="bottom"/>
            <w:tcBorders>
              <w:right w:val="single" w:sz="8" w:color="0000EE"/>
            </w:tcBorders>
          </w:tcPr>
          <w:p>
            <w:pPr>
              <w:spacing w:after="0"/>
              <w:rPr>
                <w:sz w:val="2"/>
                <w:szCs w:val="2"/>
                <w:color w:val="auto"/>
              </w:rPr>
            </w:pPr>
          </w:p>
        </w:tc>
        <w:tc>
          <w:tcPr>
            <w:tcW w:w="160" w:type="dxa"/>
            <w:vAlign w:val="bottom"/>
            <w:tcBorders>
              <w:right w:val="single" w:sz="8" w:color="0000EE"/>
            </w:tcBorders>
            <w:shd w:val="clear" w:color="auto" w:fill="0000EE"/>
          </w:tcPr>
          <w:p>
            <w:pPr>
              <w:spacing w:after="0"/>
              <w:rPr>
                <w:sz w:val="2"/>
                <w:szCs w:val="2"/>
                <w:color w:val="auto"/>
              </w:rPr>
            </w:pPr>
          </w:p>
        </w:tc>
        <w:tc>
          <w:tcPr>
            <w:tcW w:w="120" w:type="dxa"/>
            <w:vAlign w:val="bottom"/>
            <w:tcBorders>
              <w:right w:val="single" w:sz="8" w:color="0000EE"/>
            </w:tcBorders>
            <w:shd w:val="clear" w:color="auto" w:fill="0000EE"/>
          </w:tcPr>
          <w:p>
            <w:pPr>
              <w:spacing w:after="0"/>
              <w:rPr>
                <w:sz w:val="2"/>
                <w:szCs w:val="2"/>
                <w:color w:val="auto"/>
              </w:rPr>
            </w:pPr>
          </w:p>
        </w:tc>
        <w:tc>
          <w:tcPr>
            <w:tcW w:w="140" w:type="dxa"/>
            <w:vAlign w:val="bottom"/>
            <w:tcBorders>
              <w:left w:val="single" w:sz="8" w:color="0000EE"/>
              <w:right w:val="single" w:sz="8" w:color="0000EE"/>
            </w:tcBorders>
            <w:shd w:val="clear" w:color="auto" w:fill="0000EE"/>
          </w:tcPr>
          <w:p>
            <w:pPr>
              <w:spacing w:after="0"/>
              <w:rPr>
                <w:sz w:val="2"/>
                <w:szCs w:val="2"/>
                <w:color w:val="auto"/>
              </w:rPr>
            </w:pPr>
          </w:p>
        </w:tc>
        <w:tc>
          <w:tcPr>
            <w:tcW w:w="160" w:type="dxa"/>
            <w:vAlign w:val="bottom"/>
            <w:shd w:val="clear" w:color="auto" w:fill="0000EE"/>
          </w:tcPr>
          <w:p>
            <w:pPr>
              <w:spacing w:after="0"/>
              <w:rPr>
                <w:sz w:val="2"/>
                <w:szCs w:val="2"/>
                <w:color w:val="auto"/>
              </w:rPr>
            </w:pPr>
          </w:p>
        </w:tc>
        <w:tc>
          <w:tcPr>
            <w:tcW w:w="60" w:type="dxa"/>
            <w:vAlign w:val="bottom"/>
            <w:tcBorders>
              <w:right w:val="single" w:sz="8" w:color="0000EE"/>
            </w:tcBorders>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180" w:type="dxa"/>
            <w:vAlign w:val="bottom"/>
            <w:tcBorders>
              <w:right w:val="single" w:sz="8" w:color="0000EE"/>
            </w:tcBorders>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0" w:type="dxa"/>
            <w:vAlign w:val="bottom"/>
            <w:shd w:val="clear" w:color="auto" w:fill="0000EE"/>
          </w:tcPr>
          <w:p>
            <w:pPr>
              <w:spacing w:after="0"/>
              <w:rPr>
                <w:sz w:val="2"/>
                <w:szCs w:val="2"/>
                <w:color w:val="auto"/>
              </w:rPr>
            </w:pPr>
          </w:p>
        </w:tc>
        <w:tc>
          <w:tcPr>
            <w:tcW w:w="40" w:type="dxa"/>
            <w:vAlign w:val="bottom"/>
            <w:tcBorders>
              <w:right w:val="single" w:sz="8" w:color="0000EE"/>
            </w:tcBorders>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32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180" w:type="dxa"/>
            <w:vAlign w:val="bottom"/>
            <w:shd w:val="clear" w:color="auto" w:fill="0000EE"/>
          </w:tcPr>
          <w:p>
            <w:pPr>
              <w:spacing w:after="0"/>
              <w:rPr>
                <w:sz w:val="2"/>
                <w:szCs w:val="2"/>
                <w:color w:val="auto"/>
              </w:rPr>
            </w:pPr>
          </w:p>
        </w:tc>
        <w:tc>
          <w:tcPr>
            <w:tcW w:w="420" w:type="dxa"/>
            <w:vAlign w:val="bottom"/>
            <w:tcBorders>
              <w:right w:val="single" w:sz="8" w:color="0000EE"/>
            </w:tcBorders>
            <w:shd w:val="clear" w:color="auto" w:fill="0000EE"/>
          </w:tcPr>
          <w:p>
            <w:pPr>
              <w:spacing w:after="0"/>
              <w:rPr>
                <w:sz w:val="2"/>
                <w:szCs w:val="2"/>
                <w:color w:val="auto"/>
              </w:rPr>
            </w:pPr>
          </w:p>
        </w:tc>
        <w:tc>
          <w:tcPr>
            <w:tcW w:w="180" w:type="dxa"/>
            <w:vAlign w:val="bottom"/>
            <w:shd w:val="clear" w:color="auto" w:fill="0000EE"/>
          </w:tcPr>
          <w:p>
            <w:pPr>
              <w:spacing w:after="0"/>
              <w:rPr>
                <w:sz w:val="2"/>
                <w:szCs w:val="2"/>
                <w:color w:val="auto"/>
              </w:rPr>
            </w:pPr>
          </w:p>
        </w:tc>
        <w:tc>
          <w:tcPr>
            <w:tcW w:w="180" w:type="dxa"/>
            <w:vAlign w:val="bottom"/>
            <w:tcBorders>
              <w:left w:val="single" w:sz="8" w:color="0000EE"/>
            </w:tcBorders>
            <w:shd w:val="clear" w:color="auto" w:fill="0000EE"/>
          </w:tcPr>
          <w:p>
            <w:pPr>
              <w:spacing w:after="0"/>
              <w:rPr>
                <w:sz w:val="2"/>
                <w:szCs w:val="2"/>
                <w:color w:val="auto"/>
              </w:rPr>
            </w:pPr>
          </w:p>
        </w:tc>
        <w:tc>
          <w:tcPr>
            <w:tcW w:w="300" w:type="dxa"/>
            <w:vAlign w:val="bottom"/>
            <w:shd w:val="clear" w:color="auto" w:fill="0000EE"/>
          </w:tcPr>
          <w:p>
            <w:pPr>
              <w:spacing w:after="0"/>
              <w:rPr>
                <w:sz w:val="2"/>
                <w:szCs w:val="2"/>
                <w:color w:val="auto"/>
              </w:rPr>
            </w:pPr>
          </w:p>
        </w:tc>
        <w:tc>
          <w:tcPr>
            <w:tcW w:w="160" w:type="dxa"/>
            <w:vAlign w:val="bottom"/>
          </w:tcPr>
          <w:p>
            <w:pPr>
              <w:spacing w:after="0"/>
              <w:rPr>
                <w:sz w:val="2"/>
                <w:szCs w:val="2"/>
                <w:color w:val="auto"/>
              </w:rPr>
            </w:pPr>
          </w:p>
        </w:tc>
        <w:tc>
          <w:tcPr>
            <w:tcW w:w="6720" w:type="dxa"/>
            <w:vAlign w:val="bottom"/>
          </w:tcPr>
          <w:p>
            <w:pPr>
              <w:spacing w:after="0"/>
              <w:rPr>
                <w:sz w:val="2"/>
                <w:szCs w:val="2"/>
                <w:color w:val="auto"/>
              </w:rPr>
            </w:pPr>
          </w:p>
        </w:tc>
        <w:tc>
          <w:tcPr>
            <w:tcW w:w="500" w:type="dxa"/>
            <w:vAlign w:val="bottom"/>
            <w:tcBorders>
              <w:right w:val="single" w:sz="8" w:color="0000EE"/>
            </w:tcBorders>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25"/>
        </w:trPr>
        <w:tc>
          <w:tcPr>
            <w:tcW w:w="20" w:type="dxa"/>
            <w:vAlign w:val="bottom"/>
            <w:vMerge w:val="continue"/>
          </w:tcPr>
          <w:p>
            <w:pPr>
              <w:spacing w:after="0"/>
              <w:rPr>
                <w:sz w:val="10"/>
                <w:szCs w:val="10"/>
                <w:color w:val="auto"/>
              </w:rPr>
            </w:pPr>
          </w:p>
        </w:tc>
        <w:tc>
          <w:tcPr>
            <w:tcW w:w="360" w:type="dxa"/>
            <w:vAlign w:val="bottom"/>
            <w:gridSpan w:val="2"/>
            <w:shd w:val="clear" w:color="auto" w:fill="CCEEFF"/>
          </w:tcPr>
          <w:p>
            <w:pPr>
              <w:spacing w:after="0" w:line="125" w:lineRule="exact"/>
              <w:rPr>
                <w:rFonts w:ascii="Arial" w:cs="Arial" w:eastAsia="Arial" w:hAnsi="Arial"/>
                <w:sz w:val="13"/>
                <w:szCs w:val="13"/>
                <w:color w:val="0000EE"/>
              </w:rPr>
            </w:pPr>
            <w:hyperlink w:anchor="page98">
              <w:r>
                <w:rPr>
                  <w:rFonts w:ascii="Arial" w:cs="Arial" w:eastAsia="Arial" w:hAnsi="Arial"/>
                  <w:sz w:val="13"/>
                  <w:szCs w:val="13"/>
                  <w:color w:val="0000EE"/>
                </w:rPr>
                <w:t>A.</w:t>
              </w:r>
            </w:hyperlink>
          </w:p>
        </w:tc>
        <w:tc>
          <w:tcPr>
            <w:tcW w:w="200" w:type="dxa"/>
            <w:vAlign w:val="bottom"/>
            <w:tcBorders>
              <w:left w:val="single" w:sz="8" w:color="CCEEFF"/>
            </w:tcBorders>
            <w:gridSpan w:val="2"/>
            <w:shd w:val="clear" w:color="auto" w:fill="CCEEFF"/>
          </w:tcPr>
          <w:p>
            <w:pPr>
              <w:spacing w:after="0"/>
              <w:rPr>
                <w:sz w:val="10"/>
                <w:szCs w:val="10"/>
                <w:color w:val="auto"/>
              </w:rPr>
            </w:pPr>
          </w:p>
        </w:tc>
        <w:tc>
          <w:tcPr>
            <w:tcW w:w="10320" w:type="dxa"/>
            <w:vAlign w:val="bottom"/>
            <w:gridSpan w:val="22"/>
            <w:shd w:val="clear" w:color="auto" w:fill="CCEEFF"/>
          </w:tcPr>
          <w:p>
            <w:pPr>
              <w:spacing w:after="0" w:line="125" w:lineRule="exact"/>
              <w:rPr>
                <w:rFonts w:ascii="Arial" w:cs="Arial" w:eastAsia="Arial" w:hAnsi="Arial"/>
                <w:sz w:val="13"/>
                <w:szCs w:val="13"/>
                <w:color w:val="0000EE"/>
              </w:rPr>
            </w:pPr>
            <w:hyperlink w:anchor="page98">
              <w:r>
                <w:rPr>
                  <w:rFonts w:ascii="Arial" w:cs="Arial" w:eastAsia="Arial" w:hAnsi="Arial"/>
                  <w:sz w:val="13"/>
                  <w:szCs w:val="13"/>
                  <w:color w:val="0000EE"/>
                </w:rPr>
                <w:t>Major Shareholders</w:t>
              </w:r>
            </w:hyperlink>
          </w:p>
        </w:tc>
        <w:tc>
          <w:tcPr>
            <w:tcW w:w="580" w:type="dxa"/>
            <w:vAlign w:val="bottom"/>
            <w:gridSpan w:val="2"/>
            <w:shd w:val="clear" w:color="auto" w:fill="CCEEFF"/>
          </w:tcPr>
          <w:p>
            <w:pPr>
              <w:jc w:val="right"/>
              <w:spacing w:after="0" w:line="125" w:lineRule="exact"/>
              <w:rPr>
                <w:rFonts w:ascii="Arial" w:cs="Arial" w:eastAsia="Arial" w:hAnsi="Arial"/>
                <w:sz w:val="13"/>
                <w:szCs w:val="13"/>
                <w:color w:val="0000EE"/>
              </w:rPr>
            </w:pPr>
            <w:hyperlink w:anchor="page98">
              <w:r>
                <w:rPr>
                  <w:rFonts w:ascii="Arial" w:cs="Arial" w:eastAsia="Arial" w:hAnsi="Arial"/>
                  <w:sz w:val="13"/>
                  <w:szCs w:val="13"/>
                  <w:color w:val="0000EE"/>
                </w:rPr>
                <w:t>96</w:t>
              </w:r>
            </w:hyperlink>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80" w:type="dxa"/>
            <w:vAlign w:val="bottom"/>
            <w:tcBorders>
              <w:left w:val="single" w:sz="8" w:color="0000EE"/>
            </w:tcBorders>
            <w:shd w:val="clear" w:color="auto" w:fill="CCEEFF"/>
          </w:tcPr>
          <w:p>
            <w:pPr>
              <w:spacing w:after="0"/>
              <w:rPr>
                <w:sz w:val="2"/>
                <w:szCs w:val="2"/>
                <w:color w:val="auto"/>
              </w:rPr>
            </w:pPr>
          </w:p>
        </w:tc>
        <w:tc>
          <w:tcPr>
            <w:tcW w:w="100" w:type="dxa"/>
            <w:vAlign w:val="bottom"/>
            <w:tcBorders>
              <w:left w:val="single" w:sz="8" w:color="CCEEFF"/>
            </w:tcBorders>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420" w:type="dxa"/>
            <w:vAlign w:val="bottom"/>
            <w:shd w:val="clear" w:color="auto" w:fill="0000EE"/>
          </w:tcPr>
          <w:p>
            <w:pPr>
              <w:spacing w:after="0"/>
              <w:rPr>
                <w:sz w:val="2"/>
                <w:szCs w:val="2"/>
                <w:color w:val="auto"/>
              </w:rPr>
            </w:pPr>
          </w:p>
        </w:tc>
        <w:tc>
          <w:tcPr>
            <w:tcW w:w="220" w:type="dxa"/>
            <w:vAlign w:val="bottom"/>
            <w:tcBorders>
              <w:right w:val="single" w:sz="8" w:color="0000EE"/>
            </w:tcBorders>
            <w:shd w:val="clear" w:color="auto" w:fill="0000EE"/>
          </w:tcPr>
          <w:p>
            <w:pPr>
              <w:spacing w:after="0"/>
              <w:rPr>
                <w:sz w:val="2"/>
                <w:szCs w:val="2"/>
                <w:color w:val="auto"/>
              </w:rPr>
            </w:pPr>
          </w:p>
        </w:tc>
        <w:tc>
          <w:tcPr>
            <w:tcW w:w="160" w:type="dxa"/>
            <w:vAlign w:val="bottom"/>
            <w:tcBorders>
              <w:right w:val="single" w:sz="8" w:color="0000EE"/>
            </w:tcBorders>
            <w:shd w:val="clear" w:color="auto" w:fill="0000EE"/>
          </w:tcPr>
          <w:p>
            <w:pPr>
              <w:spacing w:after="0"/>
              <w:rPr>
                <w:sz w:val="2"/>
                <w:szCs w:val="2"/>
                <w:color w:val="auto"/>
              </w:rPr>
            </w:pPr>
          </w:p>
        </w:tc>
        <w:tc>
          <w:tcPr>
            <w:tcW w:w="120" w:type="dxa"/>
            <w:vAlign w:val="bottom"/>
            <w:tcBorders>
              <w:right w:val="single" w:sz="8" w:color="0000EE"/>
            </w:tcBorders>
            <w:shd w:val="clear" w:color="auto" w:fill="0000EE"/>
          </w:tcPr>
          <w:p>
            <w:pPr>
              <w:spacing w:after="0"/>
              <w:rPr>
                <w:sz w:val="2"/>
                <w:szCs w:val="2"/>
                <w:color w:val="auto"/>
              </w:rPr>
            </w:pPr>
          </w:p>
        </w:tc>
        <w:tc>
          <w:tcPr>
            <w:tcW w:w="140" w:type="dxa"/>
            <w:vAlign w:val="bottom"/>
            <w:tcBorders>
              <w:left w:val="single" w:sz="8" w:color="0000EE"/>
              <w:right w:val="single" w:sz="8" w:color="CCEEFF"/>
            </w:tcBorders>
            <w:shd w:val="clear" w:color="auto" w:fill="0000EE"/>
          </w:tcPr>
          <w:p>
            <w:pPr>
              <w:spacing w:after="0"/>
              <w:rPr>
                <w:sz w:val="2"/>
                <w:szCs w:val="2"/>
                <w:color w:val="auto"/>
              </w:rPr>
            </w:pPr>
          </w:p>
        </w:tc>
        <w:tc>
          <w:tcPr>
            <w:tcW w:w="160" w:type="dxa"/>
            <w:vAlign w:val="bottom"/>
            <w:shd w:val="clear" w:color="auto" w:fill="CCEEFF"/>
          </w:tcPr>
          <w:p>
            <w:pPr>
              <w:spacing w:after="0"/>
              <w:rPr>
                <w:sz w:val="2"/>
                <w:szCs w:val="2"/>
                <w:color w:val="auto"/>
              </w:rPr>
            </w:pPr>
          </w:p>
        </w:tc>
        <w:tc>
          <w:tcPr>
            <w:tcW w:w="60" w:type="dxa"/>
            <w:vAlign w:val="bottom"/>
            <w:tcBorders>
              <w:right w:val="single" w:sz="8" w:color="CCEEFF"/>
            </w:tcBorders>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180" w:type="dxa"/>
            <w:vAlign w:val="bottom"/>
            <w:tcBorders>
              <w:right w:val="single" w:sz="8" w:color="CCEEFF"/>
            </w:tcBorders>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20" w:type="dxa"/>
            <w:vAlign w:val="bottom"/>
            <w:shd w:val="clear" w:color="auto" w:fill="CCEEFF"/>
          </w:tcPr>
          <w:p>
            <w:pPr>
              <w:spacing w:after="0"/>
              <w:rPr>
                <w:sz w:val="2"/>
                <w:szCs w:val="2"/>
                <w:color w:val="auto"/>
              </w:rPr>
            </w:pPr>
          </w:p>
        </w:tc>
        <w:tc>
          <w:tcPr>
            <w:tcW w:w="40" w:type="dxa"/>
            <w:vAlign w:val="bottom"/>
            <w:tcBorders>
              <w:right w:val="single" w:sz="8" w:color="CCEEFF"/>
            </w:tcBorders>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32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420" w:type="dxa"/>
            <w:vAlign w:val="bottom"/>
            <w:tcBorders>
              <w:right w:val="single" w:sz="8" w:color="CCEEFF"/>
            </w:tcBorders>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180" w:type="dxa"/>
            <w:vAlign w:val="bottom"/>
            <w:tcBorders>
              <w:left w:val="single" w:sz="8" w:color="CCEEFF"/>
            </w:tcBorders>
            <w:shd w:val="clear" w:color="auto" w:fill="CCEEFF"/>
          </w:tcPr>
          <w:p>
            <w:pPr>
              <w:spacing w:after="0"/>
              <w:rPr>
                <w:sz w:val="2"/>
                <w:szCs w:val="2"/>
                <w:color w:val="auto"/>
              </w:rPr>
            </w:pPr>
          </w:p>
        </w:tc>
        <w:tc>
          <w:tcPr>
            <w:tcW w:w="300" w:type="dxa"/>
            <w:vAlign w:val="bottom"/>
            <w:shd w:val="clear" w:color="auto" w:fill="CCEEFF"/>
          </w:tcPr>
          <w:p>
            <w:pPr>
              <w:spacing w:after="0"/>
              <w:rPr>
                <w:sz w:val="2"/>
                <w:szCs w:val="2"/>
                <w:color w:val="auto"/>
              </w:rPr>
            </w:pPr>
          </w:p>
        </w:tc>
        <w:tc>
          <w:tcPr>
            <w:tcW w:w="160" w:type="dxa"/>
            <w:vAlign w:val="bottom"/>
            <w:shd w:val="clear" w:color="auto" w:fill="CCEEFF"/>
          </w:tcPr>
          <w:p>
            <w:pPr>
              <w:spacing w:after="0"/>
              <w:rPr>
                <w:sz w:val="2"/>
                <w:szCs w:val="2"/>
                <w:color w:val="auto"/>
              </w:rPr>
            </w:pPr>
          </w:p>
        </w:tc>
        <w:tc>
          <w:tcPr>
            <w:tcW w:w="6720" w:type="dxa"/>
            <w:vAlign w:val="bottom"/>
            <w:shd w:val="clear" w:color="auto" w:fill="CCEEFF"/>
          </w:tcPr>
          <w:p>
            <w:pPr>
              <w:spacing w:after="0"/>
              <w:rPr>
                <w:sz w:val="2"/>
                <w:szCs w:val="2"/>
                <w:color w:val="auto"/>
              </w:rPr>
            </w:pPr>
          </w:p>
        </w:tc>
        <w:tc>
          <w:tcPr>
            <w:tcW w:w="500" w:type="dxa"/>
            <w:vAlign w:val="bottom"/>
            <w:tcBorders>
              <w:right w:val="single" w:sz="8" w:color="0000EE"/>
            </w:tcBorders>
            <w:shd w:val="clear" w:color="auto" w:fill="CCEEFF"/>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34"/>
        </w:trPr>
        <w:tc>
          <w:tcPr>
            <w:tcW w:w="20" w:type="dxa"/>
            <w:vAlign w:val="bottom"/>
            <w:vMerge w:val="continue"/>
          </w:tcPr>
          <w:p>
            <w:pPr>
              <w:spacing w:after="0"/>
              <w:rPr>
                <w:sz w:val="11"/>
                <w:szCs w:val="11"/>
                <w:color w:val="auto"/>
              </w:rPr>
            </w:pPr>
          </w:p>
        </w:tc>
        <w:tc>
          <w:tcPr>
            <w:tcW w:w="80" w:type="dxa"/>
            <w:vAlign w:val="bottom"/>
            <w:tcBorders>
              <w:bottom w:val="single" w:sz="8" w:color="0000EE"/>
            </w:tcBorders>
          </w:tcPr>
          <w:p>
            <w:pPr>
              <w:spacing w:after="0"/>
              <w:rPr>
                <w:rFonts w:ascii="Arial" w:cs="Arial" w:eastAsia="Arial" w:hAnsi="Arial"/>
                <w:sz w:val="5"/>
                <w:szCs w:val="5"/>
                <w:color w:val="0000EE"/>
                <w:w w:val="83"/>
              </w:rPr>
            </w:pPr>
            <w:hyperlink w:anchor="page100">
              <w:r>
                <w:rPr>
                  <w:rFonts w:ascii="Arial" w:cs="Arial" w:eastAsia="Arial" w:hAnsi="Arial"/>
                  <w:sz w:val="5"/>
                  <w:szCs w:val="5"/>
                  <w:color w:val="0000EE"/>
                  <w:w w:val="83"/>
                </w:rPr>
                <w:t>B.</w:t>
              </w:r>
            </w:hyperlink>
          </w:p>
        </w:tc>
        <w:tc>
          <w:tcPr>
            <w:tcW w:w="480" w:type="dxa"/>
            <w:vAlign w:val="bottom"/>
            <w:gridSpan w:val="3"/>
          </w:tcPr>
          <w:p>
            <w:pPr>
              <w:spacing w:after="0"/>
              <w:rPr>
                <w:sz w:val="11"/>
                <w:szCs w:val="11"/>
                <w:color w:val="auto"/>
              </w:rPr>
            </w:pPr>
          </w:p>
        </w:tc>
        <w:tc>
          <w:tcPr>
            <w:tcW w:w="1380" w:type="dxa"/>
            <w:vAlign w:val="bottom"/>
            <w:tcBorders>
              <w:bottom w:val="single" w:sz="8" w:color="0000EE"/>
            </w:tcBorders>
            <w:gridSpan w:val="8"/>
          </w:tcPr>
          <w:p>
            <w:pPr>
              <w:spacing w:after="0" w:line="125" w:lineRule="exact"/>
              <w:rPr>
                <w:rFonts w:ascii="Arial" w:cs="Arial" w:eastAsia="Arial" w:hAnsi="Arial"/>
                <w:sz w:val="13"/>
                <w:szCs w:val="13"/>
                <w:color w:val="0000EE"/>
                <w:w w:val="86"/>
              </w:rPr>
            </w:pPr>
            <w:hyperlink w:anchor="page100">
              <w:r>
                <w:rPr>
                  <w:rFonts w:ascii="Arial" w:cs="Arial" w:eastAsia="Arial" w:hAnsi="Arial"/>
                  <w:sz w:val="13"/>
                  <w:szCs w:val="13"/>
                  <w:color w:val="0000EE"/>
                  <w:w w:val="86"/>
                </w:rPr>
                <w:t>Related Party Transactions</w:t>
              </w:r>
            </w:hyperlink>
          </w:p>
        </w:tc>
        <w:tc>
          <w:tcPr>
            <w:tcW w:w="8940" w:type="dxa"/>
            <w:vAlign w:val="bottom"/>
            <w:gridSpan w:val="14"/>
          </w:tcPr>
          <w:p>
            <w:pPr>
              <w:spacing w:after="0"/>
              <w:rPr>
                <w:sz w:val="11"/>
                <w:szCs w:val="11"/>
                <w:color w:val="auto"/>
              </w:rPr>
            </w:pPr>
          </w:p>
        </w:tc>
        <w:tc>
          <w:tcPr>
            <w:tcW w:w="500" w:type="dxa"/>
            <w:vAlign w:val="bottom"/>
          </w:tcPr>
          <w:p>
            <w:pPr>
              <w:spacing w:after="0"/>
              <w:rPr>
                <w:sz w:val="11"/>
                <w:szCs w:val="11"/>
                <w:color w:val="auto"/>
              </w:rPr>
            </w:pPr>
          </w:p>
        </w:tc>
        <w:tc>
          <w:tcPr>
            <w:tcW w:w="80" w:type="dxa"/>
            <w:vAlign w:val="bottom"/>
            <w:tcBorders>
              <w:bottom w:val="single" w:sz="8" w:color="0000EE"/>
            </w:tcBorders>
          </w:tcPr>
          <w:p>
            <w:pPr>
              <w:jc w:val="right"/>
              <w:spacing w:after="0"/>
              <w:rPr>
                <w:rFonts w:ascii="Arial" w:cs="Arial" w:eastAsia="Arial" w:hAnsi="Arial"/>
                <w:sz w:val="7"/>
                <w:szCs w:val="7"/>
                <w:color w:val="0000EE"/>
                <w:w w:val="76"/>
              </w:rPr>
            </w:pPr>
            <w:hyperlink w:anchor="page100">
              <w:r>
                <w:rPr>
                  <w:rFonts w:ascii="Arial" w:cs="Arial" w:eastAsia="Arial" w:hAnsi="Arial"/>
                  <w:sz w:val="7"/>
                  <w:szCs w:val="7"/>
                  <w:color w:val="0000EE"/>
                  <w:w w:val="76"/>
                </w:rPr>
                <w:t>98</w:t>
              </w:r>
            </w:hyperlink>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560" w:type="dxa"/>
            <w:vAlign w:val="bottom"/>
            <w:gridSpan w:val="4"/>
            <w:shd w:val="clear" w:color="auto" w:fill="CCEEFF"/>
          </w:tcPr>
          <w:p>
            <w:pPr>
              <w:spacing w:after="0" w:line="125" w:lineRule="exact"/>
              <w:rPr>
                <w:rFonts w:ascii="Arial" w:cs="Arial" w:eastAsia="Arial" w:hAnsi="Arial"/>
                <w:sz w:val="13"/>
                <w:szCs w:val="13"/>
                <w:color w:val="0000EE"/>
              </w:rPr>
            </w:pPr>
            <w:hyperlink w:anchor="page101">
              <w:r>
                <w:rPr>
                  <w:rFonts w:ascii="Arial" w:cs="Arial" w:eastAsia="Arial" w:hAnsi="Arial"/>
                  <w:sz w:val="13"/>
                  <w:szCs w:val="13"/>
                  <w:color w:val="0000EE"/>
                </w:rPr>
                <w:t>C.</w:t>
              </w:r>
            </w:hyperlink>
          </w:p>
        </w:tc>
        <w:tc>
          <w:tcPr>
            <w:tcW w:w="10320" w:type="dxa"/>
            <w:vAlign w:val="bottom"/>
            <w:gridSpan w:val="22"/>
            <w:shd w:val="clear" w:color="auto" w:fill="CCEEFF"/>
          </w:tcPr>
          <w:p>
            <w:pPr>
              <w:spacing w:after="0" w:line="125" w:lineRule="exact"/>
              <w:rPr>
                <w:rFonts w:ascii="Arial" w:cs="Arial" w:eastAsia="Arial" w:hAnsi="Arial"/>
                <w:sz w:val="13"/>
                <w:szCs w:val="13"/>
                <w:color w:val="0000EE"/>
              </w:rPr>
            </w:pPr>
            <w:hyperlink w:anchor="page101">
              <w:r>
                <w:rPr>
                  <w:rFonts w:ascii="Arial" w:cs="Arial" w:eastAsia="Arial" w:hAnsi="Arial"/>
                  <w:sz w:val="13"/>
                  <w:szCs w:val="13"/>
                  <w:color w:val="0000EE"/>
                </w:rPr>
                <w:t>Interests of Experts and Counsel</w:t>
              </w:r>
            </w:hyperlink>
          </w:p>
        </w:tc>
        <w:tc>
          <w:tcPr>
            <w:tcW w:w="580" w:type="dxa"/>
            <w:vAlign w:val="bottom"/>
            <w:gridSpan w:val="2"/>
            <w:shd w:val="clear" w:color="auto" w:fill="CCEEFF"/>
          </w:tcPr>
          <w:p>
            <w:pPr>
              <w:jc w:val="right"/>
              <w:spacing w:after="0" w:line="125" w:lineRule="exact"/>
              <w:rPr>
                <w:rFonts w:ascii="Arial" w:cs="Arial" w:eastAsia="Arial" w:hAnsi="Arial"/>
                <w:sz w:val="13"/>
                <w:szCs w:val="13"/>
                <w:color w:val="0000EE"/>
              </w:rPr>
            </w:pPr>
            <w:hyperlink w:anchor="page101">
              <w:r>
                <w:rPr>
                  <w:rFonts w:ascii="Arial" w:cs="Arial" w:eastAsia="Arial" w:hAnsi="Arial"/>
                  <w:sz w:val="13"/>
                  <w:szCs w:val="13"/>
                  <w:color w:val="0000EE"/>
                </w:rPr>
                <w:t>99</w:t>
              </w:r>
            </w:hyperlink>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280" w:type="dxa"/>
            <w:vAlign w:val="bottom"/>
            <w:tcBorders>
              <w:top w:val="single" w:sz="8" w:color="CCEEFF"/>
            </w:tcBorders>
          </w:tcPr>
          <w:p>
            <w:pPr>
              <w:spacing w:after="0"/>
              <w:rPr>
                <w:sz w:val="13"/>
                <w:szCs w:val="13"/>
                <w:color w:val="auto"/>
              </w:rPr>
            </w:pPr>
          </w:p>
        </w:tc>
        <w:tc>
          <w:tcPr>
            <w:tcW w:w="100" w:type="dxa"/>
            <w:vAlign w:val="bottom"/>
            <w:tcBorders>
              <w:top w:val="single" w:sz="8" w:color="CCEEFF"/>
            </w:tcBorders>
          </w:tcPr>
          <w:p>
            <w:pPr>
              <w:spacing w:after="0"/>
              <w:rPr>
                <w:sz w:val="13"/>
                <w:szCs w:val="13"/>
                <w:color w:val="auto"/>
              </w:rPr>
            </w:pPr>
          </w:p>
        </w:tc>
        <w:tc>
          <w:tcPr>
            <w:tcW w:w="100" w:type="dxa"/>
            <w:vAlign w:val="bottom"/>
            <w:tcBorders>
              <w:top w:val="single" w:sz="8" w:color="CCEEFF"/>
            </w:tcBorders>
          </w:tcPr>
          <w:p>
            <w:pPr>
              <w:spacing w:after="0"/>
              <w:rPr>
                <w:sz w:val="13"/>
                <w:szCs w:val="13"/>
                <w:color w:val="auto"/>
              </w:rPr>
            </w:pPr>
          </w:p>
        </w:tc>
        <w:tc>
          <w:tcPr>
            <w:tcW w:w="420" w:type="dxa"/>
            <w:vAlign w:val="bottom"/>
            <w:tcBorders>
              <w:top w:val="single" w:sz="8" w:color="0000EE"/>
            </w:tcBorders>
          </w:tcPr>
          <w:p>
            <w:pPr>
              <w:spacing w:after="0"/>
              <w:rPr>
                <w:sz w:val="13"/>
                <w:szCs w:val="13"/>
                <w:color w:val="auto"/>
              </w:rPr>
            </w:pPr>
          </w:p>
        </w:tc>
        <w:tc>
          <w:tcPr>
            <w:tcW w:w="220" w:type="dxa"/>
            <w:vAlign w:val="bottom"/>
            <w:tcBorders>
              <w:top w:val="single" w:sz="8" w:color="0000EE"/>
            </w:tcBorders>
          </w:tcPr>
          <w:p>
            <w:pPr>
              <w:spacing w:after="0"/>
              <w:rPr>
                <w:sz w:val="13"/>
                <w:szCs w:val="13"/>
                <w:color w:val="auto"/>
              </w:rPr>
            </w:pPr>
          </w:p>
        </w:tc>
        <w:tc>
          <w:tcPr>
            <w:tcW w:w="160" w:type="dxa"/>
            <w:vAlign w:val="bottom"/>
            <w:tcBorders>
              <w:top w:val="single" w:sz="8" w:color="0000EE"/>
            </w:tcBorders>
          </w:tcPr>
          <w:p>
            <w:pPr>
              <w:spacing w:after="0"/>
              <w:rPr>
                <w:sz w:val="13"/>
                <w:szCs w:val="13"/>
                <w:color w:val="auto"/>
              </w:rPr>
            </w:pPr>
          </w:p>
        </w:tc>
        <w:tc>
          <w:tcPr>
            <w:tcW w:w="120" w:type="dxa"/>
            <w:vAlign w:val="bottom"/>
            <w:tcBorders>
              <w:top w:val="single" w:sz="8" w:color="0000EE"/>
            </w:tcBorders>
          </w:tcPr>
          <w:p>
            <w:pPr>
              <w:spacing w:after="0"/>
              <w:rPr>
                <w:sz w:val="13"/>
                <w:szCs w:val="13"/>
                <w:color w:val="auto"/>
              </w:rPr>
            </w:pPr>
          </w:p>
        </w:tc>
        <w:tc>
          <w:tcPr>
            <w:tcW w:w="140" w:type="dxa"/>
            <w:vAlign w:val="bottom"/>
            <w:tcBorders>
              <w:top w:val="single" w:sz="8" w:color="0000EE"/>
            </w:tcBorders>
          </w:tcPr>
          <w:p>
            <w:pPr>
              <w:spacing w:after="0"/>
              <w:rPr>
                <w:sz w:val="13"/>
                <w:szCs w:val="13"/>
                <w:color w:val="auto"/>
              </w:rPr>
            </w:pPr>
          </w:p>
        </w:tc>
        <w:tc>
          <w:tcPr>
            <w:tcW w:w="160" w:type="dxa"/>
            <w:vAlign w:val="bottom"/>
            <w:tcBorders>
              <w:top w:val="single" w:sz="8" w:color="0000EE"/>
            </w:tcBorders>
          </w:tcPr>
          <w:p>
            <w:pPr>
              <w:spacing w:after="0"/>
              <w:rPr>
                <w:sz w:val="13"/>
                <w:szCs w:val="13"/>
                <w:color w:val="auto"/>
              </w:rPr>
            </w:pPr>
          </w:p>
        </w:tc>
        <w:tc>
          <w:tcPr>
            <w:tcW w:w="60" w:type="dxa"/>
            <w:vAlign w:val="bottom"/>
            <w:tcBorders>
              <w:top w:val="single" w:sz="8" w:color="0000EE"/>
            </w:tcBorders>
          </w:tcPr>
          <w:p>
            <w:pPr>
              <w:spacing w:after="0"/>
              <w:rPr>
                <w:sz w:val="13"/>
                <w:szCs w:val="13"/>
                <w:color w:val="auto"/>
              </w:rPr>
            </w:pPr>
          </w:p>
        </w:tc>
        <w:tc>
          <w:tcPr>
            <w:tcW w:w="100" w:type="dxa"/>
            <w:vAlign w:val="bottom"/>
            <w:tcBorders>
              <w:top w:val="single" w:sz="8" w:color="0000EE"/>
            </w:tcBorders>
          </w:tcPr>
          <w:p>
            <w:pPr>
              <w:spacing w:after="0"/>
              <w:rPr>
                <w:sz w:val="13"/>
                <w:szCs w:val="13"/>
                <w:color w:val="auto"/>
              </w:rPr>
            </w:pPr>
          </w:p>
        </w:tc>
        <w:tc>
          <w:tcPr>
            <w:tcW w:w="180" w:type="dxa"/>
            <w:vAlign w:val="bottom"/>
            <w:tcBorders>
              <w:top w:val="single" w:sz="8" w:color="0000EE"/>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20" w:type="dxa"/>
            <w:vAlign w:val="bottom"/>
            <w:tcBorders>
              <w:top w:val="single" w:sz="8" w:color="0000EE"/>
            </w:tcBorders>
          </w:tcPr>
          <w:p>
            <w:pPr>
              <w:spacing w:after="0"/>
              <w:rPr>
                <w:sz w:val="13"/>
                <w:szCs w:val="13"/>
                <w:color w:val="auto"/>
              </w:rPr>
            </w:pPr>
          </w:p>
        </w:tc>
        <w:tc>
          <w:tcPr>
            <w:tcW w:w="4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32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42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300" w:type="dxa"/>
            <w:vAlign w:val="bottom"/>
            <w:tcBorders>
              <w:top w:val="single" w:sz="8" w:color="CCEEFF"/>
            </w:tcBorders>
          </w:tcPr>
          <w:p>
            <w:pPr>
              <w:spacing w:after="0"/>
              <w:rPr>
                <w:sz w:val="13"/>
                <w:szCs w:val="13"/>
                <w:color w:val="auto"/>
              </w:rPr>
            </w:pPr>
          </w:p>
        </w:tc>
        <w:tc>
          <w:tcPr>
            <w:tcW w:w="160" w:type="dxa"/>
            <w:vAlign w:val="bottom"/>
            <w:tcBorders>
              <w:top w:val="single" w:sz="8" w:color="CCEEFF"/>
            </w:tcBorders>
          </w:tcPr>
          <w:p>
            <w:pPr>
              <w:spacing w:after="0"/>
              <w:rPr>
                <w:sz w:val="13"/>
                <w:szCs w:val="13"/>
                <w:color w:val="auto"/>
              </w:rPr>
            </w:pPr>
          </w:p>
        </w:tc>
        <w:tc>
          <w:tcPr>
            <w:tcW w:w="6720" w:type="dxa"/>
            <w:vAlign w:val="bottom"/>
            <w:tcBorders>
              <w:top w:val="single" w:sz="8" w:color="CCEEFF"/>
            </w:tcBorders>
          </w:tcPr>
          <w:p>
            <w:pPr>
              <w:spacing w:after="0"/>
              <w:rPr>
                <w:sz w:val="13"/>
                <w:szCs w:val="13"/>
                <w:color w:val="auto"/>
              </w:rPr>
            </w:pPr>
          </w:p>
        </w:tc>
        <w:tc>
          <w:tcPr>
            <w:tcW w:w="500" w:type="dxa"/>
            <w:vAlign w:val="bottom"/>
            <w:tcBorders>
              <w:top w:val="single" w:sz="8" w:color="CCEEFF"/>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25"/>
        </w:trPr>
        <w:tc>
          <w:tcPr>
            <w:tcW w:w="20" w:type="dxa"/>
            <w:vAlign w:val="bottom"/>
            <w:vMerge w:val="continue"/>
          </w:tcPr>
          <w:p>
            <w:pPr>
              <w:spacing w:after="0"/>
              <w:rPr>
                <w:sz w:val="10"/>
                <w:szCs w:val="10"/>
                <w:color w:val="auto"/>
              </w:rPr>
            </w:pPr>
          </w:p>
        </w:tc>
        <w:tc>
          <w:tcPr>
            <w:tcW w:w="560" w:type="dxa"/>
            <w:vAlign w:val="bottom"/>
            <w:gridSpan w:val="4"/>
            <w:shd w:val="clear" w:color="auto" w:fill="CCEEFF"/>
          </w:tcPr>
          <w:p>
            <w:pPr>
              <w:spacing w:after="0" w:line="125" w:lineRule="exact"/>
              <w:rPr>
                <w:rFonts w:ascii="Arial" w:cs="Arial" w:eastAsia="Arial" w:hAnsi="Arial"/>
                <w:sz w:val="13"/>
                <w:szCs w:val="13"/>
                <w:b w:val="1"/>
                <w:bCs w:val="1"/>
                <w:color w:val="0000EE"/>
              </w:rPr>
            </w:pPr>
            <w:hyperlink w:anchor="page102">
              <w:r>
                <w:rPr>
                  <w:rFonts w:ascii="Arial" w:cs="Arial" w:eastAsia="Arial" w:hAnsi="Arial"/>
                  <w:sz w:val="13"/>
                  <w:szCs w:val="13"/>
                  <w:b w:val="1"/>
                  <w:bCs w:val="1"/>
                  <w:color w:val="0000EE"/>
                </w:rPr>
                <w:t>Item 8.</w:t>
              </w:r>
            </w:hyperlink>
          </w:p>
        </w:tc>
        <w:tc>
          <w:tcPr>
            <w:tcW w:w="420" w:type="dxa"/>
            <w:vAlign w:val="bottom"/>
            <w:shd w:val="clear" w:color="auto" w:fill="CCEEFF"/>
          </w:tcPr>
          <w:p>
            <w:pPr>
              <w:spacing w:after="0"/>
              <w:rPr>
                <w:sz w:val="10"/>
                <w:szCs w:val="10"/>
                <w:color w:val="auto"/>
              </w:rPr>
            </w:pPr>
          </w:p>
        </w:tc>
        <w:tc>
          <w:tcPr>
            <w:tcW w:w="220" w:type="dxa"/>
            <w:vAlign w:val="bottom"/>
            <w:tcBorders>
              <w:right w:val="single" w:sz="8" w:color="CCEEFF"/>
            </w:tcBorders>
            <w:shd w:val="clear" w:color="auto" w:fill="CCEEFF"/>
          </w:tcPr>
          <w:p>
            <w:pPr>
              <w:spacing w:after="0"/>
              <w:rPr>
                <w:sz w:val="10"/>
                <w:szCs w:val="10"/>
                <w:color w:val="auto"/>
              </w:rPr>
            </w:pPr>
          </w:p>
        </w:tc>
        <w:tc>
          <w:tcPr>
            <w:tcW w:w="9680" w:type="dxa"/>
            <w:vAlign w:val="bottom"/>
            <w:gridSpan w:val="20"/>
            <w:shd w:val="clear" w:color="auto" w:fill="CCEEFF"/>
          </w:tcPr>
          <w:p>
            <w:pPr>
              <w:spacing w:after="0" w:line="125" w:lineRule="exact"/>
              <w:rPr>
                <w:rFonts w:ascii="Arial" w:cs="Arial" w:eastAsia="Arial" w:hAnsi="Arial"/>
                <w:sz w:val="13"/>
                <w:szCs w:val="13"/>
                <w:b w:val="1"/>
                <w:bCs w:val="1"/>
                <w:color w:val="0000EE"/>
              </w:rPr>
            </w:pPr>
            <w:hyperlink w:anchor="page102">
              <w:r>
                <w:rPr>
                  <w:rFonts w:ascii="Arial" w:cs="Arial" w:eastAsia="Arial" w:hAnsi="Arial"/>
                  <w:sz w:val="13"/>
                  <w:szCs w:val="13"/>
                  <w:b w:val="1"/>
                  <w:bCs w:val="1"/>
                  <w:color w:val="0000EE"/>
                </w:rPr>
                <w:t>Financial Information</w:t>
              </w:r>
            </w:hyperlink>
          </w:p>
        </w:tc>
        <w:tc>
          <w:tcPr>
            <w:tcW w:w="580" w:type="dxa"/>
            <w:vAlign w:val="bottom"/>
            <w:gridSpan w:val="2"/>
            <w:shd w:val="clear" w:color="auto" w:fill="CCEEFF"/>
          </w:tcPr>
          <w:p>
            <w:pPr>
              <w:jc w:val="right"/>
              <w:spacing w:after="0" w:line="125" w:lineRule="exact"/>
              <w:rPr>
                <w:rFonts w:ascii="Arial" w:cs="Arial" w:eastAsia="Arial" w:hAnsi="Arial"/>
                <w:sz w:val="13"/>
                <w:szCs w:val="13"/>
                <w:b w:val="1"/>
                <w:bCs w:val="1"/>
                <w:color w:val="0000EE"/>
              </w:rPr>
            </w:pPr>
            <w:hyperlink w:anchor="page102">
              <w:r>
                <w:rPr>
                  <w:rFonts w:ascii="Arial" w:cs="Arial" w:eastAsia="Arial" w:hAnsi="Arial"/>
                  <w:sz w:val="13"/>
                  <w:szCs w:val="13"/>
                  <w:b w:val="1"/>
                  <w:bCs w:val="1"/>
                  <w:color w:val="0000EE"/>
                </w:rPr>
                <w:t>100</w:t>
              </w:r>
            </w:hyperlink>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80" w:type="dxa"/>
            <w:vAlign w:val="bottom"/>
            <w:tcBorders>
              <w:left w:val="single" w:sz="8" w:color="0000EE"/>
            </w:tcBorders>
            <w:shd w:val="clear" w:color="auto" w:fill="0000EE"/>
          </w:tcPr>
          <w:p>
            <w:pPr>
              <w:spacing w:after="0"/>
              <w:rPr>
                <w:sz w:val="2"/>
                <w:szCs w:val="2"/>
                <w:color w:val="auto"/>
              </w:rPr>
            </w:pPr>
          </w:p>
        </w:tc>
        <w:tc>
          <w:tcPr>
            <w:tcW w:w="100" w:type="dxa"/>
            <w:vAlign w:val="bottom"/>
            <w:tcBorders>
              <w:left w:val="single" w:sz="8" w:color="CCEEFF"/>
            </w:tcBorders>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420" w:type="dxa"/>
            <w:vAlign w:val="bottom"/>
            <w:shd w:val="clear" w:color="auto" w:fill="CCEEFF"/>
          </w:tcPr>
          <w:p>
            <w:pPr>
              <w:spacing w:after="0"/>
              <w:rPr>
                <w:sz w:val="2"/>
                <w:szCs w:val="2"/>
                <w:color w:val="auto"/>
              </w:rPr>
            </w:pPr>
          </w:p>
        </w:tc>
        <w:tc>
          <w:tcPr>
            <w:tcW w:w="220" w:type="dxa"/>
            <w:vAlign w:val="bottom"/>
            <w:tcBorders>
              <w:right w:val="single" w:sz="8" w:color="0000EE"/>
            </w:tcBorders>
            <w:shd w:val="clear" w:color="auto" w:fill="CCEEFF"/>
          </w:tcPr>
          <w:p>
            <w:pPr>
              <w:spacing w:after="0"/>
              <w:rPr>
                <w:sz w:val="2"/>
                <w:szCs w:val="2"/>
                <w:color w:val="auto"/>
              </w:rPr>
            </w:pPr>
          </w:p>
        </w:tc>
        <w:tc>
          <w:tcPr>
            <w:tcW w:w="160" w:type="dxa"/>
            <w:vAlign w:val="bottom"/>
            <w:tcBorders>
              <w:right w:val="single" w:sz="8" w:color="0000EE"/>
            </w:tcBorders>
            <w:shd w:val="clear" w:color="auto" w:fill="0000EE"/>
          </w:tcPr>
          <w:p>
            <w:pPr>
              <w:spacing w:after="0"/>
              <w:rPr>
                <w:sz w:val="2"/>
                <w:szCs w:val="2"/>
                <w:color w:val="auto"/>
              </w:rPr>
            </w:pPr>
          </w:p>
        </w:tc>
        <w:tc>
          <w:tcPr>
            <w:tcW w:w="120" w:type="dxa"/>
            <w:vAlign w:val="bottom"/>
            <w:tcBorders>
              <w:right w:val="single" w:sz="8" w:color="0000EE"/>
            </w:tcBorders>
            <w:shd w:val="clear" w:color="auto" w:fill="0000EE"/>
          </w:tcPr>
          <w:p>
            <w:pPr>
              <w:spacing w:after="0"/>
              <w:rPr>
                <w:sz w:val="2"/>
                <w:szCs w:val="2"/>
                <w:color w:val="auto"/>
              </w:rPr>
            </w:pPr>
          </w:p>
        </w:tc>
        <w:tc>
          <w:tcPr>
            <w:tcW w:w="140" w:type="dxa"/>
            <w:vAlign w:val="bottom"/>
            <w:tcBorders>
              <w:left w:val="single" w:sz="8" w:color="0000EE"/>
              <w:right w:val="single" w:sz="8" w:color="0000EE"/>
            </w:tcBorders>
            <w:shd w:val="clear" w:color="auto" w:fill="0000EE"/>
          </w:tcPr>
          <w:p>
            <w:pPr>
              <w:spacing w:after="0"/>
              <w:rPr>
                <w:sz w:val="2"/>
                <w:szCs w:val="2"/>
                <w:color w:val="auto"/>
              </w:rPr>
            </w:pPr>
          </w:p>
        </w:tc>
        <w:tc>
          <w:tcPr>
            <w:tcW w:w="160" w:type="dxa"/>
            <w:vAlign w:val="bottom"/>
            <w:shd w:val="clear" w:color="auto" w:fill="0000EE"/>
          </w:tcPr>
          <w:p>
            <w:pPr>
              <w:spacing w:after="0"/>
              <w:rPr>
                <w:sz w:val="2"/>
                <w:szCs w:val="2"/>
                <w:color w:val="auto"/>
              </w:rPr>
            </w:pPr>
          </w:p>
        </w:tc>
        <w:tc>
          <w:tcPr>
            <w:tcW w:w="60" w:type="dxa"/>
            <w:vAlign w:val="bottom"/>
            <w:tcBorders>
              <w:right w:val="single" w:sz="8" w:color="0000EE"/>
            </w:tcBorders>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180" w:type="dxa"/>
            <w:vAlign w:val="bottom"/>
            <w:tcBorders>
              <w:right w:val="single" w:sz="8" w:color="0000EE"/>
            </w:tcBorders>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0" w:type="dxa"/>
            <w:vAlign w:val="bottom"/>
            <w:shd w:val="clear" w:color="auto" w:fill="0000EE"/>
          </w:tcPr>
          <w:p>
            <w:pPr>
              <w:spacing w:after="0"/>
              <w:rPr>
                <w:sz w:val="2"/>
                <w:szCs w:val="2"/>
                <w:color w:val="auto"/>
              </w:rPr>
            </w:pPr>
          </w:p>
        </w:tc>
        <w:tc>
          <w:tcPr>
            <w:tcW w:w="40" w:type="dxa"/>
            <w:vAlign w:val="bottom"/>
            <w:tcBorders>
              <w:right w:val="single" w:sz="8" w:color="0000EE"/>
            </w:tcBorders>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32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420" w:type="dxa"/>
            <w:vAlign w:val="bottom"/>
            <w:tcBorders>
              <w:right w:val="single" w:sz="8" w:color="CCEEFF"/>
            </w:tcBorders>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180" w:type="dxa"/>
            <w:vAlign w:val="bottom"/>
            <w:tcBorders>
              <w:left w:val="single" w:sz="8" w:color="CCEEFF"/>
            </w:tcBorders>
            <w:shd w:val="clear" w:color="auto" w:fill="CCEEFF"/>
          </w:tcPr>
          <w:p>
            <w:pPr>
              <w:spacing w:after="0"/>
              <w:rPr>
                <w:sz w:val="2"/>
                <w:szCs w:val="2"/>
                <w:color w:val="auto"/>
              </w:rPr>
            </w:pPr>
          </w:p>
        </w:tc>
        <w:tc>
          <w:tcPr>
            <w:tcW w:w="300" w:type="dxa"/>
            <w:vAlign w:val="bottom"/>
            <w:shd w:val="clear" w:color="auto" w:fill="CCEEFF"/>
          </w:tcPr>
          <w:p>
            <w:pPr>
              <w:spacing w:after="0"/>
              <w:rPr>
                <w:sz w:val="2"/>
                <w:szCs w:val="2"/>
                <w:color w:val="auto"/>
              </w:rPr>
            </w:pPr>
          </w:p>
        </w:tc>
        <w:tc>
          <w:tcPr>
            <w:tcW w:w="160" w:type="dxa"/>
            <w:vAlign w:val="bottom"/>
            <w:shd w:val="clear" w:color="auto" w:fill="CCEEFF"/>
          </w:tcPr>
          <w:p>
            <w:pPr>
              <w:spacing w:after="0"/>
              <w:rPr>
                <w:sz w:val="2"/>
                <w:szCs w:val="2"/>
                <w:color w:val="auto"/>
              </w:rPr>
            </w:pPr>
          </w:p>
        </w:tc>
        <w:tc>
          <w:tcPr>
            <w:tcW w:w="6720" w:type="dxa"/>
            <w:vAlign w:val="bottom"/>
            <w:shd w:val="clear" w:color="auto" w:fill="CCEEFF"/>
          </w:tcPr>
          <w:p>
            <w:pPr>
              <w:spacing w:after="0"/>
              <w:rPr>
                <w:sz w:val="2"/>
                <w:szCs w:val="2"/>
                <w:color w:val="auto"/>
              </w:rPr>
            </w:pPr>
          </w:p>
        </w:tc>
        <w:tc>
          <w:tcPr>
            <w:tcW w:w="500" w:type="dxa"/>
            <w:vAlign w:val="bottom"/>
            <w:tcBorders>
              <w:right w:val="single" w:sz="8" w:color="0000EE"/>
            </w:tcBorders>
            <w:shd w:val="clear" w:color="auto" w:fill="CCEEFF"/>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25"/>
        </w:trPr>
        <w:tc>
          <w:tcPr>
            <w:tcW w:w="20" w:type="dxa"/>
            <w:vAlign w:val="bottom"/>
            <w:vMerge w:val="continue"/>
          </w:tcPr>
          <w:p>
            <w:pPr>
              <w:spacing w:after="0"/>
              <w:rPr>
                <w:sz w:val="10"/>
                <w:szCs w:val="10"/>
                <w:color w:val="auto"/>
              </w:rPr>
            </w:pPr>
          </w:p>
        </w:tc>
        <w:tc>
          <w:tcPr>
            <w:tcW w:w="360" w:type="dxa"/>
            <w:vAlign w:val="bottom"/>
            <w:gridSpan w:val="2"/>
          </w:tcPr>
          <w:p>
            <w:pPr>
              <w:spacing w:after="0" w:line="125" w:lineRule="exact"/>
              <w:rPr>
                <w:rFonts w:ascii="Arial" w:cs="Arial" w:eastAsia="Arial" w:hAnsi="Arial"/>
                <w:sz w:val="13"/>
                <w:szCs w:val="13"/>
                <w:color w:val="0000EE"/>
              </w:rPr>
            </w:pPr>
            <w:hyperlink w:anchor="page102">
              <w:r>
                <w:rPr>
                  <w:rFonts w:ascii="Arial" w:cs="Arial" w:eastAsia="Arial" w:hAnsi="Arial"/>
                  <w:sz w:val="13"/>
                  <w:szCs w:val="13"/>
                  <w:color w:val="0000EE"/>
                </w:rPr>
                <w:t>A.</w:t>
              </w:r>
            </w:hyperlink>
          </w:p>
        </w:tc>
        <w:tc>
          <w:tcPr>
            <w:tcW w:w="200" w:type="dxa"/>
            <w:vAlign w:val="bottom"/>
            <w:gridSpan w:val="2"/>
          </w:tcPr>
          <w:p>
            <w:pPr>
              <w:spacing w:after="0"/>
              <w:rPr>
                <w:sz w:val="10"/>
                <w:szCs w:val="10"/>
                <w:color w:val="auto"/>
              </w:rPr>
            </w:pPr>
          </w:p>
        </w:tc>
        <w:tc>
          <w:tcPr>
            <w:tcW w:w="10320" w:type="dxa"/>
            <w:vAlign w:val="bottom"/>
            <w:gridSpan w:val="22"/>
          </w:tcPr>
          <w:p>
            <w:pPr>
              <w:spacing w:after="0" w:line="125" w:lineRule="exact"/>
              <w:rPr>
                <w:rFonts w:ascii="Arial" w:cs="Arial" w:eastAsia="Arial" w:hAnsi="Arial"/>
                <w:sz w:val="13"/>
                <w:szCs w:val="13"/>
                <w:color w:val="0000EE"/>
              </w:rPr>
            </w:pPr>
            <w:hyperlink w:anchor="page102">
              <w:r>
                <w:rPr>
                  <w:rFonts w:ascii="Arial" w:cs="Arial" w:eastAsia="Arial" w:hAnsi="Arial"/>
                  <w:sz w:val="13"/>
                  <w:szCs w:val="13"/>
                  <w:color w:val="0000EE"/>
                </w:rPr>
                <w:t>Consolidated Statements and Other Financial Information</w:t>
              </w:r>
            </w:hyperlink>
          </w:p>
        </w:tc>
        <w:tc>
          <w:tcPr>
            <w:tcW w:w="580" w:type="dxa"/>
            <w:vAlign w:val="bottom"/>
            <w:gridSpan w:val="2"/>
          </w:tcPr>
          <w:p>
            <w:pPr>
              <w:jc w:val="right"/>
              <w:spacing w:after="0" w:line="125" w:lineRule="exact"/>
              <w:rPr>
                <w:rFonts w:ascii="Arial" w:cs="Arial" w:eastAsia="Arial" w:hAnsi="Arial"/>
                <w:sz w:val="13"/>
                <w:szCs w:val="13"/>
                <w:color w:val="0000EE"/>
              </w:rPr>
            </w:pPr>
            <w:hyperlink w:anchor="page102">
              <w:r>
                <w:rPr>
                  <w:rFonts w:ascii="Arial" w:cs="Arial" w:eastAsia="Arial" w:hAnsi="Arial"/>
                  <w:sz w:val="13"/>
                  <w:szCs w:val="13"/>
                  <w:color w:val="0000EE"/>
                </w:rPr>
                <w:t>100</w:t>
              </w:r>
            </w:hyperlink>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80" w:type="dxa"/>
            <w:vAlign w:val="bottom"/>
            <w:tcBorders>
              <w:left w:val="single" w:sz="8" w:color="0000EE"/>
            </w:tcBorders>
          </w:tcPr>
          <w:p>
            <w:pPr>
              <w:spacing w:after="0"/>
              <w:rPr>
                <w:sz w:val="2"/>
                <w:szCs w:val="2"/>
                <w:color w:val="auto"/>
              </w:rPr>
            </w:pPr>
          </w:p>
        </w:tc>
        <w:tc>
          <w:tcPr>
            <w:tcW w:w="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420" w:type="dxa"/>
            <w:vAlign w:val="bottom"/>
            <w:shd w:val="clear" w:color="auto" w:fill="0000EE"/>
          </w:tcPr>
          <w:p>
            <w:pPr>
              <w:spacing w:after="0"/>
              <w:rPr>
                <w:sz w:val="2"/>
                <w:szCs w:val="2"/>
                <w:color w:val="auto"/>
              </w:rPr>
            </w:pPr>
          </w:p>
        </w:tc>
        <w:tc>
          <w:tcPr>
            <w:tcW w:w="220" w:type="dxa"/>
            <w:vAlign w:val="bottom"/>
            <w:tcBorders>
              <w:right w:val="single" w:sz="8" w:color="0000EE"/>
            </w:tcBorders>
            <w:shd w:val="clear" w:color="auto" w:fill="0000EE"/>
          </w:tcPr>
          <w:p>
            <w:pPr>
              <w:spacing w:after="0"/>
              <w:rPr>
                <w:sz w:val="2"/>
                <w:szCs w:val="2"/>
                <w:color w:val="auto"/>
              </w:rPr>
            </w:pPr>
          </w:p>
        </w:tc>
        <w:tc>
          <w:tcPr>
            <w:tcW w:w="160" w:type="dxa"/>
            <w:vAlign w:val="bottom"/>
            <w:tcBorders>
              <w:right w:val="single" w:sz="8" w:color="0000EE"/>
            </w:tcBorders>
            <w:shd w:val="clear" w:color="auto" w:fill="0000EE"/>
          </w:tcPr>
          <w:p>
            <w:pPr>
              <w:spacing w:after="0"/>
              <w:rPr>
                <w:sz w:val="2"/>
                <w:szCs w:val="2"/>
                <w:color w:val="auto"/>
              </w:rPr>
            </w:pPr>
          </w:p>
        </w:tc>
        <w:tc>
          <w:tcPr>
            <w:tcW w:w="120" w:type="dxa"/>
            <w:vAlign w:val="bottom"/>
            <w:tcBorders>
              <w:right w:val="single" w:sz="8" w:color="0000EE"/>
            </w:tcBorders>
            <w:shd w:val="clear" w:color="auto" w:fill="0000EE"/>
          </w:tcPr>
          <w:p>
            <w:pPr>
              <w:spacing w:after="0"/>
              <w:rPr>
                <w:sz w:val="2"/>
                <w:szCs w:val="2"/>
                <w:color w:val="auto"/>
              </w:rPr>
            </w:pPr>
          </w:p>
        </w:tc>
        <w:tc>
          <w:tcPr>
            <w:tcW w:w="140" w:type="dxa"/>
            <w:vAlign w:val="bottom"/>
            <w:tcBorders>
              <w:left w:val="single" w:sz="8" w:color="0000EE"/>
              <w:right w:val="single" w:sz="8" w:color="0000EE"/>
            </w:tcBorders>
            <w:shd w:val="clear" w:color="auto" w:fill="0000EE"/>
          </w:tcPr>
          <w:p>
            <w:pPr>
              <w:spacing w:after="0"/>
              <w:rPr>
                <w:sz w:val="2"/>
                <w:szCs w:val="2"/>
                <w:color w:val="auto"/>
              </w:rPr>
            </w:pPr>
          </w:p>
        </w:tc>
        <w:tc>
          <w:tcPr>
            <w:tcW w:w="160" w:type="dxa"/>
            <w:vAlign w:val="bottom"/>
            <w:shd w:val="clear" w:color="auto" w:fill="0000EE"/>
          </w:tcPr>
          <w:p>
            <w:pPr>
              <w:spacing w:after="0"/>
              <w:rPr>
                <w:sz w:val="2"/>
                <w:szCs w:val="2"/>
                <w:color w:val="auto"/>
              </w:rPr>
            </w:pPr>
          </w:p>
        </w:tc>
        <w:tc>
          <w:tcPr>
            <w:tcW w:w="60" w:type="dxa"/>
            <w:vAlign w:val="bottom"/>
            <w:tcBorders>
              <w:right w:val="single" w:sz="8" w:color="0000EE"/>
            </w:tcBorders>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180" w:type="dxa"/>
            <w:vAlign w:val="bottom"/>
            <w:tcBorders>
              <w:right w:val="single" w:sz="8" w:color="0000EE"/>
            </w:tcBorders>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0" w:type="dxa"/>
            <w:vAlign w:val="bottom"/>
            <w:shd w:val="clear" w:color="auto" w:fill="0000EE"/>
          </w:tcPr>
          <w:p>
            <w:pPr>
              <w:spacing w:after="0"/>
              <w:rPr>
                <w:sz w:val="2"/>
                <w:szCs w:val="2"/>
                <w:color w:val="auto"/>
              </w:rPr>
            </w:pPr>
          </w:p>
        </w:tc>
        <w:tc>
          <w:tcPr>
            <w:tcW w:w="40" w:type="dxa"/>
            <w:vAlign w:val="bottom"/>
            <w:tcBorders>
              <w:right w:val="single" w:sz="8" w:color="0000EE"/>
            </w:tcBorders>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32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180" w:type="dxa"/>
            <w:vAlign w:val="bottom"/>
            <w:shd w:val="clear" w:color="auto" w:fill="0000EE"/>
          </w:tcPr>
          <w:p>
            <w:pPr>
              <w:spacing w:after="0"/>
              <w:rPr>
                <w:sz w:val="2"/>
                <w:szCs w:val="2"/>
                <w:color w:val="auto"/>
              </w:rPr>
            </w:pPr>
          </w:p>
        </w:tc>
        <w:tc>
          <w:tcPr>
            <w:tcW w:w="420" w:type="dxa"/>
            <w:vAlign w:val="bottom"/>
            <w:tcBorders>
              <w:right w:val="single" w:sz="8" w:color="0000EE"/>
            </w:tcBorders>
            <w:shd w:val="clear" w:color="auto" w:fill="0000EE"/>
          </w:tcPr>
          <w:p>
            <w:pPr>
              <w:spacing w:after="0"/>
              <w:rPr>
                <w:sz w:val="2"/>
                <w:szCs w:val="2"/>
                <w:color w:val="auto"/>
              </w:rPr>
            </w:pPr>
          </w:p>
        </w:tc>
        <w:tc>
          <w:tcPr>
            <w:tcW w:w="180" w:type="dxa"/>
            <w:vAlign w:val="bottom"/>
            <w:shd w:val="clear" w:color="auto" w:fill="0000EE"/>
          </w:tcPr>
          <w:p>
            <w:pPr>
              <w:spacing w:after="0"/>
              <w:rPr>
                <w:sz w:val="2"/>
                <w:szCs w:val="2"/>
                <w:color w:val="auto"/>
              </w:rPr>
            </w:pPr>
          </w:p>
        </w:tc>
        <w:tc>
          <w:tcPr>
            <w:tcW w:w="180" w:type="dxa"/>
            <w:vAlign w:val="bottom"/>
          </w:tcPr>
          <w:p>
            <w:pPr>
              <w:spacing w:after="0"/>
              <w:rPr>
                <w:sz w:val="2"/>
                <w:szCs w:val="2"/>
                <w:color w:val="auto"/>
              </w:rPr>
            </w:pPr>
          </w:p>
        </w:tc>
        <w:tc>
          <w:tcPr>
            <w:tcW w:w="300" w:type="dxa"/>
            <w:vAlign w:val="bottom"/>
          </w:tcPr>
          <w:p>
            <w:pPr>
              <w:spacing w:after="0"/>
              <w:rPr>
                <w:sz w:val="2"/>
                <w:szCs w:val="2"/>
                <w:color w:val="auto"/>
              </w:rPr>
            </w:pPr>
          </w:p>
        </w:tc>
        <w:tc>
          <w:tcPr>
            <w:tcW w:w="160" w:type="dxa"/>
            <w:vAlign w:val="bottom"/>
          </w:tcPr>
          <w:p>
            <w:pPr>
              <w:spacing w:after="0"/>
              <w:rPr>
                <w:sz w:val="2"/>
                <w:szCs w:val="2"/>
                <w:color w:val="auto"/>
              </w:rPr>
            </w:pPr>
          </w:p>
        </w:tc>
        <w:tc>
          <w:tcPr>
            <w:tcW w:w="6720" w:type="dxa"/>
            <w:vAlign w:val="bottom"/>
          </w:tcPr>
          <w:p>
            <w:pPr>
              <w:spacing w:after="0"/>
              <w:rPr>
                <w:sz w:val="2"/>
                <w:szCs w:val="2"/>
                <w:color w:val="auto"/>
              </w:rPr>
            </w:pPr>
          </w:p>
        </w:tc>
        <w:tc>
          <w:tcPr>
            <w:tcW w:w="500" w:type="dxa"/>
            <w:vAlign w:val="bottom"/>
            <w:tcBorders>
              <w:right w:val="single" w:sz="8" w:color="0000EE"/>
            </w:tcBorders>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34"/>
        </w:trPr>
        <w:tc>
          <w:tcPr>
            <w:tcW w:w="20" w:type="dxa"/>
            <w:vAlign w:val="bottom"/>
            <w:vMerge w:val="continue"/>
          </w:tcPr>
          <w:p>
            <w:pPr>
              <w:spacing w:after="0"/>
              <w:rPr>
                <w:sz w:val="11"/>
                <w:szCs w:val="11"/>
                <w:color w:val="auto"/>
              </w:rPr>
            </w:pPr>
          </w:p>
        </w:tc>
        <w:tc>
          <w:tcPr>
            <w:tcW w:w="80" w:type="dxa"/>
            <w:vAlign w:val="bottom"/>
            <w:shd w:val="clear" w:color="auto" w:fill="CCEEFF"/>
          </w:tcPr>
          <w:p>
            <w:pPr>
              <w:spacing w:after="0"/>
              <w:rPr>
                <w:rFonts w:ascii="Arial" w:cs="Arial" w:eastAsia="Arial" w:hAnsi="Arial"/>
                <w:sz w:val="5"/>
                <w:szCs w:val="5"/>
                <w:color w:val="0000EE"/>
                <w:w w:val="83"/>
              </w:rPr>
            </w:pPr>
            <w:hyperlink w:anchor="page103">
              <w:r>
                <w:rPr>
                  <w:rFonts w:ascii="Arial" w:cs="Arial" w:eastAsia="Arial" w:hAnsi="Arial"/>
                  <w:sz w:val="5"/>
                  <w:szCs w:val="5"/>
                  <w:color w:val="0000EE"/>
                  <w:w w:val="83"/>
                </w:rPr>
                <w:t>B.</w:t>
              </w:r>
            </w:hyperlink>
          </w:p>
        </w:tc>
        <w:tc>
          <w:tcPr>
            <w:tcW w:w="480" w:type="dxa"/>
            <w:vAlign w:val="bottom"/>
            <w:tcBorders>
              <w:left w:val="single" w:sz="8" w:color="CCEEFF"/>
            </w:tcBorders>
            <w:gridSpan w:val="3"/>
            <w:shd w:val="clear" w:color="auto" w:fill="CCEEFF"/>
          </w:tcPr>
          <w:p>
            <w:pPr>
              <w:spacing w:after="0"/>
              <w:rPr>
                <w:sz w:val="11"/>
                <w:szCs w:val="11"/>
                <w:color w:val="auto"/>
              </w:rPr>
            </w:pPr>
          </w:p>
        </w:tc>
        <w:tc>
          <w:tcPr>
            <w:tcW w:w="2960" w:type="dxa"/>
            <w:vAlign w:val="bottom"/>
            <w:gridSpan w:val="18"/>
            <w:shd w:val="clear" w:color="auto" w:fill="CCEEFF"/>
          </w:tcPr>
          <w:p>
            <w:pPr>
              <w:spacing w:after="0" w:line="125" w:lineRule="exact"/>
              <w:rPr>
                <w:rFonts w:ascii="Arial" w:cs="Arial" w:eastAsia="Arial" w:hAnsi="Arial"/>
                <w:sz w:val="13"/>
                <w:szCs w:val="13"/>
                <w:color w:val="0000EE"/>
              </w:rPr>
            </w:pPr>
            <w:hyperlink w:anchor="page103">
              <w:r>
                <w:rPr>
                  <w:rFonts w:ascii="Arial" w:cs="Arial" w:eastAsia="Arial" w:hAnsi="Arial"/>
                  <w:sz w:val="13"/>
                  <w:szCs w:val="13"/>
                  <w:color w:val="0000EE"/>
                </w:rPr>
                <w:t>Significant Changes</w:t>
              </w:r>
            </w:hyperlink>
          </w:p>
        </w:tc>
        <w:tc>
          <w:tcPr>
            <w:tcW w:w="7360" w:type="dxa"/>
            <w:vAlign w:val="bottom"/>
            <w:tcBorders>
              <w:left w:val="single" w:sz="8" w:color="CCEEFF"/>
            </w:tcBorders>
            <w:gridSpan w:val="4"/>
            <w:shd w:val="clear" w:color="auto" w:fill="CCEEFF"/>
          </w:tcPr>
          <w:p>
            <w:pPr>
              <w:spacing w:after="0"/>
              <w:rPr>
                <w:sz w:val="11"/>
                <w:szCs w:val="11"/>
                <w:color w:val="auto"/>
              </w:rPr>
            </w:pPr>
          </w:p>
        </w:tc>
        <w:tc>
          <w:tcPr>
            <w:tcW w:w="580" w:type="dxa"/>
            <w:vAlign w:val="bottom"/>
            <w:gridSpan w:val="2"/>
            <w:shd w:val="clear" w:color="auto" w:fill="CCEEFF"/>
          </w:tcPr>
          <w:p>
            <w:pPr>
              <w:jc w:val="right"/>
              <w:spacing w:after="0" w:line="125" w:lineRule="exact"/>
              <w:rPr>
                <w:rFonts w:ascii="Arial" w:cs="Arial" w:eastAsia="Arial" w:hAnsi="Arial"/>
                <w:sz w:val="13"/>
                <w:szCs w:val="13"/>
                <w:color w:val="0000EE"/>
              </w:rPr>
            </w:pPr>
            <w:hyperlink w:anchor="page103">
              <w:r>
                <w:rPr>
                  <w:rFonts w:ascii="Arial" w:cs="Arial" w:eastAsia="Arial" w:hAnsi="Arial"/>
                  <w:sz w:val="13"/>
                  <w:szCs w:val="13"/>
                  <w:color w:val="0000EE"/>
                </w:rPr>
                <w:t>101</w:t>
              </w:r>
            </w:hyperlink>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280" w:type="dxa"/>
            <w:vAlign w:val="bottom"/>
            <w:tcBorders>
              <w:top w:val="single" w:sz="8" w:color="CCEEFF"/>
            </w:tcBorders>
          </w:tcPr>
          <w:p>
            <w:pPr>
              <w:spacing w:after="0"/>
              <w:rPr>
                <w:sz w:val="13"/>
                <w:szCs w:val="13"/>
                <w:color w:val="auto"/>
              </w:rPr>
            </w:pPr>
          </w:p>
        </w:tc>
        <w:tc>
          <w:tcPr>
            <w:tcW w:w="100" w:type="dxa"/>
            <w:vAlign w:val="bottom"/>
            <w:tcBorders>
              <w:top w:val="single" w:sz="8" w:color="CCEEFF"/>
            </w:tcBorders>
          </w:tcPr>
          <w:p>
            <w:pPr>
              <w:spacing w:after="0"/>
              <w:rPr>
                <w:sz w:val="13"/>
                <w:szCs w:val="13"/>
                <w:color w:val="auto"/>
              </w:rPr>
            </w:pPr>
          </w:p>
        </w:tc>
        <w:tc>
          <w:tcPr>
            <w:tcW w:w="100" w:type="dxa"/>
            <w:vAlign w:val="bottom"/>
            <w:tcBorders>
              <w:top w:val="single" w:sz="8" w:color="CCEEFF"/>
            </w:tcBorders>
          </w:tcPr>
          <w:p>
            <w:pPr>
              <w:spacing w:after="0"/>
              <w:rPr>
                <w:sz w:val="13"/>
                <w:szCs w:val="13"/>
                <w:color w:val="auto"/>
              </w:rPr>
            </w:pPr>
          </w:p>
        </w:tc>
        <w:tc>
          <w:tcPr>
            <w:tcW w:w="420" w:type="dxa"/>
            <w:vAlign w:val="bottom"/>
            <w:tcBorders>
              <w:top w:val="single" w:sz="8" w:color="0000EE"/>
            </w:tcBorders>
          </w:tcPr>
          <w:p>
            <w:pPr>
              <w:spacing w:after="0"/>
              <w:rPr>
                <w:sz w:val="13"/>
                <w:szCs w:val="13"/>
                <w:color w:val="auto"/>
              </w:rPr>
            </w:pPr>
          </w:p>
        </w:tc>
        <w:tc>
          <w:tcPr>
            <w:tcW w:w="220" w:type="dxa"/>
            <w:vAlign w:val="bottom"/>
            <w:tcBorders>
              <w:top w:val="single" w:sz="8" w:color="0000EE"/>
            </w:tcBorders>
          </w:tcPr>
          <w:p>
            <w:pPr>
              <w:spacing w:after="0"/>
              <w:rPr>
                <w:sz w:val="13"/>
                <w:szCs w:val="13"/>
                <w:color w:val="auto"/>
              </w:rPr>
            </w:pPr>
          </w:p>
        </w:tc>
        <w:tc>
          <w:tcPr>
            <w:tcW w:w="160" w:type="dxa"/>
            <w:vAlign w:val="bottom"/>
            <w:tcBorders>
              <w:top w:val="single" w:sz="8" w:color="0000EE"/>
            </w:tcBorders>
          </w:tcPr>
          <w:p>
            <w:pPr>
              <w:spacing w:after="0"/>
              <w:rPr>
                <w:sz w:val="13"/>
                <w:szCs w:val="13"/>
                <w:color w:val="auto"/>
              </w:rPr>
            </w:pPr>
          </w:p>
        </w:tc>
        <w:tc>
          <w:tcPr>
            <w:tcW w:w="120" w:type="dxa"/>
            <w:vAlign w:val="bottom"/>
            <w:tcBorders>
              <w:top w:val="single" w:sz="8" w:color="0000EE"/>
            </w:tcBorders>
          </w:tcPr>
          <w:p>
            <w:pPr>
              <w:spacing w:after="0"/>
              <w:rPr>
                <w:sz w:val="13"/>
                <w:szCs w:val="13"/>
                <w:color w:val="auto"/>
              </w:rPr>
            </w:pPr>
          </w:p>
        </w:tc>
        <w:tc>
          <w:tcPr>
            <w:tcW w:w="140" w:type="dxa"/>
            <w:vAlign w:val="bottom"/>
            <w:tcBorders>
              <w:top w:val="single" w:sz="8" w:color="0000EE"/>
            </w:tcBorders>
          </w:tcPr>
          <w:p>
            <w:pPr>
              <w:spacing w:after="0"/>
              <w:rPr>
                <w:sz w:val="13"/>
                <w:szCs w:val="13"/>
                <w:color w:val="auto"/>
              </w:rPr>
            </w:pPr>
          </w:p>
        </w:tc>
        <w:tc>
          <w:tcPr>
            <w:tcW w:w="160" w:type="dxa"/>
            <w:vAlign w:val="bottom"/>
            <w:tcBorders>
              <w:top w:val="single" w:sz="8" w:color="CCEEFF"/>
            </w:tcBorders>
          </w:tcPr>
          <w:p>
            <w:pPr>
              <w:spacing w:after="0"/>
              <w:rPr>
                <w:sz w:val="13"/>
                <w:szCs w:val="13"/>
                <w:color w:val="auto"/>
              </w:rPr>
            </w:pPr>
          </w:p>
        </w:tc>
        <w:tc>
          <w:tcPr>
            <w:tcW w:w="60" w:type="dxa"/>
            <w:vAlign w:val="bottom"/>
            <w:tcBorders>
              <w:top w:val="single" w:sz="8" w:color="CCEEFF"/>
            </w:tcBorders>
          </w:tcPr>
          <w:p>
            <w:pPr>
              <w:spacing w:after="0"/>
              <w:rPr>
                <w:sz w:val="13"/>
                <w:szCs w:val="13"/>
                <w:color w:val="auto"/>
              </w:rPr>
            </w:pPr>
          </w:p>
        </w:tc>
        <w:tc>
          <w:tcPr>
            <w:tcW w:w="10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20" w:type="dxa"/>
            <w:vAlign w:val="bottom"/>
            <w:tcBorders>
              <w:top w:val="single" w:sz="8" w:color="CCEEFF"/>
            </w:tcBorders>
          </w:tcPr>
          <w:p>
            <w:pPr>
              <w:spacing w:after="0"/>
              <w:rPr>
                <w:sz w:val="13"/>
                <w:szCs w:val="13"/>
                <w:color w:val="auto"/>
              </w:rPr>
            </w:pPr>
          </w:p>
        </w:tc>
        <w:tc>
          <w:tcPr>
            <w:tcW w:w="4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32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42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300" w:type="dxa"/>
            <w:vAlign w:val="bottom"/>
            <w:tcBorders>
              <w:top w:val="single" w:sz="8" w:color="CCEEFF"/>
            </w:tcBorders>
          </w:tcPr>
          <w:p>
            <w:pPr>
              <w:spacing w:after="0"/>
              <w:rPr>
                <w:sz w:val="13"/>
                <w:szCs w:val="13"/>
                <w:color w:val="auto"/>
              </w:rPr>
            </w:pPr>
          </w:p>
        </w:tc>
        <w:tc>
          <w:tcPr>
            <w:tcW w:w="160" w:type="dxa"/>
            <w:vAlign w:val="bottom"/>
            <w:tcBorders>
              <w:top w:val="single" w:sz="8" w:color="CCEEFF"/>
            </w:tcBorders>
          </w:tcPr>
          <w:p>
            <w:pPr>
              <w:spacing w:after="0"/>
              <w:rPr>
                <w:sz w:val="13"/>
                <w:szCs w:val="13"/>
                <w:color w:val="auto"/>
              </w:rPr>
            </w:pPr>
          </w:p>
        </w:tc>
        <w:tc>
          <w:tcPr>
            <w:tcW w:w="6720" w:type="dxa"/>
            <w:vAlign w:val="bottom"/>
            <w:tcBorders>
              <w:top w:val="single" w:sz="8" w:color="CCEEFF"/>
            </w:tcBorders>
          </w:tcPr>
          <w:p>
            <w:pPr>
              <w:spacing w:after="0"/>
              <w:rPr>
                <w:sz w:val="13"/>
                <w:szCs w:val="13"/>
                <w:color w:val="auto"/>
              </w:rPr>
            </w:pPr>
          </w:p>
        </w:tc>
        <w:tc>
          <w:tcPr>
            <w:tcW w:w="500" w:type="dxa"/>
            <w:vAlign w:val="bottom"/>
            <w:tcBorders>
              <w:top w:val="single" w:sz="8" w:color="CCEEFF"/>
            </w:tcBorders>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25"/>
        </w:trPr>
        <w:tc>
          <w:tcPr>
            <w:tcW w:w="20" w:type="dxa"/>
            <w:vAlign w:val="bottom"/>
            <w:vMerge w:val="continue"/>
          </w:tcPr>
          <w:p>
            <w:pPr>
              <w:spacing w:after="0"/>
              <w:rPr>
                <w:sz w:val="10"/>
                <w:szCs w:val="10"/>
                <w:color w:val="auto"/>
              </w:rPr>
            </w:pPr>
          </w:p>
        </w:tc>
        <w:tc>
          <w:tcPr>
            <w:tcW w:w="560" w:type="dxa"/>
            <w:vAlign w:val="bottom"/>
            <w:gridSpan w:val="4"/>
            <w:shd w:val="clear" w:color="auto" w:fill="CCEEFF"/>
          </w:tcPr>
          <w:p>
            <w:pPr>
              <w:spacing w:after="0" w:line="125" w:lineRule="exact"/>
              <w:rPr>
                <w:rFonts w:ascii="Arial" w:cs="Arial" w:eastAsia="Arial" w:hAnsi="Arial"/>
                <w:sz w:val="13"/>
                <w:szCs w:val="13"/>
                <w:b w:val="1"/>
                <w:bCs w:val="1"/>
                <w:color w:val="0000EE"/>
              </w:rPr>
            </w:pPr>
            <w:hyperlink w:anchor="page103">
              <w:r>
                <w:rPr>
                  <w:rFonts w:ascii="Arial" w:cs="Arial" w:eastAsia="Arial" w:hAnsi="Arial"/>
                  <w:sz w:val="13"/>
                  <w:szCs w:val="13"/>
                  <w:b w:val="1"/>
                  <w:bCs w:val="1"/>
                  <w:color w:val="0000EE"/>
                </w:rPr>
                <w:t>Item 9.</w:t>
              </w:r>
            </w:hyperlink>
          </w:p>
        </w:tc>
        <w:tc>
          <w:tcPr>
            <w:tcW w:w="420" w:type="dxa"/>
            <w:vAlign w:val="bottom"/>
            <w:shd w:val="clear" w:color="auto" w:fill="CCEEFF"/>
          </w:tcPr>
          <w:p>
            <w:pPr>
              <w:spacing w:after="0"/>
              <w:rPr>
                <w:sz w:val="10"/>
                <w:szCs w:val="10"/>
                <w:color w:val="auto"/>
              </w:rPr>
            </w:pPr>
          </w:p>
        </w:tc>
        <w:tc>
          <w:tcPr>
            <w:tcW w:w="220" w:type="dxa"/>
            <w:vAlign w:val="bottom"/>
            <w:tcBorders>
              <w:right w:val="single" w:sz="8" w:color="CCEEFF"/>
            </w:tcBorders>
            <w:shd w:val="clear" w:color="auto" w:fill="CCEEFF"/>
          </w:tcPr>
          <w:p>
            <w:pPr>
              <w:spacing w:after="0"/>
              <w:rPr>
                <w:sz w:val="10"/>
                <w:szCs w:val="10"/>
                <w:color w:val="auto"/>
              </w:rPr>
            </w:pPr>
          </w:p>
        </w:tc>
        <w:tc>
          <w:tcPr>
            <w:tcW w:w="9680" w:type="dxa"/>
            <w:vAlign w:val="bottom"/>
            <w:gridSpan w:val="20"/>
            <w:shd w:val="clear" w:color="auto" w:fill="CCEEFF"/>
          </w:tcPr>
          <w:p>
            <w:pPr>
              <w:spacing w:after="0" w:line="125" w:lineRule="exact"/>
              <w:rPr>
                <w:rFonts w:ascii="Arial" w:cs="Arial" w:eastAsia="Arial" w:hAnsi="Arial"/>
                <w:sz w:val="13"/>
                <w:szCs w:val="13"/>
                <w:b w:val="1"/>
                <w:bCs w:val="1"/>
                <w:color w:val="0000EE"/>
              </w:rPr>
            </w:pPr>
            <w:hyperlink w:anchor="page103">
              <w:r>
                <w:rPr>
                  <w:rFonts w:ascii="Arial" w:cs="Arial" w:eastAsia="Arial" w:hAnsi="Arial"/>
                  <w:sz w:val="13"/>
                  <w:szCs w:val="13"/>
                  <w:b w:val="1"/>
                  <w:bCs w:val="1"/>
                  <w:color w:val="0000EE"/>
                </w:rPr>
                <w:t>The Offer and Listing</w:t>
              </w:r>
            </w:hyperlink>
          </w:p>
        </w:tc>
        <w:tc>
          <w:tcPr>
            <w:tcW w:w="580" w:type="dxa"/>
            <w:vAlign w:val="bottom"/>
            <w:gridSpan w:val="2"/>
            <w:shd w:val="clear" w:color="auto" w:fill="CCEEFF"/>
          </w:tcPr>
          <w:p>
            <w:pPr>
              <w:jc w:val="right"/>
              <w:spacing w:after="0" w:line="125" w:lineRule="exact"/>
              <w:rPr>
                <w:rFonts w:ascii="Arial" w:cs="Arial" w:eastAsia="Arial" w:hAnsi="Arial"/>
                <w:sz w:val="13"/>
                <w:szCs w:val="13"/>
                <w:b w:val="1"/>
                <w:bCs w:val="1"/>
                <w:color w:val="0000EE"/>
              </w:rPr>
            </w:pPr>
            <w:hyperlink w:anchor="page103">
              <w:r>
                <w:rPr>
                  <w:rFonts w:ascii="Arial" w:cs="Arial" w:eastAsia="Arial" w:hAnsi="Arial"/>
                  <w:sz w:val="13"/>
                  <w:szCs w:val="13"/>
                  <w:b w:val="1"/>
                  <w:bCs w:val="1"/>
                  <w:color w:val="0000EE"/>
                </w:rPr>
                <w:t>101</w:t>
              </w:r>
            </w:hyperlink>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80" w:type="dxa"/>
            <w:vAlign w:val="bottom"/>
            <w:tcBorders>
              <w:left w:val="single" w:sz="8" w:color="0000EE"/>
            </w:tcBorders>
            <w:shd w:val="clear" w:color="auto" w:fill="0000EE"/>
          </w:tcPr>
          <w:p>
            <w:pPr>
              <w:spacing w:after="0"/>
              <w:rPr>
                <w:sz w:val="2"/>
                <w:szCs w:val="2"/>
                <w:color w:val="auto"/>
              </w:rPr>
            </w:pPr>
          </w:p>
        </w:tc>
        <w:tc>
          <w:tcPr>
            <w:tcW w:w="100" w:type="dxa"/>
            <w:vAlign w:val="bottom"/>
            <w:tcBorders>
              <w:left w:val="single" w:sz="8" w:color="CCEEFF"/>
            </w:tcBorders>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420" w:type="dxa"/>
            <w:vAlign w:val="bottom"/>
            <w:shd w:val="clear" w:color="auto" w:fill="CCEEFF"/>
          </w:tcPr>
          <w:p>
            <w:pPr>
              <w:spacing w:after="0"/>
              <w:rPr>
                <w:sz w:val="2"/>
                <w:szCs w:val="2"/>
                <w:color w:val="auto"/>
              </w:rPr>
            </w:pPr>
          </w:p>
        </w:tc>
        <w:tc>
          <w:tcPr>
            <w:tcW w:w="220" w:type="dxa"/>
            <w:vAlign w:val="bottom"/>
            <w:tcBorders>
              <w:right w:val="single" w:sz="8" w:color="0000EE"/>
            </w:tcBorders>
            <w:shd w:val="clear" w:color="auto" w:fill="CCEEFF"/>
          </w:tcPr>
          <w:p>
            <w:pPr>
              <w:spacing w:after="0"/>
              <w:rPr>
                <w:sz w:val="2"/>
                <w:szCs w:val="2"/>
                <w:color w:val="auto"/>
              </w:rPr>
            </w:pPr>
          </w:p>
        </w:tc>
        <w:tc>
          <w:tcPr>
            <w:tcW w:w="160" w:type="dxa"/>
            <w:vAlign w:val="bottom"/>
            <w:tcBorders>
              <w:right w:val="single" w:sz="8" w:color="0000EE"/>
            </w:tcBorders>
            <w:shd w:val="clear" w:color="auto" w:fill="0000EE"/>
          </w:tcPr>
          <w:p>
            <w:pPr>
              <w:spacing w:after="0"/>
              <w:rPr>
                <w:sz w:val="2"/>
                <w:szCs w:val="2"/>
                <w:color w:val="auto"/>
              </w:rPr>
            </w:pPr>
          </w:p>
        </w:tc>
        <w:tc>
          <w:tcPr>
            <w:tcW w:w="120" w:type="dxa"/>
            <w:vAlign w:val="bottom"/>
            <w:tcBorders>
              <w:right w:val="single" w:sz="8" w:color="0000EE"/>
            </w:tcBorders>
            <w:shd w:val="clear" w:color="auto" w:fill="0000EE"/>
          </w:tcPr>
          <w:p>
            <w:pPr>
              <w:spacing w:after="0"/>
              <w:rPr>
                <w:sz w:val="2"/>
                <w:szCs w:val="2"/>
                <w:color w:val="auto"/>
              </w:rPr>
            </w:pPr>
          </w:p>
        </w:tc>
        <w:tc>
          <w:tcPr>
            <w:tcW w:w="140" w:type="dxa"/>
            <w:vAlign w:val="bottom"/>
            <w:tcBorders>
              <w:left w:val="single" w:sz="8" w:color="0000EE"/>
              <w:right w:val="single" w:sz="8" w:color="0000EE"/>
            </w:tcBorders>
            <w:shd w:val="clear" w:color="auto" w:fill="0000EE"/>
          </w:tcPr>
          <w:p>
            <w:pPr>
              <w:spacing w:after="0"/>
              <w:rPr>
                <w:sz w:val="2"/>
                <w:szCs w:val="2"/>
                <w:color w:val="auto"/>
              </w:rPr>
            </w:pPr>
          </w:p>
        </w:tc>
        <w:tc>
          <w:tcPr>
            <w:tcW w:w="160" w:type="dxa"/>
            <w:vAlign w:val="bottom"/>
            <w:shd w:val="clear" w:color="auto" w:fill="0000EE"/>
          </w:tcPr>
          <w:p>
            <w:pPr>
              <w:spacing w:after="0"/>
              <w:rPr>
                <w:sz w:val="2"/>
                <w:szCs w:val="2"/>
                <w:color w:val="auto"/>
              </w:rPr>
            </w:pPr>
          </w:p>
        </w:tc>
        <w:tc>
          <w:tcPr>
            <w:tcW w:w="60" w:type="dxa"/>
            <w:vAlign w:val="bottom"/>
            <w:tcBorders>
              <w:right w:val="single" w:sz="8" w:color="0000EE"/>
            </w:tcBorders>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180" w:type="dxa"/>
            <w:vAlign w:val="bottom"/>
            <w:tcBorders>
              <w:right w:val="single" w:sz="8" w:color="0000EE"/>
            </w:tcBorders>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0" w:type="dxa"/>
            <w:vAlign w:val="bottom"/>
            <w:shd w:val="clear" w:color="auto" w:fill="0000EE"/>
          </w:tcPr>
          <w:p>
            <w:pPr>
              <w:spacing w:after="0"/>
              <w:rPr>
                <w:sz w:val="2"/>
                <w:szCs w:val="2"/>
                <w:color w:val="auto"/>
              </w:rPr>
            </w:pPr>
          </w:p>
        </w:tc>
        <w:tc>
          <w:tcPr>
            <w:tcW w:w="40" w:type="dxa"/>
            <w:vAlign w:val="bottom"/>
            <w:tcBorders>
              <w:right w:val="single" w:sz="8" w:color="0000EE"/>
            </w:tcBorders>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32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420" w:type="dxa"/>
            <w:vAlign w:val="bottom"/>
            <w:tcBorders>
              <w:right w:val="single" w:sz="8" w:color="CCEEFF"/>
            </w:tcBorders>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180" w:type="dxa"/>
            <w:vAlign w:val="bottom"/>
            <w:tcBorders>
              <w:left w:val="single" w:sz="8" w:color="CCEEFF"/>
            </w:tcBorders>
            <w:shd w:val="clear" w:color="auto" w:fill="CCEEFF"/>
          </w:tcPr>
          <w:p>
            <w:pPr>
              <w:spacing w:after="0"/>
              <w:rPr>
                <w:sz w:val="2"/>
                <w:szCs w:val="2"/>
                <w:color w:val="auto"/>
              </w:rPr>
            </w:pPr>
          </w:p>
        </w:tc>
        <w:tc>
          <w:tcPr>
            <w:tcW w:w="300" w:type="dxa"/>
            <w:vAlign w:val="bottom"/>
            <w:shd w:val="clear" w:color="auto" w:fill="CCEEFF"/>
          </w:tcPr>
          <w:p>
            <w:pPr>
              <w:spacing w:after="0"/>
              <w:rPr>
                <w:sz w:val="2"/>
                <w:szCs w:val="2"/>
                <w:color w:val="auto"/>
              </w:rPr>
            </w:pPr>
          </w:p>
        </w:tc>
        <w:tc>
          <w:tcPr>
            <w:tcW w:w="160" w:type="dxa"/>
            <w:vAlign w:val="bottom"/>
            <w:shd w:val="clear" w:color="auto" w:fill="CCEEFF"/>
          </w:tcPr>
          <w:p>
            <w:pPr>
              <w:spacing w:after="0"/>
              <w:rPr>
                <w:sz w:val="2"/>
                <w:szCs w:val="2"/>
                <w:color w:val="auto"/>
              </w:rPr>
            </w:pPr>
          </w:p>
        </w:tc>
        <w:tc>
          <w:tcPr>
            <w:tcW w:w="6720" w:type="dxa"/>
            <w:vAlign w:val="bottom"/>
            <w:shd w:val="clear" w:color="auto" w:fill="CCEEFF"/>
          </w:tcPr>
          <w:p>
            <w:pPr>
              <w:spacing w:after="0"/>
              <w:rPr>
                <w:sz w:val="2"/>
                <w:szCs w:val="2"/>
                <w:color w:val="auto"/>
              </w:rPr>
            </w:pPr>
          </w:p>
        </w:tc>
        <w:tc>
          <w:tcPr>
            <w:tcW w:w="500" w:type="dxa"/>
            <w:vAlign w:val="bottom"/>
            <w:tcBorders>
              <w:right w:val="single" w:sz="8" w:color="0000EE"/>
            </w:tcBorders>
            <w:shd w:val="clear" w:color="auto" w:fill="CCEEFF"/>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25"/>
        </w:trPr>
        <w:tc>
          <w:tcPr>
            <w:tcW w:w="20" w:type="dxa"/>
            <w:vAlign w:val="bottom"/>
            <w:vMerge w:val="continue"/>
          </w:tcPr>
          <w:p>
            <w:pPr>
              <w:spacing w:after="0"/>
              <w:rPr>
                <w:sz w:val="10"/>
                <w:szCs w:val="10"/>
                <w:color w:val="auto"/>
              </w:rPr>
            </w:pPr>
          </w:p>
        </w:tc>
        <w:tc>
          <w:tcPr>
            <w:tcW w:w="360" w:type="dxa"/>
            <w:vAlign w:val="bottom"/>
            <w:gridSpan w:val="2"/>
          </w:tcPr>
          <w:p>
            <w:pPr>
              <w:spacing w:after="0" w:line="125" w:lineRule="exact"/>
              <w:rPr>
                <w:rFonts w:ascii="Arial" w:cs="Arial" w:eastAsia="Arial" w:hAnsi="Arial"/>
                <w:sz w:val="13"/>
                <w:szCs w:val="13"/>
                <w:color w:val="0000EE"/>
              </w:rPr>
            </w:pPr>
            <w:hyperlink w:anchor="page103">
              <w:r>
                <w:rPr>
                  <w:rFonts w:ascii="Arial" w:cs="Arial" w:eastAsia="Arial" w:hAnsi="Arial"/>
                  <w:sz w:val="13"/>
                  <w:szCs w:val="13"/>
                  <w:color w:val="0000EE"/>
                </w:rPr>
                <w:t>A.</w:t>
              </w:r>
            </w:hyperlink>
          </w:p>
        </w:tc>
        <w:tc>
          <w:tcPr>
            <w:tcW w:w="200" w:type="dxa"/>
            <w:vAlign w:val="bottom"/>
            <w:gridSpan w:val="2"/>
          </w:tcPr>
          <w:p>
            <w:pPr>
              <w:spacing w:after="0"/>
              <w:rPr>
                <w:sz w:val="10"/>
                <w:szCs w:val="10"/>
                <w:color w:val="auto"/>
              </w:rPr>
            </w:pPr>
          </w:p>
        </w:tc>
        <w:tc>
          <w:tcPr>
            <w:tcW w:w="10320" w:type="dxa"/>
            <w:vAlign w:val="bottom"/>
            <w:gridSpan w:val="22"/>
          </w:tcPr>
          <w:p>
            <w:pPr>
              <w:spacing w:after="0" w:line="125" w:lineRule="exact"/>
              <w:rPr>
                <w:rFonts w:ascii="Arial" w:cs="Arial" w:eastAsia="Arial" w:hAnsi="Arial"/>
                <w:sz w:val="13"/>
                <w:szCs w:val="13"/>
                <w:color w:val="0000EE"/>
              </w:rPr>
            </w:pPr>
            <w:hyperlink w:anchor="page103">
              <w:r>
                <w:rPr>
                  <w:rFonts w:ascii="Arial" w:cs="Arial" w:eastAsia="Arial" w:hAnsi="Arial"/>
                  <w:sz w:val="13"/>
                  <w:szCs w:val="13"/>
                  <w:color w:val="0000EE"/>
                </w:rPr>
                <w:t>Offer and Listing Details</w:t>
              </w:r>
            </w:hyperlink>
          </w:p>
        </w:tc>
        <w:tc>
          <w:tcPr>
            <w:tcW w:w="580" w:type="dxa"/>
            <w:vAlign w:val="bottom"/>
            <w:gridSpan w:val="2"/>
          </w:tcPr>
          <w:p>
            <w:pPr>
              <w:jc w:val="right"/>
              <w:spacing w:after="0" w:line="125" w:lineRule="exact"/>
              <w:rPr>
                <w:rFonts w:ascii="Arial" w:cs="Arial" w:eastAsia="Arial" w:hAnsi="Arial"/>
                <w:sz w:val="13"/>
                <w:szCs w:val="13"/>
                <w:color w:val="0000EE"/>
              </w:rPr>
            </w:pPr>
            <w:hyperlink w:anchor="page103">
              <w:r>
                <w:rPr>
                  <w:rFonts w:ascii="Arial" w:cs="Arial" w:eastAsia="Arial" w:hAnsi="Arial"/>
                  <w:sz w:val="13"/>
                  <w:szCs w:val="13"/>
                  <w:color w:val="0000EE"/>
                </w:rPr>
                <w:t>101</w:t>
              </w:r>
            </w:hyperlink>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80" w:type="dxa"/>
            <w:vAlign w:val="bottom"/>
            <w:tcBorders>
              <w:left w:val="single" w:sz="8" w:color="0000EE"/>
            </w:tcBorders>
          </w:tcPr>
          <w:p>
            <w:pPr>
              <w:spacing w:after="0"/>
              <w:rPr>
                <w:sz w:val="2"/>
                <w:szCs w:val="2"/>
                <w:color w:val="auto"/>
              </w:rPr>
            </w:pPr>
          </w:p>
        </w:tc>
        <w:tc>
          <w:tcPr>
            <w:tcW w:w="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420" w:type="dxa"/>
            <w:vAlign w:val="bottom"/>
            <w:shd w:val="clear" w:color="auto" w:fill="0000EE"/>
          </w:tcPr>
          <w:p>
            <w:pPr>
              <w:spacing w:after="0"/>
              <w:rPr>
                <w:sz w:val="2"/>
                <w:szCs w:val="2"/>
                <w:color w:val="auto"/>
              </w:rPr>
            </w:pPr>
          </w:p>
        </w:tc>
        <w:tc>
          <w:tcPr>
            <w:tcW w:w="220" w:type="dxa"/>
            <w:vAlign w:val="bottom"/>
            <w:tcBorders>
              <w:right w:val="single" w:sz="8" w:color="0000EE"/>
            </w:tcBorders>
            <w:shd w:val="clear" w:color="auto" w:fill="0000EE"/>
          </w:tcPr>
          <w:p>
            <w:pPr>
              <w:spacing w:after="0"/>
              <w:rPr>
                <w:sz w:val="2"/>
                <w:szCs w:val="2"/>
                <w:color w:val="auto"/>
              </w:rPr>
            </w:pPr>
          </w:p>
        </w:tc>
        <w:tc>
          <w:tcPr>
            <w:tcW w:w="160" w:type="dxa"/>
            <w:vAlign w:val="bottom"/>
            <w:tcBorders>
              <w:right w:val="single" w:sz="8" w:color="0000EE"/>
            </w:tcBorders>
            <w:shd w:val="clear" w:color="auto" w:fill="0000EE"/>
          </w:tcPr>
          <w:p>
            <w:pPr>
              <w:spacing w:after="0"/>
              <w:rPr>
                <w:sz w:val="2"/>
                <w:szCs w:val="2"/>
                <w:color w:val="auto"/>
              </w:rPr>
            </w:pPr>
          </w:p>
        </w:tc>
        <w:tc>
          <w:tcPr>
            <w:tcW w:w="120" w:type="dxa"/>
            <w:vAlign w:val="bottom"/>
            <w:tcBorders>
              <w:right w:val="single" w:sz="8" w:color="0000EE"/>
            </w:tcBorders>
            <w:shd w:val="clear" w:color="auto" w:fill="0000EE"/>
          </w:tcPr>
          <w:p>
            <w:pPr>
              <w:spacing w:after="0"/>
              <w:rPr>
                <w:sz w:val="2"/>
                <w:szCs w:val="2"/>
                <w:color w:val="auto"/>
              </w:rPr>
            </w:pPr>
          </w:p>
        </w:tc>
        <w:tc>
          <w:tcPr>
            <w:tcW w:w="140" w:type="dxa"/>
            <w:vAlign w:val="bottom"/>
            <w:tcBorders>
              <w:left w:val="single" w:sz="8" w:color="0000EE"/>
              <w:right w:val="single" w:sz="8" w:color="0000EE"/>
            </w:tcBorders>
            <w:shd w:val="clear" w:color="auto" w:fill="0000EE"/>
          </w:tcPr>
          <w:p>
            <w:pPr>
              <w:spacing w:after="0"/>
              <w:rPr>
                <w:sz w:val="2"/>
                <w:szCs w:val="2"/>
                <w:color w:val="auto"/>
              </w:rPr>
            </w:pPr>
          </w:p>
        </w:tc>
        <w:tc>
          <w:tcPr>
            <w:tcW w:w="160" w:type="dxa"/>
            <w:vAlign w:val="bottom"/>
            <w:shd w:val="clear" w:color="auto" w:fill="0000EE"/>
          </w:tcPr>
          <w:p>
            <w:pPr>
              <w:spacing w:after="0"/>
              <w:rPr>
                <w:sz w:val="2"/>
                <w:szCs w:val="2"/>
                <w:color w:val="auto"/>
              </w:rPr>
            </w:pPr>
          </w:p>
        </w:tc>
        <w:tc>
          <w:tcPr>
            <w:tcW w:w="60" w:type="dxa"/>
            <w:vAlign w:val="bottom"/>
            <w:tcBorders>
              <w:right w:val="single" w:sz="8" w:color="0000EE"/>
            </w:tcBorders>
            <w:shd w:val="clear" w:color="auto" w:fill="0000EE"/>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Pr>
          <w:p>
            <w:pPr>
              <w:spacing w:after="0"/>
              <w:rPr>
                <w:sz w:val="2"/>
                <w:szCs w:val="2"/>
                <w:color w:val="auto"/>
              </w:rPr>
            </w:pPr>
          </w:p>
        </w:tc>
        <w:tc>
          <w:tcPr>
            <w:tcW w:w="80" w:type="dxa"/>
            <w:vAlign w:val="bottom"/>
          </w:tcPr>
          <w:p>
            <w:pPr>
              <w:spacing w:after="0"/>
              <w:rPr>
                <w:sz w:val="2"/>
                <w:szCs w:val="2"/>
                <w:color w:val="auto"/>
              </w:rPr>
            </w:pPr>
          </w:p>
        </w:tc>
        <w:tc>
          <w:tcPr>
            <w:tcW w:w="20" w:type="dxa"/>
            <w:vAlign w:val="bottom"/>
          </w:tcPr>
          <w:p>
            <w:pPr>
              <w:spacing w:after="0"/>
              <w:rPr>
                <w:sz w:val="2"/>
                <w:szCs w:val="2"/>
                <w:color w:val="auto"/>
              </w:rPr>
            </w:pPr>
          </w:p>
        </w:tc>
        <w:tc>
          <w:tcPr>
            <w:tcW w:w="40" w:type="dxa"/>
            <w:vAlign w:val="bottom"/>
          </w:tcPr>
          <w:p>
            <w:pPr>
              <w:spacing w:after="0"/>
              <w:rPr>
                <w:sz w:val="2"/>
                <w:szCs w:val="2"/>
                <w:color w:val="auto"/>
              </w:rPr>
            </w:pPr>
          </w:p>
        </w:tc>
        <w:tc>
          <w:tcPr>
            <w:tcW w:w="80" w:type="dxa"/>
            <w:vAlign w:val="bottom"/>
          </w:tcPr>
          <w:p>
            <w:pPr>
              <w:spacing w:after="0"/>
              <w:rPr>
                <w:sz w:val="2"/>
                <w:szCs w:val="2"/>
                <w:color w:val="auto"/>
              </w:rPr>
            </w:pPr>
          </w:p>
        </w:tc>
        <w:tc>
          <w:tcPr>
            <w:tcW w:w="32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420" w:type="dxa"/>
            <w:vAlign w:val="bottom"/>
          </w:tcPr>
          <w:p>
            <w:pPr>
              <w:spacing w:after="0"/>
              <w:rPr>
                <w:sz w:val="2"/>
                <w:szCs w:val="2"/>
                <w:color w:val="auto"/>
              </w:rPr>
            </w:pPr>
          </w:p>
        </w:tc>
        <w:tc>
          <w:tcPr>
            <w:tcW w:w="180" w:type="dxa"/>
            <w:vAlign w:val="bottom"/>
          </w:tcPr>
          <w:p>
            <w:pPr>
              <w:spacing w:after="0"/>
              <w:rPr>
                <w:sz w:val="2"/>
                <w:szCs w:val="2"/>
                <w:color w:val="auto"/>
              </w:rPr>
            </w:pPr>
          </w:p>
        </w:tc>
        <w:tc>
          <w:tcPr>
            <w:tcW w:w="180" w:type="dxa"/>
            <w:vAlign w:val="bottom"/>
          </w:tcPr>
          <w:p>
            <w:pPr>
              <w:spacing w:after="0"/>
              <w:rPr>
                <w:sz w:val="2"/>
                <w:szCs w:val="2"/>
                <w:color w:val="auto"/>
              </w:rPr>
            </w:pPr>
          </w:p>
        </w:tc>
        <w:tc>
          <w:tcPr>
            <w:tcW w:w="300" w:type="dxa"/>
            <w:vAlign w:val="bottom"/>
          </w:tcPr>
          <w:p>
            <w:pPr>
              <w:spacing w:after="0"/>
              <w:rPr>
                <w:sz w:val="2"/>
                <w:szCs w:val="2"/>
                <w:color w:val="auto"/>
              </w:rPr>
            </w:pPr>
          </w:p>
        </w:tc>
        <w:tc>
          <w:tcPr>
            <w:tcW w:w="160" w:type="dxa"/>
            <w:vAlign w:val="bottom"/>
          </w:tcPr>
          <w:p>
            <w:pPr>
              <w:spacing w:after="0"/>
              <w:rPr>
                <w:sz w:val="2"/>
                <w:szCs w:val="2"/>
                <w:color w:val="auto"/>
              </w:rPr>
            </w:pPr>
          </w:p>
        </w:tc>
        <w:tc>
          <w:tcPr>
            <w:tcW w:w="6720" w:type="dxa"/>
            <w:vAlign w:val="bottom"/>
          </w:tcPr>
          <w:p>
            <w:pPr>
              <w:spacing w:after="0"/>
              <w:rPr>
                <w:sz w:val="2"/>
                <w:szCs w:val="2"/>
                <w:color w:val="auto"/>
              </w:rPr>
            </w:pPr>
          </w:p>
        </w:tc>
        <w:tc>
          <w:tcPr>
            <w:tcW w:w="500" w:type="dxa"/>
            <w:vAlign w:val="bottom"/>
            <w:tcBorders>
              <w:right w:val="single" w:sz="8" w:color="0000EE"/>
            </w:tcBorders>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25"/>
        </w:trPr>
        <w:tc>
          <w:tcPr>
            <w:tcW w:w="20" w:type="dxa"/>
            <w:vAlign w:val="bottom"/>
            <w:vMerge w:val="continue"/>
          </w:tcPr>
          <w:p>
            <w:pPr>
              <w:spacing w:after="0"/>
              <w:rPr>
                <w:sz w:val="10"/>
                <w:szCs w:val="10"/>
                <w:color w:val="auto"/>
              </w:rPr>
            </w:pPr>
          </w:p>
        </w:tc>
        <w:tc>
          <w:tcPr>
            <w:tcW w:w="80" w:type="dxa"/>
            <w:vAlign w:val="bottom"/>
            <w:shd w:val="clear" w:color="auto" w:fill="CCEEFF"/>
          </w:tcPr>
          <w:p>
            <w:pPr>
              <w:spacing w:after="0"/>
              <w:rPr>
                <w:rFonts w:ascii="Arial" w:cs="Arial" w:eastAsia="Arial" w:hAnsi="Arial"/>
                <w:sz w:val="5"/>
                <w:szCs w:val="5"/>
                <w:color w:val="0000EE"/>
                <w:w w:val="83"/>
              </w:rPr>
            </w:pPr>
            <w:hyperlink w:anchor="page103">
              <w:r>
                <w:rPr>
                  <w:rFonts w:ascii="Arial" w:cs="Arial" w:eastAsia="Arial" w:hAnsi="Arial"/>
                  <w:sz w:val="5"/>
                  <w:szCs w:val="5"/>
                  <w:color w:val="0000EE"/>
                  <w:w w:val="83"/>
                </w:rPr>
                <w:t>B.</w:t>
              </w:r>
            </w:hyperlink>
          </w:p>
        </w:tc>
        <w:tc>
          <w:tcPr>
            <w:tcW w:w="480" w:type="dxa"/>
            <w:vAlign w:val="bottom"/>
            <w:tcBorders>
              <w:left w:val="single" w:sz="8" w:color="CCEEFF"/>
            </w:tcBorders>
            <w:gridSpan w:val="3"/>
            <w:shd w:val="clear" w:color="auto" w:fill="CCEEFF"/>
          </w:tcPr>
          <w:p>
            <w:pPr>
              <w:spacing w:after="0"/>
              <w:rPr>
                <w:sz w:val="10"/>
                <w:szCs w:val="10"/>
                <w:color w:val="auto"/>
              </w:rPr>
            </w:pPr>
          </w:p>
        </w:tc>
        <w:tc>
          <w:tcPr>
            <w:tcW w:w="1060" w:type="dxa"/>
            <w:vAlign w:val="bottom"/>
            <w:tcBorders>
              <w:right w:val="single" w:sz="8" w:color="CCEEFF"/>
            </w:tcBorders>
            <w:gridSpan w:val="5"/>
            <w:shd w:val="clear" w:color="auto" w:fill="CCEEFF"/>
          </w:tcPr>
          <w:p>
            <w:pPr>
              <w:spacing w:after="0" w:line="125" w:lineRule="exact"/>
              <w:rPr>
                <w:rFonts w:ascii="Arial" w:cs="Arial" w:eastAsia="Arial" w:hAnsi="Arial"/>
                <w:sz w:val="13"/>
                <w:szCs w:val="13"/>
                <w:color w:val="0000EE"/>
                <w:w w:val="93"/>
              </w:rPr>
            </w:pPr>
            <w:hyperlink w:anchor="page103">
              <w:r>
                <w:rPr>
                  <w:rFonts w:ascii="Arial" w:cs="Arial" w:eastAsia="Arial" w:hAnsi="Arial"/>
                  <w:sz w:val="13"/>
                  <w:szCs w:val="13"/>
                  <w:color w:val="0000EE"/>
                  <w:w w:val="93"/>
                </w:rPr>
                <w:t>Plan of Distribution</w:t>
              </w:r>
            </w:hyperlink>
          </w:p>
        </w:tc>
        <w:tc>
          <w:tcPr>
            <w:tcW w:w="220" w:type="dxa"/>
            <w:vAlign w:val="bottom"/>
            <w:tcBorders>
              <w:right w:val="single" w:sz="8" w:color="CCEEFF"/>
            </w:tcBorders>
            <w:gridSpan w:val="2"/>
            <w:shd w:val="clear" w:color="auto" w:fill="CCEEFF"/>
          </w:tcPr>
          <w:p>
            <w:pPr>
              <w:spacing w:after="0"/>
              <w:rPr>
                <w:sz w:val="10"/>
                <w:szCs w:val="10"/>
                <w:color w:val="auto"/>
              </w:rPr>
            </w:pPr>
          </w:p>
        </w:tc>
        <w:tc>
          <w:tcPr>
            <w:tcW w:w="9040" w:type="dxa"/>
            <w:vAlign w:val="bottom"/>
            <w:gridSpan w:val="15"/>
            <w:shd w:val="clear" w:color="auto" w:fill="CCEEFF"/>
          </w:tcPr>
          <w:p>
            <w:pPr>
              <w:spacing w:after="0"/>
              <w:rPr>
                <w:sz w:val="10"/>
                <w:szCs w:val="10"/>
                <w:color w:val="auto"/>
              </w:rPr>
            </w:pPr>
          </w:p>
        </w:tc>
        <w:tc>
          <w:tcPr>
            <w:tcW w:w="580" w:type="dxa"/>
            <w:vAlign w:val="bottom"/>
            <w:gridSpan w:val="2"/>
            <w:shd w:val="clear" w:color="auto" w:fill="CCEEFF"/>
          </w:tcPr>
          <w:p>
            <w:pPr>
              <w:jc w:val="right"/>
              <w:spacing w:after="0" w:line="125" w:lineRule="exact"/>
              <w:rPr>
                <w:rFonts w:ascii="Arial" w:cs="Arial" w:eastAsia="Arial" w:hAnsi="Arial"/>
                <w:sz w:val="13"/>
                <w:szCs w:val="13"/>
                <w:color w:val="0000EE"/>
              </w:rPr>
            </w:pPr>
            <w:hyperlink w:anchor="page103">
              <w:r>
                <w:rPr>
                  <w:rFonts w:ascii="Arial" w:cs="Arial" w:eastAsia="Arial" w:hAnsi="Arial"/>
                  <w:sz w:val="13"/>
                  <w:szCs w:val="13"/>
                  <w:color w:val="0000EE"/>
                </w:rPr>
                <w:t>101</w:t>
              </w:r>
            </w:hyperlink>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80" w:type="dxa"/>
            <w:vAlign w:val="bottom"/>
            <w:tcBorders>
              <w:left w:val="single" w:sz="8" w:color="0000EE"/>
            </w:tcBorders>
            <w:shd w:val="clear" w:color="auto" w:fill="CCEEFF"/>
          </w:tcPr>
          <w:p>
            <w:pPr>
              <w:spacing w:after="0"/>
              <w:rPr>
                <w:sz w:val="2"/>
                <w:szCs w:val="2"/>
                <w:color w:val="auto"/>
              </w:rPr>
            </w:pPr>
          </w:p>
        </w:tc>
        <w:tc>
          <w:tcPr>
            <w:tcW w:w="100" w:type="dxa"/>
            <w:vAlign w:val="bottom"/>
            <w:tcBorders>
              <w:left w:val="single" w:sz="8" w:color="CCEEFF"/>
            </w:tcBorders>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420" w:type="dxa"/>
            <w:vAlign w:val="bottom"/>
            <w:shd w:val="clear" w:color="auto" w:fill="0000EE"/>
          </w:tcPr>
          <w:p>
            <w:pPr>
              <w:spacing w:after="0"/>
              <w:rPr>
                <w:sz w:val="2"/>
                <w:szCs w:val="2"/>
                <w:color w:val="auto"/>
              </w:rPr>
            </w:pPr>
          </w:p>
        </w:tc>
        <w:tc>
          <w:tcPr>
            <w:tcW w:w="220" w:type="dxa"/>
            <w:vAlign w:val="bottom"/>
            <w:tcBorders>
              <w:right w:val="single" w:sz="8" w:color="0000EE"/>
            </w:tcBorders>
            <w:shd w:val="clear" w:color="auto" w:fill="0000EE"/>
          </w:tcPr>
          <w:p>
            <w:pPr>
              <w:spacing w:after="0"/>
              <w:rPr>
                <w:sz w:val="2"/>
                <w:szCs w:val="2"/>
                <w:color w:val="auto"/>
              </w:rPr>
            </w:pPr>
          </w:p>
        </w:tc>
        <w:tc>
          <w:tcPr>
            <w:tcW w:w="160" w:type="dxa"/>
            <w:vAlign w:val="bottom"/>
            <w:tcBorders>
              <w:right w:val="single" w:sz="8" w:color="0000EE"/>
            </w:tcBorders>
            <w:shd w:val="clear" w:color="auto" w:fill="0000EE"/>
          </w:tcPr>
          <w:p>
            <w:pPr>
              <w:spacing w:after="0"/>
              <w:rPr>
                <w:sz w:val="2"/>
                <w:szCs w:val="2"/>
                <w:color w:val="auto"/>
              </w:rPr>
            </w:pPr>
          </w:p>
        </w:tc>
        <w:tc>
          <w:tcPr>
            <w:tcW w:w="120" w:type="dxa"/>
            <w:vAlign w:val="bottom"/>
            <w:tcBorders>
              <w:right w:val="single" w:sz="8" w:color="0000EE"/>
            </w:tcBorders>
            <w:shd w:val="clear" w:color="auto" w:fill="0000EE"/>
          </w:tcPr>
          <w:p>
            <w:pPr>
              <w:spacing w:after="0"/>
              <w:rPr>
                <w:sz w:val="2"/>
                <w:szCs w:val="2"/>
                <w:color w:val="auto"/>
              </w:rPr>
            </w:pPr>
          </w:p>
        </w:tc>
        <w:tc>
          <w:tcPr>
            <w:tcW w:w="140" w:type="dxa"/>
            <w:vAlign w:val="bottom"/>
            <w:tcBorders>
              <w:left w:val="single" w:sz="8" w:color="0000EE"/>
              <w:right w:val="single" w:sz="8" w:color="0000EE"/>
            </w:tcBorders>
            <w:shd w:val="clear" w:color="auto" w:fill="0000EE"/>
          </w:tcPr>
          <w:p>
            <w:pPr>
              <w:spacing w:after="0"/>
              <w:rPr>
                <w:sz w:val="2"/>
                <w:szCs w:val="2"/>
                <w:color w:val="auto"/>
              </w:rPr>
            </w:pPr>
          </w:p>
        </w:tc>
        <w:tc>
          <w:tcPr>
            <w:tcW w:w="160" w:type="dxa"/>
            <w:vAlign w:val="bottom"/>
            <w:shd w:val="clear" w:color="auto" w:fill="CCEEFF"/>
          </w:tcPr>
          <w:p>
            <w:pPr>
              <w:spacing w:after="0"/>
              <w:rPr>
                <w:sz w:val="2"/>
                <w:szCs w:val="2"/>
                <w:color w:val="auto"/>
              </w:rPr>
            </w:pPr>
          </w:p>
        </w:tc>
        <w:tc>
          <w:tcPr>
            <w:tcW w:w="60" w:type="dxa"/>
            <w:vAlign w:val="bottom"/>
            <w:tcBorders>
              <w:right w:val="single" w:sz="8" w:color="CCEEFF"/>
            </w:tcBorders>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180" w:type="dxa"/>
            <w:vAlign w:val="bottom"/>
            <w:tcBorders>
              <w:right w:val="single" w:sz="8" w:color="CCEEFF"/>
            </w:tcBorders>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20" w:type="dxa"/>
            <w:vAlign w:val="bottom"/>
            <w:shd w:val="clear" w:color="auto" w:fill="CCEEFF"/>
          </w:tcPr>
          <w:p>
            <w:pPr>
              <w:spacing w:after="0"/>
              <w:rPr>
                <w:sz w:val="2"/>
                <w:szCs w:val="2"/>
                <w:color w:val="auto"/>
              </w:rPr>
            </w:pPr>
          </w:p>
        </w:tc>
        <w:tc>
          <w:tcPr>
            <w:tcW w:w="40" w:type="dxa"/>
            <w:vAlign w:val="bottom"/>
            <w:tcBorders>
              <w:right w:val="single" w:sz="8" w:color="CCEEFF"/>
            </w:tcBorders>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32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420" w:type="dxa"/>
            <w:vAlign w:val="bottom"/>
            <w:tcBorders>
              <w:right w:val="single" w:sz="8" w:color="CCEEFF"/>
            </w:tcBorders>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180" w:type="dxa"/>
            <w:vAlign w:val="bottom"/>
            <w:tcBorders>
              <w:left w:val="single" w:sz="8" w:color="CCEEFF"/>
            </w:tcBorders>
            <w:shd w:val="clear" w:color="auto" w:fill="CCEEFF"/>
          </w:tcPr>
          <w:p>
            <w:pPr>
              <w:spacing w:after="0"/>
              <w:rPr>
                <w:sz w:val="2"/>
                <w:szCs w:val="2"/>
                <w:color w:val="auto"/>
              </w:rPr>
            </w:pPr>
          </w:p>
        </w:tc>
        <w:tc>
          <w:tcPr>
            <w:tcW w:w="300" w:type="dxa"/>
            <w:vAlign w:val="bottom"/>
            <w:shd w:val="clear" w:color="auto" w:fill="CCEEFF"/>
          </w:tcPr>
          <w:p>
            <w:pPr>
              <w:spacing w:after="0"/>
              <w:rPr>
                <w:sz w:val="2"/>
                <w:szCs w:val="2"/>
                <w:color w:val="auto"/>
              </w:rPr>
            </w:pPr>
          </w:p>
        </w:tc>
        <w:tc>
          <w:tcPr>
            <w:tcW w:w="160" w:type="dxa"/>
            <w:vAlign w:val="bottom"/>
            <w:shd w:val="clear" w:color="auto" w:fill="CCEEFF"/>
          </w:tcPr>
          <w:p>
            <w:pPr>
              <w:spacing w:after="0"/>
              <w:rPr>
                <w:sz w:val="2"/>
                <w:szCs w:val="2"/>
                <w:color w:val="auto"/>
              </w:rPr>
            </w:pPr>
          </w:p>
        </w:tc>
        <w:tc>
          <w:tcPr>
            <w:tcW w:w="6720" w:type="dxa"/>
            <w:vAlign w:val="bottom"/>
            <w:shd w:val="clear" w:color="auto" w:fill="CCEEFF"/>
          </w:tcPr>
          <w:p>
            <w:pPr>
              <w:spacing w:after="0"/>
              <w:rPr>
                <w:sz w:val="2"/>
                <w:szCs w:val="2"/>
                <w:color w:val="auto"/>
              </w:rPr>
            </w:pPr>
          </w:p>
        </w:tc>
        <w:tc>
          <w:tcPr>
            <w:tcW w:w="500" w:type="dxa"/>
            <w:vAlign w:val="bottom"/>
            <w:tcBorders>
              <w:right w:val="single" w:sz="8" w:color="0000EE"/>
            </w:tcBorders>
            <w:shd w:val="clear" w:color="auto" w:fill="CCEEFF"/>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25"/>
        </w:trPr>
        <w:tc>
          <w:tcPr>
            <w:tcW w:w="20" w:type="dxa"/>
            <w:vAlign w:val="bottom"/>
            <w:vMerge w:val="continue"/>
          </w:tcPr>
          <w:p>
            <w:pPr>
              <w:spacing w:after="0"/>
              <w:rPr>
                <w:sz w:val="10"/>
                <w:szCs w:val="10"/>
                <w:color w:val="auto"/>
              </w:rPr>
            </w:pPr>
          </w:p>
        </w:tc>
        <w:tc>
          <w:tcPr>
            <w:tcW w:w="80" w:type="dxa"/>
            <w:vAlign w:val="bottom"/>
          </w:tcPr>
          <w:p>
            <w:pPr>
              <w:spacing w:after="0"/>
              <w:rPr>
                <w:rFonts w:ascii="Arial" w:cs="Arial" w:eastAsia="Arial" w:hAnsi="Arial"/>
                <w:sz w:val="5"/>
                <w:szCs w:val="5"/>
                <w:color w:val="0000EE"/>
                <w:w w:val="78"/>
              </w:rPr>
            </w:pPr>
            <w:hyperlink w:anchor="page103">
              <w:r>
                <w:rPr>
                  <w:rFonts w:ascii="Arial" w:cs="Arial" w:eastAsia="Arial" w:hAnsi="Arial"/>
                  <w:sz w:val="5"/>
                  <w:szCs w:val="5"/>
                  <w:color w:val="0000EE"/>
                  <w:w w:val="78"/>
                </w:rPr>
                <w:t>C.</w:t>
              </w:r>
            </w:hyperlink>
          </w:p>
        </w:tc>
        <w:tc>
          <w:tcPr>
            <w:tcW w:w="480" w:type="dxa"/>
            <w:vAlign w:val="bottom"/>
            <w:gridSpan w:val="3"/>
          </w:tcPr>
          <w:p>
            <w:pPr>
              <w:spacing w:after="0"/>
              <w:rPr>
                <w:sz w:val="10"/>
                <w:szCs w:val="10"/>
                <w:color w:val="auto"/>
              </w:rPr>
            </w:pPr>
          </w:p>
        </w:tc>
        <w:tc>
          <w:tcPr>
            <w:tcW w:w="420" w:type="dxa"/>
            <w:vAlign w:val="bottom"/>
          </w:tcPr>
          <w:p>
            <w:pPr>
              <w:spacing w:after="0" w:line="125" w:lineRule="exact"/>
              <w:rPr>
                <w:rFonts w:ascii="Arial" w:cs="Arial" w:eastAsia="Arial" w:hAnsi="Arial"/>
                <w:sz w:val="13"/>
                <w:szCs w:val="13"/>
                <w:color w:val="0000EE"/>
                <w:w w:val="86"/>
              </w:rPr>
            </w:pPr>
            <w:hyperlink w:anchor="page103">
              <w:r>
                <w:rPr>
                  <w:rFonts w:ascii="Arial" w:cs="Arial" w:eastAsia="Arial" w:hAnsi="Arial"/>
                  <w:sz w:val="13"/>
                  <w:szCs w:val="13"/>
                  <w:color w:val="0000EE"/>
                  <w:w w:val="86"/>
                </w:rPr>
                <w:t>Markets</w:t>
              </w:r>
            </w:hyperlink>
          </w:p>
        </w:tc>
        <w:tc>
          <w:tcPr>
            <w:tcW w:w="640" w:type="dxa"/>
            <w:vAlign w:val="bottom"/>
            <w:gridSpan w:val="4"/>
          </w:tcPr>
          <w:p>
            <w:pPr>
              <w:spacing w:after="0"/>
              <w:rPr>
                <w:sz w:val="10"/>
                <w:szCs w:val="10"/>
                <w:color w:val="auto"/>
              </w:rPr>
            </w:pPr>
          </w:p>
        </w:tc>
        <w:tc>
          <w:tcPr>
            <w:tcW w:w="9260" w:type="dxa"/>
            <w:vAlign w:val="bottom"/>
            <w:gridSpan w:val="17"/>
          </w:tcPr>
          <w:p>
            <w:pPr>
              <w:spacing w:after="0"/>
              <w:rPr>
                <w:sz w:val="10"/>
                <w:szCs w:val="10"/>
                <w:color w:val="auto"/>
              </w:rPr>
            </w:pPr>
          </w:p>
        </w:tc>
        <w:tc>
          <w:tcPr>
            <w:tcW w:w="580" w:type="dxa"/>
            <w:vAlign w:val="bottom"/>
            <w:gridSpan w:val="2"/>
          </w:tcPr>
          <w:p>
            <w:pPr>
              <w:jc w:val="right"/>
              <w:spacing w:after="0" w:line="125" w:lineRule="exact"/>
              <w:rPr>
                <w:rFonts w:ascii="Arial" w:cs="Arial" w:eastAsia="Arial" w:hAnsi="Arial"/>
                <w:sz w:val="13"/>
                <w:szCs w:val="13"/>
                <w:color w:val="0000EE"/>
              </w:rPr>
            </w:pPr>
            <w:hyperlink w:anchor="page103">
              <w:r>
                <w:rPr>
                  <w:rFonts w:ascii="Arial" w:cs="Arial" w:eastAsia="Arial" w:hAnsi="Arial"/>
                  <w:sz w:val="13"/>
                  <w:szCs w:val="13"/>
                  <w:color w:val="0000EE"/>
                </w:rPr>
                <w:t>101</w:t>
              </w:r>
            </w:hyperlink>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80" w:type="dxa"/>
            <w:vAlign w:val="bottom"/>
            <w:tcBorders>
              <w:left w:val="single" w:sz="8" w:color="0000EE"/>
            </w:tcBorders>
          </w:tcPr>
          <w:p>
            <w:pPr>
              <w:spacing w:after="0"/>
              <w:rPr>
                <w:sz w:val="2"/>
                <w:szCs w:val="2"/>
                <w:color w:val="auto"/>
              </w:rPr>
            </w:pPr>
          </w:p>
        </w:tc>
        <w:tc>
          <w:tcPr>
            <w:tcW w:w="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420" w:type="dxa"/>
            <w:vAlign w:val="bottom"/>
            <w:shd w:val="clear" w:color="auto" w:fill="0000EE"/>
          </w:tcPr>
          <w:p>
            <w:pPr>
              <w:spacing w:after="0"/>
              <w:rPr>
                <w:sz w:val="2"/>
                <w:szCs w:val="2"/>
                <w:color w:val="auto"/>
              </w:rPr>
            </w:pPr>
          </w:p>
        </w:tc>
        <w:tc>
          <w:tcPr>
            <w:tcW w:w="220" w:type="dxa"/>
            <w:vAlign w:val="bottom"/>
          </w:tcPr>
          <w:p>
            <w:pPr>
              <w:spacing w:after="0"/>
              <w:rPr>
                <w:sz w:val="2"/>
                <w:szCs w:val="2"/>
                <w:color w:val="auto"/>
              </w:rPr>
            </w:pPr>
          </w:p>
        </w:tc>
        <w:tc>
          <w:tcPr>
            <w:tcW w:w="16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0" w:type="dxa"/>
            <w:vAlign w:val="bottom"/>
          </w:tcPr>
          <w:p>
            <w:pPr>
              <w:spacing w:after="0"/>
              <w:rPr>
                <w:sz w:val="2"/>
                <w:szCs w:val="2"/>
                <w:color w:val="auto"/>
              </w:rPr>
            </w:pPr>
          </w:p>
        </w:tc>
        <w:tc>
          <w:tcPr>
            <w:tcW w:w="160" w:type="dxa"/>
            <w:vAlign w:val="bottom"/>
          </w:tcPr>
          <w:p>
            <w:pPr>
              <w:spacing w:after="0"/>
              <w:rPr>
                <w:sz w:val="2"/>
                <w:szCs w:val="2"/>
                <w:color w:val="auto"/>
              </w:rPr>
            </w:pPr>
          </w:p>
        </w:tc>
        <w:tc>
          <w:tcPr>
            <w:tcW w:w="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Pr>
          <w:p>
            <w:pPr>
              <w:spacing w:after="0"/>
              <w:rPr>
                <w:sz w:val="2"/>
                <w:szCs w:val="2"/>
                <w:color w:val="auto"/>
              </w:rPr>
            </w:pPr>
          </w:p>
        </w:tc>
        <w:tc>
          <w:tcPr>
            <w:tcW w:w="80" w:type="dxa"/>
            <w:vAlign w:val="bottom"/>
          </w:tcPr>
          <w:p>
            <w:pPr>
              <w:spacing w:after="0"/>
              <w:rPr>
                <w:sz w:val="2"/>
                <w:szCs w:val="2"/>
                <w:color w:val="auto"/>
              </w:rPr>
            </w:pPr>
          </w:p>
        </w:tc>
        <w:tc>
          <w:tcPr>
            <w:tcW w:w="20" w:type="dxa"/>
            <w:vAlign w:val="bottom"/>
          </w:tcPr>
          <w:p>
            <w:pPr>
              <w:spacing w:after="0"/>
              <w:rPr>
                <w:sz w:val="2"/>
                <w:szCs w:val="2"/>
                <w:color w:val="auto"/>
              </w:rPr>
            </w:pPr>
          </w:p>
        </w:tc>
        <w:tc>
          <w:tcPr>
            <w:tcW w:w="40" w:type="dxa"/>
            <w:vAlign w:val="bottom"/>
          </w:tcPr>
          <w:p>
            <w:pPr>
              <w:spacing w:after="0"/>
              <w:rPr>
                <w:sz w:val="2"/>
                <w:szCs w:val="2"/>
                <w:color w:val="auto"/>
              </w:rPr>
            </w:pPr>
          </w:p>
        </w:tc>
        <w:tc>
          <w:tcPr>
            <w:tcW w:w="80" w:type="dxa"/>
            <w:vAlign w:val="bottom"/>
          </w:tcPr>
          <w:p>
            <w:pPr>
              <w:spacing w:after="0"/>
              <w:rPr>
                <w:sz w:val="2"/>
                <w:szCs w:val="2"/>
                <w:color w:val="auto"/>
              </w:rPr>
            </w:pPr>
          </w:p>
        </w:tc>
        <w:tc>
          <w:tcPr>
            <w:tcW w:w="320" w:type="dxa"/>
            <w:vAlign w:val="bottom"/>
          </w:tcPr>
          <w:p>
            <w:pPr>
              <w:spacing w:after="0"/>
              <w:rPr>
                <w:sz w:val="2"/>
                <w:szCs w:val="2"/>
                <w:color w:val="auto"/>
              </w:rPr>
            </w:pPr>
          </w:p>
        </w:tc>
        <w:tc>
          <w:tcPr>
            <w:tcW w:w="80" w:type="dxa"/>
            <w:vAlign w:val="bottom"/>
          </w:tcPr>
          <w:p>
            <w:pPr>
              <w:spacing w:after="0"/>
              <w:rPr>
                <w:sz w:val="2"/>
                <w:szCs w:val="2"/>
                <w:color w:val="auto"/>
              </w:rPr>
            </w:pPr>
          </w:p>
        </w:tc>
        <w:tc>
          <w:tcPr>
            <w:tcW w:w="180" w:type="dxa"/>
            <w:vAlign w:val="bottom"/>
          </w:tcPr>
          <w:p>
            <w:pPr>
              <w:spacing w:after="0"/>
              <w:rPr>
                <w:sz w:val="2"/>
                <w:szCs w:val="2"/>
                <w:color w:val="auto"/>
              </w:rPr>
            </w:pPr>
          </w:p>
        </w:tc>
        <w:tc>
          <w:tcPr>
            <w:tcW w:w="420" w:type="dxa"/>
            <w:vAlign w:val="bottom"/>
          </w:tcPr>
          <w:p>
            <w:pPr>
              <w:spacing w:after="0"/>
              <w:rPr>
                <w:sz w:val="2"/>
                <w:szCs w:val="2"/>
                <w:color w:val="auto"/>
              </w:rPr>
            </w:pPr>
          </w:p>
        </w:tc>
        <w:tc>
          <w:tcPr>
            <w:tcW w:w="180" w:type="dxa"/>
            <w:vAlign w:val="bottom"/>
          </w:tcPr>
          <w:p>
            <w:pPr>
              <w:spacing w:after="0"/>
              <w:rPr>
                <w:sz w:val="2"/>
                <w:szCs w:val="2"/>
                <w:color w:val="auto"/>
              </w:rPr>
            </w:pPr>
          </w:p>
        </w:tc>
        <w:tc>
          <w:tcPr>
            <w:tcW w:w="180" w:type="dxa"/>
            <w:vAlign w:val="bottom"/>
          </w:tcPr>
          <w:p>
            <w:pPr>
              <w:spacing w:after="0"/>
              <w:rPr>
                <w:sz w:val="2"/>
                <w:szCs w:val="2"/>
                <w:color w:val="auto"/>
              </w:rPr>
            </w:pPr>
          </w:p>
        </w:tc>
        <w:tc>
          <w:tcPr>
            <w:tcW w:w="300" w:type="dxa"/>
            <w:vAlign w:val="bottom"/>
          </w:tcPr>
          <w:p>
            <w:pPr>
              <w:spacing w:after="0"/>
              <w:rPr>
                <w:sz w:val="2"/>
                <w:szCs w:val="2"/>
                <w:color w:val="auto"/>
              </w:rPr>
            </w:pPr>
          </w:p>
        </w:tc>
        <w:tc>
          <w:tcPr>
            <w:tcW w:w="160" w:type="dxa"/>
            <w:vAlign w:val="bottom"/>
          </w:tcPr>
          <w:p>
            <w:pPr>
              <w:spacing w:after="0"/>
              <w:rPr>
                <w:sz w:val="2"/>
                <w:szCs w:val="2"/>
                <w:color w:val="auto"/>
              </w:rPr>
            </w:pPr>
          </w:p>
        </w:tc>
        <w:tc>
          <w:tcPr>
            <w:tcW w:w="6720" w:type="dxa"/>
            <w:vAlign w:val="bottom"/>
          </w:tcPr>
          <w:p>
            <w:pPr>
              <w:spacing w:after="0"/>
              <w:rPr>
                <w:sz w:val="2"/>
                <w:szCs w:val="2"/>
                <w:color w:val="auto"/>
              </w:rPr>
            </w:pPr>
          </w:p>
        </w:tc>
        <w:tc>
          <w:tcPr>
            <w:tcW w:w="500" w:type="dxa"/>
            <w:vAlign w:val="bottom"/>
            <w:tcBorders>
              <w:right w:val="single" w:sz="8" w:color="0000EE"/>
            </w:tcBorders>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25"/>
        </w:trPr>
        <w:tc>
          <w:tcPr>
            <w:tcW w:w="20" w:type="dxa"/>
            <w:vAlign w:val="bottom"/>
            <w:vMerge w:val="continue"/>
          </w:tcPr>
          <w:p>
            <w:pPr>
              <w:spacing w:after="0"/>
              <w:rPr>
                <w:sz w:val="10"/>
                <w:szCs w:val="10"/>
                <w:color w:val="auto"/>
              </w:rPr>
            </w:pPr>
          </w:p>
        </w:tc>
        <w:tc>
          <w:tcPr>
            <w:tcW w:w="560" w:type="dxa"/>
            <w:vAlign w:val="bottom"/>
            <w:gridSpan w:val="4"/>
            <w:shd w:val="clear" w:color="auto" w:fill="CCEEFF"/>
          </w:tcPr>
          <w:p>
            <w:pPr>
              <w:spacing w:after="0" w:line="125" w:lineRule="exact"/>
              <w:rPr>
                <w:rFonts w:ascii="Arial" w:cs="Arial" w:eastAsia="Arial" w:hAnsi="Arial"/>
                <w:sz w:val="13"/>
                <w:szCs w:val="13"/>
                <w:color w:val="0000EE"/>
              </w:rPr>
            </w:pPr>
            <w:hyperlink w:anchor="page103">
              <w:r>
                <w:rPr>
                  <w:rFonts w:ascii="Arial" w:cs="Arial" w:eastAsia="Arial" w:hAnsi="Arial"/>
                  <w:sz w:val="13"/>
                  <w:szCs w:val="13"/>
                  <w:color w:val="0000EE"/>
                </w:rPr>
                <w:t>D.</w:t>
              </w:r>
            </w:hyperlink>
          </w:p>
        </w:tc>
        <w:tc>
          <w:tcPr>
            <w:tcW w:w="10320" w:type="dxa"/>
            <w:vAlign w:val="bottom"/>
            <w:gridSpan w:val="22"/>
            <w:shd w:val="clear" w:color="auto" w:fill="CCEEFF"/>
          </w:tcPr>
          <w:p>
            <w:pPr>
              <w:spacing w:after="0" w:line="125" w:lineRule="exact"/>
              <w:rPr>
                <w:rFonts w:ascii="Arial" w:cs="Arial" w:eastAsia="Arial" w:hAnsi="Arial"/>
                <w:sz w:val="13"/>
                <w:szCs w:val="13"/>
                <w:color w:val="0000EE"/>
              </w:rPr>
            </w:pPr>
            <w:hyperlink w:anchor="page103">
              <w:r>
                <w:rPr>
                  <w:rFonts w:ascii="Arial" w:cs="Arial" w:eastAsia="Arial" w:hAnsi="Arial"/>
                  <w:sz w:val="13"/>
                  <w:szCs w:val="13"/>
                  <w:color w:val="0000EE"/>
                </w:rPr>
                <w:t>Selling Shareholders</w:t>
              </w:r>
            </w:hyperlink>
          </w:p>
        </w:tc>
        <w:tc>
          <w:tcPr>
            <w:tcW w:w="580" w:type="dxa"/>
            <w:vAlign w:val="bottom"/>
            <w:gridSpan w:val="2"/>
            <w:shd w:val="clear" w:color="auto" w:fill="CCEEFF"/>
          </w:tcPr>
          <w:p>
            <w:pPr>
              <w:jc w:val="right"/>
              <w:spacing w:after="0" w:line="125" w:lineRule="exact"/>
              <w:rPr>
                <w:rFonts w:ascii="Arial" w:cs="Arial" w:eastAsia="Arial" w:hAnsi="Arial"/>
                <w:sz w:val="13"/>
                <w:szCs w:val="13"/>
                <w:color w:val="0000EE"/>
              </w:rPr>
            </w:pPr>
            <w:hyperlink w:anchor="page103">
              <w:r>
                <w:rPr>
                  <w:rFonts w:ascii="Arial" w:cs="Arial" w:eastAsia="Arial" w:hAnsi="Arial"/>
                  <w:sz w:val="13"/>
                  <w:szCs w:val="13"/>
                  <w:color w:val="0000EE"/>
                </w:rPr>
                <w:t>101</w:t>
              </w:r>
            </w:hyperlink>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80" w:type="dxa"/>
            <w:vAlign w:val="bottom"/>
            <w:tcBorders>
              <w:left w:val="single" w:sz="8" w:color="0000EE"/>
            </w:tcBorders>
            <w:shd w:val="clear" w:color="auto" w:fill="CCEEFF"/>
          </w:tcPr>
          <w:p>
            <w:pPr>
              <w:spacing w:after="0"/>
              <w:rPr>
                <w:sz w:val="2"/>
                <w:szCs w:val="2"/>
                <w:color w:val="auto"/>
              </w:rPr>
            </w:pPr>
          </w:p>
        </w:tc>
        <w:tc>
          <w:tcPr>
            <w:tcW w:w="100" w:type="dxa"/>
            <w:vAlign w:val="bottom"/>
            <w:tcBorders>
              <w:left w:val="single" w:sz="8" w:color="CCEEFF"/>
            </w:tcBorders>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420" w:type="dxa"/>
            <w:vAlign w:val="bottom"/>
            <w:shd w:val="clear" w:color="auto" w:fill="0000EE"/>
          </w:tcPr>
          <w:p>
            <w:pPr>
              <w:spacing w:after="0"/>
              <w:rPr>
                <w:sz w:val="2"/>
                <w:szCs w:val="2"/>
                <w:color w:val="auto"/>
              </w:rPr>
            </w:pPr>
          </w:p>
        </w:tc>
        <w:tc>
          <w:tcPr>
            <w:tcW w:w="220" w:type="dxa"/>
            <w:vAlign w:val="bottom"/>
            <w:tcBorders>
              <w:right w:val="single" w:sz="8" w:color="0000EE"/>
            </w:tcBorders>
            <w:shd w:val="clear" w:color="auto" w:fill="0000EE"/>
          </w:tcPr>
          <w:p>
            <w:pPr>
              <w:spacing w:after="0"/>
              <w:rPr>
                <w:sz w:val="2"/>
                <w:szCs w:val="2"/>
                <w:color w:val="auto"/>
              </w:rPr>
            </w:pPr>
          </w:p>
        </w:tc>
        <w:tc>
          <w:tcPr>
            <w:tcW w:w="160" w:type="dxa"/>
            <w:vAlign w:val="bottom"/>
            <w:tcBorders>
              <w:right w:val="single" w:sz="8" w:color="0000EE"/>
            </w:tcBorders>
            <w:shd w:val="clear" w:color="auto" w:fill="0000EE"/>
          </w:tcPr>
          <w:p>
            <w:pPr>
              <w:spacing w:after="0"/>
              <w:rPr>
                <w:sz w:val="2"/>
                <w:szCs w:val="2"/>
                <w:color w:val="auto"/>
              </w:rPr>
            </w:pPr>
          </w:p>
        </w:tc>
        <w:tc>
          <w:tcPr>
            <w:tcW w:w="120" w:type="dxa"/>
            <w:vAlign w:val="bottom"/>
            <w:tcBorders>
              <w:right w:val="single" w:sz="8" w:color="0000EE"/>
            </w:tcBorders>
            <w:shd w:val="clear" w:color="auto" w:fill="0000EE"/>
          </w:tcPr>
          <w:p>
            <w:pPr>
              <w:spacing w:after="0"/>
              <w:rPr>
                <w:sz w:val="2"/>
                <w:szCs w:val="2"/>
                <w:color w:val="auto"/>
              </w:rPr>
            </w:pPr>
          </w:p>
        </w:tc>
        <w:tc>
          <w:tcPr>
            <w:tcW w:w="140" w:type="dxa"/>
            <w:vAlign w:val="bottom"/>
            <w:tcBorders>
              <w:left w:val="single" w:sz="8" w:color="0000EE"/>
              <w:right w:val="single" w:sz="8" w:color="0000EE"/>
            </w:tcBorders>
            <w:shd w:val="clear" w:color="auto" w:fill="0000EE"/>
          </w:tcPr>
          <w:p>
            <w:pPr>
              <w:spacing w:after="0"/>
              <w:rPr>
                <w:sz w:val="2"/>
                <w:szCs w:val="2"/>
                <w:color w:val="auto"/>
              </w:rPr>
            </w:pPr>
          </w:p>
        </w:tc>
        <w:tc>
          <w:tcPr>
            <w:tcW w:w="160" w:type="dxa"/>
            <w:vAlign w:val="bottom"/>
            <w:shd w:val="clear" w:color="auto" w:fill="CCEEFF"/>
          </w:tcPr>
          <w:p>
            <w:pPr>
              <w:spacing w:after="0"/>
              <w:rPr>
                <w:sz w:val="2"/>
                <w:szCs w:val="2"/>
                <w:color w:val="auto"/>
              </w:rPr>
            </w:pPr>
          </w:p>
        </w:tc>
        <w:tc>
          <w:tcPr>
            <w:tcW w:w="60" w:type="dxa"/>
            <w:vAlign w:val="bottom"/>
            <w:tcBorders>
              <w:right w:val="single" w:sz="8" w:color="CCEEFF"/>
            </w:tcBorders>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180" w:type="dxa"/>
            <w:vAlign w:val="bottom"/>
            <w:tcBorders>
              <w:right w:val="single" w:sz="8" w:color="CCEEFF"/>
            </w:tcBorders>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20" w:type="dxa"/>
            <w:vAlign w:val="bottom"/>
            <w:shd w:val="clear" w:color="auto" w:fill="CCEEFF"/>
          </w:tcPr>
          <w:p>
            <w:pPr>
              <w:spacing w:after="0"/>
              <w:rPr>
                <w:sz w:val="2"/>
                <w:szCs w:val="2"/>
                <w:color w:val="auto"/>
              </w:rPr>
            </w:pPr>
          </w:p>
        </w:tc>
        <w:tc>
          <w:tcPr>
            <w:tcW w:w="40" w:type="dxa"/>
            <w:vAlign w:val="bottom"/>
            <w:tcBorders>
              <w:right w:val="single" w:sz="8" w:color="CCEEFF"/>
            </w:tcBorders>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32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420" w:type="dxa"/>
            <w:vAlign w:val="bottom"/>
            <w:tcBorders>
              <w:right w:val="single" w:sz="8" w:color="CCEEFF"/>
            </w:tcBorders>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180" w:type="dxa"/>
            <w:vAlign w:val="bottom"/>
            <w:tcBorders>
              <w:left w:val="single" w:sz="8" w:color="CCEEFF"/>
            </w:tcBorders>
            <w:shd w:val="clear" w:color="auto" w:fill="CCEEFF"/>
          </w:tcPr>
          <w:p>
            <w:pPr>
              <w:spacing w:after="0"/>
              <w:rPr>
                <w:sz w:val="2"/>
                <w:szCs w:val="2"/>
                <w:color w:val="auto"/>
              </w:rPr>
            </w:pPr>
          </w:p>
        </w:tc>
        <w:tc>
          <w:tcPr>
            <w:tcW w:w="300" w:type="dxa"/>
            <w:vAlign w:val="bottom"/>
            <w:shd w:val="clear" w:color="auto" w:fill="CCEEFF"/>
          </w:tcPr>
          <w:p>
            <w:pPr>
              <w:spacing w:after="0"/>
              <w:rPr>
                <w:sz w:val="2"/>
                <w:szCs w:val="2"/>
                <w:color w:val="auto"/>
              </w:rPr>
            </w:pPr>
          </w:p>
        </w:tc>
        <w:tc>
          <w:tcPr>
            <w:tcW w:w="160" w:type="dxa"/>
            <w:vAlign w:val="bottom"/>
            <w:shd w:val="clear" w:color="auto" w:fill="CCEEFF"/>
          </w:tcPr>
          <w:p>
            <w:pPr>
              <w:spacing w:after="0"/>
              <w:rPr>
                <w:sz w:val="2"/>
                <w:szCs w:val="2"/>
                <w:color w:val="auto"/>
              </w:rPr>
            </w:pPr>
          </w:p>
        </w:tc>
        <w:tc>
          <w:tcPr>
            <w:tcW w:w="6720" w:type="dxa"/>
            <w:vAlign w:val="bottom"/>
            <w:shd w:val="clear" w:color="auto" w:fill="CCEEFF"/>
          </w:tcPr>
          <w:p>
            <w:pPr>
              <w:spacing w:after="0"/>
              <w:rPr>
                <w:sz w:val="2"/>
                <w:szCs w:val="2"/>
                <w:color w:val="auto"/>
              </w:rPr>
            </w:pPr>
          </w:p>
        </w:tc>
        <w:tc>
          <w:tcPr>
            <w:tcW w:w="500" w:type="dxa"/>
            <w:vAlign w:val="bottom"/>
            <w:tcBorders>
              <w:right w:val="single" w:sz="8" w:color="0000EE"/>
            </w:tcBorders>
            <w:shd w:val="clear" w:color="auto" w:fill="CCEEFF"/>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25"/>
        </w:trPr>
        <w:tc>
          <w:tcPr>
            <w:tcW w:w="20" w:type="dxa"/>
            <w:vAlign w:val="bottom"/>
            <w:vMerge w:val="continue"/>
          </w:tcPr>
          <w:p>
            <w:pPr>
              <w:spacing w:after="0"/>
              <w:rPr>
                <w:sz w:val="10"/>
                <w:szCs w:val="10"/>
                <w:color w:val="auto"/>
              </w:rPr>
            </w:pPr>
          </w:p>
        </w:tc>
        <w:tc>
          <w:tcPr>
            <w:tcW w:w="80" w:type="dxa"/>
            <w:vAlign w:val="bottom"/>
          </w:tcPr>
          <w:p>
            <w:pPr>
              <w:spacing w:after="0"/>
              <w:rPr>
                <w:rFonts w:ascii="Arial" w:cs="Arial" w:eastAsia="Arial" w:hAnsi="Arial"/>
                <w:sz w:val="5"/>
                <w:szCs w:val="5"/>
                <w:color w:val="0000EE"/>
                <w:w w:val="83"/>
              </w:rPr>
            </w:pPr>
            <w:hyperlink w:anchor="page103">
              <w:r>
                <w:rPr>
                  <w:rFonts w:ascii="Arial" w:cs="Arial" w:eastAsia="Arial" w:hAnsi="Arial"/>
                  <w:sz w:val="5"/>
                  <w:szCs w:val="5"/>
                  <w:color w:val="0000EE"/>
                  <w:w w:val="83"/>
                </w:rPr>
                <w:t>E.</w:t>
              </w:r>
            </w:hyperlink>
          </w:p>
        </w:tc>
        <w:tc>
          <w:tcPr>
            <w:tcW w:w="480" w:type="dxa"/>
            <w:vAlign w:val="bottom"/>
            <w:gridSpan w:val="3"/>
          </w:tcPr>
          <w:p>
            <w:pPr>
              <w:spacing w:after="0"/>
              <w:rPr>
                <w:sz w:val="10"/>
                <w:szCs w:val="10"/>
                <w:color w:val="auto"/>
              </w:rPr>
            </w:pPr>
          </w:p>
        </w:tc>
        <w:tc>
          <w:tcPr>
            <w:tcW w:w="1060" w:type="dxa"/>
            <w:vAlign w:val="bottom"/>
            <w:gridSpan w:val="5"/>
          </w:tcPr>
          <w:p>
            <w:pPr>
              <w:spacing w:after="0" w:line="125" w:lineRule="exact"/>
              <w:rPr>
                <w:rFonts w:ascii="Arial" w:cs="Arial" w:eastAsia="Arial" w:hAnsi="Arial"/>
                <w:sz w:val="13"/>
                <w:szCs w:val="13"/>
                <w:color w:val="0000EE"/>
              </w:rPr>
            </w:pPr>
            <w:hyperlink w:anchor="page103">
              <w:r>
                <w:rPr>
                  <w:rFonts w:ascii="Arial" w:cs="Arial" w:eastAsia="Arial" w:hAnsi="Arial"/>
                  <w:sz w:val="13"/>
                  <w:szCs w:val="13"/>
                  <w:color w:val="0000EE"/>
                </w:rPr>
                <w:t>Dilution</w:t>
              </w:r>
            </w:hyperlink>
          </w:p>
        </w:tc>
        <w:tc>
          <w:tcPr>
            <w:tcW w:w="9260" w:type="dxa"/>
            <w:vAlign w:val="bottom"/>
            <w:gridSpan w:val="17"/>
          </w:tcPr>
          <w:p>
            <w:pPr>
              <w:spacing w:after="0"/>
              <w:rPr>
                <w:sz w:val="10"/>
                <w:szCs w:val="10"/>
                <w:color w:val="auto"/>
              </w:rPr>
            </w:pPr>
          </w:p>
        </w:tc>
        <w:tc>
          <w:tcPr>
            <w:tcW w:w="580" w:type="dxa"/>
            <w:vAlign w:val="bottom"/>
            <w:gridSpan w:val="2"/>
          </w:tcPr>
          <w:p>
            <w:pPr>
              <w:jc w:val="right"/>
              <w:spacing w:after="0" w:line="125" w:lineRule="exact"/>
              <w:rPr>
                <w:rFonts w:ascii="Arial" w:cs="Arial" w:eastAsia="Arial" w:hAnsi="Arial"/>
                <w:sz w:val="13"/>
                <w:szCs w:val="13"/>
                <w:color w:val="0000EE"/>
              </w:rPr>
            </w:pPr>
            <w:hyperlink w:anchor="page103">
              <w:r>
                <w:rPr>
                  <w:rFonts w:ascii="Arial" w:cs="Arial" w:eastAsia="Arial" w:hAnsi="Arial"/>
                  <w:sz w:val="13"/>
                  <w:szCs w:val="13"/>
                  <w:color w:val="0000EE"/>
                </w:rPr>
                <w:t>101</w:t>
              </w:r>
            </w:hyperlink>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509"/>
        </w:trPr>
        <w:tc>
          <w:tcPr>
            <w:tcW w:w="20" w:type="dxa"/>
            <w:vAlign w:val="bottom"/>
            <w:tcBorders>
              <w:bottom w:val="single" w:sz="8" w:color="auto"/>
            </w:tcBorders>
          </w:tcPr>
          <w:p>
            <w:pPr>
              <w:spacing w:after="0"/>
              <w:rPr>
                <w:sz w:val="24"/>
                <w:szCs w:val="24"/>
                <w:color w:val="auto"/>
              </w:rPr>
            </w:pPr>
          </w:p>
        </w:tc>
        <w:tc>
          <w:tcPr>
            <w:tcW w:w="80" w:type="dxa"/>
            <w:vAlign w:val="bottom"/>
            <w:tcBorders>
              <w:top w:val="single" w:sz="8" w:color="0000EE"/>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420" w:type="dxa"/>
            <w:vAlign w:val="bottom"/>
            <w:tcBorders>
              <w:top w:val="single" w:sz="8" w:color="0000EE"/>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672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80" w:type="dxa"/>
            <w:vAlign w:val="bottom"/>
            <w:tcBorders>
              <w:top w:val="single" w:sz="8" w:color="0000EE"/>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0"/>
          </w:cols>
          <w:pgMar w:left="220" w:top="685" w:right="199" w:bottom="1440" w:gutter="0" w:footer="0" w:header="0"/>
        </w:sectPr>
      </w:pPr>
    </w:p>
    <w:bookmarkStart w:id="3" w:name="page4"/>
    <w:bookmarkEnd w:id="3"/>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158"/>
        </w:trPr>
        <w:tc>
          <w:tcPr>
            <w:tcW w:w="20" w:type="dxa"/>
            <w:vAlign w:val="bottom"/>
          </w:tcPr>
          <w:p>
            <w:pPr>
              <w:spacing w:after="0"/>
              <w:rPr>
                <w:sz w:val="13"/>
                <w:szCs w:val="13"/>
                <w:color w:val="auto"/>
              </w:rPr>
            </w:pPr>
          </w:p>
        </w:tc>
        <w:tc>
          <w:tcPr>
            <w:tcW w:w="560" w:type="dxa"/>
            <w:vAlign w:val="bottom"/>
            <w:tcBorders>
              <w:left w:val="single" w:sz="8" w:color="CCEEFF"/>
            </w:tcBorders>
            <w:gridSpan w:val="4"/>
            <w:shd w:val="clear" w:color="auto" w:fill="CCEEFF"/>
          </w:tcPr>
          <w:p>
            <w:pPr>
              <w:spacing w:after="0"/>
              <w:rPr>
                <w:rFonts w:ascii="Arial" w:cs="Arial" w:eastAsia="Arial" w:hAnsi="Arial"/>
                <w:sz w:val="13"/>
                <w:szCs w:val="13"/>
                <w:color w:val="0000EE"/>
              </w:rPr>
            </w:pPr>
            <w:hyperlink w:anchor="page104">
              <w:r>
                <w:rPr>
                  <w:rFonts w:ascii="Arial" w:cs="Arial" w:eastAsia="Arial" w:hAnsi="Arial"/>
                  <w:sz w:val="13"/>
                  <w:szCs w:val="13"/>
                  <w:color w:val="0000EE"/>
                </w:rPr>
                <w:t>F.</w:t>
              </w:r>
            </w:hyperlink>
          </w:p>
        </w:tc>
        <w:tc>
          <w:tcPr>
            <w:tcW w:w="7740" w:type="dxa"/>
            <w:vAlign w:val="bottom"/>
            <w:gridSpan w:val="24"/>
            <w:shd w:val="clear" w:color="auto" w:fill="CCEEFF"/>
          </w:tcPr>
          <w:p>
            <w:pPr>
              <w:spacing w:after="0"/>
              <w:rPr>
                <w:rFonts w:ascii="Arial" w:cs="Arial" w:eastAsia="Arial" w:hAnsi="Arial"/>
                <w:sz w:val="13"/>
                <w:szCs w:val="13"/>
                <w:color w:val="0000EE"/>
              </w:rPr>
            </w:pPr>
            <w:hyperlink w:anchor="page104">
              <w:r>
                <w:rPr>
                  <w:rFonts w:ascii="Arial" w:cs="Arial" w:eastAsia="Arial" w:hAnsi="Arial"/>
                  <w:sz w:val="13"/>
                  <w:szCs w:val="13"/>
                  <w:color w:val="0000EE"/>
                </w:rPr>
                <w:t>Expenses of the Issue</w:t>
              </w:r>
            </w:hyperlink>
          </w:p>
        </w:tc>
        <w:tc>
          <w:tcPr>
            <w:tcW w:w="3160" w:type="dxa"/>
            <w:vAlign w:val="bottom"/>
            <w:gridSpan w:val="2"/>
            <w:shd w:val="clear" w:color="auto" w:fill="CCEEFF"/>
          </w:tcPr>
          <w:p>
            <w:pPr>
              <w:jc w:val="right"/>
              <w:spacing w:after="0"/>
              <w:rPr>
                <w:rFonts w:ascii="Arial" w:cs="Arial" w:eastAsia="Arial" w:hAnsi="Arial"/>
                <w:sz w:val="13"/>
                <w:szCs w:val="13"/>
                <w:color w:val="0000EE"/>
              </w:rPr>
            </w:pPr>
            <w:hyperlink w:anchor="page104">
              <w:r>
                <w:rPr>
                  <w:rFonts w:ascii="Arial" w:cs="Arial" w:eastAsia="Arial" w:hAnsi="Arial"/>
                  <w:sz w:val="13"/>
                  <w:szCs w:val="13"/>
                  <w:color w:val="0000EE"/>
                </w:rPr>
                <w:t>102</w:t>
              </w:r>
            </w:hyperlink>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80" w:type="dxa"/>
            <w:vAlign w:val="bottom"/>
            <w:tcBorders>
              <w:top w:val="single" w:sz="8" w:color="0000EE"/>
            </w:tcBorders>
          </w:tcPr>
          <w:p>
            <w:pPr>
              <w:spacing w:after="0"/>
              <w:rPr>
                <w:sz w:val="13"/>
                <w:szCs w:val="13"/>
                <w:color w:val="auto"/>
              </w:rPr>
            </w:pPr>
          </w:p>
        </w:tc>
        <w:tc>
          <w:tcPr>
            <w:tcW w:w="34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60" w:type="dxa"/>
            <w:vAlign w:val="bottom"/>
            <w:tcBorders>
              <w:top w:val="single" w:sz="8" w:color="CCEEFF"/>
            </w:tcBorders>
          </w:tcPr>
          <w:p>
            <w:pPr>
              <w:spacing w:after="0"/>
              <w:rPr>
                <w:sz w:val="13"/>
                <w:szCs w:val="13"/>
                <w:color w:val="auto"/>
              </w:rPr>
            </w:pPr>
          </w:p>
        </w:tc>
        <w:tc>
          <w:tcPr>
            <w:tcW w:w="440" w:type="dxa"/>
            <w:vAlign w:val="bottom"/>
            <w:tcBorders>
              <w:top w:val="single" w:sz="8" w:color="0000EE"/>
            </w:tcBorders>
          </w:tcPr>
          <w:p>
            <w:pPr>
              <w:spacing w:after="0"/>
              <w:rPr>
                <w:sz w:val="13"/>
                <w:szCs w:val="13"/>
                <w:color w:val="auto"/>
              </w:rPr>
            </w:pPr>
          </w:p>
        </w:tc>
        <w:tc>
          <w:tcPr>
            <w:tcW w:w="140" w:type="dxa"/>
            <w:vAlign w:val="bottom"/>
            <w:tcBorders>
              <w:top w:val="single" w:sz="8" w:color="0000EE"/>
            </w:tcBorders>
          </w:tcPr>
          <w:p>
            <w:pPr>
              <w:spacing w:after="0"/>
              <w:rPr>
                <w:sz w:val="13"/>
                <w:szCs w:val="13"/>
                <w:color w:val="auto"/>
              </w:rPr>
            </w:pPr>
          </w:p>
        </w:tc>
        <w:tc>
          <w:tcPr>
            <w:tcW w:w="100" w:type="dxa"/>
            <w:vAlign w:val="bottom"/>
            <w:tcBorders>
              <w:top w:val="single" w:sz="8" w:color="0000EE"/>
            </w:tcBorders>
          </w:tcPr>
          <w:p>
            <w:pPr>
              <w:spacing w:after="0"/>
              <w:rPr>
                <w:sz w:val="13"/>
                <w:szCs w:val="13"/>
                <w:color w:val="auto"/>
              </w:rPr>
            </w:pPr>
          </w:p>
        </w:tc>
        <w:tc>
          <w:tcPr>
            <w:tcW w:w="280" w:type="dxa"/>
            <w:vAlign w:val="bottom"/>
            <w:tcBorders>
              <w:top w:val="single" w:sz="8" w:color="0000EE"/>
            </w:tcBorders>
          </w:tcPr>
          <w:p>
            <w:pPr>
              <w:spacing w:after="0"/>
              <w:rPr>
                <w:sz w:val="13"/>
                <w:szCs w:val="13"/>
                <w:color w:val="auto"/>
              </w:rPr>
            </w:pPr>
          </w:p>
        </w:tc>
        <w:tc>
          <w:tcPr>
            <w:tcW w:w="140" w:type="dxa"/>
            <w:vAlign w:val="bottom"/>
            <w:tcBorders>
              <w:top w:val="single" w:sz="8" w:color="0000EE"/>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160" w:type="dxa"/>
            <w:vAlign w:val="bottom"/>
            <w:tcBorders>
              <w:top w:val="single" w:sz="8" w:color="CCEEFF"/>
            </w:tcBorders>
          </w:tcPr>
          <w:p>
            <w:pPr>
              <w:spacing w:after="0"/>
              <w:rPr>
                <w:sz w:val="13"/>
                <w:szCs w:val="13"/>
                <w:color w:val="auto"/>
              </w:rPr>
            </w:pPr>
          </w:p>
        </w:tc>
        <w:tc>
          <w:tcPr>
            <w:tcW w:w="180" w:type="dxa"/>
            <w:vAlign w:val="bottom"/>
            <w:tcBorders>
              <w:top w:val="single" w:sz="8" w:color="CCEEFF"/>
            </w:tcBorders>
          </w:tcPr>
          <w:p>
            <w:pPr>
              <w:spacing w:after="0"/>
              <w:rPr>
                <w:sz w:val="13"/>
                <w:szCs w:val="13"/>
                <w:color w:val="auto"/>
              </w:rPr>
            </w:pPr>
          </w:p>
        </w:tc>
        <w:tc>
          <w:tcPr>
            <w:tcW w:w="200" w:type="dxa"/>
            <w:vAlign w:val="bottom"/>
            <w:tcBorders>
              <w:top w:val="single" w:sz="8" w:color="CCEEFF"/>
            </w:tcBorders>
          </w:tcPr>
          <w:p>
            <w:pPr>
              <w:spacing w:after="0"/>
              <w:rPr>
                <w:sz w:val="13"/>
                <w:szCs w:val="13"/>
                <w:color w:val="auto"/>
              </w:rPr>
            </w:pPr>
          </w:p>
        </w:tc>
        <w:tc>
          <w:tcPr>
            <w:tcW w:w="20" w:type="dxa"/>
            <w:vAlign w:val="bottom"/>
            <w:tcBorders>
              <w:top w:val="single" w:sz="8" w:color="CCEEFF"/>
            </w:tcBorders>
          </w:tcPr>
          <w:p>
            <w:pPr>
              <w:spacing w:after="0"/>
              <w:rPr>
                <w:sz w:val="13"/>
                <w:szCs w:val="13"/>
                <w:color w:val="auto"/>
              </w:rPr>
            </w:pPr>
          </w:p>
        </w:tc>
        <w:tc>
          <w:tcPr>
            <w:tcW w:w="4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220" w:type="dxa"/>
            <w:vAlign w:val="bottom"/>
            <w:tcBorders>
              <w:top w:val="single" w:sz="8" w:color="CCEEFF"/>
            </w:tcBorders>
          </w:tcPr>
          <w:p>
            <w:pPr>
              <w:spacing w:after="0"/>
              <w:rPr>
                <w:sz w:val="13"/>
                <w:szCs w:val="13"/>
                <w:color w:val="auto"/>
              </w:rPr>
            </w:pPr>
          </w:p>
        </w:tc>
        <w:tc>
          <w:tcPr>
            <w:tcW w:w="200" w:type="dxa"/>
            <w:vAlign w:val="bottom"/>
            <w:tcBorders>
              <w:top w:val="single" w:sz="8" w:color="CCEEFF"/>
            </w:tcBorders>
          </w:tcPr>
          <w:p>
            <w:pPr>
              <w:spacing w:after="0"/>
              <w:rPr>
                <w:sz w:val="13"/>
                <w:szCs w:val="13"/>
                <w:color w:val="auto"/>
              </w:rPr>
            </w:pPr>
          </w:p>
        </w:tc>
        <w:tc>
          <w:tcPr>
            <w:tcW w:w="240" w:type="dxa"/>
            <w:vAlign w:val="bottom"/>
            <w:tcBorders>
              <w:top w:val="single" w:sz="8" w:color="CCEEFF"/>
            </w:tcBorders>
          </w:tcPr>
          <w:p>
            <w:pPr>
              <w:spacing w:after="0"/>
              <w:rPr>
                <w:sz w:val="13"/>
                <w:szCs w:val="13"/>
                <w:color w:val="auto"/>
              </w:rPr>
            </w:pPr>
          </w:p>
        </w:tc>
        <w:tc>
          <w:tcPr>
            <w:tcW w:w="320" w:type="dxa"/>
            <w:vAlign w:val="bottom"/>
            <w:tcBorders>
              <w:top w:val="single" w:sz="8" w:color="CCEEFF"/>
            </w:tcBorders>
          </w:tcPr>
          <w:p>
            <w:pPr>
              <w:spacing w:after="0"/>
              <w:rPr>
                <w:sz w:val="13"/>
                <w:szCs w:val="13"/>
                <w:color w:val="auto"/>
              </w:rPr>
            </w:pPr>
          </w:p>
        </w:tc>
        <w:tc>
          <w:tcPr>
            <w:tcW w:w="360" w:type="dxa"/>
            <w:vAlign w:val="bottom"/>
            <w:tcBorders>
              <w:top w:val="single" w:sz="8" w:color="CCEEFF"/>
            </w:tcBorders>
          </w:tcPr>
          <w:p>
            <w:pPr>
              <w:spacing w:after="0"/>
              <w:rPr>
                <w:sz w:val="13"/>
                <w:szCs w:val="13"/>
                <w:color w:val="auto"/>
              </w:rPr>
            </w:pPr>
          </w:p>
        </w:tc>
        <w:tc>
          <w:tcPr>
            <w:tcW w:w="240" w:type="dxa"/>
            <w:vAlign w:val="bottom"/>
            <w:tcBorders>
              <w:top w:val="single" w:sz="8" w:color="CCEEFF"/>
            </w:tcBorders>
          </w:tcPr>
          <w:p>
            <w:pPr>
              <w:spacing w:after="0"/>
              <w:rPr>
                <w:sz w:val="13"/>
                <w:szCs w:val="13"/>
                <w:color w:val="auto"/>
              </w:rPr>
            </w:pPr>
          </w:p>
        </w:tc>
        <w:tc>
          <w:tcPr>
            <w:tcW w:w="220" w:type="dxa"/>
            <w:vAlign w:val="bottom"/>
            <w:tcBorders>
              <w:top w:val="single" w:sz="8" w:color="CCEEFF"/>
            </w:tcBorders>
          </w:tcPr>
          <w:p>
            <w:pPr>
              <w:spacing w:after="0"/>
              <w:rPr>
                <w:sz w:val="13"/>
                <w:szCs w:val="13"/>
                <w:color w:val="auto"/>
              </w:rPr>
            </w:pPr>
          </w:p>
        </w:tc>
        <w:tc>
          <w:tcPr>
            <w:tcW w:w="100" w:type="dxa"/>
            <w:vAlign w:val="bottom"/>
            <w:tcBorders>
              <w:top w:val="single" w:sz="8" w:color="CCEEFF"/>
            </w:tcBorders>
          </w:tcPr>
          <w:p>
            <w:pPr>
              <w:spacing w:after="0"/>
              <w:rPr>
                <w:sz w:val="13"/>
                <w:szCs w:val="13"/>
                <w:color w:val="auto"/>
              </w:rPr>
            </w:pPr>
          </w:p>
        </w:tc>
        <w:tc>
          <w:tcPr>
            <w:tcW w:w="320" w:type="dxa"/>
            <w:vAlign w:val="bottom"/>
            <w:tcBorders>
              <w:top w:val="single" w:sz="8" w:color="CCEEFF"/>
            </w:tcBorders>
          </w:tcPr>
          <w:p>
            <w:pPr>
              <w:spacing w:after="0"/>
              <w:rPr>
                <w:sz w:val="13"/>
                <w:szCs w:val="13"/>
                <w:color w:val="auto"/>
              </w:rPr>
            </w:pPr>
          </w:p>
        </w:tc>
        <w:tc>
          <w:tcPr>
            <w:tcW w:w="640" w:type="dxa"/>
            <w:vAlign w:val="bottom"/>
            <w:tcBorders>
              <w:top w:val="single" w:sz="8" w:color="CCEEFF"/>
            </w:tcBorders>
          </w:tcPr>
          <w:p>
            <w:pPr>
              <w:spacing w:after="0"/>
              <w:rPr>
                <w:sz w:val="13"/>
                <w:szCs w:val="13"/>
                <w:color w:val="auto"/>
              </w:rPr>
            </w:pPr>
          </w:p>
        </w:tc>
        <w:tc>
          <w:tcPr>
            <w:tcW w:w="2940" w:type="dxa"/>
            <w:vAlign w:val="bottom"/>
            <w:tcBorders>
              <w:top w:val="single" w:sz="8" w:color="CCEEFF"/>
            </w:tcBorders>
          </w:tcPr>
          <w:p>
            <w:pPr>
              <w:spacing w:after="0"/>
              <w:rPr>
                <w:sz w:val="13"/>
                <w:szCs w:val="13"/>
                <w:color w:val="auto"/>
              </w:rPr>
            </w:pPr>
          </w:p>
        </w:tc>
        <w:tc>
          <w:tcPr>
            <w:tcW w:w="2960" w:type="dxa"/>
            <w:vAlign w:val="bottom"/>
            <w:tcBorders>
              <w:top w:val="single" w:sz="8" w:color="CCEEFF"/>
            </w:tcBorders>
          </w:tcPr>
          <w:p>
            <w:pPr>
              <w:spacing w:after="0"/>
              <w:rPr>
                <w:sz w:val="13"/>
                <w:szCs w:val="13"/>
                <w:color w:val="auto"/>
              </w:rPr>
            </w:pPr>
          </w:p>
        </w:tc>
        <w:tc>
          <w:tcPr>
            <w:tcW w:w="200" w:type="dxa"/>
            <w:vAlign w:val="bottom"/>
            <w:tcBorders>
              <w:top w:val="single" w:sz="8" w:color="0000EE"/>
            </w:tcBorders>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25"/>
        </w:trPr>
        <w:tc>
          <w:tcPr>
            <w:tcW w:w="20" w:type="dxa"/>
            <w:vAlign w:val="bottom"/>
            <w:vMerge w:val="continue"/>
          </w:tcPr>
          <w:p>
            <w:pPr>
              <w:spacing w:after="0"/>
              <w:rPr>
                <w:sz w:val="10"/>
                <w:szCs w:val="10"/>
                <w:color w:val="auto"/>
              </w:rPr>
            </w:pPr>
          </w:p>
        </w:tc>
        <w:tc>
          <w:tcPr>
            <w:tcW w:w="560" w:type="dxa"/>
            <w:vAlign w:val="bottom"/>
            <w:tcBorders>
              <w:left w:val="single" w:sz="8" w:color="CCEEFF"/>
            </w:tcBorders>
            <w:gridSpan w:val="4"/>
            <w:shd w:val="clear" w:color="auto" w:fill="CCEEFF"/>
          </w:tcPr>
          <w:p>
            <w:pPr>
              <w:spacing w:after="0" w:line="125" w:lineRule="exact"/>
              <w:rPr>
                <w:rFonts w:ascii="Arial" w:cs="Arial" w:eastAsia="Arial" w:hAnsi="Arial"/>
                <w:sz w:val="13"/>
                <w:szCs w:val="13"/>
                <w:b w:val="1"/>
                <w:bCs w:val="1"/>
                <w:color w:val="0000EE"/>
              </w:rPr>
            </w:pPr>
            <w:hyperlink w:anchor="page104">
              <w:r>
                <w:rPr>
                  <w:rFonts w:ascii="Arial" w:cs="Arial" w:eastAsia="Arial" w:hAnsi="Arial"/>
                  <w:sz w:val="13"/>
                  <w:szCs w:val="13"/>
                  <w:b w:val="1"/>
                  <w:bCs w:val="1"/>
                  <w:color w:val="0000EE"/>
                </w:rPr>
                <w:t>Item 10.</w:t>
              </w:r>
            </w:hyperlink>
          </w:p>
        </w:tc>
        <w:tc>
          <w:tcPr>
            <w:tcW w:w="4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7160" w:type="dxa"/>
            <w:vAlign w:val="bottom"/>
            <w:gridSpan w:val="22"/>
            <w:shd w:val="clear" w:color="auto" w:fill="CCEEFF"/>
          </w:tcPr>
          <w:p>
            <w:pPr>
              <w:spacing w:after="0" w:line="125" w:lineRule="exact"/>
              <w:rPr>
                <w:rFonts w:ascii="Arial" w:cs="Arial" w:eastAsia="Arial" w:hAnsi="Arial"/>
                <w:sz w:val="13"/>
                <w:szCs w:val="13"/>
                <w:b w:val="1"/>
                <w:bCs w:val="1"/>
                <w:color w:val="0000EE"/>
              </w:rPr>
            </w:pPr>
            <w:hyperlink w:anchor="page104">
              <w:r>
                <w:rPr>
                  <w:rFonts w:ascii="Arial" w:cs="Arial" w:eastAsia="Arial" w:hAnsi="Arial"/>
                  <w:sz w:val="13"/>
                  <w:szCs w:val="13"/>
                  <w:b w:val="1"/>
                  <w:bCs w:val="1"/>
                  <w:color w:val="0000EE"/>
                </w:rPr>
                <w:t>Additional Information</w:t>
              </w:r>
            </w:hyperlink>
          </w:p>
        </w:tc>
        <w:tc>
          <w:tcPr>
            <w:tcW w:w="3160" w:type="dxa"/>
            <w:vAlign w:val="bottom"/>
            <w:gridSpan w:val="2"/>
            <w:shd w:val="clear" w:color="auto" w:fill="CCEEFF"/>
          </w:tcPr>
          <w:p>
            <w:pPr>
              <w:jc w:val="right"/>
              <w:spacing w:after="0" w:line="125" w:lineRule="exact"/>
              <w:rPr>
                <w:rFonts w:ascii="Arial" w:cs="Arial" w:eastAsia="Arial" w:hAnsi="Arial"/>
                <w:sz w:val="13"/>
                <w:szCs w:val="13"/>
                <w:b w:val="1"/>
                <w:bCs w:val="1"/>
                <w:color w:val="0000EE"/>
              </w:rPr>
            </w:pPr>
            <w:hyperlink w:anchor="page104">
              <w:r>
                <w:rPr>
                  <w:rFonts w:ascii="Arial" w:cs="Arial" w:eastAsia="Arial" w:hAnsi="Arial"/>
                  <w:sz w:val="13"/>
                  <w:szCs w:val="13"/>
                  <w:b w:val="1"/>
                  <w:bCs w:val="1"/>
                  <w:color w:val="0000EE"/>
                </w:rPr>
                <w:t>102</w:t>
              </w:r>
            </w:hyperlink>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80" w:type="dxa"/>
            <w:vAlign w:val="bottom"/>
            <w:tcBorders>
              <w:left w:val="single" w:sz="8" w:color="0000EE"/>
            </w:tcBorders>
            <w:shd w:val="clear" w:color="auto" w:fill="0000EE"/>
          </w:tcPr>
          <w:p>
            <w:pPr>
              <w:spacing w:after="0"/>
              <w:rPr>
                <w:sz w:val="2"/>
                <w:szCs w:val="2"/>
                <w:color w:val="auto"/>
              </w:rPr>
            </w:pPr>
          </w:p>
        </w:tc>
        <w:tc>
          <w:tcPr>
            <w:tcW w:w="340" w:type="dxa"/>
            <w:vAlign w:val="bottom"/>
            <w:tcBorders>
              <w:left w:val="single" w:sz="8" w:color="0000EE"/>
            </w:tcBorders>
            <w:shd w:val="clear" w:color="auto" w:fill="0000EE"/>
          </w:tcPr>
          <w:p>
            <w:pPr>
              <w:spacing w:after="0"/>
              <w:rPr>
                <w:sz w:val="2"/>
                <w:szCs w:val="2"/>
                <w:color w:val="auto"/>
              </w:rPr>
            </w:pPr>
          </w:p>
        </w:tc>
        <w:tc>
          <w:tcPr>
            <w:tcW w:w="80" w:type="dxa"/>
            <w:vAlign w:val="bottom"/>
            <w:tcBorders>
              <w:left w:val="single" w:sz="8" w:color="CCEEFF"/>
            </w:tcBorders>
            <w:shd w:val="clear" w:color="auto" w:fill="CCEEFF"/>
          </w:tcPr>
          <w:p>
            <w:pPr>
              <w:spacing w:after="0"/>
              <w:rPr>
                <w:sz w:val="2"/>
                <w:szCs w:val="2"/>
                <w:color w:val="auto"/>
              </w:rPr>
            </w:pPr>
          </w:p>
        </w:tc>
        <w:tc>
          <w:tcPr>
            <w:tcW w:w="60" w:type="dxa"/>
            <w:vAlign w:val="bottom"/>
            <w:shd w:val="clear" w:color="auto" w:fill="CCEEFF"/>
          </w:tcPr>
          <w:p>
            <w:pPr>
              <w:spacing w:after="0"/>
              <w:rPr>
                <w:sz w:val="2"/>
                <w:szCs w:val="2"/>
                <w:color w:val="auto"/>
              </w:rPr>
            </w:pPr>
          </w:p>
        </w:tc>
        <w:tc>
          <w:tcPr>
            <w:tcW w:w="440" w:type="dxa"/>
            <w:vAlign w:val="bottom"/>
            <w:shd w:val="clear" w:color="auto" w:fill="CCEEFF"/>
          </w:tcPr>
          <w:p>
            <w:pPr>
              <w:spacing w:after="0"/>
              <w:rPr>
                <w:sz w:val="2"/>
                <w:szCs w:val="2"/>
                <w:color w:val="auto"/>
              </w:rPr>
            </w:pPr>
          </w:p>
        </w:tc>
        <w:tc>
          <w:tcPr>
            <w:tcW w:w="140" w:type="dxa"/>
            <w:vAlign w:val="bottom"/>
            <w:shd w:val="clear" w:color="auto" w:fill="CCEEFF"/>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280" w:type="dxa"/>
            <w:vAlign w:val="bottom"/>
            <w:shd w:val="clear" w:color="auto" w:fill="0000EE"/>
          </w:tcPr>
          <w:p>
            <w:pPr>
              <w:spacing w:after="0"/>
              <w:rPr>
                <w:sz w:val="2"/>
                <w:szCs w:val="2"/>
                <w:color w:val="auto"/>
              </w:rPr>
            </w:pPr>
          </w:p>
        </w:tc>
        <w:tc>
          <w:tcPr>
            <w:tcW w:w="140" w:type="dxa"/>
            <w:vAlign w:val="bottom"/>
            <w:tcBorders>
              <w:left w:val="single" w:sz="8" w:color="0000EE"/>
            </w:tcBorders>
            <w:shd w:val="clear" w:color="auto" w:fill="0000EE"/>
          </w:tcPr>
          <w:p>
            <w:pPr>
              <w:spacing w:after="0"/>
              <w:rPr>
                <w:sz w:val="2"/>
                <w:szCs w:val="2"/>
                <w:color w:val="auto"/>
              </w:rPr>
            </w:pPr>
          </w:p>
        </w:tc>
        <w:tc>
          <w:tcPr>
            <w:tcW w:w="80" w:type="dxa"/>
            <w:vAlign w:val="bottom"/>
            <w:tcBorders>
              <w:left w:val="single" w:sz="8" w:color="0000EE"/>
            </w:tcBorders>
            <w:shd w:val="clear" w:color="auto" w:fill="0000EE"/>
          </w:tcPr>
          <w:p>
            <w:pPr>
              <w:spacing w:after="0"/>
              <w:rPr>
                <w:sz w:val="2"/>
                <w:szCs w:val="2"/>
                <w:color w:val="auto"/>
              </w:rPr>
            </w:pPr>
          </w:p>
        </w:tc>
        <w:tc>
          <w:tcPr>
            <w:tcW w:w="160" w:type="dxa"/>
            <w:vAlign w:val="bottom"/>
            <w:shd w:val="clear" w:color="auto" w:fill="0000EE"/>
          </w:tcPr>
          <w:p>
            <w:pPr>
              <w:spacing w:after="0"/>
              <w:rPr>
                <w:sz w:val="2"/>
                <w:szCs w:val="2"/>
                <w:color w:val="auto"/>
              </w:rPr>
            </w:pPr>
          </w:p>
        </w:tc>
        <w:tc>
          <w:tcPr>
            <w:tcW w:w="180" w:type="dxa"/>
            <w:vAlign w:val="bottom"/>
            <w:shd w:val="clear" w:color="auto" w:fill="0000EE"/>
          </w:tcPr>
          <w:p>
            <w:pPr>
              <w:spacing w:after="0"/>
              <w:rPr>
                <w:sz w:val="2"/>
                <w:szCs w:val="2"/>
                <w:color w:val="auto"/>
              </w:rPr>
            </w:pPr>
          </w:p>
        </w:tc>
        <w:tc>
          <w:tcPr>
            <w:tcW w:w="200" w:type="dxa"/>
            <w:vAlign w:val="bottom"/>
            <w:shd w:val="clear" w:color="auto" w:fill="0000EE"/>
          </w:tcPr>
          <w:p>
            <w:pPr>
              <w:spacing w:after="0"/>
              <w:rPr>
                <w:sz w:val="2"/>
                <w:szCs w:val="2"/>
                <w:color w:val="auto"/>
              </w:rPr>
            </w:pPr>
          </w:p>
        </w:tc>
        <w:tc>
          <w:tcPr>
            <w:tcW w:w="20" w:type="dxa"/>
            <w:vAlign w:val="bottom"/>
            <w:shd w:val="clear" w:color="auto" w:fill="0000EE"/>
          </w:tcPr>
          <w:p>
            <w:pPr>
              <w:spacing w:after="0"/>
              <w:rPr>
                <w:sz w:val="2"/>
                <w:szCs w:val="2"/>
                <w:color w:val="auto"/>
              </w:rPr>
            </w:pPr>
          </w:p>
        </w:tc>
        <w:tc>
          <w:tcPr>
            <w:tcW w:w="4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320" w:type="dxa"/>
            <w:vAlign w:val="bottom"/>
            <w:shd w:val="clear" w:color="auto" w:fill="CCEEFF"/>
          </w:tcPr>
          <w:p>
            <w:pPr>
              <w:spacing w:after="0"/>
              <w:rPr>
                <w:sz w:val="2"/>
                <w:szCs w:val="2"/>
                <w:color w:val="auto"/>
              </w:rPr>
            </w:pPr>
          </w:p>
        </w:tc>
        <w:tc>
          <w:tcPr>
            <w:tcW w:w="360" w:type="dxa"/>
            <w:vAlign w:val="bottom"/>
            <w:shd w:val="clear" w:color="auto" w:fill="CCEEFF"/>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320" w:type="dxa"/>
            <w:vAlign w:val="bottom"/>
            <w:shd w:val="clear" w:color="auto" w:fill="CCEEFF"/>
          </w:tcPr>
          <w:p>
            <w:pPr>
              <w:spacing w:after="0"/>
              <w:rPr>
                <w:sz w:val="2"/>
                <w:szCs w:val="2"/>
                <w:color w:val="auto"/>
              </w:rPr>
            </w:pPr>
          </w:p>
        </w:tc>
        <w:tc>
          <w:tcPr>
            <w:tcW w:w="640" w:type="dxa"/>
            <w:vAlign w:val="bottom"/>
            <w:shd w:val="clear" w:color="auto" w:fill="CCEEFF"/>
          </w:tcPr>
          <w:p>
            <w:pPr>
              <w:spacing w:after="0"/>
              <w:rPr>
                <w:sz w:val="2"/>
                <w:szCs w:val="2"/>
                <w:color w:val="auto"/>
              </w:rPr>
            </w:pPr>
          </w:p>
        </w:tc>
        <w:tc>
          <w:tcPr>
            <w:tcW w:w="2940" w:type="dxa"/>
            <w:vAlign w:val="bottom"/>
            <w:shd w:val="clear" w:color="auto" w:fill="CCEEFF"/>
          </w:tcPr>
          <w:p>
            <w:pPr>
              <w:spacing w:after="0"/>
              <w:rPr>
                <w:sz w:val="2"/>
                <w:szCs w:val="2"/>
                <w:color w:val="auto"/>
              </w:rPr>
            </w:pPr>
          </w:p>
        </w:tc>
        <w:tc>
          <w:tcPr>
            <w:tcW w:w="2960" w:type="dxa"/>
            <w:vAlign w:val="bottom"/>
            <w:shd w:val="clear" w:color="auto" w:fill="CCEEFF"/>
          </w:tcPr>
          <w:p>
            <w:pPr>
              <w:spacing w:after="0"/>
              <w:rPr>
                <w:sz w:val="2"/>
                <w:szCs w:val="2"/>
                <w:color w:val="auto"/>
              </w:rPr>
            </w:pPr>
          </w:p>
        </w:tc>
        <w:tc>
          <w:tcPr>
            <w:tcW w:w="200" w:type="dxa"/>
            <w:vAlign w:val="bottom"/>
            <w:shd w:val="clear" w:color="auto" w:fill="0000EE"/>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25"/>
        </w:trPr>
        <w:tc>
          <w:tcPr>
            <w:tcW w:w="20" w:type="dxa"/>
            <w:vAlign w:val="bottom"/>
            <w:vMerge w:val="continue"/>
          </w:tcPr>
          <w:p>
            <w:pPr>
              <w:spacing w:after="0"/>
              <w:rPr>
                <w:sz w:val="10"/>
                <w:szCs w:val="10"/>
                <w:color w:val="auto"/>
              </w:rPr>
            </w:pPr>
          </w:p>
        </w:tc>
        <w:tc>
          <w:tcPr>
            <w:tcW w:w="420" w:type="dxa"/>
            <w:vAlign w:val="bottom"/>
            <w:gridSpan w:val="2"/>
          </w:tcPr>
          <w:p>
            <w:pPr>
              <w:spacing w:after="0" w:line="125" w:lineRule="exact"/>
              <w:rPr>
                <w:rFonts w:ascii="Arial" w:cs="Arial" w:eastAsia="Arial" w:hAnsi="Arial"/>
                <w:sz w:val="13"/>
                <w:szCs w:val="13"/>
                <w:color w:val="0000EE"/>
              </w:rPr>
            </w:pPr>
            <w:hyperlink w:anchor="page104">
              <w:r>
                <w:rPr>
                  <w:rFonts w:ascii="Arial" w:cs="Arial" w:eastAsia="Arial" w:hAnsi="Arial"/>
                  <w:sz w:val="13"/>
                  <w:szCs w:val="13"/>
                  <w:color w:val="0000EE"/>
                </w:rPr>
                <w:t>A.</w:t>
              </w:r>
            </w:hyperlink>
          </w:p>
        </w:tc>
        <w:tc>
          <w:tcPr>
            <w:tcW w:w="140" w:type="dxa"/>
            <w:vAlign w:val="bottom"/>
            <w:gridSpan w:val="2"/>
          </w:tcPr>
          <w:p>
            <w:pPr>
              <w:spacing w:after="0"/>
              <w:rPr>
                <w:sz w:val="10"/>
                <w:szCs w:val="10"/>
                <w:color w:val="auto"/>
              </w:rPr>
            </w:pPr>
          </w:p>
        </w:tc>
        <w:tc>
          <w:tcPr>
            <w:tcW w:w="7740" w:type="dxa"/>
            <w:vAlign w:val="bottom"/>
            <w:gridSpan w:val="24"/>
          </w:tcPr>
          <w:p>
            <w:pPr>
              <w:spacing w:after="0" w:line="125" w:lineRule="exact"/>
              <w:rPr>
                <w:rFonts w:ascii="Arial" w:cs="Arial" w:eastAsia="Arial" w:hAnsi="Arial"/>
                <w:sz w:val="13"/>
                <w:szCs w:val="13"/>
                <w:color w:val="0000EE"/>
              </w:rPr>
            </w:pPr>
            <w:hyperlink w:anchor="page104">
              <w:r>
                <w:rPr>
                  <w:rFonts w:ascii="Arial" w:cs="Arial" w:eastAsia="Arial" w:hAnsi="Arial"/>
                  <w:sz w:val="13"/>
                  <w:szCs w:val="13"/>
                  <w:color w:val="0000EE"/>
                </w:rPr>
                <w:t>Share Capital</w:t>
              </w:r>
            </w:hyperlink>
          </w:p>
        </w:tc>
        <w:tc>
          <w:tcPr>
            <w:tcW w:w="3160" w:type="dxa"/>
            <w:vAlign w:val="bottom"/>
            <w:gridSpan w:val="2"/>
          </w:tcPr>
          <w:p>
            <w:pPr>
              <w:jc w:val="right"/>
              <w:spacing w:after="0" w:line="125" w:lineRule="exact"/>
              <w:rPr>
                <w:rFonts w:ascii="Arial" w:cs="Arial" w:eastAsia="Arial" w:hAnsi="Arial"/>
                <w:sz w:val="13"/>
                <w:szCs w:val="13"/>
                <w:color w:val="0000EE"/>
              </w:rPr>
            </w:pPr>
            <w:hyperlink w:anchor="page104">
              <w:r>
                <w:rPr>
                  <w:rFonts w:ascii="Arial" w:cs="Arial" w:eastAsia="Arial" w:hAnsi="Arial"/>
                  <w:sz w:val="13"/>
                  <w:szCs w:val="13"/>
                  <w:color w:val="0000EE"/>
                </w:rPr>
                <w:t>102</w:t>
              </w:r>
            </w:hyperlink>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80" w:type="dxa"/>
            <w:vAlign w:val="bottom"/>
            <w:tcBorders>
              <w:left w:val="single" w:sz="8" w:color="0000EE"/>
            </w:tcBorders>
            <w:shd w:val="clear" w:color="auto" w:fill="0000EE"/>
          </w:tcPr>
          <w:p>
            <w:pPr>
              <w:spacing w:after="0"/>
              <w:rPr>
                <w:sz w:val="2"/>
                <w:szCs w:val="2"/>
                <w:color w:val="auto"/>
              </w:rPr>
            </w:pPr>
          </w:p>
        </w:tc>
        <w:tc>
          <w:tcPr>
            <w:tcW w:w="340" w:type="dxa"/>
            <w:vAlign w:val="bottom"/>
            <w:tcBorders>
              <w:left w:val="single" w:sz="8" w:color="0000EE"/>
            </w:tcBorders>
          </w:tcPr>
          <w:p>
            <w:pPr>
              <w:spacing w:after="0"/>
              <w:rPr>
                <w:sz w:val="2"/>
                <w:szCs w:val="2"/>
                <w:color w:val="auto"/>
              </w:rPr>
            </w:pPr>
          </w:p>
        </w:tc>
        <w:tc>
          <w:tcPr>
            <w:tcW w:w="80" w:type="dxa"/>
            <w:vAlign w:val="bottom"/>
          </w:tcPr>
          <w:p>
            <w:pPr>
              <w:spacing w:after="0"/>
              <w:rPr>
                <w:sz w:val="2"/>
                <w:szCs w:val="2"/>
                <w:color w:val="auto"/>
              </w:rPr>
            </w:pPr>
          </w:p>
        </w:tc>
        <w:tc>
          <w:tcPr>
            <w:tcW w:w="60" w:type="dxa"/>
            <w:vAlign w:val="bottom"/>
          </w:tcPr>
          <w:p>
            <w:pPr>
              <w:spacing w:after="0"/>
              <w:rPr>
                <w:sz w:val="2"/>
                <w:szCs w:val="2"/>
                <w:color w:val="auto"/>
              </w:rPr>
            </w:pPr>
          </w:p>
        </w:tc>
        <w:tc>
          <w:tcPr>
            <w:tcW w:w="440" w:type="dxa"/>
            <w:vAlign w:val="bottom"/>
            <w:shd w:val="clear" w:color="auto" w:fill="0000EE"/>
          </w:tcPr>
          <w:p>
            <w:pPr>
              <w:spacing w:after="0"/>
              <w:rPr>
                <w:sz w:val="2"/>
                <w:szCs w:val="2"/>
                <w:color w:val="auto"/>
              </w:rPr>
            </w:pPr>
          </w:p>
        </w:tc>
        <w:tc>
          <w:tcPr>
            <w:tcW w:w="140" w:type="dxa"/>
            <w:vAlign w:val="bottom"/>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280" w:type="dxa"/>
            <w:vAlign w:val="bottom"/>
          </w:tcPr>
          <w:p>
            <w:pPr>
              <w:spacing w:after="0"/>
              <w:rPr>
                <w:sz w:val="2"/>
                <w:szCs w:val="2"/>
                <w:color w:val="auto"/>
              </w:rPr>
            </w:pPr>
          </w:p>
        </w:tc>
        <w:tc>
          <w:tcPr>
            <w:tcW w:w="14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180" w:type="dxa"/>
            <w:vAlign w:val="bottom"/>
          </w:tcPr>
          <w:p>
            <w:pPr>
              <w:spacing w:after="0"/>
              <w:rPr>
                <w:sz w:val="2"/>
                <w:szCs w:val="2"/>
                <w:color w:val="auto"/>
              </w:rPr>
            </w:pPr>
          </w:p>
        </w:tc>
        <w:tc>
          <w:tcPr>
            <w:tcW w:w="200" w:type="dxa"/>
            <w:vAlign w:val="bottom"/>
          </w:tcPr>
          <w:p>
            <w:pPr>
              <w:spacing w:after="0"/>
              <w:rPr>
                <w:sz w:val="2"/>
                <w:szCs w:val="2"/>
                <w:color w:val="auto"/>
              </w:rPr>
            </w:pPr>
          </w:p>
        </w:tc>
        <w:tc>
          <w:tcPr>
            <w:tcW w:w="20" w:type="dxa"/>
            <w:vAlign w:val="bottom"/>
          </w:tcPr>
          <w:p>
            <w:pPr>
              <w:spacing w:after="0"/>
              <w:rPr>
                <w:sz w:val="2"/>
                <w:szCs w:val="2"/>
                <w:color w:val="auto"/>
              </w:rPr>
            </w:pPr>
          </w:p>
        </w:tc>
        <w:tc>
          <w:tcPr>
            <w:tcW w:w="40" w:type="dxa"/>
            <w:vAlign w:val="bottom"/>
          </w:tcPr>
          <w:p>
            <w:pPr>
              <w:spacing w:after="0"/>
              <w:rPr>
                <w:sz w:val="2"/>
                <w:szCs w:val="2"/>
                <w:color w:val="auto"/>
              </w:rPr>
            </w:pPr>
          </w:p>
        </w:tc>
        <w:tc>
          <w:tcPr>
            <w:tcW w:w="80" w:type="dxa"/>
            <w:vAlign w:val="bottom"/>
          </w:tcPr>
          <w:p>
            <w:pPr>
              <w:spacing w:after="0"/>
              <w:rPr>
                <w:sz w:val="2"/>
                <w:szCs w:val="2"/>
                <w:color w:val="auto"/>
              </w:rPr>
            </w:pPr>
          </w:p>
        </w:tc>
        <w:tc>
          <w:tcPr>
            <w:tcW w:w="80" w:type="dxa"/>
            <w:vAlign w:val="bottom"/>
          </w:tcPr>
          <w:p>
            <w:pPr>
              <w:spacing w:after="0"/>
              <w:rPr>
                <w:sz w:val="2"/>
                <w:szCs w:val="2"/>
                <w:color w:val="auto"/>
              </w:rPr>
            </w:pPr>
          </w:p>
        </w:tc>
        <w:tc>
          <w:tcPr>
            <w:tcW w:w="220" w:type="dxa"/>
            <w:vAlign w:val="bottom"/>
          </w:tcPr>
          <w:p>
            <w:pPr>
              <w:spacing w:after="0"/>
              <w:rPr>
                <w:sz w:val="2"/>
                <w:szCs w:val="2"/>
                <w:color w:val="auto"/>
              </w:rPr>
            </w:pPr>
          </w:p>
        </w:tc>
        <w:tc>
          <w:tcPr>
            <w:tcW w:w="200" w:type="dxa"/>
            <w:vAlign w:val="bottom"/>
          </w:tcPr>
          <w:p>
            <w:pPr>
              <w:spacing w:after="0"/>
              <w:rPr>
                <w:sz w:val="2"/>
                <w:szCs w:val="2"/>
                <w:color w:val="auto"/>
              </w:rPr>
            </w:pPr>
          </w:p>
        </w:tc>
        <w:tc>
          <w:tcPr>
            <w:tcW w:w="240" w:type="dxa"/>
            <w:vAlign w:val="bottom"/>
          </w:tcPr>
          <w:p>
            <w:pPr>
              <w:spacing w:after="0"/>
              <w:rPr>
                <w:sz w:val="2"/>
                <w:szCs w:val="2"/>
                <w:color w:val="auto"/>
              </w:rPr>
            </w:pPr>
          </w:p>
        </w:tc>
        <w:tc>
          <w:tcPr>
            <w:tcW w:w="320" w:type="dxa"/>
            <w:vAlign w:val="bottom"/>
          </w:tcPr>
          <w:p>
            <w:pPr>
              <w:spacing w:after="0"/>
              <w:rPr>
                <w:sz w:val="2"/>
                <w:szCs w:val="2"/>
                <w:color w:val="auto"/>
              </w:rPr>
            </w:pPr>
          </w:p>
        </w:tc>
        <w:tc>
          <w:tcPr>
            <w:tcW w:w="360" w:type="dxa"/>
            <w:vAlign w:val="bottom"/>
          </w:tcPr>
          <w:p>
            <w:pPr>
              <w:spacing w:after="0"/>
              <w:rPr>
                <w:sz w:val="2"/>
                <w:szCs w:val="2"/>
                <w:color w:val="auto"/>
              </w:rPr>
            </w:pPr>
          </w:p>
        </w:tc>
        <w:tc>
          <w:tcPr>
            <w:tcW w:w="240" w:type="dxa"/>
            <w:vAlign w:val="bottom"/>
          </w:tcPr>
          <w:p>
            <w:pPr>
              <w:spacing w:after="0"/>
              <w:rPr>
                <w:sz w:val="2"/>
                <w:szCs w:val="2"/>
                <w:color w:val="auto"/>
              </w:rPr>
            </w:pPr>
          </w:p>
        </w:tc>
        <w:tc>
          <w:tcPr>
            <w:tcW w:w="220" w:type="dxa"/>
            <w:vAlign w:val="bottom"/>
          </w:tcPr>
          <w:p>
            <w:pPr>
              <w:spacing w:after="0"/>
              <w:rPr>
                <w:sz w:val="2"/>
                <w:szCs w:val="2"/>
                <w:color w:val="auto"/>
              </w:rPr>
            </w:pPr>
          </w:p>
        </w:tc>
        <w:tc>
          <w:tcPr>
            <w:tcW w:w="100" w:type="dxa"/>
            <w:vAlign w:val="bottom"/>
          </w:tcPr>
          <w:p>
            <w:pPr>
              <w:spacing w:after="0"/>
              <w:rPr>
                <w:sz w:val="2"/>
                <w:szCs w:val="2"/>
                <w:color w:val="auto"/>
              </w:rPr>
            </w:pPr>
          </w:p>
        </w:tc>
        <w:tc>
          <w:tcPr>
            <w:tcW w:w="320" w:type="dxa"/>
            <w:vAlign w:val="bottom"/>
          </w:tcPr>
          <w:p>
            <w:pPr>
              <w:spacing w:after="0"/>
              <w:rPr>
                <w:sz w:val="2"/>
                <w:szCs w:val="2"/>
                <w:color w:val="auto"/>
              </w:rPr>
            </w:pPr>
          </w:p>
        </w:tc>
        <w:tc>
          <w:tcPr>
            <w:tcW w:w="640" w:type="dxa"/>
            <w:vAlign w:val="bottom"/>
          </w:tcPr>
          <w:p>
            <w:pPr>
              <w:spacing w:after="0"/>
              <w:rPr>
                <w:sz w:val="2"/>
                <w:szCs w:val="2"/>
                <w:color w:val="auto"/>
              </w:rPr>
            </w:pPr>
          </w:p>
        </w:tc>
        <w:tc>
          <w:tcPr>
            <w:tcW w:w="2940" w:type="dxa"/>
            <w:vAlign w:val="bottom"/>
          </w:tcPr>
          <w:p>
            <w:pPr>
              <w:spacing w:after="0"/>
              <w:rPr>
                <w:sz w:val="2"/>
                <w:szCs w:val="2"/>
                <w:color w:val="auto"/>
              </w:rPr>
            </w:pPr>
          </w:p>
        </w:tc>
        <w:tc>
          <w:tcPr>
            <w:tcW w:w="2960" w:type="dxa"/>
            <w:vAlign w:val="bottom"/>
          </w:tcPr>
          <w:p>
            <w:pPr>
              <w:spacing w:after="0"/>
              <w:rPr>
                <w:sz w:val="2"/>
                <w:szCs w:val="2"/>
                <w:color w:val="auto"/>
              </w:rPr>
            </w:pPr>
          </w:p>
        </w:tc>
        <w:tc>
          <w:tcPr>
            <w:tcW w:w="200" w:type="dxa"/>
            <w:vAlign w:val="bottom"/>
            <w:shd w:val="clear" w:color="auto" w:fill="0000EE"/>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25"/>
        </w:trPr>
        <w:tc>
          <w:tcPr>
            <w:tcW w:w="20" w:type="dxa"/>
            <w:vAlign w:val="bottom"/>
            <w:vMerge w:val="continue"/>
          </w:tcPr>
          <w:p>
            <w:pPr>
              <w:spacing w:after="0"/>
              <w:rPr>
                <w:sz w:val="10"/>
                <w:szCs w:val="10"/>
                <w:color w:val="auto"/>
              </w:rPr>
            </w:pPr>
          </w:p>
        </w:tc>
        <w:tc>
          <w:tcPr>
            <w:tcW w:w="80" w:type="dxa"/>
            <w:vAlign w:val="bottom"/>
            <w:tcBorders>
              <w:left w:val="single" w:sz="8" w:color="CCEEFF"/>
            </w:tcBorders>
            <w:shd w:val="clear" w:color="auto" w:fill="CCEEFF"/>
          </w:tcPr>
          <w:p>
            <w:pPr>
              <w:spacing w:after="0"/>
              <w:rPr>
                <w:rFonts w:ascii="Arial" w:cs="Arial" w:eastAsia="Arial" w:hAnsi="Arial"/>
                <w:sz w:val="5"/>
                <w:szCs w:val="5"/>
                <w:color w:val="0000EE"/>
                <w:w w:val="83"/>
              </w:rPr>
            </w:pPr>
            <w:hyperlink w:anchor="page104">
              <w:r>
                <w:rPr>
                  <w:rFonts w:ascii="Arial" w:cs="Arial" w:eastAsia="Arial" w:hAnsi="Arial"/>
                  <w:sz w:val="5"/>
                  <w:szCs w:val="5"/>
                  <w:color w:val="0000EE"/>
                  <w:w w:val="83"/>
                </w:rPr>
                <w:t>B.</w:t>
              </w:r>
            </w:hyperlink>
          </w:p>
        </w:tc>
        <w:tc>
          <w:tcPr>
            <w:tcW w:w="480" w:type="dxa"/>
            <w:vAlign w:val="bottom"/>
            <w:tcBorders>
              <w:left w:val="single" w:sz="8" w:color="CCEEFF"/>
            </w:tcBorders>
            <w:gridSpan w:val="3"/>
            <w:shd w:val="clear" w:color="auto" w:fill="CCEEFF"/>
          </w:tcPr>
          <w:p>
            <w:pPr>
              <w:spacing w:after="0"/>
              <w:rPr>
                <w:sz w:val="10"/>
                <w:szCs w:val="10"/>
                <w:color w:val="auto"/>
              </w:rPr>
            </w:pPr>
          </w:p>
        </w:tc>
        <w:tc>
          <w:tcPr>
            <w:tcW w:w="2160" w:type="dxa"/>
            <w:vAlign w:val="bottom"/>
            <w:gridSpan w:val="14"/>
            <w:shd w:val="clear" w:color="auto" w:fill="CCEEFF"/>
          </w:tcPr>
          <w:p>
            <w:pPr>
              <w:spacing w:after="0" w:line="125" w:lineRule="exact"/>
              <w:rPr>
                <w:rFonts w:ascii="Arial" w:cs="Arial" w:eastAsia="Arial" w:hAnsi="Arial"/>
                <w:sz w:val="13"/>
                <w:szCs w:val="13"/>
                <w:color w:val="0000EE"/>
                <w:w w:val="90"/>
              </w:rPr>
            </w:pPr>
            <w:hyperlink w:anchor="page104">
              <w:r>
                <w:rPr>
                  <w:rFonts w:ascii="Arial" w:cs="Arial" w:eastAsia="Arial" w:hAnsi="Arial"/>
                  <w:sz w:val="13"/>
                  <w:szCs w:val="13"/>
                  <w:color w:val="0000EE"/>
                  <w:w w:val="90"/>
                </w:rPr>
                <w:t>Memorandum and Articles of Association</w:t>
              </w:r>
            </w:hyperlink>
          </w:p>
        </w:tc>
        <w:tc>
          <w:tcPr>
            <w:tcW w:w="5580" w:type="dxa"/>
            <w:vAlign w:val="bottom"/>
            <w:gridSpan w:val="10"/>
            <w:shd w:val="clear" w:color="auto" w:fill="CCEEFF"/>
          </w:tcPr>
          <w:p>
            <w:pPr>
              <w:spacing w:after="0"/>
              <w:rPr>
                <w:sz w:val="10"/>
                <w:szCs w:val="10"/>
                <w:color w:val="auto"/>
              </w:rPr>
            </w:pPr>
          </w:p>
        </w:tc>
        <w:tc>
          <w:tcPr>
            <w:tcW w:w="3160" w:type="dxa"/>
            <w:vAlign w:val="bottom"/>
            <w:gridSpan w:val="2"/>
            <w:shd w:val="clear" w:color="auto" w:fill="CCEEFF"/>
          </w:tcPr>
          <w:p>
            <w:pPr>
              <w:jc w:val="right"/>
              <w:spacing w:after="0" w:line="125" w:lineRule="exact"/>
              <w:rPr>
                <w:rFonts w:ascii="Arial" w:cs="Arial" w:eastAsia="Arial" w:hAnsi="Arial"/>
                <w:sz w:val="13"/>
                <w:szCs w:val="13"/>
                <w:color w:val="0000EE"/>
              </w:rPr>
            </w:pPr>
            <w:hyperlink w:anchor="page104">
              <w:r>
                <w:rPr>
                  <w:rFonts w:ascii="Arial" w:cs="Arial" w:eastAsia="Arial" w:hAnsi="Arial"/>
                  <w:sz w:val="13"/>
                  <w:szCs w:val="13"/>
                  <w:color w:val="0000EE"/>
                </w:rPr>
                <w:t>102</w:t>
              </w:r>
            </w:hyperlink>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80" w:type="dxa"/>
            <w:vAlign w:val="bottom"/>
            <w:tcBorders>
              <w:left w:val="single" w:sz="8" w:color="0000EE"/>
            </w:tcBorders>
            <w:shd w:val="clear" w:color="auto" w:fill="0000EE"/>
          </w:tcPr>
          <w:p>
            <w:pPr>
              <w:spacing w:after="0"/>
              <w:rPr>
                <w:sz w:val="2"/>
                <w:szCs w:val="2"/>
                <w:color w:val="auto"/>
              </w:rPr>
            </w:pPr>
          </w:p>
        </w:tc>
        <w:tc>
          <w:tcPr>
            <w:tcW w:w="340" w:type="dxa"/>
            <w:vAlign w:val="bottom"/>
            <w:tcBorders>
              <w:left w:val="single" w:sz="8" w:color="0000EE"/>
            </w:tcBorders>
            <w:shd w:val="clear" w:color="auto" w:fill="CCEEFF"/>
          </w:tcPr>
          <w:p>
            <w:pPr>
              <w:spacing w:after="0"/>
              <w:rPr>
                <w:sz w:val="2"/>
                <w:szCs w:val="2"/>
                <w:color w:val="auto"/>
              </w:rPr>
            </w:pPr>
          </w:p>
        </w:tc>
        <w:tc>
          <w:tcPr>
            <w:tcW w:w="80" w:type="dxa"/>
            <w:vAlign w:val="bottom"/>
            <w:tcBorders>
              <w:left w:val="single" w:sz="8" w:color="CCEEFF"/>
            </w:tcBorders>
            <w:shd w:val="clear" w:color="auto" w:fill="CCEEFF"/>
          </w:tcPr>
          <w:p>
            <w:pPr>
              <w:spacing w:after="0"/>
              <w:rPr>
                <w:sz w:val="2"/>
                <w:szCs w:val="2"/>
                <w:color w:val="auto"/>
              </w:rPr>
            </w:pPr>
          </w:p>
        </w:tc>
        <w:tc>
          <w:tcPr>
            <w:tcW w:w="60" w:type="dxa"/>
            <w:vAlign w:val="bottom"/>
            <w:shd w:val="clear" w:color="auto" w:fill="CCEEFF"/>
          </w:tcPr>
          <w:p>
            <w:pPr>
              <w:spacing w:after="0"/>
              <w:rPr>
                <w:sz w:val="2"/>
                <w:szCs w:val="2"/>
                <w:color w:val="auto"/>
              </w:rPr>
            </w:pPr>
          </w:p>
        </w:tc>
        <w:tc>
          <w:tcPr>
            <w:tcW w:w="440" w:type="dxa"/>
            <w:vAlign w:val="bottom"/>
            <w:shd w:val="clear" w:color="auto" w:fill="0000EE"/>
          </w:tcPr>
          <w:p>
            <w:pPr>
              <w:spacing w:after="0"/>
              <w:rPr>
                <w:sz w:val="2"/>
                <w:szCs w:val="2"/>
                <w:color w:val="auto"/>
              </w:rPr>
            </w:pPr>
          </w:p>
        </w:tc>
        <w:tc>
          <w:tcPr>
            <w:tcW w:w="140" w:type="dxa"/>
            <w:vAlign w:val="bottom"/>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280" w:type="dxa"/>
            <w:vAlign w:val="bottom"/>
            <w:shd w:val="clear" w:color="auto" w:fill="0000EE"/>
          </w:tcPr>
          <w:p>
            <w:pPr>
              <w:spacing w:after="0"/>
              <w:rPr>
                <w:sz w:val="2"/>
                <w:szCs w:val="2"/>
                <w:color w:val="auto"/>
              </w:rPr>
            </w:pPr>
          </w:p>
        </w:tc>
        <w:tc>
          <w:tcPr>
            <w:tcW w:w="140" w:type="dxa"/>
            <w:vAlign w:val="bottom"/>
            <w:tcBorders>
              <w:left w:val="single" w:sz="8" w:color="0000EE"/>
            </w:tcBorders>
            <w:shd w:val="clear" w:color="auto" w:fill="0000EE"/>
          </w:tcPr>
          <w:p>
            <w:pPr>
              <w:spacing w:after="0"/>
              <w:rPr>
                <w:sz w:val="2"/>
                <w:szCs w:val="2"/>
                <w:color w:val="auto"/>
              </w:rPr>
            </w:pPr>
          </w:p>
        </w:tc>
        <w:tc>
          <w:tcPr>
            <w:tcW w:w="80" w:type="dxa"/>
            <w:vAlign w:val="bottom"/>
            <w:tcBorders>
              <w:left w:val="single" w:sz="8" w:color="0000EE"/>
            </w:tcBorders>
            <w:shd w:val="clear" w:color="auto" w:fill="0000EE"/>
          </w:tcPr>
          <w:p>
            <w:pPr>
              <w:spacing w:after="0"/>
              <w:rPr>
                <w:sz w:val="2"/>
                <w:szCs w:val="2"/>
                <w:color w:val="auto"/>
              </w:rPr>
            </w:pPr>
          </w:p>
        </w:tc>
        <w:tc>
          <w:tcPr>
            <w:tcW w:w="160" w:type="dxa"/>
            <w:vAlign w:val="bottom"/>
            <w:shd w:val="clear" w:color="auto" w:fill="0000EE"/>
          </w:tcPr>
          <w:p>
            <w:pPr>
              <w:spacing w:after="0"/>
              <w:rPr>
                <w:sz w:val="2"/>
                <w:szCs w:val="2"/>
                <w:color w:val="auto"/>
              </w:rPr>
            </w:pPr>
          </w:p>
        </w:tc>
        <w:tc>
          <w:tcPr>
            <w:tcW w:w="180" w:type="dxa"/>
            <w:vAlign w:val="bottom"/>
            <w:shd w:val="clear" w:color="auto" w:fill="0000EE"/>
          </w:tcPr>
          <w:p>
            <w:pPr>
              <w:spacing w:after="0"/>
              <w:rPr>
                <w:sz w:val="2"/>
                <w:szCs w:val="2"/>
                <w:color w:val="auto"/>
              </w:rPr>
            </w:pPr>
          </w:p>
        </w:tc>
        <w:tc>
          <w:tcPr>
            <w:tcW w:w="200" w:type="dxa"/>
            <w:vAlign w:val="bottom"/>
            <w:shd w:val="clear" w:color="auto" w:fill="0000EE"/>
          </w:tcPr>
          <w:p>
            <w:pPr>
              <w:spacing w:after="0"/>
              <w:rPr>
                <w:sz w:val="2"/>
                <w:szCs w:val="2"/>
                <w:color w:val="auto"/>
              </w:rPr>
            </w:pPr>
          </w:p>
        </w:tc>
        <w:tc>
          <w:tcPr>
            <w:tcW w:w="20" w:type="dxa"/>
            <w:vAlign w:val="bottom"/>
            <w:shd w:val="clear" w:color="auto" w:fill="0000EE"/>
          </w:tcPr>
          <w:p>
            <w:pPr>
              <w:spacing w:after="0"/>
              <w:rPr>
                <w:sz w:val="2"/>
                <w:szCs w:val="2"/>
                <w:color w:val="auto"/>
              </w:rPr>
            </w:pPr>
          </w:p>
        </w:tc>
        <w:tc>
          <w:tcPr>
            <w:tcW w:w="4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20" w:type="dxa"/>
            <w:vAlign w:val="bottom"/>
            <w:shd w:val="clear" w:color="auto" w:fill="0000EE"/>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320" w:type="dxa"/>
            <w:vAlign w:val="bottom"/>
            <w:shd w:val="clear" w:color="auto" w:fill="CCEEFF"/>
          </w:tcPr>
          <w:p>
            <w:pPr>
              <w:spacing w:after="0"/>
              <w:rPr>
                <w:sz w:val="2"/>
                <w:szCs w:val="2"/>
                <w:color w:val="auto"/>
              </w:rPr>
            </w:pPr>
          </w:p>
        </w:tc>
        <w:tc>
          <w:tcPr>
            <w:tcW w:w="360" w:type="dxa"/>
            <w:vAlign w:val="bottom"/>
            <w:shd w:val="clear" w:color="auto" w:fill="CCEEFF"/>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320" w:type="dxa"/>
            <w:vAlign w:val="bottom"/>
            <w:shd w:val="clear" w:color="auto" w:fill="CCEEFF"/>
          </w:tcPr>
          <w:p>
            <w:pPr>
              <w:spacing w:after="0"/>
              <w:rPr>
                <w:sz w:val="2"/>
                <w:szCs w:val="2"/>
                <w:color w:val="auto"/>
              </w:rPr>
            </w:pPr>
          </w:p>
        </w:tc>
        <w:tc>
          <w:tcPr>
            <w:tcW w:w="640" w:type="dxa"/>
            <w:vAlign w:val="bottom"/>
            <w:shd w:val="clear" w:color="auto" w:fill="CCEEFF"/>
          </w:tcPr>
          <w:p>
            <w:pPr>
              <w:spacing w:after="0"/>
              <w:rPr>
                <w:sz w:val="2"/>
                <w:szCs w:val="2"/>
                <w:color w:val="auto"/>
              </w:rPr>
            </w:pPr>
          </w:p>
        </w:tc>
        <w:tc>
          <w:tcPr>
            <w:tcW w:w="2940" w:type="dxa"/>
            <w:vAlign w:val="bottom"/>
            <w:shd w:val="clear" w:color="auto" w:fill="CCEEFF"/>
          </w:tcPr>
          <w:p>
            <w:pPr>
              <w:spacing w:after="0"/>
              <w:rPr>
                <w:sz w:val="2"/>
                <w:szCs w:val="2"/>
                <w:color w:val="auto"/>
              </w:rPr>
            </w:pPr>
          </w:p>
        </w:tc>
        <w:tc>
          <w:tcPr>
            <w:tcW w:w="2960" w:type="dxa"/>
            <w:vAlign w:val="bottom"/>
            <w:shd w:val="clear" w:color="auto" w:fill="CCEEFF"/>
          </w:tcPr>
          <w:p>
            <w:pPr>
              <w:spacing w:after="0"/>
              <w:rPr>
                <w:sz w:val="2"/>
                <w:szCs w:val="2"/>
                <w:color w:val="auto"/>
              </w:rPr>
            </w:pPr>
          </w:p>
        </w:tc>
        <w:tc>
          <w:tcPr>
            <w:tcW w:w="200" w:type="dxa"/>
            <w:vAlign w:val="bottom"/>
            <w:shd w:val="clear" w:color="auto" w:fill="0000EE"/>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25"/>
        </w:trPr>
        <w:tc>
          <w:tcPr>
            <w:tcW w:w="20" w:type="dxa"/>
            <w:vAlign w:val="bottom"/>
            <w:vMerge w:val="continue"/>
          </w:tcPr>
          <w:p>
            <w:pPr>
              <w:spacing w:after="0"/>
              <w:rPr>
                <w:sz w:val="10"/>
                <w:szCs w:val="10"/>
                <w:color w:val="auto"/>
              </w:rPr>
            </w:pPr>
          </w:p>
        </w:tc>
        <w:tc>
          <w:tcPr>
            <w:tcW w:w="80" w:type="dxa"/>
            <w:vAlign w:val="bottom"/>
          </w:tcPr>
          <w:p>
            <w:pPr>
              <w:spacing w:after="0"/>
              <w:rPr>
                <w:rFonts w:ascii="Arial" w:cs="Arial" w:eastAsia="Arial" w:hAnsi="Arial"/>
                <w:sz w:val="5"/>
                <w:szCs w:val="5"/>
                <w:color w:val="0000EE"/>
                <w:w w:val="78"/>
              </w:rPr>
            </w:pPr>
            <w:hyperlink w:anchor="page106">
              <w:r>
                <w:rPr>
                  <w:rFonts w:ascii="Arial" w:cs="Arial" w:eastAsia="Arial" w:hAnsi="Arial"/>
                  <w:sz w:val="5"/>
                  <w:szCs w:val="5"/>
                  <w:color w:val="0000EE"/>
                  <w:w w:val="78"/>
                </w:rPr>
                <w:t>C.</w:t>
              </w:r>
            </w:hyperlink>
          </w:p>
        </w:tc>
        <w:tc>
          <w:tcPr>
            <w:tcW w:w="480" w:type="dxa"/>
            <w:vAlign w:val="bottom"/>
            <w:gridSpan w:val="3"/>
          </w:tcPr>
          <w:p>
            <w:pPr>
              <w:spacing w:after="0"/>
              <w:rPr>
                <w:sz w:val="10"/>
                <w:szCs w:val="10"/>
                <w:color w:val="auto"/>
              </w:rPr>
            </w:pPr>
          </w:p>
        </w:tc>
        <w:tc>
          <w:tcPr>
            <w:tcW w:w="960" w:type="dxa"/>
            <w:vAlign w:val="bottom"/>
            <w:gridSpan w:val="4"/>
          </w:tcPr>
          <w:p>
            <w:pPr>
              <w:spacing w:after="0" w:line="125" w:lineRule="exact"/>
              <w:rPr>
                <w:rFonts w:ascii="Arial" w:cs="Arial" w:eastAsia="Arial" w:hAnsi="Arial"/>
                <w:sz w:val="13"/>
                <w:szCs w:val="13"/>
                <w:color w:val="0000EE"/>
                <w:w w:val="87"/>
              </w:rPr>
            </w:pPr>
            <w:hyperlink w:anchor="page106">
              <w:r>
                <w:rPr>
                  <w:rFonts w:ascii="Arial" w:cs="Arial" w:eastAsia="Arial" w:hAnsi="Arial"/>
                  <w:sz w:val="13"/>
                  <w:szCs w:val="13"/>
                  <w:color w:val="0000EE"/>
                  <w:w w:val="87"/>
                </w:rPr>
                <w:t>Material Contracts</w:t>
              </w:r>
            </w:hyperlink>
          </w:p>
        </w:tc>
        <w:tc>
          <w:tcPr>
            <w:tcW w:w="1200" w:type="dxa"/>
            <w:vAlign w:val="bottom"/>
            <w:gridSpan w:val="10"/>
          </w:tcPr>
          <w:p>
            <w:pPr>
              <w:spacing w:after="0"/>
              <w:rPr>
                <w:sz w:val="10"/>
                <w:szCs w:val="10"/>
                <w:color w:val="auto"/>
              </w:rPr>
            </w:pPr>
          </w:p>
        </w:tc>
        <w:tc>
          <w:tcPr>
            <w:tcW w:w="5580" w:type="dxa"/>
            <w:vAlign w:val="bottom"/>
            <w:gridSpan w:val="10"/>
          </w:tcPr>
          <w:p>
            <w:pPr>
              <w:spacing w:after="0"/>
              <w:rPr>
                <w:sz w:val="10"/>
                <w:szCs w:val="10"/>
                <w:color w:val="auto"/>
              </w:rPr>
            </w:pPr>
          </w:p>
        </w:tc>
        <w:tc>
          <w:tcPr>
            <w:tcW w:w="3160" w:type="dxa"/>
            <w:vAlign w:val="bottom"/>
            <w:gridSpan w:val="2"/>
          </w:tcPr>
          <w:p>
            <w:pPr>
              <w:jc w:val="right"/>
              <w:spacing w:after="0" w:line="125" w:lineRule="exact"/>
              <w:rPr>
                <w:rFonts w:ascii="Arial" w:cs="Arial" w:eastAsia="Arial" w:hAnsi="Arial"/>
                <w:sz w:val="13"/>
                <w:szCs w:val="13"/>
                <w:color w:val="0000EE"/>
              </w:rPr>
            </w:pPr>
            <w:hyperlink w:anchor="page106">
              <w:r>
                <w:rPr>
                  <w:rFonts w:ascii="Arial" w:cs="Arial" w:eastAsia="Arial" w:hAnsi="Arial"/>
                  <w:sz w:val="13"/>
                  <w:szCs w:val="13"/>
                  <w:color w:val="0000EE"/>
                </w:rPr>
                <w:t>104</w:t>
              </w:r>
            </w:hyperlink>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80" w:type="dxa"/>
            <w:vAlign w:val="bottom"/>
            <w:tcBorders>
              <w:left w:val="single" w:sz="8" w:color="0000EE"/>
            </w:tcBorders>
            <w:shd w:val="clear" w:color="auto" w:fill="0000EE"/>
          </w:tcPr>
          <w:p>
            <w:pPr>
              <w:spacing w:after="0"/>
              <w:rPr>
                <w:sz w:val="2"/>
                <w:szCs w:val="2"/>
                <w:color w:val="auto"/>
              </w:rPr>
            </w:pPr>
          </w:p>
        </w:tc>
        <w:tc>
          <w:tcPr>
            <w:tcW w:w="340" w:type="dxa"/>
            <w:vAlign w:val="bottom"/>
            <w:tcBorders>
              <w:left w:val="single" w:sz="8" w:color="0000EE"/>
            </w:tcBorders>
          </w:tcPr>
          <w:p>
            <w:pPr>
              <w:spacing w:after="0"/>
              <w:rPr>
                <w:sz w:val="2"/>
                <w:szCs w:val="2"/>
                <w:color w:val="auto"/>
              </w:rPr>
            </w:pPr>
          </w:p>
        </w:tc>
        <w:tc>
          <w:tcPr>
            <w:tcW w:w="80" w:type="dxa"/>
            <w:vAlign w:val="bottom"/>
          </w:tcPr>
          <w:p>
            <w:pPr>
              <w:spacing w:after="0"/>
              <w:rPr>
                <w:sz w:val="2"/>
                <w:szCs w:val="2"/>
                <w:color w:val="auto"/>
              </w:rPr>
            </w:pPr>
          </w:p>
        </w:tc>
        <w:tc>
          <w:tcPr>
            <w:tcW w:w="60" w:type="dxa"/>
            <w:vAlign w:val="bottom"/>
          </w:tcPr>
          <w:p>
            <w:pPr>
              <w:spacing w:after="0"/>
              <w:rPr>
                <w:sz w:val="2"/>
                <w:szCs w:val="2"/>
                <w:color w:val="auto"/>
              </w:rPr>
            </w:pPr>
          </w:p>
        </w:tc>
        <w:tc>
          <w:tcPr>
            <w:tcW w:w="440" w:type="dxa"/>
            <w:vAlign w:val="bottom"/>
            <w:shd w:val="clear" w:color="auto" w:fill="0000EE"/>
          </w:tcPr>
          <w:p>
            <w:pPr>
              <w:spacing w:after="0"/>
              <w:rPr>
                <w:sz w:val="2"/>
                <w:szCs w:val="2"/>
                <w:color w:val="auto"/>
              </w:rPr>
            </w:pPr>
          </w:p>
        </w:tc>
        <w:tc>
          <w:tcPr>
            <w:tcW w:w="140" w:type="dxa"/>
            <w:vAlign w:val="bottom"/>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280" w:type="dxa"/>
            <w:vAlign w:val="bottom"/>
            <w:shd w:val="clear" w:color="auto" w:fill="0000EE"/>
          </w:tcPr>
          <w:p>
            <w:pPr>
              <w:spacing w:after="0"/>
              <w:rPr>
                <w:sz w:val="2"/>
                <w:szCs w:val="2"/>
                <w:color w:val="auto"/>
              </w:rPr>
            </w:pPr>
          </w:p>
        </w:tc>
        <w:tc>
          <w:tcPr>
            <w:tcW w:w="14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180" w:type="dxa"/>
            <w:vAlign w:val="bottom"/>
          </w:tcPr>
          <w:p>
            <w:pPr>
              <w:spacing w:after="0"/>
              <w:rPr>
                <w:sz w:val="2"/>
                <w:szCs w:val="2"/>
                <w:color w:val="auto"/>
              </w:rPr>
            </w:pPr>
          </w:p>
        </w:tc>
        <w:tc>
          <w:tcPr>
            <w:tcW w:w="200" w:type="dxa"/>
            <w:vAlign w:val="bottom"/>
          </w:tcPr>
          <w:p>
            <w:pPr>
              <w:spacing w:after="0"/>
              <w:rPr>
                <w:sz w:val="2"/>
                <w:szCs w:val="2"/>
                <w:color w:val="auto"/>
              </w:rPr>
            </w:pPr>
          </w:p>
        </w:tc>
        <w:tc>
          <w:tcPr>
            <w:tcW w:w="20" w:type="dxa"/>
            <w:vAlign w:val="bottom"/>
          </w:tcPr>
          <w:p>
            <w:pPr>
              <w:spacing w:after="0"/>
              <w:rPr>
                <w:sz w:val="2"/>
                <w:szCs w:val="2"/>
                <w:color w:val="auto"/>
              </w:rPr>
            </w:pPr>
          </w:p>
        </w:tc>
        <w:tc>
          <w:tcPr>
            <w:tcW w:w="40" w:type="dxa"/>
            <w:vAlign w:val="bottom"/>
          </w:tcPr>
          <w:p>
            <w:pPr>
              <w:spacing w:after="0"/>
              <w:rPr>
                <w:sz w:val="2"/>
                <w:szCs w:val="2"/>
                <w:color w:val="auto"/>
              </w:rPr>
            </w:pPr>
          </w:p>
        </w:tc>
        <w:tc>
          <w:tcPr>
            <w:tcW w:w="80" w:type="dxa"/>
            <w:vAlign w:val="bottom"/>
          </w:tcPr>
          <w:p>
            <w:pPr>
              <w:spacing w:after="0"/>
              <w:rPr>
                <w:sz w:val="2"/>
                <w:szCs w:val="2"/>
                <w:color w:val="auto"/>
              </w:rPr>
            </w:pPr>
          </w:p>
        </w:tc>
        <w:tc>
          <w:tcPr>
            <w:tcW w:w="80" w:type="dxa"/>
            <w:vAlign w:val="bottom"/>
          </w:tcPr>
          <w:p>
            <w:pPr>
              <w:spacing w:after="0"/>
              <w:rPr>
                <w:sz w:val="2"/>
                <w:szCs w:val="2"/>
                <w:color w:val="auto"/>
              </w:rPr>
            </w:pPr>
          </w:p>
        </w:tc>
        <w:tc>
          <w:tcPr>
            <w:tcW w:w="220" w:type="dxa"/>
            <w:vAlign w:val="bottom"/>
          </w:tcPr>
          <w:p>
            <w:pPr>
              <w:spacing w:after="0"/>
              <w:rPr>
                <w:sz w:val="2"/>
                <w:szCs w:val="2"/>
                <w:color w:val="auto"/>
              </w:rPr>
            </w:pPr>
          </w:p>
        </w:tc>
        <w:tc>
          <w:tcPr>
            <w:tcW w:w="200" w:type="dxa"/>
            <w:vAlign w:val="bottom"/>
          </w:tcPr>
          <w:p>
            <w:pPr>
              <w:spacing w:after="0"/>
              <w:rPr>
                <w:sz w:val="2"/>
                <w:szCs w:val="2"/>
                <w:color w:val="auto"/>
              </w:rPr>
            </w:pPr>
          </w:p>
        </w:tc>
        <w:tc>
          <w:tcPr>
            <w:tcW w:w="240" w:type="dxa"/>
            <w:vAlign w:val="bottom"/>
          </w:tcPr>
          <w:p>
            <w:pPr>
              <w:spacing w:after="0"/>
              <w:rPr>
                <w:sz w:val="2"/>
                <w:szCs w:val="2"/>
                <w:color w:val="auto"/>
              </w:rPr>
            </w:pPr>
          </w:p>
        </w:tc>
        <w:tc>
          <w:tcPr>
            <w:tcW w:w="320" w:type="dxa"/>
            <w:vAlign w:val="bottom"/>
          </w:tcPr>
          <w:p>
            <w:pPr>
              <w:spacing w:after="0"/>
              <w:rPr>
                <w:sz w:val="2"/>
                <w:szCs w:val="2"/>
                <w:color w:val="auto"/>
              </w:rPr>
            </w:pPr>
          </w:p>
        </w:tc>
        <w:tc>
          <w:tcPr>
            <w:tcW w:w="360" w:type="dxa"/>
            <w:vAlign w:val="bottom"/>
          </w:tcPr>
          <w:p>
            <w:pPr>
              <w:spacing w:after="0"/>
              <w:rPr>
                <w:sz w:val="2"/>
                <w:szCs w:val="2"/>
                <w:color w:val="auto"/>
              </w:rPr>
            </w:pPr>
          </w:p>
        </w:tc>
        <w:tc>
          <w:tcPr>
            <w:tcW w:w="240" w:type="dxa"/>
            <w:vAlign w:val="bottom"/>
          </w:tcPr>
          <w:p>
            <w:pPr>
              <w:spacing w:after="0"/>
              <w:rPr>
                <w:sz w:val="2"/>
                <w:szCs w:val="2"/>
                <w:color w:val="auto"/>
              </w:rPr>
            </w:pPr>
          </w:p>
        </w:tc>
        <w:tc>
          <w:tcPr>
            <w:tcW w:w="220" w:type="dxa"/>
            <w:vAlign w:val="bottom"/>
          </w:tcPr>
          <w:p>
            <w:pPr>
              <w:spacing w:after="0"/>
              <w:rPr>
                <w:sz w:val="2"/>
                <w:szCs w:val="2"/>
                <w:color w:val="auto"/>
              </w:rPr>
            </w:pPr>
          </w:p>
        </w:tc>
        <w:tc>
          <w:tcPr>
            <w:tcW w:w="100" w:type="dxa"/>
            <w:vAlign w:val="bottom"/>
          </w:tcPr>
          <w:p>
            <w:pPr>
              <w:spacing w:after="0"/>
              <w:rPr>
                <w:sz w:val="2"/>
                <w:szCs w:val="2"/>
                <w:color w:val="auto"/>
              </w:rPr>
            </w:pPr>
          </w:p>
        </w:tc>
        <w:tc>
          <w:tcPr>
            <w:tcW w:w="320" w:type="dxa"/>
            <w:vAlign w:val="bottom"/>
          </w:tcPr>
          <w:p>
            <w:pPr>
              <w:spacing w:after="0"/>
              <w:rPr>
                <w:sz w:val="2"/>
                <w:szCs w:val="2"/>
                <w:color w:val="auto"/>
              </w:rPr>
            </w:pPr>
          </w:p>
        </w:tc>
        <w:tc>
          <w:tcPr>
            <w:tcW w:w="640" w:type="dxa"/>
            <w:vAlign w:val="bottom"/>
          </w:tcPr>
          <w:p>
            <w:pPr>
              <w:spacing w:after="0"/>
              <w:rPr>
                <w:sz w:val="2"/>
                <w:szCs w:val="2"/>
                <w:color w:val="auto"/>
              </w:rPr>
            </w:pPr>
          </w:p>
        </w:tc>
        <w:tc>
          <w:tcPr>
            <w:tcW w:w="2940" w:type="dxa"/>
            <w:vAlign w:val="bottom"/>
          </w:tcPr>
          <w:p>
            <w:pPr>
              <w:spacing w:after="0"/>
              <w:rPr>
                <w:sz w:val="2"/>
                <w:szCs w:val="2"/>
                <w:color w:val="auto"/>
              </w:rPr>
            </w:pPr>
          </w:p>
        </w:tc>
        <w:tc>
          <w:tcPr>
            <w:tcW w:w="2960" w:type="dxa"/>
            <w:vAlign w:val="bottom"/>
          </w:tcPr>
          <w:p>
            <w:pPr>
              <w:spacing w:after="0"/>
              <w:rPr>
                <w:sz w:val="2"/>
                <w:szCs w:val="2"/>
                <w:color w:val="auto"/>
              </w:rPr>
            </w:pPr>
          </w:p>
        </w:tc>
        <w:tc>
          <w:tcPr>
            <w:tcW w:w="200" w:type="dxa"/>
            <w:vAlign w:val="bottom"/>
            <w:shd w:val="clear" w:color="auto" w:fill="0000EE"/>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25"/>
        </w:trPr>
        <w:tc>
          <w:tcPr>
            <w:tcW w:w="20" w:type="dxa"/>
            <w:vAlign w:val="bottom"/>
            <w:vMerge w:val="continue"/>
          </w:tcPr>
          <w:p>
            <w:pPr>
              <w:spacing w:after="0"/>
              <w:rPr>
                <w:sz w:val="10"/>
                <w:szCs w:val="10"/>
                <w:color w:val="auto"/>
              </w:rPr>
            </w:pPr>
          </w:p>
        </w:tc>
        <w:tc>
          <w:tcPr>
            <w:tcW w:w="560" w:type="dxa"/>
            <w:vAlign w:val="bottom"/>
            <w:tcBorders>
              <w:left w:val="single" w:sz="8" w:color="CCEEFF"/>
            </w:tcBorders>
            <w:gridSpan w:val="4"/>
            <w:shd w:val="clear" w:color="auto" w:fill="CCEEFF"/>
          </w:tcPr>
          <w:p>
            <w:pPr>
              <w:spacing w:after="0" w:line="125" w:lineRule="exact"/>
              <w:rPr>
                <w:rFonts w:ascii="Arial" w:cs="Arial" w:eastAsia="Arial" w:hAnsi="Arial"/>
                <w:sz w:val="13"/>
                <w:szCs w:val="13"/>
                <w:color w:val="0000EE"/>
              </w:rPr>
            </w:pPr>
            <w:hyperlink w:anchor="page106">
              <w:r>
                <w:rPr>
                  <w:rFonts w:ascii="Arial" w:cs="Arial" w:eastAsia="Arial" w:hAnsi="Arial"/>
                  <w:sz w:val="13"/>
                  <w:szCs w:val="13"/>
                  <w:color w:val="0000EE"/>
                </w:rPr>
                <w:t>D.</w:t>
              </w:r>
            </w:hyperlink>
          </w:p>
        </w:tc>
        <w:tc>
          <w:tcPr>
            <w:tcW w:w="7740" w:type="dxa"/>
            <w:vAlign w:val="bottom"/>
            <w:gridSpan w:val="24"/>
            <w:shd w:val="clear" w:color="auto" w:fill="CCEEFF"/>
          </w:tcPr>
          <w:p>
            <w:pPr>
              <w:spacing w:after="0" w:line="125" w:lineRule="exact"/>
              <w:rPr>
                <w:rFonts w:ascii="Arial" w:cs="Arial" w:eastAsia="Arial" w:hAnsi="Arial"/>
                <w:sz w:val="13"/>
                <w:szCs w:val="13"/>
                <w:color w:val="0000EE"/>
              </w:rPr>
            </w:pPr>
            <w:hyperlink w:anchor="page106">
              <w:r>
                <w:rPr>
                  <w:rFonts w:ascii="Arial" w:cs="Arial" w:eastAsia="Arial" w:hAnsi="Arial"/>
                  <w:sz w:val="13"/>
                  <w:szCs w:val="13"/>
                  <w:color w:val="0000EE"/>
                </w:rPr>
                <w:t>Exchange Controls</w:t>
              </w:r>
            </w:hyperlink>
          </w:p>
        </w:tc>
        <w:tc>
          <w:tcPr>
            <w:tcW w:w="3160" w:type="dxa"/>
            <w:vAlign w:val="bottom"/>
            <w:gridSpan w:val="2"/>
            <w:shd w:val="clear" w:color="auto" w:fill="CCEEFF"/>
          </w:tcPr>
          <w:p>
            <w:pPr>
              <w:jc w:val="right"/>
              <w:spacing w:after="0" w:line="125" w:lineRule="exact"/>
              <w:rPr>
                <w:rFonts w:ascii="Arial" w:cs="Arial" w:eastAsia="Arial" w:hAnsi="Arial"/>
                <w:sz w:val="13"/>
                <w:szCs w:val="13"/>
                <w:color w:val="0000EE"/>
              </w:rPr>
            </w:pPr>
            <w:hyperlink w:anchor="page106">
              <w:r>
                <w:rPr>
                  <w:rFonts w:ascii="Arial" w:cs="Arial" w:eastAsia="Arial" w:hAnsi="Arial"/>
                  <w:sz w:val="13"/>
                  <w:szCs w:val="13"/>
                  <w:color w:val="0000EE"/>
                </w:rPr>
                <w:t>104</w:t>
              </w:r>
            </w:hyperlink>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80" w:type="dxa"/>
            <w:vAlign w:val="bottom"/>
            <w:tcBorders>
              <w:left w:val="single" w:sz="8" w:color="0000EE"/>
            </w:tcBorders>
            <w:shd w:val="clear" w:color="auto" w:fill="0000EE"/>
          </w:tcPr>
          <w:p>
            <w:pPr>
              <w:spacing w:after="0"/>
              <w:rPr>
                <w:sz w:val="2"/>
                <w:szCs w:val="2"/>
                <w:color w:val="auto"/>
              </w:rPr>
            </w:pPr>
          </w:p>
        </w:tc>
        <w:tc>
          <w:tcPr>
            <w:tcW w:w="340" w:type="dxa"/>
            <w:vAlign w:val="bottom"/>
            <w:tcBorders>
              <w:left w:val="single" w:sz="8" w:color="0000EE"/>
            </w:tcBorders>
            <w:shd w:val="clear" w:color="auto" w:fill="CCEEFF"/>
          </w:tcPr>
          <w:p>
            <w:pPr>
              <w:spacing w:after="0"/>
              <w:rPr>
                <w:sz w:val="2"/>
                <w:szCs w:val="2"/>
                <w:color w:val="auto"/>
              </w:rPr>
            </w:pPr>
          </w:p>
        </w:tc>
        <w:tc>
          <w:tcPr>
            <w:tcW w:w="80" w:type="dxa"/>
            <w:vAlign w:val="bottom"/>
            <w:tcBorders>
              <w:left w:val="single" w:sz="8" w:color="CCEEFF"/>
            </w:tcBorders>
            <w:shd w:val="clear" w:color="auto" w:fill="CCEEFF"/>
          </w:tcPr>
          <w:p>
            <w:pPr>
              <w:spacing w:after="0"/>
              <w:rPr>
                <w:sz w:val="2"/>
                <w:szCs w:val="2"/>
                <w:color w:val="auto"/>
              </w:rPr>
            </w:pPr>
          </w:p>
        </w:tc>
        <w:tc>
          <w:tcPr>
            <w:tcW w:w="60" w:type="dxa"/>
            <w:vAlign w:val="bottom"/>
            <w:shd w:val="clear" w:color="auto" w:fill="CCEEFF"/>
          </w:tcPr>
          <w:p>
            <w:pPr>
              <w:spacing w:after="0"/>
              <w:rPr>
                <w:sz w:val="2"/>
                <w:szCs w:val="2"/>
                <w:color w:val="auto"/>
              </w:rPr>
            </w:pPr>
          </w:p>
        </w:tc>
        <w:tc>
          <w:tcPr>
            <w:tcW w:w="440" w:type="dxa"/>
            <w:vAlign w:val="bottom"/>
            <w:shd w:val="clear" w:color="auto" w:fill="0000EE"/>
          </w:tcPr>
          <w:p>
            <w:pPr>
              <w:spacing w:after="0"/>
              <w:rPr>
                <w:sz w:val="2"/>
                <w:szCs w:val="2"/>
                <w:color w:val="auto"/>
              </w:rPr>
            </w:pPr>
          </w:p>
        </w:tc>
        <w:tc>
          <w:tcPr>
            <w:tcW w:w="140" w:type="dxa"/>
            <w:vAlign w:val="bottom"/>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280" w:type="dxa"/>
            <w:vAlign w:val="bottom"/>
            <w:shd w:val="clear" w:color="auto" w:fill="0000EE"/>
          </w:tcPr>
          <w:p>
            <w:pPr>
              <w:spacing w:after="0"/>
              <w:rPr>
                <w:sz w:val="2"/>
                <w:szCs w:val="2"/>
                <w:color w:val="auto"/>
              </w:rPr>
            </w:pPr>
          </w:p>
        </w:tc>
        <w:tc>
          <w:tcPr>
            <w:tcW w:w="140" w:type="dxa"/>
            <w:vAlign w:val="bottom"/>
            <w:tcBorders>
              <w:left w:val="single" w:sz="8" w:color="CCEEFF"/>
            </w:tcBorders>
            <w:shd w:val="clear" w:color="auto" w:fill="CCEEFF"/>
          </w:tcPr>
          <w:p>
            <w:pPr>
              <w:spacing w:after="0"/>
              <w:rPr>
                <w:sz w:val="2"/>
                <w:szCs w:val="2"/>
                <w:color w:val="auto"/>
              </w:rPr>
            </w:pPr>
          </w:p>
        </w:tc>
        <w:tc>
          <w:tcPr>
            <w:tcW w:w="80" w:type="dxa"/>
            <w:vAlign w:val="bottom"/>
            <w:tcBorders>
              <w:left w:val="single" w:sz="8" w:color="CCEEFF"/>
            </w:tcBorders>
            <w:shd w:val="clear" w:color="auto" w:fill="CCEEFF"/>
          </w:tcPr>
          <w:p>
            <w:pPr>
              <w:spacing w:after="0"/>
              <w:rPr>
                <w:sz w:val="2"/>
                <w:szCs w:val="2"/>
                <w:color w:val="auto"/>
              </w:rPr>
            </w:pPr>
          </w:p>
        </w:tc>
        <w:tc>
          <w:tcPr>
            <w:tcW w:w="160" w:type="dxa"/>
            <w:vAlign w:val="bottom"/>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20" w:type="dxa"/>
            <w:vAlign w:val="bottom"/>
            <w:shd w:val="clear" w:color="auto" w:fill="CCEEFF"/>
          </w:tcPr>
          <w:p>
            <w:pPr>
              <w:spacing w:after="0"/>
              <w:rPr>
                <w:sz w:val="2"/>
                <w:szCs w:val="2"/>
                <w:color w:val="auto"/>
              </w:rPr>
            </w:pPr>
          </w:p>
        </w:tc>
        <w:tc>
          <w:tcPr>
            <w:tcW w:w="4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320" w:type="dxa"/>
            <w:vAlign w:val="bottom"/>
            <w:shd w:val="clear" w:color="auto" w:fill="CCEEFF"/>
          </w:tcPr>
          <w:p>
            <w:pPr>
              <w:spacing w:after="0"/>
              <w:rPr>
                <w:sz w:val="2"/>
                <w:szCs w:val="2"/>
                <w:color w:val="auto"/>
              </w:rPr>
            </w:pPr>
          </w:p>
        </w:tc>
        <w:tc>
          <w:tcPr>
            <w:tcW w:w="360" w:type="dxa"/>
            <w:vAlign w:val="bottom"/>
            <w:shd w:val="clear" w:color="auto" w:fill="CCEEFF"/>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320" w:type="dxa"/>
            <w:vAlign w:val="bottom"/>
            <w:shd w:val="clear" w:color="auto" w:fill="CCEEFF"/>
          </w:tcPr>
          <w:p>
            <w:pPr>
              <w:spacing w:after="0"/>
              <w:rPr>
                <w:sz w:val="2"/>
                <w:szCs w:val="2"/>
                <w:color w:val="auto"/>
              </w:rPr>
            </w:pPr>
          </w:p>
        </w:tc>
        <w:tc>
          <w:tcPr>
            <w:tcW w:w="640" w:type="dxa"/>
            <w:vAlign w:val="bottom"/>
            <w:shd w:val="clear" w:color="auto" w:fill="CCEEFF"/>
          </w:tcPr>
          <w:p>
            <w:pPr>
              <w:spacing w:after="0"/>
              <w:rPr>
                <w:sz w:val="2"/>
                <w:szCs w:val="2"/>
                <w:color w:val="auto"/>
              </w:rPr>
            </w:pPr>
          </w:p>
        </w:tc>
        <w:tc>
          <w:tcPr>
            <w:tcW w:w="2940" w:type="dxa"/>
            <w:vAlign w:val="bottom"/>
            <w:shd w:val="clear" w:color="auto" w:fill="CCEEFF"/>
          </w:tcPr>
          <w:p>
            <w:pPr>
              <w:spacing w:after="0"/>
              <w:rPr>
                <w:sz w:val="2"/>
                <w:szCs w:val="2"/>
                <w:color w:val="auto"/>
              </w:rPr>
            </w:pPr>
          </w:p>
        </w:tc>
        <w:tc>
          <w:tcPr>
            <w:tcW w:w="2960" w:type="dxa"/>
            <w:vAlign w:val="bottom"/>
            <w:shd w:val="clear" w:color="auto" w:fill="CCEEFF"/>
          </w:tcPr>
          <w:p>
            <w:pPr>
              <w:spacing w:after="0"/>
              <w:rPr>
                <w:sz w:val="2"/>
                <w:szCs w:val="2"/>
                <w:color w:val="auto"/>
              </w:rPr>
            </w:pPr>
          </w:p>
        </w:tc>
        <w:tc>
          <w:tcPr>
            <w:tcW w:w="200" w:type="dxa"/>
            <w:vAlign w:val="bottom"/>
            <w:shd w:val="clear" w:color="auto" w:fill="0000EE"/>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25"/>
        </w:trPr>
        <w:tc>
          <w:tcPr>
            <w:tcW w:w="20" w:type="dxa"/>
            <w:vAlign w:val="bottom"/>
            <w:vMerge w:val="continue"/>
          </w:tcPr>
          <w:p>
            <w:pPr>
              <w:spacing w:after="0"/>
              <w:rPr>
                <w:sz w:val="10"/>
                <w:szCs w:val="10"/>
                <w:color w:val="auto"/>
              </w:rPr>
            </w:pPr>
          </w:p>
        </w:tc>
        <w:tc>
          <w:tcPr>
            <w:tcW w:w="80" w:type="dxa"/>
            <w:vAlign w:val="bottom"/>
          </w:tcPr>
          <w:p>
            <w:pPr>
              <w:spacing w:after="0"/>
              <w:rPr>
                <w:rFonts w:ascii="Arial" w:cs="Arial" w:eastAsia="Arial" w:hAnsi="Arial"/>
                <w:sz w:val="5"/>
                <w:szCs w:val="5"/>
                <w:color w:val="0000EE"/>
                <w:w w:val="83"/>
              </w:rPr>
            </w:pPr>
            <w:hyperlink w:anchor="page106">
              <w:r>
                <w:rPr>
                  <w:rFonts w:ascii="Arial" w:cs="Arial" w:eastAsia="Arial" w:hAnsi="Arial"/>
                  <w:sz w:val="5"/>
                  <w:szCs w:val="5"/>
                  <w:color w:val="0000EE"/>
                  <w:w w:val="83"/>
                </w:rPr>
                <w:t>E.</w:t>
              </w:r>
            </w:hyperlink>
          </w:p>
        </w:tc>
        <w:tc>
          <w:tcPr>
            <w:tcW w:w="480" w:type="dxa"/>
            <w:vAlign w:val="bottom"/>
            <w:gridSpan w:val="3"/>
          </w:tcPr>
          <w:p>
            <w:pPr>
              <w:spacing w:after="0"/>
              <w:rPr>
                <w:sz w:val="10"/>
                <w:szCs w:val="10"/>
                <w:color w:val="auto"/>
              </w:rPr>
            </w:pPr>
          </w:p>
        </w:tc>
        <w:tc>
          <w:tcPr>
            <w:tcW w:w="960" w:type="dxa"/>
            <w:vAlign w:val="bottom"/>
            <w:gridSpan w:val="4"/>
          </w:tcPr>
          <w:p>
            <w:pPr>
              <w:spacing w:after="0" w:line="125" w:lineRule="exact"/>
              <w:rPr>
                <w:rFonts w:ascii="Arial" w:cs="Arial" w:eastAsia="Arial" w:hAnsi="Arial"/>
                <w:sz w:val="13"/>
                <w:szCs w:val="13"/>
                <w:color w:val="0000EE"/>
              </w:rPr>
            </w:pPr>
            <w:hyperlink w:anchor="page106">
              <w:r>
                <w:rPr>
                  <w:rFonts w:ascii="Arial" w:cs="Arial" w:eastAsia="Arial" w:hAnsi="Arial"/>
                  <w:sz w:val="13"/>
                  <w:szCs w:val="13"/>
                  <w:color w:val="0000EE"/>
                </w:rPr>
                <w:t>Taxation</w:t>
              </w:r>
            </w:hyperlink>
          </w:p>
        </w:tc>
        <w:tc>
          <w:tcPr>
            <w:tcW w:w="6780" w:type="dxa"/>
            <w:vAlign w:val="bottom"/>
            <w:gridSpan w:val="20"/>
          </w:tcPr>
          <w:p>
            <w:pPr>
              <w:spacing w:after="0"/>
              <w:rPr>
                <w:sz w:val="10"/>
                <w:szCs w:val="10"/>
                <w:color w:val="auto"/>
              </w:rPr>
            </w:pPr>
          </w:p>
        </w:tc>
        <w:tc>
          <w:tcPr>
            <w:tcW w:w="3160" w:type="dxa"/>
            <w:vAlign w:val="bottom"/>
            <w:gridSpan w:val="2"/>
          </w:tcPr>
          <w:p>
            <w:pPr>
              <w:jc w:val="right"/>
              <w:spacing w:after="0" w:line="125" w:lineRule="exact"/>
              <w:rPr>
                <w:rFonts w:ascii="Arial" w:cs="Arial" w:eastAsia="Arial" w:hAnsi="Arial"/>
                <w:sz w:val="13"/>
                <w:szCs w:val="13"/>
                <w:color w:val="0000EE"/>
              </w:rPr>
            </w:pPr>
            <w:hyperlink w:anchor="page106">
              <w:r>
                <w:rPr>
                  <w:rFonts w:ascii="Arial" w:cs="Arial" w:eastAsia="Arial" w:hAnsi="Arial"/>
                  <w:sz w:val="13"/>
                  <w:szCs w:val="13"/>
                  <w:color w:val="0000EE"/>
                </w:rPr>
                <w:t>104</w:t>
              </w:r>
            </w:hyperlink>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80" w:type="dxa"/>
            <w:vAlign w:val="bottom"/>
            <w:tcBorders>
              <w:left w:val="single" w:sz="8" w:color="0000EE"/>
            </w:tcBorders>
            <w:shd w:val="clear" w:color="auto" w:fill="0000EE"/>
          </w:tcPr>
          <w:p>
            <w:pPr>
              <w:spacing w:after="0"/>
              <w:rPr>
                <w:sz w:val="2"/>
                <w:szCs w:val="2"/>
                <w:color w:val="auto"/>
              </w:rPr>
            </w:pPr>
          </w:p>
        </w:tc>
        <w:tc>
          <w:tcPr>
            <w:tcW w:w="340" w:type="dxa"/>
            <w:vAlign w:val="bottom"/>
          </w:tcPr>
          <w:p>
            <w:pPr>
              <w:spacing w:after="0"/>
              <w:rPr>
                <w:sz w:val="2"/>
                <w:szCs w:val="2"/>
                <w:color w:val="auto"/>
              </w:rPr>
            </w:pPr>
          </w:p>
        </w:tc>
        <w:tc>
          <w:tcPr>
            <w:tcW w:w="80" w:type="dxa"/>
            <w:vAlign w:val="bottom"/>
          </w:tcPr>
          <w:p>
            <w:pPr>
              <w:spacing w:after="0"/>
              <w:rPr>
                <w:sz w:val="2"/>
                <w:szCs w:val="2"/>
                <w:color w:val="auto"/>
              </w:rPr>
            </w:pPr>
          </w:p>
        </w:tc>
        <w:tc>
          <w:tcPr>
            <w:tcW w:w="60" w:type="dxa"/>
            <w:vAlign w:val="bottom"/>
          </w:tcPr>
          <w:p>
            <w:pPr>
              <w:spacing w:after="0"/>
              <w:rPr>
                <w:sz w:val="2"/>
                <w:szCs w:val="2"/>
                <w:color w:val="auto"/>
              </w:rPr>
            </w:pPr>
          </w:p>
        </w:tc>
        <w:tc>
          <w:tcPr>
            <w:tcW w:w="440" w:type="dxa"/>
            <w:vAlign w:val="bottom"/>
            <w:shd w:val="clear" w:color="auto" w:fill="0000EE"/>
          </w:tcPr>
          <w:p>
            <w:pPr>
              <w:spacing w:after="0"/>
              <w:rPr>
                <w:sz w:val="2"/>
                <w:szCs w:val="2"/>
                <w:color w:val="auto"/>
              </w:rPr>
            </w:pPr>
          </w:p>
        </w:tc>
        <w:tc>
          <w:tcPr>
            <w:tcW w:w="140" w:type="dxa"/>
            <w:vAlign w:val="bottom"/>
          </w:tcPr>
          <w:p>
            <w:pPr>
              <w:spacing w:after="0"/>
              <w:rPr>
                <w:sz w:val="2"/>
                <w:szCs w:val="2"/>
                <w:color w:val="auto"/>
              </w:rPr>
            </w:pPr>
          </w:p>
        </w:tc>
        <w:tc>
          <w:tcPr>
            <w:tcW w:w="100" w:type="dxa"/>
            <w:vAlign w:val="bottom"/>
          </w:tcPr>
          <w:p>
            <w:pPr>
              <w:spacing w:after="0"/>
              <w:rPr>
                <w:sz w:val="2"/>
                <w:szCs w:val="2"/>
                <w:color w:val="auto"/>
              </w:rPr>
            </w:pPr>
          </w:p>
        </w:tc>
        <w:tc>
          <w:tcPr>
            <w:tcW w:w="280" w:type="dxa"/>
            <w:vAlign w:val="bottom"/>
          </w:tcPr>
          <w:p>
            <w:pPr>
              <w:spacing w:after="0"/>
              <w:rPr>
                <w:sz w:val="2"/>
                <w:szCs w:val="2"/>
                <w:color w:val="auto"/>
              </w:rPr>
            </w:pPr>
          </w:p>
        </w:tc>
        <w:tc>
          <w:tcPr>
            <w:tcW w:w="14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180" w:type="dxa"/>
            <w:vAlign w:val="bottom"/>
          </w:tcPr>
          <w:p>
            <w:pPr>
              <w:spacing w:after="0"/>
              <w:rPr>
                <w:sz w:val="2"/>
                <w:szCs w:val="2"/>
                <w:color w:val="auto"/>
              </w:rPr>
            </w:pPr>
          </w:p>
        </w:tc>
        <w:tc>
          <w:tcPr>
            <w:tcW w:w="200" w:type="dxa"/>
            <w:vAlign w:val="bottom"/>
          </w:tcPr>
          <w:p>
            <w:pPr>
              <w:spacing w:after="0"/>
              <w:rPr>
                <w:sz w:val="2"/>
                <w:szCs w:val="2"/>
                <w:color w:val="auto"/>
              </w:rPr>
            </w:pPr>
          </w:p>
        </w:tc>
        <w:tc>
          <w:tcPr>
            <w:tcW w:w="20" w:type="dxa"/>
            <w:vAlign w:val="bottom"/>
          </w:tcPr>
          <w:p>
            <w:pPr>
              <w:spacing w:after="0"/>
              <w:rPr>
                <w:sz w:val="2"/>
                <w:szCs w:val="2"/>
                <w:color w:val="auto"/>
              </w:rPr>
            </w:pPr>
          </w:p>
        </w:tc>
        <w:tc>
          <w:tcPr>
            <w:tcW w:w="40" w:type="dxa"/>
            <w:vAlign w:val="bottom"/>
          </w:tcPr>
          <w:p>
            <w:pPr>
              <w:spacing w:after="0"/>
              <w:rPr>
                <w:sz w:val="2"/>
                <w:szCs w:val="2"/>
                <w:color w:val="auto"/>
              </w:rPr>
            </w:pPr>
          </w:p>
        </w:tc>
        <w:tc>
          <w:tcPr>
            <w:tcW w:w="80" w:type="dxa"/>
            <w:vAlign w:val="bottom"/>
          </w:tcPr>
          <w:p>
            <w:pPr>
              <w:spacing w:after="0"/>
              <w:rPr>
                <w:sz w:val="2"/>
                <w:szCs w:val="2"/>
                <w:color w:val="auto"/>
              </w:rPr>
            </w:pPr>
          </w:p>
        </w:tc>
        <w:tc>
          <w:tcPr>
            <w:tcW w:w="80" w:type="dxa"/>
            <w:vAlign w:val="bottom"/>
          </w:tcPr>
          <w:p>
            <w:pPr>
              <w:spacing w:after="0"/>
              <w:rPr>
                <w:sz w:val="2"/>
                <w:szCs w:val="2"/>
                <w:color w:val="auto"/>
              </w:rPr>
            </w:pPr>
          </w:p>
        </w:tc>
        <w:tc>
          <w:tcPr>
            <w:tcW w:w="220" w:type="dxa"/>
            <w:vAlign w:val="bottom"/>
          </w:tcPr>
          <w:p>
            <w:pPr>
              <w:spacing w:after="0"/>
              <w:rPr>
                <w:sz w:val="2"/>
                <w:szCs w:val="2"/>
                <w:color w:val="auto"/>
              </w:rPr>
            </w:pPr>
          </w:p>
        </w:tc>
        <w:tc>
          <w:tcPr>
            <w:tcW w:w="200" w:type="dxa"/>
            <w:vAlign w:val="bottom"/>
          </w:tcPr>
          <w:p>
            <w:pPr>
              <w:spacing w:after="0"/>
              <w:rPr>
                <w:sz w:val="2"/>
                <w:szCs w:val="2"/>
                <w:color w:val="auto"/>
              </w:rPr>
            </w:pPr>
          </w:p>
        </w:tc>
        <w:tc>
          <w:tcPr>
            <w:tcW w:w="240" w:type="dxa"/>
            <w:vAlign w:val="bottom"/>
          </w:tcPr>
          <w:p>
            <w:pPr>
              <w:spacing w:after="0"/>
              <w:rPr>
                <w:sz w:val="2"/>
                <w:szCs w:val="2"/>
                <w:color w:val="auto"/>
              </w:rPr>
            </w:pPr>
          </w:p>
        </w:tc>
        <w:tc>
          <w:tcPr>
            <w:tcW w:w="320" w:type="dxa"/>
            <w:vAlign w:val="bottom"/>
          </w:tcPr>
          <w:p>
            <w:pPr>
              <w:spacing w:after="0"/>
              <w:rPr>
                <w:sz w:val="2"/>
                <w:szCs w:val="2"/>
                <w:color w:val="auto"/>
              </w:rPr>
            </w:pPr>
          </w:p>
        </w:tc>
        <w:tc>
          <w:tcPr>
            <w:tcW w:w="360" w:type="dxa"/>
            <w:vAlign w:val="bottom"/>
          </w:tcPr>
          <w:p>
            <w:pPr>
              <w:spacing w:after="0"/>
              <w:rPr>
                <w:sz w:val="2"/>
                <w:szCs w:val="2"/>
                <w:color w:val="auto"/>
              </w:rPr>
            </w:pPr>
          </w:p>
        </w:tc>
        <w:tc>
          <w:tcPr>
            <w:tcW w:w="240" w:type="dxa"/>
            <w:vAlign w:val="bottom"/>
          </w:tcPr>
          <w:p>
            <w:pPr>
              <w:spacing w:after="0"/>
              <w:rPr>
                <w:sz w:val="2"/>
                <w:szCs w:val="2"/>
                <w:color w:val="auto"/>
              </w:rPr>
            </w:pPr>
          </w:p>
        </w:tc>
        <w:tc>
          <w:tcPr>
            <w:tcW w:w="220" w:type="dxa"/>
            <w:vAlign w:val="bottom"/>
          </w:tcPr>
          <w:p>
            <w:pPr>
              <w:spacing w:after="0"/>
              <w:rPr>
                <w:sz w:val="2"/>
                <w:szCs w:val="2"/>
                <w:color w:val="auto"/>
              </w:rPr>
            </w:pPr>
          </w:p>
        </w:tc>
        <w:tc>
          <w:tcPr>
            <w:tcW w:w="100" w:type="dxa"/>
            <w:vAlign w:val="bottom"/>
          </w:tcPr>
          <w:p>
            <w:pPr>
              <w:spacing w:after="0"/>
              <w:rPr>
                <w:sz w:val="2"/>
                <w:szCs w:val="2"/>
                <w:color w:val="auto"/>
              </w:rPr>
            </w:pPr>
          </w:p>
        </w:tc>
        <w:tc>
          <w:tcPr>
            <w:tcW w:w="320" w:type="dxa"/>
            <w:vAlign w:val="bottom"/>
          </w:tcPr>
          <w:p>
            <w:pPr>
              <w:spacing w:after="0"/>
              <w:rPr>
                <w:sz w:val="2"/>
                <w:szCs w:val="2"/>
                <w:color w:val="auto"/>
              </w:rPr>
            </w:pPr>
          </w:p>
        </w:tc>
        <w:tc>
          <w:tcPr>
            <w:tcW w:w="640" w:type="dxa"/>
            <w:vAlign w:val="bottom"/>
          </w:tcPr>
          <w:p>
            <w:pPr>
              <w:spacing w:after="0"/>
              <w:rPr>
                <w:sz w:val="2"/>
                <w:szCs w:val="2"/>
                <w:color w:val="auto"/>
              </w:rPr>
            </w:pPr>
          </w:p>
        </w:tc>
        <w:tc>
          <w:tcPr>
            <w:tcW w:w="2940" w:type="dxa"/>
            <w:vAlign w:val="bottom"/>
          </w:tcPr>
          <w:p>
            <w:pPr>
              <w:spacing w:after="0"/>
              <w:rPr>
                <w:sz w:val="2"/>
                <w:szCs w:val="2"/>
                <w:color w:val="auto"/>
              </w:rPr>
            </w:pPr>
          </w:p>
        </w:tc>
        <w:tc>
          <w:tcPr>
            <w:tcW w:w="2960" w:type="dxa"/>
            <w:vAlign w:val="bottom"/>
          </w:tcPr>
          <w:p>
            <w:pPr>
              <w:spacing w:after="0"/>
              <w:rPr>
                <w:sz w:val="2"/>
                <w:szCs w:val="2"/>
                <w:color w:val="auto"/>
              </w:rPr>
            </w:pPr>
          </w:p>
        </w:tc>
        <w:tc>
          <w:tcPr>
            <w:tcW w:w="200" w:type="dxa"/>
            <w:vAlign w:val="bottom"/>
            <w:shd w:val="clear" w:color="auto" w:fill="0000EE"/>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25"/>
        </w:trPr>
        <w:tc>
          <w:tcPr>
            <w:tcW w:w="20" w:type="dxa"/>
            <w:vAlign w:val="bottom"/>
            <w:vMerge w:val="continue"/>
          </w:tcPr>
          <w:p>
            <w:pPr>
              <w:spacing w:after="0"/>
              <w:rPr>
                <w:sz w:val="10"/>
                <w:szCs w:val="10"/>
                <w:color w:val="auto"/>
              </w:rPr>
            </w:pPr>
          </w:p>
        </w:tc>
        <w:tc>
          <w:tcPr>
            <w:tcW w:w="80" w:type="dxa"/>
            <w:vAlign w:val="bottom"/>
            <w:tcBorders>
              <w:left w:val="single" w:sz="8" w:color="CCEEFF"/>
            </w:tcBorders>
            <w:shd w:val="clear" w:color="auto" w:fill="CCEEFF"/>
          </w:tcPr>
          <w:p>
            <w:pPr>
              <w:spacing w:after="0"/>
              <w:rPr>
                <w:rFonts w:ascii="Arial" w:cs="Arial" w:eastAsia="Arial" w:hAnsi="Arial"/>
                <w:sz w:val="6"/>
                <w:szCs w:val="6"/>
                <w:color w:val="0000EE"/>
                <w:w w:val="74"/>
              </w:rPr>
            </w:pPr>
            <w:hyperlink w:anchor="page111">
              <w:r>
                <w:rPr>
                  <w:rFonts w:ascii="Arial" w:cs="Arial" w:eastAsia="Arial" w:hAnsi="Arial"/>
                  <w:sz w:val="6"/>
                  <w:szCs w:val="6"/>
                  <w:color w:val="0000EE"/>
                  <w:w w:val="74"/>
                </w:rPr>
                <w:t>F.</w:t>
              </w:r>
            </w:hyperlink>
          </w:p>
        </w:tc>
        <w:tc>
          <w:tcPr>
            <w:tcW w:w="480" w:type="dxa"/>
            <w:vAlign w:val="bottom"/>
            <w:tcBorders>
              <w:left w:val="single" w:sz="8" w:color="CCEEFF"/>
            </w:tcBorders>
            <w:gridSpan w:val="3"/>
            <w:shd w:val="clear" w:color="auto" w:fill="CCEEFF"/>
          </w:tcPr>
          <w:p>
            <w:pPr>
              <w:spacing w:after="0"/>
              <w:rPr>
                <w:sz w:val="10"/>
                <w:szCs w:val="10"/>
                <w:color w:val="auto"/>
              </w:rPr>
            </w:pPr>
          </w:p>
        </w:tc>
        <w:tc>
          <w:tcPr>
            <w:tcW w:w="7740" w:type="dxa"/>
            <w:vAlign w:val="bottom"/>
            <w:gridSpan w:val="24"/>
            <w:shd w:val="clear" w:color="auto" w:fill="CCEEFF"/>
          </w:tcPr>
          <w:p>
            <w:pPr>
              <w:spacing w:after="0" w:line="125" w:lineRule="exact"/>
              <w:rPr>
                <w:rFonts w:ascii="Arial" w:cs="Arial" w:eastAsia="Arial" w:hAnsi="Arial"/>
                <w:sz w:val="13"/>
                <w:szCs w:val="13"/>
                <w:color w:val="0000EE"/>
              </w:rPr>
            </w:pPr>
            <w:hyperlink w:anchor="page111">
              <w:r>
                <w:rPr>
                  <w:rFonts w:ascii="Arial" w:cs="Arial" w:eastAsia="Arial" w:hAnsi="Arial"/>
                  <w:sz w:val="13"/>
                  <w:szCs w:val="13"/>
                  <w:color w:val="0000EE"/>
                </w:rPr>
                <w:t>Dividends and Paying Agents</w:t>
              </w:r>
            </w:hyperlink>
          </w:p>
        </w:tc>
        <w:tc>
          <w:tcPr>
            <w:tcW w:w="3160" w:type="dxa"/>
            <w:vAlign w:val="bottom"/>
            <w:gridSpan w:val="2"/>
            <w:shd w:val="clear" w:color="auto" w:fill="CCEEFF"/>
          </w:tcPr>
          <w:p>
            <w:pPr>
              <w:jc w:val="right"/>
              <w:spacing w:after="0" w:line="125" w:lineRule="exact"/>
              <w:rPr>
                <w:rFonts w:ascii="Arial" w:cs="Arial" w:eastAsia="Arial" w:hAnsi="Arial"/>
                <w:sz w:val="13"/>
                <w:szCs w:val="13"/>
                <w:color w:val="0000EE"/>
              </w:rPr>
            </w:pPr>
            <w:hyperlink w:anchor="page111">
              <w:r>
                <w:rPr>
                  <w:rFonts w:ascii="Arial" w:cs="Arial" w:eastAsia="Arial" w:hAnsi="Arial"/>
                  <w:sz w:val="13"/>
                  <w:szCs w:val="13"/>
                  <w:color w:val="0000EE"/>
                </w:rPr>
                <w:t>109</w:t>
              </w:r>
            </w:hyperlink>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80" w:type="dxa"/>
            <w:vAlign w:val="bottom"/>
            <w:tcBorders>
              <w:left w:val="single" w:sz="8" w:color="0000EE"/>
            </w:tcBorders>
            <w:shd w:val="clear" w:color="auto" w:fill="0000EE"/>
          </w:tcPr>
          <w:p>
            <w:pPr>
              <w:spacing w:after="0"/>
              <w:rPr>
                <w:sz w:val="2"/>
                <w:szCs w:val="2"/>
                <w:color w:val="auto"/>
              </w:rPr>
            </w:pPr>
          </w:p>
        </w:tc>
        <w:tc>
          <w:tcPr>
            <w:tcW w:w="340" w:type="dxa"/>
            <w:vAlign w:val="bottom"/>
            <w:tcBorders>
              <w:left w:val="single" w:sz="8" w:color="CCEEFF"/>
            </w:tcBorders>
            <w:shd w:val="clear" w:color="auto" w:fill="CCEEFF"/>
          </w:tcPr>
          <w:p>
            <w:pPr>
              <w:spacing w:after="0"/>
              <w:rPr>
                <w:sz w:val="2"/>
                <w:szCs w:val="2"/>
                <w:color w:val="auto"/>
              </w:rPr>
            </w:pPr>
          </w:p>
        </w:tc>
        <w:tc>
          <w:tcPr>
            <w:tcW w:w="80" w:type="dxa"/>
            <w:vAlign w:val="bottom"/>
            <w:tcBorders>
              <w:left w:val="single" w:sz="8" w:color="CCEEFF"/>
            </w:tcBorders>
            <w:shd w:val="clear" w:color="auto" w:fill="CCEEFF"/>
          </w:tcPr>
          <w:p>
            <w:pPr>
              <w:spacing w:after="0"/>
              <w:rPr>
                <w:sz w:val="2"/>
                <w:szCs w:val="2"/>
                <w:color w:val="auto"/>
              </w:rPr>
            </w:pPr>
          </w:p>
        </w:tc>
        <w:tc>
          <w:tcPr>
            <w:tcW w:w="60" w:type="dxa"/>
            <w:vAlign w:val="bottom"/>
            <w:shd w:val="clear" w:color="auto" w:fill="CCEEFF"/>
          </w:tcPr>
          <w:p>
            <w:pPr>
              <w:spacing w:after="0"/>
              <w:rPr>
                <w:sz w:val="2"/>
                <w:szCs w:val="2"/>
                <w:color w:val="auto"/>
              </w:rPr>
            </w:pPr>
          </w:p>
        </w:tc>
        <w:tc>
          <w:tcPr>
            <w:tcW w:w="440" w:type="dxa"/>
            <w:vAlign w:val="bottom"/>
            <w:shd w:val="clear" w:color="auto" w:fill="0000EE"/>
          </w:tcPr>
          <w:p>
            <w:pPr>
              <w:spacing w:after="0"/>
              <w:rPr>
                <w:sz w:val="2"/>
                <w:szCs w:val="2"/>
                <w:color w:val="auto"/>
              </w:rPr>
            </w:pPr>
          </w:p>
        </w:tc>
        <w:tc>
          <w:tcPr>
            <w:tcW w:w="140" w:type="dxa"/>
            <w:vAlign w:val="bottom"/>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280" w:type="dxa"/>
            <w:vAlign w:val="bottom"/>
            <w:shd w:val="clear" w:color="auto" w:fill="0000EE"/>
          </w:tcPr>
          <w:p>
            <w:pPr>
              <w:spacing w:after="0"/>
              <w:rPr>
                <w:sz w:val="2"/>
                <w:szCs w:val="2"/>
                <w:color w:val="auto"/>
              </w:rPr>
            </w:pPr>
          </w:p>
        </w:tc>
        <w:tc>
          <w:tcPr>
            <w:tcW w:w="140" w:type="dxa"/>
            <w:vAlign w:val="bottom"/>
            <w:tcBorders>
              <w:left w:val="single" w:sz="8" w:color="0000EE"/>
            </w:tcBorders>
            <w:shd w:val="clear" w:color="auto" w:fill="0000EE"/>
          </w:tcPr>
          <w:p>
            <w:pPr>
              <w:spacing w:after="0"/>
              <w:rPr>
                <w:sz w:val="2"/>
                <w:szCs w:val="2"/>
                <w:color w:val="auto"/>
              </w:rPr>
            </w:pPr>
          </w:p>
        </w:tc>
        <w:tc>
          <w:tcPr>
            <w:tcW w:w="80" w:type="dxa"/>
            <w:vAlign w:val="bottom"/>
            <w:tcBorders>
              <w:left w:val="single" w:sz="8" w:color="0000EE"/>
            </w:tcBorders>
            <w:shd w:val="clear" w:color="auto" w:fill="0000EE"/>
          </w:tcPr>
          <w:p>
            <w:pPr>
              <w:spacing w:after="0"/>
              <w:rPr>
                <w:sz w:val="2"/>
                <w:szCs w:val="2"/>
                <w:color w:val="auto"/>
              </w:rPr>
            </w:pPr>
          </w:p>
        </w:tc>
        <w:tc>
          <w:tcPr>
            <w:tcW w:w="160" w:type="dxa"/>
            <w:vAlign w:val="bottom"/>
            <w:shd w:val="clear" w:color="auto" w:fill="0000EE"/>
          </w:tcPr>
          <w:p>
            <w:pPr>
              <w:spacing w:after="0"/>
              <w:rPr>
                <w:sz w:val="2"/>
                <w:szCs w:val="2"/>
                <w:color w:val="auto"/>
              </w:rPr>
            </w:pPr>
          </w:p>
        </w:tc>
        <w:tc>
          <w:tcPr>
            <w:tcW w:w="180" w:type="dxa"/>
            <w:vAlign w:val="bottom"/>
            <w:shd w:val="clear" w:color="auto" w:fill="0000EE"/>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20" w:type="dxa"/>
            <w:vAlign w:val="bottom"/>
            <w:shd w:val="clear" w:color="auto" w:fill="CCEEFF"/>
          </w:tcPr>
          <w:p>
            <w:pPr>
              <w:spacing w:after="0"/>
              <w:rPr>
                <w:sz w:val="2"/>
                <w:szCs w:val="2"/>
                <w:color w:val="auto"/>
              </w:rPr>
            </w:pPr>
          </w:p>
        </w:tc>
        <w:tc>
          <w:tcPr>
            <w:tcW w:w="4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320" w:type="dxa"/>
            <w:vAlign w:val="bottom"/>
            <w:shd w:val="clear" w:color="auto" w:fill="CCEEFF"/>
          </w:tcPr>
          <w:p>
            <w:pPr>
              <w:spacing w:after="0"/>
              <w:rPr>
                <w:sz w:val="2"/>
                <w:szCs w:val="2"/>
                <w:color w:val="auto"/>
              </w:rPr>
            </w:pPr>
          </w:p>
        </w:tc>
        <w:tc>
          <w:tcPr>
            <w:tcW w:w="360" w:type="dxa"/>
            <w:vAlign w:val="bottom"/>
            <w:shd w:val="clear" w:color="auto" w:fill="CCEEFF"/>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320" w:type="dxa"/>
            <w:vAlign w:val="bottom"/>
            <w:shd w:val="clear" w:color="auto" w:fill="CCEEFF"/>
          </w:tcPr>
          <w:p>
            <w:pPr>
              <w:spacing w:after="0"/>
              <w:rPr>
                <w:sz w:val="2"/>
                <w:szCs w:val="2"/>
                <w:color w:val="auto"/>
              </w:rPr>
            </w:pPr>
          </w:p>
        </w:tc>
        <w:tc>
          <w:tcPr>
            <w:tcW w:w="640" w:type="dxa"/>
            <w:vAlign w:val="bottom"/>
            <w:shd w:val="clear" w:color="auto" w:fill="CCEEFF"/>
          </w:tcPr>
          <w:p>
            <w:pPr>
              <w:spacing w:after="0"/>
              <w:rPr>
                <w:sz w:val="2"/>
                <w:szCs w:val="2"/>
                <w:color w:val="auto"/>
              </w:rPr>
            </w:pPr>
          </w:p>
        </w:tc>
        <w:tc>
          <w:tcPr>
            <w:tcW w:w="2940" w:type="dxa"/>
            <w:vAlign w:val="bottom"/>
            <w:shd w:val="clear" w:color="auto" w:fill="CCEEFF"/>
          </w:tcPr>
          <w:p>
            <w:pPr>
              <w:spacing w:after="0"/>
              <w:rPr>
                <w:sz w:val="2"/>
                <w:szCs w:val="2"/>
                <w:color w:val="auto"/>
              </w:rPr>
            </w:pPr>
          </w:p>
        </w:tc>
        <w:tc>
          <w:tcPr>
            <w:tcW w:w="2960" w:type="dxa"/>
            <w:vAlign w:val="bottom"/>
            <w:shd w:val="clear" w:color="auto" w:fill="CCEEFF"/>
          </w:tcPr>
          <w:p>
            <w:pPr>
              <w:spacing w:after="0"/>
              <w:rPr>
                <w:sz w:val="2"/>
                <w:szCs w:val="2"/>
                <w:color w:val="auto"/>
              </w:rPr>
            </w:pPr>
          </w:p>
        </w:tc>
        <w:tc>
          <w:tcPr>
            <w:tcW w:w="200" w:type="dxa"/>
            <w:vAlign w:val="bottom"/>
            <w:shd w:val="clear" w:color="auto" w:fill="0000EE"/>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25"/>
        </w:trPr>
        <w:tc>
          <w:tcPr>
            <w:tcW w:w="20" w:type="dxa"/>
            <w:vAlign w:val="bottom"/>
            <w:vMerge w:val="continue"/>
          </w:tcPr>
          <w:p>
            <w:pPr>
              <w:spacing w:after="0"/>
              <w:rPr>
                <w:sz w:val="10"/>
                <w:szCs w:val="10"/>
                <w:color w:val="auto"/>
              </w:rPr>
            </w:pPr>
          </w:p>
        </w:tc>
        <w:tc>
          <w:tcPr>
            <w:tcW w:w="560" w:type="dxa"/>
            <w:vAlign w:val="bottom"/>
            <w:gridSpan w:val="4"/>
          </w:tcPr>
          <w:p>
            <w:pPr>
              <w:spacing w:after="0" w:line="125" w:lineRule="exact"/>
              <w:rPr>
                <w:rFonts w:ascii="Arial" w:cs="Arial" w:eastAsia="Arial" w:hAnsi="Arial"/>
                <w:sz w:val="13"/>
                <w:szCs w:val="13"/>
                <w:color w:val="0000EE"/>
              </w:rPr>
            </w:pPr>
            <w:hyperlink w:anchor="page111">
              <w:r>
                <w:rPr>
                  <w:rFonts w:ascii="Arial" w:cs="Arial" w:eastAsia="Arial" w:hAnsi="Arial"/>
                  <w:sz w:val="13"/>
                  <w:szCs w:val="13"/>
                  <w:color w:val="0000EE"/>
                </w:rPr>
                <w:t>G.</w:t>
              </w:r>
            </w:hyperlink>
          </w:p>
        </w:tc>
        <w:tc>
          <w:tcPr>
            <w:tcW w:w="7740" w:type="dxa"/>
            <w:vAlign w:val="bottom"/>
            <w:gridSpan w:val="24"/>
          </w:tcPr>
          <w:p>
            <w:pPr>
              <w:spacing w:after="0" w:line="125" w:lineRule="exact"/>
              <w:rPr>
                <w:rFonts w:ascii="Arial" w:cs="Arial" w:eastAsia="Arial" w:hAnsi="Arial"/>
                <w:sz w:val="13"/>
                <w:szCs w:val="13"/>
                <w:color w:val="0000EE"/>
              </w:rPr>
            </w:pPr>
            <w:hyperlink w:anchor="page111">
              <w:r>
                <w:rPr>
                  <w:rFonts w:ascii="Arial" w:cs="Arial" w:eastAsia="Arial" w:hAnsi="Arial"/>
                  <w:sz w:val="13"/>
                  <w:szCs w:val="13"/>
                  <w:color w:val="0000EE"/>
                </w:rPr>
                <w:t>Statement by Experts</w:t>
              </w:r>
            </w:hyperlink>
          </w:p>
        </w:tc>
        <w:tc>
          <w:tcPr>
            <w:tcW w:w="3160" w:type="dxa"/>
            <w:vAlign w:val="bottom"/>
            <w:gridSpan w:val="2"/>
          </w:tcPr>
          <w:p>
            <w:pPr>
              <w:jc w:val="right"/>
              <w:spacing w:after="0" w:line="125" w:lineRule="exact"/>
              <w:rPr>
                <w:rFonts w:ascii="Arial" w:cs="Arial" w:eastAsia="Arial" w:hAnsi="Arial"/>
                <w:sz w:val="13"/>
                <w:szCs w:val="13"/>
                <w:color w:val="0000EE"/>
              </w:rPr>
            </w:pPr>
            <w:hyperlink w:anchor="page111">
              <w:r>
                <w:rPr>
                  <w:rFonts w:ascii="Arial" w:cs="Arial" w:eastAsia="Arial" w:hAnsi="Arial"/>
                  <w:sz w:val="13"/>
                  <w:szCs w:val="13"/>
                  <w:color w:val="0000EE"/>
                </w:rPr>
                <w:t>109</w:t>
              </w:r>
            </w:hyperlink>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80" w:type="dxa"/>
            <w:vAlign w:val="bottom"/>
            <w:tcBorders>
              <w:left w:val="single" w:sz="8" w:color="0000EE"/>
            </w:tcBorders>
            <w:shd w:val="clear" w:color="auto" w:fill="0000EE"/>
          </w:tcPr>
          <w:p>
            <w:pPr>
              <w:spacing w:after="0"/>
              <w:rPr>
                <w:sz w:val="2"/>
                <w:szCs w:val="2"/>
                <w:color w:val="auto"/>
              </w:rPr>
            </w:pPr>
          </w:p>
        </w:tc>
        <w:tc>
          <w:tcPr>
            <w:tcW w:w="340" w:type="dxa"/>
            <w:vAlign w:val="bottom"/>
            <w:tcBorders>
              <w:left w:val="single" w:sz="8" w:color="0000EE"/>
            </w:tcBorders>
          </w:tcPr>
          <w:p>
            <w:pPr>
              <w:spacing w:after="0"/>
              <w:rPr>
                <w:sz w:val="2"/>
                <w:szCs w:val="2"/>
                <w:color w:val="auto"/>
              </w:rPr>
            </w:pPr>
          </w:p>
        </w:tc>
        <w:tc>
          <w:tcPr>
            <w:tcW w:w="80" w:type="dxa"/>
            <w:vAlign w:val="bottom"/>
          </w:tcPr>
          <w:p>
            <w:pPr>
              <w:spacing w:after="0"/>
              <w:rPr>
                <w:sz w:val="2"/>
                <w:szCs w:val="2"/>
                <w:color w:val="auto"/>
              </w:rPr>
            </w:pPr>
          </w:p>
        </w:tc>
        <w:tc>
          <w:tcPr>
            <w:tcW w:w="60" w:type="dxa"/>
            <w:vAlign w:val="bottom"/>
          </w:tcPr>
          <w:p>
            <w:pPr>
              <w:spacing w:after="0"/>
              <w:rPr>
                <w:sz w:val="2"/>
                <w:szCs w:val="2"/>
                <w:color w:val="auto"/>
              </w:rPr>
            </w:pPr>
          </w:p>
        </w:tc>
        <w:tc>
          <w:tcPr>
            <w:tcW w:w="440" w:type="dxa"/>
            <w:vAlign w:val="bottom"/>
            <w:shd w:val="clear" w:color="auto" w:fill="0000EE"/>
          </w:tcPr>
          <w:p>
            <w:pPr>
              <w:spacing w:after="0"/>
              <w:rPr>
                <w:sz w:val="2"/>
                <w:szCs w:val="2"/>
                <w:color w:val="auto"/>
              </w:rPr>
            </w:pPr>
          </w:p>
        </w:tc>
        <w:tc>
          <w:tcPr>
            <w:tcW w:w="140" w:type="dxa"/>
            <w:vAlign w:val="bottom"/>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280" w:type="dxa"/>
            <w:vAlign w:val="bottom"/>
            <w:shd w:val="clear" w:color="auto" w:fill="0000EE"/>
          </w:tcPr>
          <w:p>
            <w:pPr>
              <w:spacing w:after="0"/>
              <w:rPr>
                <w:sz w:val="2"/>
                <w:szCs w:val="2"/>
                <w:color w:val="auto"/>
              </w:rPr>
            </w:pPr>
          </w:p>
        </w:tc>
        <w:tc>
          <w:tcPr>
            <w:tcW w:w="140" w:type="dxa"/>
            <w:vAlign w:val="bottom"/>
            <w:tcBorders>
              <w:left w:val="single" w:sz="8" w:color="0000EE"/>
            </w:tcBorders>
            <w:shd w:val="clear" w:color="auto" w:fill="0000EE"/>
          </w:tcPr>
          <w:p>
            <w:pPr>
              <w:spacing w:after="0"/>
              <w:rPr>
                <w:sz w:val="2"/>
                <w:szCs w:val="2"/>
                <w:color w:val="auto"/>
              </w:rPr>
            </w:pPr>
          </w:p>
        </w:tc>
        <w:tc>
          <w:tcPr>
            <w:tcW w:w="80" w:type="dxa"/>
            <w:vAlign w:val="bottom"/>
          </w:tcPr>
          <w:p>
            <w:pPr>
              <w:spacing w:after="0"/>
              <w:rPr>
                <w:sz w:val="2"/>
                <w:szCs w:val="2"/>
                <w:color w:val="auto"/>
              </w:rPr>
            </w:pPr>
          </w:p>
        </w:tc>
        <w:tc>
          <w:tcPr>
            <w:tcW w:w="160" w:type="dxa"/>
            <w:vAlign w:val="bottom"/>
          </w:tcPr>
          <w:p>
            <w:pPr>
              <w:spacing w:after="0"/>
              <w:rPr>
                <w:sz w:val="2"/>
                <w:szCs w:val="2"/>
                <w:color w:val="auto"/>
              </w:rPr>
            </w:pPr>
          </w:p>
        </w:tc>
        <w:tc>
          <w:tcPr>
            <w:tcW w:w="180" w:type="dxa"/>
            <w:vAlign w:val="bottom"/>
          </w:tcPr>
          <w:p>
            <w:pPr>
              <w:spacing w:after="0"/>
              <w:rPr>
                <w:sz w:val="2"/>
                <w:szCs w:val="2"/>
                <w:color w:val="auto"/>
              </w:rPr>
            </w:pPr>
          </w:p>
        </w:tc>
        <w:tc>
          <w:tcPr>
            <w:tcW w:w="200" w:type="dxa"/>
            <w:vAlign w:val="bottom"/>
          </w:tcPr>
          <w:p>
            <w:pPr>
              <w:spacing w:after="0"/>
              <w:rPr>
                <w:sz w:val="2"/>
                <w:szCs w:val="2"/>
                <w:color w:val="auto"/>
              </w:rPr>
            </w:pPr>
          </w:p>
        </w:tc>
        <w:tc>
          <w:tcPr>
            <w:tcW w:w="20" w:type="dxa"/>
            <w:vAlign w:val="bottom"/>
          </w:tcPr>
          <w:p>
            <w:pPr>
              <w:spacing w:after="0"/>
              <w:rPr>
                <w:sz w:val="2"/>
                <w:szCs w:val="2"/>
                <w:color w:val="auto"/>
              </w:rPr>
            </w:pPr>
          </w:p>
        </w:tc>
        <w:tc>
          <w:tcPr>
            <w:tcW w:w="40" w:type="dxa"/>
            <w:vAlign w:val="bottom"/>
          </w:tcPr>
          <w:p>
            <w:pPr>
              <w:spacing w:after="0"/>
              <w:rPr>
                <w:sz w:val="2"/>
                <w:szCs w:val="2"/>
                <w:color w:val="auto"/>
              </w:rPr>
            </w:pPr>
          </w:p>
        </w:tc>
        <w:tc>
          <w:tcPr>
            <w:tcW w:w="80" w:type="dxa"/>
            <w:vAlign w:val="bottom"/>
          </w:tcPr>
          <w:p>
            <w:pPr>
              <w:spacing w:after="0"/>
              <w:rPr>
                <w:sz w:val="2"/>
                <w:szCs w:val="2"/>
                <w:color w:val="auto"/>
              </w:rPr>
            </w:pPr>
          </w:p>
        </w:tc>
        <w:tc>
          <w:tcPr>
            <w:tcW w:w="80" w:type="dxa"/>
            <w:vAlign w:val="bottom"/>
          </w:tcPr>
          <w:p>
            <w:pPr>
              <w:spacing w:after="0"/>
              <w:rPr>
                <w:sz w:val="2"/>
                <w:szCs w:val="2"/>
                <w:color w:val="auto"/>
              </w:rPr>
            </w:pPr>
          </w:p>
        </w:tc>
        <w:tc>
          <w:tcPr>
            <w:tcW w:w="220" w:type="dxa"/>
            <w:vAlign w:val="bottom"/>
          </w:tcPr>
          <w:p>
            <w:pPr>
              <w:spacing w:after="0"/>
              <w:rPr>
                <w:sz w:val="2"/>
                <w:szCs w:val="2"/>
                <w:color w:val="auto"/>
              </w:rPr>
            </w:pPr>
          </w:p>
        </w:tc>
        <w:tc>
          <w:tcPr>
            <w:tcW w:w="200" w:type="dxa"/>
            <w:vAlign w:val="bottom"/>
          </w:tcPr>
          <w:p>
            <w:pPr>
              <w:spacing w:after="0"/>
              <w:rPr>
                <w:sz w:val="2"/>
                <w:szCs w:val="2"/>
                <w:color w:val="auto"/>
              </w:rPr>
            </w:pPr>
          </w:p>
        </w:tc>
        <w:tc>
          <w:tcPr>
            <w:tcW w:w="240" w:type="dxa"/>
            <w:vAlign w:val="bottom"/>
          </w:tcPr>
          <w:p>
            <w:pPr>
              <w:spacing w:after="0"/>
              <w:rPr>
                <w:sz w:val="2"/>
                <w:szCs w:val="2"/>
                <w:color w:val="auto"/>
              </w:rPr>
            </w:pPr>
          </w:p>
        </w:tc>
        <w:tc>
          <w:tcPr>
            <w:tcW w:w="320" w:type="dxa"/>
            <w:vAlign w:val="bottom"/>
          </w:tcPr>
          <w:p>
            <w:pPr>
              <w:spacing w:after="0"/>
              <w:rPr>
                <w:sz w:val="2"/>
                <w:szCs w:val="2"/>
                <w:color w:val="auto"/>
              </w:rPr>
            </w:pPr>
          </w:p>
        </w:tc>
        <w:tc>
          <w:tcPr>
            <w:tcW w:w="360" w:type="dxa"/>
            <w:vAlign w:val="bottom"/>
          </w:tcPr>
          <w:p>
            <w:pPr>
              <w:spacing w:after="0"/>
              <w:rPr>
                <w:sz w:val="2"/>
                <w:szCs w:val="2"/>
                <w:color w:val="auto"/>
              </w:rPr>
            </w:pPr>
          </w:p>
        </w:tc>
        <w:tc>
          <w:tcPr>
            <w:tcW w:w="240" w:type="dxa"/>
            <w:vAlign w:val="bottom"/>
          </w:tcPr>
          <w:p>
            <w:pPr>
              <w:spacing w:after="0"/>
              <w:rPr>
                <w:sz w:val="2"/>
                <w:szCs w:val="2"/>
                <w:color w:val="auto"/>
              </w:rPr>
            </w:pPr>
          </w:p>
        </w:tc>
        <w:tc>
          <w:tcPr>
            <w:tcW w:w="220" w:type="dxa"/>
            <w:vAlign w:val="bottom"/>
          </w:tcPr>
          <w:p>
            <w:pPr>
              <w:spacing w:after="0"/>
              <w:rPr>
                <w:sz w:val="2"/>
                <w:szCs w:val="2"/>
                <w:color w:val="auto"/>
              </w:rPr>
            </w:pPr>
          </w:p>
        </w:tc>
        <w:tc>
          <w:tcPr>
            <w:tcW w:w="100" w:type="dxa"/>
            <w:vAlign w:val="bottom"/>
          </w:tcPr>
          <w:p>
            <w:pPr>
              <w:spacing w:after="0"/>
              <w:rPr>
                <w:sz w:val="2"/>
                <w:szCs w:val="2"/>
                <w:color w:val="auto"/>
              </w:rPr>
            </w:pPr>
          </w:p>
        </w:tc>
        <w:tc>
          <w:tcPr>
            <w:tcW w:w="320" w:type="dxa"/>
            <w:vAlign w:val="bottom"/>
          </w:tcPr>
          <w:p>
            <w:pPr>
              <w:spacing w:after="0"/>
              <w:rPr>
                <w:sz w:val="2"/>
                <w:szCs w:val="2"/>
                <w:color w:val="auto"/>
              </w:rPr>
            </w:pPr>
          </w:p>
        </w:tc>
        <w:tc>
          <w:tcPr>
            <w:tcW w:w="640" w:type="dxa"/>
            <w:vAlign w:val="bottom"/>
          </w:tcPr>
          <w:p>
            <w:pPr>
              <w:spacing w:after="0"/>
              <w:rPr>
                <w:sz w:val="2"/>
                <w:szCs w:val="2"/>
                <w:color w:val="auto"/>
              </w:rPr>
            </w:pPr>
          </w:p>
        </w:tc>
        <w:tc>
          <w:tcPr>
            <w:tcW w:w="2940" w:type="dxa"/>
            <w:vAlign w:val="bottom"/>
          </w:tcPr>
          <w:p>
            <w:pPr>
              <w:spacing w:after="0"/>
              <w:rPr>
                <w:sz w:val="2"/>
                <w:szCs w:val="2"/>
                <w:color w:val="auto"/>
              </w:rPr>
            </w:pPr>
          </w:p>
        </w:tc>
        <w:tc>
          <w:tcPr>
            <w:tcW w:w="2960" w:type="dxa"/>
            <w:vAlign w:val="bottom"/>
          </w:tcPr>
          <w:p>
            <w:pPr>
              <w:spacing w:after="0"/>
              <w:rPr>
                <w:sz w:val="2"/>
                <w:szCs w:val="2"/>
                <w:color w:val="auto"/>
              </w:rPr>
            </w:pPr>
          </w:p>
        </w:tc>
        <w:tc>
          <w:tcPr>
            <w:tcW w:w="200" w:type="dxa"/>
            <w:vAlign w:val="bottom"/>
            <w:shd w:val="clear" w:color="auto" w:fill="0000EE"/>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25"/>
        </w:trPr>
        <w:tc>
          <w:tcPr>
            <w:tcW w:w="20" w:type="dxa"/>
            <w:vAlign w:val="bottom"/>
            <w:vMerge w:val="continue"/>
          </w:tcPr>
          <w:p>
            <w:pPr>
              <w:spacing w:after="0"/>
              <w:rPr>
                <w:sz w:val="10"/>
                <w:szCs w:val="10"/>
                <w:color w:val="auto"/>
              </w:rPr>
            </w:pPr>
          </w:p>
        </w:tc>
        <w:tc>
          <w:tcPr>
            <w:tcW w:w="560" w:type="dxa"/>
            <w:vAlign w:val="bottom"/>
            <w:tcBorders>
              <w:left w:val="single" w:sz="8" w:color="CCEEFF"/>
            </w:tcBorders>
            <w:gridSpan w:val="4"/>
            <w:shd w:val="clear" w:color="auto" w:fill="CCEEFF"/>
          </w:tcPr>
          <w:p>
            <w:pPr>
              <w:spacing w:after="0" w:line="125" w:lineRule="exact"/>
              <w:rPr>
                <w:rFonts w:ascii="Arial" w:cs="Arial" w:eastAsia="Arial" w:hAnsi="Arial"/>
                <w:sz w:val="13"/>
                <w:szCs w:val="13"/>
                <w:color w:val="0000EE"/>
              </w:rPr>
            </w:pPr>
            <w:hyperlink w:anchor="page111">
              <w:r>
                <w:rPr>
                  <w:rFonts w:ascii="Arial" w:cs="Arial" w:eastAsia="Arial" w:hAnsi="Arial"/>
                  <w:sz w:val="13"/>
                  <w:szCs w:val="13"/>
                  <w:color w:val="0000EE"/>
                </w:rPr>
                <w:t>H.</w:t>
              </w:r>
            </w:hyperlink>
          </w:p>
        </w:tc>
        <w:tc>
          <w:tcPr>
            <w:tcW w:w="7740" w:type="dxa"/>
            <w:vAlign w:val="bottom"/>
            <w:gridSpan w:val="24"/>
            <w:shd w:val="clear" w:color="auto" w:fill="CCEEFF"/>
          </w:tcPr>
          <w:p>
            <w:pPr>
              <w:spacing w:after="0" w:line="125" w:lineRule="exact"/>
              <w:rPr>
                <w:rFonts w:ascii="Arial" w:cs="Arial" w:eastAsia="Arial" w:hAnsi="Arial"/>
                <w:sz w:val="13"/>
                <w:szCs w:val="13"/>
                <w:color w:val="0000EE"/>
              </w:rPr>
            </w:pPr>
            <w:hyperlink w:anchor="page111">
              <w:r>
                <w:rPr>
                  <w:rFonts w:ascii="Arial" w:cs="Arial" w:eastAsia="Arial" w:hAnsi="Arial"/>
                  <w:sz w:val="13"/>
                  <w:szCs w:val="13"/>
                  <w:color w:val="0000EE"/>
                </w:rPr>
                <w:t>Documents on Display</w:t>
              </w:r>
            </w:hyperlink>
          </w:p>
        </w:tc>
        <w:tc>
          <w:tcPr>
            <w:tcW w:w="3160" w:type="dxa"/>
            <w:vAlign w:val="bottom"/>
            <w:gridSpan w:val="2"/>
            <w:shd w:val="clear" w:color="auto" w:fill="CCEEFF"/>
          </w:tcPr>
          <w:p>
            <w:pPr>
              <w:jc w:val="right"/>
              <w:spacing w:after="0" w:line="125" w:lineRule="exact"/>
              <w:rPr>
                <w:rFonts w:ascii="Arial" w:cs="Arial" w:eastAsia="Arial" w:hAnsi="Arial"/>
                <w:sz w:val="13"/>
                <w:szCs w:val="13"/>
                <w:color w:val="0000EE"/>
              </w:rPr>
            </w:pPr>
            <w:hyperlink w:anchor="page111">
              <w:r>
                <w:rPr>
                  <w:rFonts w:ascii="Arial" w:cs="Arial" w:eastAsia="Arial" w:hAnsi="Arial"/>
                  <w:sz w:val="13"/>
                  <w:szCs w:val="13"/>
                  <w:color w:val="0000EE"/>
                </w:rPr>
                <w:t>109</w:t>
              </w:r>
            </w:hyperlink>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80" w:type="dxa"/>
            <w:vAlign w:val="bottom"/>
            <w:tcBorders>
              <w:left w:val="single" w:sz="8" w:color="0000EE"/>
            </w:tcBorders>
            <w:shd w:val="clear" w:color="auto" w:fill="0000EE"/>
          </w:tcPr>
          <w:p>
            <w:pPr>
              <w:spacing w:after="0"/>
              <w:rPr>
                <w:sz w:val="2"/>
                <w:szCs w:val="2"/>
                <w:color w:val="auto"/>
              </w:rPr>
            </w:pPr>
          </w:p>
        </w:tc>
        <w:tc>
          <w:tcPr>
            <w:tcW w:w="340" w:type="dxa"/>
            <w:vAlign w:val="bottom"/>
            <w:tcBorders>
              <w:left w:val="single" w:sz="8" w:color="0000EE"/>
            </w:tcBorders>
            <w:shd w:val="clear" w:color="auto" w:fill="CCEEFF"/>
          </w:tcPr>
          <w:p>
            <w:pPr>
              <w:spacing w:after="0"/>
              <w:rPr>
                <w:sz w:val="2"/>
                <w:szCs w:val="2"/>
                <w:color w:val="auto"/>
              </w:rPr>
            </w:pPr>
          </w:p>
        </w:tc>
        <w:tc>
          <w:tcPr>
            <w:tcW w:w="80" w:type="dxa"/>
            <w:vAlign w:val="bottom"/>
            <w:tcBorders>
              <w:left w:val="single" w:sz="8" w:color="CCEEFF"/>
            </w:tcBorders>
            <w:shd w:val="clear" w:color="auto" w:fill="CCEEFF"/>
          </w:tcPr>
          <w:p>
            <w:pPr>
              <w:spacing w:after="0"/>
              <w:rPr>
                <w:sz w:val="2"/>
                <w:szCs w:val="2"/>
                <w:color w:val="auto"/>
              </w:rPr>
            </w:pPr>
          </w:p>
        </w:tc>
        <w:tc>
          <w:tcPr>
            <w:tcW w:w="60" w:type="dxa"/>
            <w:vAlign w:val="bottom"/>
            <w:shd w:val="clear" w:color="auto" w:fill="CCEEFF"/>
          </w:tcPr>
          <w:p>
            <w:pPr>
              <w:spacing w:after="0"/>
              <w:rPr>
                <w:sz w:val="2"/>
                <w:szCs w:val="2"/>
                <w:color w:val="auto"/>
              </w:rPr>
            </w:pPr>
          </w:p>
        </w:tc>
        <w:tc>
          <w:tcPr>
            <w:tcW w:w="440" w:type="dxa"/>
            <w:vAlign w:val="bottom"/>
            <w:shd w:val="clear" w:color="auto" w:fill="0000EE"/>
          </w:tcPr>
          <w:p>
            <w:pPr>
              <w:spacing w:after="0"/>
              <w:rPr>
                <w:sz w:val="2"/>
                <w:szCs w:val="2"/>
                <w:color w:val="auto"/>
              </w:rPr>
            </w:pPr>
          </w:p>
        </w:tc>
        <w:tc>
          <w:tcPr>
            <w:tcW w:w="140" w:type="dxa"/>
            <w:vAlign w:val="bottom"/>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280" w:type="dxa"/>
            <w:vAlign w:val="bottom"/>
            <w:shd w:val="clear" w:color="auto" w:fill="0000EE"/>
          </w:tcPr>
          <w:p>
            <w:pPr>
              <w:spacing w:after="0"/>
              <w:rPr>
                <w:sz w:val="2"/>
                <w:szCs w:val="2"/>
                <w:color w:val="auto"/>
              </w:rPr>
            </w:pPr>
          </w:p>
        </w:tc>
        <w:tc>
          <w:tcPr>
            <w:tcW w:w="140" w:type="dxa"/>
            <w:vAlign w:val="bottom"/>
            <w:tcBorders>
              <w:left w:val="single" w:sz="8" w:color="0000EE"/>
            </w:tcBorders>
            <w:shd w:val="clear" w:color="auto" w:fill="0000EE"/>
          </w:tcPr>
          <w:p>
            <w:pPr>
              <w:spacing w:after="0"/>
              <w:rPr>
                <w:sz w:val="2"/>
                <w:szCs w:val="2"/>
                <w:color w:val="auto"/>
              </w:rPr>
            </w:pPr>
          </w:p>
        </w:tc>
        <w:tc>
          <w:tcPr>
            <w:tcW w:w="80" w:type="dxa"/>
            <w:vAlign w:val="bottom"/>
            <w:tcBorders>
              <w:left w:val="single" w:sz="8" w:color="0000EE"/>
            </w:tcBorders>
            <w:shd w:val="clear" w:color="auto" w:fill="0000EE"/>
          </w:tcPr>
          <w:p>
            <w:pPr>
              <w:spacing w:after="0"/>
              <w:rPr>
                <w:sz w:val="2"/>
                <w:szCs w:val="2"/>
                <w:color w:val="auto"/>
              </w:rPr>
            </w:pPr>
          </w:p>
        </w:tc>
        <w:tc>
          <w:tcPr>
            <w:tcW w:w="160" w:type="dxa"/>
            <w:vAlign w:val="bottom"/>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20" w:type="dxa"/>
            <w:vAlign w:val="bottom"/>
            <w:shd w:val="clear" w:color="auto" w:fill="CCEEFF"/>
          </w:tcPr>
          <w:p>
            <w:pPr>
              <w:spacing w:after="0"/>
              <w:rPr>
                <w:sz w:val="2"/>
                <w:szCs w:val="2"/>
                <w:color w:val="auto"/>
              </w:rPr>
            </w:pPr>
          </w:p>
        </w:tc>
        <w:tc>
          <w:tcPr>
            <w:tcW w:w="4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320" w:type="dxa"/>
            <w:vAlign w:val="bottom"/>
            <w:shd w:val="clear" w:color="auto" w:fill="CCEEFF"/>
          </w:tcPr>
          <w:p>
            <w:pPr>
              <w:spacing w:after="0"/>
              <w:rPr>
                <w:sz w:val="2"/>
                <w:szCs w:val="2"/>
                <w:color w:val="auto"/>
              </w:rPr>
            </w:pPr>
          </w:p>
        </w:tc>
        <w:tc>
          <w:tcPr>
            <w:tcW w:w="360" w:type="dxa"/>
            <w:vAlign w:val="bottom"/>
            <w:shd w:val="clear" w:color="auto" w:fill="CCEEFF"/>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320" w:type="dxa"/>
            <w:vAlign w:val="bottom"/>
            <w:shd w:val="clear" w:color="auto" w:fill="CCEEFF"/>
          </w:tcPr>
          <w:p>
            <w:pPr>
              <w:spacing w:after="0"/>
              <w:rPr>
                <w:sz w:val="2"/>
                <w:szCs w:val="2"/>
                <w:color w:val="auto"/>
              </w:rPr>
            </w:pPr>
          </w:p>
        </w:tc>
        <w:tc>
          <w:tcPr>
            <w:tcW w:w="640" w:type="dxa"/>
            <w:vAlign w:val="bottom"/>
            <w:shd w:val="clear" w:color="auto" w:fill="CCEEFF"/>
          </w:tcPr>
          <w:p>
            <w:pPr>
              <w:spacing w:after="0"/>
              <w:rPr>
                <w:sz w:val="2"/>
                <w:szCs w:val="2"/>
                <w:color w:val="auto"/>
              </w:rPr>
            </w:pPr>
          </w:p>
        </w:tc>
        <w:tc>
          <w:tcPr>
            <w:tcW w:w="2940" w:type="dxa"/>
            <w:vAlign w:val="bottom"/>
            <w:shd w:val="clear" w:color="auto" w:fill="CCEEFF"/>
          </w:tcPr>
          <w:p>
            <w:pPr>
              <w:spacing w:after="0"/>
              <w:rPr>
                <w:sz w:val="2"/>
                <w:szCs w:val="2"/>
                <w:color w:val="auto"/>
              </w:rPr>
            </w:pPr>
          </w:p>
        </w:tc>
        <w:tc>
          <w:tcPr>
            <w:tcW w:w="2960" w:type="dxa"/>
            <w:vAlign w:val="bottom"/>
            <w:shd w:val="clear" w:color="auto" w:fill="CCEEFF"/>
          </w:tcPr>
          <w:p>
            <w:pPr>
              <w:spacing w:after="0"/>
              <w:rPr>
                <w:sz w:val="2"/>
                <w:szCs w:val="2"/>
                <w:color w:val="auto"/>
              </w:rPr>
            </w:pPr>
          </w:p>
        </w:tc>
        <w:tc>
          <w:tcPr>
            <w:tcW w:w="200" w:type="dxa"/>
            <w:vAlign w:val="bottom"/>
            <w:shd w:val="clear" w:color="auto" w:fill="0000EE"/>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34"/>
        </w:trPr>
        <w:tc>
          <w:tcPr>
            <w:tcW w:w="20" w:type="dxa"/>
            <w:vAlign w:val="bottom"/>
            <w:vMerge w:val="continue"/>
          </w:tcPr>
          <w:p>
            <w:pPr>
              <w:spacing w:after="0"/>
              <w:rPr>
                <w:sz w:val="11"/>
                <w:szCs w:val="11"/>
                <w:color w:val="auto"/>
              </w:rPr>
            </w:pPr>
          </w:p>
        </w:tc>
        <w:tc>
          <w:tcPr>
            <w:tcW w:w="80" w:type="dxa"/>
            <w:vAlign w:val="bottom"/>
          </w:tcPr>
          <w:p>
            <w:pPr>
              <w:spacing w:after="0"/>
              <w:rPr>
                <w:rFonts w:ascii="Arial" w:cs="Arial" w:eastAsia="Arial" w:hAnsi="Arial"/>
                <w:sz w:val="10"/>
                <w:szCs w:val="10"/>
                <w:color w:val="0000EE"/>
                <w:w w:val="71"/>
              </w:rPr>
            </w:pPr>
            <w:hyperlink w:anchor="page112">
              <w:r>
                <w:rPr>
                  <w:rFonts w:ascii="Arial" w:cs="Arial" w:eastAsia="Arial" w:hAnsi="Arial"/>
                  <w:sz w:val="10"/>
                  <w:szCs w:val="10"/>
                  <w:color w:val="0000EE"/>
                  <w:w w:val="71"/>
                </w:rPr>
                <w:t>I.</w:t>
              </w:r>
            </w:hyperlink>
          </w:p>
        </w:tc>
        <w:tc>
          <w:tcPr>
            <w:tcW w:w="480" w:type="dxa"/>
            <w:vAlign w:val="bottom"/>
            <w:gridSpan w:val="3"/>
          </w:tcPr>
          <w:p>
            <w:pPr>
              <w:spacing w:after="0"/>
              <w:rPr>
                <w:sz w:val="11"/>
                <w:szCs w:val="11"/>
                <w:color w:val="auto"/>
              </w:rPr>
            </w:pPr>
          </w:p>
        </w:tc>
        <w:tc>
          <w:tcPr>
            <w:tcW w:w="7740" w:type="dxa"/>
            <w:vAlign w:val="bottom"/>
            <w:gridSpan w:val="24"/>
          </w:tcPr>
          <w:p>
            <w:pPr>
              <w:spacing w:after="0" w:line="125" w:lineRule="exact"/>
              <w:rPr>
                <w:rFonts w:ascii="Arial" w:cs="Arial" w:eastAsia="Arial" w:hAnsi="Arial"/>
                <w:sz w:val="13"/>
                <w:szCs w:val="13"/>
                <w:color w:val="0000EE"/>
              </w:rPr>
            </w:pPr>
            <w:hyperlink w:anchor="page112">
              <w:r>
                <w:rPr>
                  <w:rFonts w:ascii="Arial" w:cs="Arial" w:eastAsia="Arial" w:hAnsi="Arial"/>
                  <w:sz w:val="13"/>
                  <w:szCs w:val="13"/>
                  <w:color w:val="0000EE"/>
                </w:rPr>
                <w:t>Subsidiary Information</w:t>
              </w:r>
            </w:hyperlink>
          </w:p>
        </w:tc>
        <w:tc>
          <w:tcPr>
            <w:tcW w:w="3160" w:type="dxa"/>
            <w:vAlign w:val="bottom"/>
            <w:gridSpan w:val="2"/>
          </w:tcPr>
          <w:p>
            <w:pPr>
              <w:jc w:val="right"/>
              <w:spacing w:after="0" w:line="125" w:lineRule="exact"/>
              <w:rPr>
                <w:rFonts w:ascii="Arial" w:cs="Arial" w:eastAsia="Arial" w:hAnsi="Arial"/>
                <w:sz w:val="13"/>
                <w:szCs w:val="13"/>
                <w:color w:val="0000EE"/>
              </w:rPr>
            </w:pPr>
            <w:hyperlink w:anchor="page112">
              <w:r>
                <w:rPr>
                  <w:rFonts w:ascii="Arial" w:cs="Arial" w:eastAsia="Arial" w:hAnsi="Arial"/>
                  <w:sz w:val="13"/>
                  <w:szCs w:val="13"/>
                  <w:color w:val="0000EE"/>
                </w:rPr>
                <w:t>110</w:t>
              </w:r>
            </w:hyperlink>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80" w:type="dxa"/>
            <w:vAlign w:val="bottom"/>
            <w:tcBorders>
              <w:left w:val="single" w:sz="8" w:color="CCEEFF"/>
            </w:tcBorders>
            <w:shd w:val="clear" w:color="auto" w:fill="CCEEFF"/>
          </w:tcPr>
          <w:p>
            <w:pPr>
              <w:spacing w:after="0"/>
              <w:rPr>
                <w:sz w:val="13"/>
                <w:szCs w:val="13"/>
                <w:color w:val="auto"/>
              </w:rPr>
            </w:pPr>
          </w:p>
        </w:tc>
        <w:tc>
          <w:tcPr>
            <w:tcW w:w="340" w:type="dxa"/>
            <w:vAlign w:val="bottom"/>
            <w:tcBorders>
              <w:left w:val="single" w:sz="8" w:color="CCEEFF"/>
            </w:tcBorders>
            <w:shd w:val="clear" w:color="auto" w:fill="CCEEFF"/>
          </w:tcPr>
          <w:p>
            <w:pPr>
              <w:spacing w:after="0"/>
              <w:rPr>
                <w:sz w:val="13"/>
                <w:szCs w:val="13"/>
                <w:color w:val="auto"/>
              </w:rPr>
            </w:pPr>
          </w:p>
        </w:tc>
        <w:tc>
          <w:tcPr>
            <w:tcW w:w="80" w:type="dxa"/>
            <w:vAlign w:val="bottom"/>
            <w:tcBorders>
              <w:left w:val="single" w:sz="8" w:color="CCEEFF"/>
            </w:tcBorders>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440" w:type="dxa"/>
            <w:vAlign w:val="bottom"/>
            <w:tcBorders>
              <w:top w:val="single" w:sz="8" w:color="0000EE"/>
            </w:tcBorders>
            <w:shd w:val="clear" w:color="auto" w:fill="CCEEFF"/>
          </w:tcPr>
          <w:p>
            <w:pPr>
              <w:spacing w:after="0"/>
              <w:rPr>
                <w:sz w:val="13"/>
                <w:szCs w:val="13"/>
                <w:color w:val="auto"/>
              </w:rPr>
            </w:pPr>
          </w:p>
        </w:tc>
        <w:tc>
          <w:tcPr>
            <w:tcW w:w="140" w:type="dxa"/>
            <w:vAlign w:val="bottom"/>
            <w:tcBorders>
              <w:top w:val="single" w:sz="8" w:color="0000EE"/>
            </w:tcBorders>
            <w:shd w:val="clear" w:color="auto" w:fill="CCEEFF"/>
          </w:tcPr>
          <w:p>
            <w:pPr>
              <w:spacing w:after="0"/>
              <w:rPr>
                <w:sz w:val="13"/>
                <w:szCs w:val="13"/>
                <w:color w:val="auto"/>
              </w:rPr>
            </w:pPr>
          </w:p>
        </w:tc>
        <w:tc>
          <w:tcPr>
            <w:tcW w:w="100" w:type="dxa"/>
            <w:vAlign w:val="bottom"/>
            <w:tcBorders>
              <w:top w:val="single" w:sz="8" w:color="0000EE"/>
            </w:tcBorders>
            <w:shd w:val="clear" w:color="auto" w:fill="CCEEFF"/>
          </w:tcPr>
          <w:p>
            <w:pPr>
              <w:spacing w:after="0"/>
              <w:rPr>
                <w:sz w:val="13"/>
                <w:szCs w:val="13"/>
                <w:color w:val="auto"/>
              </w:rPr>
            </w:pPr>
          </w:p>
        </w:tc>
        <w:tc>
          <w:tcPr>
            <w:tcW w:w="280" w:type="dxa"/>
            <w:vAlign w:val="bottom"/>
            <w:tcBorders>
              <w:top w:val="single" w:sz="8" w:color="0000EE"/>
            </w:tcBorders>
            <w:shd w:val="clear" w:color="auto" w:fill="CCEEFF"/>
          </w:tcPr>
          <w:p>
            <w:pPr>
              <w:spacing w:after="0"/>
              <w:rPr>
                <w:sz w:val="13"/>
                <w:szCs w:val="13"/>
                <w:color w:val="auto"/>
              </w:rPr>
            </w:pPr>
          </w:p>
        </w:tc>
        <w:tc>
          <w:tcPr>
            <w:tcW w:w="140" w:type="dxa"/>
            <w:vAlign w:val="bottom"/>
            <w:tcBorders>
              <w:top w:val="single" w:sz="8" w:color="0000EE"/>
              <w:left w:val="single" w:sz="8" w:color="CCEEFF"/>
            </w:tcBorders>
            <w:shd w:val="clear" w:color="auto" w:fill="CCEEFF"/>
          </w:tcPr>
          <w:p>
            <w:pPr>
              <w:spacing w:after="0"/>
              <w:rPr>
                <w:sz w:val="13"/>
                <w:szCs w:val="13"/>
                <w:color w:val="auto"/>
              </w:rPr>
            </w:pPr>
          </w:p>
        </w:tc>
        <w:tc>
          <w:tcPr>
            <w:tcW w:w="80" w:type="dxa"/>
            <w:vAlign w:val="bottom"/>
            <w:tcBorders>
              <w:top w:val="single" w:sz="8" w:color="0000EE"/>
              <w:left w:val="single" w:sz="8" w:color="CCEEFF"/>
            </w:tcBorders>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4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2940" w:type="dxa"/>
            <w:vAlign w:val="bottom"/>
            <w:shd w:val="clear" w:color="auto" w:fill="CCEEFF"/>
          </w:tcPr>
          <w:p>
            <w:pPr>
              <w:spacing w:after="0"/>
              <w:rPr>
                <w:sz w:val="13"/>
                <w:szCs w:val="13"/>
                <w:color w:val="auto"/>
              </w:rPr>
            </w:pPr>
          </w:p>
        </w:tc>
        <w:tc>
          <w:tcPr>
            <w:tcW w:w="2960" w:type="dxa"/>
            <w:vAlign w:val="bottom"/>
            <w:shd w:val="clear" w:color="auto" w:fill="CCEEFF"/>
          </w:tcPr>
          <w:p>
            <w:pPr>
              <w:spacing w:after="0"/>
              <w:rPr>
                <w:sz w:val="13"/>
                <w:szCs w:val="13"/>
                <w:color w:val="auto"/>
              </w:rPr>
            </w:pPr>
          </w:p>
        </w:tc>
        <w:tc>
          <w:tcPr>
            <w:tcW w:w="200" w:type="dxa"/>
            <w:vAlign w:val="bottom"/>
            <w:tcBorders>
              <w:top w:val="single" w:sz="8" w:color="0000EE"/>
            </w:tcBorders>
            <w:shd w:val="clear" w:color="auto" w:fill="CCEEFF"/>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560" w:type="dxa"/>
            <w:vAlign w:val="bottom"/>
            <w:gridSpan w:val="4"/>
          </w:tcPr>
          <w:p>
            <w:pPr>
              <w:spacing w:after="0" w:line="125" w:lineRule="exact"/>
              <w:rPr>
                <w:rFonts w:ascii="Arial" w:cs="Arial" w:eastAsia="Arial" w:hAnsi="Arial"/>
                <w:sz w:val="13"/>
                <w:szCs w:val="13"/>
                <w:b w:val="1"/>
                <w:bCs w:val="1"/>
                <w:color w:val="0000EE"/>
              </w:rPr>
            </w:pPr>
            <w:hyperlink w:anchor="page112">
              <w:r>
                <w:rPr>
                  <w:rFonts w:ascii="Arial" w:cs="Arial" w:eastAsia="Arial" w:hAnsi="Arial"/>
                  <w:sz w:val="13"/>
                  <w:szCs w:val="13"/>
                  <w:b w:val="1"/>
                  <w:bCs w:val="1"/>
                  <w:color w:val="0000EE"/>
                </w:rPr>
                <w:t>Item 11.</w:t>
              </w:r>
            </w:hyperlink>
          </w:p>
        </w:tc>
        <w:tc>
          <w:tcPr>
            <w:tcW w:w="4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160" w:type="dxa"/>
            <w:vAlign w:val="bottom"/>
            <w:gridSpan w:val="22"/>
          </w:tcPr>
          <w:p>
            <w:pPr>
              <w:spacing w:after="0" w:line="125" w:lineRule="exact"/>
              <w:rPr>
                <w:rFonts w:ascii="Arial" w:cs="Arial" w:eastAsia="Arial" w:hAnsi="Arial"/>
                <w:sz w:val="13"/>
                <w:szCs w:val="13"/>
                <w:b w:val="1"/>
                <w:bCs w:val="1"/>
                <w:color w:val="0000EE"/>
              </w:rPr>
            </w:pPr>
            <w:hyperlink w:anchor="page112">
              <w:r>
                <w:rPr>
                  <w:rFonts w:ascii="Arial" w:cs="Arial" w:eastAsia="Arial" w:hAnsi="Arial"/>
                  <w:sz w:val="13"/>
                  <w:szCs w:val="13"/>
                  <w:b w:val="1"/>
                  <w:bCs w:val="1"/>
                  <w:color w:val="0000EE"/>
                </w:rPr>
                <w:t>Quantitative and Qualitative Disclosure About Market Risk</w:t>
              </w:r>
            </w:hyperlink>
          </w:p>
        </w:tc>
        <w:tc>
          <w:tcPr>
            <w:tcW w:w="3160" w:type="dxa"/>
            <w:vAlign w:val="bottom"/>
            <w:gridSpan w:val="2"/>
          </w:tcPr>
          <w:p>
            <w:pPr>
              <w:jc w:val="right"/>
              <w:spacing w:after="0" w:line="125" w:lineRule="exact"/>
              <w:rPr>
                <w:rFonts w:ascii="Arial" w:cs="Arial" w:eastAsia="Arial" w:hAnsi="Arial"/>
                <w:sz w:val="13"/>
                <w:szCs w:val="13"/>
                <w:b w:val="1"/>
                <w:bCs w:val="1"/>
                <w:color w:val="0000EE"/>
              </w:rPr>
            </w:pPr>
            <w:hyperlink w:anchor="page112">
              <w:r>
                <w:rPr>
                  <w:rFonts w:ascii="Arial" w:cs="Arial" w:eastAsia="Arial" w:hAnsi="Arial"/>
                  <w:sz w:val="13"/>
                  <w:szCs w:val="13"/>
                  <w:b w:val="1"/>
                  <w:bCs w:val="1"/>
                  <w:color w:val="0000EE"/>
                </w:rPr>
                <w:t>110</w:t>
              </w:r>
            </w:hyperlink>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80" w:type="dxa"/>
            <w:vAlign w:val="bottom"/>
            <w:tcBorders>
              <w:top w:val="single" w:sz="8" w:color="0000EE"/>
              <w:left w:val="single" w:sz="8" w:color="CCEEFF"/>
            </w:tcBorders>
            <w:shd w:val="clear" w:color="auto" w:fill="CCEEFF"/>
          </w:tcPr>
          <w:p>
            <w:pPr>
              <w:spacing w:after="0"/>
              <w:rPr>
                <w:sz w:val="13"/>
                <w:szCs w:val="13"/>
                <w:color w:val="auto"/>
              </w:rPr>
            </w:pPr>
          </w:p>
        </w:tc>
        <w:tc>
          <w:tcPr>
            <w:tcW w:w="340" w:type="dxa"/>
            <w:vAlign w:val="bottom"/>
            <w:tcBorders>
              <w:top w:val="single" w:sz="8" w:color="0000EE"/>
              <w:left w:val="single" w:sz="8" w:color="CCEEFF"/>
            </w:tcBorders>
            <w:shd w:val="clear" w:color="auto" w:fill="CCEEFF"/>
          </w:tcPr>
          <w:p>
            <w:pPr>
              <w:spacing w:after="0"/>
              <w:rPr>
                <w:sz w:val="13"/>
                <w:szCs w:val="13"/>
                <w:color w:val="auto"/>
              </w:rPr>
            </w:pPr>
          </w:p>
        </w:tc>
        <w:tc>
          <w:tcPr>
            <w:tcW w:w="80" w:type="dxa"/>
            <w:vAlign w:val="bottom"/>
            <w:tcBorders>
              <w:left w:val="single" w:sz="8" w:color="CCEEFF"/>
            </w:tcBorders>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00" w:type="dxa"/>
            <w:vAlign w:val="bottom"/>
            <w:tcBorders>
              <w:top w:val="single" w:sz="8" w:color="0000EE"/>
            </w:tcBorders>
            <w:shd w:val="clear" w:color="auto" w:fill="CCEEFF"/>
          </w:tcPr>
          <w:p>
            <w:pPr>
              <w:spacing w:after="0"/>
              <w:rPr>
                <w:sz w:val="13"/>
                <w:szCs w:val="13"/>
                <w:color w:val="auto"/>
              </w:rPr>
            </w:pPr>
          </w:p>
        </w:tc>
        <w:tc>
          <w:tcPr>
            <w:tcW w:w="280" w:type="dxa"/>
            <w:vAlign w:val="bottom"/>
            <w:tcBorders>
              <w:top w:val="single" w:sz="8" w:color="0000EE"/>
            </w:tcBorders>
            <w:shd w:val="clear" w:color="auto" w:fill="CCEEFF"/>
          </w:tcPr>
          <w:p>
            <w:pPr>
              <w:spacing w:after="0"/>
              <w:rPr>
                <w:sz w:val="13"/>
                <w:szCs w:val="13"/>
                <w:color w:val="auto"/>
              </w:rPr>
            </w:pPr>
          </w:p>
        </w:tc>
        <w:tc>
          <w:tcPr>
            <w:tcW w:w="140" w:type="dxa"/>
            <w:vAlign w:val="bottom"/>
            <w:tcBorders>
              <w:top w:val="single" w:sz="8" w:color="0000EE"/>
              <w:left w:val="single" w:sz="8" w:color="CCEEFF"/>
            </w:tcBorders>
            <w:shd w:val="clear" w:color="auto" w:fill="CCEEFF"/>
          </w:tcPr>
          <w:p>
            <w:pPr>
              <w:spacing w:after="0"/>
              <w:rPr>
                <w:sz w:val="13"/>
                <w:szCs w:val="13"/>
                <w:color w:val="auto"/>
              </w:rPr>
            </w:pPr>
          </w:p>
        </w:tc>
        <w:tc>
          <w:tcPr>
            <w:tcW w:w="80" w:type="dxa"/>
            <w:vAlign w:val="bottom"/>
            <w:tcBorders>
              <w:top w:val="single" w:sz="8" w:color="0000EE"/>
              <w:left w:val="single" w:sz="8" w:color="CCEEFF"/>
            </w:tcBorders>
            <w:shd w:val="clear" w:color="auto" w:fill="CCEEFF"/>
          </w:tcPr>
          <w:p>
            <w:pPr>
              <w:spacing w:after="0"/>
              <w:rPr>
                <w:sz w:val="13"/>
                <w:szCs w:val="13"/>
                <w:color w:val="auto"/>
              </w:rPr>
            </w:pPr>
          </w:p>
        </w:tc>
        <w:tc>
          <w:tcPr>
            <w:tcW w:w="160" w:type="dxa"/>
            <w:vAlign w:val="bottom"/>
            <w:tcBorders>
              <w:top w:val="single" w:sz="8" w:color="0000EE"/>
            </w:tcBorders>
            <w:shd w:val="clear" w:color="auto" w:fill="CCEEFF"/>
          </w:tcPr>
          <w:p>
            <w:pPr>
              <w:spacing w:after="0"/>
              <w:rPr>
                <w:sz w:val="13"/>
                <w:szCs w:val="13"/>
                <w:color w:val="auto"/>
              </w:rPr>
            </w:pPr>
          </w:p>
        </w:tc>
        <w:tc>
          <w:tcPr>
            <w:tcW w:w="180" w:type="dxa"/>
            <w:vAlign w:val="bottom"/>
            <w:tcBorders>
              <w:top w:val="single" w:sz="8" w:color="0000EE"/>
            </w:tcBorders>
            <w:shd w:val="clear" w:color="auto" w:fill="CCEEFF"/>
          </w:tcPr>
          <w:p>
            <w:pPr>
              <w:spacing w:after="0"/>
              <w:rPr>
                <w:sz w:val="13"/>
                <w:szCs w:val="13"/>
                <w:color w:val="auto"/>
              </w:rPr>
            </w:pPr>
          </w:p>
        </w:tc>
        <w:tc>
          <w:tcPr>
            <w:tcW w:w="200" w:type="dxa"/>
            <w:vAlign w:val="bottom"/>
            <w:tcBorders>
              <w:top w:val="single" w:sz="8" w:color="0000EE"/>
            </w:tcBorders>
            <w:shd w:val="clear" w:color="auto" w:fill="CCEEFF"/>
          </w:tcPr>
          <w:p>
            <w:pPr>
              <w:spacing w:after="0"/>
              <w:rPr>
                <w:sz w:val="13"/>
                <w:szCs w:val="13"/>
                <w:color w:val="auto"/>
              </w:rPr>
            </w:pPr>
          </w:p>
        </w:tc>
        <w:tc>
          <w:tcPr>
            <w:tcW w:w="20" w:type="dxa"/>
            <w:vAlign w:val="bottom"/>
            <w:tcBorders>
              <w:top w:val="single" w:sz="8" w:color="0000EE"/>
            </w:tcBorders>
            <w:shd w:val="clear" w:color="auto" w:fill="CCEEFF"/>
          </w:tcPr>
          <w:p>
            <w:pPr>
              <w:spacing w:after="0"/>
              <w:rPr>
                <w:sz w:val="13"/>
                <w:szCs w:val="13"/>
                <w:color w:val="auto"/>
              </w:rPr>
            </w:pPr>
          </w:p>
        </w:tc>
        <w:tc>
          <w:tcPr>
            <w:tcW w:w="40" w:type="dxa"/>
            <w:vAlign w:val="bottom"/>
            <w:tcBorders>
              <w:top w:val="single" w:sz="8" w:color="0000EE"/>
            </w:tcBorders>
            <w:shd w:val="clear" w:color="auto" w:fill="CCEEFF"/>
          </w:tcPr>
          <w:p>
            <w:pPr>
              <w:spacing w:after="0"/>
              <w:rPr>
                <w:sz w:val="13"/>
                <w:szCs w:val="13"/>
                <w:color w:val="auto"/>
              </w:rPr>
            </w:pPr>
          </w:p>
        </w:tc>
        <w:tc>
          <w:tcPr>
            <w:tcW w:w="80" w:type="dxa"/>
            <w:vAlign w:val="bottom"/>
            <w:tcBorders>
              <w:top w:val="single" w:sz="8" w:color="0000EE"/>
            </w:tcBorders>
            <w:shd w:val="clear" w:color="auto" w:fill="CCEEFF"/>
          </w:tcPr>
          <w:p>
            <w:pPr>
              <w:spacing w:after="0"/>
              <w:rPr>
                <w:sz w:val="13"/>
                <w:szCs w:val="13"/>
                <w:color w:val="auto"/>
              </w:rPr>
            </w:pPr>
          </w:p>
        </w:tc>
        <w:tc>
          <w:tcPr>
            <w:tcW w:w="80" w:type="dxa"/>
            <w:vAlign w:val="bottom"/>
            <w:tcBorders>
              <w:top w:val="single" w:sz="8" w:color="0000EE"/>
            </w:tcBorders>
            <w:shd w:val="clear" w:color="auto" w:fill="CCEEFF"/>
          </w:tcPr>
          <w:p>
            <w:pPr>
              <w:spacing w:after="0"/>
              <w:rPr>
                <w:sz w:val="13"/>
                <w:szCs w:val="13"/>
                <w:color w:val="auto"/>
              </w:rPr>
            </w:pPr>
          </w:p>
        </w:tc>
        <w:tc>
          <w:tcPr>
            <w:tcW w:w="220" w:type="dxa"/>
            <w:vAlign w:val="bottom"/>
            <w:tcBorders>
              <w:top w:val="single" w:sz="8" w:color="0000EE"/>
            </w:tcBorders>
            <w:shd w:val="clear" w:color="auto" w:fill="CCEEFF"/>
          </w:tcPr>
          <w:p>
            <w:pPr>
              <w:spacing w:after="0"/>
              <w:rPr>
                <w:sz w:val="13"/>
                <w:szCs w:val="13"/>
                <w:color w:val="auto"/>
              </w:rPr>
            </w:pPr>
          </w:p>
        </w:tc>
        <w:tc>
          <w:tcPr>
            <w:tcW w:w="200" w:type="dxa"/>
            <w:vAlign w:val="bottom"/>
            <w:tcBorders>
              <w:top w:val="single" w:sz="8" w:color="0000EE"/>
            </w:tcBorders>
            <w:shd w:val="clear" w:color="auto" w:fill="CCEEFF"/>
          </w:tcPr>
          <w:p>
            <w:pPr>
              <w:spacing w:after="0"/>
              <w:rPr>
                <w:sz w:val="13"/>
                <w:szCs w:val="13"/>
                <w:color w:val="auto"/>
              </w:rPr>
            </w:pPr>
          </w:p>
        </w:tc>
        <w:tc>
          <w:tcPr>
            <w:tcW w:w="240" w:type="dxa"/>
            <w:vAlign w:val="bottom"/>
            <w:tcBorders>
              <w:top w:val="single" w:sz="8" w:color="0000EE"/>
            </w:tcBorders>
            <w:shd w:val="clear" w:color="auto" w:fill="CCEEFF"/>
          </w:tcPr>
          <w:p>
            <w:pPr>
              <w:spacing w:after="0"/>
              <w:rPr>
                <w:sz w:val="13"/>
                <w:szCs w:val="13"/>
                <w:color w:val="auto"/>
              </w:rPr>
            </w:pPr>
          </w:p>
        </w:tc>
        <w:tc>
          <w:tcPr>
            <w:tcW w:w="320" w:type="dxa"/>
            <w:vAlign w:val="bottom"/>
            <w:tcBorders>
              <w:top w:val="single" w:sz="8" w:color="0000EE"/>
            </w:tcBorders>
            <w:shd w:val="clear" w:color="auto" w:fill="CCEEFF"/>
          </w:tcPr>
          <w:p>
            <w:pPr>
              <w:spacing w:after="0"/>
              <w:rPr>
                <w:sz w:val="13"/>
                <w:szCs w:val="13"/>
                <w:color w:val="auto"/>
              </w:rPr>
            </w:pPr>
          </w:p>
        </w:tc>
        <w:tc>
          <w:tcPr>
            <w:tcW w:w="360" w:type="dxa"/>
            <w:vAlign w:val="bottom"/>
            <w:tcBorders>
              <w:top w:val="single" w:sz="8" w:color="0000EE"/>
            </w:tcBorders>
            <w:shd w:val="clear" w:color="auto" w:fill="CCEEFF"/>
          </w:tcPr>
          <w:p>
            <w:pPr>
              <w:spacing w:after="0"/>
              <w:rPr>
                <w:sz w:val="13"/>
                <w:szCs w:val="13"/>
                <w:color w:val="auto"/>
              </w:rPr>
            </w:pPr>
          </w:p>
        </w:tc>
        <w:tc>
          <w:tcPr>
            <w:tcW w:w="240" w:type="dxa"/>
            <w:vAlign w:val="bottom"/>
            <w:tcBorders>
              <w:top w:val="single" w:sz="8" w:color="0000EE"/>
            </w:tcBorders>
            <w:shd w:val="clear" w:color="auto" w:fill="CCEEFF"/>
          </w:tcPr>
          <w:p>
            <w:pPr>
              <w:spacing w:after="0"/>
              <w:rPr>
                <w:sz w:val="13"/>
                <w:szCs w:val="13"/>
                <w:color w:val="auto"/>
              </w:rPr>
            </w:pPr>
          </w:p>
        </w:tc>
        <w:tc>
          <w:tcPr>
            <w:tcW w:w="220" w:type="dxa"/>
            <w:vAlign w:val="bottom"/>
            <w:tcBorders>
              <w:top w:val="single" w:sz="8" w:color="0000EE"/>
            </w:tcBorders>
            <w:shd w:val="clear" w:color="auto" w:fill="CCEEFF"/>
          </w:tcPr>
          <w:p>
            <w:pPr>
              <w:spacing w:after="0"/>
              <w:rPr>
                <w:sz w:val="13"/>
                <w:szCs w:val="13"/>
                <w:color w:val="auto"/>
              </w:rPr>
            </w:pPr>
          </w:p>
        </w:tc>
        <w:tc>
          <w:tcPr>
            <w:tcW w:w="100" w:type="dxa"/>
            <w:vAlign w:val="bottom"/>
            <w:tcBorders>
              <w:top w:val="single" w:sz="8" w:color="0000EE"/>
            </w:tcBorders>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2940" w:type="dxa"/>
            <w:vAlign w:val="bottom"/>
            <w:shd w:val="clear" w:color="auto" w:fill="CCEEFF"/>
          </w:tcPr>
          <w:p>
            <w:pPr>
              <w:spacing w:after="0"/>
              <w:rPr>
                <w:sz w:val="13"/>
                <w:szCs w:val="13"/>
                <w:color w:val="auto"/>
              </w:rPr>
            </w:pPr>
          </w:p>
        </w:tc>
        <w:tc>
          <w:tcPr>
            <w:tcW w:w="2960" w:type="dxa"/>
            <w:vAlign w:val="bottom"/>
            <w:shd w:val="clear" w:color="auto" w:fill="CCEEFF"/>
          </w:tcPr>
          <w:p>
            <w:pPr>
              <w:spacing w:after="0"/>
              <w:rPr>
                <w:sz w:val="13"/>
                <w:szCs w:val="13"/>
                <w:color w:val="auto"/>
              </w:rPr>
            </w:pPr>
          </w:p>
        </w:tc>
        <w:tc>
          <w:tcPr>
            <w:tcW w:w="200" w:type="dxa"/>
            <w:vAlign w:val="bottom"/>
            <w:tcBorders>
              <w:top w:val="single" w:sz="8" w:color="0000EE"/>
            </w:tcBorders>
            <w:shd w:val="clear" w:color="auto" w:fill="CCEEFF"/>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560" w:type="dxa"/>
            <w:vAlign w:val="bottom"/>
            <w:gridSpan w:val="4"/>
          </w:tcPr>
          <w:p>
            <w:pPr>
              <w:spacing w:after="0" w:line="125" w:lineRule="exact"/>
              <w:rPr>
                <w:rFonts w:ascii="Arial" w:cs="Arial" w:eastAsia="Arial" w:hAnsi="Arial"/>
                <w:sz w:val="13"/>
                <w:szCs w:val="13"/>
                <w:b w:val="1"/>
                <w:bCs w:val="1"/>
                <w:color w:val="0000EE"/>
              </w:rPr>
            </w:pPr>
            <w:hyperlink w:anchor="page116">
              <w:r>
                <w:rPr>
                  <w:rFonts w:ascii="Arial" w:cs="Arial" w:eastAsia="Arial" w:hAnsi="Arial"/>
                  <w:sz w:val="13"/>
                  <w:szCs w:val="13"/>
                  <w:b w:val="1"/>
                  <w:bCs w:val="1"/>
                  <w:color w:val="0000EE"/>
                </w:rPr>
                <w:t>Item 12.</w:t>
              </w:r>
            </w:hyperlink>
          </w:p>
        </w:tc>
        <w:tc>
          <w:tcPr>
            <w:tcW w:w="4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160" w:type="dxa"/>
            <w:vAlign w:val="bottom"/>
            <w:gridSpan w:val="22"/>
          </w:tcPr>
          <w:p>
            <w:pPr>
              <w:spacing w:after="0" w:line="125" w:lineRule="exact"/>
              <w:rPr>
                <w:rFonts w:ascii="Arial" w:cs="Arial" w:eastAsia="Arial" w:hAnsi="Arial"/>
                <w:sz w:val="13"/>
                <w:szCs w:val="13"/>
                <w:b w:val="1"/>
                <w:bCs w:val="1"/>
                <w:color w:val="0000EE"/>
              </w:rPr>
            </w:pPr>
            <w:hyperlink w:anchor="page116">
              <w:r>
                <w:rPr>
                  <w:rFonts w:ascii="Arial" w:cs="Arial" w:eastAsia="Arial" w:hAnsi="Arial"/>
                  <w:sz w:val="13"/>
                  <w:szCs w:val="13"/>
                  <w:b w:val="1"/>
                  <w:bCs w:val="1"/>
                  <w:color w:val="0000EE"/>
                </w:rPr>
                <w:t>Description of Securities Other than Equity Securities</w:t>
              </w:r>
            </w:hyperlink>
          </w:p>
        </w:tc>
        <w:tc>
          <w:tcPr>
            <w:tcW w:w="3160" w:type="dxa"/>
            <w:vAlign w:val="bottom"/>
            <w:gridSpan w:val="2"/>
          </w:tcPr>
          <w:p>
            <w:pPr>
              <w:jc w:val="right"/>
              <w:spacing w:after="0" w:line="125" w:lineRule="exact"/>
              <w:rPr>
                <w:rFonts w:ascii="Arial" w:cs="Arial" w:eastAsia="Arial" w:hAnsi="Arial"/>
                <w:sz w:val="13"/>
                <w:szCs w:val="13"/>
                <w:b w:val="1"/>
                <w:bCs w:val="1"/>
                <w:color w:val="0000EE"/>
              </w:rPr>
            </w:pPr>
            <w:hyperlink w:anchor="page116">
              <w:r>
                <w:rPr>
                  <w:rFonts w:ascii="Arial" w:cs="Arial" w:eastAsia="Arial" w:hAnsi="Arial"/>
                  <w:sz w:val="13"/>
                  <w:szCs w:val="13"/>
                  <w:b w:val="1"/>
                  <w:bCs w:val="1"/>
                  <w:color w:val="0000EE"/>
                </w:rPr>
                <w:t>114</w:t>
              </w:r>
            </w:hyperlink>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80" w:type="dxa"/>
            <w:vAlign w:val="bottom"/>
            <w:tcBorders>
              <w:top w:val="single" w:sz="8" w:color="0000EE"/>
              <w:left w:val="single" w:sz="8" w:color="CCEEFF"/>
            </w:tcBorders>
            <w:shd w:val="clear" w:color="auto" w:fill="CCEEFF"/>
          </w:tcPr>
          <w:p>
            <w:pPr>
              <w:spacing w:after="0"/>
              <w:rPr>
                <w:sz w:val="13"/>
                <w:szCs w:val="13"/>
                <w:color w:val="auto"/>
              </w:rPr>
            </w:pPr>
          </w:p>
        </w:tc>
        <w:tc>
          <w:tcPr>
            <w:tcW w:w="340" w:type="dxa"/>
            <w:vAlign w:val="bottom"/>
            <w:tcBorders>
              <w:top w:val="single" w:sz="8" w:color="0000EE"/>
              <w:left w:val="single" w:sz="8" w:color="CCEEFF"/>
            </w:tcBorders>
            <w:shd w:val="clear" w:color="auto" w:fill="CCEEFF"/>
          </w:tcPr>
          <w:p>
            <w:pPr>
              <w:spacing w:after="0"/>
              <w:rPr>
                <w:sz w:val="13"/>
                <w:szCs w:val="13"/>
                <w:color w:val="auto"/>
              </w:rPr>
            </w:pPr>
          </w:p>
        </w:tc>
        <w:tc>
          <w:tcPr>
            <w:tcW w:w="80" w:type="dxa"/>
            <w:vAlign w:val="bottom"/>
            <w:tcBorders>
              <w:left w:val="single" w:sz="8" w:color="CCEEFF"/>
            </w:tcBorders>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00" w:type="dxa"/>
            <w:vAlign w:val="bottom"/>
            <w:tcBorders>
              <w:top w:val="single" w:sz="8" w:color="0000EE"/>
            </w:tcBorders>
            <w:shd w:val="clear" w:color="auto" w:fill="CCEEFF"/>
          </w:tcPr>
          <w:p>
            <w:pPr>
              <w:spacing w:after="0"/>
              <w:rPr>
                <w:sz w:val="13"/>
                <w:szCs w:val="13"/>
                <w:color w:val="auto"/>
              </w:rPr>
            </w:pPr>
          </w:p>
        </w:tc>
        <w:tc>
          <w:tcPr>
            <w:tcW w:w="280" w:type="dxa"/>
            <w:vAlign w:val="bottom"/>
            <w:tcBorders>
              <w:top w:val="single" w:sz="8" w:color="0000EE"/>
            </w:tcBorders>
            <w:shd w:val="clear" w:color="auto" w:fill="CCEEFF"/>
          </w:tcPr>
          <w:p>
            <w:pPr>
              <w:spacing w:after="0"/>
              <w:rPr>
                <w:sz w:val="13"/>
                <w:szCs w:val="13"/>
                <w:color w:val="auto"/>
              </w:rPr>
            </w:pPr>
          </w:p>
        </w:tc>
        <w:tc>
          <w:tcPr>
            <w:tcW w:w="140" w:type="dxa"/>
            <w:vAlign w:val="bottom"/>
            <w:tcBorders>
              <w:top w:val="single" w:sz="8" w:color="0000EE"/>
              <w:left w:val="single" w:sz="8" w:color="CCEEFF"/>
            </w:tcBorders>
            <w:shd w:val="clear" w:color="auto" w:fill="CCEEFF"/>
          </w:tcPr>
          <w:p>
            <w:pPr>
              <w:spacing w:after="0"/>
              <w:rPr>
                <w:sz w:val="13"/>
                <w:szCs w:val="13"/>
                <w:color w:val="auto"/>
              </w:rPr>
            </w:pPr>
          </w:p>
        </w:tc>
        <w:tc>
          <w:tcPr>
            <w:tcW w:w="80" w:type="dxa"/>
            <w:vAlign w:val="bottom"/>
            <w:tcBorders>
              <w:top w:val="single" w:sz="8" w:color="0000EE"/>
              <w:left w:val="single" w:sz="8" w:color="CCEEFF"/>
            </w:tcBorders>
            <w:shd w:val="clear" w:color="auto" w:fill="CCEEFF"/>
          </w:tcPr>
          <w:p>
            <w:pPr>
              <w:spacing w:after="0"/>
              <w:rPr>
                <w:sz w:val="13"/>
                <w:szCs w:val="13"/>
                <w:color w:val="auto"/>
              </w:rPr>
            </w:pPr>
          </w:p>
        </w:tc>
        <w:tc>
          <w:tcPr>
            <w:tcW w:w="160" w:type="dxa"/>
            <w:vAlign w:val="bottom"/>
            <w:tcBorders>
              <w:top w:val="single" w:sz="8" w:color="0000EE"/>
            </w:tcBorders>
            <w:shd w:val="clear" w:color="auto" w:fill="CCEEFF"/>
          </w:tcPr>
          <w:p>
            <w:pPr>
              <w:spacing w:after="0"/>
              <w:rPr>
                <w:sz w:val="13"/>
                <w:szCs w:val="13"/>
                <w:color w:val="auto"/>
              </w:rPr>
            </w:pPr>
          </w:p>
        </w:tc>
        <w:tc>
          <w:tcPr>
            <w:tcW w:w="180" w:type="dxa"/>
            <w:vAlign w:val="bottom"/>
            <w:tcBorders>
              <w:top w:val="single" w:sz="8" w:color="0000EE"/>
            </w:tcBorders>
            <w:shd w:val="clear" w:color="auto" w:fill="CCEEFF"/>
          </w:tcPr>
          <w:p>
            <w:pPr>
              <w:spacing w:after="0"/>
              <w:rPr>
                <w:sz w:val="13"/>
                <w:szCs w:val="13"/>
                <w:color w:val="auto"/>
              </w:rPr>
            </w:pPr>
          </w:p>
        </w:tc>
        <w:tc>
          <w:tcPr>
            <w:tcW w:w="200" w:type="dxa"/>
            <w:vAlign w:val="bottom"/>
            <w:tcBorders>
              <w:top w:val="single" w:sz="8" w:color="0000EE"/>
            </w:tcBorders>
            <w:shd w:val="clear" w:color="auto" w:fill="CCEEFF"/>
          </w:tcPr>
          <w:p>
            <w:pPr>
              <w:spacing w:after="0"/>
              <w:rPr>
                <w:sz w:val="13"/>
                <w:szCs w:val="13"/>
                <w:color w:val="auto"/>
              </w:rPr>
            </w:pPr>
          </w:p>
        </w:tc>
        <w:tc>
          <w:tcPr>
            <w:tcW w:w="20" w:type="dxa"/>
            <w:vAlign w:val="bottom"/>
            <w:tcBorders>
              <w:top w:val="single" w:sz="8" w:color="0000EE"/>
            </w:tcBorders>
            <w:shd w:val="clear" w:color="auto" w:fill="CCEEFF"/>
          </w:tcPr>
          <w:p>
            <w:pPr>
              <w:spacing w:after="0"/>
              <w:rPr>
                <w:sz w:val="13"/>
                <w:szCs w:val="13"/>
                <w:color w:val="auto"/>
              </w:rPr>
            </w:pPr>
          </w:p>
        </w:tc>
        <w:tc>
          <w:tcPr>
            <w:tcW w:w="40" w:type="dxa"/>
            <w:vAlign w:val="bottom"/>
            <w:tcBorders>
              <w:top w:val="single" w:sz="8" w:color="0000EE"/>
            </w:tcBorders>
            <w:shd w:val="clear" w:color="auto" w:fill="CCEEFF"/>
          </w:tcPr>
          <w:p>
            <w:pPr>
              <w:spacing w:after="0"/>
              <w:rPr>
                <w:sz w:val="13"/>
                <w:szCs w:val="13"/>
                <w:color w:val="auto"/>
              </w:rPr>
            </w:pPr>
          </w:p>
        </w:tc>
        <w:tc>
          <w:tcPr>
            <w:tcW w:w="80" w:type="dxa"/>
            <w:vAlign w:val="bottom"/>
            <w:tcBorders>
              <w:top w:val="single" w:sz="8" w:color="0000EE"/>
            </w:tcBorders>
            <w:shd w:val="clear" w:color="auto" w:fill="CCEEFF"/>
          </w:tcPr>
          <w:p>
            <w:pPr>
              <w:spacing w:after="0"/>
              <w:rPr>
                <w:sz w:val="13"/>
                <w:szCs w:val="13"/>
                <w:color w:val="auto"/>
              </w:rPr>
            </w:pPr>
          </w:p>
        </w:tc>
        <w:tc>
          <w:tcPr>
            <w:tcW w:w="80" w:type="dxa"/>
            <w:vAlign w:val="bottom"/>
            <w:tcBorders>
              <w:top w:val="single" w:sz="8" w:color="0000EE"/>
            </w:tcBorders>
            <w:shd w:val="clear" w:color="auto" w:fill="CCEEFF"/>
          </w:tcPr>
          <w:p>
            <w:pPr>
              <w:spacing w:after="0"/>
              <w:rPr>
                <w:sz w:val="13"/>
                <w:szCs w:val="13"/>
                <w:color w:val="auto"/>
              </w:rPr>
            </w:pPr>
          </w:p>
        </w:tc>
        <w:tc>
          <w:tcPr>
            <w:tcW w:w="220" w:type="dxa"/>
            <w:vAlign w:val="bottom"/>
            <w:tcBorders>
              <w:top w:val="single" w:sz="8" w:color="0000EE"/>
            </w:tcBorders>
            <w:shd w:val="clear" w:color="auto" w:fill="CCEEFF"/>
          </w:tcPr>
          <w:p>
            <w:pPr>
              <w:spacing w:after="0"/>
              <w:rPr>
                <w:sz w:val="13"/>
                <w:szCs w:val="13"/>
                <w:color w:val="auto"/>
              </w:rPr>
            </w:pPr>
          </w:p>
        </w:tc>
        <w:tc>
          <w:tcPr>
            <w:tcW w:w="200" w:type="dxa"/>
            <w:vAlign w:val="bottom"/>
            <w:tcBorders>
              <w:top w:val="single" w:sz="8" w:color="0000EE"/>
            </w:tcBorders>
            <w:shd w:val="clear" w:color="auto" w:fill="CCEEFF"/>
          </w:tcPr>
          <w:p>
            <w:pPr>
              <w:spacing w:after="0"/>
              <w:rPr>
                <w:sz w:val="13"/>
                <w:szCs w:val="13"/>
                <w:color w:val="auto"/>
              </w:rPr>
            </w:pPr>
          </w:p>
        </w:tc>
        <w:tc>
          <w:tcPr>
            <w:tcW w:w="240" w:type="dxa"/>
            <w:vAlign w:val="bottom"/>
            <w:tcBorders>
              <w:top w:val="single" w:sz="8" w:color="0000EE"/>
            </w:tcBorders>
            <w:shd w:val="clear" w:color="auto" w:fill="CCEEFF"/>
          </w:tcPr>
          <w:p>
            <w:pPr>
              <w:spacing w:after="0"/>
              <w:rPr>
                <w:sz w:val="13"/>
                <w:szCs w:val="13"/>
                <w:color w:val="auto"/>
              </w:rPr>
            </w:pPr>
          </w:p>
        </w:tc>
        <w:tc>
          <w:tcPr>
            <w:tcW w:w="320" w:type="dxa"/>
            <w:vAlign w:val="bottom"/>
            <w:tcBorders>
              <w:top w:val="single" w:sz="8" w:color="0000EE"/>
            </w:tcBorders>
            <w:shd w:val="clear" w:color="auto" w:fill="CCEEFF"/>
          </w:tcPr>
          <w:p>
            <w:pPr>
              <w:spacing w:after="0"/>
              <w:rPr>
                <w:sz w:val="13"/>
                <w:szCs w:val="13"/>
                <w:color w:val="auto"/>
              </w:rPr>
            </w:pPr>
          </w:p>
        </w:tc>
        <w:tc>
          <w:tcPr>
            <w:tcW w:w="360" w:type="dxa"/>
            <w:vAlign w:val="bottom"/>
            <w:tcBorders>
              <w:top w:val="single" w:sz="8" w:color="0000EE"/>
            </w:tcBorders>
            <w:shd w:val="clear" w:color="auto" w:fill="CCEEFF"/>
          </w:tcPr>
          <w:p>
            <w:pPr>
              <w:spacing w:after="0"/>
              <w:rPr>
                <w:sz w:val="13"/>
                <w:szCs w:val="13"/>
                <w:color w:val="auto"/>
              </w:rPr>
            </w:pPr>
          </w:p>
        </w:tc>
        <w:tc>
          <w:tcPr>
            <w:tcW w:w="240" w:type="dxa"/>
            <w:vAlign w:val="bottom"/>
            <w:tcBorders>
              <w:top w:val="single" w:sz="8" w:color="0000EE"/>
            </w:tcBorders>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2940" w:type="dxa"/>
            <w:vAlign w:val="bottom"/>
            <w:shd w:val="clear" w:color="auto" w:fill="CCEEFF"/>
          </w:tcPr>
          <w:p>
            <w:pPr>
              <w:spacing w:after="0"/>
              <w:rPr>
                <w:sz w:val="13"/>
                <w:szCs w:val="13"/>
                <w:color w:val="auto"/>
              </w:rPr>
            </w:pPr>
          </w:p>
        </w:tc>
        <w:tc>
          <w:tcPr>
            <w:tcW w:w="2960" w:type="dxa"/>
            <w:vAlign w:val="bottom"/>
            <w:shd w:val="clear" w:color="auto" w:fill="CCEEFF"/>
          </w:tcPr>
          <w:p>
            <w:pPr>
              <w:spacing w:after="0"/>
              <w:rPr>
                <w:sz w:val="13"/>
                <w:szCs w:val="13"/>
                <w:color w:val="auto"/>
              </w:rPr>
            </w:pPr>
          </w:p>
        </w:tc>
        <w:tc>
          <w:tcPr>
            <w:tcW w:w="200" w:type="dxa"/>
            <w:vAlign w:val="bottom"/>
            <w:tcBorders>
              <w:top w:val="single" w:sz="8" w:color="0000EE"/>
            </w:tcBorders>
            <w:shd w:val="clear" w:color="auto" w:fill="CCEEFF"/>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560" w:type="dxa"/>
            <w:vAlign w:val="bottom"/>
            <w:gridSpan w:val="4"/>
          </w:tcPr>
          <w:p>
            <w:pPr>
              <w:spacing w:after="0" w:line="125" w:lineRule="exact"/>
              <w:rPr>
                <w:rFonts w:ascii="Arial" w:cs="Arial" w:eastAsia="Arial" w:hAnsi="Arial"/>
                <w:sz w:val="13"/>
                <w:szCs w:val="13"/>
                <w:b w:val="1"/>
                <w:bCs w:val="1"/>
                <w:color w:val="0000EE"/>
              </w:rPr>
            </w:pPr>
            <w:hyperlink w:anchor="page117">
              <w:r>
                <w:rPr>
                  <w:rFonts w:ascii="Arial" w:cs="Arial" w:eastAsia="Arial" w:hAnsi="Arial"/>
                  <w:sz w:val="13"/>
                  <w:szCs w:val="13"/>
                  <w:b w:val="1"/>
                  <w:bCs w:val="1"/>
                  <w:color w:val="0000EE"/>
                </w:rPr>
                <w:t>PART II</w:t>
              </w:r>
            </w:hyperlink>
          </w:p>
        </w:tc>
        <w:tc>
          <w:tcPr>
            <w:tcW w:w="4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2940" w:type="dxa"/>
            <w:vAlign w:val="bottom"/>
          </w:tcPr>
          <w:p>
            <w:pPr>
              <w:spacing w:after="0"/>
              <w:rPr>
                <w:sz w:val="11"/>
                <w:szCs w:val="11"/>
                <w:color w:val="auto"/>
              </w:rPr>
            </w:pPr>
          </w:p>
        </w:tc>
        <w:tc>
          <w:tcPr>
            <w:tcW w:w="3160" w:type="dxa"/>
            <w:vAlign w:val="bottom"/>
            <w:gridSpan w:val="2"/>
          </w:tcPr>
          <w:p>
            <w:pPr>
              <w:jc w:val="right"/>
              <w:spacing w:after="0" w:line="125" w:lineRule="exact"/>
              <w:rPr>
                <w:rFonts w:ascii="Arial" w:cs="Arial" w:eastAsia="Arial" w:hAnsi="Arial"/>
                <w:sz w:val="13"/>
                <w:szCs w:val="13"/>
                <w:b w:val="1"/>
                <w:bCs w:val="1"/>
                <w:color w:val="0000EE"/>
              </w:rPr>
            </w:pPr>
            <w:hyperlink w:anchor="page117">
              <w:r>
                <w:rPr>
                  <w:rFonts w:ascii="Arial" w:cs="Arial" w:eastAsia="Arial" w:hAnsi="Arial"/>
                  <w:sz w:val="13"/>
                  <w:szCs w:val="13"/>
                  <w:b w:val="1"/>
                  <w:bCs w:val="1"/>
                  <w:color w:val="0000EE"/>
                </w:rPr>
                <w:t>115</w:t>
              </w:r>
            </w:hyperlink>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80" w:type="dxa"/>
            <w:vAlign w:val="bottom"/>
            <w:tcBorders>
              <w:top w:val="single" w:sz="8" w:color="0000EE"/>
              <w:left w:val="single" w:sz="8" w:color="CCEEFF"/>
            </w:tcBorders>
            <w:shd w:val="clear" w:color="auto" w:fill="CCEEFF"/>
          </w:tcPr>
          <w:p>
            <w:pPr>
              <w:spacing w:after="0"/>
              <w:rPr>
                <w:sz w:val="13"/>
                <w:szCs w:val="13"/>
                <w:color w:val="auto"/>
              </w:rPr>
            </w:pPr>
          </w:p>
        </w:tc>
        <w:tc>
          <w:tcPr>
            <w:tcW w:w="340" w:type="dxa"/>
            <w:vAlign w:val="bottom"/>
            <w:tcBorders>
              <w:top w:val="single" w:sz="8" w:color="0000EE"/>
              <w:left w:val="single" w:sz="8" w:color="CCEEFF"/>
            </w:tcBorders>
            <w:shd w:val="clear" w:color="auto" w:fill="CCEEFF"/>
          </w:tcPr>
          <w:p>
            <w:pPr>
              <w:spacing w:after="0"/>
              <w:rPr>
                <w:sz w:val="13"/>
                <w:szCs w:val="13"/>
                <w:color w:val="auto"/>
              </w:rPr>
            </w:pPr>
          </w:p>
        </w:tc>
        <w:tc>
          <w:tcPr>
            <w:tcW w:w="80" w:type="dxa"/>
            <w:vAlign w:val="bottom"/>
            <w:tcBorders>
              <w:left w:val="single" w:sz="8" w:color="CCEEFF"/>
            </w:tcBorders>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140" w:type="dxa"/>
            <w:vAlign w:val="bottom"/>
            <w:tcBorders>
              <w:left w:val="single" w:sz="8" w:color="CCEEFF"/>
            </w:tcBorders>
            <w:shd w:val="clear" w:color="auto" w:fill="CCEEFF"/>
          </w:tcPr>
          <w:p>
            <w:pPr>
              <w:spacing w:after="0"/>
              <w:rPr>
                <w:sz w:val="13"/>
                <w:szCs w:val="13"/>
                <w:color w:val="auto"/>
              </w:rPr>
            </w:pPr>
          </w:p>
        </w:tc>
        <w:tc>
          <w:tcPr>
            <w:tcW w:w="80" w:type="dxa"/>
            <w:vAlign w:val="bottom"/>
            <w:tcBorders>
              <w:left w:val="single" w:sz="8" w:color="CCEEFF"/>
            </w:tcBorders>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4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2940" w:type="dxa"/>
            <w:vAlign w:val="bottom"/>
            <w:shd w:val="clear" w:color="auto" w:fill="CCEEFF"/>
          </w:tcPr>
          <w:p>
            <w:pPr>
              <w:spacing w:after="0"/>
              <w:rPr>
                <w:sz w:val="13"/>
                <w:szCs w:val="13"/>
                <w:color w:val="auto"/>
              </w:rPr>
            </w:pPr>
          </w:p>
        </w:tc>
        <w:tc>
          <w:tcPr>
            <w:tcW w:w="2960" w:type="dxa"/>
            <w:vAlign w:val="bottom"/>
            <w:shd w:val="clear" w:color="auto" w:fill="CCEEFF"/>
          </w:tcPr>
          <w:p>
            <w:pPr>
              <w:spacing w:after="0"/>
              <w:rPr>
                <w:sz w:val="13"/>
                <w:szCs w:val="13"/>
                <w:color w:val="auto"/>
              </w:rPr>
            </w:pPr>
          </w:p>
        </w:tc>
        <w:tc>
          <w:tcPr>
            <w:tcW w:w="200" w:type="dxa"/>
            <w:vAlign w:val="bottom"/>
            <w:tcBorders>
              <w:top w:val="single" w:sz="8" w:color="0000EE"/>
            </w:tcBorders>
            <w:shd w:val="clear" w:color="auto" w:fill="CCEEFF"/>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560" w:type="dxa"/>
            <w:vAlign w:val="bottom"/>
            <w:gridSpan w:val="4"/>
          </w:tcPr>
          <w:p>
            <w:pPr>
              <w:spacing w:after="0" w:line="125" w:lineRule="exact"/>
              <w:rPr>
                <w:rFonts w:ascii="Arial" w:cs="Arial" w:eastAsia="Arial" w:hAnsi="Arial"/>
                <w:sz w:val="13"/>
                <w:szCs w:val="13"/>
                <w:b w:val="1"/>
                <w:bCs w:val="1"/>
                <w:color w:val="0000EE"/>
              </w:rPr>
            </w:pPr>
            <w:hyperlink w:anchor="page117">
              <w:r>
                <w:rPr>
                  <w:rFonts w:ascii="Arial" w:cs="Arial" w:eastAsia="Arial" w:hAnsi="Arial"/>
                  <w:sz w:val="13"/>
                  <w:szCs w:val="13"/>
                  <w:b w:val="1"/>
                  <w:bCs w:val="1"/>
                  <w:color w:val="0000EE"/>
                </w:rPr>
                <w:t>Item 13.</w:t>
              </w:r>
            </w:hyperlink>
          </w:p>
        </w:tc>
        <w:tc>
          <w:tcPr>
            <w:tcW w:w="4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160" w:type="dxa"/>
            <w:vAlign w:val="bottom"/>
            <w:gridSpan w:val="22"/>
          </w:tcPr>
          <w:p>
            <w:pPr>
              <w:spacing w:after="0" w:line="125" w:lineRule="exact"/>
              <w:rPr>
                <w:rFonts w:ascii="Arial" w:cs="Arial" w:eastAsia="Arial" w:hAnsi="Arial"/>
                <w:sz w:val="13"/>
                <w:szCs w:val="13"/>
                <w:b w:val="1"/>
                <w:bCs w:val="1"/>
                <w:color w:val="0000EE"/>
              </w:rPr>
            </w:pPr>
            <w:hyperlink w:anchor="page117">
              <w:r>
                <w:rPr>
                  <w:rFonts w:ascii="Arial" w:cs="Arial" w:eastAsia="Arial" w:hAnsi="Arial"/>
                  <w:sz w:val="13"/>
                  <w:szCs w:val="13"/>
                  <w:b w:val="1"/>
                  <w:bCs w:val="1"/>
                  <w:color w:val="0000EE"/>
                </w:rPr>
                <w:t>Defaults, Dividend Arrearages and Delinquencies</w:t>
              </w:r>
            </w:hyperlink>
          </w:p>
        </w:tc>
        <w:tc>
          <w:tcPr>
            <w:tcW w:w="3160" w:type="dxa"/>
            <w:vAlign w:val="bottom"/>
            <w:gridSpan w:val="2"/>
          </w:tcPr>
          <w:p>
            <w:pPr>
              <w:jc w:val="right"/>
              <w:spacing w:after="0" w:line="125" w:lineRule="exact"/>
              <w:rPr>
                <w:rFonts w:ascii="Arial" w:cs="Arial" w:eastAsia="Arial" w:hAnsi="Arial"/>
                <w:sz w:val="13"/>
                <w:szCs w:val="13"/>
                <w:b w:val="1"/>
                <w:bCs w:val="1"/>
                <w:color w:val="0000EE"/>
              </w:rPr>
            </w:pPr>
            <w:hyperlink w:anchor="page117">
              <w:r>
                <w:rPr>
                  <w:rFonts w:ascii="Arial" w:cs="Arial" w:eastAsia="Arial" w:hAnsi="Arial"/>
                  <w:sz w:val="13"/>
                  <w:szCs w:val="13"/>
                  <w:b w:val="1"/>
                  <w:bCs w:val="1"/>
                  <w:color w:val="0000EE"/>
                </w:rPr>
                <w:t>115</w:t>
              </w:r>
            </w:hyperlink>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80" w:type="dxa"/>
            <w:vAlign w:val="bottom"/>
            <w:tcBorders>
              <w:top w:val="single" w:sz="8" w:color="0000EE"/>
              <w:left w:val="single" w:sz="8" w:color="CCEEFF"/>
            </w:tcBorders>
            <w:shd w:val="clear" w:color="auto" w:fill="CCEEFF"/>
          </w:tcPr>
          <w:p>
            <w:pPr>
              <w:spacing w:after="0"/>
              <w:rPr>
                <w:sz w:val="13"/>
                <w:szCs w:val="13"/>
                <w:color w:val="auto"/>
              </w:rPr>
            </w:pPr>
          </w:p>
        </w:tc>
        <w:tc>
          <w:tcPr>
            <w:tcW w:w="340" w:type="dxa"/>
            <w:vAlign w:val="bottom"/>
            <w:tcBorders>
              <w:top w:val="single" w:sz="8" w:color="0000EE"/>
              <w:left w:val="single" w:sz="8" w:color="CCEEFF"/>
            </w:tcBorders>
            <w:shd w:val="clear" w:color="auto" w:fill="CCEEFF"/>
          </w:tcPr>
          <w:p>
            <w:pPr>
              <w:spacing w:after="0"/>
              <w:rPr>
                <w:sz w:val="13"/>
                <w:szCs w:val="13"/>
                <w:color w:val="auto"/>
              </w:rPr>
            </w:pPr>
          </w:p>
        </w:tc>
        <w:tc>
          <w:tcPr>
            <w:tcW w:w="80" w:type="dxa"/>
            <w:vAlign w:val="bottom"/>
            <w:tcBorders>
              <w:left w:val="single" w:sz="8" w:color="CCEEFF"/>
            </w:tcBorders>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00" w:type="dxa"/>
            <w:vAlign w:val="bottom"/>
            <w:tcBorders>
              <w:top w:val="single" w:sz="8" w:color="0000EE"/>
            </w:tcBorders>
            <w:shd w:val="clear" w:color="auto" w:fill="CCEEFF"/>
          </w:tcPr>
          <w:p>
            <w:pPr>
              <w:spacing w:after="0"/>
              <w:rPr>
                <w:sz w:val="13"/>
                <w:szCs w:val="13"/>
                <w:color w:val="auto"/>
              </w:rPr>
            </w:pPr>
          </w:p>
        </w:tc>
        <w:tc>
          <w:tcPr>
            <w:tcW w:w="280" w:type="dxa"/>
            <w:vAlign w:val="bottom"/>
            <w:tcBorders>
              <w:top w:val="single" w:sz="8" w:color="0000EE"/>
            </w:tcBorders>
            <w:shd w:val="clear" w:color="auto" w:fill="CCEEFF"/>
          </w:tcPr>
          <w:p>
            <w:pPr>
              <w:spacing w:after="0"/>
              <w:rPr>
                <w:sz w:val="13"/>
                <w:szCs w:val="13"/>
                <w:color w:val="auto"/>
              </w:rPr>
            </w:pPr>
          </w:p>
        </w:tc>
        <w:tc>
          <w:tcPr>
            <w:tcW w:w="140" w:type="dxa"/>
            <w:vAlign w:val="bottom"/>
            <w:tcBorders>
              <w:top w:val="single" w:sz="8" w:color="0000EE"/>
              <w:left w:val="single" w:sz="8" w:color="CCEEFF"/>
            </w:tcBorders>
            <w:shd w:val="clear" w:color="auto" w:fill="CCEEFF"/>
          </w:tcPr>
          <w:p>
            <w:pPr>
              <w:spacing w:after="0"/>
              <w:rPr>
                <w:sz w:val="13"/>
                <w:szCs w:val="13"/>
                <w:color w:val="auto"/>
              </w:rPr>
            </w:pPr>
          </w:p>
        </w:tc>
        <w:tc>
          <w:tcPr>
            <w:tcW w:w="80" w:type="dxa"/>
            <w:vAlign w:val="bottom"/>
            <w:tcBorders>
              <w:top w:val="single" w:sz="8" w:color="0000EE"/>
              <w:left w:val="single" w:sz="8" w:color="CCEEFF"/>
            </w:tcBorders>
            <w:shd w:val="clear" w:color="auto" w:fill="CCEEFF"/>
          </w:tcPr>
          <w:p>
            <w:pPr>
              <w:spacing w:after="0"/>
              <w:rPr>
                <w:sz w:val="13"/>
                <w:szCs w:val="13"/>
                <w:color w:val="auto"/>
              </w:rPr>
            </w:pPr>
          </w:p>
        </w:tc>
        <w:tc>
          <w:tcPr>
            <w:tcW w:w="160" w:type="dxa"/>
            <w:vAlign w:val="bottom"/>
            <w:tcBorders>
              <w:top w:val="single" w:sz="8" w:color="0000EE"/>
            </w:tcBorders>
            <w:shd w:val="clear" w:color="auto" w:fill="CCEEFF"/>
          </w:tcPr>
          <w:p>
            <w:pPr>
              <w:spacing w:after="0"/>
              <w:rPr>
                <w:sz w:val="13"/>
                <w:szCs w:val="13"/>
                <w:color w:val="auto"/>
              </w:rPr>
            </w:pPr>
          </w:p>
        </w:tc>
        <w:tc>
          <w:tcPr>
            <w:tcW w:w="180" w:type="dxa"/>
            <w:vAlign w:val="bottom"/>
            <w:tcBorders>
              <w:top w:val="single" w:sz="8" w:color="0000EE"/>
            </w:tcBorders>
            <w:shd w:val="clear" w:color="auto" w:fill="CCEEFF"/>
          </w:tcPr>
          <w:p>
            <w:pPr>
              <w:spacing w:after="0"/>
              <w:rPr>
                <w:sz w:val="13"/>
                <w:szCs w:val="13"/>
                <w:color w:val="auto"/>
              </w:rPr>
            </w:pPr>
          </w:p>
        </w:tc>
        <w:tc>
          <w:tcPr>
            <w:tcW w:w="200" w:type="dxa"/>
            <w:vAlign w:val="bottom"/>
            <w:tcBorders>
              <w:top w:val="single" w:sz="8" w:color="0000EE"/>
            </w:tcBorders>
            <w:shd w:val="clear" w:color="auto" w:fill="CCEEFF"/>
          </w:tcPr>
          <w:p>
            <w:pPr>
              <w:spacing w:after="0"/>
              <w:rPr>
                <w:sz w:val="13"/>
                <w:szCs w:val="13"/>
                <w:color w:val="auto"/>
              </w:rPr>
            </w:pPr>
          </w:p>
        </w:tc>
        <w:tc>
          <w:tcPr>
            <w:tcW w:w="20" w:type="dxa"/>
            <w:vAlign w:val="bottom"/>
            <w:tcBorders>
              <w:top w:val="single" w:sz="8" w:color="0000EE"/>
            </w:tcBorders>
            <w:shd w:val="clear" w:color="auto" w:fill="CCEEFF"/>
          </w:tcPr>
          <w:p>
            <w:pPr>
              <w:spacing w:after="0"/>
              <w:rPr>
                <w:sz w:val="13"/>
                <w:szCs w:val="13"/>
                <w:color w:val="auto"/>
              </w:rPr>
            </w:pPr>
          </w:p>
        </w:tc>
        <w:tc>
          <w:tcPr>
            <w:tcW w:w="40" w:type="dxa"/>
            <w:vAlign w:val="bottom"/>
            <w:tcBorders>
              <w:top w:val="single" w:sz="8" w:color="0000EE"/>
            </w:tcBorders>
            <w:shd w:val="clear" w:color="auto" w:fill="CCEEFF"/>
          </w:tcPr>
          <w:p>
            <w:pPr>
              <w:spacing w:after="0"/>
              <w:rPr>
                <w:sz w:val="13"/>
                <w:szCs w:val="13"/>
                <w:color w:val="auto"/>
              </w:rPr>
            </w:pPr>
          </w:p>
        </w:tc>
        <w:tc>
          <w:tcPr>
            <w:tcW w:w="80" w:type="dxa"/>
            <w:vAlign w:val="bottom"/>
            <w:tcBorders>
              <w:top w:val="single" w:sz="8" w:color="0000EE"/>
            </w:tcBorders>
            <w:shd w:val="clear" w:color="auto" w:fill="CCEEFF"/>
          </w:tcPr>
          <w:p>
            <w:pPr>
              <w:spacing w:after="0"/>
              <w:rPr>
                <w:sz w:val="13"/>
                <w:szCs w:val="13"/>
                <w:color w:val="auto"/>
              </w:rPr>
            </w:pPr>
          </w:p>
        </w:tc>
        <w:tc>
          <w:tcPr>
            <w:tcW w:w="80" w:type="dxa"/>
            <w:vAlign w:val="bottom"/>
            <w:tcBorders>
              <w:top w:val="single" w:sz="8" w:color="0000EE"/>
            </w:tcBorders>
            <w:shd w:val="clear" w:color="auto" w:fill="CCEEFF"/>
          </w:tcPr>
          <w:p>
            <w:pPr>
              <w:spacing w:after="0"/>
              <w:rPr>
                <w:sz w:val="13"/>
                <w:szCs w:val="13"/>
                <w:color w:val="auto"/>
              </w:rPr>
            </w:pPr>
          </w:p>
        </w:tc>
        <w:tc>
          <w:tcPr>
            <w:tcW w:w="220" w:type="dxa"/>
            <w:vAlign w:val="bottom"/>
            <w:tcBorders>
              <w:top w:val="single" w:sz="8" w:color="0000EE"/>
            </w:tcBorders>
            <w:shd w:val="clear" w:color="auto" w:fill="CCEEFF"/>
          </w:tcPr>
          <w:p>
            <w:pPr>
              <w:spacing w:after="0"/>
              <w:rPr>
                <w:sz w:val="13"/>
                <w:szCs w:val="13"/>
                <w:color w:val="auto"/>
              </w:rPr>
            </w:pPr>
          </w:p>
        </w:tc>
        <w:tc>
          <w:tcPr>
            <w:tcW w:w="200" w:type="dxa"/>
            <w:vAlign w:val="bottom"/>
            <w:tcBorders>
              <w:top w:val="single" w:sz="8" w:color="0000EE"/>
            </w:tcBorders>
            <w:shd w:val="clear" w:color="auto" w:fill="CCEEFF"/>
          </w:tcPr>
          <w:p>
            <w:pPr>
              <w:spacing w:after="0"/>
              <w:rPr>
                <w:sz w:val="13"/>
                <w:szCs w:val="13"/>
                <w:color w:val="auto"/>
              </w:rPr>
            </w:pPr>
          </w:p>
        </w:tc>
        <w:tc>
          <w:tcPr>
            <w:tcW w:w="240" w:type="dxa"/>
            <w:vAlign w:val="bottom"/>
            <w:tcBorders>
              <w:top w:val="single" w:sz="8" w:color="0000EE"/>
            </w:tcBorders>
            <w:shd w:val="clear" w:color="auto" w:fill="CCEEFF"/>
          </w:tcPr>
          <w:p>
            <w:pPr>
              <w:spacing w:after="0"/>
              <w:rPr>
                <w:sz w:val="13"/>
                <w:szCs w:val="13"/>
                <w:color w:val="auto"/>
              </w:rPr>
            </w:pPr>
          </w:p>
        </w:tc>
        <w:tc>
          <w:tcPr>
            <w:tcW w:w="320" w:type="dxa"/>
            <w:vAlign w:val="bottom"/>
            <w:tcBorders>
              <w:top w:val="single" w:sz="8" w:color="0000EE"/>
            </w:tcBorders>
            <w:shd w:val="clear" w:color="auto" w:fill="CCEEFF"/>
          </w:tcPr>
          <w:p>
            <w:pPr>
              <w:spacing w:after="0"/>
              <w:rPr>
                <w:sz w:val="13"/>
                <w:szCs w:val="13"/>
                <w:color w:val="auto"/>
              </w:rPr>
            </w:pPr>
          </w:p>
        </w:tc>
        <w:tc>
          <w:tcPr>
            <w:tcW w:w="360" w:type="dxa"/>
            <w:vAlign w:val="bottom"/>
            <w:tcBorders>
              <w:top w:val="single" w:sz="8" w:color="0000EE"/>
            </w:tcBorders>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2940" w:type="dxa"/>
            <w:vAlign w:val="bottom"/>
            <w:shd w:val="clear" w:color="auto" w:fill="CCEEFF"/>
          </w:tcPr>
          <w:p>
            <w:pPr>
              <w:spacing w:after="0"/>
              <w:rPr>
                <w:sz w:val="13"/>
                <w:szCs w:val="13"/>
                <w:color w:val="auto"/>
              </w:rPr>
            </w:pPr>
          </w:p>
        </w:tc>
        <w:tc>
          <w:tcPr>
            <w:tcW w:w="2960" w:type="dxa"/>
            <w:vAlign w:val="bottom"/>
            <w:shd w:val="clear" w:color="auto" w:fill="CCEEFF"/>
          </w:tcPr>
          <w:p>
            <w:pPr>
              <w:spacing w:after="0"/>
              <w:rPr>
                <w:sz w:val="13"/>
                <w:szCs w:val="13"/>
                <w:color w:val="auto"/>
              </w:rPr>
            </w:pPr>
          </w:p>
        </w:tc>
        <w:tc>
          <w:tcPr>
            <w:tcW w:w="200" w:type="dxa"/>
            <w:vAlign w:val="bottom"/>
            <w:tcBorders>
              <w:top w:val="single" w:sz="8" w:color="0000EE"/>
            </w:tcBorders>
            <w:shd w:val="clear" w:color="auto" w:fill="CCEEFF"/>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560" w:type="dxa"/>
            <w:vAlign w:val="bottom"/>
            <w:gridSpan w:val="4"/>
          </w:tcPr>
          <w:p>
            <w:pPr>
              <w:spacing w:after="0" w:line="125" w:lineRule="exact"/>
              <w:rPr>
                <w:rFonts w:ascii="Arial" w:cs="Arial" w:eastAsia="Arial" w:hAnsi="Arial"/>
                <w:sz w:val="13"/>
                <w:szCs w:val="13"/>
                <w:b w:val="1"/>
                <w:bCs w:val="1"/>
                <w:color w:val="0000EE"/>
              </w:rPr>
            </w:pPr>
            <w:hyperlink w:anchor="page117">
              <w:r>
                <w:rPr>
                  <w:rFonts w:ascii="Arial" w:cs="Arial" w:eastAsia="Arial" w:hAnsi="Arial"/>
                  <w:sz w:val="13"/>
                  <w:szCs w:val="13"/>
                  <w:b w:val="1"/>
                  <w:bCs w:val="1"/>
                  <w:color w:val="0000EE"/>
                </w:rPr>
                <w:t>Item 14.</w:t>
              </w:r>
            </w:hyperlink>
          </w:p>
        </w:tc>
        <w:tc>
          <w:tcPr>
            <w:tcW w:w="4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160" w:type="dxa"/>
            <w:vAlign w:val="bottom"/>
            <w:gridSpan w:val="22"/>
          </w:tcPr>
          <w:p>
            <w:pPr>
              <w:spacing w:after="0" w:line="125" w:lineRule="exact"/>
              <w:rPr>
                <w:rFonts w:ascii="Arial" w:cs="Arial" w:eastAsia="Arial" w:hAnsi="Arial"/>
                <w:sz w:val="13"/>
                <w:szCs w:val="13"/>
                <w:b w:val="1"/>
                <w:bCs w:val="1"/>
                <w:color w:val="0000EE"/>
              </w:rPr>
            </w:pPr>
            <w:hyperlink w:anchor="page117">
              <w:r>
                <w:rPr>
                  <w:rFonts w:ascii="Arial" w:cs="Arial" w:eastAsia="Arial" w:hAnsi="Arial"/>
                  <w:sz w:val="13"/>
                  <w:szCs w:val="13"/>
                  <w:b w:val="1"/>
                  <w:bCs w:val="1"/>
                  <w:color w:val="0000EE"/>
                </w:rPr>
                <w:t>Material Modifications to the Rights of Security Holders and Use of Proceeds</w:t>
              </w:r>
            </w:hyperlink>
          </w:p>
        </w:tc>
        <w:tc>
          <w:tcPr>
            <w:tcW w:w="3160" w:type="dxa"/>
            <w:vAlign w:val="bottom"/>
            <w:gridSpan w:val="2"/>
          </w:tcPr>
          <w:p>
            <w:pPr>
              <w:jc w:val="right"/>
              <w:spacing w:after="0" w:line="125" w:lineRule="exact"/>
              <w:rPr>
                <w:rFonts w:ascii="Arial" w:cs="Arial" w:eastAsia="Arial" w:hAnsi="Arial"/>
                <w:sz w:val="13"/>
                <w:szCs w:val="13"/>
                <w:b w:val="1"/>
                <w:bCs w:val="1"/>
                <w:color w:val="0000EE"/>
              </w:rPr>
            </w:pPr>
            <w:hyperlink w:anchor="page117">
              <w:r>
                <w:rPr>
                  <w:rFonts w:ascii="Arial" w:cs="Arial" w:eastAsia="Arial" w:hAnsi="Arial"/>
                  <w:sz w:val="13"/>
                  <w:szCs w:val="13"/>
                  <w:b w:val="1"/>
                  <w:bCs w:val="1"/>
                  <w:color w:val="0000EE"/>
                </w:rPr>
                <w:t>115</w:t>
              </w:r>
            </w:hyperlink>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80" w:type="dxa"/>
            <w:vAlign w:val="bottom"/>
            <w:tcBorders>
              <w:top w:val="single" w:sz="8" w:color="0000EE"/>
              <w:left w:val="single" w:sz="8" w:color="CCEEFF"/>
            </w:tcBorders>
            <w:shd w:val="clear" w:color="auto" w:fill="CCEEFF"/>
          </w:tcPr>
          <w:p>
            <w:pPr>
              <w:spacing w:after="0"/>
              <w:rPr>
                <w:sz w:val="13"/>
                <w:szCs w:val="13"/>
                <w:color w:val="auto"/>
              </w:rPr>
            </w:pPr>
          </w:p>
        </w:tc>
        <w:tc>
          <w:tcPr>
            <w:tcW w:w="340" w:type="dxa"/>
            <w:vAlign w:val="bottom"/>
            <w:tcBorders>
              <w:top w:val="single" w:sz="8" w:color="0000EE"/>
              <w:left w:val="single" w:sz="8" w:color="CCEEFF"/>
            </w:tcBorders>
            <w:shd w:val="clear" w:color="auto" w:fill="CCEEFF"/>
          </w:tcPr>
          <w:p>
            <w:pPr>
              <w:spacing w:after="0"/>
              <w:rPr>
                <w:sz w:val="13"/>
                <w:szCs w:val="13"/>
                <w:color w:val="auto"/>
              </w:rPr>
            </w:pPr>
          </w:p>
        </w:tc>
        <w:tc>
          <w:tcPr>
            <w:tcW w:w="80" w:type="dxa"/>
            <w:vAlign w:val="bottom"/>
            <w:tcBorders>
              <w:left w:val="single" w:sz="8" w:color="CCEEFF"/>
            </w:tcBorders>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00" w:type="dxa"/>
            <w:vAlign w:val="bottom"/>
            <w:tcBorders>
              <w:top w:val="single" w:sz="8" w:color="0000EE"/>
            </w:tcBorders>
            <w:shd w:val="clear" w:color="auto" w:fill="CCEEFF"/>
          </w:tcPr>
          <w:p>
            <w:pPr>
              <w:spacing w:after="0"/>
              <w:rPr>
                <w:sz w:val="13"/>
                <w:szCs w:val="13"/>
                <w:color w:val="auto"/>
              </w:rPr>
            </w:pPr>
          </w:p>
        </w:tc>
        <w:tc>
          <w:tcPr>
            <w:tcW w:w="280" w:type="dxa"/>
            <w:vAlign w:val="bottom"/>
            <w:tcBorders>
              <w:top w:val="single" w:sz="8" w:color="0000EE"/>
            </w:tcBorders>
            <w:shd w:val="clear" w:color="auto" w:fill="CCEEFF"/>
          </w:tcPr>
          <w:p>
            <w:pPr>
              <w:spacing w:after="0"/>
              <w:rPr>
                <w:sz w:val="13"/>
                <w:szCs w:val="13"/>
                <w:color w:val="auto"/>
              </w:rPr>
            </w:pPr>
          </w:p>
        </w:tc>
        <w:tc>
          <w:tcPr>
            <w:tcW w:w="140" w:type="dxa"/>
            <w:vAlign w:val="bottom"/>
            <w:tcBorders>
              <w:top w:val="single" w:sz="8" w:color="0000EE"/>
              <w:left w:val="single" w:sz="8" w:color="CCEEFF"/>
            </w:tcBorders>
            <w:shd w:val="clear" w:color="auto" w:fill="CCEEFF"/>
          </w:tcPr>
          <w:p>
            <w:pPr>
              <w:spacing w:after="0"/>
              <w:rPr>
                <w:sz w:val="13"/>
                <w:szCs w:val="13"/>
                <w:color w:val="auto"/>
              </w:rPr>
            </w:pPr>
          </w:p>
        </w:tc>
        <w:tc>
          <w:tcPr>
            <w:tcW w:w="80" w:type="dxa"/>
            <w:vAlign w:val="bottom"/>
            <w:tcBorders>
              <w:top w:val="single" w:sz="8" w:color="0000EE"/>
              <w:left w:val="single" w:sz="8" w:color="CCEEFF"/>
            </w:tcBorders>
            <w:shd w:val="clear" w:color="auto" w:fill="CCEEFF"/>
          </w:tcPr>
          <w:p>
            <w:pPr>
              <w:spacing w:after="0"/>
              <w:rPr>
                <w:sz w:val="13"/>
                <w:szCs w:val="13"/>
                <w:color w:val="auto"/>
              </w:rPr>
            </w:pPr>
          </w:p>
        </w:tc>
        <w:tc>
          <w:tcPr>
            <w:tcW w:w="160" w:type="dxa"/>
            <w:vAlign w:val="bottom"/>
            <w:tcBorders>
              <w:top w:val="single" w:sz="8" w:color="0000EE"/>
            </w:tcBorders>
            <w:shd w:val="clear" w:color="auto" w:fill="CCEEFF"/>
          </w:tcPr>
          <w:p>
            <w:pPr>
              <w:spacing w:after="0"/>
              <w:rPr>
                <w:sz w:val="13"/>
                <w:szCs w:val="13"/>
                <w:color w:val="auto"/>
              </w:rPr>
            </w:pPr>
          </w:p>
        </w:tc>
        <w:tc>
          <w:tcPr>
            <w:tcW w:w="180" w:type="dxa"/>
            <w:vAlign w:val="bottom"/>
            <w:tcBorders>
              <w:top w:val="single" w:sz="8" w:color="0000EE"/>
            </w:tcBorders>
            <w:shd w:val="clear" w:color="auto" w:fill="CCEEFF"/>
          </w:tcPr>
          <w:p>
            <w:pPr>
              <w:spacing w:after="0"/>
              <w:rPr>
                <w:sz w:val="13"/>
                <w:szCs w:val="13"/>
                <w:color w:val="auto"/>
              </w:rPr>
            </w:pPr>
          </w:p>
        </w:tc>
        <w:tc>
          <w:tcPr>
            <w:tcW w:w="200" w:type="dxa"/>
            <w:vAlign w:val="bottom"/>
            <w:tcBorders>
              <w:top w:val="single" w:sz="8" w:color="0000EE"/>
            </w:tcBorders>
            <w:shd w:val="clear" w:color="auto" w:fill="CCEEFF"/>
          </w:tcPr>
          <w:p>
            <w:pPr>
              <w:spacing w:after="0"/>
              <w:rPr>
                <w:sz w:val="13"/>
                <w:szCs w:val="13"/>
                <w:color w:val="auto"/>
              </w:rPr>
            </w:pPr>
          </w:p>
        </w:tc>
        <w:tc>
          <w:tcPr>
            <w:tcW w:w="20" w:type="dxa"/>
            <w:vAlign w:val="bottom"/>
            <w:tcBorders>
              <w:top w:val="single" w:sz="8" w:color="0000EE"/>
            </w:tcBorders>
            <w:shd w:val="clear" w:color="auto" w:fill="CCEEFF"/>
          </w:tcPr>
          <w:p>
            <w:pPr>
              <w:spacing w:after="0"/>
              <w:rPr>
                <w:sz w:val="13"/>
                <w:szCs w:val="13"/>
                <w:color w:val="auto"/>
              </w:rPr>
            </w:pPr>
          </w:p>
        </w:tc>
        <w:tc>
          <w:tcPr>
            <w:tcW w:w="40" w:type="dxa"/>
            <w:vAlign w:val="bottom"/>
            <w:tcBorders>
              <w:top w:val="single" w:sz="8" w:color="0000EE"/>
            </w:tcBorders>
            <w:shd w:val="clear" w:color="auto" w:fill="CCEEFF"/>
          </w:tcPr>
          <w:p>
            <w:pPr>
              <w:spacing w:after="0"/>
              <w:rPr>
                <w:sz w:val="13"/>
                <w:szCs w:val="13"/>
                <w:color w:val="auto"/>
              </w:rPr>
            </w:pPr>
          </w:p>
        </w:tc>
        <w:tc>
          <w:tcPr>
            <w:tcW w:w="80" w:type="dxa"/>
            <w:vAlign w:val="bottom"/>
            <w:tcBorders>
              <w:top w:val="single" w:sz="8" w:color="0000EE"/>
            </w:tcBorders>
            <w:shd w:val="clear" w:color="auto" w:fill="CCEEFF"/>
          </w:tcPr>
          <w:p>
            <w:pPr>
              <w:spacing w:after="0"/>
              <w:rPr>
                <w:sz w:val="13"/>
                <w:szCs w:val="13"/>
                <w:color w:val="auto"/>
              </w:rPr>
            </w:pPr>
          </w:p>
        </w:tc>
        <w:tc>
          <w:tcPr>
            <w:tcW w:w="80" w:type="dxa"/>
            <w:vAlign w:val="bottom"/>
            <w:tcBorders>
              <w:top w:val="single" w:sz="8" w:color="0000EE"/>
            </w:tcBorders>
            <w:shd w:val="clear" w:color="auto" w:fill="CCEEFF"/>
          </w:tcPr>
          <w:p>
            <w:pPr>
              <w:spacing w:after="0"/>
              <w:rPr>
                <w:sz w:val="13"/>
                <w:szCs w:val="13"/>
                <w:color w:val="auto"/>
              </w:rPr>
            </w:pPr>
          </w:p>
        </w:tc>
        <w:tc>
          <w:tcPr>
            <w:tcW w:w="220" w:type="dxa"/>
            <w:vAlign w:val="bottom"/>
            <w:tcBorders>
              <w:top w:val="single" w:sz="8" w:color="0000EE"/>
            </w:tcBorders>
            <w:shd w:val="clear" w:color="auto" w:fill="CCEEFF"/>
          </w:tcPr>
          <w:p>
            <w:pPr>
              <w:spacing w:after="0"/>
              <w:rPr>
                <w:sz w:val="13"/>
                <w:szCs w:val="13"/>
                <w:color w:val="auto"/>
              </w:rPr>
            </w:pPr>
          </w:p>
        </w:tc>
        <w:tc>
          <w:tcPr>
            <w:tcW w:w="200" w:type="dxa"/>
            <w:vAlign w:val="bottom"/>
            <w:tcBorders>
              <w:top w:val="single" w:sz="8" w:color="0000EE"/>
            </w:tcBorders>
            <w:shd w:val="clear" w:color="auto" w:fill="CCEEFF"/>
          </w:tcPr>
          <w:p>
            <w:pPr>
              <w:spacing w:after="0"/>
              <w:rPr>
                <w:sz w:val="13"/>
                <w:szCs w:val="13"/>
                <w:color w:val="auto"/>
              </w:rPr>
            </w:pPr>
          </w:p>
        </w:tc>
        <w:tc>
          <w:tcPr>
            <w:tcW w:w="240" w:type="dxa"/>
            <w:vAlign w:val="bottom"/>
            <w:tcBorders>
              <w:top w:val="single" w:sz="8" w:color="0000EE"/>
            </w:tcBorders>
            <w:shd w:val="clear" w:color="auto" w:fill="CCEEFF"/>
          </w:tcPr>
          <w:p>
            <w:pPr>
              <w:spacing w:after="0"/>
              <w:rPr>
                <w:sz w:val="13"/>
                <w:szCs w:val="13"/>
                <w:color w:val="auto"/>
              </w:rPr>
            </w:pPr>
          </w:p>
        </w:tc>
        <w:tc>
          <w:tcPr>
            <w:tcW w:w="320" w:type="dxa"/>
            <w:vAlign w:val="bottom"/>
            <w:tcBorders>
              <w:top w:val="single" w:sz="8" w:color="0000EE"/>
            </w:tcBorders>
            <w:shd w:val="clear" w:color="auto" w:fill="CCEEFF"/>
          </w:tcPr>
          <w:p>
            <w:pPr>
              <w:spacing w:after="0"/>
              <w:rPr>
                <w:sz w:val="13"/>
                <w:szCs w:val="13"/>
                <w:color w:val="auto"/>
              </w:rPr>
            </w:pPr>
          </w:p>
        </w:tc>
        <w:tc>
          <w:tcPr>
            <w:tcW w:w="360" w:type="dxa"/>
            <w:vAlign w:val="bottom"/>
            <w:tcBorders>
              <w:top w:val="single" w:sz="8" w:color="0000EE"/>
            </w:tcBorders>
            <w:shd w:val="clear" w:color="auto" w:fill="CCEEFF"/>
          </w:tcPr>
          <w:p>
            <w:pPr>
              <w:spacing w:after="0"/>
              <w:rPr>
                <w:sz w:val="13"/>
                <w:szCs w:val="13"/>
                <w:color w:val="auto"/>
              </w:rPr>
            </w:pPr>
          </w:p>
        </w:tc>
        <w:tc>
          <w:tcPr>
            <w:tcW w:w="240" w:type="dxa"/>
            <w:vAlign w:val="bottom"/>
            <w:tcBorders>
              <w:top w:val="single" w:sz="8" w:color="0000EE"/>
            </w:tcBorders>
            <w:shd w:val="clear" w:color="auto" w:fill="CCEEFF"/>
          </w:tcPr>
          <w:p>
            <w:pPr>
              <w:spacing w:after="0"/>
              <w:rPr>
                <w:sz w:val="13"/>
                <w:szCs w:val="13"/>
                <w:color w:val="auto"/>
              </w:rPr>
            </w:pPr>
          </w:p>
        </w:tc>
        <w:tc>
          <w:tcPr>
            <w:tcW w:w="220" w:type="dxa"/>
            <w:vAlign w:val="bottom"/>
            <w:tcBorders>
              <w:top w:val="single" w:sz="8" w:color="0000EE"/>
            </w:tcBorders>
            <w:shd w:val="clear" w:color="auto" w:fill="CCEEFF"/>
          </w:tcPr>
          <w:p>
            <w:pPr>
              <w:spacing w:after="0"/>
              <w:rPr>
                <w:sz w:val="13"/>
                <w:szCs w:val="13"/>
                <w:color w:val="auto"/>
              </w:rPr>
            </w:pPr>
          </w:p>
        </w:tc>
        <w:tc>
          <w:tcPr>
            <w:tcW w:w="100" w:type="dxa"/>
            <w:vAlign w:val="bottom"/>
            <w:tcBorders>
              <w:top w:val="single" w:sz="8" w:color="0000EE"/>
            </w:tcBorders>
            <w:shd w:val="clear" w:color="auto" w:fill="CCEEFF"/>
          </w:tcPr>
          <w:p>
            <w:pPr>
              <w:spacing w:after="0"/>
              <w:rPr>
                <w:sz w:val="13"/>
                <w:szCs w:val="13"/>
                <w:color w:val="auto"/>
              </w:rPr>
            </w:pPr>
          </w:p>
        </w:tc>
        <w:tc>
          <w:tcPr>
            <w:tcW w:w="320" w:type="dxa"/>
            <w:vAlign w:val="bottom"/>
            <w:tcBorders>
              <w:top w:val="single" w:sz="8" w:color="0000EE"/>
            </w:tcBorders>
            <w:shd w:val="clear" w:color="auto" w:fill="CCEEFF"/>
          </w:tcPr>
          <w:p>
            <w:pPr>
              <w:spacing w:after="0"/>
              <w:rPr>
                <w:sz w:val="13"/>
                <w:szCs w:val="13"/>
                <w:color w:val="auto"/>
              </w:rPr>
            </w:pPr>
          </w:p>
        </w:tc>
        <w:tc>
          <w:tcPr>
            <w:tcW w:w="640" w:type="dxa"/>
            <w:vAlign w:val="bottom"/>
            <w:tcBorders>
              <w:top w:val="single" w:sz="8" w:color="0000EE"/>
            </w:tcBorders>
            <w:shd w:val="clear" w:color="auto" w:fill="CCEEFF"/>
          </w:tcPr>
          <w:p>
            <w:pPr>
              <w:spacing w:after="0"/>
              <w:rPr>
                <w:sz w:val="13"/>
                <w:szCs w:val="13"/>
                <w:color w:val="auto"/>
              </w:rPr>
            </w:pPr>
          </w:p>
        </w:tc>
        <w:tc>
          <w:tcPr>
            <w:tcW w:w="2940" w:type="dxa"/>
            <w:vAlign w:val="bottom"/>
            <w:shd w:val="clear" w:color="auto" w:fill="CCEEFF"/>
          </w:tcPr>
          <w:p>
            <w:pPr>
              <w:spacing w:after="0"/>
              <w:rPr>
                <w:sz w:val="13"/>
                <w:szCs w:val="13"/>
                <w:color w:val="auto"/>
              </w:rPr>
            </w:pPr>
          </w:p>
        </w:tc>
        <w:tc>
          <w:tcPr>
            <w:tcW w:w="2960" w:type="dxa"/>
            <w:vAlign w:val="bottom"/>
            <w:shd w:val="clear" w:color="auto" w:fill="CCEEFF"/>
          </w:tcPr>
          <w:p>
            <w:pPr>
              <w:spacing w:after="0"/>
              <w:rPr>
                <w:sz w:val="13"/>
                <w:szCs w:val="13"/>
                <w:color w:val="auto"/>
              </w:rPr>
            </w:pPr>
          </w:p>
        </w:tc>
        <w:tc>
          <w:tcPr>
            <w:tcW w:w="200" w:type="dxa"/>
            <w:vAlign w:val="bottom"/>
            <w:tcBorders>
              <w:top w:val="single" w:sz="8" w:color="0000EE"/>
            </w:tcBorders>
            <w:shd w:val="clear" w:color="auto" w:fill="CCEEFF"/>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560" w:type="dxa"/>
            <w:vAlign w:val="bottom"/>
            <w:gridSpan w:val="4"/>
          </w:tcPr>
          <w:p>
            <w:pPr>
              <w:spacing w:after="0" w:line="125" w:lineRule="exact"/>
              <w:rPr>
                <w:rFonts w:ascii="Arial" w:cs="Arial" w:eastAsia="Arial" w:hAnsi="Arial"/>
                <w:sz w:val="13"/>
                <w:szCs w:val="13"/>
                <w:b w:val="1"/>
                <w:bCs w:val="1"/>
                <w:color w:val="0000EE"/>
              </w:rPr>
            </w:pPr>
            <w:hyperlink w:anchor="page117">
              <w:r>
                <w:rPr>
                  <w:rFonts w:ascii="Arial" w:cs="Arial" w:eastAsia="Arial" w:hAnsi="Arial"/>
                  <w:sz w:val="13"/>
                  <w:szCs w:val="13"/>
                  <w:b w:val="1"/>
                  <w:bCs w:val="1"/>
                  <w:color w:val="0000EE"/>
                </w:rPr>
                <w:t>Item 15.</w:t>
              </w:r>
            </w:hyperlink>
          </w:p>
        </w:tc>
        <w:tc>
          <w:tcPr>
            <w:tcW w:w="4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160" w:type="dxa"/>
            <w:vAlign w:val="bottom"/>
            <w:gridSpan w:val="22"/>
          </w:tcPr>
          <w:p>
            <w:pPr>
              <w:spacing w:after="0" w:line="125" w:lineRule="exact"/>
              <w:rPr>
                <w:rFonts w:ascii="Arial" w:cs="Arial" w:eastAsia="Arial" w:hAnsi="Arial"/>
                <w:sz w:val="13"/>
                <w:szCs w:val="13"/>
                <w:b w:val="1"/>
                <w:bCs w:val="1"/>
                <w:color w:val="0000EE"/>
              </w:rPr>
            </w:pPr>
            <w:hyperlink w:anchor="page117">
              <w:r>
                <w:rPr>
                  <w:rFonts w:ascii="Arial" w:cs="Arial" w:eastAsia="Arial" w:hAnsi="Arial"/>
                  <w:sz w:val="13"/>
                  <w:szCs w:val="13"/>
                  <w:b w:val="1"/>
                  <w:bCs w:val="1"/>
                  <w:color w:val="0000EE"/>
                </w:rPr>
                <w:t>Controls and Procedures</w:t>
              </w:r>
            </w:hyperlink>
          </w:p>
        </w:tc>
        <w:tc>
          <w:tcPr>
            <w:tcW w:w="3160" w:type="dxa"/>
            <w:vAlign w:val="bottom"/>
            <w:gridSpan w:val="2"/>
          </w:tcPr>
          <w:p>
            <w:pPr>
              <w:jc w:val="right"/>
              <w:spacing w:after="0" w:line="125" w:lineRule="exact"/>
              <w:rPr>
                <w:rFonts w:ascii="Arial" w:cs="Arial" w:eastAsia="Arial" w:hAnsi="Arial"/>
                <w:sz w:val="13"/>
                <w:szCs w:val="13"/>
                <w:b w:val="1"/>
                <w:bCs w:val="1"/>
                <w:color w:val="0000EE"/>
              </w:rPr>
            </w:pPr>
            <w:hyperlink w:anchor="page117">
              <w:r>
                <w:rPr>
                  <w:rFonts w:ascii="Arial" w:cs="Arial" w:eastAsia="Arial" w:hAnsi="Arial"/>
                  <w:sz w:val="13"/>
                  <w:szCs w:val="13"/>
                  <w:b w:val="1"/>
                  <w:bCs w:val="1"/>
                  <w:color w:val="0000EE"/>
                </w:rPr>
                <w:t>115</w:t>
              </w:r>
            </w:hyperlink>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80" w:type="dxa"/>
            <w:vAlign w:val="bottom"/>
            <w:tcBorders>
              <w:top w:val="single" w:sz="8" w:color="0000EE"/>
              <w:left w:val="single" w:sz="8" w:color="CCEEFF"/>
            </w:tcBorders>
            <w:shd w:val="clear" w:color="auto" w:fill="CCEEFF"/>
          </w:tcPr>
          <w:p>
            <w:pPr>
              <w:spacing w:after="0"/>
              <w:rPr>
                <w:sz w:val="13"/>
                <w:szCs w:val="13"/>
                <w:color w:val="auto"/>
              </w:rPr>
            </w:pPr>
          </w:p>
        </w:tc>
        <w:tc>
          <w:tcPr>
            <w:tcW w:w="340" w:type="dxa"/>
            <w:vAlign w:val="bottom"/>
            <w:tcBorders>
              <w:top w:val="single" w:sz="8" w:color="0000EE"/>
              <w:left w:val="single" w:sz="8" w:color="CCEEFF"/>
            </w:tcBorders>
            <w:shd w:val="clear" w:color="auto" w:fill="CCEEFF"/>
          </w:tcPr>
          <w:p>
            <w:pPr>
              <w:spacing w:after="0"/>
              <w:rPr>
                <w:sz w:val="13"/>
                <w:szCs w:val="13"/>
                <w:color w:val="auto"/>
              </w:rPr>
            </w:pPr>
          </w:p>
        </w:tc>
        <w:tc>
          <w:tcPr>
            <w:tcW w:w="80" w:type="dxa"/>
            <w:vAlign w:val="bottom"/>
            <w:tcBorders>
              <w:left w:val="single" w:sz="8" w:color="CCEEFF"/>
            </w:tcBorders>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00" w:type="dxa"/>
            <w:vAlign w:val="bottom"/>
            <w:tcBorders>
              <w:top w:val="single" w:sz="8" w:color="0000EE"/>
            </w:tcBorders>
            <w:shd w:val="clear" w:color="auto" w:fill="CCEEFF"/>
          </w:tcPr>
          <w:p>
            <w:pPr>
              <w:spacing w:after="0"/>
              <w:rPr>
                <w:sz w:val="13"/>
                <w:szCs w:val="13"/>
                <w:color w:val="auto"/>
              </w:rPr>
            </w:pPr>
          </w:p>
        </w:tc>
        <w:tc>
          <w:tcPr>
            <w:tcW w:w="280" w:type="dxa"/>
            <w:vAlign w:val="bottom"/>
            <w:tcBorders>
              <w:top w:val="single" w:sz="8" w:color="0000EE"/>
            </w:tcBorders>
            <w:shd w:val="clear" w:color="auto" w:fill="CCEEFF"/>
          </w:tcPr>
          <w:p>
            <w:pPr>
              <w:spacing w:after="0"/>
              <w:rPr>
                <w:sz w:val="13"/>
                <w:szCs w:val="13"/>
                <w:color w:val="auto"/>
              </w:rPr>
            </w:pPr>
          </w:p>
        </w:tc>
        <w:tc>
          <w:tcPr>
            <w:tcW w:w="140" w:type="dxa"/>
            <w:vAlign w:val="bottom"/>
            <w:tcBorders>
              <w:top w:val="single" w:sz="8" w:color="0000EE"/>
              <w:left w:val="single" w:sz="8" w:color="CCEEFF"/>
            </w:tcBorders>
            <w:shd w:val="clear" w:color="auto" w:fill="CCEEFF"/>
          </w:tcPr>
          <w:p>
            <w:pPr>
              <w:spacing w:after="0"/>
              <w:rPr>
                <w:sz w:val="13"/>
                <w:szCs w:val="13"/>
                <w:color w:val="auto"/>
              </w:rPr>
            </w:pPr>
          </w:p>
        </w:tc>
        <w:tc>
          <w:tcPr>
            <w:tcW w:w="80" w:type="dxa"/>
            <w:vAlign w:val="bottom"/>
            <w:tcBorders>
              <w:top w:val="single" w:sz="8" w:color="0000EE"/>
              <w:left w:val="single" w:sz="8" w:color="CCEEFF"/>
            </w:tcBorders>
            <w:shd w:val="clear" w:color="auto" w:fill="CCEEFF"/>
          </w:tcPr>
          <w:p>
            <w:pPr>
              <w:spacing w:after="0"/>
              <w:rPr>
                <w:sz w:val="13"/>
                <w:szCs w:val="13"/>
                <w:color w:val="auto"/>
              </w:rPr>
            </w:pPr>
          </w:p>
        </w:tc>
        <w:tc>
          <w:tcPr>
            <w:tcW w:w="160" w:type="dxa"/>
            <w:vAlign w:val="bottom"/>
            <w:tcBorders>
              <w:top w:val="single" w:sz="8" w:color="0000EE"/>
            </w:tcBorders>
            <w:shd w:val="clear" w:color="auto" w:fill="CCEEFF"/>
          </w:tcPr>
          <w:p>
            <w:pPr>
              <w:spacing w:after="0"/>
              <w:rPr>
                <w:sz w:val="13"/>
                <w:szCs w:val="13"/>
                <w:color w:val="auto"/>
              </w:rPr>
            </w:pPr>
          </w:p>
        </w:tc>
        <w:tc>
          <w:tcPr>
            <w:tcW w:w="180" w:type="dxa"/>
            <w:vAlign w:val="bottom"/>
            <w:tcBorders>
              <w:top w:val="single" w:sz="8" w:color="0000EE"/>
            </w:tcBorders>
            <w:shd w:val="clear" w:color="auto" w:fill="CCEEFF"/>
          </w:tcPr>
          <w:p>
            <w:pPr>
              <w:spacing w:after="0"/>
              <w:rPr>
                <w:sz w:val="13"/>
                <w:szCs w:val="13"/>
                <w:color w:val="auto"/>
              </w:rPr>
            </w:pPr>
          </w:p>
        </w:tc>
        <w:tc>
          <w:tcPr>
            <w:tcW w:w="200" w:type="dxa"/>
            <w:vAlign w:val="bottom"/>
            <w:tcBorders>
              <w:top w:val="single" w:sz="8" w:color="0000EE"/>
            </w:tcBorders>
            <w:shd w:val="clear" w:color="auto" w:fill="CCEEFF"/>
          </w:tcPr>
          <w:p>
            <w:pPr>
              <w:spacing w:after="0"/>
              <w:rPr>
                <w:sz w:val="13"/>
                <w:szCs w:val="13"/>
                <w:color w:val="auto"/>
              </w:rPr>
            </w:pPr>
          </w:p>
        </w:tc>
        <w:tc>
          <w:tcPr>
            <w:tcW w:w="20" w:type="dxa"/>
            <w:vAlign w:val="bottom"/>
            <w:tcBorders>
              <w:top w:val="single" w:sz="8" w:color="0000EE"/>
            </w:tcBorders>
            <w:shd w:val="clear" w:color="auto" w:fill="CCEEFF"/>
          </w:tcPr>
          <w:p>
            <w:pPr>
              <w:spacing w:after="0"/>
              <w:rPr>
                <w:sz w:val="13"/>
                <w:szCs w:val="13"/>
                <w:color w:val="auto"/>
              </w:rPr>
            </w:pPr>
          </w:p>
        </w:tc>
        <w:tc>
          <w:tcPr>
            <w:tcW w:w="40" w:type="dxa"/>
            <w:vAlign w:val="bottom"/>
            <w:tcBorders>
              <w:top w:val="single" w:sz="8" w:color="0000EE"/>
            </w:tcBorders>
            <w:shd w:val="clear" w:color="auto" w:fill="CCEEFF"/>
          </w:tcPr>
          <w:p>
            <w:pPr>
              <w:spacing w:after="0"/>
              <w:rPr>
                <w:sz w:val="13"/>
                <w:szCs w:val="13"/>
                <w:color w:val="auto"/>
              </w:rPr>
            </w:pPr>
          </w:p>
        </w:tc>
        <w:tc>
          <w:tcPr>
            <w:tcW w:w="80" w:type="dxa"/>
            <w:vAlign w:val="bottom"/>
            <w:tcBorders>
              <w:top w:val="single" w:sz="8" w:color="0000EE"/>
            </w:tcBorders>
            <w:shd w:val="clear" w:color="auto" w:fill="CCEEFF"/>
          </w:tcPr>
          <w:p>
            <w:pPr>
              <w:spacing w:after="0"/>
              <w:rPr>
                <w:sz w:val="13"/>
                <w:szCs w:val="13"/>
                <w:color w:val="auto"/>
              </w:rPr>
            </w:pPr>
          </w:p>
        </w:tc>
        <w:tc>
          <w:tcPr>
            <w:tcW w:w="80" w:type="dxa"/>
            <w:vAlign w:val="bottom"/>
            <w:tcBorders>
              <w:top w:val="single" w:sz="8" w:color="0000EE"/>
            </w:tcBorders>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2940" w:type="dxa"/>
            <w:vAlign w:val="bottom"/>
            <w:shd w:val="clear" w:color="auto" w:fill="CCEEFF"/>
          </w:tcPr>
          <w:p>
            <w:pPr>
              <w:spacing w:after="0"/>
              <w:rPr>
                <w:sz w:val="13"/>
                <w:szCs w:val="13"/>
                <w:color w:val="auto"/>
              </w:rPr>
            </w:pPr>
          </w:p>
        </w:tc>
        <w:tc>
          <w:tcPr>
            <w:tcW w:w="2960" w:type="dxa"/>
            <w:vAlign w:val="bottom"/>
            <w:shd w:val="clear" w:color="auto" w:fill="CCEEFF"/>
          </w:tcPr>
          <w:p>
            <w:pPr>
              <w:spacing w:after="0"/>
              <w:rPr>
                <w:sz w:val="13"/>
                <w:szCs w:val="13"/>
                <w:color w:val="auto"/>
              </w:rPr>
            </w:pPr>
          </w:p>
        </w:tc>
        <w:tc>
          <w:tcPr>
            <w:tcW w:w="200" w:type="dxa"/>
            <w:vAlign w:val="bottom"/>
            <w:tcBorders>
              <w:top w:val="single" w:sz="8" w:color="0000EE"/>
            </w:tcBorders>
            <w:shd w:val="clear" w:color="auto" w:fill="CCEEFF"/>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25"/>
        </w:trPr>
        <w:tc>
          <w:tcPr>
            <w:tcW w:w="20" w:type="dxa"/>
            <w:vAlign w:val="bottom"/>
            <w:vMerge w:val="continue"/>
          </w:tcPr>
          <w:p>
            <w:pPr>
              <w:spacing w:after="0"/>
              <w:rPr>
                <w:sz w:val="10"/>
                <w:szCs w:val="10"/>
                <w:color w:val="auto"/>
              </w:rPr>
            </w:pPr>
          </w:p>
        </w:tc>
        <w:tc>
          <w:tcPr>
            <w:tcW w:w="560" w:type="dxa"/>
            <w:vAlign w:val="bottom"/>
            <w:gridSpan w:val="4"/>
          </w:tcPr>
          <w:p>
            <w:pPr>
              <w:spacing w:after="0" w:line="125" w:lineRule="exact"/>
              <w:rPr>
                <w:rFonts w:ascii="Arial" w:cs="Arial" w:eastAsia="Arial" w:hAnsi="Arial"/>
                <w:sz w:val="13"/>
                <w:szCs w:val="13"/>
                <w:b w:val="1"/>
                <w:bCs w:val="1"/>
                <w:color w:val="0000EE"/>
              </w:rPr>
            </w:pPr>
            <w:hyperlink w:anchor="page119">
              <w:r>
                <w:rPr>
                  <w:rFonts w:ascii="Arial" w:cs="Arial" w:eastAsia="Arial" w:hAnsi="Arial"/>
                  <w:sz w:val="13"/>
                  <w:szCs w:val="13"/>
                  <w:b w:val="1"/>
                  <w:bCs w:val="1"/>
                  <w:color w:val="0000EE"/>
                </w:rPr>
                <w:t>Item 16.</w:t>
              </w:r>
            </w:hyperlink>
          </w:p>
        </w:tc>
        <w:tc>
          <w:tcPr>
            <w:tcW w:w="44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7160" w:type="dxa"/>
            <w:vAlign w:val="bottom"/>
            <w:gridSpan w:val="22"/>
          </w:tcPr>
          <w:p>
            <w:pPr>
              <w:spacing w:after="0" w:line="125" w:lineRule="exact"/>
              <w:rPr>
                <w:rFonts w:ascii="Arial" w:cs="Arial" w:eastAsia="Arial" w:hAnsi="Arial"/>
                <w:sz w:val="13"/>
                <w:szCs w:val="13"/>
                <w:b w:val="1"/>
                <w:bCs w:val="1"/>
                <w:color w:val="0000EE"/>
              </w:rPr>
            </w:pPr>
            <w:hyperlink w:anchor="page119">
              <w:r>
                <w:rPr>
                  <w:rFonts w:ascii="Arial" w:cs="Arial" w:eastAsia="Arial" w:hAnsi="Arial"/>
                  <w:sz w:val="13"/>
                  <w:szCs w:val="13"/>
                  <w:b w:val="1"/>
                  <w:bCs w:val="1"/>
                  <w:color w:val="0000EE"/>
                </w:rPr>
                <w:t>[Reserved]</w:t>
              </w:r>
            </w:hyperlink>
          </w:p>
        </w:tc>
        <w:tc>
          <w:tcPr>
            <w:tcW w:w="3160" w:type="dxa"/>
            <w:vAlign w:val="bottom"/>
            <w:gridSpan w:val="2"/>
          </w:tcPr>
          <w:p>
            <w:pPr>
              <w:jc w:val="right"/>
              <w:spacing w:after="0" w:line="125" w:lineRule="exact"/>
              <w:rPr>
                <w:rFonts w:ascii="Arial" w:cs="Arial" w:eastAsia="Arial" w:hAnsi="Arial"/>
                <w:sz w:val="13"/>
                <w:szCs w:val="13"/>
                <w:b w:val="1"/>
                <w:bCs w:val="1"/>
                <w:color w:val="0000EE"/>
              </w:rPr>
            </w:pPr>
            <w:hyperlink w:anchor="page119">
              <w:r>
                <w:rPr>
                  <w:rFonts w:ascii="Arial" w:cs="Arial" w:eastAsia="Arial" w:hAnsi="Arial"/>
                  <w:sz w:val="13"/>
                  <w:szCs w:val="13"/>
                  <w:b w:val="1"/>
                  <w:bCs w:val="1"/>
                  <w:color w:val="0000EE"/>
                </w:rPr>
                <w:t>117</w:t>
              </w:r>
            </w:hyperlink>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80" w:type="dxa"/>
            <w:vAlign w:val="bottom"/>
            <w:tcBorders>
              <w:left w:val="single" w:sz="8" w:color="0000EE"/>
            </w:tcBorders>
            <w:shd w:val="clear" w:color="auto" w:fill="0000EE"/>
          </w:tcPr>
          <w:p>
            <w:pPr>
              <w:spacing w:after="0"/>
              <w:rPr>
                <w:sz w:val="2"/>
                <w:szCs w:val="2"/>
                <w:color w:val="auto"/>
              </w:rPr>
            </w:pPr>
          </w:p>
        </w:tc>
        <w:tc>
          <w:tcPr>
            <w:tcW w:w="340" w:type="dxa"/>
            <w:vAlign w:val="bottom"/>
            <w:tcBorders>
              <w:left w:val="single" w:sz="8" w:color="0000EE"/>
            </w:tcBorders>
            <w:shd w:val="clear" w:color="auto" w:fill="0000EE"/>
          </w:tcPr>
          <w:p>
            <w:pPr>
              <w:spacing w:after="0"/>
              <w:rPr>
                <w:sz w:val="2"/>
                <w:szCs w:val="2"/>
                <w:color w:val="auto"/>
              </w:rPr>
            </w:pPr>
          </w:p>
        </w:tc>
        <w:tc>
          <w:tcPr>
            <w:tcW w:w="80" w:type="dxa"/>
            <w:vAlign w:val="bottom"/>
          </w:tcPr>
          <w:p>
            <w:pPr>
              <w:spacing w:after="0"/>
              <w:rPr>
                <w:sz w:val="2"/>
                <w:szCs w:val="2"/>
                <w:color w:val="auto"/>
              </w:rPr>
            </w:pPr>
          </w:p>
        </w:tc>
        <w:tc>
          <w:tcPr>
            <w:tcW w:w="60" w:type="dxa"/>
            <w:vAlign w:val="bottom"/>
          </w:tcPr>
          <w:p>
            <w:pPr>
              <w:spacing w:after="0"/>
              <w:rPr>
                <w:sz w:val="2"/>
                <w:szCs w:val="2"/>
                <w:color w:val="auto"/>
              </w:rPr>
            </w:pPr>
          </w:p>
        </w:tc>
        <w:tc>
          <w:tcPr>
            <w:tcW w:w="440" w:type="dxa"/>
            <w:vAlign w:val="bottom"/>
          </w:tcPr>
          <w:p>
            <w:pPr>
              <w:spacing w:after="0"/>
              <w:rPr>
                <w:sz w:val="2"/>
                <w:szCs w:val="2"/>
                <w:color w:val="auto"/>
              </w:rPr>
            </w:pPr>
          </w:p>
        </w:tc>
        <w:tc>
          <w:tcPr>
            <w:tcW w:w="140" w:type="dxa"/>
            <w:vAlign w:val="bottom"/>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280" w:type="dxa"/>
            <w:vAlign w:val="bottom"/>
            <w:shd w:val="clear" w:color="auto" w:fill="0000EE"/>
          </w:tcPr>
          <w:p>
            <w:pPr>
              <w:spacing w:after="0"/>
              <w:rPr>
                <w:sz w:val="2"/>
                <w:szCs w:val="2"/>
                <w:color w:val="auto"/>
              </w:rPr>
            </w:pPr>
          </w:p>
        </w:tc>
        <w:tc>
          <w:tcPr>
            <w:tcW w:w="140" w:type="dxa"/>
            <w:vAlign w:val="bottom"/>
            <w:tcBorders>
              <w:left w:val="single" w:sz="8" w:color="0000EE"/>
            </w:tcBorders>
            <w:shd w:val="clear" w:color="auto" w:fill="0000EE"/>
          </w:tcPr>
          <w:p>
            <w:pPr>
              <w:spacing w:after="0"/>
              <w:rPr>
                <w:sz w:val="2"/>
                <w:szCs w:val="2"/>
                <w:color w:val="auto"/>
              </w:rPr>
            </w:pPr>
          </w:p>
        </w:tc>
        <w:tc>
          <w:tcPr>
            <w:tcW w:w="80" w:type="dxa"/>
            <w:vAlign w:val="bottom"/>
            <w:tcBorders>
              <w:left w:val="single" w:sz="8" w:color="0000EE"/>
            </w:tcBorders>
          </w:tcPr>
          <w:p>
            <w:pPr>
              <w:spacing w:after="0"/>
              <w:rPr>
                <w:sz w:val="2"/>
                <w:szCs w:val="2"/>
                <w:color w:val="auto"/>
              </w:rPr>
            </w:pPr>
          </w:p>
        </w:tc>
        <w:tc>
          <w:tcPr>
            <w:tcW w:w="160" w:type="dxa"/>
            <w:vAlign w:val="bottom"/>
          </w:tcPr>
          <w:p>
            <w:pPr>
              <w:spacing w:after="0"/>
              <w:rPr>
                <w:sz w:val="2"/>
                <w:szCs w:val="2"/>
                <w:color w:val="auto"/>
              </w:rPr>
            </w:pPr>
          </w:p>
        </w:tc>
        <w:tc>
          <w:tcPr>
            <w:tcW w:w="180" w:type="dxa"/>
            <w:vAlign w:val="bottom"/>
          </w:tcPr>
          <w:p>
            <w:pPr>
              <w:spacing w:after="0"/>
              <w:rPr>
                <w:sz w:val="2"/>
                <w:szCs w:val="2"/>
                <w:color w:val="auto"/>
              </w:rPr>
            </w:pPr>
          </w:p>
        </w:tc>
        <w:tc>
          <w:tcPr>
            <w:tcW w:w="200" w:type="dxa"/>
            <w:vAlign w:val="bottom"/>
          </w:tcPr>
          <w:p>
            <w:pPr>
              <w:spacing w:after="0"/>
              <w:rPr>
                <w:sz w:val="2"/>
                <w:szCs w:val="2"/>
                <w:color w:val="auto"/>
              </w:rPr>
            </w:pPr>
          </w:p>
        </w:tc>
        <w:tc>
          <w:tcPr>
            <w:tcW w:w="20" w:type="dxa"/>
            <w:vAlign w:val="bottom"/>
          </w:tcPr>
          <w:p>
            <w:pPr>
              <w:spacing w:after="0"/>
              <w:rPr>
                <w:sz w:val="2"/>
                <w:szCs w:val="2"/>
                <w:color w:val="auto"/>
              </w:rPr>
            </w:pPr>
          </w:p>
        </w:tc>
        <w:tc>
          <w:tcPr>
            <w:tcW w:w="40" w:type="dxa"/>
            <w:vAlign w:val="bottom"/>
          </w:tcPr>
          <w:p>
            <w:pPr>
              <w:spacing w:after="0"/>
              <w:rPr>
                <w:sz w:val="2"/>
                <w:szCs w:val="2"/>
                <w:color w:val="auto"/>
              </w:rPr>
            </w:pPr>
          </w:p>
        </w:tc>
        <w:tc>
          <w:tcPr>
            <w:tcW w:w="80" w:type="dxa"/>
            <w:vAlign w:val="bottom"/>
          </w:tcPr>
          <w:p>
            <w:pPr>
              <w:spacing w:after="0"/>
              <w:rPr>
                <w:sz w:val="2"/>
                <w:szCs w:val="2"/>
                <w:color w:val="auto"/>
              </w:rPr>
            </w:pPr>
          </w:p>
        </w:tc>
        <w:tc>
          <w:tcPr>
            <w:tcW w:w="80" w:type="dxa"/>
            <w:vAlign w:val="bottom"/>
          </w:tcPr>
          <w:p>
            <w:pPr>
              <w:spacing w:after="0"/>
              <w:rPr>
                <w:sz w:val="2"/>
                <w:szCs w:val="2"/>
                <w:color w:val="auto"/>
              </w:rPr>
            </w:pPr>
          </w:p>
        </w:tc>
        <w:tc>
          <w:tcPr>
            <w:tcW w:w="220" w:type="dxa"/>
            <w:vAlign w:val="bottom"/>
          </w:tcPr>
          <w:p>
            <w:pPr>
              <w:spacing w:after="0"/>
              <w:rPr>
                <w:sz w:val="2"/>
                <w:szCs w:val="2"/>
                <w:color w:val="auto"/>
              </w:rPr>
            </w:pPr>
          </w:p>
        </w:tc>
        <w:tc>
          <w:tcPr>
            <w:tcW w:w="200" w:type="dxa"/>
            <w:vAlign w:val="bottom"/>
          </w:tcPr>
          <w:p>
            <w:pPr>
              <w:spacing w:after="0"/>
              <w:rPr>
                <w:sz w:val="2"/>
                <w:szCs w:val="2"/>
                <w:color w:val="auto"/>
              </w:rPr>
            </w:pPr>
          </w:p>
        </w:tc>
        <w:tc>
          <w:tcPr>
            <w:tcW w:w="240" w:type="dxa"/>
            <w:vAlign w:val="bottom"/>
          </w:tcPr>
          <w:p>
            <w:pPr>
              <w:spacing w:after="0"/>
              <w:rPr>
                <w:sz w:val="2"/>
                <w:szCs w:val="2"/>
                <w:color w:val="auto"/>
              </w:rPr>
            </w:pPr>
          </w:p>
        </w:tc>
        <w:tc>
          <w:tcPr>
            <w:tcW w:w="320" w:type="dxa"/>
            <w:vAlign w:val="bottom"/>
          </w:tcPr>
          <w:p>
            <w:pPr>
              <w:spacing w:after="0"/>
              <w:rPr>
                <w:sz w:val="2"/>
                <w:szCs w:val="2"/>
                <w:color w:val="auto"/>
              </w:rPr>
            </w:pPr>
          </w:p>
        </w:tc>
        <w:tc>
          <w:tcPr>
            <w:tcW w:w="360" w:type="dxa"/>
            <w:vAlign w:val="bottom"/>
          </w:tcPr>
          <w:p>
            <w:pPr>
              <w:spacing w:after="0"/>
              <w:rPr>
                <w:sz w:val="2"/>
                <w:szCs w:val="2"/>
                <w:color w:val="auto"/>
              </w:rPr>
            </w:pPr>
          </w:p>
        </w:tc>
        <w:tc>
          <w:tcPr>
            <w:tcW w:w="240" w:type="dxa"/>
            <w:vAlign w:val="bottom"/>
          </w:tcPr>
          <w:p>
            <w:pPr>
              <w:spacing w:after="0"/>
              <w:rPr>
                <w:sz w:val="2"/>
                <w:szCs w:val="2"/>
                <w:color w:val="auto"/>
              </w:rPr>
            </w:pPr>
          </w:p>
        </w:tc>
        <w:tc>
          <w:tcPr>
            <w:tcW w:w="220" w:type="dxa"/>
            <w:vAlign w:val="bottom"/>
          </w:tcPr>
          <w:p>
            <w:pPr>
              <w:spacing w:after="0"/>
              <w:rPr>
                <w:sz w:val="2"/>
                <w:szCs w:val="2"/>
                <w:color w:val="auto"/>
              </w:rPr>
            </w:pPr>
          </w:p>
        </w:tc>
        <w:tc>
          <w:tcPr>
            <w:tcW w:w="100" w:type="dxa"/>
            <w:vAlign w:val="bottom"/>
          </w:tcPr>
          <w:p>
            <w:pPr>
              <w:spacing w:after="0"/>
              <w:rPr>
                <w:sz w:val="2"/>
                <w:szCs w:val="2"/>
                <w:color w:val="auto"/>
              </w:rPr>
            </w:pPr>
          </w:p>
        </w:tc>
        <w:tc>
          <w:tcPr>
            <w:tcW w:w="320" w:type="dxa"/>
            <w:vAlign w:val="bottom"/>
          </w:tcPr>
          <w:p>
            <w:pPr>
              <w:spacing w:after="0"/>
              <w:rPr>
                <w:sz w:val="2"/>
                <w:szCs w:val="2"/>
                <w:color w:val="auto"/>
              </w:rPr>
            </w:pPr>
          </w:p>
        </w:tc>
        <w:tc>
          <w:tcPr>
            <w:tcW w:w="640" w:type="dxa"/>
            <w:vAlign w:val="bottom"/>
          </w:tcPr>
          <w:p>
            <w:pPr>
              <w:spacing w:after="0"/>
              <w:rPr>
                <w:sz w:val="2"/>
                <w:szCs w:val="2"/>
                <w:color w:val="auto"/>
              </w:rPr>
            </w:pPr>
          </w:p>
        </w:tc>
        <w:tc>
          <w:tcPr>
            <w:tcW w:w="2940" w:type="dxa"/>
            <w:vAlign w:val="bottom"/>
          </w:tcPr>
          <w:p>
            <w:pPr>
              <w:spacing w:after="0"/>
              <w:rPr>
                <w:sz w:val="2"/>
                <w:szCs w:val="2"/>
                <w:color w:val="auto"/>
              </w:rPr>
            </w:pPr>
          </w:p>
        </w:tc>
        <w:tc>
          <w:tcPr>
            <w:tcW w:w="2960" w:type="dxa"/>
            <w:vAlign w:val="bottom"/>
          </w:tcPr>
          <w:p>
            <w:pPr>
              <w:spacing w:after="0"/>
              <w:rPr>
                <w:sz w:val="2"/>
                <w:szCs w:val="2"/>
                <w:color w:val="auto"/>
              </w:rPr>
            </w:pPr>
          </w:p>
        </w:tc>
        <w:tc>
          <w:tcPr>
            <w:tcW w:w="200" w:type="dxa"/>
            <w:vAlign w:val="bottom"/>
            <w:shd w:val="clear" w:color="auto" w:fill="0000EE"/>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34"/>
        </w:trPr>
        <w:tc>
          <w:tcPr>
            <w:tcW w:w="20" w:type="dxa"/>
            <w:vAlign w:val="bottom"/>
            <w:vMerge w:val="continue"/>
          </w:tcPr>
          <w:p>
            <w:pPr>
              <w:spacing w:after="0"/>
              <w:rPr>
                <w:sz w:val="11"/>
                <w:szCs w:val="11"/>
                <w:color w:val="auto"/>
              </w:rPr>
            </w:pPr>
          </w:p>
        </w:tc>
        <w:tc>
          <w:tcPr>
            <w:tcW w:w="500" w:type="dxa"/>
            <w:vAlign w:val="bottom"/>
            <w:tcBorders>
              <w:left w:val="single" w:sz="8" w:color="CCEEFF"/>
              <w:bottom w:val="single" w:sz="8" w:color="0000EE"/>
            </w:tcBorders>
            <w:gridSpan w:val="3"/>
            <w:shd w:val="clear" w:color="auto" w:fill="CCEEFF"/>
          </w:tcPr>
          <w:p>
            <w:pPr>
              <w:spacing w:after="0" w:line="125" w:lineRule="exact"/>
              <w:rPr>
                <w:rFonts w:ascii="Arial" w:cs="Arial" w:eastAsia="Arial" w:hAnsi="Arial"/>
                <w:sz w:val="13"/>
                <w:szCs w:val="13"/>
                <w:color w:val="0000EE"/>
                <w:w w:val="86"/>
              </w:rPr>
            </w:pPr>
            <w:hyperlink w:anchor="page119">
              <w:r>
                <w:rPr>
                  <w:rFonts w:ascii="Arial" w:cs="Arial" w:eastAsia="Arial" w:hAnsi="Arial"/>
                  <w:sz w:val="13"/>
                  <w:szCs w:val="13"/>
                  <w:color w:val="0000EE"/>
                  <w:w w:val="86"/>
                </w:rPr>
                <w:t>Item 16A.</w:t>
              </w:r>
            </w:hyperlink>
          </w:p>
        </w:tc>
        <w:tc>
          <w:tcPr>
            <w:tcW w:w="60" w:type="dxa"/>
            <w:vAlign w:val="bottom"/>
            <w:tcBorders>
              <w:bottom w:val="single" w:sz="8" w:color="CCEEFF"/>
            </w:tcBorders>
            <w:shd w:val="clear" w:color="auto" w:fill="CCEEFF"/>
          </w:tcPr>
          <w:p>
            <w:pPr>
              <w:spacing w:after="0"/>
              <w:rPr>
                <w:sz w:val="11"/>
                <w:szCs w:val="11"/>
                <w:color w:val="auto"/>
              </w:rPr>
            </w:pPr>
          </w:p>
        </w:tc>
        <w:tc>
          <w:tcPr>
            <w:tcW w:w="440" w:type="dxa"/>
            <w:vAlign w:val="bottom"/>
            <w:tcBorders>
              <w:bottom w:val="single" w:sz="8" w:color="CCEEFF"/>
            </w:tcBorders>
            <w:shd w:val="clear" w:color="auto" w:fill="CCEEFF"/>
          </w:tcPr>
          <w:p>
            <w:pPr>
              <w:spacing w:after="0"/>
              <w:rPr>
                <w:sz w:val="11"/>
                <w:szCs w:val="11"/>
                <w:color w:val="auto"/>
              </w:rPr>
            </w:pPr>
          </w:p>
        </w:tc>
        <w:tc>
          <w:tcPr>
            <w:tcW w:w="140" w:type="dxa"/>
            <w:vAlign w:val="bottom"/>
            <w:tcBorders>
              <w:bottom w:val="single" w:sz="8" w:color="CCEEFF"/>
            </w:tcBorders>
            <w:shd w:val="clear" w:color="auto" w:fill="CCEEFF"/>
          </w:tcPr>
          <w:p>
            <w:pPr>
              <w:spacing w:after="0"/>
              <w:rPr>
                <w:sz w:val="11"/>
                <w:szCs w:val="11"/>
                <w:color w:val="auto"/>
              </w:rPr>
            </w:pPr>
          </w:p>
        </w:tc>
        <w:tc>
          <w:tcPr>
            <w:tcW w:w="1780" w:type="dxa"/>
            <w:vAlign w:val="bottom"/>
            <w:tcBorders>
              <w:bottom w:val="single" w:sz="8" w:color="0000EE"/>
            </w:tcBorders>
            <w:gridSpan w:val="13"/>
            <w:shd w:val="clear" w:color="auto" w:fill="CCEEFF"/>
          </w:tcPr>
          <w:p>
            <w:pPr>
              <w:spacing w:after="0" w:line="125" w:lineRule="exact"/>
              <w:rPr>
                <w:rFonts w:ascii="Arial" w:cs="Arial" w:eastAsia="Arial" w:hAnsi="Arial"/>
                <w:sz w:val="13"/>
                <w:szCs w:val="13"/>
                <w:color w:val="0000EE"/>
                <w:w w:val="91"/>
              </w:rPr>
            </w:pPr>
            <w:hyperlink w:anchor="page119">
              <w:r>
                <w:rPr>
                  <w:rFonts w:ascii="Arial" w:cs="Arial" w:eastAsia="Arial" w:hAnsi="Arial"/>
                  <w:sz w:val="13"/>
                  <w:szCs w:val="13"/>
                  <w:color w:val="0000EE"/>
                  <w:w w:val="91"/>
                </w:rPr>
                <w:t>Audit Committee Financial Expert</w:t>
              </w:r>
            </w:hyperlink>
          </w:p>
        </w:tc>
        <w:tc>
          <w:tcPr>
            <w:tcW w:w="5380" w:type="dxa"/>
            <w:vAlign w:val="bottom"/>
            <w:tcBorders>
              <w:bottom w:val="single" w:sz="8" w:color="CCEEFF"/>
            </w:tcBorders>
            <w:gridSpan w:val="9"/>
            <w:shd w:val="clear" w:color="auto" w:fill="CCEEFF"/>
          </w:tcPr>
          <w:p>
            <w:pPr>
              <w:spacing w:after="0"/>
              <w:rPr>
                <w:sz w:val="11"/>
                <w:szCs w:val="11"/>
                <w:color w:val="auto"/>
              </w:rPr>
            </w:pPr>
          </w:p>
        </w:tc>
        <w:tc>
          <w:tcPr>
            <w:tcW w:w="2960" w:type="dxa"/>
            <w:vAlign w:val="bottom"/>
            <w:tcBorders>
              <w:bottom w:val="single" w:sz="8" w:color="CCEEFF"/>
            </w:tcBorders>
            <w:shd w:val="clear" w:color="auto" w:fill="CCEEFF"/>
          </w:tcPr>
          <w:p>
            <w:pPr>
              <w:spacing w:after="0"/>
              <w:rPr>
                <w:sz w:val="11"/>
                <w:szCs w:val="11"/>
                <w:color w:val="auto"/>
              </w:rPr>
            </w:pPr>
          </w:p>
        </w:tc>
        <w:tc>
          <w:tcPr>
            <w:tcW w:w="200" w:type="dxa"/>
            <w:vAlign w:val="bottom"/>
            <w:tcBorders>
              <w:bottom w:val="single" w:sz="8" w:color="0000EE"/>
            </w:tcBorders>
            <w:shd w:val="clear" w:color="auto" w:fill="CCEEFF"/>
          </w:tcPr>
          <w:p>
            <w:pPr>
              <w:jc w:val="right"/>
              <w:spacing w:after="0" w:line="125" w:lineRule="exact"/>
              <w:rPr>
                <w:rFonts w:ascii="Arial" w:cs="Arial" w:eastAsia="Arial" w:hAnsi="Arial"/>
                <w:sz w:val="13"/>
                <w:szCs w:val="13"/>
                <w:color w:val="0000EE"/>
                <w:w w:val="82"/>
              </w:rPr>
            </w:pPr>
            <w:hyperlink w:anchor="page119">
              <w:r>
                <w:rPr>
                  <w:rFonts w:ascii="Arial" w:cs="Arial" w:eastAsia="Arial" w:hAnsi="Arial"/>
                  <w:sz w:val="13"/>
                  <w:szCs w:val="13"/>
                  <w:color w:val="0000EE"/>
                  <w:w w:val="82"/>
                </w:rPr>
                <w:t>117</w:t>
              </w:r>
            </w:hyperlink>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500" w:type="dxa"/>
            <w:vAlign w:val="bottom"/>
            <w:tcBorders>
              <w:bottom w:val="single" w:sz="8" w:color="0000EE"/>
            </w:tcBorders>
            <w:gridSpan w:val="3"/>
          </w:tcPr>
          <w:p>
            <w:pPr>
              <w:spacing w:after="0" w:line="125" w:lineRule="exact"/>
              <w:rPr>
                <w:rFonts w:ascii="Arial" w:cs="Arial" w:eastAsia="Arial" w:hAnsi="Arial"/>
                <w:sz w:val="13"/>
                <w:szCs w:val="13"/>
                <w:color w:val="0000EE"/>
                <w:w w:val="86"/>
              </w:rPr>
            </w:pPr>
            <w:hyperlink w:anchor="page119">
              <w:r>
                <w:rPr>
                  <w:rFonts w:ascii="Arial" w:cs="Arial" w:eastAsia="Arial" w:hAnsi="Arial"/>
                  <w:sz w:val="13"/>
                  <w:szCs w:val="13"/>
                  <w:color w:val="0000EE"/>
                  <w:w w:val="86"/>
                </w:rPr>
                <w:t>Item 16B.</w:t>
              </w:r>
            </w:hyperlink>
          </w:p>
        </w:tc>
        <w:tc>
          <w:tcPr>
            <w:tcW w:w="6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60" w:type="dxa"/>
            <w:vAlign w:val="bottom"/>
            <w:tcBorders>
              <w:bottom w:val="single" w:sz="8" w:color="0000EE"/>
            </w:tcBorders>
            <w:gridSpan w:val="5"/>
          </w:tcPr>
          <w:p>
            <w:pPr>
              <w:spacing w:after="0" w:line="125" w:lineRule="exact"/>
              <w:rPr>
                <w:rFonts w:ascii="Arial" w:cs="Arial" w:eastAsia="Arial" w:hAnsi="Arial"/>
                <w:sz w:val="13"/>
                <w:szCs w:val="13"/>
                <w:color w:val="0000EE"/>
                <w:w w:val="87"/>
              </w:rPr>
            </w:pPr>
            <w:hyperlink w:anchor="page119">
              <w:r>
                <w:rPr>
                  <w:rFonts w:ascii="Arial" w:cs="Arial" w:eastAsia="Arial" w:hAnsi="Arial"/>
                  <w:sz w:val="13"/>
                  <w:szCs w:val="13"/>
                  <w:color w:val="0000EE"/>
                  <w:w w:val="87"/>
                </w:rPr>
                <w:t>Code of Ethics</w:t>
              </w:r>
            </w:hyperlink>
          </w:p>
        </w:tc>
        <w:tc>
          <w:tcPr>
            <w:tcW w:w="6400" w:type="dxa"/>
            <w:vAlign w:val="bottom"/>
            <w:gridSpan w:val="17"/>
          </w:tcPr>
          <w:p>
            <w:pPr>
              <w:spacing w:after="0"/>
              <w:rPr>
                <w:sz w:val="11"/>
                <w:szCs w:val="11"/>
                <w:color w:val="auto"/>
              </w:rPr>
            </w:pPr>
          </w:p>
        </w:tc>
        <w:tc>
          <w:tcPr>
            <w:tcW w:w="2960" w:type="dxa"/>
            <w:vAlign w:val="bottom"/>
          </w:tcPr>
          <w:p>
            <w:pPr>
              <w:spacing w:after="0"/>
              <w:rPr>
                <w:sz w:val="11"/>
                <w:szCs w:val="11"/>
                <w:color w:val="auto"/>
              </w:rPr>
            </w:pPr>
          </w:p>
        </w:tc>
        <w:tc>
          <w:tcPr>
            <w:tcW w:w="200" w:type="dxa"/>
            <w:vAlign w:val="bottom"/>
            <w:tcBorders>
              <w:bottom w:val="single" w:sz="8" w:color="0000EE"/>
            </w:tcBorders>
          </w:tcPr>
          <w:p>
            <w:pPr>
              <w:jc w:val="right"/>
              <w:spacing w:after="0" w:line="125" w:lineRule="exact"/>
              <w:rPr>
                <w:rFonts w:ascii="Arial" w:cs="Arial" w:eastAsia="Arial" w:hAnsi="Arial"/>
                <w:sz w:val="13"/>
                <w:szCs w:val="13"/>
                <w:color w:val="0000EE"/>
                <w:w w:val="82"/>
              </w:rPr>
            </w:pPr>
            <w:hyperlink w:anchor="page119">
              <w:r>
                <w:rPr>
                  <w:rFonts w:ascii="Arial" w:cs="Arial" w:eastAsia="Arial" w:hAnsi="Arial"/>
                  <w:sz w:val="13"/>
                  <w:szCs w:val="13"/>
                  <w:color w:val="0000EE"/>
                  <w:w w:val="82"/>
                </w:rPr>
                <w:t>117</w:t>
              </w:r>
            </w:hyperlink>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5"/>
        </w:trPr>
        <w:tc>
          <w:tcPr>
            <w:tcW w:w="20" w:type="dxa"/>
            <w:vAlign w:val="bottom"/>
          </w:tcPr>
          <w:p>
            <w:pPr>
              <w:spacing w:after="0"/>
              <w:rPr>
                <w:sz w:val="10"/>
                <w:szCs w:val="10"/>
                <w:color w:val="auto"/>
              </w:rPr>
            </w:pPr>
          </w:p>
        </w:tc>
        <w:tc>
          <w:tcPr>
            <w:tcW w:w="500" w:type="dxa"/>
            <w:vAlign w:val="bottom"/>
            <w:tcBorders>
              <w:left w:val="single" w:sz="8" w:color="CCEEFF"/>
            </w:tcBorders>
            <w:gridSpan w:val="3"/>
            <w:shd w:val="clear" w:color="auto" w:fill="CCEEFF"/>
          </w:tcPr>
          <w:p>
            <w:pPr>
              <w:spacing w:after="0" w:line="125" w:lineRule="exact"/>
              <w:rPr>
                <w:rFonts w:ascii="Arial" w:cs="Arial" w:eastAsia="Arial" w:hAnsi="Arial"/>
                <w:sz w:val="13"/>
                <w:szCs w:val="13"/>
                <w:color w:val="0000EE"/>
                <w:w w:val="85"/>
              </w:rPr>
            </w:pPr>
            <w:hyperlink w:anchor="page120">
              <w:r>
                <w:rPr>
                  <w:rFonts w:ascii="Arial" w:cs="Arial" w:eastAsia="Arial" w:hAnsi="Arial"/>
                  <w:sz w:val="13"/>
                  <w:szCs w:val="13"/>
                  <w:color w:val="0000EE"/>
                  <w:w w:val="85"/>
                </w:rPr>
                <w:t>Item 16C.</w:t>
              </w:r>
            </w:hyperlink>
          </w:p>
        </w:tc>
        <w:tc>
          <w:tcPr>
            <w:tcW w:w="6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7160" w:type="dxa"/>
            <w:vAlign w:val="bottom"/>
            <w:gridSpan w:val="22"/>
            <w:shd w:val="clear" w:color="auto" w:fill="CCEEFF"/>
          </w:tcPr>
          <w:p>
            <w:pPr>
              <w:spacing w:after="0" w:line="125" w:lineRule="exact"/>
              <w:rPr>
                <w:rFonts w:ascii="Arial" w:cs="Arial" w:eastAsia="Arial" w:hAnsi="Arial"/>
                <w:sz w:val="13"/>
                <w:szCs w:val="13"/>
                <w:color w:val="0000EE"/>
              </w:rPr>
            </w:pPr>
            <w:hyperlink w:anchor="page120">
              <w:r>
                <w:rPr>
                  <w:rFonts w:ascii="Arial" w:cs="Arial" w:eastAsia="Arial" w:hAnsi="Arial"/>
                  <w:sz w:val="13"/>
                  <w:szCs w:val="13"/>
                  <w:color w:val="0000EE"/>
                </w:rPr>
                <w:t>Principal Accountant Fees and Services</w:t>
              </w:r>
            </w:hyperlink>
          </w:p>
        </w:tc>
        <w:tc>
          <w:tcPr>
            <w:tcW w:w="3160" w:type="dxa"/>
            <w:vAlign w:val="bottom"/>
            <w:gridSpan w:val="2"/>
            <w:shd w:val="clear" w:color="auto" w:fill="CCEEFF"/>
          </w:tcPr>
          <w:p>
            <w:pPr>
              <w:jc w:val="right"/>
              <w:spacing w:after="0" w:line="125" w:lineRule="exact"/>
              <w:rPr>
                <w:rFonts w:ascii="Arial" w:cs="Arial" w:eastAsia="Arial" w:hAnsi="Arial"/>
                <w:sz w:val="13"/>
                <w:szCs w:val="13"/>
                <w:color w:val="0000EE"/>
              </w:rPr>
            </w:pPr>
            <w:hyperlink w:anchor="page120">
              <w:r>
                <w:rPr>
                  <w:rFonts w:ascii="Arial" w:cs="Arial" w:eastAsia="Arial" w:hAnsi="Arial"/>
                  <w:sz w:val="13"/>
                  <w:szCs w:val="13"/>
                  <w:color w:val="0000EE"/>
                </w:rPr>
                <w:t>118</w:t>
              </w:r>
            </w:hyperlink>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80" w:type="dxa"/>
            <w:vAlign w:val="bottom"/>
            <w:tcBorders>
              <w:left w:val="single" w:sz="8" w:color="0000EE"/>
            </w:tcBorders>
            <w:shd w:val="clear" w:color="auto" w:fill="0000EE"/>
          </w:tcPr>
          <w:p>
            <w:pPr>
              <w:spacing w:after="0"/>
              <w:rPr>
                <w:sz w:val="2"/>
                <w:szCs w:val="2"/>
                <w:color w:val="auto"/>
              </w:rPr>
            </w:pPr>
          </w:p>
        </w:tc>
        <w:tc>
          <w:tcPr>
            <w:tcW w:w="340" w:type="dxa"/>
            <w:vAlign w:val="bottom"/>
            <w:tcBorders>
              <w:left w:val="single" w:sz="8" w:color="0000EE"/>
            </w:tcBorders>
            <w:shd w:val="clear" w:color="auto" w:fill="0000EE"/>
          </w:tcPr>
          <w:p>
            <w:pPr>
              <w:spacing w:after="0"/>
              <w:rPr>
                <w:sz w:val="2"/>
                <w:szCs w:val="2"/>
                <w:color w:val="auto"/>
              </w:rPr>
            </w:pPr>
          </w:p>
        </w:tc>
        <w:tc>
          <w:tcPr>
            <w:tcW w:w="80" w:type="dxa"/>
            <w:vAlign w:val="bottom"/>
            <w:tcBorders>
              <w:left w:val="single" w:sz="8" w:color="0000EE"/>
            </w:tcBorders>
            <w:shd w:val="clear" w:color="auto" w:fill="0000EE"/>
          </w:tcPr>
          <w:p>
            <w:pPr>
              <w:spacing w:after="0"/>
              <w:rPr>
                <w:sz w:val="2"/>
                <w:szCs w:val="2"/>
                <w:color w:val="auto"/>
              </w:rPr>
            </w:pPr>
          </w:p>
        </w:tc>
        <w:tc>
          <w:tcPr>
            <w:tcW w:w="60" w:type="dxa"/>
            <w:vAlign w:val="bottom"/>
            <w:shd w:val="clear" w:color="auto" w:fill="CCEEFF"/>
          </w:tcPr>
          <w:p>
            <w:pPr>
              <w:spacing w:after="0"/>
              <w:rPr>
                <w:sz w:val="2"/>
                <w:szCs w:val="2"/>
                <w:color w:val="auto"/>
              </w:rPr>
            </w:pPr>
          </w:p>
        </w:tc>
        <w:tc>
          <w:tcPr>
            <w:tcW w:w="440" w:type="dxa"/>
            <w:vAlign w:val="bottom"/>
            <w:shd w:val="clear" w:color="auto" w:fill="CCEEFF"/>
          </w:tcPr>
          <w:p>
            <w:pPr>
              <w:spacing w:after="0"/>
              <w:rPr>
                <w:sz w:val="2"/>
                <w:szCs w:val="2"/>
                <w:color w:val="auto"/>
              </w:rPr>
            </w:pPr>
          </w:p>
        </w:tc>
        <w:tc>
          <w:tcPr>
            <w:tcW w:w="140" w:type="dxa"/>
            <w:vAlign w:val="bottom"/>
            <w:shd w:val="clear" w:color="auto" w:fill="CCEEFF"/>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280" w:type="dxa"/>
            <w:vAlign w:val="bottom"/>
            <w:shd w:val="clear" w:color="auto" w:fill="0000EE"/>
          </w:tcPr>
          <w:p>
            <w:pPr>
              <w:spacing w:after="0"/>
              <w:rPr>
                <w:sz w:val="2"/>
                <w:szCs w:val="2"/>
                <w:color w:val="auto"/>
              </w:rPr>
            </w:pPr>
          </w:p>
        </w:tc>
        <w:tc>
          <w:tcPr>
            <w:tcW w:w="140" w:type="dxa"/>
            <w:vAlign w:val="bottom"/>
            <w:tcBorders>
              <w:left w:val="single" w:sz="8" w:color="0000EE"/>
            </w:tcBorders>
            <w:shd w:val="clear" w:color="auto" w:fill="0000EE"/>
          </w:tcPr>
          <w:p>
            <w:pPr>
              <w:spacing w:after="0"/>
              <w:rPr>
                <w:sz w:val="2"/>
                <w:szCs w:val="2"/>
                <w:color w:val="auto"/>
              </w:rPr>
            </w:pPr>
          </w:p>
        </w:tc>
        <w:tc>
          <w:tcPr>
            <w:tcW w:w="80" w:type="dxa"/>
            <w:vAlign w:val="bottom"/>
            <w:tcBorders>
              <w:left w:val="single" w:sz="8" w:color="0000EE"/>
            </w:tcBorders>
            <w:shd w:val="clear" w:color="auto" w:fill="0000EE"/>
          </w:tcPr>
          <w:p>
            <w:pPr>
              <w:spacing w:after="0"/>
              <w:rPr>
                <w:sz w:val="2"/>
                <w:szCs w:val="2"/>
                <w:color w:val="auto"/>
              </w:rPr>
            </w:pPr>
          </w:p>
        </w:tc>
        <w:tc>
          <w:tcPr>
            <w:tcW w:w="160" w:type="dxa"/>
            <w:vAlign w:val="bottom"/>
            <w:shd w:val="clear" w:color="auto" w:fill="0000EE"/>
          </w:tcPr>
          <w:p>
            <w:pPr>
              <w:spacing w:after="0"/>
              <w:rPr>
                <w:sz w:val="2"/>
                <w:szCs w:val="2"/>
                <w:color w:val="auto"/>
              </w:rPr>
            </w:pPr>
          </w:p>
        </w:tc>
        <w:tc>
          <w:tcPr>
            <w:tcW w:w="180" w:type="dxa"/>
            <w:vAlign w:val="bottom"/>
            <w:shd w:val="clear" w:color="auto" w:fill="0000EE"/>
          </w:tcPr>
          <w:p>
            <w:pPr>
              <w:spacing w:after="0"/>
              <w:rPr>
                <w:sz w:val="2"/>
                <w:szCs w:val="2"/>
                <w:color w:val="auto"/>
              </w:rPr>
            </w:pPr>
          </w:p>
        </w:tc>
        <w:tc>
          <w:tcPr>
            <w:tcW w:w="200" w:type="dxa"/>
            <w:vAlign w:val="bottom"/>
            <w:shd w:val="clear" w:color="auto" w:fill="0000EE"/>
          </w:tcPr>
          <w:p>
            <w:pPr>
              <w:spacing w:after="0"/>
              <w:rPr>
                <w:sz w:val="2"/>
                <w:szCs w:val="2"/>
                <w:color w:val="auto"/>
              </w:rPr>
            </w:pPr>
          </w:p>
        </w:tc>
        <w:tc>
          <w:tcPr>
            <w:tcW w:w="20" w:type="dxa"/>
            <w:vAlign w:val="bottom"/>
            <w:shd w:val="clear" w:color="auto" w:fill="0000EE"/>
          </w:tcPr>
          <w:p>
            <w:pPr>
              <w:spacing w:after="0"/>
              <w:rPr>
                <w:sz w:val="2"/>
                <w:szCs w:val="2"/>
                <w:color w:val="auto"/>
              </w:rPr>
            </w:pPr>
          </w:p>
        </w:tc>
        <w:tc>
          <w:tcPr>
            <w:tcW w:w="4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20" w:type="dxa"/>
            <w:vAlign w:val="bottom"/>
            <w:shd w:val="clear" w:color="auto" w:fill="0000EE"/>
          </w:tcPr>
          <w:p>
            <w:pPr>
              <w:spacing w:after="0"/>
              <w:rPr>
                <w:sz w:val="2"/>
                <w:szCs w:val="2"/>
                <w:color w:val="auto"/>
              </w:rPr>
            </w:pPr>
          </w:p>
        </w:tc>
        <w:tc>
          <w:tcPr>
            <w:tcW w:w="200" w:type="dxa"/>
            <w:vAlign w:val="bottom"/>
            <w:shd w:val="clear" w:color="auto" w:fill="0000EE"/>
          </w:tcPr>
          <w:p>
            <w:pPr>
              <w:spacing w:after="0"/>
              <w:rPr>
                <w:sz w:val="2"/>
                <w:szCs w:val="2"/>
                <w:color w:val="auto"/>
              </w:rPr>
            </w:pPr>
          </w:p>
        </w:tc>
        <w:tc>
          <w:tcPr>
            <w:tcW w:w="240" w:type="dxa"/>
            <w:vAlign w:val="bottom"/>
            <w:shd w:val="clear" w:color="auto" w:fill="0000EE"/>
          </w:tcPr>
          <w:p>
            <w:pPr>
              <w:spacing w:after="0"/>
              <w:rPr>
                <w:sz w:val="2"/>
                <w:szCs w:val="2"/>
                <w:color w:val="auto"/>
              </w:rPr>
            </w:pPr>
          </w:p>
        </w:tc>
        <w:tc>
          <w:tcPr>
            <w:tcW w:w="320" w:type="dxa"/>
            <w:vAlign w:val="bottom"/>
            <w:shd w:val="clear" w:color="auto" w:fill="CCEEFF"/>
          </w:tcPr>
          <w:p>
            <w:pPr>
              <w:spacing w:after="0"/>
              <w:rPr>
                <w:sz w:val="2"/>
                <w:szCs w:val="2"/>
                <w:color w:val="auto"/>
              </w:rPr>
            </w:pPr>
          </w:p>
        </w:tc>
        <w:tc>
          <w:tcPr>
            <w:tcW w:w="360" w:type="dxa"/>
            <w:vAlign w:val="bottom"/>
            <w:shd w:val="clear" w:color="auto" w:fill="CCEEFF"/>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320" w:type="dxa"/>
            <w:vAlign w:val="bottom"/>
            <w:shd w:val="clear" w:color="auto" w:fill="CCEEFF"/>
          </w:tcPr>
          <w:p>
            <w:pPr>
              <w:spacing w:after="0"/>
              <w:rPr>
                <w:sz w:val="2"/>
                <w:szCs w:val="2"/>
                <w:color w:val="auto"/>
              </w:rPr>
            </w:pPr>
          </w:p>
        </w:tc>
        <w:tc>
          <w:tcPr>
            <w:tcW w:w="640" w:type="dxa"/>
            <w:vAlign w:val="bottom"/>
            <w:shd w:val="clear" w:color="auto" w:fill="CCEEFF"/>
          </w:tcPr>
          <w:p>
            <w:pPr>
              <w:spacing w:after="0"/>
              <w:rPr>
                <w:sz w:val="2"/>
                <w:szCs w:val="2"/>
                <w:color w:val="auto"/>
              </w:rPr>
            </w:pPr>
          </w:p>
        </w:tc>
        <w:tc>
          <w:tcPr>
            <w:tcW w:w="2940" w:type="dxa"/>
            <w:vAlign w:val="bottom"/>
            <w:shd w:val="clear" w:color="auto" w:fill="CCEEFF"/>
          </w:tcPr>
          <w:p>
            <w:pPr>
              <w:spacing w:after="0"/>
              <w:rPr>
                <w:sz w:val="2"/>
                <w:szCs w:val="2"/>
                <w:color w:val="auto"/>
              </w:rPr>
            </w:pPr>
          </w:p>
        </w:tc>
        <w:tc>
          <w:tcPr>
            <w:tcW w:w="2960" w:type="dxa"/>
            <w:vAlign w:val="bottom"/>
            <w:shd w:val="clear" w:color="auto" w:fill="CCEEFF"/>
          </w:tcPr>
          <w:p>
            <w:pPr>
              <w:spacing w:after="0"/>
              <w:rPr>
                <w:sz w:val="2"/>
                <w:szCs w:val="2"/>
                <w:color w:val="auto"/>
              </w:rPr>
            </w:pPr>
          </w:p>
        </w:tc>
        <w:tc>
          <w:tcPr>
            <w:tcW w:w="200" w:type="dxa"/>
            <w:vAlign w:val="bottom"/>
            <w:shd w:val="clear" w:color="auto" w:fill="0000EE"/>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25"/>
        </w:trPr>
        <w:tc>
          <w:tcPr>
            <w:tcW w:w="20" w:type="dxa"/>
            <w:vAlign w:val="bottom"/>
            <w:vMerge w:val="continue"/>
          </w:tcPr>
          <w:p>
            <w:pPr>
              <w:spacing w:after="0"/>
              <w:rPr>
                <w:sz w:val="10"/>
                <w:szCs w:val="10"/>
                <w:color w:val="auto"/>
              </w:rPr>
            </w:pPr>
          </w:p>
        </w:tc>
        <w:tc>
          <w:tcPr>
            <w:tcW w:w="500" w:type="dxa"/>
            <w:vAlign w:val="bottom"/>
            <w:gridSpan w:val="3"/>
          </w:tcPr>
          <w:p>
            <w:pPr>
              <w:spacing w:after="0" w:line="125" w:lineRule="exact"/>
              <w:rPr>
                <w:rFonts w:ascii="Arial" w:cs="Arial" w:eastAsia="Arial" w:hAnsi="Arial"/>
                <w:sz w:val="13"/>
                <w:szCs w:val="13"/>
                <w:color w:val="0000EE"/>
                <w:w w:val="85"/>
              </w:rPr>
            </w:pPr>
            <w:hyperlink w:anchor="page120">
              <w:r>
                <w:rPr>
                  <w:rFonts w:ascii="Arial" w:cs="Arial" w:eastAsia="Arial" w:hAnsi="Arial"/>
                  <w:sz w:val="13"/>
                  <w:szCs w:val="13"/>
                  <w:color w:val="0000EE"/>
                  <w:w w:val="85"/>
                </w:rPr>
                <w:t>Item 16D.</w:t>
              </w:r>
            </w:hyperlink>
          </w:p>
        </w:tc>
        <w:tc>
          <w:tcPr>
            <w:tcW w:w="6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7160" w:type="dxa"/>
            <w:vAlign w:val="bottom"/>
            <w:gridSpan w:val="22"/>
          </w:tcPr>
          <w:p>
            <w:pPr>
              <w:spacing w:after="0" w:line="125" w:lineRule="exact"/>
              <w:rPr>
                <w:rFonts w:ascii="Arial" w:cs="Arial" w:eastAsia="Arial" w:hAnsi="Arial"/>
                <w:sz w:val="13"/>
                <w:szCs w:val="13"/>
                <w:color w:val="0000EE"/>
              </w:rPr>
            </w:pPr>
            <w:hyperlink w:anchor="page120">
              <w:r>
                <w:rPr>
                  <w:rFonts w:ascii="Arial" w:cs="Arial" w:eastAsia="Arial" w:hAnsi="Arial"/>
                  <w:sz w:val="13"/>
                  <w:szCs w:val="13"/>
                  <w:color w:val="0000EE"/>
                </w:rPr>
                <w:t>Exemptions from the Listing Standards for Audit Committees</w:t>
              </w:r>
            </w:hyperlink>
          </w:p>
        </w:tc>
        <w:tc>
          <w:tcPr>
            <w:tcW w:w="3160" w:type="dxa"/>
            <w:vAlign w:val="bottom"/>
            <w:gridSpan w:val="2"/>
          </w:tcPr>
          <w:p>
            <w:pPr>
              <w:jc w:val="right"/>
              <w:spacing w:after="0" w:line="125" w:lineRule="exact"/>
              <w:rPr>
                <w:rFonts w:ascii="Arial" w:cs="Arial" w:eastAsia="Arial" w:hAnsi="Arial"/>
                <w:sz w:val="13"/>
                <w:szCs w:val="13"/>
                <w:color w:val="0000EE"/>
              </w:rPr>
            </w:pPr>
            <w:hyperlink w:anchor="page120">
              <w:r>
                <w:rPr>
                  <w:rFonts w:ascii="Arial" w:cs="Arial" w:eastAsia="Arial" w:hAnsi="Arial"/>
                  <w:sz w:val="13"/>
                  <w:szCs w:val="13"/>
                  <w:color w:val="0000EE"/>
                </w:rPr>
                <w:t>118</w:t>
              </w:r>
            </w:hyperlink>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80" w:type="dxa"/>
            <w:vAlign w:val="bottom"/>
            <w:tcBorders>
              <w:left w:val="single" w:sz="8" w:color="0000EE"/>
            </w:tcBorders>
            <w:shd w:val="clear" w:color="auto" w:fill="0000EE"/>
          </w:tcPr>
          <w:p>
            <w:pPr>
              <w:spacing w:after="0"/>
              <w:rPr>
                <w:sz w:val="2"/>
                <w:szCs w:val="2"/>
                <w:color w:val="auto"/>
              </w:rPr>
            </w:pPr>
          </w:p>
        </w:tc>
        <w:tc>
          <w:tcPr>
            <w:tcW w:w="340" w:type="dxa"/>
            <w:vAlign w:val="bottom"/>
            <w:tcBorders>
              <w:left w:val="single" w:sz="8" w:color="0000EE"/>
            </w:tcBorders>
            <w:shd w:val="clear" w:color="auto" w:fill="0000EE"/>
          </w:tcPr>
          <w:p>
            <w:pPr>
              <w:spacing w:after="0"/>
              <w:rPr>
                <w:sz w:val="2"/>
                <w:szCs w:val="2"/>
                <w:color w:val="auto"/>
              </w:rPr>
            </w:pPr>
          </w:p>
        </w:tc>
        <w:tc>
          <w:tcPr>
            <w:tcW w:w="80" w:type="dxa"/>
            <w:vAlign w:val="bottom"/>
            <w:tcBorders>
              <w:left w:val="single" w:sz="8" w:color="0000EE"/>
            </w:tcBorders>
            <w:shd w:val="clear" w:color="auto" w:fill="0000EE"/>
          </w:tcPr>
          <w:p>
            <w:pPr>
              <w:spacing w:after="0"/>
              <w:rPr>
                <w:sz w:val="2"/>
                <w:szCs w:val="2"/>
                <w:color w:val="auto"/>
              </w:rPr>
            </w:pPr>
          </w:p>
        </w:tc>
        <w:tc>
          <w:tcPr>
            <w:tcW w:w="60" w:type="dxa"/>
            <w:vAlign w:val="bottom"/>
          </w:tcPr>
          <w:p>
            <w:pPr>
              <w:spacing w:after="0"/>
              <w:rPr>
                <w:sz w:val="2"/>
                <w:szCs w:val="2"/>
                <w:color w:val="auto"/>
              </w:rPr>
            </w:pPr>
          </w:p>
        </w:tc>
        <w:tc>
          <w:tcPr>
            <w:tcW w:w="440" w:type="dxa"/>
            <w:vAlign w:val="bottom"/>
          </w:tcPr>
          <w:p>
            <w:pPr>
              <w:spacing w:after="0"/>
              <w:rPr>
                <w:sz w:val="2"/>
                <w:szCs w:val="2"/>
                <w:color w:val="auto"/>
              </w:rPr>
            </w:pPr>
          </w:p>
        </w:tc>
        <w:tc>
          <w:tcPr>
            <w:tcW w:w="140" w:type="dxa"/>
            <w:vAlign w:val="bottom"/>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280" w:type="dxa"/>
            <w:vAlign w:val="bottom"/>
            <w:shd w:val="clear" w:color="auto" w:fill="0000EE"/>
          </w:tcPr>
          <w:p>
            <w:pPr>
              <w:spacing w:after="0"/>
              <w:rPr>
                <w:sz w:val="2"/>
                <w:szCs w:val="2"/>
                <w:color w:val="auto"/>
              </w:rPr>
            </w:pPr>
          </w:p>
        </w:tc>
        <w:tc>
          <w:tcPr>
            <w:tcW w:w="140" w:type="dxa"/>
            <w:vAlign w:val="bottom"/>
            <w:tcBorders>
              <w:left w:val="single" w:sz="8" w:color="0000EE"/>
            </w:tcBorders>
            <w:shd w:val="clear" w:color="auto" w:fill="0000EE"/>
          </w:tcPr>
          <w:p>
            <w:pPr>
              <w:spacing w:after="0"/>
              <w:rPr>
                <w:sz w:val="2"/>
                <w:szCs w:val="2"/>
                <w:color w:val="auto"/>
              </w:rPr>
            </w:pPr>
          </w:p>
        </w:tc>
        <w:tc>
          <w:tcPr>
            <w:tcW w:w="80" w:type="dxa"/>
            <w:vAlign w:val="bottom"/>
            <w:tcBorders>
              <w:left w:val="single" w:sz="8" w:color="0000EE"/>
            </w:tcBorders>
            <w:shd w:val="clear" w:color="auto" w:fill="0000EE"/>
          </w:tcPr>
          <w:p>
            <w:pPr>
              <w:spacing w:after="0"/>
              <w:rPr>
                <w:sz w:val="2"/>
                <w:szCs w:val="2"/>
                <w:color w:val="auto"/>
              </w:rPr>
            </w:pPr>
          </w:p>
        </w:tc>
        <w:tc>
          <w:tcPr>
            <w:tcW w:w="160" w:type="dxa"/>
            <w:vAlign w:val="bottom"/>
            <w:shd w:val="clear" w:color="auto" w:fill="0000EE"/>
          </w:tcPr>
          <w:p>
            <w:pPr>
              <w:spacing w:after="0"/>
              <w:rPr>
                <w:sz w:val="2"/>
                <w:szCs w:val="2"/>
                <w:color w:val="auto"/>
              </w:rPr>
            </w:pPr>
          </w:p>
        </w:tc>
        <w:tc>
          <w:tcPr>
            <w:tcW w:w="180" w:type="dxa"/>
            <w:vAlign w:val="bottom"/>
            <w:shd w:val="clear" w:color="auto" w:fill="0000EE"/>
          </w:tcPr>
          <w:p>
            <w:pPr>
              <w:spacing w:after="0"/>
              <w:rPr>
                <w:sz w:val="2"/>
                <w:szCs w:val="2"/>
                <w:color w:val="auto"/>
              </w:rPr>
            </w:pPr>
          </w:p>
        </w:tc>
        <w:tc>
          <w:tcPr>
            <w:tcW w:w="200" w:type="dxa"/>
            <w:vAlign w:val="bottom"/>
            <w:shd w:val="clear" w:color="auto" w:fill="0000EE"/>
          </w:tcPr>
          <w:p>
            <w:pPr>
              <w:spacing w:after="0"/>
              <w:rPr>
                <w:sz w:val="2"/>
                <w:szCs w:val="2"/>
                <w:color w:val="auto"/>
              </w:rPr>
            </w:pPr>
          </w:p>
        </w:tc>
        <w:tc>
          <w:tcPr>
            <w:tcW w:w="20" w:type="dxa"/>
            <w:vAlign w:val="bottom"/>
            <w:shd w:val="clear" w:color="auto" w:fill="0000EE"/>
          </w:tcPr>
          <w:p>
            <w:pPr>
              <w:spacing w:after="0"/>
              <w:rPr>
                <w:sz w:val="2"/>
                <w:szCs w:val="2"/>
                <w:color w:val="auto"/>
              </w:rPr>
            </w:pPr>
          </w:p>
        </w:tc>
        <w:tc>
          <w:tcPr>
            <w:tcW w:w="4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20" w:type="dxa"/>
            <w:vAlign w:val="bottom"/>
            <w:shd w:val="clear" w:color="auto" w:fill="0000EE"/>
          </w:tcPr>
          <w:p>
            <w:pPr>
              <w:spacing w:after="0"/>
              <w:rPr>
                <w:sz w:val="2"/>
                <w:szCs w:val="2"/>
                <w:color w:val="auto"/>
              </w:rPr>
            </w:pPr>
          </w:p>
        </w:tc>
        <w:tc>
          <w:tcPr>
            <w:tcW w:w="200" w:type="dxa"/>
            <w:vAlign w:val="bottom"/>
            <w:shd w:val="clear" w:color="auto" w:fill="0000EE"/>
          </w:tcPr>
          <w:p>
            <w:pPr>
              <w:spacing w:after="0"/>
              <w:rPr>
                <w:sz w:val="2"/>
                <w:szCs w:val="2"/>
                <w:color w:val="auto"/>
              </w:rPr>
            </w:pPr>
          </w:p>
        </w:tc>
        <w:tc>
          <w:tcPr>
            <w:tcW w:w="240" w:type="dxa"/>
            <w:vAlign w:val="bottom"/>
            <w:shd w:val="clear" w:color="auto" w:fill="0000EE"/>
          </w:tcPr>
          <w:p>
            <w:pPr>
              <w:spacing w:after="0"/>
              <w:rPr>
                <w:sz w:val="2"/>
                <w:szCs w:val="2"/>
                <w:color w:val="auto"/>
              </w:rPr>
            </w:pPr>
          </w:p>
        </w:tc>
        <w:tc>
          <w:tcPr>
            <w:tcW w:w="320" w:type="dxa"/>
            <w:vAlign w:val="bottom"/>
            <w:shd w:val="clear" w:color="auto" w:fill="0000EE"/>
          </w:tcPr>
          <w:p>
            <w:pPr>
              <w:spacing w:after="0"/>
              <w:rPr>
                <w:sz w:val="2"/>
                <w:szCs w:val="2"/>
                <w:color w:val="auto"/>
              </w:rPr>
            </w:pPr>
          </w:p>
        </w:tc>
        <w:tc>
          <w:tcPr>
            <w:tcW w:w="360" w:type="dxa"/>
            <w:vAlign w:val="bottom"/>
            <w:shd w:val="clear" w:color="auto" w:fill="0000EE"/>
          </w:tcPr>
          <w:p>
            <w:pPr>
              <w:spacing w:after="0"/>
              <w:rPr>
                <w:sz w:val="2"/>
                <w:szCs w:val="2"/>
                <w:color w:val="auto"/>
              </w:rPr>
            </w:pPr>
          </w:p>
        </w:tc>
        <w:tc>
          <w:tcPr>
            <w:tcW w:w="240" w:type="dxa"/>
            <w:vAlign w:val="bottom"/>
            <w:shd w:val="clear" w:color="auto" w:fill="0000EE"/>
          </w:tcPr>
          <w:p>
            <w:pPr>
              <w:spacing w:after="0"/>
              <w:rPr>
                <w:sz w:val="2"/>
                <w:szCs w:val="2"/>
                <w:color w:val="auto"/>
              </w:rPr>
            </w:pPr>
          </w:p>
        </w:tc>
        <w:tc>
          <w:tcPr>
            <w:tcW w:w="220" w:type="dxa"/>
            <w:vAlign w:val="bottom"/>
            <w:shd w:val="clear" w:color="auto" w:fill="0000EE"/>
          </w:tcPr>
          <w:p>
            <w:pPr>
              <w:spacing w:after="0"/>
              <w:rPr>
                <w:sz w:val="2"/>
                <w:szCs w:val="2"/>
                <w:color w:val="auto"/>
              </w:rPr>
            </w:pPr>
          </w:p>
        </w:tc>
        <w:tc>
          <w:tcPr>
            <w:tcW w:w="100" w:type="dxa"/>
            <w:vAlign w:val="bottom"/>
          </w:tcPr>
          <w:p>
            <w:pPr>
              <w:spacing w:after="0"/>
              <w:rPr>
                <w:sz w:val="2"/>
                <w:szCs w:val="2"/>
                <w:color w:val="auto"/>
              </w:rPr>
            </w:pPr>
          </w:p>
        </w:tc>
        <w:tc>
          <w:tcPr>
            <w:tcW w:w="320" w:type="dxa"/>
            <w:vAlign w:val="bottom"/>
          </w:tcPr>
          <w:p>
            <w:pPr>
              <w:spacing w:after="0"/>
              <w:rPr>
                <w:sz w:val="2"/>
                <w:szCs w:val="2"/>
                <w:color w:val="auto"/>
              </w:rPr>
            </w:pPr>
          </w:p>
        </w:tc>
        <w:tc>
          <w:tcPr>
            <w:tcW w:w="640" w:type="dxa"/>
            <w:vAlign w:val="bottom"/>
          </w:tcPr>
          <w:p>
            <w:pPr>
              <w:spacing w:after="0"/>
              <w:rPr>
                <w:sz w:val="2"/>
                <w:szCs w:val="2"/>
                <w:color w:val="auto"/>
              </w:rPr>
            </w:pPr>
          </w:p>
        </w:tc>
        <w:tc>
          <w:tcPr>
            <w:tcW w:w="2940" w:type="dxa"/>
            <w:vAlign w:val="bottom"/>
          </w:tcPr>
          <w:p>
            <w:pPr>
              <w:spacing w:after="0"/>
              <w:rPr>
                <w:sz w:val="2"/>
                <w:szCs w:val="2"/>
                <w:color w:val="auto"/>
              </w:rPr>
            </w:pPr>
          </w:p>
        </w:tc>
        <w:tc>
          <w:tcPr>
            <w:tcW w:w="2960" w:type="dxa"/>
            <w:vAlign w:val="bottom"/>
          </w:tcPr>
          <w:p>
            <w:pPr>
              <w:spacing w:after="0"/>
              <w:rPr>
                <w:sz w:val="2"/>
                <w:szCs w:val="2"/>
                <w:color w:val="auto"/>
              </w:rPr>
            </w:pPr>
          </w:p>
        </w:tc>
        <w:tc>
          <w:tcPr>
            <w:tcW w:w="200" w:type="dxa"/>
            <w:vAlign w:val="bottom"/>
            <w:shd w:val="clear" w:color="auto" w:fill="0000EE"/>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34"/>
        </w:trPr>
        <w:tc>
          <w:tcPr>
            <w:tcW w:w="20" w:type="dxa"/>
            <w:vAlign w:val="bottom"/>
            <w:vMerge w:val="continue"/>
          </w:tcPr>
          <w:p>
            <w:pPr>
              <w:spacing w:after="0"/>
              <w:rPr>
                <w:sz w:val="11"/>
                <w:szCs w:val="11"/>
                <w:color w:val="auto"/>
              </w:rPr>
            </w:pPr>
          </w:p>
        </w:tc>
        <w:tc>
          <w:tcPr>
            <w:tcW w:w="500" w:type="dxa"/>
            <w:vAlign w:val="bottom"/>
            <w:tcBorders>
              <w:left w:val="single" w:sz="8" w:color="CCEEFF"/>
            </w:tcBorders>
            <w:gridSpan w:val="3"/>
            <w:shd w:val="clear" w:color="auto" w:fill="CCEEFF"/>
          </w:tcPr>
          <w:p>
            <w:pPr>
              <w:spacing w:after="0" w:line="125" w:lineRule="exact"/>
              <w:rPr>
                <w:rFonts w:ascii="Arial" w:cs="Arial" w:eastAsia="Arial" w:hAnsi="Arial"/>
                <w:sz w:val="13"/>
                <w:szCs w:val="13"/>
                <w:color w:val="0000EE"/>
                <w:w w:val="86"/>
              </w:rPr>
            </w:pPr>
            <w:hyperlink w:anchor="page120">
              <w:r>
                <w:rPr>
                  <w:rFonts w:ascii="Arial" w:cs="Arial" w:eastAsia="Arial" w:hAnsi="Arial"/>
                  <w:sz w:val="13"/>
                  <w:szCs w:val="13"/>
                  <w:color w:val="0000EE"/>
                  <w:w w:val="86"/>
                </w:rPr>
                <w:t>Item 16E.</w:t>
              </w:r>
            </w:hyperlink>
          </w:p>
        </w:tc>
        <w:tc>
          <w:tcPr>
            <w:tcW w:w="6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160" w:type="dxa"/>
            <w:vAlign w:val="bottom"/>
            <w:gridSpan w:val="22"/>
            <w:shd w:val="clear" w:color="auto" w:fill="CCEEFF"/>
          </w:tcPr>
          <w:p>
            <w:pPr>
              <w:spacing w:after="0" w:line="125" w:lineRule="exact"/>
              <w:rPr>
                <w:rFonts w:ascii="Arial" w:cs="Arial" w:eastAsia="Arial" w:hAnsi="Arial"/>
                <w:sz w:val="13"/>
                <w:szCs w:val="13"/>
                <w:color w:val="0000EE"/>
              </w:rPr>
            </w:pPr>
            <w:hyperlink w:anchor="page120">
              <w:r>
                <w:rPr>
                  <w:rFonts w:ascii="Arial" w:cs="Arial" w:eastAsia="Arial" w:hAnsi="Arial"/>
                  <w:sz w:val="13"/>
                  <w:szCs w:val="13"/>
                  <w:color w:val="0000EE"/>
                </w:rPr>
                <w:t>Purchases of Equity Securities by the Issuer and Affiliated Purchasers</w:t>
              </w:r>
            </w:hyperlink>
          </w:p>
        </w:tc>
        <w:tc>
          <w:tcPr>
            <w:tcW w:w="3160" w:type="dxa"/>
            <w:vAlign w:val="bottom"/>
            <w:gridSpan w:val="2"/>
            <w:shd w:val="clear" w:color="auto" w:fill="CCEEFF"/>
          </w:tcPr>
          <w:p>
            <w:pPr>
              <w:jc w:val="right"/>
              <w:spacing w:after="0" w:line="125" w:lineRule="exact"/>
              <w:rPr>
                <w:rFonts w:ascii="Arial" w:cs="Arial" w:eastAsia="Arial" w:hAnsi="Arial"/>
                <w:sz w:val="13"/>
                <w:szCs w:val="13"/>
                <w:color w:val="0000EE"/>
              </w:rPr>
            </w:pPr>
            <w:hyperlink w:anchor="page120">
              <w:r>
                <w:rPr>
                  <w:rFonts w:ascii="Arial" w:cs="Arial" w:eastAsia="Arial" w:hAnsi="Arial"/>
                  <w:sz w:val="13"/>
                  <w:szCs w:val="13"/>
                  <w:color w:val="0000EE"/>
                </w:rPr>
                <w:t>118</w:t>
              </w:r>
            </w:hyperlink>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25"/>
        </w:trPr>
        <w:tc>
          <w:tcPr>
            <w:tcW w:w="20" w:type="dxa"/>
            <w:vAlign w:val="bottom"/>
          </w:tcPr>
          <w:p>
            <w:pPr>
              <w:spacing w:after="0"/>
              <w:rPr>
                <w:sz w:val="10"/>
                <w:szCs w:val="10"/>
                <w:color w:val="auto"/>
              </w:rPr>
            </w:pPr>
          </w:p>
        </w:tc>
        <w:tc>
          <w:tcPr>
            <w:tcW w:w="420" w:type="dxa"/>
            <w:vAlign w:val="bottom"/>
            <w:tcBorders>
              <w:top w:val="single" w:sz="8" w:color="0000EE"/>
            </w:tcBorders>
            <w:gridSpan w:val="2"/>
          </w:tcPr>
          <w:p>
            <w:pPr>
              <w:spacing w:after="0" w:line="125" w:lineRule="exact"/>
              <w:rPr>
                <w:rFonts w:ascii="Arial" w:cs="Arial" w:eastAsia="Arial" w:hAnsi="Arial"/>
                <w:sz w:val="12"/>
                <w:szCs w:val="12"/>
                <w:color w:val="0000EE"/>
                <w:w w:val="74"/>
              </w:rPr>
            </w:pPr>
            <w:hyperlink w:anchor="page120">
              <w:r>
                <w:rPr>
                  <w:rFonts w:ascii="Arial" w:cs="Arial" w:eastAsia="Arial" w:hAnsi="Arial"/>
                  <w:sz w:val="12"/>
                  <w:szCs w:val="12"/>
                  <w:color w:val="0000EE"/>
                  <w:w w:val="74"/>
                </w:rPr>
                <w:t>Item 16F.</w:t>
              </w:r>
            </w:hyperlink>
          </w:p>
        </w:tc>
        <w:tc>
          <w:tcPr>
            <w:tcW w:w="140" w:type="dxa"/>
            <w:vAlign w:val="bottom"/>
            <w:tcBorders>
              <w:top w:val="single" w:sz="8" w:color="CCEEFF"/>
            </w:tcBorders>
            <w:gridSpan w:val="2"/>
          </w:tcPr>
          <w:p>
            <w:pPr>
              <w:spacing w:after="0"/>
              <w:rPr>
                <w:sz w:val="10"/>
                <w:szCs w:val="10"/>
                <w:color w:val="auto"/>
              </w:rPr>
            </w:pPr>
          </w:p>
        </w:tc>
        <w:tc>
          <w:tcPr>
            <w:tcW w:w="440" w:type="dxa"/>
            <w:vAlign w:val="bottom"/>
            <w:tcBorders>
              <w:top w:val="single" w:sz="8" w:color="CCEEFF"/>
            </w:tcBorders>
          </w:tcPr>
          <w:p>
            <w:pPr>
              <w:spacing w:after="0"/>
              <w:rPr>
                <w:sz w:val="10"/>
                <w:szCs w:val="10"/>
                <w:color w:val="auto"/>
              </w:rPr>
            </w:pPr>
          </w:p>
        </w:tc>
        <w:tc>
          <w:tcPr>
            <w:tcW w:w="140" w:type="dxa"/>
            <w:vAlign w:val="bottom"/>
            <w:tcBorders>
              <w:top w:val="single" w:sz="8" w:color="CCEEFF"/>
            </w:tcBorders>
          </w:tcPr>
          <w:p>
            <w:pPr>
              <w:spacing w:after="0"/>
              <w:rPr>
                <w:sz w:val="10"/>
                <w:szCs w:val="10"/>
                <w:color w:val="auto"/>
              </w:rPr>
            </w:pPr>
          </w:p>
        </w:tc>
        <w:tc>
          <w:tcPr>
            <w:tcW w:w="3580" w:type="dxa"/>
            <w:vAlign w:val="bottom"/>
            <w:tcBorders>
              <w:top w:val="single" w:sz="8" w:color="0000EE"/>
            </w:tcBorders>
            <w:gridSpan w:val="20"/>
          </w:tcPr>
          <w:p>
            <w:pPr>
              <w:spacing w:after="0" w:line="125" w:lineRule="exact"/>
              <w:rPr>
                <w:rFonts w:ascii="Arial" w:cs="Arial" w:eastAsia="Arial" w:hAnsi="Arial"/>
                <w:sz w:val="13"/>
                <w:szCs w:val="13"/>
                <w:color w:val="0000EE"/>
              </w:rPr>
            </w:pPr>
            <w:hyperlink w:anchor="page120">
              <w:r>
                <w:rPr>
                  <w:rFonts w:ascii="Arial" w:cs="Arial" w:eastAsia="Arial" w:hAnsi="Arial"/>
                  <w:sz w:val="13"/>
                  <w:szCs w:val="13"/>
                  <w:color w:val="0000EE"/>
                </w:rPr>
                <w:t>Change in Registrant’s Certifying Accountant</w:t>
              </w:r>
            </w:hyperlink>
          </w:p>
        </w:tc>
        <w:tc>
          <w:tcPr>
            <w:tcW w:w="3580" w:type="dxa"/>
            <w:vAlign w:val="bottom"/>
            <w:tcBorders>
              <w:top w:val="single" w:sz="8" w:color="CCEEFF"/>
            </w:tcBorders>
            <w:gridSpan w:val="2"/>
          </w:tcPr>
          <w:p>
            <w:pPr>
              <w:spacing w:after="0"/>
              <w:rPr>
                <w:sz w:val="10"/>
                <w:szCs w:val="10"/>
                <w:color w:val="auto"/>
              </w:rPr>
            </w:pPr>
          </w:p>
        </w:tc>
        <w:tc>
          <w:tcPr>
            <w:tcW w:w="2960" w:type="dxa"/>
            <w:vAlign w:val="bottom"/>
            <w:tcBorders>
              <w:top w:val="single" w:sz="8" w:color="CCEEFF"/>
            </w:tcBorders>
          </w:tcPr>
          <w:p>
            <w:pPr>
              <w:spacing w:after="0"/>
              <w:rPr>
                <w:sz w:val="10"/>
                <w:szCs w:val="10"/>
                <w:color w:val="auto"/>
              </w:rPr>
            </w:pPr>
          </w:p>
        </w:tc>
        <w:tc>
          <w:tcPr>
            <w:tcW w:w="200" w:type="dxa"/>
            <w:vAlign w:val="bottom"/>
            <w:tcBorders>
              <w:top w:val="single" w:sz="8" w:color="0000EE"/>
            </w:tcBorders>
          </w:tcPr>
          <w:p>
            <w:pPr>
              <w:jc w:val="right"/>
              <w:spacing w:after="0" w:line="125" w:lineRule="exact"/>
              <w:rPr>
                <w:rFonts w:ascii="Arial" w:cs="Arial" w:eastAsia="Arial" w:hAnsi="Arial"/>
                <w:sz w:val="13"/>
                <w:szCs w:val="13"/>
                <w:color w:val="0000EE"/>
                <w:w w:val="82"/>
              </w:rPr>
            </w:pPr>
            <w:hyperlink w:anchor="page120">
              <w:r>
                <w:rPr>
                  <w:rFonts w:ascii="Arial" w:cs="Arial" w:eastAsia="Arial" w:hAnsi="Arial"/>
                  <w:sz w:val="13"/>
                  <w:szCs w:val="13"/>
                  <w:color w:val="0000EE"/>
                  <w:w w:val="82"/>
                </w:rPr>
                <w:t>118</w:t>
              </w:r>
            </w:hyperlink>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vMerge w:val="restart"/>
          </w:tcPr>
          <w:p>
            <w:pPr>
              <w:spacing w:after="0"/>
              <w:rPr>
                <w:sz w:val="2"/>
                <w:szCs w:val="2"/>
                <w:color w:val="auto"/>
              </w:rPr>
            </w:pPr>
          </w:p>
        </w:tc>
        <w:tc>
          <w:tcPr>
            <w:tcW w:w="80" w:type="dxa"/>
            <w:vAlign w:val="bottom"/>
            <w:tcBorders>
              <w:left w:val="single" w:sz="8" w:color="0000EE"/>
            </w:tcBorders>
            <w:shd w:val="clear" w:color="auto" w:fill="0000EE"/>
          </w:tcPr>
          <w:p>
            <w:pPr>
              <w:spacing w:after="0"/>
              <w:rPr>
                <w:sz w:val="2"/>
                <w:szCs w:val="2"/>
                <w:color w:val="auto"/>
              </w:rPr>
            </w:pPr>
          </w:p>
        </w:tc>
        <w:tc>
          <w:tcPr>
            <w:tcW w:w="340" w:type="dxa"/>
            <w:vAlign w:val="bottom"/>
            <w:tcBorders>
              <w:left w:val="single" w:sz="8" w:color="0000EE"/>
            </w:tcBorders>
            <w:shd w:val="clear" w:color="auto" w:fill="0000EE"/>
          </w:tcPr>
          <w:p>
            <w:pPr>
              <w:spacing w:after="0"/>
              <w:rPr>
                <w:sz w:val="2"/>
                <w:szCs w:val="2"/>
                <w:color w:val="auto"/>
              </w:rPr>
            </w:pPr>
          </w:p>
        </w:tc>
        <w:tc>
          <w:tcPr>
            <w:tcW w:w="80" w:type="dxa"/>
            <w:vAlign w:val="bottom"/>
          </w:tcPr>
          <w:p>
            <w:pPr>
              <w:spacing w:after="0"/>
              <w:rPr>
                <w:sz w:val="2"/>
                <w:szCs w:val="2"/>
                <w:color w:val="auto"/>
              </w:rPr>
            </w:pPr>
          </w:p>
        </w:tc>
        <w:tc>
          <w:tcPr>
            <w:tcW w:w="60" w:type="dxa"/>
            <w:vAlign w:val="bottom"/>
          </w:tcPr>
          <w:p>
            <w:pPr>
              <w:spacing w:after="0"/>
              <w:rPr>
                <w:sz w:val="2"/>
                <w:szCs w:val="2"/>
                <w:color w:val="auto"/>
              </w:rPr>
            </w:pPr>
          </w:p>
        </w:tc>
        <w:tc>
          <w:tcPr>
            <w:tcW w:w="440" w:type="dxa"/>
            <w:vAlign w:val="bottom"/>
          </w:tcPr>
          <w:p>
            <w:pPr>
              <w:spacing w:after="0"/>
              <w:rPr>
                <w:sz w:val="2"/>
                <w:szCs w:val="2"/>
                <w:color w:val="auto"/>
              </w:rPr>
            </w:pPr>
          </w:p>
        </w:tc>
        <w:tc>
          <w:tcPr>
            <w:tcW w:w="140" w:type="dxa"/>
            <w:vAlign w:val="bottom"/>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280" w:type="dxa"/>
            <w:vAlign w:val="bottom"/>
            <w:shd w:val="clear" w:color="auto" w:fill="0000EE"/>
          </w:tcPr>
          <w:p>
            <w:pPr>
              <w:spacing w:after="0"/>
              <w:rPr>
                <w:sz w:val="2"/>
                <w:szCs w:val="2"/>
                <w:color w:val="auto"/>
              </w:rPr>
            </w:pPr>
          </w:p>
        </w:tc>
        <w:tc>
          <w:tcPr>
            <w:tcW w:w="140" w:type="dxa"/>
            <w:vAlign w:val="bottom"/>
            <w:tcBorders>
              <w:left w:val="single" w:sz="8" w:color="0000EE"/>
            </w:tcBorders>
            <w:shd w:val="clear" w:color="auto" w:fill="0000EE"/>
          </w:tcPr>
          <w:p>
            <w:pPr>
              <w:spacing w:after="0"/>
              <w:rPr>
                <w:sz w:val="2"/>
                <w:szCs w:val="2"/>
                <w:color w:val="auto"/>
              </w:rPr>
            </w:pPr>
          </w:p>
        </w:tc>
        <w:tc>
          <w:tcPr>
            <w:tcW w:w="80" w:type="dxa"/>
            <w:vAlign w:val="bottom"/>
            <w:tcBorders>
              <w:left w:val="single" w:sz="8" w:color="0000EE"/>
            </w:tcBorders>
            <w:shd w:val="clear" w:color="auto" w:fill="0000EE"/>
          </w:tcPr>
          <w:p>
            <w:pPr>
              <w:spacing w:after="0"/>
              <w:rPr>
                <w:sz w:val="2"/>
                <w:szCs w:val="2"/>
                <w:color w:val="auto"/>
              </w:rPr>
            </w:pPr>
          </w:p>
        </w:tc>
        <w:tc>
          <w:tcPr>
            <w:tcW w:w="160" w:type="dxa"/>
            <w:vAlign w:val="bottom"/>
            <w:shd w:val="clear" w:color="auto" w:fill="0000EE"/>
          </w:tcPr>
          <w:p>
            <w:pPr>
              <w:spacing w:after="0"/>
              <w:rPr>
                <w:sz w:val="2"/>
                <w:szCs w:val="2"/>
                <w:color w:val="auto"/>
              </w:rPr>
            </w:pPr>
          </w:p>
        </w:tc>
        <w:tc>
          <w:tcPr>
            <w:tcW w:w="180" w:type="dxa"/>
            <w:vAlign w:val="bottom"/>
            <w:shd w:val="clear" w:color="auto" w:fill="0000EE"/>
          </w:tcPr>
          <w:p>
            <w:pPr>
              <w:spacing w:after="0"/>
              <w:rPr>
                <w:sz w:val="2"/>
                <w:szCs w:val="2"/>
                <w:color w:val="auto"/>
              </w:rPr>
            </w:pPr>
          </w:p>
        </w:tc>
        <w:tc>
          <w:tcPr>
            <w:tcW w:w="200" w:type="dxa"/>
            <w:vAlign w:val="bottom"/>
            <w:shd w:val="clear" w:color="auto" w:fill="0000EE"/>
          </w:tcPr>
          <w:p>
            <w:pPr>
              <w:spacing w:after="0"/>
              <w:rPr>
                <w:sz w:val="2"/>
                <w:szCs w:val="2"/>
                <w:color w:val="auto"/>
              </w:rPr>
            </w:pPr>
          </w:p>
        </w:tc>
        <w:tc>
          <w:tcPr>
            <w:tcW w:w="20" w:type="dxa"/>
            <w:vAlign w:val="bottom"/>
            <w:shd w:val="clear" w:color="auto" w:fill="0000EE"/>
          </w:tcPr>
          <w:p>
            <w:pPr>
              <w:spacing w:after="0"/>
              <w:rPr>
                <w:sz w:val="2"/>
                <w:szCs w:val="2"/>
                <w:color w:val="auto"/>
              </w:rPr>
            </w:pPr>
          </w:p>
        </w:tc>
        <w:tc>
          <w:tcPr>
            <w:tcW w:w="4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80" w:type="dxa"/>
            <w:vAlign w:val="bottom"/>
            <w:shd w:val="clear" w:color="auto" w:fill="0000EE"/>
          </w:tcPr>
          <w:p>
            <w:pPr>
              <w:spacing w:after="0"/>
              <w:rPr>
                <w:sz w:val="2"/>
                <w:szCs w:val="2"/>
                <w:color w:val="auto"/>
              </w:rPr>
            </w:pPr>
          </w:p>
        </w:tc>
        <w:tc>
          <w:tcPr>
            <w:tcW w:w="220" w:type="dxa"/>
            <w:vAlign w:val="bottom"/>
            <w:shd w:val="clear" w:color="auto" w:fill="0000EE"/>
          </w:tcPr>
          <w:p>
            <w:pPr>
              <w:spacing w:after="0"/>
              <w:rPr>
                <w:sz w:val="2"/>
                <w:szCs w:val="2"/>
                <w:color w:val="auto"/>
              </w:rPr>
            </w:pPr>
          </w:p>
        </w:tc>
        <w:tc>
          <w:tcPr>
            <w:tcW w:w="200" w:type="dxa"/>
            <w:vAlign w:val="bottom"/>
            <w:shd w:val="clear" w:color="auto" w:fill="0000EE"/>
          </w:tcPr>
          <w:p>
            <w:pPr>
              <w:spacing w:after="0"/>
              <w:rPr>
                <w:sz w:val="2"/>
                <w:szCs w:val="2"/>
                <w:color w:val="auto"/>
              </w:rPr>
            </w:pPr>
          </w:p>
        </w:tc>
        <w:tc>
          <w:tcPr>
            <w:tcW w:w="240" w:type="dxa"/>
            <w:vAlign w:val="bottom"/>
            <w:shd w:val="clear" w:color="auto" w:fill="0000EE"/>
          </w:tcPr>
          <w:p>
            <w:pPr>
              <w:spacing w:after="0"/>
              <w:rPr>
                <w:sz w:val="2"/>
                <w:szCs w:val="2"/>
                <w:color w:val="auto"/>
              </w:rPr>
            </w:pPr>
          </w:p>
        </w:tc>
        <w:tc>
          <w:tcPr>
            <w:tcW w:w="320" w:type="dxa"/>
            <w:vAlign w:val="bottom"/>
            <w:shd w:val="clear" w:color="auto" w:fill="0000EE"/>
          </w:tcPr>
          <w:p>
            <w:pPr>
              <w:spacing w:after="0"/>
              <w:rPr>
                <w:sz w:val="2"/>
                <w:szCs w:val="2"/>
                <w:color w:val="auto"/>
              </w:rPr>
            </w:pPr>
          </w:p>
        </w:tc>
        <w:tc>
          <w:tcPr>
            <w:tcW w:w="360" w:type="dxa"/>
            <w:vAlign w:val="bottom"/>
          </w:tcPr>
          <w:p>
            <w:pPr>
              <w:spacing w:after="0"/>
              <w:rPr>
                <w:sz w:val="2"/>
                <w:szCs w:val="2"/>
                <w:color w:val="auto"/>
              </w:rPr>
            </w:pPr>
          </w:p>
        </w:tc>
        <w:tc>
          <w:tcPr>
            <w:tcW w:w="240" w:type="dxa"/>
            <w:vAlign w:val="bottom"/>
          </w:tcPr>
          <w:p>
            <w:pPr>
              <w:spacing w:after="0"/>
              <w:rPr>
                <w:sz w:val="2"/>
                <w:szCs w:val="2"/>
                <w:color w:val="auto"/>
              </w:rPr>
            </w:pPr>
          </w:p>
        </w:tc>
        <w:tc>
          <w:tcPr>
            <w:tcW w:w="220" w:type="dxa"/>
            <w:vAlign w:val="bottom"/>
          </w:tcPr>
          <w:p>
            <w:pPr>
              <w:spacing w:after="0"/>
              <w:rPr>
                <w:sz w:val="2"/>
                <w:szCs w:val="2"/>
                <w:color w:val="auto"/>
              </w:rPr>
            </w:pPr>
          </w:p>
        </w:tc>
        <w:tc>
          <w:tcPr>
            <w:tcW w:w="100" w:type="dxa"/>
            <w:vAlign w:val="bottom"/>
          </w:tcPr>
          <w:p>
            <w:pPr>
              <w:spacing w:after="0"/>
              <w:rPr>
                <w:sz w:val="2"/>
                <w:szCs w:val="2"/>
                <w:color w:val="auto"/>
              </w:rPr>
            </w:pPr>
          </w:p>
        </w:tc>
        <w:tc>
          <w:tcPr>
            <w:tcW w:w="320" w:type="dxa"/>
            <w:vAlign w:val="bottom"/>
          </w:tcPr>
          <w:p>
            <w:pPr>
              <w:spacing w:after="0"/>
              <w:rPr>
                <w:sz w:val="2"/>
                <w:szCs w:val="2"/>
                <w:color w:val="auto"/>
              </w:rPr>
            </w:pPr>
          </w:p>
        </w:tc>
        <w:tc>
          <w:tcPr>
            <w:tcW w:w="640" w:type="dxa"/>
            <w:vAlign w:val="bottom"/>
          </w:tcPr>
          <w:p>
            <w:pPr>
              <w:spacing w:after="0"/>
              <w:rPr>
                <w:sz w:val="2"/>
                <w:szCs w:val="2"/>
                <w:color w:val="auto"/>
              </w:rPr>
            </w:pPr>
          </w:p>
        </w:tc>
        <w:tc>
          <w:tcPr>
            <w:tcW w:w="2940" w:type="dxa"/>
            <w:vAlign w:val="bottom"/>
          </w:tcPr>
          <w:p>
            <w:pPr>
              <w:spacing w:after="0"/>
              <w:rPr>
                <w:sz w:val="2"/>
                <w:szCs w:val="2"/>
                <w:color w:val="auto"/>
              </w:rPr>
            </w:pPr>
          </w:p>
        </w:tc>
        <w:tc>
          <w:tcPr>
            <w:tcW w:w="2960" w:type="dxa"/>
            <w:vAlign w:val="bottom"/>
          </w:tcPr>
          <w:p>
            <w:pPr>
              <w:spacing w:after="0"/>
              <w:rPr>
                <w:sz w:val="2"/>
                <w:szCs w:val="2"/>
                <w:color w:val="auto"/>
              </w:rPr>
            </w:pPr>
          </w:p>
        </w:tc>
        <w:tc>
          <w:tcPr>
            <w:tcW w:w="200" w:type="dxa"/>
            <w:vAlign w:val="bottom"/>
            <w:shd w:val="clear" w:color="auto" w:fill="0000EE"/>
          </w:tcPr>
          <w:p>
            <w:pPr>
              <w:spacing w:after="0"/>
              <w:rPr>
                <w:sz w:val="2"/>
                <w:szCs w:val="2"/>
                <w:color w:val="auto"/>
              </w:rPr>
            </w:pPr>
          </w:p>
        </w:tc>
        <w:tc>
          <w:tcPr>
            <w:tcW w:w="20" w:type="dxa"/>
            <w:vAlign w:val="bottom"/>
            <w:vMerge w:val="restart"/>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34"/>
        </w:trPr>
        <w:tc>
          <w:tcPr>
            <w:tcW w:w="20" w:type="dxa"/>
            <w:vAlign w:val="bottom"/>
            <w:vMerge w:val="continue"/>
          </w:tcPr>
          <w:p>
            <w:pPr>
              <w:spacing w:after="0"/>
              <w:rPr>
                <w:sz w:val="11"/>
                <w:szCs w:val="11"/>
                <w:color w:val="auto"/>
              </w:rPr>
            </w:pPr>
          </w:p>
        </w:tc>
        <w:tc>
          <w:tcPr>
            <w:tcW w:w="500" w:type="dxa"/>
            <w:vAlign w:val="bottom"/>
            <w:tcBorders>
              <w:left w:val="single" w:sz="8" w:color="CCEEFF"/>
              <w:bottom w:val="single" w:sz="8" w:color="0000EE"/>
            </w:tcBorders>
            <w:gridSpan w:val="3"/>
            <w:shd w:val="clear" w:color="auto" w:fill="CCEEFF"/>
          </w:tcPr>
          <w:p>
            <w:pPr>
              <w:spacing w:after="0" w:line="125" w:lineRule="exact"/>
              <w:rPr>
                <w:rFonts w:ascii="Arial" w:cs="Arial" w:eastAsia="Arial" w:hAnsi="Arial"/>
                <w:sz w:val="13"/>
                <w:szCs w:val="13"/>
                <w:color w:val="0000EE"/>
                <w:w w:val="83"/>
              </w:rPr>
            </w:pPr>
            <w:hyperlink w:anchor="page121">
              <w:r>
                <w:rPr>
                  <w:rFonts w:ascii="Arial" w:cs="Arial" w:eastAsia="Arial" w:hAnsi="Arial"/>
                  <w:sz w:val="13"/>
                  <w:szCs w:val="13"/>
                  <w:color w:val="0000EE"/>
                  <w:w w:val="83"/>
                </w:rPr>
                <w:t>Item 16G.</w:t>
              </w:r>
            </w:hyperlink>
          </w:p>
        </w:tc>
        <w:tc>
          <w:tcPr>
            <w:tcW w:w="60" w:type="dxa"/>
            <w:vAlign w:val="bottom"/>
            <w:tcBorders>
              <w:bottom w:val="single" w:sz="8" w:color="CCEEFF"/>
            </w:tcBorders>
            <w:shd w:val="clear" w:color="auto" w:fill="CCEEFF"/>
          </w:tcPr>
          <w:p>
            <w:pPr>
              <w:spacing w:after="0"/>
              <w:rPr>
                <w:sz w:val="11"/>
                <w:szCs w:val="11"/>
                <w:color w:val="auto"/>
              </w:rPr>
            </w:pPr>
          </w:p>
        </w:tc>
        <w:tc>
          <w:tcPr>
            <w:tcW w:w="440" w:type="dxa"/>
            <w:vAlign w:val="bottom"/>
            <w:tcBorders>
              <w:bottom w:val="single" w:sz="8" w:color="CCEEFF"/>
            </w:tcBorders>
            <w:shd w:val="clear" w:color="auto" w:fill="CCEEFF"/>
          </w:tcPr>
          <w:p>
            <w:pPr>
              <w:spacing w:after="0"/>
              <w:rPr>
                <w:sz w:val="11"/>
                <w:szCs w:val="11"/>
                <w:color w:val="auto"/>
              </w:rPr>
            </w:pPr>
          </w:p>
        </w:tc>
        <w:tc>
          <w:tcPr>
            <w:tcW w:w="140" w:type="dxa"/>
            <w:vAlign w:val="bottom"/>
            <w:tcBorders>
              <w:bottom w:val="single" w:sz="8" w:color="CCEEFF"/>
            </w:tcBorders>
            <w:shd w:val="clear" w:color="auto" w:fill="CCEEFF"/>
          </w:tcPr>
          <w:p>
            <w:pPr>
              <w:spacing w:after="0"/>
              <w:rPr>
                <w:sz w:val="11"/>
                <w:szCs w:val="11"/>
                <w:color w:val="auto"/>
              </w:rPr>
            </w:pPr>
          </w:p>
        </w:tc>
        <w:tc>
          <w:tcPr>
            <w:tcW w:w="1160" w:type="dxa"/>
            <w:vAlign w:val="bottom"/>
            <w:tcBorders>
              <w:bottom w:val="single" w:sz="8" w:color="0000EE"/>
            </w:tcBorders>
            <w:gridSpan w:val="8"/>
            <w:shd w:val="clear" w:color="auto" w:fill="CCEEFF"/>
          </w:tcPr>
          <w:p>
            <w:pPr>
              <w:spacing w:after="0" w:line="125" w:lineRule="exact"/>
              <w:rPr>
                <w:rFonts w:ascii="Arial" w:cs="Arial" w:eastAsia="Arial" w:hAnsi="Arial"/>
                <w:sz w:val="13"/>
                <w:szCs w:val="13"/>
                <w:color w:val="0000EE"/>
                <w:w w:val="86"/>
              </w:rPr>
            </w:pPr>
            <w:hyperlink w:anchor="page121">
              <w:r>
                <w:rPr>
                  <w:rFonts w:ascii="Arial" w:cs="Arial" w:eastAsia="Arial" w:hAnsi="Arial"/>
                  <w:sz w:val="13"/>
                  <w:szCs w:val="13"/>
                  <w:color w:val="0000EE"/>
                  <w:w w:val="86"/>
                </w:rPr>
                <w:t>Corporate Governance</w:t>
              </w:r>
            </w:hyperlink>
          </w:p>
        </w:tc>
        <w:tc>
          <w:tcPr>
            <w:tcW w:w="6000" w:type="dxa"/>
            <w:vAlign w:val="bottom"/>
            <w:tcBorders>
              <w:bottom w:val="single" w:sz="8" w:color="CCEEFF"/>
            </w:tcBorders>
            <w:gridSpan w:val="14"/>
            <w:shd w:val="clear" w:color="auto" w:fill="CCEEFF"/>
          </w:tcPr>
          <w:p>
            <w:pPr>
              <w:spacing w:after="0"/>
              <w:rPr>
                <w:sz w:val="11"/>
                <w:szCs w:val="11"/>
                <w:color w:val="auto"/>
              </w:rPr>
            </w:pPr>
          </w:p>
        </w:tc>
        <w:tc>
          <w:tcPr>
            <w:tcW w:w="2960" w:type="dxa"/>
            <w:vAlign w:val="bottom"/>
            <w:tcBorders>
              <w:bottom w:val="single" w:sz="8" w:color="CCEEFF"/>
            </w:tcBorders>
            <w:shd w:val="clear" w:color="auto" w:fill="CCEEFF"/>
          </w:tcPr>
          <w:p>
            <w:pPr>
              <w:spacing w:after="0"/>
              <w:rPr>
                <w:sz w:val="11"/>
                <w:szCs w:val="11"/>
                <w:color w:val="auto"/>
              </w:rPr>
            </w:pPr>
          </w:p>
        </w:tc>
        <w:tc>
          <w:tcPr>
            <w:tcW w:w="200" w:type="dxa"/>
            <w:vAlign w:val="bottom"/>
            <w:tcBorders>
              <w:bottom w:val="single" w:sz="8" w:color="0000EE"/>
            </w:tcBorders>
            <w:shd w:val="clear" w:color="auto" w:fill="CCEEFF"/>
          </w:tcPr>
          <w:p>
            <w:pPr>
              <w:jc w:val="right"/>
              <w:spacing w:after="0" w:line="125" w:lineRule="exact"/>
              <w:rPr>
                <w:rFonts w:ascii="Arial" w:cs="Arial" w:eastAsia="Arial" w:hAnsi="Arial"/>
                <w:sz w:val="13"/>
                <w:szCs w:val="13"/>
                <w:color w:val="0000EE"/>
                <w:w w:val="82"/>
              </w:rPr>
            </w:pPr>
            <w:hyperlink w:anchor="page121">
              <w:r>
                <w:rPr>
                  <w:rFonts w:ascii="Arial" w:cs="Arial" w:eastAsia="Arial" w:hAnsi="Arial"/>
                  <w:sz w:val="13"/>
                  <w:szCs w:val="13"/>
                  <w:color w:val="0000EE"/>
                  <w:w w:val="82"/>
                </w:rPr>
                <w:t>119</w:t>
              </w:r>
            </w:hyperlink>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560" w:type="dxa"/>
            <w:vAlign w:val="bottom"/>
            <w:gridSpan w:val="4"/>
          </w:tcPr>
          <w:p>
            <w:pPr>
              <w:spacing w:after="0" w:line="125" w:lineRule="exact"/>
              <w:rPr>
                <w:rFonts w:ascii="Arial" w:cs="Arial" w:eastAsia="Arial" w:hAnsi="Arial"/>
                <w:sz w:val="13"/>
                <w:szCs w:val="13"/>
                <w:color w:val="0000EE"/>
                <w:w w:val="95"/>
              </w:rPr>
            </w:pPr>
            <w:hyperlink w:anchor="page122">
              <w:r>
                <w:rPr>
                  <w:rFonts w:ascii="Arial" w:cs="Arial" w:eastAsia="Arial" w:hAnsi="Arial"/>
                  <w:sz w:val="13"/>
                  <w:szCs w:val="13"/>
                  <w:color w:val="0000EE"/>
                  <w:w w:val="95"/>
                </w:rPr>
                <w:t>Item 16H.</w:t>
              </w:r>
            </w:hyperlink>
          </w:p>
        </w:tc>
        <w:tc>
          <w:tcPr>
            <w:tcW w:w="4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160" w:type="dxa"/>
            <w:vAlign w:val="bottom"/>
            <w:gridSpan w:val="22"/>
          </w:tcPr>
          <w:p>
            <w:pPr>
              <w:spacing w:after="0" w:line="125" w:lineRule="exact"/>
              <w:rPr>
                <w:rFonts w:ascii="Arial" w:cs="Arial" w:eastAsia="Arial" w:hAnsi="Arial"/>
                <w:sz w:val="13"/>
                <w:szCs w:val="13"/>
                <w:color w:val="0000EE"/>
              </w:rPr>
            </w:pPr>
            <w:hyperlink w:anchor="page122">
              <w:r>
                <w:rPr>
                  <w:rFonts w:ascii="Arial" w:cs="Arial" w:eastAsia="Arial" w:hAnsi="Arial"/>
                  <w:sz w:val="13"/>
                  <w:szCs w:val="13"/>
                  <w:color w:val="0000EE"/>
                </w:rPr>
                <w:t>Mine Safety Disclosure</w:t>
              </w:r>
            </w:hyperlink>
          </w:p>
        </w:tc>
        <w:tc>
          <w:tcPr>
            <w:tcW w:w="3160" w:type="dxa"/>
            <w:vAlign w:val="bottom"/>
            <w:gridSpan w:val="2"/>
          </w:tcPr>
          <w:p>
            <w:pPr>
              <w:jc w:val="right"/>
              <w:spacing w:after="0" w:line="125" w:lineRule="exact"/>
              <w:rPr>
                <w:rFonts w:ascii="Arial" w:cs="Arial" w:eastAsia="Arial" w:hAnsi="Arial"/>
                <w:sz w:val="13"/>
                <w:szCs w:val="13"/>
                <w:color w:val="0000EE"/>
              </w:rPr>
            </w:pPr>
            <w:hyperlink w:anchor="page122">
              <w:r>
                <w:rPr>
                  <w:rFonts w:ascii="Arial" w:cs="Arial" w:eastAsia="Arial" w:hAnsi="Arial"/>
                  <w:sz w:val="13"/>
                  <w:szCs w:val="13"/>
                  <w:color w:val="0000EE"/>
                </w:rPr>
                <w:t>120</w:t>
              </w:r>
            </w:hyperlink>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80" w:type="dxa"/>
            <w:vAlign w:val="bottom"/>
            <w:tcBorders>
              <w:top w:val="single" w:sz="8" w:color="0000EE"/>
              <w:left w:val="single" w:sz="8" w:color="CCEEFF"/>
            </w:tcBorders>
            <w:shd w:val="clear" w:color="auto" w:fill="CCEEFF"/>
          </w:tcPr>
          <w:p>
            <w:pPr>
              <w:spacing w:after="0"/>
              <w:rPr>
                <w:sz w:val="13"/>
                <w:szCs w:val="13"/>
                <w:color w:val="auto"/>
              </w:rPr>
            </w:pPr>
          </w:p>
        </w:tc>
        <w:tc>
          <w:tcPr>
            <w:tcW w:w="340" w:type="dxa"/>
            <w:vAlign w:val="bottom"/>
            <w:tcBorders>
              <w:top w:val="single" w:sz="8" w:color="0000EE"/>
              <w:left w:val="single" w:sz="8" w:color="CCEEFF"/>
            </w:tcBorders>
            <w:shd w:val="clear" w:color="auto" w:fill="CCEEFF"/>
          </w:tcPr>
          <w:p>
            <w:pPr>
              <w:spacing w:after="0"/>
              <w:rPr>
                <w:sz w:val="13"/>
                <w:szCs w:val="13"/>
                <w:color w:val="auto"/>
              </w:rPr>
            </w:pPr>
          </w:p>
        </w:tc>
        <w:tc>
          <w:tcPr>
            <w:tcW w:w="80" w:type="dxa"/>
            <w:vAlign w:val="bottom"/>
            <w:tcBorders>
              <w:top w:val="single" w:sz="8" w:color="0000EE"/>
              <w:left w:val="single" w:sz="8" w:color="CCEEFF"/>
            </w:tcBorders>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00" w:type="dxa"/>
            <w:vAlign w:val="bottom"/>
            <w:tcBorders>
              <w:top w:val="single" w:sz="8" w:color="0000EE"/>
            </w:tcBorders>
            <w:shd w:val="clear" w:color="auto" w:fill="CCEEFF"/>
          </w:tcPr>
          <w:p>
            <w:pPr>
              <w:spacing w:after="0"/>
              <w:rPr>
                <w:sz w:val="13"/>
                <w:szCs w:val="13"/>
                <w:color w:val="auto"/>
              </w:rPr>
            </w:pPr>
          </w:p>
        </w:tc>
        <w:tc>
          <w:tcPr>
            <w:tcW w:w="280" w:type="dxa"/>
            <w:vAlign w:val="bottom"/>
            <w:tcBorders>
              <w:top w:val="single" w:sz="8" w:color="0000EE"/>
            </w:tcBorders>
            <w:shd w:val="clear" w:color="auto" w:fill="CCEEFF"/>
          </w:tcPr>
          <w:p>
            <w:pPr>
              <w:spacing w:after="0"/>
              <w:rPr>
                <w:sz w:val="13"/>
                <w:szCs w:val="13"/>
                <w:color w:val="auto"/>
              </w:rPr>
            </w:pPr>
          </w:p>
        </w:tc>
        <w:tc>
          <w:tcPr>
            <w:tcW w:w="140" w:type="dxa"/>
            <w:vAlign w:val="bottom"/>
            <w:tcBorders>
              <w:top w:val="single" w:sz="8" w:color="0000EE"/>
              <w:left w:val="single" w:sz="8" w:color="CCEEFF"/>
            </w:tcBorders>
            <w:shd w:val="clear" w:color="auto" w:fill="CCEEFF"/>
          </w:tcPr>
          <w:p>
            <w:pPr>
              <w:spacing w:after="0"/>
              <w:rPr>
                <w:sz w:val="13"/>
                <w:szCs w:val="13"/>
                <w:color w:val="auto"/>
              </w:rPr>
            </w:pPr>
          </w:p>
        </w:tc>
        <w:tc>
          <w:tcPr>
            <w:tcW w:w="80" w:type="dxa"/>
            <w:vAlign w:val="bottom"/>
            <w:tcBorders>
              <w:top w:val="single" w:sz="8" w:color="0000EE"/>
              <w:left w:val="single" w:sz="8" w:color="CCEEFF"/>
            </w:tcBorders>
            <w:shd w:val="clear" w:color="auto" w:fill="CCEEFF"/>
          </w:tcPr>
          <w:p>
            <w:pPr>
              <w:spacing w:after="0"/>
              <w:rPr>
                <w:sz w:val="13"/>
                <w:szCs w:val="13"/>
                <w:color w:val="auto"/>
              </w:rPr>
            </w:pPr>
          </w:p>
        </w:tc>
        <w:tc>
          <w:tcPr>
            <w:tcW w:w="160" w:type="dxa"/>
            <w:vAlign w:val="bottom"/>
            <w:tcBorders>
              <w:top w:val="single" w:sz="8" w:color="0000EE"/>
            </w:tcBorders>
            <w:shd w:val="clear" w:color="auto" w:fill="CCEEFF"/>
          </w:tcPr>
          <w:p>
            <w:pPr>
              <w:spacing w:after="0"/>
              <w:rPr>
                <w:sz w:val="13"/>
                <w:szCs w:val="13"/>
                <w:color w:val="auto"/>
              </w:rPr>
            </w:pPr>
          </w:p>
        </w:tc>
        <w:tc>
          <w:tcPr>
            <w:tcW w:w="180" w:type="dxa"/>
            <w:vAlign w:val="bottom"/>
            <w:tcBorders>
              <w:top w:val="single" w:sz="8" w:color="0000EE"/>
            </w:tcBorders>
            <w:shd w:val="clear" w:color="auto" w:fill="CCEEFF"/>
          </w:tcPr>
          <w:p>
            <w:pPr>
              <w:spacing w:after="0"/>
              <w:rPr>
                <w:sz w:val="13"/>
                <w:szCs w:val="13"/>
                <w:color w:val="auto"/>
              </w:rPr>
            </w:pPr>
          </w:p>
        </w:tc>
        <w:tc>
          <w:tcPr>
            <w:tcW w:w="200" w:type="dxa"/>
            <w:vAlign w:val="bottom"/>
            <w:tcBorders>
              <w:top w:val="single" w:sz="8" w:color="0000EE"/>
            </w:tcBorders>
            <w:shd w:val="clear" w:color="auto" w:fill="CCEEFF"/>
          </w:tcPr>
          <w:p>
            <w:pPr>
              <w:spacing w:after="0"/>
              <w:rPr>
                <w:sz w:val="13"/>
                <w:szCs w:val="13"/>
                <w:color w:val="auto"/>
              </w:rPr>
            </w:pPr>
          </w:p>
        </w:tc>
        <w:tc>
          <w:tcPr>
            <w:tcW w:w="20" w:type="dxa"/>
            <w:vAlign w:val="bottom"/>
            <w:tcBorders>
              <w:top w:val="single" w:sz="8" w:color="0000EE"/>
            </w:tcBorders>
            <w:shd w:val="clear" w:color="auto" w:fill="CCEEFF"/>
          </w:tcPr>
          <w:p>
            <w:pPr>
              <w:spacing w:after="0"/>
              <w:rPr>
                <w:sz w:val="13"/>
                <w:szCs w:val="13"/>
                <w:color w:val="auto"/>
              </w:rPr>
            </w:pPr>
          </w:p>
        </w:tc>
        <w:tc>
          <w:tcPr>
            <w:tcW w:w="40" w:type="dxa"/>
            <w:vAlign w:val="bottom"/>
            <w:tcBorders>
              <w:top w:val="single" w:sz="8" w:color="0000EE"/>
            </w:tcBorders>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2940" w:type="dxa"/>
            <w:vAlign w:val="bottom"/>
            <w:shd w:val="clear" w:color="auto" w:fill="CCEEFF"/>
          </w:tcPr>
          <w:p>
            <w:pPr>
              <w:spacing w:after="0"/>
              <w:rPr>
                <w:sz w:val="13"/>
                <w:szCs w:val="13"/>
                <w:color w:val="auto"/>
              </w:rPr>
            </w:pPr>
          </w:p>
        </w:tc>
        <w:tc>
          <w:tcPr>
            <w:tcW w:w="2960" w:type="dxa"/>
            <w:vAlign w:val="bottom"/>
            <w:shd w:val="clear" w:color="auto" w:fill="CCEEFF"/>
          </w:tcPr>
          <w:p>
            <w:pPr>
              <w:spacing w:after="0"/>
              <w:rPr>
                <w:sz w:val="13"/>
                <w:szCs w:val="13"/>
                <w:color w:val="auto"/>
              </w:rPr>
            </w:pPr>
          </w:p>
        </w:tc>
        <w:tc>
          <w:tcPr>
            <w:tcW w:w="200" w:type="dxa"/>
            <w:vAlign w:val="bottom"/>
            <w:tcBorders>
              <w:top w:val="single" w:sz="8" w:color="0000EE"/>
            </w:tcBorders>
            <w:shd w:val="clear" w:color="auto" w:fill="CCEEFF"/>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560" w:type="dxa"/>
            <w:vAlign w:val="bottom"/>
            <w:gridSpan w:val="4"/>
          </w:tcPr>
          <w:p>
            <w:pPr>
              <w:spacing w:after="0" w:line="125" w:lineRule="exact"/>
              <w:rPr>
                <w:rFonts w:ascii="Arial" w:cs="Arial" w:eastAsia="Arial" w:hAnsi="Arial"/>
                <w:sz w:val="13"/>
                <w:szCs w:val="13"/>
                <w:b w:val="1"/>
                <w:bCs w:val="1"/>
                <w:color w:val="0000EE"/>
              </w:rPr>
            </w:pPr>
            <w:hyperlink w:anchor="page122">
              <w:r>
                <w:rPr>
                  <w:rFonts w:ascii="Arial" w:cs="Arial" w:eastAsia="Arial" w:hAnsi="Arial"/>
                  <w:sz w:val="13"/>
                  <w:szCs w:val="13"/>
                  <w:b w:val="1"/>
                  <w:bCs w:val="1"/>
                  <w:color w:val="0000EE"/>
                </w:rPr>
                <w:t>PART III</w:t>
              </w:r>
            </w:hyperlink>
          </w:p>
        </w:tc>
        <w:tc>
          <w:tcPr>
            <w:tcW w:w="4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2940" w:type="dxa"/>
            <w:vAlign w:val="bottom"/>
          </w:tcPr>
          <w:p>
            <w:pPr>
              <w:spacing w:after="0"/>
              <w:rPr>
                <w:sz w:val="11"/>
                <w:szCs w:val="11"/>
                <w:color w:val="auto"/>
              </w:rPr>
            </w:pPr>
          </w:p>
        </w:tc>
        <w:tc>
          <w:tcPr>
            <w:tcW w:w="3160" w:type="dxa"/>
            <w:vAlign w:val="bottom"/>
            <w:gridSpan w:val="2"/>
          </w:tcPr>
          <w:p>
            <w:pPr>
              <w:jc w:val="right"/>
              <w:spacing w:after="0" w:line="125" w:lineRule="exact"/>
              <w:rPr>
                <w:rFonts w:ascii="Arial" w:cs="Arial" w:eastAsia="Arial" w:hAnsi="Arial"/>
                <w:sz w:val="13"/>
                <w:szCs w:val="13"/>
                <w:b w:val="1"/>
                <w:bCs w:val="1"/>
                <w:color w:val="0000EE"/>
              </w:rPr>
            </w:pPr>
            <w:hyperlink w:anchor="page122">
              <w:r>
                <w:rPr>
                  <w:rFonts w:ascii="Arial" w:cs="Arial" w:eastAsia="Arial" w:hAnsi="Arial"/>
                  <w:sz w:val="13"/>
                  <w:szCs w:val="13"/>
                  <w:b w:val="1"/>
                  <w:bCs w:val="1"/>
                  <w:color w:val="0000EE"/>
                </w:rPr>
                <w:t>120</w:t>
              </w:r>
            </w:hyperlink>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80" w:type="dxa"/>
            <w:vAlign w:val="bottom"/>
            <w:tcBorders>
              <w:top w:val="single" w:sz="8" w:color="0000EE"/>
              <w:left w:val="single" w:sz="8" w:color="CCEEFF"/>
            </w:tcBorders>
            <w:shd w:val="clear" w:color="auto" w:fill="CCEEFF"/>
          </w:tcPr>
          <w:p>
            <w:pPr>
              <w:spacing w:after="0"/>
              <w:rPr>
                <w:sz w:val="13"/>
                <w:szCs w:val="13"/>
                <w:color w:val="auto"/>
              </w:rPr>
            </w:pPr>
          </w:p>
        </w:tc>
        <w:tc>
          <w:tcPr>
            <w:tcW w:w="340" w:type="dxa"/>
            <w:vAlign w:val="bottom"/>
            <w:tcBorders>
              <w:top w:val="single" w:sz="8" w:color="0000EE"/>
              <w:left w:val="single" w:sz="8" w:color="CCEEFF"/>
            </w:tcBorders>
            <w:shd w:val="clear" w:color="auto" w:fill="CCEEFF"/>
          </w:tcPr>
          <w:p>
            <w:pPr>
              <w:spacing w:after="0"/>
              <w:rPr>
                <w:sz w:val="13"/>
                <w:szCs w:val="13"/>
                <w:color w:val="auto"/>
              </w:rPr>
            </w:pPr>
          </w:p>
        </w:tc>
        <w:tc>
          <w:tcPr>
            <w:tcW w:w="80" w:type="dxa"/>
            <w:vAlign w:val="bottom"/>
            <w:tcBorders>
              <w:top w:val="single" w:sz="8" w:color="0000EE"/>
              <w:left w:val="single" w:sz="8" w:color="CCEEFF"/>
            </w:tcBorders>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140" w:type="dxa"/>
            <w:vAlign w:val="bottom"/>
            <w:tcBorders>
              <w:left w:val="single" w:sz="8" w:color="CCEEFF"/>
            </w:tcBorders>
            <w:shd w:val="clear" w:color="auto" w:fill="CCEEFF"/>
          </w:tcPr>
          <w:p>
            <w:pPr>
              <w:spacing w:after="0"/>
              <w:rPr>
                <w:sz w:val="13"/>
                <w:szCs w:val="13"/>
                <w:color w:val="auto"/>
              </w:rPr>
            </w:pPr>
          </w:p>
        </w:tc>
        <w:tc>
          <w:tcPr>
            <w:tcW w:w="80" w:type="dxa"/>
            <w:vAlign w:val="bottom"/>
            <w:tcBorders>
              <w:left w:val="single" w:sz="8" w:color="CCEEFF"/>
            </w:tcBorders>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4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2940" w:type="dxa"/>
            <w:vAlign w:val="bottom"/>
            <w:shd w:val="clear" w:color="auto" w:fill="CCEEFF"/>
          </w:tcPr>
          <w:p>
            <w:pPr>
              <w:spacing w:after="0"/>
              <w:rPr>
                <w:sz w:val="13"/>
                <w:szCs w:val="13"/>
                <w:color w:val="auto"/>
              </w:rPr>
            </w:pPr>
          </w:p>
        </w:tc>
        <w:tc>
          <w:tcPr>
            <w:tcW w:w="2960" w:type="dxa"/>
            <w:vAlign w:val="bottom"/>
            <w:shd w:val="clear" w:color="auto" w:fill="CCEEFF"/>
          </w:tcPr>
          <w:p>
            <w:pPr>
              <w:spacing w:after="0"/>
              <w:rPr>
                <w:sz w:val="13"/>
                <w:szCs w:val="13"/>
                <w:color w:val="auto"/>
              </w:rPr>
            </w:pPr>
          </w:p>
        </w:tc>
        <w:tc>
          <w:tcPr>
            <w:tcW w:w="200" w:type="dxa"/>
            <w:vAlign w:val="bottom"/>
            <w:tcBorders>
              <w:top w:val="single" w:sz="8" w:color="0000EE"/>
            </w:tcBorders>
            <w:shd w:val="clear" w:color="auto" w:fill="CCEEFF"/>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560" w:type="dxa"/>
            <w:vAlign w:val="bottom"/>
            <w:gridSpan w:val="4"/>
          </w:tcPr>
          <w:p>
            <w:pPr>
              <w:spacing w:after="0" w:line="125" w:lineRule="exact"/>
              <w:rPr>
                <w:rFonts w:ascii="Arial" w:cs="Arial" w:eastAsia="Arial" w:hAnsi="Arial"/>
                <w:sz w:val="13"/>
                <w:szCs w:val="13"/>
                <w:b w:val="1"/>
                <w:bCs w:val="1"/>
                <w:color w:val="0000EE"/>
              </w:rPr>
            </w:pPr>
            <w:hyperlink w:anchor="page122">
              <w:r>
                <w:rPr>
                  <w:rFonts w:ascii="Arial" w:cs="Arial" w:eastAsia="Arial" w:hAnsi="Arial"/>
                  <w:sz w:val="13"/>
                  <w:szCs w:val="13"/>
                  <w:b w:val="1"/>
                  <w:bCs w:val="1"/>
                  <w:color w:val="0000EE"/>
                </w:rPr>
                <w:t>Item 17.</w:t>
              </w:r>
            </w:hyperlink>
          </w:p>
        </w:tc>
        <w:tc>
          <w:tcPr>
            <w:tcW w:w="4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160" w:type="dxa"/>
            <w:vAlign w:val="bottom"/>
            <w:gridSpan w:val="22"/>
          </w:tcPr>
          <w:p>
            <w:pPr>
              <w:spacing w:after="0" w:line="125" w:lineRule="exact"/>
              <w:rPr>
                <w:rFonts w:ascii="Arial" w:cs="Arial" w:eastAsia="Arial" w:hAnsi="Arial"/>
                <w:sz w:val="13"/>
                <w:szCs w:val="13"/>
                <w:b w:val="1"/>
                <w:bCs w:val="1"/>
                <w:color w:val="0000EE"/>
              </w:rPr>
            </w:pPr>
            <w:hyperlink w:anchor="page122">
              <w:r>
                <w:rPr>
                  <w:rFonts w:ascii="Arial" w:cs="Arial" w:eastAsia="Arial" w:hAnsi="Arial"/>
                  <w:sz w:val="13"/>
                  <w:szCs w:val="13"/>
                  <w:b w:val="1"/>
                  <w:bCs w:val="1"/>
                  <w:color w:val="0000EE"/>
                </w:rPr>
                <w:t>Financial Statements</w:t>
              </w:r>
            </w:hyperlink>
          </w:p>
        </w:tc>
        <w:tc>
          <w:tcPr>
            <w:tcW w:w="3160" w:type="dxa"/>
            <w:vAlign w:val="bottom"/>
            <w:gridSpan w:val="2"/>
          </w:tcPr>
          <w:p>
            <w:pPr>
              <w:jc w:val="right"/>
              <w:spacing w:after="0" w:line="125" w:lineRule="exact"/>
              <w:rPr>
                <w:rFonts w:ascii="Arial" w:cs="Arial" w:eastAsia="Arial" w:hAnsi="Arial"/>
                <w:sz w:val="13"/>
                <w:szCs w:val="13"/>
                <w:b w:val="1"/>
                <w:bCs w:val="1"/>
                <w:color w:val="0000EE"/>
              </w:rPr>
            </w:pPr>
            <w:hyperlink w:anchor="page122">
              <w:r>
                <w:rPr>
                  <w:rFonts w:ascii="Arial" w:cs="Arial" w:eastAsia="Arial" w:hAnsi="Arial"/>
                  <w:sz w:val="13"/>
                  <w:szCs w:val="13"/>
                  <w:b w:val="1"/>
                  <w:bCs w:val="1"/>
                  <w:color w:val="0000EE"/>
                </w:rPr>
                <w:t>120</w:t>
              </w:r>
            </w:hyperlink>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80" w:type="dxa"/>
            <w:vAlign w:val="bottom"/>
            <w:tcBorders>
              <w:top w:val="single" w:sz="8" w:color="0000EE"/>
              <w:left w:val="single" w:sz="8" w:color="CCEEFF"/>
            </w:tcBorders>
            <w:shd w:val="clear" w:color="auto" w:fill="CCEEFF"/>
          </w:tcPr>
          <w:p>
            <w:pPr>
              <w:spacing w:after="0"/>
              <w:rPr>
                <w:sz w:val="13"/>
                <w:szCs w:val="13"/>
                <w:color w:val="auto"/>
              </w:rPr>
            </w:pPr>
          </w:p>
        </w:tc>
        <w:tc>
          <w:tcPr>
            <w:tcW w:w="340" w:type="dxa"/>
            <w:vAlign w:val="bottom"/>
            <w:tcBorders>
              <w:top w:val="single" w:sz="8" w:color="0000EE"/>
              <w:left w:val="single" w:sz="8" w:color="CCEEFF"/>
            </w:tcBorders>
            <w:shd w:val="clear" w:color="auto" w:fill="CCEEFF"/>
          </w:tcPr>
          <w:p>
            <w:pPr>
              <w:spacing w:after="0"/>
              <w:rPr>
                <w:sz w:val="13"/>
                <w:szCs w:val="13"/>
                <w:color w:val="auto"/>
              </w:rPr>
            </w:pPr>
          </w:p>
        </w:tc>
        <w:tc>
          <w:tcPr>
            <w:tcW w:w="80" w:type="dxa"/>
            <w:vAlign w:val="bottom"/>
            <w:tcBorders>
              <w:left w:val="single" w:sz="8" w:color="CCEEFF"/>
            </w:tcBorders>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00" w:type="dxa"/>
            <w:vAlign w:val="bottom"/>
            <w:tcBorders>
              <w:top w:val="single" w:sz="8" w:color="0000EE"/>
            </w:tcBorders>
            <w:shd w:val="clear" w:color="auto" w:fill="CCEEFF"/>
          </w:tcPr>
          <w:p>
            <w:pPr>
              <w:spacing w:after="0"/>
              <w:rPr>
                <w:sz w:val="13"/>
                <w:szCs w:val="13"/>
                <w:color w:val="auto"/>
              </w:rPr>
            </w:pPr>
          </w:p>
        </w:tc>
        <w:tc>
          <w:tcPr>
            <w:tcW w:w="280" w:type="dxa"/>
            <w:vAlign w:val="bottom"/>
            <w:tcBorders>
              <w:top w:val="single" w:sz="8" w:color="0000EE"/>
            </w:tcBorders>
            <w:shd w:val="clear" w:color="auto" w:fill="CCEEFF"/>
          </w:tcPr>
          <w:p>
            <w:pPr>
              <w:spacing w:after="0"/>
              <w:rPr>
                <w:sz w:val="13"/>
                <w:szCs w:val="13"/>
                <w:color w:val="auto"/>
              </w:rPr>
            </w:pPr>
          </w:p>
        </w:tc>
        <w:tc>
          <w:tcPr>
            <w:tcW w:w="140" w:type="dxa"/>
            <w:vAlign w:val="bottom"/>
            <w:tcBorders>
              <w:top w:val="single" w:sz="8" w:color="0000EE"/>
              <w:left w:val="single" w:sz="8" w:color="CCEEFF"/>
            </w:tcBorders>
            <w:shd w:val="clear" w:color="auto" w:fill="CCEEFF"/>
          </w:tcPr>
          <w:p>
            <w:pPr>
              <w:spacing w:after="0"/>
              <w:rPr>
                <w:sz w:val="13"/>
                <w:szCs w:val="13"/>
                <w:color w:val="auto"/>
              </w:rPr>
            </w:pPr>
          </w:p>
        </w:tc>
        <w:tc>
          <w:tcPr>
            <w:tcW w:w="80" w:type="dxa"/>
            <w:vAlign w:val="bottom"/>
            <w:tcBorders>
              <w:top w:val="single" w:sz="8" w:color="0000EE"/>
              <w:left w:val="single" w:sz="8" w:color="CCEEFF"/>
            </w:tcBorders>
            <w:shd w:val="clear" w:color="auto" w:fill="CCEEFF"/>
          </w:tcPr>
          <w:p>
            <w:pPr>
              <w:spacing w:after="0"/>
              <w:rPr>
                <w:sz w:val="13"/>
                <w:szCs w:val="13"/>
                <w:color w:val="auto"/>
              </w:rPr>
            </w:pPr>
          </w:p>
        </w:tc>
        <w:tc>
          <w:tcPr>
            <w:tcW w:w="160" w:type="dxa"/>
            <w:vAlign w:val="bottom"/>
            <w:tcBorders>
              <w:top w:val="single" w:sz="8" w:color="0000EE"/>
            </w:tcBorders>
            <w:shd w:val="clear" w:color="auto" w:fill="CCEEFF"/>
          </w:tcPr>
          <w:p>
            <w:pPr>
              <w:spacing w:after="0"/>
              <w:rPr>
                <w:sz w:val="13"/>
                <w:szCs w:val="13"/>
                <w:color w:val="auto"/>
              </w:rPr>
            </w:pPr>
          </w:p>
        </w:tc>
        <w:tc>
          <w:tcPr>
            <w:tcW w:w="180" w:type="dxa"/>
            <w:vAlign w:val="bottom"/>
            <w:tcBorders>
              <w:top w:val="single" w:sz="8" w:color="0000EE"/>
            </w:tcBorders>
            <w:shd w:val="clear" w:color="auto" w:fill="CCEEFF"/>
          </w:tcPr>
          <w:p>
            <w:pPr>
              <w:spacing w:after="0"/>
              <w:rPr>
                <w:sz w:val="13"/>
                <w:szCs w:val="13"/>
                <w:color w:val="auto"/>
              </w:rPr>
            </w:pPr>
          </w:p>
        </w:tc>
        <w:tc>
          <w:tcPr>
            <w:tcW w:w="200" w:type="dxa"/>
            <w:vAlign w:val="bottom"/>
            <w:tcBorders>
              <w:top w:val="single" w:sz="8" w:color="0000EE"/>
            </w:tcBorders>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4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2940" w:type="dxa"/>
            <w:vAlign w:val="bottom"/>
            <w:shd w:val="clear" w:color="auto" w:fill="CCEEFF"/>
          </w:tcPr>
          <w:p>
            <w:pPr>
              <w:spacing w:after="0"/>
              <w:rPr>
                <w:sz w:val="13"/>
                <w:szCs w:val="13"/>
                <w:color w:val="auto"/>
              </w:rPr>
            </w:pPr>
          </w:p>
        </w:tc>
        <w:tc>
          <w:tcPr>
            <w:tcW w:w="2960" w:type="dxa"/>
            <w:vAlign w:val="bottom"/>
            <w:shd w:val="clear" w:color="auto" w:fill="CCEEFF"/>
          </w:tcPr>
          <w:p>
            <w:pPr>
              <w:spacing w:after="0"/>
              <w:rPr>
                <w:sz w:val="13"/>
                <w:szCs w:val="13"/>
                <w:color w:val="auto"/>
              </w:rPr>
            </w:pPr>
          </w:p>
        </w:tc>
        <w:tc>
          <w:tcPr>
            <w:tcW w:w="200" w:type="dxa"/>
            <w:vAlign w:val="bottom"/>
            <w:tcBorders>
              <w:top w:val="single" w:sz="8" w:color="0000EE"/>
            </w:tcBorders>
            <w:shd w:val="clear" w:color="auto" w:fill="CCEEFF"/>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560" w:type="dxa"/>
            <w:vAlign w:val="bottom"/>
            <w:gridSpan w:val="4"/>
          </w:tcPr>
          <w:p>
            <w:pPr>
              <w:spacing w:after="0" w:line="125" w:lineRule="exact"/>
              <w:rPr>
                <w:rFonts w:ascii="Arial" w:cs="Arial" w:eastAsia="Arial" w:hAnsi="Arial"/>
                <w:sz w:val="13"/>
                <w:szCs w:val="13"/>
                <w:b w:val="1"/>
                <w:bCs w:val="1"/>
                <w:color w:val="0000EE"/>
              </w:rPr>
            </w:pPr>
            <w:hyperlink w:anchor="page122">
              <w:r>
                <w:rPr>
                  <w:rFonts w:ascii="Arial" w:cs="Arial" w:eastAsia="Arial" w:hAnsi="Arial"/>
                  <w:sz w:val="13"/>
                  <w:szCs w:val="13"/>
                  <w:b w:val="1"/>
                  <w:bCs w:val="1"/>
                  <w:color w:val="0000EE"/>
                </w:rPr>
                <w:t>Item 18.</w:t>
              </w:r>
            </w:hyperlink>
          </w:p>
        </w:tc>
        <w:tc>
          <w:tcPr>
            <w:tcW w:w="4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160" w:type="dxa"/>
            <w:vAlign w:val="bottom"/>
            <w:gridSpan w:val="22"/>
          </w:tcPr>
          <w:p>
            <w:pPr>
              <w:spacing w:after="0" w:line="125" w:lineRule="exact"/>
              <w:rPr>
                <w:rFonts w:ascii="Arial" w:cs="Arial" w:eastAsia="Arial" w:hAnsi="Arial"/>
                <w:sz w:val="13"/>
                <w:szCs w:val="13"/>
                <w:b w:val="1"/>
                <w:bCs w:val="1"/>
                <w:color w:val="0000EE"/>
              </w:rPr>
            </w:pPr>
            <w:hyperlink w:anchor="page122">
              <w:r>
                <w:rPr>
                  <w:rFonts w:ascii="Arial" w:cs="Arial" w:eastAsia="Arial" w:hAnsi="Arial"/>
                  <w:sz w:val="13"/>
                  <w:szCs w:val="13"/>
                  <w:b w:val="1"/>
                  <w:bCs w:val="1"/>
                  <w:color w:val="0000EE"/>
                </w:rPr>
                <w:t>Financial Statements</w:t>
              </w:r>
            </w:hyperlink>
          </w:p>
        </w:tc>
        <w:tc>
          <w:tcPr>
            <w:tcW w:w="3160" w:type="dxa"/>
            <w:vAlign w:val="bottom"/>
            <w:gridSpan w:val="2"/>
          </w:tcPr>
          <w:p>
            <w:pPr>
              <w:jc w:val="right"/>
              <w:spacing w:after="0" w:line="125" w:lineRule="exact"/>
              <w:rPr>
                <w:rFonts w:ascii="Arial" w:cs="Arial" w:eastAsia="Arial" w:hAnsi="Arial"/>
                <w:sz w:val="13"/>
                <w:szCs w:val="13"/>
                <w:b w:val="1"/>
                <w:bCs w:val="1"/>
                <w:color w:val="0000EE"/>
              </w:rPr>
            </w:pPr>
            <w:hyperlink w:anchor="page122">
              <w:r>
                <w:rPr>
                  <w:rFonts w:ascii="Arial" w:cs="Arial" w:eastAsia="Arial" w:hAnsi="Arial"/>
                  <w:sz w:val="13"/>
                  <w:szCs w:val="13"/>
                  <w:b w:val="1"/>
                  <w:bCs w:val="1"/>
                  <w:color w:val="0000EE"/>
                </w:rPr>
                <w:t>120</w:t>
              </w:r>
            </w:hyperlink>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80" w:type="dxa"/>
            <w:vAlign w:val="bottom"/>
            <w:tcBorders>
              <w:top w:val="single" w:sz="8" w:color="0000EE"/>
              <w:left w:val="single" w:sz="8" w:color="CCEEFF"/>
            </w:tcBorders>
            <w:shd w:val="clear" w:color="auto" w:fill="CCEEFF"/>
          </w:tcPr>
          <w:p>
            <w:pPr>
              <w:spacing w:after="0"/>
              <w:rPr>
                <w:sz w:val="13"/>
                <w:szCs w:val="13"/>
                <w:color w:val="auto"/>
              </w:rPr>
            </w:pPr>
          </w:p>
        </w:tc>
        <w:tc>
          <w:tcPr>
            <w:tcW w:w="340" w:type="dxa"/>
            <w:vAlign w:val="bottom"/>
            <w:tcBorders>
              <w:top w:val="single" w:sz="8" w:color="0000EE"/>
              <w:left w:val="single" w:sz="8" w:color="CCEEFF"/>
            </w:tcBorders>
            <w:shd w:val="clear" w:color="auto" w:fill="CCEEFF"/>
          </w:tcPr>
          <w:p>
            <w:pPr>
              <w:spacing w:after="0"/>
              <w:rPr>
                <w:sz w:val="13"/>
                <w:szCs w:val="13"/>
                <w:color w:val="auto"/>
              </w:rPr>
            </w:pPr>
          </w:p>
        </w:tc>
        <w:tc>
          <w:tcPr>
            <w:tcW w:w="80" w:type="dxa"/>
            <w:vAlign w:val="bottom"/>
            <w:tcBorders>
              <w:left w:val="single" w:sz="8" w:color="CCEEFF"/>
            </w:tcBorders>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00" w:type="dxa"/>
            <w:vAlign w:val="bottom"/>
            <w:tcBorders>
              <w:top w:val="single" w:sz="8" w:color="0000EE"/>
            </w:tcBorders>
            <w:shd w:val="clear" w:color="auto" w:fill="CCEEFF"/>
          </w:tcPr>
          <w:p>
            <w:pPr>
              <w:spacing w:after="0"/>
              <w:rPr>
                <w:sz w:val="13"/>
                <w:szCs w:val="13"/>
                <w:color w:val="auto"/>
              </w:rPr>
            </w:pPr>
          </w:p>
        </w:tc>
        <w:tc>
          <w:tcPr>
            <w:tcW w:w="280" w:type="dxa"/>
            <w:vAlign w:val="bottom"/>
            <w:tcBorders>
              <w:top w:val="single" w:sz="8" w:color="0000EE"/>
            </w:tcBorders>
            <w:shd w:val="clear" w:color="auto" w:fill="CCEEFF"/>
          </w:tcPr>
          <w:p>
            <w:pPr>
              <w:spacing w:after="0"/>
              <w:rPr>
                <w:sz w:val="13"/>
                <w:szCs w:val="13"/>
                <w:color w:val="auto"/>
              </w:rPr>
            </w:pPr>
          </w:p>
        </w:tc>
        <w:tc>
          <w:tcPr>
            <w:tcW w:w="140" w:type="dxa"/>
            <w:vAlign w:val="bottom"/>
            <w:tcBorders>
              <w:top w:val="single" w:sz="8" w:color="0000EE"/>
              <w:left w:val="single" w:sz="8" w:color="CCEEFF"/>
            </w:tcBorders>
            <w:shd w:val="clear" w:color="auto" w:fill="CCEEFF"/>
          </w:tcPr>
          <w:p>
            <w:pPr>
              <w:spacing w:after="0"/>
              <w:rPr>
                <w:sz w:val="13"/>
                <w:szCs w:val="13"/>
                <w:color w:val="auto"/>
              </w:rPr>
            </w:pPr>
          </w:p>
        </w:tc>
        <w:tc>
          <w:tcPr>
            <w:tcW w:w="80" w:type="dxa"/>
            <w:vAlign w:val="bottom"/>
            <w:tcBorders>
              <w:top w:val="single" w:sz="8" w:color="0000EE"/>
              <w:left w:val="single" w:sz="8" w:color="CCEEFF"/>
            </w:tcBorders>
            <w:shd w:val="clear" w:color="auto" w:fill="CCEEFF"/>
          </w:tcPr>
          <w:p>
            <w:pPr>
              <w:spacing w:after="0"/>
              <w:rPr>
                <w:sz w:val="13"/>
                <w:szCs w:val="13"/>
                <w:color w:val="auto"/>
              </w:rPr>
            </w:pPr>
          </w:p>
        </w:tc>
        <w:tc>
          <w:tcPr>
            <w:tcW w:w="160" w:type="dxa"/>
            <w:vAlign w:val="bottom"/>
            <w:tcBorders>
              <w:top w:val="single" w:sz="8" w:color="0000EE"/>
            </w:tcBorders>
            <w:shd w:val="clear" w:color="auto" w:fill="CCEEFF"/>
          </w:tcPr>
          <w:p>
            <w:pPr>
              <w:spacing w:after="0"/>
              <w:rPr>
                <w:sz w:val="13"/>
                <w:szCs w:val="13"/>
                <w:color w:val="auto"/>
              </w:rPr>
            </w:pPr>
          </w:p>
        </w:tc>
        <w:tc>
          <w:tcPr>
            <w:tcW w:w="180" w:type="dxa"/>
            <w:vAlign w:val="bottom"/>
            <w:tcBorders>
              <w:top w:val="single" w:sz="8" w:color="0000EE"/>
            </w:tcBorders>
            <w:shd w:val="clear" w:color="auto" w:fill="CCEEFF"/>
          </w:tcPr>
          <w:p>
            <w:pPr>
              <w:spacing w:after="0"/>
              <w:rPr>
                <w:sz w:val="13"/>
                <w:szCs w:val="13"/>
                <w:color w:val="auto"/>
              </w:rPr>
            </w:pPr>
          </w:p>
        </w:tc>
        <w:tc>
          <w:tcPr>
            <w:tcW w:w="200" w:type="dxa"/>
            <w:vAlign w:val="bottom"/>
            <w:tcBorders>
              <w:top w:val="single" w:sz="8" w:color="0000EE"/>
            </w:tcBorders>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4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640" w:type="dxa"/>
            <w:vAlign w:val="bottom"/>
            <w:shd w:val="clear" w:color="auto" w:fill="CCEEFF"/>
          </w:tcPr>
          <w:p>
            <w:pPr>
              <w:spacing w:after="0"/>
              <w:rPr>
                <w:sz w:val="13"/>
                <w:szCs w:val="13"/>
                <w:color w:val="auto"/>
              </w:rPr>
            </w:pPr>
          </w:p>
        </w:tc>
        <w:tc>
          <w:tcPr>
            <w:tcW w:w="2940" w:type="dxa"/>
            <w:vAlign w:val="bottom"/>
            <w:shd w:val="clear" w:color="auto" w:fill="CCEEFF"/>
          </w:tcPr>
          <w:p>
            <w:pPr>
              <w:spacing w:after="0"/>
              <w:rPr>
                <w:sz w:val="13"/>
                <w:szCs w:val="13"/>
                <w:color w:val="auto"/>
              </w:rPr>
            </w:pPr>
          </w:p>
        </w:tc>
        <w:tc>
          <w:tcPr>
            <w:tcW w:w="2960" w:type="dxa"/>
            <w:vAlign w:val="bottom"/>
            <w:shd w:val="clear" w:color="auto" w:fill="CCEEFF"/>
          </w:tcPr>
          <w:p>
            <w:pPr>
              <w:spacing w:after="0"/>
              <w:rPr>
                <w:sz w:val="13"/>
                <w:szCs w:val="13"/>
                <w:color w:val="auto"/>
              </w:rPr>
            </w:pPr>
          </w:p>
        </w:tc>
        <w:tc>
          <w:tcPr>
            <w:tcW w:w="200" w:type="dxa"/>
            <w:vAlign w:val="bottom"/>
            <w:tcBorders>
              <w:top w:val="single" w:sz="8" w:color="0000EE"/>
            </w:tcBorders>
            <w:shd w:val="clear" w:color="auto" w:fill="CCEEFF"/>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25"/>
        </w:trPr>
        <w:tc>
          <w:tcPr>
            <w:tcW w:w="20" w:type="dxa"/>
            <w:vAlign w:val="bottom"/>
            <w:vMerge w:val="continue"/>
          </w:tcPr>
          <w:p>
            <w:pPr>
              <w:spacing w:after="0"/>
              <w:rPr>
                <w:sz w:val="10"/>
                <w:szCs w:val="10"/>
                <w:color w:val="auto"/>
              </w:rPr>
            </w:pPr>
          </w:p>
        </w:tc>
        <w:tc>
          <w:tcPr>
            <w:tcW w:w="560" w:type="dxa"/>
            <w:vAlign w:val="bottom"/>
            <w:gridSpan w:val="4"/>
          </w:tcPr>
          <w:p>
            <w:pPr>
              <w:spacing w:after="0" w:line="125" w:lineRule="exact"/>
              <w:rPr>
                <w:rFonts w:ascii="Arial" w:cs="Arial" w:eastAsia="Arial" w:hAnsi="Arial"/>
                <w:sz w:val="13"/>
                <w:szCs w:val="13"/>
                <w:b w:val="1"/>
                <w:bCs w:val="1"/>
                <w:color w:val="0000EE"/>
              </w:rPr>
            </w:pPr>
            <w:hyperlink w:anchor="page123">
              <w:r>
                <w:rPr>
                  <w:rFonts w:ascii="Arial" w:cs="Arial" w:eastAsia="Arial" w:hAnsi="Arial"/>
                  <w:sz w:val="13"/>
                  <w:szCs w:val="13"/>
                  <w:b w:val="1"/>
                  <w:bCs w:val="1"/>
                  <w:color w:val="0000EE"/>
                </w:rPr>
                <w:t>Item 19.</w:t>
              </w:r>
            </w:hyperlink>
          </w:p>
        </w:tc>
        <w:tc>
          <w:tcPr>
            <w:tcW w:w="44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7160" w:type="dxa"/>
            <w:vAlign w:val="bottom"/>
            <w:gridSpan w:val="22"/>
          </w:tcPr>
          <w:p>
            <w:pPr>
              <w:spacing w:after="0" w:line="125" w:lineRule="exact"/>
              <w:rPr>
                <w:rFonts w:ascii="Arial" w:cs="Arial" w:eastAsia="Arial" w:hAnsi="Arial"/>
                <w:sz w:val="13"/>
                <w:szCs w:val="13"/>
                <w:b w:val="1"/>
                <w:bCs w:val="1"/>
                <w:color w:val="0000EE"/>
              </w:rPr>
            </w:pPr>
            <w:hyperlink w:anchor="page123">
              <w:r>
                <w:rPr>
                  <w:rFonts w:ascii="Arial" w:cs="Arial" w:eastAsia="Arial" w:hAnsi="Arial"/>
                  <w:sz w:val="13"/>
                  <w:szCs w:val="13"/>
                  <w:b w:val="1"/>
                  <w:bCs w:val="1"/>
                  <w:color w:val="0000EE"/>
                </w:rPr>
                <w:t>Exhibits</w:t>
              </w:r>
            </w:hyperlink>
          </w:p>
        </w:tc>
        <w:tc>
          <w:tcPr>
            <w:tcW w:w="3160" w:type="dxa"/>
            <w:vAlign w:val="bottom"/>
            <w:gridSpan w:val="2"/>
          </w:tcPr>
          <w:p>
            <w:pPr>
              <w:jc w:val="right"/>
              <w:spacing w:after="0" w:line="125" w:lineRule="exact"/>
              <w:rPr>
                <w:rFonts w:ascii="Arial" w:cs="Arial" w:eastAsia="Arial" w:hAnsi="Arial"/>
                <w:sz w:val="13"/>
                <w:szCs w:val="13"/>
                <w:b w:val="1"/>
                <w:bCs w:val="1"/>
                <w:color w:val="0000EE"/>
              </w:rPr>
            </w:pPr>
            <w:hyperlink w:anchor="page123">
              <w:r>
                <w:rPr>
                  <w:rFonts w:ascii="Arial" w:cs="Arial" w:eastAsia="Arial" w:hAnsi="Arial"/>
                  <w:sz w:val="13"/>
                  <w:szCs w:val="13"/>
                  <w:b w:val="1"/>
                  <w:bCs w:val="1"/>
                  <w:color w:val="0000EE"/>
                </w:rPr>
                <w:t>121</w:t>
              </w:r>
            </w:hyperlink>
          </w:p>
        </w:tc>
        <w:tc>
          <w:tcPr>
            <w:tcW w:w="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20"/>
        </w:trPr>
        <w:tc>
          <w:tcPr>
            <w:tcW w:w="20" w:type="dxa"/>
            <w:vAlign w:val="bottom"/>
            <w:shd w:val="clear" w:color="auto" w:fill="0000EE"/>
          </w:tcPr>
          <w:p>
            <w:pPr>
              <w:spacing w:after="0" w:line="20" w:lineRule="exact"/>
              <w:rPr>
                <w:sz w:val="1"/>
                <w:szCs w:val="1"/>
                <w:color w:val="auto"/>
              </w:rPr>
            </w:pPr>
          </w:p>
        </w:tc>
        <w:tc>
          <w:tcPr>
            <w:tcW w:w="80" w:type="dxa"/>
            <w:vAlign w:val="bottom"/>
            <w:tcBorders>
              <w:left w:val="single" w:sz="8" w:color="0000EE"/>
            </w:tcBorders>
            <w:shd w:val="clear" w:color="auto" w:fill="0000EE"/>
          </w:tcPr>
          <w:p>
            <w:pPr>
              <w:spacing w:after="0" w:line="20" w:lineRule="exact"/>
              <w:rPr>
                <w:sz w:val="1"/>
                <w:szCs w:val="1"/>
                <w:color w:val="auto"/>
              </w:rPr>
            </w:pPr>
          </w:p>
        </w:tc>
        <w:tc>
          <w:tcPr>
            <w:tcW w:w="340" w:type="dxa"/>
            <w:vAlign w:val="bottom"/>
            <w:tcBorders>
              <w:left w:val="single" w:sz="8" w:color="0000EE"/>
            </w:tcBorders>
            <w:shd w:val="clear" w:color="auto" w:fill="0000EE"/>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 w:type="dxa"/>
            <w:vAlign w:val="bottom"/>
            <w:shd w:val="clear" w:color="auto" w:fill="0000EE"/>
          </w:tcPr>
          <w:p>
            <w:pPr>
              <w:spacing w:after="0" w:line="20" w:lineRule="exact"/>
              <w:rPr>
                <w:sz w:val="1"/>
                <w:szCs w:val="1"/>
                <w:color w:val="auto"/>
              </w:rPr>
            </w:pPr>
          </w:p>
        </w:tc>
        <w:tc>
          <w:tcPr>
            <w:tcW w:w="280" w:type="dxa"/>
            <w:vAlign w:val="bottom"/>
            <w:shd w:val="clear" w:color="auto" w:fill="0000EE"/>
          </w:tcPr>
          <w:p>
            <w:pPr>
              <w:spacing w:after="0" w:line="20" w:lineRule="exact"/>
              <w:rPr>
                <w:sz w:val="1"/>
                <w:szCs w:val="1"/>
                <w:color w:val="auto"/>
              </w:rPr>
            </w:pPr>
          </w:p>
        </w:tc>
        <w:tc>
          <w:tcPr>
            <w:tcW w:w="140" w:type="dxa"/>
            <w:vAlign w:val="bottom"/>
            <w:tcBorders>
              <w:left w:val="single" w:sz="8" w:color="0000EE"/>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2940" w:type="dxa"/>
            <w:vAlign w:val="bottom"/>
          </w:tcPr>
          <w:p>
            <w:pPr>
              <w:spacing w:after="0" w:line="20" w:lineRule="exact"/>
              <w:rPr>
                <w:sz w:val="1"/>
                <w:szCs w:val="1"/>
                <w:color w:val="auto"/>
              </w:rPr>
            </w:pPr>
          </w:p>
        </w:tc>
        <w:tc>
          <w:tcPr>
            <w:tcW w:w="2960" w:type="dxa"/>
            <w:vAlign w:val="bottom"/>
          </w:tcPr>
          <w:p>
            <w:pPr>
              <w:spacing w:after="0" w:line="20" w:lineRule="exact"/>
              <w:rPr>
                <w:sz w:val="1"/>
                <w:szCs w:val="1"/>
                <w:color w:val="auto"/>
              </w:rPr>
            </w:pPr>
          </w:p>
        </w:tc>
        <w:tc>
          <w:tcPr>
            <w:tcW w:w="200" w:type="dxa"/>
            <w:vAlign w:val="bottom"/>
            <w:shd w:val="clear" w:color="auto" w:fill="0000EE"/>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313" w:lineRule="exact"/>
        <w:rPr>
          <w:sz w:val="20"/>
          <w:szCs w:val="20"/>
          <w:color w:val="auto"/>
        </w:rPr>
      </w:pPr>
    </w:p>
    <w:p>
      <w:pPr>
        <w:jc w:val="center"/>
        <w:ind w:right="20"/>
        <w:spacing w:after="0"/>
        <w:rPr>
          <w:sz w:val="20"/>
          <w:szCs w:val="20"/>
          <w:color w:val="auto"/>
        </w:rPr>
      </w:pPr>
      <w:r>
        <w:rPr>
          <w:rFonts w:ascii="Arial" w:cs="Arial" w:eastAsia="Arial" w:hAnsi="Arial"/>
          <w:sz w:val="15"/>
          <w:szCs w:val="15"/>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93" w:right="199" w:bottom="1440" w:gutter="0" w:footer="0" w:header="0"/>
        </w:sectPr>
      </w:pPr>
    </w:p>
    <w:bookmarkStart w:id="4" w:name="page5"/>
    <w:bookmarkEnd w:id="4"/>
    <w:p>
      <w:pPr>
        <w:jc w:val="both"/>
        <w:spacing w:after="0" w:line="276" w:lineRule="auto"/>
        <w:rPr>
          <w:sz w:val="20"/>
          <w:szCs w:val="20"/>
          <w:color w:val="auto"/>
        </w:rPr>
      </w:pPr>
      <w:r>
        <w:rPr>
          <w:rFonts w:ascii="Arial" w:cs="Arial" w:eastAsia="Arial" w:hAnsi="Arial"/>
          <w:sz w:val="12"/>
          <w:szCs w:val="12"/>
          <w:color w:val="auto"/>
        </w:rPr>
        <w:t>In this Annual Report on Form 20-F, or this Annual Report, references to the “Bank” or “Bladex” are to Banco Latinoamericano de Comercio Exterior, S.A., a specialized multinational bank incorporated under the laws of the Republic of Panama (“Panama”), and its consolidated subsidiaries described in Item 4.A “Information on the Company – History and Development of the Company.” References to Bladex’s consolidated financial statements (the “Consolidated Financial Statements”) are to the financial statements of Banco Lationoamericano de Comercio Exterior, S.A., and its subsidiaries, with all intercompany balances and transactions having been eliminated for consolidating purposes. References to “Bladex Head Office” are to Banco Latinoamericano de Comercio Exterior, S.A. in its individual capacity. References to “U.S. dollars” or “$” are to United States (“U.S.”) dollars. References to the “Region” are to Latin America and the Caribbean. The Bank accepts deposits and raises funds principally in U.S. dollars, grants loans mostly in U.S. dollars and publishes its Consolidated Financial Statements in U.S. dollars. The numbers and percentages set forth in this Annual Report have been rounded and, accordingly, may not total exactly.</w:t>
      </w:r>
    </w:p>
    <w:p>
      <w:pPr>
        <w:spacing w:after="0" w:line="126" w:lineRule="exact"/>
        <w:rPr>
          <w:sz w:val="20"/>
          <w:szCs w:val="20"/>
          <w:color w:val="auto"/>
        </w:rPr>
      </w:pPr>
    </w:p>
    <w:p>
      <w:pPr>
        <w:jc w:val="both"/>
        <w:ind w:right="20"/>
        <w:spacing w:after="0" w:line="314" w:lineRule="auto"/>
        <w:rPr>
          <w:sz w:val="20"/>
          <w:szCs w:val="20"/>
          <w:color w:val="auto"/>
        </w:rPr>
      </w:pPr>
      <w:r>
        <w:rPr>
          <w:rFonts w:ascii="Arial" w:cs="Arial" w:eastAsia="Arial" w:hAnsi="Arial"/>
          <w:sz w:val="11"/>
          <w:szCs w:val="11"/>
          <w:color w:val="auto"/>
        </w:rPr>
        <w:t xml:space="preserve">Upon written or oral request, the Bank will provide without charge to each person to whom this Annual Report is delivered, a copy of any or all of the documents listed as exhibits to this Annual Report (other than exhibits to those documents, unless the exhibits are specifically incorporated by reference in the documents). Written requests for copies should be directed to the attention of Mrs. Ana Graciela de Méndez, Chief Financial Officer, Bladex, as follows: (1) if by regular mail, to P.O. Box 0819-08730, Panama City, Republic of Panama, and (2) if by courier, to Torre V, Business Park, Avenida La Rotonda, Urb. Costa del Este, Panama City, Republic of Panama. Telephone requests may be directed to Mrs. de Méndez at +507 210-8563. Written requests may also be sent via e-mail to Mrs. de Méndez at </w:t>
      </w:r>
      <w:r>
        <w:rPr>
          <w:rFonts w:ascii="Arial" w:cs="Arial" w:eastAsia="Arial" w:hAnsi="Arial"/>
          <w:sz w:val="11"/>
          <w:szCs w:val="11"/>
          <w:u w:val="single" w:color="auto"/>
          <w:color w:val="auto"/>
        </w:rPr>
        <w:t>amendez@bladex.com</w:t>
      </w:r>
      <w:r>
        <w:rPr>
          <w:rFonts w:ascii="Arial" w:cs="Arial" w:eastAsia="Arial" w:hAnsi="Arial"/>
          <w:sz w:val="11"/>
          <w:szCs w:val="11"/>
          <w:color w:val="auto"/>
        </w:rPr>
        <w:t xml:space="preserve"> or ir@bladex.com.</w:t>
      </w:r>
    </w:p>
    <w:p>
      <w:pPr>
        <w:spacing w:after="0" w:line="108" w:lineRule="exact"/>
        <w:rPr>
          <w:sz w:val="20"/>
          <w:szCs w:val="20"/>
          <w:color w:val="auto"/>
        </w:rPr>
      </w:pPr>
    </w:p>
    <w:p>
      <w:pPr>
        <w:spacing w:after="0"/>
        <w:rPr>
          <w:sz w:val="20"/>
          <w:szCs w:val="20"/>
          <w:color w:val="auto"/>
        </w:rPr>
      </w:pPr>
      <w:r>
        <w:rPr>
          <w:rFonts w:ascii="Arial" w:cs="Arial" w:eastAsia="Arial" w:hAnsi="Arial"/>
          <w:sz w:val="13"/>
          <w:szCs w:val="13"/>
          <w:color w:val="auto"/>
        </w:rPr>
        <w:t>Forward-Looking Statements</w:t>
      </w:r>
    </w:p>
    <w:p>
      <w:pPr>
        <w:spacing w:after="0" w:line="159" w:lineRule="exact"/>
        <w:rPr>
          <w:sz w:val="20"/>
          <w:szCs w:val="20"/>
          <w:color w:val="auto"/>
        </w:rPr>
      </w:pPr>
    </w:p>
    <w:p>
      <w:pPr>
        <w:jc w:val="both"/>
        <w:ind w:right="20"/>
        <w:spacing w:after="0" w:line="273" w:lineRule="auto"/>
        <w:rPr>
          <w:sz w:val="20"/>
          <w:szCs w:val="20"/>
          <w:color w:val="auto"/>
        </w:rPr>
      </w:pPr>
      <w:r>
        <w:rPr>
          <w:rFonts w:ascii="Arial" w:cs="Arial" w:eastAsia="Arial" w:hAnsi="Arial"/>
          <w:sz w:val="12"/>
          <w:szCs w:val="12"/>
          <w:color w:val="auto"/>
        </w:rPr>
        <w:t>In addition to historical information, this Annual Report contains “forward-looking statements” within the meaning of the Private Securities Litigation Reform Act of 1995, Section 27A of the Securities Act of 1933, as amended (the “Securities Act”), and Section 21E of the Securities Exchange Act of 1934, as amended (the “Exchange Act”). Forward-looking statements may appear throughout this Annual Report. The Bank uses words such as “believe,” “intend,” “expect,” “anticipate,” “plan,” “may,” “will,” “should,” “estimate,” “potential,” “project” and similar expressions to identify forward-looking statements. Such statements include, among others, those concerning the Bank’s expected financial performance and strategic and operational plans, as well as all assumptions, expectations, predictions, intentions or beliefs about future events. Forward-looking statements involve risks and uncertainties, and actual results may differ materially from those discussed in any such statement. Factors that could cause actual results to differ materially from these forward-looking statements include the risks described in the section titled “Risk Factors.” Factors or events that could cause the Bank’s actual results to differ may emerge from time to time, and it is not possible for the Bank to predict all such factors or results. The Bank undertakes no obligation to publicly update any forward-looking statement, whether as a result of new information, future developments or otherwise, except as may be required by applicable law or regulation. Forward-looking statements include statements regarding:</w:t>
      </w:r>
    </w:p>
    <w:p>
      <w:pPr>
        <w:spacing w:after="0" w:line="130" w:lineRule="exact"/>
        <w:rPr>
          <w:sz w:val="20"/>
          <w:szCs w:val="20"/>
          <w:color w:val="auto"/>
        </w:rPr>
      </w:pPr>
    </w:p>
    <w:p>
      <w:pPr>
        <w:ind w:left="220" w:hanging="165"/>
        <w:spacing w:after="0"/>
        <w:tabs>
          <w:tab w:leader="none" w:pos="220" w:val="left"/>
        </w:tabs>
        <w:numPr>
          <w:ilvl w:val="0"/>
          <w:numId w:val="7"/>
        </w:numPr>
        <w:rPr>
          <w:rFonts w:ascii="Arial" w:cs="Arial" w:eastAsia="Arial" w:hAnsi="Arial"/>
          <w:sz w:val="13"/>
          <w:szCs w:val="13"/>
          <w:color w:val="auto"/>
        </w:rPr>
      </w:pPr>
      <w:r>
        <w:rPr>
          <w:rFonts w:ascii="Arial" w:cs="Arial" w:eastAsia="Arial" w:hAnsi="Arial"/>
          <w:sz w:val="13"/>
          <w:szCs w:val="13"/>
          <w:color w:val="auto"/>
        </w:rPr>
        <w:t>general economic, political and business conditions in North America, Central America, South America and the jurisdictions in which the Bank or its customers operate;</w:t>
      </w:r>
    </w:p>
    <w:p>
      <w:pPr>
        <w:spacing w:after="0" w:line="12" w:lineRule="exact"/>
        <w:rPr>
          <w:rFonts w:ascii="Arial" w:cs="Arial" w:eastAsia="Arial" w:hAnsi="Arial"/>
          <w:sz w:val="13"/>
          <w:szCs w:val="13"/>
          <w:color w:val="auto"/>
        </w:rPr>
      </w:pPr>
    </w:p>
    <w:p>
      <w:pPr>
        <w:ind w:left="220" w:hanging="165"/>
        <w:spacing w:after="0"/>
        <w:tabs>
          <w:tab w:leader="none" w:pos="220" w:val="left"/>
        </w:tabs>
        <w:numPr>
          <w:ilvl w:val="0"/>
          <w:numId w:val="7"/>
        </w:numPr>
        <w:rPr>
          <w:rFonts w:ascii="Arial" w:cs="Arial" w:eastAsia="Arial" w:hAnsi="Arial"/>
          <w:sz w:val="13"/>
          <w:szCs w:val="13"/>
          <w:color w:val="auto"/>
        </w:rPr>
      </w:pPr>
      <w:r>
        <w:rPr>
          <w:rFonts w:ascii="Arial" w:cs="Arial" w:eastAsia="Arial" w:hAnsi="Arial"/>
          <w:sz w:val="13"/>
          <w:szCs w:val="13"/>
          <w:color w:val="auto"/>
        </w:rPr>
        <w:t>the growth of the Bank’s Credit Portfolio, including its trade finance portfolio;</w:t>
      </w:r>
    </w:p>
    <w:p>
      <w:pPr>
        <w:spacing w:after="0" w:line="4" w:lineRule="exact"/>
        <w:rPr>
          <w:rFonts w:ascii="Arial" w:cs="Arial" w:eastAsia="Arial" w:hAnsi="Arial"/>
          <w:sz w:val="13"/>
          <w:szCs w:val="13"/>
          <w:color w:val="auto"/>
        </w:rPr>
      </w:pPr>
    </w:p>
    <w:p>
      <w:pPr>
        <w:ind w:left="220" w:hanging="165"/>
        <w:spacing w:after="0"/>
        <w:tabs>
          <w:tab w:leader="none" w:pos="220" w:val="left"/>
        </w:tabs>
        <w:numPr>
          <w:ilvl w:val="0"/>
          <w:numId w:val="7"/>
        </w:numPr>
        <w:rPr>
          <w:rFonts w:ascii="Arial" w:cs="Arial" w:eastAsia="Arial" w:hAnsi="Arial"/>
          <w:sz w:val="13"/>
          <w:szCs w:val="13"/>
          <w:color w:val="auto"/>
        </w:rPr>
      </w:pPr>
      <w:r>
        <w:rPr>
          <w:rFonts w:ascii="Arial" w:cs="Arial" w:eastAsia="Arial" w:hAnsi="Arial"/>
          <w:sz w:val="13"/>
          <w:szCs w:val="13"/>
          <w:color w:val="auto"/>
        </w:rPr>
        <w:t>the Bank’s ability to increase the number of its clients;</w:t>
      </w:r>
    </w:p>
    <w:p>
      <w:pPr>
        <w:spacing w:after="0" w:line="4" w:lineRule="exact"/>
        <w:rPr>
          <w:rFonts w:ascii="Arial" w:cs="Arial" w:eastAsia="Arial" w:hAnsi="Arial"/>
          <w:sz w:val="13"/>
          <w:szCs w:val="13"/>
          <w:color w:val="auto"/>
        </w:rPr>
      </w:pPr>
    </w:p>
    <w:p>
      <w:pPr>
        <w:ind w:left="220" w:hanging="165"/>
        <w:spacing w:after="0"/>
        <w:tabs>
          <w:tab w:leader="none" w:pos="220" w:val="left"/>
        </w:tabs>
        <w:numPr>
          <w:ilvl w:val="0"/>
          <w:numId w:val="7"/>
        </w:numPr>
        <w:rPr>
          <w:rFonts w:ascii="Arial" w:cs="Arial" w:eastAsia="Arial" w:hAnsi="Arial"/>
          <w:sz w:val="13"/>
          <w:szCs w:val="13"/>
          <w:color w:val="auto"/>
        </w:rPr>
      </w:pPr>
      <w:r>
        <w:rPr>
          <w:rFonts w:ascii="Arial" w:cs="Arial" w:eastAsia="Arial" w:hAnsi="Arial"/>
          <w:sz w:val="13"/>
          <w:szCs w:val="13"/>
          <w:color w:val="auto"/>
        </w:rPr>
        <w:t>the Bank’s ability to maintain its investment-grade credit ratings and preferred creditor status;</w:t>
      </w:r>
    </w:p>
    <w:p>
      <w:pPr>
        <w:spacing w:after="0" w:line="4" w:lineRule="exact"/>
        <w:rPr>
          <w:rFonts w:ascii="Arial" w:cs="Arial" w:eastAsia="Arial" w:hAnsi="Arial"/>
          <w:sz w:val="13"/>
          <w:szCs w:val="13"/>
          <w:color w:val="auto"/>
        </w:rPr>
      </w:pPr>
    </w:p>
    <w:p>
      <w:pPr>
        <w:ind w:left="220" w:hanging="165"/>
        <w:spacing w:after="0"/>
        <w:tabs>
          <w:tab w:leader="none" w:pos="220" w:val="left"/>
        </w:tabs>
        <w:numPr>
          <w:ilvl w:val="0"/>
          <w:numId w:val="7"/>
        </w:numPr>
        <w:rPr>
          <w:rFonts w:ascii="Arial" w:cs="Arial" w:eastAsia="Arial" w:hAnsi="Arial"/>
          <w:sz w:val="13"/>
          <w:szCs w:val="13"/>
          <w:color w:val="auto"/>
        </w:rPr>
      </w:pPr>
      <w:r>
        <w:rPr>
          <w:rFonts w:ascii="Arial" w:cs="Arial" w:eastAsia="Arial" w:hAnsi="Arial"/>
          <w:sz w:val="13"/>
          <w:szCs w:val="13"/>
          <w:color w:val="auto"/>
        </w:rPr>
        <w:t>the effects of changing interest rates, inflation, exchange rates and the macroeconomic environment in the Region on the Bank’s financial condition;</w:t>
      </w:r>
    </w:p>
    <w:p>
      <w:pPr>
        <w:spacing w:after="0" w:line="4" w:lineRule="exact"/>
        <w:rPr>
          <w:rFonts w:ascii="Arial" w:cs="Arial" w:eastAsia="Arial" w:hAnsi="Arial"/>
          <w:sz w:val="13"/>
          <w:szCs w:val="13"/>
          <w:color w:val="auto"/>
        </w:rPr>
      </w:pPr>
    </w:p>
    <w:p>
      <w:pPr>
        <w:ind w:left="220" w:hanging="165"/>
        <w:spacing w:after="0"/>
        <w:tabs>
          <w:tab w:leader="none" w:pos="220" w:val="left"/>
        </w:tabs>
        <w:numPr>
          <w:ilvl w:val="0"/>
          <w:numId w:val="7"/>
        </w:numPr>
        <w:rPr>
          <w:rFonts w:ascii="Arial" w:cs="Arial" w:eastAsia="Arial" w:hAnsi="Arial"/>
          <w:sz w:val="13"/>
          <w:szCs w:val="13"/>
          <w:color w:val="auto"/>
        </w:rPr>
      </w:pPr>
      <w:r>
        <w:rPr>
          <w:rFonts w:ascii="Arial" w:cs="Arial" w:eastAsia="Arial" w:hAnsi="Arial"/>
          <w:sz w:val="13"/>
          <w:szCs w:val="13"/>
          <w:color w:val="auto"/>
        </w:rPr>
        <w:t>the execution of the Bank’s strategies and initiatives, including its revenue diversification strategy;</w:t>
      </w:r>
    </w:p>
    <w:p>
      <w:pPr>
        <w:spacing w:after="0" w:line="4" w:lineRule="exact"/>
        <w:rPr>
          <w:rFonts w:ascii="Arial" w:cs="Arial" w:eastAsia="Arial" w:hAnsi="Arial"/>
          <w:sz w:val="13"/>
          <w:szCs w:val="13"/>
          <w:color w:val="auto"/>
        </w:rPr>
      </w:pPr>
    </w:p>
    <w:p>
      <w:pPr>
        <w:ind w:left="220" w:hanging="165"/>
        <w:spacing w:after="0"/>
        <w:tabs>
          <w:tab w:leader="none" w:pos="220" w:val="left"/>
        </w:tabs>
        <w:numPr>
          <w:ilvl w:val="0"/>
          <w:numId w:val="7"/>
        </w:numPr>
        <w:rPr>
          <w:rFonts w:ascii="Arial" w:cs="Arial" w:eastAsia="Arial" w:hAnsi="Arial"/>
          <w:sz w:val="13"/>
          <w:szCs w:val="13"/>
          <w:color w:val="auto"/>
        </w:rPr>
      </w:pPr>
      <w:r>
        <w:rPr>
          <w:rFonts w:ascii="Arial" w:cs="Arial" w:eastAsia="Arial" w:hAnsi="Arial"/>
          <w:sz w:val="13"/>
          <w:szCs w:val="13"/>
          <w:color w:val="auto"/>
        </w:rPr>
        <w:t>anticipated profits and return on equity in future periods;</w:t>
      </w:r>
    </w:p>
    <w:p>
      <w:pPr>
        <w:spacing w:after="0" w:line="4" w:lineRule="exact"/>
        <w:rPr>
          <w:rFonts w:ascii="Arial" w:cs="Arial" w:eastAsia="Arial" w:hAnsi="Arial"/>
          <w:sz w:val="13"/>
          <w:szCs w:val="13"/>
          <w:color w:val="auto"/>
        </w:rPr>
      </w:pPr>
    </w:p>
    <w:p>
      <w:pPr>
        <w:ind w:left="220" w:hanging="165"/>
        <w:spacing w:after="0"/>
        <w:tabs>
          <w:tab w:leader="none" w:pos="220" w:val="left"/>
        </w:tabs>
        <w:numPr>
          <w:ilvl w:val="0"/>
          <w:numId w:val="7"/>
        </w:numPr>
        <w:rPr>
          <w:rFonts w:ascii="Arial" w:cs="Arial" w:eastAsia="Arial" w:hAnsi="Arial"/>
          <w:sz w:val="13"/>
          <w:szCs w:val="13"/>
          <w:color w:val="auto"/>
        </w:rPr>
      </w:pPr>
      <w:r>
        <w:rPr>
          <w:rFonts w:ascii="Arial" w:cs="Arial" w:eastAsia="Arial" w:hAnsi="Arial"/>
          <w:sz w:val="13"/>
          <w:szCs w:val="13"/>
          <w:color w:val="auto"/>
        </w:rPr>
        <w:t>the Bank’s level of capitalization and debt;</w:t>
      </w:r>
    </w:p>
    <w:p>
      <w:pPr>
        <w:spacing w:after="0" w:line="4" w:lineRule="exact"/>
        <w:rPr>
          <w:rFonts w:ascii="Arial" w:cs="Arial" w:eastAsia="Arial" w:hAnsi="Arial"/>
          <w:sz w:val="13"/>
          <w:szCs w:val="13"/>
          <w:color w:val="auto"/>
        </w:rPr>
      </w:pPr>
    </w:p>
    <w:p>
      <w:pPr>
        <w:ind w:left="220" w:hanging="165"/>
        <w:spacing w:after="0"/>
        <w:tabs>
          <w:tab w:leader="none" w:pos="220" w:val="left"/>
        </w:tabs>
        <w:numPr>
          <w:ilvl w:val="0"/>
          <w:numId w:val="7"/>
        </w:numPr>
        <w:rPr>
          <w:rFonts w:ascii="Arial" w:cs="Arial" w:eastAsia="Arial" w:hAnsi="Arial"/>
          <w:sz w:val="13"/>
          <w:szCs w:val="13"/>
          <w:color w:val="auto"/>
        </w:rPr>
      </w:pPr>
      <w:r>
        <w:rPr>
          <w:rFonts w:ascii="Arial" w:cs="Arial" w:eastAsia="Arial" w:hAnsi="Arial"/>
          <w:sz w:val="13"/>
          <w:szCs w:val="13"/>
          <w:color w:val="auto"/>
        </w:rPr>
        <w:t>the implied volatility of the Bank’s Treasury profits;</w:t>
      </w:r>
    </w:p>
    <w:p>
      <w:pPr>
        <w:spacing w:after="0" w:line="4" w:lineRule="exact"/>
        <w:rPr>
          <w:rFonts w:ascii="Arial" w:cs="Arial" w:eastAsia="Arial" w:hAnsi="Arial"/>
          <w:sz w:val="13"/>
          <w:szCs w:val="13"/>
          <w:color w:val="auto"/>
        </w:rPr>
      </w:pPr>
    </w:p>
    <w:p>
      <w:pPr>
        <w:ind w:left="220" w:hanging="165"/>
        <w:spacing w:after="0"/>
        <w:tabs>
          <w:tab w:leader="none" w:pos="220" w:val="left"/>
        </w:tabs>
        <w:numPr>
          <w:ilvl w:val="0"/>
          <w:numId w:val="7"/>
        </w:numPr>
        <w:rPr>
          <w:rFonts w:ascii="Arial" w:cs="Arial" w:eastAsia="Arial" w:hAnsi="Arial"/>
          <w:sz w:val="13"/>
          <w:szCs w:val="13"/>
          <w:color w:val="auto"/>
        </w:rPr>
      </w:pPr>
      <w:r>
        <w:rPr>
          <w:rFonts w:ascii="Arial" w:cs="Arial" w:eastAsia="Arial" w:hAnsi="Arial"/>
          <w:sz w:val="13"/>
          <w:szCs w:val="13"/>
          <w:color w:val="auto"/>
        </w:rPr>
        <w:t>levels of defaults by borrowers and the adequacy of the Bank’s allowance for losses on financial instruments and the measure of its expected credit loss model;</w:t>
      </w:r>
    </w:p>
    <w:p>
      <w:pPr>
        <w:spacing w:after="0" w:line="299"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5" w:name="page6"/>
    <w:bookmarkEnd w:id="5"/>
    <w:p>
      <w:pPr>
        <w:ind w:left="220" w:hanging="165"/>
        <w:spacing w:after="0"/>
        <w:tabs>
          <w:tab w:leader="none" w:pos="220" w:val="left"/>
        </w:tabs>
        <w:numPr>
          <w:ilvl w:val="0"/>
          <w:numId w:val="8"/>
        </w:numPr>
        <w:rPr>
          <w:rFonts w:ascii="Arial" w:cs="Arial" w:eastAsia="Arial" w:hAnsi="Arial"/>
          <w:sz w:val="13"/>
          <w:szCs w:val="13"/>
          <w:color w:val="auto"/>
        </w:rPr>
      </w:pPr>
      <w:r>
        <w:rPr>
          <w:rFonts w:ascii="Arial" w:cs="Arial" w:eastAsia="Arial" w:hAnsi="Arial"/>
          <w:sz w:val="13"/>
          <w:szCs w:val="13"/>
          <w:color w:val="auto"/>
        </w:rPr>
        <w:t>the availability and mix of future sources of funding for the Bank’s lending operations;</w:t>
      </w:r>
    </w:p>
    <w:p>
      <w:pPr>
        <w:spacing w:after="0" w:line="12" w:lineRule="exact"/>
        <w:rPr>
          <w:rFonts w:ascii="Arial" w:cs="Arial" w:eastAsia="Arial" w:hAnsi="Arial"/>
          <w:sz w:val="13"/>
          <w:szCs w:val="13"/>
          <w:color w:val="auto"/>
        </w:rPr>
      </w:pPr>
    </w:p>
    <w:p>
      <w:pPr>
        <w:ind w:left="220" w:hanging="165"/>
        <w:spacing w:after="0"/>
        <w:tabs>
          <w:tab w:leader="none" w:pos="220" w:val="left"/>
        </w:tabs>
        <w:numPr>
          <w:ilvl w:val="0"/>
          <w:numId w:val="8"/>
        </w:numPr>
        <w:rPr>
          <w:rFonts w:ascii="Arial" w:cs="Arial" w:eastAsia="Arial" w:hAnsi="Arial"/>
          <w:sz w:val="13"/>
          <w:szCs w:val="13"/>
          <w:color w:val="auto"/>
        </w:rPr>
      </w:pPr>
      <w:r>
        <w:rPr>
          <w:rFonts w:ascii="Arial" w:cs="Arial" w:eastAsia="Arial" w:hAnsi="Arial"/>
          <w:sz w:val="13"/>
          <w:szCs w:val="13"/>
          <w:color w:val="auto"/>
        </w:rPr>
        <w:t>the adequacy of the Bank’s sources of liquidity to cover large deposit withdrawals;</w:t>
      </w:r>
    </w:p>
    <w:p>
      <w:pPr>
        <w:spacing w:after="0" w:line="4" w:lineRule="exact"/>
        <w:rPr>
          <w:rFonts w:ascii="Arial" w:cs="Arial" w:eastAsia="Arial" w:hAnsi="Arial"/>
          <w:sz w:val="13"/>
          <w:szCs w:val="13"/>
          <w:color w:val="auto"/>
        </w:rPr>
      </w:pPr>
    </w:p>
    <w:p>
      <w:pPr>
        <w:ind w:left="220" w:hanging="165"/>
        <w:spacing w:after="0"/>
        <w:tabs>
          <w:tab w:leader="none" w:pos="220" w:val="left"/>
        </w:tabs>
        <w:numPr>
          <w:ilvl w:val="0"/>
          <w:numId w:val="8"/>
        </w:numPr>
        <w:rPr>
          <w:rFonts w:ascii="Arial" w:cs="Arial" w:eastAsia="Arial" w:hAnsi="Arial"/>
          <w:sz w:val="13"/>
          <w:szCs w:val="13"/>
          <w:color w:val="auto"/>
        </w:rPr>
      </w:pPr>
      <w:r>
        <w:rPr>
          <w:rFonts w:ascii="Arial" w:cs="Arial" w:eastAsia="Arial" w:hAnsi="Arial"/>
          <w:sz w:val="13"/>
          <w:szCs w:val="13"/>
          <w:color w:val="auto"/>
        </w:rPr>
        <w:t>management’s expectations and estimates concerning the Bank’s future financial performance, financing, plans and programs, and the effects of competition;</w:t>
      </w:r>
    </w:p>
    <w:p>
      <w:pPr>
        <w:spacing w:after="0" w:line="4" w:lineRule="exact"/>
        <w:rPr>
          <w:rFonts w:ascii="Arial" w:cs="Arial" w:eastAsia="Arial" w:hAnsi="Arial"/>
          <w:sz w:val="13"/>
          <w:szCs w:val="13"/>
          <w:color w:val="auto"/>
        </w:rPr>
      </w:pPr>
    </w:p>
    <w:p>
      <w:pPr>
        <w:ind w:left="220" w:hanging="165"/>
        <w:spacing w:after="0"/>
        <w:tabs>
          <w:tab w:leader="none" w:pos="220" w:val="left"/>
        </w:tabs>
        <w:numPr>
          <w:ilvl w:val="0"/>
          <w:numId w:val="8"/>
        </w:numPr>
        <w:rPr>
          <w:rFonts w:ascii="Arial" w:cs="Arial" w:eastAsia="Arial" w:hAnsi="Arial"/>
          <w:sz w:val="13"/>
          <w:szCs w:val="13"/>
          <w:color w:val="auto"/>
        </w:rPr>
      </w:pPr>
      <w:r>
        <w:rPr>
          <w:rFonts w:ascii="Arial" w:cs="Arial" w:eastAsia="Arial" w:hAnsi="Arial"/>
          <w:sz w:val="13"/>
          <w:szCs w:val="13"/>
          <w:color w:val="auto"/>
        </w:rPr>
        <w:t>government regulations and tax laws and changes therein;</w:t>
      </w:r>
    </w:p>
    <w:p>
      <w:pPr>
        <w:spacing w:after="0" w:line="4" w:lineRule="exact"/>
        <w:rPr>
          <w:rFonts w:ascii="Arial" w:cs="Arial" w:eastAsia="Arial" w:hAnsi="Arial"/>
          <w:sz w:val="13"/>
          <w:szCs w:val="13"/>
          <w:color w:val="auto"/>
        </w:rPr>
      </w:pPr>
    </w:p>
    <w:p>
      <w:pPr>
        <w:ind w:left="220" w:hanging="165"/>
        <w:spacing w:after="0"/>
        <w:tabs>
          <w:tab w:leader="none" w:pos="220" w:val="left"/>
        </w:tabs>
        <w:numPr>
          <w:ilvl w:val="0"/>
          <w:numId w:val="8"/>
        </w:numPr>
        <w:rPr>
          <w:rFonts w:ascii="Arial" w:cs="Arial" w:eastAsia="Arial" w:hAnsi="Arial"/>
          <w:sz w:val="13"/>
          <w:szCs w:val="13"/>
          <w:color w:val="auto"/>
        </w:rPr>
      </w:pPr>
      <w:r>
        <w:rPr>
          <w:rFonts w:ascii="Arial" w:cs="Arial" w:eastAsia="Arial" w:hAnsi="Arial"/>
          <w:sz w:val="13"/>
          <w:szCs w:val="13"/>
          <w:color w:val="auto"/>
        </w:rPr>
        <w:t>increases in compulsory reserve and deposit requirements;</w:t>
      </w:r>
    </w:p>
    <w:p>
      <w:pPr>
        <w:spacing w:after="0" w:line="4" w:lineRule="exact"/>
        <w:rPr>
          <w:rFonts w:ascii="Arial" w:cs="Arial" w:eastAsia="Arial" w:hAnsi="Arial"/>
          <w:sz w:val="13"/>
          <w:szCs w:val="13"/>
          <w:color w:val="auto"/>
        </w:rPr>
      </w:pPr>
    </w:p>
    <w:p>
      <w:pPr>
        <w:ind w:left="220" w:hanging="165"/>
        <w:spacing w:after="0"/>
        <w:tabs>
          <w:tab w:leader="none" w:pos="220" w:val="left"/>
        </w:tabs>
        <w:numPr>
          <w:ilvl w:val="0"/>
          <w:numId w:val="8"/>
        </w:numPr>
        <w:rPr>
          <w:rFonts w:ascii="Arial" w:cs="Arial" w:eastAsia="Arial" w:hAnsi="Arial"/>
          <w:sz w:val="13"/>
          <w:szCs w:val="13"/>
          <w:color w:val="auto"/>
        </w:rPr>
      </w:pPr>
      <w:r>
        <w:rPr>
          <w:rFonts w:ascii="Arial" w:cs="Arial" w:eastAsia="Arial" w:hAnsi="Arial"/>
          <w:sz w:val="13"/>
          <w:szCs w:val="13"/>
          <w:color w:val="auto"/>
        </w:rPr>
        <w:t>effectiveness of the Bank’s risk management policies;</w:t>
      </w:r>
    </w:p>
    <w:p>
      <w:pPr>
        <w:spacing w:after="0" w:line="4" w:lineRule="exact"/>
        <w:rPr>
          <w:rFonts w:ascii="Arial" w:cs="Arial" w:eastAsia="Arial" w:hAnsi="Arial"/>
          <w:sz w:val="13"/>
          <w:szCs w:val="13"/>
          <w:color w:val="auto"/>
        </w:rPr>
      </w:pPr>
    </w:p>
    <w:p>
      <w:pPr>
        <w:ind w:left="220" w:hanging="165"/>
        <w:spacing w:after="0"/>
        <w:tabs>
          <w:tab w:leader="none" w:pos="220" w:val="left"/>
        </w:tabs>
        <w:numPr>
          <w:ilvl w:val="0"/>
          <w:numId w:val="8"/>
        </w:numPr>
        <w:rPr>
          <w:rFonts w:ascii="Arial" w:cs="Arial" w:eastAsia="Arial" w:hAnsi="Arial"/>
          <w:sz w:val="13"/>
          <w:szCs w:val="13"/>
          <w:color w:val="auto"/>
        </w:rPr>
      </w:pPr>
      <w:r>
        <w:rPr>
          <w:rFonts w:ascii="Arial" w:cs="Arial" w:eastAsia="Arial" w:hAnsi="Arial"/>
          <w:sz w:val="13"/>
          <w:szCs w:val="13"/>
          <w:color w:val="auto"/>
        </w:rPr>
        <w:t>failure in, or breach of, the Bank’s operational or security systems or infrastructure;</w:t>
      </w:r>
    </w:p>
    <w:p>
      <w:pPr>
        <w:spacing w:after="0" w:line="4" w:lineRule="exact"/>
        <w:rPr>
          <w:rFonts w:ascii="Arial" w:cs="Arial" w:eastAsia="Arial" w:hAnsi="Arial"/>
          <w:sz w:val="13"/>
          <w:szCs w:val="13"/>
          <w:color w:val="auto"/>
        </w:rPr>
      </w:pPr>
    </w:p>
    <w:p>
      <w:pPr>
        <w:ind w:left="220" w:hanging="165"/>
        <w:spacing w:after="0"/>
        <w:tabs>
          <w:tab w:leader="none" w:pos="220" w:val="left"/>
        </w:tabs>
        <w:numPr>
          <w:ilvl w:val="0"/>
          <w:numId w:val="8"/>
        </w:numPr>
        <w:rPr>
          <w:rFonts w:ascii="Arial" w:cs="Arial" w:eastAsia="Arial" w:hAnsi="Arial"/>
          <w:sz w:val="13"/>
          <w:szCs w:val="13"/>
          <w:color w:val="auto"/>
        </w:rPr>
      </w:pPr>
      <w:r>
        <w:rPr>
          <w:rFonts w:ascii="Arial" w:cs="Arial" w:eastAsia="Arial" w:hAnsi="Arial"/>
          <w:sz w:val="13"/>
          <w:szCs w:val="13"/>
          <w:color w:val="auto"/>
        </w:rPr>
        <w:t>regulation of the Bank’s business and operations on a consolidated basis;</w:t>
      </w:r>
    </w:p>
    <w:p>
      <w:pPr>
        <w:spacing w:after="0" w:line="4" w:lineRule="exact"/>
        <w:rPr>
          <w:rFonts w:ascii="Arial" w:cs="Arial" w:eastAsia="Arial" w:hAnsi="Arial"/>
          <w:sz w:val="13"/>
          <w:szCs w:val="13"/>
          <w:color w:val="auto"/>
        </w:rPr>
      </w:pPr>
    </w:p>
    <w:p>
      <w:pPr>
        <w:ind w:left="220" w:hanging="165"/>
        <w:spacing w:after="0" w:line="247" w:lineRule="auto"/>
        <w:tabs>
          <w:tab w:leader="none" w:pos="220" w:val="left"/>
        </w:tabs>
        <w:numPr>
          <w:ilvl w:val="0"/>
          <w:numId w:val="8"/>
        </w:numPr>
        <w:rPr>
          <w:rFonts w:ascii="Arial" w:cs="Arial" w:eastAsia="Arial" w:hAnsi="Arial"/>
          <w:sz w:val="13"/>
          <w:szCs w:val="13"/>
          <w:color w:val="auto"/>
        </w:rPr>
      </w:pPr>
      <w:r>
        <w:rPr>
          <w:rFonts w:ascii="Arial" w:cs="Arial" w:eastAsia="Arial" w:hAnsi="Arial"/>
          <w:sz w:val="13"/>
          <w:szCs w:val="13"/>
          <w:color w:val="auto"/>
        </w:rPr>
        <w:t>the effects of possible changes in economic or financial sanctions, requirements, or trade embargoes, changes in international trade, tariffs, restrictions or policies, such as those imposed or implemented by the current administration in the United States of America (“United States” or “U.S.”), or as a result of the United Kingdom’s (“U.K.”) exit from the European Union (“Brexit”);</w:t>
      </w:r>
    </w:p>
    <w:p>
      <w:pPr>
        <w:ind w:left="220" w:hanging="165"/>
        <w:spacing w:after="0"/>
        <w:tabs>
          <w:tab w:leader="none" w:pos="220" w:val="left"/>
        </w:tabs>
        <w:numPr>
          <w:ilvl w:val="0"/>
          <w:numId w:val="8"/>
        </w:numPr>
        <w:rPr>
          <w:rFonts w:ascii="Arial" w:cs="Arial" w:eastAsia="Arial" w:hAnsi="Arial"/>
          <w:sz w:val="13"/>
          <w:szCs w:val="13"/>
          <w:color w:val="auto"/>
        </w:rPr>
      </w:pPr>
      <w:r>
        <w:rPr>
          <w:rFonts w:ascii="Arial" w:cs="Arial" w:eastAsia="Arial" w:hAnsi="Arial"/>
          <w:sz w:val="13"/>
          <w:szCs w:val="13"/>
          <w:color w:val="auto"/>
        </w:rPr>
        <w:t>credit and other risks of lending and investment activities; and</w:t>
      </w:r>
    </w:p>
    <w:p>
      <w:pPr>
        <w:spacing w:after="0" w:line="4" w:lineRule="exact"/>
        <w:rPr>
          <w:rFonts w:ascii="Arial" w:cs="Arial" w:eastAsia="Arial" w:hAnsi="Arial"/>
          <w:sz w:val="13"/>
          <w:szCs w:val="13"/>
          <w:color w:val="auto"/>
        </w:rPr>
      </w:pPr>
    </w:p>
    <w:p>
      <w:pPr>
        <w:ind w:left="220" w:hanging="165"/>
        <w:spacing w:after="0"/>
        <w:tabs>
          <w:tab w:leader="none" w:pos="220" w:val="left"/>
        </w:tabs>
        <w:numPr>
          <w:ilvl w:val="0"/>
          <w:numId w:val="8"/>
        </w:numPr>
        <w:rPr>
          <w:rFonts w:ascii="Arial" w:cs="Arial" w:eastAsia="Arial" w:hAnsi="Arial"/>
          <w:sz w:val="13"/>
          <w:szCs w:val="13"/>
          <w:color w:val="auto"/>
        </w:rPr>
      </w:pPr>
      <w:r>
        <w:rPr>
          <w:rFonts w:ascii="Arial" w:cs="Arial" w:eastAsia="Arial" w:hAnsi="Arial"/>
          <w:sz w:val="13"/>
          <w:szCs w:val="13"/>
          <w:color w:val="auto"/>
        </w:rPr>
        <w:t>the Bank’s ability to sustain or improve its operating performance.</w:t>
      </w:r>
    </w:p>
    <w:p>
      <w:pPr>
        <w:spacing w:after="0" w:line="150"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In addition, the statements included under the headings “Item 4.B. Business Overview—Strategies for 2019 and Subsequent Years” and “Item 5.D. Trend Information” are forward-looking statements. Given the risks and uncertainties surrounding forward-looking statements, undue reliance should not be placed on these statements. Many of these factors are beyond the Bank’s ability to control or predict. The Bank’s forward-looking statements speak only as of the date of this Annual Report. Other than as required by law, the Bank undertakes no obligation to update or revise forward-looking statements, whether as a result of new information, future events, or otherwise.</w:t>
      </w:r>
    </w:p>
    <w:p>
      <w:pPr>
        <w:spacing w:after="0" w:line="286"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89" w:right="219" w:bottom="1440" w:gutter="0" w:footer="0" w:header="0"/>
        </w:sectPr>
      </w:pPr>
    </w:p>
    <w:bookmarkStart w:id="6" w:name="page7"/>
    <w:bookmarkEnd w:id="6"/>
    <w:p>
      <w:pPr>
        <w:jc w:val="center"/>
        <w:ind w:right="-2"/>
        <w:spacing w:after="0"/>
        <w:rPr>
          <w:sz w:val="20"/>
          <w:szCs w:val="20"/>
          <w:color w:val="auto"/>
        </w:rPr>
      </w:pPr>
      <w:r>
        <w:rPr>
          <w:rFonts w:ascii="Arial" w:cs="Arial" w:eastAsia="Arial" w:hAnsi="Arial"/>
          <w:sz w:val="13"/>
          <w:szCs w:val="13"/>
          <w:b w:val="1"/>
          <w:bCs w:val="1"/>
          <w:color w:val="auto"/>
        </w:rPr>
        <w:t>PART I</w:t>
      </w:r>
    </w:p>
    <w:p>
      <w:pPr>
        <w:spacing w:after="0" w:line="159" w:lineRule="exact"/>
        <w:rPr>
          <w:sz w:val="20"/>
          <w:szCs w:val="20"/>
          <w:color w:val="auto"/>
        </w:rPr>
      </w:pPr>
    </w:p>
    <w:p>
      <w:pPr>
        <w:ind w:left="3"/>
        <w:spacing w:after="0"/>
        <w:tabs>
          <w:tab w:leader="none" w:pos="903" w:val="left"/>
        </w:tabs>
        <w:rPr>
          <w:sz w:val="20"/>
          <w:szCs w:val="20"/>
          <w:color w:val="auto"/>
        </w:rPr>
      </w:pPr>
      <w:r>
        <w:rPr>
          <w:rFonts w:ascii="Arial" w:cs="Arial" w:eastAsia="Arial" w:hAnsi="Arial"/>
          <w:sz w:val="13"/>
          <w:szCs w:val="13"/>
          <w:b w:val="1"/>
          <w:bCs w:val="1"/>
          <w:color w:val="auto"/>
        </w:rPr>
        <w:t>Item 1.</w:t>
      </w:r>
      <w:r>
        <w:rPr>
          <w:sz w:val="20"/>
          <w:szCs w:val="20"/>
          <w:color w:val="auto"/>
        </w:rPr>
        <w:tab/>
      </w:r>
      <w:r>
        <w:rPr>
          <w:rFonts w:ascii="Arial" w:cs="Arial" w:eastAsia="Arial" w:hAnsi="Arial"/>
          <w:sz w:val="11"/>
          <w:szCs w:val="11"/>
          <w:b w:val="1"/>
          <w:bCs w:val="1"/>
          <w:color w:val="auto"/>
        </w:rPr>
        <w:t>Identity of Directors, Senior Management and Advisers</w:t>
      </w:r>
    </w:p>
    <w:p>
      <w:pPr>
        <w:spacing w:after="0" w:line="163" w:lineRule="exact"/>
        <w:rPr>
          <w:sz w:val="20"/>
          <w:szCs w:val="20"/>
          <w:color w:val="auto"/>
        </w:rPr>
      </w:pPr>
    </w:p>
    <w:p>
      <w:pPr>
        <w:ind w:left="923"/>
        <w:spacing w:after="0"/>
        <w:rPr>
          <w:sz w:val="20"/>
          <w:szCs w:val="20"/>
          <w:color w:val="auto"/>
        </w:rPr>
      </w:pPr>
      <w:r>
        <w:rPr>
          <w:rFonts w:ascii="Arial" w:cs="Arial" w:eastAsia="Arial" w:hAnsi="Arial"/>
          <w:sz w:val="13"/>
          <w:szCs w:val="13"/>
          <w:color w:val="auto"/>
        </w:rPr>
        <w:t>Not required in this Annual Report.</w:t>
      </w:r>
    </w:p>
    <w:p>
      <w:pPr>
        <w:spacing w:after="0" w:line="155" w:lineRule="exact"/>
        <w:rPr>
          <w:sz w:val="20"/>
          <w:szCs w:val="20"/>
          <w:color w:val="auto"/>
        </w:rPr>
      </w:pPr>
    </w:p>
    <w:p>
      <w:pPr>
        <w:ind w:left="3"/>
        <w:spacing w:after="0"/>
        <w:tabs>
          <w:tab w:leader="none" w:pos="903" w:val="left"/>
        </w:tabs>
        <w:rPr>
          <w:sz w:val="20"/>
          <w:szCs w:val="20"/>
          <w:color w:val="auto"/>
        </w:rPr>
      </w:pPr>
      <w:r>
        <w:rPr>
          <w:rFonts w:ascii="Arial" w:cs="Arial" w:eastAsia="Arial" w:hAnsi="Arial"/>
          <w:sz w:val="13"/>
          <w:szCs w:val="13"/>
          <w:b w:val="1"/>
          <w:bCs w:val="1"/>
          <w:color w:val="auto"/>
        </w:rPr>
        <w:t>Item 2.</w:t>
      </w:r>
      <w:r>
        <w:rPr>
          <w:sz w:val="20"/>
          <w:szCs w:val="20"/>
          <w:color w:val="auto"/>
        </w:rPr>
        <w:tab/>
      </w:r>
      <w:r>
        <w:rPr>
          <w:rFonts w:ascii="Arial" w:cs="Arial" w:eastAsia="Arial" w:hAnsi="Arial"/>
          <w:sz w:val="11"/>
          <w:szCs w:val="11"/>
          <w:b w:val="1"/>
          <w:bCs w:val="1"/>
          <w:color w:val="auto"/>
        </w:rPr>
        <w:t>Offer Statistics and Expected Timetable</w:t>
      </w:r>
    </w:p>
    <w:p>
      <w:pPr>
        <w:spacing w:after="0" w:line="163" w:lineRule="exact"/>
        <w:rPr>
          <w:sz w:val="20"/>
          <w:szCs w:val="20"/>
          <w:color w:val="auto"/>
        </w:rPr>
      </w:pPr>
    </w:p>
    <w:p>
      <w:pPr>
        <w:ind w:left="923"/>
        <w:spacing w:after="0"/>
        <w:rPr>
          <w:sz w:val="20"/>
          <w:szCs w:val="20"/>
          <w:color w:val="auto"/>
        </w:rPr>
      </w:pPr>
      <w:r>
        <w:rPr>
          <w:rFonts w:ascii="Arial" w:cs="Arial" w:eastAsia="Arial" w:hAnsi="Arial"/>
          <w:sz w:val="13"/>
          <w:szCs w:val="13"/>
          <w:color w:val="auto"/>
        </w:rPr>
        <w:t>Not required in this Annual Report.</w:t>
      </w:r>
    </w:p>
    <w:p>
      <w:pPr>
        <w:spacing w:after="0" w:line="155" w:lineRule="exact"/>
        <w:rPr>
          <w:sz w:val="20"/>
          <w:szCs w:val="20"/>
          <w:color w:val="auto"/>
        </w:rPr>
      </w:pPr>
    </w:p>
    <w:p>
      <w:pPr>
        <w:ind w:left="3"/>
        <w:spacing w:after="0"/>
        <w:tabs>
          <w:tab w:leader="none" w:pos="903" w:val="left"/>
        </w:tabs>
        <w:rPr>
          <w:sz w:val="20"/>
          <w:szCs w:val="20"/>
          <w:color w:val="auto"/>
        </w:rPr>
      </w:pPr>
      <w:r>
        <w:rPr>
          <w:rFonts w:ascii="Arial" w:cs="Arial" w:eastAsia="Arial" w:hAnsi="Arial"/>
          <w:sz w:val="13"/>
          <w:szCs w:val="13"/>
          <w:b w:val="1"/>
          <w:bCs w:val="1"/>
          <w:color w:val="auto"/>
        </w:rPr>
        <w:t>Item 3.</w:t>
      </w:r>
      <w:r>
        <w:rPr>
          <w:sz w:val="20"/>
          <w:szCs w:val="20"/>
          <w:color w:val="auto"/>
        </w:rPr>
        <w:tab/>
      </w:r>
      <w:r>
        <w:rPr>
          <w:rFonts w:ascii="Arial" w:cs="Arial" w:eastAsia="Arial" w:hAnsi="Arial"/>
          <w:sz w:val="12"/>
          <w:szCs w:val="12"/>
          <w:b w:val="1"/>
          <w:bCs w:val="1"/>
          <w:color w:val="auto"/>
        </w:rPr>
        <w:t>Key Information</w:t>
      </w:r>
    </w:p>
    <w:p>
      <w:pPr>
        <w:spacing w:after="0" w:line="159" w:lineRule="exact"/>
        <w:rPr>
          <w:sz w:val="20"/>
          <w:szCs w:val="20"/>
          <w:color w:val="auto"/>
        </w:rPr>
      </w:pPr>
    </w:p>
    <w:p>
      <w:pPr>
        <w:ind w:left="463" w:hanging="463"/>
        <w:spacing w:after="0"/>
        <w:tabs>
          <w:tab w:leader="none" w:pos="463" w:val="left"/>
        </w:tabs>
        <w:numPr>
          <w:ilvl w:val="0"/>
          <w:numId w:val="9"/>
        </w:numPr>
        <w:rPr>
          <w:rFonts w:ascii="Arial" w:cs="Arial" w:eastAsia="Arial" w:hAnsi="Arial"/>
          <w:sz w:val="13"/>
          <w:szCs w:val="13"/>
          <w:b w:val="1"/>
          <w:bCs w:val="1"/>
          <w:color w:val="auto"/>
        </w:rPr>
      </w:pPr>
      <w:r>
        <w:rPr>
          <w:rFonts w:ascii="Arial" w:cs="Arial" w:eastAsia="Arial" w:hAnsi="Arial"/>
          <w:sz w:val="13"/>
          <w:szCs w:val="13"/>
          <w:b w:val="1"/>
          <w:bCs w:val="1"/>
          <w:color w:val="auto"/>
        </w:rPr>
        <w:t>Selected Financial Data</w:t>
      </w:r>
    </w:p>
    <w:p>
      <w:pPr>
        <w:spacing w:after="0" w:line="163" w:lineRule="exact"/>
        <w:rPr>
          <w:sz w:val="20"/>
          <w:szCs w:val="20"/>
          <w:color w:val="auto"/>
        </w:rPr>
      </w:pPr>
    </w:p>
    <w:p>
      <w:pPr>
        <w:jc w:val="both"/>
        <w:ind w:left="3"/>
        <w:spacing w:after="0" w:line="274" w:lineRule="auto"/>
        <w:rPr>
          <w:sz w:val="20"/>
          <w:szCs w:val="20"/>
          <w:color w:val="auto"/>
        </w:rPr>
      </w:pPr>
      <w:r>
        <w:rPr>
          <w:rFonts w:ascii="Arial" w:cs="Arial" w:eastAsia="Arial" w:hAnsi="Arial"/>
          <w:sz w:val="12"/>
          <w:szCs w:val="12"/>
          <w:color w:val="auto"/>
        </w:rPr>
        <w:t>The following table presents selected consolidated financial data for the Bank. The Consolidated Financial Statements were prepared and presented in accordance with International Financial Reporting Standards (“IFRS”) as issued by the International Accounting Standards Board (“IASB”). The following selected financial data as of December 31, 2018 and 2017, and for the years ended December 31, 2018, December 31, 2017 and December 31, 2016 has been derived from the Consolidated Financial Statements, and are included in this Annual Report beginning on page F-1, together with the reports of the independent registered public accounting firms KPMG LLP (“KPMG”) and Deloitte, Inc. (“Deloitte”). The Consolidated Financial Statements as of, and for the year ended December 31, 2018 were audited by the independent registered public accounting firm KPMG, and the Consolidated Financial Statements as of, and for the years ended, December 31, 2017, 2016, 2015, and 2014 were audited by the independent registered public accounting firm Deloitte. The information below is qualified in its entirety by reference to the detailed information included elsewhere herein and should be read in conjunction with Item 4, “Information on the Company,” Item 5, “Operating and Financial Review and Prospects,” and the Consolidated Financial Statements and notes thereto included in this Annual Report.</w:t>
      </w:r>
    </w:p>
    <w:p>
      <w:pPr>
        <w:spacing w:after="0" w:line="125" w:lineRule="exact"/>
        <w:rPr>
          <w:sz w:val="20"/>
          <w:szCs w:val="20"/>
          <w:color w:val="auto"/>
        </w:rPr>
      </w:pPr>
    </w:p>
    <w:tbl>
      <w:tblPr>
        <w:tblLayout w:type="fixed"/>
        <w:tblInd w:w="3" w:type="dxa"/>
        <w:tblCellMar>
          <w:top w:w="0" w:type="dxa"/>
          <w:left w:w="0" w:type="dxa"/>
          <w:bottom w:w="0" w:type="dxa"/>
          <w:right w:w="0" w:type="dxa"/>
        </w:tblCellMar>
      </w:tblPr>
      <w:tr>
        <w:trPr>
          <w:trHeight w:val="166"/>
        </w:trPr>
        <w:tc>
          <w:tcPr>
            <w:tcW w:w="3760" w:type="dxa"/>
            <w:vAlign w:val="bottom"/>
          </w:tcPr>
          <w:p>
            <w:pPr>
              <w:spacing w:after="0"/>
              <w:rPr>
                <w:sz w:val="20"/>
                <w:szCs w:val="20"/>
                <w:color w:val="auto"/>
              </w:rPr>
            </w:pPr>
            <w:r>
              <w:rPr>
                <w:rFonts w:ascii="Arial" w:cs="Arial" w:eastAsia="Arial" w:hAnsi="Arial"/>
                <w:sz w:val="13"/>
                <w:szCs w:val="13"/>
                <w:b w:val="1"/>
                <w:bCs w:val="1"/>
                <w:color w:val="auto"/>
              </w:rPr>
              <w:t>Consolidated Selected Financial Information</w:t>
            </w:r>
          </w:p>
        </w:tc>
        <w:tc>
          <w:tcPr>
            <w:tcW w:w="94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040" w:type="dxa"/>
            <w:vAlign w:val="bottom"/>
          </w:tcPr>
          <w:p>
            <w:pPr>
              <w:spacing w:after="0"/>
              <w:rPr>
                <w:sz w:val="14"/>
                <w:szCs w:val="14"/>
                <w:color w:val="auto"/>
              </w:rPr>
            </w:pPr>
          </w:p>
        </w:tc>
        <w:tc>
          <w:tcPr>
            <w:tcW w:w="340" w:type="dxa"/>
            <w:vAlign w:val="bottom"/>
          </w:tcPr>
          <w:p>
            <w:pPr>
              <w:spacing w:after="0"/>
              <w:rPr>
                <w:sz w:val="14"/>
                <w:szCs w:val="14"/>
                <w:color w:val="auto"/>
              </w:rPr>
            </w:pPr>
          </w:p>
        </w:tc>
        <w:tc>
          <w:tcPr>
            <w:tcW w:w="1040" w:type="dxa"/>
            <w:vAlign w:val="bottom"/>
          </w:tcPr>
          <w:p>
            <w:pPr>
              <w:spacing w:after="0"/>
              <w:rPr>
                <w:sz w:val="14"/>
                <w:szCs w:val="14"/>
                <w:color w:val="auto"/>
              </w:rPr>
            </w:pPr>
          </w:p>
        </w:tc>
        <w:tc>
          <w:tcPr>
            <w:tcW w:w="480" w:type="dxa"/>
            <w:vAlign w:val="bottom"/>
          </w:tcPr>
          <w:p>
            <w:pPr>
              <w:spacing w:after="0"/>
              <w:rPr>
                <w:sz w:val="14"/>
                <w:szCs w:val="14"/>
                <w:color w:val="auto"/>
              </w:rPr>
            </w:pPr>
          </w:p>
        </w:tc>
        <w:tc>
          <w:tcPr>
            <w:tcW w:w="90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340" w:type="dxa"/>
            <w:vAlign w:val="bottom"/>
          </w:tcPr>
          <w:p>
            <w:pPr>
              <w:spacing w:after="0"/>
              <w:rPr>
                <w:sz w:val="14"/>
                <w:szCs w:val="14"/>
                <w:color w:val="auto"/>
              </w:rPr>
            </w:pPr>
          </w:p>
        </w:tc>
        <w:tc>
          <w:tcPr>
            <w:tcW w:w="880" w:type="dxa"/>
            <w:vAlign w:val="bottom"/>
          </w:tcPr>
          <w:p>
            <w:pPr>
              <w:spacing w:after="0"/>
              <w:rPr>
                <w:sz w:val="14"/>
                <w:szCs w:val="14"/>
                <w:color w:val="auto"/>
              </w:rPr>
            </w:pPr>
          </w:p>
        </w:tc>
        <w:tc>
          <w:tcPr>
            <w:tcW w:w="120" w:type="dxa"/>
            <w:vAlign w:val="bottom"/>
          </w:tcPr>
          <w:p>
            <w:pPr>
              <w:spacing w:after="0"/>
              <w:rPr>
                <w:sz w:val="14"/>
                <w:szCs w:val="14"/>
                <w:color w:val="auto"/>
              </w:rPr>
            </w:pPr>
          </w:p>
        </w:tc>
      </w:tr>
      <w:tr>
        <w:trPr>
          <w:trHeight w:val="318"/>
        </w:trPr>
        <w:tc>
          <w:tcPr>
            <w:tcW w:w="376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1380" w:type="dxa"/>
            <w:vAlign w:val="bottom"/>
            <w:tcBorders>
              <w:bottom w:val="single" w:sz="8" w:color="auto"/>
            </w:tcBorders>
            <w:gridSpan w:val="2"/>
          </w:tcPr>
          <w:p>
            <w:pPr>
              <w:jc w:val="right"/>
              <w:ind w:right="136"/>
              <w:spacing w:after="0"/>
              <w:rPr>
                <w:sz w:val="20"/>
                <w:szCs w:val="20"/>
                <w:color w:val="auto"/>
              </w:rPr>
            </w:pPr>
            <w:r>
              <w:rPr>
                <w:rFonts w:ascii="Arial" w:cs="Arial" w:eastAsia="Arial" w:hAnsi="Arial"/>
                <w:sz w:val="13"/>
                <w:szCs w:val="13"/>
                <w:b w:val="1"/>
                <w:bCs w:val="1"/>
                <w:color w:val="auto"/>
                <w:w w:val="96"/>
              </w:rPr>
              <w:t>As of December 31,</w:t>
            </w:r>
          </w:p>
        </w:tc>
        <w:tc>
          <w:tcPr>
            <w:tcW w:w="36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r>
      <w:tr>
        <w:trPr>
          <w:trHeight w:val="154"/>
        </w:trPr>
        <w:tc>
          <w:tcPr>
            <w:tcW w:w="376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260" w:type="dxa"/>
            <w:vAlign w:val="bottom"/>
            <w:tcBorders>
              <w:bottom w:val="single" w:sz="8" w:color="auto"/>
            </w:tcBorders>
          </w:tcPr>
          <w:p>
            <w:pPr>
              <w:spacing w:after="0"/>
              <w:rPr>
                <w:sz w:val="13"/>
                <w:szCs w:val="13"/>
                <w:color w:val="auto"/>
              </w:rPr>
            </w:pPr>
          </w:p>
        </w:tc>
        <w:tc>
          <w:tcPr>
            <w:tcW w:w="1040" w:type="dxa"/>
            <w:vAlign w:val="bottom"/>
            <w:tcBorders>
              <w:bottom w:val="single" w:sz="8" w:color="auto"/>
            </w:tcBorders>
          </w:tcPr>
          <w:p>
            <w:pPr>
              <w:jc w:val="right"/>
              <w:ind w:right="536"/>
              <w:spacing w:after="0"/>
              <w:rPr>
                <w:sz w:val="20"/>
                <w:szCs w:val="20"/>
                <w:color w:val="auto"/>
              </w:rPr>
            </w:pPr>
            <w:r>
              <w:rPr>
                <w:rFonts w:ascii="Arial" w:cs="Arial" w:eastAsia="Arial" w:hAnsi="Arial"/>
                <w:sz w:val="13"/>
                <w:szCs w:val="13"/>
                <w:b w:val="1"/>
                <w:bCs w:val="1"/>
                <w:color w:val="auto"/>
              </w:rPr>
              <w:t>2018</w:t>
            </w:r>
          </w:p>
        </w:tc>
        <w:tc>
          <w:tcPr>
            <w:tcW w:w="340" w:type="dxa"/>
            <w:vAlign w:val="bottom"/>
            <w:tcBorders>
              <w:bottom w:val="single" w:sz="8" w:color="auto"/>
            </w:tcBorders>
          </w:tcPr>
          <w:p>
            <w:pPr>
              <w:spacing w:after="0"/>
              <w:rPr>
                <w:sz w:val="13"/>
                <w:szCs w:val="13"/>
                <w:color w:val="auto"/>
              </w:rPr>
            </w:pPr>
          </w:p>
        </w:tc>
        <w:tc>
          <w:tcPr>
            <w:tcW w:w="1040" w:type="dxa"/>
            <w:vAlign w:val="bottom"/>
            <w:tcBorders>
              <w:bottom w:val="single" w:sz="8" w:color="auto"/>
            </w:tcBorders>
          </w:tcPr>
          <w:p>
            <w:pPr>
              <w:jc w:val="right"/>
              <w:ind w:right="516"/>
              <w:spacing w:after="0"/>
              <w:rPr>
                <w:sz w:val="20"/>
                <w:szCs w:val="20"/>
                <w:color w:val="auto"/>
              </w:rPr>
            </w:pPr>
            <w:r>
              <w:rPr>
                <w:rFonts w:ascii="Arial" w:cs="Arial" w:eastAsia="Arial" w:hAnsi="Arial"/>
                <w:sz w:val="13"/>
                <w:szCs w:val="13"/>
                <w:b w:val="1"/>
                <w:bCs w:val="1"/>
                <w:color w:val="auto"/>
              </w:rPr>
              <w:t>2017</w:t>
            </w:r>
          </w:p>
        </w:tc>
        <w:tc>
          <w:tcPr>
            <w:tcW w:w="480" w:type="dxa"/>
            <w:vAlign w:val="bottom"/>
            <w:tcBorders>
              <w:bottom w:val="single" w:sz="8" w:color="auto"/>
            </w:tcBorders>
          </w:tcPr>
          <w:p>
            <w:pPr>
              <w:spacing w:after="0"/>
              <w:rPr>
                <w:sz w:val="13"/>
                <w:szCs w:val="13"/>
                <w:color w:val="auto"/>
              </w:rPr>
            </w:pPr>
          </w:p>
        </w:tc>
        <w:tc>
          <w:tcPr>
            <w:tcW w:w="900" w:type="dxa"/>
            <w:vAlign w:val="bottom"/>
            <w:tcBorders>
              <w:bottom w:val="single" w:sz="8" w:color="auto"/>
            </w:tcBorders>
          </w:tcPr>
          <w:p>
            <w:pPr>
              <w:jc w:val="right"/>
              <w:ind w:right="516"/>
              <w:spacing w:after="0"/>
              <w:rPr>
                <w:sz w:val="20"/>
                <w:szCs w:val="20"/>
                <w:color w:val="auto"/>
              </w:rPr>
            </w:pPr>
            <w:r>
              <w:rPr>
                <w:rFonts w:ascii="Arial" w:cs="Arial" w:eastAsia="Arial" w:hAnsi="Arial"/>
                <w:sz w:val="13"/>
                <w:szCs w:val="13"/>
                <w:b w:val="1"/>
                <w:bCs w:val="1"/>
                <w:color w:val="auto"/>
              </w:rPr>
              <w:t>2016</w:t>
            </w:r>
          </w:p>
        </w:tc>
        <w:tc>
          <w:tcPr>
            <w:tcW w:w="360" w:type="dxa"/>
            <w:vAlign w:val="bottom"/>
            <w:tcBorders>
              <w:bottom w:val="single" w:sz="8" w:color="auto"/>
            </w:tcBorders>
          </w:tcPr>
          <w:p>
            <w:pPr>
              <w:spacing w:after="0"/>
              <w:rPr>
                <w:sz w:val="13"/>
                <w:szCs w:val="13"/>
                <w:color w:val="auto"/>
              </w:rPr>
            </w:pPr>
          </w:p>
        </w:tc>
        <w:tc>
          <w:tcPr>
            <w:tcW w:w="1020" w:type="dxa"/>
            <w:vAlign w:val="bottom"/>
            <w:tcBorders>
              <w:bottom w:val="single" w:sz="8" w:color="auto"/>
            </w:tcBorders>
          </w:tcPr>
          <w:p>
            <w:pPr>
              <w:jc w:val="right"/>
              <w:ind w:right="516"/>
              <w:spacing w:after="0"/>
              <w:rPr>
                <w:sz w:val="20"/>
                <w:szCs w:val="20"/>
                <w:color w:val="auto"/>
              </w:rPr>
            </w:pPr>
            <w:r>
              <w:rPr>
                <w:rFonts w:ascii="Arial" w:cs="Arial" w:eastAsia="Arial" w:hAnsi="Arial"/>
                <w:sz w:val="13"/>
                <w:szCs w:val="13"/>
                <w:b w:val="1"/>
                <w:bCs w:val="1"/>
                <w:color w:val="auto"/>
              </w:rPr>
              <w:t>2015</w:t>
            </w:r>
          </w:p>
        </w:tc>
        <w:tc>
          <w:tcPr>
            <w:tcW w:w="340" w:type="dxa"/>
            <w:vAlign w:val="bottom"/>
            <w:tcBorders>
              <w:bottom w:val="single" w:sz="8" w:color="auto"/>
            </w:tcBorders>
          </w:tcPr>
          <w:p>
            <w:pPr>
              <w:spacing w:after="0"/>
              <w:rPr>
                <w:sz w:val="13"/>
                <w:szCs w:val="13"/>
                <w:color w:val="auto"/>
              </w:rPr>
            </w:pPr>
          </w:p>
        </w:tc>
        <w:tc>
          <w:tcPr>
            <w:tcW w:w="880" w:type="dxa"/>
            <w:vAlign w:val="bottom"/>
            <w:tcBorders>
              <w:bottom w:val="single" w:sz="8" w:color="auto"/>
            </w:tcBorders>
          </w:tcPr>
          <w:p>
            <w:pPr>
              <w:jc w:val="right"/>
              <w:ind w:right="376"/>
              <w:spacing w:after="0"/>
              <w:rPr>
                <w:sz w:val="20"/>
                <w:szCs w:val="20"/>
                <w:color w:val="auto"/>
              </w:rPr>
            </w:pPr>
            <w:r>
              <w:rPr>
                <w:rFonts w:ascii="Arial" w:cs="Arial" w:eastAsia="Arial" w:hAnsi="Arial"/>
                <w:sz w:val="13"/>
                <w:szCs w:val="13"/>
                <w:b w:val="1"/>
                <w:bCs w:val="1"/>
                <w:color w:val="auto"/>
              </w:rPr>
              <w:t>2014</w:t>
            </w:r>
          </w:p>
        </w:tc>
        <w:tc>
          <w:tcPr>
            <w:tcW w:w="120" w:type="dxa"/>
            <w:vAlign w:val="bottom"/>
          </w:tcPr>
          <w:p>
            <w:pPr>
              <w:spacing w:after="0"/>
              <w:rPr>
                <w:sz w:val="13"/>
                <w:szCs w:val="13"/>
                <w:color w:val="auto"/>
              </w:rPr>
            </w:pPr>
          </w:p>
        </w:tc>
      </w:tr>
      <w:tr>
        <w:trPr>
          <w:trHeight w:val="144"/>
        </w:trPr>
        <w:tc>
          <w:tcPr>
            <w:tcW w:w="376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34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480" w:type="dxa"/>
            <w:vAlign w:val="bottom"/>
          </w:tcPr>
          <w:p>
            <w:pPr>
              <w:jc w:val="right"/>
              <w:spacing w:after="0" w:line="144" w:lineRule="exact"/>
              <w:rPr>
                <w:sz w:val="20"/>
                <w:szCs w:val="20"/>
                <w:color w:val="auto"/>
              </w:rPr>
            </w:pPr>
            <w:r>
              <w:rPr>
                <w:rFonts w:ascii="Arial" w:cs="Arial" w:eastAsia="Arial" w:hAnsi="Arial"/>
                <w:sz w:val="13"/>
                <w:szCs w:val="13"/>
                <w:b w:val="1"/>
                <w:bCs w:val="1"/>
                <w:color w:val="auto"/>
              </w:rPr>
              <w:t>(in $</w:t>
            </w:r>
          </w:p>
        </w:tc>
        <w:tc>
          <w:tcPr>
            <w:tcW w:w="900" w:type="dxa"/>
            <w:vAlign w:val="bottom"/>
          </w:tcPr>
          <w:p>
            <w:pPr>
              <w:jc w:val="right"/>
              <w:ind w:right="216"/>
              <w:spacing w:after="0" w:line="144" w:lineRule="exact"/>
              <w:rPr>
                <w:sz w:val="20"/>
                <w:szCs w:val="20"/>
                <w:color w:val="auto"/>
              </w:rPr>
            </w:pPr>
            <w:r>
              <w:rPr>
                <w:rFonts w:ascii="Arial" w:cs="Arial" w:eastAsia="Arial" w:hAnsi="Arial"/>
                <w:sz w:val="13"/>
                <w:szCs w:val="13"/>
                <w:b w:val="1"/>
                <w:bCs w:val="1"/>
                <w:color w:val="auto"/>
                <w:w w:val="85"/>
              </w:rPr>
              <w:t>thousands)</w:t>
            </w:r>
          </w:p>
        </w:tc>
        <w:tc>
          <w:tcPr>
            <w:tcW w:w="36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34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376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Consolidated Statement of Financial Position Data:</w:t>
            </w:r>
          </w:p>
        </w:tc>
        <w:tc>
          <w:tcPr>
            <w:tcW w:w="94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1040" w:type="dxa"/>
            <w:vAlign w:val="bottom"/>
            <w:shd w:val="clear" w:color="auto" w:fill="CCEEFF"/>
          </w:tcPr>
          <w:p>
            <w:pPr>
              <w:spacing w:after="0"/>
              <w:rPr>
                <w:sz w:val="13"/>
                <w:szCs w:val="13"/>
                <w:color w:val="auto"/>
              </w:rPr>
            </w:pPr>
          </w:p>
        </w:tc>
        <w:tc>
          <w:tcPr>
            <w:tcW w:w="340" w:type="dxa"/>
            <w:vAlign w:val="bottom"/>
            <w:shd w:val="clear" w:color="auto" w:fill="CCEEFF"/>
          </w:tcPr>
          <w:p>
            <w:pPr>
              <w:spacing w:after="0"/>
              <w:rPr>
                <w:sz w:val="13"/>
                <w:szCs w:val="13"/>
                <w:color w:val="auto"/>
              </w:rPr>
            </w:pPr>
          </w:p>
        </w:tc>
        <w:tc>
          <w:tcPr>
            <w:tcW w:w="1040" w:type="dxa"/>
            <w:vAlign w:val="bottom"/>
            <w:shd w:val="clear" w:color="auto" w:fill="CCEEFF"/>
          </w:tcPr>
          <w:p>
            <w:pPr>
              <w:spacing w:after="0"/>
              <w:rPr>
                <w:sz w:val="13"/>
                <w:szCs w:val="13"/>
                <w:color w:val="auto"/>
              </w:rPr>
            </w:pPr>
          </w:p>
        </w:tc>
        <w:tc>
          <w:tcPr>
            <w:tcW w:w="480" w:type="dxa"/>
            <w:vAlign w:val="bottom"/>
            <w:shd w:val="clear" w:color="auto" w:fill="CCEEFF"/>
          </w:tcPr>
          <w:p>
            <w:pPr>
              <w:spacing w:after="0"/>
              <w:rPr>
                <w:sz w:val="13"/>
                <w:szCs w:val="13"/>
                <w:color w:val="auto"/>
              </w:rPr>
            </w:pPr>
          </w:p>
        </w:tc>
        <w:tc>
          <w:tcPr>
            <w:tcW w:w="90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1020" w:type="dxa"/>
            <w:vAlign w:val="bottom"/>
            <w:shd w:val="clear" w:color="auto" w:fill="CCEEFF"/>
          </w:tcPr>
          <w:p>
            <w:pPr>
              <w:spacing w:after="0"/>
              <w:rPr>
                <w:sz w:val="13"/>
                <w:szCs w:val="13"/>
                <w:color w:val="auto"/>
              </w:rPr>
            </w:pPr>
          </w:p>
        </w:tc>
        <w:tc>
          <w:tcPr>
            <w:tcW w:w="340" w:type="dxa"/>
            <w:vAlign w:val="bottom"/>
            <w:shd w:val="clear" w:color="auto" w:fill="CCEEFF"/>
          </w:tcPr>
          <w:p>
            <w:pPr>
              <w:spacing w:after="0"/>
              <w:rPr>
                <w:sz w:val="13"/>
                <w:szCs w:val="13"/>
                <w:color w:val="auto"/>
              </w:rPr>
            </w:pPr>
          </w:p>
        </w:tc>
        <w:tc>
          <w:tcPr>
            <w:tcW w:w="8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r>
      <w:tr>
        <w:trPr>
          <w:trHeight w:val="154"/>
        </w:trPr>
        <w:tc>
          <w:tcPr>
            <w:tcW w:w="3760" w:type="dxa"/>
            <w:vAlign w:val="bottom"/>
          </w:tcPr>
          <w:p>
            <w:pPr>
              <w:ind w:left="120"/>
              <w:spacing w:after="0"/>
              <w:rPr>
                <w:sz w:val="20"/>
                <w:szCs w:val="20"/>
                <w:color w:val="auto"/>
              </w:rPr>
            </w:pPr>
            <w:r>
              <w:rPr>
                <w:rFonts w:ascii="Arial" w:cs="Arial" w:eastAsia="Arial" w:hAnsi="Arial"/>
                <w:sz w:val="13"/>
                <w:szCs w:val="13"/>
                <w:color w:val="auto"/>
              </w:rPr>
              <w:t>Cash and cash equivalents</w:t>
            </w:r>
          </w:p>
        </w:tc>
        <w:tc>
          <w:tcPr>
            <w:tcW w:w="12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40" w:type="dxa"/>
            <w:vAlign w:val="bottom"/>
          </w:tcPr>
          <w:p>
            <w:pPr>
              <w:jc w:val="right"/>
              <w:ind w:right="76"/>
              <w:spacing w:after="0"/>
              <w:rPr>
                <w:sz w:val="20"/>
                <w:szCs w:val="20"/>
                <w:color w:val="auto"/>
              </w:rPr>
            </w:pPr>
            <w:r>
              <w:rPr>
                <w:rFonts w:ascii="Arial" w:cs="Arial" w:eastAsia="Arial" w:hAnsi="Arial"/>
                <w:sz w:val="13"/>
                <w:szCs w:val="13"/>
                <w:color w:val="auto"/>
              </w:rPr>
              <w:t>1,745,652</w:t>
            </w:r>
          </w:p>
        </w:tc>
        <w:tc>
          <w:tcPr>
            <w:tcW w:w="340" w:type="dxa"/>
            <w:vAlign w:val="bottom"/>
          </w:tcPr>
          <w:p>
            <w:pPr>
              <w:jc w:val="right"/>
              <w:ind w:right="116"/>
              <w:spacing w:after="0"/>
              <w:rPr>
                <w:sz w:val="20"/>
                <w:szCs w:val="20"/>
                <w:color w:val="auto"/>
              </w:rPr>
            </w:pPr>
            <w:r>
              <w:rPr>
                <w:rFonts w:ascii="Arial" w:cs="Arial" w:eastAsia="Arial" w:hAnsi="Arial"/>
                <w:sz w:val="13"/>
                <w:szCs w:val="13"/>
                <w:color w:val="auto"/>
              </w:rPr>
              <w:t>$</w:t>
            </w:r>
          </w:p>
        </w:tc>
        <w:tc>
          <w:tcPr>
            <w:tcW w:w="1040" w:type="dxa"/>
            <w:vAlign w:val="bottom"/>
          </w:tcPr>
          <w:p>
            <w:pPr>
              <w:jc w:val="right"/>
              <w:ind w:right="76"/>
              <w:spacing w:after="0"/>
              <w:rPr>
                <w:sz w:val="20"/>
                <w:szCs w:val="20"/>
                <w:color w:val="auto"/>
              </w:rPr>
            </w:pPr>
            <w:r>
              <w:rPr>
                <w:rFonts w:ascii="Arial" w:cs="Arial" w:eastAsia="Arial" w:hAnsi="Arial"/>
                <w:sz w:val="13"/>
                <w:szCs w:val="13"/>
                <w:color w:val="auto"/>
              </w:rPr>
              <w:t>672,048</w:t>
            </w:r>
          </w:p>
        </w:tc>
        <w:tc>
          <w:tcPr>
            <w:tcW w:w="480" w:type="dxa"/>
            <w:vAlign w:val="bottom"/>
          </w:tcPr>
          <w:p>
            <w:pPr>
              <w:jc w:val="right"/>
              <w:ind w:right="256"/>
              <w:spacing w:after="0"/>
              <w:rPr>
                <w:sz w:val="20"/>
                <w:szCs w:val="20"/>
                <w:color w:val="auto"/>
              </w:rPr>
            </w:pPr>
            <w:r>
              <w:rPr>
                <w:rFonts w:ascii="Arial" w:cs="Arial" w:eastAsia="Arial" w:hAnsi="Arial"/>
                <w:sz w:val="13"/>
                <w:szCs w:val="13"/>
                <w:color w:val="auto"/>
              </w:rPr>
              <w:t>$</w:t>
            </w:r>
          </w:p>
        </w:tc>
        <w:tc>
          <w:tcPr>
            <w:tcW w:w="900" w:type="dxa"/>
            <w:vAlign w:val="bottom"/>
          </w:tcPr>
          <w:p>
            <w:pPr>
              <w:jc w:val="right"/>
              <w:ind w:right="56"/>
              <w:spacing w:after="0"/>
              <w:rPr>
                <w:sz w:val="20"/>
                <w:szCs w:val="20"/>
                <w:color w:val="auto"/>
              </w:rPr>
            </w:pPr>
            <w:r>
              <w:rPr>
                <w:rFonts w:ascii="Arial" w:cs="Arial" w:eastAsia="Arial" w:hAnsi="Arial"/>
                <w:sz w:val="13"/>
                <w:szCs w:val="13"/>
                <w:color w:val="auto"/>
              </w:rPr>
              <w:t>1,069,538</w:t>
            </w:r>
          </w:p>
        </w:tc>
        <w:tc>
          <w:tcPr>
            <w:tcW w:w="360" w:type="dxa"/>
            <w:vAlign w:val="bottom"/>
          </w:tcPr>
          <w:p>
            <w:pPr>
              <w:jc w:val="right"/>
              <w:ind w:right="136"/>
              <w:spacing w:after="0"/>
              <w:rPr>
                <w:sz w:val="20"/>
                <w:szCs w:val="20"/>
                <w:color w:val="auto"/>
              </w:rPr>
            </w:pPr>
            <w:r>
              <w:rPr>
                <w:rFonts w:ascii="Arial" w:cs="Arial" w:eastAsia="Arial" w:hAnsi="Arial"/>
                <w:sz w:val="13"/>
                <w:szCs w:val="13"/>
                <w:color w:val="auto"/>
              </w:rPr>
              <w:t>$</w:t>
            </w:r>
          </w:p>
        </w:tc>
        <w:tc>
          <w:tcPr>
            <w:tcW w:w="1020" w:type="dxa"/>
            <w:vAlign w:val="bottom"/>
          </w:tcPr>
          <w:p>
            <w:pPr>
              <w:jc w:val="right"/>
              <w:ind w:right="56"/>
              <w:spacing w:after="0"/>
              <w:rPr>
                <w:sz w:val="20"/>
                <w:szCs w:val="20"/>
                <w:color w:val="auto"/>
              </w:rPr>
            </w:pPr>
            <w:r>
              <w:rPr>
                <w:rFonts w:ascii="Arial" w:cs="Arial" w:eastAsia="Arial" w:hAnsi="Arial"/>
                <w:sz w:val="13"/>
                <w:szCs w:val="13"/>
                <w:color w:val="auto"/>
              </w:rPr>
              <w:t>1,299,966</w:t>
            </w:r>
          </w:p>
        </w:tc>
        <w:tc>
          <w:tcPr>
            <w:tcW w:w="340" w:type="dxa"/>
            <w:vAlign w:val="bottom"/>
          </w:tcPr>
          <w:p>
            <w:pPr>
              <w:jc w:val="right"/>
              <w:ind w:right="116"/>
              <w:spacing w:after="0"/>
              <w:rPr>
                <w:sz w:val="20"/>
                <w:szCs w:val="20"/>
                <w:color w:val="auto"/>
              </w:rPr>
            </w:pPr>
            <w:r>
              <w:rPr>
                <w:rFonts w:ascii="Arial" w:cs="Arial" w:eastAsia="Arial" w:hAnsi="Arial"/>
                <w:sz w:val="13"/>
                <w:szCs w:val="13"/>
                <w:color w:val="auto"/>
              </w:rPr>
              <w:t>$</w:t>
            </w: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780,515</w:t>
            </w:r>
          </w:p>
        </w:tc>
      </w:tr>
      <w:tr>
        <w:trPr>
          <w:trHeight w:val="154"/>
        </w:trPr>
        <w:tc>
          <w:tcPr>
            <w:tcW w:w="3760" w:type="dxa"/>
            <w:vAlign w:val="bottom"/>
            <w:shd w:val="clear" w:color="auto" w:fill="CCEEFF"/>
          </w:tcPr>
          <w:p>
            <w:pPr>
              <w:ind w:left="120"/>
              <w:spacing w:after="0"/>
              <w:rPr>
                <w:sz w:val="20"/>
                <w:szCs w:val="20"/>
                <w:color w:val="auto"/>
              </w:rPr>
            </w:pPr>
            <w:r>
              <w:rPr>
                <w:rFonts w:ascii="Arial" w:cs="Arial" w:eastAsia="Arial" w:hAnsi="Arial"/>
                <w:sz w:val="13"/>
                <w:szCs w:val="13"/>
                <w:color w:val="auto"/>
              </w:rPr>
              <w:t>Securities and other financial assets, net</w:t>
            </w:r>
          </w:p>
        </w:tc>
        <w:tc>
          <w:tcPr>
            <w:tcW w:w="94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1040" w:type="dxa"/>
            <w:vAlign w:val="bottom"/>
            <w:shd w:val="clear" w:color="auto" w:fill="CCEEFF"/>
          </w:tcPr>
          <w:p>
            <w:pPr>
              <w:jc w:val="right"/>
              <w:ind w:right="76"/>
              <w:spacing w:after="0"/>
              <w:rPr>
                <w:sz w:val="20"/>
                <w:szCs w:val="20"/>
                <w:color w:val="auto"/>
              </w:rPr>
            </w:pPr>
            <w:r>
              <w:rPr>
                <w:rFonts w:ascii="Arial" w:cs="Arial" w:eastAsia="Arial" w:hAnsi="Arial"/>
                <w:sz w:val="13"/>
                <w:szCs w:val="13"/>
                <w:color w:val="auto"/>
              </w:rPr>
              <w:t>123,598</w:t>
            </w:r>
          </w:p>
        </w:tc>
        <w:tc>
          <w:tcPr>
            <w:tcW w:w="340" w:type="dxa"/>
            <w:vAlign w:val="bottom"/>
            <w:shd w:val="clear" w:color="auto" w:fill="CCEEFF"/>
          </w:tcPr>
          <w:p>
            <w:pPr>
              <w:spacing w:after="0"/>
              <w:rPr>
                <w:sz w:val="13"/>
                <w:szCs w:val="13"/>
                <w:color w:val="auto"/>
              </w:rPr>
            </w:pPr>
          </w:p>
        </w:tc>
        <w:tc>
          <w:tcPr>
            <w:tcW w:w="1040" w:type="dxa"/>
            <w:vAlign w:val="bottom"/>
            <w:shd w:val="clear" w:color="auto" w:fill="CCEEFF"/>
          </w:tcPr>
          <w:p>
            <w:pPr>
              <w:jc w:val="right"/>
              <w:ind w:right="76"/>
              <w:spacing w:after="0"/>
              <w:rPr>
                <w:sz w:val="20"/>
                <w:szCs w:val="20"/>
                <w:color w:val="auto"/>
              </w:rPr>
            </w:pPr>
            <w:r>
              <w:rPr>
                <w:rFonts w:ascii="Arial" w:cs="Arial" w:eastAsia="Arial" w:hAnsi="Arial"/>
                <w:sz w:val="13"/>
                <w:szCs w:val="13"/>
                <w:color w:val="auto"/>
              </w:rPr>
              <w:t>95,484</w:t>
            </w:r>
          </w:p>
        </w:tc>
        <w:tc>
          <w:tcPr>
            <w:tcW w:w="480" w:type="dxa"/>
            <w:vAlign w:val="bottom"/>
            <w:shd w:val="clear" w:color="auto" w:fill="CCEEFF"/>
          </w:tcPr>
          <w:p>
            <w:pPr>
              <w:spacing w:after="0"/>
              <w:rPr>
                <w:sz w:val="13"/>
                <w:szCs w:val="13"/>
                <w:color w:val="auto"/>
              </w:rPr>
            </w:pPr>
          </w:p>
        </w:tc>
        <w:tc>
          <w:tcPr>
            <w:tcW w:w="900" w:type="dxa"/>
            <w:vAlign w:val="bottom"/>
            <w:shd w:val="clear" w:color="auto" w:fill="CCEEFF"/>
          </w:tcPr>
          <w:p>
            <w:pPr>
              <w:jc w:val="right"/>
              <w:ind w:right="56"/>
              <w:spacing w:after="0"/>
              <w:rPr>
                <w:sz w:val="20"/>
                <w:szCs w:val="20"/>
                <w:color w:val="auto"/>
              </w:rPr>
            </w:pPr>
            <w:r>
              <w:rPr>
                <w:rFonts w:ascii="Arial" w:cs="Arial" w:eastAsia="Arial" w:hAnsi="Arial"/>
                <w:sz w:val="13"/>
                <w:szCs w:val="13"/>
                <w:color w:val="auto"/>
              </w:rPr>
              <w:t>107,821</w:t>
            </w:r>
          </w:p>
        </w:tc>
        <w:tc>
          <w:tcPr>
            <w:tcW w:w="360" w:type="dxa"/>
            <w:vAlign w:val="bottom"/>
            <w:shd w:val="clear" w:color="auto" w:fill="CCEEFF"/>
          </w:tcPr>
          <w:p>
            <w:pPr>
              <w:spacing w:after="0"/>
              <w:rPr>
                <w:sz w:val="13"/>
                <w:szCs w:val="13"/>
                <w:color w:val="auto"/>
              </w:rPr>
            </w:pPr>
          </w:p>
        </w:tc>
        <w:tc>
          <w:tcPr>
            <w:tcW w:w="1020" w:type="dxa"/>
            <w:vAlign w:val="bottom"/>
            <w:shd w:val="clear" w:color="auto" w:fill="CCEEFF"/>
          </w:tcPr>
          <w:p>
            <w:pPr>
              <w:jc w:val="right"/>
              <w:ind w:right="56"/>
              <w:spacing w:after="0"/>
              <w:rPr>
                <w:sz w:val="20"/>
                <w:szCs w:val="20"/>
                <w:color w:val="auto"/>
              </w:rPr>
            </w:pPr>
            <w:r>
              <w:rPr>
                <w:rFonts w:ascii="Arial" w:cs="Arial" w:eastAsia="Arial" w:hAnsi="Arial"/>
                <w:sz w:val="13"/>
                <w:szCs w:val="13"/>
                <w:color w:val="auto"/>
              </w:rPr>
              <w:t>303,429</w:t>
            </w:r>
          </w:p>
        </w:tc>
        <w:tc>
          <w:tcPr>
            <w:tcW w:w="34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451,285</w:t>
            </w:r>
          </w:p>
        </w:tc>
      </w:tr>
      <w:tr>
        <w:trPr>
          <w:trHeight w:val="154"/>
        </w:trPr>
        <w:tc>
          <w:tcPr>
            <w:tcW w:w="3760" w:type="dxa"/>
            <w:vAlign w:val="bottom"/>
          </w:tcPr>
          <w:p>
            <w:pPr>
              <w:ind w:left="120"/>
              <w:spacing w:after="0"/>
              <w:rPr>
                <w:sz w:val="20"/>
                <w:szCs w:val="20"/>
                <w:color w:val="auto"/>
              </w:rPr>
            </w:pPr>
            <w:r>
              <w:rPr>
                <w:rFonts w:ascii="Arial" w:cs="Arial" w:eastAsia="Arial" w:hAnsi="Arial"/>
                <w:sz w:val="13"/>
                <w:szCs w:val="13"/>
                <w:color w:val="auto"/>
              </w:rPr>
              <w:t>Loans</w:t>
            </w:r>
          </w:p>
        </w:tc>
        <w:tc>
          <w:tcPr>
            <w:tcW w:w="94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40" w:type="dxa"/>
            <w:vAlign w:val="bottom"/>
          </w:tcPr>
          <w:p>
            <w:pPr>
              <w:jc w:val="right"/>
              <w:ind w:right="76"/>
              <w:spacing w:after="0"/>
              <w:rPr>
                <w:sz w:val="20"/>
                <w:szCs w:val="20"/>
                <w:color w:val="auto"/>
              </w:rPr>
            </w:pPr>
            <w:r>
              <w:rPr>
                <w:rFonts w:ascii="Arial" w:cs="Arial" w:eastAsia="Arial" w:hAnsi="Arial"/>
                <w:sz w:val="13"/>
                <w:szCs w:val="13"/>
                <w:color w:val="auto"/>
              </w:rPr>
              <w:t>5,778,424</w:t>
            </w:r>
          </w:p>
        </w:tc>
        <w:tc>
          <w:tcPr>
            <w:tcW w:w="340" w:type="dxa"/>
            <w:vAlign w:val="bottom"/>
          </w:tcPr>
          <w:p>
            <w:pPr>
              <w:spacing w:after="0"/>
              <w:rPr>
                <w:sz w:val="13"/>
                <w:szCs w:val="13"/>
                <w:color w:val="auto"/>
              </w:rPr>
            </w:pPr>
          </w:p>
        </w:tc>
        <w:tc>
          <w:tcPr>
            <w:tcW w:w="1040" w:type="dxa"/>
            <w:vAlign w:val="bottom"/>
          </w:tcPr>
          <w:p>
            <w:pPr>
              <w:jc w:val="right"/>
              <w:ind w:right="76"/>
              <w:spacing w:after="0"/>
              <w:rPr>
                <w:sz w:val="20"/>
                <w:szCs w:val="20"/>
                <w:color w:val="auto"/>
              </w:rPr>
            </w:pPr>
            <w:r>
              <w:rPr>
                <w:rFonts w:ascii="Arial" w:cs="Arial" w:eastAsia="Arial" w:hAnsi="Arial"/>
                <w:sz w:val="13"/>
                <w:szCs w:val="13"/>
                <w:color w:val="auto"/>
              </w:rPr>
              <w:t>5,505,658</w:t>
            </w:r>
          </w:p>
        </w:tc>
        <w:tc>
          <w:tcPr>
            <w:tcW w:w="480" w:type="dxa"/>
            <w:vAlign w:val="bottom"/>
          </w:tcPr>
          <w:p>
            <w:pPr>
              <w:spacing w:after="0"/>
              <w:rPr>
                <w:sz w:val="13"/>
                <w:szCs w:val="13"/>
                <w:color w:val="auto"/>
              </w:rPr>
            </w:pPr>
          </w:p>
        </w:tc>
        <w:tc>
          <w:tcPr>
            <w:tcW w:w="900" w:type="dxa"/>
            <w:vAlign w:val="bottom"/>
          </w:tcPr>
          <w:p>
            <w:pPr>
              <w:jc w:val="right"/>
              <w:ind w:right="56"/>
              <w:spacing w:after="0"/>
              <w:rPr>
                <w:sz w:val="20"/>
                <w:szCs w:val="20"/>
                <w:color w:val="auto"/>
              </w:rPr>
            </w:pPr>
            <w:r>
              <w:rPr>
                <w:rFonts w:ascii="Arial" w:cs="Arial" w:eastAsia="Arial" w:hAnsi="Arial"/>
                <w:sz w:val="13"/>
                <w:szCs w:val="13"/>
                <w:color w:val="auto"/>
              </w:rPr>
              <w:t>6,020,731</w:t>
            </w:r>
          </w:p>
        </w:tc>
        <w:tc>
          <w:tcPr>
            <w:tcW w:w="360" w:type="dxa"/>
            <w:vAlign w:val="bottom"/>
          </w:tcPr>
          <w:p>
            <w:pPr>
              <w:spacing w:after="0"/>
              <w:rPr>
                <w:sz w:val="13"/>
                <w:szCs w:val="13"/>
                <w:color w:val="auto"/>
              </w:rPr>
            </w:pPr>
          </w:p>
        </w:tc>
        <w:tc>
          <w:tcPr>
            <w:tcW w:w="1020" w:type="dxa"/>
            <w:vAlign w:val="bottom"/>
          </w:tcPr>
          <w:p>
            <w:pPr>
              <w:jc w:val="right"/>
              <w:ind w:right="56"/>
              <w:spacing w:after="0"/>
              <w:rPr>
                <w:sz w:val="20"/>
                <w:szCs w:val="20"/>
                <w:color w:val="auto"/>
              </w:rPr>
            </w:pPr>
            <w:r>
              <w:rPr>
                <w:rFonts w:ascii="Arial" w:cs="Arial" w:eastAsia="Arial" w:hAnsi="Arial"/>
                <w:sz w:val="13"/>
                <w:szCs w:val="13"/>
                <w:color w:val="auto"/>
              </w:rPr>
              <w:t>6,691,749</w:t>
            </w:r>
          </w:p>
        </w:tc>
        <w:tc>
          <w:tcPr>
            <w:tcW w:w="340" w:type="dxa"/>
            <w:vAlign w:val="bottom"/>
          </w:tcPr>
          <w:p>
            <w:pPr>
              <w:spacing w:after="0"/>
              <w:rPr>
                <w:sz w:val="13"/>
                <w:szCs w:val="13"/>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6,686,244</w:t>
            </w:r>
          </w:p>
        </w:tc>
      </w:tr>
      <w:tr>
        <w:trPr>
          <w:trHeight w:val="154"/>
        </w:trPr>
        <w:tc>
          <w:tcPr>
            <w:tcW w:w="3760" w:type="dxa"/>
            <w:vAlign w:val="bottom"/>
            <w:shd w:val="clear" w:color="auto" w:fill="CCEEFF"/>
          </w:tcPr>
          <w:p>
            <w:pPr>
              <w:ind w:left="120"/>
              <w:spacing w:after="0"/>
              <w:rPr>
                <w:sz w:val="20"/>
                <w:szCs w:val="20"/>
                <w:color w:val="auto"/>
              </w:rPr>
            </w:pPr>
            <w:r>
              <w:rPr>
                <w:rFonts w:ascii="Arial" w:cs="Arial" w:eastAsia="Arial" w:hAnsi="Arial"/>
                <w:sz w:val="13"/>
                <w:szCs w:val="13"/>
                <w:color w:val="auto"/>
              </w:rPr>
              <w:t>Allowance for loan losses</w:t>
            </w:r>
          </w:p>
        </w:tc>
        <w:tc>
          <w:tcPr>
            <w:tcW w:w="94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1040" w:type="dxa"/>
            <w:vAlign w:val="bottom"/>
            <w:shd w:val="clear" w:color="auto" w:fill="CCEEFF"/>
          </w:tcPr>
          <w:p>
            <w:pPr>
              <w:jc w:val="right"/>
              <w:ind w:right="36"/>
              <w:spacing w:after="0"/>
              <w:rPr>
                <w:sz w:val="20"/>
                <w:szCs w:val="20"/>
                <w:color w:val="auto"/>
              </w:rPr>
            </w:pPr>
            <w:r>
              <w:rPr>
                <w:rFonts w:ascii="Arial" w:cs="Arial" w:eastAsia="Arial" w:hAnsi="Arial"/>
                <w:sz w:val="13"/>
                <w:szCs w:val="13"/>
                <w:color w:val="auto"/>
              </w:rPr>
              <w:t>(100,785)</w:t>
            </w:r>
          </w:p>
        </w:tc>
        <w:tc>
          <w:tcPr>
            <w:tcW w:w="340" w:type="dxa"/>
            <w:vAlign w:val="bottom"/>
            <w:shd w:val="clear" w:color="auto" w:fill="CCEEFF"/>
          </w:tcPr>
          <w:p>
            <w:pPr>
              <w:spacing w:after="0"/>
              <w:rPr>
                <w:sz w:val="13"/>
                <w:szCs w:val="13"/>
                <w:color w:val="auto"/>
              </w:rPr>
            </w:pPr>
          </w:p>
        </w:tc>
        <w:tc>
          <w:tcPr>
            <w:tcW w:w="1040" w:type="dxa"/>
            <w:vAlign w:val="bottom"/>
            <w:shd w:val="clear" w:color="auto" w:fill="CCEEFF"/>
          </w:tcPr>
          <w:p>
            <w:pPr>
              <w:jc w:val="right"/>
              <w:ind w:right="36"/>
              <w:spacing w:after="0"/>
              <w:rPr>
                <w:sz w:val="20"/>
                <w:szCs w:val="20"/>
                <w:color w:val="auto"/>
              </w:rPr>
            </w:pPr>
            <w:r>
              <w:rPr>
                <w:rFonts w:ascii="Arial" w:cs="Arial" w:eastAsia="Arial" w:hAnsi="Arial"/>
                <w:sz w:val="13"/>
                <w:szCs w:val="13"/>
                <w:color w:val="auto"/>
              </w:rPr>
              <w:t>(81,294)</w:t>
            </w:r>
          </w:p>
        </w:tc>
        <w:tc>
          <w:tcPr>
            <w:tcW w:w="480" w:type="dxa"/>
            <w:vAlign w:val="bottom"/>
            <w:shd w:val="clear" w:color="auto" w:fill="CCEEFF"/>
          </w:tcPr>
          <w:p>
            <w:pPr>
              <w:spacing w:after="0"/>
              <w:rPr>
                <w:sz w:val="13"/>
                <w:szCs w:val="13"/>
                <w:color w:val="auto"/>
              </w:rPr>
            </w:pPr>
          </w:p>
        </w:tc>
        <w:tc>
          <w:tcPr>
            <w:tcW w:w="900" w:type="dxa"/>
            <w:vAlign w:val="bottom"/>
            <w:shd w:val="clear" w:color="auto" w:fill="CCEEFF"/>
          </w:tcPr>
          <w:p>
            <w:pPr>
              <w:jc w:val="right"/>
              <w:ind w:right="16"/>
              <w:spacing w:after="0"/>
              <w:rPr>
                <w:sz w:val="20"/>
                <w:szCs w:val="20"/>
                <w:color w:val="auto"/>
              </w:rPr>
            </w:pPr>
            <w:r>
              <w:rPr>
                <w:rFonts w:ascii="Arial" w:cs="Arial" w:eastAsia="Arial" w:hAnsi="Arial"/>
                <w:sz w:val="13"/>
                <w:szCs w:val="13"/>
                <w:color w:val="auto"/>
              </w:rPr>
              <w:t>(105,988)</w:t>
            </w:r>
          </w:p>
        </w:tc>
        <w:tc>
          <w:tcPr>
            <w:tcW w:w="360" w:type="dxa"/>
            <w:vAlign w:val="bottom"/>
            <w:shd w:val="clear" w:color="auto" w:fill="CCEEFF"/>
          </w:tcPr>
          <w:p>
            <w:pPr>
              <w:spacing w:after="0"/>
              <w:rPr>
                <w:sz w:val="13"/>
                <w:szCs w:val="13"/>
                <w:color w:val="auto"/>
              </w:rPr>
            </w:pPr>
          </w:p>
        </w:tc>
        <w:tc>
          <w:tcPr>
            <w:tcW w:w="1020" w:type="dxa"/>
            <w:vAlign w:val="bottom"/>
            <w:shd w:val="clear" w:color="auto" w:fill="CCEEFF"/>
          </w:tcPr>
          <w:p>
            <w:pPr>
              <w:jc w:val="right"/>
              <w:ind w:right="16"/>
              <w:spacing w:after="0"/>
              <w:rPr>
                <w:sz w:val="20"/>
                <w:szCs w:val="20"/>
                <w:color w:val="auto"/>
              </w:rPr>
            </w:pPr>
            <w:r>
              <w:rPr>
                <w:rFonts w:ascii="Arial" w:cs="Arial" w:eastAsia="Arial" w:hAnsi="Arial"/>
                <w:sz w:val="13"/>
                <w:szCs w:val="13"/>
                <w:color w:val="auto"/>
              </w:rPr>
              <w:t>(89,974)</w:t>
            </w:r>
          </w:p>
        </w:tc>
        <w:tc>
          <w:tcPr>
            <w:tcW w:w="34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(77,687)</w:t>
            </w:r>
          </w:p>
        </w:tc>
      </w:tr>
      <w:tr>
        <w:trPr>
          <w:trHeight w:val="154"/>
        </w:trPr>
        <w:tc>
          <w:tcPr>
            <w:tcW w:w="3760" w:type="dxa"/>
            <w:vAlign w:val="bottom"/>
          </w:tcPr>
          <w:p>
            <w:pPr>
              <w:ind w:left="120"/>
              <w:spacing w:after="0"/>
              <w:rPr>
                <w:sz w:val="20"/>
                <w:szCs w:val="20"/>
                <w:color w:val="auto"/>
              </w:rPr>
            </w:pPr>
            <w:r>
              <w:rPr>
                <w:rFonts w:ascii="Arial" w:cs="Arial" w:eastAsia="Arial" w:hAnsi="Arial"/>
                <w:sz w:val="13"/>
                <w:szCs w:val="13"/>
                <w:color w:val="auto"/>
              </w:rPr>
              <w:t>Total assets</w:t>
            </w:r>
          </w:p>
        </w:tc>
        <w:tc>
          <w:tcPr>
            <w:tcW w:w="94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40" w:type="dxa"/>
            <w:vAlign w:val="bottom"/>
          </w:tcPr>
          <w:p>
            <w:pPr>
              <w:jc w:val="right"/>
              <w:ind w:right="76"/>
              <w:spacing w:after="0"/>
              <w:rPr>
                <w:sz w:val="20"/>
                <w:szCs w:val="20"/>
                <w:color w:val="auto"/>
              </w:rPr>
            </w:pPr>
            <w:r>
              <w:rPr>
                <w:rFonts w:ascii="Arial" w:cs="Arial" w:eastAsia="Arial" w:hAnsi="Arial"/>
                <w:sz w:val="13"/>
                <w:szCs w:val="13"/>
                <w:color w:val="auto"/>
              </w:rPr>
              <w:t>7,609,185</w:t>
            </w:r>
          </w:p>
        </w:tc>
        <w:tc>
          <w:tcPr>
            <w:tcW w:w="340" w:type="dxa"/>
            <w:vAlign w:val="bottom"/>
          </w:tcPr>
          <w:p>
            <w:pPr>
              <w:spacing w:after="0"/>
              <w:rPr>
                <w:sz w:val="13"/>
                <w:szCs w:val="13"/>
                <w:color w:val="auto"/>
              </w:rPr>
            </w:pPr>
          </w:p>
        </w:tc>
        <w:tc>
          <w:tcPr>
            <w:tcW w:w="1040" w:type="dxa"/>
            <w:vAlign w:val="bottom"/>
          </w:tcPr>
          <w:p>
            <w:pPr>
              <w:jc w:val="right"/>
              <w:ind w:right="76"/>
              <w:spacing w:after="0"/>
              <w:rPr>
                <w:sz w:val="20"/>
                <w:szCs w:val="20"/>
                <w:color w:val="auto"/>
              </w:rPr>
            </w:pPr>
            <w:r>
              <w:rPr>
                <w:rFonts w:ascii="Arial" w:cs="Arial" w:eastAsia="Arial" w:hAnsi="Arial"/>
                <w:sz w:val="13"/>
                <w:szCs w:val="13"/>
                <w:color w:val="auto"/>
              </w:rPr>
              <w:t>6,267,747</w:t>
            </w:r>
          </w:p>
        </w:tc>
        <w:tc>
          <w:tcPr>
            <w:tcW w:w="480" w:type="dxa"/>
            <w:vAlign w:val="bottom"/>
          </w:tcPr>
          <w:p>
            <w:pPr>
              <w:spacing w:after="0"/>
              <w:rPr>
                <w:sz w:val="13"/>
                <w:szCs w:val="13"/>
                <w:color w:val="auto"/>
              </w:rPr>
            </w:pPr>
          </w:p>
        </w:tc>
        <w:tc>
          <w:tcPr>
            <w:tcW w:w="900" w:type="dxa"/>
            <w:vAlign w:val="bottom"/>
          </w:tcPr>
          <w:p>
            <w:pPr>
              <w:jc w:val="right"/>
              <w:ind w:right="56"/>
              <w:spacing w:after="0"/>
              <w:rPr>
                <w:sz w:val="20"/>
                <w:szCs w:val="20"/>
                <w:color w:val="auto"/>
              </w:rPr>
            </w:pPr>
            <w:r>
              <w:rPr>
                <w:rFonts w:ascii="Arial" w:cs="Arial" w:eastAsia="Arial" w:hAnsi="Arial"/>
                <w:sz w:val="13"/>
                <w:szCs w:val="13"/>
                <w:color w:val="auto"/>
              </w:rPr>
              <w:t>7,180,783</w:t>
            </w:r>
          </w:p>
        </w:tc>
        <w:tc>
          <w:tcPr>
            <w:tcW w:w="360" w:type="dxa"/>
            <w:vAlign w:val="bottom"/>
          </w:tcPr>
          <w:p>
            <w:pPr>
              <w:spacing w:after="0"/>
              <w:rPr>
                <w:sz w:val="13"/>
                <w:szCs w:val="13"/>
                <w:color w:val="auto"/>
              </w:rPr>
            </w:pPr>
          </w:p>
        </w:tc>
        <w:tc>
          <w:tcPr>
            <w:tcW w:w="1020" w:type="dxa"/>
            <w:vAlign w:val="bottom"/>
          </w:tcPr>
          <w:p>
            <w:pPr>
              <w:jc w:val="right"/>
              <w:ind w:right="56"/>
              <w:spacing w:after="0"/>
              <w:rPr>
                <w:sz w:val="20"/>
                <w:szCs w:val="20"/>
                <w:color w:val="auto"/>
              </w:rPr>
            </w:pPr>
            <w:r>
              <w:rPr>
                <w:rFonts w:ascii="Arial" w:cs="Arial" w:eastAsia="Arial" w:hAnsi="Arial"/>
                <w:sz w:val="13"/>
                <w:szCs w:val="13"/>
                <w:color w:val="auto"/>
              </w:rPr>
              <w:t>8,286,216</w:t>
            </w:r>
          </w:p>
        </w:tc>
        <w:tc>
          <w:tcPr>
            <w:tcW w:w="340" w:type="dxa"/>
            <w:vAlign w:val="bottom"/>
          </w:tcPr>
          <w:p>
            <w:pPr>
              <w:spacing w:after="0"/>
              <w:rPr>
                <w:sz w:val="13"/>
                <w:szCs w:val="13"/>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8,022,408</w:t>
            </w:r>
          </w:p>
        </w:tc>
      </w:tr>
      <w:tr>
        <w:trPr>
          <w:trHeight w:val="154"/>
        </w:trPr>
        <w:tc>
          <w:tcPr>
            <w:tcW w:w="3760" w:type="dxa"/>
            <w:vAlign w:val="bottom"/>
            <w:shd w:val="clear" w:color="auto" w:fill="CCEEFF"/>
          </w:tcPr>
          <w:p>
            <w:pPr>
              <w:ind w:left="120"/>
              <w:spacing w:after="0"/>
              <w:rPr>
                <w:sz w:val="20"/>
                <w:szCs w:val="20"/>
                <w:color w:val="auto"/>
              </w:rPr>
            </w:pPr>
            <w:r>
              <w:rPr>
                <w:rFonts w:ascii="Arial" w:cs="Arial" w:eastAsia="Arial" w:hAnsi="Arial"/>
                <w:sz w:val="13"/>
                <w:szCs w:val="13"/>
                <w:color w:val="auto"/>
              </w:rPr>
              <w:t>Total deposits, less interest payable</w:t>
            </w:r>
          </w:p>
        </w:tc>
        <w:tc>
          <w:tcPr>
            <w:tcW w:w="94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1040" w:type="dxa"/>
            <w:vAlign w:val="bottom"/>
            <w:shd w:val="clear" w:color="auto" w:fill="CCEEFF"/>
          </w:tcPr>
          <w:p>
            <w:pPr>
              <w:jc w:val="right"/>
              <w:ind w:right="76"/>
              <w:spacing w:after="0"/>
              <w:rPr>
                <w:sz w:val="20"/>
                <w:szCs w:val="20"/>
                <w:color w:val="auto"/>
              </w:rPr>
            </w:pPr>
            <w:r>
              <w:rPr>
                <w:rFonts w:ascii="Arial" w:cs="Arial" w:eastAsia="Arial" w:hAnsi="Arial"/>
                <w:sz w:val="13"/>
                <w:szCs w:val="13"/>
                <w:color w:val="auto"/>
              </w:rPr>
              <w:t>2,970,822</w:t>
            </w:r>
          </w:p>
        </w:tc>
        <w:tc>
          <w:tcPr>
            <w:tcW w:w="340" w:type="dxa"/>
            <w:vAlign w:val="bottom"/>
            <w:shd w:val="clear" w:color="auto" w:fill="CCEEFF"/>
          </w:tcPr>
          <w:p>
            <w:pPr>
              <w:spacing w:after="0"/>
              <w:rPr>
                <w:sz w:val="13"/>
                <w:szCs w:val="13"/>
                <w:color w:val="auto"/>
              </w:rPr>
            </w:pPr>
          </w:p>
        </w:tc>
        <w:tc>
          <w:tcPr>
            <w:tcW w:w="1040" w:type="dxa"/>
            <w:vAlign w:val="bottom"/>
            <w:shd w:val="clear" w:color="auto" w:fill="CCEEFF"/>
          </w:tcPr>
          <w:p>
            <w:pPr>
              <w:jc w:val="right"/>
              <w:ind w:right="76"/>
              <w:spacing w:after="0"/>
              <w:rPr>
                <w:sz w:val="20"/>
                <w:szCs w:val="20"/>
                <w:color w:val="auto"/>
              </w:rPr>
            </w:pPr>
            <w:r>
              <w:rPr>
                <w:rFonts w:ascii="Arial" w:cs="Arial" w:eastAsia="Arial" w:hAnsi="Arial"/>
                <w:sz w:val="13"/>
                <w:szCs w:val="13"/>
                <w:color w:val="auto"/>
              </w:rPr>
              <w:t>2,928,844</w:t>
            </w:r>
          </w:p>
        </w:tc>
        <w:tc>
          <w:tcPr>
            <w:tcW w:w="480" w:type="dxa"/>
            <w:vAlign w:val="bottom"/>
            <w:shd w:val="clear" w:color="auto" w:fill="CCEEFF"/>
          </w:tcPr>
          <w:p>
            <w:pPr>
              <w:spacing w:after="0"/>
              <w:rPr>
                <w:sz w:val="13"/>
                <w:szCs w:val="13"/>
                <w:color w:val="auto"/>
              </w:rPr>
            </w:pPr>
          </w:p>
        </w:tc>
        <w:tc>
          <w:tcPr>
            <w:tcW w:w="900" w:type="dxa"/>
            <w:vAlign w:val="bottom"/>
            <w:shd w:val="clear" w:color="auto" w:fill="CCEEFF"/>
          </w:tcPr>
          <w:p>
            <w:pPr>
              <w:jc w:val="right"/>
              <w:ind w:right="56"/>
              <w:spacing w:after="0"/>
              <w:rPr>
                <w:sz w:val="20"/>
                <w:szCs w:val="20"/>
                <w:color w:val="auto"/>
              </w:rPr>
            </w:pPr>
            <w:r>
              <w:rPr>
                <w:rFonts w:ascii="Arial" w:cs="Arial" w:eastAsia="Arial" w:hAnsi="Arial"/>
                <w:sz w:val="13"/>
                <w:szCs w:val="13"/>
                <w:color w:val="auto"/>
              </w:rPr>
              <w:t>2,802,852</w:t>
            </w:r>
          </w:p>
        </w:tc>
        <w:tc>
          <w:tcPr>
            <w:tcW w:w="360" w:type="dxa"/>
            <w:vAlign w:val="bottom"/>
            <w:shd w:val="clear" w:color="auto" w:fill="CCEEFF"/>
          </w:tcPr>
          <w:p>
            <w:pPr>
              <w:spacing w:after="0"/>
              <w:rPr>
                <w:sz w:val="13"/>
                <w:szCs w:val="13"/>
                <w:color w:val="auto"/>
              </w:rPr>
            </w:pPr>
          </w:p>
        </w:tc>
        <w:tc>
          <w:tcPr>
            <w:tcW w:w="1020" w:type="dxa"/>
            <w:vAlign w:val="bottom"/>
            <w:shd w:val="clear" w:color="auto" w:fill="CCEEFF"/>
          </w:tcPr>
          <w:p>
            <w:pPr>
              <w:jc w:val="right"/>
              <w:ind w:right="56"/>
              <w:spacing w:after="0"/>
              <w:rPr>
                <w:sz w:val="20"/>
                <w:szCs w:val="20"/>
                <w:color w:val="auto"/>
              </w:rPr>
            </w:pPr>
            <w:r>
              <w:rPr>
                <w:rFonts w:ascii="Arial" w:cs="Arial" w:eastAsia="Arial" w:hAnsi="Arial"/>
                <w:sz w:val="13"/>
                <w:szCs w:val="13"/>
                <w:color w:val="auto"/>
              </w:rPr>
              <w:t>2,795,469</w:t>
            </w:r>
          </w:p>
        </w:tc>
        <w:tc>
          <w:tcPr>
            <w:tcW w:w="34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2,506,694</w:t>
            </w:r>
          </w:p>
        </w:tc>
      </w:tr>
      <w:tr>
        <w:trPr>
          <w:trHeight w:val="154"/>
        </w:trPr>
        <w:tc>
          <w:tcPr>
            <w:tcW w:w="3760" w:type="dxa"/>
            <w:vAlign w:val="bottom"/>
          </w:tcPr>
          <w:p>
            <w:pPr>
              <w:ind w:left="120"/>
              <w:spacing w:after="0"/>
              <w:rPr>
                <w:sz w:val="20"/>
                <w:szCs w:val="20"/>
                <w:color w:val="auto"/>
              </w:rPr>
            </w:pPr>
            <w:r>
              <w:rPr>
                <w:rFonts w:ascii="Arial" w:cs="Arial" w:eastAsia="Arial" w:hAnsi="Arial"/>
                <w:sz w:val="13"/>
                <w:szCs w:val="13"/>
                <w:color w:val="auto"/>
              </w:rPr>
              <w:t>Securities sold under repurchase agreement</w:t>
            </w:r>
          </w:p>
        </w:tc>
        <w:tc>
          <w:tcPr>
            <w:tcW w:w="94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40" w:type="dxa"/>
            <w:vAlign w:val="bottom"/>
          </w:tcPr>
          <w:p>
            <w:pPr>
              <w:jc w:val="right"/>
              <w:ind w:right="76"/>
              <w:spacing w:after="0"/>
              <w:rPr>
                <w:sz w:val="20"/>
                <w:szCs w:val="20"/>
                <w:color w:val="auto"/>
              </w:rPr>
            </w:pPr>
            <w:r>
              <w:rPr>
                <w:rFonts w:ascii="Arial" w:cs="Arial" w:eastAsia="Arial" w:hAnsi="Arial"/>
                <w:sz w:val="13"/>
                <w:szCs w:val="13"/>
                <w:color w:val="auto"/>
              </w:rPr>
              <w:t>39,767</w:t>
            </w:r>
          </w:p>
        </w:tc>
        <w:tc>
          <w:tcPr>
            <w:tcW w:w="340" w:type="dxa"/>
            <w:vAlign w:val="bottom"/>
          </w:tcPr>
          <w:p>
            <w:pPr>
              <w:spacing w:after="0"/>
              <w:rPr>
                <w:sz w:val="13"/>
                <w:szCs w:val="13"/>
                <w:color w:val="auto"/>
              </w:rPr>
            </w:pPr>
          </w:p>
        </w:tc>
        <w:tc>
          <w:tcPr>
            <w:tcW w:w="1040" w:type="dxa"/>
            <w:vAlign w:val="bottom"/>
          </w:tcPr>
          <w:p>
            <w:pPr>
              <w:jc w:val="right"/>
              <w:ind w:right="76"/>
              <w:spacing w:after="0"/>
              <w:rPr>
                <w:sz w:val="20"/>
                <w:szCs w:val="20"/>
                <w:color w:val="auto"/>
              </w:rPr>
            </w:pPr>
            <w:r>
              <w:rPr>
                <w:rFonts w:ascii="Arial" w:cs="Arial" w:eastAsia="Arial" w:hAnsi="Arial"/>
                <w:sz w:val="13"/>
                <w:szCs w:val="13"/>
                <w:color w:val="auto"/>
              </w:rPr>
              <w:t>0</w:t>
            </w:r>
          </w:p>
        </w:tc>
        <w:tc>
          <w:tcPr>
            <w:tcW w:w="480" w:type="dxa"/>
            <w:vAlign w:val="bottom"/>
          </w:tcPr>
          <w:p>
            <w:pPr>
              <w:spacing w:after="0"/>
              <w:rPr>
                <w:sz w:val="13"/>
                <w:szCs w:val="13"/>
                <w:color w:val="auto"/>
              </w:rPr>
            </w:pPr>
          </w:p>
        </w:tc>
        <w:tc>
          <w:tcPr>
            <w:tcW w:w="900" w:type="dxa"/>
            <w:vAlign w:val="bottom"/>
          </w:tcPr>
          <w:p>
            <w:pPr>
              <w:jc w:val="right"/>
              <w:ind w:right="56"/>
              <w:spacing w:after="0"/>
              <w:rPr>
                <w:sz w:val="20"/>
                <w:szCs w:val="20"/>
                <w:color w:val="auto"/>
              </w:rPr>
            </w:pPr>
            <w:r>
              <w:rPr>
                <w:rFonts w:ascii="Arial" w:cs="Arial" w:eastAsia="Arial" w:hAnsi="Arial"/>
                <w:sz w:val="13"/>
                <w:szCs w:val="13"/>
                <w:color w:val="auto"/>
              </w:rPr>
              <w:t>0</w:t>
            </w:r>
          </w:p>
        </w:tc>
        <w:tc>
          <w:tcPr>
            <w:tcW w:w="360" w:type="dxa"/>
            <w:vAlign w:val="bottom"/>
          </w:tcPr>
          <w:p>
            <w:pPr>
              <w:spacing w:after="0"/>
              <w:rPr>
                <w:sz w:val="13"/>
                <w:szCs w:val="13"/>
                <w:color w:val="auto"/>
              </w:rPr>
            </w:pPr>
          </w:p>
        </w:tc>
        <w:tc>
          <w:tcPr>
            <w:tcW w:w="1020" w:type="dxa"/>
            <w:vAlign w:val="bottom"/>
          </w:tcPr>
          <w:p>
            <w:pPr>
              <w:jc w:val="right"/>
              <w:ind w:right="56"/>
              <w:spacing w:after="0"/>
              <w:rPr>
                <w:sz w:val="20"/>
                <w:szCs w:val="20"/>
                <w:color w:val="auto"/>
              </w:rPr>
            </w:pPr>
            <w:r>
              <w:rPr>
                <w:rFonts w:ascii="Arial" w:cs="Arial" w:eastAsia="Arial" w:hAnsi="Arial"/>
                <w:sz w:val="13"/>
                <w:szCs w:val="13"/>
                <w:color w:val="auto"/>
              </w:rPr>
              <w:t>114,084</w:t>
            </w:r>
          </w:p>
        </w:tc>
        <w:tc>
          <w:tcPr>
            <w:tcW w:w="340" w:type="dxa"/>
            <w:vAlign w:val="bottom"/>
          </w:tcPr>
          <w:p>
            <w:pPr>
              <w:spacing w:after="0"/>
              <w:rPr>
                <w:sz w:val="13"/>
                <w:szCs w:val="13"/>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300,519</w:t>
            </w:r>
          </w:p>
        </w:tc>
      </w:tr>
      <w:tr>
        <w:trPr>
          <w:trHeight w:val="154"/>
        </w:trPr>
        <w:tc>
          <w:tcPr>
            <w:tcW w:w="3760" w:type="dxa"/>
            <w:vAlign w:val="bottom"/>
            <w:shd w:val="clear" w:color="auto" w:fill="CCEEFF"/>
          </w:tcPr>
          <w:p>
            <w:pPr>
              <w:ind w:left="120"/>
              <w:spacing w:after="0"/>
              <w:rPr>
                <w:sz w:val="20"/>
                <w:szCs w:val="20"/>
                <w:color w:val="auto"/>
              </w:rPr>
            </w:pPr>
            <w:r>
              <w:rPr>
                <w:rFonts w:ascii="Arial" w:cs="Arial" w:eastAsia="Arial" w:hAnsi="Arial"/>
                <w:sz w:val="13"/>
                <w:szCs w:val="13"/>
                <w:color w:val="auto"/>
              </w:rPr>
              <w:t>Borrowings and debt, net</w:t>
            </w:r>
          </w:p>
        </w:tc>
        <w:tc>
          <w:tcPr>
            <w:tcW w:w="94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1040" w:type="dxa"/>
            <w:vAlign w:val="bottom"/>
            <w:shd w:val="clear" w:color="auto" w:fill="CCEEFF"/>
          </w:tcPr>
          <w:p>
            <w:pPr>
              <w:jc w:val="right"/>
              <w:ind w:right="76"/>
              <w:spacing w:after="0"/>
              <w:rPr>
                <w:sz w:val="20"/>
                <w:szCs w:val="20"/>
                <w:color w:val="auto"/>
              </w:rPr>
            </w:pPr>
            <w:r>
              <w:rPr>
                <w:rFonts w:ascii="Arial" w:cs="Arial" w:eastAsia="Arial" w:hAnsi="Arial"/>
                <w:sz w:val="13"/>
                <w:szCs w:val="13"/>
                <w:color w:val="auto"/>
              </w:rPr>
              <w:t>3,518,446</w:t>
            </w:r>
          </w:p>
        </w:tc>
        <w:tc>
          <w:tcPr>
            <w:tcW w:w="340" w:type="dxa"/>
            <w:vAlign w:val="bottom"/>
            <w:shd w:val="clear" w:color="auto" w:fill="CCEEFF"/>
          </w:tcPr>
          <w:p>
            <w:pPr>
              <w:spacing w:after="0"/>
              <w:rPr>
                <w:sz w:val="13"/>
                <w:szCs w:val="13"/>
                <w:color w:val="auto"/>
              </w:rPr>
            </w:pPr>
          </w:p>
        </w:tc>
        <w:tc>
          <w:tcPr>
            <w:tcW w:w="1040" w:type="dxa"/>
            <w:vAlign w:val="bottom"/>
            <w:shd w:val="clear" w:color="auto" w:fill="CCEEFF"/>
          </w:tcPr>
          <w:p>
            <w:pPr>
              <w:jc w:val="right"/>
              <w:ind w:right="76"/>
              <w:spacing w:after="0"/>
              <w:rPr>
                <w:sz w:val="20"/>
                <w:szCs w:val="20"/>
                <w:color w:val="auto"/>
              </w:rPr>
            </w:pPr>
            <w:r>
              <w:rPr>
                <w:rFonts w:ascii="Arial" w:cs="Arial" w:eastAsia="Arial" w:hAnsi="Arial"/>
                <w:sz w:val="13"/>
                <w:szCs w:val="13"/>
                <w:color w:val="auto"/>
              </w:rPr>
              <w:t>2,211,567</w:t>
            </w:r>
          </w:p>
        </w:tc>
        <w:tc>
          <w:tcPr>
            <w:tcW w:w="480" w:type="dxa"/>
            <w:vAlign w:val="bottom"/>
            <w:shd w:val="clear" w:color="auto" w:fill="CCEEFF"/>
          </w:tcPr>
          <w:p>
            <w:pPr>
              <w:spacing w:after="0"/>
              <w:rPr>
                <w:sz w:val="13"/>
                <w:szCs w:val="13"/>
                <w:color w:val="auto"/>
              </w:rPr>
            </w:pPr>
          </w:p>
        </w:tc>
        <w:tc>
          <w:tcPr>
            <w:tcW w:w="900" w:type="dxa"/>
            <w:vAlign w:val="bottom"/>
            <w:shd w:val="clear" w:color="auto" w:fill="CCEEFF"/>
          </w:tcPr>
          <w:p>
            <w:pPr>
              <w:jc w:val="right"/>
              <w:ind w:right="56"/>
              <w:spacing w:after="0"/>
              <w:rPr>
                <w:sz w:val="20"/>
                <w:szCs w:val="20"/>
                <w:color w:val="auto"/>
              </w:rPr>
            </w:pPr>
            <w:r>
              <w:rPr>
                <w:rFonts w:ascii="Arial" w:cs="Arial" w:eastAsia="Arial" w:hAnsi="Arial"/>
                <w:sz w:val="13"/>
                <w:szCs w:val="13"/>
                <w:color w:val="auto"/>
              </w:rPr>
              <w:t>3,246,813</w:t>
            </w:r>
          </w:p>
        </w:tc>
        <w:tc>
          <w:tcPr>
            <w:tcW w:w="360" w:type="dxa"/>
            <w:vAlign w:val="bottom"/>
            <w:shd w:val="clear" w:color="auto" w:fill="CCEEFF"/>
          </w:tcPr>
          <w:p>
            <w:pPr>
              <w:spacing w:after="0"/>
              <w:rPr>
                <w:sz w:val="13"/>
                <w:szCs w:val="13"/>
                <w:color w:val="auto"/>
              </w:rPr>
            </w:pPr>
          </w:p>
        </w:tc>
        <w:tc>
          <w:tcPr>
            <w:tcW w:w="1020" w:type="dxa"/>
            <w:vAlign w:val="bottom"/>
            <w:shd w:val="clear" w:color="auto" w:fill="CCEEFF"/>
          </w:tcPr>
          <w:p>
            <w:pPr>
              <w:jc w:val="right"/>
              <w:ind w:right="56"/>
              <w:spacing w:after="0"/>
              <w:rPr>
                <w:sz w:val="20"/>
                <w:szCs w:val="20"/>
                <w:color w:val="auto"/>
              </w:rPr>
            </w:pPr>
            <w:r>
              <w:rPr>
                <w:rFonts w:ascii="Arial" w:cs="Arial" w:eastAsia="Arial" w:hAnsi="Arial"/>
                <w:sz w:val="13"/>
                <w:szCs w:val="13"/>
                <w:color w:val="auto"/>
              </w:rPr>
              <w:t>4,312,170</w:t>
            </w:r>
          </w:p>
        </w:tc>
        <w:tc>
          <w:tcPr>
            <w:tcW w:w="34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4,092,193</w:t>
            </w:r>
          </w:p>
        </w:tc>
      </w:tr>
      <w:tr>
        <w:trPr>
          <w:trHeight w:val="154"/>
        </w:trPr>
        <w:tc>
          <w:tcPr>
            <w:tcW w:w="3760" w:type="dxa"/>
            <w:vAlign w:val="bottom"/>
          </w:tcPr>
          <w:p>
            <w:pPr>
              <w:ind w:left="120"/>
              <w:spacing w:after="0"/>
              <w:rPr>
                <w:sz w:val="20"/>
                <w:szCs w:val="20"/>
                <w:color w:val="auto"/>
              </w:rPr>
            </w:pPr>
            <w:r>
              <w:rPr>
                <w:rFonts w:ascii="Arial" w:cs="Arial" w:eastAsia="Arial" w:hAnsi="Arial"/>
                <w:sz w:val="13"/>
                <w:szCs w:val="13"/>
                <w:color w:val="auto"/>
              </w:rPr>
              <w:t>Total liabilities</w:t>
            </w:r>
          </w:p>
        </w:tc>
        <w:tc>
          <w:tcPr>
            <w:tcW w:w="94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40" w:type="dxa"/>
            <w:vAlign w:val="bottom"/>
          </w:tcPr>
          <w:p>
            <w:pPr>
              <w:jc w:val="right"/>
              <w:ind w:right="76"/>
              <w:spacing w:after="0"/>
              <w:rPr>
                <w:sz w:val="20"/>
                <w:szCs w:val="20"/>
                <w:color w:val="auto"/>
              </w:rPr>
            </w:pPr>
            <w:r>
              <w:rPr>
                <w:rFonts w:ascii="Arial" w:cs="Arial" w:eastAsia="Arial" w:hAnsi="Arial"/>
                <w:sz w:val="13"/>
                <w:szCs w:val="13"/>
                <w:color w:val="auto"/>
              </w:rPr>
              <w:t>6,615,595</w:t>
            </w:r>
          </w:p>
        </w:tc>
        <w:tc>
          <w:tcPr>
            <w:tcW w:w="340" w:type="dxa"/>
            <w:vAlign w:val="bottom"/>
          </w:tcPr>
          <w:p>
            <w:pPr>
              <w:spacing w:after="0"/>
              <w:rPr>
                <w:sz w:val="13"/>
                <w:szCs w:val="13"/>
                <w:color w:val="auto"/>
              </w:rPr>
            </w:pPr>
          </w:p>
        </w:tc>
        <w:tc>
          <w:tcPr>
            <w:tcW w:w="1040" w:type="dxa"/>
            <w:vAlign w:val="bottom"/>
          </w:tcPr>
          <w:p>
            <w:pPr>
              <w:jc w:val="right"/>
              <w:ind w:right="76"/>
              <w:spacing w:after="0"/>
              <w:rPr>
                <w:sz w:val="20"/>
                <w:szCs w:val="20"/>
                <w:color w:val="auto"/>
              </w:rPr>
            </w:pPr>
            <w:r>
              <w:rPr>
                <w:rFonts w:ascii="Arial" w:cs="Arial" w:eastAsia="Arial" w:hAnsi="Arial"/>
                <w:sz w:val="13"/>
                <w:szCs w:val="13"/>
                <w:color w:val="auto"/>
              </w:rPr>
              <w:t>5,224,935</w:t>
            </w:r>
          </w:p>
        </w:tc>
        <w:tc>
          <w:tcPr>
            <w:tcW w:w="480" w:type="dxa"/>
            <w:vAlign w:val="bottom"/>
          </w:tcPr>
          <w:p>
            <w:pPr>
              <w:spacing w:after="0"/>
              <w:rPr>
                <w:sz w:val="13"/>
                <w:szCs w:val="13"/>
                <w:color w:val="auto"/>
              </w:rPr>
            </w:pPr>
          </w:p>
        </w:tc>
        <w:tc>
          <w:tcPr>
            <w:tcW w:w="900" w:type="dxa"/>
            <w:vAlign w:val="bottom"/>
          </w:tcPr>
          <w:p>
            <w:pPr>
              <w:jc w:val="right"/>
              <w:ind w:right="56"/>
              <w:spacing w:after="0"/>
              <w:rPr>
                <w:sz w:val="20"/>
                <w:szCs w:val="20"/>
                <w:color w:val="auto"/>
              </w:rPr>
            </w:pPr>
            <w:r>
              <w:rPr>
                <w:rFonts w:ascii="Arial" w:cs="Arial" w:eastAsia="Arial" w:hAnsi="Arial"/>
                <w:sz w:val="13"/>
                <w:szCs w:val="13"/>
                <w:color w:val="auto"/>
              </w:rPr>
              <w:t>6,169,469</w:t>
            </w:r>
          </w:p>
        </w:tc>
        <w:tc>
          <w:tcPr>
            <w:tcW w:w="360" w:type="dxa"/>
            <w:vAlign w:val="bottom"/>
          </w:tcPr>
          <w:p>
            <w:pPr>
              <w:spacing w:after="0"/>
              <w:rPr>
                <w:sz w:val="13"/>
                <w:szCs w:val="13"/>
                <w:color w:val="auto"/>
              </w:rPr>
            </w:pPr>
          </w:p>
        </w:tc>
        <w:tc>
          <w:tcPr>
            <w:tcW w:w="1020" w:type="dxa"/>
            <w:vAlign w:val="bottom"/>
          </w:tcPr>
          <w:p>
            <w:pPr>
              <w:jc w:val="right"/>
              <w:ind w:right="56"/>
              <w:spacing w:after="0"/>
              <w:rPr>
                <w:sz w:val="20"/>
                <w:szCs w:val="20"/>
                <w:color w:val="auto"/>
              </w:rPr>
            </w:pPr>
            <w:r>
              <w:rPr>
                <w:rFonts w:ascii="Arial" w:cs="Arial" w:eastAsia="Arial" w:hAnsi="Arial"/>
                <w:sz w:val="13"/>
                <w:szCs w:val="13"/>
                <w:color w:val="auto"/>
              </w:rPr>
              <w:t>7,314,285</w:t>
            </w:r>
          </w:p>
        </w:tc>
        <w:tc>
          <w:tcPr>
            <w:tcW w:w="340" w:type="dxa"/>
            <w:vAlign w:val="bottom"/>
          </w:tcPr>
          <w:p>
            <w:pPr>
              <w:spacing w:after="0"/>
              <w:rPr>
                <w:sz w:val="13"/>
                <w:szCs w:val="13"/>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7,111,369</w:t>
            </w:r>
          </w:p>
        </w:tc>
      </w:tr>
      <w:tr>
        <w:trPr>
          <w:trHeight w:val="154"/>
        </w:trPr>
        <w:tc>
          <w:tcPr>
            <w:tcW w:w="3760" w:type="dxa"/>
            <w:vAlign w:val="bottom"/>
            <w:shd w:val="clear" w:color="auto" w:fill="CCEEFF"/>
          </w:tcPr>
          <w:p>
            <w:pPr>
              <w:ind w:left="120"/>
              <w:spacing w:after="0"/>
              <w:rPr>
                <w:sz w:val="20"/>
                <w:szCs w:val="20"/>
                <w:color w:val="auto"/>
              </w:rPr>
            </w:pPr>
            <w:r>
              <w:rPr>
                <w:rFonts w:ascii="Arial" w:cs="Arial" w:eastAsia="Arial" w:hAnsi="Arial"/>
                <w:sz w:val="13"/>
                <w:szCs w:val="13"/>
                <w:color w:val="auto"/>
              </w:rPr>
              <w:t>Common stock</w:t>
            </w:r>
          </w:p>
        </w:tc>
        <w:tc>
          <w:tcPr>
            <w:tcW w:w="94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1040" w:type="dxa"/>
            <w:vAlign w:val="bottom"/>
            <w:shd w:val="clear" w:color="auto" w:fill="CCEEFF"/>
          </w:tcPr>
          <w:p>
            <w:pPr>
              <w:jc w:val="right"/>
              <w:ind w:right="76"/>
              <w:spacing w:after="0"/>
              <w:rPr>
                <w:sz w:val="20"/>
                <w:szCs w:val="20"/>
                <w:color w:val="auto"/>
              </w:rPr>
            </w:pPr>
            <w:r>
              <w:rPr>
                <w:rFonts w:ascii="Arial" w:cs="Arial" w:eastAsia="Arial" w:hAnsi="Arial"/>
                <w:sz w:val="13"/>
                <w:szCs w:val="13"/>
                <w:color w:val="auto"/>
              </w:rPr>
              <w:t>279,280</w:t>
            </w:r>
          </w:p>
        </w:tc>
        <w:tc>
          <w:tcPr>
            <w:tcW w:w="340" w:type="dxa"/>
            <w:vAlign w:val="bottom"/>
            <w:shd w:val="clear" w:color="auto" w:fill="CCEEFF"/>
          </w:tcPr>
          <w:p>
            <w:pPr>
              <w:spacing w:after="0"/>
              <w:rPr>
                <w:sz w:val="13"/>
                <w:szCs w:val="13"/>
                <w:color w:val="auto"/>
              </w:rPr>
            </w:pPr>
          </w:p>
        </w:tc>
        <w:tc>
          <w:tcPr>
            <w:tcW w:w="1040" w:type="dxa"/>
            <w:vAlign w:val="bottom"/>
            <w:shd w:val="clear" w:color="auto" w:fill="CCEEFF"/>
          </w:tcPr>
          <w:p>
            <w:pPr>
              <w:jc w:val="right"/>
              <w:ind w:right="76"/>
              <w:spacing w:after="0"/>
              <w:rPr>
                <w:sz w:val="20"/>
                <w:szCs w:val="20"/>
                <w:color w:val="auto"/>
              </w:rPr>
            </w:pPr>
            <w:r>
              <w:rPr>
                <w:rFonts w:ascii="Arial" w:cs="Arial" w:eastAsia="Arial" w:hAnsi="Arial"/>
                <w:sz w:val="13"/>
                <w:szCs w:val="13"/>
                <w:color w:val="auto"/>
              </w:rPr>
              <w:t>279,980</w:t>
            </w:r>
          </w:p>
        </w:tc>
        <w:tc>
          <w:tcPr>
            <w:tcW w:w="480" w:type="dxa"/>
            <w:vAlign w:val="bottom"/>
            <w:shd w:val="clear" w:color="auto" w:fill="CCEEFF"/>
          </w:tcPr>
          <w:p>
            <w:pPr>
              <w:spacing w:after="0"/>
              <w:rPr>
                <w:sz w:val="13"/>
                <w:szCs w:val="13"/>
                <w:color w:val="auto"/>
              </w:rPr>
            </w:pPr>
          </w:p>
        </w:tc>
        <w:tc>
          <w:tcPr>
            <w:tcW w:w="900" w:type="dxa"/>
            <w:vAlign w:val="bottom"/>
            <w:shd w:val="clear" w:color="auto" w:fill="CCEEFF"/>
          </w:tcPr>
          <w:p>
            <w:pPr>
              <w:jc w:val="right"/>
              <w:ind w:right="56"/>
              <w:spacing w:after="0"/>
              <w:rPr>
                <w:sz w:val="20"/>
                <w:szCs w:val="20"/>
                <w:color w:val="auto"/>
              </w:rPr>
            </w:pPr>
            <w:r>
              <w:rPr>
                <w:rFonts w:ascii="Arial" w:cs="Arial" w:eastAsia="Arial" w:hAnsi="Arial"/>
                <w:sz w:val="13"/>
                <w:szCs w:val="13"/>
                <w:color w:val="auto"/>
              </w:rPr>
              <w:t>279,980</w:t>
            </w:r>
          </w:p>
        </w:tc>
        <w:tc>
          <w:tcPr>
            <w:tcW w:w="360" w:type="dxa"/>
            <w:vAlign w:val="bottom"/>
            <w:shd w:val="clear" w:color="auto" w:fill="CCEEFF"/>
          </w:tcPr>
          <w:p>
            <w:pPr>
              <w:spacing w:after="0"/>
              <w:rPr>
                <w:sz w:val="13"/>
                <w:szCs w:val="13"/>
                <w:color w:val="auto"/>
              </w:rPr>
            </w:pPr>
          </w:p>
        </w:tc>
        <w:tc>
          <w:tcPr>
            <w:tcW w:w="1020" w:type="dxa"/>
            <w:vAlign w:val="bottom"/>
            <w:shd w:val="clear" w:color="auto" w:fill="CCEEFF"/>
          </w:tcPr>
          <w:p>
            <w:pPr>
              <w:jc w:val="right"/>
              <w:ind w:right="56"/>
              <w:spacing w:after="0"/>
              <w:rPr>
                <w:sz w:val="20"/>
                <w:szCs w:val="20"/>
                <w:color w:val="auto"/>
              </w:rPr>
            </w:pPr>
            <w:r>
              <w:rPr>
                <w:rFonts w:ascii="Arial" w:cs="Arial" w:eastAsia="Arial" w:hAnsi="Arial"/>
                <w:sz w:val="13"/>
                <w:szCs w:val="13"/>
                <w:color w:val="auto"/>
              </w:rPr>
              <w:t>279,980</w:t>
            </w:r>
          </w:p>
        </w:tc>
        <w:tc>
          <w:tcPr>
            <w:tcW w:w="34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279,980</w:t>
            </w:r>
          </w:p>
        </w:tc>
      </w:tr>
      <w:tr>
        <w:trPr>
          <w:trHeight w:val="162"/>
        </w:trPr>
        <w:tc>
          <w:tcPr>
            <w:tcW w:w="3760" w:type="dxa"/>
            <w:vAlign w:val="bottom"/>
          </w:tcPr>
          <w:p>
            <w:pPr>
              <w:ind w:left="120"/>
              <w:spacing w:after="0"/>
              <w:rPr>
                <w:sz w:val="20"/>
                <w:szCs w:val="20"/>
                <w:color w:val="auto"/>
              </w:rPr>
            </w:pPr>
            <w:r>
              <w:rPr>
                <w:rFonts w:ascii="Arial" w:cs="Arial" w:eastAsia="Arial" w:hAnsi="Arial"/>
                <w:sz w:val="13"/>
                <w:szCs w:val="13"/>
                <w:color w:val="auto"/>
              </w:rPr>
              <w:t>Total equity</w:t>
            </w:r>
          </w:p>
        </w:tc>
        <w:tc>
          <w:tcPr>
            <w:tcW w:w="12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40" w:type="dxa"/>
            <w:vAlign w:val="bottom"/>
          </w:tcPr>
          <w:p>
            <w:pPr>
              <w:jc w:val="right"/>
              <w:ind w:right="76"/>
              <w:spacing w:after="0"/>
              <w:rPr>
                <w:sz w:val="20"/>
                <w:szCs w:val="20"/>
                <w:color w:val="auto"/>
              </w:rPr>
            </w:pPr>
            <w:r>
              <w:rPr>
                <w:rFonts w:ascii="Arial" w:cs="Arial" w:eastAsia="Arial" w:hAnsi="Arial"/>
                <w:sz w:val="13"/>
                <w:szCs w:val="13"/>
                <w:color w:val="auto"/>
              </w:rPr>
              <w:t>993,590</w:t>
            </w:r>
          </w:p>
        </w:tc>
        <w:tc>
          <w:tcPr>
            <w:tcW w:w="340" w:type="dxa"/>
            <w:vAlign w:val="bottom"/>
          </w:tcPr>
          <w:p>
            <w:pPr>
              <w:jc w:val="right"/>
              <w:ind w:right="116"/>
              <w:spacing w:after="0"/>
              <w:rPr>
                <w:sz w:val="20"/>
                <w:szCs w:val="20"/>
                <w:color w:val="auto"/>
              </w:rPr>
            </w:pPr>
            <w:r>
              <w:rPr>
                <w:rFonts w:ascii="Arial" w:cs="Arial" w:eastAsia="Arial" w:hAnsi="Arial"/>
                <w:sz w:val="13"/>
                <w:szCs w:val="13"/>
                <w:color w:val="auto"/>
              </w:rPr>
              <w:t>$</w:t>
            </w:r>
          </w:p>
        </w:tc>
        <w:tc>
          <w:tcPr>
            <w:tcW w:w="1040" w:type="dxa"/>
            <w:vAlign w:val="bottom"/>
          </w:tcPr>
          <w:p>
            <w:pPr>
              <w:jc w:val="right"/>
              <w:ind w:right="76"/>
              <w:spacing w:after="0"/>
              <w:rPr>
                <w:sz w:val="20"/>
                <w:szCs w:val="20"/>
                <w:color w:val="auto"/>
              </w:rPr>
            </w:pPr>
            <w:r>
              <w:rPr>
                <w:rFonts w:ascii="Arial" w:cs="Arial" w:eastAsia="Arial" w:hAnsi="Arial"/>
                <w:sz w:val="13"/>
                <w:szCs w:val="13"/>
                <w:color w:val="auto"/>
              </w:rPr>
              <w:t>1,042,812</w:t>
            </w:r>
          </w:p>
        </w:tc>
        <w:tc>
          <w:tcPr>
            <w:tcW w:w="480" w:type="dxa"/>
            <w:vAlign w:val="bottom"/>
          </w:tcPr>
          <w:p>
            <w:pPr>
              <w:jc w:val="right"/>
              <w:ind w:right="256"/>
              <w:spacing w:after="0"/>
              <w:rPr>
                <w:sz w:val="20"/>
                <w:szCs w:val="20"/>
                <w:color w:val="auto"/>
              </w:rPr>
            </w:pPr>
            <w:r>
              <w:rPr>
                <w:rFonts w:ascii="Arial" w:cs="Arial" w:eastAsia="Arial" w:hAnsi="Arial"/>
                <w:sz w:val="13"/>
                <w:szCs w:val="13"/>
                <w:color w:val="auto"/>
              </w:rPr>
              <w:t>$</w:t>
            </w:r>
          </w:p>
        </w:tc>
        <w:tc>
          <w:tcPr>
            <w:tcW w:w="900" w:type="dxa"/>
            <w:vAlign w:val="bottom"/>
          </w:tcPr>
          <w:p>
            <w:pPr>
              <w:jc w:val="right"/>
              <w:ind w:right="56"/>
              <w:spacing w:after="0"/>
              <w:rPr>
                <w:sz w:val="20"/>
                <w:szCs w:val="20"/>
                <w:color w:val="auto"/>
              </w:rPr>
            </w:pPr>
            <w:r>
              <w:rPr>
                <w:rFonts w:ascii="Arial" w:cs="Arial" w:eastAsia="Arial" w:hAnsi="Arial"/>
                <w:sz w:val="13"/>
                <w:szCs w:val="13"/>
                <w:color w:val="auto"/>
              </w:rPr>
              <w:t>1,011,314</w:t>
            </w:r>
          </w:p>
        </w:tc>
        <w:tc>
          <w:tcPr>
            <w:tcW w:w="360" w:type="dxa"/>
            <w:vAlign w:val="bottom"/>
          </w:tcPr>
          <w:p>
            <w:pPr>
              <w:jc w:val="right"/>
              <w:ind w:right="136"/>
              <w:spacing w:after="0"/>
              <w:rPr>
                <w:sz w:val="20"/>
                <w:szCs w:val="20"/>
                <w:color w:val="auto"/>
              </w:rPr>
            </w:pPr>
            <w:r>
              <w:rPr>
                <w:rFonts w:ascii="Arial" w:cs="Arial" w:eastAsia="Arial" w:hAnsi="Arial"/>
                <w:sz w:val="13"/>
                <w:szCs w:val="13"/>
                <w:color w:val="auto"/>
              </w:rPr>
              <w:t>$</w:t>
            </w:r>
          </w:p>
        </w:tc>
        <w:tc>
          <w:tcPr>
            <w:tcW w:w="1020" w:type="dxa"/>
            <w:vAlign w:val="bottom"/>
          </w:tcPr>
          <w:p>
            <w:pPr>
              <w:jc w:val="right"/>
              <w:ind w:right="56"/>
              <w:spacing w:after="0"/>
              <w:rPr>
                <w:sz w:val="20"/>
                <w:szCs w:val="20"/>
                <w:color w:val="auto"/>
              </w:rPr>
            </w:pPr>
            <w:r>
              <w:rPr>
                <w:rFonts w:ascii="Arial" w:cs="Arial" w:eastAsia="Arial" w:hAnsi="Arial"/>
                <w:sz w:val="13"/>
                <w:szCs w:val="13"/>
                <w:color w:val="auto"/>
              </w:rPr>
              <w:t>971,931</w:t>
            </w:r>
          </w:p>
        </w:tc>
        <w:tc>
          <w:tcPr>
            <w:tcW w:w="340" w:type="dxa"/>
            <w:vAlign w:val="bottom"/>
          </w:tcPr>
          <w:p>
            <w:pPr>
              <w:jc w:val="right"/>
              <w:ind w:right="116"/>
              <w:spacing w:after="0"/>
              <w:rPr>
                <w:sz w:val="20"/>
                <w:szCs w:val="20"/>
                <w:color w:val="auto"/>
              </w:rPr>
            </w:pPr>
            <w:r>
              <w:rPr>
                <w:rFonts w:ascii="Arial" w:cs="Arial" w:eastAsia="Arial" w:hAnsi="Arial"/>
                <w:sz w:val="13"/>
                <w:szCs w:val="13"/>
                <w:color w:val="auto"/>
              </w:rPr>
              <w:t>$</w:t>
            </w: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911,039</w:t>
            </w:r>
          </w:p>
        </w:tc>
      </w:tr>
    </w:tbl>
    <w:p>
      <w:pPr>
        <w:spacing w:after="0" w:line="285"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7" w:name="page8"/>
    <w:bookmarkEnd w:id="7"/>
    <w:tbl>
      <w:tblPr>
        <w:tblLayout w:type="fixed"/>
        <w:tblInd w:w="3" w:type="dxa"/>
        <w:tblCellMar>
          <w:top w:w="0" w:type="dxa"/>
          <w:left w:w="0" w:type="dxa"/>
          <w:bottom w:w="0" w:type="dxa"/>
          <w:right w:w="0" w:type="dxa"/>
        </w:tblCellMar>
      </w:tblPr>
      <w:tr>
        <w:trPr>
          <w:trHeight w:val="167"/>
        </w:trPr>
        <w:tc>
          <w:tcPr>
            <w:tcW w:w="46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60" w:type="dxa"/>
            <w:vAlign w:val="bottom"/>
            <w:tcBorders>
              <w:bottom w:val="single" w:sz="8" w:color="auto"/>
            </w:tcBorders>
          </w:tcPr>
          <w:p>
            <w:pPr>
              <w:spacing w:after="0"/>
              <w:rPr>
                <w:sz w:val="14"/>
                <w:szCs w:val="14"/>
                <w:color w:val="auto"/>
              </w:rPr>
            </w:pPr>
          </w:p>
        </w:tc>
        <w:tc>
          <w:tcPr>
            <w:tcW w:w="90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260" w:type="dxa"/>
            <w:vAlign w:val="bottom"/>
            <w:tcBorders>
              <w:bottom w:val="single" w:sz="8" w:color="auto"/>
            </w:tcBorders>
          </w:tcPr>
          <w:p>
            <w:pPr>
              <w:spacing w:after="0"/>
              <w:rPr>
                <w:sz w:val="14"/>
                <w:szCs w:val="14"/>
                <w:color w:val="auto"/>
              </w:rPr>
            </w:pPr>
          </w:p>
        </w:tc>
        <w:tc>
          <w:tcPr>
            <w:tcW w:w="2900" w:type="dxa"/>
            <w:vAlign w:val="bottom"/>
            <w:tcBorders>
              <w:bottom w:val="single" w:sz="8" w:color="auto"/>
            </w:tcBorders>
            <w:gridSpan w:val="6"/>
          </w:tcPr>
          <w:p>
            <w:pPr>
              <w:jc w:val="right"/>
              <w:spacing w:after="0"/>
              <w:rPr>
                <w:sz w:val="20"/>
                <w:szCs w:val="20"/>
                <w:color w:val="auto"/>
              </w:rPr>
            </w:pPr>
            <w:r>
              <w:rPr>
                <w:rFonts w:ascii="Arial" w:cs="Arial" w:eastAsia="Arial" w:hAnsi="Arial"/>
                <w:sz w:val="13"/>
                <w:szCs w:val="13"/>
                <w:b w:val="1"/>
                <w:bCs w:val="1"/>
                <w:color w:val="auto"/>
              </w:rPr>
              <w:t>As of and for the Year Ended December 31,</w:t>
            </w:r>
          </w:p>
        </w:tc>
        <w:tc>
          <w:tcPr>
            <w:tcW w:w="74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260" w:type="dxa"/>
            <w:vAlign w:val="bottom"/>
            <w:tcBorders>
              <w:bottom w:val="single" w:sz="8" w:color="auto"/>
            </w:tcBorders>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r>
      <w:tr>
        <w:trPr>
          <w:trHeight w:val="154"/>
        </w:trPr>
        <w:tc>
          <w:tcPr>
            <w:tcW w:w="46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60" w:type="dxa"/>
            <w:vAlign w:val="bottom"/>
            <w:tcBorders>
              <w:bottom w:val="single" w:sz="8" w:color="auto"/>
            </w:tcBorders>
          </w:tcPr>
          <w:p>
            <w:pPr>
              <w:spacing w:after="0"/>
              <w:rPr>
                <w:sz w:val="13"/>
                <w:szCs w:val="13"/>
                <w:color w:val="auto"/>
              </w:rPr>
            </w:pPr>
          </w:p>
        </w:tc>
        <w:tc>
          <w:tcPr>
            <w:tcW w:w="900" w:type="dxa"/>
            <w:vAlign w:val="bottom"/>
            <w:tcBorders>
              <w:bottom w:val="single" w:sz="8" w:color="auto"/>
            </w:tcBorders>
          </w:tcPr>
          <w:p>
            <w:pPr>
              <w:jc w:val="right"/>
              <w:ind w:right="396"/>
              <w:spacing w:after="0"/>
              <w:rPr>
                <w:sz w:val="20"/>
                <w:szCs w:val="20"/>
                <w:color w:val="auto"/>
              </w:rPr>
            </w:pPr>
            <w:r>
              <w:rPr>
                <w:rFonts w:ascii="Arial" w:cs="Arial" w:eastAsia="Arial" w:hAnsi="Arial"/>
                <w:sz w:val="13"/>
                <w:szCs w:val="13"/>
                <w:b w:val="1"/>
                <w:bCs w:val="1"/>
                <w:color w:val="auto"/>
              </w:rPr>
              <w:t>2018</w:t>
            </w:r>
          </w:p>
        </w:tc>
        <w:tc>
          <w:tcPr>
            <w:tcW w:w="240" w:type="dxa"/>
            <w:vAlign w:val="bottom"/>
            <w:tcBorders>
              <w:bottom w:val="single" w:sz="8" w:color="auto"/>
            </w:tcBorders>
          </w:tcPr>
          <w:p>
            <w:pPr>
              <w:spacing w:after="0"/>
              <w:rPr>
                <w:sz w:val="13"/>
                <w:szCs w:val="13"/>
                <w:color w:val="auto"/>
              </w:rPr>
            </w:pPr>
          </w:p>
        </w:tc>
        <w:tc>
          <w:tcPr>
            <w:tcW w:w="260" w:type="dxa"/>
            <w:vAlign w:val="bottom"/>
            <w:tcBorders>
              <w:bottom w:val="single" w:sz="8" w:color="auto"/>
            </w:tcBorders>
          </w:tcPr>
          <w:p>
            <w:pPr>
              <w:spacing w:after="0"/>
              <w:rPr>
                <w:sz w:val="13"/>
                <w:szCs w:val="13"/>
                <w:color w:val="auto"/>
              </w:rPr>
            </w:pPr>
          </w:p>
        </w:tc>
        <w:tc>
          <w:tcPr>
            <w:tcW w:w="900" w:type="dxa"/>
            <w:vAlign w:val="bottom"/>
            <w:tcBorders>
              <w:bottom w:val="single" w:sz="8" w:color="auto"/>
            </w:tcBorders>
          </w:tcPr>
          <w:p>
            <w:pPr>
              <w:jc w:val="right"/>
              <w:ind w:right="396"/>
              <w:spacing w:after="0"/>
              <w:rPr>
                <w:sz w:val="20"/>
                <w:szCs w:val="20"/>
                <w:color w:val="auto"/>
              </w:rPr>
            </w:pPr>
            <w:r>
              <w:rPr>
                <w:rFonts w:ascii="Arial" w:cs="Arial" w:eastAsia="Arial" w:hAnsi="Arial"/>
                <w:sz w:val="13"/>
                <w:szCs w:val="13"/>
                <w:b w:val="1"/>
                <w:bCs w:val="1"/>
                <w:color w:val="auto"/>
              </w:rPr>
              <w:t>2017</w:t>
            </w:r>
          </w:p>
        </w:tc>
        <w:tc>
          <w:tcPr>
            <w:tcW w:w="24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900" w:type="dxa"/>
            <w:vAlign w:val="bottom"/>
            <w:tcBorders>
              <w:bottom w:val="single" w:sz="8" w:color="auto"/>
            </w:tcBorders>
          </w:tcPr>
          <w:p>
            <w:pPr>
              <w:jc w:val="right"/>
              <w:ind w:right="376"/>
              <w:spacing w:after="0"/>
              <w:rPr>
                <w:sz w:val="20"/>
                <w:szCs w:val="20"/>
                <w:color w:val="auto"/>
              </w:rPr>
            </w:pPr>
            <w:r>
              <w:rPr>
                <w:rFonts w:ascii="Arial" w:cs="Arial" w:eastAsia="Arial" w:hAnsi="Arial"/>
                <w:sz w:val="13"/>
                <w:szCs w:val="13"/>
                <w:b w:val="1"/>
                <w:bCs w:val="1"/>
                <w:color w:val="auto"/>
              </w:rPr>
              <w:t>2016</w:t>
            </w:r>
          </w:p>
        </w:tc>
        <w:tc>
          <w:tcPr>
            <w:tcW w:w="220" w:type="dxa"/>
            <w:vAlign w:val="bottom"/>
            <w:tcBorders>
              <w:bottom w:val="single" w:sz="8" w:color="auto"/>
            </w:tcBorders>
          </w:tcPr>
          <w:p>
            <w:pPr>
              <w:spacing w:after="0"/>
              <w:rPr>
                <w:sz w:val="13"/>
                <w:szCs w:val="13"/>
                <w:color w:val="auto"/>
              </w:rPr>
            </w:pPr>
          </w:p>
        </w:tc>
        <w:tc>
          <w:tcPr>
            <w:tcW w:w="400" w:type="dxa"/>
            <w:vAlign w:val="bottom"/>
            <w:tcBorders>
              <w:bottom w:val="single" w:sz="8" w:color="auto"/>
            </w:tcBorders>
          </w:tcPr>
          <w:p>
            <w:pPr>
              <w:spacing w:after="0"/>
              <w:rPr>
                <w:sz w:val="13"/>
                <w:szCs w:val="13"/>
                <w:color w:val="auto"/>
              </w:rPr>
            </w:pPr>
          </w:p>
        </w:tc>
        <w:tc>
          <w:tcPr>
            <w:tcW w:w="740" w:type="dxa"/>
            <w:vAlign w:val="bottom"/>
            <w:tcBorders>
              <w:bottom w:val="single" w:sz="8" w:color="auto"/>
            </w:tcBorders>
          </w:tcPr>
          <w:p>
            <w:pPr>
              <w:jc w:val="right"/>
              <w:ind w:right="376"/>
              <w:spacing w:after="0"/>
              <w:rPr>
                <w:sz w:val="20"/>
                <w:szCs w:val="20"/>
                <w:color w:val="auto"/>
              </w:rPr>
            </w:pPr>
            <w:r>
              <w:rPr>
                <w:rFonts w:ascii="Arial" w:cs="Arial" w:eastAsia="Arial" w:hAnsi="Arial"/>
                <w:sz w:val="13"/>
                <w:szCs w:val="13"/>
                <w:b w:val="1"/>
                <w:bCs w:val="1"/>
                <w:color w:val="auto"/>
                <w:w w:val="96"/>
              </w:rPr>
              <w:t>2015</w:t>
            </w:r>
          </w:p>
        </w:tc>
        <w:tc>
          <w:tcPr>
            <w:tcW w:w="160" w:type="dxa"/>
            <w:vAlign w:val="bottom"/>
            <w:tcBorders>
              <w:bottom w:val="single" w:sz="8" w:color="auto"/>
            </w:tcBorders>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260" w:type="dxa"/>
            <w:vAlign w:val="bottom"/>
            <w:tcBorders>
              <w:bottom w:val="single" w:sz="8" w:color="auto"/>
            </w:tcBorders>
          </w:tcPr>
          <w:p>
            <w:pPr>
              <w:spacing w:after="0"/>
              <w:rPr>
                <w:sz w:val="13"/>
                <w:szCs w:val="13"/>
                <w:color w:val="auto"/>
              </w:rPr>
            </w:pPr>
          </w:p>
        </w:tc>
        <w:tc>
          <w:tcPr>
            <w:tcW w:w="880" w:type="dxa"/>
            <w:vAlign w:val="bottom"/>
            <w:tcBorders>
              <w:bottom w:val="single" w:sz="8" w:color="auto"/>
            </w:tcBorders>
          </w:tcPr>
          <w:p>
            <w:pPr>
              <w:jc w:val="right"/>
              <w:ind w:right="376"/>
              <w:spacing w:after="0"/>
              <w:rPr>
                <w:sz w:val="20"/>
                <w:szCs w:val="20"/>
                <w:color w:val="auto"/>
              </w:rPr>
            </w:pPr>
            <w:r>
              <w:rPr>
                <w:rFonts w:ascii="Arial" w:cs="Arial" w:eastAsia="Arial" w:hAnsi="Arial"/>
                <w:sz w:val="13"/>
                <w:szCs w:val="13"/>
                <w:b w:val="1"/>
                <w:bCs w:val="1"/>
                <w:color w:val="auto"/>
              </w:rPr>
              <w:t>2014</w:t>
            </w:r>
          </w:p>
        </w:tc>
        <w:tc>
          <w:tcPr>
            <w:tcW w:w="120" w:type="dxa"/>
            <w:vAlign w:val="bottom"/>
          </w:tcPr>
          <w:p>
            <w:pPr>
              <w:spacing w:after="0"/>
              <w:rPr>
                <w:sz w:val="13"/>
                <w:szCs w:val="13"/>
                <w:color w:val="auto"/>
              </w:rPr>
            </w:pPr>
          </w:p>
        </w:tc>
      </w:tr>
      <w:tr>
        <w:trPr>
          <w:trHeight w:val="144"/>
        </w:trPr>
        <w:tc>
          <w:tcPr>
            <w:tcW w:w="46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3800" w:type="dxa"/>
            <w:vAlign w:val="bottom"/>
            <w:gridSpan w:val="8"/>
          </w:tcPr>
          <w:p>
            <w:pPr>
              <w:jc w:val="right"/>
              <w:ind w:right="780"/>
              <w:spacing w:after="0" w:line="144" w:lineRule="exact"/>
              <w:rPr>
                <w:sz w:val="20"/>
                <w:szCs w:val="20"/>
                <w:color w:val="auto"/>
              </w:rPr>
            </w:pPr>
            <w:r>
              <w:rPr>
                <w:rFonts w:ascii="Arial" w:cs="Arial" w:eastAsia="Arial" w:hAnsi="Arial"/>
                <w:sz w:val="13"/>
                <w:szCs w:val="13"/>
                <w:b w:val="1"/>
                <w:bCs w:val="1"/>
                <w:color w:val="auto"/>
                <w:w w:val="97"/>
              </w:rPr>
              <w:t>(in $ thousands, except per share data and ratios)</w:t>
            </w:r>
          </w:p>
        </w:tc>
        <w:tc>
          <w:tcPr>
            <w:tcW w:w="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462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Consolidated Statement of profit or loss Data:</w:t>
            </w:r>
          </w:p>
        </w:tc>
        <w:tc>
          <w:tcPr>
            <w:tcW w:w="8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9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9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9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400" w:type="dxa"/>
            <w:vAlign w:val="bottom"/>
            <w:shd w:val="clear" w:color="auto" w:fill="CCEEFF"/>
          </w:tcPr>
          <w:p>
            <w:pPr>
              <w:spacing w:after="0"/>
              <w:rPr>
                <w:sz w:val="13"/>
                <w:szCs w:val="13"/>
                <w:color w:val="auto"/>
              </w:rPr>
            </w:pPr>
          </w:p>
        </w:tc>
        <w:tc>
          <w:tcPr>
            <w:tcW w:w="74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8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r>
      <w:tr>
        <w:trPr>
          <w:trHeight w:val="154"/>
        </w:trPr>
        <w:tc>
          <w:tcPr>
            <w:tcW w:w="4620" w:type="dxa"/>
            <w:vAlign w:val="bottom"/>
          </w:tcPr>
          <w:p>
            <w:pPr>
              <w:ind w:left="120"/>
              <w:spacing w:after="0"/>
              <w:rPr>
                <w:sz w:val="20"/>
                <w:szCs w:val="20"/>
                <w:color w:val="auto"/>
              </w:rPr>
            </w:pPr>
            <w:r>
              <w:rPr>
                <w:rFonts w:ascii="Arial" w:cs="Arial" w:eastAsia="Arial" w:hAnsi="Arial"/>
                <w:sz w:val="13"/>
                <w:szCs w:val="13"/>
                <w:color w:val="auto"/>
              </w:rPr>
              <w:t>Total interest income</w:t>
            </w:r>
          </w:p>
        </w:tc>
        <w:tc>
          <w:tcPr>
            <w:tcW w:w="34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140" w:type="dxa"/>
            <w:vAlign w:val="bottom"/>
            <w:gridSpan w:val="2"/>
          </w:tcPr>
          <w:p>
            <w:pPr>
              <w:jc w:val="right"/>
              <w:ind w:right="240"/>
              <w:spacing w:after="0"/>
              <w:rPr>
                <w:sz w:val="20"/>
                <w:szCs w:val="20"/>
                <w:color w:val="auto"/>
              </w:rPr>
            </w:pPr>
            <w:r>
              <w:rPr>
                <w:rFonts w:ascii="Arial" w:cs="Arial" w:eastAsia="Arial" w:hAnsi="Arial"/>
                <w:sz w:val="13"/>
                <w:szCs w:val="13"/>
                <w:color w:val="auto"/>
              </w:rPr>
              <w:t>258,490</w:t>
            </w:r>
          </w:p>
        </w:tc>
        <w:tc>
          <w:tcPr>
            <w:tcW w:w="260" w:type="dxa"/>
            <w:vAlign w:val="bottom"/>
          </w:tcPr>
          <w:p>
            <w:pPr>
              <w:jc w:val="right"/>
              <w:ind w:right="152"/>
              <w:spacing w:after="0"/>
              <w:rPr>
                <w:sz w:val="20"/>
                <w:szCs w:val="20"/>
                <w:color w:val="auto"/>
              </w:rPr>
            </w:pPr>
            <w:r>
              <w:rPr>
                <w:rFonts w:ascii="Arial" w:cs="Arial" w:eastAsia="Arial" w:hAnsi="Arial"/>
                <w:sz w:val="10"/>
                <w:szCs w:val="10"/>
                <w:color w:val="auto"/>
                <w:w w:val="71"/>
              </w:rPr>
              <w:t>$</w:t>
            </w:r>
          </w:p>
        </w:tc>
        <w:tc>
          <w:tcPr>
            <w:tcW w:w="1140" w:type="dxa"/>
            <w:vAlign w:val="bottom"/>
            <w:gridSpan w:val="2"/>
          </w:tcPr>
          <w:p>
            <w:pPr>
              <w:jc w:val="right"/>
              <w:ind w:right="240"/>
              <w:spacing w:after="0"/>
              <w:rPr>
                <w:sz w:val="20"/>
                <w:szCs w:val="20"/>
                <w:color w:val="auto"/>
              </w:rPr>
            </w:pPr>
            <w:r>
              <w:rPr>
                <w:rFonts w:ascii="Arial" w:cs="Arial" w:eastAsia="Arial" w:hAnsi="Arial"/>
                <w:sz w:val="13"/>
                <w:szCs w:val="13"/>
                <w:color w:val="auto"/>
              </w:rPr>
              <w:t>226,079</w:t>
            </w:r>
          </w:p>
        </w:tc>
        <w:tc>
          <w:tcPr>
            <w:tcW w:w="240" w:type="dxa"/>
            <w:vAlign w:val="bottom"/>
          </w:tcPr>
          <w:p>
            <w:pPr>
              <w:jc w:val="right"/>
              <w:ind w:right="132"/>
              <w:spacing w:after="0"/>
              <w:rPr>
                <w:sz w:val="20"/>
                <w:szCs w:val="20"/>
                <w:color w:val="auto"/>
              </w:rPr>
            </w:pPr>
            <w:r>
              <w:rPr>
                <w:rFonts w:ascii="Arial" w:cs="Arial" w:eastAsia="Arial" w:hAnsi="Arial"/>
                <w:sz w:val="10"/>
                <w:szCs w:val="10"/>
                <w:color w:val="auto"/>
                <w:w w:val="71"/>
              </w:rPr>
              <w:t>$</w:t>
            </w: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245,898</w:t>
            </w:r>
          </w:p>
        </w:tc>
        <w:tc>
          <w:tcPr>
            <w:tcW w:w="400" w:type="dxa"/>
            <w:vAlign w:val="bottom"/>
          </w:tcPr>
          <w:p>
            <w:pPr>
              <w:jc w:val="right"/>
              <w:ind w:right="292"/>
              <w:spacing w:after="0"/>
              <w:rPr>
                <w:sz w:val="20"/>
                <w:szCs w:val="20"/>
                <w:color w:val="auto"/>
              </w:rPr>
            </w:pPr>
            <w:r>
              <w:rPr>
                <w:rFonts w:ascii="Arial" w:cs="Arial" w:eastAsia="Arial" w:hAnsi="Arial"/>
                <w:sz w:val="10"/>
                <w:szCs w:val="10"/>
                <w:color w:val="auto"/>
                <w:w w:val="71"/>
              </w:rPr>
              <w:t>$</w:t>
            </w:r>
          </w:p>
        </w:tc>
        <w:tc>
          <w:tcPr>
            <w:tcW w:w="740" w:type="dxa"/>
            <w:vAlign w:val="bottom"/>
          </w:tcPr>
          <w:p>
            <w:pPr>
              <w:jc w:val="right"/>
              <w:spacing w:after="0"/>
              <w:rPr>
                <w:sz w:val="20"/>
                <w:szCs w:val="20"/>
                <w:color w:val="auto"/>
              </w:rPr>
            </w:pPr>
            <w:r>
              <w:rPr>
                <w:rFonts w:ascii="Arial" w:cs="Arial" w:eastAsia="Arial" w:hAnsi="Arial"/>
                <w:sz w:val="13"/>
                <w:szCs w:val="13"/>
                <w:color w:val="auto"/>
              </w:rPr>
              <w:t>220,312</w:t>
            </w:r>
          </w:p>
        </w:tc>
        <w:tc>
          <w:tcPr>
            <w:tcW w:w="160" w:type="dxa"/>
            <w:vAlign w:val="bottom"/>
          </w:tcPr>
          <w:p>
            <w:pPr>
              <w:spacing w:after="0"/>
              <w:rPr>
                <w:sz w:val="13"/>
                <w:szCs w:val="13"/>
                <w:color w:val="auto"/>
              </w:rPr>
            </w:pPr>
          </w:p>
        </w:tc>
        <w:tc>
          <w:tcPr>
            <w:tcW w:w="320" w:type="dxa"/>
            <w:vAlign w:val="bottom"/>
            <w:gridSpan w:val="2"/>
          </w:tcPr>
          <w:p>
            <w:pPr>
              <w:jc w:val="right"/>
              <w:ind w:right="152"/>
              <w:spacing w:after="0"/>
              <w:rPr>
                <w:sz w:val="20"/>
                <w:szCs w:val="20"/>
                <w:color w:val="auto"/>
              </w:rPr>
            </w:pPr>
            <w:r>
              <w:rPr>
                <w:rFonts w:ascii="Arial" w:cs="Arial" w:eastAsia="Arial" w:hAnsi="Arial"/>
                <w:sz w:val="13"/>
                <w:szCs w:val="13"/>
                <w:color w:val="auto"/>
              </w:rPr>
              <w:t>$</w:t>
            </w: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212,898</w:t>
            </w:r>
          </w:p>
        </w:tc>
      </w:tr>
      <w:tr>
        <w:trPr>
          <w:trHeight w:val="164"/>
        </w:trPr>
        <w:tc>
          <w:tcPr>
            <w:tcW w:w="46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Total interest expense</w:t>
            </w:r>
          </w:p>
        </w:tc>
        <w:tc>
          <w:tcPr>
            <w:tcW w:w="8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114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(148,747)</w:t>
            </w:r>
          </w:p>
        </w:tc>
        <w:tc>
          <w:tcPr>
            <w:tcW w:w="260" w:type="dxa"/>
            <w:vAlign w:val="bottom"/>
            <w:shd w:val="clear" w:color="auto" w:fill="CCEEFF"/>
          </w:tcPr>
          <w:p>
            <w:pPr>
              <w:spacing w:after="0"/>
              <w:rPr>
                <w:sz w:val="14"/>
                <w:szCs w:val="14"/>
                <w:color w:val="auto"/>
              </w:rPr>
            </w:pPr>
          </w:p>
        </w:tc>
        <w:tc>
          <w:tcPr>
            <w:tcW w:w="114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(106,264)</w:t>
            </w:r>
          </w:p>
        </w:tc>
        <w:tc>
          <w:tcPr>
            <w:tcW w:w="240" w:type="dxa"/>
            <w:vAlign w:val="bottom"/>
            <w:shd w:val="clear" w:color="auto" w:fill="CCEEFF"/>
          </w:tcPr>
          <w:p>
            <w:pPr>
              <w:spacing w:after="0"/>
              <w:rPr>
                <w:sz w:val="14"/>
                <w:szCs w:val="14"/>
                <w:color w:val="auto"/>
              </w:rPr>
            </w:pPr>
          </w:p>
        </w:tc>
        <w:tc>
          <w:tcPr>
            <w:tcW w:w="11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(90,689)</w:t>
            </w:r>
          </w:p>
        </w:tc>
        <w:tc>
          <w:tcPr>
            <w:tcW w:w="400" w:type="dxa"/>
            <w:vAlign w:val="bottom"/>
            <w:shd w:val="clear" w:color="auto" w:fill="CCEEFF"/>
          </w:tcPr>
          <w:p>
            <w:pPr>
              <w:spacing w:after="0"/>
              <w:rPr>
                <w:sz w:val="14"/>
                <w:szCs w:val="14"/>
                <w:color w:val="auto"/>
              </w:rPr>
            </w:pP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(74,833)</w:t>
            </w:r>
          </w:p>
        </w:tc>
        <w:tc>
          <w:tcPr>
            <w:tcW w:w="6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10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(71,562)</w:t>
            </w:r>
          </w:p>
        </w:tc>
      </w:tr>
      <w:tr>
        <w:trPr>
          <w:trHeight w:val="144"/>
        </w:trPr>
        <w:tc>
          <w:tcPr>
            <w:tcW w:w="4620" w:type="dxa"/>
            <w:vAlign w:val="bottom"/>
          </w:tcPr>
          <w:p>
            <w:pPr>
              <w:ind w:left="120"/>
              <w:spacing w:after="0" w:line="143" w:lineRule="exact"/>
              <w:rPr>
                <w:sz w:val="20"/>
                <w:szCs w:val="20"/>
                <w:color w:val="auto"/>
              </w:rPr>
            </w:pPr>
            <w:r>
              <w:rPr>
                <w:rFonts w:ascii="Arial" w:cs="Arial" w:eastAsia="Arial" w:hAnsi="Arial"/>
                <w:sz w:val="13"/>
                <w:szCs w:val="13"/>
                <w:color w:val="auto"/>
              </w:rPr>
              <w:t>Net interest income</w:t>
            </w:r>
          </w:p>
        </w:tc>
        <w:tc>
          <w:tcPr>
            <w:tcW w:w="80" w:type="dxa"/>
            <w:vAlign w:val="bottom"/>
          </w:tcPr>
          <w:p>
            <w:pPr>
              <w:spacing w:after="0"/>
              <w:rPr>
                <w:sz w:val="12"/>
                <w:szCs w:val="12"/>
                <w:color w:val="auto"/>
              </w:rPr>
            </w:pPr>
          </w:p>
        </w:tc>
        <w:tc>
          <w:tcPr>
            <w:tcW w:w="260" w:type="dxa"/>
            <w:vAlign w:val="bottom"/>
            <w:tcBorders>
              <w:top w:val="single" w:sz="8" w:color="auto"/>
            </w:tcBorders>
          </w:tcPr>
          <w:p>
            <w:pPr>
              <w:spacing w:after="0"/>
              <w:rPr>
                <w:sz w:val="12"/>
                <w:szCs w:val="12"/>
                <w:color w:val="auto"/>
              </w:rPr>
            </w:pPr>
          </w:p>
        </w:tc>
        <w:tc>
          <w:tcPr>
            <w:tcW w:w="9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109,743</w:t>
            </w:r>
          </w:p>
        </w:tc>
        <w:tc>
          <w:tcPr>
            <w:tcW w:w="240" w:type="dxa"/>
            <w:vAlign w:val="bottom"/>
          </w:tcPr>
          <w:p>
            <w:pPr>
              <w:spacing w:after="0"/>
              <w:rPr>
                <w:sz w:val="12"/>
                <w:szCs w:val="12"/>
                <w:color w:val="auto"/>
              </w:rPr>
            </w:pPr>
          </w:p>
        </w:tc>
        <w:tc>
          <w:tcPr>
            <w:tcW w:w="260" w:type="dxa"/>
            <w:vAlign w:val="bottom"/>
            <w:tcBorders>
              <w:top w:val="single" w:sz="8" w:color="auto"/>
            </w:tcBorders>
          </w:tcPr>
          <w:p>
            <w:pPr>
              <w:spacing w:after="0"/>
              <w:rPr>
                <w:sz w:val="12"/>
                <w:szCs w:val="12"/>
                <w:color w:val="auto"/>
              </w:rPr>
            </w:pPr>
          </w:p>
        </w:tc>
        <w:tc>
          <w:tcPr>
            <w:tcW w:w="9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119,815</w:t>
            </w:r>
          </w:p>
        </w:tc>
        <w:tc>
          <w:tcPr>
            <w:tcW w:w="240" w:type="dxa"/>
            <w:vAlign w:val="bottom"/>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9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155,209</w:t>
            </w:r>
          </w:p>
        </w:tc>
        <w:tc>
          <w:tcPr>
            <w:tcW w:w="220" w:type="dxa"/>
            <w:vAlign w:val="bottom"/>
          </w:tcPr>
          <w:p>
            <w:pPr>
              <w:spacing w:after="0"/>
              <w:rPr>
                <w:sz w:val="12"/>
                <w:szCs w:val="12"/>
                <w:color w:val="auto"/>
              </w:rPr>
            </w:pPr>
          </w:p>
        </w:tc>
        <w:tc>
          <w:tcPr>
            <w:tcW w:w="400" w:type="dxa"/>
            <w:vAlign w:val="bottom"/>
            <w:tcBorders>
              <w:top w:val="single" w:sz="8" w:color="auto"/>
            </w:tcBorders>
          </w:tcPr>
          <w:p>
            <w:pPr>
              <w:spacing w:after="0"/>
              <w:rPr>
                <w:sz w:val="12"/>
                <w:szCs w:val="12"/>
                <w:color w:val="auto"/>
              </w:rPr>
            </w:pPr>
          </w:p>
        </w:tc>
        <w:tc>
          <w:tcPr>
            <w:tcW w:w="74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145,479</w:t>
            </w: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60" w:type="dxa"/>
            <w:vAlign w:val="bottom"/>
            <w:tcBorders>
              <w:top w:val="single" w:sz="8" w:color="auto"/>
            </w:tcBorders>
          </w:tcPr>
          <w:p>
            <w:pPr>
              <w:spacing w:after="0"/>
              <w:rPr>
                <w:sz w:val="12"/>
                <w:szCs w:val="12"/>
                <w:color w:val="auto"/>
              </w:rPr>
            </w:pPr>
          </w:p>
        </w:tc>
        <w:tc>
          <w:tcPr>
            <w:tcW w:w="88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141,336</w:t>
            </w:r>
          </w:p>
        </w:tc>
        <w:tc>
          <w:tcPr>
            <w:tcW w:w="120" w:type="dxa"/>
            <w:vAlign w:val="bottom"/>
          </w:tcPr>
          <w:p>
            <w:pPr>
              <w:spacing w:after="0"/>
              <w:rPr>
                <w:sz w:val="12"/>
                <w:szCs w:val="12"/>
                <w:color w:val="auto"/>
              </w:rPr>
            </w:pPr>
          </w:p>
        </w:tc>
      </w:tr>
      <w:tr>
        <w:trPr>
          <w:trHeight w:val="154"/>
        </w:trPr>
        <w:tc>
          <w:tcPr>
            <w:tcW w:w="462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9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9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9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400" w:type="dxa"/>
            <w:vAlign w:val="bottom"/>
            <w:shd w:val="clear" w:color="auto" w:fill="CCEEFF"/>
          </w:tcPr>
          <w:p>
            <w:pPr>
              <w:spacing w:after="0"/>
              <w:rPr>
                <w:sz w:val="13"/>
                <w:szCs w:val="13"/>
                <w:color w:val="auto"/>
              </w:rPr>
            </w:pPr>
          </w:p>
        </w:tc>
        <w:tc>
          <w:tcPr>
            <w:tcW w:w="74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8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r>
      <w:tr>
        <w:trPr>
          <w:trHeight w:val="154"/>
        </w:trPr>
        <w:tc>
          <w:tcPr>
            <w:tcW w:w="4620" w:type="dxa"/>
            <w:vAlign w:val="bottom"/>
          </w:tcPr>
          <w:p>
            <w:pPr>
              <w:ind w:left="120"/>
              <w:spacing w:after="0"/>
              <w:rPr>
                <w:sz w:val="20"/>
                <w:szCs w:val="20"/>
                <w:color w:val="auto"/>
              </w:rPr>
            </w:pPr>
            <w:r>
              <w:rPr>
                <w:rFonts w:ascii="Arial" w:cs="Arial" w:eastAsia="Arial" w:hAnsi="Arial"/>
                <w:sz w:val="13"/>
                <w:szCs w:val="13"/>
                <w:color w:val="auto"/>
              </w:rPr>
              <w:t>Fees and commissions, net</w:t>
            </w:r>
          </w:p>
        </w:tc>
        <w:tc>
          <w:tcPr>
            <w:tcW w:w="8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140" w:type="dxa"/>
            <w:vAlign w:val="bottom"/>
            <w:gridSpan w:val="2"/>
          </w:tcPr>
          <w:p>
            <w:pPr>
              <w:jc w:val="right"/>
              <w:ind w:right="240"/>
              <w:spacing w:after="0"/>
              <w:rPr>
                <w:sz w:val="20"/>
                <w:szCs w:val="20"/>
                <w:color w:val="auto"/>
              </w:rPr>
            </w:pPr>
            <w:r>
              <w:rPr>
                <w:rFonts w:ascii="Arial" w:cs="Arial" w:eastAsia="Arial" w:hAnsi="Arial"/>
                <w:sz w:val="13"/>
                <w:szCs w:val="13"/>
                <w:color w:val="auto"/>
              </w:rPr>
              <w:t>17,185</w:t>
            </w:r>
          </w:p>
        </w:tc>
        <w:tc>
          <w:tcPr>
            <w:tcW w:w="260" w:type="dxa"/>
            <w:vAlign w:val="bottom"/>
          </w:tcPr>
          <w:p>
            <w:pPr>
              <w:spacing w:after="0"/>
              <w:rPr>
                <w:sz w:val="13"/>
                <w:szCs w:val="13"/>
                <w:color w:val="auto"/>
              </w:rPr>
            </w:pPr>
          </w:p>
        </w:tc>
        <w:tc>
          <w:tcPr>
            <w:tcW w:w="1140" w:type="dxa"/>
            <w:vAlign w:val="bottom"/>
            <w:gridSpan w:val="2"/>
          </w:tcPr>
          <w:p>
            <w:pPr>
              <w:jc w:val="right"/>
              <w:ind w:right="240"/>
              <w:spacing w:after="0"/>
              <w:rPr>
                <w:sz w:val="20"/>
                <w:szCs w:val="20"/>
                <w:color w:val="auto"/>
              </w:rPr>
            </w:pPr>
            <w:r>
              <w:rPr>
                <w:rFonts w:ascii="Arial" w:cs="Arial" w:eastAsia="Arial" w:hAnsi="Arial"/>
                <w:sz w:val="13"/>
                <w:szCs w:val="13"/>
                <w:color w:val="auto"/>
              </w:rPr>
              <w:t>17,514</w:t>
            </w:r>
          </w:p>
        </w:tc>
        <w:tc>
          <w:tcPr>
            <w:tcW w:w="240" w:type="dxa"/>
            <w:vAlign w:val="bottom"/>
          </w:tcPr>
          <w:p>
            <w:pPr>
              <w:spacing w:after="0"/>
              <w:rPr>
                <w:sz w:val="13"/>
                <w:szCs w:val="13"/>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14,306</w:t>
            </w:r>
          </w:p>
        </w:tc>
        <w:tc>
          <w:tcPr>
            <w:tcW w:w="400" w:type="dxa"/>
            <w:vAlign w:val="bottom"/>
          </w:tcPr>
          <w:p>
            <w:pPr>
              <w:spacing w:after="0"/>
              <w:rPr>
                <w:sz w:val="13"/>
                <w:szCs w:val="13"/>
                <w:color w:val="auto"/>
              </w:rPr>
            </w:pPr>
          </w:p>
        </w:tc>
        <w:tc>
          <w:tcPr>
            <w:tcW w:w="900" w:type="dxa"/>
            <w:vAlign w:val="bottom"/>
            <w:gridSpan w:val="2"/>
          </w:tcPr>
          <w:p>
            <w:pPr>
              <w:jc w:val="right"/>
              <w:ind w:right="160"/>
              <w:spacing w:after="0"/>
              <w:rPr>
                <w:sz w:val="20"/>
                <w:szCs w:val="20"/>
                <w:color w:val="auto"/>
              </w:rPr>
            </w:pPr>
            <w:r>
              <w:rPr>
                <w:rFonts w:ascii="Arial" w:cs="Arial" w:eastAsia="Arial" w:hAnsi="Arial"/>
                <w:sz w:val="13"/>
                <w:szCs w:val="13"/>
                <w:color w:val="auto"/>
              </w:rPr>
              <w:t>19,200</w:t>
            </w:r>
          </w:p>
        </w:tc>
        <w:tc>
          <w:tcPr>
            <w:tcW w:w="6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17,502</w:t>
            </w:r>
          </w:p>
        </w:tc>
      </w:tr>
      <w:tr>
        <w:trPr>
          <w:trHeight w:val="154"/>
        </w:trPr>
        <w:tc>
          <w:tcPr>
            <w:tcW w:w="46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(Loss) gain on financial instruments, net</w:t>
            </w:r>
          </w:p>
        </w:tc>
        <w:tc>
          <w:tcPr>
            <w:tcW w:w="8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(1,009)</w:t>
            </w:r>
          </w:p>
        </w:tc>
        <w:tc>
          <w:tcPr>
            <w:tcW w:w="26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(739)</w:t>
            </w:r>
          </w:p>
        </w:tc>
        <w:tc>
          <w:tcPr>
            <w:tcW w:w="240" w:type="dxa"/>
            <w:vAlign w:val="bottom"/>
            <w:shd w:val="clear" w:color="auto" w:fill="CCEEFF"/>
          </w:tcPr>
          <w:p>
            <w:pPr>
              <w:spacing w:after="0"/>
              <w:rPr>
                <w:sz w:val="13"/>
                <w:szCs w:val="13"/>
                <w:color w:val="auto"/>
              </w:rPr>
            </w:pPr>
          </w:p>
        </w:tc>
        <w:tc>
          <w:tcPr>
            <w:tcW w:w="11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(2,919)</w:t>
            </w:r>
          </w:p>
        </w:tc>
        <w:tc>
          <w:tcPr>
            <w:tcW w:w="400" w:type="dxa"/>
            <w:vAlign w:val="bottom"/>
            <w:shd w:val="clear" w:color="auto" w:fill="CCEEFF"/>
          </w:tcPr>
          <w:p>
            <w:pPr>
              <w:spacing w:after="0"/>
              <w:rPr>
                <w:sz w:val="13"/>
                <w:szCs w:val="13"/>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7,576</w:t>
            </w:r>
          </w:p>
        </w:tc>
        <w:tc>
          <w:tcPr>
            <w:tcW w:w="16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6,986</w:t>
            </w:r>
          </w:p>
        </w:tc>
      </w:tr>
      <w:tr>
        <w:trPr>
          <w:trHeight w:val="163"/>
        </w:trPr>
        <w:tc>
          <w:tcPr>
            <w:tcW w:w="4620" w:type="dxa"/>
            <w:vAlign w:val="bottom"/>
          </w:tcPr>
          <w:p>
            <w:pPr>
              <w:ind w:left="120"/>
              <w:spacing w:after="0"/>
              <w:rPr>
                <w:sz w:val="20"/>
                <w:szCs w:val="20"/>
                <w:color w:val="auto"/>
              </w:rPr>
            </w:pPr>
            <w:r>
              <w:rPr>
                <w:rFonts w:ascii="Arial" w:cs="Arial" w:eastAsia="Arial" w:hAnsi="Arial"/>
                <w:sz w:val="13"/>
                <w:szCs w:val="13"/>
                <w:color w:val="auto"/>
              </w:rPr>
              <w:t>Other income, net</w:t>
            </w:r>
          </w:p>
        </w:tc>
        <w:tc>
          <w:tcPr>
            <w:tcW w:w="8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140" w:type="dxa"/>
            <w:vAlign w:val="bottom"/>
            <w:gridSpan w:val="2"/>
          </w:tcPr>
          <w:p>
            <w:pPr>
              <w:jc w:val="right"/>
              <w:ind w:right="240"/>
              <w:spacing w:after="0"/>
              <w:rPr>
                <w:sz w:val="20"/>
                <w:szCs w:val="20"/>
                <w:color w:val="auto"/>
              </w:rPr>
            </w:pPr>
            <w:r>
              <w:rPr>
                <w:rFonts w:ascii="Arial" w:cs="Arial" w:eastAsia="Arial" w:hAnsi="Arial"/>
                <w:sz w:val="13"/>
                <w:szCs w:val="13"/>
                <w:color w:val="auto"/>
              </w:rPr>
              <w:t>1,670</w:t>
            </w:r>
          </w:p>
        </w:tc>
        <w:tc>
          <w:tcPr>
            <w:tcW w:w="260" w:type="dxa"/>
            <w:vAlign w:val="bottom"/>
          </w:tcPr>
          <w:p>
            <w:pPr>
              <w:spacing w:after="0"/>
              <w:rPr>
                <w:sz w:val="14"/>
                <w:szCs w:val="14"/>
                <w:color w:val="auto"/>
              </w:rPr>
            </w:pPr>
          </w:p>
        </w:tc>
        <w:tc>
          <w:tcPr>
            <w:tcW w:w="1140" w:type="dxa"/>
            <w:vAlign w:val="bottom"/>
            <w:gridSpan w:val="2"/>
          </w:tcPr>
          <w:p>
            <w:pPr>
              <w:jc w:val="right"/>
              <w:ind w:right="240"/>
              <w:spacing w:after="0"/>
              <w:rPr>
                <w:sz w:val="20"/>
                <w:szCs w:val="20"/>
                <w:color w:val="auto"/>
              </w:rPr>
            </w:pPr>
            <w:r>
              <w:rPr>
                <w:rFonts w:ascii="Arial" w:cs="Arial" w:eastAsia="Arial" w:hAnsi="Arial"/>
                <w:sz w:val="13"/>
                <w:szCs w:val="13"/>
                <w:color w:val="auto"/>
              </w:rPr>
              <w:t>1,723</w:t>
            </w:r>
          </w:p>
        </w:tc>
        <w:tc>
          <w:tcPr>
            <w:tcW w:w="240" w:type="dxa"/>
            <w:vAlign w:val="bottom"/>
          </w:tcPr>
          <w:p>
            <w:pPr>
              <w:spacing w:after="0"/>
              <w:rPr>
                <w:sz w:val="14"/>
                <w:szCs w:val="14"/>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1,378</w:t>
            </w:r>
          </w:p>
        </w:tc>
        <w:tc>
          <w:tcPr>
            <w:tcW w:w="400" w:type="dxa"/>
            <w:vAlign w:val="bottom"/>
          </w:tcPr>
          <w:p>
            <w:pPr>
              <w:spacing w:after="0"/>
              <w:rPr>
                <w:sz w:val="14"/>
                <w:szCs w:val="14"/>
                <w:color w:val="auto"/>
              </w:rPr>
            </w:pPr>
          </w:p>
        </w:tc>
        <w:tc>
          <w:tcPr>
            <w:tcW w:w="740" w:type="dxa"/>
            <w:vAlign w:val="bottom"/>
          </w:tcPr>
          <w:p>
            <w:pPr>
              <w:jc w:val="right"/>
              <w:spacing w:after="0"/>
              <w:rPr>
                <w:sz w:val="20"/>
                <w:szCs w:val="20"/>
                <w:color w:val="auto"/>
              </w:rPr>
            </w:pPr>
            <w:r>
              <w:rPr>
                <w:rFonts w:ascii="Arial" w:cs="Arial" w:eastAsia="Arial" w:hAnsi="Arial"/>
                <w:sz w:val="13"/>
                <w:szCs w:val="13"/>
                <w:color w:val="auto"/>
              </w:rPr>
              <w:t>1,603</w:t>
            </w:r>
          </w:p>
        </w:tc>
        <w:tc>
          <w:tcPr>
            <w:tcW w:w="1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1,786</w:t>
            </w:r>
          </w:p>
        </w:tc>
      </w:tr>
      <w:tr>
        <w:trPr>
          <w:trHeight w:val="144"/>
        </w:trPr>
        <w:tc>
          <w:tcPr>
            <w:tcW w:w="4620" w:type="dxa"/>
            <w:vAlign w:val="bottom"/>
            <w:tcBorders>
              <w:top w:val="single" w:sz="8" w:color="CCEEFF"/>
            </w:tcBorders>
            <w:shd w:val="clear" w:color="auto" w:fill="CCEEFF"/>
          </w:tcPr>
          <w:p>
            <w:pPr>
              <w:ind w:left="120"/>
              <w:spacing w:after="0" w:line="143" w:lineRule="exact"/>
              <w:rPr>
                <w:sz w:val="20"/>
                <w:szCs w:val="20"/>
                <w:color w:val="auto"/>
              </w:rPr>
            </w:pPr>
            <w:r>
              <w:rPr>
                <w:rFonts w:ascii="Arial" w:cs="Arial" w:eastAsia="Arial" w:hAnsi="Arial"/>
                <w:sz w:val="13"/>
                <w:szCs w:val="13"/>
                <w:color w:val="auto"/>
              </w:rPr>
              <w:t>Total other income, net</w:t>
            </w:r>
          </w:p>
        </w:tc>
        <w:tc>
          <w:tcPr>
            <w:tcW w:w="8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bottom w:val="single" w:sz="8" w:color="auto"/>
            </w:tcBorders>
            <w:shd w:val="clear" w:color="auto" w:fill="CCEEFF"/>
          </w:tcPr>
          <w:p>
            <w:pPr>
              <w:spacing w:after="0"/>
              <w:rPr>
                <w:sz w:val="12"/>
                <w:szCs w:val="12"/>
                <w:color w:val="auto"/>
              </w:rPr>
            </w:pPr>
          </w:p>
        </w:tc>
        <w:tc>
          <w:tcPr>
            <w:tcW w:w="9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17,846</w:t>
            </w:r>
          </w:p>
        </w:tc>
        <w:tc>
          <w:tcPr>
            <w:tcW w:w="24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bottom w:val="single" w:sz="8" w:color="auto"/>
            </w:tcBorders>
            <w:shd w:val="clear" w:color="auto" w:fill="CCEEFF"/>
          </w:tcPr>
          <w:p>
            <w:pPr>
              <w:spacing w:after="0"/>
              <w:rPr>
                <w:sz w:val="12"/>
                <w:szCs w:val="12"/>
                <w:color w:val="auto"/>
              </w:rPr>
            </w:pPr>
          </w:p>
        </w:tc>
        <w:tc>
          <w:tcPr>
            <w:tcW w:w="9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18,498</w:t>
            </w:r>
          </w:p>
        </w:tc>
        <w:tc>
          <w:tcPr>
            <w:tcW w:w="240" w:type="dxa"/>
            <w:vAlign w:val="bottom"/>
            <w:tcBorders>
              <w:top w:val="single" w:sz="8" w:color="CCEEFF"/>
            </w:tcBorders>
            <w:shd w:val="clear" w:color="auto" w:fill="CCEEFF"/>
          </w:tcPr>
          <w:p>
            <w:pPr>
              <w:spacing w:after="0"/>
              <w:rPr>
                <w:sz w:val="12"/>
                <w:szCs w:val="12"/>
                <w:color w:val="auto"/>
              </w:rPr>
            </w:pPr>
          </w:p>
        </w:tc>
        <w:tc>
          <w:tcPr>
            <w:tcW w:w="240" w:type="dxa"/>
            <w:vAlign w:val="bottom"/>
            <w:tcBorders>
              <w:top w:val="single" w:sz="8" w:color="auto"/>
              <w:bottom w:val="single" w:sz="8" w:color="auto"/>
            </w:tcBorders>
            <w:shd w:val="clear" w:color="auto" w:fill="CCEEFF"/>
          </w:tcPr>
          <w:p>
            <w:pPr>
              <w:spacing w:after="0"/>
              <w:rPr>
                <w:sz w:val="12"/>
                <w:szCs w:val="12"/>
                <w:color w:val="auto"/>
              </w:rPr>
            </w:pPr>
          </w:p>
        </w:tc>
        <w:tc>
          <w:tcPr>
            <w:tcW w:w="9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12,765</w:t>
            </w:r>
          </w:p>
        </w:tc>
        <w:tc>
          <w:tcPr>
            <w:tcW w:w="220" w:type="dxa"/>
            <w:vAlign w:val="bottom"/>
            <w:tcBorders>
              <w:top w:val="single" w:sz="8" w:color="CCEEFF"/>
            </w:tcBorders>
            <w:shd w:val="clear" w:color="auto" w:fill="CCEEFF"/>
          </w:tcPr>
          <w:p>
            <w:pPr>
              <w:spacing w:after="0"/>
              <w:rPr>
                <w:sz w:val="12"/>
                <w:szCs w:val="12"/>
                <w:color w:val="auto"/>
              </w:rPr>
            </w:pPr>
          </w:p>
        </w:tc>
        <w:tc>
          <w:tcPr>
            <w:tcW w:w="400" w:type="dxa"/>
            <w:vAlign w:val="bottom"/>
            <w:tcBorders>
              <w:top w:val="single" w:sz="8" w:color="auto"/>
              <w:bottom w:val="single" w:sz="8" w:color="auto"/>
            </w:tcBorders>
            <w:shd w:val="clear" w:color="auto" w:fill="CCEEFF"/>
          </w:tcPr>
          <w:p>
            <w:pPr>
              <w:spacing w:after="0"/>
              <w:rPr>
                <w:sz w:val="12"/>
                <w:szCs w:val="12"/>
                <w:color w:val="auto"/>
              </w:rPr>
            </w:pPr>
          </w:p>
        </w:tc>
        <w:tc>
          <w:tcPr>
            <w:tcW w:w="7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28,379</w:t>
            </w:r>
          </w:p>
        </w:tc>
        <w:tc>
          <w:tcPr>
            <w:tcW w:w="16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bottom w:val="single" w:sz="8" w:color="auto"/>
            </w:tcBorders>
            <w:shd w:val="clear" w:color="auto" w:fill="CCEEFF"/>
          </w:tcPr>
          <w:p>
            <w:pPr>
              <w:spacing w:after="0"/>
              <w:rPr>
                <w:sz w:val="12"/>
                <w:szCs w:val="12"/>
                <w:color w:val="auto"/>
              </w:rPr>
            </w:pPr>
          </w:p>
        </w:tc>
        <w:tc>
          <w:tcPr>
            <w:tcW w:w="8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26,274</w:t>
            </w:r>
          </w:p>
        </w:tc>
        <w:tc>
          <w:tcPr>
            <w:tcW w:w="120" w:type="dxa"/>
            <w:vAlign w:val="bottom"/>
            <w:tcBorders>
              <w:top w:val="single" w:sz="8" w:color="CCEEFF"/>
            </w:tcBorders>
            <w:shd w:val="clear" w:color="auto" w:fill="CCEEFF"/>
          </w:tcPr>
          <w:p>
            <w:pPr>
              <w:spacing w:after="0"/>
              <w:rPr>
                <w:sz w:val="12"/>
                <w:szCs w:val="12"/>
                <w:color w:val="auto"/>
              </w:rPr>
            </w:pPr>
          </w:p>
        </w:tc>
      </w:tr>
      <w:tr>
        <w:trPr>
          <w:trHeight w:val="144"/>
        </w:trPr>
        <w:tc>
          <w:tcPr>
            <w:tcW w:w="4620" w:type="dxa"/>
            <w:vAlign w:val="bottom"/>
          </w:tcPr>
          <w:p>
            <w:pPr>
              <w:ind w:left="120"/>
              <w:spacing w:after="0" w:line="143" w:lineRule="exact"/>
              <w:rPr>
                <w:sz w:val="20"/>
                <w:szCs w:val="20"/>
                <w:color w:val="auto"/>
              </w:rPr>
            </w:pPr>
            <w:r>
              <w:rPr>
                <w:rFonts w:ascii="Arial" w:cs="Arial" w:eastAsia="Arial" w:hAnsi="Arial"/>
                <w:sz w:val="13"/>
                <w:szCs w:val="13"/>
                <w:color w:val="auto"/>
              </w:rPr>
              <w:t>Total revenues</w:t>
            </w: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900" w:type="dxa"/>
            <w:vAlign w:val="bottom"/>
          </w:tcPr>
          <w:p>
            <w:pPr>
              <w:jc w:val="right"/>
              <w:spacing w:after="0" w:line="144" w:lineRule="exact"/>
              <w:rPr>
                <w:sz w:val="20"/>
                <w:szCs w:val="20"/>
                <w:color w:val="auto"/>
              </w:rPr>
            </w:pPr>
            <w:r>
              <w:rPr>
                <w:rFonts w:ascii="Arial" w:cs="Arial" w:eastAsia="Arial" w:hAnsi="Arial"/>
                <w:sz w:val="13"/>
                <w:szCs w:val="13"/>
                <w:color w:val="auto"/>
              </w:rPr>
              <w:t>127,589</w:t>
            </w:r>
          </w:p>
        </w:tc>
        <w:tc>
          <w:tcPr>
            <w:tcW w:w="2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900" w:type="dxa"/>
            <w:vAlign w:val="bottom"/>
          </w:tcPr>
          <w:p>
            <w:pPr>
              <w:jc w:val="right"/>
              <w:spacing w:after="0" w:line="144" w:lineRule="exact"/>
              <w:rPr>
                <w:sz w:val="20"/>
                <w:szCs w:val="20"/>
                <w:color w:val="auto"/>
              </w:rPr>
            </w:pPr>
            <w:r>
              <w:rPr>
                <w:rFonts w:ascii="Arial" w:cs="Arial" w:eastAsia="Arial" w:hAnsi="Arial"/>
                <w:sz w:val="13"/>
                <w:szCs w:val="13"/>
                <w:color w:val="auto"/>
              </w:rPr>
              <w:t>138,313</w:t>
            </w:r>
          </w:p>
        </w:tc>
        <w:tc>
          <w:tcPr>
            <w:tcW w:w="2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00" w:type="dxa"/>
            <w:vAlign w:val="bottom"/>
          </w:tcPr>
          <w:p>
            <w:pPr>
              <w:jc w:val="right"/>
              <w:spacing w:after="0" w:line="144" w:lineRule="exact"/>
              <w:rPr>
                <w:sz w:val="20"/>
                <w:szCs w:val="20"/>
                <w:color w:val="auto"/>
              </w:rPr>
            </w:pPr>
            <w:r>
              <w:rPr>
                <w:rFonts w:ascii="Arial" w:cs="Arial" w:eastAsia="Arial" w:hAnsi="Arial"/>
                <w:sz w:val="13"/>
                <w:szCs w:val="13"/>
                <w:color w:val="auto"/>
              </w:rPr>
              <w:t>167,974</w:t>
            </w:r>
          </w:p>
        </w:tc>
        <w:tc>
          <w:tcPr>
            <w:tcW w:w="220" w:type="dxa"/>
            <w:vAlign w:val="bottom"/>
          </w:tcPr>
          <w:p>
            <w:pPr>
              <w:spacing w:after="0"/>
              <w:rPr>
                <w:sz w:val="12"/>
                <w:szCs w:val="12"/>
                <w:color w:val="auto"/>
              </w:rPr>
            </w:pPr>
          </w:p>
        </w:tc>
        <w:tc>
          <w:tcPr>
            <w:tcW w:w="400" w:type="dxa"/>
            <w:vAlign w:val="bottom"/>
          </w:tcPr>
          <w:p>
            <w:pPr>
              <w:spacing w:after="0"/>
              <w:rPr>
                <w:sz w:val="12"/>
                <w:szCs w:val="12"/>
                <w:color w:val="auto"/>
              </w:rPr>
            </w:pPr>
          </w:p>
        </w:tc>
        <w:tc>
          <w:tcPr>
            <w:tcW w:w="740" w:type="dxa"/>
            <w:vAlign w:val="bottom"/>
          </w:tcPr>
          <w:p>
            <w:pPr>
              <w:jc w:val="right"/>
              <w:spacing w:after="0" w:line="144" w:lineRule="exact"/>
              <w:rPr>
                <w:sz w:val="20"/>
                <w:szCs w:val="20"/>
                <w:color w:val="auto"/>
              </w:rPr>
            </w:pPr>
            <w:r>
              <w:rPr>
                <w:rFonts w:ascii="Arial" w:cs="Arial" w:eastAsia="Arial" w:hAnsi="Arial"/>
                <w:sz w:val="13"/>
                <w:szCs w:val="13"/>
                <w:color w:val="auto"/>
              </w:rPr>
              <w:t>173,858</w:t>
            </w: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80" w:type="dxa"/>
            <w:vAlign w:val="bottom"/>
          </w:tcPr>
          <w:p>
            <w:pPr>
              <w:jc w:val="right"/>
              <w:spacing w:after="0" w:line="144" w:lineRule="exact"/>
              <w:rPr>
                <w:sz w:val="20"/>
                <w:szCs w:val="20"/>
                <w:color w:val="auto"/>
              </w:rPr>
            </w:pPr>
            <w:r>
              <w:rPr>
                <w:rFonts w:ascii="Arial" w:cs="Arial" w:eastAsia="Arial" w:hAnsi="Arial"/>
                <w:sz w:val="13"/>
                <w:szCs w:val="13"/>
                <w:color w:val="auto"/>
              </w:rPr>
              <w:t>167,610</w:t>
            </w:r>
          </w:p>
        </w:tc>
        <w:tc>
          <w:tcPr>
            <w:tcW w:w="120" w:type="dxa"/>
            <w:vAlign w:val="bottom"/>
          </w:tcPr>
          <w:p>
            <w:pPr>
              <w:spacing w:after="0"/>
              <w:rPr>
                <w:sz w:val="12"/>
                <w:szCs w:val="12"/>
                <w:color w:val="auto"/>
              </w:rPr>
            </w:pPr>
          </w:p>
        </w:tc>
      </w:tr>
      <w:tr>
        <w:trPr>
          <w:trHeight w:val="154"/>
        </w:trPr>
        <w:tc>
          <w:tcPr>
            <w:tcW w:w="46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Impairment loss on financial instruments</w:t>
            </w:r>
          </w:p>
        </w:tc>
        <w:tc>
          <w:tcPr>
            <w:tcW w:w="8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(57,515)</w:t>
            </w:r>
          </w:p>
        </w:tc>
        <w:tc>
          <w:tcPr>
            <w:tcW w:w="26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(9,439)</w:t>
            </w:r>
          </w:p>
        </w:tc>
        <w:tc>
          <w:tcPr>
            <w:tcW w:w="240" w:type="dxa"/>
            <w:vAlign w:val="bottom"/>
            <w:shd w:val="clear" w:color="auto" w:fill="CCEEFF"/>
          </w:tcPr>
          <w:p>
            <w:pPr>
              <w:spacing w:after="0"/>
              <w:rPr>
                <w:sz w:val="13"/>
                <w:szCs w:val="13"/>
                <w:color w:val="auto"/>
              </w:rPr>
            </w:pPr>
          </w:p>
        </w:tc>
        <w:tc>
          <w:tcPr>
            <w:tcW w:w="11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(35,115)</w:t>
            </w:r>
          </w:p>
        </w:tc>
        <w:tc>
          <w:tcPr>
            <w:tcW w:w="400" w:type="dxa"/>
            <w:vAlign w:val="bottom"/>
            <w:shd w:val="clear" w:color="auto" w:fill="CCEEFF"/>
          </w:tcPr>
          <w:p>
            <w:pPr>
              <w:spacing w:after="0"/>
              <w:rPr>
                <w:sz w:val="13"/>
                <w:szCs w:val="13"/>
                <w:color w:val="auto"/>
              </w:rPr>
            </w:pP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(18,090)</w:t>
            </w:r>
          </w:p>
        </w:tc>
        <w:tc>
          <w:tcPr>
            <w:tcW w:w="6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(11,631)</w:t>
            </w:r>
          </w:p>
        </w:tc>
      </w:tr>
      <w:tr>
        <w:trPr>
          <w:trHeight w:val="154"/>
        </w:trPr>
        <w:tc>
          <w:tcPr>
            <w:tcW w:w="4620" w:type="dxa"/>
            <w:vAlign w:val="bottom"/>
          </w:tcPr>
          <w:p>
            <w:pPr>
              <w:ind w:left="120"/>
              <w:spacing w:after="0"/>
              <w:rPr>
                <w:sz w:val="20"/>
                <w:szCs w:val="20"/>
                <w:color w:val="auto"/>
              </w:rPr>
            </w:pPr>
            <w:r>
              <w:rPr>
                <w:rFonts w:ascii="Arial" w:cs="Arial" w:eastAsia="Arial" w:hAnsi="Arial"/>
                <w:sz w:val="13"/>
                <w:szCs w:val="13"/>
                <w:color w:val="auto"/>
              </w:rPr>
              <w:t>Impairment loss on non-financial assets</w:t>
            </w:r>
          </w:p>
        </w:tc>
        <w:tc>
          <w:tcPr>
            <w:tcW w:w="8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140" w:type="dxa"/>
            <w:vAlign w:val="bottom"/>
            <w:gridSpan w:val="2"/>
          </w:tcPr>
          <w:p>
            <w:pPr>
              <w:jc w:val="right"/>
              <w:ind w:right="200"/>
              <w:spacing w:after="0"/>
              <w:rPr>
                <w:sz w:val="20"/>
                <w:szCs w:val="20"/>
                <w:color w:val="auto"/>
              </w:rPr>
            </w:pPr>
            <w:r>
              <w:rPr>
                <w:rFonts w:ascii="Arial" w:cs="Arial" w:eastAsia="Arial" w:hAnsi="Arial"/>
                <w:sz w:val="13"/>
                <w:szCs w:val="13"/>
                <w:color w:val="auto"/>
              </w:rPr>
              <w:t>(10,018)</w:t>
            </w:r>
          </w:p>
        </w:tc>
        <w:tc>
          <w:tcPr>
            <w:tcW w:w="260" w:type="dxa"/>
            <w:vAlign w:val="bottom"/>
          </w:tcPr>
          <w:p>
            <w:pPr>
              <w:spacing w:after="0"/>
              <w:rPr>
                <w:sz w:val="13"/>
                <w:szCs w:val="13"/>
                <w:color w:val="auto"/>
              </w:rPr>
            </w:pPr>
          </w:p>
        </w:tc>
        <w:tc>
          <w:tcPr>
            <w:tcW w:w="1140" w:type="dxa"/>
            <w:vAlign w:val="bottom"/>
            <w:gridSpan w:val="2"/>
          </w:tcPr>
          <w:p>
            <w:pPr>
              <w:jc w:val="right"/>
              <w:ind w:right="240"/>
              <w:spacing w:after="0"/>
              <w:rPr>
                <w:sz w:val="20"/>
                <w:szCs w:val="20"/>
                <w:color w:val="auto"/>
              </w:rPr>
            </w:pPr>
            <w:r>
              <w:rPr>
                <w:rFonts w:ascii="Arial" w:cs="Arial" w:eastAsia="Arial" w:hAnsi="Arial"/>
                <w:sz w:val="13"/>
                <w:szCs w:val="13"/>
                <w:color w:val="auto"/>
              </w:rPr>
              <w:t>0</w:t>
            </w:r>
          </w:p>
        </w:tc>
        <w:tc>
          <w:tcPr>
            <w:tcW w:w="240" w:type="dxa"/>
            <w:vAlign w:val="bottom"/>
          </w:tcPr>
          <w:p>
            <w:pPr>
              <w:spacing w:after="0"/>
              <w:rPr>
                <w:sz w:val="13"/>
                <w:szCs w:val="13"/>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400" w:type="dxa"/>
            <w:vAlign w:val="bottom"/>
          </w:tcPr>
          <w:p>
            <w:pPr>
              <w:spacing w:after="0"/>
              <w:rPr>
                <w:sz w:val="13"/>
                <w:szCs w:val="13"/>
                <w:color w:val="auto"/>
              </w:rPr>
            </w:pPr>
          </w:p>
        </w:tc>
        <w:tc>
          <w:tcPr>
            <w:tcW w:w="900" w:type="dxa"/>
            <w:vAlign w:val="bottom"/>
            <w:gridSpan w:val="2"/>
          </w:tcPr>
          <w:p>
            <w:pPr>
              <w:jc w:val="right"/>
              <w:ind w:right="160"/>
              <w:spacing w:after="0"/>
              <w:rPr>
                <w:sz w:val="20"/>
                <w:szCs w:val="20"/>
                <w:color w:val="auto"/>
              </w:rPr>
            </w:pPr>
            <w:r>
              <w:rPr>
                <w:rFonts w:ascii="Arial" w:cs="Arial" w:eastAsia="Arial" w:hAnsi="Arial"/>
                <w:sz w:val="13"/>
                <w:szCs w:val="13"/>
                <w:color w:val="auto"/>
              </w:rPr>
              <w:t>0</w:t>
            </w:r>
          </w:p>
        </w:tc>
        <w:tc>
          <w:tcPr>
            <w:tcW w:w="6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0</w:t>
            </w:r>
          </w:p>
        </w:tc>
      </w:tr>
      <w:tr>
        <w:trPr>
          <w:trHeight w:val="164"/>
        </w:trPr>
        <w:tc>
          <w:tcPr>
            <w:tcW w:w="46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Total operating expenses</w:t>
            </w:r>
          </w:p>
        </w:tc>
        <w:tc>
          <w:tcPr>
            <w:tcW w:w="8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114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(48,918)</w:t>
            </w:r>
          </w:p>
        </w:tc>
        <w:tc>
          <w:tcPr>
            <w:tcW w:w="260" w:type="dxa"/>
            <w:vAlign w:val="bottom"/>
            <w:shd w:val="clear" w:color="auto" w:fill="CCEEFF"/>
          </w:tcPr>
          <w:p>
            <w:pPr>
              <w:spacing w:after="0"/>
              <w:rPr>
                <w:sz w:val="14"/>
                <w:szCs w:val="14"/>
                <w:color w:val="auto"/>
              </w:rPr>
            </w:pPr>
          </w:p>
        </w:tc>
        <w:tc>
          <w:tcPr>
            <w:tcW w:w="114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(46,875)</w:t>
            </w:r>
          </w:p>
        </w:tc>
        <w:tc>
          <w:tcPr>
            <w:tcW w:w="240" w:type="dxa"/>
            <w:vAlign w:val="bottom"/>
            <w:shd w:val="clear" w:color="auto" w:fill="CCEEFF"/>
          </w:tcPr>
          <w:p>
            <w:pPr>
              <w:spacing w:after="0"/>
              <w:rPr>
                <w:sz w:val="14"/>
                <w:szCs w:val="14"/>
                <w:color w:val="auto"/>
              </w:rPr>
            </w:pPr>
          </w:p>
        </w:tc>
        <w:tc>
          <w:tcPr>
            <w:tcW w:w="11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(45,814)</w:t>
            </w:r>
          </w:p>
        </w:tc>
        <w:tc>
          <w:tcPr>
            <w:tcW w:w="400" w:type="dxa"/>
            <w:vAlign w:val="bottom"/>
            <w:shd w:val="clear" w:color="auto" w:fill="CCEEFF"/>
          </w:tcPr>
          <w:p>
            <w:pPr>
              <w:spacing w:after="0"/>
              <w:rPr>
                <w:sz w:val="14"/>
                <w:szCs w:val="14"/>
                <w:color w:val="auto"/>
              </w:rPr>
            </w:pP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(51,784)</w:t>
            </w:r>
          </w:p>
        </w:tc>
        <w:tc>
          <w:tcPr>
            <w:tcW w:w="6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10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(53,613)</w:t>
            </w:r>
          </w:p>
        </w:tc>
      </w:tr>
      <w:tr>
        <w:trPr>
          <w:trHeight w:val="162"/>
        </w:trPr>
        <w:tc>
          <w:tcPr>
            <w:tcW w:w="4620" w:type="dxa"/>
            <w:vAlign w:val="bottom"/>
            <w:tcBorders>
              <w:bottom w:val="single" w:sz="8" w:color="CCEEFF"/>
            </w:tcBorders>
          </w:tcPr>
          <w:p>
            <w:pPr>
              <w:ind w:left="120"/>
              <w:spacing w:after="0" w:line="146" w:lineRule="exact"/>
              <w:rPr>
                <w:sz w:val="20"/>
                <w:szCs w:val="20"/>
                <w:color w:val="auto"/>
              </w:rPr>
            </w:pPr>
            <w:r>
              <w:rPr>
                <w:rFonts w:ascii="Arial" w:cs="Arial" w:eastAsia="Arial" w:hAnsi="Arial"/>
                <w:sz w:val="13"/>
                <w:szCs w:val="13"/>
                <w:b w:val="1"/>
                <w:bCs w:val="1"/>
                <w:color w:val="auto"/>
              </w:rPr>
              <w:t>Profit for the year</w:t>
            </w:r>
          </w:p>
        </w:tc>
        <w:tc>
          <w:tcPr>
            <w:tcW w:w="80" w:type="dxa"/>
            <w:vAlign w:val="bottom"/>
            <w:tcBorders>
              <w:bottom w:val="single" w:sz="8" w:color="CCEEFF"/>
            </w:tcBorders>
          </w:tcPr>
          <w:p>
            <w:pPr>
              <w:spacing w:after="0"/>
              <w:rPr>
                <w:sz w:val="14"/>
                <w:szCs w:val="14"/>
                <w:color w:val="auto"/>
              </w:rPr>
            </w:pPr>
          </w:p>
        </w:tc>
        <w:tc>
          <w:tcPr>
            <w:tcW w:w="260" w:type="dxa"/>
            <w:vAlign w:val="bottom"/>
            <w:tcBorders>
              <w:top w:val="single" w:sz="8" w:color="auto"/>
              <w:bottom w:val="single" w:sz="8" w:color="auto"/>
            </w:tcBorders>
          </w:tcPr>
          <w:p>
            <w:pPr>
              <w:spacing w:after="0"/>
              <w:rPr>
                <w:sz w:val="14"/>
                <w:szCs w:val="14"/>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11,138</w:t>
            </w:r>
          </w:p>
        </w:tc>
        <w:tc>
          <w:tcPr>
            <w:tcW w:w="240" w:type="dxa"/>
            <w:vAlign w:val="bottom"/>
            <w:tcBorders>
              <w:bottom w:val="single" w:sz="8" w:color="CCEEFF"/>
            </w:tcBorders>
          </w:tcPr>
          <w:p>
            <w:pPr>
              <w:spacing w:after="0"/>
              <w:rPr>
                <w:sz w:val="14"/>
                <w:szCs w:val="14"/>
                <w:color w:val="auto"/>
              </w:rPr>
            </w:pPr>
          </w:p>
        </w:tc>
        <w:tc>
          <w:tcPr>
            <w:tcW w:w="260" w:type="dxa"/>
            <w:vAlign w:val="bottom"/>
            <w:tcBorders>
              <w:top w:val="single" w:sz="8" w:color="auto"/>
              <w:bottom w:val="single" w:sz="8" w:color="auto"/>
            </w:tcBorders>
          </w:tcPr>
          <w:p>
            <w:pPr>
              <w:jc w:val="right"/>
              <w:ind w:right="152"/>
              <w:spacing w:after="0"/>
              <w:rPr>
                <w:sz w:val="20"/>
                <w:szCs w:val="20"/>
                <w:color w:val="auto"/>
              </w:rPr>
            </w:pPr>
            <w:r>
              <w:rPr>
                <w:rFonts w:ascii="Arial" w:cs="Arial" w:eastAsia="Arial" w:hAnsi="Arial"/>
                <w:sz w:val="10"/>
                <w:szCs w:val="10"/>
                <w:b w:val="1"/>
                <w:bCs w:val="1"/>
                <w:color w:val="auto"/>
                <w:w w:val="71"/>
              </w:rPr>
              <w:t>$</w:t>
            </w: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81,999</w:t>
            </w:r>
          </w:p>
        </w:tc>
        <w:tc>
          <w:tcPr>
            <w:tcW w:w="240" w:type="dxa"/>
            <w:vAlign w:val="bottom"/>
            <w:tcBorders>
              <w:bottom w:val="single" w:sz="8" w:color="CCEEFF"/>
            </w:tcBorders>
          </w:tcPr>
          <w:p>
            <w:pPr>
              <w:spacing w:after="0"/>
              <w:rPr>
                <w:sz w:val="14"/>
                <w:szCs w:val="14"/>
                <w:color w:val="auto"/>
              </w:rPr>
            </w:pPr>
          </w:p>
        </w:tc>
        <w:tc>
          <w:tcPr>
            <w:tcW w:w="240" w:type="dxa"/>
            <w:vAlign w:val="bottom"/>
            <w:tcBorders>
              <w:top w:val="single" w:sz="8" w:color="auto"/>
              <w:bottom w:val="single" w:sz="8" w:color="auto"/>
            </w:tcBorders>
          </w:tcPr>
          <w:p>
            <w:pPr>
              <w:jc w:val="right"/>
              <w:ind w:right="132"/>
              <w:spacing w:after="0"/>
              <w:rPr>
                <w:sz w:val="20"/>
                <w:szCs w:val="20"/>
                <w:color w:val="auto"/>
              </w:rPr>
            </w:pPr>
            <w:r>
              <w:rPr>
                <w:rFonts w:ascii="Arial" w:cs="Arial" w:eastAsia="Arial" w:hAnsi="Arial"/>
                <w:sz w:val="10"/>
                <w:szCs w:val="10"/>
                <w:b w:val="1"/>
                <w:bCs w:val="1"/>
                <w:color w:val="auto"/>
                <w:w w:val="71"/>
              </w:rPr>
              <w:t>$</w:t>
            </w: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87,045</w:t>
            </w:r>
          </w:p>
        </w:tc>
        <w:tc>
          <w:tcPr>
            <w:tcW w:w="220" w:type="dxa"/>
            <w:vAlign w:val="bottom"/>
            <w:tcBorders>
              <w:bottom w:val="single" w:sz="8" w:color="CCEEFF"/>
            </w:tcBorders>
          </w:tcPr>
          <w:p>
            <w:pPr>
              <w:spacing w:after="0"/>
              <w:rPr>
                <w:sz w:val="14"/>
                <w:szCs w:val="14"/>
                <w:color w:val="auto"/>
              </w:rPr>
            </w:pPr>
          </w:p>
        </w:tc>
        <w:tc>
          <w:tcPr>
            <w:tcW w:w="400" w:type="dxa"/>
            <w:vAlign w:val="bottom"/>
            <w:tcBorders>
              <w:top w:val="single" w:sz="8" w:color="auto"/>
              <w:bottom w:val="single" w:sz="8" w:color="auto"/>
            </w:tcBorders>
          </w:tcPr>
          <w:p>
            <w:pPr>
              <w:jc w:val="right"/>
              <w:ind w:right="292"/>
              <w:spacing w:after="0"/>
              <w:rPr>
                <w:sz w:val="20"/>
                <w:szCs w:val="20"/>
                <w:color w:val="auto"/>
              </w:rPr>
            </w:pPr>
            <w:r>
              <w:rPr>
                <w:rFonts w:ascii="Arial" w:cs="Arial" w:eastAsia="Arial" w:hAnsi="Arial"/>
                <w:sz w:val="10"/>
                <w:szCs w:val="10"/>
                <w:b w:val="1"/>
                <w:bCs w:val="1"/>
                <w:color w:val="auto"/>
                <w:w w:val="71"/>
              </w:rPr>
              <w:t>$</w:t>
            </w:r>
          </w:p>
        </w:tc>
        <w:tc>
          <w:tcPr>
            <w:tcW w:w="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103,984</w:t>
            </w:r>
          </w:p>
        </w:tc>
        <w:tc>
          <w:tcPr>
            <w:tcW w:w="160" w:type="dxa"/>
            <w:vAlign w:val="bottom"/>
            <w:tcBorders>
              <w:bottom w:val="single" w:sz="8" w:color="CCEEFF"/>
            </w:tcBorders>
          </w:tcPr>
          <w:p>
            <w:pPr>
              <w:spacing w:after="0"/>
              <w:rPr>
                <w:sz w:val="14"/>
                <w:szCs w:val="14"/>
                <w:color w:val="auto"/>
              </w:rPr>
            </w:pPr>
          </w:p>
        </w:tc>
        <w:tc>
          <w:tcPr>
            <w:tcW w:w="60" w:type="dxa"/>
            <w:vAlign w:val="bottom"/>
            <w:tcBorders>
              <w:bottom w:val="single" w:sz="8" w:color="CCEEFF"/>
            </w:tcBorders>
          </w:tcPr>
          <w:p>
            <w:pPr>
              <w:spacing w:after="0"/>
              <w:rPr>
                <w:sz w:val="14"/>
                <w:szCs w:val="14"/>
                <w:color w:val="auto"/>
              </w:rPr>
            </w:pPr>
          </w:p>
        </w:tc>
        <w:tc>
          <w:tcPr>
            <w:tcW w:w="260" w:type="dxa"/>
            <w:vAlign w:val="bottom"/>
            <w:tcBorders>
              <w:top w:val="single" w:sz="8" w:color="auto"/>
              <w:bottom w:val="single" w:sz="8" w:color="auto"/>
            </w:tcBorders>
          </w:tcPr>
          <w:p>
            <w:pPr>
              <w:jc w:val="right"/>
              <w:ind w:right="152"/>
              <w:spacing w:after="0"/>
              <w:rPr>
                <w:sz w:val="20"/>
                <w:szCs w:val="20"/>
                <w:color w:val="auto"/>
              </w:rPr>
            </w:pPr>
            <w:r>
              <w:rPr>
                <w:rFonts w:ascii="Arial" w:cs="Arial" w:eastAsia="Arial" w:hAnsi="Arial"/>
                <w:sz w:val="10"/>
                <w:szCs w:val="10"/>
                <w:b w:val="1"/>
                <w:bCs w:val="1"/>
                <w:color w:val="auto"/>
                <w:w w:val="71"/>
              </w:rPr>
              <w:t>$</w:t>
            </w: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102,366</w:t>
            </w:r>
          </w:p>
        </w:tc>
        <w:tc>
          <w:tcPr>
            <w:tcW w:w="120" w:type="dxa"/>
            <w:vAlign w:val="bottom"/>
            <w:tcBorders>
              <w:bottom w:val="single" w:sz="8" w:color="CCEEFF"/>
            </w:tcBorders>
          </w:tcPr>
          <w:p>
            <w:pPr>
              <w:spacing w:after="0"/>
              <w:rPr>
                <w:sz w:val="14"/>
                <w:szCs w:val="14"/>
                <w:color w:val="auto"/>
              </w:rPr>
            </w:pPr>
          </w:p>
        </w:tc>
      </w:tr>
      <w:tr>
        <w:trPr>
          <w:trHeight w:val="154"/>
        </w:trPr>
        <w:tc>
          <w:tcPr>
            <w:tcW w:w="462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Weighted average basic shares</w:t>
            </w:r>
          </w:p>
        </w:tc>
        <w:tc>
          <w:tcPr>
            <w:tcW w:w="8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39,543</w:t>
            </w:r>
          </w:p>
        </w:tc>
        <w:tc>
          <w:tcPr>
            <w:tcW w:w="24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39,311</w:t>
            </w:r>
          </w:p>
        </w:tc>
        <w:tc>
          <w:tcPr>
            <w:tcW w:w="24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39,085</w:t>
            </w:r>
          </w:p>
        </w:tc>
        <w:tc>
          <w:tcPr>
            <w:tcW w:w="220" w:type="dxa"/>
            <w:vAlign w:val="bottom"/>
            <w:shd w:val="clear" w:color="auto" w:fill="CCEEFF"/>
          </w:tcPr>
          <w:p>
            <w:pPr>
              <w:spacing w:after="0"/>
              <w:rPr>
                <w:sz w:val="13"/>
                <w:szCs w:val="13"/>
                <w:color w:val="auto"/>
              </w:rPr>
            </w:pPr>
          </w:p>
        </w:tc>
        <w:tc>
          <w:tcPr>
            <w:tcW w:w="400" w:type="dxa"/>
            <w:vAlign w:val="bottom"/>
            <w:shd w:val="clear" w:color="auto" w:fill="CCEEFF"/>
          </w:tcPr>
          <w:p>
            <w:pPr>
              <w:spacing w:after="0"/>
              <w:rPr>
                <w:sz w:val="13"/>
                <w:szCs w:val="13"/>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38,925</w:t>
            </w:r>
          </w:p>
        </w:tc>
        <w:tc>
          <w:tcPr>
            <w:tcW w:w="16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38,693</w:t>
            </w:r>
          </w:p>
        </w:tc>
        <w:tc>
          <w:tcPr>
            <w:tcW w:w="120" w:type="dxa"/>
            <w:vAlign w:val="bottom"/>
            <w:shd w:val="clear" w:color="auto" w:fill="CCEEFF"/>
          </w:tcPr>
          <w:p>
            <w:pPr>
              <w:spacing w:after="0"/>
              <w:rPr>
                <w:sz w:val="13"/>
                <w:szCs w:val="13"/>
                <w:color w:val="auto"/>
              </w:rPr>
            </w:pPr>
          </w:p>
        </w:tc>
      </w:tr>
      <w:tr>
        <w:trPr>
          <w:trHeight w:val="154"/>
        </w:trPr>
        <w:tc>
          <w:tcPr>
            <w:tcW w:w="4620" w:type="dxa"/>
            <w:vAlign w:val="bottom"/>
          </w:tcPr>
          <w:p>
            <w:pPr>
              <w:spacing w:after="0"/>
              <w:rPr>
                <w:sz w:val="20"/>
                <w:szCs w:val="20"/>
                <w:color w:val="auto"/>
              </w:rPr>
            </w:pPr>
            <w:r>
              <w:rPr>
                <w:rFonts w:ascii="Arial" w:cs="Arial" w:eastAsia="Arial" w:hAnsi="Arial"/>
                <w:sz w:val="13"/>
                <w:szCs w:val="13"/>
                <w:b w:val="1"/>
                <w:bCs w:val="1"/>
                <w:color w:val="auto"/>
              </w:rPr>
              <w:t>Weighted average diluted shares</w:t>
            </w:r>
          </w:p>
        </w:tc>
        <w:tc>
          <w:tcPr>
            <w:tcW w:w="8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140" w:type="dxa"/>
            <w:vAlign w:val="bottom"/>
            <w:gridSpan w:val="2"/>
          </w:tcPr>
          <w:p>
            <w:pPr>
              <w:jc w:val="right"/>
              <w:ind w:right="240"/>
              <w:spacing w:after="0"/>
              <w:rPr>
                <w:sz w:val="20"/>
                <w:szCs w:val="20"/>
                <w:color w:val="auto"/>
              </w:rPr>
            </w:pPr>
            <w:r>
              <w:rPr>
                <w:rFonts w:ascii="Arial" w:cs="Arial" w:eastAsia="Arial" w:hAnsi="Arial"/>
                <w:sz w:val="13"/>
                <w:szCs w:val="13"/>
                <w:color w:val="auto"/>
              </w:rPr>
              <w:t>39,543</w:t>
            </w:r>
          </w:p>
        </w:tc>
        <w:tc>
          <w:tcPr>
            <w:tcW w:w="260" w:type="dxa"/>
            <w:vAlign w:val="bottom"/>
          </w:tcPr>
          <w:p>
            <w:pPr>
              <w:spacing w:after="0"/>
              <w:rPr>
                <w:sz w:val="13"/>
                <w:szCs w:val="13"/>
                <w:color w:val="auto"/>
              </w:rPr>
            </w:pPr>
          </w:p>
        </w:tc>
        <w:tc>
          <w:tcPr>
            <w:tcW w:w="1140" w:type="dxa"/>
            <w:vAlign w:val="bottom"/>
            <w:gridSpan w:val="2"/>
          </w:tcPr>
          <w:p>
            <w:pPr>
              <w:jc w:val="right"/>
              <w:ind w:right="240"/>
              <w:spacing w:after="0"/>
              <w:rPr>
                <w:sz w:val="20"/>
                <w:szCs w:val="20"/>
                <w:color w:val="auto"/>
              </w:rPr>
            </w:pPr>
            <w:r>
              <w:rPr>
                <w:rFonts w:ascii="Arial" w:cs="Arial" w:eastAsia="Arial" w:hAnsi="Arial"/>
                <w:sz w:val="13"/>
                <w:szCs w:val="13"/>
                <w:color w:val="auto"/>
              </w:rPr>
              <w:t>39,329</w:t>
            </w:r>
          </w:p>
        </w:tc>
        <w:tc>
          <w:tcPr>
            <w:tcW w:w="240" w:type="dxa"/>
            <w:vAlign w:val="bottom"/>
          </w:tcPr>
          <w:p>
            <w:pPr>
              <w:spacing w:after="0"/>
              <w:rPr>
                <w:sz w:val="13"/>
                <w:szCs w:val="13"/>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39,210</w:t>
            </w:r>
          </w:p>
        </w:tc>
        <w:tc>
          <w:tcPr>
            <w:tcW w:w="400" w:type="dxa"/>
            <w:vAlign w:val="bottom"/>
          </w:tcPr>
          <w:p>
            <w:pPr>
              <w:spacing w:after="0"/>
              <w:rPr>
                <w:sz w:val="13"/>
                <w:szCs w:val="13"/>
                <w:color w:val="auto"/>
              </w:rPr>
            </w:pPr>
          </w:p>
        </w:tc>
        <w:tc>
          <w:tcPr>
            <w:tcW w:w="740" w:type="dxa"/>
            <w:vAlign w:val="bottom"/>
          </w:tcPr>
          <w:p>
            <w:pPr>
              <w:jc w:val="right"/>
              <w:spacing w:after="0"/>
              <w:rPr>
                <w:sz w:val="20"/>
                <w:szCs w:val="20"/>
                <w:color w:val="auto"/>
              </w:rPr>
            </w:pPr>
            <w:r>
              <w:rPr>
                <w:rFonts w:ascii="Arial" w:cs="Arial" w:eastAsia="Arial" w:hAnsi="Arial"/>
                <w:sz w:val="13"/>
                <w:szCs w:val="13"/>
                <w:color w:val="auto"/>
              </w:rPr>
              <w:t>39,113</w:t>
            </w:r>
          </w:p>
        </w:tc>
        <w:tc>
          <w:tcPr>
            <w:tcW w:w="16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38,882</w:t>
            </w:r>
          </w:p>
        </w:tc>
      </w:tr>
      <w:tr>
        <w:trPr>
          <w:trHeight w:val="154"/>
        </w:trPr>
        <w:tc>
          <w:tcPr>
            <w:tcW w:w="462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Basic shares period end</w:t>
            </w:r>
          </w:p>
        </w:tc>
        <w:tc>
          <w:tcPr>
            <w:tcW w:w="8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39,539</w:t>
            </w:r>
          </w:p>
        </w:tc>
        <w:tc>
          <w:tcPr>
            <w:tcW w:w="26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39,429</w:t>
            </w:r>
          </w:p>
        </w:tc>
        <w:tc>
          <w:tcPr>
            <w:tcW w:w="240" w:type="dxa"/>
            <w:vAlign w:val="bottom"/>
            <w:shd w:val="clear" w:color="auto" w:fill="CCEEFF"/>
          </w:tcPr>
          <w:p>
            <w:pPr>
              <w:spacing w:after="0"/>
              <w:rPr>
                <w:sz w:val="13"/>
                <w:szCs w:val="13"/>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39,160</w:t>
            </w:r>
          </w:p>
        </w:tc>
        <w:tc>
          <w:tcPr>
            <w:tcW w:w="400" w:type="dxa"/>
            <w:vAlign w:val="bottom"/>
            <w:shd w:val="clear" w:color="auto" w:fill="CCEEFF"/>
          </w:tcPr>
          <w:p>
            <w:pPr>
              <w:spacing w:after="0"/>
              <w:rPr>
                <w:sz w:val="13"/>
                <w:szCs w:val="13"/>
                <w:color w:val="auto"/>
              </w:rPr>
            </w:pPr>
          </w:p>
        </w:tc>
        <w:tc>
          <w:tcPr>
            <w:tcW w:w="9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38,969</w:t>
            </w:r>
          </w:p>
        </w:tc>
        <w:tc>
          <w:tcPr>
            <w:tcW w:w="6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38,777</w:t>
            </w:r>
          </w:p>
        </w:tc>
      </w:tr>
      <w:tr>
        <w:trPr>
          <w:trHeight w:val="154"/>
        </w:trPr>
        <w:tc>
          <w:tcPr>
            <w:tcW w:w="4620" w:type="dxa"/>
            <w:vAlign w:val="bottom"/>
          </w:tcPr>
          <w:p>
            <w:pPr>
              <w:spacing w:after="0"/>
              <w:rPr>
                <w:sz w:val="20"/>
                <w:szCs w:val="20"/>
                <w:color w:val="auto"/>
              </w:rPr>
            </w:pPr>
            <w:r>
              <w:rPr>
                <w:rFonts w:ascii="Arial" w:cs="Arial" w:eastAsia="Arial" w:hAnsi="Arial"/>
                <w:sz w:val="13"/>
                <w:szCs w:val="13"/>
                <w:b w:val="1"/>
                <w:bCs w:val="1"/>
                <w:color w:val="auto"/>
              </w:rPr>
              <w:t>Per Common Share Data:</w:t>
            </w:r>
          </w:p>
        </w:tc>
        <w:tc>
          <w:tcPr>
            <w:tcW w:w="8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40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54"/>
        </w:trPr>
        <w:tc>
          <w:tcPr>
            <w:tcW w:w="46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Basic earnings per share</w:t>
            </w:r>
          </w:p>
        </w:tc>
        <w:tc>
          <w:tcPr>
            <w:tcW w:w="8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0.28</w:t>
            </w:r>
          </w:p>
        </w:tc>
        <w:tc>
          <w:tcPr>
            <w:tcW w:w="26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2.09</w:t>
            </w:r>
          </w:p>
        </w:tc>
        <w:tc>
          <w:tcPr>
            <w:tcW w:w="240" w:type="dxa"/>
            <w:vAlign w:val="bottom"/>
            <w:shd w:val="clear" w:color="auto" w:fill="CCEEFF"/>
          </w:tcPr>
          <w:p>
            <w:pPr>
              <w:spacing w:after="0"/>
              <w:rPr>
                <w:sz w:val="13"/>
                <w:szCs w:val="13"/>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2.23</w:t>
            </w:r>
          </w:p>
        </w:tc>
        <w:tc>
          <w:tcPr>
            <w:tcW w:w="400" w:type="dxa"/>
            <w:vAlign w:val="bottom"/>
            <w:shd w:val="clear" w:color="auto" w:fill="CCEEFF"/>
          </w:tcPr>
          <w:p>
            <w:pPr>
              <w:spacing w:after="0"/>
              <w:rPr>
                <w:sz w:val="13"/>
                <w:szCs w:val="13"/>
                <w:color w:val="auto"/>
              </w:rPr>
            </w:pPr>
          </w:p>
        </w:tc>
        <w:tc>
          <w:tcPr>
            <w:tcW w:w="9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2.67</w:t>
            </w:r>
          </w:p>
        </w:tc>
        <w:tc>
          <w:tcPr>
            <w:tcW w:w="6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2.65</w:t>
            </w:r>
          </w:p>
        </w:tc>
      </w:tr>
      <w:tr>
        <w:trPr>
          <w:trHeight w:val="154"/>
        </w:trPr>
        <w:tc>
          <w:tcPr>
            <w:tcW w:w="4620" w:type="dxa"/>
            <w:vAlign w:val="bottom"/>
          </w:tcPr>
          <w:p>
            <w:pPr>
              <w:ind w:left="120"/>
              <w:spacing w:after="0"/>
              <w:rPr>
                <w:sz w:val="20"/>
                <w:szCs w:val="20"/>
                <w:color w:val="auto"/>
              </w:rPr>
            </w:pPr>
            <w:r>
              <w:rPr>
                <w:rFonts w:ascii="Arial" w:cs="Arial" w:eastAsia="Arial" w:hAnsi="Arial"/>
                <w:sz w:val="13"/>
                <w:szCs w:val="13"/>
                <w:color w:val="auto"/>
              </w:rPr>
              <w:t>Diluted earnings per share</w:t>
            </w:r>
          </w:p>
        </w:tc>
        <w:tc>
          <w:tcPr>
            <w:tcW w:w="8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140" w:type="dxa"/>
            <w:vAlign w:val="bottom"/>
            <w:gridSpan w:val="2"/>
          </w:tcPr>
          <w:p>
            <w:pPr>
              <w:jc w:val="right"/>
              <w:ind w:right="240"/>
              <w:spacing w:after="0"/>
              <w:rPr>
                <w:sz w:val="20"/>
                <w:szCs w:val="20"/>
                <w:color w:val="auto"/>
              </w:rPr>
            </w:pPr>
            <w:r>
              <w:rPr>
                <w:rFonts w:ascii="Arial" w:cs="Arial" w:eastAsia="Arial" w:hAnsi="Arial"/>
                <w:sz w:val="13"/>
                <w:szCs w:val="13"/>
                <w:color w:val="auto"/>
              </w:rPr>
              <w:t>0.28</w:t>
            </w:r>
          </w:p>
        </w:tc>
        <w:tc>
          <w:tcPr>
            <w:tcW w:w="260" w:type="dxa"/>
            <w:vAlign w:val="bottom"/>
          </w:tcPr>
          <w:p>
            <w:pPr>
              <w:spacing w:after="0"/>
              <w:rPr>
                <w:sz w:val="13"/>
                <w:szCs w:val="13"/>
                <w:color w:val="auto"/>
              </w:rPr>
            </w:pPr>
          </w:p>
        </w:tc>
        <w:tc>
          <w:tcPr>
            <w:tcW w:w="1140" w:type="dxa"/>
            <w:vAlign w:val="bottom"/>
            <w:gridSpan w:val="2"/>
          </w:tcPr>
          <w:p>
            <w:pPr>
              <w:jc w:val="right"/>
              <w:ind w:right="240"/>
              <w:spacing w:after="0"/>
              <w:rPr>
                <w:sz w:val="20"/>
                <w:szCs w:val="20"/>
                <w:color w:val="auto"/>
              </w:rPr>
            </w:pPr>
            <w:r>
              <w:rPr>
                <w:rFonts w:ascii="Arial" w:cs="Arial" w:eastAsia="Arial" w:hAnsi="Arial"/>
                <w:sz w:val="13"/>
                <w:szCs w:val="13"/>
                <w:color w:val="auto"/>
              </w:rPr>
              <w:t>2.08</w:t>
            </w:r>
          </w:p>
        </w:tc>
        <w:tc>
          <w:tcPr>
            <w:tcW w:w="240" w:type="dxa"/>
            <w:vAlign w:val="bottom"/>
          </w:tcPr>
          <w:p>
            <w:pPr>
              <w:spacing w:after="0"/>
              <w:rPr>
                <w:sz w:val="13"/>
                <w:szCs w:val="13"/>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2.22</w:t>
            </w:r>
          </w:p>
        </w:tc>
        <w:tc>
          <w:tcPr>
            <w:tcW w:w="400" w:type="dxa"/>
            <w:vAlign w:val="bottom"/>
          </w:tcPr>
          <w:p>
            <w:pPr>
              <w:spacing w:after="0"/>
              <w:rPr>
                <w:sz w:val="13"/>
                <w:szCs w:val="13"/>
                <w:color w:val="auto"/>
              </w:rPr>
            </w:pPr>
          </w:p>
        </w:tc>
        <w:tc>
          <w:tcPr>
            <w:tcW w:w="900" w:type="dxa"/>
            <w:vAlign w:val="bottom"/>
            <w:gridSpan w:val="2"/>
          </w:tcPr>
          <w:p>
            <w:pPr>
              <w:jc w:val="right"/>
              <w:ind w:right="160"/>
              <w:spacing w:after="0"/>
              <w:rPr>
                <w:sz w:val="20"/>
                <w:szCs w:val="20"/>
                <w:color w:val="auto"/>
              </w:rPr>
            </w:pPr>
            <w:r>
              <w:rPr>
                <w:rFonts w:ascii="Arial" w:cs="Arial" w:eastAsia="Arial" w:hAnsi="Arial"/>
                <w:sz w:val="13"/>
                <w:szCs w:val="13"/>
                <w:color w:val="auto"/>
              </w:rPr>
              <w:t>2.66</w:t>
            </w:r>
          </w:p>
        </w:tc>
        <w:tc>
          <w:tcPr>
            <w:tcW w:w="6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2.63</w:t>
            </w:r>
          </w:p>
        </w:tc>
      </w:tr>
      <w:tr>
        <w:trPr>
          <w:trHeight w:val="183"/>
        </w:trPr>
        <w:tc>
          <w:tcPr>
            <w:tcW w:w="4620" w:type="dxa"/>
            <w:vAlign w:val="bottom"/>
            <w:shd w:val="clear" w:color="auto" w:fill="CCEEFF"/>
          </w:tcPr>
          <w:p>
            <w:pPr>
              <w:ind w:left="120"/>
              <w:spacing w:after="0" w:line="183" w:lineRule="exact"/>
              <w:rPr>
                <w:sz w:val="20"/>
                <w:szCs w:val="20"/>
                <w:color w:val="auto"/>
              </w:rPr>
            </w:pPr>
            <w:r>
              <w:rPr>
                <w:rFonts w:ascii="Arial" w:cs="Arial" w:eastAsia="Arial" w:hAnsi="Arial"/>
                <w:sz w:val="13"/>
                <w:szCs w:val="13"/>
                <w:color w:val="auto"/>
              </w:rPr>
              <w:t xml:space="preserve">Book value per share (period end) </w:t>
            </w:r>
            <w:r>
              <w:rPr>
                <w:rFonts w:ascii="Arial" w:cs="Arial" w:eastAsia="Arial" w:hAnsi="Arial"/>
                <w:sz w:val="21"/>
                <w:szCs w:val="21"/>
                <w:color w:val="auto"/>
                <w:vertAlign w:val="superscript"/>
              </w:rPr>
              <w:t>(1)</w:t>
            </w:r>
          </w:p>
        </w:tc>
        <w:tc>
          <w:tcPr>
            <w:tcW w:w="80" w:type="dxa"/>
            <w:vAlign w:val="bottom"/>
            <w:shd w:val="clear" w:color="auto" w:fill="CCEEFF"/>
          </w:tcPr>
          <w:p>
            <w:pPr>
              <w:spacing w:after="0"/>
              <w:rPr>
                <w:sz w:val="15"/>
                <w:szCs w:val="15"/>
                <w:color w:val="auto"/>
              </w:rPr>
            </w:pPr>
          </w:p>
        </w:tc>
        <w:tc>
          <w:tcPr>
            <w:tcW w:w="260" w:type="dxa"/>
            <w:vAlign w:val="bottom"/>
            <w:shd w:val="clear" w:color="auto" w:fill="CCEEFF"/>
          </w:tcPr>
          <w:p>
            <w:pPr>
              <w:spacing w:after="0"/>
              <w:rPr>
                <w:sz w:val="15"/>
                <w:szCs w:val="15"/>
                <w:color w:val="auto"/>
              </w:rPr>
            </w:pP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25.13</w:t>
            </w:r>
          </w:p>
        </w:tc>
        <w:tc>
          <w:tcPr>
            <w:tcW w:w="260" w:type="dxa"/>
            <w:vAlign w:val="bottom"/>
            <w:shd w:val="clear" w:color="auto" w:fill="CCEEFF"/>
          </w:tcPr>
          <w:p>
            <w:pPr>
              <w:spacing w:after="0"/>
              <w:rPr>
                <w:sz w:val="15"/>
                <w:szCs w:val="15"/>
                <w:color w:val="auto"/>
              </w:rPr>
            </w:pP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26.45</w:t>
            </w:r>
          </w:p>
        </w:tc>
        <w:tc>
          <w:tcPr>
            <w:tcW w:w="240" w:type="dxa"/>
            <w:vAlign w:val="bottom"/>
            <w:shd w:val="clear" w:color="auto" w:fill="CCEEFF"/>
          </w:tcPr>
          <w:p>
            <w:pPr>
              <w:spacing w:after="0"/>
              <w:rPr>
                <w:sz w:val="15"/>
                <w:szCs w:val="15"/>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25.83</w:t>
            </w:r>
          </w:p>
        </w:tc>
        <w:tc>
          <w:tcPr>
            <w:tcW w:w="400" w:type="dxa"/>
            <w:vAlign w:val="bottom"/>
            <w:shd w:val="clear" w:color="auto" w:fill="CCEEFF"/>
          </w:tcPr>
          <w:p>
            <w:pPr>
              <w:spacing w:after="0"/>
              <w:rPr>
                <w:sz w:val="15"/>
                <w:szCs w:val="15"/>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24.94</w:t>
            </w:r>
          </w:p>
        </w:tc>
        <w:tc>
          <w:tcPr>
            <w:tcW w:w="160" w:type="dxa"/>
            <w:vAlign w:val="bottom"/>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260" w:type="dxa"/>
            <w:vAlign w:val="bottom"/>
            <w:shd w:val="clear" w:color="auto" w:fill="CCEEFF"/>
          </w:tcPr>
          <w:p>
            <w:pPr>
              <w:spacing w:after="0"/>
              <w:rPr>
                <w:sz w:val="15"/>
                <w:szCs w:val="15"/>
                <w:color w:val="auto"/>
              </w:rPr>
            </w:pPr>
          </w:p>
        </w:tc>
        <w:tc>
          <w:tcPr>
            <w:tcW w:w="10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23.49</w:t>
            </w:r>
          </w:p>
        </w:tc>
      </w:tr>
      <w:tr>
        <w:trPr>
          <w:trHeight w:val="154"/>
        </w:trPr>
        <w:tc>
          <w:tcPr>
            <w:tcW w:w="4620" w:type="dxa"/>
            <w:vAlign w:val="bottom"/>
          </w:tcPr>
          <w:p>
            <w:pPr>
              <w:ind w:left="120"/>
              <w:spacing w:after="0"/>
              <w:rPr>
                <w:sz w:val="20"/>
                <w:szCs w:val="20"/>
                <w:color w:val="auto"/>
              </w:rPr>
            </w:pPr>
            <w:r>
              <w:rPr>
                <w:rFonts w:ascii="Arial" w:cs="Arial" w:eastAsia="Arial" w:hAnsi="Arial"/>
                <w:sz w:val="13"/>
                <w:szCs w:val="13"/>
                <w:color w:val="auto"/>
              </w:rPr>
              <w:t>Regular cash dividends declared per share</w:t>
            </w:r>
          </w:p>
        </w:tc>
        <w:tc>
          <w:tcPr>
            <w:tcW w:w="8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140" w:type="dxa"/>
            <w:vAlign w:val="bottom"/>
            <w:gridSpan w:val="2"/>
          </w:tcPr>
          <w:p>
            <w:pPr>
              <w:jc w:val="right"/>
              <w:ind w:right="240"/>
              <w:spacing w:after="0"/>
              <w:rPr>
                <w:sz w:val="20"/>
                <w:szCs w:val="20"/>
                <w:color w:val="auto"/>
              </w:rPr>
            </w:pPr>
            <w:r>
              <w:rPr>
                <w:rFonts w:ascii="Arial" w:cs="Arial" w:eastAsia="Arial" w:hAnsi="Arial"/>
                <w:sz w:val="13"/>
                <w:szCs w:val="13"/>
                <w:color w:val="auto"/>
              </w:rPr>
              <w:t>1.54</w:t>
            </w:r>
          </w:p>
        </w:tc>
        <w:tc>
          <w:tcPr>
            <w:tcW w:w="260" w:type="dxa"/>
            <w:vAlign w:val="bottom"/>
          </w:tcPr>
          <w:p>
            <w:pPr>
              <w:spacing w:after="0"/>
              <w:rPr>
                <w:sz w:val="13"/>
                <w:szCs w:val="13"/>
                <w:color w:val="auto"/>
              </w:rPr>
            </w:pPr>
          </w:p>
        </w:tc>
        <w:tc>
          <w:tcPr>
            <w:tcW w:w="1140" w:type="dxa"/>
            <w:vAlign w:val="bottom"/>
            <w:gridSpan w:val="2"/>
          </w:tcPr>
          <w:p>
            <w:pPr>
              <w:jc w:val="right"/>
              <w:ind w:right="240"/>
              <w:spacing w:after="0"/>
              <w:rPr>
                <w:sz w:val="20"/>
                <w:szCs w:val="20"/>
                <w:color w:val="auto"/>
              </w:rPr>
            </w:pPr>
            <w:r>
              <w:rPr>
                <w:rFonts w:ascii="Arial" w:cs="Arial" w:eastAsia="Arial" w:hAnsi="Arial"/>
                <w:sz w:val="13"/>
                <w:szCs w:val="13"/>
                <w:color w:val="auto"/>
              </w:rPr>
              <w:t>1.54</w:t>
            </w:r>
          </w:p>
        </w:tc>
        <w:tc>
          <w:tcPr>
            <w:tcW w:w="240" w:type="dxa"/>
            <w:vAlign w:val="bottom"/>
          </w:tcPr>
          <w:p>
            <w:pPr>
              <w:spacing w:after="0"/>
              <w:rPr>
                <w:sz w:val="13"/>
                <w:szCs w:val="13"/>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1.54</w:t>
            </w:r>
          </w:p>
        </w:tc>
        <w:tc>
          <w:tcPr>
            <w:tcW w:w="400" w:type="dxa"/>
            <w:vAlign w:val="bottom"/>
          </w:tcPr>
          <w:p>
            <w:pPr>
              <w:spacing w:after="0"/>
              <w:rPr>
                <w:sz w:val="13"/>
                <w:szCs w:val="13"/>
                <w:color w:val="auto"/>
              </w:rPr>
            </w:pPr>
          </w:p>
        </w:tc>
        <w:tc>
          <w:tcPr>
            <w:tcW w:w="740" w:type="dxa"/>
            <w:vAlign w:val="bottom"/>
          </w:tcPr>
          <w:p>
            <w:pPr>
              <w:jc w:val="right"/>
              <w:spacing w:after="0"/>
              <w:rPr>
                <w:sz w:val="20"/>
                <w:szCs w:val="20"/>
                <w:color w:val="auto"/>
              </w:rPr>
            </w:pPr>
            <w:r>
              <w:rPr>
                <w:rFonts w:ascii="Arial" w:cs="Arial" w:eastAsia="Arial" w:hAnsi="Arial"/>
                <w:sz w:val="13"/>
                <w:szCs w:val="13"/>
                <w:color w:val="auto"/>
              </w:rPr>
              <w:t>1.155</w:t>
            </w:r>
          </w:p>
        </w:tc>
        <w:tc>
          <w:tcPr>
            <w:tcW w:w="16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1.435</w:t>
            </w:r>
          </w:p>
        </w:tc>
      </w:tr>
      <w:tr>
        <w:trPr>
          <w:trHeight w:val="154"/>
        </w:trPr>
        <w:tc>
          <w:tcPr>
            <w:tcW w:w="46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Regular cash dividends paid per share</w:t>
            </w:r>
          </w:p>
        </w:tc>
        <w:tc>
          <w:tcPr>
            <w:tcW w:w="8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1.54</w:t>
            </w:r>
          </w:p>
        </w:tc>
        <w:tc>
          <w:tcPr>
            <w:tcW w:w="26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1.54</w:t>
            </w:r>
          </w:p>
        </w:tc>
        <w:tc>
          <w:tcPr>
            <w:tcW w:w="240" w:type="dxa"/>
            <w:vAlign w:val="bottom"/>
            <w:shd w:val="clear" w:color="auto" w:fill="CCEEFF"/>
          </w:tcPr>
          <w:p>
            <w:pPr>
              <w:spacing w:after="0"/>
              <w:rPr>
                <w:sz w:val="13"/>
                <w:szCs w:val="13"/>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1.54</w:t>
            </w:r>
          </w:p>
        </w:tc>
        <w:tc>
          <w:tcPr>
            <w:tcW w:w="400" w:type="dxa"/>
            <w:vAlign w:val="bottom"/>
            <w:shd w:val="clear" w:color="auto" w:fill="CCEEFF"/>
          </w:tcPr>
          <w:p>
            <w:pPr>
              <w:spacing w:after="0"/>
              <w:rPr>
                <w:sz w:val="13"/>
                <w:szCs w:val="13"/>
                <w:color w:val="auto"/>
              </w:rPr>
            </w:pPr>
          </w:p>
        </w:tc>
        <w:tc>
          <w:tcPr>
            <w:tcW w:w="9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1.54</w:t>
            </w:r>
          </w:p>
        </w:tc>
        <w:tc>
          <w:tcPr>
            <w:tcW w:w="6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1.40</w:t>
            </w:r>
          </w:p>
        </w:tc>
      </w:tr>
      <w:tr>
        <w:trPr>
          <w:trHeight w:val="154"/>
        </w:trPr>
        <w:tc>
          <w:tcPr>
            <w:tcW w:w="4620" w:type="dxa"/>
            <w:vAlign w:val="bottom"/>
          </w:tcPr>
          <w:p>
            <w:pPr>
              <w:spacing w:after="0"/>
              <w:rPr>
                <w:sz w:val="20"/>
                <w:szCs w:val="20"/>
                <w:color w:val="auto"/>
              </w:rPr>
            </w:pPr>
            <w:r>
              <w:rPr>
                <w:rFonts w:ascii="Arial" w:cs="Arial" w:eastAsia="Arial" w:hAnsi="Arial"/>
                <w:sz w:val="13"/>
                <w:szCs w:val="13"/>
                <w:b w:val="1"/>
                <w:bCs w:val="1"/>
                <w:color w:val="auto"/>
              </w:rPr>
              <w:t>Selected Financial Ratios:</w:t>
            </w:r>
          </w:p>
        </w:tc>
        <w:tc>
          <w:tcPr>
            <w:tcW w:w="8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40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54"/>
        </w:trPr>
        <w:tc>
          <w:tcPr>
            <w:tcW w:w="4620" w:type="dxa"/>
            <w:vAlign w:val="bottom"/>
            <w:shd w:val="clear" w:color="auto" w:fill="CCEEFF"/>
          </w:tcPr>
          <w:p>
            <w:pPr>
              <w:spacing w:after="0"/>
              <w:rPr>
                <w:sz w:val="20"/>
                <w:szCs w:val="20"/>
                <w:color w:val="auto"/>
              </w:rPr>
            </w:pPr>
            <w:r>
              <w:rPr>
                <w:rFonts w:ascii="Arial" w:cs="Arial" w:eastAsia="Arial" w:hAnsi="Arial"/>
                <w:sz w:val="13"/>
                <w:szCs w:val="13"/>
                <w:i w:val="1"/>
                <w:iCs w:val="1"/>
                <w:color w:val="auto"/>
              </w:rPr>
              <w:t>Performance Ratios:</w:t>
            </w:r>
          </w:p>
        </w:tc>
        <w:tc>
          <w:tcPr>
            <w:tcW w:w="8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9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9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9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400" w:type="dxa"/>
            <w:vAlign w:val="bottom"/>
            <w:shd w:val="clear" w:color="auto" w:fill="CCEEFF"/>
          </w:tcPr>
          <w:p>
            <w:pPr>
              <w:spacing w:after="0"/>
              <w:rPr>
                <w:sz w:val="13"/>
                <w:szCs w:val="13"/>
                <w:color w:val="auto"/>
              </w:rPr>
            </w:pPr>
          </w:p>
        </w:tc>
        <w:tc>
          <w:tcPr>
            <w:tcW w:w="74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8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r>
      <w:tr>
        <w:trPr>
          <w:trHeight w:val="183"/>
        </w:trPr>
        <w:tc>
          <w:tcPr>
            <w:tcW w:w="4620" w:type="dxa"/>
            <w:vAlign w:val="bottom"/>
          </w:tcPr>
          <w:p>
            <w:pPr>
              <w:ind w:left="120"/>
              <w:spacing w:after="0" w:line="183" w:lineRule="exact"/>
              <w:rPr>
                <w:sz w:val="20"/>
                <w:szCs w:val="20"/>
                <w:color w:val="auto"/>
              </w:rPr>
            </w:pPr>
            <w:r>
              <w:rPr>
                <w:rFonts w:ascii="Arial" w:cs="Arial" w:eastAsia="Arial" w:hAnsi="Arial"/>
                <w:sz w:val="13"/>
                <w:szCs w:val="13"/>
                <w:color w:val="auto"/>
              </w:rPr>
              <w:t xml:space="preserve">Return on average total assets </w:t>
            </w:r>
            <w:r>
              <w:rPr>
                <w:rFonts w:ascii="Arial" w:cs="Arial" w:eastAsia="Arial" w:hAnsi="Arial"/>
                <w:sz w:val="21"/>
                <w:szCs w:val="21"/>
                <w:color w:val="auto"/>
                <w:vertAlign w:val="superscript"/>
              </w:rPr>
              <w:t>(2)</w:t>
            </w:r>
          </w:p>
        </w:tc>
        <w:tc>
          <w:tcPr>
            <w:tcW w:w="8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1140" w:type="dxa"/>
            <w:vAlign w:val="bottom"/>
            <w:gridSpan w:val="2"/>
          </w:tcPr>
          <w:p>
            <w:pPr>
              <w:jc w:val="right"/>
              <w:ind w:right="140"/>
              <w:spacing w:after="0"/>
              <w:rPr>
                <w:sz w:val="20"/>
                <w:szCs w:val="20"/>
                <w:color w:val="auto"/>
              </w:rPr>
            </w:pPr>
            <w:r>
              <w:rPr>
                <w:rFonts w:ascii="Arial" w:cs="Arial" w:eastAsia="Arial" w:hAnsi="Arial"/>
                <w:sz w:val="13"/>
                <w:szCs w:val="13"/>
                <w:color w:val="auto"/>
              </w:rPr>
              <w:t>0.17%</w:t>
            </w:r>
          </w:p>
        </w:tc>
        <w:tc>
          <w:tcPr>
            <w:tcW w:w="260" w:type="dxa"/>
            <w:vAlign w:val="bottom"/>
          </w:tcPr>
          <w:p>
            <w:pPr>
              <w:spacing w:after="0"/>
              <w:rPr>
                <w:sz w:val="15"/>
                <w:szCs w:val="15"/>
                <w:color w:val="auto"/>
              </w:rPr>
            </w:pPr>
          </w:p>
        </w:tc>
        <w:tc>
          <w:tcPr>
            <w:tcW w:w="1140" w:type="dxa"/>
            <w:vAlign w:val="bottom"/>
            <w:gridSpan w:val="2"/>
          </w:tcPr>
          <w:p>
            <w:pPr>
              <w:jc w:val="right"/>
              <w:ind w:right="140"/>
              <w:spacing w:after="0"/>
              <w:rPr>
                <w:sz w:val="20"/>
                <w:szCs w:val="20"/>
                <w:color w:val="auto"/>
              </w:rPr>
            </w:pPr>
            <w:r>
              <w:rPr>
                <w:rFonts w:ascii="Arial" w:cs="Arial" w:eastAsia="Arial" w:hAnsi="Arial"/>
                <w:sz w:val="13"/>
                <w:szCs w:val="13"/>
                <w:color w:val="auto"/>
              </w:rPr>
              <w:t>1.27%</w:t>
            </w:r>
          </w:p>
        </w:tc>
        <w:tc>
          <w:tcPr>
            <w:tcW w:w="240" w:type="dxa"/>
            <w:vAlign w:val="bottom"/>
          </w:tcPr>
          <w:p>
            <w:pPr>
              <w:spacing w:after="0"/>
              <w:rPr>
                <w:sz w:val="15"/>
                <w:szCs w:val="15"/>
                <w:color w:val="auto"/>
              </w:rPr>
            </w:pPr>
          </w:p>
        </w:tc>
        <w:tc>
          <w:tcPr>
            <w:tcW w:w="1120" w:type="dxa"/>
            <w:vAlign w:val="bottom"/>
            <w:gridSpan w:val="2"/>
          </w:tcPr>
          <w:p>
            <w:pPr>
              <w:jc w:val="right"/>
              <w:ind w:right="120"/>
              <w:spacing w:after="0"/>
              <w:rPr>
                <w:sz w:val="20"/>
                <w:szCs w:val="20"/>
                <w:color w:val="auto"/>
              </w:rPr>
            </w:pPr>
            <w:r>
              <w:rPr>
                <w:rFonts w:ascii="Arial" w:cs="Arial" w:eastAsia="Arial" w:hAnsi="Arial"/>
                <w:sz w:val="13"/>
                <w:szCs w:val="13"/>
                <w:color w:val="auto"/>
              </w:rPr>
              <w:t>1.16%</w:t>
            </w:r>
          </w:p>
        </w:tc>
        <w:tc>
          <w:tcPr>
            <w:tcW w:w="400" w:type="dxa"/>
            <w:vAlign w:val="bottom"/>
          </w:tcPr>
          <w:p>
            <w:pPr>
              <w:spacing w:after="0"/>
              <w:rPr>
                <w:sz w:val="15"/>
                <w:szCs w:val="15"/>
                <w:color w:val="auto"/>
              </w:rPr>
            </w:pPr>
          </w:p>
        </w:tc>
        <w:tc>
          <w:tcPr>
            <w:tcW w:w="900" w:type="dxa"/>
            <w:vAlign w:val="bottom"/>
            <w:gridSpan w:val="2"/>
          </w:tcPr>
          <w:p>
            <w:pPr>
              <w:jc w:val="right"/>
              <w:ind w:right="60"/>
              <w:spacing w:after="0"/>
              <w:rPr>
                <w:sz w:val="20"/>
                <w:szCs w:val="20"/>
                <w:color w:val="auto"/>
              </w:rPr>
            </w:pPr>
            <w:r>
              <w:rPr>
                <w:rFonts w:ascii="Arial" w:cs="Arial" w:eastAsia="Arial" w:hAnsi="Arial"/>
                <w:sz w:val="13"/>
                <w:szCs w:val="13"/>
                <w:color w:val="auto"/>
              </w:rPr>
              <w:t>1.32%</w:t>
            </w:r>
          </w:p>
        </w:tc>
        <w:tc>
          <w:tcPr>
            <w:tcW w:w="6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1000" w:type="dxa"/>
            <w:vAlign w:val="bottom"/>
            <w:gridSpan w:val="2"/>
          </w:tcPr>
          <w:p>
            <w:pPr>
              <w:jc w:val="right"/>
              <w:ind w:right="20"/>
              <w:spacing w:after="0"/>
              <w:rPr>
                <w:sz w:val="20"/>
                <w:szCs w:val="20"/>
                <w:color w:val="auto"/>
              </w:rPr>
            </w:pPr>
            <w:r>
              <w:rPr>
                <w:rFonts w:ascii="Arial" w:cs="Arial" w:eastAsia="Arial" w:hAnsi="Arial"/>
                <w:sz w:val="13"/>
                <w:szCs w:val="13"/>
                <w:color w:val="auto"/>
              </w:rPr>
              <w:t>1.35%</w:t>
            </w:r>
          </w:p>
        </w:tc>
      </w:tr>
      <w:tr>
        <w:trPr>
          <w:trHeight w:val="183"/>
        </w:trPr>
        <w:tc>
          <w:tcPr>
            <w:tcW w:w="4620" w:type="dxa"/>
            <w:vAlign w:val="bottom"/>
            <w:shd w:val="clear" w:color="auto" w:fill="CCEEFF"/>
          </w:tcPr>
          <w:p>
            <w:pPr>
              <w:ind w:left="120"/>
              <w:spacing w:after="0" w:line="183" w:lineRule="exact"/>
              <w:rPr>
                <w:sz w:val="20"/>
                <w:szCs w:val="20"/>
                <w:color w:val="auto"/>
              </w:rPr>
            </w:pPr>
            <w:r>
              <w:rPr>
                <w:rFonts w:ascii="Arial" w:cs="Arial" w:eastAsia="Arial" w:hAnsi="Arial"/>
                <w:sz w:val="13"/>
                <w:szCs w:val="13"/>
                <w:color w:val="auto"/>
              </w:rPr>
              <w:t xml:space="preserve">Return on average total equity </w:t>
            </w:r>
            <w:r>
              <w:rPr>
                <w:rFonts w:ascii="Arial" w:cs="Arial" w:eastAsia="Arial" w:hAnsi="Arial"/>
                <w:sz w:val="21"/>
                <w:szCs w:val="21"/>
                <w:color w:val="auto"/>
                <w:vertAlign w:val="superscript"/>
              </w:rPr>
              <w:t>(3)</w:t>
            </w:r>
          </w:p>
        </w:tc>
        <w:tc>
          <w:tcPr>
            <w:tcW w:w="80" w:type="dxa"/>
            <w:vAlign w:val="bottom"/>
            <w:shd w:val="clear" w:color="auto" w:fill="CCEEFF"/>
          </w:tcPr>
          <w:p>
            <w:pPr>
              <w:spacing w:after="0"/>
              <w:rPr>
                <w:sz w:val="15"/>
                <w:szCs w:val="15"/>
                <w:color w:val="auto"/>
              </w:rPr>
            </w:pPr>
          </w:p>
        </w:tc>
        <w:tc>
          <w:tcPr>
            <w:tcW w:w="260" w:type="dxa"/>
            <w:vAlign w:val="bottom"/>
            <w:shd w:val="clear" w:color="auto" w:fill="CCEEFF"/>
          </w:tcPr>
          <w:p>
            <w:pPr>
              <w:spacing w:after="0"/>
              <w:rPr>
                <w:sz w:val="15"/>
                <w:szCs w:val="15"/>
                <w:color w:val="auto"/>
              </w:rPr>
            </w:pPr>
          </w:p>
        </w:tc>
        <w:tc>
          <w:tcPr>
            <w:tcW w:w="11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1.08%</w:t>
            </w:r>
          </w:p>
        </w:tc>
        <w:tc>
          <w:tcPr>
            <w:tcW w:w="260" w:type="dxa"/>
            <w:vAlign w:val="bottom"/>
            <w:shd w:val="clear" w:color="auto" w:fill="CCEEFF"/>
          </w:tcPr>
          <w:p>
            <w:pPr>
              <w:spacing w:after="0"/>
              <w:rPr>
                <w:sz w:val="15"/>
                <w:szCs w:val="15"/>
                <w:color w:val="auto"/>
              </w:rPr>
            </w:pPr>
          </w:p>
        </w:tc>
        <w:tc>
          <w:tcPr>
            <w:tcW w:w="11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8.02%</w:t>
            </w:r>
          </w:p>
        </w:tc>
        <w:tc>
          <w:tcPr>
            <w:tcW w:w="240" w:type="dxa"/>
            <w:vAlign w:val="bottom"/>
            <w:shd w:val="clear" w:color="auto" w:fill="CCEEFF"/>
          </w:tcPr>
          <w:p>
            <w:pPr>
              <w:spacing w:after="0"/>
              <w:rPr>
                <w:sz w:val="15"/>
                <w:szCs w:val="15"/>
                <w:color w:val="auto"/>
              </w:rPr>
            </w:pPr>
          </w:p>
        </w:tc>
        <w:tc>
          <w:tcPr>
            <w:tcW w:w="11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8.76%</w:t>
            </w:r>
          </w:p>
        </w:tc>
        <w:tc>
          <w:tcPr>
            <w:tcW w:w="400" w:type="dxa"/>
            <w:vAlign w:val="bottom"/>
            <w:shd w:val="clear" w:color="auto" w:fill="CCEEFF"/>
          </w:tcPr>
          <w:p>
            <w:pPr>
              <w:spacing w:after="0"/>
              <w:rPr>
                <w:sz w:val="15"/>
                <w:szCs w:val="15"/>
                <w:color w:val="auto"/>
              </w:rPr>
            </w:pPr>
          </w:p>
        </w:tc>
        <w:tc>
          <w:tcPr>
            <w:tcW w:w="9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10.95%</w:t>
            </w:r>
          </w:p>
        </w:tc>
        <w:tc>
          <w:tcPr>
            <w:tcW w:w="60" w:type="dxa"/>
            <w:vAlign w:val="bottom"/>
            <w:shd w:val="clear" w:color="auto" w:fill="CCEEFF"/>
          </w:tcPr>
          <w:p>
            <w:pPr>
              <w:spacing w:after="0"/>
              <w:rPr>
                <w:sz w:val="15"/>
                <w:szCs w:val="15"/>
                <w:color w:val="auto"/>
              </w:rPr>
            </w:pPr>
          </w:p>
        </w:tc>
        <w:tc>
          <w:tcPr>
            <w:tcW w:w="260" w:type="dxa"/>
            <w:vAlign w:val="bottom"/>
            <w:shd w:val="clear" w:color="auto" w:fill="CCEEFF"/>
          </w:tcPr>
          <w:p>
            <w:pPr>
              <w:spacing w:after="0"/>
              <w:rPr>
                <w:sz w:val="15"/>
                <w:szCs w:val="15"/>
                <w:color w:val="auto"/>
              </w:rPr>
            </w:pP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11.45%</w:t>
            </w:r>
          </w:p>
        </w:tc>
      </w:tr>
      <w:tr>
        <w:trPr>
          <w:trHeight w:val="183"/>
        </w:trPr>
        <w:tc>
          <w:tcPr>
            <w:tcW w:w="4620" w:type="dxa"/>
            <w:vAlign w:val="bottom"/>
          </w:tcPr>
          <w:p>
            <w:pPr>
              <w:ind w:left="120"/>
              <w:spacing w:after="0" w:line="183" w:lineRule="exact"/>
              <w:rPr>
                <w:sz w:val="20"/>
                <w:szCs w:val="20"/>
                <w:color w:val="auto"/>
              </w:rPr>
            </w:pPr>
            <w:r>
              <w:rPr>
                <w:rFonts w:ascii="Arial" w:cs="Arial" w:eastAsia="Arial" w:hAnsi="Arial"/>
                <w:sz w:val="13"/>
                <w:szCs w:val="13"/>
                <w:color w:val="auto"/>
              </w:rPr>
              <w:t xml:space="preserve">Net interest margin </w:t>
            </w:r>
            <w:r>
              <w:rPr>
                <w:rFonts w:ascii="Arial" w:cs="Arial" w:eastAsia="Arial" w:hAnsi="Arial"/>
                <w:sz w:val="21"/>
                <w:szCs w:val="21"/>
                <w:color w:val="auto"/>
                <w:vertAlign w:val="superscript"/>
              </w:rPr>
              <w:t>(4)</w:t>
            </w:r>
          </w:p>
        </w:tc>
        <w:tc>
          <w:tcPr>
            <w:tcW w:w="8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1140" w:type="dxa"/>
            <w:vAlign w:val="bottom"/>
            <w:gridSpan w:val="2"/>
          </w:tcPr>
          <w:p>
            <w:pPr>
              <w:jc w:val="right"/>
              <w:ind w:right="140"/>
              <w:spacing w:after="0"/>
              <w:rPr>
                <w:sz w:val="20"/>
                <w:szCs w:val="20"/>
                <w:color w:val="auto"/>
              </w:rPr>
            </w:pPr>
            <w:r>
              <w:rPr>
                <w:rFonts w:ascii="Arial" w:cs="Arial" w:eastAsia="Arial" w:hAnsi="Arial"/>
                <w:sz w:val="13"/>
                <w:szCs w:val="13"/>
                <w:color w:val="auto"/>
              </w:rPr>
              <w:t>1.71%</w:t>
            </w:r>
          </w:p>
        </w:tc>
        <w:tc>
          <w:tcPr>
            <w:tcW w:w="260" w:type="dxa"/>
            <w:vAlign w:val="bottom"/>
          </w:tcPr>
          <w:p>
            <w:pPr>
              <w:spacing w:after="0"/>
              <w:rPr>
                <w:sz w:val="15"/>
                <w:szCs w:val="15"/>
                <w:color w:val="auto"/>
              </w:rPr>
            </w:pPr>
          </w:p>
        </w:tc>
        <w:tc>
          <w:tcPr>
            <w:tcW w:w="1140" w:type="dxa"/>
            <w:vAlign w:val="bottom"/>
            <w:gridSpan w:val="2"/>
          </w:tcPr>
          <w:p>
            <w:pPr>
              <w:jc w:val="right"/>
              <w:ind w:right="140"/>
              <w:spacing w:after="0"/>
              <w:rPr>
                <w:sz w:val="20"/>
                <w:szCs w:val="20"/>
                <w:color w:val="auto"/>
              </w:rPr>
            </w:pPr>
            <w:r>
              <w:rPr>
                <w:rFonts w:ascii="Arial" w:cs="Arial" w:eastAsia="Arial" w:hAnsi="Arial"/>
                <w:sz w:val="13"/>
                <w:szCs w:val="13"/>
                <w:color w:val="auto"/>
              </w:rPr>
              <w:t>1.85%</w:t>
            </w:r>
          </w:p>
        </w:tc>
        <w:tc>
          <w:tcPr>
            <w:tcW w:w="240" w:type="dxa"/>
            <w:vAlign w:val="bottom"/>
          </w:tcPr>
          <w:p>
            <w:pPr>
              <w:spacing w:after="0"/>
              <w:rPr>
                <w:sz w:val="15"/>
                <w:szCs w:val="15"/>
                <w:color w:val="auto"/>
              </w:rPr>
            </w:pPr>
          </w:p>
        </w:tc>
        <w:tc>
          <w:tcPr>
            <w:tcW w:w="1120" w:type="dxa"/>
            <w:vAlign w:val="bottom"/>
            <w:gridSpan w:val="2"/>
          </w:tcPr>
          <w:p>
            <w:pPr>
              <w:jc w:val="right"/>
              <w:ind w:right="120"/>
              <w:spacing w:after="0"/>
              <w:rPr>
                <w:sz w:val="20"/>
                <w:szCs w:val="20"/>
                <w:color w:val="auto"/>
              </w:rPr>
            </w:pPr>
            <w:r>
              <w:rPr>
                <w:rFonts w:ascii="Arial" w:cs="Arial" w:eastAsia="Arial" w:hAnsi="Arial"/>
                <w:sz w:val="13"/>
                <w:szCs w:val="13"/>
                <w:color w:val="auto"/>
              </w:rPr>
              <w:t>2.08%</w:t>
            </w:r>
          </w:p>
        </w:tc>
        <w:tc>
          <w:tcPr>
            <w:tcW w:w="400" w:type="dxa"/>
            <w:vAlign w:val="bottom"/>
          </w:tcPr>
          <w:p>
            <w:pPr>
              <w:spacing w:after="0"/>
              <w:rPr>
                <w:sz w:val="15"/>
                <w:szCs w:val="15"/>
                <w:color w:val="auto"/>
              </w:rPr>
            </w:pPr>
          </w:p>
        </w:tc>
        <w:tc>
          <w:tcPr>
            <w:tcW w:w="900" w:type="dxa"/>
            <w:vAlign w:val="bottom"/>
            <w:gridSpan w:val="2"/>
          </w:tcPr>
          <w:p>
            <w:pPr>
              <w:jc w:val="right"/>
              <w:ind w:right="60"/>
              <w:spacing w:after="0"/>
              <w:rPr>
                <w:sz w:val="20"/>
                <w:szCs w:val="20"/>
                <w:color w:val="auto"/>
              </w:rPr>
            </w:pPr>
            <w:r>
              <w:rPr>
                <w:rFonts w:ascii="Arial" w:cs="Arial" w:eastAsia="Arial" w:hAnsi="Arial"/>
                <w:sz w:val="13"/>
                <w:szCs w:val="13"/>
                <w:color w:val="auto"/>
              </w:rPr>
              <w:t>1.84%</w:t>
            </w:r>
          </w:p>
        </w:tc>
        <w:tc>
          <w:tcPr>
            <w:tcW w:w="6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1000" w:type="dxa"/>
            <w:vAlign w:val="bottom"/>
            <w:gridSpan w:val="2"/>
          </w:tcPr>
          <w:p>
            <w:pPr>
              <w:jc w:val="right"/>
              <w:ind w:right="20"/>
              <w:spacing w:after="0"/>
              <w:rPr>
                <w:sz w:val="20"/>
                <w:szCs w:val="20"/>
                <w:color w:val="auto"/>
              </w:rPr>
            </w:pPr>
            <w:r>
              <w:rPr>
                <w:rFonts w:ascii="Arial" w:cs="Arial" w:eastAsia="Arial" w:hAnsi="Arial"/>
                <w:sz w:val="13"/>
                <w:szCs w:val="13"/>
                <w:color w:val="auto"/>
              </w:rPr>
              <w:t>1.88%</w:t>
            </w:r>
          </w:p>
        </w:tc>
      </w:tr>
      <w:tr>
        <w:trPr>
          <w:trHeight w:val="183"/>
        </w:trPr>
        <w:tc>
          <w:tcPr>
            <w:tcW w:w="4620" w:type="dxa"/>
            <w:vAlign w:val="bottom"/>
            <w:shd w:val="clear" w:color="auto" w:fill="CCEEFF"/>
          </w:tcPr>
          <w:p>
            <w:pPr>
              <w:ind w:left="120"/>
              <w:spacing w:after="0" w:line="183" w:lineRule="exact"/>
              <w:rPr>
                <w:sz w:val="20"/>
                <w:szCs w:val="20"/>
                <w:color w:val="auto"/>
              </w:rPr>
            </w:pPr>
            <w:r>
              <w:rPr>
                <w:rFonts w:ascii="Arial" w:cs="Arial" w:eastAsia="Arial" w:hAnsi="Arial"/>
                <w:sz w:val="13"/>
                <w:szCs w:val="13"/>
                <w:color w:val="auto"/>
              </w:rPr>
              <w:t xml:space="preserve">Net interest spread </w:t>
            </w:r>
            <w:r>
              <w:rPr>
                <w:rFonts w:ascii="Arial" w:cs="Arial" w:eastAsia="Arial" w:hAnsi="Arial"/>
                <w:sz w:val="21"/>
                <w:szCs w:val="21"/>
                <w:color w:val="auto"/>
                <w:vertAlign w:val="superscript"/>
              </w:rPr>
              <w:t>(4)</w:t>
            </w:r>
          </w:p>
        </w:tc>
        <w:tc>
          <w:tcPr>
            <w:tcW w:w="80" w:type="dxa"/>
            <w:vAlign w:val="bottom"/>
            <w:shd w:val="clear" w:color="auto" w:fill="CCEEFF"/>
          </w:tcPr>
          <w:p>
            <w:pPr>
              <w:spacing w:after="0"/>
              <w:rPr>
                <w:sz w:val="15"/>
                <w:szCs w:val="15"/>
                <w:color w:val="auto"/>
              </w:rPr>
            </w:pPr>
          </w:p>
        </w:tc>
        <w:tc>
          <w:tcPr>
            <w:tcW w:w="260" w:type="dxa"/>
            <w:vAlign w:val="bottom"/>
            <w:shd w:val="clear" w:color="auto" w:fill="CCEEFF"/>
          </w:tcPr>
          <w:p>
            <w:pPr>
              <w:spacing w:after="0"/>
              <w:rPr>
                <w:sz w:val="15"/>
                <w:szCs w:val="15"/>
                <w:color w:val="auto"/>
              </w:rPr>
            </w:pPr>
          </w:p>
        </w:tc>
        <w:tc>
          <w:tcPr>
            <w:tcW w:w="11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1.21%</w:t>
            </w:r>
          </w:p>
        </w:tc>
        <w:tc>
          <w:tcPr>
            <w:tcW w:w="260" w:type="dxa"/>
            <w:vAlign w:val="bottom"/>
            <w:shd w:val="clear" w:color="auto" w:fill="CCEEFF"/>
          </w:tcPr>
          <w:p>
            <w:pPr>
              <w:spacing w:after="0"/>
              <w:rPr>
                <w:sz w:val="15"/>
                <w:szCs w:val="15"/>
                <w:color w:val="auto"/>
              </w:rPr>
            </w:pPr>
          </w:p>
        </w:tc>
        <w:tc>
          <w:tcPr>
            <w:tcW w:w="11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1.48%</w:t>
            </w:r>
          </w:p>
        </w:tc>
        <w:tc>
          <w:tcPr>
            <w:tcW w:w="240" w:type="dxa"/>
            <w:vAlign w:val="bottom"/>
            <w:shd w:val="clear" w:color="auto" w:fill="CCEEFF"/>
          </w:tcPr>
          <w:p>
            <w:pPr>
              <w:spacing w:after="0"/>
              <w:rPr>
                <w:sz w:val="15"/>
                <w:szCs w:val="15"/>
                <w:color w:val="auto"/>
              </w:rPr>
            </w:pPr>
          </w:p>
        </w:tc>
        <w:tc>
          <w:tcPr>
            <w:tcW w:w="11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1.84%</w:t>
            </w:r>
          </w:p>
        </w:tc>
        <w:tc>
          <w:tcPr>
            <w:tcW w:w="400" w:type="dxa"/>
            <w:vAlign w:val="bottom"/>
            <w:shd w:val="clear" w:color="auto" w:fill="CCEEFF"/>
          </w:tcPr>
          <w:p>
            <w:pPr>
              <w:spacing w:after="0"/>
              <w:rPr>
                <w:sz w:val="15"/>
                <w:szCs w:val="15"/>
                <w:color w:val="auto"/>
              </w:rPr>
            </w:pPr>
          </w:p>
        </w:tc>
        <w:tc>
          <w:tcPr>
            <w:tcW w:w="9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1.68%</w:t>
            </w:r>
          </w:p>
        </w:tc>
        <w:tc>
          <w:tcPr>
            <w:tcW w:w="60" w:type="dxa"/>
            <w:vAlign w:val="bottom"/>
            <w:shd w:val="clear" w:color="auto" w:fill="CCEEFF"/>
          </w:tcPr>
          <w:p>
            <w:pPr>
              <w:spacing w:after="0"/>
              <w:rPr>
                <w:sz w:val="15"/>
                <w:szCs w:val="15"/>
                <w:color w:val="auto"/>
              </w:rPr>
            </w:pPr>
          </w:p>
        </w:tc>
        <w:tc>
          <w:tcPr>
            <w:tcW w:w="260" w:type="dxa"/>
            <w:vAlign w:val="bottom"/>
            <w:shd w:val="clear" w:color="auto" w:fill="CCEEFF"/>
          </w:tcPr>
          <w:p>
            <w:pPr>
              <w:spacing w:after="0"/>
              <w:rPr>
                <w:sz w:val="15"/>
                <w:szCs w:val="15"/>
                <w:color w:val="auto"/>
              </w:rPr>
            </w:pP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1.72%</w:t>
            </w:r>
          </w:p>
        </w:tc>
      </w:tr>
      <w:tr>
        <w:trPr>
          <w:trHeight w:val="183"/>
        </w:trPr>
        <w:tc>
          <w:tcPr>
            <w:tcW w:w="4620" w:type="dxa"/>
            <w:vAlign w:val="bottom"/>
          </w:tcPr>
          <w:p>
            <w:pPr>
              <w:ind w:left="120"/>
              <w:spacing w:after="0" w:line="183" w:lineRule="exact"/>
              <w:rPr>
                <w:sz w:val="20"/>
                <w:szCs w:val="20"/>
                <w:color w:val="auto"/>
              </w:rPr>
            </w:pPr>
            <w:r>
              <w:rPr>
                <w:rFonts w:ascii="Arial" w:cs="Arial" w:eastAsia="Arial" w:hAnsi="Arial"/>
                <w:sz w:val="13"/>
                <w:szCs w:val="13"/>
                <w:color w:val="auto"/>
              </w:rPr>
              <w:t xml:space="preserve">Efficiency Ratio </w:t>
            </w:r>
            <w:r>
              <w:rPr>
                <w:rFonts w:ascii="Arial" w:cs="Arial" w:eastAsia="Arial" w:hAnsi="Arial"/>
                <w:sz w:val="21"/>
                <w:szCs w:val="21"/>
                <w:color w:val="auto"/>
                <w:vertAlign w:val="superscript"/>
              </w:rPr>
              <w:t>(5)</w:t>
            </w:r>
          </w:p>
        </w:tc>
        <w:tc>
          <w:tcPr>
            <w:tcW w:w="8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1140" w:type="dxa"/>
            <w:vAlign w:val="bottom"/>
            <w:gridSpan w:val="2"/>
          </w:tcPr>
          <w:p>
            <w:pPr>
              <w:jc w:val="right"/>
              <w:ind w:right="140"/>
              <w:spacing w:after="0"/>
              <w:rPr>
                <w:sz w:val="20"/>
                <w:szCs w:val="20"/>
                <w:color w:val="auto"/>
              </w:rPr>
            </w:pPr>
            <w:r>
              <w:rPr>
                <w:rFonts w:ascii="Arial" w:cs="Arial" w:eastAsia="Arial" w:hAnsi="Arial"/>
                <w:sz w:val="13"/>
                <w:szCs w:val="13"/>
                <w:color w:val="auto"/>
              </w:rPr>
              <w:t>38.3%</w:t>
            </w:r>
          </w:p>
        </w:tc>
        <w:tc>
          <w:tcPr>
            <w:tcW w:w="260" w:type="dxa"/>
            <w:vAlign w:val="bottom"/>
          </w:tcPr>
          <w:p>
            <w:pPr>
              <w:spacing w:after="0"/>
              <w:rPr>
                <w:sz w:val="15"/>
                <w:szCs w:val="15"/>
                <w:color w:val="auto"/>
              </w:rPr>
            </w:pPr>
          </w:p>
        </w:tc>
        <w:tc>
          <w:tcPr>
            <w:tcW w:w="1140" w:type="dxa"/>
            <w:vAlign w:val="bottom"/>
            <w:gridSpan w:val="2"/>
          </w:tcPr>
          <w:p>
            <w:pPr>
              <w:jc w:val="right"/>
              <w:ind w:right="140"/>
              <w:spacing w:after="0"/>
              <w:rPr>
                <w:sz w:val="20"/>
                <w:szCs w:val="20"/>
                <w:color w:val="auto"/>
              </w:rPr>
            </w:pPr>
            <w:r>
              <w:rPr>
                <w:rFonts w:ascii="Arial" w:cs="Arial" w:eastAsia="Arial" w:hAnsi="Arial"/>
                <w:sz w:val="13"/>
                <w:szCs w:val="13"/>
                <w:color w:val="auto"/>
              </w:rPr>
              <w:t>33.9%</w:t>
            </w:r>
          </w:p>
        </w:tc>
        <w:tc>
          <w:tcPr>
            <w:tcW w:w="240" w:type="dxa"/>
            <w:vAlign w:val="bottom"/>
          </w:tcPr>
          <w:p>
            <w:pPr>
              <w:spacing w:after="0"/>
              <w:rPr>
                <w:sz w:val="15"/>
                <w:szCs w:val="15"/>
                <w:color w:val="auto"/>
              </w:rPr>
            </w:pPr>
          </w:p>
        </w:tc>
        <w:tc>
          <w:tcPr>
            <w:tcW w:w="1120" w:type="dxa"/>
            <w:vAlign w:val="bottom"/>
            <w:gridSpan w:val="2"/>
          </w:tcPr>
          <w:p>
            <w:pPr>
              <w:jc w:val="right"/>
              <w:ind w:right="120"/>
              <w:spacing w:after="0"/>
              <w:rPr>
                <w:sz w:val="20"/>
                <w:szCs w:val="20"/>
                <w:color w:val="auto"/>
              </w:rPr>
            </w:pPr>
            <w:r>
              <w:rPr>
                <w:rFonts w:ascii="Arial" w:cs="Arial" w:eastAsia="Arial" w:hAnsi="Arial"/>
                <w:sz w:val="13"/>
                <w:szCs w:val="13"/>
                <w:color w:val="auto"/>
              </w:rPr>
              <w:t>27.3%</w:t>
            </w:r>
          </w:p>
        </w:tc>
        <w:tc>
          <w:tcPr>
            <w:tcW w:w="400" w:type="dxa"/>
            <w:vAlign w:val="bottom"/>
          </w:tcPr>
          <w:p>
            <w:pPr>
              <w:spacing w:after="0"/>
              <w:rPr>
                <w:sz w:val="15"/>
                <w:szCs w:val="15"/>
                <w:color w:val="auto"/>
              </w:rPr>
            </w:pPr>
          </w:p>
        </w:tc>
        <w:tc>
          <w:tcPr>
            <w:tcW w:w="900" w:type="dxa"/>
            <w:vAlign w:val="bottom"/>
            <w:gridSpan w:val="2"/>
          </w:tcPr>
          <w:p>
            <w:pPr>
              <w:jc w:val="right"/>
              <w:ind w:right="60"/>
              <w:spacing w:after="0"/>
              <w:rPr>
                <w:sz w:val="20"/>
                <w:szCs w:val="20"/>
                <w:color w:val="auto"/>
              </w:rPr>
            </w:pPr>
            <w:r>
              <w:rPr>
                <w:rFonts w:ascii="Arial" w:cs="Arial" w:eastAsia="Arial" w:hAnsi="Arial"/>
                <w:sz w:val="13"/>
                <w:szCs w:val="13"/>
                <w:color w:val="auto"/>
              </w:rPr>
              <w:t>29.8%</w:t>
            </w:r>
          </w:p>
        </w:tc>
        <w:tc>
          <w:tcPr>
            <w:tcW w:w="6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1000" w:type="dxa"/>
            <w:vAlign w:val="bottom"/>
            <w:gridSpan w:val="2"/>
          </w:tcPr>
          <w:p>
            <w:pPr>
              <w:jc w:val="right"/>
              <w:ind w:right="20"/>
              <w:spacing w:after="0"/>
              <w:rPr>
                <w:sz w:val="20"/>
                <w:szCs w:val="20"/>
                <w:color w:val="auto"/>
              </w:rPr>
            </w:pPr>
            <w:r>
              <w:rPr>
                <w:rFonts w:ascii="Arial" w:cs="Arial" w:eastAsia="Arial" w:hAnsi="Arial"/>
                <w:sz w:val="13"/>
                <w:szCs w:val="13"/>
                <w:color w:val="auto"/>
              </w:rPr>
              <w:t>32.0%</w:t>
            </w:r>
          </w:p>
        </w:tc>
      </w:tr>
      <w:tr>
        <w:trPr>
          <w:trHeight w:val="154"/>
        </w:trPr>
        <w:tc>
          <w:tcPr>
            <w:tcW w:w="46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Total operating expenses to average total assets</w:t>
            </w:r>
          </w:p>
        </w:tc>
        <w:tc>
          <w:tcPr>
            <w:tcW w:w="8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0.76%</w:t>
            </w:r>
          </w:p>
        </w:tc>
        <w:tc>
          <w:tcPr>
            <w:tcW w:w="26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0.72%</w:t>
            </w:r>
          </w:p>
        </w:tc>
        <w:tc>
          <w:tcPr>
            <w:tcW w:w="240" w:type="dxa"/>
            <w:vAlign w:val="bottom"/>
            <w:shd w:val="clear" w:color="auto" w:fill="CCEEFF"/>
          </w:tcPr>
          <w:p>
            <w:pPr>
              <w:spacing w:after="0"/>
              <w:rPr>
                <w:sz w:val="13"/>
                <w:szCs w:val="13"/>
                <w:color w:val="auto"/>
              </w:rPr>
            </w:pPr>
          </w:p>
        </w:tc>
        <w:tc>
          <w:tcPr>
            <w:tcW w:w="11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0.61%</w:t>
            </w:r>
          </w:p>
        </w:tc>
        <w:tc>
          <w:tcPr>
            <w:tcW w:w="400" w:type="dxa"/>
            <w:vAlign w:val="bottom"/>
            <w:shd w:val="clear" w:color="auto" w:fill="CCEEFF"/>
          </w:tcPr>
          <w:p>
            <w:pPr>
              <w:spacing w:after="0"/>
              <w:rPr>
                <w:sz w:val="13"/>
                <w:szCs w:val="13"/>
                <w:color w:val="auto"/>
              </w:rPr>
            </w:pPr>
          </w:p>
        </w:tc>
        <w:tc>
          <w:tcPr>
            <w:tcW w:w="9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0.66%</w:t>
            </w:r>
          </w:p>
        </w:tc>
        <w:tc>
          <w:tcPr>
            <w:tcW w:w="6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0.71%</w:t>
            </w:r>
          </w:p>
        </w:tc>
      </w:tr>
      <w:tr>
        <w:trPr>
          <w:trHeight w:val="183"/>
        </w:trPr>
        <w:tc>
          <w:tcPr>
            <w:tcW w:w="4620" w:type="dxa"/>
            <w:vAlign w:val="bottom"/>
          </w:tcPr>
          <w:p>
            <w:pPr>
              <w:ind w:left="120"/>
              <w:spacing w:after="0" w:line="183" w:lineRule="exact"/>
              <w:rPr>
                <w:sz w:val="20"/>
                <w:szCs w:val="20"/>
                <w:color w:val="auto"/>
              </w:rPr>
            </w:pPr>
            <w:r>
              <w:rPr>
                <w:rFonts w:ascii="Arial" w:cs="Arial" w:eastAsia="Arial" w:hAnsi="Arial"/>
                <w:sz w:val="13"/>
                <w:szCs w:val="13"/>
                <w:color w:val="auto"/>
              </w:rPr>
              <w:t xml:space="preserve">Regular cash dividend payout ratio </w:t>
            </w:r>
            <w:r>
              <w:rPr>
                <w:rFonts w:ascii="Arial" w:cs="Arial" w:eastAsia="Arial" w:hAnsi="Arial"/>
                <w:sz w:val="21"/>
                <w:szCs w:val="21"/>
                <w:color w:val="auto"/>
                <w:vertAlign w:val="superscript"/>
              </w:rPr>
              <w:t>(6)</w:t>
            </w:r>
          </w:p>
        </w:tc>
        <w:tc>
          <w:tcPr>
            <w:tcW w:w="8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1140" w:type="dxa"/>
            <w:vAlign w:val="bottom"/>
            <w:gridSpan w:val="2"/>
          </w:tcPr>
          <w:p>
            <w:pPr>
              <w:jc w:val="right"/>
              <w:ind w:right="140"/>
              <w:spacing w:after="0"/>
              <w:rPr>
                <w:sz w:val="20"/>
                <w:szCs w:val="20"/>
                <w:color w:val="auto"/>
              </w:rPr>
            </w:pPr>
            <w:r>
              <w:rPr>
                <w:rFonts w:ascii="Arial" w:cs="Arial" w:eastAsia="Arial" w:hAnsi="Arial"/>
                <w:sz w:val="13"/>
                <w:szCs w:val="13"/>
                <w:color w:val="auto"/>
              </w:rPr>
              <w:t>546.7%</w:t>
            </w:r>
          </w:p>
        </w:tc>
        <w:tc>
          <w:tcPr>
            <w:tcW w:w="260" w:type="dxa"/>
            <w:vAlign w:val="bottom"/>
          </w:tcPr>
          <w:p>
            <w:pPr>
              <w:spacing w:after="0"/>
              <w:rPr>
                <w:sz w:val="15"/>
                <w:szCs w:val="15"/>
                <w:color w:val="auto"/>
              </w:rPr>
            </w:pPr>
          </w:p>
        </w:tc>
        <w:tc>
          <w:tcPr>
            <w:tcW w:w="1140" w:type="dxa"/>
            <w:vAlign w:val="bottom"/>
            <w:gridSpan w:val="2"/>
          </w:tcPr>
          <w:p>
            <w:pPr>
              <w:jc w:val="right"/>
              <w:ind w:right="140"/>
              <w:spacing w:after="0"/>
              <w:rPr>
                <w:sz w:val="20"/>
                <w:szCs w:val="20"/>
                <w:color w:val="auto"/>
              </w:rPr>
            </w:pPr>
            <w:r>
              <w:rPr>
                <w:rFonts w:ascii="Arial" w:cs="Arial" w:eastAsia="Arial" w:hAnsi="Arial"/>
                <w:sz w:val="13"/>
                <w:szCs w:val="13"/>
                <w:color w:val="auto"/>
              </w:rPr>
              <w:t>73.8%</w:t>
            </w:r>
          </w:p>
        </w:tc>
        <w:tc>
          <w:tcPr>
            <w:tcW w:w="240" w:type="dxa"/>
            <w:vAlign w:val="bottom"/>
          </w:tcPr>
          <w:p>
            <w:pPr>
              <w:spacing w:after="0"/>
              <w:rPr>
                <w:sz w:val="15"/>
                <w:szCs w:val="15"/>
                <w:color w:val="auto"/>
              </w:rPr>
            </w:pPr>
          </w:p>
        </w:tc>
        <w:tc>
          <w:tcPr>
            <w:tcW w:w="1120" w:type="dxa"/>
            <w:vAlign w:val="bottom"/>
            <w:gridSpan w:val="2"/>
          </w:tcPr>
          <w:p>
            <w:pPr>
              <w:jc w:val="right"/>
              <w:ind w:right="120"/>
              <w:spacing w:after="0"/>
              <w:rPr>
                <w:sz w:val="20"/>
                <w:szCs w:val="20"/>
                <w:color w:val="auto"/>
              </w:rPr>
            </w:pPr>
            <w:r>
              <w:rPr>
                <w:rFonts w:ascii="Arial" w:cs="Arial" w:eastAsia="Arial" w:hAnsi="Arial"/>
                <w:sz w:val="13"/>
                <w:szCs w:val="13"/>
                <w:color w:val="auto"/>
              </w:rPr>
              <w:t>69.1%</w:t>
            </w:r>
          </w:p>
        </w:tc>
        <w:tc>
          <w:tcPr>
            <w:tcW w:w="400" w:type="dxa"/>
            <w:vAlign w:val="bottom"/>
          </w:tcPr>
          <w:p>
            <w:pPr>
              <w:spacing w:after="0"/>
              <w:rPr>
                <w:sz w:val="15"/>
                <w:szCs w:val="15"/>
                <w:color w:val="auto"/>
              </w:rPr>
            </w:pPr>
          </w:p>
        </w:tc>
        <w:tc>
          <w:tcPr>
            <w:tcW w:w="900" w:type="dxa"/>
            <w:vAlign w:val="bottom"/>
            <w:gridSpan w:val="2"/>
          </w:tcPr>
          <w:p>
            <w:pPr>
              <w:jc w:val="right"/>
              <w:ind w:right="60"/>
              <w:spacing w:after="0"/>
              <w:rPr>
                <w:sz w:val="20"/>
                <w:szCs w:val="20"/>
                <w:color w:val="auto"/>
              </w:rPr>
            </w:pPr>
            <w:r>
              <w:rPr>
                <w:rFonts w:ascii="Arial" w:cs="Arial" w:eastAsia="Arial" w:hAnsi="Arial"/>
                <w:sz w:val="13"/>
                <w:szCs w:val="13"/>
                <w:color w:val="auto"/>
              </w:rPr>
              <w:t>57.6%</w:t>
            </w:r>
          </w:p>
        </w:tc>
        <w:tc>
          <w:tcPr>
            <w:tcW w:w="6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1000" w:type="dxa"/>
            <w:vAlign w:val="bottom"/>
            <w:gridSpan w:val="2"/>
          </w:tcPr>
          <w:p>
            <w:pPr>
              <w:jc w:val="right"/>
              <w:ind w:right="20"/>
              <w:spacing w:after="0"/>
              <w:rPr>
                <w:sz w:val="20"/>
                <w:szCs w:val="20"/>
                <w:color w:val="auto"/>
              </w:rPr>
            </w:pPr>
            <w:r>
              <w:rPr>
                <w:rFonts w:ascii="Arial" w:cs="Arial" w:eastAsia="Arial" w:hAnsi="Arial"/>
                <w:sz w:val="13"/>
                <w:szCs w:val="13"/>
                <w:color w:val="auto"/>
              </w:rPr>
              <w:t>52.9%</w:t>
            </w:r>
          </w:p>
        </w:tc>
      </w:tr>
      <w:tr>
        <w:trPr>
          <w:trHeight w:val="154"/>
        </w:trPr>
        <w:tc>
          <w:tcPr>
            <w:tcW w:w="4620" w:type="dxa"/>
            <w:vAlign w:val="bottom"/>
            <w:shd w:val="clear" w:color="auto" w:fill="CCEEFF"/>
          </w:tcPr>
          <w:p>
            <w:pPr>
              <w:spacing w:after="0"/>
              <w:rPr>
                <w:sz w:val="20"/>
                <w:szCs w:val="20"/>
                <w:color w:val="auto"/>
              </w:rPr>
            </w:pPr>
            <w:r>
              <w:rPr>
                <w:rFonts w:ascii="Arial" w:cs="Arial" w:eastAsia="Arial" w:hAnsi="Arial"/>
                <w:sz w:val="13"/>
                <w:szCs w:val="13"/>
                <w:i w:val="1"/>
                <w:iCs w:val="1"/>
                <w:color w:val="auto"/>
              </w:rPr>
              <w:t>Liquidity Ratios:</w:t>
            </w:r>
          </w:p>
        </w:tc>
        <w:tc>
          <w:tcPr>
            <w:tcW w:w="8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9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9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9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400" w:type="dxa"/>
            <w:vAlign w:val="bottom"/>
            <w:shd w:val="clear" w:color="auto" w:fill="CCEEFF"/>
          </w:tcPr>
          <w:p>
            <w:pPr>
              <w:spacing w:after="0"/>
              <w:rPr>
                <w:sz w:val="13"/>
                <w:szCs w:val="13"/>
                <w:color w:val="auto"/>
              </w:rPr>
            </w:pPr>
          </w:p>
        </w:tc>
        <w:tc>
          <w:tcPr>
            <w:tcW w:w="74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8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r>
      <w:tr>
        <w:trPr>
          <w:trHeight w:val="183"/>
        </w:trPr>
        <w:tc>
          <w:tcPr>
            <w:tcW w:w="4620" w:type="dxa"/>
            <w:vAlign w:val="bottom"/>
          </w:tcPr>
          <w:p>
            <w:pPr>
              <w:ind w:left="160"/>
              <w:spacing w:after="0" w:line="183" w:lineRule="exact"/>
              <w:rPr>
                <w:sz w:val="20"/>
                <w:szCs w:val="20"/>
                <w:color w:val="auto"/>
              </w:rPr>
            </w:pPr>
            <w:r>
              <w:rPr>
                <w:rFonts w:ascii="Arial" w:cs="Arial" w:eastAsia="Arial" w:hAnsi="Arial"/>
                <w:sz w:val="13"/>
                <w:szCs w:val="13"/>
                <w:color w:val="auto"/>
              </w:rPr>
              <w:t xml:space="preserve">Liquid assets </w:t>
            </w:r>
            <w:r>
              <w:rPr>
                <w:rFonts w:ascii="Arial" w:cs="Arial" w:eastAsia="Arial" w:hAnsi="Arial"/>
                <w:sz w:val="21"/>
                <w:szCs w:val="21"/>
                <w:color w:val="auto"/>
                <w:vertAlign w:val="superscript"/>
              </w:rPr>
              <w:t>(7)</w:t>
            </w:r>
            <w:r>
              <w:rPr>
                <w:rFonts w:ascii="Arial" w:cs="Arial" w:eastAsia="Arial" w:hAnsi="Arial"/>
                <w:sz w:val="13"/>
                <w:szCs w:val="13"/>
                <w:color w:val="auto"/>
              </w:rPr>
              <w:t xml:space="preserve"> / total assets</w:t>
            </w:r>
          </w:p>
        </w:tc>
        <w:tc>
          <w:tcPr>
            <w:tcW w:w="8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1140" w:type="dxa"/>
            <w:vAlign w:val="bottom"/>
            <w:gridSpan w:val="2"/>
          </w:tcPr>
          <w:p>
            <w:pPr>
              <w:jc w:val="right"/>
              <w:ind w:right="140"/>
              <w:spacing w:after="0"/>
              <w:rPr>
                <w:sz w:val="20"/>
                <w:szCs w:val="20"/>
                <w:color w:val="auto"/>
              </w:rPr>
            </w:pPr>
            <w:r>
              <w:rPr>
                <w:rFonts w:ascii="Arial" w:cs="Arial" w:eastAsia="Arial" w:hAnsi="Arial"/>
                <w:sz w:val="13"/>
                <w:szCs w:val="13"/>
                <w:color w:val="auto"/>
              </w:rPr>
              <w:t>22.42%</w:t>
            </w:r>
          </w:p>
        </w:tc>
        <w:tc>
          <w:tcPr>
            <w:tcW w:w="260" w:type="dxa"/>
            <w:vAlign w:val="bottom"/>
          </w:tcPr>
          <w:p>
            <w:pPr>
              <w:spacing w:after="0"/>
              <w:rPr>
                <w:sz w:val="15"/>
                <w:szCs w:val="15"/>
                <w:color w:val="auto"/>
              </w:rPr>
            </w:pPr>
          </w:p>
        </w:tc>
        <w:tc>
          <w:tcPr>
            <w:tcW w:w="1140" w:type="dxa"/>
            <w:vAlign w:val="bottom"/>
            <w:gridSpan w:val="2"/>
          </w:tcPr>
          <w:p>
            <w:pPr>
              <w:jc w:val="right"/>
              <w:ind w:right="140"/>
              <w:spacing w:after="0"/>
              <w:rPr>
                <w:sz w:val="20"/>
                <w:szCs w:val="20"/>
                <w:color w:val="auto"/>
              </w:rPr>
            </w:pPr>
            <w:r>
              <w:rPr>
                <w:rFonts w:ascii="Arial" w:cs="Arial" w:eastAsia="Arial" w:hAnsi="Arial"/>
                <w:sz w:val="13"/>
                <w:szCs w:val="13"/>
                <w:color w:val="auto"/>
              </w:rPr>
              <w:t>9.87%</w:t>
            </w:r>
          </w:p>
        </w:tc>
        <w:tc>
          <w:tcPr>
            <w:tcW w:w="240" w:type="dxa"/>
            <w:vAlign w:val="bottom"/>
          </w:tcPr>
          <w:p>
            <w:pPr>
              <w:spacing w:after="0"/>
              <w:rPr>
                <w:sz w:val="15"/>
                <w:szCs w:val="15"/>
                <w:color w:val="auto"/>
              </w:rPr>
            </w:pPr>
          </w:p>
        </w:tc>
        <w:tc>
          <w:tcPr>
            <w:tcW w:w="1120" w:type="dxa"/>
            <w:vAlign w:val="bottom"/>
            <w:gridSpan w:val="2"/>
          </w:tcPr>
          <w:p>
            <w:pPr>
              <w:jc w:val="right"/>
              <w:ind w:right="120"/>
              <w:spacing w:after="0"/>
              <w:rPr>
                <w:sz w:val="20"/>
                <w:szCs w:val="20"/>
                <w:color w:val="auto"/>
              </w:rPr>
            </w:pPr>
            <w:r>
              <w:rPr>
                <w:rFonts w:ascii="Arial" w:cs="Arial" w:eastAsia="Arial" w:hAnsi="Arial"/>
                <w:sz w:val="13"/>
                <w:szCs w:val="13"/>
                <w:color w:val="auto"/>
              </w:rPr>
              <w:t>14.03%</w:t>
            </w:r>
          </w:p>
        </w:tc>
        <w:tc>
          <w:tcPr>
            <w:tcW w:w="400" w:type="dxa"/>
            <w:vAlign w:val="bottom"/>
          </w:tcPr>
          <w:p>
            <w:pPr>
              <w:spacing w:after="0"/>
              <w:rPr>
                <w:sz w:val="15"/>
                <w:szCs w:val="15"/>
                <w:color w:val="auto"/>
              </w:rPr>
            </w:pPr>
          </w:p>
        </w:tc>
        <w:tc>
          <w:tcPr>
            <w:tcW w:w="900" w:type="dxa"/>
            <w:vAlign w:val="bottom"/>
            <w:gridSpan w:val="2"/>
          </w:tcPr>
          <w:p>
            <w:pPr>
              <w:jc w:val="right"/>
              <w:ind w:right="60"/>
              <w:spacing w:after="0"/>
              <w:rPr>
                <w:sz w:val="20"/>
                <w:szCs w:val="20"/>
                <w:color w:val="auto"/>
              </w:rPr>
            </w:pPr>
            <w:r>
              <w:rPr>
                <w:rFonts w:ascii="Arial" w:cs="Arial" w:eastAsia="Arial" w:hAnsi="Arial"/>
                <w:sz w:val="13"/>
                <w:szCs w:val="13"/>
                <w:color w:val="auto"/>
              </w:rPr>
              <w:t>15.29%</w:t>
            </w:r>
          </w:p>
        </w:tc>
        <w:tc>
          <w:tcPr>
            <w:tcW w:w="6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1000" w:type="dxa"/>
            <w:vAlign w:val="bottom"/>
            <w:gridSpan w:val="2"/>
          </w:tcPr>
          <w:p>
            <w:pPr>
              <w:jc w:val="right"/>
              <w:ind w:right="20"/>
              <w:spacing w:after="0"/>
              <w:rPr>
                <w:sz w:val="20"/>
                <w:szCs w:val="20"/>
                <w:color w:val="auto"/>
              </w:rPr>
            </w:pPr>
            <w:r>
              <w:rPr>
                <w:rFonts w:ascii="Arial" w:cs="Arial" w:eastAsia="Arial" w:hAnsi="Arial"/>
                <w:sz w:val="13"/>
                <w:szCs w:val="13"/>
                <w:color w:val="auto"/>
              </w:rPr>
              <w:t>9.24%</w:t>
            </w:r>
          </w:p>
        </w:tc>
      </w:tr>
      <w:tr>
        <w:trPr>
          <w:trHeight w:val="183"/>
        </w:trPr>
        <w:tc>
          <w:tcPr>
            <w:tcW w:w="4620" w:type="dxa"/>
            <w:vAlign w:val="bottom"/>
            <w:shd w:val="clear" w:color="auto" w:fill="CCEEFF"/>
          </w:tcPr>
          <w:p>
            <w:pPr>
              <w:ind w:left="160"/>
              <w:spacing w:after="0" w:line="183" w:lineRule="exact"/>
              <w:rPr>
                <w:sz w:val="20"/>
                <w:szCs w:val="20"/>
                <w:color w:val="auto"/>
              </w:rPr>
            </w:pPr>
            <w:r>
              <w:rPr>
                <w:rFonts w:ascii="Arial" w:cs="Arial" w:eastAsia="Arial" w:hAnsi="Arial"/>
                <w:sz w:val="13"/>
                <w:szCs w:val="13"/>
                <w:color w:val="auto"/>
              </w:rPr>
              <w:t xml:space="preserve">Liquid assets </w:t>
            </w:r>
            <w:r>
              <w:rPr>
                <w:rFonts w:ascii="Arial" w:cs="Arial" w:eastAsia="Arial" w:hAnsi="Arial"/>
                <w:sz w:val="21"/>
                <w:szCs w:val="21"/>
                <w:color w:val="auto"/>
                <w:vertAlign w:val="superscript"/>
              </w:rPr>
              <w:t>(7)</w:t>
            </w:r>
            <w:r>
              <w:rPr>
                <w:rFonts w:ascii="Arial" w:cs="Arial" w:eastAsia="Arial" w:hAnsi="Arial"/>
                <w:sz w:val="13"/>
                <w:szCs w:val="13"/>
                <w:color w:val="auto"/>
              </w:rPr>
              <w:t xml:space="preserve"> / total deposits</w:t>
            </w:r>
          </w:p>
        </w:tc>
        <w:tc>
          <w:tcPr>
            <w:tcW w:w="80" w:type="dxa"/>
            <w:vAlign w:val="bottom"/>
            <w:shd w:val="clear" w:color="auto" w:fill="CCEEFF"/>
          </w:tcPr>
          <w:p>
            <w:pPr>
              <w:spacing w:after="0"/>
              <w:rPr>
                <w:sz w:val="15"/>
                <w:szCs w:val="15"/>
                <w:color w:val="auto"/>
              </w:rPr>
            </w:pPr>
          </w:p>
        </w:tc>
        <w:tc>
          <w:tcPr>
            <w:tcW w:w="260" w:type="dxa"/>
            <w:vAlign w:val="bottom"/>
            <w:shd w:val="clear" w:color="auto" w:fill="CCEEFF"/>
          </w:tcPr>
          <w:p>
            <w:pPr>
              <w:spacing w:after="0"/>
              <w:rPr>
                <w:sz w:val="15"/>
                <w:szCs w:val="15"/>
                <w:color w:val="auto"/>
              </w:rPr>
            </w:pPr>
          </w:p>
        </w:tc>
        <w:tc>
          <w:tcPr>
            <w:tcW w:w="11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57.43%</w:t>
            </w:r>
          </w:p>
        </w:tc>
        <w:tc>
          <w:tcPr>
            <w:tcW w:w="260" w:type="dxa"/>
            <w:vAlign w:val="bottom"/>
            <w:shd w:val="clear" w:color="auto" w:fill="CCEEFF"/>
          </w:tcPr>
          <w:p>
            <w:pPr>
              <w:spacing w:after="0"/>
              <w:rPr>
                <w:sz w:val="15"/>
                <w:szCs w:val="15"/>
                <w:color w:val="auto"/>
              </w:rPr>
            </w:pPr>
          </w:p>
        </w:tc>
        <w:tc>
          <w:tcPr>
            <w:tcW w:w="11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21.13%</w:t>
            </w:r>
          </w:p>
        </w:tc>
        <w:tc>
          <w:tcPr>
            <w:tcW w:w="240" w:type="dxa"/>
            <w:vAlign w:val="bottom"/>
            <w:shd w:val="clear" w:color="auto" w:fill="CCEEFF"/>
          </w:tcPr>
          <w:p>
            <w:pPr>
              <w:spacing w:after="0"/>
              <w:rPr>
                <w:sz w:val="15"/>
                <w:szCs w:val="15"/>
                <w:color w:val="auto"/>
              </w:rPr>
            </w:pPr>
          </w:p>
        </w:tc>
        <w:tc>
          <w:tcPr>
            <w:tcW w:w="11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35.95%</w:t>
            </w:r>
          </w:p>
        </w:tc>
        <w:tc>
          <w:tcPr>
            <w:tcW w:w="400" w:type="dxa"/>
            <w:vAlign w:val="bottom"/>
            <w:shd w:val="clear" w:color="auto" w:fill="CCEEFF"/>
          </w:tcPr>
          <w:p>
            <w:pPr>
              <w:spacing w:after="0"/>
              <w:rPr>
                <w:sz w:val="15"/>
                <w:szCs w:val="15"/>
                <w:color w:val="auto"/>
              </w:rPr>
            </w:pPr>
          </w:p>
        </w:tc>
        <w:tc>
          <w:tcPr>
            <w:tcW w:w="9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45.33%</w:t>
            </w:r>
          </w:p>
        </w:tc>
        <w:tc>
          <w:tcPr>
            <w:tcW w:w="60" w:type="dxa"/>
            <w:vAlign w:val="bottom"/>
            <w:shd w:val="clear" w:color="auto" w:fill="CCEEFF"/>
          </w:tcPr>
          <w:p>
            <w:pPr>
              <w:spacing w:after="0"/>
              <w:rPr>
                <w:sz w:val="15"/>
                <w:szCs w:val="15"/>
                <w:color w:val="auto"/>
              </w:rPr>
            </w:pPr>
          </w:p>
        </w:tc>
        <w:tc>
          <w:tcPr>
            <w:tcW w:w="260" w:type="dxa"/>
            <w:vAlign w:val="bottom"/>
            <w:shd w:val="clear" w:color="auto" w:fill="CCEEFF"/>
          </w:tcPr>
          <w:p>
            <w:pPr>
              <w:spacing w:after="0"/>
              <w:rPr>
                <w:sz w:val="15"/>
                <w:szCs w:val="15"/>
                <w:color w:val="auto"/>
              </w:rPr>
            </w:pP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29.57%</w:t>
            </w:r>
          </w:p>
        </w:tc>
      </w:tr>
      <w:tr>
        <w:trPr>
          <w:trHeight w:val="154"/>
        </w:trPr>
        <w:tc>
          <w:tcPr>
            <w:tcW w:w="4620" w:type="dxa"/>
            <w:vAlign w:val="bottom"/>
          </w:tcPr>
          <w:p>
            <w:pPr>
              <w:spacing w:after="0"/>
              <w:rPr>
                <w:sz w:val="20"/>
                <w:szCs w:val="20"/>
                <w:color w:val="auto"/>
              </w:rPr>
            </w:pPr>
            <w:r>
              <w:rPr>
                <w:rFonts w:ascii="Arial" w:cs="Arial" w:eastAsia="Arial" w:hAnsi="Arial"/>
                <w:sz w:val="13"/>
                <w:szCs w:val="13"/>
                <w:i w:val="1"/>
                <w:iCs w:val="1"/>
                <w:color w:val="auto"/>
              </w:rPr>
              <w:t>Asset Quality Ratios:</w:t>
            </w:r>
          </w:p>
        </w:tc>
        <w:tc>
          <w:tcPr>
            <w:tcW w:w="8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40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83"/>
        </w:trPr>
        <w:tc>
          <w:tcPr>
            <w:tcW w:w="4620" w:type="dxa"/>
            <w:vAlign w:val="bottom"/>
            <w:shd w:val="clear" w:color="auto" w:fill="CCEEFF"/>
          </w:tcPr>
          <w:p>
            <w:pPr>
              <w:ind w:left="120"/>
              <w:spacing w:after="0" w:line="183" w:lineRule="exact"/>
              <w:rPr>
                <w:sz w:val="20"/>
                <w:szCs w:val="20"/>
                <w:color w:val="auto"/>
              </w:rPr>
            </w:pPr>
            <w:r>
              <w:rPr>
                <w:rFonts w:ascii="Arial" w:cs="Arial" w:eastAsia="Arial" w:hAnsi="Arial"/>
                <w:sz w:val="13"/>
                <w:szCs w:val="13"/>
                <w:color w:val="auto"/>
              </w:rPr>
              <w:t xml:space="preserve">Credit-impaired loans </w:t>
            </w:r>
            <w:r>
              <w:rPr>
                <w:rFonts w:ascii="Arial" w:cs="Arial" w:eastAsia="Arial" w:hAnsi="Arial"/>
                <w:sz w:val="21"/>
                <w:szCs w:val="21"/>
                <w:color w:val="auto"/>
                <w:vertAlign w:val="superscript"/>
              </w:rPr>
              <w:t>(8)</w:t>
            </w:r>
            <w:r>
              <w:rPr>
                <w:rFonts w:ascii="Arial" w:cs="Arial" w:eastAsia="Arial" w:hAnsi="Arial"/>
                <w:sz w:val="13"/>
                <w:szCs w:val="13"/>
                <w:color w:val="auto"/>
              </w:rPr>
              <w:t xml:space="preserve"> to Loan Portfolio </w:t>
            </w:r>
            <w:r>
              <w:rPr>
                <w:rFonts w:ascii="Arial" w:cs="Arial" w:eastAsia="Arial" w:hAnsi="Arial"/>
                <w:sz w:val="21"/>
                <w:szCs w:val="21"/>
                <w:color w:val="auto"/>
                <w:vertAlign w:val="superscript"/>
              </w:rPr>
              <w:t>(9)</w:t>
            </w:r>
          </w:p>
        </w:tc>
        <w:tc>
          <w:tcPr>
            <w:tcW w:w="80" w:type="dxa"/>
            <w:vAlign w:val="bottom"/>
            <w:shd w:val="clear" w:color="auto" w:fill="CCEEFF"/>
          </w:tcPr>
          <w:p>
            <w:pPr>
              <w:spacing w:after="0"/>
              <w:rPr>
                <w:sz w:val="15"/>
                <w:szCs w:val="15"/>
                <w:color w:val="auto"/>
              </w:rPr>
            </w:pPr>
          </w:p>
        </w:tc>
        <w:tc>
          <w:tcPr>
            <w:tcW w:w="260" w:type="dxa"/>
            <w:vAlign w:val="bottom"/>
            <w:shd w:val="clear" w:color="auto" w:fill="CCEEFF"/>
          </w:tcPr>
          <w:p>
            <w:pPr>
              <w:spacing w:after="0"/>
              <w:rPr>
                <w:sz w:val="15"/>
                <w:szCs w:val="15"/>
                <w:color w:val="auto"/>
              </w:rPr>
            </w:pPr>
          </w:p>
        </w:tc>
        <w:tc>
          <w:tcPr>
            <w:tcW w:w="11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1.12%</w:t>
            </w:r>
          </w:p>
        </w:tc>
        <w:tc>
          <w:tcPr>
            <w:tcW w:w="260" w:type="dxa"/>
            <w:vAlign w:val="bottom"/>
            <w:shd w:val="clear" w:color="auto" w:fill="CCEEFF"/>
          </w:tcPr>
          <w:p>
            <w:pPr>
              <w:spacing w:after="0"/>
              <w:rPr>
                <w:sz w:val="15"/>
                <w:szCs w:val="15"/>
                <w:color w:val="auto"/>
              </w:rPr>
            </w:pPr>
          </w:p>
        </w:tc>
        <w:tc>
          <w:tcPr>
            <w:tcW w:w="11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1.07%</w:t>
            </w:r>
          </w:p>
        </w:tc>
        <w:tc>
          <w:tcPr>
            <w:tcW w:w="240" w:type="dxa"/>
            <w:vAlign w:val="bottom"/>
            <w:shd w:val="clear" w:color="auto" w:fill="CCEEFF"/>
          </w:tcPr>
          <w:p>
            <w:pPr>
              <w:spacing w:after="0"/>
              <w:rPr>
                <w:sz w:val="15"/>
                <w:szCs w:val="15"/>
                <w:color w:val="auto"/>
              </w:rPr>
            </w:pPr>
          </w:p>
        </w:tc>
        <w:tc>
          <w:tcPr>
            <w:tcW w:w="11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1.09%</w:t>
            </w:r>
          </w:p>
        </w:tc>
        <w:tc>
          <w:tcPr>
            <w:tcW w:w="400" w:type="dxa"/>
            <w:vAlign w:val="bottom"/>
            <w:shd w:val="clear" w:color="auto" w:fill="CCEEFF"/>
          </w:tcPr>
          <w:p>
            <w:pPr>
              <w:spacing w:after="0"/>
              <w:rPr>
                <w:sz w:val="15"/>
                <w:szCs w:val="15"/>
                <w:color w:val="auto"/>
              </w:rPr>
            </w:pPr>
          </w:p>
        </w:tc>
        <w:tc>
          <w:tcPr>
            <w:tcW w:w="9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0.78%</w:t>
            </w:r>
          </w:p>
        </w:tc>
        <w:tc>
          <w:tcPr>
            <w:tcW w:w="60" w:type="dxa"/>
            <w:vAlign w:val="bottom"/>
            <w:shd w:val="clear" w:color="auto" w:fill="CCEEFF"/>
          </w:tcPr>
          <w:p>
            <w:pPr>
              <w:spacing w:after="0"/>
              <w:rPr>
                <w:sz w:val="15"/>
                <w:szCs w:val="15"/>
                <w:color w:val="auto"/>
              </w:rPr>
            </w:pPr>
          </w:p>
        </w:tc>
        <w:tc>
          <w:tcPr>
            <w:tcW w:w="260" w:type="dxa"/>
            <w:vAlign w:val="bottom"/>
            <w:shd w:val="clear" w:color="auto" w:fill="CCEEFF"/>
          </w:tcPr>
          <w:p>
            <w:pPr>
              <w:spacing w:after="0"/>
              <w:rPr>
                <w:sz w:val="15"/>
                <w:szCs w:val="15"/>
                <w:color w:val="auto"/>
              </w:rPr>
            </w:pP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0.06%</w:t>
            </w:r>
          </w:p>
        </w:tc>
      </w:tr>
      <w:tr>
        <w:trPr>
          <w:trHeight w:val="154"/>
        </w:trPr>
        <w:tc>
          <w:tcPr>
            <w:tcW w:w="4620" w:type="dxa"/>
            <w:vAlign w:val="bottom"/>
          </w:tcPr>
          <w:p>
            <w:pPr>
              <w:ind w:left="120"/>
              <w:spacing w:after="0"/>
              <w:rPr>
                <w:sz w:val="20"/>
                <w:szCs w:val="20"/>
                <w:color w:val="auto"/>
              </w:rPr>
            </w:pPr>
            <w:r>
              <w:rPr>
                <w:rFonts w:ascii="Arial" w:cs="Arial" w:eastAsia="Arial" w:hAnsi="Arial"/>
                <w:sz w:val="13"/>
                <w:szCs w:val="13"/>
                <w:color w:val="auto"/>
              </w:rPr>
              <w:t>Charged-off loans to Loan Portfolio</w:t>
            </w:r>
          </w:p>
        </w:tc>
        <w:tc>
          <w:tcPr>
            <w:tcW w:w="8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140" w:type="dxa"/>
            <w:vAlign w:val="bottom"/>
            <w:gridSpan w:val="2"/>
          </w:tcPr>
          <w:p>
            <w:pPr>
              <w:jc w:val="right"/>
              <w:ind w:right="140"/>
              <w:spacing w:after="0"/>
              <w:rPr>
                <w:sz w:val="20"/>
                <w:szCs w:val="20"/>
                <w:color w:val="auto"/>
              </w:rPr>
            </w:pPr>
            <w:r>
              <w:rPr>
                <w:rFonts w:ascii="Arial" w:cs="Arial" w:eastAsia="Arial" w:hAnsi="Arial"/>
                <w:sz w:val="13"/>
                <w:szCs w:val="13"/>
                <w:color w:val="auto"/>
              </w:rPr>
              <w:t>0.72%</w:t>
            </w:r>
          </w:p>
        </w:tc>
        <w:tc>
          <w:tcPr>
            <w:tcW w:w="260" w:type="dxa"/>
            <w:vAlign w:val="bottom"/>
          </w:tcPr>
          <w:p>
            <w:pPr>
              <w:spacing w:after="0"/>
              <w:rPr>
                <w:sz w:val="13"/>
                <w:szCs w:val="13"/>
                <w:color w:val="auto"/>
              </w:rPr>
            </w:pPr>
          </w:p>
        </w:tc>
        <w:tc>
          <w:tcPr>
            <w:tcW w:w="1140" w:type="dxa"/>
            <w:vAlign w:val="bottom"/>
            <w:gridSpan w:val="2"/>
          </w:tcPr>
          <w:p>
            <w:pPr>
              <w:jc w:val="right"/>
              <w:ind w:right="140"/>
              <w:spacing w:after="0"/>
              <w:rPr>
                <w:sz w:val="20"/>
                <w:szCs w:val="20"/>
                <w:color w:val="auto"/>
              </w:rPr>
            </w:pPr>
            <w:r>
              <w:rPr>
                <w:rFonts w:ascii="Arial" w:cs="Arial" w:eastAsia="Arial" w:hAnsi="Arial"/>
                <w:sz w:val="13"/>
                <w:szCs w:val="13"/>
                <w:color w:val="auto"/>
              </w:rPr>
              <w:t>0.60%</w:t>
            </w:r>
          </w:p>
        </w:tc>
        <w:tc>
          <w:tcPr>
            <w:tcW w:w="240" w:type="dxa"/>
            <w:vAlign w:val="bottom"/>
          </w:tcPr>
          <w:p>
            <w:pPr>
              <w:spacing w:after="0"/>
              <w:rPr>
                <w:sz w:val="13"/>
                <w:szCs w:val="13"/>
                <w:color w:val="auto"/>
              </w:rPr>
            </w:pPr>
          </w:p>
        </w:tc>
        <w:tc>
          <w:tcPr>
            <w:tcW w:w="1120" w:type="dxa"/>
            <w:vAlign w:val="bottom"/>
            <w:gridSpan w:val="2"/>
          </w:tcPr>
          <w:p>
            <w:pPr>
              <w:jc w:val="right"/>
              <w:ind w:right="120"/>
              <w:spacing w:after="0"/>
              <w:rPr>
                <w:sz w:val="20"/>
                <w:szCs w:val="20"/>
                <w:color w:val="auto"/>
              </w:rPr>
            </w:pPr>
            <w:r>
              <w:rPr>
                <w:rFonts w:ascii="Arial" w:cs="Arial" w:eastAsia="Arial" w:hAnsi="Arial"/>
                <w:sz w:val="13"/>
                <w:szCs w:val="13"/>
                <w:color w:val="auto"/>
              </w:rPr>
              <w:t>0.31%</w:t>
            </w:r>
          </w:p>
        </w:tc>
        <w:tc>
          <w:tcPr>
            <w:tcW w:w="400" w:type="dxa"/>
            <w:vAlign w:val="bottom"/>
          </w:tcPr>
          <w:p>
            <w:pPr>
              <w:spacing w:after="0"/>
              <w:rPr>
                <w:sz w:val="13"/>
                <w:szCs w:val="13"/>
                <w:color w:val="auto"/>
              </w:rPr>
            </w:pPr>
          </w:p>
        </w:tc>
        <w:tc>
          <w:tcPr>
            <w:tcW w:w="900" w:type="dxa"/>
            <w:vAlign w:val="bottom"/>
            <w:gridSpan w:val="2"/>
          </w:tcPr>
          <w:p>
            <w:pPr>
              <w:jc w:val="right"/>
              <w:ind w:right="60"/>
              <w:spacing w:after="0"/>
              <w:rPr>
                <w:sz w:val="20"/>
                <w:szCs w:val="20"/>
                <w:color w:val="auto"/>
              </w:rPr>
            </w:pPr>
            <w:r>
              <w:rPr>
                <w:rFonts w:ascii="Arial" w:cs="Arial" w:eastAsia="Arial" w:hAnsi="Arial"/>
                <w:sz w:val="13"/>
                <w:szCs w:val="13"/>
                <w:color w:val="auto"/>
              </w:rPr>
              <w:t>0.09%</w:t>
            </w:r>
          </w:p>
        </w:tc>
        <w:tc>
          <w:tcPr>
            <w:tcW w:w="6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0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r>
      <w:tr>
        <w:trPr>
          <w:trHeight w:val="154"/>
        </w:trPr>
        <w:tc>
          <w:tcPr>
            <w:tcW w:w="46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Allowance for loan losses to Loan Portfolio</w:t>
            </w:r>
          </w:p>
        </w:tc>
        <w:tc>
          <w:tcPr>
            <w:tcW w:w="8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1.74%</w:t>
            </w:r>
          </w:p>
        </w:tc>
        <w:tc>
          <w:tcPr>
            <w:tcW w:w="26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1.48%</w:t>
            </w:r>
          </w:p>
        </w:tc>
        <w:tc>
          <w:tcPr>
            <w:tcW w:w="240" w:type="dxa"/>
            <w:vAlign w:val="bottom"/>
            <w:shd w:val="clear" w:color="auto" w:fill="CCEEFF"/>
          </w:tcPr>
          <w:p>
            <w:pPr>
              <w:spacing w:after="0"/>
              <w:rPr>
                <w:sz w:val="13"/>
                <w:szCs w:val="13"/>
                <w:color w:val="auto"/>
              </w:rPr>
            </w:pPr>
          </w:p>
        </w:tc>
        <w:tc>
          <w:tcPr>
            <w:tcW w:w="11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1.76%</w:t>
            </w:r>
          </w:p>
        </w:tc>
        <w:tc>
          <w:tcPr>
            <w:tcW w:w="400" w:type="dxa"/>
            <w:vAlign w:val="bottom"/>
            <w:shd w:val="clear" w:color="auto" w:fill="CCEEFF"/>
          </w:tcPr>
          <w:p>
            <w:pPr>
              <w:spacing w:after="0"/>
              <w:rPr>
                <w:sz w:val="13"/>
                <w:szCs w:val="13"/>
                <w:color w:val="auto"/>
              </w:rPr>
            </w:pPr>
          </w:p>
        </w:tc>
        <w:tc>
          <w:tcPr>
            <w:tcW w:w="9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1.34%</w:t>
            </w:r>
          </w:p>
        </w:tc>
        <w:tc>
          <w:tcPr>
            <w:tcW w:w="6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1.16%</w:t>
            </w:r>
          </w:p>
        </w:tc>
      </w:tr>
      <w:tr>
        <w:trPr>
          <w:trHeight w:val="145"/>
        </w:trPr>
        <w:tc>
          <w:tcPr>
            <w:tcW w:w="4620" w:type="dxa"/>
            <w:vAlign w:val="bottom"/>
          </w:tcPr>
          <w:p>
            <w:pPr>
              <w:ind w:left="120"/>
              <w:spacing w:after="0" w:line="146" w:lineRule="exact"/>
              <w:rPr>
                <w:sz w:val="20"/>
                <w:szCs w:val="20"/>
                <w:color w:val="auto"/>
              </w:rPr>
            </w:pPr>
            <w:r>
              <w:rPr>
                <w:rFonts w:ascii="Arial" w:cs="Arial" w:eastAsia="Arial" w:hAnsi="Arial"/>
                <w:sz w:val="13"/>
                <w:szCs w:val="13"/>
                <w:color w:val="auto"/>
                <w:w w:val="90"/>
              </w:rPr>
              <w:t>Allowance for loan commitments and financial guarantee contracts losses to total loan</w:t>
            </w: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0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4620" w:type="dxa"/>
            <w:vAlign w:val="bottom"/>
          </w:tcPr>
          <w:p>
            <w:pPr>
              <w:ind w:left="220"/>
              <w:spacing w:after="0"/>
              <w:rPr>
                <w:sz w:val="20"/>
                <w:szCs w:val="20"/>
                <w:color w:val="auto"/>
              </w:rPr>
            </w:pPr>
            <w:r>
              <w:rPr>
                <w:rFonts w:ascii="Arial" w:cs="Arial" w:eastAsia="Arial" w:hAnsi="Arial"/>
                <w:sz w:val="13"/>
                <w:szCs w:val="13"/>
                <w:color w:val="auto"/>
                <w:w w:val="96"/>
              </w:rPr>
              <w:t>commitments and financial guarantee contracts plus customers’ liabilities under</w:t>
            </w:r>
          </w:p>
        </w:tc>
        <w:tc>
          <w:tcPr>
            <w:tcW w:w="8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40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62"/>
        </w:trPr>
        <w:tc>
          <w:tcPr>
            <w:tcW w:w="4620" w:type="dxa"/>
            <w:vAlign w:val="bottom"/>
          </w:tcPr>
          <w:p>
            <w:pPr>
              <w:ind w:left="220"/>
              <w:spacing w:after="0"/>
              <w:rPr>
                <w:sz w:val="20"/>
                <w:szCs w:val="20"/>
                <w:color w:val="auto"/>
              </w:rPr>
            </w:pPr>
            <w:r>
              <w:rPr>
                <w:rFonts w:ascii="Arial" w:cs="Arial" w:eastAsia="Arial" w:hAnsi="Arial"/>
                <w:sz w:val="13"/>
                <w:szCs w:val="13"/>
                <w:color w:val="auto"/>
              </w:rPr>
              <w:t>acceptances</w:t>
            </w:r>
          </w:p>
        </w:tc>
        <w:tc>
          <w:tcPr>
            <w:tcW w:w="8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140" w:type="dxa"/>
            <w:vAlign w:val="bottom"/>
            <w:gridSpan w:val="2"/>
          </w:tcPr>
          <w:p>
            <w:pPr>
              <w:jc w:val="right"/>
              <w:ind w:right="140"/>
              <w:spacing w:after="0"/>
              <w:rPr>
                <w:sz w:val="20"/>
                <w:szCs w:val="20"/>
                <w:color w:val="auto"/>
              </w:rPr>
            </w:pPr>
            <w:r>
              <w:rPr>
                <w:rFonts w:ascii="Arial" w:cs="Arial" w:eastAsia="Arial" w:hAnsi="Arial"/>
                <w:sz w:val="13"/>
                <w:szCs w:val="13"/>
                <w:color w:val="auto"/>
              </w:rPr>
              <w:t>0.64%</w:t>
            </w:r>
          </w:p>
        </w:tc>
        <w:tc>
          <w:tcPr>
            <w:tcW w:w="260" w:type="dxa"/>
            <w:vAlign w:val="bottom"/>
          </w:tcPr>
          <w:p>
            <w:pPr>
              <w:spacing w:after="0"/>
              <w:rPr>
                <w:sz w:val="14"/>
                <w:szCs w:val="14"/>
                <w:color w:val="auto"/>
              </w:rPr>
            </w:pPr>
          </w:p>
        </w:tc>
        <w:tc>
          <w:tcPr>
            <w:tcW w:w="1140" w:type="dxa"/>
            <w:vAlign w:val="bottom"/>
            <w:gridSpan w:val="2"/>
          </w:tcPr>
          <w:p>
            <w:pPr>
              <w:jc w:val="right"/>
              <w:ind w:right="140"/>
              <w:spacing w:after="0"/>
              <w:rPr>
                <w:sz w:val="20"/>
                <w:szCs w:val="20"/>
                <w:color w:val="auto"/>
              </w:rPr>
            </w:pPr>
            <w:r>
              <w:rPr>
                <w:rFonts w:ascii="Arial" w:cs="Arial" w:eastAsia="Arial" w:hAnsi="Arial"/>
                <w:sz w:val="13"/>
                <w:szCs w:val="13"/>
                <w:color w:val="auto"/>
              </w:rPr>
              <w:t>1.39%</w:t>
            </w:r>
          </w:p>
        </w:tc>
        <w:tc>
          <w:tcPr>
            <w:tcW w:w="240" w:type="dxa"/>
            <w:vAlign w:val="bottom"/>
          </w:tcPr>
          <w:p>
            <w:pPr>
              <w:spacing w:after="0"/>
              <w:rPr>
                <w:sz w:val="14"/>
                <w:szCs w:val="14"/>
                <w:color w:val="auto"/>
              </w:rPr>
            </w:pPr>
          </w:p>
        </w:tc>
        <w:tc>
          <w:tcPr>
            <w:tcW w:w="1120" w:type="dxa"/>
            <w:vAlign w:val="bottom"/>
            <w:gridSpan w:val="2"/>
          </w:tcPr>
          <w:p>
            <w:pPr>
              <w:jc w:val="right"/>
              <w:ind w:right="120"/>
              <w:spacing w:after="0"/>
              <w:rPr>
                <w:sz w:val="20"/>
                <w:szCs w:val="20"/>
                <w:color w:val="auto"/>
              </w:rPr>
            </w:pPr>
            <w:r>
              <w:rPr>
                <w:rFonts w:ascii="Arial" w:cs="Arial" w:eastAsia="Arial" w:hAnsi="Arial"/>
                <w:sz w:val="13"/>
                <w:szCs w:val="13"/>
                <w:color w:val="auto"/>
              </w:rPr>
              <w:t>1.37%</w:t>
            </w:r>
          </w:p>
        </w:tc>
        <w:tc>
          <w:tcPr>
            <w:tcW w:w="400" w:type="dxa"/>
            <w:vAlign w:val="bottom"/>
          </w:tcPr>
          <w:p>
            <w:pPr>
              <w:spacing w:after="0"/>
              <w:rPr>
                <w:sz w:val="14"/>
                <w:szCs w:val="14"/>
                <w:color w:val="auto"/>
              </w:rPr>
            </w:pPr>
          </w:p>
        </w:tc>
        <w:tc>
          <w:tcPr>
            <w:tcW w:w="900" w:type="dxa"/>
            <w:vAlign w:val="bottom"/>
            <w:gridSpan w:val="2"/>
          </w:tcPr>
          <w:p>
            <w:pPr>
              <w:jc w:val="right"/>
              <w:ind w:right="60"/>
              <w:spacing w:after="0"/>
              <w:rPr>
                <w:sz w:val="20"/>
                <w:szCs w:val="20"/>
                <w:color w:val="auto"/>
              </w:rPr>
            </w:pPr>
            <w:r>
              <w:rPr>
                <w:rFonts w:ascii="Arial" w:cs="Arial" w:eastAsia="Arial" w:hAnsi="Arial"/>
                <w:sz w:val="13"/>
                <w:szCs w:val="13"/>
                <w:color w:val="auto"/>
              </w:rPr>
              <w:t>1.17%</w:t>
            </w:r>
          </w:p>
        </w:tc>
        <w:tc>
          <w:tcPr>
            <w:tcW w:w="6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000" w:type="dxa"/>
            <w:vAlign w:val="bottom"/>
            <w:gridSpan w:val="2"/>
          </w:tcPr>
          <w:p>
            <w:pPr>
              <w:jc w:val="right"/>
              <w:ind w:right="20"/>
              <w:spacing w:after="0"/>
              <w:rPr>
                <w:sz w:val="20"/>
                <w:szCs w:val="20"/>
                <w:color w:val="auto"/>
              </w:rPr>
            </w:pPr>
            <w:r>
              <w:rPr>
                <w:rFonts w:ascii="Arial" w:cs="Arial" w:eastAsia="Arial" w:hAnsi="Arial"/>
                <w:sz w:val="13"/>
                <w:szCs w:val="13"/>
                <w:color w:val="auto"/>
              </w:rPr>
              <w:t>1.97%</w:t>
            </w:r>
          </w:p>
        </w:tc>
      </w:tr>
      <w:tr>
        <w:trPr>
          <w:trHeight w:val="155"/>
        </w:trPr>
        <w:tc>
          <w:tcPr>
            <w:tcW w:w="4620" w:type="dxa"/>
            <w:vAlign w:val="bottom"/>
            <w:shd w:val="clear" w:color="auto" w:fill="CCEEFF"/>
          </w:tcPr>
          <w:p>
            <w:pPr>
              <w:spacing w:after="0"/>
              <w:rPr>
                <w:sz w:val="20"/>
                <w:szCs w:val="20"/>
                <w:color w:val="auto"/>
              </w:rPr>
            </w:pPr>
            <w:r>
              <w:rPr>
                <w:rFonts w:ascii="Arial" w:cs="Arial" w:eastAsia="Arial" w:hAnsi="Arial"/>
                <w:sz w:val="13"/>
                <w:szCs w:val="13"/>
                <w:i w:val="1"/>
                <w:iCs w:val="1"/>
                <w:color w:val="auto"/>
              </w:rPr>
              <w:t>Capital Ratios:</w:t>
            </w:r>
          </w:p>
        </w:tc>
        <w:tc>
          <w:tcPr>
            <w:tcW w:w="8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9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9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9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400" w:type="dxa"/>
            <w:vAlign w:val="bottom"/>
            <w:shd w:val="clear" w:color="auto" w:fill="CCEEFF"/>
          </w:tcPr>
          <w:p>
            <w:pPr>
              <w:spacing w:after="0"/>
              <w:rPr>
                <w:sz w:val="13"/>
                <w:szCs w:val="13"/>
                <w:color w:val="auto"/>
              </w:rPr>
            </w:pPr>
          </w:p>
        </w:tc>
        <w:tc>
          <w:tcPr>
            <w:tcW w:w="74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8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r>
      <w:tr>
        <w:trPr>
          <w:trHeight w:val="154"/>
        </w:trPr>
        <w:tc>
          <w:tcPr>
            <w:tcW w:w="4620" w:type="dxa"/>
            <w:vAlign w:val="bottom"/>
          </w:tcPr>
          <w:p>
            <w:pPr>
              <w:ind w:left="120"/>
              <w:spacing w:after="0"/>
              <w:rPr>
                <w:sz w:val="20"/>
                <w:szCs w:val="20"/>
                <w:color w:val="auto"/>
              </w:rPr>
            </w:pPr>
            <w:r>
              <w:rPr>
                <w:rFonts w:ascii="Arial" w:cs="Arial" w:eastAsia="Arial" w:hAnsi="Arial"/>
                <w:sz w:val="13"/>
                <w:szCs w:val="13"/>
                <w:color w:val="auto"/>
              </w:rPr>
              <w:t>Total equity to total assets</w:t>
            </w:r>
          </w:p>
        </w:tc>
        <w:tc>
          <w:tcPr>
            <w:tcW w:w="8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140" w:type="dxa"/>
            <w:vAlign w:val="bottom"/>
            <w:gridSpan w:val="2"/>
          </w:tcPr>
          <w:p>
            <w:pPr>
              <w:jc w:val="right"/>
              <w:ind w:right="140"/>
              <w:spacing w:after="0"/>
              <w:rPr>
                <w:sz w:val="20"/>
                <w:szCs w:val="20"/>
                <w:color w:val="auto"/>
              </w:rPr>
            </w:pPr>
            <w:r>
              <w:rPr>
                <w:rFonts w:ascii="Arial" w:cs="Arial" w:eastAsia="Arial" w:hAnsi="Arial"/>
                <w:sz w:val="13"/>
                <w:szCs w:val="13"/>
                <w:color w:val="auto"/>
              </w:rPr>
              <w:t>13.06%</w:t>
            </w:r>
          </w:p>
        </w:tc>
        <w:tc>
          <w:tcPr>
            <w:tcW w:w="260" w:type="dxa"/>
            <w:vAlign w:val="bottom"/>
          </w:tcPr>
          <w:p>
            <w:pPr>
              <w:spacing w:after="0"/>
              <w:rPr>
                <w:sz w:val="13"/>
                <w:szCs w:val="13"/>
                <w:color w:val="auto"/>
              </w:rPr>
            </w:pPr>
          </w:p>
        </w:tc>
        <w:tc>
          <w:tcPr>
            <w:tcW w:w="1140" w:type="dxa"/>
            <w:vAlign w:val="bottom"/>
            <w:gridSpan w:val="2"/>
          </w:tcPr>
          <w:p>
            <w:pPr>
              <w:jc w:val="right"/>
              <w:ind w:right="140"/>
              <w:spacing w:after="0"/>
              <w:rPr>
                <w:sz w:val="20"/>
                <w:szCs w:val="20"/>
                <w:color w:val="auto"/>
              </w:rPr>
            </w:pPr>
            <w:r>
              <w:rPr>
                <w:rFonts w:ascii="Arial" w:cs="Arial" w:eastAsia="Arial" w:hAnsi="Arial"/>
                <w:sz w:val="13"/>
                <w:szCs w:val="13"/>
                <w:color w:val="auto"/>
              </w:rPr>
              <w:t>16.64%</w:t>
            </w:r>
          </w:p>
        </w:tc>
        <w:tc>
          <w:tcPr>
            <w:tcW w:w="240" w:type="dxa"/>
            <w:vAlign w:val="bottom"/>
          </w:tcPr>
          <w:p>
            <w:pPr>
              <w:spacing w:after="0"/>
              <w:rPr>
                <w:sz w:val="13"/>
                <w:szCs w:val="13"/>
                <w:color w:val="auto"/>
              </w:rPr>
            </w:pPr>
          </w:p>
        </w:tc>
        <w:tc>
          <w:tcPr>
            <w:tcW w:w="1120" w:type="dxa"/>
            <w:vAlign w:val="bottom"/>
            <w:gridSpan w:val="2"/>
          </w:tcPr>
          <w:p>
            <w:pPr>
              <w:jc w:val="right"/>
              <w:ind w:right="120"/>
              <w:spacing w:after="0"/>
              <w:rPr>
                <w:sz w:val="20"/>
                <w:szCs w:val="20"/>
                <w:color w:val="auto"/>
              </w:rPr>
            </w:pPr>
            <w:r>
              <w:rPr>
                <w:rFonts w:ascii="Arial" w:cs="Arial" w:eastAsia="Arial" w:hAnsi="Arial"/>
                <w:sz w:val="13"/>
                <w:szCs w:val="13"/>
                <w:color w:val="auto"/>
              </w:rPr>
              <w:t>14.08%</w:t>
            </w:r>
          </w:p>
        </w:tc>
        <w:tc>
          <w:tcPr>
            <w:tcW w:w="400" w:type="dxa"/>
            <w:vAlign w:val="bottom"/>
          </w:tcPr>
          <w:p>
            <w:pPr>
              <w:spacing w:after="0"/>
              <w:rPr>
                <w:sz w:val="13"/>
                <w:szCs w:val="13"/>
                <w:color w:val="auto"/>
              </w:rPr>
            </w:pPr>
          </w:p>
        </w:tc>
        <w:tc>
          <w:tcPr>
            <w:tcW w:w="900" w:type="dxa"/>
            <w:vAlign w:val="bottom"/>
            <w:gridSpan w:val="2"/>
          </w:tcPr>
          <w:p>
            <w:pPr>
              <w:jc w:val="right"/>
              <w:ind w:right="60"/>
              <w:spacing w:after="0"/>
              <w:rPr>
                <w:sz w:val="20"/>
                <w:szCs w:val="20"/>
                <w:color w:val="auto"/>
              </w:rPr>
            </w:pPr>
            <w:r>
              <w:rPr>
                <w:rFonts w:ascii="Arial" w:cs="Arial" w:eastAsia="Arial" w:hAnsi="Arial"/>
                <w:sz w:val="13"/>
                <w:szCs w:val="13"/>
                <w:color w:val="auto"/>
              </w:rPr>
              <w:t>11.73%</w:t>
            </w:r>
          </w:p>
        </w:tc>
        <w:tc>
          <w:tcPr>
            <w:tcW w:w="6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00" w:type="dxa"/>
            <w:vAlign w:val="bottom"/>
            <w:gridSpan w:val="2"/>
          </w:tcPr>
          <w:p>
            <w:pPr>
              <w:jc w:val="right"/>
              <w:ind w:right="20"/>
              <w:spacing w:after="0"/>
              <w:rPr>
                <w:sz w:val="20"/>
                <w:szCs w:val="20"/>
                <w:color w:val="auto"/>
              </w:rPr>
            </w:pPr>
            <w:r>
              <w:rPr>
                <w:rFonts w:ascii="Arial" w:cs="Arial" w:eastAsia="Arial" w:hAnsi="Arial"/>
                <w:sz w:val="13"/>
                <w:szCs w:val="13"/>
                <w:color w:val="auto"/>
              </w:rPr>
              <w:t>11.36%</w:t>
            </w:r>
          </w:p>
        </w:tc>
      </w:tr>
      <w:tr>
        <w:trPr>
          <w:trHeight w:val="183"/>
        </w:trPr>
        <w:tc>
          <w:tcPr>
            <w:tcW w:w="4620" w:type="dxa"/>
            <w:vAlign w:val="bottom"/>
            <w:shd w:val="clear" w:color="auto" w:fill="CCEEFF"/>
          </w:tcPr>
          <w:p>
            <w:pPr>
              <w:ind w:left="120"/>
              <w:spacing w:after="0" w:line="183" w:lineRule="exact"/>
              <w:rPr>
                <w:sz w:val="20"/>
                <w:szCs w:val="20"/>
                <w:color w:val="auto"/>
              </w:rPr>
            </w:pPr>
            <w:r>
              <w:rPr>
                <w:rFonts w:ascii="Arial" w:cs="Arial" w:eastAsia="Arial" w:hAnsi="Arial"/>
                <w:sz w:val="13"/>
                <w:szCs w:val="13"/>
                <w:color w:val="auto"/>
              </w:rPr>
              <w:t xml:space="preserve">Average total equity to average total assets </w:t>
            </w:r>
            <w:r>
              <w:rPr>
                <w:rFonts w:ascii="Arial" w:cs="Arial" w:eastAsia="Arial" w:hAnsi="Arial"/>
                <w:sz w:val="21"/>
                <w:szCs w:val="21"/>
                <w:color w:val="auto"/>
                <w:vertAlign w:val="superscript"/>
              </w:rPr>
              <w:t>(10)</w:t>
            </w:r>
          </w:p>
        </w:tc>
        <w:tc>
          <w:tcPr>
            <w:tcW w:w="80" w:type="dxa"/>
            <w:vAlign w:val="bottom"/>
            <w:shd w:val="clear" w:color="auto" w:fill="CCEEFF"/>
          </w:tcPr>
          <w:p>
            <w:pPr>
              <w:spacing w:after="0"/>
              <w:rPr>
                <w:sz w:val="15"/>
                <w:szCs w:val="15"/>
                <w:color w:val="auto"/>
              </w:rPr>
            </w:pPr>
          </w:p>
        </w:tc>
        <w:tc>
          <w:tcPr>
            <w:tcW w:w="260" w:type="dxa"/>
            <w:vAlign w:val="bottom"/>
            <w:shd w:val="clear" w:color="auto" w:fill="CCEEFF"/>
          </w:tcPr>
          <w:p>
            <w:pPr>
              <w:spacing w:after="0"/>
              <w:rPr>
                <w:sz w:val="15"/>
                <w:szCs w:val="15"/>
                <w:color w:val="auto"/>
              </w:rPr>
            </w:pPr>
          </w:p>
        </w:tc>
        <w:tc>
          <w:tcPr>
            <w:tcW w:w="11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15.98%</w:t>
            </w:r>
          </w:p>
        </w:tc>
        <w:tc>
          <w:tcPr>
            <w:tcW w:w="260" w:type="dxa"/>
            <w:vAlign w:val="bottom"/>
            <w:shd w:val="clear" w:color="auto" w:fill="CCEEFF"/>
          </w:tcPr>
          <w:p>
            <w:pPr>
              <w:spacing w:after="0"/>
              <w:rPr>
                <w:sz w:val="15"/>
                <w:szCs w:val="15"/>
                <w:color w:val="auto"/>
              </w:rPr>
            </w:pPr>
          </w:p>
        </w:tc>
        <w:tc>
          <w:tcPr>
            <w:tcW w:w="11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15.80%</w:t>
            </w:r>
          </w:p>
        </w:tc>
        <w:tc>
          <w:tcPr>
            <w:tcW w:w="240" w:type="dxa"/>
            <w:vAlign w:val="bottom"/>
            <w:shd w:val="clear" w:color="auto" w:fill="CCEEFF"/>
          </w:tcPr>
          <w:p>
            <w:pPr>
              <w:spacing w:after="0"/>
              <w:rPr>
                <w:sz w:val="15"/>
                <w:szCs w:val="15"/>
                <w:color w:val="auto"/>
              </w:rPr>
            </w:pPr>
          </w:p>
        </w:tc>
        <w:tc>
          <w:tcPr>
            <w:tcW w:w="11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13.28%</w:t>
            </w:r>
          </w:p>
        </w:tc>
        <w:tc>
          <w:tcPr>
            <w:tcW w:w="400" w:type="dxa"/>
            <w:vAlign w:val="bottom"/>
            <w:shd w:val="clear" w:color="auto" w:fill="CCEEFF"/>
          </w:tcPr>
          <w:p>
            <w:pPr>
              <w:spacing w:after="0"/>
              <w:rPr>
                <w:sz w:val="15"/>
                <w:szCs w:val="15"/>
                <w:color w:val="auto"/>
              </w:rPr>
            </w:pPr>
          </w:p>
        </w:tc>
        <w:tc>
          <w:tcPr>
            <w:tcW w:w="9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12.02%</w:t>
            </w:r>
          </w:p>
        </w:tc>
        <w:tc>
          <w:tcPr>
            <w:tcW w:w="60" w:type="dxa"/>
            <w:vAlign w:val="bottom"/>
            <w:shd w:val="clear" w:color="auto" w:fill="CCEEFF"/>
          </w:tcPr>
          <w:p>
            <w:pPr>
              <w:spacing w:after="0"/>
              <w:rPr>
                <w:sz w:val="15"/>
                <w:szCs w:val="15"/>
                <w:color w:val="auto"/>
              </w:rPr>
            </w:pPr>
          </w:p>
        </w:tc>
        <w:tc>
          <w:tcPr>
            <w:tcW w:w="260" w:type="dxa"/>
            <w:vAlign w:val="bottom"/>
            <w:shd w:val="clear" w:color="auto" w:fill="CCEEFF"/>
          </w:tcPr>
          <w:p>
            <w:pPr>
              <w:spacing w:after="0"/>
              <w:rPr>
                <w:sz w:val="15"/>
                <w:szCs w:val="15"/>
                <w:color w:val="auto"/>
              </w:rPr>
            </w:pP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11.83%</w:t>
            </w:r>
          </w:p>
        </w:tc>
      </w:tr>
      <w:tr>
        <w:trPr>
          <w:trHeight w:val="183"/>
        </w:trPr>
        <w:tc>
          <w:tcPr>
            <w:tcW w:w="4620" w:type="dxa"/>
            <w:vAlign w:val="bottom"/>
          </w:tcPr>
          <w:p>
            <w:pPr>
              <w:ind w:left="120"/>
              <w:spacing w:after="0" w:line="183" w:lineRule="exact"/>
              <w:rPr>
                <w:sz w:val="20"/>
                <w:szCs w:val="20"/>
                <w:color w:val="auto"/>
              </w:rPr>
            </w:pPr>
            <w:r>
              <w:rPr>
                <w:rFonts w:ascii="Arial" w:cs="Arial" w:eastAsia="Arial" w:hAnsi="Arial"/>
                <w:sz w:val="13"/>
                <w:szCs w:val="13"/>
                <w:color w:val="auto"/>
              </w:rPr>
              <w:t xml:space="preserve">Leverage ratio </w:t>
            </w:r>
            <w:r>
              <w:rPr>
                <w:rFonts w:ascii="Arial" w:cs="Arial" w:eastAsia="Arial" w:hAnsi="Arial"/>
                <w:sz w:val="21"/>
                <w:szCs w:val="21"/>
                <w:color w:val="auto"/>
                <w:vertAlign w:val="superscript"/>
              </w:rPr>
              <w:t>(11)</w:t>
            </w:r>
          </w:p>
        </w:tc>
        <w:tc>
          <w:tcPr>
            <w:tcW w:w="8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1140" w:type="dxa"/>
            <w:vAlign w:val="bottom"/>
            <w:gridSpan w:val="2"/>
          </w:tcPr>
          <w:p>
            <w:pPr>
              <w:jc w:val="right"/>
              <w:ind w:right="180"/>
              <w:spacing w:after="0"/>
              <w:rPr>
                <w:sz w:val="20"/>
                <w:szCs w:val="20"/>
                <w:color w:val="auto"/>
              </w:rPr>
            </w:pPr>
            <w:r>
              <w:rPr>
                <w:rFonts w:ascii="Arial" w:cs="Arial" w:eastAsia="Arial" w:hAnsi="Arial"/>
                <w:sz w:val="13"/>
                <w:szCs w:val="13"/>
                <w:color w:val="auto"/>
              </w:rPr>
              <w:t>7.7x</w:t>
            </w:r>
          </w:p>
        </w:tc>
        <w:tc>
          <w:tcPr>
            <w:tcW w:w="260" w:type="dxa"/>
            <w:vAlign w:val="bottom"/>
          </w:tcPr>
          <w:p>
            <w:pPr>
              <w:spacing w:after="0"/>
              <w:rPr>
                <w:sz w:val="15"/>
                <w:szCs w:val="15"/>
                <w:color w:val="auto"/>
              </w:rPr>
            </w:pPr>
          </w:p>
        </w:tc>
        <w:tc>
          <w:tcPr>
            <w:tcW w:w="1140" w:type="dxa"/>
            <w:vAlign w:val="bottom"/>
            <w:gridSpan w:val="2"/>
          </w:tcPr>
          <w:p>
            <w:pPr>
              <w:jc w:val="right"/>
              <w:ind w:right="180"/>
              <w:spacing w:after="0"/>
              <w:rPr>
                <w:sz w:val="20"/>
                <w:szCs w:val="20"/>
                <w:color w:val="auto"/>
              </w:rPr>
            </w:pPr>
            <w:r>
              <w:rPr>
                <w:rFonts w:ascii="Arial" w:cs="Arial" w:eastAsia="Arial" w:hAnsi="Arial"/>
                <w:sz w:val="13"/>
                <w:szCs w:val="13"/>
                <w:color w:val="auto"/>
              </w:rPr>
              <w:t>6.0x</w:t>
            </w:r>
          </w:p>
        </w:tc>
        <w:tc>
          <w:tcPr>
            <w:tcW w:w="240" w:type="dxa"/>
            <w:vAlign w:val="bottom"/>
          </w:tcPr>
          <w:p>
            <w:pPr>
              <w:spacing w:after="0"/>
              <w:rPr>
                <w:sz w:val="15"/>
                <w:szCs w:val="15"/>
                <w:color w:val="auto"/>
              </w:rPr>
            </w:pPr>
          </w:p>
        </w:tc>
        <w:tc>
          <w:tcPr>
            <w:tcW w:w="1120" w:type="dxa"/>
            <w:vAlign w:val="bottom"/>
            <w:gridSpan w:val="2"/>
          </w:tcPr>
          <w:p>
            <w:pPr>
              <w:jc w:val="right"/>
              <w:ind w:right="160"/>
              <w:spacing w:after="0"/>
              <w:rPr>
                <w:sz w:val="20"/>
                <w:szCs w:val="20"/>
                <w:color w:val="auto"/>
              </w:rPr>
            </w:pPr>
            <w:r>
              <w:rPr>
                <w:rFonts w:ascii="Arial" w:cs="Arial" w:eastAsia="Arial" w:hAnsi="Arial"/>
                <w:sz w:val="13"/>
                <w:szCs w:val="13"/>
                <w:color w:val="auto"/>
              </w:rPr>
              <w:t>7.1x</w:t>
            </w:r>
          </w:p>
        </w:tc>
        <w:tc>
          <w:tcPr>
            <w:tcW w:w="400" w:type="dxa"/>
            <w:vAlign w:val="bottom"/>
          </w:tcPr>
          <w:p>
            <w:pPr>
              <w:spacing w:after="0"/>
              <w:rPr>
                <w:sz w:val="15"/>
                <w:szCs w:val="15"/>
                <w:color w:val="auto"/>
              </w:rPr>
            </w:pPr>
          </w:p>
        </w:tc>
        <w:tc>
          <w:tcPr>
            <w:tcW w:w="900" w:type="dxa"/>
            <w:vAlign w:val="bottom"/>
            <w:gridSpan w:val="2"/>
          </w:tcPr>
          <w:p>
            <w:pPr>
              <w:jc w:val="right"/>
              <w:ind w:right="100"/>
              <w:spacing w:after="0"/>
              <w:rPr>
                <w:sz w:val="20"/>
                <w:szCs w:val="20"/>
                <w:color w:val="auto"/>
              </w:rPr>
            </w:pPr>
            <w:r>
              <w:rPr>
                <w:rFonts w:ascii="Arial" w:cs="Arial" w:eastAsia="Arial" w:hAnsi="Arial"/>
                <w:sz w:val="13"/>
                <w:szCs w:val="13"/>
                <w:color w:val="auto"/>
              </w:rPr>
              <w:t>8.5x</w:t>
            </w:r>
          </w:p>
        </w:tc>
        <w:tc>
          <w:tcPr>
            <w:tcW w:w="6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1000" w:type="dxa"/>
            <w:vAlign w:val="bottom"/>
            <w:gridSpan w:val="2"/>
          </w:tcPr>
          <w:p>
            <w:pPr>
              <w:jc w:val="right"/>
              <w:ind w:right="60"/>
              <w:spacing w:after="0"/>
              <w:rPr>
                <w:sz w:val="20"/>
                <w:szCs w:val="20"/>
                <w:color w:val="auto"/>
              </w:rPr>
            </w:pPr>
            <w:r>
              <w:rPr>
                <w:rFonts w:ascii="Arial" w:cs="Arial" w:eastAsia="Arial" w:hAnsi="Arial"/>
                <w:sz w:val="13"/>
                <w:szCs w:val="13"/>
                <w:color w:val="auto"/>
              </w:rPr>
              <w:t>8.8x</w:t>
            </w:r>
          </w:p>
        </w:tc>
      </w:tr>
      <w:tr>
        <w:trPr>
          <w:trHeight w:val="183"/>
        </w:trPr>
        <w:tc>
          <w:tcPr>
            <w:tcW w:w="4620" w:type="dxa"/>
            <w:vAlign w:val="bottom"/>
            <w:shd w:val="clear" w:color="auto" w:fill="CCEEFF"/>
          </w:tcPr>
          <w:p>
            <w:pPr>
              <w:ind w:left="120"/>
              <w:spacing w:after="0" w:line="183" w:lineRule="exact"/>
              <w:rPr>
                <w:sz w:val="20"/>
                <w:szCs w:val="20"/>
                <w:color w:val="auto"/>
              </w:rPr>
            </w:pPr>
            <w:r>
              <w:rPr>
                <w:rFonts w:ascii="Arial" w:cs="Arial" w:eastAsia="Arial" w:hAnsi="Arial"/>
                <w:sz w:val="13"/>
                <w:szCs w:val="13"/>
                <w:color w:val="auto"/>
              </w:rPr>
              <w:t xml:space="preserve">Tier 1 capital to risk-weighted assets </w:t>
            </w:r>
            <w:r>
              <w:rPr>
                <w:rFonts w:ascii="Arial" w:cs="Arial" w:eastAsia="Arial" w:hAnsi="Arial"/>
                <w:sz w:val="21"/>
                <w:szCs w:val="21"/>
                <w:color w:val="auto"/>
                <w:vertAlign w:val="superscript"/>
              </w:rPr>
              <w:t>(12)</w:t>
            </w:r>
          </w:p>
        </w:tc>
        <w:tc>
          <w:tcPr>
            <w:tcW w:w="80" w:type="dxa"/>
            <w:vAlign w:val="bottom"/>
            <w:shd w:val="clear" w:color="auto" w:fill="CCEEFF"/>
          </w:tcPr>
          <w:p>
            <w:pPr>
              <w:spacing w:after="0"/>
              <w:rPr>
                <w:sz w:val="15"/>
                <w:szCs w:val="15"/>
                <w:color w:val="auto"/>
              </w:rPr>
            </w:pPr>
          </w:p>
        </w:tc>
        <w:tc>
          <w:tcPr>
            <w:tcW w:w="260" w:type="dxa"/>
            <w:vAlign w:val="bottom"/>
            <w:shd w:val="clear" w:color="auto" w:fill="CCEEFF"/>
          </w:tcPr>
          <w:p>
            <w:pPr>
              <w:spacing w:after="0"/>
              <w:rPr>
                <w:sz w:val="15"/>
                <w:szCs w:val="15"/>
                <w:color w:val="auto"/>
              </w:rPr>
            </w:pPr>
          </w:p>
        </w:tc>
        <w:tc>
          <w:tcPr>
            <w:tcW w:w="11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18.1%</w:t>
            </w:r>
          </w:p>
        </w:tc>
        <w:tc>
          <w:tcPr>
            <w:tcW w:w="260" w:type="dxa"/>
            <w:vAlign w:val="bottom"/>
            <w:shd w:val="clear" w:color="auto" w:fill="CCEEFF"/>
          </w:tcPr>
          <w:p>
            <w:pPr>
              <w:spacing w:after="0"/>
              <w:rPr>
                <w:sz w:val="15"/>
                <w:szCs w:val="15"/>
                <w:color w:val="auto"/>
              </w:rPr>
            </w:pPr>
          </w:p>
        </w:tc>
        <w:tc>
          <w:tcPr>
            <w:tcW w:w="11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21.1%</w:t>
            </w:r>
          </w:p>
        </w:tc>
        <w:tc>
          <w:tcPr>
            <w:tcW w:w="240" w:type="dxa"/>
            <w:vAlign w:val="bottom"/>
            <w:shd w:val="clear" w:color="auto" w:fill="CCEEFF"/>
          </w:tcPr>
          <w:p>
            <w:pPr>
              <w:spacing w:after="0"/>
              <w:rPr>
                <w:sz w:val="15"/>
                <w:szCs w:val="15"/>
                <w:color w:val="auto"/>
              </w:rPr>
            </w:pPr>
          </w:p>
        </w:tc>
        <w:tc>
          <w:tcPr>
            <w:tcW w:w="11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17.9%</w:t>
            </w:r>
          </w:p>
        </w:tc>
        <w:tc>
          <w:tcPr>
            <w:tcW w:w="400" w:type="dxa"/>
            <w:vAlign w:val="bottom"/>
            <w:shd w:val="clear" w:color="auto" w:fill="CCEEFF"/>
          </w:tcPr>
          <w:p>
            <w:pPr>
              <w:spacing w:after="0"/>
              <w:rPr>
                <w:sz w:val="15"/>
                <w:szCs w:val="15"/>
                <w:color w:val="auto"/>
              </w:rPr>
            </w:pPr>
          </w:p>
        </w:tc>
        <w:tc>
          <w:tcPr>
            <w:tcW w:w="9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16.1%</w:t>
            </w:r>
          </w:p>
        </w:tc>
        <w:tc>
          <w:tcPr>
            <w:tcW w:w="60" w:type="dxa"/>
            <w:vAlign w:val="bottom"/>
            <w:shd w:val="clear" w:color="auto" w:fill="CCEEFF"/>
          </w:tcPr>
          <w:p>
            <w:pPr>
              <w:spacing w:after="0"/>
              <w:rPr>
                <w:sz w:val="15"/>
                <w:szCs w:val="15"/>
                <w:color w:val="auto"/>
              </w:rPr>
            </w:pPr>
          </w:p>
        </w:tc>
        <w:tc>
          <w:tcPr>
            <w:tcW w:w="260" w:type="dxa"/>
            <w:vAlign w:val="bottom"/>
            <w:shd w:val="clear" w:color="auto" w:fill="CCEEFF"/>
          </w:tcPr>
          <w:p>
            <w:pPr>
              <w:spacing w:after="0"/>
              <w:rPr>
                <w:sz w:val="15"/>
                <w:szCs w:val="15"/>
                <w:color w:val="auto"/>
              </w:rPr>
            </w:pP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15.5%</w:t>
            </w:r>
          </w:p>
        </w:tc>
      </w:tr>
      <w:tr>
        <w:trPr>
          <w:trHeight w:val="278"/>
        </w:trPr>
        <w:tc>
          <w:tcPr>
            <w:tcW w:w="4620" w:type="dxa"/>
            <w:vAlign w:val="bottom"/>
          </w:tcPr>
          <w:p>
            <w:pPr>
              <w:ind w:left="120"/>
              <w:spacing w:after="0"/>
              <w:rPr>
                <w:sz w:val="20"/>
                <w:szCs w:val="20"/>
                <w:color w:val="auto"/>
              </w:rPr>
            </w:pPr>
            <w:r>
              <w:rPr>
                <w:rFonts w:ascii="Arial" w:cs="Arial" w:eastAsia="Arial" w:hAnsi="Arial"/>
                <w:sz w:val="13"/>
                <w:szCs w:val="13"/>
                <w:color w:val="auto"/>
              </w:rPr>
              <w:t xml:space="preserve">Risk-weighted assets </w:t>
            </w:r>
            <w:r>
              <w:rPr>
                <w:rFonts w:ascii="Arial" w:cs="Arial" w:eastAsia="Arial" w:hAnsi="Arial"/>
                <w:sz w:val="21"/>
                <w:szCs w:val="21"/>
                <w:color w:val="auto"/>
                <w:vertAlign w:val="superscript"/>
              </w:rPr>
              <w:t>(12)</w:t>
            </w:r>
          </w:p>
        </w:tc>
        <w:tc>
          <w:tcPr>
            <w:tcW w:w="34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140" w:type="dxa"/>
            <w:vAlign w:val="bottom"/>
            <w:gridSpan w:val="2"/>
          </w:tcPr>
          <w:p>
            <w:pPr>
              <w:jc w:val="right"/>
              <w:ind w:right="240"/>
              <w:spacing w:after="0"/>
              <w:rPr>
                <w:sz w:val="20"/>
                <w:szCs w:val="20"/>
                <w:color w:val="auto"/>
              </w:rPr>
            </w:pPr>
            <w:r>
              <w:rPr>
                <w:rFonts w:ascii="Arial" w:cs="Arial" w:eastAsia="Arial" w:hAnsi="Arial"/>
                <w:sz w:val="13"/>
                <w:szCs w:val="13"/>
                <w:color w:val="auto"/>
              </w:rPr>
              <w:t>5,494,080</w:t>
            </w:r>
          </w:p>
        </w:tc>
        <w:tc>
          <w:tcPr>
            <w:tcW w:w="260" w:type="dxa"/>
            <w:vAlign w:val="bottom"/>
          </w:tcPr>
          <w:p>
            <w:pPr>
              <w:jc w:val="right"/>
              <w:ind w:right="152"/>
              <w:spacing w:after="0"/>
              <w:rPr>
                <w:sz w:val="20"/>
                <w:szCs w:val="20"/>
                <w:color w:val="auto"/>
              </w:rPr>
            </w:pPr>
            <w:r>
              <w:rPr>
                <w:rFonts w:ascii="Arial" w:cs="Arial" w:eastAsia="Arial" w:hAnsi="Arial"/>
                <w:sz w:val="10"/>
                <w:szCs w:val="10"/>
                <w:color w:val="auto"/>
                <w:w w:val="71"/>
              </w:rPr>
              <w:t>$</w:t>
            </w:r>
          </w:p>
        </w:tc>
        <w:tc>
          <w:tcPr>
            <w:tcW w:w="900" w:type="dxa"/>
            <w:vAlign w:val="bottom"/>
          </w:tcPr>
          <w:p>
            <w:pPr>
              <w:jc w:val="right"/>
              <w:spacing w:after="0"/>
              <w:rPr>
                <w:sz w:val="20"/>
                <w:szCs w:val="20"/>
                <w:color w:val="auto"/>
              </w:rPr>
            </w:pPr>
            <w:r>
              <w:rPr>
                <w:rFonts w:ascii="Arial" w:cs="Arial" w:eastAsia="Arial" w:hAnsi="Arial"/>
                <w:sz w:val="13"/>
                <w:szCs w:val="13"/>
                <w:color w:val="auto"/>
              </w:rPr>
              <w:t>4,931,046</w:t>
            </w:r>
          </w:p>
        </w:tc>
        <w:tc>
          <w:tcPr>
            <w:tcW w:w="240" w:type="dxa"/>
            <w:vAlign w:val="bottom"/>
          </w:tcPr>
          <w:p>
            <w:pPr>
              <w:spacing w:after="0"/>
              <w:rPr>
                <w:sz w:val="24"/>
                <w:szCs w:val="24"/>
                <w:color w:val="auto"/>
              </w:rPr>
            </w:pPr>
          </w:p>
        </w:tc>
        <w:tc>
          <w:tcPr>
            <w:tcW w:w="240" w:type="dxa"/>
            <w:vAlign w:val="bottom"/>
          </w:tcPr>
          <w:p>
            <w:pPr>
              <w:jc w:val="right"/>
              <w:ind w:right="132"/>
              <w:spacing w:after="0"/>
              <w:rPr>
                <w:sz w:val="20"/>
                <w:szCs w:val="20"/>
                <w:color w:val="auto"/>
              </w:rPr>
            </w:pPr>
            <w:r>
              <w:rPr>
                <w:rFonts w:ascii="Arial" w:cs="Arial" w:eastAsia="Arial" w:hAnsi="Arial"/>
                <w:sz w:val="10"/>
                <w:szCs w:val="10"/>
                <w:color w:val="auto"/>
                <w:w w:val="71"/>
              </w:rPr>
              <w:t>$</w:t>
            </w: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5,662,453</w:t>
            </w:r>
          </w:p>
        </w:tc>
        <w:tc>
          <w:tcPr>
            <w:tcW w:w="400" w:type="dxa"/>
            <w:vAlign w:val="bottom"/>
          </w:tcPr>
          <w:p>
            <w:pPr>
              <w:jc w:val="right"/>
              <w:ind w:right="292"/>
              <w:spacing w:after="0"/>
              <w:rPr>
                <w:sz w:val="20"/>
                <w:szCs w:val="20"/>
                <w:color w:val="auto"/>
              </w:rPr>
            </w:pPr>
            <w:r>
              <w:rPr>
                <w:rFonts w:ascii="Arial" w:cs="Arial" w:eastAsia="Arial" w:hAnsi="Arial"/>
                <w:sz w:val="10"/>
                <w:szCs w:val="10"/>
                <w:color w:val="auto"/>
                <w:w w:val="71"/>
              </w:rPr>
              <w:t>$</w:t>
            </w:r>
          </w:p>
        </w:tc>
        <w:tc>
          <w:tcPr>
            <w:tcW w:w="740" w:type="dxa"/>
            <w:vAlign w:val="bottom"/>
          </w:tcPr>
          <w:p>
            <w:pPr>
              <w:jc w:val="right"/>
              <w:spacing w:after="0"/>
              <w:rPr>
                <w:sz w:val="20"/>
                <w:szCs w:val="20"/>
                <w:color w:val="auto"/>
              </w:rPr>
            </w:pPr>
            <w:r>
              <w:rPr>
                <w:rFonts w:ascii="Arial" w:cs="Arial" w:eastAsia="Arial" w:hAnsi="Arial"/>
                <w:sz w:val="13"/>
                <w:szCs w:val="13"/>
                <w:color w:val="auto"/>
              </w:rPr>
              <w:t>6,103,767</w:t>
            </w:r>
          </w:p>
        </w:tc>
        <w:tc>
          <w:tcPr>
            <w:tcW w:w="160" w:type="dxa"/>
            <w:vAlign w:val="bottom"/>
          </w:tcPr>
          <w:p>
            <w:pPr>
              <w:spacing w:after="0"/>
              <w:rPr>
                <w:sz w:val="24"/>
                <w:szCs w:val="24"/>
                <w:color w:val="auto"/>
              </w:rPr>
            </w:pPr>
          </w:p>
        </w:tc>
        <w:tc>
          <w:tcPr>
            <w:tcW w:w="320" w:type="dxa"/>
            <w:vAlign w:val="bottom"/>
            <w:gridSpan w:val="2"/>
          </w:tcPr>
          <w:p>
            <w:pPr>
              <w:jc w:val="right"/>
              <w:ind w:right="152"/>
              <w:spacing w:after="0"/>
              <w:rPr>
                <w:sz w:val="20"/>
                <w:szCs w:val="20"/>
                <w:color w:val="auto"/>
              </w:rPr>
            </w:pPr>
            <w:r>
              <w:rPr>
                <w:rFonts w:ascii="Arial" w:cs="Arial" w:eastAsia="Arial" w:hAnsi="Arial"/>
                <w:sz w:val="13"/>
                <w:szCs w:val="13"/>
                <w:color w:val="auto"/>
              </w:rPr>
              <w:t>$</w:t>
            </w:r>
          </w:p>
        </w:tc>
        <w:tc>
          <w:tcPr>
            <w:tcW w:w="880" w:type="dxa"/>
            <w:vAlign w:val="bottom"/>
          </w:tcPr>
          <w:p>
            <w:pPr>
              <w:jc w:val="right"/>
              <w:spacing w:after="0"/>
              <w:rPr>
                <w:sz w:val="20"/>
                <w:szCs w:val="20"/>
                <w:color w:val="auto"/>
              </w:rPr>
            </w:pPr>
            <w:r>
              <w:rPr>
                <w:rFonts w:ascii="Arial" w:cs="Arial" w:eastAsia="Arial" w:hAnsi="Arial"/>
                <w:sz w:val="13"/>
                <w:szCs w:val="13"/>
                <w:color w:val="auto"/>
              </w:rPr>
              <w:t>5,913,505</w:t>
            </w:r>
          </w:p>
        </w:tc>
        <w:tc>
          <w:tcPr>
            <w:tcW w:w="120" w:type="dxa"/>
            <w:vAlign w:val="bottom"/>
          </w:tcPr>
          <w:p>
            <w:pPr>
              <w:spacing w:after="0"/>
              <w:rPr>
                <w:sz w:val="24"/>
                <w:szCs w:val="24"/>
                <w:color w:val="auto"/>
              </w:rPr>
            </w:pPr>
          </w:p>
        </w:tc>
      </w:tr>
    </w:tbl>
    <w:p>
      <w:pPr>
        <w:ind w:left="223" w:hanging="223"/>
        <w:spacing w:after="0" w:line="210" w:lineRule="auto"/>
        <w:tabs>
          <w:tab w:leader="none" w:pos="223" w:val="left"/>
        </w:tabs>
        <w:numPr>
          <w:ilvl w:val="0"/>
          <w:numId w:val="10"/>
        </w:numPr>
        <w:rPr>
          <w:rFonts w:ascii="Arial" w:cs="Arial" w:eastAsia="Arial" w:hAnsi="Arial"/>
          <w:sz w:val="21"/>
          <w:szCs w:val="21"/>
          <w:color w:val="auto"/>
          <w:vertAlign w:val="superscript"/>
        </w:rPr>
      </w:pPr>
      <w:r>
        <w:rPr>
          <w:rFonts w:ascii="Arial" w:cs="Arial" w:eastAsia="Arial" w:hAnsi="Arial"/>
          <w:sz w:val="13"/>
          <w:szCs w:val="13"/>
          <w:color w:val="auto"/>
        </w:rPr>
        <w:t>Book value per share refers to the Bank’s total equity divided by the Bank’s outstanding common basic shares at the end of the period.</w:t>
      </w:r>
    </w:p>
    <w:p>
      <w:pPr>
        <w:spacing w:after="0" w:line="2" w:lineRule="exact"/>
        <w:rPr>
          <w:rFonts w:ascii="Arial" w:cs="Arial" w:eastAsia="Arial" w:hAnsi="Arial"/>
          <w:sz w:val="21"/>
          <w:szCs w:val="21"/>
          <w:color w:val="auto"/>
          <w:vertAlign w:val="superscript"/>
        </w:rPr>
      </w:pPr>
    </w:p>
    <w:p>
      <w:pPr>
        <w:ind w:left="223" w:right="20" w:hanging="223"/>
        <w:spacing w:after="0" w:line="188" w:lineRule="auto"/>
        <w:tabs>
          <w:tab w:leader="none" w:pos="223" w:val="left"/>
        </w:tabs>
        <w:numPr>
          <w:ilvl w:val="0"/>
          <w:numId w:val="10"/>
        </w:numPr>
        <w:rPr>
          <w:rFonts w:ascii="Arial" w:cs="Arial" w:eastAsia="Arial" w:hAnsi="Arial"/>
          <w:sz w:val="21"/>
          <w:szCs w:val="21"/>
          <w:color w:val="auto"/>
          <w:vertAlign w:val="superscript"/>
        </w:rPr>
      </w:pPr>
      <w:r>
        <w:rPr>
          <w:rFonts w:ascii="Arial" w:cs="Arial" w:eastAsia="Arial" w:hAnsi="Arial"/>
          <w:sz w:val="13"/>
          <w:szCs w:val="13"/>
          <w:color w:val="auto"/>
        </w:rPr>
        <w:t>For the years 2018, 2017, 2016, 2015 and 2014, return on average total assets is calculated as profit for the year divided by average total assets. Average total assets for 2018, 2017, 2016, 2015 and 2014 is calculated on the basis of daily average balances.</w:t>
      </w:r>
    </w:p>
    <w:p>
      <w:pPr>
        <w:ind w:left="223" w:hanging="223"/>
        <w:spacing w:after="0" w:line="189" w:lineRule="auto"/>
        <w:tabs>
          <w:tab w:leader="none" w:pos="223" w:val="left"/>
        </w:tabs>
        <w:numPr>
          <w:ilvl w:val="0"/>
          <w:numId w:val="10"/>
        </w:numPr>
        <w:rPr>
          <w:rFonts w:ascii="Arial" w:cs="Arial" w:eastAsia="Arial" w:hAnsi="Arial"/>
          <w:sz w:val="21"/>
          <w:szCs w:val="21"/>
          <w:color w:val="auto"/>
          <w:vertAlign w:val="superscript"/>
        </w:rPr>
      </w:pPr>
      <w:r>
        <w:rPr>
          <w:rFonts w:ascii="Arial" w:cs="Arial" w:eastAsia="Arial" w:hAnsi="Arial"/>
          <w:sz w:val="13"/>
          <w:szCs w:val="13"/>
          <w:color w:val="auto"/>
        </w:rPr>
        <w:t>For the years 2018, 2017, 2016, 2015 and 2014, return on average total equity is calculated as profit for the year divided by average total equity. Average total equity for 2018, 2017, 2016, 2015 and 2014 is calculated on the basis of daily average balances.</w:t>
      </w:r>
    </w:p>
    <w:p>
      <w:pPr>
        <w:jc w:val="both"/>
        <w:ind w:left="223" w:hanging="223"/>
        <w:spacing w:after="0" w:line="241" w:lineRule="auto"/>
        <w:tabs>
          <w:tab w:leader="none" w:pos="223" w:val="left"/>
        </w:tabs>
        <w:numPr>
          <w:ilvl w:val="0"/>
          <w:numId w:val="10"/>
        </w:numPr>
        <w:rPr>
          <w:rFonts w:ascii="Arial" w:cs="Arial" w:eastAsia="Arial" w:hAnsi="Arial"/>
          <w:sz w:val="18"/>
          <w:szCs w:val="18"/>
          <w:color w:val="auto"/>
          <w:vertAlign w:val="superscript"/>
        </w:rPr>
      </w:pPr>
      <w:r>
        <w:rPr>
          <w:rFonts w:ascii="Arial" w:cs="Arial" w:eastAsia="Arial" w:hAnsi="Arial"/>
          <w:sz w:val="11"/>
          <w:szCs w:val="11"/>
          <w:color w:val="auto"/>
        </w:rPr>
        <w:t>For the years 2018, 2017, 2016, 2015 and 2014, net interest margin is calculated as net interest income divided by the average balance of interest-earning assets. Average balance of interest-earning assets for 2018, 2017, 2016, 2015 and 2014 is calculated on the basis of daily average balances. Net interest spread is calculated as average yield earned on interest-earning assets, less the average yield paid on interest-bearing liabilities. For more information regarding calculation of the net interest margin and the net interest spread, see Item 5.A., “Operating and Financial Review and Prospects—Operating Results—Net Interest Income and Margins.”</w:t>
      </w:r>
    </w:p>
    <w:p>
      <w:pPr>
        <w:ind w:left="223" w:hanging="223"/>
        <w:spacing w:after="0" w:line="189" w:lineRule="auto"/>
        <w:tabs>
          <w:tab w:leader="none" w:pos="223" w:val="left"/>
        </w:tabs>
        <w:numPr>
          <w:ilvl w:val="0"/>
          <w:numId w:val="10"/>
        </w:numPr>
        <w:rPr>
          <w:rFonts w:ascii="Arial" w:cs="Arial" w:eastAsia="Arial" w:hAnsi="Arial"/>
          <w:sz w:val="17"/>
          <w:szCs w:val="17"/>
          <w:color w:val="auto"/>
          <w:vertAlign w:val="superscript"/>
        </w:rPr>
      </w:pPr>
      <w:r>
        <w:rPr>
          <w:rFonts w:ascii="Arial" w:cs="Arial" w:eastAsia="Arial" w:hAnsi="Arial"/>
          <w:sz w:val="11"/>
          <w:szCs w:val="11"/>
          <w:color w:val="auto"/>
        </w:rPr>
        <w:t>Efficiency ratio is total operating expenses as a percentage of total revenues.</w:t>
      </w:r>
    </w:p>
    <w:p>
      <w:pPr>
        <w:spacing w:after="0" w:line="1" w:lineRule="exact"/>
        <w:rPr>
          <w:rFonts w:ascii="Arial" w:cs="Arial" w:eastAsia="Arial" w:hAnsi="Arial"/>
          <w:sz w:val="17"/>
          <w:szCs w:val="17"/>
          <w:color w:val="auto"/>
          <w:vertAlign w:val="superscript"/>
        </w:rPr>
      </w:pPr>
    </w:p>
    <w:p>
      <w:pPr>
        <w:ind w:left="223" w:hanging="223"/>
        <w:spacing w:after="0" w:line="187" w:lineRule="auto"/>
        <w:tabs>
          <w:tab w:leader="none" w:pos="223" w:val="left"/>
        </w:tabs>
        <w:numPr>
          <w:ilvl w:val="0"/>
          <w:numId w:val="10"/>
        </w:numPr>
        <w:rPr>
          <w:rFonts w:ascii="Arial" w:cs="Arial" w:eastAsia="Arial" w:hAnsi="Arial"/>
          <w:sz w:val="17"/>
          <w:szCs w:val="17"/>
          <w:color w:val="auto"/>
          <w:vertAlign w:val="superscript"/>
        </w:rPr>
      </w:pPr>
      <w:r>
        <w:rPr>
          <w:rFonts w:ascii="Arial" w:cs="Arial" w:eastAsia="Arial" w:hAnsi="Arial"/>
          <w:sz w:val="11"/>
          <w:szCs w:val="11"/>
          <w:color w:val="auto"/>
        </w:rPr>
        <w:t>The Bank calculates regular cash dividend payout ratio as regular cash dividends paid per share during the relevant period.</w:t>
      </w:r>
    </w:p>
    <w:p>
      <w:pPr>
        <w:spacing w:after="0" w:line="1" w:lineRule="exact"/>
        <w:rPr>
          <w:rFonts w:ascii="Arial" w:cs="Arial" w:eastAsia="Arial" w:hAnsi="Arial"/>
          <w:sz w:val="17"/>
          <w:szCs w:val="17"/>
          <w:color w:val="auto"/>
          <w:vertAlign w:val="superscript"/>
        </w:rPr>
      </w:pPr>
    </w:p>
    <w:p>
      <w:pPr>
        <w:ind w:left="223" w:right="20" w:hanging="223"/>
        <w:spacing w:after="0" w:line="188" w:lineRule="auto"/>
        <w:tabs>
          <w:tab w:leader="none" w:pos="223" w:val="left"/>
        </w:tabs>
        <w:numPr>
          <w:ilvl w:val="0"/>
          <w:numId w:val="10"/>
        </w:numPr>
        <w:rPr>
          <w:rFonts w:ascii="Arial" w:cs="Arial" w:eastAsia="Arial" w:hAnsi="Arial"/>
          <w:sz w:val="21"/>
          <w:szCs w:val="21"/>
          <w:color w:val="auto"/>
          <w:vertAlign w:val="superscript"/>
        </w:rPr>
      </w:pPr>
      <w:r>
        <w:rPr>
          <w:rFonts w:ascii="Arial" w:cs="Arial" w:eastAsia="Arial" w:hAnsi="Arial"/>
          <w:sz w:val="13"/>
          <w:szCs w:val="13"/>
          <w:color w:val="auto"/>
        </w:rPr>
        <w:t>Liquid assets refer to total cash and cash equivalents, consisting of cash and due from banks, and interest-bearing deposits in banks, excluding pledged deposits, as shown in the consolidated statements of cash flows. See Item 5.B. “Operating and Financial Review and Prospects—Liquidity and Capital Resources—Liquidity” and Item 18, “Financial Statements.</w:t>
      </w:r>
    </w:p>
    <w:p>
      <w:pPr>
        <w:ind w:left="223" w:hanging="223"/>
        <w:spacing w:after="0" w:line="200" w:lineRule="auto"/>
        <w:tabs>
          <w:tab w:leader="none" w:pos="223" w:val="left"/>
        </w:tabs>
        <w:numPr>
          <w:ilvl w:val="0"/>
          <w:numId w:val="10"/>
        </w:numPr>
        <w:rPr>
          <w:rFonts w:ascii="Arial" w:cs="Arial" w:eastAsia="Arial" w:hAnsi="Arial"/>
          <w:sz w:val="20"/>
          <w:szCs w:val="20"/>
          <w:color w:val="auto"/>
          <w:vertAlign w:val="superscript"/>
        </w:rPr>
      </w:pPr>
      <w:r>
        <w:rPr>
          <w:rFonts w:ascii="Arial" w:cs="Arial" w:eastAsia="Arial" w:hAnsi="Arial"/>
          <w:sz w:val="12"/>
          <w:szCs w:val="12"/>
          <w:color w:val="auto"/>
        </w:rPr>
        <w:t>As of December 31, 2018, 2017, 2016, 2015 and 2014 the Bank had credit-impaired loans of $65 million, $59 million, $65 million, $52 million and $4 million, respectively. Impairment factors considered by the Bank’s management include collection status, collateral value, the probability of collecting scheduled principal and interest payments when due, and economic conditions in the borrower’s country of residence.</w:t>
      </w:r>
    </w:p>
    <w:p>
      <w:pPr>
        <w:spacing w:after="0" w:line="1" w:lineRule="exact"/>
        <w:rPr>
          <w:rFonts w:ascii="Arial" w:cs="Arial" w:eastAsia="Arial" w:hAnsi="Arial"/>
          <w:sz w:val="20"/>
          <w:szCs w:val="20"/>
          <w:color w:val="auto"/>
          <w:vertAlign w:val="superscript"/>
        </w:rPr>
      </w:pPr>
    </w:p>
    <w:p>
      <w:pPr>
        <w:ind w:left="223" w:hanging="223"/>
        <w:spacing w:after="0" w:line="189" w:lineRule="auto"/>
        <w:tabs>
          <w:tab w:leader="none" w:pos="223" w:val="left"/>
        </w:tabs>
        <w:numPr>
          <w:ilvl w:val="0"/>
          <w:numId w:val="10"/>
        </w:numPr>
        <w:rPr>
          <w:rFonts w:ascii="Arial" w:cs="Arial" w:eastAsia="Arial" w:hAnsi="Arial"/>
          <w:sz w:val="17"/>
          <w:szCs w:val="17"/>
          <w:color w:val="auto"/>
          <w:vertAlign w:val="superscript"/>
        </w:rPr>
      </w:pPr>
      <w:r>
        <w:rPr>
          <w:rFonts w:ascii="Arial" w:cs="Arial" w:eastAsia="Arial" w:hAnsi="Arial"/>
          <w:sz w:val="11"/>
          <w:szCs w:val="11"/>
          <w:color w:val="auto"/>
        </w:rPr>
        <w:t>Loan Portfolio refers to loans, gross of the allowance for loan losses, interest receivable and unearned interest and deferred fees.</w:t>
      </w:r>
    </w:p>
    <w:p>
      <w:pPr>
        <w:spacing w:after="0" w:line="1" w:lineRule="exact"/>
        <w:rPr>
          <w:rFonts w:ascii="Arial" w:cs="Arial" w:eastAsia="Arial" w:hAnsi="Arial"/>
          <w:sz w:val="17"/>
          <w:szCs w:val="17"/>
          <w:color w:val="auto"/>
          <w:vertAlign w:val="superscript"/>
        </w:rPr>
      </w:pPr>
    </w:p>
    <w:p>
      <w:pPr>
        <w:ind w:left="223" w:hanging="223"/>
        <w:spacing w:after="0" w:line="187" w:lineRule="auto"/>
        <w:tabs>
          <w:tab w:leader="none" w:pos="223" w:val="left"/>
        </w:tabs>
        <w:numPr>
          <w:ilvl w:val="0"/>
          <w:numId w:val="10"/>
        </w:numPr>
        <w:rPr>
          <w:rFonts w:ascii="Arial" w:cs="Arial" w:eastAsia="Arial" w:hAnsi="Arial"/>
          <w:sz w:val="17"/>
          <w:szCs w:val="17"/>
          <w:color w:val="auto"/>
          <w:vertAlign w:val="superscript"/>
        </w:rPr>
      </w:pPr>
      <w:r>
        <w:rPr>
          <w:rFonts w:ascii="Arial" w:cs="Arial" w:eastAsia="Arial" w:hAnsi="Arial"/>
          <w:sz w:val="11"/>
          <w:szCs w:val="11"/>
          <w:color w:val="auto"/>
        </w:rPr>
        <w:t>For the years 2018, 2017, 2016, 2015 and 2014, average total assets and average total equity are calculated on the basis of daily average balances.</w:t>
      </w:r>
    </w:p>
    <w:p>
      <w:pPr>
        <w:spacing w:after="0" w:line="1" w:lineRule="exact"/>
        <w:rPr>
          <w:rFonts w:ascii="Arial" w:cs="Arial" w:eastAsia="Arial" w:hAnsi="Arial"/>
          <w:sz w:val="17"/>
          <w:szCs w:val="17"/>
          <w:color w:val="auto"/>
          <w:vertAlign w:val="superscript"/>
        </w:rPr>
      </w:pPr>
    </w:p>
    <w:p>
      <w:pPr>
        <w:ind w:left="223" w:hanging="223"/>
        <w:spacing w:after="0" w:line="187" w:lineRule="auto"/>
        <w:tabs>
          <w:tab w:leader="none" w:pos="223" w:val="left"/>
        </w:tabs>
        <w:numPr>
          <w:ilvl w:val="0"/>
          <w:numId w:val="10"/>
        </w:numPr>
        <w:rPr>
          <w:rFonts w:ascii="Arial" w:cs="Arial" w:eastAsia="Arial" w:hAnsi="Arial"/>
          <w:sz w:val="17"/>
          <w:szCs w:val="17"/>
          <w:color w:val="auto"/>
          <w:vertAlign w:val="superscript"/>
        </w:rPr>
      </w:pPr>
      <w:r>
        <w:rPr>
          <w:rFonts w:ascii="Arial" w:cs="Arial" w:eastAsia="Arial" w:hAnsi="Arial"/>
          <w:sz w:val="11"/>
          <w:szCs w:val="11"/>
          <w:color w:val="auto"/>
        </w:rPr>
        <w:t>Leverage ratio is the ratio of total assets to total equity.</w:t>
      </w:r>
    </w:p>
    <w:p>
      <w:pPr>
        <w:spacing w:after="0" w:line="1" w:lineRule="exact"/>
        <w:rPr>
          <w:rFonts w:ascii="Arial" w:cs="Arial" w:eastAsia="Arial" w:hAnsi="Arial"/>
          <w:sz w:val="17"/>
          <w:szCs w:val="17"/>
          <w:color w:val="auto"/>
          <w:vertAlign w:val="superscript"/>
        </w:rPr>
      </w:pPr>
    </w:p>
    <w:p>
      <w:pPr>
        <w:ind w:left="223" w:right="20" w:hanging="223"/>
        <w:spacing w:after="0" w:line="220" w:lineRule="auto"/>
        <w:tabs>
          <w:tab w:leader="none" w:pos="223" w:val="left"/>
        </w:tabs>
        <w:numPr>
          <w:ilvl w:val="0"/>
          <w:numId w:val="10"/>
        </w:numPr>
        <w:rPr>
          <w:rFonts w:ascii="Arial" w:cs="Arial" w:eastAsia="Arial" w:hAnsi="Arial"/>
          <w:sz w:val="18"/>
          <w:szCs w:val="18"/>
          <w:color w:val="auto"/>
          <w:vertAlign w:val="superscript"/>
        </w:rPr>
      </w:pPr>
      <w:r>
        <w:rPr>
          <w:rFonts w:ascii="Arial" w:cs="Arial" w:eastAsia="Arial" w:hAnsi="Arial"/>
          <w:sz w:val="11"/>
          <w:szCs w:val="11"/>
          <w:color w:val="auto"/>
        </w:rPr>
        <w:t>Tier 1 Capital is calculated according to Basel III capital adequacy guidelines, and is equivalent to total equity excluding certain effects such as accumulated other comprehensive income (loss) (“OCI”) of the securities at fair value through OCI. Tier 1 Capital ratio is calculated as a percentage of risk-weighted assets. Risk-weighted assets are estimated based on Basel III capital adequacy guidelines.</w:t>
      </w:r>
    </w:p>
    <w:p>
      <w:pPr>
        <w:spacing w:after="0" w:line="295"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95" w:right="199" w:bottom="1440" w:gutter="0" w:footer="0" w:header="0"/>
        </w:sectPr>
      </w:pPr>
    </w:p>
    <w:bookmarkStart w:id="8" w:name="page9"/>
    <w:bookmarkEnd w:id="8"/>
    <w:p>
      <w:pPr>
        <w:ind w:left="463" w:right="9200" w:hanging="463"/>
        <w:spacing w:after="0" w:line="584" w:lineRule="auto"/>
        <w:tabs>
          <w:tab w:leader="none" w:pos="463" w:val="left"/>
        </w:tabs>
        <w:numPr>
          <w:ilvl w:val="0"/>
          <w:numId w:val="11"/>
        </w:numPr>
        <w:rPr>
          <w:rFonts w:ascii="Arial" w:cs="Arial" w:eastAsia="Arial" w:hAnsi="Arial"/>
          <w:sz w:val="11"/>
          <w:szCs w:val="11"/>
          <w:b w:val="1"/>
          <w:bCs w:val="1"/>
          <w:color w:val="auto"/>
        </w:rPr>
      </w:pPr>
      <w:r>
        <w:rPr>
          <w:rFonts w:ascii="Arial" w:cs="Arial" w:eastAsia="Arial" w:hAnsi="Arial"/>
          <w:sz w:val="11"/>
          <w:szCs w:val="11"/>
          <w:b w:val="1"/>
          <w:bCs w:val="1"/>
          <w:color w:val="auto"/>
        </w:rPr>
        <w:t xml:space="preserve">Capitalization and Indebtedness </w:t>
      </w:r>
      <w:r>
        <w:rPr>
          <w:rFonts w:ascii="Arial" w:cs="Arial" w:eastAsia="Arial" w:hAnsi="Arial"/>
          <w:sz w:val="11"/>
          <w:szCs w:val="11"/>
          <w:color w:val="auto"/>
        </w:rPr>
        <w:t>Not required in this Annual Report.</w:t>
      </w:r>
    </w:p>
    <w:p>
      <w:pPr>
        <w:ind w:left="463" w:right="8720" w:hanging="463"/>
        <w:spacing w:after="0" w:line="584" w:lineRule="auto"/>
        <w:tabs>
          <w:tab w:leader="none" w:pos="463" w:val="left"/>
        </w:tabs>
        <w:numPr>
          <w:ilvl w:val="0"/>
          <w:numId w:val="11"/>
        </w:numPr>
        <w:rPr>
          <w:rFonts w:ascii="Arial" w:cs="Arial" w:eastAsia="Arial" w:hAnsi="Arial"/>
          <w:sz w:val="11"/>
          <w:szCs w:val="11"/>
          <w:b w:val="1"/>
          <w:bCs w:val="1"/>
          <w:color w:val="auto"/>
        </w:rPr>
      </w:pPr>
      <w:r>
        <w:rPr>
          <w:rFonts w:ascii="Arial" w:cs="Arial" w:eastAsia="Arial" w:hAnsi="Arial"/>
          <w:sz w:val="11"/>
          <w:szCs w:val="11"/>
          <w:b w:val="1"/>
          <w:bCs w:val="1"/>
          <w:color w:val="auto"/>
        </w:rPr>
        <w:t xml:space="preserve">Reasons for the Offer and Use of Proceeds </w:t>
      </w:r>
      <w:r>
        <w:rPr>
          <w:rFonts w:ascii="Arial" w:cs="Arial" w:eastAsia="Arial" w:hAnsi="Arial"/>
          <w:sz w:val="11"/>
          <w:szCs w:val="11"/>
          <w:color w:val="auto"/>
        </w:rPr>
        <w:t>Not required in this Annual Report.</w:t>
      </w:r>
    </w:p>
    <w:p>
      <w:pPr>
        <w:ind w:left="463" w:hanging="463"/>
        <w:spacing w:after="0"/>
        <w:tabs>
          <w:tab w:leader="none" w:pos="463" w:val="left"/>
        </w:tabs>
        <w:numPr>
          <w:ilvl w:val="0"/>
          <w:numId w:val="11"/>
        </w:numPr>
        <w:rPr>
          <w:rFonts w:ascii="Arial" w:cs="Arial" w:eastAsia="Arial" w:hAnsi="Arial"/>
          <w:sz w:val="13"/>
          <w:szCs w:val="13"/>
          <w:b w:val="1"/>
          <w:bCs w:val="1"/>
          <w:color w:val="auto"/>
        </w:rPr>
      </w:pPr>
      <w:r>
        <w:rPr>
          <w:rFonts w:ascii="Arial" w:cs="Arial" w:eastAsia="Arial" w:hAnsi="Arial"/>
          <w:sz w:val="13"/>
          <w:szCs w:val="13"/>
          <w:b w:val="1"/>
          <w:bCs w:val="1"/>
          <w:color w:val="auto"/>
        </w:rPr>
        <w:t>Risk Factors</w:t>
      </w:r>
    </w:p>
    <w:p>
      <w:pPr>
        <w:spacing w:after="0" w:line="163" w:lineRule="exact"/>
        <w:rPr>
          <w:sz w:val="20"/>
          <w:szCs w:val="20"/>
          <w:color w:val="auto"/>
        </w:rPr>
      </w:pPr>
    </w:p>
    <w:p>
      <w:pPr>
        <w:jc w:val="both"/>
        <w:ind w:left="3"/>
        <w:spacing w:after="0" w:line="252" w:lineRule="auto"/>
        <w:rPr>
          <w:sz w:val="20"/>
          <w:szCs w:val="20"/>
          <w:color w:val="auto"/>
        </w:rPr>
      </w:pPr>
      <w:r>
        <w:rPr>
          <w:rFonts w:ascii="Arial" w:cs="Arial" w:eastAsia="Arial" w:hAnsi="Arial"/>
          <w:sz w:val="13"/>
          <w:szCs w:val="13"/>
          <w:i w:val="1"/>
          <w:iCs w:val="1"/>
          <w:color w:val="auto"/>
        </w:rPr>
        <w:t>The Bank’s business, results of operations, financial conditions and cash flows are subject to, and could be materially adversely affected by, various risks and uncertainties, including, without limitation, those set forth below, any one of which could cause the Bank’s actual results to vary materially from recent results or anticipated future results. Investors should consider, among other things, all of the information set out in this Annual Report and particularly the risk factors with respect to Bladex and the Region. In general, investing in financial instruments of issuers in emerging market countries such as Panama involves a higher degree of risk than investing in financial instruments of U.S. and European issuers. Additional risks and uncertainties not presently known to the Bank or that its management currently deems immaterial may also impair the Bank’s business operations.</w:t>
      </w:r>
    </w:p>
    <w:p>
      <w:pPr>
        <w:spacing w:after="0" w:line="13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Risks Relating to the Bank’s Business</w:t>
      </w:r>
    </w:p>
    <w:p>
      <w:pPr>
        <w:spacing w:after="0" w:line="163" w:lineRule="exact"/>
        <w:rPr>
          <w:sz w:val="20"/>
          <w:szCs w:val="20"/>
          <w:color w:val="auto"/>
        </w:rPr>
      </w:pPr>
    </w:p>
    <w:p>
      <w:pPr>
        <w:ind w:left="3"/>
        <w:spacing w:after="0"/>
        <w:rPr>
          <w:sz w:val="20"/>
          <w:szCs w:val="20"/>
          <w:color w:val="auto"/>
        </w:rPr>
      </w:pPr>
      <w:r>
        <w:rPr>
          <w:rFonts w:ascii="Arial" w:cs="Arial" w:eastAsia="Arial" w:hAnsi="Arial"/>
          <w:sz w:val="12"/>
          <w:szCs w:val="12"/>
          <w:b w:val="1"/>
          <w:bCs w:val="1"/>
          <w:i w:val="1"/>
          <w:iCs w:val="1"/>
          <w:color w:val="auto"/>
        </w:rPr>
        <w:t>Bladex faces liquidity risk, and its failure to adequately manage this risk could result in a liquidity shortage, which could adversely affect its financial condition, results of operations and cash flows.</w:t>
      </w:r>
    </w:p>
    <w:p>
      <w:pPr>
        <w:spacing w:after="0" w:line="170" w:lineRule="exact"/>
        <w:rPr>
          <w:sz w:val="20"/>
          <w:szCs w:val="20"/>
          <w:color w:val="auto"/>
        </w:rPr>
      </w:pPr>
    </w:p>
    <w:p>
      <w:pPr>
        <w:jc w:val="both"/>
        <w:ind w:left="3"/>
        <w:spacing w:after="0" w:line="254" w:lineRule="auto"/>
        <w:rPr>
          <w:sz w:val="20"/>
          <w:szCs w:val="20"/>
          <w:color w:val="auto"/>
        </w:rPr>
      </w:pPr>
      <w:r>
        <w:rPr>
          <w:rFonts w:ascii="Arial" w:cs="Arial" w:eastAsia="Arial" w:hAnsi="Arial"/>
          <w:sz w:val="13"/>
          <w:szCs w:val="13"/>
          <w:color w:val="auto"/>
        </w:rPr>
        <w:t>Bladex, like all financial institutions, faces liquidity risk. Liquidity risk is the risk that the Bank will be unable to maintain adequate cash flow to repay its deposits and borrowings and fund its Credit Portfolio on a timely basis. The Bank’s capacity and cost of funding may be impacted by a number of factors, such as changes in market conditions (e.g., in interest rates), credit supply, changes in credit ratings, regulatory changes, systemic shocks in the banking sector, and changes in the market’s perception of the Bank, among others. Failure to adequately manage its liquidity risk could produce a shortage of available funds, which may cause the Bank to be unable to repay its obligations as they become due.</w:t>
      </w:r>
    </w:p>
    <w:p>
      <w:pPr>
        <w:spacing w:after="0" w:line="137" w:lineRule="exact"/>
        <w:rPr>
          <w:sz w:val="20"/>
          <w:szCs w:val="20"/>
          <w:color w:val="auto"/>
        </w:rPr>
      </w:pPr>
    </w:p>
    <w:p>
      <w:pPr>
        <w:jc w:val="both"/>
        <w:ind w:left="3" w:right="20"/>
        <w:spacing w:after="0" w:line="257" w:lineRule="auto"/>
        <w:rPr>
          <w:sz w:val="20"/>
          <w:szCs w:val="20"/>
          <w:color w:val="auto"/>
        </w:rPr>
      </w:pPr>
      <w:r>
        <w:rPr>
          <w:rFonts w:ascii="Arial" w:cs="Arial" w:eastAsia="Arial" w:hAnsi="Arial"/>
          <w:sz w:val="13"/>
          <w:szCs w:val="13"/>
          <w:color w:val="auto"/>
        </w:rPr>
        <w:t>Short-term borrowings and debt from international private banks that compete with the Bank in its lending activity, represent one of the main sources of funding at 25% of the Bank’s total funding as of December 31, 2018. If these international banks cease to provide funding to the Bank or cease to provide funding to the Bank at historically applicable interest rates, the Bank would have to seek funding from other sources, which may not be available, or if available, may be at a higher cost.</w:t>
      </w:r>
    </w:p>
    <w:p>
      <w:pPr>
        <w:spacing w:after="0" w:line="136" w:lineRule="exact"/>
        <w:rPr>
          <w:sz w:val="20"/>
          <w:szCs w:val="20"/>
          <w:color w:val="auto"/>
        </w:rPr>
      </w:pPr>
    </w:p>
    <w:p>
      <w:pPr>
        <w:ind w:left="3"/>
        <w:spacing w:after="0"/>
        <w:rPr>
          <w:sz w:val="20"/>
          <w:szCs w:val="20"/>
          <w:color w:val="auto"/>
        </w:rPr>
      </w:pPr>
      <w:r>
        <w:rPr>
          <w:rFonts w:ascii="Arial" w:cs="Arial" w:eastAsia="Arial" w:hAnsi="Arial"/>
          <w:sz w:val="11"/>
          <w:szCs w:val="11"/>
          <w:color w:val="auto"/>
        </w:rPr>
        <w:t>Turmoil in the international financial markets could negatively impact liquidity in such financial markets, reducing the Bank’s access to credit or increasing its cost of funding, which could lead to tighter lending standards.</w:t>
      </w:r>
    </w:p>
    <w:p>
      <w:pPr>
        <w:spacing w:after="0" w:line="36"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occurrence of such unfavorable market conditions could have a material adverse effect on the Bank’s liquidity, results of operations and financial condition.</w:t>
      </w:r>
    </w:p>
    <w:p>
      <w:pPr>
        <w:spacing w:after="0" w:line="150" w:lineRule="exact"/>
        <w:rPr>
          <w:sz w:val="20"/>
          <w:szCs w:val="20"/>
          <w:color w:val="auto"/>
        </w:rPr>
      </w:pPr>
    </w:p>
    <w:p>
      <w:pPr>
        <w:jc w:val="both"/>
        <w:ind w:left="3" w:right="20"/>
        <w:spacing w:after="0" w:line="252" w:lineRule="auto"/>
        <w:rPr>
          <w:sz w:val="20"/>
          <w:szCs w:val="20"/>
          <w:color w:val="auto"/>
        </w:rPr>
      </w:pPr>
      <w:r>
        <w:rPr>
          <w:rFonts w:ascii="Arial" w:cs="Arial" w:eastAsia="Arial" w:hAnsi="Arial"/>
          <w:sz w:val="13"/>
          <w:szCs w:val="13"/>
          <w:color w:val="auto"/>
        </w:rPr>
        <w:t>As of December 31, 2018, 71% of the Bank’s total deposits represented deposits from central banks or their designees (i.e., the Bank’s Class A shareholders), 13% of the Bank’s deposits represented deposits from state-owned and private, corporations and international organizations, 8% of the Bank’s deposits represented deposits from private sector commercial banks and financial institutions, and 8% of the Bank’s deposits represented deposits from state-owned banks. The Bank does not accept retail deposits from individuals. Any disruption or material decrease in current or historic deposit levels, in particular levels of deposits made by central banks and their designees (i.e., the Bank’s Class A shareholders) due, among other factors, to any change in their U.S. dollar liquidity strategies which currently include making deposits with the Bank, could have a material adverse affect on the Bank’s liquidity, results of operations and financial condition.</w:t>
      </w:r>
    </w:p>
    <w:p>
      <w:pPr>
        <w:spacing w:after="0" w:line="288"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9" w:name="page10"/>
    <w:bookmarkEnd w:id="9"/>
    <w:p>
      <w:pPr>
        <w:jc w:val="both"/>
        <w:ind w:right="20"/>
        <w:spacing w:after="0" w:line="267" w:lineRule="auto"/>
        <w:rPr>
          <w:sz w:val="20"/>
          <w:szCs w:val="20"/>
          <w:color w:val="auto"/>
        </w:rPr>
      </w:pPr>
      <w:r>
        <w:rPr>
          <w:rFonts w:ascii="Arial" w:cs="Arial" w:eastAsia="Arial" w:hAnsi="Arial"/>
          <w:sz w:val="13"/>
          <w:szCs w:val="13"/>
          <w:color w:val="auto"/>
        </w:rPr>
        <w:t>Lastly, Panama is a U.S. dollar-based economy. Panama does not have a central bank, and there is no lender of last resort to local financial institutions in the Panamanian banking sector in the event of financial difficulties or system-wide liquidity disruptions, which could adversely affect the banking system in the country.</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color w:val="auto"/>
        </w:rPr>
        <w:t>Any of the above factors, either individually or in the aggregate, could adversely affect the Bank’s liquidity, financial condition, results of operations and cash flows.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The Bank’s allowance for losses on financial instruments could be inadequate to cover credit losses mostly related to its loans, loan commitments and financial guarantee contracts.</w:t>
      </w:r>
    </w:p>
    <w:p>
      <w:pPr>
        <w:spacing w:after="0" w:line="159" w:lineRule="exact"/>
        <w:rPr>
          <w:sz w:val="20"/>
          <w:szCs w:val="20"/>
          <w:color w:val="auto"/>
        </w:rPr>
      </w:pPr>
    </w:p>
    <w:p>
      <w:pPr>
        <w:jc w:val="both"/>
        <w:ind w:right="20"/>
        <w:spacing w:after="0" w:line="251" w:lineRule="auto"/>
        <w:rPr>
          <w:sz w:val="20"/>
          <w:szCs w:val="20"/>
          <w:color w:val="auto"/>
        </w:rPr>
      </w:pPr>
      <w:r>
        <w:rPr>
          <w:rFonts w:ascii="Arial" w:cs="Arial" w:eastAsia="Arial" w:hAnsi="Arial"/>
          <w:sz w:val="13"/>
          <w:szCs w:val="13"/>
          <w:color w:val="auto"/>
        </w:rPr>
        <w:t>The Bank determines the appropriate level of allowances for losses based on a forward-looking process that estimates the probable loss inherent in its Credit Portfolio, which is the result of a statistical analysis supported by the Bank’s historical portfolio performance, external sources, and the judgment of the Bank’s management. The latter reflects assumptions and estimates made in the context of changing political and economic conditions in the Region. The Bank’s commercial portfolio (the “Commercial Portfolio”) includes: (i) gross loans excluding interest receivable, allowance for loan losses, unearned interest and deferred fees (the “Loan Portfolio”), (ii) customers’ liabilities under acceptances, and (iii) loan commitments and financial guarantee contracts, such as confirmed and stand-by letters of credit, and guarantees covering commercial risk. The Bank’s allowances for losses could be inadequate to cover losses in its Commercial Portfolio due to, among other factors, concentration of exposure or deterioration in certain sectors or countries, which in turn could have a material adverse effect on the Bank’s financial condition, results of operations and cash flows.</w:t>
      </w:r>
    </w:p>
    <w:p>
      <w:pPr>
        <w:spacing w:after="0" w:line="140"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The Bank’s businesses are subject to market risk inherent in the Bank’s financial instruments, as fluctuations in different metrics may have adverse effects on its financial position.</w:t>
      </w:r>
    </w:p>
    <w:p>
      <w:pPr>
        <w:spacing w:after="0" w:line="159" w:lineRule="exact"/>
        <w:rPr>
          <w:sz w:val="20"/>
          <w:szCs w:val="20"/>
          <w:color w:val="auto"/>
        </w:rPr>
      </w:pPr>
    </w:p>
    <w:p>
      <w:pPr>
        <w:jc w:val="both"/>
        <w:ind w:right="20"/>
        <w:spacing w:after="0" w:line="278" w:lineRule="auto"/>
        <w:rPr>
          <w:sz w:val="20"/>
          <w:szCs w:val="20"/>
          <w:color w:val="auto"/>
        </w:rPr>
      </w:pPr>
      <w:r>
        <w:rPr>
          <w:rFonts w:ascii="Arial" w:cs="Arial" w:eastAsia="Arial" w:hAnsi="Arial"/>
          <w:sz w:val="12"/>
          <w:szCs w:val="12"/>
          <w:color w:val="auto"/>
        </w:rPr>
        <w:t>Market risk generally represents the risk that the values of assets and liabilities or revenues will be adversely affected by changes in market conditions. Market risk is inherent in the financial instruments associated with many of the Bank’s operations and activities, including loans and securities at amortized cost, deposits, financial instruments at fair value through profit or loss (“FVTPL”) and securities at fair value through other comprehensive income (“FVOCI”), short-term and long-term borrowings and debt, derivatives and trading positions. This risk may result from fluctuations in different metrics: interest rates, currency exchange rates and changes in the implied volatility of interest rates and changes in securities prices, due to changes in either market perception or actual credit quality of either the relevant issuer or its country of origin. Accordingly, depending on the instruments or activities impacted, market risks can have wide ranging, complex adverse effects on the Bank’s financial condition, results of operations, cash flows and business.</w:t>
      </w:r>
    </w:p>
    <w:p>
      <w:pPr>
        <w:spacing w:after="0" w:line="125"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Furthermore, the Bank cannot predict the amount of realized or unrealized gains or losses on its financial instruments for any future period. Gains or losses on the Bank’s investment portfolio may not contribute to its net revenue in the future or may cease to contribute to its net revenue at levels consistent with more recent periods. The Bank may not successfully realize the appreciation or depreciation now existing in its consolidated investment portfolio or in any assets of such portfolio.</w:t>
      </w:r>
    </w:p>
    <w:p>
      <w:pPr>
        <w:spacing w:after="0" w:line="284"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10" w:name="page11"/>
    <w:bookmarkEnd w:id="10"/>
    <w:p>
      <w:pPr>
        <w:jc w:val="both"/>
        <w:ind w:right="20"/>
        <w:spacing w:after="0" w:line="267" w:lineRule="auto"/>
        <w:rPr>
          <w:sz w:val="20"/>
          <w:szCs w:val="20"/>
          <w:color w:val="auto"/>
        </w:rPr>
      </w:pPr>
      <w:r>
        <w:rPr>
          <w:rFonts w:ascii="Arial" w:cs="Arial" w:eastAsia="Arial" w:hAnsi="Arial"/>
          <w:sz w:val="13"/>
          <w:szCs w:val="13"/>
          <w:b w:val="1"/>
          <w:bCs w:val="1"/>
          <w:i w:val="1"/>
          <w:iCs w:val="1"/>
          <w:color w:val="auto"/>
        </w:rPr>
        <w:t>The Bank faces interest rate risk that may be caused by the mismatch in maturities of interest-earning assets and interest-bearing liabilities. If not properly managed, this mismatch can reduce net interest income as interest rates fluctuate.</w:t>
      </w:r>
    </w:p>
    <w:p>
      <w:pPr>
        <w:spacing w:after="0" w:line="129" w:lineRule="exact"/>
        <w:rPr>
          <w:sz w:val="20"/>
          <w:szCs w:val="20"/>
          <w:color w:val="auto"/>
        </w:rPr>
      </w:pPr>
    </w:p>
    <w:p>
      <w:pPr>
        <w:jc w:val="both"/>
        <w:ind w:right="20"/>
        <w:spacing w:after="0" w:line="310" w:lineRule="auto"/>
        <w:rPr>
          <w:sz w:val="20"/>
          <w:szCs w:val="20"/>
          <w:color w:val="auto"/>
        </w:rPr>
      </w:pPr>
      <w:r>
        <w:rPr>
          <w:rFonts w:ascii="Arial" w:cs="Arial" w:eastAsia="Arial" w:hAnsi="Arial"/>
          <w:sz w:val="12"/>
          <w:szCs w:val="12"/>
          <w:color w:val="auto"/>
        </w:rPr>
        <w:t>As a bank, Bladex faces interest rate risk because interest-bearing liabilities generally reprice at a different pace than interest-earning assets. Bladex’s exposure to financial instruments whose values vary with the level or volatility of interest rates contributes to its interest rate risk. Failure to adequately manage eventual mismatches may reduce the Bank’s net interest income during periods of fluctuating interest rates.</w:t>
      </w:r>
    </w:p>
    <w:p>
      <w:pPr>
        <w:spacing w:after="0" w:line="106"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b w:val="1"/>
          <w:bCs w:val="1"/>
          <w:i w:val="1"/>
          <w:iCs w:val="1"/>
          <w:color w:val="auto"/>
        </w:rPr>
        <w:t>The Bank’s Commercial Portfolio may decrease or may not grow as expected. Additionally, growth in the Bank’s Commercial Portfolio or other factors, including those beyond the Bank’s control, may expose the Bank to increases in its allowance for expected credit losses.</w:t>
      </w:r>
    </w:p>
    <w:p>
      <w:pPr>
        <w:spacing w:after="0" w:line="129" w:lineRule="exact"/>
        <w:rPr>
          <w:sz w:val="20"/>
          <w:szCs w:val="20"/>
          <w:color w:val="auto"/>
        </w:rPr>
      </w:pPr>
    </w:p>
    <w:p>
      <w:pPr>
        <w:jc w:val="both"/>
        <w:ind w:right="20"/>
        <w:spacing w:after="0" w:line="273" w:lineRule="auto"/>
        <w:rPr>
          <w:sz w:val="20"/>
          <w:szCs w:val="20"/>
          <w:color w:val="auto"/>
        </w:rPr>
      </w:pPr>
      <w:r>
        <w:rPr>
          <w:rFonts w:ascii="Arial" w:cs="Arial" w:eastAsia="Arial" w:hAnsi="Arial"/>
          <w:sz w:val="12"/>
          <w:szCs w:val="12"/>
          <w:color w:val="auto"/>
        </w:rPr>
        <w:t>The Bank’s Commercial Portfolio, including its Loan Portfolio, may not grow at anticipated levels or may decrease in future periods. A reversal or slowdown in the growth rate of the Region’s economy and trade volumes could adversely affect the Bank’s Commercial Portfolio, and as a result adversely affect the Bank’s results of operations. On the other hand, the future expansion of Bladex’s Commercial Portfolio may expose the Bank to higher levels of potential or actual losses and require an increase in the allowance for expected credit losses, which could negatively impact the Bank’s operating results and financial position. Furthermore, the Bank’s historical loan loss experience may not be indicative of its future loan losses. Credit-impaired or low credit quality loans can also increase the Bank’s allowance for expected credit losses and thereby negatively impact the Bank’s results of operations. The Bank may not be able to effectively control the level of the impaired loans in its total Loan Portfolio. In particular, the amount of its reported credit-impaired loans may increase in the future as a result of growth in its Loan Portfolio, including loans that the Bank may acquire in the future, changes in its business profile or factors beyond the Bank’s control, such as the impact of economic trends and political events affecting the Region, certain industries or financial markets and global economies, or particular clients’ businesses. For example, for the year ended December 31, 2018, the Bank increased its allowances for expected credit losses on credit-impaired loans in large part as a result of a significant deterioration in sugar industry fundamentals throughout the Region, including the deterioration of one specific credit in the Brazilian sugar industry. These factors, among others, could have a material adverse effect on the Bank’s financial condition, results of operations and cash flows.</w:t>
      </w:r>
    </w:p>
    <w:p>
      <w:pPr>
        <w:spacing w:after="0" w:line="127"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Increased competition and banking industry consolidation could limit the Bank’s ability to grow and may adversely affect its results of operations.</w:t>
      </w:r>
    </w:p>
    <w:p>
      <w:pPr>
        <w:spacing w:after="0" w:line="159"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Most of the competition the Bank faces in the trade finance business comes from domestic and international banks, and in particular European, North American and Asian institutions. Many of these banks have substantially greater resources than the Bank, may have better credit ratings, and may have access to less expensive funding than the Bank does. It is difficult to predict how increased competition will affect the Bank’s growth prospects and results of operations.</w:t>
      </w:r>
    </w:p>
    <w:p>
      <w:pPr>
        <w:spacing w:after="0" w:line="136"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Over time, there has been substantial consolidation among companies in the financial services industry. Merger activity in the financial services industry has produced companies that are capable of offering a wide array of financial products and services at competitive prices. In addition, whenever economic conditions and risk perception improve in the Region, competition from commercial banks, the securities markets and other new market entrants generally increases.</w:t>
      </w:r>
    </w:p>
    <w:p>
      <w:pPr>
        <w:spacing w:after="0" w:line="136"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Globalization of the capital markets and financial services industries exposes the Bank to further competition. To the extent the Bank expands into new business areas and new markets, the Bank may face competitors with more experience and more established relationships with clients, regulators and industry participants in the relevant market, which could adversely affect the Bank’s ability to compete. The Bank’s ability to grow its business and therefore, its earnings, may be affected by these competitive pressures.</w:t>
      </w:r>
    </w:p>
    <w:p>
      <w:pPr>
        <w:spacing w:after="0" w:line="136"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The Bank also faces competition from local financial institutions which increasingly have access to as good or better resources than the Bank. Local financial institutions are also clients of the Bank and there is complexity in managing the balance when a local financial institution is both a client and competitor. Additionally, many local financial institutions are able to gain direct access to the capital markets and low cost funding sources, threatening the Bank’s historical role as a provider of U.S. dollar funding.</w:t>
      </w:r>
    </w:p>
    <w:p>
      <w:pPr>
        <w:spacing w:after="0" w:line="284"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11" w:name="page12"/>
    <w:bookmarkEnd w:id="11"/>
    <w:p>
      <w:pPr>
        <w:spacing w:after="0"/>
        <w:rPr>
          <w:sz w:val="20"/>
          <w:szCs w:val="20"/>
          <w:color w:val="auto"/>
        </w:rPr>
      </w:pPr>
      <w:r>
        <w:rPr>
          <w:rFonts w:ascii="Arial" w:cs="Arial" w:eastAsia="Arial" w:hAnsi="Arial"/>
          <w:sz w:val="13"/>
          <w:szCs w:val="13"/>
          <w:color w:val="auto"/>
        </w:rPr>
        <w:t>As a result of the foregoing, increased competition and banking industry consolidation could limit the Bank’s ability to grow and may adversely affect its results of operations.</w:t>
      </w:r>
    </w:p>
    <w:p>
      <w:pPr>
        <w:spacing w:after="0" w:line="159" w:lineRule="exact"/>
        <w:rPr>
          <w:sz w:val="20"/>
          <w:szCs w:val="20"/>
          <w:color w:val="auto"/>
        </w:rPr>
      </w:pPr>
    </w:p>
    <w:p>
      <w:pPr>
        <w:jc w:val="both"/>
        <w:spacing w:after="0" w:line="326" w:lineRule="auto"/>
        <w:rPr>
          <w:sz w:val="20"/>
          <w:szCs w:val="20"/>
          <w:color w:val="auto"/>
        </w:rPr>
      </w:pPr>
      <w:r>
        <w:rPr>
          <w:rFonts w:ascii="Arial" w:cs="Arial" w:eastAsia="Arial" w:hAnsi="Arial"/>
          <w:sz w:val="11"/>
          <w:szCs w:val="11"/>
          <w:b w:val="1"/>
          <w:bCs w:val="1"/>
          <w:i w:val="1"/>
          <w:iCs w:val="1"/>
          <w:color w:val="auto"/>
        </w:rPr>
        <w:t>The Bank’s businesses rely heavily on data collection, management and processing, and information systems, several of which are provided by third parties. Operational failures or security breaches with respect to any of the foregoing could adversely affect the Bank, including the effectiveness of its risk management and internal control systems. Additionally, the Bank may experience cyberattacks or system defects and failures (including failures to update systems), viruses, worms, and other malicious software from computer “hackers” or other sources, which could unexpectedly interfere with the operation of the Bank’s systems.</w:t>
      </w:r>
    </w:p>
    <w:p>
      <w:pPr>
        <w:spacing w:after="0" w:line="101" w:lineRule="exact"/>
        <w:rPr>
          <w:sz w:val="20"/>
          <w:szCs w:val="20"/>
          <w:color w:val="auto"/>
        </w:rPr>
      </w:pPr>
    </w:p>
    <w:p>
      <w:pPr>
        <w:jc w:val="both"/>
        <w:ind w:right="20"/>
        <w:spacing w:after="0" w:line="252" w:lineRule="auto"/>
        <w:rPr>
          <w:sz w:val="20"/>
          <w:szCs w:val="20"/>
          <w:color w:val="auto"/>
        </w:rPr>
      </w:pPr>
      <w:r>
        <w:rPr>
          <w:rFonts w:ascii="Arial" w:cs="Arial" w:eastAsia="Arial" w:hAnsi="Arial"/>
          <w:sz w:val="13"/>
          <w:szCs w:val="13"/>
          <w:color w:val="auto"/>
        </w:rPr>
        <w:t>All of the Bank’s principal businesses are highly dependent on the ability to timely collect and process a large amount of financial and other information across numerous and diverse markets, at a time when transaction processes have become increasingly complex with increasing volume. The proper functioning of financial control, accounting or other data collection and processing and information systems is critical to the Bank’s businesses and to its ability to compete effectively. A partial or complete failure of any of these primary systems could materially and adversely affect the Bank’s decision-making process, risk management and internal control systems, as well as the Bank’s ability to respond on a timely basis to changing market conditions. If the Bank cannot maintain effective data collection, management and processing and information systems, it may be materially and adversely affected.</w:t>
      </w:r>
    </w:p>
    <w:p>
      <w:pPr>
        <w:spacing w:after="0" w:line="13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The Bank also relies on third party technology suppliers for many of its core operating systems that are crucial to its business activities. Any issues associated with those suppliers may have a significant impact on the Bank’s capacity to process transactions and conduct its business. Additionally, these suppliers have access to the Bank’s core systems and databases, exposing the Bank to vulnerability from its technology providers. Any security problems and security vulnerabilities of such third parties may have a material adverse effect on the Bank.</w:t>
      </w:r>
    </w:p>
    <w:p>
      <w:pPr>
        <w:spacing w:after="0" w:line="136" w:lineRule="exact"/>
        <w:rPr>
          <w:sz w:val="20"/>
          <w:szCs w:val="20"/>
          <w:color w:val="auto"/>
        </w:rPr>
      </w:pPr>
    </w:p>
    <w:p>
      <w:pPr>
        <w:jc w:val="both"/>
        <w:ind w:right="20"/>
        <w:spacing w:after="0" w:line="289" w:lineRule="auto"/>
        <w:rPr>
          <w:sz w:val="20"/>
          <w:szCs w:val="20"/>
          <w:color w:val="auto"/>
        </w:rPr>
      </w:pPr>
      <w:r>
        <w:rPr>
          <w:rFonts w:ascii="Arial" w:cs="Arial" w:eastAsia="Arial" w:hAnsi="Arial"/>
          <w:sz w:val="12"/>
          <w:szCs w:val="12"/>
          <w:color w:val="auto"/>
        </w:rPr>
        <w:t>The Bank is also dependent on information systems to operate its website, process transactions, respond to customer inquiries on a timely basis and maintain cost-efficient operations. While the Bank has implemented policies and procedures designed to manage information security, the Bank may experience cyberattacks or operational problems with its information systems as a result of system defects and failures (including failures to update systems), viruses, worms, and other malicious software from computer “hackers” or other sources, which could unexpectedly interfere with the operation of the Bank’s systems.</w:t>
      </w:r>
    </w:p>
    <w:p>
      <w:pPr>
        <w:spacing w:after="0" w:line="118"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Furthermore, the Bank manages and stores certain proprietary information and sensitive or confidential data relating to its clients and to its operations. The Bank may be subject to breaches of the information technology systems it uses for these purposes. Additionally, the Bank operates in many geographic locations and is exposed to events outside its control. Despite the contingency plans the Bank has in place, its ability to conduct business in any of its locations may be adversely impacted by a disruption to the infrastructure that supports its business.</w:t>
      </w:r>
    </w:p>
    <w:p>
      <w:pPr>
        <w:spacing w:after="0" w:line="284"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12" w:name="page13"/>
    <w:bookmarkEnd w:id="12"/>
    <w:p>
      <w:pPr>
        <w:jc w:val="both"/>
        <w:spacing w:after="0" w:line="281" w:lineRule="auto"/>
        <w:rPr>
          <w:sz w:val="20"/>
          <w:szCs w:val="20"/>
          <w:color w:val="auto"/>
        </w:rPr>
      </w:pPr>
      <w:r>
        <w:rPr>
          <w:rFonts w:ascii="Arial" w:cs="Arial" w:eastAsia="Arial" w:hAnsi="Arial"/>
          <w:sz w:val="12"/>
          <w:szCs w:val="12"/>
          <w:color w:val="auto"/>
        </w:rPr>
        <w:t>The Bank’s ability to remain competitive depends in part on its ability to upgrade its information technology on a timely and cost-effective basis. The Bank continually makes investments and improvements in its information technology infrastructure in order to remain competitive. The Bank may not be able to maintain the level of capital expenditures necessary to support the improvement or upgrading of its information technology infrastructure. Any failure to effectively improve or upgrade its information technology infrastructure and management information systems in a timely manner could have a material adverse effect on the Bank. The Bank’s reputation could also suffer if the Bank is unable to protect its customers’ information from being used by third parties for illegal or improper purposes.</w:t>
      </w:r>
    </w:p>
    <w:p>
      <w:pPr>
        <w:spacing w:after="0" w:line="124"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Operational problems or errors can have a material adverse impact on the Bank’s business, financial condition, reputation, results of operations and cash flows.</w:t>
      </w:r>
    </w:p>
    <w:p>
      <w:pPr>
        <w:spacing w:after="0" w:line="159" w:lineRule="exact"/>
        <w:rPr>
          <w:sz w:val="20"/>
          <w:szCs w:val="20"/>
          <w:color w:val="auto"/>
        </w:rPr>
      </w:pPr>
    </w:p>
    <w:p>
      <w:pPr>
        <w:jc w:val="both"/>
        <w:ind w:right="20"/>
        <w:spacing w:after="0" w:line="303" w:lineRule="auto"/>
        <w:rPr>
          <w:sz w:val="20"/>
          <w:szCs w:val="20"/>
          <w:color w:val="auto"/>
        </w:rPr>
      </w:pPr>
      <w:r>
        <w:rPr>
          <w:rFonts w:ascii="Arial" w:cs="Arial" w:eastAsia="Arial" w:hAnsi="Arial"/>
          <w:sz w:val="11"/>
          <w:szCs w:val="11"/>
          <w:color w:val="auto"/>
        </w:rPr>
        <w:t>Operating failures, including those that result from human error or fraud, not only may increase the Bank’s costs and cause losses, but may also give rise to conflicts with its clients, lawsuits, regulatory fines, sanctions, interventions, reimbursements and other indemnity costs, all of which may have a material adverse impact on the Bank’s business, financial condition, reputation, results of operations and cash flows. Ethical misconduct or breaches of applicable laws by the Bank’s businesses or its employees could also be damaging to the Bank’s reputation, and could result in litigation, regulatory action or penalties. Operational risk also includes: (i) legal risk associated with inadequacy or deficiency in contracts signed by the Bank; (ii) penalties due to noncompliance with laws, such as anti-money laundering (“AML”) and embargo regulations; and (iii) punitive damages to third parties arising from the activities undertaken by the Bank. Also, the Bank has additional services for the proper functioning of its business and technology infrastructure, such as networks, internet and systems, among others, provided by external or outsourced companies. Impacts on the provision of these services, caused by these companies due to the lack of supply or the poor quality of the contracted services, can affect the conduct of the Bank’s business as well as its clients. Operational problems or errors such as these may have a material adverse impact on the Bank’s business, financial condition, reputation, results of operations and cash flows.</w:t>
      </w:r>
    </w:p>
    <w:p>
      <w:pPr>
        <w:spacing w:after="0" w:line="114"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Any delays or failure to implement business initiatives that the Bank may undertake could prevent the Bank from realizing the anticipated revenues and benefits of these initiatives.</w:t>
      </w:r>
    </w:p>
    <w:p>
      <w:pPr>
        <w:spacing w:after="0" w:line="159" w:lineRule="exact"/>
        <w:rPr>
          <w:sz w:val="20"/>
          <w:szCs w:val="20"/>
          <w:color w:val="auto"/>
        </w:rPr>
      </w:pPr>
    </w:p>
    <w:p>
      <w:pPr>
        <w:jc w:val="both"/>
        <w:ind w:right="20"/>
        <w:spacing w:after="0" w:line="254" w:lineRule="auto"/>
        <w:rPr>
          <w:sz w:val="20"/>
          <w:szCs w:val="20"/>
          <w:color w:val="auto"/>
        </w:rPr>
      </w:pPr>
      <w:r>
        <w:rPr>
          <w:rFonts w:ascii="Arial" w:cs="Arial" w:eastAsia="Arial" w:hAnsi="Arial"/>
          <w:sz w:val="13"/>
          <w:szCs w:val="13"/>
          <w:color w:val="auto"/>
        </w:rPr>
        <w:t>Part of the Bank’s strategy is to diversify income sources through certain business initiatives, including targeting new clients and developing new products and services. These initiatives may not be fully implemented within the time frame the Bank expects, or at all. In addition, even if such initiatives are fully implemented, they may not generate revenues as expected, which could adversely affect the Bank’s business, results of operations and growth prospects. Any delays in implementing these business initiatives could prevent the Bank from realizing the anticipated benefits of the initiatives, which could adversely affect the Bank’s business, results of operations and growth prospects.</w:t>
      </w:r>
    </w:p>
    <w:p>
      <w:pPr>
        <w:spacing w:after="0" w:line="137"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The Banks hedging strategy may not be able to prevent losses.</w:t>
      </w:r>
    </w:p>
    <w:p>
      <w:pPr>
        <w:spacing w:after="0" w:line="159" w:lineRule="exact"/>
        <w:rPr>
          <w:sz w:val="20"/>
          <w:szCs w:val="20"/>
          <w:color w:val="auto"/>
        </w:rPr>
      </w:pPr>
    </w:p>
    <w:p>
      <w:pPr>
        <w:jc w:val="both"/>
        <w:ind w:right="20"/>
        <w:spacing w:after="0" w:line="310" w:lineRule="auto"/>
        <w:rPr>
          <w:sz w:val="20"/>
          <w:szCs w:val="20"/>
          <w:color w:val="auto"/>
        </w:rPr>
      </w:pPr>
      <w:r>
        <w:rPr>
          <w:rFonts w:ascii="Arial" w:cs="Arial" w:eastAsia="Arial" w:hAnsi="Arial"/>
          <w:sz w:val="12"/>
          <w:szCs w:val="12"/>
          <w:color w:val="auto"/>
        </w:rPr>
        <w:t>The Bank uses diverse instruments and strategies to hedge its exposures to a number of risks associated with its business, but the Bank may incur losses if such hedges are not effective. The Bank may not be able to hedge its positions, or do so only partially, or its hedges may not have the desired effectiveness to mitigate the Bank’s exposure to the diverse risks and market in which it is involved.</w:t>
      </w:r>
    </w:p>
    <w:p>
      <w:pPr>
        <w:spacing w:after="0" w:line="106"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b w:val="1"/>
          <w:bCs w:val="1"/>
          <w:i w:val="1"/>
          <w:iCs w:val="1"/>
          <w:color w:val="auto"/>
        </w:rPr>
        <w:t>Any failure to remain in compliance with applicable banking laws or other applicable regulations in the jurisdictions in which the Bank operates could harm its reputation and/or cause it to become subject to fines, sanctions or legal enforcement, which could have a material adverse effect on the Bank’s business, financial condition and results of operations.</w:t>
      </w:r>
    </w:p>
    <w:p>
      <w:pPr>
        <w:spacing w:after="0" w:line="129" w:lineRule="exact"/>
        <w:rPr>
          <w:sz w:val="20"/>
          <w:szCs w:val="20"/>
          <w:color w:val="auto"/>
        </w:rPr>
      </w:pPr>
    </w:p>
    <w:p>
      <w:pPr>
        <w:jc w:val="both"/>
        <w:ind w:right="20"/>
        <w:spacing w:after="0" w:line="273" w:lineRule="auto"/>
        <w:rPr>
          <w:sz w:val="20"/>
          <w:szCs w:val="20"/>
          <w:color w:val="auto"/>
        </w:rPr>
      </w:pPr>
      <w:r>
        <w:rPr>
          <w:rFonts w:ascii="Arial" w:cs="Arial" w:eastAsia="Arial" w:hAnsi="Arial"/>
          <w:sz w:val="12"/>
          <w:szCs w:val="12"/>
          <w:color w:val="auto"/>
        </w:rPr>
        <w:t>Bladex has adopted various policies and procedures to ensure compliance with applicable laws, including internal controls and “know-your-customer” procedures aimed at preventing money laundering and terrorism financing; however, the participation of multiple parties in any given transaction can increase complexity and require additional time for due diligence. Also, because trade finance can be more reliant on document-based information than other banking activities, it is susceptible to documentary fraud, which can be linked to money laundering, terrorism financing, illicit activities and/or the circumvention of sanctions or other restrictions (such as export prohibitions, licensing requirements or other trade controls). While the Bank remains alert to potentially high-risk transactions, it is also aware that efforts, such as forgery, double invoicing, partial shipments of goods and use of fictitious goods, may be used to evade applicable laws and regulations. If the Bank’s policies and procedures are ineffective in preventing third parties from using it as a conduit for money laundering or terrorism financing without its knowledge, the Bank’s reputation could suffer and/or it could become subject to fines, sanctions or legal action (including being added to any “blacklists” that would prohibit certain parties from engaging in transactions with the Bank), which could have an adverse effect on the Bank’s business, financial condition and results of operations. In addition, amendments to applicable laws and regulations in Panama and other countries in which the Bank operates could impose additional compliance burdens on the Bank.</w:t>
      </w:r>
    </w:p>
    <w:p>
      <w:pPr>
        <w:spacing w:after="0" w:line="279"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13" w:name="page14"/>
    <w:bookmarkEnd w:id="13"/>
    <w:p>
      <w:pPr>
        <w:jc w:val="both"/>
        <w:spacing w:after="0" w:line="267" w:lineRule="auto"/>
        <w:rPr>
          <w:sz w:val="20"/>
          <w:szCs w:val="20"/>
          <w:color w:val="auto"/>
        </w:rPr>
      </w:pPr>
      <w:r>
        <w:rPr>
          <w:rFonts w:ascii="Arial" w:cs="Arial" w:eastAsia="Arial" w:hAnsi="Arial"/>
          <w:sz w:val="13"/>
          <w:szCs w:val="13"/>
          <w:b w:val="1"/>
          <w:bCs w:val="1"/>
          <w:i w:val="1"/>
          <w:iCs w:val="1"/>
          <w:color w:val="auto"/>
        </w:rPr>
        <w:t>The Bank may not be able to detect or prevent money laundering and other financial crimes fully or on a timely basis, which could expose the Bank to additional liability and could have a material adverse effect on the Bank.</w:t>
      </w:r>
    </w:p>
    <w:p>
      <w:pPr>
        <w:spacing w:after="0" w:line="129" w:lineRule="exact"/>
        <w:rPr>
          <w:sz w:val="20"/>
          <w:szCs w:val="20"/>
          <w:color w:val="auto"/>
        </w:rPr>
      </w:pPr>
    </w:p>
    <w:p>
      <w:pPr>
        <w:jc w:val="both"/>
        <w:ind w:right="20"/>
        <w:spacing w:after="0" w:line="252" w:lineRule="auto"/>
        <w:rPr>
          <w:sz w:val="20"/>
          <w:szCs w:val="20"/>
          <w:color w:val="auto"/>
        </w:rPr>
      </w:pPr>
      <w:r>
        <w:rPr>
          <w:rFonts w:ascii="Arial" w:cs="Arial" w:eastAsia="Arial" w:hAnsi="Arial"/>
          <w:sz w:val="13"/>
          <w:szCs w:val="13"/>
          <w:color w:val="auto"/>
        </w:rPr>
        <w:t>The Bank is required to comply with applicable AML, anti-terrorism, anti-bribery and corruption sanctions, laws and regulations. The Bank has developed policies and procedures aimed at detecting and preventing the use of its banking network for money laundering and other financial crime related activities. Financial crime is continually evolving and is subject to increasingly stringent regulatory oversight and focus. This requires proactive and adaptive responses from the Bank so that it is able to deter threats and criminality effectively. If the Bank is unable to fully comply with applicable laws, regulations and expectations, regulators and relevant law enforcement agencies may impose significant fines and other penalties on the Bank, including a complete review of its business systems, day-to-day supervision by external consultants and ultimately the revocation of the Bank’s banking license.</w:t>
      </w:r>
    </w:p>
    <w:p>
      <w:pPr>
        <w:spacing w:after="0" w:line="139" w:lineRule="exact"/>
        <w:rPr>
          <w:sz w:val="20"/>
          <w:szCs w:val="20"/>
          <w:color w:val="auto"/>
        </w:rPr>
      </w:pPr>
    </w:p>
    <w:p>
      <w:pPr>
        <w:jc w:val="both"/>
        <w:spacing w:after="0" w:line="278" w:lineRule="auto"/>
        <w:rPr>
          <w:sz w:val="20"/>
          <w:szCs w:val="20"/>
          <w:color w:val="auto"/>
        </w:rPr>
      </w:pPr>
      <w:r>
        <w:rPr>
          <w:rFonts w:ascii="Arial" w:cs="Arial" w:eastAsia="Arial" w:hAnsi="Arial"/>
          <w:sz w:val="12"/>
          <w:szCs w:val="12"/>
          <w:color w:val="auto"/>
        </w:rPr>
        <w:t>In addition, while the Bank reviews its counterparties’ internal policies and procedures with respect to such matters, the Bank, to a large degree, relies upon its counterparties to maintain and properly apply their own appropriate compliance procedures and internal policies. Such measures, procedures and internal policies may not be completely effective in preventing third parties from using the Bank’s (and its counterparties’) services as a conduit for illicit purposes (including illegal cash operations) without the Bank’s (and its counterparties’) knowledge. If the Bank is associated with, or even accused of having breached AML, anti-terrorism or sanctions requirements, the Bank’s reputation could suffer and/or the Bank could become subject to fines, sanctions and/or legal enforcement (including being added to any blacklists that would prohibit certain parties from engaging in transactions with the Bank). Any of the above consequences could have a material adverse effect on the Bank’s operating results, financial condition and prospects.</w:t>
      </w:r>
    </w:p>
    <w:p>
      <w:pPr>
        <w:spacing w:after="0" w:line="125"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Expansion and/or enforcement of U.S. economic or financial sanctions, requirements or trade embargoes could have a material adverse effect on the Bank.</w:t>
      </w:r>
    </w:p>
    <w:p>
      <w:pPr>
        <w:spacing w:after="0" w:line="15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Bank requires all subsidiaries, branches, agencies and offices to comply in all material respects with applicable Sanctions (as defined below). The Bank continues to monitor activities relating to those jurisdictions which are subject to Sanctions and periodically updates its global Sanctions policy to promote compliance with the various requirements resulting from these changes in Sanctions.</w:t>
      </w:r>
    </w:p>
    <w:p>
      <w:pPr>
        <w:spacing w:after="0" w:line="129"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During 2018 and in recent years, the U.S. has issued new legislation expanding Sanctions on Nicaragua, North Korea, Russia and Venezuela, and issued an executive order modifying Sanctions with respect to Sudan. Furthermore, in recent years, OFAC has designated some notable groups or financial institutions on the Specially Designated Nationals (“SDN”) List in the regions or jurisdictions where the Bank is either located or in which it does business.</w:t>
      </w:r>
    </w:p>
    <w:p>
      <w:pPr>
        <w:spacing w:after="0" w:line="284"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14" w:name="page15"/>
    <w:bookmarkEnd w:id="14"/>
    <w:p>
      <w:pPr>
        <w:jc w:val="both"/>
        <w:spacing w:after="0" w:line="274" w:lineRule="auto"/>
        <w:rPr>
          <w:sz w:val="20"/>
          <w:szCs w:val="20"/>
          <w:color w:val="auto"/>
        </w:rPr>
      </w:pPr>
      <w:r>
        <w:rPr>
          <w:rFonts w:ascii="Arial" w:cs="Arial" w:eastAsia="Arial" w:hAnsi="Arial"/>
          <w:sz w:val="12"/>
          <w:szCs w:val="12"/>
          <w:color w:val="auto"/>
        </w:rPr>
        <w:t>For example, since 2015 and through 2019, the U.S. has continued to expand Sanctions in respect of the Government of Venezuela and certain Venezuelan nationals, including certain Venezuelan government officials. With regard to any Sanctions targeting persons who have been added to OFAC’s SDN List, U.S. persons may not make to such listed persons, or receive from such listed persons, any contribution or provision of funds, goods, or services. These Sanctions also prohibit, with certain limited exceptions, (a) transactions by a U.S. person or within the United States relating to new debt with a maturity greater than 30 days or new equity, of the Government of Venezuela, bonds issued by the Government of Venezuela prior to August 25, 2017, and dividend payments or other distributions of profits to the Government of Venezuela from its controlled entities, and (b) direct or indirect purchases by a U.S. person or within the United States of securities from the Government of Venezuela (other than new debt with a maturity of 30 days or less). These recent Sanctions relating to Venezuela have also resulted in the designation of certain state-owned financial institutions, as SDNs, including Banco De Desarrollo Económico y Social de Venezuela (“BANDES”), Banco Bandes Uruguay S.A., Banco Bicentenario del Pueblo, de la Clase Obrera, Mujer y Comunas, Banco Universal C.A., Banco de Venezuela, S.A. Banco Universal and Banco Prodem S.A.</w:t>
      </w:r>
    </w:p>
    <w:p>
      <w:pPr>
        <w:spacing w:after="0" w:line="12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Beginning in 2018, the U.S. also expanded Sanctions in respect of the Government of Nicaragua and certain Nicaraguan nationals. Like the Venezuela-related Sanctions, these recent Sanctions have also resulted in the designation of certain financial institutions, as SDNs, including Banco Corporativo S.A., a subsidiary to the Venezuelan government-funded Alba de Nicaragua, S.A.</w:t>
      </w:r>
    </w:p>
    <w:p>
      <w:pPr>
        <w:spacing w:after="0" w:line="12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While the Bank does not consider that its business activities with counterparties with whom transactions are restricted or prohibited under U.S. Sanctions are material to its business, these aforementioned recent developments and any future expansion of Sanctions could have a material adverse impact on the Bank due to, among other things, the following:</w:t>
      </w:r>
    </w:p>
    <w:p>
      <w:pPr>
        <w:spacing w:after="0" w:line="129" w:lineRule="exact"/>
        <w:rPr>
          <w:sz w:val="20"/>
          <w:szCs w:val="20"/>
          <w:color w:val="auto"/>
        </w:rPr>
      </w:pPr>
    </w:p>
    <w:p>
      <w:pPr>
        <w:ind w:left="460" w:hanging="232"/>
        <w:spacing w:after="0"/>
        <w:tabs>
          <w:tab w:leader="none" w:pos="460" w:val="left"/>
        </w:tabs>
        <w:numPr>
          <w:ilvl w:val="0"/>
          <w:numId w:val="12"/>
        </w:numPr>
        <w:rPr>
          <w:rFonts w:ascii="Arial" w:cs="Arial" w:eastAsia="Arial" w:hAnsi="Arial"/>
          <w:sz w:val="12"/>
          <w:szCs w:val="12"/>
          <w:color w:val="auto"/>
        </w:rPr>
      </w:pPr>
      <w:r>
        <w:rPr>
          <w:rFonts w:ascii="Arial" w:cs="Arial" w:eastAsia="Arial" w:hAnsi="Arial"/>
          <w:sz w:val="12"/>
          <w:szCs w:val="12"/>
          <w:color w:val="auto"/>
        </w:rPr>
        <w:t>Bladex may be owned, directly or indirectly, by, or have shareholders which are, central banks, multilateral development banks or other persons which may be the current or future target of Sanctions; and</w:t>
      </w:r>
    </w:p>
    <w:p>
      <w:pPr>
        <w:spacing w:after="0" w:line="24" w:lineRule="exact"/>
        <w:rPr>
          <w:rFonts w:ascii="Arial" w:cs="Arial" w:eastAsia="Arial" w:hAnsi="Arial"/>
          <w:sz w:val="12"/>
          <w:szCs w:val="12"/>
          <w:color w:val="auto"/>
        </w:rPr>
      </w:pPr>
    </w:p>
    <w:p>
      <w:pPr>
        <w:ind w:left="460" w:hanging="232"/>
        <w:spacing w:after="0"/>
        <w:tabs>
          <w:tab w:leader="none" w:pos="460" w:val="left"/>
        </w:tabs>
        <w:numPr>
          <w:ilvl w:val="0"/>
          <w:numId w:val="12"/>
        </w:numPr>
        <w:rPr>
          <w:rFonts w:ascii="Arial" w:cs="Arial" w:eastAsia="Arial" w:hAnsi="Arial"/>
          <w:sz w:val="13"/>
          <w:szCs w:val="13"/>
          <w:color w:val="auto"/>
        </w:rPr>
      </w:pPr>
      <w:r>
        <w:rPr>
          <w:rFonts w:ascii="Arial" w:cs="Arial" w:eastAsia="Arial" w:hAnsi="Arial"/>
          <w:sz w:val="13"/>
          <w:szCs w:val="13"/>
          <w:color w:val="auto"/>
        </w:rPr>
        <w:t>Bladex may maintain counterparties that are organized in, located in or otherwise do business in jurisdictions which may or whose government may be the target of Sanctions.</w:t>
      </w:r>
    </w:p>
    <w:p>
      <w:pPr>
        <w:spacing w:after="0" w:line="150"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Changes in applicable law and regulation may have a material adverse effect on the Bank</w:t>
      </w:r>
      <w:r>
        <w:rPr>
          <w:rFonts w:ascii="Arial" w:cs="Arial" w:eastAsia="Arial" w:hAnsi="Arial"/>
          <w:sz w:val="13"/>
          <w:szCs w:val="13"/>
          <w:color w:val="auto"/>
        </w:rPr>
        <w:t>.</w:t>
      </w:r>
    </w:p>
    <w:p>
      <w:pPr>
        <w:spacing w:after="0" w:line="159"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The Bank is subject to extensive laws and regulations regarding the Bank’s organization, operations, lending and funding activities, capitalization and other matters. The Bank has no control over applicable law and government regulations, which govern all aspects of its operations, including but not limited to regulations that impose:</w:t>
      </w:r>
    </w:p>
    <w:p>
      <w:pPr>
        <w:spacing w:after="0" w:line="129" w:lineRule="exact"/>
        <w:rPr>
          <w:sz w:val="20"/>
          <w:szCs w:val="20"/>
          <w:color w:val="auto"/>
        </w:rPr>
      </w:pPr>
    </w:p>
    <w:p>
      <w:pPr>
        <w:ind w:left="460" w:hanging="232"/>
        <w:spacing w:after="0"/>
        <w:tabs>
          <w:tab w:leader="none" w:pos="460" w:val="left"/>
        </w:tabs>
        <w:numPr>
          <w:ilvl w:val="0"/>
          <w:numId w:val="13"/>
        </w:numPr>
        <w:rPr>
          <w:rFonts w:ascii="Arial" w:cs="Arial" w:eastAsia="Arial" w:hAnsi="Arial"/>
          <w:sz w:val="13"/>
          <w:szCs w:val="13"/>
          <w:color w:val="auto"/>
        </w:rPr>
      </w:pPr>
      <w:r>
        <w:rPr>
          <w:rFonts w:ascii="Arial" w:cs="Arial" w:eastAsia="Arial" w:hAnsi="Arial"/>
          <w:sz w:val="13"/>
          <w:szCs w:val="13"/>
          <w:color w:val="auto"/>
        </w:rPr>
        <w:t>Minimum capital requirements;</w:t>
      </w:r>
    </w:p>
    <w:p>
      <w:pPr>
        <w:spacing w:after="0" w:line="12" w:lineRule="exact"/>
        <w:rPr>
          <w:rFonts w:ascii="Arial" w:cs="Arial" w:eastAsia="Arial" w:hAnsi="Arial"/>
          <w:sz w:val="13"/>
          <w:szCs w:val="13"/>
          <w:color w:val="auto"/>
        </w:rPr>
      </w:pPr>
    </w:p>
    <w:p>
      <w:pPr>
        <w:ind w:left="460" w:hanging="232"/>
        <w:spacing w:after="0"/>
        <w:tabs>
          <w:tab w:leader="none" w:pos="460" w:val="left"/>
        </w:tabs>
        <w:numPr>
          <w:ilvl w:val="0"/>
          <w:numId w:val="13"/>
        </w:numPr>
        <w:rPr>
          <w:rFonts w:ascii="Arial" w:cs="Arial" w:eastAsia="Arial" w:hAnsi="Arial"/>
          <w:sz w:val="13"/>
          <w:szCs w:val="13"/>
          <w:color w:val="auto"/>
        </w:rPr>
      </w:pPr>
      <w:r>
        <w:rPr>
          <w:rFonts w:ascii="Arial" w:cs="Arial" w:eastAsia="Arial" w:hAnsi="Arial"/>
          <w:sz w:val="13"/>
          <w:szCs w:val="13"/>
          <w:color w:val="auto"/>
        </w:rPr>
        <w:t>Reserve and compulsory deposit requirements;</w:t>
      </w:r>
    </w:p>
    <w:p>
      <w:pPr>
        <w:spacing w:after="0" w:line="4" w:lineRule="exact"/>
        <w:rPr>
          <w:rFonts w:ascii="Arial" w:cs="Arial" w:eastAsia="Arial" w:hAnsi="Arial"/>
          <w:sz w:val="13"/>
          <w:szCs w:val="13"/>
          <w:color w:val="auto"/>
        </w:rPr>
      </w:pPr>
    </w:p>
    <w:p>
      <w:pPr>
        <w:ind w:left="460" w:hanging="232"/>
        <w:spacing w:after="0"/>
        <w:tabs>
          <w:tab w:leader="none" w:pos="460" w:val="left"/>
        </w:tabs>
        <w:numPr>
          <w:ilvl w:val="0"/>
          <w:numId w:val="13"/>
        </w:numPr>
        <w:rPr>
          <w:rFonts w:ascii="Arial" w:cs="Arial" w:eastAsia="Arial" w:hAnsi="Arial"/>
          <w:sz w:val="13"/>
          <w:szCs w:val="13"/>
          <w:color w:val="auto"/>
        </w:rPr>
      </w:pPr>
      <w:r>
        <w:rPr>
          <w:rFonts w:ascii="Arial" w:cs="Arial" w:eastAsia="Arial" w:hAnsi="Arial"/>
          <w:sz w:val="13"/>
          <w:szCs w:val="13"/>
          <w:color w:val="auto"/>
        </w:rPr>
        <w:t>Funding restrictions;</w:t>
      </w:r>
    </w:p>
    <w:p>
      <w:pPr>
        <w:spacing w:after="0" w:line="4" w:lineRule="exact"/>
        <w:rPr>
          <w:rFonts w:ascii="Arial" w:cs="Arial" w:eastAsia="Arial" w:hAnsi="Arial"/>
          <w:sz w:val="13"/>
          <w:szCs w:val="13"/>
          <w:color w:val="auto"/>
        </w:rPr>
      </w:pPr>
    </w:p>
    <w:p>
      <w:pPr>
        <w:ind w:left="460" w:hanging="232"/>
        <w:spacing w:after="0"/>
        <w:tabs>
          <w:tab w:leader="none" w:pos="460" w:val="left"/>
        </w:tabs>
        <w:numPr>
          <w:ilvl w:val="0"/>
          <w:numId w:val="13"/>
        </w:numPr>
        <w:rPr>
          <w:rFonts w:ascii="Arial" w:cs="Arial" w:eastAsia="Arial" w:hAnsi="Arial"/>
          <w:sz w:val="13"/>
          <w:szCs w:val="13"/>
          <w:color w:val="auto"/>
        </w:rPr>
      </w:pPr>
      <w:r>
        <w:rPr>
          <w:rFonts w:ascii="Arial" w:cs="Arial" w:eastAsia="Arial" w:hAnsi="Arial"/>
          <w:sz w:val="13"/>
          <w:szCs w:val="13"/>
          <w:color w:val="auto"/>
        </w:rPr>
        <w:t>Lending limits, earmarked lending and other credit restrictions;</w:t>
      </w:r>
    </w:p>
    <w:p>
      <w:pPr>
        <w:spacing w:after="0" w:line="4" w:lineRule="exact"/>
        <w:rPr>
          <w:rFonts w:ascii="Arial" w:cs="Arial" w:eastAsia="Arial" w:hAnsi="Arial"/>
          <w:sz w:val="13"/>
          <w:szCs w:val="13"/>
          <w:color w:val="auto"/>
        </w:rPr>
      </w:pPr>
    </w:p>
    <w:p>
      <w:pPr>
        <w:ind w:left="460" w:hanging="232"/>
        <w:spacing w:after="0"/>
        <w:tabs>
          <w:tab w:leader="none" w:pos="460" w:val="left"/>
        </w:tabs>
        <w:numPr>
          <w:ilvl w:val="0"/>
          <w:numId w:val="13"/>
        </w:numPr>
        <w:rPr>
          <w:rFonts w:ascii="Arial" w:cs="Arial" w:eastAsia="Arial" w:hAnsi="Arial"/>
          <w:sz w:val="13"/>
          <w:szCs w:val="13"/>
          <w:color w:val="auto"/>
        </w:rPr>
      </w:pPr>
      <w:r>
        <w:rPr>
          <w:rFonts w:ascii="Arial" w:cs="Arial" w:eastAsia="Arial" w:hAnsi="Arial"/>
          <w:sz w:val="13"/>
          <w:szCs w:val="13"/>
          <w:color w:val="auto"/>
        </w:rPr>
        <w:t>Limits on investments in fixed assets;</w:t>
      </w:r>
    </w:p>
    <w:p>
      <w:pPr>
        <w:spacing w:after="0" w:line="4" w:lineRule="exact"/>
        <w:rPr>
          <w:rFonts w:ascii="Arial" w:cs="Arial" w:eastAsia="Arial" w:hAnsi="Arial"/>
          <w:sz w:val="13"/>
          <w:szCs w:val="13"/>
          <w:color w:val="auto"/>
        </w:rPr>
      </w:pPr>
    </w:p>
    <w:p>
      <w:pPr>
        <w:ind w:left="460" w:hanging="232"/>
        <w:spacing w:after="0"/>
        <w:tabs>
          <w:tab w:leader="none" w:pos="460" w:val="left"/>
        </w:tabs>
        <w:numPr>
          <w:ilvl w:val="0"/>
          <w:numId w:val="13"/>
        </w:numPr>
        <w:rPr>
          <w:rFonts w:ascii="Arial" w:cs="Arial" w:eastAsia="Arial" w:hAnsi="Arial"/>
          <w:sz w:val="13"/>
          <w:szCs w:val="13"/>
          <w:color w:val="auto"/>
        </w:rPr>
      </w:pPr>
      <w:r>
        <w:rPr>
          <w:rFonts w:ascii="Arial" w:cs="Arial" w:eastAsia="Arial" w:hAnsi="Arial"/>
          <w:sz w:val="13"/>
          <w:szCs w:val="13"/>
          <w:color w:val="auto"/>
        </w:rPr>
        <w:t>Corporate governance, financial reporting and employee compensation requirements;</w:t>
      </w:r>
    </w:p>
    <w:p>
      <w:pPr>
        <w:spacing w:after="0" w:line="4" w:lineRule="exact"/>
        <w:rPr>
          <w:rFonts w:ascii="Arial" w:cs="Arial" w:eastAsia="Arial" w:hAnsi="Arial"/>
          <w:sz w:val="13"/>
          <w:szCs w:val="13"/>
          <w:color w:val="auto"/>
        </w:rPr>
      </w:pPr>
    </w:p>
    <w:p>
      <w:pPr>
        <w:ind w:left="460" w:hanging="232"/>
        <w:spacing w:after="0"/>
        <w:tabs>
          <w:tab w:leader="none" w:pos="460" w:val="left"/>
        </w:tabs>
        <w:numPr>
          <w:ilvl w:val="0"/>
          <w:numId w:val="13"/>
        </w:numPr>
        <w:rPr>
          <w:rFonts w:ascii="Arial" w:cs="Arial" w:eastAsia="Arial" w:hAnsi="Arial"/>
          <w:sz w:val="13"/>
          <w:szCs w:val="13"/>
          <w:color w:val="auto"/>
        </w:rPr>
      </w:pPr>
      <w:r>
        <w:rPr>
          <w:rFonts w:ascii="Arial" w:cs="Arial" w:eastAsia="Arial" w:hAnsi="Arial"/>
          <w:sz w:val="13"/>
          <w:szCs w:val="13"/>
          <w:color w:val="auto"/>
        </w:rPr>
        <w:t>Accounting and statistical requirements;</w:t>
      </w:r>
    </w:p>
    <w:p>
      <w:pPr>
        <w:spacing w:after="0" w:line="4" w:lineRule="exact"/>
        <w:rPr>
          <w:rFonts w:ascii="Arial" w:cs="Arial" w:eastAsia="Arial" w:hAnsi="Arial"/>
          <w:sz w:val="13"/>
          <w:szCs w:val="13"/>
          <w:color w:val="auto"/>
        </w:rPr>
      </w:pPr>
    </w:p>
    <w:p>
      <w:pPr>
        <w:ind w:left="460" w:hanging="232"/>
        <w:spacing w:after="0"/>
        <w:tabs>
          <w:tab w:leader="none" w:pos="460" w:val="left"/>
        </w:tabs>
        <w:numPr>
          <w:ilvl w:val="0"/>
          <w:numId w:val="13"/>
        </w:numPr>
        <w:rPr>
          <w:rFonts w:ascii="Arial" w:cs="Arial" w:eastAsia="Arial" w:hAnsi="Arial"/>
          <w:sz w:val="13"/>
          <w:szCs w:val="13"/>
          <w:color w:val="auto"/>
        </w:rPr>
      </w:pPr>
      <w:r>
        <w:rPr>
          <w:rFonts w:ascii="Arial" w:cs="Arial" w:eastAsia="Arial" w:hAnsi="Arial"/>
          <w:sz w:val="13"/>
          <w:szCs w:val="13"/>
          <w:color w:val="auto"/>
        </w:rPr>
        <w:t>Competition policy; and</w:t>
      </w:r>
    </w:p>
    <w:p>
      <w:pPr>
        <w:spacing w:after="0" w:line="4" w:lineRule="exact"/>
        <w:rPr>
          <w:rFonts w:ascii="Arial" w:cs="Arial" w:eastAsia="Arial" w:hAnsi="Arial"/>
          <w:sz w:val="13"/>
          <w:szCs w:val="13"/>
          <w:color w:val="auto"/>
        </w:rPr>
      </w:pPr>
    </w:p>
    <w:p>
      <w:pPr>
        <w:ind w:left="460" w:hanging="232"/>
        <w:spacing w:after="0"/>
        <w:tabs>
          <w:tab w:leader="none" w:pos="460" w:val="left"/>
        </w:tabs>
        <w:numPr>
          <w:ilvl w:val="0"/>
          <w:numId w:val="13"/>
        </w:numPr>
        <w:rPr>
          <w:rFonts w:ascii="Arial" w:cs="Arial" w:eastAsia="Arial" w:hAnsi="Arial"/>
          <w:sz w:val="13"/>
          <w:szCs w:val="13"/>
          <w:color w:val="auto"/>
        </w:rPr>
      </w:pPr>
      <w:r>
        <w:rPr>
          <w:rFonts w:ascii="Arial" w:cs="Arial" w:eastAsia="Arial" w:hAnsi="Arial"/>
          <w:sz w:val="13"/>
          <w:szCs w:val="13"/>
          <w:color w:val="auto"/>
        </w:rPr>
        <w:t>Other requirements or limitations.</w:t>
      </w:r>
    </w:p>
    <w:p>
      <w:pPr>
        <w:spacing w:after="0" w:line="150" w:lineRule="exact"/>
        <w:rPr>
          <w:sz w:val="20"/>
          <w:szCs w:val="20"/>
          <w:color w:val="auto"/>
        </w:rPr>
      </w:pPr>
    </w:p>
    <w:p>
      <w:pPr>
        <w:ind w:right="20"/>
        <w:spacing w:after="0" w:line="310" w:lineRule="auto"/>
        <w:rPr>
          <w:sz w:val="20"/>
          <w:szCs w:val="20"/>
          <w:color w:val="auto"/>
        </w:rPr>
      </w:pPr>
      <w:r>
        <w:rPr>
          <w:rFonts w:ascii="Arial" w:cs="Arial" w:eastAsia="Arial" w:hAnsi="Arial"/>
          <w:sz w:val="12"/>
          <w:szCs w:val="12"/>
          <w:color w:val="auto"/>
        </w:rPr>
        <w:t>The regulatory structure governing financial institutions, such as the Bank, is continuously evolving. Disruptions and volatility in the global financial markets resulting in liquidity problems at major international financial institutions could lead the governments in jurisdictions in which the Bank operates to change laws and regulations applicable to financial institutions based on such international developments.</w:t>
      </w:r>
    </w:p>
    <w:p>
      <w:pPr>
        <w:spacing w:after="0" w:line="254"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15" w:name="page16"/>
    <w:bookmarkEnd w:id="15"/>
    <w:p>
      <w:pPr>
        <w:jc w:val="both"/>
        <w:spacing w:after="0" w:line="273" w:lineRule="auto"/>
        <w:rPr>
          <w:sz w:val="20"/>
          <w:szCs w:val="20"/>
          <w:color w:val="auto"/>
        </w:rPr>
      </w:pPr>
      <w:r>
        <w:rPr>
          <w:rFonts w:ascii="Arial" w:cs="Arial" w:eastAsia="Arial" w:hAnsi="Arial"/>
          <w:sz w:val="12"/>
          <w:szCs w:val="12"/>
          <w:color w:val="auto"/>
        </w:rPr>
        <w:t>In response to the global financial crisis, which began in late 2007, national and intergovernmental regulatory entities, such as the Basel Committee on Banking Regulations and Supervisory Practices (the “Basel Committee”) proposed reforms to prevent the recurrence of a similar crisis, including the Basel III framework, which creates new higher minimum regulatory capital requirements. On December 16, 2010 and January 13, 2011, the Basel Committee issued its original guidance (which was updated in 2013) on a number of regulatory reforms to the regulatory capital framework in order to strengthen minimum capital requirements, including the phasing out of innovative Tier 1 and 2 Capital instruments with incentive-based redemption clauses and implementing a leverage ratio on institutions in addition to current risk-based regulatory requirements. The Superintendency of Banks of Panama (“Superintendencia de Bancos de Panamá” or the “Superintendency”) is authorized to increase the minimum capital requirement percentage in Panama in the event that generally accepted international capitalization standards (the standards set by the Basel Committee on Banking Supervision) become more stringent. Non-compliance with this legal lending limit could result in the assessment of administrative sanctions by the Superintendency for such violations, taking into consideration the magnitude of the offense and any prior occurrences, and the magnitude of damages and prejudice caused to third parties. The Bank follows Basel III criteria to determine capitalization levels, and has determined the Bank’s Tier 1 Basel III capital ratio to be 18.1% as of December 31, 2018. In addition, as of December 31, 2018, the Bank’s total capital to risk-weighted asset ratio, calculated according to the guidelines of the Banking Law, was 17.1%.</w:t>
      </w:r>
    </w:p>
    <w:p>
      <w:pPr>
        <w:spacing w:after="0" w:line="127"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Based on the Bank’s current regulatory capital ratios, as well as conservative assumptions on expected returns and asset growth, the Bank does not anticipate that additional regulatory capital will be required to support its operations in the near future. However, depending on the effects of the rules that complete the implementation of the Basel III framework on Panamanian banks and particularly on other Bank operations, the Bank may need to reassess its ongoing funding strategy for regulatory capital.</w:t>
      </w:r>
    </w:p>
    <w:p>
      <w:pPr>
        <w:spacing w:after="0" w:line="136" w:lineRule="exact"/>
        <w:rPr>
          <w:sz w:val="20"/>
          <w:szCs w:val="20"/>
          <w:color w:val="auto"/>
        </w:rPr>
      </w:pPr>
    </w:p>
    <w:p>
      <w:pPr>
        <w:jc w:val="both"/>
        <w:spacing w:after="0" w:line="305" w:lineRule="auto"/>
        <w:rPr>
          <w:sz w:val="20"/>
          <w:szCs w:val="20"/>
          <w:color w:val="auto"/>
        </w:rPr>
      </w:pPr>
      <w:r>
        <w:rPr>
          <w:rFonts w:ascii="Arial" w:cs="Arial" w:eastAsia="Arial" w:hAnsi="Arial"/>
          <w:sz w:val="11"/>
          <w:szCs w:val="11"/>
          <w:color w:val="auto"/>
        </w:rPr>
        <w:t>The Bank also has operations in countries outside of Panama, including the United States. Changes in the laws or regulations applicable to the Bank business in the countries in which it operates or adoption of new laws, such as the Dodd-Frank Wall Street Reform and Consumer Protection Act (the “Dodd-Frank Act”) in the United States, and the related rulemaking, may have a material adverse effect on the Bank’s business, financial condition, and results of operations. The Dodd-Frank Act was signed into law on July 21, 2010 and was intended to overhaul the financial regulatory framework in the United States following the global financial crisis and has substantially impacted all financial institutions that are subject to its requirements. The Dodd-Frank Act, among other things, imposes higher prudential standards, including more stringent risk-based capital, leverage, liquidity and risk-management requirements, established a Bureau of Consumer Financial Protection, established a systemic risk regulator, consolidated certain federal bank regulators, imposes additional requirements related to corporate governance and executive compensation and requires various U.S. federal agencies to adopt a broad range of new implementing rules and regulations, for which they are given broad discretion.</w:t>
      </w:r>
    </w:p>
    <w:p>
      <w:pPr>
        <w:spacing w:after="0" w:line="114" w:lineRule="exact"/>
        <w:rPr>
          <w:sz w:val="20"/>
          <w:szCs w:val="20"/>
          <w:color w:val="auto"/>
        </w:rPr>
      </w:pPr>
    </w:p>
    <w:p>
      <w:pPr>
        <w:jc w:val="both"/>
        <w:spacing w:after="0" w:line="272" w:lineRule="auto"/>
        <w:rPr>
          <w:sz w:val="20"/>
          <w:szCs w:val="20"/>
          <w:color w:val="auto"/>
        </w:rPr>
      </w:pPr>
      <w:r>
        <w:rPr>
          <w:rFonts w:ascii="Arial" w:cs="Arial" w:eastAsia="Arial" w:hAnsi="Arial"/>
          <w:sz w:val="12"/>
          <w:szCs w:val="12"/>
          <w:color w:val="auto"/>
        </w:rPr>
        <w:t>In 2014, the U.S. Federal Reserve Board issued a final rule strengthening supervision and regulation of large U.S. bank holding companies and foreign banking organizations (such as the Bank). The final rule establishes a number of enhanced prudential standards for large U.S. bank holding companies and foreign banking organizations to help increase the resiliency of their operations. These standards include liquidity, risk management, and capital. The final rule was required by Section 165 of the Dodd-Frank Act. Under the final rule, foreign banking organizations with combined U.S. assets of $50 billion or more will be required to establish a U.S. risk committee and employ a U.S. chief risk officer to help ensure that the foreign bank understands and manages the risks of its combined U.S. operations. In addition, these foreign banking organizations will be required to meet enhanced liquidity risk-management standards, conduct liquidity stress tests, and hold a buffer of highly liquid assets based on projected funding needs during a 30-day stress test event. Foreign banking organizations with total consolidated assets of $50 billion or more, but combined U.S. assets of less than $50 billion, are subject to enhanced prudential standards. However, the capital, liquidity, risk-management, and stress testing requirements applicable to these foreign banking organizations are substantially less than those applicable to foreign banking organizations with a larger U.S. presence. In addition, the final rule implements stress testing requirements for foreign banking organizations with total consolidated assets of more than $10 billion and risk committee requirements for foreign banking organizations that meet the asset threshold and are publicly traded. While the majority of these enhanced prudential standards are not currently applicable to the Bank, they could ultimately become applicable as the Bank grows, its U.S. presence or assets increase or if the Dodd-Frank Act is later amended, modified or supplemented with new legislation.</w:t>
      </w:r>
    </w:p>
    <w:p>
      <w:pPr>
        <w:spacing w:after="0" w:line="279"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16" w:name="page17"/>
    <w:bookmarkEnd w:id="16"/>
    <w:p>
      <w:pPr>
        <w:jc w:val="both"/>
        <w:spacing w:after="0" w:line="254" w:lineRule="auto"/>
        <w:rPr>
          <w:sz w:val="20"/>
          <w:szCs w:val="20"/>
          <w:color w:val="auto"/>
        </w:rPr>
      </w:pPr>
      <w:r>
        <w:rPr>
          <w:rFonts w:ascii="Arial" w:cs="Arial" w:eastAsia="Arial" w:hAnsi="Arial"/>
          <w:sz w:val="13"/>
          <w:szCs w:val="13"/>
          <w:color w:val="auto"/>
        </w:rPr>
        <w:t>On December 10, 2013, pursuant to the Dodd-Frank Act, federal banking and securities regulators issued final rules to implement Section 619 of the Dodd-Frank Act (the “Volcker Rule”). Generally, subject to certain exceptions, the Volcker Rule restricts banks from: (i) short-term proprietary trading as principal in securities and other financial instruments, and (ii) sponsoring or acquiring or retaining an ownership interest in private equity and hedge funds. The Volcker Rule prohibitions and restrictions generally apply to banking entities, including the Bank, unless an exception applies. Based on analysis of applicable regulations and the Bank’s investment activities, the Bank has determined that its current investment activities are not subject to the Volcker Rule restrictions.</w:t>
      </w:r>
    </w:p>
    <w:p>
      <w:pPr>
        <w:spacing w:after="0" w:line="137"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Dodd-Frank Act also will have an impact on the Bank’s derivatives activities if it enters into swaps or security-based swaps with U.S. persons. In particular, Bladex may be subject to mandatory trade execution, mandatory clearing and mandatory posting of margin in connection with its swaps and security-based swaps with U.S. persons.</w:t>
      </w:r>
    </w:p>
    <w:p>
      <w:pPr>
        <w:spacing w:after="0" w:line="129"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On March 18, 2010, the Hiring Incentives to Restore Employment Act of 2010, Pub. L. 111-147 (H.R. 2847), added Sections 1471 through 1474 (collectively, “FATCA”) to Subtitle A of the Internal Revenue Code of 1986, as amended (the “Code”). FATCA requires withholding agents, including foreign financial institutions (“FFIs”), to withhold thirty percent (30%) of certain payments to a FFI unless the FFI has entered into an agreement with the U.S. Internal Revenue Service (“IRS”) to, among other things, report certain information with respect to U.S. accounts. FATCA also imposes on withholding agents certain withholding, documentation, and reporting requirements with respect to certain payments made to certain non-financial foreign entities.</w:t>
      </w:r>
    </w:p>
    <w:p>
      <w:pPr>
        <w:spacing w:after="0" w:line="137"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On June 30, 2014, Panama signed a Model 1 intergovernmental agreement (“Panama IGA”) with the U.S. for purposes of FATCA. Under the Panama IGA, most Panamanian financial institutions are required to register with the IRS and comply with the requirements of the Panama IGA, including with respect to due diligence, reporting, and withholding.</w:t>
      </w:r>
    </w:p>
    <w:p>
      <w:pPr>
        <w:spacing w:after="0" w:line="12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To this end, the Bank registered with the IRS on April 23, 2014 as a Registered Deemed-Compliant Financial Institution (including a Reporting Financial Institution under a Model 1 IGA) and is required under the Panama IGA to identify U.S. persons and report certain information required by the IRS, through the tax authorities in Panama.</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color w:val="auto"/>
        </w:rPr>
        <w:t>Any changes in applicable laws and regulations, as well as the volume and complexity of the laws and regulations applicable to the Bank, may have a material adverse effect on the Bank.</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Any failure by the Bank to maintain effective internal control over financial reporting may adversely affect investor confidence and, as a result, the value of investments in our securities.</w:t>
      </w:r>
    </w:p>
    <w:p>
      <w:pPr>
        <w:spacing w:after="0" w:line="159" w:lineRule="exact"/>
        <w:rPr>
          <w:sz w:val="20"/>
          <w:szCs w:val="20"/>
          <w:color w:val="auto"/>
        </w:rPr>
      </w:pPr>
    </w:p>
    <w:p>
      <w:pPr>
        <w:jc w:val="both"/>
        <w:spacing w:after="0" w:line="276" w:lineRule="auto"/>
        <w:rPr>
          <w:sz w:val="20"/>
          <w:szCs w:val="20"/>
          <w:color w:val="auto"/>
        </w:rPr>
      </w:pPr>
      <w:r>
        <w:rPr>
          <w:rFonts w:ascii="Arial" w:cs="Arial" w:eastAsia="Arial" w:hAnsi="Arial"/>
          <w:sz w:val="12"/>
          <w:szCs w:val="12"/>
          <w:color w:val="auto"/>
        </w:rPr>
        <w:t>The Bank is required under the Sarbanes-Oxley Act of 2002 to furnish a report by the Bank’s management on the effectiveness of its internal control over financial reporting and to include a report by its independent auditors attesting to such effectiveness. Any failure by the Bank to maintain effective internal control over financial reporting could adversely affect its ability to report accurately its financial condition or results of operations. If the Bank is unable to conclude that its internal control over financial reporting is effective, or if its independent auditors determine that Bladex has a material weakness or significant deficiency in its internal control over financial reporting, the Bank could lose investor confidence in the accuracy and completeness of its financial reports, the market prices of its shares could decline, and could be subject to sanctions or investigations by the Securities and Exchange Commission (“SEC”) or other regulatory authorities. Failure to remedy any material weakness in its internal control over financial reporting, or to implement or maintain other effective control systems required of public companies subject to SEC regulation, also could restrict the Bank’s future access to the capital markets.</w:t>
      </w:r>
    </w:p>
    <w:p>
      <w:pPr>
        <w:spacing w:after="0" w:line="274"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17" w:name="page18"/>
    <w:bookmarkEnd w:id="17"/>
    <w:p>
      <w:pPr>
        <w:jc w:val="both"/>
        <w:ind w:right="20"/>
        <w:spacing w:after="0" w:line="267" w:lineRule="auto"/>
        <w:rPr>
          <w:sz w:val="20"/>
          <w:szCs w:val="20"/>
          <w:color w:val="auto"/>
        </w:rPr>
      </w:pPr>
      <w:r>
        <w:rPr>
          <w:rFonts w:ascii="Arial" w:cs="Arial" w:eastAsia="Arial" w:hAnsi="Arial"/>
          <w:sz w:val="13"/>
          <w:szCs w:val="13"/>
          <w:b w:val="1"/>
          <w:bCs w:val="1"/>
          <w:i w:val="1"/>
          <w:iCs w:val="1"/>
          <w:color w:val="auto"/>
        </w:rPr>
        <w:t>The Bank makes estimates and assumptions in connection with the preparation of its consolidated financial statements, and any changes to those estimates and assumptions could have a material adverse effect on its operating results.</w:t>
      </w:r>
    </w:p>
    <w:p>
      <w:pPr>
        <w:spacing w:after="0" w:line="129"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In connection with the preparation of its consolidated financial statements, the Bank uses certain estimates and assumptions based on historical experience and other factors. While the Bank’s management believes that these estimates and assumptions are reasonable under the current circumstances, they are subject to significant uncertainties, some of which are beyond its control. Should any of these estimates and assumptions change or prove to have been incorrect, its reported operating results could be materially adversely affected.</w:t>
      </w:r>
    </w:p>
    <w:p>
      <w:pPr>
        <w:spacing w:after="0" w:line="136"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Regulation and reform of LIBOR, EURIBOR or other benchmarks could adversely affect financial instruments linked to such benchmarks.</w:t>
      </w:r>
    </w:p>
    <w:p>
      <w:pPr>
        <w:spacing w:after="0" w:line="159" w:lineRule="exact"/>
        <w:rPr>
          <w:sz w:val="20"/>
          <w:szCs w:val="20"/>
          <w:color w:val="auto"/>
        </w:rPr>
      </w:pPr>
    </w:p>
    <w:p>
      <w:pPr>
        <w:jc w:val="both"/>
        <w:spacing w:after="0" w:line="289" w:lineRule="auto"/>
        <w:rPr>
          <w:sz w:val="20"/>
          <w:szCs w:val="20"/>
          <w:color w:val="auto"/>
        </w:rPr>
      </w:pPr>
      <w:r>
        <w:rPr>
          <w:rFonts w:ascii="Arial" w:cs="Arial" w:eastAsia="Arial" w:hAnsi="Arial"/>
          <w:sz w:val="12"/>
          <w:szCs w:val="12"/>
          <w:color w:val="auto"/>
        </w:rPr>
        <w:t>LIBOR, EURIBOR and other rates and indices deemed to be benchmarks are the subject of recent national, international and other regulatory guidance and proposals for reform. Some of these reforms are already effective, while others have yet to be implemented. These reforms may cause such benchmarks to perform differently than in the past, to disappear entirely, or have other consequences which cannot be predicted. Any such consequence could have a material adverse effect on any financial instrument linked to such a benchmark, including, among others, loans and other financial instruments in the Bank’s portfolio.</w:t>
      </w:r>
    </w:p>
    <w:p>
      <w:pPr>
        <w:spacing w:after="0" w:line="118" w:lineRule="exact"/>
        <w:rPr>
          <w:sz w:val="20"/>
          <w:szCs w:val="20"/>
          <w:color w:val="auto"/>
        </w:rPr>
      </w:pPr>
    </w:p>
    <w:p>
      <w:pPr>
        <w:jc w:val="both"/>
        <w:ind w:right="20"/>
        <w:spacing w:after="0" w:line="274" w:lineRule="auto"/>
        <w:rPr>
          <w:sz w:val="20"/>
          <w:szCs w:val="20"/>
          <w:color w:val="auto"/>
        </w:rPr>
      </w:pPr>
      <w:r>
        <w:rPr>
          <w:rFonts w:ascii="Arial" w:cs="Arial" w:eastAsia="Arial" w:hAnsi="Arial"/>
          <w:sz w:val="12"/>
          <w:szCs w:val="12"/>
          <w:color w:val="auto"/>
        </w:rPr>
        <w:t>Regulation (EU) 2016/1011 (the “Benchmark Regulation”) was published in the Official Journal of the European Union on June 29, 2016 and went into effect on from January 1, 2018 (with the exception of provisions specified in Article 59 (mainly on critical benchmarks) that have applied since June 30, 2016). The Benchmark Regulation could have a material impact on any financial instrument linked to LIBOR, EURIBOR or another benchmark rate or index, in particular, if the methodology or other terms of the benchmark are changed in order to comply with the terms of the Benchmark Regulation, and such changes could, among other things, have the effect of reducing or increasing the rate or level, or affecting the volatility of the published rate or level, of the benchmark. In addition, the Benchmark Regulation stipulates that each administrator of a benchmark regulated thereunder must be licensed by the competent authority of the Member State where such administrator is located. There is a risk that administrators of certain benchmarks will fail to obtain a necessary license, preventing them from continuing to provide such benchmarks. Other administrators may cease to administer certain benchmarks because of the additional costs of compliance with the Benchmark Regulation and other applicable regulations, and the risks associated therewith. There is also a risk that certain benchmarks may continue to be administered but may, in time, become obsolete.</w:t>
      </w:r>
    </w:p>
    <w:p>
      <w:pPr>
        <w:spacing w:after="0" w:line="129" w:lineRule="exact"/>
        <w:rPr>
          <w:sz w:val="20"/>
          <w:szCs w:val="20"/>
          <w:color w:val="auto"/>
        </w:rPr>
      </w:pPr>
    </w:p>
    <w:p>
      <w:pPr>
        <w:jc w:val="both"/>
        <w:spacing w:after="0" w:line="276" w:lineRule="auto"/>
        <w:rPr>
          <w:sz w:val="20"/>
          <w:szCs w:val="20"/>
          <w:color w:val="auto"/>
        </w:rPr>
      </w:pPr>
      <w:r>
        <w:rPr>
          <w:rFonts w:ascii="Arial" w:cs="Arial" w:eastAsia="Arial" w:hAnsi="Arial"/>
          <w:sz w:val="12"/>
          <w:szCs w:val="12"/>
          <w:color w:val="auto"/>
        </w:rPr>
        <w:t>As an example of such reforms, on July 27, 2017, the U.K. Financial Conduct Authority announced that it will no longer persuade or compel banks to submit rates for the calculation of the LIBOR benchmark after 2021 (the “FCA Announcement”). The FCA Announcement indicates that the continuation of LIBOR on the current basis (or at all) cannot and will not be guaranteed after 2021. The potential elimination of the LIBOR benchmark or any other benchmark, or changes in the manner of administration of any benchmark, could require or result in an adjustment to the interest provisions of loans and other financial instruments, or result in other consequences, in respect of any financial instrument linked to such benchmark, including, but not limited to, financial instruments whose interest rates are linked to LIBOR or any other such benchmark which is subject to reform. Furthermore, even prior to the implementation of any changes, uncertainty as to the nature of alternative reference rates and as to potential changes to such benchmark may adversely affect such benchmark during the term of the financial instruments, the return on the financial instruments and the trading market for securities based on such benchmark.</w:t>
      </w:r>
    </w:p>
    <w:p>
      <w:pPr>
        <w:spacing w:after="0" w:line="274"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18" w:name="page19"/>
    <w:bookmarkEnd w:id="18"/>
    <w:p>
      <w:pPr>
        <w:jc w:val="both"/>
        <w:ind w:right="20"/>
        <w:spacing w:after="0" w:line="254" w:lineRule="auto"/>
        <w:rPr>
          <w:sz w:val="20"/>
          <w:szCs w:val="20"/>
          <w:color w:val="auto"/>
        </w:rPr>
      </w:pPr>
      <w:r>
        <w:rPr>
          <w:rFonts w:ascii="Arial" w:cs="Arial" w:eastAsia="Arial" w:hAnsi="Arial"/>
          <w:sz w:val="13"/>
          <w:szCs w:val="13"/>
          <w:color w:val="auto"/>
        </w:rPr>
        <w:t>Any such consequences could have a material adverse effect on the value of and return on any such financial instrument, including, but not limited to, financial instruments in the Bank’s Commercial Portfolio. Moreover, any of the above matters or any other significant change to the setting or existence of any relevant reference rate could affect the ability of the Bank to meet its obligations under financial instruments issued on a floating rate basis or could have a material adverse effect on the market price and/or liquidity of, and the amount payable under, any such financial instruments. Such consequences would have a material adverse effect on the Bank’s business, financial condition, results of operations and share price.</w:t>
      </w:r>
    </w:p>
    <w:p>
      <w:pPr>
        <w:spacing w:after="0" w:line="137"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The loss of senior management, or the Bank’s ability to attract and maintain key personnel, could have a material adverse effect on it.</w:t>
      </w:r>
    </w:p>
    <w:p>
      <w:pPr>
        <w:spacing w:after="0" w:line="159" w:lineRule="exact"/>
        <w:rPr>
          <w:sz w:val="20"/>
          <w:szCs w:val="20"/>
          <w:color w:val="auto"/>
        </w:rPr>
      </w:pPr>
    </w:p>
    <w:p>
      <w:pPr>
        <w:jc w:val="both"/>
        <w:spacing w:after="0" w:line="251" w:lineRule="auto"/>
        <w:rPr>
          <w:sz w:val="20"/>
          <w:szCs w:val="20"/>
          <w:color w:val="auto"/>
        </w:rPr>
      </w:pPr>
      <w:r>
        <w:rPr>
          <w:rFonts w:ascii="Arial" w:cs="Arial" w:eastAsia="Arial" w:hAnsi="Arial"/>
          <w:sz w:val="13"/>
          <w:szCs w:val="13"/>
          <w:color w:val="auto"/>
        </w:rPr>
        <w:t>The Bank’s ability to maintain its competitive position and implement its strategy depends on its senior management. The loss of some of the members of the Bank’s senior management, or the Bank’s inability to maintain and attract additional personnel, could have a material adverse effect on its operations and ability to implement its strategy. The Bank’s performance and success are largely dependent on the talents and efforts of highly skilled individuals. Talent attraction and retention is one of the key pillars for supporting the results of Bladex, which is focused on client satisfaction and sustainable performance. The Bank’s ability to attract, develop, motivate and retain the right number of appropriately qualified people is critical to its performance and ability to thrive throughout the Region. Concurrently, the Bank faces the challenge of providing a new experience to employees, so that the Bank is able to attract and retain highly-qualified professionals who value environments offering equal opportunities and who wish to build their careers in dynamic, cooperative workplaces, which encourage diversity and meritocracy and are up to date with new work models.</w:t>
      </w:r>
    </w:p>
    <w:p>
      <w:pPr>
        <w:spacing w:after="0" w:line="140"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The Bank’s performance could be adversely affected if it were unable to attract, retain and motivate key talent. As the Bank is highly dependent on the technical skills of its personnel, including successors to crucial leadership positions, as well as their relationships with clients, the loss of key components of the Bank’s workforce could make it difficult to compete, grow and manage the business. A loss of such expertise could have a material adverse effect on the Bank’s financial performance, future prospects and competitive position.</w:t>
      </w:r>
    </w:p>
    <w:p>
      <w:pPr>
        <w:spacing w:after="0" w:line="132"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Risks Relating to the Region</w:t>
      </w:r>
    </w:p>
    <w:p>
      <w:pPr>
        <w:spacing w:after="0" w:line="163"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b w:val="1"/>
          <w:bCs w:val="1"/>
          <w:i w:val="1"/>
          <w:iCs w:val="1"/>
          <w:color w:val="auto"/>
        </w:rPr>
        <w:t>The Bank’s mission is focused on supporting trade and regional integration across the Region. As a result, any increases in tariffs or other restrictions on foreign trade, or resulting uncertainty that reduces international trade flows, either throughout the Region or globally, could adversely affect the Bank’s business, results of operations or share price.</w:t>
      </w:r>
    </w:p>
    <w:p>
      <w:pPr>
        <w:spacing w:after="0" w:line="129" w:lineRule="exact"/>
        <w:rPr>
          <w:sz w:val="20"/>
          <w:szCs w:val="20"/>
          <w:color w:val="auto"/>
        </w:rPr>
      </w:pPr>
    </w:p>
    <w:p>
      <w:pPr>
        <w:jc w:val="both"/>
        <w:spacing w:after="0" w:line="272" w:lineRule="auto"/>
        <w:rPr>
          <w:sz w:val="20"/>
          <w:szCs w:val="20"/>
          <w:color w:val="auto"/>
        </w:rPr>
      </w:pPr>
      <w:r>
        <w:rPr>
          <w:rFonts w:ascii="Arial" w:cs="Arial" w:eastAsia="Arial" w:hAnsi="Arial"/>
          <w:sz w:val="12"/>
          <w:szCs w:val="12"/>
          <w:color w:val="auto"/>
        </w:rPr>
        <w:t>The Bank’s mission is focused on supporting trade and regional integration across the Region, and a significant portion of the Bank’s operations is derived from financing trade related transactions. As a result, increases in tariffs, changes in political, regulatory and economic conditions in the U.S. or in the Region, or in policies governing infrastructure, trade and foreign investment in the U.S., or other restrictions on foreign trade throughout the Region or globally could adversely affect the Bank’s business and results of operations. For example, the Trump administration in the U.S. has increasingly threatened to impose tariffs on a variety of imports from countries throughout the world, including the Region, and has recently imposed certain tariffs on steel and aluminum. China has recently announced retaliatory tariffs against certain American products. Furthermore, the Trump administration has expressed significant doubts regarding existing trade agreements, including the North American Free Trade Agreement (“NAFTA”), and issued an executive order announcing the United States’ withdrawal from the Trans-Pacific Partnership (“TPP”). The Trump administration has undertaken to replace NAFTA with the United States – Mexico – Canada Agreement (“USMCA”), which was signed by each country on November 30, 2018, and if approved by the legislatures in each country, will replace NAFTA. There can be no assurance that the U.S. or China, or other countries, including those in the Region, will not move to implement further tariffs or restrictions on trade, or what the scope and effects of any such restrictions might be. Any such tariffs or restrictions, or uncertainty surrounding any future restrictions, could materially adversely affect international trade flows, which is a core sector underlying the Bank’s business model. Any such disruptions in international trade flows could materially and adversely affect the demand and pricing of the Bank’s trade related lending activities, and therefore have a material adverse effect on the Bank’s business, financial condition, results of operations and share price.</w:t>
      </w:r>
    </w:p>
    <w:p>
      <w:pPr>
        <w:spacing w:after="0" w:line="279"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19" w:name="page20"/>
    <w:bookmarkEnd w:id="19"/>
    <w:p>
      <w:pPr>
        <w:jc w:val="both"/>
        <w:ind w:right="20"/>
        <w:spacing w:after="0" w:line="273" w:lineRule="auto"/>
        <w:rPr>
          <w:sz w:val="20"/>
          <w:szCs w:val="20"/>
          <w:color w:val="auto"/>
        </w:rPr>
      </w:pPr>
      <w:r>
        <w:rPr>
          <w:rFonts w:ascii="Arial" w:cs="Arial" w:eastAsia="Arial" w:hAnsi="Arial"/>
          <w:sz w:val="12"/>
          <w:szCs w:val="12"/>
          <w:color w:val="auto"/>
        </w:rPr>
        <w:t>Global markets and currencies were also adversely impacted after the U.K.’s referendum on the exit from the European Union (the “E.U.”), commonly referred to as “Brexit”, was passed into law, and on June 19, 2017 negotiations commenced to determine the future terms of the U.K.’s relationship with the E.U. After several months of negotiations, a framework agreement was reached by the U.K. and E.U. governments which would, if passed, govern the implementation of Brexit. However, the U.K. Parliament rejected this framework in three separate votes, and as a result there continues to be substantial uncertainty regarding the terms on which Brexit will be implemented, or whether Brexit will occur without an agreement. Additionally, European leaders recently approved an extension until October 31, 2019 on the U.K.’s scheduled withdrawal. Once withdrawal actually occurs, it is expected to be followed by a transition period during which businesses and others prepare for the new post-Brexit rules to take effect on January 1, 2021. The ongoing lack of certainty surrounding the terms on which Brexit will be implemented, as well as the extended delay in agreeing any such terms, has led to substantial uncertainty in international markets. As a result, global markets and currencies have been adversely impacted, including sharp fluctuations in the value of the British pound as compared to the U.S. dollar. Any market disruptions, including, among others, disruptions in financial markets or international trade, as a result of Brexit or otherwise, could have an adverse effect on the Bank’s business, financial conditions and results of operations.</w:t>
      </w:r>
    </w:p>
    <w:p>
      <w:pPr>
        <w:spacing w:after="0" w:line="130"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b w:val="1"/>
          <w:bCs w:val="1"/>
          <w:i w:val="1"/>
          <w:iCs w:val="1"/>
          <w:color w:val="auto"/>
        </w:rPr>
        <w:t>The Bank’s credit activities are concentrated in the Region. The Bank also faces borrower concentration. Adverse economic developments in the Region or in the condition of the Bank’s largest borrowers could adversely affect the Bank’s growth, asset quality, prospects, profitability, financial condition and financial results.</w:t>
      </w:r>
    </w:p>
    <w:p>
      <w:pPr>
        <w:spacing w:after="0" w:line="129" w:lineRule="exact"/>
        <w:rPr>
          <w:sz w:val="20"/>
          <w:szCs w:val="20"/>
          <w:color w:val="auto"/>
        </w:rPr>
      </w:pPr>
    </w:p>
    <w:p>
      <w:pPr>
        <w:jc w:val="both"/>
        <w:spacing w:after="0" w:line="274" w:lineRule="auto"/>
        <w:rPr>
          <w:sz w:val="20"/>
          <w:szCs w:val="20"/>
          <w:color w:val="auto"/>
        </w:rPr>
      </w:pPr>
      <w:r>
        <w:rPr>
          <w:rFonts w:ascii="Arial" w:cs="Arial" w:eastAsia="Arial" w:hAnsi="Arial"/>
          <w:sz w:val="12"/>
          <w:szCs w:val="12"/>
          <w:color w:val="auto"/>
        </w:rPr>
        <w:t>As a reflection of the Bank’s mission and strategy, the Bank’s credit and other activities are concentrated in the Region, and are therefore highly susceptible to macroeconomic factors throughout the Region, as well as in individual countries. Economies in the Region have historically experienced significant volatility evidenced, in some cases, by political uncertainty, including with respect to upcoming elections, slow economic growth or recessions, increases in unemployment and the resulting reduction in consumer purchasing power, declining investments, fluctuations in interest rates and the capital markets, government and private sector debt defaults and restructurings, and significant inflation and/or currency devaluation. Global economic changes, including fluctuations in commodity prices, oil and energy prices, U.S. dollar interest rates and U.S. dollar exchange rates, and slower economic growth in industrialized countries, could have adverse effects on the economic condition of countries in the Region, including Panama, and other countries in which the Bank operates. Adverse changes affecting the economies in the Region could have a significant adverse impact on the quality of the Bank’s credit exposures, including increased allowance for losses, debt restructurings and loan losses. In turn, these effects could also have an adverse impact on the Bank’s asset growth, asset quality, prospects, profitability and financial condition.</w:t>
      </w:r>
    </w:p>
    <w:p>
      <w:pPr>
        <w:spacing w:after="0" w:line="129"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Banks, including Bladex, that operate in countries considered to be emerging markets may be particularly susceptible to disruptions and reductions in the availability of credit or increases in financing costs, which may have a material adverse impact on their operations. In particular, the availability of credit to financial institutions operating in emerging markets is significantly influenced by an aversion to global risk. In addition, any factor impacting investors’ confidence, such as a downgrade in credit ratings of a particular country or an intervention by a government or monetary authority in any such markets, may affect the price or availability of resources for financial institutions in any of these markets, which may affect the Bank.</w:t>
      </w:r>
    </w:p>
    <w:p>
      <w:pPr>
        <w:spacing w:after="0" w:line="137" w:lineRule="exact"/>
        <w:rPr>
          <w:sz w:val="20"/>
          <w:szCs w:val="20"/>
          <w:color w:val="auto"/>
        </w:rPr>
      </w:pPr>
    </w:p>
    <w:p>
      <w:pPr>
        <w:jc w:val="both"/>
        <w:spacing w:after="0" w:line="281" w:lineRule="auto"/>
        <w:rPr>
          <w:sz w:val="20"/>
          <w:szCs w:val="20"/>
          <w:color w:val="auto"/>
        </w:rPr>
      </w:pPr>
      <w:r>
        <w:rPr>
          <w:rFonts w:ascii="Arial" w:cs="Arial" w:eastAsia="Arial" w:hAnsi="Arial"/>
          <w:sz w:val="12"/>
          <w:szCs w:val="12"/>
          <w:color w:val="auto"/>
        </w:rPr>
        <w:t>The Bank also faces borrower concentration, with its credit activities being in a number of countries. The Bank’s credit portfolio (the “Credit Portfolio”) consists of the Commercial Portfolio and the “Investment Portfolio.” The “Investment Portfolio” consists of securities at FVOCI and investment securities at amortized cost. Adverse changes affecting one or more of these economies could have a material adverse impact on the Bank’s Credit Portfolio and, as a result, its financial condition, growth, prospects, results of operations and financial condition. As of December 31, 2018, 63% of the Bank’s Credit Portfolio was outstanding to borrowers in the following five countries: Brazil ($1,211 million, or 19%), Mexico ($917 million, or 14%), Colombia ($706 million, or 11%), Argentina ($611 million, or 10%), and Panama ($555 million, or 9%).</w:t>
      </w:r>
    </w:p>
    <w:p>
      <w:pPr>
        <w:spacing w:after="0" w:line="272"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20" w:name="page21"/>
    <w:bookmarkEnd w:id="20"/>
    <w:p>
      <w:pPr>
        <w:jc w:val="both"/>
        <w:ind w:right="20"/>
        <w:spacing w:after="0" w:line="289" w:lineRule="auto"/>
        <w:rPr>
          <w:sz w:val="20"/>
          <w:szCs w:val="20"/>
          <w:color w:val="auto"/>
        </w:rPr>
      </w:pPr>
      <w:r>
        <w:rPr>
          <w:rFonts w:ascii="Arial" w:cs="Arial" w:eastAsia="Arial" w:hAnsi="Arial"/>
          <w:sz w:val="12"/>
          <w:szCs w:val="12"/>
          <w:color w:val="auto"/>
        </w:rPr>
        <w:t>In addition, as of December 31, 2018, of the Bank’s total Credit Portfolio balances, 10% were to five borrowers in Brazil, 8% were to five borrowers in Mexico, 6% were to five borrowers in Argentina, and 4% were to five borrowers in each of Colombia and Panama. A significant deterioration of the financial or economic condition of any of these countries or borrowers could have a material adverse impact on the Bank’s Credit Portfolio, potentially requiring the Bank to create additional allowances for expected credit losses, or suffer credit losses with the effect accentuated because of this concentration.</w:t>
      </w:r>
    </w:p>
    <w:p>
      <w:pPr>
        <w:spacing w:after="0" w:line="118" w:lineRule="exact"/>
        <w:rPr>
          <w:sz w:val="20"/>
          <w:szCs w:val="20"/>
          <w:color w:val="auto"/>
        </w:rPr>
      </w:pPr>
    </w:p>
    <w:p>
      <w:pPr>
        <w:spacing w:after="0"/>
        <w:rPr>
          <w:sz w:val="20"/>
          <w:szCs w:val="20"/>
          <w:color w:val="auto"/>
        </w:rPr>
      </w:pPr>
      <w:r>
        <w:rPr>
          <w:rFonts w:ascii="Arial" w:cs="Arial" w:eastAsia="Arial" w:hAnsi="Arial"/>
          <w:sz w:val="11"/>
          <w:szCs w:val="11"/>
          <w:b w:val="1"/>
          <w:bCs w:val="1"/>
          <w:i w:val="1"/>
          <w:iCs w:val="1"/>
          <w:color w:val="auto"/>
        </w:rPr>
        <w:t>Local country foreign exchange controls or currency devaluation, monetary tightening, higher interest rates and rising inflation, may harm the Bank’s borrowers’ ability to pay U.S. dollar-denominated obligations.</w:t>
      </w:r>
    </w:p>
    <w:p>
      <w:pPr>
        <w:spacing w:after="0" w:line="182" w:lineRule="exact"/>
        <w:rPr>
          <w:sz w:val="20"/>
          <w:szCs w:val="20"/>
          <w:color w:val="auto"/>
        </w:rPr>
      </w:pPr>
    </w:p>
    <w:p>
      <w:pPr>
        <w:jc w:val="both"/>
        <w:spacing w:after="0" w:line="250" w:lineRule="auto"/>
        <w:rPr>
          <w:sz w:val="20"/>
          <w:szCs w:val="20"/>
          <w:color w:val="auto"/>
        </w:rPr>
      </w:pPr>
      <w:r>
        <w:rPr>
          <w:rFonts w:ascii="Arial" w:cs="Arial" w:eastAsia="Arial" w:hAnsi="Arial"/>
          <w:sz w:val="13"/>
          <w:szCs w:val="13"/>
          <w:color w:val="auto"/>
        </w:rPr>
        <w:t>The Bank makes mostly U.S. dollar-denominated loans and investments. As a result, the Bank faces the risk that local foreign exchange controls may restrict the ability of the Bank’s borrowers to acquire dollars to repay loans on a timely basis, even if they are exporters, and/or that significant currency devaluation might occur, which could increase the cost, in local currency terms, to the Bank’s borrowers of acquiring dollars to repay loans. Additionally, several Latin American currencies have devalued sharply against the U.S. dollar, on concerns about the U.S. trade policy agenda, coupled with a trend of rate increases by the U.S. Federal Reserve Board. Asset risks may rise for banks that lend to exporters or high value-added manufacturers, particularly in the automotive supplier and technology sectors in the Region. U.S. monetary tightening and rising inflation could prompt central banks to tighten monetary policy in Latin American countries, with higher rates potentially leading to weaker asset quality. Rising rates may reduce borrower repayment capacity, leading to an increase in credit-impaired loan ratios as loan growth decelerates. Any of these factors could harm the Bank’s borrowers’ ability to pay U.S. dollar-denominated obligations, which could adversely affect the Bank’s business and results of operations.</w:t>
      </w:r>
    </w:p>
    <w:p>
      <w:pPr>
        <w:spacing w:after="0" w:line="142"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b w:val="1"/>
          <w:bCs w:val="1"/>
          <w:i w:val="1"/>
          <w:iCs w:val="1"/>
          <w:color w:val="auto"/>
        </w:rPr>
        <w:t>A significant portion of the Bank’s Loan Portfolio consists of loans made to borrowers in the agribusiness sector in the Region. Lending in the agribusiness sector presents unique risks, including among others climactic risks and risks related to commodities pricing.</w:t>
      </w:r>
    </w:p>
    <w:p>
      <w:pPr>
        <w:spacing w:after="0" w:line="129" w:lineRule="exact"/>
        <w:rPr>
          <w:sz w:val="20"/>
          <w:szCs w:val="20"/>
          <w:color w:val="auto"/>
        </w:rPr>
      </w:pPr>
    </w:p>
    <w:p>
      <w:pPr>
        <w:jc w:val="both"/>
        <w:spacing w:after="0" w:line="301" w:lineRule="auto"/>
        <w:rPr>
          <w:sz w:val="20"/>
          <w:szCs w:val="20"/>
          <w:color w:val="auto"/>
        </w:rPr>
      </w:pPr>
      <w:r>
        <w:rPr>
          <w:rFonts w:ascii="Arial" w:cs="Arial" w:eastAsia="Arial" w:hAnsi="Arial"/>
          <w:sz w:val="11"/>
          <w:szCs w:val="11"/>
          <w:color w:val="auto"/>
        </w:rPr>
        <w:t>As of December 31, 2018, 7.7% of the Bank’s Loan Portfolio was comprised of agribusiness loans. As of December 31, 2018, the Bank had $447 million in agribusiness loans. Repayment of agribusiness loans depends substantially, in most cases, on the production and exporting of sugar and marketing the harvested of other commodities. Collateral securing these loans may be illiquid. In addition, the limited purpose of some agricultural-related collateral affects credit risk because such collateral may have limited or no other uses to support values when loan repayment problems emerge. Many external factors can impact the Bank’s agricultural borrowers’ ability to repay their loans, including adverse weather conditions, water issues, commodity price volatility (i.e. sugar prices), diseases, land values, production costs, changing government regulations and subsidy programs, changing tax treatment, technological changes, labor market shortages/increased wages, and changes in consumers’ preferences, over which the Bank’s borrowers may have no control. For example, for the year ended December 31, 2018, the Bank increased its allowances for expected credit losses on credit-impaired loans in large part as a result of a significant deterioration in sugar industry fundamentals, particularly the deterioration of one specific credit in the Brazilian sugar industry. These factors, as well as recent volatility in certain commodity prices, including sugar prices, could adversely impact the ability of those to whom the Bank has made agribusiness loans to perform under the terms of their borrowing arrangements with the Bank, which in turn could result in credit losses and adversely affect the Bank’s business, financial condition and results of operations.</w:t>
      </w:r>
    </w:p>
    <w:p>
      <w:pPr>
        <w:spacing w:after="0" w:line="265"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21" w:name="page22"/>
    <w:bookmarkEnd w:id="21"/>
    <w:p>
      <w:pPr>
        <w:jc w:val="both"/>
        <w:ind w:left="3" w:right="20"/>
        <w:spacing w:after="0" w:line="267" w:lineRule="auto"/>
        <w:rPr>
          <w:sz w:val="20"/>
          <w:szCs w:val="20"/>
          <w:color w:val="auto"/>
        </w:rPr>
      </w:pPr>
      <w:r>
        <w:rPr>
          <w:rFonts w:ascii="Arial" w:cs="Arial" w:eastAsia="Arial" w:hAnsi="Arial"/>
          <w:sz w:val="13"/>
          <w:szCs w:val="13"/>
          <w:b w:val="1"/>
          <w:bCs w:val="1"/>
          <w:i w:val="1"/>
          <w:iCs w:val="1"/>
          <w:color w:val="auto"/>
        </w:rPr>
        <w:t>A downgrade in the Bank’s credit ratings may adversely affect its funding costs, access to capital, access to loan and debt capital markets, liquidity and, as a result, its business and results of operations. Increased risk perception in countries in the Region where the Bank has large credit exposures could have an adverse impact on the Bank’s credit ratings.</w:t>
      </w:r>
    </w:p>
    <w:p>
      <w:pPr>
        <w:spacing w:after="0" w:line="129" w:lineRule="exact"/>
        <w:rPr>
          <w:sz w:val="20"/>
          <w:szCs w:val="20"/>
          <w:color w:val="auto"/>
        </w:rPr>
      </w:pPr>
    </w:p>
    <w:p>
      <w:pPr>
        <w:jc w:val="both"/>
        <w:ind w:left="3" w:right="20"/>
        <w:spacing w:after="0" w:line="289" w:lineRule="auto"/>
        <w:rPr>
          <w:sz w:val="20"/>
          <w:szCs w:val="20"/>
          <w:color w:val="auto"/>
        </w:rPr>
      </w:pPr>
      <w:r>
        <w:rPr>
          <w:rFonts w:ascii="Arial" w:cs="Arial" w:eastAsia="Arial" w:hAnsi="Arial"/>
          <w:sz w:val="12"/>
          <w:szCs w:val="12"/>
          <w:color w:val="auto"/>
        </w:rPr>
        <w:t>Credit ratings represent the opinions of independent rating agencies regarding the Bank’s ability to repay its indebtedness, and affect the cost and other terms upon which it is able to obtain funding. Each of the rating agencies reviews its ratings and rating methodologies on a periodic basis and may decide on a grade change at any time, based on factors that affect the Bank’s financial strength, such as liquidity, capitalization, asset quality and profitability. Credit ratings are essential to the Bank’s capability to raise capital and funding through the issuance of debt, loan transactions, as well as to the cost of such financing.</w:t>
      </w:r>
    </w:p>
    <w:p>
      <w:pPr>
        <w:spacing w:after="0" w:line="118" w:lineRule="exact"/>
        <w:rPr>
          <w:sz w:val="20"/>
          <w:szCs w:val="20"/>
          <w:color w:val="auto"/>
        </w:rPr>
      </w:pPr>
    </w:p>
    <w:p>
      <w:pPr>
        <w:jc w:val="both"/>
        <w:ind w:left="3"/>
        <w:spacing w:after="0" w:line="278" w:lineRule="auto"/>
        <w:rPr>
          <w:sz w:val="20"/>
          <w:szCs w:val="20"/>
          <w:color w:val="auto"/>
        </w:rPr>
      </w:pPr>
      <w:r>
        <w:rPr>
          <w:rFonts w:ascii="Arial" w:cs="Arial" w:eastAsia="Arial" w:hAnsi="Arial"/>
          <w:sz w:val="12"/>
          <w:szCs w:val="12"/>
          <w:color w:val="auto"/>
        </w:rPr>
        <w:t>Among other factors, increased risk perception in any country where the Bank has large exposures could trigger downgrades to the Bank’s credit ratings. Such perception of increased risk could result from events which are beyond the Bank’s control, such as economic or political crises or the macroeconomic deterioration of certain key economic sectors, among other factors. A credit rating downgrade would likely increase the Bank’s funding costs, and may create liquidity risk, reduce its deposit base and access to the lending and debt capital markets, trigger additional collateral or funding requirements or decrease the number of investors and counterparties willing or permitted, contractually or otherwise, to do business with or lend to the Bank. As a result, the Bank’s ability to obtain the necessary funding to carry on its financing activities in the Region at meaningful levels could be affected adversely, which could have a negative effect on its business and results of operations.</w:t>
      </w:r>
    </w:p>
    <w:p>
      <w:pPr>
        <w:spacing w:after="0" w:line="121" w:lineRule="exact"/>
        <w:rPr>
          <w:sz w:val="20"/>
          <w:szCs w:val="20"/>
          <w:color w:val="auto"/>
        </w:rPr>
      </w:pPr>
    </w:p>
    <w:p>
      <w:pPr>
        <w:ind w:left="3"/>
        <w:spacing w:after="0"/>
        <w:tabs>
          <w:tab w:leader="none" w:pos="903" w:val="left"/>
        </w:tabs>
        <w:rPr>
          <w:sz w:val="20"/>
          <w:szCs w:val="20"/>
          <w:color w:val="auto"/>
        </w:rPr>
      </w:pPr>
      <w:r>
        <w:rPr>
          <w:rFonts w:ascii="Arial" w:cs="Arial" w:eastAsia="Arial" w:hAnsi="Arial"/>
          <w:sz w:val="13"/>
          <w:szCs w:val="13"/>
          <w:b w:val="1"/>
          <w:bCs w:val="1"/>
          <w:color w:val="auto"/>
        </w:rPr>
        <w:t>Item 4.</w:t>
      </w:r>
      <w:r>
        <w:rPr>
          <w:sz w:val="20"/>
          <w:szCs w:val="20"/>
          <w:color w:val="auto"/>
        </w:rPr>
        <w:tab/>
      </w:r>
      <w:r>
        <w:rPr>
          <w:rFonts w:ascii="Arial" w:cs="Arial" w:eastAsia="Arial" w:hAnsi="Arial"/>
          <w:sz w:val="11"/>
          <w:szCs w:val="11"/>
          <w:b w:val="1"/>
          <w:bCs w:val="1"/>
          <w:color w:val="auto"/>
        </w:rPr>
        <w:t>Information on the Company</w:t>
      </w:r>
    </w:p>
    <w:p>
      <w:pPr>
        <w:spacing w:after="0" w:line="159" w:lineRule="exact"/>
        <w:rPr>
          <w:sz w:val="20"/>
          <w:szCs w:val="20"/>
          <w:color w:val="auto"/>
        </w:rPr>
      </w:pPr>
    </w:p>
    <w:p>
      <w:pPr>
        <w:ind w:left="463" w:hanging="463"/>
        <w:spacing w:after="0"/>
        <w:tabs>
          <w:tab w:leader="none" w:pos="463" w:val="left"/>
        </w:tabs>
        <w:numPr>
          <w:ilvl w:val="0"/>
          <w:numId w:val="14"/>
        </w:numPr>
        <w:rPr>
          <w:rFonts w:ascii="Arial" w:cs="Arial" w:eastAsia="Arial" w:hAnsi="Arial"/>
          <w:sz w:val="13"/>
          <w:szCs w:val="13"/>
          <w:b w:val="1"/>
          <w:bCs w:val="1"/>
          <w:color w:val="auto"/>
        </w:rPr>
      </w:pPr>
      <w:r>
        <w:rPr>
          <w:rFonts w:ascii="Arial" w:cs="Arial" w:eastAsia="Arial" w:hAnsi="Arial"/>
          <w:sz w:val="13"/>
          <w:szCs w:val="13"/>
          <w:b w:val="1"/>
          <w:bCs w:val="1"/>
          <w:color w:val="auto"/>
        </w:rPr>
        <w:t>History and Development of the Company</w:t>
      </w:r>
    </w:p>
    <w:p>
      <w:pPr>
        <w:spacing w:after="0" w:line="163" w:lineRule="exact"/>
        <w:rPr>
          <w:sz w:val="20"/>
          <w:szCs w:val="20"/>
          <w:color w:val="auto"/>
        </w:rPr>
      </w:pPr>
    </w:p>
    <w:p>
      <w:pPr>
        <w:jc w:val="both"/>
        <w:ind w:left="3" w:right="20"/>
        <w:spacing w:after="0" w:line="257" w:lineRule="auto"/>
        <w:rPr>
          <w:sz w:val="20"/>
          <w:szCs w:val="20"/>
          <w:color w:val="auto"/>
        </w:rPr>
      </w:pPr>
      <w:r>
        <w:rPr>
          <w:rFonts w:ascii="Arial" w:cs="Arial" w:eastAsia="Arial" w:hAnsi="Arial"/>
          <w:sz w:val="13"/>
          <w:szCs w:val="13"/>
          <w:color w:val="auto"/>
        </w:rPr>
        <w:t xml:space="preserve">The Bank, a corporation </w:t>
      </w:r>
      <w:r>
        <w:rPr>
          <w:rFonts w:ascii="Arial" w:cs="Arial" w:eastAsia="Arial" w:hAnsi="Arial"/>
          <w:sz w:val="13"/>
          <w:szCs w:val="13"/>
          <w:i w:val="1"/>
          <w:iCs w:val="1"/>
          <w:color w:val="auto"/>
        </w:rPr>
        <w:t>(sociedad anónima)</w:t>
      </w:r>
      <w:r>
        <w:rPr>
          <w:rFonts w:ascii="Arial" w:cs="Arial" w:eastAsia="Arial" w:hAnsi="Arial"/>
          <w:sz w:val="13"/>
          <w:szCs w:val="13"/>
          <w:color w:val="auto"/>
        </w:rPr>
        <w:t xml:space="preserve"> organized under the laws of Panama and headquartered in Panama City, Panama, is a specialized multinational bank originally established by central banks of Latin American and Caribbean countries to promote foreign trade and economic integration in the Region. The legal name of the Bank is Banco Latinoamericano de Comercio Exterior, S.A. Translated into English, the Bank is also known as Foreign Trade Bank of Latin America, Inc. The commercial name of the Bank is Bladex.</w:t>
      </w:r>
    </w:p>
    <w:p>
      <w:pPr>
        <w:spacing w:after="0" w:line="136" w:lineRule="exact"/>
        <w:rPr>
          <w:sz w:val="20"/>
          <w:szCs w:val="20"/>
          <w:color w:val="auto"/>
        </w:rPr>
      </w:pPr>
    </w:p>
    <w:p>
      <w:pPr>
        <w:jc w:val="both"/>
        <w:ind w:left="3" w:right="20"/>
        <w:spacing w:after="0" w:line="252" w:lineRule="auto"/>
        <w:rPr>
          <w:sz w:val="20"/>
          <w:szCs w:val="20"/>
          <w:color w:val="auto"/>
        </w:rPr>
      </w:pPr>
      <w:r>
        <w:rPr>
          <w:rFonts w:ascii="Arial" w:cs="Arial" w:eastAsia="Arial" w:hAnsi="Arial"/>
          <w:sz w:val="13"/>
          <w:szCs w:val="13"/>
          <w:color w:val="auto"/>
        </w:rPr>
        <w:t>The Bank was established pursuant to a May 1975 proposal presented to the Assembly of Governors of Central Banks in the Region, which recommended the creation of a multinational organization to increase foreign trade financing capacity of the Region. The Bank was organized in 1977, incorporated in 1978 as a corporation pursuant to the laws of the Republic of Panama, and officially began operations on January 2, 1979. Panama was selected as the location of the Bank’s headquarters because of the country’s importance as a banking center in the Region, the benefits of a fully U.S. dollar-based economy, the absence of foreign exchange controls, its geographic location, and the quality of its communications facilities. Under a contract-law signed in 1978 between the Republic of Panama and Bladex, Bladex was granted certain privileges by the Republic of Panama, including an exemption from payment of income taxes in Panama.</w:t>
      </w:r>
    </w:p>
    <w:p>
      <w:pPr>
        <w:spacing w:after="0" w:line="139"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The Bank offers its services through its head office in Panama City, its agency in New York (the “New York Agency”), its subsidiaries in Brazil and Mexico, and its representative offices in Buenos Aires, Argentina; Mexico City, Mexico; Sao Paulo, Brazil; Lima, Peru; and Bogotá, Colombia, as well as through a worldwide network of correspondent banks.</w:t>
      </w:r>
    </w:p>
    <w:p>
      <w:pPr>
        <w:spacing w:after="0" w:line="129" w:lineRule="exact"/>
        <w:rPr>
          <w:sz w:val="20"/>
          <w:szCs w:val="20"/>
          <w:color w:val="auto"/>
        </w:rPr>
      </w:pPr>
    </w:p>
    <w:p>
      <w:pPr>
        <w:ind w:left="3"/>
        <w:spacing w:after="0"/>
        <w:rPr>
          <w:sz w:val="20"/>
          <w:szCs w:val="20"/>
          <w:color w:val="auto"/>
        </w:rPr>
      </w:pPr>
      <w:r>
        <w:rPr>
          <w:rFonts w:ascii="Arial" w:cs="Arial" w:eastAsia="Arial" w:hAnsi="Arial"/>
          <w:sz w:val="13"/>
          <w:szCs w:val="13"/>
          <w:color w:val="auto"/>
        </w:rPr>
        <w:t>Bladex’s head office is located at Torre V, Business Park, Avenida La Rotonda, Urb. Costa del Este, Panama City, Republic of Panama, and its telephone number is +507 210-8500.</w:t>
      </w:r>
    </w:p>
    <w:p>
      <w:pPr>
        <w:spacing w:after="0" w:line="159" w:lineRule="exact"/>
        <w:rPr>
          <w:sz w:val="20"/>
          <w:szCs w:val="20"/>
          <w:color w:val="auto"/>
        </w:rPr>
      </w:pPr>
    </w:p>
    <w:p>
      <w:pPr>
        <w:jc w:val="both"/>
        <w:ind w:left="3" w:right="20"/>
        <w:spacing w:after="0" w:line="257" w:lineRule="auto"/>
        <w:rPr>
          <w:sz w:val="20"/>
          <w:szCs w:val="20"/>
          <w:color w:val="auto"/>
        </w:rPr>
      </w:pPr>
      <w:r>
        <w:rPr>
          <w:rFonts w:ascii="Arial" w:cs="Arial" w:eastAsia="Arial" w:hAnsi="Arial"/>
          <w:sz w:val="13"/>
          <w:szCs w:val="13"/>
          <w:color w:val="auto"/>
        </w:rPr>
        <w:t>The New York Agency, which began operations on March 27, 1989, is located at 10 Bank Street, Suite 1220, White Plains, NY 10606, and its telephone number is +1 (914) 328-6640. The New York Agency is principally engaged in financing transactions related to international trade, mainly the confirmation and financing of letters of credit for customers in the Region. The New York Agency may also book transactions through an International Banking Facility (“IBF”).</w:t>
      </w:r>
    </w:p>
    <w:p>
      <w:pPr>
        <w:spacing w:after="0" w:line="284"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9" w:right="199" w:bottom="1440" w:gutter="0" w:footer="0" w:header="0"/>
        </w:sectPr>
      </w:pPr>
    </w:p>
    <w:bookmarkStart w:id="22" w:name="page23"/>
    <w:bookmarkEnd w:id="22"/>
    <w:p>
      <w:pPr>
        <w:ind w:left="3"/>
        <w:spacing w:after="0"/>
        <w:rPr>
          <w:sz w:val="20"/>
          <w:szCs w:val="20"/>
          <w:color w:val="auto"/>
        </w:rPr>
      </w:pPr>
      <w:r>
        <w:rPr>
          <w:rFonts w:ascii="Arial" w:cs="Arial" w:eastAsia="Arial" w:hAnsi="Arial"/>
          <w:sz w:val="13"/>
          <w:szCs w:val="13"/>
          <w:color w:val="auto"/>
        </w:rPr>
        <w:t>Bladex’s shares of Class E common stock are listed on the New York Stock Exchange (“NYSE”) under the symbol “BLX.”</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following is a description of the Bank’s subsidiaries:</w:t>
      </w:r>
    </w:p>
    <w:p>
      <w:pPr>
        <w:spacing w:after="0" w:line="159" w:lineRule="exact"/>
        <w:rPr>
          <w:sz w:val="20"/>
          <w:szCs w:val="20"/>
          <w:color w:val="auto"/>
        </w:rPr>
      </w:pPr>
    </w:p>
    <w:p>
      <w:pPr>
        <w:ind w:left="463" w:right="20" w:hanging="232"/>
        <w:spacing w:after="0" w:line="267" w:lineRule="auto"/>
        <w:tabs>
          <w:tab w:leader="none" w:pos="463" w:val="left"/>
        </w:tabs>
        <w:numPr>
          <w:ilvl w:val="0"/>
          <w:numId w:val="15"/>
        </w:numPr>
        <w:rPr>
          <w:rFonts w:ascii="Arial" w:cs="Arial" w:eastAsia="Arial" w:hAnsi="Arial"/>
          <w:sz w:val="13"/>
          <w:szCs w:val="13"/>
          <w:color w:val="auto"/>
        </w:rPr>
      </w:pPr>
      <w:r>
        <w:rPr>
          <w:rFonts w:ascii="Arial" w:cs="Arial" w:eastAsia="Arial" w:hAnsi="Arial"/>
          <w:sz w:val="13"/>
          <w:szCs w:val="13"/>
          <w:color w:val="auto"/>
        </w:rPr>
        <w:t>Bladex Holdings Inc. (“Bladex Holdings”) is a wholly owned subsidiary, incorporated under the laws of the State of Delaware on May 30, 2000. Bladex Holdings maintains ownership in Bladex Representação Ltda.</w:t>
      </w:r>
    </w:p>
    <w:p>
      <w:pPr>
        <w:spacing w:after="0" w:line="129" w:lineRule="exact"/>
        <w:rPr>
          <w:rFonts w:ascii="Arial" w:cs="Arial" w:eastAsia="Arial" w:hAnsi="Arial"/>
          <w:sz w:val="13"/>
          <w:szCs w:val="13"/>
          <w:color w:val="auto"/>
        </w:rPr>
      </w:pPr>
    </w:p>
    <w:p>
      <w:pPr>
        <w:ind w:left="463" w:right="20" w:hanging="232"/>
        <w:spacing w:after="0" w:line="267" w:lineRule="auto"/>
        <w:tabs>
          <w:tab w:leader="none" w:pos="463" w:val="left"/>
        </w:tabs>
        <w:numPr>
          <w:ilvl w:val="0"/>
          <w:numId w:val="15"/>
        </w:numPr>
        <w:rPr>
          <w:rFonts w:ascii="Arial" w:cs="Arial" w:eastAsia="Arial" w:hAnsi="Arial"/>
          <w:sz w:val="13"/>
          <w:szCs w:val="13"/>
          <w:color w:val="auto"/>
        </w:rPr>
      </w:pPr>
      <w:r>
        <w:rPr>
          <w:rFonts w:ascii="Arial" w:cs="Arial" w:eastAsia="Arial" w:hAnsi="Arial"/>
          <w:sz w:val="13"/>
          <w:szCs w:val="13"/>
          <w:color w:val="auto"/>
        </w:rPr>
        <w:t>Bladex Representação Ltda., incorporated under the laws of Brazil on January 7, 2000, acts as the Bank’s representative office in Brazil. Bladex Head Office owns 99.999% of Bladex Representação Ltda. and Bladex Holdings owns the remaining 0.001%.</w:t>
      </w:r>
    </w:p>
    <w:p>
      <w:pPr>
        <w:spacing w:after="0" w:line="129" w:lineRule="exact"/>
        <w:rPr>
          <w:rFonts w:ascii="Arial" w:cs="Arial" w:eastAsia="Arial" w:hAnsi="Arial"/>
          <w:sz w:val="13"/>
          <w:szCs w:val="13"/>
          <w:color w:val="auto"/>
        </w:rPr>
      </w:pPr>
    </w:p>
    <w:p>
      <w:pPr>
        <w:jc w:val="both"/>
        <w:ind w:left="463" w:hanging="232"/>
        <w:spacing w:after="0" w:line="252" w:lineRule="auto"/>
        <w:tabs>
          <w:tab w:leader="none" w:pos="463" w:val="left"/>
        </w:tabs>
        <w:numPr>
          <w:ilvl w:val="0"/>
          <w:numId w:val="15"/>
        </w:numPr>
        <w:rPr>
          <w:rFonts w:ascii="Arial" w:cs="Arial" w:eastAsia="Arial" w:hAnsi="Arial"/>
          <w:sz w:val="13"/>
          <w:szCs w:val="13"/>
          <w:color w:val="auto"/>
        </w:rPr>
      </w:pPr>
      <w:r>
        <w:rPr>
          <w:rFonts w:ascii="Arial" w:cs="Arial" w:eastAsia="Arial" w:hAnsi="Arial"/>
          <w:sz w:val="13"/>
          <w:szCs w:val="13"/>
          <w:color w:val="auto"/>
        </w:rPr>
        <w:t>Bladex Investimentos Ltda. was incorporated under the laws of Brazil on May 3, 2011. Bladex Head Office owned 99% of Bladex Investimentos Ltda. and Bladex Holdings owned the remaining 1%. Bladex Investimentos Ltda. had invested substantially all of its assets in an investment fund, Alpha4X Latam Fundo de Investimento Multimercado, incorporated in Brazil (the “Brazilian Fund”), registered with the Securities and Exchange Commission of Brazil, (Comissão de Valores Mobiliários (the “CVM”)). The objective of the Brazilian Fund was to achieve capital gains by dealing in the interest, currency, securities, commodities and debt markets, and by trading instruments available in the spot and derivative markets. Bladex Investimentos Ltda. merged with Bladex Representação Ltda. in April 2016, with Bladex Representação Ltda. as the surviving entity.</w:t>
      </w:r>
    </w:p>
    <w:p>
      <w:pPr>
        <w:spacing w:after="0" w:line="139" w:lineRule="exact"/>
        <w:rPr>
          <w:rFonts w:ascii="Arial" w:cs="Arial" w:eastAsia="Arial" w:hAnsi="Arial"/>
          <w:sz w:val="13"/>
          <w:szCs w:val="13"/>
          <w:color w:val="auto"/>
        </w:rPr>
      </w:pPr>
    </w:p>
    <w:p>
      <w:pPr>
        <w:ind w:left="463" w:hanging="232"/>
        <w:spacing w:after="0"/>
        <w:tabs>
          <w:tab w:leader="none" w:pos="463" w:val="left"/>
        </w:tabs>
        <w:numPr>
          <w:ilvl w:val="0"/>
          <w:numId w:val="15"/>
        </w:numPr>
        <w:rPr>
          <w:rFonts w:ascii="Arial" w:cs="Arial" w:eastAsia="Arial" w:hAnsi="Arial"/>
          <w:sz w:val="13"/>
          <w:szCs w:val="13"/>
          <w:color w:val="auto"/>
        </w:rPr>
      </w:pPr>
      <w:r>
        <w:rPr>
          <w:rFonts w:ascii="Arial" w:cs="Arial" w:eastAsia="Arial" w:hAnsi="Arial"/>
          <w:sz w:val="13"/>
          <w:szCs w:val="13"/>
          <w:color w:val="auto"/>
        </w:rPr>
        <w:t>Bladex Development Corp. (“Bladex Development”) was incorporated under the laws of the Republic of Panama on June 5, 2014. Bladex Head Office owns 100% of Bladex Development.</w:t>
      </w:r>
    </w:p>
    <w:p>
      <w:pPr>
        <w:spacing w:after="0" w:line="158" w:lineRule="exact"/>
        <w:rPr>
          <w:rFonts w:ascii="Arial" w:cs="Arial" w:eastAsia="Arial" w:hAnsi="Arial"/>
          <w:sz w:val="13"/>
          <w:szCs w:val="13"/>
          <w:color w:val="auto"/>
        </w:rPr>
      </w:pPr>
    </w:p>
    <w:p>
      <w:pPr>
        <w:ind w:left="463" w:right="20" w:hanging="232"/>
        <w:spacing w:after="0" w:line="267" w:lineRule="auto"/>
        <w:tabs>
          <w:tab w:leader="none" w:pos="463" w:val="left"/>
        </w:tabs>
        <w:numPr>
          <w:ilvl w:val="0"/>
          <w:numId w:val="15"/>
        </w:numPr>
        <w:rPr>
          <w:rFonts w:ascii="Arial" w:cs="Arial" w:eastAsia="Arial" w:hAnsi="Arial"/>
          <w:sz w:val="13"/>
          <w:szCs w:val="13"/>
          <w:color w:val="auto"/>
        </w:rPr>
      </w:pPr>
      <w:r>
        <w:rPr>
          <w:rFonts w:ascii="Arial" w:cs="Arial" w:eastAsia="Arial" w:hAnsi="Arial"/>
          <w:sz w:val="13"/>
          <w:szCs w:val="13"/>
          <w:color w:val="auto"/>
        </w:rPr>
        <w:t>BLX Soluciones, S.A. de C.V., SOFOM, E.N.R. (“BLX Solutions”) was incorporated under the laws of Mexico on June 13, 2014. Bladex Head Office owns 99.9% of BLX Solutions and Bladex Development owns the remaining 0.1%. BLX Solutions specializes in offering financial leasing and other financial products, such as loans and factoring.</w:t>
      </w:r>
    </w:p>
    <w:p>
      <w:pPr>
        <w:spacing w:after="0" w:line="129" w:lineRule="exact"/>
        <w:rPr>
          <w:sz w:val="20"/>
          <w:szCs w:val="20"/>
          <w:color w:val="auto"/>
        </w:rPr>
      </w:pPr>
    </w:p>
    <w:p>
      <w:pPr>
        <w:ind w:left="3"/>
        <w:spacing w:after="0" w:line="267" w:lineRule="auto"/>
        <w:rPr>
          <w:sz w:val="20"/>
          <w:szCs w:val="20"/>
          <w:color w:val="auto"/>
        </w:rPr>
      </w:pPr>
      <w:r>
        <w:rPr>
          <w:rFonts w:ascii="Arial" w:cs="Arial" w:eastAsia="Arial" w:hAnsi="Arial"/>
          <w:sz w:val="13"/>
          <w:szCs w:val="13"/>
          <w:color w:val="auto"/>
        </w:rPr>
        <w:t>The SEC maintains an internet site that contains reports, proxy and information statements, and other information regarding issuers that file electronically with the SEC at http://www.sec.gov. Information is also available on the Bank’s website at: http://www.bladex.com</w:t>
      </w:r>
    </w:p>
    <w:p>
      <w:pPr>
        <w:spacing w:after="0" w:line="125" w:lineRule="exact"/>
        <w:rPr>
          <w:sz w:val="20"/>
          <w:szCs w:val="20"/>
          <w:color w:val="auto"/>
        </w:rPr>
      </w:pPr>
    </w:p>
    <w:p>
      <w:pPr>
        <w:ind w:left="463" w:hanging="463"/>
        <w:spacing w:after="0"/>
        <w:tabs>
          <w:tab w:leader="none" w:pos="463" w:val="left"/>
        </w:tabs>
        <w:numPr>
          <w:ilvl w:val="0"/>
          <w:numId w:val="16"/>
        </w:numPr>
        <w:rPr>
          <w:rFonts w:ascii="Arial" w:cs="Arial" w:eastAsia="Arial" w:hAnsi="Arial"/>
          <w:sz w:val="13"/>
          <w:szCs w:val="13"/>
          <w:b w:val="1"/>
          <w:bCs w:val="1"/>
          <w:color w:val="auto"/>
        </w:rPr>
      </w:pPr>
      <w:r>
        <w:rPr>
          <w:rFonts w:ascii="Arial" w:cs="Arial" w:eastAsia="Arial" w:hAnsi="Arial"/>
          <w:sz w:val="13"/>
          <w:szCs w:val="13"/>
          <w:b w:val="1"/>
          <w:bCs w:val="1"/>
          <w:color w:val="auto"/>
        </w:rPr>
        <w:t>Business Overview</w:t>
      </w:r>
    </w:p>
    <w:p>
      <w:pPr>
        <w:spacing w:after="0" w:line="163"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Overview</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2"/>
          <w:szCs w:val="12"/>
          <w:color w:val="auto"/>
        </w:rPr>
        <w:t>The Bank’s mission is to provide financial solutions of excellence to financial institutions, companies and investors doing business in Latin America, supporting trade and regional integration across the Region.</w:t>
      </w:r>
    </w:p>
    <w:p>
      <w:pPr>
        <w:spacing w:after="0" w:line="170" w:lineRule="exact"/>
        <w:rPr>
          <w:sz w:val="20"/>
          <w:szCs w:val="20"/>
          <w:color w:val="auto"/>
        </w:rPr>
      </w:pPr>
    </w:p>
    <w:p>
      <w:pPr>
        <w:jc w:val="both"/>
        <w:ind w:left="3"/>
        <w:spacing w:after="0" w:line="251" w:lineRule="auto"/>
        <w:rPr>
          <w:sz w:val="20"/>
          <w:szCs w:val="20"/>
          <w:color w:val="auto"/>
        </w:rPr>
      </w:pPr>
      <w:r>
        <w:rPr>
          <w:rFonts w:ascii="Arial" w:cs="Arial" w:eastAsia="Arial" w:hAnsi="Arial"/>
          <w:sz w:val="13"/>
          <w:szCs w:val="13"/>
          <w:color w:val="auto"/>
        </w:rPr>
        <w:t>As a multinational bank operating in 23 countries with a strong and historic commitment to Latin America, the Bank possesses extensive knowledge of business practices, risk and regulatory environments, accumulated over forty years of doing business throughout the entire Region. Bladex provides foreign trade solutions to a select client base of premier Latin-American financial institutions and corporations, and has developed an extensive network of correspondent banking institutions with access to the international capital markets. Bladex enjoys a preferred creditor status in many jurisdictions, being recognized by its strong capitalization, prudent risk management and sound corporate governance standards. Bladex fosters long-term relationships with clients, and it has developed over the years a reputation for excellence when responding to its clients’ needs, in addition to having a solid financial track record, which has reinforced its brand recognition and its franchise value in the Region, and contributes to the Bank achieving its vision of being recognized as a leading institution in supporting trade and regional integration across Latin America.</w:t>
      </w:r>
    </w:p>
    <w:p>
      <w:pPr>
        <w:spacing w:after="0" w:line="288"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9" w:right="199" w:bottom="1440" w:gutter="0" w:footer="0" w:header="0"/>
        </w:sectPr>
      </w:pPr>
    </w:p>
    <w:bookmarkStart w:id="23" w:name="page24"/>
    <w:bookmarkEnd w:id="23"/>
    <w:p>
      <w:pPr>
        <w:jc w:val="both"/>
        <w:spacing w:after="0" w:line="257" w:lineRule="auto"/>
        <w:rPr>
          <w:sz w:val="20"/>
          <w:szCs w:val="20"/>
          <w:color w:val="auto"/>
        </w:rPr>
      </w:pPr>
      <w:r>
        <w:rPr>
          <w:rFonts w:ascii="Arial" w:cs="Arial" w:eastAsia="Arial" w:hAnsi="Arial"/>
          <w:sz w:val="13"/>
          <w:szCs w:val="13"/>
          <w:color w:val="auto"/>
        </w:rPr>
        <w:t>The Bank’s lending and investing activities are funded by interbank deposits, primarily from central banks and financial institutions in the Region, by borrowings from international commercial banks, and by sales of the Bank’s debt securities to financial institutions and investors in Asia, Europe, North America and the Region. The Bank does not provide retail banking services to the general public, such as retail savings accounts or checking accounts, and does not take retail deposits.</w:t>
      </w:r>
    </w:p>
    <w:p>
      <w:pPr>
        <w:spacing w:after="0" w:line="136" w:lineRule="exact"/>
        <w:rPr>
          <w:sz w:val="20"/>
          <w:szCs w:val="20"/>
          <w:color w:val="auto"/>
        </w:rPr>
      </w:pPr>
    </w:p>
    <w:p>
      <w:pPr>
        <w:spacing w:after="0"/>
        <w:rPr>
          <w:sz w:val="20"/>
          <w:szCs w:val="20"/>
          <w:color w:val="auto"/>
        </w:rPr>
      </w:pPr>
      <w:r>
        <w:rPr>
          <w:rFonts w:ascii="Arial" w:cs="Arial" w:eastAsia="Arial" w:hAnsi="Arial"/>
          <w:sz w:val="13"/>
          <w:szCs w:val="13"/>
          <w:color w:val="auto"/>
        </w:rPr>
        <w:t>Bladex participates in the financial and capital markets throughout the Region, through two business segments.</w:t>
      </w:r>
    </w:p>
    <w:p>
      <w:pPr>
        <w:spacing w:after="0" w:line="159" w:lineRule="exact"/>
        <w:rPr>
          <w:sz w:val="20"/>
          <w:szCs w:val="20"/>
          <w:color w:val="auto"/>
        </w:rPr>
      </w:pPr>
    </w:p>
    <w:p>
      <w:pPr>
        <w:jc w:val="both"/>
        <w:spacing w:after="0" w:line="309" w:lineRule="auto"/>
        <w:rPr>
          <w:sz w:val="20"/>
          <w:szCs w:val="20"/>
          <w:color w:val="auto"/>
        </w:rPr>
      </w:pPr>
      <w:r>
        <w:rPr>
          <w:rFonts w:ascii="Arial" w:cs="Arial" w:eastAsia="Arial" w:hAnsi="Arial"/>
          <w:sz w:val="11"/>
          <w:szCs w:val="11"/>
          <w:color w:val="auto"/>
        </w:rPr>
        <w:t>The Commercial Business Segment encompasses the Bank’s core business of financial intermediation and fee generation activities developed to cater to corporations, financial institutions and investors in Latin America. The array of products and services include the origination of bilateral short- and medium-term loans, structured and syndicated credits, loan commitments, letter of credit contingencies such as issued and confirmed letters of credit, stand-by letters of credit, guarantees covering commercial risk, and other assets consisting of customers’ liabilities under acceptances. The majority of the Bank’s short-term loans are extended in connection with specifically identified foreign trade transactions. Through its revenue diversification strategy, the Bank’s Commercial Business Segment has introduced a broader range of products, services and solutions associated with foreign trade, including co-financing arrangements, underwriting of syndicated credit facilities, structured trade financing (in the form of factoring and vendor financing) and financial leasing.</w:t>
      </w:r>
    </w:p>
    <w:p>
      <w:pPr>
        <w:spacing w:after="0" w:line="110" w:lineRule="exact"/>
        <w:rPr>
          <w:sz w:val="20"/>
          <w:szCs w:val="20"/>
          <w:color w:val="auto"/>
        </w:rPr>
      </w:pPr>
    </w:p>
    <w:p>
      <w:pPr>
        <w:jc w:val="both"/>
        <w:spacing w:after="0" w:line="281" w:lineRule="auto"/>
        <w:rPr>
          <w:sz w:val="20"/>
          <w:szCs w:val="20"/>
          <w:color w:val="auto"/>
        </w:rPr>
      </w:pPr>
      <w:r>
        <w:rPr>
          <w:rFonts w:ascii="Arial" w:cs="Arial" w:eastAsia="Arial" w:hAnsi="Arial"/>
          <w:sz w:val="12"/>
          <w:szCs w:val="12"/>
          <w:color w:val="auto"/>
        </w:rPr>
        <w:t>The Treasury Business Segment focuses on managing the Bank’s investment portfolio, and the overall structure of its assets and liabilities to achieve more efficient funding and liquidity positions for the Bank, mitigating the traditional financial risks associated with the balance sheet, such as interest rate, liquidity, price and currency risks. Interest-earning assets managed by the Treasury Business Segment include liquidity positions in cash and cash equivalents and financial instruments related to the Bank’s investment management activities, consisting of securities at FVOCI and securities at amortized cost. The Treasury Business Segment also manages the Bank’s interest-bearing liabilities, which constitute its funding sources and which consist mainly of deposits, short- and long-term borrowings and debt.</w:t>
      </w:r>
    </w:p>
    <w:p>
      <w:pPr>
        <w:spacing w:after="0" w:line="124" w:lineRule="exact"/>
        <w:rPr>
          <w:sz w:val="20"/>
          <w:szCs w:val="20"/>
          <w:color w:val="auto"/>
        </w:rPr>
      </w:pPr>
    </w:p>
    <w:p>
      <w:pPr>
        <w:jc w:val="both"/>
        <w:spacing w:after="0" w:line="281" w:lineRule="auto"/>
        <w:rPr>
          <w:sz w:val="20"/>
          <w:szCs w:val="20"/>
          <w:color w:val="auto"/>
        </w:rPr>
      </w:pPr>
      <w:r>
        <w:rPr>
          <w:rFonts w:ascii="Arial" w:cs="Arial" w:eastAsia="Arial" w:hAnsi="Arial"/>
          <w:sz w:val="12"/>
          <w:szCs w:val="12"/>
          <w:color w:val="auto"/>
        </w:rPr>
        <w:t>Historically, trade finance has been afforded favorable treatment in the context of debt restructurings of Latin American borrowers. This has been, in part, due to the perceived importance that governments and other borrowers in the Region have attributed to maintaining access to trade finance. The Bank believes that, in the past, the combination of its focus on trade finance and the composition of its Class A shareholders has been instrumental in obtaining certain exceptions regarding U.S. dollar convertibility and transfer limitations imposed on the servicing of external obligations, or preferred creditor status. Although the Bank maintains both its focus on trade finance and its Class A shareholders’ participations, it cannot guarantee that such exceptions will be granted in future debt restructurings.</w:t>
      </w:r>
    </w:p>
    <w:p>
      <w:pPr>
        <w:spacing w:after="0" w:line="124" w:lineRule="exact"/>
        <w:rPr>
          <w:sz w:val="20"/>
          <w:szCs w:val="20"/>
          <w:color w:val="auto"/>
        </w:rPr>
      </w:pPr>
    </w:p>
    <w:p>
      <w:pPr>
        <w:spacing w:after="0"/>
        <w:rPr>
          <w:sz w:val="20"/>
          <w:szCs w:val="20"/>
          <w:color w:val="auto"/>
        </w:rPr>
      </w:pPr>
      <w:r>
        <w:rPr>
          <w:rFonts w:ascii="Arial" w:cs="Arial" w:eastAsia="Arial" w:hAnsi="Arial"/>
          <w:sz w:val="12"/>
          <w:szCs w:val="12"/>
          <w:color w:val="auto"/>
        </w:rPr>
        <w:t>As of December 31, 2018, the Bank had 51 employees, or 31% of its total employees, across its offices responsible for marketing the Bank’s financial products and services to existing and potential new customers.</w:t>
      </w:r>
    </w:p>
    <w:p>
      <w:pPr>
        <w:spacing w:after="0" w:line="170"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Developments During 2018</w:t>
      </w:r>
    </w:p>
    <w:p>
      <w:pPr>
        <w:spacing w:after="0" w:line="159" w:lineRule="exact"/>
        <w:rPr>
          <w:sz w:val="20"/>
          <w:szCs w:val="20"/>
          <w:color w:val="auto"/>
        </w:rPr>
      </w:pPr>
    </w:p>
    <w:p>
      <w:pPr>
        <w:jc w:val="both"/>
        <w:spacing w:after="0" w:line="281" w:lineRule="auto"/>
        <w:rPr>
          <w:sz w:val="20"/>
          <w:szCs w:val="20"/>
          <w:color w:val="auto"/>
        </w:rPr>
      </w:pPr>
      <w:r>
        <w:rPr>
          <w:rFonts w:ascii="Arial" w:cs="Arial" w:eastAsia="Arial" w:hAnsi="Arial"/>
          <w:sz w:val="12"/>
          <w:szCs w:val="12"/>
          <w:color w:val="auto"/>
        </w:rPr>
        <w:t>The global economy continues to grow in an uncertain environment, characterized by increasing volatility. The International Monetary Fund (“IMF”) in its April 2019 report calculated world GDP growth to be 3.6% for the year 2018. This global growth was sustained, mainly, by the growth in the U.S. and stability in both the European and Chinese economies, although growth in both Europe and China has slowed when compared to previous years. As a general matter, while the global economy has continued to grow, growth has been more moderate and focused on certain key economies than has been the case in recent years. Growth in the Region stalled at 1.0% in 2018, which was substantially weaker than previously projected. The disappointing growth outcome reflected softening global trade growth and tighter external financing conditions.</w:t>
      </w:r>
    </w:p>
    <w:p>
      <w:pPr>
        <w:spacing w:after="0" w:line="272"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89" w:right="219" w:bottom="1440" w:gutter="0" w:footer="0" w:header="0"/>
        </w:sectPr>
      </w:pPr>
    </w:p>
    <w:bookmarkStart w:id="24" w:name="page25"/>
    <w:bookmarkEnd w:id="24"/>
    <w:p>
      <w:pPr>
        <w:jc w:val="both"/>
        <w:ind w:right="20"/>
        <w:spacing w:after="0" w:line="289" w:lineRule="auto"/>
        <w:rPr>
          <w:sz w:val="20"/>
          <w:szCs w:val="20"/>
          <w:color w:val="auto"/>
        </w:rPr>
      </w:pPr>
      <w:r>
        <w:rPr>
          <w:rFonts w:ascii="Arial" w:cs="Arial" w:eastAsia="Arial" w:hAnsi="Arial"/>
          <w:sz w:val="12"/>
          <w:szCs w:val="12"/>
          <w:color w:val="auto"/>
        </w:rPr>
        <w:t>2018 was characterized by increased conflict in international trade and increases in tariffs by several countries on a range of products. For example, the Trump administration in the U.S. has increased tariffs on a variety of imports from countries throughout the world, including the Region, and continues to threaten additional new, and increases in existing, tariffs. For example, in 2018 the U.S. imposed certain increased tariffs on steel and aluminum. China has also announced retaliatory tariffs against certain U.S. products. Furthermore, the Trump administration has undertaken to replace NAFTA with the USMCA.</w:t>
      </w:r>
    </w:p>
    <w:p>
      <w:pPr>
        <w:spacing w:after="0" w:line="118" w:lineRule="exact"/>
        <w:rPr>
          <w:sz w:val="20"/>
          <w:szCs w:val="20"/>
          <w:color w:val="auto"/>
        </w:rPr>
      </w:pPr>
    </w:p>
    <w:p>
      <w:pPr>
        <w:jc w:val="both"/>
        <w:ind w:right="20"/>
        <w:spacing w:after="0" w:line="254" w:lineRule="auto"/>
        <w:rPr>
          <w:sz w:val="20"/>
          <w:szCs w:val="20"/>
          <w:color w:val="auto"/>
        </w:rPr>
      </w:pPr>
      <w:r>
        <w:rPr>
          <w:rFonts w:ascii="Arial" w:cs="Arial" w:eastAsia="Arial" w:hAnsi="Arial"/>
          <w:sz w:val="13"/>
          <w:szCs w:val="13"/>
          <w:color w:val="auto"/>
        </w:rPr>
        <w:t>Notwithstanding increasing levels of protectionism, world trade of goods and services showed a positive performance in 2018, growing by 3.8%, according to the IMF. Latin American trade flows increased by 9.3% in 2018, primarily due to higher prices for commodities, such as metals and oil, and a higher volume of exports resulting from dynamic external demand. Although commodity prices have recovered, they are still below the peak price levels reached during 2011 and 2012. These price increases have bolstered the recovery for certain exporters of key commodities products in the Region, with sugar, which continues to trade at minimal prices in the international market, remaining a notable exception.</w:t>
      </w:r>
    </w:p>
    <w:p>
      <w:pPr>
        <w:spacing w:after="0" w:line="137" w:lineRule="exact"/>
        <w:rPr>
          <w:sz w:val="20"/>
          <w:szCs w:val="20"/>
          <w:color w:val="auto"/>
        </w:rPr>
      </w:pPr>
    </w:p>
    <w:p>
      <w:pPr>
        <w:jc w:val="both"/>
        <w:spacing w:after="0" w:line="252" w:lineRule="auto"/>
        <w:rPr>
          <w:sz w:val="20"/>
          <w:szCs w:val="20"/>
          <w:color w:val="auto"/>
        </w:rPr>
      </w:pPr>
      <w:r>
        <w:rPr>
          <w:rFonts w:ascii="Arial" w:cs="Arial" w:eastAsia="Arial" w:hAnsi="Arial"/>
          <w:sz w:val="13"/>
          <w:szCs w:val="13"/>
          <w:color w:val="auto"/>
        </w:rPr>
        <w:t>The Federal Reserve Bank continued to make progress in normalizing monetary policy which tightened monetary conditions, adding pressure on emerging economies in 2018, especially in Latin America. Nearly all economies in the Region with floating exchange rates have experienced nominal depreciation against the U.S. dollar, particularly Argentina, Brazil, Chile, Mexico, and Uruguay. In most of these economies, especially Argentina, depreciation is contributing to a rise in inflation. Central banks in several countries have intervened in foreign exchange markets using derivative instruments to reduce currency volatility (e.g., Brazil and Uruguay) or to build reserves (e.g., Colombia). In addition, monetary policy experienced tightening in some economies to contain inflationary pressures stemming partly from currency depreciation, which further dampened growth (e.g. Argentina).</w:t>
      </w:r>
    </w:p>
    <w:p>
      <w:pPr>
        <w:spacing w:after="0" w:line="139" w:lineRule="exact"/>
        <w:rPr>
          <w:sz w:val="20"/>
          <w:szCs w:val="20"/>
          <w:color w:val="auto"/>
        </w:rPr>
      </w:pPr>
    </w:p>
    <w:p>
      <w:pPr>
        <w:jc w:val="both"/>
        <w:ind w:right="20"/>
        <w:spacing w:after="0" w:line="278" w:lineRule="auto"/>
        <w:rPr>
          <w:sz w:val="20"/>
          <w:szCs w:val="20"/>
          <w:color w:val="auto"/>
        </w:rPr>
      </w:pPr>
      <w:r>
        <w:rPr>
          <w:rFonts w:ascii="Arial" w:cs="Arial" w:eastAsia="Arial" w:hAnsi="Arial"/>
          <w:sz w:val="12"/>
          <w:szCs w:val="12"/>
          <w:color w:val="auto"/>
        </w:rPr>
        <w:t>The Region is comprised of diverse economies, each of which exhibited its own trends in 2018. Developments in Argentina, Brazil, and Venezuela hindered regional growth, despite better performance in several mid-size economies (e.g., Chile, Colombia and Peru). For example, the volatility in the international markets significantly affected Argentina, mainly due to its external vulnerability related to a loan agreement with the IMF which included certain restrictions on the country’s fiscal measures and economic policies. In Brazil, while pressure on Brazilian markets lifted to a significant extent in 2018, uncertainty continues, as the markets continue to await key fiscal adjustments and pension fund reforms. On the other hand, the markets in Mexico did respond positively to the new proposed USMCA. Growth moderated in Central America, reflecting a variety of factors, affected by weak confidence in Costa Rica and Panama, political uncertainty in Guatemala, and social unrest in Nicaragua.</w:t>
      </w:r>
    </w:p>
    <w:p>
      <w:pPr>
        <w:spacing w:after="0" w:line="125"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In addition, the year 2018 was important in the political calendar of the Region, with presidential elections taking place in Brazil, Mexico, Colombia and Costa Rica, which comprise a significant portion of Regional GDP (67% of GDP of the Region). Although these elections are an important part of the democratic process in the Region, they were also the cause of economic and political uncertainty. In this context, rising populism posed risks for the implementation of much-needed reforms in several countries in the Region, most notably in Brazil, Mexico and Costa Rica.</w:t>
      </w:r>
    </w:p>
    <w:p>
      <w:pPr>
        <w:spacing w:after="0" w:line="136" w:lineRule="exact"/>
        <w:rPr>
          <w:sz w:val="20"/>
          <w:szCs w:val="20"/>
          <w:color w:val="auto"/>
        </w:rPr>
      </w:pPr>
    </w:p>
    <w:p>
      <w:pPr>
        <w:jc w:val="both"/>
        <w:spacing w:after="0" w:line="251" w:lineRule="auto"/>
        <w:rPr>
          <w:sz w:val="20"/>
          <w:szCs w:val="20"/>
          <w:color w:val="auto"/>
        </w:rPr>
      </w:pPr>
      <w:r>
        <w:rPr>
          <w:rFonts w:ascii="Arial" w:cs="Arial" w:eastAsia="Arial" w:hAnsi="Arial"/>
          <w:sz w:val="13"/>
          <w:szCs w:val="13"/>
          <w:color w:val="auto"/>
        </w:rPr>
        <w:t>Within this economic context, the Bank’s annual profit was $11.1 million in 2018, compared to $82.0 million in 2017, mainly as a result of (i) a $57.5 million impairment loss on financial instruments related to the significant deterioration of credit-impaired loans; (ii) a $10.0 million impairment loss on non-financial assets, due to an assessment of these items, which concluded that they had to be written off; and (iii) a $10.7 million decrease in annual revenues, mainly resulting from an 8% reduction in net interest income, as net interest margin decreased 14 basis points and net interest spread decreased 27 basis points from 2017 levels to 1.71% and 1.21%, respectively. The decrease in financial margins relates to narrower net lending spreads as a result of the origination of higher quality loans in 2018, as the Bank increased its lending share to financial institutions, sovereign and state-owned entities, and top quality corporations – most of which are exporters with U.S. dollar generation capacity. Lower lending spreads were partly offset by the net positive effect of an increasing interest rate environment on the repricing of the Bank’s assets and liabilities.</w:t>
      </w:r>
    </w:p>
    <w:p>
      <w:pPr>
        <w:spacing w:after="0" w:line="140"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The Bank’s 2018 results represent a return on average equity (“ROAE”) of 1.1% and a return on average assets (“ROAA”) of 0.2%, which were significantly below 2017 levels of 8.0% and 1.3%, respectively. However, in management’s opinion, the credit impairment losses recorded by the Bank in 2018 allowed the Bank to reflect in its results the impact of the negative credit cycle that has affected the Region over the past few years, and left the Bank with a strengthened balance sheet and solid levels of solvency and liquidity, positioning the Bank to grow its business in a profitable and reliable manner. Reflecting this position, the Bank ended 2018 with a strong 18% Tier I Basel III capital ratio and a liquidity position of 22% of total assets.</w:t>
      </w:r>
    </w:p>
    <w:p>
      <w:pPr>
        <w:spacing w:after="0" w:line="286"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25" w:name="page26"/>
    <w:bookmarkEnd w:id="25"/>
    <w:p>
      <w:pPr>
        <w:spacing w:after="0"/>
        <w:rPr>
          <w:sz w:val="20"/>
          <w:szCs w:val="20"/>
          <w:color w:val="auto"/>
        </w:rPr>
      </w:pPr>
      <w:r>
        <w:rPr>
          <w:rFonts w:ascii="Arial" w:cs="Arial" w:eastAsia="Arial" w:hAnsi="Arial"/>
          <w:sz w:val="13"/>
          <w:szCs w:val="13"/>
          <w:b w:val="1"/>
          <w:bCs w:val="1"/>
          <w:i w:val="1"/>
          <w:iCs w:val="1"/>
          <w:color w:val="auto"/>
        </w:rPr>
        <w:t>Strategies for 2019 and Subsequent Years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Streamline the Bank’s operating model for greater efficiency</w:t>
      </w:r>
    </w:p>
    <w:p>
      <w:pPr>
        <w:spacing w:after="0" w:line="159"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The Bank aims to improve efficiency and productivity throughout its organization, with investments having already been made in technology and more efficient processes. The Bank is focusing on a number of specific areas, including implementing a more centralized management model in which the head office provides risk management and administrative support to the Bank’s representative offices, and with representative offices concentrating primarily on origination and client relationship management. The Bank expects that this plan will reduce costs, contribute to its goal of operational excellence and provide greater flexibility to respond to the demands of its clients.</w:t>
      </w:r>
    </w:p>
    <w:p>
      <w:pPr>
        <w:spacing w:after="0" w:line="137"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Further grow the Bank’s business in politically and economically stable, high-growth markets</w:t>
      </w:r>
    </w:p>
    <w:p>
      <w:pPr>
        <w:spacing w:after="0" w:line="159" w:lineRule="exact"/>
        <w:rPr>
          <w:sz w:val="20"/>
          <w:szCs w:val="20"/>
          <w:color w:val="auto"/>
        </w:rPr>
      </w:pPr>
    </w:p>
    <w:p>
      <w:pPr>
        <w:jc w:val="both"/>
        <w:ind w:right="20"/>
        <w:spacing w:after="0" w:line="310" w:lineRule="auto"/>
        <w:rPr>
          <w:sz w:val="20"/>
          <w:szCs w:val="20"/>
          <w:color w:val="auto"/>
        </w:rPr>
      </w:pPr>
      <w:r>
        <w:rPr>
          <w:rFonts w:ascii="Arial" w:cs="Arial" w:eastAsia="Arial" w:hAnsi="Arial"/>
          <w:sz w:val="12"/>
          <w:szCs w:val="12"/>
          <w:color w:val="auto"/>
        </w:rPr>
        <w:t>The Bank’s expertise in risk and capital management and extensive knowledge of the Region allows it to identify and strategically focus on stable and growth-oriented markets, including investment-grade countries in the Region. Bladex maintains strategically located representative offices in order to provide focused products and services in markets that the Bank considers key to its continued growth.</w:t>
      </w:r>
    </w:p>
    <w:p>
      <w:pPr>
        <w:spacing w:after="0" w:line="106"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Targeted growth in expanding and diversifying the Bank’s country and industry exposure</w:t>
      </w:r>
    </w:p>
    <w:p>
      <w:pPr>
        <w:spacing w:after="0" w:line="159" w:lineRule="exact"/>
        <w:rPr>
          <w:sz w:val="20"/>
          <w:szCs w:val="20"/>
          <w:color w:val="auto"/>
        </w:rPr>
      </w:pPr>
    </w:p>
    <w:p>
      <w:pPr>
        <w:jc w:val="both"/>
        <w:ind w:right="20"/>
        <w:spacing w:after="0" w:line="309" w:lineRule="auto"/>
        <w:rPr>
          <w:sz w:val="20"/>
          <w:szCs w:val="20"/>
          <w:color w:val="auto"/>
        </w:rPr>
      </w:pPr>
      <w:r>
        <w:rPr>
          <w:rFonts w:ascii="Arial" w:cs="Arial" w:eastAsia="Arial" w:hAnsi="Arial"/>
          <w:sz w:val="11"/>
          <w:szCs w:val="11"/>
          <w:color w:val="auto"/>
        </w:rPr>
        <w:t>The Bank’s strategy is to participate in activities associated with trade and the trade supply chain, as well as integration across Latin American, targeting clients that offer the potential for longstanding relationships and a wider presence in the Region, such as financial institutions, corporations, sovereigns and state-owned entities. The Bank seeks to achieve this through participation in bilateral and co-financed transactions and by strengthening the short- and medium-term trade services that it provides. The Bank intends to continue enhancing existing client relationships and establish new client-relationships through its Region-wide expertise, product knowledge, quality of service, agile decision-making process and client approach, and by strategically targeting industries and participants in the value chain of international trade by country within the Region. The Bank targets clients that operate in most of the main exporting sectors related to commodities (agribusiness, oil &amp; gas, metals, and petrochemicals, among others) and services (transportation and utilities, among others).</w:t>
      </w:r>
    </w:p>
    <w:p>
      <w:pPr>
        <w:spacing w:after="0" w:line="110" w:lineRule="exact"/>
        <w:rPr>
          <w:sz w:val="20"/>
          <w:szCs w:val="20"/>
          <w:color w:val="auto"/>
        </w:rPr>
      </w:pPr>
    </w:p>
    <w:p>
      <w:pPr>
        <w:jc w:val="both"/>
        <w:ind w:right="20"/>
        <w:spacing w:after="0" w:line="310" w:lineRule="auto"/>
        <w:rPr>
          <w:sz w:val="20"/>
          <w:szCs w:val="20"/>
          <w:color w:val="auto"/>
        </w:rPr>
      </w:pPr>
      <w:r>
        <w:rPr>
          <w:rFonts w:ascii="Arial" w:cs="Arial" w:eastAsia="Arial" w:hAnsi="Arial"/>
          <w:sz w:val="12"/>
          <w:szCs w:val="12"/>
          <w:color w:val="auto"/>
        </w:rPr>
        <w:t>The Bank plans to focus its future efforts on growing its business with a larger number of clients along the trade value chain, which management believes will reinforce the Bank’s business model, enhance origination capacity and all the Bank to deploy capital most effectively. The Bank also intends to diversify its credit risk profile, in order to continue to mitigate the impact of potential losses, should they occur.</w:t>
      </w:r>
    </w:p>
    <w:p>
      <w:pPr>
        <w:spacing w:after="0" w:line="254"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24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26" w:name="page27"/>
    <w:bookmarkEnd w:id="26"/>
    <w:p>
      <w:pPr>
        <w:spacing w:after="0"/>
        <w:rPr>
          <w:sz w:val="20"/>
          <w:szCs w:val="20"/>
          <w:color w:val="auto"/>
        </w:rPr>
      </w:pPr>
      <w:r>
        <w:rPr>
          <w:rFonts w:ascii="Arial" w:cs="Arial" w:eastAsia="Arial" w:hAnsi="Arial"/>
          <w:sz w:val="13"/>
          <w:szCs w:val="13"/>
          <w:i w:val="1"/>
          <w:iCs w:val="1"/>
          <w:color w:val="auto"/>
        </w:rPr>
        <w:t>Increase the range of products and services offered to clients</w:t>
      </w:r>
    </w:p>
    <w:p>
      <w:pPr>
        <w:spacing w:after="0" w:line="159" w:lineRule="exact"/>
        <w:rPr>
          <w:sz w:val="20"/>
          <w:szCs w:val="20"/>
          <w:color w:val="auto"/>
        </w:rPr>
      </w:pPr>
    </w:p>
    <w:p>
      <w:pPr>
        <w:jc w:val="both"/>
        <w:ind w:right="20"/>
        <w:spacing w:after="0" w:line="254" w:lineRule="auto"/>
        <w:rPr>
          <w:sz w:val="20"/>
          <w:szCs w:val="20"/>
          <w:color w:val="auto"/>
        </w:rPr>
      </w:pPr>
      <w:r>
        <w:rPr>
          <w:rFonts w:ascii="Arial" w:cs="Arial" w:eastAsia="Arial" w:hAnsi="Arial"/>
          <w:sz w:val="13"/>
          <w:szCs w:val="13"/>
          <w:color w:val="auto"/>
        </w:rPr>
        <w:t>As a result of the Bank’s relationships throughout the Region, management believes it is well positioned to strategically identify key products and services to offer to clients. The Bank’s Articles of Incorporation permit a broad scope of potential activities, encompassing all types of banking, investment, and financial and other businesses that support foreign trade flows and the development of trade and integration in the Region. This supports the Bank’s ongoing strategy to develop and expand products and services, such as vendor finance, letters of credit, leasing, debt intermediation in primary and secondary markets, and syndications, including export insurance programs, that complement the Bank’s expertise in foreign trade finance and risk management.</w:t>
      </w:r>
    </w:p>
    <w:p>
      <w:pPr>
        <w:spacing w:after="0" w:line="137"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Lending Policies</w:t>
      </w:r>
    </w:p>
    <w:p>
      <w:pPr>
        <w:spacing w:after="0" w:line="159" w:lineRule="exact"/>
        <w:rPr>
          <w:sz w:val="20"/>
          <w:szCs w:val="20"/>
          <w:color w:val="auto"/>
        </w:rPr>
      </w:pPr>
    </w:p>
    <w:p>
      <w:pPr>
        <w:jc w:val="both"/>
        <w:ind w:right="20"/>
        <w:spacing w:after="0" w:line="254" w:lineRule="auto"/>
        <w:rPr>
          <w:sz w:val="20"/>
          <w:szCs w:val="20"/>
          <w:color w:val="auto"/>
        </w:rPr>
      </w:pPr>
      <w:r>
        <w:rPr>
          <w:rFonts w:ascii="Arial" w:cs="Arial" w:eastAsia="Arial" w:hAnsi="Arial"/>
          <w:sz w:val="13"/>
          <w:szCs w:val="13"/>
          <w:color w:val="auto"/>
        </w:rPr>
        <w:t>The Bank extends credit directly to financial institutions and corporations within the Region. The Bank finances import and export transactions for all types of goods and products, with the exception of certain restricted items such as weapons, ammunition, military equipment and hallucinogenic drugs or narcotics not utilized for medical purposes. Imports and exports financed by the Bank are destined for buyers and sellers in countries both inside and outside the Region. The Bank analyzes credit requests from eligible borrowers by applying its credit risk criteria, including economic and market conditions. The Bank maintains a consistent lending policy and applies the same credit criteria to all types of potential borrowers in evaluating creditworthiness.</w:t>
      </w:r>
    </w:p>
    <w:p>
      <w:pPr>
        <w:spacing w:after="0" w:line="137"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Due to the nature of trade finance, the Bank’s loans are generally unsecured. However, in certain instances, based upon the Bank’s credit review of the borrower and the economic and political situation and trends in the borrower’s home country, the Bank may determine that the level of risk involved requires that a loan be secured by collateral.</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Country Credit Limits</w:t>
      </w:r>
    </w:p>
    <w:p>
      <w:pPr>
        <w:spacing w:after="0" w:line="15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The Bank maintains a continual review of each country's risk profile evolution, supporting its analysis with various factors, both quantitative and qualitative, the main driving factors of which include: the evolution of macroeconomic policies (fiscal, monetary, and exchange rate policy), fiscal and external performance, price stability, level of liquidity in foreign currency, changes of legal and institutional framework, as well as material social and political events, among others, including industry analysis relevant to Bladex business activities.</w:t>
      </w:r>
    </w:p>
    <w:p>
      <w:pPr>
        <w:spacing w:after="0" w:line="136"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Bladex has a methodology for capital allocation by country and its risk weights for assets. The Risk Policy and Assessment Committee (the “CPER”) of the Bank’s Board of Directors (the “Board”) approves a level of “allocated capital” for each country, in addition to nominal exposure limits. These country capital limits are reviewed at least once a year by the CPER, and more often if necessary. The methodology helps to establish the capital equivalent of each transaction, based on the internal numeric rating assigned to each country, which is reviewed and approved by the CPER.</w:t>
      </w:r>
    </w:p>
    <w:p>
      <w:pPr>
        <w:spacing w:after="0" w:line="136" w:lineRule="exact"/>
        <w:rPr>
          <w:sz w:val="20"/>
          <w:szCs w:val="20"/>
          <w:color w:val="auto"/>
        </w:rPr>
      </w:pPr>
    </w:p>
    <w:p>
      <w:pPr>
        <w:jc w:val="both"/>
        <w:ind w:right="20"/>
        <w:spacing w:after="0" w:line="360" w:lineRule="auto"/>
        <w:rPr>
          <w:sz w:val="20"/>
          <w:szCs w:val="20"/>
          <w:color w:val="auto"/>
        </w:rPr>
      </w:pPr>
      <w:r>
        <w:rPr>
          <w:rFonts w:ascii="Arial" w:cs="Arial" w:eastAsia="Arial" w:hAnsi="Arial"/>
          <w:sz w:val="11"/>
          <w:szCs w:val="11"/>
          <w:color w:val="auto"/>
        </w:rPr>
        <w:t>The amount of capital allocated to a transaction is based on customer type (sovereign, state-owned or private corporations, or financial institutions), the type of transaction (trade or non-trade), and the average remaining term of the transaction (from one to 180 days, 181 days to a year, between one and three years, or longer than three years). Capital utilizations by the business units cannot exceed the Bank’s reported total equity.</w:t>
      </w:r>
    </w:p>
    <w:p>
      <w:pPr>
        <w:spacing w:after="0" w:line="83"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Borrower Lending Limits</w:t>
      </w:r>
    </w:p>
    <w:p>
      <w:pPr>
        <w:spacing w:after="0" w:line="15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The Bank generally establishes lines of credit for each borrower according to the results of its risk analysis and potential business prospects; however, the Bank is not obligated to lend under these lines of credit. Once a line of credit has been established, credit generally is extended after receipt of an application from the borrower for financing. Loan pricing is determined in accordance with prevailing market conditions and the borrower’s creditworthiness.</w:t>
      </w:r>
    </w:p>
    <w:p>
      <w:pPr>
        <w:spacing w:after="0" w:line="284"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27" w:name="page28"/>
    <w:bookmarkEnd w:id="27"/>
    <w:p>
      <w:pPr>
        <w:jc w:val="both"/>
        <w:ind w:right="20"/>
        <w:spacing w:after="0" w:line="250" w:lineRule="auto"/>
        <w:rPr>
          <w:sz w:val="20"/>
          <w:szCs w:val="20"/>
          <w:color w:val="auto"/>
        </w:rPr>
      </w:pPr>
      <w:r>
        <w:rPr>
          <w:rFonts w:ascii="Arial" w:cs="Arial" w:eastAsia="Arial" w:hAnsi="Arial"/>
          <w:sz w:val="13"/>
          <w:szCs w:val="13"/>
          <w:color w:val="auto"/>
        </w:rPr>
        <w:t>For existing borrowers, the Bank’s management has authority to approve credit lines up to the legal lending limit prescribed by Panamanian law, provided that the credit lines comply fully with the country credit limits and conditions for the borrower’s country of domicile set by the Board. Approved borrower lending limits are reported to the CPER quarterly. Panamanian Law sets forth certain concentration limits, which are applicable and strictly adhered to by the Bank, including a 30% limit as a percentage of capital and reserves for any one borrower and borrower group, in the case of certain financial institutions, and a 25% limit as a percentage of capital and reserves for any borrower and borrower group, in the case of corporate and sovereign entities. As of December 31, 2018, the Bank’s legal lending limit prescribed by Panamanian law for corporations and sovereign borrowers amounted to $248 million, and for financial institutions and financial groups amounted to $298 million. Panamanian law also sets lending limits for related party transactions, which are described in more detail in the section “Supervision and Regulation–Panamanian Law.” Non-compliance with this legal lending limit could result in the assessment of administrative sanctions by the Superintendency for such violations, taking into consideration the magnitude of the offense and any prior occurrences, and the magnitude of damages and prejudice caused to third parties. As of December 31, 2018, the Bank was in compliance with regulatory legal lending limits.</w:t>
      </w:r>
    </w:p>
    <w:p>
      <w:pPr>
        <w:spacing w:after="0" w:line="140"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Credit Portfolio</w:t>
      </w:r>
    </w:p>
    <w:p>
      <w:pPr>
        <w:spacing w:after="0" w:line="15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The Bank’s Credit Portfolio consists of the Commercial Portfolio and the Investment Portfolio. The Bank’s Commercial Portfolio includes: (i) gross loans excluding interest receivable, allowance for loan losses, unearned interest and deferred fees (the “Loan Portfolio”), (ii) customers’ liabilities under acceptances, and (iii) loan commitments and financial guarantee contracts, such as confirmed and stand-by letters of credit, and guarantees covering commercial risk. The Bank’s Investment Portfolio consists of securities at FVOCI and investment securities at amortized cost.</w:t>
      </w:r>
    </w:p>
    <w:p>
      <w:pPr>
        <w:spacing w:after="0" w:line="136" w:lineRule="exact"/>
        <w:rPr>
          <w:sz w:val="20"/>
          <w:szCs w:val="20"/>
          <w:color w:val="auto"/>
        </w:rPr>
      </w:pPr>
    </w:p>
    <w:p>
      <w:pPr>
        <w:jc w:val="both"/>
        <w:ind w:right="20"/>
        <w:spacing w:after="0" w:line="254" w:lineRule="auto"/>
        <w:rPr>
          <w:sz w:val="20"/>
          <w:szCs w:val="20"/>
          <w:color w:val="auto"/>
        </w:rPr>
      </w:pPr>
      <w:r>
        <w:rPr>
          <w:rFonts w:ascii="Arial" w:cs="Arial" w:eastAsia="Arial" w:hAnsi="Arial"/>
          <w:sz w:val="13"/>
          <w:szCs w:val="13"/>
          <w:color w:val="auto"/>
        </w:rPr>
        <w:t>As of December 31, 2018, the Credit Portfolio amounted to $6,397 million compared to $6,085 million as of December 31, 2017 and $6,552 million as of December 31, 2016. The $312 million, or 5%, increase during 2018 was largely attributable to the Bank’s Commercial Portfolio, which increased by $291 million, or 5%, due to improved conditions for credit demand in the Region and an increase in the Bank’s client base of financial institutions. Compared to December 31, 2016, the Bank’s Credit Portfolio as of December 31, 2018, represented a $155 million, or 2%, decrease that reflected the implementation of the Bank’s efforts to improve its portfolio credit risk profile.</w:t>
      </w:r>
    </w:p>
    <w:p>
      <w:pPr>
        <w:spacing w:after="0" w:line="137"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Commercial Portfolio</w:t>
      </w:r>
    </w:p>
    <w:p>
      <w:pPr>
        <w:spacing w:after="0" w:line="159" w:lineRule="exact"/>
        <w:rPr>
          <w:sz w:val="20"/>
          <w:szCs w:val="20"/>
          <w:color w:val="auto"/>
        </w:rPr>
      </w:pPr>
    </w:p>
    <w:p>
      <w:pPr>
        <w:jc w:val="both"/>
        <w:ind w:right="20"/>
        <w:spacing w:after="0" w:line="289" w:lineRule="auto"/>
        <w:rPr>
          <w:sz w:val="20"/>
          <w:szCs w:val="20"/>
          <w:color w:val="auto"/>
        </w:rPr>
      </w:pPr>
      <w:r>
        <w:rPr>
          <w:rFonts w:ascii="Arial" w:cs="Arial" w:eastAsia="Arial" w:hAnsi="Arial"/>
          <w:sz w:val="12"/>
          <w:szCs w:val="12"/>
          <w:color w:val="auto"/>
        </w:rPr>
        <w:t>The Bank’s Commercial Portfolio amounted to $6,290 million as of December 31, 2018, compared to $5,999 million as of December 31, 2017, and $6,444 million as of December 31, 2016. The $291 million, or 5%, increase during 2018 reflects the aforementioned improved conditions to longer tenor transactions and an increase in the Bank’s client base of financial institutions, compared to the negative credit cycle experienced in the Region in previous periods, as evidenced by the $154 million, or 2%, balance reduction in the Commercial Portfolio from December 31, 2016 to December 31, 2018.</w:t>
      </w:r>
    </w:p>
    <w:p>
      <w:pPr>
        <w:spacing w:after="0" w:line="118" w:lineRule="exact"/>
        <w:rPr>
          <w:sz w:val="20"/>
          <w:szCs w:val="20"/>
          <w:color w:val="auto"/>
        </w:rPr>
      </w:pPr>
    </w:p>
    <w:p>
      <w:pPr>
        <w:jc w:val="both"/>
        <w:ind w:right="20"/>
        <w:spacing w:after="0" w:line="289" w:lineRule="auto"/>
        <w:rPr>
          <w:sz w:val="20"/>
          <w:szCs w:val="20"/>
          <w:color w:val="auto"/>
        </w:rPr>
      </w:pPr>
      <w:r>
        <w:rPr>
          <w:rFonts w:ascii="Arial" w:cs="Arial" w:eastAsia="Arial" w:hAnsi="Arial"/>
          <w:sz w:val="12"/>
          <w:szCs w:val="12"/>
          <w:color w:val="auto"/>
        </w:rPr>
        <w:t>As of December 31, 2018, 74% of the Bank’s Commercial Portfolio was scheduled to mature within one year, compared to 81% as of December 31, 2017 and 77% as of December 31, 2016, which reflects higher mid-term lending origination throughout 2018. As of those same dates, trade-related finance transactions represented 45%, 60% and 66%, respectively, of the Bank’s Commercial Portfolio, while trade-related finance transactions represented 59%, 74% and 85%, respectively, of the Bank’s short-term Commercial Portfolio, as the Bank increased its exposure to financial institutions.</w:t>
      </w:r>
    </w:p>
    <w:p>
      <w:pPr>
        <w:spacing w:after="0" w:line="118"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As of December 31, 2018, the Commercial Portfolio’s exposure remained diversified across regions and industry sectors, with 52% of the total Commercial Portfolio representing the Bank’s traditional client base of financial institutions and 48% of the total Commercial Portfolio represented by corporations, of which 37% and 54% of such percentages were trade-related financing, respectively. As of December 31, 2018, 19% of the total Commercial Portfolio was placed in Brazil, representing the Bank’s largest country exposure, which management believes is commensurate with the size and prospects of Brazil’s economy and its relevance in international trade flows.</w:t>
      </w:r>
    </w:p>
    <w:p>
      <w:pPr>
        <w:spacing w:after="0" w:line="286"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26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28" w:name="page29"/>
    <w:bookmarkEnd w:id="28"/>
    <w:p>
      <w:pPr>
        <w:spacing w:after="0"/>
        <w:rPr>
          <w:sz w:val="20"/>
          <w:szCs w:val="20"/>
          <w:color w:val="auto"/>
        </w:rPr>
      </w:pPr>
      <w:r>
        <w:rPr>
          <w:rFonts w:ascii="Arial" w:cs="Arial" w:eastAsia="Arial" w:hAnsi="Arial"/>
          <w:sz w:val="13"/>
          <w:szCs w:val="13"/>
          <w:color w:val="auto"/>
        </w:rPr>
        <w:t>The following table sets forth the distribution of the Bank’s Commercial Portfolio, by product category, as of December 31 of each year:</w:t>
      </w:r>
    </w:p>
    <w:p>
      <w:pPr>
        <w:spacing w:after="0" w:line="164"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3560" w:type="dxa"/>
            <w:vAlign w:val="bottom"/>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4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4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500" w:type="dxa"/>
            <w:vAlign w:val="bottom"/>
            <w:tcBorders>
              <w:bottom w:val="single" w:sz="8" w:color="auto"/>
            </w:tcBorders>
            <w:gridSpan w:val="4"/>
          </w:tcPr>
          <w:p>
            <w:pPr>
              <w:jc w:val="center"/>
              <w:ind w:right="360"/>
              <w:spacing w:after="0"/>
              <w:rPr>
                <w:sz w:val="20"/>
                <w:szCs w:val="20"/>
                <w:color w:val="auto"/>
              </w:rPr>
            </w:pPr>
            <w:r>
              <w:rPr>
                <w:rFonts w:ascii="Arial" w:cs="Arial" w:eastAsia="Arial" w:hAnsi="Arial"/>
                <w:sz w:val="13"/>
                <w:szCs w:val="13"/>
                <w:b w:val="1"/>
                <w:bCs w:val="1"/>
                <w:color w:val="auto"/>
                <w:w w:val="87"/>
              </w:rPr>
              <w:t>As of December 31,</w:t>
            </w:r>
          </w:p>
        </w:tc>
        <w:tc>
          <w:tcPr>
            <w:tcW w:w="120" w:type="dxa"/>
            <w:vAlign w:val="bottom"/>
            <w:tcBorders>
              <w:bottom w:val="single" w:sz="8" w:color="auto"/>
            </w:tcBorders>
          </w:tcPr>
          <w:p>
            <w:pPr>
              <w:spacing w:after="0"/>
              <w:rPr>
                <w:sz w:val="14"/>
                <w:szCs w:val="14"/>
                <w:color w:val="auto"/>
              </w:rPr>
            </w:pPr>
          </w:p>
        </w:tc>
        <w:tc>
          <w:tcPr>
            <w:tcW w:w="46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46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56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154"/>
        </w:trPr>
        <w:tc>
          <w:tcPr>
            <w:tcW w:w="3560" w:type="dxa"/>
            <w:vAlign w:val="bottom"/>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460" w:type="dxa"/>
            <w:vAlign w:val="bottom"/>
            <w:tcBorders>
              <w:bottom w:val="single" w:sz="8" w:color="auto"/>
            </w:tcBorders>
          </w:tcPr>
          <w:p>
            <w:pPr>
              <w:jc w:val="right"/>
              <w:ind w:right="96"/>
              <w:spacing w:after="0"/>
              <w:rPr>
                <w:sz w:val="20"/>
                <w:szCs w:val="20"/>
                <w:color w:val="auto"/>
              </w:rPr>
            </w:pPr>
            <w:r>
              <w:rPr>
                <w:rFonts w:ascii="Arial" w:cs="Arial" w:eastAsia="Arial" w:hAnsi="Arial"/>
                <w:sz w:val="13"/>
                <w:szCs w:val="13"/>
                <w:b w:val="1"/>
                <w:bCs w:val="1"/>
                <w:color w:val="auto"/>
                <w:w w:val="96"/>
              </w:rPr>
              <w:t>2018</w:t>
            </w:r>
          </w:p>
        </w:tc>
        <w:tc>
          <w:tcPr>
            <w:tcW w:w="220" w:type="dxa"/>
            <w:vAlign w:val="bottom"/>
            <w:tcBorders>
              <w:bottom w:val="single" w:sz="8" w:color="auto"/>
            </w:tcBorders>
          </w:tcPr>
          <w:p>
            <w:pPr>
              <w:spacing w:after="0"/>
              <w:rPr>
                <w:sz w:val="13"/>
                <w:szCs w:val="13"/>
                <w:color w:val="auto"/>
              </w:rPr>
            </w:pPr>
          </w:p>
        </w:tc>
        <w:tc>
          <w:tcPr>
            <w:tcW w:w="580" w:type="dxa"/>
            <w:vAlign w:val="bottom"/>
            <w:tcBorders>
              <w:bottom w:val="single" w:sz="8" w:color="auto"/>
            </w:tcBorders>
          </w:tcPr>
          <w:p>
            <w:pPr>
              <w:jc w:val="right"/>
              <w:ind w:right="156"/>
              <w:spacing w:after="0"/>
              <w:rPr>
                <w:sz w:val="20"/>
                <w:szCs w:val="20"/>
                <w:color w:val="auto"/>
              </w:rPr>
            </w:pPr>
            <w:r>
              <w:rPr>
                <w:rFonts w:ascii="Arial" w:cs="Arial" w:eastAsia="Arial" w:hAnsi="Arial"/>
                <w:sz w:val="13"/>
                <w:szCs w:val="13"/>
                <w:b w:val="1"/>
                <w:bCs w:val="1"/>
                <w:color w:val="auto"/>
              </w:rPr>
              <w:t>%</w:t>
            </w:r>
          </w:p>
        </w:tc>
        <w:tc>
          <w:tcPr>
            <w:tcW w:w="24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480" w:type="dxa"/>
            <w:vAlign w:val="bottom"/>
            <w:tcBorders>
              <w:bottom w:val="single" w:sz="8" w:color="auto"/>
            </w:tcBorders>
          </w:tcPr>
          <w:p>
            <w:pPr>
              <w:jc w:val="right"/>
              <w:ind w:right="96"/>
              <w:spacing w:after="0"/>
              <w:rPr>
                <w:sz w:val="20"/>
                <w:szCs w:val="20"/>
                <w:color w:val="auto"/>
              </w:rPr>
            </w:pPr>
            <w:r>
              <w:rPr>
                <w:rFonts w:ascii="Arial" w:cs="Arial" w:eastAsia="Arial" w:hAnsi="Arial"/>
                <w:sz w:val="13"/>
                <w:szCs w:val="13"/>
                <w:b w:val="1"/>
                <w:bCs w:val="1"/>
                <w:color w:val="auto"/>
              </w:rPr>
              <w:t>2017</w:t>
            </w:r>
          </w:p>
        </w:tc>
        <w:tc>
          <w:tcPr>
            <w:tcW w:w="220" w:type="dxa"/>
            <w:vAlign w:val="bottom"/>
            <w:tcBorders>
              <w:bottom w:val="single" w:sz="8" w:color="auto"/>
            </w:tcBorders>
          </w:tcPr>
          <w:p>
            <w:pPr>
              <w:spacing w:after="0"/>
              <w:rPr>
                <w:sz w:val="13"/>
                <w:szCs w:val="13"/>
                <w:color w:val="auto"/>
              </w:rPr>
            </w:pPr>
          </w:p>
        </w:tc>
        <w:tc>
          <w:tcPr>
            <w:tcW w:w="580" w:type="dxa"/>
            <w:vAlign w:val="bottom"/>
            <w:tcBorders>
              <w:bottom w:val="single" w:sz="8" w:color="auto"/>
            </w:tcBorders>
          </w:tcPr>
          <w:p>
            <w:pPr>
              <w:jc w:val="right"/>
              <w:ind w:right="156"/>
              <w:spacing w:after="0"/>
              <w:rPr>
                <w:sz w:val="20"/>
                <w:szCs w:val="20"/>
                <w:color w:val="auto"/>
              </w:rPr>
            </w:pPr>
            <w:r>
              <w:rPr>
                <w:rFonts w:ascii="Arial" w:cs="Arial" w:eastAsia="Arial" w:hAnsi="Arial"/>
                <w:sz w:val="13"/>
                <w:szCs w:val="13"/>
                <w:b w:val="1"/>
                <w:bCs w:val="1"/>
                <w:color w:val="auto"/>
              </w:rPr>
              <w:t>%</w:t>
            </w:r>
          </w:p>
        </w:tc>
        <w:tc>
          <w:tcPr>
            <w:tcW w:w="12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480" w:type="dxa"/>
            <w:vAlign w:val="bottom"/>
            <w:tcBorders>
              <w:bottom w:val="single" w:sz="8" w:color="auto"/>
            </w:tcBorders>
          </w:tcPr>
          <w:p>
            <w:pPr>
              <w:jc w:val="right"/>
              <w:ind w:right="96"/>
              <w:spacing w:after="0"/>
              <w:rPr>
                <w:sz w:val="20"/>
                <w:szCs w:val="20"/>
                <w:color w:val="auto"/>
              </w:rPr>
            </w:pPr>
            <w:r>
              <w:rPr>
                <w:rFonts w:ascii="Arial" w:cs="Arial" w:eastAsia="Arial" w:hAnsi="Arial"/>
                <w:sz w:val="13"/>
                <w:szCs w:val="13"/>
                <w:b w:val="1"/>
                <w:bCs w:val="1"/>
                <w:color w:val="auto"/>
              </w:rPr>
              <w:t>2016</w:t>
            </w:r>
          </w:p>
        </w:tc>
        <w:tc>
          <w:tcPr>
            <w:tcW w:w="220" w:type="dxa"/>
            <w:vAlign w:val="bottom"/>
            <w:tcBorders>
              <w:bottom w:val="single" w:sz="8" w:color="auto"/>
            </w:tcBorders>
          </w:tcPr>
          <w:p>
            <w:pPr>
              <w:spacing w:after="0"/>
              <w:rPr>
                <w:sz w:val="13"/>
                <w:szCs w:val="13"/>
                <w:color w:val="auto"/>
              </w:rPr>
            </w:pPr>
          </w:p>
        </w:tc>
        <w:tc>
          <w:tcPr>
            <w:tcW w:w="580" w:type="dxa"/>
            <w:vAlign w:val="bottom"/>
            <w:tcBorders>
              <w:bottom w:val="single" w:sz="8" w:color="auto"/>
            </w:tcBorders>
          </w:tcPr>
          <w:p>
            <w:pPr>
              <w:jc w:val="right"/>
              <w:ind w:right="156"/>
              <w:spacing w:after="0"/>
              <w:rPr>
                <w:sz w:val="20"/>
                <w:szCs w:val="20"/>
                <w:color w:val="auto"/>
              </w:rPr>
            </w:pPr>
            <w:r>
              <w:rPr>
                <w:rFonts w:ascii="Arial" w:cs="Arial" w:eastAsia="Arial" w:hAnsi="Arial"/>
                <w:sz w:val="13"/>
                <w:szCs w:val="13"/>
                <w:b w:val="1"/>
                <w:bCs w:val="1"/>
                <w:color w:val="auto"/>
              </w:rPr>
              <w:t>%</w:t>
            </w:r>
          </w:p>
        </w:tc>
        <w:tc>
          <w:tcPr>
            <w:tcW w:w="22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460" w:type="dxa"/>
            <w:vAlign w:val="bottom"/>
            <w:tcBorders>
              <w:bottom w:val="single" w:sz="8" w:color="auto"/>
            </w:tcBorders>
          </w:tcPr>
          <w:p>
            <w:pPr>
              <w:jc w:val="right"/>
              <w:ind w:right="96"/>
              <w:spacing w:after="0"/>
              <w:rPr>
                <w:sz w:val="20"/>
                <w:szCs w:val="20"/>
                <w:color w:val="auto"/>
              </w:rPr>
            </w:pPr>
            <w:r>
              <w:rPr>
                <w:rFonts w:ascii="Arial" w:cs="Arial" w:eastAsia="Arial" w:hAnsi="Arial"/>
                <w:sz w:val="13"/>
                <w:szCs w:val="13"/>
                <w:b w:val="1"/>
                <w:bCs w:val="1"/>
                <w:color w:val="auto"/>
                <w:w w:val="96"/>
              </w:rPr>
              <w:t>2015</w:t>
            </w:r>
          </w:p>
        </w:tc>
        <w:tc>
          <w:tcPr>
            <w:tcW w:w="240" w:type="dxa"/>
            <w:vAlign w:val="bottom"/>
            <w:tcBorders>
              <w:bottom w:val="single" w:sz="8" w:color="auto"/>
            </w:tcBorders>
          </w:tcPr>
          <w:p>
            <w:pPr>
              <w:spacing w:after="0"/>
              <w:rPr>
                <w:sz w:val="13"/>
                <w:szCs w:val="13"/>
                <w:color w:val="auto"/>
              </w:rPr>
            </w:pPr>
          </w:p>
        </w:tc>
        <w:tc>
          <w:tcPr>
            <w:tcW w:w="580" w:type="dxa"/>
            <w:vAlign w:val="bottom"/>
            <w:tcBorders>
              <w:bottom w:val="single" w:sz="8" w:color="auto"/>
            </w:tcBorders>
          </w:tcPr>
          <w:p>
            <w:pPr>
              <w:jc w:val="right"/>
              <w:ind w:right="156"/>
              <w:spacing w:after="0"/>
              <w:rPr>
                <w:sz w:val="20"/>
                <w:szCs w:val="20"/>
                <w:color w:val="auto"/>
              </w:rPr>
            </w:pPr>
            <w:r>
              <w:rPr>
                <w:rFonts w:ascii="Arial" w:cs="Arial" w:eastAsia="Arial" w:hAnsi="Arial"/>
                <w:sz w:val="13"/>
                <w:szCs w:val="13"/>
                <w:b w:val="1"/>
                <w:bCs w:val="1"/>
                <w:color w:val="auto"/>
              </w:rPr>
              <w:t>%</w:t>
            </w:r>
          </w:p>
        </w:tc>
        <w:tc>
          <w:tcPr>
            <w:tcW w:w="22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460" w:type="dxa"/>
            <w:vAlign w:val="bottom"/>
            <w:tcBorders>
              <w:bottom w:val="single" w:sz="8" w:color="auto"/>
            </w:tcBorders>
          </w:tcPr>
          <w:p>
            <w:pPr>
              <w:jc w:val="right"/>
              <w:ind w:right="96"/>
              <w:spacing w:after="0"/>
              <w:rPr>
                <w:sz w:val="20"/>
                <w:szCs w:val="20"/>
                <w:color w:val="auto"/>
              </w:rPr>
            </w:pPr>
            <w:r>
              <w:rPr>
                <w:rFonts w:ascii="Arial" w:cs="Arial" w:eastAsia="Arial" w:hAnsi="Arial"/>
                <w:sz w:val="13"/>
                <w:szCs w:val="13"/>
                <w:b w:val="1"/>
                <w:bCs w:val="1"/>
                <w:color w:val="auto"/>
                <w:w w:val="96"/>
              </w:rPr>
              <w:t>2014</w:t>
            </w:r>
          </w:p>
        </w:tc>
        <w:tc>
          <w:tcPr>
            <w:tcW w:w="20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jc w:val="right"/>
              <w:ind w:right="136"/>
              <w:spacing w:after="0"/>
              <w:rPr>
                <w:sz w:val="20"/>
                <w:szCs w:val="20"/>
                <w:color w:val="auto"/>
              </w:rPr>
            </w:pPr>
            <w:r>
              <w:rPr>
                <w:rFonts w:ascii="Arial" w:cs="Arial" w:eastAsia="Arial" w:hAnsi="Arial"/>
                <w:sz w:val="13"/>
                <w:szCs w:val="13"/>
                <w:b w:val="1"/>
                <w:bCs w:val="1"/>
                <w:color w:val="auto"/>
              </w:rPr>
              <w:t>%</w:t>
            </w: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44"/>
        </w:trPr>
        <w:tc>
          <w:tcPr>
            <w:tcW w:w="35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4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420" w:type="dxa"/>
            <w:vAlign w:val="bottom"/>
            <w:gridSpan w:val="8"/>
          </w:tcPr>
          <w:p>
            <w:pPr>
              <w:jc w:val="center"/>
              <w:ind w:left="476"/>
              <w:spacing w:after="0" w:line="144" w:lineRule="exact"/>
              <w:rPr>
                <w:sz w:val="20"/>
                <w:szCs w:val="20"/>
                <w:color w:val="auto"/>
              </w:rPr>
            </w:pPr>
            <w:r>
              <w:rPr>
                <w:rFonts w:ascii="Arial" w:cs="Arial" w:eastAsia="Arial" w:hAnsi="Arial"/>
                <w:sz w:val="13"/>
                <w:szCs w:val="13"/>
                <w:b w:val="1"/>
                <w:bCs w:val="1"/>
                <w:color w:val="auto"/>
                <w:w w:val="86"/>
              </w:rPr>
              <w:t>(in $ millions, except percentages)</w:t>
            </w:r>
          </w:p>
        </w:tc>
        <w:tc>
          <w:tcPr>
            <w:tcW w:w="12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3560" w:type="dxa"/>
            <w:vAlign w:val="bottom"/>
            <w:shd w:val="clear" w:color="auto" w:fill="CCEEFF"/>
          </w:tcPr>
          <w:p>
            <w:pPr>
              <w:spacing w:after="0"/>
              <w:rPr>
                <w:sz w:val="20"/>
                <w:szCs w:val="20"/>
                <w:color w:val="auto"/>
              </w:rPr>
            </w:pPr>
            <w:r>
              <w:rPr>
                <w:rFonts w:ascii="Arial" w:cs="Arial" w:eastAsia="Arial" w:hAnsi="Arial"/>
                <w:sz w:val="13"/>
                <w:szCs w:val="13"/>
                <w:color w:val="auto"/>
              </w:rPr>
              <w:t>Loans</w:t>
            </w:r>
          </w:p>
        </w:tc>
        <w:tc>
          <w:tcPr>
            <w:tcW w:w="120" w:type="dxa"/>
            <w:vAlign w:val="bottom"/>
            <w:shd w:val="clear" w:color="auto" w:fill="CCEEFF"/>
          </w:tcPr>
          <w:p>
            <w:pPr>
              <w:jc w:val="right"/>
              <w:ind w:right="12"/>
              <w:spacing w:after="0"/>
              <w:rPr>
                <w:sz w:val="20"/>
                <w:szCs w:val="20"/>
                <w:color w:val="auto"/>
              </w:rPr>
            </w:pPr>
            <w:r>
              <w:rPr>
                <w:rFonts w:ascii="Arial" w:cs="Arial" w:eastAsia="Arial" w:hAnsi="Arial"/>
                <w:sz w:val="10"/>
                <w:szCs w:val="10"/>
                <w:color w:val="auto"/>
                <w:w w:val="71"/>
              </w:rPr>
              <w:t>$</w:t>
            </w: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5,778</w:t>
            </w:r>
          </w:p>
        </w:tc>
        <w:tc>
          <w:tcPr>
            <w:tcW w:w="8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91.9</w:t>
            </w: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4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5,506</w:t>
            </w:r>
          </w:p>
        </w:tc>
        <w:tc>
          <w:tcPr>
            <w:tcW w:w="22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91.8</w:t>
            </w:r>
          </w:p>
        </w:tc>
        <w:tc>
          <w:tcPr>
            <w:tcW w:w="22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6,021</w:t>
            </w:r>
          </w:p>
        </w:tc>
        <w:tc>
          <w:tcPr>
            <w:tcW w:w="8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93.4</w:t>
            </w:r>
          </w:p>
        </w:tc>
        <w:tc>
          <w:tcPr>
            <w:tcW w:w="120" w:type="dxa"/>
            <w:vAlign w:val="bottom"/>
            <w:shd w:val="clear" w:color="auto" w:fill="CCEEFF"/>
          </w:tcPr>
          <w:p>
            <w:pPr>
              <w:jc w:val="right"/>
              <w:spacing w:after="0"/>
              <w:rPr>
                <w:sz w:val="20"/>
                <w:szCs w:val="20"/>
                <w:color w:val="auto"/>
              </w:rPr>
            </w:pPr>
            <w:r>
              <w:rPr>
                <w:rFonts w:ascii="Arial" w:cs="Arial" w:eastAsia="Arial" w:hAnsi="Arial"/>
                <w:sz w:val="13"/>
                <w:szCs w:val="13"/>
                <w:color w:val="auto"/>
                <w:w w:val="82"/>
              </w:rPr>
              <w:t>$</w:t>
            </w:r>
          </w:p>
        </w:tc>
        <w:tc>
          <w:tcPr>
            <w:tcW w:w="7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6,692</w:t>
            </w:r>
          </w:p>
        </w:tc>
        <w:tc>
          <w:tcPr>
            <w:tcW w:w="8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93.5</w:t>
            </w:r>
          </w:p>
        </w:tc>
        <w:tc>
          <w:tcPr>
            <w:tcW w:w="120" w:type="dxa"/>
            <w:vAlign w:val="bottom"/>
            <w:shd w:val="clear" w:color="auto" w:fill="CCEEFF"/>
          </w:tcPr>
          <w:p>
            <w:pPr>
              <w:jc w:val="right"/>
              <w:spacing w:after="0"/>
              <w:rPr>
                <w:sz w:val="20"/>
                <w:szCs w:val="20"/>
                <w:color w:val="auto"/>
              </w:rPr>
            </w:pPr>
            <w:r>
              <w:rPr>
                <w:rFonts w:ascii="Arial" w:cs="Arial" w:eastAsia="Arial" w:hAnsi="Arial"/>
                <w:sz w:val="13"/>
                <w:szCs w:val="13"/>
                <w:color w:val="auto"/>
                <w:w w:val="82"/>
              </w:rPr>
              <w:t>$</w:t>
            </w:r>
          </w:p>
        </w:tc>
        <w:tc>
          <w:tcPr>
            <w:tcW w:w="4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6,686</w:t>
            </w:r>
          </w:p>
        </w:tc>
        <w:tc>
          <w:tcPr>
            <w:tcW w:w="200" w:type="dxa"/>
            <w:vAlign w:val="bottom"/>
            <w:shd w:val="clear" w:color="auto" w:fill="CCEEFF"/>
          </w:tcPr>
          <w:p>
            <w:pPr>
              <w:spacing w:after="0"/>
              <w:rPr>
                <w:sz w:val="13"/>
                <w:szCs w:val="13"/>
                <w:color w:val="auto"/>
              </w:rPr>
            </w:pP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93.0</w:t>
            </w:r>
          </w:p>
        </w:tc>
        <w:tc>
          <w:tcPr>
            <w:tcW w:w="100" w:type="dxa"/>
            <w:vAlign w:val="bottom"/>
            <w:shd w:val="clear" w:color="auto" w:fill="CCEEFF"/>
          </w:tcPr>
          <w:p>
            <w:pPr>
              <w:spacing w:after="0"/>
              <w:rPr>
                <w:sz w:val="13"/>
                <w:szCs w:val="13"/>
                <w:color w:val="auto"/>
              </w:rPr>
            </w:pPr>
          </w:p>
        </w:tc>
      </w:tr>
      <w:tr>
        <w:trPr>
          <w:trHeight w:val="154"/>
        </w:trPr>
        <w:tc>
          <w:tcPr>
            <w:tcW w:w="3560" w:type="dxa"/>
            <w:vAlign w:val="bottom"/>
          </w:tcPr>
          <w:p>
            <w:pPr>
              <w:spacing w:after="0"/>
              <w:rPr>
                <w:sz w:val="20"/>
                <w:szCs w:val="20"/>
                <w:color w:val="auto"/>
              </w:rPr>
            </w:pPr>
            <w:r>
              <w:rPr>
                <w:rFonts w:ascii="Arial" w:cs="Arial" w:eastAsia="Arial" w:hAnsi="Arial"/>
                <w:sz w:val="13"/>
                <w:szCs w:val="13"/>
                <w:color w:val="auto"/>
              </w:rPr>
              <w:t>Loan commitments and financial guarantee contracts</w:t>
            </w:r>
          </w:p>
        </w:tc>
        <w:tc>
          <w:tcPr>
            <w:tcW w:w="120" w:type="dxa"/>
            <w:vAlign w:val="bottom"/>
          </w:tcPr>
          <w:p>
            <w:pPr>
              <w:spacing w:after="0"/>
              <w:rPr>
                <w:sz w:val="13"/>
                <w:szCs w:val="13"/>
                <w:color w:val="auto"/>
              </w:rPr>
            </w:pPr>
          </w:p>
        </w:tc>
        <w:tc>
          <w:tcPr>
            <w:tcW w:w="680" w:type="dxa"/>
            <w:vAlign w:val="bottom"/>
            <w:gridSpan w:val="2"/>
          </w:tcPr>
          <w:p>
            <w:pPr>
              <w:jc w:val="right"/>
              <w:ind w:right="220"/>
              <w:spacing w:after="0"/>
              <w:rPr>
                <w:sz w:val="20"/>
                <w:szCs w:val="20"/>
                <w:color w:val="auto"/>
              </w:rPr>
            </w:pPr>
            <w:r>
              <w:rPr>
                <w:rFonts w:ascii="Arial" w:cs="Arial" w:eastAsia="Arial" w:hAnsi="Arial"/>
                <w:sz w:val="13"/>
                <w:szCs w:val="13"/>
                <w:color w:val="auto"/>
              </w:rPr>
              <w:t>502</w:t>
            </w:r>
          </w:p>
        </w:tc>
        <w:tc>
          <w:tcPr>
            <w:tcW w:w="820" w:type="dxa"/>
            <w:vAlign w:val="bottom"/>
            <w:gridSpan w:val="2"/>
          </w:tcPr>
          <w:p>
            <w:pPr>
              <w:jc w:val="right"/>
              <w:ind w:right="240"/>
              <w:spacing w:after="0"/>
              <w:rPr>
                <w:sz w:val="20"/>
                <w:szCs w:val="20"/>
                <w:color w:val="auto"/>
              </w:rPr>
            </w:pPr>
            <w:r>
              <w:rPr>
                <w:rFonts w:ascii="Arial" w:cs="Arial" w:eastAsia="Arial" w:hAnsi="Arial"/>
                <w:sz w:val="13"/>
                <w:szCs w:val="13"/>
                <w:color w:val="auto"/>
              </w:rPr>
              <w:t>8.0</w:t>
            </w:r>
          </w:p>
        </w:tc>
        <w:tc>
          <w:tcPr>
            <w:tcW w:w="100" w:type="dxa"/>
            <w:vAlign w:val="bottom"/>
          </w:tcPr>
          <w:p>
            <w:pPr>
              <w:spacing w:after="0"/>
              <w:rPr>
                <w:sz w:val="13"/>
                <w:szCs w:val="13"/>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487</w:t>
            </w:r>
          </w:p>
        </w:tc>
        <w:tc>
          <w:tcPr>
            <w:tcW w:w="580" w:type="dxa"/>
            <w:vAlign w:val="bottom"/>
          </w:tcPr>
          <w:p>
            <w:pPr>
              <w:jc w:val="right"/>
              <w:spacing w:after="0"/>
              <w:rPr>
                <w:sz w:val="20"/>
                <w:szCs w:val="20"/>
                <w:color w:val="auto"/>
              </w:rPr>
            </w:pPr>
            <w:r>
              <w:rPr>
                <w:rFonts w:ascii="Arial" w:cs="Arial" w:eastAsia="Arial" w:hAnsi="Arial"/>
                <w:sz w:val="13"/>
                <w:szCs w:val="13"/>
                <w:color w:val="auto"/>
              </w:rPr>
              <w:t>8.1</w:t>
            </w: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403</w:t>
            </w:r>
          </w:p>
        </w:tc>
        <w:tc>
          <w:tcPr>
            <w:tcW w:w="800" w:type="dxa"/>
            <w:vAlign w:val="bottom"/>
            <w:gridSpan w:val="2"/>
          </w:tcPr>
          <w:p>
            <w:pPr>
              <w:jc w:val="right"/>
              <w:ind w:right="220"/>
              <w:spacing w:after="0"/>
              <w:rPr>
                <w:sz w:val="20"/>
                <w:szCs w:val="20"/>
                <w:color w:val="auto"/>
              </w:rPr>
            </w:pPr>
            <w:r>
              <w:rPr>
                <w:rFonts w:ascii="Arial" w:cs="Arial" w:eastAsia="Arial" w:hAnsi="Arial"/>
                <w:sz w:val="13"/>
                <w:szCs w:val="13"/>
                <w:color w:val="auto"/>
              </w:rPr>
              <w:t>6.3</w:t>
            </w:r>
          </w:p>
        </w:tc>
        <w:tc>
          <w:tcPr>
            <w:tcW w:w="120" w:type="dxa"/>
            <w:vAlign w:val="bottom"/>
          </w:tcPr>
          <w:p>
            <w:pPr>
              <w:spacing w:after="0"/>
              <w:rPr>
                <w:sz w:val="13"/>
                <w:szCs w:val="13"/>
                <w:color w:val="auto"/>
              </w:rPr>
            </w:pPr>
          </w:p>
        </w:tc>
        <w:tc>
          <w:tcPr>
            <w:tcW w:w="700" w:type="dxa"/>
            <w:vAlign w:val="bottom"/>
            <w:gridSpan w:val="2"/>
          </w:tcPr>
          <w:p>
            <w:pPr>
              <w:jc w:val="right"/>
              <w:ind w:right="240"/>
              <w:spacing w:after="0"/>
              <w:rPr>
                <w:sz w:val="20"/>
                <w:szCs w:val="20"/>
                <w:color w:val="auto"/>
              </w:rPr>
            </w:pPr>
            <w:r>
              <w:rPr>
                <w:rFonts w:ascii="Arial" w:cs="Arial" w:eastAsia="Arial" w:hAnsi="Arial"/>
                <w:sz w:val="13"/>
                <w:szCs w:val="13"/>
                <w:color w:val="auto"/>
              </w:rPr>
              <w:t>447</w:t>
            </w:r>
          </w:p>
        </w:tc>
        <w:tc>
          <w:tcPr>
            <w:tcW w:w="800" w:type="dxa"/>
            <w:vAlign w:val="bottom"/>
            <w:gridSpan w:val="2"/>
          </w:tcPr>
          <w:p>
            <w:pPr>
              <w:jc w:val="right"/>
              <w:ind w:right="220"/>
              <w:spacing w:after="0"/>
              <w:rPr>
                <w:sz w:val="20"/>
                <w:szCs w:val="20"/>
                <w:color w:val="auto"/>
              </w:rPr>
            </w:pPr>
            <w:r>
              <w:rPr>
                <w:rFonts w:ascii="Arial" w:cs="Arial" w:eastAsia="Arial" w:hAnsi="Arial"/>
                <w:sz w:val="13"/>
                <w:szCs w:val="13"/>
                <w:color w:val="auto"/>
              </w:rPr>
              <w:t>6.3</w:t>
            </w:r>
          </w:p>
        </w:tc>
        <w:tc>
          <w:tcPr>
            <w:tcW w:w="120" w:type="dxa"/>
            <w:vAlign w:val="bottom"/>
          </w:tcPr>
          <w:p>
            <w:pPr>
              <w:spacing w:after="0"/>
              <w:rPr>
                <w:sz w:val="13"/>
                <w:szCs w:val="13"/>
                <w:color w:val="auto"/>
              </w:rPr>
            </w:pPr>
          </w:p>
        </w:tc>
        <w:tc>
          <w:tcPr>
            <w:tcW w:w="660" w:type="dxa"/>
            <w:vAlign w:val="bottom"/>
            <w:gridSpan w:val="2"/>
          </w:tcPr>
          <w:p>
            <w:pPr>
              <w:jc w:val="right"/>
              <w:ind w:right="200"/>
              <w:spacing w:after="0"/>
              <w:rPr>
                <w:sz w:val="20"/>
                <w:szCs w:val="20"/>
                <w:color w:val="auto"/>
              </w:rPr>
            </w:pPr>
            <w:r>
              <w:rPr>
                <w:rFonts w:ascii="Arial" w:cs="Arial" w:eastAsia="Arial" w:hAnsi="Arial"/>
                <w:sz w:val="13"/>
                <w:szCs w:val="13"/>
                <w:color w:val="auto"/>
              </w:rPr>
              <w:t>386</w:t>
            </w:r>
          </w:p>
        </w:tc>
        <w:tc>
          <w:tcPr>
            <w:tcW w:w="580" w:type="dxa"/>
            <w:vAlign w:val="bottom"/>
            <w:gridSpan w:val="2"/>
          </w:tcPr>
          <w:p>
            <w:pPr>
              <w:jc w:val="right"/>
              <w:ind w:right="20"/>
              <w:spacing w:after="0"/>
              <w:rPr>
                <w:sz w:val="20"/>
                <w:szCs w:val="20"/>
                <w:color w:val="auto"/>
              </w:rPr>
            </w:pPr>
            <w:r>
              <w:rPr>
                <w:rFonts w:ascii="Arial" w:cs="Arial" w:eastAsia="Arial" w:hAnsi="Arial"/>
                <w:sz w:val="13"/>
                <w:szCs w:val="13"/>
                <w:color w:val="auto"/>
              </w:rPr>
              <w:t>5.4</w:t>
            </w:r>
          </w:p>
        </w:tc>
        <w:tc>
          <w:tcPr>
            <w:tcW w:w="100" w:type="dxa"/>
            <w:vAlign w:val="bottom"/>
          </w:tcPr>
          <w:p>
            <w:pPr>
              <w:spacing w:after="0"/>
              <w:rPr>
                <w:sz w:val="13"/>
                <w:szCs w:val="13"/>
                <w:color w:val="auto"/>
              </w:rPr>
            </w:pPr>
          </w:p>
        </w:tc>
      </w:tr>
      <w:tr>
        <w:trPr>
          <w:trHeight w:val="164"/>
        </w:trPr>
        <w:tc>
          <w:tcPr>
            <w:tcW w:w="3560" w:type="dxa"/>
            <w:vAlign w:val="bottom"/>
            <w:shd w:val="clear" w:color="auto" w:fill="CCEEFF"/>
          </w:tcPr>
          <w:p>
            <w:pPr>
              <w:spacing w:after="0"/>
              <w:rPr>
                <w:sz w:val="20"/>
                <w:szCs w:val="20"/>
                <w:color w:val="auto"/>
              </w:rPr>
            </w:pPr>
            <w:r>
              <w:rPr>
                <w:rFonts w:ascii="Arial" w:cs="Arial" w:eastAsia="Arial" w:hAnsi="Arial"/>
                <w:sz w:val="13"/>
                <w:szCs w:val="13"/>
                <w:color w:val="auto"/>
              </w:rPr>
              <w:t>Customers’ liabilities under acceptances</w:t>
            </w:r>
          </w:p>
        </w:tc>
        <w:tc>
          <w:tcPr>
            <w:tcW w:w="120" w:type="dxa"/>
            <w:vAlign w:val="bottom"/>
            <w:shd w:val="clear" w:color="auto" w:fill="CCEEFF"/>
          </w:tcPr>
          <w:p>
            <w:pPr>
              <w:spacing w:after="0"/>
              <w:rPr>
                <w:sz w:val="14"/>
                <w:szCs w:val="14"/>
                <w:color w:val="auto"/>
              </w:rPr>
            </w:pP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10</w:t>
            </w:r>
          </w:p>
        </w:tc>
        <w:tc>
          <w:tcPr>
            <w:tcW w:w="8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0.1</w:t>
            </w:r>
          </w:p>
        </w:tc>
        <w:tc>
          <w:tcPr>
            <w:tcW w:w="10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w:t>
            </w:r>
          </w:p>
        </w:tc>
        <w:tc>
          <w:tcPr>
            <w:tcW w:w="5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0.1</w:t>
            </w:r>
          </w:p>
        </w:tc>
        <w:tc>
          <w:tcPr>
            <w:tcW w:w="12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20</w:t>
            </w:r>
          </w:p>
        </w:tc>
        <w:tc>
          <w:tcPr>
            <w:tcW w:w="8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0.3</w:t>
            </w:r>
          </w:p>
        </w:tc>
        <w:tc>
          <w:tcPr>
            <w:tcW w:w="12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16</w:t>
            </w:r>
          </w:p>
        </w:tc>
        <w:tc>
          <w:tcPr>
            <w:tcW w:w="8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0.2</w:t>
            </w:r>
          </w:p>
        </w:tc>
        <w:tc>
          <w:tcPr>
            <w:tcW w:w="120" w:type="dxa"/>
            <w:vAlign w:val="bottom"/>
            <w:shd w:val="clear" w:color="auto" w:fill="CCEEFF"/>
          </w:tcPr>
          <w:p>
            <w:pPr>
              <w:spacing w:after="0"/>
              <w:rPr>
                <w:sz w:val="14"/>
                <w:szCs w:val="14"/>
                <w:color w:val="auto"/>
              </w:rPr>
            </w:pPr>
          </w:p>
        </w:tc>
        <w:tc>
          <w:tcPr>
            <w:tcW w:w="6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115</w:t>
            </w: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1.6</w:t>
            </w:r>
          </w:p>
        </w:tc>
        <w:tc>
          <w:tcPr>
            <w:tcW w:w="100" w:type="dxa"/>
            <w:vAlign w:val="bottom"/>
            <w:shd w:val="clear" w:color="auto" w:fill="CCEEFF"/>
          </w:tcPr>
          <w:p>
            <w:pPr>
              <w:spacing w:after="0"/>
              <w:rPr>
                <w:sz w:val="14"/>
                <w:szCs w:val="14"/>
                <w:color w:val="auto"/>
              </w:rPr>
            </w:pPr>
          </w:p>
        </w:tc>
      </w:tr>
      <w:tr>
        <w:trPr>
          <w:trHeight w:val="162"/>
        </w:trPr>
        <w:tc>
          <w:tcPr>
            <w:tcW w:w="3560" w:type="dxa"/>
            <w:vAlign w:val="bottom"/>
          </w:tcPr>
          <w:p>
            <w:pPr>
              <w:ind w:left="220"/>
              <w:spacing w:after="0" w:line="146" w:lineRule="exact"/>
              <w:rPr>
                <w:sz w:val="20"/>
                <w:szCs w:val="20"/>
                <w:color w:val="auto"/>
              </w:rPr>
            </w:pPr>
            <w:r>
              <w:rPr>
                <w:rFonts w:ascii="Arial" w:cs="Arial" w:eastAsia="Arial" w:hAnsi="Arial"/>
                <w:sz w:val="13"/>
                <w:szCs w:val="13"/>
                <w:b w:val="1"/>
                <w:bCs w:val="1"/>
                <w:color w:val="auto"/>
              </w:rPr>
              <w:t>Total</w:t>
            </w:r>
          </w:p>
        </w:tc>
        <w:tc>
          <w:tcPr>
            <w:tcW w:w="120" w:type="dxa"/>
            <w:vAlign w:val="bottom"/>
            <w:tcBorders>
              <w:top w:val="single" w:sz="8" w:color="auto"/>
              <w:bottom w:val="single" w:sz="8" w:color="auto"/>
            </w:tcBorders>
          </w:tcPr>
          <w:p>
            <w:pPr>
              <w:jc w:val="right"/>
              <w:ind w:right="12"/>
              <w:spacing w:after="0"/>
              <w:rPr>
                <w:sz w:val="20"/>
                <w:szCs w:val="20"/>
                <w:color w:val="auto"/>
              </w:rPr>
            </w:pPr>
            <w:r>
              <w:rPr>
                <w:rFonts w:ascii="Arial" w:cs="Arial" w:eastAsia="Arial" w:hAnsi="Arial"/>
                <w:sz w:val="10"/>
                <w:szCs w:val="10"/>
                <w:b w:val="1"/>
                <w:bCs w:val="1"/>
                <w:color w:val="auto"/>
                <w:w w:val="71"/>
              </w:rPr>
              <w:t>$</w:t>
            </w:r>
          </w:p>
        </w:tc>
        <w:tc>
          <w:tcPr>
            <w:tcW w:w="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6,290</w:t>
            </w:r>
          </w:p>
        </w:tc>
        <w:tc>
          <w:tcPr>
            <w:tcW w:w="220" w:type="dxa"/>
            <w:vAlign w:val="bottom"/>
          </w:tcPr>
          <w:p>
            <w:pPr>
              <w:spacing w:after="0"/>
              <w:rPr>
                <w:sz w:val="14"/>
                <w:szCs w:val="14"/>
                <w:color w:val="auto"/>
              </w:rPr>
            </w:pPr>
          </w:p>
        </w:tc>
        <w:tc>
          <w:tcPr>
            <w:tcW w:w="5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240" w:type="dxa"/>
            <w:vAlign w:val="bottom"/>
          </w:tcPr>
          <w:p>
            <w:pPr>
              <w:spacing w:after="0"/>
              <w:rPr>
                <w:sz w:val="14"/>
                <w:szCs w:val="14"/>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0"/>
                <w:szCs w:val="10"/>
                <w:b w:val="1"/>
                <w:bCs w:val="1"/>
                <w:color w:val="auto"/>
                <w:w w:val="71"/>
              </w:rPr>
              <w:t>$</w:t>
            </w:r>
          </w:p>
        </w:tc>
        <w:tc>
          <w:tcPr>
            <w:tcW w:w="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5,999</w:t>
            </w:r>
          </w:p>
        </w:tc>
        <w:tc>
          <w:tcPr>
            <w:tcW w:w="220" w:type="dxa"/>
            <w:vAlign w:val="bottom"/>
          </w:tcPr>
          <w:p>
            <w:pPr>
              <w:spacing w:after="0"/>
              <w:rPr>
                <w:sz w:val="14"/>
                <w:szCs w:val="14"/>
                <w:color w:val="auto"/>
              </w:rPr>
            </w:pPr>
          </w:p>
        </w:tc>
        <w:tc>
          <w:tcPr>
            <w:tcW w:w="5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1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0"/>
                <w:szCs w:val="10"/>
                <w:b w:val="1"/>
                <w:bCs w:val="1"/>
                <w:color w:val="auto"/>
                <w:w w:val="71"/>
              </w:rPr>
              <w:t>$</w:t>
            </w:r>
          </w:p>
        </w:tc>
        <w:tc>
          <w:tcPr>
            <w:tcW w:w="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6,444</w:t>
            </w:r>
          </w:p>
        </w:tc>
        <w:tc>
          <w:tcPr>
            <w:tcW w:w="220" w:type="dxa"/>
            <w:vAlign w:val="bottom"/>
          </w:tcPr>
          <w:p>
            <w:pPr>
              <w:spacing w:after="0"/>
              <w:rPr>
                <w:sz w:val="14"/>
                <w:szCs w:val="14"/>
                <w:color w:val="auto"/>
              </w:rPr>
            </w:pPr>
          </w:p>
        </w:tc>
        <w:tc>
          <w:tcPr>
            <w:tcW w:w="5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220" w:type="dxa"/>
            <w:vAlign w:val="bottom"/>
          </w:tcPr>
          <w:p>
            <w:pPr>
              <w:spacing w:after="0"/>
              <w:rPr>
                <w:sz w:val="14"/>
                <w:szCs w:val="14"/>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w w:val="82"/>
              </w:rPr>
              <w:t>$</w:t>
            </w:r>
          </w:p>
        </w:tc>
        <w:tc>
          <w:tcPr>
            <w:tcW w:w="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7,155</w:t>
            </w:r>
          </w:p>
        </w:tc>
        <w:tc>
          <w:tcPr>
            <w:tcW w:w="240" w:type="dxa"/>
            <w:vAlign w:val="bottom"/>
          </w:tcPr>
          <w:p>
            <w:pPr>
              <w:spacing w:after="0"/>
              <w:rPr>
                <w:sz w:val="14"/>
                <w:szCs w:val="14"/>
                <w:color w:val="auto"/>
              </w:rPr>
            </w:pPr>
          </w:p>
        </w:tc>
        <w:tc>
          <w:tcPr>
            <w:tcW w:w="5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220" w:type="dxa"/>
            <w:vAlign w:val="bottom"/>
          </w:tcPr>
          <w:p>
            <w:pPr>
              <w:spacing w:after="0"/>
              <w:rPr>
                <w:sz w:val="14"/>
                <w:szCs w:val="14"/>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w w:val="82"/>
              </w:rPr>
              <w:t>$</w:t>
            </w:r>
          </w:p>
        </w:tc>
        <w:tc>
          <w:tcPr>
            <w:tcW w:w="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7,187</w:t>
            </w:r>
          </w:p>
        </w:tc>
        <w:tc>
          <w:tcPr>
            <w:tcW w:w="200" w:type="dxa"/>
            <w:vAlign w:val="bottom"/>
          </w:tcPr>
          <w:p>
            <w:pPr>
              <w:spacing w:after="0"/>
              <w:rPr>
                <w:sz w:val="14"/>
                <w:szCs w:val="14"/>
                <w:color w:val="auto"/>
              </w:rPr>
            </w:pPr>
          </w:p>
        </w:tc>
        <w:tc>
          <w:tcPr>
            <w:tcW w:w="5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2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bl>
    <w:p>
      <w:pPr>
        <w:spacing w:after="0" w:line="145"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Loan Portfolio</w:t>
      </w:r>
    </w:p>
    <w:p>
      <w:pPr>
        <w:spacing w:after="0" w:line="159" w:lineRule="exact"/>
        <w:rPr>
          <w:sz w:val="20"/>
          <w:szCs w:val="20"/>
          <w:color w:val="auto"/>
        </w:rPr>
      </w:pPr>
    </w:p>
    <w:p>
      <w:pPr>
        <w:jc w:val="both"/>
        <w:spacing w:after="0" w:line="251" w:lineRule="auto"/>
        <w:rPr>
          <w:sz w:val="20"/>
          <w:szCs w:val="20"/>
          <w:color w:val="auto"/>
        </w:rPr>
      </w:pPr>
      <w:r>
        <w:rPr>
          <w:rFonts w:ascii="Arial" w:cs="Arial" w:eastAsia="Arial" w:hAnsi="Arial"/>
          <w:sz w:val="13"/>
          <w:szCs w:val="13"/>
          <w:color w:val="auto"/>
        </w:rPr>
        <w:t>As of December 31, 2018, the Bank’s Loan Portfolio totaled to $5,778 million, compared to $5,506 million as of December 31, 2017 and $6,021 million as of December 31, 2016. The $272 million, or 5%, Loan Portfolio increase during 2018 was mainly attributable to higher mid-term lending origination throughout 2018 as the Bank was able to deploy longer tenor transactions with our traditional client base of top quality financial institutions, exporting corporations and “multilatinas”, and continued to perform well on its short-term origination capacity. The $243 million, or 4%, decrease compared to December 31, 2016, was primarily related to the Bank’s decision in previous years to improve its Loan Portfolio risk profile by reducing unwanted exposures to certain countries, industries and clients. As of December 31, 2018, the Loan Portfolio had an average remaining maturity term of 323 days, and 73% of the Bank’s Loan Portfolio was scheduled to mature within one year, compared to an average remaining maturity of 282 days, or 80% maturing within one year as of December 31, 2017, and 279 days, or 76% maturing within one year as of December 31, 2016.</w:t>
      </w:r>
    </w:p>
    <w:p>
      <w:pPr>
        <w:spacing w:after="0" w:line="140" w:lineRule="exact"/>
        <w:rPr>
          <w:sz w:val="20"/>
          <w:szCs w:val="20"/>
          <w:color w:val="auto"/>
        </w:rPr>
      </w:pPr>
    </w:p>
    <w:p>
      <w:pPr>
        <w:jc w:val="both"/>
        <w:spacing w:after="0" w:line="249" w:lineRule="auto"/>
        <w:rPr>
          <w:sz w:val="20"/>
          <w:szCs w:val="20"/>
          <w:color w:val="auto"/>
        </w:rPr>
      </w:pPr>
      <w:r>
        <w:rPr>
          <w:rFonts w:ascii="Arial" w:cs="Arial" w:eastAsia="Arial" w:hAnsi="Arial"/>
          <w:sz w:val="13"/>
          <w:szCs w:val="13"/>
          <w:color w:val="auto"/>
        </w:rPr>
        <w:t>As of December 31, 2018, the Bank’s credit-impaired loans totaled $65 million (or 1.12% of the Loan Portfolio), compared to $59 million (or 1.07% of the Loan Portfolio) as of December 31, 2017 and $65 million (or 1.09% of the Loan Portfolio) as of December 31, 2016. Credit-impaired loans increased in 2018 mainly due to the net effect of (i) the classification of loans totaling $65 million as credit-impaired, $62 million of which corresponded to a loan in the Brazilian sugar sector that significantly deteriorated during 2018 due to worsening international sugar industry fundamentals which led to a substantial decrease in sugar prices to levels well below the worldwide marginal cost of production, combined with the risk involved in the borrower’s complex restructuring process; and (ii) finalized credit restructuring agreements and the sale of loans classified as credit-impaired, which led to loan derecognitions totaling $21 million and principal balance write-offs totaling $38 million. Including principal and accrued interest, total loan write-offs against individually allocated credit allowances amounted to $42 million in 2018. As of December 31, 2018, the $62 million credit-impaired loan in the Brazilian sugar sector discussed above accounted for 96% of the Bank’s total impaired loans classified as Stage 3 (under accounting standard IFRS 9) with individually assigned allowance for credit losses. The remainder of the Loan Portfolio performed well during 2018, evidenced by the 10% increase in loans classified as Stage 1 under IFRS 9, with credit conditions unchanged since origination. Moreover, loans classified as Stage 2 under IFRS 9, which represent loans with exposures whose credit conditions have deteriorated since origination, decreased by 39% in 2018.</w:t>
      </w:r>
    </w:p>
    <w:p>
      <w:pPr>
        <w:spacing w:after="0" w:line="293"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27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29" w:name="page30"/>
    <w:bookmarkEnd w:id="29"/>
    <w:tbl>
      <w:tblPr>
        <w:tblLayout w:type="fixed"/>
        <w:tblInd w:w="0" w:type="dxa"/>
        <w:tblCellMar>
          <w:top w:w="0" w:type="dxa"/>
          <w:left w:w="0" w:type="dxa"/>
          <w:bottom w:w="0" w:type="dxa"/>
          <w:right w:w="0" w:type="dxa"/>
        </w:tblCellMar>
      </w:tblPr>
      <w:tr>
        <w:trPr>
          <w:trHeight w:val="162"/>
        </w:trPr>
        <w:tc>
          <w:tcPr>
            <w:tcW w:w="2420" w:type="dxa"/>
            <w:vAlign w:val="bottom"/>
          </w:tcPr>
          <w:p>
            <w:pPr>
              <w:spacing w:after="0"/>
              <w:rPr>
                <w:sz w:val="20"/>
                <w:szCs w:val="20"/>
                <w:color w:val="auto"/>
              </w:rPr>
            </w:pPr>
            <w:r>
              <w:rPr>
                <w:rFonts w:ascii="Arial" w:cs="Arial" w:eastAsia="Arial" w:hAnsi="Arial"/>
                <w:sz w:val="13"/>
                <w:szCs w:val="13"/>
                <w:i w:val="1"/>
                <w:iCs w:val="1"/>
                <w:color w:val="auto"/>
              </w:rPr>
              <w:t>Loan Portfolio by Country</w:t>
            </w:r>
          </w:p>
        </w:tc>
        <w:tc>
          <w:tcPr>
            <w:tcW w:w="140" w:type="dxa"/>
            <w:vAlign w:val="bottom"/>
          </w:tcPr>
          <w:p>
            <w:pPr>
              <w:spacing w:after="0"/>
              <w:rPr>
                <w:sz w:val="14"/>
                <w:szCs w:val="14"/>
                <w:color w:val="auto"/>
              </w:rPr>
            </w:pPr>
          </w:p>
        </w:tc>
        <w:tc>
          <w:tcPr>
            <w:tcW w:w="54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7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5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70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5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5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7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5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660" w:type="dxa"/>
            <w:vAlign w:val="bottom"/>
          </w:tcPr>
          <w:p>
            <w:pPr>
              <w:spacing w:after="0"/>
              <w:rPr>
                <w:sz w:val="14"/>
                <w:szCs w:val="14"/>
                <w:color w:val="auto"/>
              </w:rPr>
            </w:pPr>
          </w:p>
        </w:tc>
        <w:tc>
          <w:tcPr>
            <w:tcW w:w="120" w:type="dxa"/>
            <w:vAlign w:val="bottom"/>
          </w:tcPr>
          <w:p>
            <w:pPr>
              <w:spacing w:after="0"/>
              <w:rPr>
                <w:sz w:val="14"/>
                <w:szCs w:val="14"/>
                <w:color w:val="auto"/>
              </w:rPr>
            </w:pPr>
          </w:p>
        </w:tc>
      </w:tr>
      <w:tr>
        <w:trPr>
          <w:trHeight w:val="308"/>
        </w:trPr>
        <w:tc>
          <w:tcPr>
            <w:tcW w:w="5920" w:type="dxa"/>
            <w:vAlign w:val="bottom"/>
            <w:gridSpan w:val="12"/>
          </w:tcPr>
          <w:p>
            <w:pPr>
              <w:spacing w:after="0"/>
              <w:rPr>
                <w:sz w:val="20"/>
                <w:szCs w:val="20"/>
                <w:color w:val="auto"/>
              </w:rPr>
            </w:pPr>
            <w:r>
              <w:rPr>
                <w:rFonts w:ascii="Arial" w:cs="Arial" w:eastAsia="Arial" w:hAnsi="Arial"/>
                <w:sz w:val="13"/>
                <w:szCs w:val="13"/>
                <w:color w:val="auto"/>
                <w:w w:val="92"/>
              </w:rPr>
              <w:t>The following table sets forth the distribution of the Bank’s Loan Portfolio by country risk at the dates indicated:</w:t>
            </w:r>
          </w:p>
        </w:tc>
        <w:tc>
          <w:tcPr>
            <w:tcW w:w="1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120" w:type="dxa"/>
            <w:vAlign w:val="bottom"/>
          </w:tcPr>
          <w:p>
            <w:pPr>
              <w:spacing w:after="0"/>
              <w:rPr>
                <w:sz w:val="24"/>
                <w:szCs w:val="24"/>
                <w:color w:val="auto"/>
              </w:rPr>
            </w:pPr>
          </w:p>
        </w:tc>
      </w:tr>
      <w:tr>
        <w:trPr>
          <w:trHeight w:val="318"/>
        </w:trPr>
        <w:tc>
          <w:tcPr>
            <w:tcW w:w="2420" w:type="dxa"/>
            <w:vAlign w:val="bottom"/>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740" w:type="dxa"/>
            <w:vAlign w:val="bottom"/>
            <w:tcBorders>
              <w:bottom w:val="single" w:sz="8" w:color="auto"/>
            </w:tcBorders>
            <w:gridSpan w:val="4"/>
          </w:tcPr>
          <w:p>
            <w:pPr>
              <w:jc w:val="right"/>
              <w:ind w:right="540"/>
              <w:spacing w:after="0"/>
              <w:rPr>
                <w:sz w:val="20"/>
                <w:szCs w:val="20"/>
                <w:color w:val="auto"/>
              </w:rPr>
            </w:pPr>
            <w:r>
              <w:rPr>
                <w:rFonts w:ascii="Arial" w:cs="Arial" w:eastAsia="Arial" w:hAnsi="Arial"/>
                <w:sz w:val="13"/>
                <w:szCs w:val="13"/>
                <w:b w:val="1"/>
                <w:bCs w:val="1"/>
                <w:color w:val="auto"/>
                <w:w w:val="97"/>
              </w:rPr>
              <w:t>As of December 31,</w:t>
            </w:r>
          </w:p>
        </w:tc>
        <w:tc>
          <w:tcPr>
            <w:tcW w:w="14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r>
      <w:tr>
        <w:trPr>
          <w:trHeight w:val="131"/>
        </w:trPr>
        <w:tc>
          <w:tcPr>
            <w:tcW w:w="24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0" w:type="dxa"/>
            <w:vAlign w:val="bottom"/>
            <w:gridSpan w:val="2"/>
          </w:tcPr>
          <w:p>
            <w:pPr>
              <w:jc w:val="center"/>
              <w:ind w:right="100"/>
              <w:spacing w:after="0" w:line="131" w:lineRule="exact"/>
              <w:rPr>
                <w:sz w:val="20"/>
                <w:szCs w:val="20"/>
                <w:color w:val="auto"/>
              </w:rPr>
            </w:pPr>
            <w:r>
              <w:rPr>
                <w:rFonts w:ascii="Arial" w:cs="Arial" w:eastAsia="Arial" w:hAnsi="Arial"/>
                <w:sz w:val="13"/>
                <w:szCs w:val="13"/>
                <w:b w:val="1"/>
                <w:bCs w:val="1"/>
                <w:color w:val="auto"/>
                <w:w w:val="94"/>
              </w:rPr>
              <w:t>% of</w:t>
            </w:r>
          </w:p>
        </w:tc>
        <w:tc>
          <w:tcPr>
            <w:tcW w:w="1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40" w:type="dxa"/>
            <w:vAlign w:val="bottom"/>
            <w:gridSpan w:val="2"/>
          </w:tcPr>
          <w:p>
            <w:pPr>
              <w:jc w:val="center"/>
              <w:ind w:right="40"/>
              <w:spacing w:after="0" w:line="131" w:lineRule="exact"/>
              <w:rPr>
                <w:sz w:val="20"/>
                <w:szCs w:val="20"/>
                <w:color w:val="auto"/>
              </w:rPr>
            </w:pPr>
            <w:r>
              <w:rPr>
                <w:rFonts w:ascii="Arial" w:cs="Arial" w:eastAsia="Arial" w:hAnsi="Arial"/>
                <w:sz w:val="13"/>
                <w:szCs w:val="13"/>
                <w:b w:val="1"/>
                <w:bCs w:val="1"/>
                <w:color w:val="auto"/>
                <w:w w:val="94"/>
              </w:rPr>
              <w:t>% of</w:t>
            </w:r>
          </w:p>
        </w:tc>
        <w:tc>
          <w:tcPr>
            <w:tcW w:w="1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920" w:type="dxa"/>
            <w:vAlign w:val="bottom"/>
            <w:gridSpan w:val="2"/>
          </w:tcPr>
          <w:p>
            <w:pPr>
              <w:jc w:val="center"/>
              <w:ind w:right="240"/>
              <w:spacing w:after="0" w:line="131" w:lineRule="exact"/>
              <w:rPr>
                <w:sz w:val="20"/>
                <w:szCs w:val="20"/>
                <w:color w:val="auto"/>
              </w:rPr>
            </w:pPr>
            <w:r>
              <w:rPr>
                <w:rFonts w:ascii="Arial" w:cs="Arial" w:eastAsia="Arial" w:hAnsi="Arial"/>
                <w:sz w:val="13"/>
                <w:szCs w:val="13"/>
                <w:b w:val="1"/>
                <w:bCs w:val="1"/>
                <w:color w:val="auto"/>
              </w:rPr>
              <w:t>% of</w:t>
            </w:r>
          </w:p>
        </w:tc>
        <w:tc>
          <w:tcPr>
            <w:tcW w:w="14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20" w:type="dxa"/>
            <w:vAlign w:val="bottom"/>
            <w:gridSpan w:val="2"/>
          </w:tcPr>
          <w:p>
            <w:pPr>
              <w:jc w:val="center"/>
              <w:ind w:right="220"/>
              <w:spacing w:after="0" w:line="131" w:lineRule="exact"/>
              <w:rPr>
                <w:sz w:val="20"/>
                <w:szCs w:val="20"/>
                <w:color w:val="auto"/>
              </w:rPr>
            </w:pPr>
            <w:r>
              <w:rPr>
                <w:rFonts w:ascii="Arial" w:cs="Arial" w:eastAsia="Arial" w:hAnsi="Arial"/>
                <w:sz w:val="13"/>
                <w:szCs w:val="13"/>
                <w:b w:val="1"/>
                <w:bCs w:val="1"/>
                <w:color w:val="auto"/>
                <w:w w:val="94"/>
              </w:rPr>
              <w:t>% of</w:t>
            </w:r>
          </w:p>
        </w:tc>
        <w:tc>
          <w:tcPr>
            <w:tcW w:w="14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jc w:val="center"/>
              <w:spacing w:after="0" w:line="131" w:lineRule="exact"/>
              <w:rPr>
                <w:sz w:val="20"/>
                <w:szCs w:val="20"/>
                <w:color w:val="auto"/>
              </w:rPr>
            </w:pPr>
            <w:r>
              <w:rPr>
                <w:rFonts w:ascii="Arial" w:cs="Arial" w:eastAsia="Arial" w:hAnsi="Arial"/>
                <w:sz w:val="13"/>
                <w:szCs w:val="13"/>
                <w:b w:val="1"/>
                <w:bCs w:val="1"/>
                <w:color w:val="auto"/>
                <w:w w:val="94"/>
              </w:rPr>
              <w:t>% of</w:t>
            </w:r>
          </w:p>
        </w:tc>
        <w:tc>
          <w:tcPr>
            <w:tcW w:w="120" w:type="dxa"/>
            <w:vAlign w:val="bottom"/>
          </w:tcPr>
          <w:p>
            <w:pPr>
              <w:spacing w:after="0"/>
              <w:rPr>
                <w:sz w:val="11"/>
                <w:szCs w:val="11"/>
                <w:color w:val="auto"/>
              </w:rPr>
            </w:pPr>
          </w:p>
        </w:tc>
      </w:tr>
      <w:tr>
        <w:trPr>
          <w:trHeight w:val="154"/>
        </w:trPr>
        <w:tc>
          <w:tcPr>
            <w:tcW w:w="24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5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gridSpan w:val="2"/>
          </w:tcPr>
          <w:p>
            <w:pPr>
              <w:jc w:val="center"/>
              <w:ind w:right="120"/>
              <w:spacing w:after="0"/>
              <w:rPr>
                <w:sz w:val="20"/>
                <w:szCs w:val="20"/>
                <w:color w:val="auto"/>
              </w:rPr>
            </w:pPr>
            <w:r>
              <w:rPr>
                <w:rFonts w:ascii="Arial" w:cs="Arial" w:eastAsia="Arial" w:hAnsi="Arial"/>
                <w:sz w:val="13"/>
                <w:szCs w:val="13"/>
                <w:b w:val="1"/>
                <w:bCs w:val="1"/>
                <w:color w:val="auto"/>
                <w:w w:val="89"/>
              </w:rPr>
              <w:t>Total</w:t>
            </w:r>
          </w:p>
        </w:tc>
        <w:tc>
          <w:tcPr>
            <w:tcW w:w="1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5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40" w:type="dxa"/>
            <w:vAlign w:val="bottom"/>
            <w:gridSpan w:val="2"/>
          </w:tcPr>
          <w:p>
            <w:pPr>
              <w:jc w:val="center"/>
              <w:ind w:right="20"/>
              <w:spacing w:after="0"/>
              <w:rPr>
                <w:sz w:val="20"/>
                <w:szCs w:val="20"/>
                <w:color w:val="auto"/>
              </w:rPr>
            </w:pPr>
            <w:r>
              <w:rPr>
                <w:rFonts w:ascii="Arial" w:cs="Arial" w:eastAsia="Arial" w:hAnsi="Arial"/>
                <w:sz w:val="13"/>
                <w:szCs w:val="13"/>
                <w:b w:val="1"/>
                <w:bCs w:val="1"/>
                <w:color w:val="auto"/>
                <w:w w:val="89"/>
              </w:rPr>
              <w:t>Total</w:t>
            </w:r>
          </w:p>
        </w:tc>
        <w:tc>
          <w:tcPr>
            <w:tcW w:w="1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5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9"/>
              </w:rPr>
              <w:t>Total</w:t>
            </w:r>
          </w:p>
        </w:tc>
        <w:tc>
          <w:tcPr>
            <w:tcW w:w="140" w:type="dxa"/>
            <w:vAlign w:val="bottom"/>
          </w:tcPr>
          <w:p>
            <w:pPr>
              <w:spacing w:after="0"/>
              <w:rPr>
                <w:sz w:val="13"/>
                <w:szCs w:val="13"/>
                <w:color w:val="auto"/>
              </w:rPr>
            </w:pPr>
          </w:p>
        </w:tc>
        <w:tc>
          <w:tcPr>
            <w:tcW w:w="5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9"/>
              </w:rPr>
              <w:t>Total</w:t>
            </w:r>
          </w:p>
        </w:tc>
        <w:tc>
          <w:tcPr>
            <w:tcW w:w="140" w:type="dxa"/>
            <w:vAlign w:val="bottom"/>
          </w:tcPr>
          <w:p>
            <w:pPr>
              <w:spacing w:after="0"/>
              <w:rPr>
                <w:sz w:val="13"/>
                <w:szCs w:val="13"/>
                <w:color w:val="auto"/>
              </w:rPr>
            </w:pPr>
          </w:p>
        </w:tc>
        <w:tc>
          <w:tcPr>
            <w:tcW w:w="5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80" w:type="dxa"/>
            <w:vAlign w:val="bottom"/>
            <w:gridSpan w:val="2"/>
          </w:tcPr>
          <w:p>
            <w:pPr>
              <w:jc w:val="center"/>
              <w:ind w:right="140"/>
              <w:spacing w:after="0"/>
              <w:rPr>
                <w:sz w:val="20"/>
                <w:szCs w:val="20"/>
                <w:color w:val="auto"/>
              </w:rPr>
            </w:pPr>
            <w:r>
              <w:rPr>
                <w:rFonts w:ascii="Arial" w:cs="Arial" w:eastAsia="Arial" w:hAnsi="Arial"/>
                <w:sz w:val="13"/>
                <w:szCs w:val="13"/>
                <w:b w:val="1"/>
                <w:bCs w:val="1"/>
                <w:color w:val="auto"/>
                <w:w w:val="89"/>
              </w:rPr>
              <w:t>Total</w:t>
            </w:r>
          </w:p>
        </w:tc>
      </w:tr>
      <w:tr>
        <w:trPr>
          <w:trHeight w:val="167"/>
        </w:trPr>
        <w:tc>
          <w:tcPr>
            <w:tcW w:w="24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540" w:type="dxa"/>
            <w:vAlign w:val="bottom"/>
          </w:tcPr>
          <w:p>
            <w:pPr>
              <w:jc w:val="right"/>
              <w:ind w:right="156"/>
              <w:spacing w:after="0"/>
              <w:rPr>
                <w:sz w:val="20"/>
                <w:szCs w:val="20"/>
                <w:color w:val="auto"/>
              </w:rPr>
            </w:pPr>
            <w:r>
              <w:rPr>
                <w:rFonts w:ascii="Arial" w:cs="Arial" w:eastAsia="Arial" w:hAnsi="Arial"/>
                <w:sz w:val="13"/>
                <w:szCs w:val="13"/>
                <w:b w:val="1"/>
                <w:bCs w:val="1"/>
                <w:color w:val="auto"/>
              </w:rPr>
              <w:t>2018</w:t>
            </w:r>
          </w:p>
        </w:tc>
        <w:tc>
          <w:tcPr>
            <w:tcW w:w="240" w:type="dxa"/>
            <w:vAlign w:val="bottom"/>
          </w:tcPr>
          <w:p>
            <w:pPr>
              <w:spacing w:after="0"/>
              <w:rPr>
                <w:sz w:val="14"/>
                <w:szCs w:val="14"/>
                <w:color w:val="auto"/>
              </w:rPr>
            </w:pPr>
          </w:p>
        </w:tc>
        <w:tc>
          <w:tcPr>
            <w:tcW w:w="80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8"/>
              </w:rPr>
              <w:t>Loans</w:t>
            </w:r>
          </w:p>
        </w:tc>
        <w:tc>
          <w:tcPr>
            <w:tcW w:w="1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560" w:type="dxa"/>
            <w:vAlign w:val="bottom"/>
          </w:tcPr>
          <w:p>
            <w:pPr>
              <w:jc w:val="right"/>
              <w:ind w:right="156"/>
              <w:spacing w:after="0"/>
              <w:rPr>
                <w:sz w:val="20"/>
                <w:szCs w:val="20"/>
                <w:color w:val="auto"/>
              </w:rPr>
            </w:pPr>
            <w:r>
              <w:rPr>
                <w:rFonts w:ascii="Arial" w:cs="Arial" w:eastAsia="Arial" w:hAnsi="Arial"/>
                <w:sz w:val="13"/>
                <w:szCs w:val="13"/>
                <w:b w:val="1"/>
                <w:bCs w:val="1"/>
                <w:color w:val="auto"/>
              </w:rPr>
              <w:t>2017</w:t>
            </w:r>
          </w:p>
        </w:tc>
        <w:tc>
          <w:tcPr>
            <w:tcW w:w="220" w:type="dxa"/>
            <w:vAlign w:val="bottom"/>
          </w:tcPr>
          <w:p>
            <w:pPr>
              <w:spacing w:after="0"/>
              <w:rPr>
                <w:sz w:val="14"/>
                <w:szCs w:val="14"/>
                <w:color w:val="auto"/>
              </w:rPr>
            </w:pPr>
          </w:p>
        </w:tc>
        <w:tc>
          <w:tcPr>
            <w:tcW w:w="740" w:type="dxa"/>
            <w:vAlign w:val="bottom"/>
            <w:gridSpan w:val="2"/>
          </w:tcPr>
          <w:p>
            <w:pPr>
              <w:jc w:val="center"/>
              <w:ind w:right="40"/>
              <w:spacing w:after="0"/>
              <w:rPr>
                <w:sz w:val="20"/>
                <w:szCs w:val="20"/>
                <w:color w:val="auto"/>
              </w:rPr>
            </w:pPr>
            <w:r>
              <w:rPr>
                <w:rFonts w:ascii="Arial" w:cs="Arial" w:eastAsia="Arial" w:hAnsi="Arial"/>
                <w:sz w:val="13"/>
                <w:szCs w:val="13"/>
                <w:b w:val="1"/>
                <w:bCs w:val="1"/>
                <w:color w:val="auto"/>
                <w:w w:val="88"/>
              </w:rPr>
              <w:t>Loans</w:t>
            </w:r>
          </w:p>
        </w:tc>
        <w:tc>
          <w:tcPr>
            <w:tcW w:w="1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580" w:type="dxa"/>
            <w:vAlign w:val="bottom"/>
          </w:tcPr>
          <w:p>
            <w:pPr>
              <w:jc w:val="right"/>
              <w:ind w:right="156"/>
              <w:spacing w:after="0"/>
              <w:rPr>
                <w:sz w:val="20"/>
                <w:szCs w:val="20"/>
                <w:color w:val="auto"/>
              </w:rPr>
            </w:pPr>
            <w:r>
              <w:rPr>
                <w:rFonts w:ascii="Arial" w:cs="Arial" w:eastAsia="Arial" w:hAnsi="Arial"/>
                <w:sz w:val="13"/>
                <w:szCs w:val="13"/>
                <w:b w:val="1"/>
                <w:bCs w:val="1"/>
                <w:color w:val="auto"/>
              </w:rPr>
              <w:t>2016</w:t>
            </w:r>
          </w:p>
        </w:tc>
        <w:tc>
          <w:tcPr>
            <w:tcW w:w="240" w:type="dxa"/>
            <w:vAlign w:val="bottom"/>
          </w:tcPr>
          <w:p>
            <w:pPr>
              <w:spacing w:after="0"/>
              <w:rPr>
                <w:sz w:val="14"/>
                <w:szCs w:val="14"/>
                <w:color w:val="auto"/>
              </w:rPr>
            </w:pPr>
          </w:p>
        </w:tc>
        <w:tc>
          <w:tcPr>
            <w:tcW w:w="9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3"/>
              </w:rPr>
              <w:t>Loans</w:t>
            </w:r>
          </w:p>
        </w:tc>
        <w:tc>
          <w:tcPr>
            <w:tcW w:w="140" w:type="dxa"/>
            <w:vAlign w:val="bottom"/>
          </w:tcPr>
          <w:p>
            <w:pPr>
              <w:spacing w:after="0"/>
              <w:rPr>
                <w:sz w:val="14"/>
                <w:szCs w:val="14"/>
                <w:color w:val="auto"/>
              </w:rPr>
            </w:pPr>
          </w:p>
        </w:tc>
        <w:tc>
          <w:tcPr>
            <w:tcW w:w="560" w:type="dxa"/>
            <w:vAlign w:val="bottom"/>
          </w:tcPr>
          <w:p>
            <w:pPr>
              <w:jc w:val="right"/>
              <w:ind w:right="156"/>
              <w:spacing w:after="0"/>
              <w:rPr>
                <w:sz w:val="20"/>
                <w:szCs w:val="20"/>
                <w:color w:val="auto"/>
              </w:rPr>
            </w:pPr>
            <w:r>
              <w:rPr>
                <w:rFonts w:ascii="Arial" w:cs="Arial" w:eastAsia="Arial" w:hAnsi="Arial"/>
                <w:sz w:val="13"/>
                <w:szCs w:val="13"/>
                <w:b w:val="1"/>
                <w:bCs w:val="1"/>
                <w:color w:val="auto"/>
              </w:rPr>
              <w:t>2015</w:t>
            </w:r>
          </w:p>
        </w:tc>
        <w:tc>
          <w:tcPr>
            <w:tcW w:w="220" w:type="dxa"/>
            <w:vAlign w:val="bottom"/>
          </w:tcPr>
          <w:p>
            <w:pPr>
              <w:spacing w:after="0"/>
              <w:rPr>
                <w:sz w:val="14"/>
                <w:szCs w:val="14"/>
                <w:color w:val="auto"/>
              </w:rPr>
            </w:pPr>
          </w:p>
        </w:tc>
        <w:tc>
          <w:tcPr>
            <w:tcW w:w="9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8"/>
              </w:rPr>
              <w:t>Loans</w:t>
            </w:r>
          </w:p>
        </w:tc>
        <w:tc>
          <w:tcPr>
            <w:tcW w:w="140" w:type="dxa"/>
            <w:vAlign w:val="bottom"/>
          </w:tcPr>
          <w:p>
            <w:pPr>
              <w:spacing w:after="0"/>
              <w:rPr>
                <w:sz w:val="14"/>
                <w:szCs w:val="14"/>
                <w:color w:val="auto"/>
              </w:rPr>
            </w:pPr>
          </w:p>
        </w:tc>
        <w:tc>
          <w:tcPr>
            <w:tcW w:w="540" w:type="dxa"/>
            <w:vAlign w:val="bottom"/>
          </w:tcPr>
          <w:p>
            <w:pPr>
              <w:jc w:val="right"/>
              <w:ind w:right="136"/>
              <w:spacing w:after="0"/>
              <w:rPr>
                <w:sz w:val="20"/>
                <w:szCs w:val="20"/>
                <w:color w:val="auto"/>
              </w:rPr>
            </w:pPr>
            <w:r>
              <w:rPr>
                <w:rFonts w:ascii="Arial" w:cs="Arial" w:eastAsia="Arial" w:hAnsi="Arial"/>
                <w:sz w:val="13"/>
                <w:szCs w:val="13"/>
                <w:b w:val="1"/>
                <w:bCs w:val="1"/>
                <w:color w:val="auto"/>
              </w:rPr>
              <w:t>2014</w:t>
            </w:r>
          </w:p>
        </w:tc>
        <w:tc>
          <w:tcPr>
            <w:tcW w:w="220" w:type="dxa"/>
            <w:vAlign w:val="bottom"/>
          </w:tcPr>
          <w:p>
            <w:pPr>
              <w:spacing w:after="0"/>
              <w:rPr>
                <w:sz w:val="14"/>
                <w:szCs w:val="14"/>
                <w:color w:val="auto"/>
              </w:rPr>
            </w:pPr>
          </w:p>
        </w:tc>
        <w:tc>
          <w:tcPr>
            <w:tcW w:w="780" w:type="dxa"/>
            <w:vAlign w:val="bottom"/>
            <w:gridSpan w:val="2"/>
          </w:tcPr>
          <w:p>
            <w:pPr>
              <w:jc w:val="center"/>
              <w:ind w:right="120"/>
              <w:spacing w:after="0"/>
              <w:rPr>
                <w:sz w:val="20"/>
                <w:szCs w:val="20"/>
                <w:color w:val="auto"/>
              </w:rPr>
            </w:pPr>
            <w:r>
              <w:rPr>
                <w:rFonts w:ascii="Arial" w:cs="Arial" w:eastAsia="Arial" w:hAnsi="Arial"/>
                <w:sz w:val="13"/>
                <w:szCs w:val="13"/>
                <w:b w:val="1"/>
                <w:bCs w:val="1"/>
                <w:color w:val="auto"/>
                <w:w w:val="88"/>
              </w:rPr>
              <w:t>Loans</w:t>
            </w:r>
          </w:p>
        </w:tc>
      </w:tr>
      <w:tr>
        <w:trPr>
          <w:trHeight w:val="144"/>
        </w:trPr>
        <w:tc>
          <w:tcPr>
            <w:tcW w:w="242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560" w:type="dxa"/>
            <w:vAlign w:val="bottom"/>
            <w:tcBorders>
              <w:top w:val="single" w:sz="8" w:color="auto"/>
            </w:tcBorders>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40" w:type="dxa"/>
            <w:vAlign w:val="bottom"/>
            <w:tcBorders>
              <w:top w:val="single" w:sz="8" w:color="auto"/>
            </w:tcBorders>
          </w:tcPr>
          <w:p>
            <w:pPr>
              <w:spacing w:after="0"/>
              <w:rPr>
                <w:sz w:val="12"/>
                <w:szCs w:val="12"/>
                <w:color w:val="auto"/>
              </w:rPr>
            </w:pPr>
          </w:p>
        </w:tc>
        <w:tc>
          <w:tcPr>
            <w:tcW w:w="300" w:type="dxa"/>
            <w:vAlign w:val="bottom"/>
            <w:tcBorders>
              <w:top w:val="single" w:sz="8" w:color="auto"/>
            </w:tcBorders>
            <w:gridSpan w:val="2"/>
          </w:tcPr>
          <w:p>
            <w:pPr>
              <w:jc w:val="right"/>
              <w:spacing w:after="0" w:line="144" w:lineRule="exact"/>
              <w:rPr>
                <w:sz w:val="20"/>
                <w:szCs w:val="20"/>
                <w:color w:val="auto"/>
              </w:rPr>
            </w:pPr>
            <w:r>
              <w:rPr>
                <w:rFonts w:ascii="Arial" w:cs="Arial" w:eastAsia="Arial" w:hAnsi="Arial"/>
                <w:sz w:val="13"/>
                <w:szCs w:val="13"/>
                <w:b w:val="1"/>
                <w:bCs w:val="1"/>
                <w:color w:val="auto"/>
              </w:rPr>
              <w:t>(in $</w:t>
            </w:r>
          </w:p>
        </w:tc>
        <w:tc>
          <w:tcPr>
            <w:tcW w:w="1740" w:type="dxa"/>
            <w:vAlign w:val="bottom"/>
            <w:tcBorders>
              <w:top w:val="single" w:sz="8" w:color="auto"/>
            </w:tcBorders>
            <w:gridSpan w:val="4"/>
          </w:tcPr>
          <w:p>
            <w:pPr>
              <w:jc w:val="right"/>
              <w:ind w:right="140"/>
              <w:spacing w:after="0" w:line="144" w:lineRule="exact"/>
              <w:rPr>
                <w:sz w:val="20"/>
                <w:szCs w:val="20"/>
                <w:color w:val="auto"/>
              </w:rPr>
            </w:pPr>
            <w:r>
              <w:rPr>
                <w:rFonts w:ascii="Arial" w:cs="Arial" w:eastAsia="Arial" w:hAnsi="Arial"/>
                <w:sz w:val="13"/>
                <w:szCs w:val="13"/>
                <w:b w:val="1"/>
                <w:bCs w:val="1"/>
                <w:color w:val="auto"/>
                <w:w w:val="86"/>
              </w:rPr>
              <w:t>millions, except percentages)</w:t>
            </w:r>
          </w:p>
        </w:tc>
        <w:tc>
          <w:tcPr>
            <w:tcW w:w="140" w:type="dxa"/>
            <w:vAlign w:val="bottom"/>
            <w:tcBorders>
              <w:top w:val="single" w:sz="8" w:color="auto"/>
            </w:tcBorders>
          </w:tcPr>
          <w:p>
            <w:pPr>
              <w:spacing w:after="0"/>
              <w:rPr>
                <w:sz w:val="12"/>
                <w:szCs w:val="12"/>
                <w:color w:val="auto"/>
              </w:rPr>
            </w:pPr>
          </w:p>
        </w:tc>
        <w:tc>
          <w:tcPr>
            <w:tcW w:w="560" w:type="dxa"/>
            <w:vAlign w:val="bottom"/>
            <w:tcBorders>
              <w:top w:val="single" w:sz="8" w:color="auto"/>
            </w:tcBorders>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2420" w:type="dxa"/>
            <w:vAlign w:val="bottom"/>
            <w:shd w:val="clear" w:color="auto" w:fill="CCEEFF"/>
          </w:tcPr>
          <w:p>
            <w:pPr>
              <w:spacing w:after="0"/>
              <w:rPr>
                <w:sz w:val="20"/>
                <w:szCs w:val="20"/>
                <w:color w:val="auto"/>
              </w:rPr>
            </w:pPr>
            <w:r>
              <w:rPr>
                <w:rFonts w:ascii="Arial" w:cs="Arial" w:eastAsia="Arial" w:hAnsi="Arial"/>
                <w:sz w:val="13"/>
                <w:szCs w:val="13"/>
                <w:color w:val="auto"/>
              </w:rPr>
              <w:t>Argentina</w:t>
            </w:r>
          </w:p>
        </w:tc>
        <w:tc>
          <w:tcPr>
            <w:tcW w:w="140" w:type="dxa"/>
            <w:vAlign w:val="bottom"/>
            <w:shd w:val="clear" w:color="auto" w:fill="CCEEFF"/>
          </w:tcPr>
          <w:p>
            <w:pPr>
              <w:spacing w:after="0"/>
              <w:rPr>
                <w:sz w:val="13"/>
                <w:szCs w:val="13"/>
                <w:color w:val="auto"/>
              </w:rPr>
            </w:pPr>
          </w:p>
        </w:tc>
        <w:tc>
          <w:tcPr>
            <w:tcW w:w="7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604</w:t>
            </w:r>
          </w:p>
        </w:tc>
        <w:tc>
          <w:tcPr>
            <w:tcW w:w="8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10.5</w:t>
            </w:r>
          </w:p>
        </w:tc>
        <w:tc>
          <w:tcPr>
            <w:tcW w:w="260" w:type="dxa"/>
            <w:vAlign w:val="bottom"/>
            <w:gridSpan w:val="2"/>
            <w:shd w:val="clear" w:color="auto" w:fill="CCEEFF"/>
          </w:tcPr>
          <w:p>
            <w:pPr>
              <w:jc w:val="right"/>
              <w:ind w:right="32"/>
              <w:spacing w:after="0"/>
              <w:rPr>
                <w:sz w:val="20"/>
                <w:szCs w:val="20"/>
                <w:color w:val="auto"/>
              </w:rPr>
            </w:pPr>
            <w:r>
              <w:rPr>
                <w:rFonts w:ascii="Arial" w:cs="Arial" w:eastAsia="Arial" w:hAnsi="Arial"/>
                <w:sz w:val="13"/>
                <w:szCs w:val="13"/>
                <w:color w:val="auto"/>
              </w:rPr>
              <w:t>$</w:t>
            </w: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295</w:t>
            </w:r>
          </w:p>
        </w:tc>
        <w:tc>
          <w:tcPr>
            <w:tcW w:w="74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5.3</w:t>
            </w:r>
          </w:p>
        </w:tc>
        <w:tc>
          <w:tcPr>
            <w:tcW w:w="30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8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325</w:t>
            </w:r>
          </w:p>
        </w:tc>
        <w:tc>
          <w:tcPr>
            <w:tcW w:w="9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5.4</w:t>
            </w:r>
          </w:p>
        </w:tc>
        <w:tc>
          <w:tcPr>
            <w:tcW w:w="140" w:type="dxa"/>
            <w:vAlign w:val="bottom"/>
            <w:shd w:val="clear" w:color="auto" w:fill="CCEEFF"/>
          </w:tcPr>
          <w:p>
            <w:pPr>
              <w:jc w:val="right"/>
              <w:ind w:right="32"/>
              <w:spacing w:after="0"/>
              <w:rPr>
                <w:sz w:val="20"/>
                <w:szCs w:val="20"/>
                <w:color w:val="auto"/>
              </w:rPr>
            </w:pPr>
            <w:r>
              <w:rPr>
                <w:rFonts w:ascii="Arial" w:cs="Arial" w:eastAsia="Arial" w:hAnsi="Arial"/>
                <w:sz w:val="10"/>
                <w:szCs w:val="10"/>
                <w:color w:val="auto"/>
                <w:w w:val="71"/>
              </w:rPr>
              <w:t>$</w:t>
            </w: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142</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2.1</w:t>
            </w:r>
          </w:p>
        </w:tc>
        <w:tc>
          <w:tcPr>
            <w:tcW w:w="140" w:type="dxa"/>
            <w:vAlign w:val="bottom"/>
            <w:shd w:val="clear" w:color="auto" w:fill="CCEEFF"/>
          </w:tcPr>
          <w:p>
            <w:pPr>
              <w:jc w:val="right"/>
              <w:ind w:right="32"/>
              <w:spacing w:after="0"/>
              <w:rPr>
                <w:sz w:val="20"/>
                <w:szCs w:val="20"/>
                <w:color w:val="auto"/>
              </w:rPr>
            </w:pPr>
            <w:r>
              <w:rPr>
                <w:rFonts w:ascii="Arial" w:cs="Arial" w:eastAsia="Arial" w:hAnsi="Arial"/>
                <w:sz w:val="10"/>
                <w:szCs w:val="10"/>
                <w:color w:val="auto"/>
                <w:w w:val="71"/>
              </w:rPr>
              <w:t>$</w:t>
            </w: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185</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2.8</w:t>
            </w:r>
          </w:p>
        </w:tc>
      </w:tr>
      <w:tr>
        <w:trPr>
          <w:trHeight w:val="154"/>
        </w:trPr>
        <w:tc>
          <w:tcPr>
            <w:tcW w:w="2420" w:type="dxa"/>
            <w:vAlign w:val="bottom"/>
          </w:tcPr>
          <w:p>
            <w:pPr>
              <w:spacing w:after="0"/>
              <w:rPr>
                <w:sz w:val="20"/>
                <w:szCs w:val="20"/>
                <w:color w:val="auto"/>
              </w:rPr>
            </w:pPr>
            <w:r>
              <w:rPr>
                <w:rFonts w:ascii="Arial" w:cs="Arial" w:eastAsia="Arial" w:hAnsi="Arial"/>
                <w:sz w:val="13"/>
                <w:szCs w:val="13"/>
                <w:color w:val="auto"/>
              </w:rPr>
              <w:t>Belgium</w:t>
            </w:r>
          </w:p>
        </w:tc>
        <w:tc>
          <w:tcPr>
            <w:tcW w:w="140" w:type="dxa"/>
            <w:vAlign w:val="bottom"/>
          </w:tcPr>
          <w:p>
            <w:pPr>
              <w:spacing w:after="0"/>
              <w:rPr>
                <w:sz w:val="13"/>
                <w:szCs w:val="13"/>
                <w:color w:val="auto"/>
              </w:rPr>
            </w:pPr>
          </w:p>
        </w:tc>
        <w:tc>
          <w:tcPr>
            <w:tcW w:w="780" w:type="dxa"/>
            <w:vAlign w:val="bottom"/>
            <w:gridSpan w:val="2"/>
          </w:tcPr>
          <w:p>
            <w:pPr>
              <w:jc w:val="right"/>
              <w:ind w:right="240"/>
              <w:spacing w:after="0"/>
              <w:rPr>
                <w:sz w:val="20"/>
                <w:szCs w:val="20"/>
                <w:color w:val="auto"/>
              </w:rPr>
            </w:pPr>
            <w:r>
              <w:rPr>
                <w:rFonts w:ascii="Arial" w:cs="Arial" w:eastAsia="Arial" w:hAnsi="Arial"/>
                <w:sz w:val="13"/>
                <w:szCs w:val="13"/>
                <w:color w:val="auto"/>
              </w:rPr>
              <w:t>13</w:t>
            </w:r>
          </w:p>
        </w:tc>
        <w:tc>
          <w:tcPr>
            <w:tcW w:w="700" w:type="dxa"/>
            <w:vAlign w:val="bottom"/>
          </w:tcPr>
          <w:p>
            <w:pPr>
              <w:jc w:val="right"/>
              <w:spacing w:after="0"/>
              <w:rPr>
                <w:sz w:val="20"/>
                <w:szCs w:val="20"/>
                <w:color w:val="auto"/>
              </w:rPr>
            </w:pPr>
            <w:r>
              <w:rPr>
                <w:rFonts w:ascii="Arial" w:cs="Arial" w:eastAsia="Arial" w:hAnsi="Arial"/>
                <w:sz w:val="13"/>
                <w:szCs w:val="13"/>
                <w:color w:val="auto"/>
              </w:rPr>
              <w:t>0.2</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3"/>
                <w:szCs w:val="13"/>
                <w:color w:val="auto"/>
              </w:rPr>
              <w:t>11</w:t>
            </w:r>
          </w:p>
        </w:tc>
        <w:tc>
          <w:tcPr>
            <w:tcW w:w="740" w:type="dxa"/>
            <w:vAlign w:val="bottom"/>
            <w:gridSpan w:val="2"/>
          </w:tcPr>
          <w:p>
            <w:pPr>
              <w:jc w:val="right"/>
              <w:ind w:right="40"/>
              <w:spacing w:after="0"/>
              <w:rPr>
                <w:sz w:val="20"/>
                <w:szCs w:val="20"/>
                <w:color w:val="auto"/>
              </w:rPr>
            </w:pPr>
            <w:r>
              <w:rPr>
                <w:rFonts w:ascii="Arial" w:cs="Arial" w:eastAsia="Arial" w:hAnsi="Arial"/>
                <w:sz w:val="13"/>
                <w:szCs w:val="13"/>
                <w:color w:val="auto"/>
              </w:rPr>
              <w:t>0.2</w:t>
            </w:r>
          </w:p>
        </w:tc>
        <w:tc>
          <w:tcPr>
            <w:tcW w:w="1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20" w:type="dxa"/>
            <w:vAlign w:val="bottom"/>
            <w:gridSpan w:val="2"/>
          </w:tcPr>
          <w:p>
            <w:pPr>
              <w:jc w:val="right"/>
              <w:ind w:right="240"/>
              <w:spacing w:after="0"/>
              <w:rPr>
                <w:sz w:val="20"/>
                <w:szCs w:val="20"/>
                <w:color w:val="auto"/>
              </w:rPr>
            </w:pPr>
            <w:r>
              <w:rPr>
                <w:rFonts w:ascii="Arial" w:cs="Arial" w:eastAsia="Arial" w:hAnsi="Arial"/>
                <w:sz w:val="13"/>
                <w:szCs w:val="13"/>
                <w:color w:val="auto"/>
              </w:rPr>
              <w:t>4</w:t>
            </w:r>
          </w:p>
        </w:tc>
        <w:tc>
          <w:tcPr>
            <w:tcW w:w="920" w:type="dxa"/>
            <w:vAlign w:val="bottom"/>
            <w:gridSpan w:val="2"/>
          </w:tcPr>
          <w:p>
            <w:pPr>
              <w:jc w:val="right"/>
              <w:ind w:right="240"/>
              <w:spacing w:after="0"/>
              <w:rPr>
                <w:sz w:val="20"/>
                <w:szCs w:val="20"/>
                <w:color w:val="auto"/>
              </w:rPr>
            </w:pPr>
            <w:r>
              <w:rPr>
                <w:rFonts w:ascii="Arial" w:cs="Arial" w:eastAsia="Arial" w:hAnsi="Arial"/>
                <w:sz w:val="13"/>
                <w:szCs w:val="13"/>
                <w:color w:val="auto"/>
              </w:rPr>
              <w:t>0.1</w:t>
            </w:r>
          </w:p>
        </w:tc>
        <w:tc>
          <w:tcPr>
            <w:tcW w:w="140" w:type="dxa"/>
            <w:vAlign w:val="bottom"/>
          </w:tcPr>
          <w:p>
            <w:pPr>
              <w:spacing w:after="0"/>
              <w:rPr>
                <w:sz w:val="13"/>
                <w:szCs w:val="13"/>
                <w:color w:val="auto"/>
              </w:rPr>
            </w:pPr>
          </w:p>
        </w:tc>
        <w:tc>
          <w:tcPr>
            <w:tcW w:w="560" w:type="dxa"/>
            <w:vAlign w:val="bottom"/>
          </w:tcPr>
          <w:p>
            <w:pPr>
              <w:jc w:val="right"/>
              <w:spacing w:after="0"/>
              <w:rPr>
                <w:sz w:val="20"/>
                <w:szCs w:val="20"/>
                <w:color w:val="auto"/>
              </w:rPr>
            </w:pPr>
            <w:r>
              <w:rPr>
                <w:rFonts w:ascii="Arial" w:cs="Arial" w:eastAsia="Arial" w:hAnsi="Arial"/>
                <w:sz w:val="13"/>
                <w:szCs w:val="13"/>
                <w:color w:val="auto"/>
              </w:rPr>
              <w:t>13</w:t>
            </w:r>
          </w:p>
        </w:tc>
        <w:tc>
          <w:tcPr>
            <w:tcW w:w="220" w:type="dxa"/>
            <w:vAlign w:val="bottom"/>
          </w:tcPr>
          <w:p>
            <w:pPr>
              <w:spacing w:after="0"/>
              <w:rPr>
                <w:sz w:val="13"/>
                <w:szCs w:val="13"/>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0.2</w:t>
            </w:r>
          </w:p>
        </w:tc>
        <w:tc>
          <w:tcPr>
            <w:tcW w:w="140" w:type="dxa"/>
            <w:vAlign w:val="bottom"/>
          </w:tcPr>
          <w:p>
            <w:pPr>
              <w:spacing w:after="0"/>
              <w:rPr>
                <w:sz w:val="13"/>
                <w:szCs w:val="13"/>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780" w:type="dxa"/>
            <w:vAlign w:val="bottom"/>
            <w:gridSpan w:val="2"/>
          </w:tcPr>
          <w:p>
            <w:pPr>
              <w:jc w:val="right"/>
              <w:ind w:right="120"/>
              <w:spacing w:after="0"/>
              <w:rPr>
                <w:sz w:val="20"/>
                <w:szCs w:val="20"/>
                <w:color w:val="auto"/>
              </w:rPr>
            </w:pPr>
            <w:r>
              <w:rPr>
                <w:rFonts w:ascii="Arial" w:cs="Arial" w:eastAsia="Arial" w:hAnsi="Arial"/>
                <w:sz w:val="13"/>
                <w:szCs w:val="13"/>
                <w:color w:val="auto"/>
              </w:rPr>
              <w:t>0.0</w:t>
            </w:r>
          </w:p>
        </w:tc>
      </w:tr>
      <w:tr>
        <w:trPr>
          <w:trHeight w:val="154"/>
        </w:trPr>
        <w:tc>
          <w:tcPr>
            <w:tcW w:w="2420" w:type="dxa"/>
            <w:vAlign w:val="bottom"/>
            <w:shd w:val="clear" w:color="auto" w:fill="CCEEFF"/>
          </w:tcPr>
          <w:p>
            <w:pPr>
              <w:spacing w:after="0"/>
              <w:rPr>
                <w:sz w:val="20"/>
                <w:szCs w:val="20"/>
                <w:color w:val="auto"/>
              </w:rPr>
            </w:pPr>
            <w:r>
              <w:rPr>
                <w:rFonts w:ascii="Arial" w:cs="Arial" w:eastAsia="Arial" w:hAnsi="Arial"/>
                <w:sz w:val="13"/>
                <w:szCs w:val="13"/>
                <w:color w:val="auto"/>
              </w:rPr>
              <w:t>Bermuda</w:t>
            </w:r>
          </w:p>
        </w:tc>
        <w:tc>
          <w:tcPr>
            <w:tcW w:w="140" w:type="dxa"/>
            <w:vAlign w:val="bottom"/>
            <w:shd w:val="clear" w:color="auto" w:fill="CCEEFF"/>
          </w:tcPr>
          <w:p>
            <w:pPr>
              <w:spacing w:after="0"/>
              <w:rPr>
                <w:sz w:val="13"/>
                <w:szCs w:val="13"/>
                <w:color w:val="auto"/>
              </w:rPr>
            </w:pPr>
          </w:p>
        </w:tc>
        <w:tc>
          <w:tcPr>
            <w:tcW w:w="7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0</w:t>
            </w: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74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0.0</w:t>
            </w:r>
          </w:p>
        </w:tc>
        <w:tc>
          <w:tcPr>
            <w:tcW w:w="1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8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0</w:t>
            </w:r>
          </w:p>
        </w:tc>
        <w:tc>
          <w:tcPr>
            <w:tcW w:w="9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0.0</w:t>
            </w:r>
          </w:p>
        </w:tc>
        <w:tc>
          <w:tcPr>
            <w:tcW w:w="140" w:type="dxa"/>
            <w:vAlign w:val="bottom"/>
            <w:shd w:val="clear" w:color="auto" w:fill="CCEEFF"/>
          </w:tcPr>
          <w:p>
            <w:pPr>
              <w:spacing w:after="0"/>
              <w:rPr>
                <w:sz w:val="13"/>
                <w:szCs w:val="13"/>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20</w:t>
            </w:r>
          </w:p>
        </w:tc>
        <w:tc>
          <w:tcPr>
            <w:tcW w:w="22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0.3</w:t>
            </w:r>
          </w:p>
        </w:tc>
        <w:tc>
          <w:tcPr>
            <w:tcW w:w="140" w:type="dxa"/>
            <w:vAlign w:val="bottom"/>
            <w:shd w:val="clear" w:color="auto" w:fill="CCEEFF"/>
          </w:tcPr>
          <w:p>
            <w:pPr>
              <w:spacing w:after="0"/>
              <w:rPr>
                <w:sz w:val="13"/>
                <w:szCs w:val="13"/>
                <w:color w:val="auto"/>
              </w:rPr>
            </w:pP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w:t>
            </w:r>
          </w:p>
        </w:tc>
      </w:tr>
      <w:tr>
        <w:trPr>
          <w:trHeight w:val="154"/>
        </w:trPr>
        <w:tc>
          <w:tcPr>
            <w:tcW w:w="2420" w:type="dxa"/>
            <w:vAlign w:val="bottom"/>
          </w:tcPr>
          <w:p>
            <w:pPr>
              <w:spacing w:after="0"/>
              <w:rPr>
                <w:sz w:val="20"/>
                <w:szCs w:val="20"/>
                <w:color w:val="auto"/>
              </w:rPr>
            </w:pPr>
            <w:r>
              <w:rPr>
                <w:rFonts w:ascii="Arial" w:cs="Arial" w:eastAsia="Arial" w:hAnsi="Arial"/>
                <w:sz w:val="13"/>
                <w:szCs w:val="13"/>
                <w:color w:val="auto"/>
              </w:rPr>
              <w:t>Bolivia</w:t>
            </w:r>
          </w:p>
        </w:tc>
        <w:tc>
          <w:tcPr>
            <w:tcW w:w="140" w:type="dxa"/>
            <w:vAlign w:val="bottom"/>
          </w:tcPr>
          <w:p>
            <w:pPr>
              <w:spacing w:after="0"/>
              <w:rPr>
                <w:sz w:val="13"/>
                <w:szCs w:val="13"/>
                <w:color w:val="auto"/>
              </w:rPr>
            </w:pPr>
          </w:p>
        </w:tc>
        <w:tc>
          <w:tcPr>
            <w:tcW w:w="780" w:type="dxa"/>
            <w:vAlign w:val="bottom"/>
            <w:gridSpan w:val="2"/>
          </w:tcPr>
          <w:p>
            <w:pPr>
              <w:jc w:val="right"/>
              <w:ind w:right="240"/>
              <w:spacing w:after="0"/>
              <w:rPr>
                <w:sz w:val="20"/>
                <w:szCs w:val="20"/>
                <w:color w:val="auto"/>
              </w:rPr>
            </w:pPr>
            <w:r>
              <w:rPr>
                <w:rFonts w:ascii="Arial" w:cs="Arial" w:eastAsia="Arial" w:hAnsi="Arial"/>
                <w:sz w:val="13"/>
                <w:szCs w:val="13"/>
                <w:color w:val="auto"/>
              </w:rPr>
              <w:t>14</w:t>
            </w:r>
          </w:p>
        </w:tc>
        <w:tc>
          <w:tcPr>
            <w:tcW w:w="700" w:type="dxa"/>
            <w:vAlign w:val="bottom"/>
          </w:tcPr>
          <w:p>
            <w:pPr>
              <w:jc w:val="right"/>
              <w:spacing w:after="0"/>
              <w:rPr>
                <w:sz w:val="20"/>
                <w:szCs w:val="20"/>
                <w:color w:val="auto"/>
              </w:rPr>
            </w:pPr>
            <w:r>
              <w:rPr>
                <w:rFonts w:ascii="Arial" w:cs="Arial" w:eastAsia="Arial" w:hAnsi="Arial"/>
                <w:sz w:val="13"/>
                <w:szCs w:val="13"/>
                <w:color w:val="auto"/>
              </w:rPr>
              <w:t>0.2</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3"/>
                <w:szCs w:val="13"/>
                <w:color w:val="auto"/>
              </w:rPr>
              <w:t>15</w:t>
            </w:r>
          </w:p>
        </w:tc>
        <w:tc>
          <w:tcPr>
            <w:tcW w:w="740" w:type="dxa"/>
            <w:vAlign w:val="bottom"/>
            <w:gridSpan w:val="2"/>
          </w:tcPr>
          <w:p>
            <w:pPr>
              <w:jc w:val="right"/>
              <w:ind w:right="40"/>
              <w:spacing w:after="0"/>
              <w:rPr>
                <w:sz w:val="20"/>
                <w:szCs w:val="20"/>
                <w:color w:val="auto"/>
              </w:rPr>
            </w:pPr>
            <w:r>
              <w:rPr>
                <w:rFonts w:ascii="Arial" w:cs="Arial" w:eastAsia="Arial" w:hAnsi="Arial"/>
                <w:sz w:val="13"/>
                <w:szCs w:val="13"/>
                <w:color w:val="auto"/>
              </w:rPr>
              <w:t>0.3</w:t>
            </w:r>
          </w:p>
        </w:tc>
        <w:tc>
          <w:tcPr>
            <w:tcW w:w="1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580" w:type="dxa"/>
            <w:vAlign w:val="bottom"/>
          </w:tcPr>
          <w:p>
            <w:pPr>
              <w:jc w:val="right"/>
              <w:spacing w:after="0"/>
              <w:rPr>
                <w:sz w:val="20"/>
                <w:szCs w:val="20"/>
                <w:color w:val="auto"/>
              </w:rPr>
            </w:pPr>
            <w:r>
              <w:rPr>
                <w:rFonts w:ascii="Arial" w:cs="Arial" w:eastAsia="Arial" w:hAnsi="Arial"/>
                <w:sz w:val="13"/>
                <w:szCs w:val="13"/>
                <w:color w:val="auto"/>
              </w:rPr>
              <w:t>18</w:t>
            </w:r>
          </w:p>
        </w:tc>
        <w:tc>
          <w:tcPr>
            <w:tcW w:w="240" w:type="dxa"/>
            <w:vAlign w:val="bottom"/>
          </w:tcPr>
          <w:p>
            <w:pPr>
              <w:spacing w:after="0"/>
              <w:rPr>
                <w:sz w:val="13"/>
                <w:szCs w:val="13"/>
                <w:color w:val="auto"/>
              </w:rPr>
            </w:pPr>
          </w:p>
        </w:tc>
        <w:tc>
          <w:tcPr>
            <w:tcW w:w="920" w:type="dxa"/>
            <w:vAlign w:val="bottom"/>
            <w:gridSpan w:val="2"/>
          </w:tcPr>
          <w:p>
            <w:pPr>
              <w:jc w:val="right"/>
              <w:ind w:right="240"/>
              <w:spacing w:after="0"/>
              <w:rPr>
                <w:sz w:val="20"/>
                <w:szCs w:val="20"/>
                <w:color w:val="auto"/>
              </w:rPr>
            </w:pPr>
            <w:r>
              <w:rPr>
                <w:rFonts w:ascii="Arial" w:cs="Arial" w:eastAsia="Arial" w:hAnsi="Arial"/>
                <w:sz w:val="13"/>
                <w:szCs w:val="13"/>
                <w:color w:val="auto"/>
              </w:rPr>
              <w:t>0.3</w:t>
            </w:r>
          </w:p>
        </w:tc>
        <w:tc>
          <w:tcPr>
            <w:tcW w:w="140" w:type="dxa"/>
            <w:vAlign w:val="bottom"/>
          </w:tcPr>
          <w:p>
            <w:pPr>
              <w:spacing w:after="0"/>
              <w:rPr>
                <w:sz w:val="13"/>
                <w:szCs w:val="13"/>
                <w:color w:val="auto"/>
              </w:rPr>
            </w:pPr>
          </w:p>
        </w:tc>
        <w:tc>
          <w:tcPr>
            <w:tcW w:w="560" w:type="dxa"/>
            <w:vAlign w:val="bottom"/>
          </w:tcPr>
          <w:p>
            <w:pPr>
              <w:jc w:val="right"/>
              <w:spacing w:after="0"/>
              <w:rPr>
                <w:sz w:val="20"/>
                <w:szCs w:val="20"/>
                <w:color w:val="auto"/>
              </w:rPr>
            </w:pPr>
            <w:r>
              <w:rPr>
                <w:rFonts w:ascii="Arial" w:cs="Arial" w:eastAsia="Arial" w:hAnsi="Arial"/>
                <w:sz w:val="13"/>
                <w:szCs w:val="13"/>
                <w:color w:val="auto"/>
              </w:rPr>
              <w:t>20</w:t>
            </w:r>
          </w:p>
        </w:tc>
        <w:tc>
          <w:tcPr>
            <w:tcW w:w="220" w:type="dxa"/>
            <w:vAlign w:val="bottom"/>
          </w:tcPr>
          <w:p>
            <w:pPr>
              <w:spacing w:after="0"/>
              <w:rPr>
                <w:sz w:val="13"/>
                <w:szCs w:val="13"/>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0.3</w:t>
            </w:r>
          </w:p>
        </w:tc>
        <w:tc>
          <w:tcPr>
            <w:tcW w:w="140" w:type="dxa"/>
            <w:vAlign w:val="bottom"/>
          </w:tcPr>
          <w:p>
            <w:pPr>
              <w:spacing w:after="0"/>
              <w:rPr>
                <w:sz w:val="13"/>
                <w:szCs w:val="13"/>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3"/>
                <w:szCs w:val="13"/>
                <w:color w:val="auto"/>
              </w:rPr>
              <w:t>10</w:t>
            </w:r>
          </w:p>
        </w:tc>
        <w:tc>
          <w:tcPr>
            <w:tcW w:w="780" w:type="dxa"/>
            <w:vAlign w:val="bottom"/>
            <w:gridSpan w:val="2"/>
          </w:tcPr>
          <w:p>
            <w:pPr>
              <w:jc w:val="right"/>
              <w:ind w:right="120"/>
              <w:spacing w:after="0"/>
              <w:rPr>
                <w:sz w:val="20"/>
                <w:szCs w:val="20"/>
                <w:color w:val="auto"/>
              </w:rPr>
            </w:pPr>
            <w:r>
              <w:rPr>
                <w:rFonts w:ascii="Arial" w:cs="Arial" w:eastAsia="Arial" w:hAnsi="Arial"/>
                <w:sz w:val="13"/>
                <w:szCs w:val="13"/>
                <w:color w:val="auto"/>
              </w:rPr>
              <w:t>0.1</w:t>
            </w:r>
          </w:p>
        </w:tc>
      </w:tr>
      <w:tr>
        <w:trPr>
          <w:trHeight w:val="154"/>
        </w:trPr>
        <w:tc>
          <w:tcPr>
            <w:tcW w:w="2420" w:type="dxa"/>
            <w:vAlign w:val="bottom"/>
            <w:shd w:val="clear" w:color="auto" w:fill="CCEEFF"/>
          </w:tcPr>
          <w:p>
            <w:pPr>
              <w:spacing w:after="0"/>
              <w:rPr>
                <w:sz w:val="20"/>
                <w:szCs w:val="20"/>
                <w:color w:val="auto"/>
              </w:rPr>
            </w:pPr>
            <w:r>
              <w:rPr>
                <w:rFonts w:ascii="Arial" w:cs="Arial" w:eastAsia="Arial" w:hAnsi="Arial"/>
                <w:sz w:val="13"/>
                <w:szCs w:val="13"/>
                <w:color w:val="auto"/>
              </w:rPr>
              <w:t>Brazil</w:t>
            </w:r>
          </w:p>
        </w:tc>
        <w:tc>
          <w:tcPr>
            <w:tcW w:w="140" w:type="dxa"/>
            <w:vAlign w:val="bottom"/>
            <w:shd w:val="clear" w:color="auto" w:fill="CCEEFF"/>
          </w:tcPr>
          <w:p>
            <w:pPr>
              <w:spacing w:after="0"/>
              <w:rPr>
                <w:sz w:val="13"/>
                <w:szCs w:val="13"/>
                <w:color w:val="auto"/>
              </w:rPr>
            </w:pPr>
          </w:p>
        </w:tc>
        <w:tc>
          <w:tcPr>
            <w:tcW w:w="7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1,156</w:t>
            </w:r>
          </w:p>
        </w:tc>
        <w:tc>
          <w:tcPr>
            <w:tcW w:w="8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20.0</w:t>
            </w:r>
          </w:p>
        </w:tc>
        <w:tc>
          <w:tcPr>
            <w:tcW w:w="12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1,019</w:t>
            </w:r>
          </w:p>
        </w:tc>
        <w:tc>
          <w:tcPr>
            <w:tcW w:w="74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18.5</w:t>
            </w:r>
          </w:p>
        </w:tc>
        <w:tc>
          <w:tcPr>
            <w:tcW w:w="1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8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1,164</w:t>
            </w:r>
          </w:p>
        </w:tc>
        <w:tc>
          <w:tcPr>
            <w:tcW w:w="9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19.3</w:t>
            </w:r>
          </w:p>
        </w:tc>
        <w:tc>
          <w:tcPr>
            <w:tcW w:w="140" w:type="dxa"/>
            <w:vAlign w:val="bottom"/>
            <w:shd w:val="clear" w:color="auto" w:fill="CCEEFF"/>
          </w:tcPr>
          <w:p>
            <w:pPr>
              <w:spacing w:after="0"/>
              <w:rPr>
                <w:sz w:val="13"/>
                <w:szCs w:val="13"/>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1,605</w:t>
            </w:r>
          </w:p>
        </w:tc>
        <w:tc>
          <w:tcPr>
            <w:tcW w:w="22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24.0</w:t>
            </w:r>
          </w:p>
        </w:tc>
        <w:tc>
          <w:tcPr>
            <w:tcW w:w="140" w:type="dxa"/>
            <w:vAlign w:val="bottom"/>
            <w:shd w:val="clear" w:color="auto" w:fill="CCEEFF"/>
          </w:tcPr>
          <w:p>
            <w:pPr>
              <w:spacing w:after="0"/>
              <w:rPr>
                <w:sz w:val="13"/>
                <w:szCs w:val="13"/>
                <w:color w:val="auto"/>
              </w:rPr>
            </w:pP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1,972</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29.5</w:t>
            </w:r>
          </w:p>
        </w:tc>
      </w:tr>
      <w:tr>
        <w:trPr>
          <w:trHeight w:val="154"/>
        </w:trPr>
        <w:tc>
          <w:tcPr>
            <w:tcW w:w="2420" w:type="dxa"/>
            <w:vAlign w:val="bottom"/>
          </w:tcPr>
          <w:p>
            <w:pPr>
              <w:spacing w:after="0"/>
              <w:rPr>
                <w:sz w:val="20"/>
                <w:szCs w:val="20"/>
                <w:color w:val="auto"/>
              </w:rPr>
            </w:pPr>
            <w:r>
              <w:rPr>
                <w:rFonts w:ascii="Arial" w:cs="Arial" w:eastAsia="Arial" w:hAnsi="Arial"/>
                <w:sz w:val="13"/>
                <w:szCs w:val="13"/>
                <w:color w:val="auto"/>
              </w:rPr>
              <w:t>Chile</w:t>
            </w:r>
          </w:p>
        </w:tc>
        <w:tc>
          <w:tcPr>
            <w:tcW w:w="140" w:type="dxa"/>
            <w:vAlign w:val="bottom"/>
          </w:tcPr>
          <w:p>
            <w:pPr>
              <w:spacing w:after="0"/>
              <w:rPr>
                <w:sz w:val="13"/>
                <w:szCs w:val="13"/>
                <w:color w:val="auto"/>
              </w:rPr>
            </w:pPr>
          </w:p>
        </w:tc>
        <w:tc>
          <w:tcPr>
            <w:tcW w:w="780" w:type="dxa"/>
            <w:vAlign w:val="bottom"/>
            <w:gridSpan w:val="2"/>
          </w:tcPr>
          <w:p>
            <w:pPr>
              <w:jc w:val="right"/>
              <w:ind w:right="240"/>
              <w:spacing w:after="0"/>
              <w:rPr>
                <w:sz w:val="20"/>
                <w:szCs w:val="20"/>
                <w:color w:val="auto"/>
              </w:rPr>
            </w:pPr>
            <w:r>
              <w:rPr>
                <w:rFonts w:ascii="Arial" w:cs="Arial" w:eastAsia="Arial" w:hAnsi="Arial"/>
                <w:sz w:val="13"/>
                <w:szCs w:val="13"/>
                <w:color w:val="auto"/>
              </w:rPr>
              <w:t>177</w:t>
            </w:r>
          </w:p>
        </w:tc>
        <w:tc>
          <w:tcPr>
            <w:tcW w:w="700" w:type="dxa"/>
            <w:vAlign w:val="bottom"/>
          </w:tcPr>
          <w:p>
            <w:pPr>
              <w:jc w:val="right"/>
              <w:spacing w:after="0"/>
              <w:rPr>
                <w:sz w:val="20"/>
                <w:szCs w:val="20"/>
                <w:color w:val="auto"/>
              </w:rPr>
            </w:pPr>
            <w:r>
              <w:rPr>
                <w:rFonts w:ascii="Arial" w:cs="Arial" w:eastAsia="Arial" w:hAnsi="Arial"/>
                <w:sz w:val="13"/>
                <w:szCs w:val="13"/>
                <w:color w:val="auto"/>
              </w:rPr>
              <w:t>3.1</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3"/>
                <w:szCs w:val="13"/>
                <w:color w:val="auto"/>
              </w:rPr>
              <w:t>171</w:t>
            </w:r>
          </w:p>
        </w:tc>
        <w:tc>
          <w:tcPr>
            <w:tcW w:w="740" w:type="dxa"/>
            <w:vAlign w:val="bottom"/>
            <w:gridSpan w:val="2"/>
          </w:tcPr>
          <w:p>
            <w:pPr>
              <w:jc w:val="right"/>
              <w:ind w:right="40"/>
              <w:spacing w:after="0"/>
              <w:rPr>
                <w:sz w:val="20"/>
                <w:szCs w:val="20"/>
                <w:color w:val="auto"/>
              </w:rPr>
            </w:pPr>
            <w:r>
              <w:rPr>
                <w:rFonts w:ascii="Arial" w:cs="Arial" w:eastAsia="Arial" w:hAnsi="Arial"/>
                <w:sz w:val="13"/>
                <w:szCs w:val="13"/>
                <w:color w:val="auto"/>
              </w:rPr>
              <w:t>3.1</w:t>
            </w:r>
          </w:p>
        </w:tc>
        <w:tc>
          <w:tcPr>
            <w:tcW w:w="1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580" w:type="dxa"/>
            <w:vAlign w:val="bottom"/>
          </w:tcPr>
          <w:p>
            <w:pPr>
              <w:jc w:val="right"/>
              <w:spacing w:after="0"/>
              <w:rPr>
                <w:sz w:val="20"/>
                <w:szCs w:val="20"/>
                <w:color w:val="auto"/>
              </w:rPr>
            </w:pPr>
            <w:r>
              <w:rPr>
                <w:rFonts w:ascii="Arial" w:cs="Arial" w:eastAsia="Arial" w:hAnsi="Arial"/>
                <w:sz w:val="13"/>
                <w:szCs w:val="13"/>
                <w:color w:val="auto"/>
              </w:rPr>
              <w:t>69</w:t>
            </w:r>
          </w:p>
        </w:tc>
        <w:tc>
          <w:tcPr>
            <w:tcW w:w="240" w:type="dxa"/>
            <w:vAlign w:val="bottom"/>
          </w:tcPr>
          <w:p>
            <w:pPr>
              <w:spacing w:after="0"/>
              <w:rPr>
                <w:sz w:val="13"/>
                <w:szCs w:val="13"/>
                <w:color w:val="auto"/>
              </w:rPr>
            </w:pPr>
          </w:p>
        </w:tc>
        <w:tc>
          <w:tcPr>
            <w:tcW w:w="920" w:type="dxa"/>
            <w:vAlign w:val="bottom"/>
            <w:gridSpan w:val="2"/>
          </w:tcPr>
          <w:p>
            <w:pPr>
              <w:jc w:val="right"/>
              <w:ind w:right="240"/>
              <w:spacing w:after="0"/>
              <w:rPr>
                <w:sz w:val="20"/>
                <w:szCs w:val="20"/>
                <w:color w:val="auto"/>
              </w:rPr>
            </w:pPr>
            <w:r>
              <w:rPr>
                <w:rFonts w:ascii="Arial" w:cs="Arial" w:eastAsia="Arial" w:hAnsi="Arial"/>
                <w:sz w:val="13"/>
                <w:szCs w:val="13"/>
                <w:color w:val="auto"/>
              </w:rPr>
              <w:t>1.2</w:t>
            </w:r>
          </w:p>
        </w:tc>
        <w:tc>
          <w:tcPr>
            <w:tcW w:w="140" w:type="dxa"/>
            <w:vAlign w:val="bottom"/>
          </w:tcPr>
          <w:p>
            <w:pPr>
              <w:spacing w:after="0"/>
              <w:rPr>
                <w:sz w:val="13"/>
                <w:szCs w:val="13"/>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3"/>
                <w:szCs w:val="13"/>
                <w:color w:val="auto"/>
              </w:rPr>
              <w:t>195</w:t>
            </w: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2.9</w:t>
            </w:r>
          </w:p>
        </w:tc>
        <w:tc>
          <w:tcPr>
            <w:tcW w:w="140" w:type="dxa"/>
            <w:vAlign w:val="bottom"/>
          </w:tcPr>
          <w:p>
            <w:pPr>
              <w:spacing w:after="0"/>
              <w:rPr>
                <w:sz w:val="13"/>
                <w:szCs w:val="13"/>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3"/>
                <w:szCs w:val="13"/>
                <w:color w:val="auto"/>
              </w:rPr>
              <w:t>157</w:t>
            </w:r>
          </w:p>
        </w:tc>
        <w:tc>
          <w:tcPr>
            <w:tcW w:w="780" w:type="dxa"/>
            <w:vAlign w:val="bottom"/>
            <w:gridSpan w:val="2"/>
          </w:tcPr>
          <w:p>
            <w:pPr>
              <w:jc w:val="right"/>
              <w:ind w:right="120"/>
              <w:spacing w:after="0"/>
              <w:rPr>
                <w:sz w:val="20"/>
                <w:szCs w:val="20"/>
                <w:color w:val="auto"/>
              </w:rPr>
            </w:pPr>
            <w:r>
              <w:rPr>
                <w:rFonts w:ascii="Arial" w:cs="Arial" w:eastAsia="Arial" w:hAnsi="Arial"/>
                <w:sz w:val="13"/>
                <w:szCs w:val="13"/>
                <w:color w:val="auto"/>
              </w:rPr>
              <w:t>2.4</w:t>
            </w:r>
          </w:p>
        </w:tc>
      </w:tr>
      <w:tr>
        <w:trPr>
          <w:trHeight w:val="154"/>
        </w:trPr>
        <w:tc>
          <w:tcPr>
            <w:tcW w:w="2420" w:type="dxa"/>
            <w:vAlign w:val="bottom"/>
            <w:shd w:val="clear" w:color="auto" w:fill="CCEEFF"/>
          </w:tcPr>
          <w:p>
            <w:pPr>
              <w:spacing w:after="0"/>
              <w:rPr>
                <w:sz w:val="20"/>
                <w:szCs w:val="20"/>
                <w:color w:val="auto"/>
              </w:rPr>
            </w:pPr>
            <w:r>
              <w:rPr>
                <w:rFonts w:ascii="Arial" w:cs="Arial" w:eastAsia="Arial" w:hAnsi="Arial"/>
                <w:sz w:val="13"/>
                <w:szCs w:val="13"/>
                <w:color w:val="auto"/>
              </w:rPr>
              <w:t>Colombia</w:t>
            </w:r>
          </w:p>
        </w:tc>
        <w:tc>
          <w:tcPr>
            <w:tcW w:w="140" w:type="dxa"/>
            <w:vAlign w:val="bottom"/>
            <w:shd w:val="clear" w:color="auto" w:fill="CCEEFF"/>
          </w:tcPr>
          <w:p>
            <w:pPr>
              <w:spacing w:after="0"/>
              <w:rPr>
                <w:sz w:val="13"/>
                <w:szCs w:val="13"/>
                <w:color w:val="auto"/>
              </w:rPr>
            </w:pPr>
          </w:p>
        </w:tc>
        <w:tc>
          <w:tcPr>
            <w:tcW w:w="7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626</w:t>
            </w:r>
          </w:p>
        </w:tc>
        <w:tc>
          <w:tcPr>
            <w:tcW w:w="8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10.8</w:t>
            </w:r>
          </w:p>
        </w:tc>
        <w:tc>
          <w:tcPr>
            <w:tcW w:w="12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829</w:t>
            </w:r>
          </w:p>
        </w:tc>
        <w:tc>
          <w:tcPr>
            <w:tcW w:w="74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15.1</w:t>
            </w:r>
          </w:p>
        </w:tc>
        <w:tc>
          <w:tcPr>
            <w:tcW w:w="1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8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653</w:t>
            </w:r>
          </w:p>
        </w:tc>
        <w:tc>
          <w:tcPr>
            <w:tcW w:w="9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10.8</w:t>
            </w:r>
          </w:p>
        </w:tc>
        <w:tc>
          <w:tcPr>
            <w:tcW w:w="140" w:type="dxa"/>
            <w:vAlign w:val="bottom"/>
            <w:shd w:val="clear" w:color="auto" w:fill="CCEEFF"/>
          </w:tcPr>
          <w:p>
            <w:pPr>
              <w:spacing w:after="0"/>
              <w:rPr>
                <w:sz w:val="13"/>
                <w:szCs w:val="13"/>
                <w:color w:val="auto"/>
              </w:rPr>
            </w:pP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621</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9.3</w:t>
            </w:r>
          </w:p>
        </w:tc>
        <w:tc>
          <w:tcPr>
            <w:tcW w:w="140" w:type="dxa"/>
            <w:vAlign w:val="bottom"/>
            <w:shd w:val="clear" w:color="auto" w:fill="CCEEFF"/>
          </w:tcPr>
          <w:p>
            <w:pPr>
              <w:spacing w:after="0"/>
              <w:rPr>
                <w:sz w:val="13"/>
                <w:szCs w:val="13"/>
                <w:color w:val="auto"/>
              </w:rPr>
            </w:pP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726</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10.9</w:t>
            </w:r>
          </w:p>
        </w:tc>
      </w:tr>
      <w:tr>
        <w:trPr>
          <w:trHeight w:val="154"/>
        </w:trPr>
        <w:tc>
          <w:tcPr>
            <w:tcW w:w="2420" w:type="dxa"/>
            <w:vAlign w:val="bottom"/>
          </w:tcPr>
          <w:p>
            <w:pPr>
              <w:spacing w:after="0"/>
              <w:rPr>
                <w:sz w:val="20"/>
                <w:szCs w:val="20"/>
                <w:color w:val="auto"/>
              </w:rPr>
            </w:pPr>
            <w:r>
              <w:rPr>
                <w:rFonts w:ascii="Arial" w:cs="Arial" w:eastAsia="Arial" w:hAnsi="Arial"/>
                <w:sz w:val="13"/>
                <w:szCs w:val="13"/>
                <w:color w:val="auto"/>
              </w:rPr>
              <w:t>Costa Rica</w:t>
            </w:r>
          </w:p>
        </w:tc>
        <w:tc>
          <w:tcPr>
            <w:tcW w:w="140" w:type="dxa"/>
            <w:vAlign w:val="bottom"/>
          </w:tcPr>
          <w:p>
            <w:pPr>
              <w:spacing w:after="0"/>
              <w:rPr>
                <w:sz w:val="13"/>
                <w:szCs w:val="13"/>
                <w:color w:val="auto"/>
              </w:rPr>
            </w:pPr>
          </w:p>
        </w:tc>
        <w:tc>
          <w:tcPr>
            <w:tcW w:w="780" w:type="dxa"/>
            <w:vAlign w:val="bottom"/>
            <w:gridSpan w:val="2"/>
          </w:tcPr>
          <w:p>
            <w:pPr>
              <w:jc w:val="right"/>
              <w:ind w:right="240"/>
              <w:spacing w:after="0"/>
              <w:rPr>
                <w:sz w:val="20"/>
                <w:szCs w:val="20"/>
                <w:color w:val="auto"/>
              </w:rPr>
            </w:pPr>
            <w:r>
              <w:rPr>
                <w:rFonts w:ascii="Arial" w:cs="Arial" w:eastAsia="Arial" w:hAnsi="Arial"/>
                <w:sz w:val="13"/>
                <w:szCs w:val="13"/>
                <w:color w:val="auto"/>
              </w:rPr>
              <w:t>370</w:t>
            </w:r>
          </w:p>
        </w:tc>
        <w:tc>
          <w:tcPr>
            <w:tcW w:w="700" w:type="dxa"/>
            <w:vAlign w:val="bottom"/>
          </w:tcPr>
          <w:p>
            <w:pPr>
              <w:jc w:val="right"/>
              <w:spacing w:after="0"/>
              <w:rPr>
                <w:sz w:val="20"/>
                <w:szCs w:val="20"/>
                <w:color w:val="auto"/>
              </w:rPr>
            </w:pPr>
            <w:r>
              <w:rPr>
                <w:rFonts w:ascii="Arial" w:cs="Arial" w:eastAsia="Arial" w:hAnsi="Arial"/>
                <w:sz w:val="13"/>
                <w:szCs w:val="13"/>
                <w:color w:val="auto"/>
              </w:rPr>
              <w:t>6.4</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3"/>
                <w:szCs w:val="13"/>
                <w:color w:val="auto"/>
              </w:rPr>
              <w:t>356</w:t>
            </w:r>
          </w:p>
        </w:tc>
        <w:tc>
          <w:tcPr>
            <w:tcW w:w="740" w:type="dxa"/>
            <w:vAlign w:val="bottom"/>
            <w:gridSpan w:val="2"/>
          </w:tcPr>
          <w:p>
            <w:pPr>
              <w:jc w:val="right"/>
              <w:ind w:right="40"/>
              <w:spacing w:after="0"/>
              <w:rPr>
                <w:sz w:val="20"/>
                <w:szCs w:val="20"/>
                <w:color w:val="auto"/>
              </w:rPr>
            </w:pPr>
            <w:r>
              <w:rPr>
                <w:rFonts w:ascii="Arial" w:cs="Arial" w:eastAsia="Arial" w:hAnsi="Arial"/>
                <w:sz w:val="13"/>
                <w:szCs w:val="13"/>
                <w:color w:val="auto"/>
              </w:rPr>
              <w:t>6.5</w:t>
            </w:r>
          </w:p>
        </w:tc>
        <w:tc>
          <w:tcPr>
            <w:tcW w:w="1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20" w:type="dxa"/>
            <w:vAlign w:val="bottom"/>
            <w:gridSpan w:val="2"/>
          </w:tcPr>
          <w:p>
            <w:pPr>
              <w:jc w:val="right"/>
              <w:ind w:right="240"/>
              <w:spacing w:after="0"/>
              <w:rPr>
                <w:sz w:val="20"/>
                <w:szCs w:val="20"/>
                <w:color w:val="auto"/>
              </w:rPr>
            </w:pPr>
            <w:r>
              <w:rPr>
                <w:rFonts w:ascii="Arial" w:cs="Arial" w:eastAsia="Arial" w:hAnsi="Arial"/>
                <w:sz w:val="13"/>
                <w:szCs w:val="13"/>
                <w:color w:val="auto"/>
              </w:rPr>
              <w:t>400</w:t>
            </w:r>
          </w:p>
        </w:tc>
        <w:tc>
          <w:tcPr>
            <w:tcW w:w="920" w:type="dxa"/>
            <w:vAlign w:val="bottom"/>
            <w:gridSpan w:val="2"/>
          </w:tcPr>
          <w:p>
            <w:pPr>
              <w:jc w:val="right"/>
              <w:ind w:right="240"/>
              <w:spacing w:after="0"/>
              <w:rPr>
                <w:sz w:val="20"/>
                <w:szCs w:val="20"/>
                <w:color w:val="auto"/>
              </w:rPr>
            </w:pPr>
            <w:r>
              <w:rPr>
                <w:rFonts w:ascii="Arial" w:cs="Arial" w:eastAsia="Arial" w:hAnsi="Arial"/>
                <w:sz w:val="13"/>
                <w:szCs w:val="13"/>
                <w:color w:val="auto"/>
              </w:rPr>
              <w:t>6.6</w:t>
            </w:r>
          </w:p>
        </w:tc>
        <w:tc>
          <w:tcPr>
            <w:tcW w:w="140" w:type="dxa"/>
            <w:vAlign w:val="bottom"/>
          </w:tcPr>
          <w:p>
            <w:pPr>
              <w:spacing w:after="0"/>
              <w:rPr>
                <w:sz w:val="13"/>
                <w:szCs w:val="13"/>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3"/>
                <w:szCs w:val="13"/>
                <w:color w:val="auto"/>
              </w:rPr>
              <w:t>341</w:t>
            </w: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5.1</w:t>
            </w:r>
          </w:p>
        </w:tc>
        <w:tc>
          <w:tcPr>
            <w:tcW w:w="140" w:type="dxa"/>
            <w:vAlign w:val="bottom"/>
          </w:tcPr>
          <w:p>
            <w:pPr>
              <w:spacing w:after="0"/>
              <w:rPr>
                <w:sz w:val="13"/>
                <w:szCs w:val="13"/>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3"/>
                <w:szCs w:val="13"/>
                <w:color w:val="auto"/>
              </w:rPr>
              <w:t>321</w:t>
            </w:r>
          </w:p>
        </w:tc>
        <w:tc>
          <w:tcPr>
            <w:tcW w:w="780" w:type="dxa"/>
            <w:vAlign w:val="bottom"/>
            <w:gridSpan w:val="2"/>
          </w:tcPr>
          <w:p>
            <w:pPr>
              <w:jc w:val="right"/>
              <w:ind w:right="120"/>
              <w:spacing w:after="0"/>
              <w:rPr>
                <w:sz w:val="20"/>
                <w:szCs w:val="20"/>
                <w:color w:val="auto"/>
              </w:rPr>
            </w:pPr>
            <w:r>
              <w:rPr>
                <w:rFonts w:ascii="Arial" w:cs="Arial" w:eastAsia="Arial" w:hAnsi="Arial"/>
                <w:sz w:val="13"/>
                <w:szCs w:val="13"/>
                <w:color w:val="auto"/>
              </w:rPr>
              <w:t>4.8</w:t>
            </w:r>
          </w:p>
        </w:tc>
      </w:tr>
      <w:tr>
        <w:trPr>
          <w:trHeight w:val="154"/>
        </w:trPr>
        <w:tc>
          <w:tcPr>
            <w:tcW w:w="2420" w:type="dxa"/>
            <w:vAlign w:val="bottom"/>
            <w:shd w:val="clear" w:color="auto" w:fill="CCEEFF"/>
          </w:tcPr>
          <w:p>
            <w:pPr>
              <w:spacing w:after="0"/>
              <w:rPr>
                <w:sz w:val="20"/>
                <w:szCs w:val="20"/>
                <w:color w:val="auto"/>
              </w:rPr>
            </w:pPr>
            <w:r>
              <w:rPr>
                <w:rFonts w:ascii="Arial" w:cs="Arial" w:eastAsia="Arial" w:hAnsi="Arial"/>
                <w:sz w:val="13"/>
                <w:szCs w:val="13"/>
                <w:color w:val="auto"/>
              </w:rPr>
              <w:t>Dominican Republic</w:t>
            </w:r>
          </w:p>
        </w:tc>
        <w:tc>
          <w:tcPr>
            <w:tcW w:w="140" w:type="dxa"/>
            <w:vAlign w:val="bottom"/>
            <w:shd w:val="clear" w:color="auto" w:fill="CCEEFF"/>
          </w:tcPr>
          <w:p>
            <w:pPr>
              <w:spacing w:after="0"/>
              <w:rPr>
                <w:sz w:val="13"/>
                <w:szCs w:val="13"/>
                <w:color w:val="auto"/>
              </w:rPr>
            </w:pPr>
          </w:p>
        </w:tc>
        <w:tc>
          <w:tcPr>
            <w:tcW w:w="7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301</w:t>
            </w: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5.2</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250</w:t>
            </w:r>
          </w:p>
        </w:tc>
        <w:tc>
          <w:tcPr>
            <w:tcW w:w="74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4.5</w:t>
            </w:r>
          </w:p>
        </w:tc>
        <w:tc>
          <w:tcPr>
            <w:tcW w:w="1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8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244</w:t>
            </w:r>
          </w:p>
        </w:tc>
        <w:tc>
          <w:tcPr>
            <w:tcW w:w="9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4.1</w:t>
            </w:r>
          </w:p>
        </w:tc>
        <w:tc>
          <w:tcPr>
            <w:tcW w:w="140" w:type="dxa"/>
            <w:vAlign w:val="bottom"/>
            <w:shd w:val="clear" w:color="auto" w:fill="CCEEFF"/>
          </w:tcPr>
          <w:p>
            <w:pPr>
              <w:spacing w:after="0"/>
              <w:rPr>
                <w:sz w:val="13"/>
                <w:szCs w:val="13"/>
                <w:color w:val="auto"/>
              </w:rPr>
            </w:pP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384</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5.7</w:t>
            </w:r>
          </w:p>
        </w:tc>
        <w:tc>
          <w:tcPr>
            <w:tcW w:w="140" w:type="dxa"/>
            <w:vAlign w:val="bottom"/>
            <w:shd w:val="clear" w:color="auto" w:fill="CCEEFF"/>
          </w:tcPr>
          <w:p>
            <w:pPr>
              <w:spacing w:after="0"/>
              <w:rPr>
                <w:sz w:val="13"/>
                <w:szCs w:val="13"/>
                <w:color w:val="auto"/>
              </w:rPr>
            </w:pP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243</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3.6</w:t>
            </w:r>
          </w:p>
        </w:tc>
      </w:tr>
      <w:tr>
        <w:trPr>
          <w:trHeight w:val="154"/>
        </w:trPr>
        <w:tc>
          <w:tcPr>
            <w:tcW w:w="2420" w:type="dxa"/>
            <w:vAlign w:val="bottom"/>
          </w:tcPr>
          <w:p>
            <w:pPr>
              <w:spacing w:after="0"/>
              <w:rPr>
                <w:sz w:val="20"/>
                <w:szCs w:val="20"/>
                <w:color w:val="auto"/>
              </w:rPr>
            </w:pPr>
            <w:r>
              <w:rPr>
                <w:rFonts w:ascii="Arial" w:cs="Arial" w:eastAsia="Arial" w:hAnsi="Arial"/>
                <w:sz w:val="13"/>
                <w:szCs w:val="13"/>
                <w:color w:val="auto"/>
              </w:rPr>
              <w:t>Ecuador</w:t>
            </w:r>
          </w:p>
        </w:tc>
        <w:tc>
          <w:tcPr>
            <w:tcW w:w="140" w:type="dxa"/>
            <w:vAlign w:val="bottom"/>
          </w:tcPr>
          <w:p>
            <w:pPr>
              <w:spacing w:after="0"/>
              <w:rPr>
                <w:sz w:val="13"/>
                <w:szCs w:val="13"/>
                <w:color w:val="auto"/>
              </w:rPr>
            </w:pPr>
          </w:p>
        </w:tc>
        <w:tc>
          <w:tcPr>
            <w:tcW w:w="780" w:type="dxa"/>
            <w:vAlign w:val="bottom"/>
            <w:gridSpan w:val="2"/>
          </w:tcPr>
          <w:p>
            <w:pPr>
              <w:jc w:val="right"/>
              <w:ind w:right="240"/>
              <w:spacing w:after="0"/>
              <w:rPr>
                <w:sz w:val="20"/>
                <w:szCs w:val="20"/>
                <w:color w:val="auto"/>
              </w:rPr>
            </w:pPr>
            <w:r>
              <w:rPr>
                <w:rFonts w:ascii="Arial" w:cs="Arial" w:eastAsia="Arial" w:hAnsi="Arial"/>
                <w:sz w:val="13"/>
                <w:szCs w:val="13"/>
                <w:color w:val="auto"/>
              </w:rPr>
              <w:t>188</w:t>
            </w:r>
          </w:p>
        </w:tc>
        <w:tc>
          <w:tcPr>
            <w:tcW w:w="700" w:type="dxa"/>
            <w:vAlign w:val="bottom"/>
          </w:tcPr>
          <w:p>
            <w:pPr>
              <w:jc w:val="right"/>
              <w:spacing w:after="0"/>
              <w:rPr>
                <w:sz w:val="20"/>
                <w:szCs w:val="20"/>
                <w:color w:val="auto"/>
              </w:rPr>
            </w:pPr>
            <w:r>
              <w:rPr>
                <w:rFonts w:ascii="Arial" w:cs="Arial" w:eastAsia="Arial" w:hAnsi="Arial"/>
                <w:sz w:val="13"/>
                <w:szCs w:val="13"/>
                <w:color w:val="auto"/>
              </w:rPr>
              <w:t>3.3</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3"/>
                <w:szCs w:val="13"/>
                <w:color w:val="auto"/>
              </w:rPr>
              <w:t>94</w:t>
            </w:r>
          </w:p>
        </w:tc>
        <w:tc>
          <w:tcPr>
            <w:tcW w:w="740" w:type="dxa"/>
            <w:vAlign w:val="bottom"/>
            <w:gridSpan w:val="2"/>
          </w:tcPr>
          <w:p>
            <w:pPr>
              <w:jc w:val="right"/>
              <w:ind w:right="40"/>
              <w:spacing w:after="0"/>
              <w:rPr>
                <w:sz w:val="20"/>
                <w:szCs w:val="20"/>
                <w:color w:val="auto"/>
              </w:rPr>
            </w:pPr>
            <w:r>
              <w:rPr>
                <w:rFonts w:ascii="Arial" w:cs="Arial" w:eastAsia="Arial" w:hAnsi="Arial"/>
                <w:sz w:val="13"/>
                <w:szCs w:val="13"/>
                <w:color w:val="auto"/>
              </w:rPr>
              <w:t>1.7</w:t>
            </w:r>
          </w:p>
        </w:tc>
        <w:tc>
          <w:tcPr>
            <w:tcW w:w="1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20" w:type="dxa"/>
            <w:vAlign w:val="bottom"/>
            <w:gridSpan w:val="2"/>
          </w:tcPr>
          <w:p>
            <w:pPr>
              <w:jc w:val="right"/>
              <w:ind w:right="240"/>
              <w:spacing w:after="0"/>
              <w:rPr>
                <w:sz w:val="20"/>
                <w:szCs w:val="20"/>
                <w:color w:val="auto"/>
              </w:rPr>
            </w:pPr>
            <w:r>
              <w:rPr>
                <w:rFonts w:ascii="Arial" w:cs="Arial" w:eastAsia="Arial" w:hAnsi="Arial"/>
                <w:sz w:val="13"/>
                <w:szCs w:val="13"/>
                <w:color w:val="auto"/>
              </w:rPr>
              <w:t>129</w:t>
            </w:r>
          </w:p>
        </w:tc>
        <w:tc>
          <w:tcPr>
            <w:tcW w:w="920" w:type="dxa"/>
            <w:vAlign w:val="bottom"/>
            <w:gridSpan w:val="2"/>
          </w:tcPr>
          <w:p>
            <w:pPr>
              <w:jc w:val="right"/>
              <w:ind w:right="240"/>
              <w:spacing w:after="0"/>
              <w:rPr>
                <w:sz w:val="20"/>
                <w:szCs w:val="20"/>
                <w:color w:val="auto"/>
              </w:rPr>
            </w:pPr>
            <w:r>
              <w:rPr>
                <w:rFonts w:ascii="Arial" w:cs="Arial" w:eastAsia="Arial" w:hAnsi="Arial"/>
                <w:sz w:val="13"/>
                <w:szCs w:val="13"/>
                <w:color w:val="auto"/>
              </w:rPr>
              <w:t>2.1</w:t>
            </w:r>
          </w:p>
        </w:tc>
        <w:tc>
          <w:tcPr>
            <w:tcW w:w="140" w:type="dxa"/>
            <w:vAlign w:val="bottom"/>
          </w:tcPr>
          <w:p>
            <w:pPr>
              <w:spacing w:after="0"/>
              <w:rPr>
                <w:sz w:val="13"/>
                <w:szCs w:val="13"/>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3"/>
                <w:szCs w:val="13"/>
                <w:color w:val="auto"/>
              </w:rPr>
              <w:t>169</w:t>
            </w: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2.5</w:t>
            </w:r>
          </w:p>
        </w:tc>
        <w:tc>
          <w:tcPr>
            <w:tcW w:w="140" w:type="dxa"/>
            <w:vAlign w:val="bottom"/>
          </w:tcPr>
          <w:p>
            <w:pPr>
              <w:spacing w:after="0"/>
              <w:rPr>
                <w:sz w:val="13"/>
                <w:szCs w:val="13"/>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3"/>
                <w:szCs w:val="13"/>
                <w:color w:val="auto"/>
              </w:rPr>
              <w:t>120</w:t>
            </w:r>
          </w:p>
        </w:tc>
        <w:tc>
          <w:tcPr>
            <w:tcW w:w="780" w:type="dxa"/>
            <w:vAlign w:val="bottom"/>
            <w:gridSpan w:val="2"/>
          </w:tcPr>
          <w:p>
            <w:pPr>
              <w:jc w:val="right"/>
              <w:ind w:right="120"/>
              <w:spacing w:after="0"/>
              <w:rPr>
                <w:sz w:val="20"/>
                <w:szCs w:val="20"/>
                <w:color w:val="auto"/>
              </w:rPr>
            </w:pPr>
            <w:r>
              <w:rPr>
                <w:rFonts w:ascii="Arial" w:cs="Arial" w:eastAsia="Arial" w:hAnsi="Arial"/>
                <w:sz w:val="13"/>
                <w:szCs w:val="13"/>
                <w:color w:val="auto"/>
              </w:rPr>
              <w:t>1.8</w:t>
            </w:r>
          </w:p>
        </w:tc>
      </w:tr>
      <w:tr>
        <w:trPr>
          <w:trHeight w:val="154"/>
        </w:trPr>
        <w:tc>
          <w:tcPr>
            <w:tcW w:w="2420" w:type="dxa"/>
            <w:vAlign w:val="bottom"/>
            <w:shd w:val="clear" w:color="auto" w:fill="CCEEFF"/>
          </w:tcPr>
          <w:p>
            <w:pPr>
              <w:spacing w:after="0"/>
              <w:rPr>
                <w:sz w:val="20"/>
                <w:szCs w:val="20"/>
                <w:color w:val="auto"/>
              </w:rPr>
            </w:pPr>
            <w:r>
              <w:rPr>
                <w:rFonts w:ascii="Arial" w:cs="Arial" w:eastAsia="Arial" w:hAnsi="Arial"/>
                <w:sz w:val="13"/>
                <w:szCs w:val="13"/>
                <w:color w:val="auto"/>
              </w:rPr>
              <w:t>El Salvador</w:t>
            </w:r>
          </w:p>
        </w:tc>
        <w:tc>
          <w:tcPr>
            <w:tcW w:w="140" w:type="dxa"/>
            <w:vAlign w:val="bottom"/>
            <w:shd w:val="clear" w:color="auto" w:fill="CCEEFF"/>
          </w:tcPr>
          <w:p>
            <w:pPr>
              <w:spacing w:after="0"/>
              <w:rPr>
                <w:sz w:val="13"/>
                <w:szCs w:val="13"/>
                <w:color w:val="auto"/>
              </w:rPr>
            </w:pPr>
          </w:p>
        </w:tc>
        <w:tc>
          <w:tcPr>
            <w:tcW w:w="7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70</w:t>
            </w: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1.2</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55</w:t>
            </w:r>
          </w:p>
        </w:tc>
        <w:tc>
          <w:tcPr>
            <w:tcW w:w="74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1.0</w:t>
            </w:r>
          </w:p>
        </w:tc>
        <w:tc>
          <w:tcPr>
            <w:tcW w:w="1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8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105</w:t>
            </w:r>
          </w:p>
        </w:tc>
        <w:tc>
          <w:tcPr>
            <w:tcW w:w="9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1.7</w:t>
            </w:r>
          </w:p>
        </w:tc>
        <w:tc>
          <w:tcPr>
            <w:tcW w:w="140" w:type="dxa"/>
            <w:vAlign w:val="bottom"/>
            <w:shd w:val="clear" w:color="auto" w:fill="CCEEFF"/>
          </w:tcPr>
          <w:p>
            <w:pPr>
              <w:spacing w:after="0"/>
              <w:rPr>
                <w:sz w:val="13"/>
                <w:szCs w:val="13"/>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68</w:t>
            </w:r>
          </w:p>
        </w:tc>
        <w:tc>
          <w:tcPr>
            <w:tcW w:w="22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1.0</w:t>
            </w:r>
          </w:p>
        </w:tc>
        <w:tc>
          <w:tcPr>
            <w:tcW w:w="140" w:type="dxa"/>
            <w:vAlign w:val="bottom"/>
            <w:shd w:val="clear" w:color="auto" w:fill="CCEEFF"/>
          </w:tcPr>
          <w:p>
            <w:pPr>
              <w:spacing w:after="0"/>
              <w:rPr>
                <w:sz w:val="13"/>
                <w:szCs w:val="13"/>
                <w:color w:val="auto"/>
              </w:rPr>
            </w:pP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116</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1.7</w:t>
            </w:r>
          </w:p>
        </w:tc>
      </w:tr>
      <w:tr>
        <w:trPr>
          <w:trHeight w:val="154"/>
        </w:trPr>
        <w:tc>
          <w:tcPr>
            <w:tcW w:w="2420" w:type="dxa"/>
            <w:vAlign w:val="bottom"/>
          </w:tcPr>
          <w:p>
            <w:pPr>
              <w:spacing w:after="0"/>
              <w:rPr>
                <w:sz w:val="20"/>
                <w:szCs w:val="20"/>
                <w:color w:val="auto"/>
              </w:rPr>
            </w:pPr>
            <w:r>
              <w:rPr>
                <w:rFonts w:ascii="Arial" w:cs="Arial" w:eastAsia="Arial" w:hAnsi="Arial"/>
                <w:sz w:val="13"/>
                <w:szCs w:val="13"/>
                <w:color w:val="auto"/>
              </w:rPr>
              <w:t>France</w:t>
            </w:r>
          </w:p>
        </w:tc>
        <w:tc>
          <w:tcPr>
            <w:tcW w:w="140" w:type="dxa"/>
            <w:vAlign w:val="bottom"/>
          </w:tcPr>
          <w:p>
            <w:pPr>
              <w:spacing w:after="0"/>
              <w:rPr>
                <w:sz w:val="13"/>
                <w:szCs w:val="13"/>
                <w:color w:val="auto"/>
              </w:rPr>
            </w:pPr>
          </w:p>
        </w:tc>
        <w:tc>
          <w:tcPr>
            <w:tcW w:w="780" w:type="dxa"/>
            <w:vAlign w:val="bottom"/>
            <w:gridSpan w:val="2"/>
          </w:tcPr>
          <w:p>
            <w:pPr>
              <w:jc w:val="right"/>
              <w:ind w:right="240"/>
              <w:spacing w:after="0"/>
              <w:rPr>
                <w:sz w:val="20"/>
                <w:szCs w:val="20"/>
                <w:color w:val="auto"/>
              </w:rPr>
            </w:pPr>
            <w:r>
              <w:rPr>
                <w:rFonts w:ascii="Arial" w:cs="Arial" w:eastAsia="Arial" w:hAnsi="Arial"/>
                <w:sz w:val="13"/>
                <w:szCs w:val="13"/>
                <w:color w:val="auto"/>
              </w:rPr>
              <w:t>0</w:t>
            </w:r>
          </w:p>
        </w:tc>
        <w:tc>
          <w:tcPr>
            <w:tcW w:w="700" w:type="dxa"/>
            <w:vAlign w:val="bottom"/>
          </w:tcPr>
          <w:p>
            <w:pPr>
              <w:jc w:val="right"/>
              <w:spacing w:after="0"/>
              <w:rPr>
                <w:sz w:val="20"/>
                <w:szCs w:val="20"/>
                <w:color w:val="auto"/>
              </w:rPr>
            </w:pPr>
            <w:r>
              <w:rPr>
                <w:rFonts w:ascii="Arial" w:cs="Arial" w:eastAsia="Arial" w:hAnsi="Arial"/>
                <w:sz w:val="13"/>
                <w:szCs w:val="13"/>
                <w:color w:val="auto"/>
              </w:rPr>
              <w:t>0.0</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740" w:type="dxa"/>
            <w:vAlign w:val="bottom"/>
            <w:gridSpan w:val="2"/>
          </w:tcPr>
          <w:p>
            <w:pPr>
              <w:jc w:val="right"/>
              <w:ind w:right="40"/>
              <w:spacing w:after="0"/>
              <w:rPr>
                <w:sz w:val="20"/>
                <w:szCs w:val="20"/>
                <w:color w:val="auto"/>
              </w:rPr>
            </w:pPr>
            <w:r>
              <w:rPr>
                <w:rFonts w:ascii="Arial" w:cs="Arial" w:eastAsia="Arial" w:hAnsi="Arial"/>
                <w:sz w:val="13"/>
                <w:szCs w:val="13"/>
                <w:color w:val="auto"/>
              </w:rPr>
              <w:t>0.0</w:t>
            </w:r>
          </w:p>
        </w:tc>
        <w:tc>
          <w:tcPr>
            <w:tcW w:w="1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20" w:type="dxa"/>
            <w:vAlign w:val="bottom"/>
            <w:gridSpan w:val="2"/>
          </w:tcPr>
          <w:p>
            <w:pPr>
              <w:jc w:val="right"/>
              <w:ind w:right="240"/>
              <w:spacing w:after="0"/>
              <w:rPr>
                <w:sz w:val="20"/>
                <w:szCs w:val="20"/>
                <w:color w:val="auto"/>
              </w:rPr>
            </w:pPr>
            <w:r>
              <w:rPr>
                <w:rFonts w:ascii="Arial" w:cs="Arial" w:eastAsia="Arial" w:hAnsi="Arial"/>
                <w:sz w:val="13"/>
                <w:szCs w:val="13"/>
                <w:color w:val="auto"/>
              </w:rPr>
              <w:t>0</w:t>
            </w:r>
          </w:p>
        </w:tc>
        <w:tc>
          <w:tcPr>
            <w:tcW w:w="920" w:type="dxa"/>
            <w:vAlign w:val="bottom"/>
            <w:gridSpan w:val="2"/>
          </w:tcPr>
          <w:p>
            <w:pPr>
              <w:jc w:val="right"/>
              <w:ind w:right="240"/>
              <w:spacing w:after="0"/>
              <w:rPr>
                <w:sz w:val="20"/>
                <w:szCs w:val="20"/>
                <w:color w:val="auto"/>
              </w:rPr>
            </w:pPr>
            <w:r>
              <w:rPr>
                <w:rFonts w:ascii="Arial" w:cs="Arial" w:eastAsia="Arial" w:hAnsi="Arial"/>
                <w:sz w:val="13"/>
                <w:szCs w:val="13"/>
                <w:color w:val="auto"/>
              </w:rPr>
              <w:t>0.0</w:t>
            </w:r>
          </w:p>
        </w:tc>
        <w:tc>
          <w:tcPr>
            <w:tcW w:w="140" w:type="dxa"/>
            <w:vAlign w:val="bottom"/>
          </w:tcPr>
          <w:p>
            <w:pPr>
              <w:spacing w:after="0"/>
              <w:rPr>
                <w:sz w:val="13"/>
                <w:szCs w:val="13"/>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3"/>
                <w:szCs w:val="13"/>
                <w:color w:val="auto"/>
              </w:rPr>
              <w:t>6</w:t>
            </w: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0.1</w:t>
            </w:r>
          </w:p>
        </w:tc>
        <w:tc>
          <w:tcPr>
            <w:tcW w:w="140" w:type="dxa"/>
            <w:vAlign w:val="bottom"/>
          </w:tcPr>
          <w:p>
            <w:pPr>
              <w:spacing w:after="0"/>
              <w:rPr>
                <w:sz w:val="13"/>
                <w:szCs w:val="13"/>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3"/>
                <w:szCs w:val="13"/>
                <w:color w:val="auto"/>
              </w:rPr>
              <w:t>6</w:t>
            </w:r>
          </w:p>
        </w:tc>
        <w:tc>
          <w:tcPr>
            <w:tcW w:w="780" w:type="dxa"/>
            <w:vAlign w:val="bottom"/>
            <w:gridSpan w:val="2"/>
          </w:tcPr>
          <w:p>
            <w:pPr>
              <w:jc w:val="right"/>
              <w:ind w:right="120"/>
              <w:spacing w:after="0"/>
              <w:rPr>
                <w:sz w:val="20"/>
                <w:szCs w:val="20"/>
                <w:color w:val="auto"/>
              </w:rPr>
            </w:pPr>
            <w:r>
              <w:rPr>
                <w:rFonts w:ascii="Arial" w:cs="Arial" w:eastAsia="Arial" w:hAnsi="Arial"/>
                <w:sz w:val="13"/>
                <w:szCs w:val="13"/>
                <w:color w:val="auto"/>
              </w:rPr>
              <w:t>0.1</w:t>
            </w:r>
          </w:p>
        </w:tc>
      </w:tr>
      <w:tr>
        <w:trPr>
          <w:trHeight w:val="154"/>
        </w:trPr>
        <w:tc>
          <w:tcPr>
            <w:tcW w:w="2420" w:type="dxa"/>
            <w:vAlign w:val="bottom"/>
            <w:shd w:val="clear" w:color="auto" w:fill="CCEEFF"/>
          </w:tcPr>
          <w:p>
            <w:pPr>
              <w:spacing w:after="0"/>
              <w:rPr>
                <w:sz w:val="20"/>
                <w:szCs w:val="20"/>
                <w:color w:val="auto"/>
              </w:rPr>
            </w:pPr>
            <w:r>
              <w:rPr>
                <w:rFonts w:ascii="Arial" w:cs="Arial" w:eastAsia="Arial" w:hAnsi="Arial"/>
                <w:sz w:val="13"/>
                <w:szCs w:val="13"/>
                <w:color w:val="auto"/>
              </w:rPr>
              <w:t>Germany</w:t>
            </w:r>
          </w:p>
        </w:tc>
        <w:tc>
          <w:tcPr>
            <w:tcW w:w="140" w:type="dxa"/>
            <w:vAlign w:val="bottom"/>
            <w:shd w:val="clear" w:color="auto" w:fill="CCEEFF"/>
          </w:tcPr>
          <w:p>
            <w:pPr>
              <w:spacing w:after="0"/>
              <w:rPr>
                <w:sz w:val="13"/>
                <w:szCs w:val="13"/>
                <w:color w:val="auto"/>
              </w:rPr>
            </w:pPr>
          </w:p>
        </w:tc>
        <w:tc>
          <w:tcPr>
            <w:tcW w:w="7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18</w:t>
            </w: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0.3</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38</w:t>
            </w:r>
          </w:p>
        </w:tc>
        <w:tc>
          <w:tcPr>
            <w:tcW w:w="74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0.7</w:t>
            </w:r>
          </w:p>
        </w:tc>
        <w:tc>
          <w:tcPr>
            <w:tcW w:w="1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50</w:t>
            </w:r>
          </w:p>
        </w:tc>
        <w:tc>
          <w:tcPr>
            <w:tcW w:w="24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0.8</w:t>
            </w:r>
          </w:p>
        </w:tc>
        <w:tc>
          <w:tcPr>
            <w:tcW w:w="140" w:type="dxa"/>
            <w:vAlign w:val="bottom"/>
            <w:shd w:val="clear" w:color="auto" w:fill="CCEEFF"/>
          </w:tcPr>
          <w:p>
            <w:pPr>
              <w:spacing w:after="0"/>
              <w:rPr>
                <w:sz w:val="13"/>
                <w:szCs w:val="13"/>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97</w:t>
            </w:r>
          </w:p>
        </w:tc>
        <w:tc>
          <w:tcPr>
            <w:tcW w:w="22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1.4</w:t>
            </w:r>
          </w:p>
        </w:tc>
        <w:tc>
          <w:tcPr>
            <w:tcW w:w="140" w:type="dxa"/>
            <w:vAlign w:val="bottom"/>
            <w:shd w:val="clear" w:color="auto" w:fill="CCEEFF"/>
          </w:tcPr>
          <w:p>
            <w:pPr>
              <w:spacing w:after="0"/>
              <w:rPr>
                <w:sz w:val="13"/>
                <w:szCs w:val="13"/>
                <w:color w:val="auto"/>
              </w:rPr>
            </w:pP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100</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1.5</w:t>
            </w:r>
          </w:p>
        </w:tc>
      </w:tr>
      <w:tr>
        <w:trPr>
          <w:trHeight w:val="154"/>
        </w:trPr>
        <w:tc>
          <w:tcPr>
            <w:tcW w:w="2420" w:type="dxa"/>
            <w:vAlign w:val="bottom"/>
          </w:tcPr>
          <w:p>
            <w:pPr>
              <w:spacing w:after="0"/>
              <w:rPr>
                <w:sz w:val="20"/>
                <w:szCs w:val="20"/>
                <w:color w:val="auto"/>
              </w:rPr>
            </w:pPr>
            <w:r>
              <w:rPr>
                <w:rFonts w:ascii="Arial" w:cs="Arial" w:eastAsia="Arial" w:hAnsi="Arial"/>
                <w:sz w:val="13"/>
                <w:szCs w:val="13"/>
                <w:color w:val="auto"/>
              </w:rPr>
              <w:t>Guatemala</w:t>
            </w:r>
          </w:p>
        </w:tc>
        <w:tc>
          <w:tcPr>
            <w:tcW w:w="140" w:type="dxa"/>
            <w:vAlign w:val="bottom"/>
          </w:tcPr>
          <w:p>
            <w:pPr>
              <w:spacing w:after="0"/>
              <w:rPr>
                <w:sz w:val="13"/>
                <w:szCs w:val="13"/>
                <w:color w:val="auto"/>
              </w:rPr>
            </w:pPr>
          </w:p>
        </w:tc>
        <w:tc>
          <w:tcPr>
            <w:tcW w:w="780" w:type="dxa"/>
            <w:vAlign w:val="bottom"/>
            <w:gridSpan w:val="2"/>
          </w:tcPr>
          <w:p>
            <w:pPr>
              <w:jc w:val="right"/>
              <w:ind w:right="240"/>
              <w:spacing w:after="0"/>
              <w:rPr>
                <w:sz w:val="20"/>
                <w:szCs w:val="20"/>
                <w:color w:val="auto"/>
              </w:rPr>
            </w:pPr>
            <w:r>
              <w:rPr>
                <w:rFonts w:ascii="Arial" w:cs="Arial" w:eastAsia="Arial" w:hAnsi="Arial"/>
                <w:sz w:val="13"/>
                <w:szCs w:val="13"/>
                <w:color w:val="auto"/>
              </w:rPr>
              <w:t>329</w:t>
            </w:r>
          </w:p>
        </w:tc>
        <w:tc>
          <w:tcPr>
            <w:tcW w:w="700" w:type="dxa"/>
            <w:vAlign w:val="bottom"/>
          </w:tcPr>
          <w:p>
            <w:pPr>
              <w:jc w:val="right"/>
              <w:spacing w:after="0"/>
              <w:rPr>
                <w:sz w:val="20"/>
                <w:szCs w:val="20"/>
                <w:color w:val="auto"/>
              </w:rPr>
            </w:pPr>
            <w:r>
              <w:rPr>
                <w:rFonts w:ascii="Arial" w:cs="Arial" w:eastAsia="Arial" w:hAnsi="Arial"/>
                <w:sz w:val="13"/>
                <w:szCs w:val="13"/>
                <w:color w:val="auto"/>
              </w:rPr>
              <w:t>5.7</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3"/>
                <w:szCs w:val="13"/>
                <w:color w:val="auto"/>
              </w:rPr>
              <w:t>309</w:t>
            </w:r>
          </w:p>
        </w:tc>
        <w:tc>
          <w:tcPr>
            <w:tcW w:w="740" w:type="dxa"/>
            <w:vAlign w:val="bottom"/>
            <w:gridSpan w:val="2"/>
          </w:tcPr>
          <w:p>
            <w:pPr>
              <w:jc w:val="right"/>
              <w:ind w:right="40"/>
              <w:spacing w:after="0"/>
              <w:rPr>
                <w:sz w:val="20"/>
                <w:szCs w:val="20"/>
                <w:color w:val="auto"/>
              </w:rPr>
            </w:pPr>
            <w:r>
              <w:rPr>
                <w:rFonts w:ascii="Arial" w:cs="Arial" w:eastAsia="Arial" w:hAnsi="Arial"/>
                <w:sz w:val="13"/>
                <w:szCs w:val="13"/>
                <w:color w:val="auto"/>
              </w:rPr>
              <w:t>5.6</w:t>
            </w:r>
          </w:p>
        </w:tc>
        <w:tc>
          <w:tcPr>
            <w:tcW w:w="1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20" w:type="dxa"/>
            <w:vAlign w:val="bottom"/>
            <w:gridSpan w:val="2"/>
          </w:tcPr>
          <w:p>
            <w:pPr>
              <w:jc w:val="right"/>
              <w:ind w:right="240"/>
              <w:spacing w:after="0"/>
              <w:rPr>
                <w:sz w:val="20"/>
                <w:szCs w:val="20"/>
                <w:color w:val="auto"/>
              </w:rPr>
            </w:pPr>
            <w:r>
              <w:rPr>
                <w:rFonts w:ascii="Arial" w:cs="Arial" w:eastAsia="Arial" w:hAnsi="Arial"/>
                <w:sz w:val="13"/>
                <w:szCs w:val="13"/>
                <w:color w:val="auto"/>
              </w:rPr>
              <w:t>316</w:t>
            </w:r>
          </w:p>
        </w:tc>
        <w:tc>
          <w:tcPr>
            <w:tcW w:w="920" w:type="dxa"/>
            <w:vAlign w:val="bottom"/>
            <w:gridSpan w:val="2"/>
          </w:tcPr>
          <w:p>
            <w:pPr>
              <w:jc w:val="right"/>
              <w:ind w:right="240"/>
              <w:spacing w:after="0"/>
              <w:rPr>
                <w:sz w:val="20"/>
                <w:szCs w:val="20"/>
                <w:color w:val="auto"/>
              </w:rPr>
            </w:pPr>
            <w:r>
              <w:rPr>
                <w:rFonts w:ascii="Arial" w:cs="Arial" w:eastAsia="Arial" w:hAnsi="Arial"/>
                <w:sz w:val="13"/>
                <w:szCs w:val="13"/>
                <w:color w:val="auto"/>
              </w:rPr>
              <w:t>5.2</w:t>
            </w:r>
          </w:p>
        </w:tc>
        <w:tc>
          <w:tcPr>
            <w:tcW w:w="140" w:type="dxa"/>
            <w:vAlign w:val="bottom"/>
          </w:tcPr>
          <w:p>
            <w:pPr>
              <w:spacing w:after="0"/>
              <w:rPr>
                <w:sz w:val="13"/>
                <w:szCs w:val="13"/>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3"/>
                <w:szCs w:val="13"/>
                <w:color w:val="auto"/>
              </w:rPr>
              <w:t>458</w:t>
            </w: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6.8</w:t>
            </w:r>
          </w:p>
        </w:tc>
        <w:tc>
          <w:tcPr>
            <w:tcW w:w="140" w:type="dxa"/>
            <w:vAlign w:val="bottom"/>
          </w:tcPr>
          <w:p>
            <w:pPr>
              <w:spacing w:after="0"/>
              <w:rPr>
                <w:sz w:val="13"/>
                <w:szCs w:val="13"/>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3"/>
                <w:szCs w:val="13"/>
                <w:color w:val="auto"/>
              </w:rPr>
              <w:t>263</w:t>
            </w:r>
          </w:p>
        </w:tc>
        <w:tc>
          <w:tcPr>
            <w:tcW w:w="780" w:type="dxa"/>
            <w:vAlign w:val="bottom"/>
            <w:gridSpan w:val="2"/>
          </w:tcPr>
          <w:p>
            <w:pPr>
              <w:jc w:val="right"/>
              <w:ind w:right="120"/>
              <w:spacing w:after="0"/>
              <w:rPr>
                <w:sz w:val="20"/>
                <w:szCs w:val="20"/>
                <w:color w:val="auto"/>
              </w:rPr>
            </w:pPr>
            <w:r>
              <w:rPr>
                <w:rFonts w:ascii="Arial" w:cs="Arial" w:eastAsia="Arial" w:hAnsi="Arial"/>
                <w:sz w:val="13"/>
                <w:szCs w:val="13"/>
                <w:color w:val="auto"/>
              </w:rPr>
              <w:t>3.9</w:t>
            </w:r>
          </w:p>
        </w:tc>
      </w:tr>
      <w:tr>
        <w:trPr>
          <w:trHeight w:val="154"/>
        </w:trPr>
        <w:tc>
          <w:tcPr>
            <w:tcW w:w="2420" w:type="dxa"/>
            <w:vAlign w:val="bottom"/>
            <w:shd w:val="clear" w:color="auto" w:fill="CCEEFF"/>
          </w:tcPr>
          <w:p>
            <w:pPr>
              <w:spacing w:after="0"/>
              <w:rPr>
                <w:sz w:val="20"/>
                <w:szCs w:val="20"/>
                <w:color w:val="auto"/>
              </w:rPr>
            </w:pPr>
            <w:r>
              <w:rPr>
                <w:rFonts w:ascii="Arial" w:cs="Arial" w:eastAsia="Arial" w:hAnsi="Arial"/>
                <w:sz w:val="13"/>
                <w:szCs w:val="13"/>
                <w:color w:val="auto"/>
              </w:rPr>
              <w:t>Honduras</w:t>
            </w:r>
          </w:p>
        </w:tc>
        <w:tc>
          <w:tcPr>
            <w:tcW w:w="140" w:type="dxa"/>
            <w:vAlign w:val="bottom"/>
            <w:shd w:val="clear" w:color="auto" w:fill="CCEEFF"/>
          </w:tcPr>
          <w:p>
            <w:pPr>
              <w:spacing w:after="0"/>
              <w:rPr>
                <w:sz w:val="13"/>
                <w:szCs w:val="13"/>
                <w:color w:val="auto"/>
              </w:rPr>
            </w:pPr>
          </w:p>
        </w:tc>
        <w:tc>
          <w:tcPr>
            <w:tcW w:w="7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89</w:t>
            </w: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1.5</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75</w:t>
            </w:r>
          </w:p>
        </w:tc>
        <w:tc>
          <w:tcPr>
            <w:tcW w:w="74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1.4</w:t>
            </w:r>
          </w:p>
        </w:tc>
        <w:tc>
          <w:tcPr>
            <w:tcW w:w="1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73</w:t>
            </w:r>
          </w:p>
        </w:tc>
        <w:tc>
          <w:tcPr>
            <w:tcW w:w="24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1.3</w:t>
            </w:r>
          </w:p>
        </w:tc>
        <w:tc>
          <w:tcPr>
            <w:tcW w:w="140" w:type="dxa"/>
            <w:vAlign w:val="bottom"/>
            <w:shd w:val="clear" w:color="auto" w:fill="CCEEFF"/>
          </w:tcPr>
          <w:p>
            <w:pPr>
              <w:spacing w:after="0"/>
              <w:rPr>
                <w:sz w:val="13"/>
                <w:szCs w:val="13"/>
                <w:color w:val="auto"/>
              </w:rPr>
            </w:pP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118</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1.8</w:t>
            </w:r>
          </w:p>
        </w:tc>
        <w:tc>
          <w:tcPr>
            <w:tcW w:w="140" w:type="dxa"/>
            <w:vAlign w:val="bottom"/>
            <w:shd w:val="clear" w:color="auto" w:fill="CCEEFF"/>
          </w:tcPr>
          <w:p>
            <w:pPr>
              <w:spacing w:after="0"/>
              <w:rPr>
                <w:sz w:val="13"/>
                <w:szCs w:val="13"/>
                <w:color w:val="auto"/>
              </w:rPr>
            </w:pP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93</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1.4</w:t>
            </w:r>
          </w:p>
        </w:tc>
      </w:tr>
      <w:tr>
        <w:trPr>
          <w:trHeight w:val="154"/>
        </w:trPr>
        <w:tc>
          <w:tcPr>
            <w:tcW w:w="2420" w:type="dxa"/>
            <w:vAlign w:val="bottom"/>
          </w:tcPr>
          <w:p>
            <w:pPr>
              <w:spacing w:after="0"/>
              <w:rPr>
                <w:sz w:val="20"/>
                <w:szCs w:val="20"/>
                <w:color w:val="auto"/>
              </w:rPr>
            </w:pPr>
            <w:r>
              <w:rPr>
                <w:rFonts w:ascii="Arial" w:cs="Arial" w:eastAsia="Arial" w:hAnsi="Arial"/>
                <w:sz w:val="13"/>
                <w:szCs w:val="13"/>
                <w:color w:val="auto"/>
              </w:rPr>
              <w:t>Jamaica</w:t>
            </w:r>
          </w:p>
        </w:tc>
        <w:tc>
          <w:tcPr>
            <w:tcW w:w="140" w:type="dxa"/>
            <w:vAlign w:val="bottom"/>
          </w:tcPr>
          <w:p>
            <w:pPr>
              <w:spacing w:after="0"/>
              <w:rPr>
                <w:sz w:val="13"/>
                <w:szCs w:val="13"/>
                <w:color w:val="auto"/>
              </w:rPr>
            </w:pPr>
          </w:p>
        </w:tc>
        <w:tc>
          <w:tcPr>
            <w:tcW w:w="780" w:type="dxa"/>
            <w:vAlign w:val="bottom"/>
            <w:gridSpan w:val="2"/>
          </w:tcPr>
          <w:p>
            <w:pPr>
              <w:jc w:val="right"/>
              <w:ind w:right="240"/>
              <w:spacing w:after="0"/>
              <w:rPr>
                <w:sz w:val="20"/>
                <w:szCs w:val="20"/>
                <w:color w:val="auto"/>
              </w:rPr>
            </w:pPr>
            <w:r>
              <w:rPr>
                <w:rFonts w:ascii="Arial" w:cs="Arial" w:eastAsia="Arial" w:hAnsi="Arial"/>
                <w:sz w:val="13"/>
                <w:szCs w:val="13"/>
                <w:color w:val="auto"/>
              </w:rPr>
              <w:t>22</w:t>
            </w:r>
          </w:p>
        </w:tc>
        <w:tc>
          <w:tcPr>
            <w:tcW w:w="700" w:type="dxa"/>
            <w:vAlign w:val="bottom"/>
          </w:tcPr>
          <w:p>
            <w:pPr>
              <w:jc w:val="right"/>
              <w:spacing w:after="0"/>
              <w:rPr>
                <w:sz w:val="20"/>
                <w:szCs w:val="20"/>
                <w:color w:val="auto"/>
              </w:rPr>
            </w:pPr>
            <w:r>
              <w:rPr>
                <w:rFonts w:ascii="Arial" w:cs="Arial" w:eastAsia="Arial" w:hAnsi="Arial"/>
                <w:sz w:val="13"/>
                <w:szCs w:val="13"/>
                <w:color w:val="auto"/>
              </w:rPr>
              <w:t>0.4</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3"/>
                <w:szCs w:val="13"/>
                <w:color w:val="auto"/>
              </w:rPr>
              <w:t>24</w:t>
            </w:r>
          </w:p>
        </w:tc>
        <w:tc>
          <w:tcPr>
            <w:tcW w:w="740" w:type="dxa"/>
            <w:vAlign w:val="bottom"/>
            <w:gridSpan w:val="2"/>
          </w:tcPr>
          <w:p>
            <w:pPr>
              <w:jc w:val="right"/>
              <w:ind w:right="40"/>
              <w:spacing w:after="0"/>
              <w:rPr>
                <w:sz w:val="20"/>
                <w:szCs w:val="20"/>
                <w:color w:val="auto"/>
              </w:rPr>
            </w:pPr>
            <w:r>
              <w:rPr>
                <w:rFonts w:ascii="Arial" w:cs="Arial" w:eastAsia="Arial" w:hAnsi="Arial"/>
                <w:sz w:val="13"/>
                <w:szCs w:val="13"/>
                <w:color w:val="auto"/>
              </w:rPr>
              <w:t>0.4</w:t>
            </w:r>
          </w:p>
        </w:tc>
        <w:tc>
          <w:tcPr>
            <w:tcW w:w="1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20" w:type="dxa"/>
            <w:vAlign w:val="bottom"/>
            <w:gridSpan w:val="2"/>
          </w:tcPr>
          <w:p>
            <w:pPr>
              <w:jc w:val="right"/>
              <w:ind w:right="240"/>
              <w:spacing w:after="0"/>
              <w:rPr>
                <w:sz w:val="20"/>
                <w:szCs w:val="20"/>
                <w:color w:val="auto"/>
              </w:rPr>
            </w:pPr>
            <w:r>
              <w:rPr>
                <w:rFonts w:ascii="Arial" w:cs="Arial" w:eastAsia="Arial" w:hAnsi="Arial"/>
                <w:sz w:val="13"/>
                <w:szCs w:val="13"/>
                <w:color w:val="auto"/>
              </w:rPr>
              <w:t>8</w:t>
            </w:r>
          </w:p>
        </w:tc>
        <w:tc>
          <w:tcPr>
            <w:tcW w:w="920" w:type="dxa"/>
            <w:vAlign w:val="bottom"/>
            <w:gridSpan w:val="2"/>
          </w:tcPr>
          <w:p>
            <w:pPr>
              <w:jc w:val="right"/>
              <w:ind w:right="240"/>
              <w:spacing w:after="0"/>
              <w:rPr>
                <w:sz w:val="20"/>
                <w:szCs w:val="20"/>
                <w:color w:val="auto"/>
              </w:rPr>
            </w:pPr>
            <w:r>
              <w:rPr>
                <w:rFonts w:ascii="Arial" w:cs="Arial" w:eastAsia="Arial" w:hAnsi="Arial"/>
                <w:sz w:val="13"/>
                <w:szCs w:val="13"/>
                <w:color w:val="auto"/>
              </w:rPr>
              <w:t>0.1</w:t>
            </w:r>
          </w:p>
        </w:tc>
        <w:tc>
          <w:tcPr>
            <w:tcW w:w="140" w:type="dxa"/>
            <w:vAlign w:val="bottom"/>
          </w:tcPr>
          <w:p>
            <w:pPr>
              <w:spacing w:after="0"/>
              <w:rPr>
                <w:sz w:val="13"/>
                <w:szCs w:val="13"/>
                <w:color w:val="auto"/>
              </w:rPr>
            </w:pPr>
          </w:p>
        </w:tc>
        <w:tc>
          <w:tcPr>
            <w:tcW w:w="560" w:type="dxa"/>
            <w:vAlign w:val="bottom"/>
          </w:tcPr>
          <w:p>
            <w:pPr>
              <w:jc w:val="right"/>
              <w:spacing w:after="0"/>
              <w:rPr>
                <w:sz w:val="20"/>
                <w:szCs w:val="20"/>
                <w:color w:val="auto"/>
              </w:rPr>
            </w:pPr>
            <w:r>
              <w:rPr>
                <w:rFonts w:ascii="Arial" w:cs="Arial" w:eastAsia="Arial" w:hAnsi="Arial"/>
                <w:sz w:val="13"/>
                <w:szCs w:val="13"/>
                <w:color w:val="auto"/>
              </w:rPr>
              <w:t>17</w:t>
            </w:r>
          </w:p>
        </w:tc>
        <w:tc>
          <w:tcPr>
            <w:tcW w:w="220" w:type="dxa"/>
            <w:vAlign w:val="bottom"/>
          </w:tcPr>
          <w:p>
            <w:pPr>
              <w:spacing w:after="0"/>
              <w:rPr>
                <w:sz w:val="13"/>
                <w:szCs w:val="13"/>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0.2</w:t>
            </w:r>
          </w:p>
        </w:tc>
        <w:tc>
          <w:tcPr>
            <w:tcW w:w="140" w:type="dxa"/>
            <w:vAlign w:val="bottom"/>
          </w:tcPr>
          <w:p>
            <w:pPr>
              <w:spacing w:after="0"/>
              <w:rPr>
                <w:sz w:val="13"/>
                <w:szCs w:val="13"/>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3"/>
                <w:szCs w:val="13"/>
                <w:color w:val="auto"/>
              </w:rPr>
              <w:t>16</w:t>
            </w:r>
          </w:p>
        </w:tc>
        <w:tc>
          <w:tcPr>
            <w:tcW w:w="780" w:type="dxa"/>
            <w:vAlign w:val="bottom"/>
            <w:gridSpan w:val="2"/>
          </w:tcPr>
          <w:p>
            <w:pPr>
              <w:jc w:val="right"/>
              <w:ind w:right="120"/>
              <w:spacing w:after="0"/>
              <w:rPr>
                <w:sz w:val="20"/>
                <w:szCs w:val="20"/>
                <w:color w:val="auto"/>
              </w:rPr>
            </w:pPr>
            <w:r>
              <w:rPr>
                <w:rFonts w:ascii="Arial" w:cs="Arial" w:eastAsia="Arial" w:hAnsi="Arial"/>
                <w:sz w:val="13"/>
                <w:szCs w:val="13"/>
                <w:color w:val="auto"/>
              </w:rPr>
              <w:t>0.2</w:t>
            </w:r>
          </w:p>
        </w:tc>
      </w:tr>
      <w:tr>
        <w:trPr>
          <w:trHeight w:val="154"/>
        </w:trPr>
        <w:tc>
          <w:tcPr>
            <w:tcW w:w="2420" w:type="dxa"/>
            <w:vAlign w:val="bottom"/>
            <w:shd w:val="clear" w:color="auto" w:fill="CCEEFF"/>
          </w:tcPr>
          <w:p>
            <w:pPr>
              <w:spacing w:after="0"/>
              <w:rPr>
                <w:sz w:val="20"/>
                <w:szCs w:val="20"/>
                <w:color w:val="auto"/>
              </w:rPr>
            </w:pPr>
            <w:r>
              <w:rPr>
                <w:rFonts w:ascii="Arial" w:cs="Arial" w:eastAsia="Arial" w:hAnsi="Arial"/>
                <w:sz w:val="13"/>
                <w:szCs w:val="13"/>
                <w:color w:val="auto"/>
              </w:rPr>
              <w:t>Luxembourg</w:t>
            </w:r>
          </w:p>
        </w:tc>
        <w:tc>
          <w:tcPr>
            <w:tcW w:w="140" w:type="dxa"/>
            <w:vAlign w:val="bottom"/>
            <w:shd w:val="clear" w:color="auto" w:fill="CCEEFF"/>
          </w:tcPr>
          <w:p>
            <w:pPr>
              <w:spacing w:after="0"/>
              <w:rPr>
                <w:sz w:val="13"/>
                <w:szCs w:val="13"/>
                <w:color w:val="auto"/>
              </w:rPr>
            </w:pPr>
          </w:p>
        </w:tc>
        <w:tc>
          <w:tcPr>
            <w:tcW w:w="7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18</w:t>
            </w: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0.3</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20</w:t>
            </w:r>
          </w:p>
        </w:tc>
        <w:tc>
          <w:tcPr>
            <w:tcW w:w="74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0.4</w:t>
            </w:r>
          </w:p>
        </w:tc>
        <w:tc>
          <w:tcPr>
            <w:tcW w:w="1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15</w:t>
            </w:r>
          </w:p>
        </w:tc>
        <w:tc>
          <w:tcPr>
            <w:tcW w:w="24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0.2</w:t>
            </w:r>
          </w:p>
        </w:tc>
        <w:tc>
          <w:tcPr>
            <w:tcW w:w="140" w:type="dxa"/>
            <w:vAlign w:val="bottom"/>
            <w:shd w:val="clear" w:color="auto" w:fill="CCEEFF"/>
          </w:tcPr>
          <w:p>
            <w:pPr>
              <w:spacing w:after="0"/>
              <w:rPr>
                <w:sz w:val="13"/>
                <w:szCs w:val="13"/>
                <w:color w:val="auto"/>
              </w:rPr>
            </w:pP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0.0</w:t>
            </w:r>
          </w:p>
        </w:tc>
        <w:tc>
          <w:tcPr>
            <w:tcW w:w="140" w:type="dxa"/>
            <w:vAlign w:val="bottom"/>
            <w:shd w:val="clear" w:color="auto" w:fill="CCEEFF"/>
          </w:tcPr>
          <w:p>
            <w:pPr>
              <w:spacing w:after="0"/>
              <w:rPr>
                <w:sz w:val="13"/>
                <w:szCs w:val="13"/>
                <w:color w:val="auto"/>
              </w:rPr>
            </w:pP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w:t>
            </w:r>
          </w:p>
        </w:tc>
      </w:tr>
      <w:tr>
        <w:trPr>
          <w:trHeight w:val="154"/>
        </w:trPr>
        <w:tc>
          <w:tcPr>
            <w:tcW w:w="2420" w:type="dxa"/>
            <w:vAlign w:val="bottom"/>
          </w:tcPr>
          <w:p>
            <w:pPr>
              <w:spacing w:after="0"/>
              <w:rPr>
                <w:sz w:val="20"/>
                <w:szCs w:val="20"/>
                <w:color w:val="auto"/>
              </w:rPr>
            </w:pPr>
            <w:r>
              <w:rPr>
                <w:rFonts w:ascii="Arial" w:cs="Arial" w:eastAsia="Arial" w:hAnsi="Arial"/>
                <w:sz w:val="13"/>
                <w:szCs w:val="13"/>
                <w:color w:val="auto"/>
              </w:rPr>
              <w:t>Mexico</w:t>
            </w:r>
          </w:p>
        </w:tc>
        <w:tc>
          <w:tcPr>
            <w:tcW w:w="140" w:type="dxa"/>
            <w:vAlign w:val="bottom"/>
          </w:tcPr>
          <w:p>
            <w:pPr>
              <w:spacing w:after="0"/>
              <w:rPr>
                <w:sz w:val="13"/>
                <w:szCs w:val="13"/>
                <w:color w:val="auto"/>
              </w:rPr>
            </w:pPr>
          </w:p>
        </w:tc>
        <w:tc>
          <w:tcPr>
            <w:tcW w:w="780" w:type="dxa"/>
            <w:vAlign w:val="bottom"/>
            <w:gridSpan w:val="2"/>
          </w:tcPr>
          <w:p>
            <w:pPr>
              <w:jc w:val="right"/>
              <w:ind w:right="240"/>
              <w:spacing w:after="0"/>
              <w:rPr>
                <w:sz w:val="20"/>
                <w:szCs w:val="20"/>
                <w:color w:val="auto"/>
              </w:rPr>
            </w:pPr>
            <w:r>
              <w:rPr>
                <w:rFonts w:ascii="Arial" w:cs="Arial" w:eastAsia="Arial" w:hAnsi="Arial"/>
                <w:sz w:val="13"/>
                <w:szCs w:val="13"/>
                <w:color w:val="auto"/>
              </w:rPr>
              <w:t>867</w:t>
            </w:r>
          </w:p>
        </w:tc>
        <w:tc>
          <w:tcPr>
            <w:tcW w:w="800" w:type="dxa"/>
            <w:vAlign w:val="bottom"/>
            <w:gridSpan w:val="2"/>
          </w:tcPr>
          <w:p>
            <w:pPr>
              <w:jc w:val="right"/>
              <w:ind w:right="100"/>
              <w:spacing w:after="0"/>
              <w:rPr>
                <w:sz w:val="20"/>
                <w:szCs w:val="20"/>
                <w:color w:val="auto"/>
              </w:rPr>
            </w:pPr>
            <w:r>
              <w:rPr>
                <w:rFonts w:ascii="Arial" w:cs="Arial" w:eastAsia="Arial" w:hAnsi="Arial"/>
                <w:sz w:val="13"/>
                <w:szCs w:val="13"/>
                <w:color w:val="auto"/>
              </w:rPr>
              <w:t>15.0</w:t>
            </w:r>
          </w:p>
        </w:tc>
        <w:tc>
          <w:tcPr>
            <w:tcW w:w="1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3"/>
                <w:szCs w:val="13"/>
                <w:color w:val="auto"/>
              </w:rPr>
              <w:t>850</w:t>
            </w:r>
          </w:p>
        </w:tc>
        <w:tc>
          <w:tcPr>
            <w:tcW w:w="740" w:type="dxa"/>
            <w:vAlign w:val="bottom"/>
            <w:gridSpan w:val="2"/>
          </w:tcPr>
          <w:p>
            <w:pPr>
              <w:jc w:val="right"/>
              <w:ind w:right="40"/>
              <w:spacing w:after="0"/>
              <w:rPr>
                <w:sz w:val="20"/>
                <w:szCs w:val="20"/>
                <w:color w:val="auto"/>
              </w:rPr>
            </w:pPr>
            <w:r>
              <w:rPr>
                <w:rFonts w:ascii="Arial" w:cs="Arial" w:eastAsia="Arial" w:hAnsi="Arial"/>
                <w:sz w:val="13"/>
                <w:szCs w:val="13"/>
                <w:color w:val="auto"/>
              </w:rPr>
              <w:t>15.4</w:t>
            </w:r>
          </w:p>
        </w:tc>
        <w:tc>
          <w:tcPr>
            <w:tcW w:w="1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20" w:type="dxa"/>
            <w:vAlign w:val="bottom"/>
            <w:gridSpan w:val="2"/>
          </w:tcPr>
          <w:p>
            <w:pPr>
              <w:jc w:val="right"/>
              <w:ind w:right="240"/>
              <w:spacing w:after="0"/>
              <w:rPr>
                <w:sz w:val="20"/>
                <w:szCs w:val="20"/>
                <w:color w:val="auto"/>
              </w:rPr>
            </w:pPr>
            <w:r>
              <w:rPr>
                <w:rFonts w:ascii="Arial" w:cs="Arial" w:eastAsia="Arial" w:hAnsi="Arial"/>
                <w:sz w:val="13"/>
                <w:szCs w:val="13"/>
                <w:color w:val="auto"/>
              </w:rPr>
              <w:t>927</w:t>
            </w:r>
          </w:p>
        </w:tc>
        <w:tc>
          <w:tcPr>
            <w:tcW w:w="920" w:type="dxa"/>
            <w:vAlign w:val="bottom"/>
            <w:gridSpan w:val="2"/>
          </w:tcPr>
          <w:p>
            <w:pPr>
              <w:jc w:val="right"/>
              <w:ind w:right="240"/>
              <w:spacing w:after="0"/>
              <w:rPr>
                <w:sz w:val="20"/>
                <w:szCs w:val="20"/>
                <w:color w:val="auto"/>
              </w:rPr>
            </w:pPr>
            <w:r>
              <w:rPr>
                <w:rFonts w:ascii="Arial" w:cs="Arial" w:eastAsia="Arial" w:hAnsi="Arial"/>
                <w:sz w:val="13"/>
                <w:szCs w:val="13"/>
                <w:color w:val="auto"/>
              </w:rPr>
              <w:t>15.4</w:t>
            </w:r>
          </w:p>
        </w:tc>
        <w:tc>
          <w:tcPr>
            <w:tcW w:w="140" w:type="dxa"/>
            <w:vAlign w:val="bottom"/>
          </w:tcPr>
          <w:p>
            <w:pPr>
              <w:spacing w:after="0"/>
              <w:rPr>
                <w:sz w:val="13"/>
                <w:szCs w:val="13"/>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3"/>
                <w:szCs w:val="13"/>
                <w:color w:val="auto"/>
              </w:rPr>
              <w:t>789</w:t>
            </w: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11.8</w:t>
            </w:r>
          </w:p>
        </w:tc>
        <w:tc>
          <w:tcPr>
            <w:tcW w:w="140" w:type="dxa"/>
            <w:vAlign w:val="bottom"/>
          </w:tcPr>
          <w:p>
            <w:pPr>
              <w:spacing w:after="0"/>
              <w:rPr>
                <w:sz w:val="13"/>
                <w:szCs w:val="13"/>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3"/>
                <w:szCs w:val="13"/>
                <w:color w:val="auto"/>
              </w:rPr>
              <w:t>868</w:t>
            </w:r>
          </w:p>
        </w:tc>
        <w:tc>
          <w:tcPr>
            <w:tcW w:w="780" w:type="dxa"/>
            <w:vAlign w:val="bottom"/>
            <w:gridSpan w:val="2"/>
          </w:tcPr>
          <w:p>
            <w:pPr>
              <w:jc w:val="right"/>
              <w:ind w:right="120"/>
              <w:spacing w:after="0"/>
              <w:rPr>
                <w:sz w:val="20"/>
                <w:szCs w:val="20"/>
                <w:color w:val="auto"/>
              </w:rPr>
            </w:pPr>
            <w:r>
              <w:rPr>
                <w:rFonts w:ascii="Arial" w:cs="Arial" w:eastAsia="Arial" w:hAnsi="Arial"/>
                <w:sz w:val="13"/>
                <w:szCs w:val="13"/>
                <w:color w:val="auto"/>
              </w:rPr>
              <w:t>13.0</w:t>
            </w:r>
          </w:p>
        </w:tc>
      </w:tr>
      <w:tr>
        <w:trPr>
          <w:trHeight w:val="154"/>
        </w:trPr>
        <w:tc>
          <w:tcPr>
            <w:tcW w:w="2420" w:type="dxa"/>
            <w:vAlign w:val="bottom"/>
            <w:shd w:val="clear" w:color="auto" w:fill="CCEEFF"/>
          </w:tcPr>
          <w:p>
            <w:pPr>
              <w:spacing w:after="0"/>
              <w:rPr>
                <w:sz w:val="20"/>
                <w:szCs w:val="20"/>
                <w:color w:val="auto"/>
              </w:rPr>
            </w:pPr>
            <w:r>
              <w:rPr>
                <w:rFonts w:ascii="Arial" w:cs="Arial" w:eastAsia="Arial" w:hAnsi="Arial"/>
                <w:sz w:val="13"/>
                <w:szCs w:val="13"/>
                <w:color w:val="auto"/>
              </w:rPr>
              <w:t>Netherlands</w:t>
            </w:r>
          </w:p>
        </w:tc>
        <w:tc>
          <w:tcPr>
            <w:tcW w:w="140" w:type="dxa"/>
            <w:vAlign w:val="bottom"/>
            <w:shd w:val="clear" w:color="auto" w:fill="CCEEFF"/>
          </w:tcPr>
          <w:p>
            <w:pPr>
              <w:spacing w:after="0"/>
              <w:rPr>
                <w:sz w:val="13"/>
                <w:szCs w:val="13"/>
                <w:color w:val="auto"/>
              </w:rPr>
            </w:pPr>
          </w:p>
        </w:tc>
        <w:tc>
          <w:tcPr>
            <w:tcW w:w="7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0</w:t>
            </w: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74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0.0</w:t>
            </w:r>
          </w:p>
        </w:tc>
        <w:tc>
          <w:tcPr>
            <w:tcW w:w="1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8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0</w:t>
            </w:r>
          </w:p>
        </w:tc>
        <w:tc>
          <w:tcPr>
            <w:tcW w:w="9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0.0</w:t>
            </w:r>
          </w:p>
        </w:tc>
        <w:tc>
          <w:tcPr>
            <w:tcW w:w="140" w:type="dxa"/>
            <w:vAlign w:val="bottom"/>
            <w:shd w:val="clear" w:color="auto" w:fill="CCEEFF"/>
          </w:tcPr>
          <w:p>
            <w:pPr>
              <w:spacing w:after="0"/>
              <w:rPr>
                <w:sz w:val="13"/>
                <w:szCs w:val="13"/>
                <w:color w:val="auto"/>
              </w:rPr>
            </w:pP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0.0</w:t>
            </w:r>
          </w:p>
        </w:tc>
        <w:tc>
          <w:tcPr>
            <w:tcW w:w="140" w:type="dxa"/>
            <w:vAlign w:val="bottom"/>
            <w:shd w:val="clear" w:color="auto" w:fill="CCEEFF"/>
          </w:tcPr>
          <w:p>
            <w:pPr>
              <w:spacing w:after="0"/>
              <w:rPr>
                <w:sz w:val="13"/>
                <w:szCs w:val="13"/>
                <w:color w:val="auto"/>
              </w:rPr>
            </w:pP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10</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0.2</w:t>
            </w:r>
          </w:p>
        </w:tc>
      </w:tr>
      <w:tr>
        <w:trPr>
          <w:trHeight w:val="154"/>
        </w:trPr>
        <w:tc>
          <w:tcPr>
            <w:tcW w:w="2420" w:type="dxa"/>
            <w:vAlign w:val="bottom"/>
          </w:tcPr>
          <w:p>
            <w:pPr>
              <w:spacing w:after="0"/>
              <w:rPr>
                <w:sz w:val="20"/>
                <w:szCs w:val="20"/>
                <w:color w:val="auto"/>
              </w:rPr>
            </w:pPr>
            <w:r>
              <w:rPr>
                <w:rFonts w:ascii="Arial" w:cs="Arial" w:eastAsia="Arial" w:hAnsi="Arial"/>
                <w:sz w:val="13"/>
                <w:szCs w:val="13"/>
                <w:color w:val="auto"/>
              </w:rPr>
              <w:t>Nicaragua</w:t>
            </w:r>
          </w:p>
        </w:tc>
        <w:tc>
          <w:tcPr>
            <w:tcW w:w="140" w:type="dxa"/>
            <w:vAlign w:val="bottom"/>
          </w:tcPr>
          <w:p>
            <w:pPr>
              <w:spacing w:after="0"/>
              <w:rPr>
                <w:sz w:val="13"/>
                <w:szCs w:val="13"/>
                <w:color w:val="auto"/>
              </w:rPr>
            </w:pPr>
          </w:p>
        </w:tc>
        <w:tc>
          <w:tcPr>
            <w:tcW w:w="780" w:type="dxa"/>
            <w:vAlign w:val="bottom"/>
            <w:gridSpan w:val="2"/>
          </w:tcPr>
          <w:p>
            <w:pPr>
              <w:jc w:val="right"/>
              <w:ind w:right="240"/>
              <w:spacing w:after="0"/>
              <w:rPr>
                <w:sz w:val="20"/>
                <w:szCs w:val="20"/>
                <w:color w:val="auto"/>
              </w:rPr>
            </w:pPr>
            <w:r>
              <w:rPr>
                <w:rFonts w:ascii="Arial" w:cs="Arial" w:eastAsia="Arial" w:hAnsi="Arial"/>
                <w:sz w:val="13"/>
                <w:szCs w:val="13"/>
                <w:color w:val="auto"/>
              </w:rPr>
              <w:t>0</w:t>
            </w:r>
          </w:p>
        </w:tc>
        <w:tc>
          <w:tcPr>
            <w:tcW w:w="700" w:type="dxa"/>
            <w:vAlign w:val="bottom"/>
          </w:tcPr>
          <w:p>
            <w:pPr>
              <w:jc w:val="right"/>
              <w:spacing w:after="0"/>
              <w:rPr>
                <w:sz w:val="20"/>
                <w:szCs w:val="20"/>
                <w:color w:val="auto"/>
              </w:rPr>
            </w:pPr>
            <w:r>
              <w:rPr>
                <w:rFonts w:ascii="Arial" w:cs="Arial" w:eastAsia="Arial" w:hAnsi="Arial"/>
                <w:sz w:val="13"/>
                <w:szCs w:val="13"/>
                <w:color w:val="auto"/>
              </w:rPr>
              <w:t>0.0</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3"/>
                <w:szCs w:val="13"/>
                <w:color w:val="auto"/>
              </w:rPr>
              <w:t>30</w:t>
            </w:r>
          </w:p>
        </w:tc>
        <w:tc>
          <w:tcPr>
            <w:tcW w:w="740" w:type="dxa"/>
            <w:vAlign w:val="bottom"/>
            <w:gridSpan w:val="2"/>
          </w:tcPr>
          <w:p>
            <w:pPr>
              <w:jc w:val="right"/>
              <w:ind w:right="40"/>
              <w:spacing w:after="0"/>
              <w:rPr>
                <w:sz w:val="20"/>
                <w:szCs w:val="20"/>
                <w:color w:val="auto"/>
              </w:rPr>
            </w:pPr>
            <w:r>
              <w:rPr>
                <w:rFonts w:ascii="Arial" w:cs="Arial" w:eastAsia="Arial" w:hAnsi="Arial"/>
                <w:sz w:val="13"/>
                <w:szCs w:val="13"/>
                <w:color w:val="auto"/>
              </w:rPr>
              <w:t>0.5</w:t>
            </w:r>
          </w:p>
        </w:tc>
        <w:tc>
          <w:tcPr>
            <w:tcW w:w="1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580" w:type="dxa"/>
            <w:vAlign w:val="bottom"/>
          </w:tcPr>
          <w:p>
            <w:pPr>
              <w:jc w:val="right"/>
              <w:spacing w:after="0"/>
              <w:rPr>
                <w:sz w:val="20"/>
                <w:szCs w:val="20"/>
                <w:color w:val="auto"/>
              </w:rPr>
            </w:pPr>
            <w:r>
              <w:rPr>
                <w:rFonts w:ascii="Arial" w:cs="Arial" w:eastAsia="Arial" w:hAnsi="Arial"/>
                <w:sz w:val="13"/>
                <w:szCs w:val="13"/>
                <w:color w:val="auto"/>
              </w:rPr>
              <w:t>37</w:t>
            </w:r>
          </w:p>
        </w:tc>
        <w:tc>
          <w:tcPr>
            <w:tcW w:w="240" w:type="dxa"/>
            <w:vAlign w:val="bottom"/>
          </w:tcPr>
          <w:p>
            <w:pPr>
              <w:spacing w:after="0"/>
              <w:rPr>
                <w:sz w:val="13"/>
                <w:szCs w:val="13"/>
                <w:color w:val="auto"/>
              </w:rPr>
            </w:pPr>
          </w:p>
        </w:tc>
        <w:tc>
          <w:tcPr>
            <w:tcW w:w="920" w:type="dxa"/>
            <w:vAlign w:val="bottom"/>
            <w:gridSpan w:val="2"/>
          </w:tcPr>
          <w:p>
            <w:pPr>
              <w:jc w:val="right"/>
              <w:ind w:right="240"/>
              <w:spacing w:after="0"/>
              <w:rPr>
                <w:sz w:val="20"/>
                <w:szCs w:val="20"/>
                <w:color w:val="auto"/>
              </w:rPr>
            </w:pPr>
            <w:r>
              <w:rPr>
                <w:rFonts w:ascii="Arial" w:cs="Arial" w:eastAsia="Arial" w:hAnsi="Arial"/>
                <w:sz w:val="13"/>
                <w:szCs w:val="13"/>
                <w:color w:val="auto"/>
              </w:rPr>
              <w:t>0.6</w:t>
            </w:r>
          </w:p>
        </w:tc>
        <w:tc>
          <w:tcPr>
            <w:tcW w:w="140" w:type="dxa"/>
            <w:vAlign w:val="bottom"/>
          </w:tcPr>
          <w:p>
            <w:pPr>
              <w:spacing w:after="0"/>
              <w:rPr>
                <w:sz w:val="13"/>
                <w:szCs w:val="13"/>
                <w:color w:val="auto"/>
              </w:rPr>
            </w:pPr>
          </w:p>
        </w:tc>
        <w:tc>
          <w:tcPr>
            <w:tcW w:w="560" w:type="dxa"/>
            <w:vAlign w:val="bottom"/>
          </w:tcPr>
          <w:p>
            <w:pPr>
              <w:jc w:val="right"/>
              <w:spacing w:after="0"/>
              <w:rPr>
                <w:sz w:val="20"/>
                <w:szCs w:val="20"/>
                <w:color w:val="auto"/>
              </w:rPr>
            </w:pPr>
            <w:r>
              <w:rPr>
                <w:rFonts w:ascii="Arial" w:cs="Arial" w:eastAsia="Arial" w:hAnsi="Arial"/>
                <w:sz w:val="13"/>
                <w:szCs w:val="13"/>
                <w:color w:val="auto"/>
              </w:rPr>
              <w:t>17</w:t>
            </w:r>
          </w:p>
        </w:tc>
        <w:tc>
          <w:tcPr>
            <w:tcW w:w="220" w:type="dxa"/>
            <w:vAlign w:val="bottom"/>
          </w:tcPr>
          <w:p>
            <w:pPr>
              <w:spacing w:after="0"/>
              <w:rPr>
                <w:sz w:val="13"/>
                <w:szCs w:val="13"/>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0.3</w:t>
            </w:r>
          </w:p>
        </w:tc>
        <w:tc>
          <w:tcPr>
            <w:tcW w:w="140" w:type="dxa"/>
            <w:vAlign w:val="bottom"/>
          </w:tcPr>
          <w:p>
            <w:pPr>
              <w:spacing w:after="0"/>
              <w:rPr>
                <w:sz w:val="13"/>
                <w:szCs w:val="13"/>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3"/>
                <w:szCs w:val="13"/>
                <w:color w:val="auto"/>
              </w:rPr>
              <w:t>8</w:t>
            </w:r>
          </w:p>
        </w:tc>
        <w:tc>
          <w:tcPr>
            <w:tcW w:w="780" w:type="dxa"/>
            <w:vAlign w:val="bottom"/>
            <w:gridSpan w:val="2"/>
          </w:tcPr>
          <w:p>
            <w:pPr>
              <w:jc w:val="right"/>
              <w:ind w:right="120"/>
              <w:spacing w:after="0"/>
              <w:rPr>
                <w:sz w:val="20"/>
                <w:szCs w:val="20"/>
                <w:color w:val="auto"/>
              </w:rPr>
            </w:pPr>
            <w:r>
              <w:rPr>
                <w:rFonts w:ascii="Arial" w:cs="Arial" w:eastAsia="Arial" w:hAnsi="Arial"/>
                <w:sz w:val="13"/>
                <w:szCs w:val="13"/>
                <w:color w:val="auto"/>
              </w:rPr>
              <w:t>0.1</w:t>
            </w:r>
          </w:p>
        </w:tc>
      </w:tr>
      <w:tr>
        <w:trPr>
          <w:trHeight w:val="154"/>
        </w:trPr>
        <w:tc>
          <w:tcPr>
            <w:tcW w:w="2420" w:type="dxa"/>
            <w:vAlign w:val="bottom"/>
            <w:shd w:val="clear" w:color="auto" w:fill="CCEEFF"/>
          </w:tcPr>
          <w:p>
            <w:pPr>
              <w:spacing w:after="0"/>
              <w:rPr>
                <w:sz w:val="20"/>
                <w:szCs w:val="20"/>
                <w:color w:val="auto"/>
              </w:rPr>
            </w:pPr>
            <w:r>
              <w:rPr>
                <w:rFonts w:ascii="Arial" w:cs="Arial" w:eastAsia="Arial" w:hAnsi="Arial"/>
                <w:sz w:val="13"/>
                <w:szCs w:val="13"/>
                <w:color w:val="auto"/>
              </w:rPr>
              <w:t>Panama</w:t>
            </w:r>
          </w:p>
        </w:tc>
        <w:tc>
          <w:tcPr>
            <w:tcW w:w="140" w:type="dxa"/>
            <w:vAlign w:val="bottom"/>
            <w:shd w:val="clear" w:color="auto" w:fill="CCEEFF"/>
          </w:tcPr>
          <w:p>
            <w:pPr>
              <w:spacing w:after="0"/>
              <w:rPr>
                <w:sz w:val="13"/>
                <w:szCs w:val="13"/>
                <w:color w:val="auto"/>
              </w:rPr>
            </w:pPr>
          </w:p>
        </w:tc>
        <w:tc>
          <w:tcPr>
            <w:tcW w:w="7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485</w:t>
            </w: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8.4</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500</w:t>
            </w:r>
          </w:p>
        </w:tc>
        <w:tc>
          <w:tcPr>
            <w:tcW w:w="74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9.1</w:t>
            </w:r>
          </w:p>
        </w:tc>
        <w:tc>
          <w:tcPr>
            <w:tcW w:w="1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8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499</w:t>
            </w:r>
          </w:p>
        </w:tc>
        <w:tc>
          <w:tcPr>
            <w:tcW w:w="9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8.3</w:t>
            </w:r>
          </w:p>
        </w:tc>
        <w:tc>
          <w:tcPr>
            <w:tcW w:w="140" w:type="dxa"/>
            <w:vAlign w:val="bottom"/>
            <w:shd w:val="clear" w:color="auto" w:fill="CCEEFF"/>
          </w:tcPr>
          <w:p>
            <w:pPr>
              <w:spacing w:after="0"/>
              <w:rPr>
                <w:sz w:val="13"/>
                <w:szCs w:val="13"/>
                <w:color w:val="auto"/>
              </w:rPr>
            </w:pP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455</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6.8</w:t>
            </w:r>
          </w:p>
        </w:tc>
        <w:tc>
          <w:tcPr>
            <w:tcW w:w="140" w:type="dxa"/>
            <w:vAlign w:val="bottom"/>
            <w:shd w:val="clear" w:color="auto" w:fill="CCEEFF"/>
          </w:tcPr>
          <w:p>
            <w:pPr>
              <w:spacing w:after="0"/>
              <w:rPr>
                <w:sz w:val="13"/>
                <w:szCs w:val="13"/>
                <w:color w:val="auto"/>
              </w:rPr>
            </w:pP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321</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4.8</w:t>
            </w:r>
          </w:p>
        </w:tc>
      </w:tr>
      <w:tr>
        <w:trPr>
          <w:trHeight w:val="154"/>
        </w:trPr>
        <w:tc>
          <w:tcPr>
            <w:tcW w:w="2420" w:type="dxa"/>
            <w:vAlign w:val="bottom"/>
          </w:tcPr>
          <w:p>
            <w:pPr>
              <w:spacing w:after="0"/>
              <w:rPr>
                <w:sz w:val="20"/>
                <w:szCs w:val="20"/>
                <w:color w:val="auto"/>
              </w:rPr>
            </w:pPr>
            <w:r>
              <w:rPr>
                <w:rFonts w:ascii="Arial" w:cs="Arial" w:eastAsia="Arial" w:hAnsi="Arial"/>
                <w:sz w:val="13"/>
                <w:szCs w:val="13"/>
                <w:color w:val="auto"/>
              </w:rPr>
              <w:t>Paraguay</w:t>
            </w:r>
          </w:p>
        </w:tc>
        <w:tc>
          <w:tcPr>
            <w:tcW w:w="140" w:type="dxa"/>
            <w:vAlign w:val="bottom"/>
          </w:tcPr>
          <w:p>
            <w:pPr>
              <w:spacing w:after="0"/>
              <w:rPr>
                <w:sz w:val="13"/>
                <w:szCs w:val="13"/>
                <w:color w:val="auto"/>
              </w:rPr>
            </w:pPr>
          </w:p>
        </w:tc>
        <w:tc>
          <w:tcPr>
            <w:tcW w:w="780" w:type="dxa"/>
            <w:vAlign w:val="bottom"/>
            <w:gridSpan w:val="2"/>
          </w:tcPr>
          <w:p>
            <w:pPr>
              <w:jc w:val="right"/>
              <w:ind w:right="240"/>
              <w:spacing w:after="0"/>
              <w:rPr>
                <w:sz w:val="20"/>
                <w:szCs w:val="20"/>
                <w:color w:val="auto"/>
              </w:rPr>
            </w:pPr>
            <w:r>
              <w:rPr>
                <w:rFonts w:ascii="Arial" w:cs="Arial" w:eastAsia="Arial" w:hAnsi="Arial"/>
                <w:sz w:val="13"/>
                <w:szCs w:val="13"/>
                <w:color w:val="auto"/>
              </w:rPr>
              <w:t>159</w:t>
            </w:r>
          </w:p>
        </w:tc>
        <w:tc>
          <w:tcPr>
            <w:tcW w:w="700" w:type="dxa"/>
            <w:vAlign w:val="bottom"/>
          </w:tcPr>
          <w:p>
            <w:pPr>
              <w:jc w:val="right"/>
              <w:spacing w:after="0"/>
              <w:rPr>
                <w:sz w:val="20"/>
                <w:szCs w:val="20"/>
                <w:color w:val="auto"/>
              </w:rPr>
            </w:pPr>
            <w:r>
              <w:rPr>
                <w:rFonts w:ascii="Arial" w:cs="Arial" w:eastAsia="Arial" w:hAnsi="Arial"/>
                <w:sz w:val="13"/>
                <w:szCs w:val="13"/>
                <w:color w:val="auto"/>
              </w:rPr>
              <w:t>2.7</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3"/>
                <w:szCs w:val="13"/>
                <w:color w:val="auto"/>
              </w:rPr>
              <w:t>60</w:t>
            </w:r>
          </w:p>
        </w:tc>
        <w:tc>
          <w:tcPr>
            <w:tcW w:w="740" w:type="dxa"/>
            <w:vAlign w:val="bottom"/>
            <w:gridSpan w:val="2"/>
          </w:tcPr>
          <w:p>
            <w:pPr>
              <w:jc w:val="right"/>
              <w:ind w:right="40"/>
              <w:spacing w:after="0"/>
              <w:rPr>
                <w:sz w:val="20"/>
                <w:szCs w:val="20"/>
                <w:color w:val="auto"/>
              </w:rPr>
            </w:pPr>
            <w:r>
              <w:rPr>
                <w:rFonts w:ascii="Arial" w:cs="Arial" w:eastAsia="Arial" w:hAnsi="Arial"/>
                <w:sz w:val="13"/>
                <w:szCs w:val="13"/>
                <w:color w:val="auto"/>
              </w:rPr>
              <w:t>1.1</w:t>
            </w:r>
          </w:p>
        </w:tc>
        <w:tc>
          <w:tcPr>
            <w:tcW w:w="1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20" w:type="dxa"/>
            <w:vAlign w:val="bottom"/>
            <w:gridSpan w:val="2"/>
          </w:tcPr>
          <w:p>
            <w:pPr>
              <w:jc w:val="right"/>
              <w:ind w:right="240"/>
              <w:spacing w:after="0"/>
              <w:rPr>
                <w:sz w:val="20"/>
                <w:szCs w:val="20"/>
                <w:color w:val="auto"/>
              </w:rPr>
            </w:pPr>
            <w:r>
              <w:rPr>
                <w:rFonts w:ascii="Arial" w:cs="Arial" w:eastAsia="Arial" w:hAnsi="Arial"/>
                <w:sz w:val="13"/>
                <w:szCs w:val="13"/>
                <w:color w:val="auto"/>
              </w:rPr>
              <w:t>108</w:t>
            </w:r>
          </w:p>
        </w:tc>
        <w:tc>
          <w:tcPr>
            <w:tcW w:w="920" w:type="dxa"/>
            <w:vAlign w:val="bottom"/>
            <w:gridSpan w:val="2"/>
          </w:tcPr>
          <w:p>
            <w:pPr>
              <w:jc w:val="right"/>
              <w:ind w:right="240"/>
              <w:spacing w:after="0"/>
              <w:rPr>
                <w:sz w:val="20"/>
                <w:szCs w:val="20"/>
                <w:color w:val="auto"/>
              </w:rPr>
            </w:pPr>
            <w:r>
              <w:rPr>
                <w:rFonts w:ascii="Arial" w:cs="Arial" w:eastAsia="Arial" w:hAnsi="Arial"/>
                <w:sz w:val="13"/>
                <w:szCs w:val="13"/>
                <w:color w:val="auto"/>
              </w:rPr>
              <w:t>1.8</w:t>
            </w:r>
          </w:p>
        </w:tc>
        <w:tc>
          <w:tcPr>
            <w:tcW w:w="140" w:type="dxa"/>
            <w:vAlign w:val="bottom"/>
          </w:tcPr>
          <w:p>
            <w:pPr>
              <w:spacing w:after="0"/>
              <w:rPr>
                <w:sz w:val="13"/>
                <w:szCs w:val="13"/>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3"/>
                <w:szCs w:val="13"/>
                <w:color w:val="auto"/>
              </w:rPr>
              <w:t>116</w:t>
            </w: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1.7</w:t>
            </w:r>
          </w:p>
        </w:tc>
        <w:tc>
          <w:tcPr>
            <w:tcW w:w="140" w:type="dxa"/>
            <w:vAlign w:val="bottom"/>
          </w:tcPr>
          <w:p>
            <w:pPr>
              <w:spacing w:after="0"/>
              <w:rPr>
                <w:sz w:val="13"/>
                <w:szCs w:val="13"/>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3"/>
                <w:szCs w:val="13"/>
                <w:color w:val="auto"/>
              </w:rPr>
              <w:t>132</w:t>
            </w:r>
          </w:p>
        </w:tc>
        <w:tc>
          <w:tcPr>
            <w:tcW w:w="780" w:type="dxa"/>
            <w:vAlign w:val="bottom"/>
            <w:gridSpan w:val="2"/>
          </w:tcPr>
          <w:p>
            <w:pPr>
              <w:jc w:val="right"/>
              <w:ind w:right="120"/>
              <w:spacing w:after="0"/>
              <w:rPr>
                <w:sz w:val="20"/>
                <w:szCs w:val="20"/>
                <w:color w:val="auto"/>
              </w:rPr>
            </w:pPr>
            <w:r>
              <w:rPr>
                <w:rFonts w:ascii="Arial" w:cs="Arial" w:eastAsia="Arial" w:hAnsi="Arial"/>
                <w:sz w:val="13"/>
                <w:szCs w:val="13"/>
                <w:color w:val="auto"/>
              </w:rPr>
              <w:t>2.0</w:t>
            </w:r>
          </w:p>
        </w:tc>
      </w:tr>
      <w:tr>
        <w:trPr>
          <w:trHeight w:val="154"/>
        </w:trPr>
        <w:tc>
          <w:tcPr>
            <w:tcW w:w="2420" w:type="dxa"/>
            <w:vAlign w:val="bottom"/>
            <w:shd w:val="clear" w:color="auto" w:fill="CCEEFF"/>
          </w:tcPr>
          <w:p>
            <w:pPr>
              <w:spacing w:after="0"/>
              <w:rPr>
                <w:sz w:val="20"/>
                <w:szCs w:val="20"/>
                <w:color w:val="auto"/>
              </w:rPr>
            </w:pPr>
            <w:r>
              <w:rPr>
                <w:rFonts w:ascii="Arial" w:cs="Arial" w:eastAsia="Arial" w:hAnsi="Arial"/>
                <w:sz w:val="13"/>
                <w:szCs w:val="13"/>
                <w:color w:val="auto"/>
              </w:rPr>
              <w:t>Peru</w:t>
            </w:r>
          </w:p>
        </w:tc>
        <w:tc>
          <w:tcPr>
            <w:tcW w:w="140" w:type="dxa"/>
            <w:vAlign w:val="bottom"/>
            <w:shd w:val="clear" w:color="auto" w:fill="CCEEFF"/>
          </w:tcPr>
          <w:p>
            <w:pPr>
              <w:spacing w:after="0"/>
              <w:rPr>
                <w:sz w:val="13"/>
                <w:szCs w:val="13"/>
                <w:color w:val="auto"/>
              </w:rPr>
            </w:pPr>
          </w:p>
        </w:tc>
        <w:tc>
          <w:tcPr>
            <w:tcW w:w="7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78</w:t>
            </w: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1.4</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212</w:t>
            </w:r>
          </w:p>
        </w:tc>
        <w:tc>
          <w:tcPr>
            <w:tcW w:w="74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3.8</w:t>
            </w:r>
          </w:p>
        </w:tc>
        <w:tc>
          <w:tcPr>
            <w:tcW w:w="1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8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467</w:t>
            </w:r>
          </w:p>
        </w:tc>
        <w:tc>
          <w:tcPr>
            <w:tcW w:w="9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7.8</w:t>
            </w:r>
          </w:p>
        </w:tc>
        <w:tc>
          <w:tcPr>
            <w:tcW w:w="140" w:type="dxa"/>
            <w:vAlign w:val="bottom"/>
            <w:shd w:val="clear" w:color="auto" w:fill="CCEEFF"/>
          </w:tcPr>
          <w:p>
            <w:pPr>
              <w:spacing w:after="0"/>
              <w:rPr>
                <w:sz w:val="13"/>
                <w:szCs w:val="13"/>
                <w:color w:val="auto"/>
              </w:rPr>
            </w:pP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511</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7.6</w:t>
            </w:r>
          </w:p>
        </w:tc>
        <w:tc>
          <w:tcPr>
            <w:tcW w:w="140" w:type="dxa"/>
            <w:vAlign w:val="bottom"/>
            <w:shd w:val="clear" w:color="auto" w:fill="CCEEFF"/>
          </w:tcPr>
          <w:p>
            <w:pPr>
              <w:spacing w:after="0"/>
              <w:rPr>
                <w:sz w:val="13"/>
                <w:szCs w:val="13"/>
                <w:color w:val="auto"/>
              </w:rPr>
            </w:pP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590</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8.8</w:t>
            </w:r>
          </w:p>
        </w:tc>
      </w:tr>
      <w:tr>
        <w:trPr>
          <w:trHeight w:val="154"/>
        </w:trPr>
        <w:tc>
          <w:tcPr>
            <w:tcW w:w="2420" w:type="dxa"/>
            <w:vAlign w:val="bottom"/>
          </w:tcPr>
          <w:p>
            <w:pPr>
              <w:spacing w:after="0"/>
              <w:rPr>
                <w:sz w:val="20"/>
                <w:szCs w:val="20"/>
                <w:color w:val="auto"/>
              </w:rPr>
            </w:pPr>
            <w:r>
              <w:rPr>
                <w:rFonts w:ascii="Arial" w:cs="Arial" w:eastAsia="Arial" w:hAnsi="Arial"/>
                <w:sz w:val="13"/>
                <w:szCs w:val="13"/>
                <w:color w:val="auto"/>
              </w:rPr>
              <w:t>Singapore</w:t>
            </w:r>
          </w:p>
        </w:tc>
        <w:tc>
          <w:tcPr>
            <w:tcW w:w="140" w:type="dxa"/>
            <w:vAlign w:val="bottom"/>
          </w:tcPr>
          <w:p>
            <w:pPr>
              <w:spacing w:after="0"/>
              <w:rPr>
                <w:sz w:val="13"/>
                <w:szCs w:val="13"/>
                <w:color w:val="auto"/>
              </w:rPr>
            </w:pPr>
          </w:p>
        </w:tc>
        <w:tc>
          <w:tcPr>
            <w:tcW w:w="780" w:type="dxa"/>
            <w:vAlign w:val="bottom"/>
            <w:gridSpan w:val="2"/>
          </w:tcPr>
          <w:p>
            <w:pPr>
              <w:jc w:val="right"/>
              <w:ind w:right="240"/>
              <w:spacing w:after="0"/>
              <w:rPr>
                <w:sz w:val="20"/>
                <w:szCs w:val="20"/>
                <w:color w:val="auto"/>
              </w:rPr>
            </w:pPr>
            <w:r>
              <w:rPr>
                <w:rFonts w:ascii="Arial" w:cs="Arial" w:eastAsia="Arial" w:hAnsi="Arial"/>
                <w:sz w:val="13"/>
                <w:szCs w:val="13"/>
                <w:color w:val="auto"/>
              </w:rPr>
              <w:t>39</w:t>
            </w:r>
          </w:p>
        </w:tc>
        <w:tc>
          <w:tcPr>
            <w:tcW w:w="700" w:type="dxa"/>
            <w:vAlign w:val="bottom"/>
          </w:tcPr>
          <w:p>
            <w:pPr>
              <w:jc w:val="right"/>
              <w:spacing w:after="0"/>
              <w:rPr>
                <w:sz w:val="20"/>
                <w:szCs w:val="20"/>
                <w:color w:val="auto"/>
              </w:rPr>
            </w:pPr>
            <w:r>
              <w:rPr>
                <w:rFonts w:ascii="Arial" w:cs="Arial" w:eastAsia="Arial" w:hAnsi="Arial"/>
                <w:sz w:val="13"/>
                <w:szCs w:val="13"/>
                <w:color w:val="auto"/>
              </w:rPr>
              <w:t>0.7</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3"/>
                <w:szCs w:val="13"/>
                <w:color w:val="auto"/>
              </w:rPr>
              <w:t>55</w:t>
            </w:r>
          </w:p>
        </w:tc>
        <w:tc>
          <w:tcPr>
            <w:tcW w:w="740" w:type="dxa"/>
            <w:vAlign w:val="bottom"/>
            <w:gridSpan w:val="2"/>
          </w:tcPr>
          <w:p>
            <w:pPr>
              <w:jc w:val="right"/>
              <w:ind w:right="40"/>
              <w:spacing w:after="0"/>
              <w:rPr>
                <w:sz w:val="20"/>
                <w:szCs w:val="20"/>
                <w:color w:val="auto"/>
              </w:rPr>
            </w:pPr>
            <w:r>
              <w:rPr>
                <w:rFonts w:ascii="Arial" w:cs="Arial" w:eastAsia="Arial" w:hAnsi="Arial"/>
                <w:sz w:val="13"/>
                <w:szCs w:val="13"/>
                <w:color w:val="auto"/>
              </w:rPr>
              <w:t>1.0</w:t>
            </w:r>
          </w:p>
        </w:tc>
        <w:tc>
          <w:tcPr>
            <w:tcW w:w="1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580" w:type="dxa"/>
            <w:vAlign w:val="bottom"/>
          </w:tcPr>
          <w:p>
            <w:pPr>
              <w:jc w:val="right"/>
              <w:spacing w:after="0"/>
              <w:rPr>
                <w:sz w:val="20"/>
                <w:szCs w:val="20"/>
                <w:color w:val="auto"/>
              </w:rPr>
            </w:pPr>
            <w:r>
              <w:rPr>
                <w:rFonts w:ascii="Arial" w:cs="Arial" w:eastAsia="Arial" w:hAnsi="Arial"/>
                <w:sz w:val="13"/>
                <w:szCs w:val="13"/>
                <w:color w:val="auto"/>
              </w:rPr>
              <w:t>70</w:t>
            </w:r>
          </w:p>
        </w:tc>
        <w:tc>
          <w:tcPr>
            <w:tcW w:w="240" w:type="dxa"/>
            <w:vAlign w:val="bottom"/>
          </w:tcPr>
          <w:p>
            <w:pPr>
              <w:spacing w:after="0"/>
              <w:rPr>
                <w:sz w:val="13"/>
                <w:szCs w:val="13"/>
                <w:color w:val="auto"/>
              </w:rPr>
            </w:pPr>
          </w:p>
        </w:tc>
        <w:tc>
          <w:tcPr>
            <w:tcW w:w="920" w:type="dxa"/>
            <w:vAlign w:val="bottom"/>
            <w:gridSpan w:val="2"/>
          </w:tcPr>
          <w:p>
            <w:pPr>
              <w:jc w:val="right"/>
              <w:ind w:right="240"/>
              <w:spacing w:after="0"/>
              <w:rPr>
                <w:sz w:val="20"/>
                <w:szCs w:val="20"/>
                <w:color w:val="auto"/>
              </w:rPr>
            </w:pPr>
            <w:r>
              <w:rPr>
                <w:rFonts w:ascii="Arial" w:cs="Arial" w:eastAsia="Arial" w:hAnsi="Arial"/>
                <w:sz w:val="13"/>
                <w:szCs w:val="13"/>
                <w:color w:val="auto"/>
              </w:rPr>
              <w:t>1.2</w:t>
            </w:r>
          </w:p>
        </w:tc>
        <w:tc>
          <w:tcPr>
            <w:tcW w:w="140" w:type="dxa"/>
            <w:vAlign w:val="bottom"/>
          </w:tcPr>
          <w:p>
            <w:pPr>
              <w:spacing w:after="0"/>
              <w:rPr>
                <w:sz w:val="13"/>
                <w:szCs w:val="13"/>
                <w:color w:val="auto"/>
              </w:rPr>
            </w:pPr>
          </w:p>
        </w:tc>
        <w:tc>
          <w:tcPr>
            <w:tcW w:w="560" w:type="dxa"/>
            <w:vAlign w:val="bottom"/>
          </w:tcPr>
          <w:p>
            <w:pPr>
              <w:jc w:val="right"/>
              <w:spacing w:after="0"/>
              <w:rPr>
                <w:sz w:val="20"/>
                <w:szCs w:val="20"/>
                <w:color w:val="auto"/>
              </w:rPr>
            </w:pPr>
            <w:r>
              <w:rPr>
                <w:rFonts w:ascii="Arial" w:cs="Arial" w:eastAsia="Arial" w:hAnsi="Arial"/>
                <w:sz w:val="13"/>
                <w:szCs w:val="13"/>
                <w:color w:val="auto"/>
              </w:rPr>
              <w:t>12</w:t>
            </w:r>
          </w:p>
        </w:tc>
        <w:tc>
          <w:tcPr>
            <w:tcW w:w="220" w:type="dxa"/>
            <w:vAlign w:val="bottom"/>
          </w:tcPr>
          <w:p>
            <w:pPr>
              <w:spacing w:after="0"/>
              <w:rPr>
                <w:sz w:val="13"/>
                <w:szCs w:val="13"/>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0.2</w:t>
            </w:r>
          </w:p>
        </w:tc>
        <w:tc>
          <w:tcPr>
            <w:tcW w:w="140" w:type="dxa"/>
            <w:vAlign w:val="bottom"/>
          </w:tcPr>
          <w:p>
            <w:pPr>
              <w:spacing w:after="0"/>
              <w:rPr>
                <w:sz w:val="13"/>
                <w:szCs w:val="13"/>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780" w:type="dxa"/>
            <w:vAlign w:val="bottom"/>
            <w:gridSpan w:val="2"/>
          </w:tcPr>
          <w:p>
            <w:pPr>
              <w:jc w:val="right"/>
              <w:ind w:right="120"/>
              <w:spacing w:after="0"/>
              <w:rPr>
                <w:sz w:val="20"/>
                <w:szCs w:val="20"/>
                <w:color w:val="auto"/>
              </w:rPr>
            </w:pPr>
            <w:r>
              <w:rPr>
                <w:rFonts w:ascii="Arial" w:cs="Arial" w:eastAsia="Arial" w:hAnsi="Arial"/>
                <w:sz w:val="13"/>
                <w:szCs w:val="13"/>
                <w:color w:val="auto"/>
              </w:rPr>
              <w:t>0.0</w:t>
            </w:r>
          </w:p>
        </w:tc>
      </w:tr>
      <w:tr>
        <w:trPr>
          <w:trHeight w:val="154"/>
        </w:trPr>
        <w:tc>
          <w:tcPr>
            <w:tcW w:w="2420" w:type="dxa"/>
            <w:vAlign w:val="bottom"/>
            <w:shd w:val="clear" w:color="auto" w:fill="CCEEFF"/>
          </w:tcPr>
          <w:p>
            <w:pPr>
              <w:spacing w:after="0"/>
              <w:rPr>
                <w:sz w:val="20"/>
                <w:szCs w:val="20"/>
                <w:color w:val="auto"/>
              </w:rPr>
            </w:pPr>
            <w:r>
              <w:rPr>
                <w:rFonts w:ascii="Arial" w:cs="Arial" w:eastAsia="Arial" w:hAnsi="Arial"/>
                <w:sz w:val="13"/>
                <w:szCs w:val="13"/>
                <w:color w:val="auto"/>
              </w:rPr>
              <w:t>Switzerland</w:t>
            </w:r>
          </w:p>
        </w:tc>
        <w:tc>
          <w:tcPr>
            <w:tcW w:w="140" w:type="dxa"/>
            <w:vAlign w:val="bottom"/>
            <w:shd w:val="clear" w:color="auto" w:fill="CCEEFF"/>
          </w:tcPr>
          <w:p>
            <w:pPr>
              <w:spacing w:after="0"/>
              <w:rPr>
                <w:sz w:val="13"/>
                <w:szCs w:val="13"/>
                <w:color w:val="auto"/>
              </w:rPr>
            </w:pPr>
          </w:p>
        </w:tc>
        <w:tc>
          <w:tcPr>
            <w:tcW w:w="7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0</w:t>
            </w: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w:t>
            </w:r>
          </w:p>
        </w:tc>
        <w:tc>
          <w:tcPr>
            <w:tcW w:w="74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0.1</w:t>
            </w:r>
          </w:p>
        </w:tc>
        <w:tc>
          <w:tcPr>
            <w:tcW w:w="1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46</w:t>
            </w:r>
          </w:p>
        </w:tc>
        <w:tc>
          <w:tcPr>
            <w:tcW w:w="24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0.8</w:t>
            </w:r>
          </w:p>
        </w:tc>
        <w:tc>
          <w:tcPr>
            <w:tcW w:w="140" w:type="dxa"/>
            <w:vAlign w:val="bottom"/>
            <w:shd w:val="clear" w:color="auto" w:fill="CCEEFF"/>
          </w:tcPr>
          <w:p>
            <w:pPr>
              <w:spacing w:after="0"/>
              <w:rPr>
                <w:sz w:val="13"/>
                <w:szCs w:val="13"/>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45</w:t>
            </w:r>
          </w:p>
        </w:tc>
        <w:tc>
          <w:tcPr>
            <w:tcW w:w="22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0.7</w:t>
            </w:r>
          </w:p>
        </w:tc>
        <w:tc>
          <w:tcPr>
            <w:tcW w:w="140" w:type="dxa"/>
            <w:vAlign w:val="bottom"/>
            <w:shd w:val="clear" w:color="auto" w:fill="CCEEFF"/>
          </w:tcPr>
          <w:p>
            <w:pPr>
              <w:spacing w:after="0"/>
              <w:rPr>
                <w:sz w:val="13"/>
                <w:szCs w:val="13"/>
                <w:color w:val="auto"/>
              </w:rPr>
            </w:pP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50</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0.7</w:t>
            </w:r>
          </w:p>
        </w:tc>
      </w:tr>
      <w:tr>
        <w:trPr>
          <w:trHeight w:val="154"/>
        </w:trPr>
        <w:tc>
          <w:tcPr>
            <w:tcW w:w="2420" w:type="dxa"/>
            <w:vAlign w:val="bottom"/>
          </w:tcPr>
          <w:p>
            <w:pPr>
              <w:spacing w:after="0"/>
              <w:rPr>
                <w:sz w:val="20"/>
                <w:szCs w:val="20"/>
                <w:color w:val="auto"/>
              </w:rPr>
            </w:pPr>
            <w:r>
              <w:rPr>
                <w:rFonts w:ascii="Arial" w:cs="Arial" w:eastAsia="Arial" w:hAnsi="Arial"/>
                <w:sz w:val="13"/>
                <w:szCs w:val="13"/>
                <w:color w:val="auto"/>
              </w:rPr>
              <w:t>Trinidad &amp; Tobago</w:t>
            </w:r>
          </w:p>
        </w:tc>
        <w:tc>
          <w:tcPr>
            <w:tcW w:w="140" w:type="dxa"/>
            <w:vAlign w:val="bottom"/>
          </w:tcPr>
          <w:p>
            <w:pPr>
              <w:spacing w:after="0"/>
              <w:rPr>
                <w:sz w:val="13"/>
                <w:szCs w:val="13"/>
                <w:color w:val="auto"/>
              </w:rPr>
            </w:pPr>
          </w:p>
        </w:tc>
        <w:tc>
          <w:tcPr>
            <w:tcW w:w="780" w:type="dxa"/>
            <w:vAlign w:val="bottom"/>
            <w:gridSpan w:val="2"/>
          </w:tcPr>
          <w:p>
            <w:pPr>
              <w:jc w:val="right"/>
              <w:ind w:right="240"/>
              <w:spacing w:after="0"/>
              <w:rPr>
                <w:sz w:val="20"/>
                <w:szCs w:val="20"/>
                <w:color w:val="auto"/>
              </w:rPr>
            </w:pPr>
            <w:r>
              <w:rPr>
                <w:rFonts w:ascii="Arial" w:cs="Arial" w:eastAsia="Arial" w:hAnsi="Arial"/>
                <w:sz w:val="13"/>
                <w:szCs w:val="13"/>
                <w:color w:val="auto"/>
              </w:rPr>
              <w:t>145</w:t>
            </w:r>
          </w:p>
        </w:tc>
        <w:tc>
          <w:tcPr>
            <w:tcW w:w="700" w:type="dxa"/>
            <w:vAlign w:val="bottom"/>
          </w:tcPr>
          <w:p>
            <w:pPr>
              <w:jc w:val="right"/>
              <w:spacing w:after="0"/>
              <w:rPr>
                <w:sz w:val="20"/>
                <w:szCs w:val="20"/>
                <w:color w:val="auto"/>
              </w:rPr>
            </w:pPr>
            <w:r>
              <w:rPr>
                <w:rFonts w:ascii="Arial" w:cs="Arial" w:eastAsia="Arial" w:hAnsi="Arial"/>
                <w:sz w:val="13"/>
                <w:szCs w:val="13"/>
                <w:color w:val="auto"/>
              </w:rPr>
              <w:t>2.5</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3"/>
                <w:szCs w:val="13"/>
                <w:color w:val="auto"/>
              </w:rPr>
              <w:t>175</w:t>
            </w:r>
          </w:p>
        </w:tc>
        <w:tc>
          <w:tcPr>
            <w:tcW w:w="740" w:type="dxa"/>
            <w:vAlign w:val="bottom"/>
            <w:gridSpan w:val="2"/>
          </w:tcPr>
          <w:p>
            <w:pPr>
              <w:jc w:val="right"/>
              <w:ind w:right="40"/>
              <w:spacing w:after="0"/>
              <w:rPr>
                <w:sz w:val="20"/>
                <w:szCs w:val="20"/>
                <w:color w:val="auto"/>
              </w:rPr>
            </w:pPr>
            <w:r>
              <w:rPr>
                <w:rFonts w:ascii="Arial" w:cs="Arial" w:eastAsia="Arial" w:hAnsi="Arial"/>
                <w:sz w:val="13"/>
                <w:szCs w:val="13"/>
                <w:color w:val="auto"/>
              </w:rPr>
              <w:t>3.2</w:t>
            </w:r>
          </w:p>
        </w:tc>
        <w:tc>
          <w:tcPr>
            <w:tcW w:w="1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20" w:type="dxa"/>
            <w:vAlign w:val="bottom"/>
            <w:gridSpan w:val="2"/>
          </w:tcPr>
          <w:p>
            <w:pPr>
              <w:jc w:val="right"/>
              <w:ind w:right="240"/>
              <w:spacing w:after="0"/>
              <w:rPr>
                <w:sz w:val="20"/>
                <w:szCs w:val="20"/>
                <w:color w:val="auto"/>
              </w:rPr>
            </w:pPr>
            <w:r>
              <w:rPr>
                <w:rFonts w:ascii="Arial" w:cs="Arial" w:eastAsia="Arial" w:hAnsi="Arial"/>
                <w:sz w:val="13"/>
                <w:szCs w:val="13"/>
                <w:color w:val="auto"/>
              </w:rPr>
              <w:t>184</w:t>
            </w:r>
          </w:p>
        </w:tc>
        <w:tc>
          <w:tcPr>
            <w:tcW w:w="920" w:type="dxa"/>
            <w:vAlign w:val="bottom"/>
            <w:gridSpan w:val="2"/>
          </w:tcPr>
          <w:p>
            <w:pPr>
              <w:jc w:val="right"/>
              <w:ind w:right="240"/>
              <w:spacing w:after="0"/>
              <w:rPr>
                <w:sz w:val="20"/>
                <w:szCs w:val="20"/>
                <w:color w:val="auto"/>
              </w:rPr>
            </w:pPr>
            <w:r>
              <w:rPr>
                <w:rFonts w:ascii="Arial" w:cs="Arial" w:eastAsia="Arial" w:hAnsi="Arial"/>
                <w:sz w:val="13"/>
                <w:szCs w:val="13"/>
                <w:color w:val="auto"/>
              </w:rPr>
              <w:t>3.1</w:t>
            </w:r>
          </w:p>
        </w:tc>
        <w:tc>
          <w:tcPr>
            <w:tcW w:w="140" w:type="dxa"/>
            <w:vAlign w:val="bottom"/>
          </w:tcPr>
          <w:p>
            <w:pPr>
              <w:spacing w:after="0"/>
              <w:rPr>
                <w:sz w:val="13"/>
                <w:szCs w:val="13"/>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3"/>
                <w:szCs w:val="13"/>
                <w:color w:val="auto"/>
              </w:rPr>
              <w:t>200</w:t>
            </w: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3.0</w:t>
            </w:r>
          </w:p>
        </w:tc>
        <w:tc>
          <w:tcPr>
            <w:tcW w:w="140" w:type="dxa"/>
            <w:vAlign w:val="bottom"/>
          </w:tcPr>
          <w:p>
            <w:pPr>
              <w:spacing w:after="0"/>
              <w:rPr>
                <w:sz w:val="13"/>
                <w:szCs w:val="13"/>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3"/>
                <w:szCs w:val="13"/>
                <w:color w:val="auto"/>
              </w:rPr>
              <w:t>165</w:t>
            </w:r>
          </w:p>
        </w:tc>
        <w:tc>
          <w:tcPr>
            <w:tcW w:w="780" w:type="dxa"/>
            <w:vAlign w:val="bottom"/>
            <w:gridSpan w:val="2"/>
          </w:tcPr>
          <w:p>
            <w:pPr>
              <w:jc w:val="right"/>
              <w:ind w:right="120"/>
              <w:spacing w:after="0"/>
              <w:rPr>
                <w:sz w:val="20"/>
                <w:szCs w:val="20"/>
                <w:color w:val="auto"/>
              </w:rPr>
            </w:pPr>
            <w:r>
              <w:rPr>
                <w:rFonts w:ascii="Arial" w:cs="Arial" w:eastAsia="Arial" w:hAnsi="Arial"/>
                <w:sz w:val="13"/>
                <w:szCs w:val="13"/>
                <w:color w:val="auto"/>
              </w:rPr>
              <w:t>2.5</w:t>
            </w:r>
          </w:p>
        </w:tc>
      </w:tr>
      <w:tr>
        <w:trPr>
          <w:trHeight w:val="154"/>
        </w:trPr>
        <w:tc>
          <w:tcPr>
            <w:tcW w:w="2420" w:type="dxa"/>
            <w:vAlign w:val="bottom"/>
            <w:shd w:val="clear" w:color="auto" w:fill="CCEEFF"/>
          </w:tcPr>
          <w:p>
            <w:pPr>
              <w:spacing w:after="0"/>
              <w:rPr>
                <w:sz w:val="20"/>
                <w:szCs w:val="20"/>
                <w:color w:val="auto"/>
              </w:rPr>
            </w:pPr>
            <w:r>
              <w:rPr>
                <w:rFonts w:ascii="Arial" w:cs="Arial" w:eastAsia="Arial" w:hAnsi="Arial"/>
                <w:sz w:val="13"/>
                <w:szCs w:val="13"/>
                <w:color w:val="auto"/>
              </w:rPr>
              <w:t>United States of America</w:t>
            </w:r>
          </w:p>
        </w:tc>
        <w:tc>
          <w:tcPr>
            <w:tcW w:w="140" w:type="dxa"/>
            <w:vAlign w:val="bottom"/>
            <w:shd w:val="clear" w:color="auto" w:fill="CCEEFF"/>
          </w:tcPr>
          <w:p>
            <w:pPr>
              <w:spacing w:after="0"/>
              <w:rPr>
                <w:sz w:val="13"/>
                <w:szCs w:val="13"/>
                <w:color w:val="auto"/>
              </w:rPr>
            </w:pPr>
          </w:p>
        </w:tc>
        <w:tc>
          <w:tcPr>
            <w:tcW w:w="7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0</w:t>
            </w: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7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44</w:t>
            </w:r>
          </w:p>
        </w:tc>
        <w:tc>
          <w:tcPr>
            <w:tcW w:w="74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0.8</w:t>
            </w:r>
          </w:p>
        </w:tc>
        <w:tc>
          <w:tcPr>
            <w:tcW w:w="1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73</w:t>
            </w:r>
          </w:p>
        </w:tc>
        <w:tc>
          <w:tcPr>
            <w:tcW w:w="24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1.2</w:t>
            </w:r>
          </w:p>
        </w:tc>
        <w:tc>
          <w:tcPr>
            <w:tcW w:w="140" w:type="dxa"/>
            <w:vAlign w:val="bottom"/>
            <w:shd w:val="clear" w:color="auto" w:fill="CCEEFF"/>
          </w:tcPr>
          <w:p>
            <w:pPr>
              <w:spacing w:after="0"/>
              <w:rPr>
                <w:sz w:val="13"/>
                <w:szCs w:val="13"/>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54</w:t>
            </w:r>
          </w:p>
        </w:tc>
        <w:tc>
          <w:tcPr>
            <w:tcW w:w="22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0.8</w:t>
            </w:r>
          </w:p>
        </w:tc>
        <w:tc>
          <w:tcPr>
            <w:tcW w:w="140" w:type="dxa"/>
            <w:vAlign w:val="bottom"/>
            <w:shd w:val="clear" w:color="auto" w:fill="CCEEFF"/>
          </w:tcPr>
          <w:p>
            <w:pPr>
              <w:spacing w:after="0"/>
              <w:rPr>
                <w:sz w:val="13"/>
                <w:szCs w:val="13"/>
                <w:color w:val="auto"/>
              </w:rPr>
            </w:pPr>
          </w:p>
        </w:tc>
        <w:tc>
          <w:tcPr>
            <w:tcW w:w="7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55</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0.8</w:t>
            </w:r>
          </w:p>
        </w:tc>
      </w:tr>
      <w:tr>
        <w:trPr>
          <w:trHeight w:val="163"/>
        </w:trPr>
        <w:tc>
          <w:tcPr>
            <w:tcW w:w="2420" w:type="dxa"/>
            <w:vAlign w:val="bottom"/>
          </w:tcPr>
          <w:p>
            <w:pPr>
              <w:spacing w:after="0"/>
              <w:rPr>
                <w:sz w:val="20"/>
                <w:szCs w:val="20"/>
                <w:color w:val="auto"/>
              </w:rPr>
            </w:pPr>
            <w:r>
              <w:rPr>
                <w:rFonts w:ascii="Arial" w:cs="Arial" w:eastAsia="Arial" w:hAnsi="Arial"/>
                <w:sz w:val="13"/>
                <w:szCs w:val="13"/>
                <w:color w:val="auto"/>
              </w:rPr>
              <w:t>Uruguay</w:t>
            </w:r>
          </w:p>
        </w:tc>
        <w:tc>
          <w:tcPr>
            <w:tcW w:w="140" w:type="dxa"/>
            <w:vAlign w:val="bottom"/>
          </w:tcPr>
          <w:p>
            <w:pPr>
              <w:spacing w:after="0"/>
              <w:rPr>
                <w:sz w:val="14"/>
                <w:szCs w:val="14"/>
                <w:color w:val="auto"/>
              </w:rPr>
            </w:pPr>
          </w:p>
        </w:tc>
        <w:tc>
          <w:tcPr>
            <w:tcW w:w="780" w:type="dxa"/>
            <w:vAlign w:val="bottom"/>
            <w:gridSpan w:val="2"/>
          </w:tcPr>
          <w:p>
            <w:pPr>
              <w:jc w:val="right"/>
              <w:ind w:right="240"/>
              <w:spacing w:after="0"/>
              <w:rPr>
                <w:sz w:val="20"/>
                <w:szCs w:val="20"/>
                <w:color w:val="auto"/>
              </w:rPr>
            </w:pPr>
            <w:r>
              <w:rPr>
                <w:rFonts w:ascii="Arial" w:cs="Arial" w:eastAsia="Arial" w:hAnsi="Arial"/>
                <w:sz w:val="13"/>
                <w:szCs w:val="13"/>
                <w:color w:val="auto"/>
              </w:rPr>
              <w:t>10</w:t>
            </w:r>
          </w:p>
        </w:tc>
        <w:tc>
          <w:tcPr>
            <w:tcW w:w="700" w:type="dxa"/>
            <w:vAlign w:val="bottom"/>
          </w:tcPr>
          <w:p>
            <w:pPr>
              <w:jc w:val="right"/>
              <w:spacing w:after="0"/>
              <w:rPr>
                <w:sz w:val="20"/>
                <w:szCs w:val="20"/>
                <w:color w:val="auto"/>
              </w:rPr>
            </w:pPr>
            <w:r>
              <w:rPr>
                <w:rFonts w:ascii="Arial" w:cs="Arial" w:eastAsia="Arial" w:hAnsi="Arial"/>
                <w:sz w:val="13"/>
                <w:szCs w:val="13"/>
                <w:color w:val="auto"/>
              </w:rPr>
              <w:t>0.2</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3"/>
                <w:szCs w:val="13"/>
                <w:color w:val="auto"/>
              </w:rPr>
              <w:t>15</w:t>
            </w:r>
          </w:p>
        </w:tc>
        <w:tc>
          <w:tcPr>
            <w:tcW w:w="740" w:type="dxa"/>
            <w:vAlign w:val="bottom"/>
            <w:gridSpan w:val="2"/>
          </w:tcPr>
          <w:p>
            <w:pPr>
              <w:jc w:val="right"/>
              <w:ind w:right="40"/>
              <w:spacing w:after="0"/>
              <w:rPr>
                <w:sz w:val="20"/>
                <w:szCs w:val="20"/>
                <w:color w:val="auto"/>
              </w:rPr>
            </w:pPr>
            <w:r>
              <w:rPr>
                <w:rFonts w:ascii="Arial" w:cs="Arial" w:eastAsia="Arial" w:hAnsi="Arial"/>
                <w:sz w:val="13"/>
                <w:szCs w:val="13"/>
                <w:color w:val="auto"/>
              </w:rPr>
              <w:t>0.3</w:t>
            </w:r>
          </w:p>
        </w:tc>
        <w:tc>
          <w:tcPr>
            <w:tcW w:w="1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580" w:type="dxa"/>
            <w:vAlign w:val="bottom"/>
          </w:tcPr>
          <w:p>
            <w:pPr>
              <w:jc w:val="right"/>
              <w:spacing w:after="0"/>
              <w:rPr>
                <w:sz w:val="20"/>
                <w:szCs w:val="20"/>
                <w:color w:val="auto"/>
              </w:rPr>
            </w:pPr>
            <w:r>
              <w:rPr>
                <w:rFonts w:ascii="Arial" w:cs="Arial" w:eastAsia="Arial" w:hAnsi="Arial"/>
                <w:sz w:val="13"/>
                <w:szCs w:val="13"/>
                <w:color w:val="auto"/>
              </w:rPr>
              <w:t>37</w:t>
            </w:r>
          </w:p>
        </w:tc>
        <w:tc>
          <w:tcPr>
            <w:tcW w:w="240" w:type="dxa"/>
            <w:vAlign w:val="bottom"/>
          </w:tcPr>
          <w:p>
            <w:pPr>
              <w:spacing w:after="0"/>
              <w:rPr>
                <w:sz w:val="14"/>
                <w:szCs w:val="14"/>
                <w:color w:val="auto"/>
              </w:rPr>
            </w:pPr>
          </w:p>
        </w:tc>
        <w:tc>
          <w:tcPr>
            <w:tcW w:w="920" w:type="dxa"/>
            <w:vAlign w:val="bottom"/>
            <w:gridSpan w:val="2"/>
          </w:tcPr>
          <w:p>
            <w:pPr>
              <w:jc w:val="right"/>
              <w:ind w:right="240"/>
              <w:spacing w:after="0"/>
              <w:rPr>
                <w:sz w:val="20"/>
                <w:szCs w:val="20"/>
                <w:color w:val="auto"/>
              </w:rPr>
            </w:pPr>
            <w:r>
              <w:rPr>
                <w:rFonts w:ascii="Arial" w:cs="Arial" w:eastAsia="Arial" w:hAnsi="Arial"/>
                <w:sz w:val="13"/>
                <w:szCs w:val="13"/>
                <w:color w:val="auto"/>
              </w:rPr>
              <w:t>0.6</w:t>
            </w:r>
          </w:p>
        </w:tc>
        <w:tc>
          <w:tcPr>
            <w:tcW w:w="140" w:type="dxa"/>
            <w:vAlign w:val="bottom"/>
          </w:tcPr>
          <w:p>
            <w:pPr>
              <w:spacing w:after="0"/>
              <w:rPr>
                <w:sz w:val="14"/>
                <w:szCs w:val="14"/>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3"/>
                <w:szCs w:val="13"/>
                <w:color w:val="auto"/>
              </w:rPr>
              <w:t>219</w:t>
            </w: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3.3</w:t>
            </w:r>
          </w:p>
        </w:tc>
        <w:tc>
          <w:tcPr>
            <w:tcW w:w="140" w:type="dxa"/>
            <w:vAlign w:val="bottom"/>
          </w:tcPr>
          <w:p>
            <w:pPr>
              <w:spacing w:after="0"/>
              <w:rPr>
                <w:sz w:val="14"/>
                <w:szCs w:val="14"/>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3"/>
                <w:szCs w:val="13"/>
                <w:color w:val="auto"/>
              </w:rPr>
              <w:t>160</w:t>
            </w:r>
          </w:p>
        </w:tc>
        <w:tc>
          <w:tcPr>
            <w:tcW w:w="780" w:type="dxa"/>
            <w:vAlign w:val="bottom"/>
            <w:gridSpan w:val="2"/>
          </w:tcPr>
          <w:p>
            <w:pPr>
              <w:jc w:val="right"/>
              <w:ind w:right="120"/>
              <w:spacing w:after="0"/>
              <w:rPr>
                <w:sz w:val="20"/>
                <w:szCs w:val="20"/>
                <w:color w:val="auto"/>
              </w:rPr>
            </w:pPr>
            <w:r>
              <w:rPr>
                <w:rFonts w:ascii="Arial" w:cs="Arial" w:eastAsia="Arial" w:hAnsi="Arial"/>
                <w:sz w:val="13"/>
                <w:szCs w:val="13"/>
                <w:color w:val="auto"/>
              </w:rPr>
              <w:t>2.4</w:t>
            </w:r>
          </w:p>
        </w:tc>
      </w:tr>
      <w:tr>
        <w:trPr>
          <w:trHeight w:val="162"/>
        </w:trPr>
        <w:tc>
          <w:tcPr>
            <w:tcW w:w="2420" w:type="dxa"/>
            <w:vAlign w:val="bottom"/>
            <w:tcBorders>
              <w:top w:val="single" w:sz="8" w:color="CCEEFF"/>
              <w:bottom w:val="single" w:sz="8" w:color="CCEEFF"/>
            </w:tcBorders>
            <w:shd w:val="clear" w:color="auto" w:fill="CCEEFF"/>
          </w:tcPr>
          <w:p>
            <w:pPr>
              <w:ind w:left="220"/>
              <w:spacing w:after="0" w:line="147" w:lineRule="exact"/>
              <w:rPr>
                <w:sz w:val="20"/>
                <w:szCs w:val="20"/>
                <w:color w:val="auto"/>
              </w:rPr>
            </w:pPr>
            <w:r>
              <w:rPr>
                <w:rFonts w:ascii="Arial" w:cs="Arial" w:eastAsia="Arial" w:hAnsi="Arial"/>
                <w:sz w:val="13"/>
                <w:szCs w:val="13"/>
                <w:b w:val="1"/>
                <w:bCs w:val="1"/>
                <w:color w:val="auto"/>
              </w:rPr>
              <w:t>Total</w:t>
            </w:r>
          </w:p>
        </w:tc>
        <w:tc>
          <w:tcPr>
            <w:tcW w:w="140" w:type="dxa"/>
            <w:vAlign w:val="bottom"/>
            <w:tcBorders>
              <w:top w:val="single" w:sz="8" w:color="auto"/>
              <w:bottom w:val="single" w:sz="8" w:color="auto"/>
            </w:tcBorders>
            <w:shd w:val="clear" w:color="auto" w:fill="CCEEFF"/>
          </w:tcPr>
          <w:p>
            <w:pPr>
              <w:jc w:val="right"/>
              <w:ind w:right="32"/>
              <w:spacing w:after="0"/>
              <w:rPr>
                <w:sz w:val="20"/>
                <w:szCs w:val="20"/>
                <w:color w:val="auto"/>
              </w:rPr>
            </w:pPr>
            <w:r>
              <w:rPr>
                <w:rFonts w:ascii="Arial" w:cs="Arial" w:eastAsia="Arial" w:hAnsi="Arial"/>
                <w:sz w:val="10"/>
                <w:szCs w:val="10"/>
                <w:b w:val="1"/>
                <w:bCs w:val="1"/>
                <w:color w:val="auto"/>
                <w:w w:val="71"/>
              </w:rPr>
              <w:t>$</w:t>
            </w:r>
          </w:p>
        </w:tc>
        <w:tc>
          <w:tcPr>
            <w:tcW w:w="5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5,778</w:t>
            </w: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100.0</w:t>
            </w: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c>
          <w:tcPr>
            <w:tcW w:w="120" w:type="dxa"/>
            <w:vAlign w:val="bottom"/>
            <w:tcBorders>
              <w:top w:val="single" w:sz="8" w:color="CCEEFF"/>
              <w:bottom w:val="single" w:sz="8" w:color="CCEEFF"/>
            </w:tcBorders>
            <w:shd w:val="clear" w:color="auto" w:fill="CCEEFF"/>
          </w:tcPr>
          <w:p>
            <w:pPr>
              <w:spacing w:after="0"/>
              <w:rPr>
                <w:sz w:val="14"/>
                <w:szCs w:val="14"/>
                <w:color w:val="auto"/>
              </w:rPr>
            </w:pPr>
          </w:p>
        </w:tc>
        <w:tc>
          <w:tcPr>
            <w:tcW w:w="140" w:type="dxa"/>
            <w:vAlign w:val="bottom"/>
            <w:tcBorders>
              <w:top w:val="single" w:sz="8" w:color="auto"/>
              <w:bottom w:val="single" w:sz="8" w:color="auto"/>
            </w:tcBorders>
            <w:shd w:val="clear" w:color="auto" w:fill="CCEEFF"/>
          </w:tcPr>
          <w:p>
            <w:pPr>
              <w:jc w:val="right"/>
              <w:ind w:right="32"/>
              <w:spacing w:after="0"/>
              <w:rPr>
                <w:sz w:val="20"/>
                <w:szCs w:val="20"/>
                <w:color w:val="auto"/>
              </w:rPr>
            </w:pPr>
            <w:r>
              <w:rPr>
                <w:rFonts w:ascii="Arial" w:cs="Arial" w:eastAsia="Arial" w:hAnsi="Arial"/>
                <w:sz w:val="10"/>
                <w:szCs w:val="10"/>
                <w:b w:val="1"/>
                <w:bCs w:val="1"/>
                <w:color w:val="auto"/>
                <w:w w:val="71"/>
              </w:rPr>
              <w:t>$</w:t>
            </w:r>
          </w:p>
        </w:tc>
        <w:tc>
          <w:tcPr>
            <w:tcW w:w="5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5,506</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100.0</w:t>
            </w:r>
          </w:p>
        </w:tc>
        <w:tc>
          <w:tcPr>
            <w:tcW w:w="40" w:type="dxa"/>
            <w:vAlign w:val="bottom"/>
            <w:tcBorders>
              <w:top w:val="single" w:sz="8" w:color="CCEEFF"/>
              <w:bottom w:val="single" w:sz="8" w:color="CCEEFF"/>
            </w:tcBorders>
            <w:shd w:val="clear" w:color="auto" w:fill="CCEEFF"/>
          </w:tcPr>
          <w:p>
            <w:pPr>
              <w:spacing w:after="0"/>
              <w:rPr>
                <w:sz w:val="14"/>
                <w:szCs w:val="14"/>
                <w:color w:val="auto"/>
              </w:rPr>
            </w:pPr>
          </w:p>
        </w:tc>
        <w:tc>
          <w:tcPr>
            <w:tcW w:w="180" w:type="dxa"/>
            <w:vAlign w:val="bottom"/>
            <w:tcBorders>
              <w:top w:val="single" w:sz="8" w:color="CCEEFF"/>
              <w:bottom w:val="single" w:sz="8" w:color="CCEEFF"/>
            </w:tcBorders>
            <w:shd w:val="clear" w:color="auto" w:fill="CCEEFF"/>
          </w:tcPr>
          <w:p>
            <w:pPr>
              <w:spacing w:after="0"/>
              <w:rPr>
                <w:sz w:val="14"/>
                <w:szCs w:val="14"/>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w w:val="82"/>
              </w:rPr>
              <w:t>$</w:t>
            </w:r>
          </w:p>
        </w:tc>
        <w:tc>
          <w:tcPr>
            <w:tcW w:w="5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6,021</w:t>
            </w: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6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100.0</w:t>
            </w: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140" w:type="dxa"/>
            <w:vAlign w:val="bottom"/>
            <w:tcBorders>
              <w:top w:val="single" w:sz="8" w:color="auto"/>
              <w:bottom w:val="single" w:sz="8" w:color="auto"/>
            </w:tcBorders>
            <w:shd w:val="clear" w:color="auto" w:fill="CCEEFF"/>
          </w:tcPr>
          <w:p>
            <w:pPr>
              <w:jc w:val="right"/>
              <w:ind w:right="32"/>
              <w:spacing w:after="0"/>
              <w:rPr>
                <w:sz w:val="20"/>
                <w:szCs w:val="20"/>
                <w:color w:val="auto"/>
              </w:rPr>
            </w:pPr>
            <w:r>
              <w:rPr>
                <w:rFonts w:ascii="Arial" w:cs="Arial" w:eastAsia="Arial" w:hAnsi="Arial"/>
                <w:sz w:val="10"/>
                <w:szCs w:val="10"/>
                <w:b w:val="1"/>
                <w:bCs w:val="1"/>
                <w:color w:val="auto"/>
                <w:w w:val="71"/>
              </w:rPr>
              <w:t>$</w:t>
            </w:r>
          </w:p>
        </w:tc>
        <w:tc>
          <w:tcPr>
            <w:tcW w:w="5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6,692</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100.0</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40" w:type="dxa"/>
            <w:vAlign w:val="bottom"/>
            <w:tcBorders>
              <w:top w:val="single" w:sz="8" w:color="auto"/>
              <w:bottom w:val="single" w:sz="8" w:color="auto"/>
            </w:tcBorders>
            <w:shd w:val="clear" w:color="auto" w:fill="CCEEFF"/>
          </w:tcPr>
          <w:p>
            <w:pPr>
              <w:jc w:val="right"/>
              <w:ind w:right="32"/>
              <w:spacing w:after="0"/>
              <w:rPr>
                <w:sz w:val="20"/>
                <w:szCs w:val="20"/>
                <w:color w:val="auto"/>
              </w:rPr>
            </w:pPr>
            <w:r>
              <w:rPr>
                <w:rFonts w:ascii="Arial" w:cs="Arial" w:eastAsia="Arial" w:hAnsi="Arial"/>
                <w:sz w:val="10"/>
                <w:szCs w:val="10"/>
                <w:b w:val="1"/>
                <w:bCs w:val="1"/>
                <w:color w:val="auto"/>
                <w:w w:val="71"/>
              </w:rPr>
              <w:t>$</w:t>
            </w:r>
          </w:p>
        </w:tc>
        <w:tc>
          <w:tcPr>
            <w:tcW w:w="5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6,686</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6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100.0</w:t>
            </w:r>
          </w:p>
        </w:tc>
        <w:tc>
          <w:tcPr>
            <w:tcW w:w="120" w:type="dxa"/>
            <w:vAlign w:val="bottom"/>
            <w:tcBorders>
              <w:top w:val="single" w:sz="8" w:color="CCEEFF"/>
              <w:bottom w:val="single" w:sz="8" w:color="CCEEFF"/>
            </w:tcBorders>
            <w:shd w:val="clear" w:color="auto" w:fill="CCEEFF"/>
          </w:tcPr>
          <w:p>
            <w:pPr>
              <w:spacing w:after="0"/>
              <w:rPr>
                <w:sz w:val="14"/>
                <w:szCs w:val="14"/>
                <w:color w:val="auto"/>
              </w:rPr>
            </w:pPr>
          </w:p>
        </w:tc>
      </w:tr>
    </w:tbl>
    <w:p>
      <w:pPr>
        <w:spacing w:after="0" w:line="145"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The risk relating to countries outside the Region pertains to transactions carried out in the Region, with credit risk transferred outside the Region by way of legally binding corporate guarantees that are payable at first demand. As of December 31, 2018, the Bank’s combined Loan Portfolio associated with European country risk represented $48 million, or 0.84%, of the total Loan Portfolio, compared to $73 million, or 1.32%, of the total Loan Portfolio as of December 31, 2017 and $115 million, or 1.91%, as of December 31, 2016.</w:t>
      </w:r>
    </w:p>
    <w:p>
      <w:pPr>
        <w:spacing w:after="0" w:line="136"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Loan Portfolio by Type of Borrower</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The following table sets forth the amounts of the Bank’s Loan Portfolio by type of borrower as of the dates indicated:</w:t>
      </w:r>
    </w:p>
    <w:p>
      <w:pPr>
        <w:spacing w:after="0" w:line="164" w:lineRule="exact"/>
        <w:rPr>
          <w:sz w:val="20"/>
          <w:szCs w:val="20"/>
          <w:color w:val="auto"/>
        </w:rPr>
      </w:pPr>
    </w:p>
    <w:tbl>
      <w:tblPr>
        <w:tblLayout w:type="fixed"/>
        <w:tblInd w:w="0" w:type="dxa"/>
        <w:tblCellMar>
          <w:top w:w="0" w:type="dxa"/>
          <w:left w:w="0" w:type="dxa"/>
          <w:bottom w:w="0" w:type="dxa"/>
          <w:right w:w="0" w:type="dxa"/>
        </w:tblCellMar>
      </w:tblPr>
      <w:tr>
        <w:trPr>
          <w:trHeight w:val="166"/>
        </w:trPr>
        <w:tc>
          <w:tcPr>
            <w:tcW w:w="3560" w:type="dxa"/>
            <w:vAlign w:val="bottom"/>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4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4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500" w:type="dxa"/>
            <w:vAlign w:val="bottom"/>
            <w:tcBorders>
              <w:bottom w:val="single" w:sz="8" w:color="auto"/>
            </w:tcBorders>
            <w:gridSpan w:val="4"/>
          </w:tcPr>
          <w:p>
            <w:pPr>
              <w:jc w:val="center"/>
              <w:ind w:right="360"/>
              <w:spacing w:after="0"/>
              <w:rPr>
                <w:sz w:val="20"/>
                <w:szCs w:val="20"/>
                <w:color w:val="auto"/>
              </w:rPr>
            </w:pPr>
            <w:r>
              <w:rPr>
                <w:rFonts w:ascii="Arial" w:cs="Arial" w:eastAsia="Arial" w:hAnsi="Arial"/>
                <w:sz w:val="13"/>
                <w:szCs w:val="13"/>
                <w:b w:val="1"/>
                <w:bCs w:val="1"/>
                <w:color w:val="auto"/>
                <w:w w:val="87"/>
              </w:rPr>
              <w:t>As of December 31,</w:t>
            </w:r>
          </w:p>
        </w:tc>
        <w:tc>
          <w:tcPr>
            <w:tcW w:w="120" w:type="dxa"/>
            <w:vAlign w:val="bottom"/>
            <w:tcBorders>
              <w:bottom w:val="single" w:sz="8" w:color="auto"/>
            </w:tcBorders>
          </w:tcPr>
          <w:p>
            <w:pPr>
              <w:spacing w:after="0"/>
              <w:rPr>
                <w:sz w:val="14"/>
                <w:szCs w:val="14"/>
                <w:color w:val="auto"/>
              </w:rPr>
            </w:pPr>
          </w:p>
        </w:tc>
        <w:tc>
          <w:tcPr>
            <w:tcW w:w="46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46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56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131"/>
        </w:trPr>
        <w:tc>
          <w:tcPr>
            <w:tcW w:w="35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20" w:type="dxa"/>
            <w:vAlign w:val="bottom"/>
            <w:gridSpan w:val="2"/>
          </w:tcPr>
          <w:p>
            <w:pPr>
              <w:jc w:val="center"/>
              <w:ind w:right="240"/>
              <w:spacing w:after="0" w:line="131" w:lineRule="exact"/>
              <w:rPr>
                <w:sz w:val="20"/>
                <w:szCs w:val="20"/>
                <w:color w:val="auto"/>
              </w:rPr>
            </w:pPr>
            <w:r>
              <w:rPr>
                <w:rFonts w:ascii="Arial" w:cs="Arial" w:eastAsia="Arial" w:hAnsi="Arial"/>
                <w:sz w:val="13"/>
                <w:szCs w:val="13"/>
                <w:b w:val="1"/>
                <w:bCs w:val="1"/>
                <w:color w:val="auto"/>
                <w:w w:val="94"/>
              </w:rPr>
              <w:t>% of</w:t>
            </w:r>
          </w:p>
        </w:tc>
        <w:tc>
          <w:tcPr>
            <w:tcW w:w="10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00" w:type="dxa"/>
            <w:vAlign w:val="bottom"/>
            <w:gridSpan w:val="2"/>
          </w:tcPr>
          <w:p>
            <w:pPr>
              <w:jc w:val="center"/>
              <w:ind w:right="120"/>
              <w:spacing w:after="0" w:line="131" w:lineRule="exact"/>
              <w:rPr>
                <w:sz w:val="20"/>
                <w:szCs w:val="20"/>
                <w:color w:val="auto"/>
              </w:rPr>
            </w:pPr>
            <w:r>
              <w:rPr>
                <w:rFonts w:ascii="Arial" w:cs="Arial" w:eastAsia="Arial" w:hAnsi="Arial"/>
                <w:sz w:val="13"/>
                <w:szCs w:val="13"/>
                <w:b w:val="1"/>
                <w:bCs w:val="1"/>
                <w:color w:val="auto"/>
                <w:w w:val="94"/>
              </w:rPr>
              <w:t>% of</w:t>
            </w: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00" w:type="dxa"/>
            <w:vAlign w:val="bottom"/>
            <w:gridSpan w:val="2"/>
          </w:tcPr>
          <w:p>
            <w:pPr>
              <w:jc w:val="center"/>
              <w:ind w:right="220"/>
              <w:spacing w:after="0" w:line="131" w:lineRule="exact"/>
              <w:rPr>
                <w:sz w:val="20"/>
                <w:szCs w:val="20"/>
                <w:color w:val="auto"/>
              </w:rPr>
            </w:pPr>
            <w:r>
              <w:rPr>
                <w:rFonts w:ascii="Arial" w:cs="Arial" w:eastAsia="Arial" w:hAnsi="Arial"/>
                <w:sz w:val="13"/>
                <w:szCs w:val="13"/>
                <w:b w:val="1"/>
                <w:bCs w:val="1"/>
                <w:color w:val="auto"/>
                <w:w w:val="94"/>
              </w:rPr>
              <w:t>% of</w:t>
            </w:r>
          </w:p>
        </w:tc>
        <w:tc>
          <w:tcPr>
            <w:tcW w:w="12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0" w:type="dxa"/>
            <w:vAlign w:val="bottom"/>
            <w:gridSpan w:val="2"/>
          </w:tcPr>
          <w:p>
            <w:pPr>
              <w:jc w:val="center"/>
              <w:ind w:right="220"/>
              <w:spacing w:after="0" w:line="131" w:lineRule="exact"/>
              <w:rPr>
                <w:sz w:val="20"/>
                <w:szCs w:val="20"/>
                <w:color w:val="auto"/>
              </w:rPr>
            </w:pPr>
            <w:r>
              <w:rPr>
                <w:rFonts w:ascii="Arial" w:cs="Arial" w:eastAsia="Arial" w:hAnsi="Arial"/>
                <w:sz w:val="13"/>
                <w:szCs w:val="13"/>
                <w:b w:val="1"/>
                <w:bCs w:val="1"/>
                <w:color w:val="auto"/>
                <w:w w:val="94"/>
              </w:rPr>
              <w:t>% of</w:t>
            </w:r>
          </w:p>
        </w:tc>
        <w:tc>
          <w:tcPr>
            <w:tcW w:w="12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560" w:type="dxa"/>
            <w:vAlign w:val="bottom"/>
          </w:tcPr>
          <w:p>
            <w:pPr>
              <w:jc w:val="center"/>
              <w:spacing w:after="0" w:line="131" w:lineRule="exact"/>
              <w:rPr>
                <w:sz w:val="20"/>
                <w:szCs w:val="20"/>
                <w:color w:val="auto"/>
              </w:rPr>
            </w:pPr>
            <w:r>
              <w:rPr>
                <w:rFonts w:ascii="Arial" w:cs="Arial" w:eastAsia="Arial" w:hAnsi="Arial"/>
                <w:sz w:val="13"/>
                <w:szCs w:val="13"/>
                <w:b w:val="1"/>
                <w:bCs w:val="1"/>
                <w:color w:val="auto"/>
                <w:w w:val="94"/>
              </w:rPr>
              <w:t>% of</w:t>
            </w:r>
          </w:p>
        </w:tc>
        <w:tc>
          <w:tcPr>
            <w:tcW w:w="120" w:type="dxa"/>
            <w:vAlign w:val="bottom"/>
            <w:gridSpan w:val="2"/>
          </w:tcPr>
          <w:p>
            <w:pPr>
              <w:spacing w:after="0"/>
              <w:rPr>
                <w:sz w:val="11"/>
                <w:szCs w:val="11"/>
                <w:color w:val="auto"/>
              </w:rPr>
            </w:pPr>
          </w:p>
        </w:tc>
      </w:tr>
      <w:tr>
        <w:trPr>
          <w:trHeight w:val="154"/>
        </w:trPr>
        <w:tc>
          <w:tcPr>
            <w:tcW w:w="35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4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9"/>
              </w:rPr>
              <w:t>Total</w:t>
            </w:r>
          </w:p>
        </w:tc>
        <w:tc>
          <w:tcPr>
            <w:tcW w:w="100" w:type="dxa"/>
            <w:vAlign w:val="bottom"/>
          </w:tcPr>
          <w:p>
            <w:pPr>
              <w:spacing w:after="0"/>
              <w:rPr>
                <w:sz w:val="13"/>
                <w:szCs w:val="13"/>
                <w:color w:val="auto"/>
              </w:rPr>
            </w:pPr>
          </w:p>
        </w:tc>
        <w:tc>
          <w:tcPr>
            <w:tcW w:w="4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0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9"/>
              </w:rPr>
              <w:t>Total</w:t>
            </w: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4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0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9"/>
              </w:rPr>
              <w:t>Total</w:t>
            </w:r>
          </w:p>
        </w:tc>
        <w:tc>
          <w:tcPr>
            <w:tcW w:w="120" w:type="dxa"/>
            <w:vAlign w:val="bottom"/>
          </w:tcPr>
          <w:p>
            <w:pPr>
              <w:spacing w:after="0"/>
              <w:rPr>
                <w:sz w:val="13"/>
                <w:szCs w:val="13"/>
                <w:color w:val="auto"/>
              </w:rPr>
            </w:pPr>
          </w:p>
        </w:tc>
        <w:tc>
          <w:tcPr>
            <w:tcW w:w="4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9"/>
              </w:rPr>
              <w:t>Total</w:t>
            </w:r>
          </w:p>
        </w:tc>
        <w:tc>
          <w:tcPr>
            <w:tcW w:w="120" w:type="dxa"/>
            <w:vAlign w:val="bottom"/>
          </w:tcPr>
          <w:p>
            <w:pPr>
              <w:spacing w:after="0"/>
              <w:rPr>
                <w:sz w:val="13"/>
                <w:szCs w:val="13"/>
                <w:color w:val="auto"/>
              </w:rPr>
            </w:pPr>
          </w:p>
        </w:tc>
        <w:tc>
          <w:tcPr>
            <w:tcW w:w="4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680" w:type="dxa"/>
            <w:vAlign w:val="bottom"/>
            <w:gridSpan w:val="3"/>
          </w:tcPr>
          <w:p>
            <w:pPr>
              <w:jc w:val="center"/>
              <w:ind w:right="120"/>
              <w:spacing w:after="0"/>
              <w:rPr>
                <w:sz w:val="20"/>
                <w:szCs w:val="20"/>
                <w:color w:val="auto"/>
              </w:rPr>
            </w:pPr>
            <w:r>
              <w:rPr>
                <w:rFonts w:ascii="Arial" w:cs="Arial" w:eastAsia="Arial" w:hAnsi="Arial"/>
                <w:sz w:val="13"/>
                <w:szCs w:val="13"/>
                <w:b w:val="1"/>
                <w:bCs w:val="1"/>
                <w:color w:val="auto"/>
                <w:w w:val="89"/>
              </w:rPr>
              <w:t>Total</w:t>
            </w:r>
          </w:p>
        </w:tc>
      </w:tr>
      <w:tr>
        <w:trPr>
          <w:trHeight w:val="167"/>
        </w:trPr>
        <w:tc>
          <w:tcPr>
            <w:tcW w:w="35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460" w:type="dxa"/>
            <w:vAlign w:val="bottom"/>
          </w:tcPr>
          <w:p>
            <w:pPr>
              <w:jc w:val="right"/>
              <w:ind w:right="96"/>
              <w:spacing w:after="0"/>
              <w:rPr>
                <w:sz w:val="20"/>
                <w:szCs w:val="20"/>
                <w:color w:val="auto"/>
              </w:rPr>
            </w:pPr>
            <w:r>
              <w:rPr>
                <w:rFonts w:ascii="Arial" w:cs="Arial" w:eastAsia="Arial" w:hAnsi="Arial"/>
                <w:sz w:val="13"/>
                <w:szCs w:val="13"/>
                <w:b w:val="1"/>
                <w:bCs w:val="1"/>
                <w:color w:val="auto"/>
                <w:w w:val="96"/>
              </w:rPr>
              <w:t>2018</w:t>
            </w:r>
          </w:p>
        </w:tc>
        <w:tc>
          <w:tcPr>
            <w:tcW w:w="220" w:type="dxa"/>
            <w:vAlign w:val="bottom"/>
          </w:tcPr>
          <w:p>
            <w:pPr>
              <w:spacing w:after="0"/>
              <w:rPr>
                <w:sz w:val="14"/>
                <w:szCs w:val="14"/>
                <w:color w:val="auto"/>
              </w:rPr>
            </w:pPr>
          </w:p>
        </w:tc>
        <w:tc>
          <w:tcPr>
            <w:tcW w:w="8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8"/>
              </w:rPr>
              <w:t>Loans</w:t>
            </w:r>
          </w:p>
        </w:tc>
        <w:tc>
          <w:tcPr>
            <w:tcW w:w="100" w:type="dxa"/>
            <w:vAlign w:val="bottom"/>
          </w:tcPr>
          <w:p>
            <w:pPr>
              <w:spacing w:after="0"/>
              <w:rPr>
                <w:sz w:val="14"/>
                <w:szCs w:val="14"/>
                <w:color w:val="auto"/>
              </w:rPr>
            </w:pPr>
          </w:p>
        </w:tc>
        <w:tc>
          <w:tcPr>
            <w:tcW w:w="480" w:type="dxa"/>
            <w:vAlign w:val="bottom"/>
          </w:tcPr>
          <w:p>
            <w:pPr>
              <w:jc w:val="right"/>
              <w:ind w:right="96"/>
              <w:spacing w:after="0"/>
              <w:rPr>
                <w:sz w:val="20"/>
                <w:szCs w:val="20"/>
                <w:color w:val="auto"/>
              </w:rPr>
            </w:pPr>
            <w:r>
              <w:rPr>
                <w:rFonts w:ascii="Arial" w:cs="Arial" w:eastAsia="Arial" w:hAnsi="Arial"/>
                <w:sz w:val="13"/>
                <w:szCs w:val="13"/>
                <w:b w:val="1"/>
                <w:bCs w:val="1"/>
                <w:color w:val="auto"/>
              </w:rPr>
              <w:t>2017</w:t>
            </w:r>
          </w:p>
        </w:tc>
        <w:tc>
          <w:tcPr>
            <w:tcW w:w="220" w:type="dxa"/>
            <w:vAlign w:val="bottom"/>
          </w:tcPr>
          <w:p>
            <w:pPr>
              <w:spacing w:after="0"/>
              <w:rPr>
                <w:sz w:val="14"/>
                <w:szCs w:val="14"/>
                <w:color w:val="auto"/>
              </w:rPr>
            </w:pPr>
          </w:p>
        </w:tc>
        <w:tc>
          <w:tcPr>
            <w:tcW w:w="700" w:type="dxa"/>
            <w:vAlign w:val="bottom"/>
            <w:gridSpan w:val="2"/>
          </w:tcPr>
          <w:p>
            <w:pPr>
              <w:jc w:val="center"/>
              <w:ind w:right="120"/>
              <w:spacing w:after="0"/>
              <w:rPr>
                <w:sz w:val="20"/>
                <w:szCs w:val="20"/>
                <w:color w:val="auto"/>
              </w:rPr>
            </w:pPr>
            <w:r>
              <w:rPr>
                <w:rFonts w:ascii="Arial" w:cs="Arial" w:eastAsia="Arial" w:hAnsi="Arial"/>
                <w:sz w:val="13"/>
                <w:szCs w:val="13"/>
                <w:b w:val="1"/>
                <w:bCs w:val="1"/>
                <w:color w:val="auto"/>
                <w:w w:val="88"/>
              </w:rPr>
              <w:t>Loans</w:t>
            </w:r>
          </w:p>
        </w:tc>
        <w:tc>
          <w:tcPr>
            <w:tcW w:w="1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480" w:type="dxa"/>
            <w:vAlign w:val="bottom"/>
          </w:tcPr>
          <w:p>
            <w:pPr>
              <w:jc w:val="right"/>
              <w:ind w:right="96"/>
              <w:spacing w:after="0"/>
              <w:rPr>
                <w:sz w:val="20"/>
                <w:szCs w:val="20"/>
                <w:color w:val="auto"/>
              </w:rPr>
            </w:pPr>
            <w:r>
              <w:rPr>
                <w:rFonts w:ascii="Arial" w:cs="Arial" w:eastAsia="Arial" w:hAnsi="Arial"/>
                <w:sz w:val="13"/>
                <w:szCs w:val="13"/>
                <w:b w:val="1"/>
                <w:bCs w:val="1"/>
                <w:color w:val="auto"/>
              </w:rPr>
              <w:t>2016</w:t>
            </w:r>
          </w:p>
        </w:tc>
        <w:tc>
          <w:tcPr>
            <w:tcW w:w="220" w:type="dxa"/>
            <w:vAlign w:val="bottom"/>
          </w:tcPr>
          <w:p>
            <w:pPr>
              <w:spacing w:after="0"/>
              <w:rPr>
                <w:sz w:val="14"/>
                <w:szCs w:val="14"/>
                <w:color w:val="auto"/>
              </w:rPr>
            </w:pPr>
          </w:p>
        </w:tc>
        <w:tc>
          <w:tcPr>
            <w:tcW w:w="8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8"/>
              </w:rPr>
              <w:t>Loans</w:t>
            </w:r>
          </w:p>
        </w:tc>
        <w:tc>
          <w:tcPr>
            <w:tcW w:w="120" w:type="dxa"/>
            <w:vAlign w:val="bottom"/>
          </w:tcPr>
          <w:p>
            <w:pPr>
              <w:spacing w:after="0"/>
              <w:rPr>
                <w:sz w:val="14"/>
                <w:szCs w:val="14"/>
                <w:color w:val="auto"/>
              </w:rPr>
            </w:pPr>
          </w:p>
        </w:tc>
        <w:tc>
          <w:tcPr>
            <w:tcW w:w="460" w:type="dxa"/>
            <w:vAlign w:val="bottom"/>
          </w:tcPr>
          <w:p>
            <w:pPr>
              <w:jc w:val="right"/>
              <w:ind w:right="96"/>
              <w:spacing w:after="0"/>
              <w:rPr>
                <w:sz w:val="20"/>
                <w:szCs w:val="20"/>
                <w:color w:val="auto"/>
              </w:rPr>
            </w:pPr>
            <w:r>
              <w:rPr>
                <w:rFonts w:ascii="Arial" w:cs="Arial" w:eastAsia="Arial" w:hAnsi="Arial"/>
                <w:sz w:val="13"/>
                <w:szCs w:val="13"/>
                <w:b w:val="1"/>
                <w:bCs w:val="1"/>
                <w:color w:val="auto"/>
                <w:w w:val="96"/>
              </w:rPr>
              <w:t>2015</w:t>
            </w:r>
          </w:p>
        </w:tc>
        <w:tc>
          <w:tcPr>
            <w:tcW w:w="240" w:type="dxa"/>
            <w:vAlign w:val="bottom"/>
          </w:tcPr>
          <w:p>
            <w:pPr>
              <w:spacing w:after="0"/>
              <w:rPr>
                <w:sz w:val="14"/>
                <w:szCs w:val="14"/>
                <w:color w:val="auto"/>
              </w:rPr>
            </w:pPr>
          </w:p>
        </w:tc>
        <w:tc>
          <w:tcPr>
            <w:tcW w:w="8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8"/>
              </w:rPr>
              <w:t>Loans</w:t>
            </w:r>
          </w:p>
        </w:tc>
        <w:tc>
          <w:tcPr>
            <w:tcW w:w="120" w:type="dxa"/>
            <w:vAlign w:val="bottom"/>
          </w:tcPr>
          <w:p>
            <w:pPr>
              <w:spacing w:after="0"/>
              <w:rPr>
                <w:sz w:val="14"/>
                <w:szCs w:val="14"/>
                <w:color w:val="auto"/>
              </w:rPr>
            </w:pPr>
          </w:p>
        </w:tc>
        <w:tc>
          <w:tcPr>
            <w:tcW w:w="460" w:type="dxa"/>
            <w:vAlign w:val="bottom"/>
          </w:tcPr>
          <w:p>
            <w:pPr>
              <w:jc w:val="right"/>
              <w:ind w:right="96"/>
              <w:spacing w:after="0"/>
              <w:rPr>
                <w:sz w:val="20"/>
                <w:szCs w:val="20"/>
                <w:color w:val="auto"/>
              </w:rPr>
            </w:pPr>
            <w:r>
              <w:rPr>
                <w:rFonts w:ascii="Arial" w:cs="Arial" w:eastAsia="Arial" w:hAnsi="Arial"/>
                <w:sz w:val="13"/>
                <w:szCs w:val="13"/>
                <w:b w:val="1"/>
                <w:bCs w:val="1"/>
                <w:color w:val="auto"/>
                <w:w w:val="96"/>
              </w:rPr>
              <w:t>2014</w:t>
            </w:r>
          </w:p>
        </w:tc>
        <w:tc>
          <w:tcPr>
            <w:tcW w:w="200" w:type="dxa"/>
            <w:vAlign w:val="bottom"/>
          </w:tcPr>
          <w:p>
            <w:pPr>
              <w:spacing w:after="0"/>
              <w:rPr>
                <w:sz w:val="14"/>
                <w:szCs w:val="14"/>
                <w:color w:val="auto"/>
              </w:rPr>
            </w:pPr>
          </w:p>
        </w:tc>
        <w:tc>
          <w:tcPr>
            <w:tcW w:w="680" w:type="dxa"/>
            <w:vAlign w:val="bottom"/>
            <w:gridSpan w:val="3"/>
          </w:tcPr>
          <w:p>
            <w:pPr>
              <w:jc w:val="center"/>
              <w:ind w:right="100"/>
              <w:spacing w:after="0"/>
              <w:rPr>
                <w:sz w:val="20"/>
                <w:szCs w:val="20"/>
                <w:color w:val="auto"/>
              </w:rPr>
            </w:pPr>
            <w:r>
              <w:rPr>
                <w:rFonts w:ascii="Arial" w:cs="Arial" w:eastAsia="Arial" w:hAnsi="Arial"/>
                <w:sz w:val="13"/>
                <w:szCs w:val="13"/>
                <w:b w:val="1"/>
                <w:bCs w:val="1"/>
                <w:color w:val="auto"/>
                <w:w w:val="88"/>
              </w:rPr>
              <w:t>Loans</w:t>
            </w:r>
          </w:p>
        </w:tc>
      </w:tr>
      <w:tr>
        <w:trPr>
          <w:trHeight w:val="144"/>
        </w:trPr>
        <w:tc>
          <w:tcPr>
            <w:tcW w:w="356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460" w:type="dxa"/>
            <w:vAlign w:val="bottom"/>
            <w:tcBorders>
              <w:top w:val="single" w:sz="8" w:color="auto"/>
            </w:tcBorders>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580" w:type="dxa"/>
            <w:vAlign w:val="bottom"/>
            <w:tcBorders>
              <w:top w:val="single" w:sz="8" w:color="auto"/>
            </w:tcBorders>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480" w:type="dxa"/>
            <w:vAlign w:val="bottom"/>
            <w:tcBorders>
              <w:top w:val="single" w:sz="8" w:color="auto"/>
            </w:tcBorders>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2420" w:type="dxa"/>
            <w:vAlign w:val="bottom"/>
            <w:tcBorders>
              <w:top w:val="single" w:sz="8" w:color="auto"/>
            </w:tcBorders>
            <w:gridSpan w:val="8"/>
          </w:tcPr>
          <w:p>
            <w:pPr>
              <w:jc w:val="center"/>
              <w:ind w:left="476"/>
              <w:spacing w:after="0" w:line="144" w:lineRule="exact"/>
              <w:rPr>
                <w:sz w:val="20"/>
                <w:szCs w:val="20"/>
                <w:color w:val="auto"/>
              </w:rPr>
            </w:pPr>
            <w:r>
              <w:rPr>
                <w:rFonts w:ascii="Arial" w:cs="Arial" w:eastAsia="Arial" w:hAnsi="Arial"/>
                <w:sz w:val="13"/>
                <w:szCs w:val="13"/>
                <w:b w:val="1"/>
                <w:bCs w:val="1"/>
                <w:color w:val="auto"/>
                <w:w w:val="86"/>
              </w:rPr>
              <w:t>(in $ millions, except percentages)</w:t>
            </w:r>
          </w:p>
        </w:tc>
        <w:tc>
          <w:tcPr>
            <w:tcW w:w="120" w:type="dxa"/>
            <w:vAlign w:val="bottom"/>
            <w:tcBorders>
              <w:top w:val="single" w:sz="8" w:color="auto"/>
            </w:tcBorders>
          </w:tcPr>
          <w:p>
            <w:pPr>
              <w:spacing w:after="0"/>
              <w:rPr>
                <w:sz w:val="12"/>
                <w:szCs w:val="12"/>
                <w:color w:val="auto"/>
              </w:rPr>
            </w:pPr>
          </w:p>
        </w:tc>
        <w:tc>
          <w:tcPr>
            <w:tcW w:w="460" w:type="dxa"/>
            <w:vAlign w:val="bottom"/>
            <w:tcBorders>
              <w:top w:val="single" w:sz="8" w:color="auto"/>
            </w:tcBorders>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580" w:type="dxa"/>
            <w:vAlign w:val="bottom"/>
            <w:tcBorders>
              <w:top w:val="single" w:sz="8" w:color="auto"/>
            </w:tcBorders>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460" w:type="dxa"/>
            <w:vAlign w:val="bottom"/>
            <w:tcBorders>
              <w:top w:val="single" w:sz="8" w:color="auto"/>
            </w:tcBorders>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560" w:type="dxa"/>
            <w:vAlign w:val="bottom"/>
            <w:tcBorders>
              <w:top w:val="single" w:sz="8" w:color="auto"/>
            </w:tcBorders>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3560" w:type="dxa"/>
            <w:vAlign w:val="bottom"/>
            <w:shd w:val="clear" w:color="auto" w:fill="CCEEFF"/>
          </w:tcPr>
          <w:p>
            <w:pPr>
              <w:spacing w:after="0"/>
              <w:rPr>
                <w:sz w:val="20"/>
                <w:szCs w:val="20"/>
                <w:color w:val="auto"/>
              </w:rPr>
            </w:pPr>
            <w:r>
              <w:rPr>
                <w:rFonts w:ascii="Arial" w:cs="Arial" w:eastAsia="Arial" w:hAnsi="Arial"/>
                <w:sz w:val="13"/>
                <w:szCs w:val="13"/>
                <w:color w:val="auto"/>
              </w:rPr>
              <w:t>Private sector commercial banks and financial institutions</w:t>
            </w:r>
          </w:p>
        </w:tc>
        <w:tc>
          <w:tcPr>
            <w:tcW w:w="120" w:type="dxa"/>
            <w:vAlign w:val="bottom"/>
            <w:shd w:val="clear" w:color="auto" w:fill="CCEEFF"/>
          </w:tcPr>
          <w:p>
            <w:pPr>
              <w:jc w:val="right"/>
              <w:ind w:right="12"/>
              <w:spacing w:after="0"/>
              <w:rPr>
                <w:sz w:val="20"/>
                <w:szCs w:val="20"/>
                <w:color w:val="auto"/>
              </w:rPr>
            </w:pPr>
            <w:r>
              <w:rPr>
                <w:rFonts w:ascii="Arial" w:cs="Arial" w:eastAsia="Arial" w:hAnsi="Arial"/>
                <w:sz w:val="10"/>
                <w:szCs w:val="10"/>
                <w:color w:val="auto"/>
                <w:w w:val="71"/>
              </w:rPr>
              <w:t>$</w:t>
            </w: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2,459</w:t>
            </w:r>
          </w:p>
        </w:tc>
        <w:tc>
          <w:tcPr>
            <w:tcW w:w="8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42.5</w:t>
            </w: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4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2,084</w:t>
            </w:r>
          </w:p>
        </w:tc>
        <w:tc>
          <w:tcPr>
            <w:tcW w:w="22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37.9</w:t>
            </w:r>
          </w:p>
        </w:tc>
        <w:tc>
          <w:tcPr>
            <w:tcW w:w="22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1,739</w:t>
            </w:r>
          </w:p>
        </w:tc>
        <w:tc>
          <w:tcPr>
            <w:tcW w:w="8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28.9</w:t>
            </w:r>
          </w:p>
        </w:tc>
        <w:tc>
          <w:tcPr>
            <w:tcW w:w="120" w:type="dxa"/>
            <w:vAlign w:val="bottom"/>
            <w:shd w:val="clear" w:color="auto" w:fill="CCEEFF"/>
          </w:tcPr>
          <w:p>
            <w:pPr>
              <w:jc w:val="right"/>
              <w:spacing w:after="0"/>
              <w:rPr>
                <w:sz w:val="20"/>
                <w:szCs w:val="20"/>
                <w:color w:val="auto"/>
              </w:rPr>
            </w:pPr>
            <w:r>
              <w:rPr>
                <w:rFonts w:ascii="Arial" w:cs="Arial" w:eastAsia="Arial" w:hAnsi="Arial"/>
                <w:sz w:val="13"/>
                <w:szCs w:val="13"/>
                <w:color w:val="auto"/>
                <w:w w:val="82"/>
              </w:rPr>
              <w:t>$</w:t>
            </w:r>
          </w:p>
        </w:tc>
        <w:tc>
          <w:tcPr>
            <w:tcW w:w="7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1,975</w:t>
            </w:r>
          </w:p>
        </w:tc>
        <w:tc>
          <w:tcPr>
            <w:tcW w:w="8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29.5</w:t>
            </w:r>
          </w:p>
        </w:tc>
        <w:tc>
          <w:tcPr>
            <w:tcW w:w="120" w:type="dxa"/>
            <w:vAlign w:val="bottom"/>
            <w:shd w:val="clear" w:color="auto" w:fill="CCEEFF"/>
          </w:tcPr>
          <w:p>
            <w:pPr>
              <w:jc w:val="right"/>
              <w:spacing w:after="0"/>
              <w:rPr>
                <w:sz w:val="20"/>
                <w:szCs w:val="20"/>
                <w:color w:val="auto"/>
              </w:rPr>
            </w:pPr>
            <w:r>
              <w:rPr>
                <w:rFonts w:ascii="Arial" w:cs="Arial" w:eastAsia="Arial" w:hAnsi="Arial"/>
                <w:sz w:val="13"/>
                <w:szCs w:val="13"/>
                <w:color w:val="auto"/>
                <w:w w:val="82"/>
              </w:rPr>
              <w:t>$</w:t>
            </w:r>
          </w:p>
        </w:tc>
        <w:tc>
          <w:tcPr>
            <w:tcW w:w="4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1,891</w:t>
            </w:r>
          </w:p>
        </w:tc>
        <w:tc>
          <w:tcPr>
            <w:tcW w:w="200" w:type="dxa"/>
            <w:vAlign w:val="bottom"/>
            <w:shd w:val="clear" w:color="auto" w:fill="CCEEFF"/>
          </w:tcPr>
          <w:p>
            <w:pPr>
              <w:spacing w:after="0"/>
              <w:rPr>
                <w:sz w:val="13"/>
                <w:szCs w:val="13"/>
                <w:color w:val="auto"/>
              </w:rPr>
            </w:pP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28.3</w:t>
            </w:r>
          </w:p>
        </w:tc>
        <w:tc>
          <w:tcPr>
            <w:tcW w:w="100" w:type="dxa"/>
            <w:vAlign w:val="bottom"/>
            <w:shd w:val="clear" w:color="auto" w:fill="CCEEFF"/>
          </w:tcPr>
          <w:p>
            <w:pPr>
              <w:spacing w:after="0"/>
              <w:rPr>
                <w:sz w:val="13"/>
                <w:szCs w:val="13"/>
                <w:color w:val="auto"/>
              </w:rPr>
            </w:pPr>
          </w:p>
        </w:tc>
      </w:tr>
      <w:tr>
        <w:trPr>
          <w:trHeight w:val="154"/>
        </w:trPr>
        <w:tc>
          <w:tcPr>
            <w:tcW w:w="3560" w:type="dxa"/>
            <w:vAlign w:val="bottom"/>
          </w:tcPr>
          <w:p>
            <w:pPr>
              <w:spacing w:after="0"/>
              <w:rPr>
                <w:sz w:val="20"/>
                <w:szCs w:val="20"/>
                <w:color w:val="auto"/>
              </w:rPr>
            </w:pPr>
            <w:r>
              <w:rPr>
                <w:rFonts w:ascii="Arial" w:cs="Arial" w:eastAsia="Arial" w:hAnsi="Arial"/>
                <w:sz w:val="13"/>
                <w:szCs w:val="13"/>
                <w:color w:val="auto"/>
              </w:rPr>
              <w:t>State-owned commercial banks</w:t>
            </w:r>
          </w:p>
        </w:tc>
        <w:tc>
          <w:tcPr>
            <w:tcW w:w="120" w:type="dxa"/>
            <w:vAlign w:val="bottom"/>
          </w:tcPr>
          <w:p>
            <w:pPr>
              <w:spacing w:after="0"/>
              <w:rPr>
                <w:sz w:val="13"/>
                <w:szCs w:val="13"/>
                <w:color w:val="auto"/>
              </w:rPr>
            </w:pPr>
          </w:p>
        </w:tc>
        <w:tc>
          <w:tcPr>
            <w:tcW w:w="680" w:type="dxa"/>
            <w:vAlign w:val="bottom"/>
            <w:gridSpan w:val="2"/>
          </w:tcPr>
          <w:p>
            <w:pPr>
              <w:jc w:val="right"/>
              <w:ind w:right="220"/>
              <w:spacing w:after="0"/>
              <w:rPr>
                <w:sz w:val="20"/>
                <w:szCs w:val="20"/>
                <w:color w:val="auto"/>
              </w:rPr>
            </w:pPr>
            <w:r>
              <w:rPr>
                <w:rFonts w:ascii="Arial" w:cs="Arial" w:eastAsia="Arial" w:hAnsi="Arial"/>
                <w:sz w:val="13"/>
                <w:szCs w:val="13"/>
                <w:color w:val="auto"/>
              </w:rPr>
              <w:t>624</w:t>
            </w:r>
          </w:p>
        </w:tc>
        <w:tc>
          <w:tcPr>
            <w:tcW w:w="820" w:type="dxa"/>
            <w:vAlign w:val="bottom"/>
            <w:gridSpan w:val="2"/>
          </w:tcPr>
          <w:p>
            <w:pPr>
              <w:jc w:val="right"/>
              <w:ind w:right="240"/>
              <w:spacing w:after="0"/>
              <w:rPr>
                <w:sz w:val="20"/>
                <w:szCs w:val="20"/>
                <w:color w:val="auto"/>
              </w:rPr>
            </w:pPr>
            <w:r>
              <w:rPr>
                <w:rFonts w:ascii="Arial" w:cs="Arial" w:eastAsia="Arial" w:hAnsi="Arial"/>
                <w:sz w:val="13"/>
                <w:szCs w:val="13"/>
                <w:color w:val="auto"/>
              </w:rPr>
              <w:t>10.8</w:t>
            </w:r>
          </w:p>
        </w:tc>
        <w:tc>
          <w:tcPr>
            <w:tcW w:w="100" w:type="dxa"/>
            <w:vAlign w:val="bottom"/>
          </w:tcPr>
          <w:p>
            <w:pPr>
              <w:spacing w:after="0"/>
              <w:rPr>
                <w:sz w:val="13"/>
                <w:szCs w:val="13"/>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574</w:t>
            </w:r>
          </w:p>
        </w:tc>
        <w:tc>
          <w:tcPr>
            <w:tcW w:w="700" w:type="dxa"/>
            <w:vAlign w:val="bottom"/>
            <w:gridSpan w:val="2"/>
          </w:tcPr>
          <w:p>
            <w:pPr>
              <w:jc w:val="right"/>
              <w:ind w:right="120"/>
              <w:spacing w:after="0"/>
              <w:rPr>
                <w:sz w:val="20"/>
                <w:szCs w:val="20"/>
                <w:color w:val="auto"/>
              </w:rPr>
            </w:pPr>
            <w:r>
              <w:rPr>
                <w:rFonts w:ascii="Arial" w:cs="Arial" w:eastAsia="Arial" w:hAnsi="Arial"/>
                <w:sz w:val="13"/>
                <w:szCs w:val="13"/>
                <w:color w:val="auto"/>
              </w:rPr>
              <w:t>10.4</w:t>
            </w: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515</w:t>
            </w:r>
          </w:p>
        </w:tc>
        <w:tc>
          <w:tcPr>
            <w:tcW w:w="800" w:type="dxa"/>
            <w:vAlign w:val="bottom"/>
            <w:gridSpan w:val="2"/>
          </w:tcPr>
          <w:p>
            <w:pPr>
              <w:jc w:val="right"/>
              <w:ind w:right="220"/>
              <w:spacing w:after="0"/>
              <w:rPr>
                <w:sz w:val="20"/>
                <w:szCs w:val="20"/>
                <w:color w:val="auto"/>
              </w:rPr>
            </w:pPr>
            <w:r>
              <w:rPr>
                <w:rFonts w:ascii="Arial" w:cs="Arial" w:eastAsia="Arial" w:hAnsi="Arial"/>
                <w:sz w:val="13"/>
                <w:szCs w:val="13"/>
                <w:color w:val="auto"/>
              </w:rPr>
              <w:t>8.5</w:t>
            </w:r>
          </w:p>
        </w:tc>
        <w:tc>
          <w:tcPr>
            <w:tcW w:w="120" w:type="dxa"/>
            <w:vAlign w:val="bottom"/>
          </w:tcPr>
          <w:p>
            <w:pPr>
              <w:spacing w:after="0"/>
              <w:rPr>
                <w:sz w:val="13"/>
                <w:szCs w:val="13"/>
                <w:color w:val="auto"/>
              </w:rPr>
            </w:pPr>
          </w:p>
        </w:tc>
        <w:tc>
          <w:tcPr>
            <w:tcW w:w="700" w:type="dxa"/>
            <w:vAlign w:val="bottom"/>
            <w:gridSpan w:val="2"/>
          </w:tcPr>
          <w:p>
            <w:pPr>
              <w:jc w:val="right"/>
              <w:ind w:right="240"/>
              <w:spacing w:after="0"/>
              <w:rPr>
                <w:sz w:val="20"/>
                <w:szCs w:val="20"/>
                <w:color w:val="auto"/>
              </w:rPr>
            </w:pPr>
            <w:r>
              <w:rPr>
                <w:rFonts w:ascii="Arial" w:cs="Arial" w:eastAsia="Arial" w:hAnsi="Arial"/>
                <w:sz w:val="13"/>
                <w:szCs w:val="13"/>
                <w:color w:val="auto"/>
              </w:rPr>
              <w:t>613</w:t>
            </w:r>
          </w:p>
        </w:tc>
        <w:tc>
          <w:tcPr>
            <w:tcW w:w="800" w:type="dxa"/>
            <w:vAlign w:val="bottom"/>
            <w:gridSpan w:val="2"/>
          </w:tcPr>
          <w:p>
            <w:pPr>
              <w:jc w:val="right"/>
              <w:ind w:right="220"/>
              <w:spacing w:after="0"/>
              <w:rPr>
                <w:sz w:val="20"/>
                <w:szCs w:val="20"/>
                <w:color w:val="auto"/>
              </w:rPr>
            </w:pPr>
            <w:r>
              <w:rPr>
                <w:rFonts w:ascii="Arial" w:cs="Arial" w:eastAsia="Arial" w:hAnsi="Arial"/>
                <w:sz w:val="13"/>
                <w:szCs w:val="13"/>
                <w:color w:val="auto"/>
              </w:rPr>
              <w:t>9.2</w:t>
            </w:r>
          </w:p>
        </w:tc>
        <w:tc>
          <w:tcPr>
            <w:tcW w:w="120" w:type="dxa"/>
            <w:vAlign w:val="bottom"/>
          </w:tcPr>
          <w:p>
            <w:pPr>
              <w:spacing w:after="0"/>
              <w:rPr>
                <w:sz w:val="13"/>
                <w:szCs w:val="13"/>
                <w:color w:val="auto"/>
              </w:rPr>
            </w:pPr>
          </w:p>
        </w:tc>
        <w:tc>
          <w:tcPr>
            <w:tcW w:w="660" w:type="dxa"/>
            <w:vAlign w:val="bottom"/>
            <w:gridSpan w:val="2"/>
          </w:tcPr>
          <w:p>
            <w:pPr>
              <w:jc w:val="right"/>
              <w:ind w:right="200"/>
              <w:spacing w:after="0"/>
              <w:rPr>
                <w:sz w:val="20"/>
                <w:szCs w:val="20"/>
                <w:color w:val="auto"/>
              </w:rPr>
            </w:pPr>
            <w:r>
              <w:rPr>
                <w:rFonts w:ascii="Arial" w:cs="Arial" w:eastAsia="Arial" w:hAnsi="Arial"/>
                <w:sz w:val="13"/>
                <w:szCs w:val="13"/>
                <w:color w:val="auto"/>
              </w:rPr>
              <w:t>445</w:t>
            </w:r>
          </w:p>
        </w:tc>
        <w:tc>
          <w:tcPr>
            <w:tcW w:w="580" w:type="dxa"/>
            <w:vAlign w:val="bottom"/>
            <w:gridSpan w:val="2"/>
          </w:tcPr>
          <w:p>
            <w:pPr>
              <w:jc w:val="right"/>
              <w:ind w:right="20"/>
              <w:spacing w:after="0"/>
              <w:rPr>
                <w:sz w:val="20"/>
                <w:szCs w:val="20"/>
                <w:color w:val="auto"/>
              </w:rPr>
            </w:pPr>
            <w:r>
              <w:rPr>
                <w:rFonts w:ascii="Arial" w:cs="Arial" w:eastAsia="Arial" w:hAnsi="Arial"/>
                <w:sz w:val="13"/>
                <w:szCs w:val="13"/>
                <w:color w:val="auto"/>
              </w:rPr>
              <w:t>6.7</w:t>
            </w:r>
          </w:p>
        </w:tc>
        <w:tc>
          <w:tcPr>
            <w:tcW w:w="100" w:type="dxa"/>
            <w:vAlign w:val="bottom"/>
          </w:tcPr>
          <w:p>
            <w:pPr>
              <w:spacing w:after="0"/>
              <w:rPr>
                <w:sz w:val="13"/>
                <w:szCs w:val="13"/>
                <w:color w:val="auto"/>
              </w:rPr>
            </w:pPr>
          </w:p>
        </w:tc>
      </w:tr>
      <w:tr>
        <w:trPr>
          <w:trHeight w:val="154"/>
        </w:trPr>
        <w:tc>
          <w:tcPr>
            <w:tcW w:w="3560" w:type="dxa"/>
            <w:vAlign w:val="bottom"/>
            <w:shd w:val="clear" w:color="auto" w:fill="CCEEFF"/>
          </w:tcPr>
          <w:p>
            <w:pPr>
              <w:spacing w:after="0"/>
              <w:rPr>
                <w:sz w:val="20"/>
                <w:szCs w:val="20"/>
                <w:color w:val="auto"/>
              </w:rPr>
            </w:pPr>
            <w:r>
              <w:rPr>
                <w:rFonts w:ascii="Arial" w:cs="Arial" w:eastAsia="Arial" w:hAnsi="Arial"/>
                <w:sz w:val="13"/>
                <w:szCs w:val="13"/>
                <w:color w:val="auto"/>
              </w:rPr>
              <w:t>Central banks</w:t>
            </w:r>
          </w:p>
        </w:tc>
        <w:tc>
          <w:tcPr>
            <w:tcW w:w="120" w:type="dxa"/>
            <w:vAlign w:val="bottom"/>
            <w:shd w:val="clear" w:color="auto" w:fill="CCEEFF"/>
          </w:tcPr>
          <w:p>
            <w:pPr>
              <w:spacing w:after="0"/>
              <w:rPr>
                <w:sz w:val="13"/>
                <w:szCs w:val="13"/>
                <w:color w:val="auto"/>
              </w:rPr>
            </w:pP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8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0.0</w:t>
            </w:r>
          </w:p>
        </w:tc>
        <w:tc>
          <w:tcPr>
            <w:tcW w:w="10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5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w:t>
            </w:r>
          </w:p>
        </w:tc>
        <w:tc>
          <w:tcPr>
            <w:tcW w:w="1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30</w:t>
            </w:r>
          </w:p>
        </w:tc>
        <w:tc>
          <w:tcPr>
            <w:tcW w:w="8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0.5</w:t>
            </w:r>
          </w:p>
        </w:tc>
        <w:tc>
          <w:tcPr>
            <w:tcW w:w="12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0</w:t>
            </w:r>
          </w:p>
        </w:tc>
        <w:tc>
          <w:tcPr>
            <w:tcW w:w="8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0.0</w:t>
            </w:r>
          </w:p>
        </w:tc>
        <w:tc>
          <w:tcPr>
            <w:tcW w:w="120" w:type="dxa"/>
            <w:vAlign w:val="bottom"/>
            <w:shd w:val="clear" w:color="auto" w:fill="CCEEFF"/>
          </w:tcPr>
          <w:p>
            <w:pPr>
              <w:spacing w:after="0"/>
              <w:rPr>
                <w:sz w:val="13"/>
                <w:szCs w:val="13"/>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35</w:t>
            </w:r>
          </w:p>
        </w:tc>
        <w:tc>
          <w:tcPr>
            <w:tcW w:w="200" w:type="dxa"/>
            <w:vAlign w:val="bottom"/>
            <w:shd w:val="clear" w:color="auto" w:fill="CCEEFF"/>
          </w:tcPr>
          <w:p>
            <w:pPr>
              <w:spacing w:after="0"/>
              <w:rPr>
                <w:sz w:val="13"/>
                <w:szCs w:val="13"/>
                <w:color w:val="auto"/>
              </w:rPr>
            </w:pP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0.5</w:t>
            </w:r>
          </w:p>
        </w:tc>
        <w:tc>
          <w:tcPr>
            <w:tcW w:w="100" w:type="dxa"/>
            <w:vAlign w:val="bottom"/>
            <w:shd w:val="clear" w:color="auto" w:fill="CCEEFF"/>
          </w:tcPr>
          <w:p>
            <w:pPr>
              <w:spacing w:after="0"/>
              <w:rPr>
                <w:sz w:val="13"/>
                <w:szCs w:val="13"/>
                <w:color w:val="auto"/>
              </w:rPr>
            </w:pPr>
          </w:p>
        </w:tc>
      </w:tr>
      <w:tr>
        <w:trPr>
          <w:trHeight w:val="154"/>
        </w:trPr>
        <w:tc>
          <w:tcPr>
            <w:tcW w:w="3560" w:type="dxa"/>
            <w:vAlign w:val="bottom"/>
          </w:tcPr>
          <w:p>
            <w:pPr>
              <w:spacing w:after="0"/>
              <w:rPr>
                <w:sz w:val="20"/>
                <w:szCs w:val="20"/>
                <w:color w:val="auto"/>
              </w:rPr>
            </w:pPr>
            <w:r>
              <w:rPr>
                <w:rFonts w:ascii="Arial" w:cs="Arial" w:eastAsia="Arial" w:hAnsi="Arial"/>
                <w:sz w:val="13"/>
                <w:szCs w:val="13"/>
                <w:color w:val="auto"/>
              </w:rPr>
              <w:t>State-owned organizations</w:t>
            </w:r>
          </w:p>
        </w:tc>
        <w:tc>
          <w:tcPr>
            <w:tcW w:w="120" w:type="dxa"/>
            <w:vAlign w:val="bottom"/>
          </w:tcPr>
          <w:p>
            <w:pPr>
              <w:spacing w:after="0"/>
              <w:rPr>
                <w:sz w:val="13"/>
                <w:szCs w:val="13"/>
                <w:color w:val="auto"/>
              </w:rPr>
            </w:pPr>
          </w:p>
        </w:tc>
        <w:tc>
          <w:tcPr>
            <w:tcW w:w="680" w:type="dxa"/>
            <w:vAlign w:val="bottom"/>
            <w:gridSpan w:val="2"/>
          </w:tcPr>
          <w:p>
            <w:pPr>
              <w:jc w:val="right"/>
              <w:ind w:right="220"/>
              <w:spacing w:after="0"/>
              <w:rPr>
                <w:sz w:val="20"/>
                <w:szCs w:val="20"/>
                <w:color w:val="auto"/>
              </w:rPr>
            </w:pPr>
            <w:r>
              <w:rPr>
                <w:rFonts w:ascii="Arial" w:cs="Arial" w:eastAsia="Arial" w:hAnsi="Arial"/>
                <w:sz w:val="13"/>
                <w:szCs w:val="13"/>
                <w:color w:val="auto"/>
              </w:rPr>
              <w:t>802</w:t>
            </w:r>
          </w:p>
        </w:tc>
        <w:tc>
          <w:tcPr>
            <w:tcW w:w="820" w:type="dxa"/>
            <w:vAlign w:val="bottom"/>
            <w:gridSpan w:val="2"/>
          </w:tcPr>
          <w:p>
            <w:pPr>
              <w:jc w:val="right"/>
              <w:ind w:right="240"/>
              <w:spacing w:after="0"/>
              <w:rPr>
                <w:sz w:val="20"/>
                <w:szCs w:val="20"/>
                <w:color w:val="auto"/>
              </w:rPr>
            </w:pPr>
            <w:r>
              <w:rPr>
                <w:rFonts w:ascii="Arial" w:cs="Arial" w:eastAsia="Arial" w:hAnsi="Arial"/>
                <w:sz w:val="13"/>
                <w:szCs w:val="13"/>
                <w:color w:val="auto"/>
              </w:rPr>
              <w:t>13.9</w:t>
            </w:r>
          </w:p>
        </w:tc>
        <w:tc>
          <w:tcPr>
            <w:tcW w:w="100" w:type="dxa"/>
            <w:vAlign w:val="bottom"/>
          </w:tcPr>
          <w:p>
            <w:pPr>
              <w:spacing w:after="0"/>
              <w:rPr>
                <w:sz w:val="13"/>
                <w:szCs w:val="13"/>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723</w:t>
            </w:r>
          </w:p>
        </w:tc>
        <w:tc>
          <w:tcPr>
            <w:tcW w:w="700" w:type="dxa"/>
            <w:vAlign w:val="bottom"/>
            <w:gridSpan w:val="2"/>
          </w:tcPr>
          <w:p>
            <w:pPr>
              <w:jc w:val="right"/>
              <w:ind w:right="120"/>
              <w:spacing w:after="0"/>
              <w:rPr>
                <w:sz w:val="20"/>
                <w:szCs w:val="20"/>
                <w:color w:val="auto"/>
              </w:rPr>
            </w:pPr>
            <w:r>
              <w:rPr>
                <w:rFonts w:ascii="Arial" w:cs="Arial" w:eastAsia="Arial" w:hAnsi="Arial"/>
                <w:sz w:val="13"/>
                <w:szCs w:val="13"/>
                <w:color w:val="auto"/>
              </w:rPr>
              <w:t>13.1</w:t>
            </w: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787</w:t>
            </w:r>
          </w:p>
        </w:tc>
        <w:tc>
          <w:tcPr>
            <w:tcW w:w="800" w:type="dxa"/>
            <w:vAlign w:val="bottom"/>
            <w:gridSpan w:val="2"/>
          </w:tcPr>
          <w:p>
            <w:pPr>
              <w:jc w:val="right"/>
              <w:ind w:right="220"/>
              <w:spacing w:after="0"/>
              <w:rPr>
                <w:sz w:val="20"/>
                <w:szCs w:val="20"/>
                <w:color w:val="auto"/>
              </w:rPr>
            </w:pPr>
            <w:r>
              <w:rPr>
                <w:rFonts w:ascii="Arial" w:cs="Arial" w:eastAsia="Arial" w:hAnsi="Arial"/>
                <w:sz w:val="13"/>
                <w:szCs w:val="13"/>
                <w:color w:val="auto"/>
              </w:rPr>
              <w:t>13.1</w:t>
            </w:r>
          </w:p>
        </w:tc>
        <w:tc>
          <w:tcPr>
            <w:tcW w:w="120" w:type="dxa"/>
            <w:vAlign w:val="bottom"/>
          </w:tcPr>
          <w:p>
            <w:pPr>
              <w:spacing w:after="0"/>
              <w:rPr>
                <w:sz w:val="13"/>
                <w:szCs w:val="13"/>
                <w:color w:val="auto"/>
              </w:rPr>
            </w:pPr>
          </w:p>
        </w:tc>
        <w:tc>
          <w:tcPr>
            <w:tcW w:w="700" w:type="dxa"/>
            <w:vAlign w:val="bottom"/>
            <w:gridSpan w:val="2"/>
          </w:tcPr>
          <w:p>
            <w:pPr>
              <w:jc w:val="right"/>
              <w:ind w:right="240"/>
              <w:spacing w:after="0"/>
              <w:rPr>
                <w:sz w:val="20"/>
                <w:szCs w:val="20"/>
                <w:color w:val="auto"/>
              </w:rPr>
            </w:pPr>
            <w:r>
              <w:rPr>
                <w:rFonts w:ascii="Arial" w:cs="Arial" w:eastAsia="Arial" w:hAnsi="Arial"/>
                <w:sz w:val="13"/>
                <w:szCs w:val="13"/>
                <w:color w:val="auto"/>
              </w:rPr>
              <w:t>462</w:t>
            </w:r>
          </w:p>
        </w:tc>
        <w:tc>
          <w:tcPr>
            <w:tcW w:w="800" w:type="dxa"/>
            <w:vAlign w:val="bottom"/>
            <w:gridSpan w:val="2"/>
          </w:tcPr>
          <w:p>
            <w:pPr>
              <w:jc w:val="right"/>
              <w:ind w:right="220"/>
              <w:spacing w:after="0"/>
              <w:rPr>
                <w:sz w:val="20"/>
                <w:szCs w:val="20"/>
                <w:color w:val="auto"/>
              </w:rPr>
            </w:pPr>
            <w:r>
              <w:rPr>
                <w:rFonts w:ascii="Arial" w:cs="Arial" w:eastAsia="Arial" w:hAnsi="Arial"/>
                <w:sz w:val="13"/>
                <w:szCs w:val="13"/>
                <w:color w:val="auto"/>
              </w:rPr>
              <w:t>6.9</w:t>
            </w:r>
          </w:p>
        </w:tc>
        <w:tc>
          <w:tcPr>
            <w:tcW w:w="120" w:type="dxa"/>
            <w:vAlign w:val="bottom"/>
          </w:tcPr>
          <w:p>
            <w:pPr>
              <w:spacing w:after="0"/>
              <w:rPr>
                <w:sz w:val="13"/>
                <w:szCs w:val="13"/>
                <w:color w:val="auto"/>
              </w:rPr>
            </w:pPr>
          </w:p>
        </w:tc>
        <w:tc>
          <w:tcPr>
            <w:tcW w:w="660" w:type="dxa"/>
            <w:vAlign w:val="bottom"/>
            <w:gridSpan w:val="2"/>
          </w:tcPr>
          <w:p>
            <w:pPr>
              <w:jc w:val="right"/>
              <w:ind w:right="200"/>
              <w:spacing w:after="0"/>
              <w:rPr>
                <w:sz w:val="20"/>
                <w:szCs w:val="20"/>
                <w:color w:val="auto"/>
              </w:rPr>
            </w:pPr>
            <w:r>
              <w:rPr>
                <w:rFonts w:ascii="Arial" w:cs="Arial" w:eastAsia="Arial" w:hAnsi="Arial"/>
                <w:sz w:val="13"/>
                <w:szCs w:val="13"/>
                <w:color w:val="auto"/>
              </w:rPr>
              <w:t>712</w:t>
            </w:r>
          </w:p>
        </w:tc>
        <w:tc>
          <w:tcPr>
            <w:tcW w:w="580" w:type="dxa"/>
            <w:vAlign w:val="bottom"/>
            <w:gridSpan w:val="2"/>
          </w:tcPr>
          <w:p>
            <w:pPr>
              <w:jc w:val="right"/>
              <w:ind w:right="20"/>
              <w:spacing w:after="0"/>
              <w:rPr>
                <w:sz w:val="20"/>
                <w:szCs w:val="20"/>
                <w:color w:val="auto"/>
              </w:rPr>
            </w:pPr>
            <w:r>
              <w:rPr>
                <w:rFonts w:ascii="Arial" w:cs="Arial" w:eastAsia="Arial" w:hAnsi="Arial"/>
                <w:sz w:val="13"/>
                <w:szCs w:val="13"/>
                <w:color w:val="auto"/>
              </w:rPr>
              <w:t>10.6</w:t>
            </w:r>
          </w:p>
        </w:tc>
        <w:tc>
          <w:tcPr>
            <w:tcW w:w="100" w:type="dxa"/>
            <w:vAlign w:val="bottom"/>
          </w:tcPr>
          <w:p>
            <w:pPr>
              <w:spacing w:after="0"/>
              <w:rPr>
                <w:sz w:val="13"/>
                <w:szCs w:val="13"/>
                <w:color w:val="auto"/>
              </w:rPr>
            </w:pPr>
          </w:p>
        </w:tc>
      </w:tr>
      <w:tr>
        <w:trPr>
          <w:trHeight w:val="164"/>
        </w:trPr>
        <w:tc>
          <w:tcPr>
            <w:tcW w:w="3560" w:type="dxa"/>
            <w:vAlign w:val="bottom"/>
            <w:shd w:val="clear" w:color="auto" w:fill="CCEEFF"/>
          </w:tcPr>
          <w:p>
            <w:pPr>
              <w:spacing w:after="0"/>
              <w:rPr>
                <w:sz w:val="20"/>
                <w:szCs w:val="20"/>
                <w:color w:val="auto"/>
              </w:rPr>
            </w:pPr>
            <w:r>
              <w:rPr>
                <w:rFonts w:ascii="Arial" w:cs="Arial" w:eastAsia="Arial" w:hAnsi="Arial"/>
                <w:sz w:val="13"/>
                <w:szCs w:val="13"/>
                <w:color w:val="auto"/>
              </w:rPr>
              <w:t>Private corporations</w:t>
            </w:r>
          </w:p>
        </w:tc>
        <w:tc>
          <w:tcPr>
            <w:tcW w:w="120" w:type="dxa"/>
            <w:vAlign w:val="bottom"/>
            <w:shd w:val="clear" w:color="auto" w:fill="CCEEFF"/>
          </w:tcPr>
          <w:p>
            <w:pPr>
              <w:spacing w:after="0"/>
              <w:rPr>
                <w:sz w:val="14"/>
                <w:szCs w:val="14"/>
                <w:color w:val="auto"/>
              </w:rPr>
            </w:pP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1,893</w:t>
            </w:r>
          </w:p>
        </w:tc>
        <w:tc>
          <w:tcPr>
            <w:tcW w:w="8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32.8</w:t>
            </w:r>
          </w:p>
        </w:tc>
        <w:tc>
          <w:tcPr>
            <w:tcW w:w="100" w:type="dxa"/>
            <w:vAlign w:val="bottom"/>
            <w:shd w:val="clear" w:color="auto" w:fill="CCEEFF"/>
          </w:tcPr>
          <w:p>
            <w:pPr>
              <w:spacing w:after="0"/>
              <w:rPr>
                <w:sz w:val="14"/>
                <w:szCs w:val="14"/>
                <w:color w:val="auto"/>
              </w:rPr>
            </w:pPr>
          </w:p>
        </w:tc>
        <w:tc>
          <w:tcPr>
            <w:tcW w:w="4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2,125</w:t>
            </w:r>
          </w:p>
        </w:tc>
        <w:tc>
          <w:tcPr>
            <w:tcW w:w="22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38.6</w:t>
            </w:r>
          </w:p>
        </w:tc>
        <w:tc>
          <w:tcPr>
            <w:tcW w:w="1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2,950</w:t>
            </w:r>
          </w:p>
        </w:tc>
        <w:tc>
          <w:tcPr>
            <w:tcW w:w="8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49.0</w:t>
            </w:r>
          </w:p>
        </w:tc>
        <w:tc>
          <w:tcPr>
            <w:tcW w:w="12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3,642</w:t>
            </w:r>
          </w:p>
        </w:tc>
        <w:tc>
          <w:tcPr>
            <w:tcW w:w="8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54.4</w:t>
            </w:r>
          </w:p>
        </w:tc>
        <w:tc>
          <w:tcPr>
            <w:tcW w:w="120" w:type="dxa"/>
            <w:vAlign w:val="bottom"/>
            <w:shd w:val="clear" w:color="auto" w:fill="CCEEFF"/>
          </w:tcPr>
          <w:p>
            <w:pPr>
              <w:spacing w:after="0"/>
              <w:rPr>
                <w:sz w:val="14"/>
                <w:szCs w:val="14"/>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3,603</w:t>
            </w:r>
          </w:p>
        </w:tc>
        <w:tc>
          <w:tcPr>
            <w:tcW w:w="200" w:type="dxa"/>
            <w:vAlign w:val="bottom"/>
            <w:shd w:val="clear" w:color="auto" w:fill="CCEEFF"/>
          </w:tcPr>
          <w:p>
            <w:pPr>
              <w:spacing w:after="0"/>
              <w:rPr>
                <w:sz w:val="14"/>
                <w:szCs w:val="14"/>
                <w:color w:val="auto"/>
              </w:rPr>
            </w:pP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53.9</w:t>
            </w:r>
          </w:p>
        </w:tc>
        <w:tc>
          <w:tcPr>
            <w:tcW w:w="100" w:type="dxa"/>
            <w:vAlign w:val="bottom"/>
            <w:shd w:val="clear" w:color="auto" w:fill="CCEEFF"/>
          </w:tcPr>
          <w:p>
            <w:pPr>
              <w:spacing w:after="0"/>
              <w:rPr>
                <w:sz w:val="14"/>
                <w:szCs w:val="14"/>
                <w:color w:val="auto"/>
              </w:rPr>
            </w:pPr>
          </w:p>
        </w:tc>
      </w:tr>
      <w:tr>
        <w:trPr>
          <w:trHeight w:val="162"/>
        </w:trPr>
        <w:tc>
          <w:tcPr>
            <w:tcW w:w="3560" w:type="dxa"/>
            <w:vAlign w:val="bottom"/>
          </w:tcPr>
          <w:p>
            <w:pPr>
              <w:ind w:left="120"/>
              <w:spacing w:after="0" w:line="146" w:lineRule="exact"/>
              <w:rPr>
                <w:sz w:val="20"/>
                <w:szCs w:val="20"/>
                <w:color w:val="auto"/>
              </w:rPr>
            </w:pPr>
            <w:r>
              <w:rPr>
                <w:rFonts w:ascii="Arial" w:cs="Arial" w:eastAsia="Arial" w:hAnsi="Arial"/>
                <w:sz w:val="13"/>
                <w:szCs w:val="13"/>
                <w:b w:val="1"/>
                <w:bCs w:val="1"/>
                <w:color w:val="auto"/>
              </w:rPr>
              <w:t>Total</w:t>
            </w:r>
          </w:p>
        </w:tc>
        <w:tc>
          <w:tcPr>
            <w:tcW w:w="120" w:type="dxa"/>
            <w:vAlign w:val="bottom"/>
            <w:tcBorders>
              <w:top w:val="single" w:sz="8" w:color="auto"/>
              <w:bottom w:val="single" w:sz="8" w:color="auto"/>
            </w:tcBorders>
          </w:tcPr>
          <w:p>
            <w:pPr>
              <w:jc w:val="right"/>
              <w:ind w:right="12"/>
              <w:spacing w:after="0"/>
              <w:rPr>
                <w:sz w:val="20"/>
                <w:szCs w:val="20"/>
                <w:color w:val="auto"/>
              </w:rPr>
            </w:pPr>
            <w:r>
              <w:rPr>
                <w:rFonts w:ascii="Arial" w:cs="Arial" w:eastAsia="Arial" w:hAnsi="Arial"/>
                <w:sz w:val="10"/>
                <w:szCs w:val="10"/>
                <w:b w:val="1"/>
                <w:bCs w:val="1"/>
                <w:color w:val="auto"/>
                <w:w w:val="71"/>
              </w:rPr>
              <w:t>$</w:t>
            </w:r>
          </w:p>
        </w:tc>
        <w:tc>
          <w:tcPr>
            <w:tcW w:w="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5,778</w:t>
            </w:r>
          </w:p>
        </w:tc>
        <w:tc>
          <w:tcPr>
            <w:tcW w:w="220" w:type="dxa"/>
            <w:vAlign w:val="bottom"/>
          </w:tcPr>
          <w:p>
            <w:pPr>
              <w:spacing w:after="0"/>
              <w:rPr>
                <w:sz w:val="14"/>
                <w:szCs w:val="14"/>
                <w:color w:val="auto"/>
              </w:rPr>
            </w:pPr>
          </w:p>
        </w:tc>
        <w:tc>
          <w:tcPr>
            <w:tcW w:w="5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240" w:type="dxa"/>
            <w:vAlign w:val="bottom"/>
          </w:tcPr>
          <w:p>
            <w:pPr>
              <w:spacing w:after="0"/>
              <w:rPr>
                <w:sz w:val="14"/>
                <w:szCs w:val="14"/>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0"/>
                <w:szCs w:val="10"/>
                <w:b w:val="1"/>
                <w:bCs w:val="1"/>
                <w:color w:val="auto"/>
                <w:w w:val="71"/>
              </w:rPr>
              <w:t>$</w:t>
            </w:r>
          </w:p>
        </w:tc>
        <w:tc>
          <w:tcPr>
            <w:tcW w:w="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5,506</w:t>
            </w:r>
          </w:p>
        </w:tc>
        <w:tc>
          <w:tcPr>
            <w:tcW w:w="220" w:type="dxa"/>
            <w:vAlign w:val="bottom"/>
          </w:tcPr>
          <w:p>
            <w:pPr>
              <w:spacing w:after="0"/>
              <w:rPr>
                <w:sz w:val="14"/>
                <w:szCs w:val="14"/>
                <w:color w:val="auto"/>
              </w:rPr>
            </w:pPr>
          </w:p>
        </w:tc>
        <w:tc>
          <w:tcPr>
            <w:tcW w:w="5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1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0"/>
                <w:szCs w:val="10"/>
                <w:b w:val="1"/>
                <w:bCs w:val="1"/>
                <w:color w:val="auto"/>
                <w:w w:val="71"/>
              </w:rPr>
              <w:t>$</w:t>
            </w:r>
          </w:p>
        </w:tc>
        <w:tc>
          <w:tcPr>
            <w:tcW w:w="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6,021</w:t>
            </w:r>
          </w:p>
        </w:tc>
        <w:tc>
          <w:tcPr>
            <w:tcW w:w="220" w:type="dxa"/>
            <w:vAlign w:val="bottom"/>
          </w:tcPr>
          <w:p>
            <w:pPr>
              <w:spacing w:after="0"/>
              <w:rPr>
                <w:sz w:val="14"/>
                <w:szCs w:val="14"/>
                <w:color w:val="auto"/>
              </w:rPr>
            </w:pPr>
          </w:p>
        </w:tc>
        <w:tc>
          <w:tcPr>
            <w:tcW w:w="5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220" w:type="dxa"/>
            <w:vAlign w:val="bottom"/>
          </w:tcPr>
          <w:p>
            <w:pPr>
              <w:spacing w:after="0"/>
              <w:rPr>
                <w:sz w:val="14"/>
                <w:szCs w:val="14"/>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w w:val="82"/>
              </w:rPr>
              <w:t>$</w:t>
            </w:r>
          </w:p>
        </w:tc>
        <w:tc>
          <w:tcPr>
            <w:tcW w:w="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6,692</w:t>
            </w:r>
          </w:p>
        </w:tc>
        <w:tc>
          <w:tcPr>
            <w:tcW w:w="240" w:type="dxa"/>
            <w:vAlign w:val="bottom"/>
          </w:tcPr>
          <w:p>
            <w:pPr>
              <w:spacing w:after="0"/>
              <w:rPr>
                <w:sz w:val="14"/>
                <w:szCs w:val="14"/>
                <w:color w:val="auto"/>
              </w:rPr>
            </w:pPr>
          </w:p>
        </w:tc>
        <w:tc>
          <w:tcPr>
            <w:tcW w:w="5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220" w:type="dxa"/>
            <w:vAlign w:val="bottom"/>
          </w:tcPr>
          <w:p>
            <w:pPr>
              <w:spacing w:after="0"/>
              <w:rPr>
                <w:sz w:val="14"/>
                <w:szCs w:val="14"/>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w w:val="82"/>
              </w:rPr>
              <w:t>$</w:t>
            </w:r>
          </w:p>
        </w:tc>
        <w:tc>
          <w:tcPr>
            <w:tcW w:w="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6,686</w:t>
            </w:r>
          </w:p>
        </w:tc>
        <w:tc>
          <w:tcPr>
            <w:tcW w:w="200" w:type="dxa"/>
            <w:vAlign w:val="bottom"/>
          </w:tcPr>
          <w:p>
            <w:pPr>
              <w:spacing w:after="0"/>
              <w:rPr>
                <w:sz w:val="14"/>
                <w:szCs w:val="14"/>
                <w:color w:val="auto"/>
              </w:rPr>
            </w:pPr>
          </w:p>
        </w:tc>
        <w:tc>
          <w:tcPr>
            <w:tcW w:w="5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2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bl>
    <w:p>
      <w:pPr>
        <w:spacing w:after="0" w:line="294"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28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30" w:name="page31"/>
    <w:bookmarkEnd w:id="30"/>
    <w:p>
      <w:pPr>
        <w:jc w:val="both"/>
        <w:ind w:right="20"/>
        <w:spacing w:after="0" w:line="257" w:lineRule="auto"/>
        <w:rPr>
          <w:sz w:val="20"/>
          <w:szCs w:val="20"/>
          <w:color w:val="auto"/>
        </w:rPr>
      </w:pPr>
      <w:r>
        <w:rPr>
          <w:rFonts w:ascii="Arial" w:cs="Arial" w:eastAsia="Arial" w:hAnsi="Arial"/>
          <w:sz w:val="13"/>
          <w:szCs w:val="13"/>
          <w:color w:val="auto"/>
        </w:rPr>
        <w:t>As of December 31, 2018, the Bank’s Loan Portfolio industry exposure mainly included: (i) 53% in the financial institutions sector; (ii) 17% in the industrial sector, comprised mostly of food and beverage (5%), electric power (5%), metal (3%) and other manufacturing (2%), and plastics and packaging industries (2%); and (iii) 11% in the oil and gas sector, which in turn was divided into integrated (10%) and upstream (1%). No other industry sector exceeded 10% exposure of the Loan Portfolio.</w:t>
      </w:r>
    </w:p>
    <w:p>
      <w:pPr>
        <w:spacing w:after="0" w:line="136"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Maturities and Sensitivities of the Loan Portfolio to Changes in Interest Rates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The following table sets forth the remaining term of the maturity profile of the Bank’s Loan Portfolio as of December 31, 2018, by type of rate and type of borrower:</w:t>
      </w:r>
    </w:p>
    <w:p>
      <w:pPr>
        <w:spacing w:after="0" w:line="164"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5620" w:type="dxa"/>
            <w:vAlign w:val="bottom"/>
          </w:tcPr>
          <w:p>
            <w:pPr>
              <w:spacing w:after="0"/>
              <w:rPr>
                <w:sz w:val="14"/>
                <w:szCs w:val="14"/>
                <w:color w:val="auto"/>
              </w:rPr>
            </w:pPr>
          </w:p>
        </w:tc>
        <w:tc>
          <w:tcPr>
            <w:tcW w:w="540" w:type="dxa"/>
            <w:vAlign w:val="bottom"/>
            <w:tcBorders>
              <w:bottom w:val="single" w:sz="8" w:color="auto"/>
            </w:tcBorders>
          </w:tcPr>
          <w:p>
            <w:pPr>
              <w:spacing w:after="0"/>
              <w:rPr>
                <w:sz w:val="14"/>
                <w:szCs w:val="14"/>
                <w:color w:val="auto"/>
              </w:rPr>
            </w:pPr>
          </w:p>
        </w:tc>
        <w:tc>
          <w:tcPr>
            <w:tcW w:w="74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2900" w:type="dxa"/>
            <w:vAlign w:val="bottom"/>
            <w:tcBorders>
              <w:bottom w:val="single" w:sz="8" w:color="auto"/>
            </w:tcBorders>
            <w:gridSpan w:val="5"/>
          </w:tcPr>
          <w:p>
            <w:pPr>
              <w:jc w:val="right"/>
              <w:ind w:right="940"/>
              <w:spacing w:after="0"/>
              <w:rPr>
                <w:sz w:val="20"/>
                <w:szCs w:val="20"/>
                <w:color w:val="auto"/>
              </w:rPr>
            </w:pPr>
            <w:r>
              <w:rPr>
                <w:rFonts w:ascii="Arial" w:cs="Arial" w:eastAsia="Arial" w:hAnsi="Arial"/>
                <w:sz w:val="13"/>
                <w:szCs w:val="13"/>
                <w:b w:val="1"/>
                <w:bCs w:val="1"/>
                <w:color w:val="auto"/>
              </w:rPr>
              <w:t>As of December 31, 2018</w:t>
            </w:r>
          </w:p>
        </w:tc>
        <w:tc>
          <w:tcPr>
            <w:tcW w:w="260" w:type="dxa"/>
            <w:vAlign w:val="bottom"/>
            <w:tcBorders>
              <w:bottom w:val="single" w:sz="8" w:color="auto"/>
            </w:tcBorders>
          </w:tcPr>
          <w:p>
            <w:pPr>
              <w:spacing w:after="0"/>
              <w:rPr>
                <w:sz w:val="14"/>
                <w:szCs w:val="14"/>
                <w:color w:val="auto"/>
              </w:rPr>
            </w:pPr>
          </w:p>
        </w:tc>
        <w:tc>
          <w:tcPr>
            <w:tcW w:w="98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r>
      <w:tr>
        <w:trPr>
          <w:trHeight w:val="131"/>
        </w:trPr>
        <w:tc>
          <w:tcPr>
            <w:tcW w:w="562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660" w:type="dxa"/>
            <w:vAlign w:val="bottom"/>
            <w:gridSpan w:val="3"/>
          </w:tcPr>
          <w:p>
            <w:pPr>
              <w:jc w:val="right"/>
              <w:spacing w:after="0" w:line="131" w:lineRule="exact"/>
              <w:rPr>
                <w:sz w:val="20"/>
                <w:szCs w:val="20"/>
                <w:color w:val="auto"/>
              </w:rPr>
            </w:pPr>
            <w:r>
              <w:rPr>
                <w:rFonts w:ascii="Arial" w:cs="Arial" w:eastAsia="Arial" w:hAnsi="Arial"/>
                <w:sz w:val="13"/>
                <w:szCs w:val="13"/>
                <w:b w:val="1"/>
                <w:bCs w:val="1"/>
                <w:color w:val="auto"/>
              </w:rPr>
              <w:t>(in $ millions)</w:t>
            </w:r>
          </w:p>
        </w:tc>
        <w:tc>
          <w:tcPr>
            <w:tcW w:w="10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120" w:type="dxa"/>
            <w:vAlign w:val="bottom"/>
          </w:tcPr>
          <w:p>
            <w:pPr>
              <w:spacing w:after="0"/>
              <w:rPr>
                <w:sz w:val="11"/>
                <w:szCs w:val="11"/>
                <w:color w:val="auto"/>
              </w:rPr>
            </w:pPr>
          </w:p>
        </w:tc>
      </w:tr>
      <w:tr>
        <w:trPr>
          <w:trHeight w:val="154"/>
        </w:trPr>
        <w:tc>
          <w:tcPr>
            <w:tcW w:w="5620" w:type="dxa"/>
            <w:vAlign w:val="bottom"/>
          </w:tcPr>
          <w:p>
            <w:pPr>
              <w:spacing w:after="0"/>
              <w:rPr>
                <w:sz w:val="13"/>
                <w:szCs w:val="13"/>
                <w:color w:val="auto"/>
              </w:rPr>
            </w:pPr>
          </w:p>
        </w:tc>
        <w:tc>
          <w:tcPr>
            <w:tcW w:w="54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420" w:type="dxa"/>
            <w:vAlign w:val="bottom"/>
            <w:gridSpan w:val="2"/>
          </w:tcPr>
          <w:p>
            <w:pPr>
              <w:jc w:val="right"/>
              <w:ind w:right="360"/>
              <w:spacing w:after="0"/>
              <w:rPr>
                <w:sz w:val="20"/>
                <w:szCs w:val="20"/>
                <w:color w:val="auto"/>
              </w:rPr>
            </w:pPr>
            <w:r>
              <w:rPr>
                <w:rFonts w:ascii="Arial" w:cs="Arial" w:eastAsia="Arial" w:hAnsi="Arial"/>
                <w:sz w:val="13"/>
                <w:szCs w:val="13"/>
                <w:b w:val="1"/>
                <w:bCs w:val="1"/>
                <w:color w:val="auto"/>
                <w:w w:val="91"/>
              </w:rPr>
              <w:t>Due after one year</w:t>
            </w:r>
          </w:p>
        </w:tc>
        <w:tc>
          <w:tcPr>
            <w:tcW w:w="240" w:type="dxa"/>
            <w:vAlign w:val="bottom"/>
          </w:tcPr>
          <w:p>
            <w:pPr>
              <w:spacing w:after="0"/>
              <w:rPr>
                <w:sz w:val="13"/>
                <w:szCs w:val="13"/>
                <w:color w:val="auto"/>
              </w:rPr>
            </w:pPr>
          </w:p>
        </w:tc>
        <w:tc>
          <w:tcPr>
            <w:tcW w:w="1240" w:type="dxa"/>
            <w:vAlign w:val="bottom"/>
            <w:gridSpan w:val="2"/>
          </w:tcPr>
          <w:p>
            <w:pPr>
              <w:jc w:val="right"/>
              <w:ind w:right="480"/>
              <w:spacing w:after="0"/>
              <w:rPr>
                <w:sz w:val="20"/>
                <w:szCs w:val="20"/>
                <w:color w:val="auto"/>
              </w:rPr>
            </w:pPr>
            <w:r>
              <w:rPr>
                <w:rFonts w:ascii="Arial" w:cs="Arial" w:eastAsia="Arial" w:hAnsi="Arial"/>
                <w:sz w:val="13"/>
                <w:szCs w:val="13"/>
                <w:b w:val="1"/>
                <w:bCs w:val="1"/>
                <w:color w:val="auto"/>
                <w:w w:val="89"/>
              </w:rPr>
              <w:t>Due after five</w:t>
            </w:r>
          </w:p>
        </w:tc>
        <w:tc>
          <w:tcPr>
            <w:tcW w:w="26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66"/>
        </w:trPr>
        <w:tc>
          <w:tcPr>
            <w:tcW w:w="5620" w:type="dxa"/>
            <w:vAlign w:val="bottom"/>
          </w:tcPr>
          <w:p>
            <w:pPr>
              <w:spacing w:after="0"/>
              <w:rPr>
                <w:sz w:val="14"/>
                <w:szCs w:val="14"/>
                <w:color w:val="auto"/>
              </w:rPr>
            </w:pPr>
          </w:p>
        </w:tc>
        <w:tc>
          <w:tcPr>
            <w:tcW w:w="1500" w:type="dxa"/>
            <w:vAlign w:val="bottom"/>
            <w:gridSpan w:val="3"/>
          </w:tcPr>
          <w:p>
            <w:pPr>
              <w:ind w:left="20"/>
              <w:spacing w:after="0"/>
              <w:rPr>
                <w:sz w:val="20"/>
                <w:szCs w:val="20"/>
                <w:color w:val="auto"/>
              </w:rPr>
            </w:pPr>
            <w:r>
              <w:rPr>
                <w:rFonts w:ascii="Arial" w:cs="Arial" w:eastAsia="Arial" w:hAnsi="Arial"/>
                <w:sz w:val="13"/>
                <w:szCs w:val="13"/>
                <w:b w:val="1"/>
                <w:bCs w:val="1"/>
                <w:color w:val="auto"/>
              </w:rPr>
              <w:t>Due in one year or less</w:t>
            </w:r>
          </w:p>
        </w:tc>
        <w:tc>
          <w:tcPr>
            <w:tcW w:w="100" w:type="dxa"/>
            <w:vAlign w:val="bottom"/>
          </w:tcPr>
          <w:p>
            <w:pPr>
              <w:spacing w:after="0"/>
              <w:rPr>
                <w:sz w:val="14"/>
                <w:szCs w:val="14"/>
                <w:color w:val="auto"/>
              </w:rPr>
            </w:pPr>
          </w:p>
        </w:tc>
        <w:tc>
          <w:tcPr>
            <w:tcW w:w="1420" w:type="dxa"/>
            <w:vAlign w:val="bottom"/>
            <w:gridSpan w:val="2"/>
          </w:tcPr>
          <w:p>
            <w:pPr>
              <w:jc w:val="right"/>
              <w:ind w:right="380"/>
              <w:spacing w:after="0"/>
              <w:rPr>
                <w:sz w:val="20"/>
                <w:szCs w:val="20"/>
                <w:color w:val="auto"/>
              </w:rPr>
            </w:pPr>
            <w:r>
              <w:rPr>
                <w:rFonts w:ascii="Arial" w:cs="Arial" w:eastAsia="Arial" w:hAnsi="Arial"/>
                <w:sz w:val="13"/>
                <w:szCs w:val="13"/>
                <w:b w:val="1"/>
                <w:bCs w:val="1"/>
                <w:color w:val="auto"/>
                <w:w w:val="90"/>
              </w:rPr>
              <w:t>through five years</w:t>
            </w:r>
          </w:p>
        </w:tc>
        <w:tc>
          <w:tcPr>
            <w:tcW w:w="240" w:type="dxa"/>
            <w:vAlign w:val="bottom"/>
          </w:tcPr>
          <w:p>
            <w:pPr>
              <w:spacing w:after="0"/>
              <w:rPr>
                <w:sz w:val="14"/>
                <w:szCs w:val="14"/>
                <w:color w:val="auto"/>
              </w:rPr>
            </w:pPr>
          </w:p>
        </w:tc>
        <w:tc>
          <w:tcPr>
            <w:tcW w:w="1240" w:type="dxa"/>
            <w:vAlign w:val="bottom"/>
            <w:gridSpan w:val="2"/>
          </w:tcPr>
          <w:p>
            <w:pPr>
              <w:jc w:val="right"/>
              <w:ind w:right="700"/>
              <w:spacing w:after="0"/>
              <w:rPr>
                <w:sz w:val="20"/>
                <w:szCs w:val="20"/>
                <w:color w:val="auto"/>
              </w:rPr>
            </w:pPr>
            <w:r>
              <w:rPr>
                <w:rFonts w:ascii="Arial" w:cs="Arial" w:eastAsia="Arial" w:hAnsi="Arial"/>
                <w:sz w:val="13"/>
                <w:szCs w:val="13"/>
                <w:b w:val="1"/>
                <w:bCs w:val="1"/>
                <w:color w:val="auto"/>
              </w:rPr>
              <w:t>years</w:t>
            </w:r>
          </w:p>
        </w:tc>
        <w:tc>
          <w:tcPr>
            <w:tcW w:w="260" w:type="dxa"/>
            <w:vAlign w:val="bottom"/>
          </w:tcPr>
          <w:p>
            <w:pPr>
              <w:spacing w:after="0"/>
              <w:rPr>
                <w:sz w:val="14"/>
                <w:szCs w:val="14"/>
                <w:color w:val="auto"/>
              </w:rPr>
            </w:pPr>
          </w:p>
        </w:tc>
        <w:tc>
          <w:tcPr>
            <w:tcW w:w="1100" w:type="dxa"/>
            <w:vAlign w:val="bottom"/>
            <w:gridSpan w:val="2"/>
          </w:tcPr>
          <w:p>
            <w:pPr>
              <w:jc w:val="right"/>
              <w:ind w:right="600"/>
              <w:spacing w:after="0"/>
              <w:rPr>
                <w:sz w:val="20"/>
                <w:szCs w:val="20"/>
                <w:color w:val="auto"/>
              </w:rPr>
            </w:pPr>
            <w:r>
              <w:rPr>
                <w:rFonts w:ascii="Arial" w:cs="Arial" w:eastAsia="Arial" w:hAnsi="Arial"/>
                <w:sz w:val="13"/>
                <w:szCs w:val="13"/>
                <w:b w:val="1"/>
                <w:bCs w:val="1"/>
                <w:color w:val="auto"/>
              </w:rPr>
              <w:t>Total</w:t>
            </w:r>
          </w:p>
        </w:tc>
      </w:tr>
      <w:tr>
        <w:trPr>
          <w:trHeight w:val="144"/>
        </w:trPr>
        <w:tc>
          <w:tcPr>
            <w:tcW w:w="562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FIXED RATE</w:t>
            </w:r>
          </w:p>
        </w:tc>
        <w:tc>
          <w:tcPr>
            <w:tcW w:w="540" w:type="dxa"/>
            <w:vAlign w:val="bottom"/>
            <w:tcBorders>
              <w:top w:val="single" w:sz="8" w:color="auto"/>
            </w:tcBorders>
            <w:shd w:val="clear" w:color="auto" w:fill="CCEEFF"/>
          </w:tcPr>
          <w:p>
            <w:pPr>
              <w:spacing w:after="0"/>
              <w:rPr>
                <w:sz w:val="12"/>
                <w:szCs w:val="12"/>
                <w:color w:val="auto"/>
              </w:rPr>
            </w:pPr>
          </w:p>
        </w:tc>
        <w:tc>
          <w:tcPr>
            <w:tcW w:w="74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240" w:type="dxa"/>
            <w:vAlign w:val="bottom"/>
            <w:tcBorders>
              <w:top w:val="single" w:sz="8" w:color="auto"/>
            </w:tcBorders>
            <w:shd w:val="clear" w:color="auto" w:fill="CCEEFF"/>
          </w:tcPr>
          <w:p>
            <w:pPr>
              <w:spacing w:after="0"/>
              <w:rPr>
                <w:sz w:val="12"/>
                <w:szCs w:val="12"/>
                <w:color w:val="auto"/>
              </w:rPr>
            </w:pPr>
          </w:p>
        </w:tc>
        <w:tc>
          <w:tcPr>
            <w:tcW w:w="10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r>
      <w:tr>
        <w:trPr>
          <w:trHeight w:val="154"/>
        </w:trPr>
        <w:tc>
          <w:tcPr>
            <w:tcW w:w="5620" w:type="dxa"/>
            <w:vAlign w:val="bottom"/>
          </w:tcPr>
          <w:p>
            <w:pPr>
              <w:spacing w:after="0"/>
              <w:rPr>
                <w:sz w:val="20"/>
                <w:szCs w:val="20"/>
                <w:color w:val="auto"/>
              </w:rPr>
            </w:pPr>
            <w:r>
              <w:rPr>
                <w:rFonts w:ascii="Arial" w:cs="Arial" w:eastAsia="Arial" w:hAnsi="Arial"/>
                <w:sz w:val="13"/>
                <w:szCs w:val="13"/>
                <w:color w:val="auto"/>
              </w:rPr>
              <w:t>Private sector commercial banks and financial institutions</w:t>
            </w:r>
          </w:p>
        </w:tc>
        <w:tc>
          <w:tcPr>
            <w:tcW w:w="540" w:type="dxa"/>
            <w:vAlign w:val="bottom"/>
          </w:tcPr>
          <w:p>
            <w:pPr>
              <w:spacing w:after="0"/>
              <w:rPr>
                <w:sz w:val="20"/>
                <w:szCs w:val="20"/>
                <w:color w:val="auto"/>
              </w:rPr>
            </w:pPr>
            <w:r>
              <w:rPr>
                <w:rFonts w:ascii="Arial" w:cs="Arial" w:eastAsia="Arial" w:hAnsi="Arial"/>
                <w:sz w:val="13"/>
                <w:szCs w:val="13"/>
                <w:color w:val="auto"/>
              </w:rPr>
              <w:t>$</w:t>
            </w:r>
          </w:p>
        </w:tc>
        <w:tc>
          <w:tcPr>
            <w:tcW w:w="960" w:type="dxa"/>
            <w:vAlign w:val="bottom"/>
            <w:gridSpan w:val="2"/>
          </w:tcPr>
          <w:p>
            <w:pPr>
              <w:jc w:val="right"/>
              <w:ind w:right="220"/>
              <w:spacing w:after="0"/>
              <w:rPr>
                <w:sz w:val="20"/>
                <w:szCs w:val="20"/>
                <w:color w:val="auto"/>
              </w:rPr>
            </w:pPr>
            <w:r>
              <w:rPr>
                <w:rFonts w:ascii="Arial" w:cs="Arial" w:eastAsia="Arial" w:hAnsi="Arial"/>
                <w:sz w:val="13"/>
                <w:szCs w:val="13"/>
                <w:color w:val="auto"/>
              </w:rPr>
              <w:t>984</w:t>
            </w:r>
          </w:p>
        </w:tc>
        <w:tc>
          <w:tcPr>
            <w:tcW w:w="100" w:type="dxa"/>
            <w:vAlign w:val="bottom"/>
          </w:tcPr>
          <w:p>
            <w:pPr>
              <w:jc w:val="right"/>
              <w:spacing w:after="0"/>
              <w:rPr>
                <w:sz w:val="20"/>
                <w:szCs w:val="20"/>
                <w:color w:val="auto"/>
              </w:rPr>
            </w:pPr>
            <w:r>
              <w:rPr>
                <w:rFonts w:ascii="Arial" w:cs="Arial" w:eastAsia="Arial" w:hAnsi="Arial"/>
                <w:sz w:val="13"/>
                <w:szCs w:val="13"/>
                <w:color w:val="auto"/>
                <w:w w:val="82"/>
              </w:rPr>
              <w:t>$</w:t>
            </w:r>
          </w:p>
        </w:tc>
        <w:tc>
          <w:tcPr>
            <w:tcW w:w="1420" w:type="dxa"/>
            <w:vAlign w:val="bottom"/>
            <w:gridSpan w:val="2"/>
          </w:tcPr>
          <w:p>
            <w:pPr>
              <w:jc w:val="right"/>
              <w:ind w:right="240"/>
              <w:spacing w:after="0"/>
              <w:rPr>
                <w:sz w:val="20"/>
                <w:szCs w:val="20"/>
                <w:color w:val="auto"/>
              </w:rPr>
            </w:pPr>
            <w:r>
              <w:rPr>
                <w:rFonts w:ascii="Arial" w:cs="Arial" w:eastAsia="Arial" w:hAnsi="Arial"/>
                <w:sz w:val="13"/>
                <w:szCs w:val="13"/>
                <w:color w:val="auto"/>
              </w:rPr>
              <w:t>78</w:t>
            </w:r>
          </w:p>
        </w:tc>
        <w:tc>
          <w:tcPr>
            <w:tcW w:w="240" w:type="dxa"/>
            <w:vAlign w:val="bottom"/>
          </w:tcPr>
          <w:p>
            <w:pPr>
              <w:jc w:val="right"/>
              <w:ind w:right="132"/>
              <w:spacing w:after="0"/>
              <w:rPr>
                <w:sz w:val="20"/>
                <w:szCs w:val="20"/>
                <w:color w:val="auto"/>
              </w:rPr>
            </w:pPr>
            <w:r>
              <w:rPr>
                <w:rFonts w:ascii="Arial" w:cs="Arial" w:eastAsia="Arial" w:hAnsi="Arial"/>
                <w:sz w:val="10"/>
                <w:szCs w:val="10"/>
                <w:color w:val="auto"/>
                <w:w w:val="71"/>
              </w:rPr>
              <w:t>$</w:t>
            </w:r>
          </w:p>
        </w:tc>
        <w:tc>
          <w:tcPr>
            <w:tcW w:w="124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260" w:type="dxa"/>
            <w:vAlign w:val="bottom"/>
          </w:tcPr>
          <w:p>
            <w:pPr>
              <w:jc w:val="right"/>
              <w:ind w:right="152"/>
              <w:spacing w:after="0"/>
              <w:rPr>
                <w:sz w:val="20"/>
                <w:szCs w:val="20"/>
                <w:color w:val="auto"/>
              </w:rPr>
            </w:pPr>
            <w:r>
              <w:rPr>
                <w:rFonts w:ascii="Arial" w:cs="Arial" w:eastAsia="Arial" w:hAnsi="Arial"/>
                <w:sz w:val="10"/>
                <w:szCs w:val="10"/>
                <w:color w:val="auto"/>
                <w:w w:val="71"/>
              </w:rPr>
              <w:t>$</w:t>
            </w:r>
          </w:p>
        </w:tc>
        <w:tc>
          <w:tcPr>
            <w:tcW w:w="1100" w:type="dxa"/>
            <w:vAlign w:val="bottom"/>
            <w:gridSpan w:val="2"/>
          </w:tcPr>
          <w:p>
            <w:pPr>
              <w:jc w:val="right"/>
              <w:ind w:right="120"/>
              <w:spacing w:after="0"/>
              <w:rPr>
                <w:sz w:val="20"/>
                <w:szCs w:val="20"/>
                <w:color w:val="auto"/>
              </w:rPr>
            </w:pPr>
            <w:r>
              <w:rPr>
                <w:rFonts w:ascii="Arial" w:cs="Arial" w:eastAsia="Arial" w:hAnsi="Arial"/>
                <w:sz w:val="13"/>
                <w:szCs w:val="13"/>
                <w:color w:val="auto"/>
              </w:rPr>
              <w:t>1,062</w:t>
            </w:r>
          </w:p>
        </w:tc>
      </w:tr>
      <w:tr>
        <w:trPr>
          <w:trHeight w:val="154"/>
        </w:trPr>
        <w:tc>
          <w:tcPr>
            <w:tcW w:w="5620" w:type="dxa"/>
            <w:vAlign w:val="bottom"/>
            <w:shd w:val="clear" w:color="auto" w:fill="CCEEFF"/>
          </w:tcPr>
          <w:p>
            <w:pPr>
              <w:spacing w:after="0"/>
              <w:rPr>
                <w:sz w:val="20"/>
                <w:szCs w:val="20"/>
                <w:color w:val="auto"/>
              </w:rPr>
            </w:pPr>
            <w:r>
              <w:rPr>
                <w:rFonts w:ascii="Arial" w:cs="Arial" w:eastAsia="Arial" w:hAnsi="Arial"/>
                <w:sz w:val="13"/>
                <w:szCs w:val="13"/>
                <w:color w:val="auto"/>
              </w:rPr>
              <w:t>State-owned commercial banks</w:t>
            </w:r>
          </w:p>
        </w:tc>
        <w:tc>
          <w:tcPr>
            <w:tcW w:w="54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387</w:t>
            </w:r>
          </w:p>
        </w:tc>
        <w:tc>
          <w:tcPr>
            <w:tcW w:w="10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0</w:t>
            </w:r>
          </w:p>
        </w:tc>
        <w:tc>
          <w:tcPr>
            <w:tcW w:w="240" w:type="dxa"/>
            <w:vAlign w:val="bottom"/>
            <w:shd w:val="clear" w:color="auto" w:fill="CCEEFF"/>
          </w:tcPr>
          <w:p>
            <w:pPr>
              <w:spacing w:after="0"/>
              <w:rPr>
                <w:sz w:val="13"/>
                <w:szCs w:val="13"/>
                <w:color w:val="auto"/>
              </w:rPr>
            </w:pP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26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387</w:t>
            </w:r>
          </w:p>
        </w:tc>
      </w:tr>
      <w:tr>
        <w:trPr>
          <w:trHeight w:val="154"/>
        </w:trPr>
        <w:tc>
          <w:tcPr>
            <w:tcW w:w="5620" w:type="dxa"/>
            <w:vAlign w:val="bottom"/>
          </w:tcPr>
          <w:p>
            <w:pPr>
              <w:spacing w:after="0"/>
              <w:rPr>
                <w:sz w:val="20"/>
                <w:szCs w:val="20"/>
                <w:color w:val="auto"/>
              </w:rPr>
            </w:pPr>
            <w:r>
              <w:rPr>
                <w:rFonts w:ascii="Arial" w:cs="Arial" w:eastAsia="Arial" w:hAnsi="Arial"/>
                <w:sz w:val="13"/>
                <w:szCs w:val="13"/>
                <w:color w:val="auto"/>
              </w:rPr>
              <w:t>State-owned organizations</w:t>
            </w:r>
          </w:p>
        </w:tc>
        <w:tc>
          <w:tcPr>
            <w:tcW w:w="540" w:type="dxa"/>
            <w:vAlign w:val="bottom"/>
          </w:tcPr>
          <w:p>
            <w:pPr>
              <w:spacing w:after="0"/>
              <w:rPr>
                <w:sz w:val="13"/>
                <w:szCs w:val="13"/>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3"/>
                <w:szCs w:val="13"/>
                <w:color w:val="auto"/>
              </w:rPr>
              <w:t>274</w:t>
            </w:r>
          </w:p>
        </w:tc>
        <w:tc>
          <w:tcPr>
            <w:tcW w:w="100" w:type="dxa"/>
            <w:vAlign w:val="bottom"/>
          </w:tcPr>
          <w:p>
            <w:pPr>
              <w:spacing w:after="0"/>
              <w:rPr>
                <w:sz w:val="13"/>
                <w:szCs w:val="13"/>
                <w:color w:val="auto"/>
              </w:rPr>
            </w:pPr>
          </w:p>
        </w:tc>
        <w:tc>
          <w:tcPr>
            <w:tcW w:w="1420" w:type="dxa"/>
            <w:vAlign w:val="bottom"/>
            <w:gridSpan w:val="2"/>
          </w:tcPr>
          <w:p>
            <w:pPr>
              <w:jc w:val="right"/>
              <w:ind w:right="240"/>
              <w:spacing w:after="0"/>
              <w:rPr>
                <w:sz w:val="20"/>
                <w:szCs w:val="20"/>
                <w:color w:val="auto"/>
              </w:rPr>
            </w:pPr>
            <w:r>
              <w:rPr>
                <w:rFonts w:ascii="Arial" w:cs="Arial" w:eastAsia="Arial" w:hAnsi="Arial"/>
                <w:sz w:val="13"/>
                <w:szCs w:val="13"/>
                <w:color w:val="auto"/>
              </w:rPr>
              <w:t>47</w:t>
            </w:r>
          </w:p>
        </w:tc>
        <w:tc>
          <w:tcPr>
            <w:tcW w:w="240" w:type="dxa"/>
            <w:vAlign w:val="bottom"/>
          </w:tcPr>
          <w:p>
            <w:pPr>
              <w:spacing w:after="0"/>
              <w:rPr>
                <w:sz w:val="13"/>
                <w:szCs w:val="13"/>
                <w:color w:val="auto"/>
              </w:rPr>
            </w:pPr>
          </w:p>
        </w:tc>
        <w:tc>
          <w:tcPr>
            <w:tcW w:w="124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260" w:type="dxa"/>
            <w:vAlign w:val="bottom"/>
          </w:tcPr>
          <w:p>
            <w:pPr>
              <w:spacing w:after="0"/>
              <w:rPr>
                <w:sz w:val="13"/>
                <w:szCs w:val="13"/>
                <w:color w:val="auto"/>
              </w:rPr>
            </w:pPr>
          </w:p>
        </w:tc>
        <w:tc>
          <w:tcPr>
            <w:tcW w:w="1100" w:type="dxa"/>
            <w:vAlign w:val="bottom"/>
            <w:gridSpan w:val="2"/>
          </w:tcPr>
          <w:p>
            <w:pPr>
              <w:jc w:val="right"/>
              <w:ind w:right="120"/>
              <w:spacing w:after="0"/>
              <w:rPr>
                <w:sz w:val="20"/>
                <w:szCs w:val="20"/>
                <w:color w:val="auto"/>
              </w:rPr>
            </w:pPr>
            <w:r>
              <w:rPr>
                <w:rFonts w:ascii="Arial" w:cs="Arial" w:eastAsia="Arial" w:hAnsi="Arial"/>
                <w:sz w:val="13"/>
                <w:szCs w:val="13"/>
                <w:color w:val="auto"/>
              </w:rPr>
              <w:t>321</w:t>
            </w:r>
          </w:p>
        </w:tc>
      </w:tr>
      <w:tr>
        <w:trPr>
          <w:trHeight w:val="164"/>
        </w:trPr>
        <w:tc>
          <w:tcPr>
            <w:tcW w:w="5620" w:type="dxa"/>
            <w:vAlign w:val="bottom"/>
            <w:shd w:val="clear" w:color="auto" w:fill="CCEEFF"/>
          </w:tcPr>
          <w:p>
            <w:pPr>
              <w:spacing w:after="0"/>
              <w:rPr>
                <w:sz w:val="20"/>
                <w:szCs w:val="20"/>
                <w:color w:val="auto"/>
              </w:rPr>
            </w:pPr>
            <w:r>
              <w:rPr>
                <w:rFonts w:ascii="Arial" w:cs="Arial" w:eastAsia="Arial" w:hAnsi="Arial"/>
                <w:sz w:val="13"/>
                <w:szCs w:val="13"/>
                <w:color w:val="auto"/>
              </w:rPr>
              <w:t>Private corporations</w:t>
            </w:r>
          </w:p>
        </w:tc>
        <w:tc>
          <w:tcPr>
            <w:tcW w:w="540" w:type="dxa"/>
            <w:vAlign w:val="bottom"/>
            <w:shd w:val="clear" w:color="auto" w:fill="CCEEFF"/>
          </w:tcPr>
          <w:p>
            <w:pPr>
              <w:spacing w:after="0"/>
              <w:rPr>
                <w:sz w:val="14"/>
                <w:szCs w:val="14"/>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916</w:t>
            </w:r>
          </w:p>
        </w:tc>
        <w:tc>
          <w:tcPr>
            <w:tcW w:w="100" w:type="dxa"/>
            <w:vAlign w:val="bottom"/>
            <w:shd w:val="clear" w:color="auto" w:fill="CCEEFF"/>
          </w:tcPr>
          <w:p>
            <w:pPr>
              <w:spacing w:after="0"/>
              <w:rPr>
                <w:sz w:val="14"/>
                <w:szCs w:val="14"/>
                <w:color w:val="auto"/>
              </w:rPr>
            </w:pPr>
          </w:p>
        </w:tc>
        <w:tc>
          <w:tcPr>
            <w:tcW w:w="14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13</w:t>
            </w:r>
          </w:p>
        </w:tc>
        <w:tc>
          <w:tcPr>
            <w:tcW w:w="240" w:type="dxa"/>
            <w:vAlign w:val="bottom"/>
            <w:shd w:val="clear" w:color="auto" w:fill="CCEEFF"/>
          </w:tcPr>
          <w:p>
            <w:pPr>
              <w:spacing w:after="0"/>
              <w:rPr>
                <w:sz w:val="14"/>
                <w:szCs w:val="14"/>
                <w:color w:val="auto"/>
              </w:rPr>
            </w:pP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8</w:t>
            </w:r>
          </w:p>
        </w:tc>
        <w:tc>
          <w:tcPr>
            <w:tcW w:w="260" w:type="dxa"/>
            <w:vAlign w:val="bottom"/>
            <w:shd w:val="clear" w:color="auto" w:fill="CCEEFF"/>
          </w:tcPr>
          <w:p>
            <w:pPr>
              <w:spacing w:after="0"/>
              <w:rPr>
                <w:sz w:val="14"/>
                <w:szCs w:val="14"/>
                <w:color w:val="auto"/>
              </w:rPr>
            </w:pPr>
          </w:p>
        </w:tc>
        <w:tc>
          <w:tcPr>
            <w:tcW w:w="11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937</w:t>
            </w:r>
          </w:p>
        </w:tc>
      </w:tr>
      <w:tr>
        <w:trPr>
          <w:trHeight w:val="162"/>
        </w:trPr>
        <w:tc>
          <w:tcPr>
            <w:tcW w:w="5620" w:type="dxa"/>
            <w:vAlign w:val="bottom"/>
            <w:tcBorders>
              <w:bottom w:val="single" w:sz="8" w:color="CCEEFF"/>
            </w:tcBorders>
          </w:tcPr>
          <w:p>
            <w:pPr>
              <w:ind w:left="120"/>
              <w:spacing w:after="0" w:line="146" w:lineRule="exact"/>
              <w:rPr>
                <w:sz w:val="20"/>
                <w:szCs w:val="20"/>
                <w:color w:val="auto"/>
              </w:rPr>
            </w:pPr>
            <w:r>
              <w:rPr>
                <w:rFonts w:ascii="Arial" w:cs="Arial" w:eastAsia="Arial" w:hAnsi="Arial"/>
                <w:sz w:val="13"/>
                <w:szCs w:val="13"/>
                <w:b w:val="1"/>
                <w:bCs w:val="1"/>
                <w:color w:val="auto"/>
              </w:rPr>
              <w:t>Subtotal</w:t>
            </w:r>
          </w:p>
        </w:tc>
        <w:tc>
          <w:tcPr>
            <w:tcW w:w="540" w:type="dxa"/>
            <w:vAlign w:val="bottom"/>
            <w:tcBorders>
              <w:top w:val="single" w:sz="8" w:color="auto"/>
              <w:bottom w:val="single" w:sz="8" w:color="auto"/>
            </w:tcBorders>
          </w:tcPr>
          <w:p>
            <w:pPr>
              <w:spacing w:after="0"/>
              <w:rPr>
                <w:sz w:val="20"/>
                <w:szCs w:val="20"/>
                <w:color w:val="auto"/>
              </w:rPr>
            </w:pPr>
            <w:r>
              <w:rPr>
                <w:rFonts w:ascii="Arial" w:cs="Arial" w:eastAsia="Arial" w:hAnsi="Arial"/>
                <w:sz w:val="13"/>
                <w:szCs w:val="13"/>
                <w:b w:val="1"/>
                <w:bCs w:val="1"/>
                <w:color w:val="auto"/>
              </w:rPr>
              <w:t>$</w:t>
            </w:r>
          </w:p>
        </w:tc>
        <w:tc>
          <w:tcPr>
            <w:tcW w:w="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2,561</w:t>
            </w:r>
          </w:p>
        </w:tc>
        <w:tc>
          <w:tcPr>
            <w:tcW w:w="220" w:type="dxa"/>
            <w:vAlign w:val="bottom"/>
            <w:tcBorders>
              <w:bottom w:val="single" w:sz="8" w:color="CCEEFF"/>
            </w:tcBorders>
          </w:tcPr>
          <w:p>
            <w:pPr>
              <w:spacing w:after="0"/>
              <w:rPr>
                <w:sz w:val="14"/>
                <w:szCs w:val="14"/>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w w:val="82"/>
              </w:rPr>
              <w:t>$</w:t>
            </w: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138</w:t>
            </w:r>
          </w:p>
        </w:tc>
        <w:tc>
          <w:tcPr>
            <w:tcW w:w="240" w:type="dxa"/>
            <w:vAlign w:val="bottom"/>
            <w:tcBorders>
              <w:bottom w:val="single" w:sz="8" w:color="CCEEFF"/>
            </w:tcBorders>
          </w:tcPr>
          <w:p>
            <w:pPr>
              <w:spacing w:after="0"/>
              <w:rPr>
                <w:sz w:val="14"/>
                <w:szCs w:val="14"/>
                <w:color w:val="auto"/>
              </w:rPr>
            </w:pPr>
          </w:p>
        </w:tc>
        <w:tc>
          <w:tcPr>
            <w:tcW w:w="240" w:type="dxa"/>
            <w:vAlign w:val="bottom"/>
            <w:tcBorders>
              <w:top w:val="single" w:sz="8" w:color="auto"/>
              <w:bottom w:val="single" w:sz="8" w:color="auto"/>
            </w:tcBorders>
          </w:tcPr>
          <w:p>
            <w:pPr>
              <w:jc w:val="right"/>
              <w:ind w:right="132"/>
              <w:spacing w:after="0"/>
              <w:rPr>
                <w:sz w:val="20"/>
                <w:szCs w:val="20"/>
                <w:color w:val="auto"/>
              </w:rPr>
            </w:pPr>
            <w:r>
              <w:rPr>
                <w:rFonts w:ascii="Arial" w:cs="Arial" w:eastAsia="Arial" w:hAnsi="Arial"/>
                <w:sz w:val="10"/>
                <w:szCs w:val="10"/>
                <w:b w:val="1"/>
                <w:bCs w:val="1"/>
                <w:color w:val="auto"/>
                <w:w w:val="71"/>
              </w:rPr>
              <w:t>$</w:t>
            </w: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8</w:t>
            </w:r>
          </w:p>
        </w:tc>
        <w:tc>
          <w:tcPr>
            <w:tcW w:w="220" w:type="dxa"/>
            <w:vAlign w:val="bottom"/>
            <w:tcBorders>
              <w:bottom w:val="single" w:sz="8" w:color="CCEEFF"/>
            </w:tcBorders>
          </w:tcPr>
          <w:p>
            <w:pPr>
              <w:spacing w:after="0"/>
              <w:rPr>
                <w:sz w:val="14"/>
                <w:szCs w:val="14"/>
                <w:color w:val="auto"/>
              </w:rPr>
            </w:pPr>
          </w:p>
        </w:tc>
        <w:tc>
          <w:tcPr>
            <w:tcW w:w="260" w:type="dxa"/>
            <w:vAlign w:val="bottom"/>
            <w:tcBorders>
              <w:top w:val="single" w:sz="8" w:color="auto"/>
              <w:bottom w:val="single" w:sz="8" w:color="auto"/>
            </w:tcBorders>
          </w:tcPr>
          <w:p>
            <w:pPr>
              <w:jc w:val="right"/>
              <w:ind w:right="152"/>
              <w:spacing w:after="0"/>
              <w:rPr>
                <w:sz w:val="20"/>
                <w:szCs w:val="20"/>
                <w:color w:val="auto"/>
              </w:rPr>
            </w:pPr>
            <w:r>
              <w:rPr>
                <w:rFonts w:ascii="Arial" w:cs="Arial" w:eastAsia="Arial" w:hAnsi="Arial"/>
                <w:sz w:val="10"/>
                <w:szCs w:val="10"/>
                <w:b w:val="1"/>
                <w:bCs w:val="1"/>
                <w:color w:val="auto"/>
                <w:w w:val="71"/>
              </w:rPr>
              <w:t>$</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2,707</w:t>
            </w:r>
          </w:p>
        </w:tc>
        <w:tc>
          <w:tcPr>
            <w:tcW w:w="120" w:type="dxa"/>
            <w:vAlign w:val="bottom"/>
            <w:tcBorders>
              <w:bottom w:val="single" w:sz="8" w:color="CCEEFF"/>
            </w:tcBorders>
          </w:tcPr>
          <w:p>
            <w:pPr>
              <w:spacing w:after="0"/>
              <w:rPr>
                <w:sz w:val="14"/>
                <w:szCs w:val="14"/>
                <w:color w:val="auto"/>
              </w:rPr>
            </w:pPr>
          </w:p>
        </w:tc>
      </w:tr>
      <w:tr>
        <w:trPr>
          <w:trHeight w:val="154"/>
        </w:trPr>
        <w:tc>
          <w:tcPr>
            <w:tcW w:w="562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FLOATING RATE</w:t>
            </w:r>
          </w:p>
        </w:tc>
        <w:tc>
          <w:tcPr>
            <w:tcW w:w="540" w:type="dxa"/>
            <w:vAlign w:val="bottom"/>
            <w:shd w:val="clear" w:color="auto" w:fill="CCEEFF"/>
          </w:tcPr>
          <w:p>
            <w:pPr>
              <w:spacing w:after="0"/>
              <w:rPr>
                <w:sz w:val="13"/>
                <w:szCs w:val="13"/>
                <w:color w:val="auto"/>
              </w:rPr>
            </w:pPr>
          </w:p>
        </w:tc>
        <w:tc>
          <w:tcPr>
            <w:tcW w:w="7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1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0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9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r>
      <w:tr>
        <w:trPr>
          <w:trHeight w:val="154"/>
        </w:trPr>
        <w:tc>
          <w:tcPr>
            <w:tcW w:w="5620" w:type="dxa"/>
            <w:vAlign w:val="bottom"/>
          </w:tcPr>
          <w:p>
            <w:pPr>
              <w:spacing w:after="0"/>
              <w:rPr>
                <w:sz w:val="20"/>
                <w:szCs w:val="20"/>
                <w:color w:val="auto"/>
              </w:rPr>
            </w:pPr>
            <w:r>
              <w:rPr>
                <w:rFonts w:ascii="Arial" w:cs="Arial" w:eastAsia="Arial" w:hAnsi="Arial"/>
                <w:sz w:val="13"/>
                <w:szCs w:val="13"/>
                <w:color w:val="auto"/>
              </w:rPr>
              <w:t>Private sector commercial banks and financial institutions</w:t>
            </w:r>
          </w:p>
        </w:tc>
        <w:tc>
          <w:tcPr>
            <w:tcW w:w="540" w:type="dxa"/>
            <w:vAlign w:val="bottom"/>
          </w:tcPr>
          <w:p>
            <w:pPr>
              <w:spacing w:after="0"/>
              <w:rPr>
                <w:sz w:val="20"/>
                <w:szCs w:val="20"/>
                <w:color w:val="auto"/>
              </w:rPr>
            </w:pPr>
            <w:r>
              <w:rPr>
                <w:rFonts w:ascii="Arial" w:cs="Arial" w:eastAsia="Arial" w:hAnsi="Arial"/>
                <w:sz w:val="13"/>
                <w:szCs w:val="13"/>
                <w:color w:val="auto"/>
              </w:rPr>
              <w:t>$</w:t>
            </w:r>
          </w:p>
        </w:tc>
        <w:tc>
          <w:tcPr>
            <w:tcW w:w="960" w:type="dxa"/>
            <w:vAlign w:val="bottom"/>
            <w:gridSpan w:val="2"/>
          </w:tcPr>
          <w:p>
            <w:pPr>
              <w:jc w:val="right"/>
              <w:ind w:right="220"/>
              <w:spacing w:after="0"/>
              <w:rPr>
                <w:sz w:val="20"/>
                <w:szCs w:val="20"/>
                <w:color w:val="auto"/>
              </w:rPr>
            </w:pPr>
            <w:r>
              <w:rPr>
                <w:rFonts w:ascii="Arial" w:cs="Arial" w:eastAsia="Arial" w:hAnsi="Arial"/>
                <w:sz w:val="13"/>
                <w:szCs w:val="13"/>
                <w:color w:val="auto"/>
              </w:rPr>
              <w:t>959</w:t>
            </w:r>
          </w:p>
        </w:tc>
        <w:tc>
          <w:tcPr>
            <w:tcW w:w="100" w:type="dxa"/>
            <w:vAlign w:val="bottom"/>
          </w:tcPr>
          <w:p>
            <w:pPr>
              <w:jc w:val="right"/>
              <w:spacing w:after="0"/>
              <w:rPr>
                <w:sz w:val="20"/>
                <w:szCs w:val="20"/>
                <w:color w:val="auto"/>
              </w:rPr>
            </w:pPr>
            <w:r>
              <w:rPr>
                <w:rFonts w:ascii="Arial" w:cs="Arial" w:eastAsia="Arial" w:hAnsi="Arial"/>
                <w:sz w:val="13"/>
                <w:szCs w:val="13"/>
                <w:color w:val="auto"/>
                <w:w w:val="82"/>
              </w:rPr>
              <w:t>$</w:t>
            </w:r>
          </w:p>
        </w:tc>
        <w:tc>
          <w:tcPr>
            <w:tcW w:w="1420" w:type="dxa"/>
            <w:vAlign w:val="bottom"/>
            <w:gridSpan w:val="2"/>
          </w:tcPr>
          <w:p>
            <w:pPr>
              <w:jc w:val="right"/>
              <w:ind w:right="240"/>
              <w:spacing w:after="0"/>
              <w:rPr>
                <w:sz w:val="20"/>
                <w:szCs w:val="20"/>
                <w:color w:val="auto"/>
              </w:rPr>
            </w:pPr>
            <w:r>
              <w:rPr>
                <w:rFonts w:ascii="Arial" w:cs="Arial" w:eastAsia="Arial" w:hAnsi="Arial"/>
                <w:sz w:val="13"/>
                <w:szCs w:val="13"/>
                <w:color w:val="auto"/>
              </w:rPr>
              <w:t>438</w:t>
            </w:r>
          </w:p>
        </w:tc>
        <w:tc>
          <w:tcPr>
            <w:tcW w:w="240" w:type="dxa"/>
            <w:vAlign w:val="bottom"/>
          </w:tcPr>
          <w:p>
            <w:pPr>
              <w:jc w:val="right"/>
              <w:ind w:right="132"/>
              <w:spacing w:after="0"/>
              <w:rPr>
                <w:sz w:val="20"/>
                <w:szCs w:val="20"/>
                <w:color w:val="auto"/>
              </w:rPr>
            </w:pPr>
            <w:r>
              <w:rPr>
                <w:rFonts w:ascii="Arial" w:cs="Arial" w:eastAsia="Arial" w:hAnsi="Arial"/>
                <w:sz w:val="10"/>
                <w:szCs w:val="10"/>
                <w:color w:val="auto"/>
                <w:w w:val="71"/>
              </w:rPr>
              <w:t>$</w:t>
            </w:r>
          </w:p>
        </w:tc>
        <w:tc>
          <w:tcPr>
            <w:tcW w:w="124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260" w:type="dxa"/>
            <w:vAlign w:val="bottom"/>
          </w:tcPr>
          <w:p>
            <w:pPr>
              <w:jc w:val="right"/>
              <w:ind w:right="152"/>
              <w:spacing w:after="0"/>
              <w:rPr>
                <w:sz w:val="20"/>
                <w:szCs w:val="20"/>
                <w:color w:val="auto"/>
              </w:rPr>
            </w:pPr>
            <w:r>
              <w:rPr>
                <w:rFonts w:ascii="Arial" w:cs="Arial" w:eastAsia="Arial" w:hAnsi="Arial"/>
                <w:sz w:val="10"/>
                <w:szCs w:val="10"/>
                <w:color w:val="auto"/>
                <w:w w:val="71"/>
              </w:rPr>
              <w:t>$</w:t>
            </w:r>
          </w:p>
        </w:tc>
        <w:tc>
          <w:tcPr>
            <w:tcW w:w="1100" w:type="dxa"/>
            <w:vAlign w:val="bottom"/>
            <w:gridSpan w:val="2"/>
          </w:tcPr>
          <w:p>
            <w:pPr>
              <w:jc w:val="right"/>
              <w:ind w:right="120"/>
              <w:spacing w:after="0"/>
              <w:rPr>
                <w:sz w:val="20"/>
                <w:szCs w:val="20"/>
                <w:color w:val="auto"/>
              </w:rPr>
            </w:pPr>
            <w:r>
              <w:rPr>
                <w:rFonts w:ascii="Arial" w:cs="Arial" w:eastAsia="Arial" w:hAnsi="Arial"/>
                <w:sz w:val="13"/>
                <w:szCs w:val="13"/>
                <w:color w:val="auto"/>
              </w:rPr>
              <w:t>1,397</w:t>
            </w:r>
          </w:p>
        </w:tc>
      </w:tr>
      <w:tr>
        <w:trPr>
          <w:trHeight w:val="154"/>
        </w:trPr>
        <w:tc>
          <w:tcPr>
            <w:tcW w:w="5620" w:type="dxa"/>
            <w:vAlign w:val="bottom"/>
            <w:shd w:val="clear" w:color="auto" w:fill="CCEEFF"/>
          </w:tcPr>
          <w:p>
            <w:pPr>
              <w:spacing w:after="0"/>
              <w:rPr>
                <w:sz w:val="20"/>
                <w:szCs w:val="20"/>
                <w:color w:val="auto"/>
              </w:rPr>
            </w:pPr>
            <w:r>
              <w:rPr>
                <w:rFonts w:ascii="Arial" w:cs="Arial" w:eastAsia="Arial" w:hAnsi="Arial"/>
                <w:sz w:val="13"/>
                <w:szCs w:val="13"/>
                <w:color w:val="auto"/>
              </w:rPr>
              <w:t>State-owned commercial banks</w:t>
            </w:r>
          </w:p>
        </w:tc>
        <w:tc>
          <w:tcPr>
            <w:tcW w:w="54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203</w:t>
            </w:r>
          </w:p>
        </w:tc>
        <w:tc>
          <w:tcPr>
            <w:tcW w:w="10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34</w:t>
            </w:r>
          </w:p>
        </w:tc>
        <w:tc>
          <w:tcPr>
            <w:tcW w:w="240" w:type="dxa"/>
            <w:vAlign w:val="bottom"/>
            <w:shd w:val="clear" w:color="auto" w:fill="CCEEFF"/>
          </w:tcPr>
          <w:p>
            <w:pPr>
              <w:spacing w:after="0"/>
              <w:rPr>
                <w:sz w:val="13"/>
                <w:szCs w:val="13"/>
                <w:color w:val="auto"/>
              </w:rPr>
            </w:pP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26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237</w:t>
            </w:r>
          </w:p>
        </w:tc>
      </w:tr>
      <w:tr>
        <w:trPr>
          <w:trHeight w:val="154"/>
        </w:trPr>
        <w:tc>
          <w:tcPr>
            <w:tcW w:w="5620" w:type="dxa"/>
            <w:vAlign w:val="bottom"/>
          </w:tcPr>
          <w:p>
            <w:pPr>
              <w:spacing w:after="0"/>
              <w:rPr>
                <w:sz w:val="20"/>
                <w:szCs w:val="20"/>
                <w:color w:val="auto"/>
              </w:rPr>
            </w:pPr>
            <w:r>
              <w:rPr>
                <w:rFonts w:ascii="Arial" w:cs="Arial" w:eastAsia="Arial" w:hAnsi="Arial"/>
                <w:sz w:val="13"/>
                <w:szCs w:val="13"/>
                <w:color w:val="auto"/>
              </w:rPr>
              <w:t>State-owned organizations</w:t>
            </w:r>
          </w:p>
        </w:tc>
        <w:tc>
          <w:tcPr>
            <w:tcW w:w="540" w:type="dxa"/>
            <w:vAlign w:val="bottom"/>
          </w:tcPr>
          <w:p>
            <w:pPr>
              <w:spacing w:after="0"/>
              <w:rPr>
                <w:sz w:val="13"/>
                <w:szCs w:val="13"/>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3"/>
                <w:szCs w:val="13"/>
                <w:color w:val="auto"/>
              </w:rPr>
              <w:t>126</w:t>
            </w:r>
          </w:p>
        </w:tc>
        <w:tc>
          <w:tcPr>
            <w:tcW w:w="100" w:type="dxa"/>
            <w:vAlign w:val="bottom"/>
          </w:tcPr>
          <w:p>
            <w:pPr>
              <w:spacing w:after="0"/>
              <w:rPr>
                <w:sz w:val="13"/>
                <w:szCs w:val="13"/>
                <w:color w:val="auto"/>
              </w:rPr>
            </w:pPr>
          </w:p>
        </w:tc>
        <w:tc>
          <w:tcPr>
            <w:tcW w:w="1420" w:type="dxa"/>
            <w:vAlign w:val="bottom"/>
            <w:gridSpan w:val="2"/>
          </w:tcPr>
          <w:p>
            <w:pPr>
              <w:jc w:val="right"/>
              <w:ind w:right="240"/>
              <w:spacing w:after="0"/>
              <w:rPr>
                <w:sz w:val="20"/>
                <w:szCs w:val="20"/>
                <w:color w:val="auto"/>
              </w:rPr>
            </w:pPr>
            <w:r>
              <w:rPr>
                <w:rFonts w:ascii="Arial" w:cs="Arial" w:eastAsia="Arial" w:hAnsi="Arial"/>
                <w:sz w:val="13"/>
                <w:szCs w:val="13"/>
                <w:color w:val="auto"/>
              </w:rPr>
              <w:t>352</w:t>
            </w:r>
          </w:p>
        </w:tc>
        <w:tc>
          <w:tcPr>
            <w:tcW w:w="240" w:type="dxa"/>
            <w:vAlign w:val="bottom"/>
          </w:tcPr>
          <w:p>
            <w:pPr>
              <w:spacing w:after="0"/>
              <w:rPr>
                <w:sz w:val="13"/>
                <w:szCs w:val="13"/>
                <w:color w:val="auto"/>
              </w:rPr>
            </w:pPr>
          </w:p>
        </w:tc>
        <w:tc>
          <w:tcPr>
            <w:tcW w:w="1240" w:type="dxa"/>
            <w:vAlign w:val="bottom"/>
            <w:gridSpan w:val="2"/>
          </w:tcPr>
          <w:p>
            <w:pPr>
              <w:jc w:val="right"/>
              <w:ind w:right="220"/>
              <w:spacing w:after="0"/>
              <w:rPr>
                <w:sz w:val="20"/>
                <w:szCs w:val="20"/>
                <w:color w:val="auto"/>
              </w:rPr>
            </w:pPr>
            <w:r>
              <w:rPr>
                <w:rFonts w:ascii="Arial" w:cs="Arial" w:eastAsia="Arial" w:hAnsi="Arial"/>
                <w:sz w:val="13"/>
                <w:szCs w:val="13"/>
                <w:color w:val="auto"/>
              </w:rPr>
              <w:t>2</w:t>
            </w:r>
          </w:p>
        </w:tc>
        <w:tc>
          <w:tcPr>
            <w:tcW w:w="260" w:type="dxa"/>
            <w:vAlign w:val="bottom"/>
          </w:tcPr>
          <w:p>
            <w:pPr>
              <w:spacing w:after="0"/>
              <w:rPr>
                <w:sz w:val="13"/>
                <w:szCs w:val="13"/>
                <w:color w:val="auto"/>
              </w:rPr>
            </w:pPr>
          </w:p>
        </w:tc>
        <w:tc>
          <w:tcPr>
            <w:tcW w:w="1100" w:type="dxa"/>
            <w:vAlign w:val="bottom"/>
            <w:gridSpan w:val="2"/>
          </w:tcPr>
          <w:p>
            <w:pPr>
              <w:jc w:val="right"/>
              <w:ind w:right="120"/>
              <w:spacing w:after="0"/>
              <w:rPr>
                <w:sz w:val="20"/>
                <w:szCs w:val="20"/>
                <w:color w:val="auto"/>
              </w:rPr>
            </w:pPr>
            <w:r>
              <w:rPr>
                <w:rFonts w:ascii="Arial" w:cs="Arial" w:eastAsia="Arial" w:hAnsi="Arial"/>
                <w:sz w:val="13"/>
                <w:szCs w:val="13"/>
                <w:color w:val="auto"/>
              </w:rPr>
              <w:t>480</w:t>
            </w:r>
          </w:p>
        </w:tc>
      </w:tr>
      <w:tr>
        <w:trPr>
          <w:trHeight w:val="164"/>
        </w:trPr>
        <w:tc>
          <w:tcPr>
            <w:tcW w:w="5620" w:type="dxa"/>
            <w:vAlign w:val="bottom"/>
            <w:shd w:val="clear" w:color="auto" w:fill="CCEEFF"/>
          </w:tcPr>
          <w:p>
            <w:pPr>
              <w:spacing w:after="0"/>
              <w:rPr>
                <w:sz w:val="20"/>
                <w:szCs w:val="20"/>
                <w:color w:val="auto"/>
              </w:rPr>
            </w:pPr>
            <w:r>
              <w:rPr>
                <w:rFonts w:ascii="Arial" w:cs="Arial" w:eastAsia="Arial" w:hAnsi="Arial"/>
                <w:sz w:val="13"/>
                <w:szCs w:val="13"/>
                <w:color w:val="auto"/>
              </w:rPr>
              <w:t>Private corporations</w:t>
            </w:r>
          </w:p>
        </w:tc>
        <w:tc>
          <w:tcPr>
            <w:tcW w:w="540" w:type="dxa"/>
            <w:vAlign w:val="bottom"/>
            <w:shd w:val="clear" w:color="auto" w:fill="CCEEFF"/>
          </w:tcPr>
          <w:p>
            <w:pPr>
              <w:spacing w:after="0"/>
              <w:rPr>
                <w:sz w:val="14"/>
                <w:szCs w:val="14"/>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370</w:t>
            </w:r>
          </w:p>
        </w:tc>
        <w:tc>
          <w:tcPr>
            <w:tcW w:w="100" w:type="dxa"/>
            <w:vAlign w:val="bottom"/>
            <w:shd w:val="clear" w:color="auto" w:fill="CCEEFF"/>
          </w:tcPr>
          <w:p>
            <w:pPr>
              <w:spacing w:after="0"/>
              <w:rPr>
                <w:sz w:val="14"/>
                <w:szCs w:val="14"/>
                <w:color w:val="auto"/>
              </w:rPr>
            </w:pPr>
          </w:p>
        </w:tc>
        <w:tc>
          <w:tcPr>
            <w:tcW w:w="14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577</w:t>
            </w:r>
          </w:p>
        </w:tc>
        <w:tc>
          <w:tcPr>
            <w:tcW w:w="240" w:type="dxa"/>
            <w:vAlign w:val="bottom"/>
            <w:shd w:val="clear" w:color="auto" w:fill="CCEEFF"/>
          </w:tcPr>
          <w:p>
            <w:pPr>
              <w:spacing w:after="0"/>
              <w:rPr>
                <w:sz w:val="14"/>
                <w:szCs w:val="14"/>
                <w:color w:val="auto"/>
              </w:rPr>
            </w:pP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10</w:t>
            </w:r>
          </w:p>
        </w:tc>
        <w:tc>
          <w:tcPr>
            <w:tcW w:w="260" w:type="dxa"/>
            <w:vAlign w:val="bottom"/>
            <w:shd w:val="clear" w:color="auto" w:fill="CCEEFF"/>
          </w:tcPr>
          <w:p>
            <w:pPr>
              <w:spacing w:after="0"/>
              <w:rPr>
                <w:sz w:val="14"/>
                <w:szCs w:val="14"/>
                <w:color w:val="auto"/>
              </w:rPr>
            </w:pPr>
          </w:p>
        </w:tc>
        <w:tc>
          <w:tcPr>
            <w:tcW w:w="11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957</w:t>
            </w:r>
          </w:p>
        </w:tc>
      </w:tr>
      <w:tr>
        <w:trPr>
          <w:trHeight w:val="162"/>
        </w:trPr>
        <w:tc>
          <w:tcPr>
            <w:tcW w:w="5620" w:type="dxa"/>
            <w:vAlign w:val="bottom"/>
            <w:tcBorders>
              <w:bottom w:val="single" w:sz="8" w:color="CCEEFF"/>
            </w:tcBorders>
          </w:tcPr>
          <w:p>
            <w:pPr>
              <w:ind w:left="120"/>
              <w:spacing w:after="0" w:line="146" w:lineRule="exact"/>
              <w:rPr>
                <w:sz w:val="20"/>
                <w:szCs w:val="20"/>
                <w:color w:val="auto"/>
              </w:rPr>
            </w:pPr>
            <w:r>
              <w:rPr>
                <w:rFonts w:ascii="Arial" w:cs="Arial" w:eastAsia="Arial" w:hAnsi="Arial"/>
                <w:sz w:val="13"/>
                <w:szCs w:val="13"/>
                <w:b w:val="1"/>
                <w:bCs w:val="1"/>
                <w:color w:val="auto"/>
              </w:rPr>
              <w:t>Subtotal</w:t>
            </w:r>
          </w:p>
        </w:tc>
        <w:tc>
          <w:tcPr>
            <w:tcW w:w="540" w:type="dxa"/>
            <w:vAlign w:val="bottom"/>
            <w:tcBorders>
              <w:top w:val="single" w:sz="8" w:color="auto"/>
              <w:bottom w:val="single" w:sz="8" w:color="auto"/>
            </w:tcBorders>
          </w:tcPr>
          <w:p>
            <w:pPr>
              <w:spacing w:after="0"/>
              <w:rPr>
                <w:sz w:val="20"/>
                <w:szCs w:val="20"/>
                <w:color w:val="auto"/>
              </w:rPr>
            </w:pPr>
            <w:r>
              <w:rPr>
                <w:rFonts w:ascii="Arial" w:cs="Arial" w:eastAsia="Arial" w:hAnsi="Arial"/>
                <w:sz w:val="13"/>
                <w:szCs w:val="13"/>
                <w:b w:val="1"/>
                <w:bCs w:val="1"/>
                <w:color w:val="auto"/>
              </w:rPr>
              <w:t>$</w:t>
            </w:r>
          </w:p>
        </w:tc>
        <w:tc>
          <w:tcPr>
            <w:tcW w:w="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1,658</w:t>
            </w:r>
          </w:p>
        </w:tc>
        <w:tc>
          <w:tcPr>
            <w:tcW w:w="220" w:type="dxa"/>
            <w:vAlign w:val="bottom"/>
            <w:tcBorders>
              <w:bottom w:val="single" w:sz="8" w:color="CCEEFF"/>
            </w:tcBorders>
          </w:tcPr>
          <w:p>
            <w:pPr>
              <w:spacing w:after="0"/>
              <w:rPr>
                <w:sz w:val="14"/>
                <w:szCs w:val="14"/>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w w:val="82"/>
              </w:rPr>
              <w:t>$</w:t>
            </w: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1,401</w:t>
            </w:r>
          </w:p>
        </w:tc>
        <w:tc>
          <w:tcPr>
            <w:tcW w:w="240" w:type="dxa"/>
            <w:vAlign w:val="bottom"/>
            <w:tcBorders>
              <w:bottom w:val="single" w:sz="8" w:color="CCEEFF"/>
            </w:tcBorders>
          </w:tcPr>
          <w:p>
            <w:pPr>
              <w:spacing w:after="0"/>
              <w:rPr>
                <w:sz w:val="14"/>
                <w:szCs w:val="14"/>
                <w:color w:val="auto"/>
              </w:rPr>
            </w:pPr>
          </w:p>
        </w:tc>
        <w:tc>
          <w:tcPr>
            <w:tcW w:w="240" w:type="dxa"/>
            <w:vAlign w:val="bottom"/>
            <w:tcBorders>
              <w:top w:val="single" w:sz="8" w:color="auto"/>
              <w:bottom w:val="single" w:sz="8" w:color="auto"/>
            </w:tcBorders>
          </w:tcPr>
          <w:p>
            <w:pPr>
              <w:jc w:val="right"/>
              <w:ind w:right="132"/>
              <w:spacing w:after="0"/>
              <w:rPr>
                <w:sz w:val="20"/>
                <w:szCs w:val="20"/>
                <w:color w:val="auto"/>
              </w:rPr>
            </w:pPr>
            <w:r>
              <w:rPr>
                <w:rFonts w:ascii="Arial" w:cs="Arial" w:eastAsia="Arial" w:hAnsi="Arial"/>
                <w:sz w:val="10"/>
                <w:szCs w:val="10"/>
                <w:b w:val="1"/>
                <w:bCs w:val="1"/>
                <w:color w:val="auto"/>
                <w:w w:val="71"/>
              </w:rPr>
              <w:t>$</w:t>
            </w: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12</w:t>
            </w:r>
          </w:p>
        </w:tc>
        <w:tc>
          <w:tcPr>
            <w:tcW w:w="220" w:type="dxa"/>
            <w:vAlign w:val="bottom"/>
            <w:tcBorders>
              <w:bottom w:val="single" w:sz="8" w:color="CCEEFF"/>
            </w:tcBorders>
          </w:tcPr>
          <w:p>
            <w:pPr>
              <w:spacing w:after="0"/>
              <w:rPr>
                <w:sz w:val="14"/>
                <w:szCs w:val="14"/>
                <w:color w:val="auto"/>
              </w:rPr>
            </w:pPr>
          </w:p>
        </w:tc>
        <w:tc>
          <w:tcPr>
            <w:tcW w:w="260" w:type="dxa"/>
            <w:vAlign w:val="bottom"/>
            <w:tcBorders>
              <w:top w:val="single" w:sz="8" w:color="auto"/>
              <w:bottom w:val="single" w:sz="8" w:color="auto"/>
            </w:tcBorders>
          </w:tcPr>
          <w:p>
            <w:pPr>
              <w:jc w:val="right"/>
              <w:ind w:right="152"/>
              <w:spacing w:after="0"/>
              <w:rPr>
                <w:sz w:val="20"/>
                <w:szCs w:val="20"/>
                <w:color w:val="auto"/>
              </w:rPr>
            </w:pPr>
            <w:r>
              <w:rPr>
                <w:rFonts w:ascii="Arial" w:cs="Arial" w:eastAsia="Arial" w:hAnsi="Arial"/>
                <w:sz w:val="10"/>
                <w:szCs w:val="10"/>
                <w:b w:val="1"/>
                <w:bCs w:val="1"/>
                <w:color w:val="auto"/>
                <w:w w:val="71"/>
              </w:rPr>
              <w:t>$</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3,071</w:t>
            </w:r>
          </w:p>
        </w:tc>
        <w:tc>
          <w:tcPr>
            <w:tcW w:w="120" w:type="dxa"/>
            <w:vAlign w:val="bottom"/>
            <w:tcBorders>
              <w:bottom w:val="single" w:sz="8" w:color="CCEEFF"/>
            </w:tcBorders>
          </w:tcPr>
          <w:p>
            <w:pPr>
              <w:spacing w:after="0"/>
              <w:rPr>
                <w:sz w:val="14"/>
                <w:szCs w:val="14"/>
                <w:color w:val="auto"/>
              </w:rPr>
            </w:pPr>
          </w:p>
        </w:tc>
      </w:tr>
      <w:tr>
        <w:trPr>
          <w:trHeight w:val="163"/>
        </w:trPr>
        <w:tc>
          <w:tcPr>
            <w:tcW w:w="5620" w:type="dxa"/>
            <w:vAlign w:val="bottom"/>
            <w:tcBorders>
              <w:bottom w:val="single" w:sz="8" w:color="CCEEFF"/>
            </w:tcBorders>
            <w:shd w:val="clear" w:color="auto" w:fill="CCEEFF"/>
          </w:tcPr>
          <w:p>
            <w:pPr>
              <w:ind w:left="340"/>
              <w:spacing w:after="0" w:line="148" w:lineRule="exact"/>
              <w:rPr>
                <w:sz w:val="20"/>
                <w:szCs w:val="20"/>
                <w:color w:val="auto"/>
              </w:rPr>
            </w:pPr>
            <w:r>
              <w:rPr>
                <w:rFonts w:ascii="Arial" w:cs="Arial" w:eastAsia="Arial" w:hAnsi="Arial"/>
                <w:sz w:val="13"/>
                <w:szCs w:val="13"/>
                <w:b w:val="1"/>
                <w:bCs w:val="1"/>
                <w:color w:val="auto"/>
              </w:rPr>
              <w:t>Total</w:t>
            </w:r>
          </w:p>
        </w:tc>
        <w:tc>
          <w:tcPr>
            <w:tcW w:w="540" w:type="dxa"/>
            <w:vAlign w:val="bottom"/>
            <w:tcBorders>
              <w:bottom w:val="single" w:sz="8" w:color="auto"/>
            </w:tcBorders>
            <w:shd w:val="clear" w:color="auto" w:fill="CCEEFF"/>
          </w:tcPr>
          <w:p>
            <w:pPr>
              <w:spacing w:after="0"/>
              <w:rPr>
                <w:sz w:val="20"/>
                <w:szCs w:val="20"/>
                <w:color w:val="auto"/>
              </w:rPr>
            </w:pPr>
            <w:r>
              <w:rPr>
                <w:rFonts w:ascii="Arial" w:cs="Arial" w:eastAsia="Arial" w:hAnsi="Arial"/>
                <w:sz w:val="13"/>
                <w:szCs w:val="13"/>
                <w:b w:val="1"/>
                <w:bCs w:val="1"/>
                <w:color w:val="auto"/>
              </w:rPr>
              <w:t>$</w:t>
            </w:r>
          </w:p>
        </w:tc>
        <w:tc>
          <w:tcPr>
            <w:tcW w:w="7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4,219</w:t>
            </w:r>
          </w:p>
        </w:tc>
        <w:tc>
          <w:tcPr>
            <w:tcW w:w="220" w:type="dxa"/>
            <w:vAlign w:val="bottom"/>
            <w:tcBorders>
              <w:bottom w:val="single" w:sz="8" w:color="CCEEFF"/>
            </w:tcBorders>
            <w:shd w:val="clear" w:color="auto" w:fill="CCEEFF"/>
          </w:tcPr>
          <w:p>
            <w:pPr>
              <w:spacing w:after="0"/>
              <w:rPr>
                <w:sz w:val="14"/>
                <w:szCs w:val="14"/>
                <w:color w:val="auto"/>
              </w:rPr>
            </w:pPr>
          </w:p>
        </w:tc>
        <w:tc>
          <w:tcPr>
            <w:tcW w:w="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w w:val="82"/>
              </w:rPr>
              <w:t>$</w:t>
            </w: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1,539</w:t>
            </w:r>
          </w:p>
        </w:tc>
        <w:tc>
          <w:tcPr>
            <w:tcW w:w="240" w:type="dxa"/>
            <w:vAlign w:val="bottom"/>
            <w:tcBorders>
              <w:bottom w:val="single" w:sz="8" w:color="CCEEFF"/>
            </w:tcBorders>
            <w:shd w:val="clear" w:color="auto" w:fill="CCEEFF"/>
          </w:tcPr>
          <w:p>
            <w:pPr>
              <w:spacing w:after="0"/>
              <w:rPr>
                <w:sz w:val="14"/>
                <w:szCs w:val="14"/>
                <w:color w:val="auto"/>
              </w:rPr>
            </w:pPr>
          </w:p>
        </w:tc>
        <w:tc>
          <w:tcPr>
            <w:tcW w:w="240" w:type="dxa"/>
            <w:vAlign w:val="bottom"/>
            <w:tcBorders>
              <w:bottom w:val="single" w:sz="8" w:color="auto"/>
            </w:tcBorders>
            <w:shd w:val="clear" w:color="auto" w:fill="CCEEFF"/>
          </w:tcPr>
          <w:p>
            <w:pPr>
              <w:jc w:val="right"/>
              <w:ind w:right="132"/>
              <w:spacing w:after="0"/>
              <w:rPr>
                <w:sz w:val="20"/>
                <w:szCs w:val="20"/>
                <w:color w:val="auto"/>
              </w:rPr>
            </w:pPr>
            <w:r>
              <w:rPr>
                <w:rFonts w:ascii="Arial" w:cs="Arial" w:eastAsia="Arial" w:hAnsi="Arial"/>
                <w:sz w:val="10"/>
                <w:szCs w:val="10"/>
                <w:b w:val="1"/>
                <w:bCs w:val="1"/>
                <w:color w:val="auto"/>
                <w:w w:val="71"/>
              </w:rPr>
              <w:t>$</w:t>
            </w:r>
          </w:p>
        </w:tc>
        <w:tc>
          <w:tcPr>
            <w:tcW w:w="10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20</w:t>
            </w:r>
          </w:p>
        </w:tc>
        <w:tc>
          <w:tcPr>
            <w:tcW w:w="220" w:type="dxa"/>
            <w:vAlign w:val="bottom"/>
            <w:tcBorders>
              <w:bottom w:val="single" w:sz="8" w:color="CCEEFF"/>
            </w:tcBorders>
            <w:shd w:val="clear" w:color="auto" w:fill="CCEEFF"/>
          </w:tcPr>
          <w:p>
            <w:pPr>
              <w:spacing w:after="0"/>
              <w:rPr>
                <w:sz w:val="14"/>
                <w:szCs w:val="14"/>
                <w:color w:val="auto"/>
              </w:rPr>
            </w:pPr>
          </w:p>
        </w:tc>
        <w:tc>
          <w:tcPr>
            <w:tcW w:w="260" w:type="dxa"/>
            <w:vAlign w:val="bottom"/>
            <w:tcBorders>
              <w:bottom w:val="single" w:sz="8" w:color="auto"/>
            </w:tcBorders>
            <w:shd w:val="clear" w:color="auto" w:fill="CCEEFF"/>
          </w:tcPr>
          <w:p>
            <w:pPr>
              <w:jc w:val="right"/>
              <w:ind w:right="152"/>
              <w:spacing w:after="0"/>
              <w:rPr>
                <w:sz w:val="20"/>
                <w:szCs w:val="20"/>
                <w:color w:val="auto"/>
              </w:rPr>
            </w:pPr>
            <w:r>
              <w:rPr>
                <w:rFonts w:ascii="Arial" w:cs="Arial" w:eastAsia="Arial" w:hAnsi="Arial"/>
                <w:sz w:val="10"/>
                <w:szCs w:val="10"/>
                <w:b w:val="1"/>
                <w:bCs w:val="1"/>
                <w:color w:val="auto"/>
                <w:w w:val="71"/>
              </w:rPr>
              <w:t>$</w:t>
            </w:r>
          </w:p>
        </w:tc>
        <w:tc>
          <w:tcPr>
            <w:tcW w:w="9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5,778</w:t>
            </w:r>
          </w:p>
        </w:tc>
        <w:tc>
          <w:tcPr>
            <w:tcW w:w="120" w:type="dxa"/>
            <w:vAlign w:val="bottom"/>
            <w:tcBorders>
              <w:bottom w:val="single" w:sz="8" w:color="CCEEFF"/>
            </w:tcBorders>
            <w:shd w:val="clear" w:color="auto" w:fill="CCEEFF"/>
          </w:tcPr>
          <w:p>
            <w:pPr>
              <w:spacing w:after="0"/>
              <w:rPr>
                <w:sz w:val="14"/>
                <w:szCs w:val="14"/>
                <w:color w:val="auto"/>
              </w:rPr>
            </w:pPr>
          </w:p>
        </w:tc>
      </w:tr>
    </w:tbl>
    <w:p>
      <w:pPr>
        <w:spacing w:after="0"/>
        <w:rPr>
          <w:sz w:val="20"/>
          <w:szCs w:val="20"/>
          <w:color w:val="auto"/>
        </w:rPr>
      </w:pPr>
      <w:r>
        <w:rPr>
          <w:rFonts w:ascii="Arial" w:cs="Arial" w:eastAsia="Arial" w:hAnsi="Arial"/>
          <w:sz w:val="13"/>
          <w:szCs w:val="13"/>
          <w:color w:val="auto"/>
        </w:rPr>
        <w:t>Note: Scheduled amortization repayments fall into the maturity category in which the payment is due, rather than that of the final maturity of the loan.</w:t>
      </w:r>
    </w:p>
    <w:p>
      <w:pPr>
        <w:spacing w:after="0" w:line="150"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Loan Commitments and Financial Guarantee Contracts</w:t>
      </w:r>
    </w:p>
    <w:p>
      <w:pPr>
        <w:spacing w:after="0" w:line="159" w:lineRule="exact"/>
        <w:rPr>
          <w:sz w:val="20"/>
          <w:szCs w:val="20"/>
          <w:color w:val="auto"/>
        </w:rPr>
      </w:pPr>
    </w:p>
    <w:p>
      <w:pPr>
        <w:jc w:val="both"/>
        <w:spacing w:after="0" w:line="314" w:lineRule="auto"/>
        <w:rPr>
          <w:sz w:val="20"/>
          <w:szCs w:val="20"/>
          <w:color w:val="auto"/>
        </w:rPr>
      </w:pPr>
      <w:r>
        <w:rPr>
          <w:rFonts w:ascii="Arial" w:cs="Arial" w:eastAsia="Arial" w:hAnsi="Arial"/>
          <w:sz w:val="11"/>
          <w:szCs w:val="11"/>
          <w:color w:val="auto"/>
        </w:rPr>
        <w:t>The Bank, on behalf of its client base, advises and confirms letters of credit to facilitate foreign trade transactions. When confirming letters of credit, the Bank adds its own unqualified assurance that the issuing bank will pay, with the understanding that, if the issuing bank does not honor drafts drawn on the letter of credit, the Bank will. The Bank also provides stand-by letters of credit, guarantees, and commitments to extend credit, which are binding legal agreements to disburse or lend to clients, subject to the customers’ compliance with customary conditions precedent or other relevant documentation. Commitments generally have fixed expiration dates or other termination clauses and require payment of a fee to the Bank. As some commitments expire without being drawn down, the total commitment amounts do not necessarily represent future liquidity requirements.</w:t>
      </w:r>
    </w:p>
    <w:p>
      <w:pPr>
        <w:spacing w:after="0" w:line="108"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Bank applies the same credit policies and criteria used in its lending process to its evaluation of these instruments, and, once issued, the commitment is irrevocable and remains valid until its expiration. Credit risk arises from the Bank’s obligation to make payment in the event of a client’s contractual default to a third party.</w:t>
      </w:r>
    </w:p>
    <w:p>
      <w:pPr>
        <w:spacing w:after="0" w:line="278"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29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31" w:name="page32"/>
    <w:bookmarkEnd w:id="31"/>
    <w:p>
      <w:pPr>
        <w:jc w:val="both"/>
        <w:spacing w:after="0" w:line="289" w:lineRule="auto"/>
        <w:rPr>
          <w:sz w:val="20"/>
          <w:szCs w:val="20"/>
          <w:color w:val="auto"/>
        </w:rPr>
      </w:pPr>
      <w:r>
        <w:rPr>
          <w:rFonts w:ascii="Arial" w:cs="Arial" w:eastAsia="Arial" w:hAnsi="Arial"/>
          <w:sz w:val="12"/>
          <w:szCs w:val="12"/>
          <w:color w:val="auto"/>
        </w:rPr>
        <w:t>Loan commitments and financial guarantee contracts amounted to $502 million, or 8% of the total Commercial Portfolio, as of December 31, 2018, compared to $488 million, or 8% of the total Commercial Portfolio, as of December 31, 2017 and $403 million, or 6% of the total Commercial Portfolio, as of December 31, 2016. Confirmed and stand-by letters of credit, and guarantees covering commercial risk represented 79% of the total loan commitments and financial guarantee contracts as of December 31, 2018, compared to 91%, and 97%, as of December 31, 2017 and 2016, respectively.</w:t>
      </w:r>
    </w:p>
    <w:p>
      <w:pPr>
        <w:spacing w:after="0" w:line="118" w:lineRule="exact"/>
        <w:rPr>
          <w:sz w:val="20"/>
          <w:szCs w:val="20"/>
          <w:color w:val="auto"/>
        </w:rPr>
      </w:pPr>
    </w:p>
    <w:p>
      <w:pPr>
        <w:spacing w:after="0"/>
        <w:rPr>
          <w:sz w:val="20"/>
          <w:szCs w:val="20"/>
          <w:color w:val="auto"/>
        </w:rPr>
      </w:pPr>
      <w:r>
        <w:rPr>
          <w:rFonts w:ascii="Arial" w:cs="Arial" w:eastAsia="Arial" w:hAnsi="Arial"/>
          <w:sz w:val="13"/>
          <w:szCs w:val="13"/>
          <w:color w:val="auto"/>
        </w:rPr>
        <w:t>The following table presents the distribution of the Bank’s loan commitments and financial guarantee contracts by country risk, as of December 31 of each year:</w:t>
      </w:r>
    </w:p>
    <w:p>
      <w:pPr>
        <w:spacing w:after="0" w:line="155" w:lineRule="exact"/>
        <w:rPr>
          <w:sz w:val="20"/>
          <w:szCs w:val="20"/>
          <w:color w:val="auto"/>
        </w:rPr>
      </w:pPr>
    </w:p>
    <w:tbl>
      <w:tblPr>
        <w:tblLayout w:type="fixed"/>
        <w:tblInd w:w="0" w:type="dxa"/>
        <w:tblCellMar>
          <w:top w:w="0" w:type="dxa"/>
          <w:left w:w="0" w:type="dxa"/>
          <w:bottom w:w="0" w:type="dxa"/>
          <w:right w:w="0" w:type="dxa"/>
        </w:tblCellMar>
      </w:tblPr>
      <w:tr>
        <w:trPr>
          <w:trHeight w:val="164"/>
        </w:trPr>
        <w:tc>
          <w:tcPr>
            <w:tcW w:w="3620" w:type="dxa"/>
            <w:vAlign w:val="bottom"/>
          </w:tcPr>
          <w:p>
            <w:pPr>
              <w:spacing w:after="0"/>
              <w:rPr>
                <w:sz w:val="14"/>
                <w:szCs w:val="14"/>
                <w:color w:val="auto"/>
              </w:rPr>
            </w:pPr>
          </w:p>
        </w:tc>
        <w:tc>
          <w:tcPr>
            <w:tcW w:w="7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8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120" w:type="dxa"/>
            <w:vAlign w:val="bottom"/>
            <w:gridSpan w:val="5"/>
          </w:tcPr>
          <w:p>
            <w:pPr>
              <w:jc w:val="right"/>
              <w:ind w:right="660"/>
              <w:spacing w:after="0"/>
              <w:rPr>
                <w:sz w:val="20"/>
                <w:szCs w:val="20"/>
                <w:color w:val="auto"/>
              </w:rPr>
            </w:pPr>
            <w:r>
              <w:rPr>
                <w:rFonts w:ascii="Arial" w:cs="Arial" w:eastAsia="Arial" w:hAnsi="Arial"/>
                <w:sz w:val="13"/>
                <w:szCs w:val="13"/>
                <w:b w:val="1"/>
                <w:bCs w:val="1"/>
                <w:color w:val="auto"/>
              </w:rPr>
              <w:t>As of December 31,</w:t>
            </w:r>
          </w:p>
        </w:tc>
        <w:tc>
          <w:tcPr>
            <w:tcW w:w="10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166"/>
        </w:trPr>
        <w:tc>
          <w:tcPr>
            <w:tcW w:w="3620" w:type="dxa"/>
            <w:vAlign w:val="bottom"/>
          </w:tcPr>
          <w:p>
            <w:pPr>
              <w:spacing w:after="0"/>
              <w:rPr>
                <w:sz w:val="14"/>
                <w:szCs w:val="14"/>
                <w:color w:val="auto"/>
              </w:rPr>
            </w:pPr>
          </w:p>
        </w:tc>
        <w:tc>
          <w:tcPr>
            <w:tcW w:w="720" w:type="dxa"/>
            <w:vAlign w:val="bottom"/>
            <w:tcBorders>
              <w:bottom w:val="single" w:sz="8" w:color="auto"/>
            </w:tcBorders>
          </w:tcPr>
          <w:p>
            <w:pPr>
              <w:spacing w:after="0"/>
              <w:rPr>
                <w:sz w:val="14"/>
                <w:szCs w:val="14"/>
                <w:color w:val="auto"/>
              </w:rPr>
            </w:pPr>
          </w:p>
        </w:tc>
        <w:tc>
          <w:tcPr>
            <w:tcW w:w="480" w:type="dxa"/>
            <w:vAlign w:val="bottom"/>
            <w:tcBorders>
              <w:bottom w:val="single" w:sz="8" w:color="auto"/>
            </w:tcBorders>
            <w:gridSpan w:val="3"/>
          </w:tcPr>
          <w:p>
            <w:pPr>
              <w:jc w:val="right"/>
              <w:ind w:right="40"/>
              <w:spacing w:after="0"/>
              <w:rPr>
                <w:sz w:val="20"/>
                <w:szCs w:val="20"/>
                <w:color w:val="auto"/>
              </w:rPr>
            </w:pPr>
            <w:r>
              <w:rPr>
                <w:rFonts w:ascii="Arial" w:cs="Arial" w:eastAsia="Arial" w:hAnsi="Arial"/>
                <w:sz w:val="13"/>
                <w:szCs w:val="13"/>
                <w:b w:val="1"/>
                <w:bCs w:val="1"/>
                <w:color w:val="auto"/>
              </w:rPr>
              <w:t>2018</w:t>
            </w:r>
          </w:p>
        </w:tc>
        <w:tc>
          <w:tcPr>
            <w:tcW w:w="88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140" w:type="dxa"/>
            <w:vAlign w:val="bottom"/>
            <w:tcBorders>
              <w:bottom w:val="single" w:sz="8" w:color="auto"/>
            </w:tcBorders>
            <w:gridSpan w:val="3"/>
          </w:tcPr>
          <w:p>
            <w:pPr>
              <w:jc w:val="right"/>
              <w:ind w:right="40"/>
              <w:spacing w:after="0"/>
              <w:rPr>
                <w:sz w:val="20"/>
                <w:szCs w:val="20"/>
                <w:color w:val="auto"/>
              </w:rPr>
            </w:pPr>
            <w:r>
              <w:rPr>
                <w:rFonts w:ascii="Arial" w:cs="Arial" w:eastAsia="Arial" w:hAnsi="Arial"/>
                <w:sz w:val="13"/>
                <w:szCs w:val="13"/>
                <w:b w:val="1"/>
                <w:bCs w:val="1"/>
                <w:color w:val="auto"/>
              </w:rPr>
              <w:t>2017</w:t>
            </w:r>
          </w:p>
        </w:tc>
        <w:tc>
          <w:tcPr>
            <w:tcW w:w="86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1020" w:type="dxa"/>
            <w:vAlign w:val="bottom"/>
            <w:tcBorders>
              <w:bottom w:val="single" w:sz="8" w:color="auto"/>
            </w:tcBorders>
            <w:gridSpan w:val="3"/>
          </w:tcPr>
          <w:p>
            <w:pPr>
              <w:jc w:val="right"/>
              <w:ind w:right="20"/>
              <w:spacing w:after="0"/>
              <w:rPr>
                <w:sz w:val="20"/>
                <w:szCs w:val="20"/>
                <w:color w:val="auto"/>
              </w:rPr>
            </w:pPr>
            <w:r>
              <w:rPr>
                <w:rFonts w:ascii="Arial" w:cs="Arial" w:eastAsia="Arial" w:hAnsi="Arial"/>
                <w:sz w:val="13"/>
                <w:szCs w:val="13"/>
                <w:b w:val="1"/>
                <w:bCs w:val="1"/>
                <w:color w:val="auto"/>
              </w:rPr>
              <w:t>2016</w:t>
            </w:r>
          </w:p>
        </w:tc>
        <w:tc>
          <w:tcPr>
            <w:tcW w:w="86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r>
        <w:trPr>
          <w:trHeight w:val="131"/>
        </w:trPr>
        <w:tc>
          <w:tcPr>
            <w:tcW w:w="362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80" w:type="dxa"/>
            <w:vAlign w:val="bottom"/>
          </w:tcPr>
          <w:p>
            <w:pPr>
              <w:jc w:val="center"/>
              <w:spacing w:after="0" w:line="131" w:lineRule="exact"/>
              <w:rPr>
                <w:sz w:val="20"/>
                <w:szCs w:val="20"/>
                <w:color w:val="auto"/>
              </w:rPr>
            </w:pPr>
            <w:r>
              <w:rPr>
                <w:rFonts w:ascii="Arial" w:cs="Arial" w:eastAsia="Arial" w:hAnsi="Arial"/>
                <w:sz w:val="13"/>
                <w:szCs w:val="13"/>
                <w:b w:val="1"/>
                <w:bCs w:val="1"/>
                <w:color w:val="auto"/>
                <w:w w:val="93"/>
              </w:rPr>
              <w:t>% of Total</w:t>
            </w:r>
          </w:p>
        </w:tc>
        <w:tc>
          <w:tcPr>
            <w:tcW w:w="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60" w:type="dxa"/>
            <w:vAlign w:val="bottom"/>
          </w:tcPr>
          <w:p>
            <w:pPr>
              <w:jc w:val="center"/>
              <w:ind w:right="16"/>
              <w:spacing w:after="0" w:line="131" w:lineRule="exact"/>
              <w:rPr>
                <w:sz w:val="20"/>
                <w:szCs w:val="20"/>
                <w:color w:val="auto"/>
              </w:rPr>
            </w:pPr>
            <w:r>
              <w:rPr>
                <w:rFonts w:ascii="Arial" w:cs="Arial" w:eastAsia="Arial" w:hAnsi="Arial"/>
                <w:sz w:val="13"/>
                <w:szCs w:val="13"/>
                <w:b w:val="1"/>
                <w:bCs w:val="1"/>
                <w:color w:val="auto"/>
                <w:w w:val="93"/>
              </w:rPr>
              <w:t>% of Total</w:t>
            </w: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60" w:type="dxa"/>
            <w:vAlign w:val="bottom"/>
          </w:tcPr>
          <w:p>
            <w:pPr>
              <w:jc w:val="center"/>
              <w:spacing w:after="0" w:line="131" w:lineRule="exact"/>
              <w:rPr>
                <w:sz w:val="20"/>
                <w:szCs w:val="20"/>
                <w:color w:val="auto"/>
              </w:rPr>
            </w:pPr>
            <w:r>
              <w:rPr>
                <w:rFonts w:ascii="Arial" w:cs="Arial" w:eastAsia="Arial" w:hAnsi="Arial"/>
                <w:sz w:val="13"/>
                <w:szCs w:val="13"/>
                <w:b w:val="1"/>
                <w:bCs w:val="1"/>
                <w:color w:val="auto"/>
                <w:w w:val="93"/>
              </w:rPr>
              <w:t>% of Total</w:t>
            </w:r>
          </w:p>
        </w:tc>
        <w:tc>
          <w:tcPr>
            <w:tcW w:w="100" w:type="dxa"/>
            <w:vAlign w:val="bottom"/>
          </w:tcPr>
          <w:p>
            <w:pPr>
              <w:spacing w:after="0"/>
              <w:rPr>
                <w:sz w:val="11"/>
                <w:szCs w:val="11"/>
                <w:color w:val="auto"/>
              </w:rPr>
            </w:pPr>
          </w:p>
        </w:tc>
      </w:tr>
      <w:tr>
        <w:trPr>
          <w:trHeight w:val="154"/>
        </w:trPr>
        <w:tc>
          <w:tcPr>
            <w:tcW w:w="362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980" w:type="dxa"/>
            <w:vAlign w:val="bottom"/>
            <w:gridSpan w:val="2"/>
          </w:tcPr>
          <w:p>
            <w:pPr>
              <w:jc w:val="center"/>
              <w:ind w:right="160"/>
              <w:spacing w:after="0"/>
              <w:rPr>
                <w:sz w:val="20"/>
                <w:szCs w:val="20"/>
                <w:color w:val="auto"/>
              </w:rPr>
            </w:pPr>
            <w:r>
              <w:rPr>
                <w:rFonts w:ascii="Arial" w:cs="Arial" w:eastAsia="Arial" w:hAnsi="Arial"/>
                <w:sz w:val="13"/>
                <w:szCs w:val="13"/>
                <w:b w:val="1"/>
                <w:bCs w:val="1"/>
                <w:color w:val="auto"/>
                <w:w w:val="82"/>
              </w:rPr>
              <w:t>loan</w:t>
            </w:r>
          </w:p>
        </w:tc>
        <w:tc>
          <w:tcPr>
            <w:tcW w:w="1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980" w:type="dxa"/>
            <w:vAlign w:val="bottom"/>
            <w:gridSpan w:val="2"/>
          </w:tcPr>
          <w:p>
            <w:pPr>
              <w:jc w:val="center"/>
              <w:ind w:right="180"/>
              <w:spacing w:after="0"/>
              <w:rPr>
                <w:sz w:val="20"/>
                <w:szCs w:val="20"/>
                <w:color w:val="auto"/>
              </w:rPr>
            </w:pPr>
            <w:r>
              <w:rPr>
                <w:rFonts w:ascii="Arial" w:cs="Arial" w:eastAsia="Arial" w:hAnsi="Arial"/>
                <w:sz w:val="13"/>
                <w:szCs w:val="13"/>
                <w:b w:val="1"/>
                <w:bCs w:val="1"/>
                <w:color w:val="auto"/>
                <w:w w:val="89"/>
              </w:rPr>
              <w:t>loan</w:t>
            </w:r>
          </w:p>
        </w:tc>
        <w:tc>
          <w:tcPr>
            <w:tcW w:w="1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960" w:type="dxa"/>
            <w:vAlign w:val="bottom"/>
            <w:gridSpan w:val="2"/>
          </w:tcPr>
          <w:p>
            <w:pPr>
              <w:jc w:val="center"/>
              <w:ind w:right="160"/>
              <w:spacing w:after="0"/>
              <w:rPr>
                <w:sz w:val="20"/>
                <w:szCs w:val="20"/>
                <w:color w:val="auto"/>
              </w:rPr>
            </w:pPr>
            <w:r>
              <w:rPr>
                <w:rFonts w:ascii="Arial" w:cs="Arial" w:eastAsia="Arial" w:hAnsi="Arial"/>
                <w:sz w:val="13"/>
                <w:szCs w:val="13"/>
                <w:b w:val="1"/>
                <w:bCs w:val="1"/>
                <w:color w:val="auto"/>
                <w:w w:val="89"/>
              </w:rPr>
              <w:t>loan</w:t>
            </w:r>
          </w:p>
        </w:tc>
      </w:tr>
      <w:tr>
        <w:trPr>
          <w:trHeight w:val="154"/>
        </w:trPr>
        <w:tc>
          <w:tcPr>
            <w:tcW w:w="362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980" w:type="dxa"/>
            <w:vAlign w:val="bottom"/>
            <w:gridSpan w:val="2"/>
          </w:tcPr>
          <w:p>
            <w:pPr>
              <w:jc w:val="center"/>
              <w:ind w:right="160"/>
              <w:spacing w:after="0"/>
              <w:rPr>
                <w:sz w:val="20"/>
                <w:szCs w:val="20"/>
                <w:color w:val="auto"/>
              </w:rPr>
            </w:pPr>
            <w:r>
              <w:rPr>
                <w:rFonts w:ascii="Arial" w:cs="Arial" w:eastAsia="Arial" w:hAnsi="Arial"/>
                <w:sz w:val="13"/>
                <w:szCs w:val="13"/>
                <w:b w:val="1"/>
                <w:bCs w:val="1"/>
                <w:color w:val="auto"/>
                <w:w w:val="87"/>
              </w:rPr>
              <w:t>commitments</w:t>
            </w:r>
          </w:p>
        </w:tc>
        <w:tc>
          <w:tcPr>
            <w:tcW w:w="1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980" w:type="dxa"/>
            <w:vAlign w:val="bottom"/>
            <w:gridSpan w:val="2"/>
          </w:tcPr>
          <w:p>
            <w:pPr>
              <w:jc w:val="center"/>
              <w:ind w:right="180"/>
              <w:spacing w:after="0"/>
              <w:rPr>
                <w:sz w:val="20"/>
                <w:szCs w:val="20"/>
                <w:color w:val="auto"/>
              </w:rPr>
            </w:pPr>
            <w:r>
              <w:rPr>
                <w:rFonts w:ascii="Arial" w:cs="Arial" w:eastAsia="Arial" w:hAnsi="Arial"/>
                <w:sz w:val="13"/>
                <w:szCs w:val="13"/>
                <w:b w:val="1"/>
                <w:bCs w:val="1"/>
                <w:color w:val="auto"/>
                <w:w w:val="89"/>
              </w:rPr>
              <w:t>commitments</w:t>
            </w:r>
          </w:p>
        </w:tc>
        <w:tc>
          <w:tcPr>
            <w:tcW w:w="1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960" w:type="dxa"/>
            <w:vAlign w:val="bottom"/>
            <w:gridSpan w:val="2"/>
          </w:tcPr>
          <w:p>
            <w:pPr>
              <w:jc w:val="center"/>
              <w:ind w:right="140"/>
              <w:spacing w:after="0"/>
              <w:rPr>
                <w:sz w:val="20"/>
                <w:szCs w:val="20"/>
                <w:color w:val="auto"/>
              </w:rPr>
            </w:pPr>
            <w:r>
              <w:rPr>
                <w:rFonts w:ascii="Arial" w:cs="Arial" w:eastAsia="Arial" w:hAnsi="Arial"/>
                <w:sz w:val="13"/>
                <w:szCs w:val="13"/>
                <w:b w:val="1"/>
                <w:bCs w:val="1"/>
                <w:color w:val="auto"/>
                <w:w w:val="87"/>
              </w:rPr>
              <w:t>commitments</w:t>
            </w:r>
          </w:p>
        </w:tc>
      </w:tr>
      <w:tr>
        <w:trPr>
          <w:trHeight w:val="154"/>
        </w:trPr>
        <w:tc>
          <w:tcPr>
            <w:tcW w:w="362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980" w:type="dxa"/>
            <w:vAlign w:val="bottom"/>
            <w:gridSpan w:val="2"/>
          </w:tcPr>
          <w:p>
            <w:pPr>
              <w:jc w:val="center"/>
              <w:ind w:right="160"/>
              <w:spacing w:after="0"/>
              <w:rPr>
                <w:sz w:val="20"/>
                <w:szCs w:val="20"/>
                <w:color w:val="auto"/>
              </w:rPr>
            </w:pPr>
            <w:r>
              <w:rPr>
                <w:rFonts w:ascii="Arial" w:cs="Arial" w:eastAsia="Arial" w:hAnsi="Arial"/>
                <w:sz w:val="13"/>
                <w:szCs w:val="13"/>
                <w:b w:val="1"/>
                <w:bCs w:val="1"/>
                <w:color w:val="auto"/>
                <w:w w:val="88"/>
              </w:rPr>
              <w:t>and financial</w:t>
            </w:r>
          </w:p>
        </w:tc>
        <w:tc>
          <w:tcPr>
            <w:tcW w:w="1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980" w:type="dxa"/>
            <w:vAlign w:val="bottom"/>
            <w:gridSpan w:val="2"/>
          </w:tcPr>
          <w:p>
            <w:pPr>
              <w:jc w:val="center"/>
              <w:ind w:right="180"/>
              <w:spacing w:after="0"/>
              <w:rPr>
                <w:sz w:val="20"/>
                <w:szCs w:val="20"/>
                <w:color w:val="auto"/>
              </w:rPr>
            </w:pPr>
            <w:r>
              <w:rPr>
                <w:rFonts w:ascii="Arial" w:cs="Arial" w:eastAsia="Arial" w:hAnsi="Arial"/>
                <w:sz w:val="13"/>
                <w:szCs w:val="13"/>
                <w:b w:val="1"/>
                <w:bCs w:val="1"/>
                <w:color w:val="auto"/>
                <w:w w:val="90"/>
              </w:rPr>
              <w:t>and financial</w:t>
            </w:r>
          </w:p>
        </w:tc>
        <w:tc>
          <w:tcPr>
            <w:tcW w:w="1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960" w:type="dxa"/>
            <w:vAlign w:val="bottom"/>
            <w:gridSpan w:val="2"/>
          </w:tcPr>
          <w:p>
            <w:pPr>
              <w:jc w:val="center"/>
              <w:ind w:right="160"/>
              <w:spacing w:after="0"/>
              <w:rPr>
                <w:sz w:val="20"/>
                <w:szCs w:val="20"/>
                <w:color w:val="auto"/>
              </w:rPr>
            </w:pPr>
            <w:r>
              <w:rPr>
                <w:rFonts w:ascii="Arial" w:cs="Arial" w:eastAsia="Arial" w:hAnsi="Arial"/>
                <w:sz w:val="13"/>
                <w:szCs w:val="13"/>
                <w:b w:val="1"/>
                <w:bCs w:val="1"/>
                <w:color w:val="auto"/>
                <w:w w:val="90"/>
              </w:rPr>
              <w:t>and financial</w:t>
            </w:r>
          </w:p>
        </w:tc>
      </w:tr>
      <w:tr>
        <w:trPr>
          <w:trHeight w:val="154"/>
        </w:trPr>
        <w:tc>
          <w:tcPr>
            <w:tcW w:w="362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980" w:type="dxa"/>
            <w:vAlign w:val="bottom"/>
            <w:gridSpan w:val="2"/>
          </w:tcPr>
          <w:p>
            <w:pPr>
              <w:jc w:val="center"/>
              <w:ind w:right="160"/>
              <w:spacing w:after="0"/>
              <w:rPr>
                <w:sz w:val="20"/>
                <w:szCs w:val="20"/>
                <w:color w:val="auto"/>
              </w:rPr>
            </w:pPr>
            <w:r>
              <w:rPr>
                <w:rFonts w:ascii="Arial" w:cs="Arial" w:eastAsia="Arial" w:hAnsi="Arial"/>
                <w:sz w:val="13"/>
                <w:szCs w:val="13"/>
                <w:b w:val="1"/>
                <w:bCs w:val="1"/>
                <w:color w:val="auto"/>
                <w:w w:val="86"/>
              </w:rPr>
              <w:t>guarantee</w:t>
            </w:r>
          </w:p>
        </w:tc>
        <w:tc>
          <w:tcPr>
            <w:tcW w:w="1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980" w:type="dxa"/>
            <w:vAlign w:val="bottom"/>
            <w:gridSpan w:val="2"/>
          </w:tcPr>
          <w:p>
            <w:pPr>
              <w:jc w:val="center"/>
              <w:ind w:right="180"/>
              <w:spacing w:after="0"/>
              <w:rPr>
                <w:sz w:val="20"/>
                <w:szCs w:val="20"/>
                <w:color w:val="auto"/>
              </w:rPr>
            </w:pPr>
            <w:r>
              <w:rPr>
                <w:rFonts w:ascii="Arial" w:cs="Arial" w:eastAsia="Arial" w:hAnsi="Arial"/>
                <w:sz w:val="13"/>
                <w:szCs w:val="13"/>
                <w:b w:val="1"/>
                <w:bCs w:val="1"/>
                <w:color w:val="auto"/>
                <w:w w:val="90"/>
              </w:rPr>
              <w:t>guarantee</w:t>
            </w:r>
          </w:p>
        </w:tc>
        <w:tc>
          <w:tcPr>
            <w:tcW w:w="1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960" w:type="dxa"/>
            <w:vAlign w:val="bottom"/>
            <w:gridSpan w:val="2"/>
          </w:tcPr>
          <w:p>
            <w:pPr>
              <w:jc w:val="center"/>
              <w:ind w:right="160"/>
              <w:spacing w:after="0"/>
              <w:rPr>
                <w:sz w:val="20"/>
                <w:szCs w:val="20"/>
                <w:color w:val="auto"/>
              </w:rPr>
            </w:pPr>
            <w:r>
              <w:rPr>
                <w:rFonts w:ascii="Arial" w:cs="Arial" w:eastAsia="Arial" w:hAnsi="Arial"/>
                <w:sz w:val="13"/>
                <w:szCs w:val="13"/>
                <w:b w:val="1"/>
                <w:bCs w:val="1"/>
                <w:color w:val="auto"/>
                <w:w w:val="90"/>
              </w:rPr>
              <w:t>guarantee</w:t>
            </w:r>
          </w:p>
        </w:tc>
      </w:tr>
      <w:tr>
        <w:trPr>
          <w:trHeight w:val="167"/>
        </w:trPr>
        <w:tc>
          <w:tcPr>
            <w:tcW w:w="3620" w:type="dxa"/>
            <w:vAlign w:val="bottom"/>
          </w:tcPr>
          <w:p>
            <w:pPr>
              <w:spacing w:after="0"/>
              <w:rPr>
                <w:sz w:val="14"/>
                <w:szCs w:val="14"/>
                <w:color w:val="auto"/>
              </w:rPr>
            </w:pPr>
          </w:p>
        </w:tc>
        <w:tc>
          <w:tcPr>
            <w:tcW w:w="720" w:type="dxa"/>
            <w:vAlign w:val="bottom"/>
          </w:tcPr>
          <w:p>
            <w:pPr>
              <w:jc w:val="right"/>
              <w:spacing w:after="0"/>
              <w:rPr>
                <w:sz w:val="20"/>
                <w:szCs w:val="20"/>
                <w:color w:val="auto"/>
              </w:rPr>
            </w:pPr>
            <w:r>
              <w:rPr>
                <w:rFonts w:ascii="Arial" w:cs="Arial" w:eastAsia="Arial" w:hAnsi="Arial"/>
                <w:sz w:val="13"/>
                <w:szCs w:val="13"/>
                <w:b w:val="1"/>
                <w:bCs w:val="1"/>
                <w:color w:val="auto"/>
              </w:rPr>
              <w:t>Amount</w:t>
            </w:r>
          </w:p>
        </w:tc>
        <w:tc>
          <w:tcPr>
            <w:tcW w:w="2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980" w:type="dxa"/>
            <w:vAlign w:val="bottom"/>
            <w:gridSpan w:val="2"/>
          </w:tcPr>
          <w:p>
            <w:pPr>
              <w:jc w:val="center"/>
              <w:ind w:right="160"/>
              <w:spacing w:after="0"/>
              <w:rPr>
                <w:sz w:val="20"/>
                <w:szCs w:val="20"/>
                <w:color w:val="auto"/>
              </w:rPr>
            </w:pPr>
            <w:r>
              <w:rPr>
                <w:rFonts w:ascii="Arial" w:cs="Arial" w:eastAsia="Arial" w:hAnsi="Arial"/>
                <w:sz w:val="13"/>
                <w:szCs w:val="13"/>
                <w:b w:val="1"/>
                <w:bCs w:val="1"/>
                <w:color w:val="auto"/>
                <w:w w:val="85"/>
              </w:rPr>
              <w:t>contracts</w:t>
            </w:r>
          </w:p>
        </w:tc>
        <w:tc>
          <w:tcPr>
            <w:tcW w:w="1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140" w:type="dxa"/>
            <w:vAlign w:val="bottom"/>
            <w:gridSpan w:val="3"/>
          </w:tcPr>
          <w:p>
            <w:pPr>
              <w:jc w:val="right"/>
              <w:ind w:right="520"/>
              <w:spacing w:after="0"/>
              <w:rPr>
                <w:sz w:val="20"/>
                <w:szCs w:val="20"/>
                <w:color w:val="auto"/>
              </w:rPr>
            </w:pPr>
            <w:r>
              <w:rPr>
                <w:rFonts w:ascii="Arial" w:cs="Arial" w:eastAsia="Arial" w:hAnsi="Arial"/>
                <w:sz w:val="13"/>
                <w:szCs w:val="13"/>
                <w:b w:val="1"/>
                <w:bCs w:val="1"/>
                <w:color w:val="auto"/>
              </w:rPr>
              <w:t>Amount</w:t>
            </w:r>
          </w:p>
        </w:tc>
        <w:tc>
          <w:tcPr>
            <w:tcW w:w="980" w:type="dxa"/>
            <w:vAlign w:val="bottom"/>
            <w:gridSpan w:val="2"/>
          </w:tcPr>
          <w:p>
            <w:pPr>
              <w:jc w:val="center"/>
              <w:ind w:right="180"/>
              <w:spacing w:after="0"/>
              <w:rPr>
                <w:sz w:val="20"/>
                <w:szCs w:val="20"/>
                <w:color w:val="auto"/>
              </w:rPr>
            </w:pPr>
            <w:r>
              <w:rPr>
                <w:rFonts w:ascii="Arial" w:cs="Arial" w:eastAsia="Arial" w:hAnsi="Arial"/>
                <w:sz w:val="13"/>
                <w:szCs w:val="13"/>
                <w:b w:val="1"/>
                <w:bCs w:val="1"/>
                <w:color w:val="auto"/>
                <w:w w:val="88"/>
              </w:rPr>
              <w:t>contracts</w:t>
            </w:r>
          </w:p>
        </w:tc>
        <w:tc>
          <w:tcPr>
            <w:tcW w:w="10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020" w:type="dxa"/>
            <w:vAlign w:val="bottom"/>
            <w:gridSpan w:val="3"/>
          </w:tcPr>
          <w:p>
            <w:pPr>
              <w:jc w:val="right"/>
              <w:ind w:right="480"/>
              <w:spacing w:after="0"/>
              <w:rPr>
                <w:sz w:val="20"/>
                <w:szCs w:val="20"/>
                <w:color w:val="auto"/>
              </w:rPr>
            </w:pPr>
            <w:r>
              <w:rPr>
                <w:rFonts w:ascii="Arial" w:cs="Arial" w:eastAsia="Arial" w:hAnsi="Arial"/>
                <w:sz w:val="13"/>
                <w:szCs w:val="13"/>
                <w:b w:val="1"/>
                <w:bCs w:val="1"/>
                <w:color w:val="auto"/>
              </w:rPr>
              <w:t>Amount</w:t>
            </w:r>
          </w:p>
        </w:tc>
        <w:tc>
          <w:tcPr>
            <w:tcW w:w="960" w:type="dxa"/>
            <w:vAlign w:val="bottom"/>
            <w:gridSpan w:val="2"/>
          </w:tcPr>
          <w:p>
            <w:pPr>
              <w:jc w:val="center"/>
              <w:ind w:right="160"/>
              <w:spacing w:after="0"/>
              <w:rPr>
                <w:sz w:val="20"/>
                <w:szCs w:val="20"/>
                <w:color w:val="auto"/>
              </w:rPr>
            </w:pPr>
            <w:r>
              <w:rPr>
                <w:rFonts w:ascii="Arial" w:cs="Arial" w:eastAsia="Arial" w:hAnsi="Arial"/>
                <w:sz w:val="13"/>
                <w:szCs w:val="13"/>
                <w:b w:val="1"/>
                <w:bCs w:val="1"/>
                <w:color w:val="auto"/>
                <w:w w:val="88"/>
              </w:rPr>
              <w:t>contracts</w:t>
            </w:r>
          </w:p>
        </w:tc>
      </w:tr>
      <w:tr>
        <w:trPr>
          <w:trHeight w:val="144"/>
        </w:trPr>
        <w:tc>
          <w:tcPr>
            <w:tcW w:w="3620" w:type="dxa"/>
            <w:vAlign w:val="bottom"/>
          </w:tcPr>
          <w:p>
            <w:pPr>
              <w:spacing w:after="0"/>
              <w:rPr>
                <w:sz w:val="12"/>
                <w:szCs w:val="12"/>
                <w:color w:val="auto"/>
              </w:rPr>
            </w:pPr>
          </w:p>
        </w:tc>
        <w:tc>
          <w:tcPr>
            <w:tcW w:w="720" w:type="dxa"/>
            <w:vAlign w:val="bottom"/>
            <w:tcBorders>
              <w:top w:val="single" w:sz="8" w:color="auto"/>
            </w:tcBorders>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60" w:type="dxa"/>
            <w:vAlign w:val="bottom"/>
            <w:tcBorders>
              <w:top w:val="single" w:sz="8" w:color="auto"/>
            </w:tcBorders>
          </w:tcPr>
          <w:p>
            <w:pPr>
              <w:spacing w:after="0"/>
              <w:rPr>
                <w:sz w:val="12"/>
                <w:szCs w:val="12"/>
                <w:color w:val="auto"/>
              </w:rPr>
            </w:pPr>
          </w:p>
        </w:tc>
        <w:tc>
          <w:tcPr>
            <w:tcW w:w="880" w:type="dxa"/>
            <w:vAlign w:val="bottom"/>
            <w:tcBorders>
              <w:top w:val="single" w:sz="8" w:color="auto"/>
            </w:tcBorders>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2120" w:type="dxa"/>
            <w:vAlign w:val="bottom"/>
            <w:tcBorders>
              <w:top w:val="single" w:sz="8" w:color="auto"/>
            </w:tcBorders>
            <w:gridSpan w:val="5"/>
          </w:tcPr>
          <w:p>
            <w:pPr>
              <w:jc w:val="right"/>
              <w:ind w:right="260"/>
              <w:spacing w:after="0" w:line="144" w:lineRule="exact"/>
              <w:rPr>
                <w:sz w:val="20"/>
                <w:szCs w:val="20"/>
                <w:color w:val="auto"/>
              </w:rPr>
            </w:pPr>
            <w:r>
              <w:rPr>
                <w:rFonts w:ascii="Arial" w:cs="Arial" w:eastAsia="Arial" w:hAnsi="Arial"/>
                <w:sz w:val="13"/>
                <w:szCs w:val="13"/>
                <w:b w:val="1"/>
                <w:bCs w:val="1"/>
                <w:color w:val="auto"/>
                <w:w w:val="86"/>
              </w:rPr>
              <w:t>(in $ millions, except percentages)</w:t>
            </w:r>
          </w:p>
        </w:tc>
        <w:tc>
          <w:tcPr>
            <w:tcW w:w="100" w:type="dxa"/>
            <w:vAlign w:val="bottom"/>
            <w:tcBorders>
              <w:top w:val="single" w:sz="8" w:color="auto"/>
            </w:tcBorders>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362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Loan commitments and financial guarantee contracts</w:t>
            </w:r>
          </w:p>
        </w:tc>
        <w:tc>
          <w:tcPr>
            <w:tcW w:w="7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88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r>
      <w:tr>
        <w:trPr>
          <w:trHeight w:val="154"/>
        </w:trPr>
        <w:tc>
          <w:tcPr>
            <w:tcW w:w="3620" w:type="dxa"/>
            <w:vAlign w:val="bottom"/>
          </w:tcPr>
          <w:p>
            <w:pPr>
              <w:spacing w:after="0"/>
              <w:rPr>
                <w:sz w:val="20"/>
                <w:szCs w:val="20"/>
                <w:color w:val="auto"/>
              </w:rPr>
            </w:pPr>
            <w:r>
              <w:rPr>
                <w:rFonts w:ascii="Arial" w:cs="Arial" w:eastAsia="Arial" w:hAnsi="Arial"/>
                <w:sz w:val="13"/>
                <w:szCs w:val="13"/>
                <w:color w:val="auto"/>
              </w:rPr>
              <w:t>Argentina</w:t>
            </w:r>
          </w:p>
        </w:tc>
        <w:tc>
          <w:tcPr>
            <w:tcW w:w="720" w:type="dxa"/>
            <w:vAlign w:val="bottom"/>
          </w:tcPr>
          <w:p>
            <w:pPr>
              <w:jc w:val="right"/>
              <w:ind w:right="607"/>
              <w:spacing w:after="0"/>
              <w:rPr>
                <w:sz w:val="20"/>
                <w:szCs w:val="20"/>
                <w:color w:val="auto"/>
              </w:rPr>
            </w:pPr>
            <w:r>
              <w:rPr>
                <w:rFonts w:ascii="Arial" w:cs="Arial" w:eastAsia="Arial" w:hAnsi="Arial"/>
                <w:sz w:val="10"/>
                <w:szCs w:val="10"/>
                <w:color w:val="auto"/>
                <w:w w:val="71"/>
              </w:rPr>
              <w:t>$</w:t>
            </w:r>
          </w:p>
        </w:tc>
        <w:tc>
          <w:tcPr>
            <w:tcW w:w="420" w:type="dxa"/>
            <w:vAlign w:val="bottom"/>
            <w:gridSpan w:val="2"/>
          </w:tcPr>
          <w:p>
            <w:pPr>
              <w:jc w:val="right"/>
              <w:ind w:right="200"/>
              <w:spacing w:after="0"/>
              <w:rPr>
                <w:sz w:val="20"/>
                <w:szCs w:val="20"/>
                <w:color w:val="auto"/>
              </w:rPr>
            </w:pPr>
            <w:r>
              <w:rPr>
                <w:rFonts w:ascii="Arial" w:cs="Arial" w:eastAsia="Arial" w:hAnsi="Arial"/>
                <w:sz w:val="13"/>
                <w:szCs w:val="13"/>
                <w:color w:val="auto"/>
              </w:rPr>
              <w:t>7</w:t>
            </w:r>
          </w:p>
        </w:tc>
        <w:tc>
          <w:tcPr>
            <w:tcW w:w="60" w:type="dxa"/>
            <w:vAlign w:val="bottom"/>
          </w:tcPr>
          <w:p>
            <w:pPr>
              <w:spacing w:after="0"/>
              <w:rPr>
                <w:sz w:val="13"/>
                <w:szCs w:val="13"/>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3"/>
                <w:szCs w:val="13"/>
                <w:color w:val="auto"/>
              </w:rPr>
              <w:t>1.4</w:t>
            </w:r>
          </w:p>
        </w:tc>
        <w:tc>
          <w:tcPr>
            <w:tcW w:w="18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8</w:t>
            </w:r>
          </w:p>
        </w:tc>
        <w:tc>
          <w:tcPr>
            <w:tcW w:w="6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1.5</w:t>
            </w:r>
          </w:p>
        </w:tc>
        <w:tc>
          <w:tcPr>
            <w:tcW w:w="120" w:type="dxa"/>
            <w:vAlign w:val="bottom"/>
          </w:tcPr>
          <w:p>
            <w:pPr>
              <w:spacing w:after="0"/>
              <w:rPr>
                <w:sz w:val="13"/>
                <w:szCs w:val="13"/>
                <w:color w:val="auto"/>
              </w:rPr>
            </w:pPr>
          </w:p>
        </w:tc>
        <w:tc>
          <w:tcPr>
            <w:tcW w:w="240" w:type="dxa"/>
            <w:vAlign w:val="bottom"/>
            <w:gridSpan w:val="2"/>
          </w:tcPr>
          <w:p>
            <w:pPr>
              <w:jc w:val="right"/>
              <w:ind w:right="32"/>
              <w:spacing w:after="0"/>
              <w:rPr>
                <w:sz w:val="20"/>
                <w:szCs w:val="20"/>
                <w:color w:val="auto"/>
              </w:rPr>
            </w:pPr>
            <w:r>
              <w:rPr>
                <w:rFonts w:ascii="Arial" w:cs="Arial" w:eastAsia="Arial" w:hAnsi="Arial"/>
                <w:sz w:val="13"/>
                <w:szCs w:val="13"/>
                <w:color w:val="auto"/>
              </w:rPr>
              <w:t>$</w:t>
            </w:r>
          </w:p>
        </w:tc>
        <w:tc>
          <w:tcPr>
            <w:tcW w:w="960" w:type="dxa"/>
            <w:vAlign w:val="bottom"/>
            <w:gridSpan w:val="2"/>
          </w:tcPr>
          <w:p>
            <w:pPr>
              <w:jc w:val="right"/>
              <w:ind w:right="180"/>
              <w:spacing w:after="0"/>
              <w:rPr>
                <w:sz w:val="20"/>
                <w:szCs w:val="20"/>
                <w:color w:val="auto"/>
              </w:rPr>
            </w:pPr>
            <w:r>
              <w:rPr>
                <w:rFonts w:ascii="Arial" w:cs="Arial" w:eastAsia="Arial" w:hAnsi="Arial"/>
                <w:sz w:val="13"/>
                <w:szCs w:val="13"/>
                <w:color w:val="auto"/>
              </w:rPr>
              <w:t>0</w:t>
            </w:r>
          </w:p>
        </w:tc>
        <w:tc>
          <w:tcPr>
            <w:tcW w:w="6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0.0</w:t>
            </w:r>
          </w:p>
        </w:tc>
        <w:tc>
          <w:tcPr>
            <w:tcW w:w="100" w:type="dxa"/>
            <w:vAlign w:val="bottom"/>
          </w:tcPr>
          <w:p>
            <w:pPr>
              <w:spacing w:after="0"/>
              <w:rPr>
                <w:sz w:val="13"/>
                <w:szCs w:val="13"/>
                <w:color w:val="auto"/>
              </w:rPr>
            </w:pPr>
          </w:p>
        </w:tc>
      </w:tr>
      <w:tr>
        <w:trPr>
          <w:trHeight w:val="154"/>
        </w:trPr>
        <w:tc>
          <w:tcPr>
            <w:tcW w:w="3620" w:type="dxa"/>
            <w:vAlign w:val="bottom"/>
            <w:shd w:val="clear" w:color="auto" w:fill="CCEEFF"/>
          </w:tcPr>
          <w:p>
            <w:pPr>
              <w:spacing w:after="0"/>
              <w:rPr>
                <w:sz w:val="20"/>
                <w:szCs w:val="20"/>
                <w:color w:val="auto"/>
              </w:rPr>
            </w:pPr>
            <w:r>
              <w:rPr>
                <w:rFonts w:ascii="Arial" w:cs="Arial" w:eastAsia="Arial" w:hAnsi="Arial"/>
                <w:sz w:val="13"/>
                <w:szCs w:val="13"/>
                <w:color w:val="auto"/>
              </w:rPr>
              <w:t>Bolivia</w:t>
            </w:r>
          </w:p>
        </w:tc>
        <w:tc>
          <w:tcPr>
            <w:tcW w:w="720" w:type="dxa"/>
            <w:vAlign w:val="bottom"/>
            <w:shd w:val="clear" w:color="auto" w:fill="CCEEFF"/>
          </w:tcPr>
          <w:p>
            <w:pPr>
              <w:spacing w:after="0"/>
              <w:rPr>
                <w:sz w:val="13"/>
                <w:szCs w:val="13"/>
                <w:color w:val="auto"/>
              </w:rPr>
            </w:pPr>
          </w:p>
        </w:tc>
        <w:tc>
          <w:tcPr>
            <w:tcW w:w="4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0</w:t>
            </w:r>
          </w:p>
        </w:tc>
        <w:tc>
          <w:tcPr>
            <w:tcW w:w="6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w:t>
            </w:r>
          </w:p>
        </w:tc>
        <w:tc>
          <w:tcPr>
            <w:tcW w:w="10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60" w:type="dxa"/>
            <w:vAlign w:val="bottom"/>
            <w:shd w:val="clear" w:color="auto" w:fill="CCEEFF"/>
          </w:tcPr>
          <w:p>
            <w:pPr>
              <w:spacing w:after="0"/>
              <w:rPr>
                <w:sz w:val="13"/>
                <w:szCs w:val="13"/>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w:t>
            </w:r>
          </w:p>
        </w:tc>
        <w:tc>
          <w:tcPr>
            <w:tcW w:w="1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0</w:t>
            </w:r>
          </w:p>
        </w:tc>
        <w:tc>
          <w:tcPr>
            <w:tcW w:w="60" w:type="dxa"/>
            <w:vAlign w:val="bottom"/>
            <w:shd w:val="clear" w:color="auto" w:fill="CCEEFF"/>
          </w:tcPr>
          <w:p>
            <w:pPr>
              <w:spacing w:after="0"/>
              <w:rPr>
                <w:sz w:val="13"/>
                <w:szCs w:val="13"/>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0.1</w:t>
            </w:r>
          </w:p>
        </w:tc>
        <w:tc>
          <w:tcPr>
            <w:tcW w:w="100" w:type="dxa"/>
            <w:vAlign w:val="bottom"/>
            <w:shd w:val="clear" w:color="auto" w:fill="CCEEFF"/>
          </w:tcPr>
          <w:p>
            <w:pPr>
              <w:spacing w:after="0"/>
              <w:rPr>
                <w:sz w:val="13"/>
                <w:szCs w:val="13"/>
                <w:color w:val="auto"/>
              </w:rPr>
            </w:pPr>
          </w:p>
        </w:tc>
      </w:tr>
      <w:tr>
        <w:trPr>
          <w:trHeight w:val="154"/>
        </w:trPr>
        <w:tc>
          <w:tcPr>
            <w:tcW w:w="3620" w:type="dxa"/>
            <w:vAlign w:val="bottom"/>
          </w:tcPr>
          <w:p>
            <w:pPr>
              <w:spacing w:after="0"/>
              <w:rPr>
                <w:sz w:val="20"/>
                <w:szCs w:val="20"/>
                <w:color w:val="auto"/>
              </w:rPr>
            </w:pPr>
            <w:r>
              <w:rPr>
                <w:rFonts w:ascii="Arial" w:cs="Arial" w:eastAsia="Arial" w:hAnsi="Arial"/>
                <w:sz w:val="13"/>
                <w:szCs w:val="13"/>
                <w:color w:val="auto"/>
              </w:rPr>
              <w:t>Brazil</w:t>
            </w:r>
          </w:p>
        </w:tc>
        <w:tc>
          <w:tcPr>
            <w:tcW w:w="720" w:type="dxa"/>
            <w:vAlign w:val="bottom"/>
          </w:tcPr>
          <w:p>
            <w:pPr>
              <w:spacing w:after="0"/>
              <w:rPr>
                <w:sz w:val="13"/>
                <w:szCs w:val="13"/>
                <w:color w:val="auto"/>
              </w:rPr>
            </w:pPr>
          </w:p>
        </w:tc>
        <w:tc>
          <w:tcPr>
            <w:tcW w:w="220" w:type="dxa"/>
            <w:vAlign w:val="bottom"/>
          </w:tcPr>
          <w:p>
            <w:pPr>
              <w:jc w:val="right"/>
              <w:spacing w:after="0"/>
              <w:rPr>
                <w:sz w:val="20"/>
                <w:szCs w:val="20"/>
                <w:color w:val="auto"/>
              </w:rPr>
            </w:pPr>
            <w:r>
              <w:rPr>
                <w:rFonts w:ascii="Arial" w:cs="Arial" w:eastAsia="Arial" w:hAnsi="Arial"/>
                <w:sz w:val="13"/>
                <w:szCs w:val="13"/>
                <w:color w:val="auto"/>
              </w:rPr>
              <w:t>50</w:t>
            </w:r>
          </w:p>
        </w:tc>
        <w:tc>
          <w:tcPr>
            <w:tcW w:w="20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3"/>
                <w:szCs w:val="13"/>
                <w:color w:val="auto"/>
              </w:rPr>
              <w:t>10.0</w:t>
            </w:r>
          </w:p>
        </w:tc>
        <w:tc>
          <w:tcPr>
            <w:tcW w:w="1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6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0.0</w:t>
            </w: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960" w:type="dxa"/>
            <w:vAlign w:val="bottom"/>
            <w:gridSpan w:val="2"/>
          </w:tcPr>
          <w:p>
            <w:pPr>
              <w:jc w:val="right"/>
              <w:ind w:right="180"/>
              <w:spacing w:after="0"/>
              <w:rPr>
                <w:sz w:val="20"/>
                <w:szCs w:val="20"/>
                <w:color w:val="auto"/>
              </w:rPr>
            </w:pPr>
            <w:r>
              <w:rPr>
                <w:rFonts w:ascii="Arial" w:cs="Arial" w:eastAsia="Arial" w:hAnsi="Arial"/>
                <w:sz w:val="13"/>
                <w:szCs w:val="13"/>
                <w:color w:val="auto"/>
              </w:rPr>
              <w:t>0</w:t>
            </w:r>
          </w:p>
        </w:tc>
        <w:tc>
          <w:tcPr>
            <w:tcW w:w="6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0.0</w:t>
            </w:r>
          </w:p>
        </w:tc>
        <w:tc>
          <w:tcPr>
            <w:tcW w:w="100" w:type="dxa"/>
            <w:vAlign w:val="bottom"/>
          </w:tcPr>
          <w:p>
            <w:pPr>
              <w:spacing w:after="0"/>
              <w:rPr>
                <w:sz w:val="13"/>
                <w:szCs w:val="13"/>
                <w:color w:val="auto"/>
              </w:rPr>
            </w:pPr>
          </w:p>
        </w:tc>
      </w:tr>
      <w:tr>
        <w:trPr>
          <w:trHeight w:val="154"/>
        </w:trPr>
        <w:tc>
          <w:tcPr>
            <w:tcW w:w="3620" w:type="dxa"/>
            <w:vAlign w:val="bottom"/>
            <w:shd w:val="clear" w:color="auto" w:fill="CCEEFF"/>
          </w:tcPr>
          <w:p>
            <w:pPr>
              <w:spacing w:after="0"/>
              <w:rPr>
                <w:sz w:val="20"/>
                <w:szCs w:val="20"/>
                <w:color w:val="auto"/>
              </w:rPr>
            </w:pPr>
            <w:r>
              <w:rPr>
                <w:rFonts w:ascii="Arial" w:cs="Arial" w:eastAsia="Arial" w:hAnsi="Arial"/>
                <w:sz w:val="13"/>
                <w:szCs w:val="13"/>
                <w:color w:val="auto"/>
              </w:rPr>
              <w:t>Canada</w:t>
            </w:r>
          </w:p>
        </w:tc>
        <w:tc>
          <w:tcPr>
            <w:tcW w:w="720" w:type="dxa"/>
            <w:vAlign w:val="bottom"/>
            <w:shd w:val="clear" w:color="auto" w:fill="CCEEFF"/>
          </w:tcPr>
          <w:p>
            <w:pPr>
              <w:spacing w:after="0"/>
              <w:rPr>
                <w:sz w:val="13"/>
                <w:szCs w:val="13"/>
                <w:color w:val="auto"/>
              </w:rPr>
            </w:pPr>
          </w:p>
        </w:tc>
        <w:tc>
          <w:tcPr>
            <w:tcW w:w="4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0</w:t>
            </w:r>
          </w:p>
        </w:tc>
        <w:tc>
          <w:tcPr>
            <w:tcW w:w="6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w:t>
            </w:r>
          </w:p>
        </w:tc>
        <w:tc>
          <w:tcPr>
            <w:tcW w:w="10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60" w:type="dxa"/>
            <w:vAlign w:val="bottom"/>
            <w:shd w:val="clear" w:color="auto" w:fill="CCEEFF"/>
          </w:tcPr>
          <w:p>
            <w:pPr>
              <w:spacing w:after="0"/>
              <w:rPr>
                <w:sz w:val="13"/>
                <w:szCs w:val="13"/>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0.1</w:t>
            </w:r>
          </w:p>
        </w:tc>
        <w:tc>
          <w:tcPr>
            <w:tcW w:w="1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0</w:t>
            </w:r>
          </w:p>
        </w:tc>
        <w:tc>
          <w:tcPr>
            <w:tcW w:w="60" w:type="dxa"/>
            <w:vAlign w:val="bottom"/>
            <w:shd w:val="clear" w:color="auto" w:fill="CCEEFF"/>
          </w:tcPr>
          <w:p>
            <w:pPr>
              <w:spacing w:after="0"/>
              <w:rPr>
                <w:sz w:val="13"/>
                <w:szCs w:val="13"/>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w:t>
            </w:r>
          </w:p>
        </w:tc>
        <w:tc>
          <w:tcPr>
            <w:tcW w:w="100" w:type="dxa"/>
            <w:vAlign w:val="bottom"/>
            <w:shd w:val="clear" w:color="auto" w:fill="CCEEFF"/>
          </w:tcPr>
          <w:p>
            <w:pPr>
              <w:spacing w:after="0"/>
              <w:rPr>
                <w:sz w:val="13"/>
                <w:szCs w:val="13"/>
                <w:color w:val="auto"/>
              </w:rPr>
            </w:pPr>
          </w:p>
        </w:tc>
      </w:tr>
      <w:tr>
        <w:trPr>
          <w:trHeight w:val="154"/>
        </w:trPr>
        <w:tc>
          <w:tcPr>
            <w:tcW w:w="3620" w:type="dxa"/>
            <w:vAlign w:val="bottom"/>
          </w:tcPr>
          <w:p>
            <w:pPr>
              <w:spacing w:after="0"/>
              <w:rPr>
                <w:sz w:val="20"/>
                <w:szCs w:val="20"/>
                <w:color w:val="auto"/>
              </w:rPr>
            </w:pPr>
            <w:r>
              <w:rPr>
                <w:rFonts w:ascii="Arial" w:cs="Arial" w:eastAsia="Arial" w:hAnsi="Arial"/>
                <w:sz w:val="13"/>
                <w:szCs w:val="13"/>
                <w:color w:val="auto"/>
              </w:rPr>
              <w:t>Chile</w:t>
            </w:r>
          </w:p>
        </w:tc>
        <w:tc>
          <w:tcPr>
            <w:tcW w:w="720" w:type="dxa"/>
            <w:vAlign w:val="bottom"/>
          </w:tcPr>
          <w:p>
            <w:pPr>
              <w:spacing w:after="0"/>
              <w:rPr>
                <w:sz w:val="13"/>
                <w:szCs w:val="13"/>
                <w:color w:val="auto"/>
              </w:rPr>
            </w:pPr>
          </w:p>
        </w:tc>
        <w:tc>
          <w:tcPr>
            <w:tcW w:w="420" w:type="dxa"/>
            <w:vAlign w:val="bottom"/>
            <w:gridSpan w:val="2"/>
          </w:tcPr>
          <w:p>
            <w:pPr>
              <w:jc w:val="right"/>
              <w:ind w:right="200"/>
              <w:spacing w:after="0"/>
              <w:rPr>
                <w:sz w:val="20"/>
                <w:szCs w:val="20"/>
                <w:color w:val="auto"/>
              </w:rPr>
            </w:pPr>
            <w:r>
              <w:rPr>
                <w:rFonts w:ascii="Arial" w:cs="Arial" w:eastAsia="Arial" w:hAnsi="Arial"/>
                <w:sz w:val="13"/>
                <w:szCs w:val="13"/>
                <w:color w:val="auto"/>
              </w:rPr>
              <w:t>0</w:t>
            </w:r>
          </w:p>
        </w:tc>
        <w:tc>
          <w:tcPr>
            <w:tcW w:w="60" w:type="dxa"/>
            <w:vAlign w:val="bottom"/>
          </w:tcPr>
          <w:p>
            <w:pPr>
              <w:spacing w:after="0"/>
              <w:rPr>
                <w:sz w:val="13"/>
                <w:szCs w:val="13"/>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3"/>
                <w:szCs w:val="13"/>
                <w:color w:val="auto"/>
              </w:rPr>
              <w:t>0.0</w:t>
            </w:r>
          </w:p>
        </w:tc>
        <w:tc>
          <w:tcPr>
            <w:tcW w:w="1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15</w:t>
            </w:r>
          </w:p>
        </w:tc>
        <w:tc>
          <w:tcPr>
            <w:tcW w:w="6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3.1</w:t>
            </w: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960" w:type="dxa"/>
            <w:vAlign w:val="bottom"/>
            <w:gridSpan w:val="2"/>
          </w:tcPr>
          <w:p>
            <w:pPr>
              <w:jc w:val="right"/>
              <w:ind w:right="180"/>
              <w:spacing w:after="0"/>
              <w:rPr>
                <w:sz w:val="20"/>
                <w:szCs w:val="20"/>
                <w:color w:val="auto"/>
              </w:rPr>
            </w:pPr>
            <w:r>
              <w:rPr>
                <w:rFonts w:ascii="Arial" w:cs="Arial" w:eastAsia="Arial" w:hAnsi="Arial"/>
                <w:sz w:val="13"/>
                <w:szCs w:val="13"/>
                <w:color w:val="auto"/>
              </w:rPr>
              <w:t>0</w:t>
            </w:r>
          </w:p>
        </w:tc>
        <w:tc>
          <w:tcPr>
            <w:tcW w:w="6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0.0</w:t>
            </w:r>
          </w:p>
        </w:tc>
        <w:tc>
          <w:tcPr>
            <w:tcW w:w="100" w:type="dxa"/>
            <w:vAlign w:val="bottom"/>
          </w:tcPr>
          <w:p>
            <w:pPr>
              <w:spacing w:after="0"/>
              <w:rPr>
                <w:sz w:val="13"/>
                <w:szCs w:val="13"/>
                <w:color w:val="auto"/>
              </w:rPr>
            </w:pPr>
          </w:p>
        </w:tc>
      </w:tr>
      <w:tr>
        <w:trPr>
          <w:trHeight w:val="154"/>
        </w:trPr>
        <w:tc>
          <w:tcPr>
            <w:tcW w:w="3620" w:type="dxa"/>
            <w:vAlign w:val="bottom"/>
            <w:shd w:val="clear" w:color="auto" w:fill="CCEEFF"/>
          </w:tcPr>
          <w:p>
            <w:pPr>
              <w:spacing w:after="0"/>
              <w:rPr>
                <w:sz w:val="20"/>
                <w:szCs w:val="20"/>
                <w:color w:val="auto"/>
              </w:rPr>
            </w:pPr>
            <w:r>
              <w:rPr>
                <w:rFonts w:ascii="Arial" w:cs="Arial" w:eastAsia="Arial" w:hAnsi="Arial"/>
                <w:sz w:val="13"/>
                <w:szCs w:val="13"/>
                <w:color w:val="auto"/>
              </w:rPr>
              <w:t>Colombia</w:t>
            </w:r>
          </w:p>
        </w:tc>
        <w:tc>
          <w:tcPr>
            <w:tcW w:w="720" w:type="dxa"/>
            <w:vAlign w:val="bottom"/>
            <w:shd w:val="clear" w:color="auto" w:fill="CCEEFF"/>
          </w:tcPr>
          <w:p>
            <w:pPr>
              <w:spacing w:after="0"/>
              <w:rPr>
                <w:sz w:val="13"/>
                <w:szCs w:val="13"/>
                <w:color w:val="auto"/>
              </w:rPr>
            </w:pPr>
          </w:p>
        </w:tc>
        <w:tc>
          <w:tcPr>
            <w:tcW w:w="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52</w:t>
            </w:r>
          </w:p>
        </w:tc>
        <w:tc>
          <w:tcPr>
            <w:tcW w:w="20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10.4</w:t>
            </w:r>
          </w:p>
        </w:tc>
        <w:tc>
          <w:tcPr>
            <w:tcW w:w="10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91</w:t>
            </w:r>
          </w:p>
        </w:tc>
        <w:tc>
          <w:tcPr>
            <w:tcW w:w="6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18.7</w:t>
            </w:r>
          </w:p>
        </w:tc>
        <w:tc>
          <w:tcPr>
            <w:tcW w:w="10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79</w:t>
            </w:r>
          </w:p>
        </w:tc>
        <w:tc>
          <w:tcPr>
            <w:tcW w:w="18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19.6</w:t>
            </w:r>
          </w:p>
        </w:tc>
      </w:tr>
      <w:tr>
        <w:trPr>
          <w:trHeight w:val="154"/>
        </w:trPr>
        <w:tc>
          <w:tcPr>
            <w:tcW w:w="3620" w:type="dxa"/>
            <w:vAlign w:val="bottom"/>
          </w:tcPr>
          <w:p>
            <w:pPr>
              <w:spacing w:after="0"/>
              <w:rPr>
                <w:sz w:val="20"/>
                <w:szCs w:val="20"/>
                <w:color w:val="auto"/>
              </w:rPr>
            </w:pPr>
            <w:r>
              <w:rPr>
                <w:rFonts w:ascii="Arial" w:cs="Arial" w:eastAsia="Arial" w:hAnsi="Arial"/>
                <w:sz w:val="13"/>
                <w:szCs w:val="13"/>
                <w:color w:val="auto"/>
              </w:rPr>
              <w:t>Costa Rica</w:t>
            </w:r>
          </w:p>
        </w:tc>
        <w:tc>
          <w:tcPr>
            <w:tcW w:w="720" w:type="dxa"/>
            <w:vAlign w:val="bottom"/>
          </w:tcPr>
          <w:p>
            <w:pPr>
              <w:spacing w:after="0"/>
              <w:rPr>
                <w:sz w:val="13"/>
                <w:szCs w:val="13"/>
                <w:color w:val="auto"/>
              </w:rPr>
            </w:pPr>
          </w:p>
        </w:tc>
        <w:tc>
          <w:tcPr>
            <w:tcW w:w="220" w:type="dxa"/>
            <w:vAlign w:val="bottom"/>
          </w:tcPr>
          <w:p>
            <w:pPr>
              <w:jc w:val="right"/>
              <w:spacing w:after="0"/>
              <w:rPr>
                <w:sz w:val="20"/>
                <w:szCs w:val="20"/>
                <w:color w:val="auto"/>
              </w:rPr>
            </w:pPr>
            <w:r>
              <w:rPr>
                <w:rFonts w:ascii="Arial" w:cs="Arial" w:eastAsia="Arial" w:hAnsi="Arial"/>
                <w:sz w:val="13"/>
                <w:szCs w:val="13"/>
                <w:color w:val="auto"/>
              </w:rPr>
              <w:t>39</w:t>
            </w:r>
          </w:p>
        </w:tc>
        <w:tc>
          <w:tcPr>
            <w:tcW w:w="20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3"/>
                <w:szCs w:val="13"/>
                <w:color w:val="auto"/>
              </w:rPr>
              <w:t>7.7</w:t>
            </w:r>
          </w:p>
        </w:tc>
        <w:tc>
          <w:tcPr>
            <w:tcW w:w="1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20</w:t>
            </w:r>
          </w:p>
        </w:tc>
        <w:tc>
          <w:tcPr>
            <w:tcW w:w="6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4.1</w:t>
            </w: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960" w:type="dxa"/>
            <w:vAlign w:val="bottom"/>
            <w:gridSpan w:val="2"/>
          </w:tcPr>
          <w:p>
            <w:pPr>
              <w:jc w:val="right"/>
              <w:ind w:right="180"/>
              <w:spacing w:after="0"/>
              <w:rPr>
                <w:sz w:val="20"/>
                <w:szCs w:val="20"/>
                <w:color w:val="auto"/>
              </w:rPr>
            </w:pPr>
            <w:r>
              <w:rPr>
                <w:rFonts w:ascii="Arial" w:cs="Arial" w:eastAsia="Arial" w:hAnsi="Arial"/>
                <w:sz w:val="13"/>
                <w:szCs w:val="13"/>
                <w:color w:val="auto"/>
              </w:rPr>
              <w:t>2</w:t>
            </w:r>
          </w:p>
        </w:tc>
        <w:tc>
          <w:tcPr>
            <w:tcW w:w="6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0.6</w:t>
            </w:r>
          </w:p>
        </w:tc>
        <w:tc>
          <w:tcPr>
            <w:tcW w:w="100" w:type="dxa"/>
            <w:vAlign w:val="bottom"/>
          </w:tcPr>
          <w:p>
            <w:pPr>
              <w:spacing w:after="0"/>
              <w:rPr>
                <w:sz w:val="13"/>
                <w:szCs w:val="13"/>
                <w:color w:val="auto"/>
              </w:rPr>
            </w:pPr>
          </w:p>
        </w:tc>
      </w:tr>
      <w:tr>
        <w:trPr>
          <w:trHeight w:val="154"/>
        </w:trPr>
        <w:tc>
          <w:tcPr>
            <w:tcW w:w="3620" w:type="dxa"/>
            <w:vAlign w:val="bottom"/>
            <w:shd w:val="clear" w:color="auto" w:fill="CCEEFF"/>
          </w:tcPr>
          <w:p>
            <w:pPr>
              <w:spacing w:after="0"/>
              <w:rPr>
                <w:sz w:val="20"/>
                <w:szCs w:val="20"/>
                <w:color w:val="auto"/>
              </w:rPr>
            </w:pPr>
            <w:r>
              <w:rPr>
                <w:rFonts w:ascii="Arial" w:cs="Arial" w:eastAsia="Arial" w:hAnsi="Arial"/>
                <w:sz w:val="13"/>
                <w:szCs w:val="13"/>
                <w:color w:val="auto"/>
              </w:rPr>
              <w:t>Dominican Republic</w:t>
            </w:r>
          </w:p>
        </w:tc>
        <w:tc>
          <w:tcPr>
            <w:tcW w:w="720" w:type="dxa"/>
            <w:vAlign w:val="bottom"/>
            <w:shd w:val="clear" w:color="auto" w:fill="CCEEFF"/>
          </w:tcPr>
          <w:p>
            <w:pPr>
              <w:spacing w:after="0"/>
              <w:rPr>
                <w:sz w:val="13"/>
                <w:szCs w:val="13"/>
                <w:color w:val="auto"/>
              </w:rPr>
            </w:pPr>
          </w:p>
        </w:tc>
        <w:tc>
          <w:tcPr>
            <w:tcW w:w="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17</w:t>
            </w:r>
          </w:p>
        </w:tc>
        <w:tc>
          <w:tcPr>
            <w:tcW w:w="20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3.3</w:t>
            </w:r>
          </w:p>
        </w:tc>
        <w:tc>
          <w:tcPr>
            <w:tcW w:w="10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60" w:type="dxa"/>
            <w:vAlign w:val="bottom"/>
            <w:shd w:val="clear" w:color="auto" w:fill="CCEEFF"/>
          </w:tcPr>
          <w:p>
            <w:pPr>
              <w:spacing w:after="0"/>
              <w:rPr>
                <w:sz w:val="13"/>
                <w:szCs w:val="13"/>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w:t>
            </w:r>
          </w:p>
        </w:tc>
        <w:tc>
          <w:tcPr>
            <w:tcW w:w="1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27</w:t>
            </w:r>
          </w:p>
        </w:tc>
        <w:tc>
          <w:tcPr>
            <w:tcW w:w="18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6.6</w:t>
            </w:r>
          </w:p>
        </w:tc>
        <w:tc>
          <w:tcPr>
            <w:tcW w:w="100" w:type="dxa"/>
            <w:vAlign w:val="bottom"/>
            <w:shd w:val="clear" w:color="auto" w:fill="CCEEFF"/>
          </w:tcPr>
          <w:p>
            <w:pPr>
              <w:spacing w:after="0"/>
              <w:rPr>
                <w:sz w:val="13"/>
                <w:szCs w:val="13"/>
                <w:color w:val="auto"/>
              </w:rPr>
            </w:pPr>
          </w:p>
        </w:tc>
      </w:tr>
      <w:tr>
        <w:trPr>
          <w:trHeight w:val="154"/>
        </w:trPr>
        <w:tc>
          <w:tcPr>
            <w:tcW w:w="3620" w:type="dxa"/>
            <w:vAlign w:val="bottom"/>
          </w:tcPr>
          <w:p>
            <w:pPr>
              <w:spacing w:after="0"/>
              <w:rPr>
                <w:sz w:val="20"/>
                <w:szCs w:val="20"/>
                <w:color w:val="auto"/>
              </w:rPr>
            </w:pPr>
            <w:r>
              <w:rPr>
                <w:rFonts w:ascii="Arial" w:cs="Arial" w:eastAsia="Arial" w:hAnsi="Arial"/>
                <w:sz w:val="13"/>
                <w:szCs w:val="13"/>
                <w:color w:val="auto"/>
              </w:rPr>
              <w:t>Ecuador</w:t>
            </w:r>
          </w:p>
        </w:tc>
        <w:tc>
          <w:tcPr>
            <w:tcW w:w="720" w:type="dxa"/>
            <w:vAlign w:val="bottom"/>
          </w:tcPr>
          <w:p>
            <w:pPr>
              <w:spacing w:after="0"/>
              <w:rPr>
                <w:sz w:val="13"/>
                <w:szCs w:val="13"/>
                <w:color w:val="auto"/>
              </w:rPr>
            </w:pPr>
          </w:p>
        </w:tc>
        <w:tc>
          <w:tcPr>
            <w:tcW w:w="420" w:type="dxa"/>
            <w:vAlign w:val="bottom"/>
            <w:gridSpan w:val="2"/>
          </w:tcPr>
          <w:p>
            <w:pPr>
              <w:jc w:val="right"/>
              <w:ind w:right="200"/>
              <w:spacing w:after="0"/>
              <w:rPr>
                <w:sz w:val="20"/>
                <w:szCs w:val="20"/>
                <w:color w:val="auto"/>
              </w:rPr>
            </w:pPr>
            <w:r>
              <w:rPr>
                <w:rFonts w:ascii="Arial" w:cs="Arial" w:eastAsia="Arial" w:hAnsi="Arial"/>
                <w:sz w:val="13"/>
                <w:szCs w:val="13"/>
                <w:color w:val="auto"/>
                <w:w w:val="92"/>
              </w:rPr>
              <w:t>247</w:t>
            </w:r>
          </w:p>
        </w:tc>
        <w:tc>
          <w:tcPr>
            <w:tcW w:w="60" w:type="dxa"/>
            <w:vAlign w:val="bottom"/>
          </w:tcPr>
          <w:p>
            <w:pPr>
              <w:spacing w:after="0"/>
              <w:rPr>
                <w:sz w:val="13"/>
                <w:szCs w:val="13"/>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3"/>
                <w:szCs w:val="13"/>
                <w:color w:val="auto"/>
              </w:rPr>
              <w:t>49.3</w:t>
            </w:r>
          </w:p>
        </w:tc>
        <w:tc>
          <w:tcPr>
            <w:tcW w:w="1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253</w:t>
            </w:r>
          </w:p>
        </w:tc>
        <w:tc>
          <w:tcPr>
            <w:tcW w:w="60" w:type="dxa"/>
            <w:vAlign w:val="bottom"/>
          </w:tcPr>
          <w:p>
            <w:pPr>
              <w:spacing w:after="0"/>
              <w:rPr>
                <w:sz w:val="13"/>
                <w:szCs w:val="13"/>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3"/>
                <w:szCs w:val="13"/>
                <w:color w:val="auto"/>
              </w:rPr>
              <w:t>51.9</w:t>
            </w:r>
          </w:p>
        </w:tc>
        <w:tc>
          <w:tcPr>
            <w:tcW w:w="1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960" w:type="dxa"/>
            <w:vAlign w:val="bottom"/>
            <w:gridSpan w:val="2"/>
          </w:tcPr>
          <w:p>
            <w:pPr>
              <w:jc w:val="right"/>
              <w:ind w:right="180"/>
              <w:spacing w:after="0"/>
              <w:rPr>
                <w:sz w:val="20"/>
                <w:szCs w:val="20"/>
                <w:color w:val="auto"/>
              </w:rPr>
            </w:pPr>
            <w:r>
              <w:rPr>
                <w:rFonts w:ascii="Arial" w:cs="Arial" w:eastAsia="Arial" w:hAnsi="Arial"/>
                <w:sz w:val="13"/>
                <w:szCs w:val="13"/>
                <w:color w:val="auto"/>
              </w:rPr>
              <w:t>173</w:t>
            </w:r>
          </w:p>
        </w:tc>
        <w:tc>
          <w:tcPr>
            <w:tcW w:w="60" w:type="dxa"/>
            <w:vAlign w:val="bottom"/>
          </w:tcPr>
          <w:p>
            <w:pPr>
              <w:spacing w:after="0"/>
              <w:rPr>
                <w:sz w:val="13"/>
                <w:szCs w:val="13"/>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3"/>
                <w:szCs w:val="13"/>
                <w:color w:val="auto"/>
              </w:rPr>
              <w:t>42.8</w:t>
            </w:r>
          </w:p>
        </w:tc>
      </w:tr>
      <w:tr>
        <w:trPr>
          <w:trHeight w:val="154"/>
        </w:trPr>
        <w:tc>
          <w:tcPr>
            <w:tcW w:w="3620" w:type="dxa"/>
            <w:vAlign w:val="bottom"/>
            <w:shd w:val="clear" w:color="auto" w:fill="CCEEFF"/>
          </w:tcPr>
          <w:p>
            <w:pPr>
              <w:spacing w:after="0"/>
              <w:rPr>
                <w:sz w:val="20"/>
                <w:szCs w:val="20"/>
                <w:color w:val="auto"/>
              </w:rPr>
            </w:pPr>
            <w:r>
              <w:rPr>
                <w:rFonts w:ascii="Arial" w:cs="Arial" w:eastAsia="Arial" w:hAnsi="Arial"/>
                <w:sz w:val="13"/>
                <w:szCs w:val="13"/>
                <w:color w:val="auto"/>
              </w:rPr>
              <w:t>El Salvador</w:t>
            </w:r>
          </w:p>
        </w:tc>
        <w:tc>
          <w:tcPr>
            <w:tcW w:w="720" w:type="dxa"/>
            <w:vAlign w:val="bottom"/>
            <w:shd w:val="clear" w:color="auto" w:fill="CCEEFF"/>
          </w:tcPr>
          <w:p>
            <w:pPr>
              <w:spacing w:after="0"/>
              <w:rPr>
                <w:sz w:val="13"/>
                <w:szCs w:val="13"/>
                <w:color w:val="auto"/>
              </w:rPr>
            </w:pPr>
          </w:p>
        </w:tc>
        <w:tc>
          <w:tcPr>
            <w:tcW w:w="4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w:t>
            </w:r>
          </w:p>
        </w:tc>
        <w:tc>
          <w:tcPr>
            <w:tcW w:w="6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0.2</w:t>
            </w:r>
          </w:p>
        </w:tc>
        <w:tc>
          <w:tcPr>
            <w:tcW w:w="10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w:t>
            </w:r>
          </w:p>
        </w:tc>
        <w:tc>
          <w:tcPr>
            <w:tcW w:w="60" w:type="dxa"/>
            <w:vAlign w:val="bottom"/>
            <w:shd w:val="clear" w:color="auto" w:fill="CCEEFF"/>
          </w:tcPr>
          <w:p>
            <w:pPr>
              <w:spacing w:after="0"/>
              <w:rPr>
                <w:sz w:val="13"/>
                <w:szCs w:val="13"/>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0.2</w:t>
            </w:r>
          </w:p>
        </w:tc>
        <w:tc>
          <w:tcPr>
            <w:tcW w:w="1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w:t>
            </w:r>
          </w:p>
        </w:tc>
        <w:tc>
          <w:tcPr>
            <w:tcW w:w="60" w:type="dxa"/>
            <w:vAlign w:val="bottom"/>
            <w:shd w:val="clear" w:color="auto" w:fill="CCEEFF"/>
          </w:tcPr>
          <w:p>
            <w:pPr>
              <w:spacing w:after="0"/>
              <w:rPr>
                <w:sz w:val="13"/>
                <w:szCs w:val="13"/>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0.3</w:t>
            </w:r>
          </w:p>
        </w:tc>
        <w:tc>
          <w:tcPr>
            <w:tcW w:w="100" w:type="dxa"/>
            <w:vAlign w:val="bottom"/>
            <w:shd w:val="clear" w:color="auto" w:fill="CCEEFF"/>
          </w:tcPr>
          <w:p>
            <w:pPr>
              <w:spacing w:after="0"/>
              <w:rPr>
                <w:sz w:val="13"/>
                <w:szCs w:val="13"/>
                <w:color w:val="auto"/>
              </w:rPr>
            </w:pPr>
          </w:p>
        </w:tc>
      </w:tr>
      <w:tr>
        <w:trPr>
          <w:trHeight w:val="154"/>
        </w:trPr>
        <w:tc>
          <w:tcPr>
            <w:tcW w:w="3620" w:type="dxa"/>
            <w:vAlign w:val="bottom"/>
          </w:tcPr>
          <w:p>
            <w:pPr>
              <w:spacing w:after="0"/>
              <w:rPr>
                <w:sz w:val="20"/>
                <w:szCs w:val="20"/>
                <w:color w:val="auto"/>
              </w:rPr>
            </w:pPr>
            <w:r>
              <w:rPr>
                <w:rFonts w:ascii="Arial" w:cs="Arial" w:eastAsia="Arial" w:hAnsi="Arial"/>
                <w:sz w:val="13"/>
                <w:szCs w:val="13"/>
                <w:color w:val="auto"/>
              </w:rPr>
              <w:t>Germany</w:t>
            </w:r>
          </w:p>
        </w:tc>
        <w:tc>
          <w:tcPr>
            <w:tcW w:w="720" w:type="dxa"/>
            <w:vAlign w:val="bottom"/>
          </w:tcPr>
          <w:p>
            <w:pPr>
              <w:spacing w:after="0"/>
              <w:rPr>
                <w:sz w:val="13"/>
                <w:szCs w:val="13"/>
                <w:color w:val="auto"/>
              </w:rPr>
            </w:pPr>
          </w:p>
        </w:tc>
        <w:tc>
          <w:tcPr>
            <w:tcW w:w="220" w:type="dxa"/>
            <w:vAlign w:val="bottom"/>
          </w:tcPr>
          <w:p>
            <w:pPr>
              <w:jc w:val="right"/>
              <w:spacing w:after="0"/>
              <w:rPr>
                <w:sz w:val="20"/>
                <w:szCs w:val="20"/>
                <w:color w:val="auto"/>
              </w:rPr>
            </w:pPr>
            <w:r>
              <w:rPr>
                <w:rFonts w:ascii="Arial" w:cs="Arial" w:eastAsia="Arial" w:hAnsi="Arial"/>
                <w:sz w:val="13"/>
                <w:szCs w:val="13"/>
                <w:color w:val="auto"/>
              </w:rPr>
              <w:t>18</w:t>
            </w:r>
          </w:p>
        </w:tc>
        <w:tc>
          <w:tcPr>
            <w:tcW w:w="20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3"/>
                <w:szCs w:val="13"/>
                <w:color w:val="auto"/>
              </w:rPr>
              <w:t>3.6</w:t>
            </w:r>
          </w:p>
        </w:tc>
        <w:tc>
          <w:tcPr>
            <w:tcW w:w="1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6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0.0</w:t>
            </w: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960" w:type="dxa"/>
            <w:vAlign w:val="bottom"/>
            <w:gridSpan w:val="2"/>
          </w:tcPr>
          <w:p>
            <w:pPr>
              <w:jc w:val="right"/>
              <w:ind w:right="180"/>
              <w:spacing w:after="0"/>
              <w:rPr>
                <w:sz w:val="20"/>
                <w:szCs w:val="20"/>
                <w:color w:val="auto"/>
              </w:rPr>
            </w:pPr>
            <w:r>
              <w:rPr>
                <w:rFonts w:ascii="Arial" w:cs="Arial" w:eastAsia="Arial" w:hAnsi="Arial"/>
                <w:sz w:val="13"/>
                <w:szCs w:val="13"/>
                <w:color w:val="auto"/>
              </w:rPr>
              <w:t>0</w:t>
            </w:r>
          </w:p>
        </w:tc>
        <w:tc>
          <w:tcPr>
            <w:tcW w:w="6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0.0</w:t>
            </w:r>
          </w:p>
        </w:tc>
        <w:tc>
          <w:tcPr>
            <w:tcW w:w="100" w:type="dxa"/>
            <w:vAlign w:val="bottom"/>
          </w:tcPr>
          <w:p>
            <w:pPr>
              <w:spacing w:after="0"/>
              <w:rPr>
                <w:sz w:val="13"/>
                <w:szCs w:val="13"/>
                <w:color w:val="auto"/>
              </w:rPr>
            </w:pPr>
          </w:p>
        </w:tc>
      </w:tr>
      <w:tr>
        <w:trPr>
          <w:trHeight w:val="154"/>
        </w:trPr>
        <w:tc>
          <w:tcPr>
            <w:tcW w:w="3620" w:type="dxa"/>
            <w:vAlign w:val="bottom"/>
            <w:shd w:val="clear" w:color="auto" w:fill="CCEEFF"/>
          </w:tcPr>
          <w:p>
            <w:pPr>
              <w:spacing w:after="0"/>
              <w:rPr>
                <w:sz w:val="20"/>
                <w:szCs w:val="20"/>
                <w:color w:val="auto"/>
              </w:rPr>
            </w:pPr>
            <w:r>
              <w:rPr>
                <w:rFonts w:ascii="Arial" w:cs="Arial" w:eastAsia="Arial" w:hAnsi="Arial"/>
                <w:sz w:val="13"/>
                <w:szCs w:val="13"/>
                <w:color w:val="auto"/>
              </w:rPr>
              <w:t>Guatemala</w:t>
            </w:r>
          </w:p>
        </w:tc>
        <w:tc>
          <w:tcPr>
            <w:tcW w:w="720" w:type="dxa"/>
            <w:vAlign w:val="bottom"/>
            <w:shd w:val="clear" w:color="auto" w:fill="CCEEFF"/>
          </w:tcPr>
          <w:p>
            <w:pPr>
              <w:spacing w:after="0"/>
              <w:rPr>
                <w:sz w:val="13"/>
                <w:szCs w:val="13"/>
                <w:color w:val="auto"/>
              </w:rPr>
            </w:pPr>
          </w:p>
        </w:tc>
        <w:tc>
          <w:tcPr>
            <w:tcW w:w="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15</w:t>
            </w:r>
          </w:p>
        </w:tc>
        <w:tc>
          <w:tcPr>
            <w:tcW w:w="20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3.0</w:t>
            </w:r>
          </w:p>
        </w:tc>
        <w:tc>
          <w:tcPr>
            <w:tcW w:w="10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12</w:t>
            </w:r>
          </w:p>
        </w:tc>
        <w:tc>
          <w:tcPr>
            <w:tcW w:w="60" w:type="dxa"/>
            <w:vAlign w:val="bottom"/>
            <w:shd w:val="clear" w:color="auto" w:fill="CCEEFF"/>
          </w:tcPr>
          <w:p>
            <w:pPr>
              <w:spacing w:after="0"/>
              <w:rPr>
                <w:sz w:val="13"/>
                <w:szCs w:val="13"/>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2.4</w:t>
            </w:r>
          </w:p>
        </w:tc>
        <w:tc>
          <w:tcPr>
            <w:tcW w:w="1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7</w:t>
            </w:r>
          </w:p>
        </w:tc>
        <w:tc>
          <w:tcPr>
            <w:tcW w:w="60" w:type="dxa"/>
            <w:vAlign w:val="bottom"/>
            <w:shd w:val="clear" w:color="auto" w:fill="CCEEFF"/>
          </w:tcPr>
          <w:p>
            <w:pPr>
              <w:spacing w:after="0"/>
              <w:rPr>
                <w:sz w:val="13"/>
                <w:szCs w:val="13"/>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1.7</w:t>
            </w:r>
          </w:p>
        </w:tc>
        <w:tc>
          <w:tcPr>
            <w:tcW w:w="100" w:type="dxa"/>
            <w:vAlign w:val="bottom"/>
            <w:shd w:val="clear" w:color="auto" w:fill="CCEEFF"/>
          </w:tcPr>
          <w:p>
            <w:pPr>
              <w:spacing w:after="0"/>
              <w:rPr>
                <w:sz w:val="13"/>
                <w:szCs w:val="13"/>
                <w:color w:val="auto"/>
              </w:rPr>
            </w:pPr>
          </w:p>
        </w:tc>
      </w:tr>
      <w:tr>
        <w:trPr>
          <w:trHeight w:val="154"/>
        </w:trPr>
        <w:tc>
          <w:tcPr>
            <w:tcW w:w="3620" w:type="dxa"/>
            <w:vAlign w:val="bottom"/>
          </w:tcPr>
          <w:p>
            <w:pPr>
              <w:spacing w:after="0"/>
              <w:rPr>
                <w:sz w:val="20"/>
                <w:szCs w:val="20"/>
                <w:color w:val="auto"/>
              </w:rPr>
            </w:pPr>
            <w:r>
              <w:rPr>
                <w:rFonts w:ascii="Arial" w:cs="Arial" w:eastAsia="Arial" w:hAnsi="Arial"/>
                <w:sz w:val="13"/>
                <w:szCs w:val="13"/>
                <w:color w:val="auto"/>
              </w:rPr>
              <w:t>Honduras</w:t>
            </w:r>
          </w:p>
        </w:tc>
        <w:tc>
          <w:tcPr>
            <w:tcW w:w="720" w:type="dxa"/>
            <w:vAlign w:val="bottom"/>
          </w:tcPr>
          <w:p>
            <w:pPr>
              <w:spacing w:after="0"/>
              <w:rPr>
                <w:sz w:val="13"/>
                <w:szCs w:val="13"/>
                <w:color w:val="auto"/>
              </w:rPr>
            </w:pPr>
          </w:p>
        </w:tc>
        <w:tc>
          <w:tcPr>
            <w:tcW w:w="420" w:type="dxa"/>
            <w:vAlign w:val="bottom"/>
            <w:gridSpan w:val="2"/>
          </w:tcPr>
          <w:p>
            <w:pPr>
              <w:jc w:val="right"/>
              <w:ind w:right="200"/>
              <w:spacing w:after="0"/>
              <w:rPr>
                <w:sz w:val="20"/>
                <w:szCs w:val="20"/>
                <w:color w:val="auto"/>
              </w:rPr>
            </w:pPr>
            <w:r>
              <w:rPr>
                <w:rFonts w:ascii="Arial" w:cs="Arial" w:eastAsia="Arial" w:hAnsi="Arial"/>
                <w:sz w:val="13"/>
                <w:szCs w:val="13"/>
                <w:color w:val="auto"/>
              </w:rPr>
              <w:t>0</w:t>
            </w:r>
          </w:p>
        </w:tc>
        <w:tc>
          <w:tcPr>
            <w:tcW w:w="60" w:type="dxa"/>
            <w:vAlign w:val="bottom"/>
          </w:tcPr>
          <w:p>
            <w:pPr>
              <w:spacing w:after="0"/>
              <w:rPr>
                <w:sz w:val="13"/>
                <w:szCs w:val="13"/>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3"/>
                <w:szCs w:val="13"/>
                <w:color w:val="auto"/>
              </w:rPr>
              <w:t>0.0</w:t>
            </w:r>
          </w:p>
        </w:tc>
        <w:tc>
          <w:tcPr>
            <w:tcW w:w="1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1</w:t>
            </w:r>
          </w:p>
        </w:tc>
        <w:tc>
          <w:tcPr>
            <w:tcW w:w="6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0.2</w:t>
            </w: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960" w:type="dxa"/>
            <w:vAlign w:val="bottom"/>
            <w:gridSpan w:val="2"/>
          </w:tcPr>
          <w:p>
            <w:pPr>
              <w:jc w:val="right"/>
              <w:ind w:right="180"/>
              <w:spacing w:after="0"/>
              <w:rPr>
                <w:sz w:val="20"/>
                <w:szCs w:val="20"/>
                <w:color w:val="auto"/>
              </w:rPr>
            </w:pPr>
            <w:r>
              <w:rPr>
                <w:rFonts w:ascii="Arial" w:cs="Arial" w:eastAsia="Arial" w:hAnsi="Arial"/>
                <w:sz w:val="13"/>
                <w:szCs w:val="13"/>
                <w:color w:val="auto"/>
              </w:rPr>
              <w:t>1</w:t>
            </w:r>
          </w:p>
        </w:tc>
        <w:tc>
          <w:tcPr>
            <w:tcW w:w="6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0.3</w:t>
            </w:r>
          </w:p>
        </w:tc>
        <w:tc>
          <w:tcPr>
            <w:tcW w:w="100" w:type="dxa"/>
            <w:vAlign w:val="bottom"/>
          </w:tcPr>
          <w:p>
            <w:pPr>
              <w:spacing w:after="0"/>
              <w:rPr>
                <w:sz w:val="13"/>
                <w:szCs w:val="13"/>
                <w:color w:val="auto"/>
              </w:rPr>
            </w:pPr>
          </w:p>
        </w:tc>
      </w:tr>
      <w:tr>
        <w:trPr>
          <w:trHeight w:val="154"/>
        </w:trPr>
        <w:tc>
          <w:tcPr>
            <w:tcW w:w="3620" w:type="dxa"/>
            <w:vAlign w:val="bottom"/>
            <w:shd w:val="clear" w:color="auto" w:fill="CCEEFF"/>
          </w:tcPr>
          <w:p>
            <w:pPr>
              <w:spacing w:after="0"/>
              <w:rPr>
                <w:sz w:val="20"/>
                <w:szCs w:val="20"/>
                <w:color w:val="auto"/>
              </w:rPr>
            </w:pPr>
            <w:r>
              <w:rPr>
                <w:rFonts w:ascii="Arial" w:cs="Arial" w:eastAsia="Arial" w:hAnsi="Arial"/>
                <w:sz w:val="13"/>
                <w:szCs w:val="13"/>
                <w:color w:val="auto"/>
              </w:rPr>
              <w:t>Mexico</w:t>
            </w:r>
          </w:p>
        </w:tc>
        <w:tc>
          <w:tcPr>
            <w:tcW w:w="720" w:type="dxa"/>
            <w:vAlign w:val="bottom"/>
            <w:shd w:val="clear" w:color="auto" w:fill="CCEEFF"/>
          </w:tcPr>
          <w:p>
            <w:pPr>
              <w:spacing w:after="0"/>
              <w:rPr>
                <w:sz w:val="13"/>
                <w:szCs w:val="13"/>
                <w:color w:val="auto"/>
              </w:rPr>
            </w:pPr>
          </w:p>
        </w:tc>
        <w:tc>
          <w:tcPr>
            <w:tcW w:w="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23</w:t>
            </w:r>
          </w:p>
        </w:tc>
        <w:tc>
          <w:tcPr>
            <w:tcW w:w="20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4.5</w:t>
            </w:r>
          </w:p>
        </w:tc>
        <w:tc>
          <w:tcPr>
            <w:tcW w:w="10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35</w:t>
            </w:r>
          </w:p>
        </w:tc>
        <w:tc>
          <w:tcPr>
            <w:tcW w:w="60" w:type="dxa"/>
            <w:vAlign w:val="bottom"/>
            <w:shd w:val="clear" w:color="auto" w:fill="CCEEFF"/>
          </w:tcPr>
          <w:p>
            <w:pPr>
              <w:spacing w:after="0"/>
              <w:rPr>
                <w:sz w:val="13"/>
                <w:szCs w:val="13"/>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7.2</w:t>
            </w:r>
          </w:p>
        </w:tc>
        <w:tc>
          <w:tcPr>
            <w:tcW w:w="1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11</w:t>
            </w:r>
          </w:p>
        </w:tc>
        <w:tc>
          <w:tcPr>
            <w:tcW w:w="60" w:type="dxa"/>
            <w:vAlign w:val="bottom"/>
            <w:shd w:val="clear" w:color="auto" w:fill="CCEEFF"/>
          </w:tcPr>
          <w:p>
            <w:pPr>
              <w:spacing w:after="0"/>
              <w:rPr>
                <w:sz w:val="13"/>
                <w:szCs w:val="13"/>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2.8</w:t>
            </w:r>
          </w:p>
        </w:tc>
        <w:tc>
          <w:tcPr>
            <w:tcW w:w="100" w:type="dxa"/>
            <w:vAlign w:val="bottom"/>
            <w:shd w:val="clear" w:color="auto" w:fill="CCEEFF"/>
          </w:tcPr>
          <w:p>
            <w:pPr>
              <w:spacing w:after="0"/>
              <w:rPr>
                <w:sz w:val="13"/>
                <w:szCs w:val="13"/>
                <w:color w:val="auto"/>
              </w:rPr>
            </w:pPr>
          </w:p>
        </w:tc>
      </w:tr>
      <w:tr>
        <w:trPr>
          <w:trHeight w:val="154"/>
        </w:trPr>
        <w:tc>
          <w:tcPr>
            <w:tcW w:w="3620" w:type="dxa"/>
            <w:vAlign w:val="bottom"/>
          </w:tcPr>
          <w:p>
            <w:pPr>
              <w:spacing w:after="0"/>
              <w:rPr>
                <w:sz w:val="20"/>
                <w:szCs w:val="20"/>
                <w:color w:val="auto"/>
              </w:rPr>
            </w:pPr>
            <w:r>
              <w:rPr>
                <w:rFonts w:ascii="Arial" w:cs="Arial" w:eastAsia="Arial" w:hAnsi="Arial"/>
                <w:sz w:val="13"/>
                <w:szCs w:val="13"/>
                <w:color w:val="auto"/>
              </w:rPr>
              <w:t>Panama</w:t>
            </w:r>
          </w:p>
        </w:tc>
        <w:tc>
          <w:tcPr>
            <w:tcW w:w="720" w:type="dxa"/>
            <w:vAlign w:val="bottom"/>
          </w:tcPr>
          <w:p>
            <w:pPr>
              <w:spacing w:after="0"/>
              <w:rPr>
                <w:sz w:val="13"/>
                <w:szCs w:val="13"/>
                <w:color w:val="auto"/>
              </w:rPr>
            </w:pPr>
          </w:p>
        </w:tc>
        <w:tc>
          <w:tcPr>
            <w:tcW w:w="220" w:type="dxa"/>
            <w:vAlign w:val="bottom"/>
          </w:tcPr>
          <w:p>
            <w:pPr>
              <w:jc w:val="right"/>
              <w:spacing w:after="0"/>
              <w:rPr>
                <w:sz w:val="20"/>
                <w:szCs w:val="20"/>
                <w:color w:val="auto"/>
              </w:rPr>
            </w:pPr>
            <w:r>
              <w:rPr>
                <w:rFonts w:ascii="Arial" w:cs="Arial" w:eastAsia="Arial" w:hAnsi="Arial"/>
                <w:sz w:val="13"/>
                <w:szCs w:val="13"/>
                <w:color w:val="auto"/>
              </w:rPr>
              <w:t>29</w:t>
            </w:r>
          </w:p>
        </w:tc>
        <w:tc>
          <w:tcPr>
            <w:tcW w:w="20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3"/>
                <w:szCs w:val="13"/>
                <w:color w:val="auto"/>
              </w:rPr>
              <w:t>5.9</w:t>
            </w:r>
          </w:p>
        </w:tc>
        <w:tc>
          <w:tcPr>
            <w:tcW w:w="1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31</w:t>
            </w:r>
          </w:p>
        </w:tc>
        <w:tc>
          <w:tcPr>
            <w:tcW w:w="6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6.4</w:t>
            </w: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780" w:type="dxa"/>
            <w:vAlign w:val="bottom"/>
          </w:tcPr>
          <w:p>
            <w:pPr>
              <w:jc w:val="right"/>
              <w:spacing w:after="0"/>
              <w:rPr>
                <w:sz w:val="20"/>
                <w:szCs w:val="20"/>
                <w:color w:val="auto"/>
              </w:rPr>
            </w:pPr>
            <w:r>
              <w:rPr>
                <w:rFonts w:ascii="Arial" w:cs="Arial" w:eastAsia="Arial" w:hAnsi="Arial"/>
                <w:sz w:val="13"/>
                <w:szCs w:val="13"/>
                <w:color w:val="auto"/>
              </w:rPr>
              <w:t>40</w:t>
            </w:r>
          </w:p>
        </w:tc>
        <w:tc>
          <w:tcPr>
            <w:tcW w:w="18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9.9</w:t>
            </w:r>
          </w:p>
        </w:tc>
        <w:tc>
          <w:tcPr>
            <w:tcW w:w="100" w:type="dxa"/>
            <w:vAlign w:val="bottom"/>
          </w:tcPr>
          <w:p>
            <w:pPr>
              <w:spacing w:after="0"/>
              <w:rPr>
                <w:sz w:val="13"/>
                <w:szCs w:val="13"/>
                <w:color w:val="auto"/>
              </w:rPr>
            </w:pPr>
          </w:p>
        </w:tc>
      </w:tr>
      <w:tr>
        <w:trPr>
          <w:trHeight w:val="154"/>
        </w:trPr>
        <w:tc>
          <w:tcPr>
            <w:tcW w:w="3620" w:type="dxa"/>
            <w:vAlign w:val="bottom"/>
            <w:shd w:val="clear" w:color="auto" w:fill="CCEEFF"/>
          </w:tcPr>
          <w:p>
            <w:pPr>
              <w:spacing w:after="0"/>
              <w:rPr>
                <w:sz w:val="20"/>
                <w:szCs w:val="20"/>
                <w:color w:val="auto"/>
              </w:rPr>
            </w:pPr>
            <w:r>
              <w:rPr>
                <w:rFonts w:ascii="Arial" w:cs="Arial" w:eastAsia="Arial" w:hAnsi="Arial"/>
                <w:sz w:val="13"/>
                <w:szCs w:val="13"/>
                <w:color w:val="auto"/>
              </w:rPr>
              <w:t>Peru</w:t>
            </w:r>
          </w:p>
        </w:tc>
        <w:tc>
          <w:tcPr>
            <w:tcW w:w="720" w:type="dxa"/>
            <w:vAlign w:val="bottom"/>
            <w:shd w:val="clear" w:color="auto" w:fill="CCEEFF"/>
          </w:tcPr>
          <w:p>
            <w:pPr>
              <w:spacing w:after="0"/>
              <w:rPr>
                <w:sz w:val="13"/>
                <w:szCs w:val="13"/>
                <w:color w:val="auto"/>
              </w:rPr>
            </w:pPr>
          </w:p>
        </w:tc>
        <w:tc>
          <w:tcPr>
            <w:tcW w:w="4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3</w:t>
            </w:r>
          </w:p>
        </w:tc>
        <w:tc>
          <w:tcPr>
            <w:tcW w:w="6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0.6</w:t>
            </w:r>
          </w:p>
        </w:tc>
        <w:tc>
          <w:tcPr>
            <w:tcW w:w="10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18</w:t>
            </w:r>
          </w:p>
        </w:tc>
        <w:tc>
          <w:tcPr>
            <w:tcW w:w="60" w:type="dxa"/>
            <w:vAlign w:val="bottom"/>
            <w:shd w:val="clear" w:color="auto" w:fill="CCEEFF"/>
          </w:tcPr>
          <w:p>
            <w:pPr>
              <w:spacing w:after="0"/>
              <w:rPr>
                <w:sz w:val="13"/>
                <w:szCs w:val="13"/>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3.6</w:t>
            </w:r>
          </w:p>
        </w:tc>
        <w:tc>
          <w:tcPr>
            <w:tcW w:w="1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43</w:t>
            </w:r>
          </w:p>
        </w:tc>
        <w:tc>
          <w:tcPr>
            <w:tcW w:w="18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10.6</w:t>
            </w:r>
          </w:p>
        </w:tc>
      </w:tr>
      <w:tr>
        <w:trPr>
          <w:trHeight w:val="154"/>
        </w:trPr>
        <w:tc>
          <w:tcPr>
            <w:tcW w:w="3620" w:type="dxa"/>
            <w:vAlign w:val="bottom"/>
          </w:tcPr>
          <w:p>
            <w:pPr>
              <w:spacing w:after="0"/>
              <w:rPr>
                <w:sz w:val="20"/>
                <w:szCs w:val="20"/>
                <w:color w:val="auto"/>
              </w:rPr>
            </w:pPr>
            <w:r>
              <w:rPr>
                <w:rFonts w:ascii="Arial" w:cs="Arial" w:eastAsia="Arial" w:hAnsi="Arial"/>
                <w:sz w:val="13"/>
                <w:szCs w:val="13"/>
                <w:color w:val="auto"/>
              </w:rPr>
              <w:t>Switzerland</w:t>
            </w:r>
          </w:p>
        </w:tc>
        <w:tc>
          <w:tcPr>
            <w:tcW w:w="720" w:type="dxa"/>
            <w:vAlign w:val="bottom"/>
          </w:tcPr>
          <w:p>
            <w:pPr>
              <w:spacing w:after="0"/>
              <w:rPr>
                <w:sz w:val="13"/>
                <w:szCs w:val="13"/>
                <w:color w:val="auto"/>
              </w:rPr>
            </w:pPr>
          </w:p>
        </w:tc>
        <w:tc>
          <w:tcPr>
            <w:tcW w:w="420" w:type="dxa"/>
            <w:vAlign w:val="bottom"/>
            <w:gridSpan w:val="2"/>
          </w:tcPr>
          <w:p>
            <w:pPr>
              <w:jc w:val="right"/>
              <w:ind w:right="200"/>
              <w:spacing w:after="0"/>
              <w:rPr>
                <w:sz w:val="20"/>
                <w:szCs w:val="20"/>
                <w:color w:val="auto"/>
              </w:rPr>
            </w:pPr>
            <w:r>
              <w:rPr>
                <w:rFonts w:ascii="Arial" w:cs="Arial" w:eastAsia="Arial" w:hAnsi="Arial"/>
                <w:sz w:val="13"/>
                <w:szCs w:val="13"/>
                <w:color w:val="auto"/>
              </w:rPr>
              <w:t>0</w:t>
            </w:r>
          </w:p>
        </w:tc>
        <w:tc>
          <w:tcPr>
            <w:tcW w:w="60" w:type="dxa"/>
            <w:vAlign w:val="bottom"/>
          </w:tcPr>
          <w:p>
            <w:pPr>
              <w:spacing w:after="0"/>
              <w:rPr>
                <w:sz w:val="13"/>
                <w:szCs w:val="13"/>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3"/>
                <w:szCs w:val="13"/>
                <w:color w:val="auto"/>
              </w:rPr>
              <w:t>0.0</w:t>
            </w:r>
          </w:p>
        </w:tc>
        <w:tc>
          <w:tcPr>
            <w:tcW w:w="1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6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0.0</w:t>
            </w: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960" w:type="dxa"/>
            <w:vAlign w:val="bottom"/>
            <w:gridSpan w:val="2"/>
          </w:tcPr>
          <w:p>
            <w:pPr>
              <w:jc w:val="right"/>
              <w:ind w:right="180"/>
              <w:spacing w:after="0"/>
              <w:rPr>
                <w:sz w:val="20"/>
                <w:szCs w:val="20"/>
                <w:color w:val="auto"/>
              </w:rPr>
            </w:pPr>
            <w:r>
              <w:rPr>
                <w:rFonts w:ascii="Arial" w:cs="Arial" w:eastAsia="Arial" w:hAnsi="Arial"/>
                <w:sz w:val="13"/>
                <w:szCs w:val="13"/>
                <w:color w:val="auto"/>
              </w:rPr>
              <w:t>1</w:t>
            </w:r>
          </w:p>
        </w:tc>
        <w:tc>
          <w:tcPr>
            <w:tcW w:w="6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0.2</w:t>
            </w:r>
          </w:p>
        </w:tc>
        <w:tc>
          <w:tcPr>
            <w:tcW w:w="100" w:type="dxa"/>
            <w:vAlign w:val="bottom"/>
          </w:tcPr>
          <w:p>
            <w:pPr>
              <w:spacing w:after="0"/>
              <w:rPr>
                <w:sz w:val="13"/>
                <w:szCs w:val="13"/>
                <w:color w:val="auto"/>
              </w:rPr>
            </w:pPr>
          </w:p>
        </w:tc>
      </w:tr>
      <w:tr>
        <w:trPr>
          <w:trHeight w:val="164"/>
        </w:trPr>
        <w:tc>
          <w:tcPr>
            <w:tcW w:w="3620" w:type="dxa"/>
            <w:vAlign w:val="bottom"/>
            <w:shd w:val="clear" w:color="auto" w:fill="CCEEFF"/>
          </w:tcPr>
          <w:p>
            <w:pPr>
              <w:spacing w:after="0"/>
              <w:rPr>
                <w:sz w:val="20"/>
                <w:szCs w:val="20"/>
                <w:color w:val="auto"/>
              </w:rPr>
            </w:pPr>
            <w:r>
              <w:rPr>
                <w:rFonts w:ascii="Arial" w:cs="Arial" w:eastAsia="Arial" w:hAnsi="Arial"/>
                <w:sz w:val="13"/>
                <w:szCs w:val="13"/>
                <w:color w:val="auto"/>
              </w:rPr>
              <w:t>Uruguay</w:t>
            </w:r>
          </w:p>
        </w:tc>
        <w:tc>
          <w:tcPr>
            <w:tcW w:w="720" w:type="dxa"/>
            <w:vAlign w:val="bottom"/>
            <w:shd w:val="clear" w:color="auto" w:fill="CCEEFF"/>
          </w:tcPr>
          <w:p>
            <w:pPr>
              <w:spacing w:after="0"/>
              <w:rPr>
                <w:sz w:val="14"/>
                <w:szCs w:val="14"/>
                <w:color w:val="auto"/>
              </w:rPr>
            </w:pPr>
          </w:p>
        </w:tc>
        <w:tc>
          <w:tcPr>
            <w:tcW w:w="4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w:t>
            </w:r>
          </w:p>
        </w:tc>
        <w:tc>
          <w:tcPr>
            <w:tcW w:w="6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0.1</w:t>
            </w:r>
          </w:p>
        </w:tc>
        <w:tc>
          <w:tcPr>
            <w:tcW w:w="10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w:t>
            </w:r>
          </w:p>
        </w:tc>
        <w:tc>
          <w:tcPr>
            <w:tcW w:w="60" w:type="dxa"/>
            <w:vAlign w:val="bottom"/>
            <w:shd w:val="clear" w:color="auto" w:fill="CCEEFF"/>
          </w:tcPr>
          <w:p>
            <w:pPr>
              <w:spacing w:after="0"/>
              <w:rPr>
                <w:sz w:val="14"/>
                <w:szCs w:val="14"/>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0.6</w:t>
            </w:r>
          </w:p>
        </w:tc>
        <w:tc>
          <w:tcPr>
            <w:tcW w:w="1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18</w:t>
            </w:r>
          </w:p>
        </w:tc>
        <w:tc>
          <w:tcPr>
            <w:tcW w:w="18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4.5</w:t>
            </w:r>
          </w:p>
        </w:tc>
        <w:tc>
          <w:tcPr>
            <w:tcW w:w="100" w:type="dxa"/>
            <w:vAlign w:val="bottom"/>
            <w:shd w:val="clear" w:color="auto" w:fill="CCEEFF"/>
          </w:tcPr>
          <w:p>
            <w:pPr>
              <w:spacing w:after="0"/>
              <w:rPr>
                <w:sz w:val="14"/>
                <w:szCs w:val="14"/>
                <w:color w:val="auto"/>
              </w:rPr>
            </w:pPr>
          </w:p>
        </w:tc>
      </w:tr>
      <w:tr>
        <w:trPr>
          <w:trHeight w:val="144"/>
        </w:trPr>
        <w:tc>
          <w:tcPr>
            <w:tcW w:w="3620" w:type="dxa"/>
            <w:vAlign w:val="bottom"/>
          </w:tcPr>
          <w:p>
            <w:pPr>
              <w:spacing w:after="0" w:line="144" w:lineRule="exact"/>
              <w:rPr>
                <w:sz w:val="20"/>
                <w:szCs w:val="20"/>
                <w:color w:val="auto"/>
              </w:rPr>
            </w:pPr>
            <w:r>
              <w:rPr>
                <w:rFonts w:ascii="Arial" w:cs="Arial" w:eastAsia="Arial" w:hAnsi="Arial"/>
                <w:sz w:val="13"/>
                <w:szCs w:val="13"/>
                <w:b w:val="1"/>
                <w:bCs w:val="1"/>
                <w:color w:val="auto"/>
                <w:w w:val="99"/>
              </w:rPr>
              <w:t>Total loan commitments and financial guarantee contracts</w:t>
            </w:r>
          </w:p>
        </w:tc>
        <w:tc>
          <w:tcPr>
            <w:tcW w:w="720" w:type="dxa"/>
            <w:vAlign w:val="bottom"/>
            <w:tcBorders>
              <w:top w:val="single" w:sz="8" w:color="auto"/>
              <w:bottom w:val="single" w:sz="8" w:color="auto"/>
            </w:tcBorders>
          </w:tcPr>
          <w:p>
            <w:pPr>
              <w:jc w:val="right"/>
              <w:ind w:right="607"/>
              <w:spacing w:after="0"/>
              <w:rPr>
                <w:sz w:val="20"/>
                <w:szCs w:val="20"/>
                <w:color w:val="auto"/>
              </w:rPr>
            </w:pPr>
            <w:r>
              <w:rPr>
                <w:rFonts w:ascii="Arial" w:cs="Arial" w:eastAsia="Arial" w:hAnsi="Arial"/>
                <w:sz w:val="10"/>
                <w:szCs w:val="10"/>
                <w:b w:val="1"/>
                <w:bCs w:val="1"/>
                <w:color w:val="auto"/>
                <w:w w:val="71"/>
              </w:rPr>
              <w:t>$</w:t>
            </w:r>
          </w:p>
        </w:tc>
        <w:tc>
          <w:tcPr>
            <w:tcW w:w="22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w w:val="92"/>
              </w:rPr>
              <w:t>502</w:t>
            </w:r>
          </w:p>
        </w:tc>
        <w:tc>
          <w:tcPr>
            <w:tcW w:w="200" w:type="dxa"/>
            <w:vAlign w:val="bottom"/>
          </w:tcPr>
          <w:p>
            <w:pPr>
              <w:spacing w:after="0"/>
              <w:rPr>
                <w:sz w:val="12"/>
                <w:szCs w:val="12"/>
                <w:color w:val="auto"/>
              </w:rPr>
            </w:pPr>
          </w:p>
        </w:tc>
        <w:tc>
          <w:tcPr>
            <w:tcW w:w="60" w:type="dxa"/>
            <w:vAlign w:val="bottom"/>
            <w:tcBorders>
              <w:top w:val="single" w:sz="8" w:color="auto"/>
              <w:bottom w:val="single" w:sz="8" w:color="auto"/>
            </w:tcBorders>
          </w:tcPr>
          <w:p>
            <w:pPr>
              <w:spacing w:after="0"/>
              <w:rPr>
                <w:sz w:val="12"/>
                <w:szCs w:val="12"/>
                <w:color w:val="auto"/>
              </w:rPr>
            </w:pPr>
          </w:p>
        </w:tc>
        <w:tc>
          <w:tcPr>
            <w:tcW w:w="8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100.0</w:t>
            </w: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w w:val="82"/>
              </w:rPr>
              <w:t>$</w:t>
            </w:r>
          </w:p>
        </w:tc>
        <w:tc>
          <w:tcPr>
            <w:tcW w:w="86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488</w:t>
            </w:r>
          </w:p>
        </w:tc>
        <w:tc>
          <w:tcPr>
            <w:tcW w:w="220" w:type="dxa"/>
            <w:vAlign w:val="bottom"/>
          </w:tcPr>
          <w:p>
            <w:pPr>
              <w:spacing w:after="0"/>
              <w:rPr>
                <w:sz w:val="12"/>
                <w:szCs w:val="12"/>
                <w:color w:val="auto"/>
              </w:rPr>
            </w:pPr>
          </w:p>
        </w:tc>
        <w:tc>
          <w:tcPr>
            <w:tcW w:w="60" w:type="dxa"/>
            <w:vAlign w:val="bottom"/>
            <w:tcBorders>
              <w:top w:val="single" w:sz="8" w:color="auto"/>
              <w:bottom w:val="single" w:sz="8" w:color="auto"/>
            </w:tcBorders>
          </w:tcPr>
          <w:p>
            <w:pPr>
              <w:spacing w:after="0"/>
              <w:rPr>
                <w:sz w:val="12"/>
                <w:szCs w:val="12"/>
                <w:color w:val="auto"/>
              </w:rPr>
            </w:pPr>
          </w:p>
        </w:tc>
        <w:tc>
          <w:tcPr>
            <w:tcW w:w="86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100.0</w:t>
            </w: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0" w:type="dxa"/>
            <w:vAlign w:val="bottom"/>
            <w:tcBorders>
              <w:top w:val="single" w:sz="8" w:color="auto"/>
              <w:bottom w:val="single" w:sz="8" w:color="auto"/>
            </w:tcBorders>
          </w:tcPr>
          <w:p>
            <w:pPr>
              <w:jc w:val="right"/>
              <w:ind w:right="32"/>
              <w:spacing w:after="0"/>
              <w:rPr>
                <w:sz w:val="20"/>
                <w:szCs w:val="20"/>
                <w:color w:val="auto"/>
              </w:rPr>
            </w:pPr>
            <w:r>
              <w:rPr>
                <w:rFonts w:ascii="Arial" w:cs="Arial" w:eastAsia="Arial" w:hAnsi="Arial"/>
                <w:sz w:val="10"/>
                <w:szCs w:val="10"/>
                <w:b w:val="1"/>
                <w:bCs w:val="1"/>
                <w:color w:val="auto"/>
                <w:w w:val="71"/>
              </w:rPr>
              <w:t>$</w:t>
            </w:r>
          </w:p>
        </w:tc>
        <w:tc>
          <w:tcPr>
            <w:tcW w:w="7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403</w:t>
            </w:r>
          </w:p>
        </w:tc>
        <w:tc>
          <w:tcPr>
            <w:tcW w:w="180" w:type="dxa"/>
            <w:vAlign w:val="bottom"/>
          </w:tcPr>
          <w:p>
            <w:pPr>
              <w:spacing w:after="0"/>
              <w:rPr>
                <w:sz w:val="12"/>
                <w:szCs w:val="12"/>
                <w:color w:val="auto"/>
              </w:rPr>
            </w:pPr>
          </w:p>
        </w:tc>
        <w:tc>
          <w:tcPr>
            <w:tcW w:w="60" w:type="dxa"/>
            <w:vAlign w:val="bottom"/>
            <w:tcBorders>
              <w:top w:val="single" w:sz="8" w:color="auto"/>
              <w:bottom w:val="single" w:sz="8" w:color="auto"/>
            </w:tcBorders>
          </w:tcPr>
          <w:p>
            <w:pPr>
              <w:spacing w:after="0"/>
              <w:rPr>
                <w:sz w:val="12"/>
                <w:szCs w:val="12"/>
                <w:color w:val="auto"/>
              </w:rPr>
            </w:pPr>
          </w:p>
        </w:tc>
        <w:tc>
          <w:tcPr>
            <w:tcW w:w="86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100.0</w:t>
            </w:r>
          </w:p>
        </w:tc>
        <w:tc>
          <w:tcPr>
            <w:tcW w:w="100" w:type="dxa"/>
            <w:vAlign w:val="bottom"/>
          </w:tcPr>
          <w:p>
            <w:pPr>
              <w:spacing w:after="0"/>
              <w:rPr>
                <w:sz w:val="12"/>
                <w:szCs w:val="12"/>
                <w:color w:val="auto"/>
              </w:rPr>
            </w:pPr>
          </w:p>
        </w:tc>
      </w:tr>
    </w:tbl>
    <w:p>
      <w:pPr>
        <w:spacing w:after="0" w:line="145"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Investment Portfolio</w:t>
      </w:r>
    </w:p>
    <w:p>
      <w:pPr>
        <w:spacing w:after="0" w:line="159" w:lineRule="exact"/>
        <w:rPr>
          <w:sz w:val="20"/>
          <w:szCs w:val="20"/>
          <w:color w:val="auto"/>
        </w:rPr>
      </w:pPr>
    </w:p>
    <w:p>
      <w:pPr>
        <w:spacing w:after="0" w:line="267" w:lineRule="auto"/>
        <w:rPr>
          <w:sz w:val="20"/>
          <w:szCs w:val="20"/>
          <w:color w:val="auto"/>
        </w:rPr>
      </w:pPr>
      <w:r>
        <w:rPr>
          <w:rFonts w:ascii="Arial" w:cs="Arial" w:eastAsia="Arial" w:hAnsi="Arial"/>
          <w:sz w:val="13"/>
          <w:szCs w:val="13"/>
          <w:color w:val="auto"/>
        </w:rPr>
        <w:t>As part of its Credit Portfolio, the Bank holds an Investment Portfolio, in the form of both securities at FVOCI and investment securities at amortized cost, consisting of investments in securities issued by Latin American entities.</w:t>
      </w:r>
    </w:p>
    <w:p>
      <w:pPr>
        <w:spacing w:after="0" w:line="129" w:lineRule="exact"/>
        <w:rPr>
          <w:sz w:val="20"/>
          <w:szCs w:val="20"/>
          <w:color w:val="auto"/>
        </w:rPr>
      </w:pPr>
    </w:p>
    <w:p>
      <w:pPr>
        <w:spacing w:after="0"/>
        <w:rPr>
          <w:sz w:val="20"/>
          <w:szCs w:val="20"/>
          <w:color w:val="auto"/>
        </w:rPr>
      </w:pPr>
      <w:r>
        <w:rPr>
          <w:rFonts w:ascii="Arial" w:cs="Arial" w:eastAsia="Arial" w:hAnsi="Arial"/>
          <w:sz w:val="12"/>
          <w:szCs w:val="12"/>
          <w:color w:val="auto"/>
        </w:rPr>
        <w:t>In the normal course of business, the Bank utilizes interest rate swaps for hedging purposes associated with assets (mainly its Investment Portfolio) and liabilities (mainly issuances) denominated in fixed rates.</w:t>
      </w:r>
    </w:p>
    <w:p>
      <w:pPr>
        <w:spacing w:after="0" w:line="318"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30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89" w:right="219" w:bottom="1440" w:gutter="0" w:footer="0" w:header="0"/>
        </w:sectPr>
      </w:pPr>
    </w:p>
    <w:bookmarkStart w:id="32" w:name="page33"/>
    <w:bookmarkEnd w:id="32"/>
    <w:p>
      <w:pPr>
        <w:spacing w:after="0"/>
        <w:rPr>
          <w:sz w:val="20"/>
          <w:szCs w:val="20"/>
          <w:color w:val="auto"/>
        </w:rPr>
      </w:pPr>
      <w:r>
        <w:rPr>
          <w:rFonts w:ascii="Arial" w:cs="Arial" w:eastAsia="Arial" w:hAnsi="Arial"/>
          <w:sz w:val="13"/>
          <w:szCs w:val="13"/>
          <w:color w:val="auto"/>
        </w:rPr>
        <w:t>The following table sets forth information regarding the carrying value of the Bank’s Investment Portfolio and other financial assets, net, as of the dates indicated.</w:t>
      </w:r>
    </w:p>
    <w:p>
      <w:pPr>
        <w:spacing w:after="0" w:line="155" w:lineRule="exact"/>
        <w:rPr>
          <w:sz w:val="20"/>
          <w:szCs w:val="20"/>
          <w:color w:val="auto"/>
        </w:rPr>
      </w:pPr>
    </w:p>
    <w:tbl>
      <w:tblPr>
        <w:tblLayout w:type="fixed"/>
        <w:tblInd w:w="0" w:type="dxa"/>
        <w:tblCellMar>
          <w:top w:w="0" w:type="dxa"/>
          <w:left w:w="0" w:type="dxa"/>
          <w:bottom w:w="0" w:type="dxa"/>
          <w:right w:w="0" w:type="dxa"/>
        </w:tblCellMar>
      </w:tblPr>
      <w:tr>
        <w:trPr>
          <w:trHeight w:val="164"/>
        </w:trPr>
        <w:tc>
          <w:tcPr>
            <w:tcW w:w="712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500" w:type="dxa"/>
            <w:vAlign w:val="bottom"/>
            <w:gridSpan w:val="3"/>
          </w:tcPr>
          <w:p>
            <w:pPr>
              <w:jc w:val="right"/>
              <w:ind w:right="340"/>
              <w:spacing w:after="0"/>
              <w:rPr>
                <w:sz w:val="20"/>
                <w:szCs w:val="20"/>
                <w:color w:val="auto"/>
              </w:rPr>
            </w:pPr>
            <w:r>
              <w:rPr>
                <w:rFonts w:ascii="Arial" w:cs="Arial" w:eastAsia="Arial" w:hAnsi="Arial"/>
                <w:sz w:val="13"/>
                <w:szCs w:val="13"/>
                <w:b w:val="1"/>
                <w:bCs w:val="1"/>
                <w:color w:val="auto"/>
                <w:w w:val="94"/>
              </w:rPr>
              <w:t>As of December 31,</w:t>
            </w:r>
          </w:p>
        </w:tc>
        <w:tc>
          <w:tcPr>
            <w:tcW w:w="28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167"/>
        </w:trPr>
        <w:tc>
          <w:tcPr>
            <w:tcW w:w="7120" w:type="dxa"/>
            <w:vAlign w:val="bottom"/>
          </w:tcPr>
          <w:p>
            <w:pPr>
              <w:spacing w:after="0"/>
              <w:rPr>
                <w:sz w:val="14"/>
                <w:szCs w:val="14"/>
                <w:color w:val="auto"/>
              </w:rPr>
            </w:pPr>
          </w:p>
        </w:tc>
        <w:tc>
          <w:tcPr>
            <w:tcW w:w="280" w:type="dxa"/>
            <w:vAlign w:val="bottom"/>
            <w:tcBorders>
              <w:bottom w:val="single" w:sz="8" w:color="auto"/>
            </w:tcBorders>
          </w:tcPr>
          <w:p>
            <w:pPr>
              <w:spacing w:after="0"/>
              <w:rPr>
                <w:sz w:val="14"/>
                <w:szCs w:val="14"/>
                <w:color w:val="auto"/>
              </w:rPr>
            </w:pPr>
          </w:p>
        </w:tc>
        <w:tc>
          <w:tcPr>
            <w:tcW w:w="1000" w:type="dxa"/>
            <w:vAlign w:val="bottom"/>
            <w:tcBorders>
              <w:bottom w:val="single" w:sz="8" w:color="auto"/>
            </w:tcBorders>
          </w:tcPr>
          <w:p>
            <w:pPr>
              <w:jc w:val="right"/>
              <w:ind w:right="456"/>
              <w:spacing w:after="0"/>
              <w:rPr>
                <w:sz w:val="20"/>
                <w:szCs w:val="20"/>
                <w:color w:val="auto"/>
              </w:rPr>
            </w:pPr>
            <w:r>
              <w:rPr>
                <w:rFonts w:ascii="Arial" w:cs="Arial" w:eastAsia="Arial" w:hAnsi="Arial"/>
                <w:sz w:val="13"/>
                <w:szCs w:val="13"/>
                <w:b w:val="1"/>
                <w:bCs w:val="1"/>
                <w:color w:val="auto"/>
              </w:rPr>
              <w:t>2018</w:t>
            </w:r>
          </w:p>
        </w:tc>
        <w:tc>
          <w:tcPr>
            <w:tcW w:w="220" w:type="dxa"/>
            <w:vAlign w:val="bottom"/>
            <w:tcBorders>
              <w:bottom w:val="single" w:sz="8" w:color="auto"/>
            </w:tcBorders>
          </w:tcPr>
          <w:p>
            <w:pPr>
              <w:spacing w:after="0"/>
              <w:rPr>
                <w:sz w:val="14"/>
                <w:szCs w:val="14"/>
                <w:color w:val="auto"/>
              </w:rPr>
            </w:pPr>
          </w:p>
        </w:tc>
        <w:tc>
          <w:tcPr>
            <w:tcW w:w="500" w:type="dxa"/>
            <w:vAlign w:val="bottom"/>
            <w:tcBorders>
              <w:bottom w:val="single" w:sz="8" w:color="auto"/>
            </w:tcBorders>
          </w:tcPr>
          <w:p>
            <w:pPr>
              <w:spacing w:after="0"/>
              <w:rPr>
                <w:sz w:val="14"/>
                <w:szCs w:val="14"/>
                <w:color w:val="auto"/>
              </w:rPr>
            </w:pPr>
          </w:p>
        </w:tc>
        <w:tc>
          <w:tcPr>
            <w:tcW w:w="780" w:type="dxa"/>
            <w:vAlign w:val="bottom"/>
            <w:tcBorders>
              <w:bottom w:val="single" w:sz="8" w:color="auto"/>
            </w:tcBorders>
          </w:tcPr>
          <w:p>
            <w:pPr>
              <w:jc w:val="right"/>
              <w:ind w:right="456"/>
              <w:spacing w:after="0"/>
              <w:rPr>
                <w:sz w:val="20"/>
                <w:szCs w:val="20"/>
                <w:color w:val="auto"/>
              </w:rPr>
            </w:pPr>
            <w:r>
              <w:rPr>
                <w:rFonts w:ascii="Arial" w:cs="Arial" w:eastAsia="Arial" w:hAnsi="Arial"/>
                <w:sz w:val="13"/>
                <w:szCs w:val="13"/>
                <w:b w:val="1"/>
                <w:bCs w:val="1"/>
                <w:color w:val="auto"/>
                <w:w w:val="82"/>
              </w:rPr>
              <w:t>2017</w:t>
            </w:r>
          </w:p>
        </w:tc>
        <w:tc>
          <w:tcPr>
            <w:tcW w:w="220" w:type="dxa"/>
            <w:vAlign w:val="bottom"/>
            <w:tcBorders>
              <w:bottom w:val="single" w:sz="8" w:color="auto"/>
            </w:tcBorders>
          </w:tcPr>
          <w:p>
            <w:pPr>
              <w:spacing w:after="0"/>
              <w:rPr>
                <w:sz w:val="14"/>
                <w:szCs w:val="14"/>
                <w:color w:val="auto"/>
              </w:rPr>
            </w:pPr>
          </w:p>
        </w:tc>
        <w:tc>
          <w:tcPr>
            <w:tcW w:w="280" w:type="dxa"/>
            <w:vAlign w:val="bottom"/>
            <w:tcBorders>
              <w:bottom w:val="single" w:sz="8" w:color="auto"/>
            </w:tcBorders>
          </w:tcPr>
          <w:p>
            <w:pPr>
              <w:spacing w:after="0"/>
              <w:rPr>
                <w:sz w:val="14"/>
                <w:szCs w:val="14"/>
                <w:color w:val="auto"/>
              </w:rPr>
            </w:pPr>
          </w:p>
        </w:tc>
        <w:tc>
          <w:tcPr>
            <w:tcW w:w="960" w:type="dxa"/>
            <w:vAlign w:val="bottom"/>
            <w:tcBorders>
              <w:bottom w:val="single" w:sz="8" w:color="auto"/>
            </w:tcBorders>
          </w:tcPr>
          <w:p>
            <w:pPr>
              <w:jc w:val="right"/>
              <w:ind w:right="436"/>
              <w:spacing w:after="0"/>
              <w:rPr>
                <w:sz w:val="20"/>
                <w:szCs w:val="20"/>
                <w:color w:val="auto"/>
              </w:rPr>
            </w:pPr>
            <w:r>
              <w:rPr>
                <w:rFonts w:ascii="Arial" w:cs="Arial" w:eastAsia="Arial" w:hAnsi="Arial"/>
                <w:sz w:val="13"/>
                <w:szCs w:val="13"/>
                <w:b w:val="1"/>
                <w:bCs w:val="1"/>
                <w:color w:val="auto"/>
              </w:rPr>
              <w:t>2016</w:t>
            </w: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144"/>
        </w:trPr>
        <w:tc>
          <w:tcPr>
            <w:tcW w:w="71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500" w:type="dxa"/>
            <w:vAlign w:val="bottom"/>
          </w:tcPr>
          <w:p>
            <w:pPr>
              <w:jc w:val="right"/>
              <w:spacing w:after="0" w:line="144" w:lineRule="exact"/>
              <w:rPr>
                <w:sz w:val="20"/>
                <w:szCs w:val="20"/>
                <w:color w:val="auto"/>
              </w:rPr>
            </w:pPr>
            <w:r>
              <w:rPr>
                <w:rFonts w:ascii="Arial" w:cs="Arial" w:eastAsia="Arial" w:hAnsi="Arial"/>
                <w:sz w:val="13"/>
                <w:szCs w:val="13"/>
                <w:b w:val="1"/>
                <w:bCs w:val="1"/>
                <w:color w:val="auto"/>
              </w:rPr>
              <w:t>(in $</w:t>
            </w:r>
          </w:p>
        </w:tc>
        <w:tc>
          <w:tcPr>
            <w:tcW w:w="1000" w:type="dxa"/>
            <w:vAlign w:val="bottom"/>
            <w:gridSpan w:val="2"/>
          </w:tcPr>
          <w:p>
            <w:pPr>
              <w:jc w:val="right"/>
              <w:ind w:right="500"/>
              <w:spacing w:after="0" w:line="144" w:lineRule="exact"/>
              <w:rPr>
                <w:sz w:val="20"/>
                <w:szCs w:val="20"/>
                <w:color w:val="auto"/>
              </w:rPr>
            </w:pPr>
            <w:r>
              <w:rPr>
                <w:rFonts w:ascii="Arial" w:cs="Arial" w:eastAsia="Arial" w:hAnsi="Arial"/>
                <w:sz w:val="13"/>
                <w:szCs w:val="13"/>
                <w:b w:val="1"/>
                <w:bCs w:val="1"/>
                <w:color w:val="auto"/>
                <w:w w:val="89"/>
              </w:rPr>
              <w:t>millions)</w:t>
            </w:r>
          </w:p>
        </w:tc>
        <w:tc>
          <w:tcPr>
            <w:tcW w:w="28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Securities at amortized cost</w:t>
            </w:r>
          </w:p>
        </w:tc>
        <w:tc>
          <w:tcPr>
            <w:tcW w:w="280" w:type="dxa"/>
            <w:vAlign w:val="bottom"/>
            <w:shd w:val="clear" w:color="auto" w:fill="CCEEFF"/>
          </w:tcPr>
          <w:p>
            <w:pPr>
              <w:jc w:val="right"/>
              <w:ind w:right="172"/>
              <w:spacing w:after="0"/>
              <w:rPr>
                <w:sz w:val="20"/>
                <w:szCs w:val="20"/>
                <w:color w:val="auto"/>
              </w:rPr>
            </w:pPr>
            <w:r>
              <w:rPr>
                <w:rFonts w:ascii="Arial" w:cs="Arial" w:eastAsia="Arial" w:hAnsi="Arial"/>
                <w:sz w:val="10"/>
                <w:szCs w:val="10"/>
                <w:color w:val="auto"/>
                <w:w w:val="71"/>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85</w:t>
            </w:r>
          </w:p>
        </w:tc>
        <w:tc>
          <w:tcPr>
            <w:tcW w:w="500" w:type="dxa"/>
            <w:vAlign w:val="bottom"/>
            <w:shd w:val="clear" w:color="auto" w:fill="CCEEFF"/>
          </w:tcPr>
          <w:p>
            <w:pPr>
              <w:jc w:val="right"/>
              <w:ind w:right="385"/>
              <w:spacing w:after="0"/>
              <w:rPr>
                <w:sz w:val="20"/>
                <w:szCs w:val="20"/>
                <w:color w:val="auto"/>
              </w:rPr>
            </w:pPr>
            <w:r>
              <w:rPr>
                <w:rFonts w:ascii="Arial" w:cs="Arial" w:eastAsia="Arial" w:hAnsi="Arial"/>
                <w:sz w:val="10"/>
                <w:szCs w:val="10"/>
                <w:color w:val="auto"/>
                <w:w w:val="71"/>
              </w:rPr>
              <w:t>$</w:t>
            </w: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69</w:t>
            </w:r>
          </w:p>
        </w:tc>
        <w:tc>
          <w:tcPr>
            <w:tcW w:w="280" w:type="dxa"/>
            <w:vAlign w:val="bottom"/>
            <w:shd w:val="clear" w:color="auto" w:fill="CCEEFF"/>
          </w:tcPr>
          <w:p>
            <w:pPr>
              <w:jc w:val="right"/>
              <w:ind w:right="172"/>
              <w:spacing w:after="0"/>
              <w:rPr>
                <w:sz w:val="20"/>
                <w:szCs w:val="20"/>
                <w:color w:val="auto"/>
              </w:rPr>
            </w:pPr>
            <w:r>
              <w:rPr>
                <w:rFonts w:ascii="Arial" w:cs="Arial" w:eastAsia="Arial" w:hAnsi="Arial"/>
                <w:sz w:val="10"/>
                <w:szCs w:val="10"/>
                <w:color w:val="auto"/>
                <w:w w:val="71"/>
              </w:rPr>
              <w:t>$</w:t>
            </w: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78</w:t>
            </w:r>
          </w:p>
        </w:tc>
        <w:tc>
          <w:tcPr>
            <w:tcW w:w="100" w:type="dxa"/>
            <w:vAlign w:val="bottom"/>
            <w:shd w:val="clear" w:color="auto" w:fill="CCEEFF"/>
          </w:tcPr>
          <w:p>
            <w:pPr>
              <w:spacing w:after="0"/>
              <w:rPr>
                <w:sz w:val="13"/>
                <w:szCs w:val="13"/>
                <w:color w:val="auto"/>
              </w:rPr>
            </w:pPr>
          </w:p>
        </w:tc>
      </w:tr>
      <w:tr>
        <w:trPr>
          <w:trHeight w:val="163"/>
        </w:trPr>
        <w:tc>
          <w:tcPr>
            <w:tcW w:w="7120" w:type="dxa"/>
            <w:vAlign w:val="bottom"/>
          </w:tcPr>
          <w:p>
            <w:pPr>
              <w:spacing w:after="0"/>
              <w:rPr>
                <w:sz w:val="20"/>
                <w:szCs w:val="20"/>
                <w:color w:val="auto"/>
              </w:rPr>
            </w:pPr>
            <w:r>
              <w:rPr>
                <w:rFonts w:ascii="Arial" w:cs="Arial" w:eastAsia="Arial" w:hAnsi="Arial"/>
                <w:sz w:val="13"/>
                <w:szCs w:val="13"/>
                <w:color w:val="auto"/>
              </w:rPr>
              <w:t>Securities at FVOCI</w:t>
            </w:r>
          </w:p>
        </w:tc>
        <w:tc>
          <w:tcPr>
            <w:tcW w:w="280" w:type="dxa"/>
            <w:vAlign w:val="bottom"/>
          </w:tcPr>
          <w:p>
            <w:pPr>
              <w:spacing w:after="0"/>
              <w:rPr>
                <w:sz w:val="14"/>
                <w:szCs w:val="14"/>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22</w:t>
            </w:r>
          </w:p>
        </w:tc>
        <w:tc>
          <w:tcPr>
            <w:tcW w:w="500" w:type="dxa"/>
            <w:vAlign w:val="bottom"/>
          </w:tcPr>
          <w:p>
            <w:pPr>
              <w:spacing w:after="0"/>
              <w:rPr>
                <w:sz w:val="14"/>
                <w:szCs w:val="14"/>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17</w:t>
            </w:r>
          </w:p>
        </w:tc>
        <w:tc>
          <w:tcPr>
            <w:tcW w:w="280" w:type="dxa"/>
            <w:vAlign w:val="bottom"/>
          </w:tcPr>
          <w:p>
            <w:pPr>
              <w:spacing w:after="0"/>
              <w:rPr>
                <w:sz w:val="14"/>
                <w:szCs w:val="14"/>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3"/>
                <w:szCs w:val="13"/>
                <w:color w:val="auto"/>
              </w:rPr>
              <w:t>30</w:t>
            </w:r>
          </w:p>
        </w:tc>
        <w:tc>
          <w:tcPr>
            <w:tcW w:w="100" w:type="dxa"/>
            <w:vAlign w:val="bottom"/>
          </w:tcPr>
          <w:p>
            <w:pPr>
              <w:spacing w:after="0"/>
              <w:rPr>
                <w:sz w:val="14"/>
                <w:szCs w:val="14"/>
                <w:color w:val="auto"/>
              </w:rPr>
            </w:pPr>
          </w:p>
        </w:tc>
      </w:tr>
      <w:tr>
        <w:trPr>
          <w:trHeight w:val="174"/>
        </w:trPr>
        <w:tc>
          <w:tcPr>
            <w:tcW w:w="7120" w:type="dxa"/>
            <w:vAlign w:val="bottom"/>
            <w:tcBorders>
              <w:top w:val="single" w:sz="8" w:color="CCEEFF"/>
              <w:bottom w:val="single" w:sz="8" w:color="CCEEFF"/>
            </w:tcBorders>
            <w:shd w:val="clear" w:color="auto" w:fill="CCEEFF"/>
          </w:tcPr>
          <w:p>
            <w:pPr>
              <w:spacing w:after="0" w:line="147" w:lineRule="exact"/>
              <w:rPr>
                <w:sz w:val="20"/>
                <w:szCs w:val="20"/>
                <w:color w:val="auto"/>
              </w:rPr>
            </w:pPr>
            <w:r>
              <w:rPr>
                <w:rFonts w:ascii="Arial" w:cs="Arial" w:eastAsia="Arial" w:hAnsi="Arial"/>
                <w:sz w:val="13"/>
                <w:szCs w:val="13"/>
                <w:b w:val="1"/>
                <w:bCs w:val="1"/>
                <w:color w:val="auto"/>
              </w:rPr>
              <w:t>Investment Portfolio</w:t>
            </w:r>
          </w:p>
        </w:tc>
        <w:tc>
          <w:tcPr>
            <w:tcW w:w="280" w:type="dxa"/>
            <w:vAlign w:val="bottom"/>
            <w:tcBorders>
              <w:top w:val="single" w:sz="8" w:color="auto"/>
              <w:bottom w:val="single" w:sz="8" w:color="auto"/>
            </w:tcBorders>
            <w:shd w:val="clear" w:color="auto" w:fill="CCEEFF"/>
          </w:tcPr>
          <w:p>
            <w:pPr>
              <w:jc w:val="right"/>
              <w:ind w:right="172"/>
              <w:spacing w:after="0"/>
              <w:rPr>
                <w:sz w:val="20"/>
                <w:szCs w:val="20"/>
                <w:color w:val="auto"/>
              </w:rPr>
            </w:pPr>
            <w:r>
              <w:rPr>
                <w:rFonts w:ascii="Arial" w:cs="Arial" w:eastAsia="Arial" w:hAnsi="Arial"/>
                <w:sz w:val="10"/>
                <w:szCs w:val="10"/>
                <w:b w:val="1"/>
                <w:bCs w:val="1"/>
                <w:color w:val="auto"/>
                <w:w w:val="71"/>
              </w:rPr>
              <w:t>$</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107</w:t>
            </w:r>
          </w:p>
        </w:tc>
        <w:tc>
          <w:tcPr>
            <w:tcW w:w="220" w:type="dxa"/>
            <w:vAlign w:val="bottom"/>
            <w:tcBorders>
              <w:top w:val="single" w:sz="8" w:color="CCEEFF"/>
              <w:bottom w:val="single" w:sz="8" w:color="CCEEFF"/>
            </w:tcBorders>
            <w:shd w:val="clear" w:color="auto" w:fill="CCEEFF"/>
          </w:tcPr>
          <w:p>
            <w:pPr>
              <w:spacing w:after="0"/>
              <w:rPr>
                <w:sz w:val="15"/>
                <w:szCs w:val="15"/>
                <w:color w:val="auto"/>
              </w:rPr>
            </w:pPr>
          </w:p>
        </w:tc>
        <w:tc>
          <w:tcPr>
            <w:tcW w:w="500" w:type="dxa"/>
            <w:vAlign w:val="bottom"/>
            <w:tcBorders>
              <w:top w:val="single" w:sz="8" w:color="auto"/>
              <w:bottom w:val="single" w:sz="8" w:color="auto"/>
            </w:tcBorders>
            <w:shd w:val="clear" w:color="auto" w:fill="CCEEFF"/>
          </w:tcPr>
          <w:p>
            <w:pPr>
              <w:jc w:val="right"/>
              <w:ind w:right="385"/>
              <w:spacing w:after="0"/>
              <w:rPr>
                <w:sz w:val="20"/>
                <w:szCs w:val="20"/>
                <w:color w:val="auto"/>
              </w:rPr>
            </w:pPr>
            <w:r>
              <w:rPr>
                <w:rFonts w:ascii="Arial" w:cs="Arial" w:eastAsia="Arial" w:hAnsi="Arial"/>
                <w:sz w:val="10"/>
                <w:szCs w:val="10"/>
                <w:b w:val="1"/>
                <w:bCs w:val="1"/>
                <w:color w:val="auto"/>
                <w:w w:val="71"/>
              </w:rPr>
              <w:t>$</w:t>
            </w: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86</w:t>
            </w:r>
          </w:p>
        </w:tc>
        <w:tc>
          <w:tcPr>
            <w:tcW w:w="220" w:type="dxa"/>
            <w:vAlign w:val="bottom"/>
            <w:tcBorders>
              <w:top w:val="single" w:sz="8" w:color="CCEEFF"/>
              <w:bottom w:val="single" w:sz="8" w:color="CCEEFF"/>
            </w:tcBorders>
            <w:shd w:val="clear" w:color="auto" w:fill="CCEEFF"/>
          </w:tcPr>
          <w:p>
            <w:pPr>
              <w:spacing w:after="0"/>
              <w:rPr>
                <w:sz w:val="15"/>
                <w:szCs w:val="15"/>
                <w:color w:val="auto"/>
              </w:rPr>
            </w:pPr>
          </w:p>
        </w:tc>
        <w:tc>
          <w:tcPr>
            <w:tcW w:w="280" w:type="dxa"/>
            <w:vAlign w:val="bottom"/>
            <w:tcBorders>
              <w:top w:val="single" w:sz="8" w:color="auto"/>
              <w:bottom w:val="single" w:sz="8" w:color="auto"/>
            </w:tcBorders>
            <w:shd w:val="clear" w:color="auto" w:fill="CCEEFF"/>
          </w:tcPr>
          <w:p>
            <w:pPr>
              <w:jc w:val="right"/>
              <w:ind w:right="172"/>
              <w:spacing w:after="0"/>
              <w:rPr>
                <w:sz w:val="20"/>
                <w:szCs w:val="20"/>
                <w:color w:val="auto"/>
              </w:rPr>
            </w:pPr>
            <w:r>
              <w:rPr>
                <w:rFonts w:ascii="Arial" w:cs="Arial" w:eastAsia="Arial" w:hAnsi="Arial"/>
                <w:sz w:val="10"/>
                <w:szCs w:val="10"/>
                <w:b w:val="1"/>
                <w:bCs w:val="1"/>
                <w:color w:val="auto"/>
                <w:w w:val="71"/>
              </w:rPr>
              <w:t>$</w:t>
            </w: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108</w:t>
            </w:r>
          </w:p>
        </w:tc>
        <w:tc>
          <w:tcPr>
            <w:tcW w:w="20" w:type="dxa"/>
            <w:vAlign w:val="bottom"/>
            <w:tcBorders>
              <w:top w:val="single" w:sz="8" w:color="CCEEFF"/>
              <w:bottom w:val="single" w:sz="8" w:color="CCEEFF"/>
            </w:tcBorders>
            <w:shd w:val="clear" w:color="auto" w:fill="CCEEFF"/>
          </w:tcPr>
          <w:p>
            <w:pPr>
              <w:spacing w:after="0"/>
              <w:rPr>
                <w:sz w:val="15"/>
                <w:szCs w:val="15"/>
                <w:color w:val="auto"/>
              </w:rPr>
            </w:pPr>
          </w:p>
        </w:tc>
        <w:tc>
          <w:tcPr>
            <w:tcW w:w="100" w:type="dxa"/>
            <w:vAlign w:val="bottom"/>
            <w:tcBorders>
              <w:top w:val="single" w:sz="8" w:color="CCEEFF"/>
              <w:bottom w:val="single" w:sz="8" w:color="CCEEFF"/>
            </w:tcBorders>
            <w:shd w:val="clear" w:color="auto" w:fill="CCEEFF"/>
          </w:tcPr>
          <w:p>
            <w:pPr>
              <w:spacing w:after="0"/>
              <w:rPr>
                <w:sz w:val="15"/>
                <w:szCs w:val="15"/>
                <w:color w:val="auto"/>
              </w:rPr>
            </w:pPr>
          </w:p>
        </w:tc>
      </w:tr>
      <w:tr>
        <w:trPr>
          <w:trHeight w:val="143"/>
        </w:trPr>
        <w:tc>
          <w:tcPr>
            <w:tcW w:w="7120" w:type="dxa"/>
            <w:vAlign w:val="bottom"/>
          </w:tcPr>
          <w:p>
            <w:pPr>
              <w:spacing w:after="0" w:line="143" w:lineRule="exact"/>
              <w:rPr>
                <w:sz w:val="20"/>
                <w:szCs w:val="20"/>
                <w:color w:val="auto"/>
              </w:rPr>
            </w:pPr>
            <w:r>
              <w:rPr>
                <w:rFonts w:ascii="Arial" w:cs="Arial" w:eastAsia="Arial" w:hAnsi="Arial"/>
                <w:sz w:val="13"/>
                <w:szCs w:val="13"/>
                <w:color w:val="auto"/>
              </w:rPr>
              <w:t>Equity instrument at FVOCI</w:t>
            </w:r>
          </w:p>
        </w:tc>
        <w:tc>
          <w:tcPr>
            <w:tcW w:w="280" w:type="dxa"/>
            <w:vAlign w:val="bottom"/>
          </w:tcPr>
          <w:p>
            <w:pPr>
              <w:spacing w:after="0"/>
              <w:rPr>
                <w:sz w:val="12"/>
                <w:szCs w:val="12"/>
                <w:color w:val="auto"/>
              </w:rPr>
            </w:pPr>
          </w:p>
        </w:tc>
        <w:tc>
          <w:tcPr>
            <w:tcW w:w="1000" w:type="dxa"/>
            <w:vAlign w:val="bottom"/>
          </w:tcPr>
          <w:p>
            <w:pPr>
              <w:jc w:val="right"/>
              <w:spacing w:after="0" w:line="143" w:lineRule="exact"/>
              <w:rPr>
                <w:sz w:val="20"/>
                <w:szCs w:val="20"/>
                <w:color w:val="auto"/>
              </w:rPr>
            </w:pPr>
            <w:r>
              <w:rPr>
                <w:rFonts w:ascii="Arial" w:cs="Arial" w:eastAsia="Arial" w:hAnsi="Arial"/>
                <w:sz w:val="13"/>
                <w:szCs w:val="13"/>
                <w:color w:val="auto"/>
              </w:rPr>
              <w:t>6</w:t>
            </w:r>
          </w:p>
        </w:tc>
        <w:tc>
          <w:tcPr>
            <w:tcW w:w="22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780" w:type="dxa"/>
            <w:vAlign w:val="bottom"/>
          </w:tcPr>
          <w:p>
            <w:pPr>
              <w:jc w:val="right"/>
              <w:spacing w:after="0" w:line="143" w:lineRule="exact"/>
              <w:rPr>
                <w:sz w:val="20"/>
                <w:szCs w:val="20"/>
                <w:color w:val="auto"/>
              </w:rPr>
            </w:pPr>
            <w:r>
              <w:rPr>
                <w:rFonts w:ascii="Arial" w:cs="Arial" w:eastAsia="Arial" w:hAnsi="Arial"/>
                <w:sz w:val="13"/>
                <w:szCs w:val="13"/>
                <w:color w:val="auto"/>
              </w:rPr>
              <w:t>8</w:t>
            </w:r>
          </w:p>
        </w:tc>
        <w:tc>
          <w:tcPr>
            <w:tcW w:w="2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960" w:type="dxa"/>
            <w:vAlign w:val="bottom"/>
          </w:tcPr>
          <w:p>
            <w:pPr>
              <w:jc w:val="right"/>
              <w:spacing w:after="0" w:line="143" w:lineRule="exact"/>
              <w:rPr>
                <w:sz w:val="20"/>
                <w:szCs w:val="20"/>
                <w:color w:val="auto"/>
              </w:rPr>
            </w:pPr>
            <w:r>
              <w:rPr>
                <w:rFonts w:ascii="Arial" w:cs="Arial" w:eastAsia="Arial" w:hAnsi="Arial"/>
                <w:sz w:val="13"/>
                <w:szCs w:val="13"/>
                <w:color w:val="auto"/>
              </w:rPr>
              <w:t>0</w:t>
            </w: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Financial instrument at fair value through profit and loss (debentures)</w:t>
            </w: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9</w:t>
            </w:r>
          </w:p>
        </w:tc>
        <w:tc>
          <w:tcPr>
            <w:tcW w:w="50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28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w:t>
            </w:r>
          </w:p>
        </w:tc>
        <w:tc>
          <w:tcPr>
            <w:tcW w:w="100" w:type="dxa"/>
            <w:vAlign w:val="bottom"/>
            <w:shd w:val="clear" w:color="auto" w:fill="CCEEFF"/>
          </w:tcPr>
          <w:p>
            <w:pPr>
              <w:spacing w:after="0"/>
              <w:rPr>
                <w:sz w:val="13"/>
                <w:szCs w:val="13"/>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Interest receivable</w:t>
            </w:r>
          </w:p>
        </w:tc>
        <w:tc>
          <w:tcPr>
            <w:tcW w:w="280" w:type="dxa"/>
            <w:vAlign w:val="bottom"/>
          </w:tcPr>
          <w:p>
            <w:pPr>
              <w:spacing w:after="0"/>
              <w:rPr>
                <w:sz w:val="13"/>
                <w:szCs w:val="13"/>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2</w:t>
            </w:r>
          </w:p>
        </w:tc>
        <w:tc>
          <w:tcPr>
            <w:tcW w:w="500" w:type="dxa"/>
            <w:vAlign w:val="bottom"/>
          </w:tcPr>
          <w:p>
            <w:pPr>
              <w:spacing w:after="0"/>
              <w:rPr>
                <w:sz w:val="13"/>
                <w:szCs w:val="13"/>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1</w:t>
            </w:r>
          </w:p>
        </w:tc>
        <w:tc>
          <w:tcPr>
            <w:tcW w:w="280" w:type="dxa"/>
            <w:vAlign w:val="bottom"/>
          </w:tcPr>
          <w:p>
            <w:pPr>
              <w:spacing w:after="0"/>
              <w:rPr>
                <w:sz w:val="13"/>
                <w:szCs w:val="13"/>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3"/>
                <w:szCs w:val="13"/>
                <w:color w:val="auto"/>
              </w:rPr>
              <w:t>2</w:t>
            </w:r>
          </w:p>
        </w:tc>
        <w:tc>
          <w:tcPr>
            <w:tcW w:w="100" w:type="dxa"/>
            <w:vAlign w:val="bottom"/>
          </w:tcPr>
          <w:p>
            <w:pPr>
              <w:spacing w:after="0"/>
              <w:rPr>
                <w:sz w:val="13"/>
                <w:szCs w:val="13"/>
                <w:color w:val="auto"/>
              </w:rPr>
            </w:pPr>
          </w:p>
        </w:tc>
      </w:tr>
      <w:tr>
        <w:trPr>
          <w:trHeight w:val="16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Reserves</w:t>
            </w:r>
          </w:p>
        </w:tc>
        <w:tc>
          <w:tcPr>
            <w:tcW w:w="280" w:type="dxa"/>
            <w:vAlign w:val="bottom"/>
            <w:shd w:val="clear" w:color="auto" w:fill="CCEEFF"/>
          </w:tcPr>
          <w:p>
            <w:pPr>
              <w:spacing w:after="0"/>
              <w:rPr>
                <w:sz w:val="14"/>
                <w:szCs w:val="14"/>
                <w:color w:val="auto"/>
              </w:rPr>
            </w:pPr>
          </w:p>
        </w:tc>
        <w:tc>
          <w:tcPr>
            <w:tcW w:w="12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(0)</w:t>
            </w:r>
          </w:p>
        </w:tc>
        <w:tc>
          <w:tcPr>
            <w:tcW w:w="500" w:type="dxa"/>
            <w:vAlign w:val="bottom"/>
            <w:shd w:val="clear" w:color="auto" w:fill="CCEEFF"/>
          </w:tcPr>
          <w:p>
            <w:pPr>
              <w:spacing w:after="0"/>
              <w:rPr>
                <w:sz w:val="14"/>
                <w:szCs w:val="14"/>
                <w:color w:val="auto"/>
              </w:rPr>
            </w:pPr>
          </w:p>
        </w:tc>
        <w:tc>
          <w:tcPr>
            <w:tcW w:w="10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(0)</w:t>
            </w:r>
          </w:p>
        </w:tc>
        <w:tc>
          <w:tcPr>
            <w:tcW w:w="280" w:type="dxa"/>
            <w:vAlign w:val="bottom"/>
            <w:shd w:val="clear" w:color="auto" w:fill="CCEEFF"/>
          </w:tcPr>
          <w:p>
            <w:pPr>
              <w:spacing w:after="0"/>
              <w:rPr>
                <w:sz w:val="14"/>
                <w:szCs w:val="14"/>
                <w:color w:val="auto"/>
              </w:rPr>
            </w:pPr>
          </w:p>
        </w:tc>
        <w:tc>
          <w:tcPr>
            <w:tcW w:w="108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(1)</w:t>
            </w:r>
          </w:p>
        </w:tc>
      </w:tr>
      <w:tr>
        <w:trPr>
          <w:trHeight w:val="162"/>
        </w:trPr>
        <w:tc>
          <w:tcPr>
            <w:tcW w:w="7120" w:type="dxa"/>
            <w:vAlign w:val="bottom"/>
          </w:tcPr>
          <w:p>
            <w:pPr>
              <w:spacing w:after="0" w:line="146" w:lineRule="exact"/>
              <w:rPr>
                <w:sz w:val="20"/>
                <w:szCs w:val="20"/>
                <w:color w:val="auto"/>
              </w:rPr>
            </w:pPr>
            <w:r>
              <w:rPr>
                <w:rFonts w:ascii="Arial" w:cs="Arial" w:eastAsia="Arial" w:hAnsi="Arial"/>
                <w:sz w:val="13"/>
                <w:szCs w:val="13"/>
                <w:b w:val="1"/>
                <w:bCs w:val="1"/>
                <w:color w:val="auto"/>
              </w:rPr>
              <w:t>Total securities and other financial assets, net</w:t>
            </w:r>
          </w:p>
        </w:tc>
        <w:tc>
          <w:tcPr>
            <w:tcW w:w="280" w:type="dxa"/>
            <w:vAlign w:val="bottom"/>
            <w:tcBorders>
              <w:top w:val="single" w:sz="8" w:color="auto"/>
              <w:bottom w:val="single" w:sz="8" w:color="auto"/>
            </w:tcBorders>
          </w:tcPr>
          <w:p>
            <w:pPr>
              <w:jc w:val="right"/>
              <w:ind w:right="172"/>
              <w:spacing w:after="0"/>
              <w:rPr>
                <w:sz w:val="20"/>
                <w:szCs w:val="20"/>
                <w:color w:val="auto"/>
              </w:rPr>
            </w:pPr>
            <w:r>
              <w:rPr>
                <w:rFonts w:ascii="Arial" w:cs="Arial" w:eastAsia="Arial" w:hAnsi="Arial"/>
                <w:sz w:val="10"/>
                <w:szCs w:val="10"/>
                <w:b w:val="1"/>
                <w:bCs w:val="1"/>
                <w:color w:val="auto"/>
                <w:w w:val="71"/>
              </w:rPr>
              <w:t>$</w:t>
            </w: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124</w:t>
            </w:r>
          </w:p>
        </w:tc>
        <w:tc>
          <w:tcPr>
            <w:tcW w:w="220" w:type="dxa"/>
            <w:vAlign w:val="bottom"/>
          </w:tcPr>
          <w:p>
            <w:pPr>
              <w:spacing w:after="0"/>
              <w:rPr>
                <w:sz w:val="14"/>
                <w:szCs w:val="14"/>
                <w:color w:val="auto"/>
              </w:rPr>
            </w:pPr>
          </w:p>
        </w:tc>
        <w:tc>
          <w:tcPr>
            <w:tcW w:w="500" w:type="dxa"/>
            <w:vAlign w:val="bottom"/>
            <w:tcBorders>
              <w:top w:val="single" w:sz="8" w:color="auto"/>
              <w:bottom w:val="single" w:sz="8" w:color="auto"/>
            </w:tcBorders>
          </w:tcPr>
          <w:p>
            <w:pPr>
              <w:jc w:val="right"/>
              <w:ind w:right="385"/>
              <w:spacing w:after="0"/>
              <w:rPr>
                <w:sz w:val="20"/>
                <w:szCs w:val="20"/>
                <w:color w:val="auto"/>
              </w:rPr>
            </w:pPr>
            <w:r>
              <w:rPr>
                <w:rFonts w:ascii="Arial" w:cs="Arial" w:eastAsia="Arial" w:hAnsi="Arial"/>
                <w:sz w:val="10"/>
                <w:szCs w:val="10"/>
                <w:b w:val="1"/>
                <w:bCs w:val="1"/>
                <w:color w:val="auto"/>
                <w:w w:val="71"/>
              </w:rPr>
              <w:t>$</w:t>
            </w: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95</w:t>
            </w:r>
          </w:p>
        </w:tc>
        <w:tc>
          <w:tcPr>
            <w:tcW w:w="220" w:type="dxa"/>
            <w:vAlign w:val="bottom"/>
          </w:tcPr>
          <w:p>
            <w:pPr>
              <w:spacing w:after="0"/>
              <w:rPr>
                <w:sz w:val="14"/>
                <w:szCs w:val="14"/>
                <w:color w:val="auto"/>
              </w:rPr>
            </w:pPr>
          </w:p>
        </w:tc>
        <w:tc>
          <w:tcPr>
            <w:tcW w:w="280" w:type="dxa"/>
            <w:vAlign w:val="bottom"/>
            <w:tcBorders>
              <w:top w:val="single" w:sz="8" w:color="auto"/>
              <w:bottom w:val="single" w:sz="8" w:color="auto"/>
            </w:tcBorders>
          </w:tcPr>
          <w:p>
            <w:pPr>
              <w:jc w:val="right"/>
              <w:ind w:right="172"/>
              <w:spacing w:after="0"/>
              <w:rPr>
                <w:sz w:val="20"/>
                <w:szCs w:val="20"/>
                <w:color w:val="auto"/>
              </w:rPr>
            </w:pPr>
            <w:r>
              <w:rPr>
                <w:rFonts w:ascii="Arial" w:cs="Arial" w:eastAsia="Arial" w:hAnsi="Arial"/>
                <w:sz w:val="10"/>
                <w:szCs w:val="10"/>
                <w:b w:val="1"/>
                <w:bCs w:val="1"/>
                <w:color w:val="auto"/>
                <w:w w:val="71"/>
              </w:rPr>
              <w:t>$</w:t>
            </w: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109</w:t>
            </w:r>
          </w:p>
        </w:tc>
        <w:tc>
          <w:tcPr>
            <w:tcW w:w="2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bl>
    <w:p>
      <w:pPr>
        <w:spacing w:after="0" w:line="145" w:lineRule="exact"/>
        <w:rPr>
          <w:sz w:val="20"/>
          <w:szCs w:val="20"/>
          <w:color w:val="auto"/>
        </w:rPr>
      </w:pPr>
    </w:p>
    <w:p>
      <w:pPr>
        <w:spacing w:after="0"/>
        <w:rPr>
          <w:sz w:val="20"/>
          <w:szCs w:val="20"/>
          <w:color w:val="auto"/>
        </w:rPr>
      </w:pPr>
      <w:r>
        <w:rPr>
          <w:rFonts w:ascii="Arial" w:cs="Arial" w:eastAsia="Arial" w:hAnsi="Arial"/>
          <w:sz w:val="12"/>
          <w:szCs w:val="12"/>
          <w:color w:val="auto"/>
        </w:rPr>
        <w:t>During the periods under review herein, the Bank did not hold instruments in obligations of the U.S. Treasury or other U.S. Government agencies or corporations, or in states of the U.S. or their municipalities.</w:t>
      </w:r>
    </w:p>
    <w:p>
      <w:pPr>
        <w:spacing w:after="0" w:line="170" w:lineRule="exact"/>
        <w:rPr>
          <w:sz w:val="20"/>
          <w:szCs w:val="20"/>
          <w:color w:val="auto"/>
        </w:rPr>
      </w:pPr>
    </w:p>
    <w:p>
      <w:pPr>
        <w:spacing w:after="0"/>
        <w:rPr>
          <w:sz w:val="20"/>
          <w:szCs w:val="20"/>
          <w:color w:val="auto"/>
        </w:rPr>
      </w:pPr>
      <w:r>
        <w:rPr>
          <w:rFonts w:ascii="Arial" w:cs="Arial" w:eastAsia="Arial" w:hAnsi="Arial"/>
          <w:sz w:val="13"/>
          <w:szCs w:val="13"/>
          <w:color w:val="auto"/>
        </w:rPr>
        <w:t>The following tables set forth the distribution of the Bank’s Investment Portfolio, presented in principal amounts, by country risk, type of borrower and contractual maturity, as of the dates indicated:</w:t>
      </w:r>
    </w:p>
    <w:p>
      <w:pPr>
        <w:spacing w:after="0" w:line="164"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350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1560" w:type="dxa"/>
            <w:vAlign w:val="bottom"/>
            <w:tcBorders>
              <w:bottom w:val="single" w:sz="8" w:color="auto"/>
            </w:tcBorders>
            <w:gridSpan w:val="3"/>
          </w:tcPr>
          <w:p>
            <w:pPr>
              <w:jc w:val="center"/>
              <w:ind w:left="356"/>
              <w:spacing w:after="0"/>
              <w:rPr>
                <w:sz w:val="20"/>
                <w:szCs w:val="20"/>
                <w:color w:val="auto"/>
              </w:rPr>
            </w:pPr>
            <w:r>
              <w:rPr>
                <w:rFonts w:ascii="Arial" w:cs="Arial" w:eastAsia="Arial" w:hAnsi="Arial"/>
                <w:sz w:val="13"/>
                <w:szCs w:val="13"/>
                <w:b w:val="1"/>
                <w:bCs w:val="1"/>
                <w:color w:val="auto"/>
                <w:w w:val="87"/>
              </w:rPr>
              <w:t>As of December 31,</w:t>
            </w:r>
          </w:p>
        </w:tc>
        <w:tc>
          <w:tcPr>
            <w:tcW w:w="6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78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154"/>
        </w:trPr>
        <w:tc>
          <w:tcPr>
            <w:tcW w:w="3500" w:type="dxa"/>
            <w:vAlign w:val="bottom"/>
          </w:tcPr>
          <w:p>
            <w:pPr>
              <w:spacing w:after="0"/>
              <w:rPr>
                <w:sz w:val="13"/>
                <w:szCs w:val="13"/>
                <w:color w:val="auto"/>
              </w:rPr>
            </w:pPr>
          </w:p>
        </w:tc>
        <w:tc>
          <w:tcPr>
            <w:tcW w:w="520" w:type="dxa"/>
            <w:vAlign w:val="bottom"/>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1320" w:type="dxa"/>
            <w:vAlign w:val="bottom"/>
            <w:tcBorders>
              <w:bottom w:val="single" w:sz="8" w:color="auto"/>
            </w:tcBorders>
            <w:gridSpan w:val="3"/>
          </w:tcPr>
          <w:p>
            <w:pPr>
              <w:jc w:val="right"/>
              <w:ind w:right="220"/>
              <w:spacing w:after="0"/>
              <w:rPr>
                <w:sz w:val="20"/>
                <w:szCs w:val="20"/>
                <w:color w:val="auto"/>
              </w:rPr>
            </w:pPr>
            <w:r>
              <w:rPr>
                <w:rFonts w:ascii="Arial" w:cs="Arial" w:eastAsia="Arial" w:hAnsi="Arial"/>
                <w:sz w:val="13"/>
                <w:szCs w:val="13"/>
                <w:b w:val="1"/>
                <w:bCs w:val="1"/>
                <w:color w:val="auto"/>
              </w:rPr>
              <w:t>2018</w:t>
            </w:r>
          </w:p>
        </w:tc>
        <w:tc>
          <w:tcPr>
            <w:tcW w:w="82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1560" w:type="dxa"/>
            <w:vAlign w:val="bottom"/>
            <w:tcBorders>
              <w:bottom w:val="single" w:sz="8" w:color="auto"/>
            </w:tcBorders>
            <w:gridSpan w:val="3"/>
          </w:tcPr>
          <w:p>
            <w:pPr>
              <w:jc w:val="right"/>
              <w:ind w:right="420"/>
              <w:spacing w:after="0"/>
              <w:rPr>
                <w:sz w:val="20"/>
                <w:szCs w:val="20"/>
                <w:color w:val="auto"/>
              </w:rPr>
            </w:pPr>
            <w:r>
              <w:rPr>
                <w:rFonts w:ascii="Arial" w:cs="Arial" w:eastAsia="Arial" w:hAnsi="Arial"/>
                <w:sz w:val="13"/>
                <w:szCs w:val="13"/>
                <w:b w:val="1"/>
                <w:bCs w:val="1"/>
                <w:color w:val="auto"/>
              </w:rPr>
              <w:t>2017</w:t>
            </w:r>
          </w:p>
        </w:tc>
        <w:tc>
          <w:tcPr>
            <w:tcW w:w="62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1300" w:type="dxa"/>
            <w:vAlign w:val="bottom"/>
            <w:tcBorders>
              <w:bottom w:val="single" w:sz="8" w:color="auto"/>
            </w:tcBorders>
            <w:gridSpan w:val="3"/>
          </w:tcPr>
          <w:p>
            <w:pPr>
              <w:jc w:val="right"/>
              <w:ind w:right="220"/>
              <w:spacing w:after="0"/>
              <w:rPr>
                <w:sz w:val="20"/>
                <w:szCs w:val="20"/>
                <w:color w:val="auto"/>
              </w:rPr>
            </w:pPr>
            <w:r>
              <w:rPr>
                <w:rFonts w:ascii="Arial" w:cs="Arial" w:eastAsia="Arial" w:hAnsi="Arial"/>
                <w:sz w:val="13"/>
                <w:szCs w:val="13"/>
                <w:b w:val="1"/>
                <w:bCs w:val="1"/>
                <w:color w:val="auto"/>
              </w:rPr>
              <w:t>2016</w:t>
            </w:r>
          </w:p>
        </w:tc>
        <w:tc>
          <w:tcPr>
            <w:tcW w:w="780" w:type="dxa"/>
            <w:vAlign w:val="bottom"/>
            <w:tcBorders>
              <w:bottom w:val="single" w:sz="8" w:color="auto"/>
            </w:tcBorders>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3"/>
        </w:trPr>
        <w:tc>
          <w:tcPr>
            <w:tcW w:w="3500" w:type="dxa"/>
            <w:vAlign w:val="bottom"/>
          </w:tcPr>
          <w:p>
            <w:pPr>
              <w:spacing w:after="0"/>
              <w:rPr>
                <w:sz w:val="13"/>
                <w:szCs w:val="13"/>
                <w:color w:val="auto"/>
              </w:rPr>
            </w:pPr>
          </w:p>
        </w:tc>
        <w:tc>
          <w:tcPr>
            <w:tcW w:w="520" w:type="dxa"/>
            <w:vAlign w:val="bottom"/>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1320" w:type="dxa"/>
            <w:vAlign w:val="bottom"/>
            <w:tcBorders>
              <w:bottom w:val="single" w:sz="8" w:color="auto"/>
            </w:tcBorders>
            <w:gridSpan w:val="3"/>
          </w:tcPr>
          <w:p>
            <w:pPr>
              <w:jc w:val="right"/>
              <w:ind w:right="760"/>
              <w:spacing w:after="0"/>
              <w:rPr>
                <w:sz w:val="20"/>
                <w:szCs w:val="20"/>
                <w:color w:val="auto"/>
              </w:rPr>
            </w:pPr>
            <w:r>
              <w:rPr>
                <w:rFonts w:ascii="Arial" w:cs="Arial" w:eastAsia="Arial" w:hAnsi="Arial"/>
                <w:sz w:val="13"/>
                <w:szCs w:val="13"/>
                <w:b w:val="1"/>
                <w:bCs w:val="1"/>
                <w:color w:val="auto"/>
              </w:rPr>
              <w:t>Amount</w:t>
            </w:r>
          </w:p>
        </w:tc>
        <w:tc>
          <w:tcPr>
            <w:tcW w:w="820" w:type="dxa"/>
            <w:vAlign w:val="bottom"/>
            <w:tcBorders>
              <w:bottom w:val="single" w:sz="8" w:color="auto"/>
            </w:tcBorders>
          </w:tcPr>
          <w:p>
            <w:pPr>
              <w:jc w:val="right"/>
              <w:ind w:right="396"/>
              <w:spacing w:after="0"/>
              <w:rPr>
                <w:sz w:val="20"/>
                <w:szCs w:val="20"/>
                <w:color w:val="auto"/>
              </w:rPr>
            </w:pPr>
            <w:r>
              <w:rPr>
                <w:rFonts w:ascii="Arial" w:cs="Arial" w:eastAsia="Arial" w:hAnsi="Arial"/>
                <w:sz w:val="13"/>
                <w:szCs w:val="13"/>
                <w:b w:val="1"/>
                <w:bCs w:val="1"/>
                <w:color w:val="auto"/>
              </w:rPr>
              <w:t>%</w:t>
            </w:r>
          </w:p>
        </w:tc>
        <w:tc>
          <w:tcPr>
            <w:tcW w:w="10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1560" w:type="dxa"/>
            <w:vAlign w:val="bottom"/>
            <w:tcBorders>
              <w:bottom w:val="single" w:sz="8" w:color="auto"/>
            </w:tcBorders>
            <w:gridSpan w:val="3"/>
          </w:tcPr>
          <w:p>
            <w:pPr>
              <w:jc w:val="right"/>
              <w:ind w:right="960"/>
              <w:spacing w:after="0"/>
              <w:rPr>
                <w:sz w:val="20"/>
                <w:szCs w:val="20"/>
                <w:color w:val="auto"/>
              </w:rPr>
            </w:pPr>
            <w:r>
              <w:rPr>
                <w:rFonts w:ascii="Arial" w:cs="Arial" w:eastAsia="Arial" w:hAnsi="Arial"/>
                <w:sz w:val="13"/>
                <w:szCs w:val="13"/>
                <w:b w:val="1"/>
                <w:bCs w:val="1"/>
                <w:color w:val="auto"/>
              </w:rPr>
              <w:t>Amount</w:t>
            </w:r>
          </w:p>
        </w:tc>
        <w:tc>
          <w:tcPr>
            <w:tcW w:w="620" w:type="dxa"/>
            <w:vAlign w:val="bottom"/>
            <w:tcBorders>
              <w:bottom w:val="single" w:sz="8" w:color="auto"/>
            </w:tcBorders>
          </w:tcPr>
          <w:p>
            <w:pPr>
              <w:jc w:val="right"/>
              <w:ind w:right="396"/>
              <w:spacing w:after="0"/>
              <w:rPr>
                <w:sz w:val="20"/>
                <w:szCs w:val="20"/>
                <w:color w:val="auto"/>
              </w:rPr>
            </w:pPr>
            <w:r>
              <w:rPr>
                <w:rFonts w:ascii="Arial" w:cs="Arial" w:eastAsia="Arial" w:hAnsi="Arial"/>
                <w:sz w:val="13"/>
                <w:szCs w:val="13"/>
                <w:b w:val="1"/>
                <w:bCs w:val="1"/>
                <w:color w:val="auto"/>
              </w:rPr>
              <w:t>%</w:t>
            </w:r>
          </w:p>
        </w:tc>
        <w:tc>
          <w:tcPr>
            <w:tcW w:w="10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1300" w:type="dxa"/>
            <w:vAlign w:val="bottom"/>
            <w:tcBorders>
              <w:bottom w:val="single" w:sz="8" w:color="auto"/>
            </w:tcBorders>
            <w:gridSpan w:val="3"/>
          </w:tcPr>
          <w:p>
            <w:pPr>
              <w:jc w:val="right"/>
              <w:ind w:right="740"/>
              <w:spacing w:after="0"/>
              <w:rPr>
                <w:sz w:val="20"/>
                <w:szCs w:val="20"/>
                <w:color w:val="auto"/>
              </w:rPr>
            </w:pPr>
            <w:r>
              <w:rPr>
                <w:rFonts w:ascii="Arial" w:cs="Arial" w:eastAsia="Arial" w:hAnsi="Arial"/>
                <w:sz w:val="13"/>
                <w:szCs w:val="13"/>
                <w:b w:val="1"/>
                <w:bCs w:val="1"/>
                <w:color w:val="auto"/>
              </w:rPr>
              <w:t>Amount</w:t>
            </w:r>
          </w:p>
        </w:tc>
        <w:tc>
          <w:tcPr>
            <w:tcW w:w="780" w:type="dxa"/>
            <w:vAlign w:val="bottom"/>
            <w:tcBorders>
              <w:bottom w:val="single" w:sz="8" w:color="auto"/>
            </w:tcBorders>
          </w:tcPr>
          <w:p>
            <w:pPr>
              <w:jc w:val="right"/>
              <w:ind w:right="376"/>
              <w:spacing w:after="0"/>
              <w:rPr>
                <w:sz w:val="20"/>
                <w:szCs w:val="20"/>
                <w:color w:val="auto"/>
              </w:rPr>
            </w:pPr>
            <w:r>
              <w:rPr>
                <w:rFonts w:ascii="Arial" w:cs="Arial" w:eastAsia="Arial" w:hAnsi="Arial"/>
                <w:sz w:val="13"/>
                <w:szCs w:val="13"/>
                <w:b w:val="1"/>
                <w:bCs w:val="1"/>
                <w:color w:val="auto"/>
              </w:rPr>
              <w:t>%</w:t>
            </w: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44"/>
        </w:trPr>
        <w:tc>
          <w:tcPr>
            <w:tcW w:w="350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2280" w:type="dxa"/>
            <w:vAlign w:val="bottom"/>
            <w:gridSpan w:val="5"/>
          </w:tcPr>
          <w:p>
            <w:pPr>
              <w:jc w:val="center"/>
              <w:ind w:right="300"/>
              <w:spacing w:after="0" w:line="144" w:lineRule="exact"/>
              <w:rPr>
                <w:sz w:val="20"/>
                <w:szCs w:val="20"/>
                <w:color w:val="auto"/>
              </w:rPr>
            </w:pPr>
            <w:r>
              <w:rPr>
                <w:rFonts w:ascii="Arial" w:cs="Arial" w:eastAsia="Arial" w:hAnsi="Arial"/>
                <w:sz w:val="13"/>
                <w:szCs w:val="13"/>
                <w:b w:val="1"/>
                <w:bCs w:val="1"/>
                <w:color w:val="auto"/>
                <w:w w:val="87"/>
              </w:rPr>
              <w:t>(in $ millions, except percentages)</w:t>
            </w:r>
          </w:p>
        </w:tc>
        <w:tc>
          <w:tcPr>
            <w:tcW w:w="1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3500" w:type="dxa"/>
            <w:vAlign w:val="bottom"/>
            <w:shd w:val="clear" w:color="auto" w:fill="CCEEFF"/>
          </w:tcPr>
          <w:p>
            <w:pPr>
              <w:spacing w:after="0"/>
              <w:rPr>
                <w:sz w:val="20"/>
                <w:szCs w:val="20"/>
                <w:color w:val="auto"/>
              </w:rPr>
            </w:pPr>
            <w:r>
              <w:rPr>
                <w:rFonts w:ascii="Arial" w:cs="Arial" w:eastAsia="Arial" w:hAnsi="Arial"/>
                <w:sz w:val="13"/>
                <w:szCs w:val="13"/>
                <w:color w:val="auto"/>
              </w:rPr>
              <w:t>Brazil</w:t>
            </w:r>
          </w:p>
        </w:tc>
        <w:tc>
          <w:tcPr>
            <w:tcW w:w="700" w:type="dxa"/>
            <w:vAlign w:val="bottom"/>
            <w:gridSpan w:val="2"/>
            <w:shd w:val="clear" w:color="auto" w:fill="CCEEFF"/>
          </w:tcPr>
          <w:p>
            <w:pPr>
              <w:jc w:val="right"/>
              <w:ind w:right="72"/>
              <w:spacing w:after="0"/>
              <w:rPr>
                <w:sz w:val="20"/>
                <w:szCs w:val="20"/>
                <w:color w:val="auto"/>
              </w:rPr>
            </w:pPr>
            <w:r>
              <w:rPr>
                <w:rFonts w:ascii="Arial" w:cs="Arial" w:eastAsia="Arial" w:hAnsi="Arial"/>
                <w:sz w:val="13"/>
                <w:szCs w:val="13"/>
                <w:color w:val="auto"/>
              </w:rPr>
              <w:t>$</w:t>
            </w:r>
          </w:p>
        </w:tc>
        <w:tc>
          <w:tcPr>
            <w:tcW w:w="11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4</w:t>
            </w: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4.1</w:t>
            </w:r>
          </w:p>
        </w:tc>
        <w:tc>
          <w:tcPr>
            <w:tcW w:w="100" w:type="dxa"/>
            <w:vAlign w:val="bottom"/>
            <w:shd w:val="clear" w:color="auto" w:fill="CCEEFF"/>
          </w:tcPr>
          <w:p>
            <w:pPr>
              <w:spacing w:after="0"/>
              <w:rPr>
                <w:sz w:val="13"/>
                <w:szCs w:val="13"/>
                <w:color w:val="auto"/>
              </w:rPr>
            </w:pPr>
          </w:p>
        </w:tc>
        <w:tc>
          <w:tcPr>
            <w:tcW w:w="260" w:type="dxa"/>
            <w:vAlign w:val="bottom"/>
            <w:gridSpan w:val="2"/>
            <w:shd w:val="clear" w:color="auto" w:fill="CCEEFF"/>
          </w:tcPr>
          <w:p>
            <w:pPr>
              <w:jc w:val="right"/>
              <w:ind w:right="32"/>
              <w:spacing w:after="0"/>
              <w:rPr>
                <w:sz w:val="20"/>
                <w:szCs w:val="20"/>
                <w:color w:val="auto"/>
              </w:rPr>
            </w:pPr>
            <w:r>
              <w:rPr>
                <w:rFonts w:ascii="Arial" w:cs="Arial" w:eastAsia="Arial" w:hAnsi="Arial"/>
                <w:sz w:val="13"/>
                <w:szCs w:val="13"/>
                <w:color w:val="auto"/>
              </w:rPr>
              <w:t>$</w:t>
            </w:r>
          </w:p>
        </w:tc>
        <w:tc>
          <w:tcPr>
            <w:tcW w:w="9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w:t>
            </w:r>
          </w:p>
        </w:tc>
        <w:tc>
          <w:tcPr>
            <w:tcW w:w="240" w:type="dxa"/>
            <w:vAlign w:val="bottom"/>
            <w:shd w:val="clear" w:color="auto" w:fill="CCEEFF"/>
          </w:tcPr>
          <w:p>
            <w:pPr>
              <w:spacing w:after="0"/>
              <w:rPr>
                <w:sz w:val="13"/>
                <w:szCs w:val="13"/>
                <w:color w:val="auto"/>
              </w:rPr>
            </w:pPr>
          </w:p>
        </w:tc>
        <w:tc>
          <w:tcPr>
            <w:tcW w:w="420" w:type="dxa"/>
            <w:vAlign w:val="bottom"/>
            <w:shd w:val="clear" w:color="auto" w:fill="CCEEFF"/>
          </w:tcPr>
          <w:p>
            <w:pPr>
              <w:spacing w:after="0"/>
              <w:rPr>
                <w:sz w:val="13"/>
                <w:szCs w:val="13"/>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5.2</w:t>
            </w:r>
          </w:p>
        </w:tc>
        <w:tc>
          <w:tcPr>
            <w:tcW w:w="100" w:type="dxa"/>
            <w:vAlign w:val="bottom"/>
            <w:shd w:val="clear" w:color="auto" w:fill="CCEEFF"/>
          </w:tcPr>
          <w:p>
            <w:pPr>
              <w:spacing w:after="0"/>
              <w:rPr>
                <w:sz w:val="13"/>
                <w:szCs w:val="13"/>
                <w:color w:val="auto"/>
              </w:rPr>
            </w:pPr>
          </w:p>
        </w:tc>
        <w:tc>
          <w:tcPr>
            <w:tcW w:w="300" w:type="dxa"/>
            <w:vAlign w:val="bottom"/>
            <w:gridSpan w:val="2"/>
            <w:shd w:val="clear" w:color="auto" w:fill="CCEEFF"/>
          </w:tcPr>
          <w:p>
            <w:pPr>
              <w:jc w:val="right"/>
              <w:ind w:right="72"/>
              <w:spacing w:after="0"/>
              <w:rPr>
                <w:sz w:val="20"/>
                <w:szCs w:val="20"/>
                <w:color w:val="auto"/>
              </w:rPr>
            </w:pPr>
            <w:r>
              <w:rPr>
                <w:rFonts w:ascii="Arial" w:cs="Arial" w:eastAsia="Arial" w:hAnsi="Arial"/>
                <w:sz w:val="13"/>
                <w:szCs w:val="13"/>
                <w:color w:val="auto"/>
              </w:rPr>
              <w:t>$</w:t>
            </w:r>
          </w:p>
        </w:tc>
        <w:tc>
          <w:tcPr>
            <w:tcW w:w="8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21</w:t>
            </w:r>
          </w:p>
        </w:tc>
        <w:tc>
          <w:tcPr>
            <w:tcW w:w="2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20.0</w:t>
            </w:r>
          </w:p>
        </w:tc>
        <w:tc>
          <w:tcPr>
            <w:tcW w:w="100" w:type="dxa"/>
            <w:vAlign w:val="bottom"/>
            <w:shd w:val="clear" w:color="auto" w:fill="CCEEFF"/>
          </w:tcPr>
          <w:p>
            <w:pPr>
              <w:spacing w:after="0"/>
              <w:rPr>
                <w:sz w:val="13"/>
                <w:szCs w:val="13"/>
                <w:color w:val="auto"/>
              </w:rPr>
            </w:pPr>
          </w:p>
        </w:tc>
      </w:tr>
      <w:tr>
        <w:trPr>
          <w:trHeight w:val="154"/>
        </w:trPr>
        <w:tc>
          <w:tcPr>
            <w:tcW w:w="3500" w:type="dxa"/>
            <w:vAlign w:val="bottom"/>
          </w:tcPr>
          <w:p>
            <w:pPr>
              <w:spacing w:after="0"/>
              <w:rPr>
                <w:sz w:val="20"/>
                <w:szCs w:val="20"/>
                <w:color w:val="auto"/>
              </w:rPr>
            </w:pPr>
            <w:r>
              <w:rPr>
                <w:rFonts w:ascii="Arial" w:cs="Arial" w:eastAsia="Arial" w:hAnsi="Arial"/>
                <w:sz w:val="13"/>
                <w:szCs w:val="13"/>
                <w:color w:val="auto"/>
              </w:rPr>
              <w:t>Chile</w:t>
            </w:r>
          </w:p>
        </w:tc>
        <w:tc>
          <w:tcPr>
            <w:tcW w:w="5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100" w:type="dxa"/>
            <w:vAlign w:val="bottom"/>
            <w:gridSpan w:val="2"/>
          </w:tcPr>
          <w:p>
            <w:pPr>
              <w:jc w:val="right"/>
              <w:ind w:right="240"/>
              <w:spacing w:after="0"/>
              <w:rPr>
                <w:sz w:val="20"/>
                <w:szCs w:val="20"/>
                <w:color w:val="auto"/>
              </w:rPr>
            </w:pPr>
            <w:r>
              <w:rPr>
                <w:rFonts w:ascii="Arial" w:cs="Arial" w:eastAsia="Arial" w:hAnsi="Arial"/>
                <w:sz w:val="13"/>
                <w:szCs w:val="13"/>
                <w:color w:val="auto"/>
              </w:rPr>
              <w:t>5</w:t>
            </w:r>
          </w:p>
        </w:tc>
        <w:tc>
          <w:tcPr>
            <w:tcW w:w="220" w:type="dxa"/>
            <w:vAlign w:val="bottom"/>
          </w:tcPr>
          <w:p>
            <w:pPr>
              <w:spacing w:after="0"/>
              <w:rPr>
                <w:sz w:val="13"/>
                <w:szCs w:val="13"/>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4.7</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900" w:type="dxa"/>
            <w:vAlign w:val="bottom"/>
          </w:tcPr>
          <w:p>
            <w:pPr>
              <w:jc w:val="right"/>
              <w:spacing w:after="0"/>
              <w:rPr>
                <w:sz w:val="20"/>
                <w:szCs w:val="20"/>
                <w:color w:val="auto"/>
              </w:rPr>
            </w:pPr>
            <w:r>
              <w:rPr>
                <w:rFonts w:ascii="Arial" w:cs="Arial" w:eastAsia="Arial" w:hAnsi="Arial"/>
                <w:sz w:val="13"/>
                <w:szCs w:val="13"/>
                <w:color w:val="auto"/>
              </w:rPr>
              <w:t>5</w:t>
            </w:r>
          </w:p>
        </w:tc>
        <w:tc>
          <w:tcPr>
            <w:tcW w:w="24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Arial" w:cs="Arial" w:eastAsia="Arial" w:hAnsi="Arial"/>
                <w:sz w:val="13"/>
                <w:szCs w:val="13"/>
                <w:color w:val="auto"/>
              </w:rPr>
              <w:t>6.0</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5</w:t>
            </w: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3"/>
                <w:szCs w:val="13"/>
                <w:color w:val="auto"/>
              </w:rPr>
              <w:t>4.8</w:t>
            </w:r>
          </w:p>
        </w:tc>
        <w:tc>
          <w:tcPr>
            <w:tcW w:w="100" w:type="dxa"/>
            <w:vAlign w:val="bottom"/>
          </w:tcPr>
          <w:p>
            <w:pPr>
              <w:spacing w:after="0"/>
              <w:rPr>
                <w:sz w:val="13"/>
                <w:szCs w:val="13"/>
                <w:color w:val="auto"/>
              </w:rPr>
            </w:pPr>
          </w:p>
        </w:tc>
      </w:tr>
      <w:tr>
        <w:trPr>
          <w:trHeight w:val="154"/>
        </w:trPr>
        <w:tc>
          <w:tcPr>
            <w:tcW w:w="3500" w:type="dxa"/>
            <w:vAlign w:val="bottom"/>
            <w:shd w:val="clear" w:color="auto" w:fill="CCEEFF"/>
          </w:tcPr>
          <w:p>
            <w:pPr>
              <w:spacing w:after="0"/>
              <w:rPr>
                <w:sz w:val="20"/>
                <w:szCs w:val="20"/>
                <w:color w:val="auto"/>
              </w:rPr>
            </w:pPr>
            <w:r>
              <w:rPr>
                <w:rFonts w:ascii="Arial" w:cs="Arial" w:eastAsia="Arial" w:hAnsi="Arial"/>
                <w:sz w:val="13"/>
                <w:szCs w:val="13"/>
                <w:color w:val="auto"/>
              </w:rPr>
              <w:t>Colombia</w:t>
            </w:r>
          </w:p>
        </w:tc>
        <w:tc>
          <w:tcPr>
            <w:tcW w:w="5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28</w:t>
            </w:r>
          </w:p>
        </w:tc>
        <w:tc>
          <w:tcPr>
            <w:tcW w:w="22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26.3</w:t>
            </w:r>
          </w:p>
        </w:tc>
        <w:tc>
          <w:tcPr>
            <w:tcW w:w="12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29</w:t>
            </w:r>
          </w:p>
        </w:tc>
        <w:tc>
          <w:tcPr>
            <w:tcW w:w="240" w:type="dxa"/>
            <w:vAlign w:val="bottom"/>
            <w:shd w:val="clear" w:color="auto" w:fill="CCEEFF"/>
          </w:tcPr>
          <w:p>
            <w:pPr>
              <w:spacing w:after="0"/>
              <w:rPr>
                <w:sz w:val="13"/>
                <w:szCs w:val="13"/>
                <w:color w:val="auto"/>
              </w:rPr>
            </w:pPr>
          </w:p>
        </w:tc>
        <w:tc>
          <w:tcPr>
            <w:tcW w:w="4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33.8</w:t>
            </w:r>
          </w:p>
        </w:tc>
        <w:tc>
          <w:tcPr>
            <w:tcW w:w="1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30</w:t>
            </w:r>
          </w:p>
        </w:tc>
        <w:tc>
          <w:tcPr>
            <w:tcW w:w="2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27.5</w:t>
            </w:r>
          </w:p>
        </w:tc>
        <w:tc>
          <w:tcPr>
            <w:tcW w:w="100" w:type="dxa"/>
            <w:vAlign w:val="bottom"/>
            <w:shd w:val="clear" w:color="auto" w:fill="CCEEFF"/>
          </w:tcPr>
          <w:p>
            <w:pPr>
              <w:spacing w:after="0"/>
              <w:rPr>
                <w:sz w:val="13"/>
                <w:szCs w:val="13"/>
                <w:color w:val="auto"/>
              </w:rPr>
            </w:pPr>
          </w:p>
        </w:tc>
      </w:tr>
      <w:tr>
        <w:trPr>
          <w:trHeight w:val="154"/>
        </w:trPr>
        <w:tc>
          <w:tcPr>
            <w:tcW w:w="3500" w:type="dxa"/>
            <w:vAlign w:val="bottom"/>
          </w:tcPr>
          <w:p>
            <w:pPr>
              <w:spacing w:after="0"/>
              <w:rPr>
                <w:sz w:val="20"/>
                <w:szCs w:val="20"/>
                <w:color w:val="auto"/>
              </w:rPr>
            </w:pPr>
            <w:r>
              <w:rPr>
                <w:rFonts w:ascii="Arial" w:cs="Arial" w:eastAsia="Arial" w:hAnsi="Arial"/>
                <w:sz w:val="13"/>
                <w:szCs w:val="13"/>
                <w:color w:val="auto"/>
              </w:rPr>
              <w:t>Costa Rica</w:t>
            </w:r>
          </w:p>
        </w:tc>
        <w:tc>
          <w:tcPr>
            <w:tcW w:w="5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100" w:type="dxa"/>
            <w:vAlign w:val="bottom"/>
            <w:gridSpan w:val="2"/>
          </w:tcPr>
          <w:p>
            <w:pPr>
              <w:jc w:val="right"/>
              <w:ind w:right="240"/>
              <w:spacing w:after="0"/>
              <w:rPr>
                <w:sz w:val="20"/>
                <w:szCs w:val="20"/>
                <w:color w:val="auto"/>
              </w:rPr>
            </w:pPr>
            <w:r>
              <w:rPr>
                <w:rFonts w:ascii="Arial" w:cs="Arial" w:eastAsia="Arial" w:hAnsi="Arial"/>
                <w:sz w:val="13"/>
                <w:szCs w:val="13"/>
                <w:color w:val="auto"/>
              </w:rPr>
              <w:t>0</w:t>
            </w:r>
          </w:p>
        </w:tc>
        <w:tc>
          <w:tcPr>
            <w:tcW w:w="220" w:type="dxa"/>
            <w:vAlign w:val="bottom"/>
          </w:tcPr>
          <w:p>
            <w:pPr>
              <w:spacing w:after="0"/>
              <w:rPr>
                <w:sz w:val="13"/>
                <w:szCs w:val="13"/>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0.0</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900" w:type="dxa"/>
            <w:vAlign w:val="bottom"/>
          </w:tcPr>
          <w:p>
            <w:pPr>
              <w:jc w:val="right"/>
              <w:spacing w:after="0"/>
              <w:rPr>
                <w:sz w:val="20"/>
                <w:szCs w:val="20"/>
                <w:color w:val="auto"/>
              </w:rPr>
            </w:pPr>
            <w:r>
              <w:rPr>
                <w:rFonts w:ascii="Arial" w:cs="Arial" w:eastAsia="Arial" w:hAnsi="Arial"/>
                <w:sz w:val="13"/>
                <w:szCs w:val="13"/>
                <w:color w:val="auto"/>
              </w:rPr>
              <w:t>0</w:t>
            </w:r>
          </w:p>
        </w:tc>
        <w:tc>
          <w:tcPr>
            <w:tcW w:w="24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Arial" w:cs="Arial" w:eastAsia="Arial" w:hAnsi="Arial"/>
                <w:sz w:val="13"/>
                <w:szCs w:val="13"/>
                <w:color w:val="auto"/>
              </w:rPr>
              <w:t>0.0</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0</w:t>
            </w: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3"/>
                <w:szCs w:val="13"/>
                <w:color w:val="auto"/>
              </w:rPr>
              <w:t>0.0</w:t>
            </w:r>
          </w:p>
        </w:tc>
        <w:tc>
          <w:tcPr>
            <w:tcW w:w="100" w:type="dxa"/>
            <w:vAlign w:val="bottom"/>
          </w:tcPr>
          <w:p>
            <w:pPr>
              <w:spacing w:after="0"/>
              <w:rPr>
                <w:sz w:val="13"/>
                <w:szCs w:val="13"/>
                <w:color w:val="auto"/>
              </w:rPr>
            </w:pPr>
          </w:p>
        </w:tc>
      </w:tr>
      <w:tr>
        <w:trPr>
          <w:trHeight w:val="154"/>
        </w:trPr>
        <w:tc>
          <w:tcPr>
            <w:tcW w:w="3500" w:type="dxa"/>
            <w:vAlign w:val="bottom"/>
            <w:shd w:val="clear" w:color="auto" w:fill="CCEEFF"/>
          </w:tcPr>
          <w:p>
            <w:pPr>
              <w:spacing w:after="0"/>
              <w:rPr>
                <w:sz w:val="20"/>
                <w:szCs w:val="20"/>
                <w:color w:val="auto"/>
              </w:rPr>
            </w:pPr>
            <w:r>
              <w:rPr>
                <w:rFonts w:ascii="Arial" w:cs="Arial" w:eastAsia="Arial" w:hAnsi="Arial"/>
                <w:sz w:val="13"/>
                <w:szCs w:val="13"/>
                <w:color w:val="auto"/>
              </w:rPr>
              <w:t>Mexico</w:t>
            </w:r>
          </w:p>
        </w:tc>
        <w:tc>
          <w:tcPr>
            <w:tcW w:w="5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27</w:t>
            </w:r>
          </w:p>
        </w:tc>
        <w:tc>
          <w:tcPr>
            <w:tcW w:w="22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25.3</w:t>
            </w:r>
          </w:p>
        </w:tc>
        <w:tc>
          <w:tcPr>
            <w:tcW w:w="12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20</w:t>
            </w:r>
          </w:p>
        </w:tc>
        <w:tc>
          <w:tcPr>
            <w:tcW w:w="240" w:type="dxa"/>
            <w:vAlign w:val="bottom"/>
            <w:shd w:val="clear" w:color="auto" w:fill="CCEEFF"/>
          </w:tcPr>
          <w:p>
            <w:pPr>
              <w:spacing w:after="0"/>
              <w:rPr>
                <w:sz w:val="13"/>
                <w:szCs w:val="13"/>
                <w:color w:val="auto"/>
              </w:rPr>
            </w:pPr>
          </w:p>
        </w:tc>
        <w:tc>
          <w:tcPr>
            <w:tcW w:w="4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23.5</w:t>
            </w:r>
          </w:p>
        </w:tc>
        <w:tc>
          <w:tcPr>
            <w:tcW w:w="1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20</w:t>
            </w:r>
          </w:p>
        </w:tc>
        <w:tc>
          <w:tcPr>
            <w:tcW w:w="2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18.8</w:t>
            </w:r>
          </w:p>
        </w:tc>
        <w:tc>
          <w:tcPr>
            <w:tcW w:w="100" w:type="dxa"/>
            <w:vAlign w:val="bottom"/>
            <w:shd w:val="clear" w:color="auto" w:fill="CCEEFF"/>
          </w:tcPr>
          <w:p>
            <w:pPr>
              <w:spacing w:after="0"/>
              <w:rPr>
                <w:sz w:val="13"/>
                <w:szCs w:val="13"/>
                <w:color w:val="auto"/>
              </w:rPr>
            </w:pPr>
          </w:p>
        </w:tc>
      </w:tr>
      <w:tr>
        <w:trPr>
          <w:trHeight w:val="154"/>
        </w:trPr>
        <w:tc>
          <w:tcPr>
            <w:tcW w:w="3500" w:type="dxa"/>
            <w:vAlign w:val="bottom"/>
          </w:tcPr>
          <w:p>
            <w:pPr>
              <w:spacing w:after="0"/>
              <w:rPr>
                <w:sz w:val="20"/>
                <w:szCs w:val="20"/>
                <w:color w:val="auto"/>
              </w:rPr>
            </w:pPr>
            <w:r>
              <w:rPr>
                <w:rFonts w:ascii="Arial" w:cs="Arial" w:eastAsia="Arial" w:hAnsi="Arial"/>
                <w:sz w:val="13"/>
                <w:szCs w:val="13"/>
                <w:color w:val="auto"/>
              </w:rPr>
              <w:t>Panama</w:t>
            </w:r>
          </w:p>
        </w:tc>
        <w:tc>
          <w:tcPr>
            <w:tcW w:w="5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100" w:type="dxa"/>
            <w:vAlign w:val="bottom"/>
            <w:gridSpan w:val="2"/>
          </w:tcPr>
          <w:p>
            <w:pPr>
              <w:jc w:val="right"/>
              <w:ind w:right="240"/>
              <w:spacing w:after="0"/>
              <w:rPr>
                <w:sz w:val="20"/>
                <w:szCs w:val="20"/>
                <w:color w:val="auto"/>
              </w:rPr>
            </w:pPr>
            <w:r>
              <w:rPr>
                <w:rFonts w:ascii="Arial" w:cs="Arial" w:eastAsia="Arial" w:hAnsi="Arial"/>
                <w:sz w:val="13"/>
                <w:szCs w:val="13"/>
                <w:color w:val="auto"/>
              </w:rPr>
              <w:t>35</w:t>
            </w:r>
          </w:p>
        </w:tc>
        <w:tc>
          <w:tcPr>
            <w:tcW w:w="220" w:type="dxa"/>
            <w:vAlign w:val="bottom"/>
          </w:tcPr>
          <w:p>
            <w:pPr>
              <w:spacing w:after="0"/>
              <w:rPr>
                <w:sz w:val="13"/>
                <w:szCs w:val="13"/>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3"/>
                <w:szCs w:val="13"/>
                <w:color w:val="auto"/>
              </w:rPr>
              <w:t>32.4</w:t>
            </w:r>
          </w:p>
        </w:tc>
        <w:tc>
          <w:tcPr>
            <w:tcW w:w="1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900" w:type="dxa"/>
            <w:vAlign w:val="bottom"/>
          </w:tcPr>
          <w:p>
            <w:pPr>
              <w:jc w:val="right"/>
              <w:spacing w:after="0"/>
              <w:rPr>
                <w:sz w:val="20"/>
                <w:szCs w:val="20"/>
                <w:color w:val="auto"/>
              </w:rPr>
            </w:pPr>
            <w:r>
              <w:rPr>
                <w:rFonts w:ascii="Arial" w:cs="Arial" w:eastAsia="Arial" w:hAnsi="Arial"/>
                <w:sz w:val="13"/>
                <w:szCs w:val="13"/>
                <w:color w:val="auto"/>
              </w:rPr>
              <w:t>18</w:t>
            </w:r>
          </w:p>
        </w:tc>
        <w:tc>
          <w:tcPr>
            <w:tcW w:w="24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21.5</w:t>
            </w: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12</w:t>
            </w: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3"/>
                <w:szCs w:val="13"/>
                <w:color w:val="auto"/>
              </w:rPr>
              <w:t>10.8</w:t>
            </w:r>
          </w:p>
        </w:tc>
        <w:tc>
          <w:tcPr>
            <w:tcW w:w="100" w:type="dxa"/>
            <w:vAlign w:val="bottom"/>
          </w:tcPr>
          <w:p>
            <w:pPr>
              <w:spacing w:after="0"/>
              <w:rPr>
                <w:sz w:val="13"/>
                <w:szCs w:val="13"/>
                <w:color w:val="auto"/>
              </w:rPr>
            </w:pPr>
          </w:p>
        </w:tc>
      </w:tr>
      <w:tr>
        <w:trPr>
          <w:trHeight w:val="154"/>
        </w:trPr>
        <w:tc>
          <w:tcPr>
            <w:tcW w:w="3500" w:type="dxa"/>
            <w:vAlign w:val="bottom"/>
            <w:shd w:val="clear" w:color="auto" w:fill="CCEEFF"/>
          </w:tcPr>
          <w:p>
            <w:pPr>
              <w:spacing w:after="0"/>
              <w:rPr>
                <w:sz w:val="20"/>
                <w:szCs w:val="20"/>
                <w:color w:val="auto"/>
              </w:rPr>
            </w:pPr>
            <w:r>
              <w:rPr>
                <w:rFonts w:ascii="Arial" w:cs="Arial" w:eastAsia="Arial" w:hAnsi="Arial"/>
                <w:sz w:val="13"/>
                <w:szCs w:val="13"/>
                <w:color w:val="auto"/>
              </w:rPr>
              <w:t>Peru</w:t>
            </w:r>
          </w:p>
        </w:tc>
        <w:tc>
          <w:tcPr>
            <w:tcW w:w="5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0</w:t>
            </w:r>
          </w:p>
        </w:tc>
        <w:tc>
          <w:tcPr>
            <w:tcW w:w="220" w:type="dxa"/>
            <w:vAlign w:val="bottom"/>
            <w:shd w:val="clear" w:color="auto" w:fill="CCEEFF"/>
          </w:tcPr>
          <w:p>
            <w:pPr>
              <w:spacing w:after="0"/>
              <w:rPr>
                <w:sz w:val="13"/>
                <w:szCs w:val="13"/>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w:t>
            </w:r>
          </w:p>
        </w:tc>
        <w:tc>
          <w:tcPr>
            <w:tcW w:w="240" w:type="dxa"/>
            <w:vAlign w:val="bottom"/>
            <w:shd w:val="clear" w:color="auto" w:fill="CCEEFF"/>
          </w:tcPr>
          <w:p>
            <w:pPr>
              <w:spacing w:after="0"/>
              <w:rPr>
                <w:sz w:val="13"/>
                <w:szCs w:val="13"/>
                <w:color w:val="auto"/>
              </w:rPr>
            </w:pPr>
          </w:p>
        </w:tc>
        <w:tc>
          <w:tcPr>
            <w:tcW w:w="420" w:type="dxa"/>
            <w:vAlign w:val="bottom"/>
            <w:shd w:val="clear" w:color="auto" w:fill="CCEEFF"/>
          </w:tcPr>
          <w:p>
            <w:pPr>
              <w:spacing w:after="0"/>
              <w:rPr>
                <w:sz w:val="13"/>
                <w:szCs w:val="13"/>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w:t>
            </w:r>
          </w:p>
        </w:tc>
        <w:tc>
          <w:tcPr>
            <w:tcW w:w="2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w:t>
            </w:r>
          </w:p>
        </w:tc>
        <w:tc>
          <w:tcPr>
            <w:tcW w:w="100" w:type="dxa"/>
            <w:vAlign w:val="bottom"/>
            <w:shd w:val="clear" w:color="auto" w:fill="CCEEFF"/>
          </w:tcPr>
          <w:p>
            <w:pPr>
              <w:spacing w:after="0"/>
              <w:rPr>
                <w:sz w:val="13"/>
                <w:szCs w:val="13"/>
                <w:color w:val="auto"/>
              </w:rPr>
            </w:pPr>
          </w:p>
        </w:tc>
      </w:tr>
      <w:tr>
        <w:trPr>
          <w:trHeight w:val="154"/>
        </w:trPr>
        <w:tc>
          <w:tcPr>
            <w:tcW w:w="3500" w:type="dxa"/>
            <w:vAlign w:val="bottom"/>
          </w:tcPr>
          <w:p>
            <w:pPr>
              <w:spacing w:after="0"/>
              <w:rPr>
                <w:sz w:val="20"/>
                <w:szCs w:val="20"/>
                <w:color w:val="auto"/>
              </w:rPr>
            </w:pPr>
            <w:r>
              <w:rPr>
                <w:rFonts w:ascii="Arial" w:cs="Arial" w:eastAsia="Arial" w:hAnsi="Arial"/>
                <w:sz w:val="13"/>
                <w:szCs w:val="13"/>
                <w:color w:val="auto"/>
              </w:rPr>
              <w:t>Trinidad and Tobago</w:t>
            </w:r>
          </w:p>
        </w:tc>
        <w:tc>
          <w:tcPr>
            <w:tcW w:w="5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100" w:type="dxa"/>
            <w:vAlign w:val="bottom"/>
            <w:gridSpan w:val="2"/>
          </w:tcPr>
          <w:p>
            <w:pPr>
              <w:jc w:val="right"/>
              <w:ind w:right="240"/>
              <w:spacing w:after="0"/>
              <w:rPr>
                <w:sz w:val="20"/>
                <w:szCs w:val="20"/>
                <w:color w:val="auto"/>
              </w:rPr>
            </w:pPr>
            <w:r>
              <w:rPr>
                <w:rFonts w:ascii="Arial" w:cs="Arial" w:eastAsia="Arial" w:hAnsi="Arial"/>
                <w:sz w:val="13"/>
                <w:szCs w:val="13"/>
                <w:color w:val="auto"/>
              </w:rPr>
              <w:t>8</w:t>
            </w:r>
          </w:p>
        </w:tc>
        <w:tc>
          <w:tcPr>
            <w:tcW w:w="220" w:type="dxa"/>
            <w:vAlign w:val="bottom"/>
          </w:tcPr>
          <w:p>
            <w:pPr>
              <w:spacing w:after="0"/>
              <w:rPr>
                <w:sz w:val="13"/>
                <w:szCs w:val="13"/>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7.2</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900" w:type="dxa"/>
            <w:vAlign w:val="bottom"/>
          </w:tcPr>
          <w:p>
            <w:pPr>
              <w:jc w:val="right"/>
              <w:spacing w:after="0"/>
              <w:rPr>
                <w:sz w:val="20"/>
                <w:szCs w:val="20"/>
                <w:color w:val="auto"/>
              </w:rPr>
            </w:pPr>
            <w:r>
              <w:rPr>
                <w:rFonts w:ascii="Arial" w:cs="Arial" w:eastAsia="Arial" w:hAnsi="Arial"/>
                <w:sz w:val="13"/>
                <w:szCs w:val="13"/>
                <w:color w:val="auto"/>
              </w:rPr>
              <w:t>9</w:t>
            </w:r>
          </w:p>
        </w:tc>
        <w:tc>
          <w:tcPr>
            <w:tcW w:w="24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10.0</w:t>
            </w: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9</w:t>
            </w: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3"/>
                <w:szCs w:val="13"/>
                <w:color w:val="auto"/>
              </w:rPr>
              <w:t>8.1</w:t>
            </w:r>
          </w:p>
        </w:tc>
        <w:tc>
          <w:tcPr>
            <w:tcW w:w="100" w:type="dxa"/>
            <w:vAlign w:val="bottom"/>
          </w:tcPr>
          <w:p>
            <w:pPr>
              <w:spacing w:after="0"/>
              <w:rPr>
                <w:sz w:val="13"/>
                <w:szCs w:val="13"/>
                <w:color w:val="auto"/>
              </w:rPr>
            </w:pPr>
          </w:p>
        </w:tc>
      </w:tr>
      <w:tr>
        <w:trPr>
          <w:trHeight w:val="164"/>
        </w:trPr>
        <w:tc>
          <w:tcPr>
            <w:tcW w:w="3500" w:type="dxa"/>
            <w:vAlign w:val="bottom"/>
            <w:shd w:val="clear" w:color="auto" w:fill="CCEEFF"/>
          </w:tcPr>
          <w:p>
            <w:pPr>
              <w:spacing w:after="0"/>
              <w:rPr>
                <w:sz w:val="20"/>
                <w:szCs w:val="20"/>
                <w:color w:val="auto"/>
              </w:rPr>
            </w:pPr>
            <w:r>
              <w:rPr>
                <w:rFonts w:ascii="Arial" w:cs="Arial" w:eastAsia="Arial" w:hAnsi="Arial"/>
                <w:sz w:val="13"/>
                <w:szCs w:val="13"/>
                <w:color w:val="auto"/>
              </w:rPr>
              <w:t>Multilateral Organizations</w:t>
            </w:r>
          </w:p>
        </w:tc>
        <w:tc>
          <w:tcPr>
            <w:tcW w:w="52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11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0</w:t>
            </w:r>
          </w:p>
        </w:tc>
        <w:tc>
          <w:tcPr>
            <w:tcW w:w="220" w:type="dxa"/>
            <w:vAlign w:val="bottom"/>
            <w:shd w:val="clear" w:color="auto" w:fill="CCEEFF"/>
          </w:tcPr>
          <w:p>
            <w:pPr>
              <w:spacing w:after="0"/>
              <w:rPr>
                <w:sz w:val="14"/>
                <w:szCs w:val="14"/>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w:t>
            </w:r>
          </w:p>
        </w:tc>
        <w:tc>
          <w:tcPr>
            <w:tcW w:w="1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w:t>
            </w:r>
          </w:p>
        </w:tc>
        <w:tc>
          <w:tcPr>
            <w:tcW w:w="240" w:type="dxa"/>
            <w:vAlign w:val="bottom"/>
            <w:shd w:val="clear" w:color="auto" w:fill="CCEEFF"/>
          </w:tcPr>
          <w:p>
            <w:pPr>
              <w:spacing w:after="0"/>
              <w:rPr>
                <w:sz w:val="14"/>
                <w:szCs w:val="14"/>
                <w:color w:val="auto"/>
              </w:rPr>
            </w:pPr>
          </w:p>
        </w:tc>
        <w:tc>
          <w:tcPr>
            <w:tcW w:w="420" w:type="dxa"/>
            <w:vAlign w:val="bottom"/>
            <w:shd w:val="clear" w:color="auto" w:fill="CCEEFF"/>
          </w:tcPr>
          <w:p>
            <w:pPr>
              <w:spacing w:after="0"/>
              <w:rPr>
                <w:sz w:val="14"/>
                <w:szCs w:val="14"/>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w:t>
            </w:r>
          </w:p>
        </w:tc>
        <w:tc>
          <w:tcPr>
            <w:tcW w:w="1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11</w:t>
            </w:r>
          </w:p>
        </w:tc>
        <w:tc>
          <w:tcPr>
            <w:tcW w:w="20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80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10.0</w:t>
            </w:r>
          </w:p>
        </w:tc>
        <w:tc>
          <w:tcPr>
            <w:tcW w:w="100" w:type="dxa"/>
            <w:vAlign w:val="bottom"/>
            <w:shd w:val="clear" w:color="auto" w:fill="CCEEFF"/>
          </w:tcPr>
          <w:p>
            <w:pPr>
              <w:spacing w:after="0"/>
              <w:rPr>
                <w:sz w:val="14"/>
                <w:szCs w:val="14"/>
                <w:color w:val="auto"/>
              </w:rPr>
            </w:pPr>
          </w:p>
        </w:tc>
      </w:tr>
      <w:tr>
        <w:trPr>
          <w:trHeight w:val="162"/>
        </w:trPr>
        <w:tc>
          <w:tcPr>
            <w:tcW w:w="3500" w:type="dxa"/>
            <w:vAlign w:val="bottom"/>
          </w:tcPr>
          <w:p>
            <w:pPr>
              <w:ind w:left="220"/>
              <w:spacing w:after="0" w:line="146" w:lineRule="exact"/>
              <w:rPr>
                <w:sz w:val="20"/>
                <w:szCs w:val="20"/>
                <w:color w:val="auto"/>
              </w:rPr>
            </w:pPr>
            <w:r>
              <w:rPr>
                <w:rFonts w:ascii="Arial" w:cs="Arial" w:eastAsia="Arial" w:hAnsi="Arial"/>
                <w:sz w:val="13"/>
                <w:szCs w:val="13"/>
                <w:b w:val="1"/>
                <w:bCs w:val="1"/>
                <w:color w:val="auto"/>
              </w:rPr>
              <w:t>Total</w:t>
            </w:r>
          </w:p>
        </w:tc>
        <w:tc>
          <w:tcPr>
            <w:tcW w:w="520" w:type="dxa"/>
            <w:vAlign w:val="bottom"/>
          </w:tcPr>
          <w:p>
            <w:pPr>
              <w:spacing w:after="0"/>
              <w:rPr>
                <w:sz w:val="14"/>
                <w:szCs w:val="14"/>
                <w:color w:val="auto"/>
              </w:rPr>
            </w:pPr>
          </w:p>
        </w:tc>
        <w:tc>
          <w:tcPr>
            <w:tcW w:w="180" w:type="dxa"/>
            <w:vAlign w:val="bottom"/>
            <w:tcBorders>
              <w:top w:val="single" w:sz="8" w:color="auto"/>
              <w:bottom w:val="single" w:sz="8" w:color="auto"/>
            </w:tcBorders>
          </w:tcPr>
          <w:p>
            <w:pPr>
              <w:jc w:val="right"/>
              <w:ind w:right="72"/>
              <w:spacing w:after="0"/>
              <w:rPr>
                <w:sz w:val="20"/>
                <w:szCs w:val="20"/>
                <w:color w:val="auto"/>
              </w:rPr>
            </w:pPr>
            <w:r>
              <w:rPr>
                <w:rFonts w:ascii="Arial" w:cs="Arial" w:eastAsia="Arial" w:hAnsi="Arial"/>
                <w:sz w:val="10"/>
                <w:szCs w:val="10"/>
                <w:b w:val="1"/>
                <w:bCs w:val="1"/>
                <w:color w:val="auto"/>
                <w:w w:val="71"/>
              </w:rPr>
              <w:t>$</w:t>
            </w: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107</w:t>
            </w:r>
          </w:p>
        </w:tc>
        <w:tc>
          <w:tcPr>
            <w:tcW w:w="240" w:type="dxa"/>
            <w:vAlign w:val="bottom"/>
          </w:tcPr>
          <w:p>
            <w:pPr>
              <w:spacing w:after="0"/>
              <w:rPr>
                <w:sz w:val="14"/>
                <w:szCs w:val="14"/>
                <w:color w:val="auto"/>
              </w:rPr>
            </w:pPr>
          </w:p>
        </w:tc>
        <w:tc>
          <w:tcPr>
            <w:tcW w:w="220" w:type="dxa"/>
            <w:vAlign w:val="bottom"/>
            <w:tcBorders>
              <w:top w:val="single" w:sz="8" w:color="auto"/>
              <w:bottom w:val="single" w:sz="8" w:color="auto"/>
            </w:tcBorders>
          </w:tcPr>
          <w:p>
            <w:pPr>
              <w:spacing w:after="0"/>
              <w:rPr>
                <w:sz w:val="14"/>
                <w:szCs w:val="14"/>
                <w:color w:val="auto"/>
              </w:rPr>
            </w:pP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40" w:type="dxa"/>
            <w:vAlign w:val="bottom"/>
            <w:tcBorders>
              <w:top w:val="single" w:sz="8" w:color="auto"/>
              <w:bottom w:val="single" w:sz="8" w:color="auto"/>
            </w:tcBorders>
          </w:tcPr>
          <w:p>
            <w:pPr>
              <w:jc w:val="right"/>
              <w:ind w:right="32"/>
              <w:spacing w:after="0"/>
              <w:rPr>
                <w:sz w:val="20"/>
                <w:szCs w:val="20"/>
                <w:color w:val="auto"/>
              </w:rPr>
            </w:pPr>
            <w:r>
              <w:rPr>
                <w:rFonts w:ascii="Arial" w:cs="Arial" w:eastAsia="Arial" w:hAnsi="Arial"/>
                <w:sz w:val="10"/>
                <w:szCs w:val="10"/>
                <w:b w:val="1"/>
                <w:bCs w:val="1"/>
                <w:color w:val="auto"/>
                <w:w w:val="71"/>
              </w:rPr>
              <w:t>$</w:t>
            </w: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86</w:t>
            </w:r>
          </w:p>
        </w:tc>
        <w:tc>
          <w:tcPr>
            <w:tcW w:w="240" w:type="dxa"/>
            <w:vAlign w:val="bottom"/>
          </w:tcPr>
          <w:p>
            <w:pPr>
              <w:spacing w:after="0"/>
              <w:rPr>
                <w:sz w:val="14"/>
                <w:szCs w:val="14"/>
                <w:color w:val="auto"/>
              </w:rPr>
            </w:pPr>
          </w:p>
        </w:tc>
        <w:tc>
          <w:tcPr>
            <w:tcW w:w="420" w:type="dxa"/>
            <w:vAlign w:val="bottom"/>
            <w:tcBorders>
              <w:top w:val="single" w:sz="8" w:color="auto"/>
              <w:bottom w:val="single" w:sz="8" w:color="auto"/>
            </w:tcBorders>
          </w:tcPr>
          <w:p>
            <w:pPr>
              <w:spacing w:after="0"/>
              <w:rPr>
                <w:sz w:val="14"/>
                <w:szCs w:val="14"/>
                <w:color w:val="auto"/>
              </w:rPr>
            </w:pPr>
          </w:p>
        </w:tc>
        <w:tc>
          <w:tcPr>
            <w:tcW w:w="6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80" w:type="dxa"/>
            <w:vAlign w:val="bottom"/>
            <w:tcBorders>
              <w:top w:val="single" w:sz="8" w:color="auto"/>
              <w:bottom w:val="single" w:sz="8" w:color="auto"/>
            </w:tcBorders>
          </w:tcPr>
          <w:p>
            <w:pPr>
              <w:jc w:val="right"/>
              <w:ind w:right="72"/>
              <w:spacing w:after="0"/>
              <w:rPr>
                <w:sz w:val="20"/>
                <w:szCs w:val="20"/>
                <w:color w:val="auto"/>
              </w:rPr>
            </w:pPr>
            <w:r>
              <w:rPr>
                <w:rFonts w:ascii="Arial" w:cs="Arial" w:eastAsia="Arial" w:hAnsi="Arial"/>
                <w:sz w:val="10"/>
                <w:szCs w:val="10"/>
                <w:b w:val="1"/>
                <w:bCs w:val="1"/>
                <w:color w:val="auto"/>
                <w:w w:val="71"/>
              </w:rPr>
              <w:t>$</w:t>
            </w: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108</w:t>
            </w:r>
          </w:p>
        </w:tc>
        <w:tc>
          <w:tcPr>
            <w:tcW w:w="200" w:type="dxa"/>
            <w:vAlign w:val="bottom"/>
          </w:tcPr>
          <w:p>
            <w:pPr>
              <w:spacing w:after="0"/>
              <w:rPr>
                <w:sz w:val="14"/>
                <w:szCs w:val="14"/>
                <w:color w:val="auto"/>
              </w:rPr>
            </w:pPr>
          </w:p>
        </w:tc>
        <w:tc>
          <w:tcPr>
            <w:tcW w:w="240" w:type="dxa"/>
            <w:vAlign w:val="bottom"/>
            <w:tcBorders>
              <w:top w:val="single" w:sz="8" w:color="auto"/>
              <w:bottom w:val="single" w:sz="8" w:color="auto"/>
            </w:tcBorders>
          </w:tcPr>
          <w:p>
            <w:pPr>
              <w:spacing w:after="0"/>
              <w:rPr>
                <w:sz w:val="14"/>
                <w:szCs w:val="14"/>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317"/>
        </w:trPr>
        <w:tc>
          <w:tcPr>
            <w:tcW w:w="3500" w:type="dxa"/>
            <w:vAlign w:val="bottom"/>
          </w:tcPr>
          <w:p>
            <w:pPr>
              <w:spacing w:after="0"/>
              <w:rPr>
                <w:sz w:val="24"/>
                <w:szCs w:val="24"/>
                <w:color w:val="auto"/>
              </w:rPr>
            </w:pPr>
          </w:p>
        </w:tc>
        <w:tc>
          <w:tcPr>
            <w:tcW w:w="520" w:type="dxa"/>
            <w:vAlign w:val="bottom"/>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560" w:type="dxa"/>
            <w:vAlign w:val="bottom"/>
            <w:tcBorders>
              <w:bottom w:val="single" w:sz="8" w:color="auto"/>
            </w:tcBorders>
            <w:gridSpan w:val="3"/>
          </w:tcPr>
          <w:p>
            <w:pPr>
              <w:jc w:val="center"/>
              <w:ind w:left="356"/>
              <w:spacing w:after="0"/>
              <w:rPr>
                <w:sz w:val="20"/>
                <w:szCs w:val="20"/>
                <w:color w:val="auto"/>
              </w:rPr>
            </w:pPr>
            <w:r>
              <w:rPr>
                <w:rFonts w:ascii="Arial" w:cs="Arial" w:eastAsia="Arial" w:hAnsi="Arial"/>
                <w:sz w:val="13"/>
                <w:szCs w:val="13"/>
                <w:b w:val="1"/>
                <w:bCs w:val="1"/>
                <w:color w:val="auto"/>
                <w:w w:val="87"/>
              </w:rPr>
              <w:t>As of December 31,</w:t>
            </w:r>
          </w:p>
        </w:tc>
        <w:tc>
          <w:tcPr>
            <w:tcW w:w="6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154"/>
        </w:trPr>
        <w:tc>
          <w:tcPr>
            <w:tcW w:w="3500" w:type="dxa"/>
            <w:vAlign w:val="bottom"/>
          </w:tcPr>
          <w:p>
            <w:pPr>
              <w:spacing w:after="0"/>
              <w:rPr>
                <w:sz w:val="13"/>
                <w:szCs w:val="13"/>
                <w:color w:val="auto"/>
              </w:rPr>
            </w:pPr>
          </w:p>
        </w:tc>
        <w:tc>
          <w:tcPr>
            <w:tcW w:w="520" w:type="dxa"/>
            <w:vAlign w:val="bottom"/>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1320" w:type="dxa"/>
            <w:vAlign w:val="bottom"/>
            <w:tcBorders>
              <w:bottom w:val="single" w:sz="8" w:color="auto"/>
            </w:tcBorders>
            <w:gridSpan w:val="3"/>
          </w:tcPr>
          <w:p>
            <w:pPr>
              <w:jc w:val="right"/>
              <w:ind w:right="220"/>
              <w:spacing w:after="0"/>
              <w:rPr>
                <w:sz w:val="20"/>
                <w:szCs w:val="20"/>
                <w:color w:val="auto"/>
              </w:rPr>
            </w:pPr>
            <w:r>
              <w:rPr>
                <w:rFonts w:ascii="Arial" w:cs="Arial" w:eastAsia="Arial" w:hAnsi="Arial"/>
                <w:sz w:val="13"/>
                <w:szCs w:val="13"/>
                <w:b w:val="1"/>
                <w:bCs w:val="1"/>
                <w:color w:val="auto"/>
              </w:rPr>
              <w:t>2018</w:t>
            </w:r>
          </w:p>
        </w:tc>
        <w:tc>
          <w:tcPr>
            <w:tcW w:w="82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1560" w:type="dxa"/>
            <w:vAlign w:val="bottom"/>
            <w:tcBorders>
              <w:bottom w:val="single" w:sz="8" w:color="auto"/>
            </w:tcBorders>
            <w:gridSpan w:val="3"/>
          </w:tcPr>
          <w:p>
            <w:pPr>
              <w:jc w:val="right"/>
              <w:ind w:right="420"/>
              <w:spacing w:after="0"/>
              <w:rPr>
                <w:sz w:val="20"/>
                <w:szCs w:val="20"/>
                <w:color w:val="auto"/>
              </w:rPr>
            </w:pPr>
            <w:r>
              <w:rPr>
                <w:rFonts w:ascii="Arial" w:cs="Arial" w:eastAsia="Arial" w:hAnsi="Arial"/>
                <w:sz w:val="13"/>
                <w:szCs w:val="13"/>
                <w:b w:val="1"/>
                <w:bCs w:val="1"/>
                <w:color w:val="auto"/>
              </w:rPr>
              <w:t>2017</w:t>
            </w:r>
          </w:p>
        </w:tc>
        <w:tc>
          <w:tcPr>
            <w:tcW w:w="62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1300" w:type="dxa"/>
            <w:vAlign w:val="bottom"/>
            <w:tcBorders>
              <w:bottom w:val="single" w:sz="8" w:color="auto"/>
            </w:tcBorders>
            <w:gridSpan w:val="3"/>
          </w:tcPr>
          <w:p>
            <w:pPr>
              <w:jc w:val="right"/>
              <w:ind w:right="220"/>
              <w:spacing w:after="0"/>
              <w:rPr>
                <w:sz w:val="20"/>
                <w:szCs w:val="20"/>
                <w:color w:val="auto"/>
              </w:rPr>
            </w:pPr>
            <w:r>
              <w:rPr>
                <w:rFonts w:ascii="Arial" w:cs="Arial" w:eastAsia="Arial" w:hAnsi="Arial"/>
                <w:sz w:val="13"/>
                <w:szCs w:val="13"/>
                <w:b w:val="1"/>
                <w:bCs w:val="1"/>
                <w:color w:val="auto"/>
              </w:rPr>
              <w:t>2016</w:t>
            </w:r>
          </w:p>
        </w:tc>
        <w:tc>
          <w:tcPr>
            <w:tcW w:w="780" w:type="dxa"/>
            <w:vAlign w:val="bottom"/>
            <w:tcBorders>
              <w:bottom w:val="single" w:sz="8" w:color="auto"/>
            </w:tcBorders>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3"/>
        </w:trPr>
        <w:tc>
          <w:tcPr>
            <w:tcW w:w="3500" w:type="dxa"/>
            <w:vAlign w:val="bottom"/>
          </w:tcPr>
          <w:p>
            <w:pPr>
              <w:spacing w:after="0"/>
              <w:rPr>
                <w:sz w:val="13"/>
                <w:szCs w:val="13"/>
                <w:color w:val="auto"/>
              </w:rPr>
            </w:pPr>
          </w:p>
        </w:tc>
        <w:tc>
          <w:tcPr>
            <w:tcW w:w="520" w:type="dxa"/>
            <w:vAlign w:val="bottom"/>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1320" w:type="dxa"/>
            <w:vAlign w:val="bottom"/>
            <w:tcBorders>
              <w:bottom w:val="single" w:sz="8" w:color="auto"/>
            </w:tcBorders>
            <w:gridSpan w:val="3"/>
          </w:tcPr>
          <w:p>
            <w:pPr>
              <w:jc w:val="right"/>
              <w:ind w:right="760"/>
              <w:spacing w:after="0"/>
              <w:rPr>
                <w:sz w:val="20"/>
                <w:szCs w:val="20"/>
                <w:color w:val="auto"/>
              </w:rPr>
            </w:pPr>
            <w:r>
              <w:rPr>
                <w:rFonts w:ascii="Arial" w:cs="Arial" w:eastAsia="Arial" w:hAnsi="Arial"/>
                <w:sz w:val="13"/>
                <w:szCs w:val="13"/>
                <w:b w:val="1"/>
                <w:bCs w:val="1"/>
                <w:color w:val="auto"/>
              </w:rPr>
              <w:t>Amount</w:t>
            </w:r>
          </w:p>
        </w:tc>
        <w:tc>
          <w:tcPr>
            <w:tcW w:w="820" w:type="dxa"/>
            <w:vAlign w:val="bottom"/>
            <w:tcBorders>
              <w:bottom w:val="single" w:sz="8" w:color="auto"/>
            </w:tcBorders>
          </w:tcPr>
          <w:p>
            <w:pPr>
              <w:jc w:val="right"/>
              <w:ind w:right="396"/>
              <w:spacing w:after="0"/>
              <w:rPr>
                <w:sz w:val="20"/>
                <w:szCs w:val="20"/>
                <w:color w:val="auto"/>
              </w:rPr>
            </w:pPr>
            <w:r>
              <w:rPr>
                <w:rFonts w:ascii="Arial" w:cs="Arial" w:eastAsia="Arial" w:hAnsi="Arial"/>
                <w:sz w:val="13"/>
                <w:szCs w:val="13"/>
                <w:b w:val="1"/>
                <w:bCs w:val="1"/>
                <w:color w:val="auto"/>
              </w:rPr>
              <w:t>%</w:t>
            </w:r>
          </w:p>
        </w:tc>
        <w:tc>
          <w:tcPr>
            <w:tcW w:w="10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1560" w:type="dxa"/>
            <w:vAlign w:val="bottom"/>
            <w:tcBorders>
              <w:bottom w:val="single" w:sz="8" w:color="auto"/>
            </w:tcBorders>
            <w:gridSpan w:val="3"/>
          </w:tcPr>
          <w:p>
            <w:pPr>
              <w:jc w:val="right"/>
              <w:ind w:right="960"/>
              <w:spacing w:after="0"/>
              <w:rPr>
                <w:sz w:val="20"/>
                <w:szCs w:val="20"/>
                <w:color w:val="auto"/>
              </w:rPr>
            </w:pPr>
            <w:r>
              <w:rPr>
                <w:rFonts w:ascii="Arial" w:cs="Arial" w:eastAsia="Arial" w:hAnsi="Arial"/>
                <w:sz w:val="13"/>
                <w:szCs w:val="13"/>
                <w:b w:val="1"/>
                <w:bCs w:val="1"/>
                <w:color w:val="auto"/>
              </w:rPr>
              <w:t>Amount</w:t>
            </w:r>
          </w:p>
        </w:tc>
        <w:tc>
          <w:tcPr>
            <w:tcW w:w="620" w:type="dxa"/>
            <w:vAlign w:val="bottom"/>
            <w:tcBorders>
              <w:bottom w:val="single" w:sz="8" w:color="auto"/>
            </w:tcBorders>
          </w:tcPr>
          <w:p>
            <w:pPr>
              <w:jc w:val="right"/>
              <w:ind w:right="396"/>
              <w:spacing w:after="0"/>
              <w:rPr>
                <w:sz w:val="20"/>
                <w:szCs w:val="20"/>
                <w:color w:val="auto"/>
              </w:rPr>
            </w:pPr>
            <w:r>
              <w:rPr>
                <w:rFonts w:ascii="Arial" w:cs="Arial" w:eastAsia="Arial" w:hAnsi="Arial"/>
                <w:sz w:val="13"/>
                <w:szCs w:val="13"/>
                <w:b w:val="1"/>
                <w:bCs w:val="1"/>
                <w:color w:val="auto"/>
              </w:rPr>
              <w:t>%</w:t>
            </w:r>
          </w:p>
        </w:tc>
        <w:tc>
          <w:tcPr>
            <w:tcW w:w="10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1300" w:type="dxa"/>
            <w:vAlign w:val="bottom"/>
            <w:tcBorders>
              <w:bottom w:val="single" w:sz="8" w:color="auto"/>
            </w:tcBorders>
            <w:gridSpan w:val="3"/>
          </w:tcPr>
          <w:p>
            <w:pPr>
              <w:jc w:val="right"/>
              <w:ind w:right="740"/>
              <w:spacing w:after="0"/>
              <w:rPr>
                <w:sz w:val="20"/>
                <w:szCs w:val="20"/>
                <w:color w:val="auto"/>
              </w:rPr>
            </w:pPr>
            <w:r>
              <w:rPr>
                <w:rFonts w:ascii="Arial" w:cs="Arial" w:eastAsia="Arial" w:hAnsi="Arial"/>
                <w:sz w:val="13"/>
                <w:szCs w:val="13"/>
                <w:b w:val="1"/>
                <w:bCs w:val="1"/>
                <w:color w:val="auto"/>
              </w:rPr>
              <w:t>Amount</w:t>
            </w:r>
          </w:p>
        </w:tc>
        <w:tc>
          <w:tcPr>
            <w:tcW w:w="780" w:type="dxa"/>
            <w:vAlign w:val="bottom"/>
            <w:tcBorders>
              <w:bottom w:val="single" w:sz="8" w:color="auto"/>
            </w:tcBorders>
          </w:tcPr>
          <w:p>
            <w:pPr>
              <w:jc w:val="right"/>
              <w:ind w:right="376"/>
              <w:spacing w:after="0"/>
              <w:rPr>
                <w:sz w:val="20"/>
                <w:szCs w:val="20"/>
                <w:color w:val="auto"/>
              </w:rPr>
            </w:pPr>
            <w:r>
              <w:rPr>
                <w:rFonts w:ascii="Arial" w:cs="Arial" w:eastAsia="Arial" w:hAnsi="Arial"/>
                <w:sz w:val="13"/>
                <w:szCs w:val="13"/>
                <w:b w:val="1"/>
                <w:bCs w:val="1"/>
                <w:color w:val="auto"/>
              </w:rPr>
              <w:t>%</w:t>
            </w: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44"/>
        </w:trPr>
        <w:tc>
          <w:tcPr>
            <w:tcW w:w="350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2280" w:type="dxa"/>
            <w:vAlign w:val="bottom"/>
            <w:gridSpan w:val="5"/>
          </w:tcPr>
          <w:p>
            <w:pPr>
              <w:jc w:val="center"/>
              <w:ind w:right="300"/>
              <w:spacing w:after="0" w:line="144" w:lineRule="exact"/>
              <w:rPr>
                <w:sz w:val="20"/>
                <w:szCs w:val="20"/>
                <w:color w:val="auto"/>
              </w:rPr>
            </w:pPr>
            <w:r>
              <w:rPr>
                <w:rFonts w:ascii="Arial" w:cs="Arial" w:eastAsia="Arial" w:hAnsi="Arial"/>
                <w:sz w:val="13"/>
                <w:szCs w:val="13"/>
                <w:b w:val="1"/>
                <w:bCs w:val="1"/>
                <w:color w:val="auto"/>
                <w:w w:val="87"/>
              </w:rPr>
              <w:t>(in $ millions, except percentages)</w:t>
            </w:r>
          </w:p>
        </w:tc>
        <w:tc>
          <w:tcPr>
            <w:tcW w:w="1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3500" w:type="dxa"/>
            <w:vAlign w:val="bottom"/>
            <w:shd w:val="clear" w:color="auto" w:fill="CCEEFF"/>
          </w:tcPr>
          <w:p>
            <w:pPr>
              <w:spacing w:after="0"/>
              <w:rPr>
                <w:sz w:val="20"/>
                <w:szCs w:val="20"/>
                <w:color w:val="auto"/>
              </w:rPr>
            </w:pPr>
            <w:r>
              <w:rPr>
                <w:rFonts w:ascii="Arial" w:cs="Arial" w:eastAsia="Arial" w:hAnsi="Arial"/>
                <w:sz w:val="13"/>
                <w:szCs w:val="13"/>
                <w:color w:val="auto"/>
              </w:rPr>
              <w:t>Private sector commercial banks and financial institutions</w:t>
            </w:r>
          </w:p>
        </w:tc>
        <w:tc>
          <w:tcPr>
            <w:tcW w:w="700" w:type="dxa"/>
            <w:vAlign w:val="bottom"/>
            <w:gridSpan w:val="2"/>
            <w:shd w:val="clear" w:color="auto" w:fill="CCEEFF"/>
          </w:tcPr>
          <w:p>
            <w:pPr>
              <w:jc w:val="right"/>
              <w:ind w:right="72"/>
              <w:spacing w:after="0"/>
              <w:rPr>
                <w:sz w:val="20"/>
                <w:szCs w:val="20"/>
                <w:color w:val="auto"/>
              </w:rPr>
            </w:pPr>
            <w:r>
              <w:rPr>
                <w:rFonts w:ascii="Arial" w:cs="Arial" w:eastAsia="Arial" w:hAnsi="Arial"/>
                <w:sz w:val="13"/>
                <w:szCs w:val="13"/>
                <w:color w:val="auto"/>
              </w:rPr>
              <w:t>$</w:t>
            </w:r>
          </w:p>
        </w:tc>
        <w:tc>
          <w:tcPr>
            <w:tcW w:w="11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19</w:t>
            </w:r>
          </w:p>
        </w:tc>
        <w:tc>
          <w:tcPr>
            <w:tcW w:w="22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17.5</w:t>
            </w:r>
          </w:p>
        </w:tc>
        <w:tc>
          <w:tcPr>
            <w:tcW w:w="260" w:type="dxa"/>
            <w:vAlign w:val="bottom"/>
            <w:gridSpan w:val="2"/>
            <w:shd w:val="clear" w:color="auto" w:fill="CCEEFF"/>
          </w:tcPr>
          <w:p>
            <w:pPr>
              <w:jc w:val="right"/>
              <w:ind w:right="32"/>
              <w:spacing w:after="0"/>
              <w:rPr>
                <w:sz w:val="20"/>
                <w:szCs w:val="20"/>
                <w:color w:val="auto"/>
              </w:rPr>
            </w:pPr>
            <w:r>
              <w:rPr>
                <w:rFonts w:ascii="Arial" w:cs="Arial" w:eastAsia="Arial" w:hAnsi="Arial"/>
                <w:sz w:val="13"/>
                <w:szCs w:val="13"/>
                <w:color w:val="auto"/>
              </w:rPr>
              <w:t>$</w:t>
            </w:r>
          </w:p>
        </w:tc>
        <w:tc>
          <w:tcPr>
            <w:tcW w:w="9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11</w:t>
            </w:r>
          </w:p>
        </w:tc>
        <w:tc>
          <w:tcPr>
            <w:tcW w:w="240" w:type="dxa"/>
            <w:vAlign w:val="bottom"/>
            <w:shd w:val="clear" w:color="auto" w:fill="CCEEFF"/>
          </w:tcPr>
          <w:p>
            <w:pPr>
              <w:spacing w:after="0"/>
              <w:rPr>
                <w:sz w:val="13"/>
                <w:szCs w:val="13"/>
                <w:color w:val="auto"/>
              </w:rPr>
            </w:pPr>
          </w:p>
        </w:tc>
        <w:tc>
          <w:tcPr>
            <w:tcW w:w="4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13.4</w:t>
            </w:r>
          </w:p>
        </w:tc>
        <w:tc>
          <w:tcPr>
            <w:tcW w:w="300" w:type="dxa"/>
            <w:vAlign w:val="bottom"/>
            <w:gridSpan w:val="2"/>
            <w:shd w:val="clear" w:color="auto" w:fill="CCEEFF"/>
          </w:tcPr>
          <w:p>
            <w:pPr>
              <w:jc w:val="right"/>
              <w:ind w:right="72"/>
              <w:spacing w:after="0"/>
              <w:rPr>
                <w:sz w:val="20"/>
                <w:szCs w:val="20"/>
                <w:color w:val="auto"/>
              </w:rPr>
            </w:pPr>
            <w:r>
              <w:rPr>
                <w:rFonts w:ascii="Arial" w:cs="Arial" w:eastAsia="Arial" w:hAnsi="Arial"/>
                <w:sz w:val="13"/>
                <w:szCs w:val="13"/>
                <w:color w:val="auto"/>
              </w:rPr>
              <w:t>$</w:t>
            </w:r>
          </w:p>
        </w:tc>
        <w:tc>
          <w:tcPr>
            <w:tcW w:w="8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w:t>
            </w:r>
          </w:p>
        </w:tc>
        <w:tc>
          <w:tcPr>
            <w:tcW w:w="2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4.1</w:t>
            </w:r>
          </w:p>
        </w:tc>
        <w:tc>
          <w:tcPr>
            <w:tcW w:w="100" w:type="dxa"/>
            <w:vAlign w:val="bottom"/>
            <w:shd w:val="clear" w:color="auto" w:fill="CCEEFF"/>
          </w:tcPr>
          <w:p>
            <w:pPr>
              <w:spacing w:after="0"/>
              <w:rPr>
                <w:sz w:val="13"/>
                <w:szCs w:val="13"/>
                <w:color w:val="auto"/>
              </w:rPr>
            </w:pPr>
          </w:p>
        </w:tc>
      </w:tr>
      <w:tr>
        <w:trPr>
          <w:trHeight w:val="154"/>
        </w:trPr>
        <w:tc>
          <w:tcPr>
            <w:tcW w:w="3500" w:type="dxa"/>
            <w:vAlign w:val="bottom"/>
          </w:tcPr>
          <w:p>
            <w:pPr>
              <w:spacing w:after="0"/>
              <w:rPr>
                <w:sz w:val="20"/>
                <w:szCs w:val="20"/>
                <w:color w:val="auto"/>
              </w:rPr>
            </w:pPr>
            <w:r>
              <w:rPr>
                <w:rFonts w:ascii="Arial" w:cs="Arial" w:eastAsia="Arial" w:hAnsi="Arial"/>
                <w:sz w:val="13"/>
                <w:szCs w:val="13"/>
                <w:color w:val="auto"/>
              </w:rPr>
              <w:t>State-owned commercial banks</w:t>
            </w:r>
          </w:p>
        </w:tc>
        <w:tc>
          <w:tcPr>
            <w:tcW w:w="5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100" w:type="dxa"/>
            <w:vAlign w:val="bottom"/>
            <w:gridSpan w:val="2"/>
          </w:tcPr>
          <w:p>
            <w:pPr>
              <w:jc w:val="right"/>
              <w:ind w:right="240"/>
              <w:spacing w:after="0"/>
              <w:rPr>
                <w:sz w:val="20"/>
                <w:szCs w:val="20"/>
                <w:color w:val="auto"/>
              </w:rPr>
            </w:pPr>
            <w:r>
              <w:rPr>
                <w:rFonts w:ascii="Arial" w:cs="Arial" w:eastAsia="Arial" w:hAnsi="Arial"/>
                <w:sz w:val="13"/>
                <w:szCs w:val="13"/>
                <w:color w:val="auto"/>
              </w:rPr>
              <w:t>3</w:t>
            </w:r>
          </w:p>
        </w:tc>
        <w:tc>
          <w:tcPr>
            <w:tcW w:w="220" w:type="dxa"/>
            <w:vAlign w:val="bottom"/>
          </w:tcPr>
          <w:p>
            <w:pPr>
              <w:spacing w:after="0"/>
              <w:rPr>
                <w:sz w:val="13"/>
                <w:szCs w:val="13"/>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2.7</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900" w:type="dxa"/>
            <w:vAlign w:val="bottom"/>
          </w:tcPr>
          <w:p>
            <w:pPr>
              <w:jc w:val="right"/>
              <w:spacing w:after="0"/>
              <w:rPr>
                <w:sz w:val="20"/>
                <w:szCs w:val="20"/>
                <w:color w:val="auto"/>
              </w:rPr>
            </w:pPr>
            <w:r>
              <w:rPr>
                <w:rFonts w:ascii="Arial" w:cs="Arial" w:eastAsia="Arial" w:hAnsi="Arial"/>
                <w:sz w:val="13"/>
                <w:szCs w:val="13"/>
                <w:color w:val="auto"/>
              </w:rPr>
              <w:t>3</w:t>
            </w:r>
          </w:p>
        </w:tc>
        <w:tc>
          <w:tcPr>
            <w:tcW w:w="24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Arial" w:cs="Arial" w:eastAsia="Arial" w:hAnsi="Arial"/>
                <w:sz w:val="13"/>
                <w:szCs w:val="13"/>
                <w:color w:val="auto"/>
              </w:rPr>
              <w:t>3.4</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3</w:t>
            </w: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3"/>
                <w:szCs w:val="13"/>
                <w:color w:val="auto"/>
              </w:rPr>
              <w:t>2.6</w:t>
            </w:r>
          </w:p>
        </w:tc>
        <w:tc>
          <w:tcPr>
            <w:tcW w:w="100" w:type="dxa"/>
            <w:vAlign w:val="bottom"/>
          </w:tcPr>
          <w:p>
            <w:pPr>
              <w:spacing w:after="0"/>
              <w:rPr>
                <w:sz w:val="13"/>
                <w:szCs w:val="13"/>
                <w:color w:val="auto"/>
              </w:rPr>
            </w:pPr>
          </w:p>
        </w:tc>
      </w:tr>
      <w:tr>
        <w:trPr>
          <w:trHeight w:val="154"/>
        </w:trPr>
        <w:tc>
          <w:tcPr>
            <w:tcW w:w="3500" w:type="dxa"/>
            <w:vAlign w:val="bottom"/>
            <w:shd w:val="clear" w:color="auto" w:fill="CCEEFF"/>
          </w:tcPr>
          <w:p>
            <w:pPr>
              <w:spacing w:after="0"/>
              <w:rPr>
                <w:sz w:val="20"/>
                <w:szCs w:val="20"/>
                <w:color w:val="auto"/>
              </w:rPr>
            </w:pPr>
            <w:r>
              <w:rPr>
                <w:rFonts w:ascii="Arial" w:cs="Arial" w:eastAsia="Arial" w:hAnsi="Arial"/>
                <w:sz w:val="13"/>
                <w:szCs w:val="13"/>
                <w:color w:val="auto"/>
              </w:rPr>
              <w:t>Sovereign debt</w:t>
            </w:r>
          </w:p>
        </w:tc>
        <w:tc>
          <w:tcPr>
            <w:tcW w:w="5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46</w:t>
            </w:r>
          </w:p>
        </w:tc>
        <w:tc>
          <w:tcPr>
            <w:tcW w:w="22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43.5</w:t>
            </w:r>
          </w:p>
        </w:tc>
        <w:tc>
          <w:tcPr>
            <w:tcW w:w="12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48</w:t>
            </w:r>
          </w:p>
        </w:tc>
        <w:tc>
          <w:tcPr>
            <w:tcW w:w="240" w:type="dxa"/>
            <w:vAlign w:val="bottom"/>
            <w:shd w:val="clear" w:color="auto" w:fill="CCEEFF"/>
          </w:tcPr>
          <w:p>
            <w:pPr>
              <w:spacing w:after="0"/>
              <w:rPr>
                <w:sz w:val="13"/>
                <w:szCs w:val="13"/>
                <w:color w:val="auto"/>
              </w:rPr>
            </w:pPr>
          </w:p>
        </w:tc>
        <w:tc>
          <w:tcPr>
            <w:tcW w:w="4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55.7</w:t>
            </w:r>
          </w:p>
        </w:tc>
        <w:tc>
          <w:tcPr>
            <w:tcW w:w="1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49</w:t>
            </w:r>
          </w:p>
        </w:tc>
        <w:tc>
          <w:tcPr>
            <w:tcW w:w="2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45.2</w:t>
            </w:r>
          </w:p>
        </w:tc>
        <w:tc>
          <w:tcPr>
            <w:tcW w:w="100" w:type="dxa"/>
            <w:vAlign w:val="bottom"/>
            <w:shd w:val="clear" w:color="auto" w:fill="CCEEFF"/>
          </w:tcPr>
          <w:p>
            <w:pPr>
              <w:spacing w:after="0"/>
              <w:rPr>
                <w:sz w:val="13"/>
                <w:szCs w:val="13"/>
                <w:color w:val="auto"/>
              </w:rPr>
            </w:pPr>
          </w:p>
        </w:tc>
      </w:tr>
      <w:tr>
        <w:trPr>
          <w:trHeight w:val="154"/>
        </w:trPr>
        <w:tc>
          <w:tcPr>
            <w:tcW w:w="3500" w:type="dxa"/>
            <w:vAlign w:val="bottom"/>
          </w:tcPr>
          <w:p>
            <w:pPr>
              <w:spacing w:after="0"/>
              <w:rPr>
                <w:sz w:val="20"/>
                <w:szCs w:val="20"/>
                <w:color w:val="auto"/>
              </w:rPr>
            </w:pPr>
            <w:r>
              <w:rPr>
                <w:rFonts w:ascii="Arial" w:cs="Arial" w:eastAsia="Arial" w:hAnsi="Arial"/>
                <w:sz w:val="13"/>
                <w:szCs w:val="13"/>
                <w:color w:val="auto"/>
              </w:rPr>
              <w:t>State-owned organizations</w:t>
            </w:r>
          </w:p>
        </w:tc>
        <w:tc>
          <w:tcPr>
            <w:tcW w:w="5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100" w:type="dxa"/>
            <w:vAlign w:val="bottom"/>
            <w:gridSpan w:val="2"/>
          </w:tcPr>
          <w:p>
            <w:pPr>
              <w:jc w:val="right"/>
              <w:ind w:right="240"/>
              <w:spacing w:after="0"/>
              <w:rPr>
                <w:sz w:val="20"/>
                <w:szCs w:val="20"/>
                <w:color w:val="auto"/>
              </w:rPr>
            </w:pPr>
            <w:r>
              <w:rPr>
                <w:rFonts w:ascii="Arial" w:cs="Arial" w:eastAsia="Arial" w:hAnsi="Arial"/>
                <w:sz w:val="13"/>
                <w:szCs w:val="13"/>
                <w:color w:val="auto"/>
              </w:rPr>
              <w:t>32</w:t>
            </w:r>
          </w:p>
        </w:tc>
        <w:tc>
          <w:tcPr>
            <w:tcW w:w="220" w:type="dxa"/>
            <w:vAlign w:val="bottom"/>
          </w:tcPr>
          <w:p>
            <w:pPr>
              <w:spacing w:after="0"/>
              <w:rPr>
                <w:sz w:val="13"/>
                <w:szCs w:val="13"/>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3"/>
                <w:szCs w:val="13"/>
                <w:color w:val="auto"/>
              </w:rPr>
              <w:t>29.5</w:t>
            </w:r>
          </w:p>
        </w:tc>
        <w:tc>
          <w:tcPr>
            <w:tcW w:w="1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900" w:type="dxa"/>
            <w:vAlign w:val="bottom"/>
          </w:tcPr>
          <w:p>
            <w:pPr>
              <w:jc w:val="right"/>
              <w:spacing w:after="0"/>
              <w:rPr>
                <w:sz w:val="20"/>
                <w:szCs w:val="20"/>
                <w:color w:val="auto"/>
              </w:rPr>
            </w:pPr>
            <w:r>
              <w:rPr>
                <w:rFonts w:ascii="Arial" w:cs="Arial" w:eastAsia="Arial" w:hAnsi="Arial"/>
                <w:sz w:val="13"/>
                <w:szCs w:val="13"/>
                <w:color w:val="auto"/>
              </w:rPr>
              <w:t>24</w:t>
            </w:r>
          </w:p>
        </w:tc>
        <w:tc>
          <w:tcPr>
            <w:tcW w:w="24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27.5</w:t>
            </w: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35</w:t>
            </w: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3"/>
                <w:szCs w:val="13"/>
                <w:color w:val="auto"/>
              </w:rPr>
              <w:t>32.4</w:t>
            </w:r>
          </w:p>
        </w:tc>
        <w:tc>
          <w:tcPr>
            <w:tcW w:w="100" w:type="dxa"/>
            <w:vAlign w:val="bottom"/>
          </w:tcPr>
          <w:p>
            <w:pPr>
              <w:spacing w:after="0"/>
              <w:rPr>
                <w:sz w:val="13"/>
                <w:szCs w:val="13"/>
                <w:color w:val="auto"/>
              </w:rPr>
            </w:pPr>
          </w:p>
        </w:tc>
      </w:tr>
      <w:tr>
        <w:trPr>
          <w:trHeight w:val="164"/>
        </w:trPr>
        <w:tc>
          <w:tcPr>
            <w:tcW w:w="3500" w:type="dxa"/>
            <w:vAlign w:val="bottom"/>
            <w:shd w:val="clear" w:color="auto" w:fill="CCEEFF"/>
          </w:tcPr>
          <w:p>
            <w:pPr>
              <w:spacing w:after="0"/>
              <w:rPr>
                <w:sz w:val="20"/>
                <w:szCs w:val="20"/>
                <w:color w:val="auto"/>
              </w:rPr>
            </w:pPr>
            <w:r>
              <w:rPr>
                <w:rFonts w:ascii="Arial" w:cs="Arial" w:eastAsia="Arial" w:hAnsi="Arial"/>
                <w:sz w:val="13"/>
                <w:szCs w:val="13"/>
                <w:color w:val="auto"/>
              </w:rPr>
              <w:t>Private corporations</w:t>
            </w:r>
          </w:p>
        </w:tc>
        <w:tc>
          <w:tcPr>
            <w:tcW w:w="52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11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7</w:t>
            </w:r>
          </w:p>
        </w:tc>
        <w:tc>
          <w:tcPr>
            <w:tcW w:w="220" w:type="dxa"/>
            <w:vAlign w:val="bottom"/>
            <w:shd w:val="clear" w:color="auto" w:fill="CCEEFF"/>
          </w:tcPr>
          <w:p>
            <w:pPr>
              <w:spacing w:after="0"/>
              <w:rPr>
                <w:sz w:val="14"/>
                <w:szCs w:val="14"/>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6.8</w:t>
            </w:r>
          </w:p>
        </w:tc>
        <w:tc>
          <w:tcPr>
            <w:tcW w:w="1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w:t>
            </w:r>
          </w:p>
        </w:tc>
        <w:tc>
          <w:tcPr>
            <w:tcW w:w="240" w:type="dxa"/>
            <w:vAlign w:val="bottom"/>
            <w:shd w:val="clear" w:color="auto" w:fill="CCEEFF"/>
          </w:tcPr>
          <w:p>
            <w:pPr>
              <w:spacing w:after="0"/>
              <w:rPr>
                <w:sz w:val="14"/>
                <w:szCs w:val="14"/>
                <w:color w:val="auto"/>
              </w:rPr>
            </w:pPr>
          </w:p>
        </w:tc>
        <w:tc>
          <w:tcPr>
            <w:tcW w:w="420" w:type="dxa"/>
            <w:vAlign w:val="bottom"/>
            <w:shd w:val="clear" w:color="auto" w:fill="CCEEFF"/>
          </w:tcPr>
          <w:p>
            <w:pPr>
              <w:spacing w:after="0"/>
              <w:rPr>
                <w:sz w:val="14"/>
                <w:szCs w:val="14"/>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w:t>
            </w:r>
          </w:p>
        </w:tc>
        <w:tc>
          <w:tcPr>
            <w:tcW w:w="1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17</w:t>
            </w:r>
          </w:p>
        </w:tc>
        <w:tc>
          <w:tcPr>
            <w:tcW w:w="20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80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15.7</w:t>
            </w:r>
          </w:p>
        </w:tc>
        <w:tc>
          <w:tcPr>
            <w:tcW w:w="100" w:type="dxa"/>
            <w:vAlign w:val="bottom"/>
            <w:shd w:val="clear" w:color="auto" w:fill="CCEEFF"/>
          </w:tcPr>
          <w:p>
            <w:pPr>
              <w:spacing w:after="0"/>
              <w:rPr>
                <w:sz w:val="14"/>
                <w:szCs w:val="14"/>
                <w:color w:val="auto"/>
              </w:rPr>
            </w:pPr>
          </w:p>
        </w:tc>
      </w:tr>
      <w:tr>
        <w:trPr>
          <w:trHeight w:val="162"/>
        </w:trPr>
        <w:tc>
          <w:tcPr>
            <w:tcW w:w="3500" w:type="dxa"/>
            <w:vAlign w:val="bottom"/>
          </w:tcPr>
          <w:p>
            <w:pPr>
              <w:ind w:left="220"/>
              <w:spacing w:after="0" w:line="146" w:lineRule="exact"/>
              <w:rPr>
                <w:sz w:val="20"/>
                <w:szCs w:val="20"/>
                <w:color w:val="auto"/>
              </w:rPr>
            </w:pPr>
            <w:r>
              <w:rPr>
                <w:rFonts w:ascii="Arial" w:cs="Arial" w:eastAsia="Arial" w:hAnsi="Arial"/>
                <w:sz w:val="13"/>
                <w:szCs w:val="13"/>
                <w:b w:val="1"/>
                <w:bCs w:val="1"/>
                <w:color w:val="auto"/>
              </w:rPr>
              <w:t>Total</w:t>
            </w:r>
          </w:p>
        </w:tc>
        <w:tc>
          <w:tcPr>
            <w:tcW w:w="520" w:type="dxa"/>
            <w:vAlign w:val="bottom"/>
          </w:tcPr>
          <w:p>
            <w:pPr>
              <w:spacing w:after="0"/>
              <w:rPr>
                <w:sz w:val="14"/>
                <w:szCs w:val="14"/>
                <w:color w:val="auto"/>
              </w:rPr>
            </w:pPr>
          </w:p>
        </w:tc>
        <w:tc>
          <w:tcPr>
            <w:tcW w:w="180" w:type="dxa"/>
            <w:vAlign w:val="bottom"/>
            <w:tcBorders>
              <w:top w:val="single" w:sz="8" w:color="auto"/>
              <w:bottom w:val="single" w:sz="8" w:color="auto"/>
            </w:tcBorders>
          </w:tcPr>
          <w:p>
            <w:pPr>
              <w:jc w:val="right"/>
              <w:ind w:right="72"/>
              <w:spacing w:after="0"/>
              <w:rPr>
                <w:sz w:val="20"/>
                <w:szCs w:val="20"/>
                <w:color w:val="auto"/>
              </w:rPr>
            </w:pPr>
            <w:r>
              <w:rPr>
                <w:rFonts w:ascii="Arial" w:cs="Arial" w:eastAsia="Arial" w:hAnsi="Arial"/>
                <w:sz w:val="10"/>
                <w:szCs w:val="10"/>
                <w:b w:val="1"/>
                <w:bCs w:val="1"/>
                <w:color w:val="auto"/>
                <w:w w:val="71"/>
              </w:rPr>
              <w:t>$</w:t>
            </w: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107</w:t>
            </w:r>
          </w:p>
        </w:tc>
        <w:tc>
          <w:tcPr>
            <w:tcW w:w="240" w:type="dxa"/>
            <w:vAlign w:val="bottom"/>
          </w:tcPr>
          <w:p>
            <w:pPr>
              <w:spacing w:after="0"/>
              <w:rPr>
                <w:sz w:val="14"/>
                <w:szCs w:val="14"/>
                <w:color w:val="auto"/>
              </w:rPr>
            </w:pPr>
          </w:p>
        </w:tc>
        <w:tc>
          <w:tcPr>
            <w:tcW w:w="220" w:type="dxa"/>
            <w:vAlign w:val="bottom"/>
            <w:tcBorders>
              <w:top w:val="single" w:sz="8" w:color="auto"/>
              <w:bottom w:val="single" w:sz="8" w:color="auto"/>
            </w:tcBorders>
          </w:tcPr>
          <w:p>
            <w:pPr>
              <w:spacing w:after="0"/>
              <w:rPr>
                <w:sz w:val="14"/>
                <w:szCs w:val="14"/>
                <w:color w:val="auto"/>
              </w:rPr>
            </w:pP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40" w:type="dxa"/>
            <w:vAlign w:val="bottom"/>
            <w:tcBorders>
              <w:top w:val="single" w:sz="8" w:color="auto"/>
              <w:bottom w:val="single" w:sz="8" w:color="auto"/>
            </w:tcBorders>
          </w:tcPr>
          <w:p>
            <w:pPr>
              <w:jc w:val="right"/>
              <w:ind w:right="32"/>
              <w:spacing w:after="0"/>
              <w:rPr>
                <w:sz w:val="20"/>
                <w:szCs w:val="20"/>
                <w:color w:val="auto"/>
              </w:rPr>
            </w:pPr>
            <w:r>
              <w:rPr>
                <w:rFonts w:ascii="Arial" w:cs="Arial" w:eastAsia="Arial" w:hAnsi="Arial"/>
                <w:sz w:val="10"/>
                <w:szCs w:val="10"/>
                <w:b w:val="1"/>
                <w:bCs w:val="1"/>
                <w:color w:val="auto"/>
                <w:w w:val="71"/>
              </w:rPr>
              <w:t>$</w:t>
            </w: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86</w:t>
            </w:r>
          </w:p>
        </w:tc>
        <w:tc>
          <w:tcPr>
            <w:tcW w:w="240" w:type="dxa"/>
            <w:vAlign w:val="bottom"/>
          </w:tcPr>
          <w:p>
            <w:pPr>
              <w:spacing w:after="0"/>
              <w:rPr>
                <w:sz w:val="14"/>
                <w:szCs w:val="14"/>
                <w:color w:val="auto"/>
              </w:rPr>
            </w:pPr>
          </w:p>
        </w:tc>
        <w:tc>
          <w:tcPr>
            <w:tcW w:w="420" w:type="dxa"/>
            <w:vAlign w:val="bottom"/>
            <w:tcBorders>
              <w:top w:val="single" w:sz="8" w:color="auto"/>
              <w:bottom w:val="single" w:sz="8" w:color="auto"/>
            </w:tcBorders>
          </w:tcPr>
          <w:p>
            <w:pPr>
              <w:spacing w:after="0"/>
              <w:rPr>
                <w:sz w:val="14"/>
                <w:szCs w:val="14"/>
                <w:color w:val="auto"/>
              </w:rPr>
            </w:pPr>
          </w:p>
        </w:tc>
        <w:tc>
          <w:tcPr>
            <w:tcW w:w="6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80" w:type="dxa"/>
            <w:vAlign w:val="bottom"/>
            <w:tcBorders>
              <w:top w:val="single" w:sz="8" w:color="auto"/>
              <w:bottom w:val="single" w:sz="8" w:color="auto"/>
            </w:tcBorders>
          </w:tcPr>
          <w:p>
            <w:pPr>
              <w:jc w:val="right"/>
              <w:ind w:right="72"/>
              <w:spacing w:after="0"/>
              <w:rPr>
                <w:sz w:val="20"/>
                <w:szCs w:val="20"/>
                <w:color w:val="auto"/>
              </w:rPr>
            </w:pPr>
            <w:r>
              <w:rPr>
                <w:rFonts w:ascii="Arial" w:cs="Arial" w:eastAsia="Arial" w:hAnsi="Arial"/>
                <w:sz w:val="10"/>
                <w:szCs w:val="10"/>
                <w:b w:val="1"/>
                <w:bCs w:val="1"/>
                <w:color w:val="auto"/>
                <w:w w:val="71"/>
              </w:rPr>
              <w:t>$</w:t>
            </w: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108</w:t>
            </w:r>
          </w:p>
        </w:tc>
        <w:tc>
          <w:tcPr>
            <w:tcW w:w="200" w:type="dxa"/>
            <w:vAlign w:val="bottom"/>
          </w:tcPr>
          <w:p>
            <w:pPr>
              <w:spacing w:after="0"/>
              <w:rPr>
                <w:sz w:val="14"/>
                <w:szCs w:val="14"/>
                <w:color w:val="auto"/>
              </w:rPr>
            </w:pPr>
          </w:p>
        </w:tc>
        <w:tc>
          <w:tcPr>
            <w:tcW w:w="240" w:type="dxa"/>
            <w:vAlign w:val="bottom"/>
            <w:tcBorders>
              <w:top w:val="single" w:sz="8" w:color="auto"/>
              <w:bottom w:val="single" w:sz="8" w:color="auto"/>
            </w:tcBorders>
          </w:tcPr>
          <w:p>
            <w:pPr>
              <w:spacing w:after="0"/>
              <w:rPr>
                <w:sz w:val="14"/>
                <w:szCs w:val="14"/>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317"/>
        </w:trPr>
        <w:tc>
          <w:tcPr>
            <w:tcW w:w="3500" w:type="dxa"/>
            <w:vAlign w:val="bottom"/>
          </w:tcPr>
          <w:p>
            <w:pPr>
              <w:spacing w:after="0"/>
              <w:rPr>
                <w:sz w:val="24"/>
                <w:szCs w:val="24"/>
                <w:color w:val="auto"/>
              </w:rPr>
            </w:pPr>
          </w:p>
        </w:tc>
        <w:tc>
          <w:tcPr>
            <w:tcW w:w="520" w:type="dxa"/>
            <w:vAlign w:val="bottom"/>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560" w:type="dxa"/>
            <w:vAlign w:val="bottom"/>
            <w:tcBorders>
              <w:bottom w:val="single" w:sz="8" w:color="auto"/>
            </w:tcBorders>
            <w:gridSpan w:val="3"/>
          </w:tcPr>
          <w:p>
            <w:pPr>
              <w:jc w:val="center"/>
              <w:ind w:left="356"/>
              <w:spacing w:after="0"/>
              <w:rPr>
                <w:sz w:val="20"/>
                <w:szCs w:val="20"/>
                <w:color w:val="auto"/>
              </w:rPr>
            </w:pPr>
            <w:r>
              <w:rPr>
                <w:rFonts w:ascii="Arial" w:cs="Arial" w:eastAsia="Arial" w:hAnsi="Arial"/>
                <w:sz w:val="13"/>
                <w:szCs w:val="13"/>
                <w:b w:val="1"/>
                <w:bCs w:val="1"/>
                <w:color w:val="auto"/>
                <w:w w:val="87"/>
              </w:rPr>
              <w:t>As of December 31,</w:t>
            </w:r>
          </w:p>
        </w:tc>
        <w:tc>
          <w:tcPr>
            <w:tcW w:w="6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154"/>
        </w:trPr>
        <w:tc>
          <w:tcPr>
            <w:tcW w:w="3500" w:type="dxa"/>
            <w:vAlign w:val="bottom"/>
          </w:tcPr>
          <w:p>
            <w:pPr>
              <w:spacing w:after="0"/>
              <w:rPr>
                <w:sz w:val="13"/>
                <w:szCs w:val="13"/>
                <w:color w:val="auto"/>
              </w:rPr>
            </w:pPr>
          </w:p>
        </w:tc>
        <w:tc>
          <w:tcPr>
            <w:tcW w:w="520" w:type="dxa"/>
            <w:vAlign w:val="bottom"/>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1320" w:type="dxa"/>
            <w:vAlign w:val="bottom"/>
            <w:tcBorders>
              <w:bottom w:val="single" w:sz="8" w:color="auto"/>
            </w:tcBorders>
            <w:gridSpan w:val="3"/>
          </w:tcPr>
          <w:p>
            <w:pPr>
              <w:jc w:val="right"/>
              <w:ind w:right="220"/>
              <w:spacing w:after="0"/>
              <w:rPr>
                <w:sz w:val="20"/>
                <w:szCs w:val="20"/>
                <w:color w:val="auto"/>
              </w:rPr>
            </w:pPr>
            <w:r>
              <w:rPr>
                <w:rFonts w:ascii="Arial" w:cs="Arial" w:eastAsia="Arial" w:hAnsi="Arial"/>
                <w:sz w:val="13"/>
                <w:szCs w:val="13"/>
                <w:b w:val="1"/>
                <w:bCs w:val="1"/>
                <w:color w:val="auto"/>
              </w:rPr>
              <w:t>2018</w:t>
            </w:r>
          </w:p>
        </w:tc>
        <w:tc>
          <w:tcPr>
            <w:tcW w:w="82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1560" w:type="dxa"/>
            <w:vAlign w:val="bottom"/>
            <w:tcBorders>
              <w:bottom w:val="single" w:sz="8" w:color="auto"/>
            </w:tcBorders>
            <w:gridSpan w:val="3"/>
          </w:tcPr>
          <w:p>
            <w:pPr>
              <w:jc w:val="right"/>
              <w:ind w:right="420"/>
              <w:spacing w:after="0"/>
              <w:rPr>
                <w:sz w:val="20"/>
                <w:szCs w:val="20"/>
                <w:color w:val="auto"/>
              </w:rPr>
            </w:pPr>
            <w:r>
              <w:rPr>
                <w:rFonts w:ascii="Arial" w:cs="Arial" w:eastAsia="Arial" w:hAnsi="Arial"/>
                <w:sz w:val="13"/>
                <w:szCs w:val="13"/>
                <w:b w:val="1"/>
                <w:bCs w:val="1"/>
                <w:color w:val="auto"/>
              </w:rPr>
              <w:t>2017</w:t>
            </w:r>
          </w:p>
        </w:tc>
        <w:tc>
          <w:tcPr>
            <w:tcW w:w="62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1300" w:type="dxa"/>
            <w:vAlign w:val="bottom"/>
            <w:tcBorders>
              <w:bottom w:val="single" w:sz="8" w:color="auto"/>
            </w:tcBorders>
            <w:gridSpan w:val="3"/>
          </w:tcPr>
          <w:p>
            <w:pPr>
              <w:jc w:val="right"/>
              <w:ind w:right="220"/>
              <w:spacing w:after="0"/>
              <w:rPr>
                <w:sz w:val="20"/>
                <w:szCs w:val="20"/>
                <w:color w:val="auto"/>
              </w:rPr>
            </w:pPr>
            <w:r>
              <w:rPr>
                <w:rFonts w:ascii="Arial" w:cs="Arial" w:eastAsia="Arial" w:hAnsi="Arial"/>
                <w:sz w:val="13"/>
                <w:szCs w:val="13"/>
                <w:b w:val="1"/>
                <w:bCs w:val="1"/>
                <w:color w:val="auto"/>
              </w:rPr>
              <w:t>2016</w:t>
            </w:r>
          </w:p>
        </w:tc>
        <w:tc>
          <w:tcPr>
            <w:tcW w:w="780" w:type="dxa"/>
            <w:vAlign w:val="bottom"/>
            <w:tcBorders>
              <w:bottom w:val="single" w:sz="8" w:color="auto"/>
            </w:tcBorders>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3"/>
        </w:trPr>
        <w:tc>
          <w:tcPr>
            <w:tcW w:w="3500" w:type="dxa"/>
            <w:vAlign w:val="bottom"/>
          </w:tcPr>
          <w:p>
            <w:pPr>
              <w:spacing w:after="0"/>
              <w:rPr>
                <w:sz w:val="13"/>
                <w:szCs w:val="13"/>
                <w:color w:val="auto"/>
              </w:rPr>
            </w:pPr>
          </w:p>
        </w:tc>
        <w:tc>
          <w:tcPr>
            <w:tcW w:w="520" w:type="dxa"/>
            <w:vAlign w:val="bottom"/>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1320" w:type="dxa"/>
            <w:vAlign w:val="bottom"/>
            <w:tcBorders>
              <w:bottom w:val="single" w:sz="8" w:color="auto"/>
            </w:tcBorders>
            <w:gridSpan w:val="3"/>
          </w:tcPr>
          <w:p>
            <w:pPr>
              <w:jc w:val="right"/>
              <w:ind w:right="760"/>
              <w:spacing w:after="0"/>
              <w:rPr>
                <w:sz w:val="20"/>
                <w:szCs w:val="20"/>
                <w:color w:val="auto"/>
              </w:rPr>
            </w:pPr>
            <w:r>
              <w:rPr>
                <w:rFonts w:ascii="Arial" w:cs="Arial" w:eastAsia="Arial" w:hAnsi="Arial"/>
                <w:sz w:val="13"/>
                <w:szCs w:val="13"/>
                <w:b w:val="1"/>
                <w:bCs w:val="1"/>
                <w:color w:val="auto"/>
              </w:rPr>
              <w:t>Amount</w:t>
            </w:r>
          </w:p>
        </w:tc>
        <w:tc>
          <w:tcPr>
            <w:tcW w:w="820" w:type="dxa"/>
            <w:vAlign w:val="bottom"/>
            <w:tcBorders>
              <w:bottom w:val="single" w:sz="8" w:color="auto"/>
            </w:tcBorders>
          </w:tcPr>
          <w:p>
            <w:pPr>
              <w:jc w:val="right"/>
              <w:ind w:right="396"/>
              <w:spacing w:after="0"/>
              <w:rPr>
                <w:sz w:val="20"/>
                <w:szCs w:val="20"/>
                <w:color w:val="auto"/>
              </w:rPr>
            </w:pPr>
            <w:r>
              <w:rPr>
                <w:rFonts w:ascii="Arial" w:cs="Arial" w:eastAsia="Arial" w:hAnsi="Arial"/>
                <w:sz w:val="13"/>
                <w:szCs w:val="13"/>
                <w:b w:val="1"/>
                <w:bCs w:val="1"/>
                <w:color w:val="auto"/>
              </w:rPr>
              <w:t>%</w:t>
            </w:r>
          </w:p>
        </w:tc>
        <w:tc>
          <w:tcPr>
            <w:tcW w:w="10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1560" w:type="dxa"/>
            <w:vAlign w:val="bottom"/>
            <w:tcBorders>
              <w:bottom w:val="single" w:sz="8" w:color="auto"/>
            </w:tcBorders>
            <w:gridSpan w:val="3"/>
          </w:tcPr>
          <w:p>
            <w:pPr>
              <w:jc w:val="right"/>
              <w:ind w:right="960"/>
              <w:spacing w:after="0"/>
              <w:rPr>
                <w:sz w:val="20"/>
                <w:szCs w:val="20"/>
                <w:color w:val="auto"/>
              </w:rPr>
            </w:pPr>
            <w:r>
              <w:rPr>
                <w:rFonts w:ascii="Arial" w:cs="Arial" w:eastAsia="Arial" w:hAnsi="Arial"/>
                <w:sz w:val="13"/>
                <w:szCs w:val="13"/>
                <w:b w:val="1"/>
                <w:bCs w:val="1"/>
                <w:color w:val="auto"/>
              </w:rPr>
              <w:t>Amount</w:t>
            </w:r>
          </w:p>
        </w:tc>
        <w:tc>
          <w:tcPr>
            <w:tcW w:w="620" w:type="dxa"/>
            <w:vAlign w:val="bottom"/>
            <w:tcBorders>
              <w:bottom w:val="single" w:sz="8" w:color="auto"/>
            </w:tcBorders>
          </w:tcPr>
          <w:p>
            <w:pPr>
              <w:jc w:val="right"/>
              <w:ind w:right="396"/>
              <w:spacing w:after="0"/>
              <w:rPr>
                <w:sz w:val="20"/>
                <w:szCs w:val="20"/>
                <w:color w:val="auto"/>
              </w:rPr>
            </w:pPr>
            <w:r>
              <w:rPr>
                <w:rFonts w:ascii="Arial" w:cs="Arial" w:eastAsia="Arial" w:hAnsi="Arial"/>
                <w:sz w:val="13"/>
                <w:szCs w:val="13"/>
                <w:b w:val="1"/>
                <w:bCs w:val="1"/>
                <w:color w:val="auto"/>
              </w:rPr>
              <w:t>%</w:t>
            </w:r>
          </w:p>
        </w:tc>
        <w:tc>
          <w:tcPr>
            <w:tcW w:w="10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1300" w:type="dxa"/>
            <w:vAlign w:val="bottom"/>
            <w:tcBorders>
              <w:bottom w:val="single" w:sz="8" w:color="auto"/>
            </w:tcBorders>
            <w:gridSpan w:val="3"/>
          </w:tcPr>
          <w:p>
            <w:pPr>
              <w:jc w:val="right"/>
              <w:ind w:right="740"/>
              <w:spacing w:after="0"/>
              <w:rPr>
                <w:sz w:val="20"/>
                <w:szCs w:val="20"/>
                <w:color w:val="auto"/>
              </w:rPr>
            </w:pPr>
            <w:r>
              <w:rPr>
                <w:rFonts w:ascii="Arial" w:cs="Arial" w:eastAsia="Arial" w:hAnsi="Arial"/>
                <w:sz w:val="13"/>
                <w:szCs w:val="13"/>
                <w:b w:val="1"/>
                <w:bCs w:val="1"/>
                <w:color w:val="auto"/>
              </w:rPr>
              <w:t>Amount</w:t>
            </w:r>
          </w:p>
        </w:tc>
        <w:tc>
          <w:tcPr>
            <w:tcW w:w="780" w:type="dxa"/>
            <w:vAlign w:val="bottom"/>
            <w:tcBorders>
              <w:bottom w:val="single" w:sz="8" w:color="auto"/>
            </w:tcBorders>
          </w:tcPr>
          <w:p>
            <w:pPr>
              <w:jc w:val="right"/>
              <w:ind w:right="376"/>
              <w:spacing w:after="0"/>
              <w:rPr>
                <w:sz w:val="20"/>
                <w:szCs w:val="20"/>
                <w:color w:val="auto"/>
              </w:rPr>
            </w:pPr>
            <w:r>
              <w:rPr>
                <w:rFonts w:ascii="Arial" w:cs="Arial" w:eastAsia="Arial" w:hAnsi="Arial"/>
                <w:sz w:val="13"/>
                <w:szCs w:val="13"/>
                <w:b w:val="1"/>
                <w:bCs w:val="1"/>
                <w:color w:val="auto"/>
              </w:rPr>
              <w:t>%</w:t>
            </w: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44"/>
        </w:trPr>
        <w:tc>
          <w:tcPr>
            <w:tcW w:w="350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2280" w:type="dxa"/>
            <w:vAlign w:val="bottom"/>
            <w:gridSpan w:val="5"/>
          </w:tcPr>
          <w:p>
            <w:pPr>
              <w:jc w:val="center"/>
              <w:ind w:right="300"/>
              <w:spacing w:after="0" w:line="144" w:lineRule="exact"/>
              <w:rPr>
                <w:sz w:val="20"/>
                <w:szCs w:val="20"/>
                <w:color w:val="auto"/>
              </w:rPr>
            </w:pPr>
            <w:r>
              <w:rPr>
                <w:rFonts w:ascii="Arial" w:cs="Arial" w:eastAsia="Arial" w:hAnsi="Arial"/>
                <w:sz w:val="13"/>
                <w:szCs w:val="13"/>
                <w:b w:val="1"/>
                <w:bCs w:val="1"/>
                <w:color w:val="auto"/>
                <w:w w:val="87"/>
              </w:rPr>
              <w:t>(in $ millions, except percentages)</w:t>
            </w:r>
          </w:p>
        </w:tc>
        <w:tc>
          <w:tcPr>
            <w:tcW w:w="1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3500" w:type="dxa"/>
            <w:vAlign w:val="bottom"/>
            <w:shd w:val="clear" w:color="auto" w:fill="CCEEFF"/>
          </w:tcPr>
          <w:p>
            <w:pPr>
              <w:spacing w:after="0"/>
              <w:rPr>
                <w:sz w:val="20"/>
                <w:szCs w:val="20"/>
                <w:color w:val="auto"/>
              </w:rPr>
            </w:pPr>
            <w:r>
              <w:rPr>
                <w:rFonts w:ascii="Arial" w:cs="Arial" w:eastAsia="Arial" w:hAnsi="Arial"/>
                <w:sz w:val="13"/>
                <w:szCs w:val="13"/>
                <w:color w:val="auto"/>
              </w:rPr>
              <w:t>In one year or less</w:t>
            </w:r>
          </w:p>
        </w:tc>
        <w:tc>
          <w:tcPr>
            <w:tcW w:w="700" w:type="dxa"/>
            <w:vAlign w:val="bottom"/>
            <w:gridSpan w:val="2"/>
            <w:shd w:val="clear" w:color="auto" w:fill="CCEEFF"/>
          </w:tcPr>
          <w:p>
            <w:pPr>
              <w:jc w:val="right"/>
              <w:ind w:right="72"/>
              <w:spacing w:after="0"/>
              <w:rPr>
                <w:sz w:val="20"/>
                <w:szCs w:val="20"/>
                <w:color w:val="auto"/>
              </w:rPr>
            </w:pPr>
            <w:r>
              <w:rPr>
                <w:rFonts w:ascii="Arial" w:cs="Arial" w:eastAsia="Arial" w:hAnsi="Arial"/>
                <w:sz w:val="13"/>
                <w:szCs w:val="13"/>
                <w:color w:val="auto"/>
              </w:rPr>
              <w:t>$</w:t>
            </w:r>
          </w:p>
        </w:tc>
        <w:tc>
          <w:tcPr>
            <w:tcW w:w="11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36</w:t>
            </w:r>
          </w:p>
        </w:tc>
        <w:tc>
          <w:tcPr>
            <w:tcW w:w="22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33.9</w:t>
            </w:r>
          </w:p>
        </w:tc>
        <w:tc>
          <w:tcPr>
            <w:tcW w:w="260" w:type="dxa"/>
            <w:vAlign w:val="bottom"/>
            <w:gridSpan w:val="2"/>
            <w:shd w:val="clear" w:color="auto" w:fill="CCEEFF"/>
          </w:tcPr>
          <w:p>
            <w:pPr>
              <w:jc w:val="right"/>
              <w:ind w:right="32"/>
              <w:spacing w:after="0"/>
              <w:rPr>
                <w:sz w:val="20"/>
                <w:szCs w:val="20"/>
                <w:color w:val="auto"/>
              </w:rPr>
            </w:pPr>
            <w:r>
              <w:rPr>
                <w:rFonts w:ascii="Arial" w:cs="Arial" w:eastAsia="Arial" w:hAnsi="Arial"/>
                <w:sz w:val="13"/>
                <w:szCs w:val="13"/>
                <w:color w:val="auto"/>
              </w:rPr>
              <w:t>$</w:t>
            </w:r>
          </w:p>
        </w:tc>
        <w:tc>
          <w:tcPr>
            <w:tcW w:w="9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8</w:t>
            </w:r>
          </w:p>
        </w:tc>
        <w:tc>
          <w:tcPr>
            <w:tcW w:w="240" w:type="dxa"/>
            <w:vAlign w:val="bottom"/>
            <w:shd w:val="clear" w:color="auto" w:fill="CCEEFF"/>
          </w:tcPr>
          <w:p>
            <w:pPr>
              <w:spacing w:after="0"/>
              <w:rPr>
                <w:sz w:val="13"/>
                <w:szCs w:val="13"/>
                <w:color w:val="auto"/>
              </w:rPr>
            </w:pPr>
          </w:p>
        </w:tc>
        <w:tc>
          <w:tcPr>
            <w:tcW w:w="420" w:type="dxa"/>
            <w:vAlign w:val="bottom"/>
            <w:shd w:val="clear" w:color="auto" w:fill="CCEEFF"/>
          </w:tcPr>
          <w:p>
            <w:pPr>
              <w:spacing w:after="0"/>
              <w:rPr>
                <w:sz w:val="13"/>
                <w:szCs w:val="13"/>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9.3</w:t>
            </w:r>
          </w:p>
        </w:tc>
        <w:tc>
          <w:tcPr>
            <w:tcW w:w="100" w:type="dxa"/>
            <w:vAlign w:val="bottom"/>
            <w:shd w:val="clear" w:color="auto" w:fill="CCEEFF"/>
          </w:tcPr>
          <w:p>
            <w:pPr>
              <w:spacing w:after="0"/>
              <w:rPr>
                <w:sz w:val="13"/>
                <w:szCs w:val="13"/>
                <w:color w:val="auto"/>
              </w:rPr>
            </w:pPr>
          </w:p>
        </w:tc>
        <w:tc>
          <w:tcPr>
            <w:tcW w:w="300" w:type="dxa"/>
            <w:vAlign w:val="bottom"/>
            <w:gridSpan w:val="2"/>
            <w:shd w:val="clear" w:color="auto" w:fill="CCEEFF"/>
          </w:tcPr>
          <w:p>
            <w:pPr>
              <w:jc w:val="right"/>
              <w:ind w:right="72"/>
              <w:spacing w:after="0"/>
              <w:rPr>
                <w:sz w:val="20"/>
                <w:szCs w:val="20"/>
                <w:color w:val="auto"/>
              </w:rPr>
            </w:pPr>
            <w:r>
              <w:rPr>
                <w:rFonts w:ascii="Arial" w:cs="Arial" w:eastAsia="Arial" w:hAnsi="Arial"/>
                <w:sz w:val="13"/>
                <w:szCs w:val="13"/>
                <w:color w:val="auto"/>
              </w:rPr>
              <w:t>$</w:t>
            </w:r>
          </w:p>
        </w:tc>
        <w:tc>
          <w:tcPr>
            <w:tcW w:w="8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w:t>
            </w:r>
          </w:p>
        </w:tc>
        <w:tc>
          <w:tcPr>
            <w:tcW w:w="2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0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3.7</w:t>
            </w:r>
          </w:p>
        </w:tc>
        <w:tc>
          <w:tcPr>
            <w:tcW w:w="100" w:type="dxa"/>
            <w:vAlign w:val="bottom"/>
            <w:shd w:val="clear" w:color="auto" w:fill="CCEEFF"/>
          </w:tcPr>
          <w:p>
            <w:pPr>
              <w:spacing w:after="0"/>
              <w:rPr>
                <w:sz w:val="13"/>
                <w:szCs w:val="13"/>
                <w:color w:val="auto"/>
              </w:rPr>
            </w:pPr>
          </w:p>
        </w:tc>
      </w:tr>
      <w:tr>
        <w:trPr>
          <w:trHeight w:val="154"/>
        </w:trPr>
        <w:tc>
          <w:tcPr>
            <w:tcW w:w="3500" w:type="dxa"/>
            <w:vAlign w:val="bottom"/>
          </w:tcPr>
          <w:p>
            <w:pPr>
              <w:spacing w:after="0"/>
              <w:rPr>
                <w:sz w:val="20"/>
                <w:szCs w:val="20"/>
                <w:color w:val="auto"/>
              </w:rPr>
            </w:pPr>
            <w:r>
              <w:rPr>
                <w:rFonts w:ascii="Arial" w:cs="Arial" w:eastAsia="Arial" w:hAnsi="Arial"/>
                <w:sz w:val="13"/>
                <w:szCs w:val="13"/>
                <w:color w:val="auto"/>
              </w:rPr>
              <w:t>After one year through five years</w:t>
            </w:r>
          </w:p>
        </w:tc>
        <w:tc>
          <w:tcPr>
            <w:tcW w:w="5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100" w:type="dxa"/>
            <w:vAlign w:val="bottom"/>
            <w:gridSpan w:val="2"/>
          </w:tcPr>
          <w:p>
            <w:pPr>
              <w:jc w:val="right"/>
              <w:ind w:right="240"/>
              <w:spacing w:after="0"/>
              <w:rPr>
                <w:sz w:val="20"/>
                <w:szCs w:val="20"/>
                <w:color w:val="auto"/>
              </w:rPr>
            </w:pPr>
            <w:r>
              <w:rPr>
                <w:rFonts w:ascii="Arial" w:cs="Arial" w:eastAsia="Arial" w:hAnsi="Arial"/>
                <w:sz w:val="13"/>
                <w:szCs w:val="13"/>
                <w:color w:val="auto"/>
              </w:rPr>
              <w:t>65</w:t>
            </w:r>
          </w:p>
        </w:tc>
        <w:tc>
          <w:tcPr>
            <w:tcW w:w="220" w:type="dxa"/>
            <w:vAlign w:val="bottom"/>
          </w:tcPr>
          <w:p>
            <w:pPr>
              <w:spacing w:after="0"/>
              <w:rPr>
                <w:sz w:val="13"/>
                <w:szCs w:val="13"/>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3"/>
                <w:szCs w:val="13"/>
                <w:color w:val="auto"/>
              </w:rPr>
              <w:t>60.4</w:t>
            </w:r>
          </w:p>
        </w:tc>
        <w:tc>
          <w:tcPr>
            <w:tcW w:w="1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900" w:type="dxa"/>
            <w:vAlign w:val="bottom"/>
          </w:tcPr>
          <w:p>
            <w:pPr>
              <w:jc w:val="right"/>
              <w:spacing w:after="0"/>
              <w:rPr>
                <w:sz w:val="20"/>
                <w:szCs w:val="20"/>
                <w:color w:val="auto"/>
              </w:rPr>
            </w:pPr>
            <w:r>
              <w:rPr>
                <w:rFonts w:ascii="Arial" w:cs="Arial" w:eastAsia="Arial" w:hAnsi="Arial"/>
                <w:sz w:val="13"/>
                <w:szCs w:val="13"/>
                <w:color w:val="auto"/>
              </w:rPr>
              <w:t>78</w:t>
            </w:r>
          </w:p>
        </w:tc>
        <w:tc>
          <w:tcPr>
            <w:tcW w:w="24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90.7</w:t>
            </w: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85</w:t>
            </w: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3"/>
                <w:szCs w:val="13"/>
                <w:color w:val="auto"/>
              </w:rPr>
              <w:t>78.9</w:t>
            </w:r>
          </w:p>
        </w:tc>
        <w:tc>
          <w:tcPr>
            <w:tcW w:w="100" w:type="dxa"/>
            <w:vAlign w:val="bottom"/>
          </w:tcPr>
          <w:p>
            <w:pPr>
              <w:spacing w:after="0"/>
              <w:rPr>
                <w:sz w:val="13"/>
                <w:szCs w:val="13"/>
                <w:color w:val="auto"/>
              </w:rPr>
            </w:pPr>
          </w:p>
        </w:tc>
      </w:tr>
      <w:tr>
        <w:trPr>
          <w:trHeight w:val="164"/>
        </w:trPr>
        <w:tc>
          <w:tcPr>
            <w:tcW w:w="3500" w:type="dxa"/>
            <w:vAlign w:val="bottom"/>
            <w:shd w:val="clear" w:color="auto" w:fill="CCEEFF"/>
          </w:tcPr>
          <w:p>
            <w:pPr>
              <w:spacing w:after="0"/>
              <w:rPr>
                <w:sz w:val="20"/>
                <w:szCs w:val="20"/>
                <w:color w:val="auto"/>
              </w:rPr>
            </w:pPr>
            <w:r>
              <w:rPr>
                <w:rFonts w:ascii="Arial" w:cs="Arial" w:eastAsia="Arial" w:hAnsi="Arial"/>
                <w:sz w:val="13"/>
                <w:szCs w:val="13"/>
                <w:color w:val="auto"/>
              </w:rPr>
              <w:t>After five years through ten years</w:t>
            </w:r>
          </w:p>
        </w:tc>
        <w:tc>
          <w:tcPr>
            <w:tcW w:w="52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11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6</w:t>
            </w:r>
          </w:p>
        </w:tc>
        <w:tc>
          <w:tcPr>
            <w:tcW w:w="220" w:type="dxa"/>
            <w:vAlign w:val="bottom"/>
            <w:shd w:val="clear" w:color="auto" w:fill="CCEEFF"/>
          </w:tcPr>
          <w:p>
            <w:pPr>
              <w:spacing w:after="0"/>
              <w:rPr>
                <w:sz w:val="14"/>
                <w:szCs w:val="14"/>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5.7</w:t>
            </w:r>
          </w:p>
        </w:tc>
        <w:tc>
          <w:tcPr>
            <w:tcW w:w="1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w:t>
            </w:r>
          </w:p>
        </w:tc>
        <w:tc>
          <w:tcPr>
            <w:tcW w:w="240" w:type="dxa"/>
            <w:vAlign w:val="bottom"/>
            <w:shd w:val="clear" w:color="auto" w:fill="CCEEFF"/>
          </w:tcPr>
          <w:p>
            <w:pPr>
              <w:spacing w:after="0"/>
              <w:rPr>
                <w:sz w:val="14"/>
                <w:szCs w:val="14"/>
                <w:color w:val="auto"/>
              </w:rPr>
            </w:pPr>
          </w:p>
        </w:tc>
        <w:tc>
          <w:tcPr>
            <w:tcW w:w="420" w:type="dxa"/>
            <w:vAlign w:val="bottom"/>
            <w:shd w:val="clear" w:color="auto" w:fill="CCEEFF"/>
          </w:tcPr>
          <w:p>
            <w:pPr>
              <w:spacing w:after="0"/>
              <w:rPr>
                <w:sz w:val="14"/>
                <w:szCs w:val="14"/>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w:t>
            </w:r>
          </w:p>
        </w:tc>
        <w:tc>
          <w:tcPr>
            <w:tcW w:w="1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19</w:t>
            </w:r>
          </w:p>
        </w:tc>
        <w:tc>
          <w:tcPr>
            <w:tcW w:w="20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80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17.4</w:t>
            </w:r>
          </w:p>
        </w:tc>
        <w:tc>
          <w:tcPr>
            <w:tcW w:w="100" w:type="dxa"/>
            <w:vAlign w:val="bottom"/>
            <w:shd w:val="clear" w:color="auto" w:fill="CCEEFF"/>
          </w:tcPr>
          <w:p>
            <w:pPr>
              <w:spacing w:after="0"/>
              <w:rPr>
                <w:sz w:val="14"/>
                <w:szCs w:val="14"/>
                <w:color w:val="auto"/>
              </w:rPr>
            </w:pPr>
          </w:p>
        </w:tc>
      </w:tr>
      <w:tr>
        <w:trPr>
          <w:trHeight w:val="162"/>
        </w:trPr>
        <w:tc>
          <w:tcPr>
            <w:tcW w:w="3500" w:type="dxa"/>
            <w:vAlign w:val="bottom"/>
          </w:tcPr>
          <w:p>
            <w:pPr>
              <w:ind w:left="220"/>
              <w:spacing w:after="0" w:line="146" w:lineRule="exact"/>
              <w:rPr>
                <w:sz w:val="20"/>
                <w:szCs w:val="20"/>
                <w:color w:val="auto"/>
              </w:rPr>
            </w:pPr>
            <w:r>
              <w:rPr>
                <w:rFonts w:ascii="Arial" w:cs="Arial" w:eastAsia="Arial" w:hAnsi="Arial"/>
                <w:sz w:val="13"/>
                <w:szCs w:val="13"/>
                <w:b w:val="1"/>
                <w:bCs w:val="1"/>
                <w:color w:val="auto"/>
              </w:rPr>
              <w:t>Total</w:t>
            </w:r>
          </w:p>
        </w:tc>
        <w:tc>
          <w:tcPr>
            <w:tcW w:w="520" w:type="dxa"/>
            <w:vAlign w:val="bottom"/>
          </w:tcPr>
          <w:p>
            <w:pPr>
              <w:spacing w:after="0"/>
              <w:rPr>
                <w:sz w:val="14"/>
                <w:szCs w:val="14"/>
                <w:color w:val="auto"/>
              </w:rPr>
            </w:pPr>
          </w:p>
        </w:tc>
        <w:tc>
          <w:tcPr>
            <w:tcW w:w="180" w:type="dxa"/>
            <w:vAlign w:val="bottom"/>
            <w:tcBorders>
              <w:top w:val="single" w:sz="8" w:color="auto"/>
              <w:bottom w:val="single" w:sz="8" w:color="auto"/>
            </w:tcBorders>
          </w:tcPr>
          <w:p>
            <w:pPr>
              <w:jc w:val="right"/>
              <w:ind w:right="72"/>
              <w:spacing w:after="0"/>
              <w:rPr>
                <w:sz w:val="20"/>
                <w:szCs w:val="20"/>
                <w:color w:val="auto"/>
              </w:rPr>
            </w:pPr>
            <w:r>
              <w:rPr>
                <w:rFonts w:ascii="Arial" w:cs="Arial" w:eastAsia="Arial" w:hAnsi="Arial"/>
                <w:sz w:val="10"/>
                <w:szCs w:val="10"/>
                <w:b w:val="1"/>
                <w:bCs w:val="1"/>
                <w:color w:val="auto"/>
                <w:w w:val="71"/>
              </w:rPr>
              <w:t>$</w:t>
            </w: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107</w:t>
            </w:r>
          </w:p>
        </w:tc>
        <w:tc>
          <w:tcPr>
            <w:tcW w:w="240" w:type="dxa"/>
            <w:vAlign w:val="bottom"/>
          </w:tcPr>
          <w:p>
            <w:pPr>
              <w:spacing w:after="0"/>
              <w:rPr>
                <w:sz w:val="14"/>
                <w:szCs w:val="14"/>
                <w:color w:val="auto"/>
              </w:rPr>
            </w:pPr>
          </w:p>
        </w:tc>
        <w:tc>
          <w:tcPr>
            <w:tcW w:w="220" w:type="dxa"/>
            <w:vAlign w:val="bottom"/>
            <w:tcBorders>
              <w:top w:val="single" w:sz="8" w:color="auto"/>
              <w:bottom w:val="single" w:sz="8" w:color="auto"/>
            </w:tcBorders>
          </w:tcPr>
          <w:p>
            <w:pPr>
              <w:spacing w:after="0"/>
              <w:rPr>
                <w:sz w:val="14"/>
                <w:szCs w:val="14"/>
                <w:color w:val="auto"/>
              </w:rPr>
            </w:pP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40" w:type="dxa"/>
            <w:vAlign w:val="bottom"/>
            <w:tcBorders>
              <w:top w:val="single" w:sz="8" w:color="auto"/>
              <w:bottom w:val="single" w:sz="8" w:color="auto"/>
            </w:tcBorders>
          </w:tcPr>
          <w:p>
            <w:pPr>
              <w:jc w:val="right"/>
              <w:ind w:right="32"/>
              <w:spacing w:after="0"/>
              <w:rPr>
                <w:sz w:val="20"/>
                <w:szCs w:val="20"/>
                <w:color w:val="auto"/>
              </w:rPr>
            </w:pPr>
            <w:r>
              <w:rPr>
                <w:rFonts w:ascii="Arial" w:cs="Arial" w:eastAsia="Arial" w:hAnsi="Arial"/>
                <w:sz w:val="10"/>
                <w:szCs w:val="10"/>
                <w:b w:val="1"/>
                <w:bCs w:val="1"/>
                <w:color w:val="auto"/>
                <w:w w:val="71"/>
              </w:rPr>
              <w:t>$</w:t>
            </w: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86</w:t>
            </w:r>
          </w:p>
        </w:tc>
        <w:tc>
          <w:tcPr>
            <w:tcW w:w="240" w:type="dxa"/>
            <w:vAlign w:val="bottom"/>
          </w:tcPr>
          <w:p>
            <w:pPr>
              <w:spacing w:after="0"/>
              <w:rPr>
                <w:sz w:val="14"/>
                <w:szCs w:val="14"/>
                <w:color w:val="auto"/>
              </w:rPr>
            </w:pPr>
          </w:p>
        </w:tc>
        <w:tc>
          <w:tcPr>
            <w:tcW w:w="420" w:type="dxa"/>
            <w:vAlign w:val="bottom"/>
            <w:tcBorders>
              <w:top w:val="single" w:sz="8" w:color="auto"/>
              <w:bottom w:val="single" w:sz="8" w:color="auto"/>
            </w:tcBorders>
          </w:tcPr>
          <w:p>
            <w:pPr>
              <w:spacing w:after="0"/>
              <w:rPr>
                <w:sz w:val="14"/>
                <w:szCs w:val="14"/>
                <w:color w:val="auto"/>
              </w:rPr>
            </w:pPr>
          </w:p>
        </w:tc>
        <w:tc>
          <w:tcPr>
            <w:tcW w:w="6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80" w:type="dxa"/>
            <w:vAlign w:val="bottom"/>
            <w:tcBorders>
              <w:top w:val="single" w:sz="8" w:color="auto"/>
              <w:bottom w:val="single" w:sz="8" w:color="auto"/>
            </w:tcBorders>
          </w:tcPr>
          <w:p>
            <w:pPr>
              <w:jc w:val="right"/>
              <w:ind w:right="72"/>
              <w:spacing w:after="0"/>
              <w:rPr>
                <w:sz w:val="20"/>
                <w:szCs w:val="20"/>
                <w:color w:val="auto"/>
              </w:rPr>
            </w:pPr>
            <w:r>
              <w:rPr>
                <w:rFonts w:ascii="Arial" w:cs="Arial" w:eastAsia="Arial" w:hAnsi="Arial"/>
                <w:sz w:val="10"/>
                <w:szCs w:val="10"/>
                <w:b w:val="1"/>
                <w:bCs w:val="1"/>
                <w:color w:val="auto"/>
                <w:w w:val="71"/>
              </w:rPr>
              <w:t>$</w:t>
            </w: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108</w:t>
            </w:r>
          </w:p>
        </w:tc>
        <w:tc>
          <w:tcPr>
            <w:tcW w:w="200" w:type="dxa"/>
            <w:vAlign w:val="bottom"/>
          </w:tcPr>
          <w:p>
            <w:pPr>
              <w:spacing w:after="0"/>
              <w:rPr>
                <w:sz w:val="14"/>
                <w:szCs w:val="14"/>
                <w:color w:val="auto"/>
              </w:rPr>
            </w:pPr>
          </w:p>
        </w:tc>
        <w:tc>
          <w:tcPr>
            <w:tcW w:w="240" w:type="dxa"/>
            <w:vAlign w:val="bottom"/>
            <w:tcBorders>
              <w:top w:val="single" w:sz="8" w:color="auto"/>
              <w:bottom w:val="single" w:sz="8" w:color="auto"/>
            </w:tcBorders>
          </w:tcPr>
          <w:p>
            <w:pPr>
              <w:spacing w:after="0"/>
              <w:rPr>
                <w:sz w:val="14"/>
                <w:szCs w:val="14"/>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2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bl>
    <w:p>
      <w:pPr>
        <w:spacing w:after="0" w:line="145" w:lineRule="exact"/>
        <w:rPr>
          <w:sz w:val="20"/>
          <w:szCs w:val="20"/>
          <w:color w:val="auto"/>
        </w:rPr>
      </w:pPr>
    </w:p>
    <w:p>
      <w:pPr>
        <w:spacing w:after="0"/>
        <w:rPr>
          <w:sz w:val="20"/>
          <w:szCs w:val="20"/>
          <w:color w:val="auto"/>
        </w:rPr>
      </w:pPr>
      <w:r>
        <w:rPr>
          <w:rFonts w:ascii="Arial" w:cs="Arial" w:eastAsia="Arial" w:hAnsi="Arial"/>
          <w:sz w:val="13"/>
          <w:szCs w:val="13"/>
          <w:color w:val="auto"/>
        </w:rPr>
        <w:t>As of December 31, 2018, 2017 and 2016, securities held by the Bank of any single issuer did not exceed 10% of the Bank’s equity.</w:t>
      </w:r>
    </w:p>
    <w:p>
      <w:pPr>
        <w:spacing w:after="0" w:line="307"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31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33" w:name="page34"/>
    <w:bookmarkEnd w:id="33"/>
    <w:p>
      <w:pPr>
        <w:spacing w:after="0"/>
        <w:rPr>
          <w:sz w:val="20"/>
          <w:szCs w:val="20"/>
          <w:color w:val="auto"/>
        </w:rPr>
      </w:pPr>
      <w:r>
        <w:rPr>
          <w:rFonts w:ascii="Arial" w:cs="Arial" w:eastAsia="Arial" w:hAnsi="Arial"/>
          <w:sz w:val="13"/>
          <w:szCs w:val="13"/>
          <w:i w:val="1"/>
          <w:iCs w:val="1"/>
          <w:color w:val="auto"/>
        </w:rPr>
        <w:t>Securities at amortized cost</w:t>
      </w:r>
    </w:p>
    <w:p>
      <w:pPr>
        <w:spacing w:after="0" w:line="159"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As of December 31, 2018, the Bank’s securities at amortized cost increased to $85 million, from $69 million as of December 31, 2017. The $16 million, or 23% increase during the year in the securities at amortized cost portfolio was mostly attributable to $27 million in investment securities acquired during 2018, and net of the $10 million in proceeds received from matured investment securities. As of December 31, 2018, securities at amortized cost with a carrying value of $35 million were pledged to secure repurchase transactions accounted for as secured financings.</w:t>
      </w:r>
    </w:p>
    <w:p>
      <w:pPr>
        <w:spacing w:after="0" w:line="136"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The Bank’s investment securities at amortized cost totaled $69 million as of December 31, 2017, compared to $78 million as of December 31, 2016. The $9 million decrease during that year in investment securities at amortized cost portfolio was mostly attributable to the proceeds of $18 million of matured investment securities, net of the $10 million investment securities acquired during 2017. As of December 31, 2017 and 2016, there were no investment securities at amortized cost guaranteeing repurchase transactions.</w:t>
      </w:r>
    </w:p>
    <w:p>
      <w:pPr>
        <w:spacing w:after="0" w:line="136"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Securities at FVOCI</w:t>
      </w:r>
    </w:p>
    <w:p>
      <w:pPr>
        <w:spacing w:after="0" w:line="159"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As of December 31, 2018, the Bank’s securities at FVOCI increased to $22 million, from $17 million as of December 31, 2017. The $5 million, or 30%, increase during the year in the securities at FVOCI was mostly attributable to $10 million in securities purchases, net of $5 million in proceeds from the redemption of securities at FVOCI during the year. As of December 31, 2018, the Bank’s securities at FVOCI consisted of investments in securities of issuers in the Region, of which 72% corresponded to sovereign and state-owned issuers, and 28% corresponded to the private sector. As of December 31, 2018, securities at FVOCI with a carrying value of $4.6 million were pledged to secure repurchase transactions accounted for as secured financings.</w:t>
      </w:r>
    </w:p>
    <w:p>
      <w:pPr>
        <w:spacing w:after="0" w:line="137"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As of December 31, 2017, securities at FVOCI totaled $17 million, and related to investments in securities issued by sovereign and state-owned issuers in the Region. The $6 million decrease in the Bank’s securities at FVOCI from December 31, 2016 was mainly attributable to the sale of investment securities as the Bank decreased its holdings in this category to reduce market risk. As of December 31, 2017 and 2016, there were no securities at FVOCI guaranteeing repurchase transactions.</w:t>
      </w:r>
    </w:p>
    <w:p>
      <w:pPr>
        <w:spacing w:after="0" w:line="136"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Total Gross Outstandings by Country</w:t>
      </w:r>
    </w:p>
    <w:p>
      <w:pPr>
        <w:spacing w:after="0" w:line="159"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The following table sets forth the aggregate gross amount of the Bank’s cross-border outstandings, consisting of cash and due from banks, interest-bearing deposits in banks, securities at FVOCI, securities and loans at amortized cost, and accrued interest receivable, as of December 31 of each year:</w:t>
      </w:r>
    </w:p>
    <w:p>
      <w:pPr>
        <w:spacing w:after="0" w:line="125" w:lineRule="exact"/>
        <w:rPr>
          <w:sz w:val="20"/>
          <w:szCs w:val="20"/>
          <w:color w:val="auto"/>
        </w:rPr>
      </w:pPr>
    </w:p>
    <w:tbl>
      <w:tblPr>
        <w:tblLayout w:type="fixed"/>
        <w:tblInd w:w="0" w:type="dxa"/>
        <w:tblCellMar>
          <w:top w:w="0" w:type="dxa"/>
          <w:left w:w="0" w:type="dxa"/>
          <w:bottom w:w="0" w:type="dxa"/>
          <w:right w:w="0" w:type="dxa"/>
        </w:tblCellMar>
      </w:tblPr>
      <w:tr>
        <w:trPr>
          <w:trHeight w:val="164"/>
        </w:trPr>
        <w:tc>
          <w:tcPr>
            <w:tcW w:w="264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720" w:type="dxa"/>
            <w:vAlign w:val="bottom"/>
          </w:tcPr>
          <w:p>
            <w:pPr>
              <w:spacing w:after="0"/>
              <w:rPr>
                <w:sz w:val="14"/>
                <w:szCs w:val="14"/>
                <w:color w:val="auto"/>
              </w:rPr>
            </w:pPr>
          </w:p>
        </w:tc>
        <w:tc>
          <w:tcPr>
            <w:tcW w:w="11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2300" w:type="dxa"/>
            <w:vAlign w:val="bottom"/>
            <w:gridSpan w:val="2"/>
          </w:tcPr>
          <w:p>
            <w:pPr>
              <w:jc w:val="right"/>
              <w:ind w:right="576"/>
              <w:spacing w:after="0"/>
              <w:rPr>
                <w:sz w:val="20"/>
                <w:szCs w:val="20"/>
                <w:color w:val="auto"/>
              </w:rPr>
            </w:pPr>
            <w:r>
              <w:rPr>
                <w:rFonts w:ascii="Arial" w:cs="Arial" w:eastAsia="Arial" w:hAnsi="Arial"/>
                <w:sz w:val="13"/>
                <w:szCs w:val="13"/>
                <w:b w:val="1"/>
                <w:bCs w:val="1"/>
                <w:color w:val="auto"/>
              </w:rPr>
              <w:t>As of December 31,</w:t>
            </w:r>
          </w:p>
        </w:tc>
        <w:tc>
          <w:tcPr>
            <w:tcW w:w="2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380" w:type="dxa"/>
            <w:vAlign w:val="bottom"/>
          </w:tcPr>
          <w:p>
            <w:pPr>
              <w:spacing w:after="0"/>
              <w:rPr>
                <w:sz w:val="14"/>
                <w:szCs w:val="14"/>
                <w:color w:val="auto"/>
              </w:rPr>
            </w:pPr>
          </w:p>
        </w:tc>
        <w:tc>
          <w:tcPr>
            <w:tcW w:w="1100" w:type="dxa"/>
            <w:vAlign w:val="bottom"/>
          </w:tcPr>
          <w:p>
            <w:pPr>
              <w:spacing w:after="0"/>
              <w:rPr>
                <w:sz w:val="14"/>
                <w:szCs w:val="14"/>
                <w:color w:val="auto"/>
              </w:rPr>
            </w:pPr>
          </w:p>
        </w:tc>
        <w:tc>
          <w:tcPr>
            <w:tcW w:w="120" w:type="dxa"/>
            <w:vAlign w:val="bottom"/>
          </w:tcPr>
          <w:p>
            <w:pPr>
              <w:spacing w:after="0"/>
              <w:rPr>
                <w:sz w:val="14"/>
                <w:szCs w:val="14"/>
                <w:color w:val="auto"/>
              </w:rPr>
            </w:pPr>
          </w:p>
        </w:tc>
      </w:tr>
      <w:tr>
        <w:trPr>
          <w:trHeight w:val="166"/>
        </w:trPr>
        <w:tc>
          <w:tcPr>
            <w:tcW w:w="2640" w:type="dxa"/>
            <w:vAlign w:val="bottom"/>
          </w:tcPr>
          <w:p>
            <w:pPr>
              <w:spacing w:after="0"/>
              <w:rPr>
                <w:sz w:val="14"/>
                <w:szCs w:val="14"/>
                <w:color w:val="auto"/>
              </w:rPr>
            </w:pPr>
          </w:p>
        </w:tc>
        <w:tc>
          <w:tcPr>
            <w:tcW w:w="920" w:type="dxa"/>
            <w:vAlign w:val="bottom"/>
            <w:tcBorders>
              <w:bottom w:val="single" w:sz="8" w:color="auto"/>
            </w:tcBorders>
          </w:tcPr>
          <w:p>
            <w:pPr>
              <w:spacing w:after="0"/>
              <w:rPr>
                <w:sz w:val="14"/>
                <w:szCs w:val="14"/>
                <w:color w:val="auto"/>
              </w:rPr>
            </w:pPr>
          </w:p>
        </w:tc>
        <w:tc>
          <w:tcPr>
            <w:tcW w:w="720" w:type="dxa"/>
            <w:vAlign w:val="bottom"/>
            <w:tcBorders>
              <w:bottom w:val="single" w:sz="8" w:color="auto"/>
            </w:tcBorders>
          </w:tcPr>
          <w:p>
            <w:pPr>
              <w:jc w:val="right"/>
              <w:ind w:right="56"/>
              <w:spacing w:after="0"/>
              <w:rPr>
                <w:sz w:val="20"/>
                <w:szCs w:val="20"/>
                <w:color w:val="auto"/>
              </w:rPr>
            </w:pPr>
            <w:r>
              <w:rPr>
                <w:rFonts w:ascii="Arial" w:cs="Arial" w:eastAsia="Arial" w:hAnsi="Arial"/>
                <w:sz w:val="13"/>
                <w:szCs w:val="13"/>
                <w:b w:val="1"/>
                <w:bCs w:val="1"/>
                <w:color w:val="auto"/>
              </w:rPr>
              <w:t>2018</w:t>
            </w:r>
          </w:p>
        </w:tc>
        <w:tc>
          <w:tcPr>
            <w:tcW w:w="1140" w:type="dxa"/>
            <w:vAlign w:val="bottom"/>
            <w:tcBorders>
              <w:bottom w:val="single" w:sz="8" w:color="auto"/>
            </w:tcBorders>
          </w:tcPr>
          <w:p>
            <w:pPr>
              <w:spacing w:after="0"/>
              <w:rPr>
                <w:sz w:val="14"/>
                <w:szCs w:val="14"/>
                <w:color w:val="auto"/>
              </w:rPr>
            </w:pPr>
          </w:p>
        </w:tc>
        <w:tc>
          <w:tcPr>
            <w:tcW w:w="220" w:type="dxa"/>
            <w:vAlign w:val="bottom"/>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spacing w:after="0"/>
              <w:rPr>
                <w:sz w:val="14"/>
                <w:szCs w:val="14"/>
                <w:color w:val="auto"/>
              </w:rPr>
            </w:pPr>
          </w:p>
        </w:tc>
        <w:tc>
          <w:tcPr>
            <w:tcW w:w="1620" w:type="dxa"/>
            <w:vAlign w:val="bottom"/>
            <w:tcBorders>
              <w:bottom w:val="single" w:sz="8" w:color="auto"/>
            </w:tcBorders>
          </w:tcPr>
          <w:p>
            <w:pPr>
              <w:jc w:val="right"/>
              <w:ind w:right="956"/>
              <w:spacing w:after="0"/>
              <w:rPr>
                <w:sz w:val="20"/>
                <w:szCs w:val="20"/>
                <w:color w:val="auto"/>
              </w:rPr>
            </w:pPr>
            <w:r>
              <w:rPr>
                <w:rFonts w:ascii="Arial" w:cs="Arial" w:eastAsia="Arial" w:hAnsi="Arial"/>
                <w:sz w:val="13"/>
                <w:szCs w:val="13"/>
                <w:b w:val="1"/>
                <w:bCs w:val="1"/>
                <w:color w:val="auto"/>
              </w:rPr>
              <w:t>2017</w:t>
            </w:r>
          </w:p>
        </w:tc>
        <w:tc>
          <w:tcPr>
            <w:tcW w:w="24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380" w:type="dxa"/>
            <w:vAlign w:val="bottom"/>
            <w:tcBorders>
              <w:bottom w:val="single" w:sz="8" w:color="auto"/>
            </w:tcBorders>
          </w:tcPr>
          <w:p>
            <w:pPr>
              <w:jc w:val="right"/>
              <w:ind w:right="56"/>
              <w:spacing w:after="0"/>
              <w:rPr>
                <w:sz w:val="20"/>
                <w:szCs w:val="20"/>
                <w:color w:val="auto"/>
              </w:rPr>
            </w:pPr>
            <w:r>
              <w:rPr>
                <w:rFonts w:ascii="Arial" w:cs="Arial" w:eastAsia="Arial" w:hAnsi="Arial"/>
                <w:sz w:val="13"/>
                <w:szCs w:val="13"/>
                <w:b w:val="1"/>
                <w:bCs w:val="1"/>
                <w:color w:val="auto"/>
              </w:rPr>
              <w:t>2016</w:t>
            </w:r>
          </w:p>
        </w:tc>
        <w:tc>
          <w:tcPr>
            <w:tcW w:w="110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r>
      <w:tr>
        <w:trPr>
          <w:trHeight w:val="131"/>
        </w:trPr>
        <w:tc>
          <w:tcPr>
            <w:tcW w:w="264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1140" w:type="dxa"/>
            <w:vAlign w:val="bottom"/>
          </w:tcPr>
          <w:p>
            <w:pPr>
              <w:jc w:val="center"/>
              <w:ind w:right="56"/>
              <w:spacing w:after="0" w:line="131" w:lineRule="exact"/>
              <w:rPr>
                <w:sz w:val="20"/>
                <w:szCs w:val="20"/>
                <w:color w:val="auto"/>
              </w:rPr>
            </w:pPr>
            <w:r>
              <w:rPr>
                <w:rFonts w:ascii="Arial" w:cs="Arial" w:eastAsia="Arial" w:hAnsi="Arial"/>
                <w:sz w:val="13"/>
                <w:szCs w:val="13"/>
                <w:b w:val="1"/>
                <w:bCs w:val="1"/>
                <w:color w:val="auto"/>
                <w:w w:val="93"/>
              </w:rPr>
              <w:t>% of Total</w:t>
            </w:r>
          </w:p>
        </w:tc>
        <w:tc>
          <w:tcPr>
            <w:tcW w:w="2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620" w:type="dxa"/>
            <w:vAlign w:val="bottom"/>
          </w:tcPr>
          <w:p>
            <w:pPr>
              <w:jc w:val="right"/>
              <w:ind w:right="36"/>
              <w:spacing w:after="0" w:line="131" w:lineRule="exact"/>
              <w:rPr>
                <w:sz w:val="20"/>
                <w:szCs w:val="20"/>
                <w:color w:val="auto"/>
              </w:rPr>
            </w:pPr>
            <w:r>
              <w:rPr>
                <w:rFonts w:ascii="Arial" w:cs="Arial" w:eastAsia="Arial" w:hAnsi="Arial"/>
                <w:sz w:val="13"/>
                <w:szCs w:val="13"/>
                <w:b w:val="1"/>
                <w:bCs w:val="1"/>
                <w:color w:val="auto"/>
              </w:rPr>
              <w:t>% of Total</w:t>
            </w:r>
          </w:p>
        </w:tc>
        <w:tc>
          <w:tcPr>
            <w:tcW w:w="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380" w:type="dxa"/>
            <w:vAlign w:val="bottom"/>
          </w:tcPr>
          <w:p>
            <w:pPr>
              <w:spacing w:after="0"/>
              <w:rPr>
                <w:sz w:val="11"/>
                <w:szCs w:val="11"/>
                <w:color w:val="auto"/>
              </w:rPr>
            </w:pPr>
          </w:p>
        </w:tc>
        <w:tc>
          <w:tcPr>
            <w:tcW w:w="1100" w:type="dxa"/>
            <w:vAlign w:val="bottom"/>
          </w:tcPr>
          <w:p>
            <w:pPr>
              <w:jc w:val="right"/>
              <w:ind w:right="276"/>
              <w:spacing w:after="0" w:line="131" w:lineRule="exact"/>
              <w:rPr>
                <w:sz w:val="20"/>
                <w:szCs w:val="20"/>
                <w:color w:val="auto"/>
              </w:rPr>
            </w:pPr>
            <w:r>
              <w:rPr>
                <w:rFonts w:ascii="Arial" w:cs="Arial" w:eastAsia="Arial" w:hAnsi="Arial"/>
                <w:sz w:val="13"/>
                <w:szCs w:val="13"/>
                <w:b w:val="1"/>
                <w:bCs w:val="1"/>
                <w:color w:val="auto"/>
              </w:rPr>
              <w:t>% of Total</w:t>
            </w:r>
          </w:p>
        </w:tc>
        <w:tc>
          <w:tcPr>
            <w:tcW w:w="120" w:type="dxa"/>
            <w:vAlign w:val="bottom"/>
          </w:tcPr>
          <w:p>
            <w:pPr>
              <w:spacing w:after="0"/>
              <w:rPr>
                <w:sz w:val="11"/>
                <w:szCs w:val="11"/>
                <w:color w:val="auto"/>
              </w:rPr>
            </w:pPr>
          </w:p>
        </w:tc>
      </w:tr>
      <w:tr>
        <w:trPr>
          <w:trHeight w:val="167"/>
        </w:trPr>
        <w:tc>
          <w:tcPr>
            <w:tcW w:w="2640" w:type="dxa"/>
            <w:vAlign w:val="bottom"/>
          </w:tcPr>
          <w:p>
            <w:pPr>
              <w:spacing w:after="0"/>
              <w:rPr>
                <w:sz w:val="14"/>
                <w:szCs w:val="14"/>
                <w:color w:val="auto"/>
              </w:rPr>
            </w:pPr>
          </w:p>
        </w:tc>
        <w:tc>
          <w:tcPr>
            <w:tcW w:w="920" w:type="dxa"/>
            <w:vAlign w:val="bottom"/>
          </w:tcPr>
          <w:p>
            <w:pPr>
              <w:jc w:val="right"/>
              <w:ind w:right="4"/>
              <w:spacing w:after="0"/>
              <w:rPr>
                <w:sz w:val="20"/>
                <w:szCs w:val="20"/>
                <w:color w:val="auto"/>
              </w:rPr>
            </w:pPr>
            <w:r>
              <w:rPr>
                <w:rFonts w:ascii="Arial" w:cs="Arial" w:eastAsia="Arial" w:hAnsi="Arial"/>
                <w:sz w:val="13"/>
                <w:szCs w:val="13"/>
                <w:b w:val="1"/>
                <w:bCs w:val="1"/>
                <w:color w:val="auto"/>
              </w:rPr>
              <w:t>Amount</w:t>
            </w:r>
          </w:p>
        </w:tc>
        <w:tc>
          <w:tcPr>
            <w:tcW w:w="720" w:type="dxa"/>
            <w:vAlign w:val="bottom"/>
          </w:tcPr>
          <w:p>
            <w:pPr>
              <w:spacing w:after="0"/>
              <w:rPr>
                <w:sz w:val="14"/>
                <w:szCs w:val="14"/>
                <w:color w:val="auto"/>
              </w:rPr>
            </w:pPr>
          </w:p>
        </w:tc>
        <w:tc>
          <w:tcPr>
            <w:tcW w:w="1360" w:type="dxa"/>
            <w:vAlign w:val="bottom"/>
            <w:gridSpan w:val="2"/>
          </w:tcPr>
          <w:p>
            <w:pPr>
              <w:jc w:val="center"/>
              <w:ind w:right="360"/>
              <w:spacing w:after="0"/>
              <w:rPr>
                <w:sz w:val="20"/>
                <w:szCs w:val="20"/>
                <w:color w:val="auto"/>
              </w:rPr>
            </w:pPr>
            <w:r>
              <w:rPr>
                <w:rFonts w:ascii="Arial" w:cs="Arial" w:eastAsia="Arial" w:hAnsi="Arial"/>
                <w:sz w:val="13"/>
                <w:szCs w:val="13"/>
                <w:b w:val="1"/>
                <w:bCs w:val="1"/>
                <w:color w:val="auto"/>
                <w:w w:val="85"/>
              </w:rPr>
              <w:t>Outstandings</w:t>
            </w:r>
          </w:p>
        </w:tc>
        <w:tc>
          <w:tcPr>
            <w:tcW w:w="240" w:type="dxa"/>
            <w:vAlign w:val="bottom"/>
          </w:tcPr>
          <w:p>
            <w:pPr>
              <w:spacing w:after="0"/>
              <w:rPr>
                <w:sz w:val="14"/>
                <w:szCs w:val="14"/>
                <w:color w:val="auto"/>
              </w:rPr>
            </w:pPr>
          </w:p>
        </w:tc>
        <w:tc>
          <w:tcPr>
            <w:tcW w:w="680" w:type="dxa"/>
            <w:vAlign w:val="bottom"/>
          </w:tcPr>
          <w:p>
            <w:pPr>
              <w:ind w:left="180"/>
              <w:spacing w:after="0"/>
              <w:rPr>
                <w:sz w:val="20"/>
                <w:szCs w:val="20"/>
                <w:color w:val="auto"/>
              </w:rPr>
            </w:pPr>
            <w:r>
              <w:rPr>
                <w:rFonts w:ascii="Arial" w:cs="Arial" w:eastAsia="Arial" w:hAnsi="Arial"/>
                <w:sz w:val="13"/>
                <w:szCs w:val="13"/>
                <w:b w:val="1"/>
                <w:bCs w:val="1"/>
                <w:color w:val="auto"/>
                <w:w w:val="97"/>
              </w:rPr>
              <w:t>Amount</w:t>
            </w:r>
          </w:p>
        </w:tc>
        <w:tc>
          <w:tcPr>
            <w:tcW w:w="1620" w:type="dxa"/>
            <w:vAlign w:val="bottom"/>
          </w:tcPr>
          <w:p>
            <w:pPr>
              <w:jc w:val="right"/>
              <w:spacing w:after="0"/>
              <w:rPr>
                <w:sz w:val="20"/>
                <w:szCs w:val="20"/>
                <w:color w:val="auto"/>
              </w:rPr>
            </w:pPr>
            <w:r>
              <w:rPr>
                <w:rFonts w:ascii="Arial" w:cs="Arial" w:eastAsia="Arial" w:hAnsi="Arial"/>
                <w:sz w:val="13"/>
                <w:szCs w:val="13"/>
                <w:b w:val="1"/>
                <w:bCs w:val="1"/>
                <w:color w:val="auto"/>
              </w:rPr>
              <w:t>Outstandings</w:t>
            </w:r>
          </w:p>
        </w:tc>
        <w:tc>
          <w:tcPr>
            <w:tcW w:w="2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380" w:type="dxa"/>
            <w:vAlign w:val="bottom"/>
          </w:tcPr>
          <w:p>
            <w:pPr>
              <w:jc w:val="right"/>
              <w:ind w:right="696"/>
              <w:spacing w:after="0"/>
              <w:rPr>
                <w:sz w:val="20"/>
                <w:szCs w:val="20"/>
                <w:color w:val="auto"/>
              </w:rPr>
            </w:pPr>
            <w:r>
              <w:rPr>
                <w:rFonts w:ascii="Arial" w:cs="Arial" w:eastAsia="Arial" w:hAnsi="Arial"/>
                <w:sz w:val="13"/>
                <w:szCs w:val="13"/>
                <w:b w:val="1"/>
                <w:bCs w:val="1"/>
                <w:color w:val="auto"/>
              </w:rPr>
              <w:t>Amount</w:t>
            </w:r>
          </w:p>
        </w:tc>
        <w:tc>
          <w:tcPr>
            <w:tcW w:w="1220" w:type="dxa"/>
            <w:vAlign w:val="bottom"/>
            <w:gridSpan w:val="2"/>
          </w:tcPr>
          <w:p>
            <w:pPr>
              <w:jc w:val="right"/>
              <w:ind w:right="380"/>
              <w:spacing w:after="0"/>
              <w:rPr>
                <w:sz w:val="20"/>
                <w:szCs w:val="20"/>
                <w:color w:val="auto"/>
              </w:rPr>
            </w:pPr>
            <w:r>
              <w:rPr>
                <w:rFonts w:ascii="Arial" w:cs="Arial" w:eastAsia="Arial" w:hAnsi="Arial"/>
                <w:sz w:val="13"/>
                <w:szCs w:val="13"/>
                <w:b w:val="1"/>
                <w:bCs w:val="1"/>
                <w:color w:val="auto"/>
                <w:w w:val="97"/>
              </w:rPr>
              <w:t>Outstandings</w:t>
            </w:r>
          </w:p>
        </w:tc>
      </w:tr>
      <w:tr>
        <w:trPr>
          <w:trHeight w:val="144"/>
        </w:trPr>
        <w:tc>
          <w:tcPr>
            <w:tcW w:w="2640" w:type="dxa"/>
            <w:vAlign w:val="bottom"/>
          </w:tcPr>
          <w:p>
            <w:pPr>
              <w:spacing w:after="0"/>
              <w:rPr>
                <w:sz w:val="12"/>
                <w:szCs w:val="12"/>
                <w:color w:val="auto"/>
              </w:rPr>
            </w:pPr>
          </w:p>
        </w:tc>
        <w:tc>
          <w:tcPr>
            <w:tcW w:w="920" w:type="dxa"/>
            <w:vAlign w:val="bottom"/>
            <w:tcBorders>
              <w:top w:val="single" w:sz="8" w:color="auto"/>
            </w:tcBorders>
          </w:tcPr>
          <w:p>
            <w:pPr>
              <w:spacing w:after="0"/>
              <w:rPr>
                <w:sz w:val="12"/>
                <w:szCs w:val="12"/>
                <w:color w:val="auto"/>
              </w:rPr>
            </w:pPr>
          </w:p>
        </w:tc>
        <w:tc>
          <w:tcPr>
            <w:tcW w:w="720" w:type="dxa"/>
            <w:vAlign w:val="bottom"/>
            <w:tcBorders>
              <w:top w:val="single" w:sz="8" w:color="auto"/>
            </w:tcBorders>
          </w:tcPr>
          <w:p>
            <w:pPr>
              <w:spacing w:after="0"/>
              <w:rPr>
                <w:sz w:val="12"/>
                <w:szCs w:val="12"/>
                <w:color w:val="auto"/>
              </w:rPr>
            </w:pPr>
          </w:p>
        </w:tc>
        <w:tc>
          <w:tcPr>
            <w:tcW w:w="1140" w:type="dxa"/>
            <w:vAlign w:val="bottom"/>
            <w:tcBorders>
              <w:top w:val="single" w:sz="8" w:color="auto"/>
            </w:tcBorders>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2300" w:type="dxa"/>
            <w:vAlign w:val="bottom"/>
            <w:tcBorders>
              <w:top w:val="single" w:sz="8" w:color="auto"/>
            </w:tcBorders>
            <w:gridSpan w:val="2"/>
          </w:tcPr>
          <w:p>
            <w:pPr>
              <w:jc w:val="right"/>
              <w:ind w:right="196"/>
              <w:spacing w:after="0" w:line="144" w:lineRule="exact"/>
              <w:rPr>
                <w:sz w:val="20"/>
                <w:szCs w:val="20"/>
                <w:color w:val="auto"/>
              </w:rPr>
            </w:pPr>
            <w:r>
              <w:rPr>
                <w:rFonts w:ascii="Arial" w:cs="Arial" w:eastAsia="Arial" w:hAnsi="Arial"/>
                <w:sz w:val="13"/>
                <w:szCs w:val="13"/>
                <w:b w:val="1"/>
                <w:bCs w:val="1"/>
                <w:color w:val="auto"/>
                <w:w w:val="95"/>
              </w:rPr>
              <w:t>(in $ millions, except percentages)</w:t>
            </w:r>
          </w:p>
        </w:tc>
        <w:tc>
          <w:tcPr>
            <w:tcW w:w="240" w:type="dxa"/>
            <w:vAlign w:val="bottom"/>
            <w:tcBorders>
              <w:top w:val="single" w:sz="8" w:color="auto"/>
            </w:tcBorders>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1380" w:type="dxa"/>
            <w:vAlign w:val="bottom"/>
            <w:tcBorders>
              <w:top w:val="single" w:sz="8" w:color="auto"/>
            </w:tcBorders>
          </w:tcPr>
          <w:p>
            <w:pPr>
              <w:spacing w:after="0"/>
              <w:rPr>
                <w:sz w:val="12"/>
                <w:szCs w:val="12"/>
                <w:color w:val="auto"/>
              </w:rPr>
            </w:pPr>
          </w:p>
        </w:tc>
        <w:tc>
          <w:tcPr>
            <w:tcW w:w="110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2640" w:type="dxa"/>
            <w:vAlign w:val="bottom"/>
            <w:shd w:val="clear" w:color="auto" w:fill="CCEEFF"/>
          </w:tcPr>
          <w:p>
            <w:pPr>
              <w:spacing w:after="0"/>
              <w:rPr>
                <w:sz w:val="20"/>
                <w:szCs w:val="20"/>
                <w:color w:val="auto"/>
              </w:rPr>
            </w:pPr>
            <w:r>
              <w:rPr>
                <w:rFonts w:ascii="Arial" w:cs="Arial" w:eastAsia="Arial" w:hAnsi="Arial"/>
                <w:sz w:val="13"/>
                <w:szCs w:val="13"/>
                <w:color w:val="auto"/>
              </w:rPr>
              <w:t>Argentina</w:t>
            </w:r>
          </w:p>
        </w:tc>
        <w:tc>
          <w:tcPr>
            <w:tcW w:w="920" w:type="dxa"/>
            <w:vAlign w:val="bottom"/>
            <w:shd w:val="clear" w:color="auto" w:fill="CCEEFF"/>
          </w:tcPr>
          <w:p>
            <w:pPr>
              <w:jc w:val="right"/>
              <w:ind w:right="804"/>
              <w:spacing w:after="0"/>
              <w:rPr>
                <w:sz w:val="20"/>
                <w:szCs w:val="20"/>
                <w:color w:val="auto"/>
              </w:rPr>
            </w:pPr>
            <w:r>
              <w:rPr>
                <w:rFonts w:ascii="Arial" w:cs="Arial" w:eastAsia="Arial" w:hAnsi="Arial"/>
                <w:sz w:val="10"/>
                <w:szCs w:val="10"/>
                <w:color w:val="auto"/>
                <w:w w:val="71"/>
              </w:rPr>
              <w:t>$</w:t>
            </w:r>
          </w:p>
        </w:tc>
        <w:tc>
          <w:tcPr>
            <w:tcW w:w="720" w:type="dxa"/>
            <w:vAlign w:val="bottom"/>
            <w:shd w:val="clear" w:color="auto" w:fill="CCEEFF"/>
          </w:tcPr>
          <w:p>
            <w:pPr>
              <w:jc w:val="right"/>
              <w:ind w:right="296"/>
              <w:spacing w:after="0"/>
              <w:rPr>
                <w:sz w:val="20"/>
                <w:szCs w:val="20"/>
                <w:color w:val="auto"/>
              </w:rPr>
            </w:pPr>
            <w:r>
              <w:rPr>
                <w:rFonts w:ascii="Arial" w:cs="Arial" w:eastAsia="Arial" w:hAnsi="Arial"/>
                <w:sz w:val="13"/>
                <w:szCs w:val="13"/>
                <w:color w:val="auto"/>
              </w:rPr>
              <w:t>609</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7.9</w:t>
            </w:r>
          </w:p>
        </w:tc>
        <w:tc>
          <w:tcPr>
            <w:tcW w:w="240" w:type="dxa"/>
            <w:vAlign w:val="bottom"/>
            <w:shd w:val="clear" w:color="auto" w:fill="CCEEFF"/>
          </w:tcPr>
          <w:p>
            <w:pPr>
              <w:jc w:val="right"/>
              <w:ind w:right="96"/>
              <w:spacing w:after="0"/>
              <w:rPr>
                <w:sz w:val="20"/>
                <w:szCs w:val="20"/>
                <w:color w:val="auto"/>
              </w:rPr>
            </w:pPr>
            <w:r>
              <w:rPr>
                <w:rFonts w:ascii="Arial" w:cs="Arial" w:eastAsia="Arial" w:hAnsi="Arial"/>
                <w:sz w:val="13"/>
                <w:szCs w:val="13"/>
                <w:color w:val="auto"/>
                <w:w w:val="82"/>
              </w:rPr>
              <w:t>$</w:t>
            </w:r>
          </w:p>
        </w:tc>
        <w:tc>
          <w:tcPr>
            <w:tcW w:w="680" w:type="dxa"/>
            <w:vAlign w:val="bottom"/>
            <w:shd w:val="clear" w:color="auto" w:fill="CCEEFF"/>
          </w:tcPr>
          <w:p>
            <w:pPr>
              <w:spacing w:after="0"/>
              <w:rPr>
                <w:sz w:val="13"/>
                <w:szCs w:val="13"/>
                <w:color w:val="auto"/>
              </w:rPr>
            </w:pPr>
          </w:p>
        </w:tc>
        <w:tc>
          <w:tcPr>
            <w:tcW w:w="1620" w:type="dxa"/>
            <w:vAlign w:val="bottom"/>
            <w:shd w:val="clear" w:color="auto" w:fill="CCEEFF"/>
          </w:tcPr>
          <w:p>
            <w:pPr>
              <w:jc w:val="right"/>
              <w:ind w:right="1196"/>
              <w:spacing w:after="0"/>
              <w:rPr>
                <w:sz w:val="20"/>
                <w:szCs w:val="20"/>
                <w:color w:val="auto"/>
              </w:rPr>
            </w:pPr>
            <w:r>
              <w:rPr>
                <w:rFonts w:ascii="Arial" w:cs="Arial" w:eastAsia="Arial" w:hAnsi="Arial"/>
                <w:sz w:val="13"/>
                <w:szCs w:val="13"/>
                <w:color w:val="auto"/>
              </w:rPr>
              <w:t>296</w:t>
            </w:r>
          </w:p>
        </w:tc>
        <w:tc>
          <w:tcPr>
            <w:tcW w:w="2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4.7</w:t>
            </w:r>
          </w:p>
        </w:tc>
        <w:tc>
          <w:tcPr>
            <w:tcW w:w="120" w:type="dxa"/>
            <w:vAlign w:val="bottom"/>
            <w:shd w:val="clear" w:color="auto" w:fill="CCEEFF"/>
          </w:tcPr>
          <w:p>
            <w:pPr>
              <w:spacing w:after="0"/>
              <w:rPr>
                <w:sz w:val="13"/>
                <w:szCs w:val="13"/>
                <w:color w:val="auto"/>
              </w:rPr>
            </w:pPr>
          </w:p>
        </w:tc>
        <w:tc>
          <w:tcPr>
            <w:tcW w:w="34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w:t>
            </w:r>
          </w:p>
        </w:tc>
        <w:tc>
          <w:tcPr>
            <w:tcW w:w="1380" w:type="dxa"/>
            <w:vAlign w:val="bottom"/>
            <w:shd w:val="clear" w:color="auto" w:fill="CCEEFF"/>
          </w:tcPr>
          <w:p>
            <w:pPr>
              <w:jc w:val="right"/>
              <w:ind w:right="296"/>
              <w:spacing w:after="0"/>
              <w:rPr>
                <w:sz w:val="20"/>
                <w:szCs w:val="20"/>
                <w:color w:val="auto"/>
              </w:rPr>
            </w:pPr>
            <w:r>
              <w:rPr>
                <w:rFonts w:ascii="Arial" w:cs="Arial" w:eastAsia="Arial" w:hAnsi="Arial"/>
                <w:sz w:val="13"/>
                <w:szCs w:val="13"/>
                <w:color w:val="auto"/>
              </w:rPr>
              <w:t>329</w:t>
            </w: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4.5</w:t>
            </w:r>
          </w:p>
        </w:tc>
      </w:tr>
      <w:tr>
        <w:trPr>
          <w:trHeight w:val="154"/>
        </w:trPr>
        <w:tc>
          <w:tcPr>
            <w:tcW w:w="2640" w:type="dxa"/>
            <w:vAlign w:val="bottom"/>
          </w:tcPr>
          <w:p>
            <w:pPr>
              <w:spacing w:after="0"/>
              <w:rPr>
                <w:sz w:val="20"/>
                <w:szCs w:val="20"/>
                <w:color w:val="auto"/>
              </w:rPr>
            </w:pPr>
            <w:r>
              <w:rPr>
                <w:rFonts w:ascii="Arial" w:cs="Arial" w:eastAsia="Arial" w:hAnsi="Arial"/>
                <w:sz w:val="13"/>
                <w:szCs w:val="13"/>
                <w:color w:val="auto"/>
              </w:rPr>
              <w:t>Brazil</w:t>
            </w:r>
          </w:p>
        </w:tc>
        <w:tc>
          <w:tcPr>
            <w:tcW w:w="920" w:type="dxa"/>
            <w:vAlign w:val="bottom"/>
          </w:tcPr>
          <w:p>
            <w:pPr>
              <w:spacing w:after="0"/>
              <w:rPr>
                <w:sz w:val="13"/>
                <w:szCs w:val="13"/>
                <w:color w:val="auto"/>
              </w:rPr>
            </w:pPr>
          </w:p>
        </w:tc>
        <w:tc>
          <w:tcPr>
            <w:tcW w:w="720" w:type="dxa"/>
            <w:vAlign w:val="bottom"/>
          </w:tcPr>
          <w:p>
            <w:pPr>
              <w:jc w:val="right"/>
              <w:ind w:right="296"/>
              <w:spacing w:after="0"/>
              <w:rPr>
                <w:sz w:val="20"/>
                <w:szCs w:val="20"/>
                <w:color w:val="auto"/>
              </w:rPr>
            </w:pPr>
            <w:r>
              <w:rPr>
                <w:rFonts w:ascii="Arial" w:cs="Arial" w:eastAsia="Arial" w:hAnsi="Arial"/>
                <w:sz w:val="13"/>
                <w:szCs w:val="13"/>
                <w:color w:val="auto"/>
              </w:rPr>
              <w:t>1,169</w:t>
            </w:r>
          </w:p>
        </w:tc>
        <w:tc>
          <w:tcPr>
            <w:tcW w:w="1360" w:type="dxa"/>
            <w:vAlign w:val="bottom"/>
            <w:gridSpan w:val="2"/>
          </w:tcPr>
          <w:p>
            <w:pPr>
              <w:jc w:val="right"/>
              <w:ind w:right="220"/>
              <w:spacing w:after="0"/>
              <w:rPr>
                <w:sz w:val="20"/>
                <w:szCs w:val="20"/>
                <w:color w:val="auto"/>
              </w:rPr>
            </w:pPr>
            <w:r>
              <w:rPr>
                <w:rFonts w:ascii="Arial" w:cs="Arial" w:eastAsia="Arial" w:hAnsi="Arial"/>
                <w:sz w:val="13"/>
                <w:szCs w:val="13"/>
                <w:color w:val="auto"/>
              </w:rPr>
              <w:t>15.2</w:t>
            </w:r>
          </w:p>
        </w:tc>
        <w:tc>
          <w:tcPr>
            <w:tcW w:w="240" w:type="dxa"/>
            <w:vAlign w:val="bottom"/>
          </w:tcPr>
          <w:p>
            <w:pPr>
              <w:spacing w:after="0"/>
              <w:rPr>
                <w:sz w:val="13"/>
                <w:szCs w:val="13"/>
                <w:color w:val="auto"/>
              </w:rPr>
            </w:pPr>
          </w:p>
        </w:tc>
        <w:tc>
          <w:tcPr>
            <w:tcW w:w="680" w:type="dxa"/>
            <w:vAlign w:val="bottom"/>
          </w:tcPr>
          <w:p>
            <w:pPr>
              <w:spacing w:after="0"/>
              <w:rPr>
                <w:sz w:val="13"/>
                <w:szCs w:val="13"/>
                <w:color w:val="auto"/>
              </w:rPr>
            </w:pPr>
          </w:p>
        </w:tc>
        <w:tc>
          <w:tcPr>
            <w:tcW w:w="1620" w:type="dxa"/>
            <w:vAlign w:val="bottom"/>
          </w:tcPr>
          <w:p>
            <w:pPr>
              <w:jc w:val="right"/>
              <w:ind w:right="1196"/>
              <w:spacing w:after="0"/>
              <w:rPr>
                <w:sz w:val="20"/>
                <w:szCs w:val="20"/>
                <w:color w:val="auto"/>
              </w:rPr>
            </w:pPr>
            <w:r>
              <w:rPr>
                <w:rFonts w:ascii="Arial" w:cs="Arial" w:eastAsia="Arial" w:hAnsi="Arial"/>
                <w:sz w:val="13"/>
                <w:szCs w:val="13"/>
                <w:color w:val="auto"/>
              </w:rPr>
              <w:t>1,042</w:t>
            </w:r>
          </w:p>
        </w:tc>
        <w:tc>
          <w:tcPr>
            <w:tcW w:w="360" w:type="dxa"/>
            <w:vAlign w:val="bottom"/>
            <w:gridSpan w:val="2"/>
          </w:tcPr>
          <w:p>
            <w:pPr>
              <w:jc w:val="right"/>
              <w:ind w:right="120"/>
              <w:spacing w:after="0"/>
              <w:rPr>
                <w:sz w:val="20"/>
                <w:szCs w:val="20"/>
                <w:color w:val="auto"/>
              </w:rPr>
            </w:pPr>
            <w:r>
              <w:rPr>
                <w:rFonts w:ascii="Arial" w:cs="Arial" w:eastAsia="Arial" w:hAnsi="Arial"/>
                <w:sz w:val="13"/>
                <w:szCs w:val="13"/>
                <w:color w:val="auto"/>
                <w:w w:val="86"/>
              </w:rPr>
              <w:t>16.5</w:t>
            </w:r>
          </w:p>
        </w:tc>
        <w:tc>
          <w:tcPr>
            <w:tcW w:w="1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380" w:type="dxa"/>
            <w:vAlign w:val="bottom"/>
          </w:tcPr>
          <w:p>
            <w:pPr>
              <w:jc w:val="right"/>
              <w:ind w:right="296"/>
              <w:spacing w:after="0"/>
              <w:rPr>
                <w:sz w:val="20"/>
                <w:szCs w:val="20"/>
                <w:color w:val="auto"/>
              </w:rPr>
            </w:pPr>
            <w:r>
              <w:rPr>
                <w:rFonts w:ascii="Arial" w:cs="Arial" w:eastAsia="Arial" w:hAnsi="Arial"/>
                <w:sz w:val="13"/>
                <w:szCs w:val="13"/>
                <w:color w:val="auto"/>
              </w:rPr>
              <w:t>1,201</w:t>
            </w:r>
          </w:p>
        </w:tc>
        <w:tc>
          <w:tcPr>
            <w:tcW w:w="1220" w:type="dxa"/>
            <w:vAlign w:val="bottom"/>
            <w:gridSpan w:val="2"/>
          </w:tcPr>
          <w:p>
            <w:pPr>
              <w:jc w:val="right"/>
              <w:ind w:right="120"/>
              <w:spacing w:after="0"/>
              <w:rPr>
                <w:sz w:val="20"/>
                <w:szCs w:val="20"/>
                <w:color w:val="auto"/>
              </w:rPr>
            </w:pPr>
            <w:r>
              <w:rPr>
                <w:rFonts w:ascii="Arial" w:cs="Arial" w:eastAsia="Arial" w:hAnsi="Arial"/>
                <w:sz w:val="13"/>
                <w:szCs w:val="13"/>
                <w:color w:val="auto"/>
              </w:rPr>
              <w:t>16.6</w:t>
            </w:r>
          </w:p>
        </w:tc>
      </w:tr>
      <w:tr>
        <w:trPr>
          <w:trHeight w:val="154"/>
        </w:trPr>
        <w:tc>
          <w:tcPr>
            <w:tcW w:w="2640" w:type="dxa"/>
            <w:vAlign w:val="bottom"/>
            <w:shd w:val="clear" w:color="auto" w:fill="CCEEFF"/>
          </w:tcPr>
          <w:p>
            <w:pPr>
              <w:spacing w:after="0"/>
              <w:rPr>
                <w:sz w:val="20"/>
                <w:szCs w:val="20"/>
                <w:color w:val="auto"/>
              </w:rPr>
            </w:pPr>
            <w:r>
              <w:rPr>
                <w:rFonts w:ascii="Arial" w:cs="Arial" w:eastAsia="Arial" w:hAnsi="Arial"/>
                <w:sz w:val="13"/>
                <w:szCs w:val="13"/>
                <w:color w:val="auto"/>
              </w:rPr>
              <w:t>Chile</w:t>
            </w:r>
          </w:p>
        </w:tc>
        <w:tc>
          <w:tcPr>
            <w:tcW w:w="920" w:type="dxa"/>
            <w:vAlign w:val="bottom"/>
            <w:shd w:val="clear" w:color="auto" w:fill="CCEEFF"/>
          </w:tcPr>
          <w:p>
            <w:pPr>
              <w:spacing w:after="0"/>
              <w:rPr>
                <w:sz w:val="13"/>
                <w:szCs w:val="13"/>
                <w:color w:val="auto"/>
              </w:rPr>
            </w:pPr>
          </w:p>
        </w:tc>
        <w:tc>
          <w:tcPr>
            <w:tcW w:w="720" w:type="dxa"/>
            <w:vAlign w:val="bottom"/>
            <w:shd w:val="clear" w:color="auto" w:fill="CCEEFF"/>
          </w:tcPr>
          <w:p>
            <w:pPr>
              <w:jc w:val="right"/>
              <w:ind w:right="296"/>
              <w:spacing w:after="0"/>
              <w:rPr>
                <w:sz w:val="20"/>
                <w:szCs w:val="20"/>
                <w:color w:val="auto"/>
              </w:rPr>
            </w:pPr>
            <w:r>
              <w:rPr>
                <w:rFonts w:ascii="Arial" w:cs="Arial" w:eastAsia="Arial" w:hAnsi="Arial"/>
                <w:sz w:val="13"/>
                <w:szCs w:val="13"/>
                <w:color w:val="auto"/>
              </w:rPr>
              <w:t>183</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2.4</w:t>
            </w:r>
          </w:p>
        </w:tc>
        <w:tc>
          <w:tcPr>
            <w:tcW w:w="240" w:type="dxa"/>
            <w:vAlign w:val="bottom"/>
            <w:shd w:val="clear" w:color="auto" w:fill="CCEEFF"/>
          </w:tcPr>
          <w:p>
            <w:pPr>
              <w:spacing w:after="0"/>
              <w:rPr>
                <w:sz w:val="13"/>
                <w:szCs w:val="13"/>
                <w:color w:val="auto"/>
              </w:rPr>
            </w:pPr>
          </w:p>
        </w:tc>
        <w:tc>
          <w:tcPr>
            <w:tcW w:w="680" w:type="dxa"/>
            <w:vAlign w:val="bottom"/>
            <w:shd w:val="clear" w:color="auto" w:fill="CCEEFF"/>
          </w:tcPr>
          <w:p>
            <w:pPr>
              <w:spacing w:after="0"/>
              <w:rPr>
                <w:sz w:val="13"/>
                <w:szCs w:val="13"/>
                <w:color w:val="auto"/>
              </w:rPr>
            </w:pPr>
          </w:p>
        </w:tc>
        <w:tc>
          <w:tcPr>
            <w:tcW w:w="1620" w:type="dxa"/>
            <w:vAlign w:val="bottom"/>
            <w:shd w:val="clear" w:color="auto" w:fill="CCEEFF"/>
          </w:tcPr>
          <w:p>
            <w:pPr>
              <w:jc w:val="right"/>
              <w:ind w:right="1196"/>
              <w:spacing w:after="0"/>
              <w:rPr>
                <w:sz w:val="20"/>
                <w:szCs w:val="20"/>
                <w:color w:val="auto"/>
              </w:rPr>
            </w:pPr>
            <w:r>
              <w:rPr>
                <w:rFonts w:ascii="Arial" w:cs="Arial" w:eastAsia="Arial" w:hAnsi="Arial"/>
                <w:sz w:val="13"/>
                <w:szCs w:val="13"/>
                <w:color w:val="auto"/>
              </w:rPr>
              <w:t>176</w:t>
            </w:r>
          </w:p>
        </w:tc>
        <w:tc>
          <w:tcPr>
            <w:tcW w:w="2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2.8</w:t>
            </w:r>
          </w:p>
        </w:tc>
        <w:tc>
          <w:tcPr>
            <w:tcW w:w="1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380" w:type="dxa"/>
            <w:vAlign w:val="bottom"/>
            <w:shd w:val="clear" w:color="auto" w:fill="CCEEFF"/>
          </w:tcPr>
          <w:p>
            <w:pPr>
              <w:jc w:val="right"/>
              <w:ind w:right="296"/>
              <w:spacing w:after="0"/>
              <w:rPr>
                <w:sz w:val="20"/>
                <w:szCs w:val="20"/>
                <w:color w:val="auto"/>
              </w:rPr>
            </w:pPr>
            <w:r>
              <w:rPr>
                <w:rFonts w:ascii="Arial" w:cs="Arial" w:eastAsia="Arial" w:hAnsi="Arial"/>
                <w:sz w:val="13"/>
                <w:szCs w:val="13"/>
                <w:color w:val="auto"/>
              </w:rPr>
              <w:t>75</w:t>
            </w: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1.0</w:t>
            </w:r>
          </w:p>
        </w:tc>
      </w:tr>
      <w:tr>
        <w:trPr>
          <w:trHeight w:val="154"/>
        </w:trPr>
        <w:tc>
          <w:tcPr>
            <w:tcW w:w="2640" w:type="dxa"/>
            <w:vAlign w:val="bottom"/>
          </w:tcPr>
          <w:p>
            <w:pPr>
              <w:spacing w:after="0"/>
              <w:rPr>
                <w:sz w:val="20"/>
                <w:szCs w:val="20"/>
                <w:color w:val="auto"/>
              </w:rPr>
            </w:pPr>
            <w:r>
              <w:rPr>
                <w:rFonts w:ascii="Arial" w:cs="Arial" w:eastAsia="Arial" w:hAnsi="Arial"/>
                <w:sz w:val="13"/>
                <w:szCs w:val="13"/>
                <w:color w:val="auto"/>
              </w:rPr>
              <w:t>Colombia</w:t>
            </w:r>
          </w:p>
        </w:tc>
        <w:tc>
          <w:tcPr>
            <w:tcW w:w="920" w:type="dxa"/>
            <w:vAlign w:val="bottom"/>
          </w:tcPr>
          <w:p>
            <w:pPr>
              <w:spacing w:after="0"/>
              <w:rPr>
                <w:sz w:val="13"/>
                <w:szCs w:val="13"/>
                <w:color w:val="auto"/>
              </w:rPr>
            </w:pPr>
          </w:p>
        </w:tc>
        <w:tc>
          <w:tcPr>
            <w:tcW w:w="720" w:type="dxa"/>
            <w:vAlign w:val="bottom"/>
          </w:tcPr>
          <w:p>
            <w:pPr>
              <w:jc w:val="right"/>
              <w:ind w:right="296"/>
              <w:spacing w:after="0"/>
              <w:rPr>
                <w:sz w:val="20"/>
                <w:szCs w:val="20"/>
                <w:color w:val="auto"/>
              </w:rPr>
            </w:pPr>
            <w:r>
              <w:rPr>
                <w:rFonts w:ascii="Arial" w:cs="Arial" w:eastAsia="Arial" w:hAnsi="Arial"/>
                <w:sz w:val="13"/>
                <w:szCs w:val="13"/>
                <w:color w:val="auto"/>
              </w:rPr>
              <w:t>660</w:t>
            </w:r>
          </w:p>
        </w:tc>
        <w:tc>
          <w:tcPr>
            <w:tcW w:w="1360" w:type="dxa"/>
            <w:vAlign w:val="bottom"/>
            <w:gridSpan w:val="2"/>
          </w:tcPr>
          <w:p>
            <w:pPr>
              <w:jc w:val="right"/>
              <w:ind w:right="220"/>
              <w:spacing w:after="0"/>
              <w:rPr>
                <w:sz w:val="20"/>
                <w:szCs w:val="20"/>
                <w:color w:val="auto"/>
              </w:rPr>
            </w:pPr>
            <w:r>
              <w:rPr>
                <w:rFonts w:ascii="Arial" w:cs="Arial" w:eastAsia="Arial" w:hAnsi="Arial"/>
                <w:sz w:val="13"/>
                <w:szCs w:val="13"/>
                <w:color w:val="auto"/>
              </w:rPr>
              <w:t>8.6</w:t>
            </w:r>
          </w:p>
        </w:tc>
        <w:tc>
          <w:tcPr>
            <w:tcW w:w="240" w:type="dxa"/>
            <w:vAlign w:val="bottom"/>
          </w:tcPr>
          <w:p>
            <w:pPr>
              <w:spacing w:after="0"/>
              <w:rPr>
                <w:sz w:val="13"/>
                <w:szCs w:val="13"/>
                <w:color w:val="auto"/>
              </w:rPr>
            </w:pPr>
          </w:p>
        </w:tc>
        <w:tc>
          <w:tcPr>
            <w:tcW w:w="680" w:type="dxa"/>
            <w:vAlign w:val="bottom"/>
          </w:tcPr>
          <w:p>
            <w:pPr>
              <w:spacing w:after="0"/>
              <w:rPr>
                <w:sz w:val="13"/>
                <w:szCs w:val="13"/>
                <w:color w:val="auto"/>
              </w:rPr>
            </w:pPr>
          </w:p>
        </w:tc>
        <w:tc>
          <w:tcPr>
            <w:tcW w:w="1620" w:type="dxa"/>
            <w:vAlign w:val="bottom"/>
          </w:tcPr>
          <w:p>
            <w:pPr>
              <w:jc w:val="right"/>
              <w:ind w:right="1196"/>
              <w:spacing w:after="0"/>
              <w:rPr>
                <w:sz w:val="20"/>
                <w:szCs w:val="20"/>
                <w:color w:val="auto"/>
              </w:rPr>
            </w:pPr>
            <w:r>
              <w:rPr>
                <w:rFonts w:ascii="Arial" w:cs="Arial" w:eastAsia="Arial" w:hAnsi="Arial"/>
                <w:sz w:val="13"/>
                <w:szCs w:val="13"/>
                <w:color w:val="auto"/>
              </w:rPr>
              <w:t>863</w:t>
            </w:r>
          </w:p>
        </w:tc>
        <w:tc>
          <w:tcPr>
            <w:tcW w:w="360" w:type="dxa"/>
            <w:vAlign w:val="bottom"/>
            <w:gridSpan w:val="2"/>
          </w:tcPr>
          <w:p>
            <w:pPr>
              <w:jc w:val="right"/>
              <w:ind w:right="120"/>
              <w:spacing w:after="0"/>
              <w:rPr>
                <w:sz w:val="20"/>
                <w:szCs w:val="20"/>
                <w:color w:val="auto"/>
              </w:rPr>
            </w:pPr>
            <w:r>
              <w:rPr>
                <w:rFonts w:ascii="Arial" w:cs="Arial" w:eastAsia="Arial" w:hAnsi="Arial"/>
                <w:sz w:val="13"/>
                <w:szCs w:val="13"/>
                <w:color w:val="auto"/>
                <w:w w:val="86"/>
              </w:rPr>
              <w:t>13.7</w:t>
            </w:r>
          </w:p>
        </w:tc>
        <w:tc>
          <w:tcPr>
            <w:tcW w:w="1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380" w:type="dxa"/>
            <w:vAlign w:val="bottom"/>
          </w:tcPr>
          <w:p>
            <w:pPr>
              <w:jc w:val="right"/>
              <w:ind w:right="296"/>
              <w:spacing w:after="0"/>
              <w:rPr>
                <w:sz w:val="20"/>
                <w:szCs w:val="20"/>
                <w:color w:val="auto"/>
              </w:rPr>
            </w:pPr>
            <w:r>
              <w:rPr>
                <w:rFonts w:ascii="Arial" w:cs="Arial" w:eastAsia="Arial" w:hAnsi="Arial"/>
                <w:sz w:val="13"/>
                <w:szCs w:val="13"/>
                <w:color w:val="auto"/>
              </w:rPr>
              <w:t>688</w:t>
            </w:r>
          </w:p>
        </w:tc>
        <w:tc>
          <w:tcPr>
            <w:tcW w:w="1220" w:type="dxa"/>
            <w:vAlign w:val="bottom"/>
            <w:gridSpan w:val="2"/>
          </w:tcPr>
          <w:p>
            <w:pPr>
              <w:jc w:val="right"/>
              <w:ind w:right="120"/>
              <w:spacing w:after="0"/>
              <w:rPr>
                <w:sz w:val="20"/>
                <w:szCs w:val="20"/>
                <w:color w:val="auto"/>
              </w:rPr>
            </w:pPr>
            <w:r>
              <w:rPr>
                <w:rFonts w:ascii="Arial" w:cs="Arial" w:eastAsia="Arial" w:hAnsi="Arial"/>
                <w:sz w:val="13"/>
                <w:szCs w:val="13"/>
                <w:color w:val="auto"/>
              </w:rPr>
              <w:t>9.5</w:t>
            </w:r>
          </w:p>
        </w:tc>
      </w:tr>
      <w:tr>
        <w:trPr>
          <w:trHeight w:val="154"/>
        </w:trPr>
        <w:tc>
          <w:tcPr>
            <w:tcW w:w="2640" w:type="dxa"/>
            <w:vAlign w:val="bottom"/>
            <w:shd w:val="clear" w:color="auto" w:fill="CCEEFF"/>
          </w:tcPr>
          <w:p>
            <w:pPr>
              <w:spacing w:after="0"/>
              <w:rPr>
                <w:sz w:val="20"/>
                <w:szCs w:val="20"/>
                <w:color w:val="auto"/>
              </w:rPr>
            </w:pPr>
            <w:r>
              <w:rPr>
                <w:rFonts w:ascii="Arial" w:cs="Arial" w:eastAsia="Arial" w:hAnsi="Arial"/>
                <w:sz w:val="13"/>
                <w:szCs w:val="13"/>
                <w:color w:val="auto"/>
              </w:rPr>
              <w:t>Costa Rica</w:t>
            </w:r>
          </w:p>
        </w:tc>
        <w:tc>
          <w:tcPr>
            <w:tcW w:w="920" w:type="dxa"/>
            <w:vAlign w:val="bottom"/>
            <w:shd w:val="clear" w:color="auto" w:fill="CCEEFF"/>
          </w:tcPr>
          <w:p>
            <w:pPr>
              <w:spacing w:after="0"/>
              <w:rPr>
                <w:sz w:val="13"/>
                <w:szCs w:val="13"/>
                <w:color w:val="auto"/>
              </w:rPr>
            </w:pPr>
          </w:p>
        </w:tc>
        <w:tc>
          <w:tcPr>
            <w:tcW w:w="720" w:type="dxa"/>
            <w:vAlign w:val="bottom"/>
            <w:shd w:val="clear" w:color="auto" w:fill="CCEEFF"/>
          </w:tcPr>
          <w:p>
            <w:pPr>
              <w:jc w:val="right"/>
              <w:ind w:right="296"/>
              <w:spacing w:after="0"/>
              <w:rPr>
                <w:sz w:val="20"/>
                <w:szCs w:val="20"/>
                <w:color w:val="auto"/>
              </w:rPr>
            </w:pPr>
            <w:r>
              <w:rPr>
                <w:rFonts w:ascii="Arial" w:cs="Arial" w:eastAsia="Arial" w:hAnsi="Arial"/>
                <w:sz w:val="13"/>
                <w:szCs w:val="13"/>
                <w:color w:val="auto"/>
              </w:rPr>
              <w:t>372</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4.9</w:t>
            </w:r>
          </w:p>
        </w:tc>
        <w:tc>
          <w:tcPr>
            <w:tcW w:w="240" w:type="dxa"/>
            <w:vAlign w:val="bottom"/>
            <w:shd w:val="clear" w:color="auto" w:fill="CCEEFF"/>
          </w:tcPr>
          <w:p>
            <w:pPr>
              <w:spacing w:after="0"/>
              <w:rPr>
                <w:sz w:val="13"/>
                <w:szCs w:val="13"/>
                <w:color w:val="auto"/>
              </w:rPr>
            </w:pPr>
          </w:p>
        </w:tc>
        <w:tc>
          <w:tcPr>
            <w:tcW w:w="680" w:type="dxa"/>
            <w:vAlign w:val="bottom"/>
            <w:shd w:val="clear" w:color="auto" w:fill="CCEEFF"/>
          </w:tcPr>
          <w:p>
            <w:pPr>
              <w:spacing w:after="0"/>
              <w:rPr>
                <w:sz w:val="13"/>
                <w:szCs w:val="13"/>
                <w:color w:val="auto"/>
              </w:rPr>
            </w:pPr>
          </w:p>
        </w:tc>
        <w:tc>
          <w:tcPr>
            <w:tcW w:w="1620" w:type="dxa"/>
            <w:vAlign w:val="bottom"/>
            <w:shd w:val="clear" w:color="auto" w:fill="CCEEFF"/>
          </w:tcPr>
          <w:p>
            <w:pPr>
              <w:jc w:val="right"/>
              <w:ind w:right="1196"/>
              <w:spacing w:after="0"/>
              <w:rPr>
                <w:sz w:val="20"/>
                <w:szCs w:val="20"/>
                <w:color w:val="auto"/>
              </w:rPr>
            </w:pPr>
            <w:r>
              <w:rPr>
                <w:rFonts w:ascii="Arial" w:cs="Arial" w:eastAsia="Arial" w:hAnsi="Arial"/>
                <w:sz w:val="13"/>
                <w:szCs w:val="13"/>
                <w:color w:val="auto"/>
              </w:rPr>
              <w:t>358</w:t>
            </w:r>
          </w:p>
        </w:tc>
        <w:tc>
          <w:tcPr>
            <w:tcW w:w="2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5.7</w:t>
            </w:r>
          </w:p>
        </w:tc>
        <w:tc>
          <w:tcPr>
            <w:tcW w:w="1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380" w:type="dxa"/>
            <w:vAlign w:val="bottom"/>
            <w:shd w:val="clear" w:color="auto" w:fill="CCEEFF"/>
          </w:tcPr>
          <w:p>
            <w:pPr>
              <w:jc w:val="right"/>
              <w:ind w:right="296"/>
              <w:spacing w:after="0"/>
              <w:rPr>
                <w:sz w:val="20"/>
                <w:szCs w:val="20"/>
                <w:color w:val="auto"/>
              </w:rPr>
            </w:pPr>
            <w:r>
              <w:rPr>
                <w:rFonts w:ascii="Arial" w:cs="Arial" w:eastAsia="Arial" w:hAnsi="Arial"/>
                <w:sz w:val="13"/>
                <w:szCs w:val="13"/>
                <w:color w:val="auto"/>
              </w:rPr>
              <w:t>402</w:t>
            </w: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5.6</w:t>
            </w:r>
          </w:p>
        </w:tc>
      </w:tr>
      <w:tr>
        <w:trPr>
          <w:trHeight w:val="154"/>
        </w:trPr>
        <w:tc>
          <w:tcPr>
            <w:tcW w:w="2640" w:type="dxa"/>
            <w:vAlign w:val="bottom"/>
          </w:tcPr>
          <w:p>
            <w:pPr>
              <w:spacing w:after="0"/>
              <w:rPr>
                <w:sz w:val="20"/>
                <w:szCs w:val="20"/>
                <w:color w:val="auto"/>
              </w:rPr>
            </w:pPr>
            <w:r>
              <w:rPr>
                <w:rFonts w:ascii="Arial" w:cs="Arial" w:eastAsia="Arial" w:hAnsi="Arial"/>
                <w:sz w:val="13"/>
                <w:szCs w:val="13"/>
                <w:color w:val="auto"/>
              </w:rPr>
              <w:t>Dominican Republic</w:t>
            </w:r>
          </w:p>
        </w:tc>
        <w:tc>
          <w:tcPr>
            <w:tcW w:w="920" w:type="dxa"/>
            <w:vAlign w:val="bottom"/>
          </w:tcPr>
          <w:p>
            <w:pPr>
              <w:spacing w:after="0"/>
              <w:rPr>
                <w:sz w:val="13"/>
                <w:szCs w:val="13"/>
                <w:color w:val="auto"/>
              </w:rPr>
            </w:pPr>
          </w:p>
        </w:tc>
        <w:tc>
          <w:tcPr>
            <w:tcW w:w="720" w:type="dxa"/>
            <w:vAlign w:val="bottom"/>
          </w:tcPr>
          <w:p>
            <w:pPr>
              <w:jc w:val="right"/>
              <w:ind w:right="296"/>
              <w:spacing w:after="0"/>
              <w:rPr>
                <w:sz w:val="20"/>
                <w:szCs w:val="20"/>
                <w:color w:val="auto"/>
              </w:rPr>
            </w:pPr>
            <w:r>
              <w:rPr>
                <w:rFonts w:ascii="Arial" w:cs="Arial" w:eastAsia="Arial" w:hAnsi="Arial"/>
                <w:sz w:val="13"/>
                <w:szCs w:val="13"/>
                <w:color w:val="auto"/>
              </w:rPr>
              <w:t>304</w:t>
            </w:r>
          </w:p>
        </w:tc>
        <w:tc>
          <w:tcPr>
            <w:tcW w:w="1360" w:type="dxa"/>
            <w:vAlign w:val="bottom"/>
            <w:gridSpan w:val="2"/>
          </w:tcPr>
          <w:p>
            <w:pPr>
              <w:jc w:val="right"/>
              <w:ind w:right="220"/>
              <w:spacing w:after="0"/>
              <w:rPr>
                <w:sz w:val="20"/>
                <w:szCs w:val="20"/>
                <w:color w:val="auto"/>
              </w:rPr>
            </w:pPr>
            <w:r>
              <w:rPr>
                <w:rFonts w:ascii="Arial" w:cs="Arial" w:eastAsia="Arial" w:hAnsi="Arial"/>
                <w:sz w:val="13"/>
                <w:szCs w:val="13"/>
                <w:color w:val="auto"/>
              </w:rPr>
              <w:t>4.0</w:t>
            </w:r>
          </w:p>
        </w:tc>
        <w:tc>
          <w:tcPr>
            <w:tcW w:w="240" w:type="dxa"/>
            <w:vAlign w:val="bottom"/>
          </w:tcPr>
          <w:p>
            <w:pPr>
              <w:spacing w:after="0"/>
              <w:rPr>
                <w:sz w:val="13"/>
                <w:szCs w:val="13"/>
                <w:color w:val="auto"/>
              </w:rPr>
            </w:pPr>
          </w:p>
        </w:tc>
        <w:tc>
          <w:tcPr>
            <w:tcW w:w="680" w:type="dxa"/>
            <w:vAlign w:val="bottom"/>
          </w:tcPr>
          <w:p>
            <w:pPr>
              <w:spacing w:after="0"/>
              <w:rPr>
                <w:sz w:val="13"/>
                <w:szCs w:val="13"/>
                <w:color w:val="auto"/>
              </w:rPr>
            </w:pPr>
          </w:p>
        </w:tc>
        <w:tc>
          <w:tcPr>
            <w:tcW w:w="1620" w:type="dxa"/>
            <w:vAlign w:val="bottom"/>
          </w:tcPr>
          <w:p>
            <w:pPr>
              <w:jc w:val="right"/>
              <w:ind w:right="1196"/>
              <w:spacing w:after="0"/>
              <w:rPr>
                <w:sz w:val="20"/>
                <w:szCs w:val="20"/>
                <w:color w:val="auto"/>
              </w:rPr>
            </w:pPr>
            <w:r>
              <w:rPr>
                <w:rFonts w:ascii="Arial" w:cs="Arial" w:eastAsia="Arial" w:hAnsi="Arial"/>
                <w:sz w:val="13"/>
                <w:szCs w:val="13"/>
                <w:color w:val="auto"/>
              </w:rPr>
              <w:t>251</w:t>
            </w:r>
          </w:p>
        </w:tc>
        <w:tc>
          <w:tcPr>
            <w:tcW w:w="240" w:type="dxa"/>
            <w:vAlign w:val="bottom"/>
          </w:tcPr>
          <w:p>
            <w:pPr>
              <w:jc w:val="right"/>
              <w:spacing w:after="0"/>
              <w:rPr>
                <w:sz w:val="20"/>
                <w:szCs w:val="20"/>
                <w:color w:val="auto"/>
              </w:rPr>
            </w:pPr>
            <w:r>
              <w:rPr>
                <w:rFonts w:ascii="Arial" w:cs="Arial" w:eastAsia="Arial" w:hAnsi="Arial"/>
                <w:sz w:val="13"/>
                <w:szCs w:val="13"/>
                <w:color w:val="auto"/>
              </w:rPr>
              <w:t>4.0</w:t>
            </w: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380" w:type="dxa"/>
            <w:vAlign w:val="bottom"/>
          </w:tcPr>
          <w:p>
            <w:pPr>
              <w:jc w:val="right"/>
              <w:ind w:right="296"/>
              <w:spacing w:after="0"/>
              <w:rPr>
                <w:sz w:val="20"/>
                <w:szCs w:val="20"/>
                <w:color w:val="auto"/>
              </w:rPr>
            </w:pPr>
            <w:r>
              <w:rPr>
                <w:rFonts w:ascii="Arial" w:cs="Arial" w:eastAsia="Arial" w:hAnsi="Arial"/>
                <w:sz w:val="13"/>
                <w:szCs w:val="13"/>
                <w:color w:val="auto"/>
              </w:rPr>
              <w:t>246</w:t>
            </w:r>
          </w:p>
        </w:tc>
        <w:tc>
          <w:tcPr>
            <w:tcW w:w="1220" w:type="dxa"/>
            <w:vAlign w:val="bottom"/>
            <w:gridSpan w:val="2"/>
          </w:tcPr>
          <w:p>
            <w:pPr>
              <w:jc w:val="right"/>
              <w:ind w:right="120"/>
              <w:spacing w:after="0"/>
              <w:rPr>
                <w:sz w:val="20"/>
                <w:szCs w:val="20"/>
                <w:color w:val="auto"/>
              </w:rPr>
            </w:pPr>
            <w:r>
              <w:rPr>
                <w:rFonts w:ascii="Arial" w:cs="Arial" w:eastAsia="Arial" w:hAnsi="Arial"/>
                <w:sz w:val="13"/>
                <w:szCs w:val="13"/>
                <w:color w:val="auto"/>
              </w:rPr>
              <w:t>3.4</w:t>
            </w:r>
          </w:p>
        </w:tc>
      </w:tr>
      <w:tr>
        <w:trPr>
          <w:trHeight w:val="154"/>
        </w:trPr>
        <w:tc>
          <w:tcPr>
            <w:tcW w:w="2640" w:type="dxa"/>
            <w:vAlign w:val="bottom"/>
            <w:shd w:val="clear" w:color="auto" w:fill="CCEEFF"/>
          </w:tcPr>
          <w:p>
            <w:pPr>
              <w:spacing w:after="0"/>
              <w:rPr>
                <w:sz w:val="20"/>
                <w:szCs w:val="20"/>
                <w:color w:val="auto"/>
              </w:rPr>
            </w:pPr>
            <w:r>
              <w:rPr>
                <w:rFonts w:ascii="Arial" w:cs="Arial" w:eastAsia="Arial" w:hAnsi="Arial"/>
                <w:sz w:val="13"/>
                <w:szCs w:val="13"/>
                <w:color w:val="auto"/>
              </w:rPr>
              <w:t>Ecuador</w:t>
            </w:r>
          </w:p>
        </w:tc>
        <w:tc>
          <w:tcPr>
            <w:tcW w:w="920" w:type="dxa"/>
            <w:vAlign w:val="bottom"/>
            <w:shd w:val="clear" w:color="auto" w:fill="CCEEFF"/>
          </w:tcPr>
          <w:p>
            <w:pPr>
              <w:spacing w:after="0"/>
              <w:rPr>
                <w:sz w:val="13"/>
                <w:szCs w:val="13"/>
                <w:color w:val="auto"/>
              </w:rPr>
            </w:pPr>
          </w:p>
        </w:tc>
        <w:tc>
          <w:tcPr>
            <w:tcW w:w="720" w:type="dxa"/>
            <w:vAlign w:val="bottom"/>
            <w:shd w:val="clear" w:color="auto" w:fill="CCEEFF"/>
          </w:tcPr>
          <w:p>
            <w:pPr>
              <w:jc w:val="right"/>
              <w:ind w:right="296"/>
              <w:spacing w:after="0"/>
              <w:rPr>
                <w:sz w:val="20"/>
                <w:szCs w:val="20"/>
                <w:color w:val="auto"/>
              </w:rPr>
            </w:pPr>
            <w:r>
              <w:rPr>
                <w:rFonts w:ascii="Arial" w:cs="Arial" w:eastAsia="Arial" w:hAnsi="Arial"/>
                <w:sz w:val="13"/>
                <w:szCs w:val="13"/>
                <w:color w:val="auto"/>
              </w:rPr>
              <w:t>189</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2.5</w:t>
            </w:r>
          </w:p>
        </w:tc>
        <w:tc>
          <w:tcPr>
            <w:tcW w:w="240" w:type="dxa"/>
            <w:vAlign w:val="bottom"/>
            <w:shd w:val="clear" w:color="auto" w:fill="CCEEFF"/>
          </w:tcPr>
          <w:p>
            <w:pPr>
              <w:spacing w:after="0"/>
              <w:rPr>
                <w:sz w:val="13"/>
                <w:szCs w:val="13"/>
                <w:color w:val="auto"/>
              </w:rPr>
            </w:pPr>
          </w:p>
        </w:tc>
        <w:tc>
          <w:tcPr>
            <w:tcW w:w="680" w:type="dxa"/>
            <w:vAlign w:val="bottom"/>
            <w:shd w:val="clear" w:color="auto" w:fill="CCEEFF"/>
          </w:tcPr>
          <w:p>
            <w:pPr>
              <w:spacing w:after="0"/>
              <w:rPr>
                <w:sz w:val="13"/>
                <w:szCs w:val="13"/>
                <w:color w:val="auto"/>
              </w:rPr>
            </w:pPr>
          </w:p>
        </w:tc>
        <w:tc>
          <w:tcPr>
            <w:tcW w:w="1620" w:type="dxa"/>
            <w:vAlign w:val="bottom"/>
            <w:shd w:val="clear" w:color="auto" w:fill="CCEEFF"/>
          </w:tcPr>
          <w:p>
            <w:pPr>
              <w:jc w:val="right"/>
              <w:ind w:right="1196"/>
              <w:spacing w:after="0"/>
              <w:rPr>
                <w:sz w:val="20"/>
                <w:szCs w:val="20"/>
                <w:color w:val="auto"/>
              </w:rPr>
            </w:pPr>
            <w:r>
              <w:rPr>
                <w:rFonts w:ascii="Arial" w:cs="Arial" w:eastAsia="Arial" w:hAnsi="Arial"/>
                <w:sz w:val="13"/>
                <w:szCs w:val="13"/>
                <w:color w:val="auto"/>
              </w:rPr>
              <w:t>95</w:t>
            </w:r>
          </w:p>
        </w:tc>
        <w:tc>
          <w:tcPr>
            <w:tcW w:w="2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1.5</w:t>
            </w:r>
          </w:p>
        </w:tc>
        <w:tc>
          <w:tcPr>
            <w:tcW w:w="1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380" w:type="dxa"/>
            <w:vAlign w:val="bottom"/>
            <w:shd w:val="clear" w:color="auto" w:fill="CCEEFF"/>
          </w:tcPr>
          <w:p>
            <w:pPr>
              <w:jc w:val="right"/>
              <w:ind w:right="296"/>
              <w:spacing w:after="0"/>
              <w:rPr>
                <w:sz w:val="20"/>
                <w:szCs w:val="20"/>
                <w:color w:val="auto"/>
              </w:rPr>
            </w:pPr>
            <w:r>
              <w:rPr>
                <w:rFonts w:ascii="Arial" w:cs="Arial" w:eastAsia="Arial" w:hAnsi="Arial"/>
                <w:sz w:val="13"/>
                <w:szCs w:val="13"/>
                <w:color w:val="auto"/>
              </w:rPr>
              <w:t>130</w:t>
            </w: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1.8</w:t>
            </w:r>
          </w:p>
        </w:tc>
      </w:tr>
      <w:tr>
        <w:trPr>
          <w:trHeight w:val="162"/>
        </w:trPr>
        <w:tc>
          <w:tcPr>
            <w:tcW w:w="2640" w:type="dxa"/>
            <w:vAlign w:val="bottom"/>
          </w:tcPr>
          <w:p>
            <w:pPr>
              <w:spacing w:after="0"/>
              <w:rPr>
                <w:sz w:val="20"/>
                <w:szCs w:val="20"/>
                <w:color w:val="auto"/>
              </w:rPr>
            </w:pPr>
            <w:r>
              <w:rPr>
                <w:rFonts w:ascii="Arial" w:cs="Arial" w:eastAsia="Arial" w:hAnsi="Arial"/>
                <w:sz w:val="13"/>
                <w:szCs w:val="13"/>
                <w:color w:val="auto"/>
              </w:rPr>
              <w:t>El Salvador</w:t>
            </w:r>
          </w:p>
        </w:tc>
        <w:tc>
          <w:tcPr>
            <w:tcW w:w="920" w:type="dxa"/>
            <w:vAlign w:val="bottom"/>
          </w:tcPr>
          <w:p>
            <w:pPr>
              <w:spacing w:after="0"/>
              <w:rPr>
                <w:sz w:val="14"/>
                <w:szCs w:val="14"/>
                <w:color w:val="auto"/>
              </w:rPr>
            </w:pPr>
          </w:p>
        </w:tc>
        <w:tc>
          <w:tcPr>
            <w:tcW w:w="720" w:type="dxa"/>
            <w:vAlign w:val="bottom"/>
          </w:tcPr>
          <w:p>
            <w:pPr>
              <w:jc w:val="right"/>
              <w:ind w:right="296"/>
              <w:spacing w:after="0"/>
              <w:rPr>
                <w:sz w:val="20"/>
                <w:szCs w:val="20"/>
                <w:color w:val="auto"/>
              </w:rPr>
            </w:pPr>
            <w:r>
              <w:rPr>
                <w:rFonts w:ascii="Arial" w:cs="Arial" w:eastAsia="Arial" w:hAnsi="Arial"/>
                <w:sz w:val="13"/>
                <w:szCs w:val="13"/>
                <w:color w:val="auto"/>
              </w:rPr>
              <w:t>71</w:t>
            </w:r>
          </w:p>
        </w:tc>
        <w:tc>
          <w:tcPr>
            <w:tcW w:w="1360" w:type="dxa"/>
            <w:vAlign w:val="bottom"/>
            <w:gridSpan w:val="2"/>
          </w:tcPr>
          <w:p>
            <w:pPr>
              <w:jc w:val="right"/>
              <w:ind w:right="220"/>
              <w:spacing w:after="0"/>
              <w:rPr>
                <w:sz w:val="20"/>
                <w:szCs w:val="20"/>
                <w:color w:val="auto"/>
              </w:rPr>
            </w:pPr>
            <w:r>
              <w:rPr>
                <w:rFonts w:ascii="Arial" w:cs="Arial" w:eastAsia="Arial" w:hAnsi="Arial"/>
                <w:sz w:val="13"/>
                <w:szCs w:val="13"/>
                <w:color w:val="auto"/>
              </w:rPr>
              <w:t>0.9</w:t>
            </w:r>
          </w:p>
        </w:tc>
        <w:tc>
          <w:tcPr>
            <w:tcW w:w="24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1620" w:type="dxa"/>
            <w:vAlign w:val="bottom"/>
          </w:tcPr>
          <w:p>
            <w:pPr>
              <w:jc w:val="right"/>
              <w:ind w:right="1196"/>
              <w:spacing w:after="0"/>
              <w:rPr>
                <w:sz w:val="20"/>
                <w:szCs w:val="20"/>
                <w:color w:val="auto"/>
              </w:rPr>
            </w:pPr>
            <w:r>
              <w:rPr>
                <w:rFonts w:ascii="Arial" w:cs="Arial" w:eastAsia="Arial" w:hAnsi="Arial"/>
                <w:sz w:val="13"/>
                <w:szCs w:val="13"/>
                <w:color w:val="auto"/>
              </w:rPr>
              <w:t>55</w:t>
            </w:r>
          </w:p>
        </w:tc>
        <w:tc>
          <w:tcPr>
            <w:tcW w:w="240" w:type="dxa"/>
            <w:vAlign w:val="bottom"/>
          </w:tcPr>
          <w:p>
            <w:pPr>
              <w:jc w:val="right"/>
              <w:spacing w:after="0"/>
              <w:rPr>
                <w:sz w:val="20"/>
                <w:szCs w:val="20"/>
                <w:color w:val="auto"/>
              </w:rPr>
            </w:pPr>
            <w:r>
              <w:rPr>
                <w:rFonts w:ascii="Arial" w:cs="Arial" w:eastAsia="Arial" w:hAnsi="Arial"/>
                <w:sz w:val="13"/>
                <w:szCs w:val="13"/>
                <w:color w:val="auto"/>
              </w:rPr>
              <w:t>0.9</w:t>
            </w:r>
          </w:p>
        </w:tc>
        <w:tc>
          <w:tcPr>
            <w:tcW w:w="1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380" w:type="dxa"/>
            <w:vAlign w:val="bottom"/>
          </w:tcPr>
          <w:p>
            <w:pPr>
              <w:jc w:val="right"/>
              <w:ind w:right="296"/>
              <w:spacing w:after="0"/>
              <w:rPr>
                <w:sz w:val="20"/>
                <w:szCs w:val="20"/>
                <w:color w:val="auto"/>
              </w:rPr>
            </w:pPr>
            <w:r>
              <w:rPr>
                <w:rFonts w:ascii="Arial" w:cs="Arial" w:eastAsia="Arial" w:hAnsi="Arial"/>
                <w:sz w:val="13"/>
                <w:szCs w:val="13"/>
                <w:color w:val="auto"/>
              </w:rPr>
              <w:t>106</w:t>
            </w:r>
          </w:p>
        </w:tc>
        <w:tc>
          <w:tcPr>
            <w:tcW w:w="1220" w:type="dxa"/>
            <w:vAlign w:val="bottom"/>
            <w:gridSpan w:val="2"/>
          </w:tcPr>
          <w:p>
            <w:pPr>
              <w:jc w:val="right"/>
              <w:ind w:right="120"/>
              <w:spacing w:after="0"/>
              <w:rPr>
                <w:sz w:val="20"/>
                <w:szCs w:val="20"/>
                <w:color w:val="auto"/>
              </w:rPr>
            </w:pPr>
            <w:r>
              <w:rPr>
                <w:rFonts w:ascii="Arial" w:cs="Arial" w:eastAsia="Arial" w:hAnsi="Arial"/>
                <w:sz w:val="13"/>
                <w:szCs w:val="13"/>
                <w:color w:val="auto"/>
              </w:rPr>
              <w:t>1.5</w:t>
            </w:r>
          </w:p>
        </w:tc>
      </w:tr>
    </w:tbl>
    <w:p>
      <w:pPr>
        <w:spacing w:after="0" w:line="285"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34" w:name="page35"/>
    <w:bookmarkEnd w:id="34"/>
    <w:tbl>
      <w:tblPr>
        <w:tblLayout w:type="fixed"/>
        <w:tblInd w:w="3" w:type="dxa"/>
        <w:tblCellMar>
          <w:top w:w="0" w:type="dxa"/>
          <w:left w:w="0" w:type="dxa"/>
          <w:bottom w:w="0" w:type="dxa"/>
          <w:right w:w="0" w:type="dxa"/>
        </w:tblCellMar>
      </w:tblPr>
      <w:tr>
        <w:trPr>
          <w:trHeight w:val="164"/>
        </w:trPr>
        <w:tc>
          <w:tcPr>
            <w:tcW w:w="264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1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2660" w:type="dxa"/>
            <w:vAlign w:val="bottom"/>
            <w:gridSpan w:val="5"/>
          </w:tcPr>
          <w:p>
            <w:pPr>
              <w:jc w:val="center"/>
              <w:ind w:right="400"/>
              <w:spacing w:after="0"/>
              <w:rPr>
                <w:sz w:val="20"/>
                <w:szCs w:val="20"/>
                <w:color w:val="auto"/>
              </w:rPr>
            </w:pPr>
            <w:r>
              <w:rPr>
                <w:rFonts w:ascii="Arial" w:cs="Arial" w:eastAsia="Arial" w:hAnsi="Arial"/>
                <w:sz w:val="13"/>
                <w:szCs w:val="13"/>
                <w:b w:val="1"/>
                <w:bCs w:val="1"/>
                <w:color w:val="auto"/>
                <w:w w:val="87"/>
              </w:rPr>
              <w:t>As of December 31,</w:t>
            </w:r>
          </w:p>
        </w:tc>
        <w:tc>
          <w:tcPr>
            <w:tcW w:w="1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6"/>
        </w:trPr>
        <w:tc>
          <w:tcPr>
            <w:tcW w:w="2640" w:type="dxa"/>
            <w:vAlign w:val="bottom"/>
          </w:tcPr>
          <w:p>
            <w:pPr>
              <w:spacing w:after="0"/>
              <w:rPr>
                <w:sz w:val="14"/>
                <w:szCs w:val="14"/>
                <w:color w:val="auto"/>
              </w:rPr>
            </w:pPr>
          </w:p>
        </w:tc>
        <w:tc>
          <w:tcPr>
            <w:tcW w:w="920" w:type="dxa"/>
            <w:vAlign w:val="bottom"/>
            <w:tcBorders>
              <w:bottom w:val="single" w:sz="8" w:color="auto"/>
            </w:tcBorders>
          </w:tcPr>
          <w:p>
            <w:pPr>
              <w:spacing w:after="0"/>
              <w:rPr>
                <w:sz w:val="14"/>
                <w:szCs w:val="14"/>
                <w:color w:val="auto"/>
              </w:rPr>
            </w:pPr>
          </w:p>
        </w:tc>
        <w:tc>
          <w:tcPr>
            <w:tcW w:w="720" w:type="dxa"/>
            <w:vAlign w:val="bottom"/>
            <w:tcBorders>
              <w:bottom w:val="single" w:sz="8" w:color="auto"/>
            </w:tcBorders>
            <w:gridSpan w:val="3"/>
          </w:tcPr>
          <w:p>
            <w:pPr>
              <w:jc w:val="right"/>
              <w:ind w:right="120"/>
              <w:spacing w:after="0"/>
              <w:rPr>
                <w:sz w:val="20"/>
                <w:szCs w:val="20"/>
                <w:color w:val="auto"/>
              </w:rPr>
            </w:pPr>
            <w:r>
              <w:rPr>
                <w:rFonts w:ascii="Arial" w:cs="Arial" w:eastAsia="Arial" w:hAnsi="Arial"/>
                <w:sz w:val="13"/>
                <w:szCs w:val="13"/>
                <w:b w:val="1"/>
                <w:bCs w:val="1"/>
                <w:color w:val="auto"/>
              </w:rPr>
              <w:t>2018</w:t>
            </w:r>
          </w:p>
        </w:tc>
        <w:tc>
          <w:tcPr>
            <w:tcW w:w="1140" w:type="dxa"/>
            <w:vAlign w:val="bottom"/>
            <w:tcBorders>
              <w:bottom w:val="single" w:sz="8" w:color="auto"/>
            </w:tcBorders>
          </w:tcPr>
          <w:p>
            <w:pPr>
              <w:spacing w:after="0"/>
              <w:rPr>
                <w:sz w:val="14"/>
                <w:szCs w:val="14"/>
                <w:color w:val="auto"/>
              </w:rPr>
            </w:pPr>
          </w:p>
        </w:tc>
        <w:tc>
          <w:tcPr>
            <w:tcW w:w="220" w:type="dxa"/>
            <w:vAlign w:val="bottom"/>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400" w:type="dxa"/>
            <w:vAlign w:val="bottom"/>
            <w:tcBorders>
              <w:bottom w:val="single" w:sz="8" w:color="auto"/>
            </w:tcBorders>
            <w:gridSpan w:val="3"/>
          </w:tcPr>
          <w:p>
            <w:pPr>
              <w:jc w:val="right"/>
              <w:ind w:right="120"/>
              <w:spacing w:after="0"/>
              <w:rPr>
                <w:sz w:val="20"/>
                <w:szCs w:val="20"/>
                <w:color w:val="auto"/>
              </w:rPr>
            </w:pPr>
            <w:r>
              <w:rPr>
                <w:rFonts w:ascii="Arial" w:cs="Arial" w:eastAsia="Arial" w:hAnsi="Arial"/>
                <w:sz w:val="13"/>
                <w:szCs w:val="13"/>
                <w:b w:val="1"/>
                <w:bCs w:val="1"/>
                <w:color w:val="auto"/>
              </w:rPr>
              <w:t>2017</w:t>
            </w:r>
          </w:p>
        </w:tc>
        <w:tc>
          <w:tcPr>
            <w:tcW w:w="114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380" w:type="dxa"/>
            <w:vAlign w:val="bottom"/>
            <w:tcBorders>
              <w:bottom w:val="single" w:sz="8" w:color="auto"/>
            </w:tcBorders>
            <w:gridSpan w:val="3"/>
          </w:tcPr>
          <w:p>
            <w:pPr>
              <w:jc w:val="right"/>
              <w:ind w:right="120"/>
              <w:spacing w:after="0"/>
              <w:rPr>
                <w:sz w:val="20"/>
                <w:szCs w:val="20"/>
                <w:color w:val="auto"/>
              </w:rPr>
            </w:pPr>
            <w:r>
              <w:rPr>
                <w:rFonts w:ascii="Arial" w:cs="Arial" w:eastAsia="Arial" w:hAnsi="Arial"/>
                <w:sz w:val="13"/>
                <w:szCs w:val="13"/>
                <w:b w:val="1"/>
                <w:bCs w:val="1"/>
                <w:color w:val="auto"/>
              </w:rPr>
              <w:t>2016</w:t>
            </w:r>
          </w:p>
        </w:tc>
        <w:tc>
          <w:tcPr>
            <w:tcW w:w="110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1"/>
        </w:trPr>
        <w:tc>
          <w:tcPr>
            <w:tcW w:w="264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140" w:type="dxa"/>
            <w:vAlign w:val="bottom"/>
          </w:tcPr>
          <w:p>
            <w:pPr>
              <w:jc w:val="center"/>
              <w:ind w:right="56"/>
              <w:spacing w:after="0" w:line="131" w:lineRule="exact"/>
              <w:rPr>
                <w:sz w:val="20"/>
                <w:szCs w:val="20"/>
                <w:color w:val="auto"/>
              </w:rPr>
            </w:pPr>
            <w:r>
              <w:rPr>
                <w:rFonts w:ascii="Arial" w:cs="Arial" w:eastAsia="Arial" w:hAnsi="Arial"/>
                <w:sz w:val="13"/>
                <w:szCs w:val="13"/>
                <w:b w:val="1"/>
                <w:bCs w:val="1"/>
                <w:color w:val="auto"/>
                <w:w w:val="93"/>
              </w:rPr>
              <w:t>% of Total</w:t>
            </w:r>
          </w:p>
        </w:tc>
        <w:tc>
          <w:tcPr>
            <w:tcW w:w="2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140" w:type="dxa"/>
            <w:vAlign w:val="bottom"/>
          </w:tcPr>
          <w:p>
            <w:pPr>
              <w:jc w:val="center"/>
              <w:ind w:right="56"/>
              <w:spacing w:after="0" w:line="131" w:lineRule="exact"/>
              <w:rPr>
                <w:sz w:val="20"/>
                <w:szCs w:val="20"/>
                <w:color w:val="auto"/>
              </w:rPr>
            </w:pPr>
            <w:r>
              <w:rPr>
                <w:rFonts w:ascii="Arial" w:cs="Arial" w:eastAsia="Arial" w:hAnsi="Arial"/>
                <w:sz w:val="13"/>
                <w:szCs w:val="13"/>
                <w:b w:val="1"/>
                <w:bCs w:val="1"/>
                <w:color w:val="auto"/>
                <w:w w:val="93"/>
              </w:rPr>
              <w:t>% of Total</w:t>
            </w: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100" w:type="dxa"/>
            <w:vAlign w:val="bottom"/>
          </w:tcPr>
          <w:p>
            <w:pPr>
              <w:jc w:val="right"/>
              <w:ind w:right="276"/>
              <w:spacing w:after="0" w:line="131" w:lineRule="exact"/>
              <w:rPr>
                <w:sz w:val="20"/>
                <w:szCs w:val="20"/>
                <w:color w:val="auto"/>
              </w:rPr>
            </w:pPr>
            <w:r>
              <w:rPr>
                <w:rFonts w:ascii="Arial" w:cs="Arial" w:eastAsia="Arial" w:hAnsi="Arial"/>
                <w:sz w:val="13"/>
                <w:szCs w:val="13"/>
                <w:b w:val="1"/>
                <w:bCs w:val="1"/>
                <w:color w:val="auto"/>
              </w:rPr>
              <w:t>% of Total</w:t>
            </w: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640" w:type="dxa"/>
            <w:vAlign w:val="bottom"/>
          </w:tcPr>
          <w:p>
            <w:pPr>
              <w:spacing w:after="0"/>
              <w:rPr>
                <w:sz w:val="14"/>
                <w:szCs w:val="14"/>
                <w:color w:val="auto"/>
              </w:rPr>
            </w:pPr>
          </w:p>
        </w:tc>
        <w:tc>
          <w:tcPr>
            <w:tcW w:w="920" w:type="dxa"/>
            <w:vAlign w:val="bottom"/>
          </w:tcPr>
          <w:p>
            <w:pPr>
              <w:jc w:val="right"/>
              <w:ind w:right="4"/>
              <w:spacing w:after="0"/>
              <w:rPr>
                <w:sz w:val="20"/>
                <w:szCs w:val="20"/>
                <w:color w:val="auto"/>
              </w:rPr>
            </w:pPr>
            <w:r>
              <w:rPr>
                <w:rFonts w:ascii="Arial" w:cs="Arial" w:eastAsia="Arial" w:hAnsi="Arial"/>
                <w:sz w:val="13"/>
                <w:szCs w:val="13"/>
                <w:b w:val="1"/>
                <w:bCs w:val="1"/>
                <w:color w:val="auto"/>
              </w:rPr>
              <w:t>Amount</w:t>
            </w:r>
          </w:p>
        </w:tc>
        <w:tc>
          <w:tcPr>
            <w:tcW w:w="3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360" w:type="dxa"/>
            <w:vAlign w:val="bottom"/>
            <w:gridSpan w:val="2"/>
          </w:tcPr>
          <w:p>
            <w:pPr>
              <w:jc w:val="center"/>
              <w:ind w:right="360"/>
              <w:spacing w:after="0"/>
              <w:rPr>
                <w:sz w:val="20"/>
                <w:szCs w:val="20"/>
                <w:color w:val="auto"/>
              </w:rPr>
            </w:pPr>
            <w:r>
              <w:rPr>
                <w:rFonts w:ascii="Arial" w:cs="Arial" w:eastAsia="Arial" w:hAnsi="Arial"/>
                <w:sz w:val="13"/>
                <w:szCs w:val="13"/>
                <w:b w:val="1"/>
                <w:bCs w:val="1"/>
                <w:color w:val="auto"/>
                <w:w w:val="85"/>
              </w:rPr>
              <w:t>Outstandings</w:t>
            </w:r>
          </w:p>
        </w:tc>
        <w:tc>
          <w:tcPr>
            <w:tcW w:w="240" w:type="dxa"/>
            <w:vAlign w:val="bottom"/>
          </w:tcPr>
          <w:p>
            <w:pPr>
              <w:spacing w:after="0"/>
              <w:rPr>
                <w:sz w:val="14"/>
                <w:szCs w:val="14"/>
                <w:color w:val="auto"/>
              </w:rPr>
            </w:pPr>
          </w:p>
        </w:tc>
        <w:tc>
          <w:tcPr>
            <w:tcW w:w="1400" w:type="dxa"/>
            <w:vAlign w:val="bottom"/>
            <w:gridSpan w:val="3"/>
          </w:tcPr>
          <w:p>
            <w:pPr>
              <w:jc w:val="right"/>
              <w:ind w:right="780"/>
              <w:spacing w:after="0"/>
              <w:rPr>
                <w:sz w:val="20"/>
                <w:szCs w:val="20"/>
                <w:color w:val="auto"/>
              </w:rPr>
            </w:pPr>
            <w:r>
              <w:rPr>
                <w:rFonts w:ascii="Arial" w:cs="Arial" w:eastAsia="Arial" w:hAnsi="Arial"/>
                <w:sz w:val="13"/>
                <w:szCs w:val="13"/>
                <w:b w:val="1"/>
                <w:bCs w:val="1"/>
                <w:color w:val="auto"/>
              </w:rPr>
              <w:t>Amount</w:t>
            </w:r>
          </w:p>
        </w:tc>
        <w:tc>
          <w:tcPr>
            <w:tcW w:w="126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8"/>
              </w:rPr>
              <w:t>Outstandings</w:t>
            </w:r>
          </w:p>
        </w:tc>
        <w:tc>
          <w:tcPr>
            <w:tcW w:w="1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380" w:type="dxa"/>
            <w:vAlign w:val="bottom"/>
            <w:gridSpan w:val="3"/>
          </w:tcPr>
          <w:p>
            <w:pPr>
              <w:jc w:val="right"/>
              <w:ind w:right="760"/>
              <w:spacing w:after="0"/>
              <w:rPr>
                <w:sz w:val="20"/>
                <w:szCs w:val="20"/>
                <w:color w:val="auto"/>
              </w:rPr>
            </w:pPr>
            <w:r>
              <w:rPr>
                <w:rFonts w:ascii="Arial" w:cs="Arial" w:eastAsia="Arial" w:hAnsi="Arial"/>
                <w:sz w:val="13"/>
                <w:szCs w:val="13"/>
                <w:b w:val="1"/>
                <w:bCs w:val="1"/>
                <w:color w:val="auto"/>
              </w:rPr>
              <w:t>Amount</w:t>
            </w:r>
          </w:p>
        </w:tc>
        <w:tc>
          <w:tcPr>
            <w:tcW w:w="1220" w:type="dxa"/>
            <w:vAlign w:val="bottom"/>
            <w:gridSpan w:val="2"/>
          </w:tcPr>
          <w:p>
            <w:pPr>
              <w:jc w:val="right"/>
              <w:ind w:right="380"/>
              <w:spacing w:after="0"/>
              <w:rPr>
                <w:sz w:val="20"/>
                <w:szCs w:val="20"/>
                <w:color w:val="auto"/>
              </w:rPr>
            </w:pPr>
            <w:r>
              <w:rPr>
                <w:rFonts w:ascii="Arial" w:cs="Arial" w:eastAsia="Arial" w:hAnsi="Arial"/>
                <w:sz w:val="13"/>
                <w:szCs w:val="13"/>
                <w:b w:val="1"/>
                <w:bCs w:val="1"/>
                <w:color w:val="auto"/>
                <w:w w:val="97"/>
              </w:rPr>
              <w:t>Outstandings</w:t>
            </w:r>
          </w:p>
        </w:tc>
        <w:tc>
          <w:tcPr>
            <w:tcW w:w="0" w:type="dxa"/>
            <w:vAlign w:val="bottom"/>
          </w:tcPr>
          <w:p>
            <w:pPr>
              <w:spacing w:after="0"/>
              <w:rPr>
                <w:sz w:val="1"/>
                <w:szCs w:val="1"/>
                <w:color w:val="auto"/>
              </w:rPr>
            </w:pPr>
          </w:p>
        </w:tc>
      </w:tr>
      <w:tr>
        <w:trPr>
          <w:trHeight w:val="144"/>
        </w:trPr>
        <w:tc>
          <w:tcPr>
            <w:tcW w:w="2640" w:type="dxa"/>
            <w:vAlign w:val="bottom"/>
          </w:tcPr>
          <w:p>
            <w:pPr>
              <w:spacing w:after="0"/>
              <w:rPr>
                <w:sz w:val="12"/>
                <w:szCs w:val="12"/>
                <w:color w:val="auto"/>
              </w:rPr>
            </w:pPr>
          </w:p>
        </w:tc>
        <w:tc>
          <w:tcPr>
            <w:tcW w:w="920" w:type="dxa"/>
            <w:vAlign w:val="bottom"/>
            <w:tcBorders>
              <w:top w:val="single" w:sz="8" w:color="auto"/>
            </w:tcBorders>
          </w:tcPr>
          <w:p>
            <w:pPr>
              <w:spacing w:after="0"/>
              <w:rPr>
                <w:sz w:val="12"/>
                <w:szCs w:val="12"/>
                <w:color w:val="auto"/>
              </w:rPr>
            </w:pPr>
          </w:p>
        </w:tc>
        <w:tc>
          <w:tcPr>
            <w:tcW w:w="360" w:type="dxa"/>
            <w:vAlign w:val="bottom"/>
            <w:tcBorders>
              <w:top w:val="single" w:sz="8" w:color="auto"/>
            </w:tcBorders>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1140" w:type="dxa"/>
            <w:vAlign w:val="bottom"/>
            <w:tcBorders>
              <w:top w:val="single" w:sz="8" w:color="auto"/>
            </w:tcBorders>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2660" w:type="dxa"/>
            <w:vAlign w:val="bottom"/>
            <w:tcBorders>
              <w:top w:val="single" w:sz="8" w:color="auto"/>
            </w:tcBorders>
            <w:gridSpan w:val="5"/>
          </w:tcPr>
          <w:p>
            <w:pPr>
              <w:jc w:val="center"/>
              <w:ind w:right="420"/>
              <w:spacing w:after="0" w:line="144" w:lineRule="exact"/>
              <w:rPr>
                <w:sz w:val="20"/>
                <w:szCs w:val="20"/>
                <w:color w:val="auto"/>
              </w:rPr>
            </w:pPr>
            <w:r>
              <w:rPr>
                <w:rFonts w:ascii="Arial" w:cs="Arial" w:eastAsia="Arial" w:hAnsi="Arial"/>
                <w:sz w:val="13"/>
                <w:szCs w:val="13"/>
                <w:b w:val="1"/>
                <w:bCs w:val="1"/>
                <w:color w:val="auto"/>
                <w:w w:val="86"/>
              </w:rPr>
              <w:t>(in $ millions, except percentages)</w:t>
            </w:r>
          </w:p>
        </w:tc>
        <w:tc>
          <w:tcPr>
            <w:tcW w:w="120" w:type="dxa"/>
            <w:vAlign w:val="bottom"/>
            <w:tcBorders>
              <w:top w:val="single" w:sz="8" w:color="auto"/>
            </w:tcBorders>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1020" w:type="dxa"/>
            <w:vAlign w:val="bottom"/>
            <w:tcBorders>
              <w:top w:val="single" w:sz="8" w:color="auto"/>
            </w:tcBorders>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110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640" w:type="dxa"/>
            <w:vAlign w:val="bottom"/>
            <w:shd w:val="clear" w:color="auto" w:fill="CCEEFF"/>
          </w:tcPr>
          <w:p>
            <w:pPr>
              <w:spacing w:after="0"/>
              <w:rPr>
                <w:sz w:val="20"/>
                <w:szCs w:val="20"/>
                <w:color w:val="auto"/>
              </w:rPr>
            </w:pPr>
            <w:r>
              <w:rPr>
                <w:rFonts w:ascii="Arial" w:cs="Arial" w:eastAsia="Arial" w:hAnsi="Arial"/>
                <w:sz w:val="13"/>
                <w:szCs w:val="13"/>
                <w:color w:val="auto"/>
              </w:rPr>
              <w:t>Guatemala</w:t>
            </w:r>
          </w:p>
        </w:tc>
        <w:tc>
          <w:tcPr>
            <w:tcW w:w="920" w:type="dxa"/>
            <w:vAlign w:val="bottom"/>
            <w:shd w:val="clear" w:color="auto" w:fill="CCEEFF"/>
          </w:tcPr>
          <w:p>
            <w:pPr>
              <w:spacing w:after="0"/>
              <w:rPr>
                <w:sz w:val="13"/>
                <w:szCs w:val="13"/>
                <w:color w:val="auto"/>
              </w:rPr>
            </w:pPr>
          </w:p>
        </w:tc>
        <w:tc>
          <w:tcPr>
            <w:tcW w:w="5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332</w:t>
            </w:r>
          </w:p>
        </w:tc>
        <w:tc>
          <w:tcPr>
            <w:tcW w:w="140" w:type="dxa"/>
            <w:vAlign w:val="bottom"/>
            <w:shd w:val="clear" w:color="auto" w:fill="CCEEFF"/>
          </w:tcPr>
          <w:p>
            <w:pPr>
              <w:spacing w:after="0"/>
              <w:rPr>
                <w:sz w:val="13"/>
                <w:szCs w:val="13"/>
                <w:color w:val="auto"/>
              </w:rPr>
            </w:pP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4.3</w:t>
            </w:r>
          </w:p>
        </w:tc>
        <w:tc>
          <w:tcPr>
            <w:tcW w:w="240" w:type="dxa"/>
            <w:vAlign w:val="bottom"/>
            <w:shd w:val="clear" w:color="auto" w:fill="CCEEFF"/>
          </w:tcPr>
          <w:p>
            <w:pPr>
              <w:spacing w:after="0"/>
              <w:rPr>
                <w:sz w:val="13"/>
                <w:szCs w:val="13"/>
                <w:color w:val="auto"/>
              </w:rPr>
            </w:pP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310</w:t>
            </w:r>
          </w:p>
        </w:tc>
        <w:tc>
          <w:tcPr>
            <w:tcW w:w="140" w:type="dxa"/>
            <w:vAlign w:val="bottom"/>
            <w:shd w:val="clear" w:color="auto" w:fill="CCEEFF"/>
          </w:tcPr>
          <w:p>
            <w:pPr>
              <w:spacing w:after="0"/>
              <w:rPr>
                <w:sz w:val="13"/>
                <w:szCs w:val="13"/>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4.9</w:t>
            </w:r>
          </w:p>
        </w:tc>
        <w:tc>
          <w:tcPr>
            <w:tcW w:w="1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319</w:t>
            </w:r>
          </w:p>
        </w:tc>
        <w:tc>
          <w:tcPr>
            <w:tcW w:w="14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4.4</w:t>
            </w:r>
          </w:p>
        </w:tc>
        <w:tc>
          <w:tcPr>
            <w:tcW w:w="0" w:type="dxa"/>
            <w:vAlign w:val="bottom"/>
          </w:tcPr>
          <w:p>
            <w:pPr>
              <w:spacing w:after="0"/>
              <w:rPr>
                <w:sz w:val="1"/>
                <w:szCs w:val="1"/>
                <w:color w:val="auto"/>
              </w:rPr>
            </w:pPr>
          </w:p>
        </w:tc>
      </w:tr>
      <w:tr>
        <w:trPr>
          <w:trHeight w:val="154"/>
        </w:trPr>
        <w:tc>
          <w:tcPr>
            <w:tcW w:w="2640" w:type="dxa"/>
            <w:vAlign w:val="bottom"/>
          </w:tcPr>
          <w:p>
            <w:pPr>
              <w:spacing w:after="0"/>
              <w:rPr>
                <w:sz w:val="20"/>
                <w:szCs w:val="20"/>
                <w:color w:val="auto"/>
              </w:rPr>
            </w:pPr>
            <w:r>
              <w:rPr>
                <w:rFonts w:ascii="Arial" w:cs="Arial" w:eastAsia="Arial" w:hAnsi="Arial"/>
                <w:sz w:val="13"/>
                <w:szCs w:val="13"/>
                <w:color w:val="auto"/>
              </w:rPr>
              <w:t>Honduras</w:t>
            </w:r>
          </w:p>
        </w:tc>
        <w:tc>
          <w:tcPr>
            <w:tcW w:w="920" w:type="dxa"/>
            <w:vAlign w:val="bottom"/>
          </w:tcPr>
          <w:p>
            <w:pPr>
              <w:spacing w:after="0"/>
              <w:rPr>
                <w:sz w:val="13"/>
                <w:szCs w:val="13"/>
                <w:color w:val="auto"/>
              </w:rPr>
            </w:pPr>
          </w:p>
        </w:tc>
        <w:tc>
          <w:tcPr>
            <w:tcW w:w="580" w:type="dxa"/>
            <w:vAlign w:val="bottom"/>
            <w:gridSpan w:val="2"/>
          </w:tcPr>
          <w:p>
            <w:pPr>
              <w:jc w:val="right"/>
              <w:ind w:right="220"/>
              <w:spacing w:after="0"/>
              <w:rPr>
                <w:sz w:val="20"/>
                <w:szCs w:val="20"/>
                <w:color w:val="auto"/>
              </w:rPr>
            </w:pPr>
            <w:r>
              <w:rPr>
                <w:rFonts w:ascii="Arial" w:cs="Arial" w:eastAsia="Arial" w:hAnsi="Arial"/>
                <w:sz w:val="13"/>
                <w:szCs w:val="13"/>
                <w:color w:val="auto"/>
              </w:rPr>
              <w:t>90</w:t>
            </w:r>
          </w:p>
        </w:tc>
        <w:tc>
          <w:tcPr>
            <w:tcW w:w="140" w:type="dxa"/>
            <w:vAlign w:val="bottom"/>
          </w:tcPr>
          <w:p>
            <w:pPr>
              <w:spacing w:after="0"/>
              <w:rPr>
                <w:sz w:val="13"/>
                <w:szCs w:val="13"/>
                <w:color w:val="auto"/>
              </w:rPr>
            </w:pPr>
          </w:p>
        </w:tc>
        <w:tc>
          <w:tcPr>
            <w:tcW w:w="1360" w:type="dxa"/>
            <w:vAlign w:val="bottom"/>
            <w:gridSpan w:val="2"/>
          </w:tcPr>
          <w:p>
            <w:pPr>
              <w:jc w:val="right"/>
              <w:ind w:right="220"/>
              <w:spacing w:after="0"/>
              <w:rPr>
                <w:sz w:val="20"/>
                <w:szCs w:val="20"/>
                <w:color w:val="auto"/>
              </w:rPr>
            </w:pPr>
            <w:r>
              <w:rPr>
                <w:rFonts w:ascii="Arial" w:cs="Arial" w:eastAsia="Arial" w:hAnsi="Arial"/>
                <w:sz w:val="13"/>
                <w:szCs w:val="13"/>
                <w:color w:val="auto"/>
              </w:rPr>
              <w:t>1.2</w:t>
            </w:r>
          </w:p>
        </w:tc>
        <w:tc>
          <w:tcPr>
            <w:tcW w:w="240" w:type="dxa"/>
            <w:vAlign w:val="bottom"/>
          </w:tcPr>
          <w:p>
            <w:pPr>
              <w:spacing w:after="0"/>
              <w:rPr>
                <w:sz w:val="13"/>
                <w:szCs w:val="13"/>
                <w:color w:val="auto"/>
              </w:rPr>
            </w:pPr>
          </w:p>
        </w:tc>
        <w:tc>
          <w:tcPr>
            <w:tcW w:w="1260" w:type="dxa"/>
            <w:vAlign w:val="bottom"/>
            <w:gridSpan w:val="2"/>
          </w:tcPr>
          <w:p>
            <w:pPr>
              <w:jc w:val="right"/>
              <w:ind w:right="220"/>
              <w:spacing w:after="0"/>
              <w:rPr>
                <w:sz w:val="20"/>
                <w:szCs w:val="20"/>
                <w:color w:val="auto"/>
              </w:rPr>
            </w:pPr>
            <w:r>
              <w:rPr>
                <w:rFonts w:ascii="Arial" w:cs="Arial" w:eastAsia="Arial" w:hAnsi="Arial"/>
                <w:sz w:val="13"/>
                <w:szCs w:val="13"/>
                <w:color w:val="auto"/>
              </w:rPr>
              <w:t>75</w:t>
            </w:r>
          </w:p>
        </w:tc>
        <w:tc>
          <w:tcPr>
            <w:tcW w:w="140" w:type="dxa"/>
            <w:vAlign w:val="bottom"/>
          </w:tcPr>
          <w:p>
            <w:pPr>
              <w:spacing w:after="0"/>
              <w:rPr>
                <w:sz w:val="13"/>
                <w:szCs w:val="13"/>
                <w:color w:val="auto"/>
              </w:rPr>
            </w:pPr>
          </w:p>
        </w:tc>
        <w:tc>
          <w:tcPr>
            <w:tcW w:w="1140" w:type="dxa"/>
            <w:vAlign w:val="bottom"/>
          </w:tcPr>
          <w:p>
            <w:pPr>
              <w:jc w:val="right"/>
              <w:spacing w:after="0"/>
              <w:rPr>
                <w:sz w:val="20"/>
                <w:szCs w:val="20"/>
                <w:color w:val="auto"/>
              </w:rPr>
            </w:pPr>
            <w:r>
              <w:rPr>
                <w:rFonts w:ascii="Arial" w:cs="Arial" w:eastAsia="Arial" w:hAnsi="Arial"/>
                <w:sz w:val="13"/>
                <w:szCs w:val="13"/>
                <w:color w:val="auto"/>
              </w:rPr>
              <w:t>1.2</w:t>
            </w: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gridSpan w:val="2"/>
          </w:tcPr>
          <w:p>
            <w:pPr>
              <w:jc w:val="right"/>
              <w:ind w:right="220"/>
              <w:spacing w:after="0"/>
              <w:rPr>
                <w:sz w:val="20"/>
                <w:szCs w:val="20"/>
                <w:color w:val="auto"/>
              </w:rPr>
            </w:pPr>
            <w:r>
              <w:rPr>
                <w:rFonts w:ascii="Arial" w:cs="Arial" w:eastAsia="Arial" w:hAnsi="Arial"/>
                <w:sz w:val="13"/>
                <w:szCs w:val="13"/>
                <w:color w:val="auto"/>
              </w:rPr>
              <w:t>73</w:t>
            </w:r>
          </w:p>
        </w:tc>
        <w:tc>
          <w:tcPr>
            <w:tcW w:w="140" w:type="dxa"/>
            <w:vAlign w:val="bottom"/>
          </w:tcPr>
          <w:p>
            <w:pPr>
              <w:spacing w:after="0"/>
              <w:rPr>
                <w:sz w:val="13"/>
                <w:szCs w:val="13"/>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3"/>
                <w:szCs w:val="13"/>
                <w:color w:val="auto"/>
              </w:rPr>
              <w:t>1.0</w:t>
            </w:r>
          </w:p>
        </w:tc>
        <w:tc>
          <w:tcPr>
            <w:tcW w:w="0" w:type="dxa"/>
            <w:vAlign w:val="bottom"/>
          </w:tcPr>
          <w:p>
            <w:pPr>
              <w:spacing w:after="0"/>
              <w:rPr>
                <w:sz w:val="1"/>
                <w:szCs w:val="1"/>
                <w:color w:val="auto"/>
              </w:rPr>
            </w:pPr>
          </w:p>
        </w:tc>
      </w:tr>
      <w:tr>
        <w:trPr>
          <w:trHeight w:val="154"/>
        </w:trPr>
        <w:tc>
          <w:tcPr>
            <w:tcW w:w="2640" w:type="dxa"/>
            <w:vAlign w:val="bottom"/>
            <w:shd w:val="clear" w:color="auto" w:fill="CCEEFF"/>
          </w:tcPr>
          <w:p>
            <w:pPr>
              <w:spacing w:after="0"/>
              <w:rPr>
                <w:sz w:val="20"/>
                <w:szCs w:val="20"/>
                <w:color w:val="auto"/>
              </w:rPr>
            </w:pPr>
            <w:r>
              <w:rPr>
                <w:rFonts w:ascii="Arial" w:cs="Arial" w:eastAsia="Arial" w:hAnsi="Arial"/>
                <w:sz w:val="13"/>
                <w:szCs w:val="13"/>
                <w:color w:val="auto"/>
              </w:rPr>
              <w:t>Japan</w:t>
            </w:r>
          </w:p>
        </w:tc>
        <w:tc>
          <w:tcPr>
            <w:tcW w:w="920" w:type="dxa"/>
            <w:vAlign w:val="bottom"/>
            <w:shd w:val="clear" w:color="auto" w:fill="CCEEFF"/>
          </w:tcPr>
          <w:p>
            <w:pPr>
              <w:spacing w:after="0"/>
              <w:rPr>
                <w:sz w:val="13"/>
                <w:szCs w:val="13"/>
                <w:color w:val="auto"/>
              </w:rPr>
            </w:pPr>
          </w:p>
        </w:tc>
        <w:tc>
          <w:tcPr>
            <w:tcW w:w="5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w:t>
            </w:r>
          </w:p>
        </w:tc>
        <w:tc>
          <w:tcPr>
            <w:tcW w:w="140" w:type="dxa"/>
            <w:vAlign w:val="bottom"/>
            <w:shd w:val="clear" w:color="auto" w:fill="CCEEFF"/>
          </w:tcPr>
          <w:p>
            <w:pPr>
              <w:spacing w:after="0"/>
              <w:rPr>
                <w:sz w:val="13"/>
                <w:szCs w:val="13"/>
                <w:color w:val="auto"/>
              </w:rPr>
            </w:pP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0.0</w:t>
            </w:r>
          </w:p>
        </w:tc>
        <w:tc>
          <w:tcPr>
            <w:tcW w:w="240" w:type="dxa"/>
            <w:vAlign w:val="bottom"/>
            <w:shd w:val="clear" w:color="auto" w:fill="CCEEFF"/>
          </w:tcPr>
          <w:p>
            <w:pPr>
              <w:spacing w:after="0"/>
              <w:rPr>
                <w:sz w:val="13"/>
                <w:szCs w:val="13"/>
                <w:color w:val="auto"/>
              </w:rPr>
            </w:pP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w:t>
            </w:r>
          </w:p>
        </w:tc>
        <w:tc>
          <w:tcPr>
            <w:tcW w:w="140" w:type="dxa"/>
            <w:vAlign w:val="bottom"/>
            <w:shd w:val="clear" w:color="auto" w:fill="CCEEFF"/>
          </w:tcPr>
          <w:p>
            <w:pPr>
              <w:spacing w:after="0"/>
              <w:rPr>
                <w:sz w:val="13"/>
                <w:szCs w:val="13"/>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w:t>
            </w:r>
          </w:p>
        </w:tc>
        <w:tc>
          <w:tcPr>
            <w:tcW w:w="1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82</w:t>
            </w:r>
          </w:p>
        </w:tc>
        <w:tc>
          <w:tcPr>
            <w:tcW w:w="14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1.1</w:t>
            </w:r>
          </w:p>
        </w:tc>
        <w:tc>
          <w:tcPr>
            <w:tcW w:w="0" w:type="dxa"/>
            <w:vAlign w:val="bottom"/>
          </w:tcPr>
          <w:p>
            <w:pPr>
              <w:spacing w:after="0"/>
              <w:rPr>
                <w:sz w:val="1"/>
                <w:szCs w:val="1"/>
                <w:color w:val="auto"/>
              </w:rPr>
            </w:pPr>
          </w:p>
        </w:tc>
      </w:tr>
      <w:tr>
        <w:trPr>
          <w:trHeight w:val="154"/>
        </w:trPr>
        <w:tc>
          <w:tcPr>
            <w:tcW w:w="2640" w:type="dxa"/>
            <w:vAlign w:val="bottom"/>
          </w:tcPr>
          <w:p>
            <w:pPr>
              <w:spacing w:after="0"/>
              <w:rPr>
                <w:sz w:val="20"/>
                <w:szCs w:val="20"/>
                <w:color w:val="auto"/>
              </w:rPr>
            </w:pPr>
            <w:r>
              <w:rPr>
                <w:rFonts w:ascii="Arial" w:cs="Arial" w:eastAsia="Arial" w:hAnsi="Arial"/>
                <w:sz w:val="13"/>
                <w:szCs w:val="13"/>
                <w:color w:val="auto"/>
              </w:rPr>
              <w:t>Mexico</w:t>
            </w:r>
          </w:p>
        </w:tc>
        <w:tc>
          <w:tcPr>
            <w:tcW w:w="920" w:type="dxa"/>
            <w:vAlign w:val="bottom"/>
          </w:tcPr>
          <w:p>
            <w:pPr>
              <w:spacing w:after="0"/>
              <w:rPr>
                <w:sz w:val="13"/>
                <w:szCs w:val="13"/>
                <w:color w:val="auto"/>
              </w:rPr>
            </w:pPr>
          </w:p>
        </w:tc>
        <w:tc>
          <w:tcPr>
            <w:tcW w:w="580" w:type="dxa"/>
            <w:vAlign w:val="bottom"/>
            <w:gridSpan w:val="2"/>
          </w:tcPr>
          <w:p>
            <w:pPr>
              <w:jc w:val="right"/>
              <w:ind w:right="220"/>
              <w:spacing w:after="0"/>
              <w:rPr>
                <w:sz w:val="20"/>
                <w:szCs w:val="20"/>
                <w:color w:val="auto"/>
              </w:rPr>
            </w:pPr>
            <w:r>
              <w:rPr>
                <w:rFonts w:ascii="Arial" w:cs="Arial" w:eastAsia="Arial" w:hAnsi="Arial"/>
                <w:sz w:val="13"/>
                <w:szCs w:val="13"/>
                <w:color w:val="auto"/>
              </w:rPr>
              <w:t>899</w:t>
            </w:r>
          </w:p>
        </w:tc>
        <w:tc>
          <w:tcPr>
            <w:tcW w:w="140" w:type="dxa"/>
            <w:vAlign w:val="bottom"/>
          </w:tcPr>
          <w:p>
            <w:pPr>
              <w:spacing w:after="0"/>
              <w:rPr>
                <w:sz w:val="13"/>
                <w:szCs w:val="13"/>
                <w:color w:val="auto"/>
              </w:rPr>
            </w:pPr>
          </w:p>
        </w:tc>
        <w:tc>
          <w:tcPr>
            <w:tcW w:w="1360" w:type="dxa"/>
            <w:vAlign w:val="bottom"/>
            <w:gridSpan w:val="2"/>
          </w:tcPr>
          <w:p>
            <w:pPr>
              <w:jc w:val="right"/>
              <w:ind w:right="220"/>
              <w:spacing w:after="0"/>
              <w:rPr>
                <w:sz w:val="20"/>
                <w:szCs w:val="20"/>
                <w:color w:val="auto"/>
              </w:rPr>
            </w:pPr>
            <w:r>
              <w:rPr>
                <w:rFonts w:ascii="Arial" w:cs="Arial" w:eastAsia="Arial" w:hAnsi="Arial"/>
                <w:sz w:val="13"/>
                <w:szCs w:val="13"/>
                <w:color w:val="auto"/>
              </w:rPr>
              <w:t>11.7</w:t>
            </w:r>
          </w:p>
        </w:tc>
        <w:tc>
          <w:tcPr>
            <w:tcW w:w="240" w:type="dxa"/>
            <w:vAlign w:val="bottom"/>
          </w:tcPr>
          <w:p>
            <w:pPr>
              <w:spacing w:after="0"/>
              <w:rPr>
                <w:sz w:val="13"/>
                <w:szCs w:val="13"/>
                <w:color w:val="auto"/>
              </w:rPr>
            </w:pPr>
          </w:p>
        </w:tc>
        <w:tc>
          <w:tcPr>
            <w:tcW w:w="1260" w:type="dxa"/>
            <w:vAlign w:val="bottom"/>
            <w:gridSpan w:val="2"/>
          </w:tcPr>
          <w:p>
            <w:pPr>
              <w:jc w:val="right"/>
              <w:ind w:right="220"/>
              <w:spacing w:after="0"/>
              <w:rPr>
                <w:sz w:val="20"/>
                <w:szCs w:val="20"/>
                <w:color w:val="auto"/>
              </w:rPr>
            </w:pPr>
            <w:r>
              <w:rPr>
                <w:rFonts w:ascii="Arial" w:cs="Arial" w:eastAsia="Arial" w:hAnsi="Arial"/>
                <w:sz w:val="13"/>
                <w:szCs w:val="13"/>
                <w:color w:val="auto"/>
              </w:rPr>
              <w:t>875</w:t>
            </w:r>
          </w:p>
        </w:tc>
        <w:tc>
          <w:tcPr>
            <w:tcW w:w="140" w:type="dxa"/>
            <w:vAlign w:val="bottom"/>
          </w:tcPr>
          <w:p>
            <w:pPr>
              <w:spacing w:after="0"/>
              <w:rPr>
                <w:sz w:val="13"/>
                <w:szCs w:val="13"/>
                <w:color w:val="auto"/>
              </w:rPr>
            </w:pPr>
          </w:p>
        </w:tc>
        <w:tc>
          <w:tcPr>
            <w:tcW w:w="1260" w:type="dxa"/>
            <w:vAlign w:val="bottom"/>
            <w:gridSpan w:val="2"/>
          </w:tcPr>
          <w:p>
            <w:pPr>
              <w:jc w:val="right"/>
              <w:ind w:right="120"/>
              <w:spacing w:after="0"/>
              <w:rPr>
                <w:sz w:val="20"/>
                <w:szCs w:val="20"/>
                <w:color w:val="auto"/>
              </w:rPr>
            </w:pPr>
            <w:r>
              <w:rPr>
                <w:rFonts w:ascii="Arial" w:cs="Arial" w:eastAsia="Arial" w:hAnsi="Arial"/>
                <w:sz w:val="13"/>
                <w:szCs w:val="13"/>
                <w:color w:val="auto"/>
              </w:rPr>
              <w:t>13.9</w:t>
            </w:r>
          </w:p>
        </w:tc>
        <w:tc>
          <w:tcPr>
            <w:tcW w:w="1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gridSpan w:val="2"/>
          </w:tcPr>
          <w:p>
            <w:pPr>
              <w:jc w:val="right"/>
              <w:ind w:right="220"/>
              <w:spacing w:after="0"/>
              <w:rPr>
                <w:sz w:val="20"/>
                <w:szCs w:val="20"/>
                <w:color w:val="auto"/>
              </w:rPr>
            </w:pPr>
            <w:r>
              <w:rPr>
                <w:rFonts w:ascii="Arial" w:cs="Arial" w:eastAsia="Arial" w:hAnsi="Arial"/>
                <w:sz w:val="13"/>
                <w:szCs w:val="13"/>
                <w:color w:val="auto"/>
              </w:rPr>
              <w:t>955</w:t>
            </w:r>
          </w:p>
        </w:tc>
        <w:tc>
          <w:tcPr>
            <w:tcW w:w="140" w:type="dxa"/>
            <w:vAlign w:val="bottom"/>
          </w:tcPr>
          <w:p>
            <w:pPr>
              <w:spacing w:after="0"/>
              <w:rPr>
                <w:sz w:val="13"/>
                <w:szCs w:val="13"/>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3"/>
                <w:szCs w:val="13"/>
                <w:color w:val="auto"/>
              </w:rPr>
              <w:t>13.2</w:t>
            </w:r>
          </w:p>
        </w:tc>
        <w:tc>
          <w:tcPr>
            <w:tcW w:w="0" w:type="dxa"/>
            <w:vAlign w:val="bottom"/>
          </w:tcPr>
          <w:p>
            <w:pPr>
              <w:spacing w:after="0"/>
              <w:rPr>
                <w:sz w:val="1"/>
                <w:szCs w:val="1"/>
                <w:color w:val="auto"/>
              </w:rPr>
            </w:pPr>
          </w:p>
        </w:tc>
      </w:tr>
      <w:tr>
        <w:trPr>
          <w:trHeight w:val="154"/>
        </w:trPr>
        <w:tc>
          <w:tcPr>
            <w:tcW w:w="2640" w:type="dxa"/>
            <w:vAlign w:val="bottom"/>
            <w:shd w:val="clear" w:color="auto" w:fill="CCEEFF"/>
          </w:tcPr>
          <w:p>
            <w:pPr>
              <w:spacing w:after="0"/>
              <w:rPr>
                <w:sz w:val="20"/>
                <w:szCs w:val="20"/>
                <w:color w:val="auto"/>
              </w:rPr>
            </w:pPr>
            <w:r>
              <w:rPr>
                <w:rFonts w:ascii="Arial" w:cs="Arial" w:eastAsia="Arial" w:hAnsi="Arial"/>
                <w:sz w:val="13"/>
                <w:szCs w:val="13"/>
                <w:color w:val="auto"/>
              </w:rPr>
              <w:t>Panama</w:t>
            </w:r>
          </w:p>
        </w:tc>
        <w:tc>
          <w:tcPr>
            <w:tcW w:w="920" w:type="dxa"/>
            <w:vAlign w:val="bottom"/>
            <w:shd w:val="clear" w:color="auto" w:fill="CCEEFF"/>
          </w:tcPr>
          <w:p>
            <w:pPr>
              <w:spacing w:after="0"/>
              <w:rPr>
                <w:sz w:val="13"/>
                <w:szCs w:val="13"/>
                <w:color w:val="auto"/>
              </w:rPr>
            </w:pPr>
          </w:p>
        </w:tc>
        <w:tc>
          <w:tcPr>
            <w:tcW w:w="5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529</w:t>
            </w:r>
          </w:p>
        </w:tc>
        <w:tc>
          <w:tcPr>
            <w:tcW w:w="140" w:type="dxa"/>
            <w:vAlign w:val="bottom"/>
            <w:shd w:val="clear" w:color="auto" w:fill="CCEEFF"/>
          </w:tcPr>
          <w:p>
            <w:pPr>
              <w:spacing w:after="0"/>
              <w:rPr>
                <w:sz w:val="13"/>
                <w:szCs w:val="13"/>
                <w:color w:val="auto"/>
              </w:rPr>
            </w:pP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6.9</w:t>
            </w:r>
          </w:p>
        </w:tc>
        <w:tc>
          <w:tcPr>
            <w:tcW w:w="240" w:type="dxa"/>
            <w:vAlign w:val="bottom"/>
            <w:shd w:val="clear" w:color="auto" w:fill="CCEEFF"/>
          </w:tcPr>
          <w:p>
            <w:pPr>
              <w:spacing w:after="0"/>
              <w:rPr>
                <w:sz w:val="13"/>
                <w:szCs w:val="13"/>
                <w:color w:val="auto"/>
              </w:rPr>
            </w:pP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526</w:t>
            </w:r>
          </w:p>
        </w:tc>
        <w:tc>
          <w:tcPr>
            <w:tcW w:w="140" w:type="dxa"/>
            <w:vAlign w:val="bottom"/>
            <w:shd w:val="clear" w:color="auto" w:fill="CCEEFF"/>
          </w:tcPr>
          <w:p>
            <w:pPr>
              <w:spacing w:after="0"/>
              <w:rPr>
                <w:sz w:val="13"/>
                <w:szCs w:val="13"/>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8.3</w:t>
            </w:r>
          </w:p>
        </w:tc>
        <w:tc>
          <w:tcPr>
            <w:tcW w:w="1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513</w:t>
            </w:r>
          </w:p>
        </w:tc>
        <w:tc>
          <w:tcPr>
            <w:tcW w:w="14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7.1</w:t>
            </w:r>
          </w:p>
        </w:tc>
        <w:tc>
          <w:tcPr>
            <w:tcW w:w="0" w:type="dxa"/>
            <w:vAlign w:val="bottom"/>
          </w:tcPr>
          <w:p>
            <w:pPr>
              <w:spacing w:after="0"/>
              <w:rPr>
                <w:sz w:val="1"/>
                <w:szCs w:val="1"/>
                <w:color w:val="auto"/>
              </w:rPr>
            </w:pPr>
          </w:p>
        </w:tc>
      </w:tr>
      <w:tr>
        <w:trPr>
          <w:trHeight w:val="154"/>
        </w:trPr>
        <w:tc>
          <w:tcPr>
            <w:tcW w:w="2640" w:type="dxa"/>
            <w:vAlign w:val="bottom"/>
          </w:tcPr>
          <w:p>
            <w:pPr>
              <w:spacing w:after="0"/>
              <w:rPr>
                <w:sz w:val="20"/>
                <w:szCs w:val="20"/>
                <w:color w:val="auto"/>
              </w:rPr>
            </w:pPr>
            <w:r>
              <w:rPr>
                <w:rFonts w:ascii="Arial" w:cs="Arial" w:eastAsia="Arial" w:hAnsi="Arial"/>
                <w:sz w:val="13"/>
                <w:szCs w:val="13"/>
                <w:color w:val="auto"/>
              </w:rPr>
              <w:t>Paraguay</w:t>
            </w:r>
          </w:p>
        </w:tc>
        <w:tc>
          <w:tcPr>
            <w:tcW w:w="920" w:type="dxa"/>
            <w:vAlign w:val="bottom"/>
          </w:tcPr>
          <w:p>
            <w:pPr>
              <w:spacing w:after="0"/>
              <w:rPr>
                <w:sz w:val="13"/>
                <w:szCs w:val="13"/>
                <w:color w:val="auto"/>
              </w:rPr>
            </w:pPr>
          </w:p>
        </w:tc>
        <w:tc>
          <w:tcPr>
            <w:tcW w:w="580" w:type="dxa"/>
            <w:vAlign w:val="bottom"/>
            <w:gridSpan w:val="2"/>
          </w:tcPr>
          <w:p>
            <w:pPr>
              <w:jc w:val="right"/>
              <w:ind w:right="220"/>
              <w:spacing w:after="0"/>
              <w:rPr>
                <w:sz w:val="20"/>
                <w:szCs w:val="20"/>
                <w:color w:val="auto"/>
              </w:rPr>
            </w:pPr>
            <w:r>
              <w:rPr>
                <w:rFonts w:ascii="Arial" w:cs="Arial" w:eastAsia="Arial" w:hAnsi="Arial"/>
                <w:sz w:val="13"/>
                <w:szCs w:val="13"/>
                <w:color w:val="auto"/>
              </w:rPr>
              <w:t>161</w:t>
            </w:r>
          </w:p>
        </w:tc>
        <w:tc>
          <w:tcPr>
            <w:tcW w:w="140" w:type="dxa"/>
            <w:vAlign w:val="bottom"/>
          </w:tcPr>
          <w:p>
            <w:pPr>
              <w:spacing w:after="0"/>
              <w:rPr>
                <w:sz w:val="13"/>
                <w:szCs w:val="13"/>
                <w:color w:val="auto"/>
              </w:rPr>
            </w:pPr>
          </w:p>
        </w:tc>
        <w:tc>
          <w:tcPr>
            <w:tcW w:w="1360" w:type="dxa"/>
            <w:vAlign w:val="bottom"/>
            <w:gridSpan w:val="2"/>
          </w:tcPr>
          <w:p>
            <w:pPr>
              <w:jc w:val="right"/>
              <w:ind w:right="220"/>
              <w:spacing w:after="0"/>
              <w:rPr>
                <w:sz w:val="20"/>
                <w:szCs w:val="20"/>
                <w:color w:val="auto"/>
              </w:rPr>
            </w:pPr>
            <w:r>
              <w:rPr>
                <w:rFonts w:ascii="Arial" w:cs="Arial" w:eastAsia="Arial" w:hAnsi="Arial"/>
                <w:sz w:val="13"/>
                <w:szCs w:val="13"/>
                <w:color w:val="auto"/>
              </w:rPr>
              <w:t>2.1</w:t>
            </w:r>
          </w:p>
        </w:tc>
        <w:tc>
          <w:tcPr>
            <w:tcW w:w="240" w:type="dxa"/>
            <w:vAlign w:val="bottom"/>
          </w:tcPr>
          <w:p>
            <w:pPr>
              <w:spacing w:after="0"/>
              <w:rPr>
                <w:sz w:val="13"/>
                <w:szCs w:val="13"/>
                <w:color w:val="auto"/>
              </w:rPr>
            </w:pPr>
          </w:p>
        </w:tc>
        <w:tc>
          <w:tcPr>
            <w:tcW w:w="1260" w:type="dxa"/>
            <w:vAlign w:val="bottom"/>
            <w:gridSpan w:val="2"/>
          </w:tcPr>
          <w:p>
            <w:pPr>
              <w:jc w:val="right"/>
              <w:ind w:right="220"/>
              <w:spacing w:after="0"/>
              <w:rPr>
                <w:sz w:val="20"/>
                <w:szCs w:val="20"/>
                <w:color w:val="auto"/>
              </w:rPr>
            </w:pPr>
            <w:r>
              <w:rPr>
                <w:rFonts w:ascii="Arial" w:cs="Arial" w:eastAsia="Arial" w:hAnsi="Arial"/>
                <w:sz w:val="13"/>
                <w:szCs w:val="13"/>
                <w:color w:val="auto"/>
              </w:rPr>
              <w:t>60</w:t>
            </w:r>
          </w:p>
        </w:tc>
        <w:tc>
          <w:tcPr>
            <w:tcW w:w="140" w:type="dxa"/>
            <w:vAlign w:val="bottom"/>
          </w:tcPr>
          <w:p>
            <w:pPr>
              <w:spacing w:after="0"/>
              <w:rPr>
                <w:sz w:val="13"/>
                <w:szCs w:val="13"/>
                <w:color w:val="auto"/>
              </w:rPr>
            </w:pPr>
          </w:p>
        </w:tc>
        <w:tc>
          <w:tcPr>
            <w:tcW w:w="1140" w:type="dxa"/>
            <w:vAlign w:val="bottom"/>
          </w:tcPr>
          <w:p>
            <w:pPr>
              <w:jc w:val="right"/>
              <w:spacing w:after="0"/>
              <w:rPr>
                <w:sz w:val="20"/>
                <w:szCs w:val="20"/>
                <w:color w:val="auto"/>
              </w:rPr>
            </w:pPr>
            <w:r>
              <w:rPr>
                <w:rFonts w:ascii="Arial" w:cs="Arial" w:eastAsia="Arial" w:hAnsi="Arial"/>
                <w:sz w:val="13"/>
                <w:szCs w:val="13"/>
                <w:color w:val="auto"/>
              </w:rPr>
              <w:t>1.0</w:t>
            </w: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gridSpan w:val="2"/>
          </w:tcPr>
          <w:p>
            <w:pPr>
              <w:jc w:val="right"/>
              <w:ind w:right="220"/>
              <w:spacing w:after="0"/>
              <w:rPr>
                <w:sz w:val="20"/>
                <w:szCs w:val="20"/>
                <w:color w:val="auto"/>
              </w:rPr>
            </w:pPr>
            <w:r>
              <w:rPr>
                <w:rFonts w:ascii="Arial" w:cs="Arial" w:eastAsia="Arial" w:hAnsi="Arial"/>
                <w:sz w:val="13"/>
                <w:szCs w:val="13"/>
                <w:color w:val="auto"/>
              </w:rPr>
              <w:t>110</w:t>
            </w:r>
          </w:p>
        </w:tc>
        <w:tc>
          <w:tcPr>
            <w:tcW w:w="140" w:type="dxa"/>
            <w:vAlign w:val="bottom"/>
          </w:tcPr>
          <w:p>
            <w:pPr>
              <w:spacing w:after="0"/>
              <w:rPr>
                <w:sz w:val="13"/>
                <w:szCs w:val="13"/>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3"/>
                <w:szCs w:val="13"/>
                <w:color w:val="auto"/>
              </w:rPr>
              <w:t>1.5</w:t>
            </w:r>
          </w:p>
        </w:tc>
        <w:tc>
          <w:tcPr>
            <w:tcW w:w="0" w:type="dxa"/>
            <w:vAlign w:val="bottom"/>
          </w:tcPr>
          <w:p>
            <w:pPr>
              <w:spacing w:after="0"/>
              <w:rPr>
                <w:sz w:val="1"/>
                <w:szCs w:val="1"/>
                <w:color w:val="auto"/>
              </w:rPr>
            </w:pPr>
          </w:p>
        </w:tc>
      </w:tr>
      <w:tr>
        <w:trPr>
          <w:trHeight w:val="154"/>
        </w:trPr>
        <w:tc>
          <w:tcPr>
            <w:tcW w:w="2640" w:type="dxa"/>
            <w:vAlign w:val="bottom"/>
            <w:shd w:val="clear" w:color="auto" w:fill="CCEEFF"/>
          </w:tcPr>
          <w:p>
            <w:pPr>
              <w:spacing w:after="0"/>
              <w:rPr>
                <w:sz w:val="20"/>
                <w:szCs w:val="20"/>
                <w:color w:val="auto"/>
              </w:rPr>
            </w:pPr>
            <w:r>
              <w:rPr>
                <w:rFonts w:ascii="Arial" w:cs="Arial" w:eastAsia="Arial" w:hAnsi="Arial"/>
                <w:sz w:val="13"/>
                <w:szCs w:val="13"/>
                <w:color w:val="auto"/>
              </w:rPr>
              <w:t>Peru</w:t>
            </w:r>
          </w:p>
        </w:tc>
        <w:tc>
          <w:tcPr>
            <w:tcW w:w="920" w:type="dxa"/>
            <w:vAlign w:val="bottom"/>
            <w:shd w:val="clear" w:color="auto" w:fill="CCEEFF"/>
          </w:tcPr>
          <w:p>
            <w:pPr>
              <w:spacing w:after="0"/>
              <w:rPr>
                <w:sz w:val="13"/>
                <w:szCs w:val="13"/>
                <w:color w:val="auto"/>
              </w:rPr>
            </w:pPr>
          </w:p>
        </w:tc>
        <w:tc>
          <w:tcPr>
            <w:tcW w:w="5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79</w:t>
            </w:r>
          </w:p>
        </w:tc>
        <w:tc>
          <w:tcPr>
            <w:tcW w:w="140" w:type="dxa"/>
            <w:vAlign w:val="bottom"/>
            <w:shd w:val="clear" w:color="auto" w:fill="CCEEFF"/>
          </w:tcPr>
          <w:p>
            <w:pPr>
              <w:spacing w:after="0"/>
              <w:rPr>
                <w:sz w:val="13"/>
                <w:szCs w:val="13"/>
                <w:color w:val="auto"/>
              </w:rPr>
            </w:pP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1.0</w:t>
            </w:r>
          </w:p>
        </w:tc>
        <w:tc>
          <w:tcPr>
            <w:tcW w:w="240" w:type="dxa"/>
            <w:vAlign w:val="bottom"/>
            <w:shd w:val="clear" w:color="auto" w:fill="CCEEFF"/>
          </w:tcPr>
          <w:p>
            <w:pPr>
              <w:spacing w:after="0"/>
              <w:rPr>
                <w:sz w:val="13"/>
                <w:szCs w:val="13"/>
                <w:color w:val="auto"/>
              </w:rPr>
            </w:pP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213</w:t>
            </w:r>
          </w:p>
        </w:tc>
        <w:tc>
          <w:tcPr>
            <w:tcW w:w="140" w:type="dxa"/>
            <w:vAlign w:val="bottom"/>
            <w:shd w:val="clear" w:color="auto" w:fill="CCEEFF"/>
          </w:tcPr>
          <w:p>
            <w:pPr>
              <w:spacing w:after="0"/>
              <w:rPr>
                <w:sz w:val="13"/>
                <w:szCs w:val="13"/>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3.4</w:t>
            </w:r>
          </w:p>
        </w:tc>
        <w:tc>
          <w:tcPr>
            <w:tcW w:w="1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470</w:t>
            </w:r>
          </w:p>
        </w:tc>
        <w:tc>
          <w:tcPr>
            <w:tcW w:w="14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6.5</w:t>
            </w:r>
          </w:p>
        </w:tc>
        <w:tc>
          <w:tcPr>
            <w:tcW w:w="0" w:type="dxa"/>
            <w:vAlign w:val="bottom"/>
          </w:tcPr>
          <w:p>
            <w:pPr>
              <w:spacing w:after="0"/>
              <w:rPr>
                <w:sz w:val="1"/>
                <w:szCs w:val="1"/>
                <w:color w:val="auto"/>
              </w:rPr>
            </w:pPr>
          </w:p>
        </w:tc>
      </w:tr>
      <w:tr>
        <w:trPr>
          <w:trHeight w:val="154"/>
        </w:trPr>
        <w:tc>
          <w:tcPr>
            <w:tcW w:w="2640" w:type="dxa"/>
            <w:vAlign w:val="bottom"/>
          </w:tcPr>
          <w:p>
            <w:pPr>
              <w:spacing w:after="0"/>
              <w:rPr>
                <w:sz w:val="20"/>
                <w:szCs w:val="20"/>
                <w:color w:val="auto"/>
              </w:rPr>
            </w:pPr>
            <w:r>
              <w:rPr>
                <w:rFonts w:ascii="Arial" w:cs="Arial" w:eastAsia="Arial" w:hAnsi="Arial"/>
                <w:sz w:val="13"/>
                <w:szCs w:val="13"/>
                <w:color w:val="auto"/>
              </w:rPr>
              <w:t>Singapore</w:t>
            </w:r>
          </w:p>
        </w:tc>
        <w:tc>
          <w:tcPr>
            <w:tcW w:w="920" w:type="dxa"/>
            <w:vAlign w:val="bottom"/>
          </w:tcPr>
          <w:p>
            <w:pPr>
              <w:spacing w:after="0"/>
              <w:rPr>
                <w:sz w:val="13"/>
                <w:szCs w:val="13"/>
                <w:color w:val="auto"/>
              </w:rPr>
            </w:pPr>
          </w:p>
        </w:tc>
        <w:tc>
          <w:tcPr>
            <w:tcW w:w="580" w:type="dxa"/>
            <w:vAlign w:val="bottom"/>
            <w:gridSpan w:val="2"/>
          </w:tcPr>
          <w:p>
            <w:pPr>
              <w:jc w:val="right"/>
              <w:ind w:right="220"/>
              <w:spacing w:after="0"/>
              <w:rPr>
                <w:sz w:val="20"/>
                <w:szCs w:val="20"/>
                <w:color w:val="auto"/>
              </w:rPr>
            </w:pPr>
            <w:r>
              <w:rPr>
                <w:rFonts w:ascii="Arial" w:cs="Arial" w:eastAsia="Arial" w:hAnsi="Arial"/>
                <w:sz w:val="13"/>
                <w:szCs w:val="13"/>
                <w:color w:val="auto"/>
              </w:rPr>
              <w:t>38</w:t>
            </w:r>
          </w:p>
        </w:tc>
        <w:tc>
          <w:tcPr>
            <w:tcW w:w="140" w:type="dxa"/>
            <w:vAlign w:val="bottom"/>
          </w:tcPr>
          <w:p>
            <w:pPr>
              <w:spacing w:after="0"/>
              <w:rPr>
                <w:sz w:val="13"/>
                <w:szCs w:val="13"/>
                <w:color w:val="auto"/>
              </w:rPr>
            </w:pPr>
          </w:p>
        </w:tc>
        <w:tc>
          <w:tcPr>
            <w:tcW w:w="1360" w:type="dxa"/>
            <w:vAlign w:val="bottom"/>
            <w:gridSpan w:val="2"/>
          </w:tcPr>
          <w:p>
            <w:pPr>
              <w:jc w:val="right"/>
              <w:ind w:right="220"/>
              <w:spacing w:after="0"/>
              <w:rPr>
                <w:sz w:val="20"/>
                <w:szCs w:val="20"/>
                <w:color w:val="auto"/>
              </w:rPr>
            </w:pPr>
            <w:r>
              <w:rPr>
                <w:rFonts w:ascii="Arial" w:cs="Arial" w:eastAsia="Arial" w:hAnsi="Arial"/>
                <w:sz w:val="13"/>
                <w:szCs w:val="13"/>
                <w:color w:val="auto"/>
              </w:rPr>
              <w:t>0.5</w:t>
            </w:r>
          </w:p>
        </w:tc>
        <w:tc>
          <w:tcPr>
            <w:tcW w:w="240" w:type="dxa"/>
            <w:vAlign w:val="bottom"/>
          </w:tcPr>
          <w:p>
            <w:pPr>
              <w:spacing w:after="0"/>
              <w:rPr>
                <w:sz w:val="13"/>
                <w:szCs w:val="13"/>
                <w:color w:val="auto"/>
              </w:rPr>
            </w:pPr>
          </w:p>
        </w:tc>
        <w:tc>
          <w:tcPr>
            <w:tcW w:w="1260" w:type="dxa"/>
            <w:vAlign w:val="bottom"/>
            <w:gridSpan w:val="2"/>
          </w:tcPr>
          <w:p>
            <w:pPr>
              <w:jc w:val="right"/>
              <w:ind w:right="220"/>
              <w:spacing w:after="0"/>
              <w:rPr>
                <w:sz w:val="20"/>
                <w:szCs w:val="20"/>
                <w:color w:val="auto"/>
              </w:rPr>
            </w:pPr>
            <w:r>
              <w:rPr>
                <w:rFonts w:ascii="Arial" w:cs="Arial" w:eastAsia="Arial" w:hAnsi="Arial"/>
                <w:sz w:val="13"/>
                <w:szCs w:val="13"/>
                <w:color w:val="auto"/>
              </w:rPr>
              <w:t>55</w:t>
            </w:r>
          </w:p>
        </w:tc>
        <w:tc>
          <w:tcPr>
            <w:tcW w:w="140" w:type="dxa"/>
            <w:vAlign w:val="bottom"/>
          </w:tcPr>
          <w:p>
            <w:pPr>
              <w:spacing w:after="0"/>
              <w:rPr>
                <w:sz w:val="13"/>
                <w:szCs w:val="13"/>
                <w:color w:val="auto"/>
              </w:rPr>
            </w:pPr>
          </w:p>
        </w:tc>
        <w:tc>
          <w:tcPr>
            <w:tcW w:w="1140" w:type="dxa"/>
            <w:vAlign w:val="bottom"/>
          </w:tcPr>
          <w:p>
            <w:pPr>
              <w:jc w:val="right"/>
              <w:spacing w:after="0"/>
              <w:rPr>
                <w:sz w:val="20"/>
                <w:szCs w:val="20"/>
                <w:color w:val="auto"/>
              </w:rPr>
            </w:pPr>
            <w:r>
              <w:rPr>
                <w:rFonts w:ascii="Arial" w:cs="Arial" w:eastAsia="Arial" w:hAnsi="Arial"/>
                <w:sz w:val="13"/>
                <w:szCs w:val="13"/>
                <w:color w:val="auto"/>
              </w:rPr>
              <w:t>0.9</w:t>
            </w: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gridSpan w:val="2"/>
          </w:tcPr>
          <w:p>
            <w:pPr>
              <w:jc w:val="right"/>
              <w:ind w:right="220"/>
              <w:spacing w:after="0"/>
              <w:rPr>
                <w:sz w:val="20"/>
                <w:szCs w:val="20"/>
                <w:color w:val="auto"/>
              </w:rPr>
            </w:pPr>
            <w:r>
              <w:rPr>
                <w:rFonts w:ascii="Arial" w:cs="Arial" w:eastAsia="Arial" w:hAnsi="Arial"/>
                <w:sz w:val="13"/>
                <w:szCs w:val="13"/>
                <w:color w:val="auto"/>
              </w:rPr>
              <w:t>70</w:t>
            </w:r>
          </w:p>
        </w:tc>
        <w:tc>
          <w:tcPr>
            <w:tcW w:w="140" w:type="dxa"/>
            <w:vAlign w:val="bottom"/>
          </w:tcPr>
          <w:p>
            <w:pPr>
              <w:spacing w:after="0"/>
              <w:rPr>
                <w:sz w:val="13"/>
                <w:szCs w:val="13"/>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3"/>
                <w:szCs w:val="13"/>
                <w:color w:val="auto"/>
              </w:rPr>
              <w:t>1.0</w:t>
            </w:r>
          </w:p>
        </w:tc>
        <w:tc>
          <w:tcPr>
            <w:tcW w:w="0" w:type="dxa"/>
            <w:vAlign w:val="bottom"/>
          </w:tcPr>
          <w:p>
            <w:pPr>
              <w:spacing w:after="0"/>
              <w:rPr>
                <w:sz w:val="1"/>
                <w:szCs w:val="1"/>
                <w:color w:val="auto"/>
              </w:rPr>
            </w:pPr>
          </w:p>
        </w:tc>
      </w:tr>
      <w:tr>
        <w:trPr>
          <w:trHeight w:val="154"/>
        </w:trPr>
        <w:tc>
          <w:tcPr>
            <w:tcW w:w="2640" w:type="dxa"/>
            <w:vAlign w:val="bottom"/>
            <w:shd w:val="clear" w:color="auto" w:fill="CCEEFF"/>
          </w:tcPr>
          <w:p>
            <w:pPr>
              <w:spacing w:after="0"/>
              <w:rPr>
                <w:sz w:val="20"/>
                <w:szCs w:val="20"/>
                <w:color w:val="auto"/>
              </w:rPr>
            </w:pPr>
            <w:r>
              <w:rPr>
                <w:rFonts w:ascii="Arial" w:cs="Arial" w:eastAsia="Arial" w:hAnsi="Arial"/>
                <w:sz w:val="13"/>
                <w:szCs w:val="13"/>
                <w:color w:val="auto"/>
              </w:rPr>
              <w:t>Switzerland</w:t>
            </w:r>
          </w:p>
        </w:tc>
        <w:tc>
          <w:tcPr>
            <w:tcW w:w="920" w:type="dxa"/>
            <w:vAlign w:val="bottom"/>
            <w:shd w:val="clear" w:color="auto" w:fill="CCEEFF"/>
          </w:tcPr>
          <w:p>
            <w:pPr>
              <w:spacing w:after="0"/>
              <w:rPr>
                <w:sz w:val="13"/>
                <w:szCs w:val="13"/>
                <w:color w:val="auto"/>
              </w:rPr>
            </w:pPr>
          </w:p>
        </w:tc>
        <w:tc>
          <w:tcPr>
            <w:tcW w:w="5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9</w:t>
            </w:r>
          </w:p>
        </w:tc>
        <w:tc>
          <w:tcPr>
            <w:tcW w:w="140" w:type="dxa"/>
            <w:vAlign w:val="bottom"/>
            <w:shd w:val="clear" w:color="auto" w:fill="CCEEFF"/>
          </w:tcPr>
          <w:p>
            <w:pPr>
              <w:spacing w:after="0"/>
              <w:rPr>
                <w:sz w:val="13"/>
                <w:szCs w:val="13"/>
                <w:color w:val="auto"/>
              </w:rPr>
            </w:pP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0.1</w:t>
            </w:r>
          </w:p>
        </w:tc>
        <w:tc>
          <w:tcPr>
            <w:tcW w:w="240" w:type="dxa"/>
            <w:vAlign w:val="bottom"/>
            <w:shd w:val="clear" w:color="auto" w:fill="CCEEFF"/>
          </w:tcPr>
          <w:p>
            <w:pPr>
              <w:spacing w:after="0"/>
              <w:rPr>
                <w:sz w:val="13"/>
                <w:szCs w:val="13"/>
                <w:color w:val="auto"/>
              </w:rPr>
            </w:pP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9</w:t>
            </w:r>
          </w:p>
        </w:tc>
        <w:tc>
          <w:tcPr>
            <w:tcW w:w="140" w:type="dxa"/>
            <w:vAlign w:val="bottom"/>
            <w:shd w:val="clear" w:color="auto" w:fill="CCEEFF"/>
          </w:tcPr>
          <w:p>
            <w:pPr>
              <w:spacing w:after="0"/>
              <w:rPr>
                <w:sz w:val="13"/>
                <w:szCs w:val="13"/>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0.1</w:t>
            </w:r>
          </w:p>
        </w:tc>
        <w:tc>
          <w:tcPr>
            <w:tcW w:w="1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110</w:t>
            </w:r>
          </w:p>
        </w:tc>
        <w:tc>
          <w:tcPr>
            <w:tcW w:w="14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1.5</w:t>
            </w:r>
          </w:p>
        </w:tc>
        <w:tc>
          <w:tcPr>
            <w:tcW w:w="0" w:type="dxa"/>
            <w:vAlign w:val="bottom"/>
          </w:tcPr>
          <w:p>
            <w:pPr>
              <w:spacing w:after="0"/>
              <w:rPr>
                <w:sz w:val="1"/>
                <w:szCs w:val="1"/>
                <w:color w:val="auto"/>
              </w:rPr>
            </w:pPr>
          </w:p>
        </w:tc>
      </w:tr>
      <w:tr>
        <w:trPr>
          <w:trHeight w:val="154"/>
        </w:trPr>
        <w:tc>
          <w:tcPr>
            <w:tcW w:w="2640" w:type="dxa"/>
            <w:vAlign w:val="bottom"/>
          </w:tcPr>
          <w:p>
            <w:pPr>
              <w:spacing w:after="0"/>
              <w:rPr>
                <w:sz w:val="20"/>
                <w:szCs w:val="20"/>
                <w:color w:val="auto"/>
              </w:rPr>
            </w:pPr>
            <w:r>
              <w:rPr>
                <w:rFonts w:ascii="Arial" w:cs="Arial" w:eastAsia="Arial" w:hAnsi="Arial"/>
                <w:sz w:val="13"/>
                <w:szCs w:val="13"/>
                <w:color w:val="auto"/>
              </w:rPr>
              <w:t>Trinidad &amp; Tobago</w:t>
            </w:r>
          </w:p>
        </w:tc>
        <w:tc>
          <w:tcPr>
            <w:tcW w:w="920" w:type="dxa"/>
            <w:vAlign w:val="bottom"/>
          </w:tcPr>
          <w:p>
            <w:pPr>
              <w:spacing w:after="0"/>
              <w:rPr>
                <w:sz w:val="13"/>
                <w:szCs w:val="13"/>
                <w:color w:val="auto"/>
              </w:rPr>
            </w:pPr>
          </w:p>
        </w:tc>
        <w:tc>
          <w:tcPr>
            <w:tcW w:w="580" w:type="dxa"/>
            <w:vAlign w:val="bottom"/>
            <w:gridSpan w:val="2"/>
          </w:tcPr>
          <w:p>
            <w:pPr>
              <w:jc w:val="right"/>
              <w:ind w:right="220"/>
              <w:spacing w:after="0"/>
              <w:rPr>
                <w:sz w:val="20"/>
                <w:szCs w:val="20"/>
                <w:color w:val="auto"/>
              </w:rPr>
            </w:pPr>
            <w:r>
              <w:rPr>
                <w:rFonts w:ascii="Arial" w:cs="Arial" w:eastAsia="Arial" w:hAnsi="Arial"/>
                <w:sz w:val="13"/>
                <w:szCs w:val="13"/>
                <w:color w:val="auto"/>
              </w:rPr>
              <w:t>154</w:t>
            </w:r>
          </w:p>
        </w:tc>
        <w:tc>
          <w:tcPr>
            <w:tcW w:w="140" w:type="dxa"/>
            <w:vAlign w:val="bottom"/>
          </w:tcPr>
          <w:p>
            <w:pPr>
              <w:spacing w:after="0"/>
              <w:rPr>
                <w:sz w:val="13"/>
                <w:szCs w:val="13"/>
                <w:color w:val="auto"/>
              </w:rPr>
            </w:pPr>
          </w:p>
        </w:tc>
        <w:tc>
          <w:tcPr>
            <w:tcW w:w="1360" w:type="dxa"/>
            <w:vAlign w:val="bottom"/>
            <w:gridSpan w:val="2"/>
          </w:tcPr>
          <w:p>
            <w:pPr>
              <w:jc w:val="right"/>
              <w:ind w:right="220"/>
              <w:spacing w:after="0"/>
              <w:rPr>
                <w:sz w:val="20"/>
                <w:szCs w:val="20"/>
                <w:color w:val="auto"/>
              </w:rPr>
            </w:pPr>
            <w:r>
              <w:rPr>
                <w:rFonts w:ascii="Arial" w:cs="Arial" w:eastAsia="Arial" w:hAnsi="Arial"/>
                <w:sz w:val="13"/>
                <w:szCs w:val="13"/>
                <w:color w:val="auto"/>
              </w:rPr>
              <w:t>2.0</w:t>
            </w:r>
          </w:p>
        </w:tc>
        <w:tc>
          <w:tcPr>
            <w:tcW w:w="240" w:type="dxa"/>
            <w:vAlign w:val="bottom"/>
          </w:tcPr>
          <w:p>
            <w:pPr>
              <w:spacing w:after="0"/>
              <w:rPr>
                <w:sz w:val="13"/>
                <w:szCs w:val="13"/>
                <w:color w:val="auto"/>
              </w:rPr>
            </w:pPr>
          </w:p>
        </w:tc>
        <w:tc>
          <w:tcPr>
            <w:tcW w:w="1260" w:type="dxa"/>
            <w:vAlign w:val="bottom"/>
            <w:gridSpan w:val="2"/>
          </w:tcPr>
          <w:p>
            <w:pPr>
              <w:jc w:val="right"/>
              <w:ind w:right="220"/>
              <w:spacing w:after="0"/>
              <w:rPr>
                <w:sz w:val="20"/>
                <w:szCs w:val="20"/>
                <w:color w:val="auto"/>
              </w:rPr>
            </w:pPr>
            <w:r>
              <w:rPr>
                <w:rFonts w:ascii="Arial" w:cs="Arial" w:eastAsia="Arial" w:hAnsi="Arial"/>
                <w:sz w:val="13"/>
                <w:szCs w:val="13"/>
                <w:color w:val="auto"/>
              </w:rPr>
              <w:t>185</w:t>
            </w:r>
          </w:p>
        </w:tc>
        <w:tc>
          <w:tcPr>
            <w:tcW w:w="140" w:type="dxa"/>
            <w:vAlign w:val="bottom"/>
          </w:tcPr>
          <w:p>
            <w:pPr>
              <w:spacing w:after="0"/>
              <w:rPr>
                <w:sz w:val="13"/>
                <w:szCs w:val="13"/>
                <w:color w:val="auto"/>
              </w:rPr>
            </w:pPr>
          </w:p>
        </w:tc>
        <w:tc>
          <w:tcPr>
            <w:tcW w:w="1140" w:type="dxa"/>
            <w:vAlign w:val="bottom"/>
          </w:tcPr>
          <w:p>
            <w:pPr>
              <w:jc w:val="right"/>
              <w:spacing w:after="0"/>
              <w:rPr>
                <w:sz w:val="20"/>
                <w:szCs w:val="20"/>
                <w:color w:val="auto"/>
              </w:rPr>
            </w:pPr>
            <w:r>
              <w:rPr>
                <w:rFonts w:ascii="Arial" w:cs="Arial" w:eastAsia="Arial" w:hAnsi="Arial"/>
                <w:sz w:val="13"/>
                <w:szCs w:val="13"/>
                <w:color w:val="auto"/>
              </w:rPr>
              <w:t>2.9</w:t>
            </w: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gridSpan w:val="2"/>
          </w:tcPr>
          <w:p>
            <w:pPr>
              <w:jc w:val="right"/>
              <w:ind w:right="220"/>
              <w:spacing w:after="0"/>
              <w:rPr>
                <w:sz w:val="20"/>
                <w:szCs w:val="20"/>
                <w:color w:val="auto"/>
              </w:rPr>
            </w:pPr>
            <w:r>
              <w:rPr>
                <w:rFonts w:ascii="Arial" w:cs="Arial" w:eastAsia="Arial" w:hAnsi="Arial"/>
                <w:sz w:val="13"/>
                <w:szCs w:val="13"/>
                <w:color w:val="auto"/>
              </w:rPr>
              <w:t>194</w:t>
            </w:r>
          </w:p>
        </w:tc>
        <w:tc>
          <w:tcPr>
            <w:tcW w:w="140" w:type="dxa"/>
            <w:vAlign w:val="bottom"/>
          </w:tcPr>
          <w:p>
            <w:pPr>
              <w:spacing w:after="0"/>
              <w:rPr>
                <w:sz w:val="13"/>
                <w:szCs w:val="13"/>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3"/>
                <w:szCs w:val="13"/>
                <w:color w:val="auto"/>
              </w:rPr>
              <w:t>2.7</w:t>
            </w:r>
          </w:p>
        </w:tc>
        <w:tc>
          <w:tcPr>
            <w:tcW w:w="0" w:type="dxa"/>
            <w:vAlign w:val="bottom"/>
          </w:tcPr>
          <w:p>
            <w:pPr>
              <w:spacing w:after="0"/>
              <w:rPr>
                <w:sz w:val="1"/>
                <w:szCs w:val="1"/>
                <w:color w:val="auto"/>
              </w:rPr>
            </w:pPr>
          </w:p>
        </w:tc>
      </w:tr>
      <w:tr>
        <w:trPr>
          <w:trHeight w:val="154"/>
        </w:trPr>
        <w:tc>
          <w:tcPr>
            <w:tcW w:w="2640" w:type="dxa"/>
            <w:vAlign w:val="bottom"/>
            <w:shd w:val="clear" w:color="auto" w:fill="CCEEFF"/>
          </w:tcPr>
          <w:p>
            <w:pPr>
              <w:spacing w:after="0"/>
              <w:rPr>
                <w:sz w:val="20"/>
                <w:szCs w:val="20"/>
                <w:color w:val="auto"/>
              </w:rPr>
            </w:pPr>
            <w:r>
              <w:rPr>
                <w:rFonts w:ascii="Arial" w:cs="Arial" w:eastAsia="Arial" w:hAnsi="Arial"/>
                <w:sz w:val="13"/>
                <w:szCs w:val="13"/>
                <w:color w:val="auto"/>
              </w:rPr>
              <w:t>United States of America</w:t>
            </w:r>
          </w:p>
        </w:tc>
        <w:tc>
          <w:tcPr>
            <w:tcW w:w="920" w:type="dxa"/>
            <w:vAlign w:val="bottom"/>
            <w:shd w:val="clear" w:color="auto" w:fill="CCEEFF"/>
          </w:tcPr>
          <w:p>
            <w:pPr>
              <w:spacing w:after="0"/>
              <w:rPr>
                <w:sz w:val="13"/>
                <w:szCs w:val="13"/>
                <w:color w:val="auto"/>
              </w:rPr>
            </w:pPr>
          </w:p>
        </w:tc>
        <w:tc>
          <w:tcPr>
            <w:tcW w:w="5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1,669</w:t>
            </w:r>
          </w:p>
        </w:tc>
        <w:tc>
          <w:tcPr>
            <w:tcW w:w="140" w:type="dxa"/>
            <w:vAlign w:val="bottom"/>
            <w:shd w:val="clear" w:color="auto" w:fill="CCEEFF"/>
          </w:tcPr>
          <w:p>
            <w:pPr>
              <w:spacing w:after="0"/>
              <w:rPr>
                <w:sz w:val="13"/>
                <w:szCs w:val="13"/>
                <w:color w:val="auto"/>
              </w:rPr>
            </w:pP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21.8</w:t>
            </w:r>
          </w:p>
        </w:tc>
        <w:tc>
          <w:tcPr>
            <w:tcW w:w="240" w:type="dxa"/>
            <w:vAlign w:val="bottom"/>
            <w:shd w:val="clear" w:color="auto" w:fill="CCEEFF"/>
          </w:tcPr>
          <w:p>
            <w:pPr>
              <w:spacing w:after="0"/>
              <w:rPr>
                <w:sz w:val="13"/>
                <w:szCs w:val="13"/>
                <w:color w:val="auto"/>
              </w:rPr>
            </w:pP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665</w:t>
            </w:r>
          </w:p>
        </w:tc>
        <w:tc>
          <w:tcPr>
            <w:tcW w:w="140" w:type="dxa"/>
            <w:vAlign w:val="bottom"/>
            <w:shd w:val="clear" w:color="auto" w:fill="CCEEFF"/>
          </w:tcPr>
          <w:p>
            <w:pPr>
              <w:spacing w:after="0"/>
              <w:rPr>
                <w:sz w:val="13"/>
                <w:szCs w:val="13"/>
                <w:color w:val="auto"/>
              </w:rPr>
            </w:pP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10.5</w:t>
            </w:r>
          </w:p>
        </w:tc>
        <w:tc>
          <w:tcPr>
            <w:tcW w:w="1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955</w:t>
            </w:r>
          </w:p>
        </w:tc>
        <w:tc>
          <w:tcPr>
            <w:tcW w:w="14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13.2</w:t>
            </w:r>
          </w:p>
        </w:tc>
        <w:tc>
          <w:tcPr>
            <w:tcW w:w="0" w:type="dxa"/>
            <w:vAlign w:val="bottom"/>
          </w:tcPr>
          <w:p>
            <w:pPr>
              <w:spacing w:after="0"/>
              <w:rPr>
                <w:sz w:val="1"/>
                <w:szCs w:val="1"/>
                <w:color w:val="auto"/>
              </w:rPr>
            </w:pPr>
          </w:p>
        </w:tc>
      </w:tr>
      <w:tr>
        <w:trPr>
          <w:trHeight w:val="193"/>
        </w:trPr>
        <w:tc>
          <w:tcPr>
            <w:tcW w:w="2640" w:type="dxa"/>
            <w:vAlign w:val="bottom"/>
          </w:tcPr>
          <w:p>
            <w:pPr>
              <w:spacing w:after="0" w:line="193" w:lineRule="exact"/>
              <w:rPr>
                <w:sz w:val="20"/>
                <w:szCs w:val="20"/>
                <w:color w:val="auto"/>
              </w:rPr>
            </w:pPr>
            <w:r>
              <w:rPr>
                <w:rFonts w:ascii="Arial" w:cs="Arial" w:eastAsia="Arial" w:hAnsi="Arial"/>
                <w:sz w:val="13"/>
                <w:szCs w:val="13"/>
                <w:color w:val="auto"/>
              </w:rPr>
              <w:t xml:space="preserve">Other countries </w:t>
            </w:r>
            <w:r>
              <w:rPr>
                <w:rFonts w:ascii="Arial" w:cs="Arial" w:eastAsia="Arial" w:hAnsi="Arial"/>
                <w:sz w:val="21"/>
                <w:szCs w:val="21"/>
                <w:color w:val="auto"/>
                <w:vertAlign w:val="superscript"/>
              </w:rPr>
              <w:t>(1)</w:t>
            </w:r>
          </w:p>
        </w:tc>
        <w:tc>
          <w:tcPr>
            <w:tcW w:w="920" w:type="dxa"/>
            <w:vAlign w:val="bottom"/>
          </w:tcPr>
          <w:p>
            <w:pPr>
              <w:spacing w:after="0"/>
              <w:rPr>
                <w:sz w:val="16"/>
                <w:szCs w:val="16"/>
                <w:color w:val="auto"/>
              </w:rPr>
            </w:pPr>
          </w:p>
        </w:tc>
        <w:tc>
          <w:tcPr>
            <w:tcW w:w="360" w:type="dxa"/>
            <w:vAlign w:val="bottom"/>
          </w:tcPr>
          <w:p>
            <w:pPr>
              <w:jc w:val="right"/>
              <w:spacing w:after="0"/>
              <w:rPr>
                <w:sz w:val="20"/>
                <w:szCs w:val="20"/>
                <w:color w:val="auto"/>
              </w:rPr>
            </w:pPr>
            <w:r>
              <w:rPr>
                <w:rFonts w:ascii="Arial" w:cs="Arial" w:eastAsia="Arial" w:hAnsi="Arial"/>
                <w:sz w:val="13"/>
                <w:szCs w:val="13"/>
                <w:color w:val="auto"/>
              </w:rPr>
              <w:t>155</w:t>
            </w:r>
          </w:p>
        </w:tc>
        <w:tc>
          <w:tcPr>
            <w:tcW w:w="2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140" w:type="dxa"/>
            <w:vAlign w:val="bottom"/>
          </w:tcPr>
          <w:p>
            <w:pPr>
              <w:jc w:val="right"/>
              <w:spacing w:after="0"/>
              <w:rPr>
                <w:sz w:val="20"/>
                <w:szCs w:val="20"/>
                <w:color w:val="auto"/>
              </w:rPr>
            </w:pPr>
            <w:r>
              <w:rPr>
                <w:rFonts w:ascii="Arial" w:cs="Arial" w:eastAsia="Arial" w:hAnsi="Arial"/>
                <w:sz w:val="13"/>
                <w:szCs w:val="13"/>
                <w:color w:val="auto"/>
              </w:rPr>
              <w:t>2.0</w:t>
            </w:r>
          </w:p>
        </w:tc>
        <w:tc>
          <w:tcPr>
            <w:tcW w:w="22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040" w:type="dxa"/>
            <w:vAlign w:val="bottom"/>
          </w:tcPr>
          <w:p>
            <w:pPr>
              <w:jc w:val="right"/>
              <w:spacing w:after="0"/>
              <w:rPr>
                <w:sz w:val="20"/>
                <w:szCs w:val="20"/>
                <w:color w:val="auto"/>
              </w:rPr>
            </w:pPr>
            <w:r>
              <w:rPr>
                <w:rFonts w:ascii="Arial" w:cs="Arial" w:eastAsia="Arial" w:hAnsi="Arial"/>
                <w:sz w:val="13"/>
                <w:szCs w:val="13"/>
                <w:color w:val="auto"/>
              </w:rPr>
              <w:t>192</w:t>
            </w:r>
          </w:p>
        </w:tc>
        <w:tc>
          <w:tcPr>
            <w:tcW w:w="2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140" w:type="dxa"/>
            <w:vAlign w:val="bottom"/>
          </w:tcPr>
          <w:p>
            <w:pPr>
              <w:jc w:val="right"/>
              <w:spacing w:after="0"/>
              <w:rPr>
                <w:sz w:val="20"/>
                <w:szCs w:val="20"/>
                <w:color w:val="auto"/>
              </w:rPr>
            </w:pPr>
            <w:r>
              <w:rPr>
                <w:rFonts w:ascii="Arial" w:cs="Arial" w:eastAsia="Arial" w:hAnsi="Arial"/>
                <w:sz w:val="13"/>
                <w:szCs w:val="13"/>
                <w:color w:val="auto"/>
              </w:rPr>
              <w:t>3.1</w:t>
            </w:r>
          </w:p>
        </w:tc>
        <w:tc>
          <w:tcPr>
            <w:tcW w:w="1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40" w:type="dxa"/>
            <w:vAlign w:val="bottom"/>
            <w:gridSpan w:val="2"/>
          </w:tcPr>
          <w:p>
            <w:pPr>
              <w:jc w:val="right"/>
              <w:ind w:right="220"/>
              <w:spacing w:after="0"/>
              <w:rPr>
                <w:sz w:val="20"/>
                <w:szCs w:val="20"/>
                <w:color w:val="auto"/>
              </w:rPr>
            </w:pPr>
            <w:r>
              <w:rPr>
                <w:rFonts w:ascii="Arial" w:cs="Arial" w:eastAsia="Arial" w:hAnsi="Arial"/>
                <w:sz w:val="13"/>
                <w:szCs w:val="13"/>
                <w:color w:val="auto"/>
              </w:rPr>
              <w:t>214</w:t>
            </w:r>
          </w:p>
        </w:tc>
        <w:tc>
          <w:tcPr>
            <w:tcW w:w="140" w:type="dxa"/>
            <w:vAlign w:val="bottom"/>
          </w:tcPr>
          <w:p>
            <w:pPr>
              <w:spacing w:after="0"/>
              <w:rPr>
                <w:sz w:val="16"/>
                <w:szCs w:val="16"/>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3"/>
                <w:szCs w:val="13"/>
                <w:color w:val="auto"/>
              </w:rPr>
              <w:t>2.9</w:t>
            </w:r>
          </w:p>
        </w:tc>
        <w:tc>
          <w:tcPr>
            <w:tcW w:w="0" w:type="dxa"/>
            <w:vAlign w:val="bottom"/>
          </w:tcPr>
          <w:p>
            <w:pPr>
              <w:spacing w:after="0"/>
              <w:rPr>
                <w:sz w:val="1"/>
                <w:szCs w:val="1"/>
                <w:color w:val="auto"/>
              </w:rPr>
            </w:pPr>
          </w:p>
        </w:tc>
      </w:tr>
      <w:tr>
        <w:trPr>
          <w:trHeight w:val="20"/>
        </w:trPr>
        <w:tc>
          <w:tcPr>
            <w:tcW w:w="2640" w:type="dxa"/>
            <w:vAlign w:val="bottom"/>
            <w:vMerge w:val="restart"/>
            <w:shd w:val="clear" w:color="auto" w:fill="CCEEFF"/>
          </w:tcPr>
          <w:p>
            <w:pPr>
              <w:ind w:left="220"/>
              <w:spacing w:after="0" w:line="202" w:lineRule="exact"/>
              <w:rPr>
                <w:sz w:val="20"/>
                <w:szCs w:val="20"/>
                <w:color w:val="auto"/>
              </w:rPr>
            </w:pPr>
            <w:r>
              <w:rPr>
                <w:rFonts w:ascii="Arial" w:cs="Arial" w:eastAsia="Arial" w:hAnsi="Arial"/>
                <w:sz w:val="13"/>
                <w:szCs w:val="13"/>
                <w:b w:val="1"/>
                <w:bCs w:val="1"/>
                <w:color w:val="auto"/>
              </w:rPr>
              <w:t xml:space="preserve">Total </w:t>
            </w:r>
            <w:r>
              <w:rPr>
                <w:rFonts w:ascii="Arial" w:cs="Arial" w:eastAsia="Arial" w:hAnsi="Arial"/>
                <w:sz w:val="21"/>
                <w:szCs w:val="21"/>
                <w:b w:val="1"/>
                <w:bCs w:val="1"/>
                <w:color w:val="auto"/>
                <w:vertAlign w:val="superscript"/>
              </w:rPr>
              <w:t>(2)</w:t>
            </w:r>
          </w:p>
        </w:tc>
        <w:tc>
          <w:tcPr>
            <w:tcW w:w="920" w:type="dxa"/>
            <w:vAlign w:val="bottom"/>
            <w:shd w:val="clear" w:color="auto" w:fill="000000"/>
          </w:tcPr>
          <w:p>
            <w:pPr>
              <w:spacing w:after="0" w:line="20" w:lineRule="exact"/>
              <w:rPr>
                <w:sz w:val="1"/>
                <w:szCs w:val="1"/>
                <w:color w:val="auto"/>
              </w:rPr>
            </w:pPr>
          </w:p>
        </w:tc>
        <w:tc>
          <w:tcPr>
            <w:tcW w:w="36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114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104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1140" w:type="dxa"/>
            <w:vAlign w:val="bottom"/>
            <w:shd w:val="clear" w:color="auto" w:fill="000000"/>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220" w:type="dxa"/>
            <w:vAlign w:val="bottom"/>
            <w:shd w:val="clear" w:color="auto" w:fill="000000"/>
          </w:tcPr>
          <w:p>
            <w:pPr>
              <w:spacing w:after="0" w:line="20" w:lineRule="exact"/>
              <w:rPr>
                <w:sz w:val="1"/>
                <w:szCs w:val="1"/>
                <w:color w:val="auto"/>
              </w:rPr>
            </w:pPr>
          </w:p>
        </w:tc>
        <w:tc>
          <w:tcPr>
            <w:tcW w:w="102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1100" w:type="dxa"/>
            <w:vAlign w:val="bottom"/>
            <w:shd w:val="clear" w:color="auto" w:fill="000000"/>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2"/>
        </w:trPr>
        <w:tc>
          <w:tcPr>
            <w:tcW w:w="2640" w:type="dxa"/>
            <w:vAlign w:val="bottom"/>
            <w:vMerge w:val="continue"/>
            <w:shd w:val="clear" w:color="auto" w:fill="CCEEFF"/>
          </w:tcPr>
          <w:p>
            <w:pPr>
              <w:spacing w:after="0"/>
              <w:rPr>
                <w:sz w:val="15"/>
                <w:szCs w:val="15"/>
                <w:color w:val="auto"/>
              </w:rPr>
            </w:pPr>
          </w:p>
        </w:tc>
        <w:tc>
          <w:tcPr>
            <w:tcW w:w="920" w:type="dxa"/>
            <w:vAlign w:val="bottom"/>
            <w:shd w:val="clear" w:color="auto" w:fill="CCEEFF"/>
          </w:tcPr>
          <w:p>
            <w:pPr>
              <w:jc w:val="right"/>
              <w:ind w:right="804"/>
              <w:spacing w:after="0"/>
              <w:rPr>
                <w:sz w:val="20"/>
                <w:szCs w:val="20"/>
                <w:color w:val="auto"/>
              </w:rPr>
            </w:pPr>
            <w:r>
              <w:rPr>
                <w:rFonts w:ascii="Arial" w:cs="Arial" w:eastAsia="Arial" w:hAnsi="Arial"/>
                <w:sz w:val="10"/>
                <w:szCs w:val="10"/>
                <w:b w:val="1"/>
                <w:bCs w:val="1"/>
                <w:color w:val="auto"/>
                <w:w w:val="71"/>
              </w:rPr>
              <w:t>$</w:t>
            </w:r>
          </w:p>
        </w:tc>
        <w:tc>
          <w:tcPr>
            <w:tcW w:w="360" w:type="dxa"/>
            <w:vAlign w:val="bottom"/>
            <w:shd w:val="clear" w:color="auto" w:fill="CCEEFF"/>
          </w:tcPr>
          <w:p>
            <w:pPr>
              <w:jc w:val="right"/>
              <w:spacing w:after="0"/>
              <w:rPr>
                <w:sz w:val="20"/>
                <w:szCs w:val="20"/>
                <w:color w:val="auto"/>
              </w:rPr>
            </w:pPr>
            <w:r>
              <w:rPr>
                <w:rFonts w:ascii="Arial" w:cs="Arial" w:eastAsia="Arial" w:hAnsi="Arial"/>
                <w:sz w:val="13"/>
                <w:szCs w:val="13"/>
                <w:b w:val="1"/>
                <w:bCs w:val="1"/>
                <w:color w:val="auto"/>
              </w:rPr>
              <w:t>7,674</w:t>
            </w:r>
          </w:p>
        </w:tc>
        <w:tc>
          <w:tcPr>
            <w:tcW w:w="22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3"/>
                <w:szCs w:val="13"/>
                <w:b w:val="1"/>
                <w:bCs w:val="1"/>
                <w:color w:val="auto"/>
              </w:rPr>
              <w:t>100.0</w:t>
            </w:r>
          </w:p>
        </w:tc>
        <w:tc>
          <w:tcPr>
            <w:tcW w:w="220" w:type="dxa"/>
            <w:vAlign w:val="bottom"/>
            <w:shd w:val="clear" w:color="auto" w:fill="CCEEFF"/>
          </w:tcPr>
          <w:p>
            <w:pPr>
              <w:spacing w:after="0"/>
              <w:rPr>
                <w:sz w:val="15"/>
                <w:szCs w:val="15"/>
                <w:color w:val="auto"/>
              </w:rPr>
            </w:pPr>
          </w:p>
        </w:tc>
        <w:tc>
          <w:tcPr>
            <w:tcW w:w="240" w:type="dxa"/>
            <w:vAlign w:val="bottom"/>
            <w:shd w:val="clear" w:color="auto" w:fill="CCEEFF"/>
          </w:tcPr>
          <w:p>
            <w:pPr>
              <w:jc w:val="right"/>
              <w:ind w:right="96"/>
              <w:spacing w:after="0"/>
              <w:rPr>
                <w:sz w:val="20"/>
                <w:szCs w:val="20"/>
                <w:color w:val="auto"/>
              </w:rPr>
            </w:pPr>
            <w:r>
              <w:rPr>
                <w:rFonts w:ascii="Arial" w:cs="Arial" w:eastAsia="Arial" w:hAnsi="Arial"/>
                <w:sz w:val="13"/>
                <w:szCs w:val="13"/>
                <w:b w:val="1"/>
                <w:bCs w:val="1"/>
                <w:color w:val="auto"/>
                <w:w w:val="82"/>
              </w:rPr>
              <w:t>$</w:t>
            </w:r>
          </w:p>
        </w:tc>
        <w:tc>
          <w:tcPr>
            <w:tcW w:w="1040" w:type="dxa"/>
            <w:vAlign w:val="bottom"/>
            <w:shd w:val="clear" w:color="auto" w:fill="CCEEFF"/>
          </w:tcPr>
          <w:p>
            <w:pPr>
              <w:jc w:val="right"/>
              <w:spacing w:after="0"/>
              <w:rPr>
                <w:sz w:val="20"/>
                <w:szCs w:val="20"/>
                <w:color w:val="auto"/>
              </w:rPr>
            </w:pPr>
            <w:r>
              <w:rPr>
                <w:rFonts w:ascii="Arial" w:cs="Arial" w:eastAsia="Arial" w:hAnsi="Arial"/>
                <w:sz w:val="13"/>
                <w:szCs w:val="13"/>
                <w:b w:val="1"/>
                <w:bCs w:val="1"/>
                <w:color w:val="auto"/>
              </w:rPr>
              <w:t>6,303</w:t>
            </w:r>
          </w:p>
        </w:tc>
        <w:tc>
          <w:tcPr>
            <w:tcW w:w="22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3"/>
                <w:szCs w:val="13"/>
                <w:b w:val="1"/>
                <w:bCs w:val="1"/>
                <w:color w:val="auto"/>
              </w:rPr>
              <w:t>100.0</w:t>
            </w:r>
          </w:p>
        </w:tc>
        <w:tc>
          <w:tcPr>
            <w:tcW w:w="120" w:type="dxa"/>
            <w:vAlign w:val="bottom"/>
            <w:shd w:val="clear" w:color="auto" w:fill="CCEEFF"/>
          </w:tcPr>
          <w:p>
            <w:pPr>
              <w:spacing w:after="0"/>
              <w:rPr>
                <w:sz w:val="15"/>
                <w:szCs w:val="15"/>
                <w:color w:val="auto"/>
              </w:rPr>
            </w:pPr>
          </w:p>
        </w:tc>
        <w:tc>
          <w:tcPr>
            <w:tcW w:w="34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b w:val="1"/>
                <w:bCs w:val="1"/>
                <w:color w:val="auto"/>
              </w:rPr>
              <w:t>$</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b w:val="1"/>
                <w:bCs w:val="1"/>
                <w:color w:val="auto"/>
              </w:rPr>
              <w:t>7,242</w:t>
            </w:r>
          </w:p>
        </w:tc>
        <w:tc>
          <w:tcPr>
            <w:tcW w:w="140" w:type="dxa"/>
            <w:vAlign w:val="bottom"/>
            <w:shd w:val="clear" w:color="auto" w:fill="CCEEFF"/>
          </w:tcPr>
          <w:p>
            <w:pPr>
              <w:spacing w:after="0"/>
              <w:rPr>
                <w:sz w:val="15"/>
                <w:szCs w:val="15"/>
                <w:color w:val="auto"/>
              </w:rPr>
            </w:pPr>
          </w:p>
        </w:tc>
        <w:tc>
          <w:tcPr>
            <w:tcW w:w="12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b w:val="1"/>
                <w:bCs w:val="1"/>
                <w:color w:val="auto"/>
              </w:rPr>
              <w:t>100.0</w:t>
            </w:r>
          </w:p>
        </w:tc>
        <w:tc>
          <w:tcPr>
            <w:tcW w:w="0" w:type="dxa"/>
            <w:vAlign w:val="bottom"/>
          </w:tcPr>
          <w:p>
            <w:pPr>
              <w:spacing w:after="0"/>
              <w:rPr>
                <w:sz w:val="1"/>
                <w:szCs w:val="1"/>
                <w:color w:val="auto"/>
              </w:rPr>
            </w:pPr>
          </w:p>
        </w:tc>
      </w:tr>
      <w:tr>
        <w:trPr>
          <w:trHeight w:val="29"/>
        </w:trPr>
        <w:tc>
          <w:tcPr>
            <w:tcW w:w="2640" w:type="dxa"/>
            <w:vAlign w:val="bottom"/>
            <w:shd w:val="clear" w:color="auto" w:fill="CCEEFF"/>
          </w:tcPr>
          <w:p>
            <w:pPr>
              <w:spacing w:after="0"/>
              <w:rPr>
                <w:sz w:val="2"/>
                <w:szCs w:val="2"/>
                <w:color w:val="auto"/>
              </w:rPr>
            </w:pPr>
          </w:p>
        </w:tc>
        <w:tc>
          <w:tcPr>
            <w:tcW w:w="920" w:type="dxa"/>
            <w:vAlign w:val="bottom"/>
            <w:shd w:val="clear" w:color="auto" w:fill="000000"/>
          </w:tcPr>
          <w:p>
            <w:pPr>
              <w:spacing w:after="0"/>
              <w:rPr>
                <w:sz w:val="2"/>
                <w:szCs w:val="2"/>
                <w:color w:val="auto"/>
              </w:rPr>
            </w:pPr>
          </w:p>
        </w:tc>
        <w:tc>
          <w:tcPr>
            <w:tcW w:w="36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40" w:type="dxa"/>
            <w:vAlign w:val="bottom"/>
            <w:shd w:val="clear" w:color="auto" w:fill="000000"/>
          </w:tcPr>
          <w:p>
            <w:pPr>
              <w:spacing w:after="0"/>
              <w:rPr>
                <w:sz w:val="2"/>
                <w:szCs w:val="2"/>
                <w:color w:val="auto"/>
              </w:rPr>
            </w:pPr>
          </w:p>
        </w:tc>
        <w:tc>
          <w:tcPr>
            <w:tcW w:w="114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240" w:type="dxa"/>
            <w:vAlign w:val="bottom"/>
            <w:shd w:val="clear" w:color="auto" w:fill="000000"/>
          </w:tcPr>
          <w:p>
            <w:pPr>
              <w:spacing w:after="0"/>
              <w:rPr>
                <w:sz w:val="2"/>
                <w:szCs w:val="2"/>
                <w:color w:val="auto"/>
              </w:rPr>
            </w:pPr>
          </w:p>
        </w:tc>
        <w:tc>
          <w:tcPr>
            <w:tcW w:w="104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40" w:type="dxa"/>
            <w:vAlign w:val="bottom"/>
            <w:shd w:val="clear" w:color="auto" w:fill="000000"/>
          </w:tcPr>
          <w:p>
            <w:pPr>
              <w:spacing w:after="0"/>
              <w:rPr>
                <w:sz w:val="2"/>
                <w:szCs w:val="2"/>
                <w:color w:val="auto"/>
              </w:rPr>
            </w:pPr>
          </w:p>
        </w:tc>
        <w:tc>
          <w:tcPr>
            <w:tcW w:w="1140" w:type="dxa"/>
            <w:vAlign w:val="bottom"/>
            <w:shd w:val="clear" w:color="auto" w:fill="000000"/>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220" w:type="dxa"/>
            <w:vAlign w:val="bottom"/>
            <w:shd w:val="clear" w:color="auto" w:fill="000000"/>
          </w:tcPr>
          <w:p>
            <w:pPr>
              <w:spacing w:after="0"/>
              <w:rPr>
                <w:sz w:val="2"/>
                <w:szCs w:val="2"/>
                <w:color w:val="auto"/>
              </w:rPr>
            </w:pPr>
          </w:p>
        </w:tc>
        <w:tc>
          <w:tcPr>
            <w:tcW w:w="102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40" w:type="dxa"/>
            <w:vAlign w:val="bottom"/>
            <w:shd w:val="clear" w:color="auto" w:fill="000000"/>
          </w:tcPr>
          <w:p>
            <w:pPr>
              <w:spacing w:after="0"/>
              <w:rPr>
                <w:sz w:val="2"/>
                <w:szCs w:val="2"/>
                <w:color w:val="auto"/>
              </w:rPr>
            </w:pPr>
          </w:p>
        </w:tc>
        <w:tc>
          <w:tcPr>
            <w:tcW w:w="1100" w:type="dxa"/>
            <w:vAlign w:val="bottom"/>
            <w:shd w:val="clear" w:color="auto" w:fill="000000"/>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bl>
    <w:p>
      <w:pPr>
        <w:jc w:val="both"/>
        <w:ind w:left="223" w:right="20" w:hanging="223"/>
        <w:spacing w:after="0" w:line="220" w:lineRule="auto"/>
        <w:tabs>
          <w:tab w:leader="none" w:pos="223" w:val="left"/>
        </w:tabs>
        <w:numPr>
          <w:ilvl w:val="0"/>
          <w:numId w:val="17"/>
        </w:numPr>
        <w:rPr>
          <w:rFonts w:ascii="Arial" w:cs="Arial" w:eastAsia="Arial" w:hAnsi="Arial"/>
          <w:sz w:val="21"/>
          <w:szCs w:val="21"/>
          <w:color w:val="auto"/>
          <w:vertAlign w:val="superscript"/>
        </w:rPr>
      </w:pPr>
      <w:r>
        <w:rPr>
          <w:rFonts w:ascii="Arial" w:cs="Arial" w:eastAsia="Arial" w:hAnsi="Arial"/>
          <w:sz w:val="13"/>
          <w:szCs w:val="13"/>
          <w:color w:val="auto"/>
        </w:rPr>
        <w:t>“Other countries” consists of cross-border outstandings to countries in which cross-border outstandings did not exceed 1% for any of the periods indicated. “Other countries” in 2018 was comprised of Germany ($68 million), Jamaica ($22 million), Luxembourg ($18 million), Belgium ($14 million). Bolivia ($14 million), Uruguay ($10 million) and Spain ($9 million). “Other countries” in 2017 was comprised of Germany ($38 million), Nicaragua ($30 million), Jamaica ($25 million), Spain ($22 million), Luxembourg ($20 million), Netherlands ($15 million), Uruguay ($15 million), Bolivia ($15 million) and Belgium ($12 million). “Other countries” in 2016 was comprised of Germany ($50 million), Uruguay ($37 million), Nicaragua ($37 million), Spain ($28 million), Bolivia ($18 million), Luxembourg ($15 million), Multilateral Organizations ($11 million), Jamaica ($7 million), France ($7 million) and Belgium ($4 million).</w:t>
      </w:r>
    </w:p>
    <w:p>
      <w:pPr>
        <w:ind w:left="223" w:hanging="223"/>
        <w:spacing w:after="0" w:line="189" w:lineRule="auto"/>
        <w:tabs>
          <w:tab w:leader="none" w:pos="223" w:val="left"/>
        </w:tabs>
        <w:numPr>
          <w:ilvl w:val="0"/>
          <w:numId w:val="17"/>
        </w:numPr>
        <w:rPr>
          <w:rFonts w:ascii="Arial" w:cs="Arial" w:eastAsia="Arial" w:hAnsi="Arial"/>
          <w:sz w:val="17"/>
          <w:szCs w:val="17"/>
          <w:color w:val="auto"/>
          <w:vertAlign w:val="superscript"/>
        </w:rPr>
      </w:pPr>
      <w:r>
        <w:rPr>
          <w:rFonts w:ascii="Arial" w:cs="Arial" w:eastAsia="Arial" w:hAnsi="Arial"/>
          <w:sz w:val="11"/>
          <w:szCs w:val="11"/>
          <w:color w:val="auto"/>
        </w:rPr>
        <w:t>The outstandings by country does not include loan commitments and financial guarantee contracts, and other assets. See Item 4.B. “Business Overview— Loan Commitments and Financial Guarantee Contracts.”</w:t>
      </w:r>
    </w:p>
    <w:p>
      <w:pPr>
        <w:spacing w:after="0" w:line="146" w:lineRule="exact"/>
        <w:rPr>
          <w:sz w:val="20"/>
          <w:szCs w:val="20"/>
          <w:color w:val="auto"/>
        </w:rPr>
      </w:pPr>
    </w:p>
    <w:p>
      <w:pPr>
        <w:ind w:left="3" w:right="20"/>
        <w:spacing w:after="0" w:line="267" w:lineRule="auto"/>
        <w:rPr>
          <w:sz w:val="20"/>
          <w:szCs w:val="20"/>
          <w:color w:val="auto"/>
        </w:rPr>
      </w:pPr>
      <w:r>
        <w:rPr>
          <w:rFonts w:ascii="Arial" w:cs="Arial" w:eastAsia="Arial" w:hAnsi="Arial"/>
          <w:sz w:val="13"/>
          <w:szCs w:val="13"/>
          <w:color w:val="auto"/>
        </w:rPr>
        <w:t>In allocating country risk limits, the Bank applies a portfolio management approach that takes into consideration several factors, including the Bank’s perception of country risk levels, business opportunities, and economic and political risk analysis.</w:t>
      </w:r>
    </w:p>
    <w:p>
      <w:pPr>
        <w:spacing w:after="0" w:line="129" w:lineRule="exact"/>
        <w:rPr>
          <w:sz w:val="20"/>
          <w:szCs w:val="20"/>
          <w:color w:val="auto"/>
        </w:rPr>
      </w:pPr>
    </w:p>
    <w:p>
      <w:pPr>
        <w:ind w:left="3" w:right="20"/>
        <w:spacing w:after="0" w:line="310" w:lineRule="auto"/>
        <w:rPr>
          <w:sz w:val="20"/>
          <w:szCs w:val="20"/>
          <w:color w:val="auto"/>
        </w:rPr>
      </w:pPr>
      <w:r>
        <w:rPr>
          <w:rFonts w:ascii="Arial" w:cs="Arial" w:eastAsia="Arial" w:hAnsi="Arial"/>
          <w:sz w:val="12"/>
          <w:szCs w:val="12"/>
          <w:color w:val="auto"/>
        </w:rPr>
        <w:t>As of December 31, 2018, overall cross border outstandings totaled $7,674 million, a $1,371 million, or 22%, increase compared to $6,303 million as of December 31, 2017, mainly as a result of the Bank having liquidity above historical levels at the end of 2018, as the Bank obtained funding sources in anticipation of a potential temporary decline in its deposit base which ended-up reverting toward year-end 2018.</w:t>
      </w:r>
    </w:p>
    <w:p>
      <w:pPr>
        <w:spacing w:after="0" w:line="106" w:lineRule="exact"/>
        <w:rPr>
          <w:sz w:val="20"/>
          <w:szCs w:val="20"/>
          <w:color w:val="auto"/>
        </w:rPr>
      </w:pPr>
    </w:p>
    <w:p>
      <w:pPr>
        <w:ind w:left="3" w:right="20"/>
        <w:spacing w:after="0" w:line="310" w:lineRule="auto"/>
        <w:rPr>
          <w:sz w:val="20"/>
          <w:szCs w:val="20"/>
          <w:color w:val="auto"/>
        </w:rPr>
      </w:pPr>
      <w:r>
        <w:rPr>
          <w:rFonts w:ascii="Arial" w:cs="Arial" w:eastAsia="Arial" w:hAnsi="Arial"/>
          <w:sz w:val="12"/>
          <w:szCs w:val="12"/>
          <w:color w:val="auto"/>
        </w:rPr>
        <w:t>Overall cross border outstandings decreased to $6,303 million as of December 31, 2017, from $7,242 million as of December 31, 2016, as the Bank experienced high U.S. dollar liquidity in key markets, and exposures to certain countries were adjusted, most notably in Brazil, along with decreased levels of liquid assets in the form of cash and cash equivalents, mainly placed with the U.S. Federal Reserve Bank.</w:t>
      </w:r>
    </w:p>
    <w:p>
      <w:pPr>
        <w:spacing w:after="0" w:line="106" w:lineRule="exact"/>
        <w:rPr>
          <w:sz w:val="20"/>
          <w:szCs w:val="20"/>
          <w:color w:val="auto"/>
        </w:rPr>
      </w:pPr>
    </w:p>
    <w:p>
      <w:pPr>
        <w:ind w:left="3" w:right="20"/>
        <w:spacing w:after="0" w:line="267" w:lineRule="auto"/>
        <w:rPr>
          <w:sz w:val="20"/>
          <w:szCs w:val="20"/>
          <w:color w:val="auto"/>
        </w:rPr>
      </w:pPr>
      <w:r>
        <w:rPr>
          <w:rFonts w:ascii="Arial" w:cs="Arial" w:eastAsia="Arial" w:hAnsi="Arial"/>
          <w:sz w:val="13"/>
          <w:szCs w:val="13"/>
          <w:color w:val="auto"/>
        </w:rPr>
        <w:t>Cross-border outstanding exposures in countries outside the Region correspond principally to the Bank’s liquidity placements and secured credits related to transactions carried out in the Region. See Item 5, “Operating and Financial Review and Prospects—Liquidity and Capital Resources—Liquidity.”</w:t>
      </w:r>
    </w:p>
    <w:p>
      <w:pPr>
        <w:spacing w:after="0" w:line="278"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33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35" w:name="page36"/>
    <w:bookmarkEnd w:id="35"/>
    <w:p>
      <w:pPr>
        <w:ind w:left="3"/>
        <w:spacing w:after="0"/>
        <w:rPr>
          <w:sz w:val="20"/>
          <w:szCs w:val="20"/>
          <w:color w:val="auto"/>
        </w:rPr>
      </w:pPr>
      <w:r>
        <w:rPr>
          <w:rFonts w:ascii="Arial" w:cs="Arial" w:eastAsia="Arial" w:hAnsi="Arial"/>
          <w:sz w:val="13"/>
          <w:szCs w:val="13"/>
          <w:color w:val="auto"/>
        </w:rPr>
        <w:t>The following table sets forth the amount of the Bank’s cross-border outstandings by type of institution as of December 31 of each year:</w:t>
      </w:r>
    </w:p>
    <w:p>
      <w:pPr>
        <w:spacing w:after="0" w:line="164" w:lineRule="exact"/>
        <w:rPr>
          <w:sz w:val="20"/>
          <w:szCs w:val="20"/>
          <w:color w:val="auto"/>
        </w:rPr>
      </w:pPr>
    </w:p>
    <w:tbl>
      <w:tblPr>
        <w:tblLayout w:type="fixed"/>
        <w:tblInd w:w="3" w:type="dxa"/>
        <w:tblCellMar>
          <w:top w:w="0" w:type="dxa"/>
          <w:left w:w="0" w:type="dxa"/>
          <w:bottom w:w="0" w:type="dxa"/>
          <w:right w:w="0" w:type="dxa"/>
        </w:tblCellMar>
      </w:tblPr>
      <w:tr>
        <w:trPr>
          <w:trHeight w:val="167"/>
        </w:trPr>
        <w:tc>
          <w:tcPr>
            <w:tcW w:w="7120" w:type="dxa"/>
            <w:vAlign w:val="bottom"/>
          </w:tcPr>
          <w:p>
            <w:pPr>
              <w:spacing w:after="0"/>
              <w:rPr>
                <w:sz w:val="14"/>
                <w:szCs w:val="14"/>
                <w:color w:val="auto"/>
              </w:rPr>
            </w:pPr>
          </w:p>
        </w:tc>
        <w:tc>
          <w:tcPr>
            <w:tcW w:w="280" w:type="dxa"/>
            <w:vAlign w:val="bottom"/>
            <w:tcBorders>
              <w:bottom w:val="single" w:sz="8" w:color="auto"/>
            </w:tcBorders>
          </w:tcPr>
          <w:p>
            <w:pPr>
              <w:spacing w:after="0"/>
              <w:rPr>
                <w:sz w:val="14"/>
                <w:szCs w:val="14"/>
                <w:color w:val="auto"/>
              </w:rPr>
            </w:pPr>
          </w:p>
        </w:tc>
        <w:tc>
          <w:tcPr>
            <w:tcW w:w="10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500" w:type="dxa"/>
            <w:vAlign w:val="bottom"/>
            <w:tcBorders>
              <w:bottom w:val="single" w:sz="8" w:color="auto"/>
            </w:tcBorders>
            <w:gridSpan w:val="3"/>
          </w:tcPr>
          <w:p>
            <w:pPr>
              <w:ind w:left="100"/>
              <w:spacing w:after="0"/>
              <w:rPr>
                <w:sz w:val="20"/>
                <w:szCs w:val="20"/>
                <w:color w:val="auto"/>
              </w:rPr>
            </w:pPr>
            <w:r>
              <w:rPr>
                <w:rFonts w:ascii="Arial" w:cs="Arial" w:eastAsia="Arial" w:hAnsi="Arial"/>
                <w:sz w:val="13"/>
                <w:szCs w:val="13"/>
                <w:b w:val="1"/>
                <w:bCs w:val="1"/>
                <w:color w:val="auto"/>
              </w:rPr>
              <w:t>As of December 31,</w:t>
            </w:r>
          </w:p>
        </w:tc>
        <w:tc>
          <w:tcPr>
            <w:tcW w:w="280" w:type="dxa"/>
            <w:vAlign w:val="bottom"/>
            <w:tcBorders>
              <w:bottom w:val="single" w:sz="8" w:color="auto"/>
            </w:tcBorders>
          </w:tcPr>
          <w:p>
            <w:pPr>
              <w:spacing w:after="0"/>
              <w:rPr>
                <w:sz w:val="14"/>
                <w:szCs w:val="14"/>
                <w:color w:val="auto"/>
              </w:rPr>
            </w:pPr>
          </w:p>
        </w:tc>
        <w:tc>
          <w:tcPr>
            <w:tcW w:w="96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r>
      <w:tr>
        <w:trPr>
          <w:trHeight w:val="154"/>
        </w:trPr>
        <w:tc>
          <w:tcPr>
            <w:tcW w:w="7120" w:type="dxa"/>
            <w:vAlign w:val="bottom"/>
          </w:tcPr>
          <w:p>
            <w:pPr>
              <w:spacing w:after="0"/>
              <w:rPr>
                <w:sz w:val="13"/>
                <w:szCs w:val="13"/>
                <w:color w:val="auto"/>
              </w:rPr>
            </w:pPr>
          </w:p>
        </w:tc>
        <w:tc>
          <w:tcPr>
            <w:tcW w:w="280" w:type="dxa"/>
            <w:vAlign w:val="bottom"/>
            <w:tcBorders>
              <w:bottom w:val="single" w:sz="8" w:color="auto"/>
            </w:tcBorders>
          </w:tcPr>
          <w:p>
            <w:pPr>
              <w:spacing w:after="0"/>
              <w:rPr>
                <w:sz w:val="13"/>
                <w:szCs w:val="13"/>
                <w:color w:val="auto"/>
              </w:rPr>
            </w:pPr>
          </w:p>
        </w:tc>
        <w:tc>
          <w:tcPr>
            <w:tcW w:w="1000" w:type="dxa"/>
            <w:vAlign w:val="bottom"/>
            <w:tcBorders>
              <w:bottom w:val="single" w:sz="8" w:color="auto"/>
            </w:tcBorders>
          </w:tcPr>
          <w:p>
            <w:pPr>
              <w:jc w:val="right"/>
              <w:ind w:right="456"/>
              <w:spacing w:after="0"/>
              <w:rPr>
                <w:sz w:val="20"/>
                <w:szCs w:val="20"/>
                <w:color w:val="auto"/>
              </w:rPr>
            </w:pPr>
            <w:r>
              <w:rPr>
                <w:rFonts w:ascii="Arial" w:cs="Arial" w:eastAsia="Arial" w:hAnsi="Arial"/>
                <w:sz w:val="13"/>
                <w:szCs w:val="13"/>
                <w:b w:val="1"/>
                <w:bCs w:val="1"/>
                <w:color w:val="auto"/>
              </w:rPr>
              <w:t>2018</w:t>
            </w:r>
          </w:p>
        </w:tc>
        <w:tc>
          <w:tcPr>
            <w:tcW w:w="220" w:type="dxa"/>
            <w:vAlign w:val="bottom"/>
            <w:tcBorders>
              <w:bottom w:val="single" w:sz="8" w:color="auto"/>
            </w:tcBorders>
          </w:tcPr>
          <w:p>
            <w:pPr>
              <w:spacing w:after="0"/>
              <w:rPr>
                <w:sz w:val="13"/>
                <w:szCs w:val="13"/>
                <w:color w:val="auto"/>
              </w:rPr>
            </w:pPr>
          </w:p>
        </w:tc>
        <w:tc>
          <w:tcPr>
            <w:tcW w:w="500" w:type="dxa"/>
            <w:vAlign w:val="bottom"/>
            <w:tcBorders>
              <w:bottom w:val="single" w:sz="8" w:color="auto"/>
            </w:tcBorders>
          </w:tcPr>
          <w:p>
            <w:pPr>
              <w:spacing w:after="0"/>
              <w:rPr>
                <w:sz w:val="13"/>
                <w:szCs w:val="13"/>
                <w:color w:val="auto"/>
              </w:rPr>
            </w:pPr>
          </w:p>
        </w:tc>
        <w:tc>
          <w:tcPr>
            <w:tcW w:w="780" w:type="dxa"/>
            <w:vAlign w:val="bottom"/>
            <w:tcBorders>
              <w:bottom w:val="single" w:sz="8" w:color="auto"/>
            </w:tcBorders>
          </w:tcPr>
          <w:p>
            <w:pPr>
              <w:jc w:val="right"/>
              <w:ind w:right="456"/>
              <w:spacing w:after="0"/>
              <w:rPr>
                <w:sz w:val="20"/>
                <w:szCs w:val="20"/>
                <w:color w:val="auto"/>
              </w:rPr>
            </w:pPr>
            <w:r>
              <w:rPr>
                <w:rFonts w:ascii="Arial" w:cs="Arial" w:eastAsia="Arial" w:hAnsi="Arial"/>
                <w:sz w:val="13"/>
                <w:szCs w:val="13"/>
                <w:b w:val="1"/>
                <w:bCs w:val="1"/>
                <w:color w:val="auto"/>
                <w:w w:val="82"/>
              </w:rPr>
              <w:t>2017</w:t>
            </w:r>
          </w:p>
        </w:tc>
        <w:tc>
          <w:tcPr>
            <w:tcW w:w="220" w:type="dxa"/>
            <w:vAlign w:val="bottom"/>
            <w:tcBorders>
              <w:bottom w:val="single" w:sz="8" w:color="auto"/>
            </w:tcBorders>
          </w:tcPr>
          <w:p>
            <w:pPr>
              <w:spacing w:after="0"/>
              <w:rPr>
                <w:sz w:val="13"/>
                <w:szCs w:val="13"/>
                <w:color w:val="auto"/>
              </w:rPr>
            </w:pPr>
          </w:p>
        </w:tc>
        <w:tc>
          <w:tcPr>
            <w:tcW w:w="280" w:type="dxa"/>
            <w:vAlign w:val="bottom"/>
            <w:tcBorders>
              <w:bottom w:val="single" w:sz="8" w:color="auto"/>
            </w:tcBorders>
          </w:tcPr>
          <w:p>
            <w:pPr>
              <w:spacing w:after="0"/>
              <w:rPr>
                <w:sz w:val="13"/>
                <w:szCs w:val="13"/>
                <w:color w:val="auto"/>
              </w:rPr>
            </w:pPr>
          </w:p>
        </w:tc>
        <w:tc>
          <w:tcPr>
            <w:tcW w:w="960" w:type="dxa"/>
            <w:vAlign w:val="bottom"/>
            <w:tcBorders>
              <w:bottom w:val="single" w:sz="8" w:color="auto"/>
            </w:tcBorders>
          </w:tcPr>
          <w:p>
            <w:pPr>
              <w:jc w:val="right"/>
              <w:ind w:right="436"/>
              <w:spacing w:after="0"/>
              <w:rPr>
                <w:sz w:val="20"/>
                <w:szCs w:val="20"/>
                <w:color w:val="auto"/>
              </w:rPr>
            </w:pPr>
            <w:r>
              <w:rPr>
                <w:rFonts w:ascii="Arial" w:cs="Arial" w:eastAsia="Arial" w:hAnsi="Arial"/>
                <w:sz w:val="13"/>
                <w:szCs w:val="13"/>
                <w:b w:val="1"/>
                <w:bCs w:val="1"/>
                <w:color w:val="auto"/>
              </w:rPr>
              <w:t>2016</w:t>
            </w:r>
          </w:p>
        </w:tc>
        <w:tc>
          <w:tcPr>
            <w:tcW w:w="120" w:type="dxa"/>
            <w:vAlign w:val="bottom"/>
          </w:tcPr>
          <w:p>
            <w:pPr>
              <w:spacing w:after="0"/>
              <w:rPr>
                <w:sz w:val="13"/>
                <w:szCs w:val="13"/>
                <w:color w:val="auto"/>
              </w:rPr>
            </w:pPr>
          </w:p>
        </w:tc>
      </w:tr>
      <w:tr>
        <w:trPr>
          <w:trHeight w:val="144"/>
        </w:trPr>
        <w:tc>
          <w:tcPr>
            <w:tcW w:w="71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500" w:type="dxa"/>
            <w:vAlign w:val="bottom"/>
          </w:tcPr>
          <w:p>
            <w:pPr>
              <w:jc w:val="right"/>
              <w:spacing w:after="0" w:line="144" w:lineRule="exact"/>
              <w:rPr>
                <w:sz w:val="20"/>
                <w:szCs w:val="20"/>
                <w:color w:val="auto"/>
              </w:rPr>
            </w:pPr>
            <w:r>
              <w:rPr>
                <w:rFonts w:ascii="Arial" w:cs="Arial" w:eastAsia="Arial" w:hAnsi="Arial"/>
                <w:sz w:val="13"/>
                <w:szCs w:val="13"/>
                <w:b w:val="1"/>
                <w:bCs w:val="1"/>
                <w:color w:val="auto"/>
              </w:rPr>
              <w:t>(in $</w:t>
            </w:r>
          </w:p>
        </w:tc>
        <w:tc>
          <w:tcPr>
            <w:tcW w:w="1000" w:type="dxa"/>
            <w:vAlign w:val="bottom"/>
            <w:gridSpan w:val="2"/>
          </w:tcPr>
          <w:p>
            <w:pPr>
              <w:ind w:left="20"/>
              <w:spacing w:after="0" w:line="144" w:lineRule="exact"/>
              <w:rPr>
                <w:sz w:val="20"/>
                <w:szCs w:val="20"/>
                <w:color w:val="auto"/>
              </w:rPr>
            </w:pPr>
            <w:r>
              <w:rPr>
                <w:rFonts w:ascii="Arial" w:cs="Arial" w:eastAsia="Arial" w:hAnsi="Arial"/>
                <w:sz w:val="13"/>
                <w:szCs w:val="13"/>
                <w:b w:val="1"/>
                <w:bCs w:val="1"/>
                <w:color w:val="auto"/>
              </w:rPr>
              <w:t>millions)</w:t>
            </w:r>
          </w:p>
        </w:tc>
        <w:tc>
          <w:tcPr>
            <w:tcW w:w="28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Private sector commercial banks and financial institutions</w:t>
            </w:r>
          </w:p>
        </w:tc>
        <w:tc>
          <w:tcPr>
            <w:tcW w:w="280" w:type="dxa"/>
            <w:vAlign w:val="bottom"/>
            <w:shd w:val="clear" w:color="auto" w:fill="CCEEFF"/>
          </w:tcPr>
          <w:p>
            <w:pPr>
              <w:jc w:val="right"/>
              <w:ind w:right="172"/>
              <w:spacing w:after="0"/>
              <w:rPr>
                <w:sz w:val="20"/>
                <w:szCs w:val="20"/>
                <w:color w:val="auto"/>
              </w:rPr>
            </w:pPr>
            <w:r>
              <w:rPr>
                <w:rFonts w:ascii="Arial" w:cs="Arial" w:eastAsia="Arial" w:hAnsi="Arial"/>
                <w:sz w:val="10"/>
                <w:szCs w:val="10"/>
                <w:color w:val="auto"/>
                <w:w w:val="71"/>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2,546</w:t>
            </w:r>
          </w:p>
        </w:tc>
        <w:tc>
          <w:tcPr>
            <w:tcW w:w="500" w:type="dxa"/>
            <w:vAlign w:val="bottom"/>
            <w:shd w:val="clear" w:color="auto" w:fill="CCEEFF"/>
          </w:tcPr>
          <w:p>
            <w:pPr>
              <w:jc w:val="right"/>
              <w:ind w:right="384"/>
              <w:spacing w:after="0"/>
              <w:rPr>
                <w:sz w:val="20"/>
                <w:szCs w:val="20"/>
                <w:color w:val="auto"/>
              </w:rPr>
            </w:pPr>
            <w:r>
              <w:rPr>
                <w:rFonts w:ascii="Arial" w:cs="Arial" w:eastAsia="Arial" w:hAnsi="Arial"/>
                <w:sz w:val="10"/>
                <w:szCs w:val="10"/>
                <w:color w:val="auto"/>
                <w:w w:val="71"/>
              </w:rPr>
              <w:t>$</w:t>
            </w: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2,168</w:t>
            </w:r>
          </w:p>
        </w:tc>
        <w:tc>
          <w:tcPr>
            <w:tcW w:w="280" w:type="dxa"/>
            <w:vAlign w:val="bottom"/>
            <w:shd w:val="clear" w:color="auto" w:fill="CCEEFF"/>
          </w:tcPr>
          <w:p>
            <w:pPr>
              <w:jc w:val="right"/>
              <w:ind w:right="172"/>
              <w:spacing w:after="0"/>
              <w:rPr>
                <w:sz w:val="20"/>
                <w:szCs w:val="20"/>
                <w:color w:val="auto"/>
              </w:rPr>
            </w:pPr>
            <w:r>
              <w:rPr>
                <w:rFonts w:ascii="Arial" w:cs="Arial" w:eastAsia="Arial" w:hAnsi="Arial"/>
                <w:sz w:val="10"/>
                <w:szCs w:val="10"/>
                <w:color w:val="auto"/>
                <w:w w:val="71"/>
              </w:rPr>
              <w:t>$</w:t>
            </w: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2,184</w:t>
            </w: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State-owned commercial banks and financial institutions</w:t>
            </w:r>
          </w:p>
        </w:tc>
        <w:tc>
          <w:tcPr>
            <w:tcW w:w="280" w:type="dxa"/>
            <w:vAlign w:val="bottom"/>
          </w:tcPr>
          <w:p>
            <w:pPr>
              <w:spacing w:after="0"/>
              <w:rPr>
                <w:sz w:val="13"/>
                <w:szCs w:val="13"/>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681</w:t>
            </w:r>
          </w:p>
        </w:tc>
        <w:tc>
          <w:tcPr>
            <w:tcW w:w="500" w:type="dxa"/>
            <w:vAlign w:val="bottom"/>
          </w:tcPr>
          <w:p>
            <w:pPr>
              <w:spacing w:after="0"/>
              <w:rPr>
                <w:sz w:val="13"/>
                <w:szCs w:val="13"/>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579</w:t>
            </w:r>
          </w:p>
        </w:tc>
        <w:tc>
          <w:tcPr>
            <w:tcW w:w="280" w:type="dxa"/>
            <w:vAlign w:val="bottom"/>
          </w:tcPr>
          <w:p>
            <w:pPr>
              <w:spacing w:after="0"/>
              <w:rPr>
                <w:sz w:val="13"/>
                <w:szCs w:val="13"/>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3"/>
                <w:szCs w:val="13"/>
                <w:color w:val="auto"/>
              </w:rPr>
              <w:t>571</w:t>
            </w: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Central banks</w:t>
            </w: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1,648</w:t>
            </w:r>
          </w:p>
        </w:tc>
        <w:tc>
          <w:tcPr>
            <w:tcW w:w="50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609</w:t>
            </w:r>
          </w:p>
        </w:tc>
        <w:tc>
          <w:tcPr>
            <w:tcW w:w="28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621</w:t>
            </w: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Sovereign debt</w:t>
            </w:r>
          </w:p>
        </w:tc>
        <w:tc>
          <w:tcPr>
            <w:tcW w:w="280" w:type="dxa"/>
            <w:vAlign w:val="bottom"/>
          </w:tcPr>
          <w:p>
            <w:pPr>
              <w:spacing w:after="0"/>
              <w:rPr>
                <w:sz w:val="13"/>
                <w:szCs w:val="13"/>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47</w:t>
            </w:r>
          </w:p>
        </w:tc>
        <w:tc>
          <w:tcPr>
            <w:tcW w:w="500" w:type="dxa"/>
            <w:vAlign w:val="bottom"/>
          </w:tcPr>
          <w:p>
            <w:pPr>
              <w:spacing w:after="0"/>
              <w:rPr>
                <w:sz w:val="13"/>
                <w:szCs w:val="13"/>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49</w:t>
            </w:r>
          </w:p>
        </w:tc>
        <w:tc>
          <w:tcPr>
            <w:tcW w:w="280" w:type="dxa"/>
            <w:vAlign w:val="bottom"/>
          </w:tcPr>
          <w:p>
            <w:pPr>
              <w:spacing w:after="0"/>
              <w:rPr>
                <w:sz w:val="13"/>
                <w:szCs w:val="13"/>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3"/>
                <w:szCs w:val="13"/>
                <w:color w:val="auto"/>
              </w:rPr>
              <w:t>50</w:t>
            </w: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State-owned organizations</w:t>
            </w: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838</w:t>
            </w:r>
          </w:p>
        </w:tc>
        <w:tc>
          <w:tcPr>
            <w:tcW w:w="50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750</w:t>
            </w:r>
          </w:p>
        </w:tc>
        <w:tc>
          <w:tcPr>
            <w:tcW w:w="28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829</w:t>
            </w:r>
          </w:p>
        </w:tc>
      </w:tr>
      <w:tr>
        <w:trPr>
          <w:trHeight w:val="163"/>
        </w:trPr>
        <w:tc>
          <w:tcPr>
            <w:tcW w:w="7120" w:type="dxa"/>
            <w:vAlign w:val="bottom"/>
          </w:tcPr>
          <w:p>
            <w:pPr>
              <w:spacing w:after="0"/>
              <w:rPr>
                <w:sz w:val="20"/>
                <w:szCs w:val="20"/>
                <w:color w:val="auto"/>
              </w:rPr>
            </w:pPr>
            <w:r>
              <w:rPr>
                <w:rFonts w:ascii="Arial" w:cs="Arial" w:eastAsia="Arial" w:hAnsi="Arial"/>
                <w:sz w:val="13"/>
                <w:szCs w:val="13"/>
                <w:color w:val="auto"/>
              </w:rPr>
              <w:t>Private corporations</w:t>
            </w:r>
          </w:p>
        </w:tc>
        <w:tc>
          <w:tcPr>
            <w:tcW w:w="280" w:type="dxa"/>
            <w:vAlign w:val="bottom"/>
          </w:tcPr>
          <w:p>
            <w:pPr>
              <w:spacing w:after="0"/>
              <w:rPr>
                <w:sz w:val="14"/>
                <w:szCs w:val="14"/>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1,914</w:t>
            </w:r>
          </w:p>
        </w:tc>
        <w:tc>
          <w:tcPr>
            <w:tcW w:w="500" w:type="dxa"/>
            <w:vAlign w:val="bottom"/>
          </w:tcPr>
          <w:p>
            <w:pPr>
              <w:spacing w:after="0"/>
              <w:rPr>
                <w:sz w:val="14"/>
                <w:szCs w:val="14"/>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2,148</w:t>
            </w:r>
          </w:p>
        </w:tc>
        <w:tc>
          <w:tcPr>
            <w:tcW w:w="280" w:type="dxa"/>
            <w:vAlign w:val="bottom"/>
          </w:tcPr>
          <w:p>
            <w:pPr>
              <w:spacing w:after="0"/>
              <w:rPr>
                <w:sz w:val="14"/>
                <w:szCs w:val="14"/>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3"/>
                <w:szCs w:val="13"/>
                <w:color w:val="auto"/>
              </w:rPr>
              <w:t>2,987</w:t>
            </w:r>
          </w:p>
        </w:tc>
      </w:tr>
      <w:tr>
        <w:trPr>
          <w:trHeight w:val="162"/>
        </w:trPr>
        <w:tc>
          <w:tcPr>
            <w:tcW w:w="7120" w:type="dxa"/>
            <w:vAlign w:val="bottom"/>
            <w:tcBorders>
              <w:top w:val="single" w:sz="8" w:color="CCEEFF"/>
              <w:bottom w:val="single" w:sz="8" w:color="CCEEFF"/>
            </w:tcBorders>
            <w:shd w:val="clear" w:color="auto" w:fill="CCEEFF"/>
          </w:tcPr>
          <w:p>
            <w:pPr>
              <w:ind w:left="220"/>
              <w:spacing w:after="0" w:line="147" w:lineRule="exact"/>
              <w:rPr>
                <w:sz w:val="20"/>
                <w:szCs w:val="20"/>
                <w:color w:val="auto"/>
              </w:rPr>
            </w:pPr>
            <w:r>
              <w:rPr>
                <w:rFonts w:ascii="Arial" w:cs="Arial" w:eastAsia="Arial" w:hAnsi="Arial"/>
                <w:sz w:val="13"/>
                <w:szCs w:val="13"/>
                <w:b w:val="1"/>
                <w:bCs w:val="1"/>
                <w:color w:val="auto"/>
              </w:rPr>
              <w:t>Total</w:t>
            </w:r>
          </w:p>
        </w:tc>
        <w:tc>
          <w:tcPr>
            <w:tcW w:w="280" w:type="dxa"/>
            <w:vAlign w:val="bottom"/>
            <w:tcBorders>
              <w:top w:val="single" w:sz="8" w:color="auto"/>
              <w:bottom w:val="single" w:sz="8" w:color="auto"/>
            </w:tcBorders>
            <w:shd w:val="clear" w:color="auto" w:fill="CCEEFF"/>
          </w:tcPr>
          <w:p>
            <w:pPr>
              <w:jc w:val="right"/>
              <w:ind w:right="172"/>
              <w:spacing w:after="0"/>
              <w:rPr>
                <w:sz w:val="20"/>
                <w:szCs w:val="20"/>
                <w:color w:val="auto"/>
              </w:rPr>
            </w:pPr>
            <w:r>
              <w:rPr>
                <w:rFonts w:ascii="Arial" w:cs="Arial" w:eastAsia="Arial" w:hAnsi="Arial"/>
                <w:sz w:val="10"/>
                <w:szCs w:val="10"/>
                <w:b w:val="1"/>
                <w:bCs w:val="1"/>
                <w:color w:val="auto"/>
                <w:w w:val="71"/>
              </w:rPr>
              <w:t>$</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7,674</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500" w:type="dxa"/>
            <w:vAlign w:val="bottom"/>
            <w:tcBorders>
              <w:top w:val="single" w:sz="8" w:color="auto"/>
              <w:bottom w:val="single" w:sz="8" w:color="auto"/>
            </w:tcBorders>
            <w:shd w:val="clear" w:color="auto" w:fill="CCEEFF"/>
          </w:tcPr>
          <w:p>
            <w:pPr>
              <w:jc w:val="right"/>
              <w:ind w:right="384"/>
              <w:spacing w:after="0"/>
              <w:rPr>
                <w:sz w:val="20"/>
                <w:szCs w:val="20"/>
                <w:color w:val="auto"/>
              </w:rPr>
            </w:pPr>
            <w:r>
              <w:rPr>
                <w:rFonts w:ascii="Arial" w:cs="Arial" w:eastAsia="Arial" w:hAnsi="Arial"/>
                <w:sz w:val="10"/>
                <w:szCs w:val="10"/>
                <w:b w:val="1"/>
                <w:bCs w:val="1"/>
                <w:color w:val="auto"/>
                <w:w w:val="71"/>
              </w:rPr>
              <w:t>$</w:t>
            </w: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6,303</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280" w:type="dxa"/>
            <w:vAlign w:val="bottom"/>
            <w:tcBorders>
              <w:top w:val="single" w:sz="8" w:color="auto"/>
              <w:bottom w:val="single" w:sz="8" w:color="auto"/>
            </w:tcBorders>
            <w:shd w:val="clear" w:color="auto" w:fill="CCEEFF"/>
          </w:tcPr>
          <w:p>
            <w:pPr>
              <w:jc w:val="right"/>
              <w:ind w:right="172"/>
              <w:spacing w:after="0"/>
              <w:rPr>
                <w:sz w:val="20"/>
                <w:szCs w:val="20"/>
                <w:color w:val="auto"/>
              </w:rPr>
            </w:pPr>
            <w:r>
              <w:rPr>
                <w:rFonts w:ascii="Arial" w:cs="Arial" w:eastAsia="Arial" w:hAnsi="Arial"/>
                <w:sz w:val="10"/>
                <w:szCs w:val="10"/>
                <w:b w:val="1"/>
                <w:bCs w:val="1"/>
                <w:color w:val="auto"/>
                <w:w w:val="71"/>
              </w:rPr>
              <w:t>$</w:t>
            </w: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7,242</w:t>
            </w:r>
          </w:p>
        </w:tc>
        <w:tc>
          <w:tcPr>
            <w:tcW w:w="120" w:type="dxa"/>
            <w:vAlign w:val="bottom"/>
            <w:tcBorders>
              <w:top w:val="single" w:sz="8" w:color="CCEEFF"/>
              <w:bottom w:val="single" w:sz="8" w:color="CCEEFF"/>
            </w:tcBorders>
            <w:shd w:val="clear" w:color="auto" w:fill="CCEEFF"/>
          </w:tcPr>
          <w:p>
            <w:pPr>
              <w:spacing w:after="0"/>
              <w:rPr>
                <w:sz w:val="14"/>
                <w:szCs w:val="14"/>
                <w:color w:val="auto"/>
              </w:rPr>
            </w:pPr>
          </w:p>
        </w:tc>
      </w:tr>
    </w:tbl>
    <w:p>
      <w:pPr>
        <w:spacing w:after="0" w:line="141"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Total Revenues Per Country</w:t>
      </w:r>
    </w:p>
    <w:p>
      <w:pPr>
        <w:spacing w:after="0" w:line="163"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The following table sets forth information regarding the Bank’s total revenues by country at the dates indicated, with total revenues calculated as the sum of net interest income plus total other income, net – which includes fees and commissions, net; gain (loss) on financial instruments, net; and other income, net:</w:t>
      </w:r>
    </w:p>
    <w:p>
      <w:pPr>
        <w:spacing w:after="0" w:line="135" w:lineRule="exact"/>
        <w:rPr>
          <w:sz w:val="20"/>
          <w:szCs w:val="20"/>
          <w:color w:val="auto"/>
        </w:rPr>
      </w:pPr>
    </w:p>
    <w:tbl>
      <w:tblPr>
        <w:tblLayout w:type="fixed"/>
        <w:tblInd w:w="3" w:type="dxa"/>
        <w:tblCellMar>
          <w:top w:w="0" w:type="dxa"/>
          <w:left w:w="0" w:type="dxa"/>
          <w:bottom w:w="0" w:type="dxa"/>
          <w:right w:w="0" w:type="dxa"/>
        </w:tblCellMar>
      </w:tblPr>
      <w:tr>
        <w:trPr>
          <w:trHeight w:val="167"/>
        </w:trPr>
        <w:tc>
          <w:tcPr>
            <w:tcW w:w="7120" w:type="dxa"/>
            <w:vAlign w:val="bottom"/>
          </w:tcPr>
          <w:p>
            <w:pPr>
              <w:spacing w:after="0"/>
              <w:rPr>
                <w:sz w:val="14"/>
                <w:szCs w:val="14"/>
                <w:color w:val="auto"/>
              </w:rPr>
            </w:pPr>
          </w:p>
        </w:tc>
        <w:tc>
          <w:tcPr>
            <w:tcW w:w="280" w:type="dxa"/>
            <w:vAlign w:val="bottom"/>
            <w:tcBorders>
              <w:bottom w:val="single" w:sz="8" w:color="auto"/>
            </w:tcBorders>
          </w:tcPr>
          <w:p>
            <w:pPr>
              <w:spacing w:after="0"/>
              <w:rPr>
                <w:sz w:val="14"/>
                <w:szCs w:val="14"/>
                <w:color w:val="auto"/>
              </w:rPr>
            </w:pPr>
          </w:p>
        </w:tc>
        <w:tc>
          <w:tcPr>
            <w:tcW w:w="3000" w:type="dxa"/>
            <w:vAlign w:val="bottom"/>
            <w:tcBorders>
              <w:bottom w:val="single" w:sz="8" w:color="auto"/>
            </w:tcBorders>
            <w:gridSpan w:val="6"/>
          </w:tcPr>
          <w:p>
            <w:pPr>
              <w:jc w:val="right"/>
              <w:ind w:right="192"/>
              <w:spacing w:after="0"/>
              <w:rPr>
                <w:sz w:val="20"/>
                <w:szCs w:val="20"/>
                <w:color w:val="auto"/>
              </w:rPr>
            </w:pPr>
            <w:r>
              <w:rPr>
                <w:rFonts w:ascii="Arial" w:cs="Arial" w:eastAsia="Arial" w:hAnsi="Arial"/>
                <w:sz w:val="13"/>
                <w:szCs w:val="13"/>
                <w:b w:val="1"/>
                <w:bCs w:val="1"/>
                <w:color w:val="auto"/>
              </w:rPr>
              <w:t>For the year ended December 31,</w:t>
            </w:r>
          </w:p>
        </w:tc>
        <w:tc>
          <w:tcPr>
            <w:tcW w:w="96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154"/>
        </w:trPr>
        <w:tc>
          <w:tcPr>
            <w:tcW w:w="7120" w:type="dxa"/>
            <w:vAlign w:val="bottom"/>
          </w:tcPr>
          <w:p>
            <w:pPr>
              <w:spacing w:after="0"/>
              <w:rPr>
                <w:sz w:val="13"/>
                <w:szCs w:val="13"/>
                <w:color w:val="auto"/>
              </w:rPr>
            </w:pPr>
          </w:p>
        </w:tc>
        <w:tc>
          <w:tcPr>
            <w:tcW w:w="280" w:type="dxa"/>
            <w:vAlign w:val="bottom"/>
            <w:tcBorders>
              <w:bottom w:val="single" w:sz="8" w:color="auto"/>
            </w:tcBorders>
          </w:tcPr>
          <w:p>
            <w:pPr>
              <w:spacing w:after="0"/>
              <w:rPr>
                <w:sz w:val="13"/>
                <w:szCs w:val="13"/>
                <w:color w:val="auto"/>
              </w:rPr>
            </w:pPr>
          </w:p>
        </w:tc>
        <w:tc>
          <w:tcPr>
            <w:tcW w:w="1000" w:type="dxa"/>
            <w:vAlign w:val="bottom"/>
            <w:tcBorders>
              <w:bottom w:val="single" w:sz="8" w:color="auto"/>
            </w:tcBorders>
          </w:tcPr>
          <w:p>
            <w:pPr>
              <w:jc w:val="right"/>
              <w:ind w:right="456"/>
              <w:spacing w:after="0"/>
              <w:rPr>
                <w:sz w:val="20"/>
                <w:szCs w:val="20"/>
                <w:color w:val="auto"/>
              </w:rPr>
            </w:pPr>
            <w:r>
              <w:rPr>
                <w:rFonts w:ascii="Arial" w:cs="Arial" w:eastAsia="Arial" w:hAnsi="Arial"/>
                <w:sz w:val="13"/>
                <w:szCs w:val="13"/>
                <w:b w:val="1"/>
                <w:bCs w:val="1"/>
                <w:color w:val="auto"/>
              </w:rPr>
              <w:t>2018</w:t>
            </w:r>
          </w:p>
        </w:tc>
        <w:tc>
          <w:tcPr>
            <w:tcW w:w="220" w:type="dxa"/>
            <w:vAlign w:val="bottom"/>
            <w:tcBorders>
              <w:bottom w:val="single" w:sz="8" w:color="auto"/>
            </w:tcBorders>
          </w:tcPr>
          <w:p>
            <w:pPr>
              <w:spacing w:after="0"/>
              <w:rPr>
                <w:sz w:val="13"/>
                <w:szCs w:val="13"/>
                <w:color w:val="auto"/>
              </w:rPr>
            </w:pPr>
          </w:p>
        </w:tc>
        <w:tc>
          <w:tcPr>
            <w:tcW w:w="500" w:type="dxa"/>
            <w:vAlign w:val="bottom"/>
            <w:tcBorders>
              <w:bottom w:val="single" w:sz="8" w:color="auto"/>
            </w:tcBorders>
          </w:tcPr>
          <w:p>
            <w:pPr>
              <w:spacing w:after="0"/>
              <w:rPr>
                <w:sz w:val="13"/>
                <w:szCs w:val="13"/>
                <w:color w:val="auto"/>
              </w:rPr>
            </w:pPr>
          </w:p>
        </w:tc>
        <w:tc>
          <w:tcPr>
            <w:tcW w:w="780" w:type="dxa"/>
            <w:vAlign w:val="bottom"/>
            <w:tcBorders>
              <w:bottom w:val="single" w:sz="8" w:color="auto"/>
            </w:tcBorders>
          </w:tcPr>
          <w:p>
            <w:pPr>
              <w:jc w:val="right"/>
              <w:ind w:right="456"/>
              <w:spacing w:after="0"/>
              <w:rPr>
                <w:sz w:val="20"/>
                <w:szCs w:val="20"/>
                <w:color w:val="auto"/>
              </w:rPr>
            </w:pPr>
            <w:r>
              <w:rPr>
                <w:rFonts w:ascii="Arial" w:cs="Arial" w:eastAsia="Arial" w:hAnsi="Arial"/>
                <w:sz w:val="13"/>
                <w:szCs w:val="13"/>
                <w:b w:val="1"/>
                <w:bCs w:val="1"/>
                <w:color w:val="auto"/>
                <w:w w:val="82"/>
              </w:rPr>
              <w:t>2017</w:t>
            </w:r>
          </w:p>
        </w:tc>
        <w:tc>
          <w:tcPr>
            <w:tcW w:w="220" w:type="dxa"/>
            <w:vAlign w:val="bottom"/>
            <w:tcBorders>
              <w:bottom w:val="single" w:sz="8" w:color="auto"/>
            </w:tcBorders>
          </w:tcPr>
          <w:p>
            <w:pPr>
              <w:spacing w:after="0"/>
              <w:rPr>
                <w:sz w:val="13"/>
                <w:szCs w:val="13"/>
                <w:color w:val="auto"/>
              </w:rPr>
            </w:pPr>
          </w:p>
        </w:tc>
        <w:tc>
          <w:tcPr>
            <w:tcW w:w="280" w:type="dxa"/>
            <w:vAlign w:val="bottom"/>
            <w:tcBorders>
              <w:bottom w:val="single" w:sz="8" w:color="auto"/>
            </w:tcBorders>
          </w:tcPr>
          <w:p>
            <w:pPr>
              <w:spacing w:after="0"/>
              <w:rPr>
                <w:sz w:val="13"/>
                <w:szCs w:val="13"/>
                <w:color w:val="auto"/>
              </w:rPr>
            </w:pPr>
          </w:p>
        </w:tc>
        <w:tc>
          <w:tcPr>
            <w:tcW w:w="960" w:type="dxa"/>
            <w:vAlign w:val="bottom"/>
            <w:tcBorders>
              <w:bottom w:val="single" w:sz="8" w:color="auto"/>
            </w:tcBorders>
          </w:tcPr>
          <w:p>
            <w:pPr>
              <w:jc w:val="right"/>
              <w:ind w:right="436"/>
              <w:spacing w:after="0"/>
              <w:rPr>
                <w:sz w:val="20"/>
                <w:szCs w:val="20"/>
                <w:color w:val="auto"/>
              </w:rPr>
            </w:pPr>
            <w:r>
              <w:rPr>
                <w:rFonts w:ascii="Arial" w:cs="Arial" w:eastAsia="Arial" w:hAnsi="Arial"/>
                <w:sz w:val="13"/>
                <w:szCs w:val="13"/>
                <w:b w:val="1"/>
                <w:bCs w:val="1"/>
                <w:color w:val="auto"/>
              </w:rPr>
              <w:t>2016</w:t>
            </w: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44"/>
        </w:trPr>
        <w:tc>
          <w:tcPr>
            <w:tcW w:w="71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500" w:type="dxa"/>
            <w:vAlign w:val="bottom"/>
          </w:tcPr>
          <w:p>
            <w:pPr>
              <w:jc w:val="right"/>
              <w:spacing w:after="0" w:line="144" w:lineRule="exact"/>
              <w:rPr>
                <w:sz w:val="20"/>
                <w:szCs w:val="20"/>
                <w:color w:val="auto"/>
              </w:rPr>
            </w:pPr>
            <w:r>
              <w:rPr>
                <w:rFonts w:ascii="Arial" w:cs="Arial" w:eastAsia="Arial" w:hAnsi="Arial"/>
                <w:sz w:val="13"/>
                <w:szCs w:val="13"/>
                <w:b w:val="1"/>
                <w:bCs w:val="1"/>
                <w:color w:val="auto"/>
              </w:rPr>
              <w:t>(in $</w:t>
            </w:r>
          </w:p>
        </w:tc>
        <w:tc>
          <w:tcPr>
            <w:tcW w:w="1000" w:type="dxa"/>
            <w:vAlign w:val="bottom"/>
            <w:gridSpan w:val="2"/>
          </w:tcPr>
          <w:p>
            <w:pPr>
              <w:ind w:left="20"/>
              <w:spacing w:after="0" w:line="144" w:lineRule="exact"/>
              <w:rPr>
                <w:sz w:val="20"/>
                <w:szCs w:val="20"/>
                <w:color w:val="auto"/>
              </w:rPr>
            </w:pPr>
            <w:r>
              <w:rPr>
                <w:rFonts w:ascii="Arial" w:cs="Arial" w:eastAsia="Arial" w:hAnsi="Arial"/>
                <w:sz w:val="13"/>
                <w:szCs w:val="13"/>
                <w:b w:val="1"/>
                <w:bCs w:val="1"/>
                <w:color w:val="auto"/>
              </w:rPr>
              <w:t>millions)</w:t>
            </w:r>
          </w:p>
        </w:tc>
        <w:tc>
          <w:tcPr>
            <w:tcW w:w="28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Argentina</w:t>
            </w:r>
          </w:p>
        </w:tc>
        <w:tc>
          <w:tcPr>
            <w:tcW w:w="280" w:type="dxa"/>
            <w:vAlign w:val="bottom"/>
            <w:shd w:val="clear" w:color="auto" w:fill="CCEEFF"/>
          </w:tcPr>
          <w:p>
            <w:pPr>
              <w:jc w:val="right"/>
              <w:ind w:right="172"/>
              <w:spacing w:after="0"/>
              <w:rPr>
                <w:sz w:val="20"/>
                <w:szCs w:val="20"/>
                <w:color w:val="auto"/>
              </w:rPr>
            </w:pPr>
            <w:r>
              <w:rPr>
                <w:rFonts w:ascii="Arial" w:cs="Arial" w:eastAsia="Arial" w:hAnsi="Arial"/>
                <w:sz w:val="10"/>
                <w:szCs w:val="10"/>
                <w:color w:val="auto"/>
                <w:w w:val="71"/>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10.0</w:t>
            </w:r>
          </w:p>
        </w:tc>
        <w:tc>
          <w:tcPr>
            <w:tcW w:w="500" w:type="dxa"/>
            <w:vAlign w:val="bottom"/>
            <w:shd w:val="clear" w:color="auto" w:fill="CCEEFF"/>
          </w:tcPr>
          <w:p>
            <w:pPr>
              <w:jc w:val="right"/>
              <w:ind w:right="387"/>
              <w:spacing w:after="0"/>
              <w:rPr>
                <w:sz w:val="20"/>
                <w:szCs w:val="20"/>
                <w:color w:val="auto"/>
              </w:rPr>
            </w:pPr>
            <w:r>
              <w:rPr>
                <w:rFonts w:ascii="Arial" w:cs="Arial" w:eastAsia="Arial" w:hAnsi="Arial"/>
                <w:sz w:val="10"/>
                <w:szCs w:val="10"/>
                <w:color w:val="auto"/>
                <w:w w:val="71"/>
              </w:rPr>
              <w:t>$</w:t>
            </w: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7.0</w:t>
            </w:r>
          </w:p>
        </w:tc>
        <w:tc>
          <w:tcPr>
            <w:tcW w:w="280" w:type="dxa"/>
            <w:vAlign w:val="bottom"/>
            <w:shd w:val="clear" w:color="auto" w:fill="CCEEFF"/>
          </w:tcPr>
          <w:p>
            <w:pPr>
              <w:jc w:val="right"/>
              <w:ind w:right="172"/>
              <w:spacing w:after="0"/>
              <w:rPr>
                <w:sz w:val="20"/>
                <w:szCs w:val="20"/>
                <w:color w:val="auto"/>
              </w:rPr>
            </w:pPr>
            <w:r>
              <w:rPr>
                <w:rFonts w:ascii="Arial" w:cs="Arial" w:eastAsia="Arial" w:hAnsi="Arial"/>
                <w:sz w:val="10"/>
                <w:szCs w:val="10"/>
                <w:color w:val="auto"/>
                <w:w w:val="71"/>
              </w:rPr>
              <w:t>$</w:t>
            </w: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11.2</w:t>
            </w:r>
          </w:p>
        </w:tc>
        <w:tc>
          <w:tcPr>
            <w:tcW w:w="100" w:type="dxa"/>
            <w:vAlign w:val="bottom"/>
            <w:shd w:val="clear" w:color="auto" w:fill="CCEEFF"/>
          </w:tcPr>
          <w:p>
            <w:pPr>
              <w:spacing w:after="0"/>
              <w:rPr>
                <w:sz w:val="13"/>
                <w:szCs w:val="13"/>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Brazil</w:t>
            </w:r>
          </w:p>
        </w:tc>
        <w:tc>
          <w:tcPr>
            <w:tcW w:w="280" w:type="dxa"/>
            <w:vAlign w:val="bottom"/>
          </w:tcPr>
          <w:p>
            <w:pPr>
              <w:spacing w:after="0"/>
              <w:rPr>
                <w:sz w:val="13"/>
                <w:szCs w:val="13"/>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17.9</w:t>
            </w:r>
          </w:p>
        </w:tc>
        <w:tc>
          <w:tcPr>
            <w:tcW w:w="500" w:type="dxa"/>
            <w:vAlign w:val="bottom"/>
          </w:tcPr>
          <w:p>
            <w:pPr>
              <w:spacing w:after="0"/>
              <w:rPr>
                <w:sz w:val="13"/>
                <w:szCs w:val="13"/>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27.9</w:t>
            </w:r>
          </w:p>
        </w:tc>
        <w:tc>
          <w:tcPr>
            <w:tcW w:w="280" w:type="dxa"/>
            <w:vAlign w:val="bottom"/>
          </w:tcPr>
          <w:p>
            <w:pPr>
              <w:spacing w:after="0"/>
              <w:rPr>
                <w:sz w:val="13"/>
                <w:szCs w:val="13"/>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3"/>
                <w:szCs w:val="13"/>
                <w:color w:val="auto"/>
              </w:rPr>
              <w:t>34.7</w:t>
            </w:r>
          </w:p>
        </w:tc>
        <w:tc>
          <w:tcPr>
            <w:tcW w:w="100" w:type="dxa"/>
            <w:vAlign w:val="bottom"/>
          </w:tcPr>
          <w:p>
            <w:pPr>
              <w:spacing w:after="0"/>
              <w:rPr>
                <w:sz w:val="13"/>
                <w:szCs w:val="13"/>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Chile</w:t>
            </w: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2.6</w:t>
            </w:r>
          </w:p>
        </w:tc>
        <w:tc>
          <w:tcPr>
            <w:tcW w:w="50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2.2</w:t>
            </w:r>
          </w:p>
        </w:tc>
        <w:tc>
          <w:tcPr>
            <w:tcW w:w="28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3.0</w:t>
            </w:r>
          </w:p>
        </w:tc>
        <w:tc>
          <w:tcPr>
            <w:tcW w:w="100" w:type="dxa"/>
            <w:vAlign w:val="bottom"/>
            <w:shd w:val="clear" w:color="auto" w:fill="CCEEFF"/>
          </w:tcPr>
          <w:p>
            <w:pPr>
              <w:spacing w:after="0"/>
              <w:rPr>
                <w:sz w:val="13"/>
                <w:szCs w:val="13"/>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Colombia</w:t>
            </w:r>
          </w:p>
        </w:tc>
        <w:tc>
          <w:tcPr>
            <w:tcW w:w="280" w:type="dxa"/>
            <w:vAlign w:val="bottom"/>
          </w:tcPr>
          <w:p>
            <w:pPr>
              <w:spacing w:after="0"/>
              <w:rPr>
                <w:sz w:val="13"/>
                <w:szCs w:val="13"/>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15.4</w:t>
            </w:r>
          </w:p>
        </w:tc>
        <w:tc>
          <w:tcPr>
            <w:tcW w:w="500" w:type="dxa"/>
            <w:vAlign w:val="bottom"/>
          </w:tcPr>
          <w:p>
            <w:pPr>
              <w:spacing w:after="0"/>
              <w:rPr>
                <w:sz w:val="13"/>
                <w:szCs w:val="13"/>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18.5</w:t>
            </w:r>
          </w:p>
        </w:tc>
        <w:tc>
          <w:tcPr>
            <w:tcW w:w="280" w:type="dxa"/>
            <w:vAlign w:val="bottom"/>
          </w:tcPr>
          <w:p>
            <w:pPr>
              <w:spacing w:after="0"/>
              <w:rPr>
                <w:sz w:val="13"/>
                <w:szCs w:val="13"/>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3"/>
                <w:szCs w:val="13"/>
                <w:color w:val="auto"/>
              </w:rPr>
              <w:t>17.1</w:t>
            </w:r>
          </w:p>
        </w:tc>
        <w:tc>
          <w:tcPr>
            <w:tcW w:w="100" w:type="dxa"/>
            <w:vAlign w:val="bottom"/>
          </w:tcPr>
          <w:p>
            <w:pPr>
              <w:spacing w:after="0"/>
              <w:rPr>
                <w:sz w:val="13"/>
                <w:szCs w:val="13"/>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Costa Rica</w:t>
            </w: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11.1</w:t>
            </w:r>
          </w:p>
        </w:tc>
        <w:tc>
          <w:tcPr>
            <w:tcW w:w="50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11.8</w:t>
            </w:r>
          </w:p>
        </w:tc>
        <w:tc>
          <w:tcPr>
            <w:tcW w:w="28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9.8</w:t>
            </w:r>
          </w:p>
        </w:tc>
        <w:tc>
          <w:tcPr>
            <w:tcW w:w="100" w:type="dxa"/>
            <w:vAlign w:val="bottom"/>
            <w:shd w:val="clear" w:color="auto" w:fill="CCEEFF"/>
          </w:tcPr>
          <w:p>
            <w:pPr>
              <w:spacing w:after="0"/>
              <w:rPr>
                <w:sz w:val="13"/>
                <w:szCs w:val="13"/>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Dominican Republic</w:t>
            </w:r>
          </w:p>
        </w:tc>
        <w:tc>
          <w:tcPr>
            <w:tcW w:w="280" w:type="dxa"/>
            <w:vAlign w:val="bottom"/>
          </w:tcPr>
          <w:p>
            <w:pPr>
              <w:spacing w:after="0"/>
              <w:rPr>
                <w:sz w:val="13"/>
                <w:szCs w:val="13"/>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4.1</w:t>
            </w:r>
          </w:p>
        </w:tc>
        <w:tc>
          <w:tcPr>
            <w:tcW w:w="500" w:type="dxa"/>
            <w:vAlign w:val="bottom"/>
          </w:tcPr>
          <w:p>
            <w:pPr>
              <w:spacing w:after="0"/>
              <w:rPr>
                <w:sz w:val="13"/>
                <w:szCs w:val="13"/>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2.9</w:t>
            </w:r>
          </w:p>
        </w:tc>
        <w:tc>
          <w:tcPr>
            <w:tcW w:w="280" w:type="dxa"/>
            <w:vAlign w:val="bottom"/>
          </w:tcPr>
          <w:p>
            <w:pPr>
              <w:spacing w:after="0"/>
              <w:rPr>
                <w:sz w:val="13"/>
                <w:szCs w:val="13"/>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3"/>
                <w:szCs w:val="13"/>
                <w:color w:val="auto"/>
              </w:rPr>
              <w:t>5.1</w:t>
            </w:r>
          </w:p>
        </w:tc>
        <w:tc>
          <w:tcPr>
            <w:tcW w:w="100" w:type="dxa"/>
            <w:vAlign w:val="bottom"/>
          </w:tcPr>
          <w:p>
            <w:pPr>
              <w:spacing w:after="0"/>
              <w:rPr>
                <w:sz w:val="13"/>
                <w:szCs w:val="13"/>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Ecuador</w:t>
            </w: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10.4</w:t>
            </w:r>
          </w:p>
        </w:tc>
        <w:tc>
          <w:tcPr>
            <w:tcW w:w="50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9.5</w:t>
            </w:r>
          </w:p>
        </w:tc>
        <w:tc>
          <w:tcPr>
            <w:tcW w:w="28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7.2</w:t>
            </w:r>
          </w:p>
        </w:tc>
        <w:tc>
          <w:tcPr>
            <w:tcW w:w="100" w:type="dxa"/>
            <w:vAlign w:val="bottom"/>
            <w:shd w:val="clear" w:color="auto" w:fill="CCEEFF"/>
          </w:tcPr>
          <w:p>
            <w:pPr>
              <w:spacing w:after="0"/>
              <w:rPr>
                <w:sz w:val="13"/>
                <w:szCs w:val="13"/>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El Salvador</w:t>
            </w:r>
          </w:p>
        </w:tc>
        <w:tc>
          <w:tcPr>
            <w:tcW w:w="280" w:type="dxa"/>
            <w:vAlign w:val="bottom"/>
          </w:tcPr>
          <w:p>
            <w:pPr>
              <w:spacing w:after="0"/>
              <w:rPr>
                <w:sz w:val="13"/>
                <w:szCs w:val="13"/>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1.5</w:t>
            </w:r>
          </w:p>
        </w:tc>
        <w:tc>
          <w:tcPr>
            <w:tcW w:w="500" w:type="dxa"/>
            <w:vAlign w:val="bottom"/>
          </w:tcPr>
          <w:p>
            <w:pPr>
              <w:spacing w:after="0"/>
              <w:rPr>
                <w:sz w:val="13"/>
                <w:szCs w:val="13"/>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2.5</w:t>
            </w:r>
          </w:p>
        </w:tc>
        <w:tc>
          <w:tcPr>
            <w:tcW w:w="280" w:type="dxa"/>
            <w:vAlign w:val="bottom"/>
          </w:tcPr>
          <w:p>
            <w:pPr>
              <w:spacing w:after="0"/>
              <w:rPr>
                <w:sz w:val="13"/>
                <w:szCs w:val="13"/>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3"/>
                <w:szCs w:val="13"/>
                <w:color w:val="auto"/>
              </w:rPr>
              <w:t>3.0</w:t>
            </w:r>
          </w:p>
        </w:tc>
        <w:tc>
          <w:tcPr>
            <w:tcW w:w="100" w:type="dxa"/>
            <w:vAlign w:val="bottom"/>
          </w:tcPr>
          <w:p>
            <w:pPr>
              <w:spacing w:after="0"/>
              <w:rPr>
                <w:sz w:val="13"/>
                <w:szCs w:val="13"/>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Germany</w:t>
            </w: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2.0</w:t>
            </w:r>
          </w:p>
        </w:tc>
        <w:tc>
          <w:tcPr>
            <w:tcW w:w="50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2.4</w:t>
            </w:r>
          </w:p>
        </w:tc>
        <w:tc>
          <w:tcPr>
            <w:tcW w:w="28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3.1</w:t>
            </w:r>
          </w:p>
        </w:tc>
        <w:tc>
          <w:tcPr>
            <w:tcW w:w="100" w:type="dxa"/>
            <w:vAlign w:val="bottom"/>
            <w:shd w:val="clear" w:color="auto" w:fill="CCEEFF"/>
          </w:tcPr>
          <w:p>
            <w:pPr>
              <w:spacing w:after="0"/>
              <w:rPr>
                <w:sz w:val="13"/>
                <w:szCs w:val="13"/>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Guatemala</w:t>
            </w:r>
          </w:p>
        </w:tc>
        <w:tc>
          <w:tcPr>
            <w:tcW w:w="280" w:type="dxa"/>
            <w:vAlign w:val="bottom"/>
          </w:tcPr>
          <w:p>
            <w:pPr>
              <w:spacing w:after="0"/>
              <w:rPr>
                <w:sz w:val="13"/>
                <w:szCs w:val="13"/>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7.5</w:t>
            </w:r>
          </w:p>
        </w:tc>
        <w:tc>
          <w:tcPr>
            <w:tcW w:w="500" w:type="dxa"/>
            <w:vAlign w:val="bottom"/>
          </w:tcPr>
          <w:p>
            <w:pPr>
              <w:spacing w:after="0"/>
              <w:rPr>
                <w:sz w:val="13"/>
                <w:szCs w:val="13"/>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7.0</w:t>
            </w:r>
          </w:p>
        </w:tc>
        <w:tc>
          <w:tcPr>
            <w:tcW w:w="280" w:type="dxa"/>
            <w:vAlign w:val="bottom"/>
          </w:tcPr>
          <w:p>
            <w:pPr>
              <w:spacing w:after="0"/>
              <w:rPr>
                <w:sz w:val="13"/>
                <w:szCs w:val="13"/>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3"/>
                <w:szCs w:val="13"/>
                <w:color w:val="auto"/>
              </w:rPr>
              <w:t>9.4</w:t>
            </w:r>
          </w:p>
        </w:tc>
        <w:tc>
          <w:tcPr>
            <w:tcW w:w="100" w:type="dxa"/>
            <w:vAlign w:val="bottom"/>
          </w:tcPr>
          <w:p>
            <w:pPr>
              <w:spacing w:after="0"/>
              <w:rPr>
                <w:sz w:val="13"/>
                <w:szCs w:val="13"/>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Honduras</w:t>
            </w: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2.4</w:t>
            </w:r>
          </w:p>
        </w:tc>
        <w:tc>
          <w:tcPr>
            <w:tcW w:w="50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2.3</w:t>
            </w:r>
          </w:p>
        </w:tc>
        <w:tc>
          <w:tcPr>
            <w:tcW w:w="28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4.0</w:t>
            </w:r>
          </w:p>
        </w:tc>
        <w:tc>
          <w:tcPr>
            <w:tcW w:w="100" w:type="dxa"/>
            <w:vAlign w:val="bottom"/>
            <w:shd w:val="clear" w:color="auto" w:fill="CCEEFF"/>
          </w:tcPr>
          <w:p>
            <w:pPr>
              <w:spacing w:after="0"/>
              <w:rPr>
                <w:sz w:val="13"/>
                <w:szCs w:val="13"/>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Jamaica</w:t>
            </w:r>
          </w:p>
        </w:tc>
        <w:tc>
          <w:tcPr>
            <w:tcW w:w="280" w:type="dxa"/>
            <w:vAlign w:val="bottom"/>
          </w:tcPr>
          <w:p>
            <w:pPr>
              <w:spacing w:after="0"/>
              <w:rPr>
                <w:sz w:val="13"/>
                <w:szCs w:val="13"/>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2.1</w:t>
            </w:r>
          </w:p>
        </w:tc>
        <w:tc>
          <w:tcPr>
            <w:tcW w:w="500" w:type="dxa"/>
            <w:vAlign w:val="bottom"/>
          </w:tcPr>
          <w:p>
            <w:pPr>
              <w:spacing w:after="0"/>
              <w:rPr>
                <w:sz w:val="13"/>
                <w:szCs w:val="13"/>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1.6</w:t>
            </w:r>
          </w:p>
        </w:tc>
        <w:tc>
          <w:tcPr>
            <w:tcW w:w="280" w:type="dxa"/>
            <w:vAlign w:val="bottom"/>
          </w:tcPr>
          <w:p>
            <w:pPr>
              <w:spacing w:after="0"/>
              <w:rPr>
                <w:sz w:val="13"/>
                <w:szCs w:val="13"/>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3"/>
                <w:szCs w:val="13"/>
                <w:color w:val="auto"/>
              </w:rPr>
              <w:t>1.2</w:t>
            </w:r>
          </w:p>
        </w:tc>
        <w:tc>
          <w:tcPr>
            <w:tcW w:w="100" w:type="dxa"/>
            <w:vAlign w:val="bottom"/>
          </w:tcPr>
          <w:p>
            <w:pPr>
              <w:spacing w:after="0"/>
              <w:rPr>
                <w:sz w:val="13"/>
                <w:szCs w:val="13"/>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Mexico</w:t>
            </w: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14.6</w:t>
            </w:r>
          </w:p>
        </w:tc>
        <w:tc>
          <w:tcPr>
            <w:tcW w:w="50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17.5</w:t>
            </w:r>
          </w:p>
        </w:tc>
        <w:tc>
          <w:tcPr>
            <w:tcW w:w="28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21.2</w:t>
            </w:r>
          </w:p>
        </w:tc>
        <w:tc>
          <w:tcPr>
            <w:tcW w:w="100" w:type="dxa"/>
            <w:vAlign w:val="bottom"/>
            <w:shd w:val="clear" w:color="auto" w:fill="CCEEFF"/>
          </w:tcPr>
          <w:p>
            <w:pPr>
              <w:spacing w:after="0"/>
              <w:rPr>
                <w:sz w:val="13"/>
                <w:szCs w:val="13"/>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Panama</w:t>
            </w:r>
          </w:p>
        </w:tc>
        <w:tc>
          <w:tcPr>
            <w:tcW w:w="280" w:type="dxa"/>
            <w:vAlign w:val="bottom"/>
          </w:tcPr>
          <w:p>
            <w:pPr>
              <w:spacing w:after="0"/>
              <w:rPr>
                <w:sz w:val="13"/>
                <w:szCs w:val="13"/>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13.9</w:t>
            </w:r>
          </w:p>
        </w:tc>
        <w:tc>
          <w:tcPr>
            <w:tcW w:w="500" w:type="dxa"/>
            <w:vAlign w:val="bottom"/>
          </w:tcPr>
          <w:p>
            <w:pPr>
              <w:spacing w:after="0"/>
              <w:rPr>
                <w:sz w:val="13"/>
                <w:szCs w:val="13"/>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10.8</w:t>
            </w:r>
          </w:p>
        </w:tc>
        <w:tc>
          <w:tcPr>
            <w:tcW w:w="280" w:type="dxa"/>
            <w:vAlign w:val="bottom"/>
          </w:tcPr>
          <w:p>
            <w:pPr>
              <w:spacing w:after="0"/>
              <w:rPr>
                <w:sz w:val="13"/>
                <w:szCs w:val="13"/>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3"/>
                <w:szCs w:val="13"/>
                <w:color w:val="auto"/>
              </w:rPr>
              <w:t>14.9</w:t>
            </w:r>
          </w:p>
        </w:tc>
        <w:tc>
          <w:tcPr>
            <w:tcW w:w="100" w:type="dxa"/>
            <w:vAlign w:val="bottom"/>
          </w:tcPr>
          <w:p>
            <w:pPr>
              <w:spacing w:after="0"/>
              <w:rPr>
                <w:sz w:val="13"/>
                <w:szCs w:val="13"/>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Paraguay</w:t>
            </w: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1.6</w:t>
            </w:r>
          </w:p>
        </w:tc>
        <w:tc>
          <w:tcPr>
            <w:tcW w:w="50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1.9</w:t>
            </w:r>
          </w:p>
        </w:tc>
        <w:tc>
          <w:tcPr>
            <w:tcW w:w="28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3.9</w:t>
            </w:r>
          </w:p>
        </w:tc>
        <w:tc>
          <w:tcPr>
            <w:tcW w:w="100" w:type="dxa"/>
            <w:vAlign w:val="bottom"/>
            <w:shd w:val="clear" w:color="auto" w:fill="CCEEFF"/>
          </w:tcPr>
          <w:p>
            <w:pPr>
              <w:spacing w:after="0"/>
              <w:rPr>
                <w:sz w:val="13"/>
                <w:szCs w:val="13"/>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Peru</w:t>
            </w:r>
          </w:p>
        </w:tc>
        <w:tc>
          <w:tcPr>
            <w:tcW w:w="280" w:type="dxa"/>
            <w:vAlign w:val="bottom"/>
          </w:tcPr>
          <w:p>
            <w:pPr>
              <w:spacing w:after="0"/>
              <w:rPr>
                <w:sz w:val="13"/>
                <w:szCs w:val="13"/>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2.4</w:t>
            </w:r>
          </w:p>
        </w:tc>
        <w:tc>
          <w:tcPr>
            <w:tcW w:w="500" w:type="dxa"/>
            <w:vAlign w:val="bottom"/>
          </w:tcPr>
          <w:p>
            <w:pPr>
              <w:spacing w:after="0"/>
              <w:rPr>
                <w:sz w:val="13"/>
                <w:szCs w:val="13"/>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5.1</w:t>
            </w:r>
          </w:p>
        </w:tc>
        <w:tc>
          <w:tcPr>
            <w:tcW w:w="280" w:type="dxa"/>
            <w:vAlign w:val="bottom"/>
          </w:tcPr>
          <w:p>
            <w:pPr>
              <w:spacing w:after="0"/>
              <w:rPr>
                <w:sz w:val="13"/>
                <w:szCs w:val="13"/>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3"/>
                <w:szCs w:val="13"/>
                <w:color w:val="auto"/>
              </w:rPr>
              <w:t>10.8</w:t>
            </w:r>
          </w:p>
        </w:tc>
        <w:tc>
          <w:tcPr>
            <w:tcW w:w="100" w:type="dxa"/>
            <w:vAlign w:val="bottom"/>
          </w:tcPr>
          <w:p>
            <w:pPr>
              <w:spacing w:after="0"/>
              <w:rPr>
                <w:sz w:val="13"/>
                <w:szCs w:val="13"/>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Trinidad and Tobago</w:t>
            </w: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5.0</w:t>
            </w:r>
          </w:p>
        </w:tc>
        <w:tc>
          <w:tcPr>
            <w:tcW w:w="50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3.7</w:t>
            </w:r>
          </w:p>
        </w:tc>
        <w:tc>
          <w:tcPr>
            <w:tcW w:w="28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3.0</w:t>
            </w:r>
          </w:p>
        </w:tc>
        <w:tc>
          <w:tcPr>
            <w:tcW w:w="100" w:type="dxa"/>
            <w:vAlign w:val="bottom"/>
            <w:shd w:val="clear" w:color="auto" w:fill="CCEEFF"/>
          </w:tcPr>
          <w:p>
            <w:pPr>
              <w:spacing w:after="0"/>
              <w:rPr>
                <w:sz w:val="13"/>
                <w:szCs w:val="13"/>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United States</w:t>
            </w:r>
          </w:p>
        </w:tc>
        <w:tc>
          <w:tcPr>
            <w:tcW w:w="280" w:type="dxa"/>
            <w:vAlign w:val="bottom"/>
          </w:tcPr>
          <w:p>
            <w:pPr>
              <w:spacing w:after="0"/>
              <w:rPr>
                <w:sz w:val="13"/>
                <w:szCs w:val="13"/>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0.0</w:t>
            </w:r>
          </w:p>
        </w:tc>
        <w:tc>
          <w:tcPr>
            <w:tcW w:w="500" w:type="dxa"/>
            <w:vAlign w:val="bottom"/>
          </w:tcPr>
          <w:p>
            <w:pPr>
              <w:spacing w:after="0"/>
              <w:rPr>
                <w:sz w:val="13"/>
                <w:szCs w:val="13"/>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0.6</w:t>
            </w:r>
          </w:p>
        </w:tc>
        <w:tc>
          <w:tcPr>
            <w:tcW w:w="280" w:type="dxa"/>
            <w:vAlign w:val="bottom"/>
          </w:tcPr>
          <w:p>
            <w:pPr>
              <w:spacing w:after="0"/>
              <w:rPr>
                <w:sz w:val="13"/>
                <w:szCs w:val="13"/>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3"/>
                <w:szCs w:val="13"/>
                <w:color w:val="auto"/>
              </w:rPr>
              <w:t>1.5</w:t>
            </w:r>
          </w:p>
        </w:tc>
        <w:tc>
          <w:tcPr>
            <w:tcW w:w="100" w:type="dxa"/>
            <w:vAlign w:val="bottom"/>
          </w:tcPr>
          <w:p>
            <w:pPr>
              <w:spacing w:after="0"/>
              <w:rPr>
                <w:sz w:val="13"/>
                <w:szCs w:val="13"/>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Uruguay</w:t>
            </w: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0.3</w:t>
            </w:r>
          </w:p>
        </w:tc>
        <w:tc>
          <w:tcPr>
            <w:tcW w:w="50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0.8</w:t>
            </w:r>
          </w:p>
        </w:tc>
        <w:tc>
          <w:tcPr>
            <w:tcW w:w="28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3.7</w:t>
            </w:r>
          </w:p>
        </w:tc>
        <w:tc>
          <w:tcPr>
            <w:tcW w:w="100" w:type="dxa"/>
            <w:vAlign w:val="bottom"/>
            <w:shd w:val="clear" w:color="auto" w:fill="CCEEFF"/>
          </w:tcPr>
          <w:p>
            <w:pPr>
              <w:spacing w:after="0"/>
              <w:rPr>
                <w:sz w:val="13"/>
                <w:szCs w:val="13"/>
                <w:color w:val="auto"/>
              </w:rPr>
            </w:pPr>
          </w:p>
        </w:tc>
      </w:tr>
      <w:tr>
        <w:trPr>
          <w:trHeight w:val="183"/>
        </w:trPr>
        <w:tc>
          <w:tcPr>
            <w:tcW w:w="7120" w:type="dxa"/>
            <w:vAlign w:val="bottom"/>
          </w:tcPr>
          <w:p>
            <w:pPr>
              <w:spacing w:after="0" w:line="183" w:lineRule="exact"/>
              <w:rPr>
                <w:sz w:val="20"/>
                <w:szCs w:val="20"/>
                <w:color w:val="auto"/>
              </w:rPr>
            </w:pPr>
            <w:r>
              <w:rPr>
                <w:rFonts w:ascii="Arial" w:cs="Arial" w:eastAsia="Arial" w:hAnsi="Arial"/>
                <w:sz w:val="13"/>
                <w:szCs w:val="13"/>
                <w:color w:val="auto"/>
              </w:rPr>
              <w:t xml:space="preserve">Other countries </w:t>
            </w:r>
            <w:r>
              <w:rPr>
                <w:rFonts w:ascii="Arial" w:cs="Arial" w:eastAsia="Arial" w:hAnsi="Arial"/>
                <w:sz w:val="21"/>
                <w:szCs w:val="21"/>
                <w:color w:val="auto"/>
                <w:vertAlign w:val="superscript"/>
              </w:rPr>
              <w:t>(1)</w:t>
            </w:r>
          </w:p>
        </w:tc>
        <w:tc>
          <w:tcPr>
            <w:tcW w:w="280" w:type="dxa"/>
            <w:vAlign w:val="bottom"/>
          </w:tcPr>
          <w:p>
            <w:pPr>
              <w:spacing w:after="0"/>
              <w:rPr>
                <w:sz w:val="15"/>
                <w:szCs w:val="15"/>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2.8</w:t>
            </w:r>
          </w:p>
        </w:tc>
        <w:tc>
          <w:tcPr>
            <w:tcW w:w="500" w:type="dxa"/>
            <w:vAlign w:val="bottom"/>
          </w:tcPr>
          <w:p>
            <w:pPr>
              <w:spacing w:after="0"/>
              <w:rPr>
                <w:sz w:val="15"/>
                <w:szCs w:val="15"/>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2.3</w:t>
            </w:r>
          </w:p>
        </w:tc>
        <w:tc>
          <w:tcPr>
            <w:tcW w:w="280" w:type="dxa"/>
            <w:vAlign w:val="bottom"/>
          </w:tcPr>
          <w:p>
            <w:pPr>
              <w:spacing w:after="0"/>
              <w:rPr>
                <w:sz w:val="15"/>
                <w:szCs w:val="15"/>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3"/>
                <w:szCs w:val="13"/>
                <w:color w:val="auto"/>
              </w:rPr>
              <w:t>4.6</w:t>
            </w:r>
          </w:p>
        </w:tc>
        <w:tc>
          <w:tcPr>
            <w:tcW w:w="100" w:type="dxa"/>
            <w:vAlign w:val="bottom"/>
          </w:tcPr>
          <w:p>
            <w:pPr>
              <w:spacing w:after="0"/>
              <w:rPr>
                <w:sz w:val="15"/>
                <w:szCs w:val="15"/>
                <w:color w:val="auto"/>
              </w:rPr>
            </w:pPr>
          </w:p>
        </w:tc>
      </w:tr>
      <w:tr>
        <w:trPr>
          <w:trHeight w:val="16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Investment funds at FVTPL</w:t>
            </w:r>
          </w:p>
        </w:tc>
        <w:tc>
          <w:tcPr>
            <w:tcW w:w="280" w:type="dxa"/>
            <w:vAlign w:val="bottom"/>
            <w:shd w:val="clear" w:color="auto" w:fill="CCEEFF"/>
          </w:tcPr>
          <w:p>
            <w:pPr>
              <w:spacing w:after="0"/>
              <w:rPr>
                <w:sz w:val="14"/>
                <w:szCs w:val="14"/>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0.0</w:t>
            </w:r>
          </w:p>
        </w:tc>
        <w:tc>
          <w:tcPr>
            <w:tcW w:w="500" w:type="dxa"/>
            <w:vAlign w:val="bottom"/>
            <w:shd w:val="clear" w:color="auto" w:fill="CCEEFF"/>
          </w:tcPr>
          <w:p>
            <w:pPr>
              <w:spacing w:after="0"/>
              <w:rPr>
                <w:sz w:val="14"/>
                <w:szCs w:val="14"/>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0.0</w:t>
            </w:r>
          </w:p>
        </w:tc>
        <w:tc>
          <w:tcPr>
            <w:tcW w:w="280" w:type="dxa"/>
            <w:vAlign w:val="bottom"/>
            <w:shd w:val="clear" w:color="auto" w:fill="CCEEFF"/>
          </w:tcPr>
          <w:p>
            <w:pPr>
              <w:spacing w:after="0"/>
              <w:rPr>
                <w:sz w:val="14"/>
                <w:szCs w:val="14"/>
                <w:color w:val="auto"/>
              </w:rPr>
            </w:pPr>
          </w:p>
        </w:tc>
        <w:tc>
          <w:tcPr>
            <w:tcW w:w="108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(4.4)</w:t>
            </w:r>
          </w:p>
        </w:tc>
      </w:tr>
      <w:tr>
        <w:trPr>
          <w:trHeight w:val="144"/>
        </w:trPr>
        <w:tc>
          <w:tcPr>
            <w:tcW w:w="7120" w:type="dxa"/>
            <w:vAlign w:val="bottom"/>
          </w:tcPr>
          <w:p>
            <w:pPr>
              <w:spacing w:after="0" w:line="144" w:lineRule="exact"/>
              <w:rPr>
                <w:sz w:val="20"/>
                <w:szCs w:val="20"/>
                <w:color w:val="auto"/>
              </w:rPr>
            </w:pPr>
            <w:r>
              <w:rPr>
                <w:rFonts w:ascii="Arial" w:cs="Arial" w:eastAsia="Arial" w:hAnsi="Arial"/>
                <w:sz w:val="13"/>
                <w:szCs w:val="13"/>
                <w:b w:val="1"/>
                <w:bCs w:val="1"/>
                <w:color w:val="auto"/>
              </w:rPr>
              <w:t>Total revenues</w:t>
            </w:r>
          </w:p>
        </w:tc>
        <w:tc>
          <w:tcPr>
            <w:tcW w:w="280" w:type="dxa"/>
            <w:vAlign w:val="bottom"/>
            <w:tcBorders>
              <w:top w:val="single" w:sz="8" w:color="auto"/>
              <w:bottom w:val="single" w:sz="8" w:color="auto"/>
            </w:tcBorders>
          </w:tcPr>
          <w:p>
            <w:pPr>
              <w:jc w:val="right"/>
              <w:ind w:right="172"/>
              <w:spacing w:after="0"/>
              <w:rPr>
                <w:sz w:val="20"/>
                <w:szCs w:val="20"/>
                <w:color w:val="auto"/>
              </w:rPr>
            </w:pPr>
            <w:r>
              <w:rPr>
                <w:rFonts w:ascii="Arial" w:cs="Arial" w:eastAsia="Arial" w:hAnsi="Arial"/>
                <w:sz w:val="10"/>
                <w:szCs w:val="10"/>
                <w:b w:val="1"/>
                <w:bCs w:val="1"/>
                <w:color w:val="auto"/>
                <w:w w:val="71"/>
              </w:rPr>
              <w:t>$</w:t>
            </w:r>
          </w:p>
        </w:tc>
        <w:tc>
          <w:tcPr>
            <w:tcW w:w="100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127.6</w:t>
            </w:r>
          </w:p>
        </w:tc>
        <w:tc>
          <w:tcPr>
            <w:tcW w:w="220" w:type="dxa"/>
            <w:vAlign w:val="bottom"/>
          </w:tcPr>
          <w:p>
            <w:pPr>
              <w:spacing w:after="0"/>
              <w:rPr>
                <w:sz w:val="12"/>
                <w:szCs w:val="12"/>
                <w:color w:val="auto"/>
              </w:rPr>
            </w:pPr>
          </w:p>
        </w:tc>
        <w:tc>
          <w:tcPr>
            <w:tcW w:w="500" w:type="dxa"/>
            <w:vAlign w:val="bottom"/>
            <w:tcBorders>
              <w:top w:val="single" w:sz="8" w:color="auto"/>
              <w:bottom w:val="single" w:sz="8" w:color="auto"/>
            </w:tcBorders>
          </w:tcPr>
          <w:p>
            <w:pPr>
              <w:jc w:val="right"/>
              <w:ind w:right="387"/>
              <w:spacing w:after="0"/>
              <w:rPr>
                <w:sz w:val="20"/>
                <w:szCs w:val="20"/>
                <w:color w:val="auto"/>
              </w:rPr>
            </w:pPr>
            <w:r>
              <w:rPr>
                <w:rFonts w:ascii="Arial" w:cs="Arial" w:eastAsia="Arial" w:hAnsi="Arial"/>
                <w:sz w:val="10"/>
                <w:szCs w:val="10"/>
                <w:b w:val="1"/>
                <w:bCs w:val="1"/>
                <w:color w:val="auto"/>
                <w:w w:val="71"/>
              </w:rPr>
              <w:t>$</w:t>
            </w:r>
          </w:p>
        </w:tc>
        <w:tc>
          <w:tcPr>
            <w:tcW w:w="7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138.3</w:t>
            </w:r>
          </w:p>
        </w:tc>
        <w:tc>
          <w:tcPr>
            <w:tcW w:w="220" w:type="dxa"/>
            <w:vAlign w:val="bottom"/>
          </w:tcPr>
          <w:p>
            <w:pPr>
              <w:spacing w:after="0"/>
              <w:rPr>
                <w:sz w:val="12"/>
                <w:szCs w:val="12"/>
                <w:color w:val="auto"/>
              </w:rPr>
            </w:pPr>
          </w:p>
        </w:tc>
        <w:tc>
          <w:tcPr>
            <w:tcW w:w="280" w:type="dxa"/>
            <w:vAlign w:val="bottom"/>
            <w:tcBorders>
              <w:top w:val="single" w:sz="8" w:color="auto"/>
              <w:bottom w:val="single" w:sz="8" w:color="auto"/>
            </w:tcBorders>
          </w:tcPr>
          <w:p>
            <w:pPr>
              <w:jc w:val="right"/>
              <w:ind w:right="172"/>
              <w:spacing w:after="0"/>
              <w:rPr>
                <w:sz w:val="20"/>
                <w:szCs w:val="20"/>
                <w:color w:val="auto"/>
              </w:rPr>
            </w:pPr>
            <w:r>
              <w:rPr>
                <w:rFonts w:ascii="Arial" w:cs="Arial" w:eastAsia="Arial" w:hAnsi="Arial"/>
                <w:sz w:val="10"/>
                <w:szCs w:val="10"/>
                <w:b w:val="1"/>
                <w:bCs w:val="1"/>
                <w:color w:val="auto"/>
                <w:w w:val="71"/>
              </w:rPr>
              <w:t>$</w:t>
            </w:r>
          </w:p>
        </w:tc>
        <w:tc>
          <w:tcPr>
            <w:tcW w:w="96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168.0</w:t>
            </w:r>
          </w:p>
        </w:tc>
        <w:tc>
          <w:tcPr>
            <w:tcW w:w="20" w:type="dxa"/>
            <w:vAlign w:val="bottom"/>
            <w:tcBorders>
              <w:bottom w:val="single" w:sz="8" w:color="auto"/>
            </w:tcBorders>
          </w:tcPr>
          <w:p>
            <w:pPr>
              <w:spacing w:after="0"/>
              <w:rPr>
                <w:sz w:val="12"/>
                <w:szCs w:val="12"/>
                <w:color w:val="auto"/>
              </w:rPr>
            </w:pPr>
          </w:p>
        </w:tc>
        <w:tc>
          <w:tcPr>
            <w:tcW w:w="100" w:type="dxa"/>
            <w:vAlign w:val="bottom"/>
          </w:tcPr>
          <w:p>
            <w:pPr>
              <w:spacing w:after="0"/>
              <w:rPr>
                <w:sz w:val="12"/>
                <w:szCs w:val="12"/>
                <w:color w:val="auto"/>
              </w:rPr>
            </w:pPr>
          </w:p>
        </w:tc>
      </w:tr>
    </w:tbl>
    <w:p>
      <w:pPr>
        <w:spacing w:after="0" w:line="66" w:lineRule="exact"/>
        <w:rPr>
          <w:sz w:val="20"/>
          <w:szCs w:val="20"/>
          <w:color w:val="auto"/>
        </w:rPr>
      </w:pPr>
    </w:p>
    <w:p>
      <w:pPr>
        <w:ind w:left="203" w:hanging="203"/>
        <w:spacing w:after="0"/>
        <w:tabs>
          <w:tab w:leader="none" w:pos="203" w:val="left"/>
        </w:tabs>
        <w:numPr>
          <w:ilvl w:val="0"/>
          <w:numId w:val="18"/>
        </w:numPr>
        <w:rPr>
          <w:rFonts w:ascii="Arial" w:cs="Arial" w:eastAsia="Arial" w:hAnsi="Arial"/>
          <w:sz w:val="21"/>
          <w:szCs w:val="21"/>
          <w:color w:val="auto"/>
          <w:vertAlign w:val="superscript"/>
        </w:rPr>
      </w:pPr>
      <w:r>
        <w:rPr>
          <w:rFonts w:ascii="Arial" w:cs="Arial" w:eastAsia="Arial" w:hAnsi="Arial"/>
          <w:sz w:val="13"/>
          <w:szCs w:val="13"/>
          <w:color w:val="auto"/>
        </w:rPr>
        <w:t>Other countries consists of total income per country in which total income did not exceed $1 million for any of the periods indicated above.</w:t>
      </w:r>
    </w:p>
    <w:p>
      <w:pPr>
        <w:spacing w:after="0" w:line="146" w:lineRule="exact"/>
        <w:rPr>
          <w:sz w:val="20"/>
          <w:szCs w:val="20"/>
          <w:color w:val="auto"/>
        </w:rPr>
      </w:pPr>
    </w:p>
    <w:p>
      <w:pPr>
        <w:jc w:val="both"/>
        <w:ind w:left="3" w:right="20"/>
        <w:spacing w:after="0" w:line="257" w:lineRule="auto"/>
        <w:rPr>
          <w:sz w:val="20"/>
          <w:szCs w:val="20"/>
          <w:color w:val="auto"/>
        </w:rPr>
      </w:pPr>
      <w:r>
        <w:rPr>
          <w:rFonts w:ascii="Arial" w:cs="Arial" w:eastAsia="Arial" w:hAnsi="Arial"/>
          <w:sz w:val="13"/>
          <w:szCs w:val="13"/>
          <w:color w:val="auto"/>
        </w:rPr>
        <w:t>The above table provides total revenues by country, as they are presented in the Bank’s Consolidated Financial Statements, and which are generated from the Bank’s Commercial and Treasury Business Segments. Given that the Bank’s business segments generate revenues not only from net interest income, but from other sources generating other income, net, the Bank adds those corresponding items to net interest income to show total revenues earned before impairment losses and operating expenses.</w:t>
      </w:r>
    </w:p>
    <w:p>
      <w:pPr>
        <w:spacing w:after="0" w:line="284"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34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9" w:right="199" w:bottom="1440" w:gutter="0" w:footer="0" w:header="0"/>
        </w:sectPr>
      </w:pPr>
    </w:p>
    <w:bookmarkStart w:id="36" w:name="page37"/>
    <w:bookmarkEnd w:id="36"/>
    <w:p>
      <w:pPr>
        <w:jc w:val="both"/>
        <w:spacing w:after="0" w:line="254" w:lineRule="auto"/>
        <w:rPr>
          <w:sz w:val="20"/>
          <w:szCs w:val="20"/>
          <w:color w:val="auto"/>
        </w:rPr>
      </w:pPr>
      <w:r>
        <w:rPr>
          <w:rFonts w:ascii="Arial" w:cs="Arial" w:eastAsia="Arial" w:hAnsi="Arial"/>
          <w:sz w:val="13"/>
          <w:szCs w:val="13"/>
          <w:color w:val="auto"/>
        </w:rPr>
        <w:t>During the year ended December 31, 2018, the Bank recorded net revenues totaling $127.6 million, representing a $10.7 million or 8% decrease compared to 2017. The main country driving this decline was Brazil, whose revenues declined by $10 million, mostly due to a decrease in lending spreads as the Bank increased its lending to financial institutions in the country. During 2017, revenues declined by $25.3 million, resulting in a general decrease in average lending volumes across most countries in the Region, as the Bank improved its portfolio risk profile by reducing unwanted exposures to certain countries, industries and clients, along with increasing its focus on short-term lending.</w:t>
      </w:r>
    </w:p>
    <w:p>
      <w:pPr>
        <w:spacing w:after="0" w:line="137"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Competition</w:t>
      </w:r>
    </w:p>
    <w:p>
      <w:pPr>
        <w:spacing w:after="0" w:line="159" w:lineRule="exact"/>
        <w:rPr>
          <w:sz w:val="20"/>
          <w:szCs w:val="20"/>
          <w:color w:val="auto"/>
        </w:rPr>
      </w:pPr>
    </w:p>
    <w:p>
      <w:pPr>
        <w:jc w:val="both"/>
        <w:ind w:right="20"/>
        <w:spacing w:after="0" w:line="314" w:lineRule="auto"/>
        <w:rPr>
          <w:sz w:val="20"/>
          <w:szCs w:val="20"/>
          <w:color w:val="auto"/>
        </w:rPr>
      </w:pPr>
      <w:r>
        <w:rPr>
          <w:rFonts w:ascii="Arial" w:cs="Arial" w:eastAsia="Arial" w:hAnsi="Arial"/>
          <w:sz w:val="11"/>
          <w:szCs w:val="11"/>
          <w:color w:val="auto"/>
        </w:rPr>
        <w:t>The Bank operates in a highly competitive environment in most of its markets, and faces competition principally from international banks, the majority of which are European, North American or Asian, as well as Latin American regional banks, in making loans and providing fee-generating services. The Bank competes in its lending and deposit-taking activities with other banks and international financial institutions, many of which have greater financial resources, enjoy access to less expensive funding and offer sophisticated banking services. Whenever economic conditions and risk perception improve in the Region, competition from commercial banks, the securities markets and other new participants generally increases. Competition may have the effect of reducing the spreads of the Bank’s lending rates over its funding costs and constraining the Bank’s profitability.</w:t>
      </w:r>
    </w:p>
    <w:p>
      <w:pPr>
        <w:spacing w:after="0" w:line="108"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The Bank also faces competition from local financial institutions which increasingly have access to as good or better resources than the Bank. Local financial institutions are also clients of the Bank and there is complexity in managing the balance when a local financial institution is a client and competitor. Additionally, many local financial institutions are able to gain direct access to the capital markets and low cost funding sources, threatening the Bank’s historical role as a provider of U.S. dollar funding.</w:t>
      </w:r>
    </w:p>
    <w:p>
      <w:pPr>
        <w:spacing w:after="0" w:line="136"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Increased open account exports and new financing requirements from multinational corporations are changing the way banks intermediate foreign trade financing. Trade finance volumes are also dependent on global economic conditions.</w:t>
      </w:r>
    </w:p>
    <w:p>
      <w:pPr>
        <w:spacing w:after="0" w:line="129"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The Bank also faces competition from investment banks and the local and international securities markets, which provide liquidity to the financial systems in certain countries in the Region, as well as non-bank specialized financial institutions. The Bank competes primarily on the basis of agility, pricing, and quality of service. See Item 3.D., “Key Information–Risk Factors.”</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Supervision and Regulation</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General</w:t>
      </w:r>
    </w:p>
    <w:p>
      <w:pPr>
        <w:spacing w:after="0" w:line="159"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The Superintendency regulates, supervises and examines the Bank on a consolidated basis. The New York Agency is regulated, supervised and examined by the New York State Department of Financial Services and the Board of Governors of the Federal Reserve System (the “U.S. Federal Reserve Board”). The Bank’s direct and indirect nonbanking subsidiaries doing business in the United States are subject to regulation by the U.S. Federal Reserve Board. The Bank is subject to regulations in each jurisdiction in which the Bank has a physical presence. The regulation of the Bank by relevant Panamanian authorities differs from the regulation generally imposed on banks, including foreign banks, in the United States by U.S. federal and state regulatory authorities.</w:t>
      </w:r>
    </w:p>
    <w:p>
      <w:pPr>
        <w:spacing w:after="0" w:line="137" w:lineRule="exact"/>
        <w:rPr>
          <w:sz w:val="20"/>
          <w:szCs w:val="20"/>
          <w:color w:val="auto"/>
        </w:rPr>
      </w:pPr>
    </w:p>
    <w:p>
      <w:pPr>
        <w:jc w:val="both"/>
        <w:spacing w:after="0" w:line="281" w:lineRule="auto"/>
        <w:rPr>
          <w:sz w:val="20"/>
          <w:szCs w:val="20"/>
          <w:color w:val="auto"/>
        </w:rPr>
      </w:pPr>
      <w:r>
        <w:rPr>
          <w:rFonts w:ascii="Arial" w:cs="Arial" w:eastAsia="Arial" w:hAnsi="Arial"/>
          <w:sz w:val="12"/>
          <w:szCs w:val="12"/>
          <w:color w:val="auto"/>
        </w:rPr>
        <w:t>The Superintendency of Banks has signed and executed agreements or letters of understanding with more than 25 foreign supervisory authorities regarding the sharing of supervisory information under principles of reciprocity, appropriateness, national agreement and confidentiality. These entities include the U.S. Federal Reserve Board, the Federal Reserve Bank, the Office of the Comptroller of the Currency of the Treasury Department, or OCC, and the Federal Deposit Insurance Corporation. In addition, the Statement of Cooperation between the United States and Panama promotes cooperation between U.S. and Panamanian banking regulators and demonstrates the commitment of the U.S. regulators and the Superintendency to the principles of comprehensive and consolidated supervision.</w:t>
      </w:r>
    </w:p>
    <w:p>
      <w:pPr>
        <w:spacing w:after="0" w:line="272"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35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37" w:name="page38"/>
    <w:bookmarkEnd w:id="37"/>
    <w:p>
      <w:pPr>
        <w:spacing w:after="0"/>
        <w:rPr>
          <w:sz w:val="20"/>
          <w:szCs w:val="20"/>
          <w:color w:val="auto"/>
        </w:rPr>
      </w:pPr>
      <w:r>
        <w:rPr>
          <w:rFonts w:ascii="Arial" w:cs="Arial" w:eastAsia="Arial" w:hAnsi="Arial"/>
          <w:sz w:val="13"/>
          <w:szCs w:val="13"/>
          <w:color w:val="auto"/>
        </w:rPr>
        <w:t>Banks in Panama are subject to the Decree Law 9 of February 26, 1998, as amended, as well as banking regulations issued by the Superintendency (the “Banking Law”).</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u w:val="single" w:color="auto"/>
          <w:color w:val="auto"/>
        </w:rPr>
        <w:t>Panamanian Law</w:t>
      </w:r>
    </w:p>
    <w:p>
      <w:pPr>
        <w:spacing w:after="0" w:line="159"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The Bank operates in Panama under a General Banking License issued by the National Banking Commission, predecessor of the Superintendency of Banks. Banks operating under a General Banking License (“General License Banks”), may engage in all aspects of the banking business in Panama, including taking local and foreign deposits, as well as making local and international loans.</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Capital</w:t>
      </w:r>
    </w:p>
    <w:p>
      <w:pPr>
        <w:spacing w:after="0" w:line="159"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General License Banks must at all times maintain: (i) a paid-in capital of no less than U.S.$10 million and (ii) an adjusted capital of not less than 8% of total risk-weighted assets. The Superintendency has the power to impose additional capital adequacy requirements not contemplated above on any financial institution to secure the stability of Panama’s financial system.</w:t>
      </w:r>
    </w:p>
    <w:p>
      <w:pPr>
        <w:spacing w:after="0" w:line="129"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Adjusted capital consists of the sum of: (i) primary capital (Tier I Capital), (ii) secondary capital (Tier II Capital) and (iii) the credit balance of the dynamic reserves. Primary capital is further divided into ordinary capital (Common Equity Tier 1) and additional capital (Additional Tier 1).</w:t>
      </w:r>
    </w:p>
    <w:p>
      <w:pPr>
        <w:spacing w:after="0" w:line="125" w:lineRule="exact"/>
        <w:rPr>
          <w:sz w:val="20"/>
          <w:szCs w:val="20"/>
          <w:color w:val="auto"/>
        </w:rPr>
      </w:pPr>
    </w:p>
    <w:p>
      <w:pPr>
        <w:ind w:left="460"/>
        <w:spacing w:after="0"/>
        <w:rPr>
          <w:sz w:val="20"/>
          <w:szCs w:val="20"/>
          <w:color w:val="auto"/>
        </w:rPr>
      </w:pPr>
      <w:r>
        <w:rPr>
          <w:rFonts w:ascii="Arial" w:cs="Arial" w:eastAsia="Arial" w:hAnsi="Arial"/>
          <w:sz w:val="13"/>
          <w:szCs w:val="13"/>
          <w:b w:val="1"/>
          <w:bCs w:val="1"/>
          <w:color w:val="auto"/>
        </w:rPr>
        <w:t>Primary Capital</w:t>
      </w:r>
    </w:p>
    <w:p>
      <w:pPr>
        <w:spacing w:after="0" w:line="163" w:lineRule="exact"/>
        <w:rPr>
          <w:sz w:val="20"/>
          <w:szCs w:val="20"/>
          <w:color w:val="auto"/>
        </w:rPr>
      </w:pPr>
    </w:p>
    <w:p>
      <w:pPr>
        <w:ind w:left="920" w:right="20" w:hanging="461"/>
        <w:spacing w:after="0" w:line="267" w:lineRule="auto"/>
        <w:tabs>
          <w:tab w:leader="none" w:pos="920" w:val="left"/>
        </w:tabs>
        <w:numPr>
          <w:ilvl w:val="0"/>
          <w:numId w:val="19"/>
        </w:numPr>
        <w:rPr>
          <w:rFonts w:ascii="Arial" w:cs="Arial" w:eastAsia="Arial" w:hAnsi="Arial"/>
          <w:sz w:val="13"/>
          <w:szCs w:val="13"/>
          <w:color w:val="auto"/>
        </w:rPr>
      </w:pPr>
      <w:r>
        <w:rPr>
          <w:rFonts w:ascii="Arial" w:cs="Arial" w:eastAsia="Arial" w:hAnsi="Arial"/>
          <w:sz w:val="13"/>
          <w:szCs w:val="13"/>
          <w:color w:val="auto"/>
        </w:rPr>
        <w:t>Ordinary Capital includes paid-in capital in shares, surplus capital, declared reserves, retained earnings, minority interests in equity accounts of consolidated subsidiaries, other items of net total earnings and any other reserves authorized by the Superintendency.</w:t>
      </w:r>
    </w:p>
    <w:p>
      <w:pPr>
        <w:spacing w:after="0" w:line="129" w:lineRule="exact"/>
        <w:rPr>
          <w:rFonts w:ascii="Arial" w:cs="Arial" w:eastAsia="Arial" w:hAnsi="Arial"/>
          <w:sz w:val="13"/>
          <w:szCs w:val="13"/>
          <w:color w:val="auto"/>
        </w:rPr>
      </w:pPr>
    </w:p>
    <w:p>
      <w:pPr>
        <w:jc w:val="both"/>
        <w:ind w:left="920" w:hanging="461"/>
        <w:spacing w:after="0" w:line="257" w:lineRule="auto"/>
        <w:tabs>
          <w:tab w:leader="none" w:pos="920" w:val="left"/>
        </w:tabs>
        <w:numPr>
          <w:ilvl w:val="0"/>
          <w:numId w:val="19"/>
        </w:numPr>
        <w:rPr>
          <w:rFonts w:ascii="Arial" w:cs="Arial" w:eastAsia="Arial" w:hAnsi="Arial"/>
          <w:sz w:val="13"/>
          <w:szCs w:val="13"/>
          <w:color w:val="auto"/>
        </w:rPr>
      </w:pPr>
      <w:r>
        <w:rPr>
          <w:rFonts w:ascii="Arial" w:cs="Arial" w:eastAsia="Arial" w:hAnsi="Arial"/>
          <w:sz w:val="13"/>
          <w:szCs w:val="13"/>
          <w:color w:val="auto"/>
        </w:rPr>
        <w:t>Additional primary capital includes instruments issued by a bank that comply with the criteria to be classified as ordinary primary capital and that are not classified as ordinary primary capital, issuance premiums from financial instruments considered ordinary primary capital, financial instruments that are held by a third party and are issued by consolidated affiliates of the bank, and any other financial instrument resulting from capital adjustments of ordinary primary capital.</w:t>
      </w:r>
    </w:p>
    <w:p>
      <w:pPr>
        <w:spacing w:after="0" w:line="132" w:lineRule="exact"/>
        <w:rPr>
          <w:sz w:val="20"/>
          <w:szCs w:val="20"/>
          <w:color w:val="auto"/>
        </w:rPr>
      </w:pPr>
    </w:p>
    <w:p>
      <w:pPr>
        <w:ind w:left="460"/>
        <w:spacing w:after="0"/>
        <w:rPr>
          <w:sz w:val="20"/>
          <w:szCs w:val="20"/>
          <w:color w:val="auto"/>
        </w:rPr>
      </w:pPr>
      <w:r>
        <w:rPr>
          <w:rFonts w:ascii="Arial" w:cs="Arial" w:eastAsia="Arial" w:hAnsi="Arial"/>
          <w:sz w:val="13"/>
          <w:szCs w:val="13"/>
          <w:b w:val="1"/>
          <w:bCs w:val="1"/>
          <w:color w:val="auto"/>
        </w:rPr>
        <w:t>Secondary Capital</w:t>
      </w:r>
    </w:p>
    <w:p>
      <w:pPr>
        <w:spacing w:after="0" w:line="163" w:lineRule="exact"/>
        <w:rPr>
          <w:sz w:val="20"/>
          <w:szCs w:val="20"/>
          <w:color w:val="auto"/>
        </w:rPr>
      </w:pPr>
    </w:p>
    <w:p>
      <w:pPr>
        <w:jc w:val="both"/>
        <w:ind w:left="460"/>
        <w:spacing w:after="0" w:line="257" w:lineRule="auto"/>
        <w:rPr>
          <w:sz w:val="20"/>
          <w:szCs w:val="20"/>
          <w:color w:val="auto"/>
        </w:rPr>
      </w:pPr>
      <w:r>
        <w:rPr>
          <w:rFonts w:ascii="Arial" w:cs="Arial" w:eastAsia="Arial" w:hAnsi="Arial"/>
          <w:sz w:val="13"/>
          <w:szCs w:val="13"/>
          <w:color w:val="auto"/>
        </w:rPr>
        <w:t>Secondary capital includes: (i) financial instruments that comply with the criteria set forth in Rule No. 1-2015 to be classified as secondary capital, (ii) subscription premiums paid on financial instruments that are classified as secondary capital, (iii) financial instruments issued by consolidated affiliates of the bank to third parties, and (iv) reserves for future losses (excluding provisions assigned to the deterioration of assets valued on an individual or collective basis).</w:t>
      </w:r>
    </w:p>
    <w:p>
      <w:pPr>
        <w:spacing w:after="0" w:line="132" w:lineRule="exact"/>
        <w:rPr>
          <w:sz w:val="20"/>
          <w:szCs w:val="20"/>
          <w:color w:val="auto"/>
        </w:rPr>
      </w:pPr>
    </w:p>
    <w:p>
      <w:pPr>
        <w:ind w:left="460"/>
        <w:spacing w:after="0"/>
        <w:rPr>
          <w:sz w:val="20"/>
          <w:szCs w:val="20"/>
          <w:color w:val="auto"/>
        </w:rPr>
      </w:pPr>
      <w:r>
        <w:rPr>
          <w:rFonts w:ascii="Arial" w:cs="Arial" w:eastAsia="Arial" w:hAnsi="Arial"/>
          <w:sz w:val="13"/>
          <w:szCs w:val="13"/>
          <w:b w:val="1"/>
          <w:bCs w:val="1"/>
          <w:color w:val="auto"/>
        </w:rPr>
        <w:t>Dynamic Reserves</w:t>
      </w:r>
    </w:p>
    <w:p>
      <w:pPr>
        <w:spacing w:after="0" w:line="163" w:lineRule="exact"/>
        <w:rPr>
          <w:sz w:val="20"/>
          <w:szCs w:val="20"/>
          <w:color w:val="auto"/>
        </w:rPr>
      </w:pPr>
    </w:p>
    <w:p>
      <w:pPr>
        <w:jc w:val="both"/>
        <w:ind w:left="460" w:right="20"/>
        <w:spacing w:after="0" w:line="267" w:lineRule="auto"/>
        <w:rPr>
          <w:sz w:val="20"/>
          <w:szCs w:val="20"/>
          <w:color w:val="auto"/>
        </w:rPr>
      </w:pPr>
      <w:r>
        <w:rPr>
          <w:rFonts w:ascii="Arial" w:cs="Arial" w:eastAsia="Arial" w:hAnsi="Arial"/>
          <w:sz w:val="13"/>
          <w:szCs w:val="13"/>
          <w:color w:val="auto"/>
        </w:rPr>
        <w:t>The dynamic reserve must be between 1.25% and 2.5% of the risk-weighted assets amount corresponding to the credit facilities classified in the Normal category and cannot decrease with respect to the amount calculated for the previous quarter, except for cases when such decrease is as a result of a conversion from dynamic reserves to specific reserves.</w:t>
      </w:r>
    </w:p>
    <w:p>
      <w:pPr>
        <w:spacing w:after="0" w:line="278"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36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38" w:name="page39"/>
    <w:bookmarkEnd w:id="38"/>
    <w:p>
      <w:pPr>
        <w:jc w:val="both"/>
        <w:ind w:left="460" w:right="20"/>
        <w:spacing w:after="0" w:line="257" w:lineRule="auto"/>
        <w:rPr>
          <w:sz w:val="20"/>
          <w:szCs w:val="20"/>
          <w:color w:val="auto"/>
        </w:rPr>
      </w:pPr>
      <w:r>
        <w:rPr>
          <w:rFonts w:ascii="Arial" w:cs="Arial" w:eastAsia="Arial" w:hAnsi="Arial"/>
          <w:sz w:val="13"/>
          <w:szCs w:val="13"/>
          <w:color w:val="auto"/>
        </w:rPr>
        <w:t>General License Banks are required to maintain a ratio of ordinary primary capital over risk-weighted assets of 3.75% as of July 1, 2016, 4.00% as of January 1, 2017, 4.25% as of January 1, 2018 and 4.50% as of January 1, 2019. In addition, General License Banks are required to maintain a ratio of primary capital over risk weighted assets of 5.25% as of July 1, 2016, 5.50% as of January 1, 2017, 5.75% as of January 1, 2018 and 6.00% as of January 1, 2019.</w:t>
      </w:r>
    </w:p>
    <w:p>
      <w:pPr>
        <w:spacing w:after="0" w:line="136"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Loan Classification and Loan Loss Reserves</w:t>
      </w:r>
    </w:p>
    <w:p>
      <w:pPr>
        <w:spacing w:after="0" w:line="159"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Regulations require that banks have loan loss allowances. The calculation of the specific reserves requires that the loan portfolio be classified according to parameters prescribed in the regulation. There are five categories of loan classifications: Normal, Special Mention, Sub-standard, Doubtful and Unrecoverable. Regulations require banks to suspend accruing interest on impaired loans.</w:t>
      </w:r>
    </w:p>
    <w:p>
      <w:pPr>
        <w:spacing w:after="0" w:line="129" w:lineRule="exact"/>
        <w:rPr>
          <w:sz w:val="20"/>
          <w:szCs w:val="20"/>
          <w:color w:val="auto"/>
        </w:rPr>
      </w:pPr>
    </w:p>
    <w:p>
      <w:pPr>
        <w:jc w:val="both"/>
        <w:ind w:right="20"/>
        <w:spacing w:after="0" w:line="254" w:lineRule="auto"/>
        <w:rPr>
          <w:sz w:val="20"/>
          <w:szCs w:val="20"/>
          <w:color w:val="auto"/>
        </w:rPr>
      </w:pPr>
      <w:r>
        <w:rPr>
          <w:rFonts w:ascii="Arial" w:cs="Arial" w:eastAsia="Arial" w:hAnsi="Arial"/>
          <w:sz w:val="13"/>
          <w:szCs w:val="13"/>
          <w:color w:val="auto"/>
        </w:rPr>
        <w:t>Specific reserves are reserves required in connection with the credit classification of a loan. They are created for individual credit facilities as well as for a consolidated group of credit facilities. The minimum reserve requirements depend on the classification of the loan as follows: Normal loans 0%; Special Mention loans 2%; Sub-standard loans 15%; Doubtful loans 50%; and Unrecoverable 100%. Specific reserve requirements take into account the classification of the loan as well as the guarantees provided by the borrowers to secure such loans. Guarantees are calculated at present value in accordance with the requirements established by banking regulations.</w:t>
      </w:r>
    </w:p>
    <w:p>
      <w:pPr>
        <w:spacing w:after="0" w:line="137" w:lineRule="exact"/>
        <w:rPr>
          <w:sz w:val="20"/>
          <w:szCs w:val="20"/>
          <w:color w:val="auto"/>
        </w:rPr>
      </w:pPr>
    </w:p>
    <w:p>
      <w:pPr>
        <w:jc w:val="both"/>
        <w:ind w:right="20"/>
        <w:spacing w:after="0" w:line="360" w:lineRule="auto"/>
        <w:rPr>
          <w:sz w:val="20"/>
          <w:szCs w:val="20"/>
          <w:color w:val="auto"/>
        </w:rPr>
      </w:pPr>
      <w:r>
        <w:rPr>
          <w:rFonts w:ascii="Arial" w:cs="Arial" w:eastAsia="Arial" w:hAnsi="Arial"/>
          <w:sz w:val="11"/>
          <w:szCs w:val="11"/>
          <w:color w:val="auto"/>
        </w:rPr>
        <w:t>Banks may create their own financial models to determine the amount of the specific reserves, subject to the approval of the Superintendency. In any event, the internal financial models must comply with the aforementioned minimum specific reserve requirements. Compliance with regulations on loan classification and loan loss reserves are monitored by the Superintendency through reports, as well as on- and off-site examinations.</w:t>
      </w:r>
    </w:p>
    <w:p>
      <w:pPr>
        <w:spacing w:after="0" w:line="83"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Liquidity</w:t>
      </w:r>
    </w:p>
    <w:p>
      <w:pPr>
        <w:spacing w:after="0" w:line="159" w:lineRule="exact"/>
        <w:rPr>
          <w:sz w:val="20"/>
          <w:szCs w:val="20"/>
          <w:color w:val="auto"/>
        </w:rPr>
      </w:pPr>
    </w:p>
    <w:p>
      <w:pPr>
        <w:spacing w:after="0"/>
        <w:rPr>
          <w:sz w:val="20"/>
          <w:szCs w:val="20"/>
          <w:color w:val="auto"/>
        </w:rPr>
      </w:pPr>
      <w:r>
        <w:rPr>
          <w:rFonts w:ascii="Arial" w:cs="Arial" w:eastAsia="Arial" w:hAnsi="Arial"/>
          <w:sz w:val="11"/>
          <w:szCs w:val="11"/>
          <w:color w:val="auto"/>
        </w:rPr>
        <w:t>General License Banks are required to maintain 30% of their total gross deposits in qualifying liquid assets as prescribed by the Superintendency (which include short-term loans to other banks and other liquid assets).</w:t>
      </w:r>
    </w:p>
    <w:p>
      <w:pPr>
        <w:spacing w:after="0" w:line="36" w:lineRule="exact"/>
        <w:rPr>
          <w:sz w:val="20"/>
          <w:szCs w:val="20"/>
          <w:color w:val="auto"/>
        </w:rPr>
      </w:pPr>
    </w:p>
    <w:p>
      <w:pPr>
        <w:spacing w:after="0"/>
        <w:rPr>
          <w:sz w:val="20"/>
          <w:szCs w:val="20"/>
          <w:color w:val="auto"/>
        </w:rPr>
      </w:pPr>
      <w:r>
        <w:rPr>
          <w:rFonts w:ascii="Arial" w:cs="Arial" w:eastAsia="Arial" w:hAnsi="Arial"/>
          <w:sz w:val="12"/>
          <w:szCs w:val="12"/>
          <w:color w:val="auto"/>
        </w:rPr>
        <w:t>Qualifying liquid assets must be free of liens, encumbrances and transfer restrictions. The Superintendency may impose concentration limits and cash requirements, as well as weights per type of liquid assets.</w:t>
      </w:r>
    </w:p>
    <w:p>
      <w:pPr>
        <w:spacing w:after="0" w:line="162" w:lineRule="exact"/>
        <w:rPr>
          <w:sz w:val="20"/>
          <w:szCs w:val="20"/>
          <w:color w:val="auto"/>
        </w:rPr>
      </w:pPr>
    </w:p>
    <w:p>
      <w:pPr>
        <w:jc w:val="both"/>
        <w:ind w:right="20"/>
        <w:spacing w:after="0" w:line="289" w:lineRule="auto"/>
        <w:rPr>
          <w:sz w:val="20"/>
          <w:szCs w:val="20"/>
          <w:color w:val="auto"/>
        </w:rPr>
      </w:pPr>
      <w:r>
        <w:rPr>
          <w:rFonts w:ascii="Arial" w:cs="Arial" w:eastAsia="Arial" w:hAnsi="Arial"/>
          <w:sz w:val="12"/>
          <w:szCs w:val="12"/>
          <w:color w:val="auto"/>
        </w:rPr>
        <w:t>The Superintendency requires general license banks to monitor their liquidity and identify potential liquidity risk events that may affect the bank. As of July, 2018 banks must undertake stress tests and active monitoring of their intra-day liquidity. The stress tests performed by the bank should include at minimum: (a) the simultaneous exhaustion of liquidity in different markets; (b) restrictions on access to secured and unsecured funding; (c) limitations on foreign currency exchange and difficulties on the execution of foreign currency exchange transactions; and (d) analysis of the possible effects of severe stress scenarios.</w:t>
      </w:r>
    </w:p>
    <w:p>
      <w:pPr>
        <w:spacing w:after="0" w:line="118"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Banks are required to have a contingent funding plan which should include: (i) a diversified pool of contingent funding options; (ii) provide detail as to potential amounts and values that could be obtained from each of the funding options; (iii) procedures that detail the priority of the funding sources; and (iv) a flexible framework which will allow the bank to react effectively to different situations.</w:t>
      </w:r>
    </w:p>
    <w:p>
      <w:pPr>
        <w:spacing w:after="0" w:line="129" w:lineRule="exact"/>
        <w:rPr>
          <w:sz w:val="20"/>
          <w:szCs w:val="20"/>
          <w:color w:val="auto"/>
        </w:rPr>
      </w:pPr>
    </w:p>
    <w:p>
      <w:pPr>
        <w:jc w:val="both"/>
        <w:spacing w:after="0" w:line="252" w:lineRule="auto"/>
        <w:rPr>
          <w:sz w:val="20"/>
          <w:szCs w:val="20"/>
          <w:color w:val="auto"/>
        </w:rPr>
      </w:pPr>
      <w:r>
        <w:rPr>
          <w:rFonts w:ascii="Arial" w:cs="Arial" w:eastAsia="Arial" w:hAnsi="Arial"/>
          <w:sz w:val="13"/>
          <w:szCs w:val="13"/>
          <w:color w:val="auto"/>
        </w:rPr>
        <w:t>As of July 1, 2018 general license banks are required to calculate and comply with the liquidity coverage ratio (“LCR”) established by the Superintendency. The regulation establishes two bands of ratios that can be applicable to banks in Panama. The Superintendency determines, according to internal criteria, the band applicable to each bank. The band 1 banks are required to gradually reach a ratio of 50% and the band 2 banks are required to gradually reach a ratio of 100%, each by December 2022. The Superintendency has confirmed that the band 2 is applicable to the Bank. The Superintendency defines the LCR as the stock of high-quality liquid assets over total net cash outflows over the next 30 calendar days. The definition is based on the Basel III Liquidity Coverage Ratio and liquidity risk monitoring tools published by the Basel Committee on Banking Supervision and adjusted by the Superintendency.</w:t>
      </w:r>
    </w:p>
    <w:p>
      <w:pPr>
        <w:spacing w:after="0" w:line="288"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37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39" w:name="page40"/>
    <w:bookmarkEnd w:id="39"/>
    <w:p>
      <w:pPr>
        <w:spacing w:after="0"/>
        <w:rPr>
          <w:sz w:val="20"/>
          <w:szCs w:val="20"/>
          <w:color w:val="auto"/>
        </w:rPr>
      </w:pPr>
      <w:r>
        <w:rPr>
          <w:rFonts w:ascii="Arial" w:cs="Arial" w:eastAsia="Arial" w:hAnsi="Arial"/>
          <w:sz w:val="13"/>
          <w:szCs w:val="13"/>
          <w:b w:val="1"/>
          <w:bCs w:val="1"/>
          <w:i w:val="1"/>
          <w:iCs w:val="1"/>
          <w:color w:val="auto"/>
        </w:rPr>
        <w:t>Lending Limits</w:t>
      </w:r>
    </w:p>
    <w:p>
      <w:pPr>
        <w:spacing w:after="0" w:line="159" w:lineRule="exact"/>
        <w:rPr>
          <w:sz w:val="20"/>
          <w:szCs w:val="20"/>
          <w:color w:val="auto"/>
        </w:rPr>
      </w:pPr>
    </w:p>
    <w:p>
      <w:pPr>
        <w:jc w:val="both"/>
        <w:spacing w:after="0" w:line="252" w:lineRule="auto"/>
        <w:rPr>
          <w:sz w:val="20"/>
          <w:szCs w:val="20"/>
          <w:color w:val="auto"/>
        </w:rPr>
      </w:pPr>
      <w:r>
        <w:rPr>
          <w:rFonts w:ascii="Arial" w:cs="Arial" w:eastAsia="Arial" w:hAnsi="Arial"/>
          <w:sz w:val="13"/>
          <w:szCs w:val="13"/>
          <w:color w:val="auto"/>
        </w:rPr>
        <w:t>Pursuant to the Banking Law, banks cannot grant loans or issue guarantees or any other obligation (“Credit Facilities”), to any one person or group of related persons in excess of 25% of the bank’s total capital. This limitation also extends to Credit Facilities granted to parties related to the ultimate parent of the banking group. However, the Banking Law establishes that, in the case of Credit Facilities granted by mixed-capital banks with headquarters in Panama whose principal business is the granting of loans to other banks, the limit is 30% of the bank’s capital funds. As confirmed by the Superintendency, the Bank currently applies the limit of 30% of the Bank’s total capital with respect to the Bank’s Credit Facilities in favor of financial institutions and the limit of 25% of the Bank’s total capital with respect to the Bank’s Credit Facilities in favor of corporations and sovereign borrowers.</w:t>
      </w:r>
    </w:p>
    <w:p>
      <w:pPr>
        <w:spacing w:after="0" w:line="139" w:lineRule="exact"/>
        <w:rPr>
          <w:sz w:val="20"/>
          <w:szCs w:val="20"/>
          <w:color w:val="auto"/>
        </w:rPr>
      </w:pPr>
    </w:p>
    <w:p>
      <w:pPr>
        <w:jc w:val="both"/>
        <w:spacing w:after="0" w:line="303" w:lineRule="auto"/>
        <w:rPr>
          <w:sz w:val="20"/>
          <w:szCs w:val="20"/>
          <w:color w:val="auto"/>
        </w:rPr>
      </w:pPr>
      <w:r>
        <w:rPr>
          <w:rFonts w:ascii="Arial" w:cs="Arial" w:eastAsia="Arial" w:hAnsi="Arial"/>
          <w:sz w:val="11"/>
          <w:szCs w:val="11"/>
          <w:color w:val="auto"/>
        </w:rPr>
        <w:t>Under the Banking Law, a bank and the ultimate parent of the banking group may not grant loans or issue guarantees or any other obligation to “related parties” that exceed (1) 5% of its total capital, in the case of unsecured transactions, and (2) 10% of its total capital, in the case of collateralized transactions (other than loans secured by deposits in the bank). For these purposes, a “related party” is (a) any one or more of the bank’s directors, (b) any shareholder of the bank that directly or indirectly owns 5% or more of the issued and outstanding capital stock of the bank, (c) any company of which one or more of the bank’s directors is a director or officer or where one or more of the bank’s directors is a guarantor of the loan or credit facility, (d) any company or entity in which the bank or any one of its directors or officers can exercise a controlling influence, (e) any company or entity in which the bank or any one of its directors or officers owns 20% or more of the issue and outstanding capital stock of the company or entity and (f) managers, officers and employees of the bank, or their respective spouses (other than home mortgage loans or guaranteed personal loans under general programs approved by the bank for employees). The Superintendency currently limits the total amount of secured and unsecured Credit Facilities (other than Credit Facilities secured by deposits in the bank) granted by a bank or the ultimate parent of a banking group to related parties to 25% of the total capital of the bank.</w:t>
      </w:r>
    </w:p>
    <w:p>
      <w:pPr>
        <w:spacing w:after="0" w:line="114" w:lineRule="exact"/>
        <w:rPr>
          <w:sz w:val="20"/>
          <w:szCs w:val="20"/>
          <w:color w:val="auto"/>
        </w:rPr>
      </w:pPr>
    </w:p>
    <w:p>
      <w:pPr>
        <w:jc w:val="both"/>
        <w:spacing w:after="0" w:line="274" w:lineRule="auto"/>
        <w:rPr>
          <w:sz w:val="20"/>
          <w:szCs w:val="20"/>
          <w:color w:val="auto"/>
        </w:rPr>
      </w:pPr>
      <w:r>
        <w:rPr>
          <w:rFonts w:ascii="Arial" w:cs="Arial" w:eastAsia="Arial" w:hAnsi="Arial"/>
          <w:sz w:val="12"/>
          <w:szCs w:val="12"/>
          <w:color w:val="auto"/>
        </w:rPr>
        <w:t>The Superintendency of Banks may authorize the total or partial exclusion of loans or credits from the computation of these limitations in cases of unsecured loans and other credits granted by mixed-capital banks with headquarters in Panama whose principal business is the granting of loans to other banks, which is the case of the Bank. This authorization is subject to the following conditions: (1) the ownership of shares in the debtor bank–directly or indirectly–by the shared director or shared officer, may not exceed 5% of the bank’s capital, or may not amount to any sum that would ensure his or her majority control over the decisions of the bank; (2) the ownership of shares in the creditor bank–directly or indirectly–by the debtor bank represented in any manner by the shared director or shared officer, may not exceed 5% of the shares outstanding of the creditor bank, or may not amount to any sum that would ensure his or her majority control over the decisions of the bank; (3) the shared director or shared officer must abstain from participating in the deliberations and in the voting process regarding the loan or credit request; and (4) the loan or credit must strictly comply with customary standards of discretion set by the grantor bank’s credit policy. The Superintendency will determine the amount of the exclusion in the case of each loan or credit submitted for its consideration.</w:t>
      </w:r>
    </w:p>
    <w:p>
      <w:pPr>
        <w:spacing w:after="0" w:line="129" w:lineRule="exact"/>
        <w:rPr>
          <w:sz w:val="20"/>
          <w:szCs w:val="20"/>
          <w:color w:val="auto"/>
        </w:rPr>
      </w:pPr>
    </w:p>
    <w:p>
      <w:pPr>
        <w:jc w:val="both"/>
        <w:ind w:right="20"/>
        <w:spacing w:after="0" w:line="254" w:lineRule="auto"/>
        <w:rPr>
          <w:sz w:val="20"/>
          <w:szCs w:val="20"/>
          <w:color w:val="auto"/>
        </w:rPr>
      </w:pPr>
      <w:r>
        <w:rPr>
          <w:rFonts w:ascii="Arial" w:cs="Arial" w:eastAsia="Arial" w:hAnsi="Arial"/>
          <w:sz w:val="13"/>
          <w:szCs w:val="13"/>
          <w:color w:val="auto"/>
        </w:rPr>
        <w:t>The Banking Law contains additional limitations and restrictions with respect to related party loans and Credit Facilities. For instance, under the Banking Law, banks may not grant Credit Facilities to any employee in an amount that exceeds the employee’s annual compensation package, and all Credit Facilities to managers, officers, employees or shareholders who are owners of 5% or more of the issued and outstanding capital stock of the lending bank or the ultimate parent of the banking group, will be made on terms and conditions similar to those given by the bank to its clients in arm’s-length transactions and which reflect market conditions for a similar type of operation. Shares of a bank cannot be pledged or offered as security for loans or Credit Facilities issued by the bank.</w:t>
      </w:r>
    </w:p>
    <w:p>
      <w:pPr>
        <w:spacing w:after="0" w:line="286"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38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40" w:name="page41"/>
    <w:bookmarkEnd w:id="40"/>
    <w:p>
      <w:pPr>
        <w:spacing w:after="0"/>
        <w:rPr>
          <w:sz w:val="20"/>
          <w:szCs w:val="20"/>
          <w:color w:val="auto"/>
        </w:rPr>
      </w:pPr>
      <w:r>
        <w:rPr>
          <w:rFonts w:ascii="Arial" w:cs="Arial" w:eastAsia="Arial" w:hAnsi="Arial"/>
          <w:sz w:val="13"/>
          <w:szCs w:val="13"/>
          <w:b w:val="1"/>
          <w:bCs w:val="1"/>
          <w:i w:val="1"/>
          <w:iCs w:val="1"/>
          <w:color w:val="auto"/>
        </w:rPr>
        <w:t>Corporate Governance</w:t>
      </w:r>
    </w:p>
    <w:p>
      <w:pPr>
        <w:spacing w:after="0" w:line="159"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The board of directors of a bank must be comprised of at least seven members, with knowledge and experience in the banking business, including at least two independent directors. The majority of the members of the board of directors may not be part of the banks’ management nor have material conflicts of interest. None of the Chief Executive Officer, Chief Operating Officer or Chief Financial Officer may preside over the board of directors. Members of the board of directors who participate in board-established committees must have specialized knowledge and experience in the areas assigned to the committees in which they participate. The board of directors shall meet at least every three months. The board of directors shall keep detailed minutes of all meetings.</w:t>
      </w:r>
    </w:p>
    <w:p>
      <w:pPr>
        <w:spacing w:after="0" w:line="137" w:lineRule="exact"/>
        <w:rPr>
          <w:sz w:val="20"/>
          <w:szCs w:val="20"/>
          <w:color w:val="auto"/>
        </w:rPr>
      </w:pPr>
    </w:p>
    <w:p>
      <w:pPr>
        <w:jc w:val="both"/>
        <w:ind w:right="20"/>
        <w:spacing w:after="0" w:line="250" w:lineRule="auto"/>
        <w:rPr>
          <w:sz w:val="20"/>
          <w:szCs w:val="20"/>
          <w:color w:val="auto"/>
        </w:rPr>
      </w:pPr>
      <w:r>
        <w:rPr>
          <w:rFonts w:ascii="Arial" w:cs="Arial" w:eastAsia="Arial" w:hAnsi="Arial"/>
          <w:sz w:val="13"/>
          <w:szCs w:val="13"/>
          <w:color w:val="auto"/>
        </w:rPr>
        <w:t>Minimum corporate governance requirements for banking institutions include: (a) documentation of corporate values, strategic objectives and codes of conduct; (b) documentation that evidences compliance with the corporate values and code of conduct of the bank; (c) a defined corporate strategy that can be used to measure the contribution to the bank of each level of the corporate governance structure; (d) the designation of responsibilities and authorized decision-making authorities within the bank, and their individual powers and approval levels; (e) the creation of a system that regulates interaction and cooperation of the board of directors, senior management and external and internal auditors; (f) creation of control systems for independent risk management; (g) prior approval, monitoring and verification of risks for credit facilities with existing conflicts of interest; (h) creation of policies for recruitment, induction, continuous and up-to-date staff training and financial and administrative incentives; (i) existence of internal and public information that guarantee the transparency of the corporate governance system; (j) creation of a direct supervision system for each level of the organizational structure; (k) external audits independent from management and the board of directors; and (l) internal audits independent from management of the bank.</w:t>
      </w:r>
    </w:p>
    <w:p>
      <w:pPr>
        <w:spacing w:after="0" w:line="142"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Integral Risk Management</w:t>
      </w:r>
    </w:p>
    <w:p>
      <w:pPr>
        <w:spacing w:after="0" w:line="159" w:lineRule="exact"/>
        <w:rPr>
          <w:sz w:val="20"/>
          <w:szCs w:val="20"/>
          <w:color w:val="auto"/>
        </w:rPr>
      </w:pPr>
    </w:p>
    <w:p>
      <w:pPr>
        <w:jc w:val="both"/>
        <w:ind w:right="20"/>
        <w:spacing w:after="0" w:line="252" w:lineRule="auto"/>
        <w:rPr>
          <w:sz w:val="20"/>
          <w:szCs w:val="20"/>
          <w:color w:val="auto"/>
        </w:rPr>
      </w:pPr>
      <w:r>
        <w:rPr>
          <w:rFonts w:ascii="Arial" w:cs="Arial" w:eastAsia="Arial" w:hAnsi="Arial"/>
          <w:sz w:val="13"/>
          <w:szCs w:val="13"/>
          <w:color w:val="auto"/>
        </w:rPr>
        <w:t>Panamanian banking regulations contain guidelines for integral risk management of financial institutions. Integral risk management is a process intended to identify potential events that can affect banks and to manage those events according to their nature and risk level. These guidelines cover the different risks that could affect banking operations such as: (i) credit risk; (ii) counterparty risk; (iii) liquidity risk; (iv) market risk; (v) operational risk; (vi) reputational risk; (vii) country risk; (viii) contagion risk; (ix) strategic risk; (x) information technology risk; and (xi) concentration risk. Banks are required to have policies for the management and mitigation of all risks to which they are exposed. The board of directors, management and the risk committee of the board of directors are responsible for compliance with the integral risk management policies created to mitigate the exposure of the bank to such risks.</w:t>
      </w:r>
    </w:p>
    <w:p>
      <w:pPr>
        <w:spacing w:after="0" w:line="139"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Additional Regulatory Requirements</w:t>
      </w:r>
    </w:p>
    <w:p>
      <w:pPr>
        <w:spacing w:after="0" w:line="159" w:lineRule="exact"/>
        <w:rPr>
          <w:sz w:val="20"/>
          <w:szCs w:val="20"/>
          <w:color w:val="auto"/>
        </w:rPr>
      </w:pPr>
    </w:p>
    <w:p>
      <w:pPr>
        <w:jc w:val="both"/>
        <w:spacing w:after="0" w:line="250" w:lineRule="auto"/>
        <w:rPr>
          <w:sz w:val="20"/>
          <w:szCs w:val="20"/>
          <w:color w:val="auto"/>
        </w:rPr>
      </w:pPr>
      <w:r>
        <w:rPr>
          <w:rFonts w:ascii="Arial" w:cs="Arial" w:eastAsia="Arial" w:hAnsi="Arial"/>
          <w:sz w:val="13"/>
          <w:szCs w:val="13"/>
          <w:color w:val="auto"/>
        </w:rPr>
        <w:t>In addition to the foregoing requirements, there are certain other requirements applicable to General License Banks, including: (1) a requirement that a bank must notify the Superintendency before opening or closing a branch or office in Panama and obtain approval from the Superintendency before opening or closing a branch or subsidiary outside Panama, (2) a requirement that a bank obtain approval from the Superintendency before it liquidates its operations, merges or consolidates with another bank or sells all or substantially all of its assets, (3) a requirement that a bank must designate the certified public accounting firm that it wishes to contract to perform external audit duties for the new fiscal term, within the first three months of each fiscal term, and notify the Superintendency within 7 days of such designation, (4) a requirement that a bank obtain prior approval from the Superintendency of the rating agency it wishes to hire to perform the risk analysis and rating of the bank, (5) a requirement that a bank must publish in a local newspaper the risk rating issued by the rating agency and any risk rating update, and (6) a requirement that a bank must provide written affirmation of the Bank’s audited financial statements signed by the Bank’s Chairman of the Board, the Chief Executive Officer and Chief Financial Officer. The subsidiaries of Panamanian banks established in foreign jurisdictions must observe the legal and regulatory provisions applicable in Panama regarding the sufficiency of capital, as prescribed under the Banking Law.</w:t>
      </w:r>
    </w:p>
    <w:p>
      <w:pPr>
        <w:spacing w:after="0" w:line="289"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39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41" w:name="page42"/>
    <w:bookmarkEnd w:id="41"/>
    <w:p>
      <w:pPr>
        <w:spacing w:after="0"/>
        <w:rPr>
          <w:sz w:val="20"/>
          <w:szCs w:val="20"/>
          <w:color w:val="auto"/>
        </w:rPr>
      </w:pPr>
      <w:r>
        <w:rPr>
          <w:rFonts w:ascii="Arial" w:cs="Arial" w:eastAsia="Arial" w:hAnsi="Arial"/>
          <w:sz w:val="13"/>
          <w:szCs w:val="13"/>
          <w:b w:val="1"/>
          <w:bCs w:val="1"/>
          <w:i w:val="1"/>
          <w:iCs w:val="1"/>
          <w:color w:val="auto"/>
        </w:rPr>
        <w:t>Supervision, Inspection and Reports</w:t>
      </w:r>
    </w:p>
    <w:p>
      <w:pPr>
        <w:spacing w:after="0" w:line="159" w:lineRule="exact"/>
        <w:rPr>
          <w:sz w:val="20"/>
          <w:szCs w:val="20"/>
          <w:color w:val="auto"/>
        </w:rPr>
      </w:pPr>
    </w:p>
    <w:p>
      <w:pPr>
        <w:jc w:val="both"/>
        <w:ind w:right="20"/>
        <w:spacing w:after="0" w:line="250" w:lineRule="auto"/>
        <w:rPr>
          <w:sz w:val="20"/>
          <w:szCs w:val="20"/>
          <w:color w:val="auto"/>
        </w:rPr>
      </w:pPr>
      <w:r>
        <w:rPr>
          <w:rFonts w:ascii="Arial" w:cs="Arial" w:eastAsia="Arial" w:hAnsi="Arial"/>
          <w:sz w:val="13"/>
          <w:szCs w:val="13"/>
          <w:color w:val="auto"/>
        </w:rPr>
        <w:t>The Banking Law regulates banks and the entire “banking group” to which each bank belongs. Banking groups are defined as the holding company and all direct and indirect subsidiaries of the holding company, including the bank in question. Banking groups must comply with audit standards and various limitations set forth in the Banking Law, in addition to all compliance required of the bank in question. The Banking Law provides that banks and banking groups in Panama are subject to inspection by the Superintendency, which must take place at least once every two years. The Superintendency is empowered to request from any bank or any company that belongs to the economic group of which a bank in Panama is a member, the documents and reports pertaining to its operations and activities. Banks are required to file with the Superintendency weekly, monthly, quarterly and annual information, including financial statements, an analysis of their Credit Facilities and any other information requested by the Superintendency. In addition, banks are required to make available for inspection any reports or documents that are necessary for the Superintendency to ensure compliance with Panamanian banking laws and regulations. Banks subject to supervision may be fined by the Superintendency for violations of Panamanian banking laws and regulations.</w:t>
      </w:r>
    </w:p>
    <w:p>
      <w:pPr>
        <w:spacing w:after="0" w:line="142"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Panamanian laws and regulations governing Anti Money Laundering, Terrorism Financing and the Prevention of the Proliferation of Weapons of Mass Destruction</w:t>
      </w:r>
    </w:p>
    <w:p>
      <w:pPr>
        <w:spacing w:after="0" w:line="159" w:lineRule="exact"/>
        <w:rPr>
          <w:sz w:val="20"/>
          <w:szCs w:val="20"/>
          <w:color w:val="auto"/>
        </w:rPr>
      </w:pPr>
    </w:p>
    <w:p>
      <w:pPr>
        <w:spacing w:after="0"/>
        <w:rPr>
          <w:sz w:val="20"/>
          <w:szCs w:val="20"/>
          <w:color w:val="auto"/>
        </w:rPr>
      </w:pPr>
      <w:r>
        <w:rPr>
          <w:rFonts w:ascii="Arial" w:cs="Arial" w:eastAsia="Arial" w:hAnsi="Arial"/>
          <w:sz w:val="11"/>
          <w:szCs w:val="11"/>
          <w:color w:val="auto"/>
        </w:rPr>
        <w:t>Panama has enacted extensive legislation and regulations to prevent and fight money laundering activities and the financing of terrorism and weapons of mass destruction by financial institutions and certain other businesses.</w:t>
      </w:r>
    </w:p>
    <w:p>
      <w:pPr>
        <w:spacing w:after="0" w:line="182"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Financial and non-financial supervised entities are subject to supervision, reporting and compliance requirements by various government agencies. The following entities are deemed to be “financial supervised entities”: (i) banks; (ii) bank groups; (iii) trust companies; (iv) leasing companies; (v) factoring companies; (vi) credit, debit or pre-paid card processing entities; (vii) companies engaged in remittances or wire transfers; and (viii) companies that provide any other service related to trust companies. These entities must comply with measures to prevent their operations and/or transactions from being used for money laundering operations, terrorism financing or any other illicit activity. Banks and trust companies are regulated and supervised by the Superintendency.</w:t>
      </w:r>
    </w:p>
    <w:p>
      <w:pPr>
        <w:spacing w:after="0" w:line="137"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The laws and regulations require supervised entities to perform due diligence reviews on their clients and their transactions. Supervised entities have the obligation to ensure that the information provided by their customers is continuously updated, especially for clients classified as higher risk clients. Banks are further required to create a system of client classification by risk profiles, based on factors such as nationality, country of birth or incorporation, domicile, profession or trade, geographic region of the customer’s activities, corporate structure, type, amount and frequency of transactions, source of funds, politically exposed persons, products, services and channels. Banks are required to know and keep information about the ultimate beneficial owner of their clients.</w:t>
      </w:r>
    </w:p>
    <w:p>
      <w:pPr>
        <w:spacing w:after="0" w:line="137" w:lineRule="exact"/>
        <w:rPr>
          <w:sz w:val="20"/>
          <w:szCs w:val="20"/>
          <w:color w:val="auto"/>
        </w:rPr>
      </w:pPr>
    </w:p>
    <w:p>
      <w:pPr>
        <w:jc w:val="both"/>
        <w:spacing w:after="0" w:line="252" w:lineRule="auto"/>
        <w:rPr>
          <w:sz w:val="20"/>
          <w:szCs w:val="20"/>
          <w:color w:val="auto"/>
        </w:rPr>
      </w:pPr>
      <w:r>
        <w:rPr>
          <w:rFonts w:ascii="Arial" w:cs="Arial" w:eastAsia="Arial" w:hAnsi="Arial"/>
          <w:sz w:val="13"/>
          <w:szCs w:val="13"/>
          <w:color w:val="auto"/>
        </w:rPr>
        <w:t>Banks are subject to supervision and monitoring measures in order to prevent the use of their banking operations and/or transactions for money laundering operations. These measures include: (i) compliance with “Know Your Customer” policies; (ii) supervision of employee activities; (iii) tracking the movement of every customer’s account to be aware of their regular activities and be able to identify unusual transactions; (iv) keeping a registry of every suspicious transaction and notifying suspicious transactions to the Financial Analysis Unit (a Panamanian governmental agency under the Ministry of the Presidency); (v) conducting internal audits at least every six months on accounts with funds exceeding $10,000, with the purpose of determining if transactions made in these accounts are consistent with the account holder’s usual behavior; and (vi) monitoring accounts of clients labelled as politically exposed persons.</w:t>
      </w:r>
    </w:p>
    <w:p>
      <w:pPr>
        <w:spacing w:after="0" w:line="288"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40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42" w:name="page43"/>
    <w:bookmarkEnd w:id="42"/>
    <w:p>
      <w:pPr>
        <w:jc w:val="both"/>
        <w:ind w:right="20"/>
        <w:spacing w:after="0" w:line="267" w:lineRule="auto"/>
        <w:rPr>
          <w:sz w:val="20"/>
          <w:szCs w:val="20"/>
          <w:color w:val="auto"/>
        </w:rPr>
      </w:pPr>
      <w:r>
        <w:rPr>
          <w:rFonts w:ascii="Arial" w:cs="Arial" w:eastAsia="Arial" w:hAnsi="Arial"/>
          <w:sz w:val="13"/>
          <w:szCs w:val="13"/>
          <w:color w:val="auto"/>
        </w:rPr>
        <w:t>Furthermore, banks that provide correspondent banking services to foreign banks must assess, review and monitor the policies and internal controls of such foreign banks to prevent money laundering, terrorism financing or any other illicit activities.</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u w:val="single" w:color="auto"/>
          <w:color w:val="auto"/>
        </w:rPr>
        <w:t>United States Law</w:t>
      </w:r>
    </w:p>
    <w:p>
      <w:pPr>
        <w:spacing w:after="0" w:line="15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Bank operates the New York Agency, a New York state-licensed agency in White Plains, New York, and maintains a direct wholly-owned non-banking subsidiary in Delaware, Bladex Holdings, which is not engaged in banking activities.</w:t>
      </w:r>
    </w:p>
    <w:p>
      <w:pPr>
        <w:spacing w:after="0" w:line="129" w:lineRule="exact"/>
        <w:rPr>
          <w:sz w:val="20"/>
          <w:szCs w:val="20"/>
          <w:color w:val="auto"/>
        </w:rPr>
      </w:pPr>
    </w:p>
    <w:p>
      <w:pPr>
        <w:jc w:val="both"/>
        <w:spacing w:after="0" w:line="276" w:lineRule="auto"/>
        <w:rPr>
          <w:sz w:val="20"/>
          <w:szCs w:val="20"/>
          <w:color w:val="auto"/>
        </w:rPr>
      </w:pPr>
      <w:r>
        <w:rPr>
          <w:rFonts w:ascii="Arial" w:cs="Arial" w:eastAsia="Arial" w:hAnsi="Arial"/>
          <w:sz w:val="12"/>
          <w:szCs w:val="12"/>
          <w:color w:val="auto"/>
        </w:rPr>
        <w:t>The U.S. banking industry is highly regulated under federal and state law. These regulations affect the operations of the Bank in the United States. Set forth below is a brief description of the bank regulatory framework that is or will be applicable to the New York Agency. This description is not intended to describe all laws and regulations applicable to the New York Agency. Banking statues, regulations and policies are continually under review by Congress and state legislatures and federal and state regulatory agencies, including changes in how they are interpreted or implemented, could have a material adverse impact on the New York Agency and its operations. In addition to laws and regulations, state and federal bank regulatory agencies (including the U.S. Federal Reserve Board) may issue policy statements, interpretive letters and similar written guidance applicable to the New York Agency (including the Bank). These issuances also may affect the conduct of the New York Agency’s business or impose additional regulatory obligations. The brief description below is qualified in its entirety by reference to the full text of the statues, regulations, policies, interpretive letters and other written guidance that are described.</w:t>
      </w:r>
    </w:p>
    <w:p>
      <w:pPr>
        <w:spacing w:after="0" w:line="126"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U.S. Federal Law</w:t>
      </w:r>
    </w:p>
    <w:p>
      <w:pPr>
        <w:spacing w:after="0" w:line="159" w:lineRule="exact"/>
        <w:rPr>
          <w:sz w:val="20"/>
          <w:szCs w:val="20"/>
          <w:color w:val="auto"/>
        </w:rPr>
      </w:pPr>
    </w:p>
    <w:p>
      <w:pPr>
        <w:jc w:val="both"/>
        <w:ind w:right="20"/>
        <w:spacing w:after="0" w:line="274" w:lineRule="auto"/>
        <w:rPr>
          <w:sz w:val="20"/>
          <w:szCs w:val="20"/>
          <w:color w:val="auto"/>
        </w:rPr>
      </w:pPr>
      <w:r>
        <w:rPr>
          <w:rFonts w:ascii="Arial" w:cs="Arial" w:eastAsia="Arial" w:hAnsi="Arial"/>
          <w:sz w:val="12"/>
          <w:szCs w:val="12"/>
          <w:color w:val="auto"/>
        </w:rPr>
        <w:t>In addition to being subject to New York state laws and regulations, the New York Agency is subject to federal regulations, primarily under the International Banking Act of 1978, as amended (“IBA”). The New York Agency is subject to examination and supervision by the U.S. Federal Reserve Board. The IBA generally extends federal banking supervision and regulation to the U.S. offices of foreign banks and to the foreign bank itself. Under the IBA, the U.S. branches and agencies of foreign banks, including the New York Agency, are subject to reserve requirements on certain deposits. At present, the New York Agency has no deposits subject to such requirements. The New York Agency also is subject to reporting and examination requirements imposed by the U.S. Federal Reserve Board similar to those imposed on domestic banks that are members of the U.S. Federal Reserve System. The Foreign Bank Supervision Enhancement Act of 1991 (the “FBSEA”), amended the IBA to enhance the authority of the U.S. Federal Reserve Board to supervise the operations of foreign banks in the United States. In particular, the FBSEA expanded the U.S. Federal Reserve Board’s authority to regulate the entry of foreign banks into the United States, supervise their ongoing operations, conduct and coordinate examinations of their U.S. offices with state banking authorities, and terminate their activities in the United States for violations of law or for unsafe or unsound banking practices.</w:t>
      </w:r>
    </w:p>
    <w:p>
      <w:pPr>
        <w:spacing w:after="0" w:line="12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In addition, under the FBSEA, state-licensed branches and agencies of foreign banks may not engage in any activity that is not permissible for a “federal branch” (i.e., a branch of a foreign bank licensed by the federal government through the OCC, rather than by a state), unless the U.S. Federal Reserve Board has determined that such activity is consistent with sound banking practices.</w:t>
      </w:r>
    </w:p>
    <w:p>
      <w:pPr>
        <w:spacing w:after="0" w:line="129"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The New York Agency does not engage in retail deposit-taking from persons in the United States. Under the FBSEA, the New York Agency may not obtain Federal Deposit Insurance Corporation (“FDIC”), insurance and generally may not accept deposits from persons in the United States, but may accept credit balances incidental to its lawful powers, from persons in the United States, and accept deposits from non-U.S. citizens who are non-U.S. residents, but must inform each customer that the deposits are not insured by the FDIC.</w:t>
      </w:r>
    </w:p>
    <w:p>
      <w:pPr>
        <w:spacing w:after="0" w:line="284"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41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43" w:name="page44"/>
    <w:bookmarkEnd w:id="43"/>
    <w:p>
      <w:pPr>
        <w:jc w:val="both"/>
        <w:spacing w:after="0" w:line="273" w:lineRule="auto"/>
        <w:rPr>
          <w:sz w:val="20"/>
          <w:szCs w:val="20"/>
          <w:color w:val="auto"/>
        </w:rPr>
      </w:pPr>
      <w:r>
        <w:rPr>
          <w:rFonts w:ascii="Arial" w:cs="Arial" w:eastAsia="Arial" w:hAnsi="Arial"/>
          <w:sz w:val="12"/>
          <w:szCs w:val="12"/>
          <w:color w:val="auto"/>
        </w:rPr>
        <w:t>The IBA also restricts the ability of a foreign bank with a branch or agency in the United States to engage in non-banking activities in the United States, to the same extent as a U.S. bank holding company. Bladex is subject to certain provisions of the Bank Holding Company Act of 1956 (the “BHCA”), because it maintains an agency in the United States. Generally, any nonbanking activity engaged in by Bladex directly or through a subsidiary in the United States is subject to certain limitations under the BHCA. Among other limitations, the provisions of the BHCA include the so-called "Volcker Rule," which may restrict proprietary trading activities conducted by Bladex and its affiliates with U.S. clients or counterparties, as well as certain private funds-related activities with US nexus. Under the Gramm-Leach-Bliley Financial Modernization Act of 1999 (the “GLB Act”), a foreign bank with a branch or agency in the United States may engage in a broader range of non-banking financial activities, provided it is qualified and has filed a declaration with the U.S. Federal Reserve Board to be a “financial holding company.” The application with the U.S. Federal Reserve Board to obtain financial holding company status, filed by the Bank on January 29, 2008, was withdrawn, effective March 2, 2012, as the Bank no longer considered the financial holding company status to be a necessary requirement in order to achieve its long-term strategic goals and objectives. At present, the Bank has a subsidiary in the United States, Bladex Holdings, a wholly-owned corporation incorporated under Delaware law that is not presently engaged in any activity.</w:t>
      </w:r>
    </w:p>
    <w:p>
      <w:pPr>
        <w:spacing w:after="0" w:line="130" w:lineRule="exact"/>
        <w:rPr>
          <w:sz w:val="20"/>
          <w:szCs w:val="20"/>
          <w:color w:val="auto"/>
        </w:rPr>
      </w:pPr>
    </w:p>
    <w:p>
      <w:pPr>
        <w:jc w:val="both"/>
        <w:spacing w:after="0" w:line="281" w:lineRule="auto"/>
        <w:rPr>
          <w:sz w:val="20"/>
          <w:szCs w:val="20"/>
          <w:color w:val="auto"/>
        </w:rPr>
      </w:pPr>
      <w:r>
        <w:rPr>
          <w:rFonts w:ascii="Arial" w:cs="Arial" w:eastAsia="Arial" w:hAnsi="Arial"/>
          <w:sz w:val="12"/>
          <w:szCs w:val="12"/>
          <w:color w:val="auto"/>
        </w:rPr>
        <w:t>In addition, pursuant to the Financial Services Regulatory Relief Act of 2006, the SEC and the U.S. Federal Reserve Board finalized Regulation R. Regulation R defines the scope of exceptions provided for in the GLB Act for securities brokerage activities which banks may conduct without registering with the SEC as securities brokers or moving such activities to a broker-dealer affiliate. The “push out” rules exceptions contained in Regulation R enable banks, subject to certain conditions, to continue to conduct securities transactions for customers as part of the bank’s trust and fiduciary, custodial, and deposit “sweep” functions, and to refer customers to a securities broker-dealer pursuant to a networking arrangement with the broker-dealer. The New York Agency is subject to Regulation R with respect to its securities activities.</w:t>
      </w:r>
    </w:p>
    <w:p>
      <w:pPr>
        <w:spacing w:after="0" w:line="124"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New York State Law</w:t>
      </w:r>
    </w:p>
    <w:p>
      <w:pPr>
        <w:spacing w:after="0" w:line="159"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The New York Agency, established in 1989, is licensed by the Superintendent of Financial Services of the State of New York (the “Superintendent”), under the New York Banking Law. The New York Agency maintains an international banking facility that also is regulated by the Superintendent and the U.S. Federal Reserve Board. The New York Agency is examined by the Department of Financial Services and is subject to banking laws and regulations applicable to a foreign bank that operates a New York agency. New York agencies of foreign banks are regulated substantially the same as, and have similar powers to, New York state-chartered banks, subject to certain exceptions (including with respect to capital requirements and deposit-taking activities).</w:t>
      </w:r>
    </w:p>
    <w:p>
      <w:pPr>
        <w:spacing w:after="0" w:line="137" w:lineRule="exact"/>
        <w:rPr>
          <w:sz w:val="20"/>
          <w:szCs w:val="20"/>
          <w:color w:val="auto"/>
        </w:rPr>
      </w:pPr>
    </w:p>
    <w:p>
      <w:pPr>
        <w:jc w:val="both"/>
        <w:ind w:right="20"/>
        <w:spacing w:after="0" w:line="254" w:lineRule="auto"/>
        <w:rPr>
          <w:sz w:val="20"/>
          <w:szCs w:val="20"/>
          <w:color w:val="auto"/>
        </w:rPr>
      </w:pPr>
      <w:r>
        <w:rPr>
          <w:rFonts w:ascii="Arial" w:cs="Arial" w:eastAsia="Arial" w:hAnsi="Arial"/>
          <w:sz w:val="13"/>
          <w:szCs w:val="13"/>
          <w:color w:val="auto"/>
        </w:rPr>
        <w:t>The Superintendent is empowered by law to require any branch or agency of a foreign bank to maintain in New York specified assets equal to a percentage of the branch’s or agency’s liabilities, as the Superintendent may designate. Under the current requirement, the New York Agency is required to maintain a pledge of a minimum of $2 million with respect to its total third-party liabilities and such pledge may be up to 1% of the agency’s third party liabilities, or upon meeting eligibility criteria, up to a maximum amount of $100 million. As of December 31, 2018, the New York Agency maintained a pledge deposit with a carrying value of $3.5 million with the New York State Department of Financial Services, above the minimum required amount.</w:t>
      </w:r>
    </w:p>
    <w:p>
      <w:pPr>
        <w:spacing w:after="0" w:line="137" w:lineRule="exact"/>
        <w:rPr>
          <w:sz w:val="20"/>
          <w:szCs w:val="20"/>
          <w:color w:val="auto"/>
        </w:rPr>
      </w:pPr>
    </w:p>
    <w:p>
      <w:pPr>
        <w:spacing w:after="0"/>
        <w:rPr>
          <w:sz w:val="20"/>
          <w:szCs w:val="20"/>
          <w:color w:val="auto"/>
        </w:rPr>
      </w:pPr>
      <w:r>
        <w:rPr>
          <w:rFonts w:ascii="Arial" w:cs="Arial" w:eastAsia="Arial" w:hAnsi="Arial"/>
          <w:sz w:val="13"/>
          <w:szCs w:val="13"/>
          <w:color w:val="auto"/>
        </w:rPr>
        <w:t>In addition, the Superintendent retains the authority to impose specific asset maintenance requirements upon individual agencies of foreign banks on a case-by-case basis.</w:t>
      </w:r>
    </w:p>
    <w:p>
      <w:pPr>
        <w:spacing w:after="0" w:line="15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New York Banking Law generally limits the amount of loans to any one person to 15% of the capital, surplus fund and undivided profits of a bank. For foreign bank agencies, the lending limits are based on the capital of the foreign bank and not that of the agency.</w:t>
      </w:r>
    </w:p>
    <w:p>
      <w:pPr>
        <w:spacing w:after="0" w:line="278"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42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44" w:name="page45"/>
    <w:bookmarkEnd w:id="44"/>
    <w:p>
      <w:pPr>
        <w:jc w:val="both"/>
        <w:ind w:right="20"/>
        <w:spacing w:after="0" w:line="254" w:lineRule="auto"/>
        <w:rPr>
          <w:sz w:val="20"/>
          <w:szCs w:val="20"/>
          <w:color w:val="auto"/>
        </w:rPr>
      </w:pPr>
      <w:r>
        <w:rPr>
          <w:rFonts w:ascii="Arial" w:cs="Arial" w:eastAsia="Arial" w:hAnsi="Arial"/>
          <w:sz w:val="13"/>
          <w:szCs w:val="13"/>
          <w:color w:val="auto"/>
        </w:rPr>
        <w:t>The Superintendent is authorized to take possession of the business and property of a New York agency of a foreign bank whenever an event occurs that would permit the Superintendent to take possession of the business and property of a state-chartered bank. These events include the violation of any law, unsafe business practices, an impairment of capital, and the suspension of payments of obligations. In liquidating or dealing with an agency’s business after taking possession of the agency, the New York Banking Law provides that the claims of creditors which arose out of transactions with the agency may be granted a priority with respect to the agency’s assets over other creditors of the foreign bank.</w:t>
      </w:r>
    </w:p>
    <w:p>
      <w:pPr>
        <w:spacing w:after="0" w:line="137"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U.S. Anti-Money Laundering Laws</w:t>
      </w:r>
    </w:p>
    <w:p>
      <w:pPr>
        <w:spacing w:after="0" w:line="159" w:lineRule="exact"/>
        <w:rPr>
          <w:sz w:val="20"/>
          <w:szCs w:val="20"/>
          <w:color w:val="auto"/>
        </w:rPr>
      </w:pPr>
    </w:p>
    <w:p>
      <w:pPr>
        <w:jc w:val="both"/>
        <w:ind w:right="20"/>
        <w:spacing w:after="0" w:line="305" w:lineRule="auto"/>
        <w:rPr>
          <w:sz w:val="20"/>
          <w:szCs w:val="20"/>
          <w:color w:val="auto"/>
        </w:rPr>
      </w:pPr>
      <w:r>
        <w:rPr>
          <w:rFonts w:ascii="Arial" w:cs="Arial" w:eastAsia="Arial" w:hAnsi="Arial"/>
          <w:sz w:val="11"/>
          <w:szCs w:val="11"/>
          <w:color w:val="auto"/>
        </w:rPr>
        <w:t>U.S. anti-money laundering laws, including the Financial Recordkeeping and Reporting of Currency and Foreign Transactions Act of 1970 (commonly known as the Bank Secrecy Act), as amended by the Uniting and Strengthening America by Providing Appropriate Tools Required to Intercept and Obstruct Terrorism Act of 2001 (commonly referred to as the PATRIOT Act), impose significant compliance and due diligence obligations, on financial institutions doing business in the United States, including, among other things, requiring these financial institutions to maintain appropriate records, file certain reports involving currency transactions, conduct certain due diligence with respect to their customers and establish anti-money laundering compliance programs designed to detect and report suspicious or unusual activity. The New York Agency is a “financial institution” for these purposes. The failure of a financial institution to comply with the requirements of these laws and regulations could have serious legal, reputational and financial consequences for such institution. The New York Agency has adopted risk-based policies and procedures reasonably designed to promote compliance in all material respects with these laws and their implementing regulations.</w:t>
      </w:r>
    </w:p>
    <w:p>
      <w:pPr>
        <w:spacing w:after="0" w:line="114"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U.S. Economic or Financial Sanctions, Requirements or Trade Embargoes</w:t>
      </w:r>
    </w:p>
    <w:p>
      <w:pPr>
        <w:spacing w:after="0" w:line="159" w:lineRule="exact"/>
        <w:rPr>
          <w:sz w:val="20"/>
          <w:szCs w:val="20"/>
          <w:color w:val="auto"/>
        </w:rPr>
      </w:pPr>
    </w:p>
    <w:p>
      <w:pPr>
        <w:jc w:val="both"/>
        <w:spacing w:after="0" w:line="251" w:lineRule="auto"/>
        <w:rPr>
          <w:sz w:val="20"/>
          <w:szCs w:val="20"/>
          <w:color w:val="auto"/>
        </w:rPr>
      </w:pPr>
      <w:r>
        <w:rPr>
          <w:rFonts w:ascii="Arial" w:cs="Arial" w:eastAsia="Arial" w:hAnsi="Arial"/>
          <w:sz w:val="13"/>
          <w:szCs w:val="13"/>
          <w:color w:val="auto"/>
        </w:rPr>
        <w:t>The economic or financial sanctions, requirements or trade embargoes (collectively, the “Sanctions”) imposed, administered or enforced from time to time by the U.S. Department of the Treasury’s Office of Foreign Assets Control (“OFAC”) and other U.S. governmental authorities, require all U.S. persons, including U.S. branches or agencies of foreign banks operating in the U.S. (such as the New York Agency) to comply with these sanctions, and require U.S. financial institutions to block accounts and other property of, or reject unlicensed trade and financial transactions with specified countries, entities, and individuals. Failure to comply with applicable Sanctions can have serious legal, reputational and financial consequences for an institution subject to these requirements and Sanctions, in general, may have a direct or indirect adverse impact on the business or operations of parties that engage in trade finance or international commerce. The New York Agency has adopted risk-based policies and procedures reasonably designed to promote compliance in all material respects with applicable Sanctions.</w:t>
      </w:r>
    </w:p>
    <w:p>
      <w:pPr>
        <w:spacing w:after="0" w:line="140"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Other U.S. Laws/Regulations</w:t>
      </w:r>
    </w:p>
    <w:p>
      <w:pPr>
        <w:spacing w:after="0" w:line="15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New York Agency’s operations are also subject to federal or state laws and regulations applicable to financial institutions which relate to credit transactions and financial privacy. These laws, include, without limitation, the following:</w:t>
      </w:r>
    </w:p>
    <w:p>
      <w:pPr>
        <w:spacing w:after="0" w:line="129" w:lineRule="exact"/>
        <w:rPr>
          <w:sz w:val="20"/>
          <w:szCs w:val="20"/>
          <w:color w:val="auto"/>
        </w:rPr>
      </w:pPr>
    </w:p>
    <w:p>
      <w:pPr>
        <w:ind w:left="460" w:hanging="232"/>
        <w:spacing w:after="0"/>
        <w:tabs>
          <w:tab w:leader="none" w:pos="460" w:val="left"/>
        </w:tabs>
        <w:numPr>
          <w:ilvl w:val="0"/>
          <w:numId w:val="20"/>
        </w:numPr>
        <w:rPr>
          <w:rFonts w:ascii="Arial" w:cs="Arial" w:eastAsia="Arial" w:hAnsi="Arial"/>
          <w:sz w:val="13"/>
          <w:szCs w:val="13"/>
          <w:color w:val="auto"/>
        </w:rPr>
      </w:pPr>
      <w:r>
        <w:rPr>
          <w:rFonts w:ascii="Arial" w:cs="Arial" w:eastAsia="Arial" w:hAnsi="Arial"/>
          <w:sz w:val="13"/>
          <w:szCs w:val="13"/>
          <w:color w:val="auto"/>
        </w:rPr>
        <w:t>State usury laws and federal laws concerning interest rates and other charges collected or contracted for by the New York Agency;</w:t>
      </w:r>
    </w:p>
    <w:p>
      <w:pPr>
        <w:spacing w:after="0" w:line="12" w:lineRule="exact"/>
        <w:rPr>
          <w:rFonts w:ascii="Arial" w:cs="Arial" w:eastAsia="Arial" w:hAnsi="Arial"/>
          <w:sz w:val="13"/>
          <w:szCs w:val="13"/>
          <w:color w:val="auto"/>
        </w:rPr>
      </w:pPr>
    </w:p>
    <w:p>
      <w:pPr>
        <w:ind w:left="460" w:hanging="232"/>
        <w:spacing w:after="0"/>
        <w:tabs>
          <w:tab w:leader="none" w:pos="460" w:val="left"/>
        </w:tabs>
        <w:numPr>
          <w:ilvl w:val="0"/>
          <w:numId w:val="20"/>
        </w:numPr>
        <w:rPr>
          <w:rFonts w:ascii="Arial" w:cs="Arial" w:eastAsia="Arial" w:hAnsi="Arial"/>
          <w:sz w:val="13"/>
          <w:szCs w:val="13"/>
          <w:color w:val="auto"/>
        </w:rPr>
      </w:pPr>
      <w:r>
        <w:rPr>
          <w:rFonts w:ascii="Arial" w:cs="Arial" w:eastAsia="Arial" w:hAnsi="Arial"/>
          <w:sz w:val="13"/>
          <w:szCs w:val="13"/>
          <w:color w:val="auto"/>
        </w:rPr>
        <w:t>Equal Credit Opportunity Act, prohibiting discrimination on the basis of race, creed or other prohibited factors in extending credit;</w:t>
      </w:r>
    </w:p>
    <w:p>
      <w:pPr>
        <w:spacing w:after="0" w:line="4" w:lineRule="exact"/>
        <w:rPr>
          <w:rFonts w:ascii="Arial" w:cs="Arial" w:eastAsia="Arial" w:hAnsi="Arial"/>
          <w:sz w:val="13"/>
          <w:szCs w:val="13"/>
          <w:color w:val="auto"/>
        </w:rPr>
      </w:pPr>
    </w:p>
    <w:p>
      <w:pPr>
        <w:ind w:left="460" w:right="20" w:hanging="232"/>
        <w:spacing w:after="0" w:line="247" w:lineRule="auto"/>
        <w:tabs>
          <w:tab w:leader="none" w:pos="460" w:val="left"/>
        </w:tabs>
        <w:numPr>
          <w:ilvl w:val="0"/>
          <w:numId w:val="20"/>
        </w:numPr>
        <w:rPr>
          <w:rFonts w:ascii="Arial" w:cs="Arial" w:eastAsia="Arial" w:hAnsi="Arial"/>
          <w:sz w:val="13"/>
          <w:szCs w:val="13"/>
          <w:color w:val="auto"/>
        </w:rPr>
      </w:pPr>
      <w:r>
        <w:rPr>
          <w:rFonts w:ascii="Arial" w:cs="Arial" w:eastAsia="Arial" w:hAnsi="Arial"/>
          <w:sz w:val="13"/>
          <w:szCs w:val="13"/>
          <w:color w:val="auto"/>
        </w:rPr>
        <w:t>Check Clearing for the 21st Century Act (also known as “Check 21”), which gives “substitute checks,” such as digital check images and copies made from that image, the same legal standing as the original paper check; and</w:t>
      </w:r>
    </w:p>
    <w:p>
      <w:pPr>
        <w:ind w:left="460" w:hanging="232"/>
        <w:spacing w:after="0"/>
        <w:tabs>
          <w:tab w:leader="none" w:pos="460" w:val="left"/>
        </w:tabs>
        <w:numPr>
          <w:ilvl w:val="0"/>
          <w:numId w:val="20"/>
        </w:numPr>
        <w:rPr>
          <w:rFonts w:ascii="Arial" w:cs="Arial" w:eastAsia="Arial" w:hAnsi="Arial"/>
          <w:sz w:val="13"/>
          <w:szCs w:val="13"/>
          <w:color w:val="auto"/>
        </w:rPr>
      </w:pPr>
      <w:r>
        <w:rPr>
          <w:rFonts w:ascii="Arial" w:cs="Arial" w:eastAsia="Arial" w:hAnsi="Arial"/>
          <w:sz w:val="13"/>
          <w:szCs w:val="13"/>
          <w:color w:val="auto"/>
        </w:rPr>
        <w:t>Rules and regulations of the various state and federal agencies charged with the responsibility of implementing such state or federal laws.</w:t>
      </w:r>
    </w:p>
    <w:p>
      <w:pPr>
        <w:spacing w:after="0" w:line="150"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Information Security</w:t>
      </w:r>
    </w:p>
    <w:p>
      <w:pPr>
        <w:spacing w:after="0" w:line="159" w:lineRule="exact"/>
        <w:rPr>
          <w:sz w:val="20"/>
          <w:szCs w:val="20"/>
          <w:color w:val="auto"/>
        </w:rPr>
      </w:pPr>
    </w:p>
    <w:p>
      <w:pPr>
        <w:ind w:right="20"/>
        <w:spacing w:after="0" w:line="310" w:lineRule="auto"/>
        <w:rPr>
          <w:sz w:val="20"/>
          <w:szCs w:val="20"/>
          <w:color w:val="auto"/>
        </w:rPr>
      </w:pPr>
      <w:r>
        <w:rPr>
          <w:rFonts w:ascii="Arial" w:cs="Arial" w:eastAsia="Arial" w:hAnsi="Arial"/>
          <w:sz w:val="12"/>
          <w:szCs w:val="12"/>
          <w:color w:val="auto"/>
        </w:rPr>
        <w:t>The Bank has approved policies and implemented procedures defining roles and responsibilities for managing information security as part of the Information Security and Technological Risk Management Framework. These policies and procedures cover any access to data, resource management and information systems by the Bank’s employees, providers and suppliers, as well as any other person dealing with the Bank.</w:t>
      </w:r>
    </w:p>
    <w:p>
      <w:pPr>
        <w:spacing w:after="0" w:line="106" w:lineRule="exact"/>
        <w:rPr>
          <w:sz w:val="20"/>
          <w:szCs w:val="20"/>
          <w:color w:val="auto"/>
        </w:rPr>
      </w:pPr>
    </w:p>
    <w:p>
      <w:pPr>
        <w:spacing w:after="0" w:line="267" w:lineRule="auto"/>
        <w:rPr>
          <w:sz w:val="20"/>
          <w:szCs w:val="20"/>
          <w:color w:val="auto"/>
        </w:rPr>
      </w:pPr>
      <w:r>
        <w:rPr>
          <w:rFonts w:ascii="Arial" w:cs="Arial" w:eastAsia="Arial" w:hAnsi="Arial"/>
          <w:sz w:val="13"/>
          <w:szCs w:val="13"/>
          <w:color w:val="auto"/>
        </w:rPr>
        <w:t>The Bank’s Information Security Team is responsible for overseeing compliance with the policies and procedures by any person with access to our systems. The Bank also engages independent third-party reviews of its cyber-security program.</w:t>
      </w:r>
    </w:p>
    <w:p>
      <w:pPr>
        <w:spacing w:after="0" w:line="129"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The cyber-security program was developed using a holistic approach, which enables us to cover both the technical and strategic measures in one program. This program is based on four fundamental pillars: Perimeter Security, Service and Infrastructure Security, User Security and Data Security.</w:t>
      </w:r>
    </w:p>
    <w:p>
      <w:pPr>
        <w:spacing w:after="0" w:line="278"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43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45" w:name="page46"/>
    <w:bookmarkEnd w:id="45"/>
    <w:p>
      <w:pPr>
        <w:ind w:left="3"/>
        <w:spacing w:after="0"/>
        <w:rPr>
          <w:sz w:val="20"/>
          <w:szCs w:val="20"/>
          <w:color w:val="auto"/>
        </w:rPr>
      </w:pPr>
      <w:r>
        <w:rPr>
          <w:rFonts w:ascii="Arial" w:cs="Arial" w:eastAsia="Arial" w:hAnsi="Arial"/>
          <w:sz w:val="13"/>
          <w:szCs w:val="13"/>
          <w:b w:val="1"/>
          <w:bCs w:val="1"/>
          <w:i w:val="1"/>
          <w:iCs w:val="1"/>
          <w:color w:val="auto"/>
        </w:rPr>
        <w:t>Seasonality</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Bank’s business is not materially affected by seasonality.</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Raw Materials</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Bank is not dependent on sources or availability of raw materials.</w:t>
      </w:r>
    </w:p>
    <w:p>
      <w:pPr>
        <w:spacing w:after="0" w:line="155" w:lineRule="exact"/>
        <w:rPr>
          <w:sz w:val="20"/>
          <w:szCs w:val="20"/>
          <w:color w:val="auto"/>
        </w:rPr>
      </w:pPr>
    </w:p>
    <w:p>
      <w:pPr>
        <w:ind w:left="463" w:hanging="463"/>
        <w:spacing w:after="0"/>
        <w:tabs>
          <w:tab w:leader="none" w:pos="463" w:val="left"/>
        </w:tabs>
        <w:numPr>
          <w:ilvl w:val="0"/>
          <w:numId w:val="21"/>
        </w:numPr>
        <w:rPr>
          <w:rFonts w:ascii="Arial" w:cs="Arial" w:eastAsia="Arial" w:hAnsi="Arial"/>
          <w:sz w:val="13"/>
          <w:szCs w:val="13"/>
          <w:b w:val="1"/>
          <w:bCs w:val="1"/>
          <w:color w:val="auto"/>
        </w:rPr>
      </w:pPr>
      <w:r>
        <w:rPr>
          <w:rFonts w:ascii="Arial" w:cs="Arial" w:eastAsia="Arial" w:hAnsi="Arial"/>
          <w:sz w:val="13"/>
          <w:szCs w:val="13"/>
          <w:b w:val="1"/>
          <w:bCs w:val="1"/>
          <w:color w:val="auto"/>
        </w:rPr>
        <w:t>Organizational Structure</w:t>
      </w:r>
    </w:p>
    <w:p>
      <w:pPr>
        <w:spacing w:after="0" w:line="163" w:lineRule="exact"/>
        <w:rPr>
          <w:sz w:val="20"/>
          <w:szCs w:val="20"/>
          <w:color w:val="auto"/>
        </w:rPr>
      </w:pPr>
    </w:p>
    <w:p>
      <w:pPr>
        <w:ind w:left="3"/>
        <w:spacing w:after="0"/>
        <w:rPr>
          <w:sz w:val="20"/>
          <w:szCs w:val="20"/>
          <w:color w:val="auto"/>
        </w:rPr>
      </w:pPr>
      <w:r>
        <w:rPr>
          <w:rFonts w:ascii="Arial" w:cs="Arial" w:eastAsia="Arial" w:hAnsi="Arial"/>
          <w:sz w:val="13"/>
          <w:szCs w:val="13"/>
          <w:color w:val="auto"/>
        </w:rPr>
        <w:t>For information regarding the Bank’s organizational structure, see Item 18, “Financial Statements,” note 1.</w:t>
      </w:r>
    </w:p>
    <w:p>
      <w:pPr>
        <w:spacing w:after="0" w:line="155" w:lineRule="exact"/>
        <w:rPr>
          <w:sz w:val="20"/>
          <w:szCs w:val="20"/>
          <w:color w:val="auto"/>
        </w:rPr>
      </w:pPr>
    </w:p>
    <w:p>
      <w:pPr>
        <w:ind w:left="463" w:hanging="463"/>
        <w:spacing w:after="0"/>
        <w:tabs>
          <w:tab w:leader="none" w:pos="463" w:val="left"/>
        </w:tabs>
        <w:numPr>
          <w:ilvl w:val="0"/>
          <w:numId w:val="22"/>
        </w:numPr>
        <w:rPr>
          <w:rFonts w:ascii="Arial" w:cs="Arial" w:eastAsia="Arial" w:hAnsi="Arial"/>
          <w:sz w:val="13"/>
          <w:szCs w:val="13"/>
          <w:b w:val="1"/>
          <w:bCs w:val="1"/>
          <w:color w:val="auto"/>
        </w:rPr>
      </w:pPr>
      <w:r>
        <w:rPr>
          <w:rFonts w:ascii="Arial" w:cs="Arial" w:eastAsia="Arial" w:hAnsi="Arial"/>
          <w:sz w:val="13"/>
          <w:szCs w:val="13"/>
          <w:b w:val="1"/>
          <w:bCs w:val="1"/>
          <w:color w:val="auto"/>
        </w:rPr>
        <w:t>Property, Plant and Equipment</w:t>
      </w:r>
    </w:p>
    <w:p>
      <w:pPr>
        <w:spacing w:after="0" w:line="163" w:lineRule="exact"/>
        <w:rPr>
          <w:sz w:val="20"/>
          <w:szCs w:val="20"/>
          <w:color w:val="auto"/>
        </w:rPr>
      </w:pPr>
    </w:p>
    <w:p>
      <w:pPr>
        <w:jc w:val="both"/>
        <w:ind w:left="3" w:right="20"/>
        <w:spacing w:after="0" w:line="310" w:lineRule="auto"/>
        <w:rPr>
          <w:sz w:val="20"/>
          <w:szCs w:val="20"/>
          <w:color w:val="auto"/>
        </w:rPr>
      </w:pPr>
      <w:r>
        <w:rPr>
          <w:rFonts w:ascii="Arial" w:cs="Arial" w:eastAsia="Arial" w:hAnsi="Arial"/>
          <w:sz w:val="12"/>
          <w:szCs w:val="12"/>
          <w:color w:val="auto"/>
        </w:rPr>
        <w:t>The Bank leases its headquarters, which comprises 4,990 square meters of office space, located at Business Park - Tower V, Costa del Este, Panama City, Panama. The Bank leases computer hosting equipment spaces located at Gavilan Street Balboa, Panama City, Panama and 21 square meters of office space and internet access, as a contingency, located at 75E Street San Francisco, Panama City, Panama.</w:t>
      </w:r>
    </w:p>
    <w:p>
      <w:pPr>
        <w:spacing w:after="0" w:line="106"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In addition, the Bank leases office space for its representative offices in Mexico City, Mexico; Buenos Aires, Argentina; Lima, Peru; Bogotá, Colombia; São Paulo, Brazil; and its New York Agency in White Plains, New York.</w:t>
      </w:r>
    </w:p>
    <w:p>
      <w:pPr>
        <w:spacing w:after="0" w:line="125" w:lineRule="exact"/>
        <w:rPr>
          <w:sz w:val="20"/>
          <w:szCs w:val="20"/>
          <w:color w:val="auto"/>
        </w:rPr>
      </w:pPr>
    </w:p>
    <w:p>
      <w:pPr>
        <w:ind w:left="3"/>
        <w:spacing w:after="0"/>
        <w:tabs>
          <w:tab w:leader="none" w:pos="903" w:val="left"/>
        </w:tabs>
        <w:rPr>
          <w:sz w:val="20"/>
          <w:szCs w:val="20"/>
          <w:color w:val="auto"/>
        </w:rPr>
      </w:pPr>
      <w:r>
        <w:rPr>
          <w:rFonts w:ascii="Arial" w:cs="Arial" w:eastAsia="Arial" w:hAnsi="Arial"/>
          <w:sz w:val="13"/>
          <w:szCs w:val="13"/>
          <w:b w:val="1"/>
          <w:bCs w:val="1"/>
          <w:color w:val="auto"/>
        </w:rPr>
        <w:t>Item 4A.</w:t>
      </w:r>
      <w:r>
        <w:rPr>
          <w:sz w:val="20"/>
          <w:szCs w:val="20"/>
          <w:color w:val="auto"/>
        </w:rPr>
        <w:tab/>
      </w:r>
      <w:r>
        <w:rPr>
          <w:rFonts w:ascii="Arial" w:cs="Arial" w:eastAsia="Arial" w:hAnsi="Arial"/>
          <w:sz w:val="11"/>
          <w:szCs w:val="11"/>
          <w:b w:val="1"/>
          <w:bCs w:val="1"/>
          <w:color w:val="auto"/>
        </w:rPr>
        <w:t>Unresolved Staff Comments</w:t>
      </w:r>
    </w:p>
    <w:p>
      <w:pPr>
        <w:spacing w:after="0" w:line="163" w:lineRule="exact"/>
        <w:rPr>
          <w:sz w:val="20"/>
          <w:szCs w:val="20"/>
          <w:color w:val="auto"/>
        </w:rPr>
      </w:pPr>
    </w:p>
    <w:p>
      <w:pPr>
        <w:ind w:left="923"/>
        <w:spacing w:after="0"/>
        <w:rPr>
          <w:sz w:val="20"/>
          <w:szCs w:val="20"/>
          <w:color w:val="auto"/>
        </w:rPr>
      </w:pPr>
      <w:r>
        <w:rPr>
          <w:rFonts w:ascii="Arial" w:cs="Arial" w:eastAsia="Arial" w:hAnsi="Arial"/>
          <w:sz w:val="13"/>
          <w:szCs w:val="13"/>
          <w:color w:val="auto"/>
        </w:rPr>
        <w:t>None.</w:t>
      </w:r>
    </w:p>
    <w:p>
      <w:pPr>
        <w:spacing w:after="0" w:line="155" w:lineRule="exact"/>
        <w:rPr>
          <w:sz w:val="20"/>
          <w:szCs w:val="20"/>
          <w:color w:val="auto"/>
        </w:rPr>
      </w:pPr>
    </w:p>
    <w:p>
      <w:pPr>
        <w:ind w:left="3"/>
        <w:spacing w:after="0"/>
        <w:tabs>
          <w:tab w:leader="none" w:pos="903" w:val="left"/>
        </w:tabs>
        <w:rPr>
          <w:sz w:val="20"/>
          <w:szCs w:val="20"/>
          <w:color w:val="auto"/>
        </w:rPr>
      </w:pPr>
      <w:r>
        <w:rPr>
          <w:rFonts w:ascii="Arial" w:cs="Arial" w:eastAsia="Arial" w:hAnsi="Arial"/>
          <w:sz w:val="13"/>
          <w:szCs w:val="13"/>
          <w:b w:val="1"/>
          <w:bCs w:val="1"/>
          <w:color w:val="auto"/>
        </w:rPr>
        <w:t>Item 5.</w:t>
      </w:r>
      <w:r>
        <w:rPr>
          <w:sz w:val="20"/>
          <w:szCs w:val="20"/>
          <w:color w:val="auto"/>
        </w:rPr>
        <w:tab/>
      </w:r>
      <w:r>
        <w:rPr>
          <w:rFonts w:ascii="Arial" w:cs="Arial" w:eastAsia="Arial" w:hAnsi="Arial"/>
          <w:sz w:val="11"/>
          <w:szCs w:val="11"/>
          <w:b w:val="1"/>
          <w:bCs w:val="1"/>
          <w:color w:val="auto"/>
        </w:rPr>
        <w:t>Operating and Financial Review and Prospects</w:t>
      </w:r>
    </w:p>
    <w:p>
      <w:pPr>
        <w:spacing w:after="0" w:line="163" w:lineRule="exact"/>
        <w:rPr>
          <w:sz w:val="20"/>
          <w:szCs w:val="20"/>
          <w:color w:val="auto"/>
        </w:rPr>
      </w:pPr>
    </w:p>
    <w:p>
      <w:pPr>
        <w:jc w:val="both"/>
        <w:ind w:left="3"/>
        <w:spacing w:after="0" w:line="309" w:lineRule="auto"/>
        <w:rPr>
          <w:sz w:val="20"/>
          <w:szCs w:val="20"/>
          <w:color w:val="auto"/>
        </w:rPr>
      </w:pPr>
      <w:r>
        <w:rPr>
          <w:rFonts w:ascii="Arial" w:cs="Arial" w:eastAsia="Arial" w:hAnsi="Arial"/>
          <w:sz w:val="11"/>
          <w:szCs w:val="11"/>
          <w:color w:val="auto"/>
        </w:rPr>
        <w:t>The following discussion and analysis of the Bank’s financial condition and results of operations should be read in conjunction with the Bank’s Consolidated Financial Statements and the related notes included elsewhere in this Annual Report. See Item 18, “Financial Statements.” The Bank’s consolidated financial position as of December 31, 2016 should be read in conjunction with the Bank’s audited financial statements included in the Bank’s Annual Report on Form 20-F for the year ended December 31, 2017, filed with the SEC on April 30, 2018. This discussion may contain forward-looking statements based upon current expectations that involve risks and uncertainties. The Bank’s actual results may differ materially from those anticipated in these forward-looking statements as a result of various factors, including those set forth under “Item 3. Key Information—D. Risk Factors” or in other parts of this Annual Report. The Bank’s Consolidated Financial Statements and the financial information discussed below have been prepared in accordance with IFRS.</w:t>
      </w:r>
    </w:p>
    <w:p>
      <w:pPr>
        <w:spacing w:after="0" w:line="106"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Nature of Earnings</w:t>
      </w:r>
    </w:p>
    <w:p>
      <w:pPr>
        <w:spacing w:after="0" w:line="163" w:lineRule="exact"/>
        <w:rPr>
          <w:sz w:val="20"/>
          <w:szCs w:val="20"/>
          <w:color w:val="auto"/>
        </w:rPr>
      </w:pPr>
    </w:p>
    <w:p>
      <w:pPr>
        <w:jc w:val="both"/>
        <w:ind w:left="3"/>
        <w:spacing w:after="0" w:line="289" w:lineRule="auto"/>
        <w:rPr>
          <w:sz w:val="20"/>
          <w:szCs w:val="20"/>
          <w:color w:val="auto"/>
        </w:rPr>
      </w:pPr>
      <w:r>
        <w:rPr>
          <w:rFonts w:ascii="Arial" w:cs="Arial" w:eastAsia="Arial" w:hAnsi="Arial"/>
          <w:sz w:val="12"/>
          <w:szCs w:val="12"/>
          <w:color w:val="auto"/>
        </w:rPr>
        <w:t>The Bank derives income from net interest income and net other income, which includes fees and commissions, net, gain (loss) on financial instruments, net, and other income, net. Net interest income, or the difference between the interest income the Bank receives on its interest-earning assets and the interest expense the Bank pays on interest-bearing liabilities, is generated principally by the Bank’s lending activities. The Bank generates fees and commissions mainly through the issuance, confirmation and negotiation of letters of credit, guarantees, and credit commitments, and through loan structuring and syndication activities.</w:t>
      </w:r>
    </w:p>
    <w:p>
      <w:pPr>
        <w:spacing w:after="0" w:line="266"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44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9" w:right="199" w:bottom="1440" w:gutter="0" w:footer="0" w:header="0"/>
        </w:sectPr>
      </w:pPr>
    </w:p>
    <w:bookmarkStart w:id="46" w:name="page47"/>
    <w:bookmarkEnd w:id="46"/>
    <w:p>
      <w:pPr>
        <w:ind w:left="463" w:hanging="463"/>
        <w:spacing w:after="0"/>
        <w:tabs>
          <w:tab w:leader="none" w:pos="463" w:val="left"/>
        </w:tabs>
        <w:numPr>
          <w:ilvl w:val="0"/>
          <w:numId w:val="23"/>
        </w:numPr>
        <w:rPr>
          <w:rFonts w:ascii="Arial" w:cs="Arial" w:eastAsia="Arial" w:hAnsi="Arial"/>
          <w:sz w:val="13"/>
          <w:szCs w:val="13"/>
          <w:b w:val="1"/>
          <w:bCs w:val="1"/>
          <w:color w:val="auto"/>
        </w:rPr>
      </w:pPr>
      <w:r>
        <w:rPr>
          <w:rFonts w:ascii="Arial" w:cs="Arial" w:eastAsia="Arial" w:hAnsi="Arial"/>
          <w:sz w:val="13"/>
          <w:szCs w:val="13"/>
          <w:b w:val="1"/>
          <w:bCs w:val="1"/>
          <w:color w:val="auto"/>
        </w:rPr>
        <w:t>Operating Results</w:t>
      </w:r>
    </w:p>
    <w:p>
      <w:pPr>
        <w:spacing w:after="0" w:line="163" w:lineRule="exact"/>
        <w:rPr>
          <w:sz w:val="20"/>
          <w:szCs w:val="20"/>
          <w:color w:val="auto"/>
        </w:rPr>
      </w:pPr>
    </w:p>
    <w:p>
      <w:pPr>
        <w:ind w:left="3" w:right="20"/>
        <w:spacing w:after="0" w:line="267" w:lineRule="auto"/>
        <w:rPr>
          <w:sz w:val="20"/>
          <w:szCs w:val="20"/>
          <w:color w:val="auto"/>
        </w:rPr>
      </w:pPr>
      <w:r>
        <w:rPr>
          <w:rFonts w:ascii="Arial" w:cs="Arial" w:eastAsia="Arial" w:hAnsi="Arial"/>
          <w:sz w:val="13"/>
          <w:szCs w:val="13"/>
          <w:color w:val="auto"/>
        </w:rPr>
        <w:t>The following table summarizes changes in components of the Bank’s profit for the year and performance for the periods indicated. The operating results in any period are not indicative of the results that may be expected for any future period.</w:t>
      </w:r>
    </w:p>
    <w:p>
      <w:pPr>
        <w:spacing w:after="0" w:line="125" w:lineRule="exact"/>
        <w:rPr>
          <w:sz w:val="20"/>
          <w:szCs w:val="20"/>
          <w:color w:val="auto"/>
        </w:rPr>
      </w:pPr>
    </w:p>
    <w:tbl>
      <w:tblPr>
        <w:tblLayout w:type="fixed"/>
        <w:tblInd w:w="3" w:type="dxa"/>
        <w:tblCellMar>
          <w:top w:w="0" w:type="dxa"/>
          <w:left w:w="0" w:type="dxa"/>
          <w:bottom w:w="0" w:type="dxa"/>
          <w:right w:w="0" w:type="dxa"/>
        </w:tblCellMar>
      </w:tblPr>
      <w:tr>
        <w:trPr>
          <w:trHeight w:val="164"/>
        </w:trPr>
        <w:tc>
          <w:tcPr>
            <w:tcW w:w="20" w:type="dxa"/>
            <w:vAlign w:val="bottom"/>
          </w:tcPr>
          <w:p>
            <w:pPr>
              <w:spacing w:after="0"/>
              <w:rPr>
                <w:sz w:val="14"/>
                <w:szCs w:val="14"/>
                <w:color w:val="auto"/>
              </w:rPr>
            </w:pPr>
          </w:p>
        </w:tc>
        <w:tc>
          <w:tcPr>
            <w:tcW w:w="710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2480" w:type="dxa"/>
            <w:vAlign w:val="bottom"/>
            <w:gridSpan w:val="6"/>
          </w:tcPr>
          <w:p>
            <w:pPr>
              <w:jc w:val="right"/>
              <w:ind w:right="172"/>
              <w:spacing w:after="0"/>
              <w:rPr>
                <w:sz w:val="20"/>
                <w:szCs w:val="20"/>
                <w:color w:val="auto"/>
              </w:rPr>
            </w:pPr>
            <w:r>
              <w:rPr>
                <w:rFonts w:ascii="Arial" w:cs="Arial" w:eastAsia="Arial" w:hAnsi="Arial"/>
                <w:sz w:val="13"/>
                <w:szCs w:val="13"/>
                <w:b w:val="1"/>
                <w:bCs w:val="1"/>
                <w:color w:val="auto"/>
              </w:rPr>
              <w:t>For the Year Ended December 31,</w:t>
            </w:r>
          </w:p>
        </w:tc>
        <w:tc>
          <w:tcPr>
            <w:tcW w:w="9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7100" w:type="dxa"/>
            <w:vAlign w:val="bottom"/>
          </w:tcPr>
          <w:p>
            <w:pPr>
              <w:spacing w:after="0"/>
              <w:rPr>
                <w:sz w:val="14"/>
                <w:szCs w:val="14"/>
                <w:color w:val="auto"/>
              </w:rPr>
            </w:pPr>
          </w:p>
        </w:tc>
        <w:tc>
          <w:tcPr>
            <w:tcW w:w="78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2018</w:t>
            </w:r>
          </w:p>
        </w:tc>
        <w:tc>
          <w:tcPr>
            <w:tcW w:w="50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280" w:type="dxa"/>
            <w:vAlign w:val="bottom"/>
            <w:tcBorders>
              <w:bottom w:val="single" w:sz="8" w:color="auto"/>
            </w:tcBorders>
          </w:tcPr>
          <w:p>
            <w:pPr>
              <w:spacing w:after="0"/>
              <w:rPr>
                <w:sz w:val="14"/>
                <w:szCs w:val="14"/>
                <w:color w:val="auto"/>
              </w:rPr>
            </w:pPr>
          </w:p>
        </w:tc>
        <w:tc>
          <w:tcPr>
            <w:tcW w:w="960" w:type="dxa"/>
            <w:vAlign w:val="bottom"/>
            <w:tcBorders>
              <w:bottom w:val="single" w:sz="8" w:color="auto"/>
            </w:tcBorders>
          </w:tcPr>
          <w:p>
            <w:pPr>
              <w:jc w:val="right"/>
              <w:ind w:right="436"/>
              <w:spacing w:after="0"/>
              <w:rPr>
                <w:sz w:val="20"/>
                <w:szCs w:val="20"/>
                <w:color w:val="auto"/>
              </w:rPr>
            </w:pPr>
            <w:r>
              <w:rPr>
                <w:rFonts w:ascii="Arial" w:cs="Arial" w:eastAsia="Arial" w:hAnsi="Arial"/>
                <w:sz w:val="13"/>
                <w:szCs w:val="13"/>
                <w:b w:val="1"/>
                <w:bCs w:val="1"/>
                <w:color w:val="auto"/>
              </w:rPr>
              <w:t>2017</w:t>
            </w:r>
          </w:p>
        </w:tc>
        <w:tc>
          <w:tcPr>
            <w:tcW w:w="220" w:type="dxa"/>
            <w:vAlign w:val="bottom"/>
            <w:tcBorders>
              <w:bottom w:val="single" w:sz="8" w:color="auto"/>
            </w:tcBorders>
          </w:tcPr>
          <w:p>
            <w:pPr>
              <w:spacing w:after="0"/>
              <w:rPr>
                <w:sz w:val="14"/>
                <w:szCs w:val="14"/>
                <w:color w:val="auto"/>
              </w:rPr>
            </w:pPr>
          </w:p>
        </w:tc>
        <w:tc>
          <w:tcPr>
            <w:tcW w:w="280" w:type="dxa"/>
            <w:vAlign w:val="bottom"/>
            <w:tcBorders>
              <w:bottom w:val="single" w:sz="8" w:color="auto"/>
            </w:tcBorders>
          </w:tcPr>
          <w:p>
            <w:pPr>
              <w:spacing w:after="0"/>
              <w:rPr>
                <w:sz w:val="14"/>
                <w:szCs w:val="14"/>
                <w:color w:val="auto"/>
              </w:rPr>
            </w:pPr>
          </w:p>
        </w:tc>
        <w:tc>
          <w:tcPr>
            <w:tcW w:w="980" w:type="dxa"/>
            <w:vAlign w:val="bottom"/>
            <w:tcBorders>
              <w:bottom w:val="single" w:sz="8" w:color="auto"/>
            </w:tcBorders>
          </w:tcPr>
          <w:p>
            <w:pPr>
              <w:jc w:val="right"/>
              <w:ind w:right="436"/>
              <w:spacing w:after="0"/>
              <w:rPr>
                <w:sz w:val="20"/>
                <w:szCs w:val="20"/>
                <w:color w:val="auto"/>
              </w:rPr>
            </w:pPr>
            <w:r>
              <w:rPr>
                <w:rFonts w:ascii="Arial" w:cs="Arial" w:eastAsia="Arial" w:hAnsi="Arial"/>
                <w:sz w:val="13"/>
                <w:szCs w:val="13"/>
                <w:b w:val="1"/>
                <w:bCs w:val="1"/>
                <w:color w:val="auto"/>
              </w:rPr>
              <w:t>2016</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7100" w:type="dxa"/>
            <w:vAlign w:val="bottom"/>
          </w:tcPr>
          <w:p>
            <w:pPr>
              <w:spacing w:after="0"/>
              <w:rPr>
                <w:sz w:val="12"/>
                <w:szCs w:val="12"/>
                <w:color w:val="auto"/>
              </w:rPr>
            </w:pPr>
          </w:p>
        </w:tc>
        <w:tc>
          <w:tcPr>
            <w:tcW w:w="4240" w:type="dxa"/>
            <w:vAlign w:val="bottom"/>
            <w:gridSpan w:val="8"/>
          </w:tcPr>
          <w:p>
            <w:pPr>
              <w:jc w:val="right"/>
              <w:ind w:right="436"/>
              <w:spacing w:after="0" w:line="144" w:lineRule="exact"/>
              <w:rPr>
                <w:sz w:val="20"/>
                <w:szCs w:val="20"/>
                <w:color w:val="auto"/>
              </w:rPr>
            </w:pPr>
            <w:r>
              <w:rPr>
                <w:rFonts w:ascii="Arial" w:cs="Arial" w:eastAsia="Arial" w:hAnsi="Arial"/>
                <w:sz w:val="13"/>
                <w:szCs w:val="13"/>
                <w:b w:val="1"/>
                <w:bCs w:val="1"/>
                <w:color w:val="auto"/>
                <w:w w:val="99"/>
              </w:rPr>
              <w:t>(in $ thousands, except per share amounts and percentages)</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spacing w:after="0"/>
              <w:rPr>
                <w:sz w:val="20"/>
                <w:szCs w:val="20"/>
                <w:color w:val="auto"/>
              </w:rPr>
            </w:pPr>
            <w:r>
              <w:rPr>
                <w:rFonts w:ascii="Arial" w:cs="Arial" w:eastAsia="Arial" w:hAnsi="Arial"/>
                <w:sz w:val="13"/>
                <w:szCs w:val="13"/>
                <w:color w:val="auto"/>
              </w:rPr>
              <w:t>Interest income</w:t>
            </w:r>
          </w:p>
        </w:tc>
        <w:tc>
          <w:tcPr>
            <w:tcW w:w="780" w:type="dxa"/>
            <w:vAlign w:val="bottom"/>
            <w:shd w:val="clear" w:color="auto" w:fill="CCEEFF"/>
          </w:tcPr>
          <w:p>
            <w:pPr>
              <w:jc w:val="right"/>
              <w:ind w:right="667"/>
              <w:spacing w:after="0"/>
              <w:rPr>
                <w:sz w:val="20"/>
                <w:szCs w:val="20"/>
                <w:color w:val="auto"/>
              </w:rPr>
            </w:pPr>
            <w:r>
              <w:rPr>
                <w:rFonts w:ascii="Arial" w:cs="Arial" w:eastAsia="Arial" w:hAnsi="Arial"/>
                <w:sz w:val="10"/>
                <w:szCs w:val="10"/>
                <w:color w:val="auto"/>
                <w:w w:val="71"/>
              </w:rPr>
              <w:t>$</w:t>
            </w:r>
          </w:p>
        </w:tc>
        <w:tc>
          <w:tcPr>
            <w:tcW w:w="7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258,490</w:t>
            </w:r>
          </w:p>
        </w:tc>
        <w:tc>
          <w:tcPr>
            <w:tcW w:w="280" w:type="dxa"/>
            <w:vAlign w:val="bottom"/>
            <w:shd w:val="clear" w:color="auto" w:fill="CCEEFF"/>
          </w:tcPr>
          <w:p>
            <w:pPr>
              <w:jc w:val="right"/>
              <w:ind w:right="172"/>
              <w:spacing w:after="0"/>
              <w:rPr>
                <w:sz w:val="20"/>
                <w:szCs w:val="20"/>
                <w:color w:val="auto"/>
              </w:rPr>
            </w:pPr>
            <w:r>
              <w:rPr>
                <w:rFonts w:ascii="Arial" w:cs="Arial" w:eastAsia="Arial" w:hAnsi="Arial"/>
                <w:sz w:val="10"/>
                <w:szCs w:val="10"/>
                <w:color w:val="auto"/>
                <w:w w:val="71"/>
              </w:rPr>
              <w:t>$</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226,079</w:t>
            </w:r>
          </w:p>
        </w:tc>
        <w:tc>
          <w:tcPr>
            <w:tcW w:w="280" w:type="dxa"/>
            <w:vAlign w:val="bottom"/>
            <w:shd w:val="clear" w:color="auto" w:fill="CCEEFF"/>
          </w:tcPr>
          <w:p>
            <w:pPr>
              <w:jc w:val="right"/>
              <w:ind w:right="172"/>
              <w:spacing w:after="0"/>
              <w:rPr>
                <w:sz w:val="20"/>
                <w:szCs w:val="20"/>
                <w:color w:val="auto"/>
              </w:rPr>
            </w:pPr>
            <w:r>
              <w:rPr>
                <w:rFonts w:ascii="Arial" w:cs="Arial" w:eastAsia="Arial" w:hAnsi="Arial"/>
                <w:sz w:val="10"/>
                <w:szCs w:val="10"/>
                <w:color w:val="auto"/>
                <w:w w:val="71"/>
              </w:rPr>
              <w:t>$</w:t>
            </w:r>
          </w:p>
        </w:tc>
        <w:tc>
          <w:tcPr>
            <w:tcW w:w="11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245,898</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7100" w:type="dxa"/>
            <w:vAlign w:val="bottom"/>
          </w:tcPr>
          <w:p>
            <w:pPr>
              <w:spacing w:after="0"/>
              <w:rPr>
                <w:sz w:val="20"/>
                <w:szCs w:val="20"/>
                <w:color w:val="auto"/>
              </w:rPr>
            </w:pPr>
            <w:r>
              <w:rPr>
                <w:rFonts w:ascii="Arial" w:cs="Arial" w:eastAsia="Arial" w:hAnsi="Arial"/>
                <w:sz w:val="13"/>
                <w:szCs w:val="13"/>
                <w:color w:val="auto"/>
              </w:rPr>
              <w:t>Interest expense</w:t>
            </w:r>
          </w:p>
        </w:tc>
        <w:tc>
          <w:tcPr>
            <w:tcW w:w="780" w:type="dxa"/>
            <w:vAlign w:val="bottom"/>
          </w:tcPr>
          <w:p>
            <w:pPr>
              <w:spacing w:after="0"/>
              <w:rPr>
                <w:sz w:val="14"/>
                <w:szCs w:val="14"/>
                <w:color w:val="auto"/>
              </w:rPr>
            </w:pPr>
          </w:p>
        </w:tc>
        <w:tc>
          <w:tcPr>
            <w:tcW w:w="740" w:type="dxa"/>
            <w:vAlign w:val="bottom"/>
            <w:gridSpan w:val="2"/>
          </w:tcPr>
          <w:p>
            <w:pPr>
              <w:jc w:val="right"/>
              <w:ind w:right="200"/>
              <w:spacing w:after="0"/>
              <w:rPr>
                <w:sz w:val="20"/>
                <w:szCs w:val="20"/>
                <w:color w:val="auto"/>
              </w:rPr>
            </w:pPr>
            <w:r>
              <w:rPr>
                <w:rFonts w:ascii="Arial" w:cs="Arial" w:eastAsia="Arial" w:hAnsi="Arial"/>
                <w:sz w:val="13"/>
                <w:szCs w:val="13"/>
                <w:color w:val="auto"/>
                <w:w w:val="93"/>
              </w:rPr>
              <w:t>(148,747)</w:t>
            </w:r>
          </w:p>
        </w:tc>
        <w:tc>
          <w:tcPr>
            <w:tcW w:w="280" w:type="dxa"/>
            <w:vAlign w:val="bottom"/>
          </w:tcPr>
          <w:p>
            <w:pPr>
              <w:spacing w:after="0"/>
              <w:rPr>
                <w:sz w:val="14"/>
                <w:szCs w:val="14"/>
                <w:color w:val="auto"/>
              </w:rPr>
            </w:pPr>
          </w:p>
        </w:tc>
        <w:tc>
          <w:tcPr>
            <w:tcW w:w="1180" w:type="dxa"/>
            <w:vAlign w:val="bottom"/>
            <w:gridSpan w:val="2"/>
          </w:tcPr>
          <w:p>
            <w:pPr>
              <w:jc w:val="right"/>
              <w:ind w:right="180"/>
              <w:spacing w:after="0"/>
              <w:rPr>
                <w:sz w:val="20"/>
                <w:szCs w:val="20"/>
                <w:color w:val="auto"/>
              </w:rPr>
            </w:pPr>
            <w:r>
              <w:rPr>
                <w:rFonts w:ascii="Arial" w:cs="Arial" w:eastAsia="Arial" w:hAnsi="Arial"/>
                <w:sz w:val="13"/>
                <w:szCs w:val="13"/>
                <w:color w:val="auto"/>
              </w:rPr>
              <w:t>(106,264)</w:t>
            </w:r>
          </w:p>
        </w:tc>
        <w:tc>
          <w:tcPr>
            <w:tcW w:w="280" w:type="dxa"/>
            <w:vAlign w:val="bottom"/>
          </w:tcPr>
          <w:p>
            <w:pPr>
              <w:spacing w:after="0"/>
              <w:rPr>
                <w:sz w:val="14"/>
                <w:szCs w:val="14"/>
                <w:color w:val="auto"/>
              </w:rPr>
            </w:pPr>
          </w:p>
        </w:tc>
        <w:tc>
          <w:tcPr>
            <w:tcW w:w="1100" w:type="dxa"/>
            <w:vAlign w:val="bottom"/>
            <w:gridSpan w:val="2"/>
          </w:tcPr>
          <w:p>
            <w:pPr>
              <w:jc w:val="right"/>
              <w:ind w:right="80"/>
              <w:spacing w:after="0"/>
              <w:rPr>
                <w:sz w:val="20"/>
                <w:szCs w:val="20"/>
                <w:color w:val="auto"/>
              </w:rPr>
            </w:pPr>
            <w:r>
              <w:rPr>
                <w:rFonts w:ascii="Arial" w:cs="Arial" w:eastAsia="Arial" w:hAnsi="Arial"/>
                <w:sz w:val="13"/>
                <w:szCs w:val="13"/>
                <w:color w:val="auto"/>
              </w:rPr>
              <w:t>(90,689)</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7100" w:type="dxa"/>
            <w:vAlign w:val="bottom"/>
            <w:tcBorders>
              <w:top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Net interest income</w:t>
            </w:r>
          </w:p>
        </w:tc>
        <w:tc>
          <w:tcPr>
            <w:tcW w:w="780" w:type="dxa"/>
            <w:vAlign w:val="bottom"/>
            <w:tcBorders>
              <w:top w:val="single" w:sz="8" w:color="auto"/>
            </w:tcBorders>
            <w:shd w:val="clear" w:color="auto" w:fill="CCEEFF"/>
          </w:tcPr>
          <w:p>
            <w:pPr>
              <w:spacing w:after="0"/>
              <w:rPr>
                <w:sz w:val="12"/>
                <w:szCs w:val="12"/>
                <w:color w:val="auto"/>
              </w:rPr>
            </w:pPr>
          </w:p>
        </w:tc>
        <w:tc>
          <w:tcPr>
            <w:tcW w:w="5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109,743</w:t>
            </w:r>
          </w:p>
        </w:tc>
        <w:tc>
          <w:tcPr>
            <w:tcW w:w="24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tcBorders>
            <w:shd w:val="clear" w:color="auto" w:fill="CCEEFF"/>
          </w:tcPr>
          <w:p>
            <w:pPr>
              <w:spacing w:after="0"/>
              <w:rPr>
                <w:sz w:val="12"/>
                <w:szCs w:val="12"/>
                <w:color w:val="auto"/>
              </w:rPr>
            </w:pPr>
          </w:p>
        </w:tc>
        <w:tc>
          <w:tcPr>
            <w:tcW w:w="9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119,815</w:t>
            </w:r>
          </w:p>
        </w:tc>
        <w:tc>
          <w:tcPr>
            <w:tcW w:w="22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155,209</w:t>
            </w: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spacing w:after="0"/>
              <w:rPr>
                <w:sz w:val="20"/>
                <w:szCs w:val="20"/>
                <w:color w:val="auto"/>
              </w:rPr>
            </w:pPr>
            <w:r>
              <w:rPr>
                <w:rFonts w:ascii="Arial" w:cs="Arial" w:eastAsia="Arial" w:hAnsi="Arial"/>
                <w:sz w:val="13"/>
                <w:szCs w:val="13"/>
                <w:b w:val="1"/>
                <w:bCs w:val="1"/>
                <w:color w:val="auto"/>
              </w:rPr>
              <w:t>Other income (expense):</w:t>
            </w:r>
          </w:p>
        </w:tc>
        <w:tc>
          <w:tcPr>
            <w:tcW w:w="780" w:type="dxa"/>
            <w:vAlign w:val="bottom"/>
          </w:tcPr>
          <w:p>
            <w:pPr>
              <w:spacing w:after="0"/>
              <w:rPr>
                <w:sz w:val="13"/>
                <w:szCs w:val="13"/>
                <w:color w:val="auto"/>
              </w:rPr>
            </w:pPr>
          </w:p>
        </w:tc>
        <w:tc>
          <w:tcPr>
            <w:tcW w:w="5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spacing w:after="0"/>
              <w:rPr>
                <w:sz w:val="20"/>
                <w:szCs w:val="20"/>
                <w:color w:val="auto"/>
              </w:rPr>
            </w:pPr>
            <w:r>
              <w:rPr>
                <w:rFonts w:ascii="Arial" w:cs="Arial" w:eastAsia="Arial" w:hAnsi="Arial"/>
                <w:sz w:val="13"/>
                <w:szCs w:val="13"/>
                <w:color w:val="auto"/>
              </w:rPr>
              <w:t>Fees and commissions, net</w:t>
            </w:r>
          </w:p>
        </w:tc>
        <w:tc>
          <w:tcPr>
            <w:tcW w:w="78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17,185</w:t>
            </w:r>
          </w:p>
        </w:tc>
        <w:tc>
          <w:tcPr>
            <w:tcW w:w="280" w:type="dxa"/>
            <w:vAlign w:val="bottom"/>
            <w:shd w:val="clear" w:color="auto" w:fill="CCEEFF"/>
          </w:tcPr>
          <w:p>
            <w:pPr>
              <w:spacing w:after="0"/>
              <w:rPr>
                <w:sz w:val="13"/>
                <w:szCs w:val="13"/>
                <w:color w:val="auto"/>
              </w:rPr>
            </w:pP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17,514</w:t>
            </w:r>
          </w:p>
        </w:tc>
        <w:tc>
          <w:tcPr>
            <w:tcW w:w="28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14,306</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spacing w:after="0"/>
              <w:rPr>
                <w:sz w:val="20"/>
                <w:szCs w:val="20"/>
                <w:color w:val="auto"/>
              </w:rPr>
            </w:pPr>
            <w:r>
              <w:rPr>
                <w:rFonts w:ascii="Arial" w:cs="Arial" w:eastAsia="Arial" w:hAnsi="Arial"/>
                <w:sz w:val="13"/>
                <w:szCs w:val="13"/>
                <w:color w:val="auto"/>
              </w:rPr>
              <w:t>Loss on financial instruments, net</w:t>
            </w:r>
          </w:p>
        </w:tc>
        <w:tc>
          <w:tcPr>
            <w:tcW w:w="780" w:type="dxa"/>
            <w:vAlign w:val="bottom"/>
          </w:tcPr>
          <w:p>
            <w:pPr>
              <w:spacing w:after="0"/>
              <w:rPr>
                <w:sz w:val="13"/>
                <w:szCs w:val="13"/>
                <w:color w:val="auto"/>
              </w:rPr>
            </w:pPr>
          </w:p>
        </w:tc>
        <w:tc>
          <w:tcPr>
            <w:tcW w:w="740" w:type="dxa"/>
            <w:vAlign w:val="bottom"/>
            <w:gridSpan w:val="2"/>
          </w:tcPr>
          <w:p>
            <w:pPr>
              <w:jc w:val="right"/>
              <w:ind w:right="200"/>
              <w:spacing w:after="0"/>
              <w:rPr>
                <w:sz w:val="20"/>
                <w:szCs w:val="20"/>
                <w:color w:val="auto"/>
              </w:rPr>
            </w:pPr>
            <w:r>
              <w:rPr>
                <w:rFonts w:ascii="Arial" w:cs="Arial" w:eastAsia="Arial" w:hAnsi="Arial"/>
                <w:sz w:val="13"/>
                <w:szCs w:val="13"/>
                <w:color w:val="auto"/>
              </w:rPr>
              <w:t>(1,009)</w:t>
            </w:r>
          </w:p>
        </w:tc>
        <w:tc>
          <w:tcPr>
            <w:tcW w:w="280" w:type="dxa"/>
            <w:vAlign w:val="bottom"/>
          </w:tcPr>
          <w:p>
            <w:pPr>
              <w:spacing w:after="0"/>
              <w:rPr>
                <w:sz w:val="13"/>
                <w:szCs w:val="13"/>
                <w:color w:val="auto"/>
              </w:rPr>
            </w:pPr>
          </w:p>
        </w:tc>
        <w:tc>
          <w:tcPr>
            <w:tcW w:w="1180" w:type="dxa"/>
            <w:vAlign w:val="bottom"/>
            <w:gridSpan w:val="2"/>
          </w:tcPr>
          <w:p>
            <w:pPr>
              <w:jc w:val="right"/>
              <w:ind w:right="180"/>
              <w:spacing w:after="0"/>
              <w:rPr>
                <w:sz w:val="20"/>
                <w:szCs w:val="20"/>
                <w:color w:val="auto"/>
              </w:rPr>
            </w:pPr>
            <w:r>
              <w:rPr>
                <w:rFonts w:ascii="Arial" w:cs="Arial" w:eastAsia="Arial" w:hAnsi="Arial"/>
                <w:sz w:val="13"/>
                <w:szCs w:val="13"/>
                <w:color w:val="auto"/>
              </w:rPr>
              <w:t>(739)</w:t>
            </w:r>
          </w:p>
        </w:tc>
        <w:tc>
          <w:tcPr>
            <w:tcW w:w="280" w:type="dxa"/>
            <w:vAlign w:val="bottom"/>
          </w:tcPr>
          <w:p>
            <w:pPr>
              <w:spacing w:after="0"/>
              <w:rPr>
                <w:sz w:val="13"/>
                <w:szCs w:val="13"/>
                <w:color w:val="auto"/>
              </w:rPr>
            </w:pPr>
          </w:p>
        </w:tc>
        <w:tc>
          <w:tcPr>
            <w:tcW w:w="1100" w:type="dxa"/>
            <w:vAlign w:val="bottom"/>
            <w:gridSpan w:val="2"/>
          </w:tcPr>
          <w:p>
            <w:pPr>
              <w:jc w:val="right"/>
              <w:ind w:right="80"/>
              <w:spacing w:after="0"/>
              <w:rPr>
                <w:sz w:val="20"/>
                <w:szCs w:val="20"/>
                <w:color w:val="auto"/>
              </w:rPr>
            </w:pPr>
            <w:r>
              <w:rPr>
                <w:rFonts w:ascii="Arial" w:cs="Arial" w:eastAsia="Arial" w:hAnsi="Arial"/>
                <w:sz w:val="13"/>
                <w:szCs w:val="13"/>
                <w:color w:val="auto"/>
              </w:rPr>
              <w:t>(2,919)</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7100" w:type="dxa"/>
            <w:vAlign w:val="bottom"/>
            <w:shd w:val="clear" w:color="auto" w:fill="CCEEFF"/>
          </w:tcPr>
          <w:p>
            <w:pPr>
              <w:spacing w:after="0"/>
              <w:rPr>
                <w:sz w:val="20"/>
                <w:szCs w:val="20"/>
                <w:color w:val="auto"/>
              </w:rPr>
            </w:pPr>
            <w:r>
              <w:rPr>
                <w:rFonts w:ascii="Arial" w:cs="Arial" w:eastAsia="Arial" w:hAnsi="Arial"/>
                <w:sz w:val="13"/>
                <w:szCs w:val="13"/>
                <w:color w:val="auto"/>
              </w:rPr>
              <w:t>Other income, net</w:t>
            </w:r>
          </w:p>
        </w:tc>
        <w:tc>
          <w:tcPr>
            <w:tcW w:w="780" w:type="dxa"/>
            <w:vAlign w:val="bottom"/>
            <w:shd w:val="clear" w:color="auto" w:fill="CCEEFF"/>
          </w:tcPr>
          <w:p>
            <w:pPr>
              <w:spacing w:after="0"/>
              <w:rPr>
                <w:sz w:val="14"/>
                <w:szCs w:val="14"/>
                <w:color w:val="auto"/>
              </w:rPr>
            </w:pPr>
          </w:p>
        </w:tc>
        <w:tc>
          <w:tcPr>
            <w:tcW w:w="7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1,670</w:t>
            </w:r>
          </w:p>
        </w:tc>
        <w:tc>
          <w:tcPr>
            <w:tcW w:w="280" w:type="dxa"/>
            <w:vAlign w:val="bottom"/>
            <w:shd w:val="clear" w:color="auto" w:fill="CCEEFF"/>
          </w:tcPr>
          <w:p>
            <w:pPr>
              <w:spacing w:after="0"/>
              <w:rPr>
                <w:sz w:val="14"/>
                <w:szCs w:val="14"/>
                <w:color w:val="auto"/>
              </w:rPr>
            </w:pP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1,723</w:t>
            </w:r>
          </w:p>
        </w:tc>
        <w:tc>
          <w:tcPr>
            <w:tcW w:w="280" w:type="dxa"/>
            <w:vAlign w:val="bottom"/>
            <w:shd w:val="clear" w:color="auto" w:fill="CCEEFF"/>
          </w:tcPr>
          <w:p>
            <w:pPr>
              <w:spacing w:after="0"/>
              <w:rPr>
                <w:sz w:val="14"/>
                <w:szCs w:val="14"/>
                <w:color w:val="auto"/>
              </w:rPr>
            </w:pPr>
          </w:p>
        </w:tc>
        <w:tc>
          <w:tcPr>
            <w:tcW w:w="11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1,378</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7100" w:type="dxa"/>
            <w:vAlign w:val="bottom"/>
            <w:tcBorders>
              <w:bottom w:val="single" w:sz="8" w:color="CCEEFF"/>
            </w:tcBorders>
          </w:tcPr>
          <w:p>
            <w:pPr>
              <w:spacing w:after="0" w:line="143" w:lineRule="exact"/>
              <w:rPr>
                <w:sz w:val="20"/>
                <w:szCs w:val="20"/>
                <w:color w:val="auto"/>
              </w:rPr>
            </w:pPr>
            <w:r>
              <w:rPr>
                <w:rFonts w:ascii="Arial" w:cs="Arial" w:eastAsia="Arial" w:hAnsi="Arial"/>
                <w:sz w:val="13"/>
                <w:szCs w:val="13"/>
                <w:color w:val="auto"/>
              </w:rPr>
              <w:t>Total other income, net</w:t>
            </w:r>
          </w:p>
        </w:tc>
        <w:tc>
          <w:tcPr>
            <w:tcW w:w="780" w:type="dxa"/>
            <w:vAlign w:val="bottom"/>
            <w:tcBorders>
              <w:top w:val="single" w:sz="8" w:color="auto"/>
              <w:bottom w:val="single" w:sz="8" w:color="auto"/>
            </w:tcBorders>
          </w:tcPr>
          <w:p>
            <w:pPr>
              <w:spacing w:after="0"/>
              <w:rPr>
                <w:sz w:val="12"/>
                <w:szCs w:val="12"/>
                <w:color w:val="auto"/>
              </w:rPr>
            </w:pPr>
          </w:p>
        </w:tc>
        <w:tc>
          <w:tcPr>
            <w:tcW w:w="50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17,846</w:t>
            </w:r>
          </w:p>
        </w:tc>
        <w:tc>
          <w:tcPr>
            <w:tcW w:w="240" w:type="dxa"/>
            <w:vAlign w:val="bottom"/>
            <w:tcBorders>
              <w:bottom w:val="single" w:sz="8" w:color="CCEEFF"/>
            </w:tcBorders>
          </w:tcPr>
          <w:p>
            <w:pPr>
              <w:spacing w:after="0"/>
              <w:rPr>
                <w:sz w:val="12"/>
                <w:szCs w:val="12"/>
                <w:color w:val="auto"/>
              </w:rPr>
            </w:pPr>
          </w:p>
        </w:tc>
        <w:tc>
          <w:tcPr>
            <w:tcW w:w="280" w:type="dxa"/>
            <w:vAlign w:val="bottom"/>
            <w:tcBorders>
              <w:top w:val="single" w:sz="8" w:color="auto"/>
              <w:bottom w:val="single" w:sz="8" w:color="auto"/>
            </w:tcBorders>
          </w:tcPr>
          <w:p>
            <w:pPr>
              <w:spacing w:after="0"/>
              <w:rPr>
                <w:sz w:val="12"/>
                <w:szCs w:val="12"/>
                <w:color w:val="auto"/>
              </w:rPr>
            </w:pPr>
          </w:p>
        </w:tc>
        <w:tc>
          <w:tcPr>
            <w:tcW w:w="96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18,498</w:t>
            </w:r>
          </w:p>
        </w:tc>
        <w:tc>
          <w:tcPr>
            <w:tcW w:w="220" w:type="dxa"/>
            <w:vAlign w:val="bottom"/>
            <w:tcBorders>
              <w:bottom w:val="single" w:sz="8" w:color="CCEEFF"/>
            </w:tcBorders>
          </w:tcPr>
          <w:p>
            <w:pPr>
              <w:spacing w:after="0"/>
              <w:rPr>
                <w:sz w:val="12"/>
                <w:szCs w:val="12"/>
                <w:color w:val="auto"/>
              </w:rPr>
            </w:pPr>
          </w:p>
        </w:tc>
        <w:tc>
          <w:tcPr>
            <w:tcW w:w="280" w:type="dxa"/>
            <w:vAlign w:val="bottom"/>
            <w:tcBorders>
              <w:top w:val="single" w:sz="8" w:color="auto"/>
              <w:bottom w:val="single" w:sz="8" w:color="auto"/>
            </w:tcBorders>
          </w:tcPr>
          <w:p>
            <w:pPr>
              <w:spacing w:after="0"/>
              <w:rPr>
                <w:sz w:val="12"/>
                <w:szCs w:val="12"/>
                <w:color w:val="auto"/>
              </w:rPr>
            </w:pPr>
          </w:p>
        </w:tc>
        <w:tc>
          <w:tcPr>
            <w:tcW w:w="9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12,765</w:t>
            </w:r>
          </w:p>
        </w:tc>
        <w:tc>
          <w:tcPr>
            <w:tcW w:w="120" w:type="dxa"/>
            <w:vAlign w:val="bottom"/>
            <w:tcBorders>
              <w:bottom w:val="single" w:sz="8" w:color="CCEEFF"/>
            </w:tcBorders>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7100" w:type="dxa"/>
            <w:vAlign w:val="bottom"/>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Total revenues</w:t>
            </w:r>
          </w:p>
        </w:tc>
        <w:tc>
          <w:tcPr>
            <w:tcW w:w="780" w:type="dxa"/>
            <w:vAlign w:val="bottom"/>
            <w:shd w:val="clear" w:color="auto" w:fill="CCEEFF"/>
          </w:tcPr>
          <w:p>
            <w:pPr>
              <w:spacing w:after="0"/>
              <w:rPr>
                <w:sz w:val="12"/>
                <w:szCs w:val="12"/>
                <w:color w:val="auto"/>
              </w:rPr>
            </w:pPr>
          </w:p>
        </w:tc>
        <w:tc>
          <w:tcPr>
            <w:tcW w:w="50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127,589</w:t>
            </w:r>
          </w:p>
        </w:tc>
        <w:tc>
          <w:tcPr>
            <w:tcW w:w="24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96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138,313</w:t>
            </w:r>
          </w:p>
        </w:tc>
        <w:tc>
          <w:tcPr>
            <w:tcW w:w="22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98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167,974</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710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5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100" w:type="dxa"/>
            <w:vAlign w:val="bottom"/>
            <w:shd w:val="clear" w:color="auto" w:fill="CCEEFF"/>
          </w:tcPr>
          <w:p>
            <w:pPr>
              <w:spacing w:after="0"/>
              <w:rPr>
                <w:sz w:val="20"/>
                <w:szCs w:val="20"/>
                <w:color w:val="auto"/>
              </w:rPr>
            </w:pPr>
            <w:r>
              <w:rPr>
                <w:rFonts w:ascii="Arial" w:cs="Arial" w:eastAsia="Arial" w:hAnsi="Arial"/>
                <w:sz w:val="13"/>
                <w:szCs w:val="13"/>
                <w:color w:val="auto"/>
              </w:rPr>
              <w:t>Impairment loss on financial instruments</w:t>
            </w:r>
          </w:p>
        </w:tc>
        <w:tc>
          <w:tcPr>
            <w:tcW w:w="78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(57,515)</w:t>
            </w:r>
          </w:p>
        </w:tc>
        <w:tc>
          <w:tcPr>
            <w:tcW w:w="280" w:type="dxa"/>
            <w:vAlign w:val="bottom"/>
            <w:shd w:val="clear" w:color="auto" w:fill="CCEEFF"/>
          </w:tcPr>
          <w:p>
            <w:pPr>
              <w:spacing w:after="0"/>
              <w:rPr>
                <w:sz w:val="13"/>
                <w:szCs w:val="13"/>
                <w:color w:val="auto"/>
              </w:rPr>
            </w:pPr>
          </w:p>
        </w:tc>
        <w:tc>
          <w:tcPr>
            <w:tcW w:w="118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(9,439)</w:t>
            </w:r>
          </w:p>
        </w:tc>
        <w:tc>
          <w:tcPr>
            <w:tcW w:w="28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(35,115)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spacing w:after="0"/>
              <w:rPr>
                <w:sz w:val="20"/>
                <w:szCs w:val="20"/>
                <w:color w:val="auto"/>
              </w:rPr>
            </w:pPr>
            <w:r>
              <w:rPr>
                <w:rFonts w:ascii="Arial" w:cs="Arial" w:eastAsia="Arial" w:hAnsi="Arial"/>
                <w:sz w:val="13"/>
                <w:szCs w:val="13"/>
                <w:color w:val="auto"/>
              </w:rPr>
              <w:t>Impairment loss on non-financial assets</w:t>
            </w:r>
          </w:p>
        </w:tc>
        <w:tc>
          <w:tcPr>
            <w:tcW w:w="780" w:type="dxa"/>
            <w:vAlign w:val="bottom"/>
          </w:tcPr>
          <w:p>
            <w:pPr>
              <w:spacing w:after="0"/>
              <w:rPr>
                <w:sz w:val="13"/>
                <w:szCs w:val="13"/>
                <w:color w:val="auto"/>
              </w:rPr>
            </w:pPr>
          </w:p>
        </w:tc>
        <w:tc>
          <w:tcPr>
            <w:tcW w:w="740" w:type="dxa"/>
            <w:vAlign w:val="bottom"/>
            <w:gridSpan w:val="2"/>
          </w:tcPr>
          <w:p>
            <w:pPr>
              <w:jc w:val="right"/>
              <w:ind w:right="200"/>
              <w:spacing w:after="0"/>
              <w:rPr>
                <w:sz w:val="20"/>
                <w:szCs w:val="20"/>
                <w:color w:val="auto"/>
              </w:rPr>
            </w:pPr>
            <w:r>
              <w:rPr>
                <w:rFonts w:ascii="Arial" w:cs="Arial" w:eastAsia="Arial" w:hAnsi="Arial"/>
                <w:sz w:val="13"/>
                <w:szCs w:val="13"/>
                <w:color w:val="auto"/>
              </w:rPr>
              <w:t>(10,018)</w:t>
            </w:r>
          </w:p>
        </w:tc>
        <w:tc>
          <w:tcPr>
            <w:tcW w:w="280" w:type="dxa"/>
            <w:vAlign w:val="bottom"/>
          </w:tcPr>
          <w:p>
            <w:pPr>
              <w:spacing w:after="0"/>
              <w:rPr>
                <w:sz w:val="13"/>
                <w:szCs w:val="13"/>
                <w:color w:val="auto"/>
              </w:rPr>
            </w:pPr>
          </w:p>
        </w:tc>
        <w:tc>
          <w:tcPr>
            <w:tcW w:w="118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280" w:type="dxa"/>
            <w:vAlign w:val="bottom"/>
          </w:tcPr>
          <w:p>
            <w:pPr>
              <w:spacing w:after="0"/>
              <w:rPr>
                <w:sz w:val="13"/>
                <w:szCs w:val="13"/>
                <w:color w:val="auto"/>
              </w:rPr>
            </w:pPr>
          </w:p>
        </w:tc>
        <w:tc>
          <w:tcPr>
            <w:tcW w:w="1100" w:type="dxa"/>
            <w:vAlign w:val="bottom"/>
            <w:gridSpan w:val="2"/>
          </w:tcPr>
          <w:p>
            <w:pPr>
              <w:jc w:val="right"/>
              <w:ind w:right="120"/>
              <w:spacing w:after="0"/>
              <w:rPr>
                <w:sz w:val="20"/>
                <w:szCs w:val="20"/>
                <w:color w:val="auto"/>
              </w:rPr>
            </w:pPr>
            <w:r>
              <w:rPr>
                <w:rFonts w:ascii="Arial" w:cs="Arial" w:eastAsia="Arial" w:hAnsi="Arial"/>
                <w:sz w:val="13"/>
                <w:szCs w:val="13"/>
                <w:color w:val="auto"/>
              </w:rPr>
              <w:t>0</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7100" w:type="dxa"/>
            <w:vAlign w:val="bottom"/>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5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9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9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100" w:type="dxa"/>
            <w:vAlign w:val="bottom"/>
          </w:tcPr>
          <w:p>
            <w:pPr>
              <w:spacing w:after="0"/>
              <w:rPr>
                <w:sz w:val="20"/>
                <w:szCs w:val="20"/>
                <w:color w:val="auto"/>
              </w:rPr>
            </w:pPr>
            <w:r>
              <w:rPr>
                <w:rFonts w:ascii="Arial" w:cs="Arial" w:eastAsia="Arial" w:hAnsi="Arial"/>
                <w:sz w:val="13"/>
                <w:szCs w:val="13"/>
                <w:color w:val="auto"/>
              </w:rPr>
              <w:t>Operating expenses:</w:t>
            </w:r>
          </w:p>
        </w:tc>
        <w:tc>
          <w:tcPr>
            <w:tcW w:w="780" w:type="dxa"/>
            <w:vAlign w:val="bottom"/>
          </w:tcPr>
          <w:p>
            <w:pPr>
              <w:spacing w:after="0"/>
              <w:rPr>
                <w:sz w:val="13"/>
                <w:szCs w:val="13"/>
                <w:color w:val="auto"/>
              </w:rPr>
            </w:pPr>
          </w:p>
        </w:tc>
        <w:tc>
          <w:tcPr>
            <w:tcW w:w="5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ind w:left="100"/>
              <w:spacing w:after="0"/>
              <w:rPr>
                <w:sz w:val="20"/>
                <w:szCs w:val="20"/>
                <w:color w:val="auto"/>
              </w:rPr>
            </w:pPr>
            <w:r>
              <w:rPr>
                <w:rFonts w:ascii="Arial" w:cs="Arial" w:eastAsia="Arial" w:hAnsi="Arial"/>
                <w:sz w:val="13"/>
                <w:szCs w:val="13"/>
                <w:color w:val="auto"/>
              </w:rPr>
              <w:t>Salaries and other employee expenses</w:t>
            </w:r>
          </w:p>
        </w:tc>
        <w:tc>
          <w:tcPr>
            <w:tcW w:w="78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(27,989)</w:t>
            </w:r>
          </w:p>
        </w:tc>
        <w:tc>
          <w:tcPr>
            <w:tcW w:w="280" w:type="dxa"/>
            <w:vAlign w:val="bottom"/>
            <w:shd w:val="clear" w:color="auto" w:fill="CCEEFF"/>
          </w:tcPr>
          <w:p>
            <w:pPr>
              <w:spacing w:after="0"/>
              <w:rPr>
                <w:sz w:val="13"/>
                <w:szCs w:val="13"/>
                <w:color w:val="auto"/>
              </w:rPr>
            </w:pPr>
          </w:p>
        </w:tc>
        <w:tc>
          <w:tcPr>
            <w:tcW w:w="118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(27,653)</w:t>
            </w:r>
          </w:p>
        </w:tc>
        <w:tc>
          <w:tcPr>
            <w:tcW w:w="28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(25,196)</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ind w:left="100"/>
              <w:spacing w:after="0"/>
              <w:rPr>
                <w:sz w:val="20"/>
                <w:szCs w:val="20"/>
                <w:color w:val="auto"/>
              </w:rPr>
            </w:pPr>
            <w:r>
              <w:rPr>
                <w:rFonts w:ascii="Arial" w:cs="Arial" w:eastAsia="Arial" w:hAnsi="Arial"/>
                <w:sz w:val="13"/>
                <w:szCs w:val="13"/>
                <w:color w:val="auto"/>
              </w:rPr>
              <w:t>Depreciation of equipment and leasehold improvements</w:t>
            </w:r>
          </w:p>
        </w:tc>
        <w:tc>
          <w:tcPr>
            <w:tcW w:w="780" w:type="dxa"/>
            <w:vAlign w:val="bottom"/>
          </w:tcPr>
          <w:p>
            <w:pPr>
              <w:spacing w:after="0"/>
              <w:rPr>
                <w:sz w:val="13"/>
                <w:szCs w:val="13"/>
                <w:color w:val="auto"/>
              </w:rPr>
            </w:pPr>
          </w:p>
        </w:tc>
        <w:tc>
          <w:tcPr>
            <w:tcW w:w="740" w:type="dxa"/>
            <w:vAlign w:val="bottom"/>
            <w:gridSpan w:val="2"/>
          </w:tcPr>
          <w:p>
            <w:pPr>
              <w:jc w:val="right"/>
              <w:ind w:right="200"/>
              <w:spacing w:after="0"/>
              <w:rPr>
                <w:sz w:val="20"/>
                <w:szCs w:val="20"/>
                <w:color w:val="auto"/>
              </w:rPr>
            </w:pPr>
            <w:r>
              <w:rPr>
                <w:rFonts w:ascii="Arial" w:cs="Arial" w:eastAsia="Arial" w:hAnsi="Arial"/>
                <w:sz w:val="13"/>
                <w:szCs w:val="13"/>
                <w:color w:val="auto"/>
              </w:rPr>
              <w:t>(1,282)</w:t>
            </w:r>
          </w:p>
        </w:tc>
        <w:tc>
          <w:tcPr>
            <w:tcW w:w="280" w:type="dxa"/>
            <w:vAlign w:val="bottom"/>
          </w:tcPr>
          <w:p>
            <w:pPr>
              <w:spacing w:after="0"/>
              <w:rPr>
                <w:sz w:val="13"/>
                <w:szCs w:val="13"/>
                <w:color w:val="auto"/>
              </w:rPr>
            </w:pPr>
          </w:p>
        </w:tc>
        <w:tc>
          <w:tcPr>
            <w:tcW w:w="1180" w:type="dxa"/>
            <w:vAlign w:val="bottom"/>
            <w:gridSpan w:val="2"/>
          </w:tcPr>
          <w:p>
            <w:pPr>
              <w:jc w:val="right"/>
              <w:ind w:right="180"/>
              <w:spacing w:after="0"/>
              <w:rPr>
                <w:sz w:val="20"/>
                <w:szCs w:val="20"/>
                <w:color w:val="auto"/>
              </w:rPr>
            </w:pPr>
            <w:r>
              <w:rPr>
                <w:rFonts w:ascii="Arial" w:cs="Arial" w:eastAsia="Arial" w:hAnsi="Arial"/>
                <w:sz w:val="13"/>
                <w:szCs w:val="13"/>
                <w:color w:val="auto"/>
              </w:rPr>
              <w:t>(1,578)</w:t>
            </w:r>
          </w:p>
        </w:tc>
        <w:tc>
          <w:tcPr>
            <w:tcW w:w="280" w:type="dxa"/>
            <w:vAlign w:val="bottom"/>
          </w:tcPr>
          <w:p>
            <w:pPr>
              <w:spacing w:after="0"/>
              <w:rPr>
                <w:sz w:val="13"/>
                <w:szCs w:val="13"/>
                <w:color w:val="auto"/>
              </w:rPr>
            </w:pPr>
          </w:p>
        </w:tc>
        <w:tc>
          <w:tcPr>
            <w:tcW w:w="1100" w:type="dxa"/>
            <w:vAlign w:val="bottom"/>
            <w:gridSpan w:val="2"/>
          </w:tcPr>
          <w:p>
            <w:pPr>
              <w:jc w:val="right"/>
              <w:ind w:right="80"/>
              <w:spacing w:after="0"/>
              <w:rPr>
                <w:sz w:val="20"/>
                <w:szCs w:val="20"/>
                <w:color w:val="auto"/>
              </w:rPr>
            </w:pPr>
            <w:r>
              <w:rPr>
                <w:rFonts w:ascii="Arial" w:cs="Arial" w:eastAsia="Arial" w:hAnsi="Arial"/>
                <w:sz w:val="13"/>
                <w:szCs w:val="13"/>
                <w:color w:val="auto"/>
              </w:rPr>
              <w:t>(1,457)</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ind w:left="100"/>
              <w:spacing w:after="0"/>
              <w:rPr>
                <w:sz w:val="20"/>
                <w:szCs w:val="20"/>
                <w:color w:val="auto"/>
              </w:rPr>
            </w:pPr>
            <w:r>
              <w:rPr>
                <w:rFonts w:ascii="Arial" w:cs="Arial" w:eastAsia="Arial" w:hAnsi="Arial"/>
                <w:sz w:val="13"/>
                <w:szCs w:val="13"/>
                <w:color w:val="auto"/>
              </w:rPr>
              <w:t>Amortization of intangible assets</w:t>
            </w:r>
          </w:p>
        </w:tc>
        <w:tc>
          <w:tcPr>
            <w:tcW w:w="78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(1,176)</w:t>
            </w:r>
          </w:p>
        </w:tc>
        <w:tc>
          <w:tcPr>
            <w:tcW w:w="280" w:type="dxa"/>
            <w:vAlign w:val="bottom"/>
            <w:shd w:val="clear" w:color="auto" w:fill="CCEEFF"/>
          </w:tcPr>
          <w:p>
            <w:pPr>
              <w:spacing w:after="0"/>
              <w:rPr>
                <w:sz w:val="13"/>
                <w:szCs w:val="13"/>
                <w:color w:val="auto"/>
              </w:rPr>
            </w:pPr>
          </w:p>
        </w:tc>
        <w:tc>
          <w:tcPr>
            <w:tcW w:w="118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(838)</w:t>
            </w:r>
          </w:p>
        </w:tc>
        <w:tc>
          <w:tcPr>
            <w:tcW w:w="28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(629)</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7100" w:type="dxa"/>
            <w:vAlign w:val="bottom"/>
          </w:tcPr>
          <w:p>
            <w:pPr>
              <w:ind w:left="100"/>
              <w:spacing w:after="0"/>
              <w:rPr>
                <w:sz w:val="20"/>
                <w:szCs w:val="20"/>
                <w:color w:val="auto"/>
              </w:rPr>
            </w:pPr>
            <w:r>
              <w:rPr>
                <w:rFonts w:ascii="Arial" w:cs="Arial" w:eastAsia="Arial" w:hAnsi="Arial"/>
                <w:sz w:val="13"/>
                <w:szCs w:val="13"/>
                <w:color w:val="auto"/>
              </w:rPr>
              <w:t>Other expenses</w:t>
            </w:r>
          </w:p>
        </w:tc>
        <w:tc>
          <w:tcPr>
            <w:tcW w:w="780" w:type="dxa"/>
            <w:vAlign w:val="bottom"/>
          </w:tcPr>
          <w:p>
            <w:pPr>
              <w:spacing w:after="0"/>
              <w:rPr>
                <w:sz w:val="14"/>
                <w:szCs w:val="14"/>
                <w:color w:val="auto"/>
              </w:rPr>
            </w:pPr>
          </w:p>
        </w:tc>
        <w:tc>
          <w:tcPr>
            <w:tcW w:w="740" w:type="dxa"/>
            <w:vAlign w:val="bottom"/>
            <w:gridSpan w:val="2"/>
          </w:tcPr>
          <w:p>
            <w:pPr>
              <w:jc w:val="right"/>
              <w:ind w:right="200"/>
              <w:spacing w:after="0"/>
              <w:rPr>
                <w:sz w:val="20"/>
                <w:szCs w:val="20"/>
                <w:color w:val="auto"/>
              </w:rPr>
            </w:pPr>
            <w:r>
              <w:rPr>
                <w:rFonts w:ascii="Arial" w:cs="Arial" w:eastAsia="Arial" w:hAnsi="Arial"/>
                <w:sz w:val="13"/>
                <w:szCs w:val="13"/>
                <w:color w:val="auto"/>
              </w:rPr>
              <w:t>(18,471)</w:t>
            </w:r>
          </w:p>
        </w:tc>
        <w:tc>
          <w:tcPr>
            <w:tcW w:w="280" w:type="dxa"/>
            <w:vAlign w:val="bottom"/>
          </w:tcPr>
          <w:p>
            <w:pPr>
              <w:spacing w:after="0"/>
              <w:rPr>
                <w:sz w:val="14"/>
                <w:szCs w:val="14"/>
                <w:color w:val="auto"/>
              </w:rPr>
            </w:pPr>
          </w:p>
        </w:tc>
        <w:tc>
          <w:tcPr>
            <w:tcW w:w="1180" w:type="dxa"/>
            <w:vAlign w:val="bottom"/>
            <w:gridSpan w:val="2"/>
          </w:tcPr>
          <w:p>
            <w:pPr>
              <w:jc w:val="right"/>
              <w:ind w:right="180"/>
              <w:spacing w:after="0"/>
              <w:rPr>
                <w:sz w:val="20"/>
                <w:szCs w:val="20"/>
                <w:color w:val="auto"/>
              </w:rPr>
            </w:pPr>
            <w:r>
              <w:rPr>
                <w:rFonts w:ascii="Arial" w:cs="Arial" w:eastAsia="Arial" w:hAnsi="Arial"/>
                <w:sz w:val="13"/>
                <w:szCs w:val="13"/>
                <w:color w:val="auto"/>
              </w:rPr>
              <w:t>(16,806)</w:t>
            </w:r>
          </w:p>
        </w:tc>
        <w:tc>
          <w:tcPr>
            <w:tcW w:w="280" w:type="dxa"/>
            <w:vAlign w:val="bottom"/>
          </w:tcPr>
          <w:p>
            <w:pPr>
              <w:spacing w:after="0"/>
              <w:rPr>
                <w:sz w:val="14"/>
                <w:szCs w:val="14"/>
                <w:color w:val="auto"/>
              </w:rPr>
            </w:pPr>
          </w:p>
        </w:tc>
        <w:tc>
          <w:tcPr>
            <w:tcW w:w="1100" w:type="dxa"/>
            <w:vAlign w:val="bottom"/>
            <w:gridSpan w:val="2"/>
          </w:tcPr>
          <w:p>
            <w:pPr>
              <w:jc w:val="right"/>
              <w:ind w:right="80"/>
              <w:spacing w:after="0"/>
              <w:rPr>
                <w:sz w:val="20"/>
                <w:szCs w:val="20"/>
                <w:color w:val="auto"/>
              </w:rPr>
            </w:pPr>
            <w:r>
              <w:rPr>
                <w:rFonts w:ascii="Arial" w:cs="Arial" w:eastAsia="Arial" w:hAnsi="Arial"/>
                <w:sz w:val="13"/>
                <w:szCs w:val="13"/>
                <w:color w:val="auto"/>
              </w:rPr>
              <w:t>(18,532)</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7100" w:type="dxa"/>
            <w:vAlign w:val="bottom"/>
            <w:tcBorders>
              <w:top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Total operating expenses</w:t>
            </w:r>
          </w:p>
        </w:tc>
        <w:tc>
          <w:tcPr>
            <w:tcW w:w="780" w:type="dxa"/>
            <w:vAlign w:val="bottom"/>
            <w:tcBorders>
              <w:top w:val="single" w:sz="8" w:color="auto"/>
              <w:bottom w:val="single" w:sz="8" w:color="auto"/>
            </w:tcBorders>
            <w:shd w:val="clear" w:color="auto" w:fill="CCEEFF"/>
          </w:tcPr>
          <w:p>
            <w:pPr>
              <w:spacing w:after="0"/>
              <w:rPr>
                <w:sz w:val="12"/>
                <w:szCs w:val="12"/>
                <w:color w:val="auto"/>
              </w:rPr>
            </w:pPr>
          </w:p>
        </w:tc>
        <w:tc>
          <w:tcPr>
            <w:tcW w:w="5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w w:val="99"/>
              </w:rPr>
              <w:t>(48,918)</w:t>
            </w:r>
          </w:p>
        </w:tc>
        <w:tc>
          <w:tcPr>
            <w:tcW w:w="24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bottom w:val="single" w:sz="8" w:color="auto"/>
            </w:tcBorders>
            <w:shd w:val="clear" w:color="auto" w:fill="CCEEFF"/>
          </w:tcPr>
          <w:p>
            <w:pPr>
              <w:spacing w:after="0"/>
              <w:rPr>
                <w:sz w:val="12"/>
                <w:szCs w:val="12"/>
                <w:color w:val="auto"/>
              </w:rPr>
            </w:pPr>
          </w:p>
        </w:tc>
        <w:tc>
          <w:tcPr>
            <w:tcW w:w="96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(46,875)</w:t>
            </w:r>
          </w:p>
        </w:tc>
        <w:tc>
          <w:tcPr>
            <w:tcW w:w="22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bottom w:val="single" w:sz="8" w:color="auto"/>
            </w:tcBorders>
            <w:shd w:val="clear" w:color="auto" w:fill="CCEEFF"/>
          </w:tcPr>
          <w:p>
            <w:pPr>
              <w:spacing w:after="0"/>
              <w:rPr>
                <w:sz w:val="12"/>
                <w:szCs w:val="12"/>
                <w:color w:val="auto"/>
              </w:rPr>
            </w:pPr>
          </w:p>
        </w:tc>
        <w:tc>
          <w:tcPr>
            <w:tcW w:w="9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(45,814)</w:t>
            </w: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7100" w:type="dxa"/>
            <w:vAlign w:val="bottom"/>
            <w:tcBorders>
              <w:bottom w:val="single" w:sz="8" w:color="CCEEFF"/>
            </w:tcBorders>
          </w:tcPr>
          <w:p>
            <w:pPr>
              <w:spacing w:after="0" w:line="146" w:lineRule="exact"/>
              <w:rPr>
                <w:sz w:val="20"/>
                <w:szCs w:val="20"/>
                <w:color w:val="auto"/>
              </w:rPr>
            </w:pPr>
            <w:r>
              <w:rPr>
                <w:rFonts w:ascii="Arial" w:cs="Arial" w:eastAsia="Arial" w:hAnsi="Arial"/>
                <w:sz w:val="13"/>
                <w:szCs w:val="13"/>
                <w:b w:val="1"/>
                <w:bCs w:val="1"/>
                <w:color w:val="auto"/>
              </w:rPr>
              <w:t>Profit for the year</w:t>
            </w:r>
          </w:p>
        </w:tc>
        <w:tc>
          <w:tcPr>
            <w:tcW w:w="780" w:type="dxa"/>
            <w:vAlign w:val="bottom"/>
            <w:tcBorders>
              <w:bottom w:val="single" w:sz="8" w:color="auto"/>
            </w:tcBorders>
          </w:tcPr>
          <w:p>
            <w:pPr>
              <w:jc w:val="right"/>
              <w:ind w:right="667"/>
              <w:spacing w:after="0"/>
              <w:rPr>
                <w:sz w:val="20"/>
                <w:szCs w:val="20"/>
                <w:color w:val="auto"/>
              </w:rPr>
            </w:pPr>
            <w:r>
              <w:rPr>
                <w:rFonts w:ascii="Arial" w:cs="Arial" w:eastAsia="Arial" w:hAnsi="Arial"/>
                <w:sz w:val="10"/>
                <w:szCs w:val="10"/>
                <w:b w:val="1"/>
                <w:bCs w:val="1"/>
                <w:color w:val="auto"/>
                <w:w w:val="71"/>
              </w:rPr>
              <w:t>$</w:t>
            </w:r>
          </w:p>
        </w:tc>
        <w:tc>
          <w:tcPr>
            <w:tcW w:w="50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11,138</w:t>
            </w:r>
          </w:p>
        </w:tc>
        <w:tc>
          <w:tcPr>
            <w:tcW w:w="240" w:type="dxa"/>
            <w:vAlign w:val="bottom"/>
            <w:tcBorders>
              <w:bottom w:val="single" w:sz="8" w:color="CCEEFF"/>
            </w:tcBorders>
          </w:tcPr>
          <w:p>
            <w:pPr>
              <w:spacing w:after="0"/>
              <w:rPr>
                <w:sz w:val="14"/>
                <w:szCs w:val="14"/>
                <w:color w:val="auto"/>
              </w:rPr>
            </w:pPr>
          </w:p>
        </w:tc>
        <w:tc>
          <w:tcPr>
            <w:tcW w:w="280" w:type="dxa"/>
            <w:vAlign w:val="bottom"/>
            <w:tcBorders>
              <w:bottom w:val="single" w:sz="8" w:color="auto"/>
            </w:tcBorders>
          </w:tcPr>
          <w:p>
            <w:pPr>
              <w:jc w:val="right"/>
              <w:ind w:right="172"/>
              <w:spacing w:after="0"/>
              <w:rPr>
                <w:sz w:val="20"/>
                <w:szCs w:val="20"/>
                <w:color w:val="auto"/>
              </w:rPr>
            </w:pPr>
            <w:r>
              <w:rPr>
                <w:rFonts w:ascii="Arial" w:cs="Arial" w:eastAsia="Arial" w:hAnsi="Arial"/>
                <w:sz w:val="10"/>
                <w:szCs w:val="10"/>
                <w:b w:val="1"/>
                <w:bCs w:val="1"/>
                <w:color w:val="auto"/>
                <w:w w:val="71"/>
              </w:rPr>
              <w:t>$</w:t>
            </w: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81,999</w:t>
            </w:r>
          </w:p>
        </w:tc>
        <w:tc>
          <w:tcPr>
            <w:tcW w:w="220" w:type="dxa"/>
            <w:vAlign w:val="bottom"/>
            <w:tcBorders>
              <w:bottom w:val="single" w:sz="8" w:color="CCEEFF"/>
            </w:tcBorders>
          </w:tcPr>
          <w:p>
            <w:pPr>
              <w:spacing w:after="0"/>
              <w:rPr>
                <w:sz w:val="14"/>
                <w:szCs w:val="14"/>
                <w:color w:val="auto"/>
              </w:rPr>
            </w:pPr>
          </w:p>
        </w:tc>
        <w:tc>
          <w:tcPr>
            <w:tcW w:w="280" w:type="dxa"/>
            <w:vAlign w:val="bottom"/>
            <w:tcBorders>
              <w:bottom w:val="single" w:sz="8" w:color="auto"/>
            </w:tcBorders>
          </w:tcPr>
          <w:p>
            <w:pPr>
              <w:jc w:val="right"/>
              <w:ind w:right="172"/>
              <w:spacing w:after="0"/>
              <w:rPr>
                <w:sz w:val="20"/>
                <w:szCs w:val="20"/>
                <w:color w:val="auto"/>
              </w:rPr>
            </w:pPr>
            <w:r>
              <w:rPr>
                <w:rFonts w:ascii="Arial" w:cs="Arial" w:eastAsia="Arial" w:hAnsi="Arial"/>
                <w:sz w:val="10"/>
                <w:szCs w:val="10"/>
                <w:b w:val="1"/>
                <w:bCs w:val="1"/>
                <w:color w:val="auto"/>
                <w:w w:val="71"/>
              </w:rPr>
              <w:t>$</w:t>
            </w:r>
          </w:p>
        </w:tc>
        <w:tc>
          <w:tcPr>
            <w:tcW w:w="98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87,045</w:t>
            </w:r>
          </w:p>
        </w:tc>
        <w:tc>
          <w:tcPr>
            <w:tcW w:w="12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Basic earnings per share</w:t>
            </w:r>
          </w:p>
        </w:tc>
        <w:tc>
          <w:tcPr>
            <w:tcW w:w="780" w:type="dxa"/>
            <w:vAlign w:val="bottom"/>
            <w:shd w:val="clear" w:color="auto" w:fill="CCEEFF"/>
          </w:tcPr>
          <w:p>
            <w:pPr>
              <w:jc w:val="right"/>
              <w:ind w:right="667"/>
              <w:spacing w:after="0"/>
              <w:rPr>
                <w:sz w:val="20"/>
                <w:szCs w:val="20"/>
                <w:color w:val="auto"/>
              </w:rPr>
            </w:pPr>
            <w:r>
              <w:rPr>
                <w:rFonts w:ascii="Arial" w:cs="Arial" w:eastAsia="Arial" w:hAnsi="Arial"/>
                <w:sz w:val="10"/>
                <w:szCs w:val="10"/>
                <w:b w:val="1"/>
                <w:bCs w:val="1"/>
                <w:color w:val="auto"/>
                <w:w w:val="71"/>
              </w:rPr>
              <w:t>$</w:t>
            </w:r>
          </w:p>
        </w:tc>
        <w:tc>
          <w:tcPr>
            <w:tcW w:w="500" w:type="dxa"/>
            <w:vAlign w:val="bottom"/>
            <w:shd w:val="clear" w:color="auto" w:fill="CCEEFF"/>
          </w:tcPr>
          <w:p>
            <w:pPr>
              <w:jc w:val="right"/>
              <w:spacing w:after="0"/>
              <w:rPr>
                <w:sz w:val="20"/>
                <w:szCs w:val="20"/>
                <w:color w:val="auto"/>
              </w:rPr>
            </w:pPr>
            <w:r>
              <w:rPr>
                <w:rFonts w:ascii="Arial" w:cs="Arial" w:eastAsia="Arial" w:hAnsi="Arial"/>
                <w:sz w:val="13"/>
                <w:szCs w:val="13"/>
                <w:b w:val="1"/>
                <w:bCs w:val="1"/>
                <w:color w:val="auto"/>
              </w:rPr>
              <w:t>0.28</w:t>
            </w:r>
          </w:p>
        </w:tc>
        <w:tc>
          <w:tcPr>
            <w:tcW w:w="240" w:type="dxa"/>
            <w:vAlign w:val="bottom"/>
            <w:shd w:val="clear" w:color="auto" w:fill="CCEEFF"/>
          </w:tcPr>
          <w:p>
            <w:pPr>
              <w:spacing w:after="0"/>
              <w:rPr>
                <w:sz w:val="13"/>
                <w:szCs w:val="13"/>
                <w:color w:val="auto"/>
              </w:rPr>
            </w:pPr>
          </w:p>
        </w:tc>
        <w:tc>
          <w:tcPr>
            <w:tcW w:w="280" w:type="dxa"/>
            <w:vAlign w:val="bottom"/>
            <w:shd w:val="clear" w:color="auto" w:fill="CCEEFF"/>
          </w:tcPr>
          <w:p>
            <w:pPr>
              <w:jc w:val="right"/>
              <w:ind w:right="172"/>
              <w:spacing w:after="0"/>
              <w:rPr>
                <w:sz w:val="20"/>
                <w:szCs w:val="20"/>
                <w:color w:val="auto"/>
              </w:rPr>
            </w:pPr>
            <w:r>
              <w:rPr>
                <w:rFonts w:ascii="Arial" w:cs="Arial" w:eastAsia="Arial" w:hAnsi="Arial"/>
                <w:sz w:val="10"/>
                <w:szCs w:val="10"/>
                <w:b w:val="1"/>
                <w:bCs w:val="1"/>
                <w:color w:val="auto"/>
                <w:w w:val="71"/>
              </w:rPr>
              <w:t>$</w:t>
            </w:r>
          </w:p>
        </w:tc>
        <w:tc>
          <w:tcPr>
            <w:tcW w:w="960" w:type="dxa"/>
            <w:vAlign w:val="bottom"/>
            <w:shd w:val="clear" w:color="auto" w:fill="CCEEFF"/>
          </w:tcPr>
          <w:p>
            <w:pPr>
              <w:jc w:val="right"/>
              <w:spacing w:after="0"/>
              <w:rPr>
                <w:sz w:val="20"/>
                <w:szCs w:val="20"/>
                <w:color w:val="auto"/>
              </w:rPr>
            </w:pPr>
            <w:r>
              <w:rPr>
                <w:rFonts w:ascii="Arial" w:cs="Arial" w:eastAsia="Arial" w:hAnsi="Arial"/>
                <w:sz w:val="13"/>
                <w:szCs w:val="13"/>
                <w:b w:val="1"/>
                <w:bCs w:val="1"/>
                <w:color w:val="auto"/>
              </w:rPr>
              <w:t>2.09</w:t>
            </w:r>
          </w:p>
        </w:tc>
        <w:tc>
          <w:tcPr>
            <w:tcW w:w="220" w:type="dxa"/>
            <w:vAlign w:val="bottom"/>
            <w:shd w:val="clear" w:color="auto" w:fill="CCEEFF"/>
          </w:tcPr>
          <w:p>
            <w:pPr>
              <w:spacing w:after="0"/>
              <w:rPr>
                <w:sz w:val="13"/>
                <w:szCs w:val="13"/>
                <w:color w:val="auto"/>
              </w:rPr>
            </w:pPr>
          </w:p>
        </w:tc>
        <w:tc>
          <w:tcPr>
            <w:tcW w:w="280" w:type="dxa"/>
            <w:vAlign w:val="bottom"/>
            <w:shd w:val="clear" w:color="auto" w:fill="CCEEFF"/>
          </w:tcPr>
          <w:p>
            <w:pPr>
              <w:jc w:val="right"/>
              <w:ind w:right="172"/>
              <w:spacing w:after="0"/>
              <w:rPr>
                <w:sz w:val="20"/>
                <w:szCs w:val="20"/>
                <w:color w:val="auto"/>
              </w:rPr>
            </w:pPr>
            <w:r>
              <w:rPr>
                <w:rFonts w:ascii="Arial" w:cs="Arial" w:eastAsia="Arial" w:hAnsi="Arial"/>
                <w:sz w:val="10"/>
                <w:szCs w:val="10"/>
                <w:b w:val="1"/>
                <w:bCs w:val="1"/>
                <w:color w:val="auto"/>
                <w:w w:val="71"/>
              </w:rPr>
              <w:t>$</w:t>
            </w: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b w:val="1"/>
                <w:bCs w:val="1"/>
                <w:color w:val="auto"/>
              </w:rPr>
              <w:t>2.23</w:t>
            </w: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spacing w:after="0"/>
              <w:rPr>
                <w:sz w:val="20"/>
                <w:szCs w:val="20"/>
                <w:color w:val="auto"/>
              </w:rPr>
            </w:pPr>
            <w:r>
              <w:rPr>
                <w:rFonts w:ascii="Arial" w:cs="Arial" w:eastAsia="Arial" w:hAnsi="Arial"/>
                <w:sz w:val="13"/>
                <w:szCs w:val="13"/>
                <w:color w:val="auto"/>
              </w:rPr>
              <w:t>Diluted earnings per share</w:t>
            </w:r>
          </w:p>
        </w:tc>
        <w:tc>
          <w:tcPr>
            <w:tcW w:w="780" w:type="dxa"/>
            <w:vAlign w:val="bottom"/>
          </w:tcPr>
          <w:p>
            <w:pPr>
              <w:jc w:val="right"/>
              <w:ind w:right="667"/>
              <w:spacing w:after="0"/>
              <w:rPr>
                <w:sz w:val="20"/>
                <w:szCs w:val="20"/>
                <w:color w:val="auto"/>
              </w:rPr>
            </w:pPr>
            <w:r>
              <w:rPr>
                <w:rFonts w:ascii="Arial" w:cs="Arial" w:eastAsia="Arial" w:hAnsi="Arial"/>
                <w:sz w:val="10"/>
                <w:szCs w:val="10"/>
                <w:color w:val="auto"/>
                <w:w w:val="71"/>
              </w:rPr>
              <w:t>$</w:t>
            </w:r>
          </w:p>
        </w:tc>
        <w:tc>
          <w:tcPr>
            <w:tcW w:w="740" w:type="dxa"/>
            <w:vAlign w:val="bottom"/>
            <w:gridSpan w:val="2"/>
          </w:tcPr>
          <w:p>
            <w:pPr>
              <w:jc w:val="right"/>
              <w:ind w:right="240"/>
              <w:spacing w:after="0"/>
              <w:rPr>
                <w:sz w:val="20"/>
                <w:szCs w:val="20"/>
                <w:color w:val="auto"/>
              </w:rPr>
            </w:pPr>
            <w:r>
              <w:rPr>
                <w:rFonts w:ascii="Arial" w:cs="Arial" w:eastAsia="Arial" w:hAnsi="Arial"/>
                <w:sz w:val="13"/>
                <w:szCs w:val="13"/>
                <w:color w:val="auto"/>
              </w:rPr>
              <w:t>0.28</w:t>
            </w:r>
          </w:p>
        </w:tc>
        <w:tc>
          <w:tcPr>
            <w:tcW w:w="280" w:type="dxa"/>
            <w:vAlign w:val="bottom"/>
          </w:tcPr>
          <w:p>
            <w:pPr>
              <w:jc w:val="right"/>
              <w:ind w:right="172"/>
              <w:spacing w:after="0"/>
              <w:rPr>
                <w:sz w:val="20"/>
                <w:szCs w:val="20"/>
                <w:color w:val="auto"/>
              </w:rPr>
            </w:pPr>
            <w:r>
              <w:rPr>
                <w:rFonts w:ascii="Arial" w:cs="Arial" w:eastAsia="Arial" w:hAnsi="Arial"/>
                <w:sz w:val="10"/>
                <w:szCs w:val="10"/>
                <w:color w:val="auto"/>
                <w:w w:val="71"/>
              </w:rPr>
              <w:t>$</w:t>
            </w:r>
          </w:p>
        </w:tc>
        <w:tc>
          <w:tcPr>
            <w:tcW w:w="1180" w:type="dxa"/>
            <w:vAlign w:val="bottom"/>
            <w:gridSpan w:val="2"/>
          </w:tcPr>
          <w:p>
            <w:pPr>
              <w:jc w:val="right"/>
              <w:ind w:right="220"/>
              <w:spacing w:after="0"/>
              <w:rPr>
                <w:sz w:val="20"/>
                <w:szCs w:val="20"/>
                <w:color w:val="auto"/>
              </w:rPr>
            </w:pPr>
            <w:r>
              <w:rPr>
                <w:rFonts w:ascii="Arial" w:cs="Arial" w:eastAsia="Arial" w:hAnsi="Arial"/>
                <w:sz w:val="13"/>
                <w:szCs w:val="13"/>
                <w:color w:val="auto"/>
              </w:rPr>
              <w:t>2.08</w:t>
            </w:r>
          </w:p>
        </w:tc>
        <w:tc>
          <w:tcPr>
            <w:tcW w:w="280" w:type="dxa"/>
            <w:vAlign w:val="bottom"/>
          </w:tcPr>
          <w:p>
            <w:pPr>
              <w:jc w:val="right"/>
              <w:ind w:right="172"/>
              <w:spacing w:after="0"/>
              <w:rPr>
                <w:sz w:val="20"/>
                <w:szCs w:val="20"/>
                <w:color w:val="auto"/>
              </w:rPr>
            </w:pPr>
            <w:r>
              <w:rPr>
                <w:rFonts w:ascii="Arial" w:cs="Arial" w:eastAsia="Arial" w:hAnsi="Arial"/>
                <w:sz w:val="10"/>
                <w:szCs w:val="10"/>
                <w:color w:val="auto"/>
                <w:w w:val="71"/>
              </w:rPr>
              <w:t>$</w:t>
            </w:r>
          </w:p>
        </w:tc>
        <w:tc>
          <w:tcPr>
            <w:tcW w:w="1100" w:type="dxa"/>
            <w:vAlign w:val="bottom"/>
            <w:gridSpan w:val="2"/>
          </w:tcPr>
          <w:p>
            <w:pPr>
              <w:jc w:val="right"/>
              <w:ind w:right="120"/>
              <w:spacing w:after="0"/>
              <w:rPr>
                <w:sz w:val="20"/>
                <w:szCs w:val="20"/>
                <w:color w:val="auto"/>
              </w:rPr>
            </w:pPr>
            <w:r>
              <w:rPr>
                <w:rFonts w:ascii="Arial" w:cs="Arial" w:eastAsia="Arial" w:hAnsi="Arial"/>
                <w:sz w:val="13"/>
                <w:szCs w:val="13"/>
                <w:color w:val="auto"/>
              </w:rPr>
              <w:t>2.22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spacing w:after="0"/>
              <w:rPr>
                <w:sz w:val="20"/>
                <w:szCs w:val="20"/>
                <w:color w:val="auto"/>
              </w:rPr>
            </w:pPr>
            <w:r>
              <w:rPr>
                <w:rFonts w:ascii="Arial" w:cs="Arial" w:eastAsia="Arial" w:hAnsi="Arial"/>
                <w:sz w:val="13"/>
                <w:szCs w:val="13"/>
                <w:color w:val="auto"/>
              </w:rPr>
              <w:t>Weighted average basic shares</w:t>
            </w:r>
          </w:p>
        </w:tc>
        <w:tc>
          <w:tcPr>
            <w:tcW w:w="78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39,543</w:t>
            </w:r>
          </w:p>
        </w:tc>
        <w:tc>
          <w:tcPr>
            <w:tcW w:w="280" w:type="dxa"/>
            <w:vAlign w:val="bottom"/>
            <w:shd w:val="clear" w:color="auto" w:fill="CCEEFF"/>
          </w:tcPr>
          <w:p>
            <w:pPr>
              <w:spacing w:after="0"/>
              <w:rPr>
                <w:sz w:val="13"/>
                <w:szCs w:val="13"/>
                <w:color w:val="auto"/>
              </w:rPr>
            </w:pP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39,311</w:t>
            </w:r>
          </w:p>
        </w:tc>
        <w:tc>
          <w:tcPr>
            <w:tcW w:w="28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39,085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spacing w:after="0"/>
              <w:rPr>
                <w:sz w:val="20"/>
                <w:szCs w:val="20"/>
                <w:color w:val="auto"/>
              </w:rPr>
            </w:pPr>
            <w:r>
              <w:rPr>
                <w:rFonts w:ascii="Arial" w:cs="Arial" w:eastAsia="Arial" w:hAnsi="Arial"/>
                <w:sz w:val="13"/>
                <w:szCs w:val="13"/>
                <w:color w:val="auto"/>
              </w:rPr>
              <w:t>Weighted average diluted shares</w:t>
            </w:r>
          </w:p>
        </w:tc>
        <w:tc>
          <w:tcPr>
            <w:tcW w:w="780" w:type="dxa"/>
            <w:vAlign w:val="bottom"/>
          </w:tcPr>
          <w:p>
            <w:pPr>
              <w:spacing w:after="0"/>
              <w:rPr>
                <w:sz w:val="13"/>
                <w:szCs w:val="13"/>
                <w:color w:val="auto"/>
              </w:rPr>
            </w:pPr>
          </w:p>
        </w:tc>
        <w:tc>
          <w:tcPr>
            <w:tcW w:w="740" w:type="dxa"/>
            <w:vAlign w:val="bottom"/>
            <w:gridSpan w:val="2"/>
          </w:tcPr>
          <w:p>
            <w:pPr>
              <w:jc w:val="right"/>
              <w:ind w:right="240"/>
              <w:spacing w:after="0"/>
              <w:rPr>
                <w:sz w:val="20"/>
                <w:szCs w:val="20"/>
                <w:color w:val="auto"/>
              </w:rPr>
            </w:pPr>
            <w:r>
              <w:rPr>
                <w:rFonts w:ascii="Arial" w:cs="Arial" w:eastAsia="Arial" w:hAnsi="Arial"/>
                <w:sz w:val="13"/>
                <w:szCs w:val="13"/>
                <w:color w:val="auto"/>
              </w:rPr>
              <w:t>39,543</w:t>
            </w:r>
          </w:p>
        </w:tc>
        <w:tc>
          <w:tcPr>
            <w:tcW w:w="280" w:type="dxa"/>
            <w:vAlign w:val="bottom"/>
          </w:tcPr>
          <w:p>
            <w:pPr>
              <w:spacing w:after="0"/>
              <w:rPr>
                <w:sz w:val="13"/>
                <w:szCs w:val="13"/>
                <w:color w:val="auto"/>
              </w:rPr>
            </w:pPr>
          </w:p>
        </w:tc>
        <w:tc>
          <w:tcPr>
            <w:tcW w:w="1180" w:type="dxa"/>
            <w:vAlign w:val="bottom"/>
            <w:gridSpan w:val="2"/>
          </w:tcPr>
          <w:p>
            <w:pPr>
              <w:jc w:val="right"/>
              <w:ind w:right="220"/>
              <w:spacing w:after="0"/>
              <w:rPr>
                <w:sz w:val="20"/>
                <w:szCs w:val="20"/>
                <w:color w:val="auto"/>
              </w:rPr>
            </w:pPr>
            <w:r>
              <w:rPr>
                <w:rFonts w:ascii="Arial" w:cs="Arial" w:eastAsia="Arial" w:hAnsi="Arial"/>
                <w:sz w:val="13"/>
                <w:szCs w:val="13"/>
                <w:color w:val="auto"/>
              </w:rPr>
              <w:t>39,329</w:t>
            </w:r>
          </w:p>
        </w:tc>
        <w:tc>
          <w:tcPr>
            <w:tcW w:w="280" w:type="dxa"/>
            <w:vAlign w:val="bottom"/>
          </w:tcPr>
          <w:p>
            <w:pPr>
              <w:spacing w:after="0"/>
              <w:rPr>
                <w:sz w:val="13"/>
                <w:szCs w:val="13"/>
                <w:color w:val="auto"/>
              </w:rPr>
            </w:pPr>
          </w:p>
        </w:tc>
        <w:tc>
          <w:tcPr>
            <w:tcW w:w="1100" w:type="dxa"/>
            <w:vAlign w:val="bottom"/>
            <w:gridSpan w:val="2"/>
          </w:tcPr>
          <w:p>
            <w:pPr>
              <w:jc w:val="right"/>
              <w:ind w:right="120"/>
              <w:spacing w:after="0"/>
              <w:rPr>
                <w:sz w:val="20"/>
                <w:szCs w:val="20"/>
                <w:color w:val="auto"/>
              </w:rPr>
            </w:pPr>
            <w:r>
              <w:rPr>
                <w:rFonts w:ascii="Arial" w:cs="Arial" w:eastAsia="Arial" w:hAnsi="Arial"/>
                <w:sz w:val="13"/>
                <w:szCs w:val="13"/>
                <w:color w:val="auto"/>
              </w:rPr>
              <w:t>39,210</w:t>
            </w:r>
          </w:p>
        </w:tc>
        <w:tc>
          <w:tcPr>
            <w:tcW w:w="0" w:type="dxa"/>
            <w:vAlign w:val="bottom"/>
          </w:tcPr>
          <w:p>
            <w:pPr>
              <w:spacing w:after="0"/>
              <w:rPr>
                <w:sz w:val="1"/>
                <w:szCs w:val="1"/>
                <w:color w:val="auto"/>
              </w:rPr>
            </w:pPr>
          </w:p>
        </w:tc>
      </w:tr>
      <w:tr>
        <w:trPr>
          <w:trHeight w:val="183"/>
        </w:trPr>
        <w:tc>
          <w:tcPr>
            <w:tcW w:w="20" w:type="dxa"/>
            <w:vAlign w:val="bottom"/>
          </w:tcPr>
          <w:p>
            <w:pPr>
              <w:spacing w:after="0"/>
              <w:rPr>
                <w:sz w:val="15"/>
                <w:szCs w:val="15"/>
                <w:color w:val="auto"/>
              </w:rPr>
            </w:pPr>
          </w:p>
        </w:tc>
        <w:tc>
          <w:tcPr>
            <w:tcW w:w="7100" w:type="dxa"/>
            <w:vAlign w:val="bottom"/>
            <w:shd w:val="clear" w:color="auto" w:fill="CCEEFF"/>
          </w:tcPr>
          <w:p>
            <w:pPr>
              <w:spacing w:after="0" w:line="183" w:lineRule="exact"/>
              <w:rPr>
                <w:sz w:val="20"/>
                <w:szCs w:val="20"/>
                <w:color w:val="auto"/>
              </w:rPr>
            </w:pPr>
            <w:r>
              <w:rPr>
                <w:rFonts w:ascii="Arial" w:cs="Arial" w:eastAsia="Arial" w:hAnsi="Arial"/>
                <w:sz w:val="13"/>
                <w:szCs w:val="13"/>
                <w:color w:val="auto"/>
              </w:rPr>
              <w:t xml:space="preserve">Return on average total assets </w:t>
            </w:r>
            <w:r>
              <w:rPr>
                <w:rFonts w:ascii="Arial" w:cs="Arial" w:eastAsia="Arial" w:hAnsi="Arial"/>
                <w:sz w:val="21"/>
                <w:szCs w:val="21"/>
                <w:color w:val="auto"/>
                <w:vertAlign w:val="superscript"/>
              </w:rPr>
              <w:t>(1)</w:t>
            </w:r>
          </w:p>
        </w:tc>
        <w:tc>
          <w:tcPr>
            <w:tcW w:w="780" w:type="dxa"/>
            <w:vAlign w:val="bottom"/>
            <w:shd w:val="clear" w:color="auto" w:fill="CCEEFF"/>
          </w:tcPr>
          <w:p>
            <w:pPr>
              <w:spacing w:after="0"/>
              <w:rPr>
                <w:sz w:val="15"/>
                <w:szCs w:val="15"/>
                <w:color w:val="auto"/>
              </w:rPr>
            </w:pPr>
          </w:p>
        </w:tc>
        <w:tc>
          <w:tcPr>
            <w:tcW w:w="7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0.17%</w:t>
            </w:r>
          </w:p>
        </w:tc>
        <w:tc>
          <w:tcPr>
            <w:tcW w:w="280" w:type="dxa"/>
            <w:vAlign w:val="bottom"/>
            <w:shd w:val="clear" w:color="auto" w:fill="CCEEFF"/>
          </w:tcPr>
          <w:p>
            <w:pPr>
              <w:spacing w:after="0"/>
              <w:rPr>
                <w:sz w:val="15"/>
                <w:szCs w:val="15"/>
                <w:color w:val="auto"/>
              </w:rPr>
            </w:pPr>
          </w:p>
        </w:tc>
        <w:tc>
          <w:tcPr>
            <w:tcW w:w="11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1.27%</w:t>
            </w:r>
          </w:p>
        </w:tc>
        <w:tc>
          <w:tcPr>
            <w:tcW w:w="280" w:type="dxa"/>
            <w:vAlign w:val="bottom"/>
            <w:shd w:val="clear" w:color="auto" w:fill="CCEEFF"/>
          </w:tcPr>
          <w:p>
            <w:pPr>
              <w:spacing w:after="0"/>
              <w:rPr>
                <w:sz w:val="15"/>
                <w:szCs w:val="15"/>
                <w:color w:val="auto"/>
              </w:rPr>
            </w:pPr>
          </w:p>
        </w:tc>
        <w:tc>
          <w:tcPr>
            <w:tcW w:w="110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1.16%</w:t>
            </w:r>
          </w:p>
        </w:tc>
        <w:tc>
          <w:tcPr>
            <w:tcW w:w="0" w:type="dxa"/>
            <w:vAlign w:val="bottom"/>
          </w:tcPr>
          <w:p>
            <w:pPr>
              <w:spacing w:after="0"/>
              <w:rPr>
                <w:sz w:val="1"/>
                <w:szCs w:val="1"/>
                <w:color w:val="auto"/>
              </w:rPr>
            </w:pPr>
          </w:p>
        </w:tc>
      </w:tr>
      <w:tr>
        <w:trPr>
          <w:trHeight w:val="184"/>
        </w:trPr>
        <w:tc>
          <w:tcPr>
            <w:tcW w:w="20" w:type="dxa"/>
            <w:vAlign w:val="bottom"/>
          </w:tcPr>
          <w:p>
            <w:pPr>
              <w:spacing w:after="0"/>
              <w:rPr>
                <w:sz w:val="15"/>
                <w:szCs w:val="15"/>
                <w:color w:val="auto"/>
              </w:rPr>
            </w:pPr>
          </w:p>
        </w:tc>
        <w:tc>
          <w:tcPr>
            <w:tcW w:w="7100" w:type="dxa"/>
            <w:vAlign w:val="bottom"/>
          </w:tcPr>
          <w:p>
            <w:pPr>
              <w:spacing w:after="0" w:line="184" w:lineRule="exact"/>
              <w:rPr>
                <w:sz w:val="20"/>
                <w:szCs w:val="20"/>
                <w:color w:val="auto"/>
              </w:rPr>
            </w:pPr>
            <w:r>
              <w:rPr>
                <w:rFonts w:ascii="Arial" w:cs="Arial" w:eastAsia="Arial" w:hAnsi="Arial"/>
                <w:sz w:val="13"/>
                <w:szCs w:val="13"/>
                <w:color w:val="auto"/>
              </w:rPr>
              <w:t xml:space="preserve">Return on average total equity </w:t>
            </w:r>
            <w:r>
              <w:rPr>
                <w:rFonts w:ascii="Arial" w:cs="Arial" w:eastAsia="Arial" w:hAnsi="Arial"/>
                <w:sz w:val="21"/>
                <w:szCs w:val="21"/>
                <w:color w:val="auto"/>
                <w:vertAlign w:val="superscript"/>
              </w:rPr>
              <w:t>(2)</w:t>
            </w:r>
          </w:p>
        </w:tc>
        <w:tc>
          <w:tcPr>
            <w:tcW w:w="780" w:type="dxa"/>
            <w:vAlign w:val="bottom"/>
          </w:tcPr>
          <w:p>
            <w:pPr>
              <w:spacing w:after="0"/>
              <w:rPr>
                <w:sz w:val="15"/>
                <w:szCs w:val="15"/>
                <w:color w:val="auto"/>
              </w:rPr>
            </w:pPr>
          </w:p>
        </w:tc>
        <w:tc>
          <w:tcPr>
            <w:tcW w:w="740" w:type="dxa"/>
            <w:vAlign w:val="bottom"/>
            <w:gridSpan w:val="2"/>
          </w:tcPr>
          <w:p>
            <w:pPr>
              <w:jc w:val="right"/>
              <w:ind w:right="140"/>
              <w:spacing w:after="0"/>
              <w:rPr>
                <w:sz w:val="20"/>
                <w:szCs w:val="20"/>
                <w:color w:val="auto"/>
              </w:rPr>
            </w:pPr>
            <w:r>
              <w:rPr>
                <w:rFonts w:ascii="Arial" w:cs="Arial" w:eastAsia="Arial" w:hAnsi="Arial"/>
                <w:sz w:val="13"/>
                <w:szCs w:val="13"/>
                <w:color w:val="auto"/>
              </w:rPr>
              <w:t>1.08%</w:t>
            </w:r>
          </w:p>
        </w:tc>
        <w:tc>
          <w:tcPr>
            <w:tcW w:w="280" w:type="dxa"/>
            <w:vAlign w:val="bottom"/>
          </w:tcPr>
          <w:p>
            <w:pPr>
              <w:spacing w:after="0"/>
              <w:rPr>
                <w:sz w:val="15"/>
                <w:szCs w:val="15"/>
                <w:color w:val="auto"/>
              </w:rPr>
            </w:pPr>
          </w:p>
        </w:tc>
        <w:tc>
          <w:tcPr>
            <w:tcW w:w="1180" w:type="dxa"/>
            <w:vAlign w:val="bottom"/>
            <w:gridSpan w:val="2"/>
          </w:tcPr>
          <w:p>
            <w:pPr>
              <w:jc w:val="right"/>
              <w:ind w:right="120"/>
              <w:spacing w:after="0"/>
              <w:rPr>
                <w:sz w:val="20"/>
                <w:szCs w:val="20"/>
                <w:color w:val="auto"/>
              </w:rPr>
            </w:pPr>
            <w:r>
              <w:rPr>
                <w:rFonts w:ascii="Arial" w:cs="Arial" w:eastAsia="Arial" w:hAnsi="Arial"/>
                <w:sz w:val="13"/>
                <w:szCs w:val="13"/>
                <w:color w:val="auto"/>
              </w:rPr>
              <w:t>8.02%</w:t>
            </w:r>
          </w:p>
        </w:tc>
        <w:tc>
          <w:tcPr>
            <w:tcW w:w="280" w:type="dxa"/>
            <w:vAlign w:val="bottom"/>
          </w:tcPr>
          <w:p>
            <w:pPr>
              <w:spacing w:after="0"/>
              <w:rPr>
                <w:sz w:val="15"/>
                <w:szCs w:val="15"/>
                <w:color w:val="auto"/>
              </w:rPr>
            </w:pPr>
          </w:p>
        </w:tc>
        <w:tc>
          <w:tcPr>
            <w:tcW w:w="1100" w:type="dxa"/>
            <w:vAlign w:val="bottom"/>
            <w:gridSpan w:val="2"/>
          </w:tcPr>
          <w:p>
            <w:pPr>
              <w:jc w:val="right"/>
              <w:ind w:right="20"/>
              <w:spacing w:after="0"/>
              <w:rPr>
                <w:sz w:val="20"/>
                <w:szCs w:val="20"/>
                <w:color w:val="auto"/>
              </w:rPr>
            </w:pPr>
            <w:r>
              <w:rPr>
                <w:rFonts w:ascii="Arial" w:cs="Arial" w:eastAsia="Arial" w:hAnsi="Arial"/>
                <w:sz w:val="13"/>
                <w:szCs w:val="13"/>
                <w:color w:val="auto"/>
              </w:rPr>
              <w:t>8.76%</w:t>
            </w:r>
          </w:p>
        </w:tc>
        <w:tc>
          <w:tcPr>
            <w:tcW w:w="0" w:type="dxa"/>
            <w:vAlign w:val="bottom"/>
          </w:tcPr>
          <w:p>
            <w:pPr>
              <w:spacing w:after="0"/>
              <w:rPr>
                <w:sz w:val="1"/>
                <w:szCs w:val="1"/>
                <w:color w:val="auto"/>
              </w:rPr>
            </w:pPr>
          </w:p>
        </w:tc>
      </w:tr>
    </w:tbl>
    <w:p>
      <w:pPr>
        <w:ind w:left="223" w:right="20" w:hanging="223"/>
        <w:spacing w:after="0" w:line="188" w:lineRule="auto"/>
        <w:tabs>
          <w:tab w:leader="none" w:pos="223" w:val="left"/>
        </w:tabs>
        <w:numPr>
          <w:ilvl w:val="0"/>
          <w:numId w:val="24"/>
        </w:numPr>
        <w:rPr>
          <w:rFonts w:ascii="Arial" w:cs="Arial" w:eastAsia="Arial" w:hAnsi="Arial"/>
          <w:sz w:val="21"/>
          <w:szCs w:val="21"/>
          <w:color w:val="auto"/>
          <w:vertAlign w:val="superscript"/>
        </w:rPr>
      </w:pPr>
      <w:r>
        <w:rPr>
          <w:rFonts w:ascii="Arial" w:cs="Arial" w:eastAsia="Arial" w:hAnsi="Arial"/>
          <w:sz w:val="13"/>
          <w:szCs w:val="13"/>
          <w:color w:val="auto"/>
        </w:rPr>
        <w:t>For the years 2018, 2017 and 2016, return on average total assets is calculated as profit for the year divided by average total assets. Average total assets for 2018, 2017 and 2016 is calculated on the basis of daily average balances.</w:t>
      </w:r>
    </w:p>
    <w:p>
      <w:pPr>
        <w:ind w:left="223" w:right="20" w:hanging="223"/>
        <w:spacing w:after="0" w:line="189" w:lineRule="auto"/>
        <w:tabs>
          <w:tab w:leader="none" w:pos="223" w:val="left"/>
        </w:tabs>
        <w:numPr>
          <w:ilvl w:val="0"/>
          <w:numId w:val="24"/>
        </w:numPr>
        <w:rPr>
          <w:rFonts w:ascii="Arial" w:cs="Arial" w:eastAsia="Arial" w:hAnsi="Arial"/>
          <w:sz w:val="21"/>
          <w:szCs w:val="21"/>
          <w:color w:val="auto"/>
          <w:vertAlign w:val="superscript"/>
        </w:rPr>
      </w:pPr>
      <w:r>
        <w:rPr>
          <w:rFonts w:ascii="Arial" w:cs="Arial" w:eastAsia="Arial" w:hAnsi="Arial"/>
          <w:sz w:val="13"/>
          <w:szCs w:val="13"/>
          <w:color w:val="auto"/>
        </w:rPr>
        <w:t>For the years 2018, 2017 and 2016, return on average total equity is calculated as profit for the year divided by average total equity. Average total equity for 2018, 2017 and 2016 is calculated on the basis of daily average balances.</w:t>
      </w:r>
    </w:p>
    <w:p>
      <w:pPr>
        <w:spacing w:after="0" w:line="146"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Profit for the year</w:t>
      </w:r>
    </w:p>
    <w:p>
      <w:pPr>
        <w:spacing w:after="0" w:line="159" w:lineRule="exact"/>
        <w:rPr>
          <w:sz w:val="20"/>
          <w:szCs w:val="20"/>
          <w:color w:val="auto"/>
        </w:rPr>
      </w:pPr>
    </w:p>
    <w:p>
      <w:pPr>
        <w:jc w:val="both"/>
        <w:ind w:left="3"/>
        <w:spacing w:after="0" w:line="276" w:lineRule="auto"/>
        <w:rPr>
          <w:sz w:val="20"/>
          <w:szCs w:val="20"/>
          <w:color w:val="auto"/>
        </w:rPr>
      </w:pPr>
      <w:r>
        <w:rPr>
          <w:rFonts w:ascii="Arial" w:cs="Arial" w:eastAsia="Arial" w:hAnsi="Arial"/>
          <w:sz w:val="12"/>
          <w:szCs w:val="12"/>
          <w:color w:val="auto"/>
        </w:rPr>
        <w:t>Bladex’s profit for the year 2018 totaled $11.1 million, or $0.28 per share, compared to $82.0 million, or $2.09 per share for the year 2017. Bladex’s decrease in profits during 2018 was mainly impacted by: (i) the $57.5 million impairment losses on financial instruments, primarily associated with provisions for credit losses on an increased level of credit-impaired loans, mainly related to a single credit in the sugar industry in Brazil, (ii) the $10.0 million impairment losses on non-financial assets, associated with losses on investment properties and other non-financial assets related to credit restructurings, as well as to the disposal of obsolete technology, in line with the Bank’s objective to optimize its operating platform, and (iii) the $10.7 million decrease in total revenues, mainly resulting from lower net interest income (-8%) on narrower net interest margin (-14 basis points), attributable to decreased lending spreads on a relatively stable level of average loan balances (+1%). Narrower lending spreads reflect the shift in the focus of the Bank’s portfolio toward financial institutions, sovereign and state-owned entities and top tier corporate clients most of which constitute exporters with U.S. dollar generation capacity.</w:t>
      </w:r>
    </w:p>
    <w:p>
      <w:pPr>
        <w:spacing w:after="0" w:line="274"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45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47" w:name="page48"/>
    <w:bookmarkEnd w:id="47"/>
    <w:p>
      <w:pPr>
        <w:jc w:val="both"/>
        <w:spacing w:after="0" w:line="278" w:lineRule="auto"/>
        <w:rPr>
          <w:sz w:val="20"/>
          <w:szCs w:val="20"/>
          <w:color w:val="auto"/>
        </w:rPr>
      </w:pPr>
      <w:r>
        <w:rPr>
          <w:rFonts w:ascii="Arial" w:cs="Arial" w:eastAsia="Arial" w:hAnsi="Arial"/>
          <w:sz w:val="12"/>
          <w:szCs w:val="12"/>
          <w:color w:val="auto"/>
        </w:rPr>
        <w:t>The Bank’s profit for the year 2017 totaled $82.0 million, compared to $87.0 million in 2016. The $5.0 million, or 6%, decrease was mostly attributable to: (i) lower net interest income from reduced average loan balances and narrower lending spreads, as the Bank mitigated lending risk and diversified its portfolio mix, as well as shortened the average tenor of its portfolio, and (ii) non-recurring personnel-change related expenses, resulting in $3.2 million in charges for 2017, both of which were mostly offset by the positive effects of: (i) improved credit quality reflected in lower impairment loss from ECL, (ii) strong annual growth in fee income from its letters of credit business and structuring / syndication activity, (iii) the absence of non-core trading losses, as the Bank completely divested from its participation in investment funds during 2016, and (iv) a decrease in recurring operating expenses (excluding personnel-change related expenses), which reflected the Bank’s focus on efficiency through technology, processes and structural improvements.</w:t>
      </w:r>
    </w:p>
    <w:p>
      <w:pPr>
        <w:spacing w:after="0" w:line="125"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Net Interest Income and Margins</w:t>
      </w:r>
    </w:p>
    <w:p>
      <w:pPr>
        <w:spacing w:after="0" w:line="15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following table sets forth information regarding the Bank’s net interest income, net interest margin (net interest income divided by the average balance of interest-earning assets), and net interest spread (the average yield earned on interest-earning assets, less the average yield paid on interest-bearing liabilities) for the periods indicated:</w:t>
      </w:r>
    </w:p>
    <w:p>
      <w:pPr>
        <w:spacing w:after="0" w:line="125" w:lineRule="exact"/>
        <w:rPr>
          <w:sz w:val="20"/>
          <w:szCs w:val="20"/>
          <w:color w:val="auto"/>
        </w:rPr>
      </w:pPr>
    </w:p>
    <w:tbl>
      <w:tblPr>
        <w:tblLayout w:type="fixed"/>
        <w:tblInd w:w="580" w:type="dxa"/>
        <w:tblCellMar>
          <w:top w:w="0" w:type="dxa"/>
          <w:left w:w="0" w:type="dxa"/>
          <w:bottom w:w="0" w:type="dxa"/>
          <w:right w:w="0" w:type="dxa"/>
        </w:tblCellMar>
      </w:tblPr>
      <w:tr>
        <w:trPr>
          <w:trHeight w:val="164"/>
        </w:trPr>
        <w:tc>
          <w:tcPr>
            <w:tcW w:w="640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2200" w:type="dxa"/>
            <w:vAlign w:val="bottom"/>
            <w:gridSpan w:val="6"/>
          </w:tcPr>
          <w:p>
            <w:pPr>
              <w:jc w:val="center"/>
              <w:spacing w:after="0"/>
              <w:rPr>
                <w:sz w:val="20"/>
                <w:szCs w:val="20"/>
                <w:color w:val="auto"/>
              </w:rPr>
            </w:pPr>
            <w:r>
              <w:rPr>
                <w:rFonts w:ascii="Arial" w:cs="Arial" w:eastAsia="Arial" w:hAnsi="Arial"/>
                <w:sz w:val="13"/>
                <w:szCs w:val="13"/>
                <w:b w:val="1"/>
                <w:bCs w:val="1"/>
                <w:color w:val="auto"/>
                <w:w w:val="89"/>
              </w:rPr>
              <w:t>For the Year Ended December 31,</w:t>
            </w:r>
          </w:p>
        </w:tc>
        <w:tc>
          <w:tcPr>
            <w:tcW w:w="840" w:type="dxa"/>
            <w:vAlign w:val="bottom"/>
          </w:tcPr>
          <w:p>
            <w:pPr>
              <w:spacing w:after="0"/>
              <w:rPr>
                <w:sz w:val="14"/>
                <w:szCs w:val="14"/>
                <w:color w:val="auto"/>
              </w:rPr>
            </w:pPr>
          </w:p>
        </w:tc>
        <w:tc>
          <w:tcPr>
            <w:tcW w:w="120" w:type="dxa"/>
            <w:vAlign w:val="bottom"/>
          </w:tcPr>
          <w:p>
            <w:pPr>
              <w:spacing w:after="0"/>
              <w:rPr>
                <w:sz w:val="14"/>
                <w:szCs w:val="14"/>
                <w:color w:val="auto"/>
              </w:rPr>
            </w:pPr>
          </w:p>
        </w:tc>
      </w:tr>
      <w:tr>
        <w:trPr>
          <w:trHeight w:val="167"/>
        </w:trPr>
        <w:tc>
          <w:tcPr>
            <w:tcW w:w="6400" w:type="dxa"/>
            <w:vAlign w:val="bottom"/>
          </w:tcPr>
          <w:p>
            <w:pPr>
              <w:spacing w:after="0"/>
              <w:rPr>
                <w:sz w:val="14"/>
                <w:szCs w:val="14"/>
                <w:color w:val="auto"/>
              </w:rPr>
            </w:pPr>
          </w:p>
        </w:tc>
        <w:tc>
          <w:tcPr>
            <w:tcW w:w="760" w:type="dxa"/>
            <w:vAlign w:val="bottom"/>
            <w:tcBorders>
              <w:bottom w:val="single" w:sz="8" w:color="auto"/>
            </w:tcBorders>
          </w:tcPr>
          <w:p>
            <w:pPr>
              <w:jc w:val="right"/>
              <w:ind w:right="27"/>
              <w:spacing w:after="0"/>
              <w:rPr>
                <w:sz w:val="20"/>
                <w:szCs w:val="20"/>
                <w:color w:val="auto"/>
              </w:rPr>
            </w:pPr>
            <w:r>
              <w:rPr>
                <w:rFonts w:ascii="Arial" w:cs="Arial" w:eastAsia="Arial" w:hAnsi="Arial"/>
                <w:sz w:val="13"/>
                <w:szCs w:val="13"/>
                <w:b w:val="1"/>
                <w:bCs w:val="1"/>
                <w:color w:val="auto"/>
              </w:rPr>
              <w:t>2018</w:t>
            </w:r>
          </w:p>
        </w:tc>
        <w:tc>
          <w:tcPr>
            <w:tcW w:w="3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880" w:type="dxa"/>
            <w:vAlign w:val="bottom"/>
            <w:tcBorders>
              <w:bottom w:val="single" w:sz="8" w:color="auto"/>
            </w:tcBorders>
          </w:tcPr>
          <w:p>
            <w:pPr>
              <w:jc w:val="center"/>
              <w:ind w:right="196"/>
              <w:spacing w:after="0"/>
              <w:rPr>
                <w:sz w:val="20"/>
                <w:szCs w:val="20"/>
                <w:color w:val="auto"/>
              </w:rPr>
            </w:pPr>
            <w:r>
              <w:rPr>
                <w:rFonts w:ascii="Arial" w:cs="Arial" w:eastAsia="Arial" w:hAnsi="Arial"/>
                <w:sz w:val="13"/>
                <w:szCs w:val="13"/>
                <w:b w:val="1"/>
                <w:bCs w:val="1"/>
                <w:color w:val="auto"/>
                <w:w w:val="89"/>
              </w:rPr>
              <w:t>2017</w:t>
            </w:r>
          </w:p>
        </w:tc>
        <w:tc>
          <w:tcPr>
            <w:tcW w:w="220" w:type="dxa"/>
            <w:vAlign w:val="bottom"/>
            <w:tcBorders>
              <w:bottom w:val="single" w:sz="8" w:color="auto"/>
            </w:tcBorders>
          </w:tcPr>
          <w:p>
            <w:pPr>
              <w:spacing w:after="0"/>
              <w:rPr>
                <w:sz w:val="14"/>
                <w:szCs w:val="14"/>
                <w:color w:val="auto"/>
              </w:rPr>
            </w:pPr>
          </w:p>
        </w:tc>
        <w:tc>
          <w:tcPr>
            <w:tcW w:w="280" w:type="dxa"/>
            <w:vAlign w:val="bottom"/>
            <w:tcBorders>
              <w:bottom w:val="single" w:sz="8" w:color="auto"/>
            </w:tcBorders>
          </w:tcPr>
          <w:p>
            <w:pPr>
              <w:spacing w:after="0"/>
              <w:rPr>
                <w:sz w:val="14"/>
                <w:szCs w:val="14"/>
                <w:color w:val="auto"/>
              </w:rPr>
            </w:pPr>
          </w:p>
        </w:tc>
        <w:tc>
          <w:tcPr>
            <w:tcW w:w="840" w:type="dxa"/>
            <w:vAlign w:val="bottom"/>
            <w:tcBorders>
              <w:bottom w:val="single" w:sz="8" w:color="auto"/>
            </w:tcBorders>
          </w:tcPr>
          <w:p>
            <w:pPr>
              <w:jc w:val="right"/>
              <w:ind w:right="376"/>
              <w:spacing w:after="0"/>
              <w:rPr>
                <w:sz w:val="20"/>
                <w:szCs w:val="20"/>
                <w:color w:val="auto"/>
              </w:rPr>
            </w:pPr>
            <w:r>
              <w:rPr>
                <w:rFonts w:ascii="Arial" w:cs="Arial" w:eastAsia="Arial" w:hAnsi="Arial"/>
                <w:sz w:val="13"/>
                <w:szCs w:val="13"/>
                <w:b w:val="1"/>
                <w:bCs w:val="1"/>
                <w:color w:val="auto"/>
              </w:rPr>
              <w:t>2016</w:t>
            </w:r>
          </w:p>
        </w:tc>
        <w:tc>
          <w:tcPr>
            <w:tcW w:w="120" w:type="dxa"/>
            <w:vAlign w:val="bottom"/>
          </w:tcPr>
          <w:p>
            <w:pPr>
              <w:spacing w:after="0"/>
              <w:rPr>
                <w:sz w:val="14"/>
                <w:szCs w:val="14"/>
                <w:color w:val="auto"/>
              </w:rPr>
            </w:pPr>
          </w:p>
        </w:tc>
      </w:tr>
      <w:tr>
        <w:trPr>
          <w:trHeight w:val="144"/>
        </w:trPr>
        <w:tc>
          <w:tcPr>
            <w:tcW w:w="64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200" w:type="dxa"/>
            <w:vAlign w:val="bottom"/>
            <w:gridSpan w:val="6"/>
          </w:tcPr>
          <w:p>
            <w:pPr>
              <w:jc w:val="center"/>
              <w:ind w:left="16"/>
              <w:spacing w:after="0" w:line="144" w:lineRule="exact"/>
              <w:rPr>
                <w:sz w:val="20"/>
                <w:szCs w:val="20"/>
                <w:color w:val="auto"/>
              </w:rPr>
            </w:pPr>
            <w:r>
              <w:rPr>
                <w:rFonts w:ascii="Arial" w:cs="Arial" w:eastAsia="Arial" w:hAnsi="Arial"/>
                <w:sz w:val="13"/>
                <w:szCs w:val="13"/>
                <w:b w:val="1"/>
                <w:bCs w:val="1"/>
                <w:color w:val="auto"/>
                <w:w w:val="86"/>
              </w:rPr>
              <w:t>(in $ millions, except percentages)</w:t>
            </w:r>
          </w:p>
        </w:tc>
        <w:tc>
          <w:tcPr>
            <w:tcW w:w="84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6400" w:type="dxa"/>
            <w:vAlign w:val="bottom"/>
            <w:shd w:val="clear" w:color="auto" w:fill="CCEEFF"/>
          </w:tcPr>
          <w:p>
            <w:pPr>
              <w:spacing w:after="0"/>
              <w:rPr>
                <w:sz w:val="20"/>
                <w:szCs w:val="20"/>
                <w:color w:val="auto"/>
              </w:rPr>
            </w:pPr>
            <w:r>
              <w:rPr>
                <w:rFonts w:ascii="Arial" w:cs="Arial" w:eastAsia="Arial" w:hAnsi="Arial"/>
                <w:sz w:val="13"/>
                <w:szCs w:val="13"/>
                <w:color w:val="auto"/>
              </w:rPr>
              <w:t>Net interest income (loss) by Business Segment</w:t>
            </w:r>
          </w:p>
        </w:tc>
        <w:tc>
          <w:tcPr>
            <w:tcW w:w="76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r>
      <w:tr>
        <w:trPr>
          <w:trHeight w:val="154"/>
        </w:trPr>
        <w:tc>
          <w:tcPr>
            <w:tcW w:w="6400" w:type="dxa"/>
            <w:vAlign w:val="bottom"/>
          </w:tcPr>
          <w:p>
            <w:pPr>
              <w:ind w:left="120"/>
              <w:spacing w:after="0"/>
              <w:rPr>
                <w:sz w:val="20"/>
                <w:szCs w:val="20"/>
                <w:color w:val="auto"/>
              </w:rPr>
            </w:pPr>
            <w:r>
              <w:rPr>
                <w:rFonts w:ascii="Arial" w:cs="Arial" w:eastAsia="Arial" w:hAnsi="Arial"/>
                <w:sz w:val="13"/>
                <w:szCs w:val="13"/>
                <w:color w:val="auto"/>
              </w:rPr>
              <w:t>Commercial</w:t>
            </w:r>
          </w:p>
        </w:tc>
        <w:tc>
          <w:tcPr>
            <w:tcW w:w="760" w:type="dxa"/>
            <w:vAlign w:val="bottom"/>
          </w:tcPr>
          <w:p>
            <w:pPr>
              <w:jc w:val="right"/>
              <w:ind w:right="647"/>
              <w:spacing w:after="0"/>
              <w:rPr>
                <w:sz w:val="20"/>
                <w:szCs w:val="20"/>
                <w:color w:val="auto"/>
              </w:rPr>
            </w:pPr>
            <w:r>
              <w:rPr>
                <w:rFonts w:ascii="Arial" w:cs="Arial" w:eastAsia="Arial" w:hAnsi="Arial"/>
                <w:sz w:val="10"/>
                <w:szCs w:val="10"/>
                <w:color w:val="auto"/>
                <w:w w:val="71"/>
              </w:rPr>
              <w:t>$</w:t>
            </w:r>
          </w:p>
        </w:tc>
        <w:tc>
          <w:tcPr>
            <w:tcW w:w="580" w:type="dxa"/>
            <w:vAlign w:val="bottom"/>
            <w:gridSpan w:val="2"/>
          </w:tcPr>
          <w:p>
            <w:pPr>
              <w:jc w:val="right"/>
              <w:ind w:right="220"/>
              <w:spacing w:after="0"/>
              <w:rPr>
                <w:sz w:val="20"/>
                <w:szCs w:val="20"/>
                <w:color w:val="auto"/>
              </w:rPr>
            </w:pPr>
            <w:r>
              <w:rPr>
                <w:rFonts w:ascii="Arial" w:cs="Arial" w:eastAsia="Arial" w:hAnsi="Arial"/>
                <w:sz w:val="13"/>
                <w:szCs w:val="13"/>
                <w:color w:val="auto"/>
              </w:rPr>
              <w:t>109.8</w:t>
            </w:r>
          </w:p>
        </w:tc>
        <w:tc>
          <w:tcPr>
            <w:tcW w:w="240" w:type="dxa"/>
            <w:vAlign w:val="bottom"/>
          </w:tcPr>
          <w:p>
            <w:pPr>
              <w:jc w:val="right"/>
              <w:ind w:right="132"/>
              <w:spacing w:after="0"/>
              <w:rPr>
                <w:sz w:val="20"/>
                <w:szCs w:val="20"/>
                <w:color w:val="auto"/>
              </w:rPr>
            </w:pPr>
            <w:r>
              <w:rPr>
                <w:rFonts w:ascii="Arial" w:cs="Arial" w:eastAsia="Arial" w:hAnsi="Arial"/>
                <w:sz w:val="10"/>
                <w:szCs w:val="10"/>
                <w:color w:val="auto"/>
                <w:w w:val="71"/>
              </w:rPr>
              <w:t>$</w:t>
            </w:r>
          </w:p>
        </w:tc>
        <w:tc>
          <w:tcPr>
            <w:tcW w:w="1100" w:type="dxa"/>
            <w:vAlign w:val="bottom"/>
            <w:gridSpan w:val="2"/>
          </w:tcPr>
          <w:p>
            <w:pPr>
              <w:jc w:val="right"/>
              <w:ind w:right="220"/>
              <w:spacing w:after="0"/>
              <w:rPr>
                <w:sz w:val="20"/>
                <w:szCs w:val="20"/>
                <w:color w:val="auto"/>
              </w:rPr>
            </w:pPr>
            <w:r>
              <w:rPr>
                <w:rFonts w:ascii="Arial" w:cs="Arial" w:eastAsia="Arial" w:hAnsi="Arial"/>
                <w:sz w:val="13"/>
                <w:szCs w:val="13"/>
                <w:color w:val="auto"/>
              </w:rPr>
              <w:t>120.6</w:t>
            </w:r>
          </w:p>
        </w:tc>
        <w:tc>
          <w:tcPr>
            <w:tcW w:w="280" w:type="dxa"/>
            <w:vAlign w:val="bottom"/>
          </w:tcPr>
          <w:p>
            <w:pPr>
              <w:jc w:val="right"/>
              <w:ind w:right="172"/>
              <w:spacing w:after="0"/>
              <w:rPr>
                <w:sz w:val="20"/>
                <w:szCs w:val="20"/>
                <w:color w:val="auto"/>
              </w:rPr>
            </w:pPr>
            <w:r>
              <w:rPr>
                <w:rFonts w:ascii="Arial" w:cs="Arial" w:eastAsia="Arial" w:hAnsi="Arial"/>
                <w:sz w:val="10"/>
                <w:szCs w:val="10"/>
                <w:color w:val="auto"/>
                <w:w w:val="71"/>
              </w:rPr>
              <w:t>$</w:t>
            </w:r>
          </w:p>
        </w:tc>
        <w:tc>
          <w:tcPr>
            <w:tcW w:w="960" w:type="dxa"/>
            <w:vAlign w:val="bottom"/>
            <w:gridSpan w:val="2"/>
          </w:tcPr>
          <w:p>
            <w:pPr>
              <w:jc w:val="right"/>
              <w:ind w:right="120"/>
              <w:spacing w:after="0"/>
              <w:rPr>
                <w:sz w:val="20"/>
                <w:szCs w:val="20"/>
                <w:color w:val="auto"/>
              </w:rPr>
            </w:pPr>
            <w:r>
              <w:rPr>
                <w:rFonts w:ascii="Arial" w:cs="Arial" w:eastAsia="Arial" w:hAnsi="Arial"/>
                <w:sz w:val="13"/>
                <w:szCs w:val="13"/>
                <w:color w:val="auto"/>
              </w:rPr>
              <w:t>140.4</w:t>
            </w:r>
          </w:p>
        </w:tc>
      </w:tr>
      <w:tr>
        <w:trPr>
          <w:trHeight w:val="164"/>
        </w:trPr>
        <w:tc>
          <w:tcPr>
            <w:tcW w:w="6400" w:type="dxa"/>
            <w:vAlign w:val="bottom"/>
            <w:shd w:val="clear" w:color="auto" w:fill="CCEEFF"/>
          </w:tcPr>
          <w:p>
            <w:pPr>
              <w:ind w:left="120"/>
              <w:spacing w:after="0"/>
              <w:rPr>
                <w:sz w:val="20"/>
                <w:szCs w:val="20"/>
                <w:color w:val="auto"/>
              </w:rPr>
            </w:pPr>
            <w:r>
              <w:rPr>
                <w:rFonts w:ascii="Arial" w:cs="Arial" w:eastAsia="Arial" w:hAnsi="Arial"/>
                <w:sz w:val="13"/>
                <w:szCs w:val="13"/>
                <w:color w:val="auto"/>
              </w:rPr>
              <w:t>Treasury</w:t>
            </w:r>
          </w:p>
        </w:tc>
        <w:tc>
          <w:tcPr>
            <w:tcW w:w="760" w:type="dxa"/>
            <w:vAlign w:val="bottom"/>
            <w:shd w:val="clear" w:color="auto" w:fill="CCEEFF"/>
          </w:tcPr>
          <w:p>
            <w:pPr>
              <w:spacing w:after="0"/>
              <w:rPr>
                <w:sz w:val="14"/>
                <w:szCs w:val="14"/>
                <w:color w:val="auto"/>
              </w:rPr>
            </w:pPr>
          </w:p>
        </w:tc>
        <w:tc>
          <w:tcPr>
            <w:tcW w:w="58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(0.0)</w:t>
            </w:r>
          </w:p>
        </w:tc>
        <w:tc>
          <w:tcPr>
            <w:tcW w:w="240" w:type="dxa"/>
            <w:vAlign w:val="bottom"/>
            <w:shd w:val="clear" w:color="auto" w:fill="CCEEFF"/>
          </w:tcPr>
          <w:p>
            <w:pPr>
              <w:spacing w:after="0"/>
              <w:rPr>
                <w:sz w:val="14"/>
                <w:szCs w:val="14"/>
                <w:color w:val="auto"/>
              </w:rPr>
            </w:pPr>
          </w:p>
        </w:tc>
        <w:tc>
          <w:tcPr>
            <w:tcW w:w="11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(0.8)</w:t>
            </w:r>
          </w:p>
        </w:tc>
        <w:tc>
          <w:tcPr>
            <w:tcW w:w="280" w:type="dxa"/>
            <w:vAlign w:val="bottom"/>
            <w:shd w:val="clear" w:color="auto" w:fill="CCEEFF"/>
          </w:tcPr>
          <w:p>
            <w:pPr>
              <w:spacing w:after="0"/>
              <w:rPr>
                <w:sz w:val="14"/>
                <w:szCs w:val="14"/>
                <w:color w:val="auto"/>
              </w:rPr>
            </w:pPr>
          </w:p>
        </w:tc>
        <w:tc>
          <w:tcPr>
            <w:tcW w:w="9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14.8</w:t>
            </w:r>
          </w:p>
        </w:tc>
      </w:tr>
      <w:tr>
        <w:trPr>
          <w:trHeight w:val="162"/>
        </w:trPr>
        <w:tc>
          <w:tcPr>
            <w:tcW w:w="6400" w:type="dxa"/>
            <w:vAlign w:val="bottom"/>
            <w:tcBorders>
              <w:bottom w:val="single" w:sz="8" w:color="CCEEFF"/>
            </w:tcBorders>
          </w:tcPr>
          <w:p>
            <w:pPr>
              <w:spacing w:after="0" w:line="146" w:lineRule="exact"/>
              <w:rPr>
                <w:sz w:val="20"/>
                <w:szCs w:val="20"/>
                <w:color w:val="auto"/>
              </w:rPr>
            </w:pPr>
            <w:r>
              <w:rPr>
                <w:rFonts w:ascii="Arial" w:cs="Arial" w:eastAsia="Arial" w:hAnsi="Arial"/>
                <w:sz w:val="13"/>
                <w:szCs w:val="13"/>
                <w:b w:val="1"/>
                <w:bCs w:val="1"/>
                <w:color w:val="auto"/>
              </w:rPr>
              <w:t>Total Net Interest Income</w:t>
            </w:r>
          </w:p>
        </w:tc>
        <w:tc>
          <w:tcPr>
            <w:tcW w:w="760" w:type="dxa"/>
            <w:vAlign w:val="bottom"/>
            <w:tcBorders>
              <w:top w:val="single" w:sz="8" w:color="auto"/>
              <w:bottom w:val="single" w:sz="8" w:color="auto"/>
            </w:tcBorders>
          </w:tcPr>
          <w:p>
            <w:pPr>
              <w:jc w:val="right"/>
              <w:ind w:right="647"/>
              <w:spacing w:after="0"/>
              <w:rPr>
                <w:sz w:val="20"/>
                <w:szCs w:val="20"/>
                <w:color w:val="auto"/>
              </w:rPr>
            </w:pPr>
            <w:r>
              <w:rPr>
                <w:rFonts w:ascii="Arial" w:cs="Arial" w:eastAsia="Arial" w:hAnsi="Arial"/>
                <w:sz w:val="10"/>
                <w:szCs w:val="10"/>
                <w:b w:val="1"/>
                <w:bCs w:val="1"/>
                <w:color w:val="auto"/>
                <w:w w:val="71"/>
              </w:rPr>
              <w:t>$</w:t>
            </w:r>
          </w:p>
        </w:tc>
        <w:tc>
          <w:tcPr>
            <w:tcW w:w="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109.7</w:t>
            </w:r>
          </w:p>
        </w:tc>
        <w:tc>
          <w:tcPr>
            <w:tcW w:w="220" w:type="dxa"/>
            <w:vAlign w:val="bottom"/>
            <w:tcBorders>
              <w:bottom w:val="single" w:sz="8" w:color="CCEEFF"/>
            </w:tcBorders>
          </w:tcPr>
          <w:p>
            <w:pPr>
              <w:spacing w:after="0"/>
              <w:rPr>
                <w:sz w:val="14"/>
                <w:szCs w:val="14"/>
                <w:color w:val="auto"/>
              </w:rPr>
            </w:pPr>
          </w:p>
        </w:tc>
        <w:tc>
          <w:tcPr>
            <w:tcW w:w="240" w:type="dxa"/>
            <w:vAlign w:val="bottom"/>
            <w:tcBorders>
              <w:top w:val="single" w:sz="8" w:color="auto"/>
              <w:bottom w:val="single" w:sz="8" w:color="auto"/>
            </w:tcBorders>
          </w:tcPr>
          <w:p>
            <w:pPr>
              <w:jc w:val="right"/>
              <w:ind w:right="132"/>
              <w:spacing w:after="0"/>
              <w:rPr>
                <w:sz w:val="20"/>
                <w:szCs w:val="20"/>
                <w:color w:val="auto"/>
              </w:rPr>
            </w:pPr>
            <w:r>
              <w:rPr>
                <w:rFonts w:ascii="Arial" w:cs="Arial" w:eastAsia="Arial" w:hAnsi="Arial"/>
                <w:sz w:val="10"/>
                <w:szCs w:val="10"/>
                <w:b w:val="1"/>
                <w:bCs w:val="1"/>
                <w:color w:val="auto"/>
                <w:w w:val="71"/>
              </w:rPr>
              <w:t>$</w:t>
            </w: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119.8</w:t>
            </w:r>
          </w:p>
        </w:tc>
        <w:tc>
          <w:tcPr>
            <w:tcW w:w="220" w:type="dxa"/>
            <w:vAlign w:val="bottom"/>
            <w:tcBorders>
              <w:bottom w:val="single" w:sz="8" w:color="CCEEFF"/>
            </w:tcBorders>
          </w:tcPr>
          <w:p>
            <w:pPr>
              <w:spacing w:after="0"/>
              <w:rPr>
                <w:sz w:val="14"/>
                <w:szCs w:val="14"/>
                <w:color w:val="auto"/>
              </w:rPr>
            </w:pPr>
          </w:p>
        </w:tc>
        <w:tc>
          <w:tcPr>
            <w:tcW w:w="280" w:type="dxa"/>
            <w:vAlign w:val="bottom"/>
            <w:tcBorders>
              <w:top w:val="single" w:sz="8" w:color="auto"/>
              <w:bottom w:val="single" w:sz="8" w:color="auto"/>
            </w:tcBorders>
          </w:tcPr>
          <w:p>
            <w:pPr>
              <w:jc w:val="right"/>
              <w:ind w:right="172"/>
              <w:spacing w:after="0"/>
              <w:rPr>
                <w:sz w:val="20"/>
                <w:szCs w:val="20"/>
                <w:color w:val="auto"/>
              </w:rPr>
            </w:pPr>
            <w:r>
              <w:rPr>
                <w:rFonts w:ascii="Arial" w:cs="Arial" w:eastAsia="Arial" w:hAnsi="Arial"/>
                <w:sz w:val="10"/>
                <w:szCs w:val="10"/>
                <w:b w:val="1"/>
                <w:bCs w:val="1"/>
                <w:color w:val="auto"/>
                <w:w w:val="71"/>
              </w:rPr>
              <w:t>$</w:t>
            </w: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155.2</w:t>
            </w:r>
          </w:p>
        </w:tc>
        <w:tc>
          <w:tcPr>
            <w:tcW w:w="120" w:type="dxa"/>
            <w:vAlign w:val="bottom"/>
            <w:tcBorders>
              <w:bottom w:val="single" w:sz="8" w:color="CCEEFF"/>
            </w:tcBorders>
          </w:tcPr>
          <w:p>
            <w:pPr>
              <w:spacing w:after="0"/>
              <w:rPr>
                <w:sz w:val="14"/>
                <w:szCs w:val="14"/>
                <w:color w:val="auto"/>
              </w:rPr>
            </w:pPr>
          </w:p>
        </w:tc>
      </w:tr>
      <w:tr>
        <w:trPr>
          <w:trHeight w:val="154"/>
        </w:trPr>
        <w:tc>
          <w:tcPr>
            <w:tcW w:w="6400" w:type="dxa"/>
            <w:vAlign w:val="bottom"/>
            <w:shd w:val="clear" w:color="auto" w:fill="CCEEFF"/>
          </w:tcPr>
          <w:p>
            <w:pPr>
              <w:spacing w:after="0"/>
              <w:rPr>
                <w:sz w:val="20"/>
                <w:szCs w:val="20"/>
                <w:color w:val="auto"/>
              </w:rPr>
            </w:pPr>
            <w:r>
              <w:rPr>
                <w:rFonts w:ascii="Arial" w:cs="Arial" w:eastAsia="Arial" w:hAnsi="Arial"/>
                <w:sz w:val="13"/>
                <w:szCs w:val="13"/>
                <w:color w:val="auto"/>
              </w:rPr>
              <w:t>Net interest margin</w:t>
            </w:r>
          </w:p>
        </w:tc>
        <w:tc>
          <w:tcPr>
            <w:tcW w:w="760" w:type="dxa"/>
            <w:vAlign w:val="bottom"/>
            <w:shd w:val="clear" w:color="auto" w:fill="CCEEFF"/>
          </w:tcPr>
          <w:p>
            <w:pPr>
              <w:spacing w:after="0"/>
              <w:rPr>
                <w:sz w:val="13"/>
                <w:szCs w:val="13"/>
                <w:color w:val="auto"/>
              </w:rPr>
            </w:pPr>
          </w:p>
        </w:tc>
        <w:tc>
          <w:tcPr>
            <w:tcW w:w="5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1.71%</w:t>
            </w:r>
          </w:p>
        </w:tc>
        <w:tc>
          <w:tcPr>
            <w:tcW w:w="24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1.85%</w:t>
            </w:r>
          </w:p>
        </w:tc>
        <w:tc>
          <w:tcPr>
            <w:tcW w:w="28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2.08%</w:t>
            </w:r>
          </w:p>
        </w:tc>
      </w:tr>
      <w:tr>
        <w:trPr>
          <w:trHeight w:val="164"/>
        </w:trPr>
        <w:tc>
          <w:tcPr>
            <w:tcW w:w="6400" w:type="dxa"/>
            <w:vAlign w:val="bottom"/>
          </w:tcPr>
          <w:p>
            <w:pPr>
              <w:spacing w:after="0"/>
              <w:rPr>
                <w:sz w:val="20"/>
                <w:szCs w:val="20"/>
                <w:color w:val="auto"/>
              </w:rPr>
            </w:pPr>
            <w:r>
              <w:rPr>
                <w:rFonts w:ascii="Arial" w:cs="Arial" w:eastAsia="Arial" w:hAnsi="Arial"/>
                <w:sz w:val="13"/>
                <w:szCs w:val="13"/>
                <w:color w:val="auto"/>
              </w:rPr>
              <w:t>Net interest spread</w:t>
            </w:r>
          </w:p>
        </w:tc>
        <w:tc>
          <w:tcPr>
            <w:tcW w:w="760" w:type="dxa"/>
            <w:vAlign w:val="bottom"/>
          </w:tcPr>
          <w:p>
            <w:pPr>
              <w:spacing w:after="0"/>
              <w:rPr>
                <w:sz w:val="14"/>
                <w:szCs w:val="14"/>
                <w:color w:val="auto"/>
              </w:rPr>
            </w:pPr>
          </w:p>
        </w:tc>
        <w:tc>
          <w:tcPr>
            <w:tcW w:w="580" w:type="dxa"/>
            <w:vAlign w:val="bottom"/>
            <w:gridSpan w:val="2"/>
          </w:tcPr>
          <w:p>
            <w:pPr>
              <w:jc w:val="right"/>
              <w:ind w:right="120"/>
              <w:spacing w:after="0"/>
              <w:rPr>
                <w:sz w:val="20"/>
                <w:szCs w:val="20"/>
                <w:color w:val="auto"/>
              </w:rPr>
            </w:pPr>
            <w:r>
              <w:rPr>
                <w:rFonts w:ascii="Arial" w:cs="Arial" w:eastAsia="Arial" w:hAnsi="Arial"/>
                <w:sz w:val="13"/>
                <w:szCs w:val="13"/>
                <w:color w:val="auto"/>
              </w:rPr>
              <w:t>1.21%</w:t>
            </w:r>
          </w:p>
        </w:tc>
        <w:tc>
          <w:tcPr>
            <w:tcW w:w="240" w:type="dxa"/>
            <w:vAlign w:val="bottom"/>
          </w:tcPr>
          <w:p>
            <w:pPr>
              <w:spacing w:after="0"/>
              <w:rPr>
                <w:sz w:val="14"/>
                <w:szCs w:val="14"/>
                <w:color w:val="auto"/>
              </w:rPr>
            </w:pPr>
          </w:p>
        </w:tc>
        <w:tc>
          <w:tcPr>
            <w:tcW w:w="1100" w:type="dxa"/>
            <w:vAlign w:val="bottom"/>
            <w:gridSpan w:val="2"/>
          </w:tcPr>
          <w:p>
            <w:pPr>
              <w:jc w:val="right"/>
              <w:ind w:right="120"/>
              <w:spacing w:after="0"/>
              <w:rPr>
                <w:sz w:val="20"/>
                <w:szCs w:val="20"/>
                <w:color w:val="auto"/>
              </w:rPr>
            </w:pPr>
            <w:r>
              <w:rPr>
                <w:rFonts w:ascii="Arial" w:cs="Arial" w:eastAsia="Arial" w:hAnsi="Arial"/>
                <w:sz w:val="13"/>
                <w:szCs w:val="13"/>
                <w:color w:val="auto"/>
              </w:rPr>
              <w:t>1.48%</w:t>
            </w:r>
          </w:p>
        </w:tc>
        <w:tc>
          <w:tcPr>
            <w:tcW w:w="280" w:type="dxa"/>
            <w:vAlign w:val="bottom"/>
          </w:tcPr>
          <w:p>
            <w:pPr>
              <w:spacing w:after="0"/>
              <w:rPr>
                <w:sz w:val="14"/>
                <w:szCs w:val="14"/>
                <w:color w:val="auto"/>
              </w:rPr>
            </w:pPr>
          </w:p>
        </w:tc>
        <w:tc>
          <w:tcPr>
            <w:tcW w:w="960" w:type="dxa"/>
            <w:vAlign w:val="bottom"/>
            <w:gridSpan w:val="2"/>
          </w:tcPr>
          <w:p>
            <w:pPr>
              <w:jc w:val="right"/>
              <w:ind w:right="20"/>
              <w:spacing w:after="0"/>
              <w:rPr>
                <w:sz w:val="20"/>
                <w:szCs w:val="20"/>
                <w:color w:val="auto"/>
              </w:rPr>
            </w:pPr>
            <w:r>
              <w:rPr>
                <w:rFonts w:ascii="Arial" w:cs="Arial" w:eastAsia="Arial" w:hAnsi="Arial"/>
                <w:sz w:val="13"/>
                <w:szCs w:val="13"/>
                <w:color w:val="auto"/>
              </w:rPr>
              <w:t>1.84%</w:t>
            </w:r>
          </w:p>
        </w:tc>
      </w:tr>
      <w:tr>
        <w:trPr>
          <w:trHeight w:val="20"/>
        </w:trPr>
        <w:tc>
          <w:tcPr>
            <w:tcW w:w="6400" w:type="dxa"/>
            <w:vAlign w:val="bottom"/>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36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80" w:type="dxa"/>
            <w:vAlign w:val="bottom"/>
            <w:shd w:val="clear" w:color="auto" w:fill="000000"/>
          </w:tcPr>
          <w:p>
            <w:pPr>
              <w:spacing w:after="0" w:line="20" w:lineRule="exact"/>
              <w:rPr>
                <w:sz w:val="1"/>
                <w:szCs w:val="1"/>
                <w:color w:val="auto"/>
              </w:rPr>
            </w:pPr>
          </w:p>
        </w:tc>
        <w:tc>
          <w:tcPr>
            <w:tcW w:w="84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pacing w:after="0" w:line="145"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Changes in Net Interest Income — Volume and Rate Analysis</w:t>
      </w:r>
    </w:p>
    <w:p>
      <w:pPr>
        <w:spacing w:after="0" w:line="149" w:lineRule="exact"/>
        <w:rPr>
          <w:sz w:val="20"/>
          <w:szCs w:val="20"/>
          <w:color w:val="auto"/>
        </w:rPr>
      </w:pPr>
    </w:p>
    <w:p>
      <w:pPr>
        <w:jc w:val="both"/>
        <w:ind w:right="20"/>
        <w:spacing w:after="0" w:line="254" w:lineRule="auto"/>
        <w:rPr>
          <w:sz w:val="20"/>
          <w:szCs w:val="20"/>
          <w:color w:val="auto"/>
        </w:rPr>
      </w:pPr>
      <w:r>
        <w:rPr>
          <w:rFonts w:ascii="Arial" w:cs="Arial" w:eastAsia="Arial" w:hAnsi="Arial"/>
          <w:sz w:val="13"/>
          <w:szCs w:val="13"/>
          <w:color w:val="auto"/>
        </w:rPr>
        <w:t>Net interest income is affected by changes in volume and changes in interest rates. Volume changes are caused by differences in the level of interest-earning assets and interest-bearing liabilities. Rate changes result from differences in yields earned on interest-earning assets and rates paid on interest-bearing liabilities. The following table sets forth a summary of the changes in net interest income of the Bank, resulting from changes in its interest-earning assets and interest-bearing liabilities’ average volume and average interest rate changes for 2018 compared to 2017 and 2017 compared to 2016. Volume and rate variances have been calculated based on average balances and average interest rates over the periods presented.</w:t>
      </w:r>
    </w:p>
    <w:p>
      <w:pPr>
        <w:spacing w:after="0" w:line="286"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46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48" w:name="page49"/>
    <w:bookmarkEnd w:id="48"/>
    <w:tbl>
      <w:tblPr>
        <w:tblLayout w:type="fixed"/>
        <w:tblInd w:w="3" w:type="dxa"/>
        <w:tblCellMar>
          <w:top w:w="0" w:type="dxa"/>
          <w:left w:w="0" w:type="dxa"/>
          <w:bottom w:w="0" w:type="dxa"/>
          <w:right w:w="0" w:type="dxa"/>
        </w:tblCellMar>
      </w:tblPr>
      <w:tr>
        <w:trPr>
          <w:trHeight w:val="167"/>
        </w:trPr>
        <w:tc>
          <w:tcPr>
            <w:tcW w:w="3620" w:type="dxa"/>
            <w:vAlign w:val="bottom"/>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82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980" w:type="dxa"/>
            <w:vAlign w:val="bottom"/>
            <w:tcBorders>
              <w:bottom w:val="single" w:sz="8" w:color="auto"/>
            </w:tcBorders>
            <w:gridSpan w:val="2"/>
          </w:tcPr>
          <w:p>
            <w:pPr>
              <w:jc w:val="right"/>
              <w:ind w:right="183"/>
              <w:spacing w:after="0"/>
              <w:rPr>
                <w:sz w:val="20"/>
                <w:szCs w:val="20"/>
                <w:color w:val="auto"/>
              </w:rPr>
            </w:pPr>
            <w:r>
              <w:rPr>
                <w:rFonts w:ascii="Arial" w:cs="Arial" w:eastAsia="Arial" w:hAnsi="Arial"/>
                <w:sz w:val="13"/>
                <w:szCs w:val="13"/>
                <w:b w:val="1"/>
                <w:bCs w:val="1"/>
                <w:color w:val="auto"/>
                <w:w w:val="88"/>
              </w:rPr>
              <w:t>2018 vs. 2017</w:t>
            </w:r>
          </w:p>
        </w:tc>
        <w:tc>
          <w:tcPr>
            <w:tcW w:w="8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820" w:type="dxa"/>
            <w:vAlign w:val="bottom"/>
            <w:tcBorders>
              <w:bottom w:val="single" w:sz="8" w:color="auto"/>
            </w:tcBorders>
          </w:tcPr>
          <w:p>
            <w:pPr>
              <w:spacing w:after="0"/>
              <w:rPr>
                <w:sz w:val="14"/>
                <w:szCs w:val="14"/>
                <w:color w:val="auto"/>
              </w:rPr>
            </w:pPr>
          </w:p>
        </w:tc>
        <w:tc>
          <w:tcPr>
            <w:tcW w:w="220" w:type="dxa"/>
            <w:vAlign w:val="bottom"/>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1040" w:type="dxa"/>
            <w:vAlign w:val="bottom"/>
            <w:tcBorders>
              <w:bottom w:val="single" w:sz="8" w:color="auto"/>
            </w:tcBorders>
            <w:gridSpan w:val="2"/>
          </w:tcPr>
          <w:p>
            <w:pPr>
              <w:jc w:val="right"/>
              <w:ind w:right="263"/>
              <w:spacing w:after="0"/>
              <w:rPr>
                <w:sz w:val="20"/>
                <w:szCs w:val="20"/>
                <w:color w:val="auto"/>
              </w:rPr>
            </w:pPr>
            <w:r>
              <w:rPr>
                <w:rFonts w:ascii="Arial" w:cs="Arial" w:eastAsia="Arial" w:hAnsi="Arial"/>
                <w:sz w:val="13"/>
                <w:szCs w:val="13"/>
                <w:b w:val="1"/>
                <w:bCs w:val="1"/>
                <w:color w:val="auto"/>
                <w:w w:val="86"/>
              </w:rPr>
              <w:t>2017 vs. 2016</w:t>
            </w:r>
          </w:p>
        </w:tc>
        <w:tc>
          <w:tcPr>
            <w:tcW w:w="100" w:type="dxa"/>
            <w:vAlign w:val="bottom"/>
            <w:tcBorders>
              <w:bottom w:val="single" w:sz="8" w:color="auto"/>
            </w:tcBorders>
          </w:tcPr>
          <w:p>
            <w:pPr>
              <w:spacing w:after="0"/>
              <w:rPr>
                <w:sz w:val="14"/>
                <w:szCs w:val="14"/>
                <w:color w:val="auto"/>
              </w:rPr>
            </w:pPr>
          </w:p>
        </w:tc>
        <w:tc>
          <w:tcPr>
            <w:tcW w:w="82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r>
        <w:trPr>
          <w:trHeight w:val="173"/>
        </w:trPr>
        <w:tc>
          <w:tcPr>
            <w:tcW w:w="36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020" w:type="dxa"/>
            <w:vAlign w:val="bottom"/>
            <w:gridSpan w:val="2"/>
          </w:tcPr>
          <w:p>
            <w:pPr>
              <w:jc w:val="right"/>
              <w:ind w:right="400"/>
              <w:spacing w:after="0" w:line="173" w:lineRule="exact"/>
              <w:rPr>
                <w:sz w:val="20"/>
                <w:szCs w:val="20"/>
                <w:color w:val="auto"/>
              </w:rPr>
            </w:pPr>
            <w:r>
              <w:rPr>
                <w:rFonts w:ascii="Arial" w:cs="Arial" w:eastAsia="Arial" w:hAnsi="Arial"/>
                <w:sz w:val="12"/>
                <w:szCs w:val="12"/>
                <w:b w:val="1"/>
                <w:bCs w:val="1"/>
                <w:color w:val="auto"/>
              </w:rPr>
              <w:t>Volume</w:t>
            </w:r>
            <w:r>
              <w:rPr>
                <w:rFonts w:ascii="Arial" w:cs="Arial" w:eastAsia="Arial" w:hAnsi="Arial"/>
                <w:sz w:val="20"/>
                <w:szCs w:val="20"/>
                <w:b w:val="1"/>
                <w:bCs w:val="1"/>
                <w:color w:val="auto"/>
                <w:vertAlign w:val="superscript"/>
              </w:rPr>
              <w:t>(*)</w:t>
            </w:r>
          </w:p>
        </w:tc>
        <w:tc>
          <w:tcPr>
            <w:tcW w:w="80" w:type="dxa"/>
            <w:vAlign w:val="bottom"/>
          </w:tcPr>
          <w:p>
            <w:pPr>
              <w:spacing w:after="0"/>
              <w:rPr>
                <w:sz w:val="15"/>
                <w:szCs w:val="15"/>
                <w:color w:val="auto"/>
              </w:rPr>
            </w:pPr>
          </w:p>
        </w:tc>
        <w:tc>
          <w:tcPr>
            <w:tcW w:w="980" w:type="dxa"/>
            <w:vAlign w:val="bottom"/>
            <w:gridSpan w:val="2"/>
          </w:tcPr>
          <w:p>
            <w:pPr>
              <w:jc w:val="right"/>
              <w:ind w:right="363"/>
              <w:spacing w:after="0" w:line="173" w:lineRule="exact"/>
              <w:rPr>
                <w:sz w:val="20"/>
                <w:szCs w:val="20"/>
                <w:color w:val="auto"/>
              </w:rPr>
            </w:pPr>
            <w:r>
              <w:rPr>
                <w:rFonts w:ascii="Arial" w:cs="Arial" w:eastAsia="Arial" w:hAnsi="Arial"/>
                <w:sz w:val="12"/>
                <w:szCs w:val="12"/>
                <w:b w:val="1"/>
                <w:bCs w:val="1"/>
                <w:color w:val="auto"/>
              </w:rPr>
              <w:t>Rate</w:t>
            </w:r>
            <w:r>
              <w:rPr>
                <w:rFonts w:ascii="Arial" w:cs="Arial" w:eastAsia="Arial" w:hAnsi="Arial"/>
                <w:sz w:val="20"/>
                <w:szCs w:val="20"/>
                <w:b w:val="1"/>
                <w:bCs w:val="1"/>
                <w:color w:val="auto"/>
                <w:vertAlign w:val="superscript"/>
              </w:rPr>
              <w:t>(*)</w:t>
            </w:r>
          </w:p>
        </w:tc>
        <w:tc>
          <w:tcPr>
            <w:tcW w:w="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040" w:type="dxa"/>
            <w:vAlign w:val="bottom"/>
            <w:gridSpan w:val="2"/>
          </w:tcPr>
          <w:p>
            <w:pPr>
              <w:jc w:val="right"/>
              <w:ind w:right="323"/>
              <w:spacing w:after="0"/>
              <w:rPr>
                <w:sz w:val="20"/>
                <w:szCs w:val="20"/>
                <w:color w:val="auto"/>
              </w:rPr>
            </w:pPr>
            <w:r>
              <w:rPr>
                <w:rFonts w:ascii="Arial" w:cs="Arial" w:eastAsia="Arial" w:hAnsi="Arial"/>
                <w:sz w:val="13"/>
                <w:szCs w:val="13"/>
                <w:b w:val="1"/>
                <w:bCs w:val="1"/>
                <w:color w:val="auto"/>
                <w:w w:val="91"/>
              </w:rPr>
              <w:t>Net Change</w:t>
            </w:r>
          </w:p>
        </w:tc>
        <w:tc>
          <w:tcPr>
            <w:tcW w:w="120" w:type="dxa"/>
            <w:vAlign w:val="bottom"/>
          </w:tcPr>
          <w:p>
            <w:pPr>
              <w:spacing w:after="0"/>
              <w:rPr>
                <w:sz w:val="15"/>
                <w:szCs w:val="15"/>
                <w:color w:val="auto"/>
              </w:rPr>
            </w:pPr>
          </w:p>
        </w:tc>
        <w:tc>
          <w:tcPr>
            <w:tcW w:w="940" w:type="dxa"/>
            <w:vAlign w:val="bottom"/>
            <w:gridSpan w:val="2"/>
          </w:tcPr>
          <w:p>
            <w:pPr>
              <w:jc w:val="right"/>
              <w:ind w:right="303"/>
              <w:spacing w:after="0" w:line="173" w:lineRule="exact"/>
              <w:rPr>
                <w:sz w:val="20"/>
                <w:szCs w:val="20"/>
                <w:color w:val="auto"/>
              </w:rPr>
            </w:pPr>
            <w:r>
              <w:rPr>
                <w:rFonts w:ascii="Arial" w:cs="Arial" w:eastAsia="Arial" w:hAnsi="Arial"/>
                <w:sz w:val="12"/>
                <w:szCs w:val="12"/>
                <w:b w:val="1"/>
                <w:bCs w:val="1"/>
                <w:color w:val="auto"/>
              </w:rPr>
              <w:t>Volume</w:t>
            </w:r>
            <w:r>
              <w:rPr>
                <w:rFonts w:ascii="Arial" w:cs="Arial" w:eastAsia="Arial" w:hAnsi="Arial"/>
                <w:sz w:val="20"/>
                <w:szCs w:val="20"/>
                <w:b w:val="1"/>
                <w:bCs w:val="1"/>
                <w:color w:val="auto"/>
                <w:vertAlign w:val="superscript"/>
              </w:rPr>
              <w:t>(*)</w:t>
            </w:r>
          </w:p>
        </w:tc>
        <w:tc>
          <w:tcPr>
            <w:tcW w:w="8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1040" w:type="dxa"/>
            <w:vAlign w:val="bottom"/>
            <w:gridSpan w:val="2"/>
          </w:tcPr>
          <w:p>
            <w:pPr>
              <w:jc w:val="right"/>
              <w:ind w:right="423"/>
              <w:spacing w:after="0" w:line="173" w:lineRule="exact"/>
              <w:rPr>
                <w:sz w:val="20"/>
                <w:szCs w:val="20"/>
                <w:color w:val="auto"/>
              </w:rPr>
            </w:pPr>
            <w:r>
              <w:rPr>
                <w:rFonts w:ascii="Arial" w:cs="Arial" w:eastAsia="Arial" w:hAnsi="Arial"/>
                <w:sz w:val="12"/>
                <w:szCs w:val="12"/>
                <w:b w:val="1"/>
                <w:bCs w:val="1"/>
                <w:color w:val="auto"/>
              </w:rPr>
              <w:t>Rate</w:t>
            </w:r>
            <w:r>
              <w:rPr>
                <w:rFonts w:ascii="Arial" w:cs="Arial" w:eastAsia="Arial" w:hAnsi="Arial"/>
                <w:sz w:val="20"/>
                <w:szCs w:val="20"/>
                <w:b w:val="1"/>
                <w:bCs w:val="1"/>
                <w:color w:val="auto"/>
                <w:vertAlign w:val="superscript"/>
              </w:rPr>
              <w:t>(*)</w:t>
            </w:r>
          </w:p>
        </w:tc>
        <w:tc>
          <w:tcPr>
            <w:tcW w:w="100" w:type="dxa"/>
            <w:vAlign w:val="bottom"/>
          </w:tcPr>
          <w:p>
            <w:pPr>
              <w:spacing w:after="0"/>
              <w:rPr>
                <w:sz w:val="15"/>
                <w:szCs w:val="15"/>
                <w:color w:val="auto"/>
              </w:rPr>
            </w:pPr>
          </w:p>
        </w:tc>
        <w:tc>
          <w:tcPr>
            <w:tcW w:w="920" w:type="dxa"/>
            <w:vAlign w:val="bottom"/>
            <w:gridSpan w:val="2"/>
          </w:tcPr>
          <w:p>
            <w:pPr>
              <w:jc w:val="right"/>
              <w:ind w:right="203"/>
              <w:spacing w:after="0"/>
              <w:rPr>
                <w:sz w:val="20"/>
                <w:szCs w:val="20"/>
                <w:color w:val="auto"/>
              </w:rPr>
            </w:pPr>
            <w:r>
              <w:rPr>
                <w:rFonts w:ascii="Arial" w:cs="Arial" w:eastAsia="Arial" w:hAnsi="Arial"/>
                <w:sz w:val="13"/>
                <w:szCs w:val="13"/>
                <w:b w:val="1"/>
                <w:bCs w:val="1"/>
                <w:color w:val="auto"/>
                <w:w w:val="91"/>
              </w:rPr>
              <w:t>Net Change</w:t>
            </w:r>
          </w:p>
        </w:tc>
      </w:tr>
      <w:tr>
        <w:trPr>
          <w:trHeight w:val="153"/>
        </w:trPr>
        <w:tc>
          <w:tcPr>
            <w:tcW w:w="3620" w:type="dxa"/>
            <w:vAlign w:val="bottom"/>
          </w:tcPr>
          <w:p>
            <w:pPr>
              <w:spacing w:after="0"/>
              <w:rPr>
                <w:sz w:val="13"/>
                <w:szCs w:val="13"/>
                <w:color w:val="auto"/>
              </w:rPr>
            </w:pPr>
          </w:p>
        </w:tc>
        <w:tc>
          <w:tcPr>
            <w:tcW w:w="120" w:type="dxa"/>
            <w:vAlign w:val="bottom"/>
            <w:tcBorders>
              <w:top w:val="single" w:sz="8" w:color="auto"/>
            </w:tcBorders>
          </w:tcPr>
          <w:p>
            <w:pPr>
              <w:spacing w:after="0"/>
              <w:rPr>
                <w:sz w:val="13"/>
                <w:szCs w:val="13"/>
                <w:color w:val="auto"/>
              </w:rPr>
            </w:pPr>
          </w:p>
        </w:tc>
        <w:tc>
          <w:tcPr>
            <w:tcW w:w="820" w:type="dxa"/>
            <w:vAlign w:val="bottom"/>
            <w:tcBorders>
              <w:top w:val="single" w:sz="8" w:color="auto"/>
            </w:tcBorders>
          </w:tcPr>
          <w:p>
            <w:pPr>
              <w:spacing w:after="0"/>
              <w:rPr>
                <w:sz w:val="13"/>
                <w:szCs w:val="13"/>
                <w:color w:val="auto"/>
              </w:rPr>
            </w:pPr>
          </w:p>
        </w:tc>
        <w:tc>
          <w:tcPr>
            <w:tcW w:w="200" w:type="dxa"/>
            <w:vAlign w:val="bottom"/>
            <w:tcBorders>
              <w:top w:val="single" w:sz="8" w:color="auto"/>
            </w:tcBorders>
          </w:tcPr>
          <w:p>
            <w:pPr>
              <w:spacing w:after="0"/>
              <w:rPr>
                <w:sz w:val="13"/>
                <w:szCs w:val="13"/>
                <w:color w:val="auto"/>
              </w:rPr>
            </w:pPr>
          </w:p>
        </w:tc>
        <w:tc>
          <w:tcPr>
            <w:tcW w:w="80" w:type="dxa"/>
            <w:vAlign w:val="bottom"/>
            <w:tcBorders>
              <w:top w:val="single" w:sz="8" w:color="auto"/>
            </w:tcBorders>
          </w:tcPr>
          <w:p>
            <w:pPr>
              <w:spacing w:after="0"/>
              <w:rPr>
                <w:sz w:val="13"/>
                <w:szCs w:val="13"/>
                <w:color w:val="auto"/>
              </w:rPr>
            </w:pPr>
          </w:p>
        </w:tc>
        <w:tc>
          <w:tcPr>
            <w:tcW w:w="860" w:type="dxa"/>
            <w:vAlign w:val="bottom"/>
            <w:tcBorders>
              <w:top w:val="single" w:sz="8" w:color="auto"/>
            </w:tcBorders>
          </w:tcPr>
          <w:p>
            <w:pPr>
              <w:spacing w:after="0"/>
              <w:rPr>
                <w:sz w:val="13"/>
                <w:szCs w:val="13"/>
                <w:color w:val="auto"/>
              </w:rPr>
            </w:pPr>
          </w:p>
        </w:tc>
        <w:tc>
          <w:tcPr>
            <w:tcW w:w="120" w:type="dxa"/>
            <w:vAlign w:val="bottom"/>
            <w:tcBorders>
              <w:top w:val="single" w:sz="8" w:color="auto"/>
            </w:tcBorders>
          </w:tcPr>
          <w:p>
            <w:pPr>
              <w:spacing w:after="0"/>
              <w:rPr>
                <w:sz w:val="13"/>
                <w:szCs w:val="13"/>
                <w:color w:val="auto"/>
              </w:rPr>
            </w:pPr>
          </w:p>
        </w:tc>
        <w:tc>
          <w:tcPr>
            <w:tcW w:w="80" w:type="dxa"/>
            <w:vAlign w:val="bottom"/>
            <w:tcBorders>
              <w:top w:val="single" w:sz="8" w:color="auto"/>
            </w:tcBorders>
          </w:tcPr>
          <w:p>
            <w:pPr>
              <w:spacing w:after="0"/>
              <w:rPr>
                <w:sz w:val="13"/>
                <w:szCs w:val="13"/>
                <w:color w:val="auto"/>
              </w:rPr>
            </w:pPr>
          </w:p>
        </w:tc>
        <w:tc>
          <w:tcPr>
            <w:tcW w:w="120" w:type="dxa"/>
            <w:vAlign w:val="bottom"/>
            <w:tcBorders>
              <w:top w:val="single" w:sz="8" w:color="auto"/>
            </w:tcBorders>
          </w:tcPr>
          <w:p>
            <w:pPr>
              <w:spacing w:after="0"/>
              <w:rPr>
                <w:sz w:val="13"/>
                <w:szCs w:val="13"/>
                <w:color w:val="auto"/>
              </w:rPr>
            </w:pPr>
          </w:p>
        </w:tc>
        <w:tc>
          <w:tcPr>
            <w:tcW w:w="2100" w:type="dxa"/>
            <w:vAlign w:val="bottom"/>
            <w:tcBorders>
              <w:top w:val="single" w:sz="8" w:color="auto"/>
            </w:tcBorders>
            <w:gridSpan w:val="5"/>
          </w:tcPr>
          <w:p>
            <w:pPr>
              <w:jc w:val="right"/>
              <w:ind w:right="743"/>
              <w:spacing w:after="0"/>
              <w:rPr>
                <w:sz w:val="20"/>
                <w:szCs w:val="20"/>
                <w:color w:val="auto"/>
              </w:rPr>
            </w:pPr>
            <w:r>
              <w:rPr>
                <w:rFonts w:ascii="Arial" w:cs="Arial" w:eastAsia="Arial" w:hAnsi="Arial"/>
                <w:sz w:val="13"/>
                <w:szCs w:val="13"/>
                <w:color w:val="auto"/>
              </w:rPr>
              <w:t>(in $ thousands)</w:t>
            </w:r>
          </w:p>
        </w:tc>
        <w:tc>
          <w:tcPr>
            <w:tcW w:w="80" w:type="dxa"/>
            <w:vAlign w:val="bottom"/>
            <w:tcBorders>
              <w:top w:val="single" w:sz="8" w:color="auto"/>
            </w:tcBorders>
          </w:tcPr>
          <w:p>
            <w:pPr>
              <w:spacing w:after="0"/>
              <w:rPr>
                <w:sz w:val="13"/>
                <w:szCs w:val="13"/>
                <w:color w:val="auto"/>
              </w:rPr>
            </w:pPr>
          </w:p>
        </w:tc>
        <w:tc>
          <w:tcPr>
            <w:tcW w:w="60" w:type="dxa"/>
            <w:vAlign w:val="bottom"/>
            <w:tcBorders>
              <w:top w:val="single" w:sz="8" w:color="auto"/>
            </w:tcBorders>
          </w:tcPr>
          <w:p>
            <w:pPr>
              <w:spacing w:after="0"/>
              <w:rPr>
                <w:sz w:val="13"/>
                <w:szCs w:val="13"/>
                <w:color w:val="auto"/>
              </w:rPr>
            </w:pPr>
          </w:p>
        </w:tc>
        <w:tc>
          <w:tcPr>
            <w:tcW w:w="860" w:type="dxa"/>
            <w:vAlign w:val="bottom"/>
            <w:tcBorders>
              <w:top w:val="single" w:sz="8" w:color="auto"/>
            </w:tcBorders>
          </w:tcPr>
          <w:p>
            <w:pPr>
              <w:spacing w:after="0"/>
              <w:rPr>
                <w:sz w:val="13"/>
                <w:szCs w:val="13"/>
                <w:color w:val="auto"/>
              </w:rPr>
            </w:pPr>
          </w:p>
        </w:tc>
        <w:tc>
          <w:tcPr>
            <w:tcW w:w="180" w:type="dxa"/>
            <w:vAlign w:val="bottom"/>
            <w:tcBorders>
              <w:top w:val="single" w:sz="8" w:color="auto"/>
            </w:tcBorders>
          </w:tcPr>
          <w:p>
            <w:pPr>
              <w:spacing w:after="0"/>
              <w:rPr>
                <w:sz w:val="13"/>
                <w:szCs w:val="13"/>
                <w:color w:val="auto"/>
              </w:rPr>
            </w:pPr>
          </w:p>
        </w:tc>
        <w:tc>
          <w:tcPr>
            <w:tcW w:w="100" w:type="dxa"/>
            <w:vAlign w:val="bottom"/>
            <w:tcBorders>
              <w:top w:val="single" w:sz="8" w:color="auto"/>
            </w:tcBorders>
          </w:tcPr>
          <w:p>
            <w:pPr>
              <w:spacing w:after="0"/>
              <w:rPr>
                <w:sz w:val="13"/>
                <w:szCs w:val="13"/>
                <w:color w:val="auto"/>
              </w:rPr>
            </w:pPr>
          </w:p>
        </w:tc>
        <w:tc>
          <w:tcPr>
            <w:tcW w:w="820" w:type="dxa"/>
            <w:vAlign w:val="bottom"/>
            <w:tcBorders>
              <w:top w:val="single" w:sz="8" w:color="auto"/>
            </w:tcBorders>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362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Increase (decrease) in interest income</w:t>
            </w:r>
          </w:p>
        </w:tc>
        <w:tc>
          <w:tcPr>
            <w:tcW w:w="12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r>
      <w:tr>
        <w:trPr>
          <w:trHeight w:val="154"/>
        </w:trPr>
        <w:tc>
          <w:tcPr>
            <w:tcW w:w="3620" w:type="dxa"/>
            <w:vAlign w:val="bottom"/>
          </w:tcPr>
          <w:p>
            <w:pPr>
              <w:spacing w:after="0"/>
              <w:rPr>
                <w:sz w:val="20"/>
                <w:szCs w:val="20"/>
                <w:color w:val="auto"/>
              </w:rPr>
            </w:pPr>
            <w:r>
              <w:rPr>
                <w:rFonts w:ascii="Arial" w:cs="Arial" w:eastAsia="Arial" w:hAnsi="Arial"/>
                <w:sz w:val="13"/>
                <w:szCs w:val="13"/>
                <w:color w:val="auto"/>
              </w:rPr>
              <w:t>Interest bearing deposits with banks</w:t>
            </w:r>
          </w:p>
        </w:tc>
        <w:tc>
          <w:tcPr>
            <w:tcW w:w="120" w:type="dxa"/>
            <w:vAlign w:val="bottom"/>
          </w:tcPr>
          <w:p>
            <w:pPr>
              <w:jc w:val="right"/>
              <w:ind w:right="12"/>
              <w:spacing w:after="0"/>
              <w:rPr>
                <w:sz w:val="20"/>
                <w:szCs w:val="20"/>
                <w:color w:val="auto"/>
              </w:rPr>
            </w:pPr>
            <w:r>
              <w:rPr>
                <w:rFonts w:ascii="Arial" w:cs="Arial" w:eastAsia="Arial" w:hAnsi="Arial"/>
                <w:sz w:val="10"/>
                <w:szCs w:val="10"/>
                <w:color w:val="auto"/>
                <w:w w:val="71"/>
              </w:rPr>
              <w:t>$</w:t>
            </w:r>
          </w:p>
        </w:tc>
        <w:tc>
          <w:tcPr>
            <w:tcW w:w="1020" w:type="dxa"/>
            <w:vAlign w:val="bottom"/>
            <w:gridSpan w:val="2"/>
          </w:tcPr>
          <w:p>
            <w:pPr>
              <w:jc w:val="right"/>
              <w:ind w:right="160"/>
              <w:spacing w:after="0"/>
              <w:rPr>
                <w:sz w:val="20"/>
                <w:szCs w:val="20"/>
                <w:color w:val="auto"/>
              </w:rPr>
            </w:pPr>
            <w:r>
              <w:rPr>
                <w:rFonts w:ascii="Arial" w:cs="Arial" w:eastAsia="Arial" w:hAnsi="Arial"/>
                <w:sz w:val="13"/>
                <w:szCs w:val="13"/>
                <w:color w:val="auto"/>
              </w:rPr>
              <w:t>(2,481)</w:t>
            </w: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980" w:type="dxa"/>
            <w:vAlign w:val="bottom"/>
            <w:gridSpan w:val="2"/>
          </w:tcPr>
          <w:p>
            <w:pPr>
              <w:jc w:val="right"/>
              <w:ind w:right="83"/>
              <w:spacing w:after="0"/>
              <w:rPr>
                <w:sz w:val="20"/>
                <w:szCs w:val="20"/>
                <w:color w:val="auto"/>
              </w:rPr>
            </w:pPr>
            <w:r>
              <w:rPr>
                <w:rFonts w:ascii="Arial" w:cs="Arial" w:eastAsia="Arial" w:hAnsi="Arial"/>
                <w:sz w:val="13"/>
                <w:szCs w:val="13"/>
                <w:color w:val="auto"/>
              </w:rPr>
              <w:t>7,835</w:t>
            </w:r>
          </w:p>
        </w:tc>
        <w:tc>
          <w:tcPr>
            <w:tcW w:w="20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183"/>
              <w:spacing w:after="0"/>
              <w:rPr>
                <w:sz w:val="20"/>
                <w:szCs w:val="20"/>
                <w:color w:val="auto"/>
              </w:rPr>
            </w:pPr>
            <w:r>
              <w:rPr>
                <w:rFonts w:ascii="Arial" w:cs="Arial" w:eastAsia="Arial" w:hAnsi="Arial"/>
                <w:sz w:val="13"/>
                <w:szCs w:val="13"/>
                <w:color w:val="auto"/>
              </w:rPr>
              <w:t>5,354</w:t>
            </w:r>
          </w:p>
        </w:tc>
        <w:tc>
          <w:tcPr>
            <w:tcW w:w="120" w:type="dxa"/>
            <w:vAlign w:val="bottom"/>
          </w:tcPr>
          <w:p>
            <w:pPr>
              <w:jc w:val="right"/>
              <w:ind w:right="12"/>
              <w:spacing w:after="0"/>
              <w:rPr>
                <w:sz w:val="20"/>
                <w:szCs w:val="20"/>
                <w:color w:val="auto"/>
              </w:rPr>
            </w:pPr>
            <w:r>
              <w:rPr>
                <w:rFonts w:ascii="Arial" w:cs="Arial" w:eastAsia="Arial" w:hAnsi="Arial"/>
                <w:sz w:val="10"/>
                <w:szCs w:val="10"/>
                <w:color w:val="auto"/>
                <w:w w:val="71"/>
              </w:rPr>
              <w:t>$</w:t>
            </w:r>
          </w:p>
        </w:tc>
        <w:tc>
          <w:tcPr>
            <w:tcW w:w="940" w:type="dxa"/>
            <w:vAlign w:val="bottom"/>
            <w:gridSpan w:val="2"/>
          </w:tcPr>
          <w:p>
            <w:pPr>
              <w:jc w:val="right"/>
              <w:ind w:right="103"/>
              <w:spacing w:after="0"/>
              <w:rPr>
                <w:sz w:val="20"/>
                <w:szCs w:val="20"/>
                <w:color w:val="auto"/>
              </w:rPr>
            </w:pPr>
            <w:r>
              <w:rPr>
                <w:rFonts w:ascii="Arial" w:cs="Arial" w:eastAsia="Arial" w:hAnsi="Arial"/>
                <w:sz w:val="13"/>
                <w:szCs w:val="13"/>
                <w:color w:val="auto"/>
              </w:rPr>
              <w:t>715</w:t>
            </w:r>
          </w:p>
        </w:tc>
        <w:tc>
          <w:tcPr>
            <w:tcW w:w="14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143"/>
              <w:spacing w:after="0"/>
              <w:rPr>
                <w:sz w:val="20"/>
                <w:szCs w:val="20"/>
                <w:color w:val="auto"/>
              </w:rPr>
            </w:pPr>
            <w:r>
              <w:rPr>
                <w:rFonts w:ascii="Arial" w:cs="Arial" w:eastAsia="Arial" w:hAnsi="Arial"/>
                <w:sz w:val="13"/>
                <w:szCs w:val="13"/>
                <w:color w:val="auto"/>
              </w:rPr>
              <w:t>5,074</w:t>
            </w:r>
          </w:p>
        </w:tc>
        <w:tc>
          <w:tcPr>
            <w:tcW w:w="10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820" w:type="dxa"/>
            <w:vAlign w:val="bottom"/>
          </w:tcPr>
          <w:p>
            <w:pPr>
              <w:jc w:val="right"/>
              <w:spacing w:after="0"/>
              <w:rPr>
                <w:sz w:val="20"/>
                <w:szCs w:val="20"/>
                <w:color w:val="auto"/>
              </w:rPr>
            </w:pPr>
            <w:r>
              <w:rPr>
                <w:rFonts w:ascii="Arial" w:cs="Arial" w:eastAsia="Arial" w:hAnsi="Arial"/>
                <w:sz w:val="13"/>
                <w:szCs w:val="13"/>
                <w:color w:val="auto"/>
              </w:rPr>
              <w:t>5,789</w:t>
            </w:r>
          </w:p>
        </w:tc>
        <w:tc>
          <w:tcPr>
            <w:tcW w:w="100" w:type="dxa"/>
            <w:vAlign w:val="bottom"/>
          </w:tcPr>
          <w:p>
            <w:pPr>
              <w:spacing w:after="0"/>
              <w:rPr>
                <w:sz w:val="13"/>
                <w:szCs w:val="13"/>
                <w:color w:val="auto"/>
              </w:rPr>
            </w:pPr>
          </w:p>
        </w:tc>
      </w:tr>
      <w:tr>
        <w:trPr>
          <w:trHeight w:val="154"/>
        </w:trPr>
        <w:tc>
          <w:tcPr>
            <w:tcW w:w="3620" w:type="dxa"/>
            <w:vAlign w:val="bottom"/>
            <w:shd w:val="clear" w:color="auto" w:fill="CCEEFF"/>
          </w:tcPr>
          <w:p>
            <w:pPr>
              <w:spacing w:after="0"/>
              <w:rPr>
                <w:sz w:val="20"/>
                <w:szCs w:val="20"/>
                <w:color w:val="auto"/>
              </w:rPr>
            </w:pPr>
            <w:r>
              <w:rPr>
                <w:rFonts w:ascii="Arial" w:cs="Arial" w:eastAsia="Arial" w:hAnsi="Arial"/>
                <w:sz w:val="13"/>
                <w:szCs w:val="13"/>
                <w:color w:val="auto"/>
              </w:rPr>
              <w:t>Investment securities</w:t>
            </w:r>
          </w:p>
        </w:tc>
        <w:tc>
          <w:tcPr>
            <w:tcW w:w="12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149</w:t>
            </w:r>
          </w:p>
        </w:tc>
        <w:tc>
          <w:tcPr>
            <w:tcW w:w="8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83"/>
              <w:spacing w:after="0"/>
              <w:rPr>
                <w:sz w:val="20"/>
                <w:szCs w:val="20"/>
                <w:color w:val="auto"/>
              </w:rPr>
            </w:pPr>
            <w:r>
              <w:rPr>
                <w:rFonts w:ascii="Arial" w:cs="Arial" w:eastAsia="Arial" w:hAnsi="Arial"/>
                <w:sz w:val="13"/>
                <w:szCs w:val="13"/>
                <w:color w:val="auto"/>
              </w:rPr>
              <w:t>258</w:t>
            </w:r>
          </w:p>
        </w:tc>
        <w:tc>
          <w:tcPr>
            <w:tcW w:w="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040" w:type="dxa"/>
            <w:vAlign w:val="bottom"/>
            <w:gridSpan w:val="2"/>
            <w:shd w:val="clear" w:color="auto" w:fill="CCEEFF"/>
          </w:tcPr>
          <w:p>
            <w:pPr>
              <w:jc w:val="right"/>
              <w:ind w:right="183"/>
              <w:spacing w:after="0"/>
              <w:rPr>
                <w:sz w:val="20"/>
                <w:szCs w:val="20"/>
                <w:color w:val="auto"/>
              </w:rPr>
            </w:pPr>
            <w:r>
              <w:rPr>
                <w:rFonts w:ascii="Arial" w:cs="Arial" w:eastAsia="Arial" w:hAnsi="Arial"/>
                <w:sz w:val="13"/>
                <w:szCs w:val="13"/>
                <w:color w:val="auto"/>
              </w:rPr>
              <w:t>407</w:t>
            </w:r>
          </w:p>
        </w:tc>
        <w:tc>
          <w:tcPr>
            <w:tcW w:w="120" w:type="dxa"/>
            <w:vAlign w:val="bottom"/>
            <w:shd w:val="clear" w:color="auto" w:fill="CCEEFF"/>
          </w:tcPr>
          <w:p>
            <w:pPr>
              <w:spacing w:after="0"/>
              <w:rPr>
                <w:sz w:val="13"/>
                <w:szCs w:val="13"/>
                <w:color w:val="auto"/>
              </w:rPr>
            </w:pPr>
          </w:p>
        </w:tc>
        <w:tc>
          <w:tcPr>
            <w:tcW w:w="940" w:type="dxa"/>
            <w:vAlign w:val="bottom"/>
            <w:gridSpan w:val="2"/>
            <w:shd w:val="clear" w:color="auto" w:fill="CCEEFF"/>
          </w:tcPr>
          <w:p>
            <w:pPr>
              <w:jc w:val="right"/>
              <w:ind w:right="63"/>
              <w:spacing w:after="0"/>
              <w:rPr>
                <w:sz w:val="20"/>
                <w:szCs w:val="20"/>
                <w:color w:val="auto"/>
              </w:rPr>
            </w:pPr>
            <w:r>
              <w:rPr>
                <w:rFonts w:ascii="Arial" w:cs="Arial" w:eastAsia="Arial" w:hAnsi="Arial"/>
                <w:sz w:val="13"/>
                <w:szCs w:val="13"/>
                <w:color w:val="auto"/>
              </w:rPr>
              <w:t>(3,171)</w:t>
            </w:r>
          </w:p>
        </w:tc>
        <w:tc>
          <w:tcPr>
            <w:tcW w:w="8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1040" w:type="dxa"/>
            <w:vAlign w:val="bottom"/>
            <w:gridSpan w:val="2"/>
            <w:shd w:val="clear" w:color="auto" w:fill="CCEEFF"/>
          </w:tcPr>
          <w:p>
            <w:pPr>
              <w:jc w:val="right"/>
              <w:ind w:right="143"/>
              <w:spacing w:after="0"/>
              <w:rPr>
                <w:sz w:val="20"/>
                <w:szCs w:val="20"/>
                <w:color w:val="auto"/>
              </w:rPr>
            </w:pPr>
            <w:r>
              <w:rPr>
                <w:rFonts w:ascii="Arial" w:cs="Arial" w:eastAsia="Arial" w:hAnsi="Arial"/>
                <w:sz w:val="13"/>
                <w:szCs w:val="13"/>
                <w:color w:val="auto"/>
              </w:rPr>
              <w:t>629</w:t>
            </w:r>
          </w:p>
        </w:tc>
        <w:tc>
          <w:tcPr>
            <w:tcW w:w="10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23"/>
              <w:spacing w:after="0"/>
              <w:rPr>
                <w:sz w:val="20"/>
                <w:szCs w:val="20"/>
                <w:color w:val="auto"/>
              </w:rPr>
            </w:pPr>
            <w:r>
              <w:rPr>
                <w:rFonts w:ascii="Arial" w:cs="Arial" w:eastAsia="Arial" w:hAnsi="Arial"/>
                <w:sz w:val="13"/>
                <w:szCs w:val="13"/>
                <w:color w:val="auto"/>
              </w:rPr>
              <w:t>(2,542)</w:t>
            </w:r>
          </w:p>
        </w:tc>
      </w:tr>
      <w:tr>
        <w:trPr>
          <w:trHeight w:val="164"/>
        </w:trPr>
        <w:tc>
          <w:tcPr>
            <w:tcW w:w="3620" w:type="dxa"/>
            <w:vAlign w:val="bottom"/>
          </w:tcPr>
          <w:p>
            <w:pPr>
              <w:spacing w:after="0"/>
              <w:rPr>
                <w:sz w:val="20"/>
                <w:szCs w:val="20"/>
                <w:color w:val="auto"/>
              </w:rPr>
            </w:pPr>
            <w:r>
              <w:rPr>
                <w:rFonts w:ascii="Arial" w:cs="Arial" w:eastAsia="Arial" w:hAnsi="Arial"/>
                <w:sz w:val="13"/>
                <w:szCs w:val="13"/>
                <w:color w:val="auto"/>
              </w:rPr>
              <w:t>Loans</w:t>
            </w:r>
          </w:p>
        </w:tc>
        <w:tc>
          <w:tcPr>
            <w:tcW w:w="120" w:type="dxa"/>
            <w:vAlign w:val="bottom"/>
          </w:tcPr>
          <w:p>
            <w:pPr>
              <w:spacing w:after="0"/>
              <w:rPr>
                <w:sz w:val="14"/>
                <w:szCs w:val="14"/>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1,920</w:t>
            </w:r>
          </w:p>
        </w:tc>
        <w:tc>
          <w:tcPr>
            <w:tcW w:w="2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80" w:type="dxa"/>
            <w:vAlign w:val="bottom"/>
            <w:gridSpan w:val="2"/>
          </w:tcPr>
          <w:p>
            <w:pPr>
              <w:jc w:val="right"/>
              <w:ind w:right="83"/>
              <w:spacing w:after="0"/>
              <w:rPr>
                <w:sz w:val="20"/>
                <w:szCs w:val="20"/>
                <w:color w:val="auto"/>
              </w:rPr>
            </w:pPr>
            <w:r>
              <w:rPr>
                <w:rFonts w:ascii="Arial" w:cs="Arial" w:eastAsia="Arial" w:hAnsi="Arial"/>
                <w:sz w:val="13"/>
                <w:szCs w:val="13"/>
                <w:color w:val="auto"/>
              </w:rPr>
              <w:t>24,730</w:t>
            </w: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40" w:type="dxa"/>
            <w:vAlign w:val="bottom"/>
            <w:gridSpan w:val="2"/>
          </w:tcPr>
          <w:p>
            <w:pPr>
              <w:jc w:val="right"/>
              <w:ind w:right="183"/>
              <w:spacing w:after="0"/>
              <w:rPr>
                <w:sz w:val="20"/>
                <w:szCs w:val="20"/>
                <w:color w:val="auto"/>
              </w:rPr>
            </w:pPr>
            <w:r>
              <w:rPr>
                <w:rFonts w:ascii="Arial" w:cs="Arial" w:eastAsia="Arial" w:hAnsi="Arial"/>
                <w:sz w:val="13"/>
                <w:szCs w:val="13"/>
                <w:color w:val="auto"/>
              </w:rPr>
              <w:t>26,650</w:t>
            </w:r>
          </w:p>
        </w:tc>
        <w:tc>
          <w:tcPr>
            <w:tcW w:w="120" w:type="dxa"/>
            <w:vAlign w:val="bottom"/>
          </w:tcPr>
          <w:p>
            <w:pPr>
              <w:spacing w:after="0"/>
              <w:rPr>
                <w:sz w:val="14"/>
                <w:szCs w:val="14"/>
                <w:color w:val="auto"/>
              </w:rPr>
            </w:pPr>
          </w:p>
        </w:tc>
        <w:tc>
          <w:tcPr>
            <w:tcW w:w="940" w:type="dxa"/>
            <w:vAlign w:val="bottom"/>
            <w:gridSpan w:val="2"/>
          </w:tcPr>
          <w:p>
            <w:pPr>
              <w:jc w:val="right"/>
              <w:ind w:right="63"/>
              <w:spacing w:after="0"/>
              <w:rPr>
                <w:sz w:val="20"/>
                <w:szCs w:val="20"/>
                <w:color w:val="auto"/>
              </w:rPr>
            </w:pPr>
            <w:r>
              <w:rPr>
                <w:rFonts w:ascii="Arial" w:cs="Arial" w:eastAsia="Arial" w:hAnsi="Arial"/>
                <w:sz w:val="13"/>
                <w:szCs w:val="13"/>
                <w:color w:val="auto"/>
              </w:rPr>
              <w:t>(36,370)</w:t>
            </w:r>
          </w:p>
        </w:tc>
        <w:tc>
          <w:tcPr>
            <w:tcW w:w="8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040" w:type="dxa"/>
            <w:vAlign w:val="bottom"/>
            <w:gridSpan w:val="2"/>
          </w:tcPr>
          <w:p>
            <w:pPr>
              <w:jc w:val="right"/>
              <w:ind w:right="143"/>
              <w:spacing w:after="0"/>
              <w:rPr>
                <w:sz w:val="20"/>
                <w:szCs w:val="20"/>
                <w:color w:val="auto"/>
              </w:rPr>
            </w:pPr>
            <w:r>
              <w:rPr>
                <w:rFonts w:ascii="Arial" w:cs="Arial" w:eastAsia="Arial" w:hAnsi="Arial"/>
                <w:sz w:val="13"/>
                <w:szCs w:val="13"/>
                <w:color w:val="auto"/>
              </w:rPr>
              <w:t>13,304</w:t>
            </w:r>
          </w:p>
        </w:tc>
        <w:tc>
          <w:tcPr>
            <w:tcW w:w="100" w:type="dxa"/>
            <w:vAlign w:val="bottom"/>
          </w:tcPr>
          <w:p>
            <w:pPr>
              <w:spacing w:after="0"/>
              <w:rPr>
                <w:sz w:val="14"/>
                <w:szCs w:val="14"/>
                <w:color w:val="auto"/>
              </w:rPr>
            </w:pPr>
          </w:p>
        </w:tc>
        <w:tc>
          <w:tcPr>
            <w:tcW w:w="920" w:type="dxa"/>
            <w:vAlign w:val="bottom"/>
            <w:gridSpan w:val="2"/>
          </w:tcPr>
          <w:p>
            <w:pPr>
              <w:jc w:val="right"/>
              <w:ind w:right="23"/>
              <w:spacing w:after="0"/>
              <w:rPr>
                <w:sz w:val="20"/>
                <w:szCs w:val="20"/>
                <w:color w:val="auto"/>
              </w:rPr>
            </w:pPr>
            <w:r>
              <w:rPr>
                <w:rFonts w:ascii="Arial" w:cs="Arial" w:eastAsia="Arial" w:hAnsi="Arial"/>
                <w:sz w:val="13"/>
                <w:szCs w:val="13"/>
                <w:color w:val="auto"/>
              </w:rPr>
              <w:t>(23,066)</w:t>
            </w:r>
          </w:p>
        </w:tc>
      </w:tr>
      <w:tr>
        <w:trPr>
          <w:trHeight w:val="144"/>
        </w:trPr>
        <w:tc>
          <w:tcPr>
            <w:tcW w:w="362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Total increase (decrease)</w:t>
            </w:r>
          </w:p>
        </w:tc>
        <w:tc>
          <w:tcPr>
            <w:tcW w:w="120" w:type="dxa"/>
            <w:vAlign w:val="bottom"/>
            <w:tcBorders>
              <w:top w:val="single" w:sz="8" w:color="auto"/>
              <w:bottom w:val="single" w:sz="8" w:color="auto"/>
            </w:tcBorders>
            <w:shd w:val="clear" w:color="auto" w:fill="CCEEFF"/>
          </w:tcPr>
          <w:p>
            <w:pPr>
              <w:jc w:val="right"/>
              <w:ind w:right="12"/>
              <w:spacing w:after="0"/>
              <w:rPr>
                <w:sz w:val="20"/>
                <w:szCs w:val="20"/>
                <w:color w:val="auto"/>
              </w:rPr>
            </w:pPr>
            <w:r>
              <w:rPr>
                <w:rFonts w:ascii="Arial" w:cs="Arial" w:eastAsia="Arial" w:hAnsi="Arial"/>
                <w:sz w:val="10"/>
                <w:szCs w:val="10"/>
                <w:b w:val="1"/>
                <w:bCs w:val="1"/>
                <w:color w:val="auto"/>
                <w:w w:val="71"/>
              </w:rPr>
              <w:t>$</w:t>
            </w:r>
          </w:p>
        </w:tc>
        <w:tc>
          <w:tcPr>
            <w:tcW w:w="8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(412)</w:t>
            </w:r>
          </w:p>
        </w:tc>
        <w:tc>
          <w:tcPr>
            <w:tcW w:w="20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bottom w:val="single" w:sz="8" w:color="auto"/>
            </w:tcBorders>
            <w:shd w:val="clear" w:color="auto" w:fill="CCEEFF"/>
          </w:tcPr>
          <w:p>
            <w:pPr>
              <w:spacing w:after="0"/>
              <w:rPr>
                <w:sz w:val="12"/>
                <w:szCs w:val="12"/>
                <w:color w:val="auto"/>
              </w:rPr>
            </w:pPr>
          </w:p>
        </w:tc>
        <w:tc>
          <w:tcPr>
            <w:tcW w:w="86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32,823</w:t>
            </w:r>
          </w:p>
        </w:tc>
        <w:tc>
          <w:tcPr>
            <w:tcW w:w="1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bottom w:val="single" w:sz="8" w:color="auto"/>
            </w:tcBorders>
            <w:shd w:val="clear" w:color="auto" w:fill="CCEEFF"/>
          </w:tcPr>
          <w:p>
            <w:pPr>
              <w:spacing w:after="0"/>
              <w:rPr>
                <w:sz w:val="12"/>
                <w:szCs w:val="12"/>
                <w:color w:val="auto"/>
              </w:rPr>
            </w:pPr>
          </w:p>
        </w:tc>
        <w:tc>
          <w:tcPr>
            <w:tcW w:w="8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32,411</w:t>
            </w:r>
          </w:p>
        </w:tc>
        <w:tc>
          <w:tcPr>
            <w:tcW w:w="2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bottom w:val="single" w:sz="8" w:color="auto"/>
            </w:tcBorders>
            <w:shd w:val="clear" w:color="auto" w:fill="CCEEFF"/>
          </w:tcPr>
          <w:p>
            <w:pPr>
              <w:jc w:val="right"/>
              <w:ind w:right="12"/>
              <w:spacing w:after="0"/>
              <w:rPr>
                <w:sz w:val="20"/>
                <w:szCs w:val="20"/>
                <w:color w:val="auto"/>
              </w:rPr>
            </w:pPr>
            <w:r>
              <w:rPr>
                <w:rFonts w:ascii="Arial" w:cs="Arial" w:eastAsia="Arial" w:hAnsi="Arial"/>
                <w:sz w:val="10"/>
                <w:szCs w:val="10"/>
                <w:b w:val="1"/>
                <w:bCs w:val="1"/>
                <w:color w:val="auto"/>
                <w:w w:val="71"/>
              </w:rPr>
              <w:t>$</w:t>
            </w:r>
          </w:p>
        </w:tc>
        <w:tc>
          <w:tcPr>
            <w:tcW w:w="8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(38,826)</w:t>
            </w: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0"/>
                <w:szCs w:val="10"/>
                <w:b w:val="1"/>
                <w:bCs w:val="1"/>
                <w:color w:val="auto"/>
                <w:w w:val="71"/>
              </w:rPr>
              <w:t>$</w:t>
            </w:r>
          </w:p>
        </w:tc>
        <w:tc>
          <w:tcPr>
            <w:tcW w:w="86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19,007</w:t>
            </w:r>
          </w:p>
        </w:tc>
        <w:tc>
          <w:tcPr>
            <w:tcW w:w="18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0"/>
                <w:szCs w:val="10"/>
                <w:b w:val="1"/>
                <w:bCs w:val="1"/>
                <w:color w:val="auto"/>
                <w:w w:val="71"/>
              </w:rPr>
              <w:t>$</w:t>
            </w:r>
          </w:p>
        </w:tc>
        <w:tc>
          <w:tcPr>
            <w:tcW w:w="8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(19,819)</w:t>
            </w:r>
          </w:p>
        </w:tc>
        <w:tc>
          <w:tcPr>
            <w:tcW w:w="100" w:type="dxa"/>
            <w:vAlign w:val="bottom"/>
            <w:tcBorders>
              <w:top w:val="single" w:sz="8" w:color="CCEEFF"/>
            </w:tcBorders>
            <w:shd w:val="clear" w:color="auto" w:fill="CCEEFF"/>
          </w:tcPr>
          <w:p>
            <w:pPr>
              <w:spacing w:after="0"/>
              <w:rPr>
                <w:sz w:val="12"/>
                <w:szCs w:val="12"/>
                <w:color w:val="auto"/>
              </w:rPr>
            </w:pPr>
          </w:p>
        </w:tc>
      </w:tr>
      <w:tr>
        <w:trPr>
          <w:trHeight w:val="144"/>
        </w:trPr>
        <w:tc>
          <w:tcPr>
            <w:tcW w:w="3620" w:type="dxa"/>
            <w:vAlign w:val="bottom"/>
          </w:tcPr>
          <w:p>
            <w:pPr>
              <w:spacing w:after="0" w:line="144" w:lineRule="exact"/>
              <w:rPr>
                <w:sz w:val="20"/>
                <w:szCs w:val="20"/>
                <w:color w:val="auto"/>
              </w:rPr>
            </w:pPr>
            <w:r>
              <w:rPr>
                <w:rFonts w:ascii="Arial" w:cs="Arial" w:eastAsia="Arial" w:hAnsi="Arial"/>
                <w:sz w:val="13"/>
                <w:szCs w:val="13"/>
                <w:b w:val="1"/>
                <w:bCs w:val="1"/>
                <w:color w:val="auto"/>
              </w:rPr>
              <w:t>(Increase) decrease in interest expense</w:t>
            </w:r>
          </w:p>
        </w:tc>
        <w:tc>
          <w:tcPr>
            <w:tcW w:w="1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36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Demand deposits</w:t>
            </w:r>
          </w:p>
        </w:tc>
        <w:tc>
          <w:tcPr>
            <w:tcW w:w="12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740</w:t>
            </w:r>
          </w:p>
        </w:tc>
        <w:tc>
          <w:tcPr>
            <w:tcW w:w="8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43"/>
              <w:spacing w:after="0"/>
              <w:rPr>
                <w:sz w:val="20"/>
                <w:szCs w:val="20"/>
                <w:color w:val="auto"/>
              </w:rPr>
            </w:pPr>
            <w:r>
              <w:rPr>
                <w:rFonts w:ascii="Arial" w:cs="Arial" w:eastAsia="Arial" w:hAnsi="Arial"/>
                <w:sz w:val="13"/>
                <w:szCs w:val="13"/>
                <w:color w:val="auto"/>
              </w:rPr>
              <w:t>(820)</w:t>
            </w:r>
          </w:p>
        </w:tc>
        <w:tc>
          <w:tcPr>
            <w:tcW w:w="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040" w:type="dxa"/>
            <w:vAlign w:val="bottom"/>
            <w:gridSpan w:val="2"/>
            <w:shd w:val="clear" w:color="auto" w:fill="CCEEFF"/>
          </w:tcPr>
          <w:p>
            <w:pPr>
              <w:jc w:val="right"/>
              <w:ind w:right="143"/>
              <w:spacing w:after="0"/>
              <w:rPr>
                <w:sz w:val="20"/>
                <w:szCs w:val="20"/>
                <w:color w:val="auto"/>
              </w:rPr>
            </w:pPr>
            <w:r>
              <w:rPr>
                <w:rFonts w:ascii="Arial" w:cs="Arial" w:eastAsia="Arial" w:hAnsi="Arial"/>
                <w:sz w:val="13"/>
                <w:szCs w:val="13"/>
                <w:color w:val="auto"/>
              </w:rPr>
              <w:t>(80)</w:t>
            </w:r>
          </w:p>
        </w:tc>
        <w:tc>
          <w:tcPr>
            <w:tcW w:w="120" w:type="dxa"/>
            <w:vAlign w:val="bottom"/>
            <w:shd w:val="clear" w:color="auto" w:fill="CCEEFF"/>
          </w:tcPr>
          <w:p>
            <w:pPr>
              <w:spacing w:after="0"/>
              <w:rPr>
                <w:sz w:val="13"/>
                <w:szCs w:val="13"/>
                <w:color w:val="auto"/>
              </w:rPr>
            </w:pPr>
          </w:p>
        </w:tc>
        <w:tc>
          <w:tcPr>
            <w:tcW w:w="940" w:type="dxa"/>
            <w:vAlign w:val="bottom"/>
            <w:gridSpan w:val="2"/>
            <w:shd w:val="clear" w:color="auto" w:fill="CCEEFF"/>
          </w:tcPr>
          <w:p>
            <w:pPr>
              <w:jc w:val="right"/>
              <w:ind w:right="63"/>
              <w:spacing w:after="0"/>
              <w:rPr>
                <w:sz w:val="20"/>
                <w:szCs w:val="20"/>
                <w:color w:val="auto"/>
              </w:rPr>
            </w:pPr>
            <w:r>
              <w:rPr>
                <w:rFonts w:ascii="Arial" w:cs="Arial" w:eastAsia="Arial" w:hAnsi="Arial"/>
                <w:sz w:val="13"/>
                <w:szCs w:val="13"/>
                <w:color w:val="auto"/>
              </w:rPr>
              <w:t>(152)</w:t>
            </w:r>
          </w:p>
        </w:tc>
        <w:tc>
          <w:tcPr>
            <w:tcW w:w="8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1040" w:type="dxa"/>
            <w:vAlign w:val="bottom"/>
            <w:gridSpan w:val="2"/>
            <w:shd w:val="clear" w:color="auto" w:fill="CCEEFF"/>
          </w:tcPr>
          <w:p>
            <w:pPr>
              <w:jc w:val="right"/>
              <w:ind w:right="103"/>
              <w:spacing w:after="0"/>
              <w:rPr>
                <w:sz w:val="20"/>
                <w:szCs w:val="20"/>
                <w:color w:val="auto"/>
              </w:rPr>
            </w:pPr>
            <w:r>
              <w:rPr>
                <w:rFonts w:ascii="Arial" w:cs="Arial" w:eastAsia="Arial" w:hAnsi="Arial"/>
                <w:sz w:val="13"/>
                <w:szCs w:val="13"/>
                <w:color w:val="auto"/>
              </w:rPr>
              <w:t>(436)</w:t>
            </w:r>
          </w:p>
        </w:tc>
        <w:tc>
          <w:tcPr>
            <w:tcW w:w="10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23"/>
              <w:spacing w:after="0"/>
              <w:rPr>
                <w:sz w:val="20"/>
                <w:szCs w:val="20"/>
                <w:color w:val="auto"/>
              </w:rPr>
            </w:pPr>
            <w:r>
              <w:rPr>
                <w:rFonts w:ascii="Arial" w:cs="Arial" w:eastAsia="Arial" w:hAnsi="Arial"/>
                <w:sz w:val="13"/>
                <w:szCs w:val="13"/>
                <w:color w:val="auto"/>
              </w:rPr>
              <w:t>(587)</w:t>
            </w:r>
          </w:p>
        </w:tc>
      </w:tr>
      <w:tr>
        <w:trPr>
          <w:trHeight w:val="154"/>
        </w:trPr>
        <w:tc>
          <w:tcPr>
            <w:tcW w:w="3620" w:type="dxa"/>
            <w:vAlign w:val="bottom"/>
          </w:tcPr>
          <w:p>
            <w:pPr>
              <w:ind w:left="120"/>
              <w:spacing w:after="0"/>
              <w:rPr>
                <w:sz w:val="20"/>
                <w:szCs w:val="20"/>
                <w:color w:val="auto"/>
              </w:rPr>
            </w:pPr>
            <w:r>
              <w:rPr>
                <w:rFonts w:ascii="Arial" w:cs="Arial" w:eastAsia="Arial" w:hAnsi="Arial"/>
                <w:sz w:val="13"/>
                <w:szCs w:val="13"/>
                <w:color w:val="auto"/>
              </w:rPr>
              <w:t>Time deposits</w:t>
            </w:r>
          </w:p>
        </w:tc>
        <w:tc>
          <w:tcPr>
            <w:tcW w:w="120" w:type="dxa"/>
            <w:vAlign w:val="bottom"/>
          </w:tcPr>
          <w:p>
            <w:pPr>
              <w:spacing w:after="0"/>
              <w:rPr>
                <w:sz w:val="13"/>
                <w:szCs w:val="13"/>
                <w:color w:val="auto"/>
              </w:rPr>
            </w:pPr>
          </w:p>
        </w:tc>
        <w:tc>
          <w:tcPr>
            <w:tcW w:w="1020" w:type="dxa"/>
            <w:vAlign w:val="bottom"/>
            <w:gridSpan w:val="2"/>
          </w:tcPr>
          <w:p>
            <w:pPr>
              <w:jc w:val="right"/>
              <w:ind w:right="200"/>
              <w:spacing w:after="0"/>
              <w:rPr>
                <w:sz w:val="20"/>
                <w:szCs w:val="20"/>
                <w:color w:val="auto"/>
              </w:rPr>
            </w:pPr>
            <w:r>
              <w:rPr>
                <w:rFonts w:ascii="Arial" w:cs="Arial" w:eastAsia="Arial" w:hAnsi="Arial"/>
                <w:sz w:val="13"/>
                <w:szCs w:val="13"/>
                <w:color w:val="auto"/>
              </w:rPr>
              <w:t>3,811</w:t>
            </w:r>
          </w:p>
        </w:tc>
        <w:tc>
          <w:tcPr>
            <w:tcW w:w="80" w:type="dxa"/>
            <w:vAlign w:val="bottom"/>
          </w:tcPr>
          <w:p>
            <w:pPr>
              <w:spacing w:after="0"/>
              <w:rPr>
                <w:sz w:val="13"/>
                <w:szCs w:val="13"/>
                <w:color w:val="auto"/>
              </w:rPr>
            </w:pPr>
          </w:p>
        </w:tc>
        <w:tc>
          <w:tcPr>
            <w:tcW w:w="980" w:type="dxa"/>
            <w:vAlign w:val="bottom"/>
            <w:gridSpan w:val="2"/>
          </w:tcPr>
          <w:p>
            <w:pPr>
              <w:jc w:val="right"/>
              <w:ind w:right="43"/>
              <w:spacing w:after="0"/>
              <w:rPr>
                <w:sz w:val="20"/>
                <w:szCs w:val="20"/>
                <w:color w:val="auto"/>
              </w:rPr>
            </w:pPr>
            <w:r>
              <w:rPr>
                <w:rFonts w:ascii="Arial" w:cs="Arial" w:eastAsia="Arial" w:hAnsi="Arial"/>
                <w:sz w:val="13"/>
                <w:szCs w:val="13"/>
                <w:color w:val="auto"/>
              </w:rPr>
              <w:t>(24,030)</w:t>
            </w:r>
          </w:p>
        </w:tc>
        <w:tc>
          <w:tcPr>
            <w:tcW w:w="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40" w:type="dxa"/>
            <w:vAlign w:val="bottom"/>
            <w:gridSpan w:val="2"/>
          </w:tcPr>
          <w:p>
            <w:pPr>
              <w:jc w:val="right"/>
              <w:ind w:right="143"/>
              <w:spacing w:after="0"/>
              <w:rPr>
                <w:sz w:val="20"/>
                <w:szCs w:val="20"/>
                <w:color w:val="auto"/>
              </w:rPr>
            </w:pPr>
            <w:r>
              <w:rPr>
                <w:rFonts w:ascii="Arial" w:cs="Arial" w:eastAsia="Arial" w:hAnsi="Arial"/>
                <w:sz w:val="13"/>
                <w:szCs w:val="13"/>
                <w:color w:val="auto"/>
              </w:rPr>
              <w:t>(20,219)</w:t>
            </w:r>
          </w:p>
        </w:tc>
        <w:tc>
          <w:tcPr>
            <w:tcW w:w="120" w:type="dxa"/>
            <w:vAlign w:val="bottom"/>
          </w:tcPr>
          <w:p>
            <w:pPr>
              <w:spacing w:after="0"/>
              <w:rPr>
                <w:sz w:val="13"/>
                <w:szCs w:val="13"/>
                <w:color w:val="auto"/>
              </w:rPr>
            </w:pPr>
          </w:p>
        </w:tc>
        <w:tc>
          <w:tcPr>
            <w:tcW w:w="940" w:type="dxa"/>
            <w:vAlign w:val="bottom"/>
            <w:gridSpan w:val="2"/>
          </w:tcPr>
          <w:p>
            <w:pPr>
              <w:jc w:val="right"/>
              <w:ind w:right="63"/>
              <w:spacing w:after="0"/>
              <w:rPr>
                <w:sz w:val="20"/>
                <w:szCs w:val="20"/>
                <w:color w:val="auto"/>
              </w:rPr>
            </w:pPr>
            <w:r>
              <w:rPr>
                <w:rFonts w:ascii="Arial" w:cs="Arial" w:eastAsia="Arial" w:hAnsi="Arial"/>
                <w:sz w:val="13"/>
                <w:szCs w:val="13"/>
                <w:color w:val="auto"/>
              </w:rPr>
              <w:t>(1,049)</w:t>
            </w:r>
          </w:p>
        </w:tc>
        <w:tc>
          <w:tcPr>
            <w:tcW w:w="8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040" w:type="dxa"/>
            <w:vAlign w:val="bottom"/>
            <w:gridSpan w:val="2"/>
          </w:tcPr>
          <w:p>
            <w:pPr>
              <w:jc w:val="right"/>
              <w:ind w:right="103"/>
              <w:spacing w:after="0"/>
              <w:rPr>
                <w:sz w:val="20"/>
                <w:szCs w:val="20"/>
                <w:color w:val="auto"/>
              </w:rPr>
            </w:pPr>
            <w:r>
              <w:rPr>
                <w:rFonts w:ascii="Arial" w:cs="Arial" w:eastAsia="Arial" w:hAnsi="Arial"/>
                <w:sz w:val="13"/>
                <w:szCs w:val="13"/>
                <w:color w:val="auto"/>
              </w:rPr>
              <w:t>(21,080)</w:t>
            </w:r>
          </w:p>
        </w:tc>
        <w:tc>
          <w:tcPr>
            <w:tcW w:w="100" w:type="dxa"/>
            <w:vAlign w:val="bottom"/>
          </w:tcPr>
          <w:p>
            <w:pPr>
              <w:spacing w:after="0"/>
              <w:rPr>
                <w:sz w:val="13"/>
                <w:szCs w:val="13"/>
                <w:color w:val="auto"/>
              </w:rPr>
            </w:pPr>
          </w:p>
        </w:tc>
        <w:tc>
          <w:tcPr>
            <w:tcW w:w="920" w:type="dxa"/>
            <w:vAlign w:val="bottom"/>
            <w:gridSpan w:val="2"/>
          </w:tcPr>
          <w:p>
            <w:pPr>
              <w:jc w:val="right"/>
              <w:ind w:right="23"/>
              <w:spacing w:after="0"/>
              <w:rPr>
                <w:sz w:val="20"/>
                <w:szCs w:val="20"/>
                <w:color w:val="auto"/>
              </w:rPr>
            </w:pPr>
            <w:r>
              <w:rPr>
                <w:rFonts w:ascii="Arial" w:cs="Arial" w:eastAsia="Arial" w:hAnsi="Arial"/>
                <w:sz w:val="13"/>
                <w:szCs w:val="13"/>
                <w:color w:val="auto"/>
              </w:rPr>
              <w:t>(22,129)</w:t>
            </w:r>
          </w:p>
        </w:tc>
      </w:tr>
      <w:tr>
        <w:trPr>
          <w:trHeight w:val="154"/>
        </w:trPr>
        <w:tc>
          <w:tcPr>
            <w:tcW w:w="3620" w:type="dxa"/>
            <w:vAlign w:val="bottom"/>
            <w:shd w:val="clear" w:color="auto" w:fill="CCEEFF"/>
          </w:tcPr>
          <w:p>
            <w:pPr>
              <w:spacing w:after="0"/>
              <w:rPr>
                <w:sz w:val="20"/>
                <w:szCs w:val="20"/>
                <w:color w:val="auto"/>
              </w:rPr>
            </w:pPr>
            <w:r>
              <w:rPr>
                <w:rFonts w:ascii="Arial" w:cs="Arial" w:eastAsia="Arial" w:hAnsi="Arial"/>
                <w:sz w:val="13"/>
                <w:szCs w:val="13"/>
                <w:color w:val="auto"/>
              </w:rPr>
              <w:t>Total Deposits</w:t>
            </w:r>
          </w:p>
        </w:tc>
        <w:tc>
          <w:tcPr>
            <w:tcW w:w="120" w:type="dxa"/>
            <w:vAlign w:val="bottom"/>
            <w:shd w:val="clear" w:color="auto" w:fill="CCEEFF"/>
          </w:tcPr>
          <w:p>
            <w:pPr>
              <w:spacing w:after="0"/>
              <w:rPr>
                <w:sz w:val="13"/>
                <w:szCs w:val="13"/>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4,551</w:t>
            </w:r>
          </w:p>
        </w:tc>
        <w:tc>
          <w:tcPr>
            <w:tcW w:w="20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43"/>
              <w:spacing w:after="0"/>
              <w:rPr>
                <w:sz w:val="20"/>
                <w:szCs w:val="20"/>
                <w:color w:val="auto"/>
              </w:rPr>
            </w:pPr>
            <w:r>
              <w:rPr>
                <w:rFonts w:ascii="Arial" w:cs="Arial" w:eastAsia="Arial" w:hAnsi="Arial"/>
                <w:sz w:val="13"/>
                <w:szCs w:val="13"/>
                <w:color w:val="auto"/>
              </w:rPr>
              <w:t>(24,850)</w:t>
            </w:r>
          </w:p>
        </w:tc>
        <w:tc>
          <w:tcPr>
            <w:tcW w:w="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040" w:type="dxa"/>
            <w:vAlign w:val="bottom"/>
            <w:gridSpan w:val="2"/>
            <w:shd w:val="clear" w:color="auto" w:fill="CCEEFF"/>
          </w:tcPr>
          <w:p>
            <w:pPr>
              <w:jc w:val="right"/>
              <w:ind w:right="143"/>
              <w:spacing w:after="0"/>
              <w:rPr>
                <w:sz w:val="20"/>
                <w:szCs w:val="20"/>
                <w:color w:val="auto"/>
              </w:rPr>
            </w:pPr>
            <w:r>
              <w:rPr>
                <w:rFonts w:ascii="Arial" w:cs="Arial" w:eastAsia="Arial" w:hAnsi="Arial"/>
                <w:sz w:val="13"/>
                <w:szCs w:val="13"/>
                <w:color w:val="auto"/>
              </w:rPr>
              <w:t>(20,299)</w:t>
            </w:r>
          </w:p>
        </w:tc>
        <w:tc>
          <w:tcPr>
            <w:tcW w:w="120" w:type="dxa"/>
            <w:vAlign w:val="bottom"/>
            <w:shd w:val="clear" w:color="auto" w:fill="CCEEFF"/>
          </w:tcPr>
          <w:p>
            <w:pPr>
              <w:spacing w:after="0"/>
              <w:rPr>
                <w:sz w:val="13"/>
                <w:szCs w:val="13"/>
                <w:color w:val="auto"/>
              </w:rPr>
            </w:pPr>
          </w:p>
        </w:tc>
        <w:tc>
          <w:tcPr>
            <w:tcW w:w="940" w:type="dxa"/>
            <w:vAlign w:val="bottom"/>
            <w:gridSpan w:val="2"/>
            <w:shd w:val="clear" w:color="auto" w:fill="CCEEFF"/>
          </w:tcPr>
          <w:p>
            <w:pPr>
              <w:jc w:val="right"/>
              <w:ind w:right="63"/>
              <w:spacing w:after="0"/>
              <w:rPr>
                <w:sz w:val="20"/>
                <w:szCs w:val="20"/>
                <w:color w:val="auto"/>
              </w:rPr>
            </w:pPr>
            <w:r>
              <w:rPr>
                <w:rFonts w:ascii="Arial" w:cs="Arial" w:eastAsia="Arial" w:hAnsi="Arial"/>
                <w:sz w:val="13"/>
                <w:szCs w:val="13"/>
                <w:color w:val="auto"/>
              </w:rPr>
              <w:t>(1,201)</w:t>
            </w:r>
          </w:p>
        </w:tc>
        <w:tc>
          <w:tcPr>
            <w:tcW w:w="8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1040" w:type="dxa"/>
            <w:vAlign w:val="bottom"/>
            <w:gridSpan w:val="2"/>
            <w:shd w:val="clear" w:color="auto" w:fill="CCEEFF"/>
          </w:tcPr>
          <w:p>
            <w:pPr>
              <w:jc w:val="right"/>
              <w:ind w:right="103"/>
              <w:spacing w:after="0"/>
              <w:rPr>
                <w:sz w:val="20"/>
                <w:szCs w:val="20"/>
                <w:color w:val="auto"/>
              </w:rPr>
            </w:pPr>
            <w:r>
              <w:rPr>
                <w:rFonts w:ascii="Arial" w:cs="Arial" w:eastAsia="Arial" w:hAnsi="Arial"/>
                <w:sz w:val="13"/>
                <w:szCs w:val="13"/>
                <w:color w:val="auto"/>
              </w:rPr>
              <w:t>(21,515)</w:t>
            </w:r>
          </w:p>
        </w:tc>
        <w:tc>
          <w:tcPr>
            <w:tcW w:w="10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23"/>
              <w:spacing w:after="0"/>
              <w:rPr>
                <w:sz w:val="20"/>
                <w:szCs w:val="20"/>
                <w:color w:val="auto"/>
              </w:rPr>
            </w:pPr>
            <w:r>
              <w:rPr>
                <w:rFonts w:ascii="Arial" w:cs="Arial" w:eastAsia="Arial" w:hAnsi="Arial"/>
                <w:sz w:val="13"/>
                <w:szCs w:val="13"/>
                <w:color w:val="auto"/>
              </w:rPr>
              <w:t>(22,716)</w:t>
            </w:r>
          </w:p>
        </w:tc>
      </w:tr>
      <w:tr>
        <w:trPr>
          <w:trHeight w:val="145"/>
        </w:trPr>
        <w:tc>
          <w:tcPr>
            <w:tcW w:w="3620" w:type="dxa"/>
            <w:vAlign w:val="bottom"/>
          </w:tcPr>
          <w:p>
            <w:pPr>
              <w:spacing w:after="0" w:line="146" w:lineRule="exact"/>
              <w:rPr>
                <w:sz w:val="20"/>
                <w:szCs w:val="20"/>
                <w:color w:val="auto"/>
              </w:rPr>
            </w:pPr>
            <w:r>
              <w:rPr>
                <w:rFonts w:ascii="Arial" w:cs="Arial" w:eastAsia="Arial" w:hAnsi="Arial"/>
                <w:sz w:val="13"/>
                <w:szCs w:val="13"/>
                <w:color w:val="auto"/>
              </w:rPr>
              <w:t>Securities sold under repurchase agreement and short-term</w:t>
            </w:r>
          </w:p>
        </w:tc>
        <w:tc>
          <w:tcPr>
            <w:tcW w:w="1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62"/>
        </w:trPr>
        <w:tc>
          <w:tcPr>
            <w:tcW w:w="3620" w:type="dxa"/>
            <w:vAlign w:val="bottom"/>
          </w:tcPr>
          <w:p>
            <w:pPr>
              <w:spacing w:after="0"/>
              <w:rPr>
                <w:sz w:val="20"/>
                <w:szCs w:val="20"/>
                <w:color w:val="auto"/>
              </w:rPr>
            </w:pPr>
            <w:r>
              <w:rPr>
                <w:rFonts w:ascii="Arial" w:cs="Arial" w:eastAsia="Arial" w:hAnsi="Arial"/>
                <w:sz w:val="13"/>
                <w:szCs w:val="13"/>
                <w:color w:val="auto"/>
              </w:rPr>
              <w:t>borrowings and debt</w:t>
            </w:r>
          </w:p>
        </w:tc>
        <w:tc>
          <w:tcPr>
            <w:tcW w:w="120" w:type="dxa"/>
            <w:vAlign w:val="bottom"/>
          </w:tcPr>
          <w:p>
            <w:pPr>
              <w:spacing w:after="0"/>
              <w:rPr>
                <w:sz w:val="14"/>
                <w:szCs w:val="14"/>
                <w:color w:val="auto"/>
              </w:rPr>
            </w:pPr>
          </w:p>
        </w:tc>
        <w:tc>
          <w:tcPr>
            <w:tcW w:w="1020" w:type="dxa"/>
            <w:vAlign w:val="bottom"/>
            <w:gridSpan w:val="2"/>
          </w:tcPr>
          <w:p>
            <w:pPr>
              <w:jc w:val="right"/>
              <w:ind w:right="160"/>
              <w:spacing w:after="0"/>
              <w:rPr>
                <w:sz w:val="20"/>
                <w:szCs w:val="20"/>
                <w:color w:val="auto"/>
              </w:rPr>
            </w:pPr>
            <w:r>
              <w:rPr>
                <w:rFonts w:ascii="Arial" w:cs="Arial" w:eastAsia="Arial" w:hAnsi="Arial"/>
                <w:sz w:val="13"/>
                <w:szCs w:val="13"/>
                <w:color w:val="auto"/>
              </w:rPr>
              <w:t>(12,400)</w:t>
            </w:r>
          </w:p>
        </w:tc>
        <w:tc>
          <w:tcPr>
            <w:tcW w:w="80" w:type="dxa"/>
            <w:vAlign w:val="bottom"/>
          </w:tcPr>
          <w:p>
            <w:pPr>
              <w:spacing w:after="0"/>
              <w:rPr>
                <w:sz w:val="14"/>
                <w:szCs w:val="14"/>
                <w:color w:val="auto"/>
              </w:rPr>
            </w:pPr>
          </w:p>
        </w:tc>
        <w:tc>
          <w:tcPr>
            <w:tcW w:w="980" w:type="dxa"/>
            <w:vAlign w:val="bottom"/>
            <w:gridSpan w:val="2"/>
          </w:tcPr>
          <w:p>
            <w:pPr>
              <w:jc w:val="right"/>
              <w:ind w:right="43"/>
              <w:spacing w:after="0"/>
              <w:rPr>
                <w:sz w:val="20"/>
                <w:szCs w:val="20"/>
                <w:color w:val="auto"/>
              </w:rPr>
            </w:pPr>
            <w:r>
              <w:rPr>
                <w:rFonts w:ascii="Arial" w:cs="Arial" w:eastAsia="Arial" w:hAnsi="Arial"/>
                <w:sz w:val="13"/>
                <w:szCs w:val="13"/>
                <w:color w:val="auto"/>
              </w:rPr>
              <w:t>(9,574)</w:t>
            </w: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40" w:type="dxa"/>
            <w:vAlign w:val="bottom"/>
            <w:gridSpan w:val="2"/>
          </w:tcPr>
          <w:p>
            <w:pPr>
              <w:jc w:val="right"/>
              <w:ind w:right="143"/>
              <w:spacing w:after="0"/>
              <w:rPr>
                <w:sz w:val="20"/>
                <w:szCs w:val="20"/>
                <w:color w:val="auto"/>
              </w:rPr>
            </w:pPr>
            <w:r>
              <w:rPr>
                <w:rFonts w:ascii="Arial" w:cs="Arial" w:eastAsia="Arial" w:hAnsi="Arial"/>
                <w:sz w:val="13"/>
                <w:szCs w:val="13"/>
                <w:color w:val="auto"/>
              </w:rPr>
              <w:t>(21,974)</w:t>
            </w:r>
          </w:p>
        </w:tc>
        <w:tc>
          <w:tcPr>
            <w:tcW w:w="120" w:type="dxa"/>
            <w:vAlign w:val="bottom"/>
          </w:tcPr>
          <w:p>
            <w:pPr>
              <w:spacing w:after="0"/>
              <w:rPr>
                <w:sz w:val="14"/>
                <w:szCs w:val="14"/>
                <w:color w:val="auto"/>
              </w:rPr>
            </w:pPr>
          </w:p>
        </w:tc>
        <w:tc>
          <w:tcPr>
            <w:tcW w:w="940" w:type="dxa"/>
            <w:vAlign w:val="bottom"/>
            <w:gridSpan w:val="2"/>
          </w:tcPr>
          <w:p>
            <w:pPr>
              <w:jc w:val="right"/>
              <w:ind w:right="103"/>
              <w:spacing w:after="0"/>
              <w:rPr>
                <w:sz w:val="20"/>
                <w:szCs w:val="20"/>
                <w:color w:val="auto"/>
              </w:rPr>
            </w:pPr>
            <w:r>
              <w:rPr>
                <w:rFonts w:ascii="Arial" w:cs="Arial" w:eastAsia="Arial" w:hAnsi="Arial"/>
                <w:sz w:val="13"/>
                <w:szCs w:val="13"/>
                <w:color w:val="auto"/>
              </w:rPr>
              <w:t>12,472</w:t>
            </w:r>
          </w:p>
        </w:tc>
        <w:tc>
          <w:tcPr>
            <w:tcW w:w="8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040" w:type="dxa"/>
            <w:vAlign w:val="bottom"/>
            <w:gridSpan w:val="2"/>
          </w:tcPr>
          <w:p>
            <w:pPr>
              <w:jc w:val="right"/>
              <w:ind w:right="103"/>
              <w:spacing w:after="0"/>
              <w:rPr>
                <w:sz w:val="20"/>
                <w:szCs w:val="20"/>
                <w:color w:val="auto"/>
              </w:rPr>
            </w:pPr>
            <w:r>
              <w:rPr>
                <w:rFonts w:ascii="Arial" w:cs="Arial" w:eastAsia="Arial" w:hAnsi="Arial"/>
                <w:sz w:val="13"/>
                <w:szCs w:val="13"/>
                <w:color w:val="auto"/>
              </w:rPr>
              <w:t>(7,909)</w:t>
            </w:r>
          </w:p>
        </w:tc>
        <w:tc>
          <w:tcPr>
            <w:tcW w:w="100" w:type="dxa"/>
            <w:vAlign w:val="bottom"/>
          </w:tcPr>
          <w:p>
            <w:pPr>
              <w:spacing w:after="0"/>
              <w:rPr>
                <w:sz w:val="14"/>
                <w:szCs w:val="14"/>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4,563</w:t>
            </w:r>
          </w:p>
        </w:tc>
        <w:tc>
          <w:tcPr>
            <w:tcW w:w="100" w:type="dxa"/>
            <w:vAlign w:val="bottom"/>
          </w:tcPr>
          <w:p>
            <w:pPr>
              <w:spacing w:after="0"/>
              <w:rPr>
                <w:sz w:val="14"/>
                <w:szCs w:val="14"/>
                <w:color w:val="auto"/>
              </w:rPr>
            </w:pPr>
          </w:p>
        </w:tc>
      </w:tr>
      <w:tr>
        <w:trPr>
          <w:trHeight w:val="164"/>
        </w:trPr>
        <w:tc>
          <w:tcPr>
            <w:tcW w:w="3620" w:type="dxa"/>
            <w:vAlign w:val="bottom"/>
            <w:shd w:val="clear" w:color="auto" w:fill="CCEEFF"/>
          </w:tcPr>
          <w:p>
            <w:pPr>
              <w:spacing w:after="0"/>
              <w:rPr>
                <w:sz w:val="20"/>
                <w:szCs w:val="20"/>
                <w:color w:val="auto"/>
              </w:rPr>
            </w:pPr>
            <w:r>
              <w:rPr>
                <w:rFonts w:ascii="Arial" w:cs="Arial" w:eastAsia="Arial" w:hAnsi="Arial"/>
                <w:sz w:val="13"/>
                <w:szCs w:val="13"/>
                <w:color w:val="auto"/>
              </w:rPr>
              <w:t>Long-term borrowings and debt, net</w:t>
            </w:r>
          </w:p>
        </w:tc>
        <w:tc>
          <w:tcPr>
            <w:tcW w:w="120" w:type="dxa"/>
            <w:vAlign w:val="bottom"/>
            <w:shd w:val="clear" w:color="auto" w:fill="CCEEFF"/>
          </w:tcPr>
          <w:p>
            <w:pPr>
              <w:spacing w:after="0"/>
              <w:rPr>
                <w:sz w:val="14"/>
                <w:szCs w:val="14"/>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9,448</w:t>
            </w:r>
          </w:p>
        </w:tc>
        <w:tc>
          <w:tcPr>
            <w:tcW w:w="20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43"/>
              <w:spacing w:after="0"/>
              <w:rPr>
                <w:sz w:val="20"/>
                <w:szCs w:val="20"/>
                <w:color w:val="auto"/>
              </w:rPr>
            </w:pPr>
            <w:r>
              <w:rPr>
                <w:rFonts w:ascii="Arial" w:cs="Arial" w:eastAsia="Arial" w:hAnsi="Arial"/>
                <w:sz w:val="13"/>
                <w:szCs w:val="13"/>
                <w:color w:val="auto"/>
              </w:rPr>
              <w:t>(9,658)</w:t>
            </w:r>
          </w:p>
        </w:tc>
        <w:tc>
          <w:tcPr>
            <w:tcW w:w="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040" w:type="dxa"/>
            <w:vAlign w:val="bottom"/>
            <w:gridSpan w:val="2"/>
            <w:shd w:val="clear" w:color="auto" w:fill="CCEEFF"/>
          </w:tcPr>
          <w:p>
            <w:pPr>
              <w:jc w:val="right"/>
              <w:ind w:right="143"/>
              <w:spacing w:after="0"/>
              <w:rPr>
                <w:sz w:val="20"/>
                <w:szCs w:val="20"/>
                <w:color w:val="auto"/>
              </w:rPr>
            </w:pPr>
            <w:r>
              <w:rPr>
                <w:rFonts w:ascii="Arial" w:cs="Arial" w:eastAsia="Arial" w:hAnsi="Arial"/>
                <w:sz w:val="13"/>
                <w:szCs w:val="13"/>
                <w:color w:val="auto"/>
              </w:rPr>
              <w:t>(210)</w:t>
            </w:r>
          </w:p>
        </w:tc>
        <w:tc>
          <w:tcPr>
            <w:tcW w:w="120" w:type="dxa"/>
            <w:vAlign w:val="bottom"/>
            <w:shd w:val="clear" w:color="auto" w:fill="CCEEFF"/>
          </w:tcPr>
          <w:p>
            <w:pPr>
              <w:spacing w:after="0"/>
              <w:rPr>
                <w:sz w:val="14"/>
                <w:szCs w:val="14"/>
                <w:color w:val="auto"/>
              </w:rPr>
            </w:pPr>
          </w:p>
        </w:tc>
        <w:tc>
          <w:tcPr>
            <w:tcW w:w="940" w:type="dxa"/>
            <w:vAlign w:val="bottom"/>
            <w:gridSpan w:val="2"/>
            <w:shd w:val="clear" w:color="auto" w:fill="CCEEFF"/>
          </w:tcPr>
          <w:p>
            <w:pPr>
              <w:jc w:val="right"/>
              <w:ind w:right="103"/>
              <w:spacing w:after="0"/>
              <w:rPr>
                <w:sz w:val="20"/>
                <w:szCs w:val="20"/>
                <w:color w:val="auto"/>
              </w:rPr>
            </w:pPr>
            <w:r>
              <w:rPr>
                <w:rFonts w:ascii="Arial" w:cs="Arial" w:eastAsia="Arial" w:hAnsi="Arial"/>
                <w:sz w:val="13"/>
                <w:szCs w:val="13"/>
                <w:color w:val="auto"/>
              </w:rPr>
              <w:t>13,883</w:t>
            </w:r>
          </w:p>
        </w:tc>
        <w:tc>
          <w:tcPr>
            <w:tcW w:w="8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040" w:type="dxa"/>
            <w:vAlign w:val="bottom"/>
            <w:gridSpan w:val="2"/>
            <w:shd w:val="clear" w:color="auto" w:fill="CCEEFF"/>
          </w:tcPr>
          <w:p>
            <w:pPr>
              <w:jc w:val="right"/>
              <w:ind w:right="103"/>
              <w:spacing w:after="0"/>
              <w:rPr>
                <w:sz w:val="20"/>
                <w:szCs w:val="20"/>
                <w:color w:val="auto"/>
              </w:rPr>
            </w:pPr>
            <w:r>
              <w:rPr>
                <w:rFonts w:ascii="Arial" w:cs="Arial" w:eastAsia="Arial" w:hAnsi="Arial"/>
                <w:sz w:val="13"/>
                <w:szCs w:val="13"/>
                <w:color w:val="auto"/>
              </w:rPr>
              <w:t>(11,305)</w:t>
            </w:r>
          </w:p>
        </w:tc>
        <w:tc>
          <w:tcPr>
            <w:tcW w:w="100" w:type="dxa"/>
            <w:vAlign w:val="bottom"/>
            <w:shd w:val="clear" w:color="auto" w:fill="CCEEFF"/>
          </w:tcPr>
          <w:p>
            <w:pPr>
              <w:spacing w:after="0"/>
              <w:rPr>
                <w:sz w:val="14"/>
                <w:szCs w:val="14"/>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2,578</w:t>
            </w:r>
          </w:p>
        </w:tc>
        <w:tc>
          <w:tcPr>
            <w:tcW w:w="100" w:type="dxa"/>
            <w:vAlign w:val="bottom"/>
            <w:shd w:val="clear" w:color="auto" w:fill="CCEEFF"/>
          </w:tcPr>
          <w:p>
            <w:pPr>
              <w:spacing w:after="0"/>
              <w:rPr>
                <w:sz w:val="14"/>
                <w:szCs w:val="14"/>
                <w:color w:val="auto"/>
              </w:rPr>
            </w:pPr>
          </w:p>
        </w:tc>
      </w:tr>
      <w:tr>
        <w:trPr>
          <w:trHeight w:val="144"/>
        </w:trPr>
        <w:tc>
          <w:tcPr>
            <w:tcW w:w="3620" w:type="dxa"/>
            <w:vAlign w:val="bottom"/>
            <w:tcBorders>
              <w:bottom w:val="single" w:sz="8" w:color="CCEEFF"/>
            </w:tcBorders>
          </w:tcPr>
          <w:p>
            <w:pPr>
              <w:spacing w:after="0" w:line="144" w:lineRule="exact"/>
              <w:rPr>
                <w:sz w:val="20"/>
                <w:szCs w:val="20"/>
                <w:color w:val="auto"/>
              </w:rPr>
            </w:pPr>
            <w:r>
              <w:rPr>
                <w:rFonts w:ascii="Arial" w:cs="Arial" w:eastAsia="Arial" w:hAnsi="Arial"/>
                <w:sz w:val="13"/>
                <w:szCs w:val="13"/>
                <w:b w:val="1"/>
                <w:bCs w:val="1"/>
                <w:color w:val="auto"/>
              </w:rPr>
              <w:t>Total (increase) decrease</w:t>
            </w:r>
          </w:p>
        </w:tc>
        <w:tc>
          <w:tcPr>
            <w:tcW w:w="120" w:type="dxa"/>
            <w:vAlign w:val="bottom"/>
            <w:tcBorders>
              <w:top w:val="single" w:sz="8" w:color="auto"/>
              <w:bottom w:val="single" w:sz="8" w:color="auto"/>
            </w:tcBorders>
          </w:tcPr>
          <w:p>
            <w:pPr>
              <w:jc w:val="right"/>
              <w:ind w:right="12"/>
              <w:spacing w:after="0"/>
              <w:rPr>
                <w:sz w:val="20"/>
                <w:szCs w:val="20"/>
                <w:color w:val="auto"/>
              </w:rPr>
            </w:pPr>
            <w:r>
              <w:rPr>
                <w:rFonts w:ascii="Arial" w:cs="Arial" w:eastAsia="Arial" w:hAnsi="Arial"/>
                <w:sz w:val="10"/>
                <w:szCs w:val="10"/>
                <w:b w:val="1"/>
                <w:bCs w:val="1"/>
                <w:color w:val="auto"/>
                <w:w w:val="71"/>
              </w:rPr>
              <w:t>$</w:t>
            </w:r>
          </w:p>
        </w:tc>
        <w:tc>
          <w:tcPr>
            <w:tcW w:w="82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1,599</w:t>
            </w:r>
          </w:p>
        </w:tc>
        <w:tc>
          <w:tcPr>
            <w:tcW w:w="200" w:type="dxa"/>
            <w:vAlign w:val="bottom"/>
            <w:tcBorders>
              <w:bottom w:val="single" w:sz="8" w:color="CCEEFF"/>
            </w:tcBorders>
          </w:tcPr>
          <w:p>
            <w:pPr>
              <w:spacing w:after="0"/>
              <w:rPr>
                <w:sz w:val="12"/>
                <w:szCs w:val="12"/>
                <w:color w:val="auto"/>
              </w:rPr>
            </w:pPr>
          </w:p>
        </w:tc>
        <w:tc>
          <w:tcPr>
            <w:tcW w:w="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0"/>
                <w:szCs w:val="10"/>
                <w:b w:val="1"/>
                <w:bCs w:val="1"/>
                <w:color w:val="auto"/>
                <w:w w:val="71"/>
              </w:rPr>
              <w:t>$</w:t>
            </w:r>
          </w:p>
        </w:tc>
        <w:tc>
          <w:tcPr>
            <w:tcW w:w="86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(44,082)</w:t>
            </w:r>
          </w:p>
        </w:tc>
        <w:tc>
          <w:tcPr>
            <w:tcW w:w="120" w:type="dxa"/>
            <w:vAlign w:val="bottom"/>
            <w:tcBorders>
              <w:bottom w:val="single" w:sz="8" w:color="CCEEFF"/>
            </w:tcBorders>
          </w:tcPr>
          <w:p>
            <w:pPr>
              <w:spacing w:after="0"/>
              <w:rPr>
                <w:sz w:val="12"/>
                <w:szCs w:val="12"/>
                <w:color w:val="auto"/>
              </w:rPr>
            </w:pPr>
          </w:p>
        </w:tc>
        <w:tc>
          <w:tcPr>
            <w:tcW w:w="80" w:type="dxa"/>
            <w:vAlign w:val="bottom"/>
            <w:tcBorders>
              <w:bottom w:val="single" w:sz="8" w:color="CCEEFF"/>
            </w:tcBorders>
          </w:tcPr>
          <w:p>
            <w:pPr>
              <w:spacing w:after="0"/>
              <w:rPr>
                <w:sz w:val="12"/>
                <w:szCs w:val="12"/>
                <w:color w:val="auto"/>
              </w:rPr>
            </w:pPr>
          </w:p>
        </w:tc>
        <w:tc>
          <w:tcPr>
            <w:tcW w:w="12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w w:val="82"/>
              </w:rPr>
              <w:t>$</w:t>
            </w:r>
          </w:p>
        </w:tc>
        <w:tc>
          <w:tcPr>
            <w:tcW w:w="82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(42,483)</w:t>
            </w:r>
          </w:p>
        </w:tc>
        <w:tc>
          <w:tcPr>
            <w:tcW w:w="220" w:type="dxa"/>
            <w:vAlign w:val="bottom"/>
            <w:tcBorders>
              <w:bottom w:val="single" w:sz="8" w:color="CCEEFF"/>
            </w:tcBorders>
          </w:tcPr>
          <w:p>
            <w:pPr>
              <w:spacing w:after="0"/>
              <w:rPr>
                <w:sz w:val="12"/>
                <w:szCs w:val="12"/>
                <w:color w:val="auto"/>
              </w:rPr>
            </w:pPr>
          </w:p>
        </w:tc>
        <w:tc>
          <w:tcPr>
            <w:tcW w:w="120" w:type="dxa"/>
            <w:vAlign w:val="bottom"/>
            <w:tcBorders>
              <w:top w:val="single" w:sz="8" w:color="auto"/>
              <w:bottom w:val="single" w:sz="8" w:color="auto"/>
            </w:tcBorders>
          </w:tcPr>
          <w:p>
            <w:pPr>
              <w:jc w:val="right"/>
              <w:ind w:right="12"/>
              <w:spacing w:after="0"/>
              <w:rPr>
                <w:sz w:val="20"/>
                <w:szCs w:val="20"/>
                <w:color w:val="auto"/>
              </w:rPr>
            </w:pPr>
            <w:r>
              <w:rPr>
                <w:rFonts w:ascii="Arial" w:cs="Arial" w:eastAsia="Arial" w:hAnsi="Arial"/>
                <w:sz w:val="10"/>
                <w:szCs w:val="10"/>
                <w:b w:val="1"/>
                <w:bCs w:val="1"/>
                <w:color w:val="auto"/>
                <w:w w:val="71"/>
              </w:rPr>
              <w:t>$</w:t>
            </w:r>
          </w:p>
        </w:tc>
        <w:tc>
          <w:tcPr>
            <w:tcW w:w="80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25,154</w:t>
            </w:r>
          </w:p>
        </w:tc>
        <w:tc>
          <w:tcPr>
            <w:tcW w:w="140" w:type="dxa"/>
            <w:vAlign w:val="bottom"/>
            <w:tcBorders>
              <w:bottom w:val="single" w:sz="8" w:color="CCEEFF"/>
            </w:tcBorders>
          </w:tcPr>
          <w:p>
            <w:pPr>
              <w:spacing w:after="0"/>
              <w:rPr>
                <w:sz w:val="12"/>
                <w:szCs w:val="12"/>
                <w:color w:val="auto"/>
              </w:rPr>
            </w:pPr>
          </w:p>
        </w:tc>
        <w:tc>
          <w:tcPr>
            <w:tcW w:w="80" w:type="dxa"/>
            <w:vAlign w:val="bottom"/>
            <w:tcBorders>
              <w:bottom w:val="single" w:sz="8" w:color="CCEEFF"/>
            </w:tcBorders>
          </w:tcPr>
          <w:p>
            <w:pPr>
              <w:spacing w:after="0"/>
              <w:rPr>
                <w:sz w:val="12"/>
                <w:szCs w:val="12"/>
                <w:color w:val="auto"/>
              </w:rPr>
            </w:pPr>
          </w:p>
        </w:tc>
        <w:tc>
          <w:tcPr>
            <w:tcW w:w="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0"/>
                <w:szCs w:val="10"/>
                <w:b w:val="1"/>
                <w:bCs w:val="1"/>
                <w:color w:val="auto"/>
                <w:w w:val="71"/>
              </w:rPr>
              <w:t>$</w:t>
            </w:r>
          </w:p>
        </w:tc>
        <w:tc>
          <w:tcPr>
            <w:tcW w:w="86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(40,730)</w:t>
            </w:r>
          </w:p>
        </w:tc>
        <w:tc>
          <w:tcPr>
            <w:tcW w:w="180" w:type="dxa"/>
            <w:vAlign w:val="bottom"/>
            <w:tcBorders>
              <w:bottom w:val="single" w:sz="8" w:color="CCEEFF"/>
            </w:tcBorders>
          </w:tcPr>
          <w:p>
            <w:pPr>
              <w:spacing w:after="0"/>
              <w:rPr>
                <w:sz w:val="12"/>
                <w:szCs w:val="12"/>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0"/>
                <w:szCs w:val="10"/>
                <w:b w:val="1"/>
                <w:bCs w:val="1"/>
                <w:color w:val="auto"/>
                <w:w w:val="71"/>
              </w:rPr>
              <w:t>$</w:t>
            </w:r>
          </w:p>
        </w:tc>
        <w:tc>
          <w:tcPr>
            <w:tcW w:w="82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(15,575)</w:t>
            </w:r>
          </w:p>
        </w:tc>
        <w:tc>
          <w:tcPr>
            <w:tcW w:w="100" w:type="dxa"/>
            <w:vAlign w:val="bottom"/>
            <w:tcBorders>
              <w:bottom w:val="single" w:sz="8" w:color="CCEEFF"/>
            </w:tcBorders>
          </w:tcPr>
          <w:p>
            <w:pPr>
              <w:spacing w:after="0"/>
              <w:rPr>
                <w:sz w:val="12"/>
                <w:szCs w:val="12"/>
                <w:color w:val="auto"/>
              </w:rPr>
            </w:pPr>
          </w:p>
        </w:tc>
      </w:tr>
      <w:tr>
        <w:trPr>
          <w:trHeight w:val="162"/>
        </w:trPr>
        <w:tc>
          <w:tcPr>
            <w:tcW w:w="3620" w:type="dxa"/>
            <w:vAlign w:val="bottom"/>
            <w:tcBorders>
              <w:bottom w:val="single" w:sz="8" w:color="CCEEFF"/>
            </w:tcBorders>
            <w:shd w:val="clear" w:color="auto" w:fill="CCEEFF"/>
          </w:tcPr>
          <w:p>
            <w:pPr>
              <w:spacing w:after="0" w:line="146" w:lineRule="exact"/>
              <w:rPr>
                <w:sz w:val="20"/>
                <w:szCs w:val="20"/>
                <w:color w:val="auto"/>
              </w:rPr>
            </w:pPr>
            <w:r>
              <w:rPr>
                <w:rFonts w:ascii="Arial" w:cs="Arial" w:eastAsia="Arial" w:hAnsi="Arial"/>
                <w:sz w:val="13"/>
                <w:szCs w:val="13"/>
                <w:b w:val="1"/>
                <w:bCs w:val="1"/>
                <w:color w:val="auto"/>
              </w:rPr>
              <w:t>Increase (decrease) in net interest income</w:t>
            </w:r>
          </w:p>
        </w:tc>
        <w:tc>
          <w:tcPr>
            <w:tcW w:w="120" w:type="dxa"/>
            <w:vAlign w:val="bottom"/>
            <w:tcBorders>
              <w:bottom w:val="single" w:sz="8" w:color="auto"/>
            </w:tcBorders>
            <w:shd w:val="clear" w:color="auto" w:fill="CCEEFF"/>
          </w:tcPr>
          <w:p>
            <w:pPr>
              <w:jc w:val="right"/>
              <w:ind w:right="12"/>
              <w:spacing w:after="0"/>
              <w:rPr>
                <w:sz w:val="20"/>
                <w:szCs w:val="20"/>
                <w:color w:val="auto"/>
              </w:rPr>
            </w:pPr>
            <w:r>
              <w:rPr>
                <w:rFonts w:ascii="Arial" w:cs="Arial" w:eastAsia="Arial" w:hAnsi="Arial"/>
                <w:sz w:val="10"/>
                <w:szCs w:val="10"/>
                <w:b w:val="1"/>
                <w:bCs w:val="1"/>
                <w:color w:val="auto"/>
                <w:w w:val="71"/>
              </w:rPr>
              <w:t>$</w:t>
            </w:r>
          </w:p>
        </w:tc>
        <w:tc>
          <w:tcPr>
            <w:tcW w:w="8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1,187</w:t>
            </w:r>
          </w:p>
        </w:tc>
        <w:tc>
          <w:tcPr>
            <w:tcW w:w="200" w:type="dxa"/>
            <w:vAlign w:val="bottom"/>
            <w:tcBorders>
              <w:bottom w:val="single" w:sz="8" w:color="CCEEFF"/>
            </w:tcBorders>
            <w:shd w:val="clear" w:color="auto" w:fill="CCEEFF"/>
          </w:tcPr>
          <w:p>
            <w:pPr>
              <w:spacing w:after="0"/>
              <w:rPr>
                <w:sz w:val="14"/>
                <w:szCs w:val="14"/>
                <w:color w:val="auto"/>
              </w:rPr>
            </w:pPr>
          </w:p>
        </w:tc>
        <w:tc>
          <w:tcPr>
            <w:tcW w:w="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0"/>
                <w:szCs w:val="10"/>
                <w:b w:val="1"/>
                <w:bCs w:val="1"/>
                <w:color w:val="auto"/>
                <w:w w:val="71"/>
              </w:rPr>
              <w:t>$</w:t>
            </w:r>
          </w:p>
        </w:tc>
        <w:tc>
          <w:tcPr>
            <w:tcW w:w="8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(11,259</w:t>
            </w:r>
          </w:p>
        </w:tc>
        <w:tc>
          <w:tcPr>
            <w:tcW w:w="120" w:type="dxa"/>
            <w:vAlign w:val="bottom"/>
            <w:tcBorders>
              <w:bottom w:val="single" w:sz="8" w:color="CCEEFF"/>
            </w:tcBorders>
            <w:shd w:val="clear" w:color="auto" w:fill="CCEEFF"/>
          </w:tcPr>
          <w:p>
            <w:pPr>
              <w:jc w:val="right"/>
              <w:ind w:right="43"/>
              <w:spacing w:after="0"/>
              <w:rPr>
                <w:sz w:val="20"/>
                <w:szCs w:val="20"/>
                <w:color w:val="auto"/>
              </w:rPr>
            </w:pPr>
            <w:r>
              <w:rPr>
                <w:rFonts w:ascii="Arial" w:cs="Arial" w:eastAsia="Arial" w:hAnsi="Arial"/>
                <w:sz w:val="7"/>
                <w:szCs w:val="7"/>
                <w:b w:val="1"/>
                <w:bCs w:val="1"/>
                <w:color w:val="auto"/>
                <w:w w:val="83"/>
              </w:rPr>
              <w:t>)</w:t>
            </w:r>
          </w:p>
        </w:tc>
        <w:tc>
          <w:tcPr>
            <w:tcW w:w="80" w:type="dxa"/>
            <w:vAlign w:val="bottom"/>
            <w:tcBorders>
              <w:bottom w:val="single" w:sz="8" w:color="CCEEFF"/>
            </w:tcBorders>
            <w:shd w:val="clear" w:color="auto" w:fill="CCEEFF"/>
          </w:tcPr>
          <w:p>
            <w:pPr>
              <w:spacing w:after="0"/>
              <w:rPr>
                <w:sz w:val="14"/>
                <w:szCs w:val="14"/>
                <w:color w:val="auto"/>
              </w:rPr>
            </w:pPr>
          </w:p>
        </w:tc>
        <w:tc>
          <w:tcPr>
            <w:tcW w:w="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w w:val="82"/>
              </w:rPr>
              <w:t>$</w:t>
            </w:r>
          </w:p>
        </w:tc>
        <w:tc>
          <w:tcPr>
            <w:tcW w:w="8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(10,072</w:t>
            </w:r>
          </w:p>
        </w:tc>
        <w:tc>
          <w:tcPr>
            <w:tcW w:w="220" w:type="dxa"/>
            <w:vAlign w:val="bottom"/>
            <w:tcBorders>
              <w:bottom w:val="single" w:sz="8" w:color="CCEEFF"/>
            </w:tcBorders>
            <w:shd w:val="clear" w:color="auto" w:fill="CCEEFF"/>
          </w:tcPr>
          <w:p>
            <w:pPr>
              <w:jc w:val="right"/>
              <w:ind w:right="143"/>
              <w:spacing w:after="0"/>
              <w:rPr>
                <w:sz w:val="20"/>
                <w:szCs w:val="20"/>
                <w:color w:val="auto"/>
              </w:rPr>
            </w:pPr>
            <w:r>
              <w:rPr>
                <w:rFonts w:ascii="Arial" w:cs="Arial" w:eastAsia="Arial" w:hAnsi="Arial"/>
                <w:sz w:val="7"/>
                <w:szCs w:val="7"/>
                <w:b w:val="1"/>
                <w:bCs w:val="1"/>
                <w:color w:val="auto"/>
                <w:w w:val="83"/>
              </w:rPr>
              <w:t>)</w:t>
            </w:r>
          </w:p>
        </w:tc>
        <w:tc>
          <w:tcPr>
            <w:tcW w:w="120" w:type="dxa"/>
            <w:vAlign w:val="bottom"/>
            <w:tcBorders>
              <w:bottom w:val="single" w:sz="8" w:color="auto"/>
            </w:tcBorders>
            <w:shd w:val="clear" w:color="auto" w:fill="CCEEFF"/>
          </w:tcPr>
          <w:p>
            <w:pPr>
              <w:jc w:val="right"/>
              <w:ind w:right="12"/>
              <w:spacing w:after="0"/>
              <w:rPr>
                <w:sz w:val="20"/>
                <w:szCs w:val="20"/>
                <w:color w:val="auto"/>
              </w:rPr>
            </w:pPr>
            <w:r>
              <w:rPr>
                <w:rFonts w:ascii="Arial" w:cs="Arial" w:eastAsia="Arial" w:hAnsi="Arial"/>
                <w:sz w:val="10"/>
                <w:szCs w:val="10"/>
                <w:b w:val="1"/>
                <w:bCs w:val="1"/>
                <w:color w:val="auto"/>
                <w:w w:val="71"/>
              </w:rPr>
              <w:t>$</w:t>
            </w:r>
          </w:p>
        </w:tc>
        <w:tc>
          <w:tcPr>
            <w:tcW w:w="8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(13,672</w:t>
            </w:r>
          </w:p>
        </w:tc>
        <w:tc>
          <w:tcPr>
            <w:tcW w:w="140" w:type="dxa"/>
            <w:vAlign w:val="bottom"/>
            <w:tcBorders>
              <w:bottom w:val="single" w:sz="8" w:color="CCEEFF"/>
            </w:tcBorders>
            <w:shd w:val="clear" w:color="auto" w:fill="CCEEFF"/>
          </w:tcPr>
          <w:p>
            <w:pPr>
              <w:jc w:val="right"/>
              <w:ind w:right="63"/>
              <w:spacing w:after="0"/>
              <w:rPr>
                <w:sz w:val="20"/>
                <w:szCs w:val="20"/>
                <w:color w:val="auto"/>
              </w:rPr>
            </w:pPr>
            <w:r>
              <w:rPr>
                <w:rFonts w:ascii="Arial" w:cs="Arial" w:eastAsia="Arial" w:hAnsi="Arial"/>
                <w:sz w:val="7"/>
                <w:szCs w:val="7"/>
                <w:b w:val="1"/>
                <w:bCs w:val="1"/>
                <w:color w:val="auto"/>
                <w:w w:val="83"/>
              </w:rPr>
              <w:t>)</w:t>
            </w:r>
          </w:p>
        </w:tc>
        <w:tc>
          <w:tcPr>
            <w:tcW w:w="80" w:type="dxa"/>
            <w:vAlign w:val="bottom"/>
            <w:tcBorders>
              <w:bottom w:val="single" w:sz="8" w:color="CCEEFF"/>
            </w:tcBorders>
            <w:shd w:val="clear" w:color="auto" w:fill="CCEEFF"/>
          </w:tcPr>
          <w:p>
            <w:pPr>
              <w:spacing w:after="0"/>
              <w:rPr>
                <w:sz w:val="14"/>
                <w:szCs w:val="14"/>
                <w:color w:val="auto"/>
              </w:rPr>
            </w:pPr>
          </w:p>
        </w:tc>
        <w:tc>
          <w:tcPr>
            <w:tcW w:w="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0"/>
                <w:szCs w:val="10"/>
                <w:b w:val="1"/>
                <w:bCs w:val="1"/>
                <w:color w:val="auto"/>
                <w:w w:val="71"/>
              </w:rPr>
              <w:t>$</w:t>
            </w:r>
          </w:p>
        </w:tc>
        <w:tc>
          <w:tcPr>
            <w:tcW w:w="8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(21,723</w:t>
            </w:r>
          </w:p>
        </w:tc>
        <w:tc>
          <w:tcPr>
            <w:tcW w:w="180" w:type="dxa"/>
            <w:vAlign w:val="bottom"/>
            <w:tcBorders>
              <w:bottom w:val="single" w:sz="8" w:color="CCEEFF"/>
            </w:tcBorders>
            <w:shd w:val="clear" w:color="auto" w:fill="CCEEFF"/>
          </w:tcPr>
          <w:p>
            <w:pPr>
              <w:jc w:val="right"/>
              <w:ind w:right="103"/>
              <w:spacing w:after="0"/>
              <w:rPr>
                <w:sz w:val="20"/>
                <w:szCs w:val="20"/>
                <w:color w:val="auto"/>
              </w:rPr>
            </w:pPr>
            <w:r>
              <w:rPr>
                <w:rFonts w:ascii="Arial" w:cs="Arial" w:eastAsia="Arial" w:hAnsi="Arial"/>
                <w:sz w:val="7"/>
                <w:szCs w:val="7"/>
                <w:b w:val="1"/>
                <w:bCs w:val="1"/>
                <w:color w:val="auto"/>
                <w:w w:val="83"/>
              </w:rPr>
              <w:t>)</w:t>
            </w:r>
          </w:p>
        </w:tc>
        <w:tc>
          <w:tcPr>
            <w:tcW w:w="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0"/>
                <w:szCs w:val="10"/>
                <w:b w:val="1"/>
                <w:bCs w:val="1"/>
                <w:color w:val="auto"/>
                <w:w w:val="71"/>
              </w:rPr>
              <w:t>$</w:t>
            </w:r>
          </w:p>
        </w:tc>
        <w:tc>
          <w:tcPr>
            <w:tcW w:w="8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(35,394</w:t>
            </w:r>
          </w:p>
        </w:tc>
        <w:tc>
          <w:tcPr>
            <w:tcW w:w="100" w:type="dxa"/>
            <w:vAlign w:val="bottom"/>
            <w:tcBorders>
              <w:bottom w:val="single" w:sz="8" w:color="CCEEFF"/>
            </w:tcBorders>
            <w:shd w:val="clear" w:color="auto" w:fill="CCEEFF"/>
          </w:tcPr>
          <w:p>
            <w:pPr>
              <w:jc w:val="right"/>
              <w:ind w:right="23"/>
              <w:spacing w:after="0"/>
              <w:rPr>
                <w:sz w:val="20"/>
                <w:szCs w:val="20"/>
                <w:color w:val="auto"/>
              </w:rPr>
            </w:pPr>
            <w:r>
              <w:rPr>
                <w:rFonts w:ascii="Arial" w:cs="Arial" w:eastAsia="Arial" w:hAnsi="Arial"/>
                <w:sz w:val="7"/>
                <w:szCs w:val="7"/>
                <w:b w:val="1"/>
                <w:bCs w:val="1"/>
                <w:color w:val="auto"/>
                <w:w w:val="83"/>
              </w:rPr>
              <w:t>)</w:t>
            </w:r>
          </w:p>
        </w:tc>
      </w:tr>
    </w:tbl>
    <w:p>
      <w:pPr>
        <w:spacing w:after="0" w:line="145" w:lineRule="exact"/>
        <w:rPr>
          <w:sz w:val="20"/>
          <w:szCs w:val="20"/>
          <w:color w:val="auto"/>
        </w:rPr>
      </w:pPr>
    </w:p>
    <w:p>
      <w:pPr>
        <w:ind w:left="223" w:right="20" w:hanging="223"/>
        <w:spacing w:after="0" w:line="194" w:lineRule="auto"/>
        <w:tabs>
          <w:tab w:leader="none" w:pos="223" w:val="left"/>
        </w:tabs>
        <w:numPr>
          <w:ilvl w:val="0"/>
          <w:numId w:val="25"/>
        </w:numPr>
        <w:rPr>
          <w:rFonts w:ascii="Arial" w:cs="Arial" w:eastAsia="Arial" w:hAnsi="Arial"/>
          <w:sz w:val="21"/>
          <w:szCs w:val="21"/>
          <w:color w:val="auto"/>
          <w:vertAlign w:val="superscript"/>
        </w:rPr>
      </w:pPr>
      <w:r>
        <w:rPr>
          <w:rFonts w:ascii="Arial" w:cs="Arial" w:eastAsia="Arial" w:hAnsi="Arial"/>
          <w:sz w:val="13"/>
          <w:szCs w:val="13"/>
          <w:color w:val="auto"/>
        </w:rPr>
        <w:t>Volume variation effect in net interest income is calculated by multiplying the difference in average volumes by the current year’s average yield. Rate variation effect in net interest income is calculated by multiplying the difference in average yield by the prior year’s average volume.</w:t>
      </w:r>
    </w:p>
    <w:p>
      <w:pPr>
        <w:spacing w:after="0" w:line="146"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Interest Income Variation</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i w:val="1"/>
          <w:iCs w:val="1"/>
          <w:u w:val="single" w:color="auto"/>
          <w:color w:val="auto"/>
        </w:rPr>
        <w:t>2018 vs. 2017</w:t>
      </w:r>
    </w:p>
    <w:p>
      <w:pPr>
        <w:spacing w:after="0" w:line="159" w:lineRule="exact"/>
        <w:rPr>
          <w:sz w:val="20"/>
          <w:szCs w:val="20"/>
          <w:color w:val="auto"/>
        </w:rPr>
      </w:pPr>
    </w:p>
    <w:p>
      <w:pPr>
        <w:jc w:val="both"/>
        <w:ind w:left="3"/>
        <w:spacing w:after="0" w:line="278" w:lineRule="auto"/>
        <w:rPr>
          <w:sz w:val="20"/>
          <w:szCs w:val="20"/>
          <w:color w:val="auto"/>
        </w:rPr>
      </w:pPr>
      <w:r>
        <w:rPr>
          <w:rFonts w:ascii="Arial" w:cs="Arial" w:eastAsia="Arial" w:hAnsi="Arial"/>
          <w:sz w:val="12"/>
          <w:szCs w:val="12"/>
          <w:color w:val="auto"/>
        </w:rPr>
        <w:t>For the year ended December 31, 2018, the Bank’s interest income totaled $258.5 million, compared to $226.1 million during the year ended December 31, 2017. The $32.4 million, or 14% increase in interest income during 2018 was primarily attributable to (i) a $24.7 million increase in rate-driven interest income on loans, mostly resulting from a 43 basis points increase in average lending rates to 4.26% attributable to an increase in market rates, as the Bank generally prices its loans based on short-term LIBOR rates plus a credit spread – which in turn experienced a downward trend due to the Bank’s increased lending to higher quality borrowers such as financial institutions, sovereign and state-owned entities, and exporting corporations with US dollar generation capacity, partly offsetting the overall lending rate increase; and (ii) a $7.8 million increase in rate-driven interest income on deposit placements, also mostly attributable to market rate increases, resulting in an 85 basis points increase in interest yields on deposit placements to 1.96%.</w:t>
      </w:r>
    </w:p>
    <w:p>
      <w:pPr>
        <w:spacing w:after="0" w:line="125" w:lineRule="exact"/>
        <w:rPr>
          <w:sz w:val="20"/>
          <w:szCs w:val="20"/>
          <w:color w:val="auto"/>
        </w:rPr>
      </w:pPr>
    </w:p>
    <w:p>
      <w:pPr>
        <w:ind w:left="3"/>
        <w:spacing w:after="0"/>
        <w:rPr>
          <w:sz w:val="20"/>
          <w:szCs w:val="20"/>
          <w:color w:val="auto"/>
        </w:rPr>
      </w:pPr>
      <w:r>
        <w:rPr>
          <w:rFonts w:ascii="Arial" w:cs="Arial" w:eastAsia="Arial" w:hAnsi="Arial"/>
          <w:sz w:val="13"/>
          <w:szCs w:val="13"/>
          <w:i w:val="1"/>
          <w:iCs w:val="1"/>
          <w:u w:val="single" w:color="auto"/>
          <w:color w:val="auto"/>
        </w:rPr>
        <w:t>2017 vs. 2016</w:t>
      </w:r>
    </w:p>
    <w:p>
      <w:pPr>
        <w:spacing w:after="0" w:line="159" w:lineRule="exact"/>
        <w:rPr>
          <w:sz w:val="20"/>
          <w:szCs w:val="20"/>
          <w:color w:val="auto"/>
        </w:rPr>
      </w:pPr>
    </w:p>
    <w:p>
      <w:pPr>
        <w:jc w:val="both"/>
        <w:ind w:left="3"/>
        <w:spacing w:after="0" w:line="314" w:lineRule="auto"/>
        <w:rPr>
          <w:sz w:val="20"/>
          <w:szCs w:val="20"/>
          <w:color w:val="auto"/>
        </w:rPr>
      </w:pPr>
      <w:r>
        <w:rPr>
          <w:rFonts w:ascii="Arial" w:cs="Arial" w:eastAsia="Arial" w:hAnsi="Arial"/>
          <w:sz w:val="11"/>
          <w:szCs w:val="11"/>
          <w:color w:val="auto"/>
        </w:rPr>
        <w:t>For the year ended December 31, 2017, the Bank’s interest income totaled $226.1 million, compared to $245.9 million during the year ended December 31, 2016. The $19.8 million, or 8% decrease in interest income during 2017 was mainly attributable to a volume-driven $36.4 million decrease in interest income on loans as a result of a $923 million or 14% decrease in average loan balances, as the Bank improved its portfolio risk profile by reducing unwanted exposures to certain countries, industries and clients, along with increasing its focus on short-term lending. This effect was partially offset by upward repricing on LIBOR-based market rates, positively impacting lending rates by 21 basis points to 3.83%, as well as rates on deposit placements which increased by 59 basis points to 1.11%, generating a total earning-assets rate-driven interest income increase of $19.0 million.</w:t>
      </w:r>
    </w:p>
    <w:p>
      <w:pPr>
        <w:spacing w:after="0" w:line="108"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Interest Expense Variation</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i w:val="1"/>
          <w:iCs w:val="1"/>
          <w:u w:val="single" w:color="auto"/>
          <w:color w:val="auto"/>
        </w:rPr>
        <w:t>2018 vs. 2017</w:t>
      </w:r>
    </w:p>
    <w:p>
      <w:pPr>
        <w:spacing w:after="0" w:line="159" w:lineRule="exact"/>
        <w:rPr>
          <w:sz w:val="20"/>
          <w:szCs w:val="20"/>
          <w:color w:val="auto"/>
        </w:rPr>
      </w:pPr>
    </w:p>
    <w:p>
      <w:pPr>
        <w:jc w:val="both"/>
        <w:ind w:left="3" w:right="20"/>
        <w:spacing w:after="0" w:line="257" w:lineRule="auto"/>
        <w:rPr>
          <w:sz w:val="20"/>
          <w:szCs w:val="20"/>
          <w:color w:val="auto"/>
        </w:rPr>
      </w:pPr>
      <w:r>
        <w:rPr>
          <w:rFonts w:ascii="Arial" w:cs="Arial" w:eastAsia="Arial" w:hAnsi="Arial"/>
          <w:sz w:val="13"/>
          <w:szCs w:val="13"/>
          <w:color w:val="auto"/>
        </w:rPr>
        <w:t>The Bank recorded an annual increase in interest expense of $42.5 million, or 40% from $106.3 million in 2017 to $148.7 million in 2018. This increase was primarily the result of a $44.1 million rate-driven increase in interest expense for total interest-bearing liabilities, attributable to the upward repricing on LIBOR-based market rates. Overall, the average interest rate paid on interest-bearing liabilities increased from 1.95% in 2017 to 2.76% in 2018.</w:t>
      </w:r>
    </w:p>
    <w:p>
      <w:pPr>
        <w:spacing w:after="0" w:line="284"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47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95" w:right="199" w:bottom="1440" w:gutter="0" w:footer="0" w:header="0"/>
        </w:sectPr>
      </w:pPr>
    </w:p>
    <w:bookmarkStart w:id="49" w:name="page50"/>
    <w:bookmarkEnd w:id="49"/>
    <w:p>
      <w:pPr>
        <w:spacing w:after="0"/>
        <w:rPr>
          <w:sz w:val="20"/>
          <w:szCs w:val="20"/>
          <w:color w:val="auto"/>
        </w:rPr>
      </w:pPr>
      <w:r>
        <w:rPr>
          <w:rFonts w:ascii="Arial" w:cs="Arial" w:eastAsia="Arial" w:hAnsi="Arial"/>
          <w:sz w:val="13"/>
          <w:szCs w:val="13"/>
          <w:i w:val="1"/>
          <w:iCs w:val="1"/>
          <w:u w:val="single" w:color="auto"/>
          <w:color w:val="auto"/>
        </w:rPr>
        <w:t>2017 vs. 2016</w:t>
      </w:r>
    </w:p>
    <w:p>
      <w:pPr>
        <w:spacing w:after="0" w:line="159"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The Bank recorded an annual increase in interest expense of $15.6 million, or 17%, from $90.7 million in 2016 to $106.3 million in 2017. This increase was mainly attributable to a $40.7 million rate-driven increase in interest expense on total interest-bearing liabilities associated with higher LIBOR-based market rates, driving a 56 basis points increase in the average interest rate paid on interest-bearing liabilities to 1.95% in 2017. This increase was partially offset by a $25.2 million decrease in volume-driven interest expense associated with lower average volumes of interest-bearing liabilities, which decreased by 16% in 2017, due to lower funding requirements resulting from reduced average loan balances.</w:t>
      </w:r>
    </w:p>
    <w:p>
      <w:pPr>
        <w:spacing w:after="0" w:line="137"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Net Interest Income Variation</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i w:val="1"/>
          <w:iCs w:val="1"/>
          <w:u w:val="single" w:color="auto"/>
          <w:color w:val="auto"/>
        </w:rPr>
        <w:t>2018 vs. 2017</w:t>
      </w:r>
    </w:p>
    <w:p>
      <w:pPr>
        <w:spacing w:after="0" w:line="159" w:lineRule="exact"/>
        <w:rPr>
          <w:sz w:val="20"/>
          <w:szCs w:val="20"/>
          <w:color w:val="auto"/>
        </w:rPr>
      </w:pPr>
    </w:p>
    <w:p>
      <w:pPr>
        <w:jc w:val="both"/>
        <w:spacing w:after="0" w:line="281" w:lineRule="auto"/>
        <w:rPr>
          <w:sz w:val="20"/>
          <w:szCs w:val="20"/>
          <w:color w:val="auto"/>
        </w:rPr>
      </w:pPr>
      <w:r>
        <w:rPr>
          <w:rFonts w:ascii="Arial" w:cs="Arial" w:eastAsia="Arial" w:hAnsi="Arial"/>
          <w:sz w:val="12"/>
          <w:szCs w:val="12"/>
          <w:color w:val="auto"/>
        </w:rPr>
        <w:t>For the year ended December 31, 2018, the Bank’s net interest income totaled $109.7 million, compared to $119.8 million during the year ended December 31, 2017. The $10.1 million, or 8% decrease in net interest income during 2018 was mainly attributable to a 14 basis point decline in Net Interest Margin (“NIM”). The decrease in NIM relates to narrower net lending spreads due to the origination of higher quality loans in 2018. Lower lending spreads were partly offset by the net positive effect of an increasing interest rate environment on the repricing of the Bank’s assets and liabilities. Due to the short-term nature of its loan portfolio, the Bank maintains a narrow interest rate gap structure and is able to pass along LIBOR-based market rates increases in its funding to its asset base.</w:t>
      </w:r>
    </w:p>
    <w:p>
      <w:pPr>
        <w:spacing w:after="0" w:line="124" w:lineRule="exact"/>
        <w:rPr>
          <w:sz w:val="20"/>
          <w:szCs w:val="20"/>
          <w:color w:val="auto"/>
        </w:rPr>
      </w:pPr>
    </w:p>
    <w:p>
      <w:pPr>
        <w:spacing w:after="0"/>
        <w:rPr>
          <w:sz w:val="20"/>
          <w:szCs w:val="20"/>
          <w:color w:val="auto"/>
        </w:rPr>
      </w:pPr>
      <w:r>
        <w:rPr>
          <w:rFonts w:ascii="Arial" w:cs="Arial" w:eastAsia="Arial" w:hAnsi="Arial"/>
          <w:sz w:val="13"/>
          <w:szCs w:val="13"/>
          <w:i w:val="1"/>
          <w:iCs w:val="1"/>
          <w:u w:val="single" w:color="auto"/>
          <w:color w:val="auto"/>
        </w:rPr>
        <w:t>2017 vs. 2016</w:t>
      </w:r>
    </w:p>
    <w:p>
      <w:pPr>
        <w:spacing w:after="0" w:line="159" w:lineRule="exact"/>
        <w:rPr>
          <w:sz w:val="20"/>
          <w:szCs w:val="20"/>
          <w:color w:val="auto"/>
        </w:rPr>
      </w:pPr>
    </w:p>
    <w:p>
      <w:pPr>
        <w:jc w:val="both"/>
        <w:spacing w:after="0" w:line="309" w:lineRule="auto"/>
        <w:rPr>
          <w:sz w:val="20"/>
          <w:szCs w:val="20"/>
          <w:color w:val="auto"/>
        </w:rPr>
      </w:pPr>
      <w:r>
        <w:rPr>
          <w:rFonts w:ascii="Arial" w:cs="Arial" w:eastAsia="Arial" w:hAnsi="Arial"/>
          <w:sz w:val="11"/>
          <w:szCs w:val="11"/>
          <w:color w:val="auto"/>
        </w:rPr>
        <w:t>For the year ended December 31, 2017, the Bank’s net interest income reached $119.8 million, compared to $155.2 million during the year ended December 31, 2016. The $35.4 million, or 23% decrease in net interest income during 2017 was mostly impacted by: (i) lower average loan volumes, as the Bank improved its portfolio risk profile by reducing unwanted exposures to certain countries, industries and clients, along with increasing its focus on short-term lending, and (ii) tighter lending spreads from shortened average tenors combined with pricing pressures from increased levels of U.S. dollar liquidity, while the Bank prioritized adequate risk-return pricing over volume growth. These effects were partially offset by: (i) upward repricing on LIBOR-based market rates, which impacted both the earning-assets side and the financial liabilities side due to the Bank’s short-tenor interest rate gap structure, and (ii) lower spreads on its funding, as the Bank continued to benefit from the flight to quality trend among global funding sources, given the negative credit cycle in the Region.</w:t>
      </w:r>
    </w:p>
    <w:p>
      <w:pPr>
        <w:spacing w:after="0" w:line="110"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Distribution of Assets, Liabilities and Equity; Interest Rates and Differentials</w:t>
      </w:r>
    </w:p>
    <w:p>
      <w:pPr>
        <w:spacing w:after="0" w:line="159" w:lineRule="exact"/>
        <w:rPr>
          <w:sz w:val="20"/>
          <w:szCs w:val="20"/>
          <w:color w:val="auto"/>
        </w:rPr>
      </w:pPr>
    </w:p>
    <w:p>
      <w:pPr>
        <w:jc w:val="both"/>
        <w:spacing w:after="0" w:line="310" w:lineRule="auto"/>
        <w:rPr>
          <w:sz w:val="20"/>
          <w:szCs w:val="20"/>
          <w:color w:val="auto"/>
        </w:rPr>
      </w:pPr>
      <w:r>
        <w:rPr>
          <w:rFonts w:ascii="Arial" w:cs="Arial" w:eastAsia="Arial" w:hAnsi="Arial"/>
          <w:sz w:val="12"/>
          <w:szCs w:val="12"/>
          <w:color w:val="auto"/>
        </w:rPr>
        <w:t>The following table presents the distribution of consolidated average assets, liabilities and equity, as well as the total dollar amounts of interest income from average interest-earning assets and the resulting yields, the dollar amounts of interest expense and average interest-bearing liabilities, and corresponding information regarding rates. Average balances have been computed on the basis of average daily average balances:</w:t>
      </w:r>
    </w:p>
    <w:p>
      <w:pPr>
        <w:spacing w:after="0" w:line="254"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48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89" w:right="219" w:bottom="1440" w:gutter="0" w:footer="0" w:header="0"/>
        </w:sectPr>
      </w:pPr>
    </w:p>
    <w:bookmarkStart w:id="50" w:name="page51"/>
    <w:bookmarkEnd w:id="50"/>
    <w:tbl>
      <w:tblPr>
        <w:tblLayout w:type="fixed"/>
        <w:tblInd w:w="3" w:type="dxa"/>
        <w:tblCellMar>
          <w:top w:w="0" w:type="dxa"/>
          <w:left w:w="0" w:type="dxa"/>
          <w:bottom w:w="0" w:type="dxa"/>
          <w:right w:w="0" w:type="dxa"/>
        </w:tblCellMar>
      </w:tblPr>
      <w:tr>
        <w:trPr>
          <w:trHeight w:val="167"/>
        </w:trPr>
        <w:tc>
          <w:tcPr>
            <w:tcW w:w="32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76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2620" w:type="dxa"/>
            <w:vAlign w:val="bottom"/>
            <w:tcBorders>
              <w:bottom w:val="single" w:sz="8" w:color="auto"/>
            </w:tcBorders>
            <w:gridSpan w:val="7"/>
          </w:tcPr>
          <w:p>
            <w:pPr>
              <w:ind w:left="200"/>
              <w:spacing w:after="0"/>
              <w:rPr>
                <w:sz w:val="20"/>
                <w:szCs w:val="20"/>
                <w:color w:val="auto"/>
              </w:rPr>
            </w:pPr>
            <w:r>
              <w:rPr>
                <w:rFonts w:ascii="Arial" w:cs="Arial" w:eastAsia="Arial" w:hAnsi="Arial"/>
                <w:sz w:val="13"/>
                <w:szCs w:val="13"/>
                <w:b w:val="1"/>
                <w:bCs w:val="1"/>
                <w:color w:val="auto"/>
              </w:rPr>
              <w:t>For the Year ended December 31,</w:t>
            </w:r>
          </w:p>
        </w:tc>
        <w:tc>
          <w:tcPr>
            <w:tcW w:w="6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740" w:type="dxa"/>
            <w:vAlign w:val="bottom"/>
            <w:tcBorders>
              <w:bottom w:val="single" w:sz="8" w:color="auto"/>
            </w:tcBorders>
          </w:tcPr>
          <w:p>
            <w:pPr>
              <w:spacing w:after="0"/>
              <w:rPr>
                <w:sz w:val="14"/>
                <w:szCs w:val="14"/>
                <w:color w:val="auto"/>
              </w:rPr>
            </w:pPr>
          </w:p>
        </w:tc>
        <w:tc>
          <w:tcPr>
            <w:tcW w:w="1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32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60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580" w:type="dxa"/>
            <w:vAlign w:val="bottom"/>
            <w:tcBorders>
              <w:bottom w:val="single" w:sz="8" w:color="auto"/>
            </w:tcBorders>
          </w:tcPr>
          <w:p>
            <w:pPr>
              <w:jc w:val="right"/>
              <w:ind w:right="156"/>
              <w:spacing w:after="0"/>
              <w:rPr>
                <w:sz w:val="20"/>
                <w:szCs w:val="20"/>
                <w:color w:val="auto"/>
              </w:rPr>
            </w:pPr>
            <w:r>
              <w:rPr>
                <w:rFonts w:ascii="Arial" w:cs="Arial" w:eastAsia="Arial" w:hAnsi="Arial"/>
                <w:sz w:val="13"/>
                <w:szCs w:val="13"/>
                <w:b w:val="1"/>
                <w:bCs w:val="1"/>
                <w:color w:val="auto"/>
              </w:rPr>
              <w:t>2018</w:t>
            </w:r>
          </w:p>
        </w:tc>
        <w:tc>
          <w:tcPr>
            <w:tcW w:w="160" w:type="dxa"/>
            <w:vAlign w:val="bottom"/>
            <w:tcBorders>
              <w:bottom w:val="single" w:sz="8" w:color="auto"/>
            </w:tcBorders>
          </w:tcPr>
          <w:p>
            <w:pPr>
              <w:spacing w:after="0"/>
              <w:rPr>
                <w:sz w:val="13"/>
                <w:szCs w:val="13"/>
                <w:color w:val="auto"/>
              </w:rPr>
            </w:pPr>
          </w:p>
        </w:tc>
        <w:tc>
          <w:tcPr>
            <w:tcW w:w="760" w:type="dxa"/>
            <w:vAlign w:val="bottom"/>
            <w:tcBorders>
              <w:bottom w:val="single" w:sz="8" w:color="auto"/>
            </w:tcBorders>
          </w:tcPr>
          <w:p>
            <w:pPr>
              <w:spacing w:after="0"/>
              <w:rPr>
                <w:sz w:val="13"/>
                <w:szCs w:val="13"/>
                <w:color w:val="auto"/>
              </w:rPr>
            </w:pPr>
          </w:p>
        </w:tc>
        <w:tc>
          <w:tcPr>
            <w:tcW w:w="20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60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580" w:type="dxa"/>
            <w:vAlign w:val="bottom"/>
            <w:tcBorders>
              <w:bottom w:val="single" w:sz="8" w:color="auto"/>
            </w:tcBorders>
          </w:tcPr>
          <w:p>
            <w:pPr>
              <w:jc w:val="right"/>
              <w:ind w:right="156"/>
              <w:spacing w:after="0"/>
              <w:rPr>
                <w:sz w:val="20"/>
                <w:szCs w:val="20"/>
                <w:color w:val="auto"/>
              </w:rPr>
            </w:pPr>
            <w:r>
              <w:rPr>
                <w:rFonts w:ascii="Arial" w:cs="Arial" w:eastAsia="Arial" w:hAnsi="Arial"/>
                <w:sz w:val="13"/>
                <w:szCs w:val="13"/>
                <w:b w:val="1"/>
                <w:bCs w:val="1"/>
                <w:color w:val="auto"/>
              </w:rPr>
              <w:t>2017</w:t>
            </w:r>
          </w:p>
        </w:tc>
        <w:tc>
          <w:tcPr>
            <w:tcW w:w="160" w:type="dxa"/>
            <w:vAlign w:val="bottom"/>
            <w:tcBorders>
              <w:bottom w:val="single" w:sz="8" w:color="auto"/>
            </w:tcBorders>
          </w:tcPr>
          <w:p>
            <w:pPr>
              <w:spacing w:after="0"/>
              <w:rPr>
                <w:sz w:val="13"/>
                <w:szCs w:val="13"/>
                <w:color w:val="auto"/>
              </w:rPr>
            </w:pPr>
          </w:p>
        </w:tc>
        <w:tc>
          <w:tcPr>
            <w:tcW w:w="760" w:type="dxa"/>
            <w:vAlign w:val="bottom"/>
            <w:tcBorders>
              <w:bottom w:val="single" w:sz="8" w:color="auto"/>
            </w:tcBorders>
          </w:tcPr>
          <w:p>
            <w:pPr>
              <w:spacing w:after="0"/>
              <w:rPr>
                <w:sz w:val="13"/>
                <w:szCs w:val="13"/>
                <w:color w:val="auto"/>
              </w:rPr>
            </w:pPr>
          </w:p>
        </w:tc>
        <w:tc>
          <w:tcPr>
            <w:tcW w:w="18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58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580" w:type="dxa"/>
            <w:vAlign w:val="bottom"/>
            <w:tcBorders>
              <w:bottom w:val="single" w:sz="8" w:color="auto"/>
            </w:tcBorders>
          </w:tcPr>
          <w:p>
            <w:pPr>
              <w:jc w:val="right"/>
              <w:ind w:right="156"/>
              <w:spacing w:after="0"/>
              <w:rPr>
                <w:sz w:val="20"/>
                <w:szCs w:val="20"/>
                <w:color w:val="auto"/>
              </w:rPr>
            </w:pPr>
            <w:r>
              <w:rPr>
                <w:rFonts w:ascii="Arial" w:cs="Arial" w:eastAsia="Arial" w:hAnsi="Arial"/>
                <w:sz w:val="13"/>
                <w:szCs w:val="13"/>
                <w:b w:val="1"/>
                <w:bCs w:val="1"/>
                <w:color w:val="auto"/>
              </w:rPr>
              <w:t>2016</w:t>
            </w:r>
          </w:p>
        </w:tc>
        <w:tc>
          <w:tcPr>
            <w:tcW w:w="140" w:type="dxa"/>
            <w:vAlign w:val="bottom"/>
            <w:tcBorders>
              <w:bottom w:val="single" w:sz="8" w:color="auto"/>
            </w:tcBorders>
          </w:tcPr>
          <w:p>
            <w:pPr>
              <w:spacing w:after="0"/>
              <w:rPr>
                <w:sz w:val="13"/>
                <w:szCs w:val="13"/>
                <w:color w:val="auto"/>
              </w:rPr>
            </w:pPr>
          </w:p>
        </w:tc>
        <w:tc>
          <w:tcPr>
            <w:tcW w:w="740" w:type="dxa"/>
            <w:vAlign w:val="bottom"/>
            <w:tcBorders>
              <w:bottom w:val="single" w:sz="8" w:color="auto"/>
            </w:tcBorders>
          </w:tcPr>
          <w:p>
            <w:pPr>
              <w:spacing w:after="0"/>
              <w:rPr>
                <w:sz w:val="13"/>
                <w:szCs w:val="13"/>
                <w:color w:val="auto"/>
              </w:rPr>
            </w:pP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31"/>
        </w:trPr>
        <w:tc>
          <w:tcPr>
            <w:tcW w:w="3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40" w:type="dxa"/>
            <w:vAlign w:val="bottom"/>
            <w:gridSpan w:val="2"/>
          </w:tcPr>
          <w:p>
            <w:pPr>
              <w:ind w:left="40"/>
              <w:spacing w:after="0" w:line="131" w:lineRule="exact"/>
              <w:rPr>
                <w:sz w:val="20"/>
                <w:szCs w:val="20"/>
                <w:color w:val="auto"/>
              </w:rPr>
            </w:pPr>
            <w:r>
              <w:rPr>
                <w:rFonts w:ascii="Arial" w:cs="Arial" w:eastAsia="Arial" w:hAnsi="Arial"/>
                <w:sz w:val="13"/>
                <w:szCs w:val="13"/>
                <w:b w:val="1"/>
                <w:bCs w:val="1"/>
                <w:color w:val="auto"/>
              </w:rPr>
              <w:t>Average</w:t>
            </w:r>
          </w:p>
        </w:tc>
        <w:tc>
          <w:tcPr>
            <w:tcW w:w="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760" w:type="dxa"/>
            <w:vAlign w:val="bottom"/>
          </w:tcPr>
          <w:p>
            <w:pPr>
              <w:ind w:left="200"/>
              <w:spacing w:after="0" w:line="131" w:lineRule="exact"/>
              <w:rPr>
                <w:sz w:val="20"/>
                <w:szCs w:val="20"/>
                <w:color w:val="auto"/>
              </w:rPr>
            </w:pPr>
            <w:r>
              <w:rPr>
                <w:rFonts w:ascii="Arial" w:cs="Arial" w:eastAsia="Arial" w:hAnsi="Arial"/>
                <w:sz w:val="13"/>
                <w:szCs w:val="13"/>
                <w:b w:val="1"/>
                <w:bCs w:val="1"/>
                <w:color w:val="auto"/>
              </w:rPr>
              <w:t>Average</w:t>
            </w:r>
          </w:p>
        </w:tc>
        <w:tc>
          <w:tcPr>
            <w:tcW w:w="2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40" w:type="dxa"/>
            <w:vAlign w:val="bottom"/>
            <w:gridSpan w:val="2"/>
          </w:tcPr>
          <w:p>
            <w:pPr>
              <w:jc w:val="right"/>
              <w:ind w:right="360"/>
              <w:spacing w:after="0" w:line="131" w:lineRule="exact"/>
              <w:rPr>
                <w:sz w:val="20"/>
                <w:szCs w:val="20"/>
                <w:color w:val="auto"/>
              </w:rPr>
            </w:pPr>
            <w:r>
              <w:rPr>
                <w:rFonts w:ascii="Arial" w:cs="Arial" w:eastAsia="Arial" w:hAnsi="Arial"/>
                <w:sz w:val="13"/>
                <w:szCs w:val="13"/>
                <w:b w:val="1"/>
                <w:bCs w:val="1"/>
                <w:color w:val="auto"/>
                <w:w w:val="89"/>
              </w:rPr>
              <w:t>Average</w:t>
            </w:r>
          </w:p>
        </w:tc>
        <w:tc>
          <w:tcPr>
            <w:tcW w:w="10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760" w:type="dxa"/>
            <w:vAlign w:val="bottom"/>
          </w:tcPr>
          <w:p>
            <w:pPr>
              <w:ind w:left="200"/>
              <w:spacing w:after="0" w:line="131" w:lineRule="exact"/>
              <w:rPr>
                <w:sz w:val="20"/>
                <w:szCs w:val="20"/>
                <w:color w:val="auto"/>
              </w:rPr>
            </w:pPr>
            <w:r>
              <w:rPr>
                <w:rFonts w:ascii="Arial" w:cs="Arial" w:eastAsia="Arial" w:hAnsi="Arial"/>
                <w:sz w:val="13"/>
                <w:szCs w:val="13"/>
                <w:b w:val="1"/>
                <w:bCs w:val="1"/>
                <w:color w:val="auto"/>
              </w:rPr>
              <w:t>Average</w:t>
            </w: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gridSpan w:val="2"/>
          </w:tcPr>
          <w:p>
            <w:pPr>
              <w:jc w:val="right"/>
              <w:ind w:right="240"/>
              <w:spacing w:after="0" w:line="131" w:lineRule="exact"/>
              <w:rPr>
                <w:sz w:val="20"/>
                <w:szCs w:val="20"/>
                <w:color w:val="auto"/>
              </w:rPr>
            </w:pPr>
            <w:r>
              <w:rPr>
                <w:rFonts w:ascii="Arial" w:cs="Arial" w:eastAsia="Arial" w:hAnsi="Arial"/>
                <w:sz w:val="13"/>
                <w:szCs w:val="13"/>
                <w:b w:val="1"/>
                <w:bCs w:val="1"/>
                <w:color w:val="auto"/>
                <w:w w:val="89"/>
              </w:rPr>
              <w:t>Average</w:t>
            </w:r>
          </w:p>
        </w:tc>
        <w:tc>
          <w:tcPr>
            <w:tcW w:w="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40" w:type="dxa"/>
            <w:vAlign w:val="bottom"/>
          </w:tcPr>
          <w:p>
            <w:pPr>
              <w:ind w:left="180"/>
              <w:spacing w:after="0" w:line="131" w:lineRule="exact"/>
              <w:rPr>
                <w:sz w:val="20"/>
                <w:szCs w:val="20"/>
                <w:color w:val="auto"/>
              </w:rPr>
            </w:pPr>
            <w:r>
              <w:rPr>
                <w:rFonts w:ascii="Arial" w:cs="Arial" w:eastAsia="Arial" w:hAnsi="Arial"/>
                <w:sz w:val="13"/>
                <w:szCs w:val="13"/>
                <w:b w:val="1"/>
                <w:bCs w:val="1"/>
                <w:color w:val="auto"/>
              </w:rPr>
              <w:t>Average</w:t>
            </w: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3320" w:type="dxa"/>
            <w:vAlign w:val="bottom"/>
            <w:gridSpan w:val="2"/>
          </w:tcPr>
          <w:p>
            <w:pPr>
              <w:ind w:left="1280"/>
              <w:spacing w:after="0"/>
              <w:rPr>
                <w:sz w:val="20"/>
                <w:szCs w:val="20"/>
                <w:color w:val="auto"/>
              </w:rPr>
            </w:pPr>
            <w:r>
              <w:rPr>
                <w:rFonts w:ascii="Arial" w:cs="Arial" w:eastAsia="Arial" w:hAnsi="Arial"/>
                <w:sz w:val="13"/>
                <w:szCs w:val="13"/>
                <w:b w:val="1"/>
                <w:bCs w:val="1"/>
                <w:color w:val="auto"/>
              </w:rPr>
              <w:t>Description</w:t>
            </w:r>
          </w:p>
        </w:tc>
        <w:tc>
          <w:tcPr>
            <w:tcW w:w="100" w:type="dxa"/>
            <w:vAlign w:val="bottom"/>
          </w:tcPr>
          <w:p>
            <w:pPr>
              <w:spacing w:after="0"/>
              <w:rPr>
                <w:sz w:val="14"/>
                <w:szCs w:val="14"/>
                <w:color w:val="auto"/>
              </w:rPr>
            </w:pPr>
          </w:p>
        </w:tc>
        <w:tc>
          <w:tcPr>
            <w:tcW w:w="740" w:type="dxa"/>
            <w:vAlign w:val="bottom"/>
            <w:gridSpan w:val="2"/>
          </w:tcPr>
          <w:p>
            <w:pPr>
              <w:ind w:left="40"/>
              <w:spacing w:after="0"/>
              <w:rPr>
                <w:sz w:val="20"/>
                <w:szCs w:val="20"/>
                <w:color w:val="auto"/>
              </w:rPr>
            </w:pPr>
            <w:r>
              <w:rPr>
                <w:rFonts w:ascii="Arial" w:cs="Arial" w:eastAsia="Arial" w:hAnsi="Arial"/>
                <w:sz w:val="13"/>
                <w:szCs w:val="13"/>
                <w:b w:val="1"/>
                <w:bCs w:val="1"/>
                <w:color w:val="auto"/>
              </w:rPr>
              <w:t>balance</w:t>
            </w:r>
          </w:p>
        </w:tc>
        <w:tc>
          <w:tcPr>
            <w:tcW w:w="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40" w:type="dxa"/>
            <w:vAlign w:val="bottom"/>
            <w:gridSpan w:val="2"/>
          </w:tcPr>
          <w:p>
            <w:pPr>
              <w:jc w:val="right"/>
              <w:ind w:right="280"/>
              <w:spacing w:after="0"/>
              <w:rPr>
                <w:sz w:val="20"/>
                <w:szCs w:val="20"/>
                <w:color w:val="auto"/>
              </w:rPr>
            </w:pPr>
            <w:r>
              <w:rPr>
                <w:rFonts w:ascii="Arial" w:cs="Arial" w:eastAsia="Arial" w:hAnsi="Arial"/>
                <w:sz w:val="13"/>
                <w:szCs w:val="13"/>
                <w:b w:val="1"/>
                <w:bCs w:val="1"/>
                <w:color w:val="auto"/>
                <w:w w:val="93"/>
              </w:rPr>
              <w:t>Interest</w:t>
            </w:r>
          </w:p>
        </w:tc>
        <w:tc>
          <w:tcPr>
            <w:tcW w:w="960" w:type="dxa"/>
            <w:vAlign w:val="bottom"/>
            <w:gridSpan w:val="2"/>
          </w:tcPr>
          <w:p>
            <w:pPr>
              <w:ind w:left="160"/>
              <w:spacing w:after="0"/>
              <w:rPr>
                <w:sz w:val="20"/>
                <w:szCs w:val="20"/>
                <w:color w:val="auto"/>
              </w:rPr>
            </w:pPr>
            <w:r>
              <w:rPr>
                <w:rFonts w:ascii="Arial" w:cs="Arial" w:eastAsia="Arial" w:hAnsi="Arial"/>
                <w:sz w:val="13"/>
                <w:szCs w:val="13"/>
                <w:b w:val="1"/>
                <w:bCs w:val="1"/>
                <w:color w:val="auto"/>
              </w:rPr>
              <w:t>yield/rate</w:t>
            </w:r>
          </w:p>
        </w:tc>
        <w:tc>
          <w:tcPr>
            <w:tcW w:w="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840" w:type="dxa"/>
            <w:vAlign w:val="bottom"/>
            <w:gridSpan w:val="2"/>
          </w:tcPr>
          <w:p>
            <w:pPr>
              <w:jc w:val="right"/>
              <w:ind w:right="380"/>
              <w:spacing w:after="0"/>
              <w:rPr>
                <w:sz w:val="20"/>
                <w:szCs w:val="20"/>
                <w:color w:val="auto"/>
              </w:rPr>
            </w:pPr>
            <w:r>
              <w:rPr>
                <w:rFonts w:ascii="Arial" w:cs="Arial" w:eastAsia="Arial" w:hAnsi="Arial"/>
                <w:sz w:val="13"/>
                <w:szCs w:val="13"/>
                <w:b w:val="1"/>
                <w:bCs w:val="1"/>
                <w:color w:val="auto"/>
                <w:w w:val="90"/>
              </w:rPr>
              <w:t>balance</w:t>
            </w:r>
          </w:p>
        </w:tc>
        <w:tc>
          <w:tcPr>
            <w:tcW w:w="100" w:type="dxa"/>
            <w:vAlign w:val="bottom"/>
          </w:tcPr>
          <w:p>
            <w:pPr>
              <w:spacing w:after="0"/>
              <w:rPr>
                <w:sz w:val="14"/>
                <w:szCs w:val="14"/>
                <w:color w:val="auto"/>
              </w:rPr>
            </w:pPr>
          </w:p>
        </w:tc>
        <w:tc>
          <w:tcPr>
            <w:tcW w:w="740" w:type="dxa"/>
            <w:vAlign w:val="bottom"/>
            <w:gridSpan w:val="2"/>
          </w:tcPr>
          <w:p>
            <w:pPr>
              <w:jc w:val="right"/>
              <w:ind w:right="280"/>
              <w:spacing w:after="0"/>
              <w:rPr>
                <w:sz w:val="20"/>
                <w:szCs w:val="20"/>
                <w:color w:val="auto"/>
              </w:rPr>
            </w:pPr>
            <w:r>
              <w:rPr>
                <w:rFonts w:ascii="Arial" w:cs="Arial" w:eastAsia="Arial" w:hAnsi="Arial"/>
                <w:sz w:val="13"/>
                <w:szCs w:val="13"/>
                <w:b w:val="1"/>
                <w:bCs w:val="1"/>
                <w:color w:val="auto"/>
                <w:w w:val="93"/>
              </w:rPr>
              <w:t>Interest</w:t>
            </w:r>
          </w:p>
        </w:tc>
        <w:tc>
          <w:tcPr>
            <w:tcW w:w="940" w:type="dxa"/>
            <w:vAlign w:val="bottom"/>
            <w:gridSpan w:val="2"/>
          </w:tcPr>
          <w:p>
            <w:pPr>
              <w:ind w:left="160"/>
              <w:spacing w:after="0"/>
              <w:rPr>
                <w:sz w:val="20"/>
                <w:szCs w:val="20"/>
                <w:color w:val="auto"/>
              </w:rPr>
            </w:pPr>
            <w:r>
              <w:rPr>
                <w:rFonts w:ascii="Arial" w:cs="Arial" w:eastAsia="Arial" w:hAnsi="Arial"/>
                <w:sz w:val="13"/>
                <w:szCs w:val="13"/>
                <w:b w:val="1"/>
                <w:bCs w:val="1"/>
                <w:color w:val="auto"/>
              </w:rPr>
              <w:t>yield/rate</w:t>
            </w: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720" w:type="dxa"/>
            <w:vAlign w:val="bottom"/>
            <w:gridSpan w:val="2"/>
          </w:tcPr>
          <w:p>
            <w:pPr>
              <w:jc w:val="right"/>
              <w:ind w:right="260"/>
              <w:spacing w:after="0"/>
              <w:rPr>
                <w:sz w:val="20"/>
                <w:szCs w:val="20"/>
                <w:color w:val="auto"/>
              </w:rPr>
            </w:pPr>
            <w:r>
              <w:rPr>
                <w:rFonts w:ascii="Arial" w:cs="Arial" w:eastAsia="Arial" w:hAnsi="Arial"/>
                <w:sz w:val="13"/>
                <w:szCs w:val="13"/>
                <w:b w:val="1"/>
                <w:bCs w:val="1"/>
                <w:color w:val="auto"/>
                <w:w w:val="90"/>
              </w:rPr>
              <w:t>balance</w:t>
            </w:r>
          </w:p>
        </w:tc>
        <w:tc>
          <w:tcPr>
            <w:tcW w:w="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20" w:type="dxa"/>
            <w:vAlign w:val="bottom"/>
            <w:gridSpan w:val="2"/>
          </w:tcPr>
          <w:p>
            <w:pPr>
              <w:ind w:left="20"/>
              <w:spacing w:after="0"/>
              <w:rPr>
                <w:sz w:val="20"/>
                <w:szCs w:val="20"/>
                <w:color w:val="auto"/>
              </w:rPr>
            </w:pPr>
            <w:r>
              <w:rPr>
                <w:rFonts w:ascii="Arial" w:cs="Arial" w:eastAsia="Arial" w:hAnsi="Arial"/>
                <w:sz w:val="13"/>
                <w:szCs w:val="13"/>
                <w:b w:val="1"/>
                <w:bCs w:val="1"/>
                <w:color w:val="auto"/>
              </w:rPr>
              <w:t>Interest</w:t>
            </w:r>
          </w:p>
        </w:tc>
        <w:tc>
          <w:tcPr>
            <w:tcW w:w="880" w:type="dxa"/>
            <w:vAlign w:val="bottom"/>
            <w:gridSpan w:val="2"/>
          </w:tcPr>
          <w:p>
            <w:pPr>
              <w:ind w:left="140"/>
              <w:spacing w:after="0"/>
              <w:rPr>
                <w:sz w:val="20"/>
                <w:szCs w:val="20"/>
                <w:color w:val="auto"/>
              </w:rPr>
            </w:pPr>
            <w:r>
              <w:rPr>
                <w:rFonts w:ascii="Arial" w:cs="Arial" w:eastAsia="Arial" w:hAnsi="Arial"/>
                <w:sz w:val="13"/>
                <w:szCs w:val="13"/>
                <w:b w:val="1"/>
                <w:bCs w:val="1"/>
                <w:color w:val="auto"/>
              </w:rPr>
              <w:t>yield/rate</w:t>
            </w:r>
          </w:p>
        </w:tc>
        <w:tc>
          <w:tcPr>
            <w:tcW w:w="0" w:type="dxa"/>
            <w:vAlign w:val="bottom"/>
          </w:tcPr>
          <w:p>
            <w:pPr>
              <w:spacing w:after="0"/>
              <w:rPr>
                <w:sz w:val="1"/>
                <w:szCs w:val="1"/>
                <w:color w:val="auto"/>
              </w:rPr>
            </w:pPr>
          </w:p>
        </w:tc>
      </w:tr>
      <w:tr>
        <w:trPr>
          <w:trHeight w:val="144"/>
        </w:trPr>
        <w:tc>
          <w:tcPr>
            <w:tcW w:w="322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580" w:type="dxa"/>
            <w:vAlign w:val="bottom"/>
            <w:tcBorders>
              <w:top w:val="single" w:sz="8" w:color="auto"/>
            </w:tcBorders>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760" w:type="dxa"/>
            <w:vAlign w:val="bottom"/>
            <w:tcBorders>
              <w:top w:val="single" w:sz="8" w:color="auto"/>
            </w:tcBorders>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60" w:type="dxa"/>
            <w:vAlign w:val="bottom"/>
            <w:tcBorders>
              <w:top w:val="single" w:sz="8" w:color="auto"/>
            </w:tcBorders>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2620" w:type="dxa"/>
            <w:vAlign w:val="bottom"/>
            <w:tcBorders>
              <w:top w:val="single" w:sz="8" w:color="auto"/>
            </w:tcBorders>
            <w:gridSpan w:val="7"/>
          </w:tcPr>
          <w:p>
            <w:pPr>
              <w:ind w:left="180"/>
              <w:spacing w:after="0" w:line="144" w:lineRule="exact"/>
              <w:rPr>
                <w:sz w:val="20"/>
                <w:szCs w:val="20"/>
                <w:color w:val="auto"/>
              </w:rPr>
            </w:pPr>
            <w:r>
              <w:rPr>
                <w:rFonts w:ascii="Arial" w:cs="Arial" w:eastAsia="Arial" w:hAnsi="Arial"/>
                <w:sz w:val="13"/>
                <w:szCs w:val="13"/>
                <w:b w:val="1"/>
                <w:bCs w:val="1"/>
                <w:color w:val="auto"/>
              </w:rPr>
              <w:t>(in $ millions, except percentages)</w:t>
            </w:r>
          </w:p>
        </w:tc>
        <w:tc>
          <w:tcPr>
            <w:tcW w:w="60" w:type="dxa"/>
            <w:vAlign w:val="bottom"/>
            <w:tcBorders>
              <w:top w:val="single" w:sz="8" w:color="auto"/>
            </w:tcBorders>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580" w:type="dxa"/>
            <w:vAlign w:val="bottom"/>
            <w:tcBorders>
              <w:top w:val="single" w:sz="8" w:color="auto"/>
            </w:tcBorders>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580" w:type="dxa"/>
            <w:vAlign w:val="bottom"/>
            <w:tcBorders>
              <w:top w:val="single" w:sz="8" w:color="auto"/>
            </w:tcBorders>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74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3320" w:type="dxa"/>
            <w:vAlign w:val="bottom"/>
            <w:gridSpan w:val="2"/>
            <w:shd w:val="clear" w:color="auto" w:fill="CCEEFF"/>
          </w:tcPr>
          <w:p>
            <w:pPr>
              <w:spacing w:after="0"/>
              <w:rPr>
                <w:sz w:val="20"/>
                <w:szCs w:val="20"/>
                <w:color w:val="auto"/>
              </w:rPr>
            </w:pPr>
            <w:r>
              <w:rPr>
                <w:rFonts w:ascii="Arial" w:cs="Arial" w:eastAsia="Arial" w:hAnsi="Arial"/>
                <w:sz w:val="13"/>
                <w:szCs w:val="13"/>
                <w:b w:val="1"/>
                <w:bCs w:val="1"/>
                <w:color w:val="auto"/>
              </w:rPr>
              <w:t>Interest-Earning Assets</w:t>
            </w:r>
          </w:p>
        </w:tc>
        <w:tc>
          <w:tcPr>
            <w:tcW w:w="100" w:type="dxa"/>
            <w:vAlign w:val="bottom"/>
            <w:shd w:val="clear" w:color="auto" w:fill="CCEEFF"/>
          </w:tcPr>
          <w:p>
            <w:pPr>
              <w:spacing w:after="0"/>
              <w:rPr>
                <w:sz w:val="13"/>
                <w:szCs w:val="13"/>
                <w:color w:val="auto"/>
              </w:rPr>
            </w:pPr>
          </w:p>
        </w:tc>
        <w:tc>
          <w:tcPr>
            <w:tcW w:w="60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58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76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6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58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76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5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5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74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3320" w:type="dxa"/>
            <w:vAlign w:val="bottom"/>
            <w:gridSpan w:val="2"/>
          </w:tcPr>
          <w:p>
            <w:pPr>
              <w:spacing w:after="0"/>
              <w:rPr>
                <w:sz w:val="20"/>
                <w:szCs w:val="20"/>
                <w:color w:val="auto"/>
              </w:rPr>
            </w:pPr>
            <w:r>
              <w:rPr>
                <w:rFonts w:ascii="Arial" w:cs="Arial" w:eastAsia="Arial" w:hAnsi="Arial"/>
                <w:sz w:val="13"/>
                <w:szCs w:val="13"/>
                <w:color w:val="auto"/>
              </w:rPr>
              <w:t>Interest bearing deposits with banks</w:t>
            </w:r>
          </w:p>
        </w:tc>
        <w:tc>
          <w:tcPr>
            <w:tcW w:w="100" w:type="dxa"/>
            <w:vAlign w:val="bottom"/>
          </w:tcPr>
          <w:p>
            <w:pPr>
              <w:jc w:val="right"/>
              <w:spacing w:after="0"/>
              <w:rPr>
                <w:sz w:val="20"/>
                <w:szCs w:val="20"/>
                <w:color w:val="auto"/>
              </w:rPr>
            </w:pPr>
            <w:r>
              <w:rPr>
                <w:rFonts w:ascii="Arial" w:cs="Arial" w:eastAsia="Arial" w:hAnsi="Arial"/>
                <w:sz w:val="13"/>
                <w:szCs w:val="13"/>
                <w:color w:val="auto"/>
                <w:w w:val="82"/>
              </w:rPr>
              <w:t>$</w:t>
            </w:r>
          </w:p>
        </w:tc>
        <w:tc>
          <w:tcPr>
            <w:tcW w:w="600" w:type="dxa"/>
            <w:vAlign w:val="bottom"/>
          </w:tcPr>
          <w:p>
            <w:pPr>
              <w:jc w:val="right"/>
              <w:spacing w:after="0"/>
              <w:rPr>
                <w:sz w:val="20"/>
                <w:szCs w:val="20"/>
                <w:color w:val="auto"/>
              </w:rPr>
            </w:pPr>
            <w:r>
              <w:rPr>
                <w:rFonts w:ascii="Arial" w:cs="Arial" w:eastAsia="Arial" w:hAnsi="Arial"/>
                <w:sz w:val="13"/>
                <w:szCs w:val="13"/>
                <w:color w:val="auto"/>
              </w:rPr>
              <w:t>784</w:t>
            </w:r>
          </w:p>
        </w:tc>
        <w:tc>
          <w:tcPr>
            <w:tcW w:w="140" w:type="dxa"/>
            <w:vAlign w:val="bottom"/>
          </w:tcPr>
          <w:p>
            <w:pPr>
              <w:spacing w:after="0"/>
              <w:rPr>
                <w:sz w:val="13"/>
                <w:szCs w:val="13"/>
                <w:color w:val="auto"/>
              </w:rPr>
            </w:pPr>
          </w:p>
        </w:tc>
        <w:tc>
          <w:tcPr>
            <w:tcW w:w="20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740" w:type="dxa"/>
            <w:vAlign w:val="bottom"/>
            <w:gridSpan w:val="2"/>
          </w:tcPr>
          <w:p>
            <w:pPr>
              <w:jc w:val="right"/>
              <w:ind w:right="160"/>
              <w:spacing w:after="0"/>
              <w:rPr>
                <w:sz w:val="20"/>
                <w:szCs w:val="20"/>
                <w:color w:val="auto"/>
              </w:rPr>
            </w:pPr>
            <w:r>
              <w:rPr>
                <w:rFonts w:ascii="Arial" w:cs="Arial" w:eastAsia="Arial" w:hAnsi="Arial"/>
                <w:sz w:val="13"/>
                <w:szCs w:val="13"/>
                <w:color w:val="auto"/>
              </w:rPr>
              <w:t>15.6</w:t>
            </w:r>
          </w:p>
        </w:tc>
        <w:tc>
          <w:tcPr>
            <w:tcW w:w="960" w:type="dxa"/>
            <w:vAlign w:val="bottom"/>
            <w:gridSpan w:val="2"/>
          </w:tcPr>
          <w:p>
            <w:pPr>
              <w:ind w:left="540"/>
              <w:spacing w:after="0"/>
              <w:rPr>
                <w:sz w:val="20"/>
                <w:szCs w:val="20"/>
                <w:color w:val="auto"/>
              </w:rPr>
            </w:pPr>
            <w:r>
              <w:rPr>
                <w:rFonts w:ascii="Arial" w:cs="Arial" w:eastAsia="Arial" w:hAnsi="Arial"/>
                <w:sz w:val="13"/>
                <w:szCs w:val="13"/>
                <w:color w:val="auto"/>
              </w:rPr>
              <w:t>1.96%</w:t>
            </w:r>
          </w:p>
        </w:tc>
        <w:tc>
          <w:tcPr>
            <w:tcW w:w="16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840" w:type="dxa"/>
            <w:vAlign w:val="bottom"/>
            <w:gridSpan w:val="2"/>
          </w:tcPr>
          <w:p>
            <w:pPr>
              <w:jc w:val="right"/>
              <w:ind w:right="240"/>
              <w:spacing w:after="0"/>
              <w:rPr>
                <w:sz w:val="20"/>
                <w:szCs w:val="20"/>
                <w:color w:val="auto"/>
              </w:rPr>
            </w:pPr>
            <w:r>
              <w:rPr>
                <w:rFonts w:ascii="Arial" w:cs="Arial" w:eastAsia="Arial" w:hAnsi="Arial"/>
                <w:sz w:val="13"/>
                <w:szCs w:val="13"/>
                <w:color w:val="auto"/>
              </w:rPr>
              <w:t>909</w:t>
            </w:r>
          </w:p>
        </w:tc>
        <w:tc>
          <w:tcPr>
            <w:tcW w:w="10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740" w:type="dxa"/>
            <w:vAlign w:val="bottom"/>
            <w:gridSpan w:val="2"/>
          </w:tcPr>
          <w:p>
            <w:pPr>
              <w:jc w:val="right"/>
              <w:ind w:right="160"/>
              <w:spacing w:after="0"/>
              <w:rPr>
                <w:sz w:val="20"/>
                <w:szCs w:val="20"/>
                <w:color w:val="auto"/>
              </w:rPr>
            </w:pPr>
            <w:r>
              <w:rPr>
                <w:rFonts w:ascii="Arial" w:cs="Arial" w:eastAsia="Arial" w:hAnsi="Arial"/>
                <w:sz w:val="13"/>
                <w:szCs w:val="13"/>
                <w:color w:val="auto"/>
              </w:rPr>
              <w:t>10.3</w:t>
            </w:r>
          </w:p>
        </w:tc>
        <w:tc>
          <w:tcPr>
            <w:tcW w:w="940" w:type="dxa"/>
            <w:vAlign w:val="bottom"/>
            <w:gridSpan w:val="2"/>
          </w:tcPr>
          <w:p>
            <w:pPr>
              <w:ind w:left="540"/>
              <w:spacing w:after="0"/>
              <w:rPr>
                <w:sz w:val="20"/>
                <w:szCs w:val="20"/>
                <w:color w:val="auto"/>
              </w:rPr>
            </w:pPr>
            <w:r>
              <w:rPr>
                <w:rFonts w:ascii="Arial" w:cs="Arial" w:eastAsia="Arial" w:hAnsi="Arial"/>
                <w:sz w:val="13"/>
                <w:szCs w:val="13"/>
                <w:color w:val="auto"/>
              </w:rPr>
              <w:t>1.11%</w:t>
            </w:r>
          </w:p>
        </w:tc>
        <w:tc>
          <w:tcPr>
            <w:tcW w:w="14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845</w:t>
            </w:r>
          </w:p>
        </w:tc>
        <w:tc>
          <w:tcPr>
            <w:tcW w:w="18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4.5</w:t>
            </w:r>
          </w:p>
        </w:tc>
        <w:tc>
          <w:tcPr>
            <w:tcW w:w="880" w:type="dxa"/>
            <w:vAlign w:val="bottom"/>
            <w:gridSpan w:val="2"/>
          </w:tcPr>
          <w:p>
            <w:pPr>
              <w:ind w:left="520"/>
              <w:spacing w:after="0"/>
              <w:rPr>
                <w:sz w:val="20"/>
                <w:szCs w:val="20"/>
                <w:color w:val="auto"/>
              </w:rPr>
            </w:pPr>
            <w:r>
              <w:rPr>
                <w:rFonts w:ascii="Arial" w:cs="Arial" w:eastAsia="Arial" w:hAnsi="Arial"/>
                <w:sz w:val="13"/>
                <w:szCs w:val="13"/>
                <w:color w:val="auto"/>
                <w:w w:val="92"/>
              </w:rPr>
              <w:t>0.52%</w:t>
            </w:r>
          </w:p>
        </w:tc>
        <w:tc>
          <w:tcPr>
            <w:tcW w:w="0" w:type="dxa"/>
            <w:vAlign w:val="bottom"/>
          </w:tcPr>
          <w:p>
            <w:pPr>
              <w:spacing w:after="0"/>
              <w:rPr>
                <w:sz w:val="1"/>
                <w:szCs w:val="1"/>
                <w:color w:val="auto"/>
              </w:rPr>
            </w:pPr>
          </w:p>
        </w:tc>
      </w:tr>
      <w:tr>
        <w:trPr>
          <w:trHeight w:val="183"/>
        </w:trPr>
        <w:tc>
          <w:tcPr>
            <w:tcW w:w="3320" w:type="dxa"/>
            <w:vAlign w:val="bottom"/>
            <w:gridSpan w:val="2"/>
            <w:shd w:val="clear" w:color="auto" w:fill="CCEEFF"/>
          </w:tcPr>
          <w:p>
            <w:pPr>
              <w:spacing w:after="0" w:line="183" w:lineRule="exact"/>
              <w:rPr>
                <w:sz w:val="20"/>
                <w:szCs w:val="20"/>
                <w:color w:val="auto"/>
              </w:rPr>
            </w:pPr>
            <w:r>
              <w:rPr>
                <w:rFonts w:ascii="Arial" w:cs="Arial" w:eastAsia="Arial" w:hAnsi="Arial"/>
                <w:sz w:val="13"/>
                <w:szCs w:val="13"/>
                <w:color w:val="auto"/>
              </w:rPr>
              <w:t xml:space="preserve">Investment securities </w:t>
            </w:r>
            <w:r>
              <w:rPr>
                <w:rFonts w:ascii="Arial" w:cs="Arial" w:eastAsia="Arial" w:hAnsi="Arial"/>
                <w:sz w:val="21"/>
                <w:szCs w:val="21"/>
                <w:color w:val="auto"/>
                <w:vertAlign w:val="superscript"/>
              </w:rPr>
              <w:t>(1)</w:t>
            </w:r>
          </w:p>
        </w:tc>
        <w:tc>
          <w:tcPr>
            <w:tcW w:w="100" w:type="dxa"/>
            <w:vAlign w:val="bottom"/>
            <w:shd w:val="clear" w:color="auto" w:fill="CCEEFF"/>
          </w:tcPr>
          <w:p>
            <w:pPr>
              <w:spacing w:after="0"/>
              <w:rPr>
                <w:sz w:val="15"/>
                <w:szCs w:val="15"/>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92</w:t>
            </w:r>
          </w:p>
        </w:tc>
        <w:tc>
          <w:tcPr>
            <w:tcW w:w="14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2,9</w:t>
            </w:r>
          </w:p>
        </w:tc>
        <w:tc>
          <w:tcPr>
            <w:tcW w:w="960" w:type="dxa"/>
            <w:vAlign w:val="bottom"/>
            <w:gridSpan w:val="2"/>
            <w:shd w:val="clear" w:color="auto" w:fill="CCEEFF"/>
          </w:tcPr>
          <w:p>
            <w:pPr>
              <w:ind w:left="540"/>
              <w:spacing w:after="0"/>
              <w:rPr>
                <w:sz w:val="20"/>
                <w:szCs w:val="20"/>
                <w:color w:val="auto"/>
              </w:rPr>
            </w:pPr>
            <w:r>
              <w:rPr>
                <w:rFonts w:ascii="Arial" w:cs="Arial" w:eastAsia="Arial" w:hAnsi="Arial"/>
                <w:sz w:val="13"/>
                <w:szCs w:val="13"/>
                <w:color w:val="auto"/>
              </w:rPr>
              <w:t>3.12%</w:t>
            </w:r>
          </w:p>
        </w:tc>
        <w:tc>
          <w:tcPr>
            <w:tcW w:w="6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8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87</w:t>
            </w:r>
          </w:p>
        </w:tc>
        <w:tc>
          <w:tcPr>
            <w:tcW w:w="100" w:type="dxa"/>
            <w:vAlign w:val="bottom"/>
            <w:shd w:val="clear" w:color="auto" w:fill="CCEEFF"/>
          </w:tcPr>
          <w:p>
            <w:pPr>
              <w:spacing w:after="0"/>
              <w:rPr>
                <w:sz w:val="15"/>
                <w:szCs w:val="15"/>
                <w:color w:val="auto"/>
              </w:rPr>
            </w:pP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2.5</w:t>
            </w:r>
          </w:p>
        </w:tc>
        <w:tc>
          <w:tcPr>
            <w:tcW w:w="940" w:type="dxa"/>
            <w:vAlign w:val="bottom"/>
            <w:gridSpan w:val="2"/>
            <w:shd w:val="clear" w:color="auto" w:fill="CCEEFF"/>
          </w:tcPr>
          <w:p>
            <w:pPr>
              <w:ind w:left="520"/>
              <w:spacing w:after="0"/>
              <w:rPr>
                <w:sz w:val="20"/>
                <w:szCs w:val="20"/>
                <w:color w:val="auto"/>
              </w:rPr>
            </w:pPr>
            <w:r>
              <w:rPr>
                <w:rFonts w:ascii="Arial" w:cs="Arial" w:eastAsia="Arial" w:hAnsi="Arial"/>
                <w:sz w:val="13"/>
                <w:szCs w:val="13"/>
                <w:color w:val="auto"/>
              </w:rPr>
              <w:t>2.83%</w:t>
            </w:r>
          </w:p>
        </w:tc>
        <w:tc>
          <w:tcPr>
            <w:tcW w:w="6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197</w:t>
            </w:r>
          </w:p>
        </w:tc>
        <w:tc>
          <w:tcPr>
            <w:tcW w:w="8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5.0</w:t>
            </w:r>
          </w:p>
        </w:tc>
        <w:tc>
          <w:tcPr>
            <w:tcW w:w="880" w:type="dxa"/>
            <w:vAlign w:val="bottom"/>
            <w:gridSpan w:val="2"/>
            <w:shd w:val="clear" w:color="auto" w:fill="CCEEFF"/>
          </w:tcPr>
          <w:p>
            <w:pPr>
              <w:ind w:left="520"/>
              <w:spacing w:after="0"/>
              <w:rPr>
                <w:sz w:val="20"/>
                <w:szCs w:val="20"/>
                <w:color w:val="auto"/>
              </w:rPr>
            </w:pPr>
            <w:r>
              <w:rPr>
                <w:rFonts w:ascii="Arial" w:cs="Arial" w:eastAsia="Arial" w:hAnsi="Arial"/>
                <w:sz w:val="13"/>
                <w:szCs w:val="13"/>
                <w:color w:val="auto"/>
                <w:w w:val="92"/>
              </w:rPr>
              <w:t>2.51%</w:t>
            </w:r>
          </w:p>
        </w:tc>
        <w:tc>
          <w:tcPr>
            <w:tcW w:w="0" w:type="dxa"/>
            <w:vAlign w:val="bottom"/>
          </w:tcPr>
          <w:p>
            <w:pPr>
              <w:spacing w:after="0"/>
              <w:rPr>
                <w:sz w:val="1"/>
                <w:szCs w:val="1"/>
                <w:color w:val="auto"/>
              </w:rPr>
            </w:pPr>
          </w:p>
        </w:tc>
      </w:tr>
      <w:tr>
        <w:trPr>
          <w:trHeight w:val="163"/>
        </w:trPr>
        <w:tc>
          <w:tcPr>
            <w:tcW w:w="3320" w:type="dxa"/>
            <w:vAlign w:val="bottom"/>
            <w:gridSpan w:val="2"/>
          </w:tcPr>
          <w:p>
            <w:pPr>
              <w:spacing w:after="0"/>
              <w:rPr>
                <w:sz w:val="20"/>
                <w:szCs w:val="20"/>
                <w:color w:val="auto"/>
              </w:rPr>
            </w:pPr>
            <w:r>
              <w:rPr>
                <w:rFonts w:ascii="Arial" w:cs="Arial" w:eastAsia="Arial" w:hAnsi="Arial"/>
                <w:sz w:val="13"/>
                <w:szCs w:val="13"/>
                <w:color w:val="auto"/>
              </w:rPr>
              <w:t>Loans</w:t>
            </w:r>
          </w:p>
        </w:tc>
        <w:tc>
          <w:tcPr>
            <w:tcW w:w="100" w:type="dxa"/>
            <w:vAlign w:val="bottom"/>
          </w:tcPr>
          <w:p>
            <w:pPr>
              <w:spacing w:after="0"/>
              <w:rPr>
                <w:sz w:val="14"/>
                <w:szCs w:val="14"/>
                <w:color w:val="auto"/>
              </w:rPr>
            </w:pPr>
          </w:p>
        </w:tc>
        <w:tc>
          <w:tcPr>
            <w:tcW w:w="600" w:type="dxa"/>
            <w:vAlign w:val="bottom"/>
          </w:tcPr>
          <w:p>
            <w:pPr>
              <w:jc w:val="right"/>
              <w:spacing w:after="0"/>
              <w:rPr>
                <w:sz w:val="20"/>
                <w:szCs w:val="20"/>
                <w:color w:val="auto"/>
              </w:rPr>
            </w:pPr>
            <w:r>
              <w:rPr>
                <w:rFonts w:ascii="Arial" w:cs="Arial" w:eastAsia="Arial" w:hAnsi="Arial"/>
                <w:sz w:val="13"/>
                <w:szCs w:val="13"/>
                <w:color w:val="auto"/>
              </w:rPr>
              <w:t>5,552</w:t>
            </w:r>
          </w:p>
        </w:tc>
        <w:tc>
          <w:tcPr>
            <w:tcW w:w="1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40" w:type="dxa"/>
            <w:vAlign w:val="bottom"/>
            <w:gridSpan w:val="2"/>
          </w:tcPr>
          <w:p>
            <w:pPr>
              <w:jc w:val="right"/>
              <w:ind w:right="160"/>
              <w:spacing w:after="0"/>
              <w:rPr>
                <w:sz w:val="20"/>
                <w:szCs w:val="20"/>
                <w:color w:val="auto"/>
              </w:rPr>
            </w:pPr>
            <w:r>
              <w:rPr>
                <w:rFonts w:ascii="Arial" w:cs="Arial" w:eastAsia="Arial" w:hAnsi="Arial"/>
                <w:sz w:val="13"/>
                <w:szCs w:val="13"/>
                <w:color w:val="auto"/>
              </w:rPr>
              <w:t>240.0</w:t>
            </w:r>
          </w:p>
        </w:tc>
        <w:tc>
          <w:tcPr>
            <w:tcW w:w="960" w:type="dxa"/>
            <w:vAlign w:val="bottom"/>
            <w:gridSpan w:val="2"/>
          </w:tcPr>
          <w:p>
            <w:pPr>
              <w:ind w:left="540"/>
              <w:spacing w:after="0"/>
              <w:rPr>
                <w:sz w:val="20"/>
                <w:szCs w:val="20"/>
                <w:color w:val="auto"/>
              </w:rPr>
            </w:pPr>
            <w:r>
              <w:rPr>
                <w:rFonts w:ascii="Arial" w:cs="Arial" w:eastAsia="Arial" w:hAnsi="Arial"/>
                <w:sz w:val="13"/>
                <w:szCs w:val="13"/>
                <w:color w:val="auto"/>
              </w:rPr>
              <w:t>4.26%</w:t>
            </w:r>
          </w:p>
        </w:tc>
        <w:tc>
          <w:tcPr>
            <w:tcW w:w="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840" w:type="dxa"/>
            <w:vAlign w:val="bottom"/>
            <w:gridSpan w:val="2"/>
          </w:tcPr>
          <w:p>
            <w:pPr>
              <w:jc w:val="right"/>
              <w:ind w:right="240"/>
              <w:spacing w:after="0"/>
              <w:rPr>
                <w:sz w:val="20"/>
                <w:szCs w:val="20"/>
                <w:color w:val="auto"/>
              </w:rPr>
            </w:pPr>
            <w:r>
              <w:rPr>
                <w:rFonts w:ascii="Arial" w:cs="Arial" w:eastAsia="Arial" w:hAnsi="Arial"/>
                <w:sz w:val="13"/>
                <w:szCs w:val="13"/>
                <w:color w:val="auto"/>
              </w:rPr>
              <w:t>5,498</w:t>
            </w:r>
          </w:p>
        </w:tc>
        <w:tc>
          <w:tcPr>
            <w:tcW w:w="100" w:type="dxa"/>
            <w:vAlign w:val="bottom"/>
          </w:tcPr>
          <w:p>
            <w:pPr>
              <w:spacing w:after="0"/>
              <w:rPr>
                <w:sz w:val="14"/>
                <w:szCs w:val="14"/>
                <w:color w:val="auto"/>
              </w:rPr>
            </w:pPr>
          </w:p>
        </w:tc>
        <w:tc>
          <w:tcPr>
            <w:tcW w:w="740" w:type="dxa"/>
            <w:vAlign w:val="bottom"/>
            <w:gridSpan w:val="2"/>
          </w:tcPr>
          <w:p>
            <w:pPr>
              <w:jc w:val="right"/>
              <w:ind w:right="160"/>
              <w:spacing w:after="0"/>
              <w:rPr>
                <w:sz w:val="20"/>
                <w:szCs w:val="20"/>
                <w:color w:val="auto"/>
              </w:rPr>
            </w:pPr>
            <w:r>
              <w:rPr>
                <w:rFonts w:ascii="Arial" w:cs="Arial" w:eastAsia="Arial" w:hAnsi="Arial"/>
                <w:sz w:val="13"/>
                <w:szCs w:val="13"/>
                <w:color w:val="auto"/>
              </w:rPr>
              <w:t>213.3</w:t>
            </w:r>
          </w:p>
        </w:tc>
        <w:tc>
          <w:tcPr>
            <w:tcW w:w="940" w:type="dxa"/>
            <w:vAlign w:val="bottom"/>
            <w:gridSpan w:val="2"/>
          </w:tcPr>
          <w:p>
            <w:pPr>
              <w:ind w:left="520"/>
              <w:spacing w:after="0"/>
              <w:rPr>
                <w:sz w:val="20"/>
                <w:szCs w:val="20"/>
                <w:color w:val="auto"/>
              </w:rPr>
            </w:pPr>
            <w:r>
              <w:rPr>
                <w:rFonts w:ascii="Arial" w:cs="Arial" w:eastAsia="Arial" w:hAnsi="Arial"/>
                <w:sz w:val="13"/>
                <w:szCs w:val="13"/>
                <w:color w:val="auto"/>
              </w:rPr>
              <w:t>3.83%</w:t>
            </w: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6,421</w:t>
            </w:r>
          </w:p>
        </w:tc>
        <w:tc>
          <w:tcPr>
            <w:tcW w:w="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236.4</w:t>
            </w:r>
          </w:p>
        </w:tc>
        <w:tc>
          <w:tcPr>
            <w:tcW w:w="880" w:type="dxa"/>
            <w:vAlign w:val="bottom"/>
            <w:gridSpan w:val="2"/>
          </w:tcPr>
          <w:p>
            <w:pPr>
              <w:ind w:left="520"/>
              <w:spacing w:after="0"/>
              <w:rPr>
                <w:sz w:val="20"/>
                <w:szCs w:val="20"/>
                <w:color w:val="auto"/>
              </w:rPr>
            </w:pPr>
            <w:r>
              <w:rPr>
                <w:rFonts w:ascii="Arial" w:cs="Arial" w:eastAsia="Arial" w:hAnsi="Arial"/>
                <w:sz w:val="13"/>
                <w:szCs w:val="13"/>
                <w:color w:val="auto"/>
                <w:w w:val="92"/>
              </w:rPr>
              <w:t>3.62%</w:t>
            </w:r>
          </w:p>
        </w:tc>
        <w:tc>
          <w:tcPr>
            <w:tcW w:w="0" w:type="dxa"/>
            <w:vAlign w:val="bottom"/>
          </w:tcPr>
          <w:p>
            <w:pPr>
              <w:spacing w:after="0"/>
              <w:rPr>
                <w:sz w:val="1"/>
                <w:szCs w:val="1"/>
                <w:color w:val="auto"/>
              </w:rPr>
            </w:pPr>
          </w:p>
        </w:tc>
      </w:tr>
      <w:tr>
        <w:trPr>
          <w:trHeight w:val="174"/>
        </w:trPr>
        <w:tc>
          <w:tcPr>
            <w:tcW w:w="3320" w:type="dxa"/>
            <w:vAlign w:val="bottom"/>
            <w:tcBorders>
              <w:top w:val="single" w:sz="8" w:color="CCEEFF"/>
              <w:bottom w:val="single" w:sz="8" w:color="CCEEFF"/>
            </w:tcBorders>
            <w:gridSpan w:val="2"/>
            <w:shd w:val="clear" w:color="auto" w:fill="CCEEFF"/>
          </w:tcPr>
          <w:p>
            <w:pPr>
              <w:spacing w:after="0" w:line="147" w:lineRule="exact"/>
              <w:rPr>
                <w:sz w:val="20"/>
                <w:szCs w:val="20"/>
                <w:color w:val="auto"/>
              </w:rPr>
            </w:pPr>
            <w:r>
              <w:rPr>
                <w:rFonts w:ascii="Arial" w:cs="Arial" w:eastAsia="Arial" w:hAnsi="Arial"/>
                <w:sz w:val="13"/>
                <w:szCs w:val="13"/>
                <w:b w:val="1"/>
                <w:bCs w:val="1"/>
                <w:color w:val="auto"/>
              </w:rPr>
              <w:t>Total interest-earning assets</w:t>
            </w: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w w:val="82"/>
              </w:rPr>
              <w:t>$</w:t>
            </w:r>
          </w:p>
        </w:tc>
        <w:tc>
          <w:tcPr>
            <w:tcW w:w="6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6,427</w:t>
            </w:r>
          </w:p>
        </w:tc>
        <w:tc>
          <w:tcPr>
            <w:tcW w:w="140" w:type="dxa"/>
            <w:vAlign w:val="bottom"/>
            <w:tcBorders>
              <w:top w:val="single" w:sz="8" w:color="CCEEFF"/>
              <w:bottom w:val="single" w:sz="8" w:color="CCEEFF"/>
            </w:tcBorders>
            <w:shd w:val="clear" w:color="auto" w:fill="CCEEFF"/>
          </w:tcPr>
          <w:p>
            <w:pPr>
              <w:spacing w:after="0"/>
              <w:rPr>
                <w:sz w:val="15"/>
                <w:szCs w:val="15"/>
                <w:color w:val="auto"/>
              </w:rPr>
            </w:pPr>
          </w:p>
        </w:tc>
        <w:tc>
          <w:tcPr>
            <w:tcW w:w="100" w:type="dxa"/>
            <w:vAlign w:val="bottom"/>
            <w:tcBorders>
              <w:top w:val="single" w:sz="8" w:color="CCEEFF"/>
              <w:bottom w:val="single" w:sz="8" w:color="CCEEFF"/>
            </w:tcBorders>
            <w:shd w:val="clear" w:color="auto" w:fill="CCEEFF"/>
          </w:tcPr>
          <w:p>
            <w:pPr>
              <w:spacing w:after="0"/>
              <w:rPr>
                <w:sz w:val="15"/>
                <w:szCs w:val="15"/>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0"/>
                <w:szCs w:val="10"/>
                <w:b w:val="1"/>
                <w:bCs w:val="1"/>
                <w:color w:val="auto"/>
                <w:w w:val="71"/>
              </w:rPr>
              <w:t>$</w:t>
            </w:r>
          </w:p>
        </w:tc>
        <w:tc>
          <w:tcPr>
            <w:tcW w:w="5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258.5</w:t>
            </w:r>
          </w:p>
        </w:tc>
        <w:tc>
          <w:tcPr>
            <w:tcW w:w="160" w:type="dxa"/>
            <w:vAlign w:val="bottom"/>
            <w:tcBorders>
              <w:top w:val="single" w:sz="8" w:color="CCEEFF"/>
              <w:bottom w:val="single" w:sz="8" w:color="CCEEFF"/>
            </w:tcBorders>
            <w:shd w:val="clear" w:color="auto" w:fill="CCEEFF"/>
          </w:tcPr>
          <w:p>
            <w:pPr>
              <w:spacing w:after="0"/>
              <w:rPr>
                <w:sz w:val="15"/>
                <w:szCs w:val="15"/>
                <w:color w:val="auto"/>
              </w:rPr>
            </w:pPr>
          </w:p>
        </w:tc>
        <w:tc>
          <w:tcPr>
            <w:tcW w:w="960" w:type="dxa"/>
            <w:vAlign w:val="bottom"/>
            <w:tcBorders>
              <w:top w:val="single" w:sz="8" w:color="CCEEFF"/>
              <w:bottom w:val="single" w:sz="8" w:color="CCEEFF"/>
            </w:tcBorders>
            <w:gridSpan w:val="2"/>
            <w:shd w:val="clear" w:color="auto" w:fill="CCEEFF"/>
          </w:tcPr>
          <w:p>
            <w:pPr>
              <w:ind w:left="540"/>
              <w:spacing w:after="0" w:line="147" w:lineRule="exact"/>
              <w:rPr>
                <w:sz w:val="20"/>
                <w:szCs w:val="20"/>
                <w:color w:val="auto"/>
              </w:rPr>
            </w:pPr>
            <w:r>
              <w:rPr>
                <w:rFonts w:ascii="Arial" w:cs="Arial" w:eastAsia="Arial" w:hAnsi="Arial"/>
                <w:sz w:val="13"/>
                <w:szCs w:val="13"/>
                <w:b w:val="1"/>
                <w:bCs w:val="1"/>
                <w:color w:val="auto"/>
              </w:rPr>
              <w:t>3.97%</w:t>
            </w:r>
          </w:p>
        </w:tc>
        <w:tc>
          <w:tcPr>
            <w:tcW w:w="60" w:type="dxa"/>
            <w:vAlign w:val="bottom"/>
            <w:tcBorders>
              <w:top w:val="single" w:sz="8" w:color="CCEEFF"/>
              <w:bottom w:val="single" w:sz="8" w:color="CCEEFF"/>
            </w:tcBorders>
            <w:shd w:val="clear" w:color="auto" w:fill="CCEEFF"/>
          </w:tcPr>
          <w:p>
            <w:pPr>
              <w:spacing w:after="0"/>
              <w:rPr>
                <w:sz w:val="15"/>
                <w:szCs w:val="15"/>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w w:val="82"/>
              </w:rPr>
              <w:t>$</w:t>
            </w:r>
          </w:p>
        </w:tc>
        <w:tc>
          <w:tcPr>
            <w:tcW w:w="6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6,494</w:t>
            </w:r>
          </w:p>
        </w:tc>
        <w:tc>
          <w:tcPr>
            <w:tcW w:w="240" w:type="dxa"/>
            <w:vAlign w:val="bottom"/>
            <w:tcBorders>
              <w:top w:val="single" w:sz="8" w:color="CCEEFF"/>
              <w:bottom w:val="single" w:sz="8" w:color="CCEEFF"/>
            </w:tcBorders>
            <w:shd w:val="clear" w:color="auto" w:fill="CCEEFF"/>
          </w:tcPr>
          <w:p>
            <w:pPr>
              <w:spacing w:after="0"/>
              <w:rPr>
                <w:sz w:val="15"/>
                <w:szCs w:val="15"/>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0"/>
                <w:szCs w:val="10"/>
                <w:b w:val="1"/>
                <w:bCs w:val="1"/>
                <w:color w:val="auto"/>
                <w:w w:val="71"/>
              </w:rPr>
              <w:t>$</w:t>
            </w:r>
          </w:p>
        </w:tc>
        <w:tc>
          <w:tcPr>
            <w:tcW w:w="5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226.1</w:t>
            </w:r>
          </w:p>
        </w:tc>
        <w:tc>
          <w:tcPr>
            <w:tcW w:w="160" w:type="dxa"/>
            <w:vAlign w:val="bottom"/>
            <w:tcBorders>
              <w:top w:val="single" w:sz="8" w:color="CCEEFF"/>
              <w:bottom w:val="single" w:sz="8" w:color="CCEEFF"/>
            </w:tcBorders>
            <w:shd w:val="clear" w:color="auto" w:fill="CCEEFF"/>
          </w:tcPr>
          <w:p>
            <w:pPr>
              <w:spacing w:after="0"/>
              <w:rPr>
                <w:sz w:val="15"/>
                <w:szCs w:val="15"/>
                <w:color w:val="auto"/>
              </w:rPr>
            </w:pPr>
          </w:p>
        </w:tc>
        <w:tc>
          <w:tcPr>
            <w:tcW w:w="940" w:type="dxa"/>
            <w:vAlign w:val="bottom"/>
            <w:tcBorders>
              <w:top w:val="single" w:sz="8" w:color="CCEEFF"/>
              <w:bottom w:val="single" w:sz="8" w:color="CCEEFF"/>
            </w:tcBorders>
            <w:gridSpan w:val="2"/>
            <w:shd w:val="clear" w:color="auto" w:fill="CCEEFF"/>
          </w:tcPr>
          <w:p>
            <w:pPr>
              <w:ind w:left="520"/>
              <w:spacing w:after="0" w:line="147" w:lineRule="exact"/>
              <w:rPr>
                <w:sz w:val="20"/>
                <w:szCs w:val="20"/>
                <w:color w:val="auto"/>
              </w:rPr>
            </w:pPr>
            <w:r>
              <w:rPr>
                <w:rFonts w:ascii="Arial" w:cs="Arial" w:eastAsia="Arial" w:hAnsi="Arial"/>
                <w:sz w:val="13"/>
                <w:szCs w:val="13"/>
                <w:b w:val="1"/>
                <w:bCs w:val="1"/>
                <w:color w:val="auto"/>
              </w:rPr>
              <w:t>3.43%</w:t>
            </w:r>
          </w:p>
        </w:tc>
        <w:tc>
          <w:tcPr>
            <w:tcW w:w="60" w:type="dxa"/>
            <w:vAlign w:val="bottom"/>
            <w:tcBorders>
              <w:top w:val="single" w:sz="8" w:color="CCEEFF"/>
              <w:bottom w:val="single" w:sz="8" w:color="CCEEFF"/>
            </w:tcBorders>
            <w:shd w:val="clear" w:color="auto" w:fill="CCEEFF"/>
          </w:tcPr>
          <w:p>
            <w:pPr>
              <w:spacing w:after="0"/>
              <w:rPr>
                <w:sz w:val="15"/>
                <w:szCs w:val="15"/>
                <w:color w:val="auto"/>
              </w:rPr>
            </w:pPr>
          </w:p>
        </w:tc>
        <w:tc>
          <w:tcPr>
            <w:tcW w:w="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0"/>
                <w:szCs w:val="10"/>
                <w:b w:val="1"/>
                <w:bCs w:val="1"/>
                <w:color w:val="auto"/>
                <w:w w:val="71"/>
              </w:rPr>
              <w:t>$</w:t>
            </w:r>
          </w:p>
        </w:tc>
        <w:tc>
          <w:tcPr>
            <w:tcW w:w="5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7,463</w:t>
            </w:r>
          </w:p>
        </w:tc>
        <w:tc>
          <w:tcPr>
            <w:tcW w:w="140" w:type="dxa"/>
            <w:vAlign w:val="bottom"/>
            <w:tcBorders>
              <w:top w:val="single" w:sz="8" w:color="CCEEFF"/>
              <w:bottom w:val="single" w:sz="8" w:color="CCEEFF"/>
            </w:tcBorders>
            <w:shd w:val="clear" w:color="auto" w:fill="CCEEFF"/>
          </w:tcPr>
          <w:p>
            <w:pPr>
              <w:spacing w:after="0"/>
              <w:rPr>
                <w:sz w:val="15"/>
                <w:szCs w:val="15"/>
                <w:color w:val="auto"/>
              </w:rPr>
            </w:pPr>
          </w:p>
        </w:tc>
        <w:tc>
          <w:tcPr>
            <w:tcW w:w="80" w:type="dxa"/>
            <w:vAlign w:val="bottom"/>
            <w:tcBorders>
              <w:top w:val="single" w:sz="8" w:color="CCEEFF"/>
              <w:bottom w:val="single" w:sz="8" w:color="CCEEFF"/>
            </w:tcBorders>
            <w:shd w:val="clear" w:color="auto" w:fill="CCEEFF"/>
          </w:tcPr>
          <w:p>
            <w:pPr>
              <w:spacing w:after="0"/>
              <w:rPr>
                <w:sz w:val="15"/>
                <w:szCs w:val="15"/>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0"/>
                <w:szCs w:val="10"/>
                <w:b w:val="1"/>
                <w:bCs w:val="1"/>
                <w:color w:val="auto"/>
                <w:w w:val="71"/>
              </w:rPr>
              <w:t>$</w:t>
            </w:r>
          </w:p>
        </w:tc>
        <w:tc>
          <w:tcPr>
            <w:tcW w:w="5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245.9</w:t>
            </w:r>
          </w:p>
        </w:tc>
        <w:tc>
          <w:tcPr>
            <w:tcW w:w="140" w:type="dxa"/>
            <w:vAlign w:val="bottom"/>
            <w:tcBorders>
              <w:top w:val="single" w:sz="8" w:color="CCEEFF"/>
              <w:bottom w:val="single" w:sz="8" w:color="CCEEFF"/>
            </w:tcBorders>
            <w:shd w:val="clear" w:color="auto" w:fill="CCEEFF"/>
          </w:tcPr>
          <w:p>
            <w:pPr>
              <w:spacing w:after="0"/>
              <w:rPr>
                <w:sz w:val="15"/>
                <w:szCs w:val="15"/>
                <w:color w:val="auto"/>
              </w:rPr>
            </w:pPr>
          </w:p>
        </w:tc>
        <w:tc>
          <w:tcPr>
            <w:tcW w:w="880" w:type="dxa"/>
            <w:vAlign w:val="bottom"/>
            <w:tcBorders>
              <w:top w:val="single" w:sz="8" w:color="CCEEFF"/>
              <w:bottom w:val="single" w:sz="8" w:color="CCEEFF"/>
            </w:tcBorders>
            <w:gridSpan w:val="2"/>
            <w:shd w:val="clear" w:color="auto" w:fill="CCEEFF"/>
          </w:tcPr>
          <w:p>
            <w:pPr>
              <w:ind w:left="520"/>
              <w:spacing w:after="0" w:line="147" w:lineRule="exact"/>
              <w:rPr>
                <w:sz w:val="20"/>
                <w:szCs w:val="20"/>
                <w:color w:val="auto"/>
              </w:rPr>
            </w:pPr>
            <w:r>
              <w:rPr>
                <w:rFonts w:ascii="Arial" w:cs="Arial" w:eastAsia="Arial" w:hAnsi="Arial"/>
                <w:sz w:val="13"/>
                <w:szCs w:val="13"/>
                <w:b w:val="1"/>
                <w:bCs w:val="1"/>
                <w:color w:val="auto"/>
                <w:w w:val="92"/>
              </w:rPr>
              <w:t>3.24%</w:t>
            </w:r>
          </w:p>
        </w:tc>
        <w:tc>
          <w:tcPr>
            <w:tcW w:w="0" w:type="dxa"/>
            <w:vAlign w:val="bottom"/>
          </w:tcPr>
          <w:p>
            <w:pPr>
              <w:spacing w:after="0"/>
              <w:rPr>
                <w:sz w:val="1"/>
                <w:szCs w:val="1"/>
                <w:color w:val="auto"/>
              </w:rPr>
            </w:pPr>
          </w:p>
        </w:tc>
      </w:tr>
      <w:tr>
        <w:trPr>
          <w:trHeight w:val="143"/>
        </w:trPr>
        <w:tc>
          <w:tcPr>
            <w:tcW w:w="3320" w:type="dxa"/>
            <w:vAlign w:val="bottom"/>
            <w:gridSpan w:val="2"/>
          </w:tcPr>
          <w:p>
            <w:pPr>
              <w:spacing w:after="0" w:line="143" w:lineRule="exact"/>
              <w:rPr>
                <w:sz w:val="20"/>
                <w:szCs w:val="20"/>
                <w:color w:val="auto"/>
              </w:rPr>
            </w:pPr>
            <w:r>
              <w:rPr>
                <w:rFonts w:ascii="Arial" w:cs="Arial" w:eastAsia="Arial" w:hAnsi="Arial"/>
                <w:sz w:val="13"/>
                <w:szCs w:val="13"/>
                <w:color w:val="auto"/>
              </w:rPr>
              <w:t>Allowance for loan losses</w:t>
            </w:r>
          </w:p>
        </w:tc>
        <w:tc>
          <w:tcPr>
            <w:tcW w:w="100" w:type="dxa"/>
            <w:vAlign w:val="bottom"/>
          </w:tcPr>
          <w:p>
            <w:pPr>
              <w:spacing w:after="0"/>
              <w:rPr>
                <w:sz w:val="12"/>
                <w:szCs w:val="12"/>
                <w:color w:val="auto"/>
              </w:rPr>
            </w:pPr>
          </w:p>
        </w:tc>
        <w:tc>
          <w:tcPr>
            <w:tcW w:w="600" w:type="dxa"/>
            <w:vAlign w:val="bottom"/>
          </w:tcPr>
          <w:p>
            <w:pPr>
              <w:jc w:val="right"/>
              <w:spacing w:after="0" w:line="143" w:lineRule="exact"/>
              <w:rPr>
                <w:sz w:val="20"/>
                <w:szCs w:val="20"/>
                <w:color w:val="auto"/>
              </w:rPr>
            </w:pPr>
            <w:r>
              <w:rPr>
                <w:rFonts w:ascii="Arial" w:cs="Arial" w:eastAsia="Arial" w:hAnsi="Arial"/>
                <w:sz w:val="13"/>
                <w:szCs w:val="13"/>
                <w:color w:val="auto"/>
              </w:rPr>
              <w:t>(98)</w:t>
            </w: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0" w:type="dxa"/>
            <w:vAlign w:val="bottom"/>
          </w:tcPr>
          <w:p>
            <w:pPr>
              <w:jc w:val="right"/>
              <w:spacing w:after="0" w:line="143" w:lineRule="exact"/>
              <w:rPr>
                <w:sz w:val="20"/>
                <w:szCs w:val="20"/>
                <w:color w:val="auto"/>
              </w:rPr>
            </w:pPr>
            <w:r>
              <w:rPr>
                <w:rFonts w:ascii="Arial" w:cs="Arial" w:eastAsia="Arial" w:hAnsi="Arial"/>
                <w:sz w:val="13"/>
                <w:szCs w:val="13"/>
                <w:color w:val="auto"/>
              </w:rPr>
              <w:t>(110)</w:t>
            </w: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580" w:type="dxa"/>
            <w:vAlign w:val="bottom"/>
          </w:tcPr>
          <w:p>
            <w:pPr>
              <w:jc w:val="right"/>
              <w:spacing w:after="0" w:line="143" w:lineRule="exact"/>
              <w:rPr>
                <w:sz w:val="20"/>
                <w:szCs w:val="20"/>
                <w:color w:val="auto"/>
              </w:rPr>
            </w:pPr>
            <w:r>
              <w:rPr>
                <w:rFonts w:ascii="Arial" w:cs="Arial" w:eastAsia="Arial" w:hAnsi="Arial"/>
                <w:sz w:val="13"/>
                <w:szCs w:val="13"/>
                <w:color w:val="auto"/>
              </w:rPr>
              <w:t>(96)</w:t>
            </w: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4"/>
        </w:trPr>
        <w:tc>
          <w:tcPr>
            <w:tcW w:w="332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Non-interest-earning and other assets</w:t>
            </w:r>
          </w:p>
        </w:tc>
        <w:tc>
          <w:tcPr>
            <w:tcW w:w="100" w:type="dxa"/>
            <w:vAlign w:val="bottom"/>
            <w:shd w:val="clear" w:color="auto" w:fill="CCEEFF"/>
          </w:tcPr>
          <w:p>
            <w:pPr>
              <w:spacing w:after="0"/>
              <w:rPr>
                <w:sz w:val="14"/>
                <w:szCs w:val="14"/>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122</w:t>
            </w:r>
          </w:p>
        </w:tc>
        <w:tc>
          <w:tcPr>
            <w:tcW w:w="1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58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76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8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84</w:t>
            </w:r>
          </w:p>
        </w:tc>
        <w:tc>
          <w:tcPr>
            <w:tcW w:w="100" w:type="dxa"/>
            <w:vAlign w:val="bottom"/>
            <w:shd w:val="clear" w:color="auto" w:fill="CCEEFF"/>
          </w:tcPr>
          <w:p>
            <w:pPr>
              <w:spacing w:after="0"/>
              <w:rPr>
                <w:sz w:val="14"/>
                <w:szCs w:val="14"/>
                <w:color w:val="auto"/>
              </w:rPr>
            </w:pPr>
          </w:p>
        </w:tc>
        <w:tc>
          <w:tcPr>
            <w:tcW w:w="58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76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112</w:t>
            </w:r>
          </w:p>
        </w:tc>
        <w:tc>
          <w:tcPr>
            <w:tcW w:w="8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58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74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3320" w:type="dxa"/>
            <w:vAlign w:val="bottom"/>
            <w:tcBorders>
              <w:bottom w:val="single" w:sz="8" w:color="CCEEFF"/>
            </w:tcBorders>
            <w:gridSpan w:val="2"/>
          </w:tcPr>
          <w:p>
            <w:pPr>
              <w:ind w:left="180"/>
              <w:spacing w:after="0" w:line="146" w:lineRule="exact"/>
              <w:rPr>
                <w:sz w:val="20"/>
                <w:szCs w:val="20"/>
                <w:color w:val="auto"/>
              </w:rPr>
            </w:pPr>
            <w:r>
              <w:rPr>
                <w:rFonts w:ascii="Arial" w:cs="Arial" w:eastAsia="Arial" w:hAnsi="Arial"/>
                <w:sz w:val="13"/>
                <w:szCs w:val="13"/>
                <w:b w:val="1"/>
                <w:bCs w:val="1"/>
                <w:color w:val="auto"/>
              </w:rPr>
              <w:t>Total Assets</w:t>
            </w: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w w:val="82"/>
              </w:rPr>
              <w:t>$</w:t>
            </w:r>
          </w:p>
        </w:tc>
        <w:tc>
          <w:tcPr>
            <w:tcW w:w="6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6,451</w:t>
            </w:r>
          </w:p>
        </w:tc>
        <w:tc>
          <w:tcPr>
            <w:tcW w:w="140" w:type="dxa"/>
            <w:vAlign w:val="bottom"/>
            <w:tcBorders>
              <w:bottom w:val="single" w:sz="8" w:color="CCEEFF"/>
            </w:tcBorders>
          </w:tcPr>
          <w:p>
            <w:pPr>
              <w:spacing w:after="0"/>
              <w:rPr>
                <w:sz w:val="14"/>
                <w:szCs w:val="14"/>
                <w:color w:val="auto"/>
              </w:rPr>
            </w:pPr>
          </w:p>
        </w:tc>
        <w:tc>
          <w:tcPr>
            <w:tcW w:w="100" w:type="dxa"/>
            <w:vAlign w:val="bottom"/>
            <w:tcBorders>
              <w:bottom w:val="single" w:sz="8" w:color="CCEEFF"/>
            </w:tcBorders>
          </w:tcPr>
          <w:p>
            <w:pPr>
              <w:spacing w:after="0"/>
              <w:rPr>
                <w:sz w:val="14"/>
                <w:szCs w:val="14"/>
                <w:color w:val="auto"/>
              </w:rPr>
            </w:pPr>
          </w:p>
        </w:tc>
        <w:tc>
          <w:tcPr>
            <w:tcW w:w="100" w:type="dxa"/>
            <w:vAlign w:val="bottom"/>
            <w:tcBorders>
              <w:bottom w:val="single" w:sz="8" w:color="CCEEFF"/>
            </w:tcBorders>
          </w:tcPr>
          <w:p>
            <w:pPr>
              <w:spacing w:after="0"/>
              <w:rPr>
                <w:sz w:val="14"/>
                <w:szCs w:val="14"/>
                <w:color w:val="auto"/>
              </w:rPr>
            </w:pPr>
          </w:p>
        </w:tc>
        <w:tc>
          <w:tcPr>
            <w:tcW w:w="580" w:type="dxa"/>
            <w:vAlign w:val="bottom"/>
            <w:tcBorders>
              <w:bottom w:val="single" w:sz="8" w:color="CCEEFF"/>
            </w:tcBorders>
          </w:tcPr>
          <w:p>
            <w:pPr>
              <w:spacing w:after="0"/>
              <w:rPr>
                <w:sz w:val="14"/>
                <w:szCs w:val="14"/>
                <w:color w:val="auto"/>
              </w:rPr>
            </w:pPr>
          </w:p>
        </w:tc>
        <w:tc>
          <w:tcPr>
            <w:tcW w:w="160" w:type="dxa"/>
            <w:vAlign w:val="bottom"/>
            <w:tcBorders>
              <w:bottom w:val="single" w:sz="8" w:color="CCEEFF"/>
            </w:tcBorders>
          </w:tcPr>
          <w:p>
            <w:pPr>
              <w:spacing w:after="0"/>
              <w:rPr>
                <w:sz w:val="14"/>
                <w:szCs w:val="14"/>
                <w:color w:val="auto"/>
              </w:rPr>
            </w:pPr>
          </w:p>
        </w:tc>
        <w:tc>
          <w:tcPr>
            <w:tcW w:w="760" w:type="dxa"/>
            <w:vAlign w:val="bottom"/>
            <w:tcBorders>
              <w:bottom w:val="single" w:sz="8" w:color="CCEEFF"/>
            </w:tcBorders>
          </w:tcPr>
          <w:p>
            <w:pPr>
              <w:spacing w:after="0"/>
              <w:rPr>
                <w:sz w:val="14"/>
                <w:szCs w:val="14"/>
                <w:color w:val="auto"/>
              </w:rPr>
            </w:pPr>
          </w:p>
        </w:tc>
        <w:tc>
          <w:tcPr>
            <w:tcW w:w="200" w:type="dxa"/>
            <w:vAlign w:val="bottom"/>
            <w:tcBorders>
              <w:bottom w:val="single" w:sz="8" w:color="CCEEFF"/>
            </w:tcBorders>
          </w:tcPr>
          <w:p>
            <w:pPr>
              <w:spacing w:after="0"/>
              <w:rPr>
                <w:sz w:val="14"/>
                <w:szCs w:val="14"/>
                <w:color w:val="auto"/>
              </w:rPr>
            </w:pPr>
          </w:p>
        </w:tc>
        <w:tc>
          <w:tcPr>
            <w:tcW w:w="60" w:type="dxa"/>
            <w:vAlign w:val="bottom"/>
            <w:tcBorders>
              <w:bottom w:val="single" w:sz="8" w:color="CCEEFF"/>
            </w:tcBorders>
          </w:tcPr>
          <w:p>
            <w:pPr>
              <w:spacing w:after="0"/>
              <w:rPr>
                <w:sz w:val="14"/>
                <w:szCs w:val="14"/>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w w:val="82"/>
              </w:rPr>
              <w:t>$</w:t>
            </w:r>
          </w:p>
        </w:tc>
        <w:tc>
          <w:tcPr>
            <w:tcW w:w="6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6,468</w:t>
            </w:r>
          </w:p>
        </w:tc>
        <w:tc>
          <w:tcPr>
            <w:tcW w:w="240" w:type="dxa"/>
            <w:vAlign w:val="bottom"/>
            <w:tcBorders>
              <w:bottom w:val="single" w:sz="8" w:color="CCEEFF"/>
            </w:tcBorders>
          </w:tcPr>
          <w:p>
            <w:pPr>
              <w:spacing w:after="0"/>
              <w:rPr>
                <w:sz w:val="14"/>
                <w:szCs w:val="14"/>
                <w:color w:val="auto"/>
              </w:rPr>
            </w:pPr>
          </w:p>
        </w:tc>
        <w:tc>
          <w:tcPr>
            <w:tcW w:w="100" w:type="dxa"/>
            <w:vAlign w:val="bottom"/>
            <w:tcBorders>
              <w:bottom w:val="single" w:sz="8" w:color="CCEEFF"/>
            </w:tcBorders>
          </w:tcPr>
          <w:p>
            <w:pPr>
              <w:spacing w:after="0"/>
              <w:rPr>
                <w:sz w:val="14"/>
                <w:szCs w:val="14"/>
                <w:color w:val="auto"/>
              </w:rPr>
            </w:pPr>
          </w:p>
        </w:tc>
        <w:tc>
          <w:tcPr>
            <w:tcW w:w="580" w:type="dxa"/>
            <w:vAlign w:val="bottom"/>
            <w:tcBorders>
              <w:bottom w:val="single" w:sz="8" w:color="CCEEFF"/>
            </w:tcBorders>
          </w:tcPr>
          <w:p>
            <w:pPr>
              <w:spacing w:after="0"/>
              <w:rPr>
                <w:sz w:val="14"/>
                <w:szCs w:val="14"/>
                <w:color w:val="auto"/>
              </w:rPr>
            </w:pPr>
          </w:p>
        </w:tc>
        <w:tc>
          <w:tcPr>
            <w:tcW w:w="160" w:type="dxa"/>
            <w:vAlign w:val="bottom"/>
            <w:tcBorders>
              <w:bottom w:val="single" w:sz="8" w:color="CCEEFF"/>
            </w:tcBorders>
          </w:tcPr>
          <w:p>
            <w:pPr>
              <w:spacing w:after="0"/>
              <w:rPr>
                <w:sz w:val="14"/>
                <w:szCs w:val="14"/>
                <w:color w:val="auto"/>
              </w:rPr>
            </w:pPr>
          </w:p>
        </w:tc>
        <w:tc>
          <w:tcPr>
            <w:tcW w:w="760" w:type="dxa"/>
            <w:vAlign w:val="bottom"/>
            <w:tcBorders>
              <w:bottom w:val="single" w:sz="8" w:color="CCEEFF"/>
            </w:tcBorders>
          </w:tcPr>
          <w:p>
            <w:pPr>
              <w:spacing w:after="0"/>
              <w:rPr>
                <w:sz w:val="14"/>
                <w:szCs w:val="14"/>
                <w:color w:val="auto"/>
              </w:rPr>
            </w:pPr>
          </w:p>
        </w:tc>
        <w:tc>
          <w:tcPr>
            <w:tcW w:w="180" w:type="dxa"/>
            <w:vAlign w:val="bottom"/>
            <w:tcBorders>
              <w:bottom w:val="single" w:sz="8" w:color="CCEEFF"/>
            </w:tcBorders>
          </w:tcPr>
          <w:p>
            <w:pPr>
              <w:spacing w:after="0"/>
              <w:rPr>
                <w:sz w:val="14"/>
                <w:szCs w:val="14"/>
                <w:color w:val="auto"/>
              </w:rPr>
            </w:pPr>
          </w:p>
        </w:tc>
        <w:tc>
          <w:tcPr>
            <w:tcW w:w="60" w:type="dxa"/>
            <w:vAlign w:val="bottom"/>
            <w:tcBorders>
              <w:bottom w:val="single" w:sz="8" w:color="CCEEFF"/>
            </w:tcBorders>
          </w:tcPr>
          <w:p>
            <w:pPr>
              <w:spacing w:after="0"/>
              <w:rPr>
                <w:sz w:val="14"/>
                <w:szCs w:val="14"/>
                <w:color w:val="auto"/>
              </w:rPr>
            </w:pPr>
          </w:p>
        </w:tc>
        <w:tc>
          <w:tcPr>
            <w:tcW w:w="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0"/>
                <w:szCs w:val="10"/>
                <w:b w:val="1"/>
                <w:bCs w:val="1"/>
                <w:color w:val="auto"/>
                <w:w w:val="71"/>
              </w:rPr>
              <w:t>$</w:t>
            </w:r>
          </w:p>
        </w:tc>
        <w:tc>
          <w:tcPr>
            <w:tcW w:w="5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7,479</w:t>
            </w:r>
          </w:p>
        </w:tc>
        <w:tc>
          <w:tcPr>
            <w:tcW w:w="140" w:type="dxa"/>
            <w:vAlign w:val="bottom"/>
            <w:tcBorders>
              <w:bottom w:val="single" w:sz="8" w:color="CCEEFF"/>
            </w:tcBorders>
          </w:tcPr>
          <w:p>
            <w:pPr>
              <w:spacing w:after="0"/>
              <w:rPr>
                <w:sz w:val="14"/>
                <w:szCs w:val="14"/>
                <w:color w:val="auto"/>
              </w:rPr>
            </w:pPr>
          </w:p>
        </w:tc>
        <w:tc>
          <w:tcPr>
            <w:tcW w:w="80" w:type="dxa"/>
            <w:vAlign w:val="bottom"/>
            <w:tcBorders>
              <w:bottom w:val="single" w:sz="8" w:color="CCEEFF"/>
            </w:tcBorders>
          </w:tcPr>
          <w:p>
            <w:pPr>
              <w:spacing w:after="0"/>
              <w:rPr>
                <w:sz w:val="14"/>
                <w:szCs w:val="14"/>
                <w:color w:val="auto"/>
              </w:rPr>
            </w:pPr>
          </w:p>
        </w:tc>
        <w:tc>
          <w:tcPr>
            <w:tcW w:w="100" w:type="dxa"/>
            <w:vAlign w:val="bottom"/>
            <w:tcBorders>
              <w:bottom w:val="single" w:sz="8" w:color="CCEEFF"/>
            </w:tcBorders>
          </w:tcPr>
          <w:p>
            <w:pPr>
              <w:spacing w:after="0"/>
              <w:rPr>
                <w:sz w:val="14"/>
                <w:szCs w:val="14"/>
                <w:color w:val="auto"/>
              </w:rPr>
            </w:pPr>
          </w:p>
        </w:tc>
        <w:tc>
          <w:tcPr>
            <w:tcW w:w="580" w:type="dxa"/>
            <w:vAlign w:val="bottom"/>
            <w:tcBorders>
              <w:bottom w:val="single" w:sz="8" w:color="CCEEFF"/>
            </w:tcBorders>
          </w:tcPr>
          <w:p>
            <w:pPr>
              <w:spacing w:after="0"/>
              <w:rPr>
                <w:sz w:val="14"/>
                <w:szCs w:val="14"/>
                <w:color w:val="auto"/>
              </w:rPr>
            </w:pPr>
          </w:p>
        </w:tc>
        <w:tc>
          <w:tcPr>
            <w:tcW w:w="140" w:type="dxa"/>
            <w:vAlign w:val="bottom"/>
            <w:tcBorders>
              <w:bottom w:val="single" w:sz="8" w:color="CCEEFF"/>
            </w:tcBorders>
          </w:tcPr>
          <w:p>
            <w:pPr>
              <w:spacing w:after="0"/>
              <w:rPr>
                <w:sz w:val="14"/>
                <w:szCs w:val="14"/>
                <w:color w:val="auto"/>
              </w:rPr>
            </w:pPr>
          </w:p>
        </w:tc>
        <w:tc>
          <w:tcPr>
            <w:tcW w:w="740" w:type="dxa"/>
            <w:vAlign w:val="bottom"/>
            <w:tcBorders>
              <w:bottom w:val="single" w:sz="8" w:color="CCEEFF"/>
            </w:tcBorders>
          </w:tcPr>
          <w:p>
            <w:pPr>
              <w:spacing w:after="0"/>
              <w:rPr>
                <w:sz w:val="14"/>
                <w:szCs w:val="14"/>
                <w:color w:val="auto"/>
              </w:rPr>
            </w:pPr>
          </w:p>
        </w:tc>
        <w:tc>
          <w:tcPr>
            <w:tcW w:w="14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3320" w:type="dxa"/>
            <w:vAlign w:val="bottom"/>
            <w:gridSpan w:val="2"/>
            <w:shd w:val="clear" w:color="auto" w:fill="CCEEFF"/>
          </w:tcPr>
          <w:p>
            <w:pPr>
              <w:spacing w:after="0"/>
              <w:rPr>
                <w:sz w:val="20"/>
                <w:szCs w:val="20"/>
                <w:color w:val="auto"/>
              </w:rPr>
            </w:pPr>
            <w:r>
              <w:rPr>
                <w:rFonts w:ascii="Arial" w:cs="Arial" w:eastAsia="Arial" w:hAnsi="Arial"/>
                <w:sz w:val="13"/>
                <w:szCs w:val="13"/>
                <w:b w:val="1"/>
                <w:bCs w:val="1"/>
                <w:color w:val="auto"/>
              </w:rPr>
              <w:t>Interest-Bearing Liabilities</w:t>
            </w:r>
          </w:p>
        </w:tc>
        <w:tc>
          <w:tcPr>
            <w:tcW w:w="100" w:type="dxa"/>
            <w:vAlign w:val="bottom"/>
            <w:shd w:val="clear" w:color="auto" w:fill="CCEEFF"/>
          </w:tcPr>
          <w:p>
            <w:pPr>
              <w:spacing w:after="0"/>
              <w:rPr>
                <w:sz w:val="13"/>
                <w:szCs w:val="13"/>
                <w:color w:val="auto"/>
              </w:rPr>
            </w:pPr>
          </w:p>
        </w:tc>
        <w:tc>
          <w:tcPr>
            <w:tcW w:w="60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58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76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6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58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76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5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5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74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3320" w:type="dxa"/>
            <w:vAlign w:val="bottom"/>
            <w:gridSpan w:val="2"/>
          </w:tcPr>
          <w:p>
            <w:pPr>
              <w:ind w:left="160"/>
              <w:spacing w:after="0"/>
              <w:rPr>
                <w:sz w:val="20"/>
                <w:szCs w:val="20"/>
                <w:color w:val="auto"/>
              </w:rPr>
            </w:pPr>
            <w:r>
              <w:rPr>
                <w:rFonts w:ascii="Arial" w:cs="Arial" w:eastAsia="Arial" w:hAnsi="Arial"/>
                <w:sz w:val="13"/>
                <w:szCs w:val="13"/>
                <w:color w:val="auto"/>
              </w:rPr>
              <w:t>Demand deposits</w:t>
            </w:r>
          </w:p>
        </w:tc>
        <w:tc>
          <w:tcPr>
            <w:tcW w:w="100" w:type="dxa"/>
            <w:vAlign w:val="bottom"/>
          </w:tcPr>
          <w:p>
            <w:pPr>
              <w:jc w:val="right"/>
              <w:spacing w:after="0"/>
              <w:rPr>
                <w:sz w:val="20"/>
                <w:szCs w:val="20"/>
                <w:color w:val="auto"/>
              </w:rPr>
            </w:pPr>
            <w:r>
              <w:rPr>
                <w:rFonts w:ascii="Arial" w:cs="Arial" w:eastAsia="Arial" w:hAnsi="Arial"/>
                <w:sz w:val="13"/>
                <w:szCs w:val="13"/>
                <w:color w:val="auto"/>
                <w:w w:val="82"/>
              </w:rPr>
              <w:t>$</w:t>
            </w:r>
          </w:p>
        </w:tc>
        <w:tc>
          <w:tcPr>
            <w:tcW w:w="600" w:type="dxa"/>
            <w:vAlign w:val="bottom"/>
          </w:tcPr>
          <w:p>
            <w:pPr>
              <w:jc w:val="right"/>
              <w:spacing w:after="0"/>
              <w:rPr>
                <w:sz w:val="20"/>
                <w:szCs w:val="20"/>
                <w:color w:val="auto"/>
              </w:rPr>
            </w:pPr>
            <w:r>
              <w:rPr>
                <w:rFonts w:ascii="Arial" w:cs="Arial" w:eastAsia="Arial" w:hAnsi="Arial"/>
                <w:sz w:val="13"/>
                <w:szCs w:val="13"/>
                <w:color w:val="auto"/>
              </w:rPr>
              <w:t>82</w:t>
            </w:r>
          </w:p>
        </w:tc>
        <w:tc>
          <w:tcPr>
            <w:tcW w:w="1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740" w:type="dxa"/>
            <w:vAlign w:val="bottom"/>
            <w:gridSpan w:val="2"/>
          </w:tcPr>
          <w:p>
            <w:pPr>
              <w:jc w:val="right"/>
              <w:ind w:right="160"/>
              <w:spacing w:after="0"/>
              <w:rPr>
                <w:sz w:val="20"/>
                <w:szCs w:val="20"/>
                <w:color w:val="auto"/>
              </w:rPr>
            </w:pPr>
            <w:r>
              <w:rPr>
                <w:rFonts w:ascii="Arial" w:cs="Arial" w:eastAsia="Arial" w:hAnsi="Arial"/>
                <w:sz w:val="13"/>
                <w:szCs w:val="13"/>
                <w:color w:val="auto"/>
              </w:rPr>
              <w:t>1.2</w:t>
            </w:r>
          </w:p>
        </w:tc>
        <w:tc>
          <w:tcPr>
            <w:tcW w:w="960" w:type="dxa"/>
            <w:vAlign w:val="bottom"/>
            <w:gridSpan w:val="2"/>
          </w:tcPr>
          <w:p>
            <w:pPr>
              <w:ind w:left="540"/>
              <w:spacing w:after="0"/>
              <w:rPr>
                <w:sz w:val="20"/>
                <w:szCs w:val="20"/>
                <w:color w:val="auto"/>
              </w:rPr>
            </w:pPr>
            <w:r>
              <w:rPr>
                <w:rFonts w:ascii="Arial" w:cs="Arial" w:eastAsia="Arial" w:hAnsi="Arial"/>
                <w:sz w:val="13"/>
                <w:szCs w:val="13"/>
                <w:color w:val="auto"/>
              </w:rPr>
              <w:t>1.48%</w:t>
            </w:r>
          </w:p>
        </w:tc>
        <w:tc>
          <w:tcPr>
            <w:tcW w:w="16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840" w:type="dxa"/>
            <w:vAlign w:val="bottom"/>
            <w:gridSpan w:val="2"/>
          </w:tcPr>
          <w:p>
            <w:pPr>
              <w:jc w:val="right"/>
              <w:ind w:right="240"/>
              <w:spacing w:after="0"/>
              <w:rPr>
                <w:sz w:val="20"/>
                <w:szCs w:val="20"/>
                <w:color w:val="auto"/>
              </w:rPr>
            </w:pPr>
            <w:r>
              <w:rPr>
                <w:rFonts w:ascii="Arial" w:cs="Arial" w:eastAsia="Arial" w:hAnsi="Arial"/>
                <w:sz w:val="13"/>
                <w:szCs w:val="13"/>
                <w:color w:val="auto"/>
              </w:rPr>
              <w:t>132</w:t>
            </w:r>
          </w:p>
        </w:tc>
        <w:tc>
          <w:tcPr>
            <w:tcW w:w="100" w:type="dxa"/>
            <w:vAlign w:val="bottom"/>
          </w:tcPr>
          <w:p>
            <w:pPr>
              <w:spacing w:after="0"/>
              <w:rPr>
                <w:sz w:val="13"/>
                <w:szCs w:val="13"/>
                <w:color w:val="auto"/>
              </w:rPr>
            </w:pPr>
          </w:p>
        </w:tc>
        <w:tc>
          <w:tcPr>
            <w:tcW w:w="740" w:type="dxa"/>
            <w:vAlign w:val="bottom"/>
            <w:gridSpan w:val="2"/>
          </w:tcPr>
          <w:p>
            <w:pPr>
              <w:jc w:val="right"/>
              <w:ind w:right="160"/>
              <w:spacing w:after="0"/>
              <w:rPr>
                <w:sz w:val="20"/>
                <w:szCs w:val="20"/>
                <w:color w:val="auto"/>
              </w:rPr>
            </w:pPr>
            <w:r>
              <w:rPr>
                <w:rFonts w:ascii="Arial" w:cs="Arial" w:eastAsia="Arial" w:hAnsi="Arial"/>
                <w:sz w:val="13"/>
                <w:szCs w:val="13"/>
                <w:color w:val="auto"/>
              </w:rPr>
              <w:t>1.1</w:t>
            </w:r>
          </w:p>
        </w:tc>
        <w:tc>
          <w:tcPr>
            <w:tcW w:w="940" w:type="dxa"/>
            <w:vAlign w:val="bottom"/>
            <w:gridSpan w:val="2"/>
          </w:tcPr>
          <w:p>
            <w:pPr>
              <w:ind w:left="520"/>
              <w:spacing w:after="0"/>
              <w:rPr>
                <w:sz w:val="20"/>
                <w:szCs w:val="20"/>
                <w:color w:val="auto"/>
              </w:rPr>
            </w:pPr>
            <w:r>
              <w:rPr>
                <w:rFonts w:ascii="Arial" w:cs="Arial" w:eastAsia="Arial" w:hAnsi="Arial"/>
                <w:sz w:val="13"/>
                <w:szCs w:val="13"/>
                <w:color w:val="auto"/>
              </w:rPr>
              <w:t>0.87%</w:t>
            </w:r>
          </w:p>
        </w:tc>
        <w:tc>
          <w:tcPr>
            <w:tcW w:w="14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173</w:t>
            </w:r>
          </w:p>
        </w:tc>
        <w:tc>
          <w:tcPr>
            <w:tcW w:w="18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0.5</w:t>
            </w:r>
          </w:p>
        </w:tc>
        <w:tc>
          <w:tcPr>
            <w:tcW w:w="880" w:type="dxa"/>
            <w:vAlign w:val="bottom"/>
            <w:gridSpan w:val="2"/>
          </w:tcPr>
          <w:p>
            <w:pPr>
              <w:ind w:left="520"/>
              <w:spacing w:after="0"/>
              <w:rPr>
                <w:sz w:val="20"/>
                <w:szCs w:val="20"/>
                <w:color w:val="auto"/>
              </w:rPr>
            </w:pPr>
            <w:r>
              <w:rPr>
                <w:rFonts w:ascii="Arial" w:cs="Arial" w:eastAsia="Arial" w:hAnsi="Arial"/>
                <w:sz w:val="13"/>
                <w:szCs w:val="13"/>
                <w:color w:val="auto"/>
                <w:w w:val="92"/>
              </w:rPr>
              <w:t>0.33%</w:t>
            </w:r>
          </w:p>
        </w:tc>
        <w:tc>
          <w:tcPr>
            <w:tcW w:w="0" w:type="dxa"/>
            <w:vAlign w:val="bottom"/>
          </w:tcPr>
          <w:p>
            <w:pPr>
              <w:spacing w:after="0"/>
              <w:rPr>
                <w:sz w:val="1"/>
                <w:szCs w:val="1"/>
                <w:color w:val="auto"/>
              </w:rPr>
            </w:pPr>
          </w:p>
        </w:tc>
      </w:tr>
      <w:tr>
        <w:trPr>
          <w:trHeight w:val="164"/>
        </w:trPr>
        <w:tc>
          <w:tcPr>
            <w:tcW w:w="3320" w:type="dxa"/>
            <w:vAlign w:val="bottom"/>
            <w:gridSpan w:val="2"/>
            <w:shd w:val="clear" w:color="auto" w:fill="CCEEFF"/>
          </w:tcPr>
          <w:p>
            <w:pPr>
              <w:ind w:left="160"/>
              <w:spacing w:after="0"/>
              <w:rPr>
                <w:sz w:val="20"/>
                <w:szCs w:val="20"/>
                <w:color w:val="auto"/>
              </w:rPr>
            </w:pPr>
            <w:r>
              <w:rPr>
                <w:rFonts w:ascii="Arial" w:cs="Arial" w:eastAsia="Arial" w:hAnsi="Arial"/>
                <w:sz w:val="13"/>
                <w:szCs w:val="13"/>
                <w:color w:val="auto"/>
              </w:rPr>
              <w:t>Time deposits</w:t>
            </w:r>
          </w:p>
        </w:tc>
        <w:tc>
          <w:tcPr>
            <w:tcW w:w="100" w:type="dxa"/>
            <w:vAlign w:val="bottom"/>
            <w:shd w:val="clear" w:color="auto" w:fill="CCEEFF"/>
          </w:tcPr>
          <w:p>
            <w:pPr>
              <w:spacing w:after="0"/>
              <w:rPr>
                <w:sz w:val="14"/>
                <w:szCs w:val="14"/>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2,868</w:t>
            </w:r>
          </w:p>
        </w:tc>
        <w:tc>
          <w:tcPr>
            <w:tcW w:w="1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61.9</w:t>
            </w:r>
          </w:p>
        </w:tc>
        <w:tc>
          <w:tcPr>
            <w:tcW w:w="960" w:type="dxa"/>
            <w:vAlign w:val="bottom"/>
            <w:gridSpan w:val="2"/>
            <w:shd w:val="clear" w:color="auto" w:fill="CCEEFF"/>
          </w:tcPr>
          <w:p>
            <w:pPr>
              <w:ind w:left="540"/>
              <w:spacing w:after="0"/>
              <w:rPr>
                <w:sz w:val="20"/>
                <w:szCs w:val="20"/>
                <w:color w:val="auto"/>
              </w:rPr>
            </w:pPr>
            <w:r>
              <w:rPr>
                <w:rFonts w:ascii="Arial" w:cs="Arial" w:eastAsia="Arial" w:hAnsi="Arial"/>
                <w:sz w:val="13"/>
                <w:szCs w:val="13"/>
                <w:color w:val="auto"/>
              </w:rPr>
              <w:t>2.13%</w:t>
            </w:r>
          </w:p>
        </w:tc>
        <w:tc>
          <w:tcPr>
            <w:tcW w:w="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8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3,044</w:t>
            </w:r>
          </w:p>
        </w:tc>
        <w:tc>
          <w:tcPr>
            <w:tcW w:w="100" w:type="dxa"/>
            <w:vAlign w:val="bottom"/>
            <w:shd w:val="clear" w:color="auto" w:fill="CCEEFF"/>
          </w:tcPr>
          <w:p>
            <w:pPr>
              <w:spacing w:after="0"/>
              <w:rPr>
                <w:sz w:val="14"/>
                <w:szCs w:val="14"/>
                <w:color w:val="auto"/>
              </w:rPr>
            </w:pP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41.7</w:t>
            </w:r>
          </w:p>
        </w:tc>
        <w:tc>
          <w:tcPr>
            <w:tcW w:w="940" w:type="dxa"/>
            <w:vAlign w:val="bottom"/>
            <w:gridSpan w:val="2"/>
            <w:shd w:val="clear" w:color="auto" w:fill="CCEEFF"/>
          </w:tcPr>
          <w:p>
            <w:pPr>
              <w:ind w:left="520"/>
              <w:spacing w:after="0"/>
              <w:rPr>
                <w:sz w:val="20"/>
                <w:szCs w:val="20"/>
                <w:color w:val="auto"/>
              </w:rPr>
            </w:pPr>
            <w:r>
              <w:rPr>
                <w:rFonts w:ascii="Arial" w:cs="Arial" w:eastAsia="Arial" w:hAnsi="Arial"/>
                <w:sz w:val="13"/>
                <w:szCs w:val="13"/>
                <w:color w:val="auto"/>
              </w:rPr>
              <w:t>1.35%</w:t>
            </w:r>
          </w:p>
        </w:tc>
        <w:tc>
          <w:tcPr>
            <w:tcW w:w="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2,907</w:t>
            </w:r>
          </w:p>
        </w:tc>
        <w:tc>
          <w:tcPr>
            <w:tcW w:w="8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19.6</w:t>
            </w:r>
          </w:p>
        </w:tc>
        <w:tc>
          <w:tcPr>
            <w:tcW w:w="880" w:type="dxa"/>
            <w:vAlign w:val="bottom"/>
            <w:gridSpan w:val="2"/>
            <w:shd w:val="clear" w:color="auto" w:fill="CCEEFF"/>
          </w:tcPr>
          <w:p>
            <w:pPr>
              <w:ind w:left="520"/>
              <w:spacing w:after="0"/>
              <w:rPr>
                <w:sz w:val="20"/>
                <w:szCs w:val="20"/>
                <w:color w:val="auto"/>
              </w:rPr>
            </w:pPr>
            <w:r>
              <w:rPr>
                <w:rFonts w:ascii="Arial" w:cs="Arial" w:eastAsia="Arial" w:hAnsi="Arial"/>
                <w:sz w:val="13"/>
                <w:szCs w:val="13"/>
                <w:color w:val="auto"/>
                <w:w w:val="92"/>
              </w:rPr>
              <w:t>0.66%</w:t>
            </w:r>
          </w:p>
        </w:tc>
        <w:tc>
          <w:tcPr>
            <w:tcW w:w="0" w:type="dxa"/>
            <w:vAlign w:val="bottom"/>
          </w:tcPr>
          <w:p>
            <w:pPr>
              <w:spacing w:after="0"/>
              <w:rPr>
                <w:sz w:val="1"/>
                <w:szCs w:val="1"/>
                <w:color w:val="auto"/>
              </w:rPr>
            </w:pPr>
          </w:p>
        </w:tc>
      </w:tr>
      <w:tr>
        <w:trPr>
          <w:trHeight w:val="20"/>
        </w:trPr>
        <w:tc>
          <w:tcPr>
            <w:tcW w:w="3320" w:type="dxa"/>
            <w:vAlign w:val="bottom"/>
            <w:gridSpan w:val="2"/>
            <w:vMerge w:val="restart"/>
          </w:tcPr>
          <w:p>
            <w:pPr>
              <w:spacing w:after="0" w:line="183" w:lineRule="exact"/>
              <w:rPr>
                <w:sz w:val="20"/>
                <w:szCs w:val="20"/>
                <w:color w:val="auto"/>
              </w:rPr>
            </w:pPr>
            <w:r>
              <w:rPr>
                <w:rFonts w:ascii="Arial" w:cs="Arial" w:eastAsia="Arial" w:hAnsi="Arial"/>
                <w:sz w:val="13"/>
                <w:szCs w:val="13"/>
                <w:color w:val="auto"/>
              </w:rPr>
              <w:t xml:space="preserve">Deposits </w:t>
            </w:r>
            <w:r>
              <w:rPr>
                <w:rFonts w:ascii="Arial" w:cs="Arial" w:eastAsia="Arial" w:hAnsi="Arial"/>
                <w:sz w:val="21"/>
                <w:szCs w:val="21"/>
                <w:color w:val="auto"/>
                <w:vertAlign w:val="superscript"/>
              </w:rPr>
              <w:t>(2)</w:t>
            </w:r>
          </w:p>
        </w:tc>
        <w:tc>
          <w:tcPr>
            <w:tcW w:w="100" w:type="dxa"/>
            <w:vAlign w:val="bottom"/>
            <w:shd w:val="clear" w:color="auto" w:fill="000000"/>
          </w:tcPr>
          <w:p>
            <w:pPr>
              <w:spacing w:after="0" w:line="20" w:lineRule="exact"/>
              <w:rPr>
                <w:sz w:val="1"/>
                <w:szCs w:val="1"/>
                <w:color w:val="auto"/>
              </w:rPr>
            </w:pPr>
          </w:p>
        </w:tc>
        <w:tc>
          <w:tcPr>
            <w:tcW w:w="60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580" w:type="dxa"/>
            <w:vAlign w:val="bottom"/>
            <w:shd w:val="clear" w:color="auto" w:fill="000000"/>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76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60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580" w:type="dxa"/>
            <w:vAlign w:val="bottom"/>
            <w:shd w:val="clear" w:color="auto" w:fill="000000"/>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76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58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58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63"/>
        </w:trPr>
        <w:tc>
          <w:tcPr>
            <w:tcW w:w="3320" w:type="dxa"/>
            <w:vAlign w:val="bottom"/>
            <w:gridSpan w:val="2"/>
            <w:vMerge w:val="continue"/>
          </w:tcPr>
          <w:p>
            <w:pPr>
              <w:spacing w:after="0"/>
              <w:rPr>
                <w:sz w:val="14"/>
                <w:szCs w:val="14"/>
                <w:color w:val="auto"/>
              </w:rPr>
            </w:pPr>
          </w:p>
        </w:tc>
        <w:tc>
          <w:tcPr>
            <w:tcW w:w="100" w:type="dxa"/>
            <w:vAlign w:val="bottom"/>
          </w:tcPr>
          <w:p>
            <w:pPr>
              <w:spacing w:after="0"/>
              <w:rPr>
                <w:sz w:val="14"/>
                <w:szCs w:val="14"/>
                <w:color w:val="auto"/>
              </w:rPr>
            </w:pPr>
          </w:p>
        </w:tc>
        <w:tc>
          <w:tcPr>
            <w:tcW w:w="600" w:type="dxa"/>
            <w:vAlign w:val="bottom"/>
          </w:tcPr>
          <w:p>
            <w:pPr>
              <w:jc w:val="right"/>
              <w:spacing w:after="0"/>
              <w:rPr>
                <w:sz w:val="20"/>
                <w:szCs w:val="20"/>
                <w:color w:val="auto"/>
              </w:rPr>
            </w:pPr>
            <w:r>
              <w:rPr>
                <w:rFonts w:ascii="Arial" w:cs="Arial" w:eastAsia="Arial" w:hAnsi="Arial"/>
                <w:sz w:val="13"/>
                <w:szCs w:val="13"/>
                <w:color w:val="auto"/>
              </w:rPr>
              <w:t>2,950</w:t>
            </w:r>
          </w:p>
        </w:tc>
        <w:tc>
          <w:tcPr>
            <w:tcW w:w="1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40" w:type="dxa"/>
            <w:vAlign w:val="bottom"/>
            <w:gridSpan w:val="2"/>
          </w:tcPr>
          <w:p>
            <w:pPr>
              <w:jc w:val="right"/>
              <w:ind w:right="160"/>
              <w:spacing w:after="0"/>
              <w:rPr>
                <w:sz w:val="20"/>
                <w:szCs w:val="20"/>
                <w:color w:val="auto"/>
              </w:rPr>
            </w:pPr>
            <w:r>
              <w:rPr>
                <w:rFonts w:ascii="Arial" w:cs="Arial" w:eastAsia="Arial" w:hAnsi="Arial"/>
                <w:sz w:val="13"/>
                <w:szCs w:val="13"/>
                <w:color w:val="auto"/>
              </w:rPr>
              <w:t>63.1</w:t>
            </w:r>
          </w:p>
        </w:tc>
        <w:tc>
          <w:tcPr>
            <w:tcW w:w="960" w:type="dxa"/>
            <w:vAlign w:val="bottom"/>
            <w:gridSpan w:val="2"/>
          </w:tcPr>
          <w:p>
            <w:pPr>
              <w:ind w:left="540"/>
              <w:spacing w:after="0"/>
              <w:rPr>
                <w:sz w:val="20"/>
                <w:szCs w:val="20"/>
                <w:color w:val="auto"/>
              </w:rPr>
            </w:pPr>
            <w:r>
              <w:rPr>
                <w:rFonts w:ascii="Arial" w:cs="Arial" w:eastAsia="Arial" w:hAnsi="Arial"/>
                <w:sz w:val="13"/>
                <w:szCs w:val="13"/>
                <w:color w:val="auto"/>
              </w:rPr>
              <w:t>2.11%</w:t>
            </w:r>
          </w:p>
        </w:tc>
        <w:tc>
          <w:tcPr>
            <w:tcW w:w="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840" w:type="dxa"/>
            <w:vAlign w:val="bottom"/>
            <w:gridSpan w:val="2"/>
          </w:tcPr>
          <w:p>
            <w:pPr>
              <w:jc w:val="right"/>
              <w:ind w:right="240"/>
              <w:spacing w:after="0"/>
              <w:rPr>
                <w:sz w:val="20"/>
                <w:szCs w:val="20"/>
                <w:color w:val="auto"/>
              </w:rPr>
            </w:pPr>
            <w:r>
              <w:rPr>
                <w:rFonts w:ascii="Arial" w:cs="Arial" w:eastAsia="Arial" w:hAnsi="Arial"/>
                <w:sz w:val="13"/>
                <w:szCs w:val="13"/>
                <w:color w:val="auto"/>
              </w:rPr>
              <w:t>3,176</w:t>
            </w:r>
          </w:p>
        </w:tc>
        <w:tc>
          <w:tcPr>
            <w:tcW w:w="100" w:type="dxa"/>
            <w:vAlign w:val="bottom"/>
          </w:tcPr>
          <w:p>
            <w:pPr>
              <w:spacing w:after="0"/>
              <w:rPr>
                <w:sz w:val="14"/>
                <w:szCs w:val="14"/>
                <w:color w:val="auto"/>
              </w:rPr>
            </w:pPr>
          </w:p>
        </w:tc>
        <w:tc>
          <w:tcPr>
            <w:tcW w:w="740" w:type="dxa"/>
            <w:vAlign w:val="bottom"/>
            <w:gridSpan w:val="2"/>
          </w:tcPr>
          <w:p>
            <w:pPr>
              <w:jc w:val="right"/>
              <w:ind w:right="160"/>
              <w:spacing w:after="0"/>
              <w:rPr>
                <w:sz w:val="20"/>
                <w:szCs w:val="20"/>
                <w:color w:val="auto"/>
              </w:rPr>
            </w:pPr>
            <w:r>
              <w:rPr>
                <w:rFonts w:ascii="Arial" w:cs="Arial" w:eastAsia="Arial" w:hAnsi="Arial"/>
                <w:sz w:val="13"/>
                <w:szCs w:val="13"/>
                <w:color w:val="auto"/>
              </w:rPr>
              <w:t>42.8</w:t>
            </w:r>
          </w:p>
        </w:tc>
        <w:tc>
          <w:tcPr>
            <w:tcW w:w="940" w:type="dxa"/>
            <w:vAlign w:val="bottom"/>
            <w:gridSpan w:val="2"/>
          </w:tcPr>
          <w:p>
            <w:pPr>
              <w:ind w:left="520"/>
              <w:spacing w:after="0"/>
              <w:rPr>
                <w:sz w:val="20"/>
                <w:szCs w:val="20"/>
                <w:color w:val="auto"/>
              </w:rPr>
            </w:pPr>
            <w:r>
              <w:rPr>
                <w:rFonts w:ascii="Arial" w:cs="Arial" w:eastAsia="Arial" w:hAnsi="Arial"/>
                <w:sz w:val="13"/>
                <w:szCs w:val="13"/>
                <w:color w:val="auto"/>
              </w:rPr>
              <w:t>1.33%</w:t>
            </w: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3,080</w:t>
            </w:r>
          </w:p>
        </w:tc>
        <w:tc>
          <w:tcPr>
            <w:tcW w:w="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20.1</w:t>
            </w:r>
          </w:p>
        </w:tc>
        <w:tc>
          <w:tcPr>
            <w:tcW w:w="880" w:type="dxa"/>
            <w:vAlign w:val="bottom"/>
            <w:gridSpan w:val="2"/>
          </w:tcPr>
          <w:p>
            <w:pPr>
              <w:ind w:left="520"/>
              <w:spacing w:after="0"/>
              <w:rPr>
                <w:sz w:val="20"/>
                <w:szCs w:val="20"/>
                <w:color w:val="auto"/>
              </w:rPr>
            </w:pPr>
            <w:r>
              <w:rPr>
                <w:rFonts w:ascii="Arial" w:cs="Arial" w:eastAsia="Arial" w:hAnsi="Arial"/>
                <w:sz w:val="13"/>
                <w:szCs w:val="13"/>
                <w:color w:val="auto"/>
                <w:w w:val="92"/>
              </w:rPr>
              <w:t>0.64%</w:t>
            </w:r>
          </w:p>
        </w:tc>
        <w:tc>
          <w:tcPr>
            <w:tcW w:w="0" w:type="dxa"/>
            <w:vAlign w:val="bottom"/>
          </w:tcPr>
          <w:p>
            <w:pPr>
              <w:spacing w:after="0"/>
              <w:rPr>
                <w:sz w:val="1"/>
                <w:szCs w:val="1"/>
                <w:color w:val="auto"/>
              </w:rPr>
            </w:pPr>
          </w:p>
        </w:tc>
      </w:tr>
      <w:tr>
        <w:trPr>
          <w:trHeight w:val="145"/>
        </w:trPr>
        <w:tc>
          <w:tcPr>
            <w:tcW w:w="3320" w:type="dxa"/>
            <w:vAlign w:val="bottom"/>
            <w:gridSpan w:val="2"/>
            <w:shd w:val="clear" w:color="auto" w:fill="CCEEFF"/>
          </w:tcPr>
          <w:p>
            <w:pPr>
              <w:spacing w:after="0" w:line="146" w:lineRule="exact"/>
              <w:rPr>
                <w:sz w:val="20"/>
                <w:szCs w:val="20"/>
                <w:color w:val="auto"/>
              </w:rPr>
            </w:pPr>
            <w:r>
              <w:rPr>
                <w:rFonts w:ascii="Arial" w:cs="Arial" w:eastAsia="Arial" w:hAnsi="Arial"/>
                <w:sz w:val="13"/>
                <w:szCs w:val="13"/>
                <w:color w:val="auto"/>
                <w:w w:val="94"/>
              </w:rPr>
              <w:t>Securities sold under repurchase agreements and short-term</w:t>
            </w:r>
          </w:p>
        </w:tc>
        <w:tc>
          <w:tcPr>
            <w:tcW w:w="10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5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5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5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5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3"/>
        </w:trPr>
        <w:tc>
          <w:tcPr>
            <w:tcW w:w="3320" w:type="dxa"/>
            <w:vAlign w:val="bottom"/>
            <w:gridSpan w:val="2"/>
            <w:shd w:val="clear" w:color="auto" w:fill="CCEEFF"/>
          </w:tcPr>
          <w:p>
            <w:pPr>
              <w:ind w:left="180"/>
              <w:spacing w:after="0"/>
              <w:rPr>
                <w:sz w:val="20"/>
                <w:szCs w:val="20"/>
                <w:color w:val="auto"/>
              </w:rPr>
            </w:pPr>
            <w:r>
              <w:rPr>
                <w:rFonts w:ascii="Arial" w:cs="Arial" w:eastAsia="Arial" w:hAnsi="Arial"/>
                <w:sz w:val="13"/>
                <w:szCs w:val="13"/>
                <w:color w:val="auto"/>
              </w:rPr>
              <w:t>borrowings and debt</w:t>
            </w:r>
          </w:p>
        </w:tc>
        <w:tc>
          <w:tcPr>
            <w:tcW w:w="100" w:type="dxa"/>
            <w:vAlign w:val="bottom"/>
            <w:shd w:val="clear" w:color="auto" w:fill="CCEEFF"/>
          </w:tcPr>
          <w:p>
            <w:pPr>
              <w:spacing w:after="0"/>
              <w:rPr>
                <w:sz w:val="14"/>
                <w:szCs w:val="14"/>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1,123</w:t>
            </w:r>
          </w:p>
        </w:tc>
        <w:tc>
          <w:tcPr>
            <w:tcW w:w="1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33.9</w:t>
            </w:r>
          </w:p>
        </w:tc>
        <w:tc>
          <w:tcPr>
            <w:tcW w:w="960" w:type="dxa"/>
            <w:vAlign w:val="bottom"/>
            <w:gridSpan w:val="2"/>
            <w:shd w:val="clear" w:color="auto" w:fill="CCEEFF"/>
          </w:tcPr>
          <w:p>
            <w:pPr>
              <w:ind w:left="540"/>
              <w:spacing w:after="0"/>
              <w:rPr>
                <w:sz w:val="20"/>
                <w:szCs w:val="20"/>
                <w:color w:val="auto"/>
              </w:rPr>
            </w:pPr>
            <w:r>
              <w:rPr>
                <w:rFonts w:ascii="Arial" w:cs="Arial" w:eastAsia="Arial" w:hAnsi="Arial"/>
                <w:sz w:val="13"/>
                <w:szCs w:val="13"/>
                <w:color w:val="auto"/>
              </w:rPr>
              <w:t>2.98%</w:t>
            </w:r>
          </w:p>
        </w:tc>
        <w:tc>
          <w:tcPr>
            <w:tcW w:w="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8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710</w:t>
            </w:r>
          </w:p>
        </w:tc>
        <w:tc>
          <w:tcPr>
            <w:tcW w:w="100" w:type="dxa"/>
            <w:vAlign w:val="bottom"/>
            <w:shd w:val="clear" w:color="auto" w:fill="CCEEFF"/>
          </w:tcPr>
          <w:p>
            <w:pPr>
              <w:spacing w:after="0"/>
              <w:rPr>
                <w:sz w:val="14"/>
                <w:szCs w:val="14"/>
                <w:color w:val="auto"/>
              </w:rPr>
            </w:pP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12.0</w:t>
            </w:r>
          </w:p>
        </w:tc>
        <w:tc>
          <w:tcPr>
            <w:tcW w:w="940" w:type="dxa"/>
            <w:vAlign w:val="bottom"/>
            <w:gridSpan w:val="2"/>
            <w:shd w:val="clear" w:color="auto" w:fill="CCEEFF"/>
          </w:tcPr>
          <w:p>
            <w:pPr>
              <w:ind w:left="520"/>
              <w:spacing w:after="0"/>
              <w:rPr>
                <w:sz w:val="20"/>
                <w:szCs w:val="20"/>
                <w:color w:val="auto"/>
              </w:rPr>
            </w:pPr>
            <w:r>
              <w:rPr>
                <w:rFonts w:ascii="Arial" w:cs="Arial" w:eastAsia="Arial" w:hAnsi="Arial"/>
                <w:sz w:val="13"/>
                <w:szCs w:val="13"/>
                <w:color w:val="auto"/>
              </w:rPr>
              <w:t>1.66%</w:t>
            </w:r>
          </w:p>
        </w:tc>
        <w:tc>
          <w:tcPr>
            <w:tcW w:w="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1,449</w:t>
            </w:r>
          </w:p>
        </w:tc>
        <w:tc>
          <w:tcPr>
            <w:tcW w:w="8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16.5</w:t>
            </w:r>
          </w:p>
        </w:tc>
        <w:tc>
          <w:tcPr>
            <w:tcW w:w="880" w:type="dxa"/>
            <w:vAlign w:val="bottom"/>
            <w:gridSpan w:val="2"/>
            <w:shd w:val="clear" w:color="auto" w:fill="CCEEFF"/>
          </w:tcPr>
          <w:p>
            <w:pPr>
              <w:ind w:left="520"/>
              <w:spacing w:after="0"/>
              <w:rPr>
                <w:sz w:val="20"/>
                <w:szCs w:val="20"/>
                <w:color w:val="auto"/>
              </w:rPr>
            </w:pPr>
            <w:r>
              <w:rPr>
                <w:rFonts w:ascii="Arial" w:cs="Arial" w:eastAsia="Arial" w:hAnsi="Arial"/>
                <w:sz w:val="13"/>
                <w:szCs w:val="13"/>
                <w:color w:val="auto"/>
                <w:w w:val="92"/>
              </w:rPr>
              <w:t>1.12%</w:t>
            </w:r>
          </w:p>
        </w:tc>
        <w:tc>
          <w:tcPr>
            <w:tcW w:w="0" w:type="dxa"/>
            <w:vAlign w:val="bottom"/>
          </w:tcPr>
          <w:p>
            <w:pPr>
              <w:spacing w:after="0"/>
              <w:rPr>
                <w:sz w:val="1"/>
                <w:szCs w:val="1"/>
                <w:color w:val="auto"/>
              </w:rPr>
            </w:pPr>
          </w:p>
        </w:tc>
      </w:tr>
      <w:tr>
        <w:trPr>
          <w:trHeight w:val="193"/>
        </w:trPr>
        <w:tc>
          <w:tcPr>
            <w:tcW w:w="3320" w:type="dxa"/>
            <w:vAlign w:val="bottom"/>
            <w:gridSpan w:val="2"/>
          </w:tcPr>
          <w:p>
            <w:pPr>
              <w:spacing w:after="0" w:line="193" w:lineRule="exact"/>
              <w:rPr>
                <w:sz w:val="20"/>
                <w:szCs w:val="20"/>
                <w:color w:val="auto"/>
              </w:rPr>
            </w:pPr>
            <w:r>
              <w:rPr>
                <w:rFonts w:ascii="Arial" w:cs="Arial" w:eastAsia="Arial" w:hAnsi="Arial"/>
                <w:sz w:val="13"/>
                <w:szCs w:val="13"/>
                <w:color w:val="auto"/>
              </w:rPr>
              <w:t xml:space="preserve">Long-term borrowings and debt, net </w:t>
            </w:r>
            <w:r>
              <w:rPr>
                <w:rFonts w:ascii="Arial" w:cs="Arial" w:eastAsia="Arial" w:hAnsi="Arial"/>
                <w:sz w:val="21"/>
                <w:szCs w:val="21"/>
                <w:color w:val="auto"/>
                <w:vertAlign w:val="superscript"/>
              </w:rPr>
              <w:t>(3)</w:t>
            </w:r>
          </w:p>
        </w:tc>
        <w:tc>
          <w:tcPr>
            <w:tcW w:w="100" w:type="dxa"/>
            <w:vAlign w:val="bottom"/>
          </w:tcPr>
          <w:p>
            <w:pPr>
              <w:spacing w:after="0"/>
              <w:rPr>
                <w:sz w:val="16"/>
                <w:szCs w:val="16"/>
                <w:color w:val="auto"/>
              </w:rPr>
            </w:pPr>
          </w:p>
        </w:tc>
        <w:tc>
          <w:tcPr>
            <w:tcW w:w="600" w:type="dxa"/>
            <w:vAlign w:val="bottom"/>
          </w:tcPr>
          <w:p>
            <w:pPr>
              <w:jc w:val="right"/>
              <w:spacing w:after="0"/>
              <w:rPr>
                <w:sz w:val="20"/>
                <w:szCs w:val="20"/>
                <w:color w:val="auto"/>
              </w:rPr>
            </w:pPr>
            <w:r>
              <w:rPr>
                <w:rFonts w:ascii="Arial" w:cs="Arial" w:eastAsia="Arial" w:hAnsi="Arial"/>
                <w:sz w:val="13"/>
                <w:szCs w:val="13"/>
                <w:color w:val="auto"/>
              </w:rPr>
              <w:t>1,245</w:t>
            </w:r>
          </w:p>
        </w:tc>
        <w:tc>
          <w:tcPr>
            <w:tcW w:w="1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740" w:type="dxa"/>
            <w:vAlign w:val="bottom"/>
            <w:gridSpan w:val="2"/>
          </w:tcPr>
          <w:p>
            <w:pPr>
              <w:jc w:val="right"/>
              <w:ind w:right="160"/>
              <w:spacing w:after="0"/>
              <w:rPr>
                <w:sz w:val="20"/>
                <w:szCs w:val="20"/>
                <w:color w:val="auto"/>
              </w:rPr>
            </w:pPr>
            <w:r>
              <w:rPr>
                <w:rFonts w:ascii="Arial" w:cs="Arial" w:eastAsia="Arial" w:hAnsi="Arial"/>
                <w:sz w:val="13"/>
                <w:szCs w:val="13"/>
                <w:color w:val="auto"/>
              </w:rPr>
              <w:t>51.7</w:t>
            </w:r>
          </w:p>
        </w:tc>
        <w:tc>
          <w:tcPr>
            <w:tcW w:w="960" w:type="dxa"/>
            <w:vAlign w:val="bottom"/>
            <w:gridSpan w:val="2"/>
          </w:tcPr>
          <w:p>
            <w:pPr>
              <w:ind w:left="540"/>
              <w:spacing w:after="0"/>
              <w:rPr>
                <w:sz w:val="20"/>
                <w:szCs w:val="20"/>
                <w:color w:val="auto"/>
              </w:rPr>
            </w:pPr>
            <w:r>
              <w:rPr>
                <w:rFonts w:ascii="Arial" w:cs="Arial" w:eastAsia="Arial" w:hAnsi="Arial"/>
                <w:sz w:val="13"/>
                <w:szCs w:val="13"/>
                <w:color w:val="auto"/>
              </w:rPr>
              <w:t>4.09%</w:t>
            </w:r>
          </w:p>
        </w:tc>
        <w:tc>
          <w:tcPr>
            <w:tcW w:w="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40" w:type="dxa"/>
            <w:vAlign w:val="bottom"/>
            <w:gridSpan w:val="2"/>
          </w:tcPr>
          <w:p>
            <w:pPr>
              <w:jc w:val="right"/>
              <w:ind w:right="240"/>
              <w:spacing w:after="0"/>
              <w:rPr>
                <w:sz w:val="20"/>
                <w:szCs w:val="20"/>
                <w:color w:val="auto"/>
              </w:rPr>
            </w:pPr>
            <w:r>
              <w:rPr>
                <w:rFonts w:ascii="Arial" w:cs="Arial" w:eastAsia="Arial" w:hAnsi="Arial"/>
                <w:sz w:val="13"/>
                <w:szCs w:val="13"/>
                <w:color w:val="auto"/>
              </w:rPr>
              <w:t>1,478</w:t>
            </w:r>
          </w:p>
        </w:tc>
        <w:tc>
          <w:tcPr>
            <w:tcW w:w="100" w:type="dxa"/>
            <w:vAlign w:val="bottom"/>
          </w:tcPr>
          <w:p>
            <w:pPr>
              <w:spacing w:after="0"/>
              <w:rPr>
                <w:sz w:val="16"/>
                <w:szCs w:val="16"/>
                <w:color w:val="auto"/>
              </w:rPr>
            </w:pPr>
          </w:p>
        </w:tc>
        <w:tc>
          <w:tcPr>
            <w:tcW w:w="740" w:type="dxa"/>
            <w:vAlign w:val="bottom"/>
            <w:gridSpan w:val="2"/>
          </w:tcPr>
          <w:p>
            <w:pPr>
              <w:jc w:val="right"/>
              <w:ind w:right="160"/>
              <w:spacing w:after="0"/>
              <w:rPr>
                <w:sz w:val="20"/>
                <w:szCs w:val="20"/>
                <w:color w:val="auto"/>
              </w:rPr>
            </w:pPr>
            <w:r>
              <w:rPr>
                <w:rFonts w:ascii="Arial" w:cs="Arial" w:eastAsia="Arial" w:hAnsi="Arial"/>
                <w:sz w:val="13"/>
                <w:szCs w:val="13"/>
                <w:color w:val="auto"/>
              </w:rPr>
              <w:t>51.5</w:t>
            </w:r>
          </w:p>
        </w:tc>
        <w:tc>
          <w:tcPr>
            <w:tcW w:w="940" w:type="dxa"/>
            <w:vAlign w:val="bottom"/>
            <w:gridSpan w:val="2"/>
          </w:tcPr>
          <w:p>
            <w:pPr>
              <w:ind w:left="520"/>
              <w:spacing w:after="0"/>
              <w:rPr>
                <w:sz w:val="20"/>
                <w:szCs w:val="20"/>
                <w:color w:val="auto"/>
              </w:rPr>
            </w:pPr>
            <w:r>
              <w:rPr>
                <w:rFonts w:ascii="Arial" w:cs="Arial" w:eastAsia="Arial" w:hAnsi="Arial"/>
                <w:sz w:val="13"/>
                <w:szCs w:val="13"/>
                <w:color w:val="auto"/>
              </w:rPr>
              <w:t>3.43%</w:t>
            </w:r>
          </w:p>
        </w:tc>
        <w:tc>
          <w:tcPr>
            <w:tcW w:w="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1,874</w:t>
            </w:r>
          </w:p>
        </w:tc>
        <w:tc>
          <w:tcPr>
            <w:tcW w:w="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54.0</w:t>
            </w:r>
          </w:p>
        </w:tc>
        <w:tc>
          <w:tcPr>
            <w:tcW w:w="880" w:type="dxa"/>
            <w:vAlign w:val="bottom"/>
            <w:gridSpan w:val="2"/>
          </w:tcPr>
          <w:p>
            <w:pPr>
              <w:ind w:left="520"/>
              <w:spacing w:after="0"/>
              <w:rPr>
                <w:sz w:val="20"/>
                <w:szCs w:val="20"/>
                <w:color w:val="auto"/>
              </w:rPr>
            </w:pPr>
            <w:r>
              <w:rPr>
                <w:rFonts w:ascii="Arial" w:cs="Arial" w:eastAsia="Arial" w:hAnsi="Arial"/>
                <w:sz w:val="13"/>
                <w:szCs w:val="13"/>
                <w:color w:val="auto"/>
                <w:w w:val="92"/>
              </w:rPr>
              <w:t>2.84%</w:t>
            </w:r>
          </w:p>
        </w:tc>
        <w:tc>
          <w:tcPr>
            <w:tcW w:w="0" w:type="dxa"/>
            <w:vAlign w:val="bottom"/>
          </w:tcPr>
          <w:p>
            <w:pPr>
              <w:spacing w:after="0"/>
              <w:rPr>
                <w:sz w:val="1"/>
                <w:szCs w:val="1"/>
                <w:color w:val="auto"/>
              </w:rPr>
            </w:pPr>
          </w:p>
        </w:tc>
      </w:tr>
      <w:tr>
        <w:trPr>
          <w:trHeight w:val="173"/>
        </w:trPr>
        <w:tc>
          <w:tcPr>
            <w:tcW w:w="3320" w:type="dxa"/>
            <w:vAlign w:val="bottom"/>
            <w:tcBorders>
              <w:top w:val="single" w:sz="8" w:color="CCEEFF"/>
              <w:bottom w:val="single" w:sz="8" w:color="CCEEFF"/>
            </w:tcBorders>
            <w:gridSpan w:val="2"/>
            <w:shd w:val="clear" w:color="auto" w:fill="CCEEFF"/>
          </w:tcPr>
          <w:p>
            <w:pPr>
              <w:spacing w:after="0" w:line="146" w:lineRule="exact"/>
              <w:rPr>
                <w:sz w:val="20"/>
                <w:szCs w:val="20"/>
                <w:color w:val="auto"/>
              </w:rPr>
            </w:pPr>
            <w:r>
              <w:rPr>
                <w:rFonts w:ascii="Arial" w:cs="Arial" w:eastAsia="Arial" w:hAnsi="Arial"/>
                <w:sz w:val="13"/>
                <w:szCs w:val="13"/>
                <w:b w:val="1"/>
                <w:bCs w:val="1"/>
                <w:color w:val="auto"/>
              </w:rPr>
              <w:t>Total interest-bearing liabilities</w:t>
            </w: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w w:val="82"/>
              </w:rPr>
              <w:t>$</w:t>
            </w:r>
          </w:p>
        </w:tc>
        <w:tc>
          <w:tcPr>
            <w:tcW w:w="6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5,318</w:t>
            </w:r>
          </w:p>
        </w:tc>
        <w:tc>
          <w:tcPr>
            <w:tcW w:w="140" w:type="dxa"/>
            <w:vAlign w:val="bottom"/>
            <w:tcBorders>
              <w:top w:val="single" w:sz="8" w:color="CCEEFF"/>
              <w:bottom w:val="single" w:sz="8" w:color="CCEEFF"/>
            </w:tcBorders>
            <w:shd w:val="clear" w:color="auto" w:fill="CCEEFF"/>
          </w:tcPr>
          <w:p>
            <w:pPr>
              <w:spacing w:after="0"/>
              <w:rPr>
                <w:sz w:val="15"/>
                <w:szCs w:val="15"/>
                <w:color w:val="auto"/>
              </w:rPr>
            </w:pPr>
          </w:p>
        </w:tc>
        <w:tc>
          <w:tcPr>
            <w:tcW w:w="100" w:type="dxa"/>
            <w:vAlign w:val="bottom"/>
            <w:tcBorders>
              <w:top w:val="single" w:sz="8" w:color="CCEEFF"/>
              <w:bottom w:val="single" w:sz="8" w:color="CCEEFF"/>
            </w:tcBorders>
            <w:shd w:val="clear" w:color="auto" w:fill="CCEEFF"/>
          </w:tcPr>
          <w:p>
            <w:pPr>
              <w:spacing w:after="0"/>
              <w:rPr>
                <w:sz w:val="15"/>
                <w:szCs w:val="15"/>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0"/>
                <w:szCs w:val="10"/>
                <w:b w:val="1"/>
                <w:bCs w:val="1"/>
                <w:color w:val="auto"/>
                <w:w w:val="71"/>
              </w:rPr>
              <w:t>$</w:t>
            </w:r>
          </w:p>
        </w:tc>
        <w:tc>
          <w:tcPr>
            <w:tcW w:w="5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148.7</w:t>
            </w:r>
          </w:p>
        </w:tc>
        <w:tc>
          <w:tcPr>
            <w:tcW w:w="160" w:type="dxa"/>
            <w:vAlign w:val="bottom"/>
            <w:tcBorders>
              <w:top w:val="single" w:sz="8" w:color="CCEEFF"/>
              <w:bottom w:val="single" w:sz="8" w:color="CCEEFF"/>
            </w:tcBorders>
            <w:shd w:val="clear" w:color="auto" w:fill="CCEEFF"/>
          </w:tcPr>
          <w:p>
            <w:pPr>
              <w:spacing w:after="0"/>
              <w:rPr>
                <w:sz w:val="15"/>
                <w:szCs w:val="15"/>
                <w:color w:val="auto"/>
              </w:rPr>
            </w:pPr>
          </w:p>
        </w:tc>
        <w:tc>
          <w:tcPr>
            <w:tcW w:w="960" w:type="dxa"/>
            <w:vAlign w:val="bottom"/>
            <w:tcBorders>
              <w:top w:val="single" w:sz="8" w:color="CCEEFF"/>
              <w:bottom w:val="single" w:sz="8" w:color="CCEEFF"/>
            </w:tcBorders>
            <w:gridSpan w:val="2"/>
            <w:shd w:val="clear" w:color="auto" w:fill="CCEEFF"/>
          </w:tcPr>
          <w:p>
            <w:pPr>
              <w:ind w:left="540"/>
              <w:spacing w:after="0" w:line="146" w:lineRule="exact"/>
              <w:rPr>
                <w:sz w:val="20"/>
                <w:szCs w:val="20"/>
                <w:color w:val="auto"/>
              </w:rPr>
            </w:pPr>
            <w:r>
              <w:rPr>
                <w:rFonts w:ascii="Arial" w:cs="Arial" w:eastAsia="Arial" w:hAnsi="Arial"/>
                <w:sz w:val="13"/>
                <w:szCs w:val="13"/>
                <w:b w:val="1"/>
                <w:bCs w:val="1"/>
                <w:color w:val="auto"/>
              </w:rPr>
              <w:t>2.76%</w:t>
            </w:r>
          </w:p>
        </w:tc>
        <w:tc>
          <w:tcPr>
            <w:tcW w:w="60" w:type="dxa"/>
            <w:vAlign w:val="bottom"/>
            <w:tcBorders>
              <w:top w:val="single" w:sz="8" w:color="CCEEFF"/>
              <w:bottom w:val="single" w:sz="8" w:color="CCEEFF"/>
            </w:tcBorders>
            <w:shd w:val="clear" w:color="auto" w:fill="CCEEFF"/>
          </w:tcPr>
          <w:p>
            <w:pPr>
              <w:spacing w:after="0"/>
              <w:rPr>
                <w:sz w:val="15"/>
                <w:szCs w:val="15"/>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w w:val="82"/>
              </w:rPr>
              <w:t>$</w:t>
            </w:r>
          </w:p>
        </w:tc>
        <w:tc>
          <w:tcPr>
            <w:tcW w:w="6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5,364</w:t>
            </w:r>
          </w:p>
        </w:tc>
        <w:tc>
          <w:tcPr>
            <w:tcW w:w="240" w:type="dxa"/>
            <w:vAlign w:val="bottom"/>
            <w:tcBorders>
              <w:top w:val="single" w:sz="8" w:color="CCEEFF"/>
              <w:bottom w:val="single" w:sz="8" w:color="CCEEFF"/>
            </w:tcBorders>
            <w:shd w:val="clear" w:color="auto" w:fill="CCEEFF"/>
          </w:tcPr>
          <w:p>
            <w:pPr>
              <w:spacing w:after="0"/>
              <w:rPr>
                <w:sz w:val="15"/>
                <w:szCs w:val="15"/>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0"/>
                <w:szCs w:val="10"/>
                <w:b w:val="1"/>
                <w:bCs w:val="1"/>
                <w:color w:val="auto"/>
                <w:w w:val="71"/>
              </w:rPr>
              <w:t>$</w:t>
            </w:r>
          </w:p>
        </w:tc>
        <w:tc>
          <w:tcPr>
            <w:tcW w:w="5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106.3</w:t>
            </w:r>
          </w:p>
        </w:tc>
        <w:tc>
          <w:tcPr>
            <w:tcW w:w="160" w:type="dxa"/>
            <w:vAlign w:val="bottom"/>
            <w:tcBorders>
              <w:top w:val="single" w:sz="8" w:color="CCEEFF"/>
              <w:bottom w:val="single" w:sz="8" w:color="CCEEFF"/>
            </w:tcBorders>
            <w:shd w:val="clear" w:color="auto" w:fill="CCEEFF"/>
          </w:tcPr>
          <w:p>
            <w:pPr>
              <w:spacing w:after="0"/>
              <w:rPr>
                <w:sz w:val="15"/>
                <w:szCs w:val="15"/>
                <w:color w:val="auto"/>
              </w:rPr>
            </w:pPr>
          </w:p>
        </w:tc>
        <w:tc>
          <w:tcPr>
            <w:tcW w:w="940" w:type="dxa"/>
            <w:vAlign w:val="bottom"/>
            <w:tcBorders>
              <w:top w:val="single" w:sz="8" w:color="CCEEFF"/>
              <w:bottom w:val="single" w:sz="8" w:color="CCEEFF"/>
            </w:tcBorders>
            <w:gridSpan w:val="2"/>
            <w:shd w:val="clear" w:color="auto" w:fill="CCEEFF"/>
          </w:tcPr>
          <w:p>
            <w:pPr>
              <w:ind w:left="520"/>
              <w:spacing w:after="0" w:line="146" w:lineRule="exact"/>
              <w:rPr>
                <w:sz w:val="20"/>
                <w:szCs w:val="20"/>
                <w:color w:val="auto"/>
              </w:rPr>
            </w:pPr>
            <w:r>
              <w:rPr>
                <w:rFonts w:ascii="Arial" w:cs="Arial" w:eastAsia="Arial" w:hAnsi="Arial"/>
                <w:sz w:val="13"/>
                <w:szCs w:val="13"/>
                <w:b w:val="1"/>
                <w:bCs w:val="1"/>
                <w:color w:val="auto"/>
              </w:rPr>
              <w:t>1.95%</w:t>
            </w:r>
          </w:p>
        </w:tc>
        <w:tc>
          <w:tcPr>
            <w:tcW w:w="60" w:type="dxa"/>
            <w:vAlign w:val="bottom"/>
            <w:tcBorders>
              <w:top w:val="single" w:sz="8" w:color="CCEEFF"/>
              <w:bottom w:val="single" w:sz="8" w:color="CCEEFF"/>
            </w:tcBorders>
            <w:shd w:val="clear" w:color="auto" w:fill="CCEEFF"/>
          </w:tcPr>
          <w:p>
            <w:pPr>
              <w:spacing w:after="0"/>
              <w:rPr>
                <w:sz w:val="15"/>
                <w:szCs w:val="15"/>
                <w:color w:val="auto"/>
              </w:rPr>
            </w:pPr>
          </w:p>
        </w:tc>
        <w:tc>
          <w:tcPr>
            <w:tcW w:w="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0"/>
                <w:szCs w:val="10"/>
                <w:b w:val="1"/>
                <w:bCs w:val="1"/>
                <w:color w:val="auto"/>
                <w:w w:val="71"/>
              </w:rPr>
              <w:t>$</w:t>
            </w:r>
          </w:p>
        </w:tc>
        <w:tc>
          <w:tcPr>
            <w:tcW w:w="5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6,403</w:t>
            </w:r>
          </w:p>
        </w:tc>
        <w:tc>
          <w:tcPr>
            <w:tcW w:w="140" w:type="dxa"/>
            <w:vAlign w:val="bottom"/>
            <w:tcBorders>
              <w:top w:val="single" w:sz="8" w:color="CCEEFF"/>
              <w:bottom w:val="single" w:sz="8" w:color="CCEEFF"/>
            </w:tcBorders>
            <w:shd w:val="clear" w:color="auto" w:fill="CCEEFF"/>
          </w:tcPr>
          <w:p>
            <w:pPr>
              <w:spacing w:after="0"/>
              <w:rPr>
                <w:sz w:val="15"/>
                <w:szCs w:val="15"/>
                <w:color w:val="auto"/>
              </w:rPr>
            </w:pPr>
          </w:p>
        </w:tc>
        <w:tc>
          <w:tcPr>
            <w:tcW w:w="80" w:type="dxa"/>
            <w:vAlign w:val="bottom"/>
            <w:tcBorders>
              <w:top w:val="single" w:sz="8" w:color="CCEEFF"/>
              <w:bottom w:val="single" w:sz="8" w:color="CCEEFF"/>
            </w:tcBorders>
            <w:shd w:val="clear" w:color="auto" w:fill="CCEEFF"/>
          </w:tcPr>
          <w:p>
            <w:pPr>
              <w:spacing w:after="0"/>
              <w:rPr>
                <w:sz w:val="15"/>
                <w:szCs w:val="15"/>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0"/>
                <w:szCs w:val="10"/>
                <w:b w:val="1"/>
                <w:bCs w:val="1"/>
                <w:color w:val="auto"/>
                <w:w w:val="71"/>
              </w:rPr>
              <w:t>$</w:t>
            </w:r>
          </w:p>
        </w:tc>
        <w:tc>
          <w:tcPr>
            <w:tcW w:w="5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90.7</w:t>
            </w:r>
          </w:p>
        </w:tc>
        <w:tc>
          <w:tcPr>
            <w:tcW w:w="140" w:type="dxa"/>
            <w:vAlign w:val="bottom"/>
            <w:tcBorders>
              <w:top w:val="single" w:sz="8" w:color="CCEEFF"/>
              <w:bottom w:val="single" w:sz="8" w:color="CCEEFF"/>
            </w:tcBorders>
            <w:shd w:val="clear" w:color="auto" w:fill="CCEEFF"/>
          </w:tcPr>
          <w:p>
            <w:pPr>
              <w:spacing w:after="0"/>
              <w:rPr>
                <w:sz w:val="15"/>
                <w:szCs w:val="15"/>
                <w:color w:val="auto"/>
              </w:rPr>
            </w:pPr>
          </w:p>
        </w:tc>
        <w:tc>
          <w:tcPr>
            <w:tcW w:w="880" w:type="dxa"/>
            <w:vAlign w:val="bottom"/>
            <w:tcBorders>
              <w:top w:val="single" w:sz="8" w:color="CCEEFF"/>
              <w:bottom w:val="single" w:sz="8" w:color="CCEEFF"/>
            </w:tcBorders>
            <w:gridSpan w:val="2"/>
            <w:shd w:val="clear" w:color="auto" w:fill="CCEEFF"/>
          </w:tcPr>
          <w:p>
            <w:pPr>
              <w:ind w:left="520"/>
              <w:spacing w:after="0" w:line="146" w:lineRule="exact"/>
              <w:rPr>
                <w:sz w:val="20"/>
                <w:szCs w:val="20"/>
                <w:color w:val="auto"/>
              </w:rPr>
            </w:pPr>
            <w:r>
              <w:rPr>
                <w:rFonts w:ascii="Arial" w:cs="Arial" w:eastAsia="Arial" w:hAnsi="Arial"/>
                <w:sz w:val="13"/>
                <w:szCs w:val="13"/>
                <w:b w:val="1"/>
                <w:bCs w:val="1"/>
                <w:color w:val="auto"/>
                <w:w w:val="92"/>
              </w:rPr>
              <w:t>1.39%</w:t>
            </w:r>
          </w:p>
        </w:tc>
        <w:tc>
          <w:tcPr>
            <w:tcW w:w="0" w:type="dxa"/>
            <w:vAlign w:val="bottom"/>
          </w:tcPr>
          <w:p>
            <w:pPr>
              <w:spacing w:after="0"/>
              <w:rPr>
                <w:sz w:val="1"/>
                <w:szCs w:val="1"/>
                <w:color w:val="auto"/>
              </w:rPr>
            </w:pPr>
          </w:p>
        </w:tc>
      </w:tr>
      <w:tr>
        <w:trPr>
          <w:trHeight w:val="152"/>
        </w:trPr>
        <w:tc>
          <w:tcPr>
            <w:tcW w:w="3320" w:type="dxa"/>
            <w:vAlign w:val="bottom"/>
            <w:gridSpan w:val="2"/>
          </w:tcPr>
          <w:p>
            <w:pPr>
              <w:spacing w:after="0" w:line="143" w:lineRule="exact"/>
              <w:rPr>
                <w:sz w:val="20"/>
                <w:szCs w:val="20"/>
                <w:color w:val="auto"/>
              </w:rPr>
            </w:pPr>
            <w:r>
              <w:rPr>
                <w:rFonts w:ascii="Arial" w:cs="Arial" w:eastAsia="Arial" w:hAnsi="Arial"/>
                <w:sz w:val="13"/>
                <w:szCs w:val="13"/>
                <w:color w:val="auto"/>
              </w:rPr>
              <w:t>Non-interest bearing liabilities and other liabilities</w:t>
            </w:r>
          </w:p>
        </w:tc>
        <w:tc>
          <w:tcPr>
            <w:tcW w:w="100" w:type="dxa"/>
            <w:vAlign w:val="bottom"/>
          </w:tcPr>
          <w:p>
            <w:pPr>
              <w:spacing w:after="0"/>
              <w:rPr>
                <w:sz w:val="13"/>
                <w:szCs w:val="13"/>
                <w:color w:val="auto"/>
              </w:rPr>
            </w:pPr>
          </w:p>
        </w:tc>
        <w:tc>
          <w:tcPr>
            <w:tcW w:w="600" w:type="dxa"/>
            <w:vAlign w:val="bottom"/>
          </w:tcPr>
          <w:p>
            <w:pPr>
              <w:jc w:val="right"/>
              <w:spacing w:after="0"/>
              <w:rPr>
                <w:sz w:val="20"/>
                <w:szCs w:val="20"/>
                <w:color w:val="auto"/>
              </w:rPr>
            </w:pPr>
            <w:r>
              <w:rPr>
                <w:rFonts w:ascii="Arial" w:cs="Arial" w:eastAsia="Arial" w:hAnsi="Arial"/>
                <w:sz w:val="13"/>
                <w:szCs w:val="13"/>
                <w:color w:val="auto"/>
              </w:rPr>
              <w:t>102</w:t>
            </w:r>
          </w:p>
        </w:tc>
        <w:tc>
          <w:tcPr>
            <w:tcW w:w="1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5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840" w:type="dxa"/>
            <w:vAlign w:val="bottom"/>
            <w:gridSpan w:val="2"/>
          </w:tcPr>
          <w:p>
            <w:pPr>
              <w:jc w:val="right"/>
              <w:ind w:right="240"/>
              <w:spacing w:after="0"/>
              <w:rPr>
                <w:sz w:val="20"/>
                <w:szCs w:val="20"/>
                <w:color w:val="auto"/>
              </w:rPr>
            </w:pPr>
            <w:r>
              <w:rPr>
                <w:rFonts w:ascii="Arial" w:cs="Arial" w:eastAsia="Arial" w:hAnsi="Arial"/>
                <w:sz w:val="13"/>
                <w:szCs w:val="13"/>
                <w:color w:val="auto"/>
              </w:rPr>
              <w:t>82</w:t>
            </w:r>
          </w:p>
        </w:tc>
        <w:tc>
          <w:tcPr>
            <w:tcW w:w="100" w:type="dxa"/>
            <w:vAlign w:val="bottom"/>
          </w:tcPr>
          <w:p>
            <w:pPr>
              <w:spacing w:after="0"/>
              <w:rPr>
                <w:sz w:val="13"/>
                <w:szCs w:val="13"/>
                <w:color w:val="auto"/>
              </w:rPr>
            </w:pPr>
          </w:p>
        </w:tc>
        <w:tc>
          <w:tcPr>
            <w:tcW w:w="5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580" w:type="dxa"/>
            <w:vAlign w:val="bottom"/>
          </w:tcPr>
          <w:p>
            <w:pPr>
              <w:jc w:val="right"/>
              <w:spacing w:after="0"/>
              <w:rPr>
                <w:sz w:val="20"/>
                <w:szCs w:val="20"/>
                <w:color w:val="auto"/>
              </w:rPr>
            </w:pPr>
            <w:r>
              <w:rPr>
                <w:rFonts w:ascii="Arial" w:cs="Arial" w:eastAsia="Arial" w:hAnsi="Arial"/>
                <w:sz w:val="13"/>
                <w:szCs w:val="13"/>
                <w:color w:val="auto"/>
              </w:rPr>
              <w:t>83</w:t>
            </w:r>
          </w:p>
        </w:tc>
        <w:tc>
          <w:tcPr>
            <w:tcW w:w="1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5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74"/>
        </w:trPr>
        <w:tc>
          <w:tcPr>
            <w:tcW w:w="3320" w:type="dxa"/>
            <w:vAlign w:val="bottom"/>
            <w:tcBorders>
              <w:top w:val="single" w:sz="8" w:color="CCEEFF"/>
              <w:bottom w:val="single" w:sz="8" w:color="CCEEFF"/>
            </w:tcBorders>
            <w:gridSpan w:val="2"/>
            <w:shd w:val="clear" w:color="auto" w:fill="CCEEFF"/>
          </w:tcPr>
          <w:p>
            <w:pPr>
              <w:spacing w:after="0" w:line="147" w:lineRule="exact"/>
              <w:rPr>
                <w:sz w:val="20"/>
                <w:szCs w:val="20"/>
                <w:color w:val="auto"/>
              </w:rPr>
            </w:pPr>
            <w:r>
              <w:rPr>
                <w:rFonts w:ascii="Arial" w:cs="Arial" w:eastAsia="Arial" w:hAnsi="Arial"/>
                <w:sz w:val="13"/>
                <w:szCs w:val="13"/>
                <w:b w:val="1"/>
                <w:bCs w:val="1"/>
                <w:color w:val="auto"/>
              </w:rPr>
              <w:t>Total Liabilities</w:t>
            </w: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w w:val="82"/>
              </w:rPr>
              <w:t>$</w:t>
            </w:r>
          </w:p>
        </w:tc>
        <w:tc>
          <w:tcPr>
            <w:tcW w:w="6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5,420</w:t>
            </w:r>
          </w:p>
        </w:tc>
        <w:tc>
          <w:tcPr>
            <w:tcW w:w="140" w:type="dxa"/>
            <w:vAlign w:val="bottom"/>
            <w:tcBorders>
              <w:top w:val="single" w:sz="8" w:color="CCEEFF"/>
              <w:bottom w:val="single" w:sz="8" w:color="CCEEFF"/>
            </w:tcBorders>
            <w:shd w:val="clear" w:color="auto" w:fill="CCEEFF"/>
          </w:tcPr>
          <w:p>
            <w:pPr>
              <w:spacing w:after="0"/>
              <w:rPr>
                <w:sz w:val="15"/>
                <w:szCs w:val="15"/>
                <w:color w:val="auto"/>
              </w:rPr>
            </w:pPr>
          </w:p>
        </w:tc>
        <w:tc>
          <w:tcPr>
            <w:tcW w:w="100" w:type="dxa"/>
            <w:vAlign w:val="bottom"/>
            <w:tcBorders>
              <w:top w:val="single" w:sz="8" w:color="CCEEFF"/>
              <w:bottom w:val="single" w:sz="8" w:color="CCEEFF"/>
            </w:tcBorders>
            <w:shd w:val="clear" w:color="auto" w:fill="CCEEFF"/>
          </w:tcPr>
          <w:p>
            <w:pPr>
              <w:spacing w:after="0"/>
              <w:rPr>
                <w:sz w:val="15"/>
                <w:szCs w:val="15"/>
                <w:color w:val="auto"/>
              </w:rPr>
            </w:pPr>
          </w:p>
        </w:tc>
        <w:tc>
          <w:tcPr>
            <w:tcW w:w="100" w:type="dxa"/>
            <w:vAlign w:val="bottom"/>
            <w:tcBorders>
              <w:top w:val="single" w:sz="8" w:color="CCEEFF"/>
              <w:bottom w:val="single" w:sz="8" w:color="CCEEFF"/>
            </w:tcBorders>
            <w:shd w:val="clear" w:color="auto" w:fill="CCEEFF"/>
          </w:tcPr>
          <w:p>
            <w:pPr>
              <w:spacing w:after="0"/>
              <w:rPr>
                <w:sz w:val="15"/>
                <w:szCs w:val="15"/>
                <w:color w:val="auto"/>
              </w:rPr>
            </w:pPr>
          </w:p>
        </w:tc>
        <w:tc>
          <w:tcPr>
            <w:tcW w:w="580" w:type="dxa"/>
            <w:vAlign w:val="bottom"/>
            <w:tcBorders>
              <w:top w:val="single" w:sz="8" w:color="CCEEFF"/>
              <w:bottom w:val="single" w:sz="8" w:color="CCEEFF"/>
            </w:tcBorders>
            <w:shd w:val="clear" w:color="auto" w:fill="CCEEFF"/>
          </w:tcPr>
          <w:p>
            <w:pPr>
              <w:spacing w:after="0"/>
              <w:rPr>
                <w:sz w:val="15"/>
                <w:szCs w:val="15"/>
                <w:color w:val="auto"/>
              </w:rPr>
            </w:pPr>
          </w:p>
        </w:tc>
        <w:tc>
          <w:tcPr>
            <w:tcW w:w="160" w:type="dxa"/>
            <w:vAlign w:val="bottom"/>
            <w:tcBorders>
              <w:top w:val="single" w:sz="8" w:color="CCEEFF"/>
              <w:bottom w:val="single" w:sz="8" w:color="CCEEFF"/>
            </w:tcBorders>
            <w:shd w:val="clear" w:color="auto" w:fill="CCEEFF"/>
          </w:tcPr>
          <w:p>
            <w:pPr>
              <w:spacing w:after="0"/>
              <w:rPr>
                <w:sz w:val="15"/>
                <w:szCs w:val="15"/>
                <w:color w:val="auto"/>
              </w:rPr>
            </w:pPr>
          </w:p>
        </w:tc>
        <w:tc>
          <w:tcPr>
            <w:tcW w:w="760" w:type="dxa"/>
            <w:vAlign w:val="bottom"/>
            <w:tcBorders>
              <w:top w:val="single" w:sz="8" w:color="CCEEFF"/>
              <w:bottom w:val="single" w:sz="8" w:color="CCEEFF"/>
            </w:tcBorders>
            <w:shd w:val="clear" w:color="auto" w:fill="CCEEFF"/>
          </w:tcPr>
          <w:p>
            <w:pPr>
              <w:spacing w:after="0"/>
              <w:rPr>
                <w:sz w:val="15"/>
                <w:szCs w:val="15"/>
                <w:color w:val="auto"/>
              </w:rPr>
            </w:pPr>
          </w:p>
        </w:tc>
        <w:tc>
          <w:tcPr>
            <w:tcW w:w="200" w:type="dxa"/>
            <w:vAlign w:val="bottom"/>
            <w:tcBorders>
              <w:top w:val="single" w:sz="8" w:color="CCEEFF"/>
              <w:bottom w:val="single" w:sz="8" w:color="CCEEFF"/>
            </w:tcBorders>
            <w:shd w:val="clear" w:color="auto" w:fill="CCEEFF"/>
          </w:tcPr>
          <w:p>
            <w:pPr>
              <w:spacing w:after="0"/>
              <w:rPr>
                <w:sz w:val="15"/>
                <w:szCs w:val="15"/>
                <w:color w:val="auto"/>
              </w:rPr>
            </w:pPr>
          </w:p>
        </w:tc>
        <w:tc>
          <w:tcPr>
            <w:tcW w:w="60" w:type="dxa"/>
            <w:vAlign w:val="bottom"/>
            <w:tcBorders>
              <w:top w:val="single" w:sz="8" w:color="CCEEFF"/>
              <w:bottom w:val="single" w:sz="8" w:color="CCEEFF"/>
            </w:tcBorders>
            <w:shd w:val="clear" w:color="auto" w:fill="CCEEFF"/>
          </w:tcPr>
          <w:p>
            <w:pPr>
              <w:spacing w:after="0"/>
              <w:rPr>
                <w:sz w:val="15"/>
                <w:szCs w:val="15"/>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w w:val="82"/>
              </w:rPr>
              <w:t>$</w:t>
            </w:r>
          </w:p>
        </w:tc>
        <w:tc>
          <w:tcPr>
            <w:tcW w:w="6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5,446</w:t>
            </w:r>
          </w:p>
        </w:tc>
        <w:tc>
          <w:tcPr>
            <w:tcW w:w="240" w:type="dxa"/>
            <w:vAlign w:val="bottom"/>
            <w:tcBorders>
              <w:top w:val="single" w:sz="8" w:color="CCEEFF"/>
              <w:bottom w:val="single" w:sz="8" w:color="CCEEFF"/>
            </w:tcBorders>
            <w:shd w:val="clear" w:color="auto" w:fill="CCEEFF"/>
          </w:tcPr>
          <w:p>
            <w:pPr>
              <w:spacing w:after="0"/>
              <w:rPr>
                <w:sz w:val="15"/>
                <w:szCs w:val="15"/>
                <w:color w:val="auto"/>
              </w:rPr>
            </w:pPr>
          </w:p>
        </w:tc>
        <w:tc>
          <w:tcPr>
            <w:tcW w:w="100" w:type="dxa"/>
            <w:vAlign w:val="bottom"/>
            <w:tcBorders>
              <w:top w:val="single" w:sz="8" w:color="CCEEFF"/>
              <w:bottom w:val="single" w:sz="8" w:color="CCEEFF"/>
            </w:tcBorders>
            <w:shd w:val="clear" w:color="auto" w:fill="CCEEFF"/>
          </w:tcPr>
          <w:p>
            <w:pPr>
              <w:spacing w:after="0"/>
              <w:rPr>
                <w:sz w:val="15"/>
                <w:szCs w:val="15"/>
                <w:color w:val="auto"/>
              </w:rPr>
            </w:pPr>
          </w:p>
        </w:tc>
        <w:tc>
          <w:tcPr>
            <w:tcW w:w="580" w:type="dxa"/>
            <w:vAlign w:val="bottom"/>
            <w:tcBorders>
              <w:top w:val="single" w:sz="8" w:color="CCEEFF"/>
              <w:bottom w:val="single" w:sz="8" w:color="CCEEFF"/>
            </w:tcBorders>
            <w:shd w:val="clear" w:color="auto" w:fill="CCEEFF"/>
          </w:tcPr>
          <w:p>
            <w:pPr>
              <w:spacing w:after="0"/>
              <w:rPr>
                <w:sz w:val="15"/>
                <w:szCs w:val="15"/>
                <w:color w:val="auto"/>
              </w:rPr>
            </w:pPr>
          </w:p>
        </w:tc>
        <w:tc>
          <w:tcPr>
            <w:tcW w:w="160" w:type="dxa"/>
            <w:vAlign w:val="bottom"/>
            <w:tcBorders>
              <w:top w:val="single" w:sz="8" w:color="CCEEFF"/>
              <w:bottom w:val="single" w:sz="8" w:color="CCEEFF"/>
            </w:tcBorders>
            <w:shd w:val="clear" w:color="auto" w:fill="CCEEFF"/>
          </w:tcPr>
          <w:p>
            <w:pPr>
              <w:spacing w:after="0"/>
              <w:rPr>
                <w:sz w:val="15"/>
                <w:szCs w:val="15"/>
                <w:color w:val="auto"/>
              </w:rPr>
            </w:pPr>
          </w:p>
        </w:tc>
        <w:tc>
          <w:tcPr>
            <w:tcW w:w="760" w:type="dxa"/>
            <w:vAlign w:val="bottom"/>
            <w:tcBorders>
              <w:top w:val="single" w:sz="8" w:color="CCEEFF"/>
              <w:bottom w:val="single" w:sz="8" w:color="CCEEFF"/>
            </w:tcBorders>
            <w:shd w:val="clear" w:color="auto" w:fill="CCEEFF"/>
          </w:tcPr>
          <w:p>
            <w:pPr>
              <w:spacing w:after="0"/>
              <w:rPr>
                <w:sz w:val="15"/>
                <w:szCs w:val="15"/>
                <w:color w:val="auto"/>
              </w:rPr>
            </w:pPr>
          </w:p>
        </w:tc>
        <w:tc>
          <w:tcPr>
            <w:tcW w:w="180" w:type="dxa"/>
            <w:vAlign w:val="bottom"/>
            <w:tcBorders>
              <w:top w:val="single" w:sz="8" w:color="CCEEFF"/>
              <w:bottom w:val="single" w:sz="8" w:color="CCEEFF"/>
            </w:tcBorders>
            <w:shd w:val="clear" w:color="auto" w:fill="CCEEFF"/>
          </w:tcPr>
          <w:p>
            <w:pPr>
              <w:spacing w:after="0"/>
              <w:rPr>
                <w:sz w:val="15"/>
                <w:szCs w:val="15"/>
                <w:color w:val="auto"/>
              </w:rPr>
            </w:pPr>
          </w:p>
        </w:tc>
        <w:tc>
          <w:tcPr>
            <w:tcW w:w="60" w:type="dxa"/>
            <w:vAlign w:val="bottom"/>
            <w:tcBorders>
              <w:top w:val="single" w:sz="8" w:color="CCEEFF"/>
              <w:bottom w:val="single" w:sz="8" w:color="CCEEFF"/>
            </w:tcBorders>
            <w:shd w:val="clear" w:color="auto" w:fill="CCEEFF"/>
          </w:tcPr>
          <w:p>
            <w:pPr>
              <w:spacing w:after="0"/>
              <w:rPr>
                <w:sz w:val="15"/>
                <w:szCs w:val="15"/>
                <w:color w:val="auto"/>
              </w:rPr>
            </w:pPr>
          </w:p>
        </w:tc>
        <w:tc>
          <w:tcPr>
            <w:tcW w:w="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0"/>
                <w:szCs w:val="10"/>
                <w:b w:val="1"/>
                <w:bCs w:val="1"/>
                <w:color w:val="auto"/>
                <w:w w:val="71"/>
              </w:rPr>
              <w:t>$</w:t>
            </w:r>
          </w:p>
        </w:tc>
        <w:tc>
          <w:tcPr>
            <w:tcW w:w="5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6,486</w:t>
            </w:r>
          </w:p>
        </w:tc>
        <w:tc>
          <w:tcPr>
            <w:tcW w:w="140" w:type="dxa"/>
            <w:vAlign w:val="bottom"/>
            <w:tcBorders>
              <w:top w:val="single" w:sz="8" w:color="CCEEFF"/>
              <w:bottom w:val="single" w:sz="8" w:color="CCEEFF"/>
            </w:tcBorders>
            <w:shd w:val="clear" w:color="auto" w:fill="CCEEFF"/>
          </w:tcPr>
          <w:p>
            <w:pPr>
              <w:spacing w:after="0"/>
              <w:rPr>
                <w:sz w:val="15"/>
                <w:szCs w:val="15"/>
                <w:color w:val="auto"/>
              </w:rPr>
            </w:pPr>
          </w:p>
        </w:tc>
        <w:tc>
          <w:tcPr>
            <w:tcW w:w="80" w:type="dxa"/>
            <w:vAlign w:val="bottom"/>
            <w:tcBorders>
              <w:top w:val="single" w:sz="8" w:color="CCEEFF"/>
              <w:bottom w:val="single" w:sz="8" w:color="CCEEFF"/>
            </w:tcBorders>
            <w:shd w:val="clear" w:color="auto" w:fill="CCEEFF"/>
          </w:tcPr>
          <w:p>
            <w:pPr>
              <w:spacing w:after="0"/>
              <w:rPr>
                <w:sz w:val="15"/>
                <w:szCs w:val="15"/>
                <w:color w:val="auto"/>
              </w:rPr>
            </w:pPr>
          </w:p>
        </w:tc>
        <w:tc>
          <w:tcPr>
            <w:tcW w:w="100" w:type="dxa"/>
            <w:vAlign w:val="bottom"/>
            <w:tcBorders>
              <w:top w:val="single" w:sz="8" w:color="CCEEFF"/>
              <w:bottom w:val="single" w:sz="8" w:color="CCEEFF"/>
            </w:tcBorders>
            <w:shd w:val="clear" w:color="auto" w:fill="CCEEFF"/>
          </w:tcPr>
          <w:p>
            <w:pPr>
              <w:spacing w:after="0"/>
              <w:rPr>
                <w:sz w:val="15"/>
                <w:szCs w:val="15"/>
                <w:color w:val="auto"/>
              </w:rPr>
            </w:pPr>
          </w:p>
        </w:tc>
        <w:tc>
          <w:tcPr>
            <w:tcW w:w="580" w:type="dxa"/>
            <w:vAlign w:val="bottom"/>
            <w:tcBorders>
              <w:top w:val="single" w:sz="8" w:color="CCEEFF"/>
              <w:bottom w:val="single" w:sz="8" w:color="CCEEFF"/>
            </w:tcBorders>
            <w:shd w:val="clear" w:color="auto" w:fill="CCEEFF"/>
          </w:tcPr>
          <w:p>
            <w:pPr>
              <w:spacing w:after="0"/>
              <w:rPr>
                <w:sz w:val="15"/>
                <w:szCs w:val="15"/>
                <w:color w:val="auto"/>
              </w:rPr>
            </w:pPr>
          </w:p>
        </w:tc>
        <w:tc>
          <w:tcPr>
            <w:tcW w:w="140" w:type="dxa"/>
            <w:vAlign w:val="bottom"/>
            <w:tcBorders>
              <w:top w:val="single" w:sz="8" w:color="CCEEFF"/>
              <w:bottom w:val="single" w:sz="8" w:color="CCEEFF"/>
            </w:tcBorders>
            <w:shd w:val="clear" w:color="auto" w:fill="CCEEFF"/>
          </w:tcPr>
          <w:p>
            <w:pPr>
              <w:spacing w:after="0"/>
              <w:rPr>
                <w:sz w:val="15"/>
                <w:szCs w:val="15"/>
                <w:color w:val="auto"/>
              </w:rPr>
            </w:pPr>
          </w:p>
        </w:tc>
        <w:tc>
          <w:tcPr>
            <w:tcW w:w="740" w:type="dxa"/>
            <w:vAlign w:val="bottom"/>
            <w:tcBorders>
              <w:top w:val="single" w:sz="8" w:color="CCEEFF"/>
              <w:bottom w:val="single" w:sz="8" w:color="CCEEFF"/>
            </w:tcBorders>
            <w:shd w:val="clear" w:color="auto" w:fill="CCEEFF"/>
          </w:tcPr>
          <w:p>
            <w:pPr>
              <w:spacing w:after="0"/>
              <w:rPr>
                <w:sz w:val="15"/>
                <w:szCs w:val="15"/>
                <w:color w:val="auto"/>
              </w:rPr>
            </w:pPr>
          </w:p>
        </w:tc>
        <w:tc>
          <w:tcPr>
            <w:tcW w:w="140" w:type="dxa"/>
            <w:vAlign w:val="bottom"/>
            <w:tcBorders>
              <w:top w:val="single" w:sz="8" w:color="CCEEFF"/>
              <w:bottom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43"/>
        </w:trPr>
        <w:tc>
          <w:tcPr>
            <w:tcW w:w="3320" w:type="dxa"/>
            <w:vAlign w:val="bottom"/>
            <w:tcBorders>
              <w:bottom w:val="single" w:sz="8" w:color="CCEEFF"/>
            </w:tcBorders>
            <w:gridSpan w:val="2"/>
          </w:tcPr>
          <w:p>
            <w:pPr>
              <w:spacing w:after="0" w:line="143" w:lineRule="exact"/>
              <w:rPr>
                <w:sz w:val="20"/>
                <w:szCs w:val="20"/>
                <w:color w:val="auto"/>
              </w:rPr>
            </w:pPr>
            <w:r>
              <w:rPr>
                <w:rFonts w:ascii="Arial" w:cs="Arial" w:eastAsia="Arial" w:hAnsi="Arial"/>
                <w:sz w:val="13"/>
                <w:szCs w:val="13"/>
                <w:color w:val="auto"/>
              </w:rPr>
              <w:t>Total equity</w:t>
            </w:r>
          </w:p>
        </w:tc>
        <w:tc>
          <w:tcPr>
            <w:tcW w:w="100" w:type="dxa"/>
            <w:vAlign w:val="bottom"/>
            <w:tcBorders>
              <w:bottom w:val="single" w:sz="8" w:color="auto"/>
            </w:tcBorders>
          </w:tcPr>
          <w:p>
            <w:pPr>
              <w:spacing w:after="0"/>
              <w:rPr>
                <w:sz w:val="12"/>
                <w:szCs w:val="12"/>
                <w:color w:val="auto"/>
              </w:rPr>
            </w:pPr>
          </w:p>
        </w:tc>
        <w:tc>
          <w:tcPr>
            <w:tcW w:w="60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b w:val="1"/>
                <w:bCs w:val="1"/>
                <w:color w:val="auto"/>
              </w:rPr>
              <w:t>1,031</w:t>
            </w:r>
          </w:p>
        </w:tc>
        <w:tc>
          <w:tcPr>
            <w:tcW w:w="140" w:type="dxa"/>
            <w:vAlign w:val="bottom"/>
            <w:tcBorders>
              <w:bottom w:val="single" w:sz="8" w:color="CCEEFF"/>
            </w:tcBorders>
          </w:tcPr>
          <w:p>
            <w:pPr>
              <w:spacing w:after="0"/>
              <w:rPr>
                <w:sz w:val="12"/>
                <w:szCs w:val="12"/>
                <w:color w:val="auto"/>
              </w:rPr>
            </w:pPr>
          </w:p>
        </w:tc>
        <w:tc>
          <w:tcPr>
            <w:tcW w:w="100" w:type="dxa"/>
            <w:vAlign w:val="bottom"/>
            <w:tcBorders>
              <w:bottom w:val="single" w:sz="8" w:color="CCEEFF"/>
            </w:tcBorders>
          </w:tcPr>
          <w:p>
            <w:pPr>
              <w:spacing w:after="0"/>
              <w:rPr>
                <w:sz w:val="12"/>
                <w:szCs w:val="12"/>
                <w:color w:val="auto"/>
              </w:rPr>
            </w:pPr>
          </w:p>
        </w:tc>
        <w:tc>
          <w:tcPr>
            <w:tcW w:w="100" w:type="dxa"/>
            <w:vAlign w:val="bottom"/>
            <w:tcBorders>
              <w:bottom w:val="single" w:sz="8" w:color="CCEEFF"/>
            </w:tcBorders>
          </w:tcPr>
          <w:p>
            <w:pPr>
              <w:spacing w:after="0"/>
              <w:rPr>
                <w:sz w:val="12"/>
                <w:szCs w:val="12"/>
                <w:color w:val="auto"/>
              </w:rPr>
            </w:pPr>
          </w:p>
        </w:tc>
        <w:tc>
          <w:tcPr>
            <w:tcW w:w="580" w:type="dxa"/>
            <w:vAlign w:val="bottom"/>
            <w:tcBorders>
              <w:bottom w:val="single" w:sz="8" w:color="CCEEFF"/>
            </w:tcBorders>
          </w:tcPr>
          <w:p>
            <w:pPr>
              <w:spacing w:after="0"/>
              <w:rPr>
                <w:sz w:val="12"/>
                <w:szCs w:val="12"/>
                <w:color w:val="auto"/>
              </w:rPr>
            </w:pPr>
          </w:p>
        </w:tc>
        <w:tc>
          <w:tcPr>
            <w:tcW w:w="160" w:type="dxa"/>
            <w:vAlign w:val="bottom"/>
            <w:tcBorders>
              <w:bottom w:val="single" w:sz="8" w:color="CCEEFF"/>
            </w:tcBorders>
          </w:tcPr>
          <w:p>
            <w:pPr>
              <w:spacing w:after="0"/>
              <w:rPr>
                <w:sz w:val="12"/>
                <w:szCs w:val="12"/>
                <w:color w:val="auto"/>
              </w:rPr>
            </w:pPr>
          </w:p>
        </w:tc>
        <w:tc>
          <w:tcPr>
            <w:tcW w:w="760" w:type="dxa"/>
            <w:vAlign w:val="bottom"/>
            <w:tcBorders>
              <w:bottom w:val="single" w:sz="8" w:color="CCEEFF"/>
            </w:tcBorders>
          </w:tcPr>
          <w:p>
            <w:pPr>
              <w:spacing w:after="0"/>
              <w:rPr>
                <w:sz w:val="12"/>
                <w:szCs w:val="12"/>
                <w:color w:val="auto"/>
              </w:rPr>
            </w:pPr>
          </w:p>
        </w:tc>
        <w:tc>
          <w:tcPr>
            <w:tcW w:w="200" w:type="dxa"/>
            <w:vAlign w:val="bottom"/>
            <w:tcBorders>
              <w:bottom w:val="single" w:sz="8" w:color="CCEEFF"/>
            </w:tcBorders>
          </w:tcPr>
          <w:p>
            <w:pPr>
              <w:spacing w:after="0"/>
              <w:rPr>
                <w:sz w:val="12"/>
                <w:szCs w:val="12"/>
                <w:color w:val="auto"/>
              </w:rPr>
            </w:pPr>
          </w:p>
        </w:tc>
        <w:tc>
          <w:tcPr>
            <w:tcW w:w="60" w:type="dxa"/>
            <w:vAlign w:val="bottom"/>
            <w:tcBorders>
              <w:bottom w:val="single" w:sz="8" w:color="CCEEFF"/>
            </w:tcBorders>
          </w:tcPr>
          <w:p>
            <w:pPr>
              <w:spacing w:after="0"/>
              <w:rPr>
                <w:sz w:val="12"/>
                <w:szCs w:val="12"/>
                <w:color w:val="auto"/>
              </w:rPr>
            </w:pPr>
          </w:p>
        </w:tc>
        <w:tc>
          <w:tcPr>
            <w:tcW w:w="100" w:type="dxa"/>
            <w:vAlign w:val="bottom"/>
            <w:tcBorders>
              <w:bottom w:val="single" w:sz="8" w:color="auto"/>
            </w:tcBorders>
          </w:tcPr>
          <w:p>
            <w:pPr>
              <w:spacing w:after="0"/>
              <w:rPr>
                <w:sz w:val="12"/>
                <w:szCs w:val="12"/>
                <w:color w:val="auto"/>
              </w:rPr>
            </w:pPr>
          </w:p>
        </w:tc>
        <w:tc>
          <w:tcPr>
            <w:tcW w:w="60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b w:val="1"/>
                <w:bCs w:val="1"/>
                <w:color w:val="auto"/>
              </w:rPr>
              <w:t>1,022</w:t>
            </w:r>
          </w:p>
        </w:tc>
        <w:tc>
          <w:tcPr>
            <w:tcW w:w="240" w:type="dxa"/>
            <w:vAlign w:val="bottom"/>
            <w:tcBorders>
              <w:bottom w:val="single" w:sz="8" w:color="CCEEFF"/>
            </w:tcBorders>
          </w:tcPr>
          <w:p>
            <w:pPr>
              <w:spacing w:after="0"/>
              <w:rPr>
                <w:sz w:val="12"/>
                <w:szCs w:val="12"/>
                <w:color w:val="auto"/>
              </w:rPr>
            </w:pPr>
          </w:p>
        </w:tc>
        <w:tc>
          <w:tcPr>
            <w:tcW w:w="100" w:type="dxa"/>
            <w:vAlign w:val="bottom"/>
            <w:tcBorders>
              <w:bottom w:val="single" w:sz="8" w:color="CCEEFF"/>
            </w:tcBorders>
          </w:tcPr>
          <w:p>
            <w:pPr>
              <w:spacing w:after="0"/>
              <w:rPr>
                <w:sz w:val="12"/>
                <w:szCs w:val="12"/>
                <w:color w:val="auto"/>
              </w:rPr>
            </w:pPr>
          </w:p>
        </w:tc>
        <w:tc>
          <w:tcPr>
            <w:tcW w:w="580" w:type="dxa"/>
            <w:vAlign w:val="bottom"/>
            <w:tcBorders>
              <w:bottom w:val="single" w:sz="8" w:color="CCEEFF"/>
            </w:tcBorders>
          </w:tcPr>
          <w:p>
            <w:pPr>
              <w:spacing w:after="0"/>
              <w:rPr>
                <w:sz w:val="12"/>
                <w:szCs w:val="12"/>
                <w:color w:val="auto"/>
              </w:rPr>
            </w:pPr>
          </w:p>
        </w:tc>
        <w:tc>
          <w:tcPr>
            <w:tcW w:w="160" w:type="dxa"/>
            <w:vAlign w:val="bottom"/>
            <w:tcBorders>
              <w:bottom w:val="single" w:sz="8" w:color="CCEEFF"/>
            </w:tcBorders>
          </w:tcPr>
          <w:p>
            <w:pPr>
              <w:spacing w:after="0"/>
              <w:rPr>
                <w:sz w:val="12"/>
                <w:szCs w:val="12"/>
                <w:color w:val="auto"/>
              </w:rPr>
            </w:pPr>
          </w:p>
        </w:tc>
        <w:tc>
          <w:tcPr>
            <w:tcW w:w="760" w:type="dxa"/>
            <w:vAlign w:val="bottom"/>
            <w:tcBorders>
              <w:bottom w:val="single" w:sz="8" w:color="CCEEFF"/>
            </w:tcBorders>
          </w:tcPr>
          <w:p>
            <w:pPr>
              <w:spacing w:after="0"/>
              <w:rPr>
                <w:sz w:val="12"/>
                <w:szCs w:val="12"/>
                <w:color w:val="auto"/>
              </w:rPr>
            </w:pPr>
          </w:p>
        </w:tc>
        <w:tc>
          <w:tcPr>
            <w:tcW w:w="180" w:type="dxa"/>
            <w:vAlign w:val="bottom"/>
            <w:tcBorders>
              <w:bottom w:val="single" w:sz="8" w:color="CCEEFF"/>
            </w:tcBorders>
          </w:tcPr>
          <w:p>
            <w:pPr>
              <w:spacing w:after="0"/>
              <w:rPr>
                <w:sz w:val="12"/>
                <w:szCs w:val="12"/>
                <w:color w:val="auto"/>
              </w:rPr>
            </w:pPr>
          </w:p>
        </w:tc>
        <w:tc>
          <w:tcPr>
            <w:tcW w:w="60" w:type="dxa"/>
            <w:vAlign w:val="bottom"/>
            <w:tcBorders>
              <w:bottom w:val="single" w:sz="8" w:color="CCEEFF"/>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58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b w:val="1"/>
                <w:bCs w:val="1"/>
                <w:color w:val="auto"/>
              </w:rPr>
              <w:t>993</w:t>
            </w:r>
          </w:p>
        </w:tc>
        <w:tc>
          <w:tcPr>
            <w:tcW w:w="140" w:type="dxa"/>
            <w:vAlign w:val="bottom"/>
            <w:tcBorders>
              <w:bottom w:val="single" w:sz="8" w:color="CCEEFF"/>
            </w:tcBorders>
          </w:tcPr>
          <w:p>
            <w:pPr>
              <w:spacing w:after="0"/>
              <w:rPr>
                <w:sz w:val="12"/>
                <w:szCs w:val="12"/>
                <w:color w:val="auto"/>
              </w:rPr>
            </w:pPr>
          </w:p>
        </w:tc>
        <w:tc>
          <w:tcPr>
            <w:tcW w:w="80" w:type="dxa"/>
            <w:vAlign w:val="bottom"/>
            <w:tcBorders>
              <w:bottom w:val="single" w:sz="8" w:color="CCEEFF"/>
            </w:tcBorders>
          </w:tcPr>
          <w:p>
            <w:pPr>
              <w:spacing w:after="0"/>
              <w:rPr>
                <w:sz w:val="12"/>
                <w:szCs w:val="12"/>
                <w:color w:val="auto"/>
              </w:rPr>
            </w:pPr>
          </w:p>
        </w:tc>
        <w:tc>
          <w:tcPr>
            <w:tcW w:w="100" w:type="dxa"/>
            <w:vAlign w:val="bottom"/>
            <w:tcBorders>
              <w:bottom w:val="single" w:sz="8" w:color="CCEEFF"/>
            </w:tcBorders>
          </w:tcPr>
          <w:p>
            <w:pPr>
              <w:spacing w:after="0"/>
              <w:rPr>
                <w:sz w:val="12"/>
                <w:szCs w:val="12"/>
                <w:color w:val="auto"/>
              </w:rPr>
            </w:pPr>
          </w:p>
        </w:tc>
        <w:tc>
          <w:tcPr>
            <w:tcW w:w="580" w:type="dxa"/>
            <w:vAlign w:val="bottom"/>
            <w:tcBorders>
              <w:bottom w:val="single" w:sz="8" w:color="CCEEFF"/>
            </w:tcBorders>
          </w:tcPr>
          <w:p>
            <w:pPr>
              <w:spacing w:after="0"/>
              <w:rPr>
                <w:sz w:val="12"/>
                <w:szCs w:val="12"/>
                <w:color w:val="auto"/>
              </w:rPr>
            </w:pPr>
          </w:p>
        </w:tc>
        <w:tc>
          <w:tcPr>
            <w:tcW w:w="140" w:type="dxa"/>
            <w:vAlign w:val="bottom"/>
            <w:tcBorders>
              <w:bottom w:val="single" w:sz="8" w:color="CCEEFF"/>
            </w:tcBorders>
          </w:tcPr>
          <w:p>
            <w:pPr>
              <w:spacing w:after="0"/>
              <w:rPr>
                <w:sz w:val="12"/>
                <w:szCs w:val="12"/>
                <w:color w:val="auto"/>
              </w:rPr>
            </w:pPr>
          </w:p>
        </w:tc>
        <w:tc>
          <w:tcPr>
            <w:tcW w:w="740" w:type="dxa"/>
            <w:vAlign w:val="bottom"/>
            <w:tcBorders>
              <w:bottom w:val="single" w:sz="8" w:color="CCEEFF"/>
            </w:tcBorders>
          </w:tcPr>
          <w:p>
            <w:pPr>
              <w:spacing w:after="0"/>
              <w:rPr>
                <w:sz w:val="12"/>
                <w:szCs w:val="12"/>
                <w:color w:val="auto"/>
              </w:rPr>
            </w:pPr>
          </w:p>
        </w:tc>
        <w:tc>
          <w:tcPr>
            <w:tcW w:w="140" w:type="dxa"/>
            <w:vAlign w:val="bottom"/>
            <w:tcBorders>
              <w:bottom w:val="single" w:sz="8" w:color="CCEEFF"/>
            </w:tcBorders>
          </w:tcPr>
          <w:p>
            <w:pPr>
              <w:spacing w:after="0"/>
              <w:rPr>
                <w:sz w:val="12"/>
                <w:szCs w:val="12"/>
                <w:color w:val="auto"/>
              </w:rPr>
            </w:pPr>
          </w:p>
        </w:tc>
        <w:tc>
          <w:tcPr>
            <w:tcW w:w="0" w:type="dxa"/>
            <w:vAlign w:val="bottom"/>
          </w:tcPr>
          <w:p>
            <w:pPr>
              <w:spacing w:after="0"/>
              <w:rPr>
                <w:sz w:val="1"/>
                <w:szCs w:val="1"/>
                <w:color w:val="auto"/>
              </w:rPr>
            </w:pPr>
          </w:p>
        </w:tc>
      </w:tr>
      <w:tr>
        <w:trPr>
          <w:trHeight w:val="173"/>
        </w:trPr>
        <w:tc>
          <w:tcPr>
            <w:tcW w:w="3320" w:type="dxa"/>
            <w:vAlign w:val="bottom"/>
            <w:tcBorders>
              <w:bottom w:val="single" w:sz="8" w:color="CCEEFF"/>
            </w:tcBorders>
            <w:gridSpan w:val="2"/>
            <w:shd w:val="clear" w:color="auto" w:fill="CCEEFF"/>
          </w:tcPr>
          <w:p>
            <w:pPr>
              <w:spacing w:after="0" w:line="146" w:lineRule="exact"/>
              <w:rPr>
                <w:sz w:val="20"/>
                <w:szCs w:val="20"/>
                <w:color w:val="auto"/>
              </w:rPr>
            </w:pPr>
            <w:r>
              <w:rPr>
                <w:rFonts w:ascii="Arial" w:cs="Arial" w:eastAsia="Arial" w:hAnsi="Arial"/>
                <w:sz w:val="13"/>
                <w:szCs w:val="13"/>
                <w:b w:val="1"/>
                <w:bCs w:val="1"/>
                <w:color w:val="auto"/>
              </w:rPr>
              <w:t>Total Liabilities and Equity</w:t>
            </w:r>
          </w:p>
        </w:tc>
        <w:tc>
          <w:tcPr>
            <w:tcW w:w="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w w:val="82"/>
              </w:rPr>
              <w:t>$</w:t>
            </w:r>
          </w:p>
        </w:tc>
        <w:tc>
          <w:tcPr>
            <w:tcW w:w="6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6,451</w:t>
            </w:r>
          </w:p>
        </w:tc>
        <w:tc>
          <w:tcPr>
            <w:tcW w:w="140" w:type="dxa"/>
            <w:vAlign w:val="bottom"/>
            <w:tcBorders>
              <w:bottom w:val="single" w:sz="8" w:color="CCEEFF"/>
            </w:tcBorders>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58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spacing w:after="0"/>
              <w:rPr>
                <w:sz w:val="15"/>
                <w:szCs w:val="15"/>
                <w:color w:val="auto"/>
              </w:rPr>
            </w:pPr>
          </w:p>
        </w:tc>
        <w:tc>
          <w:tcPr>
            <w:tcW w:w="200" w:type="dxa"/>
            <w:vAlign w:val="bottom"/>
            <w:tcBorders>
              <w:bottom w:val="single" w:sz="8" w:color="CCEEFF"/>
            </w:tcBorders>
            <w:shd w:val="clear" w:color="auto" w:fill="CCEEFF"/>
          </w:tcPr>
          <w:p>
            <w:pPr>
              <w:spacing w:after="0"/>
              <w:rPr>
                <w:sz w:val="15"/>
                <w:szCs w:val="15"/>
                <w:color w:val="auto"/>
              </w:rPr>
            </w:pPr>
          </w:p>
        </w:tc>
        <w:tc>
          <w:tcPr>
            <w:tcW w:w="60" w:type="dxa"/>
            <w:vAlign w:val="bottom"/>
            <w:tcBorders>
              <w:bottom w:val="single" w:sz="8" w:color="CCEEFF"/>
            </w:tcBorders>
            <w:shd w:val="clear" w:color="auto" w:fill="CCEEFF"/>
          </w:tcPr>
          <w:p>
            <w:pPr>
              <w:spacing w:after="0"/>
              <w:rPr>
                <w:sz w:val="15"/>
                <w:szCs w:val="15"/>
                <w:color w:val="auto"/>
              </w:rPr>
            </w:pPr>
          </w:p>
        </w:tc>
        <w:tc>
          <w:tcPr>
            <w:tcW w:w="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w w:val="82"/>
              </w:rPr>
              <w:t>$</w:t>
            </w:r>
          </w:p>
        </w:tc>
        <w:tc>
          <w:tcPr>
            <w:tcW w:w="6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6,468</w:t>
            </w:r>
          </w:p>
        </w:tc>
        <w:tc>
          <w:tcPr>
            <w:tcW w:w="240" w:type="dxa"/>
            <w:vAlign w:val="bottom"/>
            <w:tcBorders>
              <w:bottom w:val="single" w:sz="8" w:color="CCEEFF"/>
            </w:tcBorders>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58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760" w:type="dxa"/>
            <w:vAlign w:val="bottom"/>
            <w:tcBorders>
              <w:bottom w:val="single" w:sz="8" w:color="CCEEFF"/>
            </w:tcBorders>
            <w:shd w:val="clear" w:color="auto" w:fill="CCEEFF"/>
          </w:tcPr>
          <w:p>
            <w:pPr>
              <w:spacing w:after="0"/>
              <w:rPr>
                <w:sz w:val="15"/>
                <w:szCs w:val="15"/>
                <w:color w:val="auto"/>
              </w:rPr>
            </w:pPr>
          </w:p>
        </w:tc>
        <w:tc>
          <w:tcPr>
            <w:tcW w:w="180" w:type="dxa"/>
            <w:vAlign w:val="bottom"/>
            <w:tcBorders>
              <w:bottom w:val="single" w:sz="8" w:color="CCEEFF"/>
            </w:tcBorders>
            <w:shd w:val="clear" w:color="auto" w:fill="CCEEFF"/>
          </w:tcPr>
          <w:p>
            <w:pPr>
              <w:spacing w:after="0"/>
              <w:rPr>
                <w:sz w:val="15"/>
                <w:szCs w:val="15"/>
                <w:color w:val="auto"/>
              </w:rPr>
            </w:pPr>
          </w:p>
        </w:tc>
        <w:tc>
          <w:tcPr>
            <w:tcW w:w="60" w:type="dxa"/>
            <w:vAlign w:val="bottom"/>
            <w:tcBorders>
              <w:bottom w:val="single" w:sz="8" w:color="CCEEFF"/>
            </w:tcBorders>
            <w:shd w:val="clear" w:color="auto" w:fill="CCEEFF"/>
          </w:tcPr>
          <w:p>
            <w:pPr>
              <w:spacing w:after="0"/>
              <w:rPr>
                <w:sz w:val="15"/>
                <w:szCs w:val="15"/>
                <w:color w:val="auto"/>
              </w:rPr>
            </w:pPr>
          </w:p>
        </w:tc>
        <w:tc>
          <w:tcPr>
            <w:tcW w:w="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0"/>
                <w:szCs w:val="10"/>
                <w:b w:val="1"/>
                <w:bCs w:val="1"/>
                <w:color w:val="auto"/>
                <w:w w:val="71"/>
              </w:rPr>
              <w:t>$</w:t>
            </w:r>
          </w:p>
        </w:tc>
        <w:tc>
          <w:tcPr>
            <w:tcW w:w="5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7,479</w:t>
            </w:r>
          </w:p>
        </w:tc>
        <w:tc>
          <w:tcPr>
            <w:tcW w:w="140" w:type="dxa"/>
            <w:vAlign w:val="bottom"/>
            <w:tcBorders>
              <w:bottom w:val="single" w:sz="8" w:color="CCEEFF"/>
            </w:tcBorders>
            <w:shd w:val="clear" w:color="auto" w:fill="CCEEFF"/>
          </w:tcPr>
          <w:p>
            <w:pPr>
              <w:spacing w:after="0"/>
              <w:rPr>
                <w:sz w:val="15"/>
                <w:szCs w:val="15"/>
                <w:color w:val="auto"/>
              </w:rPr>
            </w:pPr>
          </w:p>
        </w:tc>
        <w:tc>
          <w:tcPr>
            <w:tcW w:w="80" w:type="dxa"/>
            <w:vAlign w:val="bottom"/>
            <w:tcBorders>
              <w:bottom w:val="single" w:sz="8" w:color="CCEEFF"/>
            </w:tcBorders>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580" w:type="dxa"/>
            <w:vAlign w:val="bottom"/>
            <w:tcBorders>
              <w:bottom w:val="single" w:sz="8" w:color="CCEEFF"/>
            </w:tcBorders>
            <w:shd w:val="clear" w:color="auto" w:fill="CCEEFF"/>
          </w:tcPr>
          <w:p>
            <w:pPr>
              <w:spacing w:after="0"/>
              <w:rPr>
                <w:sz w:val="15"/>
                <w:szCs w:val="15"/>
                <w:color w:val="auto"/>
              </w:rPr>
            </w:pPr>
          </w:p>
        </w:tc>
        <w:tc>
          <w:tcPr>
            <w:tcW w:w="140" w:type="dxa"/>
            <w:vAlign w:val="bottom"/>
            <w:tcBorders>
              <w:bottom w:val="single" w:sz="8" w:color="CCEEFF"/>
            </w:tcBorders>
            <w:shd w:val="clear" w:color="auto" w:fill="CCEEFF"/>
          </w:tcPr>
          <w:p>
            <w:pPr>
              <w:spacing w:after="0"/>
              <w:rPr>
                <w:sz w:val="15"/>
                <w:szCs w:val="15"/>
                <w:color w:val="auto"/>
              </w:rPr>
            </w:pPr>
          </w:p>
        </w:tc>
        <w:tc>
          <w:tcPr>
            <w:tcW w:w="740" w:type="dxa"/>
            <w:vAlign w:val="bottom"/>
            <w:tcBorders>
              <w:bottom w:val="single" w:sz="8" w:color="CCEEFF"/>
            </w:tcBorders>
            <w:shd w:val="clear" w:color="auto" w:fill="CCEEFF"/>
          </w:tcPr>
          <w:p>
            <w:pPr>
              <w:spacing w:after="0"/>
              <w:rPr>
                <w:sz w:val="15"/>
                <w:szCs w:val="15"/>
                <w:color w:val="auto"/>
              </w:rPr>
            </w:pPr>
          </w:p>
        </w:tc>
        <w:tc>
          <w:tcPr>
            <w:tcW w:w="140" w:type="dxa"/>
            <w:vAlign w:val="bottom"/>
            <w:tcBorders>
              <w:bottom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42"/>
        </w:trPr>
        <w:tc>
          <w:tcPr>
            <w:tcW w:w="3320" w:type="dxa"/>
            <w:vAlign w:val="bottom"/>
            <w:gridSpan w:val="2"/>
          </w:tcPr>
          <w:p>
            <w:pPr>
              <w:spacing w:after="0" w:line="143" w:lineRule="exact"/>
              <w:rPr>
                <w:sz w:val="20"/>
                <w:szCs w:val="20"/>
                <w:color w:val="auto"/>
              </w:rPr>
            </w:pPr>
            <w:r>
              <w:rPr>
                <w:rFonts w:ascii="Arial" w:cs="Arial" w:eastAsia="Arial" w:hAnsi="Arial"/>
                <w:sz w:val="13"/>
                <w:szCs w:val="13"/>
                <w:color w:val="auto"/>
              </w:rPr>
              <w:t>Net interest spread</w:t>
            </w:r>
          </w:p>
        </w:tc>
        <w:tc>
          <w:tcPr>
            <w:tcW w:w="1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60" w:type="dxa"/>
            <w:vAlign w:val="bottom"/>
            <w:gridSpan w:val="2"/>
          </w:tcPr>
          <w:p>
            <w:pPr>
              <w:ind w:left="540"/>
              <w:spacing w:after="0" w:line="143" w:lineRule="exact"/>
              <w:rPr>
                <w:sz w:val="20"/>
                <w:szCs w:val="20"/>
                <w:color w:val="auto"/>
              </w:rPr>
            </w:pPr>
            <w:r>
              <w:rPr>
                <w:rFonts w:ascii="Arial" w:cs="Arial" w:eastAsia="Arial" w:hAnsi="Arial"/>
                <w:sz w:val="13"/>
                <w:szCs w:val="13"/>
                <w:color w:val="auto"/>
              </w:rPr>
              <w:t>1.21%</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40" w:type="dxa"/>
            <w:vAlign w:val="bottom"/>
            <w:gridSpan w:val="2"/>
          </w:tcPr>
          <w:p>
            <w:pPr>
              <w:ind w:left="520"/>
              <w:spacing w:after="0" w:line="143" w:lineRule="exact"/>
              <w:rPr>
                <w:sz w:val="20"/>
                <w:szCs w:val="20"/>
                <w:color w:val="auto"/>
              </w:rPr>
            </w:pPr>
            <w:r>
              <w:rPr>
                <w:rFonts w:ascii="Arial" w:cs="Arial" w:eastAsia="Arial" w:hAnsi="Arial"/>
                <w:sz w:val="13"/>
                <w:szCs w:val="13"/>
                <w:color w:val="auto"/>
              </w:rPr>
              <w:t>1.48%</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80" w:type="dxa"/>
            <w:vAlign w:val="bottom"/>
            <w:gridSpan w:val="2"/>
          </w:tcPr>
          <w:p>
            <w:pPr>
              <w:ind w:left="520"/>
              <w:spacing w:after="0" w:line="143" w:lineRule="exact"/>
              <w:rPr>
                <w:sz w:val="20"/>
                <w:szCs w:val="20"/>
                <w:color w:val="auto"/>
              </w:rPr>
            </w:pPr>
            <w:r>
              <w:rPr>
                <w:rFonts w:ascii="Arial" w:cs="Arial" w:eastAsia="Arial" w:hAnsi="Arial"/>
                <w:sz w:val="13"/>
                <w:szCs w:val="13"/>
                <w:color w:val="auto"/>
                <w:w w:val="92"/>
              </w:rPr>
              <w:t>1.84%</w:t>
            </w:r>
          </w:p>
        </w:tc>
        <w:tc>
          <w:tcPr>
            <w:tcW w:w="0" w:type="dxa"/>
            <w:vAlign w:val="bottom"/>
          </w:tcPr>
          <w:p>
            <w:pPr>
              <w:spacing w:after="0"/>
              <w:rPr>
                <w:sz w:val="1"/>
                <w:szCs w:val="1"/>
                <w:color w:val="auto"/>
              </w:rPr>
            </w:pPr>
          </w:p>
        </w:tc>
      </w:tr>
      <w:tr>
        <w:trPr>
          <w:trHeight w:val="174"/>
        </w:trPr>
        <w:tc>
          <w:tcPr>
            <w:tcW w:w="332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Net interest income and net interest margin</w:t>
            </w:r>
          </w:p>
        </w:tc>
        <w:tc>
          <w:tcPr>
            <w:tcW w:w="100" w:type="dxa"/>
            <w:vAlign w:val="bottom"/>
            <w:shd w:val="clear" w:color="auto" w:fill="CCEEFF"/>
          </w:tcPr>
          <w:p>
            <w:pPr>
              <w:spacing w:after="0"/>
              <w:rPr>
                <w:sz w:val="15"/>
                <w:szCs w:val="15"/>
                <w:color w:val="auto"/>
              </w:rPr>
            </w:pPr>
          </w:p>
        </w:tc>
        <w:tc>
          <w:tcPr>
            <w:tcW w:w="60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200" w:type="dxa"/>
            <w:vAlign w:val="bottom"/>
            <w:gridSpan w:val="2"/>
            <w:shd w:val="clear" w:color="auto" w:fill="CCEEFF"/>
          </w:tcPr>
          <w:p>
            <w:pPr>
              <w:jc w:val="right"/>
              <w:spacing w:after="0"/>
              <w:rPr>
                <w:sz w:val="20"/>
                <w:szCs w:val="20"/>
                <w:color w:val="auto"/>
              </w:rPr>
            </w:pPr>
            <w:r>
              <w:rPr>
                <w:rFonts w:ascii="Arial" w:cs="Arial" w:eastAsia="Arial" w:hAnsi="Arial"/>
                <w:sz w:val="13"/>
                <w:szCs w:val="13"/>
                <w:b w:val="1"/>
                <w:bCs w:val="1"/>
                <w:color w:val="auto"/>
              </w:rPr>
              <w:t>$</w:t>
            </w: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b w:val="1"/>
                <w:bCs w:val="1"/>
                <w:color w:val="auto"/>
              </w:rPr>
              <w:t>109.7</w:t>
            </w:r>
          </w:p>
        </w:tc>
        <w:tc>
          <w:tcPr>
            <w:tcW w:w="960" w:type="dxa"/>
            <w:vAlign w:val="bottom"/>
            <w:gridSpan w:val="2"/>
            <w:shd w:val="clear" w:color="auto" w:fill="CCEEFF"/>
          </w:tcPr>
          <w:p>
            <w:pPr>
              <w:ind w:left="540"/>
              <w:spacing w:after="0"/>
              <w:rPr>
                <w:sz w:val="20"/>
                <w:szCs w:val="20"/>
                <w:color w:val="auto"/>
              </w:rPr>
            </w:pPr>
            <w:r>
              <w:rPr>
                <w:rFonts w:ascii="Arial" w:cs="Arial" w:eastAsia="Arial" w:hAnsi="Arial"/>
                <w:sz w:val="13"/>
                <w:szCs w:val="13"/>
                <w:color w:val="auto"/>
              </w:rPr>
              <w:t>1.71%</w:t>
            </w:r>
          </w:p>
        </w:tc>
        <w:tc>
          <w:tcPr>
            <w:tcW w:w="6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600" w:type="dxa"/>
            <w:vAlign w:val="bottom"/>
            <w:shd w:val="clear" w:color="auto" w:fill="CCEEFF"/>
          </w:tcPr>
          <w:p>
            <w:pPr>
              <w:spacing w:after="0"/>
              <w:rPr>
                <w:sz w:val="15"/>
                <w:szCs w:val="15"/>
                <w:color w:val="auto"/>
              </w:rPr>
            </w:pPr>
          </w:p>
        </w:tc>
        <w:tc>
          <w:tcPr>
            <w:tcW w:w="240" w:type="dxa"/>
            <w:vAlign w:val="bottom"/>
            <w:shd w:val="clear" w:color="auto" w:fill="CCEEFF"/>
          </w:tcPr>
          <w:p>
            <w:pPr>
              <w:spacing w:after="0"/>
              <w:rPr>
                <w:sz w:val="15"/>
                <w:szCs w:val="15"/>
                <w:color w:val="auto"/>
              </w:rPr>
            </w:pP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b w:val="1"/>
                <w:bCs w:val="1"/>
                <w:color w:val="auto"/>
                <w:w w:val="71"/>
              </w:rPr>
              <w:t>$</w:t>
            </w: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b w:val="1"/>
                <w:bCs w:val="1"/>
                <w:color w:val="auto"/>
              </w:rPr>
              <w:t>119.8</w:t>
            </w:r>
          </w:p>
        </w:tc>
        <w:tc>
          <w:tcPr>
            <w:tcW w:w="940" w:type="dxa"/>
            <w:vAlign w:val="bottom"/>
            <w:gridSpan w:val="2"/>
            <w:shd w:val="clear" w:color="auto" w:fill="CCEEFF"/>
          </w:tcPr>
          <w:p>
            <w:pPr>
              <w:ind w:left="520"/>
              <w:spacing w:after="0"/>
              <w:rPr>
                <w:sz w:val="20"/>
                <w:szCs w:val="20"/>
                <w:color w:val="auto"/>
              </w:rPr>
            </w:pPr>
            <w:r>
              <w:rPr>
                <w:rFonts w:ascii="Arial" w:cs="Arial" w:eastAsia="Arial" w:hAnsi="Arial"/>
                <w:sz w:val="13"/>
                <w:szCs w:val="13"/>
                <w:color w:val="auto"/>
              </w:rPr>
              <w:t>1.85%</w:t>
            </w:r>
          </w:p>
        </w:tc>
        <w:tc>
          <w:tcPr>
            <w:tcW w:w="6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58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180" w:type="dxa"/>
            <w:vAlign w:val="bottom"/>
            <w:gridSpan w:val="2"/>
            <w:shd w:val="clear" w:color="auto" w:fill="CCEEFF"/>
          </w:tcPr>
          <w:p>
            <w:pPr>
              <w:jc w:val="right"/>
              <w:spacing w:after="0"/>
              <w:rPr>
                <w:sz w:val="20"/>
                <w:szCs w:val="20"/>
                <w:color w:val="auto"/>
              </w:rPr>
            </w:pPr>
            <w:r>
              <w:rPr>
                <w:rFonts w:ascii="Arial" w:cs="Arial" w:eastAsia="Arial" w:hAnsi="Arial"/>
                <w:sz w:val="13"/>
                <w:szCs w:val="13"/>
                <w:b w:val="1"/>
                <w:bCs w:val="1"/>
                <w:color w:val="auto"/>
              </w:rPr>
              <w:t>$</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b w:val="1"/>
                <w:bCs w:val="1"/>
                <w:color w:val="auto"/>
              </w:rPr>
              <w:t>155.2</w:t>
            </w:r>
          </w:p>
        </w:tc>
        <w:tc>
          <w:tcPr>
            <w:tcW w:w="880" w:type="dxa"/>
            <w:vAlign w:val="bottom"/>
            <w:gridSpan w:val="2"/>
            <w:shd w:val="clear" w:color="auto" w:fill="CCEEFF"/>
          </w:tcPr>
          <w:p>
            <w:pPr>
              <w:ind w:left="520"/>
              <w:spacing w:after="0"/>
              <w:rPr>
                <w:sz w:val="20"/>
                <w:szCs w:val="20"/>
                <w:color w:val="auto"/>
              </w:rPr>
            </w:pPr>
            <w:r>
              <w:rPr>
                <w:rFonts w:ascii="Arial" w:cs="Arial" w:eastAsia="Arial" w:hAnsi="Arial"/>
                <w:sz w:val="13"/>
                <w:szCs w:val="13"/>
                <w:color w:val="auto"/>
                <w:w w:val="92"/>
              </w:rPr>
              <w:t>2.08%</w:t>
            </w:r>
          </w:p>
        </w:tc>
        <w:tc>
          <w:tcPr>
            <w:tcW w:w="0" w:type="dxa"/>
            <w:vAlign w:val="bottom"/>
          </w:tcPr>
          <w:p>
            <w:pPr>
              <w:spacing w:after="0"/>
              <w:rPr>
                <w:sz w:val="1"/>
                <w:szCs w:val="1"/>
                <w:color w:val="auto"/>
              </w:rPr>
            </w:pPr>
          </w:p>
        </w:tc>
      </w:tr>
      <w:tr>
        <w:trPr>
          <w:trHeight w:val="29"/>
        </w:trPr>
        <w:tc>
          <w:tcPr>
            <w:tcW w:w="3220" w:type="dxa"/>
            <w:vAlign w:val="bottom"/>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600" w:type="dxa"/>
            <w:vAlign w:val="bottom"/>
            <w:shd w:val="clear" w:color="auto" w:fill="CCEEFF"/>
          </w:tcPr>
          <w:p>
            <w:pPr>
              <w:spacing w:after="0"/>
              <w:rPr>
                <w:sz w:val="2"/>
                <w:szCs w:val="2"/>
                <w:color w:val="auto"/>
              </w:rPr>
            </w:pPr>
          </w:p>
        </w:tc>
        <w:tc>
          <w:tcPr>
            <w:tcW w:w="140" w:type="dxa"/>
            <w:vAlign w:val="bottom"/>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100" w:type="dxa"/>
            <w:vAlign w:val="bottom"/>
            <w:shd w:val="clear" w:color="auto" w:fill="000000"/>
          </w:tcPr>
          <w:p>
            <w:pPr>
              <w:spacing w:after="0"/>
              <w:rPr>
                <w:sz w:val="2"/>
                <w:szCs w:val="2"/>
                <w:color w:val="auto"/>
              </w:rPr>
            </w:pPr>
          </w:p>
        </w:tc>
        <w:tc>
          <w:tcPr>
            <w:tcW w:w="580" w:type="dxa"/>
            <w:vAlign w:val="bottom"/>
            <w:shd w:val="clear" w:color="auto" w:fill="000000"/>
          </w:tcPr>
          <w:p>
            <w:pPr>
              <w:spacing w:after="0"/>
              <w:rPr>
                <w:sz w:val="2"/>
                <w:szCs w:val="2"/>
                <w:color w:val="auto"/>
              </w:rPr>
            </w:pPr>
          </w:p>
        </w:tc>
        <w:tc>
          <w:tcPr>
            <w:tcW w:w="160" w:type="dxa"/>
            <w:vAlign w:val="bottom"/>
            <w:shd w:val="clear" w:color="auto" w:fill="CCEEFF"/>
          </w:tcPr>
          <w:p>
            <w:pPr>
              <w:spacing w:after="0"/>
              <w:rPr>
                <w:sz w:val="2"/>
                <w:szCs w:val="2"/>
                <w:color w:val="auto"/>
              </w:rPr>
            </w:pPr>
          </w:p>
        </w:tc>
        <w:tc>
          <w:tcPr>
            <w:tcW w:w="760" w:type="dxa"/>
            <w:vAlign w:val="bottom"/>
            <w:shd w:val="clear" w:color="auto" w:fill="CCEEFF"/>
          </w:tcPr>
          <w:p>
            <w:pPr>
              <w:spacing w:after="0"/>
              <w:rPr>
                <w:sz w:val="2"/>
                <w:szCs w:val="2"/>
                <w:color w:val="auto"/>
              </w:rPr>
            </w:pPr>
          </w:p>
        </w:tc>
        <w:tc>
          <w:tcPr>
            <w:tcW w:w="200" w:type="dxa"/>
            <w:vAlign w:val="bottom"/>
            <w:shd w:val="clear" w:color="auto" w:fill="CCEEFF"/>
          </w:tcPr>
          <w:p>
            <w:pPr>
              <w:spacing w:after="0"/>
              <w:rPr>
                <w:sz w:val="2"/>
                <w:szCs w:val="2"/>
                <w:color w:val="auto"/>
              </w:rPr>
            </w:pPr>
          </w:p>
        </w:tc>
        <w:tc>
          <w:tcPr>
            <w:tcW w:w="60" w:type="dxa"/>
            <w:vAlign w:val="bottom"/>
            <w:shd w:val="clear" w:color="auto" w:fill="CCEEFF"/>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600" w:type="dxa"/>
            <w:vAlign w:val="bottom"/>
            <w:shd w:val="clear" w:color="auto" w:fill="CCEEFF"/>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100" w:type="dxa"/>
            <w:vAlign w:val="bottom"/>
            <w:shd w:val="clear" w:color="auto" w:fill="000000"/>
          </w:tcPr>
          <w:p>
            <w:pPr>
              <w:spacing w:after="0"/>
              <w:rPr>
                <w:sz w:val="2"/>
                <w:szCs w:val="2"/>
                <w:color w:val="auto"/>
              </w:rPr>
            </w:pPr>
          </w:p>
        </w:tc>
        <w:tc>
          <w:tcPr>
            <w:tcW w:w="580" w:type="dxa"/>
            <w:vAlign w:val="bottom"/>
            <w:shd w:val="clear" w:color="auto" w:fill="000000"/>
          </w:tcPr>
          <w:p>
            <w:pPr>
              <w:spacing w:after="0"/>
              <w:rPr>
                <w:sz w:val="2"/>
                <w:szCs w:val="2"/>
                <w:color w:val="auto"/>
              </w:rPr>
            </w:pPr>
          </w:p>
        </w:tc>
        <w:tc>
          <w:tcPr>
            <w:tcW w:w="160" w:type="dxa"/>
            <w:vAlign w:val="bottom"/>
            <w:shd w:val="clear" w:color="auto" w:fill="CCEEFF"/>
          </w:tcPr>
          <w:p>
            <w:pPr>
              <w:spacing w:after="0"/>
              <w:rPr>
                <w:sz w:val="2"/>
                <w:szCs w:val="2"/>
                <w:color w:val="auto"/>
              </w:rPr>
            </w:pPr>
          </w:p>
        </w:tc>
        <w:tc>
          <w:tcPr>
            <w:tcW w:w="760" w:type="dxa"/>
            <w:vAlign w:val="bottom"/>
            <w:shd w:val="clear" w:color="auto" w:fill="CCEEFF"/>
          </w:tcPr>
          <w:p>
            <w:pPr>
              <w:spacing w:after="0"/>
              <w:rPr>
                <w:sz w:val="2"/>
                <w:szCs w:val="2"/>
                <w:color w:val="auto"/>
              </w:rPr>
            </w:pPr>
          </w:p>
        </w:tc>
        <w:tc>
          <w:tcPr>
            <w:tcW w:w="180" w:type="dxa"/>
            <w:vAlign w:val="bottom"/>
            <w:shd w:val="clear" w:color="auto" w:fill="CCEEFF"/>
          </w:tcPr>
          <w:p>
            <w:pPr>
              <w:spacing w:after="0"/>
              <w:rPr>
                <w:sz w:val="2"/>
                <w:szCs w:val="2"/>
                <w:color w:val="auto"/>
              </w:rPr>
            </w:pPr>
          </w:p>
        </w:tc>
        <w:tc>
          <w:tcPr>
            <w:tcW w:w="6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580" w:type="dxa"/>
            <w:vAlign w:val="bottom"/>
            <w:shd w:val="clear" w:color="auto" w:fill="CCEEFF"/>
          </w:tcPr>
          <w:p>
            <w:pPr>
              <w:spacing w:after="0"/>
              <w:rPr>
                <w:sz w:val="2"/>
                <w:szCs w:val="2"/>
                <w:color w:val="auto"/>
              </w:rPr>
            </w:pPr>
          </w:p>
        </w:tc>
        <w:tc>
          <w:tcPr>
            <w:tcW w:w="140" w:type="dxa"/>
            <w:vAlign w:val="bottom"/>
            <w:shd w:val="clear" w:color="auto" w:fill="CCEEFF"/>
          </w:tcPr>
          <w:p>
            <w:pPr>
              <w:spacing w:after="0"/>
              <w:rPr>
                <w:sz w:val="2"/>
                <w:szCs w:val="2"/>
                <w:color w:val="auto"/>
              </w:rPr>
            </w:pPr>
          </w:p>
        </w:tc>
        <w:tc>
          <w:tcPr>
            <w:tcW w:w="80" w:type="dxa"/>
            <w:vAlign w:val="bottom"/>
            <w:shd w:val="clear" w:color="auto" w:fill="CCEEFF"/>
          </w:tcPr>
          <w:p>
            <w:pPr>
              <w:spacing w:after="0"/>
              <w:rPr>
                <w:sz w:val="2"/>
                <w:szCs w:val="2"/>
                <w:color w:val="auto"/>
              </w:rPr>
            </w:pPr>
          </w:p>
        </w:tc>
        <w:tc>
          <w:tcPr>
            <w:tcW w:w="100" w:type="dxa"/>
            <w:vAlign w:val="bottom"/>
            <w:shd w:val="clear" w:color="auto" w:fill="000000"/>
          </w:tcPr>
          <w:p>
            <w:pPr>
              <w:spacing w:after="0"/>
              <w:rPr>
                <w:sz w:val="2"/>
                <w:szCs w:val="2"/>
                <w:color w:val="auto"/>
              </w:rPr>
            </w:pPr>
          </w:p>
        </w:tc>
        <w:tc>
          <w:tcPr>
            <w:tcW w:w="580" w:type="dxa"/>
            <w:vAlign w:val="bottom"/>
            <w:shd w:val="clear" w:color="auto" w:fill="000000"/>
          </w:tcPr>
          <w:p>
            <w:pPr>
              <w:spacing w:after="0"/>
              <w:rPr>
                <w:sz w:val="2"/>
                <w:szCs w:val="2"/>
                <w:color w:val="auto"/>
              </w:rPr>
            </w:pPr>
          </w:p>
        </w:tc>
        <w:tc>
          <w:tcPr>
            <w:tcW w:w="140" w:type="dxa"/>
            <w:vAlign w:val="bottom"/>
            <w:shd w:val="clear" w:color="auto" w:fill="CCEEFF"/>
          </w:tcPr>
          <w:p>
            <w:pPr>
              <w:spacing w:after="0"/>
              <w:rPr>
                <w:sz w:val="2"/>
                <w:szCs w:val="2"/>
                <w:color w:val="auto"/>
              </w:rPr>
            </w:pPr>
          </w:p>
        </w:tc>
        <w:tc>
          <w:tcPr>
            <w:tcW w:w="740" w:type="dxa"/>
            <w:vAlign w:val="bottom"/>
            <w:shd w:val="clear" w:color="auto" w:fill="CCEEFF"/>
          </w:tcPr>
          <w:p>
            <w:pPr>
              <w:spacing w:after="0"/>
              <w:rPr>
                <w:sz w:val="2"/>
                <w:szCs w:val="2"/>
                <w:color w:val="auto"/>
              </w:rPr>
            </w:pPr>
          </w:p>
        </w:tc>
        <w:tc>
          <w:tcPr>
            <w:tcW w:w="14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145" w:lineRule="exact"/>
        <w:rPr>
          <w:sz w:val="20"/>
          <w:szCs w:val="20"/>
          <w:color w:val="auto"/>
        </w:rPr>
      </w:pPr>
    </w:p>
    <w:p>
      <w:pPr>
        <w:ind w:left="223" w:hanging="223"/>
        <w:spacing w:after="0" w:line="194" w:lineRule="auto"/>
        <w:tabs>
          <w:tab w:leader="none" w:pos="223" w:val="left"/>
        </w:tabs>
        <w:numPr>
          <w:ilvl w:val="0"/>
          <w:numId w:val="26"/>
        </w:numPr>
        <w:rPr>
          <w:rFonts w:ascii="Arial" w:cs="Arial" w:eastAsia="Arial" w:hAnsi="Arial"/>
          <w:sz w:val="21"/>
          <w:szCs w:val="21"/>
          <w:color w:val="auto"/>
          <w:vertAlign w:val="superscript"/>
        </w:rPr>
      </w:pPr>
      <w:r>
        <w:rPr>
          <w:rFonts w:ascii="Arial" w:cs="Arial" w:eastAsia="Arial" w:hAnsi="Arial"/>
          <w:sz w:val="13"/>
          <w:szCs w:val="13"/>
          <w:color w:val="auto"/>
        </w:rPr>
        <w:t>Investment securities are securities in the Bank’s Investment Portfolio, which consists of securities at FVOCI and at amortized cost that are non-taxable securities. The average yield using cost-based average balances would have been 3.21%, 2.99% and 2.61%, for 2018, 2017 and 2016, respectively.</w:t>
      </w:r>
    </w:p>
    <w:p>
      <w:pPr>
        <w:ind w:left="223" w:hanging="223"/>
        <w:spacing w:after="0" w:line="189" w:lineRule="auto"/>
        <w:tabs>
          <w:tab w:leader="none" w:pos="223" w:val="left"/>
        </w:tabs>
        <w:numPr>
          <w:ilvl w:val="0"/>
          <w:numId w:val="26"/>
        </w:numPr>
        <w:rPr>
          <w:rFonts w:ascii="Arial" w:cs="Arial" w:eastAsia="Arial" w:hAnsi="Arial"/>
          <w:sz w:val="17"/>
          <w:szCs w:val="17"/>
          <w:color w:val="auto"/>
          <w:vertAlign w:val="superscript"/>
        </w:rPr>
      </w:pPr>
      <w:r>
        <w:rPr>
          <w:rFonts w:ascii="Arial" w:cs="Arial" w:eastAsia="Arial" w:hAnsi="Arial"/>
          <w:sz w:val="11"/>
          <w:szCs w:val="11"/>
          <w:color w:val="auto"/>
        </w:rPr>
        <w:t>The Bank obtains deposits in the form of demand deposits and time deposits from its central bank shareholders, commercial banks and corporations.</w:t>
      </w:r>
    </w:p>
    <w:p>
      <w:pPr>
        <w:spacing w:after="0" w:line="1" w:lineRule="exact"/>
        <w:rPr>
          <w:rFonts w:ascii="Arial" w:cs="Arial" w:eastAsia="Arial" w:hAnsi="Arial"/>
          <w:sz w:val="17"/>
          <w:szCs w:val="17"/>
          <w:color w:val="auto"/>
          <w:vertAlign w:val="superscript"/>
        </w:rPr>
      </w:pPr>
    </w:p>
    <w:p>
      <w:pPr>
        <w:ind w:left="223" w:hanging="223"/>
        <w:spacing w:after="0" w:line="187" w:lineRule="auto"/>
        <w:tabs>
          <w:tab w:leader="none" w:pos="223" w:val="left"/>
        </w:tabs>
        <w:numPr>
          <w:ilvl w:val="0"/>
          <w:numId w:val="26"/>
        </w:numPr>
        <w:rPr>
          <w:rFonts w:ascii="Arial" w:cs="Arial" w:eastAsia="Arial" w:hAnsi="Arial"/>
          <w:sz w:val="17"/>
          <w:szCs w:val="17"/>
          <w:color w:val="auto"/>
          <w:vertAlign w:val="superscript"/>
        </w:rPr>
      </w:pPr>
      <w:r>
        <w:rPr>
          <w:rFonts w:ascii="Arial" w:cs="Arial" w:eastAsia="Arial" w:hAnsi="Arial"/>
          <w:sz w:val="11"/>
          <w:szCs w:val="11"/>
          <w:color w:val="auto"/>
        </w:rPr>
        <w:t>Net of prepaid commissions.</w:t>
      </w:r>
    </w:p>
    <w:p>
      <w:pPr>
        <w:spacing w:after="0" w:line="2"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 Interest income and/or expense includes the effect of derivative financial instruments used for hedging.</w:t>
      </w:r>
    </w:p>
    <w:p>
      <w:pPr>
        <w:spacing w:after="0" w:line="149"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Fees and commissions, net</w:t>
      </w:r>
    </w:p>
    <w:p>
      <w:pPr>
        <w:spacing w:after="0" w:line="159" w:lineRule="exact"/>
        <w:rPr>
          <w:sz w:val="20"/>
          <w:szCs w:val="20"/>
          <w:color w:val="auto"/>
        </w:rPr>
      </w:pPr>
    </w:p>
    <w:p>
      <w:pPr>
        <w:ind w:left="3" w:right="20"/>
        <w:spacing w:after="0" w:line="267" w:lineRule="auto"/>
        <w:rPr>
          <w:sz w:val="20"/>
          <w:szCs w:val="20"/>
          <w:color w:val="auto"/>
        </w:rPr>
      </w:pPr>
      <w:r>
        <w:rPr>
          <w:rFonts w:ascii="Arial" w:cs="Arial" w:eastAsia="Arial" w:hAnsi="Arial"/>
          <w:sz w:val="13"/>
          <w:szCs w:val="13"/>
          <w:color w:val="auto"/>
        </w:rPr>
        <w:t>The Bank generates fee and commission income primarily from letters of credit confirmations, the issuance of guarantees covering commercial risk, credit commitments, and loan origination, structuring and syndication activities. The following table shows the components of the Bank’s fees and commissions, net, for the periods indicated:</w:t>
      </w:r>
    </w:p>
    <w:p>
      <w:pPr>
        <w:sectPr>
          <w:pgSz w:w="11900" w:h="16838" w:orient="portrait"/>
          <w:cols w:equalWidth="0" w:num="1">
            <w:col w:w="11483"/>
          </w:cols>
          <w:pgMar w:left="217" w:top="695" w:right="19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p>
      <w:pPr>
        <w:ind w:left="3"/>
        <w:spacing w:after="0"/>
        <w:rPr>
          <w:sz w:val="20"/>
          <w:szCs w:val="20"/>
          <w:color w:val="auto"/>
        </w:rPr>
      </w:pPr>
      <w:r>
        <w:rPr>
          <w:rFonts w:ascii="Arial" w:cs="Arial" w:eastAsia="Arial" w:hAnsi="Arial"/>
          <w:sz w:val="11"/>
          <w:szCs w:val="11"/>
          <w:color w:val="auto"/>
        </w:rPr>
        <w:t>Letters of credit and other contingent credits, net</w:t>
      </w:r>
    </w:p>
    <w:p>
      <w:pPr>
        <w:spacing w:after="0" w:line="36" w:lineRule="exact"/>
        <w:rPr>
          <w:sz w:val="20"/>
          <w:szCs w:val="20"/>
          <w:color w:val="auto"/>
        </w:rPr>
      </w:pPr>
    </w:p>
    <w:p>
      <w:pPr>
        <w:ind w:left="3"/>
        <w:spacing w:after="0"/>
        <w:rPr>
          <w:sz w:val="20"/>
          <w:szCs w:val="20"/>
          <w:color w:val="auto"/>
        </w:rPr>
      </w:pPr>
      <w:r>
        <w:rPr>
          <w:rFonts w:ascii="Arial" w:cs="Arial" w:eastAsia="Arial" w:hAnsi="Arial"/>
          <w:sz w:val="13"/>
          <w:szCs w:val="13"/>
          <w:color w:val="auto"/>
        </w:rPr>
        <w:t>Structuring</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Fees and commissions, net</w:t>
      </w:r>
    </w:p>
    <w:p>
      <w:pPr>
        <w:spacing w:after="0" w:line="20" w:lineRule="exact"/>
        <w:rPr>
          <w:sz w:val="20"/>
          <w:szCs w:val="20"/>
          <w:color w:val="auto"/>
        </w:rPr>
      </w:pPr>
      <w:r>
        <w:rPr>
          <w:sz w:val="20"/>
          <w:szCs w:val="20"/>
          <w:color w:val="auto"/>
        </w:rPr>
        <w:br w:type="column"/>
      </w:r>
    </w:p>
    <w:p>
      <w:pPr>
        <w:spacing w:after="0" w:line="115" w:lineRule="exact"/>
        <w:rPr>
          <w:sz w:val="20"/>
          <w:szCs w:val="20"/>
          <w:color w:val="auto"/>
        </w:rPr>
      </w:pPr>
    </w:p>
    <w:p>
      <w:pPr>
        <w:ind w:left="1200"/>
        <w:spacing w:after="0"/>
        <w:rPr>
          <w:sz w:val="20"/>
          <w:szCs w:val="20"/>
          <w:color w:val="auto"/>
        </w:rPr>
      </w:pPr>
      <w:r>
        <w:rPr>
          <w:rFonts w:ascii="Arial" w:cs="Arial" w:eastAsia="Arial" w:hAnsi="Arial"/>
          <w:sz w:val="13"/>
          <w:szCs w:val="13"/>
          <w:b w:val="1"/>
          <w:bCs w:val="1"/>
          <w:color w:val="auto"/>
        </w:rPr>
        <w:t>For the Year Ended December 31,</w:t>
      </w:r>
    </w:p>
    <w:p>
      <w:pPr>
        <w:spacing w:after="0" w:line="17" w:lineRule="exact"/>
        <w:rPr>
          <w:sz w:val="20"/>
          <w:szCs w:val="20"/>
          <w:color w:val="auto"/>
        </w:rPr>
      </w:pPr>
    </w:p>
    <w:tbl>
      <w:tblPr>
        <w:tblLayout w:type="fixed"/>
        <w:tblInd w:w="0" w:type="dxa"/>
        <w:tblCellMar>
          <w:top w:w="0" w:type="dxa"/>
          <w:left w:w="0" w:type="dxa"/>
          <w:bottom w:w="0" w:type="dxa"/>
          <w:right w:w="0" w:type="dxa"/>
        </w:tblCellMar>
      </w:tblPr>
      <w:tr>
        <w:trPr>
          <w:trHeight w:val="154"/>
        </w:trPr>
        <w:tc>
          <w:tcPr>
            <w:tcW w:w="280" w:type="dxa"/>
            <w:vAlign w:val="bottom"/>
            <w:tcBorders>
              <w:top w:val="single" w:sz="8" w:color="auto"/>
              <w:bottom w:val="single" w:sz="8" w:color="auto"/>
            </w:tcBorders>
          </w:tcPr>
          <w:p>
            <w:pPr>
              <w:spacing w:after="0"/>
              <w:rPr>
                <w:sz w:val="13"/>
                <w:szCs w:val="13"/>
                <w:color w:val="auto"/>
              </w:rPr>
            </w:pPr>
          </w:p>
        </w:tc>
        <w:tc>
          <w:tcPr>
            <w:tcW w:w="1000" w:type="dxa"/>
            <w:vAlign w:val="bottom"/>
            <w:tcBorders>
              <w:top w:val="single" w:sz="8" w:color="auto"/>
              <w:bottom w:val="single" w:sz="8" w:color="auto"/>
            </w:tcBorders>
          </w:tcPr>
          <w:p>
            <w:pPr>
              <w:jc w:val="right"/>
              <w:ind w:right="456"/>
              <w:spacing w:after="0"/>
              <w:rPr>
                <w:sz w:val="20"/>
                <w:szCs w:val="20"/>
                <w:color w:val="auto"/>
              </w:rPr>
            </w:pPr>
            <w:r>
              <w:rPr>
                <w:rFonts w:ascii="Arial" w:cs="Arial" w:eastAsia="Arial" w:hAnsi="Arial"/>
                <w:sz w:val="13"/>
                <w:szCs w:val="13"/>
                <w:b w:val="1"/>
                <w:bCs w:val="1"/>
                <w:color w:val="auto"/>
              </w:rPr>
              <w:t>2018</w:t>
            </w:r>
          </w:p>
        </w:tc>
        <w:tc>
          <w:tcPr>
            <w:tcW w:w="220" w:type="dxa"/>
            <w:vAlign w:val="bottom"/>
            <w:tcBorders>
              <w:top w:val="single" w:sz="8" w:color="auto"/>
              <w:bottom w:val="single" w:sz="8" w:color="auto"/>
            </w:tcBorders>
          </w:tcPr>
          <w:p>
            <w:pPr>
              <w:spacing w:after="0"/>
              <w:rPr>
                <w:sz w:val="13"/>
                <w:szCs w:val="13"/>
                <w:color w:val="auto"/>
              </w:rPr>
            </w:pPr>
          </w:p>
        </w:tc>
        <w:tc>
          <w:tcPr>
            <w:tcW w:w="440" w:type="dxa"/>
            <w:vAlign w:val="bottom"/>
            <w:tcBorders>
              <w:top w:val="single" w:sz="8" w:color="auto"/>
              <w:bottom w:val="single" w:sz="8" w:color="auto"/>
            </w:tcBorders>
          </w:tcPr>
          <w:p>
            <w:pPr>
              <w:spacing w:after="0"/>
              <w:rPr>
                <w:sz w:val="13"/>
                <w:szCs w:val="13"/>
                <w:color w:val="auto"/>
              </w:rPr>
            </w:pPr>
          </w:p>
        </w:tc>
        <w:tc>
          <w:tcPr>
            <w:tcW w:w="840" w:type="dxa"/>
            <w:vAlign w:val="bottom"/>
            <w:tcBorders>
              <w:top w:val="single" w:sz="8" w:color="auto"/>
              <w:bottom w:val="single" w:sz="8" w:color="auto"/>
            </w:tcBorders>
          </w:tcPr>
          <w:p>
            <w:pPr>
              <w:jc w:val="right"/>
              <w:ind w:right="456"/>
              <w:spacing w:after="0"/>
              <w:rPr>
                <w:sz w:val="20"/>
                <w:szCs w:val="20"/>
                <w:color w:val="auto"/>
              </w:rPr>
            </w:pPr>
            <w:r>
              <w:rPr>
                <w:rFonts w:ascii="Arial" w:cs="Arial" w:eastAsia="Arial" w:hAnsi="Arial"/>
                <w:sz w:val="13"/>
                <w:szCs w:val="13"/>
                <w:b w:val="1"/>
                <w:bCs w:val="1"/>
                <w:color w:val="auto"/>
              </w:rPr>
              <w:t>2017</w:t>
            </w:r>
          </w:p>
        </w:tc>
        <w:tc>
          <w:tcPr>
            <w:tcW w:w="220" w:type="dxa"/>
            <w:vAlign w:val="bottom"/>
            <w:tcBorders>
              <w:top w:val="single" w:sz="8" w:color="auto"/>
              <w:bottom w:val="single" w:sz="8" w:color="auto"/>
            </w:tcBorders>
          </w:tcPr>
          <w:p>
            <w:pPr>
              <w:spacing w:after="0"/>
              <w:rPr>
                <w:sz w:val="13"/>
                <w:szCs w:val="13"/>
                <w:color w:val="auto"/>
              </w:rPr>
            </w:pPr>
          </w:p>
        </w:tc>
        <w:tc>
          <w:tcPr>
            <w:tcW w:w="280" w:type="dxa"/>
            <w:vAlign w:val="bottom"/>
            <w:tcBorders>
              <w:top w:val="single" w:sz="8" w:color="auto"/>
              <w:bottom w:val="single" w:sz="8" w:color="auto"/>
            </w:tcBorders>
          </w:tcPr>
          <w:p>
            <w:pPr>
              <w:spacing w:after="0"/>
              <w:rPr>
                <w:sz w:val="13"/>
                <w:szCs w:val="13"/>
                <w:color w:val="auto"/>
              </w:rPr>
            </w:pPr>
          </w:p>
        </w:tc>
        <w:tc>
          <w:tcPr>
            <w:tcW w:w="960" w:type="dxa"/>
            <w:vAlign w:val="bottom"/>
            <w:tcBorders>
              <w:top w:val="single" w:sz="8" w:color="auto"/>
              <w:bottom w:val="single" w:sz="8" w:color="auto"/>
            </w:tcBorders>
          </w:tcPr>
          <w:p>
            <w:pPr>
              <w:jc w:val="right"/>
              <w:ind w:right="436"/>
              <w:spacing w:after="0"/>
              <w:rPr>
                <w:sz w:val="20"/>
                <w:szCs w:val="20"/>
                <w:color w:val="auto"/>
              </w:rPr>
            </w:pPr>
            <w:r>
              <w:rPr>
                <w:rFonts w:ascii="Arial" w:cs="Arial" w:eastAsia="Arial" w:hAnsi="Arial"/>
                <w:sz w:val="13"/>
                <w:szCs w:val="13"/>
                <w:b w:val="1"/>
                <w:bCs w:val="1"/>
                <w:color w:val="auto"/>
              </w:rPr>
              <w:t>2016</w:t>
            </w:r>
          </w:p>
        </w:tc>
      </w:tr>
      <w:tr>
        <w:trPr>
          <w:trHeight w:val="135"/>
        </w:trPr>
        <w:tc>
          <w:tcPr>
            <w:tcW w:w="28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440" w:type="dxa"/>
            <w:vAlign w:val="bottom"/>
          </w:tcPr>
          <w:p>
            <w:pPr>
              <w:jc w:val="right"/>
              <w:spacing w:after="0" w:line="135" w:lineRule="exact"/>
              <w:rPr>
                <w:sz w:val="20"/>
                <w:szCs w:val="20"/>
                <w:color w:val="auto"/>
              </w:rPr>
            </w:pPr>
            <w:r>
              <w:rPr>
                <w:rFonts w:ascii="Arial" w:cs="Arial" w:eastAsia="Arial" w:hAnsi="Arial"/>
                <w:sz w:val="13"/>
                <w:szCs w:val="13"/>
                <w:b w:val="1"/>
                <w:bCs w:val="1"/>
                <w:color w:val="auto"/>
              </w:rPr>
              <w:t>(in $</w:t>
            </w:r>
          </w:p>
        </w:tc>
        <w:tc>
          <w:tcPr>
            <w:tcW w:w="1060" w:type="dxa"/>
            <w:vAlign w:val="bottom"/>
            <w:gridSpan w:val="2"/>
          </w:tcPr>
          <w:p>
            <w:pPr>
              <w:ind w:left="20"/>
              <w:spacing w:after="0" w:line="135" w:lineRule="exact"/>
              <w:rPr>
                <w:sz w:val="20"/>
                <w:szCs w:val="20"/>
                <w:color w:val="auto"/>
              </w:rPr>
            </w:pPr>
            <w:r>
              <w:rPr>
                <w:rFonts w:ascii="Arial" w:cs="Arial" w:eastAsia="Arial" w:hAnsi="Arial"/>
                <w:sz w:val="13"/>
                <w:szCs w:val="13"/>
                <w:b w:val="1"/>
                <w:bCs w:val="1"/>
                <w:color w:val="auto"/>
              </w:rPr>
              <w:t>thousands)</w:t>
            </w:r>
          </w:p>
        </w:tc>
        <w:tc>
          <w:tcPr>
            <w:tcW w:w="280" w:type="dxa"/>
            <w:vAlign w:val="bottom"/>
          </w:tcPr>
          <w:p>
            <w:pPr>
              <w:spacing w:after="0"/>
              <w:rPr>
                <w:sz w:val="11"/>
                <w:szCs w:val="11"/>
                <w:color w:val="auto"/>
              </w:rPr>
            </w:pPr>
          </w:p>
        </w:tc>
        <w:tc>
          <w:tcPr>
            <w:tcW w:w="960" w:type="dxa"/>
            <w:vAlign w:val="bottom"/>
          </w:tcPr>
          <w:p>
            <w:pPr>
              <w:spacing w:after="0"/>
              <w:rPr>
                <w:sz w:val="11"/>
                <w:szCs w:val="11"/>
                <w:color w:val="auto"/>
              </w:rPr>
            </w:pPr>
          </w:p>
        </w:tc>
      </w:tr>
      <w:tr>
        <w:trPr>
          <w:trHeight w:val="162"/>
        </w:trPr>
        <w:tc>
          <w:tcPr>
            <w:tcW w:w="280" w:type="dxa"/>
            <w:vAlign w:val="bottom"/>
          </w:tcPr>
          <w:p>
            <w:pPr>
              <w:jc w:val="right"/>
              <w:ind w:right="172"/>
              <w:spacing w:after="0"/>
              <w:rPr>
                <w:sz w:val="20"/>
                <w:szCs w:val="20"/>
                <w:color w:val="auto"/>
              </w:rPr>
            </w:pPr>
            <w:r>
              <w:rPr>
                <w:rFonts w:ascii="Arial" w:cs="Arial" w:eastAsia="Arial" w:hAnsi="Arial"/>
                <w:sz w:val="10"/>
                <w:szCs w:val="10"/>
                <w:color w:val="auto"/>
                <w:w w:val="71"/>
              </w:rPr>
              <w:t>$</w:t>
            </w: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12,235</w:t>
            </w:r>
          </w:p>
        </w:tc>
        <w:tc>
          <w:tcPr>
            <w:tcW w:w="440" w:type="dxa"/>
            <w:vAlign w:val="bottom"/>
          </w:tcPr>
          <w:p>
            <w:pPr>
              <w:jc w:val="right"/>
              <w:ind w:right="327"/>
              <w:spacing w:after="0"/>
              <w:rPr>
                <w:sz w:val="20"/>
                <w:szCs w:val="20"/>
                <w:color w:val="auto"/>
              </w:rPr>
            </w:pPr>
            <w:r>
              <w:rPr>
                <w:rFonts w:ascii="Arial" w:cs="Arial" w:eastAsia="Arial" w:hAnsi="Arial"/>
                <w:sz w:val="10"/>
                <w:szCs w:val="10"/>
                <w:color w:val="auto"/>
                <w:w w:val="71"/>
              </w:rPr>
              <w:t>$</w:t>
            </w:r>
          </w:p>
        </w:tc>
        <w:tc>
          <w:tcPr>
            <w:tcW w:w="1060" w:type="dxa"/>
            <w:vAlign w:val="bottom"/>
            <w:gridSpan w:val="2"/>
          </w:tcPr>
          <w:p>
            <w:pPr>
              <w:jc w:val="right"/>
              <w:ind w:right="220"/>
              <w:spacing w:after="0"/>
              <w:rPr>
                <w:sz w:val="20"/>
                <w:szCs w:val="20"/>
                <w:color w:val="auto"/>
              </w:rPr>
            </w:pPr>
            <w:r>
              <w:rPr>
                <w:rFonts w:ascii="Arial" w:cs="Arial" w:eastAsia="Arial" w:hAnsi="Arial"/>
                <w:sz w:val="13"/>
                <w:szCs w:val="13"/>
                <w:color w:val="auto"/>
              </w:rPr>
              <w:t>10,906</w:t>
            </w:r>
          </w:p>
        </w:tc>
        <w:tc>
          <w:tcPr>
            <w:tcW w:w="280" w:type="dxa"/>
            <w:vAlign w:val="bottom"/>
          </w:tcPr>
          <w:p>
            <w:pPr>
              <w:jc w:val="right"/>
              <w:ind w:right="172"/>
              <w:spacing w:after="0"/>
              <w:rPr>
                <w:sz w:val="20"/>
                <w:szCs w:val="20"/>
                <w:color w:val="auto"/>
              </w:rPr>
            </w:pPr>
            <w:r>
              <w:rPr>
                <w:rFonts w:ascii="Arial" w:cs="Arial" w:eastAsia="Arial" w:hAnsi="Arial"/>
                <w:sz w:val="10"/>
                <w:szCs w:val="10"/>
                <w:color w:val="auto"/>
                <w:w w:val="71"/>
              </w:rPr>
              <w:t>$</w:t>
            </w:r>
          </w:p>
        </w:tc>
        <w:tc>
          <w:tcPr>
            <w:tcW w:w="960" w:type="dxa"/>
            <w:vAlign w:val="bottom"/>
          </w:tcPr>
          <w:p>
            <w:pPr>
              <w:jc w:val="right"/>
              <w:spacing w:after="0"/>
              <w:rPr>
                <w:sz w:val="20"/>
                <w:szCs w:val="20"/>
                <w:color w:val="auto"/>
              </w:rPr>
            </w:pPr>
            <w:r>
              <w:rPr>
                <w:rFonts w:ascii="Arial" w:cs="Arial" w:eastAsia="Arial" w:hAnsi="Arial"/>
                <w:sz w:val="13"/>
                <w:szCs w:val="13"/>
                <w:color w:val="auto"/>
              </w:rPr>
              <w:t>8,584</w:t>
            </w:r>
          </w:p>
        </w:tc>
      </w:tr>
      <w:tr>
        <w:trPr>
          <w:trHeight w:val="164"/>
        </w:trPr>
        <w:tc>
          <w:tcPr>
            <w:tcW w:w="280" w:type="dxa"/>
            <w:vAlign w:val="bottom"/>
          </w:tcPr>
          <w:p>
            <w:pPr>
              <w:spacing w:after="0"/>
              <w:rPr>
                <w:sz w:val="14"/>
                <w:szCs w:val="14"/>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4,950</w:t>
            </w:r>
          </w:p>
        </w:tc>
        <w:tc>
          <w:tcPr>
            <w:tcW w:w="440" w:type="dxa"/>
            <w:vAlign w:val="bottom"/>
          </w:tcPr>
          <w:p>
            <w:pPr>
              <w:spacing w:after="0"/>
              <w:rPr>
                <w:sz w:val="14"/>
                <w:szCs w:val="14"/>
                <w:color w:val="auto"/>
              </w:rPr>
            </w:pPr>
          </w:p>
        </w:tc>
        <w:tc>
          <w:tcPr>
            <w:tcW w:w="1060" w:type="dxa"/>
            <w:vAlign w:val="bottom"/>
            <w:gridSpan w:val="2"/>
          </w:tcPr>
          <w:p>
            <w:pPr>
              <w:jc w:val="right"/>
              <w:ind w:right="220"/>
              <w:spacing w:after="0"/>
              <w:rPr>
                <w:sz w:val="20"/>
                <w:szCs w:val="20"/>
                <w:color w:val="auto"/>
              </w:rPr>
            </w:pPr>
            <w:r>
              <w:rPr>
                <w:rFonts w:ascii="Arial" w:cs="Arial" w:eastAsia="Arial" w:hAnsi="Arial"/>
                <w:sz w:val="13"/>
                <w:szCs w:val="13"/>
                <w:color w:val="auto"/>
              </w:rPr>
              <w:t>6,608</w:t>
            </w:r>
          </w:p>
        </w:tc>
        <w:tc>
          <w:tcPr>
            <w:tcW w:w="280" w:type="dxa"/>
            <w:vAlign w:val="bottom"/>
          </w:tcPr>
          <w:p>
            <w:pPr>
              <w:spacing w:after="0"/>
              <w:rPr>
                <w:sz w:val="14"/>
                <w:szCs w:val="14"/>
                <w:color w:val="auto"/>
              </w:rPr>
            </w:pPr>
          </w:p>
        </w:tc>
        <w:tc>
          <w:tcPr>
            <w:tcW w:w="960" w:type="dxa"/>
            <w:vAlign w:val="bottom"/>
          </w:tcPr>
          <w:p>
            <w:pPr>
              <w:jc w:val="right"/>
              <w:spacing w:after="0"/>
              <w:rPr>
                <w:sz w:val="20"/>
                <w:szCs w:val="20"/>
                <w:color w:val="auto"/>
              </w:rPr>
            </w:pPr>
            <w:r>
              <w:rPr>
                <w:rFonts w:ascii="Arial" w:cs="Arial" w:eastAsia="Arial" w:hAnsi="Arial"/>
                <w:sz w:val="13"/>
                <w:szCs w:val="13"/>
                <w:color w:val="auto"/>
              </w:rPr>
              <w:t>5,722</w:t>
            </w:r>
          </w:p>
        </w:tc>
      </w:tr>
      <w:tr>
        <w:trPr>
          <w:trHeight w:val="162"/>
        </w:trPr>
        <w:tc>
          <w:tcPr>
            <w:tcW w:w="280" w:type="dxa"/>
            <w:vAlign w:val="bottom"/>
            <w:tcBorders>
              <w:top w:val="single" w:sz="8" w:color="auto"/>
              <w:bottom w:val="single" w:sz="8" w:color="auto"/>
            </w:tcBorders>
          </w:tcPr>
          <w:p>
            <w:pPr>
              <w:jc w:val="right"/>
              <w:ind w:right="172"/>
              <w:spacing w:after="0"/>
              <w:rPr>
                <w:sz w:val="20"/>
                <w:szCs w:val="20"/>
                <w:color w:val="auto"/>
              </w:rPr>
            </w:pPr>
            <w:r>
              <w:rPr>
                <w:rFonts w:ascii="Arial" w:cs="Arial" w:eastAsia="Arial" w:hAnsi="Arial"/>
                <w:sz w:val="10"/>
                <w:szCs w:val="10"/>
                <w:b w:val="1"/>
                <w:bCs w:val="1"/>
                <w:color w:val="auto"/>
                <w:w w:val="71"/>
              </w:rPr>
              <w:t>$</w:t>
            </w: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17,185</w:t>
            </w:r>
          </w:p>
        </w:tc>
        <w:tc>
          <w:tcPr>
            <w:tcW w:w="220" w:type="dxa"/>
            <w:vAlign w:val="bottom"/>
          </w:tcPr>
          <w:p>
            <w:pPr>
              <w:spacing w:after="0"/>
              <w:rPr>
                <w:sz w:val="14"/>
                <w:szCs w:val="14"/>
                <w:color w:val="auto"/>
              </w:rPr>
            </w:pPr>
          </w:p>
        </w:tc>
        <w:tc>
          <w:tcPr>
            <w:tcW w:w="440" w:type="dxa"/>
            <w:vAlign w:val="bottom"/>
            <w:tcBorders>
              <w:top w:val="single" w:sz="8" w:color="auto"/>
              <w:bottom w:val="single" w:sz="8" w:color="auto"/>
            </w:tcBorders>
          </w:tcPr>
          <w:p>
            <w:pPr>
              <w:jc w:val="right"/>
              <w:ind w:right="327"/>
              <w:spacing w:after="0"/>
              <w:rPr>
                <w:sz w:val="20"/>
                <w:szCs w:val="20"/>
                <w:color w:val="auto"/>
              </w:rPr>
            </w:pPr>
            <w:r>
              <w:rPr>
                <w:rFonts w:ascii="Arial" w:cs="Arial" w:eastAsia="Arial" w:hAnsi="Arial"/>
                <w:sz w:val="10"/>
                <w:szCs w:val="10"/>
                <w:b w:val="1"/>
                <w:bCs w:val="1"/>
                <w:color w:val="auto"/>
                <w:w w:val="71"/>
              </w:rPr>
              <w:t>$</w:t>
            </w: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17,514</w:t>
            </w:r>
          </w:p>
        </w:tc>
        <w:tc>
          <w:tcPr>
            <w:tcW w:w="220" w:type="dxa"/>
            <w:vAlign w:val="bottom"/>
          </w:tcPr>
          <w:p>
            <w:pPr>
              <w:spacing w:after="0"/>
              <w:rPr>
                <w:sz w:val="14"/>
                <w:szCs w:val="14"/>
                <w:color w:val="auto"/>
              </w:rPr>
            </w:pPr>
          </w:p>
        </w:tc>
        <w:tc>
          <w:tcPr>
            <w:tcW w:w="280" w:type="dxa"/>
            <w:vAlign w:val="bottom"/>
            <w:tcBorders>
              <w:top w:val="single" w:sz="8" w:color="auto"/>
              <w:bottom w:val="single" w:sz="8" w:color="auto"/>
            </w:tcBorders>
          </w:tcPr>
          <w:p>
            <w:pPr>
              <w:jc w:val="right"/>
              <w:ind w:right="172"/>
              <w:spacing w:after="0"/>
              <w:rPr>
                <w:sz w:val="20"/>
                <w:szCs w:val="20"/>
                <w:color w:val="auto"/>
              </w:rPr>
            </w:pPr>
            <w:r>
              <w:rPr>
                <w:rFonts w:ascii="Arial" w:cs="Arial" w:eastAsia="Arial" w:hAnsi="Arial"/>
                <w:sz w:val="10"/>
                <w:szCs w:val="10"/>
                <w:b w:val="1"/>
                <w:bCs w:val="1"/>
                <w:color w:val="auto"/>
                <w:w w:val="71"/>
              </w:rPr>
              <w:t>$</w:t>
            </w: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14,306</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-4522470</wp:posOffset>
            </wp:positionH>
            <wp:positionV relativeFrom="paragraph">
              <wp:posOffset>-329565</wp:posOffset>
            </wp:positionV>
            <wp:extent cx="7285990" cy="9779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a:extLst>
                        <a:ext uri="{28A0092B-C50C-407E-A947-70E740481C1C}"/>
                      </a:extLst>
                    </a:blip>
                    <a:srcRect/>
                    <a:stretch>
                      <a:fillRect/>
                    </a:stretch>
                  </pic:blipFill>
                  <pic:spPr bwMode="auto">
                    <a:xfrm>
                      <a:off x="0" y="0"/>
                      <a:ext cx="7285990" cy="97790"/>
                    </a:xfrm>
                    <a:prstGeom prst="rect">
                      <a:avLst/>
                    </a:prstGeom>
                    <a:noFill/>
                  </pic:spPr>
                </pic:pic>
              </a:graphicData>
            </a:graphic>
          </wp:anchor>
        </w:drawing>
        <w:drawing>
          <wp:anchor simplePos="0" relativeHeight="251657728" behindDoc="1" locked="0" layoutInCell="0" allowOverlap="1">
            <wp:simplePos x="0" y="0"/>
            <wp:positionH relativeFrom="column">
              <wp:posOffset>-4522470</wp:posOffset>
            </wp:positionH>
            <wp:positionV relativeFrom="paragraph">
              <wp:posOffset>-127635</wp:posOffset>
            </wp:positionV>
            <wp:extent cx="7285990" cy="11620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a:extLst>
                        <a:ext uri="{28A0092B-C50C-407E-A947-70E740481C1C}"/>
                      </a:extLst>
                    </a:blip>
                    <a:srcRect/>
                    <a:stretch>
                      <a:fillRect/>
                    </a:stretch>
                  </pic:blipFill>
                  <pic:spPr bwMode="auto">
                    <a:xfrm>
                      <a:off x="0" y="0"/>
                      <a:ext cx="7285990" cy="116205"/>
                    </a:xfrm>
                    <a:prstGeom prst="rect">
                      <a:avLst/>
                    </a:prstGeom>
                    <a:noFill/>
                  </pic:spPr>
                </pic:pic>
              </a:graphicData>
            </a:graphic>
          </wp:anchor>
        </w:drawing>
      </w:r>
    </w:p>
    <w:p>
      <w:pPr>
        <w:spacing w:after="0" w:line="145" w:lineRule="exact"/>
        <w:rPr>
          <w:sz w:val="20"/>
          <w:szCs w:val="20"/>
          <w:color w:val="auto"/>
        </w:rPr>
      </w:pPr>
    </w:p>
    <w:p>
      <w:pPr>
        <w:sectPr>
          <w:pgSz w:w="11900" w:h="16838" w:orient="portrait"/>
          <w:cols w:equalWidth="0" w:num="2">
            <w:col w:w="6403" w:space="720"/>
            <w:col w:w="4360"/>
          </w:cols>
          <w:pgMar w:left="217" w:top="695" w:right="199" w:bottom="1440" w:gutter="0" w:footer="0" w:header="0"/>
          <w:type w:val="continuous"/>
        </w:sectPr>
      </w:pPr>
    </w:p>
    <w:p>
      <w:pPr>
        <w:jc w:val="both"/>
        <w:ind w:left="3" w:right="20"/>
        <w:spacing w:after="0" w:line="314" w:lineRule="auto"/>
        <w:rPr>
          <w:sz w:val="20"/>
          <w:szCs w:val="20"/>
          <w:color w:val="auto"/>
        </w:rPr>
      </w:pPr>
      <w:r>
        <w:rPr>
          <w:rFonts w:ascii="Arial" w:cs="Arial" w:eastAsia="Arial" w:hAnsi="Arial"/>
          <w:sz w:val="11"/>
          <w:szCs w:val="11"/>
          <w:color w:val="auto"/>
        </w:rPr>
        <w:t>During the year ended December 31, 2018, fees and commissions totaled $17.2 million, compared to $17.5 million for the year ended December 31, 2017. The $0.3 million, or 2%, decrease resulted from the net effect of: (i) a 12% increase in fees from letters of credit and other contingent credits activities, evidencing an upward trend in fee generation over the last two years, consistent with the Bank’s focus to enhance its participation in the trade value chain; offset by (ii) a 26% decrease in loan structuring and syndication fees, denoting the uneven nature of this transactional business. The Bank has positioned itself as a relevant player in originating syndicated transactions across the Region, and was able to close seven transactions during 2018, for a total principal amount of $847 million, compared to seven transactions during 2017, for a total principal amount of $807 million.</w:t>
      </w:r>
    </w:p>
    <w:p>
      <w:pPr>
        <w:spacing w:after="0" w:line="257" w:lineRule="exact"/>
        <w:rPr>
          <w:sz w:val="20"/>
          <w:szCs w:val="20"/>
          <w:color w:val="auto"/>
        </w:rPr>
      </w:pPr>
    </w:p>
    <w:p>
      <w:pPr>
        <w:jc w:val="center"/>
        <w:ind w:right="17"/>
        <w:spacing w:after="0"/>
        <w:rPr>
          <w:sz w:val="20"/>
          <w:szCs w:val="20"/>
          <w:color w:val="auto"/>
        </w:rPr>
      </w:pPr>
      <w:r>
        <w:rPr>
          <w:rFonts w:ascii="Arial" w:cs="Arial" w:eastAsia="Arial" w:hAnsi="Arial"/>
          <w:sz w:val="15"/>
          <w:szCs w:val="15"/>
          <w:color w:val="auto"/>
        </w:rPr>
        <w:t>49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95" w:right="199" w:bottom="1440" w:gutter="0" w:footer="0" w:header="0"/>
          <w:type w:val="continuous"/>
        </w:sectPr>
      </w:pPr>
    </w:p>
    <w:bookmarkStart w:id="51" w:name="page52"/>
    <w:bookmarkEnd w:id="51"/>
    <w:p>
      <w:pPr>
        <w:jc w:val="both"/>
        <w:ind w:right="20"/>
        <w:spacing w:after="0" w:line="289" w:lineRule="auto"/>
        <w:rPr>
          <w:sz w:val="20"/>
          <w:szCs w:val="20"/>
          <w:color w:val="auto"/>
        </w:rPr>
      </w:pPr>
      <w:r>
        <w:rPr>
          <w:rFonts w:ascii="Arial" w:cs="Arial" w:eastAsia="Arial" w:hAnsi="Arial"/>
          <w:sz w:val="12"/>
          <w:szCs w:val="12"/>
          <w:color w:val="auto"/>
        </w:rPr>
        <w:t>Fees and commissions totaled $17.5 million for the year ended December 31, 2017, compared to $14.3 million for the year ended December 31, 2016. The $3.2 million, or 22%, increase was primarily driven by the upward trend in fee generation from the Bank’s structuring and syndication activities, with seven transactions closed in 2017 resulting in fees totaling $6.6 million, and from a strong annual growth of $3.0 million in fee income from the Bank’s letters of credit business, depicting a more diversified letter of credit client base, and the Bank’s focus on deepening its participation in the trade value chain.</w:t>
      </w:r>
    </w:p>
    <w:p>
      <w:pPr>
        <w:spacing w:after="0" w:line="118" w:lineRule="exact"/>
        <w:rPr>
          <w:sz w:val="20"/>
          <w:szCs w:val="20"/>
          <w:color w:val="auto"/>
        </w:rPr>
      </w:pPr>
    </w:p>
    <w:tbl>
      <w:tblPr>
        <w:tblLayout w:type="fixed"/>
        <w:tblInd w:w="0" w:type="dxa"/>
        <w:tblCellMar>
          <w:top w:w="0" w:type="dxa"/>
          <w:left w:w="0" w:type="dxa"/>
          <w:bottom w:w="0" w:type="dxa"/>
          <w:right w:w="0" w:type="dxa"/>
        </w:tblCellMar>
      </w:tblPr>
      <w:tr>
        <w:trPr>
          <w:trHeight w:val="162"/>
        </w:trPr>
        <w:tc>
          <w:tcPr>
            <w:tcW w:w="7120" w:type="dxa"/>
            <w:vAlign w:val="bottom"/>
          </w:tcPr>
          <w:p>
            <w:pPr>
              <w:spacing w:after="0"/>
              <w:rPr>
                <w:sz w:val="20"/>
                <w:szCs w:val="20"/>
                <w:color w:val="auto"/>
              </w:rPr>
            </w:pPr>
            <w:r>
              <w:rPr>
                <w:rFonts w:ascii="Arial" w:cs="Arial" w:eastAsia="Arial" w:hAnsi="Arial"/>
                <w:sz w:val="13"/>
                <w:szCs w:val="13"/>
                <w:i w:val="1"/>
                <w:iCs w:val="1"/>
                <w:color w:val="auto"/>
              </w:rPr>
              <w:t>Loss on financial instruments, net</w:t>
            </w:r>
          </w:p>
        </w:tc>
        <w:tc>
          <w:tcPr>
            <w:tcW w:w="28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40" w:type="dxa"/>
            <w:vAlign w:val="bottom"/>
          </w:tcPr>
          <w:p>
            <w:pPr>
              <w:spacing w:after="0"/>
              <w:rPr>
                <w:sz w:val="14"/>
                <w:szCs w:val="14"/>
                <w:color w:val="auto"/>
              </w:rPr>
            </w:pPr>
          </w:p>
        </w:tc>
        <w:tc>
          <w:tcPr>
            <w:tcW w:w="8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120" w:type="dxa"/>
            <w:vAlign w:val="bottom"/>
          </w:tcPr>
          <w:p>
            <w:pPr>
              <w:spacing w:after="0"/>
              <w:rPr>
                <w:sz w:val="14"/>
                <w:szCs w:val="14"/>
                <w:color w:val="auto"/>
              </w:rPr>
            </w:pPr>
          </w:p>
        </w:tc>
      </w:tr>
      <w:tr>
        <w:trPr>
          <w:trHeight w:val="308"/>
        </w:trPr>
        <w:tc>
          <w:tcPr>
            <w:tcW w:w="7120" w:type="dxa"/>
            <w:vAlign w:val="bottom"/>
          </w:tcPr>
          <w:p>
            <w:pPr>
              <w:spacing w:after="0"/>
              <w:rPr>
                <w:sz w:val="20"/>
                <w:szCs w:val="20"/>
                <w:color w:val="auto"/>
              </w:rPr>
            </w:pPr>
            <w:r>
              <w:rPr>
                <w:rFonts w:ascii="Arial" w:cs="Arial" w:eastAsia="Arial" w:hAnsi="Arial"/>
                <w:sz w:val="13"/>
                <w:szCs w:val="13"/>
                <w:color w:val="auto"/>
              </w:rPr>
              <w:t>The following table sets forth the details of the Bank’s loss on financial instruments, net, for the periods indicated:</w:t>
            </w:r>
          </w:p>
        </w:tc>
        <w:tc>
          <w:tcPr>
            <w:tcW w:w="28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44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120" w:type="dxa"/>
            <w:vAlign w:val="bottom"/>
          </w:tcPr>
          <w:p>
            <w:pPr>
              <w:spacing w:after="0"/>
              <w:rPr>
                <w:sz w:val="24"/>
                <w:szCs w:val="24"/>
                <w:color w:val="auto"/>
              </w:rPr>
            </w:pPr>
          </w:p>
        </w:tc>
      </w:tr>
      <w:tr>
        <w:trPr>
          <w:trHeight w:val="318"/>
        </w:trPr>
        <w:tc>
          <w:tcPr>
            <w:tcW w:w="7120" w:type="dxa"/>
            <w:vAlign w:val="bottom"/>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3000" w:type="dxa"/>
            <w:vAlign w:val="bottom"/>
            <w:tcBorders>
              <w:bottom w:val="single" w:sz="8" w:color="auto"/>
            </w:tcBorders>
            <w:gridSpan w:val="6"/>
          </w:tcPr>
          <w:p>
            <w:pPr>
              <w:jc w:val="right"/>
              <w:ind w:right="172"/>
              <w:spacing w:after="0"/>
              <w:rPr>
                <w:sz w:val="20"/>
                <w:szCs w:val="20"/>
                <w:color w:val="auto"/>
              </w:rPr>
            </w:pPr>
            <w:r>
              <w:rPr>
                <w:rFonts w:ascii="Arial" w:cs="Arial" w:eastAsia="Arial" w:hAnsi="Arial"/>
                <w:sz w:val="13"/>
                <w:szCs w:val="13"/>
                <w:b w:val="1"/>
                <w:bCs w:val="1"/>
                <w:color w:val="auto"/>
              </w:rPr>
              <w:t>For the Year Ended December 31,</w:t>
            </w:r>
          </w:p>
        </w:tc>
        <w:tc>
          <w:tcPr>
            <w:tcW w:w="96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r>
      <w:tr>
        <w:trPr>
          <w:trHeight w:val="154"/>
        </w:trPr>
        <w:tc>
          <w:tcPr>
            <w:tcW w:w="7120" w:type="dxa"/>
            <w:vAlign w:val="bottom"/>
          </w:tcPr>
          <w:p>
            <w:pPr>
              <w:spacing w:after="0"/>
              <w:rPr>
                <w:sz w:val="13"/>
                <w:szCs w:val="13"/>
                <w:color w:val="auto"/>
              </w:rPr>
            </w:pPr>
          </w:p>
        </w:tc>
        <w:tc>
          <w:tcPr>
            <w:tcW w:w="280" w:type="dxa"/>
            <w:vAlign w:val="bottom"/>
            <w:tcBorders>
              <w:bottom w:val="single" w:sz="8" w:color="auto"/>
            </w:tcBorders>
          </w:tcPr>
          <w:p>
            <w:pPr>
              <w:spacing w:after="0"/>
              <w:rPr>
                <w:sz w:val="13"/>
                <w:szCs w:val="13"/>
                <w:color w:val="auto"/>
              </w:rPr>
            </w:pPr>
          </w:p>
        </w:tc>
        <w:tc>
          <w:tcPr>
            <w:tcW w:w="1000" w:type="dxa"/>
            <w:vAlign w:val="bottom"/>
            <w:tcBorders>
              <w:bottom w:val="single" w:sz="8" w:color="auto"/>
            </w:tcBorders>
          </w:tcPr>
          <w:p>
            <w:pPr>
              <w:jc w:val="right"/>
              <w:ind w:right="456"/>
              <w:spacing w:after="0"/>
              <w:rPr>
                <w:sz w:val="20"/>
                <w:szCs w:val="20"/>
                <w:color w:val="auto"/>
              </w:rPr>
            </w:pPr>
            <w:r>
              <w:rPr>
                <w:rFonts w:ascii="Arial" w:cs="Arial" w:eastAsia="Arial" w:hAnsi="Arial"/>
                <w:sz w:val="13"/>
                <w:szCs w:val="13"/>
                <w:b w:val="1"/>
                <w:bCs w:val="1"/>
                <w:color w:val="auto"/>
              </w:rPr>
              <w:t>2018</w:t>
            </w:r>
          </w:p>
        </w:tc>
        <w:tc>
          <w:tcPr>
            <w:tcW w:w="220" w:type="dxa"/>
            <w:vAlign w:val="bottom"/>
            <w:tcBorders>
              <w:bottom w:val="single" w:sz="8" w:color="auto"/>
            </w:tcBorders>
          </w:tcPr>
          <w:p>
            <w:pPr>
              <w:spacing w:after="0"/>
              <w:rPr>
                <w:sz w:val="13"/>
                <w:szCs w:val="13"/>
                <w:color w:val="auto"/>
              </w:rPr>
            </w:pPr>
          </w:p>
        </w:tc>
        <w:tc>
          <w:tcPr>
            <w:tcW w:w="440" w:type="dxa"/>
            <w:vAlign w:val="bottom"/>
            <w:tcBorders>
              <w:bottom w:val="single" w:sz="8" w:color="auto"/>
            </w:tcBorders>
          </w:tcPr>
          <w:p>
            <w:pPr>
              <w:spacing w:after="0"/>
              <w:rPr>
                <w:sz w:val="13"/>
                <w:szCs w:val="13"/>
                <w:color w:val="auto"/>
              </w:rPr>
            </w:pPr>
          </w:p>
        </w:tc>
        <w:tc>
          <w:tcPr>
            <w:tcW w:w="840" w:type="dxa"/>
            <w:vAlign w:val="bottom"/>
            <w:tcBorders>
              <w:bottom w:val="single" w:sz="8" w:color="auto"/>
            </w:tcBorders>
          </w:tcPr>
          <w:p>
            <w:pPr>
              <w:jc w:val="right"/>
              <w:ind w:right="456"/>
              <w:spacing w:after="0"/>
              <w:rPr>
                <w:sz w:val="20"/>
                <w:szCs w:val="20"/>
                <w:color w:val="auto"/>
              </w:rPr>
            </w:pPr>
            <w:r>
              <w:rPr>
                <w:rFonts w:ascii="Arial" w:cs="Arial" w:eastAsia="Arial" w:hAnsi="Arial"/>
                <w:sz w:val="13"/>
                <w:szCs w:val="13"/>
                <w:b w:val="1"/>
                <w:bCs w:val="1"/>
                <w:color w:val="auto"/>
              </w:rPr>
              <w:t>2017</w:t>
            </w:r>
          </w:p>
        </w:tc>
        <w:tc>
          <w:tcPr>
            <w:tcW w:w="220" w:type="dxa"/>
            <w:vAlign w:val="bottom"/>
            <w:tcBorders>
              <w:bottom w:val="single" w:sz="8" w:color="auto"/>
            </w:tcBorders>
          </w:tcPr>
          <w:p>
            <w:pPr>
              <w:spacing w:after="0"/>
              <w:rPr>
                <w:sz w:val="13"/>
                <w:szCs w:val="13"/>
                <w:color w:val="auto"/>
              </w:rPr>
            </w:pPr>
          </w:p>
        </w:tc>
        <w:tc>
          <w:tcPr>
            <w:tcW w:w="280" w:type="dxa"/>
            <w:vAlign w:val="bottom"/>
            <w:tcBorders>
              <w:bottom w:val="single" w:sz="8" w:color="auto"/>
            </w:tcBorders>
          </w:tcPr>
          <w:p>
            <w:pPr>
              <w:spacing w:after="0"/>
              <w:rPr>
                <w:sz w:val="13"/>
                <w:szCs w:val="13"/>
                <w:color w:val="auto"/>
              </w:rPr>
            </w:pPr>
          </w:p>
        </w:tc>
        <w:tc>
          <w:tcPr>
            <w:tcW w:w="960" w:type="dxa"/>
            <w:vAlign w:val="bottom"/>
            <w:tcBorders>
              <w:bottom w:val="single" w:sz="8" w:color="auto"/>
            </w:tcBorders>
          </w:tcPr>
          <w:p>
            <w:pPr>
              <w:jc w:val="right"/>
              <w:ind w:right="436"/>
              <w:spacing w:after="0"/>
              <w:rPr>
                <w:sz w:val="20"/>
                <w:szCs w:val="20"/>
                <w:color w:val="auto"/>
              </w:rPr>
            </w:pPr>
            <w:r>
              <w:rPr>
                <w:rFonts w:ascii="Arial" w:cs="Arial" w:eastAsia="Arial" w:hAnsi="Arial"/>
                <w:sz w:val="13"/>
                <w:szCs w:val="13"/>
                <w:b w:val="1"/>
                <w:bCs w:val="1"/>
                <w:color w:val="auto"/>
              </w:rPr>
              <w:t>2016</w:t>
            </w:r>
          </w:p>
        </w:tc>
        <w:tc>
          <w:tcPr>
            <w:tcW w:w="120" w:type="dxa"/>
            <w:vAlign w:val="bottom"/>
          </w:tcPr>
          <w:p>
            <w:pPr>
              <w:spacing w:after="0"/>
              <w:rPr>
                <w:sz w:val="13"/>
                <w:szCs w:val="13"/>
                <w:color w:val="auto"/>
              </w:rPr>
            </w:pPr>
          </w:p>
        </w:tc>
      </w:tr>
      <w:tr>
        <w:trPr>
          <w:trHeight w:val="144"/>
        </w:trPr>
        <w:tc>
          <w:tcPr>
            <w:tcW w:w="71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40" w:type="dxa"/>
            <w:vAlign w:val="bottom"/>
          </w:tcPr>
          <w:p>
            <w:pPr>
              <w:jc w:val="right"/>
              <w:spacing w:after="0" w:line="144" w:lineRule="exact"/>
              <w:rPr>
                <w:sz w:val="20"/>
                <w:szCs w:val="20"/>
                <w:color w:val="auto"/>
              </w:rPr>
            </w:pPr>
            <w:r>
              <w:rPr>
                <w:rFonts w:ascii="Arial" w:cs="Arial" w:eastAsia="Arial" w:hAnsi="Arial"/>
                <w:sz w:val="13"/>
                <w:szCs w:val="13"/>
                <w:b w:val="1"/>
                <w:bCs w:val="1"/>
                <w:color w:val="auto"/>
              </w:rPr>
              <w:t>(in $</w:t>
            </w:r>
          </w:p>
        </w:tc>
        <w:tc>
          <w:tcPr>
            <w:tcW w:w="1060" w:type="dxa"/>
            <w:vAlign w:val="bottom"/>
            <w:gridSpan w:val="2"/>
          </w:tcPr>
          <w:p>
            <w:pPr>
              <w:jc w:val="right"/>
              <w:ind w:right="403"/>
              <w:spacing w:after="0" w:line="144" w:lineRule="exact"/>
              <w:rPr>
                <w:sz w:val="20"/>
                <w:szCs w:val="20"/>
                <w:color w:val="auto"/>
              </w:rPr>
            </w:pPr>
            <w:r>
              <w:rPr>
                <w:rFonts w:ascii="Arial" w:cs="Arial" w:eastAsia="Arial" w:hAnsi="Arial"/>
                <w:sz w:val="13"/>
                <w:szCs w:val="13"/>
                <w:b w:val="1"/>
                <w:bCs w:val="1"/>
                <w:color w:val="auto"/>
                <w:w w:val="85"/>
              </w:rPr>
              <w:t>thousands)</w:t>
            </w:r>
          </w:p>
        </w:tc>
        <w:tc>
          <w:tcPr>
            <w:tcW w:w="28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Loss on derivative financial instruments and changes in foreign currency, net</w:t>
            </w:r>
          </w:p>
        </w:tc>
        <w:tc>
          <w:tcPr>
            <w:tcW w:w="280" w:type="dxa"/>
            <w:vAlign w:val="bottom"/>
            <w:shd w:val="clear" w:color="auto" w:fill="CCEEFF"/>
          </w:tcPr>
          <w:p>
            <w:pPr>
              <w:jc w:val="right"/>
              <w:ind w:right="172"/>
              <w:spacing w:after="0"/>
              <w:rPr>
                <w:sz w:val="20"/>
                <w:szCs w:val="20"/>
                <w:color w:val="auto"/>
              </w:rPr>
            </w:pPr>
            <w:r>
              <w:rPr>
                <w:rFonts w:ascii="Arial" w:cs="Arial" w:eastAsia="Arial" w:hAnsi="Arial"/>
                <w:sz w:val="10"/>
                <w:szCs w:val="10"/>
                <w:color w:val="auto"/>
                <w:w w:val="71"/>
              </w:rPr>
              <w:t>$</w:t>
            </w:r>
          </w:p>
        </w:tc>
        <w:tc>
          <w:tcPr>
            <w:tcW w:w="1220" w:type="dxa"/>
            <w:vAlign w:val="bottom"/>
            <w:gridSpan w:val="2"/>
            <w:shd w:val="clear" w:color="auto" w:fill="CCEEFF"/>
          </w:tcPr>
          <w:p>
            <w:pPr>
              <w:jc w:val="right"/>
              <w:ind w:right="143"/>
              <w:spacing w:after="0"/>
              <w:rPr>
                <w:sz w:val="20"/>
                <w:szCs w:val="20"/>
                <w:color w:val="auto"/>
              </w:rPr>
            </w:pPr>
            <w:r>
              <w:rPr>
                <w:rFonts w:ascii="Arial" w:cs="Arial" w:eastAsia="Arial" w:hAnsi="Arial"/>
                <w:sz w:val="13"/>
                <w:szCs w:val="13"/>
                <w:color w:val="auto"/>
              </w:rPr>
              <w:t>(1,226)</w:t>
            </w:r>
          </w:p>
        </w:tc>
        <w:tc>
          <w:tcPr>
            <w:tcW w:w="440" w:type="dxa"/>
            <w:vAlign w:val="bottom"/>
            <w:shd w:val="clear" w:color="auto" w:fill="CCEEFF"/>
          </w:tcPr>
          <w:p>
            <w:pPr>
              <w:jc w:val="right"/>
              <w:ind w:right="327"/>
              <w:spacing w:after="0"/>
              <w:rPr>
                <w:sz w:val="20"/>
                <w:szCs w:val="20"/>
                <w:color w:val="auto"/>
              </w:rPr>
            </w:pPr>
            <w:r>
              <w:rPr>
                <w:rFonts w:ascii="Arial" w:cs="Arial" w:eastAsia="Arial" w:hAnsi="Arial"/>
                <w:sz w:val="10"/>
                <w:szCs w:val="10"/>
                <w:color w:val="auto"/>
                <w:w w:val="71"/>
              </w:rPr>
              <w:t>$</w:t>
            </w:r>
          </w:p>
        </w:tc>
        <w:tc>
          <w:tcPr>
            <w:tcW w:w="1060" w:type="dxa"/>
            <w:vAlign w:val="bottom"/>
            <w:gridSpan w:val="2"/>
            <w:shd w:val="clear" w:color="auto" w:fill="CCEEFF"/>
          </w:tcPr>
          <w:p>
            <w:pPr>
              <w:jc w:val="right"/>
              <w:ind w:right="143"/>
              <w:spacing w:after="0"/>
              <w:rPr>
                <w:sz w:val="20"/>
                <w:szCs w:val="20"/>
                <w:color w:val="auto"/>
              </w:rPr>
            </w:pPr>
            <w:r>
              <w:rPr>
                <w:rFonts w:ascii="Arial" w:cs="Arial" w:eastAsia="Arial" w:hAnsi="Arial"/>
                <w:sz w:val="13"/>
                <w:szCs w:val="13"/>
                <w:color w:val="auto"/>
              </w:rPr>
              <w:t>(437)</w:t>
            </w:r>
          </w:p>
        </w:tc>
        <w:tc>
          <w:tcPr>
            <w:tcW w:w="280" w:type="dxa"/>
            <w:vAlign w:val="bottom"/>
            <w:shd w:val="clear" w:color="auto" w:fill="CCEEFF"/>
          </w:tcPr>
          <w:p>
            <w:pPr>
              <w:jc w:val="right"/>
              <w:ind w:right="172"/>
              <w:spacing w:after="0"/>
              <w:rPr>
                <w:sz w:val="20"/>
                <w:szCs w:val="20"/>
                <w:color w:val="auto"/>
              </w:rPr>
            </w:pPr>
            <w:r>
              <w:rPr>
                <w:rFonts w:ascii="Arial" w:cs="Arial" w:eastAsia="Arial" w:hAnsi="Arial"/>
                <w:sz w:val="10"/>
                <w:szCs w:val="10"/>
                <w:color w:val="auto"/>
                <w:w w:val="71"/>
              </w:rPr>
              <w:t>$</w:t>
            </w:r>
          </w:p>
        </w:tc>
        <w:tc>
          <w:tcPr>
            <w:tcW w:w="1080" w:type="dxa"/>
            <w:vAlign w:val="bottom"/>
            <w:gridSpan w:val="2"/>
            <w:shd w:val="clear" w:color="auto" w:fill="CCEEFF"/>
          </w:tcPr>
          <w:p>
            <w:pPr>
              <w:jc w:val="right"/>
              <w:ind w:right="43"/>
              <w:spacing w:after="0"/>
              <w:rPr>
                <w:sz w:val="20"/>
                <w:szCs w:val="20"/>
                <w:color w:val="auto"/>
              </w:rPr>
            </w:pPr>
            <w:r>
              <w:rPr>
                <w:rFonts w:ascii="Arial" w:cs="Arial" w:eastAsia="Arial" w:hAnsi="Arial"/>
                <w:sz w:val="13"/>
                <w:szCs w:val="13"/>
                <w:color w:val="auto"/>
              </w:rPr>
              <w:t>(486)</w:t>
            </w: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Gain (loss) on financial instruments at fair value through profit or loss</w:t>
            </w:r>
          </w:p>
        </w:tc>
        <w:tc>
          <w:tcPr>
            <w:tcW w:w="280" w:type="dxa"/>
            <w:vAlign w:val="bottom"/>
          </w:tcPr>
          <w:p>
            <w:pPr>
              <w:spacing w:after="0"/>
              <w:rPr>
                <w:sz w:val="13"/>
                <w:szCs w:val="13"/>
                <w:color w:val="auto"/>
              </w:rPr>
            </w:pPr>
          </w:p>
        </w:tc>
        <w:tc>
          <w:tcPr>
            <w:tcW w:w="1220" w:type="dxa"/>
            <w:vAlign w:val="bottom"/>
            <w:gridSpan w:val="2"/>
          </w:tcPr>
          <w:p>
            <w:pPr>
              <w:jc w:val="right"/>
              <w:ind w:right="183"/>
              <w:spacing w:after="0"/>
              <w:rPr>
                <w:sz w:val="20"/>
                <w:szCs w:val="20"/>
                <w:color w:val="auto"/>
              </w:rPr>
            </w:pPr>
            <w:r>
              <w:rPr>
                <w:rFonts w:ascii="Arial" w:cs="Arial" w:eastAsia="Arial" w:hAnsi="Arial"/>
                <w:sz w:val="13"/>
                <w:szCs w:val="13"/>
                <w:color w:val="auto"/>
              </w:rPr>
              <w:t>648</w:t>
            </w:r>
          </w:p>
        </w:tc>
        <w:tc>
          <w:tcPr>
            <w:tcW w:w="440" w:type="dxa"/>
            <w:vAlign w:val="bottom"/>
          </w:tcPr>
          <w:p>
            <w:pPr>
              <w:spacing w:after="0"/>
              <w:rPr>
                <w:sz w:val="13"/>
                <w:szCs w:val="13"/>
                <w:color w:val="auto"/>
              </w:rPr>
            </w:pPr>
          </w:p>
        </w:tc>
        <w:tc>
          <w:tcPr>
            <w:tcW w:w="1060" w:type="dxa"/>
            <w:vAlign w:val="bottom"/>
            <w:gridSpan w:val="2"/>
          </w:tcPr>
          <w:p>
            <w:pPr>
              <w:jc w:val="right"/>
              <w:ind w:right="143"/>
              <w:spacing w:after="0"/>
              <w:rPr>
                <w:sz w:val="20"/>
                <w:szCs w:val="20"/>
                <w:color w:val="auto"/>
              </w:rPr>
            </w:pPr>
            <w:r>
              <w:rPr>
                <w:rFonts w:ascii="Arial" w:cs="Arial" w:eastAsia="Arial" w:hAnsi="Arial"/>
                <w:sz w:val="13"/>
                <w:szCs w:val="13"/>
                <w:color w:val="auto"/>
              </w:rPr>
              <w:t>(732)</w:t>
            </w:r>
          </w:p>
        </w:tc>
        <w:tc>
          <w:tcPr>
            <w:tcW w:w="280" w:type="dxa"/>
            <w:vAlign w:val="bottom"/>
          </w:tcPr>
          <w:p>
            <w:pPr>
              <w:spacing w:after="0"/>
              <w:rPr>
                <w:sz w:val="13"/>
                <w:szCs w:val="13"/>
                <w:color w:val="auto"/>
              </w:rPr>
            </w:pPr>
          </w:p>
        </w:tc>
        <w:tc>
          <w:tcPr>
            <w:tcW w:w="1080" w:type="dxa"/>
            <w:vAlign w:val="bottom"/>
            <w:gridSpan w:val="2"/>
          </w:tcPr>
          <w:p>
            <w:pPr>
              <w:jc w:val="right"/>
              <w:ind w:right="43"/>
              <w:spacing w:after="0"/>
              <w:rPr>
                <w:sz w:val="20"/>
                <w:szCs w:val="20"/>
                <w:color w:val="auto"/>
              </w:rPr>
            </w:pPr>
            <w:r>
              <w:rPr>
                <w:rFonts w:ascii="Arial" w:cs="Arial" w:eastAsia="Arial" w:hAnsi="Arial"/>
                <w:sz w:val="13"/>
                <w:szCs w:val="13"/>
                <w:color w:val="auto"/>
              </w:rPr>
              <w:t>(2,883)</w:t>
            </w: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Gain (loss) realized on financial instruments at fair value with changes in other comprehensive income</w:t>
            </w: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183"/>
              <w:spacing w:after="0"/>
              <w:rPr>
                <w:sz w:val="20"/>
                <w:szCs w:val="20"/>
                <w:color w:val="auto"/>
              </w:rPr>
            </w:pPr>
            <w:r>
              <w:rPr>
                <w:rFonts w:ascii="Arial" w:cs="Arial" w:eastAsia="Arial" w:hAnsi="Arial"/>
                <w:sz w:val="13"/>
                <w:szCs w:val="13"/>
                <w:color w:val="auto"/>
              </w:rPr>
              <w:t>194</w:t>
            </w:r>
          </w:p>
        </w:tc>
        <w:tc>
          <w:tcPr>
            <w:tcW w:w="44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183"/>
              <w:spacing w:after="0"/>
              <w:rPr>
                <w:sz w:val="20"/>
                <w:szCs w:val="20"/>
                <w:color w:val="auto"/>
              </w:rPr>
            </w:pPr>
            <w:r>
              <w:rPr>
                <w:rFonts w:ascii="Arial" w:cs="Arial" w:eastAsia="Arial" w:hAnsi="Arial"/>
                <w:sz w:val="13"/>
                <w:szCs w:val="13"/>
                <w:color w:val="auto"/>
              </w:rPr>
              <w:t>249</w:t>
            </w:r>
          </w:p>
        </w:tc>
        <w:tc>
          <w:tcPr>
            <w:tcW w:w="28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43"/>
              <w:spacing w:after="0"/>
              <w:rPr>
                <w:sz w:val="20"/>
                <w:szCs w:val="20"/>
                <w:color w:val="auto"/>
              </w:rPr>
            </w:pPr>
            <w:r>
              <w:rPr>
                <w:rFonts w:ascii="Arial" w:cs="Arial" w:eastAsia="Arial" w:hAnsi="Arial"/>
                <w:sz w:val="13"/>
                <w:szCs w:val="13"/>
                <w:color w:val="auto"/>
              </w:rPr>
              <w:t>(356)</w:t>
            </w:r>
          </w:p>
        </w:tc>
      </w:tr>
      <w:tr>
        <w:trPr>
          <w:trHeight w:val="164"/>
        </w:trPr>
        <w:tc>
          <w:tcPr>
            <w:tcW w:w="7120" w:type="dxa"/>
            <w:vAlign w:val="bottom"/>
          </w:tcPr>
          <w:p>
            <w:pPr>
              <w:spacing w:after="0"/>
              <w:rPr>
                <w:sz w:val="20"/>
                <w:szCs w:val="20"/>
                <w:color w:val="auto"/>
              </w:rPr>
            </w:pPr>
            <w:r>
              <w:rPr>
                <w:rFonts w:ascii="Arial" w:cs="Arial" w:eastAsia="Arial" w:hAnsi="Arial"/>
                <w:sz w:val="13"/>
                <w:szCs w:val="13"/>
                <w:color w:val="auto"/>
              </w:rPr>
              <w:t>(Loss) gain on sale of loans</w:t>
            </w:r>
          </w:p>
        </w:tc>
        <w:tc>
          <w:tcPr>
            <w:tcW w:w="280" w:type="dxa"/>
            <w:vAlign w:val="bottom"/>
          </w:tcPr>
          <w:p>
            <w:pPr>
              <w:spacing w:after="0"/>
              <w:rPr>
                <w:sz w:val="14"/>
                <w:szCs w:val="14"/>
                <w:color w:val="auto"/>
              </w:rPr>
            </w:pPr>
          </w:p>
        </w:tc>
        <w:tc>
          <w:tcPr>
            <w:tcW w:w="1220" w:type="dxa"/>
            <w:vAlign w:val="bottom"/>
            <w:gridSpan w:val="2"/>
          </w:tcPr>
          <w:p>
            <w:pPr>
              <w:jc w:val="right"/>
              <w:ind w:right="143"/>
              <w:spacing w:after="0"/>
              <w:rPr>
                <w:sz w:val="20"/>
                <w:szCs w:val="20"/>
                <w:color w:val="auto"/>
              </w:rPr>
            </w:pPr>
            <w:r>
              <w:rPr>
                <w:rFonts w:ascii="Arial" w:cs="Arial" w:eastAsia="Arial" w:hAnsi="Arial"/>
                <w:sz w:val="13"/>
                <w:szCs w:val="13"/>
                <w:color w:val="auto"/>
              </w:rPr>
              <w:t>(625)</w:t>
            </w:r>
          </w:p>
        </w:tc>
        <w:tc>
          <w:tcPr>
            <w:tcW w:w="440" w:type="dxa"/>
            <w:vAlign w:val="bottom"/>
          </w:tcPr>
          <w:p>
            <w:pPr>
              <w:spacing w:after="0"/>
              <w:rPr>
                <w:sz w:val="14"/>
                <w:szCs w:val="14"/>
                <w:color w:val="auto"/>
              </w:rPr>
            </w:pPr>
          </w:p>
        </w:tc>
        <w:tc>
          <w:tcPr>
            <w:tcW w:w="1060" w:type="dxa"/>
            <w:vAlign w:val="bottom"/>
            <w:gridSpan w:val="2"/>
          </w:tcPr>
          <w:p>
            <w:pPr>
              <w:jc w:val="right"/>
              <w:ind w:right="183"/>
              <w:spacing w:after="0"/>
              <w:rPr>
                <w:sz w:val="20"/>
                <w:szCs w:val="20"/>
                <w:color w:val="auto"/>
              </w:rPr>
            </w:pPr>
            <w:r>
              <w:rPr>
                <w:rFonts w:ascii="Arial" w:cs="Arial" w:eastAsia="Arial" w:hAnsi="Arial"/>
                <w:sz w:val="13"/>
                <w:szCs w:val="13"/>
                <w:color w:val="auto"/>
              </w:rPr>
              <w:t>181</w:t>
            </w:r>
          </w:p>
        </w:tc>
        <w:tc>
          <w:tcPr>
            <w:tcW w:w="280" w:type="dxa"/>
            <w:vAlign w:val="bottom"/>
          </w:tcPr>
          <w:p>
            <w:pPr>
              <w:spacing w:after="0"/>
              <w:rPr>
                <w:sz w:val="14"/>
                <w:szCs w:val="14"/>
                <w:color w:val="auto"/>
              </w:rPr>
            </w:pPr>
          </w:p>
        </w:tc>
        <w:tc>
          <w:tcPr>
            <w:tcW w:w="1080" w:type="dxa"/>
            <w:vAlign w:val="bottom"/>
            <w:gridSpan w:val="2"/>
          </w:tcPr>
          <w:p>
            <w:pPr>
              <w:jc w:val="right"/>
              <w:ind w:right="83"/>
              <w:spacing w:after="0"/>
              <w:rPr>
                <w:sz w:val="20"/>
                <w:szCs w:val="20"/>
                <w:color w:val="auto"/>
              </w:rPr>
            </w:pPr>
            <w:r>
              <w:rPr>
                <w:rFonts w:ascii="Arial" w:cs="Arial" w:eastAsia="Arial" w:hAnsi="Arial"/>
                <w:sz w:val="13"/>
                <w:szCs w:val="13"/>
                <w:color w:val="auto"/>
              </w:rPr>
              <w:t>806</w:t>
            </w:r>
          </w:p>
        </w:tc>
      </w:tr>
      <w:tr>
        <w:trPr>
          <w:trHeight w:val="162"/>
        </w:trPr>
        <w:tc>
          <w:tcPr>
            <w:tcW w:w="7120" w:type="dxa"/>
            <w:vAlign w:val="bottom"/>
            <w:tcBorders>
              <w:top w:val="single" w:sz="8" w:color="CCEEFF"/>
              <w:bottom w:val="single" w:sz="8" w:color="CCEEFF"/>
            </w:tcBorders>
            <w:shd w:val="clear" w:color="auto" w:fill="CCEEFF"/>
          </w:tcPr>
          <w:p>
            <w:pPr>
              <w:spacing w:after="0" w:line="146" w:lineRule="exact"/>
              <w:rPr>
                <w:sz w:val="20"/>
                <w:szCs w:val="20"/>
                <w:color w:val="auto"/>
              </w:rPr>
            </w:pPr>
            <w:r>
              <w:rPr>
                <w:rFonts w:ascii="Arial" w:cs="Arial" w:eastAsia="Arial" w:hAnsi="Arial"/>
                <w:sz w:val="13"/>
                <w:szCs w:val="13"/>
                <w:b w:val="1"/>
                <w:bCs w:val="1"/>
                <w:color w:val="auto"/>
              </w:rPr>
              <w:t>Loss on financial instruments, net</w:t>
            </w:r>
          </w:p>
        </w:tc>
        <w:tc>
          <w:tcPr>
            <w:tcW w:w="280" w:type="dxa"/>
            <w:vAlign w:val="bottom"/>
            <w:tcBorders>
              <w:top w:val="single" w:sz="8" w:color="auto"/>
              <w:bottom w:val="single" w:sz="8" w:color="auto"/>
            </w:tcBorders>
            <w:shd w:val="clear" w:color="auto" w:fill="CCEEFF"/>
          </w:tcPr>
          <w:p>
            <w:pPr>
              <w:jc w:val="right"/>
              <w:ind w:right="172"/>
              <w:spacing w:after="0"/>
              <w:rPr>
                <w:sz w:val="20"/>
                <w:szCs w:val="20"/>
                <w:color w:val="auto"/>
              </w:rPr>
            </w:pPr>
            <w:r>
              <w:rPr>
                <w:rFonts w:ascii="Arial" w:cs="Arial" w:eastAsia="Arial" w:hAnsi="Arial"/>
                <w:sz w:val="10"/>
                <w:szCs w:val="10"/>
                <w:b w:val="1"/>
                <w:bCs w:val="1"/>
                <w:color w:val="auto"/>
                <w:w w:val="71"/>
              </w:rPr>
              <w:t>$</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(1,009</w:t>
            </w:r>
          </w:p>
        </w:tc>
        <w:tc>
          <w:tcPr>
            <w:tcW w:w="220" w:type="dxa"/>
            <w:vAlign w:val="bottom"/>
            <w:tcBorders>
              <w:top w:val="single" w:sz="8" w:color="CCEEFF"/>
              <w:bottom w:val="single" w:sz="8" w:color="CCEEFF"/>
            </w:tcBorders>
            <w:shd w:val="clear" w:color="auto" w:fill="CCEEFF"/>
          </w:tcPr>
          <w:p>
            <w:pPr>
              <w:jc w:val="right"/>
              <w:ind w:right="143"/>
              <w:spacing w:after="0"/>
              <w:rPr>
                <w:sz w:val="20"/>
                <w:szCs w:val="20"/>
                <w:color w:val="auto"/>
              </w:rPr>
            </w:pPr>
            <w:r>
              <w:rPr>
                <w:rFonts w:ascii="Arial" w:cs="Arial" w:eastAsia="Arial" w:hAnsi="Arial"/>
                <w:sz w:val="7"/>
                <w:szCs w:val="7"/>
                <w:b w:val="1"/>
                <w:bCs w:val="1"/>
                <w:color w:val="auto"/>
                <w:w w:val="83"/>
              </w:rPr>
              <w:t>)</w:t>
            </w:r>
          </w:p>
        </w:tc>
        <w:tc>
          <w:tcPr>
            <w:tcW w:w="440" w:type="dxa"/>
            <w:vAlign w:val="bottom"/>
            <w:tcBorders>
              <w:top w:val="single" w:sz="8" w:color="auto"/>
              <w:bottom w:val="single" w:sz="8" w:color="auto"/>
            </w:tcBorders>
            <w:shd w:val="clear" w:color="auto" w:fill="CCEEFF"/>
          </w:tcPr>
          <w:p>
            <w:pPr>
              <w:jc w:val="right"/>
              <w:ind w:right="327"/>
              <w:spacing w:after="0"/>
              <w:rPr>
                <w:sz w:val="20"/>
                <w:szCs w:val="20"/>
                <w:color w:val="auto"/>
              </w:rPr>
            </w:pPr>
            <w:r>
              <w:rPr>
                <w:rFonts w:ascii="Arial" w:cs="Arial" w:eastAsia="Arial" w:hAnsi="Arial"/>
                <w:sz w:val="10"/>
                <w:szCs w:val="10"/>
                <w:b w:val="1"/>
                <w:bCs w:val="1"/>
                <w:color w:val="auto"/>
                <w:w w:val="71"/>
              </w:rPr>
              <w:t>$</w:t>
            </w: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(739</w:t>
            </w:r>
          </w:p>
        </w:tc>
        <w:tc>
          <w:tcPr>
            <w:tcW w:w="220" w:type="dxa"/>
            <w:vAlign w:val="bottom"/>
            <w:tcBorders>
              <w:top w:val="single" w:sz="8" w:color="CCEEFF"/>
              <w:bottom w:val="single" w:sz="8" w:color="CCEEFF"/>
            </w:tcBorders>
            <w:shd w:val="clear" w:color="auto" w:fill="CCEEFF"/>
          </w:tcPr>
          <w:p>
            <w:pPr>
              <w:jc w:val="right"/>
              <w:ind w:right="143"/>
              <w:spacing w:after="0"/>
              <w:rPr>
                <w:sz w:val="20"/>
                <w:szCs w:val="20"/>
                <w:color w:val="auto"/>
              </w:rPr>
            </w:pPr>
            <w:r>
              <w:rPr>
                <w:rFonts w:ascii="Arial" w:cs="Arial" w:eastAsia="Arial" w:hAnsi="Arial"/>
                <w:sz w:val="7"/>
                <w:szCs w:val="7"/>
                <w:b w:val="1"/>
                <w:bCs w:val="1"/>
                <w:color w:val="auto"/>
                <w:w w:val="83"/>
              </w:rPr>
              <w:t>)</w:t>
            </w:r>
          </w:p>
        </w:tc>
        <w:tc>
          <w:tcPr>
            <w:tcW w:w="280" w:type="dxa"/>
            <w:vAlign w:val="bottom"/>
            <w:tcBorders>
              <w:top w:val="single" w:sz="8" w:color="auto"/>
              <w:bottom w:val="single" w:sz="8" w:color="auto"/>
            </w:tcBorders>
            <w:shd w:val="clear" w:color="auto" w:fill="CCEEFF"/>
          </w:tcPr>
          <w:p>
            <w:pPr>
              <w:spacing w:after="0"/>
              <w:rPr>
                <w:sz w:val="14"/>
                <w:szCs w:val="14"/>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(2,919</w:t>
            </w:r>
          </w:p>
        </w:tc>
        <w:tc>
          <w:tcPr>
            <w:tcW w:w="120" w:type="dxa"/>
            <w:vAlign w:val="bottom"/>
            <w:tcBorders>
              <w:top w:val="single" w:sz="8" w:color="CCEEFF"/>
              <w:bottom w:val="single" w:sz="8" w:color="CCEEFF"/>
            </w:tcBorders>
            <w:shd w:val="clear" w:color="auto" w:fill="CCEEFF"/>
          </w:tcPr>
          <w:p>
            <w:pPr>
              <w:jc w:val="right"/>
              <w:ind w:right="43"/>
              <w:spacing w:after="0"/>
              <w:rPr>
                <w:sz w:val="20"/>
                <w:szCs w:val="20"/>
                <w:color w:val="auto"/>
              </w:rPr>
            </w:pPr>
            <w:r>
              <w:rPr>
                <w:rFonts w:ascii="Arial" w:cs="Arial" w:eastAsia="Arial" w:hAnsi="Arial"/>
                <w:sz w:val="7"/>
                <w:szCs w:val="7"/>
                <w:b w:val="1"/>
                <w:bCs w:val="1"/>
                <w:color w:val="auto"/>
                <w:w w:val="83"/>
              </w:rPr>
              <w:t>)</w:t>
            </w:r>
          </w:p>
        </w:tc>
      </w:tr>
    </w:tbl>
    <w:p>
      <w:pPr>
        <w:spacing w:after="0" w:line="145" w:lineRule="exact"/>
        <w:rPr>
          <w:sz w:val="20"/>
          <w:szCs w:val="20"/>
          <w:color w:val="auto"/>
        </w:rPr>
      </w:pPr>
    </w:p>
    <w:p>
      <w:pPr>
        <w:jc w:val="both"/>
        <w:ind w:right="20"/>
        <w:spacing w:after="0" w:line="254" w:lineRule="auto"/>
        <w:rPr>
          <w:sz w:val="20"/>
          <w:szCs w:val="20"/>
          <w:color w:val="auto"/>
        </w:rPr>
      </w:pPr>
      <w:r>
        <w:rPr>
          <w:rFonts w:ascii="Arial" w:cs="Arial" w:eastAsia="Arial" w:hAnsi="Arial"/>
          <w:sz w:val="13"/>
          <w:szCs w:val="13"/>
          <w:color w:val="auto"/>
        </w:rPr>
        <w:t>During the year ended December 31, 2018, the Bank recorded a net loss on financial instruments of $1.0 million, compared to a net loss on financial instruments of $0.7 million for the year ended December 31, 2017, and a net loss on financial instruments of $2.9 million for the year ended December 31, 2016. The $0.3 million, or 37% increase in loss on financial instruments during 2018 was mainly related to higher losses on derivative financial instruments and foreign currency exchange held for risk management hedging purposes. The $2.2 million, or 75%, improvement during 2017 was mainly related to the absence of non-core trading losses, which resulted in a $4.4 million loss in 2016, when the Bank completely divested from its participation in investment funds during 2016.</w:t>
      </w:r>
    </w:p>
    <w:p>
      <w:pPr>
        <w:spacing w:after="0" w:line="137"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As part of its interest rate and currency risk management, the Bank may from time to time enter into foreign exchange forwards, cross-currency contracts and interest rate swaps to hedge the risk associated with a portion of the notes issued under its various funding programs.</w:t>
      </w:r>
    </w:p>
    <w:p>
      <w:pPr>
        <w:spacing w:after="0" w:line="129"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The Bank purchases debt instruments with the intention of selling them prior to maturity, with the realized gain (loss) on the sale of securities recorded on financial instruments at fair value with changes in other comprehensive income. These debt instruments are classified as securities at FVOCI and are included as part of the Bank’s Credit Portfolio.</w:t>
      </w:r>
    </w:p>
    <w:p>
      <w:pPr>
        <w:spacing w:after="0" w:line="129"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The gain (loss) on sale of loans at amortized cost corresponds to income derived from the Bank’s business stream of loan intermediation and distribution activities in the primary and secondary markets. During the year ended December 31, 2018, the Bank reported a net loss on sale of loans of $0.6 million, as the Bank reduced its exposure associated with a previously executed structured transaction, compared to gains on sale of loans of $0.2 million and $0.8 million for the years ended December 31, 2017 and 2016, respectively. The lower levels of loan distribution business compared to previous years relates to decreased sale activity in the secondary markets of the remaining lower Loan Portfolio balances.</w:t>
      </w:r>
    </w:p>
    <w:p>
      <w:pPr>
        <w:spacing w:after="0" w:line="286"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50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52" w:name="page53"/>
    <w:bookmarkEnd w:id="52"/>
    <w:p>
      <w:pPr>
        <w:spacing w:after="0"/>
        <w:rPr>
          <w:sz w:val="20"/>
          <w:szCs w:val="20"/>
          <w:color w:val="auto"/>
        </w:rPr>
      </w:pPr>
      <w:r>
        <w:rPr>
          <w:rFonts w:ascii="Arial" w:cs="Arial" w:eastAsia="Arial" w:hAnsi="Arial"/>
          <w:sz w:val="13"/>
          <w:szCs w:val="13"/>
          <w:i w:val="1"/>
          <w:iCs w:val="1"/>
          <w:color w:val="auto"/>
        </w:rPr>
        <w:t>Other income, net</w:t>
      </w:r>
    </w:p>
    <w:p>
      <w:pPr>
        <w:spacing w:after="0" w:line="15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During the year ended December 31, 2018, the Bank recorded other income, net of $1.7 million, compared to the same level for the year ended December 31, 2017, and compared to $1.4 million for the year ended December 31, 2016. This is mainly related to the sublease of office space wich represented 21%, 38% and 45% of total other income, net during 2018, 2017 and 2016, respectively; and breakfunding penalties related to clients prepayments which accounted for 15%, 48% and 13% of the total during the same years.</w:t>
      </w:r>
    </w:p>
    <w:p>
      <w:pPr>
        <w:spacing w:after="0" w:line="136"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Impairment loss on financial instruments</w:t>
      </w:r>
    </w:p>
    <w:p>
      <w:pPr>
        <w:spacing w:after="0" w:line="159" w:lineRule="exact"/>
        <w:rPr>
          <w:sz w:val="20"/>
          <w:szCs w:val="20"/>
          <w:color w:val="auto"/>
        </w:rPr>
      </w:pPr>
    </w:p>
    <w:p>
      <w:pPr>
        <w:jc w:val="both"/>
        <w:ind w:right="20"/>
        <w:spacing w:after="0" w:line="289" w:lineRule="auto"/>
        <w:rPr>
          <w:sz w:val="20"/>
          <w:szCs w:val="20"/>
          <w:color w:val="auto"/>
        </w:rPr>
      </w:pPr>
      <w:r>
        <w:rPr>
          <w:rFonts w:ascii="Arial" w:cs="Arial" w:eastAsia="Arial" w:hAnsi="Arial"/>
          <w:sz w:val="12"/>
          <w:szCs w:val="12"/>
          <w:color w:val="auto"/>
        </w:rPr>
        <w:t>For the year ended December 31, 2018, the impairment loss on financial instruments amounted to $57.5 million, reflecting the increase in credit-impaired loans mostly associated with the significant deterioration of a single credit in the Brazilian sugar sector, exacerbated by significant deterioration in 2018 as a result of worsening sugar fundamentals in international markets, and a resulting significant decrease in sugar prices, which decreased during 2018 to levels well below the worldwide marginal cost of production, as well as due to the risk involved in the borrower’s complex restructuring process.</w:t>
      </w:r>
    </w:p>
    <w:p>
      <w:pPr>
        <w:spacing w:after="0" w:line="118" w:lineRule="exact"/>
        <w:rPr>
          <w:sz w:val="20"/>
          <w:szCs w:val="20"/>
          <w:color w:val="auto"/>
        </w:rPr>
      </w:pPr>
    </w:p>
    <w:p>
      <w:pPr>
        <w:jc w:val="both"/>
        <w:ind w:right="20"/>
        <w:spacing w:after="0" w:line="254" w:lineRule="auto"/>
        <w:rPr>
          <w:sz w:val="20"/>
          <w:szCs w:val="20"/>
          <w:color w:val="auto"/>
        </w:rPr>
      </w:pPr>
      <w:r>
        <w:rPr>
          <w:rFonts w:ascii="Arial" w:cs="Arial" w:eastAsia="Arial" w:hAnsi="Arial"/>
          <w:sz w:val="13"/>
          <w:szCs w:val="13"/>
          <w:color w:val="auto"/>
        </w:rPr>
        <w:t>The impairment loss on financial instruments totaled $9.4 million for the year ended December 31, 2017, mostly associated with the impairment losses on selected credit exposures undergoing restructuring processes during the year 2017, partly offset by recovery effects from both lower end-of-period portfolio balances and the shift in the overall portfolio mix toward shorter-term trade exposures. This compares with the $35.1 million impairment loss on financial instruments for the year ended December 31, 2016, mainly attributable to higher allowances assigned to performing exposures and credit-impaired financial assets based on lifetime expected credit losses.</w:t>
      </w:r>
    </w:p>
    <w:p>
      <w:pPr>
        <w:spacing w:after="0" w:line="137"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Impairment loss on non-financial assets</w:t>
      </w:r>
    </w:p>
    <w:p>
      <w:pPr>
        <w:spacing w:after="0" w:line="159" w:lineRule="exact"/>
        <w:rPr>
          <w:sz w:val="20"/>
          <w:szCs w:val="20"/>
          <w:color w:val="auto"/>
        </w:rPr>
      </w:pPr>
    </w:p>
    <w:p>
      <w:pPr>
        <w:jc w:val="both"/>
        <w:ind w:right="20"/>
        <w:spacing w:after="0" w:line="281" w:lineRule="auto"/>
        <w:rPr>
          <w:sz w:val="20"/>
          <w:szCs w:val="20"/>
          <w:color w:val="auto"/>
        </w:rPr>
      </w:pPr>
      <w:r>
        <w:rPr>
          <w:rFonts w:ascii="Arial" w:cs="Arial" w:eastAsia="Arial" w:hAnsi="Arial"/>
          <w:sz w:val="12"/>
          <w:szCs w:val="12"/>
          <w:color w:val="auto"/>
        </w:rPr>
        <w:t>For the year ended December 31, 2018, the impairment loss on non-financial assets amounted to $10.0 million, $4.0 million of which was associated with write offs corresponding mainly to technological projects classified as intangible assets ($2.7 million) and other assets under development ($1.3 million). The remaining amount relates to the storage silos received by the Bank as payment for a restructured loan transaction that were recorded as investment properties and as other assets under development of the deed, with carrying amounts of $3.8 million and $1.7 million, respectively, which were assessed in 2018 by the Bank to have a fair value of zero. For the years ended December 31, 2017 and 2016, the Bank did not report impairment loss on non-financial assets.</w:t>
      </w:r>
    </w:p>
    <w:p>
      <w:pPr>
        <w:spacing w:after="0" w:line="124"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Operating Expenses</w:t>
      </w:r>
    </w:p>
    <w:p>
      <w:pPr>
        <w:spacing w:after="0" w:line="159"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During the year ended December 31, 2018, the Bank’s operating expenses totaled $48.9 million, compared to $46.9 million for the year ended December 31, 2017. The $2.0 million, or 4% increase was mainly attributable to non-recurring expenses incurred in 2018 from personnel restructurings and from the streamlining of processes and technological infrastructure as part of the Bank’s efforts to optimize its operating infrastructure. The Bank estimates its run-rate base of operating expense for 2018 at approximately $46 million.</w:t>
      </w:r>
    </w:p>
    <w:p>
      <w:pPr>
        <w:spacing w:after="0" w:line="136"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The Bank’s operating expenses totaled $46.9 million for the year ended December 31, 2017, compared to $45.8 million for the year ended December 31, 2016. The $1.1 million, or 2% increase in operating expenses year-over-year was primarily attributable to higher salaries and other employee expenses largely impacted by $3.2 million in charges for non-recurring personnel related expenses in 2017, which was partially offset by lower other expenses reflecting the Bank’s ongoing focus on cost reduction and high productivity throughout the organization.</w:t>
      </w:r>
    </w:p>
    <w:p>
      <w:pPr>
        <w:spacing w:after="0" w:line="284"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51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53" w:name="page54"/>
    <w:bookmarkEnd w:id="53"/>
    <w:p>
      <w:pPr>
        <w:spacing w:after="0"/>
        <w:rPr>
          <w:sz w:val="20"/>
          <w:szCs w:val="20"/>
          <w:color w:val="auto"/>
        </w:rPr>
      </w:pPr>
      <w:r>
        <w:rPr>
          <w:rFonts w:ascii="Arial" w:cs="Arial" w:eastAsia="Arial" w:hAnsi="Arial"/>
          <w:sz w:val="13"/>
          <w:szCs w:val="13"/>
          <w:i w:val="1"/>
          <w:iCs w:val="1"/>
          <w:color w:val="auto"/>
        </w:rPr>
        <w:t>Business Segment Analysis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The Bank’s activities are managed and executed in two business segments: Commercial and Treasury.</w:t>
      </w:r>
    </w:p>
    <w:p>
      <w:pPr>
        <w:spacing w:after="0" w:line="15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business segment results are determined based on the Bank’s managerial accounting process as defined by IFRS 8 – Operating Segments, which assigns assets, liabilities, revenue and expense items to each business segment on a systemic basis.</w:t>
      </w:r>
    </w:p>
    <w:p>
      <w:pPr>
        <w:spacing w:after="0" w:line="129" w:lineRule="exact"/>
        <w:rPr>
          <w:sz w:val="20"/>
          <w:szCs w:val="20"/>
          <w:color w:val="auto"/>
        </w:rPr>
      </w:pPr>
    </w:p>
    <w:p>
      <w:pPr>
        <w:jc w:val="both"/>
        <w:ind w:right="20"/>
        <w:spacing w:after="0" w:line="289" w:lineRule="auto"/>
        <w:rPr>
          <w:sz w:val="20"/>
          <w:szCs w:val="20"/>
          <w:color w:val="auto"/>
        </w:rPr>
      </w:pPr>
      <w:r>
        <w:rPr>
          <w:rFonts w:ascii="Arial" w:cs="Arial" w:eastAsia="Arial" w:hAnsi="Arial"/>
          <w:sz w:val="12"/>
          <w:szCs w:val="12"/>
          <w:color w:val="auto"/>
        </w:rPr>
        <w:t>The Bank’s net interest income represents the main driver of profits for the year. Interest income is generated by interest-earning assets, which include interest-bearing deposits with banks, loans, and investment securities. Interest expense is allocated to interest-earning assets on a matched-funded basis, net of risk adjusted capital allocated by business segment. The operating expense allocation methodology assigns overhead expenses based on resource consumption by business segment. The following table summarizes certain information of the Bank’s operations by business segment for the periods indicated:</w:t>
      </w:r>
    </w:p>
    <w:p>
      <w:pPr>
        <w:spacing w:after="0" w:line="114" w:lineRule="exact"/>
        <w:rPr>
          <w:sz w:val="20"/>
          <w:szCs w:val="20"/>
          <w:color w:val="auto"/>
        </w:rPr>
      </w:pPr>
    </w:p>
    <w:tbl>
      <w:tblPr>
        <w:tblLayout w:type="fixed"/>
        <w:tblInd w:w="0" w:type="dxa"/>
        <w:tblCellMar>
          <w:top w:w="0" w:type="dxa"/>
          <w:left w:w="0" w:type="dxa"/>
          <w:bottom w:w="0" w:type="dxa"/>
          <w:right w:w="0" w:type="dxa"/>
        </w:tblCellMar>
      </w:tblPr>
      <w:tr>
        <w:trPr>
          <w:trHeight w:val="164"/>
        </w:trPr>
        <w:tc>
          <w:tcPr>
            <w:tcW w:w="712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2500" w:type="dxa"/>
            <w:vAlign w:val="bottom"/>
            <w:gridSpan w:val="6"/>
          </w:tcPr>
          <w:p>
            <w:pPr>
              <w:jc w:val="right"/>
              <w:ind w:right="192"/>
              <w:spacing w:after="0"/>
              <w:rPr>
                <w:sz w:val="20"/>
                <w:szCs w:val="20"/>
                <w:color w:val="auto"/>
              </w:rPr>
            </w:pPr>
            <w:r>
              <w:rPr>
                <w:rFonts w:ascii="Arial" w:cs="Arial" w:eastAsia="Arial" w:hAnsi="Arial"/>
                <w:sz w:val="13"/>
                <w:szCs w:val="13"/>
                <w:b w:val="1"/>
                <w:bCs w:val="1"/>
                <w:color w:val="auto"/>
              </w:rPr>
              <w:t>For the Year Ended December 31,</w:t>
            </w:r>
          </w:p>
        </w:tc>
        <w:tc>
          <w:tcPr>
            <w:tcW w:w="940" w:type="dxa"/>
            <w:vAlign w:val="bottom"/>
          </w:tcPr>
          <w:p>
            <w:pPr>
              <w:spacing w:after="0"/>
              <w:rPr>
                <w:sz w:val="14"/>
                <w:szCs w:val="14"/>
                <w:color w:val="auto"/>
              </w:rPr>
            </w:pPr>
          </w:p>
        </w:tc>
        <w:tc>
          <w:tcPr>
            <w:tcW w:w="120" w:type="dxa"/>
            <w:vAlign w:val="bottom"/>
          </w:tcPr>
          <w:p>
            <w:pPr>
              <w:spacing w:after="0"/>
              <w:rPr>
                <w:sz w:val="14"/>
                <w:szCs w:val="14"/>
                <w:color w:val="auto"/>
              </w:rPr>
            </w:pPr>
          </w:p>
        </w:tc>
      </w:tr>
      <w:tr>
        <w:trPr>
          <w:trHeight w:val="167"/>
        </w:trPr>
        <w:tc>
          <w:tcPr>
            <w:tcW w:w="7120" w:type="dxa"/>
            <w:vAlign w:val="bottom"/>
          </w:tcPr>
          <w:p>
            <w:pPr>
              <w:spacing w:after="0"/>
              <w:rPr>
                <w:sz w:val="14"/>
                <w:szCs w:val="14"/>
                <w:color w:val="auto"/>
              </w:rPr>
            </w:pPr>
          </w:p>
        </w:tc>
        <w:tc>
          <w:tcPr>
            <w:tcW w:w="80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2018</w:t>
            </w:r>
          </w:p>
        </w:tc>
        <w:tc>
          <w:tcPr>
            <w:tcW w:w="4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280" w:type="dxa"/>
            <w:vAlign w:val="bottom"/>
            <w:tcBorders>
              <w:bottom w:val="single" w:sz="8" w:color="auto"/>
            </w:tcBorders>
          </w:tcPr>
          <w:p>
            <w:pPr>
              <w:spacing w:after="0"/>
              <w:rPr>
                <w:sz w:val="14"/>
                <w:szCs w:val="14"/>
                <w:color w:val="auto"/>
              </w:rPr>
            </w:pPr>
          </w:p>
        </w:tc>
        <w:tc>
          <w:tcPr>
            <w:tcW w:w="1000" w:type="dxa"/>
            <w:vAlign w:val="bottom"/>
            <w:tcBorders>
              <w:bottom w:val="single" w:sz="8" w:color="auto"/>
            </w:tcBorders>
          </w:tcPr>
          <w:p>
            <w:pPr>
              <w:jc w:val="right"/>
              <w:ind w:right="456"/>
              <w:spacing w:after="0"/>
              <w:rPr>
                <w:sz w:val="20"/>
                <w:szCs w:val="20"/>
                <w:color w:val="auto"/>
              </w:rPr>
            </w:pPr>
            <w:r>
              <w:rPr>
                <w:rFonts w:ascii="Arial" w:cs="Arial" w:eastAsia="Arial" w:hAnsi="Arial"/>
                <w:sz w:val="13"/>
                <w:szCs w:val="13"/>
                <w:b w:val="1"/>
                <w:bCs w:val="1"/>
                <w:color w:val="auto"/>
              </w:rPr>
              <w:t>2017</w:t>
            </w:r>
          </w:p>
        </w:tc>
        <w:tc>
          <w:tcPr>
            <w:tcW w:w="220" w:type="dxa"/>
            <w:vAlign w:val="bottom"/>
            <w:tcBorders>
              <w:bottom w:val="single" w:sz="8" w:color="auto"/>
            </w:tcBorders>
          </w:tcPr>
          <w:p>
            <w:pPr>
              <w:spacing w:after="0"/>
              <w:rPr>
                <w:sz w:val="14"/>
                <w:szCs w:val="14"/>
                <w:color w:val="auto"/>
              </w:rPr>
            </w:pPr>
          </w:p>
        </w:tc>
        <w:tc>
          <w:tcPr>
            <w:tcW w:w="300" w:type="dxa"/>
            <w:vAlign w:val="bottom"/>
            <w:tcBorders>
              <w:bottom w:val="single" w:sz="8" w:color="auto"/>
            </w:tcBorders>
          </w:tcPr>
          <w:p>
            <w:pPr>
              <w:spacing w:after="0"/>
              <w:rPr>
                <w:sz w:val="14"/>
                <w:szCs w:val="14"/>
                <w:color w:val="auto"/>
              </w:rPr>
            </w:pPr>
          </w:p>
        </w:tc>
        <w:tc>
          <w:tcPr>
            <w:tcW w:w="940" w:type="dxa"/>
            <w:vAlign w:val="bottom"/>
            <w:tcBorders>
              <w:bottom w:val="single" w:sz="8" w:color="auto"/>
            </w:tcBorders>
          </w:tcPr>
          <w:p>
            <w:pPr>
              <w:jc w:val="right"/>
              <w:ind w:right="436"/>
              <w:spacing w:after="0"/>
              <w:rPr>
                <w:sz w:val="20"/>
                <w:szCs w:val="20"/>
                <w:color w:val="auto"/>
              </w:rPr>
            </w:pPr>
            <w:r>
              <w:rPr>
                <w:rFonts w:ascii="Arial" w:cs="Arial" w:eastAsia="Arial" w:hAnsi="Arial"/>
                <w:sz w:val="13"/>
                <w:szCs w:val="13"/>
                <w:b w:val="1"/>
                <w:bCs w:val="1"/>
                <w:color w:val="auto"/>
              </w:rPr>
              <w:t>2016</w:t>
            </w:r>
          </w:p>
        </w:tc>
        <w:tc>
          <w:tcPr>
            <w:tcW w:w="120" w:type="dxa"/>
            <w:vAlign w:val="bottom"/>
          </w:tcPr>
          <w:p>
            <w:pPr>
              <w:spacing w:after="0"/>
              <w:rPr>
                <w:sz w:val="14"/>
                <w:szCs w:val="14"/>
                <w:color w:val="auto"/>
              </w:rPr>
            </w:pPr>
          </w:p>
        </w:tc>
      </w:tr>
      <w:tr>
        <w:trPr>
          <w:trHeight w:val="144"/>
        </w:trPr>
        <w:tc>
          <w:tcPr>
            <w:tcW w:w="71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500" w:type="dxa"/>
            <w:vAlign w:val="bottom"/>
            <w:gridSpan w:val="6"/>
          </w:tcPr>
          <w:p>
            <w:pPr>
              <w:jc w:val="right"/>
              <w:ind w:right="152"/>
              <w:spacing w:after="0" w:line="144" w:lineRule="exact"/>
              <w:rPr>
                <w:sz w:val="20"/>
                <w:szCs w:val="20"/>
                <w:color w:val="auto"/>
              </w:rPr>
            </w:pPr>
            <w:r>
              <w:rPr>
                <w:rFonts w:ascii="Arial" w:cs="Arial" w:eastAsia="Arial" w:hAnsi="Arial"/>
                <w:sz w:val="13"/>
                <w:szCs w:val="13"/>
                <w:b w:val="1"/>
                <w:bCs w:val="1"/>
                <w:color w:val="auto"/>
                <w:w w:val="99"/>
              </w:rPr>
              <w:t>(in $ thousands, except percentages)</w:t>
            </w:r>
          </w:p>
        </w:tc>
        <w:tc>
          <w:tcPr>
            <w:tcW w:w="94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COMMERCIAL:</w:t>
            </w:r>
          </w:p>
        </w:tc>
        <w:tc>
          <w:tcPr>
            <w:tcW w:w="800" w:type="dxa"/>
            <w:vAlign w:val="bottom"/>
            <w:shd w:val="clear" w:color="auto" w:fill="CCEEFF"/>
          </w:tcPr>
          <w:p>
            <w:pPr>
              <w:spacing w:after="0"/>
              <w:rPr>
                <w:sz w:val="13"/>
                <w:szCs w:val="13"/>
                <w:color w:val="auto"/>
              </w:rPr>
            </w:pPr>
          </w:p>
        </w:tc>
        <w:tc>
          <w:tcPr>
            <w:tcW w:w="4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10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r>
      <w:tr>
        <w:trPr>
          <w:trHeight w:val="154"/>
        </w:trPr>
        <w:tc>
          <w:tcPr>
            <w:tcW w:w="7120" w:type="dxa"/>
            <w:vAlign w:val="bottom"/>
          </w:tcPr>
          <w:p>
            <w:pPr>
              <w:ind w:left="120"/>
              <w:spacing w:after="0"/>
              <w:rPr>
                <w:sz w:val="20"/>
                <w:szCs w:val="20"/>
                <w:color w:val="auto"/>
              </w:rPr>
            </w:pPr>
            <w:r>
              <w:rPr>
                <w:rFonts w:ascii="Arial" w:cs="Arial" w:eastAsia="Arial" w:hAnsi="Arial"/>
                <w:sz w:val="13"/>
                <w:szCs w:val="13"/>
                <w:color w:val="auto"/>
              </w:rPr>
              <w:t>Net interest income</w:t>
            </w:r>
          </w:p>
        </w:tc>
        <w:tc>
          <w:tcPr>
            <w:tcW w:w="800" w:type="dxa"/>
            <w:vAlign w:val="bottom"/>
          </w:tcPr>
          <w:p>
            <w:pPr>
              <w:jc w:val="right"/>
              <w:ind w:right="690"/>
              <w:spacing w:after="0"/>
              <w:rPr>
                <w:sz w:val="20"/>
                <w:szCs w:val="20"/>
                <w:color w:val="auto"/>
              </w:rPr>
            </w:pPr>
            <w:r>
              <w:rPr>
                <w:rFonts w:ascii="Arial" w:cs="Arial" w:eastAsia="Arial" w:hAnsi="Arial"/>
                <w:sz w:val="10"/>
                <w:szCs w:val="10"/>
                <w:color w:val="auto"/>
                <w:w w:val="71"/>
              </w:rPr>
              <w:t>$</w:t>
            </w: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w w:val="97"/>
              </w:rPr>
              <w:t>109,781</w:t>
            </w:r>
          </w:p>
        </w:tc>
        <w:tc>
          <w:tcPr>
            <w:tcW w:w="280" w:type="dxa"/>
            <w:vAlign w:val="bottom"/>
          </w:tcPr>
          <w:p>
            <w:pPr>
              <w:jc w:val="right"/>
              <w:ind w:right="172"/>
              <w:spacing w:after="0"/>
              <w:rPr>
                <w:sz w:val="20"/>
                <w:szCs w:val="20"/>
                <w:color w:val="auto"/>
              </w:rPr>
            </w:pPr>
            <w:r>
              <w:rPr>
                <w:rFonts w:ascii="Arial" w:cs="Arial" w:eastAsia="Arial" w:hAnsi="Arial"/>
                <w:sz w:val="10"/>
                <w:szCs w:val="10"/>
                <w:color w:val="auto"/>
                <w:w w:val="71"/>
              </w:rPr>
              <w:t>$</w:t>
            </w: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120,581</w:t>
            </w:r>
          </w:p>
        </w:tc>
        <w:tc>
          <w:tcPr>
            <w:tcW w:w="300" w:type="dxa"/>
            <w:vAlign w:val="bottom"/>
          </w:tcPr>
          <w:p>
            <w:pPr>
              <w:jc w:val="right"/>
              <w:ind w:right="192"/>
              <w:spacing w:after="0"/>
              <w:rPr>
                <w:sz w:val="20"/>
                <w:szCs w:val="20"/>
                <w:color w:val="auto"/>
              </w:rPr>
            </w:pPr>
            <w:r>
              <w:rPr>
                <w:rFonts w:ascii="Arial" w:cs="Arial" w:eastAsia="Arial" w:hAnsi="Arial"/>
                <w:sz w:val="10"/>
                <w:szCs w:val="10"/>
                <w:color w:val="auto"/>
                <w:w w:val="71"/>
              </w:rPr>
              <w:t>$</w:t>
            </w:r>
          </w:p>
        </w:tc>
        <w:tc>
          <w:tcPr>
            <w:tcW w:w="1060" w:type="dxa"/>
            <w:vAlign w:val="bottom"/>
            <w:gridSpan w:val="2"/>
          </w:tcPr>
          <w:p>
            <w:pPr>
              <w:jc w:val="right"/>
              <w:ind w:right="120"/>
              <w:spacing w:after="0"/>
              <w:rPr>
                <w:sz w:val="20"/>
                <w:szCs w:val="20"/>
                <w:color w:val="auto"/>
              </w:rPr>
            </w:pPr>
            <w:r>
              <w:rPr>
                <w:rFonts w:ascii="Arial" w:cs="Arial" w:eastAsia="Arial" w:hAnsi="Arial"/>
                <w:sz w:val="13"/>
                <w:szCs w:val="13"/>
                <w:color w:val="auto"/>
              </w:rPr>
              <w:t>140,375</w:t>
            </w:r>
          </w:p>
        </w:tc>
      </w:tr>
      <w:tr>
        <w:trPr>
          <w:trHeight w:val="164"/>
        </w:trPr>
        <w:tc>
          <w:tcPr>
            <w:tcW w:w="71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Other income (expense)</w:t>
            </w:r>
          </w:p>
        </w:tc>
        <w:tc>
          <w:tcPr>
            <w:tcW w:w="80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18,002</w:t>
            </w:r>
          </w:p>
        </w:tc>
        <w:tc>
          <w:tcPr>
            <w:tcW w:w="280" w:type="dxa"/>
            <w:vAlign w:val="bottom"/>
            <w:shd w:val="clear" w:color="auto" w:fill="CCEEFF"/>
          </w:tcPr>
          <w:p>
            <w:pPr>
              <w:spacing w:after="0"/>
              <w:rPr>
                <w:sz w:val="14"/>
                <w:szCs w:val="14"/>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18,926</w:t>
            </w:r>
          </w:p>
        </w:tc>
        <w:tc>
          <w:tcPr>
            <w:tcW w:w="300" w:type="dxa"/>
            <w:vAlign w:val="bottom"/>
            <w:shd w:val="clear" w:color="auto" w:fill="CCEEFF"/>
          </w:tcPr>
          <w:p>
            <w:pPr>
              <w:spacing w:after="0"/>
              <w:rPr>
                <w:sz w:val="14"/>
                <w:szCs w:val="14"/>
                <w:color w:val="auto"/>
              </w:rPr>
            </w:pP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16,333</w:t>
            </w:r>
          </w:p>
        </w:tc>
      </w:tr>
      <w:tr>
        <w:trPr>
          <w:trHeight w:val="144"/>
        </w:trPr>
        <w:tc>
          <w:tcPr>
            <w:tcW w:w="7120" w:type="dxa"/>
            <w:vAlign w:val="bottom"/>
          </w:tcPr>
          <w:p>
            <w:pPr>
              <w:ind w:left="120"/>
              <w:spacing w:after="0" w:line="143" w:lineRule="exact"/>
              <w:rPr>
                <w:sz w:val="20"/>
                <w:szCs w:val="20"/>
                <w:color w:val="auto"/>
              </w:rPr>
            </w:pPr>
            <w:r>
              <w:rPr>
                <w:rFonts w:ascii="Arial" w:cs="Arial" w:eastAsia="Arial" w:hAnsi="Arial"/>
                <w:sz w:val="13"/>
                <w:szCs w:val="13"/>
                <w:color w:val="auto"/>
              </w:rPr>
              <w:t>Total revenues</w:t>
            </w:r>
          </w:p>
        </w:tc>
        <w:tc>
          <w:tcPr>
            <w:tcW w:w="800" w:type="dxa"/>
            <w:vAlign w:val="bottom"/>
            <w:tcBorders>
              <w:top w:val="single" w:sz="8" w:color="auto"/>
            </w:tcBorders>
          </w:tcPr>
          <w:p>
            <w:pPr>
              <w:spacing w:after="0"/>
              <w:rPr>
                <w:sz w:val="12"/>
                <w:szCs w:val="12"/>
                <w:color w:val="auto"/>
              </w:rPr>
            </w:pPr>
          </w:p>
        </w:tc>
        <w:tc>
          <w:tcPr>
            <w:tcW w:w="48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w w:val="97"/>
              </w:rPr>
              <w:t>127,783</w:t>
            </w:r>
          </w:p>
        </w:tc>
        <w:tc>
          <w:tcPr>
            <w:tcW w:w="220" w:type="dxa"/>
            <w:vAlign w:val="bottom"/>
          </w:tcPr>
          <w:p>
            <w:pPr>
              <w:spacing w:after="0"/>
              <w:rPr>
                <w:sz w:val="12"/>
                <w:szCs w:val="12"/>
                <w:color w:val="auto"/>
              </w:rPr>
            </w:pPr>
          </w:p>
        </w:tc>
        <w:tc>
          <w:tcPr>
            <w:tcW w:w="280" w:type="dxa"/>
            <w:vAlign w:val="bottom"/>
            <w:tcBorders>
              <w:top w:val="single" w:sz="8" w:color="auto"/>
            </w:tcBorders>
          </w:tcPr>
          <w:p>
            <w:pPr>
              <w:spacing w:after="0"/>
              <w:rPr>
                <w:sz w:val="12"/>
                <w:szCs w:val="12"/>
                <w:color w:val="auto"/>
              </w:rPr>
            </w:pPr>
          </w:p>
        </w:tc>
        <w:tc>
          <w:tcPr>
            <w:tcW w:w="10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139,507</w:t>
            </w:r>
          </w:p>
        </w:tc>
        <w:tc>
          <w:tcPr>
            <w:tcW w:w="220" w:type="dxa"/>
            <w:vAlign w:val="bottom"/>
          </w:tcPr>
          <w:p>
            <w:pPr>
              <w:spacing w:after="0"/>
              <w:rPr>
                <w:sz w:val="12"/>
                <w:szCs w:val="12"/>
                <w:color w:val="auto"/>
              </w:rPr>
            </w:pPr>
          </w:p>
        </w:tc>
        <w:tc>
          <w:tcPr>
            <w:tcW w:w="300" w:type="dxa"/>
            <w:vAlign w:val="bottom"/>
            <w:tcBorders>
              <w:top w:val="single" w:sz="8" w:color="auto"/>
            </w:tcBorders>
          </w:tcPr>
          <w:p>
            <w:pPr>
              <w:spacing w:after="0"/>
              <w:rPr>
                <w:sz w:val="12"/>
                <w:szCs w:val="12"/>
                <w:color w:val="auto"/>
              </w:rPr>
            </w:pPr>
          </w:p>
        </w:tc>
        <w:tc>
          <w:tcPr>
            <w:tcW w:w="94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156,708</w:t>
            </w:r>
          </w:p>
        </w:tc>
        <w:tc>
          <w:tcPr>
            <w:tcW w:w="120" w:type="dxa"/>
            <w:vAlign w:val="bottom"/>
          </w:tcPr>
          <w:p>
            <w:pPr>
              <w:spacing w:after="0"/>
              <w:rPr>
                <w:sz w:val="12"/>
                <w:szCs w:val="12"/>
                <w:color w:val="auto"/>
              </w:rPr>
            </w:pPr>
          </w:p>
        </w:tc>
      </w:tr>
      <w:tr>
        <w:trPr>
          <w:trHeight w:val="154"/>
        </w:trPr>
        <w:tc>
          <w:tcPr>
            <w:tcW w:w="71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Impairment loss on financial instruments</w:t>
            </w:r>
          </w:p>
        </w:tc>
        <w:tc>
          <w:tcPr>
            <w:tcW w:w="80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(57,621)</w:t>
            </w: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(9,928)</w:t>
            </w:r>
          </w:p>
        </w:tc>
        <w:tc>
          <w:tcPr>
            <w:tcW w:w="30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(35,112)</w:t>
            </w:r>
          </w:p>
        </w:tc>
      </w:tr>
      <w:tr>
        <w:trPr>
          <w:trHeight w:val="154"/>
        </w:trPr>
        <w:tc>
          <w:tcPr>
            <w:tcW w:w="7120" w:type="dxa"/>
            <w:vAlign w:val="bottom"/>
          </w:tcPr>
          <w:p>
            <w:pPr>
              <w:ind w:left="120"/>
              <w:spacing w:after="0"/>
              <w:rPr>
                <w:sz w:val="20"/>
                <w:szCs w:val="20"/>
                <w:color w:val="auto"/>
              </w:rPr>
            </w:pPr>
            <w:r>
              <w:rPr>
                <w:rFonts w:ascii="Arial" w:cs="Arial" w:eastAsia="Arial" w:hAnsi="Arial"/>
                <w:sz w:val="13"/>
                <w:szCs w:val="13"/>
                <w:color w:val="auto"/>
              </w:rPr>
              <w:t>Impairment loss on non-financial assets</w:t>
            </w:r>
          </w:p>
        </w:tc>
        <w:tc>
          <w:tcPr>
            <w:tcW w:w="800" w:type="dxa"/>
            <w:vAlign w:val="bottom"/>
          </w:tcPr>
          <w:p>
            <w:pPr>
              <w:spacing w:after="0"/>
              <w:rPr>
                <w:sz w:val="13"/>
                <w:szCs w:val="13"/>
                <w:color w:val="auto"/>
              </w:rPr>
            </w:pPr>
          </w:p>
        </w:tc>
        <w:tc>
          <w:tcPr>
            <w:tcW w:w="700" w:type="dxa"/>
            <w:vAlign w:val="bottom"/>
            <w:gridSpan w:val="2"/>
          </w:tcPr>
          <w:p>
            <w:pPr>
              <w:jc w:val="right"/>
              <w:ind w:right="180"/>
              <w:spacing w:after="0"/>
              <w:rPr>
                <w:sz w:val="20"/>
                <w:szCs w:val="20"/>
                <w:color w:val="auto"/>
              </w:rPr>
            </w:pPr>
            <w:r>
              <w:rPr>
                <w:rFonts w:ascii="Arial" w:cs="Arial" w:eastAsia="Arial" w:hAnsi="Arial"/>
                <w:sz w:val="13"/>
                <w:szCs w:val="13"/>
                <w:color w:val="auto"/>
              </w:rPr>
              <w:t>(5,967)</w:t>
            </w:r>
          </w:p>
        </w:tc>
        <w:tc>
          <w:tcPr>
            <w:tcW w:w="280" w:type="dxa"/>
            <w:vAlign w:val="bottom"/>
          </w:tcPr>
          <w:p>
            <w:pPr>
              <w:spacing w:after="0"/>
              <w:rPr>
                <w:sz w:val="13"/>
                <w:szCs w:val="13"/>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300" w:type="dxa"/>
            <w:vAlign w:val="bottom"/>
          </w:tcPr>
          <w:p>
            <w:pPr>
              <w:spacing w:after="0"/>
              <w:rPr>
                <w:sz w:val="13"/>
                <w:szCs w:val="13"/>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3"/>
                <w:szCs w:val="13"/>
                <w:color w:val="auto"/>
              </w:rPr>
              <w:t>0</w:t>
            </w:r>
          </w:p>
        </w:tc>
      </w:tr>
      <w:tr>
        <w:trPr>
          <w:trHeight w:val="164"/>
        </w:trPr>
        <w:tc>
          <w:tcPr>
            <w:tcW w:w="71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Operating expenses</w:t>
            </w:r>
          </w:p>
        </w:tc>
        <w:tc>
          <w:tcPr>
            <w:tcW w:w="80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(37,436)</w:t>
            </w:r>
          </w:p>
        </w:tc>
        <w:tc>
          <w:tcPr>
            <w:tcW w:w="280" w:type="dxa"/>
            <w:vAlign w:val="bottom"/>
            <w:shd w:val="clear" w:color="auto" w:fill="CCEEFF"/>
          </w:tcPr>
          <w:p>
            <w:pPr>
              <w:spacing w:after="0"/>
              <w:rPr>
                <w:sz w:val="14"/>
                <w:szCs w:val="14"/>
                <w:color w:val="auto"/>
              </w:rPr>
            </w:pPr>
          </w:p>
        </w:tc>
        <w:tc>
          <w:tcPr>
            <w:tcW w:w="12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(35,916)</w:t>
            </w:r>
          </w:p>
        </w:tc>
        <w:tc>
          <w:tcPr>
            <w:tcW w:w="300" w:type="dxa"/>
            <w:vAlign w:val="bottom"/>
            <w:shd w:val="clear" w:color="auto" w:fill="CCEEFF"/>
          </w:tcPr>
          <w:p>
            <w:pPr>
              <w:spacing w:after="0"/>
              <w:rPr>
                <w:sz w:val="14"/>
                <w:szCs w:val="14"/>
                <w:color w:val="auto"/>
              </w:rPr>
            </w:pP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(34,598)</w:t>
            </w:r>
          </w:p>
        </w:tc>
      </w:tr>
      <w:tr>
        <w:trPr>
          <w:trHeight w:val="144"/>
        </w:trPr>
        <w:tc>
          <w:tcPr>
            <w:tcW w:w="7120" w:type="dxa"/>
            <w:vAlign w:val="bottom"/>
          </w:tcPr>
          <w:p>
            <w:pPr>
              <w:ind w:left="120"/>
              <w:spacing w:after="0" w:line="144" w:lineRule="exact"/>
              <w:rPr>
                <w:sz w:val="20"/>
                <w:szCs w:val="20"/>
                <w:color w:val="auto"/>
              </w:rPr>
            </w:pPr>
            <w:r>
              <w:rPr>
                <w:rFonts w:ascii="Arial" w:cs="Arial" w:eastAsia="Arial" w:hAnsi="Arial"/>
                <w:sz w:val="13"/>
                <w:szCs w:val="13"/>
                <w:b w:val="1"/>
                <w:bCs w:val="1"/>
                <w:color w:val="auto"/>
              </w:rPr>
              <w:t>Profit for the segment</w:t>
            </w:r>
          </w:p>
        </w:tc>
        <w:tc>
          <w:tcPr>
            <w:tcW w:w="800" w:type="dxa"/>
            <w:vAlign w:val="bottom"/>
            <w:tcBorders>
              <w:top w:val="single" w:sz="8" w:color="auto"/>
            </w:tcBorders>
          </w:tcPr>
          <w:p>
            <w:pPr>
              <w:jc w:val="right"/>
              <w:ind w:right="690"/>
              <w:spacing w:after="0"/>
              <w:rPr>
                <w:sz w:val="20"/>
                <w:szCs w:val="20"/>
                <w:color w:val="auto"/>
              </w:rPr>
            </w:pPr>
            <w:r>
              <w:rPr>
                <w:rFonts w:ascii="Arial" w:cs="Arial" w:eastAsia="Arial" w:hAnsi="Arial"/>
                <w:sz w:val="10"/>
                <w:szCs w:val="10"/>
                <w:b w:val="1"/>
                <w:bCs w:val="1"/>
                <w:color w:val="auto"/>
                <w:w w:val="71"/>
              </w:rPr>
              <w:t>$</w:t>
            </w:r>
          </w:p>
        </w:tc>
        <w:tc>
          <w:tcPr>
            <w:tcW w:w="48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26,759</w:t>
            </w:r>
          </w:p>
        </w:tc>
        <w:tc>
          <w:tcPr>
            <w:tcW w:w="220" w:type="dxa"/>
            <w:vAlign w:val="bottom"/>
          </w:tcPr>
          <w:p>
            <w:pPr>
              <w:spacing w:after="0"/>
              <w:rPr>
                <w:sz w:val="12"/>
                <w:szCs w:val="12"/>
                <w:color w:val="auto"/>
              </w:rPr>
            </w:pPr>
          </w:p>
        </w:tc>
        <w:tc>
          <w:tcPr>
            <w:tcW w:w="280" w:type="dxa"/>
            <w:vAlign w:val="bottom"/>
            <w:tcBorders>
              <w:top w:val="single" w:sz="8" w:color="auto"/>
            </w:tcBorders>
          </w:tcPr>
          <w:p>
            <w:pPr>
              <w:jc w:val="right"/>
              <w:ind w:right="172"/>
              <w:spacing w:after="0"/>
              <w:rPr>
                <w:sz w:val="20"/>
                <w:szCs w:val="20"/>
                <w:color w:val="auto"/>
              </w:rPr>
            </w:pPr>
            <w:r>
              <w:rPr>
                <w:rFonts w:ascii="Arial" w:cs="Arial" w:eastAsia="Arial" w:hAnsi="Arial"/>
                <w:sz w:val="10"/>
                <w:szCs w:val="10"/>
                <w:b w:val="1"/>
                <w:bCs w:val="1"/>
                <w:color w:val="auto"/>
                <w:w w:val="71"/>
              </w:rPr>
              <w:t>$</w:t>
            </w:r>
          </w:p>
        </w:tc>
        <w:tc>
          <w:tcPr>
            <w:tcW w:w="10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93,663</w:t>
            </w:r>
          </w:p>
        </w:tc>
        <w:tc>
          <w:tcPr>
            <w:tcW w:w="220" w:type="dxa"/>
            <w:vAlign w:val="bottom"/>
          </w:tcPr>
          <w:p>
            <w:pPr>
              <w:spacing w:after="0"/>
              <w:rPr>
                <w:sz w:val="12"/>
                <w:szCs w:val="12"/>
                <w:color w:val="auto"/>
              </w:rPr>
            </w:pPr>
          </w:p>
        </w:tc>
        <w:tc>
          <w:tcPr>
            <w:tcW w:w="300" w:type="dxa"/>
            <w:vAlign w:val="bottom"/>
            <w:tcBorders>
              <w:top w:val="single" w:sz="8" w:color="auto"/>
            </w:tcBorders>
          </w:tcPr>
          <w:p>
            <w:pPr>
              <w:jc w:val="right"/>
              <w:ind w:right="192"/>
              <w:spacing w:after="0"/>
              <w:rPr>
                <w:sz w:val="20"/>
                <w:szCs w:val="20"/>
                <w:color w:val="auto"/>
              </w:rPr>
            </w:pPr>
            <w:r>
              <w:rPr>
                <w:rFonts w:ascii="Arial" w:cs="Arial" w:eastAsia="Arial" w:hAnsi="Arial"/>
                <w:sz w:val="10"/>
                <w:szCs w:val="10"/>
                <w:b w:val="1"/>
                <w:bCs w:val="1"/>
                <w:color w:val="auto"/>
                <w:w w:val="71"/>
              </w:rPr>
              <w:t>$</w:t>
            </w:r>
          </w:p>
        </w:tc>
        <w:tc>
          <w:tcPr>
            <w:tcW w:w="94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86,998</w:t>
            </w:r>
          </w:p>
        </w:tc>
        <w:tc>
          <w:tcPr>
            <w:tcW w:w="120" w:type="dxa"/>
            <w:vAlign w:val="bottom"/>
          </w:tcPr>
          <w:p>
            <w:pPr>
              <w:spacing w:after="0"/>
              <w:rPr>
                <w:sz w:val="12"/>
                <w:szCs w:val="12"/>
                <w:color w:val="auto"/>
              </w:rPr>
            </w:pPr>
          </w:p>
        </w:tc>
      </w:tr>
      <w:tr>
        <w:trPr>
          <w:trHeight w:val="154"/>
        </w:trPr>
        <w:tc>
          <w:tcPr>
            <w:tcW w:w="712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4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10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b w:val="1"/>
                <w:bCs w:val="1"/>
                <w:color w:val="auto"/>
              </w:rPr>
              <w:t>TREASURY:</w:t>
            </w:r>
          </w:p>
        </w:tc>
        <w:tc>
          <w:tcPr>
            <w:tcW w:w="800" w:type="dxa"/>
            <w:vAlign w:val="bottom"/>
          </w:tcPr>
          <w:p>
            <w:pPr>
              <w:spacing w:after="0"/>
              <w:rPr>
                <w:sz w:val="13"/>
                <w:szCs w:val="13"/>
                <w:color w:val="auto"/>
              </w:rPr>
            </w:pPr>
          </w:p>
        </w:tc>
        <w:tc>
          <w:tcPr>
            <w:tcW w:w="4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54"/>
        </w:trPr>
        <w:tc>
          <w:tcPr>
            <w:tcW w:w="71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Net interest income</w:t>
            </w:r>
          </w:p>
        </w:tc>
        <w:tc>
          <w:tcPr>
            <w:tcW w:w="800" w:type="dxa"/>
            <w:vAlign w:val="bottom"/>
            <w:shd w:val="clear" w:color="auto" w:fill="CCEEFF"/>
          </w:tcPr>
          <w:p>
            <w:pPr>
              <w:jc w:val="right"/>
              <w:ind w:right="690"/>
              <w:spacing w:after="0"/>
              <w:rPr>
                <w:sz w:val="20"/>
                <w:szCs w:val="20"/>
                <w:color w:val="auto"/>
              </w:rPr>
            </w:pPr>
            <w:r>
              <w:rPr>
                <w:rFonts w:ascii="Arial" w:cs="Arial" w:eastAsia="Arial" w:hAnsi="Arial"/>
                <w:sz w:val="10"/>
                <w:szCs w:val="10"/>
                <w:color w:val="auto"/>
                <w:w w:val="71"/>
              </w:rPr>
              <w:t>$</w:t>
            </w:r>
          </w:p>
        </w:tc>
        <w:tc>
          <w:tcPr>
            <w:tcW w:w="7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(38)</w:t>
            </w:r>
          </w:p>
        </w:tc>
        <w:tc>
          <w:tcPr>
            <w:tcW w:w="280" w:type="dxa"/>
            <w:vAlign w:val="bottom"/>
            <w:shd w:val="clear" w:color="auto" w:fill="CCEEFF"/>
          </w:tcPr>
          <w:p>
            <w:pPr>
              <w:jc w:val="right"/>
              <w:ind w:right="172"/>
              <w:spacing w:after="0"/>
              <w:rPr>
                <w:sz w:val="20"/>
                <w:szCs w:val="20"/>
                <w:color w:val="auto"/>
              </w:rPr>
            </w:pPr>
            <w:r>
              <w:rPr>
                <w:rFonts w:ascii="Arial" w:cs="Arial" w:eastAsia="Arial" w:hAnsi="Arial"/>
                <w:sz w:val="10"/>
                <w:szCs w:val="10"/>
                <w:color w:val="auto"/>
                <w:w w:val="71"/>
              </w:rPr>
              <w:t>$</w:t>
            </w:r>
          </w:p>
        </w:tc>
        <w:tc>
          <w:tcPr>
            <w:tcW w:w="12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(766)</w:t>
            </w:r>
          </w:p>
        </w:tc>
        <w:tc>
          <w:tcPr>
            <w:tcW w:w="300" w:type="dxa"/>
            <w:vAlign w:val="bottom"/>
            <w:shd w:val="clear" w:color="auto" w:fill="CCEEFF"/>
          </w:tcPr>
          <w:p>
            <w:pPr>
              <w:jc w:val="right"/>
              <w:ind w:right="192"/>
              <w:spacing w:after="0"/>
              <w:rPr>
                <w:sz w:val="20"/>
                <w:szCs w:val="20"/>
                <w:color w:val="auto"/>
              </w:rPr>
            </w:pPr>
            <w:r>
              <w:rPr>
                <w:rFonts w:ascii="Arial" w:cs="Arial" w:eastAsia="Arial" w:hAnsi="Arial"/>
                <w:sz w:val="10"/>
                <w:szCs w:val="10"/>
                <w:color w:val="auto"/>
                <w:w w:val="71"/>
              </w:rPr>
              <w:t>$</w:t>
            </w: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14,834</w:t>
            </w:r>
          </w:p>
        </w:tc>
      </w:tr>
      <w:tr>
        <w:trPr>
          <w:trHeight w:val="164"/>
        </w:trPr>
        <w:tc>
          <w:tcPr>
            <w:tcW w:w="7120" w:type="dxa"/>
            <w:vAlign w:val="bottom"/>
          </w:tcPr>
          <w:p>
            <w:pPr>
              <w:ind w:left="120"/>
              <w:spacing w:after="0"/>
              <w:rPr>
                <w:sz w:val="20"/>
                <w:szCs w:val="20"/>
                <w:color w:val="auto"/>
              </w:rPr>
            </w:pPr>
            <w:r>
              <w:rPr>
                <w:rFonts w:ascii="Arial" w:cs="Arial" w:eastAsia="Arial" w:hAnsi="Arial"/>
                <w:sz w:val="13"/>
                <w:szCs w:val="13"/>
                <w:color w:val="auto"/>
              </w:rPr>
              <w:t>Other income (expense)</w:t>
            </w:r>
          </w:p>
        </w:tc>
        <w:tc>
          <w:tcPr>
            <w:tcW w:w="800" w:type="dxa"/>
            <w:vAlign w:val="bottom"/>
          </w:tcPr>
          <w:p>
            <w:pPr>
              <w:spacing w:after="0"/>
              <w:rPr>
                <w:sz w:val="14"/>
                <w:szCs w:val="14"/>
                <w:color w:val="auto"/>
              </w:rPr>
            </w:pPr>
          </w:p>
        </w:tc>
        <w:tc>
          <w:tcPr>
            <w:tcW w:w="700" w:type="dxa"/>
            <w:vAlign w:val="bottom"/>
            <w:gridSpan w:val="2"/>
          </w:tcPr>
          <w:p>
            <w:pPr>
              <w:jc w:val="right"/>
              <w:ind w:right="180"/>
              <w:spacing w:after="0"/>
              <w:rPr>
                <w:sz w:val="20"/>
                <w:szCs w:val="20"/>
                <w:color w:val="auto"/>
              </w:rPr>
            </w:pPr>
            <w:r>
              <w:rPr>
                <w:rFonts w:ascii="Arial" w:cs="Arial" w:eastAsia="Arial" w:hAnsi="Arial"/>
                <w:sz w:val="13"/>
                <w:szCs w:val="13"/>
                <w:color w:val="auto"/>
              </w:rPr>
              <w:t>(156)</w:t>
            </w:r>
          </w:p>
        </w:tc>
        <w:tc>
          <w:tcPr>
            <w:tcW w:w="280" w:type="dxa"/>
            <w:vAlign w:val="bottom"/>
          </w:tcPr>
          <w:p>
            <w:pPr>
              <w:spacing w:after="0"/>
              <w:rPr>
                <w:sz w:val="14"/>
                <w:szCs w:val="14"/>
                <w:color w:val="auto"/>
              </w:rPr>
            </w:pPr>
          </w:p>
        </w:tc>
        <w:tc>
          <w:tcPr>
            <w:tcW w:w="1220" w:type="dxa"/>
            <w:vAlign w:val="bottom"/>
            <w:gridSpan w:val="2"/>
          </w:tcPr>
          <w:p>
            <w:pPr>
              <w:jc w:val="right"/>
              <w:ind w:right="180"/>
              <w:spacing w:after="0"/>
              <w:rPr>
                <w:sz w:val="20"/>
                <w:szCs w:val="20"/>
                <w:color w:val="auto"/>
              </w:rPr>
            </w:pPr>
            <w:r>
              <w:rPr>
                <w:rFonts w:ascii="Arial" w:cs="Arial" w:eastAsia="Arial" w:hAnsi="Arial"/>
                <w:sz w:val="13"/>
                <w:szCs w:val="13"/>
                <w:color w:val="auto"/>
              </w:rPr>
              <w:t>(428)</w:t>
            </w:r>
          </w:p>
        </w:tc>
        <w:tc>
          <w:tcPr>
            <w:tcW w:w="300" w:type="dxa"/>
            <w:vAlign w:val="bottom"/>
          </w:tcPr>
          <w:p>
            <w:pPr>
              <w:spacing w:after="0"/>
              <w:rPr>
                <w:sz w:val="14"/>
                <w:szCs w:val="14"/>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3"/>
                <w:szCs w:val="13"/>
                <w:color w:val="auto"/>
              </w:rPr>
              <w:t>(3,568)</w:t>
            </w:r>
          </w:p>
        </w:tc>
      </w:tr>
      <w:tr>
        <w:trPr>
          <w:trHeight w:val="144"/>
        </w:trPr>
        <w:tc>
          <w:tcPr>
            <w:tcW w:w="7120" w:type="dxa"/>
            <w:vAlign w:val="bottom"/>
            <w:tcBorders>
              <w:top w:val="single" w:sz="8" w:color="CCEEFF"/>
            </w:tcBorders>
            <w:shd w:val="clear" w:color="auto" w:fill="CCEEFF"/>
          </w:tcPr>
          <w:p>
            <w:pPr>
              <w:ind w:left="120"/>
              <w:spacing w:after="0" w:line="143" w:lineRule="exact"/>
              <w:rPr>
                <w:sz w:val="20"/>
                <w:szCs w:val="20"/>
                <w:color w:val="auto"/>
              </w:rPr>
            </w:pPr>
            <w:r>
              <w:rPr>
                <w:rFonts w:ascii="Arial" w:cs="Arial" w:eastAsia="Arial" w:hAnsi="Arial"/>
                <w:sz w:val="13"/>
                <w:szCs w:val="13"/>
                <w:color w:val="auto"/>
              </w:rPr>
              <w:t>Total revenues</w:t>
            </w:r>
          </w:p>
        </w:tc>
        <w:tc>
          <w:tcPr>
            <w:tcW w:w="800" w:type="dxa"/>
            <w:vAlign w:val="bottom"/>
            <w:tcBorders>
              <w:top w:val="single" w:sz="8" w:color="auto"/>
            </w:tcBorders>
            <w:shd w:val="clear" w:color="auto" w:fill="CCEEFF"/>
          </w:tcPr>
          <w:p>
            <w:pPr>
              <w:spacing w:after="0"/>
              <w:rPr>
                <w:sz w:val="12"/>
                <w:szCs w:val="12"/>
                <w:color w:val="auto"/>
              </w:rPr>
            </w:pPr>
          </w:p>
        </w:tc>
        <w:tc>
          <w:tcPr>
            <w:tcW w:w="4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(194)</w:t>
            </w:r>
          </w:p>
        </w:tc>
        <w:tc>
          <w:tcPr>
            <w:tcW w:w="22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(1,194)</w:t>
            </w:r>
          </w:p>
        </w:tc>
        <w:tc>
          <w:tcPr>
            <w:tcW w:w="220" w:type="dxa"/>
            <w:vAlign w:val="bottom"/>
            <w:tcBorders>
              <w:top w:val="single" w:sz="8" w:color="CCEEFF"/>
            </w:tcBorders>
            <w:shd w:val="clear" w:color="auto" w:fill="CCEEFF"/>
          </w:tcPr>
          <w:p>
            <w:pPr>
              <w:spacing w:after="0"/>
              <w:rPr>
                <w:sz w:val="12"/>
                <w:szCs w:val="12"/>
                <w:color w:val="auto"/>
              </w:rPr>
            </w:pPr>
          </w:p>
        </w:tc>
        <w:tc>
          <w:tcPr>
            <w:tcW w:w="300" w:type="dxa"/>
            <w:vAlign w:val="bottom"/>
            <w:tcBorders>
              <w:top w:val="single" w:sz="8" w:color="auto"/>
            </w:tcBorders>
            <w:shd w:val="clear" w:color="auto" w:fill="CCEEFF"/>
          </w:tcPr>
          <w:p>
            <w:pPr>
              <w:spacing w:after="0"/>
              <w:rPr>
                <w:sz w:val="12"/>
                <w:szCs w:val="12"/>
                <w:color w:val="auto"/>
              </w:rPr>
            </w:pPr>
          </w:p>
        </w:tc>
        <w:tc>
          <w:tcPr>
            <w:tcW w:w="94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11,266</w:t>
            </w:r>
          </w:p>
        </w:tc>
        <w:tc>
          <w:tcPr>
            <w:tcW w:w="120" w:type="dxa"/>
            <w:vAlign w:val="bottom"/>
            <w:tcBorders>
              <w:top w:val="single" w:sz="8" w:color="CCEEFF"/>
            </w:tcBorders>
            <w:shd w:val="clear" w:color="auto" w:fill="CCEEFF"/>
          </w:tcPr>
          <w:p>
            <w:pPr>
              <w:spacing w:after="0"/>
              <w:rPr>
                <w:sz w:val="12"/>
                <w:szCs w:val="12"/>
                <w:color w:val="auto"/>
              </w:rPr>
            </w:pPr>
          </w:p>
        </w:tc>
      </w:tr>
      <w:tr>
        <w:trPr>
          <w:trHeight w:val="154"/>
        </w:trPr>
        <w:tc>
          <w:tcPr>
            <w:tcW w:w="7120" w:type="dxa"/>
            <w:vAlign w:val="bottom"/>
          </w:tcPr>
          <w:p>
            <w:pPr>
              <w:ind w:left="120"/>
              <w:spacing w:after="0"/>
              <w:rPr>
                <w:sz w:val="20"/>
                <w:szCs w:val="20"/>
                <w:color w:val="auto"/>
              </w:rPr>
            </w:pPr>
            <w:r>
              <w:rPr>
                <w:rFonts w:ascii="Arial" w:cs="Arial" w:eastAsia="Arial" w:hAnsi="Arial"/>
                <w:sz w:val="13"/>
                <w:szCs w:val="13"/>
                <w:color w:val="auto"/>
              </w:rPr>
              <w:t>Recovery (impairment loss) on financial instruments</w:t>
            </w:r>
          </w:p>
        </w:tc>
        <w:tc>
          <w:tcPr>
            <w:tcW w:w="800" w:type="dxa"/>
            <w:vAlign w:val="bottom"/>
          </w:tcPr>
          <w:p>
            <w:pPr>
              <w:spacing w:after="0"/>
              <w:rPr>
                <w:sz w:val="13"/>
                <w:szCs w:val="13"/>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106</w:t>
            </w:r>
          </w:p>
        </w:tc>
        <w:tc>
          <w:tcPr>
            <w:tcW w:w="280" w:type="dxa"/>
            <w:vAlign w:val="bottom"/>
          </w:tcPr>
          <w:p>
            <w:pPr>
              <w:spacing w:after="0"/>
              <w:rPr>
                <w:sz w:val="13"/>
                <w:szCs w:val="13"/>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489</w:t>
            </w:r>
          </w:p>
        </w:tc>
        <w:tc>
          <w:tcPr>
            <w:tcW w:w="300" w:type="dxa"/>
            <w:vAlign w:val="bottom"/>
          </w:tcPr>
          <w:p>
            <w:pPr>
              <w:spacing w:after="0"/>
              <w:rPr>
                <w:sz w:val="13"/>
                <w:szCs w:val="13"/>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3"/>
                <w:szCs w:val="13"/>
                <w:color w:val="auto"/>
              </w:rPr>
              <w:t>(3)</w:t>
            </w:r>
          </w:p>
        </w:tc>
      </w:tr>
      <w:tr>
        <w:trPr>
          <w:trHeight w:val="164"/>
        </w:trPr>
        <w:tc>
          <w:tcPr>
            <w:tcW w:w="71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Operating expenses</w:t>
            </w:r>
          </w:p>
        </w:tc>
        <w:tc>
          <w:tcPr>
            <w:tcW w:w="80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(11,482)</w:t>
            </w:r>
          </w:p>
        </w:tc>
        <w:tc>
          <w:tcPr>
            <w:tcW w:w="280" w:type="dxa"/>
            <w:vAlign w:val="bottom"/>
            <w:shd w:val="clear" w:color="auto" w:fill="CCEEFF"/>
          </w:tcPr>
          <w:p>
            <w:pPr>
              <w:spacing w:after="0"/>
              <w:rPr>
                <w:sz w:val="14"/>
                <w:szCs w:val="14"/>
                <w:color w:val="auto"/>
              </w:rPr>
            </w:pPr>
          </w:p>
        </w:tc>
        <w:tc>
          <w:tcPr>
            <w:tcW w:w="12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(10,959)</w:t>
            </w:r>
          </w:p>
        </w:tc>
        <w:tc>
          <w:tcPr>
            <w:tcW w:w="300" w:type="dxa"/>
            <w:vAlign w:val="bottom"/>
            <w:shd w:val="clear" w:color="auto" w:fill="CCEEFF"/>
          </w:tcPr>
          <w:p>
            <w:pPr>
              <w:spacing w:after="0"/>
              <w:rPr>
                <w:sz w:val="14"/>
                <w:szCs w:val="14"/>
                <w:color w:val="auto"/>
              </w:rPr>
            </w:pP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(11,216)</w:t>
            </w:r>
          </w:p>
        </w:tc>
      </w:tr>
      <w:tr>
        <w:trPr>
          <w:trHeight w:val="144"/>
        </w:trPr>
        <w:tc>
          <w:tcPr>
            <w:tcW w:w="7120" w:type="dxa"/>
            <w:vAlign w:val="bottom"/>
          </w:tcPr>
          <w:p>
            <w:pPr>
              <w:ind w:left="120"/>
              <w:spacing w:after="0" w:line="144" w:lineRule="exact"/>
              <w:rPr>
                <w:sz w:val="20"/>
                <w:szCs w:val="20"/>
                <w:color w:val="auto"/>
              </w:rPr>
            </w:pPr>
            <w:r>
              <w:rPr>
                <w:rFonts w:ascii="Arial" w:cs="Arial" w:eastAsia="Arial" w:hAnsi="Arial"/>
                <w:sz w:val="13"/>
                <w:szCs w:val="13"/>
                <w:b w:val="1"/>
                <w:bCs w:val="1"/>
                <w:color w:val="auto"/>
              </w:rPr>
              <w:t>(Loss) profit for the segment</w:t>
            </w:r>
          </w:p>
        </w:tc>
        <w:tc>
          <w:tcPr>
            <w:tcW w:w="800" w:type="dxa"/>
            <w:vAlign w:val="bottom"/>
            <w:tcBorders>
              <w:top w:val="single" w:sz="8" w:color="auto"/>
            </w:tcBorders>
          </w:tcPr>
          <w:p>
            <w:pPr>
              <w:jc w:val="right"/>
              <w:ind w:right="690"/>
              <w:spacing w:after="0"/>
              <w:rPr>
                <w:sz w:val="20"/>
                <w:szCs w:val="20"/>
                <w:color w:val="auto"/>
              </w:rPr>
            </w:pPr>
            <w:r>
              <w:rPr>
                <w:rFonts w:ascii="Arial" w:cs="Arial" w:eastAsia="Arial" w:hAnsi="Arial"/>
                <w:sz w:val="10"/>
                <w:szCs w:val="10"/>
                <w:b w:val="1"/>
                <w:bCs w:val="1"/>
                <w:color w:val="auto"/>
                <w:w w:val="71"/>
              </w:rPr>
              <w:t>$</w:t>
            </w:r>
          </w:p>
        </w:tc>
        <w:tc>
          <w:tcPr>
            <w:tcW w:w="48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w w:val="94"/>
              </w:rPr>
              <w:t>(11,570)</w:t>
            </w:r>
          </w:p>
        </w:tc>
        <w:tc>
          <w:tcPr>
            <w:tcW w:w="220" w:type="dxa"/>
            <w:vAlign w:val="bottom"/>
          </w:tcPr>
          <w:p>
            <w:pPr>
              <w:spacing w:after="0"/>
              <w:rPr>
                <w:sz w:val="12"/>
                <w:szCs w:val="12"/>
                <w:color w:val="auto"/>
              </w:rPr>
            </w:pPr>
          </w:p>
        </w:tc>
        <w:tc>
          <w:tcPr>
            <w:tcW w:w="280" w:type="dxa"/>
            <w:vAlign w:val="bottom"/>
            <w:tcBorders>
              <w:top w:val="single" w:sz="8" w:color="auto"/>
            </w:tcBorders>
          </w:tcPr>
          <w:p>
            <w:pPr>
              <w:jc w:val="right"/>
              <w:ind w:right="172"/>
              <w:spacing w:after="0"/>
              <w:rPr>
                <w:sz w:val="20"/>
                <w:szCs w:val="20"/>
                <w:color w:val="auto"/>
              </w:rPr>
            </w:pPr>
            <w:r>
              <w:rPr>
                <w:rFonts w:ascii="Arial" w:cs="Arial" w:eastAsia="Arial" w:hAnsi="Arial"/>
                <w:sz w:val="10"/>
                <w:szCs w:val="10"/>
                <w:b w:val="1"/>
                <w:bCs w:val="1"/>
                <w:color w:val="auto"/>
                <w:w w:val="71"/>
              </w:rPr>
              <w:t>$</w:t>
            </w:r>
          </w:p>
        </w:tc>
        <w:tc>
          <w:tcPr>
            <w:tcW w:w="10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(11,664)</w:t>
            </w:r>
          </w:p>
        </w:tc>
        <w:tc>
          <w:tcPr>
            <w:tcW w:w="220" w:type="dxa"/>
            <w:vAlign w:val="bottom"/>
          </w:tcPr>
          <w:p>
            <w:pPr>
              <w:spacing w:after="0"/>
              <w:rPr>
                <w:sz w:val="12"/>
                <w:szCs w:val="12"/>
                <w:color w:val="auto"/>
              </w:rPr>
            </w:pPr>
          </w:p>
        </w:tc>
        <w:tc>
          <w:tcPr>
            <w:tcW w:w="300" w:type="dxa"/>
            <w:vAlign w:val="bottom"/>
            <w:tcBorders>
              <w:top w:val="single" w:sz="8" w:color="auto"/>
            </w:tcBorders>
          </w:tcPr>
          <w:p>
            <w:pPr>
              <w:jc w:val="right"/>
              <w:ind w:right="192"/>
              <w:spacing w:after="0"/>
              <w:rPr>
                <w:sz w:val="20"/>
                <w:szCs w:val="20"/>
                <w:color w:val="auto"/>
              </w:rPr>
            </w:pPr>
            <w:r>
              <w:rPr>
                <w:rFonts w:ascii="Arial" w:cs="Arial" w:eastAsia="Arial" w:hAnsi="Arial"/>
                <w:sz w:val="10"/>
                <w:szCs w:val="10"/>
                <w:b w:val="1"/>
                <w:bCs w:val="1"/>
                <w:color w:val="auto"/>
                <w:w w:val="71"/>
              </w:rPr>
              <w:t>$</w:t>
            </w:r>
          </w:p>
        </w:tc>
        <w:tc>
          <w:tcPr>
            <w:tcW w:w="94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47</w:t>
            </w:r>
          </w:p>
        </w:tc>
        <w:tc>
          <w:tcPr>
            <w:tcW w:w="120" w:type="dxa"/>
            <w:vAlign w:val="bottom"/>
          </w:tcPr>
          <w:p>
            <w:pPr>
              <w:spacing w:after="0"/>
              <w:rPr>
                <w:sz w:val="12"/>
                <w:szCs w:val="12"/>
                <w:color w:val="auto"/>
              </w:rPr>
            </w:pPr>
          </w:p>
        </w:tc>
      </w:tr>
      <w:tr>
        <w:trPr>
          <w:trHeight w:val="154"/>
        </w:trPr>
        <w:tc>
          <w:tcPr>
            <w:tcW w:w="712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4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10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b w:val="1"/>
                <w:bCs w:val="1"/>
                <w:color w:val="auto"/>
              </w:rPr>
              <w:t>TOTAL:</w:t>
            </w:r>
          </w:p>
        </w:tc>
        <w:tc>
          <w:tcPr>
            <w:tcW w:w="800" w:type="dxa"/>
            <w:vAlign w:val="bottom"/>
          </w:tcPr>
          <w:p>
            <w:pPr>
              <w:spacing w:after="0"/>
              <w:rPr>
                <w:sz w:val="13"/>
                <w:szCs w:val="13"/>
                <w:color w:val="auto"/>
              </w:rPr>
            </w:pPr>
          </w:p>
        </w:tc>
        <w:tc>
          <w:tcPr>
            <w:tcW w:w="4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54"/>
        </w:trPr>
        <w:tc>
          <w:tcPr>
            <w:tcW w:w="71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Net interest income</w:t>
            </w:r>
          </w:p>
        </w:tc>
        <w:tc>
          <w:tcPr>
            <w:tcW w:w="800" w:type="dxa"/>
            <w:vAlign w:val="bottom"/>
            <w:shd w:val="clear" w:color="auto" w:fill="CCEEFF"/>
          </w:tcPr>
          <w:p>
            <w:pPr>
              <w:jc w:val="right"/>
              <w:ind w:right="690"/>
              <w:spacing w:after="0"/>
              <w:rPr>
                <w:sz w:val="20"/>
                <w:szCs w:val="20"/>
                <w:color w:val="auto"/>
              </w:rPr>
            </w:pPr>
            <w:r>
              <w:rPr>
                <w:rFonts w:ascii="Arial" w:cs="Arial" w:eastAsia="Arial" w:hAnsi="Arial"/>
                <w:sz w:val="10"/>
                <w:szCs w:val="10"/>
                <w:color w:val="auto"/>
                <w:w w:val="71"/>
              </w:rPr>
              <w:t>$</w:t>
            </w: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w w:val="97"/>
              </w:rPr>
              <w:t>109,743</w:t>
            </w:r>
          </w:p>
        </w:tc>
        <w:tc>
          <w:tcPr>
            <w:tcW w:w="280" w:type="dxa"/>
            <w:vAlign w:val="bottom"/>
            <w:shd w:val="clear" w:color="auto" w:fill="CCEEFF"/>
          </w:tcPr>
          <w:p>
            <w:pPr>
              <w:jc w:val="right"/>
              <w:ind w:right="172"/>
              <w:spacing w:after="0"/>
              <w:rPr>
                <w:sz w:val="20"/>
                <w:szCs w:val="20"/>
                <w:color w:val="auto"/>
              </w:rPr>
            </w:pPr>
            <w:r>
              <w:rPr>
                <w:rFonts w:ascii="Arial" w:cs="Arial" w:eastAsia="Arial" w:hAnsi="Arial"/>
                <w:sz w:val="10"/>
                <w:szCs w:val="10"/>
                <w:color w:val="auto"/>
                <w:w w:val="71"/>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119,815</w:t>
            </w:r>
          </w:p>
        </w:tc>
        <w:tc>
          <w:tcPr>
            <w:tcW w:w="300" w:type="dxa"/>
            <w:vAlign w:val="bottom"/>
            <w:shd w:val="clear" w:color="auto" w:fill="CCEEFF"/>
          </w:tcPr>
          <w:p>
            <w:pPr>
              <w:jc w:val="right"/>
              <w:ind w:right="192"/>
              <w:spacing w:after="0"/>
              <w:rPr>
                <w:sz w:val="20"/>
                <w:szCs w:val="20"/>
                <w:color w:val="auto"/>
              </w:rPr>
            </w:pPr>
            <w:r>
              <w:rPr>
                <w:rFonts w:ascii="Arial" w:cs="Arial" w:eastAsia="Arial" w:hAnsi="Arial"/>
                <w:sz w:val="10"/>
                <w:szCs w:val="10"/>
                <w:color w:val="auto"/>
                <w:w w:val="71"/>
              </w:rPr>
              <w:t>$</w:t>
            </w: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155,209</w:t>
            </w:r>
          </w:p>
        </w:tc>
      </w:tr>
      <w:tr>
        <w:trPr>
          <w:trHeight w:val="163"/>
        </w:trPr>
        <w:tc>
          <w:tcPr>
            <w:tcW w:w="7120" w:type="dxa"/>
            <w:vAlign w:val="bottom"/>
          </w:tcPr>
          <w:p>
            <w:pPr>
              <w:ind w:left="120"/>
              <w:spacing w:after="0"/>
              <w:rPr>
                <w:sz w:val="20"/>
                <w:szCs w:val="20"/>
                <w:color w:val="auto"/>
              </w:rPr>
            </w:pPr>
            <w:r>
              <w:rPr>
                <w:rFonts w:ascii="Arial" w:cs="Arial" w:eastAsia="Arial" w:hAnsi="Arial"/>
                <w:sz w:val="13"/>
                <w:szCs w:val="13"/>
                <w:color w:val="auto"/>
              </w:rPr>
              <w:t>Other income (expense)</w:t>
            </w:r>
          </w:p>
        </w:tc>
        <w:tc>
          <w:tcPr>
            <w:tcW w:w="800" w:type="dxa"/>
            <w:vAlign w:val="bottom"/>
          </w:tcPr>
          <w:p>
            <w:pPr>
              <w:spacing w:after="0"/>
              <w:rPr>
                <w:sz w:val="14"/>
                <w:szCs w:val="14"/>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17,846</w:t>
            </w:r>
          </w:p>
        </w:tc>
        <w:tc>
          <w:tcPr>
            <w:tcW w:w="280" w:type="dxa"/>
            <w:vAlign w:val="bottom"/>
          </w:tcPr>
          <w:p>
            <w:pPr>
              <w:spacing w:after="0"/>
              <w:rPr>
                <w:sz w:val="14"/>
                <w:szCs w:val="14"/>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18,498</w:t>
            </w:r>
          </w:p>
        </w:tc>
        <w:tc>
          <w:tcPr>
            <w:tcW w:w="300" w:type="dxa"/>
            <w:vAlign w:val="bottom"/>
          </w:tcPr>
          <w:p>
            <w:pPr>
              <w:spacing w:after="0"/>
              <w:rPr>
                <w:sz w:val="14"/>
                <w:szCs w:val="14"/>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3"/>
                <w:szCs w:val="13"/>
                <w:color w:val="auto"/>
              </w:rPr>
              <w:t>12,765</w:t>
            </w:r>
          </w:p>
        </w:tc>
      </w:tr>
      <w:tr>
        <w:trPr>
          <w:trHeight w:val="144"/>
        </w:trPr>
        <w:tc>
          <w:tcPr>
            <w:tcW w:w="7120" w:type="dxa"/>
            <w:vAlign w:val="bottom"/>
            <w:tcBorders>
              <w:top w:val="single" w:sz="8" w:color="CCEEFF"/>
            </w:tcBorders>
            <w:shd w:val="clear" w:color="auto" w:fill="CCEEFF"/>
          </w:tcPr>
          <w:p>
            <w:pPr>
              <w:ind w:left="120"/>
              <w:spacing w:after="0" w:line="144" w:lineRule="exact"/>
              <w:rPr>
                <w:sz w:val="20"/>
                <w:szCs w:val="20"/>
                <w:color w:val="auto"/>
              </w:rPr>
            </w:pPr>
            <w:r>
              <w:rPr>
                <w:rFonts w:ascii="Arial" w:cs="Arial" w:eastAsia="Arial" w:hAnsi="Arial"/>
                <w:sz w:val="13"/>
                <w:szCs w:val="13"/>
                <w:color w:val="auto"/>
              </w:rPr>
              <w:t>Total revenues</w:t>
            </w:r>
          </w:p>
        </w:tc>
        <w:tc>
          <w:tcPr>
            <w:tcW w:w="800" w:type="dxa"/>
            <w:vAlign w:val="bottom"/>
            <w:tcBorders>
              <w:top w:val="single" w:sz="8" w:color="auto"/>
            </w:tcBorders>
            <w:shd w:val="clear" w:color="auto" w:fill="CCEEFF"/>
          </w:tcPr>
          <w:p>
            <w:pPr>
              <w:spacing w:after="0"/>
              <w:rPr>
                <w:sz w:val="12"/>
                <w:szCs w:val="12"/>
                <w:color w:val="auto"/>
              </w:rPr>
            </w:pPr>
          </w:p>
        </w:tc>
        <w:tc>
          <w:tcPr>
            <w:tcW w:w="4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w w:val="97"/>
              </w:rPr>
              <w:t>127,589</w:t>
            </w:r>
          </w:p>
        </w:tc>
        <w:tc>
          <w:tcPr>
            <w:tcW w:w="22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138,313</w:t>
            </w:r>
          </w:p>
        </w:tc>
        <w:tc>
          <w:tcPr>
            <w:tcW w:w="220" w:type="dxa"/>
            <w:vAlign w:val="bottom"/>
            <w:tcBorders>
              <w:top w:val="single" w:sz="8" w:color="CCEEFF"/>
            </w:tcBorders>
            <w:shd w:val="clear" w:color="auto" w:fill="CCEEFF"/>
          </w:tcPr>
          <w:p>
            <w:pPr>
              <w:spacing w:after="0"/>
              <w:rPr>
                <w:sz w:val="12"/>
                <w:szCs w:val="12"/>
                <w:color w:val="auto"/>
              </w:rPr>
            </w:pPr>
          </w:p>
        </w:tc>
        <w:tc>
          <w:tcPr>
            <w:tcW w:w="300" w:type="dxa"/>
            <w:vAlign w:val="bottom"/>
            <w:tcBorders>
              <w:top w:val="single" w:sz="8" w:color="auto"/>
            </w:tcBorders>
            <w:shd w:val="clear" w:color="auto" w:fill="CCEEFF"/>
          </w:tcPr>
          <w:p>
            <w:pPr>
              <w:spacing w:after="0"/>
              <w:rPr>
                <w:sz w:val="12"/>
                <w:szCs w:val="12"/>
                <w:color w:val="auto"/>
              </w:rPr>
            </w:pPr>
          </w:p>
        </w:tc>
        <w:tc>
          <w:tcPr>
            <w:tcW w:w="94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167,974</w:t>
            </w:r>
          </w:p>
        </w:tc>
        <w:tc>
          <w:tcPr>
            <w:tcW w:w="120" w:type="dxa"/>
            <w:vAlign w:val="bottom"/>
            <w:tcBorders>
              <w:top w:val="single" w:sz="8" w:color="CCEEFF"/>
            </w:tcBorders>
            <w:shd w:val="clear" w:color="auto" w:fill="CCEEFF"/>
          </w:tcPr>
          <w:p>
            <w:pPr>
              <w:spacing w:after="0"/>
              <w:rPr>
                <w:sz w:val="12"/>
                <w:szCs w:val="12"/>
                <w:color w:val="auto"/>
              </w:rPr>
            </w:pPr>
          </w:p>
        </w:tc>
      </w:tr>
      <w:tr>
        <w:trPr>
          <w:trHeight w:val="154"/>
        </w:trPr>
        <w:tc>
          <w:tcPr>
            <w:tcW w:w="7120" w:type="dxa"/>
            <w:vAlign w:val="bottom"/>
          </w:tcPr>
          <w:p>
            <w:pPr>
              <w:ind w:left="120"/>
              <w:spacing w:after="0"/>
              <w:rPr>
                <w:sz w:val="20"/>
                <w:szCs w:val="20"/>
                <w:color w:val="auto"/>
              </w:rPr>
            </w:pPr>
            <w:r>
              <w:rPr>
                <w:rFonts w:ascii="Arial" w:cs="Arial" w:eastAsia="Arial" w:hAnsi="Arial"/>
                <w:sz w:val="13"/>
                <w:szCs w:val="13"/>
                <w:color w:val="auto"/>
              </w:rPr>
              <w:t>Impairment loss on financial instruments</w:t>
            </w:r>
          </w:p>
        </w:tc>
        <w:tc>
          <w:tcPr>
            <w:tcW w:w="800" w:type="dxa"/>
            <w:vAlign w:val="bottom"/>
          </w:tcPr>
          <w:p>
            <w:pPr>
              <w:spacing w:after="0"/>
              <w:rPr>
                <w:sz w:val="13"/>
                <w:szCs w:val="13"/>
                <w:color w:val="auto"/>
              </w:rPr>
            </w:pPr>
          </w:p>
        </w:tc>
        <w:tc>
          <w:tcPr>
            <w:tcW w:w="700" w:type="dxa"/>
            <w:vAlign w:val="bottom"/>
            <w:gridSpan w:val="2"/>
          </w:tcPr>
          <w:p>
            <w:pPr>
              <w:jc w:val="right"/>
              <w:ind w:right="180"/>
              <w:spacing w:after="0"/>
              <w:rPr>
                <w:sz w:val="20"/>
                <w:szCs w:val="20"/>
                <w:color w:val="auto"/>
              </w:rPr>
            </w:pPr>
            <w:r>
              <w:rPr>
                <w:rFonts w:ascii="Arial" w:cs="Arial" w:eastAsia="Arial" w:hAnsi="Arial"/>
                <w:sz w:val="13"/>
                <w:szCs w:val="13"/>
                <w:color w:val="auto"/>
              </w:rPr>
              <w:t>(57,515)</w:t>
            </w:r>
          </w:p>
        </w:tc>
        <w:tc>
          <w:tcPr>
            <w:tcW w:w="280" w:type="dxa"/>
            <w:vAlign w:val="bottom"/>
          </w:tcPr>
          <w:p>
            <w:pPr>
              <w:spacing w:after="0"/>
              <w:rPr>
                <w:sz w:val="13"/>
                <w:szCs w:val="13"/>
                <w:color w:val="auto"/>
              </w:rPr>
            </w:pPr>
          </w:p>
        </w:tc>
        <w:tc>
          <w:tcPr>
            <w:tcW w:w="1220" w:type="dxa"/>
            <w:vAlign w:val="bottom"/>
            <w:gridSpan w:val="2"/>
          </w:tcPr>
          <w:p>
            <w:pPr>
              <w:jc w:val="right"/>
              <w:ind w:right="180"/>
              <w:spacing w:after="0"/>
              <w:rPr>
                <w:sz w:val="20"/>
                <w:szCs w:val="20"/>
                <w:color w:val="auto"/>
              </w:rPr>
            </w:pPr>
            <w:r>
              <w:rPr>
                <w:rFonts w:ascii="Arial" w:cs="Arial" w:eastAsia="Arial" w:hAnsi="Arial"/>
                <w:sz w:val="13"/>
                <w:szCs w:val="13"/>
                <w:color w:val="auto"/>
              </w:rPr>
              <w:t>(9,439)</w:t>
            </w:r>
          </w:p>
        </w:tc>
        <w:tc>
          <w:tcPr>
            <w:tcW w:w="300" w:type="dxa"/>
            <w:vAlign w:val="bottom"/>
          </w:tcPr>
          <w:p>
            <w:pPr>
              <w:spacing w:after="0"/>
              <w:rPr>
                <w:sz w:val="13"/>
                <w:szCs w:val="13"/>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3"/>
                <w:szCs w:val="13"/>
                <w:color w:val="auto"/>
              </w:rPr>
              <w:t>(35,115)</w:t>
            </w:r>
          </w:p>
        </w:tc>
      </w:tr>
      <w:tr>
        <w:trPr>
          <w:trHeight w:val="154"/>
        </w:trPr>
        <w:tc>
          <w:tcPr>
            <w:tcW w:w="71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Impairment loss on non-financial assets</w:t>
            </w:r>
          </w:p>
        </w:tc>
        <w:tc>
          <w:tcPr>
            <w:tcW w:w="80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(5,967)</w:t>
            </w: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30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w:t>
            </w:r>
          </w:p>
        </w:tc>
      </w:tr>
      <w:tr>
        <w:trPr>
          <w:trHeight w:val="164"/>
        </w:trPr>
        <w:tc>
          <w:tcPr>
            <w:tcW w:w="7120" w:type="dxa"/>
            <w:vAlign w:val="bottom"/>
          </w:tcPr>
          <w:p>
            <w:pPr>
              <w:ind w:left="120"/>
              <w:spacing w:after="0"/>
              <w:rPr>
                <w:sz w:val="20"/>
                <w:szCs w:val="20"/>
                <w:color w:val="auto"/>
              </w:rPr>
            </w:pPr>
            <w:r>
              <w:rPr>
                <w:rFonts w:ascii="Arial" w:cs="Arial" w:eastAsia="Arial" w:hAnsi="Arial"/>
                <w:sz w:val="13"/>
                <w:szCs w:val="13"/>
                <w:color w:val="auto"/>
              </w:rPr>
              <w:t>Operating expenses</w:t>
            </w:r>
          </w:p>
        </w:tc>
        <w:tc>
          <w:tcPr>
            <w:tcW w:w="800" w:type="dxa"/>
            <w:vAlign w:val="bottom"/>
          </w:tcPr>
          <w:p>
            <w:pPr>
              <w:spacing w:after="0"/>
              <w:rPr>
                <w:sz w:val="14"/>
                <w:szCs w:val="14"/>
                <w:color w:val="auto"/>
              </w:rPr>
            </w:pPr>
          </w:p>
        </w:tc>
        <w:tc>
          <w:tcPr>
            <w:tcW w:w="700" w:type="dxa"/>
            <w:vAlign w:val="bottom"/>
            <w:gridSpan w:val="2"/>
          </w:tcPr>
          <w:p>
            <w:pPr>
              <w:jc w:val="right"/>
              <w:ind w:right="180"/>
              <w:spacing w:after="0"/>
              <w:rPr>
                <w:sz w:val="20"/>
                <w:szCs w:val="20"/>
                <w:color w:val="auto"/>
              </w:rPr>
            </w:pPr>
            <w:r>
              <w:rPr>
                <w:rFonts w:ascii="Arial" w:cs="Arial" w:eastAsia="Arial" w:hAnsi="Arial"/>
                <w:sz w:val="13"/>
                <w:szCs w:val="13"/>
                <w:color w:val="auto"/>
              </w:rPr>
              <w:t>(48,918)</w:t>
            </w:r>
          </w:p>
        </w:tc>
        <w:tc>
          <w:tcPr>
            <w:tcW w:w="280" w:type="dxa"/>
            <w:vAlign w:val="bottom"/>
          </w:tcPr>
          <w:p>
            <w:pPr>
              <w:spacing w:after="0"/>
              <w:rPr>
                <w:sz w:val="14"/>
                <w:szCs w:val="14"/>
                <w:color w:val="auto"/>
              </w:rPr>
            </w:pPr>
          </w:p>
        </w:tc>
        <w:tc>
          <w:tcPr>
            <w:tcW w:w="1220" w:type="dxa"/>
            <w:vAlign w:val="bottom"/>
            <w:gridSpan w:val="2"/>
          </w:tcPr>
          <w:p>
            <w:pPr>
              <w:jc w:val="right"/>
              <w:ind w:right="180"/>
              <w:spacing w:after="0"/>
              <w:rPr>
                <w:sz w:val="20"/>
                <w:szCs w:val="20"/>
                <w:color w:val="auto"/>
              </w:rPr>
            </w:pPr>
            <w:r>
              <w:rPr>
                <w:rFonts w:ascii="Arial" w:cs="Arial" w:eastAsia="Arial" w:hAnsi="Arial"/>
                <w:sz w:val="13"/>
                <w:szCs w:val="13"/>
                <w:color w:val="auto"/>
              </w:rPr>
              <w:t>(46,875)</w:t>
            </w:r>
          </w:p>
        </w:tc>
        <w:tc>
          <w:tcPr>
            <w:tcW w:w="300" w:type="dxa"/>
            <w:vAlign w:val="bottom"/>
          </w:tcPr>
          <w:p>
            <w:pPr>
              <w:spacing w:after="0"/>
              <w:rPr>
                <w:sz w:val="14"/>
                <w:szCs w:val="14"/>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3"/>
                <w:szCs w:val="13"/>
                <w:color w:val="auto"/>
              </w:rPr>
              <w:t>(45,814)</w:t>
            </w:r>
          </w:p>
        </w:tc>
      </w:tr>
      <w:tr>
        <w:trPr>
          <w:trHeight w:val="144"/>
        </w:trPr>
        <w:tc>
          <w:tcPr>
            <w:tcW w:w="7120" w:type="dxa"/>
            <w:vAlign w:val="bottom"/>
            <w:tcBorders>
              <w:top w:val="single" w:sz="8" w:color="CCEEFF"/>
            </w:tcBorders>
            <w:shd w:val="clear" w:color="auto" w:fill="CCEEFF"/>
          </w:tcPr>
          <w:p>
            <w:pPr>
              <w:ind w:left="120"/>
              <w:spacing w:after="0" w:line="144" w:lineRule="exact"/>
              <w:rPr>
                <w:sz w:val="20"/>
                <w:szCs w:val="20"/>
                <w:color w:val="auto"/>
              </w:rPr>
            </w:pPr>
            <w:r>
              <w:rPr>
                <w:rFonts w:ascii="Arial" w:cs="Arial" w:eastAsia="Arial" w:hAnsi="Arial"/>
                <w:sz w:val="13"/>
                <w:szCs w:val="13"/>
                <w:b w:val="1"/>
                <w:bCs w:val="1"/>
                <w:color w:val="auto"/>
              </w:rPr>
              <w:t>Total profit for reportable segments</w:t>
            </w:r>
          </w:p>
        </w:tc>
        <w:tc>
          <w:tcPr>
            <w:tcW w:w="800" w:type="dxa"/>
            <w:vAlign w:val="bottom"/>
            <w:tcBorders>
              <w:top w:val="single" w:sz="8" w:color="auto"/>
            </w:tcBorders>
            <w:shd w:val="clear" w:color="auto" w:fill="CCEEFF"/>
          </w:tcPr>
          <w:p>
            <w:pPr>
              <w:jc w:val="right"/>
              <w:ind w:right="690"/>
              <w:spacing w:after="0"/>
              <w:rPr>
                <w:sz w:val="20"/>
                <w:szCs w:val="20"/>
                <w:color w:val="auto"/>
              </w:rPr>
            </w:pPr>
            <w:r>
              <w:rPr>
                <w:rFonts w:ascii="Arial" w:cs="Arial" w:eastAsia="Arial" w:hAnsi="Arial"/>
                <w:sz w:val="10"/>
                <w:szCs w:val="10"/>
                <w:b w:val="1"/>
                <w:bCs w:val="1"/>
                <w:color w:val="auto"/>
                <w:w w:val="71"/>
              </w:rPr>
              <w:t>$</w:t>
            </w:r>
          </w:p>
        </w:tc>
        <w:tc>
          <w:tcPr>
            <w:tcW w:w="4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15,189</w:t>
            </w:r>
          </w:p>
        </w:tc>
        <w:tc>
          <w:tcPr>
            <w:tcW w:w="22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tcBorders>
            <w:shd w:val="clear" w:color="auto" w:fill="CCEEFF"/>
          </w:tcPr>
          <w:p>
            <w:pPr>
              <w:jc w:val="right"/>
              <w:ind w:right="172"/>
              <w:spacing w:after="0"/>
              <w:rPr>
                <w:sz w:val="20"/>
                <w:szCs w:val="20"/>
                <w:color w:val="auto"/>
              </w:rPr>
            </w:pPr>
            <w:r>
              <w:rPr>
                <w:rFonts w:ascii="Arial" w:cs="Arial" w:eastAsia="Arial" w:hAnsi="Arial"/>
                <w:sz w:val="10"/>
                <w:szCs w:val="10"/>
                <w:b w:val="1"/>
                <w:bCs w:val="1"/>
                <w:color w:val="auto"/>
                <w:w w:val="71"/>
              </w:rPr>
              <w:t>$</w:t>
            </w:r>
          </w:p>
        </w:tc>
        <w:tc>
          <w:tcPr>
            <w:tcW w:w="10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81,999</w:t>
            </w:r>
          </w:p>
        </w:tc>
        <w:tc>
          <w:tcPr>
            <w:tcW w:w="220" w:type="dxa"/>
            <w:vAlign w:val="bottom"/>
            <w:tcBorders>
              <w:top w:val="single" w:sz="8" w:color="CCEEFF"/>
            </w:tcBorders>
            <w:shd w:val="clear" w:color="auto" w:fill="CCEEFF"/>
          </w:tcPr>
          <w:p>
            <w:pPr>
              <w:spacing w:after="0"/>
              <w:rPr>
                <w:sz w:val="12"/>
                <w:szCs w:val="12"/>
                <w:color w:val="auto"/>
              </w:rPr>
            </w:pPr>
          </w:p>
        </w:tc>
        <w:tc>
          <w:tcPr>
            <w:tcW w:w="300" w:type="dxa"/>
            <w:vAlign w:val="bottom"/>
            <w:tcBorders>
              <w:top w:val="single" w:sz="8" w:color="auto"/>
            </w:tcBorders>
            <w:shd w:val="clear" w:color="auto" w:fill="CCEEFF"/>
          </w:tcPr>
          <w:p>
            <w:pPr>
              <w:jc w:val="right"/>
              <w:ind w:right="192"/>
              <w:spacing w:after="0"/>
              <w:rPr>
                <w:sz w:val="20"/>
                <w:szCs w:val="20"/>
                <w:color w:val="auto"/>
              </w:rPr>
            </w:pPr>
            <w:r>
              <w:rPr>
                <w:rFonts w:ascii="Arial" w:cs="Arial" w:eastAsia="Arial" w:hAnsi="Arial"/>
                <w:sz w:val="10"/>
                <w:szCs w:val="10"/>
                <w:b w:val="1"/>
                <w:bCs w:val="1"/>
                <w:color w:val="auto"/>
                <w:w w:val="71"/>
              </w:rPr>
              <w:t>$</w:t>
            </w:r>
          </w:p>
        </w:tc>
        <w:tc>
          <w:tcPr>
            <w:tcW w:w="94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87,045</w:t>
            </w:r>
          </w:p>
        </w:tc>
        <w:tc>
          <w:tcPr>
            <w:tcW w:w="120" w:type="dxa"/>
            <w:vAlign w:val="bottom"/>
            <w:tcBorders>
              <w:top w:val="single" w:sz="8" w:color="CCEEFF"/>
            </w:tcBorders>
            <w:shd w:val="clear" w:color="auto" w:fill="CCEEFF"/>
          </w:tcPr>
          <w:p>
            <w:pPr>
              <w:spacing w:after="0"/>
              <w:rPr>
                <w:sz w:val="12"/>
                <w:szCs w:val="12"/>
                <w:color w:val="auto"/>
              </w:rPr>
            </w:pPr>
          </w:p>
        </w:tc>
      </w:tr>
      <w:tr>
        <w:trPr>
          <w:trHeight w:val="164"/>
        </w:trPr>
        <w:tc>
          <w:tcPr>
            <w:tcW w:w="7120" w:type="dxa"/>
            <w:vAlign w:val="bottom"/>
          </w:tcPr>
          <w:p>
            <w:pPr>
              <w:ind w:left="120"/>
              <w:spacing w:after="0"/>
              <w:rPr>
                <w:sz w:val="20"/>
                <w:szCs w:val="20"/>
                <w:color w:val="auto"/>
              </w:rPr>
            </w:pPr>
            <w:r>
              <w:rPr>
                <w:rFonts w:ascii="Arial" w:cs="Arial" w:eastAsia="Arial" w:hAnsi="Arial"/>
                <w:sz w:val="13"/>
                <w:szCs w:val="13"/>
                <w:color w:val="auto"/>
              </w:rPr>
              <w:t>Unallocated impairment loss on non-financial assets</w:t>
            </w:r>
          </w:p>
        </w:tc>
        <w:tc>
          <w:tcPr>
            <w:tcW w:w="800" w:type="dxa"/>
            <w:vAlign w:val="bottom"/>
          </w:tcPr>
          <w:p>
            <w:pPr>
              <w:spacing w:after="0"/>
              <w:rPr>
                <w:sz w:val="14"/>
                <w:szCs w:val="14"/>
                <w:color w:val="auto"/>
              </w:rPr>
            </w:pPr>
          </w:p>
        </w:tc>
        <w:tc>
          <w:tcPr>
            <w:tcW w:w="700" w:type="dxa"/>
            <w:vAlign w:val="bottom"/>
            <w:gridSpan w:val="2"/>
          </w:tcPr>
          <w:p>
            <w:pPr>
              <w:jc w:val="right"/>
              <w:ind w:right="180"/>
              <w:spacing w:after="0"/>
              <w:rPr>
                <w:sz w:val="20"/>
                <w:szCs w:val="20"/>
                <w:color w:val="auto"/>
              </w:rPr>
            </w:pPr>
            <w:r>
              <w:rPr>
                <w:rFonts w:ascii="Arial" w:cs="Arial" w:eastAsia="Arial" w:hAnsi="Arial"/>
                <w:sz w:val="13"/>
                <w:szCs w:val="13"/>
                <w:color w:val="auto"/>
              </w:rPr>
              <w:t>(4,051)</w:t>
            </w:r>
          </w:p>
        </w:tc>
        <w:tc>
          <w:tcPr>
            <w:tcW w:w="280" w:type="dxa"/>
            <w:vAlign w:val="bottom"/>
          </w:tcPr>
          <w:p>
            <w:pPr>
              <w:spacing w:after="0"/>
              <w:rPr>
                <w:sz w:val="14"/>
                <w:szCs w:val="14"/>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300" w:type="dxa"/>
            <w:vAlign w:val="bottom"/>
          </w:tcPr>
          <w:p>
            <w:pPr>
              <w:spacing w:after="0"/>
              <w:rPr>
                <w:sz w:val="14"/>
                <w:szCs w:val="14"/>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3"/>
                <w:szCs w:val="13"/>
                <w:color w:val="auto"/>
              </w:rPr>
              <w:t>0</w:t>
            </w:r>
          </w:p>
        </w:tc>
      </w:tr>
      <w:tr>
        <w:trPr>
          <w:trHeight w:val="144"/>
        </w:trPr>
        <w:tc>
          <w:tcPr>
            <w:tcW w:w="7120" w:type="dxa"/>
            <w:vAlign w:val="bottom"/>
            <w:tcBorders>
              <w:top w:val="single" w:sz="8" w:color="CCEEFF"/>
            </w:tcBorders>
            <w:shd w:val="clear" w:color="auto" w:fill="CCEEFF"/>
          </w:tcPr>
          <w:p>
            <w:pPr>
              <w:ind w:left="120"/>
              <w:spacing w:after="0" w:line="144" w:lineRule="exact"/>
              <w:rPr>
                <w:sz w:val="20"/>
                <w:szCs w:val="20"/>
                <w:color w:val="auto"/>
              </w:rPr>
            </w:pPr>
            <w:r>
              <w:rPr>
                <w:rFonts w:ascii="Arial" w:cs="Arial" w:eastAsia="Arial" w:hAnsi="Arial"/>
                <w:sz w:val="13"/>
                <w:szCs w:val="13"/>
                <w:b w:val="1"/>
                <w:bCs w:val="1"/>
                <w:color w:val="auto"/>
              </w:rPr>
              <w:t>Profit for the year</w:t>
            </w:r>
          </w:p>
        </w:tc>
        <w:tc>
          <w:tcPr>
            <w:tcW w:w="800" w:type="dxa"/>
            <w:vAlign w:val="bottom"/>
            <w:tcBorders>
              <w:top w:val="single" w:sz="8" w:color="auto"/>
            </w:tcBorders>
            <w:shd w:val="clear" w:color="auto" w:fill="CCEEFF"/>
          </w:tcPr>
          <w:p>
            <w:pPr>
              <w:jc w:val="right"/>
              <w:ind w:right="690"/>
              <w:spacing w:after="0"/>
              <w:rPr>
                <w:sz w:val="20"/>
                <w:szCs w:val="20"/>
                <w:color w:val="auto"/>
              </w:rPr>
            </w:pPr>
            <w:r>
              <w:rPr>
                <w:rFonts w:ascii="Arial" w:cs="Arial" w:eastAsia="Arial" w:hAnsi="Arial"/>
                <w:sz w:val="10"/>
                <w:szCs w:val="10"/>
                <w:b w:val="1"/>
                <w:bCs w:val="1"/>
                <w:color w:val="auto"/>
                <w:w w:val="71"/>
              </w:rPr>
              <w:t>$</w:t>
            </w:r>
          </w:p>
        </w:tc>
        <w:tc>
          <w:tcPr>
            <w:tcW w:w="4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11,138</w:t>
            </w:r>
          </w:p>
        </w:tc>
        <w:tc>
          <w:tcPr>
            <w:tcW w:w="22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tcBorders>
            <w:shd w:val="clear" w:color="auto" w:fill="CCEEFF"/>
          </w:tcPr>
          <w:p>
            <w:pPr>
              <w:jc w:val="right"/>
              <w:ind w:right="172"/>
              <w:spacing w:after="0"/>
              <w:rPr>
                <w:sz w:val="20"/>
                <w:szCs w:val="20"/>
                <w:color w:val="auto"/>
              </w:rPr>
            </w:pPr>
            <w:r>
              <w:rPr>
                <w:rFonts w:ascii="Arial" w:cs="Arial" w:eastAsia="Arial" w:hAnsi="Arial"/>
                <w:sz w:val="10"/>
                <w:szCs w:val="10"/>
                <w:b w:val="1"/>
                <w:bCs w:val="1"/>
                <w:color w:val="auto"/>
                <w:w w:val="71"/>
              </w:rPr>
              <w:t>$</w:t>
            </w:r>
          </w:p>
        </w:tc>
        <w:tc>
          <w:tcPr>
            <w:tcW w:w="10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81,999</w:t>
            </w:r>
          </w:p>
        </w:tc>
        <w:tc>
          <w:tcPr>
            <w:tcW w:w="220" w:type="dxa"/>
            <w:vAlign w:val="bottom"/>
            <w:tcBorders>
              <w:top w:val="single" w:sz="8" w:color="CCEEFF"/>
            </w:tcBorders>
            <w:shd w:val="clear" w:color="auto" w:fill="CCEEFF"/>
          </w:tcPr>
          <w:p>
            <w:pPr>
              <w:spacing w:after="0"/>
              <w:rPr>
                <w:sz w:val="12"/>
                <w:szCs w:val="12"/>
                <w:color w:val="auto"/>
              </w:rPr>
            </w:pPr>
          </w:p>
        </w:tc>
        <w:tc>
          <w:tcPr>
            <w:tcW w:w="300" w:type="dxa"/>
            <w:vAlign w:val="bottom"/>
            <w:tcBorders>
              <w:top w:val="single" w:sz="8" w:color="auto"/>
            </w:tcBorders>
            <w:shd w:val="clear" w:color="auto" w:fill="CCEEFF"/>
          </w:tcPr>
          <w:p>
            <w:pPr>
              <w:jc w:val="right"/>
              <w:ind w:right="192"/>
              <w:spacing w:after="0"/>
              <w:rPr>
                <w:sz w:val="20"/>
                <w:szCs w:val="20"/>
                <w:color w:val="auto"/>
              </w:rPr>
            </w:pPr>
            <w:r>
              <w:rPr>
                <w:rFonts w:ascii="Arial" w:cs="Arial" w:eastAsia="Arial" w:hAnsi="Arial"/>
                <w:sz w:val="10"/>
                <w:szCs w:val="10"/>
                <w:b w:val="1"/>
                <w:bCs w:val="1"/>
                <w:color w:val="auto"/>
                <w:w w:val="71"/>
              </w:rPr>
              <w:t>$</w:t>
            </w:r>
          </w:p>
        </w:tc>
        <w:tc>
          <w:tcPr>
            <w:tcW w:w="94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87,045</w:t>
            </w:r>
          </w:p>
        </w:tc>
        <w:tc>
          <w:tcPr>
            <w:tcW w:w="120" w:type="dxa"/>
            <w:vAlign w:val="bottom"/>
            <w:tcBorders>
              <w:top w:val="single" w:sz="8" w:color="CCEEFF"/>
            </w:tcBorders>
            <w:shd w:val="clear" w:color="auto" w:fill="CCEEFF"/>
          </w:tcPr>
          <w:p>
            <w:pPr>
              <w:spacing w:after="0"/>
              <w:rPr>
                <w:sz w:val="12"/>
                <w:szCs w:val="12"/>
                <w:color w:val="auto"/>
              </w:rPr>
            </w:pPr>
          </w:p>
        </w:tc>
      </w:tr>
    </w:tbl>
    <w:p>
      <w:pPr>
        <w:spacing w:after="0" w:line="145"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The Commercial Business Segment</w:t>
      </w:r>
    </w:p>
    <w:p>
      <w:pPr>
        <w:spacing w:after="0" w:line="159" w:lineRule="exact"/>
        <w:rPr>
          <w:sz w:val="20"/>
          <w:szCs w:val="20"/>
          <w:color w:val="auto"/>
        </w:rPr>
      </w:pPr>
    </w:p>
    <w:p>
      <w:pPr>
        <w:jc w:val="both"/>
        <w:spacing w:after="0" w:line="326" w:lineRule="auto"/>
        <w:rPr>
          <w:sz w:val="20"/>
          <w:szCs w:val="20"/>
          <w:color w:val="auto"/>
        </w:rPr>
      </w:pPr>
      <w:r>
        <w:rPr>
          <w:rFonts w:ascii="Arial" w:cs="Arial" w:eastAsia="Arial" w:hAnsi="Arial"/>
          <w:sz w:val="11"/>
          <w:szCs w:val="11"/>
          <w:color w:val="auto"/>
        </w:rPr>
        <w:t>The Commercial Business Segment encompasses the Bank’s core business of financial intermediation and fee generation activities catering to corporations, financial institutions and investors in Latin America. These activities include the origination of bilateral short-term and medium-term loans, structured and syndicated credits, loan commitments, and financial guarantee contracts such as issued and confirmed letters of credit, stand-by letters of credit, guarantees covering commercial risk, and other assets consisting of customers’ liabilities under acceptances. See Item 4, “Information on the Company – Business Overview – Commercial Portfolio.”</w:t>
      </w:r>
    </w:p>
    <w:p>
      <w:pPr>
        <w:spacing w:after="0" w:line="249"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52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54" w:name="page55"/>
    <w:bookmarkEnd w:id="54"/>
    <w:p>
      <w:pPr>
        <w:jc w:val="both"/>
        <w:ind w:left="3" w:right="20"/>
        <w:spacing w:after="0" w:line="257" w:lineRule="auto"/>
        <w:rPr>
          <w:sz w:val="20"/>
          <w:szCs w:val="20"/>
          <w:color w:val="auto"/>
        </w:rPr>
      </w:pPr>
      <w:r>
        <w:rPr>
          <w:rFonts w:ascii="Arial" w:cs="Arial" w:eastAsia="Arial" w:hAnsi="Arial"/>
          <w:sz w:val="13"/>
          <w:szCs w:val="13"/>
          <w:color w:val="auto"/>
        </w:rPr>
        <w:t>Profits from the Commercial Business Segment include: (i) net interest income from loans; (ii) fees and commissions from the issuance, confirmation and negotiation of letters of credit, guarantees and loan commitments, and from loan structuring and syndication activities; (iii) gain on sale of loans generated through loan intermediation activities, such as sales in the secondary market and distribution in the primary market; (iv) impairment loss on financial instruments and non-financial assets; and (v) direct and allocated operating expenses.</w:t>
      </w:r>
    </w:p>
    <w:p>
      <w:pPr>
        <w:spacing w:after="0" w:line="136" w:lineRule="exact"/>
        <w:rPr>
          <w:sz w:val="20"/>
          <w:szCs w:val="20"/>
          <w:color w:val="auto"/>
        </w:rPr>
      </w:pPr>
    </w:p>
    <w:p>
      <w:pPr>
        <w:ind w:left="3"/>
        <w:spacing w:after="0"/>
        <w:rPr>
          <w:sz w:val="20"/>
          <w:szCs w:val="20"/>
          <w:color w:val="auto"/>
        </w:rPr>
      </w:pPr>
      <w:r>
        <w:rPr>
          <w:rFonts w:ascii="Arial" w:cs="Arial" w:eastAsia="Arial" w:hAnsi="Arial"/>
          <w:sz w:val="13"/>
          <w:szCs w:val="13"/>
          <w:i w:val="1"/>
          <w:iCs w:val="1"/>
          <w:u w:val="single" w:color="auto"/>
          <w:color w:val="auto"/>
        </w:rPr>
        <w:t>Year 2018 vs. Year 2017</w:t>
      </w:r>
    </w:p>
    <w:p>
      <w:pPr>
        <w:spacing w:after="0" w:line="159" w:lineRule="exact"/>
        <w:rPr>
          <w:sz w:val="20"/>
          <w:szCs w:val="20"/>
          <w:color w:val="auto"/>
        </w:rPr>
      </w:pPr>
    </w:p>
    <w:p>
      <w:pPr>
        <w:jc w:val="both"/>
        <w:ind w:left="3" w:right="20"/>
        <w:spacing w:after="0" w:line="276" w:lineRule="auto"/>
        <w:rPr>
          <w:sz w:val="20"/>
          <w:szCs w:val="20"/>
          <w:color w:val="auto"/>
        </w:rPr>
      </w:pPr>
      <w:r>
        <w:rPr>
          <w:rFonts w:ascii="Arial" w:cs="Arial" w:eastAsia="Arial" w:hAnsi="Arial"/>
          <w:sz w:val="12"/>
          <w:szCs w:val="12"/>
          <w:color w:val="auto"/>
        </w:rPr>
        <w:t>The Commercial Business Segment’s profit of $26.8 million for the year 2018 was mainly impacted by: (i) the $57.5 million impairment loss on financial instruments from higher credit provisions associated with credit-impaired loans, which were mostly associated with the significant deterioration of a single credit in the Brazilian sugar sector, exacerbated by significant deterioration in 2018 as a result of worsening sugar fundamentals in international markets, and a resulting significant decrease in sugar prices, which decreased during 2018 to levels well below the worldwide marginal cost of production, as well as due to the risk involved in the borrower’s complex restructuring process; (ii) the $6.0 million impairment loss on non-financial assets related to credit restructurings, and (iii) a $10.8 million, or 9% decrease in net interest income due to narrower net lending spreads as a result of the origination of higher quality loans in 2018, which are generally characterized by lower spreads, as the Bank increased its lending focus to financial institutions, sovereign and state-owned entities, while origination in the corporate sector remained focused on top quality exporters with U.S. dollar generation capacity.</w:t>
      </w:r>
    </w:p>
    <w:p>
      <w:pPr>
        <w:spacing w:after="0" w:line="126" w:lineRule="exact"/>
        <w:rPr>
          <w:sz w:val="20"/>
          <w:szCs w:val="20"/>
          <w:color w:val="auto"/>
        </w:rPr>
      </w:pPr>
    </w:p>
    <w:p>
      <w:pPr>
        <w:ind w:left="3"/>
        <w:spacing w:after="0"/>
        <w:rPr>
          <w:sz w:val="20"/>
          <w:szCs w:val="20"/>
          <w:color w:val="auto"/>
        </w:rPr>
      </w:pPr>
      <w:r>
        <w:rPr>
          <w:rFonts w:ascii="Arial" w:cs="Arial" w:eastAsia="Arial" w:hAnsi="Arial"/>
          <w:sz w:val="13"/>
          <w:szCs w:val="13"/>
          <w:i w:val="1"/>
          <w:iCs w:val="1"/>
          <w:u w:val="single" w:color="auto"/>
          <w:color w:val="auto"/>
        </w:rPr>
        <w:t>Year 2017 vs. Year 2016</w:t>
      </w:r>
    </w:p>
    <w:p>
      <w:pPr>
        <w:spacing w:after="0" w:line="159" w:lineRule="exact"/>
        <w:rPr>
          <w:sz w:val="20"/>
          <w:szCs w:val="20"/>
          <w:color w:val="auto"/>
        </w:rPr>
      </w:pPr>
    </w:p>
    <w:p>
      <w:pPr>
        <w:jc w:val="both"/>
        <w:ind w:left="3"/>
        <w:spacing w:after="0" w:line="296" w:lineRule="auto"/>
        <w:rPr>
          <w:sz w:val="20"/>
          <w:szCs w:val="20"/>
          <w:color w:val="auto"/>
        </w:rPr>
      </w:pPr>
      <w:r>
        <w:rPr>
          <w:rFonts w:ascii="Arial" w:cs="Arial" w:eastAsia="Arial" w:hAnsi="Arial"/>
          <w:sz w:val="11"/>
          <w:szCs w:val="11"/>
          <w:color w:val="auto"/>
        </w:rPr>
        <w:t>The Commercial Business Segment’s profit for the year 2017 totaled $93.7 million, a $6.7 million, or 8% increase compared to $87.0 million in 2016, mainly as a result of: (i) decreased credit provisions mostly attributable to finalized renegotiation agreements on selected credit exposures undergoing restructuring processes and lower requirements resulting from reduced portfolio levels, and (ii) higher fees and other income mostly from the upward trend in fee generation from the Bank’s structuring and syndication activities, with seven closed transactions in 2017 resulting in fees totaling $6.6 million, as well as improved activity in the letters of credit business, with commissions of $10.9 million in 2017, depicting a more diversified letters of credit client base, and the Bank’s focus on deepening its participation in the trade value chain. These positive effects were partially offset by:</w:t>
      </w:r>
    </w:p>
    <w:p>
      <w:pPr>
        <w:jc w:val="both"/>
        <w:ind w:left="3" w:right="20" w:hanging="3"/>
        <w:spacing w:after="0" w:line="250" w:lineRule="auto"/>
        <w:tabs>
          <w:tab w:leader="none" w:pos="160" w:val="left"/>
        </w:tabs>
        <w:numPr>
          <w:ilvl w:val="0"/>
          <w:numId w:val="27"/>
        </w:numPr>
        <w:rPr>
          <w:rFonts w:ascii="Arial" w:cs="Arial" w:eastAsia="Arial" w:hAnsi="Arial"/>
          <w:sz w:val="13"/>
          <w:szCs w:val="13"/>
          <w:color w:val="auto"/>
        </w:rPr>
      </w:pPr>
      <w:r>
        <w:rPr>
          <w:rFonts w:ascii="Arial" w:cs="Arial" w:eastAsia="Arial" w:hAnsi="Arial"/>
          <w:sz w:val="13"/>
          <w:szCs w:val="13"/>
          <w:color w:val="auto"/>
        </w:rPr>
        <w:t>lower net interest income and margins from reduced average loan volumes, as the Bank improved its portfolio risk profile, focused on short-term lending, and experienced pricing pressures from increased levels of U.S. dollar liquidity in key markets, which was partially offset by the increase in LIBOR-based market rates, and (ii) higher allocated operating expenses, mainly due to non-recurring personnel changes expenses incurred in 2017.</w:t>
      </w:r>
    </w:p>
    <w:p>
      <w:pPr>
        <w:spacing w:after="0" w:line="141"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The Treasury Business Segment</w:t>
      </w:r>
    </w:p>
    <w:p>
      <w:pPr>
        <w:spacing w:after="0" w:line="159" w:lineRule="exact"/>
        <w:rPr>
          <w:sz w:val="20"/>
          <w:szCs w:val="20"/>
          <w:color w:val="auto"/>
        </w:rPr>
      </w:pPr>
    </w:p>
    <w:p>
      <w:pPr>
        <w:jc w:val="both"/>
        <w:ind w:left="3" w:right="20"/>
        <w:spacing w:after="0" w:line="254" w:lineRule="auto"/>
        <w:rPr>
          <w:sz w:val="20"/>
          <w:szCs w:val="20"/>
          <w:color w:val="auto"/>
        </w:rPr>
      </w:pPr>
      <w:r>
        <w:rPr>
          <w:rFonts w:ascii="Arial" w:cs="Arial" w:eastAsia="Arial" w:hAnsi="Arial"/>
          <w:sz w:val="13"/>
          <w:szCs w:val="13"/>
          <w:color w:val="auto"/>
        </w:rPr>
        <w:t>The Treasury Business Segment focuses on managing the Bank’s investment portfolio, and the overall structure of its assets and liabilities to achieve more efficient funding and liquidity positions for the Bank, mitigating the traditional financial risks associated with the balance sheet, such as interest rate, liquidity, price and currency risks. Interest-earning assets managed by the Treasury Business Segment include liquidity positions in cash and cash equivalents, and financial instruments related to the investment management activities, consisting of securities at FVOCI and securities at amortized cost. The Treasury Business Segment also manages the Bank’s interest-bearing liabilities, which constitute its funding sources, mainly deposits, short- and long-term borrowings and debt.</w:t>
      </w:r>
    </w:p>
    <w:p>
      <w:pPr>
        <w:spacing w:after="0" w:line="286"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53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9" w:right="199" w:bottom="1440" w:gutter="0" w:footer="0" w:header="0"/>
        </w:sectPr>
      </w:pPr>
    </w:p>
    <w:bookmarkStart w:id="55" w:name="page56"/>
    <w:bookmarkEnd w:id="55"/>
    <w:p>
      <w:pPr>
        <w:jc w:val="both"/>
        <w:ind w:right="20"/>
        <w:spacing w:after="0" w:line="257" w:lineRule="auto"/>
        <w:rPr>
          <w:sz w:val="20"/>
          <w:szCs w:val="20"/>
          <w:color w:val="auto"/>
        </w:rPr>
      </w:pPr>
      <w:r>
        <w:rPr>
          <w:rFonts w:ascii="Arial" w:cs="Arial" w:eastAsia="Arial" w:hAnsi="Arial"/>
          <w:sz w:val="13"/>
          <w:szCs w:val="13"/>
          <w:color w:val="auto"/>
        </w:rPr>
        <w:t>Profits from the Treasury Business Segment include net interest income derived from the above mentioned treasury assets and liabilities, and related net other income (net results from derivative financial instruments and foreign currency exchange, gain (loss) per financial instruments at FVTPL, gain (loss) on sale of securities at FVOCI, and other income), recovery or impairment loss on financial instruments, and direct and allocated operating expenses.</w:t>
      </w:r>
    </w:p>
    <w:p>
      <w:pPr>
        <w:spacing w:after="0" w:line="136" w:lineRule="exact"/>
        <w:rPr>
          <w:sz w:val="20"/>
          <w:szCs w:val="20"/>
          <w:color w:val="auto"/>
        </w:rPr>
      </w:pPr>
    </w:p>
    <w:p>
      <w:pPr>
        <w:spacing w:after="0"/>
        <w:rPr>
          <w:sz w:val="20"/>
          <w:szCs w:val="20"/>
          <w:color w:val="auto"/>
        </w:rPr>
      </w:pPr>
      <w:r>
        <w:rPr>
          <w:rFonts w:ascii="Arial" w:cs="Arial" w:eastAsia="Arial" w:hAnsi="Arial"/>
          <w:sz w:val="13"/>
          <w:szCs w:val="13"/>
          <w:i w:val="1"/>
          <w:iCs w:val="1"/>
          <w:u w:val="single" w:color="auto"/>
          <w:color w:val="auto"/>
        </w:rPr>
        <w:t>Year 2018 vs. Year 2017</w:t>
      </w:r>
    </w:p>
    <w:p>
      <w:pPr>
        <w:spacing w:after="0" w:line="159" w:lineRule="exact"/>
        <w:rPr>
          <w:sz w:val="20"/>
          <w:szCs w:val="20"/>
          <w:color w:val="auto"/>
        </w:rPr>
      </w:pPr>
    </w:p>
    <w:p>
      <w:pPr>
        <w:jc w:val="both"/>
        <w:ind w:right="20"/>
        <w:spacing w:after="0" w:line="281" w:lineRule="auto"/>
        <w:rPr>
          <w:sz w:val="20"/>
          <w:szCs w:val="20"/>
          <w:color w:val="auto"/>
        </w:rPr>
      </w:pPr>
      <w:r>
        <w:rPr>
          <w:rFonts w:ascii="Arial" w:cs="Arial" w:eastAsia="Arial" w:hAnsi="Arial"/>
          <w:sz w:val="12"/>
          <w:szCs w:val="12"/>
          <w:color w:val="auto"/>
        </w:rPr>
        <w:t>The Treasury Business Segment reported a loss of $11.6 million for the year 2018, compared to a loss of $11.7 million for the year 2017. The slight improvement of $0.1 million, or 1% was primarily associated with an increase in total revenues, mainly from higher net interest income, as the Bank was able to achieve a net positive outcome in repricing its assets and liabilities in an environment characterized by increasing interest rates. The Bank maintained a narrow interest rate gap structure due to the short-term nature of its loan portfolio, and was able to pass along LIBOR-based market rate increases in its funding to its asset base. Other income (expense), mostly related to hedging derivatives valuations and gain on sale of financial instruments, remained relatively stable on a full-year basis.</w:t>
      </w:r>
    </w:p>
    <w:p>
      <w:pPr>
        <w:spacing w:after="0" w:line="124" w:lineRule="exact"/>
        <w:rPr>
          <w:sz w:val="20"/>
          <w:szCs w:val="20"/>
          <w:color w:val="auto"/>
        </w:rPr>
      </w:pPr>
    </w:p>
    <w:p>
      <w:pPr>
        <w:spacing w:after="0"/>
        <w:rPr>
          <w:sz w:val="20"/>
          <w:szCs w:val="20"/>
          <w:color w:val="auto"/>
        </w:rPr>
      </w:pPr>
      <w:r>
        <w:rPr>
          <w:rFonts w:ascii="Arial" w:cs="Arial" w:eastAsia="Arial" w:hAnsi="Arial"/>
          <w:sz w:val="13"/>
          <w:szCs w:val="13"/>
          <w:i w:val="1"/>
          <w:iCs w:val="1"/>
          <w:u w:val="single" w:color="auto"/>
          <w:color w:val="auto"/>
        </w:rPr>
        <w:t>Year 2017 vs. Year 2016</w:t>
      </w:r>
    </w:p>
    <w:p>
      <w:pPr>
        <w:spacing w:after="0" w:line="159"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The Treasury Business Segment reported a loss of $11.7 million for the year 2017, compared to a marginal profit of $47 thousand for the year 2016, mostly attributable to an increase in funding rates on higher LIBOR-based market rates (also impacting interest-earning assets lending rates), which was partially offset by lower funding spreads and a relatively stable funding source mix year-over-year (i.e., medium- and long-term borrowings and debt) despite higher short-term trade finance lending book, resulting from a limited gap income.</w:t>
      </w:r>
    </w:p>
    <w:p>
      <w:pPr>
        <w:spacing w:after="0" w:line="136" w:lineRule="exact"/>
        <w:rPr>
          <w:sz w:val="20"/>
          <w:szCs w:val="20"/>
          <w:color w:val="auto"/>
        </w:rPr>
      </w:pPr>
    </w:p>
    <w:tbl>
      <w:tblPr>
        <w:tblLayout w:type="fixed"/>
        <w:tblInd w:w="0" w:type="dxa"/>
        <w:tblCellMar>
          <w:top w:w="0" w:type="dxa"/>
          <w:left w:w="0" w:type="dxa"/>
          <w:bottom w:w="0" w:type="dxa"/>
          <w:right w:w="0" w:type="dxa"/>
        </w:tblCellMar>
      </w:tblPr>
      <w:tr>
        <w:trPr>
          <w:trHeight w:val="162"/>
        </w:trPr>
        <w:tc>
          <w:tcPr>
            <w:tcW w:w="7120" w:type="dxa"/>
            <w:vAlign w:val="bottom"/>
            <w:gridSpan w:val="2"/>
          </w:tcPr>
          <w:p>
            <w:pPr>
              <w:spacing w:after="0"/>
              <w:rPr>
                <w:sz w:val="20"/>
                <w:szCs w:val="20"/>
                <w:color w:val="auto"/>
              </w:rPr>
            </w:pPr>
            <w:r>
              <w:rPr>
                <w:rFonts w:ascii="Arial" w:cs="Arial" w:eastAsia="Arial" w:hAnsi="Arial"/>
                <w:sz w:val="13"/>
                <w:szCs w:val="13"/>
                <w:b w:val="1"/>
                <w:bCs w:val="1"/>
                <w:i w:val="1"/>
                <w:iCs w:val="1"/>
                <w:color w:val="auto"/>
              </w:rPr>
              <w:t>Changes in Financial Position</w:t>
            </w:r>
          </w:p>
        </w:tc>
        <w:tc>
          <w:tcPr>
            <w:tcW w:w="68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9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44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08"/>
        </w:trPr>
        <w:tc>
          <w:tcPr>
            <w:tcW w:w="7120" w:type="dxa"/>
            <w:vAlign w:val="bottom"/>
            <w:gridSpan w:val="2"/>
          </w:tcPr>
          <w:p>
            <w:pPr>
              <w:spacing w:after="0"/>
              <w:rPr>
                <w:sz w:val="20"/>
                <w:szCs w:val="20"/>
                <w:color w:val="auto"/>
              </w:rPr>
            </w:pPr>
            <w:r>
              <w:rPr>
                <w:rFonts w:ascii="Arial" w:cs="Arial" w:eastAsia="Arial" w:hAnsi="Arial"/>
                <w:sz w:val="13"/>
                <w:szCs w:val="13"/>
                <w:color w:val="auto"/>
                <w:w w:val="98"/>
              </w:rPr>
              <w:t>The following table presents components of the Bank’s consolidated statements of financial position as of the dates indicated:</w:t>
            </w:r>
          </w:p>
        </w:tc>
        <w:tc>
          <w:tcPr>
            <w:tcW w:w="68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44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18"/>
        </w:trPr>
        <w:tc>
          <w:tcPr>
            <w:tcW w:w="860" w:type="dxa"/>
            <w:vAlign w:val="bottom"/>
          </w:tcPr>
          <w:p>
            <w:pPr>
              <w:spacing w:after="0"/>
              <w:rPr>
                <w:sz w:val="24"/>
                <w:szCs w:val="24"/>
                <w:color w:val="auto"/>
              </w:rPr>
            </w:pPr>
          </w:p>
        </w:tc>
        <w:tc>
          <w:tcPr>
            <w:tcW w:w="626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1640" w:type="dxa"/>
            <w:vAlign w:val="bottom"/>
            <w:tcBorders>
              <w:bottom w:val="single" w:sz="8" w:color="auto"/>
            </w:tcBorders>
            <w:gridSpan w:val="4"/>
          </w:tcPr>
          <w:p>
            <w:pPr>
              <w:jc w:val="right"/>
              <w:ind w:right="13"/>
              <w:spacing w:after="0"/>
              <w:rPr>
                <w:sz w:val="20"/>
                <w:szCs w:val="20"/>
                <w:color w:val="auto"/>
              </w:rPr>
            </w:pPr>
            <w:r>
              <w:rPr>
                <w:rFonts w:ascii="Arial" w:cs="Arial" w:eastAsia="Arial" w:hAnsi="Arial"/>
                <w:sz w:val="13"/>
                <w:szCs w:val="13"/>
                <w:b w:val="1"/>
                <w:bCs w:val="1"/>
                <w:color w:val="auto"/>
              </w:rPr>
              <w:t>As of December 31,</w:t>
            </w:r>
          </w:p>
        </w:tc>
        <w:tc>
          <w:tcPr>
            <w:tcW w:w="80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4"/>
        </w:trPr>
        <w:tc>
          <w:tcPr>
            <w:tcW w:w="860" w:type="dxa"/>
            <w:vAlign w:val="bottom"/>
          </w:tcPr>
          <w:p>
            <w:pPr>
              <w:spacing w:after="0"/>
              <w:rPr>
                <w:sz w:val="13"/>
                <w:szCs w:val="13"/>
                <w:color w:val="auto"/>
              </w:rPr>
            </w:pPr>
          </w:p>
        </w:tc>
        <w:tc>
          <w:tcPr>
            <w:tcW w:w="6260" w:type="dxa"/>
            <w:vAlign w:val="bottom"/>
          </w:tcPr>
          <w:p>
            <w:pPr>
              <w:spacing w:after="0"/>
              <w:rPr>
                <w:sz w:val="13"/>
                <w:szCs w:val="13"/>
                <w:color w:val="auto"/>
              </w:rPr>
            </w:pPr>
          </w:p>
        </w:tc>
        <w:tc>
          <w:tcPr>
            <w:tcW w:w="680" w:type="dxa"/>
            <w:vAlign w:val="bottom"/>
          </w:tcPr>
          <w:p>
            <w:pPr>
              <w:spacing w:after="0"/>
              <w:rPr>
                <w:sz w:val="13"/>
                <w:szCs w:val="13"/>
                <w:color w:val="auto"/>
              </w:rPr>
            </w:pPr>
          </w:p>
        </w:tc>
        <w:tc>
          <w:tcPr>
            <w:tcW w:w="280" w:type="dxa"/>
            <w:vAlign w:val="bottom"/>
            <w:tcBorders>
              <w:bottom w:val="single" w:sz="8" w:color="auto"/>
            </w:tcBorders>
          </w:tcPr>
          <w:p>
            <w:pPr>
              <w:spacing w:after="0"/>
              <w:rPr>
                <w:sz w:val="13"/>
                <w:szCs w:val="13"/>
                <w:color w:val="auto"/>
              </w:rPr>
            </w:pPr>
          </w:p>
        </w:tc>
        <w:tc>
          <w:tcPr>
            <w:tcW w:w="980" w:type="dxa"/>
            <w:vAlign w:val="bottom"/>
            <w:tcBorders>
              <w:bottom w:val="single" w:sz="8" w:color="auto"/>
            </w:tcBorders>
          </w:tcPr>
          <w:p>
            <w:pPr>
              <w:jc w:val="right"/>
              <w:ind w:right="436"/>
              <w:spacing w:after="0"/>
              <w:rPr>
                <w:sz w:val="20"/>
                <w:szCs w:val="20"/>
                <w:color w:val="auto"/>
              </w:rPr>
            </w:pPr>
            <w:r>
              <w:rPr>
                <w:rFonts w:ascii="Arial" w:cs="Arial" w:eastAsia="Arial" w:hAnsi="Arial"/>
                <w:sz w:val="13"/>
                <w:szCs w:val="13"/>
                <w:b w:val="1"/>
                <w:bCs w:val="1"/>
                <w:color w:val="auto"/>
              </w:rPr>
              <w:t>2018</w:t>
            </w:r>
          </w:p>
        </w:tc>
        <w:tc>
          <w:tcPr>
            <w:tcW w:w="200" w:type="dxa"/>
            <w:vAlign w:val="bottom"/>
            <w:tcBorders>
              <w:bottom w:val="single" w:sz="8" w:color="auto"/>
            </w:tcBorders>
          </w:tcPr>
          <w:p>
            <w:pPr>
              <w:spacing w:after="0"/>
              <w:rPr>
                <w:sz w:val="13"/>
                <w:szCs w:val="13"/>
                <w:color w:val="auto"/>
              </w:rPr>
            </w:pPr>
          </w:p>
        </w:tc>
        <w:tc>
          <w:tcPr>
            <w:tcW w:w="20" w:type="dxa"/>
            <w:vAlign w:val="bottom"/>
            <w:tcBorders>
              <w:bottom w:val="single" w:sz="8" w:color="auto"/>
            </w:tcBorders>
          </w:tcPr>
          <w:p>
            <w:pPr>
              <w:spacing w:after="0"/>
              <w:rPr>
                <w:sz w:val="13"/>
                <w:szCs w:val="13"/>
                <w:color w:val="auto"/>
              </w:rPr>
            </w:pPr>
          </w:p>
        </w:tc>
        <w:tc>
          <w:tcPr>
            <w:tcW w:w="440" w:type="dxa"/>
            <w:vAlign w:val="bottom"/>
            <w:tcBorders>
              <w:bottom w:val="single" w:sz="8" w:color="auto"/>
            </w:tcBorders>
          </w:tcPr>
          <w:p>
            <w:pPr>
              <w:spacing w:after="0"/>
              <w:rPr>
                <w:sz w:val="13"/>
                <w:szCs w:val="13"/>
                <w:color w:val="auto"/>
              </w:rPr>
            </w:pPr>
          </w:p>
        </w:tc>
        <w:tc>
          <w:tcPr>
            <w:tcW w:w="800" w:type="dxa"/>
            <w:vAlign w:val="bottom"/>
            <w:tcBorders>
              <w:bottom w:val="single" w:sz="8" w:color="auto"/>
            </w:tcBorders>
          </w:tcPr>
          <w:p>
            <w:pPr>
              <w:jc w:val="right"/>
              <w:ind w:right="436"/>
              <w:spacing w:after="0"/>
              <w:rPr>
                <w:sz w:val="20"/>
                <w:szCs w:val="20"/>
                <w:color w:val="auto"/>
              </w:rPr>
            </w:pPr>
            <w:r>
              <w:rPr>
                <w:rFonts w:ascii="Arial" w:cs="Arial" w:eastAsia="Arial" w:hAnsi="Arial"/>
                <w:sz w:val="13"/>
                <w:szCs w:val="13"/>
                <w:b w:val="1"/>
                <w:bCs w:val="1"/>
                <w:color w:val="auto"/>
                <w:w w:val="96"/>
              </w:rPr>
              <w:t>2017</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860" w:type="dxa"/>
            <w:vAlign w:val="bottom"/>
          </w:tcPr>
          <w:p>
            <w:pPr>
              <w:spacing w:after="0"/>
              <w:rPr>
                <w:sz w:val="12"/>
                <w:szCs w:val="12"/>
                <w:color w:val="auto"/>
              </w:rPr>
            </w:pPr>
          </w:p>
        </w:tc>
        <w:tc>
          <w:tcPr>
            <w:tcW w:w="626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640" w:type="dxa"/>
            <w:vAlign w:val="bottom"/>
            <w:gridSpan w:val="4"/>
          </w:tcPr>
          <w:p>
            <w:pPr>
              <w:jc w:val="right"/>
              <w:ind w:right="93"/>
              <w:spacing w:after="0" w:line="144" w:lineRule="exact"/>
              <w:rPr>
                <w:sz w:val="20"/>
                <w:szCs w:val="20"/>
                <w:color w:val="auto"/>
              </w:rPr>
            </w:pPr>
            <w:r>
              <w:rPr>
                <w:rFonts w:ascii="Arial" w:cs="Arial" w:eastAsia="Arial" w:hAnsi="Arial"/>
                <w:sz w:val="13"/>
                <w:szCs w:val="13"/>
                <w:b w:val="1"/>
                <w:bCs w:val="1"/>
                <w:color w:val="auto"/>
              </w:rPr>
              <w:t>(in $ thousands)</w:t>
            </w:r>
          </w:p>
        </w:tc>
        <w:tc>
          <w:tcPr>
            <w:tcW w:w="8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860" w:type="dxa"/>
            <w:vAlign w:val="bottom"/>
          </w:tcPr>
          <w:p>
            <w:pPr>
              <w:spacing w:after="0"/>
              <w:rPr>
                <w:sz w:val="13"/>
                <w:szCs w:val="13"/>
                <w:color w:val="auto"/>
              </w:rPr>
            </w:pPr>
          </w:p>
        </w:tc>
        <w:tc>
          <w:tcPr>
            <w:tcW w:w="626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Assets</w:t>
            </w:r>
          </w:p>
        </w:tc>
        <w:tc>
          <w:tcPr>
            <w:tcW w:w="68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98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860" w:type="dxa"/>
            <w:vAlign w:val="bottom"/>
          </w:tcPr>
          <w:p>
            <w:pPr>
              <w:spacing w:after="0"/>
              <w:rPr>
                <w:sz w:val="13"/>
                <w:szCs w:val="13"/>
                <w:color w:val="auto"/>
              </w:rPr>
            </w:pPr>
          </w:p>
        </w:tc>
        <w:tc>
          <w:tcPr>
            <w:tcW w:w="6260" w:type="dxa"/>
            <w:vAlign w:val="bottom"/>
          </w:tcPr>
          <w:p>
            <w:pPr>
              <w:spacing w:after="0"/>
              <w:rPr>
                <w:sz w:val="20"/>
                <w:szCs w:val="20"/>
                <w:color w:val="auto"/>
              </w:rPr>
            </w:pPr>
            <w:r>
              <w:rPr>
                <w:rFonts w:ascii="Arial" w:cs="Arial" w:eastAsia="Arial" w:hAnsi="Arial"/>
                <w:sz w:val="13"/>
                <w:szCs w:val="13"/>
                <w:color w:val="auto"/>
              </w:rPr>
              <w:t>Cash and cash equivalents</w:t>
            </w:r>
          </w:p>
        </w:tc>
        <w:tc>
          <w:tcPr>
            <w:tcW w:w="960" w:type="dxa"/>
            <w:vAlign w:val="bottom"/>
            <w:gridSpan w:val="2"/>
          </w:tcPr>
          <w:p>
            <w:pPr>
              <w:jc w:val="right"/>
              <w:ind w:right="172"/>
              <w:spacing w:after="0"/>
              <w:rPr>
                <w:sz w:val="20"/>
                <w:szCs w:val="20"/>
                <w:color w:val="auto"/>
              </w:rPr>
            </w:pPr>
            <w:r>
              <w:rPr>
                <w:rFonts w:ascii="Arial" w:cs="Arial" w:eastAsia="Arial" w:hAnsi="Arial"/>
                <w:sz w:val="13"/>
                <w:szCs w:val="13"/>
                <w:color w:val="auto"/>
              </w:rPr>
              <w:t>$</w:t>
            </w:r>
          </w:p>
        </w:tc>
        <w:tc>
          <w:tcPr>
            <w:tcW w:w="980" w:type="dxa"/>
            <w:vAlign w:val="bottom"/>
          </w:tcPr>
          <w:p>
            <w:pPr>
              <w:jc w:val="right"/>
              <w:spacing w:after="0"/>
              <w:rPr>
                <w:sz w:val="20"/>
                <w:szCs w:val="20"/>
                <w:color w:val="auto"/>
              </w:rPr>
            </w:pPr>
            <w:r>
              <w:rPr>
                <w:rFonts w:ascii="Arial" w:cs="Arial" w:eastAsia="Arial" w:hAnsi="Arial"/>
                <w:sz w:val="13"/>
                <w:szCs w:val="13"/>
                <w:color w:val="auto"/>
              </w:rPr>
              <w:t>1,745,652</w:t>
            </w:r>
          </w:p>
        </w:tc>
        <w:tc>
          <w:tcPr>
            <w:tcW w:w="200" w:type="dxa"/>
            <w:vAlign w:val="bottom"/>
          </w:tcPr>
          <w:p>
            <w:pPr>
              <w:spacing w:after="0"/>
              <w:rPr>
                <w:sz w:val="13"/>
                <w:szCs w:val="13"/>
                <w:color w:val="auto"/>
              </w:rPr>
            </w:pPr>
          </w:p>
        </w:tc>
        <w:tc>
          <w:tcPr>
            <w:tcW w:w="460" w:type="dxa"/>
            <w:vAlign w:val="bottom"/>
            <w:gridSpan w:val="2"/>
          </w:tcPr>
          <w:p>
            <w:pPr>
              <w:jc w:val="right"/>
              <w:ind w:right="373"/>
              <w:spacing w:after="0"/>
              <w:rPr>
                <w:sz w:val="20"/>
                <w:szCs w:val="20"/>
                <w:color w:val="auto"/>
              </w:rPr>
            </w:pPr>
            <w:r>
              <w:rPr>
                <w:rFonts w:ascii="Arial" w:cs="Arial" w:eastAsia="Arial" w:hAnsi="Arial"/>
                <w:sz w:val="10"/>
                <w:szCs w:val="10"/>
                <w:color w:val="auto"/>
                <w:w w:val="71"/>
              </w:rPr>
              <w:t>$</w:t>
            </w:r>
          </w:p>
        </w:tc>
        <w:tc>
          <w:tcPr>
            <w:tcW w:w="800" w:type="dxa"/>
            <w:vAlign w:val="bottom"/>
          </w:tcPr>
          <w:p>
            <w:pPr>
              <w:jc w:val="right"/>
              <w:spacing w:after="0"/>
              <w:rPr>
                <w:sz w:val="20"/>
                <w:szCs w:val="20"/>
                <w:color w:val="auto"/>
              </w:rPr>
            </w:pPr>
            <w:r>
              <w:rPr>
                <w:rFonts w:ascii="Arial" w:cs="Arial" w:eastAsia="Arial" w:hAnsi="Arial"/>
                <w:sz w:val="13"/>
                <w:szCs w:val="13"/>
                <w:color w:val="auto"/>
              </w:rPr>
              <w:t>672,048</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860" w:type="dxa"/>
            <w:vAlign w:val="bottom"/>
          </w:tcPr>
          <w:p>
            <w:pPr>
              <w:spacing w:after="0"/>
              <w:rPr>
                <w:sz w:val="13"/>
                <w:szCs w:val="13"/>
                <w:color w:val="auto"/>
              </w:rPr>
            </w:pPr>
          </w:p>
        </w:tc>
        <w:tc>
          <w:tcPr>
            <w:tcW w:w="6260" w:type="dxa"/>
            <w:vAlign w:val="bottom"/>
            <w:shd w:val="clear" w:color="auto" w:fill="CCEEFF"/>
          </w:tcPr>
          <w:p>
            <w:pPr>
              <w:spacing w:after="0"/>
              <w:rPr>
                <w:sz w:val="20"/>
                <w:szCs w:val="20"/>
                <w:color w:val="auto"/>
              </w:rPr>
            </w:pPr>
            <w:r>
              <w:rPr>
                <w:rFonts w:ascii="Arial" w:cs="Arial" w:eastAsia="Arial" w:hAnsi="Arial"/>
                <w:sz w:val="13"/>
                <w:szCs w:val="13"/>
                <w:color w:val="auto"/>
              </w:rPr>
              <w:t>Securities and other financial assets, net</w:t>
            </w:r>
          </w:p>
        </w:tc>
        <w:tc>
          <w:tcPr>
            <w:tcW w:w="68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123,598</w:t>
            </w:r>
          </w:p>
        </w:tc>
        <w:tc>
          <w:tcPr>
            <w:tcW w:w="20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95,484</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860" w:type="dxa"/>
            <w:vAlign w:val="bottom"/>
          </w:tcPr>
          <w:p>
            <w:pPr>
              <w:spacing w:after="0"/>
              <w:rPr>
                <w:sz w:val="13"/>
                <w:szCs w:val="13"/>
                <w:color w:val="auto"/>
              </w:rPr>
            </w:pPr>
          </w:p>
        </w:tc>
        <w:tc>
          <w:tcPr>
            <w:tcW w:w="6260" w:type="dxa"/>
            <w:vAlign w:val="bottom"/>
          </w:tcPr>
          <w:p>
            <w:pPr>
              <w:spacing w:after="0"/>
              <w:rPr>
                <w:sz w:val="20"/>
                <w:szCs w:val="20"/>
                <w:color w:val="auto"/>
              </w:rPr>
            </w:pPr>
            <w:r>
              <w:rPr>
                <w:rFonts w:ascii="Arial" w:cs="Arial" w:eastAsia="Arial" w:hAnsi="Arial"/>
                <w:sz w:val="13"/>
                <w:szCs w:val="13"/>
                <w:color w:val="auto"/>
              </w:rPr>
              <w:t>Loans</w:t>
            </w:r>
          </w:p>
        </w:tc>
        <w:tc>
          <w:tcPr>
            <w:tcW w:w="68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980" w:type="dxa"/>
            <w:vAlign w:val="bottom"/>
          </w:tcPr>
          <w:p>
            <w:pPr>
              <w:jc w:val="right"/>
              <w:spacing w:after="0"/>
              <w:rPr>
                <w:sz w:val="20"/>
                <w:szCs w:val="20"/>
                <w:color w:val="auto"/>
              </w:rPr>
            </w:pPr>
            <w:r>
              <w:rPr>
                <w:rFonts w:ascii="Arial" w:cs="Arial" w:eastAsia="Arial" w:hAnsi="Arial"/>
                <w:sz w:val="13"/>
                <w:szCs w:val="13"/>
                <w:color w:val="auto"/>
              </w:rPr>
              <w:t>5,778,424</w:t>
            </w:r>
          </w:p>
        </w:tc>
        <w:tc>
          <w:tcPr>
            <w:tcW w:w="2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440" w:type="dxa"/>
            <w:vAlign w:val="bottom"/>
          </w:tcPr>
          <w:p>
            <w:pPr>
              <w:spacing w:after="0"/>
              <w:rPr>
                <w:sz w:val="13"/>
                <w:szCs w:val="13"/>
                <w:color w:val="auto"/>
              </w:rPr>
            </w:pPr>
          </w:p>
        </w:tc>
        <w:tc>
          <w:tcPr>
            <w:tcW w:w="800" w:type="dxa"/>
            <w:vAlign w:val="bottom"/>
          </w:tcPr>
          <w:p>
            <w:pPr>
              <w:jc w:val="right"/>
              <w:spacing w:after="0"/>
              <w:rPr>
                <w:sz w:val="20"/>
                <w:szCs w:val="20"/>
                <w:color w:val="auto"/>
              </w:rPr>
            </w:pPr>
            <w:r>
              <w:rPr>
                <w:rFonts w:ascii="Arial" w:cs="Arial" w:eastAsia="Arial" w:hAnsi="Arial"/>
                <w:sz w:val="13"/>
                <w:szCs w:val="13"/>
                <w:color w:val="auto"/>
              </w:rPr>
              <w:t>5,505,658</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860" w:type="dxa"/>
            <w:vAlign w:val="bottom"/>
          </w:tcPr>
          <w:p>
            <w:pPr>
              <w:spacing w:after="0"/>
              <w:rPr>
                <w:sz w:val="13"/>
                <w:szCs w:val="13"/>
                <w:color w:val="auto"/>
              </w:rPr>
            </w:pPr>
          </w:p>
        </w:tc>
        <w:tc>
          <w:tcPr>
            <w:tcW w:w="6260" w:type="dxa"/>
            <w:vAlign w:val="bottom"/>
            <w:shd w:val="clear" w:color="auto" w:fill="CCEEFF"/>
          </w:tcPr>
          <w:p>
            <w:pPr>
              <w:ind w:left="120"/>
              <w:spacing w:after="0"/>
              <w:rPr>
                <w:sz w:val="20"/>
                <w:szCs w:val="20"/>
                <w:color w:val="auto"/>
              </w:rPr>
            </w:pPr>
            <w:r>
              <w:rPr>
                <w:rFonts w:ascii="Arial" w:cs="Arial" w:eastAsia="Arial" w:hAnsi="Arial"/>
                <w:sz w:val="13"/>
                <w:szCs w:val="13"/>
                <w:color w:val="auto"/>
              </w:rPr>
              <w:t>Interest receivable</w:t>
            </w:r>
          </w:p>
        </w:tc>
        <w:tc>
          <w:tcPr>
            <w:tcW w:w="68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41,144</w:t>
            </w:r>
          </w:p>
        </w:tc>
        <w:tc>
          <w:tcPr>
            <w:tcW w:w="20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29,409</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860" w:type="dxa"/>
            <w:vAlign w:val="bottom"/>
          </w:tcPr>
          <w:p>
            <w:pPr>
              <w:spacing w:after="0"/>
              <w:rPr>
                <w:sz w:val="13"/>
                <w:szCs w:val="13"/>
                <w:color w:val="auto"/>
              </w:rPr>
            </w:pPr>
          </w:p>
        </w:tc>
        <w:tc>
          <w:tcPr>
            <w:tcW w:w="6260" w:type="dxa"/>
            <w:vAlign w:val="bottom"/>
          </w:tcPr>
          <w:p>
            <w:pPr>
              <w:ind w:left="120"/>
              <w:spacing w:after="0"/>
              <w:rPr>
                <w:sz w:val="20"/>
                <w:szCs w:val="20"/>
                <w:color w:val="auto"/>
              </w:rPr>
            </w:pPr>
            <w:r>
              <w:rPr>
                <w:rFonts w:ascii="Arial" w:cs="Arial" w:eastAsia="Arial" w:hAnsi="Arial"/>
                <w:sz w:val="13"/>
                <w:szCs w:val="13"/>
                <w:color w:val="auto"/>
              </w:rPr>
              <w:t>Allowance for loan losses</w:t>
            </w:r>
          </w:p>
        </w:tc>
        <w:tc>
          <w:tcPr>
            <w:tcW w:w="68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1180" w:type="dxa"/>
            <w:vAlign w:val="bottom"/>
            <w:gridSpan w:val="2"/>
          </w:tcPr>
          <w:p>
            <w:pPr>
              <w:jc w:val="right"/>
              <w:ind w:right="160"/>
              <w:spacing w:after="0"/>
              <w:rPr>
                <w:sz w:val="20"/>
                <w:szCs w:val="20"/>
                <w:color w:val="auto"/>
              </w:rPr>
            </w:pPr>
            <w:r>
              <w:rPr>
                <w:rFonts w:ascii="Arial" w:cs="Arial" w:eastAsia="Arial" w:hAnsi="Arial"/>
                <w:sz w:val="13"/>
                <w:szCs w:val="13"/>
                <w:color w:val="auto"/>
              </w:rPr>
              <w:t>(100,785)</w:t>
            </w:r>
          </w:p>
        </w:tc>
        <w:tc>
          <w:tcPr>
            <w:tcW w:w="20" w:type="dxa"/>
            <w:vAlign w:val="bottom"/>
          </w:tcPr>
          <w:p>
            <w:pPr>
              <w:spacing w:after="0"/>
              <w:rPr>
                <w:sz w:val="13"/>
                <w:szCs w:val="13"/>
                <w:color w:val="auto"/>
              </w:rPr>
            </w:pPr>
          </w:p>
        </w:tc>
        <w:tc>
          <w:tcPr>
            <w:tcW w:w="440" w:type="dxa"/>
            <w:vAlign w:val="bottom"/>
          </w:tcPr>
          <w:p>
            <w:pPr>
              <w:spacing w:after="0"/>
              <w:rPr>
                <w:sz w:val="13"/>
                <w:szCs w:val="13"/>
                <w:color w:val="auto"/>
              </w:rPr>
            </w:pPr>
          </w:p>
        </w:tc>
        <w:tc>
          <w:tcPr>
            <w:tcW w:w="900" w:type="dxa"/>
            <w:vAlign w:val="bottom"/>
            <w:gridSpan w:val="2"/>
          </w:tcPr>
          <w:p>
            <w:pPr>
              <w:jc w:val="right"/>
              <w:ind w:right="60"/>
              <w:spacing w:after="0"/>
              <w:rPr>
                <w:sz w:val="20"/>
                <w:szCs w:val="20"/>
                <w:color w:val="auto"/>
              </w:rPr>
            </w:pPr>
            <w:r>
              <w:rPr>
                <w:rFonts w:ascii="Arial" w:cs="Arial" w:eastAsia="Arial" w:hAnsi="Arial"/>
                <w:sz w:val="13"/>
                <w:szCs w:val="13"/>
                <w:color w:val="auto"/>
              </w:rPr>
              <w:t>(81,294)</w:t>
            </w:r>
          </w:p>
        </w:tc>
        <w:tc>
          <w:tcPr>
            <w:tcW w:w="0" w:type="dxa"/>
            <w:vAlign w:val="bottom"/>
          </w:tcPr>
          <w:p>
            <w:pPr>
              <w:spacing w:after="0"/>
              <w:rPr>
                <w:sz w:val="1"/>
                <w:szCs w:val="1"/>
                <w:color w:val="auto"/>
              </w:rPr>
            </w:pPr>
          </w:p>
        </w:tc>
      </w:tr>
      <w:tr>
        <w:trPr>
          <w:trHeight w:val="164"/>
        </w:trPr>
        <w:tc>
          <w:tcPr>
            <w:tcW w:w="860" w:type="dxa"/>
            <w:vAlign w:val="bottom"/>
          </w:tcPr>
          <w:p>
            <w:pPr>
              <w:spacing w:after="0"/>
              <w:rPr>
                <w:sz w:val="14"/>
                <w:szCs w:val="14"/>
                <w:color w:val="auto"/>
              </w:rPr>
            </w:pPr>
          </w:p>
        </w:tc>
        <w:tc>
          <w:tcPr>
            <w:tcW w:w="6260" w:type="dxa"/>
            <w:vAlign w:val="bottom"/>
            <w:shd w:val="clear" w:color="auto" w:fill="CCEEFF"/>
          </w:tcPr>
          <w:p>
            <w:pPr>
              <w:ind w:left="120"/>
              <w:spacing w:after="0"/>
              <w:rPr>
                <w:sz w:val="20"/>
                <w:szCs w:val="20"/>
                <w:color w:val="auto"/>
              </w:rPr>
            </w:pPr>
            <w:r>
              <w:rPr>
                <w:rFonts w:ascii="Arial" w:cs="Arial" w:eastAsia="Arial" w:hAnsi="Arial"/>
                <w:sz w:val="13"/>
                <w:szCs w:val="13"/>
                <w:color w:val="auto"/>
              </w:rPr>
              <w:t>Unearned interest and deferred fees</w:t>
            </w:r>
          </w:p>
        </w:tc>
        <w:tc>
          <w:tcPr>
            <w:tcW w:w="680" w:type="dxa"/>
            <w:vAlign w:val="bottom"/>
            <w:shd w:val="clear" w:color="auto" w:fill="CCEEFF"/>
          </w:tcPr>
          <w:p>
            <w:pPr>
              <w:spacing w:after="0"/>
              <w:rPr>
                <w:sz w:val="14"/>
                <w:szCs w:val="14"/>
                <w:color w:val="auto"/>
              </w:rPr>
            </w:pPr>
          </w:p>
        </w:tc>
        <w:tc>
          <w:tcPr>
            <w:tcW w:w="280" w:type="dxa"/>
            <w:vAlign w:val="bottom"/>
            <w:shd w:val="clear" w:color="auto" w:fill="CCEEFF"/>
          </w:tcPr>
          <w:p>
            <w:pPr>
              <w:spacing w:after="0"/>
              <w:rPr>
                <w:sz w:val="14"/>
                <w:szCs w:val="14"/>
                <w:color w:val="auto"/>
              </w:rPr>
            </w:pPr>
          </w:p>
        </w:tc>
        <w:tc>
          <w:tcPr>
            <w:tcW w:w="118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(16,525)</w:t>
            </w:r>
          </w:p>
        </w:tc>
        <w:tc>
          <w:tcPr>
            <w:tcW w:w="20" w:type="dxa"/>
            <w:vAlign w:val="bottom"/>
            <w:shd w:val="clear" w:color="auto" w:fill="CCEEFF"/>
          </w:tcPr>
          <w:p>
            <w:pPr>
              <w:spacing w:after="0"/>
              <w:rPr>
                <w:sz w:val="14"/>
                <w:szCs w:val="14"/>
                <w:color w:val="auto"/>
              </w:rPr>
            </w:pPr>
          </w:p>
        </w:tc>
        <w:tc>
          <w:tcPr>
            <w:tcW w:w="440" w:type="dxa"/>
            <w:vAlign w:val="bottom"/>
            <w:shd w:val="clear" w:color="auto" w:fill="CCEEFF"/>
          </w:tcPr>
          <w:p>
            <w:pPr>
              <w:spacing w:after="0"/>
              <w:rPr>
                <w:sz w:val="14"/>
                <w:szCs w:val="14"/>
                <w:color w:val="auto"/>
              </w:rPr>
            </w:pPr>
          </w:p>
        </w:tc>
        <w:tc>
          <w:tcPr>
            <w:tcW w:w="9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(4,985)</w:t>
            </w:r>
          </w:p>
        </w:tc>
        <w:tc>
          <w:tcPr>
            <w:tcW w:w="0" w:type="dxa"/>
            <w:vAlign w:val="bottom"/>
          </w:tcPr>
          <w:p>
            <w:pPr>
              <w:spacing w:after="0"/>
              <w:rPr>
                <w:sz w:val="1"/>
                <w:szCs w:val="1"/>
                <w:color w:val="auto"/>
              </w:rPr>
            </w:pPr>
          </w:p>
        </w:tc>
      </w:tr>
      <w:tr>
        <w:trPr>
          <w:trHeight w:val="144"/>
        </w:trPr>
        <w:tc>
          <w:tcPr>
            <w:tcW w:w="7120" w:type="dxa"/>
            <w:vAlign w:val="bottom"/>
            <w:gridSpan w:val="2"/>
          </w:tcPr>
          <w:p>
            <w:pPr>
              <w:ind w:left="860"/>
              <w:spacing w:after="0" w:line="143" w:lineRule="exact"/>
              <w:rPr>
                <w:sz w:val="20"/>
                <w:szCs w:val="20"/>
                <w:color w:val="auto"/>
              </w:rPr>
            </w:pPr>
            <w:r>
              <w:rPr>
                <w:rFonts w:ascii="Arial" w:cs="Arial" w:eastAsia="Arial" w:hAnsi="Arial"/>
                <w:sz w:val="13"/>
                <w:szCs w:val="13"/>
                <w:color w:val="auto"/>
              </w:rPr>
              <w:t>Loans, net</w:t>
            </w:r>
          </w:p>
        </w:tc>
        <w:tc>
          <w:tcPr>
            <w:tcW w:w="680" w:type="dxa"/>
            <w:vAlign w:val="bottom"/>
          </w:tcPr>
          <w:p>
            <w:pPr>
              <w:spacing w:after="0"/>
              <w:rPr>
                <w:sz w:val="12"/>
                <w:szCs w:val="12"/>
                <w:color w:val="auto"/>
              </w:rPr>
            </w:pPr>
          </w:p>
        </w:tc>
        <w:tc>
          <w:tcPr>
            <w:tcW w:w="280" w:type="dxa"/>
            <w:vAlign w:val="bottom"/>
            <w:tcBorders>
              <w:top w:val="single" w:sz="8" w:color="auto"/>
            </w:tcBorders>
          </w:tcPr>
          <w:p>
            <w:pPr>
              <w:spacing w:after="0"/>
              <w:rPr>
                <w:sz w:val="12"/>
                <w:szCs w:val="12"/>
                <w:color w:val="auto"/>
              </w:rPr>
            </w:pPr>
          </w:p>
        </w:tc>
        <w:tc>
          <w:tcPr>
            <w:tcW w:w="98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5,702,258</w:t>
            </w:r>
          </w:p>
        </w:tc>
        <w:tc>
          <w:tcPr>
            <w:tcW w:w="2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440" w:type="dxa"/>
            <w:vAlign w:val="bottom"/>
            <w:tcBorders>
              <w:top w:val="single" w:sz="8" w:color="auto"/>
            </w:tcBorders>
          </w:tcPr>
          <w:p>
            <w:pPr>
              <w:spacing w:after="0"/>
              <w:rPr>
                <w:sz w:val="12"/>
                <w:szCs w:val="12"/>
                <w:color w:val="auto"/>
              </w:rPr>
            </w:pPr>
          </w:p>
        </w:tc>
        <w:tc>
          <w:tcPr>
            <w:tcW w:w="8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5,448,788</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860" w:type="dxa"/>
            <w:vAlign w:val="bottom"/>
            <w:vMerge w:val="restart"/>
          </w:tcPr>
          <w:p>
            <w:pPr>
              <w:spacing w:after="0"/>
              <w:rPr>
                <w:sz w:val="13"/>
                <w:szCs w:val="13"/>
                <w:color w:val="auto"/>
              </w:rPr>
            </w:pPr>
          </w:p>
        </w:tc>
        <w:tc>
          <w:tcPr>
            <w:tcW w:w="6260" w:type="dxa"/>
            <w:vAlign w:val="bottom"/>
            <w:shd w:val="clear" w:color="auto" w:fill="CCEEFF"/>
          </w:tcPr>
          <w:p>
            <w:pPr>
              <w:spacing w:after="0"/>
              <w:rPr>
                <w:sz w:val="13"/>
                <w:szCs w:val="13"/>
                <w:color w:val="auto"/>
              </w:rPr>
            </w:pPr>
          </w:p>
        </w:tc>
        <w:tc>
          <w:tcPr>
            <w:tcW w:w="68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98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860" w:type="dxa"/>
            <w:vAlign w:val="bottom"/>
            <w:vMerge w:val="continue"/>
          </w:tcPr>
          <w:p>
            <w:pPr>
              <w:spacing w:after="0"/>
              <w:rPr>
                <w:sz w:val="13"/>
                <w:szCs w:val="13"/>
                <w:color w:val="auto"/>
              </w:rPr>
            </w:pPr>
          </w:p>
        </w:tc>
        <w:tc>
          <w:tcPr>
            <w:tcW w:w="6260" w:type="dxa"/>
            <w:vAlign w:val="bottom"/>
          </w:tcPr>
          <w:p>
            <w:pPr>
              <w:spacing w:after="0"/>
              <w:rPr>
                <w:sz w:val="20"/>
                <w:szCs w:val="20"/>
                <w:color w:val="auto"/>
              </w:rPr>
            </w:pPr>
            <w:r>
              <w:rPr>
                <w:rFonts w:ascii="Arial" w:cs="Arial" w:eastAsia="Arial" w:hAnsi="Arial"/>
                <w:sz w:val="13"/>
                <w:szCs w:val="13"/>
                <w:color w:val="auto"/>
              </w:rPr>
              <w:t>Customers’ liabilities under acceptances</w:t>
            </w:r>
          </w:p>
        </w:tc>
        <w:tc>
          <w:tcPr>
            <w:tcW w:w="68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980" w:type="dxa"/>
            <w:vAlign w:val="bottom"/>
          </w:tcPr>
          <w:p>
            <w:pPr>
              <w:jc w:val="right"/>
              <w:spacing w:after="0"/>
              <w:rPr>
                <w:sz w:val="20"/>
                <w:szCs w:val="20"/>
                <w:color w:val="auto"/>
              </w:rPr>
            </w:pPr>
            <w:r>
              <w:rPr>
                <w:rFonts w:ascii="Arial" w:cs="Arial" w:eastAsia="Arial" w:hAnsi="Arial"/>
                <w:sz w:val="13"/>
                <w:szCs w:val="13"/>
                <w:color w:val="auto"/>
              </w:rPr>
              <w:t>9,696</w:t>
            </w:r>
          </w:p>
        </w:tc>
        <w:tc>
          <w:tcPr>
            <w:tcW w:w="2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440" w:type="dxa"/>
            <w:vAlign w:val="bottom"/>
          </w:tcPr>
          <w:p>
            <w:pPr>
              <w:spacing w:after="0"/>
              <w:rPr>
                <w:sz w:val="13"/>
                <w:szCs w:val="13"/>
                <w:color w:val="auto"/>
              </w:rPr>
            </w:pPr>
          </w:p>
        </w:tc>
        <w:tc>
          <w:tcPr>
            <w:tcW w:w="800" w:type="dxa"/>
            <w:vAlign w:val="bottom"/>
          </w:tcPr>
          <w:p>
            <w:pPr>
              <w:jc w:val="right"/>
              <w:spacing w:after="0"/>
              <w:rPr>
                <w:sz w:val="20"/>
                <w:szCs w:val="20"/>
                <w:color w:val="auto"/>
              </w:rPr>
            </w:pPr>
            <w:r>
              <w:rPr>
                <w:rFonts w:ascii="Arial" w:cs="Arial" w:eastAsia="Arial" w:hAnsi="Arial"/>
                <w:sz w:val="13"/>
                <w:szCs w:val="13"/>
                <w:color w:val="auto"/>
              </w:rPr>
              <w:t>6,369</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860" w:type="dxa"/>
            <w:vAlign w:val="bottom"/>
          </w:tcPr>
          <w:p>
            <w:pPr>
              <w:spacing w:after="0"/>
              <w:rPr>
                <w:sz w:val="13"/>
                <w:szCs w:val="13"/>
                <w:color w:val="auto"/>
              </w:rPr>
            </w:pPr>
          </w:p>
        </w:tc>
        <w:tc>
          <w:tcPr>
            <w:tcW w:w="6260" w:type="dxa"/>
            <w:vAlign w:val="bottom"/>
            <w:shd w:val="clear" w:color="auto" w:fill="CCEEFF"/>
          </w:tcPr>
          <w:p>
            <w:pPr>
              <w:spacing w:after="0"/>
              <w:rPr>
                <w:sz w:val="20"/>
                <w:szCs w:val="20"/>
                <w:color w:val="auto"/>
              </w:rPr>
            </w:pPr>
            <w:r>
              <w:rPr>
                <w:rFonts w:ascii="Arial" w:cs="Arial" w:eastAsia="Arial" w:hAnsi="Arial"/>
                <w:sz w:val="13"/>
                <w:szCs w:val="13"/>
                <w:color w:val="auto"/>
              </w:rPr>
              <w:t>Derivative financial instruments - assets</w:t>
            </w:r>
          </w:p>
        </w:tc>
        <w:tc>
          <w:tcPr>
            <w:tcW w:w="68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2,688</w:t>
            </w:r>
          </w:p>
        </w:tc>
        <w:tc>
          <w:tcPr>
            <w:tcW w:w="20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13,338</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860" w:type="dxa"/>
            <w:vAlign w:val="bottom"/>
          </w:tcPr>
          <w:p>
            <w:pPr>
              <w:spacing w:after="0"/>
              <w:rPr>
                <w:sz w:val="13"/>
                <w:szCs w:val="13"/>
                <w:color w:val="auto"/>
              </w:rPr>
            </w:pPr>
          </w:p>
        </w:tc>
        <w:tc>
          <w:tcPr>
            <w:tcW w:w="6260" w:type="dxa"/>
            <w:vAlign w:val="bottom"/>
          </w:tcPr>
          <w:p>
            <w:pPr>
              <w:spacing w:after="0"/>
              <w:rPr>
                <w:sz w:val="20"/>
                <w:szCs w:val="20"/>
                <w:color w:val="auto"/>
              </w:rPr>
            </w:pPr>
            <w:r>
              <w:rPr>
                <w:rFonts w:ascii="Arial" w:cs="Arial" w:eastAsia="Arial" w:hAnsi="Arial"/>
                <w:sz w:val="13"/>
                <w:szCs w:val="13"/>
                <w:color w:val="auto"/>
              </w:rPr>
              <w:t>Equipment and leasehold improvements, net</w:t>
            </w:r>
          </w:p>
        </w:tc>
        <w:tc>
          <w:tcPr>
            <w:tcW w:w="68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980" w:type="dxa"/>
            <w:vAlign w:val="bottom"/>
          </w:tcPr>
          <w:p>
            <w:pPr>
              <w:jc w:val="right"/>
              <w:spacing w:after="0"/>
              <w:rPr>
                <w:sz w:val="20"/>
                <w:szCs w:val="20"/>
                <w:color w:val="auto"/>
              </w:rPr>
            </w:pPr>
            <w:r>
              <w:rPr>
                <w:rFonts w:ascii="Arial" w:cs="Arial" w:eastAsia="Arial" w:hAnsi="Arial"/>
                <w:sz w:val="13"/>
                <w:szCs w:val="13"/>
                <w:color w:val="auto"/>
              </w:rPr>
              <w:t>6,686</w:t>
            </w:r>
          </w:p>
        </w:tc>
        <w:tc>
          <w:tcPr>
            <w:tcW w:w="2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440" w:type="dxa"/>
            <w:vAlign w:val="bottom"/>
          </w:tcPr>
          <w:p>
            <w:pPr>
              <w:spacing w:after="0"/>
              <w:rPr>
                <w:sz w:val="13"/>
                <w:szCs w:val="13"/>
                <w:color w:val="auto"/>
              </w:rPr>
            </w:pPr>
          </w:p>
        </w:tc>
        <w:tc>
          <w:tcPr>
            <w:tcW w:w="800" w:type="dxa"/>
            <w:vAlign w:val="bottom"/>
          </w:tcPr>
          <w:p>
            <w:pPr>
              <w:jc w:val="right"/>
              <w:spacing w:after="0"/>
              <w:rPr>
                <w:sz w:val="20"/>
                <w:szCs w:val="20"/>
                <w:color w:val="auto"/>
              </w:rPr>
            </w:pPr>
            <w:r>
              <w:rPr>
                <w:rFonts w:ascii="Arial" w:cs="Arial" w:eastAsia="Arial" w:hAnsi="Arial"/>
                <w:sz w:val="13"/>
                <w:szCs w:val="13"/>
                <w:color w:val="auto"/>
              </w:rPr>
              <w:t>7,420</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860" w:type="dxa"/>
            <w:vAlign w:val="bottom"/>
          </w:tcPr>
          <w:p>
            <w:pPr>
              <w:spacing w:after="0"/>
              <w:rPr>
                <w:sz w:val="13"/>
                <w:szCs w:val="13"/>
                <w:color w:val="auto"/>
              </w:rPr>
            </w:pPr>
          </w:p>
        </w:tc>
        <w:tc>
          <w:tcPr>
            <w:tcW w:w="6260" w:type="dxa"/>
            <w:vAlign w:val="bottom"/>
            <w:shd w:val="clear" w:color="auto" w:fill="CCEEFF"/>
          </w:tcPr>
          <w:p>
            <w:pPr>
              <w:spacing w:after="0"/>
              <w:rPr>
                <w:sz w:val="20"/>
                <w:szCs w:val="20"/>
                <w:color w:val="auto"/>
              </w:rPr>
            </w:pPr>
            <w:r>
              <w:rPr>
                <w:rFonts w:ascii="Arial" w:cs="Arial" w:eastAsia="Arial" w:hAnsi="Arial"/>
                <w:sz w:val="13"/>
                <w:szCs w:val="13"/>
                <w:color w:val="auto"/>
              </w:rPr>
              <w:t>Intangibles, net</w:t>
            </w:r>
          </w:p>
        </w:tc>
        <w:tc>
          <w:tcPr>
            <w:tcW w:w="68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1,633</w:t>
            </w:r>
          </w:p>
        </w:tc>
        <w:tc>
          <w:tcPr>
            <w:tcW w:w="20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5,425</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860" w:type="dxa"/>
            <w:vAlign w:val="bottom"/>
          </w:tcPr>
          <w:p>
            <w:pPr>
              <w:spacing w:after="0"/>
              <w:rPr>
                <w:sz w:val="13"/>
                <w:szCs w:val="13"/>
                <w:color w:val="auto"/>
              </w:rPr>
            </w:pPr>
          </w:p>
        </w:tc>
        <w:tc>
          <w:tcPr>
            <w:tcW w:w="6260" w:type="dxa"/>
            <w:vAlign w:val="bottom"/>
          </w:tcPr>
          <w:p>
            <w:pPr>
              <w:spacing w:after="0"/>
              <w:rPr>
                <w:sz w:val="20"/>
                <w:szCs w:val="20"/>
                <w:color w:val="auto"/>
              </w:rPr>
            </w:pPr>
            <w:r>
              <w:rPr>
                <w:rFonts w:ascii="Arial" w:cs="Arial" w:eastAsia="Arial" w:hAnsi="Arial"/>
                <w:sz w:val="13"/>
                <w:szCs w:val="13"/>
                <w:color w:val="auto"/>
              </w:rPr>
              <w:t>Investment properties</w:t>
            </w:r>
          </w:p>
        </w:tc>
        <w:tc>
          <w:tcPr>
            <w:tcW w:w="68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980" w:type="dxa"/>
            <w:vAlign w:val="bottom"/>
          </w:tcPr>
          <w:p>
            <w:pPr>
              <w:jc w:val="right"/>
              <w:spacing w:after="0"/>
              <w:rPr>
                <w:sz w:val="20"/>
                <w:szCs w:val="20"/>
                <w:color w:val="auto"/>
              </w:rPr>
            </w:pPr>
            <w:r>
              <w:rPr>
                <w:rFonts w:ascii="Arial" w:cs="Arial" w:eastAsia="Arial" w:hAnsi="Arial"/>
                <w:sz w:val="13"/>
                <w:szCs w:val="13"/>
                <w:color w:val="auto"/>
              </w:rPr>
              <w:t>0</w:t>
            </w:r>
          </w:p>
        </w:tc>
        <w:tc>
          <w:tcPr>
            <w:tcW w:w="2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440" w:type="dxa"/>
            <w:vAlign w:val="bottom"/>
          </w:tcPr>
          <w:p>
            <w:pPr>
              <w:spacing w:after="0"/>
              <w:rPr>
                <w:sz w:val="13"/>
                <w:szCs w:val="13"/>
                <w:color w:val="auto"/>
              </w:rPr>
            </w:pPr>
          </w:p>
        </w:tc>
        <w:tc>
          <w:tcPr>
            <w:tcW w:w="800" w:type="dxa"/>
            <w:vAlign w:val="bottom"/>
          </w:tcPr>
          <w:p>
            <w:pPr>
              <w:jc w:val="right"/>
              <w:spacing w:after="0"/>
              <w:rPr>
                <w:sz w:val="20"/>
                <w:szCs w:val="20"/>
                <w:color w:val="auto"/>
              </w:rPr>
            </w:pPr>
            <w:r>
              <w:rPr>
                <w:rFonts w:ascii="Arial" w:cs="Arial" w:eastAsia="Arial" w:hAnsi="Arial"/>
                <w:sz w:val="13"/>
                <w:szCs w:val="13"/>
                <w:color w:val="auto"/>
              </w:rPr>
              <w:t>5,119</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860" w:type="dxa"/>
            <w:vAlign w:val="bottom"/>
          </w:tcPr>
          <w:p>
            <w:pPr>
              <w:spacing w:after="0"/>
              <w:rPr>
                <w:sz w:val="14"/>
                <w:szCs w:val="14"/>
                <w:color w:val="auto"/>
              </w:rPr>
            </w:pPr>
          </w:p>
        </w:tc>
        <w:tc>
          <w:tcPr>
            <w:tcW w:w="6260" w:type="dxa"/>
            <w:vAlign w:val="bottom"/>
            <w:shd w:val="clear" w:color="auto" w:fill="CCEEFF"/>
          </w:tcPr>
          <w:p>
            <w:pPr>
              <w:spacing w:after="0"/>
              <w:rPr>
                <w:sz w:val="20"/>
                <w:szCs w:val="20"/>
                <w:color w:val="auto"/>
              </w:rPr>
            </w:pPr>
            <w:r>
              <w:rPr>
                <w:rFonts w:ascii="Arial" w:cs="Arial" w:eastAsia="Arial" w:hAnsi="Arial"/>
                <w:sz w:val="13"/>
                <w:szCs w:val="13"/>
                <w:color w:val="auto"/>
              </w:rPr>
              <w:t>Other assets</w:t>
            </w:r>
          </w:p>
        </w:tc>
        <w:tc>
          <w:tcPr>
            <w:tcW w:w="680" w:type="dxa"/>
            <w:vAlign w:val="bottom"/>
            <w:shd w:val="clear" w:color="auto" w:fill="CCEEFF"/>
          </w:tcPr>
          <w:p>
            <w:pPr>
              <w:spacing w:after="0"/>
              <w:rPr>
                <w:sz w:val="14"/>
                <w:szCs w:val="14"/>
                <w:color w:val="auto"/>
              </w:rPr>
            </w:pPr>
          </w:p>
        </w:tc>
        <w:tc>
          <w:tcPr>
            <w:tcW w:w="280" w:type="dxa"/>
            <w:vAlign w:val="bottom"/>
            <w:tcBorders>
              <w:bottom w:val="single" w:sz="8" w:color="auto"/>
            </w:tcBorders>
            <w:shd w:val="clear" w:color="auto" w:fill="CCEEFF"/>
          </w:tcPr>
          <w:p>
            <w:pPr>
              <w:spacing w:after="0"/>
              <w:rPr>
                <w:sz w:val="14"/>
                <w:szCs w:val="14"/>
                <w:color w:val="auto"/>
              </w:rPr>
            </w:pPr>
          </w:p>
        </w:tc>
        <w:tc>
          <w:tcPr>
            <w:tcW w:w="9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16,974</w:t>
            </w:r>
          </w:p>
        </w:tc>
        <w:tc>
          <w:tcPr>
            <w:tcW w:w="200" w:type="dxa"/>
            <w:vAlign w:val="bottom"/>
            <w:shd w:val="clear" w:color="auto" w:fill="CCEEFF"/>
          </w:tcPr>
          <w:p>
            <w:pPr>
              <w:spacing w:after="0"/>
              <w:rPr>
                <w:sz w:val="14"/>
                <w:szCs w:val="14"/>
                <w:color w:val="auto"/>
              </w:rPr>
            </w:pPr>
          </w:p>
        </w:tc>
        <w:tc>
          <w:tcPr>
            <w:tcW w:w="20" w:type="dxa"/>
            <w:vAlign w:val="bottom"/>
            <w:shd w:val="clear" w:color="auto" w:fill="CCEEFF"/>
          </w:tcPr>
          <w:p>
            <w:pPr>
              <w:spacing w:after="0"/>
              <w:rPr>
                <w:sz w:val="14"/>
                <w:szCs w:val="14"/>
                <w:color w:val="auto"/>
              </w:rPr>
            </w:pPr>
          </w:p>
        </w:tc>
        <w:tc>
          <w:tcPr>
            <w:tcW w:w="440" w:type="dxa"/>
            <w:vAlign w:val="bottom"/>
            <w:tcBorders>
              <w:bottom w:val="single" w:sz="8" w:color="auto"/>
            </w:tcBorders>
            <w:shd w:val="clear" w:color="auto" w:fill="CCEEFF"/>
          </w:tcPr>
          <w:p>
            <w:pPr>
              <w:spacing w:after="0"/>
              <w:rPr>
                <w:sz w:val="14"/>
                <w:szCs w:val="14"/>
                <w:color w:val="auto"/>
              </w:rPr>
            </w:pPr>
          </w:p>
        </w:tc>
        <w:tc>
          <w:tcPr>
            <w:tcW w:w="8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13,756</w:t>
            </w:r>
          </w:p>
        </w:tc>
        <w:tc>
          <w:tcPr>
            <w:tcW w:w="1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860" w:type="dxa"/>
            <w:vAlign w:val="bottom"/>
          </w:tcPr>
          <w:p>
            <w:pPr>
              <w:spacing w:after="0"/>
              <w:rPr>
                <w:sz w:val="14"/>
                <w:szCs w:val="14"/>
                <w:color w:val="auto"/>
              </w:rPr>
            </w:pPr>
          </w:p>
        </w:tc>
        <w:tc>
          <w:tcPr>
            <w:tcW w:w="6260" w:type="dxa"/>
            <w:vAlign w:val="bottom"/>
            <w:tcBorders>
              <w:bottom w:val="single" w:sz="8" w:color="CCEEFF"/>
            </w:tcBorders>
          </w:tcPr>
          <w:p>
            <w:pPr>
              <w:spacing w:after="0" w:line="146" w:lineRule="exact"/>
              <w:rPr>
                <w:sz w:val="20"/>
                <w:szCs w:val="20"/>
                <w:color w:val="auto"/>
              </w:rPr>
            </w:pPr>
            <w:r>
              <w:rPr>
                <w:rFonts w:ascii="Arial" w:cs="Arial" w:eastAsia="Arial" w:hAnsi="Arial"/>
                <w:sz w:val="13"/>
                <w:szCs w:val="13"/>
                <w:b w:val="1"/>
                <w:bCs w:val="1"/>
                <w:color w:val="auto"/>
              </w:rPr>
              <w:t>Total Assets</w:t>
            </w:r>
          </w:p>
        </w:tc>
        <w:tc>
          <w:tcPr>
            <w:tcW w:w="680" w:type="dxa"/>
            <w:vAlign w:val="bottom"/>
            <w:tcBorders>
              <w:bottom w:val="single" w:sz="8" w:color="CCEEFF"/>
            </w:tcBorders>
          </w:tcPr>
          <w:p>
            <w:pPr>
              <w:spacing w:after="0"/>
              <w:rPr>
                <w:sz w:val="14"/>
                <w:szCs w:val="14"/>
                <w:color w:val="auto"/>
              </w:rPr>
            </w:pPr>
          </w:p>
        </w:tc>
        <w:tc>
          <w:tcPr>
            <w:tcW w:w="280" w:type="dxa"/>
            <w:vAlign w:val="bottom"/>
            <w:tcBorders>
              <w:bottom w:val="single" w:sz="8" w:color="auto"/>
            </w:tcBorders>
          </w:tcPr>
          <w:p>
            <w:pPr>
              <w:jc w:val="right"/>
              <w:ind w:right="172"/>
              <w:spacing w:after="0"/>
              <w:rPr>
                <w:sz w:val="20"/>
                <w:szCs w:val="20"/>
                <w:color w:val="auto"/>
              </w:rPr>
            </w:pPr>
            <w:r>
              <w:rPr>
                <w:rFonts w:ascii="Arial" w:cs="Arial" w:eastAsia="Arial" w:hAnsi="Arial"/>
                <w:sz w:val="10"/>
                <w:szCs w:val="10"/>
                <w:b w:val="1"/>
                <w:bCs w:val="1"/>
                <w:color w:val="auto"/>
                <w:w w:val="71"/>
              </w:rPr>
              <w:t>$</w:t>
            </w:r>
          </w:p>
        </w:tc>
        <w:tc>
          <w:tcPr>
            <w:tcW w:w="98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7,609,185</w:t>
            </w:r>
          </w:p>
        </w:tc>
        <w:tc>
          <w:tcPr>
            <w:tcW w:w="200" w:type="dxa"/>
            <w:vAlign w:val="bottom"/>
            <w:tcBorders>
              <w:bottom w:val="single" w:sz="8" w:color="CCEEFF"/>
            </w:tcBorders>
          </w:tcPr>
          <w:p>
            <w:pPr>
              <w:spacing w:after="0"/>
              <w:rPr>
                <w:sz w:val="14"/>
                <w:szCs w:val="14"/>
                <w:color w:val="auto"/>
              </w:rPr>
            </w:pPr>
          </w:p>
        </w:tc>
        <w:tc>
          <w:tcPr>
            <w:tcW w:w="20" w:type="dxa"/>
            <w:vAlign w:val="bottom"/>
            <w:tcBorders>
              <w:bottom w:val="single" w:sz="8" w:color="CCEEFF"/>
            </w:tcBorders>
          </w:tcPr>
          <w:p>
            <w:pPr>
              <w:spacing w:after="0"/>
              <w:rPr>
                <w:sz w:val="14"/>
                <w:szCs w:val="14"/>
                <w:color w:val="auto"/>
              </w:rPr>
            </w:pPr>
          </w:p>
        </w:tc>
        <w:tc>
          <w:tcPr>
            <w:tcW w:w="440" w:type="dxa"/>
            <w:vAlign w:val="bottom"/>
            <w:tcBorders>
              <w:bottom w:val="single" w:sz="8" w:color="auto"/>
            </w:tcBorders>
          </w:tcPr>
          <w:p>
            <w:pPr>
              <w:jc w:val="right"/>
              <w:ind w:right="373"/>
              <w:spacing w:after="0"/>
              <w:rPr>
                <w:sz w:val="20"/>
                <w:szCs w:val="20"/>
                <w:color w:val="auto"/>
              </w:rPr>
            </w:pPr>
            <w:r>
              <w:rPr>
                <w:rFonts w:ascii="Arial" w:cs="Arial" w:eastAsia="Arial" w:hAnsi="Arial"/>
                <w:sz w:val="5"/>
                <w:szCs w:val="5"/>
                <w:b w:val="1"/>
                <w:bCs w:val="1"/>
                <w:color w:val="auto"/>
                <w:w w:val="70"/>
              </w:rPr>
              <w:t>$</w:t>
            </w:r>
          </w:p>
        </w:tc>
        <w:tc>
          <w:tcPr>
            <w:tcW w:w="80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6,267,747</w:t>
            </w:r>
          </w:p>
        </w:tc>
        <w:tc>
          <w:tcPr>
            <w:tcW w:w="10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860" w:type="dxa"/>
            <w:vAlign w:val="bottom"/>
            <w:vMerge w:val="restart"/>
          </w:tcPr>
          <w:p>
            <w:pPr>
              <w:spacing w:after="0"/>
              <w:rPr>
                <w:sz w:val="13"/>
                <w:szCs w:val="13"/>
                <w:color w:val="auto"/>
              </w:rPr>
            </w:pPr>
          </w:p>
        </w:tc>
        <w:tc>
          <w:tcPr>
            <w:tcW w:w="6260" w:type="dxa"/>
            <w:vAlign w:val="bottom"/>
            <w:shd w:val="clear" w:color="auto" w:fill="CCEEFF"/>
          </w:tcPr>
          <w:p>
            <w:pPr>
              <w:spacing w:after="0"/>
              <w:rPr>
                <w:sz w:val="13"/>
                <w:szCs w:val="13"/>
                <w:color w:val="auto"/>
              </w:rPr>
            </w:pPr>
          </w:p>
        </w:tc>
        <w:tc>
          <w:tcPr>
            <w:tcW w:w="68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98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860" w:type="dxa"/>
            <w:vAlign w:val="bottom"/>
            <w:vMerge w:val="continue"/>
          </w:tcPr>
          <w:p>
            <w:pPr>
              <w:spacing w:after="0"/>
              <w:rPr>
                <w:sz w:val="13"/>
                <w:szCs w:val="13"/>
                <w:color w:val="auto"/>
              </w:rPr>
            </w:pPr>
          </w:p>
        </w:tc>
        <w:tc>
          <w:tcPr>
            <w:tcW w:w="6260" w:type="dxa"/>
            <w:vAlign w:val="bottom"/>
          </w:tcPr>
          <w:p>
            <w:pPr>
              <w:spacing w:after="0"/>
              <w:rPr>
                <w:sz w:val="20"/>
                <w:szCs w:val="20"/>
                <w:color w:val="auto"/>
              </w:rPr>
            </w:pPr>
            <w:r>
              <w:rPr>
                <w:rFonts w:ascii="Arial" w:cs="Arial" w:eastAsia="Arial" w:hAnsi="Arial"/>
                <w:sz w:val="13"/>
                <w:szCs w:val="13"/>
                <w:b w:val="1"/>
                <w:bCs w:val="1"/>
                <w:color w:val="auto"/>
              </w:rPr>
              <w:t>Liabilities and Equity</w:t>
            </w:r>
          </w:p>
        </w:tc>
        <w:tc>
          <w:tcPr>
            <w:tcW w:w="68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4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860" w:type="dxa"/>
            <w:vAlign w:val="bottom"/>
          </w:tcPr>
          <w:p>
            <w:pPr>
              <w:spacing w:after="0"/>
              <w:rPr>
                <w:sz w:val="13"/>
                <w:szCs w:val="13"/>
                <w:color w:val="auto"/>
              </w:rPr>
            </w:pPr>
          </w:p>
        </w:tc>
        <w:tc>
          <w:tcPr>
            <w:tcW w:w="6260" w:type="dxa"/>
            <w:vAlign w:val="bottom"/>
            <w:shd w:val="clear" w:color="auto" w:fill="CCEEFF"/>
          </w:tcPr>
          <w:p>
            <w:pPr>
              <w:spacing w:after="0"/>
              <w:rPr>
                <w:sz w:val="20"/>
                <w:szCs w:val="20"/>
                <w:color w:val="auto"/>
              </w:rPr>
            </w:pPr>
            <w:r>
              <w:rPr>
                <w:rFonts w:ascii="Arial" w:cs="Arial" w:eastAsia="Arial" w:hAnsi="Arial"/>
                <w:sz w:val="13"/>
                <w:szCs w:val="13"/>
                <w:color w:val="auto"/>
              </w:rPr>
              <w:t>Demand deposits</w:t>
            </w:r>
          </w:p>
        </w:tc>
        <w:tc>
          <w:tcPr>
            <w:tcW w:w="960" w:type="dxa"/>
            <w:vAlign w:val="bottom"/>
            <w:gridSpan w:val="2"/>
            <w:shd w:val="clear" w:color="auto" w:fill="CCEEFF"/>
          </w:tcPr>
          <w:p>
            <w:pPr>
              <w:jc w:val="right"/>
              <w:ind w:right="172"/>
              <w:spacing w:after="0"/>
              <w:rPr>
                <w:sz w:val="20"/>
                <w:szCs w:val="20"/>
                <w:color w:val="auto"/>
              </w:rPr>
            </w:pPr>
            <w:r>
              <w:rPr>
                <w:rFonts w:ascii="Arial" w:cs="Arial" w:eastAsia="Arial" w:hAnsi="Arial"/>
                <w:sz w:val="13"/>
                <w:szCs w:val="13"/>
                <w:color w:val="auto"/>
              </w:rPr>
              <w:t>$</w:t>
            </w: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211,381</w:t>
            </w:r>
          </w:p>
        </w:tc>
        <w:tc>
          <w:tcPr>
            <w:tcW w:w="200" w:type="dxa"/>
            <w:vAlign w:val="bottom"/>
            <w:shd w:val="clear" w:color="auto" w:fill="CCEEFF"/>
          </w:tcPr>
          <w:p>
            <w:pPr>
              <w:spacing w:after="0"/>
              <w:rPr>
                <w:sz w:val="13"/>
                <w:szCs w:val="13"/>
                <w:color w:val="auto"/>
              </w:rPr>
            </w:pPr>
          </w:p>
        </w:tc>
        <w:tc>
          <w:tcPr>
            <w:tcW w:w="460" w:type="dxa"/>
            <w:vAlign w:val="bottom"/>
            <w:gridSpan w:val="2"/>
            <w:shd w:val="clear" w:color="auto" w:fill="CCEEFF"/>
          </w:tcPr>
          <w:p>
            <w:pPr>
              <w:jc w:val="right"/>
              <w:ind w:right="373"/>
              <w:spacing w:after="0"/>
              <w:rPr>
                <w:sz w:val="20"/>
                <w:szCs w:val="20"/>
                <w:color w:val="auto"/>
              </w:rPr>
            </w:pPr>
            <w:r>
              <w:rPr>
                <w:rFonts w:ascii="Arial" w:cs="Arial" w:eastAsia="Arial" w:hAnsi="Arial"/>
                <w:sz w:val="10"/>
                <w:szCs w:val="10"/>
                <w:color w:val="auto"/>
                <w:w w:val="71"/>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82,064</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860" w:type="dxa"/>
            <w:vAlign w:val="bottom"/>
          </w:tcPr>
          <w:p>
            <w:pPr>
              <w:spacing w:after="0"/>
              <w:rPr>
                <w:sz w:val="14"/>
                <w:szCs w:val="14"/>
                <w:color w:val="auto"/>
              </w:rPr>
            </w:pPr>
          </w:p>
        </w:tc>
        <w:tc>
          <w:tcPr>
            <w:tcW w:w="6260" w:type="dxa"/>
            <w:vAlign w:val="bottom"/>
            <w:tcBorders>
              <w:bottom w:val="single" w:sz="8" w:color="CCEEFF"/>
            </w:tcBorders>
          </w:tcPr>
          <w:p>
            <w:pPr>
              <w:spacing w:after="0"/>
              <w:rPr>
                <w:sz w:val="20"/>
                <w:szCs w:val="20"/>
                <w:color w:val="auto"/>
              </w:rPr>
            </w:pPr>
            <w:r>
              <w:rPr>
                <w:rFonts w:ascii="Arial" w:cs="Arial" w:eastAsia="Arial" w:hAnsi="Arial"/>
                <w:sz w:val="13"/>
                <w:szCs w:val="13"/>
                <w:color w:val="auto"/>
              </w:rPr>
              <w:t>Time deposits</w:t>
            </w:r>
          </w:p>
        </w:tc>
        <w:tc>
          <w:tcPr>
            <w:tcW w:w="680" w:type="dxa"/>
            <w:vAlign w:val="bottom"/>
            <w:tcBorders>
              <w:bottom w:val="single" w:sz="8" w:color="CCEEFF"/>
            </w:tcBorders>
          </w:tcPr>
          <w:p>
            <w:pPr>
              <w:spacing w:after="0"/>
              <w:rPr>
                <w:sz w:val="14"/>
                <w:szCs w:val="14"/>
                <w:color w:val="auto"/>
              </w:rPr>
            </w:pPr>
          </w:p>
        </w:tc>
        <w:tc>
          <w:tcPr>
            <w:tcW w:w="280" w:type="dxa"/>
            <w:vAlign w:val="bottom"/>
            <w:tcBorders>
              <w:bottom w:val="single" w:sz="8" w:color="auto"/>
            </w:tcBorders>
          </w:tcPr>
          <w:p>
            <w:pPr>
              <w:spacing w:after="0"/>
              <w:rPr>
                <w:sz w:val="14"/>
                <w:szCs w:val="14"/>
                <w:color w:val="auto"/>
              </w:rPr>
            </w:pPr>
          </w:p>
        </w:tc>
        <w:tc>
          <w:tcPr>
            <w:tcW w:w="98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2,759,441</w:t>
            </w:r>
          </w:p>
        </w:tc>
        <w:tc>
          <w:tcPr>
            <w:tcW w:w="200" w:type="dxa"/>
            <w:vAlign w:val="bottom"/>
            <w:tcBorders>
              <w:bottom w:val="single" w:sz="8" w:color="CCEEFF"/>
            </w:tcBorders>
          </w:tcPr>
          <w:p>
            <w:pPr>
              <w:spacing w:after="0"/>
              <w:rPr>
                <w:sz w:val="14"/>
                <w:szCs w:val="14"/>
                <w:color w:val="auto"/>
              </w:rPr>
            </w:pPr>
          </w:p>
        </w:tc>
        <w:tc>
          <w:tcPr>
            <w:tcW w:w="20" w:type="dxa"/>
            <w:vAlign w:val="bottom"/>
            <w:tcBorders>
              <w:bottom w:val="single" w:sz="8" w:color="CCEEFF"/>
            </w:tcBorders>
          </w:tcPr>
          <w:p>
            <w:pPr>
              <w:spacing w:after="0"/>
              <w:rPr>
                <w:sz w:val="14"/>
                <w:szCs w:val="14"/>
                <w:color w:val="auto"/>
              </w:rPr>
            </w:pPr>
          </w:p>
        </w:tc>
        <w:tc>
          <w:tcPr>
            <w:tcW w:w="44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2,846,780</w:t>
            </w:r>
          </w:p>
        </w:tc>
        <w:tc>
          <w:tcPr>
            <w:tcW w:w="10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860" w:type="dxa"/>
            <w:vAlign w:val="bottom"/>
          </w:tcPr>
          <w:p>
            <w:pPr>
              <w:spacing w:after="0"/>
              <w:rPr>
                <w:sz w:val="12"/>
                <w:szCs w:val="12"/>
                <w:color w:val="auto"/>
              </w:rPr>
            </w:pPr>
          </w:p>
        </w:tc>
        <w:tc>
          <w:tcPr>
            <w:tcW w:w="626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98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color w:val="auto"/>
              </w:rPr>
              <w:t>2,970,822</w:t>
            </w:r>
          </w:p>
        </w:tc>
        <w:tc>
          <w:tcPr>
            <w:tcW w:w="2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440" w:type="dxa"/>
            <w:vAlign w:val="bottom"/>
            <w:shd w:val="clear" w:color="auto" w:fill="CCEEFF"/>
          </w:tcPr>
          <w:p>
            <w:pPr>
              <w:jc w:val="right"/>
              <w:ind w:right="373"/>
              <w:spacing w:after="0"/>
              <w:rPr>
                <w:sz w:val="20"/>
                <w:szCs w:val="20"/>
                <w:color w:val="auto"/>
              </w:rPr>
            </w:pPr>
            <w:r>
              <w:rPr>
                <w:rFonts w:ascii="Arial" w:cs="Arial" w:eastAsia="Arial" w:hAnsi="Arial"/>
                <w:sz w:val="5"/>
                <w:szCs w:val="5"/>
                <w:color w:val="auto"/>
                <w:w w:val="70"/>
              </w:rPr>
              <w:t>$</w:t>
            </w:r>
          </w:p>
        </w:tc>
        <w:tc>
          <w:tcPr>
            <w:tcW w:w="80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color w:val="auto"/>
              </w:rPr>
              <w:t>2,928,844</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3"/>
        </w:trPr>
        <w:tc>
          <w:tcPr>
            <w:tcW w:w="860" w:type="dxa"/>
            <w:vAlign w:val="bottom"/>
          </w:tcPr>
          <w:p>
            <w:pPr>
              <w:spacing w:after="0"/>
              <w:rPr>
                <w:sz w:val="14"/>
                <w:szCs w:val="14"/>
                <w:color w:val="auto"/>
              </w:rPr>
            </w:pPr>
          </w:p>
        </w:tc>
        <w:tc>
          <w:tcPr>
            <w:tcW w:w="6260" w:type="dxa"/>
            <w:vAlign w:val="bottom"/>
            <w:tcBorders>
              <w:bottom w:val="single" w:sz="8" w:color="CCEEFF"/>
            </w:tcBorders>
          </w:tcPr>
          <w:p>
            <w:pPr>
              <w:ind w:left="120"/>
              <w:spacing w:after="0"/>
              <w:rPr>
                <w:sz w:val="20"/>
                <w:szCs w:val="20"/>
                <w:color w:val="auto"/>
              </w:rPr>
            </w:pPr>
            <w:r>
              <w:rPr>
                <w:rFonts w:ascii="Arial" w:cs="Arial" w:eastAsia="Arial" w:hAnsi="Arial"/>
                <w:sz w:val="13"/>
                <w:szCs w:val="13"/>
                <w:color w:val="auto"/>
              </w:rPr>
              <w:t>Interest payable</w:t>
            </w:r>
          </w:p>
        </w:tc>
        <w:tc>
          <w:tcPr>
            <w:tcW w:w="680" w:type="dxa"/>
            <w:vAlign w:val="bottom"/>
            <w:tcBorders>
              <w:bottom w:val="single" w:sz="8" w:color="CCEEFF"/>
            </w:tcBorders>
          </w:tcPr>
          <w:p>
            <w:pPr>
              <w:spacing w:after="0"/>
              <w:rPr>
                <w:sz w:val="14"/>
                <w:szCs w:val="14"/>
                <w:color w:val="auto"/>
              </w:rPr>
            </w:pPr>
          </w:p>
        </w:tc>
        <w:tc>
          <w:tcPr>
            <w:tcW w:w="280" w:type="dxa"/>
            <w:vAlign w:val="bottom"/>
            <w:tcBorders>
              <w:bottom w:val="single" w:sz="8" w:color="auto"/>
            </w:tcBorders>
          </w:tcPr>
          <w:p>
            <w:pPr>
              <w:spacing w:after="0"/>
              <w:rPr>
                <w:sz w:val="14"/>
                <w:szCs w:val="14"/>
                <w:color w:val="auto"/>
              </w:rPr>
            </w:pPr>
          </w:p>
        </w:tc>
        <w:tc>
          <w:tcPr>
            <w:tcW w:w="98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12,154</w:t>
            </w:r>
          </w:p>
        </w:tc>
        <w:tc>
          <w:tcPr>
            <w:tcW w:w="200" w:type="dxa"/>
            <w:vAlign w:val="bottom"/>
            <w:tcBorders>
              <w:bottom w:val="single" w:sz="8" w:color="CCEEFF"/>
            </w:tcBorders>
          </w:tcPr>
          <w:p>
            <w:pPr>
              <w:spacing w:after="0"/>
              <w:rPr>
                <w:sz w:val="14"/>
                <w:szCs w:val="14"/>
                <w:color w:val="auto"/>
              </w:rPr>
            </w:pPr>
          </w:p>
        </w:tc>
        <w:tc>
          <w:tcPr>
            <w:tcW w:w="20" w:type="dxa"/>
            <w:vAlign w:val="bottom"/>
            <w:tcBorders>
              <w:bottom w:val="single" w:sz="8" w:color="CCEEFF"/>
            </w:tcBorders>
          </w:tcPr>
          <w:p>
            <w:pPr>
              <w:spacing w:after="0"/>
              <w:rPr>
                <w:sz w:val="14"/>
                <w:szCs w:val="14"/>
                <w:color w:val="auto"/>
              </w:rPr>
            </w:pPr>
          </w:p>
        </w:tc>
        <w:tc>
          <w:tcPr>
            <w:tcW w:w="44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8,261</w:t>
            </w:r>
          </w:p>
        </w:tc>
        <w:tc>
          <w:tcPr>
            <w:tcW w:w="10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860" w:type="dxa"/>
            <w:vAlign w:val="bottom"/>
          </w:tcPr>
          <w:p>
            <w:pPr>
              <w:spacing w:after="0"/>
              <w:rPr>
                <w:sz w:val="12"/>
                <w:szCs w:val="12"/>
                <w:color w:val="auto"/>
              </w:rPr>
            </w:pPr>
          </w:p>
        </w:tc>
        <w:tc>
          <w:tcPr>
            <w:tcW w:w="6260" w:type="dxa"/>
            <w:vAlign w:val="bottom"/>
            <w:shd w:val="clear" w:color="auto" w:fill="CCEEFF"/>
          </w:tcPr>
          <w:p>
            <w:pPr>
              <w:spacing w:after="0" w:line="144" w:lineRule="exact"/>
              <w:rPr>
                <w:sz w:val="20"/>
                <w:szCs w:val="20"/>
                <w:color w:val="auto"/>
              </w:rPr>
            </w:pPr>
            <w:r>
              <w:rPr>
                <w:rFonts w:ascii="Arial" w:cs="Arial" w:eastAsia="Arial" w:hAnsi="Arial"/>
                <w:sz w:val="13"/>
                <w:szCs w:val="13"/>
                <w:color w:val="auto"/>
              </w:rPr>
              <w:t>Total deposits</w:t>
            </w:r>
          </w:p>
        </w:tc>
        <w:tc>
          <w:tcPr>
            <w:tcW w:w="68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98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color w:val="auto"/>
              </w:rPr>
              <w:t>2,982,976</w:t>
            </w:r>
          </w:p>
        </w:tc>
        <w:tc>
          <w:tcPr>
            <w:tcW w:w="2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440" w:type="dxa"/>
            <w:vAlign w:val="bottom"/>
            <w:shd w:val="clear" w:color="auto" w:fill="CCEEFF"/>
          </w:tcPr>
          <w:p>
            <w:pPr>
              <w:spacing w:after="0"/>
              <w:rPr>
                <w:sz w:val="12"/>
                <w:szCs w:val="12"/>
                <w:color w:val="auto"/>
              </w:rPr>
            </w:pPr>
          </w:p>
        </w:tc>
        <w:tc>
          <w:tcPr>
            <w:tcW w:w="80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color w:val="auto"/>
              </w:rPr>
              <w:t>2,937,105</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860" w:type="dxa"/>
            <w:vAlign w:val="bottom"/>
            <w:vMerge w:val="restart"/>
          </w:tcPr>
          <w:p>
            <w:pPr>
              <w:spacing w:after="0"/>
              <w:rPr>
                <w:sz w:val="13"/>
                <w:szCs w:val="13"/>
                <w:color w:val="auto"/>
              </w:rPr>
            </w:pPr>
          </w:p>
        </w:tc>
        <w:tc>
          <w:tcPr>
            <w:tcW w:w="6260" w:type="dxa"/>
            <w:vAlign w:val="bottom"/>
          </w:tcPr>
          <w:p>
            <w:pPr>
              <w:spacing w:after="0"/>
              <w:rPr>
                <w:sz w:val="13"/>
                <w:szCs w:val="13"/>
                <w:color w:val="auto"/>
              </w:rPr>
            </w:pPr>
          </w:p>
        </w:tc>
        <w:tc>
          <w:tcPr>
            <w:tcW w:w="68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4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860" w:type="dxa"/>
            <w:vAlign w:val="bottom"/>
            <w:vMerge w:val="continue"/>
          </w:tcPr>
          <w:p>
            <w:pPr>
              <w:spacing w:after="0"/>
              <w:rPr>
                <w:sz w:val="13"/>
                <w:szCs w:val="13"/>
                <w:color w:val="auto"/>
              </w:rPr>
            </w:pPr>
          </w:p>
        </w:tc>
        <w:tc>
          <w:tcPr>
            <w:tcW w:w="6260" w:type="dxa"/>
            <w:vAlign w:val="bottom"/>
            <w:shd w:val="clear" w:color="auto" w:fill="CCEEFF"/>
          </w:tcPr>
          <w:p>
            <w:pPr>
              <w:spacing w:after="0"/>
              <w:rPr>
                <w:sz w:val="20"/>
                <w:szCs w:val="20"/>
                <w:color w:val="auto"/>
              </w:rPr>
            </w:pPr>
            <w:r>
              <w:rPr>
                <w:rFonts w:ascii="Arial" w:cs="Arial" w:eastAsia="Arial" w:hAnsi="Arial"/>
                <w:sz w:val="13"/>
                <w:szCs w:val="13"/>
                <w:color w:val="auto"/>
              </w:rPr>
              <w:t>Securities sold under repurchase agreement</w:t>
            </w:r>
          </w:p>
        </w:tc>
        <w:tc>
          <w:tcPr>
            <w:tcW w:w="68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39,767</w:t>
            </w:r>
          </w:p>
        </w:tc>
        <w:tc>
          <w:tcPr>
            <w:tcW w:w="20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860" w:type="dxa"/>
            <w:vAlign w:val="bottom"/>
          </w:tcPr>
          <w:p>
            <w:pPr>
              <w:spacing w:after="0"/>
              <w:rPr>
                <w:sz w:val="13"/>
                <w:szCs w:val="13"/>
                <w:color w:val="auto"/>
              </w:rPr>
            </w:pPr>
          </w:p>
        </w:tc>
        <w:tc>
          <w:tcPr>
            <w:tcW w:w="6260" w:type="dxa"/>
            <w:vAlign w:val="bottom"/>
          </w:tcPr>
          <w:p>
            <w:pPr>
              <w:spacing w:after="0"/>
              <w:rPr>
                <w:sz w:val="20"/>
                <w:szCs w:val="20"/>
                <w:color w:val="auto"/>
              </w:rPr>
            </w:pPr>
            <w:r>
              <w:rPr>
                <w:rFonts w:ascii="Arial" w:cs="Arial" w:eastAsia="Arial" w:hAnsi="Arial"/>
                <w:sz w:val="13"/>
                <w:szCs w:val="13"/>
                <w:color w:val="auto"/>
              </w:rPr>
              <w:t>Borrowings and debt, net</w:t>
            </w:r>
          </w:p>
        </w:tc>
        <w:tc>
          <w:tcPr>
            <w:tcW w:w="68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980" w:type="dxa"/>
            <w:vAlign w:val="bottom"/>
          </w:tcPr>
          <w:p>
            <w:pPr>
              <w:jc w:val="right"/>
              <w:spacing w:after="0"/>
              <w:rPr>
                <w:sz w:val="20"/>
                <w:szCs w:val="20"/>
                <w:color w:val="auto"/>
              </w:rPr>
            </w:pPr>
            <w:r>
              <w:rPr>
                <w:rFonts w:ascii="Arial" w:cs="Arial" w:eastAsia="Arial" w:hAnsi="Arial"/>
                <w:sz w:val="13"/>
                <w:szCs w:val="13"/>
                <w:color w:val="auto"/>
              </w:rPr>
              <w:t>3,518,446</w:t>
            </w:r>
          </w:p>
        </w:tc>
        <w:tc>
          <w:tcPr>
            <w:tcW w:w="2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440" w:type="dxa"/>
            <w:vAlign w:val="bottom"/>
          </w:tcPr>
          <w:p>
            <w:pPr>
              <w:spacing w:after="0"/>
              <w:rPr>
                <w:sz w:val="13"/>
                <w:szCs w:val="13"/>
                <w:color w:val="auto"/>
              </w:rPr>
            </w:pPr>
          </w:p>
        </w:tc>
        <w:tc>
          <w:tcPr>
            <w:tcW w:w="800" w:type="dxa"/>
            <w:vAlign w:val="bottom"/>
          </w:tcPr>
          <w:p>
            <w:pPr>
              <w:jc w:val="right"/>
              <w:spacing w:after="0"/>
              <w:rPr>
                <w:sz w:val="20"/>
                <w:szCs w:val="20"/>
                <w:color w:val="auto"/>
              </w:rPr>
            </w:pPr>
            <w:r>
              <w:rPr>
                <w:rFonts w:ascii="Arial" w:cs="Arial" w:eastAsia="Arial" w:hAnsi="Arial"/>
                <w:sz w:val="13"/>
                <w:szCs w:val="13"/>
                <w:color w:val="auto"/>
              </w:rPr>
              <w:t>2,211,567</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860" w:type="dxa"/>
            <w:vAlign w:val="bottom"/>
          </w:tcPr>
          <w:p>
            <w:pPr>
              <w:spacing w:after="0"/>
              <w:rPr>
                <w:sz w:val="13"/>
                <w:szCs w:val="13"/>
                <w:color w:val="auto"/>
              </w:rPr>
            </w:pPr>
          </w:p>
        </w:tc>
        <w:tc>
          <w:tcPr>
            <w:tcW w:w="6260" w:type="dxa"/>
            <w:vAlign w:val="bottom"/>
            <w:shd w:val="clear" w:color="auto" w:fill="CCEEFF"/>
          </w:tcPr>
          <w:p>
            <w:pPr>
              <w:spacing w:after="0"/>
              <w:rPr>
                <w:sz w:val="20"/>
                <w:szCs w:val="20"/>
                <w:color w:val="auto"/>
              </w:rPr>
            </w:pPr>
            <w:r>
              <w:rPr>
                <w:rFonts w:ascii="Arial" w:cs="Arial" w:eastAsia="Arial" w:hAnsi="Arial"/>
                <w:sz w:val="13"/>
                <w:szCs w:val="13"/>
                <w:color w:val="auto"/>
              </w:rPr>
              <w:t>Interest payable</w:t>
            </w:r>
          </w:p>
        </w:tc>
        <w:tc>
          <w:tcPr>
            <w:tcW w:w="68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13,763</w:t>
            </w:r>
          </w:p>
        </w:tc>
        <w:tc>
          <w:tcPr>
            <w:tcW w:w="20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7,555</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860" w:type="dxa"/>
            <w:vAlign w:val="bottom"/>
            <w:vMerge w:val="restart"/>
          </w:tcPr>
          <w:p>
            <w:pPr>
              <w:spacing w:after="0"/>
              <w:rPr>
                <w:sz w:val="13"/>
                <w:szCs w:val="13"/>
                <w:color w:val="auto"/>
              </w:rPr>
            </w:pPr>
          </w:p>
        </w:tc>
        <w:tc>
          <w:tcPr>
            <w:tcW w:w="6260" w:type="dxa"/>
            <w:vAlign w:val="bottom"/>
          </w:tcPr>
          <w:p>
            <w:pPr>
              <w:spacing w:after="0"/>
              <w:rPr>
                <w:sz w:val="13"/>
                <w:szCs w:val="13"/>
                <w:color w:val="auto"/>
              </w:rPr>
            </w:pPr>
          </w:p>
        </w:tc>
        <w:tc>
          <w:tcPr>
            <w:tcW w:w="68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4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860" w:type="dxa"/>
            <w:vAlign w:val="bottom"/>
            <w:vMerge w:val="continue"/>
          </w:tcPr>
          <w:p>
            <w:pPr>
              <w:spacing w:after="0"/>
              <w:rPr>
                <w:sz w:val="13"/>
                <w:szCs w:val="13"/>
                <w:color w:val="auto"/>
              </w:rPr>
            </w:pPr>
          </w:p>
        </w:tc>
        <w:tc>
          <w:tcPr>
            <w:tcW w:w="6260" w:type="dxa"/>
            <w:vAlign w:val="bottom"/>
            <w:shd w:val="clear" w:color="auto" w:fill="CCEEFF"/>
          </w:tcPr>
          <w:p>
            <w:pPr>
              <w:spacing w:after="0"/>
              <w:rPr>
                <w:sz w:val="20"/>
                <w:szCs w:val="20"/>
                <w:color w:val="auto"/>
              </w:rPr>
            </w:pPr>
            <w:r>
              <w:rPr>
                <w:rFonts w:ascii="Arial" w:cs="Arial" w:eastAsia="Arial" w:hAnsi="Arial"/>
                <w:sz w:val="13"/>
                <w:szCs w:val="13"/>
                <w:color w:val="auto"/>
              </w:rPr>
              <w:t>Customers’ liabilities under acceptances</w:t>
            </w:r>
          </w:p>
        </w:tc>
        <w:tc>
          <w:tcPr>
            <w:tcW w:w="68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9,696</w:t>
            </w:r>
          </w:p>
        </w:tc>
        <w:tc>
          <w:tcPr>
            <w:tcW w:w="20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6,369</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860" w:type="dxa"/>
            <w:vAlign w:val="bottom"/>
          </w:tcPr>
          <w:p>
            <w:pPr>
              <w:spacing w:after="0"/>
              <w:rPr>
                <w:sz w:val="13"/>
                <w:szCs w:val="13"/>
                <w:color w:val="auto"/>
              </w:rPr>
            </w:pPr>
          </w:p>
        </w:tc>
        <w:tc>
          <w:tcPr>
            <w:tcW w:w="6260" w:type="dxa"/>
            <w:vAlign w:val="bottom"/>
          </w:tcPr>
          <w:p>
            <w:pPr>
              <w:spacing w:after="0"/>
              <w:rPr>
                <w:sz w:val="20"/>
                <w:szCs w:val="20"/>
                <w:color w:val="auto"/>
              </w:rPr>
            </w:pPr>
            <w:r>
              <w:rPr>
                <w:rFonts w:ascii="Arial" w:cs="Arial" w:eastAsia="Arial" w:hAnsi="Arial"/>
                <w:sz w:val="13"/>
                <w:szCs w:val="13"/>
                <w:color w:val="auto"/>
              </w:rPr>
              <w:t>Derivative financial instruments - liabilities</w:t>
            </w:r>
          </w:p>
        </w:tc>
        <w:tc>
          <w:tcPr>
            <w:tcW w:w="68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980" w:type="dxa"/>
            <w:vAlign w:val="bottom"/>
          </w:tcPr>
          <w:p>
            <w:pPr>
              <w:jc w:val="right"/>
              <w:spacing w:after="0"/>
              <w:rPr>
                <w:sz w:val="20"/>
                <w:szCs w:val="20"/>
                <w:color w:val="auto"/>
              </w:rPr>
            </w:pPr>
            <w:r>
              <w:rPr>
                <w:rFonts w:ascii="Arial" w:cs="Arial" w:eastAsia="Arial" w:hAnsi="Arial"/>
                <w:sz w:val="13"/>
                <w:szCs w:val="13"/>
                <w:color w:val="auto"/>
              </w:rPr>
              <w:t>34,043</w:t>
            </w:r>
          </w:p>
        </w:tc>
        <w:tc>
          <w:tcPr>
            <w:tcW w:w="2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440" w:type="dxa"/>
            <w:vAlign w:val="bottom"/>
          </w:tcPr>
          <w:p>
            <w:pPr>
              <w:spacing w:after="0"/>
              <w:rPr>
                <w:sz w:val="13"/>
                <w:szCs w:val="13"/>
                <w:color w:val="auto"/>
              </w:rPr>
            </w:pPr>
          </w:p>
        </w:tc>
        <w:tc>
          <w:tcPr>
            <w:tcW w:w="800" w:type="dxa"/>
            <w:vAlign w:val="bottom"/>
          </w:tcPr>
          <w:p>
            <w:pPr>
              <w:jc w:val="right"/>
              <w:spacing w:after="0"/>
              <w:rPr>
                <w:sz w:val="20"/>
                <w:szCs w:val="20"/>
                <w:color w:val="auto"/>
              </w:rPr>
            </w:pPr>
            <w:r>
              <w:rPr>
                <w:rFonts w:ascii="Arial" w:cs="Arial" w:eastAsia="Arial" w:hAnsi="Arial"/>
                <w:sz w:val="13"/>
                <w:szCs w:val="13"/>
                <w:color w:val="auto"/>
              </w:rPr>
              <w:t>34,943</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860" w:type="dxa"/>
            <w:vAlign w:val="bottom"/>
          </w:tcPr>
          <w:p>
            <w:pPr>
              <w:spacing w:after="0"/>
              <w:rPr>
                <w:sz w:val="13"/>
                <w:szCs w:val="13"/>
                <w:color w:val="auto"/>
              </w:rPr>
            </w:pPr>
          </w:p>
        </w:tc>
        <w:tc>
          <w:tcPr>
            <w:tcW w:w="6260" w:type="dxa"/>
            <w:vAlign w:val="bottom"/>
            <w:shd w:val="clear" w:color="auto" w:fill="CCEEFF"/>
          </w:tcPr>
          <w:p>
            <w:pPr>
              <w:spacing w:after="0"/>
              <w:rPr>
                <w:sz w:val="20"/>
                <w:szCs w:val="20"/>
                <w:color w:val="auto"/>
              </w:rPr>
            </w:pPr>
            <w:r>
              <w:rPr>
                <w:rFonts w:ascii="Arial" w:cs="Arial" w:eastAsia="Arial" w:hAnsi="Arial"/>
                <w:sz w:val="13"/>
                <w:szCs w:val="13"/>
                <w:color w:val="auto"/>
              </w:rPr>
              <w:t>Allowance for loan commitments and financial guarantees contracts losses</w:t>
            </w:r>
          </w:p>
        </w:tc>
        <w:tc>
          <w:tcPr>
            <w:tcW w:w="68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3,289</w:t>
            </w:r>
          </w:p>
        </w:tc>
        <w:tc>
          <w:tcPr>
            <w:tcW w:w="20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6,845</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860" w:type="dxa"/>
            <w:vAlign w:val="bottom"/>
          </w:tcPr>
          <w:p>
            <w:pPr>
              <w:spacing w:after="0"/>
              <w:rPr>
                <w:sz w:val="14"/>
                <w:szCs w:val="14"/>
                <w:color w:val="auto"/>
              </w:rPr>
            </w:pPr>
          </w:p>
        </w:tc>
        <w:tc>
          <w:tcPr>
            <w:tcW w:w="6260" w:type="dxa"/>
            <w:vAlign w:val="bottom"/>
            <w:tcBorders>
              <w:bottom w:val="single" w:sz="8" w:color="CCEEFF"/>
            </w:tcBorders>
          </w:tcPr>
          <w:p>
            <w:pPr>
              <w:spacing w:after="0"/>
              <w:rPr>
                <w:sz w:val="20"/>
                <w:szCs w:val="20"/>
                <w:color w:val="auto"/>
              </w:rPr>
            </w:pPr>
            <w:r>
              <w:rPr>
                <w:rFonts w:ascii="Arial" w:cs="Arial" w:eastAsia="Arial" w:hAnsi="Arial"/>
                <w:sz w:val="13"/>
                <w:szCs w:val="13"/>
                <w:color w:val="auto"/>
              </w:rPr>
              <w:t>Other liabilities</w:t>
            </w:r>
          </w:p>
        </w:tc>
        <w:tc>
          <w:tcPr>
            <w:tcW w:w="680" w:type="dxa"/>
            <w:vAlign w:val="bottom"/>
            <w:tcBorders>
              <w:bottom w:val="single" w:sz="8" w:color="CCEEFF"/>
            </w:tcBorders>
          </w:tcPr>
          <w:p>
            <w:pPr>
              <w:spacing w:after="0"/>
              <w:rPr>
                <w:sz w:val="14"/>
                <w:szCs w:val="14"/>
                <w:color w:val="auto"/>
              </w:rPr>
            </w:pPr>
          </w:p>
        </w:tc>
        <w:tc>
          <w:tcPr>
            <w:tcW w:w="280" w:type="dxa"/>
            <w:vAlign w:val="bottom"/>
            <w:tcBorders>
              <w:bottom w:val="single" w:sz="8" w:color="auto"/>
            </w:tcBorders>
          </w:tcPr>
          <w:p>
            <w:pPr>
              <w:spacing w:after="0"/>
              <w:rPr>
                <w:sz w:val="14"/>
                <w:szCs w:val="14"/>
                <w:color w:val="auto"/>
              </w:rPr>
            </w:pPr>
          </w:p>
        </w:tc>
        <w:tc>
          <w:tcPr>
            <w:tcW w:w="98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13,615</w:t>
            </w:r>
          </w:p>
        </w:tc>
        <w:tc>
          <w:tcPr>
            <w:tcW w:w="200" w:type="dxa"/>
            <w:vAlign w:val="bottom"/>
            <w:tcBorders>
              <w:bottom w:val="single" w:sz="8" w:color="CCEEFF"/>
            </w:tcBorders>
          </w:tcPr>
          <w:p>
            <w:pPr>
              <w:spacing w:after="0"/>
              <w:rPr>
                <w:sz w:val="14"/>
                <w:szCs w:val="14"/>
                <w:color w:val="auto"/>
              </w:rPr>
            </w:pPr>
          </w:p>
        </w:tc>
        <w:tc>
          <w:tcPr>
            <w:tcW w:w="20" w:type="dxa"/>
            <w:vAlign w:val="bottom"/>
            <w:tcBorders>
              <w:bottom w:val="single" w:sz="8" w:color="CCEEFF"/>
            </w:tcBorders>
          </w:tcPr>
          <w:p>
            <w:pPr>
              <w:spacing w:after="0"/>
              <w:rPr>
                <w:sz w:val="14"/>
                <w:szCs w:val="14"/>
                <w:color w:val="auto"/>
              </w:rPr>
            </w:pPr>
          </w:p>
        </w:tc>
        <w:tc>
          <w:tcPr>
            <w:tcW w:w="44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20,551</w:t>
            </w:r>
          </w:p>
        </w:tc>
        <w:tc>
          <w:tcPr>
            <w:tcW w:w="10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860" w:type="dxa"/>
            <w:vAlign w:val="bottom"/>
          </w:tcPr>
          <w:p>
            <w:pPr>
              <w:spacing w:after="0"/>
              <w:rPr>
                <w:sz w:val="12"/>
                <w:szCs w:val="12"/>
                <w:color w:val="auto"/>
              </w:rPr>
            </w:pPr>
          </w:p>
        </w:tc>
        <w:tc>
          <w:tcPr>
            <w:tcW w:w="6260" w:type="dxa"/>
            <w:vAlign w:val="bottom"/>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Total Liabilities</w:t>
            </w:r>
          </w:p>
        </w:tc>
        <w:tc>
          <w:tcPr>
            <w:tcW w:w="680" w:type="dxa"/>
            <w:vAlign w:val="bottom"/>
            <w:shd w:val="clear" w:color="auto" w:fill="CCEEFF"/>
          </w:tcPr>
          <w:p>
            <w:pPr>
              <w:spacing w:after="0"/>
              <w:rPr>
                <w:sz w:val="12"/>
                <w:szCs w:val="12"/>
                <w:color w:val="auto"/>
              </w:rPr>
            </w:pPr>
          </w:p>
        </w:tc>
        <w:tc>
          <w:tcPr>
            <w:tcW w:w="280" w:type="dxa"/>
            <w:vAlign w:val="bottom"/>
            <w:tcBorders>
              <w:bottom w:val="single" w:sz="8" w:color="auto"/>
            </w:tcBorders>
            <w:shd w:val="clear" w:color="auto" w:fill="CCEEFF"/>
          </w:tcPr>
          <w:p>
            <w:pPr>
              <w:jc w:val="right"/>
              <w:ind w:right="172"/>
              <w:spacing w:after="0"/>
              <w:rPr>
                <w:sz w:val="20"/>
                <w:szCs w:val="20"/>
                <w:color w:val="auto"/>
              </w:rPr>
            </w:pPr>
            <w:r>
              <w:rPr>
                <w:rFonts w:ascii="Arial" w:cs="Arial" w:eastAsia="Arial" w:hAnsi="Arial"/>
                <w:sz w:val="10"/>
                <w:szCs w:val="10"/>
                <w:b w:val="1"/>
                <w:bCs w:val="1"/>
                <w:color w:val="auto"/>
                <w:w w:val="71"/>
              </w:rPr>
              <w:t>$</w:t>
            </w:r>
          </w:p>
        </w:tc>
        <w:tc>
          <w:tcPr>
            <w:tcW w:w="980" w:type="dxa"/>
            <w:vAlign w:val="bottom"/>
            <w:tcBorders>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6,615,595</w:t>
            </w:r>
          </w:p>
        </w:tc>
        <w:tc>
          <w:tcPr>
            <w:tcW w:w="2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440" w:type="dxa"/>
            <w:vAlign w:val="bottom"/>
            <w:tcBorders>
              <w:bottom w:val="single" w:sz="8" w:color="auto"/>
            </w:tcBorders>
            <w:shd w:val="clear" w:color="auto" w:fill="CCEEFF"/>
          </w:tcPr>
          <w:p>
            <w:pPr>
              <w:jc w:val="right"/>
              <w:ind w:right="373"/>
              <w:spacing w:after="0"/>
              <w:rPr>
                <w:sz w:val="20"/>
                <w:szCs w:val="20"/>
                <w:color w:val="auto"/>
              </w:rPr>
            </w:pPr>
            <w:r>
              <w:rPr>
                <w:rFonts w:ascii="Arial" w:cs="Arial" w:eastAsia="Arial" w:hAnsi="Arial"/>
                <w:sz w:val="5"/>
                <w:szCs w:val="5"/>
                <w:b w:val="1"/>
                <w:bCs w:val="1"/>
                <w:color w:val="auto"/>
                <w:w w:val="70"/>
              </w:rPr>
              <w:t>$</w:t>
            </w:r>
          </w:p>
        </w:tc>
        <w:tc>
          <w:tcPr>
            <w:tcW w:w="800" w:type="dxa"/>
            <w:vAlign w:val="bottom"/>
            <w:tcBorders>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5,224,935</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860" w:type="dxa"/>
            <w:vAlign w:val="bottom"/>
            <w:vMerge w:val="restart"/>
          </w:tcPr>
          <w:p>
            <w:pPr>
              <w:spacing w:after="0"/>
              <w:rPr>
                <w:sz w:val="12"/>
                <w:szCs w:val="12"/>
                <w:color w:val="auto"/>
              </w:rPr>
            </w:pPr>
          </w:p>
        </w:tc>
        <w:tc>
          <w:tcPr>
            <w:tcW w:w="626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9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44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860" w:type="dxa"/>
            <w:vAlign w:val="bottom"/>
            <w:vMerge w:val="continue"/>
          </w:tcPr>
          <w:p>
            <w:pPr>
              <w:spacing w:after="0"/>
              <w:rPr>
                <w:sz w:val="13"/>
                <w:szCs w:val="13"/>
                <w:color w:val="auto"/>
              </w:rPr>
            </w:pPr>
          </w:p>
        </w:tc>
        <w:tc>
          <w:tcPr>
            <w:tcW w:w="626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Equity</w:t>
            </w:r>
          </w:p>
        </w:tc>
        <w:tc>
          <w:tcPr>
            <w:tcW w:w="68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98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860" w:type="dxa"/>
            <w:vAlign w:val="bottom"/>
          </w:tcPr>
          <w:p>
            <w:pPr>
              <w:spacing w:after="0"/>
              <w:rPr>
                <w:sz w:val="13"/>
                <w:szCs w:val="13"/>
                <w:color w:val="auto"/>
              </w:rPr>
            </w:pPr>
          </w:p>
        </w:tc>
        <w:tc>
          <w:tcPr>
            <w:tcW w:w="6260" w:type="dxa"/>
            <w:vAlign w:val="bottom"/>
          </w:tcPr>
          <w:p>
            <w:pPr>
              <w:spacing w:after="0"/>
              <w:rPr>
                <w:sz w:val="20"/>
                <w:szCs w:val="20"/>
                <w:color w:val="auto"/>
              </w:rPr>
            </w:pPr>
            <w:r>
              <w:rPr>
                <w:rFonts w:ascii="Arial" w:cs="Arial" w:eastAsia="Arial" w:hAnsi="Arial"/>
                <w:sz w:val="13"/>
                <w:szCs w:val="13"/>
                <w:color w:val="auto"/>
              </w:rPr>
              <w:t>Common stock</w:t>
            </w:r>
          </w:p>
        </w:tc>
        <w:tc>
          <w:tcPr>
            <w:tcW w:w="960" w:type="dxa"/>
            <w:vAlign w:val="bottom"/>
            <w:gridSpan w:val="2"/>
          </w:tcPr>
          <w:p>
            <w:pPr>
              <w:jc w:val="right"/>
              <w:ind w:right="172"/>
              <w:spacing w:after="0"/>
              <w:rPr>
                <w:sz w:val="20"/>
                <w:szCs w:val="20"/>
                <w:color w:val="auto"/>
              </w:rPr>
            </w:pPr>
            <w:r>
              <w:rPr>
                <w:rFonts w:ascii="Arial" w:cs="Arial" w:eastAsia="Arial" w:hAnsi="Arial"/>
                <w:sz w:val="13"/>
                <w:szCs w:val="13"/>
                <w:color w:val="auto"/>
              </w:rPr>
              <w:t>$</w:t>
            </w:r>
          </w:p>
        </w:tc>
        <w:tc>
          <w:tcPr>
            <w:tcW w:w="980" w:type="dxa"/>
            <w:vAlign w:val="bottom"/>
          </w:tcPr>
          <w:p>
            <w:pPr>
              <w:jc w:val="right"/>
              <w:spacing w:after="0"/>
              <w:rPr>
                <w:sz w:val="20"/>
                <w:szCs w:val="20"/>
                <w:color w:val="auto"/>
              </w:rPr>
            </w:pPr>
            <w:r>
              <w:rPr>
                <w:rFonts w:ascii="Arial" w:cs="Arial" w:eastAsia="Arial" w:hAnsi="Arial"/>
                <w:sz w:val="13"/>
                <w:szCs w:val="13"/>
                <w:color w:val="auto"/>
              </w:rPr>
              <w:t>279,980</w:t>
            </w:r>
          </w:p>
        </w:tc>
        <w:tc>
          <w:tcPr>
            <w:tcW w:w="200" w:type="dxa"/>
            <w:vAlign w:val="bottom"/>
          </w:tcPr>
          <w:p>
            <w:pPr>
              <w:spacing w:after="0"/>
              <w:rPr>
                <w:sz w:val="13"/>
                <w:szCs w:val="13"/>
                <w:color w:val="auto"/>
              </w:rPr>
            </w:pPr>
          </w:p>
        </w:tc>
        <w:tc>
          <w:tcPr>
            <w:tcW w:w="460" w:type="dxa"/>
            <w:vAlign w:val="bottom"/>
            <w:gridSpan w:val="2"/>
          </w:tcPr>
          <w:p>
            <w:pPr>
              <w:jc w:val="right"/>
              <w:ind w:right="373"/>
              <w:spacing w:after="0"/>
              <w:rPr>
                <w:sz w:val="20"/>
                <w:szCs w:val="20"/>
                <w:color w:val="auto"/>
              </w:rPr>
            </w:pPr>
            <w:r>
              <w:rPr>
                <w:rFonts w:ascii="Arial" w:cs="Arial" w:eastAsia="Arial" w:hAnsi="Arial"/>
                <w:sz w:val="10"/>
                <w:szCs w:val="10"/>
                <w:color w:val="auto"/>
                <w:w w:val="71"/>
              </w:rPr>
              <w:t>$</w:t>
            </w:r>
          </w:p>
        </w:tc>
        <w:tc>
          <w:tcPr>
            <w:tcW w:w="800" w:type="dxa"/>
            <w:vAlign w:val="bottom"/>
          </w:tcPr>
          <w:p>
            <w:pPr>
              <w:jc w:val="right"/>
              <w:spacing w:after="0"/>
              <w:rPr>
                <w:sz w:val="20"/>
                <w:szCs w:val="20"/>
                <w:color w:val="auto"/>
              </w:rPr>
            </w:pPr>
            <w:r>
              <w:rPr>
                <w:rFonts w:ascii="Arial" w:cs="Arial" w:eastAsia="Arial" w:hAnsi="Arial"/>
                <w:sz w:val="13"/>
                <w:szCs w:val="13"/>
                <w:color w:val="auto"/>
              </w:rPr>
              <w:t>279,980</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860" w:type="dxa"/>
            <w:vAlign w:val="bottom"/>
          </w:tcPr>
          <w:p>
            <w:pPr>
              <w:spacing w:after="0"/>
              <w:rPr>
                <w:sz w:val="13"/>
                <w:szCs w:val="13"/>
                <w:color w:val="auto"/>
              </w:rPr>
            </w:pPr>
          </w:p>
        </w:tc>
        <w:tc>
          <w:tcPr>
            <w:tcW w:w="6260" w:type="dxa"/>
            <w:vAlign w:val="bottom"/>
            <w:shd w:val="clear" w:color="auto" w:fill="CCEEFF"/>
          </w:tcPr>
          <w:p>
            <w:pPr>
              <w:spacing w:after="0"/>
              <w:rPr>
                <w:sz w:val="20"/>
                <w:szCs w:val="20"/>
                <w:color w:val="auto"/>
              </w:rPr>
            </w:pPr>
            <w:r>
              <w:rPr>
                <w:rFonts w:ascii="Arial" w:cs="Arial" w:eastAsia="Arial" w:hAnsi="Arial"/>
                <w:sz w:val="13"/>
                <w:szCs w:val="13"/>
                <w:color w:val="auto"/>
              </w:rPr>
              <w:t>Treasury stock</w:t>
            </w:r>
          </w:p>
        </w:tc>
        <w:tc>
          <w:tcPr>
            <w:tcW w:w="68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118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(61,076)</w:t>
            </w:r>
          </w:p>
        </w:tc>
        <w:tc>
          <w:tcPr>
            <w:tcW w:w="2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9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(63,248)</w:t>
            </w:r>
          </w:p>
        </w:tc>
        <w:tc>
          <w:tcPr>
            <w:tcW w:w="0" w:type="dxa"/>
            <w:vAlign w:val="bottom"/>
          </w:tcPr>
          <w:p>
            <w:pPr>
              <w:spacing w:after="0"/>
              <w:rPr>
                <w:sz w:val="1"/>
                <w:szCs w:val="1"/>
                <w:color w:val="auto"/>
              </w:rPr>
            </w:pPr>
          </w:p>
        </w:tc>
      </w:tr>
      <w:tr>
        <w:trPr>
          <w:trHeight w:val="154"/>
        </w:trPr>
        <w:tc>
          <w:tcPr>
            <w:tcW w:w="860" w:type="dxa"/>
            <w:vAlign w:val="bottom"/>
          </w:tcPr>
          <w:p>
            <w:pPr>
              <w:spacing w:after="0"/>
              <w:rPr>
                <w:sz w:val="13"/>
                <w:szCs w:val="13"/>
                <w:color w:val="auto"/>
              </w:rPr>
            </w:pPr>
          </w:p>
        </w:tc>
        <w:tc>
          <w:tcPr>
            <w:tcW w:w="6260" w:type="dxa"/>
            <w:vAlign w:val="bottom"/>
          </w:tcPr>
          <w:p>
            <w:pPr>
              <w:spacing w:after="0"/>
              <w:rPr>
                <w:sz w:val="20"/>
                <w:szCs w:val="20"/>
                <w:color w:val="auto"/>
              </w:rPr>
            </w:pPr>
            <w:r>
              <w:rPr>
                <w:rFonts w:ascii="Arial" w:cs="Arial" w:eastAsia="Arial" w:hAnsi="Arial"/>
                <w:sz w:val="13"/>
                <w:szCs w:val="13"/>
                <w:color w:val="auto"/>
              </w:rPr>
              <w:t>Additional paid-in capital in excess of value assigned to common stock</w:t>
            </w:r>
          </w:p>
        </w:tc>
        <w:tc>
          <w:tcPr>
            <w:tcW w:w="68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980" w:type="dxa"/>
            <w:vAlign w:val="bottom"/>
          </w:tcPr>
          <w:p>
            <w:pPr>
              <w:jc w:val="right"/>
              <w:spacing w:after="0"/>
              <w:rPr>
                <w:sz w:val="20"/>
                <w:szCs w:val="20"/>
                <w:color w:val="auto"/>
              </w:rPr>
            </w:pPr>
            <w:r>
              <w:rPr>
                <w:rFonts w:ascii="Arial" w:cs="Arial" w:eastAsia="Arial" w:hAnsi="Arial"/>
                <w:sz w:val="13"/>
                <w:szCs w:val="13"/>
                <w:color w:val="auto"/>
              </w:rPr>
              <w:t>119,987</w:t>
            </w:r>
          </w:p>
        </w:tc>
        <w:tc>
          <w:tcPr>
            <w:tcW w:w="2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440" w:type="dxa"/>
            <w:vAlign w:val="bottom"/>
          </w:tcPr>
          <w:p>
            <w:pPr>
              <w:spacing w:after="0"/>
              <w:rPr>
                <w:sz w:val="13"/>
                <w:szCs w:val="13"/>
                <w:color w:val="auto"/>
              </w:rPr>
            </w:pPr>
          </w:p>
        </w:tc>
        <w:tc>
          <w:tcPr>
            <w:tcW w:w="800" w:type="dxa"/>
            <w:vAlign w:val="bottom"/>
          </w:tcPr>
          <w:p>
            <w:pPr>
              <w:jc w:val="right"/>
              <w:spacing w:after="0"/>
              <w:rPr>
                <w:sz w:val="20"/>
                <w:szCs w:val="20"/>
                <w:color w:val="auto"/>
              </w:rPr>
            </w:pPr>
            <w:r>
              <w:rPr>
                <w:rFonts w:ascii="Arial" w:cs="Arial" w:eastAsia="Arial" w:hAnsi="Arial"/>
                <w:sz w:val="13"/>
                <w:szCs w:val="13"/>
                <w:color w:val="auto"/>
              </w:rPr>
              <w:t>119,941</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860" w:type="dxa"/>
            <w:vAlign w:val="bottom"/>
          </w:tcPr>
          <w:p>
            <w:pPr>
              <w:spacing w:after="0"/>
              <w:rPr>
                <w:sz w:val="13"/>
                <w:szCs w:val="13"/>
                <w:color w:val="auto"/>
              </w:rPr>
            </w:pPr>
          </w:p>
        </w:tc>
        <w:tc>
          <w:tcPr>
            <w:tcW w:w="6260" w:type="dxa"/>
            <w:vAlign w:val="bottom"/>
            <w:shd w:val="clear" w:color="auto" w:fill="CCEEFF"/>
          </w:tcPr>
          <w:p>
            <w:pPr>
              <w:spacing w:after="0"/>
              <w:rPr>
                <w:sz w:val="20"/>
                <w:szCs w:val="20"/>
                <w:color w:val="auto"/>
              </w:rPr>
            </w:pPr>
            <w:r>
              <w:rPr>
                <w:rFonts w:ascii="Arial" w:cs="Arial" w:eastAsia="Arial" w:hAnsi="Arial"/>
                <w:sz w:val="13"/>
                <w:szCs w:val="13"/>
                <w:color w:val="auto"/>
              </w:rPr>
              <w:t>Capital reserves</w:t>
            </w:r>
          </w:p>
        </w:tc>
        <w:tc>
          <w:tcPr>
            <w:tcW w:w="68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95,210</w:t>
            </w:r>
          </w:p>
        </w:tc>
        <w:tc>
          <w:tcPr>
            <w:tcW w:w="20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95,210</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860" w:type="dxa"/>
            <w:vAlign w:val="bottom"/>
          </w:tcPr>
          <w:p>
            <w:pPr>
              <w:spacing w:after="0"/>
              <w:rPr>
                <w:sz w:val="13"/>
                <w:szCs w:val="13"/>
                <w:color w:val="auto"/>
              </w:rPr>
            </w:pPr>
          </w:p>
        </w:tc>
        <w:tc>
          <w:tcPr>
            <w:tcW w:w="6260" w:type="dxa"/>
            <w:vAlign w:val="bottom"/>
          </w:tcPr>
          <w:p>
            <w:pPr>
              <w:spacing w:after="0"/>
              <w:rPr>
                <w:sz w:val="20"/>
                <w:szCs w:val="20"/>
                <w:color w:val="auto"/>
              </w:rPr>
            </w:pPr>
            <w:r>
              <w:rPr>
                <w:rFonts w:ascii="Arial" w:cs="Arial" w:eastAsia="Arial" w:hAnsi="Arial"/>
                <w:sz w:val="13"/>
                <w:szCs w:val="13"/>
                <w:color w:val="auto"/>
              </w:rPr>
              <w:t>Regulatory reserves</w:t>
            </w:r>
          </w:p>
        </w:tc>
        <w:tc>
          <w:tcPr>
            <w:tcW w:w="68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980" w:type="dxa"/>
            <w:vAlign w:val="bottom"/>
          </w:tcPr>
          <w:p>
            <w:pPr>
              <w:jc w:val="right"/>
              <w:spacing w:after="0"/>
              <w:rPr>
                <w:sz w:val="20"/>
                <w:szCs w:val="20"/>
                <w:color w:val="auto"/>
              </w:rPr>
            </w:pPr>
            <w:r>
              <w:rPr>
                <w:rFonts w:ascii="Arial" w:cs="Arial" w:eastAsia="Arial" w:hAnsi="Arial"/>
                <w:sz w:val="13"/>
                <w:szCs w:val="13"/>
                <w:color w:val="auto"/>
              </w:rPr>
              <w:t>136,019</w:t>
            </w:r>
          </w:p>
        </w:tc>
        <w:tc>
          <w:tcPr>
            <w:tcW w:w="2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440" w:type="dxa"/>
            <w:vAlign w:val="bottom"/>
          </w:tcPr>
          <w:p>
            <w:pPr>
              <w:spacing w:after="0"/>
              <w:rPr>
                <w:sz w:val="13"/>
                <w:szCs w:val="13"/>
                <w:color w:val="auto"/>
              </w:rPr>
            </w:pPr>
          </w:p>
        </w:tc>
        <w:tc>
          <w:tcPr>
            <w:tcW w:w="800" w:type="dxa"/>
            <w:vAlign w:val="bottom"/>
          </w:tcPr>
          <w:p>
            <w:pPr>
              <w:jc w:val="right"/>
              <w:spacing w:after="0"/>
              <w:rPr>
                <w:sz w:val="20"/>
                <w:szCs w:val="20"/>
                <w:color w:val="auto"/>
              </w:rPr>
            </w:pPr>
            <w:r>
              <w:rPr>
                <w:rFonts w:ascii="Arial" w:cs="Arial" w:eastAsia="Arial" w:hAnsi="Arial"/>
                <w:sz w:val="13"/>
                <w:szCs w:val="13"/>
                <w:color w:val="auto"/>
              </w:rPr>
              <w:t>129,254</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860" w:type="dxa"/>
            <w:vAlign w:val="bottom"/>
          </w:tcPr>
          <w:p>
            <w:pPr>
              <w:spacing w:after="0"/>
              <w:rPr>
                <w:sz w:val="13"/>
                <w:szCs w:val="13"/>
                <w:color w:val="auto"/>
              </w:rPr>
            </w:pPr>
          </w:p>
        </w:tc>
        <w:tc>
          <w:tcPr>
            <w:tcW w:w="6260" w:type="dxa"/>
            <w:vAlign w:val="bottom"/>
            <w:shd w:val="clear" w:color="auto" w:fill="CCEEFF"/>
          </w:tcPr>
          <w:p>
            <w:pPr>
              <w:spacing w:after="0"/>
              <w:rPr>
                <w:sz w:val="20"/>
                <w:szCs w:val="20"/>
                <w:color w:val="auto"/>
              </w:rPr>
            </w:pPr>
            <w:r>
              <w:rPr>
                <w:rFonts w:ascii="Arial" w:cs="Arial" w:eastAsia="Arial" w:hAnsi="Arial"/>
                <w:sz w:val="13"/>
                <w:szCs w:val="13"/>
                <w:color w:val="auto"/>
              </w:rPr>
              <w:t>Retained earnings</w:t>
            </w:r>
          </w:p>
        </w:tc>
        <w:tc>
          <w:tcPr>
            <w:tcW w:w="68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423,050</w:t>
            </w:r>
          </w:p>
        </w:tc>
        <w:tc>
          <w:tcPr>
            <w:tcW w:w="20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479,712</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860" w:type="dxa"/>
            <w:vAlign w:val="bottom"/>
          </w:tcPr>
          <w:p>
            <w:pPr>
              <w:spacing w:after="0"/>
              <w:rPr>
                <w:sz w:val="14"/>
                <w:szCs w:val="14"/>
                <w:color w:val="auto"/>
              </w:rPr>
            </w:pPr>
          </w:p>
        </w:tc>
        <w:tc>
          <w:tcPr>
            <w:tcW w:w="6260" w:type="dxa"/>
            <w:vAlign w:val="bottom"/>
            <w:tcBorders>
              <w:bottom w:val="single" w:sz="8" w:color="CCEEFF"/>
            </w:tcBorders>
          </w:tcPr>
          <w:p>
            <w:pPr>
              <w:spacing w:after="0"/>
              <w:rPr>
                <w:sz w:val="20"/>
                <w:szCs w:val="20"/>
                <w:color w:val="auto"/>
              </w:rPr>
            </w:pPr>
            <w:r>
              <w:rPr>
                <w:rFonts w:ascii="Arial" w:cs="Arial" w:eastAsia="Arial" w:hAnsi="Arial"/>
                <w:sz w:val="13"/>
                <w:szCs w:val="13"/>
                <w:color w:val="auto"/>
              </w:rPr>
              <w:t>Other comprehensive income (loss)</w:t>
            </w:r>
          </w:p>
        </w:tc>
        <w:tc>
          <w:tcPr>
            <w:tcW w:w="680" w:type="dxa"/>
            <w:vAlign w:val="bottom"/>
            <w:tcBorders>
              <w:bottom w:val="single" w:sz="8" w:color="CCEEFF"/>
            </w:tcBorders>
          </w:tcPr>
          <w:p>
            <w:pPr>
              <w:spacing w:after="0"/>
              <w:rPr>
                <w:sz w:val="14"/>
                <w:szCs w:val="14"/>
                <w:color w:val="auto"/>
              </w:rPr>
            </w:pPr>
          </w:p>
        </w:tc>
        <w:tc>
          <w:tcPr>
            <w:tcW w:w="280" w:type="dxa"/>
            <w:vAlign w:val="bottom"/>
            <w:tcBorders>
              <w:bottom w:val="single" w:sz="8" w:color="auto"/>
            </w:tcBorders>
          </w:tcPr>
          <w:p>
            <w:pPr>
              <w:spacing w:after="0"/>
              <w:rPr>
                <w:sz w:val="14"/>
                <w:szCs w:val="14"/>
                <w:color w:val="auto"/>
              </w:rPr>
            </w:pPr>
          </w:p>
        </w:tc>
        <w:tc>
          <w:tcPr>
            <w:tcW w:w="98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420</w:t>
            </w:r>
          </w:p>
        </w:tc>
        <w:tc>
          <w:tcPr>
            <w:tcW w:w="200" w:type="dxa"/>
            <w:vAlign w:val="bottom"/>
            <w:tcBorders>
              <w:bottom w:val="single" w:sz="8" w:color="CCEEFF"/>
            </w:tcBorders>
          </w:tcPr>
          <w:p>
            <w:pPr>
              <w:spacing w:after="0"/>
              <w:rPr>
                <w:sz w:val="14"/>
                <w:szCs w:val="14"/>
                <w:color w:val="auto"/>
              </w:rPr>
            </w:pPr>
          </w:p>
        </w:tc>
        <w:tc>
          <w:tcPr>
            <w:tcW w:w="20" w:type="dxa"/>
            <w:vAlign w:val="bottom"/>
            <w:tcBorders>
              <w:bottom w:val="single" w:sz="8" w:color="CCEEFF"/>
            </w:tcBorders>
          </w:tcPr>
          <w:p>
            <w:pPr>
              <w:spacing w:after="0"/>
              <w:rPr>
                <w:sz w:val="14"/>
                <w:szCs w:val="14"/>
                <w:color w:val="auto"/>
              </w:rPr>
            </w:pPr>
          </w:p>
        </w:tc>
        <w:tc>
          <w:tcPr>
            <w:tcW w:w="44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1,963</w:t>
            </w:r>
          </w:p>
        </w:tc>
        <w:tc>
          <w:tcPr>
            <w:tcW w:w="10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860" w:type="dxa"/>
            <w:vAlign w:val="bottom"/>
          </w:tcPr>
          <w:p>
            <w:pPr>
              <w:spacing w:after="0"/>
              <w:rPr>
                <w:sz w:val="12"/>
                <w:szCs w:val="12"/>
                <w:color w:val="auto"/>
              </w:rPr>
            </w:pPr>
          </w:p>
        </w:tc>
        <w:tc>
          <w:tcPr>
            <w:tcW w:w="6260" w:type="dxa"/>
            <w:vAlign w:val="bottom"/>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Total Equity</w:t>
            </w:r>
          </w:p>
        </w:tc>
        <w:tc>
          <w:tcPr>
            <w:tcW w:w="680" w:type="dxa"/>
            <w:vAlign w:val="bottom"/>
            <w:shd w:val="clear" w:color="auto" w:fill="CCEEFF"/>
          </w:tcPr>
          <w:p>
            <w:pPr>
              <w:spacing w:after="0"/>
              <w:rPr>
                <w:sz w:val="12"/>
                <w:szCs w:val="12"/>
                <w:color w:val="auto"/>
              </w:rPr>
            </w:pPr>
          </w:p>
        </w:tc>
        <w:tc>
          <w:tcPr>
            <w:tcW w:w="280" w:type="dxa"/>
            <w:vAlign w:val="bottom"/>
            <w:tcBorders>
              <w:bottom w:val="single" w:sz="8" w:color="auto"/>
            </w:tcBorders>
            <w:shd w:val="clear" w:color="auto" w:fill="CCEEFF"/>
          </w:tcPr>
          <w:p>
            <w:pPr>
              <w:jc w:val="right"/>
              <w:ind w:right="172"/>
              <w:spacing w:after="0"/>
              <w:rPr>
                <w:sz w:val="20"/>
                <w:szCs w:val="20"/>
                <w:color w:val="auto"/>
              </w:rPr>
            </w:pPr>
            <w:r>
              <w:rPr>
                <w:rFonts w:ascii="Arial" w:cs="Arial" w:eastAsia="Arial" w:hAnsi="Arial"/>
                <w:sz w:val="10"/>
                <w:szCs w:val="10"/>
                <w:b w:val="1"/>
                <w:bCs w:val="1"/>
                <w:color w:val="auto"/>
                <w:w w:val="71"/>
              </w:rPr>
              <w:t>$</w:t>
            </w:r>
          </w:p>
        </w:tc>
        <w:tc>
          <w:tcPr>
            <w:tcW w:w="980" w:type="dxa"/>
            <w:vAlign w:val="bottom"/>
            <w:tcBorders>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993,590</w:t>
            </w:r>
          </w:p>
        </w:tc>
        <w:tc>
          <w:tcPr>
            <w:tcW w:w="2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440" w:type="dxa"/>
            <w:vAlign w:val="bottom"/>
            <w:tcBorders>
              <w:bottom w:val="single" w:sz="8" w:color="auto"/>
            </w:tcBorders>
            <w:shd w:val="clear" w:color="auto" w:fill="CCEEFF"/>
          </w:tcPr>
          <w:p>
            <w:pPr>
              <w:jc w:val="right"/>
              <w:ind w:right="373"/>
              <w:spacing w:after="0"/>
              <w:rPr>
                <w:sz w:val="20"/>
                <w:szCs w:val="20"/>
                <w:color w:val="auto"/>
              </w:rPr>
            </w:pPr>
            <w:r>
              <w:rPr>
                <w:rFonts w:ascii="Arial" w:cs="Arial" w:eastAsia="Arial" w:hAnsi="Arial"/>
                <w:sz w:val="5"/>
                <w:szCs w:val="5"/>
                <w:b w:val="1"/>
                <w:bCs w:val="1"/>
                <w:color w:val="auto"/>
                <w:w w:val="70"/>
              </w:rPr>
              <w:t>$</w:t>
            </w:r>
          </w:p>
        </w:tc>
        <w:tc>
          <w:tcPr>
            <w:tcW w:w="800" w:type="dxa"/>
            <w:vAlign w:val="bottom"/>
            <w:tcBorders>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1,042,812</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860" w:type="dxa"/>
            <w:vAlign w:val="bottom"/>
          </w:tcPr>
          <w:p>
            <w:pPr>
              <w:spacing w:after="0"/>
              <w:rPr>
                <w:sz w:val="14"/>
                <w:szCs w:val="14"/>
                <w:color w:val="auto"/>
              </w:rPr>
            </w:pPr>
          </w:p>
        </w:tc>
        <w:tc>
          <w:tcPr>
            <w:tcW w:w="6260" w:type="dxa"/>
            <w:vAlign w:val="bottom"/>
          </w:tcPr>
          <w:p>
            <w:pPr>
              <w:spacing w:after="0" w:line="146" w:lineRule="exact"/>
              <w:rPr>
                <w:sz w:val="20"/>
                <w:szCs w:val="20"/>
                <w:color w:val="auto"/>
              </w:rPr>
            </w:pPr>
            <w:r>
              <w:rPr>
                <w:rFonts w:ascii="Arial" w:cs="Arial" w:eastAsia="Arial" w:hAnsi="Arial"/>
                <w:sz w:val="13"/>
                <w:szCs w:val="13"/>
                <w:b w:val="1"/>
                <w:bCs w:val="1"/>
                <w:color w:val="auto"/>
              </w:rPr>
              <w:t>Total Liabilities and Equity</w:t>
            </w:r>
          </w:p>
        </w:tc>
        <w:tc>
          <w:tcPr>
            <w:tcW w:w="680" w:type="dxa"/>
            <w:vAlign w:val="bottom"/>
          </w:tcPr>
          <w:p>
            <w:pPr>
              <w:spacing w:after="0"/>
              <w:rPr>
                <w:sz w:val="14"/>
                <w:szCs w:val="14"/>
                <w:color w:val="auto"/>
              </w:rPr>
            </w:pPr>
          </w:p>
        </w:tc>
        <w:tc>
          <w:tcPr>
            <w:tcW w:w="280" w:type="dxa"/>
            <w:vAlign w:val="bottom"/>
            <w:tcBorders>
              <w:bottom w:val="single" w:sz="8" w:color="auto"/>
            </w:tcBorders>
          </w:tcPr>
          <w:p>
            <w:pPr>
              <w:jc w:val="right"/>
              <w:ind w:right="172"/>
              <w:spacing w:after="0"/>
              <w:rPr>
                <w:sz w:val="20"/>
                <w:szCs w:val="20"/>
                <w:color w:val="auto"/>
              </w:rPr>
            </w:pPr>
            <w:r>
              <w:rPr>
                <w:rFonts w:ascii="Arial" w:cs="Arial" w:eastAsia="Arial" w:hAnsi="Arial"/>
                <w:sz w:val="10"/>
                <w:szCs w:val="10"/>
                <w:b w:val="1"/>
                <w:bCs w:val="1"/>
                <w:color w:val="auto"/>
                <w:w w:val="71"/>
              </w:rPr>
              <w:t>$</w:t>
            </w:r>
          </w:p>
        </w:tc>
        <w:tc>
          <w:tcPr>
            <w:tcW w:w="98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7,609,185</w:t>
            </w:r>
          </w:p>
        </w:tc>
        <w:tc>
          <w:tcPr>
            <w:tcW w:w="200" w:type="dxa"/>
            <w:vAlign w:val="bottom"/>
          </w:tcPr>
          <w:p>
            <w:pPr>
              <w:spacing w:after="0"/>
              <w:rPr>
                <w:sz w:val="14"/>
                <w:szCs w:val="14"/>
                <w:color w:val="auto"/>
              </w:rPr>
            </w:pPr>
          </w:p>
        </w:tc>
        <w:tc>
          <w:tcPr>
            <w:tcW w:w="20" w:type="dxa"/>
            <w:vAlign w:val="bottom"/>
            <w:tcBorders>
              <w:bottom w:val="single" w:sz="8" w:color="auto"/>
            </w:tcBorders>
          </w:tcPr>
          <w:p>
            <w:pPr>
              <w:spacing w:after="0"/>
              <w:rPr>
                <w:sz w:val="14"/>
                <w:szCs w:val="14"/>
                <w:color w:val="auto"/>
              </w:rPr>
            </w:pPr>
          </w:p>
        </w:tc>
        <w:tc>
          <w:tcPr>
            <w:tcW w:w="440" w:type="dxa"/>
            <w:vAlign w:val="bottom"/>
            <w:tcBorders>
              <w:bottom w:val="single" w:sz="8" w:color="auto"/>
            </w:tcBorders>
          </w:tcPr>
          <w:p>
            <w:pPr>
              <w:jc w:val="right"/>
              <w:ind w:right="373"/>
              <w:spacing w:after="0"/>
              <w:rPr>
                <w:sz w:val="20"/>
                <w:szCs w:val="20"/>
                <w:color w:val="auto"/>
              </w:rPr>
            </w:pPr>
            <w:r>
              <w:rPr>
                <w:rFonts w:ascii="Arial" w:cs="Arial" w:eastAsia="Arial" w:hAnsi="Arial"/>
                <w:sz w:val="5"/>
                <w:szCs w:val="5"/>
                <w:b w:val="1"/>
                <w:bCs w:val="1"/>
                <w:color w:val="auto"/>
                <w:w w:val="70"/>
              </w:rPr>
              <w:t>$</w:t>
            </w:r>
          </w:p>
        </w:tc>
        <w:tc>
          <w:tcPr>
            <w:tcW w:w="80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6,267,747</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bl>
    <w:p>
      <w:pPr>
        <w:spacing w:after="0" w:line="294"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54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56" w:name="page57"/>
    <w:bookmarkEnd w:id="56"/>
    <w:p>
      <w:pPr>
        <w:spacing w:after="0"/>
        <w:rPr>
          <w:sz w:val="20"/>
          <w:szCs w:val="20"/>
          <w:color w:val="auto"/>
        </w:rPr>
      </w:pPr>
      <w:r>
        <w:rPr>
          <w:rFonts w:ascii="Arial" w:cs="Arial" w:eastAsia="Arial" w:hAnsi="Arial"/>
          <w:sz w:val="13"/>
          <w:szCs w:val="13"/>
          <w:i w:val="1"/>
          <w:iCs w:val="1"/>
          <w:u w:val="single" w:color="auto"/>
          <w:color w:val="auto"/>
        </w:rPr>
        <w:t>2018 vs. 2017</w:t>
      </w:r>
    </w:p>
    <w:p>
      <w:pPr>
        <w:spacing w:after="0" w:line="159"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As of December 31, 2018, total assets amounted to $7,609 million, a 21% increase compared to $6,268 million as of December 31, 2017, which was mainly attributable to a higher liquidity position in cash and cash equivalents and the growth of the Bank’s Loan Portfolio, both detailed as follows:</w:t>
      </w:r>
    </w:p>
    <w:p>
      <w:pPr>
        <w:spacing w:after="0" w:line="129" w:lineRule="exact"/>
        <w:rPr>
          <w:sz w:val="20"/>
          <w:szCs w:val="20"/>
          <w:color w:val="auto"/>
        </w:rPr>
      </w:pPr>
    </w:p>
    <w:p>
      <w:pPr>
        <w:jc w:val="both"/>
        <w:spacing w:after="0" w:line="281" w:lineRule="auto"/>
        <w:rPr>
          <w:sz w:val="20"/>
          <w:szCs w:val="20"/>
          <w:color w:val="auto"/>
        </w:rPr>
      </w:pPr>
      <w:r>
        <w:rPr>
          <w:rFonts w:ascii="Arial" w:cs="Arial" w:eastAsia="Arial" w:hAnsi="Arial"/>
          <w:sz w:val="12"/>
          <w:szCs w:val="12"/>
          <w:color w:val="auto"/>
        </w:rPr>
        <w:t>The Bank’s cash and cash equivalents, most of which consisted of actively managed liquid assets, totaled $1,746 million as of December 31, 2018, compared to $672 million as of December 31, 2017. Year-end liquidity balances were above historical levels as the Bank scheduled its funding sources in anticipation of a potential temporary decline in its deposit base which ended-up reverting toward year-end 2018. Consequently, the liquid assets to total assets ratio amounted to 22% as of December 31, 2018, compared to 10% as of December 31, 2017, while at these same dates, the liquid assets to total deposits ratios were 57% and 21%, respectively. As of December 31, 2018, $1,648 million, or 97% of the Bank’s liquid assets were held as deposits with the Federal Reserve Bank of New York.</w:t>
      </w:r>
    </w:p>
    <w:p>
      <w:pPr>
        <w:spacing w:after="0" w:line="124"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As of December 31, 2018, the Bank’s Loan Portfolio amounted to $5,778 million, compared to $5,506 million as of December 31, 2017. The $272 million, or 5% Loan Portfolio increase during 2018 was mainly attributable to higher mid-term lending origination throughout 2018 as the Bank was able to deploy longer tenor transactions with its traditional client base of top quality financial institutions, export corporations and “multilatinas”, and continued to perform well on short-term origination capacity.</w:t>
      </w:r>
    </w:p>
    <w:p>
      <w:pPr>
        <w:spacing w:after="0" w:line="136"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Securities and other financial assets are mostly comprised of the Bank’s Investment Portfolio, in the form of both securities at FVOCI and securities at amortized cost consisting of investments in securities by Latin American issuers, which accounted for only 1% of total assets as of December 31, 2018 and 2017.</w:t>
      </w:r>
    </w:p>
    <w:p>
      <w:pPr>
        <w:spacing w:after="0" w:line="278"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55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89" w:right="219" w:bottom="1440" w:gutter="0" w:footer="0" w:header="0"/>
        </w:sectPr>
      </w:pPr>
    </w:p>
    <w:bookmarkStart w:id="57" w:name="page58"/>
    <w:bookmarkEnd w:id="57"/>
    <w:p>
      <w:pPr>
        <w:jc w:val="both"/>
        <w:ind w:left="3" w:right="20"/>
        <w:spacing w:after="0" w:line="281" w:lineRule="auto"/>
        <w:rPr>
          <w:sz w:val="20"/>
          <w:szCs w:val="20"/>
          <w:color w:val="auto"/>
        </w:rPr>
      </w:pPr>
      <w:r>
        <w:rPr>
          <w:rFonts w:ascii="Arial" w:cs="Arial" w:eastAsia="Arial" w:hAnsi="Arial"/>
          <w:sz w:val="12"/>
          <w:szCs w:val="12"/>
          <w:color w:val="auto"/>
        </w:rPr>
        <w:t>As of December 31, 2018, total liabilities amounted to $6,616 million, a 27% increase, compared to $5,225 million as of December 31, 2017, which was mainly attributable to higher funding sources in the form of borrowings and debt, which increased 59% as of December 31, 2018, as a result of increased funding needs from the Bank’s increased commercial lending origination activities and its liquidity position management. Deposit balances remained relatively stable at $2,971 million, or 45% of total liabilities as of December 31, 2018, compared to $2,929 million, or 56% of total liabilities as of December 31, 2017. The majority of the deposits are placed by central banks or designees (i.e., Class A shareholders of the Bank), with 71% and 67% of total deposits at the end of these periods, respectively.</w:t>
      </w:r>
    </w:p>
    <w:p>
      <w:pPr>
        <w:spacing w:after="0" w:line="124" w:lineRule="exact"/>
        <w:rPr>
          <w:sz w:val="20"/>
          <w:szCs w:val="20"/>
          <w:color w:val="auto"/>
        </w:rPr>
      </w:pPr>
    </w:p>
    <w:p>
      <w:pPr>
        <w:jc w:val="both"/>
        <w:ind w:left="3" w:right="20"/>
        <w:spacing w:after="0" w:line="257" w:lineRule="auto"/>
        <w:rPr>
          <w:sz w:val="20"/>
          <w:szCs w:val="20"/>
          <w:color w:val="auto"/>
        </w:rPr>
      </w:pPr>
      <w:r>
        <w:rPr>
          <w:rFonts w:ascii="Arial" w:cs="Arial" w:eastAsia="Arial" w:hAnsi="Arial"/>
          <w:sz w:val="13"/>
          <w:szCs w:val="13"/>
          <w:color w:val="auto"/>
        </w:rPr>
        <w:t>Total equity decreased 5% to $994 million as of December 31, 2018, compared to $1,043 million as of December 31, 2017. The decreased equity levels during 2018 reflect lower profits totaling $11 million, while the Bank maintained a level of dividends similar to prior years at $1.54 per share, representing a total of $61 million, denoting a strong dividend pay-out ratio during 2018. The Bank’s equity consists of issued and fully paid ordinary common stock and retained earnings.</w:t>
      </w:r>
    </w:p>
    <w:p>
      <w:pPr>
        <w:spacing w:after="0" w:line="136"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Asset Quality</w:t>
      </w:r>
    </w:p>
    <w:p>
      <w:pPr>
        <w:spacing w:after="0" w:line="159" w:lineRule="exact"/>
        <w:rPr>
          <w:sz w:val="20"/>
          <w:szCs w:val="20"/>
          <w:color w:val="auto"/>
        </w:rPr>
      </w:pPr>
    </w:p>
    <w:p>
      <w:pPr>
        <w:jc w:val="both"/>
        <w:ind w:left="3" w:right="20"/>
        <w:spacing w:after="0" w:line="257" w:lineRule="auto"/>
        <w:rPr>
          <w:sz w:val="20"/>
          <w:szCs w:val="20"/>
          <w:color w:val="auto"/>
        </w:rPr>
      </w:pPr>
      <w:r>
        <w:rPr>
          <w:rFonts w:ascii="Arial" w:cs="Arial" w:eastAsia="Arial" w:hAnsi="Arial"/>
          <w:sz w:val="13"/>
          <w:szCs w:val="13"/>
          <w:color w:val="auto"/>
        </w:rPr>
        <w:t>The Bank believes that its fundamental asset quality is a function of its strong client base, the importance that governments and borrowers alike attribute to maintaining continued access to trade financing, its preferred creditor status, and its strict adherence to commercial criteria in its credit activities. The Bank’s management and the CPER periodically review a report of all delinquencies. The Bank’s collection policies include rapid internal notification of any delinquency and prompt initiation of collection efforts, usually involving senior management.</w:t>
      </w:r>
    </w:p>
    <w:p>
      <w:pPr>
        <w:spacing w:after="0" w:line="136" w:lineRule="exact"/>
        <w:rPr>
          <w:sz w:val="20"/>
          <w:szCs w:val="20"/>
          <w:color w:val="auto"/>
        </w:rPr>
      </w:pPr>
    </w:p>
    <w:p>
      <w:pPr>
        <w:jc w:val="both"/>
        <w:ind w:left="3" w:right="20"/>
        <w:spacing w:after="0" w:line="326" w:lineRule="auto"/>
        <w:rPr>
          <w:sz w:val="20"/>
          <w:szCs w:val="20"/>
          <w:color w:val="auto"/>
        </w:rPr>
      </w:pPr>
      <w:r>
        <w:rPr>
          <w:rFonts w:ascii="Arial" w:cs="Arial" w:eastAsia="Arial" w:hAnsi="Arial"/>
          <w:sz w:val="11"/>
          <w:szCs w:val="11"/>
          <w:color w:val="auto"/>
        </w:rPr>
        <w:t>The Bank assigns to each exposure a risk rating which is defined using quantitative and qualitative factors that are indicative of the risk of loss. This rating is considered for purposes of identifying significant increases in credit risk. These factors may vary depending on the nature of the exposure and the type of borrower. Each exposure is assigned to a risk rating at the time of initial recognition based on the information available about the client and the country. Exposures are subject to continuous monitoring, which may result in the change of an exposure to a different risk rating. A description of the Bank’s internal credit risk grades is as follows:</w:t>
      </w:r>
    </w:p>
    <w:p>
      <w:pPr>
        <w:spacing w:after="0" w:line="97" w:lineRule="exact"/>
        <w:rPr>
          <w:sz w:val="20"/>
          <w:szCs w:val="20"/>
          <w:color w:val="auto"/>
        </w:rPr>
      </w:pPr>
    </w:p>
    <w:tbl>
      <w:tblPr>
        <w:tblLayout w:type="fixed"/>
        <w:tblInd w:w="3" w:type="dxa"/>
        <w:tblCellMar>
          <w:top w:w="0" w:type="dxa"/>
          <w:left w:w="0" w:type="dxa"/>
          <w:bottom w:w="0" w:type="dxa"/>
          <w:right w:w="0" w:type="dxa"/>
        </w:tblCellMar>
      </w:tblPr>
      <w:tr>
        <w:trPr>
          <w:trHeight w:val="157"/>
        </w:trPr>
        <w:tc>
          <w:tcPr>
            <w:tcW w:w="1840" w:type="dxa"/>
            <w:vAlign w:val="bottom"/>
            <w:gridSpan w:val="2"/>
          </w:tcPr>
          <w:p>
            <w:pPr>
              <w:ind w:left="620"/>
              <w:spacing w:after="0"/>
              <w:rPr>
                <w:sz w:val="20"/>
                <w:szCs w:val="20"/>
                <w:color w:val="auto"/>
              </w:rPr>
            </w:pPr>
            <w:r>
              <w:rPr>
                <w:rFonts w:ascii="Arial" w:cs="Arial" w:eastAsia="Arial" w:hAnsi="Arial"/>
                <w:sz w:val="13"/>
                <w:szCs w:val="13"/>
                <w:b w:val="1"/>
                <w:bCs w:val="1"/>
                <w:color w:val="auto"/>
              </w:rPr>
              <w:t>Internal</w:t>
            </w:r>
          </w:p>
        </w:tc>
        <w:tc>
          <w:tcPr>
            <w:tcW w:w="1720" w:type="dxa"/>
            <w:vAlign w:val="bottom"/>
          </w:tcPr>
          <w:p>
            <w:pPr>
              <w:jc w:val="center"/>
              <w:spacing w:after="0"/>
              <w:rPr>
                <w:sz w:val="20"/>
                <w:szCs w:val="20"/>
                <w:color w:val="auto"/>
              </w:rPr>
            </w:pPr>
            <w:r>
              <w:rPr>
                <w:rFonts w:ascii="Arial" w:cs="Arial" w:eastAsia="Arial" w:hAnsi="Arial"/>
                <w:sz w:val="13"/>
                <w:szCs w:val="13"/>
                <w:b w:val="1"/>
                <w:bCs w:val="1"/>
                <w:color w:val="auto"/>
                <w:w w:val="93"/>
              </w:rPr>
              <w:t>External</w:t>
            </w:r>
          </w:p>
        </w:tc>
        <w:tc>
          <w:tcPr>
            <w:tcW w:w="120" w:type="dxa"/>
            <w:vAlign w:val="bottom"/>
          </w:tcPr>
          <w:p>
            <w:pPr>
              <w:spacing w:after="0"/>
              <w:rPr>
                <w:sz w:val="13"/>
                <w:szCs w:val="13"/>
                <w:color w:val="auto"/>
              </w:rPr>
            </w:pPr>
          </w:p>
        </w:tc>
        <w:tc>
          <w:tcPr>
            <w:tcW w:w="7800" w:type="dxa"/>
            <w:vAlign w:val="bottom"/>
          </w:tcPr>
          <w:p>
            <w:pPr>
              <w:spacing w:after="0"/>
              <w:rPr>
                <w:sz w:val="13"/>
                <w:szCs w:val="13"/>
                <w:color w:val="auto"/>
              </w:rPr>
            </w:pPr>
          </w:p>
        </w:tc>
      </w:tr>
      <w:tr>
        <w:trPr>
          <w:trHeight w:val="193"/>
        </w:trPr>
        <w:tc>
          <w:tcPr>
            <w:tcW w:w="1840" w:type="dxa"/>
            <w:vAlign w:val="bottom"/>
            <w:gridSpan w:val="2"/>
          </w:tcPr>
          <w:p>
            <w:pPr>
              <w:jc w:val="center"/>
              <w:ind w:right="120"/>
              <w:spacing w:after="0"/>
              <w:rPr>
                <w:sz w:val="20"/>
                <w:szCs w:val="20"/>
                <w:color w:val="auto"/>
              </w:rPr>
            </w:pPr>
            <w:r>
              <w:rPr>
                <w:rFonts w:ascii="Arial" w:cs="Arial" w:eastAsia="Arial" w:hAnsi="Arial"/>
                <w:sz w:val="13"/>
                <w:szCs w:val="13"/>
                <w:b w:val="1"/>
                <w:bCs w:val="1"/>
                <w:color w:val="auto"/>
                <w:w w:val="88"/>
              </w:rPr>
              <w:t>Rating</w:t>
            </w:r>
          </w:p>
        </w:tc>
        <w:tc>
          <w:tcPr>
            <w:tcW w:w="1720" w:type="dxa"/>
            <w:vAlign w:val="bottom"/>
          </w:tcPr>
          <w:p>
            <w:pPr>
              <w:jc w:val="center"/>
              <w:spacing w:after="0" w:line="193" w:lineRule="exact"/>
              <w:rPr>
                <w:sz w:val="20"/>
                <w:szCs w:val="20"/>
                <w:color w:val="auto"/>
              </w:rPr>
            </w:pPr>
            <w:r>
              <w:rPr>
                <w:rFonts w:ascii="Arial" w:cs="Arial" w:eastAsia="Arial" w:hAnsi="Arial"/>
                <w:sz w:val="13"/>
                <w:szCs w:val="13"/>
                <w:b w:val="1"/>
                <w:bCs w:val="1"/>
                <w:color w:val="auto"/>
                <w:w w:val="84"/>
              </w:rPr>
              <w:t xml:space="preserve">Rating </w:t>
            </w:r>
            <w:r>
              <w:rPr>
                <w:rFonts w:ascii="Arial" w:cs="Arial" w:eastAsia="Arial" w:hAnsi="Arial"/>
                <w:sz w:val="21"/>
                <w:szCs w:val="21"/>
                <w:b w:val="1"/>
                <w:bCs w:val="1"/>
                <w:color w:val="auto"/>
                <w:w w:val="84"/>
                <w:vertAlign w:val="superscript"/>
              </w:rPr>
              <w:t>(1)</w:t>
            </w:r>
          </w:p>
        </w:tc>
        <w:tc>
          <w:tcPr>
            <w:tcW w:w="120" w:type="dxa"/>
            <w:vAlign w:val="bottom"/>
          </w:tcPr>
          <w:p>
            <w:pPr>
              <w:spacing w:after="0"/>
              <w:rPr>
                <w:sz w:val="16"/>
                <w:szCs w:val="16"/>
                <w:color w:val="auto"/>
              </w:rPr>
            </w:pPr>
          </w:p>
        </w:tc>
        <w:tc>
          <w:tcPr>
            <w:tcW w:w="7800" w:type="dxa"/>
            <w:vAlign w:val="bottom"/>
          </w:tcPr>
          <w:p>
            <w:pPr>
              <w:ind w:left="3580"/>
              <w:spacing w:after="0"/>
              <w:rPr>
                <w:sz w:val="20"/>
                <w:szCs w:val="20"/>
                <w:color w:val="auto"/>
              </w:rPr>
            </w:pPr>
            <w:r>
              <w:rPr>
                <w:rFonts w:ascii="Arial" w:cs="Arial" w:eastAsia="Arial" w:hAnsi="Arial"/>
                <w:sz w:val="13"/>
                <w:szCs w:val="13"/>
                <w:b w:val="1"/>
                <w:bCs w:val="1"/>
                <w:color w:val="auto"/>
              </w:rPr>
              <w:t>Description</w:t>
            </w:r>
          </w:p>
        </w:tc>
      </w:tr>
      <w:tr>
        <w:trPr>
          <w:trHeight w:val="144"/>
        </w:trPr>
        <w:tc>
          <w:tcPr>
            <w:tcW w:w="1720" w:type="dxa"/>
            <w:vAlign w:val="bottom"/>
            <w:tcBorders>
              <w:top w:val="single" w:sz="8" w:color="auto"/>
            </w:tcBorders>
            <w:shd w:val="clear" w:color="auto" w:fill="CCEEFF"/>
          </w:tcPr>
          <w:p>
            <w:pPr>
              <w:jc w:val="center"/>
              <w:spacing w:after="0" w:line="144" w:lineRule="exact"/>
              <w:rPr>
                <w:sz w:val="20"/>
                <w:szCs w:val="20"/>
                <w:color w:val="auto"/>
              </w:rPr>
            </w:pPr>
            <w:r>
              <w:rPr>
                <w:rFonts w:ascii="Arial" w:cs="Arial" w:eastAsia="Arial" w:hAnsi="Arial"/>
                <w:sz w:val="13"/>
                <w:szCs w:val="13"/>
                <w:color w:val="auto"/>
                <w:w w:val="85"/>
              </w:rPr>
              <w:t>1 to 4</w:t>
            </w:r>
          </w:p>
        </w:tc>
        <w:tc>
          <w:tcPr>
            <w:tcW w:w="120" w:type="dxa"/>
            <w:vAlign w:val="bottom"/>
            <w:tcBorders>
              <w:top w:val="single" w:sz="8" w:color="CCEEFF"/>
            </w:tcBorders>
            <w:shd w:val="clear" w:color="auto" w:fill="CCEEFF"/>
          </w:tcPr>
          <w:p>
            <w:pPr>
              <w:spacing w:after="0"/>
              <w:rPr>
                <w:sz w:val="12"/>
                <w:szCs w:val="12"/>
                <w:color w:val="auto"/>
              </w:rPr>
            </w:pPr>
          </w:p>
        </w:tc>
        <w:tc>
          <w:tcPr>
            <w:tcW w:w="1720" w:type="dxa"/>
            <w:vAlign w:val="bottom"/>
            <w:tcBorders>
              <w:top w:val="single" w:sz="8" w:color="auto"/>
            </w:tcBorders>
            <w:shd w:val="clear" w:color="auto" w:fill="CCEEFF"/>
          </w:tcPr>
          <w:p>
            <w:pPr>
              <w:jc w:val="center"/>
              <w:spacing w:after="0" w:line="144" w:lineRule="exact"/>
              <w:rPr>
                <w:sz w:val="20"/>
                <w:szCs w:val="20"/>
                <w:color w:val="auto"/>
              </w:rPr>
            </w:pPr>
            <w:r>
              <w:rPr>
                <w:rFonts w:ascii="Arial" w:cs="Arial" w:eastAsia="Arial" w:hAnsi="Arial"/>
                <w:sz w:val="13"/>
                <w:szCs w:val="13"/>
                <w:color w:val="auto"/>
                <w:w w:val="88"/>
              </w:rPr>
              <w:t>Aaa – Ba1</w:t>
            </w:r>
          </w:p>
        </w:tc>
        <w:tc>
          <w:tcPr>
            <w:tcW w:w="120" w:type="dxa"/>
            <w:vAlign w:val="bottom"/>
            <w:tcBorders>
              <w:top w:val="single" w:sz="8" w:color="CCEEFF"/>
            </w:tcBorders>
            <w:shd w:val="clear" w:color="auto" w:fill="CCEEFF"/>
          </w:tcPr>
          <w:p>
            <w:pPr>
              <w:spacing w:after="0"/>
              <w:rPr>
                <w:sz w:val="12"/>
                <w:szCs w:val="12"/>
                <w:color w:val="auto"/>
              </w:rPr>
            </w:pPr>
          </w:p>
        </w:tc>
        <w:tc>
          <w:tcPr>
            <w:tcW w:w="7800" w:type="dxa"/>
            <w:vAlign w:val="bottom"/>
            <w:tcBorders>
              <w:top w:val="single" w:sz="8" w:color="auto"/>
            </w:tcBorders>
            <w:shd w:val="clear" w:color="auto" w:fill="CCEEFF"/>
          </w:tcPr>
          <w:p>
            <w:pPr>
              <w:spacing w:after="0" w:line="144" w:lineRule="exact"/>
              <w:rPr>
                <w:sz w:val="20"/>
                <w:szCs w:val="20"/>
                <w:color w:val="auto"/>
              </w:rPr>
            </w:pPr>
            <w:r>
              <w:rPr>
                <w:rFonts w:ascii="Arial" w:cs="Arial" w:eastAsia="Arial" w:hAnsi="Arial"/>
                <w:sz w:val="13"/>
                <w:szCs w:val="13"/>
                <w:color w:val="auto"/>
              </w:rPr>
              <w:t>Exposure to clients or countries with payment ability to satisfy their financial commitments.</w:t>
            </w:r>
          </w:p>
        </w:tc>
      </w:tr>
      <w:tr>
        <w:trPr>
          <w:trHeight w:val="154"/>
        </w:trPr>
        <w:tc>
          <w:tcPr>
            <w:tcW w:w="1840" w:type="dxa"/>
            <w:vAlign w:val="bottom"/>
            <w:gridSpan w:val="2"/>
          </w:tcPr>
          <w:p>
            <w:pPr>
              <w:jc w:val="center"/>
              <w:ind w:right="120"/>
              <w:spacing w:after="0"/>
              <w:rPr>
                <w:sz w:val="20"/>
                <w:szCs w:val="20"/>
                <w:color w:val="auto"/>
              </w:rPr>
            </w:pPr>
            <w:r>
              <w:rPr>
                <w:rFonts w:ascii="Arial" w:cs="Arial" w:eastAsia="Arial" w:hAnsi="Arial"/>
                <w:sz w:val="13"/>
                <w:szCs w:val="13"/>
                <w:color w:val="auto"/>
                <w:w w:val="85"/>
              </w:rPr>
              <w:t>5 to 6</w:t>
            </w:r>
          </w:p>
        </w:tc>
        <w:tc>
          <w:tcPr>
            <w:tcW w:w="1720" w:type="dxa"/>
            <w:vAlign w:val="bottom"/>
          </w:tcPr>
          <w:p>
            <w:pPr>
              <w:jc w:val="center"/>
              <w:spacing w:after="0"/>
              <w:rPr>
                <w:sz w:val="20"/>
                <w:szCs w:val="20"/>
                <w:color w:val="auto"/>
              </w:rPr>
            </w:pPr>
            <w:r>
              <w:rPr>
                <w:rFonts w:ascii="Arial" w:cs="Arial" w:eastAsia="Arial" w:hAnsi="Arial"/>
                <w:sz w:val="13"/>
                <w:szCs w:val="13"/>
                <w:color w:val="auto"/>
                <w:w w:val="89"/>
              </w:rPr>
              <w:t>Ba2 – B3</w:t>
            </w:r>
          </w:p>
        </w:tc>
        <w:tc>
          <w:tcPr>
            <w:tcW w:w="7920" w:type="dxa"/>
            <w:vAlign w:val="bottom"/>
            <w:gridSpan w:val="2"/>
          </w:tcPr>
          <w:p>
            <w:pPr>
              <w:ind w:left="120"/>
              <w:spacing w:after="0"/>
              <w:rPr>
                <w:sz w:val="20"/>
                <w:szCs w:val="20"/>
                <w:color w:val="auto"/>
              </w:rPr>
            </w:pPr>
            <w:r>
              <w:rPr>
                <w:rFonts w:ascii="Arial" w:cs="Arial" w:eastAsia="Arial" w:hAnsi="Arial"/>
                <w:sz w:val="13"/>
                <w:szCs w:val="13"/>
                <w:color w:val="auto"/>
              </w:rPr>
              <w:t>Exposure to clients or countries with payment ability to satisfy their financial commitments, but with more frequent reviews.</w:t>
            </w:r>
          </w:p>
        </w:tc>
      </w:tr>
      <w:tr>
        <w:trPr>
          <w:trHeight w:val="145"/>
        </w:trPr>
        <w:tc>
          <w:tcPr>
            <w:tcW w:w="1720" w:type="dxa"/>
            <w:vAlign w:val="bottom"/>
            <w:shd w:val="clear" w:color="auto" w:fill="CCEEFF"/>
          </w:tcPr>
          <w:p>
            <w:pPr>
              <w:jc w:val="center"/>
              <w:spacing w:after="0" w:line="146" w:lineRule="exact"/>
              <w:rPr>
                <w:sz w:val="20"/>
                <w:szCs w:val="20"/>
                <w:color w:val="auto"/>
              </w:rPr>
            </w:pPr>
            <w:r>
              <w:rPr>
                <w:rFonts w:ascii="Arial" w:cs="Arial" w:eastAsia="Arial" w:hAnsi="Arial"/>
                <w:sz w:val="13"/>
                <w:szCs w:val="13"/>
                <w:color w:val="auto"/>
              </w:rPr>
              <w:t>7</w:t>
            </w:r>
          </w:p>
        </w:tc>
        <w:tc>
          <w:tcPr>
            <w:tcW w:w="120" w:type="dxa"/>
            <w:vAlign w:val="bottom"/>
            <w:shd w:val="clear" w:color="auto" w:fill="CCEEFF"/>
          </w:tcPr>
          <w:p>
            <w:pPr>
              <w:spacing w:after="0"/>
              <w:rPr>
                <w:sz w:val="12"/>
                <w:szCs w:val="12"/>
                <w:color w:val="auto"/>
              </w:rPr>
            </w:pPr>
          </w:p>
        </w:tc>
        <w:tc>
          <w:tcPr>
            <w:tcW w:w="1720" w:type="dxa"/>
            <w:vAlign w:val="bottom"/>
            <w:shd w:val="clear" w:color="auto" w:fill="CCEEFF"/>
          </w:tcPr>
          <w:p>
            <w:pPr>
              <w:jc w:val="center"/>
              <w:spacing w:after="0" w:line="146" w:lineRule="exact"/>
              <w:rPr>
                <w:sz w:val="20"/>
                <w:szCs w:val="20"/>
                <w:color w:val="auto"/>
              </w:rPr>
            </w:pPr>
            <w:r>
              <w:rPr>
                <w:rFonts w:ascii="Arial" w:cs="Arial" w:eastAsia="Arial" w:hAnsi="Arial"/>
                <w:sz w:val="13"/>
                <w:szCs w:val="13"/>
                <w:color w:val="auto"/>
                <w:w w:val="86"/>
              </w:rPr>
              <w:t>Caa1 – Caa3</w:t>
            </w:r>
          </w:p>
        </w:tc>
        <w:tc>
          <w:tcPr>
            <w:tcW w:w="7920" w:type="dxa"/>
            <w:vAlign w:val="bottom"/>
            <w:gridSpan w:val="2"/>
            <w:shd w:val="clear" w:color="auto" w:fill="CCEEFF"/>
          </w:tcPr>
          <w:p>
            <w:pPr>
              <w:ind w:left="120"/>
              <w:spacing w:after="0" w:line="146" w:lineRule="exact"/>
              <w:rPr>
                <w:sz w:val="20"/>
                <w:szCs w:val="20"/>
                <w:color w:val="auto"/>
              </w:rPr>
            </w:pPr>
            <w:r>
              <w:rPr>
                <w:rFonts w:ascii="Arial" w:cs="Arial" w:eastAsia="Arial" w:hAnsi="Arial"/>
                <w:sz w:val="13"/>
                <w:szCs w:val="13"/>
                <w:color w:val="auto"/>
                <w:w w:val="92"/>
              </w:rPr>
              <w:t>Exposure to clients whose primary source of payment (operating cash flow) is inadequate, and who show evidence of deterioration in their working</w:t>
            </w:r>
          </w:p>
        </w:tc>
      </w:tr>
      <w:tr>
        <w:trPr>
          <w:trHeight w:val="163"/>
        </w:trPr>
        <w:tc>
          <w:tcPr>
            <w:tcW w:w="172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720" w:type="dxa"/>
            <w:vAlign w:val="bottom"/>
            <w:shd w:val="clear" w:color="auto" w:fill="CCEEFF"/>
          </w:tcPr>
          <w:p>
            <w:pPr>
              <w:spacing w:after="0"/>
              <w:rPr>
                <w:sz w:val="14"/>
                <w:szCs w:val="14"/>
                <w:color w:val="auto"/>
              </w:rPr>
            </w:pPr>
          </w:p>
        </w:tc>
        <w:tc>
          <w:tcPr>
            <w:tcW w:w="7920" w:type="dxa"/>
            <w:vAlign w:val="bottom"/>
            <w:gridSpan w:val="2"/>
            <w:shd w:val="clear" w:color="auto" w:fill="CCEEFF"/>
          </w:tcPr>
          <w:p>
            <w:pPr>
              <w:ind w:left="120"/>
              <w:spacing w:after="0"/>
              <w:rPr>
                <w:sz w:val="20"/>
                <w:szCs w:val="20"/>
                <w:color w:val="auto"/>
              </w:rPr>
            </w:pPr>
            <w:r>
              <w:rPr>
                <w:rFonts w:ascii="Arial" w:cs="Arial" w:eastAsia="Arial" w:hAnsi="Arial"/>
                <w:sz w:val="13"/>
                <w:szCs w:val="13"/>
                <w:color w:val="auto"/>
              </w:rPr>
              <w:t>capital that does not allow them to satisfy payments on the agreed terms, or in countries where the transaction involves certain risks.</w:t>
            </w:r>
          </w:p>
        </w:tc>
      </w:tr>
      <w:tr>
        <w:trPr>
          <w:trHeight w:val="145"/>
        </w:trPr>
        <w:tc>
          <w:tcPr>
            <w:tcW w:w="1720" w:type="dxa"/>
            <w:vAlign w:val="bottom"/>
          </w:tcPr>
          <w:p>
            <w:pPr>
              <w:jc w:val="center"/>
              <w:spacing w:after="0" w:line="146" w:lineRule="exact"/>
              <w:rPr>
                <w:sz w:val="20"/>
                <w:szCs w:val="20"/>
                <w:color w:val="auto"/>
              </w:rPr>
            </w:pPr>
            <w:r>
              <w:rPr>
                <w:rFonts w:ascii="Arial" w:cs="Arial" w:eastAsia="Arial" w:hAnsi="Arial"/>
                <w:sz w:val="13"/>
                <w:szCs w:val="13"/>
                <w:color w:val="auto"/>
              </w:rPr>
              <w:t>8</w:t>
            </w:r>
          </w:p>
        </w:tc>
        <w:tc>
          <w:tcPr>
            <w:tcW w:w="120" w:type="dxa"/>
            <w:vAlign w:val="bottom"/>
          </w:tcPr>
          <w:p>
            <w:pPr>
              <w:spacing w:after="0"/>
              <w:rPr>
                <w:sz w:val="12"/>
                <w:szCs w:val="12"/>
                <w:color w:val="auto"/>
              </w:rPr>
            </w:pPr>
          </w:p>
        </w:tc>
        <w:tc>
          <w:tcPr>
            <w:tcW w:w="1720" w:type="dxa"/>
            <w:vAlign w:val="bottom"/>
          </w:tcPr>
          <w:p>
            <w:pPr>
              <w:jc w:val="center"/>
              <w:spacing w:after="0" w:line="146" w:lineRule="exact"/>
              <w:rPr>
                <w:sz w:val="20"/>
                <w:szCs w:val="20"/>
                <w:color w:val="auto"/>
              </w:rPr>
            </w:pPr>
            <w:r>
              <w:rPr>
                <w:rFonts w:ascii="Arial" w:cs="Arial" w:eastAsia="Arial" w:hAnsi="Arial"/>
                <w:sz w:val="13"/>
                <w:szCs w:val="13"/>
                <w:color w:val="auto"/>
                <w:w w:val="83"/>
              </w:rPr>
              <w:t>Ca</w:t>
            </w:r>
          </w:p>
        </w:tc>
        <w:tc>
          <w:tcPr>
            <w:tcW w:w="7920" w:type="dxa"/>
            <w:vAlign w:val="bottom"/>
            <w:gridSpan w:val="2"/>
          </w:tcPr>
          <w:p>
            <w:pPr>
              <w:ind w:left="120"/>
              <w:spacing w:after="0" w:line="146" w:lineRule="exact"/>
              <w:rPr>
                <w:sz w:val="20"/>
                <w:szCs w:val="20"/>
                <w:color w:val="auto"/>
              </w:rPr>
            </w:pPr>
            <w:r>
              <w:rPr>
                <w:rFonts w:ascii="Arial" w:cs="Arial" w:eastAsia="Arial" w:hAnsi="Arial"/>
                <w:sz w:val="13"/>
                <w:szCs w:val="13"/>
                <w:color w:val="auto"/>
                <w:w w:val="93"/>
              </w:rPr>
              <w:t>Exposure to clients whose operating cash flow continuously shows insufficiency to service the debt on the originally agreed terms, or in countries</w:t>
            </w:r>
          </w:p>
        </w:tc>
      </w:tr>
      <w:tr>
        <w:trPr>
          <w:trHeight w:val="163"/>
        </w:trPr>
        <w:tc>
          <w:tcPr>
            <w:tcW w:w="17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720" w:type="dxa"/>
            <w:vAlign w:val="bottom"/>
          </w:tcPr>
          <w:p>
            <w:pPr>
              <w:spacing w:after="0"/>
              <w:rPr>
                <w:sz w:val="14"/>
                <w:szCs w:val="14"/>
                <w:color w:val="auto"/>
              </w:rPr>
            </w:pPr>
          </w:p>
        </w:tc>
        <w:tc>
          <w:tcPr>
            <w:tcW w:w="7920" w:type="dxa"/>
            <w:vAlign w:val="bottom"/>
            <w:gridSpan w:val="2"/>
          </w:tcPr>
          <w:p>
            <w:pPr>
              <w:ind w:left="120"/>
              <w:spacing w:after="0"/>
              <w:rPr>
                <w:sz w:val="20"/>
                <w:szCs w:val="20"/>
                <w:color w:val="auto"/>
              </w:rPr>
            </w:pPr>
            <w:r>
              <w:rPr>
                <w:rFonts w:ascii="Arial" w:cs="Arial" w:eastAsia="Arial" w:hAnsi="Arial"/>
                <w:sz w:val="13"/>
                <w:szCs w:val="13"/>
                <w:color w:val="auto"/>
              </w:rPr>
              <w:t>where the transaction is limited or restricted to certain terms and types of credits.</w:t>
            </w:r>
          </w:p>
        </w:tc>
      </w:tr>
      <w:tr>
        <w:trPr>
          <w:trHeight w:val="145"/>
        </w:trPr>
        <w:tc>
          <w:tcPr>
            <w:tcW w:w="1840" w:type="dxa"/>
            <w:vAlign w:val="bottom"/>
            <w:gridSpan w:val="2"/>
            <w:shd w:val="clear" w:color="auto" w:fill="CCEEFF"/>
          </w:tcPr>
          <w:p>
            <w:pPr>
              <w:jc w:val="center"/>
              <w:ind w:right="120"/>
              <w:spacing w:after="0" w:line="146" w:lineRule="exact"/>
              <w:rPr>
                <w:sz w:val="20"/>
                <w:szCs w:val="20"/>
                <w:color w:val="auto"/>
              </w:rPr>
            </w:pPr>
            <w:r>
              <w:rPr>
                <w:rFonts w:ascii="Arial" w:cs="Arial" w:eastAsia="Arial" w:hAnsi="Arial"/>
                <w:sz w:val="13"/>
                <w:szCs w:val="13"/>
                <w:color w:val="auto"/>
                <w:w w:val="90"/>
              </w:rPr>
              <w:t>9 to 10</w:t>
            </w:r>
          </w:p>
        </w:tc>
        <w:tc>
          <w:tcPr>
            <w:tcW w:w="1720" w:type="dxa"/>
            <w:vAlign w:val="bottom"/>
            <w:shd w:val="clear" w:color="auto" w:fill="CCEEFF"/>
          </w:tcPr>
          <w:p>
            <w:pPr>
              <w:jc w:val="center"/>
              <w:spacing w:after="0" w:line="146" w:lineRule="exact"/>
              <w:rPr>
                <w:sz w:val="20"/>
                <w:szCs w:val="20"/>
                <w:color w:val="auto"/>
              </w:rPr>
            </w:pPr>
            <w:r>
              <w:rPr>
                <w:rFonts w:ascii="Arial" w:cs="Arial" w:eastAsia="Arial" w:hAnsi="Arial"/>
                <w:sz w:val="13"/>
                <w:szCs w:val="13"/>
                <w:color w:val="auto"/>
                <w:w w:val="84"/>
              </w:rPr>
              <w:t>C</w:t>
            </w:r>
          </w:p>
        </w:tc>
        <w:tc>
          <w:tcPr>
            <w:tcW w:w="7920" w:type="dxa"/>
            <w:vAlign w:val="bottom"/>
            <w:gridSpan w:val="2"/>
            <w:shd w:val="clear" w:color="auto" w:fill="CCEEFF"/>
          </w:tcPr>
          <w:p>
            <w:pPr>
              <w:ind w:left="120"/>
              <w:spacing w:after="0" w:line="146" w:lineRule="exact"/>
              <w:rPr>
                <w:sz w:val="20"/>
                <w:szCs w:val="20"/>
                <w:color w:val="auto"/>
              </w:rPr>
            </w:pPr>
            <w:r>
              <w:rPr>
                <w:rFonts w:ascii="Arial" w:cs="Arial" w:eastAsia="Arial" w:hAnsi="Arial"/>
                <w:sz w:val="13"/>
                <w:szCs w:val="13"/>
                <w:color w:val="auto"/>
                <w:w w:val="93"/>
              </w:rPr>
              <w:t>Exposure to clients with operating cash flow that does not cover their costs, are in suspension of payments, presumably will also have difficulties</w:t>
            </w:r>
          </w:p>
        </w:tc>
      </w:tr>
      <w:tr>
        <w:trPr>
          <w:trHeight w:val="163"/>
        </w:trPr>
        <w:tc>
          <w:tcPr>
            <w:tcW w:w="172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720" w:type="dxa"/>
            <w:vAlign w:val="bottom"/>
            <w:shd w:val="clear" w:color="auto" w:fill="CCEEFF"/>
          </w:tcPr>
          <w:p>
            <w:pPr>
              <w:spacing w:after="0"/>
              <w:rPr>
                <w:sz w:val="14"/>
                <w:szCs w:val="14"/>
                <w:color w:val="auto"/>
              </w:rPr>
            </w:pPr>
          </w:p>
        </w:tc>
        <w:tc>
          <w:tcPr>
            <w:tcW w:w="7920" w:type="dxa"/>
            <w:vAlign w:val="bottom"/>
            <w:gridSpan w:val="2"/>
            <w:shd w:val="clear" w:color="auto" w:fill="CCEEFF"/>
          </w:tcPr>
          <w:p>
            <w:pPr>
              <w:ind w:left="120"/>
              <w:spacing w:after="0"/>
              <w:rPr>
                <w:sz w:val="20"/>
                <w:szCs w:val="20"/>
                <w:color w:val="auto"/>
              </w:rPr>
            </w:pPr>
            <w:r>
              <w:rPr>
                <w:rFonts w:ascii="Arial" w:cs="Arial" w:eastAsia="Arial" w:hAnsi="Arial"/>
                <w:sz w:val="13"/>
                <w:szCs w:val="13"/>
                <w:color w:val="auto"/>
              </w:rPr>
              <w:t>fulfilling possible restructuring agreements, are in a state of insolvency, or have filed for bankruptcy, among others.</w:t>
            </w:r>
          </w:p>
        </w:tc>
      </w:tr>
    </w:tbl>
    <w:p>
      <w:pPr>
        <w:spacing w:after="0" w:line="141" w:lineRule="exact"/>
        <w:rPr>
          <w:sz w:val="20"/>
          <w:szCs w:val="20"/>
          <w:color w:val="auto"/>
        </w:rPr>
      </w:pPr>
    </w:p>
    <w:p>
      <w:pPr>
        <w:ind w:left="143" w:hanging="143"/>
        <w:spacing w:after="0"/>
        <w:tabs>
          <w:tab w:leader="none" w:pos="143" w:val="left"/>
        </w:tabs>
        <w:numPr>
          <w:ilvl w:val="0"/>
          <w:numId w:val="28"/>
        </w:numPr>
        <w:rPr>
          <w:rFonts w:ascii="Arial" w:cs="Arial" w:eastAsia="Arial" w:hAnsi="Arial"/>
          <w:sz w:val="17"/>
          <w:szCs w:val="17"/>
          <w:color w:val="auto"/>
          <w:vertAlign w:val="superscript"/>
        </w:rPr>
      </w:pPr>
      <w:r>
        <w:rPr>
          <w:rFonts w:ascii="Arial" w:cs="Arial" w:eastAsia="Arial" w:hAnsi="Arial"/>
          <w:sz w:val="11"/>
          <w:szCs w:val="11"/>
          <w:color w:val="auto"/>
        </w:rPr>
        <w:t>External rating in accordance to Moody’s Investors Service.</w:t>
      </w:r>
    </w:p>
    <w:p>
      <w:pPr>
        <w:spacing w:after="0" w:line="146" w:lineRule="exact"/>
        <w:rPr>
          <w:sz w:val="20"/>
          <w:szCs w:val="20"/>
          <w:color w:val="auto"/>
        </w:rPr>
      </w:pPr>
    </w:p>
    <w:p>
      <w:pPr>
        <w:ind w:left="3"/>
        <w:spacing w:after="0"/>
        <w:rPr>
          <w:sz w:val="20"/>
          <w:szCs w:val="20"/>
          <w:color w:val="auto"/>
        </w:rPr>
      </w:pPr>
      <w:r>
        <w:rPr>
          <w:rFonts w:ascii="Arial" w:cs="Arial" w:eastAsia="Arial" w:hAnsi="Arial"/>
          <w:sz w:val="13"/>
          <w:szCs w:val="13"/>
          <w:color w:val="auto"/>
        </w:rPr>
        <w:t>In order to periodically monitor the quality of the portfolio, clients are reviewed every three to 12 months, depending on the client’s risk rating.</w:t>
      </w:r>
    </w:p>
    <w:p>
      <w:pPr>
        <w:spacing w:after="0" w:line="307"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56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9" w:right="199" w:bottom="1440" w:gutter="0" w:footer="0" w:header="0"/>
        </w:sectPr>
      </w:pPr>
    </w:p>
    <w:bookmarkStart w:id="58" w:name="page59"/>
    <w:bookmarkEnd w:id="58"/>
    <w:p>
      <w:pPr>
        <w:spacing w:after="0"/>
        <w:rPr>
          <w:sz w:val="20"/>
          <w:szCs w:val="20"/>
          <w:color w:val="auto"/>
        </w:rPr>
      </w:pPr>
      <w:r>
        <w:rPr>
          <w:rFonts w:ascii="Arial" w:cs="Arial" w:eastAsia="Arial" w:hAnsi="Arial"/>
          <w:sz w:val="13"/>
          <w:szCs w:val="13"/>
          <w:i w:val="1"/>
          <w:iCs w:val="1"/>
          <w:color w:val="auto"/>
        </w:rPr>
        <w:t>Impairment of Financial Assets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The Bank considers a financial asset to be in default when it presents any of the following characteristics:</w:t>
      </w:r>
    </w:p>
    <w:p>
      <w:pPr>
        <w:spacing w:after="0" w:line="13" w:lineRule="exact"/>
        <w:rPr>
          <w:sz w:val="20"/>
          <w:szCs w:val="20"/>
          <w:color w:val="auto"/>
        </w:rPr>
      </w:pPr>
    </w:p>
    <w:p>
      <w:pPr>
        <w:ind w:left="460" w:hanging="232"/>
        <w:spacing w:after="0"/>
        <w:tabs>
          <w:tab w:leader="none" w:pos="460" w:val="left"/>
        </w:tabs>
        <w:numPr>
          <w:ilvl w:val="0"/>
          <w:numId w:val="29"/>
        </w:numPr>
        <w:rPr>
          <w:rFonts w:ascii="Arial" w:cs="Arial" w:eastAsia="Arial" w:hAnsi="Arial"/>
          <w:sz w:val="12"/>
          <w:szCs w:val="12"/>
          <w:color w:val="auto"/>
        </w:rPr>
      </w:pPr>
      <w:r>
        <w:rPr>
          <w:rFonts w:ascii="Arial" w:cs="Arial" w:eastAsia="Arial" w:hAnsi="Arial"/>
          <w:sz w:val="12"/>
          <w:szCs w:val="12"/>
          <w:color w:val="auto"/>
        </w:rPr>
        <w:t>The debtor is more than 90 days past due in any of its obligations to the Bank, either in loan principal or interest; or when the principal balance with one single balloon payment is more than 30 days past due;</w:t>
      </w:r>
    </w:p>
    <w:p>
      <w:pPr>
        <w:spacing w:after="0" w:line="16" w:lineRule="exact"/>
        <w:rPr>
          <w:rFonts w:ascii="Arial" w:cs="Arial" w:eastAsia="Arial" w:hAnsi="Arial"/>
          <w:sz w:val="12"/>
          <w:szCs w:val="12"/>
          <w:color w:val="auto"/>
        </w:rPr>
      </w:pPr>
    </w:p>
    <w:p>
      <w:pPr>
        <w:ind w:left="460" w:hanging="232"/>
        <w:spacing w:after="0"/>
        <w:tabs>
          <w:tab w:leader="none" w:pos="460" w:val="left"/>
        </w:tabs>
        <w:numPr>
          <w:ilvl w:val="0"/>
          <w:numId w:val="29"/>
        </w:numPr>
        <w:rPr>
          <w:rFonts w:ascii="Arial" w:cs="Arial" w:eastAsia="Arial" w:hAnsi="Arial"/>
          <w:sz w:val="12"/>
          <w:szCs w:val="12"/>
          <w:color w:val="auto"/>
        </w:rPr>
      </w:pPr>
      <w:r>
        <w:rPr>
          <w:rFonts w:ascii="Arial" w:cs="Arial" w:eastAsia="Arial" w:hAnsi="Arial"/>
          <w:sz w:val="12"/>
          <w:szCs w:val="12"/>
          <w:color w:val="auto"/>
        </w:rPr>
        <w:t>Deterioration in the financial condition of the client, or the existence of other factors allowing the Bank to estimate the possibility that the balance of principal and interest on client loans is not fully recoverable.</w:t>
      </w:r>
    </w:p>
    <w:p>
      <w:pPr>
        <w:spacing w:after="0" w:line="162" w:lineRule="exact"/>
        <w:rPr>
          <w:sz w:val="20"/>
          <w:szCs w:val="20"/>
          <w:color w:val="auto"/>
        </w:rPr>
      </w:pPr>
    </w:p>
    <w:p>
      <w:pPr>
        <w:spacing w:after="0" w:line="267" w:lineRule="auto"/>
        <w:rPr>
          <w:sz w:val="20"/>
          <w:szCs w:val="20"/>
          <w:color w:val="auto"/>
        </w:rPr>
      </w:pPr>
      <w:r>
        <w:rPr>
          <w:rFonts w:ascii="Arial" w:cs="Arial" w:eastAsia="Arial" w:hAnsi="Arial"/>
          <w:sz w:val="13"/>
          <w:szCs w:val="13"/>
          <w:color w:val="auto"/>
        </w:rPr>
        <w:t>The above presumptions regarding past due loans may be rebuttable if the Bank has reasonable and supportable information that is available without undue cost or effort, that demonstrates that the credit risk has not increased significantly since initial recognition even though the contractual payments are more than 30 or 90 days past due.</w:t>
      </w:r>
    </w:p>
    <w:p>
      <w:pPr>
        <w:spacing w:after="0" w:line="129"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In assessing whether a borrower is in default, the Bank considers qualitative and quantitative indicators that are based on both, data developed internally and information obtained from external sources. Inputs into the assessment of whether a financial instrument is in default and their significance may vary over time to reflect changes in circumstances.</w:t>
      </w:r>
    </w:p>
    <w:p>
      <w:pPr>
        <w:spacing w:after="0" w:line="129" w:lineRule="exact"/>
        <w:rPr>
          <w:sz w:val="20"/>
          <w:szCs w:val="20"/>
          <w:color w:val="auto"/>
        </w:rPr>
      </w:pPr>
    </w:p>
    <w:p>
      <w:pPr>
        <w:ind w:right="20"/>
        <w:spacing w:after="0" w:line="310" w:lineRule="auto"/>
        <w:rPr>
          <w:sz w:val="20"/>
          <w:szCs w:val="20"/>
          <w:color w:val="auto"/>
        </w:rPr>
      </w:pPr>
      <w:r>
        <w:rPr>
          <w:rFonts w:ascii="Arial" w:cs="Arial" w:eastAsia="Arial" w:hAnsi="Arial"/>
          <w:sz w:val="12"/>
          <w:szCs w:val="12"/>
          <w:color w:val="auto"/>
        </w:rPr>
        <w:t>A modified or renegotiated loan is a loan where the borrower is experiencing financial difficulties and the renegotiation constitutes a concession to the borrower. A concession may include modification of terms such as an extension of maturity date, reduction in the stated interest rate, rescheduling of future cash flows, and reduction in the face amount of the loan or reduction of accrued interest, among others.</w:t>
      </w:r>
    </w:p>
    <w:p>
      <w:pPr>
        <w:spacing w:after="0" w:line="106"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When a financial asset is modified, the Bank assesses whether this modification results in derecognition. In accordance with the Bank’s policies, a modification results in derecognition when it gives rise to substantially different terms. To determine if the modified terms are substantially different from the original contractual terms, the Bank considers the following:</w:t>
      </w:r>
    </w:p>
    <w:p>
      <w:pPr>
        <w:spacing w:after="0" w:line="129" w:lineRule="exact"/>
        <w:rPr>
          <w:sz w:val="20"/>
          <w:szCs w:val="20"/>
          <w:color w:val="auto"/>
        </w:rPr>
      </w:pPr>
    </w:p>
    <w:p>
      <w:pPr>
        <w:ind w:left="460" w:right="20" w:hanging="232"/>
        <w:spacing w:after="0" w:line="253" w:lineRule="auto"/>
        <w:tabs>
          <w:tab w:leader="none" w:pos="460" w:val="left"/>
        </w:tabs>
        <w:numPr>
          <w:ilvl w:val="0"/>
          <w:numId w:val="30"/>
        </w:numPr>
        <w:rPr>
          <w:rFonts w:ascii="Arial" w:cs="Arial" w:eastAsia="Arial" w:hAnsi="Arial"/>
          <w:sz w:val="13"/>
          <w:szCs w:val="13"/>
          <w:color w:val="auto"/>
        </w:rPr>
      </w:pPr>
      <w:r>
        <w:rPr>
          <w:rFonts w:ascii="Arial" w:cs="Arial" w:eastAsia="Arial" w:hAnsi="Arial"/>
          <w:sz w:val="13"/>
          <w:szCs w:val="13"/>
          <w:color w:val="auto"/>
        </w:rPr>
        <w:t>Qualitative factors, such as contractual cash flows after modification are no longer solely payments of principal and interest, change in currency or change of counterparty, the extent of change in interest rates, maturity and covenants.</w:t>
      </w:r>
    </w:p>
    <w:p>
      <w:pPr>
        <w:spacing w:after="0" w:line="1" w:lineRule="exact"/>
        <w:rPr>
          <w:rFonts w:ascii="Arial" w:cs="Arial" w:eastAsia="Arial" w:hAnsi="Arial"/>
          <w:sz w:val="13"/>
          <w:szCs w:val="13"/>
          <w:color w:val="auto"/>
        </w:rPr>
      </w:pPr>
    </w:p>
    <w:p>
      <w:pPr>
        <w:ind w:left="460" w:right="20" w:hanging="232"/>
        <w:spacing w:after="0" w:line="254" w:lineRule="auto"/>
        <w:tabs>
          <w:tab w:leader="none" w:pos="460" w:val="left"/>
        </w:tabs>
        <w:numPr>
          <w:ilvl w:val="0"/>
          <w:numId w:val="30"/>
        </w:numPr>
        <w:rPr>
          <w:rFonts w:ascii="Arial" w:cs="Arial" w:eastAsia="Arial" w:hAnsi="Arial"/>
          <w:sz w:val="13"/>
          <w:szCs w:val="13"/>
          <w:color w:val="auto"/>
        </w:rPr>
      </w:pPr>
      <w:r>
        <w:rPr>
          <w:rFonts w:ascii="Arial" w:cs="Arial" w:eastAsia="Arial" w:hAnsi="Arial"/>
          <w:sz w:val="13"/>
          <w:szCs w:val="13"/>
          <w:color w:val="auto"/>
        </w:rPr>
        <w:t>If the qualitative factors do not clearly indicate a substantial modification, then a quantitative assessment is performed to compare the present value of the remaining contractual cash flows under the original terms with the contractual cash flows under the revised terms, both amounts discounted at the original effective interest rate.</w:t>
      </w:r>
    </w:p>
    <w:p>
      <w:pPr>
        <w:spacing w:after="0" w:line="137" w:lineRule="exact"/>
        <w:rPr>
          <w:sz w:val="20"/>
          <w:szCs w:val="20"/>
          <w:color w:val="auto"/>
        </w:rPr>
      </w:pPr>
    </w:p>
    <w:p>
      <w:pPr>
        <w:spacing w:after="0"/>
        <w:rPr>
          <w:sz w:val="20"/>
          <w:szCs w:val="20"/>
          <w:color w:val="auto"/>
        </w:rPr>
      </w:pPr>
      <w:r>
        <w:rPr>
          <w:rFonts w:ascii="Arial" w:cs="Arial" w:eastAsia="Arial" w:hAnsi="Arial"/>
          <w:sz w:val="13"/>
          <w:szCs w:val="13"/>
          <w:color w:val="auto"/>
        </w:rPr>
        <w:t>If the difference in present value is greater than 10% the Bank deems the arrangement is substantially different, leading to derecognition.</w:t>
      </w:r>
    </w:p>
    <w:p>
      <w:pPr>
        <w:spacing w:after="0" w:line="159" w:lineRule="exact"/>
        <w:rPr>
          <w:sz w:val="20"/>
          <w:szCs w:val="20"/>
          <w:color w:val="auto"/>
        </w:rPr>
      </w:pPr>
    </w:p>
    <w:p>
      <w:pPr>
        <w:jc w:val="both"/>
        <w:spacing w:after="0" w:line="252" w:lineRule="auto"/>
        <w:rPr>
          <w:sz w:val="20"/>
          <w:szCs w:val="20"/>
          <w:color w:val="auto"/>
        </w:rPr>
      </w:pPr>
      <w:r>
        <w:rPr>
          <w:rFonts w:ascii="Arial" w:cs="Arial" w:eastAsia="Arial" w:hAnsi="Arial"/>
          <w:sz w:val="13"/>
          <w:szCs w:val="13"/>
          <w:color w:val="auto"/>
        </w:rPr>
        <w:t>In the case where the financial asset is derecognized, the allowance for losses on financial instruments is remeasured at the date of derecognition to determine the net carrying amount of the asset at that date. The difference between this revised carrying amount and the fair value of the new financial asset with the new terms will lead to a gain or loss on derecognition. The new financial asset will have a loss allowance measured based on 12-month expected credit losses, except in rare cases where the new loan is considered to be originated credit-impaired. This applies only in the case where the fair value of the new loan is recognized at a significant discount to its revised nominal amount because there remains a high risk of default which has not been reduced by the modification. The Bank monitors credit risk of modified financial assets by evaluating qualitative and quantitative information, such as if the borrower is in past due status under the new terms.</w:t>
      </w:r>
    </w:p>
    <w:p>
      <w:pPr>
        <w:spacing w:after="0" w:line="288"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57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59" w:name="page60"/>
    <w:bookmarkEnd w:id="59"/>
    <w:p>
      <w:pPr>
        <w:ind w:right="20"/>
        <w:spacing w:after="0" w:line="267" w:lineRule="auto"/>
        <w:rPr>
          <w:sz w:val="20"/>
          <w:szCs w:val="20"/>
          <w:color w:val="auto"/>
        </w:rPr>
      </w:pPr>
      <w:r>
        <w:rPr>
          <w:rFonts w:ascii="Arial" w:cs="Arial" w:eastAsia="Arial" w:hAnsi="Arial"/>
          <w:sz w:val="13"/>
          <w:szCs w:val="13"/>
          <w:color w:val="auto"/>
        </w:rPr>
        <w:t>When the contractual terms of a financial asset are modified and the modification does not result in derecognition, the Bank determines if the financial asset’s credit risk has increased significantly since initial recognition by comparing:</w:t>
      </w:r>
    </w:p>
    <w:p>
      <w:pPr>
        <w:spacing w:after="0" w:line="129" w:lineRule="exact"/>
        <w:rPr>
          <w:sz w:val="20"/>
          <w:szCs w:val="20"/>
          <w:color w:val="auto"/>
        </w:rPr>
      </w:pPr>
    </w:p>
    <w:p>
      <w:pPr>
        <w:ind w:left="460" w:hanging="232"/>
        <w:spacing w:after="0"/>
        <w:tabs>
          <w:tab w:leader="none" w:pos="460" w:val="left"/>
        </w:tabs>
        <w:numPr>
          <w:ilvl w:val="0"/>
          <w:numId w:val="31"/>
        </w:numPr>
        <w:rPr>
          <w:rFonts w:ascii="Arial" w:cs="Arial" w:eastAsia="Arial" w:hAnsi="Arial"/>
          <w:sz w:val="13"/>
          <w:szCs w:val="13"/>
          <w:color w:val="auto"/>
        </w:rPr>
      </w:pPr>
      <w:r>
        <w:rPr>
          <w:rFonts w:ascii="Arial" w:cs="Arial" w:eastAsia="Arial" w:hAnsi="Arial"/>
          <w:sz w:val="13"/>
          <w:szCs w:val="13"/>
          <w:color w:val="auto"/>
        </w:rPr>
        <w:t>The remaining lifetime probability of default (“PD”) estimated based on data at initial recognition and the original contractual terms; with</w:t>
      </w:r>
    </w:p>
    <w:p>
      <w:pPr>
        <w:spacing w:after="0" w:line="12" w:lineRule="exact"/>
        <w:rPr>
          <w:rFonts w:ascii="Arial" w:cs="Arial" w:eastAsia="Arial" w:hAnsi="Arial"/>
          <w:sz w:val="13"/>
          <w:szCs w:val="13"/>
          <w:color w:val="auto"/>
        </w:rPr>
      </w:pPr>
    </w:p>
    <w:p>
      <w:pPr>
        <w:ind w:left="460" w:hanging="232"/>
        <w:spacing w:after="0"/>
        <w:tabs>
          <w:tab w:leader="none" w:pos="460" w:val="left"/>
        </w:tabs>
        <w:numPr>
          <w:ilvl w:val="0"/>
          <w:numId w:val="31"/>
        </w:numPr>
        <w:rPr>
          <w:rFonts w:ascii="Arial" w:cs="Arial" w:eastAsia="Arial" w:hAnsi="Arial"/>
          <w:sz w:val="13"/>
          <w:szCs w:val="13"/>
          <w:color w:val="auto"/>
        </w:rPr>
      </w:pPr>
      <w:r>
        <w:rPr>
          <w:rFonts w:ascii="Arial" w:cs="Arial" w:eastAsia="Arial" w:hAnsi="Arial"/>
          <w:sz w:val="13"/>
          <w:szCs w:val="13"/>
          <w:color w:val="auto"/>
        </w:rPr>
        <w:t>The remaining lifetime PD at the reporting date based on the modified terms.</w:t>
      </w:r>
    </w:p>
    <w:p>
      <w:pPr>
        <w:spacing w:after="0" w:line="150" w:lineRule="exact"/>
        <w:rPr>
          <w:sz w:val="20"/>
          <w:szCs w:val="20"/>
          <w:color w:val="auto"/>
        </w:rPr>
      </w:pPr>
    </w:p>
    <w:p>
      <w:pPr>
        <w:spacing w:after="0"/>
        <w:rPr>
          <w:sz w:val="20"/>
          <w:szCs w:val="20"/>
          <w:color w:val="auto"/>
        </w:rPr>
      </w:pPr>
      <w:r>
        <w:rPr>
          <w:rFonts w:ascii="Arial" w:cs="Arial" w:eastAsia="Arial" w:hAnsi="Arial"/>
          <w:sz w:val="13"/>
          <w:szCs w:val="13"/>
          <w:color w:val="auto"/>
        </w:rPr>
        <w:t>In the renegotiation or modification of the contractual cash flows of the loan, the Bank shall:</w:t>
      </w:r>
    </w:p>
    <w:p>
      <w:pPr>
        <w:spacing w:after="0" w:line="159" w:lineRule="exact"/>
        <w:rPr>
          <w:sz w:val="20"/>
          <w:szCs w:val="20"/>
          <w:color w:val="auto"/>
        </w:rPr>
      </w:pPr>
    </w:p>
    <w:p>
      <w:pPr>
        <w:ind w:left="460" w:hanging="232"/>
        <w:spacing w:after="0"/>
        <w:tabs>
          <w:tab w:leader="none" w:pos="460" w:val="left"/>
        </w:tabs>
        <w:numPr>
          <w:ilvl w:val="0"/>
          <w:numId w:val="32"/>
        </w:numPr>
        <w:rPr>
          <w:rFonts w:ascii="Arial" w:cs="Arial" w:eastAsia="Arial" w:hAnsi="Arial"/>
          <w:sz w:val="13"/>
          <w:szCs w:val="13"/>
          <w:color w:val="auto"/>
        </w:rPr>
      </w:pPr>
      <w:r>
        <w:rPr>
          <w:rFonts w:ascii="Arial" w:cs="Arial" w:eastAsia="Arial" w:hAnsi="Arial"/>
          <w:sz w:val="13"/>
          <w:szCs w:val="13"/>
          <w:color w:val="auto"/>
        </w:rPr>
        <w:t>Continue with its current accounting treatment for the existing loan that has been modified.</w:t>
      </w:r>
    </w:p>
    <w:p>
      <w:pPr>
        <w:spacing w:after="0" w:line="12" w:lineRule="exact"/>
        <w:rPr>
          <w:rFonts w:ascii="Arial" w:cs="Arial" w:eastAsia="Arial" w:hAnsi="Arial"/>
          <w:sz w:val="13"/>
          <w:szCs w:val="13"/>
          <w:color w:val="auto"/>
        </w:rPr>
      </w:pPr>
    </w:p>
    <w:p>
      <w:pPr>
        <w:ind w:left="460" w:right="20" w:hanging="232"/>
        <w:spacing w:after="0" w:line="247" w:lineRule="auto"/>
        <w:tabs>
          <w:tab w:leader="none" w:pos="460" w:val="left"/>
        </w:tabs>
        <w:numPr>
          <w:ilvl w:val="0"/>
          <w:numId w:val="32"/>
        </w:numPr>
        <w:rPr>
          <w:rFonts w:ascii="Arial" w:cs="Arial" w:eastAsia="Arial" w:hAnsi="Arial"/>
          <w:sz w:val="13"/>
          <w:szCs w:val="13"/>
          <w:color w:val="auto"/>
        </w:rPr>
      </w:pPr>
      <w:r>
        <w:rPr>
          <w:rFonts w:ascii="Arial" w:cs="Arial" w:eastAsia="Arial" w:hAnsi="Arial"/>
          <w:sz w:val="13"/>
          <w:szCs w:val="13"/>
          <w:color w:val="auto"/>
        </w:rPr>
        <w:t>Record a modification gain or loss by recalculating the gross carrying amount of the financial asset as the present value of the renegotiated or modified contractual cash flows, discounted at the loan’s original effective interest rate.</w:t>
      </w:r>
    </w:p>
    <w:p>
      <w:pPr>
        <w:jc w:val="both"/>
        <w:ind w:left="460" w:hanging="232"/>
        <w:spacing w:after="0" w:line="247" w:lineRule="auto"/>
        <w:tabs>
          <w:tab w:leader="none" w:pos="460" w:val="left"/>
        </w:tabs>
        <w:numPr>
          <w:ilvl w:val="0"/>
          <w:numId w:val="32"/>
        </w:numPr>
        <w:rPr>
          <w:rFonts w:ascii="Arial" w:cs="Arial" w:eastAsia="Arial" w:hAnsi="Arial"/>
          <w:sz w:val="13"/>
          <w:szCs w:val="13"/>
          <w:color w:val="auto"/>
        </w:rPr>
      </w:pPr>
      <w:r>
        <w:rPr>
          <w:rFonts w:ascii="Arial" w:cs="Arial" w:eastAsia="Arial" w:hAnsi="Arial"/>
          <w:sz w:val="13"/>
          <w:szCs w:val="13"/>
          <w:color w:val="auto"/>
        </w:rPr>
        <w:t>Assess whether there has been a significant increase in the credit risk of the financial instrument by comparing the risk of a default occurring at the reporting date (based on the modified contractual terms) and the risk of a default occurring at initial recognition (based on the original, unmodified contractual terms). The loan that is modified is not automatically considered to have a lower credit risk. The assessment should consider credit risk over the expected life of the asset based on the historical and forward-looking information, including information about the circumstances that led to the modification. Evidence that the criteria for the recognition of lifetime expected credit losses are subsequently no longer met may include a history of up-to-date and timely payment in subsequent periods. A minimum period of observation will be necessary before a financial asset may qualify to return to a 12-month expected credit loss measurement.</w:t>
      </w:r>
    </w:p>
    <w:p>
      <w:pPr>
        <w:ind w:left="460" w:right="20" w:hanging="232"/>
        <w:spacing w:after="0" w:line="254" w:lineRule="auto"/>
        <w:tabs>
          <w:tab w:leader="none" w:pos="460" w:val="left"/>
        </w:tabs>
        <w:numPr>
          <w:ilvl w:val="0"/>
          <w:numId w:val="32"/>
        </w:numPr>
        <w:rPr>
          <w:rFonts w:ascii="Arial" w:cs="Arial" w:eastAsia="Arial" w:hAnsi="Arial"/>
          <w:sz w:val="13"/>
          <w:szCs w:val="13"/>
          <w:color w:val="auto"/>
        </w:rPr>
      </w:pPr>
      <w:r>
        <w:rPr>
          <w:rFonts w:ascii="Arial" w:cs="Arial" w:eastAsia="Arial" w:hAnsi="Arial"/>
          <w:sz w:val="13"/>
          <w:szCs w:val="13"/>
          <w:color w:val="auto"/>
        </w:rPr>
        <w:t>Make the appropriate quantitative and qualitative disclosures required for renegotiated or modified assets to reflect the nature and effect of such modifications (including the effect on the measurement of expected credit losses) and how the Bank monitors these loans that have been modified.</w:t>
      </w:r>
    </w:p>
    <w:p>
      <w:pPr>
        <w:spacing w:after="0" w:line="137"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When the Bank has no reasonable expectations of recovering the loan, then the gross carrying amount of the loan is directly reduced in its entirety; thus, constituting a derecognition event. This is generally the case when the Bank determines that the borrower does not have assets or sources of income that could generate enough cash flows to repay the amounts subject to the write-off. Nevertheless, the financial assets that are written off could still be subject to enforcement activities in order to comply with the Bank’s procedures for recovery of amounts due.</w:t>
      </w:r>
    </w:p>
    <w:p>
      <w:pPr>
        <w:spacing w:after="0" w:line="136" w:lineRule="exact"/>
        <w:rPr>
          <w:sz w:val="20"/>
          <w:szCs w:val="20"/>
          <w:color w:val="auto"/>
        </w:rPr>
      </w:pPr>
    </w:p>
    <w:p>
      <w:pPr>
        <w:spacing w:after="0"/>
        <w:rPr>
          <w:sz w:val="20"/>
          <w:szCs w:val="20"/>
          <w:color w:val="auto"/>
        </w:rPr>
      </w:pPr>
      <w:r>
        <w:rPr>
          <w:rFonts w:ascii="Arial" w:cs="Arial" w:eastAsia="Arial" w:hAnsi="Arial"/>
          <w:sz w:val="13"/>
          <w:szCs w:val="13"/>
          <w:color w:val="auto"/>
        </w:rPr>
        <w:t>If the amount of loss on write-off is greater than the accumulated loss allowance, the difference will be recognized as an additional impairment loss.</w:t>
      </w:r>
    </w:p>
    <w:p>
      <w:pPr>
        <w:spacing w:after="0" w:line="159" w:lineRule="exact"/>
        <w:rPr>
          <w:sz w:val="20"/>
          <w:szCs w:val="20"/>
          <w:color w:val="auto"/>
        </w:rPr>
      </w:pPr>
    </w:p>
    <w:tbl>
      <w:tblPr>
        <w:tblLayout w:type="fixed"/>
        <w:tblInd w:w="0" w:type="dxa"/>
        <w:tblCellMar>
          <w:top w:w="0" w:type="dxa"/>
          <w:left w:w="0" w:type="dxa"/>
          <w:bottom w:w="0" w:type="dxa"/>
          <w:right w:w="0" w:type="dxa"/>
        </w:tblCellMar>
      </w:tblPr>
      <w:tr>
        <w:trPr>
          <w:trHeight w:val="162"/>
        </w:trPr>
        <w:tc>
          <w:tcPr>
            <w:tcW w:w="6000" w:type="dxa"/>
            <w:vAlign w:val="bottom"/>
          </w:tcPr>
          <w:p>
            <w:pPr>
              <w:spacing w:after="0"/>
              <w:rPr>
                <w:sz w:val="20"/>
                <w:szCs w:val="20"/>
                <w:color w:val="auto"/>
              </w:rPr>
            </w:pPr>
            <w:r>
              <w:rPr>
                <w:rFonts w:ascii="Arial" w:cs="Arial" w:eastAsia="Arial" w:hAnsi="Arial"/>
                <w:sz w:val="13"/>
                <w:szCs w:val="13"/>
                <w:color w:val="auto"/>
                <w:w w:val="99"/>
              </w:rPr>
              <w:t>The following table sets forth information regarding the Bank’s impaired credits as of the dates indicated:</w:t>
            </w:r>
          </w:p>
        </w:tc>
        <w:tc>
          <w:tcPr>
            <w:tcW w:w="780" w:type="dxa"/>
            <w:vAlign w:val="bottom"/>
          </w:tcPr>
          <w:p>
            <w:pPr>
              <w:spacing w:after="0"/>
              <w:rPr>
                <w:sz w:val="14"/>
                <w:szCs w:val="14"/>
                <w:color w:val="auto"/>
              </w:rPr>
            </w:pPr>
          </w:p>
        </w:tc>
        <w:tc>
          <w:tcPr>
            <w:tcW w:w="46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34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318"/>
        </w:trPr>
        <w:tc>
          <w:tcPr>
            <w:tcW w:w="6000" w:type="dxa"/>
            <w:vAlign w:val="bottom"/>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460" w:type="dxa"/>
            <w:vAlign w:val="bottom"/>
            <w:tcBorders>
              <w:bottom w:val="single" w:sz="8" w:color="auto"/>
            </w:tcBorders>
          </w:tcPr>
          <w:p>
            <w:pPr>
              <w:spacing w:after="0"/>
              <w:rPr>
                <w:sz w:val="24"/>
                <w:szCs w:val="24"/>
                <w:color w:val="auto"/>
              </w:rPr>
            </w:pPr>
          </w:p>
        </w:tc>
        <w:tc>
          <w:tcPr>
            <w:tcW w:w="1280" w:type="dxa"/>
            <w:vAlign w:val="bottom"/>
            <w:tcBorders>
              <w:bottom w:val="single" w:sz="8" w:color="auto"/>
            </w:tcBorders>
            <w:gridSpan w:val="2"/>
          </w:tcPr>
          <w:p>
            <w:pPr>
              <w:jc w:val="center"/>
              <w:ind w:right="76"/>
              <w:spacing w:after="0"/>
              <w:rPr>
                <w:sz w:val="20"/>
                <w:szCs w:val="20"/>
                <w:color w:val="auto"/>
              </w:rPr>
            </w:pPr>
            <w:r>
              <w:rPr>
                <w:rFonts w:ascii="Arial" w:cs="Arial" w:eastAsia="Arial" w:hAnsi="Arial"/>
                <w:sz w:val="13"/>
                <w:szCs w:val="13"/>
                <w:b w:val="1"/>
                <w:bCs w:val="1"/>
                <w:color w:val="auto"/>
                <w:w w:val="87"/>
              </w:rPr>
              <w:t>As of December 31,</w:t>
            </w:r>
          </w:p>
        </w:tc>
        <w:tc>
          <w:tcPr>
            <w:tcW w:w="34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r>
      <w:tr>
        <w:trPr>
          <w:trHeight w:val="154"/>
        </w:trPr>
        <w:tc>
          <w:tcPr>
            <w:tcW w:w="6000" w:type="dxa"/>
            <w:vAlign w:val="bottom"/>
          </w:tcPr>
          <w:p>
            <w:pPr>
              <w:spacing w:after="0"/>
              <w:rPr>
                <w:sz w:val="13"/>
                <w:szCs w:val="13"/>
                <w:color w:val="auto"/>
              </w:rPr>
            </w:pPr>
          </w:p>
        </w:tc>
        <w:tc>
          <w:tcPr>
            <w:tcW w:w="780" w:type="dxa"/>
            <w:vAlign w:val="bottom"/>
            <w:tcBorders>
              <w:bottom w:val="single" w:sz="8" w:color="auto"/>
            </w:tcBorders>
          </w:tcPr>
          <w:p>
            <w:pPr>
              <w:jc w:val="right"/>
              <w:ind w:right="64"/>
              <w:spacing w:after="0"/>
              <w:rPr>
                <w:sz w:val="20"/>
                <w:szCs w:val="20"/>
                <w:color w:val="auto"/>
              </w:rPr>
            </w:pPr>
            <w:r>
              <w:rPr>
                <w:rFonts w:ascii="Arial" w:cs="Arial" w:eastAsia="Arial" w:hAnsi="Arial"/>
                <w:sz w:val="13"/>
                <w:szCs w:val="13"/>
                <w:b w:val="1"/>
                <w:bCs w:val="1"/>
                <w:color w:val="auto"/>
              </w:rPr>
              <w:t>2018</w:t>
            </w:r>
          </w:p>
        </w:tc>
        <w:tc>
          <w:tcPr>
            <w:tcW w:w="460" w:type="dxa"/>
            <w:vAlign w:val="bottom"/>
            <w:tcBorders>
              <w:bottom w:val="single" w:sz="8" w:color="auto"/>
            </w:tcBorders>
          </w:tcPr>
          <w:p>
            <w:pPr>
              <w:spacing w:after="0"/>
              <w:rPr>
                <w:sz w:val="13"/>
                <w:szCs w:val="13"/>
                <w:color w:val="auto"/>
              </w:rPr>
            </w:pPr>
          </w:p>
        </w:tc>
        <w:tc>
          <w:tcPr>
            <w:tcW w:w="280" w:type="dxa"/>
            <w:vAlign w:val="bottom"/>
            <w:tcBorders>
              <w:bottom w:val="single" w:sz="8" w:color="auto"/>
            </w:tcBorders>
          </w:tcPr>
          <w:p>
            <w:pPr>
              <w:spacing w:after="0"/>
              <w:rPr>
                <w:sz w:val="13"/>
                <w:szCs w:val="13"/>
                <w:color w:val="auto"/>
              </w:rPr>
            </w:pPr>
          </w:p>
        </w:tc>
        <w:tc>
          <w:tcPr>
            <w:tcW w:w="1000" w:type="dxa"/>
            <w:vAlign w:val="bottom"/>
            <w:tcBorders>
              <w:bottom w:val="single" w:sz="8" w:color="auto"/>
            </w:tcBorders>
          </w:tcPr>
          <w:p>
            <w:pPr>
              <w:jc w:val="center"/>
              <w:ind w:right="356"/>
              <w:spacing w:after="0"/>
              <w:rPr>
                <w:sz w:val="20"/>
                <w:szCs w:val="20"/>
                <w:color w:val="auto"/>
              </w:rPr>
            </w:pPr>
            <w:r>
              <w:rPr>
                <w:rFonts w:ascii="Arial" w:cs="Arial" w:eastAsia="Arial" w:hAnsi="Arial"/>
                <w:sz w:val="13"/>
                <w:szCs w:val="13"/>
                <w:b w:val="1"/>
                <w:bCs w:val="1"/>
                <w:color w:val="auto"/>
                <w:w w:val="89"/>
              </w:rPr>
              <w:t>2017</w:t>
            </w:r>
          </w:p>
        </w:tc>
        <w:tc>
          <w:tcPr>
            <w:tcW w:w="340" w:type="dxa"/>
            <w:vAlign w:val="bottom"/>
            <w:tcBorders>
              <w:bottom w:val="single" w:sz="8" w:color="auto"/>
            </w:tcBorders>
          </w:tcPr>
          <w:p>
            <w:pPr>
              <w:spacing w:after="0"/>
              <w:rPr>
                <w:sz w:val="13"/>
                <w:szCs w:val="13"/>
                <w:color w:val="auto"/>
              </w:rPr>
            </w:pPr>
          </w:p>
        </w:tc>
        <w:tc>
          <w:tcPr>
            <w:tcW w:w="780" w:type="dxa"/>
            <w:vAlign w:val="bottom"/>
            <w:tcBorders>
              <w:bottom w:val="single" w:sz="8" w:color="auto"/>
            </w:tcBorders>
          </w:tcPr>
          <w:p>
            <w:pPr>
              <w:jc w:val="right"/>
              <w:ind w:right="356"/>
              <w:spacing w:after="0"/>
              <w:rPr>
                <w:sz w:val="20"/>
                <w:szCs w:val="20"/>
                <w:color w:val="auto"/>
              </w:rPr>
            </w:pPr>
            <w:r>
              <w:rPr>
                <w:rFonts w:ascii="Arial" w:cs="Arial" w:eastAsia="Arial" w:hAnsi="Arial"/>
                <w:sz w:val="13"/>
                <w:szCs w:val="13"/>
                <w:b w:val="1"/>
                <w:bCs w:val="1"/>
                <w:color w:val="auto"/>
              </w:rPr>
              <w:t>2016</w:t>
            </w:r>
          </w:p>
        </w:tc>
        <w:tc>
          <w:tcPr>
            <w:tcW w:w="100" w:type="dxa"/>
            <w:vAlign w:val="bottom"/>
          </w:tcPr>
          <w:p>
            <w:pPr>
              <w:spacing w:after="0"/>
              <w:rPr>
                <w:sz w:val="13"/>
                <w:szCs w:val="13"/>
                <w:color w:val="auto"/>
              </w:rPr>
            </w:pPr>
          </w:p>
        </w:tc>
      </w:tr>
      <w:tr>
        <w:trPr>
          <w:trHeight w:val="144"/>
        </w:trPr>
        <w:tc>
          <w:tcPr>
            <w:tcW w:w="60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80" w:type="dxa"/>
            <w:vAlign w:val="bottom"/>
            <w:gridSpan w:val="4"/>
          </w:tcPr>
          <w:p>
            <w:pPr>
              <w:jc w:val="center"/>
              <w:spacing w:after="0" w:line="144" w:lineRule="exact"/>
              <w:rPr>
                <w:sz w:val="20"/>
                <w:szCs w:val="20"/>
                <w:color w:val="auto"/>
              </w:rPr>
            </w:pPr>
            <w:r>
              <w:rPr>
                <w:rFonts w:ascii="Arial" w:cs="Arial" w:eastAsia="Arial" w:hAnsi="Arial"/>
                <w:sz w:val="13"/>
                <w:szCs w:val="13"/>
                <w:b w:val="1"/>
                <w:bCs w:val="1"/>
                <w:color w:val="auto"/>
                <w:w w:val="86"/>
              </w:rPr>
              <w:t>(in $ millions, except percentages)</w:t>
            </w:r>
          </w:p>
        </w:tc>
        <w:tc>
          <w:tcPr>
            <w:tcW w:w="78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6000" w:type="dxa"/>
            <w:vAlign w:val="bottom"/>
            <w:shd w:val="clear" w:color="auto" w:fill="CCEEFF"/>
          </w:tcPr>
          <w:p>
            <w:pPr>
              <w:spacing w:after="0"/>
              <w:rPr>
                <w:sz w:val="20"/>
                <w:szCs w:val="20"/>
                <w:color w:val="auto"/>
              </w:rPr>
            </w:pPr>
            <w:r>
              <w:rPr>
                <w:rFonts w:ascii="Arial" w:cs="Arial" w:eastAsia="Arial" w:hAnsi="Arial"/>
                <w:sz w:val="13"/>
                <w:szCs w:val="13"/>
                <w:color w:val="auto"/>
              </w:rPr>
              <w:t>Credit-impaired loans</w:t>
            </w:r>
          </w:p>
        </w:tc>
        <w:tc>
          <w:tcPr>
            <w:tcW w:w="780" w:type="dxa"/>
            <w:vAlign w:val="bottom"/>
            <w:shd w:val="clear" w:color="auto" w:fill="CCEEFF"/>
          </w:tcPr>
          <w:p>
            <w:pPr>
              <w:jc w:val="right"/>
              <w:ind w:right="664"/>
              <w:spacing w:after="0"/>
              <w:rPr>
                <w:sz w:val="20"/>
                <w:szCs w:val="20"/>
                <w:color w:val="auto"/>
              </w:rPr>
            </w:pPr>
            <w:r>
              <w:rPr>
                <w:rFonts w:ascii="Arial" w:cs="Arial" w:eastAsia="Arial" w:hAnsi="Arial"/>
                <w:sz w:val="10"/>
                <w:szCs w:val="10"/>
                <w:color w:val="auto"/>
                <w:w w:val="71"/>
              </w:rPr>
              <w:t>$</w:t>
            </w:r>
          </w:p>
        </w:tc>
        <w:tc>
          <w:tcPr>
            <w:tcW w:w="460" w:type="dxa"/>
            <w:vAlign w:val="bottom"/>
            <w:shd w:val="clear" w:color="auto" w:fill="CCEEFF"/>
          </w:tcPr>
          <w:p>
            <w:pPr>
              <w:jc w:val="right"/>
              <w:ind w:right="96"/>
              <w:spacing w:after="0"/>
              <w:rPr>
                <w:sz w:val="20"/>
                <w:szCs w:val="20"/>
                <w:color w:val="auto"/>
              </w:rPr>
            </w:pPr>
            <w:r>
              <w:rPr>
                <w:rFonts w:ascii="Arial" w:cs="Arial" w:eastAsia="Arial" w:hAnsi="Arial"/>
                <w:sz w:val="13"/>
                <w:szCs w:val="13"/>
                <w:color w:val="auto"/>
              </w:rPr>
              <w:t>65</w:t>
            </w:r>
          </w:p>
        </w:tc>
        <w:tc>
          <w:tcPr>
            <w:tcW w:w="280" w:type="dxa"/>
            <w:vAlign w:val="bottom"/>
            <w:shd w:val="clear" w:color="auto" w:fill="CCEEFF"/>
          </w:tcPr>
          <w:p>
            <w:pPr>
              <w:jc w:val="right"/>
              <w:ind w:right="116"/>
              <w:spacing w:after="0"/>
              <w:rPr>
                <w:sz w:val="20"/>
                <w:szCs w:val="20"/>
                <w:color w:val="auto"/>
              </w:rPr>
            </w:pPr>
            <w:r>
              <w:rPr>
                <w:rFonts w:ascii="Arial" w:cs="Arial" w:eastAsia="Arial" w:hAnsi="Arial"/>
                <w:sz w:val="13"/>
                <w:szCs w:val="13"/>
                <w:color w:val="auto"/>
              </w:rPr>
              <w:t>$</w:t>
            </w:r>
          </w:p>
        </w:tc>
        <w:tc>
          <w:tcPr>
            <w:tcW w:w="1000" w:type="dxa"/>
            <w:vAlign w:val="bottom"/>
            <w:shd w:val="clear" w:color="auto" w:fill="CCEEFF"/>
          </w:tcPr>
          <w:p>
            <w:pPr>
              <w:jc w:val="right"/>
              <w:ind w:right="96"/>
              <w:spacing w:after="0"/>
              <w:rPr>
                <w:sz w:val="20"/>
                <w:szCs w:val="20"/>
                <w:color w:val="auto"/>
              </w:rPr>
            </w:pPr>
            <w:r>
              <w:rPr>
                <w:rFonts w:ascii="Arial" w:cs="Arial" w:eastAsia="Arial" w:hAnsi="Arial"/>
                <w:sz w:val="13"/>
                <w:szCs w:val="13"/>
                <w:color w:val="auto"/>
              </w:rPr>
              <w:t>59</w:t>
            </w:r>
          </w:p>
        </w:tc>
        <w:tc>
          <w:tcPr>
            <w:tcW w:w="340" w:type="dxa"/>
            <w:vAlign w:val="bottom"/>
            <w:shd w:val="clear" w:color="auto" w:fill="CCEEFF"/>
          </w:tcPr>
          <w:p>
            <w:pPr>
              <w:jc w:val="right"/>
              <w:ind w:right="176"/>
              <w:spacing w:after="0"/>
              <w:rPr>
                <w:sz w:val="20"/>
                <w:szCs w:val="20"/>
                <w:color w:val="auto"/>
              </w:rPr>
            </w:pPr>
            <w:r>
              <w:rPr>
                <w:rFonts w:ascii="Arial" w:cs="Arial" w:eastAsia="Arial" w:hAnsi="Arial"/>
                <w:sz w:val="13"/>
                <w:szCs w:val="13"/>
                <w:color w:val="auto"/>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65</w:t>
            </w:r>
          </w:p>
        </w:tc>
        <w:tc>
          <w:tcPr>
            <w:tcW w:w="100" w:type="dxa"/>
            <w:vAlign w:val="bottom"/>
            <w:shd w:val="clear" w:color="auto" w:fill="CCEEFF"/>
          </w:tcPr>
          <w:p>
            <w:pPr>
              <w:spacing w:after="0"/>
              <w:rPr>
                <w:sz w:val="13"/>
                <w:szCs w:val="13"/>
                <w:color w:val="auto"/>
              </w:rPr>
            </w:pPr>
          </w:p>
        </w:tc>
      </w:tr>
      <w:tr>
        <w:trPr>
          <w:trHeight w:val="154"/>
        </w:trPr>
        <w:tc>
          <w:tcPr>
            <w:tcW w:w="6000" w:type="dxa"/>
            <w:vAlign w:val="bottom"/>
          </w:tcPr>
          <w:p>
            <w:pPr>
              <w:spacing w:after="0"/>
              <w:rPr>
                <w:sz w:val="20"/>
                <w:szCs w:val="20"/>
                <w:color w:val="auto"/>
              </w:rPr>
            </w:pPr>
            <w:r>
              <w:rPr>
                <w:rFonts w:ascii="Arial" w:cs="Arial" w:eastAsia="Arial" w:hAnsi="Arial"/>
                <w:sz w:val="13"/>
                <w:szCs w:val="13"/>
                <w:color w:val="auto"/>
              </w:rPr>
              <w:t>Asset-specific allocation from the allowance for loan losses</w:t>
            </w:r>
          </w:p>
        </w:tc>
        <w:tc>
          <w:tcPr>
            <w:tcW w:w="780" w:type="dxa"/>
            <w:vAlign w:val="bottom"/>
          </w:tcPr>
          <w:p>
            <w:pPr>
              <w:spacing w:after="0"/>
              <w:rPr>
                <w:sz w:val="13"/>
                <w:szCs w:val="13"/>
                <w:color w:val="auto"/>
              </w:rPr>
            </w:pPr>
          </w:p>
        </w:tc>
        <w:tc>
          <w:tcPr>
            <w:tcW w:w="460" w:type="dxa"/>
            <w:vAlign w:val="bottom"/>
          </w:tcPr>
          <w:p>
            <w:pPr>
              <w:jc w:val="right"/>
              <w:ind w:right="96"/>
              <w:spacing w:after="0"/>
              <w:rPr>
                <w:sz w:val="20"/>
                <w:szCs w:val="20"/>
                <w:color w:val="auto"/>
              </w:rPr>
            </w:pPr>
            <w:r>
              <w:rPr>
                <w:rFonts w:ascii="Arial" w:cs="Arial" w:eastAsia="Arial" w:hAnsi="Arial"/>
                <w:sz w:val="13"/>
                <w:szCs w:val="13"/>
                <w:color w:val="auto"/>
              </w:rPr>
              <w:t>49</w:t>
            </w:r>
          </w:p>
        </w:tc>
        <w:tc>
          <w:tcPr>
            <w:tcW w:w="280" w:type="dxa"/>
            <w:vAlign w:val="bottom"/>
          </w:tcPr>
          <w:p>
            <w:pPr>
              <w:spacing w:after="0"/>
              <w:rPr>
                <w:sz w:val="13"/>
                <w:szCs w:val="13"/>
                <w:color w:val="auto"/>
              </w:rPr>
            </w:pPr>
          </w:p>
        </w:tc>
        <w:tc>
          <w:tcPr>
            <w:tcW w:w="1000" w:type="dxa"/>
            <w:vAlign w:val="bottom"/>
          </w:tcPr>
          <w:p>
            <w:pPr>
              <w:jc w:val="right"/>
              <w:ind w:right="96"/>
              <w:spacing w:after="0"/>
              <w:rPr>
                <w:sz w:val="20"/>
                <w:szCs w:val="20"/>
                <w:color w:val="auto"/>
              </w:rPr>
            </w:pPr>
            <w:r>
              <w:rPr>
                <w:rFonts w:ascii="Arial" w:cs="Arial" w:eastAsia="Arial" w:hAnsi="Arial"/>
                <w:sz w:val="13"/>
                <w:szCs w:val="13"/>
                <w:color w:val="auto"/>
              </w:rPr>
              <w:t>28</w:t>
            </w:r>
          </w:p>
        </w:tc>
        <w:tc>
          <w:tcPr>
            <w:tcW w:w="340" w:type="dxa"/>
            <w:vAlign w:val="bottom"/>
          </w:tcPr>
          <w:p>
            <w:pPr>
              <w:spacing w:after="0"/>
              <w:rPr>
                <w:sz w:val="13"/>
                <w:szCs w:val="13"/>
                <w:color w:val="auto"/>
              </w:rPr>
            </w:pPr>
          </w:p>
        </w:tc>
        <w:tc>
          <w:tcPr>
            <w:tcW w:w="780" w:type="dxa"/>
            <w:vAlign w:val="bottom"/>
          </w:tcPr>
          <w:p>
            <w:pPr>
              <w:jc w:val="right"/>
              <w:spacing w:after="0"/>
              <w:rPr>
                <w:sz w:val="20"/>
                <w:szCs w:val="20"/>
                <w:color w:val="auto"/>
              </w:rPr>
            </w:pPr>
            <w:r>
              <w:rPr>
                <w:rFonts w:ascii="Arial" w:cs="Arial" w:eastAsia="Arial" w:hAnsi="Arial"/>
                <w:sz w:val="13"/>
                <w:szCs w:val="13"/>
                <w:color w:val="auto"/>
              </w:rPr>
              <w:t>35</w:t>
            </w:r>
          </w:p>
        </w:tc>
        <w:tc>
          <w:tcPr>
            <w:tcW w:w="100" w:type="dxa"/>
            <w:vAlign w:val="bottom"/>
          </w:tcPr>
          <w:p>
            <w:pPr>
              <w:spacing w:after="0"/>
              <w:rPr>
                <w:sz w:val="13"/>
                <w:szCs w:val="13"/>
                <w:color w:val="auto"/>
              </w:rPr>
            </w:pPr>
          </w:p>
        </w:tc>
      </w:tr>
      <w:tr>
        <w:trPr>
          <w:trHeight w:val="154"/>
        </w:trPr>
        <w:tc>
          <w:tcPr>
            <w:tcW w:w="6000" w:type="dxa"/>
            <w:vAlign w:val="bottom"/>
            <w:shd w:val="clear" w:color="auto" w:fill="CCEEFF"/>
          </w:tcPr>
          <w:p>
            <w:pPr>
              <w:spacing w:after="0"/>
              <w:rPr>
                <w:sz w:val="20"/>
                <w:szCs w:val="20"/>
                <w:color w:val="auto"/>
              </w:rPr>
            </w:pPr>
            <w:r>
              <w:rPr>
                <w:rFonts w:ascii="Arial" w:cs="Arial" w:eastAsia="Arial" w:hAnsi="Arial"/>
                <w:sz w:val="13"/>
                <w:szCs w:val="13"/>
                <w:color w:val="auto"/>
              </w:rPr>
              <w:t>Credit-impaired loans as a percentage of Loan Portfolio</w:t>
            </w:r>
          </w:p>
        </w:tc>
        <w:tc>
          <w:tcPr>
            <w:tcW w:w="780" w:type="dxa"/>
            <w:vAlign w:val="bottom"/>
            <w:shd w:val="clear" w:color="auto" w:fill="CCEEFF"/>
          </w:tcPr>
          <w:p>
            <w:pPr>
              <w:spacing w:after="0"/>
              <w:rPr>
                <w:sz w:val="13"/>
                <w:szCs w:val="13"/>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1.1%</w:t>
            </w:r>
          </w:p>
        </w:tc>
        <w:tc>
          <w:tcPr>
            <w:tcW w:w="280" w:type="dxa"/>
            <w:vAlign w:val="bottom"/>
            <w:shd w:val="clear" w:color="auto" w:fill="CCEEFF"/>
          </w:tcPr>
          <w:p>
            <w:pPr>
              <w:spacing w:after="0"/>
              <w:rPr>
                <w:sz w:val="13"/>
                <w:szCs w:val="13"/>
                <w:color w:val="auto"/>
              </w:rPr>
            </w:pPr>
          </w:p>
        </w:tc>
        <w:tc>
          <w:tcPr>
            <w:tcW w:w="10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1.1%</w:t>
            </w:r>
          </w:p>
        </w:tc>
        <w:tc>
          <w:tcPr>
            <w:tcW w:w="340" w:type="dxa"/>
            <w:vAlign w:val="bottom"/>
            <w:shd w:val="clear" w:color="auto" w:fill="CCEEFF"/>
          </w:tcPr>
          <w:p>
            <w:pPr>
              <w:spacing w:after="0"/>
              <w:rPr>
                <w:sz w:val="13"/>
                <w:szCs w:val="13"/>
                <w:color w:val="auto"/>
              </w:rPr>
            </w:pPr>
          </w:p>
        </w:tc>
        <w:tc>
          <w:tcPr>
            <w:tcW w:w="88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1.1%</w:t>
            </w:r>
          </w:p>
        </w:tc>
      </w:tr>
    </w:tbl>
    <w:p>
      <w:pPr>
        <w:spacing w:after="0" w:line="136" w:lineRule="exact"/>
        <w:rPr>
          <w:sz w:val="20"/>
          <w:szCs w:val="20"/>
          <w:color w:val="auto"/>
        </w:rPr>
      </w:pPr>
    </w:p>
    <w:p>
      <w:pPr>
        <w:spacing w:after="0"/>
        <w:rPr>
          <w:sz w:val="20"/>
          <w:szCs w:val="20"/>
          <w:color w:val="auto"/>
        </w:rPr>
      </w:pPr>
      <w:r>
        <w:rPr>
          <w:rFonts w:ascii="Arial" w:cs="Arial" w:eastAsia="Arial" w:hAnsi="Arial"/>
          <w:sz w:val="13"/>
          <w:szCs w:val="13"/>
          <w:color w:val="auto"/>
        </w:rPr>
        <w:t>As of the end of each reported period, the Bank did not have credit-impaired loans in its Loan Portfolio without related allowances.</w:t>
      </w:r>
    </w:p>
    <w:p>
      <w:pPr>
        <w:spacing w:after="0" w:line="307"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58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60" w:name="page61"/>
    <w:bookmarkEnd w:id="60"/>
    <w:p>
      <w:pPr>
        <w:spacing w:after="0"/>
        <w:rPr>
          <w:sz w:val="20"/>
          <w:szCs w:val="20"/>
          <w:color w:val="auto"/>
        </w:rPr>
      </w:pPr>
      <w:r>
        <w:rPr>
          <w:rFonts w:ascii="Arial" w:cs="Arial" w:eastAsia="Arial" w:hAnsi="Arial"/>
          <w:sz w:val="13"/>
          <w:szCs w:val="13"/>
          <w:color w:val="auto"/>
        </w:rPr>
        <w:t>The following table sets forth the distribution of the Bank’s loans write-off by gross carrying amount against the allowance for loan losses by country for the periods indicated:</w:t>
      </w:r>
    </w:p>
    <w:p>
      <w:pPr>
        <w:spacing w:after="0" w:line="164"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1160" w:type="dxa"/>
            <w:vAlign w:val="bottom"/>
          </w:tcPr>
          <w:p>
            <w:pPr>
              <w:spacing w:after="0"/>
              <w:rPr>
                <w:sz w:val="14"/>
                <w:szCs w:val="14"/>
                <w:color w:val="auto"/>
              </w:rPr>
            </w:pPr>
          </w:p>
        </w:tc>
        <w:tc>
          <w:tcPr>
            <w:tcW w:w="640" w:type="dxa"/>
            <w:vAlign w:val="bottom"/>
          </w:tcPr>
          <w:p>
            <w:pPr>
              <w:spacing w:after="0"/>
              <w:rPr>
                <w:sz w:val="14"/>
                <w:szCs w:val="14"/>
                <w:color w:val="auto"/>
              </w:rPr>
            </w:pPr>
          </w:p>
        </w:tc>
        <w:tc>
          <w:tcPr>
            <w:tcW w:w="6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28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40" w:type="dxa"/>
            <w:vAlign w:val="bottom"/>
            <w:tcBorders>
              <w:bottom w:val="single" w:sz="8" w:color="auto"/>
            </w:tcBorders>
          </w:tcPr>
          <w:p>
            <w:pPr>
              <w:spacing w:after="0"/>
              <w:rPr>
                <w:sz w:val="14"/>
                <w:szCs w:val="14"/>
                <w:color w:val="auto"/>
              </w:rPr>
            </w:pPr>
          </w:p>
        </w:tc>
        <w:tc>
          <w:tcPr>
            <w:tcW w:w="2100" w:type="dxa"/>
            <w:vAlign w:val="bottom"/>
            <w:tcBorders>
              <w:bottom w:val="single" w:sz="8" w:color="auto"/>
            </w:tcBorders>
            <w:gridSpan w:val="5"/>
          </w:tcPr>
          <w:p>
            <w:pPr>
              <w:jc w:val="right"/>
              <w:ind w:right="176"/>
              <w:spacing w:after="0"/>
              <w:rPr>
                <w:sz w:val="20"/>
                <w:szCs w:val="20"/>
                <w:color w:val="auto"/>
              </w:rPr>
            </w:pPr>
            <w:r>
              <w:rPr>
                <w:rFonts w:ascii="Arial" w:cs="Arial" w:eastAsia="Arial" w:hAnsi="Arial"/>
                <w:sz w:val="13"/>
                <w:szCs w:val="13"/>
                <w:b w:val="1"/>
                <w:bCs w:val="1"/>
                <w:color w:val="auto"/>
                <w:w w:val="89"/>
              </w:rPr>
              <w:t>For the year ended December 31,</w:t>
            </w:r>
          </w:p>
        </w:tc>
        <w:tc>
          <w:tcPr>
            <w:tcW w:w="18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r>
      <w:tr>
        <w:trPr>
          <w:trHeight w:val="154"/>
        </w:trPr>
        <w:tc>
          <w:tcPr>
            <w:tcW w:w="1160" w:type="dxa"/>
            <w:vAlign w:val="bottom"/>
          </w:tcPr>
          <w:p>
            <w:pPr>
              <w:spacing w:after="0"/>
              <w:rPr>
                <w:sz w:val="13"/>
                <w:szCs w:val="13"/>
                <w:color w:val="auto"/>
              </w:rPr>
            </w:pPr>
          </w:p>
        </w:tc>
        <w:tc>
          <w:tcPr>
            <w:tcW w:w="640" w:type="dxa"/>
            <w:vAlign w:val="bottom"/>
          </w:tcPr>
          <w:p>
            <w:pPr>
              <w:spacing w:after="0"/>
              <w:rPr>
                <w:sz w:val="13"/>
                <w:szCs w:val="13"/>
                <w:color w:val="auto"/>
              </w:rPr>
            </w:pPr>
          </w:p>
        </w:tc>
        <w:tc>
          <w:tcPr>
            <w:tcW w:w="660" w:type="dxa"/>
            <w:vAlign w:val="bottom"/>
            <w:tcBorders>
              <w:bottom w:val="single" w:sz="8" w:color="auto"/>
            </w:tcBorders>
          </w:tcPr>
          <w:p>
            <w:pPr>
              <w:jc w:val="right"/>
              <w:ind w:right="36"/>
              <w:spacing w:after="0"/>
              <w:rPr>
                <w:sz w:val="20"/>
                <w:szCs w:val="20"/>
                <w:color w:val="auto"/>
              </w:rPr>
            </w:pPr>
            <w:r>
              <w:rPr>
                <w:rFonts w:ascii="Arial" w:cs="Arial" w:eastAsia="Arial" w:hAnsi="Arial"/>
                <w:sz w:val="13"/>
                <w:szCs w:val="13"/>
                <w:b w:val="1"/>
                <w:bCs w:val="1"/>
                <w:color w:val="auto"/>
              </w:rPr>
              <w:t>2018</w:t>
            </w:r>
          </w:p>
        </w:tc>
        <w:tc>
          <w:tcPr>
            <w:tcW w:w="960" w:type="dxa"/>
            <w:vAlign w:val="bottom"/>
            <w:tcBorders>
              <w:bottom w:val="single" w:sz="8" w:color="auto"/>
            </w:tcBorders>
            <w:gridSpan w:val="3"/>
          </w:tcPr>
          <w:p>
            <w:pPr>
              <w:jc w:val="right"/>
              <w:ind w:right="100"/>
              <w:spacing w:after="0"/>
              <w:rPr>
                <w:sz w:val="20"/>
                <w:szCs w:val="20"/>
                <w:color w:val="auto"/>
              </w:rPr>
            </w:pPr>
            <w:r>
              <w:rPr>
                <w:rFonts w:ascii="Arial" w:cs="Arial" w:eastAsia="Arial" w:hAnsi="Arial"/>
                <w:sz w:val="13"/>
                <w:szCs w:val="13"/>
                <w:b w:val="1"/>
                <w:bCs w:val="1"/>
                <w:color w:val="auto"/>
              </w:rPr>
              <w:t>%</w:t>
            </w:r>
          </w:p>
        </w:tc>
        <w:tc>
          <w:tcPr>
            <w:tcW w:w="280" w:type="dxa"/>
            <w:vAlign w:val="bottom"/>
            <w:tcBorders>
              <w:bottom w:val="single" w:sz="8" w:color="auto"/>
            </w:tcBorders>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4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700" w:type="dxa"/>
            <w:vAlign w:val="bottom"/>
            <w:tcBorders>
              <w:bottom w:val="single" w:sz="8" w:color="auto"/>
            </w:tcBorders>
          </w:tcPr>
          <w:p>
            <w:pPr>
              <w:jc w:val="right"/>
              <w:ind w:right="256"/>
              <w:spacing w:after="0"/>
              <w:rPr>
                <w:sz w:val="20"/>
                <w:szCs w:val="20"/>
                <w:color w:val="auto"/>
              </w:rPr>
            </w:pPr>
            <w:r>
              <w:rPr>
                <w:rFonts w:ascii="Arial" w:cs="Arial" w:eastAsia="Arial" w:hAnsi="Arial"/>
                <w:sz w:val="13"/>
                <w:szCs w:val="13"/>
                <w:b w:val="1"/>
                <w:bCs w:val="1"/>
                <w:color w:val="auto"/>
              </w:rPr>
              <w:t>2017</w:t>
            </w:r>
          </w:p>
        </w:tc>
        <w:tc>
          <w:tcPr>
            <w:tcW w:w="140" w:type="dxa"/>
            <w:vAlign w:val="bottom"/>
            <w:tcBorders>
              <w:bottom w:val="single" w:sz="8" w:color="auto"/>
            </w:tcBorders>
          </w:tcPr>
          <w:p>
            <w:pPr>
              <w:spacing w:after="0"/>
              <w:rPr>
                <w:sz w:val="13"/>
                <w:szCs w:val="13"/>
                <w:color w:val="auto"/>
              </w:rPr>
            </w:pPr>
          </w:p>
        </w:tc>
        <w:tc>
          <w:tcPr>
            <w:tcW w:w="880" w:type="dxa"/>
            <w:vAlign w:val="bottom"/>
            <w:tcBorders>
              <w:bottom w:val="single" w:sz="8" w:color="auto"/>
            </w:tcBorders>
          </w:tcPr>
          <w:p>
            <w:pPr>
              <w:jc w:val="right"/>
              <w:ind w:right="316"/>
              <w:spacing w:after="0"/>
              <w:rPr>
                <w:sz w:val="20"/>
                <w:szCs w:val="20"/>
                <w:color w:val="auto"/>
              </w:rPr>
            </w:pPr>
            <w:r>
              <w:rPr>
                <w:rFonts w:ascii="Arial" w:cs="Arial" w:eastAsia="Arial" w:hAnsi="Arial"/>
                <w:sz w:val="13"/>
                <w:szCs w:val="13"/>
                <w:b w:val="1"/>
                <w:bCs w:val="1"/>
                <w:color w:val="auto"/>
              </w:rPr>
              <w:t>%</w:t>
            </w:r>
          </w:p>
        </w:tc>
        <w:tc>
          <w:tcPr>
            <w:tcW w:w="20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680" w:type="dxa"/>
            <w:vAlign w:val="bottom"/>
            <w:tcBorders>
              <w:bottom w:val="single" w:sz="8" w:color="auto"/>
            </w:tcBorders>
          </w:tcPr>
          <w:p>
            <w:pPr>
              <w:jc w:val="right"/>
              <w:ind w:right="236"/>
              <w:spacing w:after="0"/>
              <w:rPr>
                <w:sz w:val="20"/>
                <w:szCs w:val="20"/>
                <w:color w:val="auto"/>
              </w:rPr>
            </w:pPr>
            <w:r>
              <w:rPr>
                <w:rFonts w:ascii="Arial" w:cs="Arial" w:eastAsia="Arial" w:hAnsi="Arial"/>
                <w:sz w:val="13"/>
                <w:szCs w:val="13"/>
                <w:b w:val="1"/>
                <w:bCs w:val="1"/>
                <w:color w:val="auto"/>
              </w:rPr>
              <w:t>2016</w:t>
            </w:r>
          </w:p>
        </w:tc>
        <w:tc>
          <w:tcPr>
            <w:tcW w:w="160" w:type="dxa"/>
            <w:vAlign w:val="bottom"/>
            <w:tcBorders>
              <w:bottom w:val="single" w:sz="8" w:color="auto"/>
            </w:tcBorders>
          </w:tcPr>
          <w:p>
            <w:pPr>
              <w:spacing w:after="0"/>
              <w:rPr>
                <w:sz w:val="13"/>
                <w:szCs w:val="13"/>
                <w:color w:val="auto"/>
              </w:rPr>
            </w:pPr>
          </w:p>
        </w:tc>
        <w:tc>
          <w:tcPr>
            <w:tcW w:w="880" w:type="dxa"/>
            <w:vAlign w:val="bottom"/>
            <w:tcBorders>
              <w:bottom w:val="single" w:sz="8" w:color="auto"/>
            </w:tcBorders>
          </w:tcPr>
          <w:p>
            <w:pPr>
              <w:jc w:val="right"/>
              <w:ind w:right="316"/>
              <w:spacing w:after="0"/>
              <w:rPr>
                <w:sz w:val="20"/>
                <w:szCs w:val="20"/>
                <w:color w:val="auto"/>
              </w:rPr>
            </w:pPr>
            <w:r>
              <w:rPr>
                <w:rFonts w:ascii="Arial" w:cs="Arial" w:eastAsia="Arial" w:hAnsi="Arial"/>
                <w:sz w:val="13"/>
                <w:szCs w:val="13"/>
                <w:b w:val="1"/>
                <w:bCs w:val="1"/>
                <w:color w:val="auto"/>
              </w:rPr>
              <w:t>%</w:t>
            </w:r>
          </w:p>
        </w:tc>
        <w:tc>
          <w:tcPr>
            <w:tcW w:w="120" w:type="dxa"/>
            <w:vAlign w:val="bottom"/>
          </w:tcPr>
          <w:p>
            <w:pPr>
              <w:spacing w:after="0"/>
              <w:rPr>
                <w:sz w:val="13"/>
                <w:szCs w:val="13"/>
                <w:color w:val="auto"/>
              </w:rPr>
            </w:pPr>
          </w:p>
        </w:tc>
      </w:tr>
      <w:tr>
        <w:trPr>
          <w:trHeight w:val="144"/>
        </w:trPr>
        <w:tc>
          <w:tcPr>
            <w:tcW w:w="116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2100" w:type="dxa"/>
            <w:vAlign w:val="bottom"/>
            <w:gridSpan w:val="5"/>
          </w:tcPr>
          <w:p>
            <w:pPr>
              <w:ind w:left="20"/>
              <w:spacing w:after="0" w:line="144" w:lineRule="exact"/>
              <w:rPr>
                <w:sz w:val="20"/>
                <w:szCs w:val="20"/>
                <w:color w:val="auto"/>
              </w:rPr>
            </w:pPr>
            <w:r>
              <w:rPr>
                <w:rFonts w:ascii="Arial" w:cs="Arial" w:eastAsia="Arial" w:hAnsi="Arial"/>
                <w:sz w:val="13"/>
                <w:szCs w:val="13"/>
                <w:b w:val="1"/>
                <w:bCs w:val="1"/>
                <w:color w:val="auto"/>
                <w:w w:val="96"/>
              </w:rPr>
              <w:t>(in $ millions, except percentages)</w:t>
            </w:r>
          </w:p>
        </w:tc>
        <w:tc>
          <w:tcPr>
            <w:tcW w:w="1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1160" w:type="dxa"/>
            <w:vAlign w:val="bottom"/>
            <w:shd w:val="clear" w:color="auto" w:fill="CCEEFF"/>
          </w:tcPr>
          <w:p>
            <w:pPr>
              <w:spacing w:after="0"/>
              <w:rPr>
                <w:sz w:val="20"/>
                <w:szCs w:val="20"/>
                <w:color w:val="auto"/>
              </w:rPr>
            </w:pPr>
            <w:r>
              <w:rPr>
                <w:rFonts w:ascii="Arial" w:cs="Arial" w:eastAsia="Arial" w:hAnsi="Arial"/>
                <w:sz w:val="13"/>
                <w:szCs w:val="13"/>
                <w:color w:val="auto"/>
              </w:rPr>
              <w:t>Brazil</w:t>
            </w:r>
          </w:p>
        </w:tc>
        <w:tc>
          <w:tcPr>
            <w:tcW w:w="1300" w:type="dxa"/>
            <w:vAlign w:val="bottom"/>
            <w:gridSpan w:val="2"/>
            <w:shd w:val="clear" w:color="auto" w:fill="CCEEFF"/>
          </w:tcPr>
          <w:p>
            <w:pPr>
              <w:jc w:val="right"/>
              <w:ind w:right="516"/>
              <w:spacing w:after="0"/>
              <w:rPr>
                <w:sz w:val="20"/>
                <w:szCs w:val="20"/>
                <w:color w:val="auto"/>
              </w:rPr>
            </w:pPr>
            <w:r>
              <w:rPr>
                <w:rFonts w:ascii="Arial" w:cs="Arial" w:eastAsia="Arial" w:hAnsi="Arial"/>
                <w:sz w:val="13"/>
                <w:szCs w:val="13"/>
                <w:color w:val="auto"/>
              </w:rPr>
              <w:t>$</w:t>
            </w:r>
          </w:p>
        </w:tc>
        <w:tc>
          <w:tcPr>
            <w:tcW w:w="36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37</w:t>
            </w:r>
          </w:p>
        </w:tc>
        <w:tc>
          <w:tcPr>
            <w:tcW w:w="600" w:type="dxa"/>
            <w:vAlign w:val="bottom"/>
            <w:shd w:val="clear" w:color="auto" w:fill="CCEEFF"/>
          </w:tcPr>
          <w:p>
            <w:pPr>
              <w:spacing w:after="0"/>
              <w:rPr>
                <w:sz w:val="13"/>
                <w:szCs w:val="13"/>
                <w:color w:val="auto"/>
              </w:rPr>
            </w:pPr>
          </w:p>
        </w:tc>
        <w:tc>
          <w:tcPr>
            <w:tcW w:w="44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89%</w:t>
            </w:r>
          </w:p>
        </w:tc>
        <w:tc>
          <w:tcPr>
            <w:tcW w:w="220" w:type="dxa"/>
            <w:vAlign w:val="bottom"/>
            <w:gridSpan w:val="2"/>
            <w:shd w:val="clear" w:color="auto" w:fill="CCEEFF"/>
          </w:tcPr>
          <w:p>
            <w:pPr>
              <w:ind w:left="40"/>
              <w:spacing w:after="0"/>
              <w:rPr>
                <w:sz w:val="20"/>
                <w:szCs w:val="20"/>
                <w:color w:val="auto"/>
              </w:rPr>
            </w:pPr>
            <w:r>
              <w:rPr>
                <w:rFonts w:ascii="Arial" w:cs="Arial" w:eastAsia="Arial" w:hAnsi="Arial"/>
                <w:sz w:val="13"/>
                <w:szCs w:val="13"/>
                <w:color w:val="auto"/>
              </w:rPr>
              <w:t>$</w:t>
            </w: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29</w:t>
            </w:r>
          </w:p>
        </w:tc>
        <w:tc>
          <w:tcPr>
            <w:tcW w:w="14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36"/>
              <w:spacing w:after="0"/>
              <w:rPr>
                <w:sz w:val="20"/>
                <w:szCs w:val="20"/>
                <w:color w:val="auto"/>
              </w:rPr>
            </w:pPr>
            <w:r>
              <w:rPr>
                <w:rFonts w:ascii="Arial" w:cs="Arial" w:eastAsia="Arial" w:hAnsi="Arial"/>
                <w:sz w:val="13"/>
                <w:szCs w:val="13"/>
                <w:color w:val="auto"/>
              </w:rPr>
              <w:t>87%</w:t>
            </w:r>
          </w:p>
        </w:tc>
        <w:tc>
          <w:tcPr>
            <w:tcW w:w="180" w:type="dxa"/>
            <w:vAlign w:val="bottom"/>
            <w:shd w:val="clear" w:color="auto" w:fill="CCEEFF"/>
          </w:tcPr>
          <w:p>
            <w:pPr>
              <w:jc w:val="right"/>
              <w:ind w:right="72"/>
              <w:spacing w:after="0"/>
              <w:rPr>
                <w:sz w:val="20"/>
                <w:szCs w:val="20"/>
                <w:color w:val="auto"/>
              </w:rPr>
            </w:pPr>
            <w:r>
              <w:rPr>
                <w:rFonts w:ascii="Arial" w:cs="Arial" w:eastAsia="Arial" w:hAnsi="Arial"/>
                <w:sz w:val="10"/>
                <w:szCs w:val="10"/>
                <w:color w:val="auto"/>
                <w:w w:val="71"/>
              </w:rPr>
              <w:t>$</w:t>
            </w:r>
          </w:p>
        </w:tc>
        <w:tc>
          <w:tcPr>
            <w:tcW w:w="8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w:t>
            </w:r>
          </w:p>
        </w:tc>
        <w:tc>
          <w:tcPr>
            <w:tcW w:w="100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0%</w:t>
            </w:r>
          </w:p>
        </w:tc>
      </w:tr>
      <w:tr>
        <w:trPr>
          <w:trHeight w:val="154"/>
        </w:trPr>
        <w:tc>
          <w:tcPr>
            <w:tcW w:w="1160" w:type="dxa"/>
            <w:vAlign w:val="bottom"/>
          </w:tcPr>
          <w:p>
            <w:pPr>
              <w:spacing w:after="0"/>
              <w:rPr>
                <w:sz w:val="20"/>
                <w:szCs w:val="20"/>
                <w:color w:val="auto"/>
              </w:rPr>
            </w:pPr>
            <w:r>
              <w:rPr>
                <w:rFonts w:ascii="Arial" w:cs="Arial" w:eastAsia="Arial" w:hAnsi="Arial"/>
                <w:sz w:val="13"/>
                <w:szCs w:val="13"/>
                <w:color w:val="auto"/>
              </w:rPr>
              <w:t>Colombia</w:t>
            </w:r>
          </w:p>
        </w:tc>
        <w:tc>
          <w:tcPr>
            <w:tcW w:w="640" w:type="dxa"/>
            <w:vAlign w:val="bottom"/>
          </w:tcPr>
          <w:p>
            <w:pPr>
              <w:spacing w:after="0"/>
              <w:rPr>
                <w:sz w:val="13"/>
                <w:szCs w:val="13"/>
                <w:color w:val="auto"/>
              </w:rPr>
            </w:pPr>
          </w:p>
        </w:tc>
        <w:tc>
          <w:tcPr>
            <w:tcW w:w="660" w:type="dxa"/>
            <w:vAlign w:val="bottom"/>
          </w:tcPr>
          <w:p>
            <w:pPr>
              <w:spacing w:after="0"/>
              <w:rPr>
                <w:sz w:val="13"/>
                <w:szCs w:val="13"/>
                <w:color w:val="auto"/>
              </w:rPr>
            </w:pPr>
          </w:p>
        </w:tc>
        <w:tc>
          <w:tcPr>
            <w:tcW w:w="360" w:type="dxa"/>
            <w:vAlign w:val="bottom"/>
            <w:gridSpan w:val="2"/>
          </w:tcPr>
          <w:p>
            <w:pPr>
              <w:jc w:val="right"/>
              <w:ind w:right="140"/>
              <w:spacing w:after="0"/>
              <w:rPr>
                <w:sz w:val="20"/>
                <w:szCs w:val="20"/>
                <w:color w:val="auto"/>
              </w:rPr>
            </w:pPr>
            <w:r>
              <w:rPr>
                <w:rFonts w:ascii="Arial" w:cs="Arial" w:eastAsia="Arial" w:hAnsi="Arial"/>
                <w:sz w:val="13"/>
                <w:szCs w:val="13"/>
                <w:color w:val="auto"/>
              </w:rPr>
              <w:t>0</w:t>
            </w:r>
          </w:p>
        </w:tc>
        <w:tc>
          <w:tcPr>
            <w:tcW w:w="600" w:type="dxa"/>
            <w:vAlign w:val="bottom"/>
          </w:tcPr>
          <w:p>
            <w:pPr>
              <w:spacing w:after="0"/>
              <w:rPr>
                <w:sz w:val="13"/>
                <w:szCs w:val="13"/>
                <w:color w:val="auto"/>
              </w:rPr>
            </w:pPr>
          </w:p>
        </w:tc>
        <w:tc>
          <w:tcPr>
            <w:tcW w:w="440" w:type="dxa"/>
            <w:vAlign w:val="bottom"/>
            <w:gridSpan w:val="2"/>
          </w:tcPr>
          <w:p>
            <w:pPr>
              <w:jc w:val="right"/>
              <w:spacing w:after="0"/>
              <w:rPr>
                <w:sz w:val="20"/>
                <w:szCs w:val="20"/>
                <w:color w:val="auto"/>
              </w:rPr>
            </w:pPr>
            <w:r>
              <w:rPr>
                <w:rFonts w:ascii="Arial" w:cs="Arial" w:eastAsia="Arial" w:hAnsi="Arial"/>
                <w:sz w:val="13"/>
                <w:szCs w:val="13"/>
                <w:color w:val="auto"/>
              </w:rPr>
              <w:t>0%</w:t>
            </w:r>
          </w:p>
        </w:tc>
        <w:tc>
          <w:tcPr>
            <w:tcW w:w="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40" w:type="dxa"/>
            <w:vAlign w:val="bottom"/>
            <w:gridSpan w:val="2"/>
          </w:tcPr>
          <w:p>
            <w:pPr>
              <w:jc w:val="right"/>
              <w:ind w:right="140"/>
              <w:spacing w:after="0"/>
              <w:rPr>
                <w:sz w:val="20"/>
                <w:szCs w:val="20"/>
                <w:color w:val="auto"/>
              </w:rPr>
            </w:pPr>
            <w:r>
              <w:rPr>
                <w:rFonts w:ascii="Arial" w:cs="Arial" w:eastAsia="Arial" w:hAnsi="Arial"/>
                <w:sz w:val="13"/>
                <w:szCs w:val="13"/>
                <w:color w:val="auto"/>
              </w:rPr>
              <w:t>0</w:t>
            </w:r>
          </w:p>
        </w:tc>
        <w:tc>
          <w:tcPr>
            <w:tcW w:w="1080" w:type="dxa"/>
            <w:vAlign w:val="bottom"/>
            <w:gridSpan w:val="2"/>
          </w:tcPr>
          <w:p>
            <w:pPr>
              <w:jc w:val="right"/>
              <w:ind w:right="36"/>
              <w:spacing w:after="0"/>
              <w:rPr>
                <w:sz w:val="20"/>
                <w:szCs w:val="20"/>
                <w:color w:val="auto"/>
              </w:rPr>
            </w:pPr>
            <w:r>
              <w:rPr>
                <w:rFonts w:ascii="Arial" w:cs="Arial" w:eastAsia="Arial" w:hAnsi="Arial"/>
                <w:sz w:val="13"/>
                <w:szCs w:val="13"/>
                <w:color w:val="auto"/>
              </w:rPr>
              <w:t>0%</w:t>
            </w:r>
          </w:p>
        </w:tc>
        <w:tc>
          <w:tcPr>
            <w:tcW w:w="180" w:type="dxa"/>
            <w:vAlign w:val="bottom"/>
          </w:tcPr>
          <w:p>
            <w:pPr>
              <w:spacing w:after="0"/>
              <w:rPr>
                <w:sz w:val="13"/>
                <w:szCs w:val="13"/>
                <w:color w:val="auto"/>
              </w:rPr>
            </w:pPr>
          </w:p>
        </w:tc>
        <w:tc>
          <w:tcPr>
            <w:tcW w:w="680" w:type="dxa"/>
            <w:vAlign w:val="bottom"/>
          </w:tcPr>
          <w:p>
            <w:pPr>
              <w:jc w:val="right"/>
              <w:spacing w:after="0"/>
              <w:rPr>
                <w:sz w:val="20"/>
                <w:szCs w:val="20"/>
                <w:color w:val="auto"/>
              </w:rPr>
            </w:pPr>
            <w:r>
              <w:rPr>
                <w:rFonts w:ascii="Arial" w:cs="Arial" w:eastAsia="Arial" w:hAnsi="Arial"/>
                <w:sz w:val="13"/>
                <w:szCs w:val="13"/>
                <w:color w:val="auto"/>
              </w:rPr>
              <w:t>18</w:t>
            </w:r>
          </w:p>
        </w:tc>
        <w:tc>
          <w:tcPr>
            <w:tcW w:w="160" w:type="dxa"/>
            <w:vAlign w:val="bottom"/>
          </w:tcPr>
          <w:p>
            <w:pPr>
              <w:spacing w:after="0"/>
              <w:rPr>
                <w:sz w:val="13"/>
                <w:szCs w:val="13"/>
                <w:color w:val="auto"/>
              </w:rPr>
            </w:pPr>
          </w:p>
        </w:tc>
        <w:tc>
          <w:tcPr>
            <w:tcW w:w="1000" w:type="dxa"/>
            <w:vAlign w:val="bottom"/>
            <w:gridSpan w:val="2"/>
          </w:tcPr>
          <w:p>
            <w:pPr>
              <w:jc w:val="right"/>
              <w:spacing w:after="0"/>
              <w:rPr>
                <w:sz w:val="20"/>
                <w:szCs w:val="20"/>
                <w:color w:val="auto"/>
              </w:rPr>
            </w:pPr>
            <w:r>
              <w:rPr>
                <w:rFonts w:ascii="Arial" w:cs="Arial" w:eastAsia="Arial" w:hAnsi="Arial"/>
                <w:sz w:val="13"/>
                <w:szCs w:val="13"/>
                <w:color w:val="auto"/>
              </w:rPr>
              <w:t>95%</w:t>
            </w:r>
          </w:p>
        </w:tc>
      </w:tr>
      <w:tr>
        <w:trPr>
          <w:trHeight w:val="154"/>
        </w:trPr>
        <w:tc>
          <w:tcPr>
            <w:tcW w:w="1160" w:type="dxa"/>
            <w:vAlign w:val="bottom"/>
            <w:shd w:val="clear" w:color="auto" w:fill="CCEEFF"/>
          </w:tcPr>
          <w:p>
            <w:pPr>
              <w:spacing w:after="0"/>
              <w:rPr>
                <w:sz w:val="20"/>
                <w:szCs w:val="20"/>
                <w:color w:val="auto"/>
              </w:rPr>
            </w:pPr>
            <w:r>
              <w:rPr>
                <w:rFonts w:ascii="Arial" w:cs="Arial" w:eastAsia="Arial" w:hAnsi="Arial"/>
                <w:sz w:val="13"/>
                <w:szCs w:val="13"/>
                <w:color w:val="auto"/>
              </w:rPr>
              <w:t>Mexico</w:t>
            </w:r>
          </w:p>
        </w:tc>
        <w:tc>
          <w:tcPr>
            <w:tcW w:w="640" w:type="dxa"/>
            <w:vAlign w:val="bottom"/>
            <w:shd w:val="clear" w:color="auto" w:fill="CCEEFF"/>
          </w:tcPr>
          <w:p>
            <w:pPr>
              <w:spacing w:after="0"/>
              <w:rPr>
                <w:sz w:val="13"/>
                <w:szCs w:val="13"/>
                <w:color w:val="auto"/>
              </w:rPr>
            </w:pPr>
          </w:p>
        </w:tc>
        <w:tc>
          <w:tcPr>
            <w:tcW w:w="660" w:type="dxa"/>
            <w:vAlign w:val="bottom"/>
            <w:shd w:val="clear" w:color="auto" w:fill="CCEEFF"/>
          </w:tcPr>
          <w:p>
            <w:pPr>
              <w:spacing w:after="0"/>
              <w:rPr>
                <w:sz w:val="13"/>
                <w:szCs w:val="13"/>
                <w:color w:val="auto"/>
              </w:rPr>
            </w:pPr>
          </w:p>
        </w:tc>
        <w:tc>
          <w:tcPr>
            <w:tcW w:w="36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w:t>
            </w:r>
          </w:p>
        </w:tc>
        <w:tc>
          <w:tcPr>
            <w:tcW w:w="600" w:type="dxa"/>
            <w:vAlign w:val="bottom"/>
            <w:shd w:val="clear" w:color="auto" w:fill="CCEEFF"/>
          </w:tcPr>
          <w:p>
            <w:pPr>
              <w:spacing w:after="0"/>
              <w:rPr>
                <w:sz w:val="13"/>
                <w:szCs w:val="13"/>
                <w:color w:val="auto"/>
              </w:rPr>
            </w:pPr>
          </w:p>
        </w:tc>
        <w:tc>
          <w:tcPr>
            <w:tcW w:w="44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0%</w:t>
            </w:r>
          </w:p>
        </w:tc>
        <w:tc>
          <w:tcPr>
            <w:tcW w:w="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w:t>
            </w:r>
          </w:p>
        </w:tc>
        <w:tc>
          <w:tcPr>
            <w:tcW w:w="1080" w:type="dxa"/>
            <w:vAlign w:val="bottom"/>
            <w:gridSpan w:val="2"/>
            <w:shd w:val="clear" w:color="auto" w:fill="CCEEFF"/>
          </w:tcPr>
          <w:p>
            <w:pPr>
              <w:jc w:val="right"/>
              <w:ind w:right="36"/>
              <w:spacing w:after="0"/>
              <w:rPr>
                <w:sz w:val="20"/>
                <w:szCs w:val="20"/>
                <w:color w:val="auto"/>
              </w:rPr>
            </w:pPr>
            <w:r>
              <w:rPr>
                <w:rFonts w:ascii="Arial" w:cs="Arial" w:eastAsia="Arial" w:hAnsi="Arial"/>
                <w:sz w:val="13"/>
                <w:szCs w:val="13"/>
                <w:color w:val="auto"/>
              </w:rPr>
              <w:t>0%</w:t>
            </w:r>
          </w:p>
        </w:tc>
        <w:tc>
          <w:tcPr>
            <w:tcW w:w="18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1</w:t>
            </w:r>
          </w:p>
        </w:tc>
        <w:tc>
          <w:tcPr>
            <w:tcW w:w="100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5%</w:t>
            </w:r>
          </w:p>
        </w:tc>
      </w:tr>
      <w:tr>
        <w:trPr>
          <w:trHeight w:val="154"/>
        </w:trPr>
        <w:tc>
          <w:tcPr>
            <w:tcW w:w="1160" w:type="dxa"/>
            <w:vAlign w:val="bottom"/>
          </w:tcPr>
          <w:p>
            <w:pPr>
              <w:spacing w:after="0"/>
              <w:rPr>
                <w:sz w:val="20"/>
                <w:szCs w:val="20"/>
                <w:color w:val="auto"/>
              </w:rPr>
            </w:pPr>
            <w:r>
              <w:rPr>
                <w:rFonts w:ascii="Arial" w:cs="Arial" w:eastAsia="Arial" w:hAnsi="Arial"/>
                <w:sz w:val="13"/>
                <w:szCs w:val="13"/>
                <w:color w:val="auto"/>
              </w:rPr>
              <w:t>Panama</w:t>
            </w:r>
          </w:p>
        </w:tc>
        <w:tc>
          <w:tcPr>
            <w:tcW w:w="640" w:type="dxa"/>
            <w:vAlign w:val="bottom"/>
          </w:tcPr>
          <w:p>
            <w:pPr>
              <w:spacing w:after="0"/>
              <w:rPr>
                <w:sz w:val="13"/>
                <w:szCs w:val="13"/>
                <w:color w:val="auto"/>
              </w:rPr>
            </w:pPr>
          </w:p>
        </w:tc>
        <w:tc>
          <w:tcPr>
            <w:tcW w:w="660" w:type="dxa"/>
            <w:vAlign w:val="bottom"/>
          </w:tcPr>
          <w:p>
            <w:pPr>
              <w:spacing w:after="0"/>
              <w:rPr>
                <w:sz w:val="13"/>
                <w:szCs w:val="13"/>
                <w:color w:val="auto"/>
              </w:rPr>
            </w:pPr>
          </w:p>
        </w:tc>
        <w:tc>
          <w:tcPr>
            <w:tcW w:w="360" w:type="dxa"/>
            <w:vAlign w:val="bottom"/>
            <w:gridSpan w:val="2"/>
          </w:tcPr>
          <w:p>
            <w:pPr>
              <w:jc w:val="right"/>
              <w:ind w:right="140"/>
              <w:spacing w:after="0"/>
              <w:rPr>
                <w:sz w:val="20"/>
                <w:szCs w:val="20"/>
                <w:color w:val="auto"/>
              </w:rPr>
            </w:pPr>
            <w:r>
              <w:rPr>
                <w:rFonts w:ascii="Arial" w:cs="Arial" w:eastAsia="Arial" w:hAnsi="Arial"/>
                <w:sz w:val="13"/>
                <w:szCs w:val="13"/>
                <w:color w:val="auto"/>
              </w:rPr>
              <w:t>0</w:t>
            </w:r>
          </w:p>
        </w:tc>
        <w:tc>
          <w:tcPr>
            <w:tcW w:w="600" w:type="dxa"/>
            <w:vAlign w:val="bottom"/>
          </w:tcPr>
          <w:p>
            <w:pPr>
              <w:spacing w:after="0"/>
              <w:rPr>
                <w:sz w:val="13"/>
                <w:szCs w:val="13"/>
                <w:color w:val="auto"/>
              </w:rPr>
            </w:pPr>
          </w:p>
        </w:tc>
        <w:tc>
          <w:tcPr>
            <w:tcW w:w="440" w:type="dxa"/>
            <w:vAlign w:val="bottom"/>
            <w:gridSpan w:val="2"/>
          </w:tcPr>
          <w:p>
            <w:pPr>
              <w:jc w:val="right"/>
              <w:spacing w:after="0"/>
              <w:rPr>
                <w:sz w:val="20"/>
                <w:szCs w:val="20"/>
                <w:color w:val="auto"/>
              </w:rPr>
            </w:pPr>
            <w:r>
              <w:rPr>
                <w:rFonts w:ascii="Arial" w:cs="Arial" w:eastAsia="Arial" w:hAnsi="Arial"/>
                <w:sz w:val="13"/>
                <w:szCs w:val="13"/>
                <w:color w:val="auto"/>
              </w:rPr>
              <w:t>0%</w:t>
            </w:r>
          </w:p>
        </w:tc>
        <w:tc>
          <w:tcPr>
            <w:tcW w:w="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40" w:type="dxa"/>
            <w:vAlign w:val="bottom"/>
            <w:gridSpan w:val="2"/>
          </w:tcPr>
          <w:p>
            <w:pPr>
              <w:jc w:val="right"/>
              <w:ind w:right="140"/>
              <w:spacing w:after="0"/>
              <w:rPr>
                <w:sz w:val="20"/>
                <w:szCs w:val="20"/>
                <w:color w:val="auto"/>
              </w:rPr>
            </w:pPr>
            <w:r>
              <w:rPr>
                <w:rFonts w:ascii="Arial" w:cs="Arial" w:eastAsia="Arial" w:hAnsi="Arial"/>
                <w:sz w:val="13"/>
                <w:szCs w:val="13"/>
                <w:color w:val="auto"/>
              </w:rPr>
              <w:t>0</w:t>
            </w:r>
          </w:p>
        </w:tc>
        <w:tc>
          <w:tcPr>
            <w:tcW w:w="1080" w:type="dxa"/>
            <w:vAlign w:val="bottom"/>
            <w:gridSpan w:val="2"/>
          </w:tcPr>
          <w:p>
            <w:pPr>
              <w:jc w:val="right"/>
              <w:ind w:right="36"/>
              <w:spacing w:after="0"/>
              <w:rPr>
                <w:sz w:val="20"/>
                <w:szCs w:val="20"/>
                <w:color w:val="auto"/>
              </w:rPr>
            </w:pPr>
            <w:r>
              <w:rPr>
                <w:rFonts w:ascii="Arial" w:cs="Arial" w:eastAsia="Arial" w:hAnsi="Arial"/>
                <w:sz w:val="13"/>
                <w:szCs w:val="13"/>
                <w:color w:val="auto"/>
              </w:rPr>
              <w:t>1%</w:t>
            </w:r>
          </w:p>
        </w:tc>
        <w:tc>
          <w:tcPr>
            <w:tcW w:w="180" w:type="dxa"/>
            <w:vAlign w:val="bottom"/>
          </w:tcPr>
          <w:p>
            <w:pPr>
              <w:spacing w:after="0"/>
              <w:rPr>
                <w:sz w:val="13"/>
                <w:szCs w:val="13"/>
                <w:color w:val="auto"/>
              </w:rPr>
            </w:pPr>
          </w:p>
        </w:tc>
        <w:tc>
          <w:tcPr>
            <w:tcW w:w="840" w:type="dxa"/>
            <w:vAlign w:val="bottom"/>
            <w:gridSpan w:val="2"/>
          </w:tcPr>
          <w:p>
            <w:pPr>
              <w:jc w:val="right"/>
              <w:ind w:right="140"/>
              <w:spacing w:after="0"/>
              <w:rPr>
                <w:sz w:val="20"/>
                <w:szCs w:val="20"/>
                <w:color w:val="auto"/>
              </w:rPr>
            </w:pPr>
            <w:r>
              <w:rPr>
                <w:rFonts w:ascii="Arial" w:cs="Arial" w:eastAsia="Arial" w:hAnsi="Arial"/>
                <w:sz w:val="13"/>
                <w:szCs w:val="13"/>
                <w:color w:val="auto"/>
              </w:rPr>
              <w:t>0</w:t>
            </w:r>
          </w:p>
        </w:tc>
        <w:tc>
          <w:tcPr>
            <w:tcW w:w="1000" w:type="dxa"/>
            <w:vAlign w:val="bottom"/>
            <w:gridSpan w:val="2"/>
          </w:tcPr>
          <w:p>
            <w:pPr>
              <w:jc w:val="right"/>
              <w:spacing w:after="0"/>
              <w:rPr>
                <w:sz w:val="20"/>
                <w:szCs w:val="20"/>
                <w:color w:val="auto"/>
              </w:rPr>
            </w:pPr>
            <w:r>
              <w:rPr>
                <w:rFonts w:ascii="Arial" w:cs="Arial" w:eastAsia="Arial" w:hAnsi="Arial"/>
                <w:sz w:val="13"/>
                <w:szCs w:val="13"/>
                <w:color w:val="auto"/>
              </w:rPr>
              <w:t>0%</w:t>
            </w:r>
          </w:p>
        </w:tc>
      </w:tr>
      <w:tr>
        <w:trPr>
          <w:trHeight w:val="154"/>
        </w:trPr>
        <w:tc>
          <w:tcPr>
            <w:tcW w:w="1160" w:type="dxa"/>
            <w:vAlign w:val="bottom"/>
            <w:shd w:val="clear" w:color="auto" w:fill="CCEEFF"/>
          </w:tcPr>
          <w:p>
            <w:pPr>
              <w:spacing w:after="0"/>
              <w:rPr>
                <w:sz w:val="20"/>
                <w:szCs w:val="20"/>
                <w:color w:val="auto"/>
              </w:rPr>
            </w:pPr>
            <w:r>
              <w:rPr>
                <w:rFonts w:ascii="Arial" w:cs="Arial" w:eastAsia="Arial" w:hAnsi="Arial"/>
                <w:sz w:val="13"/>
                <w:szCs w:val="13"/>
                <w:color w:val="auto"/>
              </w:rPr>
              <w:t>Paraguay</w:t>
            </w:r>
          </w:p>
        </w:tc>
        <w:tc>
          <w:tcPr>
            <w:tcW w:w="640" w:type="dxa"/>
            <w:vAlign w:val="bottom"/>
            <w:shd w:val="clear" w:color="auto" w:fill="CCEEFF"/>
          </w:tcPr>
          <w:p>
            <w:pPr>
              <w:spacing w:after="0"/>
              <w:rPr>
                <w:sz w:val="13"/>
                <w:szCs w:val="13"/>
                <w:color w:val="auto"/>
              </w:rPr>
            </w:pPr>
          </w:p>
        </w:tc>
        <w:tc>
          <w:tcPr>
            <w:tcW w:w="660" w:type="dxa"/>
            <w:vAlign w:val="bottom"/>
            <w:shd w:val="clear" w:color="auto" w:fill="CCEEFF"/>
          </w:tcPr>
          <w:p>
            <w:pPr>
              <w:spacing w:after="0"/>
              <w:rPr>
                <w:sz w:val="13"/>
                <w:szCs w:val="13"/>
                <w:color w:val="auto"/>
              </w:rPr>
            </w:pPr>
          </w:p>
        </w:tc>
        <w:tc>
          <w:tcPr>
            <w:tcW w:w="36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4</w:t>
            </w:r>
          </w:p>
        </w:tc>
        <w:tc>
          <w:tcPr>
            <w:tcW w:w="600" w:type="dxa"/>
            <w:vAlign w:val="bottom"/>
            <w:shd w:val="clear" w:color="auto" w:fill="CCEEFF"/>
          </w:tcPr>
          <w:p>
            <w:pPr>
              <w:spacing w:after="0"/>
              <w:rPr>
                <w:sz w:val="13"/>
                <w:szCs w:val="13"/>
                <w:color w:val="auto"/>
              </w:rPr>
            </w:pPr>
          </w:p>
        </w:tc>
        <w:tc>
          <w:tcPr>
            <w:tcW w:w="44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11%</w:t>
            </w:r>
          </w:p>
        </w:tc>
        <w:tc>
          <w:tcPr>
            <w:tcW w:w="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w:t>
            </w:r>
          </w:p>
        </w:tc>
        <w:tc>
          <w:tcPr>
            <w:tcW w:w="1080" w:type="dxa"/>
            <w:vAlign w:val="bottom"/>
            <w:gridSpan w:val="2"/>
            <w:shd w:val="clear" w:color="auto" w:fill="CCEEFF"/>
          </w:tcPr>
          <w:p>
            <w:pPr>
              <w:jc w:val="right"/>
              <w:ind w:right="36"/>
              <w:spacing w:after="0"/>
              <w:rPr>
                <w:sz w:val="20"/>
                <w:szCs w:val="20"/>
                <w:color w:val="auto"/>
              </w:rPr>
            </w:pPr>
            <w:r>
              <w:rPr>
                <w:rFonts w:ascii="Arial" w:cs="Arial" w:eastAsia="Arial" w:hAnsi="Arial"/>
                <w:sz w:val="13"/>
                <w:szCs w:val="13"/>
                <w:color w:val="auto"/>
              </w:rPr>
              <w:t>0%</w:t>
            </w:r>
          </w:p>
        </w:tc>
        <w:tc>
          <w:tcPr>
            <w:tcW w:w="180" w:type="dxa"/>
            <w:vAlign w:val="bottom"/>
            <w:shd w:val="clear" w:color="auto" w:fill="CCEEFF"/>
          </w:tcPr>
          <w:p>
            <w:pPr>
              <w:spacing w:after="0"/>
              <w:rPr>
                <w:sz w:val="13"/>
                <w:szCs w:val="13"/>
                <w:color w:val="auto"/>
              </w:rPr>
            </w:pPr>
          </w:p>
        </w:tc>
        <w:tc>
          <w:tcPr>
            <w:tcW w:w="8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w:t>
            </w:r>
          </w:p>
        </w:tc>
        <w:tc>
          <w:tcPr>
            <w:tcW w:w="100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0%</w:t>
            </w:r>
          </w:p>
        </w:tc>
      </w:tr>
      <w:tr>
        <w:trPr>
          <w:trHeight w:val="164"/>
        </w:trPr>
        <w:tc>
          <w:tcPr>
            <w:tcW w:w="1160" w:type="dxa"/>
            <w:vAlign w:val="bottom"/>
          </w:tcPr>
          <w:p>
            <w:pPr>
              <w:spacing w:after="0"/>
              <w:rPr>
                <w:sz w:val="20"/>
                <w:szCs w:val="20"/>
                <w:color w:val="auto"/>
              </w:rPr>
            </w:pPr>
            <w:r>
              <w:rPr>
                <w:rFonts w:ascii="Arial" w:cs="Arial" w:eastAsia="Arial" w:hAnsi="Arial"/>
                <w:sz w:val="13"/>
                <w:szCs w:val="13"/>
                <w:color w:val="auto"/>
              </w:rPr>
              <w:t>Uruguay</w:t>
            </w:r>
          </w:p>
        </w:tc>
        <w:tc>
          <w:tcPr>
            <w:tcW w:w="640" w:type="dxa"/>
            <w:vAlign w:val="bottom"/>
          </w:tcPr>
          <w:p>
            <w:pPr>
              <w:spacing w:after="0"/>
              <w:rPr>
                <w:sz w:val="14"/>
                <w:szCs w:val="14"/>
                <w:color w:val="auto"/>
              </w:rPr>
            </w:pPr>
          </w:p>
        </w:tc>
        <w:tc>
          <w:tcPr>
            <w:tcW w:w="660" w:type="dxa"/>
            <w:vAlign w:val="bottom"/>
          </w:tcPr>
          <w:p>
            <w:pPr>
              <w:spacing w:after="0"/>
              <w:rPr>
                <w:sz w:val="14"/>
                <w:szCs w:val="14"/>
                <w:color w:val="auto"/>
              </w:rPr>
            </w:pPr>
          </w:p>
        </w:tc>
        <w:tc>
          <w:tcPr>
            <w:tcW w:w="360" w:type="dxa"/>
            <w:vAlign w:val="bottom"/>
            <w:gridSpan w:val="2"/>
          </w:tcPr>
          <w:p>
            <w:pPr>
              <w:jc w:val="right"/>
              <w:ind w:right="140"/>
              <w:spacing w:after="0"/>
              <w:rPr>
                <w:sz w:val="20"/>
                <w:szCs w:val="20"/>
                <w:color w:val="auto"/>
              </w:rPr>
            </w:pPr>
            <w:r>
              <w:rPr>
                <w:rFonts w:ascii="Arial" w:cs="Arial" w:eastAsia="Arial" w:hAnsi="Arial"/>
                <w:sz w:val="13"/>
                <w:szCs w:val="13"/>
                <w:color w:val="auto"/>
              </w:rPr>
              <w:t>0</w:t>
            </w:r>
          </w:p>
        </w:tc>
        <w:tc>
          <w:tcPr>
            <w:tcW w:w="600" w:type="dxa"/>
            <w:vAlign w:val="bottom"/>
          </w:tcPr>
          <w:p>
            <w:pPr>
              <w:spacing w:after="0"/>
              <w:rPr>
                <w:sz w:val="14"/>
                <w:szCs w:val="14"/>
                <w:color w:val="auto"/>
              </w:rPr>
            </w:pPr>
          </w:p>
        </w:tc>
        <w:tc>
          <w:tcPr>
            <w:tcW w:w="440" w:type="dxa"/>
            <w:vAlign w:val="bottom"/>
            <w:gridSpan w:val="2"/>
          </w:tcPr>
          <w:p>
            <w:pPr>
              <w:jc w:val="right"/>
              <w:spacing w:after="0"/>
              <w:rPr>
                <w:sz w:val="20"/>
                <w:szCs w:val="20"/>
                <w:color w:val="auto"/>
              </w:rPr>
            </w:pPr>
            <w:r>
              <w:rPr>
                <w:rFonts w:ascii="Arial" w:cs="Arial" w:eastAsia="Arial" w:hAnsi="Arial"/>
                <w:sz w:val="13"/>
                <w:szCs w:val="13"/>
                <w:color w:val="auto"/>
              </w:rPr>
              <w:t>0%</w:t>
            </w:r>
          </w:p>
        </w:tc>
        <w:tc>
          <w:tcPr>
            <w:tcW w:w="4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840" w:type="dxa"/>
            <w:vAlign w:val="bottom"/>
            <w:gridSpan w:val="2"/>
          </w:tcPr>
          <w:p>
            <w:pPr>
              <w:jc w:val="right"/>
              <w:ind w:right="140"/>
              <w:spacing w:after="0"/>
              <w:rPr>
                <w:sz w:val="20"/>
                <w:szCs w:val="20"/>
                <w:color w:val="auto"/>
              </w:rPr>
            </w:pPr>
            <w:r>
              <w:rPr>
                <w:rFonts w:ascii="Arial" w:cs="Arial" w:eastAsia="Arial" w:hAnsi="Arial"/>
                <w:sz w:val="13"/>
                <w:szCs w:val="13"/>
                <w:color w:val="auto"/>
              </w:rPr>
              <w:t>4</w:t>
            </w:r>
          </w:p>
        </w:tc>
        <w:tc>
          <w:tcPr>
            <w:tcW w:w="1080" w:type="dxa"/>
            <w:vAlign w:val="bottom"/>
            <w:gridSpan w:val="2"/>
          </w:tcPr>
          <w:p>
            <w:pPr>
              <w:jc w:val="right"/>
              <w:ind w:right="36"/>
              <w:spacing w:after="0"/>
              <w:rPr>
                <w:sz w:val="20"/>
                <w:szCs w:val="20"/>
                <w:color w:val="auto"/>
              </w:rPr>
            </w:pPr>
            <w:r>
              <w:rPr>
                <w:rFonts w:ascii="Arial" w:cs="Arial" w:eastAsia="Arial" w:hAnsi="Arial"/>
                <w:sz w:val="13"/>
                <w:szCs w:val="13"/>
                <w:color w:val="auto"/>
              </w:rPr>
              <w:t>12%</w:t>
            </w:r>
          </w:p>
        </w:tc>
        <w:tc>
          <w:tcPr>
            <w:tcW w:w="180" w:type="dxa"/>
            <w:vAlign w:val="bottom"/>
          </w:tcPr>
          <w:p>
            <w:pPr>
              <w:spacing w:after="0"/>
              <w:rPr>
                <w:sz w:val="14"/>
                <w:szCs w:val="14"/>
                <w:color w:val="auto"/>
              </w:rPr>
            </w:pPr>
          </w:p>
        </w:tc>
        <w:tc>
          <w:tcPr>
            <w:tcW w:w="840" w:type="dxa"/>
            <w:vAlign w:val="bottom"/>
            <w:gridSpan w:val="2"/>
          </w:tcPr>
          <w:p>
            <w:pPr>
              <w:jc w:val="right"/>
              <w:ind w:right="140"/>
              <w:spacing w:after="0"/>
              <w:rPr>
                <w:sz w:val="20"/>
                <w:szCs w:val="20"/>
                <w:color w:val="auto"/>
              </w:rPr>
            </w:pPr>
            <w:r>
              <w:rPr>
                <w:rFonts w:ascii="Arial" w:cs="Arial" w:eastAsia="Arial" w:hAnsi="Arial"/>
                <w:sz w:val="13"/>
                <w:szCs w:val="13"/>
                <w:color w:val="auto"/>
              </w:rPr>
              <w:t>0</w:t>
            </w:r>
          </w:p>
        </w:tc>
        <w:tc>
          <w:tcPr>
            <w:tcW w:w="1000" w:type="dxa"/>
            <w:vAlign w:val="bottom"/>
            <w:gridSpan w:val="2"/>
          </w:tcPr>
          <w:p>
            <w:pPr>
              <w:jc w:val="right"/>
              <w:spacing w:after="0"/>
              <w:rPr>
                <w:sz w:val="20"/>
                <w:szCs w:val="20"/>
                <w:color w:val="auto"/>
              </w:rPr>
            </w:pPr>
            <w:r>
              <w:rPr>
                <w:rFonts w:ascii="Arial" w:cs="Arial" w:eastAsia="Arial" w:hAnsi="Arial"/>
                <w:sz w:val="13"/>
                <w:szCs w:val="13"/>
                <w:color w:val="auto"/>
              </w:rPr>
              <w:t>0%</w:t>
            </w:r>
          </w:p>
        </w:tc>
      </w:tr>
      <w:tr>
        <w:trPr>
          <w:trHeight w:val="162"/>
        </w:trPr>
        <w:tc>
          <w:tcPr>
            <w:tcW w:w="1160" w:type="dxa"/>
            <w:vAlign w:val="bottom"/>
            <w:tcBorders>
              <w:top w:val="single" w:sz="8" w:color="CCEEFF"/>
              <w:bottom w:val="single" w:sz="8" w:color="CCEEFF"/>
            </w:tcBorders>
            <w:shd w:val="clear" w:color="auto" w:fill="CCEEFF"/>
          </w:tcPr>
          <w:p>
            <w:pPr>
              <w:ind w:left="120"/>
              <w:spacing w:after="0" w:line="146" w:lineRule="exact"/>
              <w:rPr>
                <w:sz w:val="20"/>
                <w:szCs w:val="20"/>
                <w:color w:val="auto"/>
              </w:rPr>
            </w:pPr>
            <w:r>
              <w:rPr>
                <w:rFonts w:ascii="Arial" w:cs="Arial" w:eastAsia="Arial" w:hAnsi="Arial"/>
                <w:sz w:val="13"/>
                <w:szCs w:val="13"/>
                <w:b w:val="1"/>
                <w:bCs w:val="1"/>
                <w:color w:val="auto"/>
              </w:rPr>
              <w:t>Total</w:t>
            </w:r>
          </w:p>
        </w:tc>
        <w:tc>
          <w:tcPr>
            <w:tcW w:w="640" w:type="dxa"/>
            <w:vAlign w:val="bottom"/>
            <w:tcBorders>
              <w:top w:val="single" w:sz="8" w:color="CCEEFF"/>
              <w:bottom w:val="single" w:sz="8" w:color="CCEEFF"/>
            </w:tcBorders>
            <w:shd w:val="clear" w:color="auto" w:fill="CCEEFF"/>
          </w:tcPr>
          <w:p>
            <w:pPr>
              <w:spacing w:after="0"/>
              <w:rPr>
                <w:sz w:val="14"/>
                <w:szCs w:val="14"/>
                <w:color w:val="auto"/>
              </w:rPr>
            </w:pPr>
          </w:p>
        </w:tc>
        <w:tc>
          <w:tcPr>
            <w:tcW w:w="660" w:type="dxa"/>
            <w:vAlign w:val="bottom"/>
            <w:tcBorders>
              <w:top w:val="single" w:sz="8" w:color="auto"/>
              <w:bottom w:val="single" w:sz="8" w:color="auto"/>
            </w:tcBorders>
            <w:shd w:val="clear" w:color="auto" w:fill="CCEEFF"/>
          </w:tcPr>
          <w:p>
            <w:pPr>
              <w:jc w:val="right"/>
              <w:ind w:right="516"/>
              <w:spacing w:after="0"/>
              <w:rPr>
                <w:sz w:val="20"/>
                <w:szCs w:val="20"/>
                <w:color w:val="auto"/>
              </w:rPr>
            </w:pPr>
            <w:r>
              <w:rPr>
                <w:rFonts w:ascii="Arial" w:cs="Arial" w:eastAsia="Arial" w:hAnsi="Arial"/>
                <w:sz w:val="13"/>
                <w:szCs w:val="13"/>
                <w:b w:val="1"/>
                <w:bCs w:val="1"/>
                <w:color w:val="auto"/>
                <w:w w:val="82"/>
              </w:rPr>
              <w:t>$</w:t>
            </w:r>
          </w:p>
        </w:tc>
        <w:tc>
          <w:tcPr>
            <w:tcW w:w="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42</w:t>
            </w:r>
          </w:p>
        </w:tc>
        <w:tc>
          <w:tcPr>
            <w:tcW w:w="140" w:type="dxa"/>
            <w:vAlign w:val="bottom"/>
            <w:tcBorders>
              <w:top w:val="single" w:sz="8" w:color="CCEEFF"/>
              <w:bottom w:val="single" w:sz="8" w:color="CCEEFF"/>
            </w:tcBorders>
            <w:shd w:val="clear" w:color="auto" w:fill="CCEEFF"/>
          </w:tcPr>
          <w:p>
            <w:pPr>
              <w:spacing w:after="0"/>
              <w:rPr>
                <w:sz w:val="14"/>
                <w:szCs w:val="14"/>
                <w:color w:val="auto"/>
              </w:rPr>
            </w:pPr>
          </w:p>
        </w:tc>
        <w:tc>
          <w:tcPr>
            <w:tcW w:w="600" w:type="dxa"/>
            <w:vAlign w:val="bottom"/>
            <w:tcBorders>
              <w:top w:val="single" w:sz="8" w:color="auto"/>
              <w:bottom w:val="single" w:sz="8" w:color="auto"/>
            </w:tcBorders>
            <w:shd w:val="clear" w:color="auto" w:fill="CCEEFF"/>
          </w:tcPr>
          <w:p>
            <w:pPr>
              <w:spacing w:after="0"/>
              <w:rPr>
                <w:sz w:val="14"/>
                <w:szCs w:val="14"/>
                <w:color w:val="auto"/>
              </w:rPr>
            </w:pPr>
          </w:p>
        </w:tc>
        <w:tc>
          <w:tcPr>
            <w:tcW w:w="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100</w:t>
            </w:r>
          </w:p>
        </w:tc>
        <w:tc>
          <w:tcPr>
            <w:tcW w:w="160" w:type="dxa"/>
            <w:vAlign w:val="bottom"/>
            <w:tcBorders>
              <w:top w:val="single" w:sz="8" w:color="CCEEFF"/>
              <w:bottom w:val="single" w:sz="8" w:color="CCEEFF"/>
            </w:tcBorders>
            <w:shd w:val="clear" w:color="auto" w:fill="CCEEFF"/>
          </w:tcPr>
          <w:p>
            <w:pPr>
              <w:jc w:val="right"/>
              <w:spacing w:after="0" w:line="146" w:lineRule="exact"/>
              <w:rPr>
                <w:sz w:val="20"/>
                <w:szCs w:val="20"/>
                <w:color w:val="auto"/>
              </w:rPr>
            </w:pPr>
            <w:r>
              <w:rPr>
                <w:rFonts w:ascii="Arial" w:cs="Arial" w:eastAsia="Arial" w:hAnsi="Arial"/>
                <w:sz w:val="13"/>
                <w:szCs w:val="13"/>
                <w:b w:val="1"/>
                <w:bCs w:val="1"/>
                <w:color w:val="auto"/>
                <w:w w:val="86"/>
              </w:rPr>
              <w:t>%</w:t>
            </w:r>
          </w:p>
        </w:tc>
        <w:tc>
          <w:tcPr>
            <w:tcW w:w="40" w:type="dxa"/>
            <w:vAlign w:val="bottom"/>
            <w:tcBorders>
              <w:top w:val="single" w:sz="8" w:color="CCEEFF"/>
              <w:bottom w:val="single" w:sz="8" w:color="CCEEFF"/>
            </w:tcBorders>
            <w:shd w:val="clear" w:color="auto" w:fill="CCEEFF"/>
          </w:tcPr>
          <w:p>
            <w:pPr>
              <w:spacing w:after="0"/>
              <w:rPr>
                <w:sz w:val="14"/>
                <w:szCs w:val="14"/>
                <w:color w:val="auto"/>
              </w:rPr>
            </w:pPr>
          </w:p>
        </w:tc>
        <w:tc>
          <w:tcPr>
            <w:tcW w:w="180" w:type="dxa"/>
            <w:vAlign w:val="bottom"/>
            <w:tcBorders>
              <w:top w:val="single" w:sz="8" w:color="auto"/>
              <w:bottom w:val="single" w:sz="8" w:color="auto"/>
            </w:tcBorders>
            <w:shd w:val="clear" w:color="auto" w:fill="CCEEFF"/>
          </w:tcPr>
          <w:p>
            <w:pPr>
              <w:spacing w:after="0"/>
              <w:rPr>
                <w:sz w:val="20"/>
                <w:szCs w:val="20"/>
                <w:color w:val="auto"/>
              </w:rPr>
            </w:pPr>
            <w:r>
              <w:rPr>
                <w:rFonts w:ascii="Arial" w:cs="Arial" w:eastAsia="Arial" w:hAnsi="Arial"/>
                <w:sz w:val="13"/>
                <w:szCs w:val="13"/>
                <w:b w:val="1"/>
                <w:bCs w:val="1"/>
                <w:color w:val="auto"/>
              </w:rPr>
              <w:t>$</w:t>
            </w:r>
          </w:p>
        </w:tc>
        <w:tc>
          <w:tcPr>
            <w:tcW w:w="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33</w:t>
            </w:r>
          </w:p>
        </w:tc>
        <w:tc>
          <w:tcPr>
            <w:tcW w:w="140" w:type="dxa"/>
            <w:vAlign w:val="bottom"/>
            <w:tcBorders>
              <w:top w:val="single" w:sz="8" w:color="CCEEFF"/>
              <w:bottom w:val="single" w:sz="8" w:color="CCEEFF"/>
            </w:tcBorders>
            <w:shd w:val="clear" w:color="auto" w:fill="CCEEFF"/>
          </w:tcPr>
          <w:p>
            <w:pPr>
              <w:spacing w:after="0"/>
              <w:rPr>
                <w:sz w:val="14"/>
                <w:szCs w:val="14"/>
                <w:color w:val="auto"/>
              </w:rPr>
            </w:pP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100</w:t>
            </w:r>
          </w:p>
        </w:tc>
        <w:tc>
          <w:tcPr>
            <w:tcW w:w="200" w:type="dxa"/>
            <w:vAlign w:val="bottom"/>
            <w:tcBorders>
              <w:top w:val="single" w:sz="8" w:color="CCEEFF"/>
              <w:bottom w:val="single" w:sz="8" w:color="CCEEFF"/>
            </w:tcBorders>
            <w:shd w:val="clear" w:color="auto" w:fill="CCEEFF"/>
          </w:tcPr>
          <w:p>
            <w:pPr>
              <w:jc w:val="right"/>
              <w:ind w:right="16"/>
              <w:spacing w:after="0" w:line="146" w:lineRule="exact"/>
              <w:rPr>
                <w:sz w:val="20"/>
                <w:szCs w:val="20"/>
                <w:color w:val="auto"/>
              </w:rPr>
            </w:pPr>
            <w:r>
              <w:rPr>
                <w:rFonts w:ascii="Arial" w:cs="Arial" w:eastAsia="Arial" w:hAnsi="Arial"/>
                <w:sz w:val="13"/>
                <w:szCs w:val="13"/>
                <w:b w:val="1"/>
                <w:bCs w:val="1"/>
                <w:color w:val="auto"/>
                <w:w w:val="86"/>
              </w:rPr>
              <w:t>%</w:t>
            </w:r>
          </w:p>
        </w:tc>
        <w:tc>
          <w:tcPr>
            <w:tcW w:w="180" w:type="dxa"/>
            <w:vAlign w:val="bottom"/>
            <w:tcBorders>
              <w:top w:val="single" w:sz="8" w:color="auto"/>
              <w:bottom w:val="single" w:sz="8" w:color="auto"/>
            </w:tcBorders>
            <w:shd w:val="clear" w:color="auto" w:fill="CCEEFF"/>
          </w:tcPr>
          <w:p>
            <w:pPr>
              <w:jc w:val="right"/>
              <w:ind w:right="72"/>
              <w:spacing w:after="0"/>
              <w:rPr>
                <w:sz w:val="20"/>
                <w:szCs w:val="20"/>
                <w:color w:val="auto"/>
              </w:rPr>
            </w:pPr>
            <w:r>
              <w:rPr>
                <w:rFonts w:ascii="Arial" w:cs="Arial" w:eastAsia="Arial" w:hAnsi="Arial"/>
                <w:sz w:val="10"/>
                <w:szCs w:val="10"/>
                <w:b w:val="1"/>
                <w:bCs w:val="1"/>
                <w:color w:val="auto"/>
                <w:w w:val="71"/>
              </w:rPr>
              <w:t>$</w:t>
            </w:r>
          </w:p>
        </w:tc>
        <w:tc>
          <w:tcPr>
            <w:tcW w:w="6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19</w:t>
            </w:r>
          </w:p>
        </w:tc>
        <w:tc>
          <w:tcPr>
            <w:tcW w:w="160" w:type="dxa"/>
            <w:vAlign w:val="bottom"/>
            <w:tcBorders>
              <w:top w:val="single" w:sz="8" w:color="CCEEFF"/>
              <w:bottom w:val="single" w:sz="8" w:color="CCEEFF"/>
            </w:tcBorders>
            <w:shd w:val="clear" w:color="auto" w:fill="CCEEFF"/>
          </w:tcPr>
          <w:p>
            <w:pPr>
              <w:spacing w:after="0"/>
              <w:rPr>
                <w:sz w:val="14"/>
                <w:szCs w:val="14"/>
                <w:color w:val="auto"/>
              </w:rPr>
            </w:pP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100</w:t>
            </w:r>
          </w:p>
        </w:tc>
        <w:tc>
          <w:tcPr>
            <w:tcW w:w="120" w:type="dxa"/>
            <w:vAlign w:val="bottom"/>
            <w:tcBorders>
              <w:top w:val="single" w:sz="8" w:color="CCEEFF"/>
              <w:bottom w:val="single" w:sz="8" w:color="CCEEFF"/>
            </w:tcBorders>
            <w:shd w:val="clear" w:color="auto" w:fill="CCEEFF"/>
          </w:tcPr>
          <w:p>
            <w:pPr>
              <w:jc w:val="right"/>
              <w:spacing w:after="0" w:line="146" w:lineRule="exact"/>
              <w:rPr>
                <w:sz w:val="20"/>
                <w:szCs w:val="20"/>
                <w:color w:val="auto"/>
              </w:rPr>
            </w:pPr>
            <w:r>
              <w:rPr>
                <w:rFonts w:ascii="Arial" w:cs="Arial" w:eastAsia="Arial" w:hAnsi="Arial"/>
                <w:sz w:val="13"/>
                <w:szCs w:val="13"/>
                <w:b w:val="1"/>
                <w:bCs w:val="1"/>
                <w:color w:val="auto"/>
                <w:w w:val="86"/>
              </w:rPr>
              <w:t>%</w:t>
            </w:r>
          </w:p>
        </w:tc>
      </w:tr>
    </w:tbl>
    <w:p>
      <w:pPr>
        <w:spacing w:after="0" w:line="145"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During the year ended December 31, 2018, the Bank had write-offs against the allowance for loan losses totaling $42 million, representing 0.75% of the average Loan Portfolio, compared to $33 million, or 0.61% of the average Loan Portfolio, in 2017, and compared to $19 million, or 0.29% of the average Loan Portfolio.</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color w:val="auto"/>
        </w:rPr>
        <w:t>In the three-year period ended December 31, 2018, the Bank disbursed $42,953 million in credits and had write-off loans for $94 million, representing 0.22% of credits disbursed.</w:t>
      </w:r>
    </w:p>
    <w:p>
      <w:pPr>
        <w:spacing w:after="0" w:line="159" w:lineRule="exact"/>
        <w:rPr>
          <w:sz w:val="20"/>
          <w:szCs w:val="20"/>
          <w:color w:val="auto"/>
        </w:rPr>
      </w:pPr>
    </w:p>
    <w:tbl>
      <w:tblPr>
        <w:tblLayout w:type="fixed"/>
        <w:tblInd w:w="0" w:type="dxa"/>
        <w:tblCellMar>
          <w:top w:w="0" w:type="dxa"/>
          <w:left w:w="0" w:type="dxa"/>
          <w:bottom w:w="0" w:type="dxa"/>
          <w:right w:w="0" w:type="dxa"/>
        </w:tblCellMar>
      </w:tblPr>
      <w:tr>
        <w:trPr>
          <w:trHeight w:val="162"/>
        </w:trPr>
        <w:tc>
          <w:tcPr>
            <w:tcW w:w="7120" w:type="dxa"/>
            <w:vAlign w:val="bottom"/>
          </w:tcPr>
          <w:p>
            <w:pPr>
              <w:spacing w:after="0"/>
              <w:rPr>
                <w:sz w:val="20"/>
                <w:szCs w:val="20"/>
                <w:color w:val="auto"/>
              </w:rPr>
            </w:pPr>
            <w:r>
              <w:rPr>
                <w:rFonts w:ascii="Arial" w:cs="Arial" w:eastAsia="Arial" w:hAnsi="Arial"/>
                <w:sz w:val="13"/>
                <w:szCs w:val="13"/>
                <w:color w:val="221E1F"/>
              </w:rPr>
              <w:t>The following table summarizes information regarding outstanding credit-impaired balances as of the dates indicated:</w:t>
            </w:r>
          </w:p>
        </w:tc>
        <w:tc>
          <w:tcPr>
            <w:tcW w:w="28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40" w:type="dxa"/>
            <w:vAlign w:val="bottom"/>
          </w:tcPr>
          <w:p>
            <w:pPr>
              <w:spacing w:after="0"/>
              <w:rPr>
                <w:sz w:val="14"/>
                <w:szCs w:val="14"/>
                <w:color w:val="auto"/>
              </w:rPr>
            </w:pPr>
          </w:p>
        </w:tc>
        <w:tc>
          <w:tcPr>
            <w:tcW w:w="8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318"/>
        </w:trPr>
        <w:tc>
          <w:tcPr>
            <w:tcW w:w="7120" w:type="dxa"/>
            <w:vAlign w:val="bottom"/>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500" w:type="dxa"/>
            <w:vAlign w:val="bottom"/>
            <w:tcBorders>
              <w:bottom w:val="single" w:sz="8" w:color="auto"/>
            </w:tcBorders>
            <w:gridSpan w:val="3"/>
          </w:tcPr>
          <w:p>
            <w:pPr>
              <w:ind w:left="100"/>
              <w:spacing w:after="0"/>
              <w:rPr>
                <w:sz w:val="20"/>
                <w:szCs w:val="20"/>
                <w:color w:val="auto"/>
              </w:rPr>
            </w:pPr>
            <w:r>
              <w:rPr>
                <w:rFonts w:ascii="Arial" w:cs="Arial" w:eastAsia="Arial" w:hAnsi="Arial"/>
                <w:sz w:val="13"/>
                <w:szCs w:val="13"/>
                <w:b w:val="1"/>
                <w:bCs w:val="1"/>
                <w:color w:val="auto"/>
              </w:rPr>
              <w:t>As of December 31,</w:t>
            </w:r>
          </w:p>
        </w:tc>
        <w:tc>
          <w:tcPr>
            <w:tcW w:w="28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154"/>
        </w:trPr>
        <w:tc>
          <w:tcPr>
            <w:tcW w:w="7120" w:type="dxa"/>
            <w:vAlign w:val="bottom"/>
          </w:tcPr>
          <w:p>
            <w:pPr>
              <w:spacing w:after="0"/>
              <w:rPr>
                <w:sz w:val="13"/>
                <w:szCs w:val="13"/>
                <w:color w:val="auto"/>
              </w:rPr>
            </w:pPr>
          </w:p>
        </w:tc>
        <w:tc>
          <w:tcPr>
            <w:tcW w:w="280" w:type="dxa"/>
            <w:vAlign w:val="bottom"/>
            <w:tcBorders>
              <w:bottom w:val="single" w:sz="8" w:color="auto"/>
            </w:tcBorders>
          </w:tcPr>
          <w:p>
            <w:pPr>
              <w:spacing w:after="0"/>
              <w:rPr>
                <w:sz w:val="13"/>
                <w:szCs w:val="13"/>
                <w:color w:val="auto"/>
              </w:rPr>
            </w:pPr>
          </w:p>
        </w:tc>
        <w:tc>
          <w:tcPr>
            <w:tcW w:w="1000" w:type="dxa"/>
            <w:vAlign w:val="bottom"/>
            <w:tcBorders>
              <w:bottom w:val="single" w:sz="8" w:color="auto"/>
            </w:tcBorders>
          </w:tcPr>
          <w:p>
            <w:pPr>
              <w:jc w:val="right"/>
              <w:ind w:right="456"/>
              <w:spacing w:after="0"/>
              <w:rPr>
                <w:sz w:val="20"/>
                <w:szCs w:val="20"/>
                <w:color w:val="auto"/>
              </w:rPr>
            </w:pPr>
            <w:r>
              <w:rPr>
                <w:rFonts w:ascii="Arial" w:cs="Arial" w:eastAsia="Arial" w:hAnsi="Arial"/>
                <w:sz w:val="13"/>
                <w:szCs w:val="13"/>
                <w:b w:val="1"/>
                <w:bCs w:val="1"/>
                <w:color w:val="auto"/>
              </w:rPr>
              <w:t>2018</w:t>
            </w:r>
          </w:p>
        </w:tc>
        <w:tc>
          <w:tcPr>
            <w:tcW w:w="220" w:type="dxa"/>
            <w:vAlign w:val="bottom"/>
            <w:tcBorders>
              <w:bottom w:val="single" w:sz="8" w:color="auto"/>
            </w:tcBorders>
          </w:tcPr>
          <w:p>
            <w:pPr>
              <w:spacing w:after="0"/>
              <w:rPr>
                <w:sz w:val="13"/>
                <w:szCs w:val="13"/>
                <w:color w:val="auto"/>
              </w:rPr>
            </w:pPr>
          </w:p>
        </w:tc>
        <w:tc>
          <w:tcPr>
            <w:tcW w:w="440" w:type="dxa"/>
            <w:vAlign w:val="bottom"/>
            <w:tcBorders>
              <w:bottom w:val="single" w:sz="8" w:color="auto"/>
            </w:tcBorders>
          </w:tcPr>
          <w:p>
            <w:pPr>
              <w:spacing w:after="0"/>
              <w:rPr>
                <w:sz w:val="13"/>
                <w:szCs w:val="13"/>
                <w:color w:val="auto"/>
              </w:rPr>
            </w:pPr>
          </w:p>
        </w:tc>
        <w:tc>
          <w:tcPr>
            <w:tcW w:w="840" w:type="dxa"/>
            <w:vAlign w:val="bottom"/>
            <w:tcBorders>
              <w:bottom w:val="single" w:sz="8" w:color="auto"/>
            </w:tcBorders>
          </w:tcPr>
          <w:p>
            <w:pPr>
              <w:jc w:val="right"/>
              <w:ind w:right="456"/>
              <w:spacing w:after="0"/>
              <w:rPr>
                <w:sz w:val="20"/>
                <w:szCs w:val="20"/>
                <w:color w:val="auto"/>
              </w:rPr>
            </w:pPr>
            <w:r>
              <w:rPr>
                <w:rFonts w:ascii="Arial" w:cs="Arial" w:eastAsia="Arial" w:hAnsi="Arial"/>
                <w:sz w:val="13"/>
                <w:szCs w:val="13"/>
                <w:b w:val="1"/>
                <w:bCs w:val="1"/>
                <w:color w:val="auto"/>
              </w:rPr>
              <w:t>2017</w:t>
            </w:r>
          </w:p>
        </w:tc>
        <w:tc>
          <w:tcPr>
            <w:tcW w:w="220" w:type="dxa"/>
            <w:vAlign w:val="bottom"/>
            <w:tcBorders>
              <w:bottom w:val="single" w:sz="8" w:color="auto"/>
            </w:tcBorders>
          </w:tcPr>
          <w:p>
            <w:pPr>
              <w:spacing w:after="0"/>
              <w:rPr>
                <w:sz w:val="13"/>
                <w:szCs w:val="13"/>
                <w:color w:val="auto"/>
              </w:rPr>
            </w:pPr>
          </w:p>
        </w:tc>
        <w:tc>
          <w:tcPr>
            <w:tcW w:w="280" w:type="dxa"/>
            <w:vAlign w:val="bottom"/>
            <w:tcBorders>
              <w:bottom w:val="single" w:sz="8" w:color="auto"/>
            </w:tcBorders>
          </w:tcPr>
          <w:p>
            <w:pPr>
              <w:spacing w:after="0"/>
              <w:rPr>
                <w:sz w:val="13"/>
                <w:szCs w:val="13"/>
                <w:color w:val="auto"/>
              </w:rPr>
            </w:pPr>
          </w:p>
        </w:tc>
        <w:tc>
          <w:tcPr>
            <w:tcW w:w="960" w:type="dxa"/>
            <w:vAlign w:val="bottom"/>
            <w:tcBorders>
              <w:bottom w:val="single" w:sz="8" w:color="auto"/>
            </w:tcBorders>
          </w:tcPr>
          <w:p>
            <w:pPr>
              <w:jc w:val="right"/>
              <w:ind w:right="436"/>
              <w:spacing w:after="0"/>
              <w:rPr>
                <w:sz w:val="20"/>
                <w:szCs w:val="20"/>
                <w:color w:val="auto"/>
              </w:rPr>
            </w:pPr>
            <w:r>
              <w:rPr>
                <w:rFonts w:ascii="Arial" w:cs="Arial" w:eastAsia="Arial" w:hAnsi="Arial"/>
                <w:sz w:val="13"/>
                <w:szCs w:val="13"/>
                <w:b w:val="1"/>
                <w:bCs w:val="1"/>
                <w:color w:val="auto"/>
              </w:rPr>
              <w:t>2016</w:t>
            </w: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44"/>
        </w:trPr>
        <w:tc>
          <w:tcPr>
            <w:tcW w:w="71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40" w:type="dxa"/>
            <w:vAlign w:val="bottom"/>
          </w:tcPr>
          <w:p>
            <w:pPr>
              <w:jc w:val="right"/>
              <w:spacing w:after="0" w:line="144" w:lineRule="exact"/>
              <w:rPr>
                <w:sz w:val="20"/>
                <w:szCs w:val="20"/>
                <w:color w:val="auto"/>
              </w:rPr>
            </w:pPr>
            <w:r>
              <w:rPr>
                <w:rFonts w:ascii="Arial" w:cs="Arial" w:eastAsia="Arial" w:hAnsi="Arial"/>
                <w:sz w:val="13"/>
                <w:szCs w:val="13"/>
                <w:b w:val="1"/>
                <w:bCs w:val="1"/>
                <w:color w:val="auto"/>
              </w:rPr>
              <w:t>(in $</w:t>
            </w:r>
          </w:p>
        </w:tc>
        <w:tc>
          <w:tcPr>
            <w:tcW w:w="1060" w:type="dxa"/>
            <w:vAlign w:val="bottom"/>
            <w:gridSpan w:val="2"/>
          </w:tcPr>
          <w:p>
            <w:pPr>
              <w:ind w:left="20"/>
              <w:spacing w:after="0" w:line="144" w:lineRule="exact"/>
              <w:rPr>
                <w:sz w:val="20"/>
                <w:szCs w:val="20"/>
                <w:color w:val="auto"/>
              </w:rPr>
            </w:pPr>
            <w:r>
              <w:rPr>
                <w:rFonts w:ascii="Arial" w:cs="Arial" w:eastAsia="Arial" w:hAnsi="Arial"/>
                <w:sz w:val="13"/>
                <w:szCs w:val="13"/>
                <w:b w:val="1"/>
                <w:bCs w:val="1"/>
                <w:color w:val="auto"/>
              </w:rPr>
              <w:t>thousands)</w:t>
            </w:r>
          </w:p>
        </w:tc>
        <w:tc>
          <w:tcPr>
            <w:tcW w:w="28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Credit-impaired loans:</w:t>
            </w:r>
          </w:p>
        </w:tc>
        <w:tc>
          <w:tcPr>
            <w:tcW w:w="280" w:type="dxa"/>
            <w:vAlign w:val="bottom"/>
            <w:shd w:val="clear" w:color="auto" w:fill="CCEEFF"/>
          </w:tcPr>
          <w:p>
            <w:pPr>
              <w:spacing w:after="0"/>
              <w:rPr>
                <w:sz w:val="13"/>
                <w:szCs w:val="13"/>
                <w:color w:val="auto"/>
              </w:rPr>
            </w:pPr>
          </w:p>
        </w:tc>
        <w:tc>
          <w:tcPr>
            <w:tcW w:w="10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96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r>
      <w:tr>
        <w:trPr>
          <w:trHeight w:val="154"/>
        </w:trPr>
        <w:tc>
          <w:tcPr>
            <w:tcW w:w="7120" w:type="dxa"/>
            <w:vAlign w:val="bottom"/>
          </w:tcPr>
          <w:p>
            <w:pPr>
              <w:ind w:left="120"/>
              <w:spacing w:after="0"/>
              <w:rPr>
                <w:sz w:val="20"/>
                <w:szCs w:val="20"/>
                <w:color w:val="auto"/>
              </w:rPr>
            </w:pPr>
            <w:r>
              <w:rPr>
                <w:rFonts w:ascii="Arial" w:cs="Arial" w:eastAsia="Arial" w:hAnsi="Arial"/>
                <w:sz w:val="13"/>
                <w:szCs w:val="13"/>
                <w:color w:val="auto"/>
              </w:rPr>
              <w:t>Brazil:</w:t>
            </w:r>
          </w:p>
        </w:tc>
        <w:tc>
          <w:tcPr>
            <w:tcW w:w="28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44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7120" w:type="dxa"/>
            <w:vAlign w:val="bottom"/>
            <w:shd w:val="clear" w:color="auto" w:fill="CCEEFF"/>
          </w:tcPr>
          <w:p>
            <w:pPr>
              <w:ind w:left="220"/>
              <w:spacing w:after="0"/>
              <w:rPr>
                <w:sz w:val="20"/>
                <w:szCs w:val="20"/>
                <w:color w:val="auto"/>
              </w:rPr>
            </w:pPr>
            <w:r>
              <w:rPr>
                <w:rFonts w:ascii="Arial" w:cs="Arial" w:eastAsia="Arial" w:hAnsi="Arial"/>
                <w:sz w:val="13"/>
                <w:szCs w:val="13"/>
                <w:color w:val="auto"/>
              </w:rPr>
              <w:t>Private corporations</w:t>
            </w:r>
          </w:p>
        </w:tc>
        <w:tc>
          <w:tcPr>
            <w:tcW w:w="280" w:type="dxa"/>
            <w:vAlign w:val="bottom"/>
            <w:shd w:val="clear" w:color="auto" w:fill="CCEEFF"/>
          </w:tcPr>
          <w:p>
            <w:pPr>
              <w:jc w:val="right"/>
              <w:ind w:right="172"/>
              <w:spacing w:after="0"/>
              <w:rPr>
                <w:sz w:val="20"/>
                <w:szCs w:val="20"/>
                <w:color w:val="auto"/>
              </w:rPr>
            </w:pPr>
            <w:r>
              <w:rPr>
                <w:rFonts w:ascii="Arial" w:cs="Arial" w:eastAsia="Arial" w:hAnsi="Arial"/>
                <w:sz w:val="10"/>
                <w:szCs w:val="10"/>
                <w:color w:val="auto"/>
                <w:w w:val="71"/>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61,844</w:t>
            </w:r>
          </w:p>
        </w:tc>
        <w:tc>
          <w:tcPr>
            <w:tcW w:w="440" w:type="dxa"/>
            <w:vAlign w:val="bottom"/>
            <w:shd w:val="clear" w:color="auto" w:fill="CCEEFF"/>
          </w:tcPr>
          <w:p>
            <w:pPr>
              <w:jc w:val="right"/>
              <w:ind w:right="324"/>
              <w:spacing w:after="0"/>
              <w:rPr>
                <w:sz w:val="20"/>
                <w:szCs w:val="20"/>
                <w:color w:val="auto"/>
              </w:rPr>
            </w:pPr>
            <w:r>
              <w:rPr>
                <w:rFonts w:ascii="Arial" w:cs="Arial" w:eastAsia="Arial" w:hAnsi="Arial"/>
                <w:sz w:val="10"/>
                <w:szCs w:val="10"/>
                <w:color w:val="auto"/>
                <w:w w:val="71"/>
              </w:rPr>
              <w:t>$</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54,275</w:t>
            </w:r>
          </w:p>
        </w:tc>
        <w:tc>
          <w:tcPr>
            <w:tcW w:w="280" w:type="dxa"/>
            <w:vAlign w:val="bottom"/>
            <w:shd w:val="clear" w:color="auto" w:fill="CCEEFF"/>
          </w:tcPr>
          <w:p>
            <w:pPr>
              <w:jc w:val="right"/>
              <w:ind w:right="172"/>
              <w:spacing w:after="0"/>
              <w:rPr>
                <w:sz w:val="20"/>
                <w:szCs w:val="20"/>
                <w:color w:val="auto"/>
              </w:rPr>
            </w:pPr>
            <w:r>
              <w:rPr>
                <w:rFonts w:ascii="Arial" w:cs="Arial" w:eastAsia="Arial" w:hAnsi="Arial"/>
                <w:sz w:val="10"/>
                <w:szCs w:val="10"/>
                <w:color w:val="auto"/>
                <w:w w:val="71"/>
              </w:rPr>
              <w:t>$</w:t>
            </w: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49,364</w:t>
            </w:r>
          </w:p>
        </w:tc>
        <w:tc>
          <w:tcPr>
            <w:tcW w:w="100" w:type="dxa"/>
            <w:vAlign w:val="bottom"/>
            <w:shd w:val="clear" w:color="auto" w:fill="CCEEFF"/>
          </w:tcPr>
          <w:p>
            <w:pPr>
              <w:spacing w:after="0"/>
              <w:rPr>
                <w:sz w:val="13"/>
                <w:szCs w:val="13"/>
                <w:color w:val="auto"/>
              </w:rPr>
            </w:pPr>
          </w:p>
        </w:tc>
      </w:tr>
      <w:tr>
        <w:trPr>
          <w:trHeight w:val="154"/>
        </w:trPr>
        <w:tc>
          <w:tcPr>
            <w:tcW w:w="7120" w:type="dxa"/>
            <w:vAlign w:val="bottom"/>
          </w:tcPr>
          <w:p>
            <w:pPr>
              <w:ind w:left="120"/>
              <w:spacing w:after="0"/>
              <w:rPr>
                <w:sz w:val="20"/>
                <w:szCs w:val="20"/>
                <w:color w:val="auto"/>
              </w:rPr>
            </w:pPr>
            <w:r>
              <w:rPr>
                <w:rFonts w:ascii="Arial" w:cs="Arial" w:eastAsia="Arial" w:hAnsi="Arial"/>
                <w:sz w:val="13"/>
                <w:szCs w:val="13"/>
                <w:color w:val="auto"/>
              </w:rPr>
              <w:t>Argentina:</w:t>
            </w:r>
          </w:p>
        </w:tc>
        <w:tc>
          <w:tcPr>
            <w:tcW w:w="28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44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7120" w:type="dxa"/>
            <w:vAlign w:val="bottom"/>
            <w:shd w:val="clear" w:color="auto" w:fill="CCEEFF"/>
          </w:tcPr>
          <w:p>
            <w:pPr>
              <w:ind w:left="220"/>
              <w:spacing w:after="0"/>
              <w:rPr>
                <w:sz w:val="20"/>
                <w:szCs w:val="20"/>
                <w:color w:val="auto"/>
              </w:rPr>
            </w:pPr>
            <w:r>
              <w:rPr>
                <w:rFonts w:ascii="Arial" w:cs="Arial" w:eastAsia="Arial" w:hAnsi="Arial"/>
                <w:sz w:val="13"/>
                <w:szCs w:val="13"/>
                <w:color w:val="auto"/>
              </w:rPr>
              <w:t>Private corporations</w:t>
            </w: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2,857</w:t>
            </w:r>
          </w:p>
        </w:tc>
        <w:tc>
          <w:tcPr>
            <w:tcW w:w="44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28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w:t>
            </w:r>
          </w:p>
        </w:tc>
        <w:tc>
          <w:tcPr>
            <w:tcW w:w="100" w:type="dxa"/>
            <w:vAlign w:val="bottom"/>
            <w:shd w:val="clear" w:color="auto" w:fill="CCEEFF"/>
          </w:tcPr>
          <w:p>
            <w:pPr>
              <w:spacing w:after="0"/>
              <w:rPr>
                <w:sz w:val="13"/>
                <w:szCs w:val="13"/>
                <w:color w:val="auto"/>
              </w:rPr>
            </w:pPr>
          </w:p>
        </w:tc>
      </w:tr>
      <w:tr>
        <w:trPr>
          <w:trHeight w:val="154"/>
        </w:trPr>
        <w:tc>
          <w:tcPr>
            <w:tcW w:w="7120" w:type="dxa"/>
            <w:vAlign w:val="bottom"/>
          </w:tcPr>
          <w:p>
            <w:pPr>
              <w:ind w:left="120"/>
              <w:spacing w:after="0"/>
              <w:rPr>
                <w:sz w:val="20"/>
                <w:szCs w:val="20"/>
                <w:color w:val="auto"/>
              </w:rPr>
            </w:pPr>
            <w:r>
              <w:rPr>
                <w:rFonts w:ascii="Arial" w:cs="Arial" w:eastAsia="Arial" w:hAnsi="Arial"/>
                <w:sz w:val="13"/>
                <w:szCs w:val="13"/>
                <w:color w:val="auto"/>
              </w:rPr>
              <w:t>Panama:</w:t>
            </w:r>
          </w:p>
        </w:tc>
        <w:tc>
          <w:tcPr>
            <w:tcW w:w="28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44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7120" w:type="dxa"/>
            <w:vAlign w:val="bottom"/>
            <w:shd w:val="clear" w:color="auto" w:fill="CCEEFF"/>
          </w:tcPr>
          <w:p>
            <w:pPr>
              <w:ind w:left="220"/>
              <w:spacing w:after="0"/>
              <w:rPr>
                <w:sz w:val="20"/>
                <w:szCs w:val="20"/>
                <w:color w:val="auto"/>
              </w:rPr>
            </w:pPr>
            <w:r>
              <w:rPr>
                <w:rFonts w:ascii="Arial" w:cs="Arial" w:eastAsia="Arial" w:hAnsi="Arial"/>
                <w:sz w:val="13"/>
                <w:szCs w:val="13"/>
                <w:color w:val="auto"/>
              </w:rPr>
              <w:t>Private corporations</w:t>
            </w: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44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28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12,000</w:t>
            </w:r>
          </w:p>
        </w:tc>
        <w:tc>
          <w:tcPr>
            <w:tcW w:w="100" w:type="dxa"/>
            <w:vAlign w:val="bottom"/>
            <w:shd w:val="clear" w:color="auto" w:fill="CCEEFF"/>
          </w:tcPr>
          <w:p>
            <w:pPr>
              <w:spacing w:after="0"/>
              <w:rPr>
                <w:sz w:val="13"/>
                <w:szCs w:val="13"/>
                <w:color w:val="auto"/>
              </w:rPr>
            </w:pPr>
          </w:p>
        </w:tc>
      </w:tr>
      <w:tr>
        <w:trPr>
          <w:trHeight w:val="154"/>
        </w:trPr>
        <w:tc>
          <w:tcPr>
            <w:tcW w:w="7120" w:type="dxa"/>
            <w:vAlign w:val="bottom"/>
          </w:tcPr>
          <w:p>
            <w:pPr>
              <w:ind w:left="120"/>
              <w:spacing w:after="0"/>
              <w:rPr>
                <w:sz w:val="20"/>
                <w:szCs w:val="20"/>
                <w:color w:val="auto"/>
              </w:rPr>
            </w:pPr>
            <w:r>
              <w:rPr>
                <w:rFonts w:ascii="Arial" w:cs="Arial" w:eastAsia="Arial" w:hAnsi="Arial"/>
                <w:sz w:val="13"/>
                <w:szCs w:val="13"/>
                <w:color w:val="auto"/>
              </w:rPr>
              <w:t>Paraguay:</w:t>
            </w:r>
          </w:p>
        </w:tc>
        <w:tc>
          <w:tcPr>
            <w:tcW w:w="28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44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7120" w:type="dxa"/>
            <w:vAlign w:val="bottom"/>
            <w:shd w:val="clear" w:color="auto" w:fill="CCEEFF"/>
          </w:tcPr>
          <w:p>
            <w:pPr>
              <w:ind w:left="220"/>
              <w:spacing w:after="0"/>
              <w:rPr>
                <w:sz w:val="20"/>
                <w:szCs w:val="20"/>
                <w:color w:val="auto"/>
              </w:rPr>
            </w:pPr>
            <w:r>
              <w:rPr>
                <w:rFonts w:ascii="Arial" w:cs="Arial" w:eastAsia="Arial" w:hAnsi="Arial"/>
                <w:sz w:val="13"/>
                <w:szCs w:val="13"/>
                <w:color w:val="auto"/>
              </w:rPr>
              <w:t>Private corporations</w:t>
            </w: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44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4,484</w:t>
            </w:r>
          </w:p>
        </w:tc>
        <w:tc>
          <w:tcPr>
            <w:tcW w:w="28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w:t>
            </w:r>
          </w:p>
        </w:tc>
        <w:tc>
          <w:tcPr>
            <w:tcW w:w="100" w:type="dxa"/>
            <w:vAlign w:val="bottom"/>
            <w:shd w:val="clear" w:color="auto" w:fill="CCEEFF"/>
          </w:tcPr>
          <w:p>
            <w:pPr>
              <w:spacing w:after="0"/>
              <w:rPr>
                <w:sz w:val="13"/>
                <w:szCs w:val="13"/>
                <w:color w:val="auto"/>
              </w:rPr>
            </w:pPr>
          </w:p>
        </w:tc>
      </w:tr>
      <w:tr>
        <w:trPr>
          <w:trHeight w:val="154"/>
        </w:trPr>
        <w:tc>
          <w:tcPr>
            <w:tcW w:w="7120" w:type="dxa"/>
            <w:vAlign w:val="bottom"/>
          </w:tcPr>
          <w:p>
            <w:pPr>
              <w:ind w:left="120"/>
              <w:spacing w:after="0"/>
              <w:rPr>
                <w:sz w:val="20"/>
                <w:szCs w:val="20"/>
                <w:color w:val="auto"/>
              </w:rPr>
            </w:pPr>
            <w:r>
              <w:rPr>
                <w:rFonts w:ascii="Arial" w:cs="Arial" w:eastAsia="Arial" w:hAnsi="Arial"/>
                <w:sz w:val="13"/>
                <w:szCs w:val="13"/>
                <w:color w:val="auto"/>
              </w:rPr>
              <w:t>Uruguay:</w:t>
            </w:r>
          </w:p>
        </w:tc>
        <w:tc>
          <w:tcPr>
            <w:tcW w:w="28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44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64"/>
        </w:trPr>
        <w:tc>
          <w:tcPr>
            <w:tcW w:w="7120" w:type="dxa"/>
            <w:vAlign w:val="bottom"/>
            <w:shd w:val="clear" w:color="auto" w:fill="CCEEFF"/>
          </w:tcPr>
          <w:p>
            <w:pPr>
              <w:ind w:left="220"/>
              <w:spacing w:after="0"/>
              <w:rPr>
                <w:sz w:val="20"/>
                <w:szCs w:val="20"/>
                <w:color w:val="auto"/>
              </w:rPr>
            </w:pPr>
            <w:r>
              <w:rPr>
                <w:rFonts w:ascii="Arial" w:cs="Arial" w:eastAsia="Arial" w:hAnsi="Arial"/>
                <w:sz w:val="13"/>
                <w:szCs w:val="13"/>
                <w:color w:val="auto"/>
              </w:rPr>
              <w:t>Private corporations</w:t>
            </w:r>
          </w:p>
        </w:tc>
        <w:tc>
          <w:tcPr>
            <w:tcW w:w="280" w:type="dxa"/>
            <w:vAlign w:val="bottom"/>
            <w:shd w:val="clear" w:color="auto" w:fill="CCEEFF"/>
          </w:tcPr>
          <w:p>
            <w:pPr>
              <w:spacing w:after="0"/>
              <w:rPr>
                <w:sz w:val="14"/>
                <w:szCs w:val="14"/>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440" w:type="dxa"/>
            <w:vAlign w:val="bottom"/>
            <w:shd w:val="clear" w:color="auto" w:fill="CCEEFF"/>
          </w:tcPr>
          <w:p>
            <w:pPr>
              <w:spacing w:after="0"/>
              <w:rPr>
                <w:sz w:val="14"/>
                <w:szCs w:val="14"/>
                <w:color w:val="auto"/>
              </w:rPr>
            </w:pP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28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4,000</w:t>
            </w:r>
          </w:p>
        </w:tc>
        <w:tc>
          <w:tcPr>
            <w:tcW w:w="100" w:type="dxa"/>
            <w:vAlign w:val="bottom"/>
            <w:shd w:val="clear" w:color="auto" w:fill="CCEEFF"/>
          </w:tcPr>
          <w:p>
            <w:pPr>
              <w:spacing w:after="0"/>
              <w:rPr>
                <w:sz w:val="14"/>
                <w:szCs w:val="14"/>
                <w:color w:val="auto"/>
              </w:rPr>
            </w:pPr>
          </w:p>
        </w:tc>
      </w:tr>
      <w:tr>
        <w:trPr>
          <w:trHeight w:val="162"/>
        </w:trPr>
        <w:tc>
          <w:tcPr>
            <w:tcW w:w="7120" w:type="dxa"/>
            <w:vAlign w:val="bottom"/>
          </w:tcPr>
          <w:p>
            <w:pPr>
              <w:spacing w:after="0" w:line="143" w:lineRule="exact"/>
              <w:rPr>
                <w:sz w:val="20"/>
                <w:szCs w:val="20"/>
                <w:color w:val="auto"/>
              </w:rPr>
            </w:pPr>
            <w:r>
              <w:rPr>
                <w:rFonts w:ascii="Arial" w:cs="Arial" w:eastAsia="Arial" w:hAnsi="Arial"/>
                <w:sz w:val="13"/>
                <w:szCs w:val="13"/>
                <w:color w:val="auto"/>
              </w:rPr>
              <w:t>Total credit-impaired loans</w:t>
            </w:r>
          </w:p>
        </w:tc>
        <w:tc>
          <w:tcPr>
            <w:tcW w:w="280" w:type="dxa"/>
            <w:vAlign w:val="bottom"/>
            <w:tcBorders>
              <w:top w:val="single" w:sz="8" w:color="auto"/>
              <w:bottom w:val="single" w:sz="8" w:color="auto"/>
            </w:tcBorders>
          </w:tcPr>
          <w:p>
            <w:pPr>
              <w:jc w:val="right"/>
              <w:ind w:right="172"/>
              <w:spacing w:after="0"/>
              <w:rPr>
                <w:sz w:val="20"/>
                <w:szCs w:val="20"/>
                <w:color w:val="auto"/>
              </w:rPr>
            </w:pPr>
            <w:r>
              <w:rPr>
                <w:rFonts w:ascii="Arial" w:cs="Arial" w:eastAsia="Arial" w:hAnsi="Arial"/>
                <w:sz w:val="10"/>
                <w:szCs w:val="10"/>
                <w:b w:val="1"/>
                <w:bCs w:val="1"/>
                <w:color w:val="auto"/>
                <w:w w:val="71"/>
              </w:rPr>
              <w:t>$</w:t>
            </w: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64,701</w:t>
            </w:r>
          </w:p>
        </w:tc>
        <w:tc>
          <w:tcPr>
            <w:tcW w:w="220" w:type="dxa"/>
            <w:vAlign w:val="bottom"/>
          </w:tcPr>
          <w:p>
            <w:pPr>
              <w:spacing w:after="0"/>
              <w:rPr>
                <w:sz w:val="14"/>
                <w:szCs w:val="14"/>
                <w:color w:val="auto"/>
              </w:rPr>
            </w:pPr>
          </w:p>
        </w:tc>
        <w:tc>
          <w:tcPr>
            <w:tcW w:w="440" w:type="dxa"/>
            <w:vAlign w:val="bottom"/>
            <w:tcBorders>
              <w:top w:val="single" w:sz="8" w:color="auto"/>
              <w:bottom w:val="single" w:sz="8" w:color="auto"/>
            </w:tcBorders>
          </w:tcPr>
          <w:p>
            <w:pPr>
              <w:jc w:val="right"/>
              <w:ind w:right="324"/>
              <w:spacing w:after="0"/>
              <w:rPr>
                <w:sz w:val="20"/>
                <w:szCs w:val="20"/>
                <w:color w:val="auto"/>
              </w:rPr>
            </w:pPr>
            <w:r>
              <w:rPr>
                <w:rFonts w:ascii="Arial" w:cs="Arial" w:eastAsia="Arial" w:hAnsi="Arial"/>
                <w:sz w:val="10"/>
                <w:szCs w:val="10"/>
                <w:b w:val="1"/>
                <w:bCs w:val="1"/>
                <w:color w:val="auto"/>
                <w:w w:val="71"/>
              </w:rPr>
              <w:t>$</w:t>
            </w: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58,759</w:t>
            </w:r>
          </w:p>
        </w:tc>
        <w:tc>
          <w:tcPr>
            <w:tcW w:w="220" w:type="dxa"/>
            <w:vAlign w:val="bottom"/>
          </w:tcPr>
          <w:p>
            <w:pPr>
              <w:spacing w:after="0"/>
              <w:rPr>
                <w:sz w:val="14"/>
                <w:szCs w:val="14"/>
                <w:color w:val="auto"/>
              </w:rPr>
            </w:pPr>
          </w:p>
        </w:tc>
        <w:tc>
          <w:tcPr>
            <w:tcW w:w="280" w:type="dxa"/>
            <w:vAlign w:val="bottom"/>
            <w:tcBorders>
              <w:top w:val="single" w:sz="8" w:color="auto"/>
              <w:bottom w:val="single" w:sz="8" w:color="auto"/>
            </w:tcBorders>
          </w:tcPr>
          <w:p>
            <w:pPr>
              <w:jc w:val="right"/>
              <w:ind w:right="172"/>
              <w:spacing w:after="0"/>
              <w:rPr>
                <w:sz w:val="20"/>
                <w:szCs w:val="20"/>
                <w:color w:val="auto"/>
              </w:rPr>
            </w:pPr>
            <w:r>
              <w:rPr>
                <w:rFonts w:ascii="Arial" w:cs="Arial" w:eastAsia="Arial" w:hAnsi="Arial"/>
                <w:sz w:val="10"/>
                <w:szCs w:val="10"/>
                <w:b w:val="1"/>
                <w:bCs w:val="1"/>
                <w:color w:val="auto"/>
                <w:w w:val="71"/>
              </w:rPr>
              <w:t>$</w:t>
            </w: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65,364</w:t>
            </w:r>
          </w:p>
        </w:tc>
        <w:tc>
          <w:tcPr>
            <w:tcW w:w="2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bl>
    <w:p>
      <w:pPr>
        <w:spacing w:after="0" w:line="145" w:lineRule="exact"/>
        <w:rPr>
          <w:sz w:val="20"/>
          <w:szCs w:val="20"/>
          <w:color w:val="auto"/>
        </w:rPr>
      </w:pPr>
    </w:p>
    <w:p>
      <w:pPr>
        <w:jc w:val="both"/>
        <w:spacing w:after="0" w:line="274" w:lineRule="auto"/>
        <w:rPr>
          <w:sz w:val="20"/>
          <w:szCs w:val="20"/>
          <w:color w:val="auto"/>
        </w:rPr>
      </w:pPr>
      <w:r>
        <w:rPr>
          <w:rFonts w:ascii="Arial" w:cs="Arial" w:eastAsia="Arial" w:hAnsi="Arial"/>
          <w:sz w:val="12"/>
          <w:szCs w:val="12"/>
          <w:color w:val="221E1F"/>
        </w:rPr>
        <w:t>As of December 31, 2018, the Bank had credit-impaired loans of $65 million (or 1.12% of the Loan Portfolio), compared to $59 million (or 1.07% of the Loan Portfolio) as of December 31, 2017 and $65 million (or 1.09% of the Loan Portfolio) as of December 31, 2016. Credit-impaired loans increased in 2018 mainly due to the net effect of (i) the classification of loans totaling $65 million as credit-impaired, $62 million of which corresponded to a loan in the Brazilian sugar sector that significantly deteriorated during 2018 due to worsening international sugar industry fundamentals which led to a substantial decrease in sugar prices to levels well below the worldwide marginal cost of production, combined with the risk involved in the borrower’s complex restructuring process; and (ii) finalized credit restructuring agreements and sales of loans classified as credit-impaired, which led to loan derecognitions totaling $21 million and principal balance write-offs totaling $38 million. Including principal and accrued interest, total loan write-offs against individually allocated credit allowances amounted to $42 million in 2018. As of December 31, 2018, the $62 million credit-impaired loan in the Brazilian sugar sector discussed above accounted for 96% of the Bank’s total impaired loans classified as Stage 3 (under accounting standard IFRS 9) with individually assigned allowance for credit losses.</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color w:val="221E1F"/>
        </w:rPr>
        <w:t>As of the end of each reported period, the Bank did not have, other than those specified above, accruing loans with principal or interest payments contractually past due by 90 days or more.</w:t>
      </w:r>
    </w:p>
    <w:p>
      <w:pPr>
        <w:spacing w:after="0" w:line="307"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59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61" w:name="page62"/>
    <w:bookmarkEnd w:id="61"/>
    <w:p>
      <w:pPr>
        <w:spacing w:after="0"/>
        <w:rPr>
          <w:sz w:val="20"/>
          <w:szCs w:val="20"/>
          <w:color w:val="auto"/>
        </w:rPr>
      </w:pPr>
      <w:r>
        <w:rPr>
          <w:rFonts w:ascii="Arial" w:cs="Arial" w:eastAsia="Arial" w:hAnsi="Arial"/>
          <w:sz w:val="13"/>
          <w:szCs w:val="13"/>
          <w:b w:val="1"/>
          <w:bCs w:val="1"/>
          <w:i w:val="1"/>
          <w:iCs w:val="1"/>
          <w:color w:val="auto"/>
        </w:rPr>
        <w:t>Potential problem loans</w:t>
      </w:r>
    </w:p>
    <w:p>
      <w:pPr>
        <w:spacing w:after="0" w:line="159" w:lineRule="exact"/>
        <w:rPr>
          <w:sz w:val="20"/>
          <w:szCs w:val="20"/>
          <w:color w:val="auto"/>
        </w:rPr>
      </w:pPr>
    </w:p>
    <w:p>
      <w:pPr>
        <w:jc w:val="both"/>
        <w:ind w:right="20"/>
        <w:spacing w:after="0" w:line="254" w:lineRule="auto"/>
        <w:rPr>
          <w:sz w:val="20"/>
          <w:szCs w:val="20"/>
          <w:color w:val="auto"/>
        </w:rPr>
      </w:pPr>
      <w:r>
        <w:rPr>
          <w:rFonts w:ascii="Arial" w:cs="Arial" w:eastAsia="Arial" w:hAnsi="Arial"/>
          <w:sz w:val="13"/>
          <w:szCs w:val="13"/>
          <w:color w:val="auto"/>
        </w:rPr>
        <w:t>In order to carefully monitor the credit risk associated with clients, the Bank has established quarterly reports to identify potential problem loans, which are then included on a watchlist. In general, these are loans due by clients that could face difficulties meeting their repayment obligations, but who otherwise have had a good payment history. These potential difficulties could be related to factors such as a decline in economic activity, financial weakness or any other event that could affect the client’s business. Potential problem loans are primarily those rated as “6” pursuant to our risk rating. As of December 31, 2018, the exposure of six clients for a total of $53.4 million, or 0.9% of total loans, were classified as potential problem loans under these guidelines.</w:t>
      </w:r>
    </w:p>
    <w:p>
      <w:pPr>
        <w:spacing w:after="0" w:line="137"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Allowance for losses on financial instruments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The following table sets forth information regarding the Bank’s allowance for losses with respect to the total Commercial Portfolio outstanding as of December 31 of each year:</w:t>
      </w:r>
    </w:p>
    <w:p>
      <w:pPr>
        <w:spacing w:after="0" w:line="164"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4140" w:type="dxa"/>
            <w:vAlign w:val="bottom"/>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40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900" w:type="dxa"/>
            <w:vAlign w:val="bottom"/>
            <w:tcBorders>
              <w:bottom w:val="single" w:sz="8" w:color="auto"/>
            </w:tcBorders>
          </w:tcPr>
          <w:p>
            <w:pPr>
              <w:spacing w:after="0"/>
              <w:rPr>
                <w:sz w:val="14"/>
                <w:szCs w:val="14"/>
                <w:color w:val="auto"/>
              </w:rPr>
            </w:pPr>
          </w:p>
        </w:tc>
        <w:tc>
          <w:tcPr>
            <w:tcW w:w="38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480" w:type="dxa"/>
            <w:vAlign w:val="bottom"/>
            <w:tcBorders>
              <w:bottom w:val="single" w:sz="8" w:color="auto"/>
            </w:tcBorders>
            <w:gridSpan w:val="3"/>
          </w:tcPr>
          <w:p>
            <w:pPr>
              <w:jc w:val="right"/>
              <w:ind w:right="360"/>
              <w:spacing w:after="0"/>
              <w:rPr>
                <w:sz w:val="20"/>
                <w:szCs w:val="20"/>
                <w:color w:val="auto"/>
              </w:rPr>
            </w:pPr>
            <w:r>
              <w:rPr>
                <w:rFonts w:ascii="Arial" w:cs="Arial" w:eastAsia="Arial" w:hAnsi="Arial"/>
                <w:sz w:val="13"/>
                <w:szCs w:val="13"/>
                <w:b w:val="1"/>
                <w:bCs w:val="1"/>
                <w:color w:val="auto"/>
                <w:w w:val="91"/>
              </w:rPr>
              <w:t>As of December 31,</w:t>
            </w:r>
          </w:p>
        </w:tc>
        <w:tc>
          <w:tcPr>
            <w:tcW w:w="280" w:type="dxa"/>
            <w:vAlign w:val="bottom"/>
            <w:tcBorders>
              <w:bottom w:val="single" w:sz="8" w:color="auto"/>
            </w:tcBorders>
          </w:tcPr>
          <w:p>
            <w:pPr>
              <w:spacing w:after="0"/>
              <w:rPr>
                <w:sz w:val="14"/>
                <w:szCs w:val="14"/>
                <w:color w:val="auto"/>
              </w:rPr>
            </w:pPr>
          </w:p>
        </w:tc>
        <w:tc>
          <w:tcPr>
            <w:tcW w:w="9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280" w:type="dxa"/>
            <w:vAlign w:val="bottom"/>
            <w:tcBorders>
              <w:bottom w:val="single" w:sz="8" w:color="auto"/>
            </w:tcBorders>
          </w:tcPr>
          <w:p>
            <w:pPr>
              <w:spacing w:after="0"/>
              <w:rPr>
                <w:sz w:val="14"/>
                <w:szCs w:val="14"/>
                <w:color w:val="auto"/>
              </w:rPr>
            </w:pPr>
          </w:p>
        </w:tc>
        <w:tc>
          <w:tcPr>
            <w:tcW w:w="98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4140" w:type="dxa"/>
            <w:vAlign w:val="bottom"/>
          </w:tcPr>
          <w:p>
            <w:pPr>
              <w:spacing w:after="0"/>
              <w:rPr>
                <w:sz w:val="13"/>
                <w:szCs w:val="13"/>
                <w:color w:val="auto"/>
              </w:rPr>
            </w:pPr>
          </w:p>
        </w:tc>
        <w:tc>
          <w:tcPr>
            <w:tcW w:w="860" w:type="dxa"/>
            <w:vAlign w:val="bottom"/>
            <w:tcBorders>
              <w:bottom w:val="single" w:sz="8" w:color="auto"/>
            </w:tcBorders>
          </w:tcPr>
          <w:p>
            <w:pPr>
              <w:jc w:val="right"/>
              <w:ind w:right="49"/>
              <w:spacing w:after="0"/>
              <w:rPr>
                <w:sz w:val="20"/>
                <w:szCs w:val="20"/>
                <w:color w:val="auto"/>
              </w:rPr>
            </w:pPr>
            <w:r>
              <w:rPr>
                <w:rFonts w:ascii="Arial" w:cs="Arial" w:eastAsia="Arial" w:hAnsi="Arial"/>
                <w:sz w:val="13"/>
                <w:szCs w:val="13"/>
                <w:b w:val="1"/>
                <w:bCs w:val="1"/>
                <w:color w:val="auto"/>
              </w:rPr>
              <w:t>2018</w:t>
            </w:r>
          </w:p>
        </w:tc>
        <w:tc>
          <w:tcPr>
            <w:tcW w:w="40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900" w:type="dxa"/>
            <w:vAlign w:val="bottom"/>
            <w:tcBorders>
              <w:bottom w:val="single" w:sz="8" w:color="auto"/>
            </w:tcBorders>
          </w:tcPr>
          <w:p>
            <w:pPr>
              <w:jc w:val="right"/>
              <w:ind w:right="16"/>
              <w:spacing w:after="0"/>
              <w:rPr>
                <w:sz w:val="20"/>
                <w:szCs w:val="20"/>
                <w:color w:val="auto"/>
              </w:rPr>
            </w:pPr>
            <w:r>
              <w:rPr>
                <w:rFonts w:ascii="Arial" w:cs="Arial" w:eastAsia="Arial" w:hAnsi="Arial"/>
                <w:sz w:val="13"/>
                <w:szCs w:val="13"/>
                <w:b w:val="1"/>
                <w:bCs w:val="1"/>
                <w:color w:val="auto"/>
              </w:rPr>
              <w:t>2017</w:t>
            </w:r>
          </w:p>
        </w:tc>
        <w:tc>
          <w:tcPr>
            <w:tcW w:w="38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280" w:type="dxa"/>
            <w:vAlign w:val="bottom"/>
            <w:tcBorders>
              <w:bottom w:val="single" w:sz="8" w:color="auto"/>
            </w:tcBorders>
          </w:tcPr>
          <w:p>
            <w:pPr>
              <w:spacing w:after="0"/>
              <w:rPr>
                <w:sz w:val="13"/>
                <w:szCs w:val="13"/>
                <w:color w:val="auto"/>
              </w:rPr>
            </w:pPr>
          </w:p>
        </w:tc>
        <w:tc>
          <w:tcPr>
            <w:tcW w:w="960" w:type="dxa"/>
            <w:vAlign w:val="bottom"/>
            <w:tcBorders>
              <w:bottom w:val="single" w:sz="8" w:color="auto"/>
            </w:tcBorders>
          </w:tcPr>
          <w:p>
            <w:pPr>
              <w:jc w:val="right"/>
              <w:ind w:right="416"/>
              <w:spacing w:after="0"/>
              <w:rPr>
                <w:sz w:val="20"/>
                <w:szCs w:val="20"/>
                <w:color w:val="auto"/>
              </w:rPr>
            </w:pPr>
            <w:r>
              <w:rPr>
                <w:rFonts w:ascii="Arial" w:cs="Arial" w:eastAsia="Arial" w:hAnsi="Arial"/>
                <w:sz w:val="13"/>
                <w:szCs w:val="13"/>
                <w:b w:val="1"/>
                <w:bCs w:val="1"/>
                <w:color w:val="auto"/>
              </w:rPr>
              <w:t>2016</w:t>
            </w:r>
          </w:p>
        </w:tc>
        <w:tc>
          <w:tcPr>
            <w:tcW w:w="240" w:type="dxa"/>
            <w:vAlign w:val="bottom"/>
            <w:tcBorders>
              <w:bottom w:val="single" w:sz="8" w:color="auto"/>
            </w:tcBorders>
          </w:tcPr>
          <w:p>
            <w:pPr>
              <w:spacing w:after="0"/>
              <w:rPr>
                <w:sz w:val="13"/>
                <w:szCs w:val="13"/>
                <w:color w:val="auto"/>
              </w:rPr>
            </w:pPr>
          </w:p>
        </w:tc>
        <w:tc>
          <w:tcPr>
            <w:tcW w:w="280" w:type="dxa"/>
            <w:vAlign w:val="bottom"/>
            <w:tcBorders>
              <w:bottom w:val="single" w:sz="8" w:color="auto"/>
            </w:tcBorders>
          </w:tcPr>
          <w:p>
            <w:pPr>
              <w:spacing w:after="0"/>
              <w:rPr>
                <w:sz w:val="13"/>
                <w:szCs w:val="13"/>
                <w:color w:val="auto"/>
              </w:rPr>
            </w:pPr>
          </w:p>
        </w:tc>
        <w:tc>
          <w:tcPr>
            <w:tcW w:w="960" w:type="dxa"/>
            <w:vAlign w:val="bottom"/>
            <w:tcBorders>
              <w:bottom w:val="single" w:sz="8" w:color="auto"/>
            </w:tcBorders>
          </w:tcPr>
          <w:p>
            <w:pPr>
              <w:jc w:val="right"/>
              <w:ind w:right="436"/>
              <w:spacing w:after="0"/>
              <w:rPr>
                <w:sz w:val="20"/>
                <w:szCs w:val="20"/>
                <w:color w:val="auto"/>
              </w:rPr>
            </w:pPr>
            <w:r>
              <w:rPr>
                <w:rFonts w:ascii="Arial" w:cs="Arial" w:eastAsia="Arial" w:hAnsi="Arial"/>
                <w:sz w:val="13"/>
                <w:szCs w:val="13"/>
                <w:b w:val="1"/>
                <w:bCs w:val="1"/>
                <w:color w:val="auto"/>
              </w:rPr>
              <w:t>2015</w:t>
            </w:r>
          </w:p>
        </w:tc>
        <w:tc>
          <w:tcPr>
            <w:tcW w:w="220" w:type="dxa"/>
            <w:vAlign w:val="bottom"/>
            <w:tcBorders>
              <w:bottom w:val="single" w:sz="8" w:color="auto"/>
            </w:tcBorders>
          </w:tcPr>
          <w:p>
            <w:pPr>
              <w:spacing w:after="0"/>
              <w:rPr>
                <w:sz w:val="13"/>
                <w:szCs w:val="13"/>
                <w:color w:val="auto"/>
              </w:rPr>
            </w:pPr>
          </w:p>
        </w:tc>
        <w:tc>
          <w:tcPr>
            <w:tcW w:w="280" w:type="dxa"/>
            <w:vAlign w:val="bottom"/>
            <w:tcBorders>
              <w:bottom w:val="single" w:sz="8" w:color="auto"/>
            </w:tcBorders>
          </w:tcPr>
          <w:p>
            <w:pPr>
              <w:spacing w:after="0"/>
              <w:rPr>
                <w:sz w:val="13"/>
                <w:szCs w:val="13"/>
                <w:color w:val="auto"/>
              </w:rPr>
            </w:pPr>
          </w:p>
        </w:tc>
        <w:tc>
          <w:tcPr>
            <w:tcW w:w="980" w:type="dxa"/>
            <w:vAlign w:val="bottom"/>
            <w:tcBorders>
              <w:bottom w:val="single" w:sz="8" w:color="auto"/>
            </w:tcBorders>
          </w:tcPr>
          <w:p>
            <w:pPr>
              <w:jc w:val="right"/>
              <w:ind w:right="436"/>
              <w:spacing w:after="0"/>
              <w:rPr>
                <w:sz w:val="20"/>
                <w:szCs w:val="20"/>
                <w:color w:val="auto"/>
              </w:rPr>
            </w:pPr>
            <w:r>
              <w:rPr>
                <w:rFonts w:ascii="Arial" w:cs="Arial" w:eastAsia="Arial" w:hAnsi="Arial"/>
                <w:sz w:val="13"/>
                <w:szCs w:val="13"/>
                <w:b w:val="1"/>
                <w:bCs w:val="1"/>
                <w:color w:val="auto"/>
              </w:rPr>
              <w:t>2014</w:t>
            </w: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414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4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380" w:type="dxa"/>
            <w:vAlign w:val="bottom"/>
            <w:gridSpan w:val="6"/>
          </w:tcPr>
          <w:p>
            <w:pPr>
              <w:jc w:val="right"/>
              <w:ind w:right="212"/>
              <w:spacing w:after="0" w:line="144" w:lineRule="exact"/>
              <w:rPr>
                <w:sz w:val="20"/>
                <w:szCs w:val="20"/>
                <w:color w:val="auto"/>
              </w:rPr>
            </w:pPr>
            <w:r>
              <w:rPr>
                <w:rFonts w:ascii="Arial" w:cs="Arial" w:eastAsia="Arial" w:hAnsi="Arial"/>
                <w:sz w:val="13"/>
                <w:szCs w:val="13"/>
                <w:b w:val="1"/>
                <w:bCs w:val="1"/>
                <w:color w:val="auto"/>
                <w:w w:val="98"/>
              </w:rPr>
              <w:t>(in $ millions, except percentages)</w:t>
            </w:r>
          </w:p>
        </w:tc>
        <w:tc>
          <w:tcPr>
            <w:tcW w:w="9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9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4140" w:type="dxa"/>
            <w:vAlign w:val="bottom"/>
            <w:shd w:val="clear" w:color="auto" w:fill="CCEEFF"/>
          </w:tcPr>
          <w:p>
            <w:pPr>
              <w:spacing w:after="0"/>
              <w:rPr>
                <w:sz w:val="20"/>
                <w:szCs w:val="20"/>
                <w:color w:val="auto"/>
              </w:rPr>
            </w:pPr>
            <w:r>
              <w:rPr>
                <w:rFonts w:ascii="Arial" w:cs="Arial" w:eastAsia="Arial" w:hAnsi="Arial"/>
                <w:sz w:val="13"/>
                <w:szCs w:val="13"/>
                <w:b w:val="1"/>
                <w:bCs w:val="1"/>
                <w:i w:val="1"/>
                <w:iCs w:val="1"/>
                <w:color w:val="auto"/>
              </w:rPr>
              <w:t>Components of the allowance for losses</w:t>
            </w:r>
          </w:p>
        </w:tc>
        <w:tc>
          <w:tcPr>
            <w:tcW w:w="860" w:type="dxa"/>
            <w:vAlign w:val="bottom"/>
            <w:shd w:val="clear" w:color="auto" w:fill="CCEEFF"/>
          </w:tcPr>
          <w:p>
            <w:pPr>
              <w:spacing w:after="0"/>
              <w:rPr>
                <w:sz w:val="13"/>
                <w:szCs w:val="13"/>
                <w:color w:val="auto"/>
              </w:rPr>
            </w:pPr>
          </w:p>
        </w:tc>
        <w:tc>
          <w:tcPr>
            <w:tcW w:w="4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900" w:type="dxa"/>
            <w:vAlign w:val="bottom"/>
            <w:shd w:val="clear" w:color="auto" w:fill="CCEEFF"/>
          </w:tcPr>
          <w:p>
            <w:pPr>
              <w:spacing w:after="0"/>
              <w:rPr>
                <w:sz w:val="13"/>
                <w:szCs w:val="13"/>
                <w:color w:val="auto"/>
              </w:rPr>
            </w:pPr>
          </w:p>
        </w:tc>
        <w:tc>
          <w:tcPr>
            <w:tcW w:w="380" w:type="dxa"/>
            <w:vAlign w:val="bottom"/>
            <w:shd w:val="clear" w:color="auto" w:fill="CCEEFF"/>
          </w:tcPr>
          <w:p>
            <w:pPr>
              <w:spacing w:after="0"/>
              <w:rPr>
                <w:sz w:val="13"/>
                <w:szCs w:val="13"/>
                <w:color w:val="auto"/>
              </w:rPr>
            </w:pPr>
          </w:p>
        </w:tc>
        <w:tc>
          <w:tcPr>
            <w:tcW w:w="240" w:type="dxa"/>
            <w:vAlign w:val="bottom"/>
            <w:tcBorders>
              <w:right w:val="single" w:sz="8" w:color="CCEEFF"/>
            </w:tcBorders>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9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9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9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4140" w:type="dxa"/>
            <w:vAlign w:val="bottom"/>
          </w:tcPr>
          <w:p>
            <w:pPr>
              <w:spacing w:after="0"/>
              <w:rPr>
                <w:sz w:val="20"/>
                <w:szCs w:val="20"/>
                <w:color w:val="auto"/>
              </w:rPr>
            </w:pPr>
            <w:r>
              <w:rPr>
                <w:rFonts w:ascii="Arial" w:cs="Arial" w:eastAsia="Arial" w:hAnsi="Arial"/>
                <w:sz w:val="13"/>
                <w:szCs w:val="13"/>
                <w:b w:val="1"/>
                <w:bCs w:val="1"/>
                <w:color w:val="auto"/>
              </w:rPr>
              <w:t>Allowance for loan losses:</w:t>
            </w:r>
          </w:p>
        </w:tc>
        <w:tc>
          <w:tcPr>
            <w:tcW w:w="860" w:type="dxa"/>
            <w:vAlign w:val="bottom"/>
          </w:tcPr>
          <w:p>
            <w:pPr>
              <w:spacing w:after="0"/>
              <w:rPr>
                <w:sz w:val="13"/>
                <w:szCs w:val="13"/>
                <w:color w:val="auto"/>
              </w:rPr>
            </w:pPr>
          </w:p>
        </w:tc>
        <w:tc>
          <w:tcPr>
            <w:tcW w:w="4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3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4140" w:type="dxa"/>
            <w:vAlign w:val="bottom"/>
            <w:shd w:val="clear" w:color="auto" w:fill="CCEEFF"/>
          </w:tcPr>
          <w:p>
            <w:pPr>
              <w:spacing w:after="0"/>
              <w:rPr>
                <w:sz w:val="20"/>
                <w:szCs w:val="20"/>
                <w:color w:val="auto"/>
              </w:rPr>
            </w:pPr>
            <w:r>
              <w:rPr>
                <w:rFonts w:ascii="Arial" w:cs="Arial" w:eastAsia="Arial" w:hAnsi="Arial"/>
                <w:sz w:val="13"/>
                <w:szCs w:val="13"/>
                <w:color w:val="auto"/>
              </w:rPr>
              <w:t>Balance at beginning of the year</w:t>
            </w:r>
          </w:p>
        </w:tc>
        <w:tc>
          <w:tcPr>
            <w:tcW w:w="860" w:type="dxa"/>
            <w:vAlign w:val="bottom"/>
            <w:shd w:val="clear" w:color="auto" w:fill="CCEEFF"/>
          </w:tcPr>
          <w:p>
            <w:pPr>
              <w:jc w:val="right"/>
              <w:ind w:right="749"/>
              <w:spacing w:after="0"/>
              <w:rPr>
                <w:sz w:val="20"/>
                <w:szCs w:val="20"/>
                <w:color w:val="auto"/>
              </w:rPr>
            </w:pPr>
            <w:r>
              <w:rPr>
                <w:rFonts w:ascii="Arial" w:cs="Arial" w:eastAsia="Arial" w:hAnsi="Arial"/>
                <w:sz w:val="10"/>
                <w:szCs w:val="10"/>
                <w:color w:val="auto"/>
                <w:w w:val="71"/>
              </w:rPr>
              <w:t>$</w:t>
            </w:r>
          </w:p>
        </w:tc>
        <w:tc>
          <w:tcPr>
            <w:tcW w:w="6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81.3</w:t>
            </w:r>
          </w:p>
        </w:tc>
        <w:tc>
          <w:tcPr>
            <w:tcW w:w="900" w:type="dxa"/>
            <w:vAlign w:val="bottom"/>
            <w:shd w:val="clear" w:color="auto" w:fill="CCEEFF"/>
          </w:tcPr>
          <w:p>
            <w:pPr>
              <w:jc w:val="right"/>
              <w:ind w:right="756"/>
              <w:spacing w:after="0"/>
              <w:rPr>
                <w:sz w:val="20"/>
                <w:szCs w:val="20"/>
                <w:color w:val="auto"/>
              </w:rPr>
            </w:pPr>
            <w:r>
              <w:rPr>
                <w:rFonts w:ascii="Arial" w:cs="Arial" w:eastAsia="Arial" w:hAnsi="Arial"/>
                <w:sz w:val="13"/>
                <w:szCs w:val="13"/>
                <w:color w:val="auto"/>
                <w:w w:val="82"/>
              </w:rPr>
              <w:t>$</w:t>
            </w:r>
          </w:p>
        </w:tc>
        <w:tc>
          <w:tcPr>
            <w:tcW w:w="620" w:type="dxa"/>
            <w:vAlign w:val="bottom"/>
            <w:tcBorders>
              <w:right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106.0</w:t>
            </w:r>
          </w:p>
        </w:tc>
        <w:tc>
          <w:tcPr>
            <w:tcW w:w="280" w:type="dxa"/>
            <w:vAlign w:val="bottom"/>
            <w:shd w:val="clear" w:color="auto" w:fill="CCEEFF"/>
          </w:tcPr>
          <w:p>
            <w:pPr>
              <w:jc w:val="right"/>
              <w:ind w:right="169"/>
              <w:spacing w:after="0"/>
              <w:rPr>
                <w:sz w:val="20"/>
                <w:szCs w:val="20"/>
                <w:color w:val="auto"/>
              </w:rPr>
            </w:pPr>
            <w:r>
              <w:rPr>
                <w:rFonts w:ascii="Arial" w:cs="Arial" w:eastAsia="Arial" w:hAnsi="Arial"/>
                <w:sz w:val="10"/>
                <w:szCs w:val="10"/>
                <w:color w:val="auto"/>
                <w:w w:val="71"/>
              </w:rPr>
              <w:t>$</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90.0</w:t>
            </w:r>
          </w:p>
        </w:tc>
        <w:tc>
          <w:tcPr>
            <w:tcW w:w="280" w:type="dxa"/>
            <w:vAlign w:val="bottom"/>
            <w:shd w:val="clear" w:color="auto" w:fill="CCEEFF"/>
          </w:tcPr>
          <w:p>
            <w:pPr>
              <w:jc w:val="right"/>
              <w:ind w:right="172"/>
              <w:spacing w:after="0"/>
              <w:rPr>
                <w:sz w:val="20"/>
                <w:szCs w:val="20"/>
                <w:color w:val="auto"/>
              </w:rPr>
            </w:pPr>
            <w:r>
              <w:rPr>
                <w:rFonts w:ascii="Arial" w:cs="Arial" w:eastAsia="Arial" w:hAnsi="Arial"/>
                <w:sz w:val="10"/>
                <w:szCs w:val="10"/>
                <w:color w:val="auto"/>
                <w:w w:val="71"/>
              </w:rPr>
              <w:t>$</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77.7</w:t>
            </w:r>
          </w:p>
        </w:tc>
        <w:tc>
          <w:tcPr>
            <w:tcW w:w="280" w:type="dxa"/>
            <w:vAlign w:val="bottom"/>
            <w:shd w:val="clear" w:color="auto" w:fill="CCEEFF"/>
          </w:tcPr>
          <w:p>
            <w:pPr>
              <w:jc w:val="right"/>
              <w:ind w:right="172"/>
              <w:spacing w:after="0"/>
              <w:rPr>
                <w:sz w:val="20"/>
                <w:szCs w:val="20"/>
                <w:color w:val="auto"/>
              </w:rPr>
            </w:pPr>
            <w:r>
              <w:rPr>
                <w:rFonts w:ascii="Arial" w:cs="Arial" w:eastAsia="Arial" w:hAnsi="Arial"/>
                <w:sz w:val="10"/>
                <w:szCs w:val="10"/>
                <w:color w:val="auto"/>
                <w:w w:val="71"/>
              </w:rPr>
              <w:t>$</w:t>
            </w:r>
          </w:p>
        </w:tc>
        <w:tc>
          <w:tcPr>
            <w:tcW w:w="11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70.9</w:t>
            </w:r>
          </w:p>
        </w:tc>
        <w:tc>
          <w:tcPr>
            <w:tcW w:w="0" w:type="dxa"/>
            <w:vAlign w:val="bottom"/>
          </w:tcPr>
          <w:p>
            <w:pPr>
              <w:spacing w:after="0"/>
              <w:rPr>
                <w:sz w:val="1"/>
                <w:szCs w:val="1"/>
                <w:color w:val="auto"/>
              </w:rPr>
            </w:pPr>
          </w:p>
        </w:tc>
      </w:tr>
      <w:tr>
        <w:trPr>
          <w:trHeight w:val="154"/>
        </w:trPr>
        <w:tc>
          <w:tcPr>
            <w:tcW w:w="4140" w:type="dxa"/>
            <w:vAlign w:val="bottom"/>
          </w:tcPr>
          <w:p>
            <w:pPr>
              <w:spacing w:after="0"/>
              <w:rPr>
                <w:sz w:val="20"/>
                <w:szCs w:val="20"/>
                <w:color w:val="auto"/>
              </w:rPr>
            </w:pPr>
            <w:r>
              <w:rPr>
                <w:rFonts w:ascii="Arial" w:cs="Arial" w:eastAsia="Arial" w:hAnsi="Arial"/>
                <w:sz w:val="13"/>
                <w:szCs w:val="13"/>
                <w:color w:val="auto"/>
              </w:rPr>
              <w:t>Impairment loss</w:t>
            </w:r>
          </w:p>
        </w:tc>
        <w:tc>
          <w:tcPr>
            <w:tcW w:w="860" w:type="dxa"/>
            <w:vAlign w:val="bottom"/>
          </w:tcPr>
          <w:p>
            <w:pPr>
              <w:spacing w:after="0"/>
              <w:rPr>
                <w:sz w:val="13"/>
                <w:szCs w:val="13"/>
                <w:color w:val="auto"/>
              </w:rPr>
            </w:pPr>
          </w:p>
        </w:tc>
        <w:tc>
          <w:tcPr>
            <w:tcW w:w="640" w:type="dxa"/>
            <w:vAlign w:val="bottom"/>
            <w:gridSpan w:val="2"/>
          </w:tcPr>
          <w:p>
            <w:pPr>
              <w:jc w:val="right"/>
              <w:ind w:right="240"/>
              <w:spacing w:after="0"/>
              <w:rPr>
                <w:sz w:val="20"/>
                <w:szCs w:val="20"/>
                <w:color w:val="auto"/>
              </w:rPr>
            </w:pPr>
            <w:r>
              <w:rPr>
                <w:rFonts w:ascii="Arial" w:cs="Arial" w:eastAsia="Arial" w:hAnsi="Arial"/>
                <w:sz w:val="13"/>
                <w:szCs w:val="13"/>
                <w:color w:val="auto"/>
              </w:rPr>
              <w:t>61.2</w:t>
            </w:r>
          </w:p>
        </w:tc>
        <w:tc>
          <w:tcPr>
            <w:tcW w:w="900" w:type="dxa"/>
            <w:vAlign w:val="bottom"/>
          </w:tcPr>
          <w:p>
            <w:pPr>
              <w:spacing w:after="0"/>
              <w:rPr>
                <w:sz w:val="13"/>
                <w:szCs w:val="13"/>
                <w:color w:val="auto"/>
              </w:rPr>
            </w:pPr>
          </w:p>
        </w:tc>
        <w:tc>
          <w:tcPr>
            <w:tcW w:w="620" w:type="dxa"/>
            <w:vAlign w:val="bottom"/>
            <w:gridSpan w:val="2"/>
          </w:tcPr>
          <w:p>
            <w:pPr>
              <w:jc w:val="right"/>
              <w:ind w:right="240"/>
              <w:spacing w:after="0"/>
              <w:rPr>
                <w:sz w:val="20"/>
                <w:szCs w:val="20"/>
                <w:color w:val="auto"/>
              </w:rPr>
            </w:pPr>
            <w:r>
              <w:rPr>
                <w:rFonts w:ascii="Arial" w:cs="Arial" w:eastAsia="Arial" w:hAnsi="Arial"/>
                <w:sz w:val="13"/>
                <w:szCs w:val="13"/>
                <w:color w:val="auto"/>
              </w:rPr>
              <w:t>8.9</w:t>
            </w:r>
          </w:p>
        </w:tc>
        <w:tc>
          <w:tcPr>
            <w:tcW w:w="280" w:type="dxa"/>
            <w:vAlign w:val="bottom"/>
          </w:tcPr>
          <w:p>
            <w:pPr>
              <w:spacing w:after="0"/>
              <w:rPr>
                <w:sz w:val="13"/>
                <w:szCs w:val="13"/>
                <w:color w:val="auto"/>
              </w:rPr>
            </w:pPr>
          </w:p>
        </w:tc>
        <w:tc>
          <w:tcPr>
            <w:tcW w:w="1200" w:type="dxa"/>
            <w:vAlign w:val="bottom"/>
            <w:gridSpan w:val="2"/>
          </w:tcPr>
          <w:p>
            <w:pPr>
              <w:jc w:val="right"/>
              <w:ind w:right="220"/>
              <w:spacing w:after="0"/>
              <w:rPr>
                <w:sz w:val="20"/>
                <w:szCs w:val="20"/>
                <w:color w:val="auto"/>
              </w:rPr>
            </w:pPr>
            <w:r>
              <w:rPr>
                <w:rFonts w:ascii="Arial" w:cs="Arial" w:eastAsia="Arial" w:hAnsi="Arial"/>
                <w:sz w:val="13"/>
                <w:szCs w:val="13"/>
                <w:color w:val="auto"/>
              </w:rPr>
              <w:t>34.7</w:t>
            </w:r>
          </w:p>
        </w:tc>
        <w:tc>
          <w:tcPr>
            <w:tcW w:w="280" w:type="dxa"/>
            <w:vAlign w:val="bottom"/>
          </w:tcPr>
          <w:p>
            <w:pPr>
              <w:spacing w:after="0"/>
              <w:rPr>
                <w:sz w:val="13"/>
                <w:szCs w:val="13"/>
                <w:color w:val="auto"/>
              </w:rPr>
            </w:pPr>
          </w:p>
        </w:tc>
        <w:tc>
          <w:tcPr>
            <w:tcW w:w="1180" w:type="dxa"/>
            <w:vAlign w:val="bottom"/>
            <w:gridSpan w:val="2"/>
          </w:tcPr>
          <w:p>
            <w:pPr>
              <w:jc w:val="right"/>
              <w:ind w:right="220"/>
              <w:spacing w:after="0"/>
              <w:rPr>
                <w:sz w:val="20"/>
                <w:szCs w:val="20"/>
                <w:color w:val="auto"/>
              </w:rPr>
            </w:pPr>
            <w:r>
              <w:rPr>
                <w:rFonts w:ascii="Arial" w:cs="Arial" w:eastAsia="Arial" w:hAnsi="Arial"/>
                <w:sz w:val="13"/>
                <w:szCs w:val="13"/>
                <w:color w:val="auto"/>
              </w:rPr>
              <w:t>17.2</w:t>
            </w:r>
          </w:p>
        </w:tc>
        <w:tc>
          <w:tcPr>
            <w:tcW w:w="280" w:type="dxa"/>
            <w:vAlign w:val="bottom"/>
          </w:tcPr>
          <w:p>
            <w:pPr>
              <w:spacing w:after="0"/>
              <w:rPr>
                <w:sz w:val="13"/>
                <w:szCs w:val="13"/>
                <w:color w:val="auto"/>
              </w:rPr>
            </w:pPr>
          </w:p>
        </w:tc>
        <w:tc>
          <w:tcPr>
            <w:tcW w:w="1100" w:type="dxa"/>
            <w:vAlign w:val="bottom"/>
            <w:gridSpan w:val="2"/>
          </w:tcPr>
          <w:p>
            <w:pPr>
              <w:jc w:val="right"/>
              <w:ind w:right="120"/>
              <w:spacing w:after="0"/>
              <w:rPr>
                <w:sz w:val="20"/>
                <w:szCs w:val="20"/>
                <w:color w:val="auto"/>
              </w:rPr>
            </w:pPr>
            <w:r>
              <w:rPr>
                <w:rFonts w:ascii="Arial" w:cs="Arial" w:eastAsia="Arial" w:hAnsi="Arial"/>
                <w:sz w:val="13"/>
                <w:szCs w:val="13"/>
                <w:color w:val="auto"/>
              </w:rPr>
              <w:t>6.8</w:t>
            </w:r>
          </w:p>
        </w:tc>
        <w:tc>
          <w:tcPr>
            <w:tcW w:w="0" w:type="dxa"/>
            <w:vAlign w:val="bottom"/>
          </w:tcPr>
          <w:p>
            <w:pPr>
              <w:spacing w:after="0"/>
              <w:rPr>
                <w:sz w:val="1"/>
                <w:szCs w:val="1"/>
                <w:color w:val="auto"/>
              </w:rPr>
            </w:pPr>
          </w:p>
        </w:tc>
      </w:tr>
      <w:tr>
        <w:trPr>
          <w:trHeight w:val="154"/>
        </w:trPr>
        <w:tc>
          <w:tcPr>
            <w:tcW w:w="4140" w:type="dxa"/>
            <w:vAlign w:val="bottom"/>
            <w:shd w:val="clear" w:color="auto" w:fill="CCEEFF"/>
          </w:tcPr>
          <w:p>
            <w:pPr>
              <w:spacing w:after="0"/>
              <w:rPr>
                <w:sz w:val="20"/>
                <w:szCs w:val="20"/>
                <w:color w:val="auto"/>
              </w:rPr>
            </w:pPr>
            <w:r>
              <w:rPr>
                <w:rFonts w:ascii="Arial" w:cs="Arial" w:eastAsia="Arial" w:hAnsi="Arial"/>
                <w:sz w:val="13"/>
                <w:szCs w:val="13"/>
                <w:color w:val="auto"/>
              </w:rPr>
              <w:t>Recoveries</w:t>
            </w:r>
          </w:p>
        </w:tc>
        <w:tc>
          <w:tcPr>
            <w:tcW w:w="860" w:type="dxa"/>
            <w:vAlign w:val="bottom"/>
            <w:shd w:val="clear" w:color="auto" w:fill="CCEEFF"/>
          </w:tcPr>
          <w:p>
            <w:pPr>
              <w:spacing w:after="0"/>
              <w:rPr>
                <w:sz w:val="13"/>
                <w:szCs w:val="13"/>
                <w:color w:val="auto"/>
              </w:rPr>
            </w:pPr>
          </w:p>
        </w:tc>
        <w:tc>
          <w:tcPr>
            <w:tcW w:w="6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0.0</w:t>
            </w:r>
          </w:p>
        </w:tc>
        <w:tc>
          <w:tcPr>
            <w:tcW w:w="900" w:type="dxa"/>
            <w:vAlign w:val="bottom"/>
            <w:shd w:val="clear" w:color="auto" w:fill="CCEEFF"/>
          </w:tcPr>
          <w:p>
            <w:pPr>
              <w:spacing w:after="0"/>
              <w:rPr>
                <w:sz w:val="13"/>
                <w:szCs w:val="13"/>
                <w:color w:val="auto"/>
              </w:rPr>
            </w:pPr>
          </w:p>
        </w:tc>
        <w:tc>
          <w:tcPr>
            <w:tcW w:w="620" w:type="dxa"/>
            <w:vAlign w:val="bottom"/>
            <w:tcBorders>
              <w:right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0.0</w:t>
            </w:r>
          </w:p>
        </w:tc>
        <w:tc>
          <w:tcPr>
            <w:tcW w:w="280" w:type="dxa"/>
            <w:vAlign w:val="bottom"/>
            <w:shd w:val="clear" w:color="auto" w:fill="CCEEFF"/>
          </w:tcPr>
          <w:p>
            <w:pPr>
              <w:spacing w:after="0"/>
              <w:rPr>
                <w:sz w:val="13"/>
                <w:szCs w:val="13"/>
                <w:color w:val="auto"/>
              </w:rPr>
            </w:pP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0.1</w:t>
            </w:r>
          </w:p>
        </w:tc>
        <w:tc>
          <w:tcPr>
            <w:tcW w:w="280" w:type="dxa"/>
            <w:vAlign w:val="bottom"/>
            <w:shd w:val="clear" w:color="auto" w:fill="CCEEFF"/>
          </w:tcPr>
          <w:p>
            <w:pPr>
              <w:spacing w:after="0"/>
              <w:rPr>
                <w:sz w:val="13"/>
                <w:szCs w:val="13"/>
                <w:color w:val="auto"/>
              </w:rPr>
            </w:pP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0.7</w:t>
            </w:r>
          </w:p>
        </w:tc>
        <w:tc>
          <w:tcPr>
            <w:tcW w:w="28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w:t>
            </w:r>
          </w:p>
        </w:tc>
        <w:tc>
          <w:tcPr>
            <w:tcW w:w="0" w:type="dxa"/>
            <w:vAlign w:val="bottom"/>
          </w:tcPr>
          <w:p>
            <w:pPr>
              <w:spacing w:after="0"/>
              <w:rPr>
                <w:sz w:val="1"/>
                <w:szCs w:val="1"/>
                <w:color w:val="auto"/>
              </w:rPr>
            </w:pPr>
          </w:p>
        </w:tc>
      </w:tr>
      <w:tr>
        <w:trPr>
          <w:trHeight w:val="164"/>
        </w:trPr>
        <w:tc>
          <w:tcPr>
            <w:tcW w:w="4140" w:type="dxa"/>
            <w:vAlign w:val="bottom"/>
          </w:tcPr>
          <w:p>
            <w:pPr>
              <w:spacing w:after="0"/>
              <w:rPr>
                <w:sz w:val="20"/>
                <w:szCs w:val="20"/>
                <w:color w:val="auto"/>
              </w:rPr>
            </w:pPr>
            <w:r>
              <w:rPr>
                <w:rFonts w:ascii="Arial" w:cs="Arial" w:eastAsia="Arial" w:hAnsi="Arial"/>
                <w:sz w:val="13"/>
                <w:szCs w:val="13"/>
                <w:color w:val="auto"/>
              </w:rPr>
              <w:t>Loans write-off</w:t>
            </w:r>
          </w:p>
        </w:tc>
        <w:tc>
          <w:tcPr>
            <w:tcW w:w="860" w:type="dxa"/>
            <w:vAlign w:val="bottom"/>
          </w:tcPr>
          <w:p>
            <w:pPr>
              <w:spacing w:after="0"/>
              <w:rPr>
                <w:sz w:val="14"/>
                <w:szCs w:val="14"/>
                <w:color w:val="auto"/>
              </w:rPr>
            </w:pPr>
          </w:p>
        </w:tc>
        <w:tc>
          <w:tcPr>
            <w:tcW w:w="640" w:type="dxa"/>
            <w:vAlign w:val="bottom"/>
            <w:gridSpan w:val="2"/>
          </w:tcPr>
          <w:p>
            <w:pPr>
              <w:jc w:val="right"/>
              <w:ind w:right="200"/>
              <w:spacing w:after="0"/>
              <w:rPr>
                <w:sz w:val="20"/>
                <w:szCs w:val="20"/>
                <w:color w:val="auto"/>
              </w:rPr>
            </w:pPr>
            <w:r>
              <w:rPr>
                <w:rFonts w:ascii="Arial" w:cs="Arial" w:eastAsia="Arial" w:hAnsi="Arial"/>
                <w:sz w:val="13"/>
                <w:szCs w:val="13"/>
                <w:color w:val="auto"/>
              </w:rPr>
              <w:t>(41.7)</w:t>
            </w:r>
          </w:p>
        </w:tc>
        <w:tc>
          <w:tcPr>
            <w:tcW w:w="900" w:type="dxa"/>
            <w:vAlign w:val="bottom"/>
          </w:tcPr>
          <w:p>
            <w:pPr>
              <w:spacing w:after="0"/>
              <w:rPr>
                <w:sz w:val="14"/>
                <w:szCs w:val="14"/>
                <w:color w:val="auto"/>
              </w:rPr>
            </w:pPr>
          </w:p>
        </w:tc>
        <w:tc>
          <w:tcPr>
            <w:tcW w:w="620" w:type="dxa"/>
            <w:vAlign w:val="bottom"/>
            <w:gridSpan w:val="2"/>
          </w:tcPr>
          <w:p>
            <w:pPr>
              <w:jc w:val="right"/>
              <w:ind w:right="200"/>
              <w:spacing w:after="0"/>
              <w:rPr>
                <w:sz w:val="20"/>
                <w:szCs w:val="20"/>
                <w:color w:val="auto"/>
              </w:rPr>
            </w:pPr>
            <w:r>
              <w:rPr>
                <w:rFonts w:ascii="Arial" w:cs="Arial" w:eastAsia="Arial" w:hAnsi="Arial"/>
                <w:sz w:val="13"/>
                <w:szCs w:val="13"/>
                <w:color w:val="auto"/>
              </w:rPr>
              <w:t>(33.6)</w:t>
            </w:r>
          </w:p>
        </w:tc>
        <w:tc>
          <w:tcPr>
            <w:tcW w:w="280" w:type="dxa"/>
            <w:vAlign w:val="bottom"/>
          </w:tcPr>
          <w:p>
            <w:pPr>
              <w:spacing w:after="0"/>
              <w:rPr>
                <w:sz w:val="14"/>
                <w:szCs w:val="14"/>
                <w:color w:val="auto"/>
              </w:rPr>
            </w:pPr>
          </w:p>
        </w:tc>
        <w:tc>
          <w:tcPr>
            <w:tcW w:w="1200" w:type="dxa"/>
            <w:vAlign w:val="bottom"/>
            <w:gridSpan w:val="2"/>
          </w:tcPr>
          <w:p>
            <w:pPr>
              <w:jc w:val="right"/>
              <w:ind w:right="180"/>
              <w:spacing w:after="0"/>
              <w:rPr>
                <w:sz w:val="20"/>
                <w:szCs w:val="20"/>
                <w:color w:val="auto"/>
              </w:rPr>
            </w:pPr>
            <w:r>
              <w:rPr>
                <w:rFonts w:ascii="Arial" w:cs="Arial" w:eastAsia="Arial" w:hAnsi="Arial"/>
                <w:sz w:val="13"/>
                <w:szCs w:val="13"/>
                <w:color w:val="auto"/>
              </w:rPr>
              <w:t>(18.8)</w:t>
            </w:r>
          </w:p>
        </w:tc>
        <w:tc>
          <w:tcPr>
            <w:tcW w:w="280" w:type="dxa"/>
            <w:vAlign w:val="bottom"/>
          </w:tcPr>
          <w:p>
            <w:pPr>
              <w:spacing w:after="0"/>
              <w:rPr>
                <w:sz w:val="14"/>
                <w:szCs w:val="14"/>
                <w:color w:val="auto"/>
              </w:rPr>
            </w:pPr>
          </w:p>
        </w:tc>
        <w:tc>
          <w:tcPr>
            <w:tcW w:w="1180" w:type="dxa"/>
            <w:vAlign w:val="bottom"/>
            <w:gridSpan w:val="2"/>
          </w:tcPr>
          <w:p>
            <w:pPr>
              <w:jc w:val="right"/>
              <w:ind w:right="180"/>
              <w:spacing w:after="0"/>
              <w:rPr>
                <w:sz w:val="20"/>
                <w:szCs w:val="20"/>
                <w:color w:val="auto"/>
              </w:rPr>
            </w:pPr>
            <w:r>
              <w:rPr>
                <w:rFonts w:ascii="Arial" w:cs="Arial" w:eastAsia="Arial" w:hAnsi="Arial"/>
                <w:sz w:val="13"/>
                <w:szCs w:val="13"/>
                <w:color w:val="auto"/>
              </w:rPr>
              <w:t>(5.7)</w:t>
            </w:r>
          </w:p>
        </w:tc>
        <w:tc>
          <w:tcPr>
            <w:tcW w:w="280" w:type="dxa"/>
            <w:vAlign w:val="bottom"/>
          </w:tcPr>
          <w:p>
            <w:pPr>
              <w:spacing w:after="0"/>
              <w:rPr>
                <w:sz w:val="14"/>
                <w:szCs w:val="14"/>
                <w:color w:val="auto"/>
              </w:rPr>
            </w:pPr>
          </w:p>
        </w:tc>
        <w:tc>
          <w:tcPr>
            <w:tcW w:w="1100" w:type="dxa"/>
            <w:vAlign w:val="bottom"/>
            <w:gridSpan w:val="2"/>
          </w:tcPr>
          <w:p>
            <w:pPr>
              <w:jc w:val="right"/>
              <w:ind w:right="120"/>
              <w:spacing w:after="0"/>
              <w:rPr>
                <w:sz w:val="20"/>
                <w:szCs w:val="20"/>
                <w:color w:val="auto"/>
              </w:rPr>
            </w:pPr>
            <w:r>
              <w:rPr>
                <w:rFonts w:ascii="Arial" w:cs="Arial" w:eastAsia="Arial" w:hAnsi="Arial"/>
                <w:sz w:val="13"/>
                <w:szCs w:val="13"/>
                <w:color w:val="auto"/>
              </w:rPr>
              <w:t>0.0</w:t>
            </w:r>
          </w:p>
        </w:tc>
        <w:tc>
          <w:tcPr>
            <w:tcW w:w="0" w:type="dxa"/>
            <w:vAlign w:val="bottom"/>
          </w:tcPr>
          <w:p>
            <w:pPr>
              <w:spacing w:after="0"/>
              <w:rPr>
                <w:sz w:val="1"/>
                <w:szCs w:val="1"/>
                <w:color w:val="auto"/>
              </w:rPr>
            </w:pPr>
          </w:p>
        </w:tc>
      </w:tr>
      <w:tr>
        <w:trPr>
          <w:trHeight w:val="144"/>
        </w:trPr>
        <w:tc>
          <w:tcPr>
            <w:tcW w:w="4140" w:type="dxa"/>
            <w:vAlign w:val="bottom"/>
            <w:tcBorders>
              <w:top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Balance at the end of the year</w:t>
            </w:r>
          </w:p>
        </w:tc>
        <w:tc>
          <w:tcPr>
            <w:tcW w:w="860" w:type="dxa"/>
            <w:vAlign w:val="bottom"/>
            <w:tcBorders>
              <w:top w:val="single" w:sz="8" w:color="auto"/>
            </w:tcBorders>
            <w:shd w:val="clear" w:color="auto" w:fill="CCEEFF"/>
          </w:tcPr>
          <w:p>
            <w:pPr>
              <w:jc w:val="right"/>
              <w:ind w:right="749"/>
              <w:spacing w:after="0"/>
              <w:rPr>
                <w:sz w:val="20"/>
                <w:szCs w:val="20"/>
                <w:color w:val="auto"/>
              </w:rPr>
            </w:pPr>
            <w:r>
              <w:rPr>
                <w:rFonts w:ascii="Arial" w:cs="Arial" w:eastAsia="Arial" w:hAnsi="Arial"/>
                <w:sz w:val="10"/>
                <w:szCs w:val="10"/>
                <w:color w:val="auto"/>
                <w:w w:val="71"/>
              </w:rPr>
              <w:t>$</w:t>
            </w:r>
          </w:p>
        </w:tc>
        <w:tc>
          <w:tcPr>
            <w:tcW w:w="4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100.8</w:t>
            </w:r>
          </w:p>
        </w:tc>
        <w:tc>
          <w:tcPr>
            <w:tcW w:w="24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jc w:val="right"/>
              <w:ind w:right="756"/>
              <w:spacing w:after="0" w:line="144" w:lineRule="exact"/>
              <w:rPr>
                <w:sz w:val="20"/>
                <w:szCs w:val="20"/>
                <w:color w:val="auto"/>
              </w:rPr>
            </w:pPr>
            <w:r>
              <w:rPr>
                <w:rFonts w:ascii="Arial" w:cs="Arial" w:eastAsia="Arial" w:hAnsi="Arial"/>
                <w:sz w:val="13"/>
                <w:szCs w:val="13"/>
                <w:color w:val="auto"/>
                <w:w w:val="82"/>
              </w:rPr>
              <w:t>$</w:t>
            </w:r>
          </w:p>
        </w:tc>
        <w:tc>
          <w:tcPr>
            <w:tcW w:w="3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81.3</w:t>
            </w:r>
          </w:p>
        </w:tc>
        <w:tc>
          <w:tcPr>
            <w:tcW w:w="240" w:type="dxa"/>
            <w:vAlign w:val="bottom"/>
            <w:tcBorders>
              <w:top w:val="single" w:sz="8" w:color="CCEEFF"/>
              <w:right w:val="single" w:sz="8" w:color="CCEEFF"/>
            </w:tcBorders>
            <w:shd w:val="clear" w:color="auto" w:fill="CCEEFF"/>
          </w:tcPr>
          <w:p>
            <w:pPr>
              <w:spacing w:after="0"/>
              <w:rPr>
                <w:sz w:val="12"/>
                <w:szCs w:val="12"/>
                <w:color w:val="auto"/>
              </w:rPr>
            </w:pPr>
          </w:p>
        </w:tc>
        <w:tc>
          <w:tcPr>
            <w:tcW w:w="280" w:type="dxa"/>
            <w:vAlign w:val="bottom"/>
            <w:tcBorders>
              <w:top w:val="single" w:sz="8" w:color="auto"/>
            </w:tcBorders>
            <w:shd w:val="clear" w:color="auto" w:fill="CCEEFF"/>
          </w:tcPr>
          <w:p>
            <w:pPr>
              <w:jc w:val="right"/>
              <w:ind w:right="169"/>
              <w:spacing w:after="0"/>
              <w:rPr>
                <w:sz w:val="20"/>
                <w:szCs w:val="20"/>
                <w:color w:val="auto"/>
              </w:rPr>
            </w:pPr>
            <w:r>
              <w:rPr>
                <w:rFonts w:ascii="Arial" w:cs="Arial" w:eastAsia="Arial" w:hAnsi="Arial"/>
                <w:sz w:val="10"/>
                <w:szCs w:val="10"/>
                <w:color w:val="auto"/>
                <w:w w:val="71"/>
              </w:rPr>
              <w:t>$</w:t>
            </w:r>
          </w:p>
        </w:tc>
        <w:tc>
          <w:tcPr>
            <w:tcW w:w="9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106.0</w:t>
            </w:r>
          </w:p>
        </w:tc>
        <w:tc>
          <w:tcPr>
            <w:tcW w:w="24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tcBorders>
            <w:shd w:val="clear" w:color="auto" w:fill="CCEEFF"/>
          </w:tcPr>
          <w:p>
            <w:pPr>
              <w:jc w:val="right"/>
              <w:ind w:right="172"/>
              <w:spacing w:after="0"/>
              <w:rPr>
                <w:sz w:val="20"/>
                <w:szCs w:val="20"/>
                <w:color w:val="auto"/>
              </w:rPr>
            </w:pPr>
            <w:r>
              <w:rPr>
                <w:rFonts w:ascii="Arial" w:cs="Arial" w:eastAsia="Arial" w:hAnsi="Arial"/>
                <w:sz w:val="10"/>
                <w:szCs w:val="10"/>
                <w:color w:val="auto"/>
                <w:w w:val="71"/>
              </w:rPr>
              <w:t>$</w:t>
            </w:r>
          </w:p>
        </w:tc>
        <w:tc>
          <w:tcPr>
            <w:tcW w:w="9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90.0</w:t>
            </w:r>
          </w:p>
        </w:tc>
        <w:tc>
          <w:tcPr>
            <w:tcW w:w="22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tcBorders>
            <w:shd w:val="clear" w:color="auto" w:fill="CCEEFF"/>
          </w:tcPr>
          <w:p>
            <w:pPr>
              <w:jc w:val="right"/>
              <w:ind w:right="172"/>
              <w:spacing w:after="0"/>
              <w:rPr>
                <w:sz w:val="20"/>
                <w:szCs w:val="20"/>
                <w:color w:val="auto"/>
              </w:rPr>
            </w:pPr>
            <w:r>
              <w:rPr>
                <w:rFonts w:ascii="Arial" w:cs="Arial" w:eastAsia="Arial" w:hAnsi="Arial"/>
                <w:sz w:val="10"/>
                <w:szCs w:val="10"/>
                <w:color w:val="auto"/>
                <w:w w:val="71"/>
              </w:rPr>
              <w:t>$</w:t>
            </w:r>
          </w:p>
        </w:tc>
        <w:tc>
          <w:tcPr>
            <w:tcW w:w="9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77.7</w:t>
            </w: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4140" w:type="dxa"/>
            <w:vAlign w:val="bottom"/>
          </w:tcPr>
          <w:p>
            <w:pPr>
              <w:spacing w:after="0"/>
              <w:rPr>
                <w:sz w:val="20"/>
                <w:szCs w:val="20"/>
                <w:color w:val="auto"/>
              </w:rPr>
            </w:pPr>
            <w:r>
              <w:rPr>
                <w:rFonts w:ascii="Arial" w:cs="Arial" w:eastAsia="Arial" w:hAnsi="Arial"/>
                <w:sz w:val="13"/>
                <w:szCs w:val="13"/>
                <w:b w:val="1"/>
                <w:bCs w:val="1"/>
                <w:color w:val="auto"/>
                <w:w w:val="90"/>
              </w:rPr>
              <w:t>Allowance for loan commitments and financial guarantee contract losses:</w:t>
            </w:r>
          </w:p>
        </w:tc>
        <w:tc>
          <w:tcPr>
            <w:tcW w:w="860" w:type="dxa"/>
            <w:vAlign w:val="bottom"/>
          </w:tcPr>
          <w:p>
            <w:pPr>
              <w:spacing w:after="0"/>
              <w:rPr>
                <w:sz w:val="13"/>
                <w:szCs w:val="13"/>
                <w:color w:val="auto"/>
              </w:rPr>
            </w:pPr>
          </w:p>
        </w:tc>
        <w:tc>
          <w:tcPr>
            <w:tcW w:w="4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3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4140" w:type="dxa"/>
            <w:vAlign w:val="bottom"/>
            <w:shd w:val="clear" w:color="auto" w:fill="CCEEFF"/>
          </w:tcPr>
          <w:p>
            <w:pPr>
              <w:spacing w:after="0"/>
              <w:rPr>
                <w:sz w:val="20"/>
                <w:szCs w:val="20"/>
                <w:color w:val="auto"/>
              </w:rPr>
            </w:pPr>
            <w:r>
              <w:rPr>
                <w:rFonts w:ascii="Arial" w:cs="Arial" w:eastAsia="Arial" w:hAnsi="Arial"/>
                <w:sz w:val="13"/>
                <w:szCs w:val="13"/>
                <w:color w:val="auto"/>
              </w:rPr>
              <w:t>Balance at beginning of the year</w:t>
            </w:r>
          </w:p>
        </w:tc>
        <w:tc>
          <w:tcPr>
            <w:tcW w:w="860" w:type="dxa"/>
            <w:vAlign w:val="bottom"/>
            <w:shd w:val="clear" w:color="auto" w:fill="CCEEFF"/>
          </w:tcPr>
          <w:p>
            <w:pPr>
              <w:jc w:val="right"/>
              <w:ind w:right="749"/>
              <w:spacing w:after="0"/>
              <w:rPr>
                <w:sz w:val="20"/>
                <w:szCs w:val="20"/>
                <w:color w:val="auto"/>
              </w:rPr>
            </w:pPr>
            <w:r>
              <w:rPr>
                <w:rFonts w:ascii="Arial" w:cs="Arial" w:eastAsia="Arial" w:hAnsi="Arial"/>
                <w:sz w:val="10"/>
                <w:szCs w:val="10"/>
                <w:color w:val="auto"/>
                <w:w w:val="71"/>
              </w:rPr>
              <w:t>$</w:t>
            </w:r>
          </w:p>
        </w:tc>
        <w:tc>
          <w:tcPr>
            <w:tcW w:w="6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6.8</w:t>
            </w:r>
          </w:p>
        </w:tc>
        <w:tc>
          <w:tcPr>
            <w:tcW w:w="900" w:type="dxa"/>
            <w:vAlign w:val="bottom"/>
            <w:shd w:val="clear" w:color="auto" w:fill="CCEEFF"/>
          </w:tcPr>
          <w:p>
            <w:pPr>
              <w:jc w:val="right"/>
              <w:ind w:right="756"/>
              <w:spacing w:after="0"/>
              <w:rPr>
                <w:sz w:val="20"/>
                <w:szCs w:val="20"/>
                <w:color w:val="auto"/>
              </w:rPr>
            </w:pPr>
            <w:r>
              <w:rPr>
                <w:rFonts w:ascii="Arial" w:cs="Arial" w:eastAsia="Arial" w:hAnsi="Arial"/>
                <w:sz w:val="13"/>
                <w:szCs w:val="13"/>
                <w:color w:val="auto"/>
                <w:w w:val="82"/>
              </w:rPr>
              <w:t>$</w:t>
            </w:r>
          </w:p>
        </w:tc>
        <w:tc>
          <w:tcPr>
            <w:tcW w:w="620" w:type="dxa"/>
            <w:vAlign w:val="bottom"/>
            <w:tcBorders>
              <w:right w:val="single" w:sz="8" w:color="CCEEFF"/>
            </w:tcBorders>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5.8</w:t>
            </w:r>
          </w:p>
        </w:tc>
        <w:tc>
          <w:tcPr>
            <w:tcW w:w="280" w:type="dxa"/>
            <w:vAlign w:val="bottom"/>
            <w:shd w:val="clear" w:color="auto" w:fill="CCEEFF"/>
          </w:tcPr>
          <w:p>
            <w:pPr>
              <w:jc w:val="right"/>
              <w:ind w:right="169"/>
              <w:spacing w:after="0"/>
              <w:rPr>
                <w:sz w:val="20"/>
                <w:szCs w:val="20"/>
                <w:color w:val="auto"/>
              </w:rPr>
            </w:pPr>
            <w:r>
              <w:rPr>
                <w:rFonts w:ascii="Arial" w:cs="Arial" w:eastAsia="Arial" w:hAnsi="Arial"/>
                <w:sz w:val="10"/>
                <w:szCs w:val="10"/>
                <w:color w:val="auto"/>
                <w:w w:val="71"/>
              </w:rPr>
              <w:t>$</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5.4</w:t>
            </w:r>
          </w:p>
        </w:tc>
        <w:tc>
          <w:tcPr>
            <w:tcW w:w="280" w:type="dxa"/>
            <w:vAlign w:val="bottom"/>
            <w:shd w:val="clear" w:color="auto" w:fill="CCEEFF"/>
          </w:tcPr>
          <w:p>
            <w:pPr>
              <w:jc w:val="right"/>
              <w:ind w:right="172"/>
              <w:spacing w:after="0"/>
              <w:rPr>
                <w:sz w:val="20"/>
                <w:szCs w:val="20"/>
                <w:color w:val="auto"/>
              </w:rPr>
            </w:pPr>
            <w:r>
              <w:rPr>
                <w:rFonts w:ascii="Arial" w:cs="Arial" w:eastAsia="Arial" w:hAnsi="Arial"/>
                <w:sz w:val="10"/>
                <w:szCs w:val="10"/>
                <w:color w:val="auto"/>
                <w:w w:val="71"/>
              </w:rPr>
              <w:t>$</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9.9</w:t>
            </w:r>
          </w:p>
        </w:tc>
        <w:tc>
          <w:tcPr>
            <w:tcW w:w="280" w:type="dxa"/>
            <w:vAlign w:val="bottom"/>
            <w:shd w:val="clear" w:color="auto" w:fill="CCEEFF"/>
          </w:tcPr>
          <w:p>
            <w:pPr>
              <w:jc w:val="right"/>
              <w:ind w:right="172"/>
              <w:spacing w:after="0"/>
              <w:rPr>
                <w:sz w:val="20"/>
                <w:szCs w:val="20"/>
                <w:color w:val="auto"/>
              </w:rPr>
            </w:pPr>
            <w:r>
              <w:rPr>
                <w:rFonts w:ascii="Arial" w:cs="Arial" w:eastAsia="Arial" w:hAnsi="Arial"/>
                <w:sz w:val="10"/>
                <w:szCs w:val="10"/>
                <w:color w:val="auto"/>
                <w:w w:val="71"/>
              </w:rPr>
              <w:t>$</w:t>
            </w:r>
          </w:p>
        </w:tc>
        <w:tc>
          <w:tcPr>
            <w:tcW w:w="11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6.1</w:t>
            </w:r>
          </w:p>
        </w:tc>
        <w:tc>
          <w:tcPr>
            <w:tcW w:w="0" w:type="dxa"/>
            <w:vAlign w:val="bottom"/>
          </w:tcPr>
          <w:p>
            <w:pPr>
              <w:spacing w:after="0"/>
              <w:rPr>
                <w:sz w:val="1"/>
                <w:szCs w:val="1"/>
                <w:color w:val="auto"/>
              </w:rPr>
            </w:pPr>
          </w:p>
        </w:tc>
      </w:tr>
      <w:tr>
        <w:trPr>
          <w:trHeight w:val="164"/>
        </w:trPr>
        <w:tc>
          <w:tcPr>
            <w:tcW w:w="4140" w:type="dxa"/>
            <w:vAlign w:val="bottom"/>
          </w:tcPr>
          <w:p>
            <w:pPr>
              <w:spacing w:after="0"/>
              <w:rPr>
                <w:sz w:val="20"/>
                <w:szCs w:val="20"/>
                <w:color w:val="auto"/>
              </w:rPr>
            </w:pPr>
            <w:r>
              <w:rPr>
                <w:rFonts w:ascii="Arial" w:cs="Arial" w:eastAsia="Arial" w:hAnsi="Arial"/>
                <w:sz w:val="13"/>
                <w:szCs w:val="13"/>
                <w:color w:val="auto"/>
              </w:rPr>
              <w:t>Impairment loss (recovery)</w:t>
            </w:r>
          </w:p>
        </w:tc>
        <w:tc>
          <w:tcPr>
            <w:tcW w:w="860" w:type="dxa"/>
            <w:vAlign w:val="bottom"/>
          </w:tcPr>
          <w:p>
            <w:pPr>
              <w:spacing w:after="0"/>
              <w:rPr>
                <w:sz w:val="14"/>
                <w:szCs w:val="14"/>
                <w:color w:val="auto"/>
              </w:rPr>
            </w:pPr>
          </w:p>
        </w:tc>
        <w:tc>
          <w:tcPr>
            <w:tcW w:w="640" w:type="dxa"/>
            <w:vAlign w:val="bottom"/>
            <w:gridSpan w:val="2"/>
          </w:tcPr>
          <w:p>
            <w:pPr>
              <w:jc w:val="right"/>
              <w:ind w:right="200"/>
              <w:spacing w:after="0"/>
              <w:rPr>
                <w:sz w:val="20"/>
                <w:szCs w:val="20"/>
                <w:color w:val="auto"/>
              </w:rPr>
            </w:pPr>
            <w:r>
              <w:rPr>
                <w:rFonts w:ascii="Arial" w:cs="Arial" w:eastAsia="Arial" w:hAnsi="Arial"/>
                <w:sz w:val="13"/>
                <w:szCs w:val="13"/>
                <w:color w:val="auto"/>
              </w:rPr>
              <w:t>(3.5)</w:t>
            </w:r>
          </w:p>
        </w:tc>
        <w:tc>
          <w:tcPr>
            <w:tcW w:w="900" w:type="dxa"/>
            <w:vAlign w:val="bottom"/>
          </w:tcPr>
          <w:p>
            <w:pPr>
              <w:spacing w:after="0"/>
              <w:rPr>
                <w:sz w:val="14"/>
                <w:szCs w:val="14"/>
                <w:color w:val="auto"/>
              </w:rPr>
            </w:pPr>
          </w:p>
        </w:tc>
        <w:tc>
          <w:tcPr>
            <w:tcW w:w="620" w:type="dxa"/>
            <w:vAlign w:val="bottom"/>
            <w:gridSpan w:val="2"/>
          </w:tcPr>
          <w:p>
            <w:pPr>
              <w:jc w:val="right"/>
              <w:ind w:right="240"/>
              <w:spacing w:after="0"/>
              <w:rPr>
                <w:sz w:val="20"/>
                <w:szCs w:val="20"/>
                <w:color w:val="auto"/>
              </w:rPr>
            </w:pPr>
            <w:r>
              <w:rPr>
                <w:rFonts w:ascii="Arial" w:cs="Arial" w:eastAsia="Arial" w:hAnsi="Arial"/>
                <w:sz w:val="13"/>
                <w:szCs w:val="13"/>
                <w:color w:val="auto"/>
              </w:rPr>
              <w:t>1.0</w:t>
            </w:r>
          </w:p>
        </w:tc>
        <w:tc>
          <w:tcPr>
            <w:tcW w:w="280" w:type="dxa"/>
            <w:vAlign w:val="bottom"/>
          </w:tcPr>
          <w:p>
            <w:pPr>
              <w:spacing w:after="0"/>
              <w:rPr>
                <w:sz w:val="14"/>
                <w:szCs w:val="14"/>
                <w:color w:val="auto"/>
              </w:rPr>
            </w:pPr>
          </w:p>
        </w:tc>
        <w:tc>
          <w:tcPr>
            <w:tcW w:w="1200" w:type="dxa"/>
            <w:vAlign w:val="bottom"/>
            <w:gridSpan w:val="2"/>
          </w:tcPr>
          <w:p>
            <w:pPr>
              <w:jc w:val="right"/>
              <w:ind w:right="220"/>
              <w:spacing w:after="0"/>
              <w:rPr>
                <w:sz w:val="20"/>
                <w:szCs w:val="20"/>
                <w:color w:val="auto"/>
              </w:rPr>
            </w:pPr>
            <w:r>
              <w:rPr>
                <w:rFonts w:ascii="Arial" w:cs="Arial" w:eastAsia="Arial" w:hAnsi="Arial"/>
                <w:sz w:val="13"/>
                <w:szCs w:val="13"/>
                <w:color w:val="auto"/>
              </w:rPr>
              <w:t>0.4</w:t>
            </w:r>
          </w:p>
        </w:tc>
        <w:tc>
          <w:tcPr>
            <w:tcW w:w="280" w:type="dxa"/>
            <w:vAlign w:val="bottom"/>
          </w:tcPr>
          <w:p>
            <w:pPr>
              <w:spacing w:after="0"/>
              <w:rPr>
                <w:sz w:val="14"/>
                <w:szCs w:val="14"/>
                <w:color w:val="auto"/>
              </w:rPr>
            </w:pPr>
          </w:p>
        </w:tc>
        <w:tc>
          <w:tcPr>
            <w:tcW w:w="1180" w:type="dxa"/>
            <w:vAlign w:val="bottom"/>
            <w:gridSpan w:val="2"/>
          </w:tcPr>
          <w:p>
            <w:pPr>
              <w:jc w:val="right"/>
              <w:ind w:right="180"/>
              <w:spacing w:after="0"/>
              <w:rPr>
                <w:sz w:val="20"/>
                <w:szCs w:val="20"/>
                <w:color w:val="auto"/>
              </w:rPr>
            </w:pPr>
            <w:r>
              <w:rPr>
                <w:rFonts w:ascii="Arial" w:cs="Arial" w:eastAsia="Arial" w:hAnsi="Arial"/>
                <w:sz w:val="13"/>
                <w:szCs w:val="13"/>
                <w:color w:val="auto"/>
              </w:rPr>
              <w:t>(4.4)</w:t>
            </w:r>
          </w:p>
        </w:tc>
        <w:tc>
          <w:tcPr>
            <w:tcW w:w="280" w:type="dxa"/>
            <w:vAlign w:val="bottom"/>
          </w:tcPr>
          <w:p>
            <w:pPr>
              <w:spacing w:after="0"/>
              <w:rPr>
                <w:sz w:val="14"/>
                <w:szCs w:val="14"/>
                <w:color w:val="auto"/>
              </w:rPr>
            </w:pPr>
          </w:p>
        </w:tc>
        <w:tc>
          <w:tcPr>
            <w:tcW w:w="1100" w:type="dxa"/>
            <w:vAlign w:val="bottom"/>
            <w:gridSpan w:val="2"/>
          </w:tcPr>
          <w:p>
            <w:pPr>
              <w:jc w:val="right"/>
              <w:ind w:right="120"/>
              <w:spacing w:after="0"/>
              <w:rPr>
                <w:sz w:val="20"/>
                <w:szCs w:val="20"/>
                <w:color w:val="auto"/>
              </w:rPr>
            </w:pPr>
            <w:r>
              <w:rPr>
                <w:rFonts w:ascii="Arial" w:cs="Arial" w:eastAsia="Arial" w:hAnsi="Arial"/>
                <w:sz w:val="13"/>
                <w:szCs w:val="13"/>
                <w:color w:val="auto"/>
              </w:rPr>
              <w:t>3.8</w:t>
            </w:r>
          </w:p>
        </w:tc>
        <w:tc>
          <w:tcPr>
            <w:tcW w:w="0" w:type="dxa"/>
            <w:vAlign w:val="bottom"/>
          </w:tcPr>
          <w:p>
            <w:pPr>
              <w:spacing w:after="0"/>
              <w:rPr>
                <w:sz w:val="1"/>
                <w:szCs w:val="1"/>
                <w:color w:val="auto"/>
              </w:rPr>
            </w:pPr>
          </w:p>
        </w:tc>
      </w:tr>
      <w:tr>
        <w:trPr>
          <w:trHeight w:val="144"/>
        </w:trPr>
        <w:tc>
          <w:tcPr>
            <w:tcW w:w="4140" w:type="dxa"/>
            <w:vAlign w:val="bottom"/>
            <w:tcBorders>
              <w:top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Balance at end of the year</w:t>
            </w:r>
          </w:p>
        </w:tc>
        <w:tc>
          <w:tcPr>
            <w:tcW w:w="860" w:type="dxa"/>
            <w:vAlign w:val="bottom"/>
            <w:tcBorders>
              <w:top w:val="single" w:sz="8" w:color="auto"/>
            </w:tcBorders>
            <w:shd w:val="clear" w:color="auto" w:fill="CCEEFF"/>
          </w:tcPr>
          <w:p>
            <w:pPr>
              <w:jc w:val="right"/>
              <w:ind w:right="749"/>
              <w:spacing w:after="0"/>
              <w:rPr>
                <w:sz w:val="20"/>
                <w:szCs w:val="20"/>
                <w:color w:val="auto"/>
              </w:rPr>
            </w:pPr>
            <w:r>
              <w:rPr>
                <w:rFonts w:ascii="Arial" w:cs="Arial" w:eastAsia="Arial" w:hAnsi="Arial"/>
                <w:sz w:val="10"/>
                <w:szCs w:val="10"/>
                <w:color w:val="auto"/>
                <w:w w:val="71"/>
              </w:rPr>
              <w:t>$</w:t>
            </w:r>
          </w:p>
        </w:tc>
        <w:tc>
          <w:tcPr>
            <w:tcW w:w="4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3.3</w:t>
            </w:r>
          </w:p>
        </w:tc>
        <w:tc>
          <w:tcPr>
            <w:tcW w:w="24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jc w:val="right"/>
              <w:ind w:right="756"/>
              <w:spacing w:after="0" w:line="144" w:lineRule="exact"/>
              <w:rPr>
                <w:sz w:val="20"/>
                <w:szCs w:val="20"/>
                <w:color w:val="auto"/>
              </w:rPr>
            </w:pPr>
            <w:r>
              <w:rPr>
                <w:rFonts w:ascii="Arial" w:cs="Arial" w:eastAsia="Arial" w:hAnsi="Arial"/>
                <w:sz w:val="13"/>
                <w:szCs w:val="13"/>
                <w:color w:val="auto"/>
                <w:w w:val="82"/>
              </w:rPr>
              <w:t>$</w:t>
            </w:r>
          </w:p>
        </w:tc>
        <w:tc>
          <w:tcPr>
            <w:tcW w:w="3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6.8</w:t>
            </w:r>
          </w:p>
        </w:tc>
        <w:tc>
          <w:tcPr>
            <w:tcW w:w="240" w:type="dxa"/>
            <w:vAlign w:val="bottom"/>
            <w:tcBorders>
              <w:top w:val="single" w:sz="8" w:color="CCEEFF"/>
              <w:right w:val="single" w:sz="8" w:color="CCEEFF"/>
            </w:tcBorders>
            <w:shd w:val="clear" w:color="auto" w:fill="CCEEFF"/>
          </w:tcPr>
          <w:p>
            <w:pPr>
              <w:spacing w:after="0"/>
              <w:rPr>
                <w:sz w:val="12"/>
                <w:szCs w:val="12"/>
                <w:color w:val="auto"/>
              </w:rPr>
            </w:pPr>
          </w:p>
        </w:tc>
        <w:tc>
          <w:tcPr>
            <w:tcW w:w="280" w:type="dxa"/>
            <w:vAlign w:val="bottom"/>
            <w:tcBorders>
              <w:top w:val="single" w:sz="8" w:color="auto"/>
            </w:tcBorders>
            <w:shd w:val="clear" w:color="auto" w:fill="CCEEFF"/>
          </w:tcPr>
          <w:p>
            <w:pPr>
              <w:jc w:val="right"/>
              <w:ind w:right="169"/>
              <w:spacing w:after="0"/>
              <w:rPr>
                <w:sz w:val="20"/>
                <w:szCs w:val="20"/>
                <w:color w:val="auto"/>
              </w:rPr>
            </w:pPr>
            <w:r>
              <w:rPr>
                <w:rFonts w:ascii="Arial" w:cs="Arial" w:eastAsia="Arial" w:hAnsi="Arial"/>
                <w:sz w:val="10"/>
                <w:szCs w:val="10"/>
                <w:color w:val="auto"/>
                <w:w w:val="71"/>
              </w:rPr>
              <w:t>$</w:t>
            </w:r>
          </w:p>
        </w:tc>
        <w:tc>
          <w:tcPr>
            <w:tcW w:w="9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5.8</w:t>
            </w:r>
          </w:p>
        </w:tc>
        <w:tc>
          <w:tcPr>
            <w:tcW w:w="24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tcBorders>
            <w:shd w:val="clear" w:color="auto" w:fill="CCEEFF"/>
          </w:tcPr>
          <w:p>
            <w:pPr>
              <w:jc w:val="right"/>
              <w:ind w:right="172"/>
              <w:spacing w:after="0"/>
              <w:rPr>
                <w:sz w:val="20"/>
                <w:szCs w:val="20"/>
                <w:color w:val="auto"/>
              </w:rPr>
            </w:pPr>
            <w:r>
              <w:rPr>
                <w:rFonts w:ascii="Arial" w:cs="Arial" w:eastAsia="Arial" w:hAnsi="Arial"/>
                <w:sz w:val="10"/>
                <w:szCs w:val="10"/>
                <w:color w:val="auto"/>
                <w:w w:val="71"/>
              </w:rPr>
              <w:t>$</w:t>
            </w:r>
          </w:p>
        </w:tc>
        <w:tc>
          <w:tcPr>
            <w:tcW w:w="9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5.4</w:t>
            </w:r>
          </w:p>
        </w:tc>
        <w:tc>
          <w:tcPr>
            <w:tcW w:w="22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tcBorders>
            <w:shd w:val="clear" w:color="auto" w:fill="CCEEFF"/>
          </w:tcPr>
          <w:p>
            <w:pPr>
              <w:jc w:val="right"/>
              <w:ind w:right="172"/>
              <w:spacing w:after="0"/>
              <w:rPr>
                <w:sz w:val="20"/>
                <w:szCs w:val="20"/>
                <w:color w:val="auto"/>
              </w:rPr>
            </w:pPr>
            <w:r>
              <w:rPr>
                <w:rFonts w:ascii="Arial" w:cs="Arial" w:eastAsia="Arial" w:hAnsi="Arial"/>
                <w:sz w:val="10"/>
                <w:szCs w:val="10"/>
                <w:color w:val="auto"/>
                <w:w w:val="71"/>
              </w:rPr>
              <w:t>$</w:t>
            </w:r>
          </w:p>
        </w:tc>
        <w:tc>
          <w:tcPr>
            <w:tcW w:w="9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9.9</w:t>
            </w: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73"/>
        </w:trPr>
        <w:tc>
          <w:tcPr>
            <w:tcW w:w="4140" w:type="dxa"/>
            <w:vAlign w:val="bottom"/>
          </w:tcPr>
          <w:p>
            <w:pPr>
              <w:spacing w:after="0"/>
              <w:rPr>
                <w:sz w:val="20"/>
                <w:szCs w:val="20"/>
                <w:color w:val="auto"/>
              </w:rPr>
            </w:pPr>
            <w:r>
              <w:rPr>
                <w:rFonts w:ascii="Arial" w:cs="Arial" w:eastAsia="Arial" w:hAnsi="Arial"/>
                <w:sz w:val="13"/>
                <w:szCs w:val="13"/>
                <w:b w:val="1"/>
                <w:bCs w:val="1"/>
                <w:color w:val="auto"/>
              </w:rPr>
              <w:t>Total credit allowance for losses</w:t>
            </w:r>
          </w:p>
        </w:tc>
        <w:tc>
          <w:tcPr>
            <w:tcW w:w="860" w:type="dxa"/>
            <w:vAlign w:val="bottom"/>
          </w:tcPr>
          <w:p>
            <w:pPr>
              <w:jc w:val="right"/>
              <w:ind w:right="749"/>
              <w:spacing w:after="0"/>
              <w:rPr>
                <w:sz w:val="20"/>
                <w:szCs w:val="20"/>
                <w:color w:val="auto"/>
              </w:rPr>
            </w:pPr>
            <w:r>
              <w:rPr>
                <w:rFonts w:ascii="Arial" w:cs="Arial" w:eastAsia="Arial" w:hAnsi="Arial"/>
                <w:sz w:val="10"/>
                <w:szCs w:val="10"/>
                <w:b w:val="1"/>
                <w:bCs w:val="1"/>
                <w:color w:val="auto"/>
                <w:w w:val="71"/>
              </w:rPr>
              <w:t>$</w:t>
            </w:r>
          </w:p>
        </w:tc>
        <w:tc>
          <w:tcPr>
            <w:tcW w:w="640" w:type="dxa"/>
            <w:vAlign w:val="bottom"/>
            <w:gridSpan w:val="2"/>
          </w:tcPr>
          <w:p>
            <w:pPr>
              <w:jc w:val="right"/>
              <w:ind w:right="240"/>
              <w:spacing w:after="0"/>
              <w:rPr>
                <w:sz w:val="20"/>
                <w:szCs w:val="20"/>
                <w:color w:val="auto"/>
              </w:rPr>
            </w:pPr>
            <w:r>
              <w:rPr>
                <w:rFonts w:ascii="Arial" w:cs="Arial" w:eastAsia="Arial" w:hAnsi="Arial"/>
                <w:sz w:val="13"/>
                <w:szCs w:val="13"/>
                <w:b w:val="1"/>
                <w:bCs w:val="1"/>
                <w:color w:val="auto"/>
              </w:rPr>
              <w:t>104.1</w:t>
            </w:r>
          </w:p>
        </w:tc>
        <w:tc>
          <w:tcPr>
            <w:tcW w:w="900" w:type="dxa"/>
            <w:vAlign w:val="bottom"/>
          </w:tcPr>
          <w:p>
            <w:pPr>
              <w:jc w:val="right"/>
              <w:ind w:right="756"/>
              <w:spacing w:after="0"/>
              <w:rPr>
                <w:sz w:val="20"/>
                <w:szCs w:val="20"/>
                <w:color w:val="auto"/>
              </w:rPr>
            </w:pPr>
            <w:r>
              <w:rPr>
                <w:rFonts w:ascii="Arial" w:cs="Arial" w:eastAsia="Arial" w:hAnsi="Arial"/>
                <w:sz w:val="13"/>
                <w:szCs w:val="13"/>
                <w:b w:val="1"/>
                <w:bCs w:val="1"/>
                <w:color w:val="auto"/>
                <w:w w:val="82"/>
              </w:rPr>
              <w:t>$</w:t>
            </w:r>
          </w:p>
        </w:tc>
        <w:tc>
          <w:tcPr>
            <w:tcW w:w="620" w:type="dxa"/>
            <w:vAlign w:val="bottom"/>
            <w:gridSpan w:val="2"/>
          </w:tcPr>
          <w:p>
            <w:pPr>
              <w:jc w:val="right"/>
              <w:ind w:right="240"/>
              <w:spacing w:after="0"/>
              <w:rPr>
                <w:sz w:val="20"/>
                <w:szCs w:val="20"/>
                <w:color w:val="auto"/>
              </w:rPr>
            </w:pPr>
            <w:r>
              <w:rPr>
                <w:rFonts w:ascii="Arial" w:cs="Arial" w:eastAsia="Arial" w:hAnsi="Arial"/>
                <w:sz w:val="13"/>
                <w:szCs w:val="13"/>
                <w:b w:val="1"/>
                <w:bCs w:val="1"/>
                <w:color w:val="auto"/>
              </w:rPr>
              <w:t>88.1</w:t>
            </w:r>
          </w:p>
        </w:tc>
        <w:tc>
          <w:tcPr>
            <w:tcW w:w="280" w:type="dxa"/>
            <w:vAlign w:val="bottom"/>
          </w:tcPr>
          <w:p>
            <w:pPr>
              <w:jc w:val="right"/>
              <w:ind w:right="169"/>
              <w:spacing w:after="0"/>
              <w:rPr>
                <w:sz w:val="20"/>
                <w:szCs w:val="20"/>
                <w:color w:val="auto"/>
              </w:rPr>
            </w:pPr>
            <w:r>
              <w:rPr>
                <w:rFonts w:ascii="Arial" w:cs="Arial" w:eastAsia="Arial" w:hAnsi="Arial"/>
                <w:sz w:val="10"/>
                <w:szCs w:val="10"/>
                <w:b w:val="1"/>
                <w:bCs w:val="1"/>
                <w:color w:val="auto"/>
                <w:w w:val="71"/>
              </w:rPr>
              <w:t>$</w:t>
            </w:r>
          </w:p>
        </w:tc>
        <w:tc>
          <w:tcPr>
            <w:tcW w:w="1200" w:type="dxa"/>
            <w:vAlign w:val="bottom"/>
            <w:gridSpan w:val="2"/>
          </w:tcPr>
          <w:p>
            <w:pPr>
              <w:jc w:val="right"/>
              <w:ind w:right="220"/>
              <w:spacing w:after="0"/>
              <w:rPr>
                <w:sz w:val="20"/>
                <w:szCs w:val="20"/>
                <w:color w:val="auto"/>
              </w:rPr>
            </w:pPr>
            <w:r>
              <w:rPr>
                <w:rFonts w:ascii="Arial" w:cs="Arial" w:eastAsia="Arial" w:hAnsi="Arial"/>
                <w:sz w:val="13"/>
                <w:szCs w:val="13"/>
                <w:b w:val="1"/>
                <w:bCs w:val="1"/>
                <w:color w:val="auto"/>
              </w:rPr>
              <w:t>111.8</w:t>
            </w:r>
          </w:p>
        </w:tc>
        <w:tc>
          <w:tcPr>
            <w:tcW w:w="280" w:type="dxa"/>
            <w:vAlign w:val="bottom"/>
          </w:tcPr>
          <w:p>
            <w:pPr>
              <w:jc w:val="right"/>
              <w:ind w:right="172"/>
              <w:spacing w:after="0"/>
              <w:rPr>
                <w:sz w:val="20"/>
                <w:szCs w:val="20"/>
                <w:color w:val="auto"/>
              </w:rPr>
            </w:pPr>
            <w:r>
              <w:rPr>
                <w:rFonts w:ascii="Arial" w:cs="Arial" w:eastAsia="Arial" w:hAnsi="Arial"/>
                <w:sz w:val="10"/>
                <w:szCs w:val="10"/>
                <w:b w:val="1"/>
                <w:bCs w:val="1"/>
                <w:color w:val="auto"/>
                <w:w w:val="71"/>
              </w:rPr>
              <w:t>$</w:t>
            </w:r>
          </w:p>
        </w:tc>
        <w:tc>
          <w:tcPr>
            <w:tcW w:w="1180" w:type="dxa"/>
            <w:vAlign w:val="bottom"/>
            <w:gridSpan w:val="2"/>
          </w:tcPr>
          <w:p>
            <w:pPr>
              <w:jc w:val="right"/>
              <w:ind w:right="220"/>
              <w:spacing w:after="0"/>
              <w:rPr>
                <w:sz w:val="20"/>
                <w:szCs w:val="20"/>
                <w:color w:val="auto"/>
              </w:rPr>
            </w:pPr>
            <w:r>
              <w:rPr>
                <w:rFonts w:ascii="Arial" w:cs="Arial" w:eastAsia="Arial" w:hAnsi="Arial"/>
                <w:sz w:val="13"/>
                <w:szCs w:val="13"/>
                <w:b w:val="1"/>
                <w:bCs w:val="1"/>
                <w:color w:val="auto"/>
              </w:rPr>
              <w:t>95.4</w:t>
            </w:r>
          </w:p>
        </w:tc>
        <w:tc>
          <w:tcPr>
            <w:tcW w:w="280" w:type="dxa"/>
            <w:vAlign w:val="bottom"/>
          </w:tcPr>
          <w:p>
            <w:pPr>
              <w:jc w:val="right"/>
              <w:ind w:right="172"/>
              <w:spacing w:after="0"/>
              <w:rPr>
                <w:sz w:val="20"/>
                <w:szCs w:val="20"/>
                <w:color w:val="auto"/>
              </w:rPr>
            </w:pPr>
            <w:r>
              <w:rPr>
                <w:rFonts w:ascii="Arial" w:cs="Arial" w:eastAsia="Arial" w:hAnsi="Arial"/>
                <w:sz w:val="10"/>
                <w:szCs w:val="10"/>
                <w:b w:val="1"/>
                <w:bCs w:val="1"/>
                <w:color w:val="auto"/>
                <w:w w:val="71"/>
              </w:rPr>
              <w:t>$</w:t>
            </w:r>
          </w:p>
        </w:tc>
        <w:tc>
          <w:tcPr>
            <w:tcW w:w="1100" w:type="dxa"/>
            <w:vAlign w:val="bottom"/>
            <w:gridSpan w:val="2"/>
          </w:tcPr>
          <w:p>
            <w:pPr>
              <w:jc w:val="right"/>
              <w:ind w:right="120"/>
              <w:spacing w:after="0"/>
              <w:rPr>
                <w:sz w:val="20"/>
                <w:szCs w:val="20"/>
                <w:color w:val="auto"/>
              </w:rPr>
            </w:pPr>
            <w:r>
              <w:rPr>
                <w:rFonts w:ascii="Arial" w:cs="Arial" w:eastAsia="Arial" w:hAnsi="Arial"/>
                <w:sz w:val="13"/>
                <w:szCs w:val="13"/>
                <w:b w:val="1"/>
                <w:bCs w:val="1"/>
                <w:color w:val="auto"/>
              </w:rPr>
              <w:t>87.6</w:t>
            </w:r>
          </w:p>
        </w:tc>
        <w:tc>
          <w:tcPr>
            <w:tcW w:w="0" w:type="dxa"/>
            <w:vAlign w:val="bottom"/>
          </w:tcPr>
          <w:p>
            <w:pPr>
              <w:spacing w:after="0"/>
              <w:rPr>
                <w:sz w:val="1"/>
                <w:szCs w:val="1"/>
                <w:color w:val="auto"/>
              </w:rPr>
            </w:pPr>
          </w:p>
        </w:tc>
      </w:tr>
      <w:tr>
        <w:trPr>
          <w:trHeight w:val="29"/>
        </w:trPr>
        <w:tc>
          <w:tcPr>
            <w:tcW w:w="4140" w:type="dxa"/>
            <w:vAlign w:val="bottom"/>
            <w:vMerge w:val="restart"/>
            <w:shd w:val="clear" w:color="auto" w:fill="CCEEFF"/>
          </w:tcPr>
          <w:p>
            <w:pPr>
              <w:spacing w:after="0"/>
              <w:rPr>
                <w:sz w:val="20"/>
                <w:szCs w:val="20"/>
                <w:color w:val="auto"/>
              </w:rPr>
            </w:pPr>
            <w:r>
              <w:rPr>
                <w:rFonts w:ascii="Arial" w:cs="Arial" w:eastAsia="Arial" w:hAnsi="Arial"/>
                <w:sz w:val="13"/>
                <w:szCs w:val="13"/>
                <w:color w:val="auto"/>
              </w:rPr>
              <w:t>Total credit allowance for losses to total Commercial Portfolio</w:t>
            </w:r>
          </w:p>
        </w:tc>
        <w:tc>
          <w:tcPr>
            <w:tcW w:w="860" w:type="dxa"/>
            <w:vAlign w:val="bottom"/>
            <w:shd w:val="clear" w:color="auto" w:fill="000000"/>
          </w:tcPr>
          <w:p>
            <w:pPr>
              <w:spacing w:after="0"/>
              <w:rPr>
                <w:sz w:val="2"/>
                <w:szCs w:val="2"/>
                <w:color w:val="auto"/>
              </w:rPr>
            </w:pPr>
          </w:p>
        </w:tc>
        <w:tc>
          <w:tcPr>
            <w:tcW w:w="40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900" w:type="dxa"/>
            <w:vAlign w:val="bottom"/>
            <w:shd w:val="clear" w:color="auto" w:fill="000000"/>
          </w:tcPr>
          <w:p>
            <w:pPr>
              <w:spacing w:after="0"/>
              <w:rPr>
                <w:sz w:val="2"/>
                <w:szCs w:val="2"/>
                <w:color w:val="auto"/>
              </w:rPr>
            </w:pPr>
          </w:p>
        </w:tc>
        <w:tc>
          <w:tcPr>
            <w:tcW w:w="380" w:type="dxa"/>
            <w:vAlign w:val="bottom"/>
            <w:shd w:val="clear" w:color="auto" w:fill="000000"/>
          </w:tcPr>
          <w:p>
            <w:pPr>
              <w:spacing w:after="0"/>
              <w:rPr>
                <w:sz w:val="2"/>
                <w:szCs w:val="2"/>
                <w:color w:val="auto"/>
              </w:rPr>
            </w:pPr>
          </w:p>
        </w:tc>
        <w:tc>
          <w:tcPr>
            <w:tcW w:w="240" w:type="dxa"/>
            <w:vAlign w:val="bottom"/>
            <w:tcBorders>
              <w:right w:val="single" w:sz="8" w:color="CCEEFF"/>
            </w:tcBorders>
            <w:shd w:val="clear" w:color="auto" w:fill="CCEEFF"/>
          </w:tcPr>
          <w:p>
            <w:pPr>
              <w:spacing w:after="0"/>
              <w:rPr>
                <w:sz w:val="2"/>
                <w:szCs w:val="2"/>
                <w:color w:val="auto"/>
              </w:rPr>
            </w:pPr>
          </w:p>
        </w:tc>
        <w:tc>
          <w:tcPr>
            <w:tcW w:w="280" w:type="dxa"/>
            <w:vAlign w:val="bottom"/>
            <w:shd w:val="clear" w:color="auto" w:fill="000000"/>
          </w:tcPr>
          <w:p>
            <w:pPr>
              <w:spacing w:after="0"/>
              <w:rPr>
                <w:sz w:val="2"/>
                <w:szCs w:val="2"/>
                <w:color w:val="auto"/>
              </w:rPr>
            </w:pPr>
          </w:p>
        </w:tc>
        <w:tc>
          <w:tcPr>
            <w:tcW w:w="96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280" w:type="dxa"/>
            <w:vAlign w:val="bottom"/>
            <w:shd w:val="clear" w:color="auto" w:fill="000000"/>
          </w:tcPr>
          <w:p>
            <w:pPr>
              <w:spacing w:after="0"/>
              <w:rPr>
                <w:sz w:val="2"/>
                <w:szCs w:val="2"/>
                <w:color w:val="auto"/>
              </w:rPr>
            </w:pPr>
          </w:p>
        </w:tc>
        <w:tc>
          <w:tcPr>
            <w:tcW w:w="96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280" w:type="dxa"/>
            <w:vAlign w:val="bottom"/>
            <w:shd w:val="clear" w:color="auto" w:fill="000000"/>
          </w:tcPr>
          <w:p>
            <w:pPr>
              <w:spacing w:after="0"/>
              <w:rPr>
                <w:sz w:val="2"/>
                <w:szCs w:val="2"/>
                <w:color w:val="auto"/>
              </w:rPr>
            </w:pPr>
          </w:p>
        </w:tc>
        <w:tc>
          <w:tcPr>
            <w:tcW w:w="980" w:type="dxa"/>
            <w:vAlign w:val="bottom"/>
            <w:shd w:val="clear" w:color="auto" w:fill="000000"/>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54"/>
        </w:trPr>
        <w:tc>
          <w:tcPr>
            <w:tcW w:w="4140" w:type="dxa"/>
            <w:vAlign w:val="bottom"/>
            <w:vMerge w:val="continue"/>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6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1.65%</w:t>
            </w:r>
          </w:p>
        </w:tc>
        <w:tc>
          <w:tcPr>
            <w:tcW w:w="900" w:type="dxa"/>
            <w:vAlign w:val="bottom"/>
            <w:shd w:val="clear" w:color="auto" w:fill="CCEEFF"/>
          </w:tcPr>
          <w:p>
            <w:pPr>
              <w:spacing w:after="0"/>
              <w:rPr>
                <w:sz w:val="13"/>
                <w:szCs w:val="13"/>
                <w:color w:val="auto"/>
              </w:rPr>
            </w:pPr>
          </w:p>
        </w:tc>
        <w:tc>
          <w:tcPr>
            <w:tcW w:w="620" w:type="dxa"/>
            <w:vAlign w:val="bottom"/>
            <w:tcBorders>
              <w:right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1.47%</w:t>
            </w:r>
          </w:p>
        </w:tc>
        <w:tc>
          <w:tcPr>
            <w:tcW w:w="280" w:type="dxa"/>
            <w:vAlign w:val="bottom"/>
            <w:shd w:val="clear" w:color="auto" w:fill="CCEEFF"/>
          </w:tcPr>
          <w:p>
            <w:pPr>
              <w:spacing w:after="0"/>
              <w:rPr>
                <w:sz w:val="13"/>
                <w:szCs w:val="13"/>
                <w:color w:val="auto"/>
              </w:rPr>
            </w:pPr>
          </w:p>
        </w:tc>
        <w:tc>
          <w:tcPr>
            <w:tcW w:w="12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1.73%</w:t>
            </w:r>
          </w:p>
        </w:tc>
        <w:tc>
          <w:tcPr>
            <w:tcW w:w="280" w:type="dxa"/>
            <w:vAlign w:val="bottom"/>
            <w:shd w:val="clear" w:color="auto" w:fill="CCEEFF"/>
          </w:tcPr>
          <w:p>
            <w:pPr>
              <w:spacing w:after="0"/>
              <w:rPr>
                <w:sz w:val="13"/>
                <w:szCs w:val="13"/>
                <w:color w:val="auto"/>
              </w:rPr>
            </w:pPr>
          </w:p>
        </w:tc>
        <w:tc>
          <w:tcPr>
            <w:tcW w:w="11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1.33%</w:t>
            </w:r>
          </w:p>
        </w:tc>
        <w:tc>
          <w:tcPr>
            <w:tcW w:w="28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1.22%</w:t>
            </w:r>
          </w:p>
        </w:tc>
        <w:tc>
          <w:tcPr>
            <w:tcW w:w="0" w:type="dxa"/>
            <w:vAlign w:val="bottom"/>
          </w:tcPr>
          <w:p>
            <w:pPr>
              <w:spacing w:after="0"/>
              <w:rPr>
                <w:sz w:val="1"/>
                <w:szCs w:val="1"/>
                <w:color w:val="auto"/>
              </w:rPr>
            </w:pPr>
          </w:p>
        </w:tc>
      </w:tr>
      <w:tr>
        <w:trPr>
          <w:trHeight w:val="162"/>
        </w:trPr>
        <w:tc>
          <w:tcPr>
            <w:tcW w:w="4140" w:type="dxa"/>
            <w:vAlign w:val="bottom"/>
          </w:tcPr>
          <w:p>
            <w:pPr>
              <w:spacing w:after="0"/>
              <w:rPr>
                <w:sz w:val="20"/>
                <w:szCs w:val="20"/>
                <w:color w:val="auto"/>
              </w:rPr>
            </w:pPr>
            <w:r>
              <w:rPr>
                <w:rFonts w:ascii="Arial" w:cs="Arial" w:eastAsia="Arial" w:hAnsi="Arial"/>
                <w:sz w:val="13"/>
                <w:szCs w:val="13"/>
                <w:color w:val="auto"/>
              </w:rPr>
              <w:t>Charge-offs to average Loan Portfolio</w:t>
            </w:r>
          </w:p>
        </w:tc>
        <w:tc>
          <w:tcPr>
            <w:tcW w:w="860" w:type="dxa"/>
            <w:vAlign w:val="bottom"/>
          </w:tcPr>
          <w:p>
            <w:pPr>
              <w:spacing w:after="0"/>
              <w:rPr>
                <w:sz w:val="14"/>
                <w:szCs w:val="14"/>
                <w:color w:val="auto"/>
              </w:rPr>
            </w:pPr>
          </w:p>
        </w:tc>
        <w:tc>
          <w:tcPr>
            <w:tcW w:w="640" w:type="dxa"/>
            <w:vAlign w:val="bottom"/>
            <w:gridSpan w:val="2"/>
          </w:tcPr>
          <w:p>
            <w:pPr>
              <w:jc w:val="right"/>
              <w:ind w:right="120"/>
              <w:spacing w:after="0"/>
              <w:rPr>
                <w:sz w:val="20"/>
                <w:szCs w:val="20"/>
                <w:color w:val="auto"/>
              </w:rPr>
            </w:pPr>
            <w:r>
              <w:rPr>
                <w:rFonts w:ascii="Arial" w:cs="Arial" w:eastAsia="Arial" w:hAnsi="Arial"/>
                <w:sz w:val="13"/>
                <w:szCs w:val="13"/>
                <w:color w:val="auto"/>
              </w:rPr>
              <w:t>0.75%</w:t>
            </w:r>
          </w:p>
        </w:tc>
        <w:tc>
          <w:tcPr>
            <w:tcW w:w="900" w:type="dxa"/>
            <w:vAlign w:val="bottom"/>
          </w:tcPr>
          <w:p>
            <w:pPr>
              <w:spacing w:after="0"/>
              <w:rPr>
                <w:sz w:val="14"/>
                <w:szCs w:val="14"/>
                <w:color w:val="auto"/>
              </w:rPr>
            </w:pPr>
          </w:p>
        </w:tc>
        <w:tc>
          <w:tcPr>
            <w:tcW w:w="620" w:type="dxa"/>
            <w:vAlign w:val="bottom"/>
            <w:gridSpan w:val="2"/>
          </w:tcPr>
          <w:p>
            <w:pPr>
              <w:jc w:val="right"/>
              <w:ind w:right="140"/>
              <w:spacing w:after="0"/>
              <w:rPr>
                <w:sz w:val="20"/>
                <w:szCs w:val="20"/>
                <w:color w:val="auto"/>
              </w:rPr>
            </w:pPr>
            <w:r>
              <w:rPr>
                <w:rFonts w:ascii="Arial" w:cs="Arial" w:eastAsia="Arial" w:hAnsi="Arial"/>
                <w:sz w:val="13"/>
                <w:szCs w:val="13"/>
                <w:color w:val="auto"/>
              </w:rPr>
              <w:t>0.61%</w:t>
            </w:r>
          </w:p>
        </w:tc>
        <w:tc>
          <w:tcPr>
            <w:tcW w:w="280" w:type="dxa"/>
            <w:vAlign w:val="bottom"/>
          </w:tcPr>
          <w:p>
            <w:pPr>
              <w:spacing w:after="0"/>
              <w:rPr>
                <w:sz w:val="14"/>
                <w:szCs w:val="14"/>
                <w:color w:val="auto"/>
              </w:rPr>
            </w:pPr>
          </w:p>
        </w:tc>
        <w:tc>
          <w:tcPr>
            <w:tcW w:w="1200" w:type="dxa"/>
            <w:vAlign w:val="bottom"/>
            <w:gridSpan w:val="2"/>
          </w:tcPr>
          <w:p>
            <w:pPr>
              <w:jc w:val="right"/>
              <w:ind w:right="120"/>
              <w:spacing w:after="0"/>
              <w:rPr>
                <w:sz w:val="20"/>
                <w:szCs w:val="20"/>
                <w:color w:val="auto"/>
              </w:rPr>
            </w:pPr>
            <w:r>
              <w:rPr>
                <w:rFonts w:ascii="Arial" w:cs="Arial" w:eastAsia="Arial" w:hAnsi="Arial"/>
                <w:sz w:val="13"/>
                <w:szCs w:val="13"/>
                <w:color w:val="auto"/>
              </w:rPr>
              <w:t>0.29%</w:t>
            </w:r>
          </w:p>
        </w:tc>
        <w:tc>
          <w:tcPr>
            <w:tcW w:w="280" w:type="dxa"/>
            <w:vAlign w:val="bottom"/>
          </w:tcPr>
          <w:p>
            <w:pPr>
              <w:spacing w:after="0"/>
              <w:rPr>
                <w:sz w:val="14"/>
                <w:szCs w:val="14"/>
                <w:color w:val="auto"/>
              </w:rPr>
            </w:pPr>
          </w:p>
        </w:tc>
        <w:tc>
          <w:tcPr>
            <w:tcW w:w="1180" w:type="dxa"/>
            <w:vAlign w:val="bottom"/>
            <w:gridSpan w:val="2"/>
          </w:tcPr>
          <w:p>
            <w:pPr>
              <w:jc w:val="right"/>
              <w:ind w:right="120"/>
              <w:spacing w:after="0"/>
              <w:rPr>
                <w:sz w:val="20"/>
                <w:szCs w:val="20"/>
                <w:color w:val="auto"/>
              </w:rPr>
            </w:pPr>
            <w:r>
              <w:rPr>
                <w:rFonts w:ascii="Arial" w:cs="Arial" w:eastAsia="Arial" w:hAnsi="Arial"/>
                <w:sz w:val="13"/>
                <w:szCs w:val="13"/>
                <w:color w:val="auto"/>
              </w:rPr>
              <w:t>0.08%</w:t>
            </w:r>
          </w:p>
        </w:tc>
        <w:tc>
          <w:tcPr>
            <w:tcW w:w="280" w:type="dxa"/>
            <w:vAlign w:val="bottom"/>
          </w:tcPr>
          <w:p>
            <w:pPr>
              <w:spacing w:after="0"/>
              <w:rPr>
                <w:sz w:val="14"/>
                <w:szCs w:val="14"/>
                <w:color w:val="auto"/>
              </w:rPr>
            </w:pPr>
          </w:p>
        </w:tc>
        <w:tc>
          <w:tcPr>
            <w:tcW w:w="110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bl>
    <w:p>
      <w:pPr>
        <w:spacing w:after="0" w:line="137" w:lineRule="exact"/>
        <w:rPr>
          <w:sz w:val="20"/>
          <w:szCs w:val="20"/>
          <w:color w:val="auto"/>
        </w:rPr>
      </w:pPr>
    </w:p>
    <w:p>
      <w:pPr>
        <w:jc w:val="both"/>
        <w:ind w:right="20"/>
        <w:spacing w:after="0" w:line="252" w:lineRule="auto"/>
        <w:rPr>
          <w:sz w:val="20"/>
          <w:szCs w:val="20"/>
          <w:color w:val="auto"/>
        </w:rPr>
      </w:pPr>
      <w:r>
        <w:rPr>
          <w:rFonts w:ascii="Arial" w:cs="Arial" w:eastAsia="Arial" w:hAnsi="Arial"/>
          <w:sz w:val="13"/>
          <w:szCs w:val="13"/>
          <w:color w:val="auto"/>
        </w:rPr>
        <w:t>The total credit allowance for losses amounted to $104.1 million as of December 31, 2018, representing 1.65% of the total Commercial Portfolio, compared to $88.1 million and 1.47%, respectively, as of December 31, 2017, and $111.8 million and 1.73%, respectively, as of December 31, 2016. The effects of impaired loan restructurings, sale and partial write-offs against existing individually allocated credit allowances during 2018 were offset by the classification of $65 million loans as credit-impaired, including a $62 million loan to a borrower in the Brazilian sugar sector, which resulted in a year-over-year increase of $15.9 million in total credit allowances for losses and 18 basis points in total reserve coverage in 2018. The 2017 year-over-year decrease of $23.7 million in credit allowances and 26 basis points in total reserve coverage was primarily attributable to write-offs against existing individually allocated reserves following finalized restructuring processes.</w:t>
      </w:r>
    </w:p>
    <w:p>
      <w:pPr>
        <w:spacing w:after="0" w:line="139" w:lineRule="exact"/>
        <w:rPr>
          <w:sz w:val="20"/>
          <w:szCs w:val="20"/>
          <w:color w:val="auto"/>
        </w:rPr>
      </w:pPr>
    </w:p>
    <w:p>
      <w:pPr>
        <w:spacing w:after="0"/>
        <w:rPr>
          <w:sz w:val="20"/>
          <w:szCs w:val="20"/>
          <w:color w:val="auto"/>
        </w:rPr>
      </w:pPr>
      <w:r>
        <w:rPr>
          <w:rFonts w:ascii="Arial" w:cs="Arial" w:eastAsia="Arial" w:hAnsi="Arial"/>
          <w:sz w:val="13"/>
          <w:szCs w:val="13"/>
          <w:color w:val="auto"/>
        </w:rPr>
        <w:t>The following table sets forth information regarding the Bank’s allowance for losses allocated by country of exposure as of the dates indicated:</w:t>
      </w:r>
    </w:p>
    <w:p>
      <w:pPr>
        <w:spacing w:after="0" w:line="307"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60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62" w:name="page63"/>
    <w:bookmarkEnd w:id="62"/>
    <w:tbl>
      <w:tblPr>
        <w:tblLayout w:type="fixed"/>
        <w:tblInd w:w="0"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3540" w:type="dxa"/>
            <w:vAlign w:val="bottom"/>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4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460" w:type="dxa"/>
            <w:vAlign w:val="bottom"/>
            <w:tcBorders>
              <w:bottom w:val="single" w:sz="8" w:color="auto"/>
            </w:tcBorders>
          </w:tcPr>
          <w:p>
            <w:pPr>
              <w:spacing w:after="0"/>
              <w:rPr>
                <w:sz w:val="14"/>
                <w:szCs w:val="14"/>
                <w:color w:val="auto"/>
              </w:rPr>
            </w:pPr>
          </w:p>
        </w:tc>
        <w:tc>
          <w:tcPr>
            <w:tcW w:w="26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46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460" w:type="dxa"/>
            <w:vAlign w:val="bottom"/>
            <w:tcBorders>
              <w:bottom w:val="single" w:sz="8" w:color="auto"/>
            </w:tcBorders>
          </w:tcPr>
          <w:p>
            <w:pPr>
              <w:spacing w:after="0"/>
              <w:rPr>
                <w:sz w:val="14"/>
                <w:szCs w:val="14"/>
                <w:color w:val="auto"/>
              </w:rPr>
            </w:pPr>
          </w:p>
        </w:tc>
        <w:tc>
          <w:tcPr>
            <w:tcW w:w="26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1460" w:type="dxa"/>
            <w:vAlign w:val="bottom"/>
            <w:tcBorders>
              <w:bottom w:val="single" w:sz="8" w:color="auto"/>
            </w:tcBorders>
            <w:gridSpan w:val="5"/>
          </w:tcPr>
          <w:p>
            <w:pPr>
              <w:jc w:val="right"/>
              <w:ind w:right="336"/>
              <w:spacing w:after="0"/>
              <w:rPr>
                <w:sz w:val="20"/>
                <w:szCs w:val="20"/>
                <w:color w:val="auto"/>
              </w:rPr>
            </w:pPr>
            <w:r>
              <w:rPr>
                <w:rFonts w:ascii="Arial" w:cs="Arial" w:eastAsia="Arial" w:hAnsi="Arial"/>
                <w:sz w:val="13"/>
                <w:szCs w:val="13"/>
                <w:b w:val="1"/>
                <w:bCs w:val="1"/>
                <w:color w:val="auto"/>
                <w:w w:val="86"/>
              </w:rPr>
              <w:t>As of December 31,</w:t>
            </w:r>
          </w:p>
        </w:tc>
        <w:tc>
          <w:tcPr>
            <w:tcW w:w="6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46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44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4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4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440" w:type="dxa"/>
            <w:vAlign w:val="bottom"/>
            <w:tcBorders>
              <w:bottom w:val="single" w:sz="8" w:color="auto"/>
            </w:tcBorders>
          </w:tcPr>
          <w:p>
            <w:pPr>
              <w:spacing w:after="0"/>
              <w:rPr>
                <w:sz w:val="14"/>
                <w:szCs w:val="14"/>
                <w:color w:val="auto"/>
              </w:rPr>
            </w:pPr>
          </w:p>
        </w:tc>
        <w:tc>
          <w:tcPr>
            <w:tcW w:w="1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540" w:type="dxa"/>
            <w:vAlign w:val="bottom"/>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820" w:type="dxa"/>
            <w:vAlign w:val="bottom"/>
            <w:tcBorders>
              <w:bottom w:val="single" w:sz="8" w:color="auto"/>
            </w:tcBorders>
            <w:gridSpan w:val="3"/>
          </w:tcPr>
          <w:p>
            <w:pPr>
              <w:jc w:val="right"/>
              <w:ind w:right="100"/>
              <w:spacing w:after="0"/>
              <w:rPr>
                <w:sz w:val="20"/>
                <w:szCs w:val="20"/>
                <w:color w:val="auto"/>
              </w:rPr>
            </w:pPr>
            <w:r>
              <w:rPr>
                <w:rFonts w:ascii="Arial" w:cs="Arial" w:eastAsia="Arial" w:hAnsi="Arial"/>
                <w:sz w:val="13"/>
                <w:szCs w:val="13"/>
                <w:b w:val="1"/>
                <w:bCs w:val="1"/>
                <w:color w:val="auto"/>
              </w:rPr>
              <w:t>2018</w:t>
            </w:r>
          </w:p>
        </w:tc>
        <w:tc>
          <w:tcPr>
            <w:tcW w:w="460" w:type="dxa"/>
            <w:vAlign w:val="bottom"/>
            <w:tcBorders>
              <w:bottom w:val="single" w:sz="8" w:color="auto"/>
            </w:tcBorders>
          </w:tcPr>
          <w:p>
            <w:pPr>
              <w:spacing w:after="0"/>
              <w:rPr>
                <w:sz w:val="13"/>
                <w:szCs w:val="13"/>
                <w:color w:val="auto"/>
              </w:rPr>
            </w:pPr>
          </w:p>
        </w:tc>
        <w:tc>
          <w:tcPr>
            <w:tcW w:w="260" w:type="dxa"/>
            <w:vAlign w:val="bottom"/>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820" w:type="dxa"/>
            <w:vAlign w:val="bottom"/>
            <w:tcBorders>
              <w:bottom w:val="single" w:sz="8" w:color="auto"/>
            </w:tcBorders>
            <w:gridSpan w:val="3"/>
          </w:tcPr>
          <w:p>
            <w:pPr>
              <w:jc w:val="right"/>
              <w:ind w:right="120"/>
              <w:spacing w:after="0"/>
              <w:rPr>
                <w:sz w:val="20"/>
                <w:szCs w:val="20"/>
                <w:color w:val="auto"/>
              </w:rPr>
            </w:pPr>
            <w:r>
              <w:rPr>
                <w:rFonts w:ascii="Arial" w:cs="Arial" w:eastAsia="Arial" w:hAnsi="Arial"/>
                <w:sz w:val="13"/>
                <w:szCs w:val="13"/>
                <w:b w:val="1"/>
                <w:bCs w:val="1"/>
                <w:color w:val="auto"/>
              </w:rPr>
              <w:t>2017</w:t>
            </w:r>
          </w:p>
        </w:tc>
        <w:tc>
          <w:tcPr>
            <w:tcW w:w="460" w:type="dxa"/>
            <w:vAlign w:val="bottom"/>
            <w:tcBorders>
              <w:bottom w:val="single" w:sz="8" w:color="auto"/>
            </w:tcBorders>
          </w:tcPr>
          <w:p>
            <w:pPr>
              <w:spacing w:after="0"/>
              <w:rPr>
                <w:sz w:val="13"/>
                <w:szCs w:val="13"/>
                <w:color w:val="auto"/>
              </w:rPr>
            </w:pPr>
          </w:p>
        </w:tc>
        <w:tc>
          <w:tcPr>
            <w:tcW w:w="260" w:type="dxa"/>
            <w:vAlign w:val="bottom"/>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840" w:type="dxa"/>
            <w:vAlign w:val="bottom"/>
            <w:tcBorders>
              <w:bottom w:val="single" w:sz="8" w:color="auto"/>
            </w:tcBorders>
            <w:gridSpan w:val="3"/>
          </w:tcPr>
          <w:p>
            <w:pPr>
              <w:jc w:val="right"/>
              <w:ind w:right="100"/>
              <w:spacing w:after="0"/>
              <w:rPr>
                <w:sz w:val="20"/>
                <w:szCs w:val="20"/>
                <w:color w:val="auto"/>
              </w:rPr>
            </w:pPr>
            <w:r>
              <w:rPr>
                <w:rFonts w:ascii="Arial" w:cs="Arial" w:eastAsia="Arial" w:hAnsi="Arial"/>
                <w:sz w:val="13"/>
                <w:szCs w:val="13"/>
                <w:b w:val="1"/>
                <w:bCs w:val="1"/>
                <w:color w:val="auto"/>
              </w:rPr>
              <w:t>2016</w:t>
            </w:r>
          </w:p>
        </w:tc>
        <w:tc>
          <w:tcPr>
            <w:tcW w:w="440" w:type="dxa"/>
            <w:vAlign w:val="bottom"/>
            <w:tcBorders>
              <w:bottom w:val="single" w:sz="8" w:color="auto"/>
            </w:tcBorders>
          </w:tcPr>
          <w:p>
            <w:pPr>
              <w:spacing w:after="0"/>
              <w:rPr>
                <w:sz w:val="13"/>
                <w:szCs w:val="13"/>
                <w:color w:val="auto"/>
              </w:rPr>
            </w:pPr>
          </w:p>
        </w:tc>
        <w:tc>
          <w:tcPr>
            <w:tcW w:w="18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780" w:type="dxa"/>
            <w:vAlign w:val="bottom"/>
            <w:tcBorders>
              <w:bottom w:val="single" w:sz="8" w:color="auto"/>
            </w:tcBorders>
            <w:gridSpan w:val="3"/>
          </w:tcPr>
          <w:p>
            <w:pPr>
              <w:jc w:val="right"/>
              <w:ind w:right="80"/>
              <w:spacing w:after="0"/>
              <w:rPr>
                <w:sz w:val="20"/>
                <w:szCs w:val="20"/>
                <w:color w:val="auto"/>
              </w:rPr>
            </w:pPr>
            <w:r>
              <w:rPr>
                <w:rFonts w:ascii="Arial" w:cs="Arial" w:eastAsia="Arial" w:hAnsi="Arial"/>
                <w:sz w:val="13"/>
                <w:szCs w:val="13"/>
                <w:b w:val="1"/>
                <w:bCs w:val="1"/>
                <w:color w:val="auto"/>
              </w:rPr>
              <w:t>2015</w:t>
            </w:r>
          </w:p>
        </w:tc>
        <w:tc>
          <w:tcPr>
            <w:tcW w:w="440" w:type="dxa"/>
            <w:vAlign w:val="bottom"/>
            <w:tcBorders>
              <w:bottom w:val="single" w:sz="8" w:color="auto"/>
            </w:tcBorders>
          </w:tcPr>
          <w:p>
            <w:pPr>
              <w:spacing w:after="0"/>
              <w:rPr>
                <w:sz w:val="13"/>
                <w:szCs w:val="13"/>
                <w:color w:val="auto"/>
              </w:rPr>
            </w:pPr>
          </w:p>
        </w:tc>
        <w:tc>
          <w:tcPr>
            <w:tcW w:w="20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800" w:type="dxa"/>
            <w:vAlign w:val="bottom"/>
            <w:tcBorders>
              <w:bottom w:val="single" w:sz="8" w:color="auto"/>
            </w:tcBorders>
            <w:gridSpan w:val="3"/>
          </w:tcPr>
          <w:p>
            <w:pPr>
              <w:jc w:val="right"/>
              <w:ind w:right="100"/>
              <w:spacing w:after="0"/>
              <w:rPr>
                <w:sz w:val="20"/>
                <w:szCs w:val="20"/>
                <w:color w:val="auto"/>
              </w:rPr>
            </w:pPr>
            <w:r>
              <w:rPr>
                <w:rFonts w:ascii="Arial" w:cs="Arial" w:eastAsia="Arial" w:hAnsi="Arial"/>
                <w:sz w:val="13"/>
                <w:szCs w:val="13"/>
                <w:b w:val="1"/>
                <w:bCs w:val="1"/>
                <w:color w:val="auto"/>
              </w:rPr>
              <w:t>2014</w:t>
            </w:r>
          </w:p>
        </w:tc>
        <w:tc>
          <w:tcPr>
            <w:tcW w:w="440" w:type="dxa"/>
            <w:vAlign w:val="bottom"/>
            <w:tcBorders>
              <w:bottom w:val="single" w:sz="8" w:color="auto"/>
            </w:tcBorders>
          </w:tcPr>
          <w:p>
            <w:pPr>
              <w:spacing w:after="0"/>
              <w:rPr>
                <w:sz w:val="13"/>
                <w:szCs w:val="13"/>
                <w:color w:val="auto"/>
              </w:rPr>
            </w:pP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3"/>
        </w:trPr>
        <w:tc>
          <w:tcPr>
            <w:tcW w:w="20" w:type="dxa"/>
            <w:vAlign w:val="bottom"/>
          </w:tcPr>
          <w:p>
            <w:pPr>
              <w:spacing w:after="0"/>
              <w:rPr>
                <w:sz w:val="13"/>
                <w:szCs w:val="13"/>
                <w:color w:val="auto"/>
              </w:rPr>
            </w:pPr>
          </w:p>
        </w:tc>
        <w:tc>
          <w:tcPr>
            <w:tcW w:w="35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820" w:type="dxa"/>
            <w:vAlign w:val="bottom"/>
            <w:gridSpan w:val="3"/>
          </w:tcPr>
          <w:p>
            <w:pPr>
              <w:jc w:val="right"/>
              <w:ind w:right="500"/>
              <w:spacing w:after="0"/>
              <w:rPr>
                <w:sz w:val="20"/>
                <w:szCs w:val="20"/>
                <w:color w:val="auto"/>
              </w:rPr>
            </w:pPr>
            <w:r>
              <w:rPr>
                <w:rFonts w:ascii="Arial" w:cs="Arial" w:eastAsia="Arial" w:hAnsi="Arial"/>
                <w:sz w:val="13"/>
                <w:szCs w:val="13"/>
                <w:b w:val="1"/>
                <w:bCs w:val="1"/>
                <w:color w:val="auto"/>
                <w:w w:val="96"/>
              </w:rPr>
              <w:t>Total</w:t>
            </w:r>
          </w:p>
        </w:tc>
        <w:tc>
          <w:tcPr>
            <w:tcW w:w="460" w:type="dxa"/>
            <w:vAlign w:val="bottom"/>
          </w:tcPr>
          <w:p>
            <w:pPr>
              <w:jc w:val="right"/>
              <w:ind w:right="156"/>
              <w:spacing w:after="0"/>
              <w:rPr>
                <w:sz w:val="20"/>
                <w:szCs w:val="20"/>
                <w:color w:val="auto"/>
              </w:rPr>
            </w:pPr>
            <w:r>
              <w:rPr>
                <w:rFonts w:ascii="Arial" w:cs="Arial" w:eastAsia="Arial" w:hAnsi="Arial"/>
                <w:sz w:val="13"/>
                <w:szCs w:val="13"/>
                <w:b w:val="1"/>
                <w:bCs w:val="1"/>
                <w:color w:val="auto"/>
              </w:rPr>
              <w:t>%</w:t>
            </w:r>
          </w:p>
        </w:tc>
        <w:tc>
          <w:tcPr>
            <w:tcW w:w="2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20" w:type="dxa"/>
            <w:vAlign w:val="bottom"/>
            <w:gridSpan w:val="3"/>
          </w:tcPr>
          <w:p>
            <w:pPr>
              <w:jc w:val="right"/>
              <w:ind w:right="500"/>
              <w:spacing w:after="0"/>
              <w:rPr>
                <w:sz w:val="20"/>
                <w:szCs w:val="20"/>
                <w:color w:val="auto"/>
              </w:rPr>
            </w:pPr>
            <w:r>
              <w:rPr>
                <w:rFonts w:ascii="Arial" w:cs="Arial" w:eastAsia="Arial" w:hAnsi="Arial"/>
                <w:sz w:val="13"/>
                <w:szCs w:val="13"/>
                <w:b w:val="1"/>
                <w:bCs w:val="1"/>
                <w:color w:val="auto"/>
                <w:w w:val="96"/>
              </w:rPr>
              <w:t>Total</w:t>
            </w:r>
          </w:p>
        </w:tc>
        <w:tc>
          <w:tcPr>
            <w:tcW w:w="460" w:type="dxa"/>
            <w:vAlign w:val="bottom"/>
          </w:tcPr>
          <w:p>
            <w:pPr>
              <w:jc w:val="right"/>
              <w:ind w:right="176"/>
              <w:spacing w:after="0"/>
              <w:rPr>
                <w:sz w:val="20"/>
                <w:szCs w:val="20"/>
                <w:color w:val="auto"/>
              </w:rPr>
            </w:pPr>
            <w:r>
              <w:rPr>
                <w:rFonts w:ascii="Arial" w:cs="Arial" w:eastAsia="Arial" w:hAnsi="Arial"/>
                <w:sz w:val="13"/>
                <w:szCs w:val="13"/>
                <w:b w:val="1"/>
                <w:bCs w:val="1"/>
                <w:color w:val="auto"/>
              </w:rPr>
              <w:t>%</w:t>
            </w:r>
          </w:p>
        </w:tc>
        <w:tc>
          <w:tcPr>
            <w:tcW w:w="26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840" w:type="dxa"/>
            <w:vAlign w:val="bottom"/>
            <w:gridSpan w:val="3"/>
          </w:tcPr>
          <w:p>
            <w:pPr>
              <w:jc w:val="right"/>
              <w:ind w:right="480"/>
              <w:spacing w:after="0"/>
              <w:rPr>
                <w:sz w:val="20"/>
                <w:szCs w:val="20"/>
                <w:color w:val="auto"/>
              </w:rPr>
            </w:pPr>
            <w:r>
              <w:rPr>
                <w:rFonts w:ascii="Arial" w:cs="Arial" w:eastAsia="Arial" w:hAnsi="Arial"/>
                <w:sz w:val="13"/>
                <w:szCs w:val="13"/>
                <w:b w:val="1"/>
                <w:bCs w:val="1"/>
                <w:color w:val="auto"/>
              </w:rPr>
              <w:t>Total</w:t>
            </w:r>
          </w:p>
        </w:tc>
        <w:tc>
          <w:tcPr>
            <w:tcW w:w="440" w:type="dxa"/>
            <w:vAlign w:val="bottom"/>
          </w:tcPr>
          <w:p>
            <w:pPr>
              <w:jc w:val="right"/>
              <w:ind w:right="156"/>
              <w:spacing w:after="0"/>
              <w:rPr>
                <w:sz w:val="20"/>
                <w:szCs w:val="20"/>
                <w:color w:val="auto"/>
              </w:rPr>
            </w:pPr>
            <w:r>
              <w:rPr>
                <w:rFonts w:ascii="Arial" w:cs="Arial" w:eastAsia="Arial" w:hAnsi="Arial"/>
                <w:sz w:val="13"/>
                <w:szCs w:val="13"/>
                <w:b w:val="1"/>
                <w:bCs w:val="1"/>
                <w:color w:val="auto"/>
              </w:rPr>
              <w:t>%</w:t>
            </w:r>
          </w:p>
        </w:tc>
        <w:tc>
          <w:tcPr>
            <w:tcW w:w="18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780" w:type="dxa"/>
            <w:vAlign w:val="bottom"/>
            <w:gridSpan w:val="3"/>
          </w:tcPr>
          <w:p>
            <w:pPr>
              <w:jc w:val="right"/>
              <w:ind w:right="460"/>
              <w:spacing w:after="0"/>
              <w:rPr>
                <w:sz w:val="20"/>
                <w:szCs w:val="20"/>
                <w:color w:val="auto"/>
              </w:rPr>
            </w:pPr>
            <w:r>
              <w:rPr>
                <w:rFonts w:ascii="Arial" w:cs="Arial" w:eastAsia="Arial" w:hAnsi="Arial"/>
                <w:sz w:val="13"/>
                <w:szCs w:val="13"/>
                <w:b w:val="1"/>
                <w:bCs w:val="1"/>
                <w:color w:val="auto"/>
                <w:w w:val="96"/>
              </w:rPr>
              <w:t>Total</w:t>
            </w:r>
          </w:p>
        </w:tc>
        <w:tc>
          <w:tcPr>
            <w:tcW w:w="440" w:type="dxa"/>
            <w:vAlign w:val="bottom"/>
          </w:tcPr>
          <w:p>
            <w:pPr>
              <w:jc w:val="right"/>
              <w:ind w:right="136"/>
              <w:spacing w:after="0"/>
              <w:rPr>
                <w:sz w:val="20"/>
                <w:szCs w:val="20"/>
                <w:color w:val="auto"/>
              </w:rPr>
            </w:pPr>
            <w:r>
              <w:rPr>
                <w:rFonts w:ascii="Arial" w:cs="Arial" w:eastAsia="Arial" w:hAnsi="Arial"/>
                <w:sz w:val="13"/>
                <w:szCs w:val="13"/>
                <w:b w:val="1"/>
                <w:bCs w:val="1"/>
                <w:color w:val="auto"/>
              </w:rPr>
              <w:t>%</w:t>
            </w:r>
          </w:p>
        </w:tc>
        <w:tc>
          <w:tcPr>
            <w:tcW w:w="20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800" w:type="dxa"/>
            <w:vAlign w:val="bottom"/>
            <w:gridSpan w:val="3"/>
          </w:tcPr>
          <w:p>
            <w:pPr>
              <w:jc w:val="right"/>
              <w:ind w:right="480"/>
              <w:spacing w:after="0"/>
              <w:rPr>
                <w:sz w:val="20"/>
                <w:szCs w:val="20"/>
                <w:color w:val="auto"/>
              </w:rPr>
            </w:pPr>
            <w:r>
              <w:rPr>
                <w:rFonts w:ascii="Arial" w:cs="Arial" w:eastAsia="Arial" w:hAnsi="Arial"/>
                <w:sz w:val="13"/>
                <w:szCs w:val="13"/>
                <w:b w:val="1"/>
                <w:bCs w:val="1"/>
                <w:color w:val="auto"/>
                <w:w w:val="96"/>
              </w:rPr>
              <w:t>Total</w:t>
            </w:r>
          </w:p>
        </w:tc>
        <w:tc>
          <w:tcPr>
            <w:tcW w:w="440" w:type="dxa"/>
            <w:vAlign w:val="bottom"/>
          </w:tcPr>
          <w:p>
            <w:pPr>
              <w:jc w:val="right"/>
              <w:ind w:right="156"/>
              <w:spacing w:after="0"/>
              <w:rPr>
                <w:sz w:val="20"/>
                <w:szCs w:val="20"/>
                <w:color w:val="auto"/>
              </w:rPr>
            </w:pPr>
            <w:r>
              <w:rPr>
                <w:rFonts w:ascii="Arial" w:cs="Arial" w:eastAsia="Arial" w:hAnsi="Arial"/>
                <w:sz w:val="13"/>
                <w:szCs w:val="13"/>
                <w:b w:val="1"/>
                <w:bCs w:val="1"/>
                <w:color w:val="auto"/>
              </w:rPr>
              <w:t>%</w:t>
            </w: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354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480" w:type="dxa"/>
            <w:vAlign w:val="bottom"/>
            <w:tcBorders>
              <w:top w:val="single" w:sz="8" w:color="auto"/>
            </w:tcBorders>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460" w:type="dxa"/>
            <w:vAlign w:val="bottom"/>
            <w:tcBorders>
              <w:top w:val="single" w:sz="8" w:color="auto"/>
            </w:tcBorders>
          </w:tcPr>
          <w:p>
            <w:pPr>
              <w:spacing w:after="0"/>
              <w:rPr>
                <w:sz w:val="12"/>
                <w:szCs w:val="12"/>
                <w:color w:val="auto"/>
              </w:rPr>
            </w:pPr>
          </w:p>
        </w:tc>
        <w:tc>
          <w:tcPr>
            <w:tcW w:w="260" w:type="dxa"/>
            <w:vAlign w:val="bottom"/>
            <w:tcBorders>
              <w:top w:val="single" w:sz="8" w:color="auto"/>
            </w:tcBorders>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2440" w:type="dxa"/>
            <w:vAlign w:val="bottom"/>
            <w:tcBorders>
              <w:top w:val="single" w:sz="8" w:color="auto"/>
            </w:tcBorders>
            <w:gridSpan w:val="9"/>
          </w:tcPr>
          <w:p>
            <w:pPr>
              <w:jc w:val="right"/>
              <w:ind w:right="180"/>
              <w:spacing w:after="0" w:line="144" w:lineRule="exact"/>
              <w:rPr>
                <w:sz w:val="20"/>
                <w:szCs w:val="20"/>
                <w:color w:val="auto"/>
              </w:rPr>
            </w:pPr>
            <w:r>
              <w:rPr>
                <w:rFonts w:ascii="Arial" w:cs="Arial" w:eastAsia="Arial" w:hAnsi="Arial"/>
                <w:sz w:val="13"/>
                <w:szCs w:val="13"/>
                <w:b w:val="1"/>
                <w:bCs w:val="1"/>
                <w:color w:val="auto"/>
              </w:rPr>
              <w:t>(in $ millions, except percentages)</w:t>
            </w:r>
          </w:p>
        </w:tc>
        <w:tc>
          <w:tcPr>
            <w:tcW w:w="440" w:type="dxa"/>
            <w:vAlign w:val="bottom"/>
            <w:tcBorders>
              <w:top w:val="single" w:sz="8" w:color="auto"/>
            </w:tcBorders>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0" w:type="dxa"/>
            <w:vAlign w:val="bottom"/>
            <w:tcBorders>
              <w:top w:val="single" w:sz="8" w:color="auto"/>
            </w:tcBorders>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460" w:type="dxa"/>
            <w:vAlign w:val="bottom"/>
            <w:tcBorders>
              <w:top w:val="single" w:sz="8" w:color="auto"/>
            </w:tcBorders>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44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4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44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54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Allowance for loan losses</w:t>
            </w:r>
          </w:p>
        </w:tc>
        <w:tc>
          <w:tcPr>
            <w:tcW w:w="100" w:type="dxa"/>
            <w:vAlign w:val="bottom"/>
            <w:shd w:val="clear" w:color="auto" w:fill="CCEEFF"/>
          </w:tcPr>
          <w:p>
            <w:pPr>
              <w:spacing w:after="0"/>
              <w:rPr>
                <w:sz w:val="13"/>
                <w:szCs w:val="13"/>
                <w:color w:val="auto"/>
              </w:rPr>
            </w:pPr>
          </w:p>
        </w:tc>
        <w:tc>
          <w:tcPr>
            <w:tcW w:w="4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46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4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46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5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46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4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540" w:type="dxa"/>
            <w:vAlign w:val="bottom"/>
          </w:tcPr>
          <w:p>
            <w:pPr>
              <w:ind w:left="200"/>
              <w:spacing w:after="0"/>
              <w:rPr>
                <w:sz w:val="20"/>
                <w:szCs w:val="20"/>
                <w:color w:val="auto"/>
              </w:rPr>
            </w:pPr>
            <w:r>
              <w:rPr>
                <w:rFonts w:ascii="Arial" w:cs="Arial" w:eastAsia="Arial" w:hAnsi="Arial"/>
                <w:sz w:val="13"/>
                <w:szCs w:val="13"/>
                <w:color w:val="auto"/>
              </w:rPr>
              <w:t>Argentina</w:t>
            </w:r>
          </w:p>
        </w:tc>
        <w:tc>
          <w:tcPr>
            <w:tcW w:w="10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12.1</w:t>
            </w:r>
          </w:p>
        </w:tc>
        <w:tc>
          <w:tcPr>
            <w:tcW w:w="120" w:type="dxa"/>
            <w:vAlign w:val="bottom"/>
          </w:tcPr>
          <w:p>
            <w:pPr>
              <w:spacing w:after="0"/>
              <w:rPr>
                <w:sz w:val="13"/>
                <w:szCs w:val="13"/>
                <w:color w:val="auto"/>
              </w:rPr>
            </w:pPr>
          </w:p>
        </w:tc>
        <w:tc>
          <w:tcPr>
            <w:tcW w:w="720" w:type="dxa"/>
            <w:vAlign w:val="bottom"/>
            <w:gridSpan w:val="2"/>
          </w:tcPr>
          <w:p>
            <w:pPr>
              <w:jc w:val="right"/>
              <w:ind w:right="196"/>
              <w:spacing w:after="0"/>
              <w:rPr>
                <w:sz w:val="20"/>
                <w:szCs w:val="20"/>
                <w:color w:val="auto"/>
              </w:rPr>
            </w:pPr>
            <w:r>
              <w:rPr>
                <w:rFonts w:ascii="Arial" w:cs="Arial" w:eastAsia="Arial" w:hAnsi="Arial"/>
                <w:sz w:val="13"/>
                <w:szCs w:val="13"/>
                <w:color w:val="auto"/>
              </w:rPr>
              <w:t>12.0</w:t>
            </w:r>
          </w:p>
        </w:tc>
        <w:tc>
          <w:tcPr>
            <w:tcW w:w="120" w:type="dxa"/>
            <w:vAlign w:val="bottom"/>
          </w:tcPr>
          <w:p>
            <w:pPr>
              <w:jc w:val="right"/>
              <w:ind w:right="12"/>
              <w:spacing w:after="0"/>
              <w:rPr>
                <w:sz w:val="20"/>
                <w:szCs w:val="20"/>
                <w:color w:val="auto"/>
              </w:rPr>
            </w:pPr>
            <w:r>
              <w:rPr>
                <w:rFonts w:ascii="Arial" w:cs="Arial" w:eastAsia="Arial" w:hAnsi="Arial"/>
                <w:sz w:val="10"/>
                <w:szCs w:val="10"/>
                <w:color w:val="auto"/>
                <w:w w:val="71"/>
              </w:rPr>
              <w:t>$</w:t>
            </w:r>
          </w:p>
        </w:tc>
        <w:tc>
          <w:tcPr>
            <w:tcW w:w="700" w:type="dxa"/>
            <w:vAlign w:val="bottom"/>
            <w:gridSpan w:val="2"/>
          </w:tcPr>
          <w:p>
            <w:pPr>
              <w:jc w:val="right"/>
              <w:ind w:right="240"/>
              <w:spacing w:after="0"/>
              <w:rPr>
                <w:sz w:val="20"/>
                <w:szCs w:val="20"/>
                <w:color w:val="auto"/>
              </w:rPr>
            </w:pPr>
            <w:r>
              <w:rPr>
                <w:rFonts w:ascii="Arial" w:cs="Arial" w:eastAsia="Arial" w:hAnsi="Arial"/>
                <w:sz w:val="13"/>
                <w:szCs w:val="13"/>
                <w:color w:val="auto"/>
              </w:rPr>
              <w:t>5.0</w:t>
            </w:r>
          </w:p>
        </w:tc>
        <w:tc>
          <w:tcPr>
            <w:tcW w:w="120" w:type="dxa"/>
            <w:vAlign w:val="bottom"/>
          </w:tcPr>
          <w:p>
            <w:pPr>
              <w:spacing w:after="0"/>
              <w:rPr>
                <w:sz w:val="13"/>
                <w:szCs w:val="13"/>
                <w:color w:val="auto"/>
              </w:rPr>
            </w:pPr>
          </w:p>
        </w:tc>
        <w:tc>
          <w:tcPr>
            <w:tcW w:w="720" w:type="dxa"/>
            <w:vAlign w:val="bottom"/>
            <w:gridSpan w:val="2"/>
          </w:tcPr>
          <w:p>
            <w:pPr>
              <w:jc w:val="right"/>
              <w:ind w:right="196"/>
              <w:spacing w:after="0"/>
              <w:rPr>
                <w:sz w:val="20"/>
                <w:szCs w:val="20"/>
                <w:color w:val="auto"/>
              </w:rPr>
            </w:pPr>
            <w:r>
              <w:rPr>
                <w:rFonts w:ascii="Arial" w:cs="Arial" w:eastAsia="Arial" w:hAnsi="Arial"/>
                <w:sz w:val="13"/>
                <w:szCs w:val="13"/>
                <w:color w:val="auto"/>
              </w:rPr>
              <w:t>6.1</w:t>
            </w:r>
          </w:p>
        </w:tc>
        <w:tc>
          <w:tcPr>
            <w:tcW w:w="6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720" w:type="dxa"/>
            <w:vAlign w:val="bottom"/>
            <w:gridSpan w:val="2"/>
          </w:tcPr>
          <w:p>
            <w:pPr>
              <w:jc w:val="right"/>
              <w:ind w:right="220"/>
              <w:spacing w:after="0"/>
              <w:rPr>
                <w:sz w:val="20"/>
                <w:szCs w:val="20"/>
                <w:color w:val="auto"/>
              </w:rPr>
            </w:pPr>
            <w:r>
              <w:rPr>
                <w:rFonts w:ascii="Arial" w:cs="Arial" w:eastAsia="Arial" w:hAnsi="Arial"/>
                <w:sz w:val="13"/>
                <w:szCs w:val="13"/>
                <w:color w:val="auto"/>
              </w:rPr>
              <w:t>7.3</w:t>
            </w:r>
          </w:p>
        </w:tc>
        <w:tc>
          <w:tcPr>
            <w:tcW w:w="1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6.9</w:t>
            </w:r>
          </w:p>
        </w:tc>
        <w:tc>
          <w:tcPr>
            <w:tcW w:w="180" w:type="dxa"/>
            <w:vAlign w:val="bottom"/>
          </w:tcPr>
          <w:p>
            <w:pPr>
              <w:spacing w:after="0"/>
              <w:rPr>
                <w:sz w:val="13"/>
                <w:szCs w:val="13"/>
                <w:color w:val="auto"/>
              </w:rPr>
            </w:pPr>
          </w:p>
        </w:tc>
        <w:tc>
          <w:tcPr>
            <w:tcW w:w="16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660" w:type="dxa"/>
            <w:vAlign w:val="bottom"/>
            <w:gridSpan w:val="2"/>
          </w:tcPr>
          <w:p>
            <w:pPr>
              <w:jc w:val="right"/>
              <w:ind w:right="200"/>
              <w:spacing w:after="0"/>
              <w:rPr>
                <w:sz w:val="20"/>
                <w:szCs w:val="20"/>
                <w:color w:val="auto"/>
              </w:rPr>
            </w:pPr>
            <w:r>
              <w:rPr>
                <w:rFonts w:ascii="Arial" w:cs="Arial" w:eastAsia="Arial" w:hAnsi="Arial"/>
                <w:sz w:val="13"/>
                <w:szCs w:val="13"/>
                <w:color w:val="auto"/>
              </w:rPr>
              <w:t>14.5</w:t>
            </w:r>
          </w:p>
        </w:tc>
        <w:tc>
          <w:tcPr>
            <w:tcW w:w="120" w:type="dxa"/>
            <w:vAlign w:val="bottom"/>
          </w:tcPr>
          <w:p>
            <w:pPr>
              <w:spacing w:after="0"/>
              <w:rPr>
                <w:sz w:val="13"/>
                <w:szCs w:val="13"/>
                <w:color w:val="auto"/>
              </w:rPr>
            </w:pPr>
          </w:p>
        </w:tc>
        <w:tc>
          <w:tcPr>
            <w:tcW w:w="640" w:type="dxa"/>
            <w:vAlign w:val="bottom"/>
            <w:gridSpan w:val="2"/>
          </w:tcPr>
          <w:p>
            <w:pPr>
              <w:jc w:val="right"/>
              <w:ind w:right="136"/>
              <w:spacing w:after="0"/>
              <w:rPr>
                <w:sz w:val="20"/>
                <w:szCs w:val="20"/>
                <w:color w:val="auto"/>
              </w:rPr>
            </w:pPr>
            <w:r>
              <w:rPr>
                <w:rFonts w:ascii="Arial" w:cs="Arial" w:eastAsia="Arial" w:hAnsi="Arial"/>
                <w:sz w:val="13"/>
                <w:szCs w:val="13"/>
                <w:color w:val="auto"/>
              </w:rPr>
              <w:t>16.1</w:t>
            </w:r>
          </w:p>
        </w:tc>
        <w:tc>
          <w:tcPr>
            <w:tcW w:w="14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680" w:type="dxa"/>
            <w:vAlign w:val="bottom"/>
            <w:gridSpan w:val="2"/>
          </w:tcPr>
          <w:p>
            <w:pPr>
              <w:jc w:val="right"/>
              <w:ind w:right="220"/>
              <w:spacing w:after="0"/>
              <w:rPr>
                <w:sz w:val="20"/>
                <w:szCs w:val="20"/>
                <w:color w:val="auto"/>
              </w:rPr>
            </w:pPr>
            <w:r>
              <w:rPr>
                <w:rFonts w:ascii="Arial" w:cs="Arial" w:eastAsia="Arial" w:hAnsi="Arial"/>
                <w:sz w:val="13"/>
                <w:szCs w:val="13"/>
                <w:color w:val="auto"/>
              </w:rPr>
              <w:t>17.9</w:t>
            </w:r>
          </w:p>
        </w:tc>
        <w:tc>
          <w:tcPr>
            <w:tcW w:w="120" w:type="dxa"/>
            <w:vAlign w:val="bottom"/>
          </w:tcPr>
          <w:p>
            <w:pPr>
              <w:spacing w:after="0"/>
              <w:rPr>
                <w:sz w:val="13"/>
                <w:szCs w:val="13"/>
                <w:color w:val="auto"/>
              </w:rPr>
            </w:pPr>
          </w:p>
        </w:tc>
        <w:tc>
          <w:tcPr>
            <w:tcW w:w="580" w:type="dxa"/>
            <w:vAlign w:val="bottom"/>
            <w:gridSpan w:val="2"/>
          </w:tcPr>
          <w:p>
            <w:pPr>
              <w:jc w:val="right"/>
              <w:ind w:right="76"/>
              <w:spacing w:after="0"/>
              <w:rPr>
                <w:sz w:val="20"/>
                <w:szCs w:val="20"/>
                <w:color w:val="auto"/>
              </w:rPr>
            </w:pPr>
            <w:r>
              <w:rPr>
                <w:rFonts w:ascii="Arial" w:cs="Arial" w:eastAsia="Arial" w:hAnsi="Arial"/>
                <w:sz w:val="13"/>
                <w:szCs w:val="13"/>
                <w:color w:val="auto"/>
              </w:rPr>
              <w:t>23.0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540" w:type="dxa"/>
            <w:vAlign w:val="bottom"/>
            <w:shd w:val="clear" w:color="auto" w:fill="CCEEFF"/>
          </w:tcPr>
          <w:p>
            <w:pPr>
              <w:ind w:left="200"/>
              <w:spacing w:after="0"/>
              <w:rPr>
                <w:sz w:val="20"/>
                <w:szCs w:val="20"/>
                <w:color w:val="auto"/>
              </w:rPr>
            </w:pPr>
            <w:r>
              <w:rPr>
                <w:rFonts w:ascii="Arial" w:cs="Arial" w:eastAsia="Arial" w:hAnsi="Arial"/>
                <w:sz w:val="13"/>
                <w:szCs w:val="13"/>
                <w:color w:val="auto"/>
              </w:rPr>
              <w:t>Brazil</w:t>
            </w:r>
          </w:p>
        </w:tc>
        <w:tc>
          <w:tcPr>
            <w:tcW w:w="10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57.0</w:t>
            </w:r>
          </w:p>
        </w:tc>
        <w:tc>
          <w:tcPr>
            <w:tcW w:w="1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96"/>
              <w:spacing w:after="0"/>
              <w:rPr>
                <w:sz w:val="20"/>
                <w:szCs w:val="20"/>
                <w:color w:val="auto"/>
              </w:rPr>
            </w:pPr>
            <w:r>
              <w:rPr>
                <w:rFonts w:ascii="Arial" w:cs="Arial" w:eastAsia="Arial" w:hAnsi="Arial"/>
                <w:sz w:val="13"/>
                <w:szCs w:val="13"/>
                <w:color w:val="auto"/>
              </w:rPr>
              <w:t>56.5</w:t>
            </w:r>
          </w:p>
        </w:tc>
        <w:tc>
          <w:tcPr>
            <w:tcW w:w="12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42.4</w:t>
            </w:r>
          </w:p>
        </w:tc>
        <w:tc>
          <w:tcPr>
            <w:tcW w:w="1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96"/>
              <w:spacing w:after="0"/>
              <w:rPr>
                <w:sz w:val="20"/>
                <w:szCs w:val="20"/>
                <w:color w:val="auto"/>
              </w:rPr>
            </w:pPr>
            <w:r>
              <w:rPr>
                <w:rFonts w:ascii="Arial" w:cs="Arial" w:eastAsia="Arial" w:hAnsi="Arial"/>
                <w:sz w:val="13"/>
                <w:szCs w:val="13"/>
                <w:color w:val="auto"/>
              </w:rPr>
              <w:t>52.1</w:t>
            </w:r>
          </w:p>
        </w:tc>
        <w:tc>
          <w:tcPr>
            <w:tcW w:w="6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49.1</w:t>
            </w:r>
          </w:p>
        </w:tc>
        <w:tc>
          <w:tcPr>
            <w:tcW w:w="120" w:type="dxa"/>
            <w:vAlign w:val="bottom"/>
            <w:shd w:val="clear" w:color="auto" w:fill="CCEEFF"/>
          </w:tcPr>
          <w:p>
            <w:pPr>
              <w:spacing w:after="0"/>
              <w:rPr>
                <w:sz w:val="13"/>
                <w:szCs w:val="13"/>
                <w:color w:val="auto"/>
              </w:rPr>
            </w:pPr>
          </w:p>
        </w:tc>
        <w:tc>
          <w:tcPr>
            <w:tcW w:w="620" w:type="dxa"/>
            <w:vAlign w:val="bottom"/>
            <w:gridSpan w:val="2"/>
            <w:shd w:val="clear" w:color="auto" w:fill="CCEEFF"/>
          </w:tcPr>
          <w:p>
            <w:pPr>
              <w:jc w:val="right"/>
              <w:ind w:right="116"/>
              <w:spacing w:after="0"/>
              <w:rPr>
                <w:sz w:val="20"/>
                <w:szCs w:val="20"/>
                <w:color w:val="auto"/>
              </w:rPr>
            </w:pPr>
            <w:r>
              <w:rPr>
                <w:rFonts w:ascii="Arial" w:cs="Arial" w:eastAsia="Arial" w:hAnsi="Arial"/>
                <w:sz w:val="13"/>
                <w:szCs w:val="13"/>
                <w:color w:val="auto"/>
              </w:rPr>
              <w:t>46.4</w:t>
            </w:r>
          </w:p>
        </w:tc>
        <w:tc>
          <w:tcPr>
            <w:tcW w:w="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6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10.9</w:t>
            </w:r>
          </w:p>
        </w:tc>
        <w:tc>
          <w:tcPr>
            <w:tcW w:w="120" w:type="dxa"/>
            <w:vAlign w:val="bottom"/>
            <w:shd w:val="clear" w:color="auto" w:fill="CCEEFF"/>
          </w:tcPr>
          <w:p>
            <w:pPr>
              <w:spacing w:after="0"/>
              <w:rPr>
                <w:sz w:val="13"/>
                <w:szCs w:val="13"/>
                <w:color w:val="auto"/>
              </w:rPr>
            </w:pPr>
          </w:p>
        </w:tc>
        <w:tc>
          <w:tcPr>
            <w:tcW w:w="640" w:type="dxa"/>
            <w:vAlign w:val="bottom"/>
            <w:gridSpan w:val="2"/>
            <w:shd w:val="clear" w:color="auto" w:fill="CCEEFF"/>
          </w:tcPr>
          <w:p>
            <w:pPr>
              <w:jc w:val="right"/>
              <w:ind w:right="136"/>
              <w:spacing w:after="0"/>
              <w:rPr>
                <w:sz w:val="20"/>
                <w:szCs w:val="20"/>
                <w:color w:val="auto"/>
              </w:rPr>
            </w:pPr>
            <w:r>
              <w:rPr>
                <w:rFonts w:ascii="Arial" w:cs="Arial" w:eastAsia="Arial" w:hAnsi="Arial"/>
                <w:sz w:val="13"/>
                <w:szCs w:val="13"/>
                <w:color w:val="auto"/>
              </w:rPr>
              <w:t>12.1</w:t>
            </w:r>
          </w:p>
        </w:tc>
        <w:tc>
          <w:tcPr>
            <w:tcW w:w="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12.4</w:t>
            </w:r>
          </w:p>
        </w:tc>
        <w:tc>
          <w:tcPr>
            <w:tcW w:w="120" w:type="dxa"/>
            <w:vAlign w:val="bottom"/>
            <w:shd w:val="clear" w:color="auto" w:fill="CCEEFF"/>
          </w:tcPr>
          <w:p>
            <w:pPr>
              <w:spacing w:after="0"/>
              <w:rPr>
                <w:sz w:val="13"/>
                <w:szCs w:val="13"/>
                <w:color w:val="auto"/>
              </w:rPr>
            </w:pPr>
          </w:p>
        </w:tc>
        <w:tc>
          <w:tcPr>
            <w:tcW w:w="580" w:type="dxa"/>
            <w:vAlign w:val="bottom"/>
            <w:gridSpan w:val="2"/>
            <w:shd w:val="clear" w:color="auto" w:fill="CCEEFF"/>
          </w:tcPr>
          <w:p>
            <w:pPr>
              <w:jc w:val="right"/>
              <w:ind w:right="76"/>
              <w:spacing w:after="0"/>
              <w:rPr>
                <w:sz w:val="20"/>
                <w:szCs w:val="20"/>
                <w:color w:val="auto"/>
              </w:rPr>
            </w:pPr>
            <w:r>
              <w:rPr>
                <w:rFonts w:ascii="Arial" w:cs="Arial" w:eastAsia="Arial" w:hAnsi="Arial"/>
                <w:sz w:val="13"/>
                <w:szCs w:val="13"/>
                <w:color w:val="auto"/>
              </w:rPr>
              <w:t>15.9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540" w:type="dxa"/>
            <w:vAlign w:val="bottom"/>
          </w:tcPr>
          <w:p>
            <w:pPr>
              <w:ind w:left="200"/>
              <w:spacing w:after="0"/>
              <w:rPr>
                <w:sz w:val="20"/>
                <w:szCs w:val="20"/>
                <w:color w:val="auto"/>
              </w:rPr>
            </w:pPr>
            <w:r>
              <w:rPr>
                <w:rFonts w:ascii="Arial" w:cs="Arial" w:eastAsia="Arial" w:hAnsi="Arial"/>
                <w:sz w:val="13"/>
                <w:szCs w:val="13"/>
                <w:color w:val="auto"/>
              </w:rPr>
              <w:t>Chile</w:t>
            </w:r>
          </w:p>
        </w:tc>
        <w:tc>
          <w:tcPr>
            <w:tcW w:w="100" w:type="dxa"/>
            <w:vAlign w:val="bottom"/>
          </w:tcPr>
          <w:p>
            <w:pPr>
              <w:spacing w:after="0"/>
              <w:rPr>
                <w:sz w:val="13"/>
                <w:szCs w:val="13"/>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0.2</w:t>
            </w:r>
          </w:p>
        </w:tc>
        <w:tc>
          <w:tcPr>
            <w:tcW w:w="120" w:type="dxa"/>
            <w:vAlign w:val="bottom"/>
          </w:tcPr>
          <w:p>
            <w:pPr>
              <w:spacing w:after="0"/>
              <w:rPr>
                <w:sz w:val="13"/>
                <w:szCs w:val="13"/>
                <w:color w:val="auto"/>
              </w:rPr>
            </w:pPr>
          </w:p>
        </w:tc>
        <w:tc>
          <w:tcPr>
            <w:tcW w:w="720" w:type="dxa"/>
            <w:vAlign w:val="bottom"/>
            <w:gridSpan w:val="2"/>
          </w:tcPr>
          <w:p>
            <w:pPr>
              <w:jc w:val="right"/>
              <w:ind w:right="196"/>
              <w:spacing w:after="0"/>
              <w:rPr>
                <w:sz w:val="20"/>
                <w:szCs w:val="20"/>
                <w:color w:val="auto"/>
              </w:rPr>
            </w:pPr>
            <w:r>
              <w:rPr>
                <w:rFonts w:ascii="Arial" w:cs="Arial" w:eastAsia="Arial" w:hAnsi="Arial"/>
                <w:sz w:val="13"/>
                <w:szCs w:val="13"/>
                <w:color w:val="auto"/>
              </w:rPr>
              <w:t>0.2</w:t>
            </w:r>
          </w:p>
        </w:tc>
        <w:tc>
          <w:tcPr>
            <w:tcW w:w="120" w:type="dxa"/>
            <w:vAlign w:val="bottom"/>
          </w:tcPr>
          <w:p>
            <w:pPr>
              <w:spacing w:after="0"/>
              <w:rPr>
                <w:sz w:val="13"/>
                <w:szCs w:val="13"/>
                <w:color w:val="auto"/>
              </w:rPr>
            </w:pPr>
          </w:p>
        </w:tc>
        <w:tc>
          <w:tcPr>
            <w:tcW w:w="700" w:type="dxa"/>
            <w:vAlign w:val="bottom"/>
            <w:gridSpan w:val="2"/>
          </w:tcPr>
          <w:p>
            <w:pPr>
              <w:jc w:val="right"/>
              <w:ind w:right="240"/>
              <w:spacing w:after="0"/>
              <w:rPr>
                <w:sz w:val="20"/>
                <w:szCs w:val="20"/>
                <w:color w:val="auto"/>
              </w:rPr>
            </w:pPr>
            <w:r>
              <w:rPr>
                <w:rFonts w:ascii="Arial" w:cs="Arial" w:eastAsia="Arial" w:hAnsi="Arial"/>
                <w:sz w:val="13"/>
                <w:szCs w:val="13"/>
                <w:color w:val="auto"/>
              </w:rPr>
              <w:t>0.6</w:t>
            </w:r>
          </w:p>
        </w:tc>
        <w:tc>
          <w:tcPr>
            <w:tcW w:w="120" w:type="dxa"/>
            <w:vAlign w:val="bottom"/>
          </w:tcPr>
          <w:p>
            <w:pPr>
              <w:spacing w:after="0"/>
              <w:rPr>
                <w:sz w:val="13"/>
                <w:szCs w:val="13"/>
                <w:color w:val="auto"/>
              </w:rPr>
            </w:pPr>
          </w:p>
        </w:tc>
        <w:tc>
          <w:tcPr>
            <w:tcW w:w="720" w:type="dxa"/>
            <w:vAlign w:val="bottom"/>
            <w:gridSpan w:val="2"/>
          </w:tcPr>
          <w:p>
            <w:pPr>
              <w:jc w:val="right"/>
              <w:ind w:right="196"/>
              <w:spacing w:after="0"/>
              <w:rPr>
                <w:sz w:val="20"/>
                <w:szCs w:val="20"/>
                <w:color w:val="auto"/>
              </w:rPr>
            </w:pPr>
            <w:r>
              <w:rPr>
                <w:rFonts w:ascii="Arial" w:cs="Arial" w:eastAsia="Arial" w:hAnsi="Arial"/>
                <w:sz w:val="13"/>
                <w:szCs w:val="13"/>
                <w:color w:val="auto"/>
              </w:rPr>
              <w:t>0.7</w:t>
            </w:r>
          </w:p>
        </w:tc>
        <w:tc>
          <w:tcPr>
            <w:tcW w:w="60" w:type="dxa"/>
            <w:vAlign w:val="bottom"/>
          </w:tcPr>
          <w:p>
            <w:pPr>
              <w:spacing w:after="0"/>
              <w:rPr>
                <w:sz w:val="13"/>
                <w:szCs w:val="13"/>
                <w:color w:val="auto"/>
              </w:rPr>
            </w:pPr>
          </w:p>
        </w:tc>
        <w:tc>
          <w:tcPr>
            <w:tcW w:w="720" w:type="dxa"/>
            <w:vAlign w:val="bottom"/>
            <w:gridSpan w:val="2"/>
          </w:tcPr>
          <w:p>
            <w:pPr>
              <w:jc w:val="right"/>
              <w:ind w:right="220"/>
              <w:spacing w:after="0"/>
              <w:rPr>
                <w:sz w:val="20"/>
                <w:szCs w:val="20"/>
                <w:color w:val="auto"/>
              </w:rPr>
            </w:pPr>
            <w:r>
              <w:rPr>
                <w:rFonts w:ascii="Arial" w:cs="Arial" w:eastAsia="Arial" w:hAnsi="Arial"/>
                <w:sz w:val="13"/>
                <w:szCs w:val="13"/>
                <w:color w:val="auto"/>
              </w:rPr>
              <w:t>1.1</w:t>
            </w:r>
          </w:p>
        </w:tc>
        <w:tc>
          <w:tcPr>
            <w:tcW w:w="1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1.1</w:t>
            </w:r>
          </w:p>
        </w:tc>
        <w:tc>
          <w:tcPr>
            <w:tcW w:w="18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660" w:type="dxa"/>
            <w:vAlign w:val="bottom"/>
            <w:gridSpan w:val="2"/>
          </w:tcPr>
          <w:p>
            <w:pPr>
              <w:jc w:val="right"/>
              <w:ind w:right="200"/>
              <w:spacing w:after="0"/>
              <w:rPr>
                <w:sz w:val="20"/>
                <w:szCs w:val="20"/>
                <w:color w:val="auto"/>
              </w:rPr>
            </w:pPr>
            <w:r>
              <w:rPr>
                <w:rFonts w:ascii="Arial" w:cs="Arial" w:eastAsia="Arial" w:hAnsi="Arial"/>
                <w:sz w:val="13"/>
                <w:szCs w:val="13"/>
                <w:color w:val="auto"/>
              </w:rPr>
              <w:t>0.5</w:t>
            </w:r>
          </w:p>
        </w:tc>
        <w:tc>
          <w:tcPr>
            <w:tcW w:w="1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0.6</w:t>
            </w:r>
          </w:p>
        </w:tc>
        <w:tc>
          <w:tcPr>
            <w:tcW w:w="20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680" w:type="dxa"/>
            <w:vAlign w:val="bottom"/>
            <w:gridSpan w:val="2"/>
          </w:tcPr>
          <w:p>
            <w:pPr>
              <w:jc w:val="right"/>
              <w:ind w:right="220"/>
              <w:spacing w:after="0"/>
              <w:rPr>
                <w:sz w:val="20"/>
                <w:szCs w:val="20"/>
                <w:color w:val="auto"/>
              </w:rPr>
            </w:pPr>
            <w:r>
              <w:rPr>
                <w:rFonts w:ascii="Arial" w:cs="Arial" w:eastAsia="Arial" w:hAnsi="Arial"/>
                <w:sz w:val="13"/>
                <w:szCs w:val="13"/>
                <w:color w:val="auto"/>
              </w:rPr>
              <w:t>0.5</w:t>
            </w:r>
          </w:p>
        </w:tc>
        <w:tc>
          <w:tcPr>
            <w:tcW w:w="1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0.6</w:t>
            </w: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540" w:type="dxa"/>
            <w:vAlign w:val="bottom"/>
            <w:shd w:val="clear" w:color="auto" w:fill="CCEEFF"/>
          </w:tcPr>
          <w:p>
            <w:pPr>
              <w:ind w:left="200"/>
              <w:spacing w:after="0"/>
              <w:rPr>
                <w:sz w:val="20"/>
                <w:szCs w:val="20"/>
                <w:color w:val="auto"/>
              </w:rPr>
            </w:pPr>
            <w:r>
              <w:rPr>
                <w:rFonts w:ascii="Arial" w:cs="Arial" w:eastAsia="Arial" w:hAnsi="Arial"/>
                <w:sz w:val="13"/>
                <w:szCs w:val="13"/>
                <w:color w:val="auto"/>
              </w:rPr>
              <w:t>Colombia</w:t>
            </w:r>
          </w:p>
        </w:tc>
        <w:tc>
          <w:tcPr>
            <w:tcW w:w="10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3.7</w:t>
            </w:r>
          </w:p>
        </w:tc>
        <w:tc>
          <w:tcPr>
            <w:tcW w:w="1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96"/>
              <w:spacing w:after="0"/>
              <w:rPr>
                <w:sz w:val="20"/>
                <w:szCs w:val="20"/>
                <w:color w:val="auto"/>
              </w:rPr>
            </w:pPr>
            <w:r>
              <w:rPr>
                <w:rFonts w:ascii="Arial" w:cs="Arial" w:eastAsia="Arial" w:hAnsi="Arial"/>
                <w:sz w:val="13"/>
                <w:szCs w:val="13"/>
                <w:color w:val="auto"/>
              </w:rPr>
              <w:t>3.7</w:t>
            </w:r>
          </w:p>
        </w:tc>
        <w:tc>
          <w:tcPr>
            <w:tcW w:w="12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3.5</w:t>
            </w:r>
          </w:p>
        </w:tc>
        <w:tc>
          <w:tcPr>
            <w:tcW w:w="1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96"/>
              <w:spacing w:after="0"/>
              <w:rPr>
                <w:sz w:val="20"/>
                <w:szCs w:val="20"/>
                <w:color w:val="auto"/>
              </w:rPr>
            </w:pPr>
            <w:r>
              <w:rPr>
                <w:rFonts w:ascii="Arial" w:cs="Arial" w:eastAsia="Arial" w:hAnsi="Arial"/>
                <w:sz w:val="13"/>
                <w:szCs w:val="13"/>
                <w:color w:val="auto"/>
              </w:rPr>
              <w:t>4.3</w:t>
            </w:r>
          </w:p>
        </w:tc>
        <w:tc>
          <w:tcPr>
            <w:tcW w:w="6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6.7</w:t>
            </w:r>
          </w:p>
        </w:tc>
        <w:tc>
          <w:tcPr>
            <w:tcW w:w="120" w:type="dxa"/>
            <w:vAlign w:val="bottom"/>
            <w:shd w:val="clear" w:color="auto" w:fill="CCEEFF"/>
          </w:tcPr>
          <w:p>
            <w:pPr>
              <w:spacing w:after="0"/>
              <w:rPr>
                <w:sz w:val="13"/>
                <w:szCs w:val="13"/>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6.3</w:t>
            </w:r>
          </w:p>
        </w:tc>
        <w:tc>
          <w:tcPr>
            <w:tcW w:w="18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6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24.7</w:t>
            </w:r>
          </w:p>
        </w:tc>
        <w:tc>
          <w:tcPr>
            <w:tcW w:w="120" w:type="dxa"/>
            <w:vAlign w:val="bottom"/>
            <w:shd w:val="clear" w:color="auto" w:fill="CCEEFF"/>
          </w:tcPr>
          <w:p>
            <w:pPr>
              <w:spacing w:after="0"/>
              <w:rPr>
                <w:sz w:val="13"/>
                <w:szCs w:val="13"/>
                <w:color w:val="auto"/>
              </w:rPr>
            </w:pPr>
          </w:p>
        </w:tc>
        <w:tc>
          <w:tcPr>
            <w:tcW w:w="640" w:type="dxa"/>
            <w:vAlign w:val="bottom"/>
            <w:gridSpan w:val="2"/>
            <w:shd w:val="clear" w:color="auto" w:fill="CCEEFF"/>
          </w:tcPr>
          <w:p>
            <w:pPr>
              <w:jc w:val="right"/>
              <w:ind w:right="136"/>
              <w:spacing w:after="0"/>
              <w:rPr>
                <w:sz w:val="20"/>
                <w:szCs w:val="20"/>
                <w:color w:val="auto"/>
              </w:rPr>
            </w:pPr>
            <w:r>
              <w:rPr>
                <w:rFonts w:ascii="Arial" w:cs="Arial" w:eastAsia="Arial" w:hAnsi="Arial"/>
                <w:sz w:val="13"/>
                <w:szCs w:val="13"/>
                <w:color w:val="auto"/>
              </w:rPr>
              <w:t>27.5</w:t>
            </w:r>
          </w:p>
        </w:tc>
        <w:tc>
          <w:tcPr>
            <w:tcW w:w="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13.2</w:t>
            </w:r>
          </w:p>
        </w:tc>
        <w:tc>
          <w:tcPr>
            <w:tcW w:w="120" w:type="dxa"/>
            <w:vAlign w:val="bottom"/>
            <w:shd w:val="clear" w:color="auto" w:fill="CCEEFF"/>
          </w:tcPr>
          <w:p>
            <w:pPr>
              <w:spacing w:after="0"/>
              <w:rPr>
                <w:sz w:val="13"/>
                <w:szCs w:val="13"/>
                <w:color w:val="auto"/>
              </w:rPr>
            </w:pPr>
          </w:p>
        </w:tc>
        <w:tc>
          <w:tcPr>
            <w:tcW w:w="580" w:type="dxa"/>
            <w:vAlign w:val="bottom"/>
            <w:gridSpan w:val="2"/>
            <w:shd w:val="clear" w:color="auto" w:fill="CCEEFF"/>
          </w:tcPr>
          <w:p>
            <w:pPr>
              <w:jc w:val="right"/>
              <w:ind w:right="76"/>
              <w:spacing w:after="0"/>
              <w:rPr>
                <w:sz w:val="20"/>
                <w:szCs w:val="20"/>
                <w:color w:val="auto"/>
              </w:rPr>
            </w:pPr>
            <w:r>
              <w:rPr>
                <w:rFonts w:ascii="Arial" w:cs="Arial" w:eastAsia="Arial" w:hAnsi="Arial"/>
                <w:sz w:val="13"/>
                <w:szCs w:val="13"/>
                <w:color w:val="auto"/>
              </w:rPr>
              <w:t>17.0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540" w:type="dxa"/>
            <w:vAlign w:val="bottom"/>
          </w:tcPr>
          <w:p>
            <w:pPr>
              <w:ind w:left="200"/>
              <w:spacing w:after="0"/>
              <w:rPr>
                <w:sz w:val="20"/>
                <w:szCs w:val="20"/>
                <w:color w:val="auto"/>
              </w:rPr>
            </w:pPr>
            <w:r>
              <w:rPr>
                <w:rFonts w:ascii="Arial" w:cs="Arial" w:eastAsia="Arial" w:hAnsi="Arial"/>
                <w:sz w:val="13"/>
                <w:szCs w:val="13"/>
                <w:color w:val="auto"/>
              </w:rPr>
              <w:t>Costa Rica</w:t>
            </w:r>
          </w:p>
        </w:tc>
        <w:tc>
          <w:tcPr>
            <w:tcW w:w="100" w:type="dxa"/>
            <w:vAlign w:val="bottom"/>
          </w:tcPr>
          <w:p>
            <w:pPr>
              <w:spacing w:after="0"/>
              <w:rPr>
                <w:sz w:val="13"/>
                <w:szCs w:val="13"/>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6.4</w:t>
            </w:r>
          </w:p>
        </w:tc>
        <w:tc>
          <w:tcPr>
            <w:tcW w:w="120" w:type="dxa"/>
            <w:vAlign w:val="bottom"/>
          </w:tcPr>
          <w:p>
            <w:pPr>
              <w:spacing w:after="0"/>
              <w:rPr>
                <w:sz w:val="13"/>
                <w:szCs w:val="13"/>
                <w:color w:val="auto"/>
              </w:rPr>
            </w:pPr>
          </w:p>
        </w:tc>
        <w:tc>
          <w:tcPr>
            <w:tcW w:w="720" w:type="dxa"/>
            <w:vAlign w:val="bottom"/>
            <w:gridSpan w:val="2"/>
          </w:tcPr>
          <w:p>
            <w:pPr>
              <w:jc w:val="right"/>
              <w:ind w:right="196"/>
              <w:spacing w:after="0"/>
              <w:rPr>
                <w:sz w:val="20"/>
                <w:szCs w:val="20"/>
                <w:color w:val="auto"/>
              </w:rPr>
            </w:pPr>
            <w:r>
              <w:rPr>
                <w:rFonts w:ascii="Arial" w:cs="Arial" w:eastAsia="Arial" w:hAnsi="Arial"/>
                <w:sz w:val="13"/>
                <w:szCs w:val="13"/>
                <w:color w:val="auto"/>
              </w:rPr>
              <w:t>6.4</w:t>
            </w:r>
          </w:p>
        </w:tc>
        <w:tc>
          <w:tcPr>
            <w:tcW w:w="120" w:type="dxa"/>
            <w:vAlign w:val="bottom"/>
          </w:tcPr>
          <w:p>
            <w:pPr>
              <w:spacing w:after="0"/>
              <w:rPr>
                <w:sz w:val="13"/>
                <w:szCs w:val="13"/>
                <w:color w:val="auto"/>
              </w:rPr>
            </w:pPr>
          </w:p>
        </w:tc>
        <w:tc>
          <w:tcPr>
            <w:tcW w:w="700" w:type="dxa"/>
            <w:vAlign w:val="bottom"/>
            <w:gridSpan w:val="2"/>
          </w:tcPr>
          <w:p>
            <w:pPr>
              <w:jc w:val="right"/>
              <w:ind w:right="240"/>
              <w:spacing w:after="0"/>
              <w:rPr>
                <w:sz w:val="20"/>
                <w:szCs w:val="20"/>
                <w:color w:val="auto"/>
              </w:rPr>
            </w:pPr>
            <w:r>
              <w:rPr>
                <w:rFonts w:ascii="Arial" w:cs="Arial" w:eastAsia="Arial" w:hAnsi="Arial"/>
                <w:sz w:val="13"/>
                <w:szCs w:val="13"/>
                <w:color w:val="auto"/>
              </w:rPr>
              <w:t>1.7</w:t>
            </w:r>
          </w:p>
        </w:tc>
        <w:tc>
          <w:tcPr>
            <w:tcW w:w="120" w:type="dxa"/>
            <w:vAlign w:val="bottom"/>
          </w:tcPr>
          <w:p>
            <w:pPr>
              <w:spacing w:after="0"/>
              <w:rPr>
                <w:sz w:val="13"/>
                <w:szCs w:val="13"/>
                <w:color w:val="auto"/>
              </w:rPr>
            </w:pPr>
          </w:p>
        </w:tc>
        <w:tc>
          <w:tcPr>
            <w:tcW w:w="720" w:type="dxa"/>
            <w:vAlign w:val="bottom"/>
            <w:gridSpan w:val="2"/>
          </w:tcPr>
          <w:p>
            <w:pPr>
              <w:jc w:val="right"/>
              <w:ind w:right="196"/>
              <w:spacing w:after="0"/>
              <w:rPr>
                <w:sz w:val="20"/>
                <w:szCs w:val="20"/>
                <w:color w:val="auto"/>
              </w:rPr>
            </w:pPr>
            <w:r>
              <w:rPr>
                <w:rFonts w:ascii="Arial" w:cs="Arial" w:eastAsia="Arial" w:hAnsi="Arial"/>
                <w:sz w:val="13"/>
                <w:szCs w:val="13"/>
                <w:color w:val="auto"/>
              </w:rPr>
              <w:t>2.1</w:t>
            </w:r>
          </w:p>
        </w:tc>
        <w:tc>
          <w:tcPr>
            <w:tcW w:w="60" w:type="dxa"/>
            <w:vAlign w:val="bottom"/>
          </w:tcPr>
          <w:p>
            <w:pPr>
              <w:spacing w:after="0"/>
              <w:rPr>
                <w:sz w:val="13"/>
                <w:szCs w:val="13"/>
                <w:color w:val="auto"/>
              </w:rPr>
            </w:pPr>
          </w:p>
        </w:tc>
        <w:tc>
          <w:tcPr>
            <w:tcW w:w="720" w:type="dxa"/>
            <w:vAlign w:val="bottom"/>
            <w:gridSpan w:val="2"/>
          </w:tcPr>
          <w:p>
            <w:pPr>
              <w:jc w:val="right"/>
              <w:ind w:right="220"/>
              <w:spacing w:after="0"/>
              <w:rPr>
                <w:sz w:val="20"/>
                <w:szCs w:val="20"/>
                <w:color w:val="auto"/>
              </w:rPr>
            </w:pPr>
            <w:r>
              <w:rPr>
                <w:rFonts w:ascii="Arial" w:cs="Arial" w:eastAsia="Arial" w:hAnsi="Arial"/>
                <w:sz w:val="13"/>
                <w:szCs w:val="13"/>
                <w:color w:val="auto"/>
              </w:rPr>
              <w:t>1.7</w:t>
            </w:r>
          </w:p>
        </w:tc>
        <w:tc>
          <w:tcPr>
            <w:tcW w:w="1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1.6</w:t>
            </w:r>
          </w:p>
        </w:tc>
        <w:tc>
          <w:tcPr>
            <w:tcW w:w="18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660" w:type="dxa"/>
            <w:vAlign w:val="bottom"/>
            <w:gridSpan w:val="2"/>
          </w:tcPr>
          <w:p>
            <w:pPr>
              <w:jc w:val="right"/>
              <w:ind w:right="200"/>
              <w:spacing w:after="0"/>
              <w:rPr>
                <w:sz w:val="20"/>
                <w:szCs w:val="20"/>
                <w:color w:val="auto"/>
              </w:rPr>
            </w:pPr>
            <w:r>
              <w:rPr>
                <w:rFonts w:ascii="Arial" w:cs="Arial" w:eastAsia="Arial" w:hAnsi="Arial"/>
                <w:sz w:val="13"/>
                <w:szCs w:val="13"/>
                <w:color w:val="auto"/>
              </w:rPr>
              <w:t>2.9</w:t>
            </w:r>
          </w:p>
        </w:tc>
        <w:tc>
          <w:tcPr>
            <w:tcW w:w="1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3.2</w:t>
            </w:r>
          </w:p>
        </w:tc>
        <w:tc>
          <w:tcPr>
            <w:tcW w:w="20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680" w:type="dxa"/>
            <w:vAlign w:val="bottom"/>
            <w:gridSpan w:val="2"/>
          </w:tcPr>
          <w:p>
            <w:pPr>
              <w:jc w:val="right"/>
              <w:ind w:right="220"/>
              <w:spacing w:after="0"/>
              <w:rPr>
                <w:sz w:val="20"/>
                <w:szCs w:val="20"/>
                <w:color w:val="auto"/>
              </w:rPr>
            </w:pPr>
            <w:r>
              <w:rPr>
                <w:rFonts w:ascii="Arial" w:cs="Arial" w:eastAsia="Arial" w:hAnsi="Arial"/>
                <w:sz w:val="13"/>
                <w:szCs w:val="13"/>
                <w:color w:val="auto"/>
              </w:rPr>
              <w:t>6.5</w:t>
            </w:r>
          </w:p>
        </w:tc>
        <w:tc>
          <w:tcPr>
            <w:tcW w:w="1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8.3</w:t>
            </w: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540" w:type="dxa"/>
            <w:vAlign w:val="bottom"/>
            <w:shd w:val="clear" w:color="auto" w:fill="CCEEFF"/>
          </w:tcPr>
          <w:p>
            <w:pPr>
              <w:ind w:left="200"/>
              <w:spacing w:after="0"/>
              <w:rPr>
                <w:sz w:val="20"/>
                <w:szCs w:val="20"/>
                <w:color w:val="auto"/>
              </w:rPr>
            </w:pPr>
            <w:r>
              <w:rPr>
                <w:rFonts w:ascii="Arial" w:cs="Arial" w:eastAsia="Arial" w:hAnsi="Arial"/>
                <w:sz w:val="13"/>
                <w:szCs w:val="13"/>
                <w:color w:val="auto"/>
              </w:rPr>
              <w:t>Dominican Republic</w:t>
            </w:r>
          </w:p>
        </w:tc>
        <w:tc>
          <w:tcPr>
            <w:tcW w:w="10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1.4</w:t>
            </w:r>
          </w:p>
        </w:tc>
        <w:tc>
          <w:tcPr>
            <w:tcW w:w="1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96"/>
              <w:spacing w:after="0"/>
              <w:rPr>
                <w:sz w:val="20"/>
                <w:szCs w:val="20"/>
                <w:color w:val="auto"/>
              </w:rPr>
            </w:pPr>
            <w:r>
              <w:rPr>
                <w:rFonts w:ascii="Arial" w:cs="Arial" w:eastAsia="Arial" w:hAnsi="Arial"/>
                <w:sz w:val="13"/>
                <w:szCs w:val="13"/>
                <w:color w:val="auto"/>
              </w:rPr>
              <w:t>1.4</w:t>
            </w:r>
          </w:p>
        </w:tc>
        <w:tc>
          <w:tcPr>
            <w:tcW w:w="12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1.2</w:t>
            </w:r>
          </w:p>
        </w:tc>
        <w:tc>
          <w:tcPr>
            <w:tcW w:w="1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96"/>
              <w:spacing w:after="0"/>
              <w:rPr>
                <w:sz w:val="20"/>
                <w:szCs w:val="20"/>
                <w:color w:val="auto"/>
              </w:rPr>
            </w:pPr>
            <w:r>
              <w:rPr>
                <w:rFonts w:ascii="Arial" w:cs="Arial" w:eastAsia="Arial" w:hAnsi="Arial"/>
                <w:sz w:val="13"/>
                <w:szCs w:val="13"/>
                <w:color w:val="auto"/>
              </w:rPr>
              <w:t>1.5</w:t>
            </w:r>
          </w:p>
        </w:tc>
        <w:tc>
          <w:tcPr>
            <w:tcW w:w="6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4.6</w:t>
            </w:r>
          </w:p>
        </w:tc>
        <w:tc>
          <w:tcPr>
            <w:tcW w:w="120" w:type="dxa"/>
            <w:vAlign w:val="bottom"/>
            <w:shd w:val="clear" w:color="auto" w:fill="CCEEFF"/>
          </w:tcPr>
          <w:p>
            <w:pPr>
              <w:spacing w:after="0"/>
              <w:rPr>
                <w:sz w:val="13"/>
                <w:szCs w:val="13"/>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4.3</w:t>
            </w:r>
          </w:p>
        </w:tc>
        <w:tc>
          <w:tcPr>
            <w:tcW w:w="18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6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9.0</w:t>
            </w:r>
          </w:p>
        </w:tc>
        <w:tc>
          <w:tcPr>
            <w:tcW w:w="120" w:type="dxa"/>
            <w:vAlign w:val="bottom"/>
            <w:shd w:val="clear" w:color="auto" w:fill="CCEEFF"/>
          </w:tcPr>
          <w:p>
            <w:pPr>
              <w:spacing w:after="0"/>
              <w:rPr>
                <w:sz w:val="13"/>
                <w:szCs w:val="13"/>
                <w:color w:val="auto"/>
              </w:rPr>
            </w:pPr>
          </w:p>
        </w:tc>
        <w:tc>
          <w:tcPr>
            <w:tcW w:w="640" w:type="dxa"/>
            <w:vAlign w:val="bottom"/>
            <w:gridSpan w:val="2"/>
            <w:shd w:val="clear" w:color="auto" w:fill="CCEEFF"/>
          </w:tcPr>
          <w:p>
            <w:pPr>
              <w:jc w:val="right"/>
              <w:ind w:right="136"/>
              <w:spacing w:after="0"/>
              <w:rPr>
                <w:sz w:val="20"/>
                <w:szCs w:val="20"/>
                <w:color w:val="auto"/>
              </w:rPr>
            </w:pPr>
            <w:r>
              <w:rPr>
                <w:rFonts w:ascii="Arial" w:cs="Arial" w:eastAsia="Arial" w:hAnsi="Arial"/>
                <w:sz w:val="13"/>
                <w:szCs w:val="13"/>
                <w:color w:val="auto"/>
              </w:rPr>
              <w:t>10.0</w:t>
            </w:r>
          </w:p>
        </w:tc>
        <w:tc>
          <w:tcPr>
            <w:tcW w:w="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7.2</w:t>
            </w:r>
          </w:p>
        </w:tc>
        <w:tc>
          <w:tcPr>
            <w:tcW w:w="120" w:type="dxa"/>
            <w:vAlign w:val="bottom"/>
            <w:shd w:val="clear" w:color="auto" w:fill="CCEEFF"/>
          </w:tcPr>
          <w:p>
            <w:pPr>
              <w:spacing w:after="0"/>
              <w:rPr>
                <w:sz w:val="13"/>
                <w:szCs w:val="13"/>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9.3</w:t>
            </w: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540" w:type="dxa"/>
            <w:vAlign w:val="bottom"/>
          </w:tcPr>
          <w:p>
            <w:pPr>
              <w:ind w:left="200"/>
              <w:spacing w:after="0"/>
              <w:rPr>
                <w:sz w:val="20"/>
                <w:szCs w:val="20"/>
                <w:color w:val="auto"/>
              </w:rPr>
            </w:pPr>
            <w:r>
              <w:rPr>
                <w:rFonts w:ascii="Arial" w:cs="Arial" w:eastAsia="Arial" w:hAnsi="Arial"/>
                <w:sz w:val="13"/>
                <w:szCs w:val="13"/>
                <w:color w:val="auto"/>
              </w:rPr>
              <w:t>Ecuador</w:t>
            </w:r>
          </w:p>
        </w:tc>
        <w:tc>
          <w:tcPr>
            <w:tcW w:w="100" w:type="dxa"/>
            <w:vAlign w:val="bottom"/>
          </w:tcPr>
          <w:p>
            <w:pPr>
              <w:spacing w:after="0"/>
              <w:rPr>
                <w:sz w:val="13"/>
                <w:szCs w:val="13"/>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5.4</w:t>
            </w:r>
          </w:p>
        </w:tc>
        <w:tc>
          <w:tcPr>
            <w:tcW w:w="120" w:type="dxa"/>
            <w:vAlign w:val="bottom"/>
          </w:tcPr>
          <w:p>
            <w:pPr>
              <w:spacing w:after="0"/>
              <w:rPr>
                <w:sz w:val="13"/>
                <w:szCs w:val="13"/>
                <w:color w:val="auto"/>
              </w:rPr>
            </w:pPr>
          </w:p>
        </w:tc>
        <w:tc>
          <w:tcPr>
            <w:tcW w:w="720" w:type="dxa"/>
            <w:vAlign w:val="bottom"/>
            <w:gridSpan w:val="2"/>
          </w:tcPr>
          <w:p>
            <w:pPr>
              <w:jc w:val="right"/>
              <w:ind w:right="196"/>
              <w:spacing w:after="0"/>
              <w:rPr>
                <w:sz w:val="20"/>
                <w:szCs w:val="20"/>
                <w:color w:val="auto"/>
              </w:rPr>
            </w:pPr>
            <w:r>
              <w:rPr>
                <w:rFonts w:ascii="Arial" w:cs="Arial" w:eastAsia="Arial" w:hAnsi="Arial"/>
                <w:sz w:val="13"/>
                <w:szCs w:val="13"/>
                <w:color w:val="auto"/>
              </w:rPr>
              <w:t>5.4</w:t>
            </w:r>
          </w:p>
        </w:tc>
        <w:tc>
          <w:tcPr>
            <w:tcW w:w="120" w:type="dxa"/>
            <w:vAlign w:val="bottom"/>
          </w:tcPr>
          <w:p>
            <w:pPr>
              <w:spacing w:after="0"/>
              <w:rPr>
                <w:sz w:val="13"/>
                <w:szCs w:val="13"/>
                <w:color w:val="auto"/>
              </w:rPr>
            </w:pPr>
          </w:p>
        </w:tc>
        <w:tc>
          <w:tcPr>
            <w:tcW w:w="700" w:type="dxa"/>
            <w:vAlign w:val="bottom"/>
            <w:gridSpan w:val="2"/>
          </w:tcPr>
          <w:p>
            <w:pPr>
              <w:jc w:val="right"/>
              <w:ind w:right="240"/>
              <w:spacing w:after="0"/>
              <w:rPr>
                <w:sz w:val="20"/>
                <w:szCs w:val="20"/>
                <w:color w:val="auto"/>
              </w:rPr>
            </w:pPr>
            <w:r>
              <w:rPr>
                <w:rFonts w:ascii="Arial" w:cs="Arial" w:eastAsia="Arial" w:hAnsi="Arial"/>
                <w:sz w:val="13"/>
                <w:szCs w:val="13"/>
                <w:color w:val="auto"/>
              </w:rPr>
              <w:t>2.7</w:t>
            </w:r>
          </w:p>
        </w:tc>
        <w:tc>
          <w:tcPr>
            <w:tcW w:w="120" w:type="dxa"/>
            <w:vAlign w:val="bottom"/>
          </w:tcPr>
          <w:p>
            <w:pPr>
              <w:spacing w:after="0"/>
              <w:rPr>
                <w:sz w:val="13"/>
                <w:szCs w:val="13"/>
                <w:color w:val="auto"/>
              </w:rPr>
            </w:pPr>
          </w:p>
        </w:tc>
        <w:tc>
          <w:tcPr>
            <w:tcW w:w="720" w:type="dxa"/>
            <w:vAlign w:val="bottom"/>
            <w:gridSpan w:val="2"/>
          </w:tcPr>
          <w:p>
            <w:pPr>
              <w:jc w:val="right"/>
              <w:ind w:right="196"/>
              <w:spacing w:after="0"/>
              <w:rPr>
                <w:sz w:val="20"/>
                <w:szCs w:val="20"/>
                <w:color w:val="auto"/>
              </w:rPr>
            </w:pPr>
            <w:r>
              <w:rPr>
                <w:rFonts w:ascii="Arial" w:cs="Arial" w:eastAsia="Arial" w:hAnsi="Arial"/>
                <w:sz w:val="13"/>
                <w:szCs w:val="13"/>
                <w:color w:val="auto"/>
              </w:rPr>
              <w:t>3.3</w:t>
            </w:r>
          </w:p>
        </w:tc>
        <w:tc>
          <w:tcPr>
            <w:tcW w:w="60" w:type="dxa"/>
            <w:vAlign w:val="bottom"/>
          </w:tcPr>
          <w:p>
            <w:pPr>
              <w:spacing w:after="0"/>
              <w:rPr>
                <w:sz w:val="13"/>
                <w:szCs w:val="13"/>
                <w:color w:val="auto"/>
              </w:rPr>
            </w:pPr>
          </w:p>
        </w:tc>
        <w:tc>
          <w:tcPr>
            <w:tcW w:w="720" w:type="dxa"/>
            <w:vAlign w:val="bottom"/>
            <w:gridSpan w:val="2"/>
          </w:tcPr>
          <w:p>
            <w:pPr>
              <w:jc w:val="right"/>
              <w:ind w:right="220"/>
              <w:spacing w:after="0"/>
              <w:rPr>
                <w:sz w:val="20"/>
                <w:szCs w:val="20"/>
                <w:color w:val="auto"/>
              </w:rPr>
            </w:pPr>
            <w:r>
              <w:rPr>
                <w:rFonts w:ascii="Arial" w:cs="Arial" w:eastAsia="Arial" w:hAnsi="Arial"/>
                <w:sz w:val="13"/>
                <w:szCs w:val="13"/>
                <w:color w:val="auto"/>
              </w:rPr>
              <w:t>2.3</w:t>
            </w:r>
          </w:p>
        </w:tc>
        <w:tc>
          <w:tcPr>
            <w:tcW w:w="1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2.2</w:t>
            </w:r>
          </w:p>
        </w:tc>
        <w:tc>
          <w:tcPr>
            <w:tcW w:w="18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660" w:type="dxa"/>
            <w:vAlign w:val="bottom"/>
            <w:gridSpan w:val="2"/>
          </w:tcPr>
          <w:p>
            <w:pPr>
              <w:jc w:val="right"/>
              <w:ind w:right="200"/>
              <w:spacing w:after="0"/>
              <w:rPr>
                <w:sz w:val="20"/>
                <w:szCs w:val="20"/>
                <w:color w:val="auto"/>
              </w:rPr>
            </w:pPr>
            <w:r>
              <w:rPr>
                <w:rFonts w:ascii="Arial" w:cs="Arial" w:eastAsia="Arial" w:hAnsi="Arial"/>
                <w:sz w:val="13"/>
                <w:szCs w:val="13"/>
                <w:color w:val="auto"/>
              </w:rPr>
              <w:t>6.9</w:t>
            </w:r>
          </w:p>
        </w:tc>
        <w:tc>
          <w:tcPr>
            <w:tcW w:w="1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7.7</w:t>
            </w:r>
          </w:p>
        </w:tc>
        <w:tc>
          <w:tcPr>
            <w:tcW w:w="20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680" w:type="dxa"/>
            <w:vAlign w:val="bottom"/>
            <w:gridSpan w:val="2"/>
          </w:tcPr>
          <w:p>
            <w:pPr>
              <w:jc w:val="right"/>
              <w:ind w:right="220"/>
              <w:spacing w:after="0"/>
              <w:rPr>
                <w:sz w:val="20"/>
                <w:szCs w:val="20"/>
                <w:color w:val="auto"/>
              </w:rPr>
            </w:pPr>
            <w:r>
              <w:rPr>
                <w:rFonts w:ascii="Arial" w:cs="Arial" w:eastAsia="Arial" w:hAnsi="Arial"/>
                <w:sz w:val="13"/>
                <w:szCs w:val="13"/>
                <w:color w:val="auto"/>
              </w:rPr>
              <w:t>3.6</w:t>
            </w:r>
          </w:p>
        </w:tc>
        <w:tc>
          <w:tcPr>
            <w:tcW w:w="1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4.7</w:t>
            </w: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540" w:type="dxa"/>
            <w:vAlign w:val="bottom"/>
            <w:shd w:val="clear" w:color="auto" w:fill="CCEEFF"/>
          </w:tcPr>
          <w:p>
            <w:pPr>
              <w:ind w:left="200"/>
              <w:spacing w:after="0"/>
              <w:rPr>
                <w:sz w:val="20"/>
                <w:szCs w:val="20"/>
                <w:color w:val="auto"/>
              </w:rPr>
            </w:pPr>
            <w:r>
              <w:rPr>
                <w:rFonts w:ascii="Arial" w:cs="Arial" w:eastAsia="Arial" w:hAnsi="Arial"/>
                <w:sz w:val="13"/>
                <w:szCs w:val="13"/>
                <w:color w:val="auto"/>
              </w:rPr>
              <w:t>El Salvador</w:t>
            </w:r>
          </w:p>
        </w:tc>
        <w:tc>
          <w:tcPr>
            <w:tcW w:w="10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2.7</w:t>
            </w:r>
          </w:p>
        </w:tc>
        <w:tc>
          <w:tcPr>
            <w:tcW w:w="1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96"/>
              <w:spacing w:after="0"/>
              <w:rPr>
                <w:sz w:val="20"/>
                <w:szCs w:val="20"/>
                <w:color w:val="auto"/>
              </w:rPr>
            </w:pPr>
            <w:r>
              <w:rPr>
                <w:rFonts w:ascii="Arial" w:cs="Arial" w:eastAsia="Arial" w:hAnsi="Arial"/>
                <w:sz w:val="13"/>
                <w:szCs w:val="13"/>
                <w:color w:val="auto"/>
              </w:rPr>
              <w:t>2.6</w:t>
            </w:r>
          </w:p>
        </w:tc>
        <w:tc>
          <w:tcPr>
            <w:tcW w:w="12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1.3</w:t>
            </w:r>
          </w:p>
        </w:tc>
        <w:tc>
          <w:tcPr>
            <w:tcW w:w="1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96"/>
              <w:spacing w:after="0"/>
              <w:rPr>
                <w:sz w:val="20"/>
                <w:szCs w:val="20"/>
                <w:color w:val="auto"/>
              </w:rPr>
            </w:pPr>
            <w:r>
              <w:rPr>
                <w:rFonts w:ascii="Arial" w:cs="Arial" w:eastAsia="Arial" w:hAnsi="Arial"/>
                <w:sz w:val="13"/>
                <w:szCs w:val="13"/>
                <w:color w:val="auto"/>
              </w:rPr>
              <w:t>1.6</w:t>
            </w:r>
          </w:p>
        </w:tc>
        <w:tc>
          <w:tcPr>
            <w:tcW w:w="6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2.5</w:t>
            </w:r>
          </w:p>
        </w:tc>
        <w:tc>
          <w:tcPr>
            <w:tcW w:w="120" w:type="dxa"/>
            <w:vAlign w:val="bottom"/>
            <w:shd w:val="clear" w:color="auto" w:fill="CCEEFF"/>
          </w:tcPr>
          <w:p>
            <w:pPr>
              <w:spacing w:after="0"/>
              <w:rPr>
                <w:sz w:val="13"/>
                <w:szCs w:val="13"/>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2.3</w:t>
            </w:r>
          </w:p>
        </w:tc>
        <w:tc>
          <w:tcPr>
            <w:tcW w:w="18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6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3.0</w:t>
            </w:r>
          </w:p>
        </w:tc>
        <w:tc>
          <w:tcPr>
            <w:tcW w:w="120" w:type="dxa"/>
            <w:vAlign w:val="bottom"/>
            <w:shd w:val="clear" w:color="auto" w:fill="CCEEFF"/>
          </w:tcPr>
          <w:p>
            <w:pPr>
              <w:spacing w:after="0"/>
              <w:rPr>
                <w:sz w:val="13"/>
                <w:szCs w:val="13"/>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3.3</w:t>
            </w:r>
          </w:p>
        </w:tc>
        <w:tc>
          <w:tcPr>
            <w:tcW w:w="200" w:type="dxa"/>
            <w:vAlign w:val="bottom"/>
            <w:shd w:val="clear" w:color="auto" w:fill="CCEEFF"/>
          </w:tcPr>
          <w:p>
            <w:pPr>
              <w:spacing w:after="0"/>
              <w:rPr>
                <w:sz w:val="13"/>
                <w:szCs w:val="13"/>
                <w:color w:val="auto"/>
              </w:rPr>
            </w:pPr>
          </w:p>
        </w:tc>
        <w:tc>
          <w:tcPr>
            <w:tcW w:w="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3.8</w:t>
            </w:r>
          </w:p>
        </w:tc>
        <w:tc>
          <w:tcPr>
            <w:tcW w:w="120" w:type="dxa"/>
            <w:vAlign w:val="bottom"/>
            <w:shd w:val="clear" w:color="auto" w:fill="CCEEFF"/>
          </w:tcPr>
          <w:p>
            <w:pPr>
              <w:spacing w:after="0"/>
              <w:rPr>
                <w:sz w:val="13"/>
                <w:szCs w:val="13"/>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4.9</w:t>
            </w: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540" w:type="dxa"/>
            <w:vAlign w:val="bottom"/>
          </w:tcPr>
          <w:p>
            <w:pPr>
              <w:ind w:left="200"/>
              <w:spacing w:after="0"/>
              <w:rPr>
                <w:sz w:val="20"/>
                <w:szCs w:val="20"/>
                <w:color w:val="auto"/>
              </w:rPr>
            </w:pPr>
            <w:r>
              <w:rPr>
                <w:rFonts w:ascii="Arial" w:cs="Arial" w:eastAsia="Arial" w:hAnsi="Arial"/>
                <w:sz w:val="13"/>
                <w:szCs w:val="13"/>
                <w:color w:val="auto"/>
              </w:rPr>
              <w:t>Germany</w:t>
            </w:r>
          </w:p>
        </w:tc>
        <w:tc>
          <w:tcPr>
            <w:tcW w:w="100" w:type="dxa"/>
            <w:vAlign w:val="bottom"/>
          </w:tcPr>
          <w:p>
            <w:pPr>
              <w:spacing w:after="0"/>
              <w:rPr>
                <w:sz w:val="13"/>
                <w:szCs w:val="13"/>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0.1</w:t>
            </w:r>
          </w:p>
        </w:tc>
        <w:tc>
          <w:tcPr>
            <w:tcW w:w="120" w:type="dxa"/>
            <w:vAlign w:val="bottom"/>
          </w:tcPr>
          <w:p>
            <w:pPr>
              <w:spacing w:after="0"/>
              <w:rPr>
                <w:sz w:val="13"/>
                <w:szCs w:val="13"/>
                <w:color w:val="auto"/>
              </w:rPr>
            </w:pPr>
          </w:p>
        </w:tc>
        <w:tc>
          <w:tcPr>
            <w:tcW w:w="720" w:type="dxa"/>
            <w:vAlign w:val="bottom"/>
            <w:gridSpan w:val="2"/>
          </w:tcPr>
          <w:p>
            <w:pPr>
              <w:jc w:val="right"/>
              <w:ind w:right="196"/>
              <w:spacing w:after="0"/>
              <w:rPr>
                <w:sz w:val="20"/>
                <w:szCs w:val="20"/>
                <w:color w:val="auto"/>
              </w:rPr>
            </w:pPr>
            <w:r>
              <w:rPr>
                <w:rFonts w:ascii="Arial" w:cs="Arial" w:eastAsia="Arial" w:hAnsi="Arial"/>
                <w:sz w:val="13"/>
                <w:szCs w:val="13"/>
                <w:color w:val="auto"/>
              </w:rPr>
              <w:t>0.1</w:t>
            </w:r>
          </w:p>
        </w:tc>
        <w:tc>
          <w:tcPr>
            <w:tcW w:w="120" w:type="dxa"/>
            <w:vAlign w:val="bottom"/>
          </w:tcPr>
          <w:p>
            <w:pPr>
              <w:spacing w:after="0"/>
              <w:rPr>
                <w:sz w:val="13"/>
                <w:szCs w:val="13"/>
                <w:color w:val="auto"/>
              </w:rPr>
            </w:pPr>
          </w:p>
        </w:tc>
        <w:tc>
          <w:tcPr>
            <w:tcW w:w="700" w:type="dxa"/>
            <w:vAlign w:val="bottom"/>
            <w:gridSpan w:val="2"/>
          </w:tcPr>
          <w:p>
            <w:pPr>
              <w:jc w:val="right"/>
              <w:ind w:right="240"/>
              <w:spacing w:after="0"/>
              <w:rPr>
                <w:sz w:val="20"/>
                <w:szCs w:val="20"/>
                <w:color w:val="auto"/>
              </w:rPr>
            </w:pPr>
            <w:r>
              <w:rPr>
                <w:rFonts w:ascii="Arial" w:cs="Arial" w:eastAsia="Arial" w:hAnsi="Arial"/>
                <w:sz w:val="13"/>
                <w:szCs w:val="13"/>
                <w:color w:val="auto"/>
              </w:rPr>
              <w:t>0.3</w:t>
            </w:r>
          </w:p>
        </w:tc>
        <w:tc>
          <w:tcPr>
            <w:tcW w:w="120" w:type="dxa"/>
            <w:vAlign w:val="bottom"/>
          </w:tcPr>
          <w:p>
            <w:pPr>
              <w:spacing w:after="0"/>
              <w:rPr>
                <w:sz w:val="13"/>
                <w:szCs w:val="13"/>
                <w:color w:val="auto"/>
              </w:rPr>
            </w:pPr>
          </w:p>
        </w:tc>
        <w:tc>
          <w:tcPr>
            <w:tcW w:w="720" w:type="dxa"/>
            <w:vAlign w:val="bottom"/>
            <w:gridSpan w:val="2"/>
          </w:tcPr>
          <w:p>
            <w:pPr>
              <w:jc w:val="right"/>
              <w:ind w:right="196"/>
              <w:spacing w:after="0"/>
              <w:rPr>
                <w:sz w:val="20"/>
                <w:szCs w:val="20"/>
                <w:color w:val="auto"/>
              </w:rPr>
            </w:pPr>
            <w:r>
              <w:rPr>
                <w:rFonts w:ascii="Arial" w:cs="Arial" w:eastAsia="Arial" w:hAnsi="Arial"/>
                <w:sz w:val="13"/>
                <w:szCs w:val="13"/>
                <w:color w:val="auto"/>
              </w:rPr>
              <w:t>0.4</w:t>
            </w:r>
          </w:p>
        </w:tc>
        <w:tc>
          <w:tcPr>
            <w:tcW w:w="60" w:type="dxa"/>
            <w:vAlign w:val="bottom"/>
          </w:tcPr>
          <w:p>
            <w:pPr>
              <w:spacing w:after="0"/>
              <w:rPr>
                <w:sz w:val="13"/>
                <w:szCs w:val="13"/>
                <w:color w:val="auto"/>
              </w:rPr>
            </w:pPr>
          </w:p>
        </w:tc>
        <w:tc>
          <w:tcPr>
            <w:tcW w:w="720" w:type="dxa"/>
            <w:vAlign w:val="bottom"/>
            <w:gridSpan w:val="2"/>
          </w:tcPr>
          <w:p>
            <w:pPr>
              <w:jc w:val="right"/>
              <w:ind w:right="220"/>
              <w:spacing w:after="0"/>
              <w:rPr>
                <w:sz w:val="20"/>
                <w:szCs w:val="20"/>
                <w:color w:val="auto"/>
              </w:rPr>
            </w:pPr>
            <w:r>
              <w:rPr>
                <w:rFonts w:ascii="Arial" w:cs="Arial" w:eastAsia="Arial" w:hAnsi="Arial"/>
                <w:sz w:val="13"/>
                <w:szCs w:val="13"/>
                <w:color w:val="auto"/>
              </w:rPr>
              <w:t>0.4</w:t>
            </w:r>
          </w:p>
        </w:tc>
        <w:tc>
          <w:tcPr>
            <w:tcW w:w="1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0.4</w:t>
            </w:r>
          </w:p>
        </w:tc>
        <w:tc>
          <w:tcPr>
            <w:tcW w:w="18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660" w:type="dxa"/>
            <w:vAlign w:val="bottom"/>
            <w:gridSpan w:val="2"/>
          </w:tcPr>
          <w:p>
            <w:pPr>
              <w:jc w:val="right"/>
              <w:ind w:right="200"/>
              <w:spacing w:after="0"/>
              <w:rPr>
                <w:sz w:val="20"/>
                <w:szCs w:val="20"/>
                <w:color w:val="auto"/>
              </w:rPr>
            </w:pPr>
            <w:r>
              <w:rPr>
                <w:rFonts w:ascii="Arial" w:cs="Arial" w:eastAsia="Arial" w:hAnsi="Arial"/>
                <w:sz w:val="13"/>
                <w:szCs w:val="13"/>
                <w:color w:val="auto"/>
              </w:rPr>
              <w:t>0.9</w:t>
            </w:r>
          </w:p>
        </w:tc>
        <w:tc>
          <w:tcPr>
            <w:tcW w:w="1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1.0</w:t>
            </w:r>
          </w:p>
        </w:tc>
        <w:tc>
          <w:tcPr>
            <w:tcW w:w="20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680" w:type="dxa"/>
            <w:vAlign w:val="bottom"/>
            <w:gridSpan w:val="2"/>
          </w:tcPr>
          <w:p>
            <w:pPr>
              <w:jc w:val="right"/>
              <w:ind w:right="220"/>
              <w:spacing w:after="0"/>
              <w:rPr>
                <w:sz w:val="20"/>
                <w:szCs w:val="20"/>
                <w:color w:val="auto"/>
              </w:rPr>
            </w:pPr>
            <w:r>
              <w:rPr>
                <w:rFonts w:ascii="Arial" w:cs="Arial" w:eastAsia="Arial" w:hAnsi="Arial"/>
                <w:sz w:val="13"/>
                <w:szCs w:val="13"/>
                <w:color w:val="auto"/>
              </w:rPr>
              <w:t>1.0</w:t>
            </w:r>
          </w:p>
        </w:tc>
        <w:tc>
          <w:tcPr>
            <w:tcW w:w="1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1.3</w:t>
            </w: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540" w:type="dxa"/>
            <w:vAlign w:val="bottom"/>
            <w:shd w:val="clear" w:color="auto" w:fill="CCEEFF"/>
          </w:tcPr>
          <w:p>
            <w:pPr>
              <w:ind w:left="200"/>
              <w:spacing w:after="0"/>
              <w:rPr>
                <w:sz w:val="20"/>
                <w:szCs w:val="20"/>
                <w:color w:val="auto"/>
              </w:rPr>
            </w:pPr>
            <w:r>
              <w:rPr>
                <w:rFonts w:ascii="Arial" w:cs="Arial" w:eastAsia="Arial" w:hAnsi="Arial"/>
                <w:sz w:val="13"/>
                <w:szCs w:val="13"/>
                <w:color w:val="auto"/>
              </w:rPr>
              <w:t>Guatemala</w:t>
            </w:r>
          </w:p>
        </w:tc>
        <w:tc>
          <w:tcPr>
            <w:tcW w:w="10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1.6</w:t>
            </w:r>
          </w:p>
        </w:tc>
        <w:tc>
          <w:tcPr>
            <w:tcW w:w="1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96"/>
              <w:spacing w:after="0"/>
              <w:rPr>
                <w:sz w:val="20"/>
                <w:szCs w:val="20"/>
                <w:color w:val="auto"/>
              </w:rPr>
            </w:pPr>
            <w:r>
              <w:rPr>
                <w:rFonts w:ascii="Arial" w:cs="Arial" w:eastAsia="Arial" w:hAnsi="Arial"/>
                <w:sz w:val="13"/>
                <w:szCs w:val="13"/>
                <w:color w:val="auto"/>
              </w:rPr>
              <w:t>1.6</w:t>
            </w:r>
          </w:p>
        </w:tc>
        <w:tc>
          <w:tcPr>
            <w:tcW w:w="12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3.3</w:t>
            </w:r>
          </w:p>
        </w:tc>
        <w:tc>
          <w:tcPr>
            <w:tcW w:w="1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96"/>
              <w:spacing w:after="0"/>
              <w:rPr>
                <w:sz w:val="20"/>
                <w:szCs w:val="20"/>
                <w:color w:val="auto"/>
              </w:rPr>
            </w:pPr>
            <w:r>
              <w:rPr>
                <w:rFonts w:ascii="Arial" w:cs="Arial" w:eastAsia="Arial" w:hAnsi="Arial"/>
                <w:sz w:val="13"/>
                <w:szCs w:val="13"/>
                <w:color w:val="auto"/>
              </w:rPr>
              <w:t>4.1</w:t>
            </w:r>
          </w:p>
        </w:tc>
        <w:tc>
          <w:tcPr>
            <w:tcW w:w="6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1.2</w:t>
            </w:r>
          </w:p>
        </w:tc>
        <w:tc>
          <w:tcPr>
            <w:tcW w:w="120" w:type="dxa"/>
            <w:vAlign w:val="bottom"/>
            <w:shd w:val="clear" w:color="auto" w:fill="CCEEFF"/>
          </w:tcPr>
          <w:p>
            <w:pPr>
              <w:spacing w:after="0"/>
              <w:rPr>
                <w:sz w:val="13"/>
                <w:szCs w:val="13"/>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1.1</w:t>
            </w:r>
          </w:p>
        </w:tc>
        <w:tc>
          <w:tcPr>
            <w:tcW w:w="18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6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2.6</w:t>
            </w:r>
          </w:p>
        </w:tc>
        <w:tc>
          <w:tcPr>
            <w:tcW w:w="120" w:type="dxa"/>
            <w:vAlign w:val="bottom"/>
            <w:shd w:val="clear" w:color="auto" w:fill="CCEEFF"/>
          </w:tcPr>
          <w:p>
            <w:pPr>
              <w:spacing w:after="0"/>
              <w:rPr>
                <w:sz w:val="13"/>
                <w:szCs w:val="13"/>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2.9</w:t>
            </w:r>
          </w:p>
        </w:tc>
        <w:tc>
          <w:tcPr>
            <w:tcW w:w="200" w:type="dxa"/>
            <w:vAlign w:val="bottom"/>
            <w:shd w:val="clear" w:color="auto" w:fill="CCEEFF"/>
          </w:tcPr>
          <w:p>
            <w:pPr>
              <w:spacing w:after="0"/>
              <w:rPr>
                <w:sz w:val="13"/>
                <w:szCs w:val="13"/>
                <w:color w:val="auto"/>
              </w:rPr>
            </w:pPr>
          </w:p>
        </w:tc>
        <w:tc>
          <w:tcPr>
            <w:tcW w:w="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1.1</w:t>
            </w:r>
          </w:p>
        </w:tc>
        <w:tc>
          <w:tcPr>
            <w:tcW w:w="120" w:type="dxa"/>
            <w:vAlign w:val="bottom"/>
            <w:shd w:val="clear" w:color="auto" w:fill="CCEEFF"/>
          </w:tcPr>
          <w:p>
            <w:pPr>
              <w:spacing w:after="0"/>
              <w:rPr>
                <w:sz w:val="13"/>
                <w:szCs w:val="13"/>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1.4</w:t>
            </w: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540" w:type="dxa"/>
            <w:vAlign w:val="bottom"/>
          </w:tcPr>
          <w:p>
            <w:pPr>
              <w:ind w:left="200"/>
              <w:spacing w:after="0"/>
              <w:rPr>
                <w:sz w:val="20"/>
                <w:szCs w:val="20"/>
                <w:color w:val="auto"/>
              </w:rPr>
            </w:pPr>
            <w:r>
              <w:rPr>
                <w:rFonts w:ascii="Arial" w:cs="Arial" w:eastAsia="Arial" w:hAnsi="Arial"/>
                <w:sz w:val="13"/>
                <w:szCs w:val="13"/>
                <w:color w:val="auto"/>
              </w:rPr>
              <w:t>Honduras</w:t>
            </w:r>
          </w:p>
        </w:tc>
        <w:tc>
          <w:tcPr>
            <w:tcW w:w="100" w:type="dxa"/>
            <w:vAlign w:val="bottom"/>
          </w:tcPr>
          <w:p>
            <w:pPr>
              <w:spacing w:after="0"/>
              <w:rPr>
                <w:sz w:val="13"/>
                <w:szCs w:val="13"/>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3.4</w:t>
            </w:r>
          </w:p>
        </w:tc>
        <w:tc>
          <w:tcPr>
            <w:tcW w:w="120" w:type="dxa"/>
            <w:vAlign w:val="bottom"/>
          </w:tcPr>
          <w:p>
            <w:pPr>
              <w:spacing w:after="0"/>
              <w:rPr>
                <w:sz w:val="13"/>
                <w:szCs w:val="13"/>
                <w:color w:val="auto"/>
              </w:rPr>
            </w:pPr>
          </w:p>
        </w:tc>
        <w:tc>
          <w:tcPr>
            <w:tcW w:w="720" w:type="dxa"/>
            <w:vAlign w:val="bottom"/>
            <w:gridSpan w:val="2"/>
          </w:tcPr>
          <w:p>
            <w:pPr>
              <w:jc w:val="right"/>
              <w:ind w:right="196"/>
              <w:spacing w:after="0"/>
              <w:rPr>
                <w:sz w:val="20"/>
                <w:szCs w:val="20"/>
                <w:color w:val="auto"/>
              </w:rPr>
            </w:pPr>
            <w:r>
              <w:rPr>
                <w:rFonts w:ascii="Arial" w:cs="Arial" w:eastAsia="Arial" w:hAnsi="Arial"/>
                <w:sz w:val="13"/>
                <w:szCs w:val="13"/>
                <w:color w:val="auto"/>
              </w:rPr>
              <w:t>3.3</w:t>
            </w:r>
          </w:p>
        </w:tc>
        <w:tc>
          <w:tcPr>
            <w:tcW w:w="120" w:type="dxa"/>
            <w:vAlign w:val="bottom"/>
          </w:tcPr>
          <w:p>
            <w:pPr>
              <w:spacing w:after="0"/>
              <w:rPr>
                <w:sz w:val="13"/>
                <w:szCs w:val="13"/>
                <w:color w:val="auto"/>
              </w:rPr>
            </w:pPr>
          </w:p>
        </w:tc>
        <w:tc>
          <w:tcPr>
            <w:tcW w:w="700" w:type="dxa"/>
            <w:vAlign w:val="bottom"/>
            <w:gridSpan w:val="2"/>
          </w:tcPr>
          <w:p>
            <w:pPr>
              <w:jc w:val="right"/>
              <w:ind w:right="240"/>
              <w:spacing w:after="0"/>
              <w:rPr>
                <w:sz w:val="20"/>
                <w:szCs w:val="20"/>
                <w:color w:val="auto"/>
              </w:rPr>
            </w:pPr>
            <w:r>
              <w:rPr>
                <w:rFonts w:ascii="Arial" w:cs="Arial" w:eastAsia="Arial" w:hAnsi="Arial"/>
                <w:sz w:val="13"/>
                <w:szCs w:val="13"/>
                <w:color w:val="auto"/>
              </w:rPr>
              <w:t>6.2</w:t>
            </w:r>
          </w:p>
        </w:tc>
        <w:tc>
          <w:tcPr>
            <w:tcW w:w="120" w:type="dxa"/>
            <w:vAlign w:val="bottom"/>
          </w:tcPr>
          <w:p>
            <w:pPr>
              <w:spacing w:after="0"/>
              <w:rPr>
                <w:sz w:val="13"/>
                <w:szCs w:val="13"/>
                <w:color w:val="auto"/>
              </w:rPr>
            </w:pPr>
          </w:p>
        </w:tc>
        <w:tc>
          <w:tcPr>
            <w:tcW w:w="720" w:type="dxa"/>
            <w:vAlign w:val="bottom"/>
            <w:gridSpan w:val="2"/>
          </w:tcPr>
          <w:p>
            <w:pPr>
              <w:jc w:val="right"/>
              <w:ind w:right="196"/>
              <w:spacing w:after="0"/>
              <w:rPr>
                <w:sz w:val="20"/>
                <w:szCs w:val="20"/>
                <w:color w:val="auto"/>
              </w:rPr>
            </w:pPr>
            <w:r>
              <w:rPr>
                <w:rFonts w:ascii="Arial" w:cs="Arial" w:eastAsia="Arial" w:hAnsi="Arial"/>
                <w:sz w:val="13"/>
                <w:szCs w:val="13"/>
                <w:color w:val="auto"/>
              </w:rPr>
              <w:t>7.6</w:t>
            </w:r>
          </w:p>
        </w:tc>
        <w:tc>
          <w:tcPr>
            <w:tcW w:w="60" w:type="dxa"/>
            <w:vAlign w:val="bottom"/>
          </w:tcPr>
          <w:p>
            <w:pPr>
              <w:spacing w:after="0"/>
              <w:rPr>
                <w:sz w:val="13"/>
                <w:szCs w:val="13"/>
                <w:color w:val="auto"/>
              </w:rPr>
            </w:pPr>
          </w:p>
        </w:tc>
        <w:tc>
          <w:tcPr>
            <w:tcW w:w="720" w:type="dxa"/>
            <w:vAlign w:val="bottom"/>
            <w:gridSpan w:val="2"/>
          </w:tcPr>
          <w:p>
            <w:pPr>
              <w:jc w:val="right"/>
              <w:ind w:right="220"/>
              <w:spacing w:after="0"/>
              <w:rPr>
                <w:sz w:val="20"/>
                <w:szCs w:val="20"/>
                <w:color w:val="auto"/>
              </w:rPr>
            </w:pPr>
            <w:r>
              <w:rPr>
                <w:rFonts w:ascii="Arial" w:cs="Arial" w:eastAsia="Arial" w:hAnsi="Arial"/>
                <w:sz w:val="13"/>
                <w:szCs w:val="13"/>
                <w:color w:val="auto"/>
              </w:rPr>
              <w:t>1.7</w:t>
            </w:r>
          </w:p>
        </w:tc>
        <w:tc>
          <w:tcPr>
            <w:tcW w:w="1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1.6</w:t>
            </w:r>
          </w:p>
        </w:tc>
        <w:tc>
          <w:tcPr>
            <w:tcW w:w="18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660" w:type="dxa"/>
            <w:vAlign w:val="bottom"/>
            <w:gridSpan w:val="2"/>
          </w:tcPr>
          <w:p>
            <w:pPr>
              <w:jc w:val="right"/>
              <w:ind w:right="200"/>
              <w:spacing w:after="0"/>
              <w:rPr>
                <w:sz w:val="20"/>
                <w:szCs w:val="20"/>
                <w:color w:val="auto"/>
              </w:rPr>
            </w:pPr>
            <w:r>
              <w:rPr>
                <w:rFonts w:ascii="Arial" w:cs="Arial" w:eastAsia="Arial" w:hAnsi="Arial"/>
                <w:sz w:val="13"/>
                <w:szCs w:val="13"/>
                <w:color w:val="auto"/>
              </w:rPr>
              <w:t>5.1</w:t>
            </w:r>
          </w:p>
        </w:tc>
        <w:tc>
          <w:tcPr>
            <w:tcW w:w="1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5.7</w:t>
            </w:r>
          </w:p>
        </w:tc>
        <w:tc>
          <w:tcPr>
            <w:tcW w:w="20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680" w:type="dxa"/>
            <w:vAlign w:val="bottom"/>
            <w:gridSpan w:val="2"/>
          </w:tcPr>
          <w:p>
            <w:pPr>
              <w:jc w:val="right"/>
              <w:ind w:right="220"/>
              <w:spacing w:after="0"/>
              <w:rPr>
                <w:sz w:val="20"/>
                <w:szCs w:val="20"/>
                <w:color w:val="auto"/>
              </w:rPr>
            </w:pPr>
            <w:r>
              <w:rPr>
                <w:rFonts w:ascii="Arial" w:cs="Arial" w:eastAsia="Arial" w:hAnsi="Arial"/>
                <w:sz w:val="13"/>
                <w:szCs w:val="13"/>
                <w:color w:val="auto"/>
              </w:rPr>
              <w:t>3.0</w:t>
            </w:r>
          </w:p>
        </w:tc>
        <w:tc>
          <w:tcPr>
            <w:tcW w:w="1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3.9</w:t>
            </w: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540" w:type="dxa"/>
            <w:vAlign w:val="bottom"/>
            <w:shd w:val="clear" w:color="auto" w:fill="CCEEFF"/>
          </w:tcPr>
          <w:p>
            <w:pPr>
              <w:ind w:left="200"/>
              <w:spacing w:after="0"/>
              <w:rPr>
                <w:sz w:val="20"/>
                <w:szCs w:val="20"/>
                <w:color w:val="auto"/>
              </w:rPr>
            </w:pPr>
            <w:r>
              <w:rPr>
                <w:rFonts w:ascii="Arial" w:cs="Arial" w:eastAsia="Arial" w:hAnsi="Arial"/>
                <w:sz w:val="13"/>
                <w:szCs w:val="13"/>
                <w:color w:val="auto"/>
              </w:rPr>
              <w:t>Mexico</w:t>
            </w:r>
          </w:p>
        </w:tc>
        <w:tc>
          <w:tcPr>
            <w:tcW w:w="10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0.7</w:t>
            </w:r>
          </w:p>
        </w:tc>
        <w:tc>
          <w:tcPr>
            <w:tcW w:w="1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96"/>
              <w:spacing w:after="0"/>
              <w:rPr>
                <w:sz w:val="20"/>
                <w:szCs w:val="20"/>
                <w:color w:val="auto"/>
              </w:rPr>
            </w:pPr>
            <w:r>
              <w:rPr>
                <w:rFonts w:ascii="Arial" w:cs="Arial" w:eastAsia="Arial" w:hAnsi="Arial"/>
                <w:sz w:val="13"/>
                <w:szCs w:val="13"/>
                <w:color w:val="auto"/>
              </w:rPr>
              <w:t>0.7</w:t>
            </w:r>
          </w:p>
        </w:tc>
        <w:tc>
          <w:tcPr>
            <w:tcW w:w="12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1.2</w:t>
            </w:r>
          </w:p>
        </w:tc>
        <w:tc>
          <w:tcPr>
            <w:tcW w:w="1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96"/>
              <w:spacing w:after="0"/>
              <w:rPr>
                <w:sz w:val="20"/>
                <w:szCs w:val="20"/>
                <w:color w:val="auto"/>
              </w:rPr>
            </w:pPr>
            <w:r>
              <w:rPr>
                <w:rFonts w:ascii="Arial" w:cs="Arial" w:eastAsia="Arial" w:hAnsi="Arial"/>
                <w:sz w:val="13"/>
                <w:szCs w:val="13"/>
                <w:color w:val="auto"/>
              </w:rPr>
              <w:t>1.5</w:t>
            </w:r>
          </w:p>
        </w:tc>
        <w:tc>
          <w:tcPr>
            <w:tcW w:w="6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6.7</w:t>
            </w:r>
          </w:p>
        </w:tc>
        <w:tc>
          <w:tcPr>
            <w:tcW w:w="120" w:type="dxa"/>
            <w:vAlign w:val="bottom"/>
            <w:shd w:val="clear" w:color="auto" w:fill="CCEEFF"/>
          </w:tcPr>
          <w:p>
            <w:pPr>
              <w:spacing w:after="0"/>
              <w:rPr>
                <w:sz w:val="13"/>
                <w:szCs w:val="13"/>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6.3</w:t>
            </w:r>
          </w:p>
        </w:tc>
        <w:tc>
          <w:tcPr>
            <w:tcW w:w="18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6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3.1</w:t>
            </w:r>
          </w:p>
        </w:tc>
        <w:tc>
          <w:tcPr>
            <w:tcW w:w="120" w:type="dxa"/>
            <w:vAlign w:val="bottom"/>
            <w:shd w:val="clear" w:color="auto" w:fill="CCEEFF"/>
          </w:tcPr>
          <w:p>
            <w:pPr>
              <w:spacing w:after="0"/>
              <w:rPr>
                <w:sz w:val="13"/>
                <w:szCs w:val="13"/>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3.5</w:t>
            </w:r>
          </w:p>
        </w:tc>
        <w:tc>
          <w:tcPr>
            <w:tcW w:w="200" w:type="dxa"/>
            <w:vAlign w:val="bottom"/>
            <w:shd w:val="clear" w:color="auto" w:fill="CCEEFF"/>
          </w:tcPr>
          <w:p>
            <w:pPr>
              <w:spacing w:after="0"/>
              <w:rPr>
                <w:sz w:val="13"/>
                <w:szCs w:val="13"/>
                <w:color w:val="auto"/>
              </w:rPr>
            </w:pPr>
          </w:p>
        </w:tc>
        <w:tc>
          <w:tcPr>
            <w:tcW w:w="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3.2</w:t>
            </w:r>
          </w:p>
        </w:tc>
        <w:tc>
          <w:tcPr>
            <w:tcW w:w="120" w:type="dxa"/>
            <w:vAlign w:val="bottom"/>
            <w:shd w:val="clear" w:color="auto" w:fill="CCEEFF"/>
          </w:tcPr>
          <w:p>
            <w:pPr>
              <w:spacing w:after="0"/>
              <w:rPr>
                <w:sz w:val="13"/>
                <w:szCs w:val="13"/>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4.1</w:t>
            </w: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540" w:type="dxa"/>
            <w:vAlign w:val="bottom"/>
          </w:tcPr>
          <w:p>
            <w:pPr>
              <w:ind w:left="200"/>
              <w:spacing w:after="0"/>
              <w:rPr>
                <w:sz w:val="20"/>
                <w:szCs w:val="20"/>
                <w:color w:val="auto"/>
              </w:rPr>
            </w:pPr>
            <w:r>
              <w:rPr>
                <w:rFonts w:ascii="Arial" w:cs="Arial" w:eastAsia="Arial" w:hAnsi="Arial"/>
                <w:sz w:val="13"/>
                <w:szCs w:val="13"/>
                <w:color w:val="auto"/>
              </w:rPr>
              <w:t>Nicaragua</w:t>
            </w:r>
          </w:p>
        </w:tc>
        <w:tc>
          <w:tcPr>
            <w:tcW w:w="100" w:type="dxa"/>
            <w:vAlign w:val="bottom"/>
          </w:tcPr>
          <w:p>
            <w:pPr>
              <w:spacing w:after="0"/>
              <w:rPr>
                <w:sz w:val="13"/>
                <w:szCs w:val="13"/>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0.0</w:t>
            </w:r>
          </w:p>
        </w:tc>
        <w:tc>
          <w:tcPr>
            <w:tcW w:w="120" w:type="dxa"/>
            <w:vAlign w:val="bottom"/>
          </w:tcPr>
          <w:p>
            <w:pPr>
              <w:spacing w:after="0"/>
              <w:rPr>
                <w:sz w:val="13"/>
                <w:szCs w:val="13"/>
                <w:color w:val="auto"/>
              </w:rPr>
            </w:pPr>
          </w:p>
        </w:tc>
        <w:tc>
          <w:tcPr>
            <w:tcW w:w="720" w:type="dxa"/>
            <w:vAlign w:val="bottom"/>
            <w:gridSpan w:val="2"/>
          </w:tcPr>
          <w:p>
            <w:pPr>
              <w:jc w:val="right"/>
              <w:ind w:right="196"/>
              <w:spacing w:after="0"/>
              <w:rPr>
                <w:sz w:val="20"/>
                <w:szCs w:val="20"/>
                <w:color w:val="auto"/>
              </w:rPr>
            </w:pPr>
            <w:r>
              <w:rPr>
                <w:rFonts w:ascii="Arial" w:cs="Arial" w:eastAsia="Arial" w:hAnsi="Arial"/>
                <w:sz w:val="13"/>
                <w:szCs w:val="13"/>
                <w:color w:val="auto"/>
              </w:rPr>
              <w:t>0.0</w:t>
            </w:r>
          </w:p>
        </w:tc>
        <w:tc>
          <w:tcPr>
            <w:tcW w:w="120" w:type="dxa"/>
            <w:vAlign w:val="bottom"/>
          </w:tcPr>
          <w:p>
            <w:pPr>
              <w:spacing w:after="0"/>
              <w:rPr>
                <w:sz w:val="13"/>
                <w:szCs w:val="13"/>
                <w:color w:val="auto"/>
              </w:rPr>
            </w:pPr>
          </w:p>
        </w:tc>
        <w:tc>
          <w:tcPr>
            <w:tcW w:w="700" w:type="dxa"/>
            <w:vAlign w:val="bottom"/>
            <w:gridSpan w:val="2"/>
          </w:tcPr>
          <w:p>
            <w:pPr>
              <w:jc w:val="right"/>
              <w:ind w:right="240"/>
              <w:spacing w:after="0"/>
              <w:rPr>
                <w:sz w:val="20"/>
                <w:szCs w:val="20"/>
                <w:color w:val="auto"/>
              </w:rPr>
            </w:pPr>
            <w:r>
              <w:rPr>
                <w:rFonts w:ascii="Arial" w:cs="Arial" w:eastAsia="Arial" w:hAnsi="Arial"/>
                <w:sz w:val="13"/>
                <w:szCs w:val="13"/>
                <w:color w:val="auto"/>
              </w:rPr>
              <w:t>2.1</w:t>
            </w:r>
          </w:p>
        </w:tc>
        <w:tc>
          <w:tcPr>
            <w:tcW w:w="120" w:type="dxa"/>
            <w:vAlign w:val="bottom"/>
          </w:tcPr>
          <w:p>
            <w:pPr>
              <w:spacing w:after="0"/>
              <w:rPr>
                <w:sz w:val="13"/>
                <w:szCs w:val="13"/>
                <w:color w:val="auto"/>
              </w:rPr>
            </w:pPr>
          </w:p>
        </w:tc>
        <w:tc>
          <w:tcPr>
            <w:tcW w:w="720" w:type="dxa"/>
            <w:vAlign w:val="bottom"/>
            <w:gridSpan w:val="2"/>
          </w:tcPr>
          <w:p>
            <w:pPr>
              <w:jc w:val="right"/>
              <w:ind w:right="196"/>
              <w:spacing w:after="0"/>
              <w:rPr>
                <w:sz w:val="20"/>
                <w:szCs w:val="20"/>
                <w:color w:val="auto"/>
              </w:rPr>
            </w:pPr>
            <w:r>
              <w:rPr>
                <w:rFonts w:ascii="Arial" w:cs="Arial" w:eastAsia="Arial" w:hAnsi="Arial"/>
                <w:sz w:val="13"/>
                <w:szCs w:val="13"/>
                <w:color w:val="auto"/>
              </w:rPr>
              <w:t>2.6</w:t>
            </w:r>
          </w:p>
        </w:tc>
        <w:tc>
          <w:tcPr>
            <w:tcW w:w="60" w:type="dxa"/>
            <w:vAlign w:val="bottom"/>
          </w:tcPr>
          <w:p>
            <w:pPr>
              <w:spacing w:after="0"/>
              <w:rPr>
                <w:sz w:val="13"/>
                <w:szCs w:val="13"/>
                <w:color w:val="auto"/>
              </w:rPr>
            </w:pPr>
          </w:p>
        </w:tc>
        <w:tc>
          <w:tcPr>
            <w:tcW w:w="720" w:type="dxa"/>
            <w:vAlign w:val="bottom"/>
            <w:gridSpan w:val="2"/>
          </w:tcPr>
          <w:p>
            <w:pPr>
              <w:jc w:val="right"/>
              <w:ind w:right="220"/>
              <w:spacing w:after="0"/>
              <w:rPr>
                <w:sz w:val="20"/>
                <w:szCs w:val="20"/>
                <w:color w:val="auto"/>
              </w:rPr>
            </w:pPr>
            <w:r>
              <w:rPr>
                <w:rFonts w:ascii="Arial" w:cs="Arial" w:eastAsia="Arial" w:hAnsi="Arial"/>
                <w:sz w:val="13"/>
                <w:szCs w:val="13"/>
                <w:color w:val="auto"/>
              </w:rPr>
              <w:t>0.9</w:t>
            </w:r>
          </w:p>
        </w:tc>
        <w:tc>
          <w:tcPr>
            <w:tcW w:w="1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0.8</w:t>
            </w:r>
          </w:p>
        </w:tc>
        <w:tc>
          <w:tcPr>
            <w:tcW w:w="18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660" w:type="dxa"/>
            <w:vAlign w:val="bottom"/>
            <w:gridSpan w:val="2"/>
          </w:tcPr>
          <w:p>
            <w:pPr>
              <w:jc w:val="right"/>
              <w:ind w:right="200"/>
              <w:spacing w:after="0"/>
              <w:rPr>
                <w:sz w:val="20"/>
                <w:szCs w:val="20"/>
                <w:color w:val="auto"/>
              </w:rPr>
            </w:pPr>
            <w:r>
              <w:rPr>
                <w:rFonts w:ascii="Arial" w:cs="Arial" w:eastAsia="Arial" w:hAnsi="Arial"/>
                <w:sz w:val="13"/>
                <w:szCs w:val="13"/>
                <w:color w:val="auto"/>
              </w:rPr>
              <w:t>0.7</w:t>
            </w:r>
          </w:p>
        </w:tc>
        <w:tc>
          <w:tcPr>
            <w:tcW w:w="1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0.8</w:t>
            </w:r>
          </w:p>
        </w:tc>
        <w:tc>
          <w:tcPr>
            <w:tcW w:w="20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680" w:type="dxa"/>
            <w:vAlign w:val="bottom"/>
            <w:gridSpan w:val="2"/>
          </w:tcPr>
          <w:p>
            <w:pPr>
              <w:jc w:val="right"/>
              <w:ind w:right="220"/>
              <w:spacing w:after="0"/>
              <w:rPr>
                <w:sz w:val="20"/>
                <w:szCs w:val="20"/>
                <w:color w:val="auto"/>
              </w:rPr>
            </w:pPr>
            <w:r>
              <w:rPr>
                <w:rFonts w:ascii="Arial" w:cs="Arial" w:eastAsia="Arial" w:hAnsi="Arial"/>
                <w:sz w:val="13"/>
                <w:szCs w:val="13"/>
                <w:color w:val="auto"/>
              </w:rPr>
              <w:t>0.3</w:t>
            </w:r>
          </w:p>
        </w:tc>
        <w:tc>
          <w:tcPr>
            <w:tcW w:w="1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0.4</w:t>
            </w: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540" w:type="dxa"/>
            <w:vAlign w:val="bottom"/>
            <w:shd w:val="clear" w:color="auto" w:fill="CCEEFF"/>
          </w:tcPr>
          <w:p>
            <w:pPr>
              <w:ind w:left="200"/>
              <w:spacing w:after="0"/>
              <w:rPr>
                <w:sz w:val="20"/>
                <w:szCs w:val="20"/>
                <w:color w:val="auto"/>
              </w:rPr>
            </w:pPr>
            <w:r>
              <w:rPr>
                <w:rFonts w:ascii="Arial" w:cs="Arial" w:eastAsia="Arial" w:hAnsi="Arial"/>
                <w:sz w:val="13"/>
                <w:szCs w:val="13"/>
                <w:color w:val="auto"/>
              </w:rPr>
              <w:t>Panama</w:t>
            </w:r>
          </w:p>
        </w:tc>
        <w:tc>
          <w:tcPr>
            <w:tcW w:w="10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3.6</w:t>
            </w:r>
          </w:p>
        </w:tc>
        <w:tc>
          <w:tcPr>
            <w:tcW w:w="1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96"/>
              <w:spacing w:after="0"/>
              <w:rPr>
                <w:sz w:val="20"/>
                <w:szCs w:val="20"/>
                <w:color w:val="auto"/>
              </w:rPr>
            </w:pPr>
            <w:r>
              <w:rPr>
                <w:rFonts w:ascii="Arial" w:cs="Arial" w:eastAsia="Arial" w:hAnsi="Arial"/>
                <w:sz w:val="13"/>
                <w:szCs w:val="13"/>
                <w:color w:val="auto"/>
              </w:rPr>
              <w:t>3.6</w:t>
            </w:r>
          </w:p>
        </w:tc>
        <w:tc>
          <w:tcPr>
            <w:tcW w:w="12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3.6</w:t>
            </w:r>
          </w:p>
        </w:tc>
        <w:tc>
          <w:tcPr>
            <w:tcW w:w="1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96"/>
              <w:spacing w:after="0"/>
              <w:rPr>
                <w:sz w:val="20"/>
                <w:szCs w:val="20"/>
                <w:color w:val="auto"/>
              </w:rPr>
            </w:pPr>
            <w:r>
              <w:rPr>
                <w:rFonts w:ascii="Arial" w:cs="Arial" w:eastAsia="Arial" w:hAnsi="Arial"/>
                <w:sz w:val="13"/>
                <w:szCs w:val="13"/>
                <w:color w:val="auto"/>
              </w:rPr>
              <w:t>4.5</w:t>
            </w:r>
          </w:p>
        </w:tc>
        <w:tc>
          <w:tcPr>
            <w:tcW w:w="6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9.8</w:t>
            </w:r>
          </w:p>
        </w:tc>
        <w:tc>
          <w:tcPr>
            <w:tcW w:w="120" w:type="dxa"/>
            <w:vAlign w:val="bottom"/>
            <w:shd w:val="clear" w:color="auto" w:fill="CCEEFF"/>
          </w:tcPr>
          <w:p>
            <w:pPr>
              <w:spacing w:after="0"/>
              <w:rPr>
                <w:sz w:val="13"/>
                <w:szCs w:val="13"/>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9.3</w:t>
            </w:r>
          </w:p>
        </w:tc>
        <w:tc>
          <w:tcPr>
            <w:tcW w:w="18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6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1.0</w:t>
            </w:r>
          </w:p>
        </w:tc>
        <w:tc>
          <w:tcPr>
            <w:tcW w:w="120" w:type="dxa"/>
            <w:vAlign w:val="bottom"/>
            <w:shd w:val="clear" w:color="auto" w:fill="CCEEFF"/>
          </w:tcPr>
          <w:p>
            <w:pPr>
              <w:spacing w:after="0"/>
              <w:rPr>
                <w:sz w:val="13"/>
                <w:szCs w:val="13"/>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1.1</w:t>
            </w:r>
          </w:p>
        </w:tc>
        <w:tc>
          <w:tcPr>
            <w:tcW w:w="200" w:type="dxa"/>
            <w:vAlign w:val="bottom"/>
            <w:shd w:val="clear" w:color="auto" w:fill="CCEEFF"/>
          </w:tcPr>
          <w:p>
            <w:pPr>
              <w:spacing w:after="0"/>
              <w:rPr>
                <w:sz w:val="13"/>
                <w:szCs w:val="13"/>
                <w:color w:val="auto"/>
              </w:rPr>
            </w:pPr>
          </w:p>
        </w:tc>
        <w:tc>
          <w:tcPr>
            <w:tcW w:w="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1.1</w:t>
            </w:r>
          </w:p>
        </w:tc>
        <w:tc>
          <w:tcPr>
            <w:tcW w:w="120" w:type="dxa"/>
            <w:vAlign w:val="bottom"/>
            <w:shd w:val="clear" w:color="auto" w:fill="CCEEFF"/>
          </w:tcPr>
          <w:p>
            <w:pPr>
              <w:spacing w:after="0"/>
              <w:rPr>
                <w:sz w:val="13"/>
                <w:szCs w:val="13"/>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1.4</w:t>
            </w: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540" w:type="dxa"/>
            <w:vAlign w:val="bottom"/>
          </w:tcPr>
          <w:p>
            <w:pPr>
              <w:ind w:left="200"/>
              <w:spacing w:after="0"/>
              <w:rPr>
                <w:sz w:val="20"/>
                <w:szCs w:val="20"/>
                <w:color w:val="auto"/>
              </w:rPr>
            </w:pPr>
            <w:r>
              <w:rPr>
                <w:rFonts w:ascii="Arial" w:cs="Arial" w:eastAsia="Arial" w:hAnsi="Arial"/>
                <w:sz w:val="13"/>
                <w:szCs w:val="13"/>
                <w:color w:val="auto"/>
              </w:rPr>
              <w:t>Paraguay</w:t>
            </w:r>
          </w:p>
        </w:tc>
        <w:tc>
          <w:tcPr>
            <w:tcW w:w="100" w:type="dxa"/>
            <w:vAlign w:val="bottom"/>
          </w:tcPr>
          <w:p>
            <w:pPr>
              <w:spacing w:after="0"/>
              <w:rPr>
                <w:sz w:val="13"/>
                <w:szCs w:val="13"/>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0.9</w:t>
            </w:r>
          </w:p>
        </w:tc>
        <w:tc>
          <w:tcPr>
            <w:tcW w:w="120" w:type="dxa"/>
            <w:vAlign w:val="bottom"/>
          </w:tcPr>
          <w:p>
            <w:pPr>
              <w:spacing w:after="0"/>
              <w:rPr>
                <w:sz w:val="13"/>
                <w:szCs w:val="13"/>
                <w:color w:val="auto"/>
              </w:rPr>
            </w:pPr>
          </w:p>
        </w:tc>
        <w:tc>
          <w:tcPr>
            <w:tcW w:w="720" w:type="dxa"/>
            <w:vAlign w:val="bottom"/>
            <w:gridSpan w:val="2"/>
          </w:tcPr>
          <w:p>
            <w:pPr>
              <w:jc w:val="right"/>
              <w:ind w:right="196"/>
              <w:spacing w:after="0"/>
              <w:rPr>
                <w:sz w:val="20"/>
                <w:szCs w:val="20"/>
                <w:color w:val="auto"/>
              </w:rPr>
            </w:pPr>
            <w:r>
              <w:rPr>
                <w:rFonts w:ascii="Arial" w:cs="Arial" w:eastAsia="Arial" w:hAnsi="Arial"/>
                <w:sz w:val="13"/>
                <w:szCs w:val="13"/>
                <w:color w:val="auto"/>
              </w:rPr>
              <w:t>0.9</w:t>
            </w:r>
          </w:p>
        </w:tc>
        <w:tc>
          <w:tcPr>
            <w:tcW w:w="120" w:type="dxa"/>
            <w:vAlign w:val="bottom"/>
          </w:tcPr>
          <w:p>
            <w:pPr>
              <w:spacing w:after="0"/>
              <w:rPr>
                <w:sz w:val="13"/>
                <w:szCs w:val="13"/>
                <w:color w:val="auto"/>
              </w:rPr>
            </w:pPr>
          </w:p>
        </w:tc>
        <w:tc>
          <w:tcPr>
            <w:tcW w:w="700" w:type="dxa"/>
            <w:vAlign w:val="bottom"/>
            <w:gridSpan w:val="2"/>
          </w:tcPr>
          <w:p>
            <w:pPr>
              <w:jc w:val="right"/>
              <w:ind w:right="240"/>
              <w:spacing w:after="0"/>
              <w:rPr>
                <w:sz w:val="20"/>
                <w:szCs w:val="20"/>
                <w:color w:val="auto"/>
              </w:rPr>
            </w:pPr>
            <w:r>
              <w:rPr>
                <w:rFonts w:ascii="Arial" w:cs="Arial" w:eastAsia="Arial" w:hAnsi="Arial"/>
                <w:sz w:val="13"/>
                <w:szCs w:val="13"/>
                <w:color w:val="auto"/>
              </w:rPr>
              <w:t>4.8</w:t>
            </w:r>
          </w:p>
        </w:tc>
        <w:tc>
          <w:tcPr>
            <w:tcW w:w="120" w:type="dxa"/>
            <w:vAlign w:val="bottom"/>
          </w:tcPr>
          <w:p>
            <w:pPr>
              <w:spacing w:after="0"/>
              <w:rPr>
                <w:sz w:val="13"/>
                <w:szCs w:val="13"/>
                <w:color w:val="auto"/>
              </w:rPr>
            </w:pPr>
          </w:p>
        </w:tc>
        <w:tc>
          <w:tcPr>
            <w:tcW w:w="720" w:type="dxa"/>
            <w:vAlign w:val="bottom"/>
            <w:gridSpan w:val="2"/>
          </w:tcPr>
          <w:p>
            <w:pPr>
              <w:jc w:val="right"/>
              <w:ind w:right="196"/>
              <w:spacing w:after="0"/>
              <w:rPr>
                <w:sz w:val="20"/>
                <w:szCs w:val="20"/>
                <w:color w:val="auto"/>
              </w:rPr>
            </w:pPr>
            <w:r>
              <w:rPr>
                <w:rFonts w:ascii="Arial" w:cs="Arial" w:eastAsia="Arial" w:hAnsi="Arial"/>
                <w:sz w:val="13"/>
                <w:szCs w:val="13"/>
                <w:color w:val="auto"/>
              </w:rPr>
              <w:t>5.9</w:t>
            </w:r>
          </w:p>
        </w:tc>
        <w:tc>
          <w:tcPr>
            <w:tcW w:w="60" w:type="dxa"/>
            <w:vAlign w:val="bottom"/>
          </w:tcPr>
          <w:p>
            <w:pPr>
              <w:spacing w:after="0"/>
              <w:rPr>
                <w:sz w:val="13"/>
                <w:szCs w:val="13"/>
                <w:color w:val="auto"/>
              </w:rPr>
            </w:pPr>
          </w:p>
        </w:tc>
        <w:tc>
          <w:tcPr>
            <w:tcW w:w="720" w:type="dxa"/>
            <w:vAlign w:val="bottom"/>
            <w:gridSpan w:val="2"/>
          </w:tcPr>
          <w:p>
            <w:pPr>
              <w:jc w:val="right"/>
              <w:ind w:right="220"/>
              <w:spacing w:after="0"/>
              <w:rPr>
                <w:sz w:val="20"/>
                <w:szCs w:val="20"/>
                <w:color w:val="auto"/>
              </w:rPr>
            </w:pPr>
            <w:r>
              <w:rPr>
                <w:rFonts w:ascii="Arial" w:cs="Arial" w:eastAsia="Arial" w:hAnsi="Arial"/>
                <w:sz w:val="13"/>
                <w:szCs w:val="13"/>
                <w:color w:val="auto"/>
              </w:rPr>
              <w:t>6.4</w:t>
            </w:r>
          </w:p>
        </w:tc>
        <w:tc>
          <w:tcPr>
            <w:tcW w:w="1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6.0</w:t>
            </w:r>
          </w:p>
        </w:tc>
        <w:tc>
          <w:tcPr>
            <w:tcW w:w="18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660" w:type="dxa"/>
            <w:vAlign w:val="bottom"/>
            <w:gridSpan w:val="2"/>
          </w:tcPr>
          <w:p>
            <w:pPr>
              <w:jc w:val="right"/>
              <w:ind w:right="200"/>
              <w:spacing w:after="0"/>
              <w:rPr>
                <w:sz w:val="20"/>
                <w:szCs w:val="20"/>
                <w:color w:val="auto"/>
              </w:rPr>
            </w:pPr>
            <w:r>
              <w:rPr>
                <w:rFonts w:ascii="Arial" w:cs="Arial" w:eastAsia="Arial" w:hAnsi="Arial"/>
                <w:sz w:val="13"/>
                <w:szCs w:val="13"/>
                <w:color w:val="auto"/>
              </w:rPr>
              <w:t>0.9</w:t>
            </w:r>
          </w:p>
        </w:tc>
        <w:tc>
          <w:tcPr>
            <w:tcW w:w="1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1.0</w:t>
            </w:r>
          </w:p>
        </w:tc>
        <w:tc>
          <w:tcPr>
            <w:tcW w:w="20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680" w:type="dxa"/>
            <w:vAlign w:val="bottom"/>
            <w:gridSpan w:val="2"/>
          </w:tcPr>
          <w:p>
            <w:pPr>
              <w:jc w:val="right"/>
              <w:ind w:right="220"/>
              <w:spacing w:after="0"/>
              <w:rPr>
                <w:sz w:val="20"/>
                <w:szCs w:val="20"/>
                <w:color w:val="auto"/>
              </w:rPr>
            </w:pPr>
            <w:r>
              <w:rPr>
                <w:rFonts w:ascii="Arial" w:cs="Arial" w:eastAsia="Arial" w:hAnsi="Arial"/>
                <w:sz w:val="13"/>
                <w:szCs w:val="13"/>
                <w:color w:val="auto"/>
              </w:rPr>
              <w:t>1.1</w:t>
            </w:r>
          </w:p>
        </w:tc>
        <w:tc>
          <w:tcPr>
            <w:tcW w:w="1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1.3</w:t>
            </w: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540" w:type="dxa"/>
            <w:vAlign w:val="bottom"/>
            <w:shd w:val="clear" w:color="auto" w:fill="CCEEFF"/>
          </w:tcPr>
          <w:p>
            <w:pPr>
              <w:ind w:left="200"/>
              <w:spacing w:after="0"/>
              <w:rPr>
                <w:sz w:val="20"/>
                <w:szCs w:val="20"/>
                <w:color w:val="auto"/>
              </w:rPr>
            </w:pPr>
            <w:r>
              <w:rPr>
                <w:rFonts w:ascii="Arial" w:cs="Arial" w:eastAsia="Arial" w:hAnsi="Arial"/>
                <w:sz w:val="13"/>
                <w:szCs w:val="13"/>
                <w:color w:val="auto"/>
              </w:rPr>
              <w:t>Peru</w:t>
            </w:r>
          </w:p>
        </w:tc>
        <w:tc>
          <w:tcPr>
            <w:tcW w:w="10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0.1</w:t>
            </w:r>
          </w:p>
        </w:tc>
        <w:tc>
          <w:tcPr>
            <w:tcW w:w="1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96"/>
              <w:spacing w:after="0"/>
              <w:rPr>
                <w:sz w:val="20"/>
                <w:szCs w:val="20"/>
                <w:color w:val="auto"/>
              </w:rPr>
            </w:pPr>
            <w:r>
              <w:rPr>
                <w:rFonts w:ascii="Arial" w:cs="Arial" w:eastAsia="Arial" w:hAnsi="Arial"/>
                <w:sz w:val="13"/>
                <w:szCs w:val="13"/>
                <w:color w:val="auto"/>
              </w:rPr>
              <w:t>0.1</w:t>
            </w:r>
          </w:p>
        </w:tc>
        <w:tc>
          <w:tcPr>
            <w:tcW w:w="12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0.3</w:t>
            </w:r>
          </w:p>
        </w:tc>
        <w:tc>
          <w:tcPr>
            <w:tcW w:w="1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96"/>
              <w:spacing w:after="0"/>
              <w:rPr>
                <w:sz w:val="20"/>
                <w:szCs w:val="20"/>
                <w:color w:val="auto"/>
              </w:rPr>
            </w:pPr>
            <w:r>
              <w:rPr>
                <w:rFonts w:ascii="Arial" w:cs="Arial" w:eastAsia="Arial" w:hAnsi="Arial"/>
                <w:sz w:val="13"/>
                <w:szCs w:val="13"/>
                <w:color w:val="auto"/>
              </w:rPr>
              <w:t>0.4</w:t>
            </w:r>
          </w:p>
        </w:tc>
        <w:tc>
          <w:tcPr>
            <w:tcW w:w="6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0.6</w:t>
            </w:r>
          </w:p>
        </w:tc>
        <w:tc>
          <w:tcPr>
            <w:tcW w:w="120" w:type="dxa"/>
            <w:vAlign w:val="bottom"/>
            <w:shd w:val="clear" w:color="auto" w:fill="CCEEFF"/>
          </w:tcPr>
          <w:p>
            <w:pPr>
              <w:spacing w:after="0"/>
              <w:rPr>
                <w:sz w:val="13"/>
                <w:szCs w:val="13"/>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0.5</w:t>
            </w:r>
          </w:p>
        </w:tc>
        <w:tc>
          <w:tcPr>
            <w:tcW w:w="18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6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0.8</w:t>
            </w:r>
          </w:p>
        </w:tc>
        <w:tc>
          <w:tcPr>
            <w:tcW w:w="120" w:type="dxa"/>
            <w:vAlign w:val="bottom"/>
            <w:shd w:val="clear" w:color="auto" w:fill="CCEEFF"/>
          </w:tcPr>
          <w:p>
            <w:pPr>
              <w:spacing w:after="0"/>
              <w:rPr>
                <w:sz w:val="13"/>
                <w:szCs w:val="13"/>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0.9</w:t>
            </w:r>
          </w:p>
        </w:tc>
        <w:tc>
          <w:tcPr>
            <w:tcW w:w="200" w:type="dxa"/>
            <w:vAlign w:val="bottom"/>
            <w:shd w:val="clear" w:color="auto" w:fill="CCEEFF"/>
          </w:tcPr>
          <w:p>
            <w:pPr>
              <w:spacing w:after="0"/>
              <w:rPr>
                <w:sz w:val="13"/>
                <w:szCs w:val="13"/>
                <w:color w:val="auto"/>
              </w:rPr>
            </w:pPr>
          </w:p>
        </w:tc>
        <w:tc>
          <w:tcPr>
            <w:tcW w:w="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0.8</w:t>
            </w:r>
          </w:p>
        </w:tc>
        <w:tc>
          <w:tcPr>
            <w:tcW w:w="120" w:type="dxa"/>
            <w:vAlign w:val="bottom"/>
            <w:shd w:val="clear" w:color="auto" w:fill="CCEEFF"/>
          </w:tcPr>
          <w:p>
            <w:pPr>
              <w:spacing w:after="0"/>
              <w:rPr>
                <w:sz w:val="13"/>
                <w:szCs w:val="13"/>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1.0</w:t>
            </w: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540" w:type="dxa"/>
            <w:vAlign w:val="bottom"/>
          </w:tcPr>
          <w:p>
            <w:pPr>
              <w:ind w:left="200"/>
              <w:spacing w:after="0"/>
              <w:rPr>
                <w:sz w:val="20"/>
                <w:szCs w:val="20"/>
                <w:color w:val="auto"/>
              </w:rPr>
            </w:pPr>
            <w:r>
              <w:rPr>
                <w:rFonts w:ascii="Arial" w:cs="Arial" w:eastAsia="Arial" w:hAnsi="Arial"/>
                <w:sz w:val="13"/>
                <w:szCs w:val="13"/>
                <w:color w:val="auto"/>
              </w:rPr>
              <w:t>Uruguay</w:t>
            </w:r>
          </w:p>
        </w:tc>
        <w:tc>
          <w:tcPr>
            <w:tcW w:w="100" w:type="dxa"/>
            <w:vAlign w:val="bottom"/>
          </w:tcPr>
          <w:p>
            <w:pPr>
              <w:spacing w:after="0"/>
              <w:rPr>
                <w:sz w:val="13"/>
                <w:szCs w:val="13"/>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0.0</w:t>
            </w:r>
          </w:p>
        </w:tc>
        <w:tc>
          <w:tcPr>
            <w:tcW w:w="120" w:type="dxa"/>
            <w:vAlign w:val="bottom"/>
          </w:tcPr>
          <w:p>
            <w:pPr>
              <w:spacing w:after="0"/>
              <w:rPr>
                <w:sz w:val="13"/>
                <w:szCs w:val="13"/>
                <w:color w:val="auto"/>
              </w:rPr>
            </w:pPr>
          </w:p>
        </w:tc>
        <w:tc>
          <w:tcPr>
            <w:tcW w:w="720" w:type="dxa"/>
            <w:vAlign w:val="bottom"/>
            <w:gridSpan w:val="2"/>
          </w:tcPr>
          <w:p>
            <w:pPr>
              <w:jc w:val="right"/>
              <w:ind w:right="196"/>
              <w:spacing w:after="0"/>
              <w:rPr>
                <w:sz w:val="20"/>
                <w:szCs w:val="20"/>
                <w:color w:val="auto"/>
              </w:rPr>
            </w:pPr>
            <w:r>
              <w:rPr>
                <w:rFonts w:ascii="Arial" w:cs="Arial" w:eastAsia="Arial" w:hAnsi="Arial"/>
                <w:sz w:val="13"/>
                <w:szCs w:val="13"/>
                <w:color w:val="auto"/>
              </w:rPr>
              <w:t>0.0</w:t>
            </w:r>
          </w:p>
        </w:tc>
        <w:tc>
          <w:tcPr>
            <w:tcW w:w="120" w:type="dxa"/>
            <w:vAlign w:val="bottom"/>
          </w:tcPr>
          <w:p>
            <w:pPr>
              <w:spacing w:after="0"/>
              <w:rPr>
                <w:sz w:val="13"/>
                <w:szCs w:val="13"/>
                <w:color w:val="auto"/>
              </w:rPr>
            </w:pPr>
          </w:p>
        </w:tc>
        <w:tc>
          <w:tcPr>
            <w:tcW w:w="700" w:type="dxa"/>
            <w:vAlign w:val="bottom"/>
            <w:gridSpan w:val="2"/>
          </w:tcPr>
          <w:p>
            <w:pPr>
              <w:jc w:val="right"/>
              <w:ind w:right="240"/>
              <w:spacing w:after="0"/>
              <w:rPr>
                <w:sz w:val="20"/>
                <w:szCs w:val="20"/>
                <w:color w:val="auto"/>
              </w:rPr>
            </w:pPr>
            <w:r>
              <w:rPr>
                <w:rFonts w:ascii="Arial" w:cs="Arial" w:eastAsia="Arial" w:hAnsi="Arial"/>
                <w:sz w:val="13"/>
                <w:szCs w:val="13"/>
                <w:color w:val="auto"/>
              </w:rPr>
              <w:t>0.0</w:t>
            </w:r>
          </w:p>
        </w:tc>
        <w:tc>
          <w:tcPr>
            <w:tcW w:w="120" w:type="dxa"/>
            <w:vAlign w:val="bottom"/>
          </w:tcPr>
          <w:p>
            <w:pPr>
              <w:spacing w:after="0"/>
              <w:rPr>
                <w:sz w:val="13"/>
                <w:szCs w:val="13"/>
                <w:color w:val="auto"/>
              </w:rPr>
            </w:pPr>
          </w:p>
        </w:tc>
        <w:tc>
          <w:tcPr>
            <w:tcW w:w="720" w:type="dxa"/>
            <w:vAlign w:val="bottom"/>
            <w:gridSpan w:val="2"/>
          </w:tcPr>
          <w:p>
            <w:pPr>
              <w:jc w:val="right"/>
              <w:ind w:right="196"/>
              <w:spacing w:after="0"/>
              <w:rPr>
                <w:sz w:val="20"/>
                <w:szCs w:val="20"/>
                <w:color w:val="auto"/>
              </w:rPr>
            </w:pPr>
            <w:r>
              <w:rPr>
                <w:rFonts w:ascii="Arial" w:cs="Arial" w:eastAsia="Arial" w:hAnsi="Arial"/>
                <w:sz w:val="13"/>
                <w:szCs w:val="13"/>
                <w:color w:val="auto"/>
              </w:rPr>
              <w:t>0.1</w:t>
            </w:r>
          </w:p>
        </w:tc>
        <w:tc>
          <w:tcPr>
            <w:tcW w:w="60" w:type="dxa"/>
            <w:vAlign w:val="bottom"/>
          </w:tcPr>
          <w:p>
            <w:pPr>
              <w:spacing w:after="0"/>
              <w:rPr>
                <w:sz w:val="13"/>
                <w:szCs w:val="13"/>
                <w:color w:val="auto"/>
              </w:rPr>
            </w:pPr>
          </w:p>
        </w:tc>
        <w:tc>
          <w:tcPr>
            <w:tcW w:w="720" w:type="dxa"/>
            <w:vAlign w:val="bottom"/>
            <w:gridSpan w:val="2"/>
          </w:tcPr>
          <w:p>
            <w:pPr>
              <w:jc w:val="right"/>
              <w:ind w:right="220"/>
              <w:spacing w:after="0"/>
              <w:rPr>
                <w:sz w:val="20"/>
                <w:szCs w:val="20"/>
                <w:color w:val="auto"/>
              </w:rPr>
            </w:pPr>
            <w:r>
              <w:rPr>
                <w:rFonts w:ascii="Arial" w:cs="Arial" w:eastAsia="Arial" w:hAnsi="Arial"/>
                <w:sz w:val="13"/>
                <w:szCs w:val="13"/>
                <w:color w:val="auto"/>
              </w:rPr>
              <w:t>2.2</w:t>
            </w:r>
          </w:p>
        </w:tc>
        <w:tc>
          <w:tcPr>
            <w:tcW w:w="1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2.1</w:t>
            </w:r>
          </w:p>
        </w:tc>
        <w:tc>
          <w:tcPr>
            <w:tcW w:w="18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660" w:type="dxa"/>
            <w:vAlign w:val="bottom"/>
            <w:gridSpan w:val="2"/>
          </w:tcPr>
          <w:p>
            <w:pPr>
              <w:jc w:val="right"/>
              <w:ind w:right="200"/>
              <w:spacing w:after="0"/>
              <w:rPr>
                <w:sz w:val="20"/>
                <w:szCs w:val="20"/>
                <w:color w:val="auto"/>
              </w:rPr>
            </w:pPr>
            <w:r>
              <w:rPr>
                <w:rFonts w:ascii="Arial" w:cs="Arial" w:eastAsia="Arial" w:hAnsi="Arial"/>
                <w:sz w:val="13"/>
                <w:szCs w:val="13"/>
                <w:color w:val="auto"/>
              </w:rPr>
              <w:t>0.7</w:t>
            </w:r>
          </w:p>
        </w:tc>
        <w:tc>
          <w:tcPr>
            <w:tcW w:w="1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0.8</w:t>
            </w:r>
          </w:p>
        </w:tc>
        <w:tc>
          <w:tcPr>
            <w:tcW w:w="20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680" w:type="dxa"/>
            <w:vAlign w:val="bottom"/>
            <w:gridSpan w:val="2"/>
          </w:tcPr>
          <w:p>
            <w:pPr>
              <w:jc w:val="right"/>
              <w:ind w:right="220"/>
              <w:spacing w:after="0"/>
              <w:rPr>
                <w:sz w:val="20"/>
                <w:szCs w:val="20"/>
                <w:color w:val="auto"/>
              </w:rPr>
            </w:pPr>
            <w:r>
              <w:rPr>
                <w:rFonts w:ascii="Arial" w:cs="Arial" w:eastAsia="Arial" w:hAnsi="Arial"/>
                <w:sz w:val="13"/>
                <w:szCs w:val="13"/>
                <w:color w:val="auto"/>
              </w:rPr>
              <w:t>0.4</w:t>
            </w:r>
          </w:p>
        </w:tc>
        <w:tc>
          <w:tcPr>
            <w:tcW w:w="1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0.5</w:t>
            </w: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93"/>
        </w:trPr>
        <w:tc>
          <w:tcPr>
            <w:tcW w:w="20" w:type="dxa"/>
            <w:vAlign w:val="bottom"/>
          </w:tcPr>
          <w:p>
            <w:pPr>
              <w:spacing w:after="0"/>
              <w:rPr>
                <w:sz w:val="16"/>
                <w:szCs w:val="16"/>
                <w:color w:val="auto"/>
              </w:rPr>
            </w:pPr>
          </w:p>
        </w:tc>
        <w:tc>
          <w:tcPr>
            <w:tcW w:w="3540" w:type="dxa"/>
            <w:vAlign w:val="bottom"/>
            <w:shd w:val="clear" w:color="auto" w:fill="CCEEFF"/>
          </w:tcPr>
          <w:p>
            <w:pPr>
              <w:ind w:left="200"/>
              <w:spacing w:after="0" w:line="193" w:lineRule="exact"/>
              <w:rPr>
                <w:sz w:val="20"/>
                <w:szCs w:val="20"/>
                <w:color w:val="auto"/>
              </w:rPr>
            </w:pPr>
            <w:r>
              <w:rPr>
                <w:rFonts w:ascii="Arial" w:cs="Arial" w:eastAsia="Arial" w:hAnsi="Arial"/>
                <w:sz w:val="13"/>
                <w:szCs w:val="13"/>
                <w:color w:val="auto"/>
              </w:rPr>
              <w:t xml:space="preserve">Other </w:t>
            </w:r>
            <w:r>
              <w:rPr>
                <w:rFonts w:ascii="Arial" w:cs="Arial" w:eastAsia="Arial" w:hAnsi="Arial"/>
                <w:sz w:val="21"/>
                <w:szCs w:val="21"/>
                <w:color w:val="auto"/>
                <w:vertAlign w:val="superscript"/>
              </w:rPr>
              <w:t>(1)</w:t>
            </w:r>
          </w:p>
        </w:tc>
        <w:tc>
          <w:tcPr>
            <w:tcW w:w="100" w:type="dxa"/>
            <w:vAlign w:val="bottom"/>
            <w:shd w:val="clear" w:color="auto" w:fill="CCEEFF"/>
          </w:tcPr>
          <w:p>
            <w:pPr>
              <w:spacing w:after="0"/>
              <w:rPr>
                <w:sz w:val="16"/>
                <w:szCs w:val="16"/>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1.5</w:t>
            </w:r>
          </w:p>
        </w:tc>
        <w:tc>
          <w:tcPr>
            <w:tcW w:w="120" w:type="dxa"/>
            <w:vAlign w:val="bottom"/>
            <w:shd w:val="clear" w:color="auto" w:fill="CCEEFF"/>
          </w:tcPr>
          <w:p>
            <w:pPr>
              <w:spacing w:after="0"/>
              <w:rPr>
                <w:sz w:val="16"/>
                <w:szCs w:val="16"/>
                <w:color w:val="auto"/>
              </w:rPr>
            </w:pPr>
          </w:p>
        </w:tc>
        <w:tc>
          <w:tcPr>
            <w:tcW w:w="720" w:type="dxa"/>
            <w:vAlign w:val="bottom"/>
            <w:gridSpan w:val="2"/>
            <w:shd w:val="clear" w:color="auto" w:fill="CCEEFF"/>
          </w:tcPr>
          <w:p>
            <w:pPr>
              <w:jc w:val="right"/>
              <w:ind w:right="196"/>
              <w:spacing w:after="0"/>
              <w:rPr>
                <w:sz w:val="20"/>
                <w:szCs w:val="20"/>
                <w:color w:val="auto"/>
              </w:rPr>
            </w:pPr>
            <w:r>
              <w:rPr>
                <w:rFonts w:ascii="Arial" w:cs="Arial" w:eastAsia="Arial" w:hAnsi="Arial"/>
                <w:sz w:val="13"/>
                <w:szCs w:val="13"/>
                <w:color w:val="auto"/>
              </w:rPr>
              <w:t>1.5</w:t>
            </w:r>
          </w:p>
        </w:tc>
        <w:tc>
          <w:tcPr>
            <w:tcW w:w="120" w:type="dxa"/>
            <w:vAlign w:val="bottom"/>
            <w:shd w:val="clear" w:color="auto" w:fill="CCEEFF"/>
          </w:tcPr>
          <w:p>
            <w:pPr>
              <w:spacing w:after="0"/>
              <w:rPr>
                <w:sz w:val="16"/>
                <w:szCs w:val="16"/>
                <w:color w:val="auto"/>
              </w:rPr>
            </w:pPr>
          </w:p>
        </w:tc>
        <w:tc>
          <w:tcPr>
            <w:tcW w:w="7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1.1</w:t>
            </w:r>
          </w:p>
        </w:tc>
        <w:tc>
          <w:tcPr>
            <w:tcW w:w="120" w:type="dxa"/>
            <w:vAlign w:val="bottom"/>
            <w:shd w:val="clear" w:color="auto" w:fill="CCEEFF"/>
          </w:tcPr>
          <w:p>
            <w:pPr>
              <w:spacing w:after="0"/>
              <w:rPr>
                <w:sz w:val="16"/>
                <w:szCs w:val="16"/>
                <w:color w:val="auto"/>
              </w:rPr>
            </w:pPr>
          </w:p>
        </w:tc>
        <w:tc>
          <w:tcPr>
            <w:tcW w:w="720" w:type="dxa"/>
            <w:vAlign w:val="bottom"/>
            <w:gridSpan w:val="2"/>
            <w:shd w:val="clear" w:color="auto" w:fill="CCEEFF"/>
          </w:tcPr>
          <w:p>
            <w:pPr>
              <w:jc w:val="right"/>
              <w:ind w:right="196"/>
              <w:spacing w:after="0"/>
              <w:rPr>
                <w:sz w:val="20"/>
                <w:szCs w:val="20"/>
                <w:color w:val="auto"/>
              </w:rPr>
            </w:pPr>
            <w:r>
              <w:rPr>
                <w:rFonts w:ascii="Arial" w:cs="Arial" w:eastAsia="Arial" w:hAnsi="Arial"/>
                <w:sz w:val="13"/>
                <w:szCs w:val="13"/>
                <w:color w:val="auto"/>
              </w:rPr>
              <w:t>1.2</w:t>
            </w:r>
          </w:p>
        </w:tc>
        <w:tc>
          <w:tcPr>
            <w:tcW w:w="60" w:type="dxa"/>
            <w:vAlign w:val="bottom"/>
            <w:shd w:val="clear" w:color="auto" w:fill="CCEEFF"/>
          </w:tcPr>
          <w:p>
            <w:pPr>
              <w:spacing w:after="0"/>
              <w:rPr>
                <w:sz w:val="16"/>
                <w:szCs w:val="16"/>
                <w:color w:val="auto"/>
              </w:rPr>
            </w:pPr>
          </w:p>
        </w:tc>
        <w:tc>
          <w:tcPr>
            <w:tcW w:w="7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0.8</w:t>
            </w:r>
          </w:p>
        </w:tc>
        <w:tc>
          <w:tcPr>
            <w:tcW w:w="120" w:type="dxa"/>
            <w:vAlign w:val="bottom"/>
            <w:shd w:val="clear" w:color="auto" w:fill="CCEEFF"/>
          </w:tcPr>
          <w:p>
            <w:pPr>
              <w:spacing w:after="0"/>
              <w:rPr>
                <w:sz w:val="16"/>
                <w:szCs w:val="16"/>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0.8</w:t>
            </w:r>
          </w:p>
        </w:tc>
        <w:tc>
          <w:tcPr>
            <w:tcW w:w="18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6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1.8</w:t>
            </w:r>
          </w:p>
        </w:tc>
        <w:tc>
          <w:tcPr>
            <w:tcW w:w="120" w:type="dxa"/>
            <w:vAlign w:val="bottom"/>
            <w:shd w:val="clear" w:color="auto" w:fill="CCEEFF"/>
          </w:tcPr>
          <w:p>
            <w:pPr>
              <w:spacing w:after="0"/>
              <w:rPr>
                <w:sz w:val="16"/>
                <w:szCs w:val="16"/>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1.8</w:t>
            </w:r>
          </w:p>
        </w:tc>
        <w:tc>
          <w:tcPr>
            <w:tcW w:w="200" w:type="dxa"/>
            <w:vAlign w:val="bottom"/>
            <w:shd w:val="clear" w:color="auto" w:fill="CCEEFF"/>
          </w:tcPr>
          <w:p>
            <w:pPr>
              <w:spacing w:after="0"/>
              <w:rPr>
                <w:sz w:val="16"/>
                <w:szCs w:val="16"/>
                <w:color w:val="auto"/>
              </w:rPr>
            </w:pPr>
          </w:p>
        </w:tc>
        <w:tc>
          <w:tcPr>
            <w:tcW w:w="4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0.6</w:t>
            </w:r>
          </w:p>
        </w:tc>
        <w:tc>
          <w:tcPr>
            <w:tcW w:w="120" w:type="dxa"/>
            <w:vAlign w:val="bottom"/>
            <w:shd w:val="clear" w:color="auto" w:fill="CCEEFF"/>
          </w:tcPr>
          <w:p>
            <w:pPr>
              <w:spacing w:after="0"/>
              <w:rPr>
                <w:sz w:val="16"/>
                <w:szCs w:val="16"/>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0.8</w:t>
            </w:r>
          </w:p>
        </w:tc>
        <w:tc>
          <w:tcPr>
            <w:tcW w:w="14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540" w:type="dxa"/>
            <w:vAlign w:val="bottom"/>
            <w:tcBorders>
              <w:bottom w:val="single" w:sz="8" w:color="CCEEFF"/>
            </w:tcBorders>
          </w:tcPr>
          <w:p>
            <w:pPr>
              <w:spacing w:after="0" w:line="146" w:lineRule="exact"/>
              <w:rPr>
                <w:sz w:val="20"/>
                <w:szCs w:val="20"/>
                <w:color w:val="auto"/>
              </w:rPr>
            </w:pPr>
            <w:r>
              <w:rPr>
                <w:rFonts w:ascii="Arial" w:cs="Arial" w:eastAsia="Arial" w:hAnsi="Arial"/>
                <w:sz w:val="13"/>
                <w:szCs w:val="13"/>
                <w:b w:val="1"/>
                <w:bCs w:val="1"/>
                <w:color w:val="auto"/>
              </w:rPr>
              <w:t>Total Allowance for loan losses</w:t>
            </w: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0"/>
                <w:szCs w:val="10"/>
                <w:b w:val="1"/>
                <w:bCs w:val="1"/>
                <w:color w:val="auto"/>
                <w:w w:val="71"/>
              </w:rPr>
              <w:t>$</w:t>
            </w:r>
          </w:p>
        </w:tc>
        <w:tc>
          <w:tcPr>
            <w:tcW w:w="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100.8</w:t>
            </w:r>
          </w:p>
        </w:tc>
        <w:tc>
          <w:tcPr>
            <w:tcW w:w="220" w:type="dxa"/>
            <w:vAlign w:val="bottom"/>
            <w:tcBorders>
              <w:bottom w:val="single" w:sz="8" w:color="CCEEFF"/>
            </w:tcBorders>
          </w:tcPr>
          <w:p>
            <w:pPr>
              <w:spacing w:after="0"/>
              <w:rPr>
                <w:sz w:val="14"/>
                <w:szCs w:val="14"/>
                <w:color w:val="auto"/>
              </w:rPr>
            </w:pPr>
          </w:p>
        </w:tc>
        <w:tc>
          <w:tcPr>
            <w:tcW w:w="120" w:type="dxa"/>
            <w:vAlign w:val="bottom"/>
            <w:tcBorders>
              <w:top w:val="single" w:sz="8" w:color="auto"/>
              <w:bottom w:val="single" w:sz="8" w:color="auto"/>
            </w:tcBorders>
          </w:tcPr>
          <w:p>
            <w:pPr>
              <w:spacing w:after="0"/>
              <w:rPr>
                <w:sz w:val="14"/>
                <w:szCs w:val="14"/>
                <w:color w:val="auto"/>
              </w:rPr>
            </w:pPr>
          </w:p>
        </w:tc>
        <w:tc>
          <w:tcPr>
            <w:tcW w:w="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260" w:type="dxa"/>
            <w:vAlign w:val="bottom"/>
            <w:tcBorders>
              <w:bottom w:val="single" w:sz="8" w:color="CCEEFF"/>
            </w:tcBorders>
          </w:tcPr>
          <w:p>
            <w:pPr>
              <w:jc w:val="right"/>
              <w:ind w:right="56"/>
              <w:spacing w:after="0" w:line="146" w:lineRule="exact"/>
              <w:rPr>
                <w:sz w:val="20"/>
                <w:szCs w:val="20"/>
                <w:color w:val="auto"/>
              </w:rPr>
            </w:pPr>
            <w:r>
              <w:rPr>
                <w:rFonts w:ascii="Arial" w:cs="Arial" w:eastAsia="Arial" w:hAnsi="Arial"/>
                <w:sz w:val="13"/>
                <w:szCs w:val="13"/>
                <w:b w:val="1"/>
                <w:bCs w:val="1"/>
                <w:color w:val="auto"/>
              </w:rPr>
              <w:t>%</w:t>
            </w:r>
          </w:p>
        </w:tc>
        <w:tc>
          <w:tcPr>
            <w:tcW w:w="120" w:type="dxa"/>
            <w:vAlign w:val="bottom"/>
            <w:tcBorders>
              <w:top w:val="single" w:sz="8" w:color="auto"/>
              <w:bottom w:val="single" w:sz="8" w:color="auto"/>
            </w:tcBorders>
          </w:tcPr>
          <w:p>
            <w:pPr>
              <w:jc w:val="right"/>
              <w:ind w:right="12"/>
              <w:spacing w:after="0"/>
              <w:rPr>
                <w:sz w:val="20"/>
                <w:szCs w:val="20"/>
                <w:color w:val="auto"/>
              </w:rPr>
            </w:pPr>
            <w:r>
              <w:rPr>
                <w:rFonts w:ascii="Arial" w:cs="Arial" w:eastAsia="Arial" w:hAnsi="Arial"/>
                <w:sz w:val="10"/>
                <w:szCs w:val="10"/>
                <w:b w:val="1"/>
                <w:bCs w:val="1"/>
                <w:color w:val="auto"/>
                <w:w w:val="71"/>
              </w:rPr>
              <w:t>$</w:t>
            </w:r>
          </w:p>
        </w:tc>
        <w:tc>
          <w:tcPr>
            <w:tcW w:w="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81.3</w:t>
            </w:r>
          </w:p>
        </w:tc>
        <w:tc>
          <w:tcPr>
            <w:tcW w:w="240" w:type="dxa"/>
            <w:vAlign w:val="bottom"/>
            <w:tcBorders>
              <w:bottom w:val="single" w:sz="8" w:color="CCEEFF"/>
            </w:tcBorders>
          </w:tcPr>
          <w:p>
            <w:pPr>
              <w:spacing w:after="0"/>
              <w:rPr>
                <w:sz w:val="14"/>
                <w:szCs w:val="14"/>
                <w:color w:val="auto"/>
              </w:rPr>
            </w:pPr>
          </w:p>
        </w:tc>
        <w:tc>
          <w:tcPr>
            <w:tcW w:w="120" w:type="dxa"/>
            <w:vAlign w:val="bottom"/>
            <w:tcBorders>
              <w:top w:val="single" w:sz="8" w:color="auto"/>
              <w:bottom w:val="single" w:sz="8" w:color="auto"/>
            </w:tcBorders>
          </w:tcPr>
          <w:p>
            <w:pPr>
              <w:spacing w:after="0"/>
              <w:rPr>
                <w:sz w:val="14"/>
                <w:szCs w:val="14"/>
                <w:color w:val="auto"/>
              </w:rPr>
            </w:pPr>
          </w:p>
        </w:tc>
        <w:tc>
          <w:tcPr>
            <w:tcW w:w="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260" w:type="dxa"/>
            <w:vAlign w:val="bottom"/>
            <w:tcBorders>
              <w:bottom w:val="single" w:sz="8" w:color="CCEEFF"/>
            </w:tcBorders>
          </w:tcPr>
          <w:p>
            <w:pPr>
              <w:jc w:val="right"/>
              <w:ind w:right="76"/>
              <w:spacing w:after="0" w:line="146" w:lineRule="exact"/>
              <w:rPr>
                <w:sz w:val="20"/>
                <w:szCs w:val="20"/>
                <w:color w:val="auto"/>
              </w:rPr>
            </w:pPr>
            <w:r>
              <w:rPr>
                <w:rFonts w:ascii="Arial" w:cs="Arial" w:eastAsia="Arial" w:hAnsi="Arial"/>
                <w:sz w:val="13"/>
                <w:szCs w:val="13"/>
                <w:b w:val="1"/>
                <w:bCs w:val="1"/>
                <w:color w:val="auto"/>
                <w:w w:val="86"/>
              </w:rPr>
              <w:t>%</w:t>
            </w:r>
          </w:p>
        </w:tc>
        <w:tc>
          <w:tcPr>
            <w:tcW w:w="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0"/>
                <w:szCs w:val="10"/>
                <w:b w:val="1"/>
                <w:bCs w:val="1"/>
                <w:color w:val="auto"/>
                <w:w w:val="71"/>
              </w:rPr>
              <w:t>$</w:t>
            </w:r>
          </w:p>
        </w:tc>
        <w:tc>
          <w:tcPr>
            <w:tcW w:w="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106.0</w:t>
            </w:r>
          </w:p>
        </w:tc>
        <w:tc>
          <w:tcPr>
            <w:tcW w:w="220" w:type="dxa"/>
            <w:vAlign w:val="bottom"/>
            <w:tcBorders>
              <w:bottom w:val="single" w:sz="8" w:color="CCEEFF"/>
            </w:tcBorders>
          </w:tcPr>
          <w:p>
            <w:pPr>
              <w:spacing w:after="0"/>
              <w:rPr>
                <w:sz w:val="14"/>
                <w:szCs w:val="14"/>
                <w:color w:val="auto"/>
              </w:rPr>
            </w:pPr>
          </w:p>
        </w:tc>
        <w:tc>
          <w:tcPr>
            <w:tcW w:w="120" w:type="dxa"/>
            <w:vAlign w:val="bottom"/>
            <w:tcBorders>
              <w:top w:val="single" w:sz="8" w:color="auto"/>
              <w:bottom w:val="single" w:sz="8" w:color="auto"/>
            </w:tcBorders>
          </w:tcPr>
          <w:p>
            <w:pPr>
              <w:spacing w:after="0"/>
              <w:rPr>
                <w:sz w:val="14"/>
                <w:szCs w:val="14"/>
                <w:color w:val="auto"/>
              </w:rPr>
            </w:pPr>
          </w:p>
        </w:tc>
        <w:tc>
          <w:tcPr>
            <w:tcW w:w="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180" w:type="dxa"/>
            <w:vAlign w:val="bottom"/>
            <w:tcBorders>
              <w:bottom w:val="single" w:sz="8" w:color="CCEEFF"/>
            </w:tcBorders>
          </w:tcPr>
          <w:p>
            <w:pPr>
              <w:jc w:val="right"/>
              <w:spacing w:after="0" w:line="146" w:lineRule="exact"/>
              <w:rPr>
                <w:sz w:val="20"/>
                <w:szCs w:val="20"/>
                <w:color w:val="auto"/>
              </w:rPr>
            </w:pPr>
            <w:r>
              <w:rPr>
                <w:rFonts w:ascii="Arial" w:cs="Arial" w:eastAsia="Arial" w:hAnsi="Arial"/>
                <w:sz w:val="13"/>
                <w:szCs w:val="13"/>
                <w:b w:val="1"/>
                <w:bCs w:val="1"/>
                <w:color w:val="auto"/>
                <w:w w:val="86"/>
              </w:rPr>
              <w:t>%</w:t>
            </w:r>
          </w:p>
        </w:tc>
        <w:tc>
          <w:tcPr>
            <w:tcW w:w="60" w:type="dxa"/>
            <w:vAlign w:val="bottom"/>
            <w:tcBorders>
              <w:bottom w:val="single" w:sz="8" w:color="CCEEFF"/>
            </w:tcBorders>
          </w:tcPr>
          <w:p>
            <w:pPr>
              <w:spacing w:after="0"/>
              <w:rPr>
                <w:sz w:val="14"/>
                <w:szCs w:val="14"/>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0"/>
                <w:szCs w:val="10"/>
                <w:b w:val="1"/>
                <w:bCs w:val="1"/>
                <w:color w:val="auto"/>
                <w:w w:val="71"/>
              </w:rPr>
              <w:t>$</w:t>
            </w:r>
          </w:p>
        </w:tc>
        <w:tc>
          <w:tcPr>
            <w:tcW w:w="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90.0</w:t>
            </w:r>
          </w:p>
        </w:tc>
        <w:tc>
          <w:tcPr>
            <w:tcW w:w="200" w:type="dxa"/>
            <w:vAlign w:val="bottom"/>
            <w:tcBorders>
              <w:bottom w:val="single" w:sz="8" w:color="CCEEFF"/>
            </w:tcBorders>
          </w:tcPr>
          <w:p>
            <w:pPr>
              <w:spacing w:after="0"/>
              <w:rPr>
                <w:sz w:val="14"/>
                <w:szCs w:val="14"/>
                <w:color w:val="auto"/>
              </w:rPr>
            </w:pPr>
          </w:p>
        </w:tc>
        <w:tc>
          <w:tcPr>
            <w:tcW w:w="120" w:type="dxa"/>
            <w:vAlign w:val="bottom"/>
            <w:tcBorders>
              <w:top w:val="single" w:sz="8" w:color="auto"/>
              <w:bottom w:val="single" w:sz="8" w:color="auto"/>
            </w:tcBorders>
          </w:tcPr>
          <w:p>
            <w:pPr>
              <w:spacing w:after="0"/>
              <w:rPr>
                <w:sz w:val="14"/>
                <w:szCs w:val="14"/>
                <w:color w:val="auto"/>
              </w:rPr>
            </w:pPr>
          </w:p>
        </w:tc>
        <w:tc>
          <w:tcPr>
            <w:tcW w:w="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200" w:type="dxa"/>
            <w:vAlign w:val="bottom"/>
            <w:tcBorders>
              <w:bottom w:val="single" w:sz="8" w:color="CCEEFF"/>
            </w:tcBorders>
          </w:tcPr>
          <w:p>
            <w:pPr>
              <w:jc w:val="right"/>
              <w:spacing w:after="0" w:line="146" w:lineRule="exact"/>
              <w:rPr>
                <w:sz w:val="20"/>
                <w:szCs w:val="20"/>
                <w:color w:val="auto"/>
              </w:rPr>
            </w:pPr>
            <w:r>
              <w:rPr>
                <w:rFonts w:ascii="Arial" w:cs="Arial" w:eastAsia="Arial" w:hAnsi="Arial"/>
                <w:sz w:val="13"/>
                <w:szCs w:val="13"/>
                <w:b w:val="1"/>
                <w:bCs w:val="1"/>
                <w:color w:val="auto"/>
              </w:rPr>
              <w:t>%</w:t>
            </w:r>
          </w:p>
        </w:tc>
        <w:tc>
          <w:tcPr>
            <w:tcW w:w="40" w:type="dxa"/>
            <w:vAlign w:val="bottom"/>
            <w:tcBorders>
              <w:bottom w:val="single" w:sz="8" w:color="CCEEFF"/>
            </w:tcBorders>
          </w:tcPr>
          <w:p>
            <w:pPr>
              <w:spacing w:after="0"/>
              <w:rPr>
                <w:sz w:val="14"/>
                <w:szCs w:val="14"/>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w w:val="82"/>
              </w:rPr>
              <w:t>$</w:t>
            </w:r>
          </w:p>
        </w:tc>
        <w:tc>
          <w:tcPr>
            <w:tcW w:w="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77.7</w:t>
            </w:r>
          </w:p>
        </w:tc>
        <w:tc>
          <w:tcPr>
            <w:tcW w:w="220" w:type="dxa"/>
            <w:vAlign w:val="bottom"/>
            <w:tcBorders>
              <w:bottom w:val="single" w:sz="8" w:color="CCEEFF"/>
            </w:tcBorders>
          </w:tcPr>
          <w:p>
            <w:pPr>
              <w:spacing w:after="0"/>
              <w:rPr>
                <w:sz w:val="14"/>
                <w:szCs w:val="14"/>
                <w:color w:val="auto"/>
              </w:rPr>
            </w:pPr>
          </w:p>
        </w:tc>
        <w:tc>
          <w:tcPr>
            <w:tcW w:w="120" w:type="dxa"/>
            <w:vAlign w:val="bottom"/>
            <w:tcBorders>
              <w:top w:val="single" w:sz="8" w:color="auto"/>
              <w:bottom w:val="single" w:sz="8" w:color="auto"/>
            </w:tcBorders>
          </w:tcPr>
          <w:p>
            <w:pPr>
              <w:spacing w:after="0"/>
              <w:rPr>
                <w:sz w:val="14"/>
                <w:szCs w:val="14"/>
                <w:color w:val="auto"/>
              </w:rPr>
            </w:pPr>
          </w:p>
        </w:tc>
        <w:tc>
          <w:tcPr>
            <w:tcW w:w="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140" w:type="dxa"/>
            <w:vAlign w:val="bottom"/>
            <w:tcBorders>
              <w:bottom w:val="single" w:sz="8" w:color="CCEEFF"/>
            </w:tcBorders>
          </w:tcPr>
          <w:p>
            <w:pPr>
              <w:jc w:val="right"/>
              <w:spacing w:after="0" w:line="146" w:lineRule="exact"/>
              <w:rPr>
                <w:sz w:val="20"/>
                <w:szCs w:val="20"/>
                <w:color w:val="auto"/>
              </w:rPr>
            </w:pPr>
            <w:r>
              <w:rPr>
                <w:rFonts w:ascii="Arial" w:cs="Arial" w:eastAsia="Arial" w:hAnsi="Arial"/>
                <w:sz w:val="13"/>
                <w:szCs w:val="13"/>
                <w:b w:val="1"/>
                <w:bCs w:val="1"/>
                <w:color w:val="auto"/>
                <w:w w:val="86"/>
              </w:rPr>
              <w:t>%</w:t>
            </w:r>
          </w:p>
        </w:tc>
        <w:tc>
          <w:tcPr>
            <w:tcW w:w="0" w:type="dxa"/>
            <w:vAlign w:val="bottom"/>
          </w:tcPr>
          <w:p>
            <w:pPr>
              <w:spacing w:after="0"/>
              <w:rPr>
                <w:sz w:val="1"/>
                <w:szCs w:val="1"/>
                <w:color w:val="auto"/>
              </w:rPr>
            </w:pPr>
          </w:p>
        </w:tc>
      </w:tr>
      <w:tr>
        <w:trPr>
          <w:trHeight w:val="135"/>
        </w:trPr>
        <w:tc>
          <w:tcPr>
            <w:tcW w:w="20" w:type="dxa"/>
            <w:vAlign w:val="bottom"/>
            <w:vMerge w:val="restart"/>
          </w:tcPr>
          <w:p>
            <w:pPr>
              <w:spacing w:after="0"/>
              <w:rPr>
                <w:sz w:val="11"/>
                <w:szCs w:val="11"/>
                <w:color w:val="auto"/>
              </w:rPr>
            </w:pPr>
          </w:p>
        </w:tc>
        <w:tc>
          <w:tcPr>
            <w:tcW w:w="35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1"/>
        </w:trPr>
        <w:tc>
          <w:tcPr>
            <w:tcW w:w="20" w:type="dxa"/>
            <w:vAlign w:val="bottom"/>
            <w:vMerge w:val="continue"/>
          </w:tcPr>
          <w:p>
            <w:pPr>
              <w:spacing w:after="0"/>
              <w:rPr>
                <w:sz w:val="12"/>
                <w:szCs w:val="12"/>
                <w:color w:val="auto"/>
              </w:rPr>
            </w:pPr>
          </w:p>
        </w:tc>
        <w:tc>
          <w:tcPr>
            <w:tcW w:w="3540" w:type="dxa"/>
            <w:vAlign w:val="bottom"/>
          </w:tcPr>
          <w:p>
            <w:pPr>
              <w:spacing w:after="0" w:line="141" w:lineRule="exact"/>
              <w:rPr>
                <w:sz w:val="20"/>
                <w:szCs w:val="20"/>
                <w:color w:val="auto"/>
              </w:rPr>
            </w:pPr>
            <w:r>
              <w:rPr>
                <w:rFonts w:ascii="Arial" w:cs="Arial" w:eastAsia="Arial" w:hAnsi="Arial"/>
                <w:sz w:val="13"/>
                <w:szCs w:val="13"/>
                <w:b w:val="1"/>
                <w:bCs w:val="1"/>
                <w:color w:val="auto"/>
                <w:w w:val="99"/>
              </w:rPr>
              <w:t>Allowance for loan commitments and financial guarantee</w:t>
            </w:r>
          </w:p>
        </w:tc>
        <w:tc>
          <w:tcPr>
            <w:tcW w:w="100" w:type="dxa"/>
            <w:vAlign w:val="bottom"/>
          </w:tcPr>
          <w:p>
            <w:pPr>
              <w:spacing w:after="0"/>
              <w:rPr>
                <w:sz w:val="12"/>
                <w:szCs w:val="12"/>
                <w:color w:val="auto"/>
              </w:rPr>
            </w:pPr>
          </w:p>
        </w:tc>
        <w:tc>
          <w:tcPr>
            <w:tcW w:w="4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4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4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4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7"/>
        </w:trPr>
        <w:tc>
          <w:tcPr>
            <w:tcW w:w="3560" w:type="dxa"/>
            <w:vAlign w:val="bottom"/>
            <w:gridSpan w:val="2"/>
          </w:tcPr>
          <w:p>
            <w:pPr>
              <w:spacing w:after="0"/>
              <w:rPr>
                <w:sz w:val="20"/>
                <w:szCs w:val="20"/>
                <w:color w:val="auto"/>
              </w:rPr>
            </w:pPr>
            <w:r>
              <w:rPr>
                <w:rFonts w:ascii="Arial" w:cs="Arial" w:eastAsia="Arial" w:hAnsi="Arial"/>
                <w:sz w:val="13"/>
                <w:szCs w:val="13"/>
                <w:b w:val="1"/>
                <w:bCs w:val="1"/>
                <w:color w:val="auto"/>
              </w:rPr>
              <w:t>contract losses</w:t>
            </w:r>
          </w:p>
        </w:tc>
        <w:tc>
          <w:tcPr>
            <w:tcW w:w="100" w:type="dxa"/>
            <w:vAlign w:val="bottom"/>
          </w:tcPr>
          <w:p>
            <w:pPr>
              <w:spacing w:after="0"/>
              <w:rPr>
                <w:sz w:val="14"/>
                <w:szCs w:val="14"/>
                <w:color w:val="auto"/>
              </w:rPr>
            </w:pPr>
          </w:p>
        </w:tc>
        <w:tc>
          <w:tcPr>
            <w:tcW w:w="4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46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46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46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5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44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46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4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4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44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540" w:type="dxa"/>
            <w:vAlign w:val="bottom"/>
            <w:shd w:val="clear" w:color="auto" w:fill="CCEEFF"/>
          </w:tcPr>
          <w:p>
            <w:pPr>
              <w:ind w:left="160"/>
              <w:spacing w:after="0"/>
              <w:rPr>
                <w:sz w:val="20"/>
                <w:szCs w:val="20"/>
                <w:color w:val="auto"/>
              </w:rPr>
            </w:pPr>
            <w:r>
              <w:rPr>
                <w:rFonts w:ascii="Arial" w:cs="Arial" w:eastAsia="Arial" w:hAnsi="Arial"/>
                <w:sz w:val="13"/>
                <w:szCs w:val="13"/>
                <w:color w:val="auto"/>
              </w:rPr>
              <w:t>Argentina</w:t>
            </w: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0.1</w:t>
            </w:r>
          </w:p>
        </w:tc>
        <w:tc>
          <w:tcPr>
            <w:tcW w:w="1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96"/>
              <w:spacing w:after="0"/>
              <w:rPr>
                <w:sz w:val="20"/>
                <w:szCs w:val="20"/>
                <w:color w:val="auto"/>
              </w:rPr>
            </w:pPr>
            <w:r>
              <w:rPr>
                <w:rFonts w:ascii="Arial" w:cs="Arial" w:eastAsia="Arial" w:hAnsi="Arial"/>
                <w:sz w:val="13"/>
                <w:szCs w:val="13"/>
                <w:color w:val="auto"/>
              </w:rPr>
              <w:t>2.9</w:t>
            </w:r>
          </w:p>
        </w:tc>
        <w:tc>
          <w:tcPr>
            <w:tcW w:w="120" w:type="dxa"/>
            <w:vAlign w:val="bottom"/>
            <w:shd w:val="clear" w:color="auto" w:fill="CCEEFF"/>
          </w:tcPr>
          <w:p>
            <w:pPr>
              <w:jc w:val="right"/>
              <w:ind w:right="12"/>
              <w:spacing w:after="0"/>
              <w:rPr>
                <w:sz w:val="20"/>
                <w:szCs w:val="20"/>
                <w:color w:val="auto"/>
              </w:rPr>
            </w:pPr>
            <w:r>
              <w:rPr>
                <w:rFonts w:ascii="Arial" w:cs="Arial" w:eastAsia="Arial" w:hAnsi="Arial"/>
                <w:sz w:val="10"/>
                <w:szCs w:val="10"/>
                <w:color w:val="auto"/>
                <w:w w:val="71"/>
              </w:rPr>
              <w:t>$</w:t>
            </w:r>
          </w:p>
        </w:tc>
        <w:tc>
          <w:tcPr>
            <w:tcW w:w="7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0.1</w:t>
            </w:r>
          </w:p>
        </w:tc>
        <w:tc>
          <w:tcPr>
            <w:tcW w:w="1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96"/>
              <w:spacing w:after="0"/>
              <w:rPr>
                <w:sz w:val="20"/>
                <w:szCs w:val="20"/>
                <w:color w:val="auto"/>
              </w:rPr>
            </w:pPr>
            <w:r>
              <w:rPr>
                <w:rFonts w:ascii="Arial" w:cs="Arial" w:eastAsia="Arial" w:hAnsi="Arial"/>
                <w:sz w:val="13"/>
                <w:szCs w:val="13"/>
                <w:color w:val="auto"/>
              </w:rPr>
              <w:t>1.1</w:t>
            </w:r>
          </w:p>
        </w:tc>
        <w:tc>
          <w:tcPr>
            <w:tcW w:w="6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7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0.0</w:t>
            </w:r>
          </w:p>
        </w:tc>
        <w:tc>
          <w:tcPr>
            <w:tcW w:w="120" w:type="dxa"/>
            <w:vAlign w:val="bottom"/>
            <w:shd w:val="clear" w:color="auto" w:fill="CCEEFF"/>
          </w:tcPr>
          <w:p>
            <w:pPr>
              <w:spacing w:after="0"/>
              <w:rPr>
                <w:sz w:val="13"/>
                <w:szCs w:val="13"/>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w:t>
            </w:r>
          </w:p>
        </w:tc>
        <w:tc>
          <w:tcPr>
            <w:tcW w:w="180" w:type="dxa"/>
            <w:vAlign w:val="bottom"/>
            <w:shd w:val="clear" w:color="auto" w:fill="CCEEFF"/>
          </w:tcPr>
          <w:p>
            <w:pPr>
              <w:spacing w:after="0"/>
              <w:rPr>
                <w:sz w:val="13"/>
                <w:szCs w:val="13"/>
                <w:color w:val="auto"/>
              </w:rPr>
            </w:pPr>
          </w:p>
        </w:tc>
        <w:tc>
          <w:tcPr>
            <w:tcW w:w="16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6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1.0</w:t>
            </w:r>
          </w:p>
        </w:tc>
        <w:tc>
          <w:tcPr>
            <w:tcW w:w="120" w:type="dxa"/>
            <w:vAlign w:val="bottom"/>
            <w:shd w:val="clear" w:color="auto" w:fill="CCEEFF"/>
          </w:tcPr>
          <w:p>
            <w:pPr>
              <w:spacing w:after="0"/>
              <w:rPr>
                <w:sz w:val="13"/>
                <w:szCs w:val="13"/>
                <w:color w:val="auto"/>
              </w:rPr>
            </w:pPr>
          </w:p>
        </w:tc>
        <w:tc>
          <w:tcPr>
            <w:tcW w:w="640" w:type="dxa"/>
            <w:vAlign w:val="bottom"/>
            <w:gridSpan w:val="2"/>
            <w:shd w:val="clear" w:color="auto" w:fill="CCEEFF"/>
          </w:tcPr>
          <w:p>
            <w:pPr>
              <w:jc w:val="right"/>
              <w:ind w:right="136"/>
              <w:spacing w:after="0"/>
              <w:rPr>
                <w:sz w:val="20"/>
                <w:szCs w:val="20"/>
                <w:color w:val="auto"/>
              </w:rPr>
            </w:pPr>
            <w:r>
              <w:rPr>
                <w:rFonts w:ascii="Arial" w:cs="Arial" w:eastAsia="Arial" w:hAnsi="Arial"/>
                <w:sz w:val="13"/>
                <w:szCs w:val="13"/>
                <w:color w:val="auto"/>
              </w:rPr>
              <w:t>19.2</w:t>
            </w:r>
          </w:p>
        </w:tc>
        <w:tc>
          <w:tcPr>
            <w:tcW w:w="14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0.0</w:t>
            </w:r>
          </w:p>
        </w:tc>
        <w:tc>
          <w:tcPr>
            <w:tcW w:w="120" w:type="dxa"/>
            <w:vAlign w:val="bottom"/>
            <w:shd w:val="clear" w:color="auto" w:fill="CCEEFF"/>
          </w:tcPr>
          <w:p>
            <w:pPr>
              <w:spacing w:after="0"/>
              <w:rPr>
                <w:sz w:val="13"/>
                <w:szCs w:val="13"/>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w:t>
            </w: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540" w:type="dxa"/>
            <w:vAlign w:val="bottom"/>
          </w:tcPr>
          <w:p>
            <w:pPr>
              <w:ind w:left="160"/>
              <w:spacing w:after="0"/>
              <w:rPr>
                <w:sz w:val="20"/>
                <w:szCs w:val="20"/>
                <w:color w:val="auto"/>
              </w:rPr>
            </w:pPr>
            <w:r>
              <w:rPr>
                <w:rFonts w:ascii="Arial" w:cs="Arial" w:eastAsia="Arial" w:hAnsi="Arial"/>
                <w:sz w:val="13"/>
                <w:szCs w:val="13"/>
                <w:color w:val="auto"/>
              </w:rPr>
              <w:t>Colombia</w:t>
            </w:r>
          </w:p>
        </w:tc>
        <w:tc>
          <w:tcPr>
            <w:tcW w:w="100" w:type="dxa"/>
            <w:vAlign w:val="bottom"/>
          </w:tcPr>
          <w:p>
            <w:pPr>
              <w:spacing w:after="0"/>
              <w:rPr>
                <w:sz w:val="13"/>
                <w:szCs w:val="13"/>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0.1</w:t>
            </w:r>
          </w:p>
        </w:tc>
        <w:tc>
          <w:tcPr>
            <w:tcW w:w="120" w:type="dxa"/>
            <w:vAlign w:val="bottom"/>
          </w:tcPr>
          <w:p>
            <w:pPr>
              <w:spacing w:after="0"/>
              <w:rPr>
                <w:sz w:val="13"/>
                <w:szCs w:val="13"/>
                <w:color w:val="auto"/>
              </w:rPr>
            </w:pPr>
          </w:p>
        </w:tc>
        <w:tc>
          <w:tcPr>
            <w:tcW w:w="720" w:type="dxa"/>
            <w:vAlign w:val="bottom"/>
            <w:gridSpan w:val="2"/>
          </w:tcPr>
          <w:p>
            <w:pPr>
              <w:jc w:val="right"/>
              <w:ind w:right="196"/>
              <w:spacing w:after="0"/>
              <w:rPr>
                <w:sz w:val="20"/>
                <w:szCs w:val="20"/>
                <w:color w:val="auto"/>
              </w:rPr>
            </w:pPr>
            <w:r>
              <w:rPr>
                <w:rFonts w:ascii="Arial" w:cs="Arial" w:eastAsia="Arial" w:hAnsi="Arial"/>
                <w:sz w:val="13"/>
                <w:szCs w:val="13"/>
                <w:color w:val="auto"/>
              </w:rPr>
              <w:t>2.7</w:t>
            </w:r>
          </w:p>
        </w:tc>
        <w:tc>
          <w:tcPr>
            <w:tcW w:w="120" w:type="dxa"/>
            <w:vAlign w:val="bottom"/>
          </w:tcPr>
          <w:p>
            <w:pPr>
              <w:spacing w:after="0"/>
              <w:rPr>
                <w:sz w:val="13"/>
                <w:szCs w:val="13"/>
                <w:color w:val="auto"/>
              </w:rPr>
            </w:pPr>
          </w:p>
        </w:tc>
        <w:tc>
          <w:tcPr>
            <w:tcW w:w="700" w:type="dxa"/>
            <w:vAlign w:val="bottom"/>
            <w:gridSpan w:val="2"/>
          </w:tcPr>
          <w:p>
            <w:pPr>
              <w:jc w:val="right"/>
              <w:ind w:right="240"/>
              <w:spacing w:after="0"/>
              <w:rPr>
                <w:sz w:val="20"/>
                <w:szCs w:val="20"/>
                <w:color w:val="auto"/>
              </w:rPr>
            </w:pPr>
            <w:r>
              <w:rPr>
                <w:rFonts w:ascii="Arial" w:cs="Arial" w:eastAsia="Arial" w:hAnsi="Arial"/>
                <w:sz w:val="13"/>
                <w:szCs w:val="13"/>
                <w:color w:val="auto"/>
              </w:rPr>
              <w:t>5.5</w:t>
            </w:r>
          </w:p>
        </w:tc>
        <w:tc>
          <w:tcPr>
            <w:tcW w:w="120" w:type="dxa"/>
            <w:vAlign w:val="bottom"/>
          </w:tcPr>
          <w:p>
            <w:pPr>
              <w:spacing w:after="0"/>
              <w:rPr>
                <w:sz w:val="13"/>
                <w:szCs w:val="13"/>
                <w:color w:val="auto"/>
              </w:rPr>
            </w:pPr>
          </w:p>
        </w:tc>
        <w:tc>
          <w:tcPr>
            <w:tcW w:w="720" w:type="dxa"/>
            <w:vAlign w:val="bottom"/>
            <w:gridSpan w:val="2"/>
          </w:tcPr>
          <w:p>
            <w:pPr>
              <w:jc w:val="right"/>
              <w:ind w:right="196"/>
              <w:spacing w:after="0"/>
              <w:rPr>
                <w:sz w:val="20"/>
                <w:szCs w:val="20"/>
                <w:color w:val="auto"/>
              </w:rPr>
            </w:pPr>
            <w:r>
              <w:rPr>
                <w:rFonts w:ascii="Arial" w:cs="Arial" w:eastAsia="Arial" w:hAnsi="Arial"/>
                <w:sz w:val="13"/>
                <w:szCs w:val="13"/>
                <w:color w:val="auto"/>
              </w:rPr>
              <w:t>80.8</w:t>
            </w:r>
          </w:p>
        </w:tc>
        <w:tc>
          <w:tcPr>
            <w:tcW w:w="60" w:type="dxa"/>
            <w:vAlign w:val="bottom"/>
          </w:tcPr>
          <w:p>
            <w:pPr>
              <w:spacing w:after="0"/>
              <w:rPr>
                <w:sz w:val="13"/>
                <w:szCs w:val="13"/>
                <w:color w:val="auto"/>
              </w:rPr>
            </w:pPr>
          </w:p>
        </w:tc>
        <w:tc>
          <w:tcPr>
            <w:tcW w:w="720" w:type="dxa"/>
            <w:vAlign w:val="bottom"/>
            <w:gridSpan w:val="2"/>
          </w:tcPr>
          <w:p>
            <w:pPr>
              <w:jc w:val="right"/>
              <w:ind w:right="220"/>
              <w:spacing w:after="0"/>
              <w:rPr>
                <w:sz w:val="20"/>
                <w:szCs w:val="20"/>
                <w:color w:val="auto"/>
              </w:rPr>
            </w:pPr>
            <w:r>
              <w:rPr>
                <w:rFonts w:ascii="Arial" w:cs="Arial" w:eastAsia="Arial" w:hAnsi="Arial"/>
                <w:sz w:val="13"/>
                <w:szCs w:val="13"/>
                <w:color w:val="auto"/>
              </w:rPr>
              <w:t>4.7</w:t>
            </w:r>
          </w:p>
        </w:tc>
        <w:tc>
          <w:tcPr>
            <w:tcW w:w="120" w:type="dxa"/>
            <w:vAlign w:val="bottom"/>
          </w:tcPr>
          <w:p>
            <w:pPr>
              <w:spacing w:after="0"/>
              <w:rPr>
                <w:sz w:val="13"/>
                <w:szCs w:val="13"/>
                <w:color w:val="auto"/>
              </w:rPr>
            </w:pPr>
          </w:p>
        </w:tc>
        <w:tc>
          <w:tcPr>
            <w:tcW w:w="620" w:type="dxa"/>
            <w:vAlign w:val="bottom"/>
            <w:gridSpan w:val="2"/>
          </w:tcPr>
          <w:p>
            <w:pPr>
              <w:jc w:val="right"/>
              <w:ind w:right="116"/>
              <w:spacing w:after="0"/>
              <w:rPr>
                <w:sz w:val="20"/>
                <w:szCs w:val="20"/>
                <w:color w:val="auto"/>
              </w:rPr>
            </w:pPr>
            <w:r>
              <w:rPr>
                <w:rFonts w:ascii="Arial" w:cs="Arial" w:eastAsia="Arial" w:hAnsi="Arial"/>
                <w:sz w:val="13"/>
                <w:szCs w:val="13"/>
                <w:color w:val="auto"/>
              </w:rPr>
              <w:t>82.2</w:t>
            </w:r>
          </w:p>
        </w:tc>
        <w:tc>
          <w:tcPr>
            <w:tcW w:w="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660" w:type="dxa"/>
            <w:vAlign w:val="bottom"/>
            <w:gridSpan w:val="2"/>
          </w:tcPr>
          <w:p>
            <w:pPr>
              <w:jc w:val="right"/>
              <w:ind w:right="200"/>
              <w:spacing w:after="0"/>
              <w:rPr>
                <w:sz w:val="20"/>
                <w:szCs w:val="20"/>
                <w:color w:val="auto"/>
              </w:rPr>
            </w:pPr>
            <w:r>
              <w:rPr>
                <w:rFonts w:ascii="Arial" w:cs="Arial" w:eastAsia="Arial" w:hAnsi="Arial"/>
                <w:sz w:val="13"/>
                <w:szCs w:val="13"/>
                <w:color w:val="auto"/>
              </w:rPr>
              <w:t>2.8</w:t>
            </w:r>
          </w:p>
        </w:tc>
        <w:tc>
          <w:tcPr>
            <w:tcW w:w="120" w:type="dxa"/>
            <w:vAlign w:val="bottom"/>
          </w:tcPr>
          <w:p>
            <w:pPr>
              <w:spacing w:after="0"/>
              <w:rPr>
                <w:sz w:val="13"/>
                <w:szCs w:val="13"/>
                <w:color w:val="auto"/>
              </w:rPr>
            </w:pPr>
          </w:p>
        </w:tc>
        <w:tc>
          <w:tcPr>
            <w:tcW w:w="640" w:type="dxa"/>
            <w:vAlign w:val="bottom"/>
            <w:gridSpan w:val="2"/>
          </w:tcPr>
          <w:p>
            <w:pPr>
              <w:jc w:val="right"/>
              <w:ind w:right="136"/>
              <w:spacing w:after="0"/>
              <w:rPr>
                <w:sz w:val="20"/>
                <w:szCs w:val="20"/>
                <w:color w:val="auto"/>
              </w:rPr>
            </w:pPr>
            <w:r>
              <w:rPr>
                <w:rFonts w:ascii="Arial" w:cs="Arial" w:eastAsia="Arial" w:hAnsi="Arial"/>
                <w:sz w:val="13"/>
                <w:szCs w:val="13"/>
                <w:color w:val="auto"/>
              </w:rPr>
              <w:t>51.9</w:t>
            </w:r>
          </w:p>
        </w:tc>
        <w:tc>
          <w:tcPr>
            <w:tcW w:w="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680" w:type="dxa"/>
            <w:vAlign w:val="bottom"/>
            <w:gridSpan w:val="2"/>
          </w:tcPr>
          <w:p>
            <w:pPr>
              <w:jc w:val="right"/>
              <w:ind w:right="220"/>
              <w:spacing w:after="0"/>
              <w:rPr>
                <w:sz w:val="20"/>
                <w:szCs w:val="20"/>
                <w:color w:val="auto"/>
              </w:rPr>
            </w:pPr>
            <w:r>
              <w:rPr>
                <w:rFonts w:ascii="Arial" w:cs="Arial" w:eastAsia="Arial" w:hAnsi="Arial"/>
                <w:sz w:val="13"/>
                <w:szCs w:val="13"/>
                <w:color w:val="auto"/>
              </w:rPr>
              <w:t>2.9</w:t>
            </w:r>
          </w:p>
        </w:tc>
        <w:tc>
          <w:tcPr>
            <w:tcW w:w="120" w:type="dxa"/>
            <w:vAlign w:val="bottom"/>
          </w:tcPr>
          <w:p>
            <w:pPr>
              <w:spacing w:after="0"/>
              <w:rPr>
                <w:sz w:val="13"/>
                <w:szCs w:val="13"/>
                <w:color w:val="auto"/>
              </w:rPr>
            </w:pPr>
          </w:p>
        </w:tc>
        <w:tc>
          <w:tcPr>
            <w:tcW w:w="580" w:type="dxa"/>
            <w:vAlign w:val="bottom"/>
            <w:gridSpan w:val="2"/>
          </w:tcPr>
          <w:p>
            <w:pPr>
              <w:jc w:val="right"/>
              <w:ind w:right="76"/>
              <w:spacing w:after="0"/>
              <w:rPr>
                <w:sz w:val="20"/>
                <w:szCs w:val="20"/>
                <w:color w:val="auto"/>
              </w:rPr>
            </w:pPr>
            <w:r>
              <w:rPr>
                <w:rFonts w:ascii="Arial" w:cs="Arial" w:eastAsia="Arial" w:hAnsi="Arial"/>
                <w:sz w:val="13"/>
                <w:szCs w:val="13"/>
                <w:color w:val="auto"/>
              </w:rPr>
              <w:t>29.1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540" w:type="dxa"/>
            <w:vAlign w:val="bottom"/>
            <w:shd w:val="clear" w:color="auto" w:fill="CCEEFF"/>
          </w:tcPr>
          <w:p>
            <w:pPr>
              <w:ind w:left="160"/>
              <w:spacing w:after="0"/>
              <w:rPr>
                <w:sz w:val="20"/>
                <w:szCs w:val="20"/>
                <w:color w:val="auto"/>
              </w:rPr>
            </w:pPr>
            <w:r>
              <w:rPr>
                <w:rFonts w:ascii="Arial" w:cs="Arial" w:eastAsia="Arial" w:hAnsi="Arial"/>
                <w:sz w:val="13"/>
                <w:szCs w:val="13"/>
                <w:color w:val="auto"/>
              </w:rPr>
              <w:t>Ecuador</w:t>
            </w:r>
          </w:p>
        </w:tc>
        <w:tc>
          <w:tcPr>
            <w:tcW w:w="10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2.2</w:t>
            </w:r>
          </w:p>
        </w:tc>
        <w:tc>
          <w:tcPr>
            <w:tcW w:w="1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96"/>
              <w:spacing w:after="0"/>
              <w:rPr>
                <w:sz w:val="20"/>
                <w:szCs w:val="20"/>
                <w:color w:val="auto"/>
              </w:rPr>
            </w:pPr>
            <w:r>
              <w:rPr>
                <w:rFonts w:ascii="Arial" w:cs="Arial" w:eastAsia="Arial" w:hAnsi="Arial"/>
                <w:sz w:val="13"/>
                <w:szCs w:val="13"/>
                <w:color w:val="auto"/>
              </w:rPr>
              <w:t>68.1</w:t>
            </w:r>
          </w:p>
        </w:tc>
        <w:tc>
          <w:tcPr>
            <w:tcW w:w="12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1.1</w:t>
            </w:r>
          </w:p>
        </w:tc>
        <w:tc>
          <w:tcPr>
            <w:tcW w:w="1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96"/>
              <w:spacing w:after="0"/>
              <w:rPr>
                <w:sz w:val="20"/>
                <w:szCs w:val="20"/>
                <w:color w:val="auto"/>
              </w:rPr>
            </w:pPr>
            <w:r>
              <w:rPr>
                <w:rFonts w:ascii="Arial" w:cs="Arial" w:eastAsia="Arial" w:hAnsi="Arial"/>
                <w:sz w:val="13"/>
                <w:szCs w:val="13"/>
                <w:color w:val="auto"/>
              </w:rPr>
              <w:t>15.4</w:t>
            </w:r>
          </w:p>
        </w:tc>
        <w:tc>
          <w:tcPr>
            <w:tcW w:w="6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0.8</w:t>
            </w:r>
          </w:p>
        </w:tc>
        <w:tc>
          <w:tcPr>
            <w:tcW w:w="120" w:type="dxa"/>
            <w:vAlign w:val="bottom"/>
            <w:shd w:val="clear" w:color="auto" w:fill="CCEEFF"/>
          </w:tcPr>
          <w:p>
            <w:pPr>
              <w:spacing w:after="0"/>
              <w:rPr>
                <w:sz w:val="13"/>
                <w:szCs w:val="13"/>
                <w:color w:val="auto"/>
              </w:rPr>
            </w:pPr>
          </w:p>
        </w:tc>
        <w:tc>
          <w:tcPr>
            <w:tcW w:w="620" w:type="dxa"/>
            <w:vAlign w:val="bottom"/>
            <w:gridSpan w:val="2"/>
            <w:shd w:val="clear" w:color="auto" w:fill="CCEEFF"/>
          </w:tcPr>
          <w:p>
            <w:pPr>
              <w:jc w:val="right"/>
              <w:ind w:right="116"/>
              <w:spacing w:after="0"/>
              <w:rPr>
                <w:sz w:val="20"/>
                <w:szCs w:val="20"/>
                <w:color w:val="auto"/>
              </w:rPr>
            </w:pPr>
            <w:r>
              <w:rPr>
                <w:rFonts w:ascii="Arial" w:cs="Arial" w:eastAsia="Arial" w:hAnsi="Arial"/>
                <w:sz w:val="13"/>
                <w:szCs w:val="13"/>
                <w:color w:val="auto"/>
              </w:rPr>
              <w:t>13.2</w:t>
            </w:r>
          </w:p>
        </w:tc>
        <w:tc>
          <w:tcPr>
            <w:tcW w:w="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6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0.8</w:t>
            </w:r>
          </w:p>
        </w:tc>
        <w:tc>
          <w:tcPr>
            <w:tcW w:w="120" w:type="dxa"/>
            <w:vAlign w:val="bottom"/>
            <w:shd w:val="clear" w:color="auto" w:fill="CCEEFF"/>
          </w:tcPr>
          <w:p>
            <w:pPr>
              <w:spacing w:after="0"/>
              <w:rPr>
                <w:sz w:val="13"/>
                <w:szCs w:val="13"/>
                <w:color w:val="auto"/>
              </w:rPr>
            </w:pPr>
          </w:p>
        </w:tc>
        <w:tc>
          <w:tcPr>
            <w:tcW w:w="640" w:type="dxa"/>
            <w:vAlign w:val="bottom"/>
            <w:gridSpan w:val="2"/>
            <w:shd w:val="clear" w:color="auto" w:fill="CCEEFF"/>
          </w:tcPr>
          <w:p>
            <w:pPr>
              <w:jc w:val="right"/>
              <w:ind w:right="136"/>
              <w:spacing w:after="0"/>
              <w:rPr>
                <w:sz w:val="20"/>
                <w:szCs w:val="20"/>
                <w:color w:val="auto"/>
              </w:rPr>
            </w:pPr>
            <w:r>
              <w:rPr>
                <w:rFonts w:ascii="Arial" w:cs="Arial" w:eastAsia="Arial" w:hAnsi="Arial"/>
                <w:sz w:val="13"/>
                <w:szCs w:val="13"/>
                <w:color w:val="auto"/>
              </w:rPr>
              <w:t>15.4</w:t>
            </w:r>
          </w:p>
        </w:tc>
        <w:tc>
          <w:tcPr>
            <w:tcW w:w="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5.6</w:t>
            </w:r>
          </w:p>
        </w:tc>
        <w:tc>
          <w:tcPr>
            <w:tcW w:w="120" w:type="dxa"/>
            <w:vAlign w:val="bottom"/>
            <w:shd w:val="clear" w:color="auto" w:fill="CCEEFF"/>
          </w:tcPr>
          <w:p>
            <w:pPr>
              <w:spacing w:after="0"/>
              <w:rPr>
                <w:sz w:val="13"/>
                <w:szCs w:val="13"/>
                <w:color w:val="auto"/>
              </w:rPr>
            </w:pPr>
          </w:p>
        </w:tc>
        <w:tc>
          <w:tcPr>
            <w:tcW w:w="580" w:type="dxa"/>
            <w:vAlign w:val="bottom"/>
            <w:gridSpan w:val="2"/>
            <w:shd w:val="clear" w:color="auto" w:fill="CCEEFF"/>
          </w:tcPr>
          <w:p>
            <w:pPr>
              <w:jc w:val="right"/>
              <w:ind w:right="76"/>
              <w:spacing w:after="0"/>
              <w:rPr>
                <w:sz w:val="20"/>
                <w:szCs w:val="20"/>
                <w:color w:val="auto"/>
              </w:rPr>
            </w:pPr>
            <w:r>
              <w:rPr>
                <w:rFonts w:ascii="Arial" w:cs="Arial" w:eastAsia="Arial" w:hAnsi="Arial"/>
                <w:sz w:val="13"/>
                <w:szCs w:val="13"/>
                <w:color w:val="auto"/>
              </w:rPr>
              <w:t>56.8</w:t>
            </w:r>
          </w:p>
        </w:tc>
        <w:tc>
          <w:tcPr>
            <w:tcW w:w="0" w:type="dxa"/>
            <w:vAlign w:val="bottom"/>
          </w:tcPr>
          <w:p>
            <w:pPr>
              <w:spacing w:after="0"/>
              <w:rPr>
                <w:sz w:val="1"/>
                <w:szCs w:val="1"/>
                <w:color w:val="auto"/>
              </w:rPr>
            </w:pPr>
          </w:p>
        </w:tc>
      </w:tr>
      <w:tr>
        <w:trPr>
          <w:trHeight w:val="193"/>
        </w:trPr>
        <w:tc>
          <w:tcPr>
            <w:tcW w:w="20" w:type="dxa"/>
            <w:vAlign w:val="bottom"/>
          </w:tcPr>
          <w:p>
            <w:pPr>
              <w:spacing w:after="0"/>
              <w:rPr>
                <w:sz w:val="16"/>
                <w:szCs w:val="16"/>
                <w:color w:val="auto"/>
              </w:rPr>
            </w:pPr>
          </w:p>
        </w:tc>
        <w:tc>
          <w:tcPr>
            <w:tcW w:w="3540" w:type="dxa"/>
            <w:vAlign w:val="bottom"/>
          </w:tcPr>
          <w:p>
            <w:pPr>
              <w:ind w:left="160"/>
              <w:spacing w:after="0" w:line="193" w:lineRule="exact"/>
              <w:rPr>
                <w:sz w:val="20"/>
                <w:szCs w:val="20"/>
                <w:color w:val="auto"/>
              </w:rPr>
            </w:pPr>
            <w:r>
              <w:rPr>
                <w:rFonts w:ascii="Arial" w:cs="Arial" w:eastAsia="Arial" w:hAnsi="Arial"/>
                <w:sz w:val="13"/>
                <w:szCs w:val="13"/>
                <w:color w:val="auto"/>
              </w:rPr>
              <w:t xml:space="preserve">Other </w:t>
            </w:r>
            <w:r>
              <w:rPr>
                <w:rFonts w:ascii="Arial" w:cs="Arial" w:eastAsia="Arial" w:hAnsi="Arial"/>
                <w:sz w:val="21"/>
                <w:szCs w:val="21"/>
                <w:color w:val="auto"/>
                <w:vertAlign w:val="superscript"/>
              </w:rPr>
              <w:t>(1)</w:t>
            </w:r>
          </w:p>
        </w:tc>
        <w:tc>
          <w:tcPr>
            <w:tcW w:w="100" w:type="dxa"/>
            <w:vAlign w:val="bottom"/>
          </w:tcPr>
          <w:p>
            <w:pPr>
              <w:spacing w:after="0"/>
              <w:rPr>
                <w:sz w:val="16"/>
                <w:szCs w:val="16"/>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0.9</w:t>
            </w:r>
          </w:p>
        </w:tc>
        <w:tc>
          <w:tcPr>
            <w:tcW w:w="120" w:type="dxa"/>
            <w:vAlign w:val="bottom"/>
          </w:tcPr>
          <w:p>
            <w:pPr>
              <w:spacing w:after="0"/>
              <w:rPr>
                <w:sz w:val="16"/>
                <w:szCs w:val="16"/>
                <w:color w:val="auto"/>
              </w:rPr>
            </w:pPr>
          </w:p>
        </w:tc>
        <w:tc>
          <w:tcPr>
            <w:tcW w:w="720" w:type="dxa"/>
            <w:vAlign w:val="bottom"/>
            <w:gridSpan w:val="2"/>
          </w:tcPr>
          <w:p>
            <w:pPr>
              <w:jc w:val="right"/>
              <w:ind w:right="196"/>
              <w:spacing w:after="0"/>
              <w:rPr>
                <w:sz w:val="20"/>
                <w:szCs w:val="20"/>
                <w:color w:val="auto"/>
              </w:rPr>
            </w:pPr>
            <w:r>
              <w:rPr>
                <w:rFonts w:ascii="Arial" w:cs="Arial" w:eastAsia="Arial" w:hAnsi="Arial"/>
                <w:sz w:val="13"/>
                <w:szCs w:val="13"/>
                <w:color w:val="auto"/>
              </w:rPr>
              <w:t>26.3</w:t>
            </w:r>
          </w:p>
        </w:tc>
        <w:tc>
          <w:tcPr>
            <w:tcW w:w="120" w:type="dxa"/>
            <w:vAlign w:val="bottom"/>
          </w:tcPr>
          <w:p>
            <w:pPr>
              <w:spacing w:after="0"/>
              <w:rPr>
                <w:sz w:val="16"/>
                <w:szCs w:val="16"/>
                <w:color w:val="auto"/>
              </w:rPr>
            </w:pPr>
          </w:p>
        </w:tc>
        <w:tc>
          <w:tcPr>
            <w:tcW w:w="700" w:type="dxa"/>
            <w:vAlign w:val="bottom"/>
            <w:gridSpan w:val="2"/>
          </w:tcPr>
          <w:p>
            <w:pPr>
              <w:jc w:val="right"/>
              <w:ind w:right="240"/>
              <w:spacing w:after="0"/>
              <w:rPr>
                <w:sz w:val="20"/>
                <w:szCs w:val="20"/>
                <w:color w:val="auto"/>
              </w:rPr>
            </w:pPr>
            <w:r>
              <w:rPr>
                <w:rFonts w:ascii="Arial" w:cs="Arial" w:eastAsia="Arial" w:hAnsi="Arial"/>
                <w:sz w:val="13"/>
                <w:szCs w:val="13"/>
                <w:color w:val="auto"/>
              </w:rPr>
              <w:t>0.1</w:t>
            </w:r>
          </w:p>
        </w:tc>
        <w:tc>
          <w:tcPr>
            <w:tcW w:w="120" w:type="dxa"/>
            <w:vAlign w:val="bottom"/>
          </w:tcPr>
          <w:p>
            <w:pPr>
              <w:spacing w:after="0"/>
              <w:rPr>
                <w:sz w:val="16"/>
                <w:szCs w:val="16"/>
                <w:color w:val="auto"/>
              </w:rPr>
            </w:pPr>
          </w:p>
        </w:tc>
        <w:tc>
          <w:tcPr>
            <w:tcW w:w="720" w:type="dxa"/>
            <w:vAlign w:val="bottom"/>
            <w:gridSpan w:val="2"/>
          </w:tcPr>
          <w:p>
            <w:pPr>
              <w:jc w:val="right"/>
              <w:ind w:right="196"/>
              <w:spacing w:after="0"/>
              <w:rPr>
                <w:sz w:val="20"/>
                <w:szCs w:val="20"/>
                <w:color w:val="auto"/>
              </w:rPr>
            </w:pPr>
            <w:r>
              <w:rPr>
                <w:rFonts w:ascii="Arial" w:cs="Arial" w:eastAsia="Arial" w:hAnsi="Arial"/>
                <w:sz w:val="13"/>
                <w:szCs w:val="13"/>
                <w:color w:val="auto"/>
              </w:rPr>
              <w:t>2.7</w:t>
            </w:r>
          </w:p>
        </w:tc>
        <w:tc>
          <w:tcPr>
            <w:tcW w:w="60" w:type="dxa"/>
            <w:vAlign w:val="bottom"/>
          </w:tcPr>
          <w:p>
            <w:pPr>
              <w:spacing w:after="0"/>
              <w:rPr>
                <w:sz w:val="16"/>
                <w:szCs w:val="16"/>
                <w:color w:val="auto"/>
              </w:rPr>
            </w:pPr>
          </w:p>
        </w:tc>
        <w:tc>
          <w:tcPr>
            <w:tcW w:w="720" w:type="dxa"/>
            <w:vAlign w:val="bottom"/>
            <w:gridSpan w:val="2"/>
          </w:tcPr>
          <w:p>
            <w:pPr>
              <w:jc w:val="right"/>
              <w:ind w:right="220"/>
              <w:spacing w:after="0"/>
              <w:rPr>
                <w:sz w:val="20"/>
                <w:szCs w:val="20"/>
                <w:color w:val="auto"/>
              </w:rPr>
            </w:pPr>
            <w:r>
              <w:rPr>
                <w:rFonts w:ascii="Arial" w:cs="Arial" w:eastAsia="Arial" w:hAnsi="Arial"/>
                <w:sz w:val="13"/>
                <w:szCs w:val="13"/>
                <w:color w:val="auto"/>
              </w:rPr>
              <w:t>0.3</w:t>
            </w:r>
          </w:p>
        </w:tc>
        <w:tc>
          <w:tcPr>
            <w:tcW w:w="120" w:type="dxa"/>
            <w:vAlign w:val="bottom"/>
          </w:tcPr>
          <w:p>
            <w:pPr>
              <w:spacing w:after="0"/>
              <w:rPr>
                <w:sz w:val="16"/>
                <w:szCs w:val="16"/>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4.6</w:t>
            </w:r>
          </w:p>
        </w:tc>
        <w:tc>
          <w:tcPr>
            <w:tcW w:w="18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660" w:type="dxa"/>
            <w:vAlign w:val="bottom"/>
            <w:gridSpan w:val="2"/>
          </w:tcPr>
          <w:p>
            <w:pPr>
              <w:jc w:val="right"/>
              <w:ind w:right="200"/>
              <w:spacing w:after="0"/>
              <w:rPr>
                <w:sz w:val="20"/>
                <w:szCs w:val="20"/>
                <w:color w:val="auto"/>
              </w:rPr>
            </w:pPr>
            <w:r>
              <w:rPr>
                <w:rFonts w:ascii="Arial" w:cs="Arial" w:eastAsia="Arial" w:hAnsi="Arial"/>
                <w:sz w:val="13"/>
                <w:szCs w:val="13"/>
                <w:color w:val="auto"/>
              </w:rPr>
              <w:t>0.8</w:t>
            </w:r>
          </w:p>
        </w:tc>
        <w:tc>
          <w:tcPr>
            <w:tcW w:w="120" w:type="dxa"/>
            <w:vAlign w:val="bottom"/>
          </w:tcPr>
          <w:p>
            <w:pPr>
              <w:spacing w:after="0"/>
              <w:rPr>
                <w:sz w:val="16"/>
                <w:szCs w:val="16"/>
                <w:color w:val="auto"/>
              </w:rPr>
            </w:pPr>
          </w:p>
        </w:tc>
        <w:tc>
          <w:tcPr>
            <w:tcW w:w="640" w:type="dxa"/>
            <w:vAlign w:val="bottom"/>
            <w:gridSpan w:val="2"/>
          </w:tcPr>
          <w:p>
            <w:pPr>
              <w:jc w:val="right"/>
              <w:ind w:right="136"/>
              <w:spacing w:after="0"/>
              <w:rPr>
                <w:sz w:val="20"/>
                <w:szCs w:val="20"/>
                <w:color w:val="auto"/>
              </w:rPr>
            </w:pPr>
            <w:r>
              <w:rPr>
                <w:rFonts w:ascii="Arial" w:cs="Arial" w:eastAsia="Arial" w:hAnsi="Arial"/>
                <w:sz w:val="13"/>
                <w:szCs w:val="13"/>
                <w:color w:val="auto"/>
              </w:rPr>
              <w:t>13.5</w:t>
            </w:r>
          </w:p>
        </w:tc>
        <w:tc>
          <w:tcPr>
            <w:tcW w:w="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680" w:type="dxa"/>
            <w:vAlign w:val="bottom"/>
            <w:gridSpan w:val="2"/>
          </w:tcPr>
          <w:p>
            <w:pPr>
              <w:jc w:val="right"/>
              <w:ind w:right="220"/>
              <w:spacing w:after="0"/>
              <w:rPr>
                <w:sz w:val="20"/>
                <w:szCs w:val="20"/>
                <w:color w:val="auto"/>
              </w:rPr>
            </w:pPr>
            <w:r>
              <w:rPr>
                <w:rFonts w:ascii="Arial" w:cs="Arial" w:eastAsia="Arial" w:hAnsi="Arial"/>
                <w:sz w:val="13"/>
                <w:szCs w:val="13"/>
                <w:color w:val="auto"/>
              </w:rPr>
              <w:t>1.4</w:t>
            </w:r>
          </w:p>
        </w:tc>
        <w:tc>
          <w:tcPr>
            <w:tcW w:w="120" w:type="dxa"/>
            <w:vAlign w:val="bottom"/>
          </w:tcPr>
          <w:p>
            <w:pPr>
              <w:spacing w:after="0"/>
              <w:rPr>
                <w:sz w:val="16"/>
                <w:szCs w:val="16"/>
                <w:color w:val="auto"/>
              </w:rPr>
            </w:pPr>
          </w:p>
        </w:tc>
        <w:tc>
          <w:tcPr>
            <w:tcW w:w="580" w:type="dxa"/>
            <w:vAlign w:val="bottom"/>
            <w:gridSpan w:val="2"/>
          </w:tcPr>
          <w:p>
            <w:pPr>
              <w:jc w:val="right"/>
              <w:ind w:right="76"/>
              <w:spacing w:after="0"/>
              <w:rPr>
                <w:sz w:val="20"/>
                <w:szCs w:val="20"/>
                <w:color w:val="auto"/>
              </w:rPr>
            </w:pPr>
            <w:r>
              <w:rPr>
                <w:rFonts w:ascii="Arial" w:cs="Arial" w:eastAsia="Arial" w:hAnsi="Arial"/>
                <w:sz w:val="13"/>
                <w:szCs w:val="13"/>
                <w:color w:val="auto"/>
              </w:rPr>
              <w:t>14.1</w:t>
            </w:r>
          </w:p>
        </w:tc>
        <w:tc>
          <w:tcPr>
            <w:tcW w:w="0" w:type="dxa"/>
            <w:vAlign w:val="bottom"/>
          </w:tcPr>
          <w:p>
            <w:pPr>
              <w:spacing w:after="0"/>
              <w:rPr>
                <w:sz w:val="1"/>
                <w:szCs w:val="1"/>
                <w:color w:val="auto"/>
              </w:rPr>
            </w:pPr>
          </w:p>
        </w:tc>
      </w:tr>
      <w:tr>
        <w:trPr>
          <w:trHeight w:val="121"/>
        </w:trPr>
        <w:tc>
          <w:tcPr>
            <w:tcW w:w="20" w:type="dxa"/>
            <w:vAlign w:val="bottom"/>
          </w:tcPr>
          <w:p>
            <w:pPr>
              <w:spacing w:after="0"/>
              <w:rPr>
                <w:sz w:val="10"/>
                <w:szCs w:val="10"/>
                <w:color w:val="auto"/>
              </w:rPr>
            </w:pPr>
          </w:p>
        </w:tc>
        <w:tc>
          <w:tcPr>
            <w:tcW w:w="3540" w:type="dxa"/>
            <w:vAlign w:val="bottom"/>
            <w:tcBorders>
              <w:top w:val="single" w:sz="8" w:color="CCEEFF"/>
            </w:tcBorders>
            <w:shd w:val="clear" w:color="auto" w:fill="CCEEFF"/>
          </w:tcPr>
          <w:p>
            <w:pPr>
              <w:spacing w:after="0" w:line="121" w:lineRule="exact"/>
              <w:rPr>
                <w:sz w:val="20"/>
                <w:szCs w:val="20"/>
                <w:color w:val="auto"/>
              </w:rPr>
            </w:pPr>
            <w:r>
              <w:rPr>
                <w:rFonts w:ascii="Arial" w:cs="Arial" w:eastAsia="Arial" w:hAnsi="Arial"/>
                <w:sz w:val="13"/>
                <w:szCs w:val="13"/>
                <w:b w:val="1"/>
                <w:bCs w:val="1"/>
                <w:color w:val="auto"/>
                <w:w w:val="91"/>
              </w:rPr>
              <w:t>Total allowance for loan commitments and financial guarantee</w:t>
            </w:r>
          </w:p>
        </w:tc>
        <w:tc>
          <w:tcPr>
            <w:tcW w:w="100" w:type="dxa"/>
            <w:vAlign w:val="bottom"/>
            <w:tcBorders>
              <w:top w:val="single" w:sz="8" w:color="auto"/>
            </w:tcBorders>
            <w:shd w:val="clear" w:color="auto" w:fill="CCEEFF"/>
          </w:tcPr>
          <w:p>
            <w:pPr>
              <w:spacing w:after="0"/>
              <w:rPr>
                <w:sz w:val="10"/>
                <w:szCs w:val="10"/>
                <w:color w:val="auto"/>
              </w:rPr>
            </w:pPr>
          </w:p>
        </w:tc>
        <w:tc>
          <w:tcPr>
            <w:tcW w:w="480" w:type="dxa"/>
            <w:vAlign w:val="bottom"/>
            <w:tcBorders>
              <w:top w:val="single" w:sz="8" w:color="auto"/>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120" w:type="dxa"/>
            <w:vAlign w:val="bottom"/>
            <w:tcBorders>
              <w:top w:val="single" w:sz="8" w:color="auto"/>
            </w:tcBorders>
            <w:shd w:val="clear" w:color="auto" w:fill="CCEEFF"/>
          </w:tcPr>
          <w:p>
            <w:pPr>
              <w:spacing w:after="0"/>
              <w:rPr>
                <w:sz w:val="10"/>
                <w:szCs w:val="10"/>
                <w:color w:val="auto"/>
              </w:rPr>
            </w:pPr>
          </w:p>
        </w:tc>
        <w:tc>
          <w:tcPr>
            <w:tcW w:w="460" w:type="dxa"/>
            <w:vAlign w:val="bottom"/>
            <w:tcBorders>
              <w:top w:val="single" w:sz="8" w:color="auto"/>
            </w:tcBorders>
            <w:shd w:val="clear" w:color="auto" w:fill="CCEEFF"/>
          </w:tcPr>
          <w:p>
            <w:pPr>
              <w:spacing w:after="0"/>
              <w:rPr>
                <w:sz w:val="10"/>
                <w:szCs w:val="10"/>
                <w:color w:val="auto"/>
              </w:rPr>
            </w:pPr>
          </w:p>
        </w:tc>
        <w:tc>
          <w:tcPr>
            <w:tcW w:w="260" w:type="dxa"/>
            <w:vAlign w:val="bottom"/>
            <w:tcBorders>
              <w:top w:val="single" w:sz="8" w:color="CCEEFF"/>
            </w:tcBorders>
            <w:shd w:val="clear" w:color="auto" w:fill="CCEEFF"/>
          </w:tcPr>
          <w:p>
            <w:pPr>
              <w:spacing w:after="0"/>
              <w:rPr>
                <w:sz w:val="10"/>
                <w:szCs w:val="10"/>
                <w:color w:val="auto"/>
              </w:rPr>
            </w:pPr>
          </w:p>
        </w:tc>
        <w:tc>
          <w:tcPr>
            <w:tcW w:w="120" w:type="dxa"/>
            <w:vAlign w:val="bottom"/>
            <w:tcBorders>
              <w:top w:val="single" w:sz="8" w:color="auto"/>
            </w:tcBorders>
            <w:shd w:val="clear" w:color="auto" w:fill="CCEEFF"/>
          </w:tcPr>
          <w:p>
            <w:pPr>
              <w:spacing w:after="0"/>
              <w:rPr>
                <w:sz w:val="10"/>
                <w:szCs w:val="10"/>
                <w:color w:val="auto"/>
              </w:rPr>
            </w:pPr>
          </w:p>
        </w:tc>
        <w:tc>
          <w:tcPr>
            <w:tcW w:w="460" w:type="dxa"/>
            <w:vAlign w:val="bottom"/>
            <w:tcBorders>
              <w:top w:val="single" w:sz="8" w:color="auto"/>
            </w:tcBorders>
            <w:shd w:val="clear" w:color="auto" w:fill="CCEEFF"/>
          </w:tcPr>
          <w:p>
            <w:pPr>
              <w:spacing w:after="0"/>
              <w:rPr>
                <w:sz w:val="10"/>
                <w:szCs w:val="10"/>
                <w:color w:val="auto"/>
              </w:rPr>
            </w:pPr>
          </w:p>
        </w:tc>
        <w:tc>
          <w:tcPr>
            <w:tcW w:w="240" w:type="dxa"/>
            <w:vAlign w:val="bottom"/>
            <w:tcBorders>
              <w:top w:val="single" w:sz="8" w:color="CCEEFF"/>
            </w:tcBorders>
            <w:shd w:val="clear" w:color="auto" w:fill="CCEEFF"/>
          </w:tcPr>
          <w:p>
            <w:pPr>
              <w:spacing w:after="0"/>
              <w:rPr>
                <w:sz w:val="10"/>
                <w:szCs w:val="10"/>
                <w:color w:val="auto"/>
              </w:rPr>
            </w:pPr>
          </w:p>
        </w:tc>
        <w:tc>
          <w:tcPr>
            <w:tcW w:w="120" w:type="dxa"/>
            <w:vAlign w:val="bottom"/>
            <w:tcBorders>
              <w:top w:val="single" w:sz="8" w:color="auto"/>
            </w:tcBorders>
            <w:shd w:val="clear" w:color="auto" w:fill="CCEEFF"/>
          </w:tcPr>
          <w:p>
            <w:pPr>
              <w:spacing w:after="0"/>
              <w:rPr>
                <w:sz w:val="10"/>
                <w:szCs w:val="10"/>
                <w:color w:val="auto"/>
              </w:rPr>
            </w:pPr>
          </w:p>
        </w:tc>
        <w:tc>
          <w:tcPr>
            <w:tcW w:w="460" w:type="dxa"/>
            <w:vAlign w:val="bottom"/>
            <w:tcBorders>
              <w:top w:val="single" w:sz="8" w:color="auto"/>
            </w:tcBorders>
            <w:shd w:val="clear" w:color="auto" w:fill="CCEEFF"/>
          </w:tcPr>
          <w:p>
            <w:pPr>
              <w:spacing w:after="0"/>
              <w:rPr>
                <w:sz w:val="10"/>
                <w:szCs w:val="10"/>
                <w:color w:val="auto"/>
              </w:rPr>
            </w:pPr>
          </w:p>
        </w:tc>
        <w:tc>
          <w:tcPr>
            <w:tcW w:w="260" w:type="dxa"/>
            <w:vAlign w:val="bottom"/>
            <w:tcBorders>
              <w:top w:val="single" w:sz="8" w:color="CCEEFF"/>
            </w:tcBorders>
            <w:shd w:val="clear" w:color="auto" w:fill="CCEEFF"/>
          </w:tcPr>
          <w:p>
            <w:pPr>
              <w:spacing w:after="0"/>
              <w:rPr>
                <w:sz w:val="10"/>
                <w:szCs w:val="10"/>
                <w:color w:val="auto"/>
              </w:rPr>
            </w:pPr>
          </w:p>
        </w:tc>
        <w:tc>
          <w:tcPr>
            <w:tcW w:w="60" w:type="dxa"/>
            <w:vAlign w:val="bottom"/>
            <w:tcBorders>
              <w:top w:val="single" w:sz="8" w:color="auto"/>
            </w:tcBorders>
            <w:shd w:val="clear" w:color="auto" w:fill="CCEEFF"/>
          </w:tcPr>
          <w:p>
            <w:pPr>
              <w:spacing w:after="0"/>
              <w:rPr>
                <w:sz w:val="10"/>
                <w:szCs w:val="10"/>
                <w:color w:val="auto"/>
              </w:rPr>
            </w:pPr>
          </w:p>
        </w:tc>
        <w:tc>
          <w:tcPr>
            <w:tcW w:w="500" w:type="dxa"/>
            <w:vAlign w:val="bottom"/>
            <w:tcBorders>
              <w:top w:val="single" w:sz="8" w:color="auto"/>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120" w:type="dxa"/>
            <w:vAlign w:val="bottom"/>
            <w:tcBorders>
              <w:top w:val="single" w:sz="8" w:color="auto"/>
            </w:tcBorders>
            <w:shd w:val="clear" w:color="auto" w:fill="CCEEFF"/>
          </w:tcPr>
          <w:p>
            <w:pPr>
              <w:spacing w:after="0"/>
              <w:rPr>
                <w:sz w:val="10"/>
                <w:szCs w:val="10"/>
                <w:color w:val="auto"/>
              </w:rPr>
            </w:pPr>
          </w:p>
        </w:tc>
        <w:tc>
          <w:tcPr>
            <w:tcW w:w="440" w:type="dxa"/>
            <w:vAlign w:val="bottom"/>
            <w:tcBorders>
              <w:top w:val="single" w:sz="8" w:color="auto"/>
            </w:tcBorders>
            <w:shd w:val="clear" w:color="auto" w:fill="CCEEFF"/>
          </w:tcPr>
          <w:p>
            <w:pPr>
              <w:spacing w:after="0"/>
              <w:rPr>
                <w:sz w:val="10"/>
                <w:szCs w:val="10"/>
                <w:color w:val="auto"/>
              </w:rPr>
            </w:pPr>
          </w:p>
        </w:tc>
        <w:tc>
          <w:tcPr>
            <w:tcW w:w="180" w:type="dxa"/>
            <w:vAlign w:val="bottom"/>
            <w:tcBorders>
              <w:top w:val="single" w:sz="8" w:color="CCEEFF"/>
            </w:tcBorders>
            <w:shd w:val="clear" w:color="auto" w:fill="CCEEFF"/>
          </w:tcPr>
          <w:p>
            <w:pPr>
              <w:spacing w:after="0"/>
              <w:rPr>
                <w:sz w:val="10"/>
                <w:szCs w:val="10"/>
                <w:color w:val="auto"/>
              </w:rPr>
            </w:pPr>
          </w:p>
        </w:tc>
        <w:tc>
          <w:tcPr>
            <w:tcW w:w="60" w:type="dxa"/>
            <w:vAlign w:val="bottom"/>
            <w:tcBorders>
              <w:top w:val="single" w:sz="8" w:color="CCEEFF"/>
            </w:tcBorders>
            <w:shd w:val="clear" w:color="auto" w:fill="CCEEFF"/>
          </w:tcPr>
          <w:p>
            <w:pPr>
              <w:spacing w:after="0"/>
              <w:rPr>
                <w:sz w:val="10"/>
                <w:szCs w:val="10"/>
                <w:color w:val="auto"/>
              </w:rPr>
            </w:pPr>
          </w:p>
        </w:tc>
        <w:tc>
          <w:tcPr>
            <w:tcW w:w="100" w:type="dxa"/>
            <w:vAlign w:val="bottom"/>
            <w:tcBorders>
              <w:top w:val="single" w:sz="8" w:color="auto"/>
            </w:tcBorders>
            <w:shd w:val="clear" w:color="auto" w:fill="CCEEFF"/>
          </w:tcPr>
          <w:p>
            <w:pPr>
              <w:spacing w:after="0"/>
              <w:rPr>
                <w:sz w:val="10"/>
                <w:szCs w:val="10"/>
                <w:color w:val="auto"/>
              </w:rPr>
            </w:pPr>
          </w:p>
        </w:tc>
        <w:tc>
          <w:tcPr>
            <w:tcW w:w="460" w:type="dxa"/>
            <w:vAlign w:val="bottom"/>
            <w:tcBorders>
              <w:top w:val="single" w:sz="8" w:color="auto"/>
            </w:tcBorders>
            <w:shd w:val="clear" w:color="auto" w:fill="CCEEFF"/>
          </w:tcPr>
          <w:p>
            <w:pPr>
              <w:spacing w:after="0"/>
              <w:rPr>
                <w:sz w:val="10"/>
                <w:szCs w:val="10"/>
                <w:color w:val="auto"/>
              </w:rPr>
            </w:pPr>
          </w:p>
        </w:tc>
        <w:tc>
          <w:tcPr>
            <w:tcW w:w="200" w:type="dxa"/>
            <w:vAlign w:val="bottom"/>
            <w:tcBorders>
              <w:top w:val="single" w:sz="8" w:color="CCEEFF"/>
            </w:tcBorders>
            <w:shd w:val="clear" w:color="auto" w:fill="CCEEFF"/>
          </w:tcPr>
          <w:p>
            <w:pPr>
              <w:spacing w:after="0"/>
              <w:rPr>
                <w:sz w:val="10"/>
                <w:szCs w:val="10"/>
                <w:color w:val="auto"/>
              </w:rPr>
            </w:pPr>
          </w:p>
        </w:tc>
        <w:tc>
          <w:tcPr>
            <w:tcW w:w="120" w:type="dxa"/>
            <w:vAlign w:val="bottom"/>
            <w:tcBorders>
              <w:top w:val="single" w:sz="8" w:color="auto"/>
            </w:tcBorders>
            <w:shd w:val="clear" w:color="auto" w:fill="CCEEFF"/>
          </w:tcPr>
          <w:p>
            <w:pPr>
              <w:spacing w:after="0"/>
              <w:rPr>
                <w:sz w:val="10"/>
                <w:szCs w:val="10"/>
                <w:color w:val="auto"/>
              </w:rPr>
            </w:pPr>
          </w:p>
        </w:tc>
        <w:tc>
          <w:tcPr>
            <w:tcW w:w="440" w:type="dxa"/>
            <w:vAlign w:val="bottom"/>
            <w:tcBorders>
              <w:top w:val="single" w:sz="8" w:color="auto"/>
            </w:tcBorders>
            <w:shd w:val="clear" w:color="auto" w:fill="CCEEFF"/>
          </w:tcPr>
          <w:p>
            <w:pPr>
              <w:spacing w:after="0"/>
              <w:rPr>
                <w:sz w:val="10"/>
                <w:szCs w:val="10"/>
                <w:color w:val="auto"/>
              </w:rPr>
            </w:pPr>
          </w:p>
        </w:tc>
        <w:tc>
          <w:tcPr>
            <w:tcW w:w="200" w:type="dxa"/>
            <w:vAlign w:val="bottom"/>
            <w:tcBorders>
              <w:top w:val="single" w:sz="8" w:color="CCEEFF"/>
            </w:tcBorders>
            <w:shd w:val="clear" w:color="auto" w:fill="CCEEFF"/>
          </w:tcPr>
          <w:p>
            <w:pPr>
              <w:spacing w:after="0"/>
              <w:rPr>
                <w:sz w:val="10"/>
                <w:szCs w:val="10"/>
                <w:color w:val="auto"/>
              </w:rPr>
            </w:pPr>
          </w:p>
        </w:tc>
        <w:tc>
          <w:tcPr>
            <w:tcW w:w="40" w:type="dxa"/>
            <w:vAlign w:val="bottom"/>
            <w:tcBorders>
              <w:top w:val="single" w:sz="8" w:color="CCEEFF"/>
            </w:tcBorders>
            <w:shd w:val="clear" w:color="auto" w:fill="CCEEFF"/>
          </w:tcPr>
          <w:p>
            <w:pPr>
              <w:spacing w:after="0"/>
              <w:rPr>
                <w:sz w:val="10"/>
                <w:szCs w:val="10"/>
                <w:color w:val="auto"/>
              </w:rPr>
            </w:pPr>
          </w:p>
        </w:tc>
        <w:tc>
          <w:tcPr>
            <w:tcW w:w="100" w:type="dxa"/>
            <w:vAlign w:val="bottom"/>
            <w:tcBorders>
              <w:top w:val="single" w:sz="8" w:color="auto"/>
            </w:tcBorders>
            <w:shd w:val="clear" w:color="auto" w:fill="CCEEFF"/>
          </w:tcPr>
          <w:p>
            <w:pPr>
              <w:spacing w:after="0"/>
              <w:rPr>
                <w:sz w:val="10"/>
                <w:szCs w:val="10"/>
                <w:color w:val="auto"/>
              </w:rPr>
            </w:pPr>
          </w:p>
        </w:tc>
        <w:tc>
          <w:tcPr>
            <w:tcW w:w="460" w:type="dxa"/>
            <w:vAlign w:val="bottom"/>
            <w:tcBorders>
              <w:top w:val="single" w:sz="8" w:color="auto"/>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120" w:type="dxa"/>
            <w:vAlign w:val="bottom"/>
            <w:tcBorders>
              <w:top w:val="single" w:sz="8" w:color="auto"/>
            </w:tcBorders>
            <w:shd w:val="clear" w:color="auto" w:fill="CCEEFF"/>
          </w:tcPr>
          <w:p>
            <w:pPr>
              <w:spacing w:after="0"/>
              <w:rPr>
                <w:sz w:val="10"/>
                <w:szCs w:val="10"/>
                <w:color w:val="auto"/>
              </w:rPr>
            </w:pPr>
          </w:p>
        </w:tc>
        <w:tc>
          <w:tcPr>
            <w:tcW w:w="440" w:type="dxa"/>
            <w:vAlign w:val="bottom"/>
            <w:tcBorders>
              <w:top w:val="single" w:sz="8" w:color="auto"/>
            </w:tcBorders>
            <w:shd w:val="clear" w:color="auto" w:fill="CCEEFF"/>
          </w:tcPr>
          <w:p>
            <w:pPr>
              <w:spacing w:after="0"/>
              <w:rPr>
                <w:sz w:val="10"/>
                <w:szCs w:val="10"/>
                <w:color w:val="auto"/>
              </w:rPr>
            </w:pPr>
          </w:p>
        </w:tc>
        <w:tc>
          <w:tcPr>
            <w:tcW w:w="140" w:type="dxa"/>
            <w:vAlign w:val="bottom"/>
            <w:tcBorders>
              <w:top w:val="single" w:sz="8" w:color="CCEEFF"/>
            </w:tcBorders>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354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contract losses</w:t>
            </w: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b w:val="1"/>
                <w:bCs w:val="1"/>
                <w:color w:val="auto"/>
                <w:w w:val="71"/>
              </w:rPr>
              <w:t>$</w:t>
            </w: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b w:val="1"/>
                <w:bCs w:val="1"/>
                <w:color w:val="auto"/>
              </w:rPr>
              <w:t>3.3</w:t>
            </w:r>
          </w:p>
        </w:tc>
        <w:tc>
          <w:tcPr>
            <w:tcW w:w="120" w:type="dxa"/>
            <w:vAlign w:val="bottom"/>
            <w:shd w:val="clear" w:color="auto" w:fill="CCEEFF"/>
          </w:tcPr>
          <w:p>
            <w:pPr>
              <w:spacing w:after="0"/>
              <w:rPr>
                <w:sz w:val="16"/>
                <w:szCs w:val="16"/>
                <w:color w:val="auto"/>
              </w:rPr>
            </w:pPr>
          </w:p>
        </w:tc>
        <w:tc>
          <w:tcPr>
            <w:tcW w:w="720" w:type="dxa"/>
            <w:vAlign w:val="bottom"/>
            <w:gridSpan w:val="2"/>
            <w:shd w:val="clear" w:color="auto" w:fill="CCEEFF"/>
          </w:tcPr>
          <w:p>
            <w:pPr>
              <w:jc w:val="right"/>
              <w:ind w:right="56"/>
              <w:spacing w:after="0"/>
              <w:rPr>
                <w:sz w:val="20"/>
                <w:szCs w:val="20"/>
                <w:color w:val="auto"/>
              </w:rPr>
            </w:pPr>
            <w:r>
              <w:rPr>
                <w:rFonts w:ascii="Arial" w:cs="Arial" w:eastAsia="Arial" w:hAnsi="Arial"/>
                <w:sz w:val="13"/>
                <w:szCs w:val="13"/>
                <w:b w:val="1"/>
                <w:bCs w:val="1"/>
                <w:color w:val="auto"/>
              </w:rPr>
              <w:t>100.0%</w:t>
            </w:r>
          </w:p>
        </w:tc>
        <w:tc>
          <w:tcPr>
            <w:tcW w:w="120" w:type="dxa"/>
            <w:vAlign w:val="bottom"/>
            <w:shd w:val="clear" w:color="auto" w:fill="CCEEFF"/>
          </w:tcPr>
          <w:p>
            <w:pPr>
              <w:jc w:val="right"/>
              <w:ind w:right="12"/>
              <w:spacing w:after="0"/>
              <w:rPr>
                <w:sz w:val="20"/>
                <w:szCs w:val="20"/>
                <w:color w:val="auto"/>
              </w:rPr>
            </w:pPr>
            <w:r>
              <w:rPr>
                <w:rFonts w:ascii="Arial" w:cs="Arial" w:eastAsia="Arial" w:hAnsi="Arial"/>
                <w:sz w:val="10"/>
                <w:szCs w:val="10"/>
                <w:b w:val="1"/>
                <w:bCs w:val="1"/>
                <w:color w:val="auto"/>
                <w:w w:val="71"/>
              </w:rPr>
              <w:t>$</w:t>
            </w:r>
          </w:p>
        </w:tc>
        <w:tc>
          <w:tcPr>
            <w:tcW w:w="7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b w:val="1"/>
                <w:bCs w:val="1"/>
                <w:color w:val="auto"/>
              </w:rPr>
              <w:t>6.8</w:t>
            </w:r>
          </w:p>
        </w:tc>
        <w:tc>
          <w:tcPr>
            <w:tcW w:w="120" w:type="dxa"/>
            <w:vAlign w:val="bottom"/>
            <w:shd w:val="clear" w:color="auto" w:fill="CCEEFF"/>
          </w:tcPr>
          <w:p>
            <w:pPr>
              <w:spacing w:after="0"/>
              <w:rPr>
                <w:sz w:val="16"/>
                <w:szCs w:val="16"/>
                <w:color w:val="auto"/>
              </w:rPr>
            </w:pPr>
          </w:p>
        </w:tc>
        <w:tc>
          <w:tcPr>
            <w:tcW w:w="720" w:type="dxa"/>
            <w:vAlign w:val="bottom"/>
            <w:gridSpan w:val="2"/>
            <w:shd w:val="clear" w:color="auto" w:fill="CCEEFF"/>
          </w:tcPr>
          <w:p>
            <w:pPr>
              <w:jc w:val="right"/>
              <w:ind w:right="76"/>
              <w:spacing w:after="0"/>
              <w:rPr>
                <w:sz w:val="20"/>
                <w:szCs w:val="20"/>
                <w:color w:val="auto"/>
              </w:rPr>
            </w:pPr>
            <w:r>
              <w:rPr>
                <w:rFonts w:ascii="Arial" w:cs="Arial" w:eastAsia="Arial" w:hAnsi="Arial"/>
                <w:sz w:val="13"/>
                <w:szCs w:val="13"/>
                <w:b w:val="1"/>
                <w:bCs w:val="1"/>
                <w:color w:val="auto"/>
              </w:rPr>
              <w:t>100.0%</w:t>
            </w:r>
          </w:p>
        </w:tc>
        <w:tc>
          <w:tcPr>
            <w:tcW w:w="60" w:type="dxa"/>
            <w:vAlign w:val="bottom"/>
            <w:shd w:val="clear" w:color="auto" w:fill="CCEEFF"/>
          </w:tcPr>
          <w:p>
            <w:pPr>
              <w:jc w:val="right"/>
              <w:spacing w:after="0"/>
              <w:rPr>
                <w:sz w:val="20"/>
                <w:szCs w:val="20"/>
                <w:color w:val="auto"/>
              </w:rPr>
            </w:pPr>
            <w:r>
              <w:rPr>
                <w:rFonts w:ascii="Arial" w:cs="Arial" w:eastAsia="Arial" w:hAnsi="Arial"/>
                <w:sz w:val="10"/>
                <w:szCs w:val="10"/>
                <w:b w:val="1"/>
                <w:bCs w:val="1"/>
                <w:color w:val="auto"/>
                <w:w w:val="71"/>
              </w:rPr>
              <w:t>$</w:t>
            </w:r>
          </w:p>
        </w:tc>
        <w:tc>
          <w:tcPr>
            <w:tcW w:w="7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b w:val="1"/>
                <w:bCs w:val="1"/>
                <w:color w:val="auto"/>
              </w:rPr>
              <w:t>5.8</w:t>
            </w:r>
          </w:p>
        </w:tc>
        <w:tc>
          <w:tcPr>
            <w:tcW w:w="120" w:type="dxa"/>
            <w:vAlign w:val="bottom"/>
            <w:shd w:val="clear" w:color="auto" w:fill="CCEEFF"/>
          </w:tcPr>
          <w:p>
            <w:pPr>
              <w:spacing w:after="0"/>
              <w:rPr>
                <w:sz w:val="16"/>
                <w:szCs w:val="16"/>
                <w:color w:val="auto"/>
              </w:rPr>
            </w:pP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3"/>
                <w:szCs w:val="13"/>
                <w:b w:val="1"/>
                <w:bCs w:val="1"/>
                <w:color w:val="auto"/>
              </w:rPr>
              <w:t>100.0%</w:t>
            </w:r>
          </w:p>
        </w:tc>
        <w:tc>
          <w:tcPr>
            <w:tcW w:w="160" w:type="dxa"/>
            <w:vAlign w:val="bottom"/>
            <w:gridSpan w:val="2"/>
            <w:shd w:val="clear" w:color="auto" w:fill="CCEEFF"/>
          </w:tcPr>
          <w:p>
            <w:pPr>
              <w:jc w:val="right"/>
              <w:spacing w:after="0"/>
              <w:rPr>
                <w:sz w:val="20"/>
                <w:szCs w:val="20"/>
                <w:color w:val="auto"/>
              </w:rPr>
            </w:pPr>
            <w:r>
              <w:rPr>
                <w:rFonts w:ascii="Arial" w:cs="Arial" w:eastAsia="Arial" w:hAnsi="Arial"/>
                <w:sz w:val="13"/>
                <w:szCs w:val="13"/>
                <w:b w:val="1"/>
                <w:bCs w:val="1"/>
                <w:color w:val="auto"/>
              </w:rPr>
              <w:t>$</w:t>
            </w:r>
          </w:p>
        </w:tc>
        <w:tc>
          <w:tcPr>
            <w:tcW w:w="6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b w:val="1"/>
                <w:bCs w:val="1"/>
                <w:color w:val="auto"/>
              </w:rPr>
              <w:t>5.4</w:t>
            </w:r>
          </w:p>
        </w:tc>
        <w:tc>
          <w:tcPr>
            <w:tcW w:w="120" w:type="dxa"/>
            <w:vAlign w:val="bottom"/>
            <w:shd w:val="clear" w:color="auto" w:fill="CCEEFF"/>
          </w:tcPr>
          <w:p>
            <w:pPr>
              <w:spacing w:after="0"/>
              <w:rPr>
                <w:sz w:val="16"/>
                <w:szCs w:val="16"/>
                <w:color w:val="auto"/>
              </w:rPr>
            </w:pPr>
          </w:p>
        </w:tc>
        <w:tc>
          <w:tcPr>
            <w:tcW w:w="640" w:type="dxa"/>
            <w:vAlign w:val="bottom"/>
            <w:gridSpan w:val="2"/>
            <w:shd w:val="clear" w:color="auto" w:fill="CCEEFF"/>
          </w:tcPr>
          <w:p>
            <w:pPr>
              <w:jc w:val="right"/>
              <w:spacing w:after="0"/>
              <w:rPr>
                <w:sz w:val="20"/>
                <w:szCs w:val="20"/>
                <w:color w:val="auto"/>
              </w:rPr>
            </w:pPr>
            <w:r>
              <w:rPr>
                <w:rFonts w:ascii="Arial" w:cs="Arial" w:eastAsia="Arial" w:hAnsi="Arial"/>
                <w:sz w:val="13"/>
                <w:szCs w:val="13"/>
                <w:b w:val="1"/>
                <w:bCs w:val="1"/>
                <w:color w:val="auto"/>
              </w:rPr>
              <w:t>100.0%</w:t>
            </w:r>
          </w:p>
        </w:tc>
        <w:tc>
          <w:tcPr>
            <w:tcW w:w="140" w:type="dxa"/>
            <w:vAlign w:val="bottom"/>
            <w:gridSpan w:val="2"/>
            <w:shd w:val="clear" w:color="auto" w:fill="CCEEFF"/>
          </w:tcPr>
          <w:p>
            <w:pPr>
              <w:jc w:val="right"/>
              <w:spacing w:after="0"/>
              <w:rPr>
                <w:sz w:val="20"/>
                <w:szCs w:val="20"/>
                <w:color w:val="auto"/>
              </w:rPr>
            </w:pPr>
            <w:r>
              <w:rPr>
                <w:rFonts w:ascii="Arial" w:cs="Arial" w:eastAsia="Arial" w:hAnsi="Arial"/>
                <w:sz w:val="13"/>
                <w:szCs w:val="13"/>
                <w:b w:val="1"/>
                <w:bCs w:val="1"/>
                <w:color w:val="auto"/>
              </w:rPr>
              <w:t>$</w:t>
            </w: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b w:val="1"/>
                <w:bCs w:val="1"/>
                <w:color w:val="auto"/>
              </w:rPr>
              <w:t>9.9</w:t>
            </w:r>
          </w:p>
        </w:tc>
        <w:tc>
          <w:tcPr>
            <w:tcW w:w="120" w:type="dxa"/>
            <w:vAlign w:val="bottom"/>
            <w:shd w:val="clear" w:color="auto" w:fill="CCEEFF"/>
          </w:tcPr>
          <w:p>
            <w:pPr>
              <w:spacing w:after="0"/>
              <w:rPr>
                <w:sz w:val="16"/>
                <w:szCs w:val="16"/>
                <w:color w:val="auto"/>
              </w:rPr>
            </w:pPr>
          </w:p>
        </w:tc>
        <w:tc>
          <w:tcPr>
            <w:tcW w:w="580" w:type="dxa"/>
            <w:vAlign w:val="bottom"/>
            <w:gridSpan w:val="2"/>
            <w:shd w:val="clear" w:color="auto" w:fill="CCEEFF"/>
          </w:tcPr>
          <w:p>
            <w:pPr>
              <w:jc w:val="right"/>
              <w:spacing w:after="0"/>
              <w:rPr>
                <w:sz w:val="20"/>
                <w:szCs w:val="20"/>
                <w:color w:val="auto"/>
              </w:rPr>
            </w:pPr>
            <w:r>
              <w:rPr>
                <w:rFonts w:ascii="Arial" w:cs="Arial" w:eastAsia="Arial" w:hAnsi="Arial"/>
                <w:sz w:val="13"/>
                <w:szCs w:val="13"/>
                <w:b w:val="1"/>
                <w:bCs w:val="1"/>
                <w:color w:val="auto"/>
              </w:rPr>
              <w:t>100.0%</w:t>
            </w:r>
          </w:p>
        </w:tc>
        <w:tc>
          <w:tcPr>
            <w:tcW w:w="0" w:type="dxa"/>
            <w:vAlign w:val="bottom"/>
          </w:tcPr>
          <w:p>
            <w:pPr>
              <w:spacing w:after="0"/>
              <w:rPr>
                <w:sz w:val="1"/>
                <w:szCs w:val="1"/>
                <w:color w:val="auto"/>
              </w:rPr>
            </w:pPr>
          </w:p>
        </w:tc>
      </w:tr>
      <w:tr>
        <w:trPr>
          <w:trHeight w:val="135"/>
        </w:trPr>
        <w:tc>
          <w:tcPr>
            <w:tcW w:w="20" w:type="dxa"/>
            <w:vAlign w:val="bottom"/>
            <w:vMerge w:val="restart"/>
          </w:tcPr>
          <w:p>
            <w:pPr>
              <w:spacing w:after="0"/>
              <w:rPr>
                <w:sz w:val="11"/>
                <w:szCs w:val="11"/>
                <w:color w:val="auto"/>
              </w:rPr>
            </w:pPr>
          </w:p>
        </w:tc>
        <w:tc>
          <w:tcPr>
            <w:tcW w:w="3540" w:type="dxa"/>
            <w:vAlign w:val="bottom"/>
            <w:tcBorders>
              <w:top w:val="single" w:sz="8" w:color="CCEEFF"/>
            </w:tcBorders>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480" w:type="dxa"/>
            <w:vAlign w:val="bottom"/>
            <w:tcBorders>
              <w:top w:val="single" w:sz="8" w:color="auto"/>
            </w:tcBorders>
          </w:tcPr>
          <w:p>
            <w:pPr>
              <w:spacing w:after="0"/>
              <w:rPr>
                <w:sz w:val="11"/>
                <w:szCs w:val="11"/>
                <w:color w:val="auto"/>
              </w:rPr>
            </w:pPr>
          </w:p>
        </w:tc>
        <w:tc>
          <w:tcPr>
            <w:tcW w:w="220" w:type="dxa"/>
            <w:vAlign w:val="bottom"/>
            <w:tcBorders>
              <w:top w:val="single" w:sz="8" w:color="CCEEFF"/>
            </w:tcBorders>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460" w:type="dxa"/>
            <w:vAlign w:val="bottom"/>
            <w:tcBorders>
              <w:top w:val="single" w:sz="8" w:color="auto"/>
            </w:tcBorders>
          </w:tcPr>
          <w:p>
            <w:pPr>
              <w:spacing w:after="0"/>
              <w:rPr>
                <w:sz w:val="11"/>
                <w:szCs w:val="11"/>
                <w:color w:val="auto"/>
              </w:rPr>
            </w:pPr>
          </w:p>
        </w:tc>
        <w:tc>
          <w:tcPr>
            <w:tcW w:w="260" w:type="dxa"/>
            <w:vAlign w:val="bottom"/>
            <w:tcBorders>
              <w:top w:val="single" w:sz="8" w:color="CCEEFF"/>
            </w:tcBorders>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460" w:type="dxa"/>
            <w:vAlign w:val="bottom"/>
            <w:tcBorders>
              <w:top w:val="single" w:sz="8" w:color="auto"/>
            </w:tcBorders>
          </w:tcPr>
          <w:p>
            <w:pPr>
              <w:spacing w:after="0"/>
              <w:rPr>
                <w:sz w:val="11"/>
                <w:szCs w:val="11"/>
                <w:color w:val="auto"/>
              </w:rPr>
            </w:pPr>
          </w:p>
        </w:tc>
        <w:tc>
          <w:tcPr>
            <w:tcW w:w="240" w:type="dxa"/>
            <w:vAlign w:val="bottom"/>
            <w:tcBorders>
              <w:top w:val="single" w:sz="8" w:color="CCEEFF"/>
            </w:tcBorders>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460" w:type="dxa"/>
            <w:vAlign w:val="bottom"/>
            <w:tcBorders>
              <w:top w:val="single" w:sz="8" w:color="auto"/>
            </w:tcBorders>
          </w:tcPr>
          <w:p>
            <w:pPr>
              <w:spacing w:after="0"/>
              <w:rPr>
                <w:sz w:val="11"/>
                <w:szCs w:val="11"/>
                <w:color w:val="auto"/>
              </w:rPr>
            </w:pPr>
          </w:p>
        </w:tc>
        <w:tc>
          <w:tcPr>
            <w:tcW w:w="260" w:type="dxa"/>
            <w:vAlign w:val="bottom"/>
            <w:tcBorders>
              <w:top w:val="single" w:sz="8" w:color="CCEEFF"/>
            </w:tcBorders>
          </w:tcPr>
          <w:p>
            <w:pPr>
              <w:spacing w:after="0"/>
              <w:rPr>
                <w:sz w:val="11"/>
                <w:szCs w:val="11"/>
                <w:color w:val="auto"/>
              </w:rPr>
            </w:pPr>
          </w:p>
        </w:tc>
        <w:tc>
          <w:tcPr>
            <w:tcW w:w="60" w:type="dxa"/>
            <w:vAlign w:val="bottom"/>
            <w:tcBorders>
              <w:top w:val="single" w:sz="8" w:color="auto"/>
            </w:tcBorders>
          </w:tcPr>
          <w:p>
            <w:pPr>
              <w:spacing w:after="0"/>
              <w:rPr>
                <w:sz w:val="11"/>
                <w:szCs w:val="11"/>
                <w:color w:val="auto"/>
              </w:rPr>
            </w:pPr>
          </w:p>
        </w:tc>
        <w:tc>
          <w:tcPr>
            <w:tcW w:w="500" w:type="dxa"/>
            <w:vAlign w:val="bottom"/>
            <w:tcBorders>
              <w:top w:val="single" w:sz="8" w:color="auto"/>
            </w:tcBorders>
          </w:tcPr>
          <w:p>
            <w:pPr>
              <w:spacing w:after="0"/>
              <w:rPr>
                <w:sz w:val="11"/>
                <w:szCs w:val="11"/>
                <w:color w:val="auto"/>
              </w:rPr>
            </w:pPr>
          </w:p>
        </w:tc>
        <w:tc>
          <w:tcPr>
            <w:tcW w:w="220" w:type="dxa"/>
            <w:vAlign w:val="bottom"/>
            <w:tcBorders>
              <w:top w:val="single" w:sz="8" w:color="CCEEFF"/>
            </w:tcBorders>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440" w:type="dxa"/>
            <w:vAlign w:val="bottom"/>
            <w:tcBorders>
              <w:top w:val="single" w:sz="8" w:color="auto"/>
            </w:tcBorders>
          </w:tcPr>
          <w:p>
            <w:pPr>
              <w:spacing w:after="0"/>
              <w:rPr>
                <w:sz w:val="11"/>
                <w:szCs w:val="11"/>
                <w:color w:val="auto"/>
              </w:rPr>
            </w:pPr>
          </w:p>
        </w:tc>
        <w:tc>
          <w:tcPr>
            <w:tcW w:w="180" w:type="dxa"/>
            <w:vAlign w:val="bottom"/>
            <w:tcBorders>
              <w:top w:val="single" w:sz="8" w:color="CCEEFF"/>
            </w:tcBorders>
          </w:tcPr>
          <w:p>
            <w:pPr>
              <w:spacing w:after="0"/>
              <w:rPr>
                <w:sz w:val="11"/>
                <w:szCs w:val="11"/>
                <w:color w:val="auto"/>
              </w:rPr>
            </w:pPr>
          </w:p>
        </w:tc>
        <w:tc>
          <w:tcPr>
            <w:tcW w:w="60" w:type="dxa"/>
            <w:vAlign w:val="bottom"/>
            <w:tcBorders>
              <w:top w:val="single" w:sz="8" w:color="CCEEFF"/>
            </w:tcBorders>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460" w:type="dxa"/>
            <w:vAlign w:val="bottom"/>
            <w:tcBorders>
              <w:top w:val="single" w:sz="8" w:color="auto"/>
            </w:tcBorders>
          </w:tcPr>
          <w:p>
            <w:pPr>
              <w:spacing w:after="0"/>
              <w:rPr>
                <w:sz w:val="11"/>
                <w:szCs w:val="11"/>
                <w:color w:val="auto"/>
              </w:rPr>
            </w:pPr>
          </w:p>
        </w:tc>
        <w:tc>
          <w:tcPr>
            <w:tcW w:w="200" w:type="dxa"/>
            <w:vAlign w:val="bottom"/>
            <w:tcBorders>
              <w:top w:val="single" w:sz="8" w:color="CCEEFF"/>
            </w:tcBorders>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440" w:type="dxa"/>
            <w:vAlign w:val="bottom"/>
            <w:tcBorders>
              <w:top w:val="single" w:sz="8" w:color="auto"/>
            </w:tcBorders>
          </w:tcPr>
          <w:p>
            <w:pPr>
              <w:spacing w:after="0"/>
              <w:rPr>
                <w:sz w:val="11"/>
                <w:szCs w:val="11"/>
                <w:color w:val="auto"/>
              </w:rPr>
            </w:pPr>
          </w:p>
        </w:tc>
        <w:tc>
          <w:tcPr>
            <w:tcW w:w="200" w:type="dxa"/>
            <w:vAlign w:val="bottom"/>
            <w:tcBorders>
              <w:top w:val="single" w:sz="8" w:color="CCEEFF"/>
            </w:tcBorders>
          </w:tcPr>
          <w:p>
            <w:pPr>
              <w:spacing w:after="0"/>
              <w:rPr>
                <w:sz w:val="11"/>
                <w:szCs w:val="11"/>
                <w:color w:val="auto"/>
              </w:rPr>
            </w:pPr>
          </w:p>
        </w:tc>
        <w:tc>
          <w:tcPr>
            <w:tcW w:w="40" w:type="dxa"/>
            <w:vAlign w:val="bottom"/>
            <w:tcBorders>
              <w:top w:val="single" w:sz="8" w:color="CCEEFF"/>
            </w:tcBorders>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460" w:type="dxa"/>
            <w:vAlign w:val="bottom"/>
            <w:tcBorders>
              <w:top w:val="single" w:sz="8" w:color="auto"/>
            </w:tcBorders>
          </w:tcPr>
          <w:p>
            <w:pPr>
              <w:spacing w:after="0"/>
              <w:rPr>
                <w:sz w:val="11"/>
                <w:szCs w:val="11"/>
                <w:color w:val="auto"/>
              </w:rPr>
            </w:pPr>
          </w:p>
        </w:tc>
        <w:tc>
          <w:tcPr>
            <w:tcW w:w="220" w:type="dxa"/>
            <w:vAlign w:val="bottom"/>
            <w:tcBorders>
              <w:top w:val="single" w:sz="8" w:color="CCEEFF"/>
            </w:tcBorders>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440" w:type="dxa"/>
            <w:vAlign w:val="bottom"/>
            <w:tcBorders>
              <w:top w:val="single" w:sz="8" w:color="auto"/>
            </w:tcBorders>
          </w:tcPr>
          <w:p>
            <w:pPr>
              <w:spacing w:after="0"/>
              <w:rPr>
                <w:sz w:val="11"/>
                <w:szCs w:val="11"/>
                <w:color w:val="auto"/>
              </w:rPr>
            </w:pPr>
          </w:p>
        </w:tc>
        <w:tc>
          <w:tcPr>
            <w:tcW w:w="140" w:type="dxa"/>
            <w:vAlign w:val="bottom"/>
            <w:tcBorders>
              <w:top w:val="single" w:sz="8" w:color="CCEEFF"/>
            </w:tcBorders>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354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Total allowance for credit losses</w:t>
            </w:r>
          </w:p>
        </w:tc>
        <w:tc>
          <w:tcPr>
            <w:tcW w:w="100" w:type="dxa"/>
            <w:vAlign w:val="bottom"/>
            <w:shd w:val="clear" w:color="auto" w:fill="CCEEFF"/>
          </w:tcPr>
          <w:p>
            <w:pPr>
              <w:spacing w:after="0"/>
              <w:rPr>
                <w:sz w:val="13"/>
                <w:szCs w:val="13"/>
                <w:color w:val="auto"/>
              </w:rPr>
            </w:pPr>
          </w:p>
        </w:tc>
        <w:tc>
          <w:tcPr>
            <w:tcW w:w="4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46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4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46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5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46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4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44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540" w:type="dxa"/>
            <w:vAlign w:val="bottom"/>
          </w:tcPr>
          <w:p>
            <w:pPr>
              <w:ind w:left="160"/>
              <w:spacing w:after="0"/>
              <w:rPr>
                <w:sz w:val="20"/>
                <w:szCs w:val="20"/>
                <w:color w:val="auto"/>
              </w:rPr>
            </w:pPr>
            <w:r>
              <w:rPr>
                <w:rFonts w:ascii="Arial" w:cs="Arial" w:eastAsia="Arial" w:hAnsi="Arial"/>
                <w:sz w:val="13"/>
                <w:szCs w:val="13"/>
                <w:color w:val="auto"/>
              </w:rPr>
              <w:t>Argentina</w:t>
            </w:r>
          </w:p>
        </w:tc>
        <w:tc>
          <w:tcPr>
            <w:tcW w:w="10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12.2</w:t>
            </w:r>
          </w:p>
        </w:tc>
        <w:tc>
          <w:tcPr>
            <w:tcW w:w="120" w:type="dxa"/>
            <w:vAlign w:val="bottom"/>
          </w:tcPr>
          <w:p>
            <w:pPr>
              <w:spacing w:after="0"/>
              <w:rPr>
                <w:sz w:val="13"/>
                <w:szCs w:val="13"/>
                <w:color w:val="auto"/>
              </w:rPr>
            </w:pPr>
          </w:p>
        </w:tc>
        <w:tc>
          <w:tcPr>
            <w:tcW w:w="720" w:type="dxa"/>
            <w:vAlign w:val="bottom"/>
            <w:gridSpan w:val="2"/>
          </w:tcPr>
          <w:p>
            <w:pPr>
              <w:jc w:val="right"/>
              <w:ind w:right="196"/>
              <w:spacing w:after="0"/>
              <w:rPr>
                <w:sz w:val="20"/>
                <w:szCs w:val="20"/>
                <w:color w:val="auto"/>
              </w:rPr>
            </w:pPr>
            <w:r>
              <w:rPr>
                <w:rFonts w:ascii="Arial" w:cs="Arial" w:eastAsia="Arial" w:hAnsi="Arial"/>
                <w:sz w:val="13"/>
                <w:szCs w:val="13"/>
                <w:color w:val="auto"/>
              </w:rPr>
              <w:t>11.7</w:t>
            </w:r>
          </w:p>
        </w:tc>
        <w:tc>
          <w:tcPr>
            <w:tcW w:w="120" w:type="dxa"/>
            <w:vAlign w:val="bottom"/>
          </w:tcPr>
          <w:p>
            <w:pPr>
              <w:jc w:val="right"/>
              <w:ind w:right="12"/>
              <w:spacing w:after="0"/>
              <w:rPr>
                <w:sz w:val="20"/>
                <w:szCs w:val="20"/>
                <w:color w:val="auto"/>
              </w:rPr>
            </w:pPr>
            <w:r>
              <w:rPr>
                <w:rFonts w:ascii="Arial" w:cs="Arial" w:eastAsia="Arial" w:hAnsi="Arial"/>
                <w:sz w:val="10"/>
                <w:szCs w:val="10"/>
                <w:color w:val="auto"/>
                <w:w w:val="71"/>
              </w:rPr>
              <w:t>$</w:t>
            </w:r>
          </w:p>
        </w:tc>
        <w:tc>
          <w:tcPr>
            <w:tcW w:w="700" w:type="dxa"/>
            <w:vAlign w:val="bottom"/>
            <w:gridSpan w:val="2"/>
          </w:tcPr>
          <w:p>
            <w:pPr>
              <w:jc w:val="right"/>
              <w:ind w:right="240"/>
              <w:spacing w:after="0"/>
              <w:rPr>
                <w:sz w:val="20"/>
                <w:szCs w:val="20"/>
                <w:color w:val="auto"/>
              </w:rPr>
            </w:pPr>
            <w:r>
              <w:rPr>
                <w:rFonts w:ascii="Arial" w:cs="Arial" w:eastAsia="Arial" w:hAnsi="Arial"/>
                <w:sz w:val="13"/>
                <w:szCs w:val="13"/>
                <w:color w:val="auto"/>
              </w:rPr>
              <w:t>5.0</w:t>
            </w:r>
          </w:p>
        </w:tc>
        <w:tc>
          <w:tcPr>
            <w:tcW w:w="120" w:type="dxa"/>
            <w:vAlign w:val="bottom"/>
          </w:tcPr>
          <w:p>
            <w:pPr>
              <w:spacing w:after="0"/>
              <w:rPr>
                <w:sz w:val="13"/>
                <w:szCs w:val="13"/>
                <w:color w:val="auto"/>
              </w:rPr>
            </w:pPr>
          </w:p>
        </w:tc>
        <w:tc>
          <w:tcPr>
            <w:tcW w:w="720" w:type="dxa"/>
            <w:vAlign w:val="bottom"/>
            <w:gridSpan w:val="2"/>
          </w:tcPr>
          <w:p>
            <w:pPr>
              <w:jc w:val="right"/>
              <w:ind w:right="196"/>
              <w:spacing w:after="0"/>
              <w:rPr>
                <w:sz w:val="20"/>
                <w:szCs w:val="20"/>
                <w:color w:val="auto"/>
              </w:rPr>
            </w:pPr>
            <w:r>
              <w:rPr>
                <w:rFonts w:ascii="Arial" w:cs="Arial" w:eastAsia="Arial" w:hAnsi="Arial"/>
                <w:sz w:val="13"/>
                <w:szCs w:val="13"/>
                <w:color w:val="auto"/>
              </w:rPr>
              <w:t>5.7</w:t>
            </w:r>
          </w:p>
        </w:tc>
        <w:tc>
          <w:tcPr>
            <w:tcW w:w="6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720" w:type="dxa"/>
            <w:vAlign w:val="bottom"/>
            <w:gridSpan w:val="2"/>
          </w:tcPr>
          <w:p>
            <w:pPr>
              <w:jc w:val="right"/>
              <w:ind w:right="220"/>
              <w:spacing w:after="0"/>
              <w:rPr>
                <w:sz w:val="20"/>
                <w:szCs w:val="20"/>
                <w:color w:val="auto"/>
              </w:rPr>
            </w:pPr>
            <w:r>
              <w:rPr>
                <w:rFonts w:ascii="Arial" w:cs="Arial" w:eastAsia="Arial" w:hAnsi="Arial"/>
                <w:sz w:val="13"/>
                <w:szCs w:val="13"/>
                <w:color w:val="auto"/>
              </w:rPr>
              <w:t>7.3</w:t>
            </w:r>
          </w:p>
        </w:tc>
        <w:tc>
          <w:tcPr>
            <w:tcW w:w="1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6.5</w:t>
            </w:r>
          </w:p>
        </w:tc>
        <w:tc>
          <w:tcPr>
            <w:tcW w:w="180" w:type="dxa"/>
            <w:vAlign w:val="bottom"/>
          </w:tcPr>
          <w:p>
            <w:pPr>
              <w:spacing w:after="0"/>
              <w:rPr>
                <w:sz w:val="13"/>
                <w:szCs w:val="13"/>
                <w:color w:val="auto"/>
              </w:rPr>
            </w:pPr>
          </w:p>
        </w:tc>
        <w:tc>
          <w:tcPr>
            <w:tcW w:w="16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660" w:type="dxa"/>
            <w:vAlign w:val="bottom"/>
            <w:gridSpan w:val="2"/>
          </w:tcPr>
          <w:p>
            <w:pPr>
              <w:jc w:val="right"/>
              <w:ind w:right="200"/>
              <w:spacing w:after="0"/>
              <w:rPr>
                <w:sz w:val="20"/>
                <w:szCs w:val="20"/>
                <w:color w:val="auto"/>
              </w:rPr>
            </w:pPr>
            <w:r>
              <w:rPr>
                <w:rFonts w:ascii="Arial" w:cs="Arial" w:eastAsia="Arial" w:hAnsi="Arial"/>
                <w:sz w:val="13"/>
                <w:szCs w:val="13"/>
                <w:color w:val="auto"/>
              </w:rPr>
              <w:t>15.5</w:t>
            </w:r>
          </w:p>
        </w:tc>
        <w:tc>
          <w:tcPr>
            <w:tcW w:w="120" w:type="dxa"/>
            <w:vAlign w:val="bottom"/>
          </w:tcPr>
          <w:p>
            <w:pPr>
              <w:spacing w:after="0"/>
              <w:rPr>
                <w:sz w:val="13"/>
                <w:szCs w:val="13"/>
                <w:color w:val="auto"/>
              </w:rPr>
            </w:pPr>
          </w:p>
        </w:tc>
        <w:tc>
          <w:tcPr>
            <w:tcW w:w="640" w:type="dxa"/>
            <w:vAlign w:val="bottom"/>
            <w:gridSpan w:val="2"/>
          </w:tcPr>
          <w:p>
            <w:pPr>
              <w:jc w:val="right"/>
              <w:ind w:right="136"/>
              <w:spacing w:after="0"/>
              <w:rPr>
                <w:sz w:val="20"/>
                <w:szCs w:val="20"/>
                <w:color w:val="auto"/>
              </w:rPr>
            </w:pPr>
            <w:r>
              <w:rPr>
                <w:rFonts w:ascii="Arial" w:cs="Arial" w:eastAsia="Arial" w:hAnsi="Arial"/>
                <w:sz w:val="13"/>
                <w:szCs w:val="13"/>
                <w:color w:val="auto"/>
              </w:rPr>
              <w:t>16.3</w:t>
            </w:r>
          </w:p>
        </w:tc>
        <w:tc>
          <w:tcPr>
            <w:tcW w:w="14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680" w:type="dxa"/>
            <w:vAlign w:val="bottom"/>
            <w:gridSpan w:val="2"/>
          </w:tcPr>
          <w:p>
            <w:pPr>
              <w:jc w:val="right"/>
              <w:ind w:right="220"/>
              <w:spacing w:after="0"/>
              <w:rPr>
                <w:sz w:val="20"/>
                <w:szCs w:val="20"/>
                <w:color w:val="auto"/>
              </w:rPr>
            </w:pPr>
            <w:r>
              <w:rPr>
                <w:rFonts w:ascii="Arial" w:cs="Arial" w:eastAsia="Arial" w:hAnsi="Arial"/>
                <w:sz w:val="13"/>
                <w:szCs w:val="13"/>
                <w:color w:val="auto"/>
              </w:rPr>
              <w:t>17.9</w:t>
            </w:r>
          </w:p>
        </w:tc>
        <w:tc>
          <w:tcPr>
            <w:tcW w:w="120" w:type="dxa"/>
            <w:vAlign w:val="bottom"/>
          </w:tcPr>
          <w:p>
            <w:pPr>
              <w:spacing w:after="0"/>
              <w:rPr>
                <w:sz w:val="13"/>
                <w:szCs w:val="13"/>
                <w:color w:val="auto"/>
              </w:rPr>
            </w:pPr>
          </w:p>
        </w:tc>
        <w:tc>
          <w:tcPr>
            <w:tcW w:w="580" w:type="dxa"/>
            <w:vAlign w:val="bottom"/>
            <w:gridSpan w:val="2"/>
          </w:tcPr>
          <w:p>
            <w:pPr>
              <w:jc w:val="right"/>
              <w:ind w:right="76"/>
              <w:spacing w:after="0"/>
              <w:rPr>
                <w:sz w:val="20"/>
                <w:szCs w:val="20"/>
                <w:color w:val="auto"/>
              </w:rPr>
            </w:pPr>
            <w:r>
              <w:rPr>
                <w:rFonts w:ascii="Arial" w:cs="Arial" w:eastAsia="Arial" w:hAnsi="Arial"/>
                <w:sz w:val="13"/>
                <w:szCs w:val="13"/>
                <w:color w:val="auto"/>
              </w:rPr>
              <w:t>20.4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540" w:type="dxa"/>
            <w:vAlign w:val="bottom"/>
            <w:shd w:val="clear" w:color="auto" w:fill="CCEEFF"/>
          </w:tcPr>
          <w:p>
            <w:pPr>
              <w:ind w:left="160"/>
              <w:spacing w:after="0"/>
              <w:rPr>
                <w:sz w:val="20"/>
                <w:szCs w:val="20"/>
                <w:color w:val="auto"/>
              </w:rPr>
            </w:pPr>
            <w:r>
              <w:rPr>
                <w:rFonts w:ascii="Arial" w:cs="Arial" w:eastAsia="Arial" w:hAnsi="Arial"/>
                <w:sz w:val="13"/>
                <w:szCs w:val="13"/>
                <w:color w:val="auto"/>
              </w:rPr>
              <w:t>Brazil</w:t>
            </w:r>
          </w:p>
        </w:tc>
        <w:tc>
          <w:tcPr>
            <w:tcW w:w="10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57.3</w:t>
            </w:r>
          </w:p>
        </w:tc>
        <w:tc>
          <w:tcPr>
            <w:tcW w:w="1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96"/>
              <w:spacing w:after="0"/>
              <w:rPr>
                <w:sz w:val="20"/>
                <w:szCs w:val="20"/>
                <w:color w:val="auto"/>
              </w:rPr>
            </w:pPr>
            <w:r>
              <w:rPr>
                <w:rFonts w:ascii="Arial" w:cs="Arial" w:eastAsia="Arial" w:hAnsi="Arial"/>
                <w:sz w:val="13"/>
                <w:szCs w:val="13"/>
                <w:color w:val="auto"/>
              </w:rPr>
              <w:t>55.1</w:t>
            </w:r>
          </w:p>
        </w:tc>
        <w:tc>
          <w:tcPr>
            <w:tcW w:w="12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42.4</w:t>
            </w:r>
          </w:p>
        </w:tc>
        <w:tc>
          <w:tcPr>
            <w:tcW w:w="1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96"/>
              <w:spacing w:after="0"/>
              <w:rPr>
                <w:sz w:val="20"/>
                <w:szCs w:val="20"/>
                <w:color w:val="auto"/>
              </w:rPr>
            </w:pPr>
            <w:r>
              <w:rPr>
                <w:rFonts w:ascii="Arial" w:cs="Arial" w:eastAsia="Arial" w:hAnsi="Arial"/>
                <w:sz w:val="13"/>
                <w:szCs w:val="13"/>
                <w:color w:val="auto"/>
              </w:rPr>
              <w:t>48.1</w:t>
            </w:r>
          </w:p>
        </w:tc>
        <w:tc>
          <w:tcPr>
            <w:tcW w:w="6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49.1</w:t>
            </w:r>
          </w:p>
        </w:tc>
        <w:tc>
          <w:tcPr>
            <w:tcW w:w="120" w:type="dxa"/>
            <w:vAlign w:val="bottom"/>
            <w:shd w:val="clear" w:color="auto" w:fill="CCEEFF"/>
          </w:tcPr>
          <w:p>
            <w:pPr>
              <w:spacing w:after="0"/>
              <w:rPr>
                <w:sz w:val="13"/>
                <w:szCs w:val="13"/>
                <w:color w:val="auto"/>
              </w:rPr>
            </w:pPr>
          </w:p>
        </w:tc>
        <w:tc>
          <w:tcPr>
            <w:tcW w:w="620" w:type="dxa"/>
            <w:vAlign w:val="bottom"/>
            <w:gridSpan w:val="2"/>
            <w:shd w:val="clear" w:color="auto" w:fill="CCEEFF"/>
          </w:tcPr>
          <w:p>
            <w:pPr>
              <w:jc w:val="right"/>
              <w:ind w:right="116"/>
              <w:spacing w:after="0"/>
              <w:rPr>
                <w:sz w:val="20"/>
                <w:szCs w:val="20"/>
                <w:color w:val="auto"/>
              </w:rPr>
            </w:pPr>
            <w:r>
              <w:rPr>
                <w:rFonts w:ascii="Arial" w:cs="Arial" w:eastAsia="Arial" w:hAnsi="Arial"/>
                <w:sz w:val="13"/>
                <w:szCs w:val="13"/>
                <w:color w:val="auto"/>
              </w:rPr>
              <w:t>44.0</w:t>
            </w:r>
          </w:p>
        </w:tc>
        <w:tc>
          <w:tcPr>
            <w:tcW w:w="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6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11.0</w:t>
            </w:r>
          </w:p>
        </w:tc>
        <w:tc>
          <w:tcPr>
            <w:tcW w:w="120" w:type="dxa"/>
            <w:vAlign w:val="bottom"/>
            <w:shd w:val="clear" w:color="auto" w:fill="CCEEFF"/>
          </w:tcPr>
          <w:p>
            <w:pPr>
              <w:spacing w:after="0"/>
              <w:rPr>
                <w:sz w:val="13"/>
                <w:szCs w:val="13"/>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11.5</w:t>
            </w:r>
          </w:p>
        </w:tc>
        <w:tc>
          <w:tcPr>
            <w:tcW w:w="200" w:type="dxa"/>
            <w:vAlign w:val="bottom"/>
            <w:shd w:val="clear" w:color="auto" w:fill="CCEEFF"/>
          </w:tcPr>
          <w:p>
            <w:pPr>
              <w:spacing w:after="0"/>
              <w:rPr>
                <w:sz w:val="13"/>
                <w:szCs w:val="13"/>
                <w:color w:val="auto"/>
              </w:rPr>
            </w:pPr>
          </w:p>
        </w:tc>
        <w:tc>
          <w:tcPr>
            <w:tcW w:w="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12.4</w:t>
            </w:r>
          </w:p>
        </w:tc>
        <w:tc>
          <w:tcPr>
            <w:tcW w:w="120" w:type="dxa"/>
            <w:vAlign w:val="bottom"/>
            <w:shd w:val="clear" w:color="auto" w:fill="CCEEFF"/>
          </w:tcPr>
          <w:p>
            <w:pPr>
              <w:spacing w:after="0"/>
              <w:rPr>
                <w:sz w:val="13"/>
                <w:szCs w:val="13"/>
                <w:color w:val="auto"/>
              </w:rPr>
            </w:pPr>
          </w:p>
        </w:tc>
        <w:tc>
          <w:tcPr>
            <w:tcW w:w="580" w:type="dxa"/>
            <w:vAlign w:val="bottom"/>
            <w:gridSpan w:val="2"/>
            <w:shd w:val="clear" w:color="auto" w:fill="CCEEFF"/>
          </w:tcPr>
          <w:p>
            <w:pPr>
              <w:jc w:val="right"/>
              <w:ind w:right="76"/>
              <w:spacing w:after="0"/>
              <w:rPr>
                <w:sz w:val="20"/>
                <w:szCs w:val="20"/>
                <w:color w:val="auto"/>
              </w:rPr>
            </w:pPr>
            <w:r>
              <w:rPr>
                <w:rFonts w:ascii="Arial" w:cs="Arial" w:eastAsia="Arial" w:hAnsi="Arial"/>
                <w:sz w:val="13"/>
                <w:szCs w:val="13"/>
                <w:color w:val="auto"/>
              </w:rPr>
              <w:t>14.2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540" w:type="dxa"/>
            <w:vAlign w:val="bottom"/>
          </w:tcPr>
          <w:p>
            <w:pPr>
              <w:ind w:left="160"/>
              <w:spacing w:after="0"/>
              <w:rPr>
                <w:sz w:val="20"/>
                <w:szCs w:val="20"/>
                <w:color w:val="auto"/>
              </w:rPr>
            </w:pPr>
            <w:r>
              <w:rPr>
                <w:rFonts w:ascii="Arial" w:cs="Arial" w:eastAsia="Arial" w:hAnsi="Arial"/>
                <w:sz w:val="13"/>
                <w:szCs w:val="13"/>
                <w:color w:val="auto"/>
              </w:rPr>
              <w:t>Chile</w:t>
            </w:r>
          </w:p>
        </w:tc>
        <w:tc>
          <w:tcPr>
            <w:tcW w:w="100" w:type="dxa"/>
            <w:vAlign w:val="bottom"/>
          </w:tcPr>
          <w:p>
            <w:pPr>
              <w:spacing w:after="0"/>
              <w:rPr>
                <w:sz w:val="13"/>
                <w:szCs w:val="13"/>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0.2</w:t>
            </w:r>
          </w:p>
        </w:tc>
        <w:tc>
          <w:tcPr>
            <w:tcW w:w="120" w:type="dxa"/>
            <w:vAlign w:val="bottom"/>
          </w:tcPr>
          <w:p>
            <w:pPr>
              <w:spacing w:after="0"/>
              <w:rPr>
                <w:sz w:val="13"/>
                <w:szCs w:val="13"/>
                <w:color w:val="auto"/>
              </w:rPr>
            </w:pPr>
          </w:p>
        </w:tc>
        <w:tc>
          <w:tcPr>
            <w:tcW w:w="720" w:type="dxa"/>
            <w:vAlign w:val="bottom"/>
            <w:gridSpan w:val="2"/>
          </w:tcPr>
          <w:p>
            <w:pPr>
              <w:jc w:val="right"/>
              <w:ind w:right="196"/>
              <w:spacing w:after="0"/>
              <w:rPr>
                <w:sz w:val="20"/>
                <w:szCs w:val="20"/>
                <w:color w:val="auto"/>
              </w:rPr>
            </w:pPr>
            <w:r>
              <w:rPr>
                <w:rFonts w:ascii="Arial" w:cs="Arial" w:eastAsia="Arial" w:hAnsi="Arial"/>
                <w:sz w:val="13"/>
                <w:szCs w:val="13"/>
                <w:color w:val="auto"/>
              </w:rPr>
              <w:t>0.2</w:t>
            </w:r>
          </w:p>
        </w:tc>
        <w:tc>
          <w:tcPr>
            <w:tcW w:w="120" w:type="dxa"/>
            <w:vAlign w:val="bottom"/>
          </w:tcPr>
          <w:p>
            <w:pPr>
              <w:spacing w:after="0"/>
              <w:rPr>
                <w:sz w:val="13"/>
                <w:szCs w:val="13"/>
                <w:color w:val="auto"/>
              </w:rPr>
            </w:pPr>
          </w:p>
        </w:tc>
        <w:tc>
          <w:tcPr>
            <w:tcW w:w="700" w:type="dxa"/>
            <w:vAlign w:val="bottom"/>
            <w:gridSpan w:val="2"/>
          </w:tcPr>
          <w:p>
            <w:pPr>
              <w:jc w:val="right"/>
              <w:ind w:right="240"/>
              <w:spacing w:after="0"/>
              <w:rPr>
                <w:sz w:val="20"/>
                <w:szCs w:val="20"/>
                <w:color w:val="auto"/>
              </w:rPr>
            </w:pPr>
            <w:r>
              <w:rPr>
                <w:rFonts w:ascii="Arial" w:cs="Arial" w:eastAsia="Arial" w:hAnsi="Arial"/>
                <w:sz w:val="13"/>
                <w:szCs w:val="13"/>
                <w:color w:val="auto"/>
              </w:rPr>
              <w:t>0.6</w:t>
            </w:r>
          </w:p>
        </w:tc>
        <w:tc>
          <w:tcPr>
            <w:tcW w:w="120" w:type="dxa"/>
            <w:vAlign w:val="bottom"/>
          </w:tcPr>
          <w:p>
            <w:pPr>
              <w:spacing w:after="0"/>
              <w:rPr>
                <w:sz w:val="13"/>
                <w:szCs w:val="13"/>
                <w:color w:val="auto"/>
              </w:rPr>
            </w:pPr>
          </w:p>
        </w:tc>
        <w:tc>
          <w:tcPr>
            <w:tcW w:w="720" w:type="dxa"/>
            <w:vAlign w:val="bottom"/>
            <w:gridSpan w:val="2"/>
          </w:tcPr>
          <w:p>
            <w:pPr>
              <w:jc w:val="right"/>
              <w:ind w:right="196"/>
              <w:spacing w:after="0"/>
              <w:rPr>
                <w:sz w:val="20"/>
                <w:szCs w:val="20"/>
                <w:color w:val="auto"/>
              </w:rPr>
            </w:pPr>
            <w:r>
              <w:rPr>
                <w:rFonts w:ascii="Arial" w:cs="Arial" w:eastAsia="Arial" w:hAnsi="Arial"/>
                <w:sz w:val="13"/>
                <w:szCs w:val="13"/>
                <w:color w:val="auto"/>
              </w:rPr>
              <w:t>0.7</w:t>
            </w:r>
          </w:p>
        </w:tc>
        <w:tc>
          <w:tcPr>
            <w:tcW w:w="60" w:type="dxa"/>
            <w:vAlign w:val="bottom"/>
          </w:tcPr>
          <w:p>
            <w:pPr>
              <w:spacing w:after="0"/>
              <w:rPr>
                <w:sz w:val="13"/>
                <w:szCs w:val="13"/>
                <w:color w:val="auto"/>
              </w:rPr>
            </w:pPr>
          </w:p>
        </w:tc>
        <w:tc>
          <w:tcPr>
            <w:tcW w:w="720" w:type="dxa"/>
            <w:vAlign w:val="bottom"/>
            <w:gridSpan w:val="2"/>
          </w:tcPr>
          <w:p>
            <w:pPr>
              <w:jc w:val="right"/>
              <w:ind w:right="220"/>
              <w:spacing w:after="0"/>
              <w:rPr>
                <w:sz w:val="20"/>
                <w:szCs w:val="20"/>
                <w:color w:val="auto"/>
              </w:rPr>
            </w:pPr>
            <w:r>
              <w:rPr>
                <w:rFonts w:ascii="Arial" w:cs="Arial" w:eastAsia="Arial" w:hAnsi="Arial"/>
                <w:sz w:val="13"/>
                <w:szCs w:val="13"/>
                <w:color w:val="auto"/>
              </w:rPr>
              <w:t>1.1</w:t>
            </w:r>
          </w:p>
        </w:tc>
        <w:tc>
          <w:tcPr>
            <w:tcW w:w="1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1.0</w:t>
            </w:r>
          </w:p>
        </w:tc>
        <w:tc>
          <w:tcPr>
            <w:tcW w:w="18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660" w:type="dxa"/>
            <w:vAlign w:val="bottom"/>
            <w:gridSpan w:val="2"/>
          </w:tcPr>
          <w:p>
            <w:pPr>
              <w:jc w:val="right"/>
              <w:ind w:right="200"/>
              <w:spacing w:after="0"/>
              <w:rPr>
                <w:sz w:val="20"/>
                <w:szCs w:val="20"/>
                <w:color w:val="auto"/>
              </w:rPr>
            </w:pPr>
            <w:r>
              <w:rPr>
                <w:rFonts w:ascii="Arial" w:cs="Arial" w:eastAsia="Arial" w:hAnsi="Arial"/>
                <w:sz w:val="13"/>
                <w:szCs w:val="13"/>
                <w:color w:val="auto"/>
              </w:rPr>
              <w:t>0.5</w:t>
            </w:r>
          </w:p>
        </w:tc>
        <w:tc>
          <w:tcPr>
            <w:tcW w:w="1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0.6</w:t>
            </w:r>
          </w:p>
        </w:tc>
        <w:tc>
          <w:tcPr>
            <w:tcW w:w="20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680" w:type="dxa"/>
            <w:vAlign w:val="bottom"/>
            <w:gridSpan w:val="2"/>
          </w:tcPr>
          <w:p>
            <w:pPr>
              <w:jc w:val="right"/>
              <w:ind w:right="220"/>
              <w:spacing w:after="0"/>
              <w:rPr>
                <w:sz w:val="20"/>
                <w:szCs w:val="20"/>
                <w:color w:val="auto"/>
              </w:rPr>
            </w:pPr>
            <w:r>
              <w:rPr>
                <w:rFonts w:ascii="Arial" w:cs="Arial" w:eastAsia="Arial" w:hAnsi="Arial"/>
                <w:sz w:val="13"/>
                <w:szCs w:val="13"/>
                <w:color w:val="auto"/>
              </w:rPr>
              <w:t>0.6</w:t>
            </w:r>
          </w:p>
        </w:tc>
        <w:tc>
          <w:tcPr>
            <w:tcW w:w="1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0.7</w:t>
            </w: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540" w:type="dxa"/>
            <w:vAlign w:val="bottom"/>
            <w:shd w:val="clear" w:color="auto" w:fill="CCEEFF"/>
          </w:tcPr>
          <w:p>
            <w:pPr>
              <w:ind w:left="160"/>
              <w:spacing w:after="0"/>
              <w:rPr>
                <w:sz w:val="20"/>
                <w:szCs w:val="20"/>
                <w:color w:val="auto"/>
              </w:rPr>
            </w:pPr>
            <w:r>
              <w:rPr>
                <w:rFonts w:ascii="Arial" w:cs="Arial" w:eastAsia="Arial" w:hAnsi="Arial"/>
                <w:sz w:val="13"/>
                <w:szCs w:val="13"/>
                <w:color w:val="auto"/>
              </w:rPr>
              <w:t>Colombia</w:t>
            </w:r>
          </w:p>
        </w:tc>
        <w:tc>
          <w:tcPr>
            <w:tcW w:w="10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3.8</w:t>
            </w:r>
          </w:p>
        </w:tc>
        <w:tc>
          <w:tcPr>
            <w:tcW w:w="1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96"/>
              <w:spacing w:after="0"/>
              <w:rPr>
                <w:sz w:val="20"/>
                <w:szCs w:val="20"/>
                <w:color w:val="auto"/>
              </w:rPr>
            </w:pPr>
            <w:r>
              <w:rPr>
                <w:rFonts w:ascii="Arial" w:cs="Arial" w:eastAsia="Arial" w:hAnsi="Arial"/>
                <w:sz w:val="13"/>
                <w:szCs w:val="13"/>
                <w:color w:val="auto"/>
              </w:rPr>
              <w:t>3.6</w:t>
            </w:r>
          </w:p>
        </w:tc>
        <w:tc>
          <w:tcPr>
            <w:tcW w:w="12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9.1</w:t>
            </w:r>
          </w:p>
        </w:tc>
        <w:tc>
          <w:tcPr>
            <w:tcW w:w="1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96"/>
              <w:spacing w:after="0"/>
              <w:rPr>
                <w:sz w:val="20"/>
                <w:szCs w:val="20"/>
                <w:color w:val="auto"/>
              </w:rPr>
            </w:pPr>
            <w:r>
              <w:rPr>
                <w:rFonts w:ascii="Arial" w:cs="Arial" w:eastAsia="Arial" w:hAnsi="Arial"/>
                <w:sz w:val="13"/>
                <w:szCs w:val="13"/>
                <w:color w:val="auto"/>
              </w:rPr>
              <w:t>10.3</w:t>
            </w:r>
          </w:p>
        </w:tc>
        <w:tc>
          <w:tcPr>
            <w:tcW w:w="6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11.4</w:t>
            </w:r>
          </w:p>
        </w:tc>
        <w:tc>
          <w:tcPr>
            <w:tcW w:w="120" w:type="dxa"/>
            <w:vAlign w:val="bottom"/>
            <w:shd w:val="clear" w:color="auto" w:fill="CCEEFF"/>
          </w:tcPr>
          <w:p>
            <w:pPr>
              <w:spacing w:after="0"/>
              <w:rPr>
                <w:sz w:val="13"/>
                <w:szCs w:val="13"/>
                <w:color w:val="auto"/>
              </w:rPr>
            </w:pPr>
          </w:p>
        </w:tc>
        <w:tc>
          <w:tcPr>
            <w:tcW w:w="620" w:type="dxa"/>
            <w:vAlign w:val="bottom"/>
            <w:gridSpan w:val="2"/>
            <w:shd w:val="clear" w:color="auto" w:fill="CCEEFF"/>
          </w:tcPr>
          <w:p>
            <w:pPr>
              <w:jc w:val="right"/>
              <w:ind w:right="116"/>
              <w:spacing w:after="0"/>
              <w:rPr>
                <w:sz w:val="20"/>
                <w:szCs w:val="20"/>
                <w:color w:val="auto"/>
              </w:rPr>
            </w:pPr>
            <w:r>
              <w:rPr>
                <w:rFonts w:ascii="Arial" w:cs="Arial" w:eastAsia="Arial" w:hAnsi="Arial"/>
                <w:sz w:val="13"/>
                <w:szCs w:val="13"/>
                <w:color w:val="auto"/>
              </w:rPr>
              <w:t>10.2</w:t>
            </w:r>
          </w:p>
        </w:tc>
        <w:tc>
          <w:tcPr>
            <w:tcW w:w="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6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27.5</w:t>
            </w:r>
          </w:p>
        </w:tc>
        <w:tc>
          <w:tcPr>
            <w:tcW w:w="120" w:type="dxa"/>
            <w:vAlign w:val="bottom"/>
            <w:shd w:val="clear" w:color="auto" w:fill="CCEEFF"/>
          </w:tcPr>
          <w:p>
            <w:pPr>
              <w:spacing w:after="0"/>
              <w:rPr>
                <w:sz w:val="13"/>
                <w:szCs w:val="13"/>
                <w:color w:val="auto"/>
              </w:rPr>
            </w:pPr>
          </w:p>
        </w:tc>
        <w:tc>
          <w:tcPr>
            <w:tcW w:w="640" w:type="dxa"/>
            <w:vAlign w:val="bottom"/>
            <w:gridSpan w:val="2"/>
            <w:shd w:val="clear" w:color="auto" w:fill="CCEEFF"/>
          </w:tcPr>
          <w:p>
            <w:pPr>
              <w:jc w:val="right"/>
              <w:ind w:right="136"/>
              <w:spacing w:after="0"/>
              <w:rPr>
                <w:sz w:val="20"/>
                <w:szCs w:val="20"/>
                <w:color w:val="auto"/>
              </w:rPr>
            </w:pPr>
            <w:r>
              <w:rPr>
                <w:rFonts w:ascii="Arial" w:cs="Arial" w:eastAsia="Arial" w:hAnsi="Arial"/>
                <w:sz w:val="13"/>
                <w:szCs w:val="13"/>
                <w:color w:val="auto"/>
              </w:rPr>
              <w:t>28.9</w:t>
            </w:r>
          </w:p>
        </w:tc>
        <w:tc>
          <w:tcPr>
            <w:tcW w:w="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16.1</w:t>
            </w:r>
          </w:p>
        </w:tc>
        <w:tc>
          <w:tcPr>
            <w:tcW w:w="120" w:type="dxa"/>
            <w:vAlign w:val="bottom"/>
            <w:shd w:val="clear" w:color="auto" w:fill="CCEEFF"/>
          </w:tcPr>
          <w:p>
            <w:pPr>
              <w:spacing w:after="0"/>
              <w:rPr>
                <w:sz w:val="13"/>
                <w:szCs w:val="13"/>
                <w:color w:val="auto"/>
              </w:rPr>
            </w:pPr>
          </w:p>
        </w:tc>
        <w:tc>
          <w:tcPr>
            <w:tcW w:w="580" w:type="dxa"/>
            <w:vAlign w:val="bottom"/>
            <w:gridSpan w:val="2"/>
            <w:shd w:val="clear" w:color="auto" w:fill="CCEEFF"/>
          </w:tcPr>
          <w:p>
            <w:pPr>
              <w:jc w:val="right"/>
              <w:ind w:right="76"/>
              <w:spacing w:after="0"/>
              <w:rPr>
                <w:sz w:val="20"/>
                <w:szCs w:val="20"/>
                <w:color w:val="auto"/>
              </w:rPr>
            </w:pPr>
            <w:r>
              <w:rPr>
                <w:rFonts w:ascii="Arial" w:cs="Arial" w:eastAsia="Arial" w:hAnsi="Arial"/>
                <w:sz w:val="13"/>
                <w:szCs w:val="13"/>
                <w:color w:val="auto"/>
              </w:rPr>
              <w:t>18.4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540" w:type="dxa"/>
            <w:vAlign w:val="bottom"/>
          </w:tcPr>
          <w:p>
            <w:pPr>
              <w:ind w:left="160"/>
              <w:spacing w:after="0"/>
              <w:rPr>
                <w:sz w:val="20"/>
                <w:szCs w:val="20"/>
                <w:color w:val="auto"/>
              </w:rPr>
            </w:pPr>
            <w:r>
              <w:rPr>
                <w:rFonts w:ascii="Arial" w:cs="Arial" w:eastAsia="Arial" w:hAnsi="Arial"/>
                <w:sz w:val="13"/>
                <w:szCs w:val="13"/>
                <w:color w:val="auto"/>
              </w:rPr>
              <w:t>Costa Rica</w:t>
            </w:r>
          </w:p>
        </w:tc>
        <w:tc>
          <w:tcPr>
            <w:tcW w:w="100" w:type="dxa"/>
            <w:vAlign w:val="bottom"/>
          </w:tcPr>
          <w:p>
            <w:pPr>
              <w:spacing w:after="0"/>
              <w:rPr>
                <w:sz w:val="13"/>
                <w:szCs w:val="13"/>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6.7</w:t>
            </w:r>
          </w:p>
        </w:tc>
        <w:tc>
          <w:tcPr>
            <w:tcW w:w="120" w:type="dxa"/>
            <w:vAlign w:val="bottom"/>
          </w:tcPr>
          <w:p>
            <w:pPr>
              <w:spacing w:after="0"/>
              <w:rPr>
                <w:sz w:val="13"/>
                <w:szCs w:val="13"/>
                <w:color w:val="auto"/>
              </w:rPr>
            </w:pPr>
          </w:p>
        </w:tc>
        <w:tc>
          <w:tcPr>
            <w:tcW w:w="720" w:type="dxa"/>
            <w:vAlign w:val="bottom"/>
            <w:gridSpan w:val="2"/>
          </w:tcPr>
          <w:p>
            <w:pPr>
              <w:jc w:val="right"/>
              <w:ind w:right="196"/>
              <w:spacing w:after="0"/>
              <w:rPr>
                <w:sz w:val="20"/>
                <w:szCs w:val="20"/>
                <w:color w:val="auto"/>
              </w:rPr>
            </w:pPr>
            <w:r>
              <w:rPr>
                <w:rFonts w:ascii="Arial" w:cs="Arial" w:eastAsia="Arial" w:hAnsi="Arial"/>
                <w:sz w:val="13"/>
                <w:szCs w:val="13"/>
                <w:color w:val="auto"/>
              </w:rPr>
              <w:t>6.5</w:t>
            </w:r>
          </w:p>
        </w:tc>
        <w:tc>
          <w:tcPr>
            <w:tcW w:w="120" w:type="dxa"/>
            <w:vAlign w:val="bottom"/>
          </w:tcPr>
          <w:p>
            <w:pPr>
              <w:spacing w:after="0"/>
              <w:rPr>
                <w:sz w:val="13"/>
                <w:szCs w:val="13"/>
                <w:color w:val="auto"/>
              </w:rPr>
            </w:pPr>
          </w:p>
        </w:tc>
        <w:tc>
          <w:tcPr>
            <w:tcW w:w="700" w:type="dxa"/>
            <w:vAlign w:val="bottom"/>
            <w:gridSpan w:val="2"/>
          </w:tcPr>
          <w:p>
            <w:pPr>
              <w:jc w:val="right"/>
              <w:ind w:right="240"/>
              <w:spacing w:after="0"/>
              <w:rPr>
                <w:sz w:val="20"/>
                <w:szCs w:val="20"/>
                <w:color w:val="auto"/>
              </w:rPr>
            </w:pPr>
            <w:r>
              <w:rPr>
                <w:rFonts w:ascii="Arial" w:cs="Arial" w:eastAsia="Arial" w:hAnsi="Arial"/>
                <w:sz w:val="13"/>
                <w:szCs w:val="13"/>
                <w:color w:val="auto"/>
              </w:rPr>
              <w:t>1.7</w:t>
            </w:r>
          </w:p>
        </w:tc>
        <w:tc>
          <w:tcPr>
            <w:tcW w:w="120" w:type="dxa"/>
            <w:vAlign w:val="bottom"/>
          </w:tcPr>
          <w:p>
            <w:pPr>
              <w:spacing w:after="0"/>
              <w:rPr>
                <w:sz w:val="13"/>
                <w:szCs w:val="13"/>
                <w:color w:val="auto"/>
              </w:rPr>
            </w:pPr>
          </w:p>
        </w:tc>
        <w:tc>
          <w:tcPr>
            <w:tcW w:w="720" w:type="dxa"/>
            <w:vAlign w:val="bottom"/>
            <w:gridSpan w:val="2"/>
          </w:tcPr>
          <w:p>
            <w:pPr>
              <w:jc w:val="right"/>
              <w:ind w:right="196"/>
              <w:spacing w:after="0"/>
              <w:rPr>
                <w:sz w:val="20"/>
                <w:szCs w:val="20"/>
                <w:color w:val="auto"/>
              </w:rPr>
            </w:pPr>
            <w:r>
              <w:rPr>
                <w:rFonts w:ascii="Arial" w:cs="Arial" w:eastAsia="Arial" w:hAnsi="Arial"/>
                <w:sz w:val="13"/>
                <w:szCs w:val="13"/>
                <w:color w:val="auto"/>
              </w:rPr>
              <w:t>1.9</w:t>
            </w:r>
          </w:p>
        </w:tc>
        <w:tc>
          <w:tcPr>
            <w:tcW w:w="60" w:type="dxa"/>
            <w:vAlign w:val="bottom"/>
          </w:tcPr>
          <w:p>
            <w:pPr>
              <w:spacing w:after="0"/>
              <w:rPr>
                <w:sz w:val="13"/>
                <w:szCs w:val="13"/>
                <w:color w:val="auto"/>
              </w:rPr>
            </w:pPr>
          </w:p>
        </w:tc>
        <w:tc>
          <w:tcPr>
            <w:tcW w:w="720" w:type="dxa"/>
            <w:vAlign w:val="bottom"/>
            <w:gridSpan w:val="2"/>
          </w:tcPr>
          <w:p>
            <w:pPr>
              <w:jc w:val="right"/>
              <w:ind w:right="220"/>
              <w:spacing w:after="0"/>
              <w:rPr>
                <w:sz w:val="20"/>
                <w:szCs w:val="20"/>
                <w:color w:val="auto"/>
              </w:rPr>
            </w:pPr>
            <w:r>
              <w:rPr>
                <w:rFonts w:ascii="Arial" w:cs="Arial" w:eastAsia="Arial" w:hAnsi="Arial"/>
                <w:sz w:val="13"/>
                <w:szCs w:val="13"/>
                <w:color w:val="auto"/>
              </w:rPr>
              <w:t>1.7</w:t>
            </w:r>
          </w:p>
        </w:tc>
        <w:tc>
          <w:tcPr>
            <w:tcW w:w="1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1.5</w:t>
            </w:r>
          </w:p>
        </w:tc>
        <w:tc>
          <w:tcPr>
            <w:tcW w:w="18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660" w:type="dxa"/>
            <w:vAlign w:val="bottom"/>
            <w:gridSpan w:val="2"/>
          </w:tcPr>
          <w:p>
            <w:pPr>
              <w:jc w:val="right"/>
              <w:ind w:right="200"/>
              <w:spacing w:after="0"/>
              <w:rPr>
                <w:sz w:val="20"/>
                <w:szCs w:val="20"/>
                <w:color w:val="auto"/>
              </w:rPr>
            </w:pPr>
            <w:r>
              <w:rPr>
                <w:rFonts w:ascii="Arial" w:cs="Arial" w:eastAsia="Arial" w:hAnsi="Arial"/>
                <w:sz w:val="13"/>
                <w:szCs w:val="13"/>
                <w:color w:val="auto"/>
              </w:rPr>
              <w:t>2.9</w:t>
            </w:r>
          </w:p>
        </w:tc>
        <w:tc>
          <w:tcPr>
            <w:tcW w:w="1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3.0</w:t>
            </w:r>
          </w:p>
        </w:tc>
        <w:tc>
          <w:tcPr>
            <w:tcW w:w="20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680" w:type="dxa"/>
            <w:vAlign w:val="bottom"/>
            <w:gridSpan w:val="2"/>
          </w:tcPr>
          <w:p>
            <w:pPr>
              <w:jc w:val="right"/>
              <w:ind w:right="220"/>
              <w:spacing w:after="0"/>
              <w:rPr>
                <w:sz w:val="20"/>
                <w:szCs w:val="20"/>
                <w:color w:val="auto"/>
              </w:rPr>
            </w:pPr>
            <w:r>
              <w:rPr>
                <w:rFonts w:ascii="Arial" w:cs="Arial" w:eastAsia="Arial" w:hAnsi="Arial"/>
                <w:sz w:val="13"/>
                <w:szCs w:val="13"/>
                <w:color w:val="auto"/>
              </w:rPr>
              <w:t>6.5</w:t>
            </w:r>
          </w:p>
        </w:tc>
        <w:tc>
          <w:tcPr>
            <w:tcW w:w="1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7.4</w:t>
            </w: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540" w:type="dxa"/>
            <w:vAlign w:val="bottom"/>
            <w:shd w:val="clear" w:color="auto" w:fill="CCEEFF"/>
          </w:tcPr>
          <w:p>
            <w:pPr>
              <w:ind w:left="160"/>
              <w:spacing w:after="0"/>
              <w:rPr>
                <w:sz w:val="20"/>
                <w:szCs w:val="20"/>
                <w:color w:val="auto"/>
              </w:rPr>
            </w:pPr>
            <w:r>
              <w:rPr>
                <w:rFonts w:ascii="Arial" w:cs="Arial" w:eastAsia="Arial" w:hAnsi="Arial"/>
                <w:sz w:val="13"/>
                <w:szCs w:val="13"/>
                <w:color w:val="auto"/>
              </w:rPr>
              <w:t>Dominican Republic</w:t>
            </w:r>
          </w:p>
        </w:tc>
        <w:tc>
          <w:tcPr>
            <w:tcW w:w="10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1.4</w:t>
            </w:r>
          </w:p>
        </w:tc>
        <w:tc>
          <w:tcPr>
            <w:tcW w:w="1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96"/>
              <w:spacing w:after="0"/>
              <w:rPr>
                <w:sz w:val="20"/>
                <w:szCs w:val="20"/>
                <w:color w:val="auto"/>
              </w:rPr>
            </w:pPr>
            <w:r>
              <w:rPr>
                <w:rFonts w:ascii="Arial" w:cs="Arial" w:eastAsia="Arial" w:hAnsi="Arial"/>
                <w:sz w:val="13"/>
                <w:szCs w:val="13"/>
                <w:color w:val="auto"/>
              </w:rPr>
              <w:t>1.4</w:t>
            </w:r>
          </w:p>
        </w:tc>
        <w:tc>
          <w:tcPr>
            <w:tcW w:w="12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1.2</w:t>
            </w:r>
          </w:p>
        </w:tc>
        <w:tc>
          <w:tcPr>
            <w:tcW w:w="1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96"/>
              <w:spacing w:after="0"/>
              <w:rPr>
                <w:sz w:val="20"/>
                <w:szCs w:val="20"/>
                <w:color w:val="auto"/>
              </w:rPr>
            </w:pPr>
            <w:r>
              <w:rPr>
                <w:rFonts w:ascii="Arial" w:cs="Arial" w:eastAsia="Arial" w:hAnsi="Arial"/>
                <w:sz w:val="13"/>
                <w:szCs w:val="13"/>
                <w:color w:val="auto"/>
              </w:rPr>
              <w:t>1.4</w:t>
            </w:r>
          </w:p>
        </w:tc>
        <w:tc>
          <w:tcPr>
            <w:tcW w:w="6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4.7</w:t>
            </w:r>
          </w:p>
        </w:tc>
        <w:tc>
          <w:tcPr>
            <w:tcW w:w="120" w:type="dxa"/>
            <w:vAlign w:val="bottom"/>
            <w:shd w:val="clear" w:color="auto" w:fill="CCEEFF"/>
          </w:tcPr>
          <w:p>
            <w:pPr>
              <w:spacing w:after="0"/>
              <w:rPr>
                <w:sz w:val="13"/>
                <w:szCs w:val="13"/>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4.2</w:t>
            </w:r>
          </w:p>
        </w:tc>
        <w:tc>
          <w:tcPr>
            <w:tcW w:w="18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6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9.0</w:t>
            </w:r>
          </w:p>
        </w:tc>
        <w:tc>
          <w:tcPr>
            <w:tcW w:w="120" w:type="dxa"/>
            <w:vAlign w:val="bottom"/>
            <w:shd w:val="clear" w:color="auto" w:fill="CCEEFF"/>
          </w:tcPr>
          <w:p>
            <w:pPr>
              <w:spacing w:after="0"/>
              <w:rPr>
                <w:sz w:val="13"/>
                <w:szCs w:val="13"/>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9.4</w:t>
            </w:r>
          </w:p>
        </w:tc>
        <w:tc>
          <w:tcPr>
            <w:tcW w:w="200" w:type="dxa"/>
            <w:vAlign w:val="bottom"/>
            <w:shd w:val="clear" w:color="auto" w:fill="CCEEFF"/>
          </w:tcPr>
          <w:p>
            <w:pPr>
              <w:spacing w:after="0"/>
              <w:rPr>
                <w:sz w:val="13"/>
                <w:szCs w:val="13"/>
                <w:color w:val="auto"/>
              </w:rPr>
            </w:pPr>
          </w:p>
        </w:tc>
        <w:tc>
          <w:tcPr>
            <w:tcW w:w="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7.7</w:t>
            </w:r>
          </w:p>
        </w:tc>
        <w:tc>
          <w:tcPr>
            <w:tcW w:w="120" w:type="dxa"/>
            <w:vAlign w:val="bottom"/>
            <w:shd w:val="clear" w:color="auto" w:fill="CCEEFF"/>
          </w:tcPr>
          <w:p>
            <w:pPr>
              <w:spacing w:after="0"/>
              <w:rPr>
                <w:sz w:val="13"/>
                <w:szCs w:val="13"/>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8.8</w:t>
            </w: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540" w:type="dxa"/>
            <w:vAlign w:val="bottom"/>
          </w:tcPr>
          <w:p>
            <w:pPr>
              <w:ind w:left="160"/>
              <w:spacing w:after="0"/>
              <w:rPr>
                <w:sz w:val="20"/>
                <w:szCs w:val="20"/>
                <w:color w:val="auto"/>
              </w:rPr>
            </w:pPr>
            <w:r>
              <w:rPr>
                <w:rFonts w:ascii="Arial" w:cs="Arial" w:eastAsia="Arial" w:hAnsi="Arial"/>
                <w:sz w:val="13"/>
                <w:szCs w:val="13"/>
                <w:color w:val="auto"/>
              </w:rPr>
              <w:t>Ecuador</w:t>
            </w:r>
          </w:p>
        </w:tc>
        <w:tc>
          <w:tcPr>
            <w:tcW w:w="100" w:type="dxa"/>
            <w:vAlign w:val="bottom"/>
          </w:tcPr>
          <w:p>
            <w:pPr>
              <w:spacing w:after="0"/>
              <w:rPr>
                <w:sz w:val="13"/>
                <w:szCs w:val="13"/>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7.7</w:t>
            </w:r>
          </w:p>
        </w:tc>
        <w:tc>
          <w:tcPr>
            <w:tcW w:w="120" w:type="dxa"/>
            <w:vAlign w:val="bottom"/>
          </w:tcPr>
          <w:p>
            <w:pPr>
              <w:spacing w:after="0"/>
              <w:rPr>
                <w:sz w:val="13"/>
                <w:szCs w:val="13"/>
                <w:color w:val="auto"/>
              </w:rPr>
            </w:pPr>
          </w:p>
        </w:tc>
        <w:tc>
          <w:tcPr>
            <w:tcW w:w="720" w:type="dxa"/>
            <w:vAlign w:val="bottom"/>
            <w:gridSpan w:val="2"/>
          </w:tcPr>
          <w:p>
            <w:pPr>
              <w:jc w:val="right"/>
              <w:ind w:right="196"/>
              <w:spacing w:after="0"/>
              <w:rPr>
                <w:sz w:val="20"/>
                <w:szCs w:val="20"/>
                <w:color w:val="auto"/>
              </w:rPr>
            </w:pPr>
            <w:r>
              <w:rPr>
                <w:rFonts w:ascii="Arial" w:cs="Arial" w:eastAsia="Arial" w:hAnsi="Arial"/>
                <w:sz w:val="13"/>
                <w:szCs w:val="13"/>
                <w:color w:val="auto"/>
              </w:rPr>
              <w:t>7.4</w:t>
            </w:r>
          </w:p>
        </w:tc>
        <w:tc>
          <w:tcPr>
            <w:tcW w:w="120" w:type="dxa"/>
            <w:vAlign w:val="bottom"/>
          </w:tcPr>
          <w:p>
            <w:pPr>
              <w:spacing w:after="0"/>
              <w:rPr>
                <w:sz w:val="13"/>
                <w:szCs w:val="13"/>
                <w:color w:val="auto"/>
              </w:rPr>
            </w:pPr>
          </w:p>
        </w:tc>
        <w:tc>
          <w:tcPr>
            <w:tcW w:w="700" w:type="dxa"/>
            <w:vAlign w:val="bottom"/>
            <w:gridSpan w:val="2"/>
          </w:tcPr>
          <w:p>
            <w:pPr>
              <w:jc w:val="right"/>
              <w:ind w:right="240"/>
              <w:spacing w:after="0"/>
              <w:rPr>
                <w:sz w:val="20"/>
                <w:szCs w:val="20"/>
                <w:color w:val="auto"/>
              </w:rPr>
            </w:pPr>
            <w:r>
              <w:rPr>
                <w:rFonts w:ascii="Arial" w:cs="Arial" w:eastAsia="Arial" w:hAnsi="Arial"/>
                <w:sz w:val="13"/>
                <w:szCs w:val="13"/>
                <w:color w:val="auto"/>
              </w:rPr>
              <w:t>3.8</w:t>
            </w:r>
          </w:p>
        </w:tc>
        <w:tc>
          <w:tcPr>
            <w:tcW w:w="120" w:type="dxa"/>
            <w:vAlign w:val="bottom"/>
          </w:tcPr>
          <w:p>
            <w:pPr>
              <w:spacing w:after="0"/>
              <w:rPr>
                <w:sz w:val="13"/>
                <w:szCs w:val="13"/>
                <w:color w:val="auto"/>
              </w:rPr>
            </w:pPr>
          </w:p>
        </w:tc>
        <w:tc>
          <w:tcPr>
            <w:tcW w:w="720" w:type="dxa"/>
            <w:vAlign w:val="bottom"/>
            <w:gridSpan w:val="2"/>
          </w:tcPr>
          <w:p>
            <w:pPr>
              <w:jc w:val="right"/>
              <w:ind w:right="196"/>
              <w:spacing w:after="0"/>
              <w:rPr>
                <w:sz w:val="20"/>
                <w:szCs w:val="20"/>
                <w:color w:val="auto"/>
              </w:rPr>
            </w:pPr>
            <w:r>
              <w:rPr>
                <w:rFonts w:ascii="Arial" w:cs="Arial" w:eastAsia="Arial" w:hAnsi="Arial"/>
                <w:sz w:val="13"/>
                <w:szCs w:val="13"/>
                <w:color w:val="auto"/>
              </w:rPr>
              <w:t>4.3</w:t>
            </w:r>
          </w:p>
        </w:tc>
        <w:tc>
          <w:tcPr>
            <w:tcW w:w="60" w:type="dxa"/>
            <w:vAlign w:val="bottom"/>
          </w:tcPr>
          <w:p>
            <w:pPr>
              <w:spacing w:after="0"/>
              <w:rPr>
                <w:sz w:val="13"/>
                <w:szCs w:val="13"/>
                <w:color w:val="auto"/>
              </w:rPr>
            </w:pPr>
          </w:p>
        </w:tc>
        <w:tc>
          <w:tcPr>
            <w:tcW w:w="720" w:type="dxa"/>
            <w:vAlign w:val="bottom"/>
            <w:gridSpan w:val="2"/>
          </w:tcPr>
          <w:p>
            <w:pPr>
              <w:jc w:val="right"/>
              <w:ind w:right="220"/>
              <w:spacing w:after="0"/>
              <w:rPr>
                <w:sz w:val="20"/>
                <w:szCs w:val="20"/>
                <w:color w:val="auto"/>
              </w:rPr>
            </w:pPr>
            <w:r>
              <w:rPr>
                <w:rFonts w:ascii="Arial" w:cs="Arial" w:eastAsia="Arial" w:hAnsi="Arial"/>
                <w:sz w:val="13"/>
                <w:szCs w:val="13"/>
                <w:color w:val="auto"/>
              </w:rPr>
              <w:t>3.1</w:t>
            </w:r>
          </w:p>
        </w:tc>
        <w:tc>
          <w:tcPr>
            <w:tcW w:w="1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2.8</w:t>
            </w:r>
          </w:p>
        </w:tc>
        <w:tc>
          <w:tcPr>
            <w:tcW w:w="18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660" w:type="dxa"/>
            <w:vAlign w:val="bottom"/>
            <w:gridSpan w:val="2"/>
          </w:tcPr>
          <w:p>
            <w:pPr>
              <w:jc w:val="right"/>
              <w:ind w:right="200"/>
              <w:spacing w:after="0"/>
              <w:rPr>
                <w:sz w:val="20"/>
                <w:szCs w:val="20"/>
                <w:color w:val="auto"/>
              </w:rPr>
            </w:pPr>
            <w:r>
              <w:rPr>
                <w:rFonts w:ascii="Arial" w:cs="Arial" w:eastAsia="Arial" w:hAnsi="Arial"/>
                <w:sz w:val="13"/>
                <w:szCs w:val="13"/>
                <w:color w:val="auto"/>
              </w:rPr>
              <w:t>7.7</w:t>
            </w:r>
          </w:p>
        </w:tc>
        <w:tc>
          <w:tcPr>
            <w:tcW w:w="1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8.1</w:t>
            </w:r>
          </w:p>
        </w:tc>
        <w:tc>
          <w:tcPr>
            <w:tcW w:w="20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680" w:type="dxa"/>
            <w:vAlign w:val="bottom"/>
            <w:gridSpan w:val="2"/>
          </w:tcPr>
          <w:p>
            <w:pPr>
              <w:jc w:val="right"/>
              <w:ind w:right="220"/>
              <w:spacing w:after="0"/>
              <w:rPr>
                <w:sz w:val="20"/>
                <w:szCs w:val="20"/>
                <w:color w:val="auto"/>
              </w:rPr>
            </w:pPr>
            <w:r>
              <w:rPr>
                <w:rFonts w:ascii="Arial" w:cs="Arial" w:eastAsia="Arial" w:hAnsi="Arial"/>
                <w:sz w:val="13"/>
                <w:szCs w:val="13"/>
                <w:color w:val="auto"/>
              </w:rPr>
              <w:t>9.2</w:t>
            </w:r>
          </w:p>
        </w:tc>
        <w:tc>
          <w:tcPr>
            <w:tcW w:w="120" w:type="dxa"/>
            <w:vAlign w:val="bottom"/>
          </w:tcPr>
          <w:p>
            <w:pPr>
              <w:spacing w:after="0"/>
              <w:rPr>
                <w:sz w:val="13"/>
                <w:szCs w:val="13"/>
                <w:color w:val="auto"/>
              </w:rPr>
            </w:pPr>
          </w:p>
        </w:tc>
        <w:tc>
          <w:tcPr>
            <w:tcW w:w="580" w:type="dxa"/>
            <w:vAlign w:val="bottom"/>
            <w:gridSpan w:val="2"/>
          </w:tcPr>
          <w:p>
            <w:pPr>
              <w:jc w:val="right"/>
              <w:ind w:right="76"/>
              <w:spacing w:after="0"/>
              <w:rPr>
                <w:sz w:val="20"/>
                <w:szCs w:val="20"/>
                <w:color w:val="auto"/>
              </w:rPr>
            </w:pPr>
            <w:r>
              <w:rPr>
                <w:rFonts w:ascii="Arial" w:cs="Arial" w:eastAsia="Arial" w:hAnsi="Arial"/>
                <w:sz w:val="13"/>
                <w:szCs w:val="13"/>
                <w:color w:val="auto"/>
              </w:rPr>
              <w:t>10.5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540" w:type="dxa"/>
            <w:vAlign w:val="bottom"/>
            <w:shd w:val="clear" w:color="auto" w:fill="CCEEFF"/>
          </w:tcPr>
          <w:p>
            <w:pPr>
              <w:ind w:left="160"/>
              <w:spacing w:after="0"/>
              <w:rPr>
                <w:sz w:val="20"/>
                <w:szCs w:val="20"/>
                <w:color w:val="auto"/>
              </w:rPr>
            </w:pPr>
            <w:r>
              <w:rPr>
                <w:rFonts w:ascii="Arial" w:cs="Arial" w:eastAsia="Arial" w:hAnsi="Arial"/>
                <w:sz w:val="13"/>
                <w:szCs w:val="13"/>
                <w:color w:val="auto"/>
              </w:rPr>
              <w:t>El Salvador</w:t>
            </w:r>
          </w:p>
        </w:tc>
        <w:tc>
          <w:tcPr>
            <w:tcW w:w="10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2.7</w:t>
            </w:r>
          </w:p>
        </w:tc>
        <w:tc>
          <w:tcPr>
            <w:tcW w:w="1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96"/>
              <w:spacing w:after="0"/>
              <w:rPr>
                <w:sz w:val="20"/>
                <w:szCs w:val="20"/>
                <w:color w:val="auto"/>
              </w:rPr>
            </w:pPr>
            <w:r>
              <w:rPr>
                <w:rFonts w:ascii="Arial" w:cs="Arial" w:eastAsia="Arial" w:hAnsi="Arial"/>
                <w:sz w:val="13"/>
                <w:szCs w:val="13"/>
                <w:color w:val="auto"/>
              </w:rPr>
              <w:t>2.6</w:t>
            </w:r>
          </w:p>
        </w:tc>
        <w:tc>
          <w:tcPr>
            <w:tcW w:w="12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1.3</w:t>
            </w:r>
          </w:p>
        </w:tc>
        <w:tc>
          <w:tcPr>
            <w:tcW w:w="1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96"/>
              <w:spacing w:after="0"/>
              <w:rPr>
                <w:sz w:val="20"/>
                <w:szCs w:val="20"/>
                <w:color w:val="auto"/>
              </w:rPr>
            </w:pPr>
            <w:r>
              <w:rPr>
                <w:rFonts w:ascii="Arial" w:cs="Arial" w:eastAsia="Arial" w:hAnsi="Arial"/>
                <w:sz w:val="13"/>
                <w:szCs w:val="13"/>
                <w:color w:val="auto"/>
              </w:rPr>
              <w:t>1.5</w:t>
            </w:r>
          </w:p>
        </w:tc>
        <w:tc>
          <w:tcPr>
            <w:tcW w:w="6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2.5</w:t>
            </w:r>
          </w:p>
        </w:tc>
        <w:tc>
          <w:tcPr>
            <w:tcW w:w="120" w:type="dxa"/>
            <w:vAlign w:val="bottom"/>
            <w:shd w:val="clear" w:color="auto" w:fill="CCEEFF"/>
          </w:tcPr>
          <w:p>
            <w:pPr>
              <w:spacing w:after="0"/>
              <w:rPr>
                <w:sz w:val="13"/>
                <w:szCs w:val="13"/>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2.2</w:t>
            </w:r>
          </w:p>
        </w:tc>
        <w:tc>
          <w:tcPr>
            <w:tcW w:w="18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6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3.0</w:t>
            </w:r>
          </w:p>
        </w:tc>
        <w:tc>
          <w:tcPr>
            <w:tcW w:w="120" w:type="dxa"/>
            <w:vAlign w:val="bottom"/>
            <w:shd w:val="clear" w:color="auto" w:fill="CCEEFF"/>
          </w:tcPr>
          <w:p>
            <w:pPr>
              <w:spacing w:after="0"/>
              <w:rPr>
                <w:sz w:val="13"/>
                <w:szCs w:val="13"/>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3.1</w:t>
            </w:r>
          </w:p>
        </w:tc>
        <w:tc>
          <w:tcPr>
            <w:tcW w:w="200" w:type="dxa"/>
            <w:vAlign w:val="bottom"/>
            <w:shd w:val="clear" w:color="auto" w:fill="CCEEFF"/>
          </w:tcPr>
          <w:p>
            <w:pPr>
              <w:spacing w:after="0"/>
              <w:rPr>
                <w:sz w:val="13"/>
                <w:szCs w:val="13"/>
                <w:color w:val="auto"/>
              </w:rPr>
            </w:pPr>
          </w:p>
        </w:tc>
        <w:tc>
          <w:tcPr>
            <w:tcW w:w="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3.8</w:t>
            </w:r>
          </w:p>
        </w:tc>
        <w:tc>
          <w:tcPr>
            <w:tcW w:w="120" w:type="dxa"/>
            <w:vAlign w:val="bottom"/>
            <w:shd w:val="clear" w:color="auto" w:fill="CCEEFF"/>
          </w:tcPr>
          <w:p>
            <w:pPr>
              <w:spacing w:after="0"/>
              <w:rPr>
                <w:sz w:val="13"/>
                <w:szCs w:val="13"/>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4.3</w:t>
            </w: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540" w:type="dxa"/>
            <w:vAlign w:val="bottom"/>
          </w:tcPr>
          <w:p>
            <w:pPr>
              <w:ind w:left="160"/>
              <w:spacing w:after="0"/>
              <w:rPr>
                <w:sz w:val="20"/>
                <w:szCs w:val="20"/>
                <w:color w:val="auto"/>
              </w:rPr>
            </w:pPr>
            <w:r>
              <w:rPr>
                <w:rFonts w:ascii="Arial" w:cs="Arial" w:eastAsia="Arial" w:hAnsi="Arial"/>
                <w:sz w:val="13"/>
                <w:szCs w:val="13"/>
                <w:color w:val="auto"/>
              </w:rPr>
              <w:t>Germany</w:t>
            </w:r>
          </w:p>
        </w:tc>
        <w:tc>
          <w:tcPr>
            <w:tcW w:w="100" w:type="dxa"/>
            <w:vAlign w:val="bottom"/>
          </w:tcPr>
          <w:p>
            <w:pPr>
              <w:spacing w:after="0"/>
              <w:rPr>
                <w:sz w:val="13"/>
                <w:szCs w:val="13"/>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0.2</w:t>
            </w:r>
          </w:p>
        </w:tc>
        <w:tc>
          <w:tcPr>
            <w:tcW w:w="120" w:type="dxa"/>
            <w:vAlign w:val="bottom"/>
          </w:tcPr>
          <w:p>
            <w:pPr>
              <w:spacing w:after="0"/>
              <w:rPr>
                <w:sz w:val="13"/>
                <w:szCs w:val="13"/>
                <w:color w:val="auto"/>
              </w:rPr>
            </w:pPr>
          </w:p>
        </w:tc>
        <w:tc>
          <w:tcPr>
            <w:tcW w:w="720" w:type="dxa"/>
            <w:vAlign w:val="bottom"/>
            <w:gridSpan w:val="2"/>
          </w:tcPr>
          <w:p>
            <w:pPr>
              <w:jc w:val="right"/>
              <w:ind w:right="196"/>
              <w:spacing w:after="0"/>
              <w:rPr>
                <w:sz w:val="20"/>
                <w:szCs w:val="20"/>
                <w:color w:val="auto"/>
              </w:rPr>
            </w:pPr>
            <w:r>
              <w:rPr>
                <w:rFonts w:ascii="Arial" w:cs="Arial" w:eastAsia="Arial" w:hAnsi="Arial"/>
                <w:sz w:val="13"/>
                <w:szCs w:val="13"/>
                <w:color w:val="auto"/>
              </w:rPr>
              <w:t>0.2</w:t>
            </w:r>
          </w:p>
        </w:tc>
        <w:tc>
          <w:tcPr>
            <w:tcW w:w="120" w:type="dxa"/>
            <w:vAlign w:val="bottom"/>
          </w:tcPr>
          <w:p>
            <w:pPr>
              <w:spacing w:after="0"/>
              <w:rPr>
                <w:sz w:val="13"/>
                <w:szCs w:val="13"/>
                <w:color w:val="auto"/>
              </w:rPr>
            </w:pPr>
          </w:p>
        </w:tc>
        <w:tc>
          <w:tcPr>
            <w:tcW w:w="700" w:type="dxa"/>
            <w:vAlign w:val="bottom"/>
            <w:gridSpan w:val="2"/>
          </w:tcPr>
          <w:p>
            <w:pPr>
              <w:jc w:val="right"/>
              <w:ind w:right="240"/>
              <w:spacing w:after="0"/>
              <w:rPr>
                <w:sz w:val="20"/>
                <w:szCs w:val="20"/>
                <w:color w:val="auto"/>
              </w:rPr>
            </w:pPr>
            <w:r>
              <w:rPr>
                <w:rFonts w:ascii="Arial" w:cs="Arial" w:eastAsia="Arial" w:hAnsi="Arial"/>
                <w:sz w:val="13"/>
                <w:szCs w:val="13"/>
                <w:color w:val="auto"/>
              </w:rPr>
              <w:t>0.3</w:t>
            </w:r>
          </w:p>
        </w:tc>
        <w:tc>
          <w:tcPr>
            <w:tcW w:w="120" w:type="dxa"/>
            <w:vAlign w:val="bottom"/>
          </w:tcPr>
          <w:p>
            <w:pPr>
              <w:spacing w:after="0"/>
              <w:rPr>
                <w:sz w:val="13"/>
                <w:szCs w:val="13"/>
                <w:color w:val="auto"/>
              </w:rPr>
            </w:pPr>
          </w:p>
        </w:tc>
        <w:tc>
          <w:tcPr>
            <w:tcW w:w="720" w:type="dxa"/>
            <w:vAlign w:val="bottom"/>
            <w:gridSpan w:val="2"/>
          </w:tcPr>
          <w:p>
            <w:pPr>
              <w:jc w:val="right"/>
              <w:ind w:right="196"/>
              <w:spacing w:after="0"/>
              <w:rPr>
                <w:sz w:val="20"/>
                <w:szCs w:val="20"/>
                <w:color w:val="auto"/>
              </w:rPr>
            </w:pPr>
            <w:r>
              <w:rPr>
                <w:rFonts w:ascii="Arial" w:cs="Arial" w:eastAsia="Arial" w:hAnsi="Arial"/>
                <w:sz w:val="13"/>
                <w:szCs w:val="13"/>
                <w:color w:val="auto"/>
              </w:rPr>
              <w:t>0.3</w:t>
            </w:r>
          </w:p>
        </w:tc>
        <w:tc>
          <w:tcPr>
            <w:tcW w:w="60" w:type="dxa"/>
            <w:vAlign w:val="bottom"/>
          </w:tcPr>
          <w:p>
            <w:pPr>
              <w:spacing w:after="0"/>
              <w:rPr>
                <w:sz w:val="13"/>
                <w:szCs w:val="13"/>
                <w:color w:val="auto"/>
              </w:rPr>
            </w:pPr>
          </w:p>
        </w:tc>
        <w:tc>
          <w:tcPr>
            <w:tcW w:w="720" w:type="dxa"/>
            <w:vAlign w:val="bottom"/>
            <w:gridSpan w:val="2"/>
          </w:tcPr>
          <w:p>
            <w:pPr>
              <w:jc w:val="right"/>
              <w:ind w:right="220"/>
              <w:spacing w:after="0"/>
              <w:rPr>
                <w:sz w:val="20"/>
                <w:szCs w:val="20"/>
                <w:color w:val="auto"/>
              </w:rPr>
            </w:pPr>
            <w:r>
              <w:rPr>
                <w:rFonts w:ascii="Arial" w:cs="Arial" w:eastAsia="Arial" w:hAnsi="Arial"/>
                <w:sz w:val="13"/>
                <w:szCs w:val="13"/>
                <w:color w:val="auto"/>
              </w:rPr>
              <w:t>0.4</w:t>
            </w:r>
          </w:p>
        </w:tc>
        <w:tc>
          <w:tcPr>
            <w:tcW w:w="1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0.4</w:t>
            </w:r>
          </w:p>
        </w:tc>
        <w:tc>
          <w:tcPr>
            <w:tcW w:w="18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660" w:type="dxa"/>
            <w:vAlign w:val="bottom"/>
            <w:gridSpan w:val="2"/>
          </w:tcPr>
          <w:p>
            <w:pPr>
              <w:jc w:val="right"/>
              <w:ind w:right="200"/>
              <w:spacing w:after="0"/>
              <w:rPr>
                <w:sz w:val="20"/>
                <w:szCs w:val="20"/>
                <w:color w:val="auto"/>
              </w:rPr>
            </w:pPr>
            <w:r>
              <w:rPr>
                <w:rFonts w:ascii="Arial" w:cs="Arial" w:eastAsia="Arial" w:hAnsi="Arial"/>
                <w:sz w:val="13"/>
                <w:szCs w:val="13"/>
                <w:color w:val="auto"/>
              </w:rPr>
              <w:t>0.9</w:t>
            </w:r>
          </w:p>
        </w:tc>
        <w:tc>
          <w:tcPr>
            <w:tcW w:w="1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1.0</w:t>
            </w:r>
          </w:p>
        </w:tc>
        <w:tc>
          <w:tcPr>
            <w:tcW w:w="20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680" w:type="dxa"/>
            <w:vAlign w:val="bottom"/>
            <w:gridSpan w:val="2"/>
          </w:tcPr>
          <w:p>
            <w:pPr>
              <w:jc w:val="right"/>
              <w:ind w:right="220"/>
              <w:spacing w:after="0"/>
              <w:rPr>
                <w:sz w:val="20"/>
                <w:szCs w:val="20"/>
                <w:color w:val="auto"/>
              </w:rPr>
            </w:pPr>
            <w:r>
              <w:rPr>
                <w:rFonts w:ascii="Arial" w:cs="Arial" w:eastAsia="Arial" w:hAnsi="Arial"/>
                <w:sz w:val="13"/>
                <w:szCs w:val="13"/>
                <w:color w:val="auto"/>
              </w:rPr>
              <w:t>1.0</w:t>
            </w:r>
          </w:p>
        </w:tc>
        <w:tc>
          <w:tcPr>
            <w:tcW w:w="1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1.2</w:t>
            </w: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540" w:type="dxa"/>
            <w:vAlign w:val="bottom"/>
            <w:shd w:val="clear" w:color="auto" w:fill="CCEEFF"/>
          </w:tcPr>
          <w:p>
            <w:pPr>
              <w:ind w:left="160"/>
              <w:spacing w:after="0"/>
              <w:rPr>
                <w:sz w:val="20"/>
                <w:szCs w:val="20"/>
                <w:color w:val="auto"/>
              </w:rPr>
            </w:pPr>
            <w:r>
              <w:rPr>
                <w:rFonts w:ascii="Arial" w:cs="Arial" w:eastAsia="Arial" w:hAnsi="Arial"/>
                <w:sz w:val="13"/>
                <w:szCs w:val="13"/>
                <w:color w:val="auto"/>
              </w:rPr>
              <w:t>Guatemala</w:t>
            </w:r>
          </w:p>
        </w:tc>
        <w:tc>
          <w:tcPr>
            <w:tcW w:w="10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1.6</w:t>
            </w:r>
          </w:p>
        </w:tc>
        <w:tc>
          <w:tcPr>
            <w:tcW w:w="1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96"/>
              <w:spacing w:after="0"/>
              <w:rPr>
                <w:sz w:val="20"/>
                <w:szCs w:val="20"/>
                <w:color w:val="auto"/>
              </w:rPr>
            </w:pPr>
            <w:r>
              <w:rPr>
                <w:rFonts w:ascii="Arial" w:cs="Arial" w:eastAsia="Arial" w:hAnsi="Arial"/>
                <w:sz w:val="13"/>
                <w:szCs w:val="13"/>
                <w:color w:val="auto"/>
              </w:rPr>
              <w:t>1.6</w:t>
            </w:r>
          </w:p>
        </w:tc>
        <w:tc>
          <w:tcPr>
            <w:tcW w:w="12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3.3</w:t>
            </w:r>
          </w:p>
        </w:tc>
        <w:tc>
          <w:tcPr>
            <w:tcW w:w="1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96"/>
              <w:spacing w:after="0"/>
              <w:rPr>
                <w:sz w:val="20"/>
                <w:szCs w:val="20"/>
                <w:color w:val="auto"/>
              </w:rPr>
            </w:pPr>
            <w:r>
              <w:rPr>
                <w:rFonts w:ascii="Arial" w:cs="Arial" w:eastAsia="Arial" w:hAnsi="Arial"/>
                <w:sz w:val="13"/>
                <w:szCs w:val="13"/>
                <w:color w:val="auto"/>
              </w:rPr>
              <w:t>3.8</w:t>
            </w:r>
          </w:p>
        </w:tc>
        <w:tc>
          <w:tcPr>
            <w:tcW w:w="6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1.2</w:t>
            </w:r>
          </w:p>
        </w:tc>
        <w:tc>
          <w:tcPr>
            <w:tcW w:w="120" w:type="dxa"/>
            <w:vAlign w:val="bottom"/>
            <w:shd w:val="clear" w:color="auto" w:fill="CCEEFF"/>
          </w:tcPr>
          <w:p>
            <w:pPr>
              <w:spacing w:after="0"/>
              <w:rPr>
                <w:sz w:val="13"/>
                <w:szCs w:val="13"/>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1.0</w:t>
            </w:r>
          </w:p>
        </w:tc>
        <w:tc>
          <w:tcPr>
            <w:tcW w:w="18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6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2.6</w:t>
            </w:r>
          </w:p>
        </w:tc>
        <w:tc>
          <w:tcPr>
            <w:tcW w:w="120" w:type="dxa"/>
            <w:vAlign w:val="bottom"/>
            <w:shd w:val="clear" w:color="auto" w:fill="CCEEFF"/>
          </w:tcPr>
          <w:p>
            <w:pPr>
              <w:spacing w:after="0"/>
              <w:rPr>
                <w:sz w:val="13"/>
                <w:szCs w:val="13"/>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2.7</w:t>
            </w:r>
          </w:p>
        </w:tc>
        <w:tc>
          <w:tcPr>
            <w:tcW w:w="200" w:type="dxa"/>
            <w:vAlign w:val="bottom"/>
            <w:shd w:val="clear" w:color="auto" w:fill="CCEEFF"/>
          </w:tcPr>
          <w:p>
            <w:pPr>
              <w:spacing w:after="0"/>
              <w:rPr>
                <w:sz w:val="13"/>
                <w:szCs w:val="13"/>
                <w:color w:val="auto"/>
              </w:rPr>
            </w:pPr>
          </w:p>
        </w:tc>
        <w:tc>
          <w:tcPr>
            <w:tcW w:w="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1.2</w:t>
            </w:r>
          </w:p>
        </w:tc>
        <w:tc>
          <w:tcPr>
            <w:tcW w:w="120" w:type="dxa"/>
            <w:vAlign w:val="bottom"/>
            <w:shd w:val="clear" w:color="auto" w:fill="CCEEFF"/>
          </w:tcPr>
          <w:p>
            <w:pPr>
              <w:spacing w:after="0"/>
              <w:rPr>
                <w:sz w:val="13"/>
                <w:szCs w:val="13"/>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1.4</w:t>
            </w: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540" w:type="dxa"/>
            <w:vAlign w:val="bottom"/>
          </w:tcPr>
          <w:p>
            <w:pPr>
              <w:ind w:left="160"/>
              <w:spacing w:after="0"/>
              <w:rPr>
                <w:sz w:val="20"/>
                <w:szCs w:val="20"/>
                <w:color w:val="auto"/>
              </w:rPr>
            </w:pPr>
            <w:r>
              <w:rPr>
                <w:rFonts w:ascii="Arial" w:cs="Arial" w:eastAsia="Arial" w:hAnsi="Arial"/>
                <w:sz w:val="13"/>
                <w:szCs w:val="13"/>
                <w:color w:val="auto"/>
              </w:rPr>
              <w:t>Honduras</w:t>
            </w:r>
          </w:p>
        </w:tc>
        <w:tc>
          <w:tcPr>
            <w:tcW w:w="100" w:type="dxa"/>
            <w:vAlign w:val="bottom"/>
          </w:tcPr>
          <w:p>
            <w:pPr>
              <w:spacing w:after="0"/>
              <w:rPr>
                <w:sz w:val="13"/>
                <w:szCs w:val="13"/>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3.4</w:t>
            </w:r>
          </w:p>
        </w:tc>
        <w:tc>
          <w:tcPr>
            <w:tcW w:w="120" w:type="dxa"/>
            <w:vAlign w:val="bottom"/>
          </w:tcPr>
          <w:p>
            <w:pPr>
              <w:spacing w:after="0"/>
              <w:rPr>
                <w:sz w:val="13"/>
                <w:szCs w:val="13"/>
                <w:color w:val="auto"/>
              </w:rPr>
            </w:pPr>
          </w:p>
        </w:tc>
        <w:tc>
          <w:tcPr>
            <w:tcW w:w="720" w:type="dxa"/>
            <w:vAlign w:val="bottom"/>
            <w:gridSpan w:val="2"/>
          </w:tcPr>
          <w:p>
            <w:pPr>
              <w:jc w:val="right"/>
              <w:ind w:right="196"/>
              <w:spacing w:after="0"/>
              <w:rPr>
                <w:sz w:val="20"/>
                <w:szCs w:val="20"/>
                <w:color w:val="auto"/>
              </w:rPr>
            </w:pPr>
            <w:r>
              <w:rPr>
                <w:rFonts w:ascii="Arial" w:cs="Arial" w:eastAsia="Arial" w:hAnsi="Arial"/>
                <w:sz w:val="13"/>
                <w:szCs w:val="13"/>
                <w:color w:val="auto"/>
              </w:rPr>
              <w:t>3.2</w:t>
            </w:r>
          </w:p>
        </w:tc>
        <w:tc>
          <w:tcPr>
            <w:tcW w:w="120" w:type="dxa"/>
            <w:vAlign w:val="bottom"/>
          </w:tcPr>
          <w:p>
            <w:pPr>
              <w:spacing w:after="0"/>
              <w:rPr>
                <w:sz w:val="13"/>
                <w:szCs w:val="13"/>
                <w:color w:val="auto"/>
              </w:rPr>
            </w:pPr>
          </w:p>
        </w:tc>
        <w:tc>
          <w:tcPr>
            <w:tcW w:w="700" w:type="dxa"/>
            <w:vAlign w:val="bottom"/>
            <w:gridSpan w:val="2"/>
          </w:tcPr>
          <w:p>
            <w:pPr>
              <w:jc w:val="right"/>
              <w:ind w:right="240"/>
              <w:spacing w:after="0"/>
              <w:rPr>
                <w:sz w:val="20"/>
                <w:szCs w:val="20"/>
                <w:color w:val="auto"/>
              </w:rPr>
            </w:pPr>
            <w:r>
              <w:rPr>
                <w:rFonts w:ascii="Arial" w:cs="Arial" w:eastAsia="Arial" w:hAnsi="Arial"/>
                <w:sz w:val="13"/>
                <w:szCs w:val="13"/>
                <w:color w:val="auto"/>
              </w:rPr>
              <w:t>6.2</w:t>
            </w:r>
          </w:p>
        </w:tc>
        <w:tc>
          <w:tcPr>
            <w:tcW w:w="120" w:type="dxa"/>
            <w:vAlign w:val="bottom"/>
          </w:tcPr>
          <w:p>
            <w:pPr>
              <w:spacing w:after="0"/>
              <w:rPr>
                <w:sz w:val="13"/>
                <w:szCs w:val="13"/>
                <w:color w:val="auto"/>
              </w:rPr>
            </w:pPr>
          </w:p>
        </w:tc>
        <w:tc>
          <w:tcPr>
            <w:tcW w:w="720" w:type="dxa"/>
            <w:vAlign w:val="bottom"/>
            <w:gridSpan w:val="2"/>
          </w:tcPr>
          <w:p>
            <w:pPr>
              <w:jc w:val="right"/>
              <w:ind w:right="196"/>
              <w:spacing w:after="0"/>
              <w:rPr>
                <w:sz w:val="20"/>
                <w:szCs w:val="20"/>
                <w:color w:val="auto"/>
              </w:rPr>
            </w:pPr>
            <w:r>
              <w:rPr>
                <w:rFonts w:ascii="Arial" w:cs="Arial" w:eastAsia="Arial" w:hAnsi="Arial"/>
                <w:sz w:val="13"/>
                <w:szCs w:val="13"/>
                <w:color w:val="auto"/>
              </w:rPr>
              <w:t>7.0</w:t>
            </w:r>
          </w:p>
        </w:tc>
        <w:tc>
          <w:tcPr>
            <w:tcW w:w="60" w:type="dxa"/>
            <w:vAlign w:val="bottom"/>
          </w:tcPr>
          <w:p>
            <w:pPr>
              <w:spacing w:after="0"/>
              <w:rPr>
                <w:sz w:val="13"/>
                <w:szCs w:val="13"/>
                <w:color w:val="auto"/>
              </w:rPr>
            </w:pPr>
          </w:p>
        </w:tc>
        <w:tc>
          <w:tcPr>
            <w:tcW w:w="720" w:type="dxa"/>
            <w:vAlign w:val="bottom"/>
            <w:gridSpan w:val="2"/>
          </w:tcPr>
          <w:p>
            <w:pPr>
              <w:jc w:val="right"/>
              <w:ind w:right="220"/>
              <w:spacing w:after="0"/>
              <w:rPr>
                <w:sz w:val="20"/>
                <w:szCs w:val="20"/>
                <w:color w:val="auto"/>
              </w:rPr>
            </w:pPr>
            <w:r>
              <w:rPr>
                <w:rFonts w:ascii="Arial" w:cs="Arial" w:eastAsia="Arial" w:hAnsi="Arial"/>
                <w:sz w:val="13"/>
                <w:szCs w:val="13"/>
                <w:color w:val="auto"/>
              </w:rPr>
              <w:t>1.7</w:t>
            </w:r>
          </w:p>
        </w:tc>
        <w:tc>
          <w:tcPr>
            <w:tcW w:w="1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1.5</w:t>
            </w:r>
          </w:p>
        </w:tc>
        <w:tc>
          <w:tcPr>
            <w:tcW w:w="18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660" w:type="dxa"/>
            <w:vAlign w:val="bottom"/>
            <w:gridSpan w:val="2"/>
          </w:tcPr>
          <w:p>
            <w:pPr>
              <w:jc w:val="right"/>
              <w:ind w:right="200"/>
              <w:spacing w:after="0"/>
              <w:rPr>
                <w:sz w:val="20"/>
                <w:szCs w:val="20"/>
                <w:color w:val="auto"/>
              </w:rPr>
            </w:pPr>
            <w:r>
              <w:rPr>
                <w:rFonts w:ascii="Arial" w:cs="Arial" w:eastAsia="Arial" w:hAnsi="Arial"/>
                <w:sz w:val="13"/>
                <w:szCs w:val="13"/>
                <w:color w:val="auto"/>
              </w:rPr>
              <w:t>5.2</w:t>
            </w:r>
          </w:p>
        </w:tc>
        <w:tc>
          <w:tcPr>
            <w:tcW w:w="1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5.4</w:t>
            </w:r>
          </w:p>
        </w:tc>
        <w:tc>
          <w:tcPr>
            <w:tcW w:w="20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680" w:type="dxa"/>
            <w:vAlign w:val="bottom"/>
            <w:gridSpan w:val="2"/>
          </w:tcPr>
          <w:p>
            <w:pPr>
              <w:jc w:val="right"/>
              <w:ind w:right="220"/>
              <w:spacing w:after="0"/>
              <w:rPr>
                <w:sz w:val="20"/>
                <w:szCs w:val="20"/>
                <w:color w:val="auto"/>
              </w:rPr>
            </w:pPr>
            <w:r>
              <w:rPr>
                <w:rFonts w:ascii="Arial" w:cs="Arial" w:eastAsia="Arial" w:hAnsi="Arial"/>
                <w:sz w:val="13"/>
                <w:szCs w:val="13"/>
                <w:color w:val="auto"/>
              </w:rPr>
              <w:t>3.0</w:t>
            </w:r>
          </w:p>
        </w:tc>
        <w:tc>
          <w:tcPr>
            <w:tcW w:w="1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3.5</w:t>
            </w: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540" w:type="dxa"/>
            <w:vAlign w:val="bottom"/>
            <w:shd w:val="clear" w:color="auto" w:fill="CCEEFF"/>
          </w:tcPr>
          <w:p>
            <w:pPr>
              <w:ind w:left="160"/>
              <w:spacing w:after="0"/>
              <w:rPr>
                <w:sz w:val="20"/>
                <w:szCs w:val="20"/>
                <w:color w:val="auto"/>
              </w:rPr>
            </w:pPr>
            <w:r>
              <w:rPr>
                <w:rFonts w:ascii="Arial" w:cs="Arial" w:eastAsia="Arial" w:hAnsi="Arial"/>
                <w:sz w:val="13"/>
                <w:szCs w:val="13"/>
                <w:color w:val="auto"/>
              </w:rPr>
              <w:t>Mexico</w:t>
            </w:r>
          </w:p>
        </w:tc>
        <w:tc>
          <w:tcPr>
            <w:tcW w:w="10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0.8</w:t>
            </w:r>
          </w:p>
        </w:tc>
        <w:tc>
          <w:tcPr>
            <w:tcW w:w="1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96"/>
              <w:spacing w:after="0"/>
              <w:rPr>
                <w:sz w:val="20"/>
                <w:szCs w:val="20"/>
                <w:color w:val="auto"/>
              </w:rPr>
            </w:pPr>
            <w:r>
              <w:rPr>
                <w:rFonts w:ascii="Arial" w:cs="Arial" w:eastAsia="Arial" w:hAnsi="Arial"/>
                <w:sz w:val="13"/>
                <w:szCs w:val="13"/>
                <w:color w:val="auto"/>
              </w:rPr>
              <w:t>0.7</w:t>
            </w:r>
          </w:p>
        </w:tc>
        <w:tc>
          <w:tcPr>
            <w:tcW w:w="12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1.2</w:t>
            </w:r>
          </w:p>
        </w:tc>
        <w:tc>
          <w:tcPr>
            <w:tcW w:w="1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96"/>
              <w:spacing w:after="0"/>
              <w:rPr>
                <w:sz w:val="20"/>
                <w:szCs w:val="20"/>
                <w:color w:val="auto"/>
              </w:rPr>
            </w:pPr>
            <w:r>
              <w:rPr>
                <w:rFonts w:ascii="Arial" w:cs="Arial" w:eastAsia="Arial" w:hAnsi="Arial"/>
                <w:sz w:val="13"/>
                <w:szCs w:val="13"/>
                <w:color w:val="auto"/>
              </w:rPr>
              <w:t>1.4</w:t>
            </w:r>
          </w:p>
        </w:tc>
        <w:tc>
          <w:tcPr>
            <w:tcW w:w="6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6.7</w:t>
            </w:r>
          </w:p>
        </w:tc>
        <w:tc>
          <w:tcPr>
            <w:tcW w:w="120" w:type="dxa"/>
            <w:vAlign w:val="bottom"/>
            <w:shd w:val="clear" w:color="auto" w:fill="CCEEFF"/>
          </w:tcPr>
          <w:p>
            <w:pPr>
              <w:spacing w:after="0"/>
              <w:rPr>
                <w:sz w:val="13"/>
                <w:szCs w:val="13"/>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6.0</w:t>
            </w:r>
          </w:p>
        </w:tc>
        <w:tc>
          <w:tcPr>
            <w:tcW w:w="18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6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3.3</w:t>
            </w:r>
          </w:p>
        </w:tc>
        <w:tc>
          <w:tcPr>
            <w:tcW w:w="120" w:type="dxa"/>
            <w:vAlign w:val="bottom"/>
            <w:shd w:val="clear" w:color="auto" w:fill="CCEEFF"/>
          </w:tcPr>
          <w:p>
            <w:pPr>
              <w:spacing w:after="0"/>
              <w:rPr>
                <w:sz w:val="13"/>
                <w:szCs w:val="13"/>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3.4</w:t>
            </w:r>
          </w:p>
        </w:tc>
        <w:tc>
          <w:tcPr>
            <w:tcW w:w="200" w:type="dxa"/>
            <w:vAlign w:val="bottom"/>
            <w:shd w:val="clear" w:color="auto" w:fill="CCEEFF"/>
          </w:tcPr>
          <w:p>
            <w:pPr>
              <w:spacing w:after="0"/>
              <w:rPr>
                <w:sz w:val="13"/>
                <w:szCs w:val="13"/>
                <w:color w:val="auto"/>
              </w:rPr>
            </w:pPr>
          </w:p>
        </w:tc>
        <w:tc>
          <w:tcPr>
            <w:tcW w:w="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3.4</w:t>
            </w:r>
          </w:p>
        </w:tc>
        <w:tc>
          <w:tcPr>
            <w:tcW w:w="120" w:type="dxa"/>
            <w:vAlign w:val="bottom"/>
            <w:shd w:val="clear" w:color="auto" w:fill="CCEEFF"/>
          </w:tcPr>
          <w:p>
            <w:pPr>
              <w:spacing w:after="0"/>
              <w:rPr>
                <w:sz w:val="13"/>
                <w:szCs w:val="13"/>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3.9</w:t>
            </w: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540" w:type="dxa"/>
            <w:vAlign w:val="bottom"/>
          </w:tcPr>
          <w:p>
            <w:pPr>
              <w:ind w:left="160"/>
              <w:spacing w:after="0"/>
              <w:rPr>
                <w:sz w:val="20"/>
                <w:szCs w:val="20"/>
                <w:color w:val="auto"/>
              </w:rPr>
            </w:pPr>
            <w:r>
              <w:rPr>
                <w:rFonts w:ascii="Arial" w:cs="Arial" w:eastAsia="Arial" w:hAnsi="Arial"/>
                <w:sz w:val="13"/>
                <w:szCs w:val="13"/>
                <w:color w:val="auto"/>
              </w:rPr>
              <w:t>Nicaragua</w:t>
            </w:r>
          </w:p>
        </w:tc>
        <w:tc>
          <w:tcPr>
            <w:tcW w:w="100" w:type="dxa"/>
            <w:vAlign w:val="bottom"/>
          </w:tcPr>
          <w:p>
            <w:pPr>
              <w:spacing w:after="0"/>
              <w:rPr>
                <w:sz w:val="13"/>
                <w:szCs w:val="13"/>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0.0</w:t>
            </w:r>
          </w:p>
        </w:tc>
        <w:tc>
          <w:tcPr>
            <w:tcW w:w="120" w:type="dxa"/>
            <w:vAlign w:val="bottom"/>
          </w:tcPr>
          <w:p>
            <w:pPr>
              <w:spacing w:after="0"/>
              <w:rPr>
                <w:sz w:val="13"/>
                <w:szCs w:val="13"/>
                <w:color w:val="auto"/>
              </w:rPr>
            </w:pPr>
          </w:p>
        </w:tc>
        <w:tc>
          <w:tcPr>
            <w:tcW w:w="720" w:type="dxa"/>
            <w:vAlign w:val="bottom"/>
            <w:gridSpan w:val="2"/>
          </w:tcPr>
          <w:p>
            <w:pPr>
              <w:jc w:val="right"/>
              <w:ind w:right="196"/>
              <w:spacing w:after="0"/>
              <w:rPr>
                <w:sz w:val="20"/>
                <w:szCs w:val="20"/>
                <w:color w:val="auto"/>
              </w:rPr>
            </w:pPr>
            <w:r>
              <w:rPr>
                <w:rFonts w:ascii="Arial" w:cs="Arial" w:eastAsia="Arial" w:hAnsi="Arial"/>
                <w:sz w:val="13"/>
                <w:szCs w:val="13"/>
                <w:color w:val="auto"/>
              </w:rPr>
              <w:t>0.0</w:t>
            </w:r>
          </w:p>
        </w:tc>
        <w:tc>
          <w:tcPr>
            <w:tcW w:w="120" w:type="dxa"/>
            <w:vAlign w:val="bottom"/>
          </w:tcPr>
          <w:p>
            <w:pPr>
              <w:spacing w:after="0"/>
              <w:rPr>
                <w:sz w:val="13"/>
                <w:szCs w:val="13"/>
                <w:color w:val="auto"/>
              </w:rPr>
            </w:pPr>
          </w:p>
        </w:tc>
        <w:tc>
          <w:tcPr>
            <w:tcW w:w="700" w:type="dxa"/>
            <w:vAlign w:val="bottom"/>
            <w:gridSpan w:val="2"/>
          </w:tcPr>
          <w:p>
            <w:pPr>
              <w:jc w:val="right"/>
              <w:ind w:right="240"/>
              <w:spacing w:after="0"/>
              <w:rPr>
                <w:sz w:val="20"/>
                <w:szCs w:val="20"/>
                <w:color w:val="auto"/>
              </w:rPr>
            </w:pPr>
            <w:r>
              <w:rPr>
                <w:rFonts w:ascii="Arial" w:cs="Arial" w:eastAsia="Arial" w:hAnsi="Arial"/>
                <w:sz w:val="13"/>
                <w:szCs w:val="13"/>
                <w:color w:val="auto"/>
              </w:rPr>
              <w:t>2.1</w:t>
            </w:r>
          </w:p>
        </w:tc>
        <w:tc>
          <w:tcPr>
            <w:tcW w:w="120" w:type="dxa"/>
            <w:vAlign w:val="bottom"/>
          </w:tcPr>
          <w:p>
            <w:pPr>
              <w:spacing w:after="0"/>
              <w:rPr>
                <w:sz w:val="13"/>
                <w:szCs w:val="13"/>
                <w:color w:val="auto"/>
              </w:rPr>
            </w:pPr>
          </w:p>
        </w:tc>
        <w:tc>
          <w:tcPr>
            <w:tcW w:w="720" w:type="dxa"/>
            <w:vAlign w:val="bottom"/>
            <w:gridSpan w:val="2"/>
          </w:tcPr>
          <w:p>
            <w:pPr>
              <w:jc w:val="right"/>
              <w:ind w:right="196"/>
              <w:spacing w:after="0"/>
              <w:rPr>
                <w:sz w:val="20"/>
                <w:szCs w:val="20"/>
                <w:color w:val="auto"/>
              </w:rPr>
            </w:pPr>
            <w:r>
              <w:rPr>
                <w:rFonts w:ascii="Arial" w:cs="Arial" w:eastAsia="Arial" w:hAnsi="Arial"/>
                <w:sz w:val="13"/>
                <w:szCs w:val="13"/>
                <w:color w:val="auto"/>
              </w:rPr>
              <w:t>2.4</w:t>
            </w:r>
          </w:p>
        </w:tc>
        <w:tc>
          <w:tcPr>
            <w:tcW w:w="60" w:type="dxa"/>
            <w:vAlign w:val="bottom"/>
          </w:tcPr>
          <w:p>
            <w:pPr>
              <w:spacing w:after="0"/>
              <w:rPr>
                <w:sz w:val="13"/>
                <w:szCs w:val="13"/>
                <w:color w:val="auto"/>
              </w:rPr>
            </w:pPr>
          </w:p>
        </w:tc>
        <w:tc>
          <w:tcPr>
            <w:tcW w:w="720" w:type="dxa"/>
            <w:vAlign w:val="bottom"/>
            <w:gridSpan w:val="2"/>
          </w:tcPr>
          <w:p>
            <w:pPr>
              <w:jc w:val="right"/>
              <w:ind w:right="220"/>
              <w:spacing w:after="0"/>
              <w:rPr>
                <w:sz w:val="20"/>
                <w:szCs w:val="20"/>
                <w:color w:val="auto"/>
              </w:rPr>
            </w:pPr>
            <w:r>
              <w:rPr>
                <w:rFonts w:ascii="Arial" w:cs="Arial" w:eastAsia="Arial" w:hAnsi="Arial"/>
                <w:sz w:val="13"/>
                <w:szCs w:val="13"/>
                <w:color w:val="auto"/>
              </w:rPr>
              <w:t>0.9</w:t>
            </w:r>
          </w:p>
        </w:tc>
        <w:tc>
          <w:tcPr>
            <w:tcW w:w="1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0.8</w:t>
            </w:r>
          </w:p>
        </w:tc>
        <w:tc>
          <w:tcPr>
            <w:tcW w:w="18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660" w:type="dxa"/>
            <w:vAlign w:val="bottom"/>
            <w:gridSpan w:val="2"/>
          </w:tcPr>
          <w:p>
            <w:pPr>
              <w:jc w:val="right"/>
              <w:ind w:right="200"/>
              <w:spacing w:after="0"/>
              <w:rPr>
                <w:sz w:val="20"/>
                <w:szCs w:val="20"/>
                <w:color w:val="auto"/>
              </w:rPr>
            </w:pPr>
            <w:r>
              <w:rPr>
                <w:rFonts w:ascii="Arial" w:cs="Arial" w:eastAsia="Arial" w:hAnsi="Arial"/>
                <w:sz w:val="13"/>
                <w:szCs w:val="13"/>
                <w:color w:val="auto"/>
              </w:rPr>
              <w:t>0.7</w:t>
            </w:r>
          </w:p>
        </w:tc>
        <w:tc>
          <w:tcPr>
            <w:tcW w:w="1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0.8</w:t>
            </w:r>
          </w:p>
        </w:tc>
        <w:tc>
          <w:tcPr>
            <w:tcW w:w="20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680" w:type="dxa"/>
            <w:vAlign w:val="bottom"/>
            <w:gridSpan w:val="2"/>
          </w:tcPr>
          <w:p>
            <w:pPr>
              <w:jc w:val="right"/>
              <w:ind w:right="220"/>
              <w:spacing w:after="0"/>
              <w:rPr>
                <w:sz w:val="20"/>
                <w:szCs w:val="20"/>
                <w:color w:val="auto"/>
              </w:rPr>
            </w:pPr>
            <w:r>
              <w:rPr>
                <w:rFonts w:ascii="Arial" w:cs="Arial" w:eastAsia="Arial" w:hAnsi="Arial"/>
                <w:sz w:val="13"/>
                <w:szCs w:val="13"/>
                <w:color w:val="auto"/>
              </w:rPr>
              <w:t>0.3</w:t>
            </w:r>
          </w:p>
        </w:tc>
        <w:tc>
          <w:tcPr>
            <w:tcW w:w="1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0.3</w:t>
            </w: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540" w:type="dxa"/>
            <w:vAlign w:val="bottom"/>
            <w:shd w:val="clear" w:color="auto" w:fill="CCEEFF"/>
          </w:tcPr>
          <w:p>
            <w:pPr>
              <w:ind w:left="160"/>
              <w:spacing w:after="0"/>
              <w:rPr>
                <w:sz w:val="20"/>
                <w:szCs w:val="20"/>
                <w:color w:val="auto"/>
              </w:rPr>
            </w:pPr>
            <w:r>
              <w:rPr>
                <w:rFonts w:ascii="Arial" w:cs="Arial" w:eastAsia="Arial" w:hAnsi="Arial"/>
                <w:sz w:val="13"/>
                <w:szCs w:val="13"/>
                <w:color w:val="auto"/>
              </w:rPr>
              <w:t>Panama</w:t>
            </w:r>
          </w:p>
        </w:tc>
        <w:tc>
          <w:tcPr>
            <w:tcW w:w="10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3.6</w:t>
            </w:r>
          </w:p>
        </w:tc>
        <w:tc>
          <w:tcPr>
            <w:tcW w:w="1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96"/>
              <w:spacing w:after="0"/>
              <w:rPr>
                <w:sz w:val="20"/>
                <w:szCs w:val="20"/>
                <w:color w:val="auto"/>
              </w:rPr>
            </w:pPr>
            <w:r>
              <w:rPr>
                <w:rFonts w:ascii="Arial" w:cs="Arial" w:eastAsia="Arial" w:hAnsi="Arial"/>
                <w:sz w:val="13"/>
                <w:szCs w:val="13"/>
                <w:color w:val="auto"/>
              </w:rPr>
              <w:t>3.5</w:t>
            </w:r>
          </w:p>
        </w:tc>
        <w:tc>
          <w:tcPr>
            <w:tcW w:w="12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3.7</w:t>
            </w:r>
          </w:p>
        </w:tc>
        <w:tc>
          <w:tcPr>
            <w:tcW w:w="1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96"/>
              <w:spacing w:after="0"/>
              <w:rPr>
                <w:sz w:val="20"/>
                <w:szCs w:val="20"/>
                <w:color w:val="auto"/>
              </w:rPr>
            </w:pPr>
            <w:r>
              <w:rPr>
                <w:rFonts w:ascii="Arial" w:cs="Arial" w:eastAsia="Arial" w:hAnsi="Arial"/>
                <w:sz w:val="13"/>
                <w:szCs w:val="13"/>
                <w:color w:val="auto"/>
              </w:rPr>
              <w:t>4.2</w:t>
            </w:r>
          </w:p>
        </w:tc>
        <w:tc>
          <w:tcPr>
            <w:tcW w:w="6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9.9</w:t>
            </w:r>
          </w:p>
        </w:tc>
        <w:tc>
          <w:tcPr>
            <w:tcW w:w="120" w:type="dxa"/>
            <w:vAlign w:val="bottom"/>
            <w:shd w:val="clear" w:color="auto" w:fill="CCEEFF"/>
          </w:tcPr>
          <w:p>
            <w:pPr>
              <w:spacing w:after="0"/>
              <w:rPr>
                <w:sz w:val="13"/>
                <w:szCs w:val="13"/>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8.9</w:t>
            </w:r>
          </w:p>
        </w:tc>
        <w:tc>
          <w:tcPr>
            <w:tcW w:w="18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6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1.4</w:t>
            </w:r>
          </w:p>
        </w:tc>
        <w:tc>
          <w:tcPr>
            <w:tcW w:w="120" w:type="dxa"/>
            <w:vAlign w:val="bottom"/>
            <w:shd w:val="clear" w:color="auto" w:fill="CCEEFF"/>
          </w:tcPr>
          <w:p>
            <w:pPr>
              <w:spacing w:after="0"/>
              <w:rPr>
                <w:sz w:val="13"/>
                <w:szCs w:val="13"/>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1.5</w:t>
            </w:r>
          </w:p>
        </w:tc>
        <w:tc>
          <w:tcPr>
            <w:tcW w:w="200" w:type="dxa"/>
            <w:vAlign w:val="bottom"/>
            <w:shd w:val="clear" w:color="auto" w:fill="CCEEFF"/>
          </w:tcPr>
          <w:p>
            <w:pPr>
              <w:spacing w:after="0"/>
              <w:rPr>
                <w:sz w:val="13"/>
                <w:szCs w:val="13"/>
                <w:color w:val="auto"/>
              </w:rPr>
            </w:pPr>
          </w:p>
        </w:tc>
        <w:tc>
          <w:tcPr>
            <w:tcW w:w="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1.1</w:t>
            </w:r>
          </w:p>
        </w:tc>
        <w:tc>
          <w:tcPr>
            <w:tcW w:w="120" w:type="dxa"/>
            <w:vAlign w:val="bottom"/>
            <w:shd w:val="clear" w:color="auto" w:fill="CCEEFF"/>
          </w:tcPr>
          <w:p>
            <w:pPr>
              <w:spacing w:after="0"/>
              <w:rPr>
                <w:sz w:val="13"/>
                <w:szCs w:val="13"/>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1.3</w:t>
            </w: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540" w:type="dxa"/>
            <w:vAlign w:val="bottom"/>
          </w:tcPr>
          <w:p>
            <w:pPr>
              <w:ind w:left="160"/>
              <w:spacing w:after="0"/>
              <w:rPr>
                <w:sz w:val="20"/>
                <w:szCs w:val="20"/>
                <w:color w:val="auto"/>
              </w:rPr>
            </w:pPr>
            <w:r>
              <w:rPr>
                <w:rFonts w:ascii="Arial" w:cs="Arial" w:eastAsia="Arial" w:hAnsi="Arial"/>
                <w:sz w:val="13"/>
                <w:szCs w:val="13"/>
                <w:color w:val="auto"/>
              </w:rPr>
              <w:t>Paraguay</w:t>
            </w:r>
          </w:p>
        </w:tc>
        <w:tc>
          <w:tcPr>
            <w:tcW w:w="100" w:type="dxa"/>
            <w:vAlign w:val="bottom"/>
          </w:tcPr>
          <w:p>
            <w:pPr>
              <w:spacing w:after="0"/>
              <w:rPr>
                <w:sz w:val="13"/>
                <w:szCs w:val="13"/>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0.9</w:t>
            </w:r>
          </w:p>
        </w:tc>
        <w:tc>
          <w:tcPr>
            <w:tcW w:w="120" w:type="dxa"/>
            <w:vAlign w:val="bottom"/>
          </w:tcPr>
          <w:p>
            <w:pPr>
              <w:spacing w:after="0"/>
              <w:rPr>
                <w:sz w:val="13"/>
                <w:szCs w:val="13"/>
                <w:color w:val="auto"/>
              </w:rPr>
            </w:pPr>
          </w:p>
        </w:tc>
        <w:tc>
          <w:tcPr>
            <w:tcW w:w="720" w:type="dxa"/>
            <w:vAlign w:val="bottom"/>
            <w:gridSpan w:val="2"/>
          </w:tcPr>
          <w:p>
            <w:pPr>
              <w:jc w:val="right"/>
              <w:ind w:right="196"/>
              <w:spacing w:after="0"/>
              <w:rPr>
                <w:sz w:val="20"/>
                <w:szCs w:val="20"/>
                <w:color w:val="auto"/>
              </w:rPr>
            </w:pPr>
            <w:r>
              <w:rPr>
                <w:rFonts w:ascii="Arial" w:cs="Arial" w:eastAsia="Arial" w:hAnsi="Arial"/>
                <w:sz w:val="13"/>
                <w:szCs w:val="13"/>
                <w:color w:val="auto"/>
              </w:rPr>
              <w:t>0.8</w:t>
            </w:r>
          </w:p>
        </w:tc>
        <w:tc>
          <w:tcPr>
            <w:tcW w:w="120" w:type="dxa"/>
            <w:vAlign w:val="bottom"/>
          </w:tcPr>
          <w:p>
            <w:pPr>
              <w:spacing w:after="0"/>
              <w:rPr>
                <w:sz w:val="13"/>
                <w:szCs w:val="13"/>
                <w:color w:val="auto"/>
              </w:rPr>
            </w:pPr>
          </w:p>
        </w:tc>
        <w:tc>
          <w:tcPr>
            <w:tcW w:w="700" w:type="dxa"/>
            <w:vAlign w:val="bottom"/>
            <w:gridSpan w:val="2"/>
          </w:tcPr>
          <w:p>
            <w:pPr>
              <w:jc w:val="right"/>
              <w:ind w:right="240"/>
              <w:spacing w:after="0"/>
              <w:rPr>
                <w:sz w:val="20"/>
                <w:szCs w:val="20"/>
                <w:color w:val="auto"/>
              </w:rPr>
            </w:pPr>
            <w:r>
              <w:rPr>
                <w:rFonts w:ascii="Arial" w:cs="Arial" w:eastAsia="Arial" w:hAnsi="Arial"/>
                <w:sz w:val="13"/>
                <w:szCs w:val="13"/>
                <w:color w:val="auto"/>
              </w:rPr>
              <w:t>4.8</w:t>
            </w:r>
          </w:p>
        </w:tc>
        <w:tc>
          <w:tcPr>
            <w:tcW w:w="120" w:type="dxa"/>
            <w:vAlign w:val="bottom"/>
          </w:tcPr>
          <w:p>
            <w:pPr>
              <w:spacing w:after="0"/>
              <w:rPr>
                <w:sz w:val="13"/>
                <w:szCs w:val="13"/>
                <w:color w:val="auto"/>
              </w:rPr>
            </w:pPr>
          </w:p>
        </w:tc>
        <w:tc>
          <w:tcPr>
            <w:tcW w:w="720" w:type="dxa"/>
            <w:vAlign w:val="bottom"/>
            <w:gridSpan w:val="2"/>
          </w:tcPr>
          <w:p>
            <w:pPr>
              <w:jc w:val="right"/>
              <w:ind w:right="196"/>
              <w:spacing w:after="0"/>
              <w:rPr>
                <w:sz w:val="20"/>
                <w:szCs w:val="20"/>
                <w:color w:val="auto"/>
              </w:rPr>
            </w:pPr>
            <w:r>
              <w:rPr>
                <w:rFonts w:ascii="Arial" w:cs="Arial" w:eastAsia="Arial" w:hAnsi="Arial"/>
                <w:sz w:val="13"/>
                <w:szCs w:val="13"/>
                <w:color w:val="auto"/>
              </w:rPr>
              <w:t>5.4</w:t>
            </w:r>
          </w:p>
        </w:tc>
        <w:tc>
          <w:tcPr>
            <w:tcW w:w="60" w:type="dxa"/>
            <w:vAlign w:val="bottom"/>
          </w:tcPr>
          <w:p>
            <w:pPr>
              <w:spacing w:after="0"/>
              <w:rPr>
                <w:sz w:val="13"/>
                <w:szCs w:val="13"/>
                <w:color w:val="auto"/>
              </w:rPr>
            </w:pPr>
          </w:p>
        </w:tc>
        <w:tc>
          <w:tcPr>
            <w:tcW w:w="720" w:type="dxa"/>
            <w:vAlign w:val="bottom"/>
            <w:gridSpan w:val="2"/>
          </w:tcPr>
          <w:p>
            <w:pPr>
              <w:jc w:val="right"/>
              <w:ind w:right="220"/>
              <w:spacing w:after="0"/>
              <w:rPr>
                <w:sz w:val="20"/>
                <w:szCs w:val="20"/>
                <w:color w:val="auto"/>
              </w:rPr>
            </w:pPr>
            <w:r>
              <w:rPr>
                <w:rFonts w:ascii="Arial" w:cs="Arial" w:eastAsia="Arial" w:hAnsi="Arial"/>
                <w:sz w:val="13"/>
                <w:szCs w:val="13"/>
                <w:color w:val="auto"/>
              </w:rPr>
              <w:t>6.4</w:t>
            </w:r>
          </w:p>
        </w:tc>
        <w:tc>
          <w:tcPr>
            <w:tcW w:w="1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5.7</w:t>
            </w:r>
          </w:p>
        </w:tc>
        <w:tc>
          <w:tcPr>
            <w:tcW w:w="18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660" w:type="dxa"/>
            <w:vAlign w:val="bottom"/>
            <w:gridSpan w:val="2"/>
          </w:tcPr>
          <w:p>
            <w:pPr>
              <w:jc w:val="right"/>
              <w:ind w:right="200"/>
              <w:spacing w:after="0"/>
              <w:rPr>
                <w:sz w:val="20"/>
                <w:szCs w:val="20"/>
                <w:color w:val="auto"/>
              </w:rPr>
            </w:pPr>
            <w:r>
              <w:rPr>
                <w:rFonts w:ascii="Arial" w:cs="Arial" w:eastAsia="Arial" w:hAnsi="Arial"/>
                <w:sz w:val="13"/>
                <w:szCs w:val="13"/>
                <w:color w:val="auto"/>
              </w:rPr>
              <w:t>0.9</w:t>
            </w:r>
          </w:p>
        </w:tc>
        <w:tc>
          <w:tcPr>
            <w:tcW w:w="1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0.9</w:t>
            </w:r>
          </w:p>
        </w:tc>
        <w:tc>
          <w:tcPr>
            <w:tcW w:w="20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680" w:type="dxa"/>
            <w:vAlign w:val="bottom"/>
            <w:gridSpan w:val="2"/>
          </w:tcPr>
          <w:p>
            <w:pPr>
              <w:jc w:val="right"/>
              <w:ind w:right="220"/>
              <w:spacing w:after="0"/>
              <w:rPr>
                <w:sz w:val="20"/>
                <w:szCs w:val="20"/>
                <w:color w:val="auto"/>
              </w:rPr>
            </w:pPr>
            <w:r>
              <w:rPr>
                <w:rFonts w:ascii="Arial" w:cs="Arial" w:eastAsia="Arial" w:hAnsi="Arial"/>
                <w:sz w:val="13"/>
                <w:szCs w:val="13"/>
                <w:color w:val="auto"/>
              </w:rPr>
              <w:t>1.1</w:t>
            </w:r>
          </w:p>
        </w:tc>
        <w:tc>
          <w:tcPr>
            <w:tcW w:w="1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1.2</w:t>
            </w: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540" w:type="dxa"/>
            <w:vAlign w:val="bottom"/>
            <w:shd w:val="clear" w:color="auto" w:fill="CCEEFF"/>
          </w:tcPr>
          <w:p>
            <w:pPr>
              <w:ind w:left="140"/>
              <w:spacing w:after="0"/>
              <w:rPr>
                <w:sz w:val="20"/>
                <w:szCs w:val="20"/>
                <w:color w:val="auto"/>
              </w:rPr>
            </w:pPr>
            <w:r>
              <w:rPr>
                <w:rFonts w:ascii="Arial" w:cs="Arial" w:eastAsia="Arial" w:hAnsi="Arial"/>
                <w:sz w:val="13"/>
                <w:szCs w:val="13"/>
                <w:color w:val="auto"/>
              </w:rPr>
              <w:t>Peru</w:t>
            </w:r>
          </w:p>
        </w:tc>
        <w:tc>
          <w:tcPr>
            <w:tcW w:w="10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0.1</w:t>
            </w:r>
          </w:p>
        </w:tc>
        <w:tc>
          <w:tcPr>
            <w:tcW w:w="1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96"/>
              <w:spacing w:after="0"/>
              <w:rPr>
                <w:sz w:val="20"/>
                <w:szCs w:val="20"/>
                <w:color w:val="auto"/>
              </w:rPr>
            </w:pPr>
            <w:r>
              <w:rPr>
                <w:rFonts w:ascii="Arial" w:cs="Arial" w:eastAsia="Arial" w:hAnsi="Arial"/>
                <w:sz w:val="13"/>
                <w:szCs w:val="13"/>
                <w:color w:val="auto"/>
              </w:rPr>
              <w:t>0.1</w:t>
            </w:r>
          </w:p>
        </w:tc>
        <w:tc>
          <w:tcPr>
            <w:tcW w:w="12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0.3</w:t>
            </w:r>
          </w:p>
        </w:tc>
        <w:tc>
          <w:tcPr>
            <w:tcW w:w="1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96"/>
              <w:spacing w:after="0"/>
              <w:rPr>
                <w:sz w:val="20"/>
                <w:szCs w:val="20"/>
                <w:color w:val="auto"/>
              </w:rPr>
            </w:pPr>
            <w:r>
              <w:rPr>
                <w:rFonts w:ascii="Arial" w:cs="Arial" w:eastAsia="Arial" w:hAnsi="Arial"/>
                <w:sz w:val="13"/>
                <w:szCs w:val="13"/>
                <w:color w:val="auto"/>
              </w:rPr>
              <w:t>0.4</w:t>
            </w:r>
          </w:p>
        </w:tc>
        <w:tc>
          <w:tcPr>
            <w:tcW w:w="6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0.6</w:t>
            </w:r>
          </w:p>
        </w:tc>
        <w:tc>
          <w:tcPr>
            <w:tcW w:w="120" w:type="dxa"/>
            <w:vAlign w:val="bottom"/>
            <w:shd w:val="clear" w:color="auto" w:fill="CCEEFF"/>
          </w:tcPr>
          <w:p>
            <w:pPr>
              <w:spacing w:after="0"/>
              <w:rPr>
                <w:sz w:val="13"/>
                <w:szCs w:val="13"/>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0.5</w:t>
            </w:r>
          </w:p>
        </w:tc>
        <w:tc>
          <w:tcPr>
            <w:tcW w:w="18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6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0.9</w:t>
            </w:r>
          </w:p>
        </w:tc>
        <w:tc>
          <w:tcPr>
            <w:tcW w:w="120" w:type="dxa"/>
            <w:vAlign w:val="bottom"/>
            <w:shd w:val="clear" w:color="auto" w:fill="CCEEFF"/>
          </w:tcPr>
          <w:p>
            <w:pPr>
              <w:spacing w:after="0"/>
              <w:rPr>
                <w:sz w:val="13"/>
                <w:szCs w:val="13"/>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0.9</w:t>
            </w:r>
          </w:p>
        </w:tc>
        <w:tc>
          <w:tcPr>
            <w:tcW w:w="200" w:type="dxa"/>
            <w:vAlign w:val="bottom"/>
            <w:shd w:val="clear" w:color="auto" w:fill="CCEEFF"/>
          </w:tcPr>
          <w:p>
            <w:pPr>
              <w:spacing w:after="0"/>
              <w:rPr>
                <w:sz w:val="13"/>
                <w:szCs w:val="13"/>
                <w:color w:val="auto"/>
              </w:rPr>
            </w:pPr>
          </w:p>
        </w:tc>
        <w:tc>
          <w:tcPr>
            <w:tcW w:w="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0.9</w:t>
            </w:r>
          </w:p>
        </w:tc>
        <w:tc>
          <w:tcPr>
            <w:tcW w:w="120" w:type="dxa"/>
            <w:vAlign w:val="bottom"/>
            <w:shd w:val="clear" w:color="auto" w:fill="CCEEFF"/>
          </w:tcPr>
          <w:p>
            <w:pPr>
              <w:spacing w:after="0"/>
              <w:rPr>
                <w:sz w:val="13"/>
                <w:szCs w:val="13"/>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1.0</w:t>
            </w: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540" w:type="dxa"/>
            <w:vAlign w:val="bottom"/>
          </w:tcPr>
          <w:p>
            <w:pPr>
              <w:ind w:left="160"/>
              <w:spacing w:after="0"/>
              <w:rPr>
                <w:sz w:val="20"/>
                <w:szCs w:val="20"/>
                <w:color w:val="auto"/>
              </w:rPr>
            </w:pPr>
            <w:r>
              <w:rPr>
                <w:rFonts w:ascii="Arial" w:cs="Arial" w:eastAsia="Arial" w:hAnsi="Arial"/>
                <w:sz w:val="13"/>
                <w:szCs w:val="13"/>
                <w:color w:val="auto"/>
              </w:rPr>
              <w:t>Uruguay</w:t>
            </w:r>
          </w:p>
        </w:tc>
        <w:tc>
          <w:tcPr>
            <w:tcW w:w="100" w:type="dxa"/>
            <w:vAlign w:val="bottom"/>
          </w:tcPr>
          <w:p>
            <w:pPr>
              <w:spacing w:after="0"/>
              <w:rPr>
                <w:sz w:val="13"/>
                <w:szCs w:val="13"/>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0.0</w:t>
            </w:r>
          </w:p>
        </w:tc>
        <w:tc>
          <w:tcPr>
            <w:tcW w:w="120" w:type="dxa"/>
            <w:vAlign w:val="bottom"/>
          </w:tcPr>
          <w:p>
            <w:pPr>
              <w:spacing w:after="0"/>
              <w:rPr>
                <w:sz w:val="13"/>
                <w:szCs w:val="13"/>
                <w:color w:val="auto"/>
              </w:rPr>
            </w:pPr>
          </w:p>
        </w:tc>
        <w:tc>
          <w:tcPr>
            <w:tcW w:w="720" w:type="dxa"/>
            <w:vAlign w:val="bottom"/>
            <w:gridSpan w:val="2"/>
          </w:tcPr>
          <w:p>
            <w:pPr>
              <w:jc w:val="right"/>
              <w:ind w:right="196"/>
              <w:spacing w:after="0"/>
              <w:rPr>
                <w:sz w:val="20"/>
                <w:szCs w:val="20"/>
                <w:color w:val="auto"/>
              </w:rPr>
            </w:pPr>
            <w:r>
              <w:rPr>
                <w:rFonts w:ascii="Arial" w:cs="Arial" w:eastAsia="Arial" w:hAnsi="Arial"/>
                <w:sz w:val="13"/>
                <w:szCs w:val="13"/>
                <w:color w:val="auto"/>
              </w:rPr>
              <w:t>0.0</w:t>
            </w:r>
          </w:p>
        </w:tc>
        <w:tc>
          <w:tcPr>
            <w:tcW w:w="120" w:type="dxa"/>
            <w:vAlign w:val="bottom"/>
          </w:tcPr>
          <w:p>
            <w:pPr>
              <w:spacing w:after="0"/>
              <w:rPr>
                <w:sz w:val="13"/>
                <w:szCs w:val="13"/>
                <w:color w:val="auto"/>
              </w:rPr>
            </w:pPr>
          </w:p>
        </w:tc>
        <w:tc>
          <w:tcPr>
            <w:tcW w:w="700" w:type="dxa"/>
            <w:vAlign w:val="bottom"/>
            <w:gridSpan w:val="2"/>
          </w:tcPr>
          <w:p>
            <w:pPr>
              <w:jc w:val="right"/>
              <w:ind w:right="240"/>
              <w:spacing w:after="0"/>
              <w:rPr>
                <w:sz w:val="20"/>
                <w:szCs w:val="20"/>
                <w:color w:val="auto"/>
              </w:rPr>
            </w:pPr>
            <w:r>
              <w:rPr>
                <w:rFonts w:ascii="Arial" w:cs="Arial" w:eastAsia="Arial" w:hAnsi="Arial"/>
                <w:sz w:val="13"/>
                <w:szCs w:val="13"/>
                <w:color w:val="auto"/>
              </w:rPr>
              <w:t>0.0</w:t>
            </w:r>
          </w:p>
        </w:tc>
        <w:tc>
          <w:tcPr>
            <w:tcW w:w="120" w:type="dxa"/>
            <w:vAlign w:val="bottom"/>
          </w:tcPr>
          <w:p>
            <w:pPr>
              <w:spacing w:after="0"/>
              <w:rPr>
                <w:sz w:val="13"/>
                <w:szCs w:val="13"/>
                <w:color w:val="auto"/>
              </w:rPr>
            </w:pPr>
          </w:p>
        </w:tc>
        <w:tc>
          <w:tcPr>
            <w:tcW w:w="720" w:type="dxa"/>
            <w:vAlign w:val="bottom"/>
            <w:gridSpan w:val="2"/>
          </w:tcPr>
          <w:p>
            <w:pPr>
              <w:jc w:val="right"/>
              <w:ind w:right="196"/>
              <w:spacing w:after="0"/>
              <w:rPr>
                <w:sz w:val="20"/>
                <w:szCs w:val="20"/>
                <w:color w:val="auto"/>
              </w:rPr>
            </w:pPr>
            <w:r>
              <w:rPr>
                <w:rFonts w:ascii="Arial" w:cs="Arial" w:eastAsia="Arial" w:hAnsi="Arial"/>
                <w:sz w:val="13"/>
                <w:szCs w:val="13"/>
                <w:color w:val="auto"/>
              </w:rPr>
              <w:t>0.0</w:t>
            </w:r>
          </w:p>
        </w:tc>
        <w:tc>
          <w:tcPr>
            <w:tcW w:w="60" w:type="dxa"/>
            <w:vAlign w:val="bottom"/>
          </w:tcPr>
          <w:p>
            <w:pPr>
              <w:spacing w:after="0"/>
              <w:rPr>
                <w:sz w:val="13"/>
                <w:szCs w:val="13"/>
                <w:color w:val="auto"/>
              </w:rPr>
            </w:pPr>
          </w:p>
        </w:tc>
        <w:tc>
          <w:tcPr>
            <w:tcW w:w="720" w:type="dxa"/>
            <w:vAlign w:val="bottom"/>
            <w:gridSpan w:val="2"/>
          </w:tcPr>
          <w:p>
            <w:pPr>
              <w:jc w:val="right"/>
              <w:ind w:right="220"/>
              <w:spacing w:after="0"/>
              <w:rPr>
                <w:sz w:val="20"/>
                <w:szCs w:val="20"/>
                <w:color w:val="auto"/>
              </w:rPr>
            </w:pPr>
            <w:r>
              <w:rPr>
                <w:rFonts w:ascii="Arial" w:cs="Arial" w:eastAsia="Arial" w:hAnsi="Arial"/>
                <w:sz w:val="13"/>
                <w:szCs w:val="13"/>
                <w:color w:val="auto"/>
              </w:rPr>
              <w:t>2.2</w:t>
            </w:r>
          </w:p>
        </w:tc>
        <w:tc>
          <w:tcPr>
            <w:tcW w:w="1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2.0</w:t>
            </w:r>
          </w:p>
        </w:tc>
        <w:tc>
          <w:tcPr>
            <w:tcW w:w="18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660" w:type="dxa"/>
            <w:vAlign w:val="bottom"/>
            <w:gridSpan w:val="2"/>
          </w:tcPr>
          <w:p>
            <w:pPr>
              <w:jc w:val="right"/>
              <w:ind w:right="200"/>
              <w:spacing w:after="0"/>
              <w:rPr>
                <w:sz w:val="20"/>
                <w:szCs w:val="20"/>
                <w:color w:val="auto"/>
              </w:rPr>
            </w:pPr>
            <w:r>
              <w:rPr>
                <w:rFonts w:ascii="Arial" w:cs="Arial" w:eastAsia="Arial" w:hAnsi="Arial"/>
                <w:sz w:val="13"/>
                <w:szCs w:val="13"/>
                <w:color w:val="auto"/>
              </w:rPr>
              <w:t>0.7</w:t>
            </w:r>
          </w:p>
        </w:tc>
        <w:tc>
          <w:tcPr>
            <w:tcW w:w="1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0.8</w:t>
            </w:r>
          </w:p>
        </w:tc>
        <w:tc>
          <w:tcPr>
            <w:tcW w:w="20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680" w:type="dxa"/>
            <w:vAlign w:val="bottom"/>
            <w:gridSpan w:val="2"/>
          </w:tcPr>
          <w:p>
            <w:pPr>
              <w:jc w:val="right"/>
              <w:ind w:right="220"/>
              <w:spacing w:after="0"/>
              <w:rPr>
                <w:sz w:val="20"/>
                <w:szCs w:val="20"/>
                <w:color w:val="auto"/>
              </w:rPr>
            </w:pPr>
            <w:r>
              <w:rPr>
                <w:rFonts w:ascii="Arial" w:cs="Arial" w:eastAsia="Arial" w:hAnsi="Arial"/>
                <w:sz w:val="13"/>
                <w:szCs w:val="13"/>
                <w:color w:val="auto"/>
              </w:rPr>
              <w:t>0.5</w:t>
            </w:r>
          </w:p>
        </w:tc>
        <w:tc>
          <w:tcPr>
            <w:tcW w:w="1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0.6</w:t>
            </w: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93"/>
        </w:trPr>
        <w:tc>
          <w:tcPr>
            <w:tcW w:w="20" w:type="dxa"/>
            <w:vAlign w:val="bottom"/>
          </w:tcPr>
          <w:p>
            <w:pPr>
              <w:spacing w:after="0"/>
              <w:rPr>
                <w:sz w:val="16"/>
                <w:szCs w:val="16"/>
                <w:color w:val="auto"/>
              </w:rPr>
            </w:pPr>
          </w:p>
        </w:tc>
        <w:tc>
          <w:tcPr>
            <w:tcW w:w="3540" w:type="dxa"/>
            <w:vAlign w:val="bottom"/>
            <w:shd w:val="clear" w:color="auto" w:fill="CCEEFF"/>
          </w:tcPr>
          <w:p>
            <w:pPr>
              <w:ind w:left="160"/>
              <w:spacing w:after="0" w:line="193" w:lineRule="exact"/>
              <w:rPr>
                <w:sz w:val="20"/>
                <w:szCs w:val="20"/>
                <w:color w:val="auto"/>
              </w:rPr>
            </w:pPr>
            <w:r>
              <w:rPr>
                <w:rFonts w:ascii="Arial" w:cs="Arial" w:eastAsia="Arial" w:hAnsi="Arial"/>
                <w:sz w:val="13"/>
                <w:szCs w:val="13"/>
                <w:color w:val="auto"/>
              </w:rPr>
              <w:t xml:space="preserve">Other </w:t>
            </w:r>
            <w:r>
              <w:rPr>
                <w:rFonts w:ascii="Arial" w:cs="Arial" w:eastAsia="Arial" w:hAnsi="Arial"/>
                <w:sz w:val="21"/>
                <w:szCs w:val="21"/>
                <w:color w:val="auto"/>
                <w:vertAlign w:val="superscript"/>
              </w:rPr>
              <w:t>(1)</w:t>
            </w:r>
          </w:p>
        </w:tc>
        <w:tc>
          <w:tcPr>
            <w:tcW w:w="100" w:type="dxa"/>
            <w:vAlign w:val="bottom"/>
            <w:shd w:val="clear" w:color="auto" w:fill="CCEEFF"/>
          </w:tcPr>
          <w:p>
            <w:pPr>
              <w:spacing w:after="0"/>
              <w:rPr>
                <w:sz w:val="16"/>
                <w:szCs w:val="16"/>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1.6</w:t>
            </w:r>
          </w:p>
        </w:tc>
        <w:tc>
          <w:tcPr>
            <w:tcW w:w="120" w:type="dxa"/>
            <w:vAlign w:val="bottom"/>
            <w:shd w:val="clear" w:color="auto" w:fill="CCEEFF"/>
          </w:tcPr>
          <w:p>
            <w:pPr>
              <w:spacing w:after="0"/>
              <w:rPr>
                <w:sz w:val="16"/>
                <w:szCs w:val="16"/>
                <w:color w:val="auto"/>
              </w:rPr>
            </w:pPr>
          </w:p>
        </w:tc>
        <w:tc>
          <w:tcPr>
            <w:tcW w:w="720" w:type="dxa"/>
            <w:vAlign w:val="bottom"/>
            <w:gridSpan w:val="2"/>
            <w:shd w:val="clear" w:color="auto" w:fill="CCEEFF"/>
          </w:tcPr>
          <w:p>
            <w:pPr>
              <w:jc w:val="right"/>
              <w:ind w:right="196"/>
              <w:spacing w:after="0"/>
              <w:rPr>
                <w:sz w:val="20"/>
                <w:szCs w:val="20"/>
                <w:color w:val="auto"/>
              </w:rPr>
            </w:pPr>
            <w:r>
              <w:rPr>
                <w:rFonts w:ascii="Arial" w:cs="Arial" w:eastAsia="Arial" w:hAnsi="Arial"/>
                <w:sz w:val="13"/>
                <w:szCs w:val="13"/>
                <w:color w:val="auto"/>
              </w:rPr>
              <w:t>1.5</w:t>
            </w:r>
          </w:p>
        </w:tc>
        <w:tc>
          <w:tcPr>
            <w:tcW w:w="120" w:type="dxa"/>
            <w:vAlign w:val="bottom"/>
            <w:shd w:val="clear" w:color="auto" w:fill="CCEEFF"/>
          </w:tcPr>
          <w:p>
            <w:pPr>
              <w:spacing w:after="0"/>
              <w:rPr>
                <w:sz w:val="16"/>
                <w:szCs w:val="16"/>
                <w:color w:val="auto"/>
              </w:rPr>
            </w:pPr>
          </w:p>
        </w:tc>
        <w:tc>
          <w:tcPr>
            <w:tcW w:w="7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1.1</w:t>
            </w:r>
          </w:p>
        </w:tc>
        <w:tc>
          <w:tcPr>
            <w:tcW w:w="120" w:type="dxa"/>
            <w:vAlign w:val="bottom"/>
            <w:shd w:val="clear" w:color="auto" w:fill="CCEEFF"/>
          </w:tcPr>
          <w:p>
            <w:pPr>
              <w:spacing w:after="0"/>
              <w:rPr>
                <w:sz w:val="16"/>
                <w:szCs w:val="16"/>
                <w:color w:val="auto"/>
              </w:rPr>
            </w:pPr>
          </w:p>
        </w:tc>
        <w:tc>
          <w:tcPr>
            <w:tcW w:w="720" w:type="dxa"/>
            <w:vAlign w:val="bottom"/>
            <w:gridSpan w:val="2"/>
            <w:shd w:val="clear" w:color="auto" w:fill="CCEEFF"/>
          </w:tcPr>
          <w:p>
            <w:pPr>
              <w:jc w:val="right"/>
              <w:ind w:right="196"/>
              <w:spacing w:after="0"/>
              <w:rPr>
                <w:sz w:val="20"/>
                <w:szCs w:val="20"/>
                <w:color w:val="auto"/>
              </w:rPr>
            </w:pPr>
            <w:r>
              <w:rPr>
                <w:rFonts w:ascii="Arial" w:cs="Arial" w:eastAsia="Arial" w:hAnsi="Arial"/>
                <w:sz w:val="13"/>
                <w:szCs w:val="13"/>
                <w:color w:val="auto"/>
              </w:rPr>
              <w:t>1.3</w:t>
            </w:r>
          </w:p>
        </w:tc>
        <w:tc>
          <w:tcPr>
            <w:tcW w:w="60" w:type="dxa"/>
            <w:vAlign w:val="bottom"/>
            <w:shd w:val="clear" w:color="auto" w:fill="CCEEFF"/>
          </w:tcPr>
          <w:p>
            <w:pPr>
              <w:spacing w:after="0"/>
              <w:rPr>
                <w:sz w:val="16"/>
                <w:szCs w:val="16"/>
                <w:color w:val="auto"/>
              </w:rPr>
            </w:pPr>
          </w:p>
        </w:tc>
        <w:tc>
          <w:tcPr>
            <w:tcW w:w="7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0.9</w:t>
            </w:r>
          </w:p>
        </w:tc>
        <w:tc>
          <w:tcPr>
            <w:tcW w:w="120" w:type="dxa"/>
            <w:vAlign w:val="bottom"/>
            <w:shd w:val="clear" w:color="auto" w:fill="CCEEFF"/>
          </w:tcPr>
          <w:p>
            <w:pPr>
              <w:spacing w:after="0"/>
              <w:rPr>
                <w:sz w:val="16"/>
                <w:szCs w:val="16"/>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0.8</w:t>
            </w:r>
          </w:p>
        </w:tc>
        <w:tc>
          <w:tcPr>
            <w:tcW w:w="18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6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1.7</w:t>
            </w:r>
          </w:p>
        </w:tc>
        <w:tc>
          <w:tcPr>
            <w:tcW w:w="120" w:type="dxa"/>
            <w:vAlign w:val="bottom"/>
            <w:shd w:val="clear" w:color="auto" w:fill="CCEEFF"/>
          </w:tcPr>
          <w:p>
            <w:pPr>
              <w:spacing w:after="0"/>
              <w:rPr>
                <w:sz w:val="16"/>
                <w:szCs w:val="16"/>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1.7</w:t>
            </w:r>
          </w:p>
        </w:tc>
        <w:tc>
          <w:tcPr>
            <w:tcW w:w="200" w:type="dxa"/>
            <w:vAlign w:val="bottom"/>
            <w:shd w:val="clear" w:color="auto" w:fill="CCEEFF"/>
          </w:tcPr>
          <w:p>
            <w:pPr>
              <w:spacing w:after="0"/>
              <w:rPr>
                <w:sz w:val="16"/>
                <w:szCs w:val="16"/>
                <w:color w:val="auto"/>
              </w:rPr>
            </w:pPr>
          </w:p>
        </w:tc>
        <w:tc>
          <w:tcPr>
            <w:tcW w:w="4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0.9</w:t>
            </w:r>
          </w:p>
        </w:tc>
        <w:tc>
          <w:tcPr>
            <w:tcW w:w="120" w:type="dxa"/>
            <w:vAlign w:val="bottom"/>
            <w:shd w:val="clear" w:color="auto" w:fill="CCEEFF"/>
          </w:tcPr>
          <w:p>
            <w:pPr>
              <w:spacing w:after="0"/>
              <w:rPr>
                <w:sz w:val="16"/>
                <w:szCs w:val="16"/>
                <w:color w:val="auto"/>
              </w:rPr>
            </w:pP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0.9</w:t>
            </w:r>
          </w:p>
        </w:tc>
        <w:tc>
          <w:tcPr>
            <w:tcW w:w="14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540" w:type="dxa"/>
            <w:vAlign w:val="bottom"/>
          </w:tcPr>
          <w:p>
            <w:pPr>
              <w:spacing w:after="0" w:line="146" w:lineRule="exact"/>
              <w:rPr>
                <w:sz w:val="20"/>
                <w:szCs w:val="20"/>
                <w:color w:val="auto"/>
              </w:rPr>
            </w:pPr>
            <w:r>
              <w:rPr>
                <w:rFonts w:ascii="Arial" w:cs="Arial" w:eastAsia="Arial" w:hAnsi="Arial"/>
                <w:sz w:val="13"/>
                <w:szCs w:val="13"/>
                <w:b w:val="1"/>
                <w:bCs w:val="1"/>
                <w:color w:val="auto"/>
              </w:rPr>
              <w:t>Total allowance for credit losses</w:t>
            </w: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0"/>
                <w:szCs w:val="10"/>
                <w:b w:val="1"/>
                <w:bCs w:val="1"/>
                <w:color w:val="auto"/>
                <w:w w:val="71"/>
              </w:rPr>
              <w:t>$</w:t>
            </w:r>
          </w:p>
        </w:tc>
        <w:tc>
          <w:tcPr>
            <w:tcW w:w="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104.1</w:t>
            </w:r>
          </w:p>
        </w:tc>
        <w:tc>
          <w:tcPr>
            <w:tcW w:w="220" w:type="dxa"/>
            <w:vAlign w:val="bottom"/>
          </w:tcPr>
          <w:p>
            <w:pPr>
              <w:spacing w:after="0"/>
              <w:rPr>
                <w:sz w:val="14"/>
                <w:szCs w:val="14"/>
                <w:color w:val="auto"/>
              </w:rPr>
            </w:pPr>
          </w:p>
        </w:tc>
        <w:tc>
          <w:tcPr>
            <w:tcW w:w="120" w:type="dxa"/>
            <w:vAlign w:val="bottom"/>
            <w:tcBorders>
              <w:top w:val="single" w:sz="8" w:color="auto"/>
              <w:bottom w:val="single" w:sz="8" w:color="auto"/>
            </w:tcBorders>
          </w:tcPr>
          <w:p>
            <w:pPr>
              <w:spacing w:after="0"/>
              <w:rPr>
                <w:sz w:val="14"/>
                <w:szCs w:val="14"/>
                <w:color w:val="auto"/>
              </w:rPr>
            </w:pPr>
          </w:p>
        </w:tc>
        <w:tc>
          <w:tcPr>
            <w:tcW w:w="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260" w:type="dxa"/>
            <w:vAlign w:val="bottom"/>
          </w:tcPr>
          <w:p>
            <w:pPr>
              <w:jc w:val="right"/>
              <w:ind w:right="56"/>
              <w:spacing w:after="0" w:line="146" w:lineRule="exact"/>
              <w:rPr>
                <w:sz w:val="20"/>
                <w:szCs w:val="20"/>
                <w:color w:val="auto"/>
              </w:rPr>
            </w:pPr>
            <w:r>
              <w:rPr>
                <w:rFonts w:ascii="Arial" w:cs="Arial" w:eastAsia="Arial" w:hAnsi="Arial"/>
                <w:sz w:val="13"/>
                <w:szCs w:val="13"/>
                <w:b w:val="1"/>
                <w:bCs w:val="1"/>
                <w:color w:val="auto"/>
              </w:rPr>
              <w:t>%</w:t>
            </w:r>
          </w:p>
        </w:tc>
        <w:tc>
          <w:tcPr>
            <w:tcW w:w="120" w:type="dxa"/>
            <w:vAlign w:val="bottom"/>
            <w:tcBorders>
              <w:top w:val="single" w:sz="8" w:color="auto"/>
              <w:bottom w:val="single" w:sz="8" w:color="auto"/>
            </w:tcBorders>
          </w:tcPr>
          <w:p>
            <w:pPr>
              <w:jc w:val="right"/>
              <w:ind w:right="12"/>
              <w:spacing w:after="0"/>
              <w:rPr>
                <w:sz w:val="20"/>
                <w:szCs w:val="20"/>
                <w:color w:val="auto"/>
              </w:rPr>
            </w:pPr>
            <w:r>
              <w:rPr>
                <w:rFonts w:ascii="Arial" w:cs="Arial" w:eastAsia="Arial" w:hAnsi="Arial"/>
                <w:sz w:val="10"/>
                <w:szCs w:val="10"/>
                <w:b w:val="1"/>
                <w:bCs w:val="1"/>
                <w:color w:val="auto"/>
                <w:w w:val="71"/>
              </w:rPr>
              <w:t>$</w:t>
            </w:r>
          </w:p>
        </w:tc>
        <w:tc>
          <w:tcPr>
            <w:tcW w:w="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88.1</w:t>
            </w:r>
          </w:p>
        </w:tc>
        <w:tc>
          <w:tcPr>
            <w:tcW w:w="240" w:type="dxa"/>
            <w:vAlign w:val="bottom"/>
          </w:tcPr>
          <w:p>
            <w:pPr>
              <w:spacing w:after="0"/>
              <w:rPr>
                <w:sz w:val="14"/>
                <w:szCs w:val="14"/>
                <w:color w:val="auto"/>
              </w:rPr>
            </w:pPr>
          </w:p>
        </w:tc>
        <w:tc>
          <w:tcPr>
            <w:tcW w:w="120" w:type="dxa"/>
            <w:vAlign w:val="bottom"/>
            <w:tcBorders>
              <w:top w:val="single" w:sz="8" w:color="auto"/>
              <w:bottom w:val="single" w:sz="8" w:color="auto"/>
            </w:tcBorders>
          </w:tcPr>
          <w:p>
            <w:pPr>
              <w:spacing w:after="0"/>
              <w:rPr>
                <w:sz w:val="14"/>
                <w:szCs w:val="14"/>
                <w:color w:val="auto"/>
              </w:rPr>
            </w:pPr>
          </w:p>
        </w:tc>
        <w:tc>
          <w:tcPr>
            <w:tcW w:w="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260" w:type="dxa"/>
            <w:vAlign w:val="bottom"/>
          </w:tcPr>
          <w:p>
            <w:pPr>
              <w:jc w:val="right"/>
              <w:ind w:right="76"/>
              <w:spacing w:after="0" w:line="146" w:lineRule="exact"/>
              <w:rPr>
                <w:sz w:val="20"/>
                <w:szCs w:val="20"/>
                <w:color w:val="auto"/>
              </w:rPr>
            </w:pPr>
            <w:r>
              <w:rPr>
                <w:rFonts w:ascii="Arial" w:cs="Arial" w:eastAsia="Arial" w:hAnsi="Arial"/>
                <w:sz w:val="13"/>
                <w:szCs w:val="13"/>
                <w:b w:val="1"/>
                <w:bCs w:val="1"/>
                <w:color w:val="auto"/>
                <w:w w:val="86"/>
              </w:rPr>
              <w:t>%</w:t>
            </w:r>
          </w:p>
        </w:tc>
        <w:tc>
          <w:tcPr>
            <w:tcW w:w="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0"/>
                <w:szCs w:val="10"/>
                <w:b w:val="1"/>
                <w:bCs w:val="1"/>
                <w:color w:val="auto"/>
                <w:w w:val="71"/>
              </w:rPr>
              <w:t>$</w:t>
            </w:r>
          </w:p>
        </w:tc>
        <w:tc>
          <w:tcPr>
            <w:tcW w:w="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111.8</w:t>
            </w:r>
          </w:p>
        </w:tc>
        <w:tc>
          <w:tcPr>
            <w:tcW w:w="220" w:type="dxa"/>
            <w:vAlign w:val="bottom"/>
          </w:tcPr>
          <w:p>
            <w:pPr>
              <w:spacing w:after="0"/>
              <w:rPr>
                <w:sz w:val="14"/>
                <w:szCs w:val="14"/>
                <w:color w:val="auto"/>
              </w:rPr>
            </w:pPr>
          </w:p>
        </w:tc>
        <w:tc>
          <w:tcPr>
            <w:tcW w:w="120" w:type="dxa"/>
            <w:vAlign w:val="bottom"/>
            <w:tcBorders>
              <w:top w:val="single" w:sz="8" w:color="auto"/>
              <w:bottom w:val="single" w:sz="8" w:color="auto"/>
            </w:tcBorders>
          </w:tcPr>
          <w:p>
            <w:pPr>
              <w:spacing w:after="0"/>
              <w:rPr>
                <w:sz w:val="14"/>
                <w:szCs w:val="14"/>
                <w:color w:val="auto"/>
              </w:rPr>
            </w:pPr>
          </w:p>
        </w:tc>
        <w:tc>
          <w:tcPr>
            <w:tcW w:w="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180" w:type="dxa"/>
            <w:vAlign w:val="bottom"/>
          </w:tcPr>
          <w:p>
            <w:pPr>
              <w:jc w:val="right"/>
              <w:spacing w:after="0" w:line="146" w:lineRule="exact"/>
              <w:rPr>
                <w:sz w:val="20"/>
                <w:szCs w:val="20"/>
                <w:color w:val="auto"/>
              </w:rPr>
            </w:pPr>
            <w:r>
              <w:rPr>
                <w:rFonts w:ascii="Arial" w:cs="Arial" w:eastAsia="Arial" w:hAnsi="Arial"/>
                <w:sz w:val="13"/>
                <w:szCs w:val="13"/>
                <w:b w:val="1"/>
                <w:bCs w:val="1"/>
                <w:color w:val="auto"/>
                <w:w w:val="86"/>
              </w:rPr>
              <w:t>%</w:t>
            </w:r>
          </w:p>
        </w:tc>
        <w:tc>
          <w:tcPr>
            <w:tcW w:w="60" w:type="dxa"/>
            <w:vAlign w:val="bottom"/>
          </w:tcPr>
          <w:p>
            <w:pPr>
              <w:spacing w:after="0"/>
              <w:rPr>
                <w:sz w:val="14"/>
                <w:szCs w:val="14"/>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0"/>
                <w:szCs w:val="10"/>
                <w:b w:val="1"/>
                <w:bCs w:val="1"/>
                <w:color w:val="auto"/>
                <w:w w:val="71"/>
              </w:rPr>
              <w:t>$</w:t>
            </w:r>
          </w:p>
        </w:tc>
        <w:tc>
          <w:tcPr>
            <w:tcW w:w="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95.4</w:t>
            </w:r>
          </w:p>
        </w:tc>
        <w:tc>
          <w:tcPr>
            <w:tcW w:w="200" w:type="dxa"/>
            <w:vAlign w:val="bottom"/>
          </w:tcPr>
          <w:p>
            <w:pPr>
              <w:spacing w:after="0"/>
              <w:rPr>
                <w:sz w:val="14"/>
                <w:szCs w:val="14"/>
                <w:color w:val="auto"/>
              </w:rPr>
            </w:pPr>
          </w:p>
        </w:tc>
        <w:tc>
          <w:tcPr>
            <w:tcW w:w="120" w:type="dxa"/>
            <w:vAlign w:val="bottom"/>
            <w:tcBorders>
              <w:top w:val="single" w:sz="8" w:color="auto"/>
              <w:bottom w:val="single" w:sz="8" w:color="auto"/>
            </w:tcBorders>
          </w:tcPr>
          <w:p>
            <w:pPr>
              <w:spacing w:after="0"/>
              <w:rPr>
                <w:sz w:val="14"/>
                <w:szCs w:val="14"/>
                <w:color w:val="auto"/>
              </w:rPr>
            </w:pPr>
          </w:p>
        </w:tc>
        <w:tc>
          <w:tcPr>
            <w:tcW w:w="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200" w:type="dxa"/>
            <w:vAlign w:val="bottom"/>
          </w:tcPr>
          <w:p>
            <w:pPr>
              <w:jc w:val="right"/>
              <w:spacing w:after="0" w:line="146" w:lineRule="exact"/>
              <w:rPr>
                <w:sz w:val="20"/>
                <w:szCs w:val="20"/>
                <w:color w:val="auto"/>
              </w:rPr>
            </w:pPr>
            <w:r>
              <w:rPr>
                <w:rFonts w:ascii="Arial" w:cs="Arial" w:eastAsia="Arial" w:hAnsi="Arial"/>
                <w:sz w:val="13"/>
                <w:szCs w:val="13"/>
                <w:b w:val="1"/>
                <w:bCs w:val="1"/>
                <w:color w:val="auto"/>
              </w:rPr>
              <w:t>%</w:t>
            </w:r>
          </w:p>
        </w:tc>
        <w:tc>
          <w:tcPr>
            <w:tcW w:w="40" w:type="dxa"/>
            <w:vAlign w:val="bottom"/>
          </w:tcPr>
          <w:p>
            <w:pPr>
              <w:spacing w:after="0"/>
              <w:rPr>
                <w:sz w:val="14"/>
                <w:szCs w:val="14"/>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w w:val="82"/>
              </w:rPr>
              <w:t>$</w:t>
            </w:r>
          </w:p>
        </w:tc>
        <w:tc>
          <w:tcPr>
            <w:tcW w:w="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87.6</w:t>
            </w:r>
          </w:p>
        </w:tc>
        <w:tc>
          <w:tcPr>
            <w:tcW w:w="220" w:type="dxa"/>
            <w:vAlign w:val="bottom"/>
          </w:tcPr>
          <w:p>
            <w:pPr>
              <w:spacing w:after="0"/>
              <w:rPr>
                <w:sz w:val="14"/>
                <w:szCs w:val="14"/>
                <w:color w:val="auto"/>
              </w:rPr>
            </w:pPr>
          </w:p>
        </w:tc>
        <w:tc>
          <w:tcPr>
            <w:tcW w:w="120" w:type="dxa"/>
            <w:vAlign w:val="bottom"/>
            <w:tcBorders>
              <w:top w:val="single" w:sz="8" w:color="auto"/>
              <w:bottom w:val="single" w:sz="8" w:color="auto"/>
            </w:tcBorders>
          </w:tcPr>
          <w:p>
            <w:pPr>
              <w:spacing w:after="0"/>
              <w:rPr>
                <w:sz w:val="14"/>
                <w:szCs w:val="14"/>
                <w:color w:val="auto"/>
              </w:rPr>
            </w:pPr>
          </w:p>
        </w:tc>
        <w:tc>
          <w:tcPr>
            <w:tcW w:w="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140" w:type="dxa"/>
            <w:vAlign w:val="bottom"/>
          </w:tcPr>
          <w:p>
            <w:pPr>
              <w:jc w:val="right"/>
              <w:spacing w:after="0" w:line="146" w:lineRule="exact"/>
              <w:rPr>
                <w:sz w:val="20"/>
                <w:szCs w:val="20"/>
                <w:color w:val="auto"/>
              </w:rPr>
            </w:pPr>
            <w:r>
              <w:rPr>
                <w:rFonts w:ascii="Arial" w:cs="Arial" w:eastAsia="Arial" w:hAnsi="Arial"/>
                <w:sz w:val="13"/>
                <w:szCs w:val="13"/>
                <w:b w:val="1"/>
                <w:bCs w:val="1"/>
                <w:color w:val="auto"/>
                <w:w w:val="86"/>
              </w:rPr>
              <w:t>%</w:t>
            </w:r>
          </w:p>
        </w:tc>
        <w:tc>
          <w:tcPr>
            <w:tcW w:w="0" w:type="dxa"/>
            <w:vAlign w:val="bottom"/>
          </w:tcPr>
          <w:p>
            <w:pPr>
              <w:spacing w:after="0"/>
              <w:rPr>
                <w:sz w:val="1"/>
                <w:szCs w:val="1"/>
                <w:color w:val="auto"/>
              </w:rPr>
            </w:pPr>
          </w:p>
        </w:tc>
      </w:tr>
    </w:tbl>
    <w:p>
      <w:pPr>
        <w:spacing w:after="0" w:line="56" w:lineRule="exact"/>
        <w:rPr>
          <w:sz w:val="20"/>
          <w:szCs w:val="20"/>
          <w:color w:val="auto"/>
        </w:rPr>
      </w:pPr>
    </w:p>
    <w:p>
      <w:pPr>
        <w:ind w:left="460" w:hanging="232"/>
        <w:spacing w:after="0"/>
        <w:tabs>
          <w:tab w:leader="none" w:pos="460" w:val="left"/>
        </w:tabs>
        <w:numPr>
          <w:ilvl w:val="0"/>
          <w:numId w:val="33"/>
        </w:numPr>
        <w:rPr>
          <w:rFonts w:ascii="Arial" w:cs="Arial" w:eastAsia="Arial" w:hAnsi="Arial"/>
          <w:sz w:val="21"/>
          <w:szCs w:val="21"/>
          <w:color w:val="auto"/>
          <w:vertAlign w:val="superscript"/>
        </w:rPr>
      </w:pPr>
      <w:r>
        <w:rPr>
          <w:rFonts w:ascii="Arial" w:cs="Arial" w:eastAsia="Arial" w:hAnsi="Arial"/>
          <w:sz w:val="13"/>
          <w:szCs w:val="13"/>
          <w:color w:val="auto"/>
        </w:rPr>
        <w:t>Other consists of allowances for credit losses allocated to countries in which allowances for losses outstanding did not exceed $1 million for any of the periods.</w:t>
      </w:r>
    </w:p>
    <w:p>
      <w:pPr>
        <w:spacing w:after="0" w:line="294" w:lineRule="exact"/>
        <w:rPr>
          <w:sz w:val="20"/>
          <w:szCs w:val="20"/>
          <w:color w:val="auto"/>
        </w:rPr>
      </w:pPr>
    </w:p>
    <w:p>
      <w:pPr>
        <w:jc w:val="center"/>
        <w:ind w:right="20"/>
        <w:spacing w:after="0"/>
        <w:rPr>
          <w:sz w:val="20"/>
          <w:szCs w:val="20"/>
          <w:color w:val="auto"/>
        </w:rPr>
      </w:pPr>
      <w:r>
        <w:rPr>
          <w:rFonts w:ascii="Arial" w:cs="Arial" w:eastAsia="Arial" w:hAnsi="Arial"/>
          <w:sz w:val="15"/>
          <w:szCs w:val="15"/>
          <w:color w:val="auto"/>
        </w:rPr>
        <w:t>61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95" w:right="199" w:bottom="1440" w:gutter="0" w:footer="0" w:header="0"/>
        </w:sectPr>
      </w:pPr>
    </w:p>
    <w:bookmarkStart w:id="63" w:name="page64"/>
    <w:bookmarkEnd w:id="63"/>
    <w:p>
      <w:pPr>
        <w:spacing w:after="0"/>
        <w:rPr>
          <w:sz w:val="20"/>
          <w:szCs w:val="20"/>
          <w:color w:val="auto"/>
        </w:rPr>
      </w:pPr>
      <w:r>
        <w:rPr>
          <w:rFonts w:ascii="Arial" w:cs="Arial" w:eastAsia="Arial" w:hAnsi="Arial"/>
          <w:sz w:val="13"/>
          <w:szCs w:val="13"/>
          <w:color w:val="auto"/>
        </w:rPr>
        <w:t>The following table sets forth information regarding the Bank’s allowance for loan losses, and loan commitments and financial guarantee contract losses, by type of borrower as of the dates indicated:</w:t>
      </w:r>
    </w:p>
    <w:p>
      <w:pPr>
        <w:spacing w:after="0" w:line="164"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3560" w:type="dxa"/>
            <w:vAlign w:val="bottom"/>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4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460" w:type="dxa"/>
            <w:vAlign w:val="bottom"/>
            <w:tcBorders>
              <w:bottom w:val="single" w:sz="8" w:color="auto"/>
            </w:tcBorders>
          </w:tcPr>
          <w:p>
            <w:pPr>
              <w:spacing w:after="0"/>
              <w:rPr>
                <w:sz w:val="14"/>
                <w:szCs w:val="14"/>
                <w:color w:val="auto"/>
              </w:rPr>
            </w:pPr>
          </w:p>
        </w:tc>
        <w:tc>
          <w:tcPr>
            <w:tcW w:w="26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46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460" w:type="dxa"/>
            <w:vAlign w:val="bottom"/>
            <w:tcBorders>
              <w:bottom w:val="single" w:sz="8" w:color="auto"/>
            </w:tcBorders>
          </w:tcPr>
          <w:p>
            <w:pPr>
              <w:spacing w:after="0"/>
              <w:rPr>
                <w:sz w:val="14"/>
                <w:szCs w:val="14"/>
                <w:color w:val="auto"/>
              </w:rPr>
            </w:pPr>
          </w:p>
        </w:tc>
        <w:tc>
          <w:tcPr>
            <w:tcW w:w="26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1520" w:type="dxa"/>
            <w:vAlign w:val="bottom"/>
            <w:tcBorders>
              <w:bottom w:val="single" w:sz="8" w:color="auto"/>
            </w:tcBorders>
            <w:gridSpan w:val="5"/>
          </w:tcPr>
          <w:p>
            <w:pPr>
              <w:jc w:val="center"/>
              <w:ind w:right="356"/>
              <w:spacing w:after="0"/>
              <w:rPr>
                <w:sz w:val="20"/>
                <w:szCs w:val="20"/>
                <w:color w:val="auto"/>
              </w:rPr>
            </w:pPr>
            <w:r>
              <w:rPr>
                <w:rFonts w:ascii="Arial" w:cs="Arial" w:eastAsia="Arial" w:hAnsi="Arial"/>
                <w:sz w:val="13"/>
                <w:szCs w:val="13"/>
                <w:b w:val="1"/>
                <w:bCs w:val="1"/>
                <w:color w:val="auto"/>
                <w:w w:val="87"/>
              </w:rPr>
              <w:t>As of December 31,</w:t>
            </w:r>
          </w:p>
        </w:tc>
        <w:tc>
          <w:tcPr>
            <w:tcW w:w="6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46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44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46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44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154"/>
        </w:trPr>
        <w:tc>
          <w:tcPr>
            <w:tcW w:w="3560" w:type="dxa"/>
            <w:vAlign w:val="bottom"/>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820" w:type="dxa"/>
            <w:vAlign w:val="bottom"/>
            <w:tcBorders>
              <w:bottom w:val="single" w:sz="8" w:color="auto"/>
            </w:tcBorders>
            <w:gridSpan w:val="3"/>
          </w:tcPr>
          <w:p>
            <w:pPr>
              <w:jc w:val="right"/>
              <w:ind w:right="100"/>
              <w:spacing w:after="0"/>
              <w:rPr>
                <w:sz w:val="20"/>
                <w:szCs w:val="20"/>
                <w:color w:val="auto"/>
              </w:rPr>
            </w:pPr>
            <w:r>
              <w:rPr>
                <w:rFonts w:ascii="Arial" w:cs="Arial" w:eastAsia="Arial" w:hAnsi="Arial"/>
                <w:sz w:val="13"/>
                <w:szCs w:val="13"/>
                <w:b w:val="1"/>
                <w:bCs w:val="1"/>
                <w:color w:val="auto"/>
              </w:rPr>
              <w:t>2018</w:t>
            </w:r>
          </w:p>
        </w:tc>
        <w:tc>
          <w:tcPr>
            <w:tcW w:w="460" w:type="dxa"/>
            <w:vAlign w:val="bottom"/>
            <w:tcBorders>
              <w:bottom w:val="single" w:sz="8" w:color="auto"/>
            </w:tcBorders>
          </w:tcPr>
          <w:p>
            <w:pPr>
              <w:spacing w:after="0"/>
              <w:rPr>
                <w:sz w:val="13"/>
                <w:szCs w:val="13"/>
                <w:color w:val="auto"/>
              </w:rPr>
            </w:pPr>
          </w:p>
        </w:tc>
        <w:tc>
          <w:tcPr>
            <w:tcW w:w="260" w:type="dxa"/>
            <w:vAlign w:val="bottom"/>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820" w:type="dxa"/>
            <w:vAlign w:val="bottom"/>
            <w:tcBorders>
              <w:bottom w:val="single" w:sz="8" w:color="auto"/>
            </w:tcBorders>
            <w:gridSpan w:val="3"/>
          </w:tcPr>
          <w:p>
            <w:pPr>
              <w:jc w:val="right"/>
              <w:ind w:right="120"/>
              <w:spacing w:after="0"/>
              <w:rPr>
                <w:sz w:val="20"/>
                <w:szCs w:val="20"/>
                <w:color w:val="auto"/>
              </w:rPr>
            </w:pPr>
            <w:r>
              <w:rPr>
                <w:rFonts w:ascii="Arial" w:cs="Arial" w:eastAsia="Arial" w:hAnsi="Arial"/>
                <w:sz w:val="13"/>
                <w:szCs w:val="13"/>
                <w:b w:val="1"/>
                <w:bCs w:val="1"/>
                <w:color w:val="auto"/>
              </w:rPr>
              <w:t>2017</w:t>
            </w:r>
          </w:p>
        </w:tc>
        <w:tc>
          <w:tcPr>
            <w:tcW w:w="460" w:type="dxa"/>
            <w:vAlign w:val="bottom"/>
            <w:tcBorders>
              <w:bottom w:val="single" w:sz="8" w:color="auto"/>
            </w:tcBorders>
          </w:tcPr>
          <w:p>
            <w:pPr>
              <w:spacing w:after="0"/>
              <w:rPr>
                <w:sz w:val="13"/>
                <w:szCs w:val="13"/>
                <w:color w:val="auto"/>
              </w:rPr>
            </w:pPr>
          </w:p>
        </w:tc>
        <w:tc>
          <w:tcPr>
            <w:tcW w:w="260" w:type="dxa"/>
            <w:vAlign w:val="bottom"/>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860" w:type="dxa"/>
            <w:vAlign w:val="bottom"/>
            <w:tcBorders>
              <w:bottom w:val="single" w:sz="8" w:color="auto"/>
            </w:tcBorders>
            <w:gridSpan w:val="3"/>
          </w:tcPr>
          <w:p>
            <w:pPr>
              <w:jc w:val="right"/>
              <w:ind w:right="100"/>
              <w:spacing w:after="0"/>
              <w:rPr>
                <w:sz w:val="20"/>
                <w:szCs w:val="20"/>
                <w:color w:val="auto"/>
              </w:rPr>
            </w:pPr>
            <w:r>
              <w:rPr>
                <w:rFonts w:ascii="Arial" w:cs="Arial" w:eastAsia="Arial" w:hAnsi="Arial"/>
                <w:sz w:val="13"/>
                <w:szCs w:val="13"/>
                <w:b w:val="1"/>
                <w:bCs w:val="1"/>
                <w:color w:val="auto"/>
              </w:rPr>
              <w:t>2016</w:t>
            </w:r>
          </w:p>
        </w:tc>
        <w:tc>
          <w:tcPr>
            <w:tcW w:w="460" w:type="dxa"/>
            <w:vAlign w:val="bottom"/>
            <w:tcBorders>
              <w:bottom w:val="single" w:sz="8" w:color="auto"/>
            </w:tcBorders>
          </w:tcPr>
          <w:p>
            <w:pPr>
              <w:spacing w:after="0"/>
              <w:rPr>
                <w:sz w:val="13"/>
                <w:szCs w:val="13"/>
                <w:color w:val="auto"/>
              </w:rPr>
            </w:pPr>
          </w:p>
        </w:tc>
        <w:tc>
          <w:tcPr>
            <w:tcW w:w="20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780" w:type="dxa"/>
            <w:vAlign w:val="bottom"/>
            <w:tcBorders>
              <w:bottom w:val="single" w:sz="8" w:color="auto"/>
            </w:tcBorders>
            <w:gridSpan w:val="3"/>
          </w:tcPr>
          <w:p>
            <w:pPr>
              <w:jc w:val="right"/>
              <w:ind w:right="100"/>
              <w:spacing w:after="0"/>
              <w:rPr>
                <w:sz w:val="20"/>
                <w:szCs w:val="20"/>
                <w:color w:val="auto"/>
              </w:rPr>
            </w:pPr>
            <w:r>
              <w:rPr>
                <w:rFonts w:ascii="Arial" w:cs="Arial" w:eastAsia="Arial" w:hAnsi="Arial"/>
                <w:sz w:val="13"/>
                <w:szCs w:val="13"/>
                <w:b w:val="1"/>
                <w:bCs w:val="1"/>
                <w:color w:val="auto"/>
              </w:rPr>
              <w:t>2015</w:t>
            </w:r>
          </w:p>
        </w:tc>
        <w:tc>
          <w:tcPr>
            <w:tcW w:w="440" w:type="dxa"/>
            <w:vAlign w:val="bottom"/>
            <w:tcBorders>
              <w:bottom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780" w:type="dxa"/>
            <w:vAlign w:val="bottom"/>
            <w:tcBorders>
              <w:bottom w:val="single" w:sz="8" w:color="auto"/>
            </w:tcBorders>
            <w:gridSpan w:val="3"/>
          </w:tcPr>
          <w:p>
            <w:pPr>
              <w:jc w:val="right"/>
              <w:ind w:right="100"/>
              <w:spacing w:after="0"/>
              <w:rPr>
                <w:sz w:val="20"/>
                <w:szCs w:val="20"/>
                <w:color w:val="auto"/>
              </w:rPr>
            </w:pPr>
            <w:r>
              <w:rPr>
                <w:rFonts w:ascii="Arial" w:cs="Arial" w:eastAsia="Arial" w:hAnsi="Arial"/>
                <w:sz w:val="13"/>
                <w:szCs w:val="13"/>
                <w:b w:val="1"/>
                <w:bCs w:val="1"/>
                <w:color w:val="auto"/>
              </w:rPr>
              <w:t>2014</w:t>
            </w:r>
          </w:p>
        </w:tc>
        <w:tc>
          <w:tcPr>
            <w:tcW w:w="440" w:type="dxa"/>
            <w:vAlign w:val="bottom"/>
            <w:tcBorders>
              <w:bottom w:val="single" w:sz="8" w:color="auto"/>
            </w:tcBorders>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3"/>
        </w:trPr>
        <w:tc>
          <w:tcPr>
            <w:tcW w:w="3560" w:type="dxa"/>
            <w:vAlign w:val="bottom"/>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820" w:type="dxa"/>
            <w:vAlign w:val="bottom"/>
            <w:tcBorders>
              <w:bottom w:val="single" w:sz="8" w:color="auto"/>
            </w:tcBorders>
            <w:gridSpan w:val="3"/>
          </w:tcPr>
          <w:p>
            <w:pPr>
              <w:jc w:val="right"/>
              <w:ind w:right="500"/>
              <w:spacing w:after="0"/>
              <w:rPr>
                <w:sz w:val="20"/>
                <w:szCs w:val="20"/>
                <w:color w:val="auto"/>
              </w:rPr>
            </w:pPr>
            <w:r>
              <w:rPr>
                <w:rFonts w:ascii="Arial" w:cs="Arial" w:eastAsia="Arial" w:hAnsi="Arial"/>
                <w:sz w:val="13"/>
                <w:szCs w:val="13"/>
                <w:b w:val="1"/>
                <w:bCs w:val="1"/>
                <w:color w:val="auto"/>
                <w:w w:val="96"/>
              </w:rPr>
              <w:t>Total</w:t>
            </w:r>
          </w:p>
        </w:tc>
        <w:tc>
          <w:tcPr>
            <w:tcW w:w="460" w:type="dxa"/>
            <w:vAlign w:val="bottom"/>
            <w:tcBorders>
              <w:bottom w:val="single" w:sz="8" w:color="auto"/>
            </w:tcBorders>
          </w:tcPr>
          <w:p>
            <w:pPr>
              <w:jc w:val="right"/>
              <w:ind w:right="156"/>
              <w:spacing w:after="0"/>
              <w:rPr>
                <w:sz w:val="20"/>
                <w:szCs w:val="20"/>
                <w:color w:val="auto"/>
              </w:rPr>
            </w:pPr>
            <w:r>
              <w:rPr>
                <w:rFonts w:ascii="Arial" w:cs="Arial" w:eastAsia="Arial" w:hAnsi="Arial"/>
                <w:sz w:val="13"/>
                <w:szCs w:val="13"/>
                <w:b w:val="1"/>
                <w:bCs w:val="1"/>
                <w:color w:val="auto"/>
              </w:rPr>
              <w:t>%</w:t>
            </w:r>
          </w:p>
        </w:tc>
        <w:tc>
          <w:tcPr>
            <w:tcW w:w="26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820" w:type="dxa"/>
            <w:vAlign w:val="bottom"/>
            <w:tcBorders>
              <w:bottom w:val="single" w:sz="8" w:color="auto"/>
            </w:tcBorders>
            <w:gridSpan w:val="3"/>
          </w:tcPr>
          <w:p>
            <w:pPr>
              <w:jc w:val="right"/>
              <w:ind w:right="500"/>
              <w:spacing w:after="0"/>
              <w:rPr>
                <w:sz w:val="20"/>
                <w:szCs w:val="20"/>
                <w:color w:val="auto"/>
              </w:rPr>
            </w:pPr>
            <w:r>
              <w:rPr>
                <w:rFonts w:ascii="Arial" w:cs="Arial" w:eastAsia="Arial" w:hAnsi="Arial"/>
                <w:sz w:val="13"/>
                <w:szCs w:val="13"/>
                <w:b w:val="1"/>
                <w:bCs w:val="1"/>
                <w:color w:val="auto"/>
                <w:w w:val="96"/>
              </w:rPr>
              <w:t>Total</w:t>
            </w:r>
          </w:p>
        </w:tc>
        <w:tc>
          <w:tcPr>
            <w:tcW w:w="460" w:type="dxa"/>
            <w:vAlign w:val="bottom"/>
            <w:tcBorders>
              <w:bottom w:val="single" w:sz="8" w:color="auto"/>
            </w:tcBorders>
          </w:tcPr>
          <w:p>
            <w:pPr>
              <w:jc w:val="right"/>
              <w:ind w:right="176"/>
              <w:spacing w:after="0"/>
              <w:rPr>
                <w:sz w:val="20"/>
                <w:szCs w:val="20"/>
                <w:color w:val="auto"/>
              </w:rPr>
            </w:pPr>
            <w:r>
              <w:rPr>
                <w:rFonts w:ascii="Arial" w:cs="Arial" w:eastAsia="Arial" w:hAnsi="Arial"/>
                <w:sz w:val="13"/>
                <w:szCs w:val="13"/>
                <w:b w:val="1"/>
                <w:bCs w:val="1"/>
                <w:color w:val="auto"/>
              </w:rPr>
              <w:t>%</w:t>
            </w:r>
          </w:p>
        </w:tc>
        <w:tc>
          <w:tcPr>
            <w:tcW w:w="260" w:type="dxa"/>
            <w:vAlign w:val="bottom"/>
            <w:tcBorders>
              <w:bottom w:val="single" w:sz="8" w:color="auto"/>
            </w:tcBorders>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860" w:type="dxa"/>
            <w:vAlign w:val="bottom"/>
            <w:tcBorders>
              <w:bottom w:val="single" w:sz="8" w:color="auto"/>
            </w:tcBorders>
            <w:gridSpan w:val="3"/>
          </w:tcPr>
          <w:p>
            <w:pPr>
              <w:jc w:val="right"/>
              <w:ind w:right="500"/>
              <w:spacing w:after="0"/>
              <w:rPr>
                <w:sz w:val="20"/>
                <w:szCs w:val="20"/>
                <w:color w:val="auto"/>
              </w:rPr>
            </w:pPr>
            <w:r>
              <w:rPr>
                <w:rFonts w:ascii="Arial" w:cs="Arial" w:eastAsia="Arial" w:hAnsi="Arial"/>
                <w:sz w:val="13"/>
                <w:szCs w:val="13"/>
                <w:b w:val="1"/>
                <w:bCs w:val="1"/>
                <w:color w:val="auto"/>
              </w:rPr>
              <w:t>Total</w:t>
            </w:r>
          </w:p>
        </w:tc>
        <w:tc>
          <w:tcPr>
            <w:tcW w:w="460" w:type="dxa"/>
            <w:vAlign w:val="bottom"/>
            <w:tcBorders>
              <w:bottom w:val="single" w:sz="8" w:color="auto"/>
            </w:tcBorders>
          </w:tcPr>
          <w:p>
            <w:pPr>
              <w:jc w:val="right"/>
              <w:ind w:right="156"/>
              <w:spacing w:after="0"/>
              <w:rPr>
                <w:sz w:val="20"/>
                <w:szCs w:val="20"/>
                <w:color w:val="auto"/>
              </w:rPr>
            </w:pPr>
            <w:r>
              <w:rPr>
                <w:rFonts w:ascii="Arial" w:cs="Arial" w:eastAsia="Arial" w:hAnsi="Arial"/>
                <w:sz w:val="13"/>
                <w:szCs w:val="13"/>
                <w:b w:val="1"/>
                <w:bCs w:val="1"/>
                <w:color w:val="auto"/>
              </w:rPr>
              <w:t>%</w:t>
            </w:r>
          </w:p>
        </w:tc>
        <w:tc>
          <w:tcPr>
            <w:tcW w:w="200" w:type="dxa"/>
            <w:vAlign w:val="bottom"/>
            <w:tcBorders>
              <w:bottom w:val="single" w:sz="8" w:color="auto"/>
            </w:tcBorders>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780" w:type="dxa"/>
            <w:vAlign w:val="bottom"/>
            <w:tcBorders>
              <w:bottom w:val="single" w:sz="8" w:color="auto"/>
            </w:tcBorders>
            <w:gridSpan w:val="3"/>
          </w:tcPr>
          <w:p>
            <w:pPr>
              <w:jc w:val="right"/>
              <w:ind w:right="460"/>
              <w:spacing w:after="0"/>
              <w:rPr>
                <w:sz w:val="20"/>
                <w:szCs w:val="20"/>
                <w:color w:val="auto"/>
              </w:rPr>
            </w:pPr>
            <w:r>
              <w:rPr>
                <w:rFonts w:ascii="Arial" w:cs="Arial" w:eastAsia="Arial" w:hAnsi="Arial"/>
                <w:sz w:val="13"/>
                <w:szCs w:val="13"/>
                <w:b w:val="1"/>
                <w:bCs w:val="1"/>
                <w:color w:val="auto"/>
                <w:w w:val="96"/>
              </w:rPr>
              <w:t>Total</w:t>
            </w:r>
          </w:p>
        </w:tc>
        <w:tc>
          <w:tcPr>
            <w:tcW w:w="440" w:type="dxa"/>
            <w:vAlign w:val="bottom"/>
            <w:tcBorders>
              <w:bottom w:val="single" w:sz="8" w:color="auto"/>
            </w:tcBorders>
          </w:tcPr>
          <w:p>
            <w:pPr>
              <w:jc w:val="right"/>
              <w:ind w:right="136"/>
              <w:spacing w:after="0"/>
              <w:rPr>
                <w:sz w:val="20"/>
                <w:szCs w:val="20"/>
                <w:color w:val="auto"/>
              </w:rPr>
            </w:pPr>
            <w:r>
              <w:rPr>
                <w:rFonts w:ascii="Arial" w:cs="Arial" w:eastAsia="Arial" w:hAnsi="Arial"/>
                <w:sz w:val="13"/>
                <w:szCs w:val="13"/>
                <w:b w:val="1"/>
                <w:bCs w:val="1"/>
                <w:color w:val="auto"/>
              </w:rPr>
              <w:t>%</w:t>
            </w:r>
          </w:p>
        </w:tc>
        <w:tc>
          <w:tcPr>
            <w:tcW w:w="22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780" w:type="dxa"/>
            <w:vAlign w:val="bottom"/>
            <w:tcBorders>
              <w:bottom w:val="single" w:sz="8" w:color="auto"/>
            </w:tcBorders>
            <w:gridSpan w:val="3"/>
          </w:tcPr>
          <w:p>
            <w:pPr>
              <w:jc w:val="right"/>
              <w:ind w:right="460"/>
              <w:spacing w:after="0"/>
              <w:rPr>
                <w:sz w:val="20"/>
                <w:szCs w:val="20"/>
                <w:color w:val="auto"/>
              </w:rPr>
            </w:pPr>
            <w:r>
              <w:rPr>
                <w:rFonts w:ascii="Arial" w:cs="Arial" w:eastAsia="Arial" w:hAnsi="Arial"/>
                <w:sz w:val="13"/>
                <w:szCs w:val="13"/>
                <w:b w:val="1"/>
                <w:bCs w:val="1"/>
                <w:color w:val="auto"/>
                <w:w w:val="96"/>
              </w:rPr>
              <w:t>Total</w:t>
            </w:r>
          </w:p>
        </w:tc>
        <w:tc>
          <w:tcPr>
            <w:tcW w:w="440" w:type="dxa"/>
            <w:vAlign w:val="bottom"/>
            <w:tcBorders>
              <w:bottom w:val="single" w:sz="8" w:color="auto"/>
            </w:tcBorders>
          </w:tcPr>
          <w:p>
            <w:pPr>
              <w:jc w:val="right"/>
              <w:ind w:right="136"/>
              <w:spacing w:after="0"/>
              <w:rPr>
                <w:sz w:val="20"/>
                <w:szCs w:val="20"/>
                <w:color w:val="auto"/>
              </w:rPr>
            </w:pPr>
            <w:r>
              <w:rPr>
                <w:rFonts w:ascii="Arial" w:cs="Arial" w:eastAsia="Arial" w:hAnsi="Arial"/>
                <w:sz w:val="13"/>
                <w:szCs w:val="13"/>
                <w:b w:val="1"/>
                <w:bCs w:val="1"/>
                <w:color w:val="auto"/>
              </w:rPr>
              <w:t>%</w:t>
            </w: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44"/>
        </w:trPr>
        <w:tc>
          <w:tcPr>
            <w:tcW w:w="35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4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300" w:type="dxa"/>
            <w:vAlign w:val="bottom"/>
            <w:gridSpan w:val="8"/>
          </w:tcPr>
          <w:p>
            <w:pPr>
              <w:jc w:val="center"/>
              <w:ind w:left="276"/>
              <w:spacing w:after="0" w:line="144" w:lineRule="exact"/>
              <w:rPr>
                <w:sz w:val="20"/>
                <w:szCs w:val="20"/>
                <w:color w:val="auto"/>
              </w:rPr>
            </w:pPr>
            <w:r>
              <w:rPr>
                <w:rFonts w:ascii="Arial" w:cs="Arial" w:eastAsia="Arial" w:hAnsi="Arial"/>
                <w:sz w:val="13"/>
                <w:szCs w:val="13"/>
                <w:b w:val="1"/>
                <w:bCs w:val="1"/>
                <w:color w:val="auto"/>
                <w:w w:val="86"/>
              </w:rPr>
              <w:t>(in $ millions, except percentages)</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4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44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3560" w:type="dxa"/>
            <w:vAlign w:val="bottom"/>
            <w:shd w:val="clear" w:color="auto" w:fill="CCEEFF"/>
          </w:tcPr>
          <w:p>
            <w:pPr>
              <w:spacing w:after="0"/>
              <w:rPr>
                <w:sz w:val="20"/>
                <w:szCs w:val="20"/>
                <w:color w:val="auto"/>
              </w:rPr>
            </w:pPr>
            <w:r>
              <w:rPr>
                <w:rFonts w:ascii="Arial" w:cs="Arial" w:eastAsia="Arial" w:hAnsi="Arial"/>
                <w:sz w:val="13"/>
                <w:szCs w:val="13"/>
                <w:color w:val="auto"/>
              </w:rPr>
              <w:t>Private sector commercial banks and Financial Institutions</w:t>
            </w: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19.0</w:t>
            </w:r>
          </w:p>
        </w:tc>
        <w:tc>
          <w:tcPr>
            <w:tcW w:w="1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96"/>
              <w:spacing w:after="0"/>
              <w:rPr>
                <w:sz w:val="20"/>
                <w:szCs w:val="20"/>
                <w:color w:val="auto"/>
              </w:rPr>
            </w:pPr>
            <w:r>
              <w:rPr>
                <w:rFonts w:ascii="Arial" w:cs="Arial" w:eastAsia="Arial" w:hAnsi="Arial"/>
                <w:sz w:val="13"/>
                <w:szCs w:val="13"/>
                <w:color w:val="auto"/>
              </w:rPr>
              <w:t>18.3</w:t>
            </w:r>
          </w:p>
        </w:tc>
        <w:tc>
          <w:tcPr>
            <w:tcW w:w="120" w:type="dxa"/>
            <w:vAlign w:val="bottom"/>
            <w:shd w:val="clear" w:color="auto" w:fill="CCEEFF"/>
          </w:tcPr>
          <w:p>
            <w:pPr>
              <w:jc w:val="right"/>
              <w:ind w:right="12"/>
              <w:spacing w:after="0"/>
              <w:rPr>
                <w:sz w:val="20"/>
                <w:szCs w:val="20"/>
                <w:color w:val="auto"/>
              </w:rPr>
            </w:pPr>
            <w:r>
              <w:rPr>
                <w:rFonts w:ascii="Arial" w:cs="Arial" w:eastAsia="Arial" w:hAnsi="Arial"/>
                <w:sz w:val="10"/>
                <w:szCs w:val="10"/>
                <w:color w:val="auto"/>
                <w:w w:val="71"/>
              </w:rPr>
              <w:t>$</w:t>
            </w:r>
          </w:p>
        </w:tc>
        <w:tc>
          <w:tcPr>
            <w:tcW w:w="7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17.2</w:t>
            </w:r>
          </w:p>
        </w:tc>
        <w:tc>
          <w:tcPr>
            <w:tcW w:w="1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96"/>
              <w:spacing w:after="0"/>
              <w:rPr>
                <w:sz w:val="20"/>
                <w:szCs w:val="20"/>
                <w:color w:val="auto"/>
              </w:rPr>
            </w:pPr>
            <w:r>
              <w:rPr>
                <w:rFonts w:ascii="Arial" w:cs="Arial" w:eastAsia="Arial" w:hAnsi="Arial"/>
                <w:sz w:val="13"/>
                <w:szCs w:val="13"/>
                <w:color w:val="auto"/>
              </w:rPr>
              <w:t>19.6</w:t>
            </w:r>
          </w:p>
        </w:tc>
        <w:tc>
          <w:tcPr>
            <w:tcW w:w="6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7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11.3</w:t>
            </w:r>
          </w:p>
        </w:tc>
        <w:tc>
          <w:tcPr>
            <w:tcW w:w="120" w:type="dxa"/>
            <w:vAlign w:val="bottom"/>
            <w:shd w:val="clear" w:color="auto" w:fill="CCEEFF"/>
          </w:tcPr>
          <w:p>
            <w:pPr>
              <w:spacing w:after="0"/>
              <w:rPr>
                <w:sz w:val="13"/>
                <w:szCs w:val="13"/>
                <w:color w:val="auto"/>
              </w:rPr>
            </w:pPr>
          </w:p>
        </w:tc>
        <w:tc>
          <w:tcPr>
            <w:tcW w:w="660" w:type="dxa"/>
            <w:vAlign w:val="bottom"/>
            <w:gridSpan w:val="2"/>
            <w:shd w:val="clear" w:color="auto" w:fill="CCEEFF"/>
          </w:tcPr>
          <w:p>
            <w:pPr>
              <w:jc w:val="right"/>
              <w:ind w:right="136"/>
              <w:spacing w:after="0"/>
              <w:rPr>
                <w:sz w:val="20"/>
                <w:szCs w:val="20"/>
                <w:color w:val="auto"/>
              </w:rPr>
            </w:pPr>
            <w:r>
              <w:rPr>
                <w:rFonts w:ascii="Arial" w:cs="Arial" w:eastAsia="Arial" w:hAnsi="Arial"/>
                <w:sz w:val="13"/>
                <w:szCs w:val="13"/>
                <w:color w:val="auto"/>
              </w:rPr>
              <w:t>10.1</w:t>
            </w:r>
          </w:p>
        </w:tc>
        <w:tc>
          <w:tcPr>
            <w:tcW w:w="16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6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16.5</w:t>
            </w:r>
          </w:p>
        </w:tc>
        <w:tc>
          <w:tcPr>
            <w:tcW w:w="120" w:type="dxa"/>
            <w:vAlign w:val="bottom"/>
            <w:shd w:val="clear" w:color="auto" w:fill="CCEEFF"/>
          </w:tcPr>
          <w:p>
            <w:pPr>
              <w:spacing w:after="0"/>
              <w:rPr>
                <w:sz w:val="13"/>
                <w:szCs w:val="13"/>
                <w:color w:val="auto"/>
              </w:rPr>
            </w:pPr>
          </w:p>
        </w:tc>
        <w:tc>
          <w:tcPr>
            <w:tcW w:w="6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17.3</w:t>
            </w: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6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17.6</w:t>
            </w:r>
          </w:p>
        </w:tc>
        <w:tc>
          <w:tcPr>
            <w:tcW w:w="120" w:type="dxa"/>
            <w:vAlign w:val="bottom"/>
            <w:shd w:val="clear" w:color="auto" w:fill="CCEEFF"/>
          </w:tcPr>
          <w:p>
            <w:pPr>
              <w:spacing w:after="0"/>
              <w:rPr>
                <w:sz w:val="13"/>
                <w:szCs w:val="13"/>
                <w:color w:val="auto"/>
              </w:rPr>
            </w:pPr>
          </w:p>
        </w:tc>
        <w:tc>
          <w:tcPr>
            <w:tcW w:w="4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20.1</w:t>
            </w:r>
          </w:p>
        </w:tc>
        <w:tc>
          <w:tcPr>
            <w:tcW w:w="100" w:type="dxa"/>
            <w:vAlign w:val="bottom"/>
            <w:shd w:val="clear" w:color="auto" w:fill="CCEEFF"/>
          </w:tcPr>
          <w:p>
            <w:pPr>
              <w:spacing w:after="0"/>
              <w:rPr>
                <w:sz w:val="13"/>
                <w:szCs w:val="13"/>
                <w:color w:val="auto"/>
              </w:rPr>
            </w:pPr>
          </w:p>
        </w:tc>
      </w:tr>
      <w:tr>
        <w:trPr>
          <w:trHeight w:val="154"/>
        </w:trPr>
        <w:tc>
          <w:tcPr>
            <w:tcW w:w="3560" w:type="dxa"/>
            <w:vAlign w:val="bottom"/>
          </w:tcPr>
          <w:p>
            <w:pPr>
              <w:spacing w:after="0"/>
              <w:rPr>
                <w:sz w:val="20"/>
                <w:szCs w:val="20"/>
                <w:color w:val="auto"/>
              </w:rPr>
            </w:pPr>
            <w:r>
              <w:rPr>
                <w:rFonts w:ascii="Arial" w:cs="Arial" w:eastAsia="Arial" w:hAnsi="Arial"/>
                <w:sz w:val="13"/>
                <w:szCs w:val="13"/>
                <w:color w:val="auto"/>
              </w:rPr>
              <w:t>State-owned commercial banks</w:t>
            </w:r>
          </w:p>
        </w:tc>
        <w:tc>
          <w:tcPr>
            <w:tcW w:w="100" w:type="dxa"/>
            <w:vAlign w:val="bottom"/>
          </w:tcPr>
          <w:p>
            <w:pPr>
              <w:spacing w:after="0"/>
              <w:rPr>
                <w:sz w:val="13"/>
                <w:szCs w:val="13"/>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8.7</w:t>
            </w:r>
          </w:p>
        </w:tc>
        <w:tc>
          <w:tcPr>
            <w:tcW w:w="120" w:type="dxa"/>
            <w:vAlign w:val="bottom"/>
          </w:tcPr>
          <w:p>
            <w:pPr>
              <w:spacing w:after="0"/>
              <w:rPr>
                <w:sz w:val="13"/>
                <w:szCs w:val="13"/>
                <w:color w:val="auto"/>
              </w:rPr>
            </w:pPr>
          </w:p>
        </w:tc>
        <w:tc>
          <w:tcPr>
            <w:tcW w:w="720" w:type="dxa"/>
            <w:vAlign w:val="bottom"/>
            <w:gridSpan w:val="2"/>
          </w:tcPr>
          <w:p>
            <w:pPr>
              <w:jc w:val="right"/>
              <w:ind w:right="196"/>
              <w:spacing w:after="0"/>
              <w:rPr>
                <w:sz w:val="20"/>
                <w:szCs w:val="20"/>
                <w:color w:val="auto"/>
              </w:rPr>
            </w:pPr>
            <w:r>
              <w:rPr>
                <w:rFonts w:ascii="Arial" w:cs="Arial" w:eastAsia="Arial" w:hAnsi="Arial"/>
                <w:sz w:val="13"/>
                <w:szCs w:val="13"/>
                <w:color w:val="auto"/>
              </w:rPr>
              <w:t>8.3</w:t>
            </w:r>
          </w:p>
        </w:tc>
        <w:tc>
          <w:tcPr>
            <w:tcW w:w="120" w:type="dxa"/>
            <w:vAlign w:val="bottom"/>
          </w:tcPr>
          <w:p>
            <w:pPr>
              <w:spacing w:after="0"/>
              <w:rPr>
                <w:sz w:val="13"/>
                <w:szCs w:val="13"/>
                <w:color w:val="auto"/>
              </w:rPr>
            </w:pPr>
          </w:p>
        </w:tc>
        <w:tc>
          <w:tcPr>
            <w:tcW w:w="700" w:type="dxa"/>
            <w:vAlign w:val="bottom"/>
            <w:gridSpan w:val="2"/>
          </w:tcPr>
          <w:p>
            <w:pPr>
              <w:jc w:val="right"/>
              <w:ind w:right="240"/>
              <w:spacing w:after="0"/>
              <w:rPr>
                <w:sz w:val="20"/>
                <w:szCs w:val="20"/>
                <w:color w:val="auto"/>
              </w:rPr>
            </w:pPr>
            <w:r>
              <w:rPr>
                <w:rFonts w:ascii="Arial" w:cs="Arial" w:eastAsia="Arial" w:hAnsi="Arial"/>
                <w:sz w:val="13"/>
                <w:szCs w:val="13"/>
                <w:color w:val="auto"/>
              </w:rPr>
              <w:t>3.6</w:t>
            </w:r>
          </w:p>
        </w:tc>
        <w:tc>
          <w:tcPr>
            <w:tcW w:w="120" w:type="dxa"/>
            <w:vAlign w:val="bottom"/>
          </w:tcPr>
          <w:p>
            <w:pPr>
              <w:spacing w:after="0"/>
              <w:rPr>
                <w:sz w:val="13"/>
                <w:szCs w:val="13"/>
                <w:color w:val="auto"/>
              </w:rPr>
            </w:pPr>
          </w:p>
        </w:tc>
        <w:tc>
          <w:tcPr>
            <w:tcW w:w="720" w:type="dxa"/>
            <w:vAlign w:val="bottom"/>
            <w:gridSpan w:val="2"/>
          </w:tcPr>
          <w:p>
            <w:pPr>
              <w:jc w:val="right"/>
              <w:ind w:right="196"/>
              <w:spacing w:after="0"/>
              <w:rPr>
                <w:sz w:val="20"/>
                <w:szCs w:val="20"/>
                <w:color w:val="auto"/>
              </w:rPr>
            </w:pPr>
            <w:r>
              <w:rPr>
                <w:rFonts w:ascii="Arial" w:cs="Arial" w:eastAsia="Arial" w:hAnsi="Arial"/>
                <w:sz w:val="13"/>
                <w:szCs w:val="13"/>
                <w:color w:val="auto"/>
              </w:rPr>
              <w:t>4.1</w:t>
            </w:r>
          </w:p>
        </w:tc>
        <w:tc>
          <w:tcPr>
            <w:tcW w:w="60" w:type="dxa"/>
            <w:vAlign w:val="bottom"/>
          </w:tcPr>
          <w:p>
            <w:pPr>
              <w:spacing w:after="0"/>
              <w:rPr>
                <w:sz w:val="13"/>
                <w:szCs w:val="13"/>
                <w:color w:val="auto"/>
              </w:rPr>
            </w:pPr>
          </w:p>
        </w:tc>
        <w:tc>
          <w:tcPr>
            <w:tcW w:w="740" w:type="dxa"/>
            <w:vAlign w:val="bottom"/>
            <w:gridSpan w:val="2"/>
          </w:tcPr>
          <w:p>
            <w:pPr>
              <w:jc w:val="right"/>
              <w:ind w:right="240"/>
              <w:spacing w:after="0"/>
              <w:rPr>
                <w:sz w:val="20"/>
                <w:szCs w:val="20"/>
                <w:color w:val="auto"/>
              </w:rPr>
            </w:pPr>
            <w:r>
              <w:rPr>
                <w:rFonts w:ascii="Arial" w:cs="Arial" w:eastAsia="Arial" w:hAnsi="Arial"/>
                <w:sz w:val="13"/>
                <w:szCs w:val="13"/>
                <w:color w:val="auto"/>
              </w:rPr>
              <w:t>6.7</w:t>
            </w:r>
          </w:p>
        </w:tc>
        <w:tc>
          <w:tcPr>
            <w:tcW w:w="120" w:type="dxa"/>
            <w:vAlign w:val="bottom"/>
          </w:tcPr>
          <w:p>
            <w:pPr>
              <w:spacing w:after="0"/>
              <w:rPr>
                <w:sz w:val="13"/>
                <w:szCs w:val="13"/>
                <w:color w:val="auto"/>
              </w:rPr>
            </w:pPr>
          </w:p>
        </w:tc>
        <w:tc>
          <w:tcPr>
            <w:tcW w:w="660" w:type="dxa"/>
            <w:vAlign w:val="bottom"/>
            <w:gridSpan w:val="2"/>
          </w:tcPr>
          <w:p>
            <w:pPr>
              <w:jc w:val="right"/>
              <w:ind w:right="136"/>
              <w:spacing w:after="0"/>
              <w:rPr>
                <w:sz w:val="20"/>
                <w:szCs w:val="20"/>
                <w:color w:val="auto"/>
              </w:rPr>
            </w:pPr>
            <w:r>
              <w:rPr>
                <w:rFonts w:ascii="Arial" w:cs="Arial" w:eastAsia="Arial" w:hAnsi="Arial"/>
                <w:sz w:val="13"/>
                <w:szCs w:val="13"/>
                <w:color w:val="auto"/>
              </w:rPr>
              <w:t>6.0</w:t>
            </w:r>
          </w:p>
        </w:tc>
        <w:tc>
          <w:tcPr>
            <w:tcW w:w="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660" w:type="dxa"/>
            <w:vAlign w:val="bottom"/>
            <w:gridSpan w:val="2"/>
          </w:tcPr>
          <w:p>
            <w:pPr>
              <w:jc w:val="right"/>
              <w:ind w:right="200"/>
              <w:spacing w:after="0"/>
              <w:rPr>
                <w:sz w:val="20"/>
                <w:szCs w:val="20"/>
                <w:color w:val="auto"/>
              </w:rPr>
            </w:pPr>
            <w:r>
              <w:rPr>
                <w:rFonts w:ascii="Arial" w:cs="Arial" w:eastAsia="Arial" w:hAnsi="Arial"/>
                <w:sz w:val="13"/>
                <w:szCs w:val="13"/>
                <w:color w:val="auto"/>
              </w:rPr>
              <w:t>13.6</w:t>
            </w:r>
          </w:p>
        </w:tc>
        <w:tc>
          <w:tcPr>
            <w:tcW w:w="120" w:type="dxa"/>
            <w:vAlign w:val="bottom"/>
          </w:tcPr>
          <w:p>
            <w:pPr>
              <w:spacing w:after="0"/>
              <w:rPr>
                <w:sz w:val="13"/>
                <w:szCs w:val="13"/>
                <w:color w:val="auto"/>
              </w:rPr>
            </w:pPr>
          </w:p>
        </w:tc>
        <w:tc>
          <w:tcPr>
            <w:tcW w:w="660" w:type="dxa"/>
            <w:vAlign w:val="bottom"/>
            <w:gridSpan w:val="2"/>
          </w:tcPr>
          <w:p>
            <w:pPr>
              <w:jc w:val="right"/>
              <w:ind w:right="220"/>
              <w:spacing w:after="0"/>
              <w:rPr>
                <w:sz w:val="20"/>
                <w:szCs w:val="20"/>
                <w:color w:val="auto"/>
              </w:rPr>
            </w:pPr>
            <w:r>
              <w:rPr>
                <w:rFonts w:ascii="Arial" w:cs="Arial" w:eastAsia="Arial" w:hAnsi="Arial"/>
                <w:sz w:val="13"/>
                <w:szCs w:val="13"/>
                <w:color w:val="auto"/>
              </w:rPr>
              <w:t>14.2</w:t>
            </w:r>
          </w:p>
        </w:tc>
        <w:tc>
          <w:tcPr>
            <w:tcW w:w="100" w:type="dxa"/>
            <w:vAlign w:val="bottom"/>
          </w:tcPr>
          <w:p>
            <w:pPr>
              <w:spacing w:after="0"/>
              <w:rPr>
                <w:sz w:val="13"/>
                <w:szCs w:val="13"/>
                <w:color w:val="auto"/>
              </w:rPr>
            </w:pPr>
          </w:p>
        </w:tc>
        <w:tc>
          <w:tcPr>
            <w:tcW w:w="660" w:type="dxa"/>
            <w:vAlign w:val="bottom"/>
            <w:gridSpan w:val="2"/>
          </w:tcPr>
          <w:p>
            <w:pPr>
              <w:jc w:val="right"/>
              <w:ind w:right="200"/>
              <w:spacing w:after="0"/>
              <w:rPr>
                <w:sz w:val="20"/>
                <w:szCs w:val="20"/>
                <w:color w:val="auto"/>
              </w:rPr>
            </w:pPr>
            <w:r>
              <w:rPr>
                <w:rFonts w:ascii="Arial" w:cs="Arial" w:eastAsia="Arial" w:hAnsi="Arial"/>
                <w:sz w:val="13"/>
                <w:szCs w:val="13"/>
                <w:color w:val="auto"/>
              </w:rPr>
              <w:t>13.1</w:t>
            </w:r>
          </w:p>
        </w:tc>
        <w:tc>
          <w:tcPr>
            <w:tcW w:w="120" w:type="dxa"/>
            <w:vAlign w:val="bottom"/>
          </w:tcPr>
          <w:p>
            <w:pPr>
              <w:spacing w:after="0"/>
              <w:rPr>
                <w:sz w:val="13"/>
                <w:szCs w:val="13"/>
                <w:color w:val="auto"/>
              </w:rPr>
            </w:pPr>
          </w:p>
        </w:tc>
        <w:tc>
          <w:tcPr>
            <w:tcW w:w="460" w:type="dxa"/>
            <w:vAlign w:val="bottom"/>
            <w:gridSpan w:val="2"/>
          </w:tcPr>
          <w:p>
            <w:pPr>
              <w:jc w:val="right"/>
              <w:ind w:right="20"/>
              <w:spacing w:after="0"/>
              <w:rPr>
                <w:sz w:val="20"/>
                <w:szCs w:val="20"/>
                <w:color w:val="auto"/>
              </w:rPr>
            </w:pPr>
            <w:r>
              <w:rPr>
                <w:rFonts w:ascii="Arial" w:cs="Arial" w:eastAsia="Arial" w:hAnsi="Arial"/>
                <w:sz w:val="13"/>
                <w:szCs w:val="13"/>
                <w:color w:val="auto"/>
              </w:rPr>
              <w:t>15.0</w:t>
            </w:r>
          </w:p>
        </w:tc>
        <w:tc>
          <w:tcPr>
            <w:tcW w:w="100" w:type="dxa"/>
            <w:vAlign w:val="bottom"/>
          </w:tcPr>
          <w:p>
            <w:pPr>
              <w:spacing w:after="0"/>
              <w:rPr>
                <w:sz w:val="13"/>
                <w:szCs w:val="13"/>
                <w:color w:val="auto"/>
              </w:rPr>
            </w:pPr>
          </w:p>
        </w:tc>
      </w:tr>
      <w:tr>
        <w:trPr>
          <w:trHeight w:val="154"/>
        </w:trPr>
        <w:tc>
          <w:tcPr>
            <w:tcW w:w="3560" w:type="dxa"/>
            <w:vAlign w:val="bottom"/>
            <w:shd w:val="clear" w:color="auto" w:fill="CCEEFF"/>
          </w:tcPr>
          <w:p>
            <w:pPr>
              <w:spacing w:after="0"/>
              <w:rPr>
                <w:sz w:val="20"/>
                <w:szCs w:val="20"/>
                <w:color w:val="auto"/>
              </w:rPr>
            </w:pPr>
            <w:r>
              <w:rPr>
                <w:rFonts w:ascii="Arial" w:cs="Arial" w:eastAsia="Arial" w:hAnsi="Arial"/>
                <w:sz w:val="13"/>
                <w:szCs w:val="13"/>
                <w:color w:val="auto"/>
              </w:rPr>
              <w:t>Central banks</w:t>
            </w:r>
          </w:p>
        </w:tc>
        <w:tc>
          <w:tcPr>
            <w:tcW w:w="10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0.0</w:t>
            </w:r>
          </w:p>
        </w:tc>
        <w:tc>
          <w:tcPr>
            <w:tcW w:w="1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96"/>
              <w:spacing w:after="0"/>
              <w:rPr>
                <w:sz w:val="20"/>
                <w:szCs w:val="20"/>
                <w:color w:val="auto"/>
              </w:rPr>
            </w:pPr>
            <w:r>
              <w:rPr>
                <w:rFonts w:ascii="Arial" w:cs="Arial" w:eastAsia="Arial" w:hAnsi="Arial"/>
                <w:sz w:val="13"/>
                <w:szCs w:val="13"/>
                <w:color w:val="auto"/>
              </w:rPr>
              <w:t>0.0</w:t>
            </w:r>
          </w:p>
        </w:tc>
        <w:tc>
          <w:tcPr>
            <w:tcW w:w="12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0.0</w:t>
            </w:r>
          </w:p>
        </w:tc>
        <w:tc>
          <w:tcPr>
            <w:tcW w:w="120" w:type="dxa"/>
            <w:vAlign w:val="bottom"/>
            <w:shd w:val="clear" w:color="auto" w:fill="CCEEFF"/>
          </w:tcPr>
          <w:p>
            <w:pPr>
              <w:spacing w:after="0"/>
              <w:rPr>
                <w:sz w:val="13"/>
                <w:szCs w:val="13"/>
                <w:color w:val="auto"/>
              </w:rPr>
            </w:pPr>
          </w:p>
        </w:tc>
        <w:tc>
          <w:tcPr>
            <w:tcW w:w="720" w:type="dxa"/>
            <w:vAlign w:val="bottom"/>
            <w:gridSpan w:val="2"/>
            <w:shd w:val="clear" w:color="auto" w:fill="CCEEFF"/>
          </w:tcPr>
          <w:p>
            <w:pPr>
              <w:jc w:val="right"/>
              <w:ind w:right="196"/>
              <w:spacing w:after="0"/>
              <w:rPr>
                <w:sz w:val="20"/>
                <w:szCs w:val="20"/>
                <w:color w:val="auto"/>
              </w:rPr>
            </w:pPr>
            <w:r>
              <w:rPr>
                <w:rFonts w:ascii="Arial" w:cs="Arial" w:eastAsia="Arial" w:hAnsi="Arial"/>
                <w:sz w:val="13"/>
                <w:szCs w:val="13"/>
                <w:color w:val="auto"/>
              </w:rPr>
              <w:t>0.0</w:t>
            </w:r>
          </w:p>
        </w:tc>
        <w:tc>
          <w:tcPr>
            <w:tcW w:w="6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0.7</w:t>
            </w:r>
          </w:p>
        </w:tc>
        <w:tc>
          <w:tcPr>
            <w:tcW w:w="120" w:type="dxa"/>
            <w:vAlign w:val="bottom"/>
            <w:shd w:val="clear" w:color="auto" w:fill="CCEEFF"/>
          </w:tcPr>
          <w:p>
            <w:pPr>
              <w:spacing w:after="0"/>
              <w:rPr>
                <w:sz w:val="13"/>
                <w:szCs w:val="13"/>
                <w:color w:val="auto"/>
              </w:rPr>
            </w:pPr>
          </w:p>
        </w:tc>
        <w:tc>
          <w:tcPr>
            <w:tcW w:w="660" w:type="dxa"/>
            <w:vAlign w:val="bottom"/>
            <w:gridSpan w:val="2"/>
            <w:shd w:val="clear" w:color="auto" w:fill="CCEEFF"/>
          </w:tcPr>
          <w:p>
            <w:pPr>
              <w:jc w:val="right"/>
              <w:ind w:right="136"/>
              <w:spacing w:after="0"/>
              <w:rPr>
                <w:sz w:val="20"/>
                <w:szCs w:val="20"/>
                <w:color w:val="auto"/>
              </w:rPr>
            </w:pPr>
            <w:r>
              <w:rPr>
                <w:rFonts w:ascii="Arial" w:cs="Arial" w:eastAsia="Arial" w:hAnsi="Arial"/>
                <w:sz w:val="13"/>
                <w:szCs w:val="13"/>
                <w:color w:val="auto"/>
              </w:rPr>
              <w:t>0.6</w:t>
            </w:r>
          </w:p>
        </w:tc>
        <w:tc>
          <w:tcPr>
            <w:tcW w:w="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6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0.0</w:t>
            </w:r>
          </w:p>
        </w:tc>
        <w:tc>
          <w:tcPr>
            <w:tcW w:w="120" w:type="dxa"/>
            <w:vAlign w:val="bottom"/>
            <w:shd w:val="clear" w:color="auto" w:fill="CCEEFF"/>
          </w:tcPr>
          <w:p>
            <w:pPr>
              <w:spacing w:after="0"/>
              <w:rPr>
                <w:sz w:val="13"/>
                <w:szCs w:val="13"/>
                <w:color w:val="auto"/>
              </w:rPr>
            </w:pPr>
          </w:p>
        </w:tc>
        <w:tc>
          <w:tcPr>
            <w:tcW w:w="6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0.0</w:t>
            </w:r>
          </w:p>
        </w:tc>
        <w:tc>
          <w:tcPr>
            <w:tcW w:w="100" w:type="dxa"/>
            <w:vAlign w:val="bottom"/>
            <w:shd w:val="clear" w:color="auto" w:fill="CCEEFF"/>
          </w:tcPr>
          <w:p>
            <w:pPr>
              <w:spacing w:after="0"/>
              <w:rPr>
                <w:sz w:val="13"/>
                <w:szCs w:val="13"/>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1.3</w:t>
            </w:r>
          </w:p>
        </w:tc>
        <w:tc>
          <w:tcPr>
            <w:tcW w:w="2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4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1.4</w:t>
            </w:r>
          </w:p>
        </w:tc>
        <w:tc>
          <w:tcPr>
            <w:tcW w:w="100" w:type="dxa"/>
            <w:vAlign w:val="bottom"/>
            <w:shd w:val="clear" w:color="auto" w:fill="CCEEFF"/>
          </w:tcPr>
          <w:p>
            <w:pPr>
              <w:spacing w:after="0"/>
              <w:rPr>
                <w:sz w:val="13"/>
                <w:szCs w:val="13"/>
                <w:color w:val="auto"/>
              </w:rPr>
            </w:pPr>
          </w:p>
        </w:tc>
      </w:tr>
      <w:tr>
        <w:trPr>
          <w:trHeight w:val="154"/>
        </w:trPr>
        <w:tc>
          <w:tcPr>
            <w:tcW w:w="3560" w:type="dxa"/>
            <w:vAlign w:val="bottom"/>
          </w:tcPr>
          <w:p>
            <w:pPr>
              <w:spacing w:after="0"/>
              <w:rPr>
                <w:sz w:val="20"/>
                <w:szCs w:val="20"/>
                <w:color w:val="auto"/>
              </w:rPr>
            </w:pPr>
            <w:r>
              <w:rPr>
                <w:rFonts w:ascii="Arial" w:cs="Arial" w:eastAsia="Arial" w:hAnsi="Arial"/>
                <w:sz w:val="13"/>
                <w:szCs w:val="13"/>
                <w:color w:val="auto"/>
              </w:rPr>
              <w:t>State-owned organization</w:t>
            </w:r>
          </w:p>
        </w:tc>
        <w:tc>
          <w:tcPr>
            <w:tcW w:w="100" w:type="dxa"/>
            <w:vAlign w:val="bottom"/>
          </w:tcPr>
          <w:p>
            <w:pPr>
              <w:spacing w:after="0"/>
              <w:rPr>
                <w:sz w:val="13"/>
                <w:szCs w:val="13"/>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6.7</w:t>
            </w:r>
          </w:p>
        </w:tc>
        <w:tc>
          <w:tcPr>
            <w:tcW w:w="120" w:type="dxa"/>
            <w:vAlign w:val="bottom"/>
          </w:tcPr>
          <w:p>
            <w:pPr>
              <w:spacing w:after="0"/>
              <w:rPr>
                <w:sz w:val="13"/>
                <w:szCs w:val="13"/>
                <w:color w:val="auto"/>
              </w:rPr>
            </w:pPr>
          </w:p>
        </w:tc>
        <w:tc>
          <w:tcPr>
            <w:tcW w:w="720" w:type="dxa"/>
            <w:vAlign w:val="bottom"/>
            <w:gridSpan w:val="2"/>
          </w:tcPr>
          <w:p>
            <w:pPr>
              <w:jc w:val="right"/>
              <w:ind w:right="196"/>
              <w:spacing w:after="0"/>
              <w:rPr>
                <w:sz w:val="20"/>
                <w:szCs w:val="20"/>
                <w:color w:val="auto"/>
              </w:rPr>
            </w:pPr>
            <w:r>
              <w:rPr>
                <w:rFonts w:ascii="Arial" w:cs="Arial" w:eastAsia="Arial" w:hAnsi="Arial"/>
                <w:sz w:val="13"/>
                <w:szCs w:val="13"/>
                <w:color w:val="auto"/>
              </w:rPr>
              <w:t>6.4</w:t>
            </w:r>
          </w:p>
        </w:tc>
        <w:tc>
          <w:tcPr>
            <w:tcW w:w="120" w:type="dxa"/>
            <w:vAlign w:val="bottom"/>
          </w:tcPr>
          <w:p>
            <w:pPr>
              <w:spacing w:after="0"/>
              <w:rPr>
                <w:sz w:val="13"/>
                <w:szCs w:val="13"/>
                <w:color w:val="auto"/>
              </w:rPr>
            </w:pPr>
          </w:p>
        </w:tc>
        <w:tc>
          <w:tcPr>
            <w:tcW w:w="700" w:type="dxa"/>
            <w:vAlign w:val="bottom"/>
            <w:gridSpan w:val="2"/>
          </w:tcPr>
          <w:p>
            <w:pPr>
              <w:jc w:val="right"/>
              <w:ind w:right="240"/>
              <w:spacing w:after="0"/>
              <w:rPr>
                <w:sz w:val="20"/>
                <w:szCs w:val="20"/>
                <w:color w:val="auto"/>
              </w:rPr>
            </w:pPr>
            <w:r>
              <w:rPr>
                <w:rFonts w:ascii="Arial" w:cs="Arial" w:eastAsia="Arial" w:hAnsi="Arial"/>
                <w:sz w:val="13"/>
                <w:szCs w:val="13"/>
                <w:color w:val="auto"/>
              </w:rPr>
              <w:t>4.3</w:t>
            </w:r>
          </w:p>
        </w:tc>
        <w:tc>
          <w:tcPr>
            <w:tcW w:w="120" w:type="dxa"/>
            <w:vAlign w:val="bottom"/>
          </w:tcPr>
          <w:p>
            <w:pPr>
              <w:spacing w:after="0"/>
              <w:rPr>
                <w:sz w:val="13"/>
                <w:szCs w:val="13"/>
                <w:color w:val="auto"/>
              </w:rPr>
            </w:pPr>
          </w:p>
        </w:tc>
        <w:tc>
          <w:tcPr>
            <w:tcW w:w="720" w:type="dxa"/>
            <w:vAlign w:val="bottom"/>
            <w:gridSpan w:val="2"/>
          </w:tcPr>
          <w:p>
            <w:pPr>
              <w:jc w:val="right"/>
              <w:ind w:right="196"/>
              <w:spacing w:after="0"/>
              <w:rPr>
                <w:sz w:val="20"/>
                <w:szCs w:val="20"/>
                <w:color w:val="auto"/>
              </w:rPr>
            </w:pPr>
            <w:r>
              <w:rPr>
                <w:rFonts w:ascii="Arial" w:cs="Arial" w:eastAsia="Arial" w:hAnsi="Arial"/>
                <w:sz w:val="13"/>
                <w:szCs w:val="13"/>
                <w:color w:val="auto"/>
              </w:rPr>
              <w:t>4.9</w:t>
            </w:r>
          </w:p>
        </w:tc>
        <w:tc>
          <w:tcPr>
            <w:tcW w:w="60" w:type="dxa"/>
            <w:vAlign w:val="bottom"/>
          </w:tcPr>
          <w:p>
            <w:pPr>
              <w:spacing w:after="0"/>
              <w:rPr>
                <w:sz w:val="13"/>
                <w:szCs w:val="13"/>
                <w:color w:val="auto"/>
              </w:rPr>
            </w:pPr>
          </w:p>
        </w:tc>
        <w:tc>
          <w:tcPr>
            <w:tcW w:w="740" w:type="dxa"/>
            <w:vAlign w:val="bottom"/>
            <w:gridSpan w:val="2"/>
          </w:tcPr>
          <w:p>
            <w:pPr>
              <w:jc w:val="right"/>
              <w:ind w:right="240"/>
              <w:spacing w:after="0"/>
              <w:rPr>
                <w:sz w:val="20"/>
                <w:szCs w:val="20"/>
                <w:color w:val="auto"/>
              </w:rPr>
            </w:pPr>
            <w:r>
              <w:rPr>
                <w:rFonts w:ascii="Arial" w:cs="Arial" w:eastAsia="Arial" w:hAnsi="Arial"/>
                <w:sz w:val="13"/>
                <w:szCs w:val="13"/>
                <w:color w:val="auto"/>
              </w:rPr>
              <w:t>3.9</w:t>
            </w:r>
          </w:p>
        </w:tc>
        <w:tc>
          <w:tcPr>
            <w:tcW w:w="120" w:type="dxa"/>
            <w:vAlign w:val="bottom"/>
          </w:tcPr>
          <w:p>
            <w:pPr>
              <w:spacing w:after="0"/>
              <w:rPr>
                <w:sz w:val="13"/>
                <w:szCs w:val="13"/>
                <w:color w:val="auto"/>
              </w:rPr>
            </w:pPr>
          </w:p>
        </w:tc>
        <w:tc>
          <w:tcPr>
            <w:tcW w:w="660" w:type="dxa"/>
            <w:vAlign w:val="bottom"/>
            <w:gridSpan w:val="2"/>
          </w:tcPr>
          <w:p>
            <w:pPr>
              <w:jc w:val="right"/>
              <w:ind w:right="136"/>
              <w:spacing w:after="0"/>
              <w:rPr>
                <w:sz w:val="20"/>
                <w:szCs w:val="20"/>
                <w:color w:val="auto"/>
              </w:rPr>
            </w:pPr>
            <w:r>
              <w:rPr>
                <w:rFonts w:ascii="Arial" w:cs="Arial" w:eastAsia="Arial" w:hAnsi="Arial"/>
                <w:sz w:val="13"/>
                <w:szCs w:val="13"/>
                <w:color w:val="auto"/>
              </w:rPr>
              <w:t>3.5</w:t>
            </w:r>
          </w:p>
        </w:tc>
        <w:tc>
          <w:tcPr>
            <w:tcW w:w="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660" w:type="dxa"/>
            <w:vAlign w:val="bottom"/>
            <w:gridSpan w:val="2"/>
          </w:tcPr>
          <w:p>
            <w:pPr>
              <w:jc w:val="right"/>
              <w:ind w:right="200"/>
              <w:spacing w:after="0"/>
              <w:rPr>
                <w:sz w:val="20"/>
                <w:szCs w:val="20"/>
                <w:color w:val="auto"/>
              </w:rPr>
            </w:pPr>
            <w:r>
              <w:rPr>
                <w:rFonts w:ascii="Arial" w:cs="Arial" w:eastAsia="Arial" w:hAnsi="Arial"/>
                <w:sz w:val="13"/>
                <w:szCs w:val="13"/>
                <w:color w:val="auto"/>
              </w:rPr>
              <w:t>10.7</w:t>
            </w:r>
          </w:p>
        </w:tc>
        <w:tc>
          <w:tcPr>
            <w:tcW w:w="120" w:type="dxa"/>
            <w:vAlign w:val="bottom"/>
          </w:tcPr>
          <w:p>
            <w:pPr>
              <w:spacing w:after="0"/>
              <w:rPr>
                <w:sz w:val="13"/>
                <w:szCs w:val="13"/>
                <w:color w:val="auto"/>
              </w:rPr>
            </w:pPr>
          </w:p>
        </w:tc>
        <w:tc>
          <w:tcPr>
            <w:tcW w:w="660" w:type="dxa"/>
            <w:vAlign w:val="bottom"/>
            <w:gridSpan w:val="2"/>
          </w:tcPr>
          <w:p>
            <w:pPr>
              <w:jc w:val="right"/>
              <w:ind w:right="220"/>
              <w:spacing w:after="0"/>
              <w:rPr>
                <w:sz w:val="20"/>
                <w:szCs w:val="20"/>
                <w:color w:val="auto"/>
              </w:rPr>
            </w:pPr>
            <w:r>
              <w:rPr>
                <w:rFonts w:ascii="Arial" w:cs="Arial" w:eastAsia="Arial" w:hAnsi="Arial"/>
                <w:sz w:val="13"/>
                <w:szCs w:val="13"/>
                <w:color w:val="auto"/>
              </w:rPr>
              <w:t>11.2</w:t>
            </w:r>
          </w:p>
        </w:tc>
        <w:tc>
          <w:tcPr>
            <w:tcW w:w="100" w:type="dxa"/>
            <w:vAlign w:val="bottom"/>
          </w:tcPr>
          <w:p>
            <w:pPr>
              <w:spacing w:after="0"/>
              <w:rPr>
                <w:sz w:val="13"/>
                <w:szCs w:val="13"/>
                <w:color w:val="auto"/>
              </w:rPr>
            </w:pPr>
          </w:p>
        </w:tc>
        <w:tc>
          <w:tcPr>
            <w:tcW w:w="660" w:type="dxa"/>
            <w:vAlign w:val="bottom"/>
            <w:gridSpan w:val="2"/>
          </w:tcPr>
          <w:p>
            <w:pPr>
              <w:jc w:val="right"/>
              <w:ind w:right="200"/>
              <w:spacing w:after="0"/>
              <w:rPr>
                <w:sz w:val="20"/>
                <w:szCs w:val="20"/>
                <w:color w:val="auto"/>
              </w:rPr>
            </w:pPr>
            <w:r>
              <w:rPr>
                <w:rFonts w:ascii="Arial" w:cs="Arial" w:eastAsia="Arial" w:hAnsi="Arial"/>
                <w:sz w:val="13"/>
                <w:szCs w:val="13"/>
                <w:color w:val="auto"/>
              </w:rPr>
              <w:t>14.3</w:t>
            </w:r>
          </w:p>
        </w:tc>
        <w:tc>
          <w:tcPr>
            <w:tcW w:w="120" w:type="dxa"/>
            <w:vAlign w:val="bottom"/>
          </w:tcPr>
          <w:p>
            <w:pPr>
              <w:spacing w:after="0"/>
              <w:rPr>
                <w:sz w:val="13"/>
                <w:szCs w:val="13"/>
                <w:color w:val="auto"/>
              </w:rPr>
            </w:pPr>
          </w:p>
        </w:tc>
        <w:tc>
          <w:tcPr>
            <w:tcW w:w="460" w:type="dxa"/>
            <w:vAlign w:val="bottom"/>
            <w:gridSpan w:val="2"/>
          </w:tcPr>
          <w:p>
            <w:pPr>
              <w:jc w:val="right"/>
              <w:ind w:right="20"/>
              <w:spacing w:after="0"/>
              <w:rPr>
                <w:sz w:val="20"/>
                <w:szCs w:val="20"/>
                <w:color w:val="auto"/>
              </w:rPr>
            </w:pPr>
            <w:r>
              <w:rPr>
                <w:rFonts w:ascii="Arial" w:cs="Arial" w:eastAsia="Arial" w:hAnsi="Arial"/>
                <w:sz w:val="13"/>
                <w:szCs w:val="13"/>
                <w:color w:val="auto"/>
              </w:rPr>
              <w:t>16.4</w:t>
            </w:r>
          </w:p>
        </w:tc>
        <w:tc>
          <w:tcPr>
            <w:tcW w:w="100" w:type="dxa"/>
            <w:vAlign w:val="bottom"/>
          </w:tcPr>
          <w:p>
            <w:pPr>
              <w:spacing w:after="0"/>
              <w:rPr>
                <w:sz w:val="13"/>
                <w:szCs w:val="13"/>
                <w:color w:val="auto"/>
              </w:rPr>
            </w:pPr>
          </w:p>
        </w:tc>
      </w:tr>
      <w:tr>
        <w:trPr>
          <w:trHeight w:val="164"/>
        </w:trPr>
        <w:tc>
          <w:tcPr>
            <w:tcW w:w="3560" w:type="dxa"/>
            <w:vAlign w:val="bottom"/>
            <w:shd w:val="clear" w:color="auto" w:fill="CCEEFF"/>
          </w:tcPr>
          <w:p>
            <w:pPr>
              <w:spacing w:after="0"/>
              <w:rPr>
                <w:sz w:val="20"/>
                <w:szCs w:val="20"/>
                <w:color w:val="auto"/>
              </w:rPr>
            </w:pPr>
            <w:r>
              <w:rPr>
                <w:rFonts w:ascii="Arial" w:cs="Arial" w:eastAsia="Arial" w:hAnsi="Arial"/>
                <w:sz w:val="13"/>
                <w:szCs w:val="13"/>
                <w:color w:val="auto"/>
              </w:rPr>
              <w:t>Private corporations</w:t>
            </w:r>
          </w:p>
        </w:tc>
        <w:tc>
          <w:tcPr>
            <w:tcW w:w="10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69.7</w:t>
            </w:r>
          </w:p>
        </w:tc>
        <w:tc>
          <w:tcPr>
            <w:tcW w:w="120" w:type="dxa"/>
            <w:vAlign w:val="bottom"/>
            <w:shd w:val="clear" w:color="auto" w:fill="CCEEFF"/>
          </w:tcPr>
          <w:p>
            <w:pPr>
              <w:spacing w:after="0"/>
              <w:rPr>
                <w:sz w:val="14"/>
                <w:szCs w:val="14"/>
                <w:color w:val="auto"/>
              </w:rPr>
            </w:pPr>
          </w:p>
        </w:tc>
        <w:tc>
          <w:tcPr>
            <w:tcW w:w="720" w:type="dxa"/>
            <w:vAlign w:val="bottom"/>
            <w:gridSpan w:val="2"/>
            <w:shd w:val="clear" w:color="auto" w:fill="CCEEFF"/>
          </w:tcPr>
          <w:p>
            <w:pPr>
              <w:jc w:val="right"/>
              <w:ind w:right="196"/>
              <w:spacing w:after="0"/>
              <w:rPr>
                <w:sz w:val="20"/>
                <w:szCs w:val="20"/>
                <w:color w:val="auto"/>
              </w:rPr>
            </w:pPr>
            <w:r>
              <w:rPr>
                <w:rFonts w:ascii="Arial" w:cs="Arial" w:eastAsia="Arial" w:hAnsi="Arial"/>
                <w:sz w:val="13"/>
                <w:szCs w:val="13"/>
                <w:color w:val="auto"/>
              </w:rPr>
              <w:t>67.0</w:t>
            </w:r>
          </w:p>
        </w:tc>
        <w:tc>
          <w:tcPr>
            <w:tcW w:w="120" w:type="dxa"/>
            <w:vAlign w:val="bottom"/>
            <w:shd w:val="clear" w:color="auto" w:fill="CCEEFF"/>
          </w:tcPr>
          <w:p>
            <w:pPr>
              <w:spacing w:after="0"/>
              <w:rPr>
                <w:sz w:val="14"/>
                <w:szCs w:val="14"/>
                <w:color w:val="auto"/>
              </w:rPr>
            </w:pPr>
          </w:p>
        </w:tc>
        <w:tc>
          <w:tcPr>
            <w:tcW w:w="7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63.0</w:t>
            </w:r>
          </w:p>
        </w:tc>
        <w:tc>
          <w:tcPr>
            <w:tcW w:w="120" w:type="dxa"/>
            <w:vAlign w:val="bottom"/>
            <w:shd w:val="clear" w:color="auto" w:fill="CCEEFF"/>
          </w:tcPr>
          <w:p>
            <w:pPr>
              <w:spacing w:after="0"/>
              <w:rPr>
                <w:sz w:val="14"/>
                <w:szCs w:val="14"/>
                <w:color w:val="auto"/>
              </w:rPr>
            </w:pPr>
          </w:p>
        </w:tc>
        <w:tc>
          <w:tcPr>
            <w:tcW w:w="720" w:type="dxa"/>
            <w:vAlign w:val="bottom"/>
            <w:gridSpan w:val="2"/>
            <w:shd w:val="clear" w:color="auto" w:fill="CCEEFF"/>
          </w:tcPr>
          <w:p>
            <w:pPr>
              <w:jc w:val="right"/>
              <w:ind w:right="196"/>
              <w:spacing w:after="0"/>
              <w:rPr>
                <w:sz w:val="20"/>
                <w:szCs w:val="20"/>
                <w:color w:val="auto"/>
              </w:rPr>
            </w:pPr>
            <w:r>
              <w:rPr>
                <w:rFonts w:ascii="Arial" w:cs="Arial" w:eastAsia="Arial" w:hAnsi="Arial"/>
                <w:sz w:val="13"/>
                <w:szCs w:val="13"/>
                <w:color w:val="auto"/>
              </w:rPr>
              <w:t>71.4</w:t>
            </w:r>
          </w:p>
        </w:tc>
        <w:tc>
          <w:tcPr>
            <w:tcW w:w="60" w:type="dxa"/>
            <w:vAlign w:val="bottom"/>
            <w:shd w:val="clear" w:color="auto" w:fill="CCEEFF"/>
          </w:tcPr>
          <w:p>
            <w:pPr>
              <w:spacing w:after="0"/>
              <w:rPr>
                <w:sz w:val="14"/>
                <w:szCs w:val="14"/>
                <w:color w:val="auto"/>
              </w:rPr>
            </w:pPr>
          </w:p>
        </w:tc>
        <w:tc>
          <w:tcPr>
            <w:tcW w:w="7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89.2</w:t>
            </w:r>
          </w:p>
        </w:tc>
        <w:tc>
          <w:tcPr>
            <w:tcW w:w="120" w:type="dxa"/>
            <w:vAlign w:val="bottom"/>
            <w:shd w:val="clear" w:color="auto" w:fill="CCEEFF"/>
          </w:tcPr>
          <w:p>
            <w:pPr>
              <w:spacing w:after="0"/>
              <w:rPr>
                <w:sz w:val="14"/>
                <w:szCs w:val="14"/>
                <w:color w:val="auto"/>
              </w:rPr>
            </w:pPr>
          </w:p>
        </w:tc>
        <w:tc>
          <w:tcPr>
            <w:tcW w:w="660" w:type="dxa"/>
            <w:vAlign w:val="bottom"/>
            <w:gridSpan w:val="2"/>
            <w:shd w:val="clear" w:color="auto" w:fill="CCEEFF"/>
          </w:tcPr>
          <w:p>
            <w:pPr>
              <w:jc w:val="right"/>
              <w:ind w:right="136"/>
              <w:spacing w:after="0"/>
              <w:rPr>
                <w:sz w:val="20"/>
                <w:szCs w:val="20"/>
                <w:color w:val="auto"/>
              </w:rPr>
            </w:pPr>
            <w:r>
              <w:rPr>
                <w:rFonts w:ascii="Arial" w:cs="Arial" w:eastAsia="Arial" w:hAnsi="Arial"/>
                <w:sz w:val="13"/>
                <w:szCs w:val="13"/>
                <w:color w:val="auto"/>
              </w:rPr>
              <w:t>79.8</w:t>
            </w:r>
          </w:p>
        </w:tc>
        <w:tc>
          <w:tcPr>
            <w:tcW w:w="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6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54.6</w:t>
            </w:r>
          </w:p>
        </w:tc>
        <w:tc>
          <w:tcPr>
            <w:tcW w:w="120" w:type="dxa"/>
            <w:vAlign w:val="bottom"/>
            <w:shd w:val="clear" w:color="auto" w:fill="CCEEFF"/>
          </w:tcPr>
          <w:p>
            <w:pPr>
              <w:spacing w:after="0"/>
              <w:rPr>
                <w:sz w:val="14"/>
                <w:szCs w:val="14"/>
                <w:color w:val="auto"/>
              </w:rPr>
            </w:pPr>
          </w:p>
        </w:tc>
        <w:tc>
          <w:tcPr>
            <w:tcW w:w="6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57.3</w:t>
            </w:r>
          </w:p>
        </w:tc>
        <w:tc>
          <w:tcPr>
            <w:tcW w:w="100" w:type="dxa"/>
            <w:vAlign w:val="bottom"/>
            <w:shd w:val="clear" w:color="auto" w:fill="CCEEFF"/>
          </w:tcPr>
          <w:p>
            <w:pPr>
              <w:spacing w:after="0"/>
              <w:rPr>
                <w:sz w:val="14"/>
                <w:szCs w:val="14"/>
                <w:color w:val="auto"/>
              </w:rPr>
            </w:pPr>
          </w:p>
        </w:tc>
        <w:tc>
          <w:tcPr>
            <w:tcW w:w="6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41.3</w:t>
            </w:r>
          </w:p>
        </w:tc>
        <w:tc>
          <w:tcPr>
            <w:tcW w:w="120" w:type="dxa"/>
            <w:vAlign w:val="bottom"/>
            <w:shd w:val="clear" w:color="auto" w:fill="CCEEFF"/>
          </w:tcPr>
          <w:p>
            <w:pPr>
              <w:spacing w:after="0"/>
              <w:rPr>
                <w:sz w:val="14"/>
                <w:szCs w:val="14"/>
                <w:color w:val="auto"/>
              </w:rPr>
            </w:pPr>
          </w:p>
        </w:tc>
        <w:tc>
          <w:tcPr>
            <w:tcW w:w="4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47.1</w:t>
            </w:r>
          </w:p>
        </w:tc>
        <w:tc>
          <w:tcPr>
            <w:tcW w:w="100" w:type="dxa"/>
            <w:vAlign w:val="bottom"/>
            <w:shd w:val="clear" w:color="auto" w:fill="CCEEFF"/>
          </w:tcPr>
          <w:p>
            <w:pPr>
              <w:spacing w:after="0"/>
              <w:rPr>
                <w:sz w:val="14"/>
                <w:szCs w:val="14"/>
                <w:color w:val="auto"/>
              </w:rPr>
            </w:pPr>
          </w:p>
        </w:tc>
      </w:tr>
      <w:tr>
        <w:trPr>
          <w:trHeight w:val="162"/>
        </w:trPr>
        <w:tc>
          <w:tcPr>
            <w:tcW w:w="3560" w:type="dxa"/>
            <w:vAlign w:val="bottom"/>
          </w:tcPr>
          <w:p>
            <w:pPr>
              <w:ind w:left="220"/>
              <w:spacing w:after="0" w:line="146" w:lineRule="exact"/>
              <w:rPr>
                <w:sz w:val="20"/>
                <w:szCs w:val="20"/>
                <w:color w:val="auto"/>
              </w:rPr>
            </w:pPr>
            <w:r>
              <w:rPr>
                <w:rFonts w:ascii="Arial" w:cs="Arial" w:eastAsia="Arial" w:hAnsi="Arial"/>
                <w:sz w:val="13"/>
                <w:szCs w:val="13"/>
                <w:b w:val="1"/>
                <w:bCs w:val="1"/>
                <w:color w:val="auto"/>
              </w:rPr>
              <w:t>Total</w:t>
            </w: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0"/>
                <w:szCs w:val="10"/>
                <w:b w:val="1"/>
                <w:bCs w:val="1"/>
                <w:color w:val="auto"/>
                <w:w w:val="71"/>
              </w:rPr>
              <w:t>$</w:t>
            </w:r>
          </w:p>
        </w:tc>
        <w:tc>
          <w:tcPr>
            <w:tcW w:w="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104.1</w:t>
            </w:r>
          </w:p>
        </w:tc>
        <w:tc>
          <w:tcPr>
            <w:tcW w:w="220" w:type="dxa"/>
            <w:vAlign w:val="bottom"/>
          </w:tcPr>
          <w:p>
            <w:pPr>
              <w:spacing w:after="0"/>
              <w:rPr>
                <w:sz w:val="14"/>
                <w:szCs w:val="14"/>
                <w:color w:val="auto"/>
              </w:rPr>
            </w:pPr>
          </w:p>
        </w:tc>
        <w:tc>
          <w:tcPr>
            <w:tcW w:w="120" w:type="dxa"/>
            <w:vAlign w:val="bottom"/>
            <w:tcBorders>
              <w:top w:val="single" w:sz="8" w:color="auto"/>
              <w:bottom w:val="single" w:sz="8" w:color="auto"/>
            </w:tcBorders>
          </w:tcPr>
          <w:p>
            <w:pPr>
              <w:spacing w:after="0"/>
              <w:rPr>
                <w:sz w:val="14"/>
                <w:szCs w:val="14"/>
                <w:color w:val="auto"/>
              </w:rPr>
            </w:pPr>
          </w:p>
        </w:tc>
        <w:tc>
          <w:tcPr>
            <w:tcW w:w="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260" w:type="dxa"/>
            <w:vAlign w:val="bottom"/>
          </w:tcPr>
          <w:p>
            <w:pPr>
              <w:jc w:val="right"/>
              <w:ind w:right="56"/>
              <w:spacing w:after="0" w:line="146" w:lineRule="exact"/>
              <w:rPr>
                <w:sz w:val="20"/>
                <w:szCs w:val="20"/>
                <w:color w:val="auto"/>
              </w:rPr>
            </w:pPr>
            <w:r>
              <w:rPr>
                <w:rFonts w:ascii="Arial" w:cs="Arial" w:eastAsia="Arial" w:hAnsi="Arial"/>
                <w:sz w:val="13"/>
                <w:szCs w:val="13"/>
                <w:b w:val="1"/>
                <w:bCs w:val="1"/>
                <w:color w:val="auto"/>
              </w:rPr>
              <w:t>%</w:t>
            </w:r>
          </w:p>
        </w:tc>
        <w:tc>
          <w:tcPr>
            <w:tcW w:w="120" w:type="dxa"/>
            <w:vAlign w:val="bottom"/>
            <w:tcBorders>
              <w:top w:val="single" w:sz="8" w:color="auto"/>
              <w:bottom w:val="single" w:sz="8" w:color="auto"/>
            </w:tcBorders>
          </w:tcPr>
          <w:p>
            <w:pPr>
              <w:jc w:val="right"/>
              <w:ind w:right="12"/>
              <w:spacing w:after="0"/>
              <w:rPr>
                <w:sz w:val="20"/>
                <w:szCs w:val="20"/>
                <w:color w:val="auto"/>
              </w:rPr>
            </w:pPr>
            <w:r>
              <w:rPr>
                <w:rFonts w:ascii="Arial" w:cs="Arial" w:eastAsia="Arial" w:hAnsi="Arial"/>
                <w:sz w:val="10"/>
                <w:szCs w:val="10"/>
                <w:b w:val="1"/>
                <w:bCs w:val="1"/>
                <w:color w:val="auto"/>
                <w:w w:val="71"/>
              </w:rPr>
              <w:t>$</w:t>
            </w:r>
          </w:p>
        </w:tc>
        <w:tc>
          <w:tcPr>
            <w:tcW w:w="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88.1</w:t>
            </w:r>
          </w:p>
        </w:tc>
        <w:tc>
          <w:tcPr>
            <w:tcW w:w="240" w:type="dxa"/>
            <w:vAlign w:val="bottom"/>
          </w:tcPr>
          <w:p>
            <w:pPr>
              <w:spacing w:after="0"/>
              <w:rPr>
                <w:sz w:val="14"/>
                <w:szCs w:val="14"/>
                <w:color w:val="auto"/>
              </w:rPr>
            </w:pPr>
          </w:p>
        </w:tc>
        <w:tc>
          <w:tcPr>
            <w:tcW w:w="120" w:type="dxa"/>
            <w:vAlign w:val="bottom"/>
            <w:tcBorders>
              <w:top w:val="single" w:sz="8" w:color="auto"/>
              <w:bottom w:val="single" w:sz="8" w:color="auto"/>
            </w:tcBorders>
          </w:tcPr>
          <w:p>
            <w:pPr>
              <w:spacing w:after="0"/>
              <w:rPr>
                <w:sz w:val="14"/>
                <w:szCs w:val="14"/>
                <w:color w:val="auto"/>
              </w:rPr>
            </w:pPr>
          </w:p>
        </w:tc>
        <w:tc>
          <w:tcPr>
            <w:tcW w:w="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260" w:type="dxa"/>
            <w:vAlign w:val="bottom"/>
          </w:tcPr>
          <w:p>
            <w:pPr>
              <w:jc w:val="right"/>
              <w:ind w:right="76"/>
              <w:spacing w:after="0" w:line="146" w:lineRule="exact"/>
              <w:rPr>
                <w:sz w:val="20"/>
                <w:szCs w:val="20"/>
                <w:color w:val="auto"/>
              </w:rPr>
            </w:pPr>
            <w:r>
              <w:rPr>
                <w:rFonts w:ascii="Arial" w:cs="Arial" w:eastAsia="Arial" w:hAnsi="Arial"/>
                <w:sz w:val="13"/>
                <w:szCs w:val="13"/>
                <w:b w:val="1"/>
                <w:bCs w:val="1"/>
                <w:color w:val="auto"/>
                <w:w w:val="86"/>
              </w:rPr>
              <w:t>%</w:t>
            </w:r>
          </w:p>
        </w:tc>
        <w:tc>
          <w:tcPr>
            <w:tcW w:w="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0"/>
                <w:szCs w:val="10"/>
                <w:b w:val="1"/>
                <w:bCs w:val="1"/>
                <w:color w:val="auto"/>
                <w:w w:val="71"/>
              </w:rPr>
              <w:t>$</w:t>
            </w:r>
          </w:p>
        </w:tc>
        <w:tc>
          <w:tcPr>
            <w:tcW w:w="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111.8</w:t>
            </w:r>
          </w:p>
        </w:tc>
        <w:tc>
          <w:tcPr>
            <w:tcW w:w="240" w:type="dxa"/>
            <w:vAlign w:val="bottom"/>
          </w:tcPr>
          <w:p>
            <w:pPr>
              <w:spacing w:after="0"/>
              <w:rPr>
                <w:sz w:val="14"/>
                <w:szCs w:val="14"/>
                <w:color w:val="auto"/>
              </w:rPr>
            </w:pPr>
          </w:p>
        </w:tc>
        <w:tc>
          <w:tcPr>
            <w:tcW w:w="120" w:type="dxa"/>
            <w:vAlign w:val="bottom"/>
            <w:tcBorders>
              <w:top w:val="single" w:sz="8" w:color="auto"/>
              <w:bottom w:val="single" w:sz="8" w:color="auto"/>
            </w:tcBorders>
          </w:tcPr>
          <w:p>
            <w:pPr>
              <w:spacing w:after="0"/>
              <w:rPr>
                <w:sz w:val="14"/>
                <w:szCs w:val="14"/>
                <w:color w:val="auto"/>
              </w:rPr>
            </w:pPr>
          </w:p>
        </w:tc>
        <w:tc>
          <w:tcPr>
            <w:tcW w:w="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200" w:type="dxa"/>
            <w:vAlign w:val="bottom"/>
          </w:tcPr>
          <w:p>
            <w:pPr>
              <w:jc w:val="right"/>
              <w:ind w:right="16"/>
              <w:spacing w:after="0" w:line="146" w:lineRule="exact"/>
              <w:rPr>
                <w:sz w:val="20"/>
                <w:szCs w:val="20"/>
                <w:color w:val="auto"/>
              </w:rPr>
            </w:pPr>
            <w:r>
              <w:rPr>
                <w:rFonts w:ascii="Arial" w:cs="Arial" w:eastAsia="Arial" w:hAnsi="Arial"/>
                <w:sz w:val="13"/>
                <w:szCs w:val="13"/>
                <w:b w:val="1"/>
                <w:bCs w:val="1"/>
                <w:color w:val="auto"/>
                <w:w w:val="86"/>
              </w:rPr>
              <w:t>%</w:t>
            </w:r>
          </w:p>
        </w:tc>
        <w:tc>
          <w:tcPr>
            <w:tcW w:w="60" w:type="dxa"/>
            <w:vAlign w:val="bottom"/>
          </w:tcPr>
          <w:p>
            <w:pPr>
              <w:spacing w:after="0"/>
              <w:rPr>
                <w:sz w:val="14"/>
                <w:szCs w:val="14"/>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0"/>
                <w:szCs w:val="10"/>
                <w:b w:val="1"/>
                <w:bCs w:val="1"/>
                <w:color w:val="auto"/>
                <w:w w:val="71"/>
              </w:rPr>
              <w:t>$</w:t>
            </w:r>
          </w:p>
        </w:tc>
        <w:tc>
          <w:tcPr>
            <w:tcW w:w="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95.4</w:t>
            </w:r>
          </w:p>
        </w:tc>
        <w:tc>
          <w:tcPr>
            <w:tcW w:w="200" w:type="dxa"/>
            <w:vAlign w:val="bottom"/>
          </w:tcPr>
          <w:p>
            <w:pPr>
              <w:spacing w:after="0"/>
              <w:rPr>
                <w:sz w:val="14"/>
                <w:szCs w:val="14"/>
                <w:color w:val="auto"/>
              </w:rPr>
            </w:pPr>
          </w:p>
        </w:tc>
        <w:tc>
          <w:tcPr>
            <w:tcW w:w="120" w:type="dxa"/>
            <w:vAlign w:val="bottom"/>
            <w:tcBorders>
              <w:top w:val="single" w:sz="8" w:color="auto"/>
              <w:bottom w:val="single" w:sz="8" w:color="auto"/>
            </w:tcBorders>
          </w:tcPr>
          <w:p>
            <w:pPr>
              <w:spacing w:after="0"/>
              <w:rPr>
                <w:sz w:val="14"/>
                <w:szCs w:val="14"/>
                <w:color w:val="auto"/>
              </w:rPr>
            </w:pPr>
          </w:p>
        </w:tc>
        <w:tc>
          <w:tcPr>
            <w:tcW w:w="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220" w:type="dxa"/>
            <w:vAlign w:val="bottom"/>
          </w:tcPr>
          <w:p>
            <w:pPr>
              <w:spacing w:after="0"/>
              <w:rPr>
                <w:sz w:val="14"/>
                <w:szCs w:val="14"/>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0"/>
                <w:szCs w:val="10"/>
                <w:b w:val="1"/>
                <w:bCs w:val="1"/>
                <w:color w:val="auto"/>
                <w:w w:val="71"/>
              </w:rPr>
              <w:t>$</w:t>
            </w:r>
          </w:p>
        </w:tc>
        <w:tc>
          <w:tcPr>
            <w:tcW w:w="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87.6</w:t>
            </w:r>
          </w:p>
        </w:tc>
        <w:tc>
          <w:tcPr>
            <w:tcW w:w="200" w:type="dxa"/>
            <w:vAlign w:val="bottom"/>
          </w:tcPr>
          <w:p>
            <w:pPr>
              <w:spacing w:after="0"/>
              <w:rPr>
                <w:sz w:val="14"/>
                <w:szCs w:val="14"/>
                <w:color w:val="auto"/>
              </w:rPr>
            </w:pPr>
          </w:p>
        </w:tc>
        <w:tc>
          <w:tcPr>
            <w:tcW w:w="120" w:type="dxa"/>
            <w:vAlign w:val="bottom"/>
            <w:tcBorders>
              <w:top w:val="single" w:sz="8" w:color="auto"/>
              <w:bottom w:val="single" w:sz="8" w:color="auto"/>
            </w:tcBorders>
          </w:tcPr>
          <w:p>
            <w:pPr>
              <w:spacing w:after="0"/>
              <w:rPr>
                <w:sz w:val="14"/>
                <w:szCs w:val="14"/>
                <w:color w:val="auto"/>
              </w:rPr>
            </w:pPr>
          </w:p>
        </w:tc>
        <w:tc>
          <w:tcPr>
            <w:tcW w:w="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2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bl>
    <w:p>
      <w:pPr>
        <w:spacing w:after="0" w:line="141"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Critical Accounting Policies</w:t>
      </w:r>
    </w:p>
    <w:p>
      <w:pPr>
        <w:spacing w:after="0" w:line="163"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General</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The Bank prepares its Consolidated Financial Statements in conformity with IFRS as issued by the IASB.</w:t>
      </w:r>
    </w:p>
    <w:p>
      <w:pPr>
        <w:spacing w:after="0" w:line="159" w:lineRule="exact"/>
        <w:rPr>
          <w:sz w:val="20"/>
          <w:szCs w:val="20"/>
          <w:color w:val="auto"/>
        </w:rPr>
      </w:pPr>
    </w:p>
    <w:p>
      <w:pPr>
        <w:jc w:val="both"/>
        <w:ind w:right="20"/>
        <w:spacing w:after="0" w:line="254" w:lineRule="auto"/>
        <w:rPr>
          <w:sz w:val="20"/>
          <w:szCs w:val="20"/>
          <w:color w:val="auto"/>
        </w:rPr>
      </w:pPr>
      <w:r>
        <w:rPr>
          <w:rFonts w:ascii="Arial" w:cs="Arial" w:eastAsia="Arial" w:hAnsi="Arial"/>
          <w:sz w:val="13"/>
          <w:szCs w:val="13"/>
          <w:color w:val="auto"/>
        </w:rPr>
        <w:t>The consolidated financial statements have been prepared on the basis of fair value for financial assets and liabilities through profit or loss, investment properties, derivative financial instruments, investments and other financial assets at FVOCI. The carrying values of recognized assets and liabilities that are designated as hedged items in fair value hedges, that would otherwise be carried at amortized cost are adjusted to record changes in the fair values attributable to the risks that are being hedged in effective hedge relationships. Other financial assets and liabilities and other non-financial assets and liabilities are presented at amortized cost or on a historical cost basis.</w:t>
      </w:r>
    </w:p>
    <w:p>
      <w:pPr>
        <w:spacing w:after="0" w:line="137" w:lineRule="exact"/>
        <w:rPr>
          <w:sz w:val="20"/>
          <w:szCs w:val="20"/>
          <w:color w:val="auto"/>
        </w:rPr>
      </w:pPr>
    </w:p>
    <w:p>
      <w:pPr>
        <w:jc w:val="both"/>
        <w:ind w:right="20"/>
        <w:spacing w:after="0" w:line="326" w:lineRule="auto"/>
        <w:rPr>
          <w:sz w:val="20"/>
          <w:szCs w:val="20"/>
          <w:color w:val="auto"/>
        </w:rPr>
      </w:pPr>
      <w:r>
        <w:rPr>
          <w:rFonts w:ascii="Arial" w:cs="Arial" w:eastAsia="Arial" w:hAnsi="Arial"/>
          <w:sz w:val="11"/>
          <w:szCs w:val="11"/>
          <w:color w:val="auto"/>
        </w:rPr>
        <w:t>The preparation of the Consolidated Financial Statements requires management to make estimates and use assumptions that affect the reported amounts of assets and liabilities and disclosure of contingent liabilities at the date of the Consolidated Financial Statements and the reported amounts of revenues and expenses during the year. Material estimates that are particularly susceptible to significant changes relate to the determination of the allowances for expected credit losses, impairment of securities, and the fair value of financial instruments. Actual results could differ from those estimates. Management believes these estimates are adequate.</w:t>
      </w:r>
    </w:p>
    <w:p>
      <w:pPr>
        <w:spacing w:after="0" w:line="249"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62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64" w:name="page65"/>
    <w:bookmarkEnd w:id="64"/>
    <w:p>
      <w:pPr>
        <w:spacing w:after="0"/>
        <w:rPr>
          <w:sz w:val="20"/>
          <w:szCs w:val="20"/>
          <w:color w:val="auto"/>
        </w:rPr>
      </w:pPr>
      <w:r>
        <w:rPr>
          <w:rFonts w:ascii="Arial" w:cs="Arial" w:eastAsia="Arial" w:hAnsi="Arial"/>
          <w:sz w:val="13"/>
          <w:szCs w:val="13"/>
          <w:i w:val="1"/>
          <w:iCs w:val="1"/>
          <w:color w:val="auto"/>
        </w:rPr>
        <w:t>Allowance for losses</w:t>
      </w:r>
    </w:p>
    <w:p>
      <w:pPr>
        <w:spacing w:after="0" w:line="159" w:lineRule="exact"/>
        <w:rPr>
          <w:sz w:val="20"/>
          <w:szCs w:val="20"/>
          <w:color w:val="auto"/>
        </w:rPr>
      </w:pPr>
    </w:p>
    <w:p>
      <w:pPr>
        <w:jc w:val="both"/>
        <w:ind w:right="20"/>
        <w:spacing w:after="0" w:line="252" w:lineRule="auto"/>
        <w:rPr>
          <w:sz w:val="20"/>
          <w:szCs w:val="20"/>
          <w:color w:val="auto"/>
        </w:rPr>
      </w:pPr>
      <w:r>
        <w:rPr>
          <w:rFonts w:ascii="Arial" w:cs="Arial" w:eastAsia="Arial" w:hAnsi="Arial"/>
          <w:sz w:val="13"/>
          <w:szCs w:val="13"/>
          <w:color w:val="auto"/>
        </w:rPr>
        <w:t>The allowances for losses on financial instruments are provided for losses derived from the credit extension process. The classification of the Bank’s Credit Portfolio for allowances for credit losses is determined by risk management guidelines and approved by the CPER of the Bank’s Board through statistical modeling, internal risk ratings and estimates. The Bank measures expected credit losses (ECLs) in a way that reflects the general pattern of deterioration or improvement in the credit quality of the financial instrument. The amount of ECLs recognized as a loss allowance or provision depends on the extent of credit deterioration since initial recognition. In order to determine the ECLs the Bank uses Individually and Collectively evaluated methodologies to determine if there is objective evidence of impairment for financial Instruments. The Bank considers the following factors, among others, when measuring significant increase in credit risk:</w:t>
      </w:r>
    </w:p>
    <w:p>
      <w:pPr>
        <w:spacing w:after="0" w:line="139" w:lineRule="exact"/>
        <w:rPr>
          <w:sz w:val="20"/>
          <w:szCs w:val="20"/>
          <w:color w:val="auto"/>
        </w:rPr>
      </w:pPr>
    </w:p>
    <w:p>
      <w:pPr>
        <w:ind w:left="700" w:hanging="241"/>
        <w:spacing w:after="0"/>
        <w:tabs>
          <w:tab w:leader="none" w:pos="700" w:val="left"/>
        </w:tabs>
        <w:numPr>
          <w:ilvl w:val="0"/>
          <w:numId w:val="34"/>
        </w:numPr>
        <w:rPr>
          <w:rFonts w:ascii="Arial" w:cs="Arial" w:eastAsia="Arial" w:hAnsi="Arial"/>
          <w:sz w:val="13"/>
          <w:szCs w:val="13"/>
          <w:color w:val="auto"/>
        </w:rPr>
      </w:pPr>
      <w:r>
        <w:rPr>
          <w:rFonts w:ascii="Arial" w:cs="Arial" w:eastAsia="Arial" w:hAnsi="Arial"/>
          <w:sz w:val="13"/>
          <w:szCs w:val="13"/>
          <w:color w:val="auto"/>
        </w:rPr>
        <w:t>Significant changes in internal indicators of credit risk as a result of a change in credit risk since inception.</w:t>
      </w:r>
    </w:p>
    <w:p>
      <w:pPr>
        <w:spacing w:after="0" w:line="12" w:lineRule="exact"/>
        <w:rPr>
          <w:rFonts w:ascii="Arial" w:cs="Arial" w:eastAsia="Arial" w:hAnsi="Arial"/>
          <w:sz w:val="13"/>
          <w:szCs w:val="13"/>
          <w:color w:val="auto"/>
        </w:rPr>
      </w:pPr>
    </w:p>
    <w:p>
      <w:pPr>
        <w:ind w:left="700" w:hanging="241"/>
        <w:spacing w:after="0"/>
        <w:tabs>
          <w:tab w:leader="none" w:pos="700" w:val="left"/>
        </w:tabs>
        <w:numPr>
          <w:ilvl w:val="0"/>
          <w:numId w:val="34"/>
        </w:numPr>
        <w:rPr>
          <w:rFonts w:ascii="Arial" w:cs="Arial" w:eastAsia="Arial" w:hAnsi="Arial"/>
          <w:sz w:val="13"/>
          <w:szCs w:val="13"/>
          <w:color w:val="auto"/>
        </w:rPr>
      </w:pPr>
      <w:r>
        <w:rPr>
          <w:rFonts w:ascii="Arial" w:cs="Arial" w:eastAsia="Arial" w:hAnsi="Arial"/>
          <w:sz w:val="13"/>
          <w:szCs w:val="13"/>
          <w:color w:val="auto"/>
        </w:rPr>
        <w:t>Significant changes in external market indicators of credit risk for a financial instrument or similar financial instruments with the same expected life.</w:t>
      </w:r>
    </w:p>
    <w:p>
      <w:pPr>
        <w:spacing w:after="0" w:line="4" w:lineRule="exact"/>
        <w:rPr>
          <w:rFonts w:ascii="Arial" w:cs="Arial" w:eastAsia="Arial" w:hAnsi="Arial"/>
          <w:sz w:val="13"/>
          <w:szCs w:val="13"/>
          <w:color w:val="auto"/>
        </w:rPr>
      </w:pPr>
    </w:p>
    <w:p>
      <w:pPr>
        <w:ind w:left="700" w:hanging="241"/>
        <w:spacing w:after="0"/>
        <w:tabs>
          <w:tab w:leader="none" w:pos="700" w:val="left"/>
        </w:tabs>
        <w:numPr>
          <w:ilvl w:val="0"/>
          <w:numId w:val="34"/>
        </w:numPr>
        <w:rPr>
          <w:rFonts w:ascii="Arial" w:cs="Arial" w:eastAsia="Arial" w:hAnsi="Arial"/>
          <w:sz w:val="13"/>
          <w:szCs w:val="13"/>
          <w:color w:val="auto"/>
        </w:rPr>
      </w:pPr>
      <w:r>
        <w:rPr>
          <w:rFonts w:ascii="Arial" w:cs="Arial" w:eastAsia="Arial" w:hAnsi="Arial"/>
          <w:sz w:val="13"/>
          <w:szCs w:val="13"/>
          <w:color w:val="auto"/>
        </w:rPr>
        <w:t>An actual or expected significant change in the financial instrument’s external credit rating.</w:t>
      </w:r>
    </w:p>
    <w:p>
      <w:pPr>
        <w:spacing w:after="0" w:line="4" w:lineRule="exact"/>
        <w:rPr>
          <w:rFonts w:ascii="Arial" w:cs="Arial" w:eastAsia="Arial" w:hAnsi="Arial"/>
          <w:sz w:val="13"/>
          <w:szCs w:val="13"/>
          <w:color w:val="auto"/>
        </w:rPr>
      </w:pPr>
    </w:p>
    <w:p>
      <w:pPr>
        <w:ind w:left="700" w:hanging="241"/>
        <w:spacing w:after="0"/>
        <w:tabs>
          <w:tab w:leader="none" w:pos="700" w:val="left"/>
        </w:tabs>
        <w:numPr>
          <w:ilvl w:val="0"/>
          <w:numId w:val="34"/>
        </w:numPr>
        <w:rPr>
          <w:rFonts w:ascii="Arial" w:cs="Arial" w:eastAsia="Arial" w:hAnsi="Arial"/>
          <w:sz w:val="13"/>
          <w:szCs w:val="13"/>
          <w:color w:val="auto"/>
        </w:rPr>
      </w:pPr>
      <w:r>
        <w:rPr>
          <w:rFonts w:ascii="Arial" w:cs="Arial" w:eastAsia="Arial" w:hAnsi="Arial"/>
          <w:sz w:val="13"/>
          <w:szCs w:val="13"/>
          <w:color w:val="auto"/>
        </w:rPr>
        <w:t>Existing or forecast adverse changes in business, financial or economic conditions.</w:t>
      </w:r>
    </w:p>
    <w:p>
      <w:pPr>
        <w:spacing w:after="0" w:line="4" w:lineRule="exact"/>
        <w:rPr>
          <w:rFonts w:ascii="Arial" w:cs="Arial" w:eastAsia="Arial" w:hAnsi="Arial"/>
          <w:sz w:val="13"/>
          <w:szCs w:val="13"/>
          <w:color w:val="auto"/>
        </w:rPr>
      </w:pPr>
    </w:p>
    <w:p>
      <w:pPr>
        <w:ind w:left="700" w:hanging="241"/>
        <w:spacing w:after="0"/>
        <w:tabs>
          <w:tab w:leader="none" w:pos="700" w:val="left"/>
        </w:tabs>
        <w:numPr>
          <w:ilvl w:val="0"/>
          <w:numId w:val="34"/>
        </w:numPr>
        <w:rPr>
          <w:rFonts w:ascii="Arial" w:cs="Arial" w:eastAsia="Arial" w:hAnsi="Arial"/>
          <w:sz w:val="13"/>
          <w:szCs w:val="13"/>
          <w:color w:val="auto"/>
        </w:rPr>
      </w:pPr>
      <w:r>
        <w:rPr>
          <w:rFonts w:ascii="Arial" w:cs="Arial" w:eastAsia="Arial" w:hAnsi="Arial"/>
          <w:sz w:val="13"/>
          <w:szCs w:val="13"/>
          <w:color w:val="auto"/>
        </w:rPr>
        <w:t>An actual or expected significant change in the operating results of the borrower.</w:t>
      </w:r>
    </w:p>
    <w:p>
      <w:pPr>
        <w:spacing w:after="0" w:line="4" w:lineRule="exact"/>
        <w:rPr>
          <w:rFonts w:ascii="Arial" w:cs="Arial" w:eastAsia="Arial" w:hAnsi="Arial"/>
          <w:sz w:val="13"/>
          <w:szCs w:val="13"/>
          <w:color w:val="auto"/>
        </w:rPr>
      </w:pPr>
    </w:p>
    <w:p>
      <w:pPr>
        <w:ind w:left="700" w:hanging="241"/>
        <w:spacing w:after="0"/>
        <w:tabs>
          <w:tab w:leader="none" w:pos="700" w:val="left"/>
        </w:tabs>
        <w:numPr>
          <w:ilvl w:val="0"/>
          <w:numId w:val="34"/>
        </w:numPr>
        <w:rPr>
          <w:rFonts w:ascii="Arial" w:cs="Arial" w:eastAsia="Arial" w:hAnsi="Arial"/>
          <w:sz w:val="13"/>
          <w:szCs w:val="13"/>
          <w:color w:val="auto"/>
        </w:rPr>
      </w:pPr>
      <w:r>
        <w:rPr>
          <w:rFonts w:ascii="Arial" w:cs="Arial" w:eastAsia="Arial" w:hAnsi="Arial"/>
          <w:sz w:val="13"/>
          <w:szCs w:val="13"/>
          <w:color w:val="auto"/>
        </w:rPr>
        <w:t>An actual or expected significant adverse change in the regulatory environment, economic, or technological environment of the borrower.</w:t>
      </w:r>
    </w:p>
    <w:p>
      <w:pPr>
        <w:spacing w:after="0" w:line="4" w:lineRule="exact"/>
        <w:rPr>
          <w:rFonts w:ascii="Arial" w:cs="Arial" w:eastAsia="Arial" w:hAnsi="Arial"/>
          <w:sz w:val="13"/>
          <w:szCs w:val="13"/>
          <w:color w:val="auto"/>
        </w:rPr>
      </w:pPr>
    </w:p>
    <w:p>
      <w:pPr>
        <w:ind w:left="700" w:hanging="241"/>
        <w:spacing w:after="0"/>
        <w:tabs>
          <w:tab w:leader="none" w:pos="700" w:val="left"/>
        </w:tabs>
        <w:numPr>
          <w:ilvl w:val="0"/>
          <w:numId w:val="34"/>
        </w:numPr>
        <w:rPr>
          <w:rFonts w:ascii="Arial" w:cs="Arial" w:eastAsia="Arial" w:hAnsi="Arial"/>
          <w:sz w:val="13"/>
          <w:szCs w:val="13"/>
          <w:color w:val="auto"/>
        </w:rPr>
      </w:pPr>
      <w:r>
        <w:rPr>
          <w:rFonts w:ascii="Arial" w:cs="Arial" w:eastAsia="Arial" w:hAnsi="Arial"/>
          <w:sz w:val="13"/>
          <w:szCs w:val="13"/>
          <w:color w:val="auto"/>
        </w:rPr>
        <w:t>Significant changes in the value of the collateral supporting the obligation.</w:t>
      </w:r>
    </w:p>
    <w:p>
      <w:pPr>
        <w:spacing w:after="0" w:line="4" w:lineRule="exact"/>
        <w:rPr>
          <w:rFonts w:ascii="Arial" w:cs="Arial" w:eastAsia="Arial" w:hAnsi="Arial"/>
          <w:sz w:val="13"/>
          <w:szCs w:val="13"/>
          <w:color w:val="auto"/>
        </w:rPr>
      </w:pPr>
    </w:p>
    <w:p>
      <w:pPr>
        <w:ind w:left="700" w:right="20" w:hanging="241"/>
        <w:spacing w:after="0" w:line="254" w:lineRule="auto"/>
        <w:tabs>
          <w:tab w:leader="none" w:pos="700" w:val="left"/>
        </w:tabs>
        <w:numPr>
          <w:ilvl w:val="0"/>
          <w:numId w:val="34"/>
        </w:numPr>
        <w:rPr>
          <w:rFonts w:ascii="Arial" w:cs="Arial" w:eastAsia="Arial" w:hAnsi="Arial"/>
          <w:sz w:val="13"/>
          <w:szCs w:val="13"/>
          <w:color w:val="auto"/>
        </w:rPr>
      </w:pPr>
      <w:r>
        <w:rPr>
          <w:rFonts w:ascii="Arial" w:cs="Arial" w:eastAsia="Arial" w:hAnsi="Arial"/>
          <w:sz w:val="13"/>
          <w:szCs w:val="13"/>
          <w:color w:val="auto"/>
        </w:rPr>
        <w:t>Significant changes, such as reductions, in financial support from a parent entity or other affiliate or an actual or expected significant change in the quality of credit enhancements, among other factors incorporated in the Bank’s ECLs model.</w:t>
      </w:r>
    </w:p>
    <w:p>
      <w:pPr>
        <w:spacing w:after="0" w:line="137" w:lineRule="exact"/>
        <w:rPr>
          <w:sz w:val="20"/>
          <w:szCs w:val="20"/>
          <w:color w:val="auto"/>
        </w:rPr>
      </w:pPr>
    </w:p>
    <w:p>
      <w:pPr>
        <w:jc w:val="both"/>
        <w:ind w:right="20"/>
        <w:spacing w:after="0" w:line="326" w:lineRule="auto"/>
        <w:rPr>
          <w:sz w:val="20"/>
          <w:szCs w:val="20"/>
          <w:color w:val="auto"/>
        </w:rPr>
      </w:pPr>
      <w:r>
        <w:rPr>
          <w:rFonts w:ascii="Arial" w:cs="Arial" w:eastAsia="Arial" w:hAnsi="Arial"/>
          <w:sz w:val="11"/>
          <w:szCs w:val="11"/>
          <w:color w:val="auto"/>
        </w:rPr>
        <w:t>Informed judgments must be made when identifying impaired loans, the PD, the expected loss, the value of collateral and current economic conditions. Even though the Bank’s management considers its allowances for ECL to be adequate, the use of different estimates and assumptions could produce different allowances for ECL, and amendments to the allowances may be required in the future due to changes in the value of collateral, the amount of cash expected to be received or other economic events. In addition, risk management has established and maintains allowances for ECL related to the Bank’s loan commitments and financial guarantee contracts.</w:t>
      </w:r>
    </w:p>
    <w:p>
      <w:pPr>
        <w:spacing w:after="0" w:line="101" w:lineRule="exact"/>
        <w:rPr>
          <w:sz w:val="20"/>
          <w:szCs w:val="20"/>
          <w:color w:val="auto"/>
        </w:rPr>
      </w:pPr>
    </w:p>
    <w:p>
      <w:pPr>
        <w:jc w:val="both"/>
        <w:ind w:right="20"/>
        <w:spacing w:after="0" w:line="314" w:lineRule="auto"/>
        <w:rPr>
          <w:sz w:val="20"/>
          <w:szCs w:val="20"/>
          <w:color w:val="auto"/>
        </w:rPr>
      </w:pPr>
      <w:r>
        <w:rPr>
          <w:rFonts w:ascii="Arial" w:cs="Arial" w:eastAsia="Arial" w:hAnsi="Arial"/>
          <w:sz w:val="11"/>
          <w:szCs w:val="11"/>
          <w:color w:val="auto"/>
        </w:rPr>
        <w:t>The allowance for losses on financial instruments is provided for losses derived from the credit extension process inherent in the Loan Portfolio, investment securities, and loan commitments and financial guarantee contracts using the reserve methodology to determine expected credit losses. Additions to the allowance for expected credit losses for financial instruments are made by debiting earnings. Expected credit losses are deducted from the allowance, and subsequent recoveries are added. The allowance is also decreased by reversals of the allowance back to earnings. The allowance for expected credit losses for financial instruments at amortized cost is reported as a deduction of financial assets and the allowance for expected credit losses on loan commitments and financial guarantee contracts, such as letters of credit and guarantees, is presented as a liability.</w:t>
      </w:r>
    </w:p>
    <w:p>
      <w:pPr>
        <w:spacing w:after="0" w:line="108" w:lineRule="exact"/>
        <w:rPr>
          <w:sz w:val="20"/>
          <w:szCs w:val="20"/>
          <w:color w:val="auto"/>
        </w:rPr>
      </w:pPr>
    </w:p>
    <w:p>
      <w:pPr>
        <w:jc w:val="both"/>
        <w:ind w:right="20"/>
        <w:spacing w:after="0" w:line="310" w:lineRule="auto"/>
        <w:rPr>
          <w:sz w:val="20"/>
          <w:szCs w:val="20"/>
          <w:color w:val="auto"/>
        </w:rPr>
      </w:pPr>
      <w:r>
        <w:rPr>
          <w:rFonts w:ascii="Arial" w:cs="Arial" w:eastAsia="Arial" w:hAnsi="Arial"/>
          <w:sz w:val="12"/>
          <w:szCs w:val="12"/>
          <w:color w:val="auto"/>
        </w:rPr>
        <w:t>The Bank measures expected credit losses in a way that reflects: (a) an unbiased and probability-weighted amount that is determined by evaluating a range of possible outcomes; (b) the time value of money; and (c) reasonable and supportable information that is available without undue cost or effort at the reporting date about past events, current conditions and forecast of future economic conditions.</w:t>
      </w:r>
    </w:p>
    <w:p>
      <w:pPr>
        <w:spacing w:after="0" w:line="106"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The expected credit loss model reflects the general pattern of deterioration or improvement in the credit quality of the financial instrument. The amount of expected credit losses recognized as a loss allowance or provision depends on the extent of credit deterioration since initial recognition. There are two measurement bases:</w:t>
      </w:r>
    </w:p>
    <w:p>
      <w:pPr>
        <w:spacing w:after="0" w:line="129" w:lineRule="exact"/>
        <w:rPr>
          <w:sz w:val="20"/>
          <w:szCs w:val="20"/>
          <w:color w:val="auto"/>
        </w:rPr>
      </w:pPr>
    </w:p>
    <w:p>
      <w:pPr>
        <w:ind w:left="700" w:hanging="241"/>
        <w:spacing w:after="0"/>
        <w:tabs>
          <w:tab w:leader="none" w:pos="700" w:val="left"/>
        </w:tabs>
        <w:numPr>
          <w:ilvl w:val="0"/>
          <w:numId w:val="35"/>
        </w:numPr>
        <w:rPr>
          <w:rFonts w:ascii="Arial" w:cs="Arial" w:eastAsia="Arial" w:hAnsi="Arial"/>
          <w:sz w:val="13"/>
          <w:szCs w:val="13"/>
          <w:color w:val="auto"/>
        </w:rPr>
      </w:pPr>
      <w:r>
        <w:rPr>
          <w:rFonts w:ascii="Arial" w:cs="Arial" w:eastAsia="Arial" w:hAnsi="Arial"/>
          <w:sz w:val="13"/>
          <w:szCs w:val="13"/>
          <w:color w:val="auto"/>
        </w:rPr>
        <w:t>12-month expected credit losses (Stage 1), which applies to all financial instruments (from initial recognition) as long as there is no significant deterioration in credit quality.</w:t>
      </w:r>
    </w:p>
    <w:p>
      <w:pPr>
        <w:spacing w:after="0" w:line="307"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63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65" w:name="page66"/>
    <w:bookmarkEnd w:id="65"/>
    <w:p>
      <w:pPr>
        <w:jc w:val="both"/>
        <w:ind w:left="700" w:right="20" w:hanging="241"/>
        <w:spacing w:after="0" w:line="278" w:lineRule="auto"/>
        <w:tabs>
          <w:tab w:leader="none" w:pos="700" w:val="left"/>
        </w:tabs>
        <w:numPr>
          <w:ilvl w:val="0"/>
          <w:numId w:val="36"/>
        </w:numPr>
        <w:rPr>
          <w:rFonts w:ascii="Arial" w:cs="Arial" w:eastAsia="Arial" w:hAnsi="Arial"/>
          <w:sz w:val="12"/>
          <w:szCs w:val="12"/>
          <w:color w:val="auto"/>
        </w:rPr>
      </w:pPr>
      <w:r>
        <w:rPr>
          <w:rFonts w:ascii="Arial" w:cs="Arial" w:eastAsia="Arial" w:hAnsi="Arial"/>
          <w:sz w:val="12"/>
          <w:szCs w:val="12"/>
          <w:color w:val="auto"/>
        </w:rPr>
        <w:t>Lifetime expected credit losses (Stages 2 and 3), which applies when a significant increase in credit risk has occurred on an individual or collective basis. In Stages 2 and 3 interest revenue is recognized. Under Stage 2 (as under Stage 1), there is a full decoupling between interest recognition and impairment and interest revenue is calculated on the gross carrying amount. Under Stage 3, when a financial asset subsequently becomes credit-impaired (when a credit event has occurred), interest revenue is calculated on the amortized cost, net of impairment (i.e., the gross carrying amount after deducting the impairment allowance). In subsequent reporting years, if the credit quality of the financial asset improves so that the financial asset is no longer credit-impaired and the improvement can be related objectively to the occurrence of an event (such as an improvement in the borrower’s credit rating), then the Bank will once again calculate the interest revenue on a gross basis.</w:t>
      </w:r>
    </w:p>
    <w:p>
      <w:pPr>
        <w:spacing w:after="0" w:line="125" w:lineRule="exact"/>
        <w:rPr>
          <w:sz w:val="20"/>
          <w:szCs w:val="20"/>
          <w:color w:val="auto"/>
        </w:rPr>
      </w:pPr>
    </w:p>
    <w:p>
      <w:pPr>
        <w:jc w:val="both"/>
        <w:ind w:right="20"/>
        <w:spacing w:after="0" w:line="252" w:lineRule="auto"/>
        <w:rPr>
          <w:sz w:val="20"/>
          <w:szCs w:val="20"/>
          <w:color w:val="auto"/>
        </w:rPr>
      </w:pPr>
      <w:r>
        <w:rPr>
          <w:rFonts w:ascii="Arial" w:cs="Arial" w:eastAsia="Arial" w:hAnsi="Arial"/>
          <w:sz w:val="13"/>
          <w:szCs w:val="13"/>
          <w:color w:val="auto"/>
        </w:rPr>
        <w:t>The allowance for expected credit losses includes an asset-specific component and a formula-based component. The asset-specific component, or specific allowance, relates to the provision for losses on credits considered impaired and measured individually case-by-case. A specific allowance is established when the discounted cash flows (or observable fair value of collateral) of the credit is lower than the carrying value of that credit. The formula-based component (collective assessment basis) covers the Bank’s performing Credit Portfolio and it is established based on a process that estimates the probable loss inherent in the portfolio, based on statistical analysis and management’s qualitative judgment. This analysis considers comprehensive information that incorporates not only past due data, but other relevant credit information, such as forward looking macro-economic information.</w:t>
      </w:r>
    </w:p>
    <w:p>
      <w:pPr>
        <w:spacing w:after="0" w:line="13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Impairment losses on financial instrumets</w:t>
      </w:r>
    </w:p>
    <w:p>
      <w:pPr>
        <w:spacing w:after="0" w:line="159" w:lineRule="exact"/>
        <w:rPr>
          <w:sz w:val="20"/>
          <w:szCs w:val="20"/>
          <w:color w:val="auto"/>
        </w:rPr>
      </w:pPr>
    </w:p>
    <w:p>
      <w:pPr>
        <w:jc w:val="both"/>
        <w:ind w:right="20"/>
        <w:spacing w:after="0" w:line="289" w:lineRule="auto"/>
        <w:rPr>
          <w:sz w:val="20"/>
          <w:szCs w:val="20"/>
          <w:color w:val="auto"/>
        </w:rPr>
      </w:pPr>
      <w:r>
        <w:rPr>
          <w:rFonts w:ascii="Arial" w:cs="Arial" w:eastAsia="Arial" w:hAnsi="Arial"/>
          <w:sz w:val="12"/>
          <w:szCs w:val="12"/>
          <w:color w:val="auto"/>
        </w:rPr>
        <w:t>Impairment on financial assets is assessed based on numerous factors and its relative importance varies on a case-by-case basis. Factors considered in determining whether there has been a negative impact on the estimated future cash flows of a financial asset include: significant financial difficulties of the issuer; high probability of default; granting a concession to the issuer; disappearance of an active market due to financial difficulties; breach of contract, such as default or delays in interest or principal; and observable data indicating that there is a measurable decrease in estimated future cash flows since initial recognition.</w:t>
      </w:r>
    </w:p>
    <w:p>
      <w:pPr>
        <w:spacing w:after="0" w:line="118" w:lineRule="exact"/>
        <w:rPr>
          <w:sz w:val="20"/>
          <w:szCs w:val="20"/>
          <w:color w:val="auto"/>
        </w:rPr>
      </w:pPr>
    </w:p>
    <w:p>
      <w:pPr>
        <w:jc w:val="both"/>
        <w:spacing w:after="0" w:line="251" w:lineRule="auto"/>
        <w:rPr>
          <w:sz w:val="20"/>
          <w:szCs w:val="20"/>
          <w:color w:val="auto"/>
        </w:rPr>
      </w:pPr>
      <w:r>
        <w:rPr>
          <w:rFonts w:ascii="Arial" w:cs="Arial" w:eastAsia="Arial" w:hAnsi="Arial"/>
          <w:sz w:val="13"/>
          <w:szCs w:val="13"/>
          <w:color w:val="auto"/>
        </w:rPr>
        <w:t>The Bank assesses individually all credit-impaired loans at amortized cost at each reporting date to assess whether an impairment loss should be recorded in profit or loss. Management’s judgment is required in the estimation of the amount and timing of future cash flows when determining the impairment loss. These estimates are based on assumptions about several factors and actual results may differ, resulting in future changes to the allowance. Loans at amortized cost that do not give rise to credit impairment individually are evaluated together with all loans and advances in groups of assets with similar risk characteristics. This is to determine whether provision should be made due to incurred loss events for which there is objective evidence, but the effects of which are not yet evident. The collective assessment takes into account data from the Loan Portfolio (such as levels of arrears, credit utilization, loan-to-collateral ratios, etc.) and judgments on the effect of concentrations of risks and economic data (including levels of unemployment, real estate prices indices, country risk and the performance of different individual groups).</w:t>
      </w:r>
    </w:p>
    <w:p>
      <w:pPr>
        <w:spacing w:after="0" w:line="140" w:lineRule="exact"/>
        <w:rPr>
          <w:sz w:val="20"/>
          <w:szCs w:val="20"/>
          <w:color w:val="auto"/>
        </w:rPr>
      </w:pPr>
    </w:p>
    <w:p>
      <w:pPr>
        <w:jc w:val="both"/>
        <w:ind w:right="20"/>
        <w:spacing w:after="0" w:line="254" w:lineRule="auto"/>
        <w:rPr>
          <w:sz w:val="20"/>
          <w:szCs w:val="20"/>
          <w:color w:val="auto"/>
        </w:rPr>
      </w:pPr>
      <w:r>
        <w:rPr>
          <w:rFonts w:ascii="Arial" w:cs="Arial" w:eastAsia="Arial" w:hAnsi="Arial"/>
          <w:sz w:val="13"/>
          <w:szCs w:val="13"/>
          <w:color w:val="auto"/>
        </w:rPr>
        <w:t>The Bank reviews its debt securities classified as investments at fair value through OCI and investments at amortized cost at each reporting date to assess whether they are impaired. This requires similar judgment as is applied to the individual assessment of the investment securities. The Bank records impairment charges when there has been a significant or prolonged decline in the fair value below their cost. The determination of what is significant or prolonged requires judgment. In making this judgment, the Bank evaluates, among other factors, historical price movements and duration and the extent to which the fair value of an investment is less than its cost.</w:t>
      </w:r>
    </w:p>
    <w:p>
      <w:pPr>
        <w:spacing w:after="0" w:line="137"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Judgments for Forward Looking</w:t>
      </w:r>
    </w:p>
    <w:p>
      <w:pPr>
        <w:spacing w:after="0" w:line="15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The Bank incorporates information of the economic environments on a forward-looking view, when assessing whether the credit risk of a financial instrument has significantly increased since initial recognition. This is done through a rating model which includes projections of the inputs under analysis, and of the expected credit loss measurement. The Bank aggregates a forward-looking view component through a model alert that estimates a severity indicator of the total expected risk resulting from the estimations and assumptions of several macroeconomics factors.</w:t>
      </w:r>
    </w:p>
    <w:p>
      <w:pPr>
        <w:spacing w:after="0" w:line="284"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64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66" w:name="page67"/>
    <w:bookmarkEnd w:id="66"/>
    <w:p>
      <w:pPr>
        <w:spacing w:after="0" w:line="267" w:lineRule="auto"/>
        <w:rPr>
          <w:sz w:val="20"/>
          <w:szCs w:val="20"/>
          <w:color w:val="auto"/>
        </w:rPr>
      </w:pPr>
      <w:r>
        <w:rPr>
          <w:rFonts w:ascii="Arial" w:cs="Arial" w:eastAsia="Arial" w:hAnsi="Arial"/>
          <w:sz w:val="13"/>
          <w:szCs w:val="13"/>
          <w:color w:val="auto"/>
        </w:rPr>
        <w:t>The principal macroeconomics variables of the severity indicator are: GDP Growth (Var%), CoMex Growth (Var%), Commodities Price Index 2005 = 100, FED interest rate (%), USD vs Global Currencies Index 1973 = 100, and PMI Index, among others.</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color w:val="auto"/>
        </w:rPr>
        <w:t>The main assumptions of those estimates are based on:</w:t>
      </w:r>
    </w:p>
    <w:p>
      <w:pPr>
        <w:spacing w:after="0" w:line="159" w:lineRule="exact"/>
        <w:rPr>
          <w:sz w:val="20"/>
          <w:szCs w:val="20"/>
          <w:color w:val="auto"/>
        </w:rPr>
      </w:pPr>
    </w:p>
    <w:p>
      <w:pPr>
        <w:ind w:left="700" w:hanging="241"/>
        <w:spacing w:after="0"/>
        <w:tabs>
          <w:tab w:leader="none" w:pos="700" w:val="left"/>
        </w:tabs>
        <w:numPr>
          <w:ilvl w:val="0"/>
          <w:numId w:val="37"/>
        </w:numPr>
        <w:rPr>
          <w:rFonts w:ascii="Arial" w:cs="Arial" w:eastAsia="Arial" w:hAnsi="Arial"/>
          <w:sz w:val="13"/>
          <w:szCs w:val="13"/>
          <w:color w:val="auto"/>
        </w:rPr>
      </w:pPr>
      <w:r>
        <w:rPr>
          <w:rFonts w:ascii="Arial" w:cs="Arial" w:eastAsia="Arial" w:hAnsi="Arial"/>
          <w:sz w:val="13"/>
          <w:szCs w:val="13"/>
          <w:color w:val="auto"/>
        </w:rPr>
        <w:t>The Bank’s results may be affected by changes in global economic conditions.</w:t>
      </w:r>
    </w:p>
    <w:p>
      <w:pPr>
        <w:spacing w:after="0" w:line="12" w:lineRule="exact"/>
        <w:rPr>
          <w:rFonts w:ascii="Arial" w:cs="Arial" w:eastAsia="Arial" w:hAnsi="Arial"/>
          <w:sz w:val="13"/>
          <w:szCs w:val="13"/>
          <w:color w:val="auto"/>
        </w:rPr>
      </w:pPr>
    </w:p>
    <w:p>
      <w:pPr>
        <w:ind w:left="700" w:hanging="241"/>
        <w:spacing w:after="0"/>
        <w:tabs>
          <w:tab w:leader="none" w:pos="700" w:val="left"/>
        </w:tabs>
        <w:numPr>
          <w:ilvl w:val="0"/>
          <w:numId w:val="37"/>
        </w:numPr>
        <w:rPr>
          <w:rFonts w:ascii="Arial" w:cs="Arial" w:eastAsia="Arial" w:hAnsi="Arial"/>
          <w:sz w:val="13"/>
          <w:szCs w:val="13"/>
          <w:color w:val="auto"/>
        </w:rPr>
      </w:pPr>
      <w:r>
        <w:rPr>
          <w:rFonts w:ascii="Arial" w:cs="Arial" w:eastAsia="Arial" w:hAnsi="Arial"/>
          <w:sz w:val="13"/>
          <w:szCs w:val="13"/>
          <w:color w:val="auto"/>
        </w:rPr>
        <w:t>General political, economic and business conditions in Latin American, and other regions, countries or territories in which we operate.</w:t>
      </w:r>
    </w:p>
    <w:p>
      <w:pPr>
        <w:spacing w:after="0" w:line="4" w:lineRule="exact"/>
        <w:rPr>
          <w:rFonts w:ascii="Arial" w:cs="Arial" w:eastAsia="Arial" w:hAnsi="Arial"/>
          <w:sz w:val="13"/>
          <w:szCs w:val="13"/>
          <w:color w:val="auto"/>
        </w:rPr>
      </w:pPr>
    </w:p>
    <w:p>
      <w:pPr>
        <w:ind w:left="700" w:hanging="241"/>
        <w:spacing w:after="0"/>
        <w:tabs>
          <w:tab w:leader="none" w:pos="700" w:val="left"/>
        </w:tabs>
        <w:numPr>
          <w:ilvl w:val="0"/>
          <w:numId w:val="37"/>
        </w:numPr>
        <w:rPr>
          <w:rFonts w:ascii="Arial" w:cs="Arial" w:eastAsia="Arial" w:hAnsi="Arial"/>
          <w:sz w:val="13"/>
          <w:szCs w:val="13"/>
          <w:color w:val="auto"/>
        </w:rPr>
      </w:pPr>
      <w:r>
        <w:rPr>
          <w:rFonts w:ascii="Arial" w:cs="Arial" w:eastAsia="Arial" w:hAnsi="Arial"/>
          <w:sz w:val="13"/>
          <w:szCs w:val="13"/>
          <w:color w:val="auto"/>
        </w:rPr>
        <w:t>Changes in applicable laws and regulations.</w:t>
      </w:r>
    </w:p>
    <w:p>
      <w:pPr>
        <w:spacing w:after="0" w:line="4" w:lineRule="exact"/>
        <w:rPr>
          <w:rFonts w:ascii="Arial" w:cs="Arial" w:eastAsia="Arial" w:hAnsi="Arial"/>
          <w:sz w:val="13"/>
          <w:szCs w:val="13"/>
          <w:color w:val="auto"/>
        </w:rPr>
      </w:pPr>
    </w:p>
    <w:p>
      <w:pPr>
        <w:ind w:left="700" w:hanging="241"/>
        <w:spacing w:after="0"/>
        <w:tabs>
          <w:tab w:leader="none" w:pos="700" w:val="left"/>
        </w:tabs>
        <w:numPr>
          <w:ilvl w:val="0"/>
          <w:numId w:val="37"/>
        </w:numPr>
        <w:rPr>
          <w:rFonts w:ascii="Arial" w:cs="Arial" w:eastAsia="Arial" w:hAnsi="Arial"/>
          <w:sz w:val="13"/>
          <w:szCs w:val="13"/>
          <w:color w:val="auto"/>
        </w:rPr>
      </w:pPr>
      <w:r>
        <w:rPr>
          <w:rFonts w:ascii="Arial" w:cs="Arial" w:eastAsia="Arial" w:hAnsi="Arial"/>
          <w:sz w:val="13"/>
          <w:szCs w:val="13"/>
          <w:color w:val="auto"/>
        </w:rPr>
        <w:t>The monetary, interest rate and other policies of central banks of Latin American.</w:t>
      </w:r>
    </w:p>
    <w:p>
      <w:pPr>
        <w:spacing w:after="0" w:line="4" w:lineRule="exact"/>
        <w:rPr>
          <w:rFonts w:ascii="Arial" w:cs="Arial" w:eastAsia="Arial" w:hAnsi="Arial"/>
          <w:sz w:val="13"/>
          <w:szCs w:val="13"/>
          <w:color w:val="auto"/>
        </w:rPr>
      </w:pPr>
    </w:p>
    <w:p>
      <w:pPr>
        <w:ind w:left="700" w:hanging="241"/>
        <w:spacing w:after="0"/>
        <w:tabs>
          <w:tab w:leader="none" w:pos="700" w:val="left"/>
        </w:tabs>
        <w:numPr>
          <w:ilvl w:val="0"/>
          <w:numId w:val="37"/>
        </w:numPr>
        <w:rPr>
          <w:rFonts w:ascii="Arial" w:cs="Arial" w:eastAsia="Arial" w:hAnsi="Arial"/>
          <w:sz w:val="13"/>
          <w:szCs w:val="13"/>
          <w:color w:val="auto"/>
        </w:rPr>
      </w:pPr>
      <w:r>
        <w:rPr>
          <w:rFonts w:ascii="Arial" w:cs="Arial" w:eastAsia="Arial" w:hAnsi="Arial"/>
          <w:sz w:val="13"/>
          <w:szCs w:val="13"/>
          <w:color w:val="auto"/>
        </w:rPr>
        <w:t>Changes or volatility in interest rates, foreign exchange rates, asset prices, equity markets, commodity prices, inflation or deflation.</w:t>
      </w:r>
    </w:p>
    <w:p>
      <w:pPr>
        <w:spacing w:after="0" w:line="4" w:lineRule="exact"/>
        <w:rPr>
          <w:rFonts w:ascii="Arial" w:cs="Arial" w:eastAsia="Arial" w:hAnsi="Arial"/>
          <w:sz w:val="13"/>
          <w:szCs w:val="13"/>
          <w:color w:val="auto"/>
        </w:rPr>
      </w:pPr>
    </w:p>
    <w:p>
      <w:pPr>
        <w:ind w:left="700" w:hanging="241"/>
        <w:spacing w:after="0"/>
        <w:tabs>
          <w:tab w:leader="none" w:pos="700" w:val="left"/>
        </w:tabs>
        <w:numPr>
          <w:ilvl w:val="0"/>
          <w:numId w:val="37"/>
        </w:numPr>
        <w:rPr>
          <w:rFonts w:ascii="Arial" w:cs="Arial" w:eastAsia="Arial" w:hAnsi="Arial"/>
          <w:sz w:val="13"/>
          <w:szCs w:val="13"/>
          <w:color w:val="auto"/>
        </w:rPr>
      </w:pPr>
      <w:r>
        <w:rPr>
          <w:rFonts w:ascii="Arial" w:cs="Arial" w:eastAsia="Arial" w:hAnsi="Arial"/>
          <w:sz w:val="13"/>
          <w:szCs w:val="13"/>
          <w:color w:val="auto"/>
        </w:rPr>
        <w:t>The effects of competition in the markets in which we operate, which may be influenced by regulation or deregulation.</w:t>
      </w:r>
    </w:p>
    <w:p>
      <w:pPr>
        <w:spacing w:after="0" w:line="4" w:lineRule="exact"/>
        <w:rPr>
          <w:rFonts w:ascii="Arial" w:cs="Arial" w:eastAsia="Arial" w:hAnsi="Arial"/>
          <w:sz w:val="13"/>
          <w:szCs w:val="13"/>
          <w:color w:val="auto"/>
        </w:rPr>
      </w:pPr>
    </w:p>
    <w:p>
      <w:pPr>
        <w:ind w:left="700" w:hanging="241"/>
        <w:spacing w:after="0"/>
        <w:tabs>
          <w:tab w:leader="none" w:pos="700" w:val="left"/>
        </w:tabs>
        <w:numPr>
          <w:ilvl w:val="0"/>
          <w:numId w:val="37"/>
        </w:numPr>
        <w:rPr>
          <w:rFonts w:ascii="Arial" w:cs="Arial" w:eastAsia="Arial" w:hAnsi="Arial"/>
          <w:sz w:val="13"/>
          <w:szCs w:val="13"/>
          <w:color w:val="auto"/>
        </w:rPr>
      </w:pPr>
      <w:r>
        <w:rPr>
          <w:rFonts w:ascii="Arial" w:cs="Arial" w:eastAsia="Arial" w:hAnsi="Arial"/>
          <w:sz w:val="13"/>
          <w:szCs w:val="13"/>
          <w:color w:val="auto"/>
        </w:rPr>
        <w:t>Our ability to hedge certain risks economically.</w:t>
      </w:r>
    </w:p>
    <w:p>
      <w:pPr>
        <w:spacing w:after="0" w:line="4" w:lineRule="exact"/>
        <w:rPr>
          <w:rFonts w:ascii="Arial" w:cs="Arial" w:eastAsia="Arial" w:hAnsi="Arial"/>
          <w:sz w:val="13"/>
          <w:szCs w:val="13"/>
          <w:color w:val="auto"/>
        </w:rPr>
      </w:pPr>
    </w:p>
    <w:p>
      <w:pPr>
        <w:ind w:left="700" w:hanging="241"/>
        <w:spacing w:after="0"/>
        <w:tabs>
          <w:tab w:leader="none" w:pos="700" w:val="left"/>
        </w:tabs>
        <w:numPr>
          <w:ilvl w:val="0"/>
          <w:numId w:val="37"/>
        </w:numPr>
        <w:rPr>
          <w:rFonts w:ascii="Arial" w:cs="Arial" w:eastAsia="Arial" w:hAnsi="Arial"/>
          <w:sz w:val="13"/>
          <w:szCs w:val="13"/>
          <w:color w:val="auto"/>
        </w:rPr>
      </w:pPr>
      <w:r>
        <w:rPr>
          <w:rFonts w:ascii="Arial" w:cs="Arial" w:eastAsia="Arial" w:hAnsi="Arial"/>
          <w:sz w:val="13"/>
          <w:szCs w:val="13"/>
          <w:color w:val="auto"/>
        </w:rPr>
        <w:t>Changes of risk perception in the markets in which the Bank operates.</w:t>
      </w:r>
    </w:p>
    <w:p>
      <w:pPr>
        <w:spacing w:after="0" w:line="4" w:lineRule="exact"/>
        <w:rPr>
          <w:rFonts w:ascii="Arial" w:cs="Arial" w:eastAsia="Arial" w:hAnsi="Arial"/>
          <w:sz w:val="13"/>
          <w:szCs w:val="13"/>
          <w:color w:val="auto"/>
        </w:rPr>
      </w:pPr>
    </w:p>
    <w:p>
      <w:pPr>
        <w:ind w:left="700" w:hanging="241"/>
        <w:spacing w:after="0" w:line="247" w:lineRule="auto"/>
        <w:tabs>
          <w:tab w:leader="none" w:pos="700" w:val="left"/>
        </w:tabs>
        <w:numPr>
          <w:ilvl w:val="0"/>
          <w:numId w:val="37"/>
        </w:numPr>
        <w:rPr>
          <w:rFonts w:ascii="Arial" w:cs="Arial" w:eastAsia="Arial" w:hAnsi="Arial"/>
          <w:sz w:val="13"/>
          <w:szCs w:val="13"/>
          <w:color w:val="auto"/>
        </w:rPr>
      </w:pPr>
      <w:r>
        <w:rPr>
          <w:rFonts w:ascii="Arial" w:cs="Arial" w:eastAsia="Arial" w:hAnsi="Arial"/>
          <w:sz w:val="13"/>
          <w:szCs w:val="13"/>
          <w:color w:val="auto"/>
        </w:rPr>
        <w:t>A prolonged downturn in global debt capital markets stemming from credit risk aversions, anti-money laundering, or other economic or political concerns pertaining to the Region, or a continued downturn in investor confidence, could affect the Bank’s access to cross border funding or increase its cost of funding.</w:t>
      </w:r>
    </w:p>
    <w:p>
      <w:pPr>
        <w:ind w:left="700" w:hanging="241"/>
        <w:spacing w:after="0" w:line="254" w:lineRule="auto"/>
        <w:tabs>
          <w:tab w:leader="none" w:pos="700" w:val="left"/>
        </w:tabs>
        <w:numPr>
          <w:ilvl w:val="0"/>
          <w:numId w:val="37"/>
        </w:numPr>
        <w:rPr>
          <w:rFonts w:ascii="Arial" w:cs="Arial" w:eastAsia="Arial" w:hAnsi="Arial"/>
          <w:sz w:val="13"/>
          <w:szCs w:val="13"/>
          <w:color w:val="auto"/>
        </w:rPr>
      </w:pPr>
      <w:r>
        <w:rPr>
          <w:rFonts w:ascii="Arial" w:cs="Arial" w:eastAsia="Arial" w:hAnsi="Arial"/>
          <w:sz w:val="13"/>
          <w:szCs w:val="13"/>
          <w:color w:val="auto"/>
        </w:rPr>
        <w:t>Our success in managing the risks involved in the foregoing, which depends, among other things, on our ability to anticipate events that cannot be captured by the statistical models we use and force majeure and other events beyond our control.</w:t>
      </w:r>
    </w:p>
    <w:p>
      <w:pPr>
        <w:spacing w:after="0" w:line="137" w:lineRule="exact"/>
        <w:rPr>
          <w:sz w:val="20"/>
          <w:szCs w:val="20"/>
          <w:color w:val="auto"/>
        </w:rPr>
      </w:pPr>
    </w:p>
    <w:p>
      <w:pPr>
        <w:spacing w:after="0"/>
        <w:rPr>
          <w:sz w:val="20"/>
          <w:szCs w:val="20"/>
          <w:color w:val="auto"/>
        </w:rPr>
      </w:pPr>
      <w:r>
        <w:rPr>
          <w:rFonts w:ascii="Arial" w:cs="Arial" w:eastAsia="Arial" w:hAnsi="Arial"/>
          <w:sz w:val="13"/>
          <w:szCs w:val="13"/>
          <w:color w:val="auto"/>
        </w:rPr>
        <w:t>In addition, the sensitivity in a downturn or upgrade adjustment of any variable will impact directly in the result of the expected risk severity index of the alert model.</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Fair Value Valuations</w:t>
      </w:r>
    </w:p>
    <w:p>
      <w:pPr>
        <w:spacing w:after="0" w:line="159" w:lineRule="exact"/>
        <w:rPr>
          <w:sz w:val="20"/>
          <w:szCs w:val="20"/>
          <w:color w:val="auto"/>
        </w:rPr>
      </w:pPr>
    </w:p>
    <w:p>
      <w:pPr>
        <w:spacing w:after="0" w:line="360" w:lineRule="auto"/>
        <w:rPr>
          <w:sz w:val="20"/>
          <w:szCs w:val="20"/>
          <w:color w:val="auto"/>
        </w:rPr>
      </w:pPr>
      <w:r>
        <w:rPr>
          <w:rFonts w:ascii="Arial" w:cs="Arial" w:eastAsia="Arial" w:hAnsi="Arial"/>
          <w:sz w:val="11"/>
          <w:szCs w:val="11"/>
          <w:color w:val="auto"/>
        </w:rPr>
        <w:t>In order to value an instrument there are several approaches that can be used. The fair value is represented by the present value of cash flows of each instrument. For those instruments categorized as a Level 1 in the Fair Value Hierarchy, valuations can be obtained by using observable market quotes/prices in active markets. The definition of an active market depends on an individual criteria on trading frequency and traded volume.</w:t>
      </w:r>
    </w:p>
    <w:p>
      <w:pPr>
        <w:spacing w:after="0" w:line="83" w:lineRule="exact"/>
        <w:rPr>
          <w:sz w:val="20"/>
          <w:szCs w:val="20"/>
          <w:color w:val="auto"/>
        </w:rPr>
      </w:pPr>
    </w:p>
    <w:p>
      <w:pPr>
        <w:spacing w:after="0"/>
        <w:rPr>
          <w:sz w:val="20"/>
          <w:szCs w:val="20"/>
          <w:color w:val="auto"/>
        </w:rPr>
      </w:pPr>
      <w:r>
        <w:rPr>
          <w:rFonts w:ascii="Arial" w:cs="Arial" w:eastAsia="Arial" w:hAnsi="Arial"/>
          <w:sz w:val="13"/>
          <w:szCs w:val="13"/>
          <w:color w:val="auto"/>
        </w:rPr>
        <w:t>The data input for instruments categorized as a Level 2 are different from quoted prices included in Level 1. The Level 2 data input may include the following elements:</w:t>
      </w:r>
    </w:p>
    <w:p>
      <w:pPr>
        <w:spacing w:after="0" w:line="159" w:lineRule="exact"/>
        <w:rPr>
          <w:sz w:val="20"/>
          <w:szCs w:val="20"/>
          <w:color w:val="auto"/>
        </w:rPr>
      </w:pPr>
    </w:p>
    <w:p>
      <w:pPr>
        <w:ind w:left="700" w:hanging="241"/>
        <w:spacing w:after="0"/>
        <w:tabs>
          <w:tab w:leader="none" w:pos="700" w:val="left"/>
        </w:tabs>
        <w:numPr>
          <w:ilvl w:val="0"/>
          <w:numId w:val="38"/>
        </w:numPr>
        <w:rPr>
          <w:rFonts w:ascii="Arial" w:cs="Arial" w:eastAsia="Arial" w:hAnsi="Arial"/>
          <w:sz w:val="13"/>
          <w:szCs w:val="13"/>
          <w:color w:val="auto"/>
        </w:rPr>
      </w:pPr>
      <w:r>
        <w:rPr>
          <w:rFonts w:ascii="Arial" w:cs="Arial" w:eastAsia="Arial" w:hAnsi="Arial"/>
          <w:sz w:val="13"/>
          <w:szCs w:val="13"/>
          <w:color w:val="auto"/>
        </w:rPr>
        <w:t>Observable prices/quotes in a non-active market.</w:t>
      </w:r>
    </w:p>
    <w:p>
      <w:pPr>
        <w:spacing w:after="0" w:line="12" w:lineRule="exact"/>
        <w:rPr>
          <w:rFonts w:ascii="Arial" w:cs="Arial" w:eastAsia="Arial" w:hAnsi="Arial"/>
          <w:sz w:val="13"/>
          <w:szCs w:val="13"/>
          <w:color w:val="auto"/>
        </w:rPr>
      </w:pPr>
    </w:p>
    <w:p>
      <w:pPr>
        <w:ind w:left="700" w:hanging="241"/>
        <w:spacing w:after="0"/>
        <w:tabs>
          <w:tab w:leader="none" w:pos="700" w:val="left"/>
        </w:tabs>
        <w:numPr>
          <w:ilvl w:val="0"/>
          <w:numId w:val="38"/>
        </w:numPr>
        <w:rPr>
          <w:rFonts w:ascii="Arial" w:cs="Arial" w:eastAsia="Arial" w:hAnsi="Arial"/>
          <w:sz w:val="13"/>
          <w:szCs w:val="13"/>
          <w:color w:val="auto"/>
        </w:rPr>
      </w:pPr>
      <w:r>
        <w:rPr>
          <w:rFonts w:ascii="Arial" w:cs="Arial" w:eastAsia="Arial" w:hAnsi="Arial"/>
          <w:sz w:val="13"/>
          <w:szCs w:val="13"/>
          <w:color w:val="auto"/>
        </w:rPr>
        <w:t>Observable prices/quotes derived from similar instruments.</w:t>
      </w:r>
    </w:p>
    <w:p>
      <w:pPr>
        <w:spacing w:after="0" w:line="4" w:lineRule="exact"/>
        <w:rPr>
          <w:rFonts w:ascii="Arial" w:cs="Arial" w:eastAsia="Arial" w:hAnsi="Arial"/>
          <w:sz w:val="13"/>
          <w:szCs w:val="13"/>
          <w:color w:val="auto"/>
        </w:rPr>
      </w:pPr>
    </w:p>
    <w:p>
      <w:pPr>
        <w:ind w:left="700" w:hanging="241"/>
        <w:spacing w:after="0" w:line="254" w:lineRule="auto"/>
        <w:tabs>
          <w:tab w:leader="none" w:pos="700" w:val="left"/>
        </w:tabs>
        <w:numPr>
          <w:ilvl w:val="0"/>
          <w:numId w:val="38"/>
        </w:numPr>
        <w:rPr>
          <w:rFonts w:ascii="Arial" w:cs="Arial" w:eastAsia="Arial" w:hAnsi="Arial"/>
          <w:sz w:val="13"/>
          <w:szCs w:val="13"/>
          <w:color w:val="auto"/>
        </w:rPr>
      </w:pPr>
      <w:r>
        <w:rPr>
          <w:rFonts w:ascii="Arial" w:cs="Arial" w:eastAsia="Arial" w:hAnsi="Arial"/>
          <w:sz w:val="13"/>
          <w:szCs w:val="13"/>
          <w:color w:val="auto"/>
        </w:rPr>
        <w:t>Other data input observable in the markets as for example: interest rates, credit differentials and others. An adjustment to Level 2 data input that may be significant can cause changes in the fair value hierarchy to Level 3.</w:t>
      </w:r>
    </w:p>
    <w:p>
      <w:pPr>
        <w:spacing w:after="0" w:line="137" w:lineRule="exact"/>
        <w:rPr>
          <w:sz w:val="20"/>
          <w:szCs w:val="20"/>
          <w:color w:val="auto"/>
        </w:rPr>
      </w:pPr>
    </w:p>
    <w:p>
      <w:pPr>
        <w:spacing w:after="0"/>
        <w:rPr>
          <w:sz w:val="20"/>
          <w:szCs w:val="20"/>
          <w:color w:val="auto"/>
        </w:rPr>
      </w:pPr>
      <w:r>
        <w:rPr>
          <w:rFonts w:ascii="Arial" w:cs="Arial" w:eastAsia="Arial" w:hAnsi="Arial"/>
          <w:sz w:val="13"/>
          <w:szCs w:val="13"/>
          <w:color w:val="auto"/>
        </w:rPr>
        <w:t>For Level 3 instruments, data input is not observable in the market. In order to derive fair valuations, data input may reflect assumptions on the pricing and risk inputs.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The entity may develop non observable data input using the best available information in those circumstances.</w:t>
      </w:r>
    </w:p>
    <w:p>
      <w:pPr>
        <w:spacing w:after="0" w:line="307"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65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89" w:right="219" w:bottom="1440" w:gutter="0" w:footer="0" w:header="0"/>
        </w:sectPr>
      </w:pPr>
    </w:p>
    <w:bookmarkStart w:id="67" w:name="page68"/>
    <w:bookmarkEnd w:id="67"/>
    <w:p>
      <w:pPr>
        <w:ind w:left="3"/>
        <w:spacing w:after="0"/>
        <w:rPr>
          <w:sz w:val="20"/>
          <w:szCs w:val="20"/>
          <w:color w:val="auto"/>
        </w:rPr>
      </w:pPr>
      <w:r>
        <w:rPr>
          <w:rFonts w:ascii="Arial" w:cs="Arial" w:eastAsia="Arial" w:hAnsi="Arial"/>
          <w:sz w:val="13"/>
          <w:szCs w:val="13"/>
          <w:i w:val="1"/>
          <w:iCs w:val="1"/>
          <w:color w:val="auto"/>
        </w:rPr>
        <w:t>Level 3 Financial Instrument Valuations</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color w:val="auto"/>
        </w:rPr>
        <w:t>In order to value an instrument, exposure, the time and discount curve are required.</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exposure is calculated based on client contractual nominal exposure at maturity. The time is the time fraction measured in years from valuation date until maturity.</w:t>
      </w:r>
    </w:p>
    <w:p>
      <w:pPr>
        <w:spacing w:after="0" w:line="159" w:lineRule="exact"/>
        <w:rPr>
          <w:sz w:val="20"/>
          <w:szCs w:val="20"/>
          <w:color w:val="auto"/>
        </w:rPr>
      </w:pPr>
    </w:p>
    <w:p>
      <w:pPr>
        <w:jc w:val="both"/>
        <w:ind w:left="3"/>
        <w:spacing w:after="0" w:line="310" w:lineRule="auto"/>
        <w:rPr>
          <w:sz w:val="20"/>
          <w:szCs w:val="20"/>
          <w:color w:val="auto"/>
        </w:rPr>
      </w:pPr>
      <w:r>
        <w:rPr>
          <w:rFonts w:ascii="Arial" w:cs="Arial" w:eastAsia="Arial" w:hAnsi="Arial"/>
          <w:sz w:val="12"/>
          <w:szCs w:val="12"/>
          <w:color w:val="auto"/>
        </w:rPr>
        <w:t>If no discount curve is available from public information, the yield would be derived from a peer’s public information. The yield will then be adjusted by taking into account capital and debt structure and a premium for liquidity in emerging markets. This premium takes into account Bladex view on similar business trades. The present value of the exposure at maturity represents the fair value of the instrument.</w:t>
      </w:r>
    </w:p>
    <w:p>
      <w:pPr>
        <w:spacing w:after="0" w:line="102"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Recent Accounting Pronouncements</w:t>
      </w:r>
    </w:p>
    <w:p>
      <w:pPr>
        <w:spacing w:after="0" w:line="163" w:lineRule="exact"/>
        <w:rPr>
          <w:sz w:val="20"/>
          <w:szCs w:val="20"/>
          <w:color w:val="auto"/>
        </w:rPr>
      </w:pPr>
    </w:p>
    <w:p>
      <w:pPr>
        <w:jc w:val="both"/>
        <w:ind w:left="3"/>
        <w:spacing w:after="0" w:line="278" w:lineRule="auto"/>
        <w:rPr>
          <w:sz w:val="20"/>
          <w:szCs w:val="20"/>
          <w:color w:val="auto"/>
        </w:rPr>
      </w:pPr>
      <w:r>
        <w:rPr>
          <w:rFonts w:ascii="Arial" w:cs="Arial" w:eastAsia="Arial" w:hAnsi="Arial"/>
          <w:sz w:val="12"/>
          <w:szCs w:val="12"/>
          <w:color w:val="auto"/>
        </w:rPr>
        <w:t>IFRS 16 “Leases” (“IFRS 16”) was issued in January 2016 and replaced IAS 17 “Leases”. IFRS 16 sets out the principles for the recognition, measurement, presentation and disclosure of leases. The major change introduced by IFRS 16 is that leases will be brought onto a lessee’s statement of financial position, providing a more complete picture of the lessee’s assets and liabilities. IFRS 16 removes the classification of leases as either operating leases or financial leases, treating all leases as financial leases. Short-term leases (less than 12 months) and leases of low-value assets are exempt from the requirements. The Bank will apply IFRS 16 initially on January 1, 2019, using a modified retrospective approach. The Bank will apply IFRS 16 to all contracts entered into before January 1, 2019 and that identified as leases in accordance with IAS 17 and IFRIC 4. On the basis of available information, the Bank estimates that on January 1, 2019, it will recognize lease liabilities for $20.8 million and right-of-use assets for $17.2 million.</w:t>
      </w:r>
    </w:p>
    <w:p>
      <w:pPr>
        <w:spacing w:after="0" w:line="125"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For information regarding the Bank’s basis of preparation, significant accounting policies and future changes in accounting policies, see Item 18, “Financial Statements,” notes 2, 3 and 3.2.22, respectively. Additionally, for information regarding the Bank’s fair value of financial instruments, see Item 18, “Financial Statements,” note 26.</w:t>
      </w:r>
    </w:p>
    <w:p>
      <w:pPr>
        <w:spacing w:after="0" w:line="125" w:lineRule="exact"/>
        <w:rPr>
          <w:sz w:val="20"/>
          <w:szCs w:val="20"/>
          <w:color w:val="auto"/>
        </w:rPr>
      </w:pPr>
    </w:p>
    <w:p>
      <w:pPr>
        <w:ind w:left="463" w:hanging="463"/>
        <w:spacing w:after="0"/>
        <w:tabs>
          <w:tab w:leader="none" w:pos="463" w:val="left"/>
        </w:tabs>
        <w:numPr>
          <w:ilvl w:val="0"/>
          <w:numId w:val="39"/>
        </w:numPr>
        <w:rPr>
          <w:rFonts w:ascii="Arial" w:cs="Arial" w:eastAsia="Arial" w:hAnsi="Arial"/>
          <w:sz w:val="13"/>
          <w:szCs w:val="13"/>
          <w:b w:val="1"/>
          <w:bCs w:val="1"/>
          <w:color w:val="auto"/>
        </w:rPr>
      </w:pPr>
      <w:r>
        <w:rPr>
          <w:rFonts w:ascii="Arial" w:cs="Arial" w:eastAsia="Arial" w:hAnsi="Arial"/>
          <w:sz w:val="13"/>
          <w:szCs w:val="13"/>
          <w:b w:val="1"/>
          <w:bCs w:val="1"/>
          <w:color w:val="auto"/>
        </w:rPr>
        <w:t>Liquidity and Capital Resources</w:t>
      </w:r>
    </w:p>
    <w:p>
      <w:pPr>
        <w:spacing w:after="0" w:line="163"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Liquidity</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color w:val="auto"/>
        </w:rPr>
        <w:t>Liquidity refers to the Bank’s ability to maintain adequate cash flows to fund operations and meet obligations and other commitments on a timely basis.</w:t>
      </w:r>
    </w:p>
    <w:p>
      <w:pPr>
        <w:spacing w:after="0" w:line="159" w:lineRule="exact"/>
        <w:rPr>
          <w:sz w:val="20"/>
          <w:szCs w:val="20"/>
          <w:color w:val="auto"/>
        </w:rPr>
      </w:pPr>
    </w:p>
    <w:p>
      <w:pPr>
        <w:jc w:val="both"/>
        <w:ind w:left="3"/>
        <w:spacing w:after="0" w:line="254" w:lineRule="auto"/>
        <w:rPr>
          <w:sz w:val="20"/>
          <w:szCs w:val="20"/>
          <w:color w:val="auto"/>
        </w:rPr>
      </w:pPr>
      <w:r>
        <w:rPr>
          <w:rFonts w:ascii="Arial" w:cs="Arial" w:eastAsia="Arial" w:hAnsi="Arial"/>
          <w:sz w:val="13"/>
          <w:szCs w:val="13"/>
          <w:color w:val="auto"/>
        </w:rPr>
        <w:t>As established by the Bank’s liquidity policy, the Bank’s liquid assets are held in overnight deposits with the Federal Reserve Bank of New York or in the form of interbank deposits with reputable international banks that have A1, P1 or F1 ratings from two of the major internationally recognized rating agencies and are primarily located outside of the Region. In addition, the Bank’s liquidity policy allows for investing in negotiable money market instruments, including Euro certificates of deposit, commercial paper, and other liquid instruments with maturities of up to three years. These instruments must be of investment grade quality A or better, must have a liquid secondary market and be considered as such according to Basel III rules.</w:t>
      </w:r>
    </w:p>
    <w:p>
      <w:pPr>
        <w:spacing w:after="0" w:line="137" w:lineRule="exact"/>
        <w:rPr>
          <w:sz w:val="20"/>
          <w:szCs w:val="20"/>
          <w:color w:val="auto"/>
        </w:rPr>
      </w:pPr>
    </w:p>
    <w:p>
      <w:pPr>
        <w:jc w:val="both"/>
        <w:ind w:left="3" w:right="20"/>
        <w:spacing w:after="0" w:line="257" w:lineRule="auto"/>
        <w:rPr>
          <w:sz w:val="20"/>
          <w:szCs w:val="20"/>
          <w:color w:val="auto"/>
        </w:rPr>
      </w:pPr>
      <w:r>
        <w:rPr>
          <w:rFonts w:ascii="Arial" w:cs="Arial" w:eastAsia="Arial" w:hAnsi="Arial"/>
          <w:sz w:val="13"/>
          <w:szCs w:val="13"/>
          <w:color w:val="auto"/>
        </w:rPr>
        <w:t>The Bank performs daily reviews, controls and periodic stress tests on its liquidity position, including the application of a series of limits to restrict its overall liquidity risk and to monitor the liquidity level according to the macroeconomic environment. The Bank determines the level of liquid assets to be held on a daily basis, by adopting an LCR methodology referencing the Basel Committee guidelines. The Bank also monitors the stability of its funding base in alignment with the principles established by Basel’s Net Stable Funding Ratio.</w:t>
      </w:r>
    </w:p>
    <w:p>
      <w:pPr>
        <w:spacing w:after="0" w:line="284"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66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9" w:right="199" w:bottom="1440" w:gutter="0" w:footer="0" w:header="0"/>
        </w:sectPr>
      </w:pPr>
    </w:p>
    <w:bookmarkStart w:id="68" w:name="page69"/>
    <w:bookmarkEnd w:id="68"/>
    <w:p>
      <w:pPr>
        <w:jc w:val="both"/>
        <w:ind w:right="20"/>
        <w:spacing w:after="0" w:line="267" w:lineRule="auto"/>
        <w:rPr>
          <w:sz w:val="20"/>
          <w:szCs w:val="20"/>
          <w:color w:val="auto"/>
        </w:rPr>
      </w:pPr>
      <w:r>
        <w:rPr>
          <w:rFonts w:ascii="Arial" w:cs="Arial" w:eastAsia="Arial" w:hAnsi="Arial"/>
          <w:sz w:val="13"/>
          <w:szCs w:val="13"/>
          <w:color w:val="auto"/>
        </w:rPr>
        <w:t>In addition, the Bank monitors cumulative maturity “gaps” between assets and liabilities, for each maturity classification presented in the Bank’s internal liquidity reports and maintains limits for concentrations of deposits taken from any client or economic group and total maximum deposits maturing in one day.</w:t>
      </w:r>
    </w:p>
    <w:p>
      <w:pPr>
        <w:spacing w:after="0" w:line="12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The Bank follows a Contingent Liquidity Plan. The plan contemplates the regular monitoring of several quantified internal and external reference benchmarks (such as deposit level, Emerging Markets Bonds Index Plus, LIBOR-OIS spread and market interest rates), which in cases of high volatility would trigger implementation of a series of precautionary measures to reinforce the Bank’s liquidity position. In the Bank’s opinion, its liquidity position is adequate for the Bank’s present requirements.</w:t>
      </w:r>
    </w:p>
    <w:p>
      <w:pPr>
        <w:spacing w:after="0" w:line="136" w:lineRule="exact"/>
        <w:rPr>
          <w:sz w:val="20"/>
          <w:szCs w:val="20"/>
          <w:color w:val="auto"/>
        </w:rPr>
      </w:pPr>
    </w:p>
    <w:tbl>
      <w:tblPr>
        <w:tblLayout w:type="fixed"/>
        <w:tblInd w:w="0" w:type="dxa"/>
        <w:tblCellMar>
          <w:top w:w="0" w:type="dxa"/>
          <w:left w:w="0" w:type="dxa"/>
          <w:bottom w:w="0" w:type="dxa"/>
          <w:right w:w="0" w:type="dxa"/>
        </w:tblCellMar>
      </w:tblPr>
      <w:tr>
        <w:trPr>
          <w:trHeight w:val="162"/>
        </w:trPr>
        <w:tc>
          <w:tcPr>
            <w:tcW w:w="7120" w:type="dxa"/>
            <w:vAlign w:val="bottom"/>
          </w:tcPr>
          <w:p>
            <w:pPr>
              <w:spacing w:after="0"/>
              <w:rPr>
                <w:sz w:val="20"/>
                <w:szCs w:val="20"/>
                <w:color w:val="auto"/>
              </w:rPr>
            </w:pPr>
            <w:r>
              <w:rPr>
                <w:rFonts w:ascii="Arial" w:cs="Arial" w:eastAsia="Arial" w:hAnsi="Arial"/>
                <w:sz w:val="13"/>
                <w:szCs w:val="13"/>
                <w:color w:val="auto"/>
              </w:rPr>
              <w:t>The following table shows the Bank’s liquid assets by principal geographic area as of December 31 of each year:</w:t>
            </w:r>
          </w:p>
        </w:tc>
        <w:tc>
          <w:tcPr>
            <w:tcW w:w="28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50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318"/>
        </w:trPr>
        <w:tc>
          <w:tcPr>
            <w:tcW w:w="7120" w:type="dxa"/>
            <w:vAlign w:val="bottom"/>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500" w:type="dxa"/>
            <w:vAlign w:val="bottom"/>
            <w:tcBorders>
              <w:bottom w:val="single" w:sz="8" w:color="auto"/>
            </w:tcBorders>
            <w:gridSpan w:val="3"/>
          </w:tcPr>
          <w:p>
            <w:pPr>
              <w:ind w:left="100"/>
              <w:spacing w:after="0"/>
              <w:rPr>
                <w:sz w:val="20"/>
                <w:szCs w:val="20"/>
                <w:color w:val="auto"/>
              </w:rPr>
            </w:pPr>
            <w:r>
              <w:rPr>
                <w:rFonts w:ascii="Arial" w:cs="Arial" w:eastAsia="Arial" w:hAnsi="Arial"/>
                <w:sz w:val="13"/>
                <w:szCs w:val="13"/>
                <w:b w:val="1"/>
                <w:bCs w:val="1"/>
                <w:color w:val="auto"/>
              </w:rPr>
              <w:t>As of December 31,</w:t>
            </w:r>
          </w:p>
        </w:tc>
        <w:tc>
          <w:tcPr>
            <w:tcW w:w="28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154"/>
        </w:trPr>
        <w:tc>
          <w:tcPr>
            <w:tcW w:w="7120" w:type="dxa"/>
            <w:vAlign w:val="bottom"/>
          </w:tcPr>
          <w:p>
            <w:pPr>
              <w:spacing w:after="0"/>
              <w:rPr>
                <w:sz w:val="13"/>
                <w:szCs w:val="13"/>
                <w:color w:val="auto"/>
              </w:rPr>
            </w:pPr>
          </w:p>
        </w:tc>
        <w:tc>
          <w:tcPr>
            <w:tcW w:w="280" w:type="dxa"/>
            <w:vAlign w:val="bottom"/>
            <w:tcBorders>
              <w:bottom w:val="single" w:sz="8" w:color="auto"/>
            </w:tcBorders>
          </w:tcPr>
          <w:p>
            <w:pPr>
              <w:spacing w:after="0"/>
              <w:rPr>
                <w:sz w:val="13"/>
                <w:szCs w:val="13"/>
                <w:color w:val="auto"/>
              </w:rPr>
            </w:pPr>
          </w:p>
        </w:tc>
        <w:tc>
          <w:tcPr>
            <w:tcW w:w="1000" w:type="dxa"/>
            <w:vAlign w:val="bottom"/>
            <w:tcBorders>
              <w:bottom w:val="single" w:sz="8" w:color="auto"/>
            </w:tcBorders>
          </w:tcPr>
          <w:p>
            <w:pPr>
              <w:jc w:val="right"/>
              <w:ind w:right="456"/>
              <w:spacing w:after="0"/>
              <w:rPr>
                <w:sz w:val="20"/>
                <w:szCs w:val="20"/>
                <w:color w:val="auto"/>
              </w:rPr>
            </w:pPr>
            <w:r>
              <w:rPr>
                <w:rFonts w:ascii="Arial" w:cs="Arial" w:eastAsia="Arial" w:hAnsi="Arial"/>
                <w:sz w:val="13"/>
                <w:szCs w:val="13"/>
                <w:b w:val="1"/>
                <w:bCs w:val="1"/>
                <w:color w:val="auto"/>
              </w:rPr>
              <w:t>2018</w:t>
            </w:r>
          </w:p>
        </w:tc>
        <w:tc>
          <w:tcPr>
            <w:tcW w:w="220" w:type="dxa"/>
            <w:vAlign w:val="bottom"/>
            <w:tcBorders>
              <w:bottom w:val="single" w:sz="8" w:color="auto"/>
            </w:tcBorders>
          </w:tcPr>
          <w:p>
            <w:pPr>
              <w:spacing w:after="0"/>
              <w:rPr>
                <w:sz w:val="13"/>
                <w:szCs w:val="13"/>
                <w:color w:val="auto"/>
              </w:rPr>
            </w:pPr>
          </w:p>
        </w:tc>
        <w:tc>
          <w:tcPr>
            <w:tcW w:w="500" w:type="dxa"/>
            <w:vAlign w:val="bottom"/>
            <w:tcBorders>
              <w:bottom w:val="single" w:sz="8" w:color="auto"/>
            </w:tcBorders>
          </w:tcPr>
          <w:p>
            <w:pPr>
              <w:spacing w:after="0"/>
              <w:rPr>
                <w:sz w:val="13"/>
                <w:szCs w:val="13"/>
                <w:color w:val="auto"/>
              </w:rPr>
            </w:pPr>
          </w:p>
        </w:tc>
        <w:tc>
          <w:tcPr>
            <w:tcW w:w="780" w:type="dxa"/>
            <w:vAlign w:val="bottom"/>
            <w:tcBorders>
              <w:bottom w:val="single" w:sz="8" w:color="auto"/>
            </w:tcBorders>
          </w:tcPr>
          <w:p>
            <w:pPr>
              <w:jc w:val="right"/>
              <w:ind w:right="456"/>
              <w:spacing w:after="0"/>
              <w:rPr>
                <w:sz w:val="20"/>
                <w:szCs w:val="20"/>
                <w:color w:val="auto"/>
              </w:rPr>
            </w:pPr>
            <w:r>
              <w:rPr>
                <w:rFonts w:ascii="Arial" w:cs="Arial" w:eastAsia="Arial" w:hAnsi="Arial"/>
                <w:sz w:val="13"/>
                <w:szCs w:val="13"/>
                <w:b w:val="1"/>
                <w:bCs w:val="1"/>
                <w:color w:val="auto"/>
                <w:w w:val="82"/>
              </w:rPr>
              <w:t>2017</w:t>
            </w:r>
          </w:p>
        </w:tc>
        <w:tc>
          <w:tcPr>
            <w:tcW w:w="220" w:type="dxa"/>
            <w:vAlign w:val="bottom"/>
            <w:tcBorders>
              <w:bottom w:val="single" w:sz="8" w:color="auto"/>
            </w:tcBorders>
          </w:tcPr>
          <w:p>
            <w:pPr>
              <w:spacing w:after="0"/>
              <w:rPr>
                <w:sz w:val="13"/>
                <w:szCs w:val="13"/>
                <w:color w:val="auto"/>
              </w:rPr>
            </w:pPr>
          </w:p>
        </w:tc>
        <w:tc>
          <w:tcPr>
            <w:tcW w:w="280" w:type="dxa"/>
            <w:vAlign w:val="bottom"/>
            <w:tcBorders>
              <w:bottom w:val="single" w:sz="8" w:color="auto"/>
            </w:tcBorders>
          </w:tcPr>
          <w:p>
            <w:pPr>
              <w:spacing w:after="0"/>
              <w:rPr>
                <w:sz w:val="13"/>
                <w:szCs w:val="13"/>
                <w:color w:val="auto"/>
              </w:rPr>
            </w:pPr>
          </w:p>
        </w:tc>
        <w:tc>
          <w:tcPr>
            <w:tcW w:w="960" w:type="dxa"/>
            <w:vAlign w:val="bottom"/>
            <w:tcBorders>
              <w:bottom w:val="single" w:sz="8" w:color="auto"/>
            </w:tcBorders>
          </w:tcPr>
          <w:p>
            <w:pPr>
              <w:jc w:val="right"/>
              <w:ind w:right="436"/>
              <w:spacing w:after="0"/>
              <w:rPr>
                <w:sz w:val="20"/>
                <w:szCs w:val="20"/>
                <w:color w:val="auto"/>
              </w:rPr>
            </w:pPr>
            <w:r>
              <w:rPr>
                <w:rFonts w:ascii="Arial" w:cs="Arial" w:eastAsia="Arial" w:hAnsi="Arial"/>
                <w:sz w:val="13"/>
                <w:szCs w:val="13"/>
                <w:b w:val="1"/>
                <w:bCs w:val="1"/>
                <w:color w:val="auto"/>
              </w:rPr>
              <w:t>2016</w:t>
            </w: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44"/>
        </w:trPr>
        <w:tc>
          <w:tcPr>
            <w:tcW w:w="71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500" w:type="dxa"/>
            <w:vAlign w:val="bottom"/>
          </w:tcPr>
          <w:p>
            <w:pPr>
              <w:jc w:val="right"/>
              <w:spacing w:after="0" w:line="144" w:lineRule="exact"/>
              <w:rPr>
                <w:sz w:val="20"/>
                <w:szCs w:val="20"/>
                <w:color w:val="auto"/>
              </w:rPr>
            </w:pPr>
            <w:r>
              <w:rPr>
                <w:rFonts w:ascii="Arial" w:cs="Arial" w:eastAsia="Arial" w:hAnsi="Arial"/>
                <w:sz w:val="13"/>
                <w:szCs w:val="13"/>
                <w:b w:val="1"/>
                <w:bCs w:val="1"/>
                <w:color w:val="auto"/>
              </w:rPr>
              <w:t>(in $</w:t>
            </w:r>
          </w:p>
        </w:tc>
        <w:tc>
          <w:tcPr>
            <w:tcW w:w="1000" w:type="dxa"/>
            <w:vAlign w:val="bottom"/>
            <w:gridSpan w:val="2"/>
          </w:tcPr>
          <w:p>
            <w:pPr>
              <w:ind w:left="20"/>
              <w:spacing w:after="0" w:line="144" w:lineRule="exact"/>
              <w:rPr>
                <w:sz w:val="20"/>
                <w:szCs w:val="20"/>
                <w:color w:val="auto"/>
              </w:rPr>
            </w:pPr>
            <w:r>
              <w:rPr>
                <w:rFonts w:ascii="Arial" w:cs="Arial" w:eastAsia="Arial" w:hAnsi="Arial"/>
                <w:sz w:val="13"/>
                <w:szCs w:val="13"/>
                <w:b w:val="1"/>
                <w:bCs w:val="1"/>
                <w:color w:val="auto"/>
              </w:rPr>
              <w:t>millions)</w:t>
            </w:r>
          </w:p>
        </w:tc>
        <w:tc>
          <w:tcPr>
            <w:tcW w:w="28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United States of America</w:t>
            </w:r>
          </w:p>
        </w:tc>
        <w:tc>
          <w:tcPr>
            <w:tcW w:w="280" w:type="dxa"/>
            <w:vAlign w:val="bottom"/>
            <w:shd w:val="clear" w:color="auto" w:fill="CCEEFF"/>
          </w:tcPr>
          <w:p>
            <w:pPr>
              <w:jc w:val="right"/>
              <w:ind w:right="172"/>
              <w:spacing w:after="0"/>
              <w:rPr>
                <w:sz w:val="20"/>
                <w:szCs w:val="20"/>
                <w:color w:val="auto"/>
              </w:rPr>
            </w:pPr>
            <w:r>
              <w:rPr>
                <w:rFonts w:ascii="Arial" w:cs="Arial" w:eastAsia="Arial" w:hAnsi="Arial"/>
                <w:sz w:val="10"/>
                <w:szCs w:val="10"/>
                <w:color w:val="auto"/>
                <w:w w:val="71"/>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1,650</w:t>
            </w:r>
          </w:p>
        </w:tc>
        <w:tc>
          <w:tcPr>
            <w:tcW w:w="500" w:type="dxa"/>
            <w:vAlign w:val="bottom"/>
            <w:shd w:val="clear" w:color="auto" w:fill="CCEEFF"/>
          </w:tcPr>
          <w:p>
            <w:pPr>
              <w:jc w:val="right"/>
              <w:ind w:right="384"/>
              <w:spacing w:after="0"/>
              <w:rPr>
                <w:sz w:val="20"/>
                <w:szCs w:val="20"/>
                <w:color w:val="auto"/>
              </w:rPr>
            </w:pPr>
            <w:r>
              <w:rPr>
                <w:rFonts w:ascii="Arial" w:cs="Arial" w:eastAsia="Arial" w:hAnsi="Arial"/>
                <w:sz w:val="10"/>
                <w:szCs w:val="10"/>
                <w:color w:val="auto"/>
                <w:w w:val="71"/>
              </w:rPr>
              <w:t>$</w:t>
            </w: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612</w:t>
            </w:r>
          </w:p>
        </w:tc>
        <w:tc>
          <w:tcPr>
            <w:tcW w:w="280" w:type="dxa"/>
            <w:vAlign w:val="bottom"/>
            <w:shd w:val="clear" w:color="auto" w:fill="CCEEFF"/>
          </w:tcPr>
          <w:p>
            <w:pPr>
              <w:jc w:val="right"/>
              <w:ind w:right="172"/>
              <w:spacing w:after="0"/>
              <w:rPr>
                <w:sz w:val="20"/>
                <w:szCs w:val="20"/>
                <w:color w:val="auto"/>
              </w:rPr>
            </w:pPr>
            <w:r>
              <w:rPr>
                <w:rFonts w:ascii="Arial" w:cs="Arial" w:eastAsia="Arial" w:hAnsi="Arial"/>
                <w:sz w:val="10"/>
                <w:szCs w:val="10"/>
                <w:color w:val="auto"/>
                <w:w w:val="71"/>
              </w:rPr>
              <w:t>$</w:t>
            </w: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591</w:t>
            </w:r>
          </w:p>
        </w:tc>
        <w:tc>
          <w:tcPr>
            <w:tcW w:w="100" w:type="dxa"/>
            <w:vAlign w:val="bottom"/>
            <w:shd w:val="clear" w:color="auto" w:fill="CCEEFF"/>
          </w:tcPr>
          <w:p>
            <w:pPr>
              <w:spacing w:after="0"/>
              <w:rPr>
                <w:sz w:val="13"/>
                <w:szCs w:val="13"/>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Other O.E.C.D. countries</w:t>
            </w:r>
          </w:p>
        </w:tc>
        <w:tc>
          <w:tcPr>
            <w:tcW w:w="280" w:type="dxa"/>
            <w:vAlign w:val="bottom"/>
          </w:tcPr>
          <w:p>
            <w:pPr>
              <w:spacing w:after="0"/>
              <w:rPr>
                <w:sz w:val="13"/>
                <w:szCs w:val="13"/>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50</w:t>
            </w:r>
          </w:p>
        </w:tc>
        <w:tc>
          <w:tcPr>
            <w:tcW w:w="500" w:type="dxa"/>
            <w:vAlign w:val="bottom"/>
          </w:tcPr>
          <w:p>
            <w:pPr>
              <w:spacing w:after="0"/>
              <w:rPr>
                <w:sz w:val="13"/>
                <w:szCs w:val="13"/>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280" w:type="dxa"/>
            <w:vAlign w:val="bottom"/>
          </w:tcPr>
          <w:p>
            <w:pPr>
              <w:spacing w:after="0"/>
              <w:rPr>
                <w:sz w:val="13"/>
                <w:szCs w:val="13"/>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3"/>
                <w:szCs w:val="13"/>
                <w:color w:val="auto"/>
              </w:rPr>
              <w:t>409</w:t>
            </w:r>
          </w:p>
        </w:tc>
        <w:tc>
          <w:tcPr>
            <w:tcW w:w="100" w:type="dxa"/>
            <w:vAlign w:val="bottom"/>
          </w:tcPr>
          <w:p>
            <w:pPr>
              <w:spacing w:after="0"/>
              <w:rPr>
                <w:sz w:val="13"/>
                <w:szCs w:val="13"/>
                <w:color w:val="auto"/>
              </w:rPr>
            </w:pPr>
          </w:p>
        </w:tc>
      </w:tr>
      <w:tr>
        <w:trPr>
          <w:trHeight w:val="16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Latin America</w:t>
            </w:r>
          </w:p>
        </w:tc>
        <w:tc>
          <w:tcPr>
            <w:tcW w:w="280" w:type="dxa"/>
            <w:vAlign w:val="bottom"/>
            <w:shd w:val="clear" w:color="auto" w:fill="CCEEFF"/>
          </w:tcPr>
          <w:p>
            <w:pPr>
              <w:spacing w:after="0"/>
              <w:rPr>
                <w:sz w:val="14"/>
                <w:szCs w:val="14"/>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w:t>
            </w:r>
          </w:p>
        </w:tc>
        <w:tc>
          <w:tcPr>
            <w:tcW w:w="500" w:type="dxa"/>
            <w:vAlign w:val="bottom"/>
            <w:shd w:val="clear" w:color="auto" w:fill="CCEEFF"/>
          </w:tcPr>
          <w:p>
            <w:pPr>
              <w:spacing w:after="0"/>
              <w:rPr>
                <w:sz w:val="14"/>
                <w:szCs w:val="14"/>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7</w:t>
            </w:r>
          </w:p>
        </w:tc>
        <w:tc>
          <w:tcPr>
            <w:tcW w:w="28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8</w:t>
            </w:r>
          </w:p>
        </w:tc>
        <w:tc>
          <w:tcPr>
            <w:tcW w:w="100" w:type="dxa"/>
            <w:vAlign w:val="bottom"/>
            <w:shd w:val="clear" w:color="auto" w:fill="CCEEFF"/>
          </w:tcPr>
          <w:p>
            <w:pPr>
              <w:spacing w:after="0"/>
              <w:rPr>
                <w:sz w:val="14"/>
                <w:szCs w:val="14"/>
                <w:color w:val="auto"/>
              </w:rPr>
            </w:pPr>
          </w:p>
        </w:tc>
      </w:tr>
      <w:tr>
        <w:trPr>
          <w:trHeight w:val="162"/>
        </w:trPr>
        <w:tc>
          <w:tcPr>
            <w:tcW w:w="7120" w:type="dxa"/>
            <w:vAlign w:val="bottom"/>
          </w:tcPr>
          <w:p>
            <w:pPr>
              <w:spacing w:after="0" w:line="146" w:lineRule="exact"/>
              <w:rPr>
                <w:sz w:val="20"/>
                <w:szCs w:val="20"/>
                <w:color w:val="auto"/>
              </w:rPr>
            </w:pPr>
            <w:r>
              <w:rPr>
                <w:rFonts w:ascii="Arial" w:cs="Arial" w:eastAsia="Arial" w:hAnsi="Arial"/>
                <w:sz w:val="13"/>
                <w:szCs w:val="13"/>
                <w:b w:val="1"/>
                <w:bCs w:val="1"/>
                <w:color w:val="auto"/>
              </w:rPr>
              <w:t>Total</w:t>
            </w:r>
          </w:p>
        </w:tc>
        <w:tc>
          <w:tcPr>
            <w:tcW w:w="280" w:type="dxa"/>
            <w:vAlign w:val="bottom"/>
            <w:tcBorders>
              <w:top w:val="single" w:sz="8" w:color="auto"/>
              <w:bottom w:val="single" w:sz="8" w:color="auto"/>
            </w:tcBorders>
          </w:tcPr>
          <w:p>
            <w:pPr>
              <w:jc w:val="right"/>
              <w:ind w:right="172"/>
              <w:spacing w:after="0"/>
              <w:rPr>
                <w:sz w:val="20"/>
                <w:szCs w:val="20"/>
                <w:color w:val="auto"/>
              </w:rPr>
            </w:pPr>
            <w:r>
              <w:rPr>
                <w:rFonts w:ascii="Arial" w:cs="Arial" w:eastAsia="Arial" w:hAnsi="Arial"/>
                <w:sz w:val="10"/>
                <w:szCs w:val="10"/>
                <w:b w:val="1"/>
                <w:bCs w:val="1"/>
                <w:color w:val="auto"/>
                <w:w w:val="71"/>
              </w:rPr>
              <w:t>$</w:t>
            </w: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1,706</w:t>
            </w:r>
          </w:p>
        </w:tc>
        <w:tc>
          <w:tcPr>
            <w:tcW w:w="220" w:type="dxa"/>
            <w:vAlign w:val="bottom"/>
          </w:tcPr>
          <w:p>
            <w:pPr>
              <w:spacing w:after="0"/>
              <w:rPr>
                <w:sz w:val="14"/>
                <w:szCs w:val="14"/>
                <w:color w:val="auto"/>
              </w:rPr>
            </w:pPr>
          </w:p>
        </w:tc>
        <w:tc>
          <w:tcPr>
            <w:tcW w:w="500" w:type="dxa"/>
            <w:vAlign w:val="bottom"/>
            <w:tcBorders>
              <w:top w:val="single" w:sz="8" w:color="auto"/>
              <w:bottom w:val="single" w:sz="8" w:color="auto"/>
            </w:tcBorders>
          </w:tcPr>
          <w:p>
            <w:pPr>
              <w:jc w:val="right"/>
              <w:ind w:right="384"/>
              <w:spacing w:after="0"/>
              <w:rPr>
                <w:sz w:val="20"/>
                <w:szCs w:val="20"/>
                <w:color w:val="auto"/>
              </w:rPr>
            </w:pPr>
            <w:r>
              <w:rPr>
                <w:rFonts w:ascii="Arial" w:cs="Arial" w:eastAsia="Arial" w:hAnsi="Arial"/>
                <w:sz w:val="10"/>
                <w:szCs w:val="10"/>
                <w:b w:val="1"/>
                <w:bCs w:val="1"/>
                <w:color w:val="auto"/>
                <w:w w:val="71"/>
              </w:rPr>
              <w:t>$</w:t>
            </w: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619</w:t>
            </w:r>
          </w:p>
        </w:tc>
        <w:tc>
          <w:tcPr>
            <w:tcW w:w="220" w:type="dxa"/>
            <w:vAlign w:val="bottom"/>
          </w:tcPr>
          <w:p>
            <w:pPr>
              <w:spacing w:after="0"/>
              <w:rPr>
                <w:sz w:val="14"/>
                <w:szCs w:val="14"/>
                <w:color w:val="auto"/>
              </w:rPr>
            </w:pPr>
          </w:p>
        </w:tc>
        <w:tc>
          <w:tcPr>
            <w:tcW w:w="280" w:type="dxa"/>
            <w:vAlign w:val="bottom"/>
            <w:tcBorders>
              <w:top w:val="single" w:sz="8" w:color="auto"/>
              <w:bottom w:val="single" w:sz="8" w:color="auto"/>
            </w:tcBorders>
          </w:tcPr>
          <w:p>
            <w:pPr>
              <w:jc w:val="right"/>
              <w:ind w:right="172"/>
              <w:spacing w:after="0"/>
              <w:rPr>
                <w:sz w:val="20"/>
                <w:szCs w:val="20"/>
                <w:color w:val="auto"/>
              </w:rPr>
            </w:pPr>
            <w:r>
              <w:rPr>
                <w:rFonts w:ascii="Arial" w:cs="Arial" w:eastAsia="Arial" w:hAnsi="Arial"/>
                <w:sz w:val="10"/>
                <w:szCs w:val="10"/>
                <w:b w:val="1"/>
                <w:bCs w:val="1"/>
                <w:color w:val="auto"/>
                <w:w w:val="71"/>
              </w:rPr>
              <w:t>$</w:t>
            </w: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1,008</w:t>
            </w:r>
          </w:p>
        </w:tc>
        <w:tc>
          <w:tcPr>
            <w:tcW w:w="2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bl>
    <w:p>
      <w:pPr>
        <w:spacing w:after="0" w:line="145" w:lineRule="exact"/>
        <w:rPr>
          <w:sz w:val="20"/>
          <w:szCs w:val="20"/>
          <w:color w:val="auto"/>
        </w:rPr>
      </w:pPr>
    </w:p>
    <w:p>
      <w:pPr>
        <w:jc w:val="both"/>
        <w:ind w:right="20"/>
        <w:spacing w:after="0" w:line="281" w:lineRule="auto"/>
        <w:rPr>
          <w:sz w:val="20"/>
          <w:szCs w:val="20"/>
          <w:color w:val="auto"/>
        </w:rPr>
      </w:pPr>
      <w:r>
        <w:rPr>
          <w:rFonts w:ascii="Arial" w:cs="Arial" w:eastAsia="Arial" w:hAnsi="Arial"/>
          <w:sz w:val="12"/>
          <w:szCs w:val="12"/>
          <w:color w:val="auto"/>
        </w:rPr>
        <w:t>The Bank’s liquid assets, mostly in the form of cash and cash equivalents, totaled $1,706 million as of December 31, 2018, compared to $619 million as of December 31, 2017. Year-end liquidity balances were above historical levels as the Bank scheduled its funding sources in anticipation of a potential temporary decline in its deposit base which ended-up reverting toward year-end 2018. Consequently, the liquid assets to total assets ratio amounted to 22% as of December 31, 2018, compared to 10% as of December 31, 2017, while at these same dates, the liquid assets to total deposits ratios were 57% and 21%, respectively. As of December 31, 2018, $1,648 million, or 97%, of the Bank’s liquid assets were held in deposits with the Federal Reserve Bank of New York, compared to $609 million, or 98%, as of December 31, 2017.</w:t>
      </w:r>
    </w:p>
    <w:p>
      <w:pPr>
        <w:spacing w:after="0" w:line="124"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Bank’s liquid assets satisfied the liquidity requirement resulting from the maturities of the Bank’s 24-hour deposits from customers (demand deposit accounts and call deposits), which as of December 31, 2018 and 2017 amounted to $725 million and $478 million, respectively; representing 24% and 16% of the Bank’s total deposits, respectively.</w:t>
      </w:r>
    </w:p>
    <w:p>
      <w:pPr>
        <w:spacing w:after="0" w:line="129" w:lineRule="exact"/>
        <w:rPr>
          <w:sz w:val="20"/>
          <w:szCs w:val="20"/>
          <w:color w:val="auto"/>
        </w:rPr>
      </w:pPr>
    </w:p>
    <w:p>
      <w:pPr>
        <w:jc w:val="both"/>
        <w:ind w:right="20"/>
        <w:spacing w:after="0" w:line="326" w:lineRule="auto"/>
        <w:rPr>
          <w:sz w:val="20"/>
          <w:szCs w:val="20"/>
          <w:color w:val="auto"/>
        </w:rPr>
      </w:pPr>
      <w:r>
        <w:rPr>
          <w:rFonts w:ascii="Arial" w:cs="Arial" w:eastAsia="Arial" w:hAnsi="Arial"/>
          <w:sz w:val="11"/>
          <w:szCs w:val="11"/>
          <w:color w:val="auto"/>
        </w:rPr>
        <w:t>While the Bank’s liabilities generally mature over somewhat shorter periods than its assets, the associated liquidity risk is diminished by the short-term nature of the loan portfolio, as the Bank is engaged primarily in the financing of foreign trade. As of December 31, 2018 and 2017, the Bank’s short-term loan and investment securities portfolio (maturing within one year based on original contractual term) totaled $3,688 million and $3,746 million, respectively. As of December 31, 2018 and 2017, it had an average original term to maturity of 226 and 203 days, respectively, and an average remaining term to maturity of 118 days and 112 days, respectively.</w:t>
      </w:r>
    </w:p>
    <w:p>
      <w:pPr>
        <w:spacing w:after="0" w:line="101" w:lineRule="exact"/>
        <w:rPr>
          <w:sz w:val="20"/>
          <w:szCs w:val="20"/>
          <w:color w:val="auto"/>
        </w:rPr>
      </w:pPr>
    </w:p>
    <w:p>
      <w:pPr>
        <w:jc w:val="both"/>
        <w:ind w:right="20"/>
        <w:spacing w:after="0" w:line="281" w:lineRule="auto"/>
        <w:rPr>
          <w:sz w:val="20"/>
          <w:szCs w:val="20"/>
          <w:color w:val="auto"/>
        </w:rPr>
      </w:pPr>
      <w:r>
        <w:rPr>
          <w:rFonts w:ascii="Arial" w:cs="Arial" w:eastAsia="Arial" w:hAnsi="Arial"/>
          <w:sz w:val="12"/>
          <w:szCs w:val="12"/>
          <w:color w:val="auto"/>
        </w:rPr>
        <w:t>Medium-term assets (loans and investment securities maturing beyond one year based on original contractual term) totaled $2,197 million and $1,872 million as of December 31, 2018 and 2017, respectively. Of that amount, $98 million and $86 million corresponded to the Bank’s investment securities as of December 31, 2018 and 2017. The remaining $2,099 million and $1,786 million in medium-term assets corresponded to the Bank’s Loan Portfolio as of December 31, 2018 and 2017, respectively. As of December 31, 2018 and 2017, the medium-term assets had an average original term to maturity of three years and nine months and four years, respectively; and an average remaining term to maturity of one year and ten months (688 days), and one year and nine months (655 days), respectively.</w:t>
      </w:r>
    </w:p>
    <w:p>
      <w:pPr>
        <w:spacing w:after="0" w:line="272"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67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69" w:name="page70"/>
    <w:bookmarkEnd w:id="69"/>
    <w:p>
      <w:pPr>
        <w:spacing w:after="0"/>
        <w:rPr>
          <w:sz w:val="20"/>
          <w:szCs w:val="20"/>
          <w:color w:val="auto"/>
        </w:rPr>
      </w:pPr>
      <w:r>
        <w:rPr>
          <w:rFonts w:ascii="Arial" w:cs="Arial" w:eastAsia="Arial" w:hAnsi="Arial"/>
          <w:sz w:val="13"/>
          <w:szCs w:val="13"/>
          <w:b w:val="1"/>
          <w:bCs w:val="1"/>
          <w:i w:val="1"/>
          <w:iCs w:val="1"/>
          <w:color w:val="auto"/>
        </w:rPr>
        <w:t>Credit Ratings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The cost and availability of financing for the Bank are influenced by its credit ratings, among other factors. The credit ratings of the Bank as of the date of this annual report, were as follows:</w:t>
      </w:r>
    </w:p>
    <w:p>
      <w:pPr>
        <w:spacing w:after="0" w:line="155" w:lineRule="exact"/>
        <w:rPr>
          <w:sz w:val="20"/>
          <w:szCs w:val="20"/>
          <w:color w:val="auto"/>
        </w:rPr>
      </w:pPr>
    </w:p>
    <w:tbl>
      <w:tblPr>
        <w:tblLayout w:type="fixed"/>
        <w:tblInd w:w="2300" w:type="dxa"/>
        <w:tblCellMar>
          <w:top w:w="0" w:type="dxa"/>
          <w:left w:w="0" w:type="dxa"/>
          <w:bottom w:w="0" w:type="dxa"/>
          <w:right w:w="0" w:type="dxa"/>
        </w:tblCellMar>
      </w:tblPr>
      <w:tr>
        <w:trPr>
          <w:trHeight w:val="176"/>
        </w:trPr>
        <w:tc>
          <w:tcPr>
            <w:tcW w:w="1800" w:type="dxa"/>
            <w:vAlign w:val="bottom"/>
            <w:tcBorders>
              <w:bottom w:val="single" w:sz="8" w:color="CCEEFF"/>
            </w:tcBorders>
          </w:tcPr>
          <w:p>
            <w:pPr>
              <w:spacing w:after="0"/>
              <w:rPr>
                <w:sz w:val="15"/>
                <w:szCs w:val="15"/>
                <w:color w:val="auto"/>
              </w:rPr>
            </w:pPr>
          </w:p>
        </w:tc>
        <w:tc>
          <w:tcPr>
            <w:tcW w:w="1140" w:type="dxa"/>
            <w:vAlign w:val="bottom"/>
            <w:tcBorders>
              <w:bottom w:val="single" w:sz="8" w:color="auto"/>
            </w:tcBorders>
          </w:tcPr>
          <w:p>
            <w:pPr>
              <w:ind w:left="680"/>
              <w:spacing w:after="0"/>
              <w:rPr>
                <w:sz w:val="20"/>
                <w:szCs w:val="20"/>
                <w:color w:val="auto"/>
              </w:rPr>
            </w:pPr>
            <w:r>
              <w:rPr>
                <w:rFonts w:ascii="Arial" w:cs="Arial" w:eastAsia="Arial" w:hAnsi="Arial"/>
                <w:sz w:val="13"/>
                <w:szCs w:val="13"/>
                <w:b w:val="1"/>
                <w:bCs w:val="1"/>
                <w:color w:val="auto"/>
              </w:rPr>
              <w:t>Fitch</w:t>
            </w:r>
          </w:p>
        </w:tc>
        <w:tc>
          <w:tcPr>
            <w:tcW w:w="520" w:type="dxa"/>
            <w:vAlign w:val="bottom"/>
            <w:tcBorders>
              <w:bottom w:val="single" w:sz="8" w:color="auto"/>
            </w:tcBorders>
          </w:tcPr>
          <w:p>
            <w:pPr>
              <w:spacing w:after="0"/>
              <w:rPr>
                <w:sz w:val="15"/>
                <w:szCs w:val="15"/>
                <w:color w:val="auto"/>
              </w:rPr>
            </w:pPr>
          </w:p>
        </w:tc>
        <w:tc>
          <w:tcPr>
            <w:tcW w:w="60" w:type="dxa"/>
            <w:vAlign w:val="bottom"/>
            <w:tcBorders>
              <w:bottom w:val="single" w:sz="8" w:color="CCEEFF"/>
            </w:tcBorders>
          </w:tcPr>
          <w:p>
            <w:pPr>
              <w:spacing w:after="0"/>
              <w:rPr>
                <w:sz w:val="15"/>
                <w:szCs w:val="15"/>
                <w:color w:val="auto"/>
              </w:rPr>
            </w:pPr>
          </w:p>
        </w:tc>
        <w:tc>
          <w:tcPr>
            <w:tcW w:w="1120" w:type="dxa"/>
            <w:vAlign w:val="bottom"/>
            <w:tcBorders>
              <w:bottom w:val="single" w:sz="8" w:color="auto"/>
            </w:tcBorders>
          </w:tcPr>
          <w:p>
            <w:pPr>
              <w:ind w:left="580"/>
              <w:spacing w:after="0"/>
              <w:rPr>
                <w:sz w:val="20"/>
                <w:szCs w:val="20"/>
                <w:color w:val="auto"/>
              </w:rPr>
            </w:pPr>
            <w:r>
              <w:rPr>
                <w:rFonts w:ascii="Arial" w:cs="Arial" w:eastAsia="Arial" w:hAnsi="Arial"/>
                <w:sz w:val="13"/>
                <w:szCs w:val="13"/>
                <w:b w:val="1"/>
                <w:bCs w:val="1"/>
                <w:color w:val="auto"/>
                <w:w w:val="98"/>
              </w:rPr>
              <w:t>Moody’s</w:t>
            </w:r>
          </w:p>
        </w:tc>
        <w:tc>
          <w:tcPr>
            <w:tcW w:w="520" w:type="dxa"/>
            <w:vAlign w:val="bottom"/>
            <w:tcBorders>
              <w:bottom w:val="single" w:sz="8" w:color="auto"/>
            </w:tcBorders>
          </w:tcPr>
          <w:p>
            <w:pPr>
              <w:spacing w:after="0"/>
              <w:rPr>
                <w:sz w:val="15"/>
                <w:szCs w:val="15"/>
                <w:color w:val="auto"/>
              </w:rPr>
            </w:pPr>
          </w:p>
        </w:tc>
        <w:tc>
          <w:tcPr>
            <w:tcW w:w="80" w:type="dxa"/>
            <w:vAlign w:val="bottom"/>
            <w:tcBorders>
              <w:bottom w:val="single" w:sz="8" w:color="CCEEFF"/>
            </w:tcBorders>
          </w:tcPr>
          <w:p>
            <w:pPr>
              <w:spacing w:after="0"/>
              <w:rPr>
                <w:sz w:val="15"/>
                <w:szCs w:val="15"/>
                <w:color w:val="auto"/>
              </w:rPr>
            </w:pPr>
          </w:p>
        </w:tc>
        <w:tc>
          <w:tcPr>
            <w:tcW w:w="1640" w:type="dxa"/>
            <w:vAlign w:val="bottom"/>
            <w:tcBorders>
              <w:bottom w:val="single" w:sz="8" w:color="auto"/>
            </w:tcBorders>
          </w:tcPr>
          <w:p>
            <w:pPr>
              <w:jc w:val="right"/>
              <w:ind w:right="636"/>
              <w:spacing w:after="0"/>
              <w:rPr>
                <w:sz w:val="20"/>
                <w:szCs w:val="20"/>
                <w:color w:val="auto"/>
              </w:rPr>
            </w:pPr>
            <w:r>
              <w:rPr>
                <w:rFonts w:ascii="Arial" w:cs="Arial" w:eastAsia="Arial" w:hAnsi="Arial"/>
                <w:sz w:val="13"/>
                <w:szCs w:val="13"/>
                <w:b w:val="1"/>
                <w:bCs w:val="1"/>
                <w:color w:val="auto"/>
              </w:rPr>
              <w:t>S&amp;P</w:t>
            </w:r>
          </w:p>
        </w:tc>
      </w:tr>
      <w:tr>
        <w:trPr>
          <w:trHeight w:val="144"/>
        </w:trPr>
        <w:tc>
          <w:tcPr>
            <w:tcW w:w="1800" w:type="dxa"/>
            <w:vAlign w:val="bottom"/>
            <w:shd w:val="clear" w:color="auto" w:fill="CCEEFF"/>
          </w:tcPr>
          <w:p>
            <w:pPr>
              <w:spacing w:after="0" w:line="144" w:lineRule="exact"/>
              <w:rPr>
                <w:sz w:val="20"/>
                <w:szCs w:val="20"/>
                <w:color w:val="auto"/>
              </w:rPr>
            </w:pPr>
            <w:r>
              <w:rPr>
                <w:rFonts w:ascii="Arial" w:cs="Arial" w:eastAsia="Arial" w:hAnsi="Arial"/>
                <w:sz w:val="13"/>
                <w:szCs w:val="13"/>
                <w:color w:val="auto"/>
              </w:rPr>
              <w:t>Short-Term</w:t>
            </w:r>
          </w:p>
        </w:tc>
        <w:tc>
          <w:tcPr>
            <w:tcW w:w="1140" w:type="dxa"/>
            <w:vAlign w:val="bottom"/>
            <w:shd w:val="clear" w:color="auto" w:fill="CCEEFF"/>
          </w:tcPr>
          <w:p>
            <w:pPr>
              <w:spacing w:after="0"/>
              <w:rPr>
                <w:sz w:val="12"/>
                <w:szCs w:val="12"/>
                <w:color w:val="auto"/>
              </w:rPr>
            </w:pPr>
          </w:p>
        </w:tc>
        <w:tc>
          <w:tcPr>
            <w:tcW w:w="52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color w:val="auto"/>
              </w:rPr>
              <w:t>F2</w:t>
            </w:r>
          </w:p>
        </w:tc>
        <w:tc>
          <w:tcPr>
            <w:tcW w:w="60" w:type="dxa"/>
            <w:vAlign w:val="bottom"/>
            <w:shd w:val="clear" w:color="auto" w:fill="CCEEFF"/>
          </w:tcPr>
          <w:p>
            <w:pPr>
              <w:spacing w:after="0"/>
              <w:rPr>
                <w:sz w:val="12"/>
                <w:szCs w:val="12"/>
                <w:color w:val="auto"/>
              </w:rPr>
            </w:pPr>
          </w:p>
        </w:tc>
        <w:tc>
          <w:tcPr>
            <w:tcW w:w="1120" w:type="dxa"/>
            <w:vAlign w:val="bottom"/>
            <w:shd w:val="clear" w:color="auto" w:fill="CCEEFF"/>
          </w:tcPr>
          <w:p>
            <w:pPr>
              <w:spacing w:after="0"/>
              <w:rPr>
                <w:sz w:val="12"/>
                <w:szCs w:val="12"/>
                <w:color w:val="auto"/>
              </w:rPr>
            </w:pPr>
          </w:p>
        </w:tc>
        <w:tc>
          <w:tcPr>
            <w:tcW w:w="52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color w:val="auto"/>
              </w:rPr>
              <w:t>P-2</w:t>
            </w:r>
          </w:p>
        </w:tc>
        <w:tc>
          <w:tcPr>
            <w:tcW w:w="80" w:type="dxa"/>
            <w:vAlign w:val="bottom"/>
            <w:shd w:val="clear" w:color="auto" w:fill="CCEEFF"/>
          </w:tcPr>
          <w:p>
            <w:pPr>
              <w:spacing w:after="0"/>
              <w:rPr>
                <w:sz w:val="12"/>
                <w:szCs w:val="12"/>
                <w:color w:val="auto"/>
              </w:rPr>
            </w:pPr>
          </w:p>
        </w:tc>
        <w:tc>
          <w:tcPr>
            <w:tcW w:w="164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color w:val="auto"/>
              </w:rPr>
              <w:t>A-2</w:t>
            </w:r>
          </w:p>
        </w:tc>
      </w:tr>
      <w:tr>
        <w:trPr>
          <w:trHeight w:val="154"/>
        </w:trPr>
        <w:tc>
          <w:tcPr>
            <w:tcW w:w="2940" w:type="dxa"/>
            <w:vAlign w:val="bottom"/>
            <w:gridSpan w:val="2"/>
          </w:tcPr>
          <w:p>
            <w:pPr>
              <w:spacing w:after="0"/>
              <w:rPr>
                <w:sz w:val="20"/>
                <w:szCs w:val="20"/>
                <w:color w:val="auto"/>
              </w:rPr>
            </w:pPr>
            <w:r>
              <w:rPr>
                <w:rFonts w:ascii="Arial" w:cs="Arial" w:eastAsia="Arial" w:hAnsi="Arial"/>
                <w:sz w:val="13"/>
                <w:szCs w:val="13"/>
                <w:color w:val="auto"/>
              </w:rPr>
              <w:t>Long-Term</w:t>
            </w:r>
          </w:p>
        </w:tc>
        <w:tc>
          <w:tcPr>
            <w:tcW w:w="1700" w:type="dxa"/>
            <w:vAlign w:val="bottom"/>
            <w:gridSpan w:val="3"/>
          </w:tcPr>
          <w:p>
            <w:pPr>
              <w:jc w:val="right"/>
              <w:ind w:right="1136"/>
              <w:spacing w:after="0"/>
              <w:rPr>
                <w:sz w:val="20"/>
                <w:szCs w:val="20"/>
                <w:color w:val="auto"/>
              </w:rPr>
            </w:pPr>
            <w:r>
              <w:rPr>
                <w:rFonts w:ascii="Arial" w:cs="Arial" w:eastAsia="Arial" w:hAnsi="Arial"/>
                <w:sz w:val="13"/>
                <w:szCs w:val="13"/>
                <w:color w:val="auto"/>
              </w:rPr>
              <w:t>BBB+</w:t>
            </w:r>
          </w:p>
        </w:tc>
        <w:tc>
          <w:tcPr>
            <w:tcW w:w="600" w:type="dxa"/>
            <w:vAlign w:val="bottom"/>
            <w:gridSpan w:val="2"/>
          </w:tcPr>
          <w:p>
            <w:pPr>
              <w:jc w:val="right"/>
              <w:ind w:right="80"/>
              <w:spacing w:after="0"/>
              <w:rPr>
                <w:sz w:val="20"/>
                <w:szCs w:val="20"/>
                <w:color w:val="auto"/>
              </w:rPr>
            </w:pPr>
            <w:r>
              <w:rPr>
                <w:rFonts w:ascii="Arial" w:cs="Arial" w:eastAsia="Arial" w:hAnsi="Arial"/>
                <w:sz w:val="13"/>
                <w:szCs w:val="13"/>
                <w:color w:val="auto"/>
              </w:rPr>
              <w:t>Baa2</w:t>
            </w:r>
          </w:p>
        </w:tc>
        <w:tc>
          <w:tcPr>
            <w:tcW w:w="1640" w:type="dxa"/>
            <w:vAlign w:val="bottom"/>
          </w:tcPr>
          <w:p>
            <w:pPr>
              <w:jc w:val="right"/>
              <w:spacing w:after="0"/>
              <w:rPr>
                <w:sz w:val="20"/>
                <w:szCs w:val="20"/>
                <w:color w:val="auto"/>
              </w:rPr>
            </w:pPr>
            <w:r>
              <w:rPr>
                <w:rFonts w:ascii="Arial" w:cs="Arial" w:eastAsia="Arial" w:hAnsi="Arial"/>
                <w:sz w:val="13"/>
                <w:szCs w:val="13"/>
                <w:color w:val="auto"/>
              </w:rPr>
              <w:t>BBB</w:t>
            </w:r>
          </w:p>
        </w:tc>
      </w:tr>
      <w:tr>
        <w:trPr>
          <w:trHeight w:val="154"/>
        </w:trPr>
        <w:tc>
          <w:tcPr>
            <w:tcW w:w="29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Rating Outlook</w:t>
            </w:r>
          </w:p>
        </w:tc>
        <w:tc>
          <w:tcPr>
            <w:tcW w:w="1700" w:type="dxa"/>
            <w:vAlign w:val="bottom"/>
            <w:gridSpan w:val="3"/>
            <w:shd w:val="clear" w:color="auto" w:fill="CCEEFF"/>
          </w:tcPr>
          <w:p>
            <w:pPr>
              <w:jc w:val="right"/>
              <w:ind w:right="1136"/>
              <w:spacing w:after="0"/>
              <w:rPr>
                <w:sz w:val="20"/>
                <w:szCs w:val="20"/>
                <w:color w:val="auto"/>
              </w:rPr>
            </w:pPr>
            <w:r>
              <w:rPr>
                <w:rFonts w:ascii="Arial" w:cs="Arial" w:eastAsia="Arial" w:hAnsi="Arial"/>
                <w:sz w:val="13"/>
                <w:szCs w:val="13"/>
                <w:color w:val="auto"/>
              </w:rPr>
              <w:t>Stable</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7"/>
              </w:rPr>
              <w:t>Negative</w:t>
            </w:r>
          </w:p>
        </w:tc>
        <w:tc>
          <w:tcPr>
            <w:tcW w:w="16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Negative</w:t>
            </w:r>
          </w:p>
        </w:tc>
      </w:tr>
    </w:tbl>
    <w:p>
      <w:pPr>
        <w:spacing w:after="0" w:line="145"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Credit Rating from Fitch Ratings Ltd. (“Fitch”)</w:t>
      </w:r>
    </w:p>
    <w:p>
      <w:pPr>
        <w:spacing w:after="0" w:line="13" w:lineRule="exact"/>
        <w:rPr>
          <w:sz w:val="20"/>
          <w:szCs w:val="20"/>
          <w:color w:val="auto"/>
        </w:rPr>
      </w:pPr>
    </w:p>
    <w:p>
      <w:pPr>
        <w:spacing w:after="0"/>
        <w:rPr>
          <w:sz w:val="20"/>
          <w:szCs w:val="20"/>
          <w:color w:val="auto"/>
        </w:rPr>
      </w:pPr>
      <w:r>
        <w:rPr>
          <w:rFonts w:ascii="Arial" w:cs="Arial" w:eastAsia="Arial" w:hAnsi="Arial"/>
          <w:sz w:val="13"/>
          <w:szCs w:val="13"/>
          <w:color w:val="auto"/>
        </w:rPr>
        <w:t>The Bank’s Issuer Default Rating (“IDR”) of “BBB+” from Fitch has been unchanged since July 31, 2012, with the most recent confirmation on July 12, 2018, with a stable outlook.</w:t>
      </w:r>
    </w:p>
    <w:p>
      <w:pPr>
        <w:spacing w:after="0" w:line="150"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Credit Rating from Moody’s Investors Service, Inc. (“Moody’s”)</w:t>
      </w:r>
    </w:p>
    <w:p>
      <w:pPr>
        <w:spacing w:after="0" w:line="13"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The Bank’s credit ratings from Moody’s have been unchanged at “Baa2/P-2” since December 19, 2007, with the most recent affirmation of the Bank’s credit ratings on October 29, 2018. The outlook remained negative from Moody’s.</w:t>
      </w:r>
    </w:p>
    <w:p>
      <w:pPr>
        <w:spacing w:after="0" w:line="137"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Credit Rating from Standard &amp; Poor’s Global Ratings (“S&amp;P”)</w:t>
      </w:r>
    </w:p>
    <w:p>
      <w:pPr>
        <w:spacing w:after="0" w:line="13" w:lineRule="exact"/>
        <w:rPr>
          <w:sz w:val="20"/>
          <w:szCs w:val="20"/>
          <w:color w:val="auto"/>
        </w:rPr>
      </w:pPr>
    </w:p>
    <w:p>
      <w:pPr>
        <w:spacing w:after="0"/>
        <w:rPr>
          <w:sz w:val="20"/>
          <w:szCs w:val="20"/>
          <w:color w:val="auto"/>
        </w:rPr>
      </w:pPr>
      <w:r>
        <w:rPr>
          <w:rFonts w:ascii="Arial" w:cs="Arial" w:eastAsia="Arial" w:hAnsi="Arial"/>
          <w:sz w:val="13"/>
          <w:szCs w:val="13"/>
          <w:color w:val="auto"/>
        </w:rPr>
        <w:t>The credit ratings from S&amp;P have been unchanged at “BBB/A-2” since May 13, 2008, with the Bank’s credit ratings last confirmed on April 4, 2019. The outlook was revised to negative from stable.</w:t>
      </w:r>
    </w:p>
    <w:p>
      <w:pPr>
        <w:spacing w:after="0" w:line="150"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Critical factors supporting the Bank’s investment-grade credit ratings mainly include its prudent risk management, its historically solid asset quality and financial performance, stable funding structure and solid tier one capitalization. Although the Bank closely monitors and manages factors influencing its credit ratings, there is no assurance that such ratings will not be lowered in the future.</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Funding Sources</w:t>
      </w:r>
    </w:p>
    <w:p>
      <w:pPr>
        <w:spacing w:after="0" w:line="159"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The Bank’s principal sources of funds are deposits and, to a lesser extent, borrowed funds and floating and fixed rate placements of securities. While these sources are expected to continue providing the majority of the funds required by the Bank in the future, the exact composition of the Bank’s funding sources, as well as the possible use of other sources of funds, will depend on economic and market conditions. The following table shows the Bank’s funding distribution as of the dates indicated:</w:t>
      </w:r>
    </w:p>
    <w:p>
      <w:pPr>
        <w:sectPr>
          <w:pgSz w:w="11900" w:h="16838" w:orient="portrait"/>
          <w:cols w:equalWidth="0" w:num="1">
            <w:col w:w="11460"/>
          </w:cols>
          <w:pgMar w:left="220" w:top="689" w:right="21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spacing w:after="0"/>
        <w:rPr>
          <w:sz w:val="20"/>
          <w:szCs w:val="20"/>
          <w:color w:val="auto"/>
        </w:rPr>
      </w:pPr>
      <w:r>
        <w:rPr>
          <w:rFonts w:ascii="Arial" w:cs="Arial" w:eastAsia="Arial" w:hAnsi="Arial"/>
          <w:sz w:val="13"/>
          <w:szCs w:val="13"/>
          <w:color w:val="auto"/>
        </w:rPr>
        <w:t>Deposits</w:t>
      </w:r>
    </w:p>
    <w:p>
      <w:pPr>
        <w:spacing w:after="0" w:line="13" w:lineRule="exact"/>
        <w:rPr>
          <w:sz w:val="20"/>
          <w:szCs w:val="20"/>
          <w:color w:val="auto"/>
        </w:rPr>
      </w:pPr>
    </w:p>
    <w:p>
      <w:pPr>
        <w:spacing w:after="0"/>
        <w:rPr>
          <w:sz w:val="20"/>
          <w:szCs w:val="20"/>
          <w:color w:val="auto"/>
        </w:rPr>
      </w:pPr>
      <w:r>
        <w:rPr>
          <w:rFonts w:ascii="Arial" w:cs="Arial" w:eastAsia="Arial" w:hAnsi="Arial"/>
          <w:sz w:val="11"/>
          <w:szCs w:val="11"/>
          <w:color w:val="auto"/>
        </w:rPr>
        <w:t>Securities sold under repurchase agreements</w:t>
      </w:r>
    </w:p>
    <w:p>
      <w:pPr>
        <w:spacing w:after="0" w:line="28" w:lineRule="exact"/>
        <w:rPr>
          <w:sz w:val="20"/>
          <w:szCs w:val="20"/>
          <w:color w:val="auto"/>
        </w:rPr>
      </w:pPr>
    </w:p>
    <w:p>
      <w:pPr>
        <w:spacing w:after="0"/>
        <w:rPr>
          <w:sz w:val="20"/>
          <w:szCs w:val="20"/>
          <w:color w:val="auto"/>
        </w:rPr>
      </w:pPr>
      <w:r>
        <w:rPr>
          <w:rFonts w:ascii="Arial" w:cs="Arial" w:eastAsia="Arial" w:hAnsi="Arial"/>
          <w:sz w:val="13"/>
          <w:szCs w:val="13"/>
          <w:color w:val="auto"/>
        </w:rPr>
        <w:t>Short-term borrowings and debt</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color w:val="auto"/>
        </w:rPr>
        <w:t>Long-term borrowings and debt, net</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Total interest-bearing liabilities</w:t>
      </w:r>
    </w:p>
    <w:p>
      <w:pPr>
        <w:spacing w:after="0" w:line="20" w:lineRule="exact"/>
        <w:rPr>
          <w:sz w:val="20"/>
          <w:szCs w:val="20"/>
          <w:color w:val="auto"/>
        </w:rPr>
      </w:pPr>
      <w:r>
        <w:rPr>
          <w:sz w:val="20"/>
          <w:szCs w:val="20"/>
          <w:color w:val="auto"/>
        </w:rPr>
        <w:br w:type="column"/>
      </w:r>
    </w:p>
    <w:p>
      <w:pPr>
        <w:spacing w:after="0" w:line="121" w:lineRule="exact"/>
        <w:rPr>
          <w:sz w:val="20"/>
          <w:szCs w:val="20"/>
          <w:color w:val="auto"/>
        </w:rPr>
      </w:pPr>
    </w:p>
    <w:p>
      <w:pPr>
        <w:ind w:left="1580"/>
        <w:spacing w:after="0"/>
        <w:rPr>
          <w:sz w:val="20"/>
          <w:szCs w:val="20"/>
          <w:color w:val="auto"/>
        </w:rPr>
      </w:pPr>
      <w:r>
        <w:rPr>
          <w:rFonts w:ascii="Arial" w:cs="Arial" w:eastAsia="Arial" w:hAnsi="Arial"/>
          <w:sz w:val="13"/>
          <w:szCs w:val="13"/>
          <w:b w:val="1"/>
          <w:bCs w:val="1"/>
          <w:color w:val="auto"/>
        </w:rPr>
        <w:t>As of December 31,</w:t>
      </w:r>
    </w:p>
    <w:p>
      <w:pPr>
        <w:spacing w:after="0" w:line="17" w:lineRule="exact"/>
        <w:rPr>
          <w:sz w:val="20"/>
          <w:szCs w:val="20"/>
          <w:color w:val="auto"/>
        </w:rPr>
      </w:pPr>
    </w:p>
    <w:tbl>
      <w:tblPr>
        <w:tblLayout w:type="fixed"/>
        <w:tblInd w:w="0" w:type="dxa"/>
        <w:tblCellMar>
          <w:top w:w="0" w:type="dxa"/>
          <w:left w:w="0" w:type="dxa"/>
          <w:bottom w:w="0" w:type="dxa"/>
          <w:right w:w="0" w:type="dxa"/>
        </w:tblCellMar>
      </w:tblPr>
      <w:tr>
        <w:trPr>
          <w:trHeight w:val="154"/>
        </w:trPr>
        <w:tc>
          <w:tcPr>
            <w:tcW w:w="1260" w:type="dxa"/>
            <w:vAlign w:val="bottom"/>
            <w:tcBorders>
              <w:top w:val="single" w:sz="8" w:color="auto"/>
              <w:bottom w:val="single" w:sz="8" w:color="auto"/>
            </w:tcBorders>
          </w:tcPr>
          <w:p>
            <w:pPr>
              <w:jc w:val="right"/>
              <w:ind w:right="436"/>
              <w:spacing w:after="0"/>
              <w:rPr>
                <w:sz w:val="20"/>
                <w:szCs w:val="20"/>
                <w:color w:val="auto"/>
              </w:rPr>
            </w:pPr>
            <w:r>
              <w:rPr>
                <w:rFonts w:ascii="Arial" w:cs="Arial" w:eastAsia="Arial" w:hAnsi="Arial"/>
                <w:sz w:val="13"/>
                <w:szCs w:val="13"/>
                <w:b w:val="1"/>
                <w:bCs w:val="1"/>
                <w:color w:val="auto"/>
              </w:rPr>
              <w:t>2018</w:t>
            </w:r>
          </w:p>
        </w:tc>
        <w:tc>
          <w:tcPr>
            <w:tcW w:w="240" w:type="dxa"/>
            <w:vAlign w:val="bottom"/>
            <w:tcBorders>
              <w:top w:val="single" w:sz="8" w:color="auto"/>
              <w:bottom w:val="single" w:sz="8" w:color="auto"/>
            </w:tcBorders>
          </w:tcPr>
          <w:p>
            <w:pPr>
              <w:spacing w:after="0"/>
              <w:rPr>
                <w:sz w:val="13"/>
                <w:szCs w:val="13"/>
                <w:color w:val="auto"/>
              </w:rPr>
            </w:pPr>
          </w:p>
        </w:tc>
        <w:tc>
          <w:tcPr>
            <w:tcW w:w="1240" w:type="dxa"/>
            <w:vAlign w:val="bottom"/>
            <w:tcBorders>
              <w:top w:val="single" w:sz="8" w:color="auto"/>
              <w:bottom w:val="single" w:sz="8" w:color="auto"/>
            </w:tcBorders>
          </w:tcPr>
          <w:p>
            <w:pPr>
              <w:jc w:val="right"/>
              <w:ind w:right="436"/>
              <w:spacing w:after="0"/>
              <w:rPr>
                <w:sz w:val="20"/>
                <w:szCs w:val="20"/>
                <w:color w:val="auto"/>
              </w:rPr>
            </w:pPr>
            <w:r>
              <w:rPr>
                <w:rFonts w:ascii="Arial" w:cs="Arial" w:eastAsia="Arial" w:hAnsi="Arial"/>
                <w:sz w:val="13"/>
                <w:szCs w:val="13"/>
                <w:b w:val="1"/>
                <w:bCs w:val="1"/>
                <w:color w:val="auto"/>
              </w:rPr>
              <w:t>2017</w:t>
            </w:r>
          </w:p>
        </w:tc>
        <w:tc>
          <w:tcPr>
            <w:tcW w:w="240" w:type="dxa"/>
            <w:vAlign w:val="bottom"/>
            <w:tcBorders>
              <w:top w:val="single" w:sz="8" w:color="auto"/>
              <w:bottom w:val="single" w:sz="8" w:color="auto"/>
            </w:tcBorders>
          </w:tcPr>
          <w:p>
            <w:pPr>
              <w:spacing w:after="0"/>
              <w:rPr>
                <w:sz w:val="13"/>
                <w:szCs w:val="13"/>
                <w:color w:val="auto"/>
              </w:rPr>
            </w:pPr>
          </w:p>
        </w:tc>
        <w:tc>
          <w:tcPr>
            <w:tcW w:w="1280" w:type="dxa"/>
            <w:vAlign w:val="bottom"/>
            <w:tcBorders>
              <w:top w:val="single" w:sz="8" w:color="auto"/>
              <w:bottom w:val="single" w:sz="8" w:color="auto"/>
            </w:tcBorders>
          </w:tcPr>
          <w:p>
            <w:pPr>
              <w:jc w:val="right"/>
              <w:ind w:right="456"/>
              <w:spacing w:after="0"/>
              <w:rPr>
                <w:sz w:val="20"/>
                <w:szCs w:val="20"/>
                <w:color w:val="auto"/>
              </w:rPr>
            </w:pPr>
            <w:r>
              <w:rPr>
                <w:rFonts w:ascii="Arial" w:cs="Arial" w:eastAsia="Arial" w:hAnsi="Arial"/>
                <w:sz w:val="13"/>
                <w:szCs w:val="13"/>
                <w:b w:val="1"/>
                <w:bCs w:val="1"/>
                <w:color w:val="auto"/>
              </w:rPr>
              <w:t>2016</w:t>
            </w:r>
          </w:p>
        </w:tc>
        <w:tc>
          <w:tcPr>
            <w:tcW w:w="100" w:type="dxa"/>
            <w:vAlign w:val="bottom"/>
          </w:tcPr>
          <w:p>
            <w:pPr>
              <w:spacing w:after="0"/>
              <w:rPr>
                <w:sz w:val="13"/>
                <w:szCs w:val="13"/>
                <w:color w:val="auto"/>
              </w:rPr>
            </w:pPr>
          </w:p>
        </w:tc>
      </w:tr>
      <w:tr>
        <w:trPr>
          <w:trHeight w:val="135"/>
        </w:trPr>
        <w:tc>
          <w:tcPr>
            <w:tcW w:w="12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480" w:type="dxa"/>
            <w:vAlign w:val="bottom"/>
            <w:gridSpan w:val="2"/>
          </w:tcPr>
          <w:p>
            <w:pPr>
              <w:jc w:val="right"/>
              <w:ind w:right="356"/>
              <w:spacing w:after="0" w:line="135" w:lineRule="exact"/>
              <w:rPr>
                <w:sz w:val="20"/>
                <w:szCs w:val="20"/>
                <w:color w:val="auto"/>
              </w:rPr>
            </w:pPr>
            <w:r>
              <w:rPr>
                <w:rFonts w:ascii="Arial" w:cs="Arial" w:eastAsia="Arial" w:hAnsi="Arial"/>
                <w:sz w:val="13"/>
                <w:szCs w:val="13"/>
                <w:b w:val="1"/>
                <w:bCs w:val="1"/>
                <w:color w:val="auto"/>
              </w:rPr>
              <w:t>(in percentages)</w:t>
            </w:r>
          </w:p>
        </w:tc>
        <w:tc>
          <w:tcPr>
            <w:tcW w:w="128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54"/>
        </w:trPr>
        <w:tc>
          <w:tcPr>
            <w:tcW w:w="1500" w:type="dxa"/>
            <w:vAlign w:val="bottom"/>
            <w:gridSpan w:val="2"/>
          </w:tcPr>
          <w:p>
            <w:pPr>
              <w:jc w:val="right"/>
              <w:ind w:right="76"/>
              <w:spacing w:after="0"/>
              <w:rPr>
                <w:sz w:val="20"/>
                <w:szCs w:val="20"/>
                <w:color w:val="auto"/>
              </w:rPr>
            </w:pPr>
            <w:r>
              <w:rPr>
                <w:rFonts w:ascii="Arial" w:cs="Arial" w:eastAsia="Arial" w:hAnsi="Arial"/>
                <w:sz w:val="13"/>
                <w:szCs w:val="13"/>
                <w:color w:val="auto"/>
              </w:rPr>
              <w:t>45.5%</w:t>
            </w:r>
          </w:p>
        </w:tc>
        <w:tc>
          <w:tcPr>
            <w:tcW w:w="1480" w:type="dxa"/>
            <w:vAlign w:val="bottom"/>
            <w:gridSpan w:val="2"/>
          </w:tcPr>
          <w:p>
            <w:pPr>
              <w:jc w:val="right"/>
              <w:ind w:right="56"/>
              <w:spacing w:after="0"/>
              <w:rPr>
                <w:sz w:val="20"/>
                <w:szCs w:val="20"/>
                <w:color w:val="auto"/>
              </w:rPr>
            </w:pPr>
            <w:r>
              <w:rPr>
                <w:rFonts w:ascii="Arial" w:cs="Arial" w:eastAsia="Arial" w:hAnsi="Arial"/>
                <w:sz w:val="13"/>
                <w:szCs w:val="13"/>
                <w:color w:val="auto"/>
              </w:rPr>
              <w:t>57.0%</w:t>
            </w:r>
          </w:p>
        </w:tc>
        <w:tc>
          <w:tcPr>
            <w:tcW w:w="1380" w:type="dxa"/>
            <w:vAlign w:val="bottom"/>
            <w:gridSpan w:val="2"/>
          </w:tcPr>
          <w:p>
            <w:pPr>
              <w:jc w:val="right"/>
              <w:spacing w:after="0"/>
              <w:rPr>
                <w:sz w:val="20"/>
                <w:szCs w:val="20"/>
                <w:color w:val="auto"/>
              </w:rPr>
            </w:pPr>
            <w:r>
              <w:rPr>
                <w:rFonts w:ascii="Arial" w:cs="Arial" w:eastAsia="Arial" w:hAnsi="Arial"/>
                <w:sz w:val="13"/>
                <w:szCs w:val="13"/>
                <w:color w:val="auto"/>
              </w:rPr>
              <w:t>46.3%</w:t>
            </w:r>
          </w:p>
        </w:tc>
      </w:tr>
      <w:tr>
        <w:trPr>
          <w:trHeight w:val="154"/>
        </w:trPr>
        <w:tc>
          <w:tcPr>
            <w:tcW w:w="1260" w:type="dxa"/>
            <w:vAlign w:val="bottom"/>
          </w:tcPr>
          <w:p>
            <w:pPr>
              <w:jc w:val="right"/>
              <w:spacing w:after="0"/>
              <w:rPr>
                <w:sz w:val="20"/>
                <w:szCs w:val="20"/>
                <w:color w:val="auto"/>
              </w:rPr>
            </w:pPr>
            <w:r>
              <w:rPr>
                <w:rFonts w:ascii="Arial" w:cs="Arial" w:eastAsia="Arial" w:hAnsi="Arial"/>
                <w:sz w:val="13"/>
                <w:szCs w:val="13"/>
                <w:color w:val="auto"/>
              </w:rPr>
              <w:t>0.6</w:t>
            </w:r>
          </w:p>
        </w:tc>
        <w:tc>
          <w:tcPr>
            <w:tcW w:w="240" w:type="dxa"/>
            <w:vAlign w:val="bottom"/>
          </w:tcPr>
          <w:p>
            <w:pPr>
              <w:spacing w:after="0"/>
              <w:rPr>
                <w:sz w:val="13"/>
                <w:szCs w:val="13"/>
                <w:color w:val="auto"/>
              </w:rPr>
            </w:pPr>
          </w:p>
        </w:tc>
        <w:tc>
          <w:tcPr>
            <w:tcW w:w="1240" w:type="dxa"/>
            <w:vAlign w:val="bottom"/>
          </w:tcPr>
          <w:p>
            <w:pPr>
              <w:jc w:val="right"/>
              <w:spacing w:after="0"/>
              <w:rPr>
                <w:sz w:val="20"/>
                <w:szCs w:val="20"/>
                <w:color w:val="auto"/>
              </w:rPr>
            </w:pPr>
            <w:r>
              <w:rPr>
                <w:rFonts w:ascii="Arial" w:cs="Arial" w:eastAsia="Arial" w:hAnsi="Arial"/>
                <w:sz w:val="13"/>
                <w:szCs w:val="13"/>
                <w:color w:val="auto"/>
              </w:rPr>
              <w:t>0.0</w:t>
            </w:r>
          </w:p>
        </w:tc>
        <w:tc>
          <w:tcPr>
            <w:tcW w:w="240" w:type="dxa"/>
            <w:vAlign w:val="bottom"/>
          </w:tcPr>
          <w:p>
            <w:pPr>
              <w:spacing w:after="0"/>
              <w:rPr>
                <w:sz w:val="13"/>
                <w:szCs w:val="13"/>
                <w:color w:val="auto"/>
              </w:rPr>
            </w:pPr>
          </w:p>
        </w:tc>
        <w:tc>
          <w:tcPr>
            <w:tcW w:w="1280" w:type="dxa"/>
            <w:vAlign w:val="bottom"/>
          </w:tcPr>
          <w:p>
            <w:pPr>
              <w:jc w:val="right"/>
              <w:spacing w:after="0"/>
              <w:rPr>
                <w:sz w:val="20"/>
                <w:szCs w:val="20"/>
                <w:color w:val="auto"/>
              </w:rPr>
            </w:pPr>
            <w:r>
              <w:rPr>
                <w:rFonts w:ascii="Arial" w:cs="Arial" w:eastAsia="Arial" w:hAnsi="Arial"/>
                <w:sz w:val="13"/>
                <w:szCs w:val="13"/>
                <w:color w:val="auto"/>
              </w:rPr>
              <w:t>0.0</w:t>
            </w:r>
          </w:p>
        </w:tc>
        <w:tc>
          <w:tcPr>
            <w:tcW w:w="100" w:type="dxa"/>
            <w:vAlign w:val="bottom"/>
          </w:tcPr>
          <w:p>
            <w:pPr>
              <w:spacing w:after="0"/>
              <w:rPr>
                <w:sz w:val="13"/>
                <w:szCs w:val="13"/>
                <w:color w:val="auto"/>
              </w:rPr>
            </w:pPr>
          </w:p>
        </w:tc>
      </w:tr>
      <w:tr>
        <w:trPr>
          <w:trHeight w:val="162"/>
        </w:trPr>
        <w:tc>
          <w:tcPr>
            <w:tcW w:w="1500" w:type="dxa"/>
            <w:vAlign w:val="bottom"/>
            <w:gridSpan w:val="2"/>
          </w:tcPr>
          <w:p>
            <w:pPr>
              <w:jc w:val="right"/>
              <w:ind w:right="176"/>
              <w:spacing w:after="0"/>
              <w:rPr>
                <w:sz w:val="20"/>
                <w:szCs w:val="20"/>
                <w:color w:val="auto"/>
              </w:rPr>
            </w:pPr>
            <w:r>
              <w:rPr>
                <w:rFonts w:ascii="Arial" w:cs="Arial" w:eastAsia="Arial" w:hAnsi="Arial"/>
                <w:sz w:val="13"/>
                <w:szCs w:val="13"/>
                <w:color w:val="auto"/>
              </w:rPr>
              <w:t>31.0</w:t>
            </w:r>
          </w:p>
        </w:tc>
        <w:tc>
          <w:tcPr>
            <w:tcW w:w="1480" w:type="dxa"/>
            <w:vAlign w:val="bottom"/>
            <w:gridSpan w:val="2"/>
          </w:tcPr>
          <w:p>
            <w:pPr>
              <w:jc w:val="right"/>
              <w:ind w:right="176"/>
              <w:spacing w:after="0"/>
              <w:rPr>
                <w:sz w:val="20"/>
                <w:szCs w:val="20"/>
                <w:color w:val="auto"/>
              </w:rPr>
            </w:pPr>
            <w:r>
              <w:rPr>
                <w:rFonts w:ascii="Arial" w:cs="Arial" w:eastAsia="Arial" w:hAnsi="Arial"/>
                <w:sz w:val="13"/>
                <w:szCs w:val="13"/>
                <w:color w:val="auto"/>
              </w:rPr>
              <w:t>20.9</w:t>
            </w:r>
          </w:p>
        </w:tc>
        <w:tc>
          <w:tcPr>
            <w:tcW w:w="1380" w:type="dxa"/>
            <w:vAlign w:val="bottom"/>
            <w:gridSpan w:val="2"/>
          </w:tcPr>
          <w:p>
            <w:pPr>
              <w:jc w:val="right"/>
              <w:ind w:right="61"/>
              <w:spacing w:after="0"/>
              <w:rPr>
                <w:sz w:val="20"/>
                <w:szCs w:val="20"/>
                <w:color w:val="auto"/>
              </w:rPr>
            </w:pPr>
            <w:r>
              <w:rPr>
                <w:rFonts w:ascii="Arial" w:cs="Arial" w:eastAsia="Arial" w:hAnsi="Arial"/>
                <w:sz w:val="13"/>
                <w:szCs w:val="13"/>
                <w:color w:val="auto"/>
              </w:rPr>
              <w:t>24.3</w:t>
            </w:r>
          </w:p>
        </w:tc>
      </w:tr>
      <w:tr>
        <w:trPr>
          <w:trHeight w:val="164"/>
        </w:trPr>
        <w:tc>
          <w:tcPr>
            <w:tcW w:w="1500" w:type="dxa"/>
            <w:vAlign w:val="bottom"/>
            <w:gridSpan w:val="2"/>
          </w:tcPr>
          <w:p>
            <w:pPr>
              <w:jc w:val="right"/>
              <w:ind w:right="176"/>
              <w:spacing w:after="0"/>
              <w:rPr>
                <w:sz w:val="20"/>
                <w:szCs w:val="20"/>
                <w:color w:val="auto"/>
              </w:rPr>
            </w:pPr>
            <w:r>
              <w:rPr>
                <w:rFonts w:ascii="Arial" w:cs="Arial" w:eastAsia="Arial" w:hAnsi="Arial"/>
                <w:sz w:val="13"/>
                <w:szCs w:val="13"/>
                <w:color w:val="auto"/>
              </w:rPr>
              <w:t>22.9</w:t>
            </w:r>
          </w:p>
        </w:tc>
        <w:tc>
          <w:tcPr>
            <w:tcW w:w="1480" w:type="dxa"/>
            <w:vAlign w:val="bottom"/>
            <w:gridSpan w:val="2"/>
          </w:tcPr>
          <w:p>
            <w:pPr>
              <w:jc w:val="right"/>
              <w:ind w:right="176"/>
              <w:spacing w:after="0"/>
              <w:rPr>
                <w:sz w:val="20"/>
                <w:szCs w:val="20"/>
                <w:color w:val="auto"/>
              </w:rPr>
            </w:pPr>
            <w:r>
              <w:rPr>
                <w:rFonts w:ascii="Arial" w:cs="Arial" w:eastAsia="Arial" w:hAnsi="Arial"/>
                <w:sz w:val="13"/>
                <w:szCs w:val="13"/>
                <w:color w:val="auto"/>
              </w:rPr>
              <w:t>22.1</w:t>
            </w:r>
          </w:p>
        </w:tc>
        <w:tc>
          <w:tcPr>
            <w:tcW w:w="1380" w:type="dxa"/>
            <w:vAlign w:val="bottom"/>
            <w:gridSpan w:val="2"/>
          </w:tcPr>
          <w:p>
            <w:pPr>
              <w:jc w:val="right"/>
              <w:ind w:right="61"/>
              <w:spacing w:after="0"/>
              <w:rPr>
                <w:sz w:val="20"/>
                <w:szCs w:val="20"/>
                <w:color w:val="auto"/>
              </w:rPr>
            </w:pPr>
            <w:r>
              <w:rPr>
                <w:rFonts w:ascii="Arial" w:cs="Arial" w:eastAsia="Arial" w:hAnsi="Arial"/>
                <w:sz w:val="13"/>
                <w:szCs w:val="13"/>
                <w:color w:val="auto"/>
              </w:rPr>
              <w:t>29.4</w:t>
            </w:r>
          </w:p>
        </w:tc>
      </w:tr>
      <w:tr>
        <w:trPr>
          <w:trHeight w:val="154"/>
        </w:trPr>
        <w:tc>
          <w:tcPr>
            <w:tcW w:w="1260" w:type="dxa"/>
            <w:vAlign w:val="bottom"/>
            <w:tcBorders>
              <w:top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240" w:type="dxa"/>
            <w:vAlign w:val="bottom"/>
          </w:tcPr>
          <w:p>
            <w:pPr>
              <w:jc w:val="right"/>
              <w:ind w:right="56"/>
              <w:spacing w:after="0" w:line="146" w:lineRule="exact"/>
              <w:rPr>
                <w:sz w:val="20"/>
                <w:szCs w:val="20"/>
                <w:color w:val="auto"/>
              </w:rPr>
            </w:pPr>
            <w:r>
              <w:rPr>
                <w:rFonts w:ascii="Arial" w:cs="Arial" w:eastAsia="Arial" w:hAnsi="Arial"/>
                <w:sz w:val="13"/>
                <w:szCs w:val="13"/>
                <w:b w:val="1"/>
                <w:bCs w:val="1"/>
                <w:color w:val="auto"/>
                <w:w w:val="86"/>
              </w:rPr>
              <w:t>%</w:t>
            </w:r>
          </w:p>
        </w:tc>
        <w:tc>
          <w:tcPr>
            <w:tcW w:w="1240" w:type="dxa"/>
            <w:vAlign w:val="bottom"/>
            <w:tcBorders>
              <w:top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240" w:type="dxa"/>
            <w:vAlign w:val="bottom"/>
          </w:tcPr>
          <w:p>
            <w:pPr>
              <w:jc w:val="right"/>
              <w:ind w:right="36"/>
              <w:spacing w:after="0" w:line="146" w:lineRule="exact"/>
              <w:rPr>
                <w:sz w:val="20"/>
                <w:szCs w:val="20"/>
                <w:color w:val="auto"/>
              </w:rPr>
            </w:pPr>
            <w:r>
              <w:rPr>
                <w:rFonts w:ascii="Arial" w:cs="Arial" w:eastAsia="Arial" w:hAnsi="Arial"/>
                <w:sz w:val="13"/>
                <w:szCs w:val="13"/>
                <w:b w:val="1"/>
                <w:bCs w:val="1"/>
                <w:color w:val="auto"/>
              </w:rPr>
              <w:t>%</w:t>
            </w:r>
          </w:p>
        </w:tc>
        <w:tc>
          <w:tcPr>
            <w:tcW w:w="1280" w:type="dxa"/>
            <w:vAlign w:val="bottom"/>
            <w:tcBorders>
              <w:top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100" w:type="dxa"/>
            <w:vAlign w:val="bottom"/>
          </w:tcPr>
          <w:p>
            <w:pPr>
              <w:jc w:val="right"/>
              <w:spacing w:after="0"/>
              <w:rPr>
                <w:sz w:val="20"/>
                <w:szCs w:val="20"/>
                <w:color w:val="auto"/>
              </w:rPr>
            </w:pPr>
            <w:r>
              <w:rPr>
                <w:rFonts w:ascii="Arial" w:cs="Arial" w:eastAsia="Arial" w:hAnsi="Arial"/>
                <w:sz w:val="12"/>
                <w:szCs w:val="12"/>
                <w:b w:val="1"/>
                <w:bCs w:val="1"/>
                <w:color w:val="auto"/>
                <w:w w:val="74"/>
              </w:rPr>
              <w:t>%</w:t>
            </w:r>
          </w:p>
        </w:tc>
      </w:tr>
      <w:tr>
        <w:trPr>
          <w:trHeight w:val="29"/>
        </w:trPr>
        <w:tc>
          <w:tcPr>
            <w:tcW w:w="1260" w:type="dxa"/>
            <w:vAlign w:val="bottom"/>
            <w:shd w:val="clear" w:color="auto" w:fill="000000"/>
          </w:tcPr>
          <w:p>
            <w:pPr>
              <w:spacing w:after="0"/>
              <w:rPr>
                <w:sz w:val="2"/>
                <w:szCs w:val="2"/>
                <w:color w:val="auto"/>
              </w:rPr>
            </w:pPr>
          </w:p>
        </w:tc>
        <w:tc>
          <w:tcPr>
            <w:tcW w:w="240" w:type="dxa"/>
            <w:vAlign w:val="bottom"/>
          </w:tcPr>
          <w:p>
            <w:pPr>
              <w:spacing w:after="0"/>
              <w:rPr>
                <w:sz w:val="2"/>
                <w:szCs w:val="2"/>
                <w:color w:val="auto"/>
              </w:rPr>
            </w:pPr>
          </w:p>
        </w:tc>
        <w:tc>
          <w:tcPr>
            <w:tcW w:w="1240" w:type="dxa"/>
            <w:vAlign w:val="bottom"/>
            <w:shd w:val="clear" w:color="auto" w:fill="000000"/>
          </w:tcPr>
          <w:p>
            <w:pPr>
              <w:spacing w:after="0"/>
              <w:rPr>
                <w:sz w:val="2"/>
                <w:szCs w:val="2"/>
                <w:color w:val="auto"/>
              </w:rPr>
            </w:pPr>
          </w:p>
        </w:tc>
        <w:tc>
          <w:tcPr>
            <w:tcW w:w="240" w:type="dxa"/>
            <w:vAlign w:val="bottom"/>
          </w:tcPr>
          <w:p>
            <w:pPr>
              <w:spacing w:after="0"/>
              <w:rPr>
                <w:sz w:val="2"/>
                <w:szCs w:val="2"/>
                <w:color w:val="auto"/>
              </w:rPr>
            </w:pPr>
          </w:p>
        </w:tc>
        <w:tc>
          <w:tcPr>
            <w:tcW w:w="1280" w:type="dxa"/>
            <w:vAlign w:val="bottom"/>
            <w:tcBorders>
              <w:right w:val="single" w:sz="8" w:color="auto"/>
            </w:tcBorders>
            <w:shd w:val="clear" w:color="auto" w:fill="000000"/>
          </w:tcPr>
          <w:p>
            <w:pPr>
              <w:spacing w:after="0"/>
              <w:rPr>
                <w:sz w:val="2"/>
                <w:szCs w:val="2"/>
                <w:color w:val="auto"/>
              </w:rPr>
            </w:pPr>
          </w:p>
        </w:tc>
        <w:tc>
          <w:tcPr>
            <w:tcW w:w="100" w:type="dxa"/>
            <w:vAlign w:val="bottom"/>
          </w:tcPr>
          <w:p>
            <w:pPr>
              <w:spacing w:after="0"/>
              <w:rPr>
                <w:sz w:val="2"/>
                <w:szCs w:val="2"/>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-4509770</wp:posOffset>
            </wp:positionH>
            <wp:positionV relativeFrom="paragraph">
              <wp:posOffset>-525145</wp:posOffset>
            </wp:positionV>
            <wp:extent cx="7285990" cy="9779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0">
                      <a:extLst>
                        <a:ext uri="{28A0092B-C50C-407E-A947-70E740481C1C}"/>
                      </a:extLst>
                    </a:blip>
                    <a:srcRect/>
                    <a:stretch>
                      <a:fillRect/>
                    </a:stretch>
                  </pic:blipFill>
                  <pic:spPr bwMode="auto">
                    <a:xfrm>
                      <a:off x="0" y="0"/>
                      <a:ext cx="7285990" cy="97790"/>
                    </a:xfrm>
                    <a:prstGeom prst="rect">
                      <a:avLst/>
                    </a:prstGeom>
                    <a:noFill/>
                  </pic:spPr>
                </pic:pic>
              </a:graphicData>
            </a:graphic>
          </wp:anchor>
        </w:drawing>
        <w:drawing>
          <wp:anchor simplePos="0" relativeHeight="251657728" behindDoc="1" locked="0" layoutInCell="0" allowOverlap="1">
            <wp:simplePos x="0" y="0"/>
            <wp:positionH relativeFrom="column">
              <wp:posOffset>-4509770</wp:posOffset>
            </wp:positionH>
            <wp:positionV relativeFrom="paragraph">
              <wp:posOffset>-329565</wp:posOffset>
            </wp:positionV>
            <wp:extent cx="7285990" cy="9779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1">
                      <a:extLst>
                        <a:ext uri="{28A0092B-C50C-407E-A947-70E740481C1C}"/>
                      </a:extLst>
                    </a:blip>
                    <a:srcRect/>
                    <a:stretch>
                      <a:fillRect/>
                    </a:stretch>
                  </pic:blipFill>
                  <pic:spPr bwMode="auto">
                    <a:xfrm>
                      <a:off x="0" y="0"/>
                      <a:ext cx="7285990" cy="97790"/>
                    </a:xfrm>
                    <a:prstGeom prst="rect">
                      <a:avLst/>
                    </a:prstGeom>
                    <a:noFill/>
                  </pic:spPr>
                </pic:pic>
              </a:graphicData>
            </a:graphic>
          </wp:anchor>
        </w:drawing>
        <w:drawing>
          <wp:anchor simplePos="0" relativeHeight="251657728" behindDoc="1" locked="0" layoutInCell="0" allowOverlap="1">
            <wp:simplePos x="0" y="0"/>
            <wp:positionH relativeFrom="column">
              <wp:posOffset>-4509770</wp:posOffset>
            </wp:positionH>
            <wp:positionV relativeFrom="paragraph">
              <wp:posOffset>-127635</wp:posOffset>
            </wp:positionV>
            <wp:extent cx="7285990" cy="116205"/>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2">
                      <a:extLst>
                        <a:ext uri="{28A0092B-C50C-407E-A947-70E740481C1C}"/>
                      </a:extLst>
                    </a:blip>
                    <a:srcRect/>
                    <a:stretch>
                      <a:fillRect/>
                    </a:stretch>
                  </pic:blipFill>
                  <pic:spPr bwMode="auto">
                    <a:xfrm>
                      <a:off x="0" y="0"/>
                      <a:ext cx="7285990" cy="116205"/>
                    </a:xfrm>
                    <a:prstGeom prst="rect">
                      <a:avLst/>
                    </a:prstGeom>
                    <a:noFill/>
                  </pic:spPr>
                </pic:pic>
              </a:graphicData>
            </a:graphic>
          </wp:anchor>
        </w:drawing>
      </w:r>
    </w:p>
    <w:p>
      <w:pPr>
        <w:spacing w:after="0" w:line="145" w:lineRule="exact"/>
        <w:rPr>
          <w:sz w:val="20"/>
          <w:szCs w:val="20"/>
          <w:color w:val="auto"/>
        </w:rPr>
      </w:pPr>
    </w:p>
    <w:p>
      <w:pPr>
        <w:sectPr>
          <w:pgSz w:w="11900" w:h="16838" w:orient="portrait"/>
          <w:cols w:equalWidth="0" w:num="2">
            <w:col w:w="6380" w:space="720"/>
            <w:col w:w="4360"/>
          </w:cols>
          <w:pgMar w:left="220" w:top="689" w:right="219" w:bottom="1440" w:gutter="0" w:footer="0" w:header="0"/>
          <w:type w:val="continuous"/>
        </w:sectPr>
      </w:pPr>
    </w:p>
    <w:p>
      <w:pPr>
        <w:spacing w:after="0"/>
        <w:rPr>
          <w:sz w:val="20"/>
          <w:szCs w:val="20"/>
          <w:color w:val="auto"/>
        </w:rPr>
      </w:pPr>
      <w:r>
        <w:rPr>
          <w:rFonts w:ascii="Arial" w:cs="Arial" w:eastAsia="Arial" w:hAnsi="Arial"/>
          <w:sz w:val="13"/>
          <w:szCs w:val="13"/>
          <w:color w:val="auto"/>
        </w:rPr>
        <w:t>The Bank has issued public debt in Mexico and Japan. The Bank has also placed private issuances of debt in the United States and in different markets of Asia, Europe and Latin America.</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Deposits</w:t>
      </w:r>
    </w:p>
    <w:p>
      <w:pPr>
        <w:spacing w:after="0" w:line="159" w:lineRule="exact"/>
        <w:rPr>
          <w:sz w:val="20"/>
          <w:szCs w:val="20"/>
          <w:color w:val="auto"/>
        </w:rPr>
      </w:pPr>
    </w:p>
    <w:p>
      <w:pPr>
        <w:jc w:val="both"/>
        <w:spacing w:after="0" w:line="326" w:lineRule="auto"/>
        <w:rPr>
          <w:sz w:val="20"/>
          <w:szCs w:val="20"/>
          <w:color w:val="auto"/>
        </w:rPr>
      </w:pPr>
      <w:r>
        <w:rPr>
          <w:rFonts w:ascii="Arial" w:cs="Arial" w:eastAsia="Arial" w:hAnsi="Arial"/>
          <w:sz w:val="11"/>
          <w:szCs w:val="11"/>
          <w:color w:val="auto"/>
        </w:rPr>
        <w:t>The Bank obtains deposits principally from central and commercial banks primarily located in the Region. As of December 31, 2018, 74% of the deposits held by the Bank were deposits made by central and state-owned banks in the Region. The average term remaining to maturity of deposits from the Region’s central and state owned banks as of December 31, 2018, 2017 and 2016, was 35 days, 83 days and 72 days, respectively. As of December 31, 2018, deposits from the Bank’s five largest depositors, all of which were central and state-owned banks in the Region, represented 49% of the Bank’s total deposits, compared to 44% as of December 31, 2017.</w:t>
      </w:r>
    </w:p>
    <w:p>
      <w:pPr>
        <w:spacing w:after="0" w:line="249"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68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89" w:right="219" w:bottom="1440" w:gutter="0" w:footer="0" w:header="0"/>
          <w:type w:val="continuous"/>
        </w:sectPr>
      </w:pPr>
    </w:p>
    <w:bookmarkStart w:id="70" w:name="page71"/>
    <w:bookmarkEnd w:id="70"/>
    <w:tbl>
      <w:tblPr>
        <w:tblLayout w:type="fixed"/>
        <w:tblInd w:w="0" w:type="dxa"/>
        <w:tblCellMar>
          <w:top w:w="0" w:type="dxa"/>
          <w:left w:w="0" w:type="dxa"/>
          <w:bottom w:w="0" w:type="dxa"/>
          <w:right w:w="0" w:type="dxa"/>
        </w:tblCellMar>
      </w:tblPr>
      <w:tr>
        <w:trPr>
          <w:trHeight w:val="162"/>
        </w:trPr>
        <w:tc>
          <w:tcPr>
            <w:tcW w:w="7120" w:type="dxa"/>
            <w:vAlign w:val="bottom"/>
          </w:tcPr>
          <w:p>
            <w:pPr>
              <w:spacing w:after="0"/>
              <w:rPr>
                <w:sz w:val="20"/>
                <w:szCs w:val="20"/>
                <w:color w:val="auto"/>
              </w:rPr>
            </w:pPr>
            <w:r>
              <w:rPr>
                <w:rFonts w:ascii="Arial" w:cs="Arial" w:eastAsia="Arial" w:hAnsi="Arial"/>
                <w:sz w:val="13"/>
                <w:szCs w:val="13"/>
                <w:color w:val="auto"/>
              </w:rPr>
              <w:t>The following table analyzes the Bank’s deposits by country as of the dates indicated below:</w:t>
            </w:r>
          </w:p>
        </w:tc>
        <w:tc>
          <w:tcPr>
            <w:tcW w:w="28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50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318"/>
        </w:trPr>
        <w:tc>
          <w:tcPr>
            <w:tcW w:w="7120" w:type="dxa"/>
            <w:vAlign w:val="bottom"/>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500" w:type="dxa"/>
            <w:vAlign w:val="bottom"/>
            <w:tcBorders>
              <w:bottom w:val="single" w:sz="8" w:color="auto"/>
            </w:tcBorders>
            <w:gridSpan w:val="3"/>
          </w:tcPr>
          <w:p>
            <w:pPr>
              <w:ind w:left="100"/>
              <w:spacing w:after="0"/>
              <w:rPr>
                <w:sz w:val="20"/>
                <w:szCs w:val="20"/>
                <w:color w:val="auto"/>
              </w:rPr>
            </w:pPr>
            <w:r>
              <w:rPr>
                <w:rFonts w:ascii="Arial" w:cs="Arial" w:eastAsia="Arial" w:hAnsi="Arial"/>
                <w:sz w:val="13"/>
                <w:szCs w:val="13"/>
                <w:b w:val="1"/>
                <w:bCs w:val="1"/>
                <w:color w:val="auto"/>
              </w:rPr>
              <w:t>As of December 31,</w:t>
            </w:r>
          </w:p>
        </w:tc>
        <w:tc>
          <w:tcPr>
            <w:tcW w:w="28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154"/>
        </w:trPr>
        <w:tc>
          <w:tcPr>
            <w:tcW w:w="7120" w:type="dxa"/>
            <w:vAlign w:val="bottom"/>
          </w:tcPr>
          <w:p>
            <w:pPr>
              <w:spacing w:after="0"/>
              <w:rPr>
                <w:sz w:val="13"/>
                <w:szCs w:val="13"/>
                <w:color w:val="auto"/>
              </w:rPr>
            </w:pPr>
          </w:p>
        </w:tc>
        <w:tc>
          <w:tcPr>
            <w:tcW w:w="280" w:type="dxa"/>
            <w:vAlign w:val="bottom"/>
            <w:tcBorders>
              <w:bottom w:val="single" w:sz="8" w:color="auto"/>
            </w:tcBorders>
          </w:tcPr>
          <w:p>
            <w:pPr>
              <w:spacing w:after="0"/>
              <w:rPr>
                <w:sz w:val="13"/>
                <w:szCs w:val="13"/>
                <w:color w:val="auto"/>
              </w:rPr>
            </w:pPr>
          </w:p>
        </w:tc>
        <w:tc>
          <w:tcPr>
            <w:tcW w:w="1000" w:type="dxa"/>
            <w:vAlign w:val="bottom"/>
            <w:tcBorders>
              <w:bottom w:val="single" w:sz="8" w:color="auto"/>
            </w:tcBorders>
          </w:tcPr>
          <w:p>
            <w:pPr>
              <w:jc w:val="right"/>
              <w:ind w:right="456"/>
              <w:spacing w:after="0"/>
              <w:rPr>
                <w:sz w:val="20"/>
                <w:szCs w:val="20"/>
                <w:color w:val="auto"/>
              </w:rPr>
            </w:pPr>
            <w:r>
              <w:rPr>
                <w:rFonts w:ascii="Arial" w:cs="Arial" w:eastAsia="Arial" w:hAnsi="Arial"/>
                <w:sz w:val="13"/>
                <w:szCs w:val="13"/>
                <w:b w:val="1"/>
                <w:bCs w:val="1"/>
                <w:color w:val="auto"/>
              </w:rPr>
              <w:t>2018</w:t>
            </w:r>
          </w:p>
        </w:tc>
        <w:tc>
          <w:tcPr>
            <w:tcW w:w="220" w:type="dxa"/>
            <w:vAlign w:val="bottom"/>
          </w:tcPr>
          <w:p>
            <w:pPr>
              <w:spacing w:after="0"/>
              <w:rPr>
                <w:sz w:val="13"/>
                <w:szCs w:val="13"/>
                <w:color w:val="auto"/>
              </w:rPr>
            </w:pPr>
          </w:p>
        </w:tc>
        <w:tc>
          <w:tcPr>
            <w:tcW w:w="500" w:type="dxa"/>
            <w:vAlign w:val="bottom"/>
            <w:tcBorders>
              <w:bottom w:val="single" w:sz="8" w:color="auto"/>
            </w:tcBorders>
          </w:tcPr>
          <w:p>
            <w:pPr>
              <w:spacing w:after="0"/>
              <w:rPr>
                <w:sz w:val="13"/>
                <w:szCs w:val="13"/>
                <w:color w:val="auto"/>
              </w:rPr>
            </w:pPr>
          </w:p>
        </w:tc>
        <w:tc>
          <w:tcPr>
            <w:tcW w:w="780" w:type="dxa"/>
            <w:vAlign w:val="bottom"/>
            <w:tcBorders>
              <w:bottom w:val="single" w:sz="8" w:color="auto"/>
            </w:tcBorders>
          </w:tcPr>
          <w:p>
            <w:pPr>
              <w:jc w:val="right"/>
              <w:ind w:right="456"/>
              <w:spacing w:after="0"/>
              <w:rPr>
                <w:sz w:val="20"/>
                <w:szCs w:val="20"/>
                <w:color w:val="auto"/>
              </w:rPr>
            </w:pPr>
            <w:r>
              <w:rPr>
                <w:rFonts w:ascii="Arial" w:cs="Arial" w:eastAsia="Arial" w:hAnsi="Arial"/>
                <w:sz w:val="13"/>
                <w:szCs w:val="13"/>
                <w:b w:val="1"/>
                <w:bCs w:val="1"/>
                <w:color w:val="auto"/>
                <w:w w:val="82"/>
              </w:rPr>
              <w:t>2017</w:t>
            </w:r>
          </w:p>
        </w:tc>
        <w:tc>
          <w:tcPr>
            <w:tcW w:w="220" w:type="dxa"/>
            <w:vAlign w:val="bottom"/>
          </w:tcPr>
          <w:p>
            <w:pPr>
              <w:spacing w:after="0"/>
              <w:rPr>
                <w:sz w:val="13"/>
                <w:szCs w:val="13"/>
                <w:color w:val="auto"/>
              </w:rPr>
            </w:pPr>
          </w:p>
        </w:tc>
        <w:tc>
          <w:tcPr>
            <w:tcW w:w="280" w:type="dxa"/>
            <w:vAlign w:val="bottom"/>
            <w:tcBorders>
              <w:bottom w:val="single" w:sz="8" w:color="auto"/>
            </w:tcBorders>
          </w:tcPr>
          <w:p>
            <w:pPr>
              <w:spacing w:after="0"/>
              <w:rPr>
                <w:sz w:val="13"/>
                <w:szCs w:val="13"/>
                <w:color w:val="auto"/>
              </w:rPr>
            </w:pPr>
          </w:p>
        </w:tc>
        <w:tc>
          <w:tcPr>
            <w:tcW w:w="960" w:type="dxa"/>
            <w:vAlign w:val="bottom"/>
            <w:tcBorders>
              <w:bottom w:val="single" w:sz="8" w:color="auto"/>
            </w:tcBorders>
          </w:tcPr>
          <w:p>
            <w:pPr>
              <w:jc w:val="right"/>
              <w:ind w:right="436"/>
              <w:spacing w:after="0"/>
              <w:rPr>
                <w:sz w:val="20"/>
                <w:szCs w:val="20"/>
                <w:color w:val="auto"/>
              </w:rPr>
            </w:pPr>
            <w:r>
              <w:rPr>
                <w:rFonts w:ascii="Arial" w:cs="Arial" w:eastAsia="Arial" w:hAnsi="Arial"/>
                <w:sz w:val="13"/>
                <w:szCs w:val="13"/>
                <w:b w:val="1"/>
                <w:bCs w:val="1"/>
                <w:color w:val="auto"/>
              </w:rPr>
              <w:t>2016</w:t>
            </w: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44"/>
        </w:trPr>
        <w:tc>
          <w:tcPr>
            <w:tcW w:w="71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500" w:type="dxa"/>
            <w:vAlign w:val="bottom"/>
          </w:tcPr>
          <w:p>
            <w:pPr>
              <w:jc w:val="right"/>
              <w:spacing w:after="0" w:line="144" w:lineRule="exact"/>
              <w:rPr>
                <w:sz w:val="20"/>
                <w:szCs w:val="20"/>
                <w:color w:val="auto"/>
              </w:rPr>
            </w:pPr>
            <w:r>
              <w:rPr>
                <w:rFonts w:ascii="Arial" w:cs="Arial" w:eastAsia="Arial" w:hAnsi="Arial"/>
                <w:sz w:val="13"/>
                <w:szCs w:val="13"/>
                <w:b w:val="1"/>
                <w:bCs w:val="1"/>
                <w:color w:val="auto"/>
              </w:rPr>
              <w:t>(in $</w:t>
            </w:r>
          </w:p>
        </w:tc>
        <w:tc>
          <w:tcPr>
            <w:tcW w:w="780" w:type="dxa"/>
            <w:vAlign w:val="bottom"/>
          </w:tcPr>
          <w:p>
            <w:pPr>
              <w:jc w:val="right"/>
              <w:ind w:right="196"/>
              <w:spacing w:after="0" w:line="144" w:lineRule="exact"/>
              <w:rPr>
                <w:sz w:val="20"/>
                <w:szCs w:val="20"/>
                <w:color w:val="auto"/>
              </w:rPr>
            </w:pPr>
            <w:r>
              <w:rPr>
                <w:rFonts w:ascii="Arial" w:cs="Arial" w:eastAsia="Arial" w:hAnsi="Arial"/>
                <w:sz w:val="13"/>
                <w:szCs w:val="13"/>
                <w:b w:val="1"/>
                <w:bCs w:val="1"/>
                <w:color w:val="auto"/>
                <w:w w:val="93"/>
              </w:rPr>
              <w:t>millions)</w:t>
            </w:r>
          </w:p>
        </w:tc>
        <w:tc>
          <w:tcPr>
            <w:tcW w:w="2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Argentina</w:t>
            </w:r>
          </w:p>
        </w:tc>
        <w:tc>
          <w:tcPr>
            <w:tcW w:w="280" w:type="dxa"/>
            <w:vAlign w:val="bottom"/>
            <w:shd w:val="clear" w:color="auto" w:fill="CCEEFF"/>
          </w:tcPr>
          <w:p>
            <w:pPr>
              <w:jc w:val="right"/>
              <w:ind w:right="172"/>
              <w:spacing w:after="0"/>
              <w:rPr>
                <w:sz w:val="20"/>
                <w:szCs w:val="20"/>
                <w:color w:val="auto"/>
              </w:rPr>
            </w:pPr>
            <w:r>
              <w:rPr>
                <w:rFonts w:ascii="Arial" w:cs="Arial" w:eastAsia="Arial" w:hAnsi="Arial"/>
                <w:sz w:val="10"/>
                <w:szCs w:val="10"/>
                <w:color w:val="auto"/>
                <w:w w:val="71"/>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142</w:t>
            </w:r>
          </w:p>
        </w:tc>
        <w:tc>
          <w:tcPr>
            <w:tcW w:w="500" w:type="dxa"/>
            <w:vAlign w:val="bottom"/>
            <w:shd w:val="clear" w:color="auto" w:fill="CCEEFF"/>
          </w:tcPr>
          <w:p>
            <w:pPr>
              <w:jc w:val="right"/>
              <w:ind w:right="384"/>
              <w:spacing w:after="0"/>
              <w:rPr>
                <w:sz w:val="20"/>
                <w:szCs w:val="20"/>
                <w:color w:val="auto"/>
              </w:rPr>
            </w:pPr>
            <w:r>
              <w:rPr>
                <w:rFonts w:ascii="Arial" w:cs="Arial" w:eastAsia="Arial" w:hAnsi="Arial"/>
                <w:sz w:val="10"/>
                <w:szCs w:val="10"/>
                <w:color w:val="auto"/>
                <w:w w:val="71"/>
              </w:rPr>
              <w:t>$</w:t>
            </w: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142</w:t>
            </w:r>
          </w:p>
        </w:tc>
        <w:tc>
          <w:tcPr>
            <w:tcW w:w="280" w:type="dxa"/>
            <w:vAlign w:val="bottom"/>
            <w:shd w:val="clear" w:color="auto" w:fill="CCEEFF"/>
          </w:tcPr>
          <w:p>
            <w:pPr>
              <w:jc w:val="right"/>
              <w:ind w:right="172"/>
              <w:spacing w:after="0"/>
              <w:rPr>
                <w:sz w:val="20"/>
                <w:szCs w:val="20"/>
                <w:color w:val="auto"/>
              </w:rPr>
            </w:pPr>
            <w:r>
              <w:rPr>
                <w:rFonts w:ascii="Arial" w:cs="Arial" w:eastAsia="Arial" w:hAnsi="Arial"/>
                <w:sz w:val="10"/>
                <w:szCs w:val="10"/>
                <w:color w:val="auto"/>
                <w:w w:val="71"/>
              </w:rPr>
              <w:t>$</w:t>
            </w: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135</w:t>
            </w:r>
          </w:p>
        </w:tc>
        <w:tc>
          <w:tcPr>
            <w:tcW w:w="100" w:type="dxa"/>
            <w:vAlign w:val="bottom"/>
            <w:shd w:val="clear" w:color="auto" w:fill="CCEEFF"/>
          </w:tcPr>
          <w:p>
            <w:pPr>
              <w:spacing w:after="0"/>
              <w:rPr>
                <w:sz w:val="13"/>
                <w:szCs w:val="13"/>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Barbados</w:t>
            </w:r>
          </w:p>
        </w:tc>
        <w:tc>
          <w:tcPr>
            <w:tcW w:w="280" w:type="dxa"/>
            <w:vAlign w:val="bottom"/>
          </w:tcPr>
          <w:p>
            <w:pPr>
              <w:spacing w:after="0"/>
              <w:rPr>
                <w:sz w:val="13"/>
                <w:szCs w:val="13"/>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25</w:t>
            </w:r>
          </w:p>
        </w:tc>
        <w:tc>
          <w:tcPr>
            <w:tcW w:w="500" w:type="dxa"/>
            <w:vAlign w:val="bottom"/>
          </w:tcPr>
          <w:p>
            <w:pPr>
              <w:spacing w:after="0"/>
              <w:rPr>
                <w:sz w:val="13"/>
                <w:szCs w:val="13"/>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280" w:type="dxa"/>
            <w:vAlign w:val="bottom"/>
          </w:tcPr>
          <w:p>
            <w:pPr>
              <w:spacing w:after="0"/>
              <w:rPr>
                <w:sz w:val="13"/>
                <w:szCs w:val="13"/>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3"/>
                <w:szCs w:val="13"/>
                <w:color w:val="auto"/>
              </w:rPr>
              <w:t>0</w:t>
            </w:r>
          </w:p>
        </w:tc>
        <w:tc>
          <w:tcPr>
            <w:tcW w:w="100" w:type="dxa"/>
            <w:vAlign w:val="bottom"/>
          </w:tcPr>
          <w:p>
            <w:pPr>
              <w:spacing w:after="0"/>
              <w:rPr>
                <w:sz w:val="13"/>
                <w:szCs w:val="13"/>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Bermuda</w:t>
            </w: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50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28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w:t>
            </w:r>
          </w:p>
        </w:tc>
        <w:tc>
          <w:tcPr>
            <w:tcW w:w="100" w:type="dxa"/>
            <w:vAlign w:val="bottom"/>
            <w:shd w:val="clear" w:color="auto" w:fill="CCEEFF"/>
          </w:tcPr>
          <w:p>
            <w:pPr>
              <w:spacing w:after="0"/>
              <w:rPr>
                <w:sz w:val="13"/>
                <w:szCs w:val="13"/>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Bolivia</w:t>
            </w:r>
          </w:p>
        </w:tc>
        <w:tc>
          <w:tcPr>
            <w:tcW w:w="280" w:type="dxa"/>
            <w:vAlign w:val="bottom"/>
          </w:tcPr>
          <w:p>
            <w:pPr>
              <w:spacing w:after="0"/>
              <w:rPr>
                <w:sz w:val="13"/>
                <w:szCs w:val="13"/>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26</w:t>
            </w:r>
          </w:p>
        </w:tc>
        <w:tc>
          <w:tcPr>
            <w:tcW w:w="500" w:type="dxa"/>
            <w:vAlign w:val="bottom"/>
          </w:tcPr>
          <w:p>
            <w:pPr>
              <w:spacing w:after="0"/>
              <w:rPr>
                <w:sz w:val="13"/>
                <w:szCs w:val="13"/>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280" w:type="dxa"/>
            <w:vAlign w:val="bottom"/>
          </w:tcPr>
          <w:p>
            <w:pPr>
              <w:spacing w:after="0"/>
              <w:rPr>
                <w:sz w:val="13"/>
                <w:szCs w:val="13"/>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3"/>
                <w:szCs w:val="13"/>
                <w:color w:val="auto"/>
              </w:rPr>
              <w:t>1</w:t>
            </w:r>
          </w:p>
        </w:tc>
        <w:tc>
          <w:tcPr>
            <w:tcW w:w="100" w:type="dxa"/>
            <w:vAlign w:val="bottom"/>
          </w:tcPr>
          <w:p>
            <w:pPr>
              <w:spacing w:after="0"/>
              <w:rPr>
                <w:sz w:val="13"/>
                <w:szCs w:val="13"/>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Brazil</w:t>
            </w: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379</w:t>
            </w:r>
          </w:p>
        </w:tc>
        <w:tc>
          <w:tcPr>
            <w:tcW w:w="50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384</w:t>
            </w:r>
          </w:p>
        </w:tc>
        <w:tc>
          <w:tcPr>
            <w:tcW w:w="28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151</w:t>
            </w:r>
          </w:p>
        </w:tc>
        <w:tc>
          <w:tcPr>
            <w:tcW w:w="100" w:type="dxa"/>
            <w:vAlign w:val="bottom"/>
            <w:shd w:val="clear" w:color="auto" w:fill="CCEEFF"/>
          </w:tcPr>
          <w:p>
            <w:pPr>
              <w:spacing w:after="0"/>
              <w:rPr>
                <w:sz w:val="13"/>
                <w:szCs w:val="13"/>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Cayman Island</w:t>
            </w:r>
          </w:p>
        </w:tc>
        <w:tc>
          <w:tcPr>
            <w:tcW w:w="280" w:type="dxa"/>
            <w:vAlign w:val="bottom"/>
          </w:tcPr>
          <w:p>
            <w:pPr>
              <w:spacing w:after="0"/>
              <w:rPr>
                <w:sz w:val="13"/>
                <w:szCs w:val="13"/>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500" w:type="dxa"/>
            <w:vAlign w:val="bottom"/>
          </w:tcPr>
          <w:p>
            <w:pPr>
              <w:spacing w:after="0"/>
              <w:rPr>
                <w:sz w:val="13"/>
                <w:szCs w:val="13"/>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280" w:type="dxa"/>
            <w:vAlign w:val="bottom"/>
          </w:tcPr>
          <w:p>
            <w:pPr>
              <w:spacing w:after="0"/>
              <w:rPr>
                <w:sz w:val="13"/>
                <w:szCs w:val="13"/>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3"/>
                <w:szCs w:val="13"/>
                <w:color w:val="auto"/>
              </w:rPr>
              <w:t>25</w:t>
            </w:r>
          </w:p>
        </w:tc>
        <w:tc>
          <w:tcPr>
            <w:tcW w:w="100" w:type="dxa"/>
            <w:vAlign w:val="bottom"/>
          </w:tcPr>
          <w:p>
            <w:pPr>
              <w:spacing w:after="0"/>
              <w:rPr>
                <w:sz w:val="13"/>
                <w:szCs w:val="13"/>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Colombia</w:t>
            </w: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30</w:t>
            </w:r>
          </w:p>
        </w:tc>
        <w:tc>
          <w:tcPr>
            <w:tcW w:w="50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44</w:t>
            </w:r>
          </w:p>
        </w:tc>
        <w:tc>
          <w:tcPr>
            <w:tcW w:w="28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3</w:t>
            </w:r>
          </w:p>
        </w:tc>
        <w:tc>
          <w:tcPr>
            <w:tcW w:w="100" w:type="dxa"/>
            <w:vAlign w:val="bottom"/>
            <w:shd w:val="clear" w:color="auto" w:fill="CCEEFF"/>
          </w:tcPr>
          <w:p>
            <w:pPr>
              <w:spacing w:after="0"/>
              <w:rPr>
                <w:sz w:val="13"/>
                <w:szCs w:val="13"/>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Costa Rica</w:t>
            </w:r>
          </w:p>
        </w:tc>
        <w:tc>
          <w:tcPr>
            <w:tcW w:w="280" w:type="dxa"/>
            <w:vAlign w:val="bottom"/>
          </w:tcPr>
          <w:p>
            <w:pPr>
              <w:spacing w:after="0"/>
              <w:rPr>
                <w:sz w:val="13"/>
                <w:szCs w:val="13"/>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133</w:t>
            </w:r>
          </w:p>
        </w:tc>
        <w:tc>
          <w:tcPr>
            <w:tcW w:w="500" w:type="dxa"/>
            <w:vAlign w:val="bottom"/>
          </w:tcPr>
          <w:p>
            <w:pPr>
              <w:spacing w:after="0"/>
              <w:rPr>
                <w:sz w:val="13"/>
                <w:szCs w:val="13"/>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138</w:t>
            </w:r>
          </w:p>
        </w:tc>
        <w:tc>
          <w:tcPr>
            <w:tcW w:w="280" w:type="dxa"/>
            <w:vAlign w:val="bottom"/>
          </w:tcPr>
          <w:p>
            <w:pPr>
              <w:spacing w:after="0"/>
              <w:rPr>
                <w:sz w:val="13"/>
                <w:szCs w:val="13"/>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3"/>
                <w:szCs w:val="13"/>
                <w:color w:val="auto"/>
              </w:rPr>
              <w:t>130</w:t>
            </w:r>
          </w:p>
        </w:tc>
        <w:tc>
          <w:tcPr>
            <w:tcW w:w="100" w:type="dxa"/>
            <w:vAlign w:val="bottom"/>
          </w:tcPr>
          <w:p>
            <w:pPr>
              <w:spacing w:after="0"/>
              <w:rPr>
                <w:sz w:val="13"/>
                <w:szCs w:val="13"/>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Dominican Republic</w:t>
            </w: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21</w:t>
            </w:r>
          </w:p>
        </w:tc>
        <w:tc>
          <w:tcPr>
            <w:tcW w:w="50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w:t>
            </w:r>
          </w:p>
        </w:tc>
        <w:tc>
          <w:tcPr>
            <w:tcW w:w="28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72</w:t>
            </w:r>
          </w:p>
        </w:tc>
        <w:tc>
          <w:tcPr>
            <w:tcW w:w="100" w:type="dxa"/>
            <w:vAlign w:val="bottom"/>
            <w:shd w:val="clear" w:color="auto" w:fill="CCEEFF"/>
          </w:tcPr>
          <w:p>
            <w:pPr>
              <w:spacing w:after="0"/>
              <w:rPr>
                <w:sz w:val="13"/>
                <w:szCs w:val="13"/>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Ecuador</w:t>
            </w:r>
          </w:p>
        </w:tc>
        <w:tc>
          <w:tcPr>
            <w:tcW w:w="280" w:type="dxa"/>
            <w:vAlign w:val="bottom"/>
          </w:tcPr>
          <w:p>
            <w:pPr>
              <w:spacing w:after="0"/>
              <w:rPr>
                <w:sz w:val="13"/>
                <w:szCs w:val="13"/>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522</w:t>
            </w:r>
          </w:p>
        </w:tc>
        <w:tc>
          <w:tcPr>
            <w:tcW w:w="500" w:type="dxa"/>
            <w:vAlign w:val="bottom"/>
          </w:tcPr>
          <w:p>
            <w:pPr>
              <w:spacing w:after="0"/>
              <w:rPr>
                <w:sz w:val="13"/>
                <w:szCs w:val="13"/>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217</w:t>
            </w:r>
          </w:p>
        </w:tc>
        <w:tc>
          <w:tcPr>
            <w:tcW w:w="280" w:type="dxa"/>
            <w:vAlign w:val="bottom"/>
          </w:tcPr>
          <w:p>
            <w:pPr>
              <w:spacing w:after="0"/>
              <w:rPr>
                <w:sz w:val="13"/>
                <w:szCs w:val="13"/>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3"/>
                <w:szCs w:val="13"/>
                <w:color w:val="auto"/>
              </w:rPr>
              <w:t>804</w:t>
            </w:r>
          </w:p>
        </w:tc>
        <w:tc>
          <w:tcPr>
            <w:tcW w:w="100" w:type="dxa"/>
            <w:vAlign w:val="bottom"/>
          </w:tcPr>
          <w:p>
            <w:pPr>
              <w:spacing w:after="0"/>
              <w:rPr>
                <w:sz w:val="13"/>
                <w:szCs w:val="13"/>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El Salvador</w:t>
            </w: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50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34</w:t>
            </w:r>
          </w:p>
        </w:tc>
        <w:tc>
          <w:tcPr>
            <w:tcW w:w="28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24</w:t>
            </w:r>
          </w:p>
        </w:tc>
        <w:tc>
          <w:tcPr>
            <w:tcW w:w="100" w:type="dxa"/>
            <w:vAlign w:val="bottom"/>
            <w:shd w:val="clear" w:color="auto" w:fill="CCEEFF"/>
          </w:tcPr>
          <w:p>
            <w:pPr>
              <w:spacing w:after="0"/>
              <w:rPr>
                <w:sz w:val="13"/>
                <w:szCs w:val="13"/>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France</w:t>
            </w:r>
          </w:p>
        </w:tc>
        <w:tc>
          <w:tcPr>
            <w:tcW w:w="280" w:type="dxa"/>
            <w:vAlign w:val="bottom"/>
          </w:tcPr>
          <w:p>
            <w:pPr>
              <w:spacing w:after="0"/>
              <w:rPr>
                <w:sz w:val="13"/>
                <w:szCs w:val="13"/>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1</w:t>
            </w:r>
          </w:p>
        </w:tc>
        <w:tc>
          <w:tcPr>
            <w:tcW w:w="500" w:type="dxa"/>
            <w:vAlign w:val="bottom"/>
          </w:tcPr>
          <w:p>
            <w:pPr>
              <w:spacing w:after="0"/>
              <w:rPr>
                <w:sz w:val="13"/>
                <w:szCs w:val="13"/>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4</w:t>
            </w:r>
          </w:p>
        </w:tc>
        <w:tc>
          <w:tcPr>
            <w:tcW w:w="280" w:type="dxa"/>
            <w:vAlign w:val="bottom"/>
          </w:tcPr>
          <w:p>
            <w:pPr>
              <w:spacing w:after="0"/>
              <w:rPr>
                <w:sz w:val="13"/>
                <w:szCs w:val="13"/>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3"/>
                <w:szCs w:val="13"/>
                <w:color w:val="auto"/>
              </w:rPr>
              <w:t>0</w:t>
            </w:r>
          </w:p>
        </w:tc>
        <w:tc>
          <w:tcPr>
            <w:tcW w:w="100" w:type="dxa"/>
            <w:vAlign w:val="bottom"/>
          </w:tcPr>
          <w:p>
            <w:pPr>
              <w:spacing w:after="0"/>
              <w:rPr>
                <w:sz w:val="13"/>
                <w:szCs w:val="13"/>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Germany</w:t>
            </w: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130</w:t>
            </w:r>
          </w:p>
        </w:tc>
        <w:tc>
          <w:tcPr>
            <w:tcW w:w="50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77</w:t>
            </w:r>
          </w:p>
        </w:tc>
        <w:tc>
          <w:tcPr>
            <w:tcW w:w="28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77</w:t>
            </w:r>
          </w:p>
        </w:tc>
        <w:tc>
          <w:tcPr>
            <w:tcW w:w="100" w:type="dxa"/>
            <w:vAlign w:val="bottom"/>
            <w:shd w:val="clear" w:color="auto" w:fill="CCEEFF"/>
          </w:tcPr>
          <w:p>
            <w:pPr>
              <w:spacing w:after="0"/>
              <w:rPr>
                <w:sz w:val="13"/>
                <w:szCs w:val="13"/>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Guatemala</w:t>
            </w:r>
          </w:p>
        </w:tc>
        <w:tc>
          <w:tcPr>
            <w:tcW w:w="280" w:type="dxa"/>
            <w:vAlign w:val="bottom"/>
          </w:tcPr>
          <w:p>
            <w:pPr>
              <w:spacing w:after="0"/>
              <w:rPr>
                <w:sz w:val="13"/>
                <w:szCs w:val="13"/>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34</w:t>
            </w:r>
          </w:p>
        </w:tc>
        <w:tc>
          <w:tcPr>
            <w:tcW w:w="500" w:type="dxa"/>
            <w:vAlign w:val="bottom"/>
          </w:tcPr>
          <w:p>
            <w:pPr>
              <w:spacing w:after="0"/>
              <w:rPr>
                <w:sz w:val="13"/>
                <w:szCs w:val="13"/>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71</w:t>
            </w:r>
          </w:p>
        </w:tc>
        <w:tc>
          <w:tcPr>
            <w:tcW w:w="280" w:type="dxa"/>
            <w:vAlign w:val="bottom"/>
          </w:tcPr>
          <w:p>
            <w:pPr>
              <w:spacing w:after="0"/>
              <w:rPr>
                <w:sz w:val="13"/>
                <w:szCs w:val="13"/>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3"/>
                <w:szCs w:val="13"/>
                <w:color w:val="auto"/>
              </w:rPr>
              <w:t>71</w:t>
            </w:r>
          </w:p>
        </w:tc>
        <w:tc>
          <w:tcPr>
            <w:tcW w:w="100" w:type="dxa"/>
            <w:vAlign w:val="bottom"/>
          </w:tcPr>
          <w:p>
            <w:pPr>
              <w:spacing w:after="0"/>
              <w:rPr>
                <w:sz w:val="13"/>
                <w:szCs w:val="13"/>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Haiti</w:t>
            </w: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61</w:t>
            </w:r>
          </w:p>
        </w:tc>
        <w:tc>
          <w:tcPr>
            <w:tcW w:w="50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60</w:t>
            </w:r>
          </w:p>
        </w:tc>
        <w:tc>
          <w:tcPr>
            <w:tcW w:w="28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70</w:t>
            </w:r>
          </w:p>
        </w:tc>
        <w:tc>
          <w:tcPr>
            <w:tcW w:w="100" w:type="dxa"/>
            <w:vAlign w:val="bottom"/>
            <w:shd w:val="clear" w:color="auto" w:fill="CCEEFF"/>
          </w:tcPr>
          <w:p>
            <w:pPr>
              <w:spacing w:after="0"/>
              <w:rPr>
                <w:sz w:val="13"/>
                <w:szCs w:val="13"/>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Honduras</w:t>
            </w:r>
          </w:p>
        </w:tc>
        <w:tc>
          <w:tcPr>
            <w:tcW w:w="280" w:type="dxa"/>
            <w:vAlign w:val="bottom"/>
          </w:tcPr>
          <w:p>
            <w:pPr>
              <w:spacing w:after="0"/>
              <w:rPr>
                <w:sz w:val="13"/>
                <w:szCs w:val="13"/>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128</w:t>
            </w:r>
          </w:p>
        </w:tc>
        <w:tc>
          <w:tcPr>
            <w:tcW w:w="500" w:type="dxa"/>
            <w:vAlign w:val="bottom"/>
          </w:tcPr>
          <w:p>
            <w:pPr>
              <w:spacing w:after="0"/>
              <w:rPr>
                <w:sz w:val="13"/>
                <w:szCs w:val="13"/>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176</w:t>
            </w:r>
          </w:p>
        </w:tc>
        <w:tc>
          <w:tcPr>
            <w:tcW w:w="280" w:type="dxa"/>
            <w:vAlign w:val="bottom"/>
          </w:tcPr>
          <w:p>
            <w:pPr>
              <w:spacing w:after="0"/>
              <w:rPr>
                <w:sz w:val="13"/>
                <w:szCs w:val="13"/>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3"/>
                <w:szCs w:val="13"/>
                <w:color w:val="auto"/>
              </w:rPr>
              <w:t>153</w:t>
            </w:r>
          </w:p>
        </w:tc>
        <w:tc>
          <w:tcPr>
            <w:tcW w:w="100" w:type="dxa"/>
            <w:vAlign w:val="bottom"/>
          </w:tcPr>
          <w:p>
            <w:pPr>
              <w:spacing w:after="0"/>
              <w:rPr>
                <w:sz w:val="13"/>
                <w:szCs w:val="13"/>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Mexico</w:t>
            </w: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300</w:t>
            </w:r>
          </w:p>
        </w:tc>
        <w:tc>
          <w:tcPr>
            <w:tcW w:w="50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300</w:t>
            </w:r>
          </w:p>
        </w:tc>
        <w:tc>
          <w:tcPr>
            <w:tcW w:w="28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100</w:t>
            </w:r>
          </w:p>
        </w:tc>
        <w:tc>
          <w:tcPr>
            <w:tcW w:w="100" w:type="dxa"/>
            <w:vAlign w:val="bottom"/>
            <w:shd w:val="clear" w:color="auto" w:fill="CCEEFF"/>
          </w:tcPr>
          <w:p>
            <w:pPr>
              <w:spacing w:after="0"/>
              <w:rPr>
                <w:sz w:val="13"/>
                <w:szCs w:val="13"/>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Multilateral</w:t>
            </w:r>
          </w:p>
        </w:tc>
        <w:tc>
          <w:tcPr>
            <w:tcW w:w="280" w:type="dxa"/>
            <w:vAlign w:val="bottom"/>
          </w:tcPr>
          <w:p>
            <w:pPr>
              <w:spacing w:after="0"/>
              <w:rPr>
                <w:sz w:val="13"/>
                <w:szCs w:val="13"/>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151</w:t>
            </w:r>
          </w:p>
        </w:tc>
        <w:tc>
          <w:tcPr>
            <w:tcW w:w="500" w:type="dxa"/>
            <w:vAlign w:val="bottom"/>
          </w:tcPr>
          <w:p>
            <w:pPr>
              <w:spacing w:after="0"/>
              <w:rPr>
                <w:sz w:val="13"/>
                <w:szCs w:val="13"/>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101</w:t>
            </w:r>
          </w:p>
        </w:tc>
        <w:tc>
          <w:tcPr>
            <w:tcW w:w="280" w:type="dxa"/>
            <w:vAlign w:val="bottom"/>
          </w:tcPr>
          <w:p>
            <w:pPr>
              <w:spacing w:after="0"/>
              <w:rPr>
                <w:sz w:val="13"/>
                <w:szCs w:val="13"/>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3"/>
                <w:szCs w:val="13"/>
                <w:color w:val="auto"/>
              </w:rPr>
              <w:t>0</w:t>
            </w:r>
          </w:p>
        </w:tc>
        <w:tc>
          <w:tcPr>
            <w:tcW w:w="100" w:type="dxa"/>
            <w:vAlign w:val="bottom"/>
          </w:tcPr>
          <w:p>
            <w:pPr>
              <w:spacing w:after="0"/>
              <w:rPr>
                <w:sz w:val="13"/>
                <w:szCs w:val="13"/>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Netherlands</w:t>
            </w: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18</w:t>
            </w:r>
          </w:p>
        </w:tc>
        <w:tc>
          <w:tcPr>
            <w:tcW w:w="50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34</w:t>
            </w:r>
          </w:p>
        </w:tc>
        <w:tc>
          <w:tcPr>
            <w:tcW w:w="28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15</w:t>
            </w:r>
          </w:p>
        </w:tc>
        <w:tc>
          <w:tcPr>
            <w:tcW w:w="100" w:type="dxa"/>
            <w:vAlign w:val="bottom"/>
            <w:shd w:val="clear" w:color="auto" w:fill="CCEEFF"/>
          </w:tcPr>
          <w:p>
            <w:pPr>
              <w:spacing w:after="0"/>
              <w:rPr>
                <w:sz w:val="13"/>
                <w:szCs w:val="13"/>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Nicaragua</w:t>
            </w:r>
          </w:p>
        </w:tc>
        <w:tc>
          <w:tcPr>
            <w:tcW w:w="280" w:type="dxa"/>
            <w:vAlign w:val="bottom"/>
          </w:tcPr>
          <w:p>
            <w:pPr>
              <w:spacing w:after="0"/>
              <w:rPr>
                <w:sz w:val="13"/>
                <w:szCs w:val="13"/>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190</w:t>
            </w:r>
          </w:p>
        </w:tc>
        <w:tc>
          <w:tcPr>
            <w:tcW w:w="500" w:type="dxa"/>
            <w:vAlign w:val="bottom"/>
          </w:tcPr>
          <w:p>
            <w:pPr>
              <w:spacing w:after="0"/>
              <w:rPr>
                <w:sz w:val="13"/>
                <w:szCs w:val="13"/>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268</w:t>
            </w:r>
          </w:p>
        </w:tc>
        <w:tc>
          <w:tcPr>
            <w:tcW w:w="280" w:type="dxa"/>
            <w:vAlign w:val="bottom"/>
          </w:tcPr>
          <w:p>
            <w:pPr>
              <w:spacing w:after="0"/>
              <w:rPr>
                <w:sz w:val="13"/>
                <w:szCs w:val="13"/>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3"/>
                <w:szCs w:val="13"/>
                <w:color w:val="auto"/>
              </w:rPr>
              <w:t>98</w:t>
            </w:r>
          </w:p>
        </w:tc>
        <w:tc>
          <w:tcPr>
            <w:tcW w:w="100" w:type="dxa"/>
            <w:vAlign w:val="bottom"/>
          </w:tcPr>
          <w:p>
            <w:pPr>
              <w:spacing w:after="0"/>
              <w:rPr>
                <w:sz w:val="13"/>
                <w:szCs w:val="13"/>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Panama</w:t>
            </w: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391</w:t>
            </w:r>
          </w:p>
        </w:tc>
        <w:tc>
          <w:tcPr>
            <w:tcW w:w="50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437</w:t>
            </w:r>
          </w:p>
        </w:tc>
        <w:tc>
          <w:tcPr>
            <w:tcW w:w="28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404</w:t>
            </w:r>
          </w:p>
        </w:tc>
        <w:tc>
          <w:tcPr>
            <w:tcW w:w="100" w:type="dxa"/>
            <w:vAlign w:val="bottom"/>
            <w:shd w:val="clear" w:color="auto" w:fill="CCEEFF"/>
          </w:tcPr>
          <w:p>
            <w:pPr>
              <w:spacing w:after="0"/>
              <w:rPr>
                <w:sz w:val="13"/>
                <w:szCs w:val="13"/>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Paraguay</w:t>
            </w:r>
          </w:p>
        </w:tc>
        <w:tc>
          <w:tcPr>
            <w:tcW w:w="280" w:type="dxa"/>
            <w:vAlign w:val="bottom"/>
          </w:tcPr>
          <w:p>
            <w:pPr>
              <w:spacing w:after="0"/>
              <w:rPr>
                <w:sz w:val="13"/>
                <w:szCs w:val="13"/>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268</w:t>
            </w:r>
          </w:p>
        </w:tc>
        <w:tc>
          <w:tcPr>
            <w:tcW w:w="500" w:type="dxa"/>
            <w:vAlign w:val="bottom"/>
          </w:tcPr>
          <w:p>
            <w:pPr>
              <w:spacing w:after="0"/>
              <w:rPr>
                <w:sz w:val="13"/>
                <w:szCs w:val="13"/>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337</w:t>
            </w:r>
          </w:p>
        </w:tc>
        <w:tc>
          <w:tcPr>
            <w:tcW w:w="280" w:type="dxa"/>
            <w:vAlign w:val="bottom"/>
          </w:tcPr>
          <w:p>
            <w:pPr>
              <w:spacing w:after="0"/>
              <w:rPr>
                <w:sz w:val="13"/>
                <w:szCs w:val="13"/>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3"/>
                <w:szCs w:val="13"/>
                <w:color w:val="auto"/>
              </w:rPr>
              <w:t>400</w:t>
            </w:r>
          </w:p>
        </w:tc>
        <w:tc>
          <w:tcPr>
            <w:tcW w:w="100" w:type="dxa"/>
            <w:vAlign w:val="bottom"/>
          </w:tcPr>
          <w:p>
            <w:pPr>
              <w:spacing w:after="0"/>
              <w:rPr>
                <w:sz w:val="13"/>
                <w:szCs w:val="13"/>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Switzerland</w:t>
            </w: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50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28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w:t>
            </w:r>
          </w:p>
        </w:tc>
        <w:tc>
          <w:tcPr>
            <w:tcW w:w="100" w:type="dxa"/>
            <w:vAlign w:val="bottom"/>
            <w:shd w:val="clear" w:color="auto" w:fill="CCEEFF"/>
          </w:tcPr>
          <w:p>
            <w:pPr>
              <w:spacing w:after="0"/>
              <w:rPr>
                <w:sz w:val="13"/>
                <w:szCs w:val="13"/>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Trinidad and Tobago</w:t>
            </w:r>
          </w:p>
        </w:tc>
        <w:tc>
          <w:tcPr>
            <w:tcW w:w="280" w:type="dxa"/>
            <w:vAlign w:val="bottom"/>
          </w:tcPr>
          <w:p>
            <w:pPr>
              <w:spacing w:after="0"/>
              <w:rPr>
                <w:sz w:val="13"/>
                <w:szCs w:val="13"/>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20</w:t>
            </w:r>
          </w:p>
        </w:tc>
        <w:tc>
          <w:tcPr>
            <w:tcW w:w="500" w:type="dxa"/>
            <w:vAlign w:val="bottom"/>
          </w:tcPr>
          <w:p>
            <w:pPr>
              <w:spacing w:after="0"/>
              <w:rPr>
                <w:sz w:val="13"/>
                <w:szCs w:val="13"/>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70</w:t>
            </w:r>
          </w:p>
        </w:tc>
        <w:tc>
          <w:tcPr>
            <w:tcW w:w="280" w:type="dxa"/>
            <w:vAlign w:val="bottom"/>
          </w:tcPr>
          <w:p>
            <w:pPr>
              <w:spacing w:after="0"/>
              <w:rPr>
                <w:sz w:val="13"/>
                <w:szCs w:val="13"/>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3"/>
                <w:szCs w:val="13"/>
                <w:color w:val="auto"/>
              </w:rPr>
              <w:t>19</w:t>
            </w:r>
          </w:p>
        </w:tc>
        <w:tc>
          <w:tcPr>
            <w:tcW w:w="100" w:type="dxa"/>
            <w:vAlign w:val="bottom"/>
          </w:tcPr>
          <w:p>
            <w:pPr>
              <w:spacing w:after="0"/>
              <w:rPr>
                <w:sz w:val="13"/>
                <w:szCs w:val="13"/>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United Kingdom</w:t>
            </w: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50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28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w:t>
            </w:r>
          </w:p>
        </w:tc>
        <w:tc>
          <w:tcPr>
            <w:tcW w:w="100" w:type="dxa"/>
            <w:vAlign w:val="bottom"/>
            <w:shd w:val="clear" w:color="auto" w:fill="CCEEFF"/>
          </w:tcPr>
          <w:p>
            <w:pPr>
              <w:spacing w:after="0"/>
              <w:rPr>
                <w:sz w:val="13"/>
                <w:szCs w:val="13"/>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United States of America</w:t>
            </w:r>
          </w:p>
        </w:tc>
        <w:tc>
          <w:tcPr>
            <w:tcW w:w="280" w:type="dxa"/>
            <w:vAlign w:val="bottom"/>
          </w:tcPr>
          <w:p>
            <w:pPr>
              <w:spacing w:after="0"/>
              <w:rPr>
                <w:sz w:val="13"/>
                <w:szCs w:val="13"/>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1</w:t>
            </w:r>
          </w:p>
        </w:tc>
        <w:tc>
          <w:tcPr>
            <w:tcW w:w="500" w:type="dxa"/>
            <w:vAlign w:val="bottom"/>
          </w:tcPr>
          <w:p>
            <w:pPr>
              <w:spacing w:after="0"/>
              <w:rPr>
                <w:sz w:val="13"/>
                <w:szCs w:val="13"/>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33</w:t>
            </w:r>
          </w:p>
        </w:tc>
        <w:tc>
          <w:tcPr>
            <w:tcW w:w="280" w:type="dxa"/>
            <w:vAlign w:val="bottom"/>
          </w:tcPr>
          <w:p>
            <w:pPr>
              <w:spacing w:after="0"/>
              <w:rPr>
                <w:sz w:val="13"/>
                <w:szCs w:val="13"/>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3"/>
                <w:szCs w:val="13"/>
                <w:color w:val="auto"/>
              </w:rPr>
              <w:t>2</w:t>
            </w:r>
          </w:p>
        </w:tc>
        <w:tc>
          <w:tcPr>
            <w:tcW w:w="100" w:type="dxa"/>
            <w:vAlign w:val="bottom"/>
          </w:tcPr>
          <w:p>
            <w:pPr>
              <w:spacing w:after="0"/>
              <w:rPr>
                <w:sz w:val="13"/>
                <w:szCs w:val="13"/>
                <w:color w:val="auto"/>
              </w:rPr>
            </w:pPr>
          </w:p>
        </w:tc>
      </w:tr>
      <w:tr>
        <w:trPr>
          <w:trHeight w:val="16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Venezuela</w:t>
            </w:r>
          </w:p>
        </w:tc>
        <w:tc>
          <w:tcPr>
            <w:tcW w:w="280" w:type="dxa"/>
            <w:vAlign w:val="bottom"/>
            <w:shd w:val="clear" w:color="auto" w:fill="CCEEFF"/>
          </w:tcPr>
          <w:p>
            <w:pPr>
              <w:spacing w:after="0"/>
              <w:rPr>
                <w:sz w:val="14"/>
                <w:szCs w:val="14"/>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500" w:type="dxa"/>
            <w:vAlign w:val="bottom"/>
            <w:shd w:val="clear" w:color="auto" w:fill="CCEEFF"/>
          </w:tcPr>
          <w:p>
            <w:pPr>
              <w:spacing w:after="0"/>
              <w:rPr>
                <w:sz w:val="14"/>
                <w:szCs w:val="14"/>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28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47</w:t>
            </w:r>
          </w:p>
        </w:tc>
        <w:tc>
          <w:tcPr>
            <w:tcW w:w="100" w:type="dxa"/>
            <w:vAlign w:val="bottom"/>
            <w:shd w:val="clear" w:color="auto" w:fill="CCEEFF"/>
          </w:tcPr>
          <w:p>
            <w:pPr>
              <w:spacing w:after="0"/>
              <w:rPr>
                <w:sz w:val="14"/>
                <w:szCs w:val="14"/>
                <w:color w:val="auto"/>
              </w:rPr>
            </w:pPr>
          </w:p>
        </w:tc>
      </w:tr>
      <w:tr>
        <w:trPr>
          <w:trHeight w:val="162"/>
        </w:trPr>
        <w:tc>
          <w:tcPr>
            <w:tcW w:w="7120" w:type="dxa"/>
            <w:vAlign w:val="bottom"/>
          </w:tcPr>
          <w:p>
            <w:pPr>
              <w:ind w:left="120"/>
              <w:spacing w:after="0" w:line="146" w:lineRule="exact"/>
              <w:rPr>
                <w:sz w:val="20"/>
                <w:szCs w:val="20"/>
                <w:color w:val="auto"/>
              </w:rPr>
            </w:pPr>
            <w:r>
              <w:rPr>
                <w:rFonts w:ascii="Arial" w:cs="Arial" w:eastAsia="Arial" w:hAnsi="Arial"/>
                <w:sz w:val="13"/>
                <w:szCs w:val="13"/>
                <w:b w:val="1"/>
                <w:bCs w:val="1"/>
                <w:color w:val="auto"/>
              </w:rPr>
              <w:t>Total</w:t>
            </w:r>
          </w:p>
        </w:tc>
        <w:tc>
          <w:tcPr>
            <w:tcW w:w="280" w:type="dxa"/>
            <w:vAlign w:val="bottom"/>
            <w:tcBorders>
              <w:top w:val="single" w:sz="8" w:color="auto"/>
              <w:bottom w:val="single" w:sz="8" w:color="auto"/>
            </w:tcBorders>
          </w:tcPr>
          <w:p>
            <w:pPr>
              <w:jc w:val="right"/>
              <w:ind w:right="172"/>
              <w:spacing w:after="0"/>
              <w:rPr>
                <w:sz w:val="20"/>
                <w:szCs w:val="20"/>
                <w:color w:val="auto"/>
              </w:rPr>
            </w:pPr>
            <w:r>
              <w:rPr>
                <w:rFonts w:ascii="Arial" w:cs="Arial" w:eastAsia="Arial" w:hAnsi="Arial"/>
                <w:sz w:val="10"/>
                <w:szCs w:val="10"/>
                <w:b w:val="1"/>
                <w:bCs w:val="1"/>
                <w:color w:val="auto"/>
                <w:w w:val="71"/>
              </w:rPr>
              <w:t>$</w:t>
            </w: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2,971</w:t>
            </w:r>
          </w:p>
        </w:tc>
        <w:tc>
          <w:tcPr>
            <w:tcW w:w="220" w:type="dxa"/>
            <w:vAlign w:val="bottom"/>
          </w:tcPr>
          <w:p>
            <w:pPr>
              <w:spacing w:after="0"/>
              <w:rPr>
                <w:sz w:val="14"/>
                <w:szCs w:val="14"/>
                <w:color w:val="auto"/>
              </w:rPr>
            </w:pPr>
          </w:p>
        </w:tc>
        <w:tc>
          <w:tcPr>
            <w:tcW w:w="500" w:type="dxa"/>
            <w:vAlign w:val="bottom"/>
            <w:tcBorders>
              <w:top w:val="single" w:sz="8" w:color="auto"/>
              <w:bottom w:val="single" w:sz="8" w:color="auto"/>
            </w:tcBorders>
          </w:tcPr>
          <w:p>
            <w:pPr>
              <w:jc w:val="right"/>
              <w:ind w:right="384"/>
              <w:spacing w:after="0"/>
              <w:rPr>
                <w:sz w:val="20"/>
                <w:szCs w:val="20"/>
                <w:color w:val="auto"/>
              </w:rPr>
            </w:pPr>
            <w:r>
              <w:rPr>
                <w:rFonts w:ascii="Arial" w:cs="Arial" w:eastAsia="Arial" w:hAnsi="Arial"/>
                <w:sz w:val="10"/>
                <w:szCs w:val="10"/>
                <w:b w:val="1"/>
                <w:bCs w:val="1"/>
                <w:color w:val="auto"/>
                <w:w w:val="71"/>
              </w:rPr>
              <w:t>$</w:t>
            </w: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2,929</w:t>
            </w:r>
          </w:p>
        </w:tc>
        <w:tc>
          <w:tcPr>
            <w:tcW w:w="220" w:type="dxa"/>
            <w:vAlign w:val="bottom"/>
          </w:tcPr>
          <w:p>
            <w:pPr>
              <w:spacing w:after="0"/>
              <w:rPr>
                <w:sz w:val="14"/>
                <w:szCs w:val="14"/>
                <w:color w:val="auto"/>
              </w:rPr>
            </w:pPr>
          </w:p>
        </w:tc>
        <w:tc>
          <w:tcPr>
            <w:tcW w:w="280" w:type="dxa"/>
            <w:vAlign w:val="bottom"/>
            <w:tcBorders>
              <w:top w:val="single" w:sz="8" w:color="auto"/>
              <w:bottom w:val="single" w:sz="8" w:color="auto"/>
            </w:tcBorders>
          </w:tcPr>
          <w:p>
            <w:pPr>
              <w:jc w:val="right"/>
              <w:ind w:right="172"/>
              <w:spacing w:after="0"/>
              <w:rPr>
                <w:sz w:val="20"/>
                <w:szCs w:val="20"/>
                <w:color w:val="auto"/>
              </w:rPr>
            </w:pPr>
            <w:r>
              <w:rPr>
                <w:rFonts w:ascii="Arial" w:cs="Arial" w:eastAsia="Arial" w:hAnsi="Arial"/>
                <w:sz w:val="10"/>
                <w:szCs w:val="10"/>
                <w:b w:val="1"/>
                <w:bCs w:val="1"/>
                <w:color w:val="auto"/>
                <w:w w:val="71"/>
              </w:rPr>
              <w:t>$</w:t>
            </w: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2,803</w:t>
            </w:r>
          </w:p>
        </w:tc>
        <w:tc>
          <w:tcPr>
            <w:tcW w:w="2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bl>
    <w:p>
      <w:pPr>
        <w:spacing w:after="0" w:line="145"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Short-Term Borrowings and Debt, and Repos</w:t>
      </w:r>
    </w:p>
    <w:p>
      <w:pPr>
        <w:spacing w:after="0" w:line="159" w:lineRule="exact"/>
        <w:rPr>
          <w:sz w:val="20"/>
          <w:szCs w:val="20"/>
          <w:color w:val="auto"/>
        </w:rPr>
      </w:pPr>
    </w:p>
    <w:p>
      <w:pPr>
        <w:jc w:val="both"/>
        <w:ind w:right="20"/>
        <w:spacing w:after="0" w:line="360" w:lineRule="auto"/>
        <w:rPr>
          <w:sz w:val="20"/>
          <w:szCs w:val="20"/>
          <w:color w:val="auto"/>
        </w:rPr>
      </w:pPr>
      <w:r>
        <w:rPr>
          <w:rFonts w:ascii="Arial" w:cs="Arial" w:eastAsia="Arial" w:hAnsi="Arial"/>
          <w:sz w:val="11"/>
          <w:szCs w:val="11"/>
          <w:color w:val="auto"/>
        </w:rPr>
        <w:t>The Bank enters into financing transactions under repurchase agreements (“Repos”) with international banks from time to time, utilizing its investment securities portfolio as collateral to secure cost-effective funding. Repos are reported as secured financings in the financial statements. As of December 31, 2018, the Bank had outstanding Repos for $40 million, compared to no outstanding Repos as of December 31, 2017 and 2016.</w:t>
      </w:r>
    </w:p>
    <w:p>
      <w:pPr>
        <w:spacing w:after="0" w:line="83"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Short- and long-term borrowings and debt provide a global diversification of the Bank’s funding sources. The Bank uses these borrowings and debt placements, which generally have longer maturities than deposits, to manage its asset and liability positions.</w:t>
      </w:r>
    </w:p>
    <w:p>
      <w:pPr>
        <w:spacing w:after="0" w:line="129" w:lineRule="exact"/>
        <w:rPr>
          <w:sz w:val="20"/>
          <w:szCs w:val="20"/>
          <w:color w:val="auto"/>
        </w:rPr>
      </w:pPr>
    </w:p>
    <w:p>
      <w:pPr>
        <w:spacing w:after="0"/>
        <w:rPr>
          <w:sz w:val="20"/>
          <w:szCs w:val="20"/>
          <w:color w:val="auto"/>
        </w:rPr>
      </w:pPr>
      <w:r>
        <w:rPr>
          <w:rFonts w:ascii="Arial" w:cs="Arial" w:eastAsia="Arial" w:hAnsi="Arial"/>
          <w:sz w:val="12"/>
          <w:szCs w:val="12"/>
          <w:color w:val="auto"/>
        </w:rPr>
        <w:t>The Bank’s short-term borrowings and debt consist of borrowings from banks and debt instruments from notes issued under the Bank’s Euro Medium-Term Note Program that have maturities of up to 365 days.</w:t>
      </w:r>
    </w:p>
    <w:p>
      <w:pPr>
        <w:spacing w:after="0" w:line="170"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Short-term borrowings are made available to the Bank on an uncommitted basis for the financing of trade-related loans as well as for general business purposes. The Bank’s short- and medium-term borrowings mainly come from international correspondent banks from the United States, Japan, Canada, Europe and multilateral organizations.</w:t>
      </w:r>
    </w:p>
    <w:p>
      <w:pPr>
        <w:spacing w:after="0" w:line="278"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69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71" w:name="page72"/>
    <w:bookmarkEnd w:id="71"/>
    <w:p>
      <w:pPr>
        <w:jc w:val="both"/>
        <w:spacing w:after="0" w:line="257" w:lineRule="auto"/>
        <w:rPr>
          <w:sz w:val="20"/>
          <w:szCs w:val="20"/>
          <w:color w:val="auto"/>
        </w:rPr>
      </w:pPr>
      <w:r>
        <w:rPr>
          <w:rFonts w:ascii="Arial" w:cs="Arial" w:eastAsia="Arial" w:hAnsi="Arial"/>
          <w:sz w:val="13"/>
          <w:szCs w:val="13"/>
          <w:color w:val="auto"/>
        </w:rPr>
        <w:t>As of December 31, 2018, short-term borrowings and debt totaled $2,021 million, an 88% increase compared to $1,073 million as of December 31, 2017, as the Bank resorted to alternative funding sources in anticipation of a potential temporary decline of its deposit base by year-end. The average term remaining to maturity of short-term borrowings and debt as of December 31, 2018 was 146 days, compared to 137 days as of December 31, 2017.</w:t>
      </w:r>
    </w:p>
    <w:p>
      <w:pPr>
        <w:spacing w:after="0" w:line="136" w:lineRule="exact"/>
        <w:rPr>
          <w:sz w:val="20"/>
          <w:szCs w:val="20"/>
          <w:color w:val="auto"/>
        </w:rPr>
      </w:pPr>
    </w:p>
    <w:p>
      <w:pPr>
        <w:spacing w:after="0"/>
        <w:rPr>
          <w:sz w:val="20"/>
          <w:szCs w:val="20"/>
          <w:color w:val="auto"/>
        </w:rPr>
      </w:pPr>
      <w:r>
        <w:rPr>
          <w:rFonts w:ascii="Arial" w:cs="Arial" w:eastAsia="Arial" w:hAnsi="Arial"/>
          <w:sz w:val="13"/>
          <w:szCs w:val="13"/>
          <w:color w:val="auto"/>
        </w:rPr>
        <w:t>The following table presents information regarding the amounts outstanding under, and interest rates on, the Bank’s short-term borrowings and Repos at the dates and during the periods indicated.</w:t>
      </w:r>
    </w:p>
    <w:p>
      <w:pPr>
        <w:spacing w:after="0" w:line="164"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6740" w:type="dxa"/>
            <w:vAlign w:val="bottom"/>
          </w:tcPr>
          <w:p>
            <w:pPr>
              <w:spacing w:after="0"/>
              <w:rPr>
                <w:sz w:val="14"/>
                <w:szCs w:val="14"/>
                <w:color w:val="auto"/>
              </w:rPr>
            </w:pPr>
          </w:p>
        </w:tc>
        <w:tc>
          <w:tcPr>
            <w:tcW w:w="760" w:type="dxa"/>
            <w:vAlign w:val="bottom"/>
            <w:tcBorders>
              <w:bottom w:val="single" w:sz="8" w:color="auto"/>
            </w:tcBorders>
          </w:tcPr>
          <w:p>
            <w:pPr>
              <w:spacing w:after="0"/>
              <w:rPr>
                <w:sz w:val="14"/>
                <w:szCs w:val="14"/>
                <w:color w:val="auto"/>
              </w:rPr>
            </w:pPr>
          </w:p>
        </w:tc>
        <w:tc>
          <w:tcPr>
            <w:tcW w:w="2480" w:type="dxa"/>
            <w:vAlign w:val="bottom"/>
            <w:tcBorders>
              <w:bottom w:val="single" w:sz="8" w:color="auto"/>
            </w:tcBorders>
            <w:gridSpan w:val="6"/>
          </w:tcPr>
          <w:p>
            <w:pPr>
              <w:jc w:val="center"/>
              <w:spacing w:after="0"/>
              <w:rPr>
                <w:sz w:val="20"/>
                <w:szCs w:val="20"/>
                <w:color w:val="auto"/>
              </w:rPr>
            </w:pPr>
            <w:r>
              <w:rPr>
                <w:rFonts w:ascii="Arial" w:cs="Arial" w:eastAsia="Arial" w:hAnsi="Arial"/>
                <w:sz w:val="13"/>
                <w:szCs w:val="13"/>
                <w:b w:val="1"/>
                <w:bCs w:val="1"/>
                <w:color w:val="auto"/>
                <w:w w:val="89"/>
              </w:rPr>
              <w:t>As of and for the Year Ended December 31,</w:t>
            </w:r>
          </w:p>
        </w:tc>
        <w:tc>
          <w:tcPr>
            <w:tcW w:w="78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740" w:type="dxa"/>
            <w:vAlign w:val="bottom"/>
          </w:tcPr>
          <w:p>
            <w:pPr>
              <w:spacing w:after="0"/>
              <w:rPr>
                <w:sz w:val="13"/>
                <w:szCs w:val="13"/>
                <w:color w:val="auto"/>
              </w:rPr>
            </w:pPr>
          </w:p>
        </w:tc>
        <w:tc>
          <w:tcPr>
            <w:tcW w:w="76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2018</w:t>
            </w:r>
          </w:p>
        </w:tc>
        <w:tc>
          <w:tcPr>
            <w:tcW w:w="42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280" w:type="dxa"/>
            <w:vAlign w:val="bottom"/>
            <w:tcBorders>
              <w:bottom w:val="single" w:sz="8" w:color="auto"/>
            </w:tcBorders>
          </w:tcPr>
          <w:p>
            <w:pPr>
              <w:spacing w:after="0"/>
              <w:rPr>
                <w:sz w:val="13"/>
                <w:szCs w:val="13"/>
                <w:color w:val="auto"/>
              </w:rPr>
            </w:pPr>
          </w:p>
        </w:tc>
        <w:tc>
          <w:tcPr>
            <w:tcW w:w="920" w:type="dxa"/>
            <w:vAlign w:val="bottom"/>
            <w:tcBorders>
              <w:bottom w:val="single" w:sz="8" w:color="auto"/>
            </w:tcBorders>
          </w:tcPr>
          <w:p>
            <w:pPr>
              <w:jc w:val="center"/>
              <w:ind w:right="196"/>
              <w:spacing w:after="0"/>
              <w:rPr>
                <w:sz w:val="20"/>
                <w:szCs w:val="20"/>
                <w:color w:val="auto"/>
              </w:rPr>
            </w:pPr>
            <w:r>
              <w:rPr>
                <w:rFonts w:ascii="Arial" w:cs="Arial" w:eastAsia="Arial" w:hAnsi="Arial"/>
                <w:sz w:val="13"/>
                <w:szCs w:val="13"/>
                <w:b w:val="1"/>
                <w:bCs w:val="1"/>
                <w:color w:val="auto"/>
                <w:w w:val="89"/>
              </w:rPr>
              <w:t>2017</w:t>
            </w:r>
          </w:p>
        </w:tc>
        <w:tc>
          <w:tcPr>
            <w:tcW w:w="220" w:type="dxa"/>
            <w:vAlign w:val="bottom"/>
            <w:tcBorders>
              <w:bottom w:val="single" w:sz="8" w:color="auto"/>
            </w:tcBorders>
          </w:tcPr>
          <w:p>
            <w:pPr>
              <w:spacing w:after="0"/>
              <w:rPr>
                <w:sz w:val="13"/>
                <w:szCs w:val="13"/>
                <w:color w:val="auto"/>
              </w:rPr>
            </w:pPr>
          </w:p>
        </w:tc>
        <w:tc>
          <w:tcPr>
            <w:tcW w:w="420" w:type="dxa"/>
            <w:vAlign w:val="bottom"/>
            <w:tcBorders>
              <w:bottom w:val="single" w:sz="8" w:color="auto"/>
            </w:tcBorders>
          </w:tcPr>
          <w:p>
            <w:pPr>
              <w:spacing w:after="0"/>
              <w:rPr>
                <w:sz w:val="13"/>
                <w:szCs w:val="13"/>
                <w:color w:val="auto"/>
              </w:rPr>
            </w:pPr>
          </w:p>
        </w:tc>
        <w:tc>
          <w:tcPr>
            <w:tcW w:w="780" w:type="dxa"/>
            <w:vAlign w:val="bottom"/>
            <w:tcBorders>
              <w:bottom w:val="single" w:sz="8" w:color="auto"/>
            </w:tcBorders>
          </w:tcPr>
          <w:p>
            <w:pPr>
              <w:jc w:val="right"/>
              <w:ind w:right="416"/>
              <w:spacing w:after="0"/>
              <w:rPr>
                <w:sz w:val="20"/>
                <w:szCs w:val="20"/>
                <w:color w:val="auto"/>
              </w:rPr>
            </w:pPr>
            <w:r>
              <w:rPr>
                <w:rFonts w:ascii="Arial" w:cs="Arial" w:eastAsia="Arial" w:hAnsi="Arial"/>
                <w:sz w:val="13"/>
                <w:szCs w:val="13"/>
                <w:b w:val="1"/>
                <w:bCs w:val="1"/>
                <w:color w:val="auto"/>
                <w:w w:val="96"/>
              </w:rPr>
              <w:t>2016</w:t>
            </w: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674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480" w:type="dxa"/>
            <w:vAlign w:val="bottom"/>
            <w:gridSpan w:val="6"/>
          </w:tcPr>
          <w:p>
            <w:pPr>
              <w:jc w:val="center"/>
              <w:spacing w:after="0" w:line="144" w:lineRule="exact"/>
              <w:rPr>
                <w:sz w:val="20"/>
                <w:szCs w:val="20"/>
                <w:color w:val="auto"/>
              </w:rPr>
            </w:pPr>
            <w:r>
              <w:rPr>
                <w:rFonts w:ascii="Arial" w:cs="Arial" w:eastAsia="Arial" w:hAnsi="Arial"/>
                <w:sz w:val="13"/>
                <w:szCs w:val="13"/>
                <w:b w:val="1"/>
                <w:bCs w:val="1"/>
                <w:color w:val="auto"/>
                <w:w w:val="86"/>
              </w:rPr>
              <w:t>(in $ millions, except percentages)</w:t>
            </w: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74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Short-term borrowings, debt and Repos</w:t>
            </w:r>
          </w:p>
        </w:tc>
        <w:tc>
          <w:tcPr>
            <w:tcW w:w="760" w:type="dxa"/>
            <w:vAlign w:val="bottom"/>
            <w:shd w:val="clear" w:color="auto" w:fill="CCEEFF"/>
          </w:tcPr>
          <w:p>
            <w:pPr>
              <w:spacing w:after="0"/>
              <w:rPr>
                <w:sz w:val="13"/>
                <w:szCs w:val="13"/>
                <w:color w:val="auto"/>
              </w:rPr>
            </w:pPr>
          </w:p>
        </w:tc>
        <w:tc>
          <w:tcPr>
            <w:tcW w:w="4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420" w:type="dxa"/>
            <w:vAlign w:val="bottom"/>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740" w:type="dxa"/>
            <w:vAlign w:val="bottom"/>
          </w:tcPr>
          <w:p>
            <w:pPr>
              <w:spacing w:after="0"/>
              <w:rPr>
                <w:sz w:val="20"/>
                <w:szCs w:val="20"/>
                <w:color w:val="auto"/>
              </w:rPr>
            </w:pPr>
            <w:r>
              <w:rPr>
                <w:rFonts w:ascii="Arial" w:cs="Arial" w:eastAsia="Arial" w:hAnsi="Arial"/>
                <w:sz w:val="13"/>
                <w:szCs w:val="13"/>
                <w:color w:val="auto"/>
              </w:rPr>
              <w:t>Advances from banks and financial institutions</w:t>
            </w:r>
          </w:p>
        </w:tc>
        <w:tc>
          <w:tcPr>
            <w:tcW w:w="760" w:type="dxa"/>
            <w:vAlign w:val="bottom"/>
          </w:tcPr>
          <w:p>
            <w:pPr>
              <w:jc w:val="right"/>
              <w:ind w:right="649"/>
              <w:spacing w:after="0"/>
              <w:rPr>
                <w:sz w:val="20"/>
                <w:szCs w:val="20"/>
                <w:color w:val="auto"/>
              </w:rPr>
            </w:pPr>
            <w:r>
              <w:rPr>
                <w:rFonts w:ascii="Arial" w:cs="Arial" w:eastAsia="Arial" w:hAnsi="Arial"/>
                <w:sz w:val="10"/>
                <w:szCs w:val="10"/>
                <w:color w:val="auto"/>
                <w:w w:val="71"/>
              </w:rPr>
              <w:t>$</w:t>
            </w:r>
          </w:p>
        </w:tc>
        <w:tc>
          <w:tcPr>
            <w:tcW w:w="640" w:type="dxa"/>
            <w:vAlign w:val="bottom"/>
            <w:gridSpan w:val="2"/>
          </w:tcPr>
          <w:p>
            <w:pPr>
              <w:jc w:val="right"/>
              <w:ind w:right="220"/>
              <w:spacing w:after="0"/>
              <w:rPr>
                <w:sz w:val="20"/>
                <w:szCs w:val="20"/>
                <w:color w:val="auto"/>
              </w:rPr>
            </w:pPr>
            <w:r>
              <w:rPr>
                <w:rFonts w:ascii="Arial" w:cs="Arial" w:eastAsia="Arial" w:hAnsi="Arial"/>
                <w:sz w:val="13"/>
                <w:szCs w:val="13"/>
                <w:color w:val="auto"/>
              </w:rPr>
              <w:t>2,021</w:t>
            </w:r>
          </w:p>
        </w:tc>
        <w:tc>
          <w:tcPr>
            <w:tcW w:w="280" w:type="dxa"/>
            <w:vAlign w:val="bottom"/>
          </w:tcPr>
          <w:p>
            <w:pPr>
              <w:jc w:val="right"/>
              <w:ind w:right="136"/>
              <w:spacing w:after="0"/>
              <w:rPr>
                <w:sz w:val="20"/>
                <w:szCs w:val="20"/>
                <w:color w:val="auto"/>
              </w:rPr>
            </w:pPr>
            <w:r>
              <w:rPr>
                <w:rFonts w:ascii="Arial" w:cs="Arial" w:eastAsia="Arial" w:hAnsi="Arial"/>
                <w:sz w:val="13"/>
                <w:szCs w:val="13"/>
                <w:color w:val="auto"/>
                <w:w w:val="82"/>
              </w:rPr>
              <w:t>$</w:t>
            </w: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1,073</w:t>
            </w:r>
          </w:p>
        </w:tc>
        <w:tc>
          <w:tcPr>
            <w:tcW w:w="420" w:type="dxa"/>
            <w:vAlign w:val="bottom"/>
          </w:tcPr>
          <w:p>
            <w:pPr>
              <w:jc w:val="right"/>
              <w:ind w:right="312"/>
              <w:spacing w:after="0"/>
              <w:rPr>
                <w:sz w:val="20"/>
                <w:szCs w:val="20"/>
                <w:color w:val="auto"/>
              </w:rPr>
            </w:pPr>
            <w:r>
              <w:rPr>
                <w:rFonts w:ascii="Arial" w:cs="Arial" w:eastAsia="Arial" w:hAnsi="Arial"/>
                <w:sz w:val="10"/>
                <w:szCs w:val="10"/>
                <w:color w:val="auto"/>
                <w:w w:val="71"/>
              </w:rPr>
              <w:t>$</w:t>
            </w: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1,470</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6740" w:type="dxa"/>
            <w:vAlign w:val="bottom"/>
            <w:shd w:val="clear" w:color="auto" w:fill="CCEEFF"/>
          </w:tcPr>
          <w:p>
            <w:pPr>
              <w:spacing w:after="0"/>
              <w:rPr>
                <w:sz w:val="20"/>
                <w:szCs w:val="20"/>
                <w:color w:val="auto"/>
              </w:rPr>
            </w:pPr>
            <w:r>
              <w:rPr>
                <w:rFonts w:ascii="Arial" w:cs="Arial" w:eastAsia="Arial" w:hAnsi="Arial"/>
                <w:sz w:val="13"/>
                <w:szCs w:val="13"/>
                <w:color w:val="auto"/>
              </w:rPr>
              <w:t>Securities sold under repurchase agreements</w:t>
            </w:r>
          </w:p>
        </w:tc>
        <w:tc>
          <w:tcPr>
            <w:tcW w:w="760" w:type="dxa"/>
            <w:vAlign w:val="bottom"/>
            <w:shd w:val="clear" w:color="auto" w:fill="CCEEFF"/>
          </w:tcPr>
          <w:p>
            <w:pPr>
              <w:spacing w:after="0"/>
              <w:rPr>
                <w:sz w:val="14"/>
                <w:szCs w:val="14"/>
                <w:color w:val="auto"/>
              </w:rPr>
            </w:pPr>
          </w:p>
        </w:tc>
        <w:tc>
          <w:tcPr>
            <w:tcW w:w="6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40</w:t>
            </w:r>
          </w:p>
        </w:tc>
        <w:tc>
          <w:tcPr>
            <w:tcW w:w="280" w:type="dxa"/>
            <w:vAlign w:val="bottom"/>
            <w:shd w:val="clear" w:color="auto" w:fill="CCEEFF"/>
          </w:tcPr>
          <w:p>
            <w:pPr>
              <w:spacing w:after="0"/>
              <w:rPr>
                <w:sz w:val="14"/>
                <w:szCs w:val="14"/>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420" w:type="dxa"/>
            <w:vAlign w:val="bottom"/>
            <w:shd w:val="clear" w:color="auto" w:fill="CCEEFF"/>
          </w:tcPr>
          <w:p>
            <w:pPr>
              <w:spacing w:after="0"/>
              <w:rPr>
                <w:sz w:val="14"/>
                <w:szCs w:val="14"/>
                <w:color w:val="auto"/>
              </w:rPr>
            </w:pP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6740" w:type="dxa"/>
            <w:vAlign w:val="bottom"/>
          </w:tcPr>
          <w:p>
            <w:pPr>
              <w:ind w:left="100"/>
              <w:spacing w:after="0" w:line="143" w:lineRule="exact"/>
              <w:rPr>
                <w:sz w:val="20"/>
                <w:szCs w:val="20"/>
                <w:color w:val="auto"/>
              </w:rPr>
            </w:pPr>
            <w:r>
              <w:rPr>
                <w:rFonts w:ascii="Arial" w:cs="Arial" w:eastAsia="Arial" w:hAnsi="Arial"/>
                <w:sz w:val="13"/>
                <w:szCs w:val="13"/>
                <w:color w:val="auto"/>
              </w:rPr>
              <w:t>Total short-term borrowings, debt and Repos</w:t>
            </w:r>
          </w:p>
        </w:tc>
        <w:tc>
          <w:tcPr>
            <w:tcW w:w="760" w:type="dxa"/>
            <w:vAlign w:val="bottom"/>
            <w:tcBorders>
              <w:top w:val="single" w:sz="8" w:color="auto"/>
            </w:tcBorders>
          </w:tcPr>
          <w:p>
            <w:pPr>
              <w:jc w:val="right"/>
              <w:ind w:right="649"/>
              <w:spacing w:after="0"/>
              <w:rPr>
                <w:sz w:val="20"/>
                <w:szCs w:val="20"/>
                <w:color w:val="auto"/>
              </w:rPr>
            </w:pPr>
            <w:r>
              <w:rPr>
                <w:rFonts w:ascii="Arial" w:cs="Arial" w:eastAsia="Arial" w:hAnsi="Arial"/>
                <w:sz w:val="10"/>
                <w:szCs w:val="10"/>
                <w:b w:val="1"/>
                <w:bCs w:val="1"/>
                <w:color w:val="auto"/>
                <w:w w:val="71"/>
              </w:rPr>
              <w:t>$</w:t>
            </w:r>
          </w:p>
        </w:tc>
        <w:tc>
          <w:tcPr>
            <w:tcW w:w="42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2,061</w:t>
            </w:r>
          </w:p>
        </w:tc>
        <w:tc>
          <w:tcPr>
            <w:tcW w:w="220" w:type="dxa"/>
            <w:vAlign w:val="bottom"/>
          </w:tcPr>
          <w:p>
            <w:pPr>
              <w:spacing w:after="0"/>
              <w:rPr>
                <w:sz w:val="12"/>
                <w:szCs w:val="12"/>
                <w:color w:val="auto"/>
              </w:rPr>
            </w:pPr>
          </w:p>
        </w:tc>
        <w:tc>
          <w:tcPr>
            <w:tcW w:w="280" w:type="dxa"/>
            <w:vAlign w:val="bottom"/>
            <w:tcBorders>
              <w:top w:val="single" w:sz="8" w:color="auto"/>
            </w:tcBorders>
          </w:tcPr>
          <w:p>
            <w:pPr>
              <w:jc w:val="right"/>
              <w:ind w:right="136"/>
              <w:spacing w:after="0" w:line="144" w:lineRule="exact"/>
              <w:rPr>
                <w:sz w:val="20"/>
                <w:szCs w:val="20"/>
                <w:color w:val="auto"/>
              </w:rPr>
            </w:pPr>
            <w:r>
              <w:rPr>
                <w:rFonts w:ascii="Arial" w:cs="Arial" w:eastAsia="Arial" w:hAnsi="Arial"/>
                <w:sz w:val="13"/>
                <w:szCs w:val="13"/>
                <w:b w:val="1"/>
                <w:bCs w:val="1"/>
                <w:color w:val="auto"/>
                <w:w w:val="82"/>
              </w:rPr>
              <w:t>$</w:t>
            </w:r>
          </w:p>
        </w:tc>
        <w:tc>
          <w:tcPr>
            <w:tcW w:w="92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1,073</w:t>
            </w:r>
          </w:p>
        </w:tc>
        <w:tc>
          <w:tcPr>
            <w:tcW w:w="220" w:type="dxa"/>
            <w:vAlign w:val="bottom"/>
          </w:tcPr>
          <w:p>
            <w:pPr>
              <w:spacing w:after="0"/>
              <w:rPr>
                <w:sz w:val="12"/>
                <w:szCs w:val="12"/>
                <w:color w:val="auto"/>
              </w:rPr>
            </w:pPr>
          </w:p>
        </w:tc>
        <w:tc>
          <w:tcPr>
            <w:tcW w:w="420" w:type="dxa"/>
            <w:vAlign w:val="bottom"/>
            <w:tcBorders>
              <w:top w:val="single" w:sz="8" w:color="auto"/>
            </w:tcBorders>
          </w:tcPr>
          <w:p>
            <w:pPr>
              <w:jc w:val="right"/>
              <w:ind w:right="312"/>
              <w:spacing w:after="0"/>
              <w:rPr>
                <w:sz w:val="20"/>
                <w:szCs w:val="20"/>
                <w:color w:val="auto"/>
              </w:rPr>
            </w:pPr>
            <w:r>
              <w:rPr>
                <w:rFonts w:ascii="Arial" w:cs="Arial" w:eastAsia="Arial" w:hAnsi="Arial"/>
                <w:sz w:val="10"/>
                <w:szCs w:val="10"/>
                <w:b w:val="1"/>
                <w:bCs w:val="1"/>
                <w:color w:val="auto"/>
                <w:w w:val="71"/>
              </w:rPr>
              <w:t>$</w:t>
            </w:r>
          </w:p>
        </w:tc>
        <w:tc>
          <w:tcPr>
            <w:tcW w:w="78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1,470</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740" w:type="dxa"/>
            <w:vAlign w:val="bottom"/>
            <w:shd w:val="clear" w:color="auto" w:fill="CCEEFF"/>
          </w:tcPr>
          <w:p>
            <w:pPr>
              <w:spacing w:after="0"/>
              <w:rPr>
                <w:sz w:val="13"/>
                <w:szCs w:val="13"/>
                <w:color w:val="auto"/>
              </w:rPr>
            </w:pPr>
          </w:p>
        </w:tc>
        <w:tc>
          <w:tcPr>
            <w:tcW w:w="760" w:type="dxa"/>
            <w:vAlign w:val="bottom"/>
            <w:shd w:val="clear" w:color="auto" w:fill="CCEEFF"/>
          </w:tcPr>
          <w:p>
            <w:pPr>
              <w:spacing w:after="0"/>
              <w:rPr>
                <w:sz w:val="13"/>
                <w:szCs w:val="13"/>
                <w:color w:val="auto"/>
              </w:rPr>
            </w:pPr>
          </w:p>
        </w:tc>
        <w:tc>
          <w:tcPr>
            <w:tcW w:w="4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80" w:type="dxa"/>
            <w:vAlign w:val="bottom"/>
            <w:shd w:val="clear" w:color="auto" w:fill="CCEEFF"/>
          </w:tcPr>
          <w:p>
            <w:pPr>
              <w:spacing w:after="0"/>
              <w:rPr>
                <w:sz w:val="13"/>
                <w:szCs w:val="13"/>
                <w:color w:val="auto"/>
              </w:rPr>
            </w:pPr>
          </w:p>
        </w:tc>
        <w:tc>
          <w:tcPr>
            <w:tcW w:w="9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420" w:type="dxa"/>
            <w:vAlign w:val="bottom"/>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740" w:type="dxa"/>
            <w:vAlign w:val="bottom"/>
          </w:tcPr>
          <w:p>
            <w:pPr>
              <w:spacing w:after="0"/>
              <w:rPr>
                <w:sz w:val="20"/>
                <w:szCs w:val="20"/>
                <w:color w:val="auto"/>
              </w:rPr>
            </w:pPr>
            <w:r>
              <w:rPr>
                <w:rFonts w:ascii="Arial" w:cs="Arial" w:eastAsia="Arial" w:hAnsi="Arial"/>
                <w:sz w:val="13"/>
                <w:szCs w:val="13"/>
                <w:color w:val="auto"/>
              </w:rPr>
              <w:t>Maximum amount outstanding at any month-end</w:t>
            </w:r>
          </w:p>
        </w:tc>
        <w:tc>
          <w:tcPr>
            <w:tcW w:w="760" w:type="dxa"/>
            <w:vAlign w:val="bottom"/>
          </w:tcPr>
          <w:p>
            <w:pPr>
              <w:jc w:val="right"/>
              <w:ind w:right="649"/>
              <w:spacing w:after="0"/>
              <w:rPr>
                <w:sz w:val="20"/>
                <w:szCs w:val="20"/>
                <w:color w:val="auto"/>
              </w:rPr>
            </w:pPr>
            <w:r>
              <w:rPr>
                <w:rFonts w:ascii="Arial" w:cs="Arial" w:eastAsia="Arial" w:hAnsi="Arial"/>
                <w:sz w:val="10"/>
                <w:szCs w:val="10"/>
                <w:color w:val="auto"/>
                <w:w w:val="71"/>
              </w:rPr>
              <w:t>$</w:t>
            </w:r>
          </w:p>
        </w:tc>
        <w:tc>
          <w:tcPr>
            <w:tcW w:w="640" w:type="dxa"/>
            <w:vAlign w:val="bottom"/>
            <w:gridSpan w:val="2"/>
          </w:tcPr>
          <w:p>
            <w:pPr>
              <w:jc w:val="right"/>
              <w:ind w:right="220"/>
              <w:spacing w:after="0"/>
              <w:rPr>
                <w:sz w:val="20"/>
                <w:szCs w:val="20"/>
                <w:color w:val="auto"/>
              </w:rPr>
            </w:pPr>
            <w:r>
              <w:rPr>
                <w:rFonts w:ascii="Arial" w:cs="Arial" w:eastAsia="Arial" w:hAnsi="Arial"/>
                <w:sz w:val="13"/>
                <w:szCs w:val="13"/>
                <w:color w:val="auto"/>
              </w:rPr>
              <w:t>2,061</w:t>
            </w:r>
          </w:p>
        </w:tc>
        <w:tc>
          <w:tcPr>
            <w:tcW w:w="280" w:type="dxa"/>
            <w:vAlign w:val="bottom"/>
          </w:tcPr>
          <w:p>
            <w:pPr>
              <w:jc w:val="right"/>
              <w:ind w:right="136"/>
              <w:spacing w:after="0"/>
              <w:rPr>
                <w:sz w:val="20"/>
                <w:szCs w:val="20"/>
                <w:color w:val="auto"/>
              </w:rPr>
            </w:pPr>
            <w:r>
              <w:rPr>
                <w:rFonts w:ascii="Arial" w:cs="Arial" w:eastAsia="Arial" w:hAnsi="Arial"/>
                <w:sz w:val="13"/>
                <w:szCs w:val="13"/>
                <w:color w:val="auto"/>
                <w:w w:val="82"/>
              </w:rPr>
              <w:t>$</w:t>
            </w: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1,073</w:t>
            </w:r>
          </w:p>
        </w:tc>
        <w:tc>
          <w:tcPr>
            <w:tcW w:w="420" w:type="dxa"/>
            <w:vAlign w:val="bottom"/>
          </w:tcPr>
          <w:p>
            <w:pPr>
              <w:jc w:val="right"/>
              <w:ind w:right="312"/>
              <w:spacing w:after="0"/>
              <w:rPr>
                <w:sz w:val="20"/>
                <w:szCs w:val="20"/>
                <w:color w:val="auto"/>
              </w:rPr>
            </w:pPr>
            <w:r>
              <w:rPr>
                <w:rFonts w:ascii="Arial" w:cs="Arial" w:eastAsia="Arial" w:hAnsi="Arial"/>
                <w:sz w:val="10"/>
                <w:szCs w:val="10"/>
                <w:color w:val="auto"/>
                <w:w w:val="71"/>
              </w:rPr>
              <w:t>$</w:t>
            </w: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1,984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740" w:type="dxa"/>
            <w:vAlign w:val="bottom"/>
            <w:shd w:val="clear" w:color="auto" w:fill="CCEEFF"/>
          </w:tcPr>
          <w:p>
            <w:pPr>
              <w:spacing w:after="0"/>
              <w:rPr>
                <w:sz w:val="20"/>
                <w:szCs w:val="20"/>
                <w:color w:val="auto"/>
              </w:rPr>
            </w:pPr>
            <w:r>
              <w:rPr>
                <w:rFonts w:ascii="Arial" w:cs="Arial" w:eastAsia="Arial" w:hAnsi="Arial"/>
                <w:sz w:val="13"/>
                <w:szCs w:val="13"/>
                <w:color w:val="auto"/>
              </w:rPr>
              <w:t>Amount outstanding at year-end</w:t>
            </w:r>
          </w:p>
        </w:tc>
        <w:tc>
          <w:tcPr>
            <w:tcW w:w="760" w:type="dxa"/>
            <w:vAlign w:val="bottom"/>
            <w:shd w:val="clear" w:color="auto" w:fill="CCEEFF"/>
          </w:tcPr>
          <w:p>
            <w:pPr>
              <w:jc w:val="right"/>
              <w:ind w:right="649"/>
              <w:spacing w:after="0"/>
              <w:rPr>
                <w:sz w:val="20"/>
                <w:szCs w:val="20"/>
                <w:color w:val="auto"/>
              </w:rPr>
            </w:pPr>
            <w:r>
              <w:rPr>
                <w:rFonts w:ascii="Arial" w:cs="Arial" w:eastAsia="Arial" w:hAnsi="Arial"/>
                <w:sz w:val="10"/>
                <w:szCs w:val="10"/>
                <w:color w:val="auto"/>
                <w:w w:val="71"/>
              </w:rPr>
              <w:t>$</w:t>
            </w:r>
          </w:p>
        </w:tc>
        <w:tc>
          <w:tcPr>
            <w:tcW w:w="6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2,061</w:t>
            </w:r>
          </w:p>
        </w:tc>
        <w:tc>
          <w:tcPr>
            <w:tcW w:w="280" w:type="dxa"/>
            <w:vAlign w:val="bottom"/>
            <w:shd w:val="clear" w:color="auto" w:fill="CCEEFF"/>
          </w:tcPr>
          <w:p>
            <w:pPr>
              <w:jc w:val="right"/>
              <w:ind w:right="136"/>
              <w:spacing w:after="0"/>
              <w:rPr>
                <w:sz w:val="20"/>
                <w:szCs w:val="20"/>
                <w:color w:val="auto"/>
              </w:rPr>
            </w:pPr>
            <w:r>
              <w:rPr>
                <w:rFonts w:ascii="Arial" w:cs="Arial" w:eastAsia="Arial" w:hAnsi="Arial"/>
                <w:sz w:val="13"/>
                <w:szCs w:val="13"/>
                <w:color w:val="auto"/>
                <w:w w:val="82"/>
              </w:rPr>
              <w:t>$</w:t>
            </w: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1,073</w:t>
            </w:r>
          </w:p>
        </w:tc>
        <w:tc>
          <w:tcPr>
            <w:tcW w:w="420" w:type="dxa"/>
            <w:vAlign w:val="bottom"/>
            <w:shd w:val="clear" w:color="auto" w:fill="CCEEFF"/>
          </w:tcPr>
          <w:p>
            <w:pPr>
              <w:jc w:val="right"/>
              <w:ind w:right="312"/>
              <w:spacing w:after="0"/>
              <w:rPr>
                <w:sz w:val="20"/>
                <w:szCs w:val="20"/>
                <w:color w:val="auto"/>
              </w:rPr>
            </w:pPr>
            <w:r>
              <w:rPr>
                <w:rFonts w:ascii="Arial" w:cs="Arial" w:eastAsia="Arial" w:hAnsi="Arial"/>
                <w:sz w:val="10"/>
                <w:szCs w:val="10"/>
                <w:color w:val="auto"/>
                <w:w w:val="71"/>
              </w:rPr>
              <w:t>$</w:t>
            </w:r>
          </w:p>
        </w:tc>
        <w:tc>
          <w:tcPr>
            <w:tcW w:w="9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1,470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740" w:type="dxa"/>
            <w:vAlign w:val="bottom"/>
          </w:tcPr>
          <w:p>
            <w:pPr>
              <w:spacing w:after="0"/>
              <w:rPr>
                <w:sz w:val="20"/>
                <w:szCs w:val="20"/>
                <w:color w:val="auto"/>
              </w:rPr>
            </w:pPr>
            <w:r>
              <w:rPr>
                <w:rFonts w:ascii="Arial" w:cs="Arial" w:eastAsia="Arial" w:hAnsi="Arial"/>
                <w:sz w:val="13"/>
                <w:szCs w:val="13"/>
                <w:color w:val="auto"/>
              </w:rPr>
              <w:t>Average amount outstanding during the year</w:t>
            </w:r>
          </w:p>
        </w:tc>
        <w:tc>
          <w:tcPr>
            <w:tcW w:w="760" w:type="dxa"/>
            <w:vAlign w:val="bottom"/>
          </w:tcPr>
          <w:p>
            <w:pPr>
              <w:jc w:val="right"/>
              <w:ind w:right="649"/>
              <w:spacing w:after="0"/>
              <w:rPr>
                <w:sz w:val="20"/>
                <w:szCs w:val="20"/>
                <w:color w:val="auto"/>
              </w:rPr>
            </w:pPr>
            <w:r>
              <w:rPr>
                <w:rFonts w:ascii="Arial" w:cs="Arial" w:eastAsia="Arial" w:hAnsi="Arial"/>
                <w:sz w:val="10"/>
                <w:szCs w:val="10"/>
                <w:color w:val="auto"/>
                <w:w w:val="71"/>
              </w:rPr>
              <w:t>$</w:t>
            </w:r>
          </w:p>
        </w:tc>
        <w:tc>
          <w:tcPr>
            <w:tcW w:w="640" w:type="dxa"/>
            <w:vAlign w:val="bottom"/>
            <w:gridSpan w:val="2"/>
          </w:tcPr>
          <w:p>
            <w:pPr>
              <w:jc w:val="right"/>
              <w:ind w:right="220"/>
              <w:spacing w:after="0"/>
              <w:rPr>
                <w:sz w:val="20"/>
                <w:szCs w:val="20"/>
                <w:color w:val="auto"/>
              </w:rPr>
            </w:pPr>
            <w:r>
              <w:rPr>
                <w:rFonts w:ascii="Arial" w:cs="Arial" w:eastAsia="Arial" w:hAnsi="Arial"/>
                <w:sz w:val="13"/>
                <w:szCs w:val="13"/>
                <w:color w:val="auto"/>
              </w:rPr>
              <w:t>1,123</w:t>
            </w:r>
          </w:p>
        </w:tc>
        <w:tc>
          <w:tcPr>
            <w:tcW w:w="280" w:type="dxa"/>
            <w:vAlign w:val="bottom"/>
          </w:tcPr>
          <w:p>
            <w:pPr>
              <w:jc w:val="right"/>
              <w:ind w:right="136"/>
              <w:spacing w:after="0"/>
              <w:rPr>
                <w:sz w:val="20"/>
                <w:szCs w:val="20"/>
                <w:color w:val="auto"/>
              </w:rPr>
            </w:pPr>
            <w:r>
              <w:rPr>
                <w:rFonts w:ascii="Arial" w:cs="Arial" w:eastAsia="Arial" w:hAnsi="Arial"/>
                <w:sz w:val="13"/>
                <w:szCs w:val="13"/>
                <w:color w:val="auto"/>
                <w:w w:val="82"/>
              </w:rPr>
              <w:t>$</w:t>
            </w: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710</w:t>
            </w:r>
          </w:p>
        </w:tc>
        <w:tc>
          <w:tcPr>
            <w:tcW w:w="420" w:type="dxa"/>
            <w:vAlign w:val="bottom"/>
          </w:tcPr>
          <w:p>
            <w:pPr>
              <w:jc w:val="right"/>
              <w:ind w:right="312"/>
              <w:spacing w:after="0"/>
              <w:rPr>
                <w:sz w:val="20"/>
                <w:szCs w:val="20"/>
                <w:color w:val="auto"/>
              </w:rPr>
            </w:pPr>
            <w:r>
              <w:rPr>
                <w:rFonts w:ascii="Arial" w:cs="Arial" w:eastAsia="Arial" w:hAnsi="Arial"/>
                <w:sz w:val="10"/>
                <w:szCs w:val="10"/>
                <w:color w:val="auto"/>
                <w:w w:val="71"/>
              </w:rPr>
              <w:t>$</w:t>
            </w: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1,449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740" w:type="dxa"/>
            <w:vAlign w:val="bottom"/>
            <w:shd w:val="clear" w:color="auto" w:fill="CCEEFF"/>
          </w:tcPr>
          <w:p>
            <w:pPr>
              <w:spacing w:after="0"/>
              <w:rPr>
                <w:sz w:val="20"/>
                <w:szCs w:val="20"/>
                <w:color w:val="auto"/>
              </w:rPr>
            </w:pPr>
            <w:r>
              <w:rPr>
                <w:rFonts w:ascii="Arial" w:cs="Arial" w:eastAsia="Arial" w:hAnsi="Arial"/>
                <w:sz w:val="13"/>
                <w:szCs w:val="13"/>
                <w:color w:val="auto"/>
              </w:rPr>
              <w:t>Weighted average interest rate on average amount outstanding</w:t>
            </w:r>
          </w:p>
        </w:tc>
        <w:tc>
          <w:tcPr>
            <w:tcW w:w="760" w:type="dxa"/>
            <w:vAlign w:val="bottom"/>
            <w:shd w:val="clear" w:color="auto" w:fill="CCEEFF"/>
          </w:tcPr>
          <w:p>
            <w:pPr>
              <w:spacing w:after="0"/>
              <w:rPr>
                <w:sz w:val="13"/>
                <w:szCs w:val="13"/>
                <w:color w:val="auto"/>
              </w:rPr>
            </w:pP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2.98%</w:t>
            </w:r>
          </w:p>
        </w:tc>
        <w:tc>
          <w:tcPr>
            <w:tcW w:w="28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1.66%</w:t>
            </w:r>
          </w:p>
        </w:tc>
        <w:tc>
          <w:tcPr>
            <w:tcW w:w="420" w:type="dxa"/>
            <w:vAlign w:val="bottom"/>
            <w:shd w:val="clear" w:color="auto" w:fill="CCEEFF"/>
          </w:tcPr>
          <w:p>
            <w:pPr>
              <w:spacing w:after="0"/>
              <w:rPr>
                <w:sz w:val="13"/>
                <w:szCs w:val="13"/>
                <w:color w:val="auto"/>
              </w:rPr>
            </w:pPr>
          </w:p>
        </w:tc>
        <w:tc>
          <w:tcPr>
            <w:tcW w:w="90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1.12%</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6740" w:type="dxa"/>
            <w:vAlign w:val="bottom"/>
          </w:tcPr>
          <w:p>
            <w:pPr>
              <w:spacing w:after="0"/>
              <w:rPr>
                <w:sz w:val="20"/>
                <w:szCs w:val="20"/>
                <w:color w:val="auto"/>
              </w:rPr>
            </w:pPr>
            <w:r>
              <w:rPr>
                <w:rFonts w:ascii="Arial" w:cs="Arial" w:eastAsia="Arial" w:hAnsi="Arial"/>
                <w:sz w:val="13"/>
                <w:szCs w:val="13"/>
                <w:color w:val="auto"/>
              </w:rPr>
              <w:t>Weighted average interest rate on amount outstanding at year end</w:t>
            </w:r>
          </w:p>
        </w:tc>
        <w:tc>
          <w:tcPr>
            <w:tcW w:w="760" w:type="dxa"/>
            <w:vAlign w:val="bottom"/>
          </w:tcPr>
          <w:p>
            <w:pPr>
              <w:spacing w:after="0"/>
              <w:rPr>
                <w:sz w:val="14"/>
                <w:szCs w:val="14"/>
                <w:color w:val="auto"/>
              </w:rPr>
            </w:pPr>
          </w:p>
        </w:tc>
        <w:tc>
          <w:tcPr>
            <w:tcW w:w="640" w:type="dxa"/>
            <w:vAlign w:val="bottom"/>
            <w:gridSpan w:val="2"/>
          </w:tcPr>
          <w:p>
            <w:pPr>
              <w:jc w:val="right"/>
              <w:ind w:right="100"/>
              <w:spacing w:after="0"/>
              <w:rPr>
                <w:sz w:val="20"/>
                <w:szCs w:val="20"/>
                <w:color w:val="auto"/>
              </w:rPr>
            </w:pPr>
            <w:r>
              <w:rPr>
                <w:rFonts w:ascii="Arial" w:cs="Arial" w:eastAsia="Arial" w:hAnsi="Arial"/>
                <w:sz w:val="13"/>
                <w:szCs w:val="13"/>
                <w:color w:val="auto"/>
              </w:rPr>
              <w:t>2.93%</w:t>
            </w:r>
          </w:p>
        </w:tc>
        <w:tc>
          <w:tcPr>
            <w:tcW w:w="280" w:type="dxa"/>
            <w:vAlign w:val="bottom"/>
          </w:tcPr>
          <w:p>
            <w:pPr>
              <w:spacing w:after="0"/>
              <w:rPr>
                <w:sz w:val="14"/>
                <w:szCs w:val="14"/>
                <w:color w:val="auto"/>
              </w:rPr>
            </w:pPr>
          </w:p>
        </w:tc>
        <w:tc>
          <w:tcPr>
            <w:tcW w:w="1140" w:type="dxa"/>
            <w:vAlign w:val="bottom"/>
            <w:gridSpan w:val="2"/>
          </w:tcPr>
          <w:p>
            <w:pPr>
              <w:jc w:val="right"/>
              <w:ind w:right="120"/>
              <w:spacing w:after="0"/>
              <w:rPr>
                <w:sz w:val="20"/>
                <w:szCs w:val="20"/>
                <w:color w:val="auto"/>
              </w:rPr>
            </w:pPr>
            <w:r>
              <w:rPr>
                <w:rFonts w:ascii="Arial" w:cs="Arial" w:eastAsia="Arial" w:hAnsi="Arial"/>
                <w:sz w:val="13"/>
                <w:szCs w:val="13"/>
                <w:color w:val="auto"/>
              </w:rPr>
              <w:t>2.16%</w:t>
            </w:r>
          </w:p>
        </w:tc>
        <w:tc>
          <w:tcPr>
            <w:tcW w:w="420" w:type="dxa"/>
            <w:vAlign w:val="bottom"/>
          </w:tcPr>
          <w:p>
            <w:pPr>
              <w:spacing w:after="0"/>
              <w:rPr>
                <w:sz w:val="14"/>
                <w:szCs w:val="14"/>
                <w:color w:val="auto"/>
              </w:rPr>
            </w:pPr>
          </w:p>
        </w:tc>
        <w:tc>
          <w:tcPr>
            <w:tcW w:w="900" w:type="dxa"/>
            <w:vAlign w:val="bottom"/>
            <w:gridSpan w:val="2"/>
          </w:tcPr>
          <w:p>
            <w:pPr>
              <w:jc w:val="right"/>
              <w:ind w:right="20"/>
              <w:spacing w:after="0"/>
              <w:rPr>
                <w:sz w:val="20"/>
                <w:szCs w:val="20"/>
                <w:color w:val="auto"/>
              </w:rPr>
            </w:pPr>
            <w:r>
              <w:rPr>
                <w:rFonts w:ascii="Arial" w:cs="Arial" w:eastAsia="Arial" w:hAnsi="Arial"/>
                <w:sz w:val="13"/>
                <w:szCs w:val="13"/>
                <w:color w:val="auto"/>
              </w:rPr>
              <w:t>1.11%</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740" w:type="dxa"/>
            <w:vAlign w:val="bottom"/>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4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80" w:type="dxa"/>
            <w:vAlign w:val="bottom"/>
            <w:shd w:val="clear" w:color="auto" w:fill="000000"/>
          </w:tcPr>
          <w:p>
            <w:pPr>
              <w:spacing w:after="0" w:line="20" w:lineRule="exact"/>
              <w:rPr>
                <w:sz w:val="1"/>
                <w:szCs w:val="1"/>
                <w:color w:val="auto"/>
              </w:rPr>
            </w:pPr>
          </w:p>
        </w:tc>
        <w:tc>
          <w:tcPr>
            <w:tcW w:w="9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20" w:type="dxa"/>
            <w:vAlign w:val="bottom"/>
            <w:shd w:val="clear" w:color="auto" w:fill="000000"/>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45"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Long-term borrowings and debt</w:t>
      </w:r>
    </w:p>
    <w:p>
      <w:pPr>
        <w:spacing w:after="0" w:line="15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Long-term borrowings consist of long-term bilateral and syndicated loans obtained from international banks. Debt instruments consist of private issuances under the Bank’s Euro Medium-Term Note Program, as well as public issuances in Japan and Mexico and a private placement in the U.S.</w:t>
      </w:r>
    </w:p>
    <w:p>
      <w:pPr>
        <w:spacing w:after="0" w:line="129" w:lineRule="exact"/>
        <w:rPr>
          <w:sz w:val="20"/>
          <w:szCs w:val="20"/>
          <w:color w:val="auto"/>
        </w:rPr>
      </w:pPr>
    </w:p>
    <w:p>
      <w:pPr>
        <w:jc w:val="both"/>
        <w:spacing w:after="0" w:line="252" w:lineRule="auto"/>
        <w:rPr>
          <w:sz w:val="20"/>
          <w:szCs w:val="20"/>
          <w:color w:val="auto"/>
        </w:rPr>
      </w:pPr>
      <w:r>
        <w:rPr>
          <w:rFonts w:ascii="Arial" w:cs="Arial" w:eastAsia="Arial" w:hAnsi="Arial"/>
          <w:sz w:val="13"/>
          <w:szCs w:val="13"/>
          <w:color w:val="auto"/>
        </w:rPr>
        <w:t>Interest rates on most long-term borrowings and issuances are adjusted monthly, quarterly or semi-annually based on short-term LIBOR rates plus a credit spread. The credit spread is defined according to several factors, including credit ratings, risk perception, and the original contractual term to maturity. The Bank uses these funds primarily to finance its medium-term and long-term Loan Portfolio, as well as to further enhance the stability of its overall funding base. As of December 31, 2018, gross long-term borrowings and debt increased 31% to $1,501 million, from $1,143 million as of December 31, 2017, as a result of the Bank’s commercial lending origination activities and its liquidity position management. As of December 31, 2018, the average term remaining to maturity of the Bank’s medium and long-term borrowing and debt was two years (735 days), compared to two years and two months (808 days) as of December 31, 2017.</w:t>
      </w:r>
    </w:p>
    <w:p>
      <w:pPr>
        <w:spacing w:after="0" w:line="139" w:lineRule="exact"/>
        <w:rPr>
          <w:sz w:val="20"/>
          <w:szCs w:val="20"/>
          <w:color w:val="auto"/>
        </w:rPr>
      </w:pPr>
    </w:p>
    <w:p>
      <w:pPr>
        <w:spacing w:after="0"/>
        <w:rPr>
          <w:sz w:val="20"/>
          <w:szCs w:val="20"/>
          <w:color w:val="auto"/>
        </w:rPr>
      </w:pPr>
      <w:r>
        <w:rPr>
          <w:rFonts w:ascii="Arial" w:cs="Arial" w:eastAsia="Arial" w:hAnsi="Arial"/>
          <w:sz w:val="13"/>
          <w:szCs w:val="13"/>
          <w:color w:val="auto"/>
        </w:rPr>
        <w:t>The following table presents information regarding the gross amounts outstanding under, and interest rates on, the Bank’s long-term borrowings and debt at the dates and during the periods indicated.</w:t>
      </w:r>
    </w:p>
    <w:p>
      <w:pPr>
        <w:spacing w:after="0" w:line="164" w:lineRule="exact"/>
        <w:rPr>
          <w:sz w:val="20"/>
          <w:szCs w:val="20"/>
          <w:color w:val="auto"/>
        </w:rPr>
      </w:pPr>
    </w:p>
    <w:tbl>
      <w:tblPr>
        <w:tblLayout w:type="fixed"/>
        <w:tblInd w:w="280" w:type="dxa"/>
        <w:tblCellMar>
          <w:top w:w="0" w:type="dxa"/>
          <w:left w:w="0" w:type="dxa"/>
          <w:bottom w:w="0" w:type="dxa"/>
          <w:right w:w="0" w:type="dxa"/>
        </w:tblCellMar>
      </w:tblPr>
      <w:tr>
        <w:trPr>
          <w:trHeight w:val="167"/>
        </w:trPr>
        <w:tc>
          <w:tcPr>
            <w:tcW w:w="6760" w:type="dxa"/>
            <w:vAlign w:val="bottom"/>
          </w:tcPr>
          <w:p>
            <w:pPr>
              <w:spacing w:after="0"/>
              <w:rPr>
                <w:sz w:val="14"/>
                <w:szCs w:val="14"/>
                <w:color w:val="auto"/>
              </w:rPr>
            </w:pPr>
          </w:p>
        </w:tc>
        <w:tc>
          <w:tcPr>
            <w:tcW w:w="780" w:type="dxa"/>
            <w:vAlign w:val="bottom"/>
            <w:tcBorders>
              <w:bottom w:val="single" w:sz="8" w:color="auto"/>
            </w:tcBorders>
          </w:tcPr>
          <w:p>
            <w:pPr>
              <w:spacing w:after="0"/>
              <w:rPr>
                <w:sz w:val="14"/>
                <w:szCs w:val="14"/>
                <w:color w:val="auto"/>
              </w:rPr>
            </w:pPr>
          </w:p>
        </w:tc>
        <w:tc>
          <w:tcPr>
            <w:tcW w:w="2480" w:type="dxa"/>
            <w:vAlign w:val="bottom"/>
            <w:tcBorders>
              <w:bottom w:val="single" w:sz="8" w:color="auto"/>
            </w:tcBorders>
            <w:gridSpan w:val="4"/>
          </w:tcPr>
          <w:p>
            <w:pPr>
              <w:jc w:val="center"/>
              <w:spacing w:after="0"/>
              <w:rPr>
                <w:sz w:val="20"/>
                <w:szCs w:val="20"/>
                <w:color w:val="auto"/>
              </w:rPr>
            </w:pPr>
            <w:r>
              <w:rPr>
                <w:rFonts w:ascii="Arial" w:cs="Arial" w:eastAsia="Arial" w:hAnsi="Arial"/>
                <w:sz w:val="13"/>
                <w:szCs w:val="13"/>
                <w:b w:val="1"/>
                <w:bCs w:val="1"/>
                <w:color w:val="auto"/>
                <w:w w:val="89"/>
              </w:rPr>
              <w:t>As of and for the Year Ended December 31,</w:t>
            </w:r>
          </w:p>
        </w:tc>
        <w:tc>
          <w:tcPr>
            <w:tcW w:w="76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r>
      <w:tr>
        <w:trPr>
          <w:trHeight w:val="154"/>
        </w:trPr>
        <w:tc>
          <w:tcPr>
            <w:tcW w:w="6760" w:type="dxa"/>
            <w:vAlign w:val="bottom"/>
          </w:tcPr>
          <w:p>
            <w:pPr>
              <w:spacing w:after="0"/>
              <w:rPr>
                <w:sz w:val="13"/>
                <w:szCs w:val="13"/>
                <w:color w:val="auto"/>
              </w:rPr>
            </w:pPr>
          </w:p>
        </w:tc>
        <w:tc>
          <w:tcPr>
            <w:tcW w:w="780" w:type="dxa"/>
            <w:vAlign w:val="bottom"/>
            <w:tcBorders>
              <w:bottom w:val="single" w:sz="8" w:color="auto"/>
            </w:tcBorders>
          </w:tcPr>
          <w:p>
            <w:pPr>
              <w:jc w:val="right"/>
              <w:ind w:right="8"/>
              <w:spacing w:after="0"/>
              <w:rPr>
                <w:sz w:val="20"/>
                <w:szCs w:val="20"/>
                <w:color w:val="auto"/>
              </w:rPr>
            </w:pPr>
            <w:r>
              <w:rPr>
                <w:rFonts w:ascii="Arial" w:cs="Arial" w:eastAsia="Arial" w:hAnsi="Arial"/>
                <w:sz w:val="13"/>
                <w:szCs w:val="13"/>
                <w:b w:val="1"/>
                <w:bCs w:val="1"/>
                <w:color w:val="auto"/>
              </w:rPr>
              <w:t>2018</w:t>
            </w:r>
          </w:p>
        </w:tc>
        <w:tc>
          <w:tcPr>
            <w:tcW w:w="580" w:type="dxa"/>
            <w:vAlign w:val="bottom"/>
            <w:tcBorders>
              <w:bottom w:val="single" w:sz="8" w:color="auto"/>
            </w:tcBorders>
          </w:tcPr>
          <w:p>
            <w:pPr>
              <w:spacing w:after="0"/>
              <w:rPr>
                <w:sz w:val="13"/>
                <w:szCs w:val="13"/>
                <w:color w:val="auto"/>
              </w:rPr>
            </w:pPr>
          </w:p>
        </w:tc>
        <w:tc>
          <w:tcPr>
            <w:tcW w:w="320" w:type="dxa"/>
            <w:vAlign w:val="bottom"/>
            <w:tcBorders>
              <w:bottom w:val="single" w:sz="8" w:color="auto"/>
            </w:tcBorders>
          </w:tcPr>
          <w:p>
            <w:pPr>
              <w:spacing w:after="0"/>
              <w:rPr>
                <w:sz w:val="13"/>
                <w:szCs w:val="13"/>
                <w:color w:val="auto"/>
              </w:rPr>
            </w:pPr>
          </w:p>
        </w:tc>
        <w:tc>
          <w:tcPr>
            <w:tcW w:w="1100" w:type="dxa"/>
            <w:vAlign w:val="bottom"/>
            <w:tcBorders>
              <w:bottom w:val="single" w:sz="8" w:color="auto"/>
            </w:tcBorders>
          </w:tcPr>
          <w:p>
            <w:pPr>
              <w:jc w:val="center"/>
              <w:ind w:right="376"/>
              <w:spacing w:after="0"/>
              <w:rPr>
                <w:sz w:val="20"/>
                <w:szCs w:val="20"/>
                <w:color w:val="auto"/>
              </w:rPr>
            </w:pPr>
            <w:r>
              <w:rPr>
                <w:rFonts w:ascii="Arial" w:cs="Arial" w:eastAsia="Arial" w:hAnsi="Arial"/>
                <w:sz w:val="13"/>
                <w:szCs w:val="13"/>
                <w:b w:val="1"/>
                <w:bCs w:val="1"/>
                <w:color w:val="auto"/>
                <w:w w:val="89"/>
              </w:rPr>
              <w:t>2017</w:t>
            </w:r>
          </w:p>
        </w:tc>
        <w:tc>
          <w:tcPr>
            <w:tcW w:w="480" w:type="dxa"/>
            <w:vAlign w:val="bottom"/>
            <w:tcBorders>
              <w:bottom w:val="single" w:sz="8" w:color="auto"/>
            </w:tcBorders>
          </w:tcPr>
          <w:p>
            <w:pPr>
              <w:spacing w:after="0"/>
              <w:rPr>
                <w:sz w:val="13"/>
                <w:szCs w:val="13"/>
                <w:color w:val="auto"/>
              </w:rPr>
            </w:pPr>
          </w:p>
        </w:tc>
        <w:tc>
          <w:tcPr>
            <w:tcW w:w="760" w:type="dxa"/>
            <w:vAlign w:val="bottom"/>
            <w:tcBorders>
              <w:bottom w:val="single" w:sz="8" w:color="auto"/>
            </w:tcBorders>
          </w:tcPr>
          <w:p>
            <w:pPr>
              <w:jc w:val="right"/>
              <w:ind w:right="396"/>
              <w:spacing w:after="0"/>
              <w:rPr>
                <w:sz w:val="20"/>
                <w:szCs w:val="20"/>
                <w:color w:val="auto"/>
              </w:rPr>
            </w:pPr>
            <w:r>
              <w:rPr>
                <w:rFonts w:ascii="Arial" w:cs="Arial" w:eastAsia="Arial" w:hAnsi="Arial"/>
                <w:sz w:val="13"/>
                <w:szCs w:val="13"/>
                <w:b w:val="1"/>
                <w:bCs w:val="1"/>
                <w:color w:val="auto"/>
                <w:w w:val="96"/>
              </w:rPr>
              <w:t>2016</w:t>
            </w:r>
          </w:p>
        </w:tc>
        <w:tc>
          <w:tcPr>
            <w:tcW w:w="120" w:type="dxa"/>
            <w:vAlign w:val="bottom"/>
          </w:tcPr>
          <w:p>
            <w:pPr>
              <w:spacing w:after="0"/>
              <w:rPr>
                <w:sz w:val="13"/>
                <w:szCs w:val="13"/>
                <w:color w:val="auto"/>
              </w:rPr>
            </w:pPr>
          </w:p>
        </w:tc>
      </w:tr>
      <w:tr>
        <w:trPr>
          <w:trHeight w:val="144"/>
        </w:trPr>
        <w:tc>
          <w:tcPr>
            <w:tcW w:w="676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480" w:type="dxa"/>
            <w:vAlign w:val="bottom"/>
            <w:gridSpan w:val="4"/>
          </w:tcPr>
          <w:p>
            <w:pPr>
              <w:jc w:val="center"/>
              <w:spacing w:after="0" w:line="144" w:lineRule="exact"/>
              <w:rPr>
                <w:sz w:val="20"/>
                <w:szCs w:val="20"/>
                <w:color w:val="auto"/>
              </w:rPr>
            </w:pPr>
            <w:r>
              <w:rPr>
                <w:rFonts w:ascii="Arial" w:cs="Arial" w:eastAsia="Arial" w:hAnsi="Arial"/>
                <w:sz w:val="13"/>
                <w:szCs w:val="13"/>
                <w:b w:val="1"/>
                <w:bCs w:val="1"/>
                <w:color w:val="auto"/>
                <w:w w:val="86"/>
              </w:rPr>
              <w:t>(in $ millions, except percentages)</w:t>
            </w:r>
          </w:p>
        </w:tc>
        <w:tc>
          <w:tcPr>
            <w:tcW w:w="76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83"/>
        </w:trPr>
        <w:tc>
          <w:tcPr>
            <w:tcW w:w="6760" w:type="dxa"/>
            <w:vAlign w:val="bottom"/>
            <w:shd w:val="clear" w:color="auto" w:fill="CCEEFF"/>
          </w:tcPr>
          <w:p>
            <w:pPr>
              <w:spacing w:after="0" w:line="183" w:lineRule="exact"/>
              <w:rPr>
                <w:sz w:val="20"/>
                <w:szCs w:val="20"/>
                <w:color w:val="auto"/>
              </w:rPr>
            </w:pPr>
            <w:r>
              <w:rPr>
                <w:rFonts w:ascii="Arial" w:cs="Arial" w:eastAsia="Arial" w:hAnsi="Arial"/>
                <w:sz w:val="13"/>
                <w:szCs w:val="13"/>
                <w:b w:val="1"/>
                <w:bCs w:val="1"/>
                <w:color w:val="auto"/>
              </w:rPr>
              <w:t xml:space="preserve">Long-term borrowings and debt </w:t>
            </w:r>
            <w:r>
              <w:rPr>
                <w:rFonts w:ascii="Arial" w:cs="Arial" w:eastAsia="Arial" w:hAnsi="Arial"/>
                <w:sz w:val="21"/>
                <w:szCs w:val="21"/>
                <w:b w:val="1"/>
                <w:bCs w:val="1"/>
                <w:color w:val="auto"/>
                <w:vertAlign w:val="superscript"/>
              </w:rPr>
              <w:t>(*)</w:t>
            </w:r>
          </w:p>
        </w:tc>
        <w:tc>
          <w:tcPr>
            <w:tcW w:w="780" w:type="dxa"/>
            <w:vAlign w:val="bottom"/>
            <w:shd w:val="clear" w:color="auto" w:fill="CCEEFF"/>
          </w:tcPr>
          <w:p>
            <w:pPr>
              <w:spacing w:after="0"/>
              <w:rPr>
                <w:sz w:val="15"/>
                <w:szCs w:val="15"/>
                <w:color w:val="auto"/>
              </w:rPr>
            </w:pPr>
          </w:p>
        </w:tc>
        <w:tc>
          <w:tcPr>
            <w:tcW w:w="580" w:type="dxa"/>
            <w:vAlign w:val="bottom"/>
            <w:shd w:val="clear" w:color="auto" w:fill="CCEEFF"/>
          </w:tcPr>
          <w:p>
            <w:pPr>
              <w:spacing w:after="0"/>
              <w:rPr>
                <w:sz w:val="15"/>
                <w:szCs w:val="15"/>
                <w:color w:val="auto"/>
              </w:rPr>
            </w:pPr>
          </w:p>
        </w:tc>
        <w:tc>
          <w:tcPr>
            <w:tcW w:w="320" w:type="dxa"/>
            <w:vAlign w:val="bottom"/>
            <w:shd w:val="clear" w:color="auto" w:fill="CCEEFF"/>
          </w:tcPr>
          <w:p>
            <w:pPr>
              <w:spacing w:after="0"/>
              <w:rPr>
                <w:sz w:val="15"/>
                <w:szCs w:val="15"/>
                <w:color w:val="auto"/>
              </w:rPr>
            </w:pPr>
          </w:p>
        </w:tc>
        <w:tc>
          <w:tcPr>
            <w:tcW w:w="1100" w:type="dxa"/>
            <w:vAlign w:val="bottom"/>
            <w:shd w:val="clear" w:color="auto" w:fill="CCEEFF"/>
          </w:tcPr>
          <w:p>
            <w:pPr>
              <w:spacing w:after="0"/>
              <w:rPr>
                <w:sz w:val="15"/>
                <w:szCs w:val="15"/>
                <w:color w:val="auto"/>
              </w:rPr>
            </w:pPr>
          </w:p>
        </w:tc>
        <w:tc>
          <w:tcPr>
            <w:tcW w:w="480" w:type="dxa"/>
            <w:vAlign w:val="bottom"/>
            <w:shd w:val="clear" w:color="auto" w:fill="CCEEFF"/>
          </w:tcPr>
          <w:p>
            <w:pPr>
              <w:spacing w:after="0"/>
              <w:rPr>
                <w:sz w:val="15"/>
                <w:szCs w:val="15"/>
                <w:color w:val="auto"/>
              </w:rPr>
            </w:pPr>
          </w:p>
        </w:tc>
        <w:tc>
          <w:tcPr>
            <w:tcW w:w="76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r>
      <w:tr>
        <w:trPr>
          <w:trHeight w:val="154"/>
        </w:trPr>
        <w:tc>
          <w:tcPr>
            <w:tcW w:w="6760" w:type="dxa"/>
            <w:vAlign w:val="bottom"/>
          </w:tcPr>
          <w:p>
            <w:pPr>
              <w:spacing w:after="0"/>
              <w:rPr>
                <w:sz w:val="20"/>
                <w:szCs w:val="20"/>
                <w:color w:val="auto"/>
              </w:rPr>
            </w:pPr>
            <w:r>
              <w:rPr>
                <w:rFonts w:ascii="Arial" w:cs="Arial" w:eastAsia="Arial" w:hAnsi="Arial"/>
                <w:sz w:val="13"/>
                <w:szCs w:val="13"/>
                <w:color w:val="auto"/>
              </w:rPr>
              <w:t>Amount outstanding at year-end</w:t>
            </w:r>
          </w:p>
        </w:tc>
        <w:tc>
          <w:tcPr>
            <w:tcW w:w="780" w:type="dxa"/>
            <w:vAlign w:val="bottom"/>
          </w:tcPr>
          <w:p>
            <w:pPr>
              <w:jc w:val="right"/>
              <w:ind w:right="668"/>
              <w:spacing w:after="0"/>
              <w:rPr>
                <w:sz w:val="20"/>
                <w:szCs w:val="20"/>
                <w:color w:val="auto"/>
              </w:rPr>
            </w:pPr>
            <w:r>
              <w:rPr>
                <w:rFonts w:ascii="Arial" w:cs="Arial" w:eastAsia="Arial" w:hAnsi="Arial"/>
                <w:sz w:val="10"/>
                <w:szCs w:val="10"/>
                <w:color w:val="auto"/>
                <w:w w:val="71"/>
              </w:rPr>
              <w:t>$</w:t>
            </w:r>
          </w:p>
        </w:tc>
        <w:tc>
          <w:tcPr>
            <w:tcW w:w="580" w:type="dxa"/>
            <w:vAlign w:val="bottom"/>
          </w:tcPr>
          <w:p>
            <w:pPr>
              <w:jc w:val="right"/>
              <w:ind w:right="96"/>
              <w:spacing w:after="0"/>
              <w:rPr>
                <w:sz w:val="20"/>
                <w:szCs w:val="20"/>
                <w:color w:val="auto"/>
              </w:rPr>
            </w:pPr>
            <w:r>
              <w:rPr>
                <w:rFonts w:ascii="Arial" w:cs="Arial" w:eastAsia="Arial" w:hAnsi="Arial"/>
                <w:sz w:val="13"/>
                <w:szCs w:val="13"/>
                <w:color w:val="auto"/>
              </w:rPr>
              <w:t>1,501</w:t>
            </w:r>
          </w:p>
        </w:tc>
        <w:tc>
          <w:tcPr>
            <w:tcW w:w="320" w:type="dxa"/>
            <w:vAlign w:val="bottom"/>
          </w:tcPr>
          <w:p>
            <w:pPr>
              <w:jc w:val="right"/>
              <w:ind w:right="136"/>
              <w:spacing w:after="0"/>
              <w:rPr>
                <w:sz w:val="20"/>
                <w:szCs w:val="20"/>
                <w:color w:val="auto"/>
              </w:rPr>
            </w:pPr>
            <w:r>
              <w:rPr>
                <w:rFonts w:ascii="Arial" w:cs="Arial" w:eastAsia="Arial" w:hAnsi="Arial"/>
                <w:sz w:val="13"/>
                <w:szCs w:val="13"/>
                <w:color w:val="auto"/>
              </w:rPr>
              <w:t>$</w:t>
            </w:r>
          </w:p>
        </w:tc>
        <w:tc>
          <w:tcPr>
            <w:tcW w:w="1100" w:type="dxa"/>
            <w:vAlign w:val="bottom"/>
          </w:tcPr>
          <w:p>
            <w:pPr>
              <w:jc w:val="right"/>
              <w:ind w:right="96"/>
              <w:spacing w:after="0"/>
              <w:rPr>
                <w:sz w:val="20"/>
                <w:szCs w:val="20"/>
                <w:color w:val="auto"/>
              </w:rPr>
            </w:pPr>
            <w:r>
              <w:rPr>
                <w:rFonts w:ascii="Arial" w:cs="Arial" w:eastAsia="Arial" w:hAnsi="Arial"/>
                <w:sz w:val="13"/>
                <w:szCs w:val="13"/>
                <w:color w:val="auto"/>
              </w:rPr>
              <w:t>1,143</w:t>
            </w:r>
          </w:p>
        </w:tc>
        <w:tc>
          <w:tcPr>
            <w:tcW w:w="480" w:type="dxa"/>
            <w:vAlign w:val="bottom"/>
          </w:tcPr>
          <w:p>
            <w:pPr>
              <w:jc w:val="right"/>
              <w:ind w:right="296"/>
              <w:spacing w:after="0"/>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120"/>
              <w:spacing w:after="0"/>
              <w:rPr>
                <w:sz w:val="20"/>
                <w:szCs w:val="20"/>
                <w:color w:val="auto"/>
              </w:rPr>
            </w:pPr>
            <w:r>
              <w:rPr>
                <w:rFonts w:ascii="Arial" w:cs="Arial" w:eastAsia="Arial" w:hAnsi="Arial"/>
                <w:sz w:val="13"/>
                <w:szCs w:val="13"/>
                <w:color w:val="auto"/>
              </w:rPr>
              <w:t>1,782</w:t>
            </w:r>
          </w:p>
        </w:tc>
      </w:tr>
      <w:tr>
        <w:trPr>
          <w:trHeight w:val="154"/>
        </w:trPr>
        <w:tc>
          <w:tcPr>
            <w:tcW w:w="6760" w:type="dxa"/>
            <w:vAlign w:val="bottom"/>
            <w:shd w:val="clear" w:color="auto" w:fill="CCEEFF"/>
          </w:tcPr>
          <w:p>
            <w:pPr>
              <w:spacing w:after="0"/>
              <w:rPr>
                <w:sz w:val="20"/>
                <w:szCs w:val="20"/>
                <w:color w:val="auto"/>
              </w:rPr>
            </w:pPr>
            <w:r>
              <w:rPr>
                <w:rFonts w:ascii="Arial" w:cs="Arial" w:eastAsia="Arial" w:hAnsi="Arial"/>
                <w:sz w:val="13"/>
                <w:szCs w:val="13"/>
                <w:color w:val="auto"/>
              </w:rPr>
              <w:t>Maximum amount outstanding at any month-end</w:t>
            </w:r>
          </w:p>
        </w:tc>
        <w:tc>
          <w:tcPr>
            <w:tcW w:w="780" w:type="dxa"/>
            <w:vAlign w:val="bottom"/>
            <w:shd w:val="clear" w:color="auto" w:fill="CCEEFF"/>
          </w:tcPr>
          <w:p>
            <w:pPr>
              <w:jc w:val="right"/>
              <w:ind w:right="668"/>
              <w:spacing w:after="0"/>
              <w:rPr>
                <w:sz w:val="20"/>
                <w:szCs w:val="20"/>
                <w:color w:val="auto"/>
              </w:rPr>
            </w:pPr>
            <w:r>
              <w:rPr>
                <w:rFonts w:ascii="Arial" w:cs="Arial" w:eastAsia="Arial" w:hAnsi="Arial"/>
                <w:sz w:val="10"/>
                <w:szCs w:val="10"/>
                <w:color w:val="auto"/>
                <w:w w:val="71"/>
              </w:rPr>
              <w:t>$</w:t>
            </w:r>
          </w:p>
        </w:tc>
        <w:tc>
          <w:tcPr>
            <w:tcW w:w="580" w:type="dxa"/>
            <w:vAlign w:val="bottom"/>
            <w:shd w:val="clear" w:color="auto" w:fill="CCEEFF"/>
          </w:tcPr>
          <w:p>
            <w:pPr>
              <w:jc w:val="right"/>
              <w:ind w:right="96"/>
              <w:spacing w:after="0"/>
              <w:rPr>
                <w:sz w:val="20"/>
                <w:szCs w:val="20"/>
                <w:color w:val="auto"/>
              </w:rPr>
            </w:pPr>
            <w:r>
              <w:rPr>
                <w:rFonts w:ascii="Arial" w:cs="Arial" w:eastAsia="Arial" w:hAnsi="Arial"/>
                <w:sz w:val="13"/>
                <w:szCs w:val="13"/>
                <w:color w:val="auto"/>
              </w:rPr>
              <w:t>1,501</w:t>
            </w:r>
          </w:p>
        </w:tc>
        <w:tc>
          <w:tcPr>
            <w:tcW w:w="320" w:type="dxa"/>
            <w:vAlign w:val="bottom"/>
            <w:shd w:val="clear" w:color="auto" w:fill="CCEEFF"/>
          </w:tcPr>
          <w:p>
            <w:pPr>
              <w:jc w:val="right"/>
              <w:ind w:right="136"/>
              <w:spacing w:after="0"/>
              <w:rPr>
                <w:sz w:val="20"/>
                <w:szCs w:val="20"/>
                <w:color w:val="auto"/>
              </w:rPr>
            </w:pPr>
            <w:r>
              <w:rPr>
                <w:rFonts w:ascii="Arial" w:cs="Arial" w:eastAsia="Arial" w:hAnsi="Arial"/>
                <w:sz w:val="13"/>
                <w:szCs w:val="13"/>
                <w:color w:val="auto"/>
              </w:rPr>
              <w:t>$</w:t>
            </w:r>
          </w:p>
        </w:tc>
        <w:tc>
          <w:tcPr>
            <w:tcW w:w="1100" w:type="dxa"/>
            <w:vAlign w:val="bottom"/>
            <w:shd w:val="clear" w:color="auto" w:fill="CCEEFF"/>
          </w:tcPr>
          <w:p>
            <w:pPr>
              <w:jc w:val="right"/>
              <w:ind w:right="96"/>
              <w:spacing w:after="0"/>
              <w:rPr>
                <w:sz w:val="20"/>
                <w:szCs w:val="20"/>
                <w:color w:val="auto"/>
              </w:rPr>
            </w:pPr>
            <w:r>
              <w:rPr>
                <w:rFonts w:ascii="Arial" w:cs="Arial" w:eastAsia="Arial" w:hAnsi="Arial"/>
                <w:sz w:val="13"/>
                <w:szCs w:val="13"/>
                <w:color w:val="auto"/>
              </w:rPr>
              <w:t>2,010</w:t>
            </w:r>
          </w:p>
        </w:tc>
        <w:tc>
          <w:tcPr>
            <w:tcW w:w="480" w:type="dxa"/>
            <w:vAlign w:val="bottom"/>
            <w:shd w:val="clear" w:color="auto" w:fill="CCEEFF"/>
          </w:tcPr>
          <w:p>
            <w:pPr>
              <w:jc w:val="right"/>
              <w:ind w:right="296"/>
              <w:spacing w:after="0"/>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2,054</w:t>
            </w:r>
          </w:p>
        </w:tc>
      </w:tr>
      <w:tr>
        <w:trPr>
          <w:trHeight w:val="154"/>
        </w:trPr>
        <w:tc>
          <w:tcPr>
            <w:tcW w:w="6760" w:type="dxa"/>
            <w:vAlign w:val="bottom"/>
          </w:tcPr>
          <w:p>
            <w:pPr>
              <w:spacing w:after="0"/>
              <w:rPr>
                <w:sz w:val="20"/>
                <w:szCs w:val="20"/>
                <w:color w:val="auto"/>
              </w:rPr>
            </w:pPr>
            <w:r>
              <w:rPr>
                <w:rFonts w:ascii="Arial" w:cs="Arial" w:eastAsia="Arial" w:hAnsi="Arial"/>
                <w:sz w:val="13"/>
                <w:szCs w:val="13"/>
                <w:color w:val="auto"/>
              </w:rPr>
              <w:t>Net average amount outstanding during the year</w:t>
            </w:r>
          </w:p>
        </w:tc>
        <w:tc>
          <w:tcPr>
            <w:tcW w:w="780" w:type="dxa"/>
            <w:vAlign w:val="bottom"/>
          </w:tcPr>
          <w:p>
            <w:pPr>
              <w:jc w:val="right"/>
              <w:ind w:right="668"/>
              <w:spacing w:after="0"/>
              <w:rPr>
                <w:sz w:val="20"/>
                <w:szCs w:val="20"/>
                <w:color w:val="auto"/>
              </w:rPr>
            </w:pPr>
            <w:r>
              <w:rPr>
                <w:rFonts w:ascii="Arial" w:cs="Arial" w:eastAsia="Arial" w:hAnsi="Arial"/>
                <w:sz w:val="10"/>
                <w:szCs w:val="10"/>
                <w:color w:val="auto"/>
                <w:w w:val="71"/>
              </w:rPr>
              <w:t>$</w:t>
            </w:r>
          </w:p>
        </w:tc>
        <w:tc>
          <w:tcPr>
            <w:tcW w:w="580" w:type="dxa"/>
            <w:vAlign w:val="bottom"/>
          </w:tcPr>
          <w:p>
            <w:pPr>
              <w:jc w:val="right"/>
              <w:ind w:right="96"/>
              <w:spacing w:after="0"/>
              <w:rPr>
                <w:sz w:val="20"/>
                <w:szCs w:val="20"/>
                <w:color w:val="auto"/>
              </w:rPr>
            </w:pPr>
            <w:r>
              <w:rPr>
                <w:rFonts w:ascii="Arial" w:cs="Arial" w:eastAsia="Arial" w:hAnsi="Arial"/>
                <w:sz w:val="13"/>
                <w:szCs w:val="13"/>
                <w:color w:val="auto"/>
              </w:rPr>
              <w:t>1,245</w:t>
            </w:r>
          </w:p>
        </w:tc>
        <w:tc>
          <w:tcPr>
            <w:tcW w:w="320" w:type="dxa"/>
            <w:vAlign w:val="bottom"/>
          </w:tcPr>
          <w:p>
            <w:pPr>
              <w:jc w:val="right"/>
              <w:ind w:right="136"/>
              <w:spacing w:after="0"/>
              <w:rPr>
                <w:sz w:val="20"/>
                <w:szCs w:val="20"/>
                <w:color w:val="auto"/>
              </w:rPr>
            </w:pPr>
            <w:r>
              <w:rPr>
                <w:rFonts w:ascii="Arial" w:cs="Arial" w:eastAsia="Arial" w:hAnsi="Arial"/>
                <w:sz w:val="13"/>
                <w:szCs w:val="13"/>
                <w:color w:val="auto"/>
              </w:rPr>
              <w:t>$</w:t>
            </w:r>
          </w:p>
        </w:tc>
        <w:tc>
          <w:tcPr>
            <w:tcW w:w="1100" w:type="dxa"/>
            <w:vAlign w:val="bottom"/>
          </w:tcPr>
          <w:p>
            <w:pPr>
              <w:jc w:val="right"/>
              <w:ind w:right="96"/>
              <w:spacing w:after="0"/>
              <w:rPr>
                <w:sz w:val="20"/>
                <w:szCs w:val="20"/>
                <w:color w:val="auto"/>
              </w:rPr>
            </w:pPr>
            <w:r>
              <w:rPr>
                <w:rFonts w:ascii="Arial" w:cs="Arial" w:eastAsia="Arial" w:hAnsi="Arial"/>
                <w:sz w:val="13"/>
                <w:szCs w:val="13"/>
                <w:color w:val="auto"/>
              </w:rPr>
              <w:t>1,478</w:t>
            </w:r>
          </w:p>
        </w:tc>
        <w:tc>
          <w:tcPr>
            <w:tcW w:w="480" w:type="dxa"/>
            <w:vAlign w:val="bottom"/>
          </w:tcPr>
          <w:p>
            <w:pPr>
              <w:jc w:val="right"/>
              <w:ind w:right="296"/>
              <w:spacing w:after="0"/>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120"/>
              <w:spacing w:after="0"/>
              <w:rPr>
                <w:sz w:val="20"/>
                <w:szCs w:val="20"/>
                <w:color w:val="auto"/>
              </w:rPr>
            </w:pPr>
            <w:r>
              <w:rPr>
                <w:rFonts w:ascii="Arial" w:cs="Arial" w:eastAsia="Arial" w:hAnsi="Arial"/>
                <w:sz w:val="13"/>
                <w:szCs w:val="13"/>
                <w:color w:val="auto"/>
              </w:rPr>
              <w:t>1,881</w:t>
            </w:r>
          </w:p>
        </w:tc>
      </w:tr>
      <w:tr>
        <w:trPr>
          <w:trHeight w:val="154"/>
        </w:trPr>
        <w:tc>
          <w:tcPr>
            <w:tcW w:w="6760" w:type="dxa"/>
            <w:vAlign w:val="bottom"/>
            <w:shd w:val="clear" w:color="auto" w:fill="CCEEFF"/>
          </w:tcPr>
          <w:p>
            <w:pPr>
              <w:spacing w:after="0"/>
              <w:rPr>
                <w:sz w:val="20"/>
                <w:szCs w:val="20"/>
                <w:color w:val="auto"/>
              </w:rPr>
            </w:pPr>
            <w:r>
              <w:rPr>
                <w:rFonts w:ascii="Arial" w:cs="Arial" w:eastAsia="Arial" w:hAnsi="Arial"/>
                <w:sz w:val="13"/>
                <w:szCs w:val="13"/>
                <w:color w:val="auto"/>
              </w:rPr>
              <w:t>Weighted average interest rate on average amount outstanding</w:t>
            </w:r>
          </w:p>
        </w:tc>
        <w:tc>
          <w:tcPr>
            <w:tcW w:w="780" w:type="dxa"/>
            <w:vAlign w:val="bottom"/>
            <w:shd w:val="clear" w:color="auto" w:fill="CCEEFF"/>
          </w:tcPr>
          <w:p>
            <w:pPr>
              <w:spacing w:after="0"/>
              <w:rPr>
                <w:sz w:val="13"/>
                <w:szCs w:val="13"/>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4.09%</w:t>
            </w:r>
          </w:p>
        </w:tc>
        <w:tc>
          <w:tcPr>
            <w:tcW w:w="320" w:type="dxa"/>
            <w:vAlign w:val="bottom"/>
            <w:shd w:val="clear" w:color="auto" w:fill="CCEEFF"/>
          </w:tcPr>
          <w:p>
            <w:pPr>
              <w:spacing w:after="0"/>
              <w:rPr>
                <w:sz w:val="13"/>
                <w:szCs w:val="13"/>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3.43%</w:t>
            </w:r>
          </w:p>
        </w:tc>
        <w:tc>
          <w:tcPr>
            <w:tcW w:w="480" w:type="dxa"/>
            <w:vAlign w:val="bottom"/>
            <w:shd w:val="clear" w:color="auto" w:fill="CCEEFF"/>
          </w:tcPr>
          <w:p>
            <w:pPr>
              <w:spacing w:after="0"/>
              <w:rPr>
                <w:sz w:val="13"/>
                <w:szCs w:val="13"/>
                <w:color w:val="auto"/>
              </w:rPr>
            </w:pPr>
          </w:p>
        </w:tc>
        <w:tc>
          <w:tcPr>
            <w:tcW w:w="88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2.84%</w:t>
            </w:r>
          </w:p>
        </w:tc>
      </w:tr>
      <w:tr>
        <w:trPr>
          <w:trHeight w:val="155"/>
        </w:trPr>
        <w:tc>
          <w:tcPr>
            <w:tcW w:w="6760" w:type="dxa"/>
            <w:vAlign w:val="bottom"/>
          </w:tcPr>
          <w:p>
            <w:pPr>
              <w:spacing w:after="0"/>
              <w:rPr>
                <w:sz w:val="20"/>
                <w:szCs w:val="20"/>
                <w:color w:val="auto"/>
              </w:rPr>
            </w:pPr>
            <w:r>
              <w:rPr>
                <w:rFonts w:ascii="Arial" w:cs="Arial" w:eastAsia="Arial" w:hAnsi="Arial"/>
                <w:sz w:val="13"/>
                <w:szCs w:val="13"/>
                <w:color w:val="auto"/>
              </w:rPr>
              <w:t>Weighted average interest rate on amount outstanding at year end</w:t>
            </w:r>
          </w:p>
        </w:tc>
        <w:tc>
          <w:tcPr>
            <w:tcW w:w="780" w:type="dxa"/>
            <w:vAlign w:val="bottom"/>
          </w:tcPr>
          <w:p>
            <w:pPr>
              <w:spacing w:after="0"/>
              <w:rPr>
                <w:sz w:val="13"/>
                <w:szCs w:val="13"/>
                <w:color w:val="auto"/>
              </w:rPr>
            </w:pPr>
          </w:p>
        </w:tc>
        <w:tc>
          <w:tcPr>
            <w:tcW w:w="580" w:type="dxa"/>
            <w:vAlign w:val="bottom"/>
          </w:tcPr>
          <w:p>
            <w:pPr>
              <w:jc w:val="right"/>
              <w:spacing w:after="0"/>
              <w:rPr>
                <w:sz w:val="20"/>
                <w:szCs w:val="20"/>
                <w:color w:val="auto"/>
              </w:rPr>
            </w:pPr>
            <w:r>
              <w:rPr>
                <w:rFonts w:ascii="Arial" w:cs="Arial" w:eastAsia="Arial" w:hAnsi="Arial"/>
                <w:sz w:val="13"/>
                <w:szCs w:val="13"/>
                <w:color w:val="auto"/>
              </w:rPr>
              <w:t>4.35%</w:t>
            </w:r>
          </w:p>
        </w:tc>
        <w:tc>
          <w:tcPr>
            <w:tcW w:w="320" w:type="dxa"/>
            <w:vAlign w:val="bottom"/>
          </w:tcPr>
          <w:p>
            <w:pPr>
              <w:spacing w:after="0"/>
              <w:rPr>
                <w:sz w:val="13"/>
                <w:szCs w:val="13"/>
                <w:color w:val="auto"/>
              </w:rPr>
            </w:pPr>
          </w:p>
        </w:tc>
        <w:tc>
          <w:tcPr>
            <w:tcW w:w="1100" w:type="dxa"/>
            <w:vAlign w:val="bottom"/>
          </w:tcPr>
          <w:p>
            <w:pPr>
              <w:jc w:val="right"/>
              <w:spacing w:after="0"/>
              <w:rPr>
                <w:sz w:val="20"/>
                <w:szCs w:val="20"/>
                <w:color w:val="auto"/>
              </w:rPr>
            </w:pPr>
            <w:r>
              <w:rPr>
                <w:rFonts w:ascii="Arial" w:cs="Arial" w:eastAsia="Arial" w:hAnsi="Arial"/>
                <w:sz w:val="13"/>
                <w:szCs w:val="13"/>
                <w:color w:val="auto"/>
              </w:rPr>
              <w:t>3.60%</w:t>
            </w:r>
          </w:p>
        </w:tc>
        <w:tc>
          <w:tcPr>
            <w:tcW w:w="480" w:type="dxa"/>
            <w:vAlign w:val="bottom"/>
          </w:tcPr>
          <w:p>
            <w:pPr>
              <w:spacing w:after="0"/>
              <w:rPr>
                <w:sz w:val="13"/>
                <w:szCs w:val="13"/>
                <w:color w:val="auto"/>
              </w:rPr>
            </w:pPr>
          </w:p>
        </w:tc>
        <w:tc>
          <w:tcPr>
            <w:tcW w:w="880" w:type="dxa"/>
            <w:vAlign w:val="bottom"/>
            <w:gridSpan w:val="2"/>
          </w:tcPr>
          <w:p>
            <w:pPr>
              <w:jc w:val="right"/>
              <w:spacing w:after="0"/>
              <w:rPr>
                <w:sz w:val="20"/>
                <w:szCs w:val="20"/>
                <w:color w:val="auto"/>
              </w:rPr>
            </w:pPr>
            <w:r>
              <w:rPr>
                <w:rFonts w:ascii="Arial" w:cs="Arial" w:eastAsia="Arial" w:hAnsi="Arial"/>
                <w:sz w:val="13"/>
                <w:szCs w:val="13"/>
                <w:color w:val="auto"/>
              </w:rPr>
              <w:t>2.98%</w:t>
            </w:r>
          </w:p>
        </w:tc>
      </w:tr>
    </w:tbl>
    <w:p>
      <w:pPr>
        <w:ind w:left="340" w:hanging="158"/>
        <w:spacing w:after="0" w:line="180" w:lineRule="auto"/>
        <w:tabs>
          <w:tab w:leader="none" w:pos="340" w:val="left"/>
        </w:tabs>
        <w:numPr>
          <w:ilvl w:val="0"/>
          <w:numId w:val="40"/>
        </w:numPr>
        <w:rPr>
          <w:rFonts w:ascii="Arial" w:cs="Arial" w:eastAsia="Arial" w:hAnsi="Arial"/>
          <w:sz w:val="21"/>
          <w:szCs w:val="21"/>
          <w:color w:val="auto"/>
          <w:vertAlign w:val="superscript"/>
        </w:rPr>
      </w:pPr>
      <w:r>
        <w:rPr>
          <w:rFonts w:ascii="Arial" w:cs="Arial" w:eastAsia="Arial" w:hAnsi="Arial"/>
          <w:sz w:val="13"/>
          <w:szCs w:val="13"/>
          <w:color w:val="auto"/>
        </w:rPr>
        <w:t>Gross of prepaid commissions of $3.5 million, $4.2 million and $5.1 million as of December 31, 2018, 2017 and 2016, respectively.</w:t>
      </w:r>
    </w:p>
    <w:p>
      <w:pPr>
        <w:spacing w:after="0" w:line="146"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Global syndicated loans provide a vehicle to access new sources of financing. In August 2018, the Bank increased a syndicated loan previously launched in February 2016 to $175 million, from $156 million, and the maturity of the syndicated loan was extended to August 2021.</w:t>
      </w:r>
    </w:p>
    <w:p>
      <w:pPr>
        <w:spacing w:after="0" w:line="278"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70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72" w:name="page73"/>
    <w:bookmarkEnd w:id="72"/>
    <w:p>
      <w:pPr>
        <w:jc w:val="both"/>
        <w:ind w:right="20"/>
        <w:spacing w:after="0" w:line="267" w:lineRule="auto"/>
        <w:rPr>
          <w:sz w:val="20"/>
          <w:szCs w:val="20"/>
          <w:color w:val="auto"/>
        </w:rPr>
      </w:pPr>
      <w:r>
        <w:rPr>
          <w:rFonts w:ascii="Arial" w:cs="Arial" w:eastAsia="Arial" w:hAnsi="Arial"/>
          <w:sz w:val="13"/>
          <w:szCs w:val="13"/>
          <w:color w:val="auto"/>
        </w:rPr>
        <w:t>In March 2017, the Bank closed a $193 million syndicated loan with a focus on Asia, which was broadly oversubscribed. The maturity of the syndicated loan was extended up to four years. The lenders on the syndicated loan were a mix of the Bank’s existing lenders and new lenders from Japan, Taiwan, Korea and the U.S.</w:t>
      </w:r>
    </w:p>
    <w:p>
      <w:pPr>
        <w:spacing w:after="0" w:line="129" w:lineRule="exact"/>
        <w:rPr>
          <w:sz w:val="20"/>
          <w:szCs w:val="20"/>
          <w:color w:val="auto"/>
        </w:rPr>
      </w:pPr>
    </w:p>
    <w:p>
      <w:pPr>
        <w:jc w:val="both"/>
        <w:ind w:right="20"/>
        <w:spacing w:after="0" w:line="310" w:lineRule="auto"/>
        <w:rPr>
          <w:sz w:val="20"/>
          <w:szCs w:val="20"/>
          <w:color w:val="auto"/>
        </w:rPr>
      </w:pPr>
      <w:r>
        <w:rPr>
          <w:rFonts w:ascii="Arial" w:cs="Arial" w:eastAsia="Arial" w:hAnsi="Arial"/>
          <w:sz w:val="12"/>
          <w:szCs w:val="12"/>
          <w:color w:val="auto"/>
        </w:rPr>
        <w:t>In February 2016, the Bank increased the amount and extended the maturity of its global syndicated loan previously launched in 2014. In April 2016, the Bank launched its third public issuance in Mexico in the amount of MXN1.5 billion (one and a half billion Mexican Pesos), and in June 2016 the Bank issued its first bond in the Tokyo Pro-Bond market for the amount of JPY8 billion (eight billion Japanese Yen).</w:t>
      </w:r>
    </w:p>
    <w:p>
      <w:pPr>
        <w:spacing w:after="0" w:line="106"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Some borrowing agreements include various events of default and covenants related to minimum capital adequacy ratios, incurrence of additional liens, and asset sales, as well as other customary covenants, representations and warranties. As of December 31, 2018, the Bank was in compliance with all covenants.</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Debt Capital Markets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Program in Mexico</w:t>
      </w:r>
    </w:p>
    <w:p>
      <w:pPr>
        <w:spacing w:after="0" w:line="159" w:lineRule="exact"/>
        <w:rPr>
          <w:sz w:val="20"/>
          <w:szCs w:val="20"/>
          <w:color w:val="auto"/>
        </w:rPr>
      </w:pPr>
    </w:p>
    <w:p>
      <w:pPr>
        <w:jc w:val="both"/>
        <w:ind w:right="20"/>
        <w:spacing w:after="0" w:line="252" w:lineRule="auto"/>
        <w:rPr>
          <w:sz w:val="20"/>
          <w:szCs w:val="20"/>
          <w:color w:val="auto"/>
        </w:rPr>
      </w:pPr>
      <w:r>
        <w:rPr>
          <w:rFonts w:ascii="Arial" w:cs="Arial" w:eastAsia="Arial" w:hAnsi="Arial"/>
          <w:sz w:val="13"/>
          <w:szCs w:val="13"/>
          <w:color w:val="auto"/>
        </w:rPr>
        <w:t xml:space="preserve">In 2012, the Bank established a short- and long-term notes program (the “Mexico Program”) in the Mexican local market, registered with Mexican National Registry of Securities </w:t>
      </w:r>
      <w:r>
        <w:rPr>
          <w:rFonts w:ascii="Arial" w:cs="Arial" w:eastAsia="Arial" w:hAnsi="Arial"/>
          <w:sz w:val="13"/>
          <w:szCs w:val="13"/>
          <w:i w:val="1"/>
          <w:iCs w:val="1"/>
          <w:color w:val="auto"/>
        </w:rPr>
        <w:t>(Registro Nacional de Valores)</w:t>
      </w:r>
      <w:r>
        <w:rPr>
          <w:rFonts w:ascii="Arial" w:cs="Arial" w:eastAsia="Arial" w:hAnsi="Arial"/>
          <w:sz w:val="13"/>
          <w:szCs w:val="13"/>
          <w:color w:val="auto"/>
        </w:rPr>
        <w:t xml:space="preserve"> maintained by the National Banking and Securities Commission </w:t>
      </w:r>
      <w:r>
        <w:rPr>
          <w:rFonts w:ascii="Arial" w:cs="Arial" w:eastAsia="Arial" w:hAnsi="Arial"/>
          <w:sz w:val="13"/>
          <w:szCs w:val="13"/>
          <w:i w:val="1"/>
          <w:iCs w:val="1"/>
          <w:color w:val="auto"/>
        </w:rPr>
        <w:t>(Comisión Nacional Bancaria y de Valores),</w:t>
      </w:r>
      <w:r>
        <w:rPr>
          <w:rFonts w:ascii="Arial" w:cs="Arial" w:eastAsia="Arial" w:hAnsi="Arial"/>
          <w:sz w:val="13"/>
          <w:szCs w:val="13"/>
          <w:color w:val="auto"/>
        </w:rPr>
        <w:t xml:space="preserve"> for an authorized aggregate principal amount of 10 billion Mexican Pesos or its equivalent in Investment Units </w:t>
      </w:r>
      <w:r>
        <w:rPr>
          <w:rFonts w:ascii="Arial" w:cs="Arial" w:eastAsia="Arial" w:hAnsi="Arial"/>
          <w:sz w:val="13"/>
          <w:szCs w:val="13"/>
          <w:i w:val="1"/>
          <w:iCs w:val="1"/>
          <w:color w:val="auto"/>
        </w:rPr>
        <w:t>(Unidades de</w:t>
      </w:r>
      <w:r>
        <w:rPr>
          <w:rFonts w:ascii="Arial" w:cs="Arial" w:eastAsia="Arial" w:hAnsi="Arial"/>
          <w:sz w:val="13"/>
          <w:szCs w:val="13"/>
          <w:color w:val="auto"/>
        </w:rPr>
        <w:t xml:space="preserve"> </w:t>
      </w:r>
      <w:r>
        <w:rPr>
          <w:rFonts w:ascii="Arial" w:cs="Arial" w:eastAsia="Arial" w:hAnsi="Arial"/>
          <w:sz w:val="13"/>
          <w:szCs w:val="13"/>
          <w:i w:val="1"/>
          <w:iCs w:val="1"/>
          <w:color w:val="auto"/>
        </w:rPr>
        <w:t xml:space="preserve">Inversión), </w:t>
      </w:r>
      <w:r>
        <w:rPr>
          <w:rFonts w:ascii="Arial" w:cs="Arial" w:eastAsia="Arial" w:hAnsi="Arial"/>
          <w:sz w:val="13"/>
          <w:szCs w:val="13"/>
          <w:color w:val="auto"/>
        </w:rPr>
        <w:t>U.S. dollars or Euros and with maturities from one day to 30 years. The Mexico Program had an effective duration of five years and the Bank is currently in the process of reestablishing a new program. As of</w:t>
      </w:r>
      <w:r>
        <w:rPr>
          <w:rFonts w:ascii="Arial" w:cs="Arial" w:eastAsia="Arial" w:hAnsi="Arial"/>
          <w:sz w:val="13"/>
          <w:szCs w:val="13"/>
          <w:i w:val="1"/>
          <w:iCs w:val="1"/>
          <w:color w:val="auto"/>
        </w:rPr>
        <w:t xml:space="preserve"> </w:t>
      </w:r>
      <w:r>
        <w:rPr>
          <w:rFonts w:ascii="Arial" w:cs="Arial" w:eastAsia="Arial" w:hAnsi="Arial"/>
          <w:sz w:val="13"/>
          <w:szCs w:val="13"/>
          <w:color w:val="auto"/>
        </w:rPr>
        <w:t>December 31, 2018, the total principal amount outstanding of issuances of “certificados bursátiles” in the Mexican capital markets under this Mexico Program was MXN1.5 billion (one and a half billion Mexican Pesos) issued in April 2016 and matured in April 2019.</w:t>
      </w:r>
    </w:p>
    <w:p>
      <w:pPr>
        <w:spacing w:after="0" w:line="13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Euro Medium Term Note Program</w:t>
      </w:r>
    </w:p>
    <w:p>
      <w:pPr>
        <w:spacing w:after="0" w:line="159" w:lineRule="exact"/>
        <w:rPr>
          <w:sz w:val="20"/>
          <w:szCs w:val="20"/>
          <w:color w:val="auto"/>
        </w:rPr>
      </w:pPr>
    </w:p>
    <w:p>
      <w:pPr>
        <w:spacing w:after="0"/>
        <w:rPr>
          <w:sz w:val="20"/>
          <w:szCs w:val="20"/>
          <w:color w:val="auto"/>
        </w:rPr>
      </w:pPr>
      <w:r>
        <w:rPr>
          <w:rFonts w:ascii="Arial" w:cs="Arial" w:eastAsia="Arial" w:hAnsi="Arial"/>
          <w:sz w:val="12"/>
          <w:szCs w:val="12"/>
          <w:color w:val="auto"/>
        </w:rPr>
        <w:t>The Bank has established a Euro Medium-Term Note Program, which is primarily targeted at non-bank institutional investors and includes multiple placements with short-, medium-, and long-term tenors.</w:t>
      </w:r>
    </w:p>
    <w:p>
      <w:pPr>
        <w:spacing w:after="0" w:line="170" w:lineRule="exact"/>
        <w:rPr>
          <w:sz w:val="20"/>
          <w:szCs w:val="20"/>
          <w:color w:val="auto"/>
        </w:rPr>
      </w:pPr>
    </w:p>
    <w:p>
      <w:pPr>
        <w:jc w:val="both"/>
        <w:ind w:right="20"/>
        <w:spacing w:after="0" w:line="310" w:lineRule="auto"/>
        <w:rPr>
          <w:sz w:val="20"/>
          <w:szCs w:val="20"/>
          <w:color w:val="auto"/>
        </w:rPr>
      </w:pPr>
      <w:r>
        <w:rPr>
          <w:rFonts w:ascii="Arial" w:cs="Arial" w:eastAsia="Arial" w:hAnsi="Arial"/>
          <w:sz w:val="12"/>
          <w:szCs w:val="12"/>
          <w:color w:val="auto"/>
        </w:rPr>
        <w:t>During 2018, the Bank issued $164.5 million in new private placements; and as of December 31, 2018, private issuances through its Euro Medium-Term Note Program amounted to $250 million, placed in Asia, Europe and Latin America. In addition, the Bank has one outstanding bond due in May 2020 issued pursuant to Rule 144A/Regulation S with a total principal amount of $350 million as of December 31, 2018.</w:t>
      </w:r>
    </w:p>
    <w:p>
      <w:pPr>
        <w:spacing w:after="0" w:line="106"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Tokyo Pro-Bond Program</w:t>
      </w:r>
    </w:p>
    <w:p>
      <w:pPr>
        <w:spacing w:after="0" w:line="159" w:lineRule="exact"/>
        <w:rPr>
          <w:sz w:val="20"/>
          <w:szCs w:val="20"/>
          <w:color w:val="auto"/>
        </w:rPr>
      </w:pPr>
    </w:p>
    <w:p>
      <w:pPr>
        <w:jc w:val="both"/>
        <w:ind w:right="20"/>
        <w:spacing w:after="0" w:line="360" w:lineRule="auto"/>
        <w:rPr>
          <w:sz w:val="20"/>
          <w:szCs w:val="20"/>
          <w:color w:val="auto"/>
        </w:rPr>
      </w:pPr>
      <w:r>
        <w:rPr>
          <w:rFonts w:ascii="Arial" w:cs="Arial" w:eastAsia="Arial" w:hAnsi="Arial"/>
          <w:sz w:val="11"/>
          <w:szCs w:val="11"/>
          <w:color w:val="auto"/>
        </w:rPr>
        <w:t>In October 2015, the Euro Medium-Term Note Program was listed on the Tokyo Stock Exchange under the Tokyo Pro-Bond Market. This market offers the possibility of flexible and timely issuances of bonds to a broad base of Japanese investors. The Bank was successful at placing its first public issuance listed on this market on June 9, 2016 in a principal amount of JPY8 billion (eight billion Japanese Yen), maturing on June 10, 2019.</w:t>
      </w:r>
    </w:p>
    <w:p>
      <w:pPr>
        <w:spacing w:after="0" w:line="83"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Cost and Maturity Profile</w:t>
      </w:r>
    </w:p>
    <w:p>
      <w:pPr>
        <w:spacing w:after="0" w:line="159"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The following table sets forth certain information regarding the weighted average cost and the remaining maturities of the Bank’s gross borrowed funds, including Repos, and placements at fixed and floating interest rate as of December 31, 2018:</w:t>
      </w:r>
    </w:p>
    <w:p>
      <w:pPr>
        <w:spacing w:after="0" w:line="278"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71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73" w:name="page74"/>
    <w:bookmarkEnd w:id="73"/>
    <w:tbl>
      <w:tblPr>
        <w:tblLayout w:type="fixed"/>
        <w:tblInd w:w="3" w:type="dxa"/>
        <w:tblCellMar>
          <w:top w:w="0" w:type="dxa"/>
          <w:left w:w="0" w:type="dxa"/>
          <w:bottom w:w="0" w:type="dxa"/>
          <w:right w:w="0" w:type="dxa"/>
        </w:tblCellMar>
      </w:tblPr>
      <w:tr>
        <w:trPr>
          <w:trHeight w:val="241"/>
        </w:trPr>
        <w:tc>
          <w:tcPr>
            <w:tcW w:w="20" w:type="dxa"/>
            <w:vAlign w:val="bottom"/>
          </w:tcPr>
          <w:p>
            <w:pPr>
              <w:spacing w:after="0"/>
              <w:rPr>
                <w:sz w:val="21"/>
                <w:szCs w:val="21"/>
                <w:color w:val="auto"/>
              </w:rPr>
            </w:pPr>
          </w:p>
        </w:tc>
        <w:tc>
          <w:tcPr>
            <w:tcW w:w="5780" w:type="dxa"/>
            <w:vAlign w:val="bottom"/>
          </w:tcPr>
          <w:p>
            <w:pPr>
              <w:spacing w:after="0"/>
              <w:rPr>
                <w:sz w:val="21"/>
                <w:szCs w:val="21"/>
                <w:color w:val="auto"/>
              </w:rPr>
            </w:pPr>
          </w:p>
        </w:tc>
        <w:tc>
          <w:tcPr>
            <w:tcW w:w="2800" w:type="dxa"/>
            <w:vAlign w:val="bottom"/>
          </w:tcPr>
          <w:p>
            <w:pPr>
              <w:spacing w:after="0"/>
              <w:rPr>
                <w:sz w:val="21"/>
                <w:szCs w:val="21"/>
                <w:color w:val="auto"/>
              </w:rPr>
            </w:pPr>
          </w:p>
        </w:tc>
        <w:tc>
          <w:tcPr>
            <w:tcW w:w="940" w:type="dxa"/>
            <w:vAlign w:val="bottom"/>
          </w:tcPr>
          <w:p>
            <w:pPr>
              <w:jc w:val="right"/>
              <w:spacing w:after="0"/>
              <w:rPr>
                <w:sz w:val="20"/>
                <w:szCs w:val="20"/>
                <w:color w:val="auto"/>
              </w:rPr>
            </w:pPr>
            <w:r>
              <w:rPr>
                <w:rFonts w:ascii="Arial" w:cs="Arial" w:eastAsia="Arial" w:hAnsi="Arial"/>
                <w:sz w:val="13"/>
                <w:szCs w:val="13"/>
                <w:b w:val="1"/>
                <w:bCs w:val="1"/>
                <w:color w:val="auto"/>
              </w:rPr>
              <w:t xml:space="preserve">Amount </w:t>
            </w:r>
            <w:r>
              <w:rPr>
                <w:rFonts w:ascii="Arial" w:cs="Arial" w:eastAsia="Arial" w:hAnsi="Arial"/>
                <w:sz w:val="21"/>
                <w:szCs w:val="21"/>
                <w:b w:val="1"/>
                <w:bCs w:val="1"/>
                <w:color w:val="auto"/>
                <w:vertAlign w:val="superscript"/>
              </w:rPr>
              <w:t>(*)</w:t>
            </w:r>
          </w:p>
        </w:tc>
        <w:tc>
          <w:tcPr>
            <w:tcW w:w="30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420" w:type="dxa"/>
            <w:vAlign w:val="bottom"/>
            <w:gridSpan w:val="2"/>
          </w:tcPr>
          <w:p>
            <w:pPr>
              <w:spacing w:after="0"/>
              <w:rPr>
                <w:sz w:val="20"/>
                <w:szCs w:val="20"/>
                <w:color w:val="auto"/>
              </w:rPr>
            </w:pPr>
            <w:r>
              <w:rPr>
                <w:rFonts w:ascii="Arial" w:cs="Arial" w:eastAsia="Arial" w:hAnsi="Arial"/>
                <w:sz w:val="13"/>
                <w:szCs w:val="13"/>
                <w:b w:val="1"/>
                <w:bCs w:val="1"/>
                <w:color w:val="auto"/>
                <w:w w:val="95"/>
              </w:rPr>
              <w:t>Weighted Average Cost</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780" w:type="dxa"/>
            <w:vAlign w:val="bottom"/>
          </w:tcPr>
          <w:p>
            <w:pPr>
              <w:spacing w:after="0"/>
              <w:rPr>
                <w:sz w:val="12"/>
                <w:szCs w:val="12"/>
                <w:color w:val="auto"/>
              </w:rPr>
            </w:pPr>
          </w:p>
        </w:tc>
        <w:tc>
          <w:tcPr>
            <w:tcW w:w="2800" w:type="dxa"/>
            <w:vAlign w:val="bottom"/>
          </w:tcPr>
          <w:p>
            <w:pPr>
              <w:spacing w:after="0"/>
              <w:rPr>
                <w:sz w:val="12"/>
                <w:szCs w:val="12"/>
                <w:color w:val="auto"/>
              </w:rPr>
            </w:pPr>
          </w:p>
        </w:tc>
        <w:tc>
          <w:tcPr>
            <w:tcW w:w="2740" w:type="dxa"/>
            <w:vAlign w:val="bottom"/>
            <w:tcBorders>
              <w:top w:val="single" w:sz="8" w:color="auto"/>
            </w:tcBorders>
            <w:gridSpan w:val="4"/>
          </w:tcPr>
          <w:p>
            <w:pPr>
              <w:ind w:left="460"/>
              <w:spacing w:after="0" w:line="144" w:lineRule="exact"/>
              <w:rPr>
                <w:sz w:val="20"/>
                <w:szCs w:val="20"/>
                <w:color w:val="auto"/>
              </w:rPr>
            </w:pPr>
            <w:r>
              <w:rPr>
                <w:rFonts w:ascii="Arial" w:cs="Arial" w:eastAsia="Arial" w:hAnsi="Arial"/>
                <w:sz w:val="13"/>
                <w:szCs w:val="13"/>
                <w:b w:val="1"/>
                <w:bCs w:val="1"/>
                <w:color w:val="auto"/>
              </w:rPr>
              <w:t>(in $ millions, except percentage)</w:t>
            </w:r>
          </w:p>
        </w:tc>
        <w:tc>
          <w:tcPr>
            <w:tcW w:w="1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780" w:type="dxa"/>
            <w:vAlign w:val="bottom"/>
            <w:shd w:val="clear" w:color="auto" w:fill="CCEEFF"/>
          </w:tcPr>
          <w:p>
            <w:pPr>
              <w:spacing w:after="0"/>
              <w:rPr>
                <w:sz w:val="20"/>
                <w:szCs w:val="20"/>
                <w:color w:val="auto"/>
              </w:rPr>
            </w:pPr>
            <w:r>
              <w:rPr>
                <w:rFonts w:ascii="Arial" w:cs="Arial" w:eastAsia="Arial" w:hAnsi="Arial"/>
                <w:sz w:val="13"/>
                <w:szCs w:val="13"/>
                <w:color w:val="auto"/>
              </w:rPr>
              <w:t>Short-term Repos and borrowings at fixed interest rate</w:t>
            </w:r>
          </w:p>
        </w:tc>
        <w:tc>
          <w:tcPr>
            <w:tcW w:w="280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780" w:type="dxa"/>
            <w:vAlign w:val="bottom"/>
          </w:tcPr>
          <w:p>
            <w:pPr>
              <w:spacing w:after="0"/>
              <w:rPr>
                <w:sz w:val="20"/>
                <w:szCs w:val="20"/>
                <w:color w:val="auto"/>
              </w:rPr>
            </w:pPr>
            <w:r>
              <w:rPr>
                <w:rFonts w:ascii="Arial" w:cs="Arial" w:eastAsia="Arial" w:hAnsi="Arial"/>
                <w:sz w:val="13"/>
                <w:szCs w:val="13"/>
                <w:color w:val="auto"/>
              </w:rPr>
              <w:t>Due in 0 to 30 days</w:t>
            </w:r>
          </w:p>
        </w:tc>
        <w:tc>
          <w:tcPr>
            <w:tcW w:w="3740" w:type="dxa"/>
            <w:vAlign w:val="bottom"/>
            <w:gridSpan w:val="2"/>
          </w:tcPr>
          <w:p>
            <w:pPr>
              <w:jc w:val="right"/>
              <w:ind w:right="829"/>
              <w:spacing w:after="0"/>
              <w:rPr>
                <w:sz w:val="20"/>
                <w:szCs w:val="20"/>
                <w:color w:val="auto"/>
              </w:rPr>
            </w:pPr>
            <w:r>
              <w:rPr>
                <w:rFonts w:ascii="Arial" w:cs="Arial" w:eastAsia="Arial" w:hAnsi="Arial"/>
                <w:sz w:val="13"/>
                <w:szCs w:val="13"/>
                <w:color w:val="auto"/>
              </w:rPr>
              <w:t>$</w:t>
            </w:r>
          </w:p>
        </w:tc>
        <w:tc>
          <w:tcPr>
            <w:tcW w:w="520" w:type="dxa"/>
            <w:vAlign w:val="bottom"/>
            <w:gridSpan w:val="2"/>
          </w:tcPr>
          <w:p>
            <w:pPr>
              <w:jc w:val="right"/>
              <w:ind w:right="220"/>
              <w:spacing w:after="0"/>
              <w:rPr>
                <w:sz w:val="20"/>
                <w:szCs w:val="20"/>
                <w:color w:val="auto"/>
              </w:rPr>
            </w:pPr>
            <w:r>
              <w:rPr>
                <w:rFonts w:ascii="Arial" w:cs="Arial" w:eastAsia="Arial" w:hAnsi="Arial"/>
                <w:sz w:val="13"/>
                <w:szCs w:val="13"/>
                <w:color w:val="auto"/>
              </w:rPr>
              <w:t>322</w:t>
            </w:r>
          </w:p>
        </w:tc>
        <w:tc>
          <w:tcPr>
            <w:tcW w:w="1420" w:type="dxa"/>
            <w:vAlign w:val="bottom"/>
            <w:gridSpan w:val="2"/>
          </w:tcPr>
          <w:p>
            <w:pPr>
              <w:ind w:left="1060"/>
              <w:spacing w:after="0"/>
              <w:rPr>
                <w:sz w:val="20"/>
                <w:szCs w:val="20"/>
                <w:color w:val="auto"/>
              </w:rPr>
            </w:pPr>
            <w:r>
              <w:rPr>
                <w:rFonts w:ascii="Arial" w:cs="Arial" w:eastAsia="Arial" w:hAnsi="Arial"/>
                <w:sz w:val="13"/>
                <w:szCs w:val="13"/>
                <w:color w:val="auto"/>
                <w:w w:val="92"/>
              </w:rPr>
              <w:t>2.96%</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780" w:type="dxa"/>
            <w:vAlign w:val="bottom"/>
            <w:shd w:val="clear" w:color="auto" w:fill="CCEEFF"/>
          </w:tcPr>
          <w:p>
            <w:pPr>
              <w:spacing w:after="0"/>
              <w:rPr>
                <w:sz w:val="20"/>
                <w:szCs w:val="20"/>
                <w:color w:val="auto"/>
              </w:rPr>
            </w:pPr>
            <w:r>
              <w:rPr>
                <w:rFonts w:ascii="Arial" w:cs="Arial" w:eastAsia="Arial" w:hAnsi="Arial"/>
                <w:sz w:val="13"/>
                <w:szCs w:val="13"/>
                <w:color w:val="auto"/>
              </w:rPr>
              <w:t>Due in 31 to 90 days</w:t>
            </w:r>
          </w:p>
        </w:tc>
        <w:tc>
          <w:tcPr>
            <w:tcW w:w="280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260</w:t>
            </w:r>
          </w:p>
        </w:tc>
        <w:tc>
          <w:tcPr>
            <w:tcW w:w="1420" w:type="dxa"/>
            <w:vAlign w:val="bottom"/>
            <w:gridSpan w:val="2"/>
            <w:shd w:val="clear" w:color="auto" w:fill="CCEEFF"/>
          </w:tcPr>
          <w:p>
            <w:pPr>
              <w:ind w:left="1060"/>
              <w:spacing w:after="0"/>
              <w:rPr>
                <w:sz w:val="20"/>
                <w:szCs w:val="20"/>
                <w:color w:val="auto"/>
              </w:rPr>
            </w:pPr>
            <w:r>
              <w:rPr>
                <w:rFonts w:ascii="Arial" w:cs="Arial" w:eastAsia="Arial" w:hAnsi="Arial"/>
                <w:sz w:val="13"/>
                <w:szCs w:val="13"/>
                <w:color w:val="auto"/>
                <w:w w:val="92"/>
              </w:rPr>
              <w:t>3.00%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780" w:type="dxa"/>
            <w:vAlign w:val="bottom"/>
          </w:tcPr>
          <w:p>
            <w:pPr>
              <w:spacing w:after="0"/>
              <w:rPr>
                <w:sz w:val="20"/>
                <w:szCs w:val="20"/>
                <w:color w:val="auto"/>
              </w:rPr>
            </w:pPr>
            <w:r>
              <w:rPr>
                <w:rFonts w:ascii="Arial" w:cs="Arial" w:eastAsia="Arial" w:hAnsi="Arial"/>
                <w:sz w:val="13"/>
                <w:szCs w:val="13"/>
                <w:color w:val="auto"/>
              </w:rPr>
              <w:t>Due in 91 to 180 days</w:t>
            </w:r>
          </w:p>
        </w:tc>
        <w:tc>
          <w:tcPr>
            <w:tcW w:w="280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300" w:type="dxa"/>
            <w:vAlign w:val="bottom"/>
          </w:tcPr>
          <w:p>
            <w:pPr>
              <w:jc w:val="right"/>
              <w:spacing w:after="0"/>
              <w:rPr>
                <w:sz w:val="20"/>
                <w:szCs w:val="20"/>
                <w:color w:val="auto"/>
              </w:rPr>
            </w:pPr>
            <w:r>
              <w:rPr>
                <w:rFonts w:ascii="Arial" w:cs="Arial" w:eastAsia="Arial" w:hAnsi="Arial"/>
                <w:sz w:val="13"/>
                <w:szCs w:val="13"/>
                <w:color w:val="auto"/>
              </w:rPr>
              <w:t>50</w:t>
            </w:r>
          </w:p>
        </w:tc>
        <w:tc>
          <w:tcPr>
            <w:tcW w:w="220" w:type="dxa"/>
            <w:vAlign w:val="bottom"/>
          </w:tcPr>
          <w:p>
            <w:pPr>
              <w:spacing w:after="0"/>
              <w:rPr>
                <w:sz w:val="13"/>
                <w:szCs w:val="13"/>
                <w:color w:val="auto"/>
              </w:rPr>
            </w:pPr>
          </w:p>
        </w:tc>
        <w:tc>
          <w:tcPr>
            <w:tcW w:w="1420" w:type="dxa"/>
            <w:vAlign w:val="bottom"/>
            <w:gridSpan w:val="2"/>
          </w:tcPr>
          <w:p>
            <w:pPr>
              <w:ind w:left="1060"/>
              <w:spacing w:after="0"/>
              <w:rPr>
                <w:sz w:val="20"/>
                <w:szCs w:val="20"/>
                <w:color w:val="auto"/>
              </w:rPr>
            </w:pPr>
            <w:r>
              <w:rPr>
                <w:rFonts w:ascii="Arial" w:cs="Arial" w:eastAsia="Arial" w:hAnsi="Arial"/>
                <w:sz w:val="13"/>
                <w:szCs w:val="13"/>
                <w:color w:val="auto"/>
                <w:w w:val="92"/>
              </w:rPr>
              <w:t>2.92%</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780" w:type="dxa"/>
            <w:vAlign w:val="bottom"/>
            <w:shd w:val="clear" w:color="auto" w:fill="CCEEFF"/>
          </w:tcPr>
          <w:p>
            <w:pPr>
              <w:spacing w:after="0"/>
              <w:rPr>
                <w:sz w:val="20"/>
                <w:szCs w:val="20"/>
                <w:color w:val="auto"/>
              </w:rPr>
            </w:pPr>
            <w:r>
              <w:rPr>
                <w:rFonts w:ascii="Arial" w:cs="Arial" w:eastAsia="Arial" w:hAnsi="Arial"/>
                <w:sz w:val="13"/>
                <w:szCs w:val="13"/>
                <w:color w:val="auto"/>
              </w:rPr>
              <w:t>Due in 181 to 365 days</w:t>
            </w:r>
          </w:p>
        </w:tc>
        <w:tc>
          <w:tcPr>
            <w:tcW w:w="2800" w:type="dxa"/>
            <w:vAlign w:val="bottom"/>
            <w:shd w:val="clear" w:color="auto" w:fill="CCEEFF"/>
          </w:tcPr>
          <w:p>
            <w:pPr>
              <w:spacing w:after="0"/>
              <w:rPr>
                <w:sz w:val="14"/>
                <w:szCs w:val="14"/>
                <w:color w:val="auto"/>
              </w:rPr>
            </w:pPr>
          </w:p>
        </w:tc>
        <w:tc>
          <w:tcPr>
            <w:tcW w:w="940" w:type="dxa"/>
            <w:vAlign w:val="bottom"/>
            <w:shd w:val="clear" w:color="auto" w:fill="CCEEFF"/>
          </w:tcPr>
          <w:p>
            <w:pPr>
              <w:spacing w:after="0"/>
              <w:rPr>
                <w:sz w:val="14"/>
                <w:szCs w:val="14"/>
                <w:color w:val="auto"/>
              </w:rPr>
            </w:pP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103</w:t>
            </w:r>
          </w:p>
        </w:tc>
        <w:tc>
          <w:tcPr>
            <w:tcW w:w="1420" w:type="dxa"/>
            <w:vAlign w:val="bottom"/>
            <w:gridSpan w:val="2"/>
            <w:shd w:val="clear" w:color="auto" w:fill="CCEEFF"/>
          </w:tcPr>
          <w:p>
            <w:pPr>
              <w:ind w:left="1060"/>
              <w:spacing w:after="0"/>
              <w:rPr>
                <w:sz w:val="20"/>
                <w:szCs w:val="20"/>
                <w:color w:val="auto"/>
              </w:rPr>
            </w:pPr>
            <w:r>
              <w:rPr>
                <w:rFonts w:ascii="Arial" w:cs="Arial" w:eastAsia="Arial" w:hAnsi="Arial"/>
                <w:sz w:val="13"/>
                <w:szCs w:val="13"/>
                <w:color w:val="auto"/>
                <w:w w:val="92"/>
              </w:rPr>
              <w:t>3.25%</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780" w:type="dxa"/>
            <w:vAlign w:val="bottom"/>
            <w:vMerge w:val="restart"/>
          </w:tcPr>
          <w:p>
            <w:pPr>
              <w:spacing w:after="0"/>
              <w:rPr>
                <w:sz w:val="20"/>
                <w:szCs w:val="20"/>
                <w:color w:val="auto"/>
              </w:rPr>
            </w:pPr>
            <w:r>
              <w:rPr>
                <w:rFonts w:ascii="Arial" w:cs="Arial" w:eastAsia="Arial" w:hAnsi="Arial"/>
                <w:sz w:val="13"/>
                <w:szCs w:val="13"/>
                <w:b w:val="1"/>
                <w:bCs w:val="1"/>
                <w:color w:val="auto"/>
              </w:rPr>
              <w:t>Total</w:t>
            </w:r>
          </w:p>
        </w:tc>
        <w:tc>
          <w:tcPr>
            <w:tcW w:w="2800" w:type="dxa"/>
            <w:vAlign w:val="bottom"/>
            <w:vMerge w:val="restart"/>
          </w:tcPr>
          <w:p>
            <w:pPr>
              <w:spacing w:after="0" w:line="20" w:lineRule="exact"/>
              <w:rPr>
                <w:sz w:val="1"/>
                <w:szCs w:val="1"/>
                <w:color w:val="auto"/>
              </w:rPr>
            </w:pPr>
          </w:p>
        </w:tc>
        <w:tc>
          <w:tcPr>
            <w:tcW w:w="940" w:type="dxa"/>
            <w:vAlign w:val="bottom"/>
            <w:shd w:val="clear" w:color="auto" w:fill="000000"/>
          </w:tcPr>
          <w:p>
            <w:pPr>
              <w:spacing w:after="0" w:line="20" w:lineRule="exact"/>
              <w:rPr>
                <w:sz w:val="1"/>
                <w:szCs w:val="1"/>
                <w:color w:val="auto"/>
              </w:rPr>
            </w:pPr>
          </w:p>
        </w:tc>
        <w:tc>
          <w:tcPr>
            <w:tcW w:w="300" w:type="dxa"/>
            <w:vAlign w:val="bottom"/>
            <w:shd w:val="clear" w:color="auto" w:fill="000000"/>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28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4"/>
        </w:trPr>
        <w:tc>
          <w:tcPr>
            <w:tcW w:w="20" w:type="dxa"/>
            <w:vAlign w:val="bottom"/>
          </w:tcPr>
          <w:p>
            <w:pPr>
              <w:spacing w:after="0"/>
              <w:rPr>
                <w:sz w:val="12"/>
                <w:szCs w:val="12"/>
                <w:color w:val="auto"/>
              </w:rPr>
            </w:pPr>
          </w:p>
        </w:tc>
        <w:tc>
          <w:tcPr>
            <w:tcW w:w="5780" w:type="dxa"/>
            <w:vAlign w:val="bottom"/>
            <w:vMerge w:val="continue"/>
          </w:tcPr>
          <w:p>
            <w:pPr>
              <w:spacing w:after="0"/>
              <w:rPr>
                <w:sz w:val="12"/>
                <w:szCs w:val="12"/>
                <w:color w:val="auto"/>
              </w:rPr>
            </w:pPr>
          </w:p>
        </w:tc>
        <w:tc>
          <w:tcPr>
            <w:tcW w:w="2800" w:type="dxa"/>
            <w:vAlign w:val="bottom"/>
            <w:vMerge w:val="continue"/>
          </w:tcPr>
          <w:p>
            <w:pPr>
              <w:spacing w:after="0"/>
              <w:rPr>
                <w:sz w:val="12"/>
                <w:szCs w:val="12"/>
                <w:color w:val="auto"/>
              </w:rPr>
            </w:pPr>
          </w:p>
        </w:tc>
        <w:tc>
          <w:tcPr>
            <w:tcW w:w="940" w:type="dxa"/>
            <w:vAlign w:val="bottom"/>
          </w:tcPr>
          <w:p>
            <w:pPr>
              <w:jc w:val="right"/>
              <w:ind w:right="829"/>
              <w:spacing w:after="0"/>
              <w:rPr>
                <w:sz w:val="20"/>
                <w:szCs w:val="20"/>
                <w:color w:val="auto"/>
              </w:rPr>
            </w:pPr>
            <w:r>
              <w:rPr>
                <w:rFonts w:ascii="Arial" w:cs="Arial" w:eastAsia="Arial" w:hAnsi="Arial"/>
                <w:sz w:val="10"/>
                <w:szCs w:val="10"/>
                <w:b w:val="1"/>
                <w:bCs w:val="1"/>
                <w:color w:val="auto"/>
                <w:w w:val="71"/>
              </w:rPr>
              <w:t>$</w:t>
            </w:r>
          </w:p>
        </w:tc>
        <w:tc>
          <w:tcPr>
            <w:tcW w:w="300" w:type="dxa"/>
            <w:vAlign w:val="bottom"/>
          </w:tcPr>
          <w:p>
            <w:pPr>
              <w:jc w:val="right"/>
              <w:spacing w:after="0" w:line="144" w:lineRule="exact"/>
              <w:rPr>
                <w:sz w:val="20"/>
                <w:szCs w:val="20"/>
                <w:color w:val="auto"/>
              </w:rPr>
            </w:pPr>
            <w:r>
              <w:rPr>
                <w:rFonts w:ascii="Arial" w:cs="Arial" w:eastAsia="Arial" w:hAnsi="Arial"/>
                <w:sz w:val="13"/>
                <w:szCs w:val="13"/>
                <w:b w:val="1"/>
                <w:bCs w:val="1"/>
                <w:color w:val="auto"/>
              </w:rPr>
              <w:t>735</w:t>
            </w:r>
          </w:p>
        </w:tc>
        <w:tc>
          <w:tcPr>
            <w:tcW w:w="220" w:type="dxa"/>
            <w:vAlign w:val="bottom"/>
            <w:vMerge w:val="continue"/>
          </w:tcPr>
          <w:p>
            <w:pPr>
              <w:spacing w:after="0"/>
              <w:rPr>
                <w:sz w:val="12"/>
                <w:szCs w:val="12"/>
                <w:color w:val="auto"/>
              </w:rPr>
            </w:pPr>
          </w:p>
        </w:tc>
        <w:tc>
          <w:tcPr>
            <w:tcW w:w="1420" w:type="dxa"/>
            <w:vAlign w:val="bottom"/>
            <w:gridSpan w:val="2"/>
          </w:tcPr>
          <w:p>
            <w:pPr>
              <w:ind w:left="1060"/>
              <w:spacing w:after="0" w:line="144" w:lineRule="exact"/>
              <w:rPr>
                <w:sz w:val="20"/>
                <w:szCs w:val="20"/>
                <w:color w:val="auto"/>
              </w:rPr>
            </w:pPr>
            <w:r>
              <w:rPr>
                <w:rFonts w:ascii="Arial" w:cs="Arial" w:eastAsia="Arial" w:hAnsi="Arial"/>
                <w:sz w:val="13"/>
                <w:szCs w:val="13"/>
                <w:b w:val="1"/>
                <w:bCs w:val="1"/>
                <w:color w:val="auto"/>
                <w:w w:val="92"/>
              </w:rPr>
              <w:t>3.01%</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780" w:type="dxa"/>
            <w:vAlign w:val="bottom"/>
            <w:shd w:val="clear" w:color="auto" w:fill="CCEEFF"/>
          </w:tcPr>
          <w:p>
            <w:pPr>
              <w:spacing w:after="0"/>
              <w:rPr>
                <w:sz w:val="13"/>
                <w:szCs w:val="13"/>
                <w:color w:val="auto"/>
              </w:rPr>
            </w:pPr>
          </w:p>
        </w:tc>
        <w:tc>
          <w:tcPr>
            <w:tcW w:w="280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780" w:type="dxa"/>
            <w:vAlign w:val="bottom"/>
          </w:tcPr>
          <w:p>
            <w:pPr>
              <w:spacing w:after="0"/>
              <w:rPr>
                <w:sz w:val="20"/>
                <w:szCs w:val="20"/>
                <w:color w:val="auto"/>
              </w:rPr>
            </w:pPr>
            <w:r>
              <w:rPr>
                <w:rFonts w:ascii="Arial" w:cs="Arial" w:eastAsia="Arial" w:hAnsi="Arial"/>
                <w:sz w:val="13"/>
                <w:szCs w:val="13"/>
                <w:color w:val="auto"/>
              </w:rPr>
              <w:t>Short-term borrowings at floating interest rate</w:t>
            </w:r>
          </w:p>
        </w:tc>
        <w:tc>
          <w:tcPr>
            <w:tcW w:w="280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780" w:type="dxa"/>
            <w:vAlign w:val="bottom"/>
            <w:shd w:val="clear" w:color="auto" w:fill="CCEEFF"/>
          </w:tcPr>
          <w:p>
            <w:pPr>
              <w:spacing w:after="0"/>
              <w:rPr>
                <w:sz w:val="20"/>
                <w:szCs w:val="20"/>
                <w:color w:val="auto"/>
              </w:rPr>
            </w:pPr>
            <w:r>
              <w:rPr>
                <w:rFonts w:ascii="Arial" w:cs="Arial" w:eastAsia="Arial" w:hAnsi="Arial"/>
                <w:sz w:val="13"/>
                <w:szCs w:val="13"/>
                <w:color w:val="auto"/>
              </w:rPr>
              <w:t>Due in 0 to 30 days</w:t>
            </w:r>
          </w:p>
        </w:tc>
        <w:tc>
          <w:tcPr>
            <w:tcW w:w="3740" w:type="dxa"/>
            <w:vAlign w:val="bottom"/>
            <w:gridSpan w:val="2"/>
            <w:shd w:val="clear" w:color="auto" w:fill="CCEEFF"/>
          </w:tcPr>
          <w:p>
            <w:pPr>
              <w:jc w:val="right"/>
              <w:ind w:right="829"/>
              <w:spacing w:after="0"/>
              <w:rPr>
                <w:sz w:val="20"/>
                <w:szCs w:val="20"/>
                <w:color w:val="auto"/>
              </w:rPr>
            </w:pPr>
            <w:r>
              <w:rPr>
                <w:rFonts w:ascii="Arial" w:cs="Arial" w:eastAsia="Arial" w:hAnsi="Arial"/>
                <w:sz w:val="13"/>
                <w:szCs w:val="13"/>
                <w:color w:val="auto"/>
              </w:rPr>
              <w:t>$</w:t>
            </w:r>
          </w:p>
        </w:tc>
        <w:tc>
          <w:tcPr>
            <w:tcW w:w="3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15</w:t>
            </w:r>
          </w:p>
        </w:tc>
        <w:tc>
          <w:tcPr>
            <w:tcW w:w="22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ind w:left="1060"/>
              <w:spacing w:after="0"/>
              <w:rPr>
                <w:sz w:val="20"/>
                <w:szCs w:val="20"/>
                <w:color w:val="auto"/>
              </w:rPr>
            </w:pPr>
            <w:r>
              <w:rPr>
                <w:rFonts w:ascii="Arial" w:cs="Arial" w:eastAsia="Arial" w:hAnsi="Arial"/>
                <w:sz w:val="13"/>
                <w:szCs w:val="13"/>
                <w:color w:val="auto"/>
                <w:w w:val="92"/>
              </w:rPr>
              <w:t>8.64%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780" w:type="dxa"/>
            <w:vAlign w:val="bottom"/>
          </w:tcPr>
          <w:p>
            <w:pPr>
              <w:spacing w:after="0"/>
              <w:rPr>
                <w:sz w:val="20"/>
                <w:szCs w:val="20"/>
                <w:color w:val="auto"/>
              </w:rPr>
            </w:pPr>
            <w:r>
              <w:rPr>
                <w:rFonts w:ascii="Arial" w:cs="Arial" w:eastAsia="Arial" w:hAnsi="Arial"/>
                <w:sz w:val="13"/>
                <w:szCs w:val="13"/>
                <w:color w:val="auto"/>
              </w:rPr>
              <w:t>Due in 31 to 90 days</w:t>
            </w:r>
          </w:p>
        </w:tc>
        <w:tc>
          <w:tcPr>
            <w:tcW w:w="280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520" w:type="dxa"/>
            <w:vAlign w:val="bottom"/>
            <w:gridSpan w:val="2"/>
          </w:tcPr>
          <w:p>
            <w:pPr>
              <w:jc w:val="right"/>
              <w:ind w:right="220"/>
              <w:spacing w:after="0"/>
              <w:rPr>
                <w:sz w:val="20"/>
                <w:szCs w:val="20"/>
                <w:color w:val="auto"/>
              </w:rPr>
            </w:pPr>
            <w:r>
              <w:rPr>
                <w:rFonts w:ascii="Arial" w:cs="Arial" w:eastAsia="Arial" w:hAnsi="Arial"/>
                <w:sz w:val="13"/>
                <w:szCs w:val="13"/>
                <w:color w:val="auto"/>
              </w:rPr>
              <w:t>314</w:t>
            </w:r>
          </w:p>
        </w:tc>
        <w:tc>
          <w:tcPr>
            <w:tcW w:w="1420" w:type="dxa"/>
            <w:vAlign w:val="bottom"/>
            <w:gridSpan w:val="2"/>
          </w:tcPr>
          <w:p>
            <w:pPr>
              <w:ind w:left="1060"/>
              <w:spacing w:after="0"/>
              <w:rPr>
                <w:sz w:val="20"/>
                <w:szCs w:val="20"/>
                <w:color w:val="auto"/>
              </w:rPr>
            </w:pPr>
            <w:r>
              <w:rPr>
                <w:rFonts w:ascii="Arial" w:cs="Arial" w:eastAsia="Arial" w:hAnsi="Arial"/>
                <w:sz w:val="13"/>
                <w:szCs w:val="13"/>
                <w:color w:val="auto"/>
                <w:w w:val="92"/>
              </w:rPr>
              <w:t>3.20%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780" w:type="dxa"/>
            <w:vAlign w:val="bottom"/>
            <w:shd w:val="clear" w:color="auto" w:fill="CCEEFF"/>
          </w:tcPr>
          <w:p>
            <w:pPr>
              <w:spacing w:after="0"/>
              <w:rPr>
                <w:sz w:val="20"/>
                <w:szCs w:val="20"/>
                <w:color w:val="auto"/>
              </w:rPr>
            </w:pPr>
            <w:r>
              <w:rPr>
                <w:rFonts w:ascii="Arial" w:cs="Arial" w:eastAsia="Arial" w:hAnsi="Arial"/>
                <w:sz w:val="13"/>
                <w:szCs w:val="13"/>
                <w:color w:val="auto"/>
              </w:rPr>
              <w:t>Due in 91 to 180 days</w:t>
            </w:r>
          </w:p>
        </w:tc>
        <w:tc>
          <w:tcPr>
            <w:tcW w:w="280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175</w:t>
            </w:r>
          </w:p>
        </w:tc>
        <w:tc>
          <w:tcPr>
            <w:tcW w:w="1420" w:type="dxa"/>
            <w:vAlign w:val="bottom"/>
            <w:gridSpan w:val="2"/>
            <w:shd w:val="clear" w:color="auto" w:fill="CCEEFF"/>
          </w:tcPr>
          <w:p>
            <w:pPr>
              <w:ind w:left="1060"/>
              <w:spacing w:after="0"/>
              <w:rPr>
                <w:sz w:val="20"/>
                <w:szCs w:val="20"/>
                <w:color w:val="auto"/>
              </w:rPr>
            </w:pPr>
            <w:r>
              <w:rPr>
                <w:rFonts w:ascii="Arial" w:cs="Arial" w:eastAsia="Arial" w:hAnsi="Arial"/>
                <w:sz w:val="13"/>
                <w:szCs w:val="13"/>
                <w:color w:val="auto"/>
                <w:w w:val="92"/>
              </w:rPr>
              <w:t>2.98%</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780" w:type="dxa"/>
            <w:vAlign w:val="bottom"/>
          </w:tcPr>
          <w:p>
            <w:pPr>
              <w:spacing w:after="0"/>
              <w:rPr>
                <w:sz w:val="20"/>
                <w:szCs w:val="20"/>
                <w:color w:val="auto"/>
              </w:rPr>
            </w:pPr>
            <w:r>
              <w:rPr>
                <w:rFonts w:ascii="Arial" w:cs="Arial" w:eastAsia="Arial" w:hAnsi="Arial"/>
                <w:sz w:val="13"/>
                <w:szCs w:val="13"/>
                <w:color w:val="auto"/>
              </w:rPr>
              <w:t>Due in 181 to 365 days</w:t>
            </w:r>
          </w:p>
        </w:tc>
        <w:tc>
          <w:tcPr>
            <w:tcW w:w="280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520" w:type="dxa"/>
            <w:vAlign w:val="bottom"/>
            <w:gridSpan w:val="2"/>
          </w:tcPr>
          <w:p>
            <w:pPr>
              <w:jc w:val="right"/>
              <w:ind w:right="220"/>
              <w:spacing w:after="0"/>
              <w:rPr>
                <w:sz w:val="20"/>
                <w:szCs w:val="20"/>
                <w:color w:val="auto"/>
              </w:rPr>
            </w:pPr>
            <w:r>
              <w:rPr>
                <w:rFonts w:ascii="Arial" w:cs="Arial" w:eastAsia="Arial" w:hAnsi="Arial"/>
                <w:sz w:val="13"/>
                <w:szCs w:val="13"/>
                <w:color w:val="auto"/>
              </w:rPr>
              <w:t>776</w:t>
            </w:r>
          </w:p>
        </w:tc>
        <w:tc>
          <w:tcPr>
            <w:tcW w:w="1420" w:type="dxa"/>
            <w:vAlign w:val="bottom"/>
            <w:gridSpan w:val="2"/>
          </w:tcPr>
          <w:p>
            <w:pPr>
              <w:ind w:left="1060"/>
              <w:spacing w:after="0"/>
              <w:rPr>
                <w:sz w:val="20"/>
                <w:szCs w:val="20"/>
                <w:color w:val="auto"/>
              </w:rPr>
            </w:pPr>
            <w:r>
              <w:rPr>
                <w:rFonts w:ascii="Arial" w:cs="Arial" w:eastAsia="Arial" w:hAnsi="Arial"/>
                <w:sz w:val="13"/>
                <w:szCs w:val="13"/>
                <w:color w:val="auto"/>
                <w:w w:val="92"/>
              </w:rPr>
              <w:t>3.12%</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780" w:type="dxa"/>
            <w:vAlign w:val="bottom"/>
            <w:vMerge w:val="restart"/>
            <w:shd w:val="clear" w:color="auto" w:fill="CCEEFF"/>
          </w:tcPr>
          <w:p>
            <w:pPr>
              <w:spacing w:after="0"/>
              <w:rPr>
                <w:sz w:val="20"/>
                <w:szCs w:val="20"/>
                <w:color w:val="auto"/>
              </w:rPr>
            </w:pPr>
            <w:r>
              <w:rPr>
                <w:rFonts w:ascii="Arial" w:cs="Arial" w:eastAsia="Arial" w:hAnsi="Arial"/>
                <w:sz w:val="13"/>
                <w:szCs w:val="13"/>
                <w:b w:val="1"/>
                <w:bCs w:val="1"/>
                <w:color w:val="auto"/>
              </w:rPr>
              <w:t>Total</w:t>
            </w:r>
          </w:p>
        </w:tc>
        <w:tc>
          <w:tcPr>
            <w:tcW w:w="2800" w:type="dxa"/>
            <w:vAlign w:val="bottom"/>
            <w:vMerge w:val="restart"/>
            <w:shd w:val="clear" w:color="auto" w:fill="CCEEFF"/>
          </w:tcPr>
          <w:p>
            <w:pPr>
              <w:spacing w:after="0" w:line="20" w:lineRule="exact"/>
              <w:rPr>
                <w:sz w:val="1"/>
                <w:szCs w:val="1"/>
                <w:color w:val="auto"/>
              </w:rPr>
            </w:pPr>
          </w:p>
        </w:tc>
        <w:tc>
          <w:tcPr>
            <w:tcW w:w="940" w:type="dxa"/>
            <w:vAlign w:val="bottom"/>
            <w:shd w:val="clear" w:color="auto" w:fill="000000"/>
          </w:tcPr>
          <w:p>
            <w:pPr>
              <w:spacing w:after="0" w:line="20" w:lineRule="exact"/>
              <w:rPr>
                <w:sz w:val="1"/>
                <w:szCs w:val="1"/>
                <w:color w:val="auto"/>
              </w:rPr>
            </w:pPr>
          </w:p>
        </w:tc>
        <w:tc>
          <w:tcPr>
            <w:tcW w:w="3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80" w:type="dxa"/>
            <w:vAlign w:val="bottom"/>
            <w:shd w:val="clear" w:color="auto" w:fill="000000"/>
          </w:tcPr>
          <w:p>
            <w:pPr>
              <w:spacing w:after="0" w:line="20" w:lineRule="exact"/>
              <w:rPr>
                <w:sz w:val="1"/>
                <w:szCs w:val="1"/>
                <w:color w:val="auto"/>
              </w:rPr>
            </w:pPr>
          </w:p>
        </w:tc>
        <w:tc>
          <w:tcPr>
            <w:tcW w:w="14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4"/>
        </w:trPr>
        <w:tc>
          <w:tcPr>
            <w:tcW w:w="20" w:type="dxa"/>
            <w:vAlign w:val="bottom"/>
          </w:tcPr>
          <w:p>
            <w:pPr>
              <w:spacing w:after="0"/>
              <w:rPr>
                <w:sz w:val="12"/>
                <w:szCs w:val="12"/>
                <w:color w:val="auto"/>
              </w:rPr>
            </w:pPr>
          </w:p>
        </w:tc>
        <w:tc>
          <w:tcPr>
            <w:tcW w:w="5780" w:type="dxa"/>
            <w:vAlign w:val="bottom"/>
            <w:vMerge w:val="continue"/>
            <w:shd w:val="clear" w:color="auto" w:fill="CCEEFF"/>
          </w:tcPr>
          <w:p>
            <w:pPr>
              <w:spacing w:after="0"/>
              <w:rPr>
                <w:sz w:val="12"/>
                <w:szCs w:val="12"/>
                <w:color w:val="auto"/>
              </w:rPr>
            </w:pPr>
          </w:p>
        </w:tc>
        <w:tc>
          <w:tcPr>
            <w:tcW w:w="2800" w:type="dxa"/>
            <w:vAlign w:val="bottom"/>
            <w:vMerge w:val="continue"/>
            <w:shd w:val="clear" w:color="auto" w:fill="CCEEFF"/>
          </w:tcPr>
          <w:p>
            <w:pPr>
              <w:spacing w:after="0"/>
              <w:rPr>
                <w:sz w:val="12"/>
                <w:szCs w:val="12"/>
                <w:color w:val="auto"/>
              </w:rPr>
            </w:pPr>
          </w:p>
        </w:tc>
        <w:tc>
          <w:tcPr>
            <w:tcW w:w="940" w:type="dxa"/>
            <w:vAlign w:val="bottom"/>
            <w:shd w:val="clear" w:color="auto" w:fill="CCEEFF"/>
          </w:tcPr>
          <w:p>
            <w:pPr>
              <w:jc w:val="right"/>
              <w:ind w:right="829"/>
              <w:spacing w:after="0"/>
              <w:rPr>
                <w:sz w:val="20"/>
                <w:szCs w:val="20"/>
                <w:color w:val="auto"/>
              </w:rPr>
            </w:pPr>
            <w:r>
              <w:rPr>
                <w:rFonts w:ascii="Arial" w:cs="Arial" w:eastAsia="Arial" w:hAnsi="Arial"/>
                <w:sz w:val="10"/>
                <w:szCs w:val="10"/>
                <w:b w:val="1"/>
                <w:bCs w:val="1"/>
                <w:color w:val="auto"/>
                <w:w w:val="71"/>
              </w:rPr>
              <w:t>$</w:t>
            </w:r>
          </w:p>
        </w:tc>
        <w:tc>
          <w:tcPr>
            <w:tcW w:w="30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w w:val="85"/>
              </w:rPr>
              <w:t>1,280</w:t>
            </w:r>
          </w:p>
        </w:tc>
        <w:tc>
          <w:tcPr>
            <w:tcW w:w="220" w:type="dxa"/>
            <w:vAlign w:val="bottom"/>
            <w:shd w:val="clear" w:color="auto" w:fill="CCEEFF"/>
          </w:tcPr>
          <w:p>
            <w:pPr>
              <w:spacing w:after="0"/>
              <w:rPr>
                <w:sz w:val="12"/>
                <w:szCs w:val="12"/>
                <w:color w:val="auto"/>
              </w:rPr>
            </w:pPr>
          </w:p>
        </w:tc>
        <w:tc>
          <w:tcPr>
            <w:tcW w:w="1420" w:type="dxa"/>
            <w:vAlign w:val="bottom"/>
            <w:gridSpan w:val="2"/>
            <w:shd w:val="clear" w:color="auto" w:fill="CCEEFF"/>
          </w:tcPr>
          <w:p>
            <w:pPr>
              <w:ind w:left="1060"/>
              <w:spacing w:after="0" w:line="144" w:lineRule="exact"/>
              <w:rPr>
                <w:sz w:val="20"/>
                <w:szCs w:val="20"/>
                <w:color w:val="auto"/>
              </w:rPr>
            </w:pPr>
            <w:r>
              <w:rPr>
                <w:rFonts w:ascii="Arial" w:cs="Arial" w:eastAsia="Arial" w:hAnsi="Arial"/>
                <w:sz w:val="13"/>
                <w:szCs w:val="13"/>
                <w:b w:val="1"/>
                <w:bCs w:val="1"/>
                <w:color w:val="auto"/>
                <w:w w:val="92"/>
              </w:rPr>
              <w:t>3.18%</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780" w:type="dxa"/>
            <w:vAlign w:val="bottom"/>
          </w:tcPr>
          <w:p>
            <w:pPr>
              <w:spacing w:after="0"/>
              <w:rPr>
                <w:sz w:val="13"/>
                <w:szCs w:val="13"/>
                <w:color w:val="auto"/>
              </w:rPr>
            </w:pPr>
          </w:p>
        </w:tc>
        <w:tc>
          <w:tcPr>
            <w:tcW w:w="280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780" w:type="dxa"/>
            <w:vAlign w:val="bottom"/>
            <w:shd w:val="clear" w:color="auto" w:fill="CCEEFF"/>
          </w:tcPr>
          <w:p>
            <w:pPr>
              <w:spacing w:after="0"/>
              <w:rPr>
                <w:sz w:val="20"/>
                <w:szCs w:val="20"/>
                <w:color w:val="auto"/>
              </w:rPr>
            </w:pPr>
            <w:r>
              <w:rPr>
                <w:rFonts w:ascii="Arial" w:cs="Arial" w:eastAsia="Arial" w:hAnsi="Arial"/>
                <w:sz w:val="13"/>
                <w:szCs w:val="13"/>
                <w:color w:val="auto"/>
              </w:rPr>
              <w:t>Short-term placements at fixed interest rate</w:t>
            </w:r>
          </w:p>
        </w:tc>
        <w:tc>
          <w:tcPr>
            <w:tcW w:w="280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780" w:type="dxa"/>
            <w:vAlign w:val="bottom"/>
          </w:tcPr>
          <w:p>
            <w:pPr>
              <w:spacing w:after="0"/>
              <w:rPr>
                <w:sz w:val="20"/>
                <w:szCs w:val="20"/>
                <w:color w:val="auto"/>
              </w:rPr>
            </w:pPr>
            <w:r>
              <w:rPr>
                <w:rFonts w:ascii="Arial" w:cs="Arial" w:eastAsia="Arial" w:hAnsi="Arial"/>
                <w:sz w:val="13"/>
                <w:szCs w:val="13"/>
                <w:color w:val="auto"/>
              </w:rPr>
              <w:t>Due in 91 to 180 days</w:t>
            </w:r>
          </w:p>
        </w:tc>
        <w:tc>
          <w:tcPr>
            <w:tcW w:w="3740" w:type="dxa"/>
            <w:vAlign w:val="bottom"/>
            <w:gridSpan w:val="2"/>
          </w:tcPr>
          <w:p>
            <w:pPr>
              <w:jc w:val="right"/>
              <w:ind w:right="829"/>
              <w:spacing w:after="0"/>
              <w:rPr>
                <w:sz w:val="20"/>
                <w:szCs w:val="20"/>
                <w:color w:val="auto"/>
              </w:rPr>
            </w:pPr>
            <w:r>
              <w:rPr>
                <w:rFonts w:ascii="Arial" w:cs="Arial" w:eastAsia="Arial" w:hAnsi="Arial"/>
                <w:sz w:val="13"/>
                <w:szCs w:val="13"/>
                <w:color w:val="auto"/>
              </w:rPr>
              <w:t>$</w:t>
            </w:r>
          </w:p>
        </w:tc>
        <w:tc>
          <w:tcPr>
            <w:tcW w:w="520" w:type="dxa"/>
            <w:vAlign w:val="bottom"/>
            <w:gridSpan w:val="2"/>
          </w:tcPr>
          <w:p>
            <w:pPr>
              <w:jc w:val="right"/>
              <w:ind w:right="220"/>
              <w:spacing w:after="0"/>
              <w:rPr>
                <w:sz w:val="20"/>
                <w:szCs w:val="20"/>
                <w:color w:val="auto"/>
              </w:rPr>
            </w:pPr>
            <w:r>
              <w:rPr>
                <w:rFonts w:ascii="Arial" w:cs="Arial" w:eastAsia="Arial" w:hAnsi="Arial"/>
                <w:sz w:val="13"/>
                <w:szCs w:val="13"/>
                <w:color w:val="auto"/>
              </w:rPr>
              <w:t>3</w:t>
            </w:r>
          </w:p>
        </w:tc>
        <w:tc>
          <w:tcPr>
            <w:tcW w:w="1420" w:type="dxa"/>
            <w:vAlign w:val="bottom"/>
            <w:gridSpan w:val="2"/>
          </w:tcPr>
          <w:p>
            <w:pPr>
              <w:ind w:left="1060"/>
              <w:spacing w:after="0"/>
              <w:rPr>
                <w:sz w:val="20"/>
                <w:szCs w:val="20"/>
                <w:color w:val="auto"/>
              </w:rPr>
            </w:pPr>
            <w:r>
              <w:rPr>
                <w:rFonts w:ascii="Arial" w:cs="Arial" w:eastAsia="Arial" w:hAnsi="Arial"/>
                <w:sz w:val="13"/>
                <w:szCs w:val="13"/>
                <w:color w:val="auto"/>
                <w:w w:val="92"/>
              </w:rPr>
              <w:t>2.83%</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780" w:type="dxa"/>
            <w:vAlign w:val="bottom"/>
            <w:vMerge w:val="restart"/>
            <w:shd w:val="clear" w:color="auto" w:fill="CCEEFF"/>
          </w:tcPr>
          <w:p>
            <w:pPr>
              <w:spacing w:after="0"/>
              <w:rPr>
                <w:sz w:val="20"/>
                <w:szCs w:val="20"/>
                <w:color w:val="auto"/>
              </w:rPr>
            </w:pPr>
            <w:r>
              <w:rPr>
                <w:rFonts w:ascii="Arial" w:cs="Arial" w:eastAsia="Arial" w:hAnsi="Arial"/>
                <w:sz w:val="13"/>
                <w:szCs w:val="13"/>
                <w:b w:val="1"/>
                <w:bCs w:val="1"/>
                <w:color w:val="auto"/>
              </w:rPr>
              <w:t>Total</w:t>
            </w:r>
          </w:p>
        </w:tc>
        <w:tc>
          <w:tcPr>
            <w:tcW w:w="2800" w:type="dxa"/>
            <w:vAlign w:val="bottom"/>
            <w:vMerge w:val="restart"/>
            <w:shd w:val="clear" w:color="auto" w:fill="CCEEFF"/>
          </w:tcPr>
          <w:p>
            <w:pPr>
              <w:spacing w:after="0" w:line="20" w:lineRule="exact"/>
              <w:rPr>
                <w:sz w:val="1"/>
                <w:szCs w:val="1"/>
                <w:color w:val="auto"/>
              </w:rPr>
            </w:pPr>
          </w:p>
        </w:tc>
        <w:tc>
          <w:tcPr>
            <w:tcW w:w="940" w:type="dxa"/>
            <w:vAlign w:val="bottom"/>
            <w:shd w:val="clear" w:color="auto" w:fill="000000"/>
          </w:tcPr>
          <w:p>
            <w:pPr>
              <w:spacing w:after="0" w:line="20" w:lineRule="exact"/>
              <w:rPr>
                <w:sz w:val="1"/>
                <w:szCs w:val="1"/>
                <w:color w:val="auto"/>
              </w:rPr>
            </w:pPr>
          </w:p>
        </w:tc>
        <w:tc>
          <w:tcPr>
            <w:tcW w:w="300" w:type="dxa"/>
            <w:vAlign w:val="bottom"/>
            <w:shd w:val="clear" w:color="auto" w:fill="000000"/>
          </w:tcPr>
          <w:p>
            <w:pPr>
              <w:spacing w:after="0" w:line="20" w:lineRule="exact"/>
              <w:rPr>
                <w:sz w:val="1"/>
                <w:szCs w:val="1"/>
                <w:color w:val="auto"/>
              </w:rPr>
            </w:pPr>
          </w:p>
        </w:tc>
        <w:tc>
          <w:tcPr>
            <w:tcW w:w="220" w:type="dxa"/>
            <w:vAlign w:val="bottom"/>
            <w:vMerge w:val="restart"/>
            <w:shd w:val="clear" w:color="auto" w:fill="CCEEFF"/>
          </w:tcPr>
          <w:p>
            <w:pPr>
              <w:spacing w:after="0" w:line="20" w:lineRule="exact"/>
              <w:rPr>
                <w:sz w:val="1"/>
                <w:szCs w:val="1"/>
                <w:color w:val="auto"/>
              </w:rPr>
            </w:pPr>
          </w:p>
        </w:tc>
        <w:tc>
          <w:tcPr>
            <w:tcW w:w="1280" w:type="dxa"/>
            <w:vAlign w:val="bottom"/>
            <w:shd w:val="clear" w:color="auto" w:fill="000000"/>
          </w:tcPr>
          <w:p>
            <w:pPr>
              <w:spacing w:after="0" w:line="20" w:lineRule="exact"/>
              <w:rPr>
                <w:sz w:val="1"/>
                <w:szCs w:val="1"/>
                <w:color w:val="auto"/>
              </w:rPr>
            </w:pPr>
          </w:p>
        </w:tc>
        <w:tc>
          <w:tcPr>
            <w:tcW w:w="14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4"/>
        </w:trPr>
        <w:tc>
          <w:tcPr>
            <w:tcW w:w="20" w:type="dxa"/>
            <w:vAlign w:val="bottom"/>
          </w:tcPr>
          <w:p>
            <w:pPr>
              <w:spacing w:after="0"/>
              <w:rPr>
                <w:sz w:val="12"/>
                <w:szCs w:val="12"/>
                <w:color w:val="auto"/>
              </w:rPr>
            </w:pPr>
          </w:p>
        </w:tc>
        <w:tc>
          <w:tcPr>
            <w:tcW w:w="5780" w:type="dxa"/>
            <w:vAlign w:val="bottom"/>
            <w:vMerge w:val="continue"/>
            <w:shd w:val="clear" w:color="auto" w:fill="CCEEFF"/>
          </w:tcPr>
          <w:p>
            <w:pPr>
              <w:spacing w:after="0"/>
              <w:rPr>
                <w:sz w:val="12"/>
                <w:szCs w:val="12"/>
                <w:color w:val="auto"/>
              </w:rPr>
            </w:pPr>
          </w:p>
        </w:tc>
        <w:tc>
          <w:tcPr>
            <w:tcW w:w="2800" w:type="dxa"/>
            <w:vAlign w:val="bottom"/>
            <w:vMerge w:val="continue"/>
            <w:shd w:val="clear" w:color="auto" w:fill="CCEEFF"/>
          </w:tcPr>
          <w:p>
            <w:pPr>
              <w:spacing w:after="0"/>
              <w:rPr>
                <w:sz w:val="12"/>
                <w:szCs w:val="12"/>
                <w:color w:val="auto"/>
              </w:rPr>
            </w:pPr>
          </w:p>
        </w:tc>
        <w:tc>
          <w:tcPr>
            <w:tcW w:w="940" w:type="dxa"/>
            <w:vAlign w:val="bottom"/>
            <w:shd w:val="clear" w:color="auto" w:fill="CCEEFF"/>
          </w:tcPr>
          <w:p>
            <w:pPr>
              <w:jc w:val="right"/>
              <w:ind w:right="829"/>
              <w:spacing w:after="0"/>
              <w:rPr>
                <w:sz w:val="20"/>
                <w:szCs w:val="20"/>
                <w:color w:val="auto"/>
              </w:rPr>
            </w:pPr>
            <w:r>
              <w:rPr>
                <w:rFonts w:ascii="Arial" w:cs="Arial" w:eastAsia="Arial" w:hAnsi="Arial"/>
                <w:sz w:val="10"/>
                <w:szCs w:val="10"/>
                <w:b w:val="1"/>
                <w:bCs w:val="1"/>
                <w:color w:val="auto"/>
                <w:w w:val="71"/>
              </w:rPr>
              <w:t>$</w:t>
            </w:r>
          </w:p>
        </w:tc>
        <w:tc>
          <w:tcPr>
            <w:tcW w:w="30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3</w:t>
            </w:r>
          </w:p>
        </w:tc>
        <w:tc>
          <w:tcPr>
            <w:tcW w:w="220" w:type="dxa"/>
            <w:vAlign w:val="bottom"/>
            <w:vMerge w:val="continue"/>
            <w:shd w:val="clear" w:color="auto" w:fill="CCEEFF"/>
          </w:tcPr>
          <w:p>
            <w:pPr>
              <w:spacing w:after="0"/>
              <w:rPr>
                <w:sz w:val="12"/>
                <w:szCs w:val="12"/>
                <w:color w:val="auto"/>
              </w:rPr>
            </w:pPr>
          </w:p>
        </w:tc>
        <w:tc>
          <w:tcPr>
            <w:tcW w:w="1420" w:type="dxa"/>
            <w:vAlign w:val="bottom"/>
            <w:gridSpan w:val="2"/>
            <w:shd w:val="clear" w:color="auto" w:fill="CCEEFF"/>
          </w:tcPr>
          <w:p>
            <w:pPr>
              <w:ind w:left="1060"/>
              <w:spacing w:after="0" w:line="144" w:lineRule="exact"/>
              <w:rPr>
                <w:sz w:val="20"/>
                <w:szCs w:val="20"/>
                <w:color w:val="auto"/>
              </w:rPr>
            </w:pPr>
            <w:r>
              <w:rPr>
                <w:rFonts w:ascii="Arial" w:cs="Arial" w:eastAsia="Arial" w:hAnsi="Arial"/>
                <w:sz w:val="13"/>
                <w:szCs w:val="13"/>
                <w:b w:val="1"/>
                <w:bCs w:val="1"/>
                <w:color w:val="auto"/>
                <w:w w:val="92"/>
              </w:rPr>
              <w:t>2.83%</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780" w:type="dxa"/>
            <w:vAlign w:val="bottom"/>
          </w:tcPr>
          <w:p>
            <w:pPr>
              <w:spacing w:after="0"/>
              <w:rPr>
                <w:sz w:val="13"/>
                <w:szCs w:val="13"/>
                <w:color w:val="auto"/>
              </w:rPr>
            </w:pPr>
          </w:p>
        </w:tc>
        <w:tc>
          <w:tcPr>
            <w:tcW w:w="280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780" w:type="dxa"/>
            <w:vAlign w:val="bottom"/>
            <w:shd w:val="clear" w:color="auto" w:fill="CCEEFF"/>
          </w:tcPr>
          <w:p>
            <w:pPr>
              <w:spacing w:after="0"/>
              <w:rPr>
                <w:sz w:val="20"/>
                <w:szCs w:val="20"/>
                <w:color w:val="auto"/>
              </w:rPr>
            </w:pPr>
            <w:r>
              <w:rPr>
                <w:rFonts w:ascii="Arial" w:cs="Arial" w:eastAsia="Arial" w:hAnsi="Arial"/>
                <w:sz w:val="13"/>
                <w:szCs w:val="13"/>
                <w:color w:val="auto"/>
              </w:rPr>
              <w:t>Short-term placements at floating interest rate</w:t>
            </w:r>
          </w:p>
        </w:tc>
        <w:tc>
          <w:tcPr>
            <w:tcW w:w="280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780" w:type="dxa"/>
            <w:vAlign w:val="bottom"/>
          </w:tcPr>
          <w:p>
            <w:pPr>
              <w:spacing w:after="0"/>
              <w:rPr>
                <w:sz w:val="20"/>
                <w:szCs w:val="20"/>
                <w:color w:val="auto"/>
              </w:rPr>
            </w:pPr>
            <w:r>
              <w:rPr>
                <w:rFonts w:ascii="Arial" w:cs="Arial" w:eastAsia="Arial" w:hAnsi="Arial"/>
                <w:sz w:val="13"/>
                <w:szCs w:val="13"/>
                <w:color w:val="auto"/>
              </w:rPr>
              <w:t>Due in 31 to 90 days</w:t>
            </w:r>
          </w:p>
        </w:tc>
        <w:tc>
          <w:tcPr>
            <w:tcW w:w="3740" w:type="dxa"/>
            <w:vAlign w:val="bottom"/>
            <w:gridSpan w:val="2"/>
          </w:tcPr>
          <w:p>
            <w:pPr>
              <w:jc w:val="right"/>
              <w:ind w:right="829"/>
              <w:spacing w:after="0"/>
              <w:rPr>
                <w:sz w:val="20"/>
                <w:szCs w:val="20"/>
                <w:color w:val="auto"/>
              </w:rPr>
            </w:pPr>
            <w:r>
              <w:rPr>
                <w:rFonts w:ascii="Arial" w:cs="Arial" w:eastAsia="Arial" w:hAnsi="Arial"/>
                <w:sz w:val="13"/>
                <w:szCs w:val="13"/>
                <w:color w:val="auto"/>
              </w:rPr>
              <w:t>$</w:t>
            </w:r>
          </w:p>
        </w:tc>
        <w:tc>
          <w:tcPr>
            <w:tcW w:w="300" w:type="dxa"/>
            <w:vAlign w:val="bottom"/>
          </w:tcPr>
          <w:p>
            <w:pPr>
              <w:jc w:val="right"/>
              <w:spacing w:after="0"/>
              <w:rPr>
                <w:sz w:val="20"/>
                <w:szCs w:val="20"/>
                <w:color w:val="auto"/>
              </w:rPr>
            </w:pPr>
            <w:r>
              <w:rPr>
                <w:rFonts w:ascii="Arial" w:cs="Arial" w:eastAsia="Arial" w:hAnsi="Arial"/>
                <w:sz w:val="13"/>
                <w:szCs w:val="13"/>
                <w:color w:val="auto"/>
              </w:rPr>
              <w:t>43</w:t>
            </w:r>
          </w:p>
        </w:tc>
        <w:tc>
          <w:tcPr>
            <w:tcW w:w="220" w:type="dxa"/>
            <w:vAlign w:val="bottom"/>
          </w:tcPr>
          <w:p>
            <w:pPr>
              <w:spacing w:after="0"/>
              <w:rPr>
                <w:sz w:val="14"/>
                <w:szCs w:val="14"/>
                <w:color w:val="auto"/>
              </w:rPr>
            </w:pPr>
          </w:p>
        </w:tc>
        <w:tc>
          <w:tcPr>
            <w:tcW w:w="1420" w:type="dxa"/>
            <w:vAlign w:val="bottom"/>
            <w:gridSpan w:val="2"/>
          </w:tcPr>
          <w:p>
            <w:pPr>
              <w:ind w:left="1060"/>
              <w:spacing w:after="0"/>
              <w:rPr>
                <w:sz w:val="20"/>
                <w:szCs w:val="20"/>
                <w:color w:val="auto"/>
              </w:rPr>
            </w:pPr>
            <w:r>
              <w:rPr>
                <w:rFonts w:ascii="Arial" w:cs="Arial" w:eastAsia="Arial" w:hAnsi="Arial"/>
                <w:sz w:val="13"/>
                <w:szCs w:val="13"/>
                <w:color w:val="auto"/>
                <w:w w:val="92"/>
              </w:rPr>
              <w:t>9.14%</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780" w:type="dxa"/>
            <w:vAlign w:val="bottom"/>
            <w:vMerge w:val="restart"/>
            <w:shd w:val="clear" w:color="auto" w:fill="CCEEFF"/>
          </w:tcPr>
          <w:p>
            <w:pPr>
              <w:spacing w:after="0"/>
              <w:rPr>
                <w:sz w:val="20"/>
                <w:szCs w:val="20"/>
                <w:color w:val="auto"/>
              </w:rPr>
            </w:pPr>
            <w:r>
              <w:rPr>
                <w:rFonts w:ascii="Arial" w:cs="Arial" w:eastAsia="Arial" w:hAnsi="Arial"/>
                <w:sz w:val="13"/>
                <w:szCs w:val="13"/>
                <w:b w:val="1"/>
                <w:bCs w:val="1"/>
                <w:color w:val="auto"/>
              </w:rPr>
              <w:t>Total</w:t>
            </w:r>
          </w:p>
        </w:tc>
        <w:tc>
          <w:tcPr>
            <w:tcW w:w="2800" w:type="dxa"/>
            <w:vAlign w:val="bottom"/>
            <w:vMerge w:val="restart"/>
            <w:shd w:val="clear" w:color="auto" w:fill="CCEEFF"/>
          </w:tcPr>
          <w:p>
            <w:pPr>
              <w:spacing w:after="0" w:line="20" w:lineRule="exact"/>
              <w:rPr>
                <w:sz w:val="1"/>
                <w:szCs w:val="1"/>
                <w:color w:val="auto"/>
              </w:rPr>
            </w:pPr>
          </w:p>
        </w:tc>
        <w:tc>
          <w:tcPr>
            <w:tcW w:w="940" w:type="dxa"/>
            <w:vAlign w:val="bottom"/>
            <w:shd w:val="clear" w:color="auto" w:fill="000000"/>
          </w:tcPr>
          <w:p>
            <w:pPr>
              <w:spacing w:after="0" w:line="20" w:lineRule="exact"/>
              <w:rPr>
                <w:sz w:val="1"/>
                <w:szCs w:val="1"/>
                <w:color w:val="auto"/>
              </w:rPr>
            </w:pPr>
          </w:p>
        </w:tc>
        <w:tc>
          <w:tcPr>
            <w:tcW w:w="3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80" w:type="dxa"/>
            <w:vAlign w:val="bottom"/>
            <w:shd w:val="clear" w:color="auto" w:fill="000000"/>
          </w:tcPr>
          <w:p>
            <w:pPr>
              <w:spacing w:after="0" w:line="20" w:lineRule="exact"/>
              <w:rPr>
                <w:sz w:val="1"/>
                <w:szCs w:val="1"/>
                <w:color w:val="auto"/>
              </w:rPr>
            </w:pPr>
          </w:p>
        </w:tc>
        <w:tc>
          <w:tcPr>
            <w:tcW w:w="14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4"/>
        </w:trPr>
        <w:tc>
          <w:tcPr>
            <w:tcW w:w="20" w:type="dxa"/>
            <w:vAlign w:val="bottom"/>
          </w:tcPr>
          <w:p>
            <w:pPr>
              <w:spacing w:after="0"/>
              <w:rPr>
                <w:sz w:val="12"/>
                <w:szCs w:val="12"/>
                <w:color w:val="auto"/>
              </w:rPr>
            </w:pPr>
          </w:p>
        </w:tc>
        <w:tc>
          <w:tcPr>
            <w:tcW w:w="5780" w:type="dxa"/>
            <w:vAlign w:val="bottom"/>
            <w:vMerge w:val="continue"/>
            <w:shd w:val="clear" w:color="auto" w:fill="CCEEFF"/>
          </w:tcPr>
          <w:p>
            <w:pPr>
              <w:spacing w:after="0"/>
              <w:rPr>
                <w:sz w:val="12"/>
                <w:szCs w:val="12"/>
                <w:color w:val="auto"/>
              </w:rPr>
            </w:pPr>
          </w:p>
        </w:tc>
        <w:tc>
          <w:tcPr>
            <w:tcW w:w="2800" w:type="dxa"/>
            <w:vAlign w:val="bottom"/>
            <w:vMerge w:val="continue"/>
            <w:shd w:val="clear" w:color="auto" w:fill="CCEEFF"/>
          </w:tcPr>
          <w:p>
            <w:pPr>
              <w:spacing w:after="0"/>
              <w:rPr>
                <w:sz w:val="12"/>
                <w:szCs w:val="12"/>
                <w:color w:val="auto"/>
              </w:rPr>
            </w:pPr>
          </w:p>
        </w:tc>
        <w:tc>
          <w:tcPr>
            <w:tcW w:w="940" w:type="dxa"/>
            <w:vAlign w:val="bottom"/>
            <w:shd w:val="clear" w:color="auto" w:fill="CCEEFF"/>
          </w:tcPr>
          <w:p>
            <w:pPr>
              <w:jc w:val="right"/>
              <w:ind w:right="829"/>
              <w:spacing w:after="0"/>
              <w:rPr>
                <w:sz w:val="20"/>
                <w:szCs w:val="20"/>
                <w:color w:val="auto"/>
              </w:rPr>
            </w:pPr>
            <w:r>
              <w:rPr>
                <w:rFonts w:ascii="Arial" w:cs="Arial" w:eastAsia="Arial" w:hAnsi="Arial"/>
                <w:sz w:val="10"/>
                <w:szCs w:val="10"/>
                <w:b w:val="1"/>
                <w:bCs w:val="1"/>
                <w:color w:val="auto"/>
                <w:w w:val="71"/>
              </w:rPr>
              <w:t>$</w:t>
            </w:r>
          </w:p>
        </w:tc>
        <w:tc>
          <w:tcPr>
            <w:tcW w:w="30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43</w:t>
            </w:r>
          </w:p>
        </w:tc>
        <w:tc>
          <w:tcPr>
            <w:tcW w:w="220" w:type="dxa"/>
            <w:vAlign w:val="bottom"/>
            <w:shd w:val="clear" w:color="auto" w:fill="CCEEFF"/>
          </w:tcPr>
          <w:p>
            <w:pPr>
              <w:spacing w:after="0"/>
              <w:rPr>
                <w:sz w:val="12"/>
                <w:szCs w:val="12"/>
                <w:color w:val="auto"/>
              </w:rPr>
            </w:pPr>
          </w:p>
        </w:tc>
        <w:tc>
          <w:tcPr>
            <w:tcW w:w="1420" w:type="dxa"/>
            <w:vAlign w:val="bottom"/>
            <w:gridSpan w:val="2"/>
            <w:shd w:val="clear" w:color="auto" w:fill="CCEEFF"/>
          </w:tcPr>
          <w:p>
            <w:pPr>
              <w:ind w:left="1060"/>
              <w:spacing w:after="0" w:line="144" w:lineRule="exact"/>
              <w:rPr>
                <w:sz w:val="20"/>
                <w:szCs w:val="20"/>
                <w:color w:val="auto"/>
              </w:rPr>
            </w:pPr>
            <w:r>
              <w:rPr>
                <w:rFonts w:ascii="Arial" w:cs="Arial" w:eastAsia="Arial" w:hAnsi="Arial"/>
                <w:sz w:val="13"/>
                <w:szCs w:val="13"/>
                <w:b w:val="1"/>
                <w:bCs w:val="1"/>
                <w:color w:val="auto"/>
                <w:w w:val="92"/>
              </w:rPr>
              <w:t>9.14%</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780" w:type="dxa"/>
            <w:vAlign w:val="bottom"/>
          </w:tcPr>
          <w:p>
            <w:pPr>
              <w:spacing w:after="0"/>
              <w:rPr>
                <w:sz w:val="13"/>
                <w:szCs w:val="13"/>
                <w:color w:val="auto"/>
              </w:rPr>
            </w:pPr>
          </w:p>
        </w:tc>
        <w:tc>
          <w:tcPr>
            <w:tcW w:w="280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780" w:type="dxa"/>
            <w:vAlign w:val="bottom"/>
            <w:shd w:val="clear" w:color="auto" w:fill="CCEEFF"/>
          </w:tcPr>
          <w:p>
            <w:pPr>
              <w:spacing w:after="0"/>
              <w:rPr>
                <w:sz w:val="20"/>
                <w:szCs w:val="20"/>
                <w:color w:val="auto"/>
              </w:rPr>
            </w:pPr>
            <w:r>
              <w:rPr>
                <w:rFonts w:ascii="Arial" w:cs="Arial" w:eastAsia="Arial" w:hAnsi="Arial"/>
                <w:sz w:val="13"/>
                <w:szCs w:val="13"/>
                <w:color w:val="auto"/>
              </w:rPr>
              <w:t>Medium and long-term borrowings at fixed interest rate</w:t>
            </w:r>
          </w:p>
        </w:tc>
        <w:tc>
          <w:tcPr>
            <w:tcW w:w="280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780" w:type="dxa"/>
            <w:vAlign w:val="bottom"/>
          </w:tcPr>
          <w:p>
            <w:pPr>
              <w:spacing w:after="0"/>
              <w:rPr>
                <w:sz w:val="20"/>
                <w:szCs w:val="20"/>
                <w:color w:val="auto"/>
              </w:rPr>
            </w:pPr>
            <w:r>
              <w:rPr>
                <w:rFonts w:ascii="Arial" w:cs="Arial" w:eastAsia="Arial" w:hAnsi="Arial"/>
                <w:sz w:val="13"/>
                <w:szCs w:val="13"/>
                <w:color w:val="auto"/>
              </w:rPr>
              <w:t>Due in 0 to 30 days</w:t>
            </w:r>
          </w:p>
        </w:tc>
        <w:tc>
          <w:tcPr>
            <w:tcW w:w="3740" w:type="dxa"/>
            <w:vAlign w:val="bottom"/>
            <w:gridSpan w:val="2"/>
          </w:tcPr>
          <w:p>
            <w:pPr>
              <w:jc w:val="right"/>
              <w:ind w:right="829"/>
              <w:spacing w:after="0"/>
              <w:rPr>
                <w:sz w:val="20"/>
                <w:szCs w:val="20"/>
                <w:color w:val="auto"/>
              </w:rPr>
            </w:pPr>
            <w:r>
              <w:rPr>
                <w:rFonts w:ascii="Arial" w:cs="Arial" w:eastAsia="Arial" w:hAnsi="Arial"/>
                <w:sz w:val="13"/>
                <w:szCs w:val="13"/>
                <w:color w:val="auto"/>
              </w:rPr>
              <w:t>$</w:t>
            </w:r>
          </w:p>
        </w:tc>
        <w:tc>
          <w:tcPr>
            <w:tcW w:w="520" w:type="dxa"/>
            <w:vAlign w:val="bottom"/>
            <w:gridSpan w:val="2"/>
          </w:tcPr>
          <w:p>
            <w:pPr>
              <w:jc w:val="right"/>
              <w:ind w:right="220"/>
              <w:spacing w:after="0"/>
              <w:rPr>
                <w:sz w:val="20"/>
                <w:szCs w:val="20"/>
                <w:color w:val="auto"/>
              </w:rPr>
            </w:pPr>
            <w:r>
              <w:rPr>
                <w:rFonts w:ascii="Arial" w:cs="Arial" w:eastAsia="Arial" w:hAnsi="Arial"/>
                <w:sz w:val="13"/>
                <w:szCs w:val="13"/>
                <w:color w:val="auto"/>
              </w:rPr>
              <w:t>1</w:t>
            </w:r>
          </w:p>
        </w:tc>
        <w:tc>
          <w:tcPr>
            <w:tcW w:w="1420" w:type="dxa"/>
            <w:vAlign w:val="bottom"/>
            <w:gridSpan w:val="2"/>
          </w:tcPr>
          <w:p>
            <w:pPr>
              <w:ind w:left="1060"/>
              <w:spacing w:after="0"/>
              <w:rPr>
                <w:sz w:val="20"/>
                <w:szCs w:val="20"/>
                <w:color w:val="auto"/>
              </w:rPr>
            </w:pPr>
            <w:r>
              <w:rPr>
                <w:rFonts w:ascii="Arial" w:cs="Arial" w:eastAsia="Arial" w:hAnsi="Arial"/>
                <w:sz w:val="13"/>
                <w:szCs w:val="13"/>
                <w:color w:val="auto"/>
                <w:w w:val="92"/>
              </w:rPr>
              <w:t>6.34%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780" w:type="dxa"/>
            <w:vAlign w:val="bottom"/>
            <w:shd w:val="clear" w:color="auto" w:fill="CCEEFF"/>
          </w:tcPr>
          <w:p>
            <w:pPr>
              <w:spacing w:after="0"/>
              <w:rPr>
                <w:sz w:val="20"/>
                <w:szCs w:val="20"/>
                <w:color w:val="auto"/>
              </w:rPr>
            </w:pPr>
            <w:r>
              <w:rPr>
                <w:rFonts w:ascii="Arial" w:cs="Arial" w:eastAsia="Arial" w:hAnsi="Arial"/>
                <w:sz w:val="13"/>
                <w:szCs w:val="13"/>
                <w:color w:val="auto"/>
              </w:rPr>
              <w:t>Due in 31 to 90 days</w:t>
            </w:r>
          </w:p>
        </w:tc>
        <w:tc>
          <w:tcPr>
            <w:tcW w:w="280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w:t>
            </w:r>
          </w:p>
        </w:tc>
        <w:tc>
          <w:tcPr>
            <w:tcW w:w="1420" w:type="dxa"/>
            <w:vAlign w:val="bottom"/>
            <w:gridSpan w:val="2"/>
            <w:shd w:val="clear" w:color="auto" w:fill="CCEEFF"/>
          </w:tcPr>
          <w:p>
            <w:pPr>
              <w:ind w:left="1060"/>
              <w:spacing w:after="0"/>
              <w:rPr>
                <w:sz w:val="20"/>
                <w:szCs w:val="20"/>
                <w:color w:val="auto"/>
              </w:rPr>
            </w:pPr>
            <w:r>
              <w:rPr>
                <w:rFonts w:ascii="Arial" w:cs="Arial" w:eastAsia="Arial" w:hAnsi="Arial"/>
                <w:sz w:val="13"/>
                <w:szCs w:val="13"/>
                <w:color w:val="auto"/>
                <w:w w:val="92"/>
              </w:rPr>
              <w:t>6.39%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780" w:type="dxa"/>
            <w:vAlign w:val="bottom"/>
          </w:tcPr>
          <w:p>
            <w:pPr>
              <w:spacing w:after="0"/>
              <w:rPr>
                <w:sz w:val="20"/>
                <w:szCs w:val="20"/>
                <w:color w:val="auto"/>
              </w:rPr>
            </w:pPr>
            <w:r>
              <w:rPr>
                <w:rFonts w:ascii="Arial" w:cs="Arial" w:eastAsia="Arial" w:hAnsi="Arial"/>
                <w:sz w:val="13"/>
                <w:szCs w:val="13"/>
                <w:color w:val="auto"/>
              </w:rPr>
              <w:t>Due in 91 to 180 days</w:t>
            </w:r>
          </w:p>
        </w:tc>
        <w:tc>
          <w:tcPr>
            <w:tcW w:w="280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300" w:type="dxa"/>
            <w:vAlign w:val="bottom"/>
          </w:tcPr>
          <w:p>
            <w:pPr>
              <w:jc w:val="right"/>
              <w:spacing w:after="0"/>
              <w:rPr>
                <w:sz w:val="20"/>
                <w:szCs w:val="20"/>
                <w:color w:val="auto"/>
              </w:rPr>
            </w:pPr>
            <w:r>
              <w:rPr>
                <w:rFonts w:ascii="Arial" w:cs="Arial" w:eastAsia="Arial" w:hAnsi="Arial"/>
                <w:sz w:val="13"/>
                <w:szCs w:val="13"/>
                <w:color w:val="auto"/>
              </w:rPr>
              <w:t>17</w:t>
            </w:r>
          </w:p>
        </w:tc>
        <w:tc>
          <w:tcPr>
            <w:tcW w:w="220" w:type="dxa"/>
            <w:vAlign w:val="bottom"/>
          </w:tcPr>
          <w:p>
            <w:pPr>
              <w:spacing w:after="0"/>
              <w:rPr>
                <w:sz w:val="13"/>
                <w:szCs w:val="13"/>
                <w:color w:val="auto"/>
              </w:rPr>
            </w:pPr>
          </w:p>
        </w:tc>
        <w:tc>
          <w:tcPr>
            <w:tcW w:w="1420" w:type="dxa"/>
            <w:vAlign w:val="bottom"/>
            <w:gridSpan w:val="2"/>
          </w:tcPr>
          <w:p>
            <w:pPr>
              <w:ind w:left="1060"/>
              <w:spacing w:after="0"/>
              <w:rPr>
                <w:sz w:val="20"/>
                <w:szCs w:val="20"/>
                <w:color w:val="auto"/>
              </w:rPr>
            </w:pPr>
            <w:r>
              <w:rPr>
                <w:rFonts w:ascii="Arial" w:cs="Arial" w:eastAsia="Arial" w:hAnsi="Arial"/>
                <w:sz w:val="13"/>
                <w:szCs w:val="13"/>
                <w:color w:val="auto"/>
                <w:w w:val="92"/>
              </w:rPr>
              <w:t>2.84%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780" w:type="dxa"/>
            <w:vAlign w:val="bottom"/>
            <w:shd w:val="clear" w:color="auto" w:fill="CCEEFF"/>
          </w:tcPr>
          <w:p>
            <w:pPr>
              <w:spacing w:after="0"/>
              <w:rPr>
                <w:sz w:val="20"/>
                <w:szCs w:val="20"/>
                <w:color w:val="auto"/>
              </w:rPr>
            </w:pPr>
            <w:r>
              <w:rPr>
                <w:rFonts w:ascii="Arial" w:cs="Arial" w:eastAsia="Arial" w:hAnsi="Arial"/>
                <w:sz w:val="13"/>
                <w:szCs w:val="13"/>
                <w:color w:val="auto"/>
              </w:rPr>
              <w:t>Due in 181 to 365 days</w:t>
            </w:r>
          </w:p>
        </w:tc>
        <w:tc>
          <w:tcPr>
            <w:tcW w:w="280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w:t>
            </w:r>
          </w:p>
        </w:tc>
        <w:tc>
          <w:tcPr>
            <w:tcW w:w="1420" w:type="dxa"/>
            <w:vAlign w:val="bottom"/>
            <w:gridSpan w:val="2"/>
            <w:shd w:val="clear" w:color="auto" w:fill="CCEEFF"/>
          </w:tcPr>
          <w:p>
            <w:pPr>
              <w:ind w:left="1060"/>
              <w:spacing w:after="0"/>
              <w:rPr>
                <w:sz w:val="20"/>
                <w:szCs w:val="20"/>
                <w:color w:val="auto"/>
              </w:rPr>
            </w:pPr>
            <w:r>
              <w:rPr>
                <w:rFonts w:ascii="Arial" w:cs="Arial" w:eastAsia="Arial" w:hAnsi="Arial"/>
                <w:sz w:val="13"/>
                <w:szCs w:val="13"/>
                <w:color w:val="auto"/>
                <w:w w:val="92"/>
              </w:rPr>
              <w:t>6.74%</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780" w:type="dxa"/>
            <w:vAlign w:val="bottom"/>
          </w:tcPr>
          <w:p>
            <w:pPr>
              <w:spacing w:after="0"/>
              <w:rPr>
                <w:sz w:val="20"/>
                <w:szCs w:val="20"/>
                <w:color w:val="auto"/>
              </w:rPr>
            </w:pPr>
            <w:r>
              <w:rPr>
                <w:rFonts w:ascii="Arial" w:cs="Arial" w:eastAsia="Arial" w:hAnsi="Arial"/>
                <w:sz w:val="13"/>
                <w:szCs w:val="13"/>
                <w:color w:val="auto"/>
              </w:rPr>
              <w:t>Due in 1 through 6 years</w:t>
            </w:r>
          </w:p>
        </w:tc>
        <w:tc>
          <w:tcPr>
            <w:tcW w:w="280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300" w:type="dxa"/>
            <w:vAlign w:val="bottom"/>
          </w:tcPr>
          <w:p>
            <w:pPr>
              <w:jc w:val="right"/>
              <w:spacing w:after="0"/>
              <w:rPr>
                <w:sz w:val="20"/>
                <w:szCs w:val="20"/>
                <w:color w:val="auto"/>
              </w:rPr>
            </w:pPr>
            <w:r>
              <w:rPr>
                <w:rFonts w:ascii="Arial" w:cs="Arial" w:eastAsia="Arial" w:hAnsi="Arial"/>
                <w:sz w:val="13"/>
                <w:szCs w:val="13"/>
                <w:color w:val="auto"/>
              </w:rPr>
              <w:t>40</w:t>
            </w:r>
          </w:p>
        </w:tc>
        <w:tc>
          <w:tcPr>
            <w:tcW w:w="220" w:type="dxa"/>
            <w:vAlign w:val="bottom"/>
          </w:tcPr>
          <w:p>
            <w:pPr>
              <w:spacing w:after="0"/>
              <w:rPr>
                <w:sz w:val="14"/>
                <w:szCs w:val="14"/>
                <w:color w:val="auto"/>
              </w:rPr>
            </w:pPr>
          </w:p>
        </w:tc>
        <w:tc>
          <w:tcPr>
            <w:tcW w:w="1420" w:type="dxa"/>
            <w:vAlign w:val="bottom"/>
            <w:gridSpan w:val="2"/>
          </w:tcPr>
          <w:p>
            <w:pPr>
              <w:ind w:left="1060"/>
              <w:spacing w:after="0"/>
              <w:rPr>
                <w:sz w:val="20"/>
                <w:szCs w:val="20"/>
                <w:color w:val="auto"/>
              </w:rPr>
            </w:pPr>
            <w:r>
              <w:rPr>
                <w:rFonts w:ascii="Arial" w:cs="Arial" w:eastAsia="Arial" w:hAnsi="Arial"/>
                <w:sz w:val="13"/>
                <w:szCs w:val="13"/>
                <w:color w:val="auto"/>
                <w:w w:val="92"/>
              </w:rPr>
              <w:t>4.23%</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780" w:type="dxa"/>
            <w:vAlign w:val="bottom"/>
            <w:vMerge w:val="restart"/>
            <w:shd w:val="clear" w:color="auto" w:fill="CCEEFF"/>
          </w:tcPr>
          <w:p>
            <w:pPr>
              <w:spacing w:after="0"/>
              <w:rPr>
                <w:sz w:val="20"/>
                <w:szCs w:val="20"/>
                <w:color w:val="auto"/>
              </w:rPr>
            </w:pPr>
            <w:r>
              <w:rPr>
                <w:rFonts w:ascii="Arial" w:cs="Arial" w:eastAsia="Arial" w:hAnsi="Arial"/>
                <w:sz w:val="13"/>
                <w:szCs w:val="13"/>
                <w:b w:val="1"/>
                <w:bCs w:val="1"/>
                <w:color w:val="auto"/>
              </w:rPr>
              <w:t>Total</w:t>
            </w:r>
          </w:p>
        </w:tc>
        <w:tc>
          <w:tcPr>
            <w:tcW w:w="2800" w:type="dxa"/>
            <w:vAlign w:val="bottom"/>
            <w:vMerge w:val="restart"/>
            <w:shd w:val="clear" w:color="auto" w:fill="CCEEFF"/>
          </w:tcPr>
          <w:p>
            <w:pPr>
              <w:spacing w:after="0" w:line="20" w:lineRule="exact"/>
              <w:rPr>
                <w:sz w:val="1"/>
                <w:szCs w:val="1"/>
                <w:color w:val="auto"/>
              </w:rPr>
            </w:pPr>
          </w:p>
        </w:tc>
        <w:tc>
          <w:tcPr>
            <w:tcW w:w="940" w:type="dxa"/>
            <w:vAlign w:val="bottom"/>
            <w:shd w:val="clear" w:color="auto" w:fill="000000"/>
          </w:tcPr>
          <w:p>
            <w:pPr>
              <w:spacing w:after="0" w:line="20" w:lineRule="exact"/>
              <w:rPr>
                <w:sz w:val="1"/>
                <w:szCs w:val="1"/>
                <w:color w:val="auto"/>
              </w:rPr>
            </w:pPr>
          </w:p>
        </w:tc>
        <w:tc>
          <w:tcPr>
            <w:tcW w:w="30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80" w:type="dxa"/>
            <w:vAlign w:val="bottom"/>
            <w:shd w:val="clear" w:color="auto" w:fill="000000"/>
          </w:tcPr>
          <w:p>
            <w:pPr>
              <w:spacing w:after="0" w:line="20" w:lineRule="exact"/>
              <w:rPr>
                <w:sz w:val="1"/>
                <w:szCs w:val="1"/>
                <w:color w:val="auto"/>
              </w:rPr>
            </w:pPr>
          </w:p>
        </w:tc>
        <w:tc>
          <w:tcPr>
            <w:tcW w:w="14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4"/>
        </w:trPr>
        <w:tc>
          <w:tcPr>
            <w:tcW w:w="20" w:type="dxa"/>
            <w:vAlign w:val="bottom"/>
          </w:tcPr>
          <w:p>
            <w:pPr>
              <w:spacing w:after="0"/>
              <w:rPr>
                <w:sz w:val="12"/>
                <w:szCs w:val="12"/>
                <w:color w:val="auto"/>
              </w:rPr>
            </w:pPr>
          </w:p>
        </w:tc>
        <w:tc>
          <w:tcPr>
            <w:tcW w:w="5780" w:type="dxa"/>
            <w:vAlign w:val="bottom"/>
            <w:vMerge w:val="continue"/>
            <w:shd w:val="clear" w:color="auto" w:fill="CCEEFF"/>
          </w:tcPr>
          <w:p>
            <w:pPr>
              <w:spacing w:after="0"/>
              <w:rPr>
                <w:sz w:val="12"/>
                <w:szCs w:val="12"/>
                <w:color w:val="auto"/>
              </w:rPr>
            </w:pPr>
          </w:p>
        </w:tc>
        <w:tc>
          <w:tcPr>
            <w:tcW w:w="2800" w:type="dxa"/>
            <w:vAlign w:val="bottom"/>
            <w:vMerge w:val="continue"/>
            <w:shd w:val="clear" w:color="auto" w:fill="CCEEFF"/>
          </w:tcPr>
          <w:p>
            <w:pPr>
              <w:spacing w:after="0"/>
              <w:rPr>
                <w:sz w:val="12"/>
                <w:szCs w:val="12"/>
                <w:color w:val="auto"/>
              </w:rPr>
            </w:pPr>
          </w:p>
        </w:tc>
        <w:tc>
          <w:tcPr>
            <w:tcW w:w="940" w:type="dxa"/>
            <w:vAlign w:val="bottom"/>
            <w:shd w:val="clear" w:color="auto" w:fill="CCEEFF"/>
          </w:tcPr>
          <w:p>
            <w:pPr>
              <w:jc w:val="right"/>
              <w:ind w:right="829"/>
              <w:spacing w:after="0"/>
              <w:rPr>
                <w:sz w:val="20"/>
                <w:szCs w:val="20"/>
                <w:color w:val="auto"/>
              </w:rPr>
            </w:pPr>
            <w:r>
              <w:rPr>
                <w:rFonts w:ascii="Arial" w:cs="Arial" w:eastAsia="Arial" w:hAnsi="Arial"/>
                <w:sz w:val="10"/>
                <w:szCs w:val="10"/>
                <w:b w:val="1"/>
                <w:bCs w:val="1"/>
                <w:color w:val="auto"/>
                <w:w w:val="71"/>
              </w:rPr>
              <w:t>$</w:t>
            </w:r>
          </w:p>
        </w:tc>
        <w:tc>
          <w:tcPr>
            <w:tcW w:w="30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64</w:t>
            </w:r>
          </w:p>
        </w:tc>
        <w:tc>
          <w:tcPr>
            <w:tcW w:w="220" w:type="dxa"/>
            <w:vAlign w:val="bottom"/>
            <w:shd w:val="clear" w:color="auto" w:fill="CCEEFF"/>
          </w:tcPr>
          <w:p>
            <w:pPr>
              <w:spacing w:after="0"/>
              <w:rPr>
                <w:sz w:val="12"/>
                <w:szCs w:val="12"/>
                <w:color w:val="auto"/>
              </w:rPr>
            </w:pPr>
          </w:p>
        </w:tc>
        <w:tc>
          <w:tcPr>
            <w:tcW w:w="1420" w:type="dxa"/>
            <w:vAlign w:val="bottom"/>
            <w:gridSpan w:val="2"/>
            <w:shd w:val="clear" w:color="auto" w:fill="CCEEFF"/>
          </w:tcPr>
          <w:p>
            <w:pPr>
              <w:ind w:left="1060"/>
              <w:spacing w:after="0" w:line="144" w:lineRule="exact"/>
              <w:rPr>
                <w:sz w:val="20"/>
                <w:szCs w:val="20"/>
                <w:color w:val="auto"/>
              </w:rPr>
            </w:pPr>
            <w:r>
              <w:rPr>
                <w:rFonts w:ascii="Arial" w:cs="Arial" w:eastAsia="Arial" w:hAnsi="Arial"/>
                <w:sz w:val="13"/>
                <w:szCs w:val="13"/>
                <w:b w:val="1"/>
                <w:bCs w:val="1"/>
                <w:color w:val="auto"/>
                <w:w w:val="92"/>
              </w:rPr>
              <w:t>4.07%</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780" w:type="dxa"/>
            <w:vAlign w:val="bottom"/>
          </w:tcPr>
          <w:p>
            <w:pPr>
              <w:spacing w:after="0"/>
              <w:rPr>
                <w:sz w:val="13"/>
                <w:szCs w:val="13"/>
                <w:color w:val="auto"/>
              </w:rPr>
            </w:pPr>
          </w:p>
        </w:tc>
        <w:tc>
          <w:tcPr>
            <w:tcW w:w="280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780" w:type="dxa"/>
            <w:vAlign w:val="bottom"/>
            <w:shd w:val="clear" w:color="auto" w:fill="CCEEFF"/>
          </w:tcPr>
          <w:p>
            <w:pPr>
              <w:spacing w:after="0"/>
              <w:rPr>
                <w:sz w:val="20"/>
                <w:szCs w:val="20"/>
                <w:color w:val="auto"/>
              </w:rPr>
            </w:pPr>
            <w:r>
              <w:rPr>
                <w:rFonts w:ascii="Arial" w:cs="Arial" w:eastAsia="Arial" w:hAnsi="Arial"/>
                <w:sz w:val="13"/>
                <w:szCs w:val="13"/>
                <w:color w:val="auto"/>
              </w:rPr>
              <w:t>Medium and long-term borrowings at floating interest rate</w:t>
            </w:r>
          </w:p>
        </w:tc>
        <w:tc>
          <w:tcPr>
            <w:tcW w:w="280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780" w:type="dxa"/>
            <w:vAlign w:val="bottom"/>
          </w:tcPr>
          <w:p>
            <w:pPr>
              <w:spacing w:after="0"/>
              <w:rPr>
                <w:sz w:val="20"/>
                <w:szCs w:val="20"/>
                <w:color w:val="auto"/>
              </w:rPr>
            </w:pPr>
            <w:r>
              <w:rPr>
                <w:rFonts w:ascii="Arial" w:cs="Arial" w:eastAsia="Arial" w:hAnsi="Arial"/>
                <w:sz w:val="13"/>
                <w:szCs w:val="13"/>
                <w:color w:val="auto"/>
              </w:rPr>
              <w:t>Due in 91 to 180 days</w:t>
            </w:r>
          </w:p>
        </w:tc>
        <w:tc>
          <w:tcPr>
            <w:tcW w:w="3740" w:type="dxa"/>
            <w:vAlign w:val="bottom"/>
            <w:gridSpan w:val="2"/>
          </w:tcPr>
          <w:p>
            <w:pPr>
              <w:jc w:val="right"/>
              <w:ind w:right="829"/>
              <w:spacing w:after="0"/>
              <w:rPr>
                <w:sz w:val="20"/>
                <w:szCs w:val="20"/>
                <w:color w:val="auto"/>
              </w:rPr>
            </w:pPr>
            <w:r>
              <w:rPr>
                <w:rFonts w:ascii="Arial" w:cs="Arial" w:eastAsia="Arial" w:hAnsi="Arial"/>
                <w:sz w:val="13"/>
                <w:szCs w:val="13"/>
                <w:color w:val="auto"/>
              </w:rPr>
              <w:t>$</w:t>
            </w:r>
          </w:p>
        </w:tc>
        <w:tc>
          <w:tcPr>
            <w:tcW w:w="520" w:type="dxa"/>
            <w:vAlign w:val="bottom"/>
            <w:gridSpan w:val="2"/>
          </w:tcPr>
          <w:p>
            <w:pPr>
              <w:jc w:val="right"/>
              <w:ind w:right="220"/>
              <w:spacing w:after="0"/>
              <w:rPr>
                <w:sz w:val="20"/>
                <w:szCs w:val="20"/>
                <w:color w:val="auto"/>
              </w:rPr>
            </w:pPr>
            <w:r>
              <w:rPr>
                <w:rFonts w:ascii="Arial" w:cs="Arial" w:eastAsia="Arial" w:hAnsi="Arial"/>
                <w:sz w:val="13"/>
                <w:szCs w:val="13"/>
                <w:color w:val="auto"/>
              </w:rPr>
              <w:t>1</w:t>
            </w:r>
          </w:p>
        </w:tc>
        <w:tc>
          <w:tcPr>
            <w:tcW w:w="1420" w:type="dxa"/>
            <w:vAlign w:val="bottom"/>
            <w:gridSpan w:val="2"/>
          </w:tcPr>
          <w:p>
            <w:pPr>
              <w:ind w:left="1060"/>
              <w:spacing w:after="0"/>
              <w:rPr>
                <w:sz w:val="20"/>
                <w:szCs w:val="20"/>
                <w:color w:val="auto"/>
              </w:rPr>
            </w:pPr>
            <w:r>
              <w:rPr>
                <w:rFonts w:ascii="Arial" w:cs="Arial" w:eastAsia="Arial" w:hAnsi="Arial"/>
                <w:sz w:val="13"/>
                <w:szCs w:val="13"/>
                <w:color w:val="auto"/>
                <w:w w:val="92"/>
              </w:rPr>
              <w:t>9.52%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780" w:type="dxa"/>
            <w:vAlign w:val="bottom"/>
            <w:shd w:val="clear" w:color="auto" w:fill="CCEEFF"/>
          </w:tcPr>
          <w:p>
            <w:pPr>
              <w:spacing w:after="0"/>
              <w:rPr>
                <w:sz w:val="20"/>
                <w:szCs w:val="20"/>
                <w:color w:val="auto"/>
              </w:rPr>
            </w:pPr>
            <w:r>
              <w:rPr>
                <w:rFonts w:ascii="Arial" w:cs="Arial" w:eastAsia="Arial" w:hAnsi="Arial"/>
                <w:sz w:val="13"/>
                <w:szCs w:val="13"/>
                <w:color w:val="auto"/>
              </w:rPr>
              <w:t>Due in 181 to 365 days</w:t>
            </w:r>
          </w:p>
        </w:tc>
        <w:tc>
          <w:tcPr>
            <w:tcW w:w="280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3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84</w:t>
            </w:r>
          </w:p>
        </w:tc>
        <w:tc>
          <w:tcPr>
            <w:tcW w:w="22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ind w:left="1060"/>
              <w:spacing w:after="0"/>
              <w:rPr>
                <w:sz w:val="20"/>
                <w:szCs w:val="20"/>
                <w:color w:val="auto"/>
              </w:rPr>
            </w:pPr>
            <w:r>
              <w:rPr>
                <w:rFonts w:ascii="Arial" w:cs="Arial" w:eastAsia="Arial" w:hAnsi="Arial"/>
                <w:sz w:val="13"/>
                <w:szCs w:val="13"/>
                <w:color w:val="auto"/>
                <w:w w:val="92"/>
              </w:rPr>
              <w:t>4.46%</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780" w:type="dxa"/>
            <w:vAlign w:val="bottom"/>
          </w:tcPr>
          <w:p>
            <w:pPr>
              <w:spacing w:after="0"/>
              <w:rPr>
                <w:sz w:val="20"/>
                <w:szCs w:val="20"/>
                <w:color w:val="auto"/>
              </w:rPr>
            </w:pPr>
            <w:r>
              <w:rPr>
                <w:rFonts w:ascii="Arial" w:cs="Arial" w:eastAsia="Arial" w:hAnsi="Arial"/>
                <w:sz w:val="13"/>
                <w:szCs w:val="13"/>
                <w:color w:val="auto"/>
              </w:rPr>
              <w:t>Due in 1 through 6 years</w:t>
            </w:r>
          </w:p>
        </w:tc>
        <w:tc>
          <w:tcPr>
            <w:tcW w:w="280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520" w:type="dxa"/>
            <w:vAlign w:val="bottom"/>
            <w:gridSpan w:val="2"/>
          </w:tcPr>
          <w:p>
            <w:pPr>
              <w:jc w:val="right"/>
              <w:ind w:right="220"/>
              <w:spacing w:after="0"/>
              <w:rPr>
                <w:sz w:val="20"/>
                <w:szCs w:val="20"/>
                <w:color w:val="auto"/>
              </w:rPr>
            </w:pPr>
            <w:r>
              <w:rPr>
                <w:rFonts w:ascii="Arial" w:cs="Arial" w:eastAsia="Arial" w:hAnsi="Arial"/>
                <w:sz w:val="13"/>
                <w:szCs w:val="13"/>
                <w:color w:val="auto"/>
              </w:rPr>
              <w:t>738</w:t>
            </w:r>
          </w:p>
        </w:tc>
        <w:tc>
          <w:tcPr>
            <w:tcW w:w="1420" w:type="dxa"/>
            <w:vAlign w:val="bottom"/>
            <w:gridSpan w:val="2"/>
          </w:tcPr>
          <w:p>
            <w:pPr>
              <w:ind w:left="1060"/>
              <w:spacing w:after="0"/>
              <w:rPr>
                <w:sz w:val="20"/>
                <w:szCs w:val="20"/>
                <w:color w:val="auto"/>
              </w:rPr>
            </w:pPr>
            <w:r>
              <w:rPr>
                <w:rFonts w:ascii="Arial" w:cs="Arial" w:eastAsia="Arial" w:hAnsi="Arial"/>
                <w:sz w:val="13"/>
                <w:szCs w:val="13"/>
                <w:color w:val="auto"/>
                <w:w w:val="92"/>
              </w:rPr>
              <w:t>4.11%</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780" w:type="dxa"/>
            <w:vAlign w:val="bottom"/>
            <w:vMerge w:val="restart"/>
            <w:shd w:val="clear" w:color="auto" w:fill="CCEEFF"/>
          </w:tcPr>
          <w:p>
            <w:pPr>
              <w:spacing w:after="0"/>
              <w:rPr>
                <w:sz w:val="20"/>
                <w:szCs w:val="20"/>
                <w:color w:val="auto"/>
              </w:rPr>
            </w:pPr>
            <w:r>
              <w:rPr>
                <w:rFonts w:ascii="Arial" w:cs="Arial" w:eastAsia="Arial" w:hAnsi="Arial"/>
                <w:sz w:val="13"/>
                <w:szCs w:val="13"/>
                <w:b w:val="1"/>
                <w:bCs w:val="1"/>
                <w:color w:val="auto"/>
              </w:rPr>
              <w:t>Total</w:t>
            </w:r>
          </w:p>
        </w:tc>
        <w:tc>
          <w:tcPr>
            <w:tcW w:w="2800" w:type="dxa"/>
            <w:vAlign w:val="bottom"/>
            <w:vMerge w:val="restart"/>
            <w:shd w:val="clear" w:color="auto" w:fill="CCEEFF"/>
          </w:tcPr>
          <w:p>
            <w:pPr>
              <w:spacing w:after="0" w:line="20" w:lineRule="exact"/>
              <w:rPr>
                <w:sz w:val="1"/>
                <w:szCs w:val="1"/>
                <w:color w:val="auto"/>
              </w:rPr>
            </w:pPr>
          </w:p>
        </w:tc>
        <w:tc>
          <w:tcPr>
            <w:tcW w:w="940" w:type="dxa"/>
            <w:vAlign w:val="bottom"/>
            <w:shd w:val="clear" w:color="auto" w:fill="000000"/>
          </w:tcPr>
          <w:p>
            <w:pPr>
              <w:spacing w:after="0" w:line="20" w:lineRule="exact"/>
              <w:rPr>
                <w:sz w:val="1"/>
                <w:szCs w:val="1"/>
                <w:color w:val="auto"/>
              </w:rPr>
            </w:pPr>
          </w:p>
        </w:tc>
        <w:tc>
          <w:tcPr>
            <w:tcW w:w="300" w:type="dxa"/>
            <w:vAlign w:val="bottom"/>
            <w:shd w:val="clear" w:color="auto" w:fill="000000"/>
          </w:tcPr>
          <w:p>
            <w:pPr>
              <w:spacing w:after="0" w:line="20" w:lineRule="exact"/>
              <w:rPr>
                <w:sz w:val="1"/>
                <w:szCs w:val="1"/>
                <w:color w:val="auto"/>
              </w:rPr>
            </w:pPr>
          </w:p>
        </w:tc>
        <w:tc>
          <w:tcPr>
            <w:tcW w:w="220" w:type="dxa"/>
            <w:vAlign w:val="bottom"/>
            <w:vMerge w:val="restart"/>
            <w:shd w:val="clear" w:color="auto" w:fill="CCEEFF"/>
          </w:tcPr>
          <w:p>
            <w:pPr>
              <w:spacing w:after="0" w:line="20" w:lineRule="exact"/>
              <w:rPr>
                <w:sz w:val="1"/>
                <w:szCs w:val="1"/>
                <w:color w:val="auto"/>
              </w:rPr>
            </w:pPr>
          </w:p>
        </w:tc>
        <w:tc>
          <w:tcPr>
            <w:tcW w:w="1280" w:type="dxa"/>
            <w:vAlign w:val="bottom"/>
            <w:shd w:val="clear" w:color="auto" w:fill="000000"/>
          </w:tcPr>
          <w:p>
            <w:pPr>
              <w:spacing w:after="0" w:line="20" w:lineRule="exact"/>
              <w:rPr>
                <w:sz w:val="1"/>
                <w:szCs w:val="1"/>
                <w:color w:val="auto"/>
              </w:rPr>
            </w:pPr>
          </w:p>
        </w:tc>
        <w:tc>
          <w:tcPr>
            <w:tcW w:w="14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4"/>
        </w:trPr>
        <w:tc>
          <w:tcPr>
            <w:tcW w:w="20" w:type="dxa"/>
            <w:vAlign w:val="bottom"/>
          </w:tcPr>
          <w:p>
            <w:pPr>
              <w:spacing w:after="0"/>
              <w:rPr>
                <w:sz w:val="12"/>
                <w:szCs w:val="12"/>
                <w:color w:val="auto"/>
              </w:rPr>
            </w:pPr>
          </w:p>
        </w:tc>
        <w:tc>
          <w:tcPr>
            <w:tcW w:w="5780" w:type="dxa"/>
            <w:vAlign w:val="bottom"/>
            <w:vMerge w:val="continue"/>
            <w:shd w:val="clear" w:color="auto" w:fill="CCEEFF"/>
          </w:tcPr>
          <w:p>
            <w:pPr>
              <w:spacing w:after="0"/>
              <w:rPr>
                <w:sz w:val="12"/>
                <w:szCs w:val="12"/>
                <w:color w:val="auto"/>
              </w:rPr>
            </w:pPr>
          </w:p>
        </w:tc>
        <w:tc>
          <w:tcPr>
            <w:tcW w:w="2800" w:type="dxa"/>
            <w:vAlign w:val="bottom"/>
            <w:vMerge w:val="continue"/>
            <w:shd w:val="clear" w:color="auto" w:fill="CCEEFF"/>
          </w:tcPr>
          <w:p>
            <w:pPr>
              <w:spacing w:after="0"/>
              <w:rPr>
                <w:sz w:val="12"/>
                <w:szCs w:val="12"/>
                <w:color w:val="auto"/>
              </w:rPr>
            </w:pPr>
          </w:p>
        </w:tc>
        <w:tc>
          <w:tcPr>
            <w:tcW w:w="940" w:type="dxa"/>
            <w:vAlign w:val="bottom"/>
            <w:shd w:val="clear" w:color="auto" w:fill="CCEEFF"/>
          </w:tcPr>
          <w:p>
            <w:pPr>
              <w:jc w:val="right"/>
              <w:ind w:right="829"/>
              <w:spacing w:after="0"/>
              <w:rPr>
                <w:sz w:val="20"/>
                <w:szCs w:val="20"/>
                <w:color w:val="auto"/>
              </w:rPr>
            </w:pPr>
            <w:r>
              <w:rPr>
                <w:rFonts w:ascii="Arial" w:cs="Arial" w:eastAsia="Arial" w:hAnsi="Arial"/>
                <w:sz w:val="10"/>
                <w:szCs w:val="10"/>
                <w:b w:val="1"/>
                <w:bCs w:val="1"/>
                <w:color w:val="auto"/>
                <w:w w:val="71"/>
              </w:rPr>
              <w:t>$</w:t>
            </w:r>
          </w:p>
        </w:tc>
        <w:tc>
          <w:tcPr>
            <w:tcW w:w="30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823</w:t>
            </w:r>
          </w:p>
        </w:tc>
        <w:tc>
          <w:tcPr>
            <w:tcW w:w="220" w:type="dxa"/>
            <w:vAlign w:val="bottom"/>
            <w:vMerge w:val="continue"/>
            <w:shd w:val="clear" w:color="auto" w:fill="CCEEFF"/>
          </w:tcPr>
          <w:p>
            <w:pPr>
              <w:spacing w:after="0"/>
              <w:rPr>
                <w:sz w:val="12"/>
                <w:szCs w:val="12"/>
                <w:color w:val="auto"/>
              </w:rPr>
            </w:pPr>
          </w:p>
        </w:tc>
        <w:tc>
          <w:tcPr>
            <w:tcW w:w="1420" w:type="dxa"/>
            <w:vAlign w:val="bottom"/>
            <w:gridSpan w:val="2"/>
            <w:shd w:val="clear" w:color="auto" w:fill="CCEEFF"/>
          </w:tcPr>
          <w:p>
            <w:pPr>
              <w:ind w:left="1060"/>
              <w:spacing w:after="0" w:line="144" w:lineRule="exact"/>
              <w:rPr>
                <w:sz w:val="20"/>
                <w:szCs w:val="20"/>
                <w:color w:val="auto"/>
              </w:rPr>
            </w:pPr>
            <w:r>
              <w:rPr>
                <w:rFonts w:ascii="Arial" w:cs="Arial" w:eastAsia="Arial" w:hAnsi="Arial"/>
                <w:sz w:val="13"/>
                <w:szCs w:val="13"/>
                <w:b w:val="1"/>
                <w:bCs w:val="1"/>
                <w:color w:val="auto"/>
                <w:w w:val="92"/>
              </w:rPr>
              <w:t>4.16%</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780" w:type="dxa"/>
            <w:vAlign w:val="bottom"/>
          </w:tcPr>
          <w:p>
            <w:pPr>
              <w:spacing w:after="0"/>
              <w:rPr>
                <w:sz w:val="13"/>
                <w:szCs w:val="13"/>
                <w:color w:val="auto"/>
              </w:rPr>
            </w:pPr>
          </w:p>
        </w:tc>
        <w:tc>
          <w:tcPr>
            <w:tcW w:w="280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780" w:type="dxa"/>
            <w:vAlign w:val="bottom"/>
            <w:shd w:val="clear" w:color="auto" w:fill="CCEEFF"/>
          </w:tcPr>
          <w:p>
            <w:pPr>
              <w:spacing w:after="0"/>
              <w:rPr>
                <w:sz w:val="20"/>
                <w:szCs w:val="20"/>
                <w:color w:val="auto"/>
              </w:rPr>
            </w:pPr>
            <w:r>
              <w:rPr>
                <w:rFonts w:ascii="Arial" w:cs="Arial" w:eastAsia="Arial" w:hAnsi="Arial"/>
                <w:sz w:val="13"/>
                <w:szCs w:val="13"/>
                <w:color w:val="auto"/>
              </w:rPr>
              <w:t>Medium and long-term placements at fixed interest rate</w:t>
            </w:r>
          </w:p>
        </w:tc>
        <w:tc>
          <w:tcPr>
            <w:tcW w:w="280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780" w:type="dxa"/>
            <w:vAlign w:val="bottom"/>
          </w:tcPr>
          <w:p>
            <w:pPr>
              <w:spacing w:after="0"/>
              <w:rPr>
                <w:sz w:val="20"/>
                <w:szCs w:val="20"/>
                <w:color w:val="auto"/>
              </w:rPr>
            </w:pPr>
            <w:r>
              <w:rPr>
                <w:rFonts w:ascii="Arial" w:cs="Arial" w:eastAsia="Arial" w:hAnsi="Arial"/>
                <w:sz w:val="13"/>
                <w:szCs w:val="13"/>
                <w:color w:val="auto"/>
              </w:rPr>
              <w:t>Due in 91 to 180 days</w:t>
            </w:r>
          </w:p>
        </w:tc>
        <w:tc>
          <w:tcPr>
            <w:tcW w:w="3740" w:type="dxa"/>
            <w:vAlign w:val="bottom"/>
            <w:gridSpan w:val="2"/>
          </w:tcPr>
          <w:p>
            <w:pPr>
              <w:jc w:val="right"/>
              <w:ind w:right="829"/>
              <w:spacing w:after="0"/>
              <w:rPr>
                <w:sz w:val="20"/>
                <w:szCs w:val="20"/>
                <w:color w:val="auto"/>
              </w:rPr>
            </w:pPr>
            <w:r>
              <w:rPr>
                <w:rFonts w:ascii="Arial" w:cs="Arial" w:eastAsia="Arial" w:hAnsi="Arial"/>
                <w:sz w:val="13"/>
                <w:szCs w:val="13"/>
                <w:color w:val="auto"/>
              </w:rPr>
              <w:t>$</w:t>
            </w:r>
          </w:p>
        </w:tc>
        <w:tc>
          <w:tcPr>
            <w:tcW w:w="300" w:type="dxa"/>
            <w:vAlign w:val="bottom"/>
          </w:tcPr>
          <w:p>
            <w:pPr>
              <w:jc w:val="right"/>
              <w:spacing w:after="0"/>
              <w:rPr>
                <w:sz w:val="20"/>
                <w:szCs w:val="20"/>
                <w:color w:val="auto"/>
              </w:rPr>
            </w:pPr>
            <w:r>
              <w:rPr>
                <w:rFonts w:ascii="Arial" w:cs="Arial" w:eastAsia="Arial" w:hAnsi="Arial"/>
                <w:sz w:val="13"/>
                <w:szCs w:val="13"/>
                <w:color w:val="auto"/>
              </w:rPr>
              <w:t>73</w:t>
            </w:r>
          </w:p>
        </w:tc>
        <w:tc>
          <w:tcPr>
            <w:tcW w:w="220" w:type="dxa"/>
            <w:vAlign w:val="bottom"/>
          </w:tcPr>
          <w:p>
            <w:pPr>
              <w:spacing w:after="0"/>
              <w:rPr>
                <w:sz w:val="13"/>
                <w:szCs w:val="13"/>
                <w:color w:val="auto"/>
              </w:rPr>
            </w:pPr>
          </w:p>
        </w:tc>
        <w:tc>
          <w:tcPr>
            <w:tcW w:w="1420" w:type="dxa"/>
            <w:vAlign w:val="bottom"/>
            <w:gridSpan w:val="2"/>
          </w:tcPr>
          <w:p>
            <w:pPr>
              <w:ind w:left="1060"/>
              <w:spacing w:after="0"/>
              <w:rPr>
                <w:sz w:val="20"/>
                <w:szCs w:val="20"/>
                <w:color w:val="auto"/>
              </w:rPr>
            </w:pPr>
            <w:r>
              <w:rPr>
                <w:rFonts w:ascii="Arial" w:cs="Arial" w:eastAsia="Arial" w:hAnsi="Arial"/>
                <w:sz w:val="13"/>
                <w:szCs w:val="13"/>
                <w:color w:val="auto"/>
                <w:w w:val="92"/>
              </w:rPr>
              <w:t>0.46%</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780" w:type="dxa"/>
            <w:vAlign w:val="bottom"/>
            <w:shd w:val="clear" w:color="auto" w:fill="CCEEFF"/>
          </w:tcPr>
          <w:p>
            <w:pPr>
              <w:spacing w:after="0"/>
              <w:rPr>
                <w:sz w:val="20"/>
                <w:szCs w:val="20"/>
                <w:color w:val="auto"/>
              </w:rPr>
            </w:pPr>
            <w:r>
              <w:rPr>
                <w:rFonts w:ascii="Arial" w:cs="Arial" w:eastAsia="Arial" w:hAnsi="Arial"/>
                <w:sz w:val="13"/>
                <w:szCs w:val="13"/>
                <w:color w:val="auto"/>
              </w:rPr>
              <w:t>Due in 181 to 365 days</w:t>
            </w:r>
          </w:p>
        </w:tc>
        <w:tc>
          <w:tcPr>
            <w:tcW w:w="280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1420" w:type="dxa"/>
            <w:vAlign w:val="bottom"/>
            <w:gridSpan w:val="2"/>
            <w:shd w:val="clear" w:color="auto" w:fill="CCEEFF"/>
          </w:tcPr>
          <w:p>
            <w:pPr>
              <w:ind w:left="1060"/>
              <w:spacing w:after="0"/>
              <w:rPr>
                <w:sz w:val="20"/>
                <w:szCs w:val="20"/>
                <w:color w:val="auto"/>
              </w:rPr>
            </w:pPr>
            <w:r>
              <w:rPr>
                <w:rFonts w:ascii="Arial" w:cs="Arial" w:eastAsia="Arial" w:hAnsi="Arial"/>
                <w:sz w:val="13"/>
                <w:szCs w:val="13"/>
                <w:color w:val="auto"/>
                <w:w w:val="92"/>
              </w:rPr>
              <w:t>0.00%</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780" w:type="dxa"/>
            <w:vAlign w:val="bottom"/>
          </w:tcPr>
          <w:p>
            <w:pPr>
              <w:spacing w:after="0"/>
              <w:rPr>
                <w:sz w:val="20"/>
                <w:szCs w:val="20"/>
                <w:color w:val="auto"/>
              </w:rPr>
            </w:pPr>
            <w:r>
              <w:rPr>
                <w:rFonts w:ascii="Arial" w:cs="Arial" w:eastAsia="Arial" w:hAnsi="Arial"/>
                <w:sz w:val="13"/>
                <w:szCs w:val="13"/>
                <w:color w:val="auto"/>
              </w:rPr>
              <w:t>Due in 1 through 6 years</w:t>
            </w:r>
          </w:p>
        </w:tc>
        <w:tc>
          <w:tcPr>
            <w:tcW w:w="280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520" w:type="dxa"/>
            <w:vAlign w:val="bottom"/>
            <w:gridSpan w:val="2"/>
          </w:tcPr>
          <w:p>
            <w:pPr>
              <w:jc w:val="right"/>
              <w:ind w:right="220"/>
              <w:spacing w:after="0"/>
              <w:rPr>
                <w:sz w:val="20"/>
                <w:szCs w:val="20"/>
                <w:color w:val="auto"/>
              </w:rPr>
            </w:pPr>
            <w:r>
              <w:rPr>
                <w:rFonts w:ascii="Arial" w:cs="Arial" w:eastAsia="Arial" w:hAnsi="Arial"/>
                <w:sz w:val="13"/>
                <w:szCs w:val="13"/>
                <w:color w:val="auto"/>
              </w:rPr>
              <w:t>430</w:t>
            </w:r>
          </w:p>
        </w:tc>
        <w:tc>
          <w:tcPr>
            <w:tcW w:w="1420" w:type="dxa"/>
            <w:vAlign w:val="bottom"/>
            <w:gridSpan w:val="2"/>
          </w:tcPr>
          <w:p>
            <w:pPr>
              <w:ind w:left="1060"/>
              <w:spacing w:after="0"/>
              <w:rPr>
                <w:sz w:val="20"/>
                <w:szCs w:val="20"/>
                <w:color w:val="auto"/>
              </w:rPr>
            </w:pPr>
            <w:r>
              <w:rPr>
                <w:rFonts w:ascii="Arial" w:cs="Arial" w:eastAsia="Arial" w:hAnsi="Arial"/>
                <w:sz w:val="13"/>
                <w:szCs w:val="13"/>
                <w:color w:val="auto"/>
                <w:w w:val="92"/>
              </w:rPr>
              <w:t>3.34%</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780" w:type="dxa"/>
            <w:vAlign w:val="bottom"/>
            <w:vMerge w:val="restart"/>
            <w:shd w:val="clear" w:color="auto" w:fill="CCEEFF"/>
          </w:tcPr>
          <w:p>
            <w:pPr>
              <w:spacing w:after="0"/>
              <w:rPr>
                <w:sz w:val="20"/>
                <w:szCs w:val="20"/>
                <w:color w:val="auto"/>
              </w:rPr>
            </w:pPr>
            <w:r>
              <w:rPr>
                <w:rFonts w:ascii="Arial" w:cs="Arial" w:eastAsia="Arial" w:hAnsi="Arial"/>
                <w:sz w:val="13"/>
                <w:szCs w:val="13"/>
                <w:b w:val="1"/>
                <w:bCs w:val="1"/>
                <w:color w:val="auto"/>
              </w:rPr>
              <w:t>Total</w:t>
            </w:r>
          </w:p>
        </w:tc>
        <w:tc>
          <w:tcPr>
            <w:tcW w:w="2800" w:type="dxa"/>
            <w:vAlign w:val="bottom"/>
            <w:vMerge w:val="restart"/>
            <w:shd w:val="clear" w:color="auto" w:fill="CCEEFF"/>
          </w:tcPr>
          <w:p>
            <w:pPr>
              <w:spacing w:after="0" w:line="20" w:lineRule="exact"/>
              <w:rPr>
                <w:sz w:val="1"/>
                <w:szCs w:val="1"/>
                <w:color w:val="auto"/>
              </w:rPr>
            </w:pPr>
          </w:p>
        </w:tc>
        <w:tc>
          <w:tcPr>
            <w:tcW w:w="940" w:type="dxa"/>
            <w:vAlign w:val="bottom"/>
            <w:shd w:val="clear" w:color="auto" w:fill="000000"/>
          </w:tcPr>
          <w:p>
            <w:pPr>
              <w:spacing w:after="0" w:line="20" w:lineRule="exact"/>
              <w:rPr>
                <w:sz w:val="1"/>
                <w:szCs w:val="1"/>
                <w:color w:val="auto"/>
              </w:rPr>
            </w:pPr>
          </w:p>
        </w:tc>
        <w:tc>
          <w:tcPr>
            <w:tcW w:w="300" w:type="dxa"/>
            <w:vAlign w:val="bottom"/>
            <w:shd w:val="clear" w:color="auto" w:fill="000000"/>
          </w:tcPr>
          <w:p>
            <w:pPr>
              <w:spacing w:after="0" w:line="20" w:lineRule="exact"/>
              <w:rPr>
                <w:sz w:val="1"/>
                <w:szCs w:val="1"/>
                <w:color w:val="auto"/>
              </w:rPr>
            </w:pPr>
          </w:p>
        </w:tc>
        <w:tc>
          <w:tcPr>
            <w:tcW w:w="220" w:type="dxa"/>
            <w:vAlign w:val="bottom"/>
            <w:vMerge w:val="restart"/>
            <w:shd w:val="clear" w:color="auto" w:fill="CCEEFF"/>
          </w:tcPr>
          <w:p>
            <w:pPr>
              <w:spacing w:after="0" w:line="20" w:lineRule="exact"/>
              <w:rPr>
                <w:sz w:val="1"/>
                <w:szCs w:val="1"/>
                <w:color w:val="auto"/>
              </w:rPr>
            </w:pPr>
          </w:p>
        </w:tc>
        <w:tc>
          <w:tcPr>
            <w:tcW w:w="1280" w:type="dxa"/>
            <w:vAlign w:val="bottom"/>
            <w:shd w:val="clear" w:color="auto" w:fill="000000"/>
          </w:tcPr>
          <w:p>
            <w:pPr>
              <w:spacing w:after="0" w:line="20" w:lineRule="exact"/>
              <w:rPr>
                <w:sz w:val="1"/>
                <w:szCs w:val="1"/>
                <w:color w:val="auto"/>
              </w:rPr>
            </w:pPr>
          </w:p>
        </w:tc>
        <w:tc>
          <w:tcPr>
            <w:tcW w:w="14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4"/>
        </w:trPr>
        <w:tc>
          <w:tcPr>
            <w:tcW w:w="20" w:type="dxa"/>
            <w:vAlign w:val="bottom"/>
          </w:tcPr>
          <w:p>
            <w:pPr>
              <w:spacing w:after="0"/>
              <w:rPr>
                <w:sz w:val="12"/>
                <w:szCs w:val="12"/>
                <w:color w:val="auto"/>
              </w:rPr>
            </w:pPr>
          </w:p>
        </w:tc>
        <w:tc>
          <w:tcPr>
            <w:tcW w:w="5780" w:type="dxa"/>
            <w:vAlign w:val="bottom"/>
            <w:vMerge w:val="continue"/>
            <w:shd w:val="clear" w:color="auto" w:fill="CCEEFF"/>
          </w:tcPr>
          <w:p>
            <w:pPr>
              <w:spacing w:after="0"/>
              <w:rPr>
                <w:sz w:val="12"/>
                <w:szCs w:val="12"/>
                <w:color w:val="auto"/>
              </w:rPr>
            </w:pPr>
          </w:p>
        </w:tc>
        <w:tc>
          <w:tcPr>
            <w:tcW w:w="2800" w:type="dxa"/>
            <w:vAlign w:val="bottom"/>
            <w:vMerge w:val="continue"/>
            <w:shd w:val="clear" w:color="auto" w:fill="CCEEFF"/>
          </w:tcPr>
          <w:p>
            <w:pPr>
              <w:spacing w:after="0"/>
              <w:rPr>
                <w:sz w:val="12"/>
                <w:szCs w:val="12"/>
                <w:color w:val="auto"/>
              </w:rPr>
            </w:pPr>
          </w:p>
        </w:tc>
        <w:tc>
          <w:tcPr>
            <w:tcW w:w="940" w:type="dxa"/>
            <w:vAlign w:val="bottom"/>
            <w:shd w:val="clear" w:color="auto" w:fill="CCEEFF"/>
          </w:tcPr>
          <w:p>
            <w:pPr>
              <w:jc w:val="right"/>
              <w:ind w:right="829"/>
              <w:spacing w:after="0"/>
              <w:rPr>
                <w:sz w:val="20"/>
                <w:szCs w:val="20"/>
                <w:color w:val="auto"/>
              </w:rPr>
            </w:pPr>
            <w:r>
              <w:rPr>
                <w:rFonts w:ascii="Arial" w:cs="Arial" w:eastAsia="Arial" w:hAnsi="Arial"/>
                <w:sz w:val="10"/>
                <w:szCs w:val="10"/>
                <w:b w:val="1"/>
                <w:bCs w:val="1"/>
                <w:color w:val="auto"/>
                <w:w w:val="71"/>
              </w:rPr>
              <w:t>$</w:t>
            </w:r>
          </w:p>
        </w:tc>
        <w:tc>
          <w:tcPr>
            <w:tcW w:w="30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503</w:t>
            </w:r>
          </w:p>
        </w:tc>
        <w:tc>
          <w:tcPr>
            <w:tcW w:w="220" w:type="dxa"/>
            <w:vAlign w:val="bottom"/>
            <w:vMerge w:val="continue"/>
            <w:shd w:val="clear" w:color="auto" w:fill="CCEEFF"/>
          </w:tcPr>
          <w:p>
            <w:pPr>
              <w:spacing w:after="0"/>
              <w:rPr>
                <w:sz w:val="12"/>
                <w:szCs w:val="12"/>
                <w:color w:val="auto"/>
              </w:rPr>
            </w:pPr>
          </w:p>
        </w:tc>
        <w:tc>
          <w:tcPr>
            <w:tcW w:w="1420" w:type="dxa"/>
            <w:vAlign w:val="bottom"/>
            <w:gridSpan w:val="2"/>
            <w:shd w:val="clear" w:color="auto" w:fill="CCEEFF"/>
          </w:tcPr>
          <w:p>
            <w:pPr>
              <w:ind w:left="1060"/>
              <w:spacing w:after="0" w:line="144" w:lineRule="exact"/>
              <w:rPr>
                <w:sz w:val="20"/>
                <w:szCs w:val="20"/>
                <w:color w:val="auto"/>
              </w:rPr>
            </w:pPr>
            <w:r>
              <w:rPr>
                <w:rFonts w:ascii="Arial" w:cs="Arial" w:eastAsia="Arial" w:hAnsi="Arial"/>
                <w:sz w:val="13"/>
                <w:szCs w:val="13"/>
                <w:b w:val="1"/>
                <w:bCs w:val="1"/>
                <w:color w:val="auto"/>
                <w:w w:val="92"/>
              </w:rPr>
              <w:t>2.92%</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780" w:type="dxa"/>
            <w:vAlign w:val="bottom"/>
          </w:tcPr>
          <w:p>
            <w:pPr>
              <w:spacing w:after="0"/>
              <w:rPr>
                <w:sz w:val="13"/>
                <w:szCs w:val="13"/>
                <w:color w:val="auto"/>
              </w:rPr>
            </w:pPr>
          </w:p>
        </w:tc>
        <w:tc>
          <w:tcPr>
            <w:tcW w:w="280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780" w:type="dxa"/>
            <w:vAlign w:val="bottom"/>
            <w:shd w:val="clear" w:color="auto" w:fill="CCEEFF"/>
          </w:tcPr>
          <w:p>
            <w:pPr>
              <w:spacing w:after="0"/>
              <w:rPr>
                <w:sz w:val="20"/>
                <w:szCs w:val="20"/>
                <w:color w:val="auto"/>
              </w:rPr>
            </w:pPr>
            <w:r>
              <w:rPr>
                <w:rFonts w:ascii="Arial" w:cs="Arial" w:eastAsia="Arial" w:hAnsi="Arial"/>
                <w:sz w:val="13"/>
                <w:szCs w:val="13"/>
                <w:color w:val="auto"/>
              </w:rPr>
              <w:t>Medium and long-term placements at floating interest rate</w:t>
            </w:r>
          </w:p>
        </w:tc>
        <w:tc>
          <w:tcPr>
            <w:tcW w:w="280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780" w:type="dxa"/>
            <w:vAlign w:val="bottom"/>
          </w:tcPr>
          <w:p>
            <w:pPr>
              <w:spacing w:after="0"/>
              <w:rPr>
                <w:sz w:val="20"/>
                <w:szCs w:val="20"/>
                <w:color w:val="auto"/>
              </w:rPr>
            </w:pPr>
            <w:r>
              <w:rPr>
                <w:rFonts w:ascii="Arial" w:cs="Arial" w:eastAsia="Arial" w:hAnsi="Arial"/>
                <w:sz w:val="13"/>
                <w:szCs w:val="13"/>
                <w:color w:val="auto"/>
              </w:rPr>
              <w:t>Due in 91 to 180 days</w:t>
            </w:r>
          </w:p>
        </w:tc>
        <w:tc>
          <w:tcPr>
            <w:tcW w:w="3740" w:type="dxa"/>
            <w:vAlign w:val="bottom"/>
            <w:gridSpan w:val="2"/>
          </w:tcPr>
          <w:p>
            <w:pPr>
              <w:jc w:val="right"/>
              <w:ind w:right="829"/>
              <w:spacing w:after="0"/>
              <w:rPr>
                <w:sz w:val="20"/>
                <w:szCs w:val="20"/>
                <w:color w:val="auto"/>
              </w:rPr>
            </w:pPr>
            <w:r>
              <w:rPr>
                <w:rFonts w:ascii="Arial" w:cs="Arial" w:eastAsia="Arial" w:hAnsi="Arial"/>
                <w:sz w:val="13"/>
                <w:szCs w:val="13"/>
                <w:color w:val="auto"/>
              </w:rPr>
              <w:t>$</w:t>
            </w:r>
          </w:p>
        </w:tc>
        <w:tc>
          <w:tcPr>
            <w:tcW w:w="300" w:type="dxa"/>
            <w:vAlign w:val="bottom"/>
          </w:tcPr>
          <w:p>
            <w:pPr>
              <w:jc w:val="right"/>
              <w:spacing w:after="0"/>
              <w:rPr>
                <w:sz w:val="20"/>
                <w:szCs w:val="20"/>
                <w:color w:val="auto"/>
              </w:rPr>
            </w:pPr>
            <w:r>
              <w:rPr>
                <w:rFonts w:ascii="Arial" w:cs="Arial" w:eastAsia="Arial" w:hAnsi="Arial"/>
                <w:sz w:val="13"/>
                <w:szCs w:val="13"/>
                <w:color w:val="auto"/>
              </w:rPr>
              <w:t>76</w:t>
            </w:r>
          </w:p>
        </w:tc>
        <w:tc>
          <w:tcPr>
            <w:tcW w:w="220" w:type="dxa"/>
            <w:vAlign w:val="bottom"/>
          </w:tcPr>
          <w:p>
            <w:pPr>
              <w:spacing w:after="0"/>
              <w:rPr>
                <w:sz w:val="13"/>
                <w:szCs w:val="13"/>
                <w:color w:val="auto"/>
              </w:rPr>
            </w:pPr>
          </w:p>
        </w:tc>
        <w:tc>
          <w:tcPr>
            <w:tcW w:w="1420" w:type="dxa"/>
            <w:vAlign w:val="bottom"/>
            <w:gridSpan w:val="2"/>
          </w:tcPr>
          <w:p>
            <w:pPr>
              <w:ind w:left="1060"/>
              <w:spacing w:after="0"/>
              <w:rPr>
                <w:sz w:val="20"/>
                <w:szCs w:val="20"/>
                <w:color w:val="auto"/>
              </w:rPr>
            </w:pPr>
            <w:r>
              <w:rPr>
                <w:rFonts w:ascii="Arial" w:cs="Arial" w:eastAsia="Arial" w:hAnsi="Arial"/>
                <w:sz w:val="13"/>
                <w:szCs w:val="13"/>
                <w:color w:val="auto"/>
                <w:w w:val="92"/>
              </w:rPr>
              <w:t>9.19%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780" w:type="dxa"/>
            <w:vAlign w:val="bottom"/>
            <w:shd w:val="clear" w:color="auto" w:fill="CCEEFF"/>
          </w:tcPr>
          <w:p>
            <w:pPr>
              <w:spacing w:after="0"/>
              <w:rPr>
                <w:sz w:val="20"/>
                <w:szCs w:val="20"/>
                <w:color w:val="auto"/>
              </w:rPr>
            </w:pPr>
            <w:r>
              <w:rPr>
                <w:rFonts w:ascii="Arial" w:cs="Arial" w:eastAsia="Arial" w:hAnsi="Arial"/>
                <w:sz w:val="13"/>
                <w:szCs w:val="13"/>
                <w:color w:val="auto"/>
              </w:rPr>
              <w:t>Due in 181 to 365 days</w:t>
            </w:r>
          </w:p>
        </w:tc>
        <w:tc>
          <w:tcPr>
            <w:tcW w:w="280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1420" w:type="dxa"/>
            <w:vAlign w:val="bottom"/>
            <w:gridSpan w:val="2"/>
            <w:shd w:val="clear" w:color="auto" w:fill="CCEEFF"/>
          </w:tcPr>
          <w:p>
            <w:pPr>
              <w:ind w:left="1060"/>
              <w:spacing w:after="0"/>
              <w:rPr>
                <w:sz w:val="20"/>
                <w:szCs w:val="20"/>
                <w:color w:val="auto"/>
              </w:rPr>
            </w:pPr>
            <w:r>
              <w:rPr>
                <w:rFonts w:ascii="Arial" w:cs="Arial" w:eastAsia="Arial" w:hAnsi="Arial"/>
                <w:sz w:val="13"/>
                <w:szCs w:val="13"/>
                <w:color w:val="auto"/>
                <w:w w:val="92"/>
              </w:rPr>
              <w:t>0.00%</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780" w:type="dxa"/>
            <w:vAlign w:val="bottom"/>
          </w:tcPr>
          <w:p>
            <w:pPr>
              <w:spacing w:after="0"/>
              <w:rPr>
                <w:sz w:val="20"/>
                <w:szCs w:val="20"/>
                <w:color w:val="auto"/>
              </w:rPr>
            </w:pPr>
            <w:r>
              <w:rPr>
                <w:rFonts w:ascii="Arial" w:cs="Arial" w:eastAsia="Arial" w:hAnsi="Arial"/>
                <w:sz w:val="13"/>
                <w:szCs w:val="13"/>
                <w:color w:val="auto"/>
              </w:rPr>
              <w:t>Due in 1 through 6 years</w:t>
            </w:r>
          </w:p>
        </w:tc>
        <w:tc>
          <w:tcPr>
            <w:tcW w:w="280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300" w:type="dxa"/>
            <w:vAlign w:val="bottom"/>
          </w:tcPr>
          <w:p>
            <w:pPr>
              <w:jc w:val="right"/>
              <w:spacing w:after="0"/>
              <w:rPr>
                <w:sz w:val="20"/>
                <w:szCs w:val="20"/>
                <w:color w:val="auto"/>
              </w:rPr>
            </w:pPr>
            <w:r>
              <w:rPr>
                <w:rFonts w:ascii="Arial" w:cs="Arial" w:eastAsia="Arial" w:hAnsi="Arial"/>
                <w:sz w:val="13"/>
                <w:szCs w:val="13"/>
                <w:color w:val="auto"/>
              </w:rPr>
              <w:t>35</w:t>
            </w:r>
          </w:p>
        </w:tc>
        <w:tc>
          <w:tcPr>
            <w:tcW w:w="220" w:type="dxa"/>
            <w:vAlign w:val="bottom"/>
          </w:tcPr>
          <w:p>
            <w:pPr>
              <w:spacing w:after="0"/>
              <w:rPr>
                <w:sz w:val="14"/>
                <w:szCs w:val="14"/>
                <w:color w:val="auto"/>
              </w:rPr>
            </w:pPr>
          </w:p>
        </w:tc>
        <w:tc>
          <w:tcPr>
            <w:tcW w:w="1420" w:type="dxa"/>
            <w:vAlign w:val="bottom"/>
            <w:gridSpan w:val="2"/>
          </w:tcPr>
          <w:p>
            <w:pPr>
              <w:ind w:left="1060"/>
              <w:spacing w:after="0"/>
              <w:rPr>
                <w:sz w:val="20"/>
                <w:szCs w:val="20"/>
                <w:color w:val="auto"/>
              </w:rPr>
            </w:pPr>
            <w:r>
              <w:rPr>
                <w:rFonts w:ascii="Arial" w:cs="Arial" w:eastAsia="Arial" w:hAnsi="Arial"/>
                <w:sz w:val="13"/>
                <w:szCs w:val="13"/>
                <w:color w:val="auto"/>
                <w:w w:val="92"/>
              </w:rPr>
              <w:t>3.78%</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780" w:type="dxa"/>
            <w:vAlign w:val="bottom"/>
            <w:vMerge w:val="restart"/>
            <w:shd w:val="clear" w:color="auto" w:fill="CCEEFF"/>
          </w:tcPr>
          <w:p>
            <w:pPr>
              <w:spacing w:after="0"/>
              <w:rPr>
                <w:sz w:val="20"/>
                <w:szCs w:val="20"/>
                <w:color w:val="auto"/>
              </w:rPr>
            </w:pPr>
            <w:r>
              <w:rPr>
                <w:rFonts w:ascii="Arial" w:cs="Arial" w:eastAsia="Arial" w:hAnsi="Arial"/>
                <w:sz w:val="13"/>
                <w:szCs w:val="13"/>
                <w:b w:val="1"/>
                <w:bCs w:val="1"/>
                <w:color w:val="auto"/>
              </w:rPr>
              <w:t>Total</w:t>
            </w:r>
          </w:p>
        </w:tc>
        <w:tc>
          <w:tcPr>
            <w:tcW w:w="2800" w:type="dxa"/>
            <w:vAlign w:val="bottom"/>
            <w:vMerge w:val="restart"/>
            <w:shd w:val="clear" w:color="auto" w:fill="CCEEFF"/>
          </w:tcPr>
          <w:p>
            <w:pPr>
              <w:spacing w:after="0" w:line="20" w:lineRule="exact"/>
              <w:rPr>
                <w:sz w:val="1"/>
                <w:szCs w:val="1"/>
                <w:color w:val="auto"/>
              </w:rPr>
            </w:pPr>
          </w:p>
        </w:tc>
        <w:tc>
          <w:tcPr>
            <w:tcW w:w="940" w:type="dxa"/>
            <w:vAlign w:val="bottom"/>
            <w:shd w:val="clear" w:color="auto" w:fill="000000"/>
          </w:tcPr>
          <w:p>
            <w:pPr>
              <w:spacing w:after="0" w:line="20" w:lineRule="exact"/>
              <w:rPr>
                <w:sz w:val="1"/>
                <w:szCs w:val="1"/>
                <w:color w:val="auto"/>
              </w:rPr>
            </w:pPr>
          </w:p>
        </w:tc>
        <w:tc>
          <w:tcPr>
            <w:tcW w:w="300" w:type="dxa"/>
            <w:vAlign w:val="bottom"/>
            <w:shd w:val="clear" w:color="auto" w:fill="000000"/>
          </w:tcPr>
          <w:p>
            <w:pPr>
              <w:spacing w:after="0" w:line="20" w:lineRule="exact"/>
              <w:rPr>
                <w:sz w:val="1"/>
                <w:szCs w:val="1"/>
                <w:color w:val="auto"/>
              </w:rPr>
            </w:pPr>
          </w:p>
        </w:tc>
        <w:tc>
          <w:tcPr>
            <w:tcW w:w="220" w:type="dxa"/>
            <w:vAlign w:val="bottom"/>
            <w:vMerge w:val="restart"/>
            <w:shd w:val="clear" w:color="auto" w:fill="CCEEFF"/>
          </w:tcPr>
          <w:p>
            <w:pPr>
              <w:spacing w:after="0" w:line="20" w:lineRule="exact"/>
              <w:rPr>
                <w:sz w:val="1"/>
                <w:szCs w:val="1"/>
                <w:color w:val="auto"/>
              </w:rPr>
            </w:pPr>
          </w:p>
        </w:tc>
        <w:tc>
          <w:tcPr>
            <w:tcW w:w="1280" w:type="dxa"/>
            <w:vAlign w:val="bottom"/>
            <w:shd w:val="clear" w:color="auto" w:fill="000000"/>
          </w:tcPr>
          <w:p>
            <w:pPr>
              <w:spacing w:after="0" w:line="20" w:lineRule="exact"/>
              <w:rPr>
                <w:sz w:val="1"/>
                <w:szCs w:val="1"/>
                <w:color w:val="auto"/>
              </w:rPr>
            </w:pPr>
          </w:p>
        </w:tc>
        <w:tc>
          <w:tcPr>
            <w:tcW w:w="14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4"/>
        </w:trPr>
        <w:tc>
          <w:tcPr>
            <w:tcW w:w="20" w:type="dxa"/>
            <w:vAlign w:val="bottom"/>
          </w:tcPr>
          <w:p>
            <w:pPr>
              <w:spacing w:after="0"/>
              <w:rPr>
                <w:sz w:val="12"/>
                <w:szCs w:val="12"/>
                <w:color w:val="auto"/>
              </w:rPr>
            </w:pPr>
          </w:p>
        </w:tc>
        <w:tc>
          <w:tcPr>
            <w:tcW w:w="5780" w:type="dxa"/>
            <w:vAlign w:val="bottom"/>
            <w:vMerge w:val="continue"/>
            <w:shd w:val="clear" w:color="auto" w:fill="CCEEFF"/>
          </w:tcPr>
          <w:p>
            <w:pPr>
              <w:spacing w:after="0"/>
              <w:rPr>
                <w:sz w:val="12"/>
                <w:szCs w:val="12"/>
                <w:color w:val="auto"/>
              </w:rPr>
            </w:pPr>
          </w:p>
        </w:tc>
        <w:tc>
          <w:tcPr>
            <w:tcW w:w="2800" w:type="dxa"/>
            <w:vAlign w:val="bottom"/>
            <w:vMerge w:val="continue"/>
            <w:shd w:val="clear" w:color="auto" w:fill="CCEEFF"/>
          </w:tcPr>
          <w:p>
            <w:pPr>
              <w:spacing w:after="0"/>
              <w:rPr>
                <w:sz w:val="12"/>
                <w:szCs w:val="12"/>
                <w:color w:val="auto"/>
              </w:rPr>
            </w:pPr>
          </w:p>
        </w:tc>
        <w:tc>
          <w:tcPr>
            <w:tcW w:w="940" w:type="dxa"/>
            <w:vAlign w:val="bottom"/>
            <w:shd w:val="clear" w:color="auto" w:fill="CCEEFF"/>
          </w:tcPr>
          <w:p>
            <w:pPr>
              <w:jc w:val="right"/>
              <w:ind w:right="829"/>
              <w:spacing w:after="0"/>
              <w:rPr>
                <w:sz w:val="20"/>
                <w:szCs w:val="20"/>
                <w:color w:val="auto"/>
              </w:rPr>
            </w:pPr>
            <w:r>
              <w:rPr>
                <w:rFonts w:ascii="Arial" w:cs="Arial" w:eastAsia="Arial" w:hAnsi="Arial"/>
                <w:sz w:val="10"/>
                <w:szCs w:val="10"/>
                <w:b w:val="1"/>
                <w:bCs w:val="1"/>
                <w:color w:val="auto"/>
                <w:w w:val="71"/>
              </w:rPr>
              <w:t>$</w:t>
            </w:r>
          </w:p>
        </w:tc>
        <w:tc>
          <w:tcPr>
            <w:tcW w:w="30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111</w:t>
            </w:r>
          </w:p>
        </w:tc>
        <w:tc>
          <w:tcPr>
            <w:tcW w:w="220" w:type="dxa"/>
            <w:vAlign w:val="bottom"/>
            <w:vMerge w:val="continue"/>
            <w:shd w:val="clear" w:color="auto" w:fill="CCEEFF"/>
          </w:tcPr>
          <w:p>
            <w:pPr>
              <w:spacing w:after="0"/>
              <w:rPr>
                <w:sz w:val="12"/>
                <w:szCs w:val="12"/>
                <w:color w:val="auto"/>
              </w:rPr>
            </w:pPr>
          </w:p>
        </w:tc>
        <w:tc>
          <w:tcPr>
            <w:tcW w:w="1420" w:type="dxa"/>
            <w:vAlign w:val="bottom"/>
            <w:gridSpan w:val="2"/>
            <w:shd w:val="clear" w:color="auto" w:fill="CCEEFF"/>
          </w:tcPr>
          <w:p>
            <w:pPr>
              <w:ind w:left="1060"/>
              <w:spacing w:after="0" w:line="144" w:lineRule="exact"/>
              <w:rPr>
                <w:sz w:val="20"/>
                <w:szCs w:val="20"/>
                <w:color w:val="auto"/>
              </w:rPr>
            </w:pPr>
            <w:r>
              <w:rPr>
                <w:rFonts w:ascii="Arial" w:cs="Arial" w:eastAsia="Arial" w:hAnsi="Arial"/>
                <w:sz w:val="13"/>
                <w:szCs w:val="13"/>
                <w:b w:val="1"/>
                <w:bCs w:val="1"/>
                <w:color w:val="auto"/>
                <w:w w:val="92"/>
              </w:rPr>
              <w:t>7.49%</w:t>
            </w:r>
          </w:p>
        </w:tc>
        <w:tc>
          <w:tcPr>
            <w:tcW w:w="0" w:type="dxa"/>
            <w:vAlign w:val="bottom"/>
          </w:tcPr>
          <w:p>
            <w:pPr>
              <w:spacing w:after="0"/>
              <w:rPr>
                <w:sz w:val="1"/>
                <w:szCs w:val="1"/>
                <w:color w:val="auto"/>
              </w:rPr>
            </w:pPr>
          </w:p>
        </w:tc>
      </w:tr>
      <w:tr>
        <w:trPr>
          <w:trHeight w:val="155"/>
        </w:trPr>
        <w:tc>
          <w:tcPr>
            <w:tcW w:w="20" w:type="dxa"/>
            <w:vAlign w:val="bottom"/>
          </w:tcPr>
          <w:p>
            <w:pPr>
              <w:spacing w:after="0"/>
              <w:rPr>
                <w:sz w:val="13"/>
                <w:szCs w:val="13"/>
                <w:color w:val="auto"/>
              </w:rPr>
            </w:pPr>
          </w:p>
        </w:tc>
        <w:tc>
          <w:tcPr>
            <w:tcW w:w="5780" w:type="dxa"/>
            <w:vAlign w:val="bottom"/>
          </w:tcPr>
          <w:p>
            <w:pPr>
              <w:spacing w:after="0"/>
              <w:rPr>
                <w:sz w:val="20"/>
                <w:szCs w:val="20"/>
                <w:color w:val="auto"/>
              </w:rPr>
            </w:pPr>
            <w:r>
              <w:rPr>
                <w:rFonts w:ascii="Arial" w:cs="Arial" w:eastAsia="Arial" w:hAnsi="Arial"/>
                <w:sz w:val="13"/>
                <w:szCs w:val="13"/>
                <w:b w:val="1"/>
                <w:bCs w:val="1"/>
                <w:color w:val="auto"/>
              </w:rPr>
              <w:t>Grand Total</w:t>
            </w:r>
          </w:p>
        </w:tc>
        <w:tc>
          <w:tcPr>
            <w:tcW w:w="3740" w:type="dxa"/>
            <w:vAlign w:val="bottom"/>
            <w:gridSpan w:val="2"/>
          </w:tcPr>
          <w:p>
            <w:pPr>
              <w:jc w:val="right"/>
              <w:ind w:right="829"/>
              <w:spacing w:after="0"/>
              <w:rPr>
                <w:sz w:val="20"/>
                <w:szCs w:val="20"/>
                <w:color w:val="auto"/>
              </w:rPr>
            </w:pPr>
            <w:r>
              <w:rPr>
                <w:rFonts w:ascii="Arial" w:cs="Arial" w:eastAsia="Arial" w:hAnsi="Arial"/>
                <w:sz w:val="13"/>
                <w:szCs w:val="13"/>
                <w:b w:val="1"/>
                <w:bCs w:val="1"/>
                <w:color w:val="auto"/>
              </w:rPr>
              <w:t>$</w:t>
            </w:r>
          </w:p>
        </w:tc>
        <w:tc>
          <w:tcPr>
            <w:tcW w:w="300" w:type="dxa"/>
            <w:vAlign w:val="bottom"/>
          </w:tcPr>
          <w:p>
            <w:pPr>
              <w:jc w:val="right"/>
              <w:spacing w:after="0"/>
              <w:rPr>
                <w:sz w:val="20"/>
                <w:szCs w:val="20"/>
                <w:color w:val="auto"/>
              </w:rPr>
            </w:pPr>
            <w:r>
              <w:rPr>
                <w:rFonts w:ascii="Arial" w:cs="Arial" w:eastAsia="Arial" w:hAnsi="Arial"/>
                <w:sz w:val="13"/>
                <w:szCs w:val="13"/>
                <w:b w:val="1"/>
                <w:bCs w:val="1"/>
                <w:color w:val="auto"/>
                <w:w w:val="85"/>
              </w:rPr>
              <w:t>3,562</w:t>
            </w:r>
          </w:p>
        </w:tc>
        <w:tc>
          <w:tcPr>
            <w:tcW w:w="220" w:type="dxa"/>
            <w:vAlign w:val="bottom"/>
          </w:tcPr>
          <w:p>
            <w:pPr>
              <w:spacing w:after="0"/>
              <w:rPr>
                <w:sz w:val="13"/>
                <w:szCs w:val="13"/>
                <w:color w:val="auto"/>
              </w:rPr>
            </w:pPr>
          </w:p>
        </w:tc>
        <w:tc>
          <w:tcPr>
            <w:tcW w:w="1420" w:type="dxa"/>
            <w:vAlign w:val="bottom"/>
            <w:gridSpan w:val="2"/>
          </w:tcPr>
          <w:p>
            <w:pPr>
              <w:ind w:left="1060"/>
              <w:spacing w:after="0"/>
              <w:rPr>
                <w:sz w:val="20"/>
                <w:szCs w:val="20"/>
                <w:color w:val="auto"/>
              </w:rPr>
            </w:pPr>
            <w:r>
              <w:rPr>
                <w:rFonts w:ascii="Arial" w:cs="Arial" w:eastAsia="Arial" w:hAnsi="Arial"/>
                <w:sz w:val="13"/>
                <w:szCs w:val="13"/>
                <w:b w:val="1"/>
                <w:bCs w:val="1"/>
                <w:color w:val="auto"/>
                <w:w w:val="92"/>
              </w:rPr>
              <w:t>3.56%</w:t>
            </w:r>
          </w:p>
        </w:tc>
        <w:tc>
          <w:tcPr>
            <w:tcW w:w="0" w:type="dxa"/>
            <w:vAlign w:val="bottom"/>
          </w:tcPr>
          <w:p>
            <w:pPr>
              <w:spacing w:after="0"/>
              <w:rPr>
                <w:sz w:val="1"/>
                <w:szCs w:val="1"/>
                <w:color w:val="auto"/>
              </w:rPr>
            </w:pPr>
          </w:p>
        </w:tc>
      </w:tr>
    </w:tbl>
    <w:p>
      <w:pPr>
        <w:ind w:left="143" w:hanging="143"/>
        <w:spacing w:after="0" w:line="189" w:lineRule="auto"/>
        <w:tabs>
          <w:tab w:leader="none" w:pos="143" w:val="left"/>
        </w:tabs>
        <w:numPr>
          <w:ilvl w:val="0"/>
          <w:numId w:val="41"/>
        </w:numPr>
        <w:rPr>
          <w:rFonts w:ascii="Arial" w:cs="Arial" w:eastAsia="Arial" w:hAnsi="Arial"/>
          <w:sz w:val="20"/>
          <w:szCs w:val="20"/>
          <w:color w:val="auto"/>
          <w:vertAlign w:val="superscript"/>
        </w:rPr>
      </w:pPr>
      <w:r>
        <w:rPr>
          <w:rFonts w:ascii="Arial" w:cs="Arial" w:eastAsia="Arial" w:hAnsi="Arial"/>
          <w:sz w:val="12"/>
          <w:szCs w:val="12"/>
          <w:color w:val="auto"/>
        </w:rPr>
        <w:t>Gross of prepaid commissions of $3.5 million as of December 31, 2018.</w:t>
      </w:r>
    </w:p>
    <w:p>
      <w:pPr>
        <w:spacing w:after="0" w:line="142"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Cash flows</w:t>
      </w:r>
    </w:p>
    <w:p>
      <w:pPr>
        <w:spacing w:after="0" w:line="163" w:lineRule="exact"/>
        <w:rPr>
          <w:sz w:val="20"/>
          <w:szCs w:val="20"/>
          <w:color w:val="auto"/>
        </w:rPr>
      </w:pPr>
    </w:p>
    <w:p>
      <w:pPr>
        <w:ind w:left="3" w:right="20"/>
        <w:spacing w:after="0" w:line="267" w:lineRule="auto"/>
        <w:rPr>
          <w:sz w:val="20"/>
          <w:szCs w:val="20"/>
          <w:color w:val="auto"/>
        </w:rPr>
      </w:pPr>
      <w:r>
        <w:rPr>
          <w:rFonts w:ascii="Arial" w:cs="Arial" w:eastAsia="Arial" w:hAnsi="Arial"/>
          <w:sz w:val="13"/>
          <w:szCs w:val="13"/>
          <w:color w:val="auto"/>
        </w:rPr>
        <w:t>Management believes that cash flows from operations, including the Bank’s adequate reserve coverage levels, and its ability to generate cash through its financing activities (such as short- and long-term borrowings and debt) are sufficient to fund its investing activities and core lending activities, as well as the Bank’s operating liquidity needs.</w:t>
      </w:r>
    </w:p>
    <w:p>
      <w:pPr>
        <w:spacing w:after="0" w:line="129"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following discussion highlights the major activities and transactions that affected the Bank’s cash flows during 2018, 2017 and 2016.</w:t>
      </w:r>
    </w:p>
    <w:p>
      <w:pPr>
        <w:spacing w:after="0" w:line="307"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72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39" w:right="199" w:bottom="1440" w:gutter="0" w:footer="0" w:header="0"/>
        </w:sectPr>
      </w:pPr>
    </w:p>
    <w:bookmarkStart w:id="74" w:name="page75"/>
    <w:bookmarkEnd w:id="74"/>
    <w:p>
      <w:pPr>
        <w:spacing w:after="0"/>
        <w:rPr>
          <w:sz w:val="20"/>
          <w:szCs w:val="20"/>
          <w:color w:val="auto"/>
        </w:rPr>
      </w:pPr>
      <w:r>
        <w:rPr>
          <w:rFonts w:ascii="Arial" w:cs="Arial" w:eastAsia="Arial" w:hAnsi="Arial"/>
          <w:sz w:val="13"/>
          <w:szCs w:val="13"/>
          <w:i w:val="1"/>
          <w:iCs w:val="1"/>
          <w:color w:val="auto"/>
        </w:rPr>
        <w:t>Cash flows from operating activities</w:t>
      </w:r>
    </w:p>
    <w:p>
      <w:pPr>
        <w:spacing w:after="0" w:line="159" w:lineRule="exact"/>
        <w:rPr>
          <w:sz w:val="20"/>
          <w:szCs w:val="20"/>
          <w:color w:val="auto"/>
        </w:rPr>
      </w:pPr>
    </w:p>
    <w:p>
      <w:pPr>
        <w:jc w:val="both"/>
        <w:spacing w:after="0" w:line="360" w:lineRule="auto"/>
        <w:rPr>
          <w:sz w:val="20"/>
          <w:szCs w:val="20"/>
          <w:color w:val="auto"/>
        </w:rPr>
      </w:pPr>
      <w:r>
        <w:rPr>
          <w:rFonts w:ascii="Arial" w:cs="Arial" w:eastAsia="Arial" w:hAnsi="Arial"/>
          <w:sz w:val="11"/>
          <w:szCs w:val="11"/>
          <w:color w:val="auto"/>
        </w:rPr>
        <w:t>The Bank’s operating activities mainly include cash generated by profit for the year, adjustments to reconcile profit for the year to net cash provided by or used in operating activities, net changes in operating assets, which predominantly include loans originated by the Bank, and net changes in operating liabilities, primarily from raising deposits from central banks as well as state-owned and private banks and corporations in the Region.</w:t>
      </w:r>
    </w:p>
    <w:p>
      <w:pPr>
        <w:spacing w:after="0" w:line="83"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For the year ended December 31, 2018, net cash used by operating activities was $174 million, mainly attributable to a net increase of $305 million in loans, and partially offset by the cash provided from the $104 million net difference from the interest the Bank received and paid during the year.</w:t>
      </w:r>
    </w:p>
    <w:p>
      <w:pPr>
        <w:spacing w:after="0" w:line="12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For the year ended December 31, 2017, net cash provided by operating activities was $716 million, mainly attributable to a net decrease of $479 million in loans, along with a $126 million net increase due to depositors, $132 million net difference from the interest the Bank received and paid, and the $82 million of profit for the year.</w:t>
      </w:r>
    </w:p>
    <w:p>
      <w:pPr>
        <w:spacing w:after="0" w:line="12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For the year ended December 31, 2016, net cash provided by operating activities was $784 million, mainly attributable to a net decrease of $650 million in loans, along with $155 million net difference from the interest the Bank received and paid, and the $87 million of profit for the year.</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Cash flows from investing activities</w:t>
      </w:r>
    </w:p>
    <w:p>
      <w:pPr>
        <w:spacing w:after="0" w:line="15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The Bank’s investing activities include the portfolio of securities at FVOCI and at amortized cost, as well as the cash used on acquisition or proceeds from disposal of equipment and leasehold improvements, and intangible assets. Investing activities can vary significantly in the normal course of business due to the amount and timing of cash flows, which are affected by client-driven activities and demand, market conditions, and business strategies.</w:t>
      </w:r>
    </w:p>
    <w:p>
      <w:pPr>
        <w:spacing w:after="0" w:line="136"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For the year ended December 31, 2018, net cash used in investing activities was $22 million, primarily as a result of the $37 million cash used in the purchases of securities at FVOCI and amortized cost, which was partially offset by the $10 million proceeds from securities maturing during 2018.</w:t>
      </w:r>
    </w:p>
    <w:p>
      <w:pPr>
        <w:spacing w:after="0" w:line="129" w:lineRule="exact"/>
        <w:rPr>
          <w:sz w:val="20"/>
          <w:szCs w:val="20"/>
          <w:color w:val="auto"/>
        </w:rPr>
      </w:pPr>
    </w:p>
    <w:p>
      <w:pPr>
        <w:jc w:val="both"/>
        <w:ind w:right="20"/>
        <w:spacing w:after="0" w:line="310" w:lineRule="auto"/>
        <w:rPr>
          <w:sz w:val="20"/>
          <w:szCs w:val="20"/>
          <w:color w:val="auto"/>
        </w:rPr>
      </w:pPr>
      <w:r>
        <w:rPr>
          <w:rFonts w:ascii="Arial" w:cs="Arial" w:eastAsia="Arial" w:hAnsi="Arial"/>
          <w:sz w:val="12"/>
          <w:szCs w:val="12"/>
          <w:color w:val="auto"/>
        </w:rPr>
        <w:t>For the year ended December 31, 2017, net cash provided by investing activities was $10 million, primarily from $9 million in net proceeds from sales and purchases of securities at FVOCI, and $8 million net proceeds from maturities and purchases of securities at amortized cost, partially offset by the $6 million used in acquisitions of equipment and leasehold improvements, and intangible assets.</w:t>
      </w:r>
    </w:p>
    <w:p>
      <w:pPr>
        <w:spacing w:after="0" w:line="106"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For the year ended December 31, 2016, net cash provided by investing activities was $148 million, primarily from $210 million in proceeds from the sale and redemptions of securities at FVOCI, and $54 million in proceeds from the maturity of securities at amortized cost, partially offset by purchases of $84 million and $25 million of securities at FVOCI and at amortized cost, respectively.</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Cash flows from financing activities</w:t>
      </w:r>
    </w:p>
    <w:p>
      <w:pPr>
        <w:spacing w:after="0" w:line="15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Bank’s financing activities primarily reflect cash flows related to raising funds from short-term borrowings and debt from international correspondent banks, and proceeds from, and repayments of, long-term borrowings and debt through bilateral or syndicated borrowing facilities, as well as issuances in the capital markets.</w:t>
      </w:r>
    </w:p>
    <w:p>
      <w:pPr>
        <w:spacing w:after="0" w:line="129" w:lineRule="exact"/>
        <w:rPr>
          <w:sz w:val="20"/>
          <w:szCs w:val="20"/>
          <w:color w:val="auto"/>
        </w:rPr>
      </w:pPr>
    </w:p>
    <w:p>
      <w:pPr>
        <w:jc w:val="both"/>
        <w:ind w:right="20"/>
        <w:spacing w:after="0" w:line="310" w:lineRule="auto"/>
        <w:rPr>
          <w:sz w:val="20"/>
          <w:szCs w:val="20"/>
          <w:color w:val="auto"/>
        </w:rPr>
      </w:pPr>
      <w:r>
        <w:rPr>
          <w:rFonts w:ascii="Arial" w:cs="Arial" w:eastAsia="Arial" w:hAnsi="Arial"/>
          <w:sz w:val="12"/>
          <w:szCs w:val="12"/>
          <w:color w:val="auto"/>
        </w:rPr>
        <w:t>For the year ended December 31, 2018, the net cash provided by financing activities was $1,282 million, which was primarily the result of the $950 million net increase in short-term borrowings and debt and $609 million in proceeds from long-term borrowings and debt, which was partially offset by the repayment of $256 million in long-term borrowings and debt, and $62 million paid as cash dividends.</w:t>
      </w:r>
    </w:p>
    <w:p>
      <w:pPr>
        <w:spacing w:after="0" w:line="254"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73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75" w:name="page76"/>
    <w:bookmarkEnd w:id="75"/>
    <w:p>
      <w:pPr>
        <w:jc w:val="both"/>
        <w:spacing w:after="0" w:line="267" w:lineRule="auto"/>
        <w:rPr>
          <w:sz w:val="20"/>
          <w:szCs w:val="20"/>
          <w:color w:val="auto"/>
        </w:rPr>
      </w:pPr>
      <w:r>
        <w:rPr>
          <w:rFonts w:ascii="Arial" w:cs="Arial" w:eastAsia="Arial" w:hAnsi="Arial"/>
          <w:sz w:val="13"/>
          <w:szCs w:val="13"/>
          <w:color w:val="auto"/>
        </w:rPr>
        <w:t>For the year ended December 31, 2017, net cash of $1,115 million was used in financing activities, mostly the result of $664 million in net cash flow from the repayments of and proceeds from long-term borrowings and debt, a $396 million net decrease in short-term borrowings and debt, and $61 million paid as cash dividends.</w:t>
      </w:r>
    </w:p>
    <w:p>
      <w:pPr>
        <w:spacing w:after="0" w:line="12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For the year ended December 31, 2016, net cash of $1,192 million was used in financing activities, mostly the result of a $1,075 million net decrease in short-term borrowings and debt and Repos, $58 million net cash flow that resulted from the repayments of and proceeds from long-term borrowings and debt, and $60 million paid as cash dividends.</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Asset/Liability Management</w:t>
      </w:r>
    </w:p>
    <w:p>
      <w:pPr>
        <w:spacing w:after="0" w:line="159" w:lineRule="exact"/>
        <w:rPr>
          <w:sz w:val="20"/>
          <w:szCs w:val="20"/>
          <w:color w:val="auto"/>
        </w:rPr>
      </w:pPr>
    </w:p>
    <w:p>
      <w:pPr>
        <w:jc w:val="both"/>
        <w:ind w:right="20"/>
        <w:spacing w:after="0" w:line="278" w:lineRule="auto"/>
        <w:rPr>
          <w:sz w:val="20"/>
          <w:szCs w:val="20"/>
          <w:color w:val="auto"/>
        </w:rPr>
      </w:pPr>
      <w:r>
        <w:rPr>
          <w:rFonts w:ascii="Arial" w:cs="Arial" w:eastAsia="Arial" w:hAnsi="Arial"/>
          <w:sz w:val="12"/>
          <w:szCs w:val="12"/>
          <w:color w:val="auto"/>
        </w:rPr>
        <w:t>The Bank seeks to manage its assets and liabilities to reduce the potential adverse impact on net interest income that could result from interest rate changes. The Bank controls interest rate risk through systematic monitoring of maturities and repricing mismatches. The Bank’s investment decision-making takes into account not only the rates of return and the respective underlying degrees of risk, but also liquidity requirements, including minimum cash reserves, withdrawal and maturity of deposits and additional demand for funds. For any given period, a matched pricing structure exists when an equal amount of assets and liabilities are repriced. An excess of assets or liabilities over these matched items results in a “gap” or “mismatch,” as shown in the table under “Interest Rate Sensitivity” below. A negative gap denotes liability sensitivity and normally means that a decline in interest rates would have a positive effect on net interest income, while an increase in interest rates would have a negative effect on net interest income.</w:t>
      </w:r>
    </w:p>
    <w:p>
      <w:pPr>
        <w:spacing w:after="0" w:line="125"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Interest Rate Sensitivity</w:t>
      </w:r>
    </w:p>
    <w:p>
      <w:pPr>
        <w:spacing w:after="0" w:line="159" w:lineRule="exact"/>
        <w:rPr>
          <w:sz w:val="20"/>
          <w:szCs w:val="20"/>
          <w:color w:val="auto"/>
        </w:rPr>
      </w:pPr>
    </w:p>
    <w:p>
      <w:pPr>
        <w:jc w:val="both"/>
        <w:ind w:right="20"/>
        <w:spacing w:after="0" w:line="310" w:lineRule="auto"/>
        <w:rPr>
          <w:sz w:val="20"/>
          <w:szCs w:val="20"/>
          <w:color w:val="auto"/>
        </w:rPr>
      </w:pPr>
      <w:r>
        <w:rPr>
          <w:rFonts w:ascii="Arial" w:cs="Arial" w:eastAsia="Arial" w:hAnsi="Arial"/>
          <w:sz w:val="12"/>
          <w:szCs w:val="12"/>
          <w:color w:val="auto"/>
        </w:rPr>
        <w:t>The Bank uses interest rate swaps as part of its interest rate risk management. Interest rate swaps are contracted either in a single currency or cross-currency for a prescribed period in order to exchange a series of interest payment flows and hedge the risk associated with a portion of the notes issued under its various programs and the funds borrowed through bilateral loans and syndications.</w:t>
      </w:r>
    </w:p>
    <w:p>
      <w:pPr>
        <w:spacing w:after="0" w:line="106" w:lineRule="exact"/>
        <w:rPr>
          <w:sz w:val="20"/>
          <w:szCs w:val="20"/>
          <w:color w:val="auto"/>
        </w:rPr>
      </w:pPr>
    </w:p>
    <w:p>
      <w:pPr>
        <w:jc w:val="both"/>
        <w:ind w:right="20"/>
        <w:spacing w:after="0" w:line="310" w:lineRule="auto"/>
        <w:rPr>
          <w:sz w:val="20"/>
          <w:szCs w:val="20"/>
          <w:color w:val="auto"/>
        </w:rPr>
      </w:pPr>
      <w:r>
        <w:rPr>
          <w:rFonts w:ascii="Arial" w:cs="Arial" w:eastAsia="Arial" w:hAnsi="Arial"/>
          <w:sz w:val="12"/>
          <w:szCs w:val="12"/>
          <w:color w:val="auto"/>
        </w:rPr>
        <w:t>The following table presents the projected maturities and interest rate adjustment periods of the Bank’s total assets, liabilities and equity based upon the contractual maturities and rate-adjustment (repricing) dates as of December 31, 2018. The Bank’s interest-earning assets and interest-bearing liabilities and the related interest rate sensitivity gap shown in the following table may not reflect positions in subsequent periods.</w:t>
      </w:r>
    </w:p>
    <w:p>
      <w:pPr>
        <w:spacing w:after="0" w:line="102" w:lineRule="exact"/>
        <w:rPr>
          <w:sz w:val="20"/>
          <w:szCs w:val="20"/>
          <w:color w:val="auto"/>
        </w:rPr>
      </w:pPr>
    </w:p>
    <w:tbl>
      <w:tblPr>
        <w:tblLayout w:type="fixed"/>
        <w:tblInd w:w="0" w:type="dxa"/>
        <w:tblCellMar>
          <w:top w:w="0" w:type="dxa"/>
          <w:left w:w="0" w:type="dxa"/>
          <w:bottom w:w="0" w:type="dxa"/>
          <w:right w:w="0" w:type="dxa"/>
        </w:tblCellMar>
      </w:tblPr>
      <w:tr>
        <w:trPr>
          <w:trHeight w:val="154"/>
        </w:trPr>
        <w:tc>
          <w:tcPr>
            <w:tcW w:w="20" w:type="dxa"/>
            <w:vAlign w:val="bottom"/>
          </w:tcPr>
          <w:p>
            <w:pPr>
              <w:spacing w:after="0"/>
              <w:rPr>
                <w:sz w:val="13"/>
                <w:szCs w:val="13"/>
                <w:color w:val="auto"/>
              </w:rPr>
            </w:pPr>
          </w:p>
        </w:tc>
        <w:tc>
          <w:tcPr>
            <w:tcW w:w="3540" w:type="dxa"/>
            <w:vAlign w:val="bottom"/>
          </w:tcPr>
          <w:p>
            <w:pPr>
              <w:spacing w:after="0"/>
              <w:rPr>
                <w:sz w:val="13"/>
                <w:szCs w:val="13"/>
                <w:color w:val="auto"/>
              </w:rPr>
            </w:pPr>
          </w:p>
        </w:tc>
        <w:tc>
          <w:tcPr>
            <w:tcW w:w="62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40" w:type="dxa"/>
            <w:vAlign w:val="bottom"/>
            <w:gridSpan w:val="2"/>
          </w:tcPr>
          <w:p>
            <w:pPr>
              <w:jc w:val="center"/>
              <w:ind w:right="163"/>
              <w:spacing w:after="0"/>
              <w:rPr>
                <w:sz w:val="20"/>
                <w:szCs w:val="20"/>
                <w:color w:val="auto"/>
              </w:rPr>
            </w:pPr>
            <w:r>
              <w:rPr>
                <w:rFonts w:ascii="Arial" w:cs="Arial" w:eastAsia="Arial" w:hAnsi="Arial"/>
                <w:sz w:val="13"/>
                <w:szCs w:val="13"/>
                <w:b w:val="1"/>
                <w:bCs w:val="1"/>
                <w:color w:val="auto"/>
                <w:w w:val="91"/>
              </w:rPr>
              <w:t>Non-Interest</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540" w:type="dxa"/>
            <w:vAlign w:val="bottom"/>
          </w:tcPr>
          <w:p>
            <w:pPr>
              <w:spacing w:after="0"/>
              <w:rPr>
                <w:sz w:val="13"/>
                <w:szCs w:val="13"/>
                <w:color w:val="auto"/>
              </w:rPr>
            </w:pPr>
          </w:p>
        </w:tc>
        <w:tc>
          <w:tcPr>
            <w:tcW w:w="62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40" w:type="dxa"/>
            <w:vAlign w:val="bottom"/>
            <w:gridSpan w:val="2"/>
          </w:tcPr>
          <w:p>
            <w:pPr>
              <w:jc w:val="center"/>
              <w:ind w:right="183"/>
              <w:spacing w:after="0"/>
              <w:rPr>
                <w:sz w:val="20"/>
                <w:szCs w:val="20"/>
                <w:color w:val="auto"/>
              </w:rPr>
            </w:pPr>
            <w:r>
              <w:rPr>
                <w:rFonts w:ascii="Arial" w:cs="Arial" w:eastAsia="Arial" w:hAnsi="Arial"/>
                <w:sz w:val="13"/>
                <w:szCs w:val="13"/>
                <w:b w:val="1"/>
                <w:bCs w:val="1"/>
                <w:color w:val="auto"/>
                <w:w w:val="87"/>
              </w:rPr>
              <w:t>Sensitive /</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540" w:type="dxa"/>
            <w:vAlign w:val="bottom"/>
          </w:tcPr>
          <w:p>
            <w:pPr>
              <w:spacing w:after="0"/>
              <w:rPr>
                <w:sz w:val="13"/>
                <w:szCs w:val="13"/>
                <w:color w:val="auto"/>
              </w:rPr>
            </w:pPr>
          </w:p>
        </w:tc>
        <w:tc>
          <w:tcPr>
            <w:tcW w:w="62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740" w:type="dxa"/>
            <w:vAlign w:val="bottom"/>
          </w:tcPr>
          <w:p>
            <w:pPr>
              <w:jc w:val="right"/>
              <w:ind w:right="216"/>
              <w:spacing w:after="0"/>
              <w:rPr>
                <w:sz w:val="20"/>
                <w:szCs w:val="20"/>
                <w:color w:val="auto"/>
              </w:rPr>
            </w:pPr>
            <w:r>
              <w:rPr>
                <w:rFonts w:ascii="Arial" w:cs="Arial" w:eastAsia="Arial" w:hAnsi="Arial"/>
                <w:sz w:val="13"/>
                <w:szCs w:val="13"/>
                <w:b w:val="1"/>
                <w:bCs w:val="1"/>
                <w:color w:val="auto"/>
              </w:rPr>
              <w:t>91-180</w:t>
            </w:r>
          </w:p>
        </w:tc>
        <w:tc>
          <w:tcPr>
            <w:tcW w:w="18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700" w:type="dxa"/>
            <w:vAlign w:val="bottom"/>
          </w:tcPr>
          <w:p>
            <w:pPr>
              <w:jc w:val="right"/>
              <w:ind w:right="176"/>
              <w:spacing w:after="0"/>
              <w:rPr>
                <w:sz w:val="20"/>
                <w:szCs w:val="20"/>
                <w:color w:val="auto"/>
              </w:rPr>
            </w:pPr>
            <w:r>
              <w:rPr>
                <w:rFonts w:ascii="Arial" w:cs="Arial" w:eastAsia="Arial" w:hAnsi="Arial"/>
                <w:sz w:val="13"/>
                <w:szCs w:val="13"/>
                <w:b w:val="1"/>
                <w:bCs w:val="1"/>
                <w:color w:val="auto"/>
                <w:w w:val="92"/>
              </w:rPr>
              <w:t>181-365</w:t>
            </w:r>
          </w:p>
        </w:tc>
        <w:tc>
          <w:tcPr>
            <w:tcW w:w="16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960" w:type="dxa"/>
            <w:vAlign w:val="bottom"/>
            <w:gridSpan w:val="2"/>
          </w:tcPr>
          <w:p>
            <w:pPr>
              <w:jc w:val="right"/>
              <w:ind w:right="340"/>
              <w:spacing w:after="0"/>
              <w:rPr>
                <w:sz w:val="20"/>
                <w:szCs w:val="20"/>
                <w:color w:val="auto"/>
              </w:rPr>
            </w:pPr>
            <w:r>
              <w:rPr>
                <w:rFonts w:ascii="Arial" w:cs="Arial" w:eastAsia="Arial" w:hAnsi="Arial"/>
                <w:sz w:val="13"/>
                <w:szCs w:val="13"/>
                <w:b w:val="1"/>
                <w:bCs w:val="1"/>
                <w:color w:val="auto"/>
                <w:w w:val="96"/>
              </w:rPr>
              <w:t>More than</w:t>
            </w:r>
          </w:p>
        </w:tc>
        <w:tc>
          <w:tcPr>
            <w:tcW w:w="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40" w:type="dxa"/>
            <w:vAlign w:val="bottom"/>
            <w:gridSpan w:val="2"/>
          </w:tcPr>
          <w:p>
            <w:pPr>
              <w:jc w:val="center"/>
              <w:ind w:right="163"/>
              <w:spacing w:after="0"/>
              <w:rPr>
                <w:sz w:val="20"/>
                <w:szCs w:val="20"/>
                <w:color w:val="auto"/>
              </w:rPr>
            </w:pPr>
            <w:r>
              <w:rPr>
                <w:rFonts w:ascii="Arial" w:cs="Arial" w:eastAsia="Arial" w:hAnsi="Arial"/>
                <w:sz w:val="13"/>
                <w:szCs w:val="13"/>
                <w:b w:val="1"/>
                <w:bCs w:val="1"/>
                <w:color w:val="auto"/>
                <w:w w:val="90"/>
              </w:rPr>
              <w:t>without</w:t>
            </w: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3540" w:type="dxa"/>
            <w:vAlign w:val="bottom"/>
          </w:tcPr>
          <w:p>
            <w:pPr>
              <w:spacing w:after="0"/>
              <w:rPr>
                <w:sz w:val="14"/>
                <w:szCs w:val="14"/>
                <w:color w:val="auto"/>
              </w:rPr>
            </w:pPr>
          </w:p>
        </w:tc>
        <w:tc>
          <w:tcPr>
            <w:tcW w:w="620" w:type="dxa"/>
            <w:vAlign w:val="bottom"/>
          </w:tcPr>
          <w:p>
            <w:pPr>
              <w:jc w:val="right"/>
              <w:spacing w:after="0"/>
              <w:rPr>
                <w:sz w:val="20"/>
                <w:szCs w:val="20"/>
                <w:color w:val="auto"/>
              </w:rPr>
            </w:pPr>
            <w:r>
              <w:rPr>
                <w:rFonts w:ascii="Arial" w:cs="Arial" w:eastAsia="Arial" w:hAnsi="Arial"/>
                <w:sz w:val="13"/>
                <w:szCs w:val="13"/>
                <w:b w:val="1"/>
                <w:bCs w:val="1"/>
                <w:color w:val="auto"/>
              </w:rPr>
              <w:t>Total</w:t>
            </w:r>
          </w:p>
        </w:tc>
        <w:tc>
          <w:tcPr>
            <w:tcW w:w="30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40" w:type="dxa"/>
            <w:vAlign w:val="bottom"/>
            <w:gridSpan w:val="2"/>
          </w:tcPr>
          <w:p>
            <w:pPr>
              <w:jc w:val="right"/>
              <w:ind w:right="440"/>
              <w:spacing w:after="0"/>
              <w:rPr>
                <w:sz w:val="20"/>
                <w:szCs w:val="20"/>
                <w:color w:val="auto"/>
              </w:rPr>
            </w:pPr>
            <w:r>
              <w:rPr>
                <w:rFonts w:ascii="Arial" w:cs="Arial" w:eastAsia="Arial" w:hAnsi="Arial"/>
                <w:sz w:val="13"/>
                <w:szCs w:val="13"/>
                <w:b w:val="1"/>
                <w:bCs w:val="1"/>
                <w:color w:val="auto"/>
                <w:w w:val="95"/>
              </w:rPr>
              <w:t>0-30 Days</w:t>
            </w:r>
          </w:p>
        </w:tc>
        <w:tc>
          <w:tcPr>
            <w:tcW w:w="120" w:type="dxa"/>
            <w:vAlign w:val="bottom"/>
          </w:tcPr>
          <w:p>
            <w:pPr>
              <w:spacing w:after="0"/>
              <w:rPr>
                <w:sz w:val="14"/>
                <w:szCs w:val="14"/>
                <w:color w:val="auto"/>
              </w:rPr>
            </w:pPr>
          </w:p>
        </w:tc>
        <w:tc>
          <w:tcPr>
            <w:tcW w:w="1040" w:type="dxa"/>
            <w:vAlign w:val="bottom"/>
            <w:gridSpan w:val="2"/>
          </w:tcPr>
          <w:p>
            <w:pPr>
              <w:jc w:val="right"/>
              <w:ind w:right="400"/>
              <w:spacing w:after="0"/>
              <w:rPr>
                <w:sz w:val="20"/>
                <w:szCs w:val="20"/>
                <w:color w:val="auto"/>
              </w:rPr>
            </w:pPr>
            <w:r>
              <w:rPr>
                <w:rFonts w:ascii="Arial" w:cs="Arial" w:eastAsia="Arial" w:hAnsi="Arial"/>
                <w:sz w:val="13"/>
                <w:szCs w:val="13"/>
                <w:b w:val="1"/>
                <w:bCs w:val="1"/>
                <w:color w:val="auto"/>
                <w:w w:val="91"/>
              </w:rPr>
              <w:t>31-90 Days</w:t>
            </w:r>
          </w:p>
        </w:tc>
        <w:tc>
          <w:tcPr>
            <w:tcW w:w="180" w:type="dxa"/>
            <w:vAlign w:val="bottom"/>
          </w:tcPr>
          <w:p>
            <w:pPr>
              <w:spacing w:after="0"/>
              <w:rPr>
                <w:sz w:val="14"/>
                <w:szCs w:val="14"/>
                <w:color w:val="auto"/>
              </w:rPr>
            </w:pPr>
          </w:p>
        </w:tc>
        <w:tc>
          <w:tcPr>
            <w:tcW w:w="920" w:type="dxa"/>
            <w:vAlign w:val="bottom"/>
            <w:gridSpan w:val="2"/>
          </w:tcPr>
          <w:p>
            <w:pPr>
              <w:jc w:val="right"/>
              <w:ind w:right="500"/>
              <w:spacing w:after="0"/>
              <w:rPr>
                <w:sz w:val="20"/>
                <w:szCs w:val="20"/>
                <w:color w:val="auto"/>
              </w:rPr>
            </w:pPr>
            <w:r>
              <w:rPr>
                <w:rFonts w:ascii="Arial" w:cs="Arial" w:eastAsia="Arial" w:hAnsi="Arial"/>
                <w:sz w:val="13"/>
                <w:szCs w:val="13"/>
                <w:b w:val="1"/>
                <w:bCs w:val="1"/>
                <w:color w:val="auto"/>
              </w:rPr>
              <w:t>Days</w:t>
            </w:r>
          </w:p>
        </w:tc>
        <w:tc>
          <w:tcPr>
            <w:tcW w:w="6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860" w:type="dxa"/>
            <w:vAlign w:val="bottom"/>
            <w:gridSpan w:val="2"/>
          </w:tcPr>
          <w:p>
            <w:pPr>
              <w:jc w:val="right"/>
              <w:ind w:right="480"/>
              <w:spacing w:after="0"/>
              <w:rPr>
                <w:sz w:val="20"/>
                <w:szCs w:val="20"/>
                <w:color w:val="auto"/>
              </w:rPr>
            </w:pPr>
            <w:r>
              <w:rPr>
                <w:rFonts w:ascii="Arial" w:cs="Arial" w:eastAsia="Arial" w:hAnsi="Arial"/>
                <w:sz w:val="13"/>
                <w:szCs w:val="13"/>
                <w:b w:val="1"/>
                <w:bCs w:val="1"/>
                <w:color w:val="auto"/>
              </w:rPr>
              <w:t>Days</w:t>
            </w:r>
          </w:p>
        </w:tc>
        <w:tc>
          <w:tcPr>
            <w:tcW w:w="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960" w:type="dxa"/>
            <w:vAlign w:val="bottom"/>
            <w:gridSpan w:val="2"/>
          </w:tcPr>
          <w:p>
            <w:pPr>
              <w:jc w:val="right"/>
              <w:ind w:right="380"/>
              <w:spacing w:after="0"/>
              <w:rPr>
                <w:sz w:val="20"/>
                <w:szCs w:val="20"/>
                <w:color w:val="auto"/>
              </w:rPr>
            </w:pPr>
            <w:r>
              <w:rPr>
                <w:rFonts w:ascii="Arial" w:cs="Arial" w:eastAsia="Arial" w:hAnsi="Arial"/>
                <w:sz w:val="13"/>
                <w:szCs w:val="13"/>
                <w:b w:val="1"/>
                <w:bCs w:val="1"/>
                <w:color w:val="auto"/>
                <w:w w:val="99"/>
              </w:rPr>
              <w:t>365 Days</w:t>
            </w: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40" w:type="dxa"/>
            <w:vAlign w:val="bottom"/>
            <w:gridSpan w:val="2"/>
          </w:tcPr>
          <w:p>
            <w:pPr>
              <w:jc w:val="center"/>
              <w:ind w:right="183"/>
              <w:spacing w:after="0"/>
              <w:rPr>
                <w:sz w:val="20"/>
                <w:szCs w:val="20"/>
                <w:color w:val="auto"/>
              </w:rPr>
            </w:pPr>
            <w:r>
              <w:rPr>
                <w:rFonts w:ascii="Arial" w:cs="Arial" w:eastAsia="Arial" w:hAnsi="Arial"/>
                <w:sz w:val="13"/>
                <w:szCs w:val="13"/>
                <w:b w:val="1"/>
                <w:bCs w:val="1"/>
                <w:color w:val="auto"/>
                <w:w w:val="93"/>
              </w:rPr>
              <w:t>maturity</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3540" w:type="dxa"/>
            <w:vAlign w:val="bottom"/>
          </w:tcPr>
          <w:p>
            <w:pPr>
              <w:spacing w:after="0"/>
              <w:rPr>
                <w:sz w:val="12"/>
                <w:szCs w:val="12"/>
                <w:color w:val="auto"/>
              </w:rPr>
            </w:pPr>
          </w:p>
        </w:tc>
        <w:tc>
          <w:tcPr>
            <w:tcW w:w="620" w:type="dxa"/>
            <w:vAlign w:val="bottom"/>
            <w:tcBorders>
              <w:top w:val="single" w:sz="8" w:color="auto"/>
            </w:tcBorders>
          </w:tcPr>
          <w:p>
            <w:pPr>
              <w:spacing w:after="0"/>
              <w:rPr>
                <w:sz w:val="12"/>
                <w:szCs w:val="12"/>
                <w:color w:val="auto"/>
              </w:rPr>
            </w:pPr>
          </w:p>
        </w:tc>
        <w:tc>
          <w:tcPr>
            <w:tcW w:w="300" w:type="dxa"/>
            <w:vAlign w:val="bottom"/>
            <w:tcBorders>
              <w:top w:val="single" w:sz="8" w:color="auto"/>
            </w:tcBorders>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800" w:type="dxa"/>
            <w:vAlign w:val="bottom"/>
            <w:tcBorders>
              <w:top w:val="single" w:sz="8" w:color="auto"/>
            </w:tcBorders>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2400" w:type="dxa"/>
            <w:vAlign w:val="bottom"/>
            <w:tcBorders>
              <w:top w:val="single" w:sz="8" w:color="auto"/>
            </w:tcBorders>
            <w:gridSpan w:val="7"/>
          </w:tcPr>
          <w:p>
            <w:pPr>
              <w:jc w:val="right"/>
              <w:ind w:right="20"/>
              <w:spacing w:after="0" w:line="144" w:lineRule="exact"/>
              <w:rPr>
                <w:sz w:val="20"/>
                <w:szCs w:val="20"/>
                <w:color w:val="auto"/>
              </w:rPr>
            </w:pPr>
            <w:r>
              <w:rPr>
                <w:rFonts w:ascii="Arial" w:cs="Arial" w:eastAsia="Arial" w:hAnsi="Arial"/>
                <w:sz w:val="13"/>
                <w:szCs w:val="13"/>
                <w:b w:val="1"/>
                <w:bCs w:val="1"/>
                <w:color w:val="auto"/>
              </w:rPr>
              <w:t>(in $ millions, except percentages)</w:t>
            </w:r>
          </w:p>
        </w:tc>
        <w:tc>
          <w:tcPr>
            <w:tcW w:w="700" w:type="dxa"/>
            <w:vAlign w:val="bottom"/>
            <w:tcBorders>
              <w:top w:val="single" w:sz="8" w:color="auto"/>
            </w:tcBorders>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60" w:type="dxa"/>
            <w:vAlign w:val="bottom"/>
            <w:tcBorders>
              <w:top w:val="single" w:sz="8" w:color="auto"/>
            </w:tcBorders>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0" w:type="dxa"/>
            <w:vAlign w:val="bottom"/>
            <w:tcBorders>
              <w:top w:val="single" w:sz="8" w:color="auto"/>
            </w:tcBorders>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82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54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Interest-earning assets</w:t>
            </w:r>
          </w:p>
        </w:tc>
        <w:tc>
          <w:tcPr>
            <w:tcW w:w="62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7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70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540" w:type="dxa"/>
            <w:vAlign w:val="bottom"/>
          </w:tcPr>
          <w:p>
            <w:pPr>
              <w:spacing w:after="0"/>
              <w:rPr>
                <w:sz w:val="20"/>
                <w:szCs w:val="20"/>
                <w:color w:val="auto"/>
              </w:rPr>
            </w:pPr>
            <w:r>
              <w:rPr>
                <w:rFonts w:ascii="Arial" w:cs="Arial" w:eastAsia="Arial" w:hAnsi="Arial"/>
                <w:sz w:val="13"/>
                <w:szCs w:val="13"/>
                <w:color w:val="auto"/>
              </w:rPr>
              <w:t>Cash and cash equivalents</w:t>
            </w:r>
          </w:p>
        </w:tc>
        <w:tc>
          <w:tcPr>
            <w:tcW w:w="620" w:type="dxa"/>
            <w:vAlign w:val="bottom"/>
          </w:tcPr>
          <w:p>
            <w:pPr>
              <w:jc w:val="right"/>
              <w:ind w:right="504"/>
              <w:spacing w:after="0"/>
              <w:rPr>
                <w:sz w:val="20"/>
                <w:szCs w:val="20"/>
                <w:color w:val="auto"/>
              </w:rPr>
            </w:pPr>
            <w:r>
              <w:rPr>
                <w:rFonts w:ascii="Arial" w:cs="Arial" w:eastAsia="Arial" w:hAnsi="Arial"/>
                <w:sz w:val="10"/>
                <w:szCs w:val="10"/>
                <w:color w:val="auto"/>
                <w:w w:val="71"/>
              </w:rPr>
              <w:t>$</w:t>
            </w:r>
          </w:p>
        </w:tc>
        <w:tc>
          <w:tcPr>
            <w:tcW w:w="300" w:type="dxa"/>
            <w:vAlign w:val="bottom"/>
          </w:tcPr>
          <w:p>
            <w:pPr>
              <w:jc w:val="right"/>
              <w:spacing w:after="0"/>
              <w:rPr>
                <w:sz w:val="20"/>
                <w:szCs w:val="20"/>
                <w:color w:val="auto"/>
              </w:rPr>
            </w:pPr>
            <w:r>
              <w:rPr>
                <w:rFonts w:ascii="Arial" w:cs="Arial" w:eastAsia="Arial" w:hAnsi="Arial"/>
                <w:sz w:val="13"/>
                <w:szCs w:val="13"/>
                <w:color w:val="auto"/>
                <w:w w:val="85"/>
              </w:rPr>
              <w:t>1,746</w:t>
            </w:r>
          </w:p>
        </w:tc>
        <w:tc>
          <w:tcPr>
            <w:tcW w:w="140" w:type="dxa"/>
            <w:vAlign w:val="bottom"/>
          </w:tcPr>
          <w:p>
            <w:pPr>
              <w:spacing w:after="0"/>
              <w:rPr>
                <w:sz w:val="13"/>
                <w:szCs w:val="13"/>
                <w:color w:val="auto"/>
              </w:rPr>
            </w:pPr>
          </w:p>
        </w:tc>
        <w:tc>
          <w:tcPr>
            <w:tcW w:w="220" w:type="dxa"/>
            <w:vAlign w:val="bottom"/>
            <w:gridSpan w:val="2"/>
          </w:tcPr>
          <w:p>
            <w:pPr>
              <w:jc w:val="right"/>
              <w:ind w:right="60"/>
              <w:spacing w:after="0"/>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1,746</w:t>
            </w:r>
          </w:p>
        </w:tc>
        <w:tc>
          <w:tcPr>
            <w:tcW w:w="120" w:type="dxa"/>
            <w:vAlign w:val="bottom"/>
          </w:tcPr>
          <w:p>
            <w:pPr>
              <w:jc w:val="right"/>
              <w:ind w:right="12"/>
              <w:spacing w:after="0"/>
              <w:rPr>
                <w:sz w:val="20"/>
                <w:szCs w:val="20"/>
                <w:color w:val="auto"/>
              </w:rPr>
            </w:pPr>
            <w:r>
              <w:rPr>
                <w:rFonts w:ascii="Arial" w:cs="Arial" w:eastAsia="Arial" w:hAnsi="Arial"/>
                <w:sz w:val="10"/>
                <w:szCs w:val="10"/>
                <w:color w:val="auto"/>
                <w:w w:val="71"/>
              </w:rPr>
              <w:t>$</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0</w:t>
            </w:r>
          </w:p>
        </w:tc>
        <w:tc>
          <w:tcPr>
            <w:tcW w:w="180" w:type="dxa"/>
            <w:vAlign w:val="bottom"/>
          </w:tcPr>
          <w:p>
            <w:pPr>
              <w:jc w:val="right"/>
              <w:ind w:right="72"/>
              <w:spacing w:after="0"/>
              <w:rPr>
                <w:sz w:val="20"/>
                <w:szCs w:val="20"/>
                <w:color w:val="auto"/>
              </w:rPr>
            </w:pPr>
            <w:r>
              <w:rPr>
                <w:rFonts w:ascii="Arial" w:cs="Arial" w:eastAsia="Arial" w:hAnsi="Arial"/>
                <w:sz w:val="10"/>
                <w:szCs w:val="10"/>
                <w:color w:val="auto"/>
                <w:w w:val="71"/>
              </w:rPr>
              <w:t>$</w:t>
            </w:r>
          </w:p>
        </w:tc>
        <w:tc>
          <w:tcPr>
            <w:tcW w:w="920" w:type="dxa"/>
            <w:vAlign w:val="bottom"/>
            <w:gridSpan w:val="2"/>
          </w:tcPr>
          <w:p>
            <w:pPr>
              <w:jc w:val="right"/>
              <w:ind w:right="180"/>
              <w:spacing w:after="0"/>
              <w:rPr>
                <w:sz w:val="20"/>
                <w:szCs w:val="20"/>
                <w:color w:val="auto"/>
              </w:rPr>
            </w:pPr>
            <w:r>
              <w:rPr>
                <w:rFonts w:ascii="Arial" w:cs="Arial" w:eastAsia="Arial" w:hAnsi="Arial"/>
                <w:sz w:val="13"/>
                <w:szCs w:val="13"/>
                <w:color w:val="auto"/>
              </w:rPr>
              <w:t>0</w:t>
            </w:r>
          </w:p>
        </w:tc>
        <w:tc>
          <w:tcPr>
            <w:tcW w:w="260" w:type="dxa"/>
            <w:vAlign w:val="bottom"/>
            <w:gridSpan w:val="2"/>
          </w:tcPr>
          <w:p>
            <w:pPr>
              <w:jc w:val="right"/>
              <w:ind w:right="140"/>
              <w:spacing w:after="0"/>
              <w:rPr>
                <w:sz w:val="20"/>
                <w:szCs w:val="20"/>
                <w:color w:val="auto"/>
              </w:rPr>
            </w:pPr>
            <w:r>
              <w:rPr>
                <w:rFonts w:ascii="Arial" w:cs="Arial" w:eastAsia="Arial" w:hAnsi="Arial"/>
                <w:sz w:val="13"/>
                <w:szCs w:val="13"/>
                <w:color w:val="auto"/>
              </w:rPr>
              <w:t>$</w:t>
            </w:r>
          </w:p>
        </w:tc>
        <w:tc>
          <w:tcPr>
            <w:tcW w:w="860" w:type="dxa"/>
            <w:vAlign w:val="bottom"/>
            <w:gridSpan w:val="2"/>
          </w:tcPr>
          <w:p>
            <w:pPr>
              <w:jc w:val="right"/>
              <w:ind w:right="160"/>
              <w:spacing w:after="0"/>
              <w:rPr>
                <w:sz w:val="20"/>
                <w:szCs w:val="20"/>
                <w:color w:val="auto"/>
              </w:rPr>
            </w:pPr>
            <w:r>
              <w:rPr>
                <w:rFonts w:ascii="Arial" w:cs="Arial" w:eastAsia="Arial" w:hAnsi="Arial"/>
                <w:sz w:val="13"/>
                <w:szCs w:val="13"/>
                <w:color w:val="auto"/>
              </w:rPr>
              <w:t>0</w:t>
            </w:r>
          </w:p>
        </w:tc>
        <w:tc>
          <w:tcPr>
            <w:tcW w:w="180" w:type="dxa"/>
            <w:vAlign w:val="bottom"/>
            <w:gridSpan w:val="2"/>
          </w:tcPr>
          <w:p>
            <w:pPr>
              <w:jc w:val="right"/>
              <w:ind w:right="60"/>
              <w:spacing w:after="0"/>
              <w:rPr>
                <w:sz w:val="20"/>
                <w:szCs w:val="20"/>
                <w:color w:val="auto"/>
              </w:rPr>
            </w:pPr>
            <w:r>
              <w:rPr>
                <w:rFonts w:ascii="Arial" w:cs="Arial" w:eastAsia="Arial" w:hAnsi="Arial"/>
                <w:sz w:val="13"/>
                <w:szCs w:val="13"/>
                <w:color w:val="auto"/>
              </w:rPr>
              <w:t>$</w:t>
            </w:r>
          </w:p>
        </w:tc>
        <w:tc>
          <w:tcPr>
            <w:tcW w:w="960" w:type="dxa"/>
            <w:vAlign w:val="bottom"/>
            <w:gridSpan w:val="2"/>
          </w:tcPr>
          <w:p>
            <w:pPr>
              <w:jc w:val="right"/>
              <w:ind w:right="180"/>
              <w:spacing w:after="0"/>
              <w:rPr>
                <w:sz w:val="20"/>
                <w:szCs w:val="20"/>
                <w:color w:val="auto"/>
              </w:rPr>
            </w:pPr>
            <w:r>
              <w:rPr>
                <w:rFonts w:ascii="Arial" w:cs="Arial" w:eastAsia="Arial" w:hAnsi="Arial"/>
                <w:sz w:val="13"/>
                <w:szCs w:val="13"/>
                <w:color w:val="auto"/>
              </w:rPr>
              <w:t>0</w:t>
            </w:r>
          </w:p>
        </w:tc>
        <w:tc>
          <w:tcPr>
            <w:tcW w:w="140" w:type="dxa"/>
            <w:vAlign w:val="bottom"/>
            <w:gridSpan w:val="2"/>
          </w:tcPr>
          <w:p>
            <w:pPr>
              <w:jc w:val="right"/>
              <w:ind w:right="20"/>
              <w:spacing w:after="0"/>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83"/>
              <w:spacing w:after="0"/>
              <w:rPr>
                <w:sz w:val="20"/>
                <w:szCs w:val="20"/>
                <w:color w:val="auto"/>
              </w:rPr>
            </w:pPr>
            <w:r>
              <w:rPr>
                <w:rFonts w:ascii="Arial" w:cs="Arial" w:eastAsia="Arial" w:hAnsi="Arial"/>
                <w:sz w:val="13"/>
                <w:szCs w:val="13"/>
                <w:color w:val="auto"/>
              </w:rPr>
              <w:t>0</w:t>
            </w:r>
          </w:p>
        </w:tc>
        <w:tc>
          <w:tcPr>
            <w:tcW w:w="0" w:type="dxa"/>
            <w:vAlign w:val="bottom"/>
          </w:tcPr>
          <w:p>
            <w:pPr>
              <w:spacing w:after="0"/>
              <w:rPr>
                <w:sz w:val="1"/>
                <w:szCs w:val="1"/>
                <w:color w:val="auto"/>
              </w:rPr>
            </w:pPr>
          </w:p>
        </w:tc>
      </w:tr>
      <w:tr>
        <w:trPr>
          <w:trHeight w:val="183"/>
        </w:trPr>
        <w:tc>
          <w:tcPr>
            <w:tcW w:w="20" w:type="dxa"/>
            <w:vAlign w:val="bottom"/>
          </w:tcPr>
          <w:p>
            <w:pPr>
              <w:spacing w:after="0"/>
              <w:rPr>
                <w:sz w:val="15"/>
                <w:szCs w:val="15"/>
                <w:color w:val="auto"/>
              </w:rPr>
            </w:pPr>
          </w:p>
        </w:tc>
        <w:tc>
          <w:tcPr>
            <w:tcW w:w="3540" w:type="dxa"/>
            <w:vAlign w:val="bottom"/>
            <w:shd w:val="clear" w:color="auto" w:fill="CCEEFF"/>
          </w:tcPr>
          <w:p>
            <w:pPr>
              <w:spacing w:after="0" w:line="183" w:lineRule="exact"/>
              <w:rPr>
                <w:sz w:val="20"/>
                <w:szCs w:val="20"/>
                <w:color w:val="auto"/>
              </w:rPr>
            </w:pPr>
            <w:r>
              <w:rPr>
                <w:rFonts w:ascii="Arial" w:cs="Arial" w:eastAsia="Arial" w:hAnsi="Arial"/>
                <w:sz w:val="13"/>
                <w:szCs w:val="13"/>
                <w:color w:val="auto"/>
              </w:rPr>
              <w:t xml:space="preserve">Securities and other financial assets </w:t>
            </w:r>
            <w:r>
              <w:rPr>
                <w:rFonts w:ascii="Arial" w:cs="Arial" w:eastAsia="Arial" w:hAnsi="Arial"/>
                <w:sz w:val="21"/>
                <w:szCs w:val="21"/>
                <w:color w:val="auto"/>
                <w:vertAlign w:val="superscript"/>
              </w:rPr>
              <w:t>(1)</w:t>
            </w:r>
          </w:p>
        </w:tc>
        <w:tc>
          <w:tcPr>
            <w:tcW w:w="620" w:type="dxa"/>
            <w:vAlign w:val="bottom"/>
            <w:shd w:val="clear" w:color="auto" w:fill="CCEEFF"/>
          </w:tcPr>
          <w:p>
            <w:pPr>
              <w:spacing w:after="0"/>
              <w:rPr>
                <w:sz w:val="15"/>
                <w:szCs w:val="15"/>
                <w:color w:val="auto"/>
              </w:rPr>
            </w:pPr>
          </w:p>
        </w:tc>
        <w:tc>
          <w:tcPr>
            <w:tcW w:w="44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107</w:t>
            </w:r>
          </w:p>
        </w:tc>
        <w:tc>
          <w:tcPr>
            <w:tcW w:w="10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0</w:t>
            </w:r>
          </w:p>
        </w:tc>
        <w:tc>
          <w:tcPr>
            <w:tcW w:w="120" w:type="dxa"/>
            <w:vAlign w:val="bottom"/>
            <w:shd w:val="clear" w:color="auto" w:fill="CCEEFF"/>
          </w:tcPr>
          <w:p>
            <w:pPr>
              <w:spacing w:after="0"/>
              <w:rPr>
                <w:sz w:val="15"/>
                <w:szCs w:val="15"/>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22</w:t>
            </w:r>
          </w:p>
        </w:tc>
        <w:tc>
          <w:tcPr>
            <w:tcW w:w="24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9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6</w:t>
            </w:r>
          </w:p>
        </w:tc>
        <w:tc>
          <w:tcPr>
            <w:tcW w:w="6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16</w:t>
            </w:r>
          </w:p>
        </w:tc>
        <w:tc>
          <w:tcPr>
            <w:tcW w:w="160" w:type="dxa"/>
            <w:vAlign w:val="bottom"/>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63</w:t>
            </w:r>
          </w:p>
        </w:tc>
        <w:tc>
          <w:tcPr>
            <w:tcW w:w="180" w:type="dxa"/>
            <w:vAlign w:val="bottom"/>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940" w:type="dxa"/>
            <w:vAlign w:val="bottom"/>
            <w:gridSpan w:val="2"/>
            <w:shd w:val="clear" w:color="auto" w:fill="CCEEFF"/>
          </w:tcPr>
          <w:p>
            <w:pPr>
              <w:jc w:val="right"/>
              <w:ind w:right="83"/>
              <w:spacing w:after="0"/>
              <w:rPr>
                <w:sz w:val="20"/>
                <w:szCs w:val="20"/>
                <w:color w:val="auto"/>
              </w:rPr>
            </w:pPr>
            <w:r>
              <w:rPr>
                <w:rFonts w:ascii="Arial" w:cs="Arial" w:eastAsia="Arial" w:hAnsi="Arial"/>
                <w:sz w:val="13"/>
                <w:szCs w:val="13"/>
                <w:color w:val="auto"/>
              </w:rPr>
              <w:t>0</w:t>
            </w:r>
          </w:p>
        </w:tc>
        <w:tc>
          <w:tcPr>
            <w:tcW w:w="0" w:type="dxa"/>
            <w:vAlign w:val="bottom"/>
          </w:tcPr>
          <w:p>
            <w:pPr>
              <w:spacing w:after="0"/>
              <w:rPr>
                <w:sz w:val="1"/>
                <w:szCs w:val="1"/>
                <w:color w:val="auto"/>
              </w:rPr>
            </w:pPr>
          </w:p>
        </w:tc>
      </w:tr>
      <w:tr>
        <w:trPr>
          <w:trHeight w:val="193"/>
        </w:trPr>
        <w:tc>
          <w:tcPr>
            <w:tcW w:w="20" w:type="dxa"/>
            <w:vAlign w:val="bottom"/>
          </w:tcPr>
          <w:p>
            <w:pPr>
              <w:spacing w:after="0"/>
              <w:rPr>
                <w:sz w:val="16"/>
                <w:szCs w:val="16"/>
                <w:color w:val="auto"/>
              </w:rPr>
            </w:pPr>
          </w:p>
        </w:tc>
        <w:tc>
          <w:tcPr>
            <w:tcW w:w="3540" w:type="dxa"/>
            <w:vAlign w:val="bottom"/>
          </w:tcPr>
          <w:p>
            <w:pPr>
              <w:spacing w:after="0" w:line="193" w:lineRule="exact"/>
              <w:rPr>
                <w:sz w:val="20"/>
                <w:szCs w:val="20"/>
                <w:color w:val="auto"/>
              </w:rPr>
            </w:pPr>
            <w:r>
              <w:rPr>
                <w:rFonts w:ascii="Arial" w:cs="Arial" w:eastAsia="Arial" w:hAnsi="Arial"/>
                <w:sz w:val="13"/>
                <w:szCs w:val="13"/>
                <w:color w:val="auto"/>
              </w:rPr>
              <w:t>Loans</w:t>
            </w:r>
            <w:r>
              <w:rPr>
                <w:rFonts w:ascii="Arial" w:cs="Arial" w:eastAsia="Arial" w:hAnsi="Arial"/>
                <w:sz w:val="21"/>
                <w:szCs w:val="21"/>
                <w:color w:val="auto"/>
                <w:vertAlign w:val="superscript"/>
              </w:rPr>
              <w:t>(1)</w:t>
            </w:r>
          </w:p>
        </w:tc>
        <w:tc>
          <w:tcPr>
            <w:tcW w:w="620" w:type="dxa"/>
            <w:vAlign w:val="bottom"/>
          </w:tcPr>
          <w:p>
            <w:pPr>
              <w:spacing w:after="0"/>
              <w:rPr>
                <w:sz w:val="16"/>
                <w:szCs w:val="16"/>
                <w:color w:val="auto"/>
              </w:rPr>
            </w:pPr>
          </w:p>
        </w:tc>
        <w:tc>
          <w:tcPr>
            <w:tcW w:w="300" w:type="dxa"/>
            <w:vAlign w:val="bottom"/>
          </w:tcPr>
          <w:p>
            <w:pPr>
              <w:jc w:val="right"/>
              <w:spacing w:after="0"/>
              <w:rPr>
                <w:sz w:val="20"/>
                <w:szCs w:val="20"/>
                <w:color w:val="auto"/>
              </w:rPr>
            </w:pPr>
            <w:r>
              <w:rPr>
                <w:rFonts w:ascii="Arial" w:cs="Arial" w:eastAsia="Arial" w:hAnsi="Arial"/>
                <w:sz w:val="13"/>
                <w:szCs w:val="13"/>
                <w:color w:val="auto"/>
                <w:w w:val="85"/>
              </w:rPr>
              <w:t>5,778</w:t>
            </w:r>
          </w:p>
        </w:tc>
        <w:tc>
          <w:tcPr>
            <w:tcW w:w="1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1,572</w:t>
            </w:r>
          </w:p>
        </w:tc>
        <w:tc>
          <w:tcPr>
            <w:tcW w:w="120" w:type="dxa"/>
            <w:vAlign w:val="bottom"/>
          </w:tcPr>
          <w:p>
            <w:pPr>
              <w:spacing w:after="0"/>
              <w:rPr>
                <w:sz w:val="16"/>
                <w:szCs w:val="16"/>
                <w:color w:val="auto"/>
              </w:rPr>
            </w:pP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2,494</w:t>
            </w:r>
          </w:p>
        </w:tc>
        <w:tc>
          <w:tcPr>
            <w:tcW w:w="180" w:type="dxa"/>
            <w:vAlign w:val="bottom"/>
          </w:tcPr>
          <w:p>
            <w:pPr>
              <w:spacing w:after="0"/>
              <w:rPr>
                <w:sz w:val="16"/>
                <w:szCs w:val="16"/>
                <w:color w:val="auto"/>
              </w:rPr>
            </w:pPr>
          </w:p>
        </w:tc>
        <w:tc>
          <w:tcPr>
            <w:tcW w:w="920" w:type="dxa"/>
            <w:vAlign w:val="bottom"/>
            <w:gridSpan w:val="2"/>
          </w:tcPr>
          <w:p>
            <w:pPr>
              <w:jc w:val="right"/>
              <w:ind w:right="180"/>
              <w:spacing w:after="0"/>
              <w:rPr>
                <w:sz w:val="20"/>
                <w:szCs w:val="20"/>
                <w:color w:val="auto"/>
              </w:rPr>
            </w:pPr>
            <w:r>
              <w:rPr>
                <w:rFonts w:ascii="Arial" w:cs="Arial" w:eastAsia="Arial" w:hAnsi="Arial"/>
                <w:sz w:val="13"/>
                <w:szCs w:val="13"/>
                <w:color w:val="auto"/>
              </w:rPr>
              <w:t>1,259</w:t>
            </w:r>
          </w:p>
        </w:tc>
        <w:tc>
          <w:tcPr>
            <w:tcW w:w="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860" w:type="dxa"/>
            <w:vAlign w:val="bottom"/>
            <w:gridSpan w:val="2"/>
          </w:tcPr>
          <w:p>
            <w:pPr>
              <w:jc w:val="right"/>
              <w:ind w:right="160"/>
              <w:spacing w:after="0"/>
              <w:rPr>
                <w:sz w:val="20"/>
                <w:szCs w:val="20"/>
                <w:color w:val="auto"/>
              </w:rPr>
            </w:pPr>
            <w:r>
              <w:rPr>
                <w:rFonts w:ascii="Arial" w:cs="Arial" w:eastAsia="Arial" w:hAnsi="Arial"/>
                <w:sz w:val="13"/>
                <w:szCs w:val="13"/>
                <w:color w:val="auto"/>
              </w:rPr>
              <w:t>332</w:t>
            </w:r>
          </w:p>
        </w:tc>
        <w:tc>
          <w:tcPr>
            <w:tcW w:w="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960" w:type="dxa"/>
            <w:vAlign w:val="bottom"/>
            <w:gridSpan w:val="2"/>
          </w:tcPr>
          <w:p>
            <w:pPr>
              <w:jc w:val="right"/>
              <w:ind w:right="180"/>
              <w:spacing w:after="0"/>
              <w:rPr>
                <w:sz w:val="20"/>
                <w:szCs w:val="20"/>
                <w:color w:val="auto"/>
              </w:rPr>
            </w:pPr>
            <w:r>
              <w:rPr>
                <w:rFonts w:ascii="Arial" w:cs="Arial" w:eastAsia="Arial" w:hAnsi="Arial"/>
                <w:sz w:val="13"/>
                <w:szCs w:val="13"/>
                <w:color w:val="auto"/>
              </w:rPr>
              <w:t>121</w:t>
            </w:r>
          </w:p>
        </w:tc>
        <w:tc>
          <w:tcPr>
            <w:tcW w:w="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940" w:type="dxa"/>
            <w:vAlign w:val="bottom"/>
            <w:gridSpan w:val="2"/>
          </w:tcPr>
          <w:p>
            <w:pPr>
              <w:jc w:val="right"/>
              <w:ind w:right="83"/>
              <w:spacing w:after="0"/>
              <w:rPr>
                <w:sz w:val="20"/>
                <w:szCs w:val="20"/>
                <w:color w:val="auto"/>
              </w:rPr>
            </w:pPr>
            <w:r>
              <w:rPr>
                <w:rFonts w:ascii="Arial" w:cs="Arial" w:eastAsia="Arial" w:hAnsi="Arial"/>
                <w:sz w:val="13"/>
                <w:szCs w:val="13"/>
                <w:color w:val="auto"/>
              </w:rPr>
              <w:t>0</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354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Total interest-earning assets</w:t>
            </w:r>
          </w:p>
        </w:tc>
        <w:tc>
          <w:tcPr>
            <w:tcW w:w="620" w:type="dxa"/>
            <w:vAlign w:val="bottom"/>
            <w:tcBorders>
              <w:top w:val="single" w:sz="8" w:color="auto"/>
            </w:tcBorders>
            <w:shd w:val="clear" w:color="auto" w:fill="CCEEFF"/>
          </w:tcPr>
          <w:p>
            <w:pPr>
              <w:spacing w:after="0"/>
              <w:rPr>
                <w:sz w:val="12"/>
                <w:szCs w:val="12"/>
                <w:color w:val="auto"/>
              </w:rPr>
            </w:pPr>
          </w:p>
        </w:tc>
        <w:tc>
          <w:tcPr>
            <w:tcW w:w="3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w w:val="85"/>
              </w:rPr>
              <w:t>7,631</w:t>
            </w:r>
          </w:p>
        </w:tc>
        <w:tc>
          <w:tcPr>
            <w:tcW w:w="14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3,318</w:t>
            </w:r>
          </w:p>
        </w:tc>
        <w:tc>
          <w:tcPr>
            <w:tcW w:w="2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2,517</w:t>
            </w:r>
          </w:p>
        </w:tc>
        <w:tc>
          <w:tcPr>
            <w:tcW w:w="24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74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1,265</w:t>
            </w:r>
          </w:p>
        </w:tc>
        <w:tc>
          <w:tcPr>
            <w:tcW w:w="18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348</w:t>
            </w:r>
          </w:p>
        </w:tc>
        <w:tc>
          <w:tcPr>
            <w:tcW w:w="16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184</w:t>
            </w:r>
          </w:p>
        </w:tc>
        <w:tc>
          <w:tcPr>
            <w:tcW w:w="18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0</w:t>
            </w: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5"/>
        </w:trPr>
        <w:tc>
          <w:tcPr>
            <w:tcW w:w="20" w:type="dxa"/>
            <w:vAlign w:val="bottom"/>
          </w:tcPr>
          <w:p>
            <w:pPr>
              <w:spacing w:after="0"/>
              <w:rPr>
                <w:sz w:val="12"/>
                <w:szCs w:val="12"/>
                <w:color w:val="auto"/>
              </w:rPr>
            </w:pPr>
          </w:p>
        </w:tc>
        <w:tc>
          <w:tcPr>
            <w:tcW w:w="3540" w:type="dxa"/>
            <w:vAlign w:val="bottom"/>
          </w:tcPr>
          <w:p>
            <w:pPr>
              <w:spacing w:after="0" w:line="146" w:lineRule="exact"/>
              <w:rPr>
                <w:sz w:val="20"/>
                <w:szCs w:val="20"/>
                <w:color w:val="auto"/>
              </w:rPr>
            </w:pPr>
            <w:r>
              <w:rPr>
                <w:rFonts w:ascii="Arial" w:cs="Arial" w:eastAsia="Arial" w:hAnsi="Arial"/>
                <w:sz w:val="13"/>
                <w:szCs w:val="13"/>
                <w:color w:val="auto"/>
                <w:w w:val="93"/>
              </w:rPr>
              <w:t>Non-interest earning assets, allowance for credit losses and other</w:t>
            </w:r>
          </w:p>
        </w:tc>
        <w:tc>
          <w:tcPr>
            <w:tcW w:w="62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72"/>
        </w:trPr>
        <w:tc>
          <w:tcPr>
            <w:tcW w:w="3560" w:type="dxa"/>
            <w:vAlign w:val="bottom"/>
            <w:gridSpan w:val="2"/>
          </w:tcPr>
          <w:p>
            <w:pPr>
              <w:spacing w:after="0"/>
              <w:rPr>
                <w:sz w:val="20"/>
                <w:szCs w:val="20"/>
                <w:color w:val="auto"/>
              </w:rPr>
            </w:pPr>
            <w:r>
              <w:rPr>
                <w:rFonts w:ascii="Arial" w:cs="Arial" w:eastAsia="Arial" w:hAnsi="Arial"/>
                <w:sz w:val="13"/>
                <w:szCs w:val="13"/>
                <w:color w:val="auto"/>
              </w:rPr>
              <w:t>asset</w:t>
            </w:r>
          </w:p>
        </w:tc>
        <w:tc>
          <w:tcPr>
            <w:tcW w:w="620" w:type="dxa"/>
            <w:vAlign w:val="bottom"/>
          </w:tcPr>
          <w:p>
            <w:pPr>
              <w:spacing w:after="0"/>
              <w:rPr>
                <w:sz w:val="14"/>
                <w:szCs w:val="14"/>
                <w:color w:val="auto"/>
              </w:rPr>
            </w:pPr>
          </w:p>
        </w:tc>
        <w:tc>
          <w:tcPr>
            <w:tcW w:w="440" w:type="dxa"/>
            <w:vAlign w:val="bottom"/>
            <w:gridSpan w:val="2"/>
          </w:tcPr>
          <w:p>
            <w:pPr>
              <w:jc w:val="right"/>
              <w:ind w:right="100"/>
              <w:spacing w:after="0"/>
              <w:rPr>
                <w:sz w:val="20"/>
                <w:szCs w:val="20"/>
                <w:color w:val="auto"/>
              </w:rPr>
            </w:pPr>
            <w:r>
              <w:rPr>
                <w:rFonts w:ascii="Arial" w:cs="Arial" w:eastAsia="Arial" w:hAnsi="Arial"/>
                <w:sz w:val="13"/>
                <w:szCs w:val="13"/>
                <w:color w:val="auto"/>
              </w:rPr>
              <w:t>(22)</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0</w:t>
            </w:r>
          </w:p>
        </w:tc>
        <w:tc>
          <w:tcPr>
            <w:tcW w:w="120" w:type="dxa"/>
            <w:vAlign w:val="bottom"/>
          </w:tcPr>
          <w:p>
            <w:pPr>
              <w:spacing w:after="0"/>
              <w:rPr>
                <w:sz w:val="14"/>
                <w:szCs w:val="14"/>
                <w:color w:val="auto"/>
              </w:rPr>
            </w:pP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0</w:t>
            </w:r>
          </w:p>
        </w:tc>
        <w:tc>
          <w:tcPr>
            <w:tcW w:w="180" w:type="dxa"/>
            <w:vAlign w:val="bottom"/>
          </w:tcPr>
          <w:p>
            <w:pPr>
              <w:spacing w:after="0"/>
              <w:rPr>
                <w:sz w:val="14"/>
                <w:szCs w:val="14"/>
                <w:color w:val="auto"/>
              </w:rPr>
            </w:pPr>
          </w:p>
        </w:tc>
        <w:tc>
          <w:tcPr>
            <w:tcW w:w="920" w:type="dxa"/>
            <w:vAlign w:val="bottom"/>
            <w:gridSpan w:val="2"/>
          </w:tcPr>
          <w:p>
            <w:pPr>
              <w:jc w:val="right"/>
              <w:ind w:right="180"/>
              <w:spacing w:after="0"/>
              <w:rPr>
                <w:sz w:val="20"/>
                <w:szCs w:val="20"/>
                <w:color w:val="auto"/>
              </w:rPr>
            </w:pPr>
            <w:r>
              <w:rPr>
                <w:rFonts w:ascii="Arial" w:cs="Arial" w:eastAsia="Arial" w:hAnsi="Arial"/>
                <w:sz w:val="13"/>
                <w:szCs w:val="13"/>
                <w:color w:val="auto"/>
              </w:rPr>
              <w:t>0</w:t>
            </w:r>
          </w:p>
        </w:tc>
        <w:tc>
          <w:tcPr>
            <w:tcW w:w="6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860" w:type="dxa"/>
            <w:vAlign w:val="bottom"/>
            <w:gridSpan w:val="2"/>
          </w:tcPr>
          <w:p>
            <w:pPr>
              <w:jc w:val="right"/>
              <w:ind w:right="160"/>
              <w:spacing w:after="0"/>
              <w:rPr>
                <w:sz w:val="20"/>
                <w:szCs w:val="20"/>
                <w:color w:val="auto"/>
              </w:rPr>
            </w:pPr>
            <w:r>
              <w:rPr>
                <w:rFonts w:ascii="Arial" w:cs="Arial" w:eastAsia="Arial" w:hAnsi="Arial"/>
                <w:sz w:val="13"/>
                <w:szCs w:val="13"/>
                <w:color w:val="auto"/>
              </w:rPr>
              <w:t>0</w:t>
            </w:r>
          </w:p>
        </w:tc>
        <w:tc>
          <w:tcPr>
            <w:tcW w:w="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960" w:type="dxa"/>
            <w:vAlign w:val="bottom"/>
            <w:gridSpan w:val="2"/>
          </w:tcPr>
          <w:p>
            <w:pPr>
              <w:jc w:val="right"/>
              <w:ind w:right="180"/>
              <w:spacing w:after="0"/>
              <w:rPr>
                <w:sz w:val="20"/>
                <w:szCs w:val="20"/>
                <w:color w:val="auto"/>
              </w:rPr>
            </w:pPr>
            <w:r>
              <w:rPr>
                <w:rFonts w:ascii="Arial" w:cs="Arial" w:eastAsia="Arial" w:hAnsi="Arial"/>
                <w:sz w:val="13"/>
                <w:szCs w:val="13"/>
                <w:color w:val="auto"/>
              </w:rPr>
              <w:t>0</w:t>
            </w: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40" w:type="dxa"/>
            <w:vAlign w:val="bottom"/>
            <w:gridSpan w:val="2"/>
          </w:tcPr>
          <w:p>
            <w:pPr>
              <w:jc w:val="right"/>
              <w:ind w:right="43"/>
              <w:spacing w:after="0"/>
              <w:rPr>
                <w:sz w:val="20"/>
                <w:szCs w:val="20"/>
                <w:color w:val="auto"/>
              </w:rPr>
            </w:pPr>
            <w:r>
              <w:rPr>
                <w:rFonts w:ascii="Arial" w:cs="Arial" w:eastAsia="Arial" w:hAnsi="Arial"/>
                <w:sz w:val="13"/>
                <w:szCs w:val="13"/>
                <w:color w:val="auto"/>
              </w:rPr>
              <w:t>(22)</w:t>
            </w: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3540" w:type="dxa"/>
            <w:vAlign w:val="bottom"/>
            <w:tcBorders>
              <w:top w:val="single" w:sz="8" w:color="CCEEFF"/>
              <w:bottom w:val="single" w:sz="8" w:color="CCEEFF"/>
            </w:tcBorders>
            <w:shd w:val="clear" w:color="auto" w:fill="CCEEFF"/>
          </w:tcPr>
          <w:p>
            <w:pPr>
              <w:spacing w:after="0" w:line="147" w:lineRule="exact"/>
              <w:rPr>
                <w:sz w:val="20"/>
                <w:szCs w:val="20"/>
                <w:color w:val="auto"/>
              </w:rPr>
            </w:pPr>
            <w:r>
              <w:rPr>
                <w:rFonts w:ascii="Arial" w:cs="Arial" w:eastAsia="Arial" w:hAnsi="Arial"/>
                <w:sz w:val="13"/>
                <w:szCs w:val="13"/>
                <w:b w:val="1"/>
                <w:bCs w:val="1"/>
                <w:color w:val="auto"/>
              </w:rPr>
              <w:t>Total assets</w:t>
            </w:r>
          </w:p>
        </w:tc>
        <w:tc>
          <w:tcPr>
            <w:tcW w:w="620" w:type="dxa"/>
            <w:vAlign w:val="bottom"/>
            <w:tcBorders>
              <w:top w:val="single" w:sz="8" w:color="auto"/>
              <w:bottom w:val="single" w:sz="8" w:color="auto"/>
            </w:tcBorders>
            <w:shd w:val="clear" w:color="auto" w:fill="CCEEFF"/>
          </w:tcPr>
          <w:p>
            <w:pPr>
              <w:spacing w:after="0"/>
              <w:rPr>
                <w:sz w:val="14"/>
                <w:szCs w:val="14"/>
                <w:color w:val="auto"/>
              </w:rPr>
            </w:pPr>
          </w:p>
        </w:tc>
        <w:tc>
          <w:tcPr>
            <w:tcW w:w="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w w:val="85"/>
              </w:rPr>
              <w:t>7,609</w:t>
            </w:r>
          </w:p>
        </w:tc>
        <w:tc>
          <w:tcPr>
            <w:tcW w:w="140" w:type="dxa"/>
            <w:vAlign w:val="bottom"/>
            <w:tcBorders>
              <w:top w:val="single" w:sz="8" w:color="CCEEFF"/>
              <w:bottom w:val="single" w:sz="8" w:color="CCEEFF"/>
            </w:tcBorders>
            <w:shd w:val="clear" w:color="auto" w:fill="CCEEFF"/>
          </w:tcPr>
          <w:p>
            <w:pPr>
              <w:spacing w:after="0"/>
              <w:rPr>
                <w:sz w:val="14"/>
                <w:szCs w:val="14"/>
                <w:color w:val="auto"/>
              </w:rPr>
            </w:pP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c>
          <w:tcPr>
            <w:tcW w:w="120" w:type="dxa"/>
            <w:vAlign w:val="bottom"/>
            <w:tcBorders>
              <w:top w:val="single" w:sz="8" w:color="auto"/>
              <w:bottom w:val="single" w:sz="8" w:color="auto"/>
            </w:tcBorders>
            <w:shd w:val="clear" w:color="auto" w:fill="CCEEFF"/>
          </w:tcPr>
          <w:p>
            <w:pPr>
              <w:spacing w:after="0"/>
              <w:rPr>
                <w:sz w:val="14"/>
                <w:szCs w:val="14"/>
                <w:color w:val="auto"/>
              </w:rPr>
            </w:pP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3,318</w:t>
            </w: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120" w:type="dxa"/>
            <w:vAlign w:val="bottom"/>
            <w:tcBorders>
              <w:top w:val="single" w:sz="8" w:color="auto"/>
              <w:bottom w:val="single" w:sz="8" w:color="auto"/>
            </w:tcBorders>
            <w:shd w:val="clear" w:color="auto" w:fill="CCEEFF"/>
          </w:tcPr>
          <w:p>
            <w:pPr>
              <w:spacing w:after="0"/>
              <w:rPr>
                <w:sz w:val="14"/>
                <w:szCs w:val="14"/>
                <w:color w:val="auto"/>
              </w:rPr>
            </w:pP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2,517</w:t>
            </w: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180" w:type="dxa"/>
            <w:vAlign w:val="bottom"/>
            <w:tcBorders>
              <w:top w:val="single" w:sz="8" w:color="auto"/>
              <w:bottom w:val="single" w:sz="8" w:color="auto"/>
            </w:tcBorders>
            <w:shd w:val="clear" w:color="auto" w:fill="CCEEFF"/>
          </w:tcPr>
          <w:p>
            <w:pPr>
              <w:spacing w:after="0"/>
              <w:rPr>
                <w:sz w:val="14"/>
                <w:szCs w:val="14"/>
                <w:color w:val="auto"/>
              </w:rPr>
            </w:pPr>
          </w:p>
        </w:tc>
        <w:tc>
          <w:tcPr>
            <w:tcW w:w="7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1,265</w:t>
            </w:r>
          </w:p>
        </w:tc>
        <w:tc>
          <w:tcPr>
            <w:tcW w:w="180" w:type="dxa"/>
            <w:vAlign w:val="bottom"/>
            <w:tcBorders>
              <w:top w:val="single" w:sz="8" w:color="CCEEFF"/>
              <w:bottom w:val="single" w:sz="8" w:color="CCEEFF"/>
            </w:tcBorders>
            <w:shd w:val="clear" w:color="auto" w:fill="CCEEFF"/>
          </w:tcPr>
          <w:p>
            <w:pPr>
              <w:spacing w:after="0"/>
              <w:rPr>
                <w:sz w:val="14"/>
                <w:szCs w:val="14"/>
                <w:color w:val="auto"/>
              </w:rPr>
            </w:pPr>
          </w:p>
        </w:tc>
        <w:tc>
          <w:tcPr>
            <w:tcW w:w="60" w:type="dxa"/>
            <w:vAlign w:val="bottom"/>
            <w:tcBorders>
              <w:top w:val="single" w:sz="8" w:color="CCEEFF"/>
              <w:bottom w:val="single" w:sz="8" w:color="CCEEFF"/>
            </w:tcBorders>
            <w:shd w:val="clear" w:color="auto" w:fill="CCEEFF"/>
          </w:tcPr>
          <w:p>
            <w:pPr>
              <w:spacing w:after="0"/>
              <w:rPr>
                <w:sz w:val="14"/>
                <w:szCs w:val="14"/>
                <w:color w:val="auto"/>
              </w:rPr>
            </w:pPr>
          </w:p>
        </w:tc>
        <w:tc>
          <w:tcPr>
            <w:tcW w:w="200" w:type="dxa"/>
            <w:vAlign w:val="bottom"/>
            <w:tcBorders>
              <w:top w:val="single" w:sz="8" w:color="auto"/>
              <w:bottom w:val="single" w:sz="8" w:color="auto"/>
            </w:tcBorders>
            <w:shd w:val="clear" w:color="auto" w:fill="CCEEFF"/>
          </w:tcPr>
          <w:p>
            <w:pPr>
              <w:spacing w:after="0"/>
              <w:rPr>
                <w:sz w:val="14"/>
                <w:szCs w:val="14"/>
                <w:color w:val="auto"/>
              </w:rPr>
            </w:pPr>
          </w:p>
        </w:tc>
        <w:tc>
          <w:tcPr>
            <w:tcW w:w="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348</w:t>
            </w:r>
          </w:p>
        </w:tc>
        <w:tc>
          <w:tcPr>
            <w:tcW w:w="160" w:type="dxa"/>
            <w:vAlign w:val="bottom"/>
            <w:tcBorders>
              <w:top w:val="single" w:sz="8" w:color="CCEEFF"/>
              <w:bottom w:val="single" w:sz="8" w:color="CCEEFF"/>
            </w:tcBorders>
            <w:shd w:val="clear" w:color="auto" w:fill="CCEEFF"/>
          </w:tcPr>
          <w:p>
            <w:pPr>
              <w:spacing w:after="0"/>
              <w:rPr>
                <w:sz w:val="14"/>
                <w:szCs w:val="14"/>
                <w:color w:val="auto"/>
              </w:rPr>
            </w:pPr>
          </w:p>
        </w:tc>
        <w:tc>
          <w:tcPr>
            <w:tcW w:w="60" w:type="dxa"/>
            <w:vAlign w:val="bottom"/>
            <w:tcBorders>
              <w:top w:val="single" w:sz="8" w:color="CCEEFF"/>
              <w:bottom w:val="single" w:sz="8" w:color="CCEEFF"/>
            </w:tcBorders>
            <w:shd w:val="clear" w:color="auto" w:fill="CCEEFF"/>
          </w:tcPr>
          <w:p>
            <w:pPr>
              <w:spacing w:after="0"/>
              <w:rPr>
                <w:sz w:val="14"/>
                <w:szCs w:val="14"/>
                <w:color w:val="auto"/>
              </w:rPr>
            </w:pPr>
          </w:p>
        </w:tc>
        <w:tc>
          <w:tcPr>
            <w:tcW w:w="120" w:type="dxa"/>
            <w:vAlign w:val="bottom"/>
            <w:tcBorders>
              <w:top w:val="single" w:sz="8" w:color="auto"/>
              <w:bottom w:val="single" w:sz="8" w:color="auto"/>
            </w:tcBorders>
            <w:shd w:val="clear" w:color="auto" w:fill="CCEEFF"/>
          </w:tcPr>
          <w:p>
            <w:pPr>
              <w:spacing w:after="0"/>
              <w:rPr>
                <w:sz w:val="14"/>
                <w:szCs w:val="14"/>
                <w:color w:val="auto"/>
              </w:rPr>
            </w:pP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184</w:t>
            </w:r>
          </w:p>
        </w:tc>
        <w:tc>
          <w:tcPr>
            <w:tcW w:w="180" w:type="dxa"/>
            <w:vAlign w:val="bottom"/>
            <w:tcBorders>
              <w:top w:val="single" w:sz="8" w:color="CCEEFF"/>
              <w:bottom w:val="single" w:sz="8" w:color="CCEEFF"/>
            </w:tcBorders>
            <w:shd w:val="clear" w:color="auto" w:fill="CCEEFF"/>
          </w:tcPr>
          <w:p>
            <w:pPr>
              <w:spacing w:after="0"/>
              <w:rPr>
                <w:sz w:val="14"/>
                <w:szCs w:val="14"/>
                <w:color w:val="auto"/>
              </w:rPr>
            </w:pPr>
          </w:p>
        </w:tc>
        <w:tc>
          <w:tcPr>
            <w:tcW w:w="60" w:type="dxa"/>
            <w:vAlign w:val="bottom"/>
            <w:tcBorders>
              <w:top w:val="single" w:sz="8" w:color="CCEEFF"/>
              <w:bottom w:val="single" w:sz="8" w:color="CCEEFF"/>
            </w:tcBorders>
            <w:shd w:val="clear" w:color="auto" w:fill="CCEEFF"/>
          </w:tcPr>
          <w:p>
            <w:pPr>
              <w:spacing w:after="0"/>
              <w:rPr>
                <w:sz w:val="14"/>
                <w:szCs w:val="14"/>
                <w:color w:val="auto"/>
              </w:rPr>
            </w:pPr>
          </w:p>
        </w:tc>
        <w:tc>
          <w:tcPr>
            <w:tcW w:w="80" w:type="dxa"/>
            <w:vAlign w:val="bottom"/>
            <w:tcBorders>
              <w:top w:val="single" w:sz="8" w:color="auto"/>
              <w:bottom w:val="single" w:sz="8" w:color="auto"/>
            </w:tcBorders>
            <w:shd w:val="clear" w:color="auto" w:fill="CCEEFF"/>
          </w:tcPr>
          <w:p>
            <w:pPr>
              <w:spacing w:after="0"/>
              <w:rPr>
                <w:sz w:val="14"/>
                <w:szCs w:val="14"/>
                <w:color w:val="auto"/>
              </w:rPr>
            </w:pP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(22</w:t>
            </w:r>
          </w:p>
        </w:tc>
        <w:tc>
          <w:tcPr>
            <w:tcW w:w="120" w:type="dxa"/>
            <w:vAlign w:val="bottom"/>
            <w:tcBorders>
              <w:top w:val="single" w:sz="8" w:color="CCEEFF"/>
              <w:bottom w:val="single" w:sz="8" w:color="CCEEFF"/>
            </w:tcBorders>
            <w:shd w:val="clear" w:color="auto" w:fill="CCEEFF"/>
          </w:tcPr>
          <w:p>
            <w:pPr>
              <w:jc w:val="right"/>
              <w:ind w:right="43"/>
              <w:spacing w:after="0"/>
              <w:rPr>
                <w:sz w:val="20"/>
                <w:szCs w:val="20"/>
                <w:color w:val="auto"/>
              </w:rPr>
            </w:pPr>
            <w:r>
              <w:rPr>
                <w:rFonts w:ascii="Arial" w:cs="Arial" w:eastAsia="Arial" w:hAnsi="Arial"/>
                <w:sz w:val="7"/>
                <w:szCs w:val="7"/>
                <w:b w:val="1"/>
                <w:bCs w:val="1"/>
                <w:color w:val="auto"/>
                <w:w w:val="83"/>
              </w:rPr>
              <w:t>)</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3540" w:type="dxa"/>
            <w:vAlign w:val="bottom"/>
          </w:tcPr>
          <w:p>
            <w:pPr>
              <w:spacing w:after="0"/>
              <w:rPr>
                <w:sz w:val="13"/>
                <w:szCs w:val="13"/>
                <w:color w:val="auto"/>
              </w:rPr>
            </w:pPr>
          </w:p>
        </w:tc>
        <w:tc>
          <w:tcPr>
            <w:tcW w:w="62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354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Interest-bearing liabilities</w:t>
            </w:r>
          </w:p>
        </w:tc>
        <w:tc>
          <w:tcPr>
            <w:tcW w:w="620" w:type="dxa"/>
            <w:vAlign w:val="bottom"/>
            <w:shd w:val="clear" w:color="auto" w:fill="CCEEFF"/>
          </w:tcPr>
          <w:p>
            <w:pPr>
              <w:spacing w:after="0"/>
              <w:rPr>
                <w:sz w:val="13"/>
                <w:szCs w:val="13"/>
                <w:color w:val="auto"/>
              </w:rPr>
            </w:pPr>
          </w:p>
        </w:tc>
        <w:tc>
          <w:tcPr>
            <w:tcW w:w="30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7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70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540" w:type="dxa"/>
            <w:vAlign w:val="bottom"/>
          </w:tcPr>
          <w:p>
            <w:pPr>
              <w:spacing w:after="0"/>
              <w:rPr>
                <w:sz w:val="20"/>
                <w:szCs w:val="20"/>
                <w:color w:val="auto"/>
              </w:rPr>
            </w:pPr>
            <w:r>
              <w:rPr>
                <w:rFonts w:ascii="Arial" w:cs="Arial" w:eastAsia="Arial" w:hAnsi="Arial"/>
                <w:sz w:val="13"/>
                <w:szCs w:val="13"/>
                <w:color w:val="auto"/>
              </w:rPr>
              <w:t>Deposits</w:t>
            </w:r>
          </w:p>
        </w:tc>
        <w:tc>
          <w:tcPr>
            <w:tcW w:w="620" w:type="dxa"/>
            <w:vAlign w:val="bottom"/>
          </w:tcPr>
          <w:p>
            <w:pPr>
              <w:spacing w:after="0"/>
              <w:rPr>
                <w:sz w:val="13"/>
                <w:szCs w:val="13"/>
                <w:color w:val="auto"/>
              </w:rPr>
            </w:pPr>
          </w:p>
        </w:tc>
        <w:tc>
          <w:tcPr>
            <w:tcW w:w="300" w:type="dxa"/>
            <w:vAlign w:val="bottom"/>
          </w:tcPr>
          <w:p>
            <w:pPr>
              <w:jc w:val="right"/>
              <w:spacing w:after="0"/>
              <w:rPr>
                <w:sz w:val="20"/>
                <w:szCs w:val="20"/>
                <w:color w:val="auto"/>
              </w:rPr>
            </w:pPr>
            <w:r>
              <w:rPr>
                <w:rFonts w:ascii="Arial" w:cs="Arial" w:eastAsia="Arial" w:hAnsi="Arial"/>
                <w:sz w:val="13"/>
                <w:szCs w:val="13"/>
                <w:color w:val="auto"/>
                <w:w w:val="85"/>
              </w:rPr>
              <w:t>2,971</w:t>
            </w:r>
          </w:p>
        </w:tc>
        <w:tc>
          <w:tcPr>
            <w:tcW w:w="1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2,080</w:t>
            </w:r>
          </w:p>
        </w:tc>
        <w:tc>
          <w:tcPr>
            <w:tcW w:w="120" w:type="dxa"/>
            <w:vAlign w:val="bottom"/>
          </w:tcPr>
          <w:p>
            <w:pPr>
              <w:spacing w:after="0"/>
              <w:rPr>
                <w:sz w:val="13"/>
                <w:szCs w:val="13"/>
                <w:color w:val="auto"/>
              </w:rPr>
            </w:pP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425</w:t>
            </w:r>
          </w:p>
        </w:tc>
        <w:tc>
          <w:tcPr>
            <w:tcW w:w="180" w:type="dxa"/>
            <w:vAlign w:val="bottom"/>
          </w:tcPr>
          <w:p>
            <w:pPr>
              <w:spacing w:after="0"/>
              <w:rPr>
                <w:sz w:val="13"/>
                <w:szCs w:val="13"/>
                <w:color w:val="auto"/>
              </w:rPr>
            </w:pPr>
          </w:p>
        </w:tc>
        <w:tc>
          <w:tcPr>
            <w:tcW w:w="920" w:type="dxa"/>
            <w:vAlign w:val="bottom"/>
            <w:gridSpan w:val="2"/>
          </w:tcPr>
          <w:p>
            <w:pPr>
              <w:jc w:val="right"/>
              <w:ind w:right="180"/>
              <w:spacing w:after="0"/>
              <w:rPr>
                <w:sz w:val="20"/>
                <w:szCs w:val="20"/>
                <w:color w:val="auto"/>
              </w:rPr>
            </w:pPr>
            <w:r>
              <w:rPr>
                <w:rFonts w:ascii="Arial" w:cs="Arial" w:eastAsia="Arial" w:hAnsi="Arial"/>
                <w:sz w:val="13"/>
                <w:szCs w:val="13"/>
                <w:color w:val="auto"/>
              </w:rPr>
              <w:t>285</w:t>
            </w:r>
          </w:p>
        </w:tc>
        <w:tc>
          <w:tcPr>
            <w:tcW w:w="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860" w:type="dxa"/>
            <w:vAlign w:val="bottom"/>
            <w:gridSpan w:val="2"/>
          </w:tcPr>
          <w:p>
            <w:pPr>
              <w:jc w:val="right"/>
              <w:ind w:right="160"/>
              <w:spacing w:after="0"/>
              <w:rPr>
                <w:sz w:val="20"/>
                <w:szCs w:val="20"/>
                <w:color w:val="auto"/>
              </w:rPr>
            </w:pPr>
            <w:r>
              <w:rPr>
                <w:rFonts w:ascii="Arial" w:cs="Arial" w:eastAsia="Arial" w:hAnsi="Arial"/>
                <w:sz w:val="13"/>
                <w:szCs w:val="13"/>
                <w:color w:val="auto"/>
              </w:rPr>
              <w:t>181</w:t>
            </w:r>
          </w:p>
        </w:tc>
        <w:tc>
          <w:tcPr>
            <w:tcW w:w="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960" w:type="dxa"/>
            <w:vAlign w:val="bottom"/>
            <w:gridSpan w:val="2"/>
          </w:tcPr>
          <w:p>
            <w:pPr>
              <w:jc w:val="right"/>
              <w:ind w:right="180"/>
              <w:spacing w:after="0"/>
              <w:rPr>
                <w:sz w:val="20"/>
                <w:szCs w:val="20"/>
                <w:color w:val="auto"/>
              </w:rPr>
            </w:pPr>
            <w:r>
              <w:rPr>
                <w:rFonts w:ascii="Arial" w:cs="Arial" w:eastAsia="Arial" w:hAnsi="Arial"/>
                <w:sz w:val="13"/>
                <w:szCs w:val="13"/>
                <w:color w:val="auto"/>
              </w:rPr>
              <w:t>0</w:t>
            </w:r>
          </w:p>
        </w:tc>
        <w:tc>
          <w:tcPr>
            <w:tcW w:w="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40" w:type="dxa"/>
            <w:vAlign w:val="bottom"/>
            <w:gridSpan w:val="2"/>
          </w:tcPr>
          <w:p>
            <w:pPr>
              <w:jc w:val="right"/>
              <w:ind w:right="83"/>
              <w:spacing w:after="0"/>
              <w:rPr>
                <w:sz w:val="20"/>
                <w:szCs w:val="20"/>
                <w:color w:val="auto"/>
              </w:rPr>
            </w:pPr>
            <w:r>
              <w:rPr>
                <w:rFonts w:ascii="Arial" w:cs="Arial" w:eastAsia="Arial" w:hAnsi="Arial"/>
                <w:sz w:val="13"/>
                <w:szCs w:val="13"/>
                <w:color w:val="auto"/>
              </w:rPr>
              <w:t>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540" w:type="dxa"/>
            <w:vAlign w:val="bottom"/>
            <w:shd w:val="clear" w:color="auto" w:fill="CCEEFF"/>
          </w:tcPr>
          <w:p>
            <w:pPr>
              <w:spacing w:after="0"/>
              <w:rPr>
                <w:sz w:val="20"/>
                <w:szCs w:val="20"/>
                <w:color w:val="auto"/>
              </w:rPr>
            </w:pPr>
            <w:r>
              <w:rPr>
                <w:rFonts w:ascii="Arial" w:cs="Arial" w:eastAsia="Arial" w:hAnsi="Arial"/>
                <w:sz w:val="13"/>
                <w:szCs w:val="13"/>
                <w:color w:val="auto"/>
              </w:rPr>
              <w:t>Securities sold under repurchase agreements</w:t>
            </w:r>
          </w:p>
        </w:tc>
        <w:tc>
          <w:tcPr>
            <w:tcW w:w="620" w:type="dxa"/>
            <w:vAlign w:val="bottom"/>
            <w:shd w:val="clear" w:color="auto" w:fill="CCEEFF"/>
          </w:tcPr>
          <w:p>
            <w:pPr>
              <w:spacing w:after="0"/>
              <w:rPr>
                <w:sz w:val="13"/>
                <w:szCs w:val="13"/>
                <w:color w:val="auto"/>
              </w:rPr>
            </w:pPr>
          </w:p>
        </w:tc>
        <w:tc>
          <w:tcPr>
            <w:tcW w:w="3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40</w:t>
            </w:r>
          </w:p>
        </w:tc>
        <w:tc>
          <w:tcPr>
            <w:tcW w:w="1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0</w:t>
            </w:r>
          </w:p>
        </w:tc>
        <w:tc>
          <w:tcPr>
            <w:tcW w:w="120" w:type="dxa"/>
            <w:vAlign w:val="bottom"/>
            <w:shd w:val="clear" w:color="auto" w:fill="CCEEFF"/>
          </w:tcPr>
          <w:p>
            <w:pPr>
              <w:spacing w:after="0"/>
              <w:rPr>
                <w:sz w:val="13"/>
                <w:szCs w:val="13"/>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12</w:t>
            </w:r>
          </w:p>
        </w:tc>
        <w:tc>
          <w:tcPr>
            <w:tcW w:w="2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0</w:t>
            </w:r>
          </w:p>
        </w:tc>
        <w:tc>
          <w:tcPr>
            <w:tcW w:w="6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28</w:t>
            </w:r>
          </w:p>
        </w:tc>
        <w:tc>
          <w:tcPr>
            <w:tcW w:w="16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0</w:t>
            </w:r>
          </w:p>
        </w:tc>
        <w:tc>
          <w:tcPr>
            <w:tcW w:w="6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940" w:type="dxa"/>
            <w:vAlign w:val="bottom"/>
            <w:gridSpan w:val="2"/>
            <w:shd w:val="clear" w:color="auto" w:fill="CCEEFF"/>
          </w:tcPr>
          <w:p>
            <w:pPr>
              <w:jc w:val="right"/>
              <w:ind w:right="83"/>
              <w:spacing w:after="0"/>
              <w:rPr>
                <w:sz w:val="20"/>
                <w:szCs w:val="20"/>
                <w:color w:val="auto"/>
              </w:rPr>
            </w:pPr>
            <w:r>
              <w:rPr>
                <w:rFonts w:ascii="Arial" w:cs="Arial" w:eastAsia="Arial" w:hAnsi="Arial"/>
                <w:sz w:val="13"/>
                <w:szCs w:val="13"/>
                <w:color w:val="auto"/>
              </w:rPr>
              <w:t>0</w:t>
            </w:r>
          </w:p>
        </w:tc>
        <w:tc>
          <w:tcPr>
            <w:tcW w:w="0" w:type="dxa"/>
            <w:vAlign w:val="bottom"/>
          </w:tcPr>
          <w:p>
            <w:pPr>
              <w:spacing w:after="0"/>
              <w:rPr>
                <w:sz w:val="1"/>
                <w:szCs w:val="1"/>
                <w:color w:val="auto"/>
              </w:rPr>
            </w:pPr>
          </w:p>
        </w:tc>
      </w:tr>
      <w:tr>
        <w:trPr>
          <w:trHeight w:val="193"/>
        </w:trPr>
        <w:tc>
          <w:tcPr>
            <w:tcW w:w="20" w:type="dxa"/>
            <w:vAlign w:val="bottom"/>
          </w:tcPr>
          <w:p>
            <w:pPr>
              <w:spacing w:after="0"/>
              <w:rPr>
                <w:sz w:val="16"/>
                <w:szCs w:val="16"/>
                <w:color w:val="auto"/>
              </w:rPr>
            </w:pPr>
          </w:p>
        </w:tc>
        <w:tc>
          <w:tcPr>
            <w:tcW w:w="3540" w:type="dxa"/>
            <w:vAlign w:val="bottom"/>
          </w:tcPr>
          <w:p>
            <w:pPr>
              <w:spacing w:after="0" w:line="193" w:lineRule="exact"/>
              <w:rPr>
                <w:sz w:val="20"/>
                <w:szCs w:val="20"/>
                <w:color w:val="auto"/>
              </w:rPr>
            </w:pPr>
            <w:r>
              <w:rPr>
                <w:rFonts w:ascii="Arial" w:cs="Arial" w:eastAsia="Arial" w:hAnsi="Arial"/>
                <w:sz w:val="13"/>
                <w:szCs w:val="13"/>
                <w:color w:val="auto"/>
              </w:rPr>
              <w:t xml:space="preserve">Borrowings and debt </w:t>
            </w:r>
            <w:r>
              <w:rPr>
                <w:rFonts w:ascii="Arial" w:cs="Arial" w:eastAsia="Arial" w:hAnsi="Arial"/>
                <w:sz w:val="21"/>
                <w:szCs w:val="21"/>
                <w:color w:val="auto"/>
                <w:vertAlign w:val="superscript"/>
              </w:rPr>
              <w:t>(2)</w:t>
            </w:r>
          </w:p>
        </w:tc>
        <w:tc>
          <w:tcPr>
            <w:tcW w:w="620" w:type="dxa"/>
            <w:vAlign w:val="bottom"/>
          </w:tcPr>
          <w:p>
            <w:pPr>
              <w:spacing w:after="0"/>
              <w:rPr>
                <w:sz w:val="16"/>
                <w:szCs w:val="16"/>
                <w:color w:val="auto"/>
              </w:rPr>
            </w:pPr>
          </w:p>
        </w:tc>
        <w:tc>
          <w:tcPr>
            <w:tcW w:w="300" w:type="dxa"/>
            <w:vAlign w:val="bottom"/>
          </w:tcPr>
          <w:p>
            <w:pPr>
              <w:jc w:val="right"/>
              <w:spacing w:after="0"/>
              <w:rPr>
                <w:sz w:val="20"/>
                <w:szCs w:val="20"/>
                <w:color w:val="auto"/>
              </w:rPr>
            </w:pPr>
            <w:r>
              <w:rPr>
                <w:rFonts w:ascii="Arial" w:cs="Arial" w:eastAsia="Arial" w:hAnsi="Arial"/>
                <w:sz w:val="13"/>
                <w:szCs w:val="13"/>
                <w:color w:val="auto"/>
                <w:w w:val="85"/>
              </w:rPr>
              <w:t>3,522</w:t>
            </w:r>
          </w:p>
        </w:tc>
        <w:tc>
          <w:tcPr>
            <w:tcW w:w="1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1,362</w:t>
            </w:r>
          </w:p>
        </w:tc>
        <w:tc>
          <w:tcPr>
            <w:tcW w:w="120" w:type="dxa"/>
            <w:vAlign w:val="bottom"/>
          </w:tcPr>
          <w:p>
            <w:pPr>
              <w:spacing w:after="0"/>
              <w:rPr>
                <w:sz w:val="16"/>
                <w:szCs w:val="16"/>
                <w:color w:val="auto"/>
              </w:rPr>
            </w:pP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1,658</w:t>
            </w:r>
          </w:p>
        </w:tc>
        <w:tc>
          <w:tcPr>
            <w:tcW w:w="180" w:type="dxa"/>
            <w:vAlign w:val="bottom"/>
          </w:tcPr>
          <w:p>
            <w:pPr>
              <w:spacing w:after="0"/>
              <w:rPr>
                <w:sz w:val="16"/>
                <w:szCs w:val="16"/>
                <w:color w:val="auto"/>
              </w:rPr>
            </w:pPr>
          </w:p>
        </w:tc>
        <w:tc>
          <w:tcPr>
            <w:tcW w:w="920" w:type="dxa"/>
            <w:vAlign w:val="bottom"/>
            <w:gridSpan w:val="2"/>
          </w:tcPr>
          <w:p>
            <w:pPr>
              <w:jc w:val="right"/>
              <w:ind w:right="180"/>
              <w:spacing w:after="0"/>
              <w:rPr>
                <w:sz w:val="20"/>
                <w:szCs w:val="20"/>
                <w:color w:val="auto"/>
              </w:rPr>
            </w:pPr>
            <w:r>
              <w:rPr>
                <w:rFonts w:ascii="Arial" w:cs="Arial" w:eastAsia="Arial" w:hAnsi="Arial"/>
                <w:sz w:val="13"/>
                <w:szCs w:val="13"/>
                <w:color w:val="auto"/>
              </w:rPr>
              <w:t>87</w:t>
            </w:r>
          </w:p>
        </w:tc>
        <w:tc>
          <w:tcPr>
            <w:tcW w:w="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860" w:type="dxa"/>
            <w:vAlign w:val="bottom"/>
            <w:gridSpan w:val="2"/>
          </w:tcPr>
          <w:p>
            <w:pPr>
              <w:jc w:val="right"/>
              <w:ind w:right="160"/>
              <w:spacing w:after="0"/>
              <w:rPr>
                <w:sz w:val="20"/>
                <w:szCs w:val="20"/>
                <w:color w:val="auto"/>
              </w:rPr>
            </w:pPr>
            <w:r>
              <w:rPr>
                <w:rFonts w:ascii="Arial" w:cs="Arial" w:eastAsia="Arial" w:hAnsi="Arial"/>
                <w:sz w:val="13"/>
                <w:szCs w:val="13"/>
                <w:color w:val="auto"/>
              </w:rPr>
              <w:t>234</w:t>
            </w:r>
          </w:p>
        </w:tc>
        <w:tc>
          <w:tcPr>
            <w:tcW w:w="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960" w:type="dxa"/>
            <w:vAlign w:val="bottom"/>
            <w:gridSpan w:val="2"/>
          </w:tcPr>
          <w:p>
            <w:pPr>
              <w:jc w:val="right"/>
              <w:ind w:right="180"/>
              <w:spacing w:after="0"/>
              <w:rPr>
                <w:sz w:val="20"/>
                <w:szCs w:val="20"/>
                <w:color w:val="auto"/>
              </w:rPr>
            </w:pPr>
            <w:r>
              <w:rPr>
                <w:rFonts w:ascii="Arial" w:cs="Arial" w:eastAsia="Arial" w:hAnsi="Arial"/>
                <w:sz w:val="13"/>
                <w:szCs w:val="13"/>
                <w:color w:val="auto"/>
              </w:rPr>
              <w:t>181</w:t>
            </w:r>
          </w:p>
        </w:tc>
        <w:tc>
          <w:tcPr>
            <w:tcW w:w="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940" w:type="dxa"/>
            <w:vAlign w:val="bottom"/>
            <w:gridSpan w:val="2"/>
          </w:tcPr>
          <w:p>
            <w:pPr>
              <w:jc w:val="right"/>
              <w:ind w:right="83"/>
              <w:spacing w:after="0"/>
              <w:rPr>
                <w:sz w:val="20"/>
                <w:szCs w:val="20"/>
                <w:color w:val="auto"/>
              </w:rPr>
            </w:pPr>
            <w:r>
              <w:rPr>
                <w:rFonts w:ascii="Arial" w:cs="Arial" w:eastAsia="Arial" w:hAnsi="Arial"/>
                <w:sz w:val="13"/>
                <w:szCs w:val="13"/>
                <w:color w:val="auto"/>
              </w:rPr>
              <w:t>0</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354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Total interest-bearing liabilities</w:t>
            </w:r>
          </w:p>
        </w:tc>
        <w:tc>
          <w:tcPr>
            <w:tcW w:w="620" w:type="dxa"/>
            <w:vAlign w:val="bottom"/>
            <w:tcBorders>
              <w:top w:val="single" w:sz="8" w:color="auto"/>
            </w:tcBorders>
            <w:shd w:val="clear" w:color="auto" w:fill="CCEEFF"/>
          </w:tcPr>
          <w:p>
            <w:pPr>
              <w:spacing w:after="0"/>
              <w:rPr>
                <w:sz w:val="12"/>
                <w:szCs w:val="12"/>
                <w:color w:val="auto"/>
              </w:rPr>
            </w:pPr>
          </w:p>
        </w:tc>
        <w:tc>
          <w:tcPr>
            <w:tcW w:w="3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w w:val="85"/>
              </w:rPr>
              <w:t>6,533</w:t>
            </w:r>
          </w:p>
        </w:tc>
        <w:tc>
          <w:tcPr>
            <w:tcW w:w="14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3,441</w:t>
            </w:r>
          </w:p>
        </w:tc>
        <w:tc>
          <w:tcPr>
            <w:tcW w:w="2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2,094</w:t>
            </w:r>
          </w:p>
        </w:tc>
        <w:tc>
          <w:tcPr>
            <w:tcW w:w="24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74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373</w:t>
            </w:r>
          </w:p>
        </w:tc>
        <w:tc>
          <w:tcPr>
            <w:tcW w:w="18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443</w:t>
            </w:r>
          </w:p>
        </w:tc>
        <w:tc>
          <w:tcPr>
            <w:tcW w:w="16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181</w:t>
            </w:r>
          </w:p>
        </w:tc>
        <w:tc>
          <w:tcPr>
            <w:tcW w:w="18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0</w:t>
            </w: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3540" w:type="dxa"/>
            <w:vAlign w:val="bottom"/>
          </w:tcPr>
          <w:p>
            <w:pPr>
              <w:spacing w:after="0"/>
              <w:rPr>
                <w:sz w:val="20"/>
                <w:szCs w:val="20"/>
                <w:color w:val="auto"/>
              </w:rPr>
            </w:pPr>
            <w:r>
              <w:rPr>
                <w:rFonts w:ascii="Arial" w:cs="Arial" w:eastAsia="Arial" w:hAnsi="Arial"/>
                <w:sz w:val="13"/>
                <w:szCs w:val="13"/>
                <w:color w:val="auto"/>
              </w:rPr>
              <w:t>Non-interest-bearing liabilities and other liabilities</w:t>
            </w:r>
          </w:p>
        </w:tc>
        <w:tc>
          <w:tcPr>
            <w:tcW w:w="620" w:type="dxa"/>
            <w:vAlign w:val="bottom"/>
          </w:tcPr>
          <w:p>
            <w:pPr>
              <w:spacing w:after="0"/>
              <w:rPr>
                <w:sz w:val="14"/>
                <w:szCs w:val="14"/>
                <w:color w:val="auto"/>
              </w:rPr>
            </w:pPr>
          </w:p>
        </w:tc>
        <w:tc>
          <w:tcPr>
            <w:tcW w:w="300" w:type="dxa"/>
            <w:vAlign w:val="bottom"/>
          </w:tcPr>
          <w:p>
            <w:pPr>
              <w:jc w:val="right"/>
              <w:spacing w:after="0"/>
              <w:rPr>
                <w:sz w:val="20"/>
                <w:szCs w:val="20"/>
                <w:color w:val="auto"/>
              </w:rPr>
            </w:pPr>
            <w:r>
              <w:rPr>
                <w:rFonts w:ascii="Arial" w:cs="Arial" w:eastAsia="Arial" w:hAnsi="Arial"/>
                <w:sz w:val="13"/>
                <w:szCs w:val="13"/>
                <w:color w:val="auto"/>
              </w:rPr>
              <w:t>83</w:t>
            </w:r>
          </w:p>
        </w:tc>
        <w:tc>
          <w:tcPr>
            <w:tcW w:w="1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0</w:t>
            </w:r>
          </w:p>
        </w:tc>
        <w:tc>
          <w:tcPr>
            <w:tcW w:w="120" w:type="dxa"/>
            <w:vAlign w:val="bottom"/>
          </w:tcPr>
          <w:p>
            <w:pPr>
              <w:spacing w:after="0"/>
              <w:rPr>
                <w:sz w:val="14"/>
                <w:szCs w:val="14"/>
                <w:color w:val="auto"/>
              </w:rPr>
            </w:pP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0</w:t>
            </w:r>
          </w:p>
        </w:tc>
        <w:tc>
          <w:tcPr>
            <w:tcW w:w="180" w:type="dxa"/>
            <w:vAlign w:val="bottom"/>
          </w:tcPr>
          <w:p>
            <w:pPr>
              <w:spacing w:after="0"/>
              <w:rPr>
                <w:sz w:val="14"/>
                <w:szCs w:val="14"/>
                <w:color w:val="auto"/>
              </w:rPr>
            </w:pPr>
          </w:p>
        </w:tc>
        <w:tc>
          <w:tcPr>
            <w:tcW w:w="920" w:type="dxa"/>
            <w:vAlign w:val="bottom"/>
            <w:gridSpan w:val="2"/>
          </w:tcPr>
          <w:p>
            <w:pPr>
              <w:jc w:val="right"/>
              <w:ind w:right="180"/>
              <w:spacing w:after="0"/>
              <w:rPr>
                <w:sz w:val="20"/>
                <w:szCs w:val="20"/>
                <w:color w:val="auto"/>
              </w:rPr>
            </w:pPr>
            <w:r>
              <w:rPr>
                <w:rFonts w:ascii="Arial" w:cs="Arial" w:eastAsia="Arial" w:hAnsi="Arial"/>
                <w:sz w:val="13"/>
                <w:szCs w:val="13"/>
                <w:color w:val="auto"/>
              </w:rPr>
              <w:t>0</w:t>
            </w:r>
          </w:p>
        </w:tc>
        <w:tc>
          <w:tcPr>
            <w:tcW w:w="6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860" w:type="dxa"/>
            <w:vAlign w:val="bottom"/>
            <w:gridSpan w:val="2"/>
          </w:tcPr>
          <w:p>
            <w:pPr>
              <w:jc w:val="right"/>
              <w:ind w:right="160"/>
              <w:spacing w:after="0"/>
              <w:rPr>
                <w:sz w:val="20"/>
                <w:szCs w:val="20"/>
                <w:color w:val="auto"/>
              </w:rPr>
            </w:pPr>
            <w:r>
              <w:rPr>
                <w:rFonts w:ascii="Arial" w:cs="Arial" w:eastAsia="Arial" w:hAnsi="Arial"/>
                <w:sz w:val="13"/>
                <w:szCs w:val="13"/>
                <w:color w:val="auto"/>
              </w:rPr>
              <w:t>0</w:t>
            </w:r>
          </w:p>
        </w:tc>
        <w:tc>
          <w:tcPr>
            <w:tcW w:w="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960" w:type="dxa"/>
            <w:vAlign w:val="bottom"/>
            <w:gridSpan w:val="2"/>
          </w:tcPr>
          <w:p>
            <w:pPr>
              <w:jc w:val="right"/>
              <w:ind w:right="180"/>
              <w:spacing w:after="0"/>
              <w:rPr>
                <w:sz w:val="20"/>
                <w:szCs w:val="20"/>
                <w:color w:val="auto"/>
              </w:rPr>
            </w:pPr>
            <w:r>
              <w:rPr>
                <w:rFonts w:ascii="Arial" w:cs="Arial" w:eastAsia="Arial" w:hAnsi="Arial"/>
                <w:sz w:val="13"/>
                <w:szCs w:val="13"/>
                <w:color w:val="auto"/>
              </w:rPr>
              <w:t>0</w:t>
            </w: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83</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354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Total liabilities</w:t>
            </w:r>
          </w:p>
        </w:tc>
        <w:tc>
          <w:tcPr>
            <w:tcW w:w="620" w:type="dxa"/>
            <w:vAlign w:val="bottom"/>
            <w:tcBorders>
              <w:top w:val="single" w:sz="8" w:color="auto"/>
            </w:tcBorders>
            <w:shd w:val="clear" w:color="auto" w:fill="CCEEFF"/>
          </w:tcPr>
          <w:p>
            <w:pPr>
              <w:spacing w:after="0"/>
              <w:rPr>
                <w:sz w:val="12"/>
                <w:szCs w:val="12"/>
                <w:color w:val="auto"/>
              </w:rPr>
            </w:pPr>
          </w:p>
        </w:tc>
        <w:tc>
          <w:tcPr>
            <w:tcW w:w="3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w w:val="85"/>
              </w:rPr>
              <w:t>6,616</w:t>
            </w:r>
          </w:p>
        </w:tc>
        <w:tc>
          <w:tcPr>
            <w:tcW w:w="14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3,441</w:t>
            </w:r>
          </w:p>
        </w:tc>
        <w:tc>
          <w:tcPr>
            <w:tcW w:w="2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2,094</w:t>
            </w:r>
          </w:p>
        </w:tc>
        <w:tc>
          <w:tcPr>
            <w:tcW w:w="24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74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373</w:t>
            </w:r>
          </w:p>
        </w:tc>
        <w:tc>
          <w:tcPr>
            <w:tcW w:w="18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443</w:t>
            </w:r>
          </w:p>
        </w:tc>
        <w:tc>
          <w:tcPr>
            <w:tcW w:w="16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181</w:t>
            </w:r>
          </w:p>
        </w:tc>
        <w:tc>
          <w:tcPr>
            <w:tcW w:w="18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83</w:t>
            </w: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3540" w:type="dxa"/>
            <w:vAlign w:val="bottom"/>
          </w:tcPr>
          <w:p>
            <w:pPr>
              <w:spacing w:after="0"/>
              <w:rPr>
                <w:sz w:val="20"/>
                <w:szCs w:val="20"/>
                <w:color w:val="auto"/>
              </w:rPr>
            </w:pPr>
            <w:r>
              <w:rPr>
                <w:rFonts w:ascii="Arial" w:cs="Arial" w:eastAsia="Arial" w:hAnsi="Arial"/>
                <w:sz w:val="13"/>
                <w:szCs w:val="13"/>
                <w:color w:val="auto"/>
              </w:rPr>
              <w:t>Total Stockholders’ equity</w:t>
            </w:r>
          </w:p>
        </w:tc>
        <w:tc>
          <w:tcPr>
            <w:tcW w:w="620" w:type="dxa"/>
            <w:vAlign w:val="bottom"/>
          </w:tcPr>
          <w:p>
            <w:pPr>
              <w:spacing w:after="0"/>
              <w:rPr>
                <w:sz w:val="14"/>
                <w:szCs w:val="14"/>
                <w:color w:val="auto"/>
              </w:rPr>
            </w:pPr>
          </w:p>
        </w:tc>
        <w:tc>
          <w:tcPr>
            <w:tcW w:w="440" w:type="dxa"/>
            <w:vAlign w:val="bottom"/>
            <w:gridSpan w:val="2"/>
          </w:tcPr>
          <w:p>
            <w:pPr>
              <w:jc w:val="right"/>
              <w:ind w:right="140"/>
              <w:spacing w:after="0"/>
              <w:rPr>
                <w:sz w:val="20"/>
                <w:szCs w:val="20"/>
                <w:color w:val="auto"/>
              </w:rPr>
            </w:pPr>
            <w:r>
              <w:rPr>
                <w:rFonts w:ascii="Arial" w:cs="Arial" w:eastAsia="Arial" w:hAnsi="Arial"/>
                <w:sz w:val="13"/>
                <w:szCs w:val="13"/>
                <w:color w:val="auto"/>
              </w:rPr>
              <w:t>994</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0</w:t>
            </w:r>
          </w:p>
        </w:tc>
        <w:tc>
          <w:tcPr>
            <w:tcW w:w="120" w:type="dxa"/>
            <w:vAlign w:val="bottom"/>
          </w:tcPr>
          <w:p>
            <w:pPr>
              <w:spacing w:after="0"/>
              <w:rPr>
                <w:sz w:val="14"/>
                <w:szCs w:val="14"/>
                <w:color w:val="auto"/>
              </w:rPr>
            </w:pP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0</w:t>
            </w:r>
          </w:p>
        </w:tc>
        <w:tc>
          <w:tcPr>
            <w:tcW w:w="180" w:type="dxa"/>
            <w:vAlign w:val="bottom"/>
          </w:tcPr>
          <w:p>
            <w:pPr>
              <w:spacing w:after="0"/>
              <w:rPr>
                <w:sz w:val="14"/>
                <w:szCs w:val="14"/>
                <w:color w:val="auto"/>
              </w:rPr>
            </w:pPr>
          </w:p>
        </w:tc>
        <w:tc>
          <w:tcPr>
            <w:tcW w:w="920" w:type="dxa"/>
            <w:vAlign w:val="bottom"/>
            <w:gridSpan w:val="2"/>
          </w:tcPr>
          <w:p>
            <w:pPr>
              <w:jc w:val="right"/>
              <w:ind w:right="180"/>
              <w:spacing w:after="0"/>
              <w:rPr>
                <w:sz w:val="20"/>
                <w:szCs w:val="20"/>
                <w:color w:val="auto"/>
              </w:rPr>
            </w:pPr>
            <w:r>
              <w:rPr>
                <w:rFonts w:ascii="Arial" w:cs="Arial" w:eastAsia="Arial" w:hAnsi="Arial"/>
                <w:sz w:val="13"/>
                <w:szCs w:val="13"/>
                <w:color w:val="auto"/>
              </w:rPr>
              <w:t>0</w:t>
            </w:r>
          </w:p>
        </w:tc>
        <w:tc>
          <w:tcPr>
            <w:tcW w:w="6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860" w:type="dxa"/>
            <w:vAlign w:val="bottom"/>
            <w:gridSpan w:val="2"/>
          </w:tcPr>
          <w:p>
            <w:pPr>
              <w:jc w:val="right"/>
              <w:ind w:right="160"/>
              <w:spacing w:after="0"/>
              <w:rPr>
                <w:sz w:val="20"/>
                <w:szCs w:val="20"/>
                <w:color w:val="auto"/>
              </w:rPr>
            </w:pPr>
            <w:r>
              <w:rPr>
                <w:rFonts w:ascii="Arial" w:cs="Arial" w:eastAsia="Arial" w:hAnsi="Arial"/>
                <w:sz w:val="13"/>
                <w:szCs w:val="13"/>
                <w:color w:val="auto"/>
              </w:rPr>
              <w:t>0</w:t>
            </w:r>
          </w:p>
        </w:tc>
        <w:tc>
          <w:tcPr>
            <w:tcW w:w="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960" w:type="dxa"/>
            <w:vAlign w:val="bottom"/>
            <w:gridSpan w:val="2"/>
          </w:tcPr>
          <w:p>
            <w:pPr>
              <w:jc w:val="right"/>
              <w:ind w:right="180"/>
              <w:spacing w:after="0"/>
              <w:rPr>
                <w:sz w:val="20"/>
                <w:szCs w:val="20"/>
                <w:color w:val="auto"/>
              </w:rPr>
            </w:pPr>
            <w:r>
              <w:rPr>
                <w:rFonts w:ascii="Arial" w:cs="Arial" w:eastAsia="Arial" w:hAnsi="Arial"/>
                <w:sz w:val="13"/>
                <w:szCs w:val="13"/>
                <w:color w:val="auto"/>
              </w:rPr>
              <w:t>0</w:t>
            </w: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40" w:type="dxa"/>
            <w:vAlign w:val="bottom"/>
            <w:gridSpan w:val="2"/>
          </w:tcPr>
          <w:p>
            <w:pPr>
              <w:jc w:val="right"/>
              <w:ind w:right="83"/>
              <w:spacing w:after="0"/>
              <w:rPr>
                <w:sz w:val="20"/>
                <w:szCs w:val="20"/>
                <w:color w:val="auto"/>
              </w:rPr>
            </w:pPr>
            <w:r>
              <w:rPr>
                <w:rFonts w:ascii="Arial" w:cs="Arial" w:eastAsia="Arial" w:hAnsi="Arial"/>
                <w:sz w:val="13"/>
                <w:szCs w:val="13"/>
                <w:color w:val="auto"/>
              </w:rPr>
              <w:t>994</w:t>
            </w:r>
          </w:p>
        </w:tc>
        <w:tc>
          <w:tcPr>
            <w:tcW w:w="0" w:type="dxa"/>
            <w:vAlign w:val="bottom"/>
          </w:tcPr>
          <w:p>
            <w:pPr>
              <w:spacing w:after="0"/>
              <w:rPr>
                <w:sz w:val="1"/>
                <w:szCs w:val="1"/>
                <w:color w:val="auto"/>
              </w:rPr>
            </w:pPr>
          </w:p>
        </w:tc>
      </w:tr>
      <w:tr>
        <w:trPr>
          <w:trHeight w:val="174"/>
        </w:trPr>
        <w:tc>
          <w:tcPr>
            <w:tcW w:w="20" w:type="dxa"/>
            <w:vAlign w:val="bottom"/>
          </w:tcPr>
          <w:p>
            <w:pPr>
              <w:spacing w:after="0"/>
              <w:rPr>
                <w:sz w:val="15"/>
                <w:szCs w:val="15"/>
                <w:color w:val="auto"/>
              </w:rPr>
            </w:pPr>
          </w:p>
        </w:tc>
        <w:tc>
          <w:tcPr>
            <w:tcW w:w="3540" w:type="dxa"/>
            <w:vAlign w:val="bottom"/>
            <w:tcBorders>
              <w:top w:val="single" w:sz="8" w:color="CCEEFF"/>
              <w:bottom w:val="single" w:sz="8" w:color="CCEEFF"/>
            </w:tcBorders>
            <w:shd w:val="clear" w:color="auto" w:fill="CCEEFF"/>
          </w:tcPr>
          <w:p>
            <w:pPr>
              <w:spacing w:after="0" w:line="147" w:lineRule="exact"/>
              <w:rPr>
                <w:sz w:val="20"/>
                <w:szCs w:val="20"/>
                <w:color w:val="auto"/>
              </w:rPr>
            </w:pPr>
            <w:r>
              <w:rPr>
                <w:rFonts w:ascii="Arial" w:cs="Arial" w:eastAsia="Arial" w:hAnsi="Arial"/>
                <w:sz w:val="13"/>
                <w:szCs w:val="13"/>
                <w:b w:val="1"/>
                <w:bCs w:val="1"/>
                <w:color w:val="auto"/>
              </w:rPr>
              <w:t>Total liabilities and stockholders’ equity</w:t>
            </w:r>
          </w:p>
        </w:tc>
        <w:tc>
          <w:tcPr>
            <w:tcW w:w="620" w:type="dxa"/>
            <w:vAlign w:val="bottom"/>
            <w:tcBorders>
              <w:top w:val="single" w:sz="8" w:color="auto"/>
              <w:bottom w:val="single" w:sz="8" w:color="auto"/>
            </w:tcBorders>
            <w:shd w:val="clear" w:color="auto" w:fill="CCEEFF"/>
          </w:tcPr>
          <w:p>
            <w:pPr>
              <w:spacing w:after="0"/>
              <w:rPr>
                <w:sz w:val="15"/>
                <w:szCs w:val="15"/>
                <w:color w:val="auto"/>
              </w:rPr>
            </w:pPr>
          </w:p>
        </w:tc>
        <w:tc>
          <w:tcPr>
            <w:tcW w:w="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w w:val="85"/>
              </w:rPr>
              <w:t>7,609</w:t>
            </w:r>
          </w:p>
        </w:tc>
        <w:tc>
          <w:tcPr>
            <w:tcW w:w="140" w:type="dxa"/>
            <w:vAlign w:val="bottom"/>
            <w:tcBorders>
              <w:top w:val="single" w:sz="8" w:color="CCEEFF"/>
              <w:bottom w:val="single" w:sz="8" w:color="CCEEFF"/>
            </w:tcBorders>
            <w:shd w:val="clear" w:color="auto" w:fill="CCEEFF"/>
          </w:tcPr>
          <w:p>
            <w:pPr>
              <w:spacing w:after="0"/>
              <w:rPr>
                <w:sz w:val="15"/>
                <w:szCs w:val="15"/>
                <w:color w:val="auto"/>
              </w:rPr>
            </w:pPr>
          </w:p>
        </w:tc>
        <w:tc>
          <w:tcPr>
            <w:tcW w:w="100" w:type="dxa"/>
            <w:vAlign w:val="bottom"/>
            <w:tcBorders>
              <w:top w:val="single" w:sz="8" w:color="CCEEFF"/>
              <w:bottom w:val="single" w:sz="8" w:color="CCEEFF"/>
            </w:tcBorders>
            <w:shd w:val="clear" w:color="auto" w:fill="CCEEFF"/>
          </w:tcPr>
          <w:p>
            <w:pPr>
              <w:spacing w:after="0"/>
              <w:rPr>
                <w:sz w:val="15"/>
                <w:szCs w:val="15"/>
                <w:color w:val="auto"/>
              </w:rPr>
            </w:pPr>
          </w:p>
        </w:tc>
        <w:tc>
          <w:tcPr>
            <w:tcW w:w="120" w:type="dxa"/>
            <w:vAlign w:val="bottom"/>
            <w:tcBorders>
              <w:top w:val="single" w:sz="8" w:color="auto"/>
              <w:bottom w:val="single" w:sz="8" w:color="auto"/>
            </w:tcBorders>
            <w:shd w:val="clear" w:color="auto" w:fill="CCEEFF"/>
          </w:tcPr>
          <w:p>
            <w:pPr>
              <w:spacing w:after="0"/>
              <w:rPr>
                <w:sz w:val="15"/>
                <w:szCs w:val="15"/>
                <w:color w:val="auto"/>
              </w:rPr>
            </w:pP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3,441</w:t>
            </w:r>
          </w:p>
        </w:tc>
        <w:tc>
          <w:tcPr>
            <w:tcW w:w="240" w:type="dxa"/>
            <w:vAlign w:val="bottom"/>
            <w:tcBorders>
              <w:top w:val="single" w:sz="8" w:color="CCEEFF"/>
              <w:bottom w:val="single" w:sz="8" w:color="CCEEFF"/>
            </w:tcBorders>
            <w:shd w:val="clear" w:color="auto" w:fill="CCEEFF"/>
          </w:tcPr>
          <w:p>
            <w:pPr>
              <w:spacing w:after="0"/>
              <w:rPr>
                <w:sz w:val="15"/>
                <w:szCs w:val="15"/>
                <w:color w:val="auto"/>
              </w:rPr>
            </w:pPr>
          </w:p>
        </w:tc>
        <w:tc>
          <w:tcPr>
            <w:tcW w:w="120" w:type="dxa"/>
            <w:vAlign w:val="bottom"/>
            <w:tcBorders>
              <w:top w:val="single" w:sz="8" w:color="auto"/>
              <w:bottom w:val="single" w:sz="8" w:color="auto"/>
            </w:tcBorders>
            <w:shd w:val="clear" w:color="auto" w:fill="CCEEFF"/>
          </w:tcPr>
          <w:p>
            <w:pPr>
              <w:spacing w:after="0"/>
              <w:rPr>
                <w:sz w:val="15"/>
                <w:szCs w:val="15"/>
                <w:color w:val="auto"/>
              </w:rPr>
            </w:pP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2,094</w:t>
            </w:r>
          </w:p>
        </w:tc>
        <w:tc>
          <w:tcPr>
            <w:tcW w:w="240" w:type="dxa"/>
            <w:vAlign w:val="bottom"/>
            <w:tcBorders>
              <w:top w:val="single" w:sz="8" w:color="CCEEFF"/>
              <w:bottom w:val="single" w:sz="8" w:color="CCEEFF"/>
            </w:tcBorders>
            <w:shd w:val="clear" w:color="auto" w:fill="CCEEFF"/>
          </w:tcPr>
          <w:p>
            <w:pPr>
              <w:spacing w:after="0"/>
              <w:rPr>
                <w:sz w:val="15"/>
                <w:szCs w:val="15"/>
                <w:color w:val="auto"/>
              </w:rPr>
            </w:pPr>
          </w:p>
        </w:tc>
        <w:tc>
          <w:tcPr>
            <w:tcW w:w="180" w:type="dxa"/>
            <w:vAlign w:val="bottom"/>
            <w:tcBorders>
              <w:top w:val="single" w:sz="8" w:color="auto"/>
              <w:bottom w:val="single" w:sz="8" w:color="auto"/>
            </w:tcBorders>
            <w:shd w:val="clear" w:color="auto" w:fill="CCEEFF"/>
          </w:tcPr>
          <w:p>
            <w:pPr>
              <w:spacing w:after="0"/>
              <w:rPr>
                <w:sz w:val="15"/>
                <w:szCs w:val="15"/>
                <w:color w:val="auto"/>
              </w:rPr>
            </w:pPr>
          </w:p>
        </w:tc>
        <w:tc>
          <w:tcPr>
            <w:tcW w:w="7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373</w:t>
            </w:r>
          </w:p>
        </w:tc>
        <w:tc>
          <w:tcPr>
            <w:tcW w:w="180" w:type="dxa"/>
            <w:vAlign w:val="bottom"/>
            <w:tcBorders>
              <w:top w:val="single" w:sz="8" w:color="CCEEFF"/>
              <w:bottom w:val="single" w:sz="8" w:color="CCEEFF"/>
            </w:tcBorders>
            <w:shd w:val="clear" w:color="auto" w:fill="CCEEFF"/>
          </w:tcPr>
          <w:p>
            <w:pPr>
              <w:spacing w:after="0"/>
              <w:rPr>
                <w:sz w:val="15"/>
                <w:szCs w:val="15"/>
                <w:color w:val="auto"/>
              </w:rPr>
            </w:pPr>
          </w:p>
        </w:tc>
        <w:tc>
          <w:tcPr>
            <w:tcW w:w="60" w:type="dxa"/>
            <w:vAlign w:val="bottom"/>
            <w:tcBorders>
              <w:top w:val="single" w:sz="8" w:color="CCEEFF"/>
              <w:bottom w:val="single" w:sz="8" w:color="CCEEFF"/>
            </w:tcBorders>
            <w:shd w:val="clear" w:color="auto" w:fill="CCEEFF"/>
          </w:tcPr>
          <w:p>
            <w:pPr>
              <w:spacing w:after="0"/>
              <w:rPr>
                <w:sz w:val="15"/>
                <w:szCs w:val="15"/>
                <w:color w:val="auto"/>
              </w:rPr>
            </w:pPr>
          </w:p>
        </w:tc>
        <w:tc>
          <w:tcPr>
            <w:tcW w:w="200" w:type="dxa"/>
            <w:vAlign w:val="bottom"/>
            <w:tcBorders>
              <w:top w:val="single" w:sz="8" w:color="auto"/>
              <w:bottom w:val="single" w:sz="8" w:color="auto"/>
            </w:tcBorders>
            <w:shd w:val="clear" w:color="auto" w:fill="CCEEFF"/>
          </w:tcPr>
          <w:p>
            <w:pPr>
              <w:spacing w:after="0"/>
              <w:rPr>
                <w:sz w:val="15"/>
                <w:szCs w:val="15"/>
                <w:color w:val="auto"/>
              </w:rPr>
            </w:pPr>
          </w:p>
        </w:tc>
        <w:tc>
          <w:tcPr>
            <w:tcW w:w="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443</w:t>
            </w:r>
          </w:p>
        </w:tc>
        <w:tc>
          <w:tcPr>
            <w:tcW w:w="160" w:type="dxa"/>
            <w:vAlign w:val="bottom"/>
            <w:tcBorders>
              <w:top w:val="single" w:sz="8" w:color="CCEEFF"/>
              <w:bottom w:val="single" w:sz="8" w:color="CCEEFF"/>
            </w:tcBorders>
            <w:shd w:val="clear" w:color="auto" w:fill="CCEEFF"/>
          </w:tcPr>
          <w:p>
            <w:pPr>
              <w:spacing w:after="0"/>
              <w:rPr>
                <w:sz w:val="15"/>
                <w:szCs w:val="15"/>
                <w:color w:val="auto"/>
              </w:rPr>
            </w:pPr>
          </w:p>
        </w:tc>
        <w:tc>
          <w:tcPr>
            <w:tcW w:w="60" w:type="dxa"/>
            <w:vAlign w:val="bottom"/>
            <w:tcBorders>
              <w:top w:val="single" w:sz="8" w:color="CCEEFF"/>
              <w:bottom w:val="single" w:sz="8" w:color="CCEEFF"/>
            </w:tcBorders>
            <w:shd w:val="clear" w:color="auto" w:fill="CCEEFF"/>
          </w:tcPr>
          <w:p>
            <w:pPr>
              <w:spacing w:after="0"/>
              <w:rPr>
                <w:sz w:val="15"/>
                <w:szCs w:val="15"/>
                <w:color w:val="auto"/>
              </w:rPr>
            </w:pPr>
          </w:p>
        </w:tc>
        <w:tc>
          <w:tcPr>
            <w:tcW w:w="120" w:type="dxa"/>
            <w:vAlign w:val="bottom"/>
            <w:tcBorders>
              <w:top w:val="single" w:sz="8" w:color="auto"/>
              <w:bottom w:val="single" w:sz="8" w:color="auto"/>
            </w:tcBorders>
            <w:shd w:val="clear" w:color="auto" w:fill="CCEEFF"/>
          </w:tcPr>
          <w:p>
            <w:pPr>
              <w:spacing w:after="0"/>
              <w:rPr>
                <w:sz w:val="15"/>
                <w:szCs w:val="15"/>
                <w:color w:val="auto"/>
              </w:rPr>
            </w:pP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181</w:t>
            </w:r>
          </w:p>
        </w:tc>
        <w:tc>
          <w:tcPr>
            <w:tcW w:w="180" w:type="dxa"/>
            <w:vAlign w:val="bottom"/>
            <w:tcBorders>
              <w:top w:val="single" w:sz="8" w:color="CCEEFF"/>
              <w:bottom w:val="single" w:sz="8" w:color="CCEEFF"/>
            </w:tcBorders>
            <w:shd w:val="clear" w:color="auto" w:fill="CCEEFF"/>
          </w:tcPr>
          <w:p>
            <w:pPr>
              <w:spacing w:after="0"/>
              <w:rPr>
                <w:sz w:val="15"/>
                <w:szCs w:val="15"/>
                <w:color w:val="auto"/>
              </w:rPr>
            </w:pPr>
          </w:p>
        </w:tc>
        <w:tc>
          <w:tcPr>
            <w:tcW w:w="60" w:type="dxa"/>
            <w:vAlign w:val="bottom"/>
            <w:tcBorders>
              <w:top w:val="single" w:sz="8" w:color="CCEEFF"/>
              <w:bottom w:val="single" w:sz="8" w:color="CCEEFF"/>
            </w:tcBorders>
            <w:shd w:val="clear" w:color="auto" w:fill="CCEEFF"/>
          </w:tcPr>
          <w:p>
            <w:pPr>
              <w:spacing w:after="0"/>
              <w:rPr>
                <w:sz w:val="15"/>
                <w:szCs w:val="15"/>
                <w:color w:val="auto"/>
              </w:rPr>
            </w:pPr>
          </w:p>
        </w:tc>
        <w:tc>
          <w:tcPr>
            <w:tcW w:w="80" w:type="dxa"/>
            <w:vAlign w:val="bottom"/>
            <w:tcBorders>
              <w:top w:val="single" w:sz="8" w:color="auto"/>
              <w:bottom w:val="single" w:sz="8" w:color="auto"/>
            </w:tcBorders>
            <w:shd w:val="clear" w:color="auto" w:fill="CCEEFF"/>
          </w:tcPr>
          <w:p>
            <w:pPr>
              <w:spacing w:after="0"/>
              <w:rPr>
                <w:sz w:val="15"/>
                <w:szCs w:val="15"/>
                <w:color w:val="auto"/>
              </w:rPr>
            </w:pP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1,077</w:t>
            </w:r>
          </w:p>
        </w:tc>
        <w:tc>
          <w:tcPr>
            <w:tcW w:w="120" w:type="dxa"/>
            <w:vAlign w:val="bottom"/>
            <w:tcBorders>
              <w:top w:val="single" w:sz="8" w:color="CCEEFF"/>
              <w:bottom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43"/>
        </w:trPr>
        <w:tc>
          <w:tcPr>
            <w:tcW w:w="3560" w:type="dxa"/>
            <w:vAlign w:val="bottom"/>
            <w:gridSpan w:val="2"/>
          </w:tcPr>
          <w:p>
            <w:pPr>
              <w:spacing w:after="0" w:line="143" w:lineRule="exact"/>
              <w:rPr>
                <w:sz w:val="20"/>
                <w:szCs w:val="20"/>
                <w:color w:val="auto"/>
              </w:rPr>
            </w:pPr>
            <w:r>
              <w:rPr>
                <w:rFonts w:ascii="Arial" w:cs="Arial" w:eastAsia="Arial" w:hAnsi="Arial"/>
                <w:sz w:val="13"/>
                <w:szCs w:val="13"/>
                <w:color w:val="auto"/>
              </w:rPr>
              <w:t>Interest rate sensitivity gap</w:t>
            </w:r>
          </w:p>
        </w:tc>
        <w:tc>
          <w:tcPr>
            <w:tcW w:w="620" w:type="dxa"/>
            <w:vAlign w:val="bottom"/>
          </w:tcPr>
          <w:p>
            <w:pPr>
              <w:spacing w:after="0"/>
              <w:rPr>
                <w:sz w:val="12"/>
                <w:szCs w:val="12"/>
                <w:color w:val="auto"/>
              </w:rPr>
            </w:pPr>
          </w:p>
        </w:tc>
        <w:tc>
          <w:tcPr>
            <w:tcW w:w="300" w:type="dxa"/>
            <w:vAlign w:val="bottom"/>
          </w:tcPr>
          <w:p>
            <w:pPr>
              <w:jc w:val="right"/>
              <w:spacing w:after="0" w:line="143" w:lineRule="exact"/>
              <w:rPr>
                <w:sz w:val="20"/>
                <w:szCs w:val="20"/>
                <w:color w:val="auto"/>
              </w:rPr>
            </w:pPr>
            <w:r>
              <w:rPr>
                <w:rFonts w:ascii="Arial" w:cs="Arial" w:eastAsia="Arial" w:hAnsi="Arial"/>
                <w:sz w:val="13"/>
                <w:szCs w:val="13"/>
                <w:color w:val="auto"/>
              </w:rPr>
              <w:t>0</w:t>
            </w: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tcPr>
          <w:p>
            <w:pPr>
              <w:jc w:val="right"/>
              <w:spacing w:after="0" w:line="143" w:lineRule="exact"/>
              <w:rPr>
                <w:sz w:val="20"/>
                <w:szCs w:val="20"/>
                <w:color w:val="auto"/>
              </w:rPr>
            </w:pPr>
            <w:r>
              <w:rPr>
                <w:rFonts w:ascii="Arial" w:cs="Arial" w:eastAsia="Arial" w:hAnsi="Arial"/>
                <w:sz w:val="13"/>
                <w:szCs w:val="13"/>
                <w:color w:val="auto"/>
              </w:rPr>
              <w:t>(123)</w:t>
            </w: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tcPr>
          <w:p>
            <w:pPr>
              <w:jc w:val="right"/>
              <w:spacing w:after="0" w:line="143" w:lineRule="exact"/>
              <w:rPr>
                <w:sz w:val="20"/>
                <w:szCs w:val="20"/>
                <w:color w:val="auto"/>
              </w:rPr>
            </w:pPr>
            <w:r>
              <w:rPr>
                <w:rFonts w:ascii="Arial" w:cs="Arial" w:eastAsia="Arial" w:hAnsi="Arial"/>
                <w:sz w:val="13"/>
                <w:szCs w:val="13"/>
                <w:color w:val="auto"/>
              </w:rPr>
              <w:t>422</w:t>
            </w:r>
          </w:p>
        </w:tc>
        <w:tc>
          <w:tcPr>
            <w:tcW w:w="2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40" w:type="dxa"/>
            <w:vAlign w:val="bottom"/>
          </w:tcPr>
          <w:p>
            <w:pPr>
              <w:jc w:val="right"/>
              <w:spacing w:after="0" w:line="143" w:lineRule="exact"/>
              <w:rPr>
                <w:sz w:val="20"/>
                <w:szCs w:val="20"/>
                <w:color w:val="auto"/>
              </w:rPr>
            </w:pPr>
            <w:r>
              <w:rPr>
                <w:rFonts w:ascii="Arial" w:cs="Arial" w:eastAsia="Arial" w:hAnsi="Arial"/>
                <w:sz w:val="13"/>
                <w:szCs w:val="13"/>
                <w:color w:val="auto"/>
              </w:rPr>
              <w:t>893</w:t>
            </w: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Pr>
          <w:p>
            <w:pPr>
              <w:jc w:val="right"/>
              <w:spacing w:after="0" w:line="143" w:lineRule="exact"/>
              <w:rPr>
                <w:sz w:val="20"/>
                <w:szCs w:val="20"/>
                <w:color w:val="auto"/>
              </w:rPr>
            </w:pPr>
            <w:r>
              <w:rPr>
                <w:rFonts w:ascii="Arial" w:cs="Arial" w:eastAsia="Arial" w:hAnsi="Arial"/>
                <w:sz w:val="13"/>
                <w:szCs w:val="13"/>
                <w:color w:val="auto"/>
              </w:rPr>
              <w:t>(95)</w:t>
            </w: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tcPr>
          <w:p>
            <w:pPr>
              <w:jc w:val="right"/>
              <w:spacing w:after="0" w:line="143" w:lineRule="exact"/>
              <w:rPr>
                <w:sz w:val="20"/>
                <w:szCs w:val="20"/>
                <w:color w:val="auto"/>
              </w:rPr>
            </w:pPr>
            <w:r>
              <w:rPr>
                <w:rFonts w:ascii="Arial" w:cs="Arial" w:eastAsia="Arial" w:hAnsi="Arial"/>
                <w:sz w:val="13"/>
                <w:szCs w:val="13"/>
                <w:color w:val="auto"/>
              </w:rPr>
              <w:t>2</w:t>
            </w: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20" w:type="dxa"/>
            <w:vAlign w:val="bottom"/>
          </w:tcPr>
          <w:p>
            <w:pPr>
              <w:jc w:val="right"/>
              <w:spacing w:after="0" w:line="143" w:lineRule="exact"/>
              <w:rPr>
                <w:sz w:val="20"/>
                <w:szCs w:val="20"/>
                <w:color w:val="auto"/>
              </w:rPr>
            </w:pPr>
            <w:r>
              <w:rPr>
                <w:rFonts w:ascii="Arial" w:cs="Arial" w:eastAsia="Arial" w:hAnsi="Arial"/>
                <w:sz w:val="13"/>
                <w:szCs w:val="13"/>
                <w:color w:val="auto"/>
              </w:rPr>
              <w:t>(1,099)</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540" w:type="dxa"/>
            <w:vAlign w:val="bottom"/>
            <w:shd w:val="clear" w:color="auto" w:fill="CCEEFF"/>
          </w:tcPr>
          <w:p>
            <w:pPr>
              <w:spacing w:after="0"/>
              <w:rPr>
                <w:sz w:val="20"/>
                <w:szCs w:val="20"/>
                <w:color w:val="auto"/>
              </w:rPr>
            </w:pPr>
            <w:r>
              <w:rPr>
                <w:rFonts w:ascii="Arial" w:cs="Arial" w:eastAsia="Arial" w:hAnsi="Arial"/>
                <w:sz w:val="13"/>
                <w:szCs w:val="13"/>
                <w:color w:val="auto"/>
              </w:rPr>
              <w:t>Cumulative interest rate sensitivity gap</w:t>
            </w:r>
          </w:p>
        </w:tc>
        <w:tc>
          <w:tcPr>
            <w:tcW w:w="620" w:type="dxa"/>
            <w:vAlign w:val="bottom"/>
            <w:shd w:val="clear" w:color="auto" w:fill="CCEEFF"/>
          </w:tcPr>
          <w:p>
            <w:pPr>
              <w:spacing w:after="0"/>
              <w:rPr>
                <w:sz w:val="13"/>
                <w:szCs w:val="13"/>
                <w:color w:val="auto"/>
              </w:rPr>
            </w:pPr>
          </w:p>
        </w:tc>
        <w:tc>
          <w:tcPr>
            <w:tcW w:w="3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1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04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(123)</w:t>
            </w:r>
          </w:p>
        </w:tc>
        <w:tc>
          <w:tcPr>
            <w:tcW w:w="120" w:type="dxa"/>
            <w:vAlign w:val="bottom"/>
            <w:shd w:val="clear" w:color="auto" w:fill="CCEEFF"/>
          </w:tcPr>
          <w:p>
            <w:pPr>
              <w:spacing w:after="0"/>
              <w:rPr>
                <w:sz w:val="13"/>
                <w:szCs w:val="13"/>
                <w:color w:val="auto"/>
              </w:rPr>
            </w:pP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299</w:t>
            </w:r>
          </w:p>
        </w:tc>
        <w:tc>
          <w:tcPr>
            <w:tcW w:w="18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1,192</w:t>
            </w:r>
          </w:p>
        </w:tc>
        <w:tc>
          <w:tcPr>
            <w:tcW w:w="6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1,096</w:t>
            </w:r>
          </w:p>
        </w:tc>
        <w:tc>
          <w:tcPr>
            <w:tcW w:w="16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1,099</w:t>
            </w:r>
          </w:p>
        </w:tc>
        <w:tc>
          <w:tcPr>
            <w:tcW w:w="6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940" w:type="dxa"/>
            <w:vAlign w:val="bottom"/>
            <w:gridSpan w:val="2"/>
            <w:shd w:val="clear" w:color="auto" w:fill="CCEEFF"/>
          </w:tcPr>
          <w:p>
            <w:pPr>
              <w:jc w:val="right"/>
              <w:ind w:right="83"/>
              <w:spacing w:after="0"/>
              <w:rPr>
                <w:sz w:val="20"/>
                <w:szCs w:val="20"/>
                <w:color w:val="auto"/>
              </w:rPr>
            </w:pPr>
            <w:r>
              <w:rPr>
                <w:rFonts w:ascii="Arial" w:cs="Arial" w:eastAsia="Arial" w:hAnsi="Arial"/>
                <w:sz w:val="13"/>
                <w:szCs w:val="13"/>
                <w:color w:val="auto"/>
              </w:rPr>
              <w:t>0</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540" w:type="dxa"/>
            <w:vAlign w:val="bottom"/>
          </w:tcPr>
          <w:p>
            <w:pPr>
              <w:spacing w:after="0"/>
              <w:rPr>
                <w:sz w:val="20"/>
                <w:szCs w:val="20"/>
                <w:color w:val="auto"/>
              </w:rPr>
            </w:pPr>
            <w:r>
              <w:rPr>
                <w:rFonts w:ascii="Arial" w:cs="Arial" w:eastAsia="Arial" w:hAnsi="Arial"/>
                <w:sz w:val="13"/>
                <w:szCs w:val="13"/>
                <w:color w:val="auto"/>
              </w:rPr>
              <w:t>Cumulative gap as a % of total interest-earning assets</w:t>
            </w:r>
          </w:p>
        </w:tc>
        <w:tc>
          <w:tcPr>
            <w:tcW w:w="620" w:type="dxa"/>
            <w:vAlign w:val="bottom"/>
          </w:tcPr>
          <w:p>
            <w:pPr>
              <w:spacing w:after="0"/>
              <w:rPr>
                <w:sz w:val="14"/>
                <w:szCs w:val="14"/>
                <w:color w:val="auto"/>
              </w:rPr>
            </w:pPr>
          </w:p>
        </w:tc>
        <w:tc>
          <w:tcPr>
            <w:tcW w:w="300" w:type="dxa"/>
            <w:vAlign w:val="bottom"/>
          </w:tcPr>
          <w:p>
            <w:pPr>
              <w:jc w:val="right"/>
              <w:spacing w:after="0"/>
              <w:rPr>
                <w:sz w:val="20"/>
                <w:szCs w:val="20"/>
                <w:color w:val="auto"/>
              </w:rPr>
            </w:pPr>
            <w:r>
              <w:rPr>
                <w:rFonts w:ascii="Arial" w:cs="Arial" w:eastAsia="Arial" w:hAnsi="Arial"/>
                <w:sz w:val="13"/>
                <w:szCs w:val="13"/>
                <w:color w:val="auto"/>
              </w:rPr>
              <w:t>-</w:t>
            </w:r>
          </w:p>
        </w:tc>
        <w:tc>
          <w:tcPr>
            <w:tcW w:w="1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40" w:type="dxa"/>
            <w:vAlign w:val="bottom"/>
            <w:gridSpan w:val="2"/>
          </w:tcPr>
          <w:p>
            <w:pPr>
              <w:jc w:val="right"/>
              <w:ind w:right="140"/>
              <w:spacing w:after="0"/>
              <w:rPr>
                <w:sz w:val="20"/>
                <w:szCs w:val="20"/>
                <w:color w:val="auto"/>
              </w:rPr>
            </w:pPr>
            <w:r>
              <w:rPr>
                <w:rFonts w:ascii="Arial" w:cs="Arial" w:eastAsia="Arial" w:hAnsi="Arial"/>
                <w:sz w:val="13"/>
                <w:szCs w:val="13"/>
                <w:color w:val="auto"/>
              </w:rPr>
              <w:t>-2%</w:t>
            </w:r>
          </w:p>
        </w:tc>
        <w:tc>
          <w:tcPr>
            <w:tcW w:w="120" w:type="dxa"/>
            <w:vAlign w:val="bottom"/>
          </w:tcPr>
          <w:p>
            <w:pPr>
              <w:spacing w:after="0"/>
              <w:rPr>
                <w:sz w:val="14"/>
                <w:szCs w:val="14"/>
                <w:color w:val="auto"/>
              </w:rPr>
            </w:pPr>
          </w:p>
        </w:tc>
        <w:tc>
          <w:tcPr>
            <w:tcW w:w="1040" w:type="dxa"/>
            <w:vAlign w:val="bottom"/>
            <w:gridSpan w:val="2"/>
          </w:tcPr>
          <w:p>
            <w:pPr>
              <w:jc w:val="right"/>
              <w:ind w:right="140"/>
              <w:spacing w:after="0"/>
              <w:rPr>
                <w:sz w:val="20"/>
                <w:szCs w:val="20"/>
                <w:color w:val="auto"/>
              </w:rPr>
            </w:pPr>
            <w:r>
              <w:rPr>
                <w:rFonts w:ascii="Arial" w:cs="Arial" w:eastAsia="Arial" w:hAnsi="Arial"/>
                <w:sz w:val="13"/>
                <w:szCs w:val="13"/>
                <w:color w:val="auto"/>
              </w:rPr>
              <w:t>4%</w:t>
            </w:r>
          </w:p>
        </w:tc>
        <w:tc>
          <w:tcPr>
            <w:tcW w:w="180" w:type="dxa"/>
            <w:vAlign w:val="bottom"/>
          </w:tcPr>
          <w:p>
            <w:pPr>
              <w:spacing w:after="0"/>
              <w:rPr>
                <w:sz w:val="14"/>
                <w:szCs w:val="14"/>
                <w:color w:val="auto"/>
              </w:rPr>
            </w:pPr>
          </w:p>
        </w:tc>
        <w:tc>
          <w:tcPr>
            <w:tcW w:w="920" w:type="dxa"/>
            <w:vAlign w:val="bottom"/>
            <w:gridSpan w:val="2"/>
          </w:tcPr>
          <w:p>
            <w:pPr>
              <w:jc w:val="right"/>
              <w:ind w:right="60"/>
              <w:spacing w:after="0"/>
              <w:rPr>
                <w:sz w:val="20"/>
                <w:szCs w:val="20"/>
                <w:color w:val="auto"/>
              </w:rPr>
            </w:pPr>
            <w:r>
              <w:rPr>
                <w:rFonts w:ascii="Arial" w:cs="Arial" w:eastAsia="Arial" w:hAnsi="Arial"/>
                <w:sz w:val="13"/>
                <w:szCs w:val="13"/>
                <w:color w:val="auto"/>
              </w:rPr>
              <w:t>16%</w:t>
            </w:r>
          </w:p>
        </w:tc>
        <w:tc>
          <w:tcPr>
            <w:tcW w:w="6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860" w:type="dxa"/>
            <w:vAlign w:val="bottom"/>
            <w:gridSpan w:val="2"/>
          </w:tcPr>
          <w:p>
            <w:pPr>
              <w:jc w:val="right"/>
              <w:ind w:right="40"/>
              <w:spacing w:after="0"/>
              <w:rPr>
                <w:sz w:val="20"/>
                <w:szCs w:val="20"/>
                <w:color w:val="auto"/>
              </w:rPr>
            </w:pPr>
            <w:r>
              <w:rPr>
                <w:rFonts w:ascii="Arial" w:cs="Arial" w:eastAsia="Arial" w:hAnsi="Arial"/>
                <w:sz w:val="13"/>
                <w:szCs w:val="13"/>
                <w:color w:val="auto"/>
              </w:rPr>
              <w:t>14%</w:t>
            </w:r>
          </w:p>
        </w:tc>
        <w:tc>
          <w:tcPr>
            <w:tcW w:w="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960" w:type="dxa"/>
            <w:vAlign w:val="bottom"/>
            <w:gridSpan w:val="2"/>
          </w:tcPr>
          <w:p>
            <w:pPr>
              <w:jc w:val="right"/>
              <w:ind w:right="60"/>
              <w:spacing w:after="0"/>
              <w:rPr>
                <w:sz w:val="20"/>
                <w:szCs w:val="20"/>
                <w:color w:val="auto"/>
              </w:rPr>
            </w:pPr>
            <w:r>
              <w:rPr>
                <w:rFonts w:ascii="Arial" w:cs="Arial" w:eastAsia="Arial" w:hAnsi="Arial"/>
                <w:sz w:val="13"/>
                <w:szCs w:val="13"/>
                <w:color w:val="auto"/>
              </w:rPr>
              <w:t>14%</w:t>
            </w: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40" w:type="dxa"/>
            <w:vAlign w:val="bottom"/>
            <w:gridSpan w:val="2"/>
          </w:tcPr>
          <w:p>
            <w:pPr>
              <w:jc w:val="right"/>
              <w:spacing w:after="0"/>
              <w:rPr>
                <w:sz w:val="20"/>
                <w:szCs w:val="20"/>
                <w:color w:val="auto"/>
              </w:rPr>
            </w:pPr>
            <w:r>
              <w:rPr>
                <w:rFonts w:ascii="Arial" w:cs="Arial" w:eastAsia="Arial" w:hAnsi="Arial"/>
                <w:sz w:val="13"/>
                <w:szCs w:val="13"/>
                <w:color w:val="auto"/>
              </w:rPr>
              <w:t>0%</w:t>
            </w:r>
          </w:p>
        </w:tc>
        <w:tc>
          <w:tcPr>
            <w:tcW w:w="0" w:type="dxa"/>
            <w:vAlign w:val="bottom"/>
          </w:tcPr>
          <w:p>
            <w:pPr>
              <w:spacing w:after="0"/>
              <w:rPr>
                <w:sz w:val="1"/>
                <w:szCs w:val="1"/>
                <w:color w:val="auto"/>
              </w:rPr>
            </w:pPr>
          </w:p>
        </w:tc>
      </w:tr>
    </w:tbl>
    <w:p>
      <w:pPr>
        <w:spacing w:after="0" w:line="88" w:lineRule="exact"/>
        <w:rPr>
          <w:sz w:val="20"/>
          <w:szCs w:val="20"/>
          <w:color w:val="auto"/>
        </w:rPr>
      </w:pPr>
    </w:p>
    <w:p>
      <w:pPr>
        <w:spacing w:after="0"/>
        <w:rPr>
          <w:sz w:val="20"/>
          <w:szCs w:val="20"/>
          <w:color w:val="auto"/>
        </w:rPr>
      </w:pPr>
      <w:r>
        <w:rPr>
          <w:rFonts w:ascii="Arial" w:cs="Arial" w:eastAsia="Arial" w:hAnsi="Arial"/>
          <w:sz w:val="21"/>
          <w:szCs w:val="21"/>
          <w:color w:val="auto"/>
          <w:vertAlign w:val="superscript"/>
        </w:rPr>
        <w:t>(1)</w:t>
      </w:r>
      <w:r>
        <w:rPr>
          <w:rFonts w:ascii="Arial" w:cs="Arial" w:eastAsia="Arial" w:hAnsi="Arial"/>
          <w:sz w:val="13"/>
          <w:szCs w:val="13"/>
          <w:color w:val="auto"/>
        </w:rPr>
        <w:t xml:space="preserve"> Gross of interest receivable and allowance for losses.</w:t>
      </w:r>
    </w:p>
    <w:p>
      <w:pPr>
        <w:spacing w:after="0"/>
        <w:rPr>
          <w:sz w:val="20"/>
          <w:szCs w:val="20"/>
          <w:color w:val="auto"/>
        </w:rPr>
      </w:pPr>
      <w:r>
        <w:rPr>
          <w:rFonts w:ascii="Arial" w:cs="Arial" w:eastAsia="Arial" w:hAnsi="Arial"/>
          <w:sz w:val="21"/>
          <w:szCs w:val="21"/>
          <w:color w:val="auto"/>
          <w:vertAlign w:val="superscript"/>
        </w:rPr>
        <w:t>(2)</w:t>
      </w:r>
      <w:r>
        <w:rPr>
          <w:rFonts w:ascii="Arial" w:cs="Arial" w:eastAsia="Arial" w:hAnsi="Arial"/>
          <w:sz w:val="13"/>
          <w:szCs w:val="13"/>
          <w:color w:val="auto"/>
        </w:rPr>
        <w:t xml:space="preserve"> Gross of prepaid commissions.</w:t>
      </w:r>
    </w:p>
    <w:p>
      <w:pPr>
        <w:spacing w:after="0" w:line="234"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74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76" w:name="page77"/>
    <w:bookmarkEnd w:id="76"/>
    <w:p>
      <w:pPr>
        <w:jc w:val="both"/>
        <w:ind w:right="20"/>
        <w:spacing w:after="0" w:line="252" w:lineRule="auto"/>
        <w:rPr>
          <w:sz w:val="20"/>
          <w:szCs w:val="20"/>
          <w:color w:val="auto"/>
        </w:rPr>
      </w:pPr>
      <w:r>
        <w:rPr>
          <w:rFonts w:ascii="Arial" w:cs="Arial" w:eastAsia="Arial" w:hAnsi="Arial"/>
          <w:sz w:val="13"/>
          <w:szCs w:val="13"/>
          <w:color w:val="auto"/>
        </w:rPr>
        <w:t>The Bank’s interest rate risk is the exposure of earnings (current and potential) and capital to changes in interest rates. Due to the fact that the significant majority of the Bank’s assets and liabilities are either short-term or have short-term US-LIBOR based repricing schedules, the Bank has a relatively low exposure to interest rate volatility, with most interest rate sensitivity being short-term in nature (up to six months). Through an active interest rate management strategy, the Bank has aligned this moderate exposure to profit from an increase in short-term LIBOR rates. The Bank’s policy with respect to interest rate risk provides that the Bank establishes limits with regards to: (1) changes in net interest income due to a potential impact, given certain movements in interest rates and (2) changes in the amount of available equity funds of the Bank, given a one basis point movement in interest rates.</w:t>
      </w:r>
    </w:p>
    <w:p>
      <w:pPr>
        <w:spacing w:after="0" w:line="139" w:lineRule="exact"/>
        <w:rPr>
          <w:sz w:val="20"/>
          <w:szCs w:val="20"/>
          <w:color w:val="auto"/>
        </w:rPr>
      </w:pPr>
    </w:p>
    <w:tbl>
      <w:tblPr>
        <w:tblLayout w:type="fixed"/>
        <w:tblInd w:w="0" w:type="dxa"/>
        <w:tblCellMar>
          <w:top w:w="0" w:type="dxa"/>
          <w:left w:w="0" w:type="dxa"/>
          <w:bottom w:w="0" w:type="dxa"/>
          <w:right w:w="0" w:type="dxa"/>
        </w:tblCellMar>
      </w:tblPr>
      <w:tr>
        <w:trPr>
          <w:trHeight w:val="162"/>
        </w:trPr>
        <w:tc>
          <w:tcPr>
            <w:tcW w:w="6760" w:type="dxa"/>
            <w:vAlign w:val="bottom"/>
          </w:tcPr>
          <w:p>
            <w:pPr>
              <w:spacing w:after="0"/>
              <w:rPr>
                <w:sz w:val="20"/>
                <w:szCs w:val="20"/>
                <w:color w:val="auto"/>
              </w:rPr>
            </w:pPr>
            <w:r>
              <w:rPr>
                <w:rFonts w:ascii="Arial" w:cs="Arial" w:eastAsia="Arial" w:hAnsi="Arial"/>
                <w:sz w:val="13"/>
                <w:szCs w:val="13"/>
                <w:color w:val="auto"/>
              </w:rPr>
              <w:t>See Item 11, “Quantitative and Qualitative Disclosure About Market Risk.”</w:t>
            </w:r>
          </w:p>
        </w:tc>
        <w:tc>
          <w:tcPr>
            <w:tcW w:w="28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42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308"/>
        </w:trPr>
        <w:tc>
          <w:tcPr>
            <w:tcW w:w="6760" w:type="dxa"/>
            <w:vAlign w:val="bottom"/>
          </w:tcPr>
          <w:p>
            <w:pPr>
              <w:spacing w:after="0"/>
              <w:rPr>
                <w:sz w:val="20"/>
                <w:szCs w:val="20"/>
                <w:color w:val="auto"/>
              </w:rPr>
            </w:pPr>
            <w:r>
              <w:rPr>
                <w:rFonts w:ascii="Arial" w:cs="Arial" w:eastAsia="Arial" w:hAnsi="Arial"/>
                <w:sz w:val="13"/>
                <w:szCs w:val="13"/>
                <w:b w:val="1"/>
                <w:bCs w:val="1"/>
                <w:i w:val="1"/>
                <w:iCs w:val="1"/>
                <w:color w:val="auto"/>
              </w:rPr>
              <w:t>Equity</w:t>
            </w:r>
          </w:p>
        </w:tc>
        <w:tc>
          <w:tcPr>
            <w:tcW w:w="28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308"/>
        </w:trPr>
        <w:tc>
          <w:tcPr>
            <w:tcW w:w="6760" w:type="dxa"/>
            <w:vAlign w:val="bottom"/>
          </w:tcPr>
          <w:p>
            <w:pPr>
              <w:spacing w:after="0"/>
              <w:rPr>
                <w:sz w:val="20"/>
                <w:szCs w:val="20"/>
                <w:color w:val="auto"/>
              </w:rPr>
            </w:pPr>
            <w:r>
              <w:rPr>
                <w:rFonts w:ascii="Arial" w:cs="Arial" w:eastAsia="Arial" w:hAnsi="Arial"/>
                <w:sz w:val="13"/>
                <w:szCs w:val="13"/>
                <w:color w:val="auto"/>
              </w:rPr>
              <w:t>The following table presents information regarding the Bank’s capital position as of the dates indicated:</w:t>
            </w:r>
          </w:p>
        </w:tc>
        <w:tc>
          <w:tcPr>
            <w:tcW w:w="28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318"/>
        </w:trPr>
        <w:tc>
          <w:tcPr>
            <w:tcW w:w="6760" w:type="dxa"/>
            <w:vAlign w:val="bottom"/>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gridSpan w:val="3"/>
          </w:tcPr>
          <w:p>
            <w:pPr>
              <w:jc w:val="right"/>
              <w:ind w:right="300"/>
              <w:spacing w:after="0"/>
              <w:rPr>
                <w:sz w:val="20"/>
                <w:szCs w:val="20"/>
                <w:color w:val="auto"/>
              </w:rPr>
            </w:pPr>
            <w:r>
              <w:rPr>
                <w:rFonts w:ascii="Arial" w:cs="Arial" w:eastAsia="Arial" w:hAnsi="Arial"/>
                <w:sz w:val="13"/>
                <w:szCs w:val="13"/>
                <w:b w:val="1"/>
                <w:bCs w:val="1"/>
                <w:color w:val="auto"/>
                <w:w w:val="91"/>
              </w:rPr>
              <w:t>As of December 31,</w:t>
            </w:r>
          </w:p>
        </w:tc>
        <w:tc>
          <w:tcPr>
            <w:tcW w:w="26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154"/>
        </w:trPr>
        <w:tc>
          <w:tcPr>
            <w:tcW w:w="6760" w:type="dxa"/>
            <w:vAlign w:val="bottom"/>
          </w:tcPr>
          <w:p>
            <w:pPr>
              <w:spacing w:after="0"/>
              <w:rPr>
                <w:sz w:val="13"/>
                <w:szCs w:val="13"/>
                <w:color w:val="auto"/>
              </w:rPr>
            </w:pPr>
          </w:p>
        </w:tc>
        <w:tc>
          <w:tcPr>
            <w:tcW w:w="280" w:type="dxa"/>
            <w:vAlign w:val="bottom"/>
            <w:tcBorders>
              <w:bottom w:val="single" w:sz="8" w:color="auto"/>
            </w:tcBorders>
          </w:tcPr>
          <w:p>
            <w:pPr>
              <w:spacing w:after="0"/>
              <w:rPr>
                <w:sz w:val="13"/>
                <w:szCs w:val="13"/>
                <w:color w:val="auto"/>
              </w:rPr>
            </w:pPr>
          </w:p>
        </w:tc>
        <w:tc>
          <w:tcPr>
            <w:tcW w:w="940" w:type="dxa"/>
            <w:vAlign w:val="bottom"/>
            <w:tcBorders>
              <w:bottom w:val="single" w:sz="8" w:color="auto"/>
            </w:tcBorders>
          </w:tcPr>
          <w:p>
            <w:pPr>
              <w:jc w:val="right"/>
              <w:ind w:right="416"/>
              <w:spacing w:after="0"/>
              <w:rPr>
                <w:sz w:val="20"/>
                <w:szCs w:val="20"/>
                <w:color w:val="auto"/>
              </w:rPr>
            </w:pPr>
            <w:r>
              <w:rPr>
                <w:rFonts w:ascii="Arial" w:cs="Arial" w:eastAsia="Arial" w:hAnsi="Arial"/>
                <w:sz w:val="13"/>
                <w:szCs w:val="13"/>
                <w:b w:val="1"/>
                <w:bCs w:val="1"/>
                <w:color w:val="auto"/>
              </w:rPr>
              <w:t>2018</w:t>
            </w:r>
          </w:p>
        </w:tc>
        <w:tc>
          <w:tcPr>
            <w:tcW w:w="200" w:type="dxa"/>
            <w:vAlign w:val="bottom"/>
            <w:tcBorders>
              <w:bottom w:val="single" w:sz="8" w:color="auto"/>
            </w:tcBorders>
          </w:tcPr>
          <w:p>
            <w:pPr>
              <w:spacing w:after="0"/>
              <w:rPr>
                <w:sz w:val="13"/>
                <w:szCs w:val="13"/>
                <w:color w:val="auto"/>
              </w:rPr>
            </w:pPr>
          </w:p>
        </w:tc>
        <w:tc>
          <w:tcPr>
            <w:tcW w:w="420" w:type="dxa"/>
            <w:vAlign w:val="bottom"/>
            <w:tcBorders>
              <w:bottom w:val="single" w:sz="8" w:color="auto"/>
            </w:tcBorders>
          </w:tcPr>
          <w:p>
            <w:pPr>
              <w:spacing w:after="0"/>
              <w:rPr>
                <w:sz w:val="13"/>
                <w:szCs w:val="13"/>
                <w:color w:val="auto"/>
              </w:rPr>
            </w:pPr>
          </w:p>
        </w:tc>
        <w:tc>
          <w:tcPr>
            <w:tcW w:w="780" w:type="dxa"/>
            <w:vAlign w:val="bottom"/>
            <w:tcBorders>
              <w:bottom w:val="single" w:sz="8" w:color="auto"/>
            </w:tcBorders>
          </w:tcPr>
          <w:p>
            <w:pPr>
              <w:jc w:val="right"/>
              <w:ind w:right="396"/>
              <w:spacing w:after="0"/>
              <w:rPr>
                <w:sz w:val="20"/>
                <w:szCs w:val="20"/>
                <w:color w:val="auto"/>
              </w:rPr>
            </w:pPr>
            <w:r>
              <w:rPr>
                <w:rFonts w:ascii="Arial" w:cs="Arial" w:eastAsia="Arial" w:hAnsi="Arial"/>
                <w:sz w:val="13"/>
                <w:szCs w:val="13"/>
                <w:b w:val="1"/>
                <w:bCs w:val="1"/>
                <w:color w:val="auto"/>
              </w:rPr>
              <w:t>2017</w:t>
            </w:r>
          </w:p>
        </w:tc>
        <w:tc>
          <w:tcPr>
            <w:tcW w:w="220" w:type="dxa"/>
            <w:vAlign w:val="bottom"/>
            <w:tcBorders>
              <w:bottom w:val="single" w:sz="8" w:color="auto"/>
            </w:tcBorders>
          </w:tcPr>
          <w:p>
            <w:pPr>
              <w:spacing w:after="0"/>
              <w:rPr>
                <w:sz w:val="13"/>
                <w:szCs w:val="13"/>
                <w:color w:val="auto"/>
              </w:rPr>
            </w:pPr>
          </w:p>
        </w:tc>
        <w:tc>
          <w:tcPr>
            <w:tcW w:w="260" w:type="dxa"/>
            <w:vAlign w:val="bottom"/>
            <w:tcBorders>
              <w:bottom w:val="single" w:sz="8" w:color="auto"/>
            </w:tcBorders>
          </w:tcPr>
          <w:p>
            <w:pPr>
              <w:spacing w:after="0"/>
              <w:rPr>
                <w:sz w:val="13"/>
                <w:szCs w:val="13"/>
                <w:color w:val="auto"/>
              </w:rPr>
            </w:pPr>
          </w:p>
        </w:tc>
        <w:tc>
          <w:tcPr>
            <w:tcW w:w="920" w:type="dxa"/>
            <w:vAlign w:val="bottom"/>
            <w:tcBorders>
              <w:bottom w:val="single" w:sz="8" w:color="auto"/>
            </w:tcBorders>
          </w:tcPr>
          <w:p>
            <w:pPr>
              <w:jc w:val="right"/>
              <w:ind w:right="396"/>
              <w:spacing w:after="0"/>
              <w:rPr>
                <w:sz w:val="20"/>
                <w:szCs w:val="20"/>
                <w:color w:val="auto"/>
              </w:rPr>
            </w:pPr>
            <w:r>
              <w:rPr>
                <w:rFonts w:ascii="Arial" w:cs="Arial" w:eastAsia="Arial" w:hAnsi="Arial"/>
                <w:sz w:val="13"/>
                <w:szCs w:val="13"/>
                <w:b w:val="1"/>
                <w:bCs w:val="1"/>
                <w:color w:val="auto"/>
              </w:rPr>
              <w:t>2016</w:t>
            </w: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44"/>
        </w:trPr>
        <w:tc>
          <w:tcPr>
            <w:tcW w:w="67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420" w:type="dxa"/>
            <w:vAlign w:val="bottom"/>
          </w:tcPr>
          <w:p>
            <w:pPr>
              <w:jc w:val="right"/>
              <w:spacing w:after="0" w:line="144" w:lineRule="exact"/>
              <w:rPr>
                <w:sz w:val="20"/>
                <w:szCs w:val="20"/>
                <w:color w:val="auto"/>
              </w:rPr>
            </w:pPr>
            <w:r>
              <w:rPr>
                <w:rFonts w:ascii="Arial" w:cs="Arial" w:eastAsia="Arial" w:hAnsi="Arial"/>
                <w:sz w:val="13"/>
                <w:szCs w:val="13"/>
                <w:b w:val="1"/>
                <w:bCs w:val="1"/>
                <w:color w:val="auto"/>
              </w:rPr>
              <w:t>(in $</w:t>
            </w:r>
          </w:p>
        </w:tc>
        <w:tc>
          <w:tcPr>
            <w:tcW w:w="1000" w:type="dxa"/>
            <w:vAlign w:val="bottom"/>
            <w:gridSpan w:val="2"/>
          </w:tcPr>
          <w:p>
            <w:pPr>
              <w:jc w:val="right"/>
              <w:ind w:right="380"/>
              <w:spacing w:after="0" w:line="144" w:lineRule="exact"/>
              <w:rPr>
                <w:sz w:val="20"/>
                <w:szCs w:val="20"/>
                <w:color w:val="auto"/>
              </w:rPr>
            </w:pPr>
            <w:r>
              <w:rPr>
                <w:rFonts w:ascii="Arial" w:cs="Arial" w:eastAsia="Arial" w:hAnsi="Arial"/>
                <w:sz w:val="13"/>
                <w:szCs w:val="13"/>
                <w:b w:val="1"/>
                <w:bCs w:val="1"/>
                <w:color w:val="auto"/>
                <w:w w:val="85"/>
              </w:rPr>
              <w:t>thousands)</w:t>
            </w:r>
          </w:p>
        </w:tc>
        <w:tc>
          <w:tcPr>
            <w:tcW w:w="26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6760" w:type="dxa"/>
            <w:vAlign w:val="bottom"/>
            <w:shd w:val="clear" w:color="auto" w:fill="CCEEFF"/>
          </w:tcPr>
          <w:p>
            <w:pPr>
              <w:spacing w:after="0"/>
              <w:rPr>
                <w:sz w:val="20"/>
                <w:szCs w:val="20"/>
                <w:color w:val="auto"/>
              </w:rPr>
            </w:pPr>
            <w:r>
              <w:rPr>
                <w:rFonts w:ascii="Arial" w:cs="Arial" w:eastAsia="Arial" w:hAnsi="Arial"/>
                <w:sz w:val="13"/>
                <w:szCs w:val="13"/>
                <w:color w:val="auto"/>
              </w:rPr>
              <w:t>Common stock</w:t>
            </w:r>
          </w:p>
        </w:tc>
        <w:tc>
          <w:tcPr>
            <w:tcW w:w="280" w:type="dxa"/>
            <w:vAlign w:val="bottom"/>
            <w:shd w:val="clear" w:color="auto" w:fill="CCEEFF"/>
          </w:tcPr>
          <w:p>
            <w:pPr>
              <w:jc w:val="right"/>
              <w:ind w:right="172"/>
              <w:spacing w:after="0"/>
              <w:rPr>
                <w:sz w:val="20"/>
                <w:szCs w:val="20"/>
                <w:color w:val="auto"/>
              </w:rPr>
            </w:pPr>
            <w:r>
              <w:rPr>
                <w:rFonts w:ascii="Arial" w:cs="Arial" w:eastAsia="Arial" w:hAnsi="Arial"/>
                <w:sz w:val="10"/>
                <w:szCs w:val="10"/>
                <w:color w:val="auto"/>
                <w:w w:val="71"/>
              </w:rPr>
              <w:t>$</w:t>
            </w:r>
          </w:p>
        </w:tc>
        <w:tc>
          <w:tcPr>
            <w:tcW w:w="9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279,980</w:t>
            </w:r>
          </w:p>
        </w:tc>
        <w:tc>
          <w:tcPr>
            <w:tcW w:w="200" w:type="dxa"/>
            <w:vAlign w:val="bottom"/>
            <w:shd w:val="clear" w:color="auto" w:fill="CCEEFF"/>
          </w:tcPr>
          <w:p>
            <w:pPr>
              <w:spacing w:after="0"/>
              <w:rPr>
                <w:sz w:val="13"/>
                <w:szCs w:val="13"/>
                <w:color w:val="auto"/>
              </w:rPr>
            </w:pPr>
          </w:p>
        </w:tc>
        <w:tc>
          <w:tcPr>
            <w:tcW w:w="420" w:type="dxa"/>
            <w:vAlign w:val="bottom"/>
            <w:shd w:val="clear" w:color="auto" w:fill="CCEEFF"/>
          </w:tcPr>
          <w:p>
            <w:pPr>
              <w:jc w:val="right"/>
              <w:ind w:right="276"/>
              <w:spacing w:after="0"/>
              <w:rPr>
                <w:sz w:val="20"/>
                <w:szCs w:val="20"/>
                <w:color w:val="auto"/>
              </w:rPr>
            </w:pPr>
            <w:r>
              <w:rPr>
                <w:rFonts w:ascii="Arial" w:cs="Arial" w:eastAsia="Arial" w:hAnsi="Arial"/>
                <w:sz w:val="13"/>
                <w:szCs w:val="13"/>
                <w:color w:val="auto"/>
                <w:w w:val="82"/>
              </w:rPr>
              <w:t>$</w:t>
            </w: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279,980</w:t>
            </w:r>
          </w:p>
        </w:tc>
        <w:tc>
          <w:tcPr>
            <w:tcW w:w="260" w:type="dxa"/>
            <w:vAlign w:val="bottom"/>
            <w:shd w:val="clear" w:color="auto" w:fill="CCEEFF"/>
          </w:tcPr>
          <w:p>
            <w:pPr>
              <w:jc w:val="right"/>
              <w:ind w:right="152"/>
              <w:spacing w:after="0"/>
              <w:rPr>
                <w:sz w:val="20"/>
                <w:szCs w:val="20"/>
                <w:color w:val="auto"/>
              </w:rPr>
            </w:pPr>
            <w:r>
              <w:rPr>
                <w:rFonts w:ascii="Arial" w:cs="Arial" w:eastAsia="Arial" w:hAnsi="Arial"/>
                <w:sz w:val="10"/>
                <w:szCs w:val="10"/>
                <w:color w:val="auto"/>
                <w:w w:val="71"/>
              </w:rPr>
              <w:t>$</w:t>
            </w:r>
          </w:p>
        </w:tc>
        <w:tc>
          <w:tcPr>
            <w:tcW w:w="94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279,980</w:t>
            </w:r>
          </w:p>
        </w:tc>
        <w:tc>
          <w:tcPr>
            <w:tcW w:w="100" w:type="dxa"/>
            <w:vAlign w:val="bottom"/>
            <w:shd w:val="clear" w:color="auto" w:fill="CCEEFF"/>
          </w:tcPr>
          <w:p>
            <w:pPr>
              <w:spacing w:after="0"/>
              <w:rPr>
                <w:sz w:val="13"/>
                <w:szCs w:val="13"/>
                <w:color w:val="auto"/>
              </w:rPr>
            </w:pPr>
          </w:p>
        </w:tc>
      </w:tr>
      <w:tr>
        <w:trPr>
          <w:trHeight w:val="154"/>
        </w:trPr>
        <w:tc>
          <w:tcPr>
            <w:tcW w:w="6760" w:type="dxa"/>
            <w:vAlign w:val="bottom"/>
          </w:tcPr>
          <w:p>
            <w:pPr>
              <w:spacing w:after="0"/>
              <w:rPr>
                <w:sz w:val="20"/>
                <w:szCs w:val="20"/>
                <w:color w:val="auto"/>
              </w:rPr>
            </w:pPr>
            <w:r>
              <w:rPr>
                <w:rFonts w:ascii="Arial" w:cs="Arial" w:eastAsia="Arial" w:hAnsi="Arial"/>
                <w:sz w:val="13"/>
                <w:szCs w:val="13"/>
                <w:color w:val="auto"/>
              </w:rPr>
              <w:t>Treasury stock</w:t>
            </w:r>
          </w:p>
        </w:tc>
        <w:tc>
          <w:tcPr>
            <w:tcW w:w="280" w:type="dxa"/>
            <w:vAlign w:val="bottom"/>
          </w:tcPr>
          <w:p>
            <w:pPr>
              <w:spacing w:after="0"/>
              <w:rPr>
                <w:sz w:val="13"/>
                <w:szCs w:val="13"/>
                <w:color w:val="auto"/>
              </w:rPr>
            </w:pPr>
          </w:p>
        </w:tc>
        <w:tc>
          <w:tcPr>
            <w:tcW w:w="1140" w:type="dxa"/>
            <w:vAlign w:val="bottom"/>
            <w:gridSpan w:val="2"/>
          </w:tcPr>
          <w:p>
            <w:pPr>
              <w:jc w:val="right"/>
              <w:ind w:right="160"/>
              <w:spacing w:after="0"/>
              <w:rPr>
                <w:sz w:val="20"/>
                <w:szCs w:val="20"/>
                <w:color w:val="auto"/>
              </w:rPr>
            </w:pPr>
            <w:r>
              <w:rPr>
                <w:rFonts w:ascii="Arial" w:cs="Arial" w:eastAsia="Arial" w:hAnsi="Arial"/>
                <w:sz w:val="13"/>
                <w:szCs w:val="13"/>
                <w:color w:val="auto"/>
              </w:rPr>
              <w:t>(61,076)</w:t>
            </w:r>
          </w:p>
        </w:tc>
        <w:tc>
          <w:tcPr>
            <w:tcW w:w="420" w:type="dxa"/>
            <w:vAlign w:val="bottom"/>
          </w:tcPr>
          <w:p>
            <w:pPr>
              <w:spacing w:after="0"/>
              <w:rPr>
                <w:sz w:val="13"/>
                <w:szCs w:val="13"/>
                <w:color w:val="auto"/>
              </w:rPr>
            </w:pPr>
          </w:p>
        </w:tc>
        <w:tc>
          <w:tcPr>
            <w:tcW w:w="1000" w:type="dxa"/>
            <w:vAlign w:val="bottom"/>
            <w:gridSpan w:val="2"/>
          </w:tcPr>
          <w:p>
            <w:pPr>
              <w:jc w:val="right"/>
              <w:ind w:right="180"/>
              <w:spacing w:after="0"/>
              <w:rPr>
                <w:sz w:val="20"/>
                <w:szCs w:val="20"/>
                <w:color w:val="auto"/>
              </w:rPr>
            </w:pPr>
            <w:r>
              <w:rPr>
                <w:rFonts w:ascii="Arial" w:cs="Arial" w:eastAsia="Arial" w:hAnsi="Arial"/>
                <w:sz w:val="13"/>
                <w:szCs w:val="13"/>
                <w:color w:val="auto"/>
              </w:rPr>
              <w:t>(63,248)</w:t>
            </w:r>
          </w:p>
        </w:tc>
        <w:tc>
          <w:tcPr>
            <w:tcW w:w="260" w:type="dxa"/>
            <w:vAlign w:val="bottom"/>
          </w:tcPr>
          <w:p>
            <w:pPr>
              <w:spacing w:after="0"/>
              <w:rPr>
                <w:sz w:val="13"/>
                <w:szCs w:val="13"/>
                <w:color w:val="auto"/>
              </w:rPr>
            </w:pPr>
          </w:p>
        </w:tc>
        <w:tc>
          <w:tcPr>
            <w:tcW w:w="1040" w:type="dxa"/>
            <w:vAlign w:val="bottom"/>
            <w:gridSpan w:val="3"/>
          </w:tcPr>
          <w:p>
            <w:pPr>
              <w:jc w:val="right"/>
              <w:ind w:right="60"/>
              <w:spacing w:after="0"/>
              <w:rPr>
                <w:sz w:val="20"/>
                <w:szCs w:val="20"/>
                <w:color w:val="auto"/>
              </w:rPr>
            </w:pPr>
            <w:r>
              <w:rPr>
                <w:rFonts w:ascii="Arial" w:cs="Arial" w:eastAsia="Arial" w:hAnsi="Arial"/>
                <w:sz w:val="13"/>
                <w:szCs w:val="13"/>
                <w:color w:val="auto"/>
              </w:rPr>
              <w:t>(69,176)</w:t>
            </w:r>
          </w:p>
        </w:tc>
      </w:tr>
      <w:tr>
        <w:trPr>
          <w:trHeight w:val="154"/>
        </w:trPr>
        <w:tc>
          <w:tcPr>
            <w:tcW w:w="6760" w:type="dxa"/>
            <w:vAlign w:val="bottom"/>
            <w:shd w:val="clear" w:color="auto" w:fill="CCEEFF"/>
          </w:tcPr>
          <w:p>
            <w:pPr>
              <w:spacing w:after="0"/>
              <w:rPr>
                <w:sz w:val="20"/>
                <w:szCs w:val="20"/>
                <w:color w:val="auto"/>
              </w:rPr>
            </w:pPr>
            <w:r>
              <w:rPr>
                <w:rFonts w:ascii="Arial" w:cs="Arial" w:eastAsia="Arial" w:hAnsi="Arial"/>
                <w:sz w:val="13"/>
                <w:szCs w:val="13"/>
                <w:color w:val="auto"/>
              </w:rPr>
              <w:t>Additional paid-in capital in excess of value assigned to common stock</w:t>
            </w:r>
          </w:p>
        </w:tc>
        <w:tc>
          <w:tcPr>
            <w:tcW w:w="280" w:type="dxa"/>
            <w:vAlign w:val="bottom"/>
            <w:shd w:val="clear" w:color="auto" w:fill="CCEEFF"/>
          </w:tcPr>
          <w:p>
            <w:pPr>
              <w:spacing w:after="0"/>
              <w:rPr>
                <w:sz w:val="13"/>
                <w:szCs w:val="13"/>
                <w:color w:val="auto"/>
              </w:rPr>
            </w:pPr>
          </w:p>
        </w:tc>
        <w:tc>
          <w:tcPr>
            <w:tcW w:w="114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119,987</w:t>
            </w:r>
          </w:p>
        </w:tc>
        <w:tc>
          <w:tcPr>
            <w:tcW w:w="42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119,941</w:t>
            </w:r>
          </w:p>
        </w:tc>
        <w:tc>
          <w:tcPr>
            <w:tcW w:w="260" w:type="dxa"/>
            <w:vAlign w:val="bottom"/>
            <w:shd w:val="clear" w:color="auto" w:fill="CCEEFF"/>
          </w:tcPr>
          <w:p>
            <w:pPr>
              <w:spacing w:after="0"/>
              <w:rPr>
                <w:sz w:val="13"/>
                <w:szCs w:val="13"/>
                <w:color w:val="auto"/>
              </w:rPr>
            </w:pPr>
          </w:p>
        </w:tc>
        <w:tc>
          <w:tcPr>
            <w:tcW w:w="94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120,594</w:t>
            </w:r>
          </w:p>
        </w:tc>
        <w:tc>
          <w:tcPr>
            <w:tcW w:w="100" w:type="dxa"/>
            <w:vAlign w:val="bottom"/>
            <w:shd w:val="clear" w:color="auto" w:fill="CCEEFF"/>
          </w:tcPr>
          <w:p>
            <w:pPr>
              <w:spacing w:after="0"/>
              <w:rPr>
                <w:sz w:val="13"/>
                <w:szCs w:val="13"/>
                <w:color w:val="auto"/>
              </w:rPr>
            </w:pPr>
          </w:p>
        </w:tc>
      </w:tr>
      <w:tr>
        <w:trPr>
          <w:trHeight w:val="154"/>
        </w:trPr>
        <w:tc>
          <w:tcPr>
            <w:tcW w:w="6760" w:type="dxa"/>
            <w:vAlign w:val="bottom"/>
          </w:tcPr>
          <w:p>
            <w:pPr>
              <w:spacing w:after="0"/>
              <w:rPr>
                <w:sz w:val="20"/>
                <w:szCs w:val="20"/>
                <w:color w:val="auto"/>
              </w:rPr>
            </w:pPr>
            <w:r>
              <w:rPr>
                <w:rFonts w:ascii="Arial" w:cs="Arial" w:eastAsia="Arial" w:hAnsi="Arial"/>
                <w:sz w:val="13"/>
                <w:szCs w:val="13"/>
                <w:color w:val="auto"/>
              </w:rPr>
              <w:t>Capital reserves</w:t>
            </w:r>
          </w:p>
        </w:tc>
        <w:tc>
          <w:tcPr>
            <w:tcW w:w="280" w:type="dxa"/>
            <w:vAlign w:val="bottom"/>
          </w:tcPr>
          <w:p>
            <w:pPr>
              <w:spacing w:after="0"/>
              <w:rPr>
                <w:sz w:val="13"/>
                <w:szCs w:val="13"/>
                <w:color w:val="auto"/>
              </w:rPr>
            </w:pPr>
          </w:p>
        </w:tc>
        <w:tc>
          <w:tcPr>
            <w:tcW w:w="1140" w:type="dxa"/>
            <w:vAlign w:val="bottom"/>
            <w:gridSpan w:val="2"/>
          </w:tcPr>
          <w:p>
            <w:pPr>
              <w:jc w:val="right"/>
              <w:ind w:right="200"/>
              <w:spacing w:after="0"/>
              <w:rPr>
                <w:sz w:val="20"/>
                <w:szCs w:val="20"/>
                <w:color w:val="auto"/>
              </w:rPr>
            </w:pPr>
            <w:r>
              <w:rPr>
                <w:rFonts w:ascii="Arial" w:cs="Arial" w:eastAsia="Arial" w:hAnsi="Arial"/>
                <w:sz w:val="13"/>
                <w:szCs w:val="13"/>
                <w:color w:val="auto"/>
              </w:rPr>
              <w:t>95,210</w:t>
            </w:r>
          </w:p>
        </w:tc>
        <w:tc>
          <w:tcPr>
            <w:tcW w:w="420" w:type="dxa"/>
            <w:vAlign w:val="bottom"/>
          </w:tcPr>
          <w:p>
            <w:pPr>
              <w:spacing w:after="0"/>
              <w:rPr>
                <w:sz w:val="13"/>
                <w:szCs w:val="13"/>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95,210</w:t>
            </w:r>
          </w:p>
        </w:tc>
        <w:tc>
          <w:tcPr>
            <w:tcW w:w="260" w:type="dxa"/>
            <w:vAlign w:val="bottom"/>
          </w:tcPr>
          <w:p>
            <w:pPr>
              <w:spacing w:after="0"/>
              <w:rPr>
                <w:sz w:val="13"/>
                <w:szCs w:val="13"/>
                <w:color w:val="auto"/>
              </w:rPr>
            </w:pPr>
          </w:p>
        </w:tc>
        <w:tc>
          <w:tcPr>
            <w:tcW w:w="940" w:type="dxa"/>
            <w:vAlign w:val="bottom"/>
            <w:gridSpan w:val="2"/>
          </w:tcPr>
          <w:p>
            <w:pPr>
              <w:jc w:val="right"/>
              <w:ind w:right="20"/>
              <w:spacing w:after="0"/>
              <w:rPr>
                <w:sz w:val="20"/>
                <w:szCs w:val="20"/>
                <w:color w:val="auto"/>
              </w:rPr>
            </w:pPr>
            <w:r>
              <w:rPr>
                <w:rFonts w:ascii="Arial" w:cs="Arial" w:eastAsia="Arial" w:hAnsi="Arial"/>
                <w:sz w:val="13"/>
                <w:szCs w:val="13"/>
                <w:color w:val="auto"/>
              </w:rPr>
              <w:t>95,210</w:t>
            </w:r>
          </w:p>
        </w:tc>
        <w:tc>
          <w:tcPr>
            <w:tcW w:w="100" w:type="dxa"/>
            <w:vAlign w:val="bottom"/>
          </w:tcPr>
          <w:p>
            <w:pPr>
              <w:spacing w:after="0"/>
              <w:rPr>
                <w:sz w:val="13"/>
                <w:szCs w:val="13"/>
                <w:color w:val="auto"/>
              </w:rPr>
            </w:pPr>
          </w:p>
        </w:tc>
      </w:tr>
      <w:tr>
        <w:trPr>
          <w:trHeight w:val="154"/>
        </w:trPr>
        <w:tc>
          <w:tcPr>
            <w:tcW w:w="6760" w:type="dxa"/>
            <w:vAlign w:val="bottom"/>
            <w:shd w:val="clear" w:color="auto" w:fill="CCEEFF"/>
          </w:tcPr>
          <w:p>
            <w:pPr>
              <w:spacing w:after="0"/>
              <w:rPr>
                <w:sz w:val="20"/>
                <w:szCs w:val="20"/>
                <w:color w:val="auto"/>
              </w:rPr>
            </w:pPr>
            <w:r>
              <w:rPr>
                <w:rFonts w:ascii="Arial" w:cs="Arial" w:eastAsia="Arial" w:hAnsi="Arial"/>
                <w:sz w:val="13"/>
                <w:szCs w:val="13"/>
                <w:color w:val="auto"/>
              </w:rPr>
              <w:t>Regulatory reserves</w:t>
            </w:r>
          </w:p>
        </w:tc>
        <w:tc>
          <w:tcPr>
            <w:tcW w:w="280" w:type="dxa"/>
            <w:vAlign w:val="bottom"/>
            <w:shd w:val="clear" w:color="auto" w:fill="CCEEFF"/>
          </w:tcPr>
          <w:p>
            <w:pPr>
              <w:spacing w:after="0"/>
              <w:rPr>
                <w:sz w:val="13"/>
                <w:szCs w:val="13"/>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136,019</w:t>
            </w:r>
          </w:p>
        </w:tc>
        <w:tc>
          <w:tcPr>
            <w:tcW w:w="200" w:type="dxa"/>
            <w:vAlign w:val="bottom"/>
            <w:shd w:val="clear" w:color="auto" w:fill="CCEEFF"/>
          </w:tcPr>
          <w:p>
            <w:pPr>
              <w:spacing w:after="0"/>
              <w:rPr>
                <w:sz w:val="13"/>
                <w:szCs w:val="13"/>
                <w:color w:val="auto"/>
              </w:rPr>
            </w:pPr>
          </w:p>
        </w:tc>
        <w:tc>
          <w:tcPr>
            <w:tcW w:w="42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129,254</w:t>
            </w:r>
          </w:p>
        </w:tc>
        <w:tc>
          <w:tcPr>
            <w:tcW w:w="260" w:type="dxa"/>
            <w:vAlign w:val="bottom"/>
            <w:shd w:val="clear" w:color="auto" w:fill="CCEEFF"/>
          </w:tcPr>
          <w:p>
            <w:pPr>
              <w:spacing w:after="0"/>
              <w:rPr>
                <w:sz w:val="13"/>
                <w:szCs w:val="13"/>
                <w:color w:val="auto"/>
              </w:rPr>
            </w:pPr>
          </w:p>
        </w:tc>
        <w:tc>
          <w:tcPr>
            <w:tcW w:w="94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62,459</w:t>
            </w:r>
          </w:p>
        </w:tc>
        <w:tc>
          <w:tcPr>
            <w:tcW w:w="100" w:type="dxa"/>
            <w:vAlign w:val="bottom"/>
            <w:shd w:val="clear" w:color="auto" w:fill="CCEEFF"/>
          </w:tcPr>
          <w:p>
            <w:pPr>
              <w:spacing w:after="0"/>
              <w:rPr>
                <w:sz w:val="13"/>
                <w:szCs w:val="13"/>
                <w:color w:val="auto"/>
              </w:rPr>
            </w:pPr>
          </w:p>
        </w:tc>
      </w:tr>
      <w:tr>
        <w:trPr>
          <w:trHeight w:val="154"/>
        </w:trPr>
        <w:tc>
          <w:tcPr>
            <w:tcW w:w="6760" w:type="dxa"/>
            <w:vAlign w:val="bottom"/>
          </w:tcPr>
          <w:p>
            <w:pPr>
              <w:spacing w:after="0"/>
              <w:rPr>
                <w:sz w:val="20"/>
                <w:szCs w:val="20"/>
                <w:color w:val="auto"/>
              </w:rPr>
            </w:pPr>
            <w:r>
              <w:rPr>
                <w:rFonts w:ascii="Arial" w:cs="Arial" w:eastAsia="Arial" w:hAnsi="Arial"/>
                <w:sz w:val="13"/>
                <w:szCs w:val="13"/>
                <w:color w:val="auto"/>
              </w:rPr>
              <w:t>Retained earnings</w:t>
            </w:r>
          </w:p>
        </w:tc>
        <w:tc>
          <w:tcPr>
            <w:tcW w:w="280" w:type="dxa"/>
            <w:vAlign w:val="bottom"/>
          </w:tcPr>
          <w:p>
            <w:pPr>
              <w:spacing w:after="0"/>
              <w:rPr>
                <w:sz w:val="13"/>
                <w:szCs w:val="13"/>
                <w:color w:val="auto"/>
              </w:rPr>
            </w:pPr>
          </w:p>
        </w:tc>
        <w:tc>
          <w:tcPr>
            <w:tcW w:w="940" w:type="dxa"/>
            <w:vAlign w:val="bottom"/>
          </w:tcPr>
          <w:p>
            <w:pPr>
              <w:jc w:val="right"/>
              <w:spacing w:after="0"/>
              <w:rPr>
                <w:sz w:val="20"/>
                <w:szCs w:val="20"/>
                <w:color w:val="auto"/>
              </w:rPr>
            </w:pPr>
            <w:r>
              <w:rPr>
                <w:rFonts w:ascii="Arial" w:cs="Arial" w:eastAsia="Arial" w:hAnsi="Arial"/>
                <w:sz w:val="13"/>
                <w:szCs w:val="13"/>
                <w:color w:val="auto"/>
              </w:rPr>
              <w:t>423,050</w:t>
            </w:r>
          </w:p>
        </w:tc>
        <w:tc>
          <w:tcPr>
            <w:tcW w:w="20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479,712</w:t>
            </w:r>
          </w:p>
        </w:tc>
        <w:tc>
          <w:tcPr>
            <w:tcW w:w="260" w:type="dxa"/>
            <w:vAlign w:val="bottom"/>
          </w:tcPr>
          <w:p>
            <w:pPr>
              <w:spacing w:after="0"/>
              <w:rPr>
                <w:sz w:val="13"/>
                <w:szCs w:val="13"/>
                <w:color w:val="auto"/>
              </w:rPr>
            </w:pPr>
          </w:p>
        </w:tc>
        <w:tc>
          <w:tcPr>
            <w:tcW w:w="940" w:type="dxa"/>
            <w:vAlign w:val="bottom"/>
            <w:gridSpan w:val="2"/>
          </w:tcPr>
          <w:p>
            <w:pPr>
              <w:jc w:val="right"/>
              <w:ind w:right="20"/>
              <w:spacing w:after="0"/>
              <w:rPr>
                <w:sz w:val="20"/>
                <w:szCs w:val="20"/>
                <w:color w:val="auto"/>
              </w:rPr>
            </w:pPr>
            <w:r>
              <w:rPr>
                <w:rFonts w:ascii="Arial" w:cs="Arial" w:eastAsia="Arial" w:hAnsi="Arial"/>
                <w:sz w:val="13"/>
                <w:szCs w:val="13"/>
                <w:color w:val="auto"/>
              </w:rPr>
              <w:t>525,048</w:t>
            </w:r>
          </w:p>
        </w:tc>
        <w:tc>
          <w:tcPr>
            <w:tcW w:w="100" w:type="dxa"/>
            <w:vAlign w:val="bottom"/>
          </w:tcPr>
          <w:p>
            <w:pPr>
              <w:spacing w:after="0"/>
              <w:rPr>
                <w:sz w:val="13"/>
                <w:szCs w:val="13"/>
                <w:color w:val="auto"/>
              </w:rPr>
            </w:pPr>
          </w:p>
        </w:tc>
      </w:tr>
      <w:tr>
        <w:trPr>
          <w:trHeight w:val="164"/>
        </w:trPr>
        <w:tc>
          <w:tcPr>
            <w:tcW w:w="6760" w:type="dxa"/>
            <w:vAlign w:val="bottom"/>
            <w:shd w:val="clear" w:color="auto" w:fill="CCEEFF"/>
          </w:tcPr>
          <w:p>
            <w:pPr>
              <w:spacing w:after="0"/>
              <w:rPr>
                <w:sz w:val="20"/>
                <w:szCs w:val="20"/>
                <w:color w:val="auto"/>
              </w:rPr>
            </w:pPr>
            <w:r>
              <w:rPr>
                <w:rFonts w:ascii="Arial" w:cs="Arial" w:eastAsia="Arial" w:hAnsi="Arial"/>
                <w:sz w:val="13"/>
                <w:szCs w:val="13"/>
                <w:color w:val="auto"/>
              </w:rPr>
              <w:t>Other comprehensive income (loss)</w:t>
            </w:r>
          </w:p>
        </w:tc>
        <w:tc>
          <w:tcPr>
            <w:tcW w:w="280" w:type="dxa"/>
            <w:vAlign w:val="bottom"/>
            <w:shd w:val="clear" w:color="auto" w:fill="CCEEFF"/>
          </w:tcPr>
          <w:p>
            <w:pPr>
              <w:spacing w:after="0"/>
              <w:rPr>
                <w:sz w:val="14"/>
                <w:szCs w:val="14"/>
                <w:color w:val="auto"/>
              </w:rPr>
            </w:pPr>
          </w:p>
        </w:tc>
        <w:tc>
          <w:tcPr>
            <w:tcW w:w="114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420</w:t>
            </w:r>
          </w:p>
        </w:tc>
        <w:tc>
          <w:tcPr>
            <w:tcW w:w="420" w:type="dxa"/>
            <w:vAlign w:val="bottom"/>
            <w:shd w:val="clear" w:color="auto" w:fill="CCEEFF"/>
          </w:tcPr>
          <w:p>
            <w:pPr>
              <w:spacing w:after="0"/>
              <w:rPr>
                <w:sz w:val="14"/>
                <w:szCs w:val="14"/>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1,963</w:t>
            </w:r>
          </w:p>
        </w:tc>
        <w:tc>
          <w:tcPr>
            <w:tcW w:w="260" w:type="dxa"/>
            <w:vAlign w:val="bottom"/>
            <w:shd w:val="clear" w:color="auto" w:fill="CCEEFF"/>
          </w:tcPr>
          <w:p>
            <w:pPr>
              <w:spacing w:after="0"/>
              <w:rPr>
                <w:sz w:val="14"/>
                <w:szCs w:val="14"/>
                <w:color w:val="auto"/>
              </w:rPr>
            </w:pPr>
          </w:p>
        </w:tc>
        <w:tc>
          <w:tcPr>
            <w:tcW w:w="104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(2,801)</w:t>
            </w:r>
          </w:p>
        </w:tc>
      </w:tr>
      <w:tr>
        <w:trPr>
          <w:trHeight w:val="162"/>
        </w:trPr>
        <w:tc>
          <w:tcPr>
            <w:tcW w:w="6760" w:type="dxa"/>
            <w:vAlign w:val="bottom"/>
          </w:tcPr>
          <w:p>
            <w:pPr>
              <w:spacing w:after="0" w:line="146" w:lineRule="exact"/>
              <w:rPr>
                <w:sz w:val="20"/>
                <w:szCs w:val="20"/>
                <w:color w:val="auto"/>
              </w:rPr>
            </w:pPr>
            <w:r>
              <w:rPr>
                <w:rFonts w:ascii="Arial" w:cs="Arial" w:eastAsia="Arial" w:hAnsi="Arial"/>
                <w:sz w:val="13"/>
                <w:szCs w:val="13"/>
                <w:b w:val="1"/>
                <w:bCs w:val="1"/>
                <w:color w:val="auto"/>
              </w:rPr>
              <w:t>Total equity</w:t>
            </w:r>
          </w:p>
        </w:tc>
        <w:tc>
          <w:tcPr>
            <w:tcW w:w="280" w:type="dxa"/>
            <w:vAlign w:val="bottom"/>
            <w:tcBorders>
              <w:top w:val="single" w:sz="8" w:color="auto"/>
              <w:bottom w:val="single" w:sz="8" w:color="auto"/>
            </w:tcBorders>
          </w:tcPr>
          <w:p>
            <w:pPr>
              <w:jc w:val="right"/>
              <w:ind w:right="172"/>
              <w:spacing w:after="0"/>
              <w:rPr>
                <w:sz w:val="20"/>
                <w:szCs w:val="20"/>
                <w:color w:val="auto"/>
              </w:rPr>
            </w:pPr>
            <w:r>
              <w:rPr>
                <w:rFonts w:ascii="Arial" w:cs="Arial" w:eastAsia="Arial" w:hAnsi="Arial"/>
                <w:sz w:val="10"/>
                <w:szCs w:val="10"/>
                <w:b w:val="1"/>
                <w:bCs w:val="1"/>
                <w:color w:val="auto"/>
                <w:w w:val="71"/>
              </w:rPr>
              <w:t>$</w:t>
            </w:r>
          </w:p>
        </w:tc>
        <w:tc>
          <w:tcPr>
            <w:tcW w:w="9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993,590</w:t>
            </w:r>
          </w:p>
        </w:tc>
        <w:tc>
          <w:tcPr>
            <w:tcW w:w="200" w:type="dxa"/>
            <w:vAlign w:val="bottom"/>
          </w:tcPr>
          <w:p>
            <w:pPr>
              <w:spacing w:after="0"/>
              <w:rPr>
                <w:sz w:val="14"/>
                <w:szCs w:val="14"/>
                <w:color w:val="auto"/>
              </w:rPr>
            </w:pPr>
          </w:p>
        </w:tc>
        <w:tc>
          <w:tcPr>
            <w:tcW w:w="420" w:type="dxa"/>
            <w:vAlign w:val="bottom"/>
            <w:tcBorders>
              <w:top w:val="single" w:sz="8" w:color="auto"/>
              <w:bottom w:val="single" w:sz="8" w:color="auto"/>
            </w:tcBorders>
          </w:tcPr>
          <w:p>
            <w:pPr>
              <w:jc w:val="right"/>
              <w:ind w:right="276"/>
              <w:spacing w:after="0"/>
              <w:rPr>
                <w:sz w:val="20"/>
                <w:szCs w:val="20"/>
                <w:color w:val="auto"/>
              </w:rPr>
            </w:pPr>
            <w:r>
              <w:rPr>
                <w:rFonts w:ascii="Arial" w:cs="Arial" w:eastAsia="Arial" w:hAnsi="Arial"/>
                <w:sz w:val="13"/>
                <w:szCs w:val="13"/>
                <w:b w:val="1"/>
                <w:bCs w:val="1"/>
                <w:color w:val="auto"/>
                <w:w w:val="82"/>
              </w:rPr>
              <w:t>$</w:t>
            </w: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1,042,812</w:t>
            </w:r>
          </w:p>
        </w:tc>
        <w:tc>
          <w:tcPr>
            <w:tcW w:w="220" w:type="dxa"/>
            <w:vAlign w:val="bottom"/>
          </w:tcPr>
          <w:p>
            <w:pPr>
              <w:spacing w:after="0"/>
              <w:rPr>
                <w:sz w:val="14"/>
                <w:szCs w:val="14"/>
                <w:color w:val="auto"/>
              </w:rPr>
            </w:pPr>
          </w:p>
        </w:tc>
        <w:tc>
          <w:tcPr>
            <w:tcW w:w="260" w:type="dxa"/>
            <w:vAlign w:val="bottom"/>
            <w:tcBorders>
              <w:top w:val="single" w:sz="8" w:color="auto"/>
              <w:bottom w:val="single" w:sz="8" w:color="auto"/>
            </w:tcBorders>
          </w:tcPr>
          <w:p>
            <w:pPr>
              <w:jc w:val="right"/>
              <w:ind w:right="152"/>
              <w:spacing w:after="0"/>
              <w:rPr>
                <w:sz w:val="20"/>
                <w:szCs w:val="20"/>
                <w:color w:val="auto"/>
              </w:rPr>
            </w:pPr>
            <w:r>
              <w:rPr>
                <w:rFonts w:ascii="Arial" w:cs="Arial" w:eastAsia="Arial" w:hAnsi="Arial"/>
                <w:sz w:val="10"/>
                <w:szCs w:val="10"/>
                <w:b w:val="1"/>
                <w:bCs w:val="1"/>
                <w:color w:val="auto"/>
                <w:w w:val="71"/>
              </w:rPr>
              <w:t>$</w:t>
            </w: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1,011,314</w:t>
            </w:r>
          </w:p>
        </w:tc>
        <w:tc>
          <w:tcPr>
            <w:tcW w:w="2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bl>
    <w:p>
      <w:pPr>
        <w:spacing w:after="0" w:line="145"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The Bank’s equity consists of issued and fully paid ordinary common stock and retained earnings. As of December 31, 2018, total equity decreased to $994 million, compared to $1,043 million as of December 31, 2017 and $1,011 million as of December 31, 2016. Total equity decreased $49 million, or 5%, during the year ended December 31, 2018, primarily due to lower profits totaling $11 million in 2018, while the Bank maintained a level of dividends similar to prior years at $1.54 per share, representing a total of $61 million, denoting a strong dividend pay-out ratio during 2018.</w:t>
      </w:r>
    </w:p>
    <w:p>
      <w:pPr>
        <w:spacing w:after="0" w:line="136"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Total equity increased $32 million during the year ended December 31, 2017, primarily due to: (i) a $21 million increase in retained earnings, mostly due to an $82 million profit for the year ended December 31, 2017, which was partially offset by the $61 million cash dividend declared in 2017, and (ii) a $5 million positive variation in accumulated other comprehensive income, mostly resulting from reclassification adjustments for losses on derivative financial instruments, and exchange difference in conversion of foreign operating currency.</w:t>
      </w:r>
    </w:p>
    <w:p>
      <w:pPr>
        <w:spacing w:after="0" w:line="136"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Capital reserves are established as an appropriation of retained earnings and, as such, are a form of retained earnings. Capital reserves are intended to strengthen the Bank’s capital position. Reductions of these reserves for purposes such as the payment of dividends require the approval of the Board and the Superintendency.</w:t>
      </w:r>
    </w:p>
    <w:p>
      <w:pPr>
        <w:spacing w:after="0" w:line="278"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75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77" w:name="page78"/>
    <w:bookmarkEnd w:id="77"/>
    <w:p>
      <w:pPr>
        <w:ind w:left="3"/>
        <w:spacing w:after="0" w:line="267" w:lineRule="auto"/>
        <w:rPr>
          <w:sz w:val="20"/>
          <w:szCs w:val="20"/>
          <w:color w:val="auto"/>
        </w:rPr>
      </w:pPr>
      <w:r>
        <w:rPr>
          <w:rFonts w:ascii="Arial" w:cs="Arial" w:eastAsia="Arial" w:hAnsi="Arial"/>
          <w:sz w:val="13"/>
          <w:szCs w:val="13"/>
          <w:color w:val="auto"/>
        </w:rPr>
        <w:t>For the Bank’s expected credit reserves under IFRS 9, the line “Regulatory Reserves” established by the Superintendency has been used to present the difference between the application of the accounting standard used and the prudential regulations of the Superintendency to comply with the requirements of Rule No. 4-2013.</w:t>
      </w:r>
    </w:p>
    <w:p>
      <w:pPr>
        <w:spacing w:after="0" w:line="129" w:lineRule="exact"/>
        <w:rPr>
          <w:sz w:val="20"/>
          <w:szCs w:val="20"/>
          <w:color w:val="auto"/>
        </w:rPr>
      </w:pPr>
    </w:p>
    <w:p>
      <w:pPr>
        <w:ind w:left="3" w:right="20"/>
        <w:spacing w:after="0" w:line="310" w:lineRule="auto"/>
        <w:rPr>
          <w:sz w:val="20"/>
          <w:szCs w:val="20"/>
          <w:color w:val="auto"/>
        </w:rPr>
      </w:pPr>
      <w:r>
        <w:rPr>
          <w:rFonts w:ascii="Arial" w:cs="Arial" w:eastAsia="Arial" w:hAnsi="Arial"/>
          <w:sz w:val="12"/>
          <w:szCs w:val="12"/>
          <w:color w:val="auto"/>
        </w:rPr>
        <w:t>As of December 31, 2018 and 2017, the total amount of the regulatory reserves calculated according to the guidelines of Rule No. 4-2013 of the Superintendency was $136.0 million and $129.3 million, respectively, appropriated from retained earnings for purposes of compliance with local regulatory requirements. This appropriation is restricted from dividend distribution in order to comply with local regulations.</w:t>
      </w:r>
    </w:p>
    <w:p>
      <w:pPr>
        <w:spacing w:after="0" w:line="106" w:lineRule="exact"/>
        <w:rPr>
          <w:sz w:val="20"/>
          <w:szCs w:val="20"/>
          <w:color w:val="auto"/>
        </w:rPr>
      </w:pPr>
    </w:p>
    <w:p>
      <w:pPr>
        <w:ind w:left="3" w:right="20"/>
        <w:spacing w:after="0" w:line="267" w:lineRule="auto"/>
        <w:rPr>
          <w:sz w:val="20"/>
          <w:szCs w:val="20"/>
          <w:color w:val="auto"/>
        </w:rPr>
      </w:pPr>
      <w:r>
        <w:rPr>
          <w:rFonts w:ascii="Arial" w:cs="Arial" w:eastAsia="Arial" w:hAnsi="Arial"/>
          <w:sz w:val="13"/>
          <w:szCs w:val="13"/>
          <w:color w:val="auto"/>
        </w:rPr>
        <w:t>As of December 31, 2018, the capital ratio of total equity to total assets was 13.1%, and the Bank’s Tier 1 capital ratio calculated according to Basel III capital adequacy guidelines was 18.1%, compared to 16.6% and 21.1%, respectively, as of December 31, 2017. The 2018 leverage ratio was 7.7x compared to 6.0x in 2017.</w:t>
      </w:r>
    </w:p>
    <w:p>
      <w:pPr>
        <w:spacing w:after="0" w:line="129" w:lineRule="exact"/>
        <w:rPr>
          <w:sz w:val="20"/>
          <w:szCs w:val="20"/>
          <w:color w:val="auto"/>
        </w:rPr>
      </w:pPr>
    </w:p>
    <w:p>
      <w:pPr>
        <w:ind w:left="3"/>
        <w:spacing w:after="0"/>
        <w:rPr>
          <w:sz w:val="20"/>
          <w:szCs w:val="20"/>
          <w:color w:val="auto"/>
        </w:rPr>
      </w:pPr>
      <w:r>
        <w:rPr>
          <w:rFonts w:ascii="Arial" w:cs="Arial" w:eastAsia="Arial" w:hAnsi="Arial"/>
          <w:sz w:val="13"/>
          <w:szCs w:val="13"/>
          <w:color w:val="auto"/>
        </w:rPr>
        <w:t>As of December 31, 2018, the Bank’s total capital to risk-weighted asset ratio, calculated according to the guidelines of the Banking Law, was 17.1%, compared to 18.7% as of December 31, 2017.</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color w:val="auto"/>
        </w:rPr>
        <w:t>See Item 4, “Information on the Company—Business Overview—Supervision and Regulation.</w:t>
      </w:r>
    </w:p>
    <w:p>
      <w:pPr>
        <w:spacing w:after="0" w:line="155" w:lineRule="exact"/>
        <w:rPr>
          <w:sz w:val="20"/>
          <w:szCs w:val="20"/>
          <w:color w:val="auto"/>
        </w:rPr>
      </w:pPr>
    </w:p>
    <w:p>
      <w:pPr>
        <w:ind w:left="463" w:right="8060" w:hanging="463"/>
        <w:spacing w:after="0" w:line="494" w:lineRule="auto"/>
        <w:tabs>
          <w:tab w:leader="none" w:pos="463" w:val="left"/>
        </w:tabs>
        <w:numPr>
          <w:ilvl w:val="0"/>
          <w:numId w:val="42"/>
        </w:numPr>
        <w:rPr>
          <w:rFonts w:ascii="Arial" w:cs="Arial" w:eastAsia="Arial" w:hAnsi="Arial"/>
          <w:sz w:val="13"/>
          <w:szCs w:val="13"/>
          <w:b w:val="1"/>
          <w:bCs w:val="1"/>
          <w:color w:val="auto"/>
        </w:rPr>
      </w:pPr>
      <w:r>
        <w:rPr>
          <w:rFonts w:ascii="Arial" w:cs="Arial" w:eastAsia="Arial" w:hAnsi="Arial"/>
          <w:sz w:val="13"/>
          <w:szCs w:val="13"/>
          <w:b w:val="1"/>
          <w:bCs w:val="1"/>
          <w:color w:val="auto"/>
        </w:rPr>
        <w:t xml:space="preserve">Research and Development, Patents and Licenses, etc. </w:t>
      </w:r>
      <w:r>
        <w:rPr>
          <w:rFonts w:ascii="Arial" w:cs="Arial" w:eastAsia="Arial" w:hAnsi="Arial"/>
          <w:sz w:val="13"/>
          <w:szCs w:val="13"/>
          <w:color w:val="auto"/>
        </w:rPr>
        <w:t>Not applicable.</w:t>
      </w:r>
    </w:p>
    <w:p>
      <w:pPr>
        <w:ind w:left="463" w:hanging="463"/>
        <w:spacing w:after="0"/>
        <w:tabs>
          <w:tab w:leader="none" w:pos="463" w:val="left"/>
        </w:tabs>
        <w:numPr>
          <w:ilvl w:val="0"/>
          <w:numId w:val="42"/>
        </w:numPr>
        <w:rPr>
          <w:rFonts w:ascii="Arial" w:cs="Arial" w:eastAsia="Arial" w:hAnsi="Arial"/>
          <w:sz w:val="13"/>
          <w:szCs w:val="13"/>
          <w:b w:val="1"/>
          <w:bCs w:val="1"/>
          <w:color w:val="auto"/>
        </w:rPr>
      </w:pPr>
      <w:r>
        <w:rPr>
          <w:rFonts w:ascii="Arial" w:cs="Arial" w:eastAsia="Arial" w:hAnsi="Arial"/>
          <w:sz w:val="13"/>
          <w:szCs w:val="13"/>
          <w:b w:val="1"/>
          <w:bCs w:val="1"/>
          <w:color w:val="auto"/>
        </w:rPr>
        <w:t>Trend Information</w:t>
      </w:r>
    </w:p>
    <w:p>
      <w:pPr>
        <w:spacing w:after="0" w:line="163" w:lineRule="exact"/>
        <w:rPr>
          <w:sz w:val="20"/>
          <w:szCs w:val="20"/>
          <w:color w:val="auto"/>
        </w:rPr>
      </w:pPr>
    </w:p>
    <w:p>
      <w:pPr>
        <w:ind w:left="3" w:right="20"/>
        <w:spacing w:after="0" w:line="267" w:lineRule="auto"/>
        <w:rPr>
          <w:sz w:val="20"/>
          <w:szCs w:val="20"/>
          <w:color w:val="auto"/>
        </w:rPr>
      </w:pPr>
      <w:r>
        <w:rPr>
          <w:rFonts w:ascii="Arial" w:cs="Arial" w:eastAsia="Arial" w:hAnsi="Arial"/>
          <w:sz w:val="13"/>
          <w:szCs w:val="13"/>
          <w:color w:val="auto"/>
        </w:rPr>
        <w:t>The following are the most important trends, uncertainties and events that the Bank’s management believes are likely to materially affect the Bank or that could cause the financial information disclosed herein not to be indicative of the Bank’s future operating results or financial condition:</w:t>
      </w:r>
    </w:p>
    <w:p>
      <w:pPr>
        <w:spacing w:after="0" w:line="129" w:lineRule="exact"/>
        <w:rPr>
          <w:sz w:val="20"/>
          <w:szCs w:val="20"/>
          <w:color w:val="auto"/>
        </w:rPr>
      </w:pPr>
    </w:p>
    <w:p>
      <w:pPr>
        <w:jc w:val="both"/>
        <w:ind w:left="543" w:hanging="312"/>
        <w:spacing w:after="0" w:line="251" w:lineRule="auto"/>
        <w:tabs>
          <w:tab w:leader="none" w:pos="543" w:val="left"/>
        </w:tabs>
        <w:numPr>
          <w:ilvl w:val="0"/>
          <w:numId w:val="43"/>
        </w:numPr>
        <w:rPr>
          <w:rFonts w:ascii="Arial" w:cs="Arial" w:eastAsia="Arial" w:hAnsi="Arial"/>
          <w:sz w:val="13"/>
          <w:szCs w:val="13"/>
          <w:color w:val="auto"/>
        </w:rPr>
      </w:pPr>
      <w:r>
        <w:rPr>
          <w:rFonts w:ascii="Arial" w:cs="Arial" w:eastAsia="Arial" w:hAnsi="Arial"/>
          <w:sz w:val="13"/>
          <w:szCs w:val="13"/>
          <w:color w:val="auto"/>
        </w:rPr>
        <w:t>The Bank’s results may be affected by changes in global economic conditions, including the prices of oil and other commodities, uncertainties regarding U.S. policies affecting the dollar exchange rate, liquidity access, interest rates, slower economic growth in developed countries and trading partners, and the effect that these changes may have on the economic condition of countries in the Region, including the Region’s foreign trade growth, and, therefore, the growth of the Bank’s trade financing business;</w:t>
      </w:r>
    </w:p>
    <w:p>
      <w:pPr>
        <w:spacing w:after="0" w:line="1" w:lineRule="exact"/>
        <w:rPr>
          <w:rFonts w:ascii="Arial" w:cs="Arial" w:eastAsia="Arial" w:hAnsi="Arial"/>
          <w:sz w:val="13"/>
          <w:szCs w:val="13"/>
          <w:color w:val="auto"/>
        </w:rPr>
      </w:pPr>
    </w:p>
    <w:p>
      <w:pPr>
        <w:jc w:val="both"/>
        <w:ind w:left="543" w:right="20" w:hanging="312"/>
        <w:spacing w:after="0" w:line="247" w:lineRule="auto"/>
        <w:tabs>
          <w:tab w:leader="none" w:pos="543" w:val="left"/>
        </w:tabs>
        <w:numPr>
          <w:ilvl w:val="0"/>
          <w:numId w:val="43"/>
        </w:numPr>
        <w:rPr>
          <w:rFonts w:ascii="Arial" w:cs="Arial" w:eastAsia="Arial" w:hAnsi="Arial"/>
          <w:sz w:val="13"/>
          <w:szCs w:val="13"/>
          <w:color w:val="auto"/>
        </w:rPr>
      </w:pPr>
      <w:r>
        <w:rPr>
          <w:rFonts w:ascii="Arial" w:cs="Arial" w:eastAsia="Arial" w:hAnsi="Arial"/>
          <w:sz w:val="13"/>
          <w:szCs w:val="13"/>
          <w:color w:val="auto"/>
        </w:rPr>
        <w:t>The Region may be impacted by weaker currencies against the U.S. dollar given concerns about continual rate increases. Any U.S. monetary tightening, in conjunction with rising inflation, could prompt many of the Region’s central banks to tighten monetary policy. The resulting increased interest rates would lead to weaker asset quality because borrowers’ repayment capacity might be reduced, which could likely lead to an increase in credit-impaired loans;</w:t>
      </w:r>
    </w:p>
    <w:p>
      <w:pPr>
        <w:jc w:val="both"/>
        <w:ind w:left="543" w:right="20" w:hanging="312"/>
        <w:spacing w:after="0" w:line="247" w:lineRule="auto"/>
        <w:tabs>
          <w:tab w:leader="none" w:pos="543" w:val="left"/>
        </w:tabs>
        <w:numPr>
          <w:ilvl w:val="0"/>
          <w:numId w:val="43"/>
        </w:numPr>
        <w:rPr>
          <w:rFonts w:ascii="Arial" w:cs="Arial" w:eastAsia="Arial" w:hAnsi="Arial"/>
          <w:sz w:val="13"/>
          <w:szCs w:val="13"/>
          <w:color w:val="auto"/>
        </w:rPr>
      </w:pPr>
      <w:r>
        <w:rPr>
          <w:rFonts w:ascii="Arial" w:cs="Arial" w:eastAsia="Arial" w:hAnsi="Arial"/>
          <w:sz w:val="13"/>
          <w:szCs w:val="13"/>
          <w:color w:val="auto"/>
        </w:rPr>
        <w:t>In Mexico, the USMCA was signed on November 30, 2018, but it still requires legislative approval in all three countries in order for the treaty to become law and make the new agreement binding. For the USMCA to be implemented, several events must occur, such as legislative approval and mexican labor law reform. There is a possibility that USMCA renegotiations may be discontinued and/or that the U.S. may withdraw from negotiations or from NAFTA itself. Any such event could impact investor confidence, as well as levels of investment and consumption, both in Mexico and throughout the Region. The Bank is unsure of how its business and the Region would be impacted by these events;</w:t>
      </w:r>
    </w:p>
    <w:p>
      <w:pPr>
        <w:jc w:val="both"/>
        <w:ind w:left="543" w:right="20" w:hanging="312"/>
        <w:spacing w:after="0" w:line="277" w:lineRule="auto"/>
        <w:tabs>
          <w:tab w:leader="none" w:pos="543" w:val="left"/>
        </w:tabs>
        <w:numPr>
          <w:ilvl w:val="0"/>
          <w:numId w:val="43"/>
        </w:numPr>
        <w:rPr>
          <w:rFonts w:ascii="Arial" w:cs="Arial" w:eastAsia="Arial" w:hAnsi="Arial"/>
          <w:sz w:val="12"/>
          <w:szCs w:val="12"/>
          <w:color w:val="auto"/>
        </w:rPr>
      </w:pPr>
      <w:r>
        <w:rPr>
          <w:rFonts w:ascii="Arial" w:cs="Arial" w:eastAsia="Arial" w:hAnsi="Arial"/>
          <w:sz w:val="12"/>
          <w:szCs w:val="12"/>
          <w:color w:val="auto"/>
        </w:rPr>
        <w:t>Diverging monetary stimulus policies in certain important global economies, most importantly any policy shift that may disrupt trade, remittances, or foreign restrictions derived from the U.S. administration’s policy agenda, could result in greater disparity of global interest rates, leading to possible changes in global capital flows. As a result, capital flows to the Region could be significantly curtailed. A slowdown in capital flows could potentially destabilize exchange rates and the financing of current account balances, which may cause inflationary pressures and tighter monetary policies. A resulting economic slowdown or related political events in the Region could have a material adverse effect on the growth prospects in the Region, and on the Bank’s asset quality and operations;</w:t>
      </w:r>
    </w:p>
    <w:p>
      <w:pPr>
        <w:spacing w:after="0" w:line="292"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76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9" w:right="199" w:bottom="1440" w:gutter="0" w:footer="0" w:header="0"/>
        </w:sectPr>
      </w:pPr>
    </w:p>
    <w:bookmarkStart w:id="78" w:name="page79"/>
    <w:bookmarkEnd w:id="78"/>
    <w:p>
      <w:pPr>
        <w:ind w:left="540" w:right="20" w:hanging="312"/>
        <w:spacing w:after="0" w:line="253" w:lineRule="auto"/>
        <w:tabs>
          <w:tab w:leader="none" w:pos="540" w:val="left"/>
        </w:tabs>
        <w:numPr>
          <w:ilvl w:val="0"/>
          <w:numId w:val="44"/>
        </w:numPr>
        <w:rPr>
          <w:rFonts w:ascii="Arial" w:cs="Arial" w:eastAsia="Arial" w:hAnsi="Arial"/>
          <w:sz w:val="13"/>
          <w:szCs w:val="13"/>
          <w:color w:val="auto"/>
        </w:rPr>
      </w:pPr>
      <w:r>
        <w:rPr>
          <w:rFonts w:ascii="Arial" w:cs="Arial" w:eastAsia="Arial" w:hAnsi="Arial"/>
          <w:sz w:val="13"/>
          <w:szCs w:val="13"/>
          <w:color w:val="auto"/>
        </w:rPr>
        <w:t>Changes of risk perception in the markets in which the Bank operates could lead to increased or decreased competition, and impact the availability of U.S. dollar liquidity, which could affect spreads over the cost of funds on the Bank’s Loan Portfolio and, consequently, impact the Bank’s net interest spreads.</w:t>
      </w:r>
    </w:p>
    <w:p>
      <w:pPr>
        <w:spacing w:after="0" w:line="1" w:lineRule="exact"/>
        <w:rPr>
          <w:rFonts w:ascii="Arial" w:cs="Arial" w:eastAsia="Arial" w:hAnsi="Arial"/>
          <w:sz w:val="13"/>
          <w:szCs w:val="13"/>
          <w:color w:val="auto"/>
        </w:rPr>
      </w:pPr>
    </w:p>
    <w:p>
      <w:pPr>
        <w:jc w:val="both"/>
        <w:ind w:left="540" w:right="20" w:hanging="312"/>
        <w:spacing w:after="0" w:line="250" w:lineRule="auto"/>
        <w:tabs>
          <w:tab w:leader="none" w:pos="540" w:val="left"/>
        </w:tabs>
        <w:numPr>
          <w:ilvl w:val="0"/>
          <w:numId w:val="44"/>
        </w:numPr>
        <w:rPr>
          <w:rFonts w:ascii="Arial" w:cs="Arial" w:eastAsia="Arial" w:hAnsi="Arial"/>
          <w:sz w:val="13"/>
          <w:szCs w:val="13"/>
          <w:color w:val="auto"/>
        </w:rPr>
      </w:pPr>
      <w:r>
        <w:rPr>
          <w:rFonts w:ascii="Arial" w:cs="Arial" w:eastAsia="Arial" w:hAnsi="Arial"/>
          <w:sz w:val="13"/>
          <w:szCs w:val="13"/>
          <w:color w:val="auto"/>
        </w:rPr>
        <w:t>A prolonged downturn in global debt capital markets stemming from credit risk aversions, anti-money laundering, or other economic or political concerns pertaining to the Region, or a continued downturn in investor confidence, could affect the Bank’s access to cross border funding or increase its cost of funding. Furthermore, de-risking by global banks may reduce lender access to cross border payment processing, and to lower fund inflows into the Region.</w:t>
      </w:r>
    </w:p>
    <w:p>
      <w:pPr>
        <w:spacing w:after="0" w:line="141"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Year 2018</w:t>
      </w:r>
    </w:p>
    <w:p>
      <w:pPr>
        <w:spacing w:after="0" w:line="159" w:lineRule="exact"/>
        <w:rPr>
          <w:sz w:val="20"/>
          <w:szCs w:val="20"/>
          <w:color w:val="auto"/>
        </w:rPr>
      </w:pPr>
    </w:p>
    <w:p>
      <w:pPr>
        <w:jc w:val="both"/>
        <w:spacing w:after="0" w:line="276" w:lineRule="auto"/>
        <w:rPr>
          <w:sz w:val="20"/>
          <w:szCs w:val="20"/>
          <w:color w:val="auto"/>
        </w:rPr>
      </w:pPr>
      <w:r>
        <w:rPr>
          <w:rFonts w:ascii="Arial" w:cs="Arial" w:eastAsia="Arial" w:hAnsi="Arial"/>
          <w:sz w:val="12"/>
          <w:szCs w:val="12"/>
          <w:color w:val="auto"/>
        </w:rPr>
        <w:t>Bladex’s profit for the year 2018 totaled $11.1 million, or $0.28 per share, compared to $82.0 million, or $2.09 per share for the year 2017. Bladex’s decrease in profits during 2018 was mainly impacted by: (i) the $57.5 million impairment losses on financial instruments, primarily associated with provisions for credit losses on an increased level of credit-impaired loans, mainly related to a single credit in the sugar industry in Brazil, (ii) the $10.0 million impairment losses on non-financial assets associated with losses on investment properties and other non-financial assets related to credit restructurings, as well as to the disposal of obsolete technology, in line with the Bank’s objective to optimize its operating platform, and (iii) the $10.7 million decrease in total revenues, mainly resulting from lower net interest income (-8%) on narrower net interest margin (-14 basis points), attributable to decreased lending spreads on a relatively stable level of average loan balances (+1%). Narrower lending spreads reflect the shift in the focus of the Bank’s portfolio toward higher quality borrowers, including financial institutions, sovereign and state-owned entities and top tier corporate clients.</w:t>
      </w:r>
    </w:p>
    <w:p>
      <w:pPr>
        <w:spacing w:after="0" w:line="126" w:lineRule="exact"/>
        <w:rPr>
          <w:sz w:val="20"/>
          <w:szCs w:val="20"/>
          <w:color w:val="auto"/>
        </w:rPr>
      </w:pPr>
    </w:p>
    <w:p>
      <w:pPr>
        <w:jc w:val="both"/>
        <w:ind w:right="20"/>
        <w:spacing w:after="0" w:line="254" w:lineRule="auto"/>
        <w:rPr>
          <w:sz w:val="20"/>
          <w:szCs w:val="20"/>
          <w:color w:val="auto"/>
        </w:rPr>
      </w:pPr>
      <w:r>
        <w:rPr>
          <w:rFonts w:ascii="Arial" w:cs="Arial" w:eastAsia="Arial" w:hAnsi="Arial"/>
          <w:sz w:val="13"/>
          <w:szCs w:val="13"/>
          <w:color w:val="auto"/>
        </w:rPr>
        <w:t>The Bank’s net interest income totaled $109.7 million for the year ended December 31, 2018, compared to $119.8 million during the year ended December 31, 2017. The $10.1 million, or 8% decrease in net interest income during 2018 was mainly attributable to a 14 basis point decline in NIM. The decrease in NIM relates to narrower net lending spreads due to the origination of higher quality loans in 2018. Lower lending spreads were partially offset by the net positive effect of an increasing interest rate environment on the repricing of the Bank’s assets and liabilities. Due to the short-term nature of its loan portfolio, the Bank maintains a narrow interest rate gap structure and is able to pass along LIBOR-based market rate increases in its funding to its asset base.</w:t>
      </w:r>
    </w:p>
    <w:p>
      <w:pPr>
        <w:spacing w:after="0" w:line="137"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The Bank was able to consolidate its commissions income, which remained relatively stable at levels above $17 million during 2018, significantly contributing to its goal of diversifying revenue streams. This was made possible due to the performance of the traditional letters of credit business and the Bank’s role as a relevant player in loan structuring and syndication activities in the Region. During 2018, the Bank successfully closed seven facilities for a total of $847 million, demonstrating once again its capacity to provide solutions to clients across the Region and consolidating its key role of supporting Latin American financial institutions and corporations in their growth and expansion plans.</w:t>
      </w:r>
    </w:p>
    <w:p>
      <w:pPr>
        <w:spacing w:after="0" w:line="137"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ROAE stood at 1.1% for 2018, compared to 8.0% for 2017, as a result of lower profits for 2018 on the back of higher impairment losses. As of December 31, 2018, the Bank’s Tier 1 capital ratio calculated according to Basel III capital adequacy guidelines was 18.1%, compared to 21.1% as of December 31, 2017. The 2018 leverage ratio was 7.7x compared to 6.0x in 2017.</w:t>
      </w:r>
    </w:p>
    <w:p>
      <w:pPr>
        <w:spacing w:after="0" w:line="12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The Bank’s 2018 efficiency ratio reached 38%, compared to 34% for the year 2017, as the Bank reported lower profits and operating expenses increased by 4% in 2018, mainly attributable to non-recurring expenses incurred in 2018 from personnel restructurings and from the streamlining of processes and of technological infrastructure, in the Bank’s efforts to optimize its operating infrastructure. The Bank’s operating expenses to average assets ratio was 76 basis points in 2018, compared to 72 basis points in 2017.</w:t>
      </w:r>
    </w:p>
    <w:p>
      <w:pPr>
        <w:spacing w:after="0" w:line="284"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77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708" w:right="199" w:bottom="1440" w:gutter="0" w:footer="0" w:header="0"/>
        </w:sectPr>
      </w:pPr>
    </w:p>
    <w:bookmarkStart w:id="79" w:name="page80"/>
    <w:bookmarkEnd w:id="79"/>
    <w:p>
      <w:pPr>
        <w:jc w:val="both"/>
        <w:ind w:right="20"/>
        <w:spacing w:after="0" w:line="267" w:lineRule="auto"/>
        <w:rPr>
          <w:sz w:val="20"/>
          <w:szCs w:val="20"/>
          <w:color w:val="auto"/>
        </w:rPr>
      </w:pPr>
      <w:r>
        <w:rPr>
          <w:rFonts w:ascii="Arial" w:cs="Arial" w:eastAsia="Arial" w:hAnsi="Arial"/>
          <w:sz w:val="13"/>
          <w:szCs w:val="13"/>
          <w:color w:val="auto"/>
        </w:rPr>
        <w:t>The weighted average funding cost for the year ended December 31, 2018 was 2.76%, compared to 1.95% for the year ended December 31, 2017, an increase of 81 basis points, mainly reflecting higher LIBOR-based market rates, which was partly offset by lower funding spreads.</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Year 2017</w:t>
      </w:r>
    </w:p>
    <w:p>
      <w:pPr>
        <w:spacing w:after="0" w:line="159" w:lineRule="exact"/>
        <w:rPr>
          <w:sz w:val="20"/>
          <w:szCs w:val="20"/>
          <w:color w:val="auto"/>
        </w:rPr>
      </w:pPr>
    </w:p>
    <w:p>
      <w:pPr>
        <w:jc w:val="both"/>
        <w:spacing w:after="0" w:line="278" w:lineRule="auto"/>
        <w:rPr>
          <w:sz w:val="20"/>
          <w:szCs w:val="20"/>
          <w:color w:val="auto"/>
        </w:rPr>
      </w:pPr>
      <w:r>
        <w:rPr>
          <w:rFonts w:ascii="Arial" w:cs="Arial" w:eastAsia="Arial" w:hAnsi="Arial"/>
          <w:sz w:val="12"/>
          <w:szCs w:val="12"/>
          <w:color w:val="auto"/>
        </w:rPr>
        <w:t>The Bank’s profit for the year 2017 totaled $82.0 million, compared to $87.0 million in 2016. The $5.0 million, or 6%, decrease was mostly attributable to: (i) lower net interest income from reduced average loan balances and narrower lending spreads, as the Bank mitigated risk and diversified its portfolio mix, as well as shortened its average lending tenor, and (ii) non-recurring personnel-change related expenses, resulting in $3.2 million in charges for 2017, both of which were mostly offset by the positive effects of: (i) improved credit quality reflected in lower impairment loss from ECL, (ii) strong annual growth in fee income from its letters of credit business and structuring / syndication activity, (iii) the absence of non-core trading losses, as the Bank completely divested from its participation in investment funds during 2016, and (iv) a decrease in its recurring base of operating expenses (excluding personnel-change related expenses), reflecting the Bank’s focus on increasing efficiency through technology, processes and structural improvements.</w:t>
      </w:r>
    </w:p>
    <w:p>
      <w:pPr>
        <w:spacing w:after="0" w:line="125" w:lineRule="exact"/>
        <w:rPr>
          <w:sz w:val="20"/>
          <w:szCs w:val="20"/>
          <w:color w:val="auto"/>
        </w:rPr>
      </w:pPr>
    </w:p>
    <w:p>
      <w:pPr>
        <w:jc w:val="both"/>
        <w:spacing w:after="0" w:line="251" w:lineRule="auto"/>
        <w:rPr>
          <w:sz w:val="20"/>
          <w:szCs w:val="20"/>
          <w:color w:val="auto"/>
        </w:rPr>
      </w:pPr>
      <w:r>
        <w:rPr>
          <w:rFonts w:ascii="Arial" w:cs="Arial" w:eastAsia="Arial" w:hAnsi="Arial"/>
          <w:sz w:val="13"/>
          <w:szCs w:val="13"/>
          <w:color w:val="auto"/>
        </w:rPr>
        <w:t>For the year ended December 31, 2017, the Bank’s net interest income and margin reached $119.8 million, and 1.85%, respectively, compared to $155.2 million, and 2.08%, respectively, during the year ended December 31, 2016. The decreases in net interest income and margin were mostly impacted by: (i) lower average loan volumes, as the Bank improved its portfolio risk profile by reducing unwanted exposures to certain countries, industries and clients, along with an increasing focus on short-term lending, and (ii) tighter lending spreads from shortened average tenors combined with pricing pressures from increased levels of USD liquidity, while the Bank prioritized adequate risk-return pricing over volume growth. These effects were partially offset by (i) upward repricing on LIBOR-based market rates, which impacted both the earning-assets side and the financial liabilities side due to the Bank’s short-tenor interest rate gap structure, and (ii) lower spreads on its funding, as the Bank continued to benefit from the flight to quality trend among global funding sources, given the negative credit cycle in the Region.</w:t>
      </w:r>
    </w:p>
    <w:p>
      <w:pPr>
        <w:spacing w:after="0" w:line="140" w:lineRule="exact"/>
        <w:rPr>
          <w:sz w:val="20"/>
          <w:szCs w:val="20"/>
          <w:color w:val="auto"/>
        </w:rPr>
      </w:pPr>
    </w:p>
    <w:p>
      <w:pPr>
        <w:jc w:val="both"/>
        <w:ind w:right="20"/>
        <w:spacing w:after="0" w:line="289" w:lineRule="auto"/>
        <w:rPr>
          <w:sz w:val="20"/>
          <w:szCs w:val="20"/>
          <w:color w:val="auto"/>
        </w:rPr>
      </w:pPr>
      <w:r>
        <w:rPr>
          <w:rFonts w:ascii="Arial" w:cs="Arial" w:eastAsia="Arial" w:hAnsi="Arial"/>
          <w:sz w:val="12"/>
          <w:szCs w:val="12"/>
          <w:color w:val="auto"/>
        </w:rPr>
        <w:t>Fees and commissions amounted to $17.5 million for the year ended December 31, 2017, compared to $14.3 million for the year ended December 31, 2016. The $3.2 million, or 22%, increase was primarily driven by the upward trend in fee generation from the Bank’s structuring and syndication activities, with seven closed transactions in 2017 resulting in fees totaling $6.6 million, and from strong annual growth of $3.0 million in fee income from the Bank’s letters of credit business, due to a more diversified letter of credit client base, and the Bank’s focus on deepening its participation in the trade value chain.</w:t>
      </w:r>
    </w:p>
    <w:p>
      <w:pPr>
        <w:spacing w:after="0" w:line="118"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ROAE reached 8.0% for 2017, compared to 8.8% for the year 2016, as a result of lower profits for 2017 and an increased capitalization level, with a Tier 1 Basel III Capital Ratio of 21.1% as of December 31, 2017, compared to 17.9% as of December 31, 2016.</w:t>
      </w:r>
    </w:p>
    <w:p>
      <w:pPr>
        <w:spacing w:after="0" w:line="12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Bank’s 2017 efficiency ratio reached 34%, compared to 27% for the year 2016, mainly due to non-recurring operating expenses and lower total income generation year-over-year. The Bank’s operating expenses to average assets ratio was 72 basis points in 2017 compared to 61 basis points in 2016.</w:t>
      </w:r>
    </w:p>
    <w:p>
      <w:pPr>
        <w:spacing w:after="0" w:line="12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weighted average funding cost for the year ended December 31, 2017 was 1.95%, compared to 1.39% for the year ended December 31, 2016, an increase of 56 basis points mainly reflecting the increase in LIBOR-based market rates, which was partly offset by lower funding spreads.</w:t>
      </w:r>
    </w:p>
    <w:p>
      <w:pPr>
        <w:spacing w:after="0" w:line="278"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78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80" w:name="page81"/>
    <w:bookmarkEnd w:id="80"/>
    <w:p>
      <w:pPr>
        <w:ind w:left="3" w:right="20"/>
        <w:spacing w:after="0" w:line="267" w:lineRule="auto"/>
        <w:rPr>
          <w:sz w:val="20"/>
          <w:szCs w:val="20"/>
          <w:color w:val="auto"/>
        </w:rPr>
      </w:pPr>
      <w:r>
        <w:rPr>
          <w:rFonts w:ascii="Arial" w:cs="Arial" w:eastAsia="Arial" w:hAnsi="Arial"/>
          <w:sz w:val="13"/>
          <w:szCs w:val="13"/>
          <w:color w:val="auto"/>
        </w:rPr>
        <w:t>In addition, see Item 3.D. “Key Information—Risk Factors,” for a discussion of the risks the Bank faces, which could affect the Bank’s business, results of operations and/or financial condition, and Item 5.A., “Operating Results,” for a discussion of the Bank’s financial results.</w:t>
      </w:r>
    </w:p>
    <w:p>
      <w:pPr>
        <w:spacing w:after="0" w:line="125" w:lineRule="exact"/>
        <w:rPr>
          <w:sz w:val="20"/>
          <w:szCs w:val="20"/>
          <w:color w:val="auto"/>
        </w:rPr>
      </w:pPr>
    </w:p>
    <w:p>
      <w:pPr>
        <w:ind w:left="463" w:hanging="463"/>
        <w:spacing w:after="0"/>
        <w:tabs>
          <w:tab w:leader="none" w:pos="463" w:val="left"/>
        </w:tabs>
        <w:numPr>
          <w:ilvl w:val="0"/>
          <w:numId w:val="45"/>
        </w:numPr>
        <w:rPr>
          <w:rFonts w:ascii="Arial" w:cs="Arial" w:eastAsia="Arial" w:hAnsi="Arial"/>
          <w:sz w:val="13"/>
          <w:szCs w:val="13"/>
          <w:b w:val="1"/>
          <w:bCs w:val="1"/>
          <w:color w:val="auto"/>
        </w:rPr>
      </w:pPr>
      <w:r>
        <w:rPr>
          <w:rFonts w:ascii="Arial" w:cs="Arial" w:eastAsia="Arial" w:hAnsi="Arial"/>
          <w:sz w:val="13"/>
          <w:szCs w:val="13"/>
          <w:b w:val="1"/>
          <w:bCs w:val="1"/>
          <w:color w:val="auto"/>
        </w:rPr>
        <w:t>Off-Balance Sheet Arrangements</w:t>
      </w:r>
    </w:p>
    <w:p>
      <w:pPr>
        <w:spacing w:after="0" w:line="163" w:lineRule="exact"/>
        <w:rPr>
          <w:sz w:val="20"/>
          <w:szCs w:val="20"/>
          <w:color w:val="auto"/>
        </w:rPr>
      </w:pPr>
    </w:p>
    <w:p>
      <w:pPr>
        <w:jc w:val="both"/>
        <w:ind w:left="3" w:right="20"/>
        <w:spacing w:after="0" w:line="278" w:lineRule="auto"/>
        <w:rPr>
          <w:sz w:val="20"/>
          <w:szCs w:val="20"/>
          <w:color w:val="auto"/>
        </w:rPr>
      </w:pPr>
      <w:r>
        <w:rPr>
          <w:rFonts w:ascii="Arial" w:cs="Arial" w:eastAsia="Arial" w:hAnsi="Arial"/>
          <w:sz w:val="12"/>
          <w:szCs w:val="12"/>
          <w:color w:val="auto"/>
        </w:rPr>
        <w:t>In the normal course of business, in order to meet the financing needs of its customers, the Bank is party to loan commitments and financial guarantee contracts. These instruments involve, to varying degrees, elements of credit and market risk in excess of the amount recognized in the consolidated statement of financial position. Credit risk represents the possibility of loss resulting from the failure of a customer to perform in accordance with the terms of a contract. The contractual amount of these instruments represents the maximum possible credit risk should the counterparty draw down the commitment or the Bank fulfill the obligation under the guarantee, and the counterparty subsequently fails to perform according to the terms of the contract. Most of these commitments and guarantees expire without the counterparty drawing on the credit line or a default occurring. As a result, the total contractual amount of these instruments does not represent our future credit exposure or funding requirements.</w:t>
      </w:r>
    </w:p>
    <w:p>
      <w:pPr>
        <w:spacing w:after="0" w:line="125"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As of December 31, 2018, the Bank’s off-balance sheet arrangements, as defined in the Instructions to Item 5.E. of Form 20-F, included documentary letters of credit, stand-by letters of credit, and guarantees (covering commercial risk). These arrangements are kept off-balance sheet as long as the Bank does not incur an obligation relating to them or itself become entitled to an asset.</w:t>
      </w:r>
    </w:p>
    <w:p>
      <w:pPr>
        <w:spacing w:after="0" w:line="129" w:lineRule="exact"/>
        <w:rPr>
          <w:sz w:val="20"/>
          <w:szCs w:val="20"/>
          <w:color w:val="auto"/>
        </w:rPr>
      </w:pPr>
    </w:p>
    <w:tbl>
      <w:tblPr>
        <w:tblLayout w:type="fixed"/>
        <w:tblInd w:w="3" w:type="dxa"/>
        <w:tblCellMar>
          <w:top w:w="0" w:type="dxa"/>
          <w:left w:w="0" w:type="dxa"/>
          <w:bottom w:w="0" w:type="dxa"/>
          <w:right w:w="0" w:type="dxa"/>
        </w:tblCellMar>
      </w:tblPr>
      <w:tr>
        <w:trPr>
          <w:trHeight w:val="162"/>
        </w:trPr>
        <w:tc>
          <w:tcPr>
            <w:tcW w:w="7120" w:type="dxa"/>
            <w:vAlign w:val="bottom"/>
          </w:tcPr>
          <w:p>
            <w:pPr>
              <w:spacing w:after="0"/>
              <w:rPr>
                <w:sz w:val="20"/>
                <w:szCs w:val="20"/>
                <w:color w:val="auto"/>
              </w:rPr>
            </w:pPr>
            <w:r>
              <w:rPr>
                <w:rFonts w:ascii="Arial" w:cs="Arial" w:eastAsia="Arial" w:hAnsi="Arial"/>
                <w:sz w:val="13"/>
                <w:szCs w:val="13"/>
                <w:color w:val="auto"/>
                <w:w w:val="92"/>
              </w:rPr>
              <w:t>The Bank’s outstanding off-balance sheet arrangements and total loan commitments and financial guarantee contracts are as follows:</w:t>
            </w:r>
          </w:p>
        </w:tc>
        <w:tc>
          <w:tcPr>
            <w:tcW w:w="28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40" w:type="dxa"/>
            <w:vAlign w:val="bottom"/>
          </w:tcPr>
          <w:p>
            <w:pPr>
              <w:spacing w:after="0"/>
              <w:rPr>
                <w:sz w:val="14"/>
                <w:szCs w:val="14"/>
                <w:color w:val="auto"/>
              </w:rPr>
            </w:pPr>
          </w:p>
        </w:tc>
        <w:tc>
          <w:tcPr>
            <w:tcW w:w="8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120" w:type="dxa"/>
            <w:vAlign w:val="bottom"/>
          </w:tcPr>
          <w:p>
            <w:pPr>
              <w:spacing w:after="0"/>
              <w:rPr>
                <w:sz w:val="14"/>
                <w:szCs w:val="14"/>
                <w:color w:val="auto"/>
              </w:rPr>
            </w:pPr>
          </w:p>
        </w:tc>
      </w:tr>
      <w:tr>
        <w:trPr>
          <w:trHeight w:val="318"/>
        </w:trPr>
        <w:tc>
          <w:tcPr>
            <w:tcW w:w="7120" w:type="dxa"/>
            <w:vAlign w:val="bottom"/>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500" w:type="dxa"/>
            <w:vAlign w:val="bottom"/>
            <w:tcBorders>
              <w:bottom w:val="single" w:sz="8" w:color="auto"/>
            </w:tcBorders>
            <w:gridSpan w:val="3"/>
          </w:tcPr>
          <w:p>
            <w:pPr>
              <w:ind w:left="100"/>
              <w:spacing w:after="0"/>
              <w:rPr>
                <w:sz w:val="20"/>
                <w:szCs w:val="20"/>
                <w:color w:val="auto"/>
              </w:rPr>
            </w:pPr>
            <w:r>
              <w:rPr>
                <w:rFonts w:ascii="Arial" w:cs="Arial" w:eastAsia="Arial" w:hAnsi="Arial"/>
                <w:sz w:val="13"/>
                <w:szCs w:val="13"/>
                <w:b w:val="1"/>
                <w:bCs w:val="1"/>
                <w:color w:val="auto"/>
              </w:rPr>
              <w:t>As of December 31,</w:t>
            </w:r>
          </w:p>
        </w:tc>
        <w:tc>
          <w:tcPr>
            <w:tcW w:w="28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r>
      <w:tr>
        <w:trPr>
          <w:trHeight w:val="154"/>
        </w:trPr>
        <w:tc>
          <w:tcPr>
            <w:tcW w:w="7120" w:type="dxa"/>
            <w:vAlign w:val="bottom"/>
          </w:tcPr>
          <w:p>
            <w:pPr>
              <w:spacing w:after="0"/>
              <w:rPr>
                <w:sz w:val="13"/>
                <w:szCs w:val="13"/>
                <w:color w:val="auto"/>
              </w:rPr>
            </w:pPr>
          </w:p>
        </w:tc>
        <w:tc>
          <w:tcPr>
            <w:tcW w:w="280" w:type="dxa"/>
            <w:vAlign w:val="bottom"/>
            <w:tcBorders>
              <w:bottom w:val="single" w:sz="8" w:color="auto"/>
            </w:tcBorders>
          </w:tcPr>
          <w:p>
            <w:pPr>
              <w:spacing w:after="0"/>
              <w:rPr>
                <w:sz w:val="13"/>
                <w:szCs w:val="13"/>
                <w:color w:val="auto"/>
              </w:rPr>
            </w:pPr>
          </w:p>
        </w:tc>
        <w:tc>
          <w:tcPr>
            <w:tcW w:w="1000" w:type="dxa"/>
            <w:vAlign w:val="bottom"/>
            <w:tcBorders>
              <w:bottom w:val="single" w:sz="8" w:color="auto"/>
            </w:tcBorders>
          </w:tcPr>
          <w:p>
            <w:pPr>
              <w:jc w:val="right"/>
              <w:ind w:right="456"/>
              <w:spacing w:after="0"/>
              <w:rPr>
                <w:sz w:val="20"/>
                <w:szCs w:val="20"/>
                <w:color w:val="auto"/>
              </w:rPr>
            </w:pPr>
            <w:r>
              <w:rPr>
                <w:rFonts w:ascii="Arial" w:cs="Arial" w:eastAsia="Arial" w:hAnsi="Arial"/>
                <w:sz w:val="13"/>
                <w:szCs w:val="13"/>
                <w:b w:val="1"/>
                <w:bCs w:val="1"/>
                <w:color w:val="auto"/>
              </w:rPr>
              <w:t>2018</w:t>
            </w:r>
          </w:p>
        </w:tc>
        <w:tc>
          <w:tcPr>
            <w:tcW w:w="220" w:type="dxa"/>
            <w:vAlign w:val="bottom"/>
            <w:tcBorders>
              <w:bottom w:val="single" w:sz="8" w:color="auto"/>
            </w:tcBorders>
          </w:tcPr>
          <w:p>
            <w:pPr>
              <w:spacing w:after="0"/>
              <w:rPr>
                <w:sz w:val="13"/>
                <w:szCs w:val="13"/>
                <w:color w:val="auto"/>
              </w:rPr>
            </w:pPr>
          </w:p>
        </w:tc>
        <w:tc>
          <w:tcPr>
            <w:tcW w:w="440" w:type="dxa"/>
            <w:vAlign w:val="bottom"/>
            <w:tcBorders>
              <w:bottom w:val="single" w:sz="8" w:color="auto"/>
            </w:tcBorders>
          </w:tcPr>
          <w:p>
            <w:pPr>
              <w:spacing w:after="0"/>
              <w:rPr>
                <w:sz w:val="13"/>
                <w:szCs w:val="13"/>
                <w:color w:val="auto"/>
              </w:rPr>
            </w:pPr>
          </w:p>
        </w:tc>
        <w:tc>
          <w:tcPr>
            <w:tcW w:w="840" w:type="dxa"/>
            <w:vAlign w:val="bottom"/>
            <w:tcBorders>
              <w:bottom w:val="single" w:sz="8" w:color="auto"/>
            </w:tcBorders>
          </w:tcPr>
          <w:p>
            <w:pPr>
              <w:jc w:val="right"/>
              <w:ind w:right="456"/>
              <w:spacing w:after="0"/>
              <w:rPr>
                <w:sz w:val="20"/>
                <w:szCs w:val="20"/>
                <w:color w:val="auto"/>
              </w:rPr>
            </w:pPr>
            <w:r>
              <w:rPr>
                <w:rFonts w:ascii="Arial" w:cs="Arial" w:eastAsia="Arial" w:hAnsi="Arial"/>
                <w:sz w:val="13"/>
                <w:szCs w:val="13"/>
                <w:b w:val="1"/>
                <w:bCs w:val="1"/>
                <w:color w:val="auto"/>
              </w:rPr>
              <w:t>2017</w:t>
            </w:r>
          </w:p>
        </w:tc>
        <w:tc>
          <w:tcPr>
            <w:tcW w:w="220" w:type="dxa"/>
            <w:vAlign w:val="bottom"/>
            <w:tcBorders>
              <w:bottom w:val="single" w:sz="8" w:color="auto"/>
            </w:tcBorders>
          </w:tcPr>
          <w:p>
            <w:pPr>
              <w:spacing w:after="0"/>
              <w:rPr>
                <w:sz w:val="13"/>
                <w:szCs w:val="13"/>
                <w:color w:val="auto"/>
              </w:rPr>
            </w:pPr>
          </w:p>
        </w:tc>
        <w:tc>
          <w:tcPr>
            <w:tcW w:w="280" w:type="dxa"/>
            <w:vAlign w:val="bottom"/>
            <w:tcBorders>
              <w:bottom w:val="single" w:sz="8" w:color="auto"/>
            </w:tcBorders>
          </w:tcPr>
          <w:p>
            <w:pPr>
              <w:spacing w:after="0"/>
              <w:rPr>
                <w:sz w:val="13"/>
                <w:szCs w:val="13"/>
                <w:color w:val="auto"/>
              </w:rPr>
            </w:pPr>
          </w:p>
        </w:tc>
        <w:tc>
          <w:tcPr>
            <w:tcW w:w="960" w:type="dxa"/>
            <w:vAlign w:val="bottom"/>
            <w:tcBorders>
              <w:bottom w:val="single" w:sz="8" w:color="auto"/>
            </w:tcBorders>
          </w:tcPr>
          <w:p>
            <w:pPr>
              <w:jc w:val="right"/>
              <w:ind w:right="436"/>
              <w:spacing w:after="0"/>
              <w:rPr>
                <w:sz w:val="20"/>
                <w:szCs w:val="20"/>
                <w:color w:val="auto"/>
              </w:rPr>
            </w:pPr>
            <w:r>
              <w:rPr>
                <w:rFonts w:ascii="Arial" w:cs="Arial" w:eastAsia="Arial" w:hAnsi="Arial"/>
                <w:sz w:val="13"/>
                <w:szCs w:val="13"/>
                <w:b w:val="1"/>
                <w:bCs w:val="1"/>
                <w:color w:val="auto"/>
              </w:rPr>
              <w:t>2016</w:t>
            </w:r>
          </w:p>
        </w:tc>
        <w:tc>
          <w:tcPr>
            <w:tcW w:w="120" w:type="dxa"/>
            <w:vAlign w:val="bottom"/>
          </w:tcPr>
          <w:p>
            <w:pPr>
              <w:spacing w:after="0"/>
              <w:rPr>
                <w:sz w:val="13"/>
                <w:szCs w:val="13"/>
                <w:color w:val="auto"/>
              </w:rPr>
            </w:pPr>
          </w:p>
        </w:tc>
      </w:tr>
      <w:tr>
        <w:trPr>
          <w:trHeight w:val="144"/>
        </w:trPr>
        <w:tc>
          <w:tcPr>
            <w:tcW w:w="71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40" w:type="dxa"/>
            <w:vAlign w:val="bottom"/>
          </w:tcPr>
          <w:p>
            <w:pPr>
              <w:jc w:val="right"/>
              <w:spacing w:after="0" w:line="144" w:lineRule="exact"/>
              <w:rPr>
                <w:sz w:val="20"/>
                <w:szCs w:val="20"/>
                <w:color w:val="auto"/>
              </w:rPr>
            </w:pPr>
            <w:r>
              <w:rPr>
                <w:rFonts w:ascii="Arial" w:cs="Arial" w:eastAsia="Arial" w:hAnsi="Arial"/>
                <w:sz w:val="13"/>
                <w:szCs w:val="13"/>
                <w:b w:val="1"/>
                <w:bCs w:val="1"/>
                <w:color w:val="auto"/>
              </w:rPr>
              <w:t>(in $</w:t>
            </w:r>
          </w:p>
        </w:tc>
        <w:tc>
          <w:tcPr>
            <w:tcW w:w="1060" w:type="dxa"/>
            <w:vAlign w:val="bottom"/>
            <w:gridSpan w:val="2"/>
          </w:tcPr>
          <w:p>
            <w:pPr>
              <w:ind w:left="20"/>
              <w:spacing w:after="0" w:line="144" w:lineRule="exact"/>
              <w:rPr>
                <w:sz w:val="20"/>
                <w:szCs w:val="20"/>
                <w:color w:val="auto"/>
              </w:rPr>
            </w:pPr>
            <w:r>
              <w:rPr>
                <w:rFonts w:ascii="Arial" w:cs="Arial" w:eastAsia="Arial" w:hAnsi="Arial"/>
                <w:sz w:val="13"/>
                <w:szCs w:val="13"/>
                <w:b w:val="1"/>
                <w:bCs w:val="1"/>
                <w:color w:val="auto"/>
              </w:rPr>
              <w:t>thousands)</w:t>
            </w:r>
          </w:p>
        </w:tc>
        <w:tc>
          <w:tcPr>
            <w:tcW w:w="28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Documentary letters of credit</w:t>
            </w:r>
          </w:p>
        </w:tc>
        <w:tc>
          <w:tcPr>
            <w:tcW w:w="280" w:type="dxa"/>
            <w:vAlign w:val="bottom"/>
            <w:shd w:val="clear" w:color="auto" w:fill="CCEEFF"/>
          </w:tcPr>
          <w:p>
            <w:pPr>
              <w:jc w:val="right"/>
              <w:ind w:right="172"/>
              <w:spacing w:after="0"/>
              <w:rPr>
                <w:sz w:val="20"/>
                <w:szCs w:val="20"/>
                <w:color w:val="auto"/>
              </w:rPr>
            </w:pPr>
            <w:r>
              <w:rPr>
                <w:rFonts w:ascii="Arial" w:cs="Arial" w:eastAsia="Arial" w:hAnsi="Arial"/>
                <w:sz w:val="10"/>
                <w:szCs w:val="10"/>
                <w:color w:val="auto"/>
                <w:w w:val="71"/>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218,988</w:t>
            </w:r>
          </w:p>
        </w:tc>
        <w:tc>
          <w:tcPr>
            <w:tcW w:w="440" w:type="dxa"/>
            <w:vAlign w:val="bottom"/>
            <w:shd w:val="clear" w:color="auto" w:fill="CCEEFF"/>
          </w:tcPr>
          <w:p>
            <w:pPr>
              <w:jc w:val="right"/>
              <w:ind w:right="324"/>
              <w:spacing w:after="0"/>
              <w:rPr>
                <w:sz w:val="20"/>
                <w:szCs w:val="20"/>
                <w:color w:val="auto"/>
              </w:rPr>
            </w:pPr>
            <w:r>
              <w:rPr>
                <w:rFonts w:ascii="Arial" w:cs="Arial" w:eastAsia="Arial" w:hAnsi="Arial"/>
                <w:sz w:val="10"/>
                <w:szCs w:val="10"/>
                <w:color w:val="auto"/>
                <w:w w:val="71"/>
              </w:rPr>
              <w:t>$</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273,449</w:t>
            </w:r>
          </w:p>
        </w:tc>
        <w:tc>
          <w:tcPr>
            <w:tcW w:w="280" w:type="dxa"/>
            <w:vAlign w:val="bottom"/>
            <w:shd w:val="clear" w:color="auto" w:fill="CCEEFF"/>
          </w:tcPr>
          <w:p>
            <w:pPr>
              <w:jc w:val="right"/>
              <w:ind w:right="172"/>
              <w:spacing w:after="0"/>
              <w:rPr>
                <w:sz w:val="20"/>
                <w:szCs w:val="20"/>
                <w:color w:val="auto"/>
              </w:rPr>
            </w:pPr>
            <w:r>
              <w:rPr>
                <w:rFonts w:ascii="Arial" w:cs="Arial" w:eastAsia="Arial" w:hAnsi="Arial"/>
                <w:sz w:val="10"/>
                <w:szCs w:val="10"/>
                <w:color w:val="auto"/>
                <w:w w:val="71"/>
              </w:rPr>
              <w:t>$</w:t>
            </w: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216,608</w:t>
            </w:r>
          </w:p>
        </w:tc>
      </w:tr>
      <w:tr>
        <w:trPr>
          <w:trHeight w:val="163"/>
        </w:trPr>
        <w:tc>
          <w:tcPr>
            <w:tcW w:w="7120" w:type="dxa"/>
            <w:vAlign w:val="bottom"/>
          </w:tcPr>
          <w:p>
            <w:pPr>
              <w:spacing w:after="0"/>
              <w:rPr>
                <w:sz w:val="20"/>
                <w:szCs w:val="20"/>
                <w:color w:val="auto"/>
              </w:rPr>
            </w:pPr>
            <w:r>
              <w:rPr>
                <w:rFonts w:ascii="Arial" w:cs="Arial" w:eastAsia="Arial" w:hAnsi="Arial"/>
                <w:sz w:val="13"/>
                <w:szCs w:val="13"/>
                <w:color w:val="auto"/>
              </w:rPr>
              <w:t>Stand-by letters of credit and guarantees – Commercial risk</w:t>
            </w:r>
          </w:p>
        </w:tc>
        <w:tc>
          <w:tcPr>
            <w:tcW w:w="280" w:type="dxa"/>
            <w:vAlign w:val="bottom"/>
          </w:tcPr>
          <w:p>
            <w:pPr>
              <w:spacing w:after="0"/>
              <w:rPr>
                <w:sz w:val="14"/>
                <w:szCs w:val="14"/>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179,756</w:t>
            </w:r>
          </w:p>
        </w:tc>
        <w:tc>
          <w:tcPr>
            <w:tcW w:w="440" w:type="dxa"/>
            <w:vAlign w:val="bottom"/>
          </w:tcPr>
          <w:p>
            <w:pPr>
              <w:spacing w:after="0"/>
              <w:rPr>
                <w:sz w:val="14"/>
                <w:szCs w:val="14"/>
                <w:color w:val="auto"/>
              </w:rPr>
            </w:pPr>
          </w:p>
        </w:tc>
        <w:tc>
          <w:tcPr>
            <w:tcW w:w="1060" w:type="dxa"/>
            <w:vAlign w:val="bottom"/>
            <w:gridSpan w:val="2"/>
          </w:tcPr>
          <w:p>
            <w:pPr>
              <w:jc w:val="right"/>
              <w:ind w:right="220"/>
              <w:spacing w:after="0"/>
              <w:rPr>
                <w:sz w:val="20"/>
                <w:szCs w:val="20"/>
                <w:color w:val="auto"/>
              </w:rPr>
            </w:pPr>
            <w:r>
              <w:rPr>
                <w:rFonts w:ascii="Arial" w:cs="Arial" w:eastAsia="Arial" w:hAnsi="Arial"/>
                <w:sz w:val="13"/>
                <w:szCs w:val="13"/>
                <w:color w:val="auto"/>
              </w:rPr>
              <w:t>168,976</w:t>
            </w:r>
          </w:p>
        </w:tc>
        <w:tc>
          <w:tcPr>
            <w:tcW w:w="280" w:type="dxa"/>
            <w:vAlign w:val="bottom"/>
          </w:tcPr>
          <w:p>
            <w:pPr>
              <w:spacing w:after="0"/>
              <w:rPr>
                <w:sz w:val="14"/>
                <w:szCs w:val="14"/>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3"/>
                <w:szCs w:val="13"/>
                <w:color w:val="auto"/>
              </w:rPr>
              <w:t>176,177</w:t>
            </w:r>
          </w:p>
        </w:tc>
      </w:tr>
      <w:tr>
        <w:trPr>
          <w:trHeight w:val="144"/>
        </w:trPr>
        <w:tc>
          <w:tcPr>
            <w:tcW w:w="712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Total off-balance sheet arrangements</w:t>
            </w:r>
          </w:p>
        </w:tc>
        <w:tc>
          <w:tcPr>
            <w:tcW w:w="280" w:type="dxa"/>
            <w:vAlign w:val="bottom"/>
            <w:tcBorders>
              <w:top w:val="single" w:sz="8" w:color="auto"/>
            </w:tcBorders>
            <w:shd w:val="clear" w:color="auto" w:fill="CCEEFF"/>
          </w:tcPr>
          <w:p>
            <w:pPr>
              <w:jc w:val="right"/>
              <w:ind w:right="172"/>
              <w:spacing w:after="0"/>
              <w:rPr>
                <w:sz w:val="20"/>
                <w:szCs w:val="20"/>
                <w:color w:val="auto"/>
              </w:rPr>
            </w:pPr>
            <w:r>
              <w:rPr>
                <w:rFonts w:ascii="Arial" w:cs="Arial" w:eastAsia="Arial" w:hAnsi="Arial"/>
                <w:sz w:val="10"/>
                <w:szCs w:val="10"/>
                <w:b w:val="1"/>
                <w:bCs w:val="1"/>
                <w:color w:val="auto"/>
                <w:w w:val="71"/>
              </w:rPr>
              <w:t>$</w:t>
            </w:r>
          </w:p>
        </w:tc>
        <w:tc>
          <w:tcPr>
            <w:tcW w:w="10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398,744</w:t>
            </w:r>
          </w:p>
        </w:tc>
        <w:tc>
          <w:tcPr>
            <w:tcW w:w="220" w:type="dxa"/>
            <w:vAlign w:val="bottom"/>
            <w:tcBorders>
              <w:top w:val="single" w:sz="8" w:color="CCEEFF"/>
            </w:tcBorders>
            <w:shd w:val="clear" w:color="auto" w:fill="CCEEFF"/>
          </w:tcPr>
          <w:p>
            <w:pPr>
              <w:spacing w:after="0"/>
              <w:rPr>
                <w:sz w:val="12"/>
                <w:szCs w:val="12"/>
                <w:color w:val="auto"/>
              </w:rPr>
            </w:pPr>
          </w:p>
        </w:tc>
        <w:tc>
          <w:tcPr>
            <w:tcW w:w="440" w:type="dxa"/>
            <w:vAlign w:val="bottom"/>
            <w:tcBorders>
              <w:top w:val="single" w:sz="8" w:color="auto"/>
            </w:tcBorders>
            <w:shd w:val="clear" w:color="auto" w:fill="CCEEFF"/>
          </w:tcPr>
          <w:p>
            <w:pPr>
              <w:spacing w:after="0"/>
              <w:rPr>
                <w:sz w:val="12"/>
                <w:szCs w:val="12"/>
                <w:color w:val="auto"/>
              </w:rPr>
            </w:pPr>
          </w:p>
        </w:tc>
        <w:tc>
          <w:tcPr>
            <w:tcW w:w="84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442,425</w:t>
            </w:r>
          </w:p>
        </w:tc>
        <w:tc>
          <w:tcPr>
            <w:tcW w:w="22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tcBorders>
            <w:shd w:val="clear" w:color="auto" w:fill="CCEEFF"/>
          </w:tcPr>
          <w:p>
            <w:pPr>
              <w:spacing w:after="0"/>
              <w:rPr>
                <w:sz w:val="12"/>
                <w:szCs w:val="12"/>
                <w:color w:val="auto"/>
              </w:rPr>
            </w:pPr>
          </w:p>
        </w:tc>
        <w:tc>
          <w:tcPr>
            <w:tcW w:w="9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392,785</w:t>
            </w:r>
          </w:p>
        </w:tc>
        <w:tc>
          <w:tcPr>
            <w:tcW w:w="120" w:type="dxa"/>
            <w:vAlign w:val="bottom"/>
            <w:tcBorders>
              <w:top w:val="single" w:sz="8" w:color="CCEEFF"/>
            </w:tcBorders>
            <w:shd w:val="clear" w:color="auto" w:fill="CCEEFF"/>
          </w:tcPr>
          <w:p>
            <w:pPr>
              <w:spacing w:after="0"/>
              <w:rPr>
                <w:sz w:val="12"/>
                <w:szCs w:val="12"/>
                <w:color w:val="auto"/>
              </w:rPr>
            </w:pPr>
          </w:p>
        </w:tc>
      </w:tr>
      <w:tr>
        <w:trPr>
          <w:trHeight w:val="163"/>
        </w:trPr>
        <w:tc>
          <w:tcPr>
            <w:tcW w:w="7120" w:type="dxa"/>
            <w:vAlign w:val="bottom"/>
          </w:tcPr>
          <w:p>
            <w:pPr>
              <w:spacing w:after="0"/>
              <w:rPr>
                <w:sz w:val="20"/>
                <w:szCs w:val="20"/>
                <w:color w:val="auto"/>
              </w:rPr>
            </w:pPr>
            <w:r>
              <w:rPr>
                <w:rFonts w:ascii="Arial" w:cs="Arial" w:eastAsia="Arial" w:hAnsi="Arial"/>
                <w:sz w:val="13"/>
                <w:szCs w:val="13"/>
                <w:color w:val="auto"/>
              </w:rPr>
              <w:t>Credit commitments</w:t>
            </w:r>
          </w:p>
        </w:tc>
        <w:tc>
          <w:tcPr>
            <w:tcW w:w="280" w:type="dxa"/>
            <w:vAlign w:val="bottom"/>
          </w:tcPr>
          <w:p>
            <w:pPr>
              <w:spacing w:after="0"/>
              <w:rPr>
                <w:sz w:val="14"/>
                <w:szCs w:val="14"/>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103,143</w:t>
            </w:r>
          </w:p>
        </w:tc>
        <w:tc>
          <w:tcPr>
            <w:tcW w:w="440" w:type="dxa"/>
            <w:vAlign w:val="bottom"/>
          </w:tcPr>
          <w:p>
            <w:pPr>
              <w:spacing w:after="0"/>
              <w:rPr>
                <w:sz w:val="14"/>
                <w:szCs w:val="14"/>
                <w:color w:val="auto"/>
              </w:rPr>
            </w:pPr>
          </w:p>
        </w:tc>
        <w:tc>
          <w:tcPr>
            <w:tcW w:w="1060" w:type="dxa"/>
            <w:vAlign w:val="bottom"/>
            <w:gridSpan w:val="2"/>
          </w:tcPr>
          <w:p>
            <w:pPr>
              <w:jc w:val="right"/>
              <w:ind w:right="220"/>
              <w:spacing w:after="0"/>
              <w:rPr>
                <w:sz w:val="20"/>
                <w:szCs w:val="20"/>
                <w:color w:val="auto"/>
              </w:rPr>
            </w:pPr>
            <w:r>
              <w:rPr>
                <w:rFonts w:ascii="Arial" w:cs="Arial" w:eastAsia="Arial" w:hAnsi="Arial"/>
                <w:sz w:val="13"/>
                <w:szCs w:val="13"/>
                <w:color w:val="auto"/>
              </w:rPr>
              <w:t>45,578</w:t>
            </w:r>
          </w:p>
        </w:tc>
        <w:tc>
          <w:tcPr>
            <w:tcW w:w="280" w:type="dxa"/>
            <w:vAlign w:val="bottom"/>
          </w:tcPr>
          <w:p>
            <w:pPr>
              <w:spacing w:after="0"/>
              <w:rPr>
                <w:sz w:val="14"/>
                <w:szCs w:val="14"/>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3"/>
                <w:szCs w:val="13"/>
                <w:color w:val="auto"/>
              </w:rPr>
              <w:t>10,250</w:t>
            </w:r>
          </w:p>
        </w:tc>
      </w:tr>
      <w:tr>
        <w:trPr>
          <w:trHeight w:val="163"/>
        </w:trPr>
        <w:tc>
          <w:tcPr>
            <w:tcW w:w="7120" w:type="dxa"/>
            <w:vAlign w:val="bottom"/>
            <w:tcBorders>
              <w:top w:val="single" w:sz="8" w:color="CCEEFF"/>
              <w:bottom w:val="single" w:sz="8" w:color="CCEEFF"/>
            </w:tcBorders>
            <w:shd w:val="clear" w:color="auto" w:fill="CCEEFF"/>
          </w:tcPr>
          <w:p>
            <w:pPr>
              <w:spacing w:after="0" w:line="147" w:lineRule="exact"/>
              <w:rPr>
                <w:sz w:val="20"/>
                <w:szCs w:val="20"/>
                <w:color w:val="auto"/>
              </w:rPr>
            </w:pPr>
            <w:r>
              <w:rPr>
                <w:rFonts w:ascii="Arial" w:cs="Arial" w:eastAsia="Arial" w:hAnsi="Arial"/>
                <w:sz w:val="13"/>
                <w:szCs w:val="13"/>
                <w:b w:val="1"/>
                <w:bCs w:val="1"/>
                <w:color w:val="auto"/>
              </w:rPr>
              <w:t>Total loan commitments and financial guarantee contracts</w:t>
            </w:r>
          </w:p>
        </w:tc>
        <w:tc>
          <w:tcPr>
            <w:tcW w:w="280" w:type="dxa"/>
            <w:vAlign w:val="bottom"/>
            <w:tcBorders>
              <w:top w:val="single" w:sz="8" w:color="auto"/>
              <w:bottom w:val="single" w:sz="8" w:color="auto"/>
            </w:tcBorders>
            <w:shd w:val="clear" w:color="auto" w:fill="CCEEFF"/>
          </w:tcPr>
          <w:p>
            <w:pPr>
              <w:jc w:val="right"/>
              <w:ind w:right="172"/>
              <w:spacing w:after="0"/>
              <w:rPr>
                <w:sz w:val="20"/>
                <w:szCs w:val="20"/>
                <w:color w:val="auto"/>
              </w:rPr>
            </w:pPr>
            <w:r>
              <w:rPr>
                <w:rFonts w:ascii="Arial" w:cs="Arial" w:eastAsia="Arial" w:hAnsi="Arial"/>
                <w:sz w:val="10"/>
                <w:szCs w:val="10"/>
                <w:b w:val="1"/>
                <w:bCs w:val="1"/>
                <w:color w:val="auto"/>
                <w:w w:val="71"/>
              </w:rPr>
              <w:t>$</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501,887</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440" w:type="dxa"/>
            <w:vAlign w:val="bottom"/>
            <w:tcBorders>
              <w:top w:val="single" w:sz="8" w:color="auto"/>
              <w:bottom w:val="single" w:sz="8" w:color="auto"/>
            </w:tcBorders>
            <w:shd w:val="clear" w:color="auto" w:fill="CCEEFF"/>
          </w:tcPr>
          <w:p>
            <w:pPr>
              <w:jc w:val="right"/>
              <w:ind w:right="324"/>
              <w:spacing w:after="0"/>
              <w:rPr>
                <w:sz w:val="20"/>
                <w:szCs w:val="20"/>
                <w:color w:val="auto"/>
              </w:rPr>
            </w:pPr>
            <w:r>
              <w:rPr>
                <w:rFonts w:ascii="Arial" w:cs="Arial" w:eastAsia="Arial" w:hAnsi="Arial"/>
                <w:sz w:val="10"/>
                <w:szCs w:val="10"/>
                <w:b w:val="1"/>
                <w:bCs w:val="1"/>
                <w:color w:val="auto"/>
                <w:w w:val="71"/>
              </w:rPr>
              <w:t>$</w:t>
            </w: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488,003</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280" w:type="dxa"/>
            <w:vAlign w:val="bottom"/>
            <w:tcBorders>
              <w:top w:val="single" w:sz="8" w:color="auto"/>
              <w:bottom w:val="single" w:sz="8" w:color="auto"/>
            </w:tcBorders>
            <w:shd w:val="clear" w:color="auto" w:fill="CCEEFF"/>
          </w:tcPr>
          <w:p>
            <w:pPr>
              <w:jc w:val="right"/>
              <w:ind w:right="172"/>
              <w:spacing w:after="0"/>
              <w:rPr>
                <w:sz w:val="20"/>
                <w:szCs w:val="20"/>
                <w:color w:val="auto"/>
              </w:rPr>
            </w:pPr>
            <w:r>
              <w:rPr>
                <w:rFonts w:ascii="Arial" w:cs="Arial" w:eastAsia="Arial" w:hAnsi="Arial"/>
                <w:sz w:val="10"/>
                <w:szCs w:val="10"/>
                <w:b w:val="1"/>
                <w:bCs w:val="1"/>
                <w:color w:val="auto"/>
                <w:w w:val="71"/>
              </w:rPr>
              <w:t>$</w:t>
            </w: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403,035</w:t>
            </w:r>
          </w:p>
        </w:tc>
        <w:tc>
          <w:tcPr>
            <w:tcW w:w="120" w:type="dxa"/>
            <w:vAlign w:val="bottom"/>
            <w:tcBorders>
              <w:top w:val="single" w:sz="8" w:color="CCEEFF"/>
              <w:bottom w:val="single" w:sz="8" w:color="CCEEFF"/>
            </w:tcBorders>
            <w:shd w:val="clear" w:color="auto" w:fill="CCEEFF"/>
          </w:tcPr>
          <w:p>
            <w:pPr>
              <w:spacing w:after="0"/>
              <w:rPr>
                <w:sz w:val="14"/>
                <w:szCs w:val="14"/>
                <w:color w:val="auto"/>
              </w:rPr>
            </w:pPr>
          </w:p>
        </w:tc>
      </w:tr>
    </w:tbl>
    <w:p>
      <w:pPr>
        <w:spacing w:after="0" w:line="145" w:lineRule="exact"/>
        <w:rPr>
          <w:sz w:val="20"/>
          <w:szCs w:val="20"/>
          <w:color w:val="auto"/>
        </w:rPr>
      </w:pPr>
    </w:p>
    <w:p>
      <w:pPr>
        <w:jc w:val="both"/>
        <w:ind w:left="3"/>
        <w:spacing w:after="0" w:line="267" w:lineRule="auto"/>
        <w:rPr>
          <w:sz w:val="20"/>
          <w:szCs w:val="20"/>
          <w:color w:val="auto"/>
        </w:rPr>
      </w:pPr>
      <w:r>
        <w:rPr>
          <w:rFonts w:ascii="Arial" w:cs="Arial" w:eastAsia="Arial" w:hAnsi="Arial"/>
          <w:sz w:val="13"/>
          <w:szCs w:val="13"/>
          <w:color w:val="auto"/>
        </w:rPr>
        <w:t>Fees and commission income from off-balance sheet arrangements amounted to $13 million for the year ended December 31, 2018, compared to $11 million and $9 million for the years ended December 31, 2017, and 2016, respectively.</w:t>
      </w:r>
    </w:p>
    <w:p>
      <w:pPr>
        <w:spacing w:after="0" w:line="129" w:lineRule="exact"/>
        <w:rPr>
          <w:sz w:val="20"/>
          <w:szCs w:val="20"/>
          <w:color w:val="auto"/>
        </w:rPr>
      </w:pPr>
    </w:p>
    <w:p>
      <w:pPr>
        <w:jc w:val="both"/>
        <w:ind w:left="3" w:right="20"/>
        <w:spacing w:after="0" w:line="257" w:lineRule="auto"/>
        <w:rPr>
          <w:sz w:val="20"/>
          <w:szCs w:val="20"/>
          <w:color w:val="auto"/>
        </w:rPr>
      </w:pPr>
      <w:r>
        <w:rPr>
          <w:rFonts w:ascii="Arial" w:cs="Arial" w:eastAsia="Arial" w:hAnsi="Arial"/>
          <w:sz w:val="13"/>
          <w:szCs w:val="13"/>
          <w:color w:val="auto"/>
        </w:rPr>
        <w:t>The allowance for loan commitments and financial guarantee contracts losses reflects management’s estimates of expected credit losses on off-balance sheet items, and is recognized in the consolidated statement of financial position, with the resulting recovery or impairment loss recorded in the consolidated statement of profit or loss. As of December 31, 2018, total allowance for loan commitments and financial guarantee contracts losses amounted to $3 million, compared to $7 million as of December 31, 2017 and $6 million as of December 31, 2016.</w:t>
      </w:r>
    </w:p>
    <w:p>
      <w:pPr>
        <w:spacing w:after="0" w:line="284"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79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9" w:right="199" w:bottom="1440" w:gutter="0" w:footer="0" w:header="0"/>
        </w:sectPr>
      </w:pPr>
    </w:p>
    <w:bookmarkStart w:id="81" w:name="page82"/>
    <w:bookmarkEnd w:id="81"/>
    <w:p>
      <w:pPr>
        <w:ind w:left="463" w:hanging="463"/>
        <w:spacing w:after="0"/>
        <w:tabs>
          <w:tab w:leader="none" w:pos="463" w:val="left"/>
        </w:tabs>
        <w:numPr>
          <w:ilvl w:val="0"/>
          <w:numId w:val="46"/>
        </w:numPr>
        <w:rPr>
          <w:rFonts w:ascii="Arial" w:cs="Arial" w:eastAsia="Arial" w:hAnsi="Arial"/>
          <w:sz w:val="13"/>
          <w:szCs w:val="13"/>
          <w:b w:val="1"/>
          <w:bCs w:val="1"/>
          <w:color w:val="auto"/>
        </w:rPr>
      </w:pPr>
      <w:r>
        <w:rPr>
          <w:rFonts w:ascii="Arial" w:cs="Arial" w:eastAsia="Arial" w:hAnsi="Arial"/>
          <w:sz w:val="13"/>
          <w:szCs w:val="13"/>
          <w:b w:val="1"/>
          <w:bCs w:val="1"/>
          <w:color w:val="auto"/>
        </w:rPr>
        <w:t>Tabular Disclosure of Contractual Obligations</w:t>
      </w:r>
    </w:p>
    <w:p>
      <w:pPr>
        <w:spacing w:after="0" w:line="163"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following tables set forth information regarding the Bank’s contractual obligations and commercial commitments as of December 31, 2018.</w:t>
      </w:r>
    </w:p>
    <w:p>
      <w:pPr>
        <w:spacing w:after="0" w:line="164" w:lineRule="exact"/>
        <w:rPr>
          <w:sz w:val="20"/>
          <w:szCs w:val="20"/>
          <w:color w:val="auto"/>
        </w:rPr>
      </w:pPr>
    </w:p>
    <w:tbl>
      <w:tblPr>
        <w:tblLayout w:type="fixed"/>
        <w:tblInd w:w="3" w:type="dxa"/>
        <w:tblCellMar>
          <w:top w:w="0" w:type="dxa"/>
          <w:left w:w="0" w:type="dxa"/>
          <w:bottom w:w="0" w:type="dxa"/>
          <w:right w:w="0" w:type="dxa"/>
        </w:tblCellMar>
      </w:tblPr>
      <w:tr>
        <w:trPr>
          <w:trHeight w:val="166"/>
        </w:trPr>
        <w:tc>
          <w:tcPr>
            <w:tcW w:w="40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280" w:type="dxa"/>
            <w:vAlign w:val="bottom"/>
            <w:tcBorders>
              <w:bottom w:val="single" w:sz="8" w:color="auto"/>
            </w:tcBorders>
          </w:tcPr>
          <w:p>
            <w:pPr>
              <w:spacing w:after="0"/>
              <w:rPr>
                <w:sz w:val="14"/>
                <w:szCs w:val="14"/>
                <w:color w:val="auto"/>
              </w:rPr>
            </w:pPr>
          </w:p>
        </w:tc>
        <w:tc>
          <w:tcPr>
            <w:tcW w:w="98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06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640" w:type="dxa"/>
            <w:vAlign w:val="bottom"/>
            <w:tcBorders>
              <w:bottom w:val="single" w:sz="8" w:color="auto"/>
            </w:tcBorders>
            <w:gridSpan w:val="4"/>
          </w:tcPr>
          <w:p>
            <w:pPr>
              <w:jc w:val="right"/>
              <w:ind w:right="220"/>
              <w:spacing w:after="0"/>
              <w:rPr>
                <w:sz w:val="20"/>
                <w:szCs w:val="20"/>
                <w:color w:val="auto"/>
              </w:rPr>
            </w:pPr>
            <w:r>
              <w:rPr>
                <w:rFonts w:ascii="Arial" w:cs="Arial" w:eastAsia="Arial" w:hAnsi="Arial"/>
                <w:sz w:val="13"/>
                <w:szCs w:val="13"/>
                <w:b w:val="1"/>
                <w:bCs w:val="1"/>
                <w:color w:val="auto"/>
                <w:w w:val="91"/>
              </w:rPr>
              <w:t>Payments Due by Period</w:t>
            </w:r>
          </w:p>
        </w:tc>
        <w:tc>
          <w:tcPr>
            <w:tcW w:w="200" w:type="dxa"/>
            <w:vAlign w:val="bottom"/>
            <w:tcBorders>
              <w:bottom w:val="single" w:sz="8" w:color="auto"/>
            </w:tcBorders>
          </w:tcPr>
          <w:p>
            <w:pPr>
              <w:spacing w:after="0"/>
              <w:rPr>
                <w:sz w:val="14"/>
                <w:szCs w:val="14"/>
                <w:color w:val="auto"/>
              </w:rPr>
            </w:pPr>
          </w:p>
        </w:tc>
        <w:tc>
          <w:tcPr>
            <w:tcW w:w="10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04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131"/>
        </w:trPr>
        <w:tc>
          <w:tcPr>
            <w:tcW w:w="40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160" w:type="dxa"/>
            <w:vAlign w:val="bottom"/>
            <w:gridSpan w:val="2"/>
          </w:tcPr>
          <w:p>
            <w:pPr>
              <w:jc w:val="right"/>
              <w:ind w:right="420"/>
              <w:spacing w:after="0" w:line="131" w:lineRule="exact"/>
              <w:rPr>
                <w:sz w:val="20"/>
                <w:szCs w:val="20"/>
                <w:color w:val="auto"/>
              </w:rPr>
            </w:pPr>
            <w:r>
              <w:rPr>
                <w:rFonts w:ascii="Arial" w:cs="Arial" w:eastAsia="Arial" w:hAnsi="Arial"/>
                <w:sz w:val="13"/>
                <w:szCs w:val="13"/>
                <w:b w:val="1"/>
                <w:bCs w:val="1"/>
                <w:color w:val="auto"/>
              </w:rPr>
              <w:t>Less than 1</w:t>
            </w:r>
          </w:p>
        </w:tc>
        <w:tc>
          <w:tcPr>
            <w:tcW w:w="14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0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040" w:type="dxa"/>
            <w:vAlign w:val="bottom"/>
          </w:tcPr>
          <w:p>
            <w:pPr>
              <w:jc w:val="center"/>
              <w:ind w:right="136"/>
              <w:spacing w:after="0" w:line="131" w:lineRule="exact"/>
              <w:rPr>
                <w:sz w:val="20"/>
                <w:szCs w:val="20"/>
                <w:color w:val="auto"/>
              </w:rPr>
            </w:pPr>
            <w:r>
              <w:rPr>
                <w:rFonts w:ascii="Arial" w:cs="Arial" w:eastAsia="Arial" w:hAnsi="Arial"/>
                <w:sz w:val="13"/>
                <w:szCs w:val="13"/>
                <w:b w:val="1"/>
                <w:bCs w:val="1"/>
                <w:color w:val="auto"/>
                <w:w w:val="90"/>
              </w:rPr>
              <w:t>More than</w:t>
            </w:r>
          </w:p>
        </w:tc>
        <w:tc>
          <w:tcPr>
            <w:tcW w:w="120" w:type="dxa"/>
            <w:vAlign w:val="bottom"/>
            <w:gridSpan w:val="2"/>
          </w:tcPr>
          <w:p>
            <w:pPr>
              <w:spacing w:after="0"/>
              <w:rPr>
                <w:sz w:val="11"/>
                <w:szCs w:val="11"/>
                <w:color w:val="auto"/>
              </w:rPr>
            </w:pPr>
          </w:p>
        </w:tc>
      </w:tr>
      <w:tr>
        <w:trPr>
          <w:trHeight w:val="167"/>
        </w:trPr>
        <w:tc>
          <w:tcPr>
            <w:tcW w:w="4140" w:type="dxa"/>
            <w:vAlign w:val="bottom"/>
            <w:gridSpan w:val="2"/>
          </w:tcPr>
          <w:p>
            <w:pPr>
              <w:spacing w:after="0"/>
              <w:rPr>
                <w:sz w:val="20"/>
                <w:szCs w:val="20"/>
                <w:color w:val="auto"/>
              </w:rPr>
            </w:pPr>
            <w:r>
              <w:rPr>
                <w:rFonts w:ascii="Arial" w:cs="Arial" w:eastAsia="Arial" w:hAnsi="Arial"/>
                <w:sz w:val="13"/>
                <w:szCs w:val="13"/>
                <w:b w:val="1"/>
                <w:bCs w:val="1"/>
                <w:color w:val="auto"/>
              </w:rPr>
              <w:t>Contractual Obligations</w:t>
            </w:r>
          </w:p>
        </w:tc>
        <w:tc>
          <w:tcPr>
            <w:tcW w:w="280" w:type="dxa"/>
            <w:vAlign w:val="bottom"/>
          </w:tcPr>
          <w:p>
            <w:pPr>
              <w:spacing w:after="0"/>
              <w:rPr>
                <w:sz w:val="14"/>
                <w:szCs w:val="14"/>
                <w:color w:val="auto"/>
              </w:rPr>
            </w:pPr>
          </w:p>
        </w:tc>
        <w:tc>
          <w:tcPr>
            <w:tcW w:w="1220" w:type="dxa"/>
            <w:vAlign w:val="bottom"/>
            <w:gridSpan w:val="2"/>
          </w:tcPr>
          <w:p>
            <w:pPr>
              <w:jc w:val="right"/>
              <w:ind w:right="720"/>
              <w:spacing w:after="0"/>
              <w:rPr>
                <w:sz w:val="20"/>
                <w:szCs w:val="20"/>
                <w:color w:val="auto"/>
              </w:rPr>
            </w:pPr>
            <w:r>
              <w:rPr>
                <w:rFonts w:ascii="Arial" w:cs="Arial" w:eastAsia="Arial" w:hAnsi="Arial"/>
                <w:sz w:val="13"/>
                <w:szCs w:val="13"/>
                <w:b w:val="1"/>
                <w:bCs w:val="1"/>
                <w:color w:val="auto"/>
              </w:rPr>
              <w:t>Total</w:t>
            </w:r>
          </w:p>
        </w:tc>
        <w:tc>
          <w:tcPr>
            <w:tcW w:w="200" w:type="dxa"/>
            <w:vAlign w:val="bottom"/>
          </w:tcPr>
          <w:p>
            <w:pPr>
              <w:spacing w:after="0"/>
              <w:rPr>
                <w:sz w:val="14"/>
                <w:szCs w:val="14"/>
                <w:color w:val="auto"/>
              </w:rPr>
            </w:pPr>
          </w:p>
        </w:tc>
        <w:tc>
          <w:tcPr>
            <w:tcW w:w="1160" w:type="dxa"/>
            <w:vAlign w:val="bottom"/>
            <w:gridSpan w:val="2"/>
          </w:tcPr>
          <w:p>
            <w:pPr>
              <w:jc w:val="right"/>
              <w:ind w:right="600"/>
              <w:spacing w:after="0"/>
              <w:rPr>
                <w:sz w:val="20"/>
                <w:szCs w:val="20"/>
                <w:color w:val="auto"/>
              </w:rPr>
            </w:pPr>
            <w:r>
              <w:rPr>
                <w:rFonts w:ascii="Arial" w:cs="Arial" w:eastAsia="Arial" w:hAnsi="Arial"/>
                <w:sz w:val="13"/>
                <w:szCs w:val="13"/>
                <w:b w:val="1"/>
                <w:bCs w:val="1"/>
                <w:color w:val="auto"/>
              </w:rPr>
              <w:t>year</w:t>
            </w:r>
          </w:p>
        </w:tc>
        <w:tc>
          <w:tcPr>
            <w:tcW w:w="140" w:type="dxa"/>
            <w:vAlign w:val="bottom"/>
          </w:tcPr>
          <w:p>
            <w:pPr>
              <w:spacing w:after="0"/>
              <w:rPr>
                <w:sz w:val="14"/>
                <w:szCs w:val="14"/>
                <w:color w:val="auto"/>
              </w:rPr>
            </w:pPr>
          </w:p>
        </w:tc>
        <w:tc>
          <w:tcPr>
            <w:tcW w:w="1500" w:type="dxa"/>
            <w:vAlign w:val="bottom"/>
            <w:gridSpan w:val="3"/>
          </w:tcPr>
          <w:p>
            <w:pPr>
              <w:jc w:val="right"/>
              <w:ind w:right="580"/>
              <w:spacing w:after="0"/>
              <w:rPr>
                <w:sz w:val="20"/>
                <w:szCs w:val="20"/>
                <w:color w:val="auto"/>
              </w:rPr>
            </w:pPr>
            <w:r>
              <w:rPr>
                <w:rFonts w:ascii="Arial" w:cs="Arial" w:eastAsia="Arial" w:hAnsi="Arial"/>
                <w:sz w:val="13"/>
                <w:szCs w:val="13"/>
                <w:b w:val="1"/>
                <w:bCs w:val="1"/>
                <w:color w:val="auto"/>
              </w:rPr>
              <w:t>1 – 3 years</w:t>
            </w:r>
          </w:p>
        </w:tc>
        <w:tc>
          <w:tcPr>
            <w:tcW w:w="200" w:type="dxa"/>
            <w:vAlign w:val="bottom"/>
          </w:tcPr>
          <w:p>
            <w:pPr>
              <w:spacing w:after="0"/>
              <w:rPr>
                <w:sz w:val="14"/>
                <w:szCs w:val="14"/>
                <w:color w:val="auto"/>
              </w:rPr>
            </w:pPr>
          </w:p>
        </w:tc>
        <w:tc>
          <w:tcPr>
            <w:tcW w:w="1280" w:type="dxa"/>
            <w:vAlign w:val="bottom"/>
            <w:gridSpan w:val="2"/>
          </w:tcPr>
          <w:p>
            <w:pPr>
              <w:jc w:val="right"/>
              <w:ind w:right="560"/>
              <w:spacing w:after="0"/>
              <w:rPr>
                <w:sz w:val="20"/>
                <w:szCs w:val="20"/>
                <w:color w:val="auto"/>
              </w:rPr>
            </w:pPr>
            <w:r>
              <w:rPr>
                <w:rFonts w:ascii="Arial" w:cs="Arial" w:eastAsia="Arial" w:hAnsi="Arial"/>
                <w:sz w:val="13"/>
                <w:szCs w:val="13"/>
                <w:b w:val="1"/>
                <w:bCs w:val="1"/>
                <w:color w:val="auto"/>
              </w:rPr>
              <w:t>3 – 5 years</w:t>
            </w:r>
          </w:p>
        </w:tc>
        <w:tc>
          <w:tcPr>
            <w:tcW w:w="200" w:type="dxa"/>
            <w:vAlign w:val="bottom"/>
          </w:tcPr>
          <w:p>
            <w:pPr>
              <w:spacing w:after="0"/>
              <w:rPr>
                <w:sz w:val="14"/>
                <w:szCs w:val="14"/>
                <w:color w:val="auto"/>
              </w:rPr>
            </w:pPr>
          </w:p>
        </w:tc>
        <w:tc>
          <w:tcPr>
            <w:tcW w:w="1160" w:type="dxa"/>
            <w:vAlign w:val="bottom"/>
            <w:gridSpan w:val="3"/>
          </w:tcPr>
          <w:p>
            <w:pPr>
              <w:jc w:val="center"/>
              <w:ind w:right="320"/>
              <w:spacing w:after="0"/>
              <w:rPr>
                <w:sz w:val="20"/>
                <w:szCs w:val="20"/>
                <w:color w:val="auto"/>
              </w:rPr>
            </w:pPr>
            <w:r>
              <w:rPr>
                <w:rFonts w:ascii="Arial" w:cs="Arial" w:eastAsia="Arial" w:hAnsi="Arial"/>
                <w:sz w:val="13"/>
                <w:szCs w:val="13"/>
                <w:b w:val="1"/>
                <w:bCs w:val="1"/>
                <w:color w:val="auto"/>
                <w:w w:val="89"/>
              </w:rPr>
              <w:t>5 years</w:t>
            </w:r>
          </w:p>
        </w:tc>
      </w:tr>
      <w:tr>
        <w:trPr>
          <w:trHeight w:val="144"/>
        </w:trPr>
        <w:tc>
          <w:tcPr>
            <w:tcW w:w="402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280" w:type="dxa"/>
            <w:vAlign w:val="bottom"/>
            <w:tcBorders>
              <w:top w:val="single" w:sz="8" w:color="auto"/>
            </w:tcBorders>
          </w:tcPr>
          <w:p>
            <w:pPr>
              <w:spacing w:after="0"/>
              <w:rPr>
                <w:sz w:val="12"/>
                <w:szCs w:val="12"/>
                <w:color w:val="auto"/>
              </w:rPr>
            </w:pPr>
          </w:p>
        </w:tc>
        <w:tc>
          <w:tcPr>
            <w:tcW w:w="980" w:type="dxa"/>
            <w:vAlign w:val="bottom"/>
            <w:tcBorders>
              <w:top w:val="single" w:sz="8" w:color="auto"/>
            </w:tcBorders>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1060" w:type="dxa"/>
            <w:vAlign w:val="bottom"/>
            <w:tcBorders>
              <w:top w:val="single" w:sz="8" w:color="auto"/>
            </w:tcBorders>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5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(in $</w:t>
            </w:r>
          </w:p>
        </w:tc>
        <w:tc>
          <w:tcPr>
            <w:tcW w:w="1000" w:type="dxa"/>
            <w:vAlign w:val="bottom"/>
            <w:tcBorders>
              <w:top w:val="single" w:sz="8" w:color="auto"/>
            </w:tcBorders>
            <w:gridSpan w:val="2"/>
          </w:tcPr>
          <w:p>
            <w:pPr>
              <w:jc w:val="right"/>
              <w:ind w:right="520"/>
              <w:spacing w:after="0" w:line="144" w:lineRule="exact"/>
              <w:rPr>
                <w:sz w:val="20"/>
                <w:szCs w:val="20"/>
                <w:color w:val="auto"/>
              </w:rPr>
            </w:pPr>
            <w:r>
              <w:rPr>
                <w:rFonts w:ascii="Arial" w:cs="Arial" w:eastAsia="Arial" w:hAnsi="Arial"/>
                <w:sz w:val="13"/>
                <w:szCs w:val="13"/>
                <w:b w:val="1"/>
                <w:bCs w:val="1"/>
                <w:color w:val="auto"/>
                <w:w w:val="85"/>
              </w:rPr>
              <w:t>millions)</w:t>
            </w:r>
          </w:p>
        </w:tc>
        <w:tc>
          <w:tcPr>
            <w:tcW w:w="200" w:type="dxa"/>
            <w:vAlign w:val="bottom"/>
            <w:tcBorders>
              <w:top w:val="single" w:sz="8" w:color="auto"/>
            </w:tcBorders>
          </w:tcPr>
          <w:p>
            <w:pPr>
              <w:spacing w:after="0"/>
              <w:rPr>
                <w:sz w:val="12"/>
                <w:szCs w:val="12"/>
                <w:color w:val="auto"/>
              </w:rPr>
            </w:pPr>
          </w:p>
        </w:tc>
        <w:tc>
          <w:tcPr>
            <w:tcW w:w="1060" w:type="dxa"/>
            <w:vAlign w:val="bottom"/>
            <w:tcBorders>
              <w:top w:val="single" w:sz="8" w:color="auto"/>
            </w:tcBorders>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1040" w:type="dxa"/>
            <w:vAlign w:val="bottom"/>
            <w:tcBorders>
              <w:top w:val="single" w:sz="8" w:color="auto"/>
            </w:tcBorders>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41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Deposits</w:t>
            </w:r>
          </w:p>
        </w:tc>
        <w:tc>
          <w:tcPr>
            <w:tcW w:w="280" w:type="dxa"/>
            <w:vAlign w:val="bottom"/>
            <w:shd w:val="clear" w:color="auto" w:fill="CCEEFF"/>
          </w:tcPr>
          <w:p>
            <w:pPr>
              <w:jc w:val="right"/>
              <w:ind w:right="172"/>
              <w:spacing w:after="0"/>
              <w:rPr>
                <w:sz w:val="20"/>
                <w:szCs w:val="20"/>
                <w:color w:val="auto"/>
              </w:rPr>
            </w:pPr>
            <w:r>
              <w:rPr>
                <w:rFonts w:ascii="Arial" w:cs="Arial" w:eastAsia="Arial" w:hAnsi="Arial"/>
                <w:sz w:val="10"/>
                <w:szCs w:val="10"/>
                <w:color w:val="auto"/>
                <w:w w:val="71"/>
              </w:rPr>
              <w:t>$</w:t>
            </w:r>
          </w:p>
        </w:tc>
        <w:tc>
          <w:tcPr>
            <w:tcW w:w="12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2,971</w:t>
            </w:r>
          </w:p>
        </w:tc>
        <w:tc>
          <w:tcPr>
            <w:tcW w:w="200" w:type="dxa"/>
            <w:vAlign w:val="bottom"/>
            <w:shd w:val="clear" w:color="auto" w:fill="CCEEFF"/>
          </w:tcPr>
          <w:p>
            <w:pPr>
              <w:jc w:val="right"/>
              <w:ind w:right="92"/>
              <w:spacing w:after="0"/>
              <w:rPr>
                <w:sz w:val="20"/>
                <w:szCs w:val="20"/>
                <w:color w:val="auto"/>
              </w:rPr>
            </w:pPr>
            <w:r>
              <w:rPr>
                <w:rFonts w:ascii="Arial" w:cs="Arial" w:eastAsia="Arial" w:hAnsi="Arial"/>
                <w:sz w:val="10"/>
                <w:szCs w:val="10"/>
                <w:color w:val="auto"/>
                <w:w w:val="71"/>
              </w:rPr>
              <w:t>$</w:t>
            </w:r>
          </w:p>
        </w:tc>
        <w:tc>
          <w:tcPr>
            <w:tcW w:w="11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2,971</w:t>
            </w:r>
          </w:p>
        </w:tc>
        <w:tc>
          <w:tcPr>
            <w:tcW w:w="640" w:type="dxa"/>
            <w:vAlign w:val="bottom"/>
            <w:gridSpan w:val="2"/>
            <w:shd w:val="clear" w:color="auto" w:fill="CCEEFF"/>
          </w:tcPr>
          <w:p>
            <w:pPr>
              <w:jc w:val="right"/>
              <w:ind w:right="381"/>
              <w:spacing w:after="0"/>
              <w:rPr>
                <w:sz w:val="20"/>
                <w:szCs w:val="20"/>
                <w:color w:val="auto"/>
              </w:rPr>
            </w:pPr>
            <w:r>
              <w:rPr>
                <w:rFonts w:ascii="Arial" w:cs="Arial" w:eastAsia="Arial" w:hAnsi="Arial"/>
                <w:sz w:val="13"/>
                <w:szCs w:val="13"/>
                <w:color w:val="auto"/>
              </w:rPr>
              <w:t>$</w:t>
            </w: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200" w:type="dxa"/>
            <w:vAlign w:val="bottom"/>
            <w:shd w:val="clear" w:color="auto" w:fill="CCEEFF"/>
          </w:tcPr>
          <w:p>
            <w:pPr>
              <w:jc w:val="right"/>
              <w:ind w:right="92"/>
              <w:spacing w:after="0"/>
              <w:rPr>
                <w:sz w:val="20"/>
                <w:szCs w:val="20"/>
                <w:color w:val="auto"/>
              </w:rPr>
            </w:pPr>
            <w:r>
              <w:rPr>
                <w:rFonts w:ascii="Arial" w:cs="Arial" w:eastAsia="Arial" w:hAnsi="Arial"/>
                <w:sz w:val="10"/>
                <w:szCs w:val="10"/>
                <w:color w:val="auto"/>
                <w:w w:val="71"/>
              </w:rPr>
              <w:t>$</w:t>
            </w:r>
          </w:p>
        </w:tc>
        <w:tc>
          <w:tcPr>
            <w:tcW w:w="12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200" w:type="dxa"/>
            <w:vAlign w:val="bottom"/>
            <w:shd w:val="clear" w:color="auto" w:fill="CCEEFF"/>
          </w:tcPr>
          <w:p>
            <w:pPr>
              <w:jc w:val="right"/>
              <w:ind w:right="92"/>
              <w:spacing w:after="0"/>
              <w:rPr>
                <w:sz w:val="20"/>
                <w:szCs w:val="20"/>
                <w:color w:val="auto"/>
              </w:rPr>
            </w:pPr>
            <w:r>
              <w:rPr>
                <w:rFonts w:ascii="Arial" w:cs="Arial" w:eastAsia="Arial" w:hAnsi="Arial"/>
                <w:sz w:val="10"/>
                <w:szCs w:val="10"/>
                <w:color w:val="auto"/>
                <w:w w:val="71"/>
              </w:rPr>
              <w:t>$</w:t>
            </w: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w:t>
            </w:r>
          </w:p>
        </w:tc>
        <w:tc>
          <w:tcPr>
            <w:tcW w:w="100" w:type="dxa"/>
            <w:vAlign w:val="bottom"/>
            <w:shd w:val="clear" w:color="auto" w:fill="CCEEFF"/>
          </w:tcPr>
          <w:p>
            <w:pPr>
              <w:spacing w:after="0"/>
              <w:rPr>
                <w:sz w:val="13"/>
                <w:szCs w:val="13"/>
                <w:color w:val="auto"/>
              </w:rPr>
            </w:pPr>
          </w:p>
        </w:tc>
      </w:tr>
      <w:tr>
        <w:trPr>
          <w:trHeight w:val="154"/>
        </w:trPr>
        <w:tc>
          <w:tcPr>
            <w:tcW w:w="4140" w:type="dxa"/>
            <w:vAlign w:val="bottom"/>
            <w:gridSpan w:val="2"/>
          </w:tcPr>
          <w:p>
            <w:pPr>
              <w:spacing w:after="0"/>
              <w:rPr>
                <w:sz w:val="20"/>
                <w:szCs w:val="20"/>
                <w:color w:val="auto"/>
              </w:rPr>
            </w:pPr>
            <w:r>
              <w:rPr>
                <w:rFonts w:ascii="Arial" w:cs="Arial" w:eastAsia="Arial" w:hAnsi="Arial"/>
                <w:sz w:val="13"/>
                <w:szCs w:val="13"/>
                <w:color w:val="auto"/>
              </w:rPr>
              <w:t>Repos</w:t>
            </w:r>
          </w:p>
        </w:tc>
        <w:tc>
          <w:tcPr>
            <w:tcW w:w="280" w:type="dxa"/>
            <w:vAlign w:val="bottom"/>
          </w:tcPr>
          <w:p>
            <w:pPr>
              <w:spacing w:after="0"/>
              <w:rPr>
                <w:sz w:val="13"/>
                <w:szCs w:val="13"/>
                <w:color w:val="auto"/>
              </w:rPr>
            </w:pPr>
          </w:p>
        </w:tc>
        <w:tc>
          <w:tcPr>
            <w:tcW w:w="1220" w:type="dxa"/>
            <w:vAlign w:val="bottom"/>
            <w:gridSpan w:val="2"/>
          </w:tcPr>
          <w:p>
            <w:pPr>
              <w:jc w:val="right"/>
              <w:ind w:right="240"/>
              <w:spacing w:after="0"/>
              <w:rPr>
                <w:sz w:val="20"/>
                <w:szCs w:val="20"/>
                <w:color w:val="auto"/>
              </w:rPr>
            </w:pPr>
            <w:r>
              <w:rPr>
                <w:rFonts w:ascii="Arial" w:cs="Arial" w:eastAsia="Arial" w:hAnsi="Arial"/>
                <w:sz w:val="13"/>
                <w:szCs w:val="13"/>
                <w:color w:val="auto"/>
              </w:rPr>
              <w:t>40</w:t>
            </w:r>
          </w:p>
        </w:tc>
        <w:tc>
          <w:tcPr>
            <w:tcW w:w="200" w:type="dxa"/>
            <w:vAlign w:val="bottom"/>
          </w:tcPr>
          <w:p>
            <w:pPr>
              <w:spacing w:after="0"/>
              <w:rPr>
                <w:sz w:val="13"/>
                <w:szCs w:val="13"/>
                <w:color w:val="auto"/>
              </w:rPr>
            </w:pPr>
          </w:p>
        </w:tc>
        <w:tc>
          <w:tcPr>
            <w:tcW w:w="1160" w:type="dxa"/>
            <w:vAlign w:val="bottom"/>
            <w:gridSpan w:val="2"/>
          </w:tcPr>
          <w:p>
            <w:pPr>
              <w:jc w:val="right"/>
              <w:ind w:right="100"/>
              <w:spacing w:after="0"/>
              <w:rPr>
                <w:sz w:val="20"/>
                <w:szCs w:val="20"/>
                <w:color w:val="auto"/>
              </w:rPr>
            </w:pPr>
            <w:r>
              <w:rPr>
                <w:rFonts w:ascii="Arial" w:cs="Arial" w:eastAsia="Arial" w:hAnsi="Arial"/>
                <w:sz w:val="13"/>
                <w:szCs w:val="13"/>
                <w:color w:val="auto"/>
              </w:rPr>
              <w:t>40</w:t>
            </w:r>
          </w:p>
        </w:tc>
        <w:tc>
          <w:tcPr>
            <w:tcW w:w="140" w:type="dxa"/>
            <w:vAlign w:val="bottom"/>
          </w:tcPr>
          <w:p>
            <w:pPr>
              <w:spacing w:after="0"/>
              <w:rPr>
                <w:sz w:val="13"/>
                <w:szCs w:val="13"/>
                <w:color w:val="auto"/>
              </w:rPr>
            </w:pPr>
          </w:p>
        </w:tc>
        <w:tc>
          <w:tcPr>
            <w:tcW w:w="500" w:type="dxa"/>
            <w:vAlign w:val="bottom"/>
          </w:tcPr>
          <w:p>
            <w:pPr>
              <w:spacing w:after="0"/>
              <w:rPr>
                <w:sz w:val="13"/>
                <w:szCs w:val="13"/>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200" w:type="dxa"/>
            <w:vAlign w:val="bottom"/>
          </w:tcPr>
          <w:p>
            <w:pPr>
              <w:spacing w:after="0"/>
              <w:rPr>
                <w:sz w:val="13"/>
                <w:szCs w:val="13"/>
                <w:color w:val="auto"/>
              </w:rPr>
            </w:pPr>
          </w:p>
        </w:tc>
        <w:tc>
          <w:tcPr>
            <w:tcW w:w="128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200" w:type="dxa"/>
            <w:vAlign w:val="bottom"/>
          </w:tcPr>
          <w:p>
            <w:pPr>
              <w:spacing w:after="0"/>
              <w:rPr>
                <w:sz w:val="13"/>
                <w:szCs w:val="13"/>
                <w:color w:val="auto"/>
              </w:rPr>
            </w:pPr>
          </w:p>
        </w:tc>
        <w:tc>
          <w:tcPr>
            <w:tcW w:w="1060" w:type="dxa"/>
            <w:vAlign w:val="bottom"/>
            <w:gridSpan w:val="2"/>
          </w:tcPr>
          <w:p>
            <w:pPr>
              <w:jc w:val="right"/>
              <w:ind w:right="20"/>
              <w:spacing w:after="0"/>
              <w:rPr>
                <w:sz w:val="20"/>
                <w:szCs w:val="20"/>
                <w:color w:val="auto"/>
              </w:rPr>
            </w:pPr>
            <w:r>
              <w:rPr>
                <w:rFonts w:ascii="Arial" w:cs="Arial" w:eastAsia="Arial" w:hAnsi="Arial"/>
                <w:sz w:val="13"/>
                <w:szCs w:val="13"/>
                <w:color w:val="auto"/>
              </w:rPr>
              <w:t>0</w:t>
            </w:r>
          </w:p>
        </w:tc>
        <w:tc>
          <w:tcPr>
            <w:tcW w:w="100" w:type="dxa"/>
            <w:vAlign w:val="bottom"/>
          </w:tcPr>
          <w:p>
            <w:pPr>
              <w:spacing w:after="0"/>
              <w:rPr>
                <w:sz w:val="13"/>
                <w:szCs w:val="13"/>
                <w:color w:val="auto"/>
              </w:rPr>
            </w:pPr>
          </w:p>
        </w:tc>
      </w:tr>
      <w:tr>
        <w:trPr>
          <w:trHeight w:val="154"/>
        </w:trPr>
        <w:tc>
          <w:tcPr>
            <w:tcW w:w="41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Short-term borrowings and debt</w:t>
            </w: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2,021</w:t>
            </w:r>
          </w:p>
        </w:tc>
        <w:tc>
          <w:tcPr>
            <w:tcW w:w="200" w:type="dxa"/>
            <w:vAlign w:val="bottom"/>
            <w:shd w:val="clear" w:color="auto" w:fill="CCEEFF"/>
          </w:tcPr>
          <w:p>
            <w:pPr>
              <w:spacing w:after="0"/>
              <w:rPr>
                <w:sz w:val="13"/>
                <w:szCs w:val="13"/>
                <w:color w:val="auto"/>
              </w:rPr>
            </w:pPr>
          </w:p>
        </w:tc>
        <w:tc>
          <w:tcPr>
            <w:tcW w:w="11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2,021</w:t>
            </w:r>
          </w:p>
        </w:tc>
        <w:tc>
          <w:tcPr>
            <w:tcW w:w="140" w:type="dxa"/>
            <w:vAlign w:val="bottom"/>
            <w:shd w:val="clear" w:color="auto" w:fill="CCEEFF"/>
          </w:tcPr>
          <w:p>
            <w:pPr>
              <w:spacing w:after="0"/>
              <w:rPr>
                <w:sz w:val="13"/>
                <w:szCs w:val="13"/>
                <w:color w:val="auto"/>
              </w:rPr>
            </w:pPr>
          </w:p>
        </w:tc>
        <w:tc>
          <w:tcPr>
            <w:tcW w:w="50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200" w:type="dxa"/>
            <w:vAlign w:val="bottom"/>
            <w:shd w:val="clear" w:color="auto" w:fill="CCEEFF"/>
          </w:tcPr>
          <w:p>
            <w:pPr>
              <w:spacing w:after="0"/>
              <w:rPr>
                <w:sz w:val="13"/>
                <w:szCs w:val="13"/>
                <w:color w:val="auto"/>
              </w:rPr>
            </w:pPr>
          </w:p>
        </w:tc>
        <w:tc>
          <w:tcPr>
            <w:tcW w:w="12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20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w:t>
            </w:r>
          </w:p>
        </w:tc>
        <w:tc>
          <w:tcPr>
            <w:tcW w:w="100" w:type="dxa"/>
            <w:vAlign w:val="bottom"/>
            <w:shd w:val="clear" w:color="auto" w:fill="CCEEFF"/>
          </w:tcPr>
          <w:p>
            <w:pPr>
              <w:spacing w:after="0"/>
              <w:rPr>
                <w:sz w:val="13"/>
                <w:szCs w:val="13"/>
                <w:color w:val="auto"/>
              </w:rPr>
            </w:pPr>
          </w:p>
        </w:tc>
      </w:tr>
      <w:tr>
        <w:trPr>
          <w:trHeight w:val="183"/>
        </w:trPr>
        <w:tc>
          <w:tcPr>
            <w:tcW w:w="4140" w:type="dxa"/>
            <w:vAlign w:val="bottom"/>
            <w:gridSpan w:val="2"/>
          </w:tcPr>
          <w:p>
            <w:pPr>
              <w:spacing w:after="0" w:line="183" w:lineRule="exact"/>
              <w:rPr>
                <w:sz w:val="20"/>
                <w:szCs w:val="20"/>
                <w:color w:val="auto"/>
              </w:rPr>
            </w:pPr>
            <w:r>
              <w:rPr>
                <w:rFonts w:ascii="Arial" w:cs="Arial" w:eastAsia="Arial" w:hAnsi="Arial"/>
                <w:sz w:val="13"/>
                <w:szCs w:val="13"/>
                <w:color w:val="auto"/>
              </w:rPr>
              <w:t xml:space="preserve">Long-term borrowings and debt </w:t>
            </w:r>
            <w:r>
              <w:rPr>
                <w:rFonts w:ascii="Arial" w:cs="Arial" w:eastAsia="Arial" w:hAnsi="Arial"/>
                <w:sz w:val="21"/>
                <w:szCs w:val="21"/>
                <w:color w:val="auto"/>
                <w:vertAlign w:val="superscript"/>
              </w:rPr>
              <w:t>(1)</w:t>
            </w:r>
          </w:p>
        </w:tc>
        <w:tc>
          <w:tcPr>
            <w:tcW w:w="280" w:type="dxa"/>
            <w:vAlign w:val="bottom"/>
          </w:tcPr>
          <w:p>
            <w:pPr>
              <w:spacing w:after="0"/>
              <w:rPr>
                <w:sz w:val="15"/>
                <w:szCs w:val="15"/>
                <w:color w:val="auto"/>
              </w:rPr>
            </w:pPr>
          </w:p>
        </w:tc>
        <w:tc>
          <w:tcPr>
            <w:tcW w:w="1220" w:type="dxa"/>
            <w:vAlign w:val="bottom"/>
            <w:gridSpan w:val="2"/>
          </w:tcPr>
          <w:p>
            <w:pPr>
              <w:jc w:val="right"/>
              <w:ind w:right="240"/>
              <w:spacing w:after="0"/>
              <w:rPr>
                <w:sz w:val="20"/>
                <w:szCs w:val="20"/>
                <w:color w:val="auto"/>
              </w:rPr>
            </w:pPr>
            <w:r>
              <w:rPr>
                <w:rFonts w:ascii="Arial" w:cs="Arial" w:eastAsia="Arial" w:hAnsi="Arial"/>
                <w:sz w:val="13"/>
                <w:szCs w:val="13"/>
                <w:color w:val="auto"/>
              </w:rPr>
              <w:t>1,501</w:t>
            </w:r>
          </w:p>
        </w:tc>
        <w:tc>
          <w:tcPr>
            <w:tcW w:w="200" w:type="dxa"/>
            <w:vAlign w:val="bottom"/>
          </w:tcPr>
          <w:p>
            <w:pPr>
              <w:spacing w:after="0"/>
              <w:rPr>
                <w:sz w:val="15"/>
                <w:szCs w:val="15"/>
                <w:color w:val="auto"/>
              </w:rPr>
            </w:pPr>
          </w:p>
        </w:tc>
        <w:tc>
          <w:tcPr>
            <w:tcW w:w="1160" w:type="dxa"/>
            <w:vAlign w:val="bottom"/>
            <w:gridSpan w:val="2"/>
          </w:tcPr>
          <w:p>
            <w:pPr>
              <w:jc w:val="right"/>
              <w:ind w:right="100"/>
              <w:spacing w:after="0"/>
              <w:rPr>
                <w:sz w:val="20"/>
                <w:szCs w:val="20"/>
                <w:color w:val="auto"/>
              </w:rPr>
            </w:pPr>
            <w:r>
              <w:rPr>
                <w:rFonts w:ascii="Arial" w:cs="Arial" w:eastAsia="Arial" w:hAnsi="Arial"/>
                <w:sz w:val="13"/>
                <w:szCs w:val="13"/>
                <w:color w:val="auto"/>
              </w:rPr>
              <w:t>257</w:t>
            </w:r>
          </w:p>
        </w:tc>
        <w:tc>
          <w:tcPr>
            <w:tcW w:w="140" w:type="dxa"/>
            <w:vAlign w:val="bottom"/>
          </w:tcPr>
          <w:p>
            <w:pPr>
              <w:spacing w:after="0"/>
              <w:rPr>
                <w:sz w:val="15"/>
                <w:szCs w:val="15"/>
                <w:color w:val="auto"/>
              </w:rPr>
            </w:pPr>
          </w:p>
        </w:tc>
        <w:tc>
          <w:tcPr>
            <w:tcW w:w="500" w:type="dxa"/>
            <w:vAlign w:val="bottom"/>
          </w:tcPr>
          <w:p>
            <w:pPr>
              <w:spacing w:after="0"/>
              <w:rPr>
                <w:sz w:val="15"/>
                <w:szCs w:val="15"/>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1,047</w:t>
            </w:r>
          </w:p>
        </w:tc>
        <w:tc>
          <w:tcPr>
            <w:tcW w:w="200" w:type="dxa"/>
            <w:vAlign w:val="bottom"/>
          </w:tcPr>
          <w:p>
            <w:pPr>
              <w:spacing w:after="0"/>
              <w:rPr>
                <w:sz w:val="15"/>
                <w:szCs w:val="15"/>
                <w:color w:val="auto"/>
              </w:rPr>
            </w:pPr>
          </w:p>
        </w:tc>
        <w:tc>
          <w:tcPr>
            <w:tcW w:w="1280" w:type="dxa"/>
            <w:vAlign w:val="bottom"/>
            <w:gridSpan w:val="2"/>
          </w:tcPr>
          <w:p>
            <w:pPr>
              <w:jc w:val="right"/>
              <w:ind w:right="220"/>
              <w:spacing w:after="0"/>
              <w:rPr>
                <w:sz w:val="20"/>
                <w:szCs w:val="20"/>
                <w:color w:val="auto"/>
              </w:rPr>
            </w:pPr>
            <w:r>
              <w:rPr>
                <w:rFonts w:ascii="Arial" w:cs="Arial" w:eastAsia="Arial" w:hAnsi="Arial"/>
                <w:sz w:val="13"/>
                <w:szCs w:val="13"/>
                <w:color w:val="auto"/>
              </w:rPr>
              <w:t>137</w:t>
            </w:r>
          </w:p>
        </w:tc>
        <w:tc>
          <w:tcPr>
            <w:tcW w:w="200" w:type="dxa"/>
            <w:vAlign w:val="bottom"/>
          </w:tcPr>
          <w:p>
            <w:pPr>
              <w:spacing w:after="0"/>
              <w:rPr>
                <w:sz w:val="15"/>
                <w:szCs w:val="15"/>
                <w:color w:val="auto"/>
              </w:rPr>
            </w:pPr>
          </w:p>
        </w:tc>
        <w:tc>
          <w:tcPr>
            <w:tcW w:w="1060" w:type="dxa"/>
            <w:vAlign w:val="bottom"/>
            <w:gridSpan w:val="2"/>
          </w:tcPr>
          <w:p>
            <w:pPr>
              <w:jc w:val="right"/>
              <w:ind w:right="20"/>
              <w:spacing w:after="0"/>
              <w:rPr>
                <w:sz w:val="20"/>
                <w:szCs w:val="20"/>
                <w:color w:val="auto"/>
              </w:rPr>
            </w:pPr>
            <w:r>
              <w:rPr>
                <w:rFonts w:ascii="Arial" w:cs="Arial" w:eastAsia="Arial" w:hAnsi="Arial"/>
                <w:sz w:val="13"/>
                <w:szCs w:val="13"/>
                <w:color w:val="auto"/>
              </w:rPr>
              <w:t>60</w:t>
            </w:r>
          </w:p>
        </w:tc>
        <w:tc>
          <w:tcPr>
            <w:tcW w:w="100" w:type="dxa"/>
            <w:vAlign w:val="bottom"/>
          </w:tcPr>
          <w:p>
            <w:pPr>
              <w:spacing w:after="0"/>
              <w:rPr>
                <w:sz w:val="15"/>
                <w:szCs w:val="15"/>
                <w:color w:val="auto"/>
              </w:rPr>
            </w:pPr>
          </w:p>
        </w:tc>
      </w:tr>
      <w:tr>
        <w:trPr>
          <w:trHeight w:val="154"/>
        </w:trPr>
        <w:tc>
          <w:tcPr>
            <w:tcW w:w="41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Accrued interest payable</w:t>
            </w: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26</w:t>
            </w:r>
          </w:p>
        </w:tc>
        <w:tc>
          <w:tcPr>
            <w:tcW w:w="200" w:type="dxa"/>
            <w:vAlign w:val="bottom"/>
            <w:shd w:val="clear" w:color="auto" w:fill="CCEEFF"/>
          </w:tcPr>
          <w:p>
            <w:pPr>
              <w:spacing w:after="0"/>
              <w:rPr>
                <w:sz w:val="13"/>
                <w:szCs w:val="13"/>
                <w:color w:val="auto"/>
              </w:rPr>
            </w:pPr>
          </w:p>
        </w:tc>
        <w:tc>
          <w:tcPr>
            <w:tcW w:w="11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26</w:t>
            </w:r>
          </w:p>
        </w:tc>
        <w:tc>
          <w:tcPr>
            <w:tcW w:w="140" w:type="dxa"/>
            <w:vAlign w:val="bottom"/>
            <w:shd w:val="clear" w:color="auto" w:fill="CCEEFF"/>
          </w:tcPr>
          <w:p>
            <w:pPr>
              <w:spacing w:after="0"/>
              <w:rPr>
                <w:sz w:val="13"/>
                <w:szCs w:val="13"/>
                <w:color w:val="auto"/>
              </w:rPr>
            </w:pPr>
          </w:p>
        </w:tc>
        <w:tc>
          <w:tcPr>
            <w:tcW w:w="50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200" w:type="dxa"/>
            <w:vAlign w:val="bottom"/>
            <w:shd w:val="clear" w:color="auto" w:fill="CCEEFF"/>
          </w:tcPr>
          <w:p>
            <w:pPr>
              <w:spacing w:after="0"/>
              <w:rPr>
                <w:sz w:val="13"/>
                <w:szCs w:val="13"/>
                <w:color w:val="auto"/>
              </w:rPr>
            </w:pPr>
          </w:p>
        </w:tc>
        <w:tc>
          <w:tcPr>
            <w:tcW w:w="12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20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w:t>
            </w:r>
          </w:p>
        </w:tc>
        <w:tc>
          <w:tcPr>
            <w:tcW w:w="100" w:type="dxa"/>
            <w:vAlign w:val="bottom"/>
            <w:shd w:val="clear" w:color="auto" w:fill="CCEEFF"/>
          </w:tcPr>
          <w:p>
            <w:pPr>
              <w:spacing w:after="0"/>
              <w:rPr>
                <w:sz w:val="13"/>
                <w:szCs w:val="13"/>
                <w:color w:val="auto"/>
              </w:rPr>
            </w:pPr>
          </w:p>
        </w:tc>
      </w:tr>
      <w:tr>
        <w:trPr>
          <w:trHeight w:val="183"/>
        </w:trPr>
        <w:tc>
          <w:tcPr>
            <w:tcW w:w="4140" w:type="dxa"/>
            <w:vAlign w:val="bottom"/>
            <w:gridSpan w:val="2"/>
          </w:tcPr>
          <w:p>
            <w:pPr>
              <w:spacing w:after="0" w:line="183" w:lineRule="exact"/>
              <w:rPr>
                <w:sz w:val="20"/>
                <w:szCs w:val="20"/>
                <w:color w:val="auto"/>
              </w:rPr>
            </w:pPr>
            <w:r>
              <w:rPr>
                <w:rFonts w:ascii="Arial" w:cs="Arial" w:eastAsia="Arial" w:hAnsi="Arial"/>
                <w:sz w:val="13"/>
                <w:szCs w:val="13"/>
                <w:color w:val="auto"/>
              </w:rPr>
              <w:t xml:space="preserve">Future contractual interest payable, not yet accrued </w:t>
            </w:r>
            <w:r>
              <w:rPr>
                <w:rFonts w:ascii="Arial" w:cs="Arial" w:eastAsia="Arial" w:hAnsi="Arial"/>
                <w:sz w:val="21"/>
                <w:szCs w:val="21"/>
                <w:color w:val="auto"/>
                <w:vertAlign w:val="superscript"/>
              </w:rPr>
              <w:t>(2)</w:t>
            </w:r>
          </w:p>
        </w:tc>
        <w:tc>
          <w:tcPr>
            <w:tcW w:w="280" w:type="dxa"/>
            <w:vAlign w:val="bottom"/>
          </w:tcPr>
          <w:p>
            <w:pPr>
              <w:spacing w:after="0"/>
              <w:rPr>
                <w:sz w:val="15"/>
                <w:szCs w:val="15"/>
                <w:color w:val="auto"/>
              </w:rPr>
            </w:pPr>
          </w:p>
        </w:tc>
        <w:tc>
          <w:tcPr>
            <w:tcW w:w="1220" w:type="dxa"/>
            <w:vAlign w:val="bottom"/>
            <w:gridSpan w:val="2"/>
          </w:tcPr>
          <w:p>
            <w:pPr>
              <w:jc w:val="right"/>
              <w:ind w:right="240"/>
              <w:spacing w:after="0"/>
              <w:rPr>
                <w:sz w:val="20"/>
                <w:szCs w:val="20"/>
                <w:color w:val="auto"/>
              </w:rPr>
            </w:pPr>
            <w:r>
              <w:rPr>
                <w:rFonts w:ascii="Arial" w:cs="Arial" w:eastAsia="Arial" w:hAnsi="Arial"/>
                <w:sz w:val="13"/>
                <w:szCs w:val="13"/>
                <w:color w:val="auto"/>
              </w:rPr>
              <w:t>171</w:t>
            </w:r>
          </w:p>
        </w:tc>
        <w:tc>
          <w:tcPr>
            <w:tcW w:w="200" w:type="dxa"/>
            <w:vAlign w:val="bottom"/>
          </w:tcPr>
          <w:p>
            <w:pPr>
              <w:spacing w:after="0"/>
              <w:rPr>
                <w:sz w:val="15"/>
                <w:szCs w:val="15"/>
                <w:color w:val="auto"/>
              </w:rPr>
            </w:pPr>
          </w:p>
        </w:tc>
        <w:tc>
          <w:tcPr>
            <w:tcW w:w="1160" w:type="dxa"/>
            <w:vAlign w:val="bottom"/>
            <w:gridSpan w:val="2"/>
          </w:tcPr>
          <w:p>
            <w:pPr>
              <w:jc w:val="right"/>
              <w:ind w:right="100"/>
              <w:spacing w:after="0"/>
              <w:rPr>
                <w:sz w:val="20"/>
                <w:szCs w:val="20"/>
                <w:color w:val="auto"/>
              </w:rPr>
            </w:pPr>
            <w:r>
              <w:rPr>
                <w:rFonts w:ascii="Arial" w:cs="Arial" w:eastAsia="Arial" w:hAnsi="Arial"/>
                <w:sz w:val="13"/>
                <w:szCs w:val="13"/>
                <w:color w:val="auto"/>
              </w:rPr>
              <w:t>41</w:t>
            </w:r>
          </w:p>
        </w:tc>
        <w:tc>
          <w:tcPr>
            <w:tcW w:w="140" w:type="dxa"/>
            <w:vAlign w:val="bottom"/>
          </w:tcPr>
          <w:p>
            <w:pPr>
              <w:spacing w:after="0"/>
              <w:rPr>
                <w:sz w:val="15"/>
                <w:szCs w:val="15"/>
                <w:color w:val="auto"/>
              </w:rPr>
            </w:pPr>
          </w:p>
        </w:tc>
        <w:tc>
          <w:tcPr>
            <w:tcW w:w="500" w:type="dxa"/>
            <w:vAlign w:val="bottom"/>
          </w:tcPr>
          <w:p>
            <w:pPr>
              <w:spacing w:after="0"/>
              <w:rPr>
                <w:sz w:val="15"/>
                <w:szCs w:val="15"/>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88</w:t>
            </w:r>
          </w:p>
        </w:tc>
        <w:tc>
          <w:tcPr>
            <w:tcW w:w="200" w:type="dxa"/>
            <w:vAlign w:val="bottom"/>
          </w:tcPr>
          <w:p>
            <w:pPr>
              <w:spacing w:after="0"/>
              <w:rPr>
                <w:sz w:val="15"/>
                <w:szCs w:val="15"/>
                <w:color w:val="auto"/>
              </w:rPr>
            </w:pPr>
          </w:p>
        </w:tc>
        <w:tc>
          <w:tcPr>
            <w:tcW w:w="1280" w:type="dxa"/>
            <w:vAlign w:val="bottom"/>
            <w:gridSpan w:val="2"/>
          </w:tcPr>
          <w:p>
            <w:pPr>
              <w:jc w:val="right"/>
              <w:ind w:right="220"/>
              <w:spacing w:after="0"/>
              <w:rPr>
                <w:sz w:val="20"/>
                <w:szCs w:val="20"/>
                <w:color w:val="auto"/>
              </w:rPr>
            </w:pPr>
            <w:r>
              <w:rPr>
                <w:rFonts w:ascii="Arial" w:cs="Arial" w:eastAsia="Arial" w:hAnsi="Arial"/>
                <w:sz w:val="13"/>
                <w:szCs w:val="13"/>
                <w:color w:val="auto"/>
              </w:rPr>
              <w:t>24</w:t>
            </w:r>
          </w:p>
        </w:tc>
        <w:tc>
          <w:tcPr>
            <w:tcW w:w="200" w:type="dxa"/>
            <w:vAlign w:val="bottom"/>
          </w:tcPr>
          <w:p>
            <w:pPr>
              <w:spacing w:after="0"/>
              <w:rPr>
                <w:sz w:val="15"/>
                <w:szCs w:val="15"/>
                <w:color w:val="auto"/>
              </w:rPr>
            </w:pPr>
          </w:p>
        </w:tc>
        <w:tc>
          <w:tcPr>
            <w:tcW w:w="1060" w:type="dxa"/>
            <w:vAlign w:val="bottom"/>
            <w:gridSpan w:val="2"/>
          </w:tcPr>
          <w:p>
            <w:pPr>
              <w:jc w:val="right"/>
              <w:ind w:right="20"/>
              <w:spacing w:after="0"/>
              <w:rPr>
                <w:sz w:val="20"/>
                <w:szCs w:val="20"/>
                <w:color w:val="auto"/>
              </w:rPr>
            </w:pPr>
            <w:r>
              <w:rPr>
                <w:rFonts w:ascii="Arial" w:cs="Arial" w:eastAsia="Arial" w:hAnsi="Arial"/>
                <w:sz w:val="13"/>
                <w:szCs w:val="13"/>
                <w:color w:val="auto"/>
              </w:rPr>
              <w:t>18</w:t>
            </w:r>
          </w:p>
        </w:tc>
        <w:tc>
          <w:tcPr>
            <w:tcW w:w="100" w:type="dxa"/>
            <w:vAlign w:val="bottom"/>
          </w:tcPr>
          <w:p>
            <w:pPr>
              <w:spacing w:after="0"/>
              <w:rPr>
                <w:sz w:val="15"/>
                <w:szCs w:val="15"/>
                <w:color w:val="auto"/>
              </w:rPr>
            </w:pPr>
          </w:p>
        </w:tc>
      </w:tr>
      <w:tr>
        <w:trPr>
          <w:trHeight w:val="193"/>
        </w:trPr>
        <w:tc>
          <w:tcPr>
            <w:tcW w:w="4140" w:type="dxa"/>
            <w:vAlign w:val="bottom"/>
            <w:gridSpan w:val="2"/>
            <w:shd w:val="clear" w:color="auto" w:fill="CCEEFF"/>
          </w:tcPr>
          <w:p>
            <w:pPr>
              <w:spacing w:after="0" w:line="193" w:lineRule="exact"/>
              <w:rPr>
                <w:sz w:val="20"/>
                <w:szCs w:val="20"/>
                <w:color w:val="auto"/>
              </w:rPr>
            </w:pPr>
            <w:r>
              <w:rPr>
                <w:rFonts w:ascii="Arial" w:cs="Arial" w:eastAsia="Arial" w:hAnsi="Arial"/>
                <w:sz w:val="13"/>
                <w:szCs w:val="13"/>
                <w:color w:val="auto"/>
              </w:rPr>
              <w:t xml:space="preserve">Leasehold obligations </w:t>
            </w:r>
            <w:r>
              <w:rPr>
                <w:rFonts w:ascii="Arial" w:cs="Arial" w:eastAsia="Arial" w:hAnsi="Arial"/>
                <w:sz w:val="21"/>
                <w:szCs w:val="21"/>
                <w:color w:val="auto"/>
                <w:vertAlign w:val="superscript"/>
              </w:rPr>
              <w:t>(3)</w:t>
            </w:r>
          </w:p>
        </w:tc>
        <w:tc>
          <w:tcPr>
            <w:tcW w:w="280" w:type="dxa"/>
            <w:vAlign w:val="bottom"/>
            <w:shd w:val="clear" w:color="auto" w:fill="CCEEFF"/>
          </w:tcPr>
          <w:p>
            <w:pPr>
              <w:spacing w:after="0"/>
              <w:rPr>
                <w:sz w:val="16"/>
                <w:szCs w:val="16"/>
                <w:color w:val="auto"/>
              </w:rPr>
            </w:pPr>
          </w:p>
        </w:tc>
        <w:tc>
          <w:tcPr>
            <w:tcW w:w="12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17</w:t>
            </w:r>
          </w:p>
        </w:tc>
        <w:tc>
          <w:tcPr>
            <w:tcW w:w="200" w:type="dxa"/>
            <w:vAlign w:val="bottom"/>
            <w:shd w:val="clear" w:color="auto" w:fill="CCEEFF"/>
          </w:tcPr>
          <w:p>
            <w:pPr>
              <w:spacing w:after="0"/>
              <w:rPr>
                <w:sz w:val="16"/>
                <w:szCs w:val="16"/>
                <w:color w:val="auto"/>
              </w:rPr>
            </w:pPr>
          </w:p>
        </w:tc>
        <w:tc>
          <w:tcPr>
            <w:tcW w:w="11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w:t>
            </w:r>
          </w:p>
        </w:tc>
        <w:tc>
          <w:tcPr>
            <w:tcW w:w="140" w:type="dxa"/>
            <w:vAlign w:val="bottom"/>
            <w:shd w:val="clear" w:color="auto" w:fill="CCEEFF"/>
          </w:tcPr>
          <w:p>
            <w:pPr>
              <w:spacing w:after="0"/>
              <w:rPr>
                <w:sz w:val="16"/>
                <w:szCs w:val="16"/>
                <w:color w:val="auto"/>
              </w:rPr>
            </w:pPr>
          </w:p>
        </w:tc>
        <w:tc>
          <w:tcPr>
            <w:tcW w:w="500" w:type="dxa"/>
            <w:vAlign w:val="bottom"/>
            <w:shd w:val="clear" w:color="auto" w:fill="CCEEFF"/>
          </w:tcPr>
          <w:p>
            <w:pPr>
              <w:spacing w:after="0"/>
              <w:rPr>
                <w:sz w:val="16"/>
                <w:szCs w:val="16"/>
                <w:color w:val="auto"/>
              </w:rPr>
            </w:pP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w:t>
            </w:r>
          </w:p>
        </w:tc>
        <w:tc>
          <w:tcPr>
            <w:tcW w:w="200" w:type="dxa"/>
            <w:vAlign w:val="bottom"/>
            <w:shd w:val="clear" w:color="auto" w:fill="CCEEFF"/>
          </w:tcPr>
          <w:p>
            <w:pPr>
              <w:spacing w:after="0"/>
              <w:rPr>
                <w:sz w:val="16"/>
                <w:szCs w:val="16"/>
                <w:color w:val="auto"/>
              </w:rPr>
            </w:pPr>
          </w:p>
        </w:tc>
        <w:tc>
          <w:tcPr>
            <w:tcW w:w="12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w:t>
            </w:r>
          </w:p>
        </w:tc>
        <w:tc>
          <w:tcPr>
            <w:tcW w:w="200" w:type="dxa"/>
            <w:vAlign w:val="bottom"/>
            <w:shd w:val="clear" w:color="auto" w:fill="CCEEFF"/>
          </w:tcPr>
          <w:p>
            <w:pPr>
              <w:spacing w:after="0"/>
              <w:rPr>
                <w:sz w:val="16"/>
                <w:szCs w:val="16"/>
                <w:color w:val="auto"/>
              </w:rPr>
            </w:pP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7</w:t>
            </w:r>
          </w:p>
        </w:tc>
        <w:tc>
          <w:tcPr>
            <w:tcW w:w="100" w:type="dxa"/>
            <w:vAlign w:val="bottom"/>
            <w:shd w:val="clear" w:color="auto" w:fill="CCEEFF"/>
          </w:tcPr>
          <w:p>
            <w:pPr>
              <w:spacing w:after="0"/>
              <w:rPr>
                <w:sz w:val="16"/>
                <w:szCs w:val="16"/>
                <w:color w:val="auto"/>
              </w:rPr>
            </w:pPr>
          </w:p>
        </w:tc>
      </w:tr>
      <w:tr>
        <w:trPr>
          <w:trHeight w:val="162"/>
        </w:trPr>
        <w:tc>
          <w:tcPr>
            <w:tcW w:w="4140" w:type="dxa"/>
            <w:vAlign w:val="bottom"/>
            <w:gridSpan w:val="2"/>
          </w:tcPr>
          <w:p>
            <w:pPr>
              <w:ind w:left="120"/>
              <w:spacing w:after="0" w:line="146" w:lineRule="exact"/>
              <w:rPr>
                <w:sz w:val="20"/>
                <w:szCs w:val="20"/>
                <w:color w:val="auto"/>
              </w:rPr>
            </w:pPr>
            <w:r>
              <w:rPr>
                <w:rFonts w:ascii="Arial" w:cs="Arial" w:eastAsia="Arial" w:hAnsi="Arial"/>
                <w:sz w:val="13"/>
                <w:szCs w:val="13"/>
                <w:b w:val="1"/>
                <w:bCs w:val="1"/>
                <w:color w:val="auto"/>
              </w:rPr>
              <w:t>Total contractual obligations</w:t>
            </w:r>
          </w:p>
        </w:tc>
        <w:tc>
          <w:tcPr>
            <w:tcW w:w="280" w:type="dxa"/>
            <w:vAlign w:val="bottom"/>
            <w:tcBorders>
              <w:top w:val="single" w:sz="8" w:color="auto"/>
              <w:bottom w:val="single" w:sz="8" w:color="auto"/>
            </w:tcBorders>
          </w:tcPr>
          <w:p>
            <w:pPr>
              <w:jc w:val="right"/>
              <w:ind w:right="172"/>
              <w:spacing w:after="0"/>
              <w:rPr>
                <w:sz w:val="20"/>
                <w:szCs w:val="20"/>
                <w:color w:val="auto"/>
              </w:rPr>
            </w:pPr>
            <w:r>
              <w:rPr>
                <w:rFonts w:ascii="Arial" w:cs="Arial" w:eastAsia="Arial" w:hAnsi="Arial"/>
                <w:sz w:val="10"/>
                <w:szCs w:val="10"/>
                <w:b w:val="1"/>
                <w:bCs w:val="1"/>
                <w:color w:val="auto"/>
                <w:w w:val="71"/>
              </w:rPr>
              <w:t>$</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6,747</w:t>
            </w:r>
          </w:p>
        </w:tc>
        <w:tc>
          <w:tcPr>
            <w:tcW w:w="240" w:type="dxa"/>
            <w:vAlign w:val="bottom"/>
          </w:tcPr>
          <w:p>
            <w:pPr>
              <w:spacing w:after="0"/>
              <w:rPr>
                <w:sz w:val="14"/>
                <w:szCs w:val="14"/>
                <w:color w:val="auto"/>
              </w:rPr>
            </w:pPr>
          </w:p>
        </w:tc>
        <w:tc>
          <w:tcPr>
            <w:tcW w:w="200" w:type="dxa"/>
            <w:vAlign w:val="bottom"/>
            <w:tcBorders>
              <w:top w:val="single" w:sz="8" w:color="auto"/>
              <w:bottom w:val="single" w:sz="8" w:color="auto"/>
            </w:tcBorders>
          </w:tcPr>
          <w:p>
            <w:pPr>
              <w:jc w:val="right"/>
              <w:ind w:right="92"/>
              <w:spacing w:after="0"/>
              <w:rPr>
                <w:sz w:val="20"/>
                <w:szCs w:val="20"/>
                <w:color w:val="auto"/>
              </w:rPr>
            </w:pPr>
            <w:r>
              <w:rPr>
                <w:rFonts w:ascii="Arial" w:cs="Arial" w:eastAsia="Arial" w:hAnsi="Arial"/>
                <w:sz w:val="10"/>
                <w:szCs w:val="10"/>
                <w:b w:val="1"/>
                <w:bCs w:val="1"/>
                <w:color w:val="auto"/>
                <w:w w:val="71"/>
              </w:rPr>
              <w:t>$</w:t>
            </w: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5,358</w:t>
            </w:r>
          </w:p>
        </w:tc>
        <w:tc>
          <w:tcPr>
            <w:tcW w:w="10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500" w:type="dxa"/>
            <w:vAlign w:val="bottom"/>
            <w:tcBorders>
              <w:top w:val="single" w:sz="8" w:color="auto"/>
              <w:bottom w:val="single" w:sz="8" w:color="auto"/>
            </w:tcBorders>
          </w:tcPr>
          <w:p>
            <w:pPr>
              <w:jc w:val="right"/>
              <w:ind w:right="381"/>
              <w:spacing w:after="0"/>
              <w:rPr>
                <w:sz w:val="20"/>
                <w:szCs w:val="20"/>
                <w:color w:val="auto"/>
              </w:rPr>
            </w:pPr>
            <w:r>
              <w:rPr>
                <w:rFonts w:ascii="Arial" w:cs="Arial" w:eastAsia="Arial" w:hAnsi="Arial"/>
                <w:sz w:val="10"/>
                <w:szCs w:val="10"/>
                <w:b w:val="1"/>
                <w:bCs w:val="1"/>
                <w:color w:val="auto"/>
                <w:w w:val="71"/>
              </w:rPr>
              <w:t>$</w:t>
            </w: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1,139</w:t>
            </w:r>
          </w:p>
        </w:tc>
        <w:tc>
          <w:tcPr>
            <w:tcW w:w="240" w:type="dxa"/>
            <w:vAlign w:val="bottom"/>
          </w:tcPr>
          <w:p>
            <w:pPr>
              <w:spacing w:after="0"/>
              <w:rPr>
                <w:sz w:val="14"/>
                <w:szCs w:val="14"/>
                <w:color w:val="auto"/>
              </w:rPr>
            </w:pPr>
          </w:p>
        </w:tc>
        <w:tc>
          <w:tcPr>
            <w:tcW w:w="200" w:type="dxa"/>
            <w:vAlign w:val="bottom"/>
            <w:tcBorders>
              <w:top w:val="single" w:sz="8" w:color="auto"/>
              <w:bottom w:val="single" w:sz="8" w:color="auto"/>
            </w:tcBorders>
          </w:tcPr>
          <w:p>
            <w:pPr>
              <w:jc w:val="right"/>
              <w:ind w:right="92"/>
              <w:spacing w:after="0"/>
              <w:rPr>
                <w:sz w:val="20"/>
                <w:szCs w:val="20"/>
                <w:color w:val="auto"/>
              </w:rPr>
            </w:pPr>
            <w:r>
              <w:rPr>
                <w:rFonts w:ascii="Arial" w:cs="Arial" w:eastAsia="Arial" w:hAnsi="Arial"/>
                <w:sz w:val="10"/>
                <w:szCs w:val="10"/>
                <w:b w:val="1"/>
                <w:bCs w:val="1"/>
                <w:color w:val="auto"/>
                <w:w w:val="71"/>
              </w:rPr>
              <w:t>$</w:t>
            </w: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165</w:t>
            </w:r>
          </w:p>
        </w:tc>
        <w:tc>
          <w:tcPr>
            <w:tcW w:w="220" w:type="dxa"/>
            <w:vAlign w:val="bottom"/>
          </w:tcPr>
          <w:p>
            <w:pPr>
              <w:spacing w:after="0"/>
              <w:rPr>
                <w:sz w:val="14"/>
                <w:szCs w:val="14"/>
                <w:color w:val="auto"/>
              </w:rPr>
            </w:pPr>
          </w:p>
        </w:tc>
        <w:tc>
          <w:tcPr>
            <w:tcW w:w="200" w:type="dxa"/>
            <w:vAlign w:val="bottom"/>
            <w:tcBorders>
              <w:top w:val="single" w:sz="8" w:color="auto"/>
              <w:bottom w:val="single" w:sz="8" w:color="auto"/>
            </w:tcBorders>
          </w:tcPr>
          <w:p>
            <w:pPr>
              <w:jc w:val="right"/>
              <w:ind w:right="92"/>
              <w:spacing w:after="0"/>
              <w:rPr>
                <w:sz w:val="20"/>
                <w:szCs w:val="20"/>
                <w:color w:val="auto"/>
              </w:rPr>
            </w:pPr>
            <w:r>
              <w:rPr>
                <w:rFonts w:ascii="Arial" w:cs="Arial" w:eastAsia="Arial" w:hAnsi="Arial"/>
                <w:sz w:val="10"/>
                <w:szCs w:val="10"/>
                <w:b w:val="1"/>
                <w:bCs w:val="1"/>
                <w:color w:val="auto"/>
                <w:w w:val="71"/>
              </w:rPr>
              <w:t>$</w:t>
            </w: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85</w:t>
            </w:r>
          </w:p>
        </w:tc>
        <w:tc>
          <w:tcPr>
            <w:tcW w:w="2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bl>
    <w:p>
      <w:pPr>
        <w:spacing w:after="0" w:line="66" w:lineRule="exact"/>
        <w:rPr>
          <w:sz w:val="20"/>
          <w:szCs w:val="20"/>
          <w:color w:val="auto"/>
        </w:rPr>
      </w:pPr>
    </w:p>
    <w:p>
      <w:pPr>
        <w:ind w:left="223" w:hanging="223"/>
        <w:spacing w:after="0"/>
        <w:tabs>
          <w:tab w:leader="none" w:pos="223" w:val="left"/>
        </w:tabs>
        <w:numPr>
          <w:ilvl w:val="0"/>
          <w:numId w:val="47"/>
        </w:numPr>
        <w:rPr>
          <w:rFonts w:ascii="Arial" w:cs="Arial" w:eastAsia="Arial" w:hAnsi="Arial"/>
          <w:sz w:val="21"/>
          <w:szCs w:val="21"/>
          <w:color w:val="auto"/>
          <w:vertAlign w:val="superscript"/>
        </w:rPr>
      </w:pPr>
      <w:r>
        <w:rPr>
          <w:rFonts w:ascii="Arial" w:cs="Arial" w:eastAsia="Arial" w:hAnsi="Arial"/>
          <w:sz w:val="13"/>
          <w:szCs w:val="13"/>
          <w:color w:val="auto"/>
        </w:rPr>
        <w:t>Gross of prepaid commissions of $3.5 million as of December 31, 2018. Certain debt obligations are subject to covenants that could accelerate the payment of these obligations.</w:t>
      </w:r>
    </w:p>
    <w:p>
      <w:pPr>
        <w:spacing w:after="0" w:line="1" w:lineRule="exact"/>
        <w:rPr>
          <w:rFonts w:ascii="Arial" w:cs="Arial" w:eastAsia="Arial" w:hAnsi="Arial"/>
          <w:sz w:val="21"/>
          <w:szCs w:val="21"/>
          <w:color w:val="auto"/>
          <w:vertAlign w:val="superscript"/>
        </w:rPr>
      </w:pPr>
    </w:p>
    <w:p>
      <w:pPr>
        <w:ind w:left="223" w:right="20" w:hanging="223"/>
        <w:spacing w:after="0" w:line="188" w:lineRule="auto"/>
        <w:tabs>
          <w:tab w:leader="none" w:pos="223" w:val="left"/>
        </w:tabs>
        <w:numPr>
          <w:ilvl w:val="0"/>
          <w:numId w:val="47"/>
        </w:numPr>
        <w:rPr>
          <w:rFonts w:ascii="Arial" w:cs="Arial" w:eastAsia="Arial" w:hAnsi="Arial"/>
          <w:sz w:val="21"/>
          <w:szCs w:val="21"/>
          <w:color w:val="auto"/>
          <w:vertAlign w:val="superscript"/>
        </w:rPr>
      </w:pPr>
      <w:r>
        <w:rPr>
          <w:rFonts w:ascii="Arial" w:cs="Arial" w:eastAsia="Arial" w:hAnsi="Arial"/>
          <w:sz w:val="13"/>
          <w:szCs w:val="13"/>
          <w:color w:val="auto"/>
        </w:rPr>
        <w:t>Consists of future interest payable on interest-bearing liabilities and their hedges, calculated on the basis of their respective interest rates as of December 31, 2018 for the days remaining to maturity. Some of these obligations have floating interest rates which could fluctuate in the future and hence change the value of interest payable accordingly.</w:t>
      </w:r>
    </w:p>
    <w:p>
      <w:pPr>
        <w:ind w:left="223" w:right="20" w:hanging="223"/>
        <w:spacing w:after="0" w:line="189" w:lineRule="auto"/>
        <w:tabs>
          <w:tab w:leader="none" w:pos="223" w:val="left"/>
        </w:tabs>
        <w:numPr>
          <w:ilvl w:val="0"/>
          <w:numId w:val="47"/>
        </w:numPr>
        <w:rPr>
          <w:rFonts w:ascii="Arial" w:cs="Arial" w:eastAsia="Arial" w:hAnsi="Arial"/>
          <w:sz w:val="21"/>
          <w:szCs w:val="21"/>
          <w:color w:val="auto"/>
          <w:vertAlign w:val="superscript"/>
        </w:rPr>
      </w:pPr>
      <w:r>
        <w:rPr>
          <w:rFonts w:ascii="Arial" w:cs="Arial" w:eastAsia="Arial" w:hAnsi="Arial"/>
          <w:sz w:val="13"/>
          <w:szCs w:val="13"/>
          <w:color w:val="auto"/>
        </w:rPr>
        <w:t>Operating lease commitments result primarily from cancellable rental agreements for properties; the amounts in the above table are calculated based on current rental agreements. The total amount of expenses recognized in connection with such leases in 2018 is $2.4 million.</w:t>
      </w:r>
    </w:p>
    <w:p>
      <w:pPr>
        <w:spacing w:after="0" w:line="161" w:lineRule="exact"/>
        <w:rPr>
          <w:sz w:val="20"/>
          <w:szCs w:val="20"/>
          <w:color w:val="auto"/>
        </w:rPr>
      </w:pPr>
    </w:p>
    <w:tbl>
      <w:tblPr>
        <w:tblLayout w:type="fixed"/>
        <w:tblInd w:w="3" w:type="dxa"/>
        <w:tblCellMar>
          <w:top w:w="0" w:type="dxa"/>
          <w:left w:w="0" w:type="dxa"/>
          <w:bottom w:w="0" w:type="dxa"/>
          <w:right w:w="0" w:type="dxa"/>
        </w:tblCellMar>
      </w:tblPr>
      <w:tr>
        <w:trPr>
          <w:trHeight w:val="154"/>
        </w:trPr>
        <w:tc>
          <w:tcPr>
            <w:tcW w:w="40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4280" w:type="dxa"/>
            <w:vAlign w:val="bottom"/>
            <w:gridSpan w:val="8"/>
          </w:tcPr>
          <w:p>
            <w:pPr>
              <w:jc w:val="right"/>
              <w:ind w:right="1100"/>
              <w:spacing w:after="0"/>
              <w:rPr>
                <w:sz w:val="20"/>
                <w:szCs w:val="20"/>
                <w:color w:val="auto"/>
              </w:rPr>
            </w:pPr>
            <w:r>
              <w:rPr>
                <w:rFonts w:ascii="Arial" w:cs="Arial" w:eastAsia="Arial" w:hAnsi="Arial"/>
                <w:sz w:val="13"/>
                <w:szCs w:val="13"/>
                <w:b w:val="1"/>
                <w:bCs w:val="1"/>
                <w:color w:val="auto"/>
              </w:rPr>
              <w:t>Amount of Commitment Expiration by Period</w:t>
            </w:r>
          </w:p>
        </w:tc>
        <w:tc>
          <w:tcPr>
            <w:tcW w:w="20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54"/>
        </w:trPr>
        <w:tc>
          <w:tcPr>
            <w:tcW w:w="40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300" w:type="dxa"/>
            <w:vAlign w:val="bottom"/>
            <w:gridSpan w:val="2"/>
          </w:tcPr>
          <w:p>
            <w:pPr>
              <w:jc w:val="right"/>
              <w:ind w:right="560"/>
              <w:spacing w:after="0"/>
              <w:rPr>
                <w:sz w:val="20"/>
                <w:szCs w:val="20"/>
                <w:color w:val="auto"/>
              </w:rPr>
            </w:pPr>
            <w:r>
              <w:rPr>
                <w:rFonts w:ascii="Arial" w:cs="Arial" w:eastAsia="Arial" w:hAnsi="Arial"/>
                <w:sz w:val="13"/>
                <w:szCs w:val="13"/>
                <w:b w:val="1"/>
                <w:bCs w:val="1"/>
                <w:color w:val="auto"/>
              </w:rPr>
              <w:t>Less than 1</w:t>
            </w:r>
          </w:p>
        </w:tc>
        <w:tc>
          <w:tcPr>
            <w:tcW w:w="140" w:type="dxa"/>
            <w:vAlign w:val="bottom"/>
          </w:tcPr>
          <w:p>
            <w:pPr>
              <w:spacing w:after="0"/>
              <w:rPr>
                <w:sz w:val="13"/>
                <w:szCs w:val="13"/>
                <w:color w:val="auto"/>
              </w:rPr>
            </w:pPr>
          </w:p>
        </w:tc>
        <w:tc>
          <w:tcPr>
            <w:tcW w:w="11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0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160" w:type="dxa"/>
            <w:vAlign w:val="bottom"/>
            <w:gridSpan w:val="2"/>
          </w:tcPr>
          <w:p>
            <w:pPr>
              <w:jc w:val="right"/>
              <w:ind w:right="460"/>
              <w:spacing w:after="0"/>
              <w:rPr>
                <w:sz w:val="20"/>
                <w:szCs w:val="20"/>
                <w:color w:val="auto"/>
              </w:rPr>
            </w:pPr>
            <w:r>
              <w:rPr>
                <w:rFonts w:ascii="Arial" w:cs="Arial" w:eastAsia="Arial" w:hAnsi="Arial"/>
                <w:sz w:val="13"/>
                <w:szCs w:val="13"/>
                <w:b w:val="1"/>
                <w:bCs w:val="1"/>
                <w:color w:val="auto"/>
              </w:rPr>
              <w:t>More than</w:t>
            </w:r>
          </w:p>
        </w:tc>
      </w:tr>
      <w:tr>
        <w:trPr>
          <w:trHeight w:val="167"/>
        </w:trPr>
        <w:tc>
          <w:tcPr>
            <w:tcW w:w="4140" w:type="dxa"/>
            <w:vAlign w:val="bottom"/>
            <w:gridSpan w:val="2"/>
          </w:tcPr>
          <w:p>
            <w:pPr>
              <w:spacing w:after="0"/>
              <w:rPr>
                <w:sz w:val="20"/>
                <w:szCs w:val="20"/>
                <w:color w:val="auto"/>
              </w:rPr>
            </w:pPr>
            <w:r>
              <w:rPr>
                <w:rFonts w:ascii="Arial" w:cs="Arial" w:eastAsia="Arial" w:hAnsi="Arial"/>
                <w:sz w:val="13"/>
                <w:szCs w:val="13"/>
                <w:b w:val="1"/>
                <w:bCs w:val="1"/>
                <w:color w:val="auto"/>
              </w:rPr>
              <w:t>Other Commercial Commitments</w:t>
            </w:r>
          </w:p>
        </w:tc>
        <w:tc>
          <w:tcPr>
            <w:tcW w:w="280" w:type="dxa"/>
            <w:vAlign w:val="bottom"/>
          </w:tcPr>
          <w:p>
            <w:pPr>
              <w:spacing w:after="0"/>
              <w:rPr>
                <w:sz w:val="14"/>
                <w:szCs w:val="14"/>
                <w:color w:val="auto"/>
              </w:rPr>
            </w:pPr>
          </w:p>
        </w:tc>
        <w:tc>
          <w:tcPr>
            <w:tcW w:w="1220" w:type="dxa"/>
            <w:vAlign w:val="bottom"/>
            <w:gridSpan w:val="2"/>
          </w:tcPr>
          <w:p>
            <w:pPr>
              <w:jc w:val="right"/>
              <w:ind w:right="720"/>
              <w:spacing w:after="0"/>
              <w:rPr>
                <w:sz w:val="20"/>
                <w:szCs w:val="20"/>
                <w:color w:val="auto"/>
              </w:rPr>
            </w:pPr>
            <w:r>
              <w:rPr>
                <w:rFonts w:ascii="Arial" w:cs="Arial" w:eastAsia="Arial" w:hAnsi="Arial"/>
                <w:sz w:val="13"/>
                <w:szCs w:val="13"/>
                <w:b w:val="1"/>
                <w:bCs w:val="1"/>
                <w:color w:val="auto"/>
              </w:rPr>
              <w:t>Total</w:t>
            </w:r>
          </w:p>
        </w:tc>
        <w:tc>
          <w:tcPr>
            <w:tcW w:w="200" w:type="dxa"/>
            <w:vAlign w:val="bottom"/>
          </w:tcPr>
          <w:p>
            <w:pPr>
              <w:spacing w:after="0"/>
              <w:rPr>
                <w:sz w:val="14"/>
                <w:szCs w:val="14"/>
                <w:color w:val="auto"/>
              </w:rPr>
            </w:pPr>
          </w:p>
        </w:tc>
        <w:tc>
          <w:tcPr>
            <w:tcW w:w="1300" w:type="dxa"/>
            <w:vAlign w:val="bottom"/>
            <w:gridSpan w:val="2"/>
          </w:tcPr>
          <w:p>
            <w:pPr>
              <w:jc w:val="right"/>
              <w:ind w:right="740"/>
              <w:spacing w:after="0"/>
              <w:rPr>
                <w:sz w:val="20"/>
                <w:szCs w:val="20"/>
                <w:color w:val="auto"/>
              </w:rPr>
            </w:pPr>
            <w:r>
              <w:rPr>
                <w:rFonts w:ascii="Arial" w:cs="Arial" w:eastAsia="Arial" w:hAnsi="Arial"/>
                <w:sz w:val="13"/>
                <w:szCs w:val="13"/>
                <w:b w:val="1"/>
                <w:bCs w:val="1"/>
                <w:color w:val="auto"/>
              </w:rPr>
              <w:t>year</w:t>
            </w:r>
          </w:p>
        </w:tc>
        <w:tc>
          <w:tcPr>
            <w:tcW w:w="140" w:type="dxa"/>
            <w:vAlign w:val="bottom"/>
          </w:tcPr>
          <w:p>
            <w:pPr>
              <w:spacing w:after="0"/>
              <w:rPr>
                <w:sz w:val="14"/>
                <w:szCs w:val="14"/>
                <w:color w:val="auto"/>
              </w:rPr>
            </w:pPr>
          </w:p>
        </w:tc>
        <w:tc>
          <w:tcPr>
            <w:tcW w:w="1360" w:type="dxa"/>
            <w:vAlign w:val="bottom"/>
            <w:gridSpan w:val="2"/>
          </w:tcPr>
          <w:p>
            <w:pPr>
              <w:jc w:val="right"/>
              <w:ind w:right="580"/>
              <w:spacing w:after="0"/>
              <w:rPr>
                <w:sz w:val="20"/>
                <w:szCs w:val="20"/>
                <w:color w:val="auto"/>
              </w:rPr>
            </w:pPr>
            <w:r>
              <w:rPr>
                <w:rFonts w:ascii="Arial" w:cs="Arial" w:eastAsia="Arial" w:hAnsi="Arial"/>
                <w:sz w:val="13"/>
                <w:szCs w:val="13"/>
                <w:b w:val="1"/>
                <w:bCs w:val="1"/>
                <w:color w:val="auto"/>
              </w:rPr>
              <w:t>1 – 3 years</w:t>
            </w:r>
          </w:p>
        </w:tc>
        <w:tc>
          <w:tcPr>
            <w:tcW w:w="200" w:type="dxa"/>
            <w:vAlign w:val="bottom"/>
          </w:tcPr>
          <w:p>
            <w:pPr>
              <w:spacing w:after="0"/>
              <w:rPr>
                <w:sz w:val="14"/>
                <w:szCs w:val="14"/>
                <w:color w:val="auto"/>
              </w:rPr>
            </w:pPr>
          </w:p>
        </w:tc>
        <w:tc>
          <w:tcPr>
            <w:tcW w:w="1280" w:type="dxa"/>
            <w:vAlign w:val="bottom"/>
            <w:gridSpan w:val="2"/>
          </w:tcPr>
          <w:p>
            <w:pPr>
              <w:jc w:val="right"/>
              <w:ind w:right="560"/>
              <w:spacing w:after="0"/>
              <w:rPr>
                <w:sz w:val="20"/>
                <w:szCs w:val="20"/>
                <w:color w:val="auto"/>
              </w:rPr>
            </w:pPr>
            <w:r>
              <w:rPr>
                <w:rFonts w:ascii="Arial" w:cs="Arial" w:eastAsia="Arial" w:hAnsi="Arial"/>
                <w:sz w:val="13"/>
                <w:szCs w:val="13"/>
                <w:b w:val="1"/>
                <w:bCs w:val="1"/>
                <w:color w:val="auto"/>
              </w:rPr>
              <w:t>3 – 5 years</w:t>
            </w:r>
          </w:p>
        </w:tc>
        <w:tc>
          <w:tcPr>
            <w:tcW w:w="200" w:type="dxa"/>
            <w:vAlign w:val="bottom"/>
          </w:tcPr>
          <w:p>
            <w:pPr>
              <w:spacing w:after="0"/>
              <w:rPr>
                <w:sz w:val="14"/>
                <w:szCs w:val="14"/>
                <w:color w:val="auto"/>
              </w:rPr>
            </w:pPr>
          </w:p>
        </w:tc>
        <w:tc>
          <w:tcPr>
            <w:tcW w:w="1160" w:type="dxa"/>
            <w:vAlign w:val="bottom"/>
            <w:gridSpan w:val="2"/>
          </w:tcPr>
          <w:p>
            <w:pPr>
              <w:jc w:val="right"/>
              <w:ind w:right="540"/>
              <w:spacing w:after="0"/>
              <w:rPr>
                <w:sz w:val="20"/>
                <w:szCs w:val="20"/>
                <w:color w:val="auto"/>
              </w:rPr>
            </w:pPr>
            <w:r>
              <w:rPr>
                <w:rFonts w:ascii="Arial" w:cs="Arial" w:eastAsia="Arial" w:hAnsi="Arial"/>
                <w:sz w:val="13"/>
                <w:szCs w:val="13"/>
                <w:b w:val="1"/>
                <w:bCs w:val="1"/>
                <w:color w:val="auto"/>
              </w:rPr>
              <w:t>5 years</w:t>
            </w:r>
          </w:p>
        </w:tc>
      </w:tr>
      <w:tr>
        <w:trPr>
          <w:trHeight w:val="144"/>
        </w:trPr>
        <w:tc>
          <w:tcPr>
            <w:tcW w:w="402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280" w:type="dxa"/>
            <w:vAlign w:val="bottom"/>
            <w:tcBorders>
              <w:top w:val="single" w:sz="8" w:color="auto"/>
            </w:tcBorders>
          </w:tcPr>
          <w:p>
            <w:pPr>
              <w:spacing w:after="0"/>
              <w:rPr>
                <w:sz w:val="12"/>
                <w:szCs w:val="12"/>
                <w:color w:val="auto"/>
              </w:rPr>
            </w:pPr>
          </w:p>
        </w:tc>
        <w:tc>
          <w:tcPr>
            <w:tcW w:w="980" w:type="dxa"/>
            <w:vAlign w:val="bottom"/>
            <w:tcBorders>
              <w:top w:val="single" w:sz="8" w:color="auto"/>
            </w:tcBorders>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1060" w:type="dxa"/>
            <w:vAlign w:val="bottom"/>
            <w:tcBorders>
              <w:top w:val="single" w:sz="8" w:color="auto"/>
            </w:tcBorders>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1360" w:type="dxa"/>
            <w:vAlign w:val="bottom"/>
            <w:tcBorders>
              <w:top w:val="single" w:sz="8" w:color="auto"/>
            </w:tcBorders>
            <w:gridSpan w:val="2"/>
          </w:tcPr>
          <w:p>
            <w:pPr>
              <w:jc w:val="right"/>
              <w:ind w:right="520"/>
              <w:spacing w:after="0" w:line="144" w:lineRule="exact"/>
              <w:rPr>
                <w:sz w:val="20"/>
                <w:szCs w:val="20"/>
                <w:color w:val="auto"/>
              </w:rPr>
            </w:pPr>
            <w:r>
              <w:rPr>
                <w:rFonts w:ascii="Arial" w:cs="Arial" w:eastAsia="Arial" w:hAnsi="Arial"/>
                <w:sz w:val="13"/>
                <w:szCs w:val="13"/>
                <w:b w:val="1"/>
                <w:bCs w:val="1"/>
                <w:color w:val="auto"/>
                <w:w w:val="97"/>
              </w:rPr>
              <w:t>(in $ millions)</w:t>
            </w:r>
          </w:p>
        </w:tc>
        <w:tc>
          <w:tcPr>
            <w:tcW w:w="200" w:type="dxa"/>
            <w:vAlign w:val="bottom"/>
            <w:tcBorders>
              <w:top w:val="single" w:sz="8" w:color="auto"/>
            </w:tcBorders>
          </w:tcPr>
          <w:p>
            <w:pPr>
              <w:spacing w:after="0"/>
              <w:rPr>
                <w:sz w:val="12"/>
                <w:szCs w:val="12"/>
                <w:color w:val="auto"/>
              </w:rPr>
            </w:pPr>
          </w:p>
        </w:tc>
        <w:tc>
          <w:tcPr>
            <w:tcW w:w="1060" w:type="dxa"/>
            <w:vAlign w:val="bottom"/>
            <w:tcBorders>
              <w:top w:val="single" w:sz="8" w:color="auto"/>
            </w:tcBorders>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104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r>
      <w:tr>
        <w:trPr>
          <w:trHeight w:val="183"/>
        </w:trPr>
        <w:tc>
          <w:tcPr>
            <w:tcW w:w="4140" w:type="dxa"/>
            <w:vAlign w:val="bottom"/>
            <w:gridSpan w:val="2"/>
            <w:shd w:val="clear" w:color="auto" w:fill="CCEEFF"/>
          </w:tcPr>
          <w:p>
            <w:pPr>
              <w:spacing w:after="0" w:line="183" w:lineRule="exact"/>
              <w:rPr>
                <w:sz w:val="20"/>
                <w:szCs w:val="20"/>
                <w:color w:val="auto"/>
              </w:rPr>
            </w:pPr>
            <w:r>
              <w:rPr>
                <w:rFonts w:ascii="Arial" w:cs="Arial" w:eastAsia="Arial" w:hAnsi="Arial"/>
                <w:sz w:val="13"/>
                <w:szCs w:val="13"/>
                <w:color w:val="auto"/>
              </w:rPr>
              <w:t xml:space="preserve">Letters of credit </w:t>
            </w:r>
            <w:r>
              <w:rPr>
                <w:rFonts w:ascii="Arial" w:cs="Arial" w:eastAsia="Arial" w:hAnsi="Arial"/>
                <w:sz w:val="21"/>
                <w:szCs w:val="21"/>
                <w:color w:val="auto"/>
                <w:vertAlign w:val="superscript"/>
              </w:rPr>
              <w:t>(4)</w:t>
            </w:r>
          </w:p>
        </w:tc>
        <w:tc>
          <w:tcPr>
            <w:tcW w:w="280" w:type="dxa"/>
            <w:vAlign w:val="bottom"/>
            <w:shd w:val="clear" w:color="auto" w:fill="CCEEFF"/>
          </w:tcPr>
          <w:p>
            <w:pPr>
              <w:jc w:val="right"/>
              <w:ind w:right="172"/>
              <w:spacing w:after="0"/>
              <w:rPr>
                <w:sz w:val="20"/>
                <w:szCs w:val="20"/>
                <w:color w:val="auto"/>
              </w:rPr>
            </w:pPr>
            <w:r>
              <w:rPr>
                <w:rFonts w:ascii="Arial" w:cs="Arial" w:eastAsia="Arial" w:hAnsi="Arial"/>
                <w:sz w:val="10"/>
                <w:szCs w:val="10"/>
                <w:color w:val="auto"/>
                <w:w w:val="71"/>
              </w:rPr>
              <w:t>$</w:t>
            </w:r>
          </w:p>
        </w:tc>
        <w:tc>
          <w:tcPr>
            <w:tcW w:w="12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229</w:t>
            </w:r>
          </w:p>
        </w:tc>
        <w:tc>
          <w:tcPr>
            <w:tcW w:w="200" w:type="dxa"/>
            <w:vAlign w:val="bottom"/>
            <w:shd w:val="clear" w:color="auto" w:fill="CCEEFF"/>
          </w:tcPr>
          <w:p>
            <w:pPr>
              <w:jc w:val="right"/>
              <w:ind w:right="92"/>
              <w:spacing w:after="0"/>
              <w:rPr>
                <w:sz w:val="20"/>
                <w:szCs w:val="20"/>
                <w:color w:val="auto"/>
              </w:rPr>
            </w:pPr>
            <w:r>
              <w:rPr>
                <w:rFonts w:ascii="Arial" w:cs="Arial" w:eastAsia="Arial" w:hAnsi="Arial"/>
                <w:sz w:val="10"/>
                <w:szCs w:val="10"/>
                <w:color w:val="auto"/>
                <w:w w:val="71"/>
              </w:rPr>
              <w:t>$</w:t>
            </w:r>
          </w:p>
        </w:tc>
        <w:tc>
          <w:tcPr>
            <w:tcW w:w="13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229</w:t>
            </w:r>
          </w:p>
        </w:tc>
        <w:tc>
          <w:tcPr>
            <w:tcW w:w="140" w:type="dxa"/>
            <w:vAlign w:val="bottom"/>
            <w:shd w:val="clear" w:color="auto" w:fill="CCEEFF"/>
          </w:tcPr>
          <w:p>
            <w:pPr>
              <w:jc w:val="right"/>
              <w:ind w:right="32"/>
              <w:spacing w:after="0"/>
              <w:rPr>
                <w:sz w:val="20"/>
                <w:szCs w:val="20"/>
                <w:color w:val="auto"/>
              </w:rPr>
            </w:pPr>
            <w:r>
              <w:rPr>
                <w:rFonts w:ascii="Arial" w:cs="Arial" w:eastAsia="Arial" w:hAnsi="Arial"/>
                <w:sz w:val="10"/>
                <w:szCs w:val="10"/>
                <w:color w:val="auto"/>
                <w:w w:val="71"/>
              </w:rPr>
              <w:t>$</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200" w:type="dxa"/>
            <w:vAlign w:val="bottom"/>
            <w:shd w:val="clear" w:color="auto" w:fill="CCEEFF"/>
          </w:tcPr>
          <w:p>
            <w:pPr>
              <w:jc w:val="right"/>
              <w:ind w:right="92"/>
              <w:spacing w:after="0"/>
              <w:rPr>
                <w:sz w:val="20"/>
                <w:szCs w:val="20"/>
                <w:color w:val="auto"/>
              </w:rPr>
            </w:pPr>
            <w:r>
              <w:rPr>
                <w:rFonts w:ascii="Arial" w:cs="Arial" w:eastAsia="Arial" w:hAnsi="Arial"/>
                <w:sz w:val="10"/>
                <w:szCs w:val="10"/>
                <w:color w:val="auto"/>
                <w:w w:val="71"/>
              </w:rPr>
              <w:t>$</w:t>
            </w:r>
          </w:p>
        </w:tc>
        <w:tc>
          <w:tcPr>
            <w:tcW w:w="12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200" w:type="dxa"/>
            <w:vAlign w:val="bottom"/>
            <w:shd w:val="clear" w:color="auto" w:fill="CCEEFF"/>
          </w:tcPr>
          <w:p>
            <w:pPr>
              <w:jc w:val="right"/>
              <w:ind w:right="92"/>
              <w:spacing w:after="0"/>
              <w:rPr>
                <w:sz w:val="20"/>
                <w:szCs w:val="20"/>
                <w:color w:val="auto"/>
              </w:rPr>
            </w:pPr>
            <w:r>
              <w:rPr>
                <w:rFonts w:ascii="Arial" w:cs="Arial" w:eastAsia="Arial" w:hAnsi="Arial"/>
                <w:sz w:val="10"/>
                <w:szCs w:val="10"/>
                <w:color w:val="auto"/>
                <w:w w:val="71"/>
              </w:rPr>
              <w:t>$</w:t>
            </w: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w:t>
            </w:r>
          </w:p>
        </w:tc>
      </w:tr>
      <w:tr>
        <w:trPr>
          <w:trHeight w:val="154"/>
        </w:trPr>
        <w:tc>
          <w:tcPr>
            <w:tcW w:w="4140" w:type="dxa"/>
            <w:vAlign w:val="bottom"/>
            <w:gridSpan w:val="2"/>
          </w:tcPr>
          <w:p>
            <w:pPr>
              <w:spacing w:after="0"/>
              <w:rPr>
                <w:sz w:val="20"/>
                <w:szCs w:val="20"/>
                <w:color w:val="auto"/>
              </w:rPr>
            </w:pPr>
            <w:r>
              <w:rPr>
                <w:rFonts w:ascii="Arial" w:cs="Arial" w:eastAsia="Arial" w:hAnsi="Arial"/>
                <w:sz w:val="13"/>
                <w:szCs w:val="13"/>
                <w:color w:val="auto"/>
              </w:rPr>
              <w:t>Stand-by letters of credit</w:t>
            </w:r>
          </w:p>
        </w:tc>
        <w:tc>
          <w:tcPr>
            <w:tcW w:w="280" w:type="dxa"/>
            <w:vAlign w:val="bottom"/>
          </w:tcPr>
          <w:p>
            <w:pPr>
              <w:spacing w:after="0"/>
              <w:rPr>
                <w:sz w:val="13"/>
                <w:szCs w:val="13"/>
                <w:color w:val="auto"/>
              </w:rPr>
            </w:pPr>
          </w:p>
        </w:tc>
        <w:tc>
          <w:tcPr>
            <w:tcW w:w="1220" w:type="dxa"/>
            <w:vAlign w:val="bottom"/>
            <w:gridSpan w:val="2"/>
          </w:tcPr>
          <w:p>
            <w:pPr>
              <w:jc w:val="right"/>
              <w:ind w:right="240"/>
              <w:spacing w:after="0"/>
              <w:rPr>
                <w:sz w:val="20"/>
                <w:szCs w:val="20"/>
                <w:color w:val="auto"/>
              </w:rPr>
            </w:pPr>
            <w:r>
              <w:rPr>
                <w:rFonts w:ascii="Arial" w:cs="Arial" w:eastAsia="Arial" w:hAnsi="Arial"/>
                <w:sz w:val="13"/>
                <w:szCs w:val="13"/>
                <w:color w:val="auto"/>
              </w:rPr>
              <w:t>179</w:t>
            </w:r>
          </w:p>
        </w:tc>
        <w:tc>
          <w:tcPr>
            <w:tcW w:w="200" w:type="dxa"/>
            <w:vAlign w:val="bottom"/>
          </w:tcPr>
          <w:p>
            <w:pPr>
              <w:spacing w:after="0"/>
              <w:rPr>
                <w:sz w:val="13"/>
                <w:szCs w:val="13"/>
                <w:color w:val="auto"/>
              </w:rPr>
            </w:pPr>
          </w:p>
        </w:tc>
        <w:tc>
          <w:tcPr>
            <w:tcW w:w="1300" w:type="dxa"/>
            <w:vAlign w:val="bottom"/>
            <w:gridSpan w:val="2"/>
          </w:tcPr>
          <w:p>
            <w:pPr>
              <w:jc w:val="right"/>
              <w:ind w:right="240"/>
              <w:spacing w:after="0"/>
              <w:rPr>
                <w:sz w:val="20"/>
                <w:szCs w:val="20"/>
                <w:color w:val="auto"/>
              </w:rPr>
            </w:pPr>
            <w:r>
              <w:rPr>
                <w:rFonts w:ascii="Arial" w:cs="Arial" w:eastAsia="Arial" w:hAnsi="Arial"/>
                <w:sz w:val="13"/>
                <w:szCs w:val="13"/>
                <w:color w:val="auto"/>
              </w:rPr>
              <w:t>179</w:t>
            </w:r>
          </w:p>
        </w:tc>
        <w:tc>
          <w:tcPr>
            <w:tcW w:w="140" w:type="dxa"/>
            <w:vAlign w:val="bottom"/>
          </w:tcPr>
          <w:p>
            <w:pPr>
              <w:spacing w:after="0"/>
              <w:rPr>
                <w:sz w:val="13"/>
                <w:szCs w:val="13"/>
                <w:color w:val="auto"/>
              </w:rPr>
            </w:pPr>
          </w:p>
        </w:tc>
        <w:tc>
          <w:tcPr>
            <w:tcW w:w="136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200" w:type="dxa"/>
            <w:vAlign w:val="bottom"/>
          </w:tcPr>
          <w:p>
            <w:pPr>
              <w:spacing w:after="0"/>
              <w:rPr>
                <w:sz w:val="13"/>
                <w:szCs w:val="13"/>
                <w:color w:val="auto"/>
              </w:rPr>
            </w:pPr>
          </w:p>
        </w:tc>
        <w:tc>
          <w:tcPr>
            <w:tcW w:w="128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200" w:type="dxa"/>
            <w:vAlign w:val="bottom"/>
          </w:tcPr>
          <w:p>
            <w:pPr>
              <w:spacing w:after="0"/>
              <w:rPr>
                <w:sz w:val="13"/>
                <w:szCs w:val="13"/>
                <w:color w:val="auto"/>
              </w:rPr>
            </w:pPr>
          </w:p>
        </w:tc>
        <w:tc>
          <w:tcPr>
            <w:tcW w:w="1160" w:type="dxa"/>
            <w:vAlign w:val="bottom"/>
            <w:gridSpan w:val="2"/>
          </w:tcPr>
          <w:p>
            <w:pPr>
              <w:jc w:val="right"/>
              <w:ind w:right="120"/>
              <w:spacing w:after="0"/>
              <w:rPr>
                <w:sz w:val="20"/>
                <w:szCs w:val="20"/>
                <w:color w:val="auto"/>
              </w:rPr>
            </w:pPr>
            <w:r>
              <w:rPr>
                <w:rFonts w:ascii="Arial" w:cs="Arial" w:eastAsia="Arial" w:hAnsi="Arial"/>
                <w:sz w:val="13"/>
                <w:szCs w:val="13"/>
                <w:color w:val="auto"/>
              </w:rPr>
              <w:t>0</w:t>
            </w:r>
          </w:p>
        </w:tc>
      </w:tr>
      <w:tr>
        <w:trPr>
          <w:trHeight w:val="154"/>
        </w:trPr>
        <w:tc>
          <w:tcPr>
            <w:tcW w:w="41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Guarantees</w:t>
            </w:r>
          </w:p>
        </w:tc>
        <w:tc>
          <w:tcPr>
            <w:tcW w:w="28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w:t>
            </w:r>
          </w:p>
        </w:tc>
        <w:tc>
          <w:tcPr>
            <w:tcW w:w="20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w:t>
            </w:r>
          </w:p>
        </w:tc>
        <w:tc>
          <w:tcPr>
            <w:tcW w:w="140" w:type="dxa"/>
            <w:vAlign w:val="bottom"/>
            <w:shd w:val="clear" w:color="auto" w:fill="CCEEFF"/>
          </w:tcPr>
          <w:p>
            <w:pPr>
              <w:spacing w:after="0"/>
              <w:rPr>
                <w:sz w:val="13"/>
                <w:szCs w:val="13"/>
                <w:color w:val="auto"/>
              </w:rPr>
            </w:pP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200" w:type="dxa"/>
            <w:vAlign w:val="bottom"/>
            <w:shd w:val="clear" w:color="auto" w:fill="CCEEFF"/>
          </w:tcPr>
          <w:p>
            <w:pPr>
              <w:spacing w:after="0"/>
              <w:rPr>
                <w:sz w:val="13"/>
                <w:szCs w:val="13"/>
                <w:color w:val="auto"/>
              </w:rPr>
            </w:pPr>
          </w:p>
        </w:tc>
        <w:tc>
          <w:tcPr>
            <w:tcW w:w="12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w:t>
            </w:r>
          </w:p>
        </w:tc>
        <w:tc>
          <w:tcPr>
            <w:tcW w:w="200" w:type="dxa"/>
            <w:vAlign w:val="bottom"/>
            <w:shd w:val="clear" w:color="auto" w:fill="CCEEFF"/>
          </w:tcPr>
          <w:p>
            <w:pPr>
              <w:spacing w:after="0"/>
              <w:rPr>
                <w:sz w:val="13"/>
                <w:szCs w:val="13"/>
                <w:color w:val="auto"/>
              </w:rPr>
            </w:pP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w:t>
            </w:r>
          </w:p>
        </w:tc>
      </w:tr>
      <w:tr>
        <w:trPr>
          <w:trHeight w:val="163"/>
        </w:trPr>
        <w:tc>
          <w:tcPr>
            <w:tcW w:w="4140" w:type="dxa"/>
            <w:vAlign w:val="bottom"/>
            <w:gridSpan w:val="2"/>
          </w:tcPr>
          <w:p>
            <w:pPr>
              <w:spacing w:after="0"/>
              <w:rPr>
                <w:sz w:val="20"/>
                <w:szCs w:val="20"/>
                <w:color w:val="auto"/>
              </w:rPr>
            </w:pPr>
            <w:r>
              <w:rPr>
                <w:rFonts w:ascii="Arial" w:cs="Arial" w:eastAsia="Arial" w:hAnsi="Arial"/>
                <w:sz w:val="13"/>
                <w:szCs w:val="13"/>
                <w:color w:val="auto"/>
              </w:rPr>
              <w:t>Other commercial commitments</w:t>
            </w:r>
          </w:p>
        </w:tc>
        <w:tc>
          <w:tcPr>
            <w:tcW w:w="280" w:type="dxa"/>
            <w:vAlign w:val="bottom"/>
          </w:tcPr>
          <w:p>
            <w:pPr>
              <w:spacing w:after="0"/>
              <w:rPr>
                <w:sz w:val="14"/>
                <w:szCs w:val="14"/>
                <w:color w:val="auto"/>
              </w:rPr>
            </w:pPr>
          </w:p>
        </w:tc>
        <w:tc>
          <w:tcPr>
            <w:tcW w:w="1220" w:type="dxa"/>
            <w:vAlign w:val="bottom"/>
            <w:gridSpan w:val="2"/>
          </w:tcPr>
          <w:p>
            <w:pPr>
              <w:jc w:val="right"/>
              <w:ind w:right="240"/>
              <w:spacing w:after="0"/>
              <w:rPr>
                <w:sz w:val="20"/>
                <w:szCs w:val="20"/>
                <w:color w:val="auto"/>
              </w:rPr>
            </w:pPr>
            <w:r>
              <w:rPr>
                <w:rFonts w:ascii="Arial" w:cs="Arial" w:eastAsia="Arial" w:hAnsi="Arial"/>
                <w:sz w:val="13"/>
                <w:szCs w:val="13"/>
                <w:color w:val="auto"/>
              </w:rPr>
              <w:t>103</w:t>
            </w:r>
          </w:p>
        </w:tc>
        <w:tc>
          <w:tcPr>
            <w:tcW w:w="200" w:type="dxa"/>
            <w:vAlign w:val="bottom"/>
          </w:tcPr>
          <w:p>
            <w:pPr>
              <w:spacing w:after="0"/>
              <w:rPr>
                <w:sz w:val="14"/>
                <w:szCs w:val="14"/>
                <w:color w:val="auto"/>
              </w:rPr>
            </w:pPr>
          </w:p>
        </w:tc>
        <w:tc>
          <w:tcPr>
            <w:tcW w:w="1300" w:type="dxa"/>
            <w:vAlign w:val="bottom"/>
            <w:gridSpan w:val="2"/>
          </w:tcPr>
          <w:p>
            <w:pPr>
              <w:jc w:val="right"/>
              <w:ind w:right="240"/>
              <w:spacing w:after="0"/>
              <w:rPr>
                <w:sz w:val="20"/>
                <w:szCs w:val="20"/>
                <w:color w:val="auto"/>
              </w:rPr>
            </w:pPr>
            <w:r>
              <w:rPr>
                <w:rFonts w:ascii="Arial" w:cs="Arial" w:eastAsia="Arial" w:hAnsi="Arial"/>
                <w:sz w:val="13"/>
                <w:szCs w:val="13"/>
                <w:color w:val="auto"/>
              </w:rPr>
              <w:t>36</w:t>
            </w:r>
          </w:p>
        </w:tc>
        <w:tc>
          <w:tcPr>
            <w:tcW w:w="140" w:type="dxa"/>
            <w:vAlign w:val="bottom"/>
          </w:tcPr>
          <w:p>
            <w:pPr>
              <w:spacing w:after="0"/>
              <w:rPr>
                <w:sz w:val="14"/>
                <w:szCs w:val="14"/>
                <w:color w:val="auto"/>
              </w:rPr>
            </w:pPr>
          </w:p>
        </w:tc>
        <w:tc>
          <w:tcPr>
            <w:tcW w:w="1360" w:type="dxa"/>
            <w:vAlign w:val="bottom"/>
            <w:gridSpan w:val="2"/>
          </w:tcPr>
          <w:p>
            <w:pPr>
              <w:jc w:val="right"/>
              <w:ind w:right="220"/>
              <w:spacing w:after="0"/>
              <w:rPr>
                <w:sz w:val="20"/>
                <w:szCs w:val="20"/>
                <w:color w:val="auto"/>
              </w:rPr>
            </w:pPr>
            <w:r>
              <w:rPr>
                <w:rFonts w:ascii="Arial" w:cs="Arial" w:eastAsia="Arial" w:hAnsi="Arial"/>
                <w:sz w:val="13"/>
                <w:szCs w:val="13"/>
                <w:color w:val="auto"/>
              </w:rPr>
              <w:t>17</w:t>
            </w:r>
          </w:p>
        </w:tc>
        <w:tc>
          <w:tcPr>
            <w:tcW w:w="200" w:type="dxa"/>
            <w:vAlign w:val="bottom"/>
          </w:tcPr>
          <w:p>
            <w:pPr>
              <w:spacing w:after="0"/>
              <w:rPr>
                <w:sz w:val="14"/>
                <w:szCs w:val="14"/>
                <w:color w:val="auto"/>
              </w:rPr>
            </w:pPr>
          </w:p>
        </w:tc>
        <w:tc>
          <w:tcPr>
            <w:tcW w:w="1280" w:type="dxa"/>
            <w:vAlign w:val="bottom"/>
            <w:gridSpan w:val="2"/>
          </w:tcPr>
          <w:p>
            <w:pPr>
              <w:jc w:val="right"/>
              <w:ind w:right="220"/>
              <w:spacing w:after="0"/>
              <w:rPr>
                <w:sz w:val="20"/>
                <w:szCs w:val="20"/>
                <w:color w:val="auto"/>
              </w:rPr>
            </w:pPr>
            <w:r>
              <w:rPr>
                <w:rFonts w:ascii="Arial" w:cs="Arial" w:eastAsia="Arial" w:hAnsi="Arial"/>
                <w:sz w:val="13"/>
                <w:szCs w:val="13"/>
                <w:color w:val="auto"/>
              </w:rPr>
              <w:t>50</w:t>
            </w:r>
          </w:p>
        </w:tc>
        <w:tc>
          <w:tcPr>
            <w:tcW w:w="200" w:type="dxa"/>
            <w:vAlign w:val="bottom"/>
          </w:tcPr>
          <w:p>
            <w:pPr>
              <w:spacing w:after="0"/>
              <w:rPr>
                <w:sz w:val="14"/>
                <w:szCs w:val="14"/>
                <w:color w:val="auto"/>
              </w:rPr>
            </w:pPr>
          </w:p>
        </w:tc>
        <w:tc>
          <w:tcPr>
            <w:tcW w:w="1160" w:type="dxa"/>
            <w:vAlign w:val="bottom"/>
            <w:gridSpan w:val="2"/>
          </w:tcPr>
          <w:p>
            <w:pPr>
              <w:jc w:val="right"/>
              <w:ind w:right="120"/>
              <w:spacing w:after="0"/>
              <w:rPr>
                <w:sz w:val="20"/>
                <w:szCs w:val="20"/>
                <w:color w:val="auto"/>
              </w:rPr>
            </w:pPr>
            <w:r>
              <w:rPr>
                <w:rFonts w:ascii="Arial" w:cs="Arial" w:eastAsia="Arial" w:hAnsi="Arial"/>
                <w:sz w:val="13"/>
                <w:szCs w:val="13"/>
                <w:color w:val="auto"/>
              </w:rPr>
              <w:t>0</w:t>
            </w:r>
          </w:p>
        </w:tc>
      </w:tr>
      <w:tr>
        <w:trPr>
          <w:trHeight w:val="162"/>
        </w:trPr>
        <w:tc>
          <w:tcPr>
            <w:tcW w:w="4140" w:type="dxa"/>
            <w:vAlign w:val="bottom"/>
            <w:tcBorders>
              <w:top w:val="single" w:sz="8" w:color="CCEEFF"/>
              <w:bottom w:val="single" w:sz="8" w:color="CCEEFF"/>
            </w:tcBorders>
            <w:gridSpan w:val="2"/>
            <w:shd w:val="clear" w:color="auto" w:fill="CCEEFF"/>
          </w:tcPr>
          <w:p>
            <w:pPr>
              <w:ind w:left="120"/>
              <w:spacing w:after="0" w:line="147" w:lineRule="exact"/>
              <w:rPr>
                <w:sz w:val="20"/>
                <w:szCs w:val="20"/>
                <w:color w:val="auto"/>
              </w:rPr>
            </w:pPr>
            <w:r>
              <w:rPr>
                <w:rFonts w:ascii="Arial" w:cs="Arial" w:eastAsia="Arial" w:hAnsi="Arial"/>
                <w:sz w:val="13"/>
                <w:szCs w:val="13"/>
                <w:b w:val="1"/>
                <w:bCs w:val="1"/>
                <w:color w:val="auto"/>
              </w:rPr>
              <w:t>Total Commercial Commitments</w:t>
            </w:r>
          </w:p>
        </w:tc>
        <w:tc>
          <w:tcPr>
            <w:tcW w:w="280" w:type="dxa"/>
            <w:vAlign w:val="bottom"/>
            <w:tcBorders>
              <w:top w:val="single" w:sz="8" w:color="auto"/>
              <w:bottom w:val="single" w:sz="8" w:color="auto"/>
            </w:tcBorders>
            <w:shd w:val="clear" w:color="auto" w:fill="CCEEFF"/>
          </w:tcPr>
          <w:p>
            <w:pPr>
              <w:jc w:val="right"/>
              <w:ind w:right="172"/>
              <w:spacing w:after="0"/>
              <w:rPr>
                <w:sz w:val="20"/>
                <w:szCs w:val="20"/>
                <w:color w:val="auto"/>
              </w:rPr>
            </w:pPr>
            <w:r>
              <w:rPr>
                <w:rFonts w:ascii="Arial" w:cs="Arial" w:eastAsia="Arial" w:hAnsi="Arial"/>
                <w:sz w:val="10"/>
                <w:szCs w:val="10"/>
                <w:b w:val="1"/>
                <w:bCs w:val="1"/>
                <w:color w:val="auto"/>
                <w:w w:val="71"/>
              </w:rPr>
              <w:t>$</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512</w:t>
            </w: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200" w:type="dxa"/>
            <w:vAlign w:val="bottom"/>
            <w:tcBorders>
              <w:top w:val="single" w:sz="8" w:color="auto"/>
              <w:bottom w:val="single" w:sz="8" w:color="auto"/>
            </w:tcBorders>
            <w:shd w:val="clear" w:color="auto" w:fill="CCEEFF"/>
          </w:tcPr>
          <w:p>
            <w:pPr>
              <w:jc w:val="right"/>
              <w:ind w:right="92"/>
              <w:spacing w:after="0"/>
              <w:rPr>
                <w:sz w:val="20"/>
                <w:szCs w:val="20"/>
                <w:color w:val="auto"/>
              </w:rPr>
            </w:pPr>
            <w:r>
              <w:rPr>
                <w:rFonts w:ascii="Arial" w:cs="Arial" w:eastAsia="Arial" w:hAnsi="Arial"/>
                <w:sz w:val="10"/>
                <w:szCs w:val="10"/>
                <w:b w:val="1"/>
                <w:bCs w:val="1"/>
                <w:color w:val="auto"/>
                <w:w w:val="71"/>
              </w:rPr>
              <w:t>$</w:t>
            </w: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445</w:t>
            </w: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140" w:type="dxa"/>
            <w:vAlign w:val="bottom"/>
            <w:tcBorders>
              <w:top w:val="single" w:sz="8" w:color="auto"/>
              <w:bottom w:val="single" w:sz="8" w:color="auto"/>
            </w:tcBorders>
            <w:shd w:val="clear" w:color="auto" w:fill="CCEEFF"/>
          </w:tcPr>
          <w:p>
            <w:pPr>
              <w:jc w:val="right"/>
              <w:ind w:right="32"/>
              <w:spacing w:after="0"/>
              <w:rPr>
                <w:sz w:val="20"/>
                <w:szCs w:val="20"/>
                <w:color w:val="auto"/>
              </w:rPr>
            </w:pPr>
            <w:r>
              <w:rPr>
                <w:rFonts w:ascii="Arial" w:cs="Arial" w:eastAsia="Arial" w:hAnsi="Arial"/>
                <w:sz w:val="10"/>
                <w:szCs w:val="10"/>
                <w:b w:val="1"/>
                <w:bCs w:val="1"/>
                <w:color w:val="auto"/>
                <w:w w:val="71"/>
              </w:rPr>
              <w:t>$</w:t>
            </w: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17</w:t>
            </w: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200" w:type="dxa"/>
            <w:vAlign w:val="bottom"/>
            <w:tcBorders>
              <w:top w:val="single" w:sz="8" w:color="auto"/>
              <w:bottom w:val="single" w:sz="8" w:color="auto"/>
            </w:tcBorders>
            <w:shd w:val="clear" w:color="auto" w:fill="CCEEFF"/>
          </w:tcPr>
          <w:p>
            <w:pPr>
              <w:jc w:val="right"/>
              <w:ind w:right="92"/>
              <w:spacing w:after="0"/>
              <w:rPr>
                <w:sz w:val="20"/>
                <w:szCs w:val="20"/>
                <w:color w:val="auto"/>
              </w:rPr>
            </w:pPr>
            <w:r>
              <w:rPr>
                <w:rFonts w:ascii="Arial" w:cs="Arial" w:eastAsia="Arial" w:hAnsi="Arial"/>
                <w:sz w:val="10"/>
                <w:szCs w:val="10"/>
                <w:b w:val="1"/>
                <w:bCs w:val="1"/>
                <w:color w:val="auto"/>
                <w:w w:val="71"/>
              </w:rPr>
              <w:t>$</w:t>
            </w: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50</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200" w:type="dxa"/>
            <w:vAlign w:val="bottom"/>
            <w:tcBorders>
              <w:top w:val="single" w:sz="8" w:color="auto"/>
              <w:bottom w:val="single" w:sz="8" w:color="auto"/>
            </w:tcBorders>
            <w:shd w:val="clear" w:color="auto" w:fill="CCEEFF"/>
          </w:tcPr>
          <w:p>
            <w:pPr>
              <w:jc w:val="right"/>
              <w:ind w:right="92"/>
              <w:spacing w:after="0"/>
              <w:rPr>
                <w:sz w:val="20"/>
                <w:szCs w:val="20"/>
                <w:color w:val="auto"/>
              </w:rPr>
            </w:pPr>
            <w:r>
              <w:rPr>
                <w:rFonts w:ascii="Arial" w:cs="Arial" w:eastAsia="Arial" w:hAnsi="Arial"/>
                <w:sz w:val="10"/>
                <w:szCs w:val="10"/>
                <w:b w:val="1"/>
                <w:bCs w:val="1"/>
                <w:color w:val="auto"/>
                <w:w w:val="71"/>
              </w:rPr>
              <w:t>$</w:t>
            </w: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0</w:t>
            </w:r>
          </w:p>
        </w:tc>
        <w:tc>
          <w:tcPr>
            <w:tcW w:w="120" w:type="dxa"/>
            <w:vAlign w:val="bottom"/>
            <w:tcBorders>
              <w:top w:val="single" w:sz="8" w:color="CCEEFF"/>
              <w:bottom w:val="single" w:sz="8" w:color="CCEEFF"/>
            </w:tcBorders>
            <w:shd w:val="clear" w:color="auto" w:fill="CCEEFF"/>
          </w:tcPr>
          <w:p>
            <w:pPr>
              <w:spacing w:after="0"/>
              <w:rPr>
                <w:sz w:val="14"/>
                <w:szCs w:val="14"/>
                <w:color w:val="auto"/>
              </w:rPr>
            </w:pPr>
          </w:p>
        </w:tc>
      </w:tr>
    </w:tbl>
    <w:p>
      <w:pPr>
        <w:spacing w:after="0" w:line="85" w:lineRule="exact"/>
        <w:rPr>
          <w:sz w:val="20"/>
          <w:szCs w:val="20"/>
          <w:color w:val="auto"/>
        </w:rPr>
      </w:pPr>
    </w:p>
    <w:p>
      <w:pPr>
        <w:ind w:left="223" w:hanging="223"/>
        <w:spacing w:after="0"/>
        <w:tabs>
          <w:tab w:leader="none" w:pos="223" w:val="left"/>
        </w:tabs>
        <w:numPr>
          <w:ilvl w:val="0"/>
          <w:numId w:val="48"/>
        </w:numPr>
        <w:rPr>
          <w:rFonts w:ascii="Arial" w:cs="Arial" w:eastAsia="Arial" w:hAnsi="Arial"/>
          <w:sz w:val="21"/>
          <w:szCs w:val="21"/>
          <w:color w:val="auto"/>
          <w:vertAlign w:val="superscript"/>
        </w:rPr>
      </w:pPr>
      <w:r>
        <w:rPr>
          <w:rFonts w:ascii="Arial" w:cs="Arial" w:eastAsia="Arial" w:hAnsi="Arial"/>
          <w:sz w:val="13"/>
          <w:szCs w:val="13"/>
          <w:color w:val="auto"/>
        </w:rPr>
        <w:t>Includes customers’ liabilities under acceptances outstanding (on-balance sheet assets) for a total amount of $9.7 million as of December 31, 2018.</w:t>
      </w:r>
    </w:p>
    <w:p>
      <w:pPr>
        <w:spacing w:after="0" w:line="146"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covenants included in some of the Bank’s liabilities contracts are standard market covenants. Bladex has been and expects to continue to be in compliance with regard to these covenants.</w:t>
      </w:r>
    </w:p>
    <w:p>
      <w:pPr>
        <w:spacing w:after="0" w:line="307"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80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82" w:name="page83"/>
    <w:bookmarkEnd w:id="82"/>
    <w:p>
      <w:pPr>
        <w:ind w:left="3"/>
        <w:spacing w:after="0"/>
        <w:tabs>
          <w:tab w:leader="none" w:pos="903" w:val="left"/>
        </w:tabs>
        <w:rPr>
          <w:sz w:val="20"/>
          <w:szCs w:val="20"/>
          <w:color w:val="auto"/>
        </w:rPr>
      </w:pPr>
      <w:r>
        <w:rPr>
          <w:rFonts w:ascii="Arial" w:cs="Arial" w:eastAsia="Arial" w:hAnsi="Arial"/>
          <w:sz w:val="13"/>
          <w:szCs w:val="13"/>
          <w:b w:val="1"/>
          <w:bCs w:val="1"/>
          <w:color w:val="auto"/>
        </w:rPr>
        <w:t>Item 6.</w:t>
      </w:r>
      <w:r>
        <w:rPr>
          <w:sz w:val="20"/>
          <w:szCs w:val="20"/>
          <w:color w:val="auto"/>
        </w:rPr>
        <w:tab/>
      </w:r>
      <w:r>
        <w:rPr>
          <w:rFonts w:ascii="Arial" w:cs="Arial" w:eastAsia="Arial" w:hAnsi="Arial"/>
          <w:sz w:val="11"/>
          <w:szCs w:val="11"/>
          <w:b w:val="1"/>
          <w:bCs w:val="1"/>
          <w:color w:val="auto"/>
        </w:rPr>
        <w:t>Directors, Executive Officers and Employees</w:t>
      </w:r>
    </w:p>
    <w:p>
      <w:pPr>
        <w:spacing w:after="0" w:line="159" w:lineRule="exact"/>
        <w:rPr>
          <w:sz w:val="20"/>
          <w:szCs w:val="20"/>
          <w:color w:val="auto"/>
        </w:rPr>
      </w:pPr>
    </w:p>
    <w:p>
      <w:pPr>
        <w:ind w:left="463" w:hanging="463"/>
        <w:spacing w:after="0"/>
        <w:tabs>
          <w:tab w:leader="none" w:pos="463" w:val="left"/>
        </w:tabs>
        <w:numPr>
          <w:ilvl w:val="0"/>
          <w:numId w:val="49"/>
        </w:numPr>
        <w:rPr>
          <w:rFonts w:ascii="Arial" w:cs="Arial" w:eastAsia="Arial" w:hAnsi="Arial"/>
          <w:sz w:val="13"/>
          <w:szCs w:val="13"/>
          <w:b w:val="1"/>
          <w:bCs w:val="1"/>
          <w:color w:val="auto"/>
        </w:rPr>
      </w:pPr>
      <w:r>
        <w:rPr>
          <w:rFonts w:ascii="Arial" w:cs="Arial" w:eastAsia="Arial" w:hAnsi="Arial"/>
          <w:sz w:val="13"/>
          <w:szCs w:val="13"/>
          <w:b w:val="1"/>
          <w:bCs w:val="1"/>
          <w:color w:val="auto"/>
        </w:rPr>
        <w:t>Directors and Executive Officers</w:t>
      </w:r>
    </w:p>
    <w:p>
      <w:pPr>
        <w:spacing w:after="0" w:line="163" w:lineRule="exact"/>
        <w:rPr>
          <w:sz w:val="20"/>
          <w:szCs w:val="20"/>
          <w:color w:val="auto"/>
        </w:rPr>
      </w:pPr>
    </w:p>
    <w:p>
      <w:pPr>
        <w:ind w:left="463"/>
        <w:spacing w:after="0"/>
        <w:rPr>
          <w:sz w:val="20"/>
          <w:szCs w:val="20"/>
          <w:color w:val="auto"/>
        </w:rPr>
      </w:pPr>
      <w:r>
        <w:rPr>
          <w:rFonts w:ascii="Arial" w:cs="Arial" w:eastAsia="Arial" w:hAnsi="Arial"/>
          <w:sz w:val="13"/>
          <w:szCs w:val="13"/>
          <w:b w:val="1"/>
          <w:bCs w:val="1"/>
          <w:i w:val="1"/>
          <w:iCs w:val="1"/>
          <w:color w:val="auto"/>
        </w:rPr>
        <w:t>Directors</w:t>
      </w:r>
    </w:p>
    <w:p>
      <w:pPr>
        <w:spacing w:after="0" w:line="159" w:lineRule="exact"/>
        <w:rPr>
          <w:sz w:val="20"/>
          <w:szCs w:val="20"/>
          <w:color w:val="auto"/>
        </w:rPr>
      </w:pPr>
    </w:p>
    <w:p>
      <w:pPr>
        <w:ind w:left="3" w:right="20"/>
        <w:spacing w:after="0" w:line="267" w:lineRule="auto"/>
        <w:rPr>
          <w:sz w:val="20"/>
          <w:szCs w:val="20"/>
          <w:color w:val="auto"/>
        </w:rPr>
      </w:pPr>
      <w:r>
        <w:rPr>
          <w:rFonts w:ascii="Arial" w:cs="Arial" w:eastAsia="Arial" w:hAnsi="Arial"/>
          <w:sz w:val="13"/>
          <w:szCs w:val="13"/>
          <w:color w:val="auto"/>
        </w:rPr>
        <w:t>The following table and biographies set forth certain information concerning the Directors of the Bank as of the date of this Annual Report, including information with respect to each Director’s current position with the Bank and other institutions, class of shares which the Director represents, country of citizenship, the year that each Director’s term expires, and age.</w:t>
      </w:r>
    </w:p>
    <w:p>
      <w:pPr>
        <w:spacing w:after="0" w:line="125" w:lineRule="exact"/>
        <w:rPr>
          <w:sz w:val="20"/>
          <w:szCs w:val="20"/>
          <w:color w:val="auto"/>
        </w:rPr>
      </w:pPr>
    </w:p>
    <w:tbl>
      <w:tblPr>
        <w:tblLayout w:type="fixed"/>
        <w:tblInd w:w="3" w:type="dxa"/>
        <w:tblCellMar>
          <w:top w:w="0" w:type="dxa"/>
          <w:left w:w="0" w:type="dxa"/>
          <w:bottom w:w="0" w:type="dxa"/>
          <w:right w:w="0" w:type="dxa"/>
        </w:tblCellMar>
      </w:tblPr>
      <w:tr>
        <w:trPr>
          <w:trHeight w:val="154"/>
        </w:trPr>
        <w:tc>
          <w:tcPr>
            <w:tcW w:w="20" w:type="dxa"/>
            <w:vAlign w:val="bottom"/>
          </w:tcPr>
          <w:p>
            <w:pPr>
              <w:spacing w:after="0"/>
              <w:rPr>
                <w:sz w:val="13"/>
                <w:szCs w:val="13"/>
                <w:color w:val="auto"/>
              </w:rPr>
            </w:pPr>
          </w:p>
        </w:tc>
        <w:tc>
          <w:tcPr>
            <w:tcW w:w="48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40" w:type="dxa"/>
            <w:vAlign w:val="bottom"/>
            <w:gridSpan w:val="2"/>
          </w:tcPr>
          <w:p>
            <w:pPr>
              <w:jc w:val="center"/>
              <w:ind w:right="120"/>
              <w:spacing w:after="0"/>
              <w:rPr>
                <w:sz w:val="20"/>
                <w:szCs w:val="20"/>
                <w:color w:val="auto"/>
              </w:rPr>
            </w:pPr>
            <w:r>
              <w:rPr>
                <w:rFonts w:ascii="Arial" w:cs="Arial" w:eastAsia="Arial" w:hAnsi="Arial"/>
                <w:sz w:val="13"/>
                <w:szCs w:val="13"/>
                <w:b w:val="1"/>
                <w:bCs w:val="1"/>
                <w:color w:val="auto"/>
                <w:w w:val="91"/>
              </w:rPr>
              <w:t>Country of</w:t>
            </w:r>
          </w:p>
        </w:tc>
        <w:tc>
          <w:tcPr>
            <w:tcW w:w="1260" w:type="dxa"/>
            <w:vAlign w:val="bottom"/>
            <w:gridSpan w:val="2"/>
          </w:tcPr>
          <w:p>
            <w:pPr>
              <w:jc w:val="center"/>
              <w:ind w:right="120"/>
              <w:spacing w:after="0"/>
              <w:rPr>
                <w:sz w:val="20"/>
                <w:szCs w:val="20"/>
                <w:color w:val="auto"/>
              </w:rPr>
            </w:pPr>
            <w:r>
              <w:rPr>
                <w:rFonts w:ascii="Arial" w:cs="Arial" w:eastAsia="Arial" w:hAnsi="Arial"/>
                <w:sz w:val="13"/>
                <w:szCs w:val="13"/>
                <w:b w:val="1"/>
                <w:bCs w:val="1"/>
                <w:color w:val="auto"/>
                <w:w w:val="90"/>
              </w:rPr>
              <w:t>Position Held with</w:t>
            </w:r>
          </w:p>
        </w:tc>
        <w:tc>
          <w:tcPr>
            <w:tcW w:w="1260" w:type="dxa"/>
            <w:vAlign w:val="bottom"/>
            <w:gridSpan w:val="2"/>
          </w:tcPr>
          <w:p>
            <w:pPr>
              <w:jc w:val="center"/>
              <w:ind w:right="120"/>
              <w:spacing w:after="0"/>
              <w:rPr>
                <w:sz w:val="20"/>
                <w:szCs w:val="20"/>
                <w:color w:val="auto"/>
              </w:rPr>
            </w:pPr>
            <w:r>
              <w:rPr>
                <w:rFonts w:ascii="Arial" w:cs="Arial" w:eastAsia="Arial" w:hAnsi="Arial"/>
                <w:sz w:val="13"/>
                <w:szCs w:val="13"/>
                <w:b w:val="1"/>
                <w:bCs w:val="1"/>
                <w:color w:val="auto"/>
                <w:w w:val="91"/>
              </w:rPr>
              <w:t>Year Term</w:t>
            </w:r>
          </w:p>
        </w:tc>
        <w:tc>
          <w:tcPr>
            <w:tcW w:w="124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92"/>
              </w:rPr>
              <w:t>Director</w:t>
            </w:r>
          </w:p>
        </w:tc>
        <w:tc>
          <w:tcPr>
            <w:tcW w:w="940" w:type="dxa"/>
            <w:vAlign w:val="bottom"/>
          </w:tcPr>
          <w:p>
            <w:pPr>
              <w:spacing w:after="0"/>
              <w:rPr>
                <w:sz w:val="13"/>
                <w:szCs w:val="13"/>
                <w:color w:val="auto"/>
              </w:rPr>
            </w:pPr>
          </w:p>
        </w:tc>
      </w:tr>
      <w:tr>
        <w:trPr>
          <w:trHeight w:val="166"/>
        </w:trPr>
        <w:tc>
          <w:tcPr>
            <w:tcW w:w="4820" w:type="dxa"/>
            <w:vAlign w:val="bottom"/>
            <w:gridSpan w:val="2"/>
          </w:tcPr>
          <w:p>
            <w:pPr>
              <w:spacing w:after="0"/>
              <w:rPr>
                <w:sz w:val="20"/>
                <w:szCs w:val="20"/>
                <w:color w:val="auto"/>
              </w:rPr>
            </w:pPr>
            <w:r>
              <w:rPr>
                <w:rFonts w:ascii="Arial" w:cs="Arial" w:eastAsia="Arial" w:hAnsi="Arial"/>
                <w:sz w:val="13"/>
                <w:szCs w:val="13"/>
                <w:b w:val="1"/>
                <w:bCs w:val="1"/>
                <w:color w:val="auto"/>
              </w:rPr>
              <w:t>Name</w:t>
            </w:r>
          </w:p>
        </w:tc>
        <w:tc>
          <w:tcPr>
            <w:tcW w:w="120" w:type="dxa"/>
            <w:vAlign w:val="bottom"/>
          </w:tcPr>
          <w:p>
            <w:pPr>
              <w:spacing w:after="0"/>
              <w:rPr>
                <w:sz w:val="14"/>
                <w:szCs w:val="14"/>
                <w:color w:val="auto"/>
              </w:rPr>
            </w:pPr>
          </w:p>
        </w:tc>
        <w:tc>
          <w:tcPr>
            <w:tcW w:w="1840" w:type="dxa"/>
            <w:vAlign w:val="bottom"/>
            <w:gridSpan w:val="2"/>
          </w:tcPr>
          <w:p>
            <w:pPr>
              <w:jc w:val="center"/>
              <w:ind w:right="140"/>
              <w:spacing w:after="0"/>
              <w:rPr>
                <w:sz w:val="20"/>
                <w:szCs w:val="20"/>
                <w:color w:val="auto"/>
              </w:rPr>
            </w:pPr>
            <w:r>
              <w:rPr>
                <w:rFonts w:ascii="Arial" w:cs="Arial" w:eastAsia="Arial" w:hAnsi="Arial"/>
                <w:sz w:val="13"/>
                <w:szCs w:val="13"/>
                <w:b w:val="1"/>
                <w:bCs w:val="1"/>
                <w:color w:val="auto"/>
                <w:w w:val="89"/>
              </w:rPr>
              <w:t>Citizenship</w:t>
            </w:r>
          </w:p>
        </w:tc>
        <w:tc>
          <w:tcPr>
            <w:tcW w:w="1260" w:type="dxa"/>
            <w:vAlign w:val="bottom"/>
            <w:gridSpan w:val="2"/>
          </w:tcPr>
          <w:p>
            <w:pPr>
              <w:jc w:val="center"/>
              <w:ind w:right="120"/>
              <w:spacing w:after="0"/>
              <w:rPr>
                <w:sz w:val="20"/>
                <w:szCs w:val="20"/>
                <w:color w:val="auto"/>
              </w:rPr>
            </w:pPr>
            <w:r>
              <w:rPr>
                <w:rFonts w:ascii="Arial" w:cs="Arial" w:eastAsia="Arial" w:hAnsi="Arial"/>
                <w:sz w:val="13"/>
                <w:szCs w:val="13"/>
                <w:b w:val="1"/>
                <w:bCs w:val="1"/>
                <w:color w:val="auto"/>
                <w:w w:val="92"/>
              </w:rPr>
              <w:t>The Bank</w:t>
            </w:r>
          </w:p>
        </w:tc>
        <w:tc>
          <w:tcPr>
            <w:tcW w:w="1260" w:type="dxa"/>
            <w:vAlign w:val="bottom"/>
            <w:gridSpan w:val="2"/>
          </w:tcPr>
          <w:p>
            <w:pPr>
              <w:jc w:val="center"/>
              <w:ind w:right="120"/>
              <w:spacing w:after="0"/>
              <w:rPr>
                <w:sz w:val="20"/>
                <w:szCs w:val="20"/>
                <w:color w:val="auto"/>
              </w:rPr>
            </w:pPr>
            <w:r>
              <w:rPr>
                <w:rFonts w:ascii="Arial" w:cs="Arial" w:eastAsia="Arial" w:hAnsi="Arial"/>
                <w:sz w:val="13"/>
                <w:szCs w:val="13"/>
                <w:b w:val="1"/>
                <w:bCs w:val="1"/>
                <w:color w:val="auto"/>
                <w:w w:val="89"/>
              </w:rPr>
              <w:t>Expires</w:t>
            </w:r>
          </w:p>
        </w:tc>
        <w:tc>
          <w:tcPr>
            <w:tcW w:w="124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6"/>
              </w:rPr>
              <w:t>Since</w:t>
            </w:r>
          </w:p>
        </w:tc>
        <w:tc>
          <w:tcPr>
            <w:tcW w:w="940" w:type="dxa"/>
            <w:vAlign w:val="bottom"/>
          </w:tcPr>
          <w:p>
            <w:pPr>
              <w:jc w:val="center"/>
              <w:spacing w:after="0"/>
              <w:rPr>
                <w:sz w:val="20"/>
                <w:szCs w:val="20"/>
                <w:color w:val="auto"/>
              </w:rPr>
            </w:pPr>
            <w:r>
              <w:rPr>
                <w:rFonts w:ascii="Arial" w:cs="Arial" w:eastAsia="Arial" w:hAnsi="Arial"/>
                <w:sz w:val="13"/>
                <w:szCs w:val="13"/>
                <w:b w:val="1"/>
                <w:bCs w:val="1"/>
                <w:color w:val="auto"/>
                <w:w w:val="89"/>
              </w:rPr>
              <w:t>Age</w:t>
            </w:r>
          </w:p>
        </w:tc>
      </w:tr>
      <w:tr>
        <w:trPr>
          <w:trHeight w:val="144"/>
        </w:trPr>
        <w:tc>
          <w:tcPr>
            <w:tcW w:w="20" w:type="dxa"/>
            <w:vAlign w:val="bottom"/>
          </w:tcPr>
          <w:p>
            <w:pPr>
              <w:spacing w:after="0"/>
              <w:rPr>
                <w:sz w:val="12"/>
                <w:szCs w:val="12"/>
                <w:color w:val="auto"/>
              </w:rPr>
            </w:pPr>
          </w:p>
        </w:tc>
        <w:tc>
          <w:tcPr>
            <w:tcW w:w="4800" w:type="dxa"/>
            <w:vAlign w:val="bottom"/>
            <w:tcBorders>
              <w:top w:val="single" w:sz="8" w:color="auto"/>
            </w:tcBorders>
          </w:tcPr>
          <w:p>
            <w:pPr>
              <w:spacing w:after="0" w:line="144" w:lineRule="exact"/>
              <w:rPr>
                <w:sz w:val="20"/>
                <w:szCs w:val="20"/>
                <w:color w:val="auto"/>
              </w:rPr>
            </w:pPr>
            <w:r>
              <w:rPr>
                <w:rFonts w:ascii="Arial" w:cs="Arial" w:eastAsia="Arial" w:hAnsi="Arial"/>
                <w:sz w:val="13"/>
                <w:szCs w:val="13"/>
                <w:b w:val="1"/>
                <w:bCs w:val="1"/>
                <w:color w:val="auto"/>
              </w:rPr>
              <w:t>CLASS A</w:t>
            </w:r>
          </w:p>
        </w:tc>
        <w:tc>
          <w:tcPr>
            <w:tcW w:w="120" w:type="dxa"/>
            <w:vAlign w:val="bottom"/>
          </w:tcPr>
          <w:p>
            <w:pPr>
              <w:spacing w:after="0"/>
              <w:rPr>
                <w:sz w:val="12"/>
                <w:szCs w:val="12"/>
                <w:color w:val="auto"/>
              </w:rPr>
            </w:pPr>
          </w:p>
        </w:tc>
        <w:tc>
          <w:tcPr>
            <w:tcW w:w="172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14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14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14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940" w:type="dxa"/>
            <w:vAlign w:val="bottom"/>
            <w:tcBorders>
              <w:top w:val="single" w:sz="8" w:color="auto"/>
            </w:tcBorders>
          </w:tcPr>
          <w:p>
            <w:pPr>
              <w:spacing w:after="0"/>
              <w:rPr>
                <w:sz w:val="12"/>
                <w:szCs w:val="12"/>
                <w:color w:val="auto"/>
              </w:rPr>
            </w:pPr>
          </w:p>
        </w:tc>
      </w:tr>
      <w:tr>
        <w:trPr>
          <w:trHeight w:val="154"/>
        </w:trPr>
        <w:tc>
          <w:tcPr>
            <w:tcW w:w="20" w:type="dxa"/>
            <w:vAlign w:val="bottom"/>
          </w:tcPr>
          <w:p>
            <w:pPr>
              <w:spacing w:after="0"/>
              <w:rPr>
                <w:sz w:val="13"/>
                <w:szCs w:val="13"/>
                <w:color w:val="auto"/>
              </w:rPr>
            </w:pPr>
          </w:p>
        </w:tc>
        <w:tc>
          <w:tcPr>
            <w:tcW w:w="4800" w:type="dxa"/>
            <w:vAlign w:val="bottom"/>
            <w:shd w:val="clear" w:color="auto" w:fill="CCEEFF"/>
          </w:tcPr>
          <w:p>
            <w:pPr>
              <w:spacing w:after="0"/>
              <w:rPr>
                <w:sz w:val="20"/>
                <w:szCs w:val="20"/>
                <w:color w:val="auto"/>
              </w:rPr>
            </w:pPr>
            <w:r>
              <w:rPr>
                <w:rFonts w:ascii="Arial" w:cs="Arial" w:eastAsia="Arial" w:hAnsi="Arial"/>
                <w:sz w:val="13"/>
                <w:szCs w:val="13"/>
                <w:color w:val="auto"/>
              </w:rPr>
              <w:t>João Carlos de Nóbrega Pecego</w:t>
            </w:r>
          </w:p>
        </w:tc>
        <w:tc>
          <w:tcPr>
            <w:tcW w:w="120" w:type="dxa"/>
            <w:vAlign w:val="bottom"/>
            <w:shd w:val="clear" w:color="auto" w:fill="CCEEFF"/>
          </w:tcPr>
          <w:p>
            <w:pPr>
              <w:spacing w:after="0"/>
              <w:rPr>
                <w:sz w:val="13"/>
                <w:szCs w:val="13"/>
                <w:color w:val="auto"/>
              </w:rPr>
            </w:pPr>
          </w:p>
        </w:tc>
        <w:tc>
          <w:tcPr>
            <w:tcW w:w="17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r>
      <w:tr>
        <w:trPr>
          <w:trHeight w:val="154"/>
        </w:trPr>
        <w:tc>
          <w:tcPr>
            <w:tcW w:w="20" w:type="dxa"/>
            <w:vAlign w:val="bottom"/>
          </w:tcPr>
          <w:p>
            <w:pPr>
              <w:spacing w:after="0"/>
              <w:rPr>
                <w:sz w:val="13"/>
                <w:szCs w:val="13"/>
                <w:color w:val="auto"/>
              </w:rPr>
            </w:pPr>
          </w:p>
        </w:tc>
        <w:tc>
          <w:tcPr>
            <w:tcW w:w="4800" w:type="dxa"/>
            <w:vAlign w:val="bottom"/>
            <w:shd w:val="clear" w:color="auto" w:fill="CCEEFF"/>
          </w:tcPr>
          <w:p>
            <w:pPr>
              <w:spacing w:after="0"/>
              <w:rPr>
                <w:sz w:val="20"/>
                <w:szCs w:val="20"/>
                <w:color w:val="auto"/>
              </w:rPr>
            </w:pPr>
            <w:r>
              <w:rPr>
                <w:rFonts w:ascii="Arial" w:cs="Arial" w:eastAsia="Arial" w:hAnsi="Arial"/>
                <w:sz w:val="13"/>
                <w:szCs w:val="13"/>
                <w:color w:val="auto"/>
              </w:rPr>
              <w:t>Chief Executive Officer</w:t>
            </w:r>
          </w:p>
        </w:tc>
        <w:tc>
          <w:tcPr>
            <w:tcW w:w="120" w:type="dxa"/>
            <w:vAlign w:val="bottom"/>
            <w:shd w:val="clear" w:color="auto" w:fill="CCEEFF"/>
          </w:tcPr>
          <w:p>
            <w:pPr>
              <w:spacing w:after="0"/>
              <w:rPr>
                <w:sz w:val="13"/>
                <w:szCs w:val="13"/>
                <w:color w:val="auto"/>
              </w:rPr>
            </w:pPr>
          </w:p>
        </w:tc>
        <w:tc>
          <w:tcPr>
            <w:tcW w:w="1840" w:type="dxa"/>
            <w:vAlign w:val="bottom"/>
            <w:gridSpan w:val="2"/>
            <w:shd w:val="clear" w:color="auto" w:fill="CCEEFF"/>
          </w:tcPr>
          <w:p>
            <w:pPr>
              <w:jc w:val="center"/>
              <w:ind w:right="120"/>
              <w:spacing w:after="0"/>
              <w:rPr>
                <w:sz w:val="20"/>
                <w:szCs w:val="20"/>
                <w:color w:val="auto"/>
              </w:rPr>
            </w:pPr>
            <w:r>
              <w:rPr>
                <w:rFonts w:ascii="Arial" w:cs="Arial" w:eastAsia="Arial" w:hAnsi="Arial"/>
                <w:sz w:val="13"/>
                <w:szCs w:val="13"/>
                <w:color w:val="auto"/>
                <w:w w:val="98"/>
              </w:rPr>
              <w:t>Brazil</w:t>
            </w:r>
          </w:p>
        </w:tc>
        <w:tc>
          <w:tcPr>
            <w:tcW w:w="1260" w:type="dxa"/>
            <w:vAlign w:val="bottom"/>
            <w:gridSpan w:val="2"/>
            <w:shd w:val="clear" w:color="auto" w:fill="CCEEFF"/>
          </w:tcPr>
          <w:p>
            <w:pPr>
              <w:jc w:val="center"/>
              <w:ind w:right="120"/>
              <w:spacing w:after="0"/>
              <w:rPr>
                <w:sz w:val="20"/>
                <w:szCs w:val="20"/>
                <w:color w:val="auto"/>
              </w:rPr>
            </w:pPr>
            <w:r>
              <w:rPr>
                <w:rFonts w:ascii="Arial" w:cs="Arial" w:eastAsia="Arial" w:hAnsi="Arial"/>
                <w:sz w:val="13"/>
                <w:szCs w:val="13"/>
                <w:color w:val="auto"/>
                <w:w w:val="92"/>
              </w:rPr>
              <w:t>Director</w:t>
            </w:r>
          </w:p>
        </w:tc>
        <w:tc>
          <w:tcPr>
            <w:tcW w:w="114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89"/>
              </w:rPr>
              <w:t>2022</w:t>
            </w:r>
          </w:p>
        </w:tc>
        <w:tc>
          <w:tcPr>
            <w:tcW w:w="120" w:type="dxa"/>
            <w:vAlign w:val="bottom"/>
            <w:shd w:val="clear" w:color="auto" w:fill="CCEEFF"/>
          </w:tcPr>
          <w:p>
            <w:pPr>
              <w:spacing w:after="0"/>
              <w:rPr>
                <w:sz w:val="13"/>
                <w:szCs w:val="13"/>
                <w:color w:val="auto"/>
              </w:rPr>
            </w:pPr>
          </w:p>
        </w:tc>
        <w:tc>
          <w:tcPr>
            <w:tcW w:w="114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89"/>
              </w:rPr>
              <w:t>2010</w:t>
            </w:r>
          </w:p>
        </w:tc>
        <w:tc>
          <w:tcPr>
            <w:tcW w:w="100" w:type="dxa"/>
            <w:vAlign w:val="bottom"/>
            <w:shd w:val="clear" w:color="auto" w:fill="CCEEFF"/>
          </w:tcPr>
          <w:p>
            <w:pPr>
              <w:spacing w:after="0"/>
              <w:rPr>
                <w:sz w:val="13"/>
                <w:szCs w:val="13"/>
                <w:color w:val="auto"/>
              </w:rPr>
            </w:pPr>
          </w:p>
        </w:tc>
        <w:tc>
          <w:tcPr>
            <w:tcW w:w="94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96"/>
              </w:rPr>
              <w:t>55</w:t>
            </w:r>
          </w:p>
        </w:tc>
      </w:tr>
      <w:tr>
        <w:trPr>
          <w:trHeight w:val="154"/>
        </w:trPr>
        <w:tc>
          <w:tcPr>
            <w:tcW w:w="20" w:type="dxa"/>
            <w:vAlign w:val="bottom"/>
          </w:tcPr>
          <w:p>
            <w:pPr>
              <w:spacing w:after="0"/>
              <w:rPr>
                <w:sz w:val="13"/>
                <w:szCs w:val="13"/>
                <w:color w:val="auto"/>
              </w:rPr>
            </w:pPr>
          </w:p>
        </w:tc>
        <w:tc>
          <w:tcPr>
            <w:tcW w:w="4800" w:type="dxa"/>
            <w:vAlign w:val="bottom"/>
            <w:shd w:val="clear" w:color="auto" w:fill="CCEEFF"/>
          </w:tcPr>
          <w:p>
            <w:pPr>
              <w:spacing w:after="0"/>
              <w:rPr>
                <w:sz w:val="20"/>
                <w:szCs w:val="20"/>
                <w:color w:val="auto"/>
              </w:rPr>
            </w:pPr>
            <w:r>
              <w:rPr>
                <w:rFonts w:ascii="Arial" w:cs="Arial" w:eastAsia="Arial" w:hAnsi="Arial"/>
                <w:sz w:val="13"/>
                <w:szCs w:val="13"/>
                <w:color w:val="auto"/>
              </w:rPr>
              <w:t>Banco Patagonia, Argentina</w:t>
            </w:r>
          </w:p>
        </w:tc>
        <w:tc>
          <w:tcPr>
            <w:tcW w:w="120" w:type="dxa"/>
            <w:vAlign w:val="bottom"/>
            <w:shd w:val="clear" w:color="auto" w:fill="CCEEFF"/>
          </w:tcPr>
          <w:p>
            <w:pPr>
              <w:spacing w:after="0"/>
              <w:rPr>
                <w:sz w:val="13"/>
                <w:szCs w:val="13"/>
                <w:color w:val="auto"/>
              </w:rPr>
            </w:pPr>
          </w:p>
        </w:tc>
        <w:tc>
          <w:tcPr>
            <w:tcW w:w="17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r>
      <w:tr>
        <w:trPr>
          <w:trHeight w:val="145"/>
        </w:trPr>
        <w:tc>
          <w:tcPr>
            <w:tcW w:w="20" w:type="dxa"/>
            <w:vAlign w:val="bottom"/>
          </w:tcPr>
          <w:p>
            <w:pPr>
              <w:spacing w:after="0"/>
              <w:rPr>
                <w:sz w:val="12"/>
                <w:szCs w:val="12"/>
                <w:color w:val="auto"/>
              </w:rPr>
            </w:pPr>
          </w:p>
        </w:tc>
        <w:tc>
          <w:tcPr>
            <w:tcW w:w="4800" w:type="dxa"/>
            <w:vAlign w:val="bottom"/>
          </w:tcPr>
          <w:p>
            <w:pPr>
              <w:spacing w:after="0" w:line="146" w:lineRule="exact"/>
              <w:rPr>
                <w:sz w:val="20"/>
                <w:szCs w:val="20"/>
                <w:color w:val="auto"/>
              </w:rPr>
            </w:pPr>
            <w:r>
              <w:rPr>
                <w:rFonts w:ascii="Arial" w:cs="Arial" w:eastAsia="Arial" w:hAnsi="Arial"/>
                <w:sz w:val="13"/>
                <w:szCs w:val="13"/>
                <w:color w:val="auto"/>
              </w:rPr>
              <w:t>José Alberto Garzón Gaitán</w:t>
            </w:r>
          </w:p>
        </w:tc>
        <w:tc>
          <w:tcPr>
            <w:tcW w:w="120" w:type="dxa"/>
            <w:vAlign w:val="bottom"/>
          </w:tcPr>
          <w:p>
            <w:pPr>
              <w:spacing w:after="0"/>
              <w:rPr>
                <w:sz w:val="12"/>
                <w:szCs w:val="12"/>
                <w:color w:val="auto"/>
              </w:rPr>
            </w:pPr>
          </w:p>
        </w:tc>
        <w:tc>
          <w:tcPr>
            <w:tcW w:w="17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40" w:type="dxa"/>
            <w:vAlign w:val="bottom"/>
          </w:tcPr>
          <w:p>
            <w:pPr>
              <w:spacing w:after="0"/>
              <w:rPr>
                <w:sz w:val="12"/>
                <w:szCs w:val="12"/>
                <w:color w:val="auto"/>
              </w:rPr>
            </w:pPr>
          </w:p>
        </w:tc>
      </w:tr>
      <w:tr>
        <w:trPr>
          <w:trHeight w:val="154"/>
        </w:trPr>
        <w:tc>
          <w:tcPr>
            <w:tcW w:w="4820" w:type="dxa"/>
            <w:vAlign w:val="bottom"/>
            <w:gridSpan w:val="2"/>
          </w:tcPr>
          <w:p>
            <w:pPr>
              <w:spacing w:after="0"/>
              <w:rPr>
                <w:sz w:val="20"/>
                <w:szCs w:val="20"/>
                <w:color w:val="auto"/>
              </w:rPr>
            </w:pPr>
            <w:r>
              <w:rPr>
                <w:rFonts w:ascii="Arial" w:cs="Arial" w:eastAsia="Arial" w:hAnsi="Arial"/>
                <w:sz w:val="13"/>
                <w:szCs w:val="13"/>
                <w:color w:val="auto"/>
              </w:rPr>
              <w:t>Legal Vice President and General Secretary</w:t>
            </w:r>
          </w:p>
        </w:tc>
        <w:tc>
          <w:tcPr>
            <w:tcW w:w="120" w:type="dxa"/>
            <w:vAlign w:val="bottom"/>
          </w:tcPr>
          <w:p>
            <w:pPr>
              <w:spacing w:after="0"/>
              <w:rPr>
                <w:sz w:val="13"/>
                <w:szCs w:val="13"/>
                <w:color w:val="auto"/>
              </w:rPr>
            </w:pPr>
          </w:p>
        </w:tc>
        <w:tc>
          <w:tcPr>
            <w:tcW w:w="17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940" w:type="dxa"/>
            <w:vAlign w:val="bottom"/>
          </w:tcPr>
          <w:p>
            <w:pPr>
              <w:spacing w:after="0"/>
              <w:rPr>
                <w:sz w:val="13"/>
                <w:szCs w:val="13"/>
                <w:color w:val="auto"/>
              </w:rPr>
            </w:pPr>
          </w:p>
        </w:tc>
      </w:tr>
      <w:tr>
        <w:trPr>
          <w:trHeight w:val="162"/>
        </w:trPr>
        <w:tc>
          <w:tcPr>
            <w:tcW w:w="4820" w:type="dxa"/>
            <w:vAlign w:val="bottom"/>
            <w:gridSpan w:val="2"/>
          </w:tcPr>
          <w:p>
            <w:pPr>
              <w:spacing w:after="0"/>
              <w:rPr>
                <w:sz w:val="20"/>
                <w:szCs w:val="20"/>
                <w:color w:val="auto"/>
              </w:rPr>
            </w:pPr>
            <w:r>
              <w:rPr>
                <w:rFonts w:ascii="Arial" w:cs="Arial" w:eastAsia="Arial" w:hAnsi="Arial"/>
                <w:sz w:val="13"/>
                <w:szCs w:val="13"/>
                <w:color w:val="auto"/>
              </w:rPr>
              <w:t>Banco de Comercio Exterior de Colombia</w:t>
            </w:r>
          </w:p>
        </w:tc>
        <w:tc>
          <w:tcPr>
            <w:tcW w:w="120" w:type="dxa"/>
            <w:vAlign w:val="bottom"/>
          </w:tcPr>
          <w:p>
            <w:pPr>
              <w:spacing w:after="0"/>
              <w:rPr>
                <w:sz w:val="14"/>
                <w:szCs w:val="14"/>
                <w:color w:val="auto"/>
              </w:rPr>
            </w:pPr>
          </w:p>
        </w:tc>
        <w:tc>
          <w:tcPr>
            <w:tcW w:w="1840" w:type="dxa"/>
            <w:vAlign w:val="bottom"/>
            <w:gridSpan w:val="2"/>
          </w:tcPr>
          <w:p>
            <w:pPr>
              <w:jc w:val="center"/>
              <w:ind w:right="140"/>
              <w:spacing w:after="0"/>
              <w:rPr>
                <w:sz w:val="20"/>
                <w:szCs w:val="20"/>
                <w:color w:val="auto"/>
              </w:rPr>
            </w:pPr>
            <w:r>
              <w:rPr>
                <w:rFonts w:ascii="Arial" w:cs="Arial" w:eastAsia="Arial" w:hAnsi="Arial"/>
                <w:sz w:val="13"/>
                <w:szCs w:val="13"/>
                <w:color w:val="auto"/>
                <w:w w:val="90"/>
              </w:rPr>
              <w:t>Colombia</w:t>
            </w:r>
          </w:p>
        </w:tc>
        <w:tc>
          <w:tcPr>
            <w:tcW w:w="1260" w:type="dxa"/>
            <w:vAlign w:val="bottom"/>
            <w:gridSpan w:val="2"/>
          </w:tcPr>
          <w:p>
            <w:pPr>
              <w:jc w:val="center"/>
              <w:ind w:right="120"/>
              <w:spacing w:after="0"/>
              <w:rPr>
                <w:sz w:val="20"/>
                <w:szCs w:val="20"/>
                <w:color w:val="auto"/>
              </w:rPr>
            </w:pPr>
            <w:r>
              <w:rPr>
                <w:rFonts w:ascii="Arial" w:cs="Arial" w:eastAsia="Arial" w:hAnsi="Arial"/>
                <w:sz w:val="13"/>
                <w:szCs w:val="13"/>
                <w:color w:val="auto"/>
                <w:w w:val="92"/>
              </w:rPr>
              <w:t>Director</w:t>
            </w:r>
          </w:p>
        </w:tc>
        <w:tc>
          <w:tcPr>
            <w:tcW w:w="1140" w:type="dxa"/>
            <w:vAlign w:val="bottom"/>
          </w:tcPr>
          <w:p>
            <w:pPr>
              <w:jc w:val="center"/>
              <w:spacing w:after="0"/>
              <w:rPr>
                <w:sz w:val="20"/>
                <w:szCs w:val="20"/>
                <w:color w:val="auto"/>
              </w:rPr>
            </w:pPr>
            <w:r>
              <w:rPr>
                <w:rFonts w:ascii="Arial" w:cs="Arial" w:eastAsia="Arial" w:hAnsi="Arial"/>
                <w:sz w:val="13"/>
                <w:szCs w:val="13"/>
                <w:color w:val="auto"/>
                <w:w w:val="89"/>
              </w:rPr>
              <w:t>2020</w:t>
            </w:r>
          </w:p>
        </w:tc>
        <w:tc>
          <w:tcPr>
            <w:tcW w:w="120" w:type="dxa"/>
            <w:vAlign w:val="bottom"/>
          </w:tcPr>
          <w:p>
            <w:pPr>
              <w:spacing w:after="0"/>
              <w:rPr>
                <w:sz w:val="14"/>
                <w:szCs w:val="14"/>
                <w:color w:val="auto"/>
              </w:rPr>
            </w:pPr>
          </w:p>
        </w:tc>
        <w:tc>
          <w:tcPr>
            <w:tcW w:w="1140" w:type="dxa"/>
            <w:vAlign w:val="bottom"/>
          </w:tcPr>
          <w:p>
            <w:pPr>
              <w:jc w:val="center"/>
              <w:spacing w:after="0"/>
              <w:rPr>
                <w:sz w:val="20"/>
                <w:szCs w:val="20"/>
                <w:color w:val="auto"/>
              </w:rPr>
            </w:pPr>
            <w:r>
              <w:rPr>
                <w:rFonts w:ascii="Arial" w:cs="Arial" w:eastAsia="Arial" w:hAnsi="Arial"/>
                <w:sz w:val="13"/>
                <w:szCs w:val="13"/>
                <w:color w:val="auto"/>
                <w:w w:val="89"/>
              </w:rPr>
              <w:t>2017</w:t>
            </w:r>
          </w:p>
        </w:tc>
        <w:tc>
          <w:tcPr>
            <w:tcW w:w="100" w:type="dxa"/>
            <w:vAlign w:val="bottom"/>
          </w:tcPr>
          <w:p>
            <w:pPr>
              <w:spacing w:after="0"/>
              <w:rPr>
                <w:sz w:val="14"/>
                <w:szCs w:val="14"/>
                <w:color w:val="auto"/>
              </w:rPr>
            </w:pPr>
          </w:p>
        </w:tc>
        <w:tc>
          <w:tcPr>
            <w:tcW w:w="940" w:type="dxa"/>
            <w:vAlign w:val="bottom"/>
          </w:tcPr>
          <w:p>
            <w:pPr>
              <w:jc w:val="center"/>
              <w:spacing w:after="0"/>
              <w:rPr>
                <w:sz w:val="20"/>
                <w:szCs w:val="20"/>
                <w:color w:val="auto"/>
              </w:rPr>
            </w:pPr>
            <w:r>
              <w:rPr>
                <w:rFonts w:ascii="Arial" w:cs="Arial" w:eastAsia="Arial" w:hAnsi="Arial"/>
                <w:sz w:val="13"/>
                <w:szCs w:val="13"/>
                <w:color w:val="auto"/>
                <w:w w:val="96"/>
              </w:rPr>
              <w:t>48</w:t>
            </w:r>
          </w:p>
        </w:tc>
      </w:tr>
      <w:tr>
        <w:trPr>
          <w:trHeight w:val="155"/>
        </w:trPr>
        <w:tc>
          <w:tcPr>
            <w:tcW w:w="20" w:type="dxa"/>
            <w:vAlign w:val="bottom"/>
          </w:tcPr>
          <w:p>
            <w:pPr>
              <w:spacing w:after="0"/>
              <w:rPr>
                <w:sz w:val="13"/>
                <w:szCs w:val="13"/>
                <w:color w:val="auto"/>
              </w:rPr>
            </w:pPr>
          </w:p>
        </w:tc>
        <w:tc>
          <w:tcPr>
            <w:tcW w:w="4800" w:type="dxa"/>
            <w:vAlign w:val="bottom"/>
            <w:shd w:val="clear" w:color="auto" w:fill="CCEEFF"/>
          </w:tcPr>
          <w:p>
            <w:pPr>
              <w:spacing w:after="0"/>
              <w:rPr>
                <w:sz w:val="20"/>
                <w:szCs w:val="20"/>
                <w:color w:val="auto"/>
              </w:rPr>
            </w:pPr>
            <w:r>
              <w:rPr>
                <w:rFonts w:ascii="Arial" w:cs="Arial" w:eastAsia="Arial" w:hAnsi="Arial"/>
                <w:sz w:val="13"/>
                <w:szCs w:val="13"/>
                <w:color w:val="auto"/>
              </w:rPr>
              <w:t>Javier González Fraga</w:t>
            </w:r>
          </w:p>
        </w:tc>
        <w:tc>
          <w:tcPr>
            <w:tcW w:w="120" w:type="dxa"/>
            <w:vAlign w:val="bottom"/>
            <w:shd w:val="clear" w:color="auto" w:fill="CCEEFF"/>
          </w:tcPr>
          <w:p>
            <w:pPr>
              <w:spacing w:after="0"/>
              <w:rPr>
                <w:sz w:val="13"/>
                <w:szCs w:val="13"/>
                <w:color w:val="auto"/>
              </w:rPr>
            </w:pPr>
          </w:p>
        </w:tc>
        <w:tc>
          <w:tcPr>
            <w:tcW w:w="17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r>
      <w:tr>
        <w:trPr>
          <w:trHeight w:val="154"/>
        </w:trPr>
        <w:tc>
          <w:tcPr>
            <w:tcW w:w="20" w:type="dxa"/>
            <w:vAlign w:val="bottom"/>
          </w:tcPr>
          <w:p>
            <w:pPr>
              <w:spacing w:after="0"/>
              <w:rPr>
                <w:sz w:val="13"/>
                <w:szCs w:val="13"/>
                <w:color w:val="auto"/>
              </w:rPr>
            </w:pPr>
          </w:p>
        </w:tc>
        <w:tc>
          <w:tcPr>
            <w:tcW w:w="4800" w:type="dxa"/>
            <w:vAlign w:val="bottom"/>
            <w:shd w:val="clear" w:color="auto" w:fill="CCEEFF"/>
          </w:tcPr>
          <w:p>
            <w:pPr>
              <w:spacing w:after="0"/>
              <w:rPr>
                <w:sz w:val="20"/>
                <w:szCs w:val="20"/>
                <w:color w:val="auto"/>
              </w:rPr>
            </w:pPr>
            <w:r>
              <w:rPr>
                <w:rFonts w:ascii="Arial" w:cs="Arial" w:eastAsia="Arial" w:hAnsi="Arial"/>
                <w:sz w:val="13"/>
                <w:szCs w:val="13"/>
                <w:color w:val="auto"/>
              </w:rPr>
              <w:t>Chairman</w:t>
            </w:r>
          </w:p>
        </w:tc>
        <w:tc>
          <w:tcPr>
            <w:tcW w:w="120" w:type="dxa"/>
            <w:vAlign w:val="bottom"/>
            <w:shd w:val="clear" w:color="auto" w:fill="CCEEFF"/>
          </w:tcPr>
          <w:p>
            <w:pPr>
              <w:spacing w:after="0"/>
              <w:rPr>
                <w:sz w:val="13"/>
                <w:szCs w:val="13"/>
                <w:color w:val="auto"/>
              </w:rPr>
            </w:pPr>
          </w:p>
        </w:tc>
        <w:tc>
          <w:tcPr>
            <w:tcW w:w="17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r>
      <w:tr>
        <w:trPr>
          <w:trHeight w:val="154"/>
        </w:trPr>
        <w:tc>
          <w:tcPr>
            <w:tcW w:w="20" w:type="dxa"/>
            <w:vAlign w:val="bottom"/>
          </w:tcPr>
          <w:p>
            <w:pPr>
              <w:spacing w:after="0"/>
              <w:rPr>
                <w:sz w:val="13"/>
                <w:szCs w:val="13"/>
                <w:color w:val="auto"/>
              </w:rPr>
            </w:pPr>
          </w:p>
        </w:tc>
        <w:tc>
          <w:tcPr>
            <w:tcW w:w="4800" w:type="dxa"/>
            <w:vAlign w:val="bottom"/>
            <w:shd w:val="clear" w:color="auto" w:fill="CCEEFF"/>
          </w:tcPr>
          <w:p>
            <w:pPr>
              <w:spacing w:after="0"/>
              <w:rPr>
                <w:sz w:val="20"/>
                <w:szCs w:val="20"/>
                <w:color w:val="auto"/>
              </w:rPr>
            </w:pPr>
            <w:r>
              <w:rPr>
                <w:rFonts w:ascii="Arial" w:cs="Arial" w:eastAsia="Arial" w:hAnsi="Arial"/>
                <w:sz w:val="13"/>
                <w:szCs w:val="13"/>
                <w:color w:val="auto"/>
              </w:rPr>
              <w:t>Banco de la Nación Argentina</w:t>
            </w:r>
          </w:p>
        </w:tc>
        <w:tc>
          <w:tcPr>
            <w:tcW w:w="120" w:type="dxa"/>
            <w:vAlign w:val="bottom"/>
            <w:shd w:val="clear" w:color="auto" w:fill="CCEEFF"/>
          </w:tcPr>
          <w:p>
            <w:pPr>
              <w:spacing w:after="0"/>
              <w:rPr>
                <w:sz w:val="13"/>
                <w:szCs w:val="13"/>
                <w:color w:val="auto"/>
              </w:rPr>
            </w:pPr>
          </w:p>
        </w:tc>
        <w:tc>
          <w:tcPr>
            <w:tcW w:w="1840" w:type="dxa"/>
            <w:vAlign w:val="bottom"/>
            <w:gridSpan w:val="2"/>
            <w:shd w:val="clear" w:color="auto" w:fill="CCEEFF"/>
          </w:tcPr>
          <w:p>
            <w:pPr>
              <w:jc w:val="center"/>
              <w:ind w:right="120"/>
              <w:spacing w:after="0"/>
              <w:rPr>
                <w:sz w:val="20"/>
                <w:szCs w:val="20"/>
                <w:color w:val="auto"/>
              </w:rPr>
            </w:pPr>
            <w:r>
              <w:rPr>
                <w:rFonts w:ascii="Arial" w:cs="Arial" w:eastAsia="Arial" w:hAnsi="Arial"/>
                <w:sz w:val="13"/>
                <w:szCs w:val="13"/>
                <w:color w:val="auto"/>
                <w:w w:val="93"/>
              </w:rPr>
              <w:t>Argentina</w:t>
            </w:r>
          </w:p>
        </w:tc>
        <w:tc>
          <w:tcPr>
            <w:tcW w:w="1260" w:type="dxa"/>
            <w:vAlign w:val="bottom"/>
            <w:gridSpan w:val="2"/>
            <w:shd w:val="clear" w:color="auto" w:fill="CCEEFF"/>
          </w:tcPr>
          <w:p>
            <w:pPr>
              <w:jc w:val="center"/>
              <w:ind w:right="120"/>
              <w:spacing w:after="0"/>
              <w:rPr>
                <w:sz w:val="20"/>
                <w:szCs w:val="20"/>
                <w:color w:val="auto"/>
              </w:rPr>
            </w:pPr>
            <w:r>
              <w:rPr>
                <w:rFonts w:ascii="Arial" w:cs="Arial" w:eastAsia="Arial" w:hAnsi="Arial"/>
                <w:sz w:val="13"/>
                <w:szCs w:val="13"/>
                <w:color w:val="auto"/>
                <w:w w:val="92"/>
              </w:rPr>
              <w:t>Director</w:t>
            </w:r>
          </w:p>
        </w:tc>
        <w:tc>
          <w:tcPr>
            <w:tcW w:w="114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89"/>
              </w:rPr>
              <w:t>2020</w:t>
            </w:r>
          </w:p>
        </w:tc>
        <w:tc>
          <w:tcPr>
            <w:tcW w:w="120" w:type="dxa"/>
            <w:vAlign w:val="bottom"/>
            <w:shd w:val="clear" w:color="auto" w:fill="CCEEFF"/>
          </w:tcPr>
          <w:p>
            <w:pPr>
              <w:spacing w:after="0"/>
              <w:rPr>
                <w:sz w:val="13"/>
                <w:szCs w:val="13"/>
                <w:color w:val="auto"/>
              </w:rPr>
            </w:pPr>
          </w:p>
        </w:tc>
        <w:tc>
          <w:tcPr>
            <w:tcW w:w="114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89"/>
              </w:rPr>
              <w:t>2017</w:t>
            </w:r>
          </w:p>
        </w:tc>
        <w:tc>
          <w:tcPr>
            <w:tcW w:w="100" w:type="dxa"/>
            <w:vAlign w:val="bottom"/>
            <w:shd w:val="clear" w:color="auto" w:fill="CCEEFF"/>
          </w:tcPr>
          <w:p>
            <w:pPr>
              <w:spacing w:after="0"/>
              <w:rPr>
                <w:sz w:val="13"/>
                <w:szCs w:val="13"/>
                <w:color w:val="auto"/>
              </w:rPr>
            </w:pPr>
          </w:p>
        </w:tc>
        <w:tc>
          <w:tcPr>
            <w:tcW w:w="94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96"/>
              </w:rPr>
              <w:t>70</w:t>
            </w:r>
          </w:p>
        </w:tc>
      </w:tr>
      <w:tr>
        <w:trPr>
          <w:trHeight w:val="308"/>
        </w:trPr>
        <w:tc>
          <w:tcPr>
            <w:tcW w:w="4820" w:type="dxa"/>
            <w:vAlign w:val="bottom"/>
            <w:gridSpan w:val="2"/>
          </w:tcPr>
          <w:p>
            <w:pPr>
              <w:spacing w:after="0"/>
              <w:rPr>
                <w:sz w:val="20"/>
                <w:szCs w:val="20"/>
                <w:color w:val="auto"/>
              </w:rPr>
            </w:pPr>
            <w:r>
              <w:rPr>
                <w:rFonts w:ascii="Arial" w:cs="Arial" w:eastAsia="Arial" w:hAnsi="Arial"/>
                <w:sz w:val="13"/>
                <w:szCs w:val="13"/>
                <w:b w:val="1"/>
                <w:bCs w:val="1"/>
                <w:color w:val="auto"/>
              </w:rPr>
              <w:t>CLASS E</w:t>
            </w:r>
          </w:p>
        </w:tc>
        <w:tc>
          <w:tcPr>
            <w:tcW w:w="120" w:type="dxa"/>
            <w:vAlign w:val="bottom"/>
          </w:tcPr>
          <w:p>
            <w:pPr>
              <w:spacing w:after="0"/>
              <w:rPr>
                <w:sz w:val="24"/>
                <w:szCs w:val="24"/>
                <w:color w:val="auto"/>
              </w:rPr>
            </w:pPr>
          </w:p>
        </w:tc>
        <w:tc>
          <w:tcPr>
            <w:tcW w:w="17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940" w:type="dxa"/>
            <w:vAlign w:val="bottom"/>
          </w:tcPr>
          <w:p>
            <w:pPr>
              <w:spacing w:after="0"/>
              <w:rPr>
                <w:sz w:val="24"/>
                <w:szCs w:val="24"/>
                <w:color w:val="auto"/>
              </w:rPr>
            </w:pPr>
          </w:p>
        </w:tc>
      </w:tr>
      <w:tr>
        <w:trPr>
          <w:trHeight w:val="155"/>
        </w:trPr>
        <w:tc>
          <w:tcPr>
            <w:tcW w:w="20" w:type="dxa"/>
            <w:vAlign w:val="bottom"/>
          </w:tcPr>
          <w:p>
            <w:pPr>
              <w:spacing w:after="0"/>
              <w:rPr>
                <w:sz w:val="13"/>
                <w:szCs w:val="13"/>
                <w:color w:val="auto"/>
              </w:rPr>
            </w:pPr>
          </w:p>
        </w:tc>
        <w:tc>
          <w:tcPr>
            <w:tcW w:w="4800" w:type="dxa"/>
            <w:vAlign w:val="bottom"/>
            <w:shd w:val="clear" w:color="auto" w:fill="CCEEFF"/>
          </w:tcPr>
          <w:p>
            <w:pPr>
              <w:spacing w:after="0"/>
              <w:rPr>
                <w:sz w:val="20"/>
                <w:szCs w:val="20"/>
                <w:color w:val="auto"/>
              </w:rPr>
            </w:pPr>
            <w:r>
              <w:rPr>
                <w:rFonts w:ascii="Arial" w:cs="Arial" w:eastAsia="Arial" w:hAnsi="Arial"/>
                <w:sz w:val="13"/>
                <w:szCs w:val="13"/>
                <w:color w:val="auto"/>
              </w:rPr>
              <w:t>Ricardo Manuel Arango</w:t>
            </w:r>
          </w:p>
        </w:tc>
        <w:tc>
          <w:tcPr>
            <w:tcW w:w="120" w:type="dxa"/>
            <w:vAlign w:val="bottom"/>
            <w:shd w:val="clear" w:color="auto" w:fill="CCEEFF"/>
          </w:tcPr>
          <w:p>
            <w:pPr>
              <w:spacing w:after="0"/>
              <w:rPr>
                <w:sz w:val="13"/>
                <w:szCs w:val="13"/>
                <w:color w:val="auto"/>
              </w:rPr>
            </w:pPr>
          </w:p>
        </w:tc>
        <w:tc>
          <w:tcPr>
            <w:tcW w:w="17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r>
      <w:tr>
        <w:trPr>
          <w:trHeight w:val="154"/>
        </w:trPr>
        <w:tc>
          <w:tcPr>
            <w:tcW w:w="20" w:type="dxa"/>
            <w:vAlign w:val="bottom"/>
          </w:tcPr>
          <w:p>
            <w:pPr>
              <w:spacing w:after="0"/>
              <w:rPr>
                <w:sz w:val="13"/>
                <w:szCs w:val="13"/>
                <w:color w:val="auto"/>
              </w:rPr>
            </w:pPr>
          </w:p>
        </w:tc>
        <w:tc>
          <w:tcPr>
            <w:tcW w:w="4800" w:type="dxa"/>
            <w:vAlign w:val="bottom"/>
            <w:shd w:val="clear" w:color="auto" w:fill="CCEEFF"/>
          </w:tcPr>
          <w:p>
            <w:pPr>
              <w:spacing w:after="0"/>
              <w:rPr>
                <w:sz w:val="20"/>
                <w:szCs w:val="20"/>
                <w:color w:val="auto"/>
              </w:rPr>
            </w:pPr>
            <w:r>
              <w:rPr>
                <w:rFonts w:ascii="Arial" w:cs="Arial" w:eastAsia="Arial" w:hAnsi="Arial"/>
                <w:sz w:val="13"/>
                <w:szCs w:val="13"/>
                <w:color w:val="auto"/>
              </w:rPr>
              <w:t>Senior Partner</w:t>
            </w:r>
          </w:p>
        </w:tc>
        <w:tc>
          <w:tcPr>
            <w:tcW w:w="120" w:type="dxa"/>
            <w:vAlign w:val="bottom"/>
            <w:shd w:val="clear" w:color="auto" w:fill="CCEEFF"/>
          </w:tcPr>
          <w:p>
            <w:pPr>
              <w:spacing w:after="0"/>
              <w:rPr>
                <w:sz w:val="13"/>
                <w:szCs w:val="13"/>
                <w:color w:val="auto"/>
              </w:rPr>
            </w:pPr>
          </w:p>
        </w:tc>
        <w:tc>
          <w:tcPr>
            <w:tcW w:w="17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r>
      <w:tr>
        <w:trPr>
          <w:trHeight w:val="154"/>
        </w:trPr>
        <w:tc>
          <w:tcPr>
            <w:tcW w:w="20" w:type="dxa"/>
            <w:vAlign w:val="bottom"/>
          </w:tcPr>
          <w:p>
            <w:pPr>
              <w:spacing w:after="0"/>
              <w:rPr>
                <w:sz w:val="13"/>
                <w:szCs w:val="13"/>
                <w:color w:val="auto"/>
              </w:rPr>
            </w:pPr>
          </w:p>
        </w:tc>
        <w:tc>
          <w:tcPr>
            <w:tcW w:w="4800" w:type="dxa"/>
            <w:vAlign w:val="bottom"/>
            <w:shd w:val="clear" w:color="auto" w:fill="CCEEFF"/>
          </w:tcPr>
          <w:p>
            <w:pPr>
              <w:spacing w:after="0"/>
              <w:rPr>
                <w:sz w:val="20"/>
                <w:szCs w:val="20"/>
                <w:color w:val="auto"/>
              </w:rPr>
            </w:pPr>
            <w:r>
              <w:rPr>
                <w:rFonts w:ascii="Arial" w:cs="Arial" w:eastAsia="Arial" w:hAnsi="Arial"/>
                <w:sz w:val="13"/>
                <w:szCs w:val="13"/>
                <w:color w:val="auto"/>
              </w:rPr>
              <w:t>Arias, Fábrega &amp; Fábrega, Panama</w:t>
            </w:r>
          </w:p>
        </w:tc>
        <w:tc>
          <w:tcPr>
            <w:tcW w:w="120" w:type="dxa"/>
            <w:vAlign w:val="bottom"/>
            <w:shd w:val="clear" w:color="auto" w:fill="CCEEFF"/>
          </w:tcPr>
          <w:p>
            <w:pPr>
              <w:spacing w:after="0"/>
              <w:rPr>
                <w:sz w:val="13"/>
                <w:szCs w:val="13"/>
                <w:color w:val="auto"/>
              </w:rPr>
            </w:pPr>
          </w:p>
        </w:tc>
        <w:tc>
          <w:tcPr>
            <w:tcW w:w="1840" w:type="dxa"/>
            <w:vAlign w:val="bottom"/>
            <w:gridSpan w:val="2"/>
            <w:shd w:val="clear" w:color="auto" w:fill="CCEEFF"/>
          </w:tcPr>
          <w:p>
            <w:pPr>
              <w:jc w:val="center"/>
              <w:ind w:right="120"/>
              <w:spacing w:after="0"/>
              <w:rPr>
                <w:sz w:val="20"/>
                <w:szCs w:val="20"/>
                <w:color w:val="auto"/>
              </w:rPr>
            </w:pPr>
            <w:r>
              <w:rPr>
                <w:rFonts w:ascii="Arial" w:cs="Arial" w:eastAsia="Arial" w:hAnsi="Arial"/>
                <w:sz w:val="13"/>
                <w:szCs w:val="13"/>
                <w:color w:val="auto"/>
                <w:w w:val="82"/>
              </w:rPr>
              <w:t>Panama</w:t>
            </w:r>
          </w:p>
        </w:tc>
        <w:tc>
          <w:tcPr>
            <w:tcW w:w="1260" w:type="dxa"/>
            <w:vAlign w:val="bottom"/>
            <w:gridSpan w:val="2"/>
            <w:shd w:val="clear" w:color="auto" w:fill="CCEEFF"/>
          </w:tcPr>
          <w:p>
            <w:pPr>
              <w:jc w:val="center"/>
              <w:ind w:right="120"/>
              <w:spacing w:after="0"/>
              <w:rPr>
                <w:sz w:val="20"/>
                <w:szCs w:val="20"/>
                <w:color w:val="auto"/>
              </w:rPr>
            </w:pPr>
            <w:r>
              <w:rPr>
                <w:rFonts w:ascii="Arial" w:cs="Arial" w:eastAsia="Arial" w:hAnsi="Arial"/>
                <w:sz w:val="13"/>
                <w:szCs w:val="13"/>
                <w:color w:val="auto"/>
                <w:w w:val="92"/>
              </w:rPr>
              <w:t>Director</w:t>
            </w:r>
          </w:p>
        </w:tc>
        <w:tc>
          <w:tcPr>
            <w:tcW w:w="114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89"/>
              </w:rPr>
              <w:t>2022</w:t>
            </w:r>
          </w:p>
        </w:tc>
        <w:tc>
          <w:tcPr>
            <w:tcW w:w="120" w:type="dxa"/>
            <w:vAlign w:val="bottom"/>
            <w:shd w:val="clear" w:color="auto" w:fill="CCEEFF"/>
          </w:tcPr>
          <w:p>
            <w:pPr>
              <w:spacing w:after="0"/>
              <w:rPr>
                <w:sz w:val="13"/>
                <w:szCs w:val="13"/>
                <w:color w:val="auto"/>
              </w:rPr>
            </w:pPr>
          </w:p>
        </w:tc>
        <w:tc>
          <w:tcPr>
            <w:tcW w:w="114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89"/>
              </w:rPr>
              <w:t>2016</w:t>
            </w:r>
          </w:p>
        </w:tc>
        <w:tc>
          <w:tcPr>
            <w:tcW w:w="100" w:type="dxa"/>
            <w:vAlign w:val="bottom"/>
            <w:shd w:val="clear" w:color="auto" w:fill="CCEEFF"/>
          </w:tcPr>
          <w:p>
            <w:pPr>
              <w:spacing w:after="0"/>
              <w:rPr>
                <w:sz w:val="13"/>
                <w:szCs w:val="13"/>
                <w:color w:val="auto"/>
              </w:rPr>
            </w:pPr>
          </w:p>
        </w:tc>
        <w:tc>
          <w:tcPr>
            <w:tcW w:w="94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96"/>
              </w:rPr>
              <w:t>58</w:t>
            </w:r>
          </w:p>
        </w:tc>
      </w:tr>
      <w:tr>
        <w:trPr>
          <w:trHeight w:val="145"/>
        </w:trPr>
        <w:tc>
          <w:tcPr>
            <w:tcW w:w="20" w:type="dxa"/>
            <w:vAlign w:val="bottom"/>
          </w:tcPr>
          <w:p>
            <w:pPr>
              <w:spacing w:after="0"/>
              <w:rPr>
                <w:sz w:val="12"/>
                <w:szCs w:val="12"/>
                <w:color w:val="auto"/>
              </w:rPr>
            </w:pPr>
          </w:p>
        </w:tc>
        <w:tc>
          <w:tcPr>
            <w:tcW w:w="4800" w:type="dxa"/>
            <w:vAlign w:val="bottom"/>
          </w:tcPr>
          <w:p>
            <w:pPr>
              <w:spacing w:after="0" w:line="146" w:lineRule="exact"/>
              <w:rPr>
                <w:sz w:val="20"/>
                <w:szCs w:val="20"/>
                <w:color w:val="auto"/>
              </w:rPr>
            </w:pPr>
            <w:r>
              <w:rPr>
                <w:rFonts w:ascii="Arial" w:cs="Arial" w:eastAsia="Arial" w:hAnsi="Arial"/>
                <w:sz w:val="13"/>
                <w:szCs w:val="13"/>
                <w:color w:val="auto"/>
              </w:rPr>
              <w:t>Herminio A. Blanco</w:t>
            </w:r>
          </w:p>
        </w:tc>
        <w:tc>
          <w:tcPr>
            <w:tcW w:w="120" w:type="dxa"/>
            <w:vAlign w:val="bottom"/>
          </w:tcPr>
          <w:p>
            <w:pPr>
              <w:spacing w:after="0"/>
              <w:rPr>
                <w:sz w:val="12"/>
                <w:szCs w:val="12"/>
                <w:color w:val="auto"/>
              </w:rPr>
            </w:pPr>
          </w:p>
        </w:tc>
        <w:tc>
          <w:tcPr>
            <w:tcW w:w="17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40" w:type="dxa"/>
            <w:vAlign w:val="bottom"/>
          </w:tcPr>
          <w:p>
            <w:pPr>
              <w:spacing w:after="0"/>
              <w:rPr>
                <w:sz w:val="12"/>
                <w:szCs w:val="12"/>
                <w:color w:val="auto"/>
              </w:rPr>
            </w:pPr>
          </w:p>
        </w:tc>
      </w:tr>
      <w:tr>
        <w:trPr>
          <w:trHeight w:val="154"/>
        </w:trPr>
        <w:tc>
          <w:tcPr>
            <w:tcW w:w="4820" w:type="dxa"/>
            <w:vAlign w:val="bottom"/>
            <w:gridSpan w:val="2"/>
          </w:tcPr>
          <w:p>
            <w:pPr>
              <w:spacing w:after="0"/>
              <w:rPr>
                <w:sz w:val="20"/>
                <w:szCs w:val="20"/>
                <w:color w:val="auto"/>
              </w:rPr>
            </w:pPr>
            <w:r>
              <w:rPr>
                <w:rFonts w:ascii="Arial" w:cs="Arial" w:eastAsia="Arial" w:hAnsi="Arial"/>
                <w:sz w:val="13"/>
                <w:szCs w:val="13"/>
                <w:color w:val="auto"/>
              </w:rPr>
              <w:t>President</w:t>
            </w:r>
          </w:p>
        </w:tc>
        <w:tc>
          <w:tcPr>
            <w:tcW w:w="120" w:type="dxa"/>
            <w:vAlign w:val="bottom"/>
          </w:tcPr>
          <w:p>
            <w:pPr>
              <w:spacing w:after="0"/>
              <w:rPr>
                <w:sz w:val="13"/>
                <w:szCs w:val="13"/>
                <w:color w:val="auto"/>
              </w:rPr>
            </w:pPr>
          </w:p>
        </w:tc>
        <w:tc>
          <w:tcPr>
            <w:tcW w:w="17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940" w:type="dxa"/>
            <w:vAlign w:val="bottom"/>
          </w:tcPr>
          <w:p>
            <w:pPr>
              <w:spacing w:after="0"/>
              <w:rPr>
                <w:sz w:val="13"/>
                <w:szCs w:val="13"/>
                <w:color w:val="auto"/>
              </w:rPr>
            </w:pPr>
          </w:p>
        </w:tc>
      </w:tr>
      <w:tr>
        <w:trPr>
          <w:trHeight w:val="162"/>
        </w:trPr>
        <w:tc>
          <w:tcPr>
            <w:tcW w:w="4820" w:type="dxa"/>
            <w:vAlign w:val="bottom"/>
            <w:gridSpan w:val="2"/>
          </w:tcPr>
          <w:p>
            <w:pPr>
              <w:spacing w:after="0"/>
              <w:rPr>
                <w:sz w:val="20"/>
                <w:szCs w:val="20"/>
                <w:color w:val="auto"/>
              </w:rPr>
            </w:pPr>
            <w:r>
              <w:rPr>
                <w:rFonts w:ascii="Arial" w:cs="Arial" w:eastAsia="Arial" w:hAnsi="Arial"/>
                <w:sz w:val="13"/>
                <w:szCs w:val="13"/>
                <w:color w:val="auto"/>
              </w:rPr>
              <w:t>IQOM, Mexico</w:t>
            </w:r>
          </w:p>
        </w:tc>
        <w:tc>
          <w:tcPr>
            <w:tcW w:w="120" w:type="dxa"/>
            <w:vAlign w:val="bottom"/>
          </w:tcPr>
          <w:p>
            <w:pPr>
              <w:spacing w:after="0"/>
              <w:rPr>
                <w:sz w:val="14"/>
                <w:szCs w:val="14"/>
                <w:color w:val="auto"/>
              </w:rPr>
            </w:pPr>
          </w:p>
        </w:tc>
        <w:tc>
          <w:tcPr>
            <w:tcW w:w="1840" w:type="dxa"/>
            <w:vAlign w:val="bottom"/>
            <w:gridSpan w:val="2"/>
          </w:tcPr>
          <w:p>
            <w:pPr>
              <w:jc w:val="center"/>
              <w:ind w:right="120"/>
              <w:spacing w:after="0"/>
              <w:rPr>
                <w:sz w:val="20"/>
                <w:szCs w:val="20"/>
                <w:color w:val="auto"/>
              </w:rPr>
            </w:pPr>
            <w:r>
              <w:rPr>
                <w:rFonts w:ascii="Arial" w:cs="Arial" w:eastAsia="Arial" w:hAnsi="Arial"/>
                <w:sz w:val="13"/>
                <w:szCs w:val="13"/>
                <w:color w:val="auto"/>
                <w:w w:val="97"/>
              </w:rPr>
              <w:t>Mexico</w:t>
            </w:r>
          </w:p>
        </w:tc>
        <w:tc>
          <w:tcPr>
            <w:tcW w:w="1260" w:type="dxa"/>
            <w:vAlign w:val="bottom"/>
            <w:gridSpan w:val="2"/>
          </w:tcPr>
          <w:p>
            <w:pPr>
              <w:jc w:val="center"/>
              <w:ind w:right="120"/>
              <w:spacing w:after="0"/>
              <w:rPr>
                <w:sz w:val="20"/>
                <w:szCs w:val="20"/>
                <w:color w:val="auto"/>
              </w:rPr>
            </w:pPr>
            <w:r>
              <w:rPr>
                <w:rFonts w:ascii="Arial" w:cs="Arial" w:eastAsia="Arial" w:hAnsi="Arial"/>
                <w:sz w:val="13"/>
                <w:szCs w:val="13"/>
                <w:color w:val="auto"/>
                <w:w w:val="92"/>
              </w:rPr>
              <w:t>Director</w:t>
            </w:r>
          </w:p>
        </w:tc>
        <w:tc>
          <w:tcPr>
            <w:tcW w:w="1140" w:type="dxa"/>
            <w:vAlign w:val="bottom"/>
          </w:tcPr>
          <w:p>
            <w:pPr>
              <w:jc w:val="center"/>
              <w:spacing w:after="0"/>
              <w:rPr>
                <w:sz w:val="20"/>
                <w:szCs w:val="20"/>
                <w:color w:val="auto"/>
              </w:rPr>
            </w:pPr>
            <w:r>
              <w:rPr>
                <w:rFonts w:ascii="Arial" w:cs="Arial" w:eastAsia="Arial" w:hAnsi="Arial"/>
                <w:sz w:val="13"/>
                <w:szCs w:val="13"/>
                <w:color w:val="auto"/>
                <w:w w:val="89"/>
              </w:rPr>
              <w:t>2022</w:t>
            </w:r>
          </w:p>
        </w:tc>
        <w:tc>
          <w:tcPr>
            <w:tcW w:w="120" w:type="dxa"/>
            <w:vAlign w:val="bottom"/>
          </w:tcPr>
          <w:p>
            <w:pPr>
              <w:spacing w:after="0"/>
              <w:rPr>
                <w:sz w:val="14"/>
                <w:szCs w:val="14"/>
                <w:color w:val="auto"/>
              </w:rPr>
            </w:pPr>
          </w:p>
        </w:tc>
        <w:tc>
          <w:tcPr>
            <w:tcW w:w="1140" w:type="dxa"/>
            <w:vAlign w:val="bottom"/>
          </w:tcPr>
          <w:p>
            <w:pPr>
              <w:jc w:val="center"/>
              <w:spacing w:after="0"/>
              <w:rPr>
                <w:sz w:val="20"/>
                <w:szCs w:val="20"/>
                <w:color w:val="auto"/>
              </w:rPr>
            </w:pPr>
            <w:r>
              <w:rPr>
                <w:rFonts w:ascii="Arial" w:cs="Arial" w:eastAsia="Arial" w:hAnsi="Arial"/>
                <w:sz w:val="13"/>
                <w:szCs w:val="13"/>
                <w:color w:val="auto"/>
                <w:w w:val="89"/>
              </w:rPr>
              <w:t>2004</w:t>
            </w:r>
          </w:p>
        </w:tc>
        <w:tc>
          <w:tcPr>
            <w:tcW w:w="100" w:type="dxa"/>
            <w:vAlign w:val="bottom"/>
          </w:tcPr>
          <w:p>
            <w:pPr>
              <w:spacing w:after="0"/>
              <w:rPr>
                <w:sz w:val="14"/>
                <w:szCs w:val="14"/>
                <w:color w:val="auto"/>
              </w:rPr>
            </w:pPr>
          </w:p>
        </w:tc>
        <w:tc>
          <w:tcPr>
            <w:tcW w:w="940" w:type="dxa"/>
            <w:vAlign w:val="bottom"/>
          </w:tcPr>
          <w:p>
            <w:pPr>
              <w:jc w:val="center"/>
              <w:spacing w:after="0"/>
              <w:rPr>
                <w:sz w:val="20"/>
                <w:szCs w:val="20"/>
                <w:color w:val="auto"/>
              </w:rPr>
            </w:pPr>
            <w:r>
              <w:rPr>
                <w:rFonts w:ascii="Arial" w:cs="Arial" w:eastAsia="Arial" w:hAnsi="Arial"/>
                <w:sz w:val="13"/>
                <w:szCs w:val="13"/>
                <w:color w:val="auto"/>
                <w:w w:val="96"/>
              </w:rPr>
              <w:t>68</w:t>
            </w:r>
          </w:p>
        </w:tc>
      </w:tr>
      <w:tr>
        <w:trPr>
          <w:trHeight w:val="155"/>
        </w:trPr>
        <w:tc>
          <w:tcPr>
            <w:tcW w:w="20" w:type="dxa"/>
            <w:vAlign w:val="bottom"/>
          </w:tcPr>
          <w:p>
            <w:pPr>
              <w:spacing w:after="0"/>
              <w:rPr>
                <w:sz w:val="13"/>
                <w:szCs w:val="13"/>
                <w:color w:val="auto"/>
              </w:rPr>
            </w:pPr>
          </w:p>
        </w:tc>
        <w:tc>
          <w:tcPr>
            <w:tcW w:w="4800" w:type="dxa"/>
            <w:vAlign w:val="bottom"/>
            <w:shd w:val="clear" w:color="auto" w:fill="CCEEFF"/>
          </w:tcPr>
          <w:p>
            <w:pPr>
              <w:spacing w:after="0"/>
              <w:rPr>
                <w:sz w:val="20"/>
                <w:szCs w:val="20"/>
                <w:color w:val="auto"/>
              </w:rPr>
            </w:pPr>
            <w:r>
              <w:rPr>
                <w:rFonts w:ascii="Arial" w:cs="Arial" w:eastAsia="Arial" w:hAnsi="Arial"/>
                <w:sz w:val="13"/>
                <w:szCs w:val="13"/>
                <w:color w:val="auto"/>
              </w:rPr>
              <w:t>Mario Covo</w:t>
            </w:r>
          </w:p>
        </w:tc>
        <w:tc>
          <w:tcPr>
            <w:tcW w:w="120" w:type="dxa"/>
            <w:vAlign w:val="bottom"/>
            <w:shd w:val="clear" w:color="auto" w:fill="CCEEFF"/>
          </w:tcPr>
          <w:p>
            <w:pPr>
              <w:spacing w:after="0"/>
              <w:rPr>
                <w:sz w:val="13"/>
                <w:szCs w:val="13"/>
                <w:color w:val="auto"/>
              </w:rPr>
            </w:pPr>
          </w:p>
        </w:tc>
        <w:tc>
          <w:tcPr>
            <w:tcW w:w="17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r>
      <w:tr>
        <w:trPr>
          <w:trHeight w:val="154"/>
        </w:trPr>
        <w:tc>
          <w:tcPr>
            <w:tcW w:w="20" w:type="dxa"/>
            <w:vAlign w:val="bottom"/>
          </w:tcPr>
          <w:p>
            <w:pPr>
              <w:spacing w:after="0"/>
              <w:rPr>
                <w:sz w:val="13"/>
                <w:szCs w:val="13"/>
                <w:color w:val="auto"/>
              </w:rPr>
            </w:pPr>
          </w:p>
        </w:tc>
        <w:tc>
          <w:tcPr>
            <w:tcW w:w="4800" w:type="dxa"/>
            <w:vAlign w:val="bottom"/>
            <w:shd w:val="clear" w:color="auto" w:fill="CCEEFF"/>
          </w:tcPr>
          <w:p>
            <w:pPr>
              <w:spacing w:after="0"/>
              <w:rPr>
                <w:sz w:val="20"/>
                <w:szCs w:val="20"/>
                <w:color w:val="auto"/>
              </w:rPr>
            </w:pPr>
            <w:r>
              <w:rPr>
                <w:rFonts w:ascii="Arial" w:cs="Arial" w:eastAsia="Arial" w:hAnsi="Arial"/>
                <w:sz w:val="13"/>
                <w:szCs w:val="13"/>
                <w:color w:val="auto"/>
              </w:rPr>
              <w:t>Founding Partner</w:t>
            </w:r>
          </w:p>
        </w:tc>
        <w:tc>
          <w:tcPr>
            <w:tcW w:w="120" w:type="dxa"/>
            <w:vAlign w:val="bottom"/>
            <w:shd w:val="clear" w:color="auto" w:fill="CCEEFF"/>
          </w:tcPr>
          <w:p>
            <w:pPr>
              <w:spacing w:after="0"/>
              <w:rPr>
                <w:sz w:val="13"/>
                <w:szCs w:val="13"/>
                <w:color w:val="auto"/>
              </w:rPr>
            </w:pPr>
          </w:p>
        </w:tc>
        <w:tc>
          <w:tcPr>
            <w:tcW w:w="17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r>
      <w:tr>
        <w:trPr>
          <w:trHeight w:val="154"/>
        </w:trPr>
        <w:tc>
          <w:tcPr>
            <w:tcW w:w="20" w:type="dxa"/>
            <w:vAlign w:val="bottom"/>
          </w:tcPr>
          <w:p>
            <w:pPr>
              <w:spacing w:after="0"/>
              <w:rPr>
                <w:sz w:val="13"/>
                <w:szCs w:val="13"/>
                <w:color w:val="auto"/>
              </w:rPr>
            </w:pPr>
          </w:p>
        </w:tc>
        <w:tc>
          <w:tcPr>
            <w:tcW w:w="4800" w:type="dxa"/>
            <w:vAlign w:val="bottom"/>
            <w:shd w:val="clear" w:color="auto" w:fill="CCEEFF"/>
          </w:tcPr>
          <w:p>
            <w:pPr>
              <w:spacing w:after="0"/>
              <w:rPr>
                <w:sz w:val="20"/>
                <w:szCs w:val="20"/>
                <w:color w:val="auto"/>
              </w:rPr>
            </w:pPr>
            <w:r>
              <w:rPr>
                <w:rFonts w:ascii="Arial" w:cs="Arial" w:eastAsia="Arial" w:hAnsi="Arial"/>
                <w:sz w:val="13"/>
                <w:szCs w:val="13"/>
                <w:color w:val="auto"/>
              </w:rPr>
              <w:t>DanaMar LLC, United States</w:t>
            </w:r>
          </w:p>
        </w:tc>
        <w:tc>
          <w:tcPr>
            <w:tcW w:w="120" w:type="dxa"/>
            <w:vAlign w:val="bottom"/>
            <w:shd w:val="clear" w:color="auto" w:fill="CCEEFF"/>
          </w:tcPr>
          <w:p>
            <w:pPr>
              <w:spacing w:after="0"/>
              <w:rPr>
                <w:sz w:val="13"/>
                <w:szCs w:val="13"/>
                <w:color w:val="auto"/>
              </w:rPr>
            </w:pPr>
          </w:p>
        </w:tc>
        <w:tc>
          <w:tcPr>
            <w:tcW w:w="1840" w:type="dxa"/>
            <w:vAlign w:val="bottom"/>
            <w:gridSpan w:val="2"/>
            <w:shd w:val="clear" w:color="auto" w:fill="CCEEFF"/>
          </w:tcPr>
          <w:p>
            <w:pPr>
              <w:jc w:val="center"/>
              <w:ind w:right="120"/>
              <w:spacing w:after="0"/>
              <w:rPr>
                <w:sz w:val="20"/>
                <w:szCs w:val="20"/>
                <w:color w:val="auto"/>
              </w:rPr>
            </w:pPr>
            <w:r>
              <w:rPr>
                <w:rFonts w:ascii="Arial" w:cs="Arial" w:eastAsia="Arial" w:hAnsi="Arial"/>
                <w:sz w:val="13"/>
                <w:szCs w:val="13"/>
                <w:color w:val="auto"/>
                <w:w w:val="87"/>
              </w:rPr>
              <w:t>United States</w:t>
            </w:r>
          </w:p>
        </w:tc>
        <w:tc>
          <w:tcPr>
            <w:tcW w:w="1260" w:type="dxa"/>
            <w:vAlign w:val="bottom"/>
            <w:gridSpan w:val="2"/>
            <w:shd w:val="clear" w:color="auto" w:fill="CCEEFF"/>
          </w:tcPr>
          <w:p>
            <w:pPr>
              <w:jc w:val="center"/>
              <w:ind w:right="120"/>
              <w:spacing w:after="0"/>
              <w:rPr>
                <w:sz w:val="20"/>
                <w:szCs w:val="20"/>
                <w:color w:val="auto"/>
              </w:rPr>
            </w:pPr>
            <w:r>
              <w:rPr>
                <w:rFonts w:ascii="Arial" w:cs="Arial" w:eastAsia="Arial" w:hAnsi="Arial"/>
                <w:sz w:val="13"/>
                <w:szCs w:val="13"/>
                <w:color w:val="auto"/>
                <w:w w:val="92"/>
              </w:rPr>
              <w:t>Director</w:t>
            </w:r>
          </w:p>
        </w:tc>
        <w:tc>
          <w:tcPr>
            <w:tcW w:w="114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89"/>
              </w:rPr>
              <w:t>2020</w:t>
            </w:r>
          </w:p>
        </w:tc>
        <w:tc>
          <w:tcPr>
            <w:tcW w:w="120" w:type="dxa"/>
            <w:vAlign w:val="bottom"/>
            <w:shd w:val="clear" w:color="auto" w:fill="CCEEFF"/>
          </w:tcPr>
          <w:p>
            <w:pPr>
              <w:spacing w:after="0"/>
              <w:rPr>
                <w:sz w:val="13"/>
                <w:szCs w:val="13"/>
                <w:color w:val="auto"/>
              </w:rPr>
            </w:pPr>
          </w:p>
        </w:tc>
        <w:tc>
          <w:tcPr>
            <w:tcW w:w="114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89"/>
              </w:rPr>
              <w:t>1999</w:t>
            </w:r>
          </w:p>
        </w:tc>
        <w:tc>
          <w:tcPr>
            <w:tcW w:w="100" w:type="dxa"/>
            <w:vAlign w:val="bottom"/>
            <w:shd w:val="clear" w:color="auto" w:fill="CCEEFF"/>
          </w:tcPr>
          <w:p>
            <w:pPr>
              <w:spacing w:after="0"/>
              <w:rPr>
                <w:sz w:val="13"/>
                <w:szCs w:val="13"/>
                <w:color w:val="auto"/>
              </w:rPr>
            </w:pPr>
          </w:p>
        </w:tc>
        <w:tc>
          <w:tcPr>
            <w:tcW w:w="94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96"/>
              </w:rPr>
              <w:t>61</w:t>
            </w:r>
          </w:p>
        </w:tc>
      </w:tr>
      <w:tr>
        <w:trPr>
          <w:trHeight w:val="145"/>
        </w:trPr>
        <w:tc>
          <w:tcPr>
            <w:tcW w:w="20" w:type="dxa"/>
            <w:vAlign w:val="bottom"/>
          </w:tcPr>
          <w:p>
            <w:pPr>
              <w:spacing w:after="0"/>
              <w:rPr>
                <w:sz w:val="12"/>
                <w:szCs w:val="12"/>
                <w:color w:val="auto"/>
              </w:rPr>
            </w:pPr>
          </w:p>
        </w:tc>
        <w:tc>
          <w:tcPr>
            <w:tcW w:w="4800" w:type="dxa"/>
            <w:vAlign w:val="bottom"/>
          </w:tcPr>
          <w:p>
            <w:pPr>
              <w:spacing w:after="0" w:line="146" w:lineRule="exact"/>
              <w:rPr>
                <w:sz w:val="20"/>
                <w:szCs w:val="20"/>
                <w:color w:val="auto"/>
              </w:rPr>
            </w:pPr>
            <w:r>
              <w:rPr>
                <w:rFonts w:ascii="Arial" w:cs="Arial" w:eastAsia="Arial" w:hAnsi="Arial"/>
                <w:sz w:val="13"/>
                <w:szCs w:val="13"/>
                <w:color w:val="auto"/>
              </w:rPr>
              <w:t>Miguel Heras Castro</w:t>
            </w:r>
          </w:p>
        </w:tc>
        <w:tc>
          <w:tcPr>
            <w:tcW w:w="120" w:type="dxa"/>
            <w:vAlign w:val="bottom"/>
          </w:tcPr>
          <w:p>
            <w:pPr>
              <w:spacing w:after="0"/>
              <w:rPr>
                <w:sz w:val="12"/>
                <w:szCs w:val="12"/>
                <w:color w:val="auto"/>
              </w:rPr>
            </w:pPr>
          </w:p>
        </w:tc>
        <w:tc>
          <w:tcPr>
            <w:tcW w:w="17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40" w:type="dxa"/>
            <w:vAlign w:val="bottom"/>
          </w:tcPr>
          <w:p>
            <w:pPr>
              <w:spacing w:after="0"/>
              <w:rPr>
                <w:sz w:val="12"/>
                <w:szCs w:val="12"/>
                <w:color w:val="auto"/>
              </w:rPr>
            </w:pPr>
          </w:p>
        </w:tc>
      </w:tr>
      <w:tr>
        <w:trPr>
          <w:trHeight w:val="154"/>
        </w:trPr>
        <w:tc>
          <w:tcPr>
            <w:tcW w:w="4820" w:type="dxa"/>
            <w:vAlign w:val="bottom"/>
            <w:gridSpan w:val="2"/>
          </w:tcPr>
          <w:p>
            <w:pPr>
              <w:spacing w:after="0"/>
              <w:rPr>
                <w:sz w:val="20"/>
                <w:szCs w:val="20"/>
                <w:color w:val="auto"/>
              </w:rPr>
            </w:pPr>
            <w:r>
              <w:rPr>
                <w:rFonts w:ascii="Arial" w:cs="Arial" w:eastAsia="Arial" w:hAnsi="Arial"/>
                <w:sz w:val="13"/>
                <w:szCs w:val="13"/>
                <w:color w:val="auto"/>
              </w:rPr>
              <w:t>Managing Director</w:t>
            </w:r>
          </w:p>
        </w:tc>
        <w:tc>
          <w:tcPr>
            <w:tcW w:w="120" w:type="dxa"/>
            <w:vAlign w:val="bottom"/>
          </w:tcPr>
          <w:p>
            <w:pPr>
              <w:spacing w:after="0"/>
              <w:rPr>
                <w:sz w:val="13"/>
                <w:szCs w:val="13"/>
                <w:color w:val="auto"/>
              </w:rPr>
            </w:pPr>
          </w:p>
        </w:tc>
        <w:tc>
          <w:tcPr>
            <w:tcW w:w="1840" w:type="dxa"/>
            <w:vAlign w:val="bottom"/>
            <w:gridSpan w:val="2"/>
          </w:tcPr>
          <w:p>
            <w:pPr>
              <w:jc w:val="center"/>
              <w:ind w:right="120"/>
              <w:spacing w:after="0"/>
              <w:rPr>
                <w:sz w:val="20"/>
                <w:szCs w:val="20"/>
                <w:color w:val="auto"/>
              </w:rPr>
            </w:pPr>
            <w:r>
              <w:rPr>
                <w:rFonts w:ascii="Arial" w:cs="Arial" w:eastAsia="Arial" w:hAnsi="Arial"/>
                <w:sz w:val="13"/>
                <w:szCs w:val="13"/>
                <w:color w:val="auto"/>
                <w:w w:val="82"/>
              </w:rPr>
              <w:t>Panama</w:t>
            </w:r>
          </w:p>
        </w:tc>
        <w:tc>
          <w:tcPr>
            <w:tcW w:w="1260" w:type="dxa"/>
            <w:vAlign w:val="bottom"/>
            <w:gridSpan w:val="2"/>
          </w:tcPr>
          <w:p>
            <w:pPr>
              <w:jc w:val="center"/>
              <w:ind w:right="120"/>
              <w:spacing w:after="0"/>
              <w:rPr>
                <w:sz w:val="20"/>
                <w:szCs w:val="20"/>
                <w:color w:val="auto"/>
              </w:rPr>
            </w:pPr>
            <w:r>
              <w:rPr>
                <w:rFonts w:ascii="Arial" w:cs="Arial" w:eastAsia="Arial" w:hAnsi="Arial"/>
                <w:sz w:val="13"/>
                <w:szCs w:val="13"/>
                <w:color w:val="auto"/>
                <w:w w:val="92"/>
              </w:rPr>
              <w:t>Director</w:t>
            </w:r>
          </w:p>
        </w:tc>
        <w:tc>
          <w:tcPr>
            <w:tcW w:w="1140" w:type="dxa"/>
            <w:vAlign w:val="bottom"/>
          </w:tcPr>
          <w:p>
            <w:pPr>
              <w:jc w:val="center"/>
              <w:spacing w:after="0"/>
              <w:rPr>
                <w:sz w:val="20"/>
                <w:szCs w:val="20"/>
                <w:color w:val="auto"/>
              </w:rPr>
            </w:pPr>
            <w:r>
              <w:rPr>
                <w:rFonts w:ascii="Arial" w:cs="Arial" w:eastAsia="Arial" w:hAnsi="Arial"/>
                <w:sz w:val="13"/>
                <w:szCs w:val="13"/>
                <w:color w:val="auto"/>
                <w:w w:val="89"/>
              </w:rPr>
              <w:t>2021</w:t>
            </w:r>
          </w:p>
        </w:tc>
        <w:tc>
          <w:tcPr>
            <w:tcW w:w="120" w:type="dxa"/>
            <w:vAlign w:val="bottom"/>
          </w:tcPr>
          <w:p>
            <w:pPr>
              <w:spacing w:after="0"/>
              <w:rPr>
                <w:sz w:val="13"/>
                <w:szCs w:val="13"/>
                <w:color w:val="auto"/>
              </w:rPr>
            </w:pPr>
          </w:p>
        </w:tc>
        <w:tc>
          <w:tcPr>
            <w:tcW w:w="1140" w:type="dxa"/>
            <w:vAlign w:val="bottom"/>
          </w:tcPr>
          <w:p>
            <w:pPr>
              <w:jc w:val="center"/>
              <w:spacing w:after="0"/>
              <w:rPr>
                <w:sz w:val="20"/>
                <w:szCs w:val="20"/>
                <w:color w:val="auto"/>
              </w:rPr>
            </w:pPr>
            <w:r>
              <w:rPr>
                <w:rFonts w:ascii="Arial" w:cs="Arial" w:eastAsia="Arial" w:hAnsi="Arial"/>
                <w:sz w:val="13"/>
                <w:szCs w:val="13"/>
                <w:color w:val="auto"/>
                <w:w w:val="89"/>
              </w:rPr>
              <w:t>2015</w:t>
            </w:r>
          </w:p>
        </w:tc>
        <w:tc>
          <w:tcPr>
            <w:tcW w:w="100" w:type="dxa"/>
            <w:vAlign w:val="bottom"/>
          </w:tcPr>
          <w:p>
            <w:pPr>
              <w:spacing w:after="0"/>
              <w:rPr>
                <w:sz w:val="13"/>
                <w:szCs w:val="13"/>
                <w:color w:val="auto"/>
              </w:rPr>
            </w:pPr>
          </w:p>
        </w:tc>
        <w:tc>
          <w:tcPr>
            <w:tcW w:w="940" w:type="dxa"/>
            <w:vAlign w:val="bottom"/>
          </w:tcPr>
          <w:p>
            <w:pPr>
              <w:jc w:val="center"/>
              <w:spacing w:after="0"/>
              <w:rPr>
                <w:sz w:val="20"/>
                <w:szCs w:val="20"/>
                <w:color w:val="auto"/>
              </w:rPr>
            </w:pPr>
            <w:r>
              <w:rPr>
                <w:rFonts w:ascii="Arial" w:cs="Arial" w:eastAsia="Arial" w:hAnsi="Arial"/>
                <w:sz w:val="13"/>
                <w:szCs w:val="13"/>
                <w:color w:val="auto"/>
                <w:w w:val="96"/>
              </w:rPr>
              <w:t>50</w:t>
            </w:r>
          </w:p>
        </w:tc>
      </w:tr>
      <w:tr>
        <w:trPr>
          <w:trHeight w:val="162"/>
        </w:trPr>
        <w:tc>
          <w:tcPr>
            <w:tcW w:w="4820" w:type="dxa"/>
            <w:vAlign w:val="bottom"/>
            <w:gridSpan w:val="2"/>
          </w:tcPr>
          <w:p>
            <w:pPr>
              <w:spacing w:after="0"/>
              <w:rPr>
                <w:sz w:val="20"/>
                <w:szCs w:val="20"/>
                <w:color w:val="auto"/>
              </w:rPr>
            </w:pPr>
            <w:r>
              <w:rPr>
                <w:rFonts w:ascii="Arial" w:cs="Arial" w:eastAsia="Arial" w:hAnsi="Arial"/>
                <w:sz w:val="13"/>
                <w:szCs w:val="13"/>
                <w:color w:val="auto"/>
              </w:rPr>
              <w:t>Inversiones Bahia Ltd., Panama</w:t>
            </w:r>
          </w:p>
        </w:tc>
        <w:tc>
          <w:tcPr>
            <w:tcW w:w="120" w:type="dxa"/>
            <w:vAlign w:val="bottom"/>
          </w:tcPr>
          <w:p>
            <w:pPr>
              <w:spacing w:after="0"/>
              <w:rPr>
                <w:sz w:val="14"/>
                <w:szCs w:val="14"/>
                <w:color w:val="auto"/>
              </w:rPr>
            </w:pPr>
          </w:p>
        </w:tc>
        <w:tc>
          <w:tcPr>
            <w:tcW w:w="17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1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1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1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40" w:type="dxa"/>
            <w:vAlign w:val="bottom"/>
          </w:tcPr>
          <w:p>
            <w:pPr>
              <w:spacing w:after="0"/>
              <w:rPr>
                <w:sz w:val="14"/>
                <w:szCs w:val="14"/>
                <w:color w:val="auto"/>
              </w:rPr>
            </w:pPr>
          </w:p>
        </w:tc>
      </w:tr>
      <w:tr>
        <w:trPr>
          <w:trHeight w:val="155"/>
        </w:trPr>
        <w:tc>
          <w:tcPr>
            <w:tcW w:w="20" w:type="dxa"/>
            <w:vAlign w:val="bottom"/>
          </w:tcPr>
          <w:p>
            <w:pPr>
              <w:spacing w:after="0"/>
              <w:rPr>
                <w:sz w:val="13"/>
                <w:szCs w:val="13"/>
                <w:color w:val="auto"/>
              </w:rPr>
            </w:pPr>
          </w:p>
        </w:tc>
        <w:tc>
          <w:tcPr>
            <w:tcW w:w="4800" w:type="dxa"/>
            <w:vAlign w:val="bottom"/>
            <w:shd w:val="clear" w:color="auto" w:fill="CCEEFF"/>
          </w:tcPr>
          <w:p>
            <w:pPr>
              <w:spacing w:after="0"/>
              <w:rPr>
                <w:sz w:val="20"/>
                <w:szCs w:val="20"/>
                <w:color w:val="auto"/>
              </w:rPr>
            </w:pPr>
            <w:r>
              <w:rPr>
                <w:rFonts w:ascii="Arial" w:cs="Arial" w:eastAsia="Arial" w:hAnsi="Arial"/>
                <w:sz w:val="13"/>
                <w:szCs w:val="13"/>
                <w:color w:val="auto"/>
              </w:rPr>
              <w:t>Roland Holst</w:t>
            </w:r>
          </w:p>
        </w:tc>
        <w:tc>
          <w:tcPr>
            <w:tcW w:w="120" w:type="dxa"/>
            <w:vAlign w:val="bottom"/>
            <w:shd w:val="clear" w:color="auto" w:fill="CCEEFF"/>
          </w:tcPr>
          <w:p>
            <w:pPr>
              <w:spacing w:after="0"/>
              <w:rPr>
                <w:sz w:val="13"/>
                <w:szCs w:val="13"/>
                <w:color w:val="auto"/>
              </w:rPr>
            </w:pPr>
          </w:p>
        </w:tc>
        <w:tc>
          <w:tcPr>
            <w:tcW w:w="17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r>
      <w:tr>
        <w:trPr>
          <w:trHeight w:val="154"/>
        </w:trPr>
        <w:tc>
          <w:tcPr>
            <w:tcW w:w="20" w:type="dxa"/>
            <w:vAlign w:val="bottom"/>
          </w:tcPr>
          <w:p>
            <w:pPr>
              <w:spacing w:after="0"/>
              <w:rPr>
                <w:sz w:val="13"/>
                <w:szCs w:val="13"/>
                <w:color w:val="auto"/>
              </w:rPr>
            </w:pPr>
          </w:p>
        </w:tc>
        <w:tc>
          <w:tcPr>
            <w:tcW w:w="4800" w:type="dxa"/>
            <w:vAlign w:val="bottom"/>
            <w:shd w:val="clear" w:color="auto" w:fill="CCEEFF"/>
          </w:tcPr>
          <w:p>
            <w:pPr>
              <w:spacing w:after="0"/>
              <w:rPr>
                <w:sz w:val="20"/>
                <w:szCs w:val="20"/>
                <w:color w:val="auto"/>
              </w:rPr>
            </w:pPr>
            <w:r>
              <w:rPr>
                <w:rFonts w:ascii="Arial" w:cs="Arial" w:eastAsia="Arial" w:hAnsi="Arial"/>
                <w:sz w:val="13"/>
                <w:szCs w:val="13"/>
                <w:color w:val="auto"/>
              </w:rPr>
              <w:t>Board Member</w:t>
            </w:r>
          </w:p>
        </w:tc>
        <w:tc>
          <w:tcPr>
            <w:tcW w:w="120" w:type="dxa"/>
            <w:vAlign w:val="bottom"/>
            <w:shd w:val="clear" w:color="auto" w:fill="CCEEFF"/>
          </w:tcPr>
          <w:p>
            <w:pPr>
              <w:spacing w:after="0"/>
              <w:rPr>
                <w:sz w:val="13"/>
                <w:szCs w:val="13"/>
                <w:color w:val="auto"/>
              </w:rPr>
            </w:pPr>
          </w:p>
        </w:tc>
        <w:tc>
          <w:tcPr>
            <w:tcW w:w="1840" w:type="dxa"/>
            <w:vAlign w:val="bottom"/>
            <w:gridSpan w:val="2"/>
            <w:shd w:val="clear" w:color="auto" w:fill="CCEEFF"/>
          </w:tcPr>
          <w:p>
            <w:pPr>
              <w:jc w:val="center"/>
              <w:ind w:right="120"/>
              <w:spacing w:after="0"/>
              <w:rPr>
                <w:sz w:val="20"/>
                <w:szCs w:val="20"/>
                <w:color w:val="auto"/>
              </w:rPr>
            </w:pPr>
            <w:r>
              <w:rPr>
                <w:rFonts w:ascii="Arial" w:cs="Arial" w:eastAsia="Arial" w:hAnsi="Arial"/>
                <w:sz w:val="13"/>
                <w:szCs w:val="13"/>
                <w:color w:val="auto"/>
                <w:w w:val="86"/>
              </w:rPr>
              <w:t>Paraguay</w:t>
            </w:r>
          </w:p>
        </w:tc>
        <w:tc>
          <w:tcPr>
            <w:tcW w:w="1260" w:type="dxa"/>
            <w:vAlign w:val="bottom"/>
            <w:gridSpan w:val="2"/>
            <w:shd w:val="clear" w:color="auto" w:fill="CCEEFF"/>
          </w:tcPr>
          <w:p>
            <w:pPr>
              <w:jc w:val="center"/>
              <w:ind w:right="120"/>
              <w:spacing w:after="0"/>
              <w:rPr>
                <w:sz w:val="20"/>
                <w:szCs w:val="20"/>
                <w:color w:val="auto"/>
              </w:rPr>
            </w:pPr>
            <w:r>
              <w:rPr>
                <w:rFonts w:ascii="Arial" w:cs="Arial" w:eastAsia="Arial" w:hAnsi="Arial"/>
                <w:sz w:val="13"/>
                <w:szCs w:val="13"/>
                <w:color w:val="auto"/>
                <w:w w:val="92"/>
              </w:rPr>
              <w:t>Director</w:t>
            </w:r>
          </w:p>
        </w:tc>
        <w:tc>
          <w:tcPr>
            <w:tcW w:w="114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89"/>
              </w:rPr>
              <w:t>2022</w:t>
            </w:r>
          </w:p>
        </w:tc>
        <w:tc>
          <w:tcPr>
            <w:tcW w:w="120" w:type="dxa"/>
            <w:vAlign w:val="bottom"/>
            <w:shd w:val="clear" w:color="auto" w:fill="CCEEFF"/>
          </w:tcPr>
          <w:p>
            <w:pPr>
              <w:spacing w:after="0"/>
              <w:rPr>
                <w:sz w:val="13"/>
                <w:szCs w:val="13"/>
                <w:color w:val="auto"/>
              </w:rPr>
            </w:pPr>
          </w:p>
        </w:tc>
        <w:tc>
          <w:tcPr>
            <w:tcW w:w="114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89"/>
              </w:rPr>
              <w:t>2017</w:t>
            </w:r>
          </w:p>
        </w:tc>
        <w:tc>
          <w:tcPr>
            <w:tcW w:w="100" w:type="dxa"/>
            <w:vAlign w:val="bottom"/>
            <w:shd w:val="clear" w:color="auto" w:fill="CCEEFF"/>
          </w:tcPr>
          <w:p>
            <w:pPr>
              <w:spacing w:after="0"/>
              <w:rPr>
                <w:sz w:val="13"/>
                <w:szCs w:val="13"/>
                <w:color w:val="auto"/>
              </w:rPr>
            </w:pPr>
          </w:p>
        </w:tc>
        <w:tc>
          <w:tcPr>
            <w:tcW w:w="94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96"/>
              </w:rPr>
              <w:t>49</w:t>
            </w:r>
          </w:p>
        </w:tc>
      </w:tr>
      <w:tr>
        <w:trPr>
          <w:trHeight w:val="154"/>
        </w:trPr>
        <w:tc>
          <w:tcPr>
            <w:tcW w:w="20" w:type="dxa"/>
            <w:vAlign w:val="bottom"/>
          </w:tcPr>
          <w:p>
            <w:pPr>
              <w:spacing w:after="0"/>
              <w:rPr>
                <w:sz w:val="13"/>
                <w:szCs w:val="13"/>
                <w:color w:val="auto"/>
              </w:rPr>
            </w:pPr>
          </w:p>
        </w:tc>
        <w:tc>
          <w:tcPr>
            <w:tcW w:w="4800" w:type="dxa"/>
            <w:vAlign w:val="bottom"/>
            <w:shd w:val="clear" w:color="auto" w:fill="CCEEFF"/>
          </w:tcPr>
          <w:p>
            <w:pPr>
              <w:spacing w:after="0"/>
              <w:rPr>
                <w:sz w:val="20"/>
                <w:szCs w:val="20"/>
                <w:color w:val="auto"/>
              </w:rPr>
            </w:pPr>
            <w:r>
              <w:rPr>
                <w:rFonts w:ascii="Arial" w:cs="Arial" w:eastAsia="Arial" w:hAnsi="Arial"/>
                <w:sz w:val="13"/>
                <w:szCs w:val="13"/>
                <w:color w:val="auto"/>
              </w:rPr>
              <w:t>Sudameris Bank, Paraguay</w:t>
            </w:r>
          </w:p>
        </w:tc>
        <w:tc>
          <w:tcPr>
            <w:tcW w:w="120" w:type="dxa"/>
            <w:vAlign w:val="bottom"/>
            <w:shd w:val="clear" w:color="auto" w:fill="CCEEFF"/>
          </w:tcPr>
          <w:p>
            <w:pPr>
              <w:spacing w:after="0"/>
              <w:rPr>
                <w:sz w:val="13"/>
                <w:szCs w:val="13"/>
                <w:color w:val="auto"/>
              </w:rPr>
            </w:pPr>
          </w:p>
        </w:tc>
        <w:tc>
          <w:tcPr>
            <w:tcW w:w="17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r>
      <w:tr>
        <w:trPr>
          <w:trHeight w:val="337"/>
        </w:trPr>
        <w:tc>
          <w:tcPr>
            <w:tcW w:w="4820" w:type="dxa"/>
            <w:vAlign w:val="bottom"/>
            <w:gridSpan w:val="2"/>
          </w:tcPr>
          <w:p>
            <w:pPr>
              <w:spacing w:after="0"/>
              <w:rPr>
                <w:sz w:val="20"/>
                <w:szCs w:val="20"/>
                <w:color w:val="auto"/>
              </w:rPr>
            </w:pPr>
            <w:r>
              <w:rPr>
                <w:rFonts w:ascii="Arial" w:cs="Arial" w:eastAsia="Arial" w:hAnsi="Arial"/>
                <w:sz w:val="13"/>
                <w:szCs w:val="13"/>
                <w:b w:val="1"/>
                <w:bCs w:val="1"/>
                <w:color w:val="auto"/>
              </w:rPr>
              <w:t xml:space="preserve">ALL CLASSES OF COMMON STOCK </w:t>
            </w:r>
            <w:r>
              <w:rPr>
                <w:rFonts w:ascii="Arial" w:cs="Arial" w:eastAsia="Arial" w:hAnsi="Arial"/>
                <w:sz w:val="21"/>
                <w:szCs w:val="21"/>
                <w:b w:val="1"/>
                <w:bCs w:val="1"/>
                <w:color w:val="auto"/>
                <w:vertAlign w:val="superscript"/>
              </w:rPr>
              <w:t>(1)</w:t>
            </w:r>
          </w:p>
        </w:tc>
        <w:tc>
          <w:tcPr>
            <w:tcW w:w="120" w:type="dxa"/>
            <w:vAlign w:val="bottom"/>
          </w:tcPr>
          <w:p>
            <w:pPr>
              <w:spacing w:after="0"/>
              <w:rPr>
                <w:sz w:val="24"/>
                <w:szCs w:val="24"/>
                <w:color w:val="auto"/>
              </w:rPr>
            </w:pPr>
          </w:p>
        </w:tc>
        <w:tc>
          <w:tcPr>
            <w:tcW w:w="17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940" w:type="dxa"/>
            <w:vAlign w:val="bottom"/>
          </w:tcPr>
          <w:p>
            <w:pPr>
              <w:spacing w:after="0"/>
              <w:rPr>
                <w:sz w:val="24"/>
                <w:szCs w:val="24"/>
                <w:color w:val="auto"/>
              </w:rPr>
            </w:pPr>
          </w:p>
        </w:tc>
      </w:tr>
      <w:tr>
        <w:trPr>
          <w:trHeight w:val="154"/>
        </w:trPr>
        <w:tc>
          <w:tcPr>
            <w:tcW w:w="20" w:type="dxa"/>
            <w:vAlign w:val="bottom"/>
          </w:tcPr>
          <w:p>
            <w:pPr>
              <w:spacing w:after="0"/>
              <w:rPr>
                <w:sz w:val="13"/>
                <w:szCs w:val="13"/>
                <w:color w:val="auto"/>
              </w:rPr>
            </w:pPr>
          </w:p>
        </w:tc>
        <w:tc>
          <w:tcPr>
            <w:tcW w:w="4800" w:type="dxa"/>
            <w:vAlign w:val="bottom"/>
            <w:shd w:val="clear" w:color="auto" w:fill="CCEEFF"/>
          </w:tcPr>
          <w:p>
            <w:pPr>
              <w:spacing w:after="0"/>
              <w:rPr>
                <w:sz w:val="20"/>
                <w:szCs w:val="20"/>
                <w:color w:val="auto"/>
              </w:rPr>
            </w:pPr>
            <w:r>
              <w:rPr>
                <w:rFonts w:ascii="Arial" w:cs="Arial" w:eastAsia="Arial" w:hAnsi="Arial"/>
                <w:sz w:val="13"/>
                <w:szCs w:val="13"/>
                <w:color w:val="auto"/>
              </w:rPr>
              <w:t>Gonzalo Menéndez Duque</w:t>
            </w:r>
          </w:p>
        </w:tc>
        <w:tc>
          <w:tcPr>
            <w:tcW w:w="120" w:type="dxa"/>
            <w:vAlign w:val="bottom"/>
            <w:shd w:val="clear" w:color="auto" w:fill="CCEEFF"/>
          </w:tcPr>
          <w:p>
            <w:pPr>
              <w:spacing w:after="0"/>
              <w:rPr>
                <w:sz w:val="13"/>
                <w:szCs w:val="13"/>
                <w:color w:val="auto"/>
              </w:rPr>
            </w:pPr>
          </w:p>
        </w:tc>
        <w:tc>
          <w:tcPr>
            <w:tcW w:w="17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r>
      <w:tr>
        <w:trPr>
          <w:trHeight w:val="154"/>
        </w:trPr>
        <w:tc>
          <w:tcPr>
            <w:tcW w:w="20" w:type="dxa"/>
            <w:vAlign w:val="bottom"/>
          </w:tcPr>
          <w:p>
            <w:pPr>
              <w:spacing w:after="0"/>
              <w:rPr>
                <w:sz w:val="13"/>
                <w:szCs w:val="13"/>
                <w:color w:val="auto"/>
              </w:rPr>
            </w:pPr>
          </w:p>
        </w:tc>
        <w:tc>
          <w:tcPr>
            <w:tcW w:w="4800" w:type="dxa"/>
            <w:vAlign w:val="bottom"/>
            <w:shd w:val="clear" w:color="auto" w:fill="CCEEFF"/>
          </w:tcPr>
          <w:p>
            <w:pPr>
              <w:spacing w:after="0"/>
              <w:rPr>
                <w:sz w:val="20"/>
                <w:szCs w:val="20"/>
                <w:color w:val="auto"/>
              </w:rPr>
            </w:pPr>
            <w:r>
              <w:rPr>
                <w:rFonts w:ascii="Arial" w:cs="Arial" w:eastAsia="Arial" w:hAnsi="Arial"/>
                <w:sz w:val="13"/>
                <w:szCs w:val="13"/>
                <w:color w:val="auto"/>
              </w:rPr>
              <w:t>Director</w:t>
            </w:r>
          </w:p>
        </w:tc>
        <w:tc>
          <w:tcPr>
            <w:tcW w:w="120" w:type="dxa"/>
            <w:vAlign w:val="bottom"/>
            <w:shd w:val="clear" w:color="auto" w:fill="CCEEFF"/>
          </w:tcPr>
          <w:p>
            <w:pPr>
              <w:spacing w:after="0"/>
              <w:rPr>
                <w:sz w:val="13"/>
                <w:szCs w:val="13"/>
                <w:color w:val="auto"/>
              </w:rPr>
            </w:pPr>
          </w:p>
        </w:tc>
        <w:tc>
          <w:tcPr>
            <w:tcW w:w="17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260" w:type="dxa"/>
            <w:vAlign w:val="bottom"/>
            <w:gridSpan w:val="2"/>
            <w:shd w:val="clear" w:color="auto" w:fill="CCEEFF"/>
          </w:tcPr>
          <w:p>
            <w:pPr>
              <w:jc w:val="center"/>
              <w:ind w:right="120"/>
              <w:spacing w:after="0"/>
              <w:rPr>
                <w:sz w:val="20"/>
                <w:szCs w:val="20"/>
                <w:color w:val="auto"/>
              </w:rPr>
            </w:pPr>
            <w:r>
              <w:rPr>
                <w:rFonts w:ascii="Arial" w:cs="Arial" w:eastAsia="Arial" w:hAnsi="Arial"/>
                <w:sz w:val="13"/>
                <w:szCs w:val="13"/>
                <w:color w:val="auto"/>
                <w:w w:val="88"/>
              </w:rPr>
              <w:t>Chairman of the</w:t>
            </w:r>
          </w:p>
        </w:tc>
        <w:tc>
          <w:tcPr>
            <w:tcW w:w="11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r>
      <w:tr>
        <w:trPr>
          <w:trHeight w:val="154"/>
        </w:trPr>
        <w:tc>
          <w:tcPr>
            <w:tcW w:w="20" w:type="dxa"/>
            <w:vAlign w:val="bottom"/>
          </w:tcPr>
          <w:p>
            <w:pPr>
              <w:spacing w:after="0"/>
              <w:rPr>
                <w:sz w:val="13"/>
                <w:szCs w:val="13"/>
                <w:color w:val="auto"/>
              </w:rPr>
            </w:pPr>
          </w:p>
        </w:tc>
        <w:tc>
          <w:tcPr>
            <w:tcW w:w="4800" w:type="dxa"/>
            <w:vAlign w:val="bottom"/>
            <w:shd w:val="clear" w:color="auto" w:fill="CCEEFF"/>
          </w:tcPr>
          <w:p>
            <w:pPr>
              <w:spacing w:after="0"/>
              <w:rPr>
                <w:sz w:val="20"/>
                <w:szCs w:val="20"/>
                <w:color w:val="auto"/>
              </w:rPr>
            </w:pPr>
            <w:r>
              <w:rPr>
                <w:rFonts w:ascii="Arial" w:cs="Arial" w:eastAsia="Arial" w:hAnsi="Arial"/>
                <w:sz w:val="13"/>
                <w:szCs w:val="13"/>
                <w:color w:val="auto"/>
              </w:rPr>
              <w:t>Banco de Chile, Chile</w:t>
            </w:r>
          </w:p>
        </w:tc>
        <w:tc>
          <w:tcPr>
            <w:tcW w:w="120" w:type="dxa"/>
            <w:vAlign w:val="bottom"/>
            <w:shd w:val="clear" w:color="auto" w:fill="CCEEFF"/>
          </w:tcPr>
          <w:p>
            <w:pPr>
              <w:spacing w:after="0"/>
              <w:rPr>
                <w:sz w:val="13"/>
                <w:szCs w:val="13"/>
                <w:color w:val="auto"/>
              </w:rPr>
            </w:pPr>
          </w:p>
        </w:tc>
        <w:tc>
          <w:tcPr>
            <w:tcW w:w="1840" w:type="dxa"/>
            <w:vAlign w:val="bottom"/>
            <w:gridSpan w:val="2"/>
            <w:shd w:val="clear" w:color="auto" w:fill="CCEEFF"/>
          </w:tcPr>
          <w:p>
            <w:pPr>
              <w:jc w:val="center"/>
              <w:ind w:right="120"/>
              <w:spacing w:after="0"/>
              <w:rPr>
                <w:sz w:val="20"/>
                <w:szCs w:val="20"/>
                <w:color w:val="auto"/>
              </w:rPr>
            </w:pPr>
            <w:r>
              <w:rPr>
                <w:rFonts w:ascii="Arial" w:cs="Arial" w:eastAsia="Arial" w:hAnsi="Arial"/>
                <w:sz w:val="13"/>
                <w:szCs w:val="13"/>
                <w:color w:val="auto"/>
                <w:w w:val="94"/>
              </w:rPr>
              <w:t>Chile</w:t>
            </w:r>
          </w:p>
        </w:tc>
        <w:tc>
          <w:tcPr>
            <w:tcW w:w="1260" w:type="dxa"/>
            <w:vAlign w:val="bottom"/>
            <w:gridSpan w:val="2"/>
            <w:shd w:val="clear" w:color="auto" w:fill="CCEEFF"/>
          </w:tcPr>
          <w:p>
            <w:pPr>
              <w:jc w:val="center"/>
              <w:ind w:right="120"/>
              <w:spacing w:after="0"/>
              <w:rPr>
                <w:sz w:val="20"/>
                <w:szCs w:val="20"/>
                <w:color w:val="auto"/>
              </w:rPr>
            </w:pPr>
            <w:r>
              <w:rPr>
                <w:rFonts w:ascii="Arial" w:cs="Arial" w:eastAsia="Arial" w:hAnsi="Arial"/>
                <w:sz w:val="13"/>
                <w:szCs w:val="13"/>
                <w:color w:val="auto"/>
                <w:w w:val="86"/>
              </w:rPr>
              <w:t>Board</w:t>
            </w:r>
          </w:p>
        </w:tc>
        <w:tc>
          <w:tcPr>
            <w:tcW w:w="114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89"/>
              </w:rPr>
              <w:t>2021</w:t>
            </w:r>
          </w:p>
        </w:tc>
        <w:tc>
          <w:tcPr>
            <w:tcW w:w="120" w:type="dxa"/>
            <w:vAlign w:val="bottom"/>
            <w:shd w:val="clear" w:color="auto" w:fill="CCEEFF"/>
          </w:tcPr>
          <w:p>
            <w:pPr>
              <w:spacing w:after="0"/>
              <w:rPr>
                <w:sz w:val="13"/>
                <w:szCs w:val="13"/>
                <w:color w:val="auto"/>
              </w:rPr>
            </w:pPr>
          </w:p>
        </w:tc>
        <w:tc>
          <w:tcPr>
            <w:tcW w:w="114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89"/>
              </w:rPr>
              <w:t>1990</w:t>
            </w:r>
          </w:p>
        </w:tc>
        <w:tc>
          <w:tcPr>
            <w:tcW w:w="100" w:type="dxa"/>
            <w:vAlign w:val="bottom"/>
            <w:shd w:val="clear" w:color="auto" w:fill="CCEEFF"/>
          </w:tcPr>
          <w:p>
            <w:pPr>
              <w:spacing w:after="0"/>
              <w:rPr>
                <w:sz w:val="13"/>
                <w:szCs w:val="13"/>
                <w:color w:val="auto"/>
              </w:rPr>
            </w:pPr>
          </w:p>
        </w:tc>
        <w:tc>
          <w:tcPr>
            <w:tcW w:w="94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96"/>
              </w:rPr>
              <w:t>70</w:t>
            </w:r>
          </w:p>
        </w:tc>
      </w:tr>
      <w:tr>
        <w:trPr>
          <w:trHeight w:val="145"/>
        </w:trPr>
        <w:tc>
          <w:tcPr>
            <w:tcW w:w="20" w:type="dxa"/>
            <w:vAlign w:val="bottom"/>
          </w:tcPr>
          <w:p>
            <w:pPr>
              <w:spacing w:after="0"/>
              <w:rPr>
                <w:sz w:val="12"/>
                <w:szCs w:val="12"/>
                <w:color w:val="auto"/>
              </w:rPr>
            </w:pPr>
          </w:p>
        </w:tc>
        <w:tc>
          <w:tcPr>
            <w:tcW w:w="4800" w:type="dxa"/>
            <w:vAlign w:val="bottom"/>
          </w:tcPr>
          <w:p>
            <w:pPr>
              <w:spacing w:after="0" w:line="146" w:lineRule="exact"/>
              <w:rPr>
                <w:sz w:val="20"/>
                <w:szCs w:val="20"/>
                <w:color w:val="auto"/>
              </w:rPr>
            </w:pPr>
            <w:r>
              <w:rPr>
                <w:rFonts w:ascii="Arial" w:cs="Arial" w:eastAsia="Arial" w:hAnsi="Arial"/>
                <w:sz w:val="13"/>
                <w:szCs w:val="13"/>
                <w:color w:val="auto"/>
              </w:rPr>
              <w:t>N. Gabriel Tolchinsky</w:t>
            </w:r>
          </w:p>
        </w:tc>
        <w:tc>
          <w:tcPr>
            <w:tcW w:w="120" w:type="dxa"/>
            <w:vAlign w:val="bottom"/>
          </w:tcPr>
          <w:p>
            <w:pPr>
              <w:spacing w:after="0"/>
              <w:rPr>
                <w:sz w:val="12"/>
                <w:szCs w:val="12"/>
                <w:color w:val="auto"/>
              </w:rPr>
            </w:pPr>
          </w:p>
        </w:tc>
        <w:tc>
          <w:tcPr>
            <w:tcW w:w="17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40" w:type="dxa"/>
            <w:vAlign w:val="bottom"/>
          </w:tcPr>
          <w:p>
            <w:pPr>
              <w:spacing w:after="0"/>
              <w:rPr>
                <w:sz w:val="12"/>
                <w:szCs w:val="12"/>
                <w:color w:val="auto"/>
              </w:rPr>
            </w:pPr>
          </w:p>
        </w:tc>
      </w:tr>
      <w:tr>
        <w:trPr>
          <w:trHeight w:val="154"/>
        </w:trPr>
        <w:tc>
          <w:tcPr>
            <w:tcW w:w="4820" w:type="dxa"/>
            <w:vAlign w:val="bottom"/>
            <w:gridSpan w:val="2"/>
          </w:tcPr>
          <w:p>
            <w:pPr>
              <w:spacing w:after="0"/>
              <w:rPr>
                <w:sz w:val="20"/>
                <w:szCs w:val="20"/>
                <w:color w:val="auto"/>
              </w:rPr>
            </w:pPr>
            <w:r>
              <w:rPr>
                <w:rFonts w:ascii="Arial" w:cs="Arial" w:eastAsia="Arial" w:hAnsi="Arial"/>
                <w:sz w:val="13"/>
                <w:szCs w:val="13"/>
                <w:color w:val="auto"/>
              </w:rPr>
              <w:t>Chief Executive Officer</w:t>
            </w:r>
          </w:p>
        </w:tc>
        <w:tc>
          <w:tcPr>
            <w:tcW w:w="120" w:type="dxa"/>
            <w:vAlign w:val="bottom"/>
          </w:tcPr>
          <w:p>
            <w:pPr>
              <w:spacing w:after="0"/>
              <w:rPr>
                <w:sz w:val="13"/>
                <w:szCs w:val="13"/>
                <w:color w:val="auto"/>
              </w:rPr>
            </w:pPr>
          </w:p>
        </w:tc>
        <w:tc>
          <w:tcPr>
            <w:tcW w:w="17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940" w:type="dxa"/>
            <w:vAlign w:val="bottom"/>
          </w:tcPr>
          <w:p>
            <w:pPr>
              <w:spacing w:after="0"/>
              <w:rPr>
                <w:sz w:val="13"/>
                <w:szCs w:val="13"/>
                <w:color w:val="auto"/>
              </w:rPr>
            </w:pPr>
          </w:p>
        </w:tc>
      </w:tr>
      <w:tr>
        <w:trPr>
          <w:trHeight w:val="162"/>
        </w:trPr>
        <w:tc>
          <w:tcPr>
            <w:tcW w:w="4820" w:type="dxa"/>
            <w:vAlign w:val="bottom"/>
            <w:gridSpan w:val="2"/>
          </w:tcPr>
          <w:p>
            <w:pPr>
              <w:spacing w:after="0"/>
              <w:rPr>
                <w:sz w:val="20"/>
                <w:szCs w:val="20"/>
                <w:color w:val="auto"/>
              </w:rPr>
            </w:pPr>
            <w:r>
              <w:rPr>
                <w:rFonts w:ascii="Arial" w:cs="Arial" w:eastAsia="Arial" w:hAnsi="Arial"/>
                <w:sz w:val="13"/>
                <w:szCs w:val="13"/>
                <w:color w:val="auto"/>
              </w:rPr>
              <w:t>Bladex, Panama</w:t>
            </w:r>
          </w:p>
        </w:tc>
        <w:tc>
          <w:tcPr>
            <w:tcW w:w="120" w:type="dxa"/>
            <w:vAlign w:val="bottom"/>
          </w:tcPr>
          <w:p>
            <w:pPr>
              <w:spacing w:after="0"/>
              <w:rPr>
                <w:sz w:val="14"/>
                <w:szCs w:val="14"/>
                <w:color w:val="auto"/>
              </w:rPr>
            </w:pPr>
          </w:p>
        </w:tc>
        <w:tc>
          <w:tcPr>
            <w:tcW w:w="1840" w:type="dxa"/>
            <w:vAlign w:val="bottom"/>
            <w:gridSpan w:val="2"/>
          </w:tcPr>
          <w:p>
            <w:pPr>
              <w:jc w:val="center"/>
              <w:ind w:right="120"/>
              <w:spacing w:after="0"/>
              <w:rPr>
                <w:sz w:val="20"/>
                <w:szCs w:val="20"/>
                <w:color w:val="auto"/>
              </w:rPr>
            </w:pPr>
            <w:r>
              <w:rPr>
                <w:rFonts w:ascii="Arial" w:cs="Arial" w:eastAsia="Arial" w:hAnsi="Arial"/>
                <w:sz w:val="13"/>
                <w:szCs w:val="13"/>
                <w:color w:val="auto"/>
                <w:w w:val="93"/>
              </w:rPr>
              <w:t>Argentina</w:t>
            </w:r>
          </w:p>
        </w:tc>
        <w:tc>
          <w:tcPr>
            <w:tcW w:w="1260" w:type="dxa"/>
            <w:vAlign w:val="bottom"/>
            <w:gridSpan w:val="2"/>
          </w:tcPr>
          <w:p>
            <w:pPr>
              <w:jc w:val="center"/>
              <w:ind w:right="120"/>
              <w:spacing w:after="0"/>
              <w:rPr>
                <w:sz w:val="20"/>
                <w:szCs w:val="20"/>
                <w:color w:val="auto"/>
              </w:rPr>
            </w:pPr>
            <w:r>
              <w:rPr>
                <w:rFonts w:ascii="Arial" w:cs="Arial" w:eastAsia="Arial" w:hAnsi="Arial"/>
                <w:sz w:val="13"/>
                <w:szCs w:val="13"/>
                <w:color w:val="auto"/>
                <w:w w:val="92"/>
              </w:rPr>
              <w:t>Director</w:t>
            </w:r>
          </w:p>
        </w:tc>
        <w:tc>
          <w:tcPr>
            <w:tcW w:w="1140" w:type="dxa"/>
            <w:vAlign w:val="bottom"/>
          </w:tcPr>
          <w:p>
            <w:pPr>
              <w:jc w:val="center"/>
              <w:spacing w:after="0"/>
              <w:rPr>
                <w:sz w:val="20"/>
                <w:szCs w:val="20"/>
                <w:color w:val="auto"/>
              </w:rPr>
            </w:pPr>
            <w:r>
              <w:rPr>
                <w:rFonts w:ascii="Arial" w:cs="Arial" w:eastAsia="Arial" w:hAnsi="Arial"/>
                <w:sz w:val="13"/>
                <w:szCs w:val="13"/>
                <w:color w:val="auto"/>
                <w:w w:val="89"/>
              </w:rPr>
              <w:t>2021</w:t>
            </w:r>
          </w:p>
        </w:tc>
        <w:tc>
          <w:tcPr>
            <w:tcW w:w="120" w:type="dxa"/>
            <w:vAlign w:val="bottom"/>
          </w:tcPr>
          <w:p>
            <w:pPr>
              <w:spacing w:after="0"/>
              <w:rPr>
                <w:sz w:val="14"/>
                <w:szCs w:val="14"/>
                <w:color w:val="auto"/>
              </w:rPr>
            </w:pPr>
          </w:p>
        </w:tc>
        <w:tc>
          <w:tcPr>
            <w:tcW w:w="1140" w:type="dxa"/>
            <w:vAlign w:val="bottom"/>
          </w:tcPr>
          <w:p>
            <w:pPr>
              <w:jc w:val="center"/>
              <w:spacing w:after="0"/>
              <w:rPr>
                <w:sz w:val="20"/>
                <w:szCs w:val="20"/>
                <w:color w:val="auto"/>
              </w:rPr>
            </w:pPr>
            <w:r>
              <w:rPr>
                <w:rFonts w:ascii="Arial" w:cs="Arial" w:eastAsia="Arial" w:hAnsi="Arial"/>
                <w:sz w:val="13"/>
                <w:szCs w:val="13"/>
                <w:color w:val="auto"/>
                <w:w w:val="89"/>
              </w:rPr>
              <w:t>2018</w:t>
            </w:r>
          </w:p>
        </w:tc>
        <w:tc>
          <w:tcPr>
            <w:tcW w:w="100" w:type="dxa"/>
            <w:vAlign w:val="bottom"/>
          </w:tcPr>
          <w:p>
            <w:pPr>
              <w:spacing w:after="0"/>
              <w:rPr>
                <w:sz w:val="14"/>
                <w:szCs w:val="14"/>
                <w:color w:val="auto"/>
              </w:rPr>
            </w:pPr>
          </w:p>
        </w:tc>
        <w:tc>
          <w:tcPr>
            <w:tcW w:w="940" w:type="dxa"/>
            <w:vAlign w:val="bottom"/>
          </w:tcPr>
          <w:p>
            <w:pPr>
              <w:jc w:val="center"/>
              <w:spacing w:after="0"/>
              <w:rPr>
                <w:sz w:val="20"/>
                <w:szCs w:val="20"/>
                <w:color w:val="auto"/>
              </w:rPr>
            </w:pPr>
            <w:r>
              <w:rPr>
                <w:rFonts w:ascii="Arial" w:cs="Arial" w:eastAsia="Arial" w:hAnsi="Arial"/>
                <w:sz w:val="13"/>
                <w:szCs w:val="13"/>
                <w:color w:val="auto"/>
                <w:w w:val="96"/>
              </w:rPr>
              <w:t>57</w:t>
            </w:r>
          </w:p>
        </w:tc>
      </w:tr>
    </w:tbl>
    <w:p>
      <w:pPr>
        <w:spacing w:after="0" w:line="141" w:lineRule="exact"/>
        <w:rPr>
          <w:sz w:val="20"/>
          <w:szCs w:val="20"/>
          <w:color w:val="auto"/>
        </w:rPr>
      </w:pPr>
    </w:p>
    <w:p>
      <w:pPr>
        <w:ind w:left="143" w:hanging="143"/>
        <w:spacing w:after="0"/>
        <w:tabs>
          <w:tab w:leader="none" w:pos="143" w:val="left"/>
        </w:tabs>
        <w:numPr>
          <w:ilvl w:val="0"/>
          <w:numId w:val="50"/>
        </w:numPr>
        <w:rPr>
          <w:rFonts w:ascii="Arial" w:cs="Arial" w:eastAsia="Arial" w:hAnsi="Arial"/>
          <w:sz w:val="17"/>
          <w:szCs w:val="17"/>
          <w:color w:val="auto"/>
          <w:vertAlign w:val="superscript"/>
        </w:rPr>
      </w:pPr>
      <w:r>
        <w:rPr>
          <w:rFonts w:ascii="Arial" w:cs="Arial" w:eastAsia="Arial" w:hAnsi="Arial"/>
          <w:sz w:val="11"/>
          <w:szCs w:val="11"/>
          <w:color w:val="auto"/>
        </w:rPr>
        <w:t>Denotes class(es) of common stock of the Bank that elect the directors listed.</w:t>
      </w:r>
    </w:p>
    <w:p>
      <w:pPr>
        <w:spacing w:after="0" w:line="142" w:lineRule="exact"/>
        <w:rPr>
          <w:sz w:val="20"/>
          <w:szCs w:val="20"/>
          <w:color w:val="auto"/>
        </w:rPr>
      </w:pPr>
    </w:p>
    <w:p>
      <w:pPr>
        <w:jc w:val="both"/>
        <w:ind w:left="3" w:right="20"/>
        <w:spacing w:after="0" w:line="276" w:lineRule="auto"/>
        <w:rPr>
          <w:sz w:val="20"/>
          <w:szCs w:val="20"/>
          <w:color w:val="auto"/>
        </w:rPr>
      </w:pPr>
      <w:r>
        <w:rPr>
          <w:rFonts w:ascii="Arial" w:cs="Arial" w:eastAsia="Arial" w:hAnsi="Arial"/>
          <w:sz w:val="12"/>
          <w:szCs w:val="12"/>
          <w:b w:val="1"/>
          <w:bCs w:val="1"/>
          <w:color w:val="auto"/>
        </w:rPr>
        <w:t xml:space="preserve">João Carlos de Nóbrega Pecego </w:t>
      </w:r>
      <w:r>
        <w:rPr>
          <w:rFonts w:ascii="Arial" w:cs="Arial" w:eastAsia="Arial" w:hAnsi="Arial"/>
          <w:sz w:val="12"/>
          <w:szCs w:val="12"/>
          <w:color w:val="auto"/>
        </w:rPr>
        <w:t>has served as a Director of the Board since 2010. Mr. Pecego has served as Chief Executive Officer of Banco Patagonia, Argentina since 2014. Mr. Pecego has also served as Vice President</w:t>
      </w:r>
      <w:r>
        <w:rPr>
          <w:rFonts w:ascii="Arial" w:cs="Arial" w:eastAsia="Arial" w:hAnsi="Arial"/>
          <w:sz w:val="12"/>
          <w:szCs w:val="12"/>
          <w:b w:val="1"/>
          <w:bCs w:val="1"/>
          <w:color w:val="auto"/>
        </w:rPr>
        <w:t xml:space="preserve"> </w:t>
      </w:r>
      <w:r>
        <w:rPr>
          <w:rFonts w:ascii="Arial" w:cs="Arial" w:eastAsia="Arial" w:hAnsi="Arial"/>
          <w:sz w:val="12"/>
          <w:szCs w:val="12"/>
          <w:color w:val="auto"/>
        </w:rPr>
        <w:t>of GPAT Compañía Financiera since 2016, Director of Patagonia Valores since 2011, Director of Banco Patagonia Uruguay since 2011 and Director of ADEBA, Asociación de Bancos Argentinos since 2014. Mr. Pecego was President of Grupo Brasil from 2015 to 2017 and Director of Visa Argentina, from 2012 to 2017. Mr. Pecego was also Vice President of Banco Patagonia, Argentina, from 2011 to 2014. He has been employed by Banco do Brasil in various capacities since 1978, holding the positions of Manager of the main agencies in the State of São Paulo, Commercial Superintendent in the South Region of Brasil and Executive Manager responsible for Projects and Corporate Financing and Mr. Pecego was Regional General Director – Head of Latin America of Banco do Brasil based in Argentina from 2009 to 2011. Mr. Pecego holds a degree in Business Administration from Universidad Costa Braga, a postgraduate degree in Business Management from Instituto São Luiz, São Paulo, an MBA in International Business from Fundación Don Cabral, Minais Gerais and in Marketing from Pontificia Universidade Católica do Rio de Janeiro , (PUC). Mr. Pecego’s professional experience in and related to the banking industry qualifies him to serve on the Board.</w:t>
      </w:r>
    </w:p>
    <w:p>
      <w:pPr>
        <w:spacing w:after="0" w:line="120"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81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83" w:name="page84"/>
    <w:bookmarkEnd w:id="83"/>
    <w:p>
      <w:pPr>
        <w:jc w:val="both"/>
        <w:spacing w:after="0" w:line="274" w:lineRule="auto"/>
        <w:rPr>
          <w:sz w:val="20"/>
          <w:szCs w:val="20"/>
          <w:color w:val="auto"/>
        </w:rPr>
      </w:pPr>
      <w:r>
        <w:rPr>
          <w:rFonts w:ascii="Arial" w:cs="Arial" w:eastAsia="Arial" w:hAnsi="Arial"/>
          <w:sz w:val="12"/>
          <w:szCs w:val="12"/>
          <w:b w:val="1"/>
          <w:bCs w:val="1"/>
          <w:color w:val="auto"/>
        </w:rPr>
        <w:t xml:space="preserve">José Alberto Garzón </w:t>
      </w:r>
      <w:r>
        <w:rPr>
          <w:rFonts w:ascii="Arial" w:cs="Arial" w:eastAsia="Arial" w:hAnsi="Arial"/>
          <w:sz w:val="12"/>
          <w:szCs w:val="12"/>
          <w:color w:val="auto"/>
        </w:rPr>
        <w:t>has served as a Director of the Board since 2017. Mr. Garzón has served as Legal Vice President and General Secretary of Banco de Comercio Exterior de Colombia S.A. (Bancoldex) in Colombia</w:t>
      </w:r>
      <w:r>
        <w:rPr>
          <w:rFonts w:ascii="Arial" w:cs="Arial" w:eastAsia="Arial" w:hAnsi="Arial"/>
          <w:sz w:val="12"/>
          <w:szCs w:val="12"/>
          <w:b w:val="1"/>
          <w:bCs w:val="1"/>
          <w:color w:val="auto"/>
        </w:rPr>
        <w:t xml:space="preserve"> </w:t>
      </w:r>
      <w:r>
        <w:rPr>
          <w:rFonts w:ascii="Arial" w:cs="Arial" w:eastAsia="Arial" w:hAnsi="Arial"/>
          <w:sz w:val="12"/>
          <w:szCs w:val="12"/>
          <w:color w:val="auto"/>
        </w:rPr>
        <w:t>since 2003, as Administrative Vice President from 2016 to 2017 and in various other capacities with Bancoldex since 1995, holding the positions of Director of the Legal Department from 2000 to 2003 and Attorney in the Legal Department from 1995 to 2000. Mr. Garzón has served as a member of the Board of Directors of Fiduciaria Colombiana de Comercio Exterior S.A. (Fiducoldex) in Colombia since 2016, Leasing Bancoldex S.A. Compañía de Financiamiento in Colombia since 2015 and Segurexpo de Colombia, S.A. Aseguradora de Crédito in Colombia since 2000. Previously Mr. Garzón was an Attorney at Legis Editores in Colombia in 1995 and General Manager of Servibolsa Ltda. Servicios Inmobiliarios from 1993 to 1995. He is currently a Professor of Credit Insurance in the Insurance Law Program at Pontificia Universidad Javeriana in Colombia and previously taught History of Political Ideas and Insurance at Fundación Universitaria Jorge Tadeo Lozano in Colombia from 1996 to 2004. Mr. Garzón holds a Law degree and a Master’s degree in Financial Law from Universidad del Rosario in Colombia. Mr. Garzón also holds Master’s degrees in Commercial Law and Project Finance Studies from Universidad de Los Andes in Colombia and Insurance Law from Pontificia Universidad Javeriana in Colombia. Mr. Garzón is a graduate of Transformative Business Leadership at Centro de Liderazgo y Gestión and of Leading Economic Growth at Harvard’s Kennedy School of Government. Mr. Garzón’s first-hand experience and vast knowledge of administrative, legal and regulatory matters relating to the banking industry and, in particular, trade finance qualify him to serve on the Board.</w:t>
      </w:r>
    </w:p>
    <w:p>
      <w:pPr>
        <w:spacing w:after="0" w:line="122" w:lineRule="exact"/>
        <w:rPr>
          <w:sz w:val="20"/>
          <w:szCs w:val="20"/>
          <w:color w:val="auto"/>
        </w:rPr>
      </w:pPr>
    </w:p>
    <w:p>
      <w:pPr>
        <w:jc w:val="both"/>
        <w:spacing w:after="0" w:line="311" w:lineRule="auto"/>
        <w:rPr>
          <w:sz w:val="20"/>
          <w:szCs w:val="20"/>
          <w:color w:val="auto"/>
        </w:rPr>
      </w:pPr>
      <w:r>
        <w:rPr>
          <w:rFonts w:ascii="Arial" w:cs="Arial" w:eastAsia="Arial" w:hAnsi="Arial"/>
          <w:sz w:val="11"/>
          <w:szCs w:val="11"/>
          <w:b w:val="1"/>
          <w:bCs w:val="1"/>
          <w:color w:val="auto"/>
        </w:rPr>
        <w:t xml:space="preserve">Javier González Fraga </w:t>
      </w:r>
      <w:r>
        <w:rPr>
          <w:rFonts w:ascii="Arial" w:cs="Arial" w:eastAsia="Arial" w:hAnsi="Arial"/>
          <w:sz w:val="11"/>
          <w:szCs w:val="11"/>
          <w:color w:val="auto"/>
        </w:rPr>
        <w:t>has served as a Director of the Board since 2017. Mr. González Fraga has served as the Chairman of Banco de la Nación Argentina since 2017. He was a candidate for Vice President of Argentina in</w:t>
      </w:r>
      <w:r>
        <w:rPr>
          <w:rFonts w:ascii="Arial" w:cs="Arial" w:eastAsia="Arial" w:hAnsi="Arial"/>
          <w:sz w:val="11"/>
          <w:szCs w:val="11"/>
          <w:b w:val="1"/>
          <w:bCs w:val="1"/>
          <w:color w:val="auto"/>
        </w:rPr>
        <w:t xml:space="preserve"> </w:t>
      </w:r>
      <w:r>
        <w:rPr>
          <w:rFonts w:ascii="Arial" w:cs="Arial" w:eastAsia="Arial" w:hAnsi="Arial"/>
          <w:sz w:val="11"/>
          <w:szCs w:val="11"/>
          <w:color w:val="auto"/>
        </w:rPr>
        <w:t>2011. Mr. González Fraga served as Chairman of the Central Bank of Argentina on two occasions between 1989 and 1991, and as Vice President of the Buenos Aires Stock Exchange from 1994 to 1999. Mr. González Fraga was a Director of the Argentine Institute of Capital Markets from 1992 to 1999 and a member of the Board of Public Companies in Argentina in 1987. In 1998, Mr. González Fraga was recognized by Konex as Best SMES Entrepreneur of the Decade, in his capacity as Founder of the dairy company La Salamandra S.A., Argentina. He was a Professor at UCA Pontificia Universidad Católica Argentina from 1973 to 2000. Mr. González Fraga holds a Bachelor’s degree in Economics from UCA and is a Ph.D. candidate, having various papers and books published. Mr. González Fraga’s business background and financial expertise qualify him to serve on the Board.</w:t>
      </w:r>
    </w:p>
    <w:p>
      <w:pPr>
        <w:spacing w:after="0" w:line="105" w:lineRule="exact"/>
        <w:rPr>
          <w:sz w:val="20"/>
          <w:szCs w:val="20"/>
          <w:color w:val="auto"/>
        </w:rPr>
      </w:pPr>
    </w:p>
    <w:p>
      <w:pPr>
        <w:jc w:val="both"/>
        <w:spacing w:after="0" w:line="299" w:lineRule="auto"/>
        <w:rPr>
          <w:sz w:val="20"/>
          <w:szCs w:val="20"/>
          <w:color w:val="auto"/>
        </w:rPr>
      </w:pPr>
      <w:r>
        <w:rPr>
          <w:rFonts w:ascii="Arial" w:cs="Arial" w:eastAsia="Arial" w:hAnsi="Arial"/>
          <w:sz w:val="11"/>
          <w:szCs w:val="11"/>
          <w:b w:val="1"/>
          <w:bCs w:val="1"/>
          <w:color w:val="auto"/>
        </w:rPr>
        <w:t xml:space="preserve">Ricardo Manuel Arango </w:t>
      </w:r>
      <w:r>
        <w:rPr>
          <w:rFonts w:ascii="Arial" w:cs="Arial" w:eastAsia="Arial" w:hAnsi="Arial"/>
          <w:sz w:val="11"/>
          <w:szCs w:val="11"/>
          <w:color w:val="auto"/>
        </w:rPr>
        <w:t>has served as a Director of the Board since 2016. Mr. Arango is a senior partner of the law firm of Arias, Fábrega &amp; Fábrega in Panama. Since 2004, Mr. Arango has held several leadership</w:t>
      </w:r>
      <w:r>
        <w:rPr>
          <w:rFonts w:ascii="Arial" w:cs="Arial" w:eastAsia="Arial" w:hAnsi="Arial"/>
          <w:sz w:val="11"/>
          <w:szCs w:val="11"/>
          <w:b w:val="1"/>
          <w:bCs w:val="1"/>
          <w:color w:val="auto"/>
        </w:rPr>
        <w:t xml:space="preserve"> </w:t>
      </w:r>
      <w:r>
        <w:rPr>
          <w:rFonts w:ascii="Arial" w:cs="Arial" w:eastAsia="Arial" w:hAnsi="Arial"/>
          <w:sz w:val="11"/>
          <w:szCs w:val="11"/>
          <w:color w:val="auto"/>
        </w:rPr>
        <w:t>positions in the firm, contributing to shape the organization into a leading Latin-American law firm. Mr. Arango has served as a member of the board of directors of the Panama Canal Authority since 2016, and as a member of the board of directors and audit and compliance committees of Banco General since 2012. Mr. Arango served as a member of the board of directors of Corporación La Prensa from 2002 to 2016 and as Chairman of its Editorial Committee from 2011 to 2016. He also served as a member of the board of directors of the Panama Stock Exchange from 1999 to 2016 and as its Chairman from 2007 to 2011. Mr. Arango is a member of the Latin American Business Council (CEAL) and represents his firm before Lex Mundi, the largest network of independent law firms in the world. From 1985 to 1987, Mr. Arango worked at White &amp; Case in New York. From 1987 to 1995, Mr. Arango worked as an associate with Arias, Fábrega &amp; Fábrega in Panama, becoming a partner of the firm in 1995. Mr. Arango’s professional practice focuses on finance, capital markets, banking regulations, corporate governance and compliance, and mergers and acquisitions. During his career, Mr. Arango has acted as lead counsel in some of the largest and most complex financial transactions and acquisitions in Panama and Central America. From 1998 to 1999, Mr. Arango headed the Presidential Commission that drafted Panama’s current securities act. Mr. Arango holds a Bachelor’s degree in Law and Political Science from the University of Panama, a Master of Laws degree from Harvard Law School and a Master of Laws degree from Yale Law School. He was a Fulbright Scholar from 1983 to 1985. Mr. Arango is admitted to practice law in New York and Panama. Mr. Arango’s strong knowledge of the regulatory frameworks under which the Bank operates; skills in managing legal, compliance, operational and credit risks of the banking industry; diversified perspective based on his combined legal/business acumen; in-depth understanding of the Bank’s business and operations; and experience as a board member for different companies, qualify him to serve on the Board.</w:t>
      </w:r>
    </w:p>
    <w:p>
      <w:pPr>
        <w:spacing w:after="0" w:line="267"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82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5" w:right="199" w:bottom="1440" w:gutter="0" w:footer="0" w:header="0"/>
        </w:sectPr>
      </w:pPr>
    </w:p>
    <w:bookmarkStart w:id="84" w:name="page85"/>
    <w:bookmarkEnd w:id="84"/>
    <w:p>
      <w:pPr>
        <w:jc w:val="both"/>
        <w:ind w:right="20"/>
        <w:spacing w:after="0" w:line="274" w:lineRule="auto"/>
        <w:rPr>
          <w:sz w:val="20"/>
          <w:szCs w:val="20"/>
          <w:color w:val="auto"/>
        </w:rPr>
      </w:pPr>
      <w:r>
        <w:rPr>
          <w:rFonts w:ascii="Arial" w:cs="Arial" w:eastAsia="Arial" w:hAnsi="Arial"/>
          <w:sz w:val="12"/>
          <w:szCs w:val="12"/>
          <w:b w:val="1"/>
          <w:bCs w:val="1"/>
          <w:color w:val="auto"/>
        </w:rPr>
        <w:t xml:space="preserve">Herminio A. Blanco </w:t>
      </w:r>
      <w:r>
        <w:rPr>
          <w:rFonts w:ascii="Arial" w:cs="Arial" w:eastAsia="Arial" w:hAnsi="Arial"/>
          <w:sz w:val="12"/>
          <w:szCs w:val="12"/>
          <w:color w:val="auto"/>
        </w:rPr>
        <w:t>has served as a Director of the Board since 2004. Dr. Blanco has served as President of IQOM since 2005. IQOM offers business solutions on international trade, investment and regulatory affairs and</w:t>
      </w:r>
      <w:r>
        <w:rPr>
          <w:rFonts w:ascii="Arial" w:cs="Arial" w:eastAsia="Arial" w:hAnsi="Arial"/>
          <w:sz w:val="12"/>
          <w:szCs w:val="12"/>
          <w:b w:val="1"/>
          <w:bCs w:val="1"/>
          <w:color w:val="auto"/>
        </w:rPr>
        <w:t xml:space="preserve"> </w:t>
      </w:r>
      <w:r>
        <w:rPr>
          <w:rFonts w:ascii="Arial" w:cs="Arial" w:eastAsia="Arial" w:hAnsi="Arial"/>
          <w:sz w:val="12"/>
          <w:szCs w:val="12"/>
          <w:color w:val="auto"/>
        </w:rPr>
        <w:t>provides access to one of the most complete databases of international trade flows and regulations. Since January 2017, IQOM has been the lead advisor of the Consejo Coordinador Empresarial, the umbrella organization of the Mexican private sector, in the renegotiation of the North American Free Trade Agreement (“NAFTA”). Dr. Blanco has been a member of the board of directors for CYDSA since 2004 and of Fibra Uno since 2011, and he is chairman of Arcelor-Mittal Mexico. He has also been a member of the Trilateral Commission since 2001. Dr. Blanco served as Secretary of Trade and Industry of Mexico from 1994 to 2000, Undersecretary for International Trade and Negotiations and Chief Negotiator NAFTA from 1990 to 1993. He was also responsible for the negotiation of the free trade agreement with the European Union, with the European Free Trade Area, with various Latin American countries and with Israel from 1994 to 2003, and launched the process that led to the negotiation of the free trade agreement with Japan. Dr. Blanco holds a B.A. in economics from Instituto Tecnológico de Estudios Superiores de Monterrey, a Ph.D. in economics from University of Chicago, and a Doctor Honoris Causa from Rikkyo University in Japan. Dr. Blanco’s extensive experience and background in foreign trade and finance, along with his academic and consulting skills, qualify him to serve on the Board.</w:t>
      </w:r>
    </w:p>
    <w:p>
      <w:pPr>
        <w:spacing w:after="0" w:line="126" w:lineRule="exact"/>
        <w:rPr>
          <w:sz w:val="20"/>
          <w:szCs w:val="20"/>
          <w:color w:val="auto"/>
        </w:rPr>
      </w:pPr>
    </w:p>
    <w:p>
      <w:pPr>
        <w:jc w:val="both"/>
        <w:spacing w:after="0" w:line="252" w:lineRule="auto"/>
        <w:rPr>
          <w:sz w:val="20"/>
          <w:szCs w:val="20"/>
          <w:color w:val="auto"/>
        </w:rPr>
      </w:pPr>
      <w:r>
        <w:rPr>
          <w:rFonts w:ascii="Arial" w:cs="Arial" w:eastAsia="Arial" w:hAnsi="Arial"/>
          <w:sz w:val="13"/>
          <w:szCs w:val="13"/>
          <w:b w:val="1"/>
          <w:bCs w:val="1"/>
          <w:color w:val="auto"/>
        </w:rPr>
        <w:t xml:space="preserve">Mario Covo </w:t>
      </w:r>
      <w:r>
        <w:rPr>
          <w:rFonts w:ascii="Arial" w:cs="Arial" w:eastAsia="Arial" w:hAnsi="Arial"/>
          <w:sz w:val="13"/>
          <w:szCs w:val="13"/>
          <w:color w:val="auto"/>
        </w:rPr>
        <w:t>has served as a Director of the Board since 1999. Dr. Covo is the Founding Partner of DanaMar LLC in New York, a financial consulting firm established in 2013. He was Founding Partner of Helios Advisors</w:t>
      </w:r>
      <w:r>
        <w:rPr>
          <w:rFonts w:ascii="Arial" w:cs="Arial" w:eastAsia="Arial" w:hAnsi="Arial"/>
          <w:sz w:val="13"/>
          <w:szCs w:val="13"/>
          <w:b w:val="1"/>
          <w:bCs w:val="1"/>
          <w:color w:val="auto"/>
        </w:rPr>
        <w:t xml:space="preserve"> </w:t>
      </w:r>
      <w:r>
        <w:rPr>
          <w:rFonts w:ascii="Arial" w:cs="Arial" w:eastAsia="Arial" w:hAnsi="Arial"/>
          <w:sz w:val="13"/>
          <w:szCs w:val="13"/>
          <w:color w:val="auto"/>
        </w:rPr>
        <w:t>in 2003, Founding Partner of Finaccess International, Inc. in 2000 and Founding Partner of Columbus Advisors in 1995. Dr. Covo worked at Merrill Lynch from 1989 to 1995, where he was Head of Emerging Markets-Capital Markets. Prior to working for Merrill Lynch, Dr. Covo worked at Bankers Trust Company of New York from 1985 to 1989 as Vice President in the Latin American Merchant Banking Group, focusing on corporate finance and debt-for-equity swaps. Prior to that Dr. Covo was an International Economist for Chase Econometrics from 1984 to 1985, focusing primarily on Latin America. Dr. Covo holds a Ph.D. in Economics from Rice University and a B.A. with honors from Instituto Tecnológico Autónomo de Mexico. Dr. Covo’s extensive background and experience in the financial services industry, and his exposure to the markets in which the Bank operates qualify him to serve on the Board.</w:t>
      </w:r>
    </w:p>
    <w:p>
      <w:pPr>
        <w:spacing w:after="0" w:line="136" w:lineRule="exact"/>
        <w:rPr>
          <w:sz w:val="20"/>
          <w:szCs w:val="20"/>
          <w:color w:val="auto"/>
        </w:rPr>
      </w:pPr>
    </w:p>
    <w:p>
      <w:pPr>
        <w:jc w:val="both"/>
        <w:spacing w:after="0" w:line="301" w:lineRule="auto"/>
        <w:rPr>
          <w:sz w:val="20"/>
          <w:szCs w:val="20"/>
          <w:color w:val="auto"/>
        </w:rPr>
      </w:pPr>
      <w:r>
        <w:rPr>
          <w:rFonts w:ascii="Arial" w:cs="Arial" w:eastAsia="Arial" w:hAnsi="Arial"/>
          <w:sz w:val="11"/>
          <w:szCs w:val="11"/>
          <w:b w:val="1"/>
          <w:bCs w:val="1"/>
          <w:color w:val="auto"/>
        </w:rPr>
        <w:t xml:space="preserve">Miguel Heras Castro </w:t>
      </w:r>
      <w:r>
        <w:rPr>
          <w:rFonts w:ascii="Arial" w:cs="Arial" w:eastAsia="Arial" w:hAnsi="Arial"/>
          <w:sz w:val="11"/>
          <w:szCs w:val="11"/>
          <w:color w:val="auto"/>
        </w:rPr>
        <w:t>has served as a Director of the Board since 2015. Since 1999, Mr. Heras has served as Managing Director and as a member of the board of Inversiones Bahia, Ltd. in Panama, the largest investment</w:t>
      </w:r>
      <w:r>
        <w:rPr>
          <w:rFonts w:ascii="Arial" w:cs="Arial" w:eastAsia="Arial" w:hAnsi="Arial"/>
          <w:sz w:val="11"/>
          <w:szCs w:val="11"/>
          <w:b w:val="1"/>
          <w:bCs w:val="1"/>
          <w:color w:val="auto"/>
        </w:rPr>
        <w:t xml:space="preserve"> </w:t>
      </w:r>
      <w:r>
        <w:rPr>
          <w:rFonts w:ascii="Arial" w:cs="Arial" w:eastAsia="Arial" w:hAnsi="Arial"/>
          <w:sz w:val="11"/>
          <w:szCs w:val="11"/>
          <w:color w:val="auto"/>
        </w:rPr>
        <w:t>group in Central America, focusing on the financial, infrastructure, real estate, and communications markets. He currently leads the private equity and venture capital efforts of the group. Mr. Heras also serves on various other boards throughout Latin America including Cable Onda since 2009, Sistemas de Generación S.A. (SIGSA), Televisora Nacional and Bahia Motors since 2007. Mr. Heras has served as Vice President of the board of the Panama Food Bank since 2015, as Director of the Biodiversity Museum from 2008 to 2014, and Banco Continental de Panama from 2002 to 2007 and was also a member of its ALCO Committee. Mr. Heras was the negotiator for the acquisition of several banking institutions, and in 2007 led the negotiation for the merger of Banco Continental with Banco General to create one of the largest banks in Central America. Mr. Heras was also a member of the board of directors of Amnet Telecommunications Holdings, the leading provider of pay TV and triple play services in Central America from 2005 to 2008, Tricom from 2009 to 2014, Vice Chairman of the board of Cable and Wireless (Panama) Inc. from 1997 to 1999 and a member of the board of the Panamanian Stock Exchange from 1999 to 2005. Mr. Heras was Minister of the Treasury of the Republic of Panama from 1996 to 1998 and President of the Council on Foreign Trade. He served as Vice Minister of the Treasury from 1994 to 1996. Mr. Heras holds a Bachelor’s Degree in Economics from the Wharton School of Commerce and Finance of the University of Pennsylvania. Mr. Heras’ professional expertise in economics, finance and private equity and his experience as a board member of different companies qualifies him to serve on the Board.</w:t>
      </w:r>
    </w:p>
    <w:p>
      <w:pPr>
        <w:spacing w:after="0" w:line="265"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83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5" w:right="199" w:bottom="1440" w:gutter="0" w:footer="0" w:header="0"/>
        </w:sectPr>
      </w:pPr>
    </w:p>
    <w:bookmarkStart w:id="85" w:name="page86"/>
    <w:bookmarkEnd w:id="85"/>
    <w:p>
      <w:pPr>
        <w:jc w:val="both"/>
        <w:ind w:right="20"/>
        <w:spacing w:after="0" w:line="274" w:lineRule="auto"/>
        <w:rPr>
          <w:sz w:val="20"/>
          <w:szCs w:val="20"/>
          <w:color w:val="auto"/>
        </w:rPr>
      </w:pPr>
      <w:r>
        <w:rPr>
          <w:rFonts w:ascii="Arial" w:cs="Arial" w:eastAsia="Arial" w:hAnsi="Arial"/>
          <w:sz w:val="12"/>
          <w:szCs w:val="12"/>
          <w:b w:val="1"/>
          <w:bCs w:val="1"/>
          <w:color w:val="auto"/>
        </w:rPr>
        <w:t xml:space="preserve">Roland Holst </w:t>
      </w:r>
      <w:r>
        <w:rPr>
          <w:rFonts w:ascii="Arial" w:cs="Arial" w:eastAsia="Arial" w:hAnsi="Arial"/>
          <w:sz w:val="12"/>
          <w:szCs w:val="12"/>
          <w:color w:val="auto"/>
        </w:rPr>
        <w:t>has served as a Director of the Board since November 1, 2017 when he was designated to fill the vacancy created by the retirement of Ms. Maria da Graça França. Dr. Holst was Treasurer and Member Ex-Officio of the Board from May 2017 to October 2017 and was previously a Board member from 2014 to 2017. Dr. Holst has served as a board member of Sudameris Bank, Paraguay since 2017 and served as a Director of the Board of Banco Central del Paraguay from 2012 to 2017. He was Head of Fixed Income Research at State Street Global Markets in Boston, Massachusetts from 2007 to 2011 and Quantitative Analyst at Starmine Corp. in San Francisco, California from 2006 to 2007. He was a Teaching Assistant of Econometrics, Public Finance, Finance, Program Evaluation, Macroeconomics and Labor Economics at the University of Chicago from 2003 to 2006. Dr. Holst worked at Garantia PFP, a pension fund, as an Investment Manager from 1997 to 2001 and was General Manager of Bolsa de Valores de Asunción, Paraguay from 1995 to 1997. He is the author of Social Security and Policy Risk: Evidence of its effects on welfare costs and savings published in 2007. Dr. Holst holds a Ph.D. in Public Policy and a Master in Economics from the University of Chicago. He also holds a Master in Economics from Universidad Católica de Asunción, Paraguay, degrees in Economics and Agronomy from Universidad Nacional de Asunción, Paraguay and a Financial Risk Manager (FRM) certification. Mr. Holst’s professional experience in the fields of finance and economics and his academic accomplishments qualify him to serve on the Board.</w:t>
      </w:r>
    </w:p>
    <w:p>
      <w:pPr>
        <w:spacing w:after="0" w:line="126" w:lineRule="exact"/>
        <w:rPr>
          <w:sz w:val="20"/>
          <w:szCs w:val="20"/>
          <w:color w:val="auto"/>
        </w:rPr>
      </w:pPr>
    </w:p>
    <w:p>
      <w:pPr>
        <w:jc w:val="both"/>
        <w:ind w:right="20"/>
        <w:spacing w:after="0" w:line="301" w:lineRule="auto"/>
        <w:rPr>
          <w:sz w:val="20"/>
          <w:szCs w:val="20"/>
          <w:color w:val="auto"/>
        </w:rPr>
      </w:pPr>
      <w:r>
        <w:rPr>
          <w:rFonts w:ascii="Arial" w:cs="Arial" w:eastAsia="Arial" w:hAnsi="Arial"/>
          <w:sz w:val="11"/>
          <w:szCs w:val="11"/>
          <w:b w:val="1"/>
          <w:bCs w:val="1"/>
          <w:color w:val="auto"/>
        </w:rPr>
        <w:t xml:space="preserve">Gonzalo Menéndez Duque </w:t>
      </w:r>
      <w:r>
        <w:rPr>
          <w:rFonts w:ascii="Arial" w:cs="Arial" w:eastAsia="Arial" w:hAnsi="Arial"/>
          <w:sz w:val="11"/>
          <w:szCs w:val="11"/>
          <w:color w:val="auto"/>
        </w:rPr>
        <w:t>has served as a Director of the Board since 1990, and as Chairman of the Board for two different terms, from 1995 to 1998, and again from 2002 to present. Mr. Menéndez Duque is currently a</w:t>
      </w:r>
      <w:r>
        <w:rPr>
          <w:rFonts w:ascii="Arial" w:cs="Arial" w:eastAsia="Arial" w:hAnsi="Arial"/>
          <w:sz w:val="11"/>
          <w:szCs w:val="11"/>
          <w:b w:val="1"/>
          <w:bCs w:val="1"/>
          <w:color w:val="auto"/>
        </w:rPr>
        <w:t xml:space="preserve"> </w:t>
      </w:r>
      <w:r>
        <w:rPr>
          <w:rFonts w:ascii="Arial" w:cs="Arial" w:eastAsia="Arial" w:hAnsi="Arial"/>
          <w:sz w:val="11"/>
          <w:szCs w:val="11"/>
          <w:color w:val="auto"/>
        </w:rPr>
        <w:t>Director of the Luksic Group in Chile, which includes Banco de Chile, Compañía Sudamericana de Vapores, S.A. and Quiñenco S.A. and Vice Chairman of Fundación A. Luksic A. and Fundación Educacional Luksic. In addition, he serves as Chairman of Inversiones Vita S.A. and Director of Banchile Seguros de Vida S.A. Mr. Menéndez Duque served as Chief Executive Officer of Antofagasta plc, a company listed on the London Stock Exchange and has served as a member of its board since 1985. He also served as a member of the Superior Council of Universidad de Antofagasta, as well as a member of the Superior Council and the board of Centro de Estudios Públicos CEP (non-profit Chilean educational foundation) and Consejo de la Fundación Corporación de Ayuda al Niño Limitado COANIL. Mr. Menéndez Duque was a professor at the Faculty of Economics and Graduate Program of Universidad de Chile. Mr. Menéndez Duque was commended in 2008 by the Faculty of Economics and Business of Universidad de Chile, as the most outstanding graduate, in recognition of his career and contributions to society in the business and entrepreneurial sectors of Chile and was awarded the “Excelencia 90” Prize, as the most distinguished businessman of the year in Chile by AméricaEconomía magazine in 1990. Mr. Menéndez Duque holds a Bachelor’s degree in business administration and accounting, with honors, from Universidad de Chile. Mr. Menéndez Duque’s skills, leadership and managerial experience in large complex organizations in various extensively regulated industries, and his experience as a board member of different companies, qualify him to serve on the Board.</w:t>
      </w:r>
    </w:p>
    <w:p>
      <w:pPr>
        <w:spacing w:after="0" w:line="112" w:lineRule="exact"/>
        <w:rPr>
          <w:sz w:val="20"/>
          <w:szCs w:val="20"/>
          <w:color w:val="auto"/>
        </w:rPr>
      </w:pPr>
    </w:p>
    <w:p>
      <w:pPr>
        <w:jc w:val="both"/>
        <w:spacing w:after="0" w:line="274" w:lineRule="auto"/>
        <w:rPr>
          <w:sz w:val="20"/>
          <w:szCs w:val="20"/>
          <w:color w:val="auto"/>
        </w:rPr>
      </w:pPr>
      <w:r>
        <w:rPr>
          <w:rFonts w:ascii="Arial" w:cs="Arial" w:eastAsia="Arial" w:hAnsi="Arial"/>
          <w:sz w:val="12"/>
          <w:szCs w:val="12"/>
          <w:b w:val="1"/>
          <w:bCs w:val="1"/>
          <w:color w:val="auto"/>
        </w:rPr>
        <w:t xml:space="preserve">N. Gabriel Tolchinsky </w:t>
      </w:r>
      <w:r>
        <w:rPr>
          <w:rFonts w:ascii="Arial" w:cs="Arial" w:eastAsia="Arial" w:hAnsi="Arial"/>
          <w:sz w:val="12"/>
          <w:szCs w:val="12"/>
          <w:color w:val="auto"/>
        </w:rPr>
        <w:t>has served as Chief Executive Officer and Member of the Board of Directors since April 2018. Mr. Tolchinsky joined Bladex as Chief Operating Officer – Executive Vice President in May 2017, after</w:t>
      </w:r>
      <w:r>
        <w:rPr>
          <w:rFonts w:ascii="Arial" w:cs="Arial" w:eastAsia="Arial" w:hAnsi="Arial"/>
          <w:sz w:val="12"/>
          <w:szCs w:val="12"/>
          <w:b w:val="1"/>
          <w:bCs w:val="1"/>
          <w:color w:val="auto"/>
        </w:rPr>
        <w:t xml:space="preserve"> </w:t>
      </w:r>
      <w:r>
        <w:rPr>
          <w:rFonts w:ascii="Arial" w:cs="Arial" w:eastAsia="Arial" w:hAnsi="Arial"/>
          <w:sz w:val="12"/>
          <w:szCs w:val="12"/>
          <w:color w:val="auto"/>
        </w:rPr>
        <w:t>serving as an External Consultant since 2014, and was appointed Deputy Chief Executive Officer in February 2018. In 2013, he was a founding partner and Chief Administrative Officer of Maritime Finance Company Ltd., specializing in maritime finance. Mr. Tolchinsky was also a founding partner of Helios Advisors LLC investment funds from 2002 to 2013, which focused on commodity-related companies; the Chief Operating Officer of FinAccess International Inc., from 2000 to 2002, a Mexican investment fund management company; as well as a founding partner of Columbus Advisors LLC from 1995 to 2000, a fund specializing in fixed income instruments in emerging markets, where he also served as Portfolio and Risk Manager. He previously held various positions in investment banking on Wall Street, New York, from 1985 to 1995, including Producing Manager of Emerging Markets Fixed Income Sales at Merrill Lynch from 1991 to 1995. Mr. Tolchinsky holds a Bachelor of Science degree in Mathematical Sciences from Tel Aviv University, Israel, as well as a Master of Science (Operations Research) degree and a Master of Arts (Statistics) degree, both from Columbia University, New York. Mr. Tolchinky’s extensive business experience, as well as his leadership and managerial experience, qualifies him to serve on the Board.</w:t>
      </w:r>
    </w:p>
    <w:p>
      <w:pPr>
        <w:spacing w:after="0" w:line="278"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84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5" w:right="199" w:bottom="1440" w:gutter="0" w:footer="0" w:header="0"/>
        </w:sectPr>
      </w:pPr>
    </w:p>
    <w:bookmarkStart w:id="86" w:name="page87"/>
    <w:bookmarkEnd w:id="86"/>
    <w:p>
      <w:pPr>
        <w:spacing w:after="0"/>
        <w:rPr>
          <w:sz w:val="20"/>
          <w:szCs w:val="20"/>
          <w:color w:val="auto"/>
        </w:rPr>
      </w:pPr>
      <w:r>
        <w:rPr>
          <w:rFonts w:ascii="Arial" w:cs="Arial" w:eastAsia="Arial" w:hAnsi="Arial"/>
          <w:sz w:val="13"/>
          <w:szCs w:val="13"/>
          <w:color w:val="auto"/>
        </w:rPr>
        <w:t>See Item 10, “Additional Information – Memorandum and Articles of Association” for a description of the shareholders’ voting rights with respect to the election of directors.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Executive Officers</w:t>
      </w:r>
    </w:p>
    <w:p>
      <w:pPr>
        <w:spacing w:after="0" w:line="159" w:lineRule="exact"/>
        <w:rPr>
          <w:sz w:val="20"/>
          <w:szCs w:val="20"/>
          <w:color w:val="auto"/>
        </w:rPr>
      </w:pPr>
    </w:p>
    <w:p>
      <w:pPr>
        <w:spacing w:after="0"/>
        <w:rPr>
          <w:sz w:val="20"/>
          <w:szCs w:val="20"/>
          <w:color w:val="auto"/>
        </w:rPr>
      </w:pPr>
      <w:r>
        <w:rPr>
          <w:rFonts w:ascii="Arial" w:cs="Arial" w:eastAsia="Arial" w:hAnsi="Arial"/>
          <w:sz w:val="12"/>
          <w:szCs w:val="12"/>
          <w:color w:val="auto"/>
        </w:rPr>
        <w:t>The following table and biographies set forth the names of the executive officers of the Bank, their respective positions at the date hereof and positions held by them with the Bank and other entities in prior years:</w:t>
      </w:r>
    </w:p>
    <w:p>
      <w:pPr>
        <w:spacing w:after="0" w:line="176"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2640" w:type="dxa"/>
            <w:vAlign w:val="bottom"/>
            <w:gridSpan w:val="2"/>
          </w:tcPr>
          <w:p>
            <w:pPr>
              <w:spacing w:after="0"/>
              <w:rPr>
                <w:sz w:val="20"/>
                <w:szCs w:val="20"/>
                <w:color w:val="auto"/>
              </w:rPr>
            </w:pPr>
            <w:r>
              <w:rPr>
                <w:rFonts w:ascii="Arial" w:cs="Arial" w:eastAsia="Arial" w:hAnsi="Arial"/>
                <w:sz w:val="13"/>
                <w:szCs w:val="13"/>
                <w:b w:val="1"/>
                <w:bCs w:val="1"/>
                <w:color w:val="auto"/>
              </w:rPr>
              <w:t>Name</w:t>
            </w:r>
          </w:p>
        </w:tc>
        <w:tc>
          <w:tcPr>
            <w:tcW w:w="3680" w:type="dxa"/>
            <w:vAlign w:val="bottom"/>
            <w:gridSpan w:val="2"/>
          </w:tcPr>
          <w:p>
            <w:pPr>
              <w:spacing w:after="0"/>
              <w:rPr>
                <w:sz w:val="20"/>
                <w:szCs w:val="20"/>
                <w:color w:val="auto"/>
              </w:rPr>
            </w:pPr>
            <w:r>
              <w:rPr>
                <w:rFonts w:ascii="Arial" w:cs="Arial" w:eastAsia="Arial" w:hAnsi="Arial"/>
                <w:sz w:val="13"/>
                <w:szCs w:val="13"/>
                <w:b w:val="1"/>
                <w:bCs w:val="1"/>
                <w:color w:val="auto"/>
              </w:rPr>
              <w:t>Position Held with the Bank</w:t>
            </w:r>
          </w:p>
        </w:tc>
        <w:tc>
          <w:tcPr>
            <w:tcW w:w="286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9"/>
              </w:rPr>
              <w:t>Country of Citizenship</w:t>
            </w:r>
          </w:p>
        </w:tc>
        <w:tc>
          <w:tcPr>
            <w:tcW w:w="2300" w:type="dxa"/>
            <w:vAlign w:val="bottom"/>
          </w:tcPr>
          <w:p>
            <w:pPr>
              <w:jc w:val="center"/>
              <w:spacing w:after="0"/>
              <w:rPr>
                <w:sz w:val="20"/>
                <w:szCs w:val="20"/>
                <w:color w:val="auto"/>
              </w:rPr>
            </w:pPr>
            <w:r>
              <w:rPr>
                <w:rFonts w:ascii="Arial" w:cs="Arial" w:eastAsia="Arial" w:hAnsi="Arial"/>
                <w:sz w:val="13"/>
                <w:szCs w:val="13"/>
                <w:b w:val="1"/>
                <w:bCs w:val="1"/>
                <w:color w:val="auto"/>
                <w:w w:val="89"/>
              </w:rPr>
              <w:t>Age</w:t>
            </w:r>
          </w:p>
        </w:tc>
        <w:tc>
          <w:tcPr>
            <w:tcW w:w="0" w:type="dxa"/>
            <w:vAlign w:val="bottom"/>
          </w:tcPr>
          <w:p>
            <w:pPr>
              <w:spacing w:after="0"/>
              <w:rPr>
                <w:sz w:val="1"/>
                <w:szCs w:val="1"/>
                <w:color w:val="auto"/>
              </w:rPr>
            </w:pPr>
          </w:p>
        </w:tc>
      </w:tr>
      <w:tr>
        <w:trPr>
          <w:trHeight w:val="144"/>
        </w:trPr>
        <w:tc>
          <w:tcPr>
            <w:tcW w:w="2520" w:type="dxa"/>
            <w:vAlign w:val="bottom"/>
            <w:tcBorders>
              <w:top w:val="single" w:sz="8" w:color="auto"/>
            </w:tcBorders>
            <w:shd w:val="clear" w:color="auto" w:fill="CCEEFF"/>
          </w:tcPr>
          <w:p>
            <w:pPr>
              <w:spacing w:after="0" w:line="144" w:lineRule="exact"/>
              <w:rPr>
                <w:sz w:val="20"/>
                <w:szCs w:val="20"/>
                <w:color w:val="auto"/>
              </w:rPr>
            </w:pPr>
            <w:r>
              <w:rPr>
                <w:rFonts w:ascii="Arial" w:cs="Arial" w:eastAsia="Arial" w:hAnsi="Arial"/>
                <w:sz w:val="13"/>
                <w:szCs w:val="13"/>
                <w:color w:val="auto"/>
              </w:rPr>
              <w:t>N. Gabriel Tolchinsky</w:t>
            </w:r>
          </w:p>
        </w:tc>
        <w:tc>
          <w:tcPr>
            <w:tcW w:w="120" w:type="dxa"/>
            <w:vAlign w:val="bottom"/>
            <w:tcBorders>
              <w:top w:val="single" w:sz="8" w:color="CCEEFF"/>
            </w:tcBorders>
            <w:shd w:val="clear" w:color="auto" w:fill="CCEEFF"/>
          </w:tcPr>
          <w:p>
            <w:pPr>
              <w:spacing w:after="0"/>
              <w:rPr>
                <w:sz w:val="12"/>
                <w:szCs w:val="12"/>
                <w:color w:val="auto"/>
              </w:rPr>
            </w:pPr>
          </w:p>
        </w:tc>
        <w:tc>
          <w:tcPr>
            <w:tcW w:w="3560" w:type="dxa"/>
            <w:vAlign w:val="bottom"/>
            <w:tcBorders>
              <w:top w:val="single" w:sz="8" w:color="auto"/>
            </w:tcBorders>
            <w:shd w:val="clear" w:color="auto" w:fill="CCEEFF"/>
          </w:tcPr>
          <w:p>
            <w:pPr>
              <w:spacing w:after="0" w:line="144" w:lineRule="exact"/>
              <w:rPr>
                <w:sz w:val="20"/>
                <w:szCs w:val="20"/>
                <w:color w:val="auto"/>
              </w:rPr>
            </w:pPr>
            <w:r>
              <w:rPr>
                <w:rFonts w:ascii="Arial" w:cs="Arial" w:eastAsia="Arial" w:hAnsi="Arial"/>
                <w:sz w:val="13"/>
                <w:szCs w:val="13"/>
                <w:color w:val="auto"/>
              </w:rPr>
              <w:t>Chief Executive Officer</w:t>
            </w:r>
          </w:p>
        </w:tc>
        <w:tc>
          <w:tcPr>
            <w:tcW w:w="120" w:type="dxa"/>
            <w:vAlign w:val="bottom"/>
            <w:tcBorders>
              <w:top w:val="single" w:sz="8" w:color="CCEEFF"/>
            </w:tcBorders>
            <w:shd w:val="clear" w:color="auto" w:fill="CCEEFF"/>
          </w:tcPr>
          <w:p>
            <w:pPr>
              <w:spacing w:after="0"/>
              <w:rPr>
                <w:sz w:val="12"/>
                <w:szCs w:val="12"/>
                <w:color w:val="auto"/>
              </w:rPr>
            </w:pPr>
          </w:p>
        </w:tc>
        <w:tc>
          <w:tcPr>
            <w:tcW w:w="2760" w:type="dxa"/>
            <w:vAlign w:val="bottom"/>
            <w:tcBorders>
              <w:top w:val="single" w:sz="8" w:color="auto"/>
            </w:tcBorders>
            <w:shd w:val="clear" w:color="auto" w:fill="CCEEFF"/>
          </w:tcPr>
          <w:p>
            <w:pPr>
              <w:jc w:val="center"/>
              <w:spacing w:after="0" w:line="144" w:lineRule="exact"/>
              <w:rPr>
                <w:sz w:val="20"/>
                <w:szCs w:val="20"/>
                <w:color w:val="auto"/>
              </w:rPr>
            </w:pPr>
            <w:r>
              <w:rPr>
                <w:rFonts w:ascii="Arial" w:cs="Arial" w:eastAsia="Arial" w:hAnsi="Arial"/>
                <w:sz w:val="13"/>
                <w:szCs w:val="13"/>
                <w:color w:val="auto"/>
                <w:w w:val="93"/>
              </w:rPr>
              <w:t>Argentina</w:t>
            </w:r>
          </w:p>
        </w:tc>
        <w:tc>
          <w:tcPr>
            <w:tcW w:w="100" w:type="dxa"/>
            <w:vAlign w:val="bottom"/>
            <w:tcBorders>
              <w:top w:val="single" w:sz="8" w:color="CCEEFF"/>
            </w:tcBorders>
            <w:shd w:val="clear" w:color="auto" w:fill="CCEEFF"/>
          </w:tcPr>
          <w:p>
            <w:pPr>
              <w:spacing w:after="0"/>
              <w:rPr>
                <w:sz w:val="12"/>
                <w:szCs w:val="12"/>
                <w:color w:val="auto"/>
              </w:rPr>
            </w:pPr>
          </w:p>
        </w:tc>
        <w:tc>
          <w:tcPr>
            <w:tcW w:w="2300" w:type="dxa"/>
            <w:vAlign w:val="bottom"/>
            <w:tcBorders>
              <w:top w:val="single" w:sz="8" w:color="auto"/>
            </w:tcBorders>
            <w:shd w:val="clear" w:color="auto" w:fill="CCEEFF"/>
          </w:tcPr>
          <w:p>
            <w:pPr>
              <w:jc w:val="center"/>
              <w:spacing w:after="0" w:line="144" w:lineRule="exact"/>
              <w:rPr>
                <w:sz w:val="20"/>
                <w:szCs w:val="20"/>
                <w:color w:val="auto"/>
              </w:rPr>
            </w:pPr>
            <w:r>
              <w:rPr>
                <w:rFonts w:ascii="Arial" w:cs="Arial" w:eastAsia="Arial" w:hAnsi="Arial"/>
                <w:sz w:val="13"/>
                <w:szCs w:val="13"/>
                <w:color w:val="auto"/>
                <w:w w:val="82"/>
              </w:rPr>
              <w:t>57</w:t>
            </w:r>
          </w:p>
        </w:tc>
        <w:tc>
          <w:tcPr>
            <w:tcW w:w="0" w:type="dxa"/>
            <w:vAlign w:val="bottom"/>
          </w:tcPr>
          <w:p>
            <w:pPr>
              <w:spacing w:after="0"/>
              <w:rPr>
                <w:sz w:val="1"/>
                <w:szCs w:val="1"/>
                <w:color w:val="auto"/>
              </w:rPr>
            </w:pPr>
          </w:p>
        </w:tc>
      </w:tr>
      <w:tr>
        <w:trPr>
          <w:trHeight w:val="145"/>
        </w:trPr>
        <w:tc>
          <w:tcPr>
            <w:tcW w:w="2640" w:type="dxa"/>
            <w:vAlign w:val="bottom"/>
            <w:gridSpan w:val="2"/>
            <w:vMerge w:val="restart"/>
          </w:tcPr>
          <w:p>
            <w:pPr>
              <w:spacing w:after="0"/>
              <w:rPr>
                <w:sz w:val="20"/>
                <w:szCs w:val="20"/>
                <w:color w:val="auto"/>
              </w:rPr>
            </w:pPr>
            <w:r>
              <w:rPr>
                <w:rFonts w:ascii="Arial" w:cs="Arial" w:eastAsia="Arial" w:hAnsi="Arial"/>
                <w:sz w:val="13"/>
                <w:szCs w:val="13"/>
                <w:color w:val="auto"/>
              </w:rPr>
              <w:t>Erica Lijtztain</w:t>
            </w:r>
          </w:p>
        </w:tc>
        <w:tc>
          <w:tcPr>
            <w:tcW w:w="3680" w:type="dxa"/>
            <w:vAlign w:val="bottom"/>
            <w:gridSpan w:val="2"/>
          </w:tcPr>
          <w:p>
            <w:pPr>
              <w:spacing w:after="0" w:line="146" w:lineRule="exact"/>
              <w:rPr>
                <w:sz w:val="20"/>
                <w:szCs w:val="20"/>
                <w:color w:val="auto"/>
              </w:rPr>
            </w:pPr>
            <w:r>
              <w:rPr>
                <w:rFonts w:ascii="Arial" w:cs="Arial" w:eastAsia="Arial" w:hAnsi="Arial"/>
                <w:sz w:val="13"/>
                <w:szCs w:val="13"/>
                <w:color w:val="auto"/>
              </w:rPr>
              <w:t>Executive Vice President</w:t>
            </w:r>
          </w:p>
        </w:tc>
        <w:tc>
          <w:tcPr>
            <w:tcW w:w="2860" w:type="dxa"/>
            <w:vAlign w:val="bottom"/>
            <w:gridSpan w:val="2"/>
            <w:vMerge w:val="restart"/>
          </w:tcPr>
          <w:p>
            <w:pPr>
              <w:jc w:val="center"/>
              <w:ind w:right="100"/>
              <w:spacing w:after="0"/>
              <w:rPr>
                <w:sz w:val="20"/>
                <w:szCs w:val="20"/>
                <w:color w:val="auto"/>
              </w:rPr>
            </w:pPr>
            <w:r>
              <w:rPr>
                <w:rFonts w:ascii="Arial" w:cs="Arial" w:eastAsia="Arial" w:hAnsi="Arial"/>
                <w:sz w:val="13"/>
                <w:szCs w:val="13"/>
                <w:color w:val="auto"/>
                <w:w w:val="93"/>
              </w:rPr>
              <w:t>Argentina</w:t>
            </w:r>
          </w:p>
        </w:tc>
        <w:tc>
          <w:tcPr>
            <w:tcW w:w="2300" w:type="dxa"/>
            <w:vAlign w:val="bottom"/>
            <w:vMerge w:val="restart"/>
          </w:tcPr>
          <w:p>
            <w:pPr>
              <w:jc w:val="center"/>
              <w:spacing w:after="0"/>
              <w:rPr>
                <w:sz w:val="20"/>
                <w:szCs w:val="20"/>
                <w:color w:val="auto"/>
              </w:rPr>
            </w:pPr>
            <w:r>
              <w:rPr>
                <w:rFonts w:ascii="Arial" w:cs="Arial" w:eastAsia="Arial" w:hAnsi="Arial"/>
                <w:sz w:val="13"/>
                <w:szCs w:val="13"/>
                <w:color w:val="auto"/>
                <w:w w:val="82"/>
              </w:rPr>
              <w:t>47</w:t>
            </w:r>
          </w:p>
        </w:tc>
        <w:tc>
          <w:tcPr>
            <w:tcW w:w="0" w:type="dxa"/>
            <w:vAlign w:val="bottom"/>
          </w:tcPr>
          <w:p>
            <w:pPr>
              <w:spacing w:after="0"/>
              <w:rPr>
                <w:sz w:val="1"/>
                <w:szCs w:val="1"/>
                <w:color w:val="auto"/>
              </w:rPr>
            </w:pPr>
          </w:p>
        </w:tc>
      </w:tr>
      <w:tr>
        <w:trPr>
          <w:trHeight w:val="85"/>
        </w:trPr>
        <w:tc>
          <w:tcPr>
            <w:tcW w:w="2640" w:type="dxa"/>
            <w:vAlign w:val="bottom"/>
            <w:gridSpan w:val="2"/>
            <w:vMerge w:val="continue"/>
          </w:tcPr>
          <w:p>
            <w:pPr>
              <w:spacing w:after="0"/>
              <w:rPr>
                <w:sz w:val="7"/>
                <w:szCs w:val="7"/>
                <w:color w:val="auto"/>
              </w:rPr>
            </w:pPr>
          </w:p>
        </w:tc>
        <w:tc>
          <w:tcPr>
            <w:tcW w:w="3680" w:type="dxa"/>
            <w:vAlign w:val="bottom"/>
            <w:gridSpan w:val="2"/>
            <w:vMerge w:val="restart"/>
          </w:tcPr>
          <w:p>
            <w:pPr>
              <w:spacing w:after="0"/>
              <w:rPr>
                <w:sz w:val="20"/>
                <w:szCs w:val="20"/>
                <w:color w:val="auto"/>
              </w:rPr>
            </w:pPr>
            <w:r>
              <w:rPr>
                <w:rFonts w:ascii="Arial" w:cs="Arial" w:eastAsia="Arial" w:hAnsi="Arial"/>
                <w:sz w:val="13"/>
                <w:szCs w:val="13"/>
                <w:color w:val="auto"/>
              </w:rPr>
              <w:t>Chief Operating Officer</w:t>
            </w:r>
          </w:p>
        </w:tc>
        <w:tc>
          <w:tcPr>
            <w:tcW w:w="2860" w:type="dxa"/>
            <w:vAlign w:val="bottom"/>
            <w:gridSpan w:val="2"/>
            <w:vMerge w:val="continue"/>
          </w:tcPr>
          <w:p>
            <w:pPr>
              <w:spacing w:after="0"/>
              <w:rPr>
                <w:sz w:val="7"/>
                <w:szCs w:val="7"/>
                <w:color w:val="auto"/>
              </w:rPr>
            </w:pPr>
          </w:p>
        </w:tc>
        <w:tc>
          <w:tcPr>
            <w:tcW w:w="2300" w:type="dxa"/>
            <w:vAlign w:val="bottom"/>
            <w:vMerge w:val="continue"/>
          </w:tcPr>
          <w:p>
            <w:pPr>
              <w:spacing w:after="0"/>
              <w:rPr>
                <w:sz w:val="7"/>
                <w:szCs w:val="7"/>
                <w:color w:val="auto"/>
              </w:rPr>
            </w:pPr>
          </w:p>
        </w:tc>
        <w:tc>
          <w:tcPr>
            <w:tcW w:w="0" w:type="dxa"/>
            <w:vAlign w:val="bottom"/>
          </w:tcPr>
          <w:p>
            <w:pPr>
              <w:spacing w:after="0"/>
              <w:rPr>
                <w:sz w:val="1"/>
                <w:szCs w:val="1"/>
                <w:color w:val="auto"/>
              </w:rPr>
            </w:pPr>
          </w:p>
        </w:tc>
      </w:tr>
      <w:tr>
        <w:trPr>
          <w:trHeight w:val="77"/>
        </w:trPr>
        <w:tc>
          <w:tcPr>
            <w:tcW w:w="2520" w:type="dxa"/>
            <w:vAlign w:val="bottom"/>
          </w:tcPr>
          <w:p>
            <w:pPr>
              <w:spacing w:after="0"/>
              <w:rPr>
                <w:sz w:val="6"/>
                <w:szCs w:val="6"/>
                <w:color w:val="auto"/>
              </w:rPr>
            </w:pPr>
          </w:p>
        </w:tc>
        <w:tc>
          <w:tcPr>
            <w:tcW w:w="120" w:type="dxa"/>
            <w:vAlign w:val="bottom"/>
          </w:tcPr>
          <w:p>
            <w:pPr>
              <w:spacing w:after="0"/>
              <w:rPr>
                <w:sz w:val="6"/>
                <w:szCs w:val="6"/>
                <w:color w:val="auto"/>
              </w:rPr>
            </w:pPr>
          </w:p>
        </w:tc>
        <w:tc>
          <w:tcPr>
            <w:tcW w:w="3680" w:type="dxa"/>
            <w:vAlign w:val="bottom"/>
            <w:gridSpan w:val="2"/>
            <w:vMerge w:val="continue"/>
          </w:tcPr>
          <w:p>
            <w:pPr>
              <w:spacing w:after="0"/>
              <w:rPr>
                <w:sz w:val="6"/>
                <w:szCs w:val="6"/>
                <w:color w:val="auto"/>
              </w:rPr>
            </w:pPr>
          </w:p>
        </w:tc>
        <w:tc>
          <w:tcPr>
            <w:tcW w:w="2760" w:type="dxa"/>
            <w:vAlign w:val="bottom"/>
          </w:tcPr>
          <w:p>
            <w:pPr>
              <w:spacing w:after="0"/>
              <w:rPr>
                <w:sz w:val="6"/>
                <w:szCs w:val="6"/>
                <w:color w:val="auto"/>
              </w:rPr>
            </w:pPr>
          </w:p>
        </w:tc>
        <w:tc>
          <w:tcPr>
            <w:tcW w:w="100" w:type="dxa"/>
            <w:vAlign w:val="bottom"/>
          </w:tcPr>
          <w:p>
            <w:pPr>
              <w:spacing w:after="0"/>
              <w:rPr>
                <w:sz w:val="6"/>
                <w:szCs w:val="6"/>
                <w:color w:val="auto"/>
              </w:rPr>
            </w:pPr>
          </w:p>
        </w:tc>
        <w:tc>
          <w:tcPr>
            <w:tcW w:w="230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145"/>
        </w:trPr>
        <w:tc>
          <w:tcPr>
            <w:tcW w:w="2640" w:type="dxa"/>
            <w:vAlign w:val="bottom"/>
            <w:gridSpan w:val="2"/>
            <w:vMerge w:val="restart"/>
            <w:shd w:val="clear" w:color="auto" w:fill="CCEEFF"/>
          </w:tcPr>
          <w:p>
            <w:pPr>
              <w:spacing w:after="0"/>
              <w:rPr>
                <w:sz w:val="20"/>
                <w:szCs w:val="20"/>
                <w:color w:val="auto"/>
              </w:rPr>
            </w:pPr>
            <w:r>
              <w:rPr>
                <w:rFonts w:ascii="Arial" w:cs="Arial" w:eastAsia="Arial" w:hAnsi="Arial"/>
                <w:sz w:val="13"/>
                <w:szCs w:val="13"/>
                <w:color w:val="auto"/>
              </w:rPr>
              <w:t>Alejandro Jaramillo</w:t>
            </w:r>
          </w:p>
        </w:tc>
        <w:tc>
          <w:tcPr>
            <w:tcW w:w="3680" w:type="dxa"/>
            <w:vAlign w:val="bottom"/>
            <w:gridSpan w:val="2"/>
            <w:shd w:val="clear" w:color="auto" w:fill="CCEEFF"/>
          </w:tcPr>
          <w:p>
            <w:pPr>
              <w:spacing w:after="0" w:line="146" w:lineRule="exact"/>
              <w:rPr>
                <w:sz w:val="20"/>
                <w:szCs w:val="20"/>
                <w:color w:val="auto"/>
              </w:rPr>
            </w:pPr>
            <w:r>
              <w:rPr>
                <w:rFonts w:ascii="Arial" w:cs="Arial" w:eastAsia="Arial" w:hAnsi="Arial"/>
                <w:sz w:val="13"/>
                <w:szCs w:val="13"/>
                <w:color w:val="auto"/>
              </w:rPr>
              <w:t>Executive Vice President</w:t>
            </w:r>
          </w:p>
        </w:tc>
        <w:tc>
          <w:tcPr>
            <w:tcW w:w="2860" w:type="dxa"/>
            <w:vAlign w:val="bottom"/>
            <w:gridSpan w:val="2"/>
            <w:vMerge w:val="restart"/>
            <w:shd w:val="clear" w:color="auto" w:fill="CCEEFF"/>
          </w:tcPr>
          <w:p>
            <w:pPr>
              <w:jc w:val="center"/>
              <w:ind w:right="100"/>
              <w:spacing w:after="0"/>
              <w:rPr>
                <w:sz w:val="20"/>
                <w:szCs w:val="20"/>
                <w:color w:val="auto"/>
              </w:rPr>
            </w:pPr>
            <w:r>
              <w:rPr>
                <w:rFonts w:ascii="Arial" w:cs="Arial" w:eastAsia="Arial" w:hAnsi="Arial"/>
                <w:sz w:val="13"/>
                <w:szCs w:val="13"/>
                <w:color w:val="auto"/>
                <w:w w:val="94"/>
              </w:rPr>
              <w:t>Colombia</w:t>
            </w:r>
          </w:p>
        </w:tc>
        <w:tc>
          <w:tcPr>
            <w:tcW w:w="2300" w:type="dxa"/>
            <w:vAlign w:val="bottom"/>
            <w:vMerge w:val="restart"/>
            <w:shd w:val="clear" w:color="auto" w:fill="CCEEFF"/>
          </w:tcPr>
          <w:p>
            <w:pPr>
              <w:jc w:val="center"/>
              <w:spacing w:after="0"/>
              <w:rPr>
                <w:sz w:val="20"/>
                <w:szCs w:val="20"/>
                <w:color w:val="auto"/>
              </w:rPr>
            </w:pPr>
            <w:r>
              <w:rPr>
                <w:rFonts w:ascii="Arial" w:cs="Arial" w:eastAsia="Arial" w:hAnsi="Arial"/>
                <w:sz w:val="13"/>
                <w:szCs w:val="13"/>
                <w:color w:val="auto"/>
                <w:w w:val="82"/>
              </w:rPr>
              <w:t>43</w:t>
            </w:r>
          </w:p>
        </w:tc>
        <w:tc>
          <w:tcPr>
            <w:tcW w:w="0" w:type="dxa"/>
            <w:vAlign w:val="bottom"/>
          </w:tcPr>
          <w:p>
            <w:pPr>
              <w:spacing w:after="0"/>
              <w:rPr>
                <w:sz w:val="1"/>
                <w:szCs w:val="1"/>
                <w:color w:val="auto"/>
              </w:rPr>
            </w:pPr>
          </w:p>
        </w:tc>
      </w:tr>
      <w:tr>
        <w:trPr>
          <w:trHeight w:val="85"/>
        </w:trPr>
        <w:tc>
          <w:tcPr>
            <w:tcW w:w="2640" w:type="dxa"/>
            <w:vAlign w:val="bottom"/>
            <w:gridSpan w:val="2"/>
            <w:vMerge w:val="continue"/>
            <w:shd w:val="clear" w:color="auto" w:fill="CCEEFF"/>
          </w:tcPr>
          <w:p>
            <w:pPr>
              <w:spacing w:after="0"/>
              <w:rPr>
                <w:sz w:val="7"/>
                <w:szCs w:val="7"/>
                <w:color w:val="auto"/>
              </w:rPr>
            </w:pPr>
          </w:p>
        </w:tc>
        <w:tc>
          <w:tcPr>
            <w:tcW w:w="3680" w:type="dxa"/>
            <w:vAlign w:val="bottom"/>
            <w:gridSpan w:val="2"/>
            <w:vMerge w:val="restart"/>
            <w:shd w:val="clear" w:color="auto" w:fill="CCEEFF"/>
          </w:tcPr>
          <w:p>
            <w:pPr>
              <w:spacing w:after="0"/>
              <w:rPr>
                <w:sz w:val="20"/>
                <w:szCs w:val="20"/>
                <w:color w:val="auto"/>
              </w:rPr>
            </w:pPr>
            <w:r>
              <w:rPr>
                <w:rFonts w:ascii="Arial" w:cs="Arial" w:eastAsia="Arial" w:hAnsi="Arial"/>
                <w:sz w:val="13"/>
                <w:szCs w:val="13"/>
                <w:color w:val="auto"/>
              </w:rPr>
              <w:t>Chief Commercial Officer</w:t>
            </w:r>
          </w:p>
        </w:tc>
        <w:tc>
          <w:tcPr>
            <w:tcW w:w="2860" w:type="dxa"/>
            <w:vAlign w:val="bottom"/>
            <w:gridSpan w:val="2"/>
            <w:vMerge w:val="continue"/>
            <w:shd w:val="clear" w:color="auto" w:fill="CCEEFF"/>
          </w:tcPr>
          <w:p>
            <w:pPr>
              <w:spacing w:after="0"/>
              <w:rPr>
                <w:sz w:val="7"/>
                <w:szCs w:val="7"/>
                <w:color w:val="auto"/>
              </w:rPr>
            </w:pPr>
          </w:p>
        </w:tc>
        <w:tc>
          <w:tcPr>
            <w:tcW w:w="2300" w:type="dxa"/>
            <w:vAlign w:val="bottom"/>
            <w:vMerge w:val="continue"/>
            <w:shd w:val="clear" w:color="auto" w:fill="CCEEFF"/>
          </w:tcPr>
          <w:p>
            <w:pPr>
              <w:spacing w:after="0"/>
              <w:rPr>
                <w:sz w:val="7"/>
                <w:szCs w:val="7"/>
                <w:color w:val="auto"/>
              </w:rPr>
            </w:pPr>
          </w:p>
        </w:tc>
        <w:tc>
          <w:tcPr>
            <w:tcW w:w="0" w:type="dxa"/>
            <w:vAlign w:val="bottom"/>
          </w:tcPr>
          <w:p>
            <w:pPr>
              <w:spacing w:after="0"/>
              <w:rPr>
                <w:sz w:val="1"/>
                <w:szCs w:val="1"/>
                <w:color w:val="auto"/>
              </w:rPr>
            </w:pPr>
          </w:p>
        </w:tc>
      </w:tr>
      <w:tr>
        <w:trPr>
          <w:trHeight w:val="78"/>
        </w:trPr>
        <w:tc>
          <w:tcPr>
            <w:tcW w:w="2520" w:type="dxa"/>
            <w:vAlign w:val="bottom"/>
            <w:shd w:val="clear" w:color="auto" w:fill="CCEEFF"/>
          </w:tcPr>
          <w:p>
            <w:pPr>
              <w:spacing w:after="0"/>
              <w:rPr>
                <w:sz w:val="6"/>
                <w:szCs w:val="6"/>
                <w:color w:val="auto"/>
              </w:rPr>
            </w:pPr>
          </w:p>
        </w:tc>
        <w:tc>
          <w:tcPr>
            <w:tcW w:w="120" w:type="dxa"/>
            <w:vAlign w:val="bottom"/>
            <w:shd w:val="clear" w:color="auto" w:fill="CCEEFF"/>
          </w:tcPr>
          <w:p>
            <w:pPr>
              <w:spacing w:after="0"/>
              <w:rPr>
                <w:sz w:val="6"/>
                <w:szCs w:val="6"/>
                <w:color w:val="auto"/>
              </w:rPr>
            </w:pPr>
          </w:p>
        </w:tc>
        <w:tc>
          <w:tcPr>
            <w:tcW w:w="3680" w:type="dxa"/>
            <w:vAlign w:val="bottom"/>
            <w:gridSpan w:val="2"/>
            <w:vMerge w:val="continue"/>
            <w:shd w:val="clear" w:color="auto" w:fill="CCEEFF"/>
          </w:tcPr>
          <w:p>
            <w:pPr>
              <w:spacing w:after="0"/>
              <w:rPr>
                <w:sz w:val="6"/>
                <w:szCs w:val="6"/>
                <w:color w:val="auto"/>
              </w:rPr>
            </w:pPr>
          </w:p>
        </w:tc>
        <w:tc>
          <w:tcPr>
            <w:tcW w:w="2760" w:type="dxa"/>
            <w:vAlign w:val="bottom"/>
            <w:shd w:val="clear" w:color="auto" w:fill="CCEEFF"/>
          </w:tcPr>
          <w:p>
            <w:pPr>
              <w:spacing w:after="0"/>
              <w:rPr>
                <w:sz w:val="6"/>
                <w:szCs w:val="6"/>
                <w:color w:val="auto"/>
              </w:rPr>
            </w:pPr>
          </w:p>
        </w:tc>
        <w:tc>
          <w:tcPr>
            <w:tcW w:w="100" w:type="dxa"/>
            <w:vAlign w:val="bottom"/>
            <w:shd w:val="clear" w:color="auto" w:fill="CCEEFF"/>
          </w:tcPr>
          <w:p>
            <w:pPr>
              <w:spacing w:after="0"/>
              <w:rPr>
                <w:sz w:val="6"/>
                <w:szCs w:val="6"/>
                <w:color w:val="auto"/>
              </w:rPr>
            </w:pPr>
          </w:p>
        </w:tc>
        <w:tc>
          <w:tcPr>
            <w:tcW w:w="2300" w:type="dxa"/>
            <w:vAlign w:val="bottom"/>
            <w:shd w:val="clear" w:color="auto" w:fill="CCEEFF"/>
          </w:tcPr>
          <w:p>
            <w:pPr>
              <w:spacing w:after="0"/>
              <w:rPr>
                <w:sz w:val="6"/>
                <w:szCs w:val="6"/>
                <w:color w:val="auto"/>
              </w:rPr>
            </w:pPr>
          </w:p>
        </w:tc>
        <w:tc>
          <w:tcPr>
            <w:tcW w:w="0" w:type="dxa"/>
            <w:vAlign w:val="bottom"/>
          </w:tcPr>
          <w:p>
            <w:pPr>
              <w:spacing w:after="0"/>
              <w:rPr>
                <w:sz w:val="1"/>
                <w:szCs w:val="1"/>
                <w:color w:val="auto"/>
              </w:rPr>
            </w:pPr>
          </w:p>
        </w:tc>
      </w:tr>
      <w:tr>
        <w:trPr>
          <w:trHeight w:val="145"/>
        </w:trPr>
        <w:tc>
          <w:tcPr>
            <w:tcW w:w="2640" w:type="dxa"/>
            <w:vAlign w:val="bottom"/>
            <w:gridSpan w:val="2"/>
            <w:vMerge w:val="restart"/>
          </w:tcPr>
          <w:p>
            <w:pPr>
              <w:spacing w:after="0"/>
              <w:rPr>
                <w:sz w:val="20"/>
                <w:szCs w:val="20"/>
                <w:color w:val="auto"/>
              </w:rPr>
            </w:pPr>
            <w:r>
              <w:rPr>
                <w:rFonts w:ascii="Arial" w:cs="Arial" w:eastAsia="Arial" w:hAnsi="Arial"/>
                <w:sz w:val="13"/>
                <w:szCs w:val="13"/>
                <w:color w:val="auto"/>
              </w:rPr>
              <w:t>Ana Graciela de Méndez</w:t>
            </w:r>
          </w:p>
        </w:tc>
        <w:tc>
          <w:tcPr>
            <w:tcW w:w="3680" w:type="dxa"/>
            <w:vAlign w:val="bottom"/>
            <w:gridSpan w:val="2"/>
          </w:tcPr>
          <w:p>
            <w:pPr>
              <w:spacing w:after="0" w:line="146" w:lineRule="exact"/>
              <w:rPr>
                <w:sz w:val="20"/>
                <w:szCs w:val="20"/>
                <w:color w:val="auto"/>
              </w:rPr>
            </w:pPr>
            <w:r>
              <w:rPr>
                <w:rFonts w:ascii="Arial" w:cs="Arial" w:eastAsia="Arial" w:hAnsi="Arial"/>
                <w:sz w:val="13"/>
                <w:szCs w:val="13"/>
                <w:color w:val="auto"/>
              </w:rPr>
              <w:t>Executive Vice President</w:t>
            </w:r>
          </w:p>
        </w:tc>
        <w:tc>
          <w:tcPr>
            <w:tcW w:w="2860" w:type="dxa"/>
            <w:vAlign w:val="bottom"/>
            <w:gridSpan w:val="2"/>
            <w:vMerge w:val="restart"/>
          </w:tcPr>
          <w:p>
            <w:pPr>
              <w:jc w:val="center"/>
              <w:ind w:right="100"/>
              <w:spacing w:after="0"/>
              <w:rPr>
                <w:sz w:val="20"/>
                <w:szCs w:val="20"/>
                <w:color w:val="auto"/>
              </w:rPr>
            </w:pPr>
            <w:r>
              <w:rPr>
                <w:rFonts w:ascii="Arial" w:cs="Arial" w:eastAsia="Arial" w:hAnsi="Arial"/>
                <w:sz w:val="13"/>
                <w:szCs w:val="13"/>
                <w:color w:val="auto"/>
                <w:w w:val="82"/>
              </w:rPr>
              <w:t>Panama</w:t>
            </w:r>
          </w:p>
        </w:tc>
        <w:tc>
          <w:tcPr>
            <w:tcW w:w="2300" w:type="dxa"/>
            <w:vAlign w:val="bottom"/>
            <w:vMerge w:val="restart"/>
          </w:tcPr>
          <w:p>
            <w:pPr>
              <w:jc w:val="center"/>
              <w:spacing w:after="0"/>
              <w:rPr>
                <w:sz w:val="20"/>
                <w:szCs w:val="20"/>
                <w:color w:val="auto"/>
              </w:rPr>
            </w:pPr>
            <w:r>
              <w:rPr>
                <w:rFonts w:ascii="Arial" w:cs="Arial" w:eastAsia="Arial" w:hAnsi="Arial"/>
                <w:sz w:val="13"/>
                <w:szCs w:val="13"/>
                <w:color w:val="auto"/>
                <w:w w:val="82"/>
              </w:rPr>
              <w:t>52</w:t>
            </w:r>
          </w:p>
        </w:tc>
        <w:tc>
          <w:tcPr>
            <w:tcW w:w="0" w:type="dxa"/>
            <w:vAlign w:val="bottom"/>
          </w:tcPr>
          <w:p>
            <w:pPr>
              <w:spacing w:after="0"/>
              <w:rPr>
                <w:sz w:val="1"/>
                <w:szCs w:val="1"/>
                <w:color w:val="auto"/>
              </w:rPr>
            </w:pPr>
          </w:p>
        </w:tc>
      </w:tr>
      <w:tr>
        <w:trPr>
          <w:trHeight w:val="85"/>
        </w:trPr>
        <w:tc>
          <w:tcPr>
            <w:tcW w:w="2640" w:type="dxa"/>
            <w:vAlign w:val="bottom"/>
            <w:gridSpan w:val="2"/>
            <w:vMerge w:val="continue"/>
          </w:tcPr>
          <w:p>
            <w:pPr>
              <w:spacing w:after="0"/>
              <w:rPr>
                <w:sz w:val="7"/>
                <w:szCs w:val="7"/>
                <w:color w:val="auto"/>
              </w:rPr>
            </w:pPr>
          </w:p>
        </w:tc>
        <w:tc>
          <w:tcPr>
            <w:tcW w:w="3680" w:type="dxa"/>
            <w:vAlign w:val="bottom"/>
            <w:gridSpan w:val="2"/>
            <w:vMerge w:val="restart"/>
          </w:tcPr>
          <w:p>
            <w:pPr>
              <w:spacing w:after="0"/>
              <w:rPr>
                <w:sz w:val="20"/>
                <w:szCs w:val="20"/>
                <w:color w:val="auto"/>
              </w:rPr>
            </w:pPr>
            <w:r>
              <w:rPr>
                <w:rFonts w:ascii="Arial" w:cs="Arial" w:eastAsia="Arial" w:hAnsi="Arial"/>
                <w:sz w:val="13"/>
                <w:szCs w:val="13"/>
                <w:color w:val="auto"/>
              </w:rPr>
              <w:t>Chief Financial Officer</w:t>
            </w:r>
          </w:p>
        </w:tc>
        <w:tc>
          <w:tcPr>
            <w:tcW w:w="2860" w:type="dxa"/>
            <w:vAlign w:val="bottom"/>
            <w:gridSpan w:val="2"/>
            <w:vMerge w:val="continue"/>
          </w:tcPr>
          <w:p>
            <w:pPr>
              <w:spacing w:after="0"/>
              <w:rPr>
                <w:sz w:val="7"/>
                <w:szCs w:val="7"/>
                <w:color w:val="auto"/>
              </w:rPr>
            </w:pPr>
          </w:p>
        </w:tc>
        <w:tc>
          <w:tcPr>
            <w:tcW w:w="2300" w:type="dxa"/>
            <w:vAlign w:val="bottom"/>
            <w:vMerge w:val="continue"/>
          </w:tcPr>
          <w:p>
            <w:pPr>
              <w:spacing w:after="0"/>
              <w:rPr>
                <w:sz w:val="7"/>
                <w:szCs w:val="7"/>
                <w:color w:val="auto"/>
              </w:rPr>
            </w:pPr>
          </w:p>
        </w:tc>
        <w:tc>
          <w:tcPr>
            <w:tcW w:w="0" w:type="dxa"/>
            <w:vAlign w:val="bottom"/>
          </w:tcPr>
          <w:p>
            <w:pPr>
              <w:spacing w:after="0"/>
              <w:rPr>
                <w:sz w:val="1"/>
                <w:szCs w:val="1"/>
                <w:color w:val="auto"/>
              </w:rPr>
            </w:pPr>
          </w:p>
        </w:tc>
      </w:tr>
      <w:tr>
        <w:trPr>
          <w:trHeight w:val="77"/>
        </w:trPr>
        <w:tc>
          <w:tcPr>
            <w:tcW w:w="2520" w:type="dxa"/>
            <w:vAlign w:val="bottom"/>
          </w:tcPr>
          <w:p>
            <w:pPr>
              <w:spacing w:after="0"/>
              <w:rPr>
                <w:sz w:val="6"/>
                <w:szCs w:val="6"/>
                <w:color w:val="auto"/>
              </w:rPr>
            </w:pPr>
          </w:p>
        </w:tc>
        <w:tc>
          <w:tcPr>
            <w:tcW w:w="120" w:type="dxa"/>
            <w:vAlign w:val="bottom"/>
          </w:tcPr>
          <w:p>
            <w:pPr>
              <w:spacing w:after="0"/>
              <w:rPr>
                <w:sz w:val="6"/>
                <w:szCs w:val="6"/>
                <w:color w:val="auto"/>
              </w:rPr>
            </w:pPr>
          </w:p>
        </w:tc>
        <w:tc>
          <w:tcPr>
            <w:tcW w:w="3680" w:type="dxa"/>
            <w:vAlign w:val="bottom"/>
            <w:gridSpan w:val="2"/>
            <w:vMerge w:val="continue"/>
          </w:tcPr>
          <w:p>
            <w:pPr>
              <w:spacing w:after="0"/>
              <w:rPr>
                <w:sz w:val="6"/>
                <w:szCs w:val="6"/>
                <w:color w:val="auto"/>
              </w:rPr>
            </w:pPr>
          </w:p>
        </w:tc>
        <w:tc>
          <w:tcPr>
            <w:tcW w:w="2760" w:type="dxa"/>
            <w:vAlign w:val="bottom"/>
          </w:tcPr>
          <w:p>
            <w:pPr>
              <w:spacing w:after="0"/>
              <w:rPr>
                <w:sz w:val="6"/>
                <w:szCs w:val="6"/>
                <w:color w:val="auto"/>
              </w:rPr>
            </w:pPr>
          </w:p>
        </w:tc>
        <w:tc>
          <w:tcPr>
            <w:tcW w:w="100" w:type="dxa"/>
            <w:vAlign w:val="bottom"/>
          </w:tcPr>
          <w:p>
            <w:pPr>
              <w:spacing w:after="0"/>
              <w:rPr>
                <w:sz w:val="6"/>
                <w:szCs w:val="6"/>
                <w:color w:val="auto"/>
              </w:rPr>
            </w:pPr>
          </w:p>
        </w:tc>
        <w:tc>
          <w:tcPr>
            <w:tcW w:w="230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145"/>
        </w:trPr>
        <w:tc>
          <w:tcPr>
            <w:tcW w:w="2640" w:type="dxa"/>
            <w:vAlign w:val="bottom"/>
            <w:gridSpan w:val="2"/>
            <w:vMerge w:val="restart"/>
            <w:shd w:val="clear" w:color="auto" w:fill="CCEEFF"/>
          </w:tcPr>
          <w:p>
            <w:pPr>
              <w:spacing w:after="0"/>
              <w:rPr>
                <w:sz w:val="20"/>
                <w:szCs w:val="20"/>
                <w:color w:val="auto"/>
              </w:rPr>
            </w:pPr>
            <w:r>
              <w:rPr>
                <w:rFonts w:ascii="Arial" w:cs="Arial" w:eastAsia="Arial" w:hAnsi="Arial"/>
                <w:sz w:val="13"/>
                <w:szCs w:val="13"/>
                <w:color w:val="auto"/>
              </w:rPr>
              <w:t>Eduardo Vivone</w:t>
            </w:r>
          </w:p>
        </w:tc>
        <w:tc>
          <w:tcPr>
            <w:tcW w:w="3680" w:type="dxa"/>
            <w:vAlign w:val="bottom"/>
            <w:gridSpan w:val="2"/>
            <w:shd w:val="clear" w:color="auto" w:fill="CCEEFF"/>
          </w:tcPr>
          <w:p>
            <w:pPr>
              <w:spacing w:after="0" w:line="146" w:lineRule="exact"/>
              <w:rPr>
                <w:sz w:val="20"/>
                <w:szCs w:val="20"/>
                <w:color w:val="auto"/>
              </w:rPr>
            </w:pPr>
            <w:r>
              <w:rPr>
                <w:rFonts w:ascii="Arial" w:cs="Arial" w:eastAsia="Arial" w:hAnsi="Arial"/>
                <w:sz w:val="13"/>
                <w:szCs w:val="13"/>
                <w:color w:val="auto"/>
              </w:rPr>
              <w:t>Executive Vice President</w:t>
            </w:r>
          </w:p>
        </w:tc>
        <w:tc>
          <w:tcPr>
            <w:tcW w:w="2860" w:type="dxa"/>
            <w:vAlign w:val="bottom"/>
            <w:gridSpan w:val="2"/>
            <w:vMerge w:val="restart"/>
            <w:shd w:val="clear" w:color="auto" w:fill="CCEEFF"/>
          </w:tcPr>
          <w:p>
            <w:pPr>
              <w:jc w:val="center"/>
              <w:ind w:right="100"/>
              <w:spacing w:after="0"/>
              <w:rPr>
                <w:sz w:val="20"/>
                <w:szCs w:val="20"/>
                <w:color w:val="auto"/>
              </w:rPr>
            </w:pPr>
            <w:r>
              <w:rPr>
                <w:rFonts w:ascii="Arial" w:cs="Arial" w:eastAsia="Arial" w:hAnsi="Arial"/>
                <w:sz w:val="13"/>
                <w:szCs w:val="13"/>
                <w:color w:val="auto"/>
                <w:w w:val="93"/>
              </w:rPr>
              <w:t>Argentina</w:t>
            </w:r>
          </w:p>
        </w:tc>
        <w:tc>
          <w:tcPr>
            <w:tcW w:w="2300" w:type="dxa"/>
            <w:vAlign w:val="bottom"/>
            <w:vMerge w:val="restart"/>
            <w:shd w:val="clear" w:color="auto" w:fill="CCEEFF"/>
          </w:tcPr>
          <w:p>
            <w:pPr>
              <w:jc w:val="center"/>
              <w:spacing w:after="0"/>
              <w:rPr>
                <w:sz w:val="20"/>
                <w:szCs w:val="20"/>
                <w:color w:val="auto"/>
              </w:rPr>
            </w:pPr>
            <w:r>
              <w:rPr>
                <w:rFonts w:ascii="Arial" w:cs="Arial" w:eastAsia="Arial" w:hAnsi="Arial"/>
                <w:sz w:val="13"/>
                <w:szCs w:val="13"/>
                <w:color w:val="auto"/>
                <w:w w:val="82"/>
              </w:rPr>
              <w:t>54</w:t>
            </w:r>
          </w:p>
        </w:tc>
        <w:tc>
          <w:tcPr>
            <w:tcW w:w="0" w:type="dxa"/>
            <w:vAlign w:val="bottom"/>
          </w:tcPr>
          <w:p>
            <w:pPr>
              <w:spacing w:after="0"/>
              <w:rPr>
                <w:sz w:val="1"/>
                <w:szCs w:val="1"/>
                <w:color w:val="auto"/>
              </w:rPr>
            </w:pPr>
          </w:p>
        </w:tc>
      </w:tr>
      <w:tr>
        <w:trPr>
          <w:trHeight w:val="85"/>
        </w:trPr>
        <w:tc>
          <w:tcPr>
            <w:tcW w:w="2640" w:type="dxa"/>
            <w:vAlign w:val="bottom"/>
            <w:gridSpan w:val="2"/>
            <w:vMerge w:val="continue"/>
            <w:shd w:val="clear" w:color="auto" w:fill="CCEEFF"/>
          </w:tcPr>
          <w:p>
            <w:pPr>
              <w:spacing w:after="0"/>
              <w:rPr>
                <w:sz w:val="7"/>
                <w:szCs w:val="7"/>
                <w:color w:val="auto"/>
              </w:rPr>
            </w:pPr>
          </w:p>
        </w:tc>
        <w:tc>
          <w:tcPr>
            <w:tcW w:w="3680" w:type="dxa"/>
            <w:vAlign w:val="bottom"/>
            <w:gridSpan w:val="2"/>
            <w:vMerge w:val="restart"/>
            <w:shd w:val="clear" w:color="auto" w:fill="CCEEFF"/>
          </w:tcPr>
          <w:p>
            <w:pPr>
              <w:spacing w:after="0"/>
              <w:rPr>
                <w:sz w:val="20"/>
                <w:szCs w:val="20"/>
                <w:color w:val="auto"/>
              </w:rPr>
            </w:pPr>
            <w:r>
              <w:rPr>
                <w:rFonts w:ascii="Arial" w:cs="Arial" w:eastAsia="Arial" w:hAnsi="Arial"/>
                <w:sz w:val="13"/>
                <w:szCs w:val="13"/>
                <w:color w:val="auto"/>
              </w:rPr>
              <w:t>Treasury and Capital Markets</w:t>
            </w:r>
          </w:p>
        </w:tc>
        <w:tc>
          <w:tcPr>
            <w:tcW w:w="2860" w:type="dxa"/>
            <w:vAlign w:val="bottom"/>
            <w:gridSpan w:val="2"/>
            <w:vMerge w:val="continue"/>
            <w:shd w:val="clear" w:color="auto" w:fill="CCEEFF"/>
          </w:tcPr>
          <w:p>
            <w:pPr>
              <w:spacing w:after="0"/>
              <w:rPr>
                <w:sz w:val="7"/>
                <w:szCs w:val="7"/>
                <w:color w:val="auto"/>
              </w:rPr>
            </w:pPr>
          </w:p>
        </w:tc>
        <w:tc>
          <w:tcPr>
            <w:tcW w:w="2300" w:type="dxa"/>
            <w:vAlign w:val="bottom"/>
            <w:vMerge w:val="continue"/>
            <w:shd w:val="clear" w:color="auto" w:fill="CCEEFF"/>
          </w:tcPr>
          <w:p>
            <w:pPr>
              <w:spacing w:after="0"/>
              <w:rPr>
                <w:sz w:val="7"/>
                <w:szCs w:val="7"/>
                <w:color w:val="auto"/>
              </w:rPr>
            </w:pPr>
          </w:p>
        </w:tc>
        <w:tc>
          <w:tcPr>
            <w:tcW w:w="0" w:type="dxa"/>
            <w:vAlign w:val="bottom"/>
          </w:tcPr>
          <w:p>
            <w:pPr>
              <w:spacing w:after="0"/>
              <w:rPr>
                <w:sz w:val="1"/>
                <w:szCs w:val="1"/>
                <w:color w:val="auto"/>
              </w:rPr>
            </w:pPr>
          </w:p>
        </w:tc>
      </w:tr>
      <w:tr>
        <w:trPr>
          <w:trHeight w:val="78"/>
        </w:trPr>
        <w:tc>
          <w:tcPr>
            <w:tcW w:w="2520" w:type="dxa"/>
            <w:vAlign w:val="bottom"/>
            <w:shd w:val="clear" w:color="auto" w:fill="CCEEFF"/>
          </w:tcPr>
          <w:p>
            <w:pPr>
              <w:spacing w:after="0"/>
              <w:rPr>
                <w:sz w:val="6"/>
                <w:szCs w:val="6"/>
                <w:color w:val="auto"/>
              </w:rPr>
            </w:pPr>
          </w:p>
        </w:tc>
        <w:tc>
          <w:tcPr>
            <w:tcW w:w="120" w:type="dxa"/>
            <w:vAlign w:val="bottom"/>
            <w:shd w:val="clear" w:color="auto" w:fill="CCEEFF"/>
          </w:tcPr>
          <w:p>
            <w:pPr>
              <w:spacing w:after="0"/>
              <w:rPr>
                <w:sz w:val="6"/>
                <w:szCs w:val="6"/>
                <w:color w:val="auto"/>
              </w:rPr>
            </w:pPr>
          </w:p>
        </w:tc>
        <w:tc>
          <w:tcPr>
            <w:tcW w:w="3680" w:type="dxa"/>
            <w:vAlign w:val="bottom"/>
            <w:gridSpan w:val="2"/>
            <w:vMerge w:val="continue"/>
            <w:shd w:val="clear" w:color="auto" w:fill="CCEEFF"/>
          </w:tcPr>
          <w:p>
            <w:pPr>
              <w:spacing w:after="0"/>
              <w:rPr>
                <w:sz w:val="6"/>
                <w:szCs w:val="6"/>
                <w:color w:val="auto"/>
              </w:rPr>
            </w:pPr>
          </w:p>
        </w:tc>
        <w:tc>
          <w:tcPr>
            <w:tcW w:w="2760" w:type="dxa"/>
            <w:vAlign w:val="bottom"/>
            <w:shd w:val="clear" w:color="auto" w:fill="CCEEFF"/>
          </w:tcPr>
          <w:p>
            <w:pPr>
              <w:spacing w:after="0"/>
              <w:rPr>
                <w:sz w:val="6"/>
                <w:szCs w:val="6"/>
                <w:color w:val="auto"/>
              </w:rPr>
            </w:pPr>
          </w:p>
        </w:tc>
        <w:tc>
          <w:tcPr>
            <w:tcW w:w="100" w:type="dxa"/>
            <w:vAlign w:val="bottom"/>
            <w:shd w:val="clear" w:color="auto" w:fill="CCEEFF"/>
          </w:tcPr>
          <w:p>
            <w:pPr>
              <w:spacing w:after="0"/>
              <w:rPr>
                <w:sz w:val="6"/>
                <w:szCs w:val="6"/>
                <w:color w:val="auto"/>
              </w:rPr>
            </w:pPr>
          </w:p>
        </w:tc>
        <w:tc>
          <w:tcPr>
            <w:tcW w:w="2300" w:type="dxa"/>
            <w:vAlign w:val="bottom"/>
            <w:shd w:val="clear" w:color="auto" w:fill="CCEEFF"/>
          </w:tcPr>
          <w:p>
            <w:pPr>
              <w:spacing w:after="0"/>
              <w:rPr>
                <w:sz w:val="6"/>
                <w:szCs w:val="6"/>
                <w:color w:val="auto"/>
              </w:rPr>
            </w:pPr>
          </w:p>
        </w:tc>
        <w:tc>
          <w:tcPr>
            <w:tcW w:w="0" w:type="dxa"/>
            <w:vAlign w:val="bottom"/>
          </w:tcPr>
          <w:p>
            <w:pPr>
              <w:spacing w:after="0"/>
              <w:rPr>
                <w:sz w:val="1"/>
                <w:szCs w:val="1"/>
                <w:color w:val="auto"/>
              </w:rPr>
            </w:pPr>
          </w:p>
        </w:tc>
      </w:tr>
      <w:tr>
        <w:trPr>
          <w:trHeight w:val="145"/>
        </w:trPr>
        <w:tc>
          <w:tcPr>
            <w:tcW w:w="2640" w:type="dxa"/>
            <w:vAlign w:val="bottom"/>
            <w:gridSpan w:val="2"/>
            <w:vMerge w:val="restart"/>
          </w:tcPr>
          <w:p>
            <w:pPr>
              <w:spacing w:after="0"/>
              <w:rPr>
                <w:sz w:val="20"/>
                <w:szCs w:val="20"/>
                <w:color w:val="auto"/>
              </w:rPr>
            </w:pPr>
            <w:r>
              <w:rPr>
                <w:rFonts w:ascii="Arial" w:cs="Arial" w:eastAsia="Arial" w:hAnsi="Arial"/>
                <w:sz w:val="13"/>
                <w:szCs w:val="13"/>
                <w:color w:val="auto"/>
              </w:rPr>
              <w:t>Alejandro Tizzoni</w:t>
            </w:r>
          </w:p>
        </w:tc>
        <w:tc>
          <w:tcPr>
            <w:tcW w:w="3680" w:type="dxa"/>
            <w:vAlign w:val="bottom"/>
            <w:gridSpan w:val="2"/>
          </w:tcPr>
          <w:p>
            <w:pPr>
              <w:spacing w:after="0" w:line="146" w:lineRule="exact"/>
              <w:rPr>
                <w:sz w:val="20"/>
                <w:szCs w:val="20"/>
                <w:color w:val="auto"/>
              </w:rPr>
            </w:pPr>
            <w:r>
              <w:rPr>
                <w:rFonts w:ascii="Arial" w:cs="Arial" w:eastAsia="Arial" w:hAnsi="Arial"/>
                <w:sz w:val="13"/>
                <w:szCs w:val="13"/>
                <w:color w:val="auto"/>
              </w:rPr>
              <w:t>Executive Vice President</w:t>
            </w:r>
          </w:p>
        </w:tc>
        <w:tc>
          <w:tcPr>
            <w:tcW w:w="2860" w:type="dxa"/>
            <w:vAlign w:val="bottom"/>
            <w:gridSpan w:val="2"/>
            <w:vMerge w:val="restart"/>
          </w:tcPr>
          <w:p>
            <w:pPr>
              <w:jc w:val="center"/>
              <w:ind w:right="100"/>
              <w:spacing w:after="0"/>
              <w:rPr>
                <w:sz w:val="20"/>
                <w:szCs w:val="20"/>
                <w:color w:val="auto"/>
              </w:rPr>
            </w:pPr>
            <w:r>
              <w:rPr>
                <w:rFonts w:ascii="Arial" w:cs="Arial" w:eastAsia="Arial" w:hAnsi="Arial"/>
                <w:sz w:val="13"/>
                <w:szCs w:val="13"/>
                <w:color w:val="auto"/>
                <w:w w:val="93"/>
              </w:rPr>
              <w:t>Argentina</w:t>
            </w:r>
          </w:p>
        </w:tc>
        <w:tc>
          <w:tcPr>
            <w:tcW w:w="2300" w:type="dxa"/>
            <w:vAlign w:val="bottom"/>
            <w:vMerge w:val="restart"/>
          </w:tcPr>
          <w:p>
            <w:pPr>
              <w:jc w:val="center"/>
              <w:spacing w:after="0"/>
              <w:rPr>
                <w:sz w:val="20"/>
                <w:szCs w:val="20"/>
                <w:color w:val="auto"/>
              </w:rPr>
            </w:pPr>
            <w:r>
              <w:rPr>
                <w:rFonts w:ascii="Arial" w:cs="Arial" w:eastAsia="Arial" w:hAnsi="Arial"/>
                <w:sz w:val="13"/>
                <w:szCs w:val="13"/>
                <w:color w:val="auto"/>
                <w:w w:val="82"/>
              </w:rPr>
              <w:t>42</w:t>
            </w:r>
          </w:p>
        </w:tc>
        <w:tc>
          <w:tcPr>
            <w:tcW w:w="0" w:type="dxa"/>
            <w:vAlign w:val="bottom"/>
          </w:tcPr>
          <w:p>
            <w:pPr>
              <w:spacing w:after="0"/>
              <w:rPr>
                <w:sz w:val="1"/>
                <w:szCs w:val="1"/>
                <w:color w:val="auto"/>
              </w:rPr>
            </w:pPr>
          </w:p>
        </w:tc>
      </w:tr>
      <w:tr>
        <w:trPr>
          <w:trHeight w:val="85"/>
        </w:trPr>
        <w:tc>
          <w:tcPr>
            <w:tcW w:w="2640" w:type="dxa"/>
            <w:vAlign w:val="bottom"/>
            <w:gridSpan w:val="2"/>
            <w:vMerge w:val="continue"/>
          </w:tcPr>
          <w:p>
            <w:pPr>
              <w:spacing w:after="0"/>
              <w:rPr>
                <w:sz w:val="7"/>
                <w:szCs w:val="7"/>
                <w:color w:val="auto"/>
              </w:rPr>
            </w:pPr>
          </w:p>
        </w:tc>
        <w:tc>
          <w:tcPr>
            <w:tcW w:w="3680" w:type="dxa"/>
            <w:vAlign w:val="bottom"/>
            <w:gridSpan w:val="2"/>
            <w:vMerge w:val="restart"/>
          </w:tcPr>
          <w:p>
            <w:pPr>
              <w:spacing w:after="0"/>
              <w:rPr>
                <w:sz w:val="20"/>
                <w:szCs w:val="20"/>
                <w:color w:val="auto"/>
              </w:rPr>
            </w:pPr>
            <w:r>
              <w:rPr>
                <w:rFonts w:ascii="Arial" w:cs="Arial" w:eastAsia="Arial" w:hAnsi="Arial"/>
                <w:sz w:val="13"/>
                <w:szCs w:val="13"/>
                <w:color w:val="auto"/>
              </w:rPr>
              <w:t>Chief Risk Officer</w:t>
            </w:r>
          </w:p>
        </w:tc>
        <w:tc>
          <w:tcPr>
            <w:tcW w:w="2860" w:type="dxa"/>
            <w:vAlign w:val="bottom"/>
            <w:gridSpan w:val="2"/>
            <w:vMerge w:val="continue"/>
          </w:tcPr>
          <w:p>
            <w:pPr>
              <w:spacing w:after="0"/>
              <w:rPr>
                <w:sz w:val="7"/>
                <w:szCs w:val="7"/>
                <w:color w:val="auto"/>
              </w:rPr>
            </w:pPr>
          </w:p>
        </w:tc>
        <w:tc>
          <w:tcPr>
            <w:tcW w:w="2300" w:type="dxa"/>
            <w:vAlign w:val="bottom"/>
            <w:vMerge w:val="continue"/>
          </w:tcPr>
          <w:p>
            <w:pPr>
              <w:spacing w:after="0"/>
              <w:rPr>
                <w:sz w:val="7"/>
                <w:szCs w:val="7"/>
                <w:color w:val="auto"/>
              </w:rPr>
            </w:pPr>
          </w:p>
        </w:tc>
        <w:tc>
          <w:tcPr>
            <w:tcW w:w="0" w:type="dxa"/>
            <w:vAlign w:val="bottom"/>
          </w:tcPr>
          <w:p>
            <w:pPr>
              <w:spacing w:after="0"/>
              <w:rPr>
                <w:sz w:val="1"/>
                <w:szCs w:val="1"/>
                <w:color w:val="auto"/>
              </w:rPr>
            </w:pPr>
          </w:p>
        </w:tc>
      </w:tr>
      <w:tr>
        <w:trPr>
          <w:trHeight w:val="77"/>
        </w:trPr>
        <w:tc>
          <w:tcPr>
            <w:tcW w:w="2520" w:type="dxa"/>
            <w:vAlign w:val="bottom"/>
          </w:tcPr>
          <w:p>
            <w:pPr>
              <w:spacing w:after="0"/>
              <w:rPr>
                <w:sz w:val="6"/>
                <w:szCs w:val="6"/>
                <w:color w:val="auto"/>
              </w:rPr>
            </w:pPr>
          </w:p>
        </w:tc>
        <w:tc>
          <w:tcPr>
            <w:tcW w:w="120" w:type="dxa"/>
            <w:vAlign w:val="bottom"/>
          </w:tcPr>
          <w:p>
            <w:pPr>
              <w:spacing w:after="0"/>
              <w:rPr>
                <w:sz w:val="6"/>
                <w:szCs w:val="6"/>
                <w:color w:val="auto"/>
              </w:rPr>
            </w:pPr>
          </w:p>
        </w:tc>
        <w:tc>
          <w:tcPr>
            <w:tcW w:w="3680" w:type="dxa"/>
            <w:vAlign w:val="bottom"/>
            <w:gridSpan w:val="2"/>
            <w:vMerge w:val="continue"/>
          </w:tcPr>
          <w:p>
            <w:pPr>
              <w:spacing w:after="0"/>
              <w:rPr>
                <w:sz w:val="6"/>
                <w:szCs w:val="6"/>
                <w:color w:val="auto"/>
              </w:rPr>
            </w:pPr>
          </w:p>
        </w:tc>
        <w:tc>
          <w:tcPr>
            <w:tcW w:w="2760" w:type="dxa"/>
            <w:vAlign w:val="bottom"/>
          </w:tcPr>
          <w:p>
            <w:pPr>
              <w:spacing w:after="0"/>
              <w:rPr>
                <w:sz w:val="6"/>
                <w:szCs w:val="6"/>
                <w:color w:val="auto"/>
              </w:rPr>
            </w:pPr>
          </w:p>
        </w:tc>
        <w:tc>
          <w:tcPr>
            <w:tcW w:w="100" w:type="dxa"/>
            <w:vAlign w:val="bottom"/>
          </w:tcPr>
          <w:p>
            <w:pPr>
              <w:spacing w:after="0"/>
              <w:rPr>
                <w:sz w:val="6"/>
                <w:szCs w:val="6"/>
                <w:color w:val="auto"/>
              </w:rPr>
            </w:pPr>
          </w:p>
        </w:tc>
        <w:tc>
          <w:tcPr>
            <w:tcW w:w="230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145"/>
        </w:trPr>
        <w:tc>
          <w:tcPr>
            <w:tcW w:w="2640" w:type="dxa"/>
            <w:vAlign w:val="bottom"/>
            <w:gridSpan w:val="2"/>
            <w:vMerge w:val="restart"/>
            <w:shd w:val="clear" w:color="auto" w:fill="CCEEFF"/>
          </w:tcPr>
          <w:p>
            <w:pPr>
              <w:spacing w:after="0"/>
              <w:rPr>
                <w:sz w:val="20"/>
                <w:szCs w:val="20"/>
                <w:color w:val="auto"/>
              </w:rPr>
            </w:pPr>
            <w:r>
              <w:rPr>
                <w:rFonts w:ascii="Arial" w:cs="Arial" w:eastAsia="Arial" w:hAnsi="Arial"/>
                <w:sz w:val="13"/>
                <w:szCs w:val="13"/>
                <w:color w:val="auto"/>
              </w:rPr>
              <w:t>Jorge Luis Real</w:t>
            </w:r>
          </w:p>
        </w:tc>
        <w:tc>
          <w:tcPr>
            <w:tcW w:w="3680" w:type="dxa"/>
            <w:vAlign w:val="bottom"/>
            <w:gridSpan w:val="2"/>
            <w:shd w:val="clear" w:color="auto" w:fill="CCEEFF"/>
          </w:tcPr>
          <w:p>
            <w:pPr>
              <w:spacing w:after="0" w:line="146" w:lineRule="exact"/>
              <w:rPr>
                <w:sz w:val="20"/>
                <w:szCs w:val="20"/>
                <w:color w:val="auto"/>
              </w:rPr>
            </w:pPr>
            <w:r>
              <w:rPr>
                <w:rFonts w:ascii="Arial" w:cs="Arial" w:eastAsia="Arial" w:hAnsi="Arial"/>
                <w:sz w:val="13"/>
                <w:szCs w:val="13"/>
                <w:color w:val="auto"/>
              </w:rPr>
              <w:t>Executive Vice President</w:t>
            </w:r>
          </w:p>
        </w:tc>
        <w:tc>
          <w:tcPr>
            <w:tcW w:w="2860" w:type="dxa"/>
            <w:vAlign w:val="bottom"/>
            <w:gridSpan w:val="2"/>
            <w:vMerge w:val="restart"/>
            <w:shd w:val="clear" w:color="auto" w:fill="CCEEFF"/>
          </w:tcPr>
          <w:p>
            <w:pPr>
              <w:jc w:val="center"/>
              <w:ind w:right="100"/>
              <w:spacing w:after="0"/>
              <w:rPr>
                <w:sz w:val="20"/>
                <w:szCs w:val="20"/>
                <w:color w:val="auto"/>
              </w:rPr>
            </w:pPr>
            <w:r>
              <w:rPr>
                <w:rFonts w:ascii="Arial" w:cs="Arial" w:eastAsia="Arial" w:hAnsi="Arial"/>
                <w:sz w:val="13"/>
                <w:szCs w:val="13"/>
                <w:color w:val="auto"/>
                <w:w w:val="82"/>
              </w:rPr>
              <w:t>Panama</w:t>
            </w:r>
          </w:p>
        </w:tc>
        <w:tc>
          <w:tcPr>
            <w:tcW w:w="2300" w:type="dxa"/>
            <w:vAlign w:val="bottom"/>
            <w:vMerge w:val="restart"/>
            <w:shd w:val="clear" w:color="auto" w:fill="CCEEFF"/>
          </w:tcPr>
          <w:p>
            <w:pPr>
              <w:jc w:val="center"/>
              <w:spacing w:after="0"/>
              <w:rPr>
                <w:sz w:val="20"/>
                <w:szCs w:val="20"/>
                <w:color w:val="auto"/>
              </w:rPr>
            </w:pPr>
            <w:r>
              <w:rPr>
                <w:rFonts w:ascii="Arial" w:cs="Arial" w:eastAsia="Arial" w:hAnsi="Arial"/>
                <w:sz w:val="13"/>
                <w:szCs w:val="13"/>
                <w:color w:val="auto"/>
                <w:w w:val="82"/>
              </w:rPr>
              <w:t>46</w:t>
            </w:r>
          </w:p>
        </w:tc>
        <w:tc>
          <w:tcPr>
            <w:tcW w:w="0" w:type="dxa"/>
            <w:vAlign w:val="bottom"/>
          </w:tcPr>
          <w:p>
            <w:pPr>
              <w:spacing w:after="0"/>
              <w:rPr>
                <w:sz w:val="1"/>
                <w:szCs w:val="1"/>
                <w:color w:val="auto"/>
              </w:rPr>
            </w:pPr>
          </w:p>
        </w:tc>
      </w:tr>
      <w:tr>
        <w:trPr>
          <w:trHeight w:val="85"/>
        </w:trPr>
        <w:tc>
          <w:tcPr>
            <w:tcW w:w="2640" w:type="dxa"/>
            <w:vAlign w:val="bottom"/>
            <w:gridSpan w:val="2"/>
            <w:vMerge w:val="continue"/>
            <w:shd w:val="clear" w:color="auto" w:fill="CCEEFF"/>
          </w:tcPr>
          <w:p>
            <w:pPr>
              <w:spacing w:after="0"/>
              <w:rPr>
                <w:sz w:val="7"/>
                <w:szCs w:val="7"/>
                <w:color w:val="auto"/>
              </w:rPr>
            </w:pPr>
          </w:p>
        </w:tc>
        <w:tc>
          <w:tcPr>
            <w:tcW w:w="3680" w:type="dxa"/>
            <w:vAlign w:val="bottom"/>
            <w:gridSpan w:val="2"/>
            <w:vMerge w:val="restart"/>
            <w:shd w:val="clear" w:color="auto" w:fill="CCEEFF"/>
          </w:tcPr>
          <w:p>
            <w:pPr>
              <w:spacing w:after="0"/>
              <w:rPr>
                <w:sz w:val="20"/>
                <w:szCs w:val="20"/>
                <w:color w:val="auto"/>
              </w:rPr>
            </w:pPr>
            <w:r>
              <w:rPr>
                <w:rFonts w:ascii="Arial" w:cs="Arial" w:eastAsia="Arial" w:hAnsi="Arial"/>
                <w:sz w:val="13"/>
                <w:szCs w:val="13"/>
                <w:color w:val="auto"/>
              </w:rPr>
              <w:t>Chief Legal Officer and Secretary of the Board of Directors</w:t>
            </w:r>
          </w:p>
        </w:tc>
        <w:tc>
          <w:tcPr>
            <w:tcW w:w="2860" w:type="dxa"/>
            <w:vAlign w:val="bottom"/>
            <w:gridSpan w:val="2"/>
            <w:vMerge w:val="continue"/>
            <w:shd w:val="clear" w:color="auto" w:fill="CCEEFF"/>
          </w:tcPr>
          <w:p>
            <w:pPr>
              <w:spacing w:after="0"/>
              <w:rPr>
                <w:sz w:val="7"/>
                <w:szCs w:val="7"/>
                <w:color w:val="auto"/>
              </w:rPr>
            </w:pPr>
          </w:p>
        </w:tc>
        <w:tc>
          <w:tcPr>
            <w:tcW w:w="2300" w:type="dxa"/>
            <w:vAlign w:val="bottom"/>
            <w:vMerge w:val="continue"/>
            <w:shd w:val="clear" w:color="auto" w:fill="CCEEFF"/>
          </w:tcPr>
          <w:p>
            <w:pPr>
              <w:spacing w:after="0"/>
              <w:rPr>
                <w:sz w:val="7"/>
                <w:szCs w:val="7"/>
                <w:color w:val="auto"/>
              </w:rPr>
            </w:pPr>
          </w:p>
        </w:tc>
        <w:tc>
          <w:tcPr>
            <w:tcW w:w="0" w:type="dxa"/>
            <w:vAlign w:val="bottom"/>
          </w:tcPr>
          <w:p>
            <w:pPr>
              <w:spacing w:after="0"/>
              <w:rPr>
                <w:sz w:val="1"/>
                <w:szCs w:val="1"/>
                <w:color w:val="auto"/>
              </w:rPr>
            </w:pPr>
          </w:p>
        </w:tc>
      </w:tr>
      <w:tr>
        <w:trPr>
          <w:trHeight w:val="78"/>
        </w:trPr>
        <w:tc>
          <w:tcPr>
            <w:tcW w:w="2520" w:type="dxa"/>
            <w:vAlign w:val="bottom"/>
            <w:shd w:val="clear" w:color="auto" w:fill="CCEEFF"/>
          </w:tcPr>
          <w:p>
            <w:pPr>
              <w:spacing w:after="0"/>
              <w:rPr>
                <w:sz w:val="6"/>
                <w:szCs w:val="6"/>
                <w:color w:val="auto"/>
              </w:rPr>
            </w:pPr>
          </w:p>
        </w:tc>
        <w:tc>
          <w:tcPr>
            <w:tcW w:w="120" w:type="dxa"/>
            <w:vAlign w:val="bottom"/>
            <w:shd w:val="clear" w:color="auto" w:fill="CCEEFF"/>
          </w:tcPr>
          <w:p>
            <w:pPr>
              <w:spacing w:after="0"/>
              <w:rPr>
                <w:sz w:val="6"/>
                <w:szCs w:val="6"/>
                <w:color w:val="auto"/>
              </w:rPr>
            </w:pPr>
          </w:p>
        </w:tc>
        <w:tc>
          <w:tcPr>
            <w:tcW w:w="3680" w:type="dxa"/>
            <w:vAlign w:val="bottom"/>
            <w:gridSpan w:val="2"/>
            <w:vMerge w:val="continue"/>
            <w:shd w:val="clear" w:color="auto" w:fill="CCEEFF"/>
          </w:tcPr>
          <w:p>
            <w:pPr>
              <w:spacing w:after="0"/>
              <w:rPr>
                <w:sz w:val="6"/>
                <w:szCs w:val="6"/>
                <w:color w:val="auto"/>
              </w:rPr>
            </w:pPr>
          </w:p>
        </w:tc>
        <w:tc>
          <w:tcPr>
            <w:tcW w:w="2760" w:type="dxa"/>
            <w:vAlign w:val="bottom"/>
            <w:shd w:val="clear" w:color="auto" w:fill="CCEEFF"/>
          </w:tcPr>
          <w:p>
            <w:pPr>
              <w:spacing w:after="0"/>
              <w:rPr>
                <w:sz w:val="6"/>
                <w:szCs w:val="6"/>
                <w:color w:val="auto"/>
              </w:rPr>
            </w:pPr>
          </w:p>
        </w:tc>
        <w:tc>
          <w:tcPr>
            <w:tcW w:w="100" w:type="dxa"/>
            <w:vAlign w:val="bottom"/>
            <w:shd w:val="clear" w:color="auto" w:fill="CCEEFF"/>
          </w:tcPr>
          <w:p>
            <w:pPr>
              <w:spacing w:after="0"/>
              <w:rPr>
                <w:sz w:val="6"/>
                <w:szCs w:val="6"/>
                <w:color w:val="auto"/>
              </w:rPr>
            </w:pPr>
          </w:p>
        </w:tc>
        <w:tc>
          <w:tcPr>
            <w:tcW w:w="2300" w:type="dxa"/>
            <w:vAlign w:val="bottom"/>
            <w:shd w:val="clear" w:color="auto" w:fill="CCEEFF"/>
          </w:tcPr>
          <w:p>
            <w:pPr>
              <w:spacing w:after="0"/>
              <w:rPr>
                <w:sz w:val="6"/>
                <w:szCs w:val="6"/>
                <w:color w:val="auto"/>
              </w:rPr>
            </w:pPr>
          </w:p>
        </w:tc>
        <w:tc>
          <w:tcPr>
            <w:tcW w:w="0" w:type="dxa"/>
            <w:vAlign w:val="bottom"/>
          </w:tcPr>
          <w:p>
            <w:pPr>
              <w:spacing w:after="0"/>
              <w:rPr>
                <w:sz w:val="1"/>
                <w:szCs w:val="1"/>
                <w:color w:val="auto"/>
              </w:rPr>
            </w:pPr>
          </w:p>
        </w:tc>
      </w:tr>
      <w:tr>
        <w:trPr>
          <w:trHeight w:val="145"/>
        </w:trPr>
        <w:tc>
          <w:tcPr>
            <w:tcW w:w="2640" w:type="dxa"/>
            <w:vAlign w:val="bottom"/>
            <w:gridSpan w:val="2"/>
            <w:vMerge w:val="restart"/>
          </w:tcPr>
          <w:p>
            <w:pPr>
              <w:spacing w:after="0"/>
              <w:rPr>
                <w:sz w:val="20"/>
                <w:szCs w:val="20"/>
                <w:color w:val="auto"/>
              </w:rPr>
            </w:pPr>
            <w:r>
              <w:rPr>
                <w:rFonts w:ascii="Arial" w:cs="Arial" w:eastAsia="Arial" w:hAnsi="Arial"/>
                <w:sz w:val="13"/>
                <w:szCs w:val="13"/>
                <w:color w:val="auto"/>
              </w:rPr>
              <w:t>Jorge Córdoba</w:t>
            </w:r>
          </w:p>
        </w:tc>
        <w:tc>
          <w:tcPr>
            <w:tcW w:w="3680" w:type="dxa"/>
            <w:vAlign w:val="bottom"/>
            <w:gridSpan w:val="2"/>
          </w:tcPr>
          <w:p>
            <w:pPr>
              <w:spacing w:after="0" w:line="146" w:lineRule="exact"/>
              <w:rPr>
                <w:sz w:val="20"/>
                <w:szCs w:val="20"/>
                <w:color w:val="auto"/>
              </w:rPr>
            </w:pPr>
            <w:r>
              <w:rPr>
                <w:rFonts w:ascii="Arial" w:cs="Arial" w:eastAsia="Arial" w:hAnsi="Arial"/>
                <w:sz w:val="13"/>
                <w:szCs w:val="13"/>
                <w:color w:val="auto"/>
              </w:rPr>
              <w:t>Executive Vice President</w:t>
            </w:r>
          </w:p>
        </w:tc>
        <w:tc>
          <w:tcPr>
            <w:tcW w:w="2860" w:type="dxa"/>
            <w:vAlign w:val="bottom"/>
            <w:gridSpan w:val="2"/>
            <w:vMerge w:val="restart"/>
          </w:tcPr>
          <w:p>
            <w:pPr>
              <w:jc w:val="center"/>
              <w:ind w:right="100"/>
              <w:spacing w:after="0"/>
              <w:rPr>
                <w:sz w:val="20"/>
                <w:szCs w:val="20"/>
                <w:color w:val="auto"/>
              </w:rPr>
            </w:pPr>
            <w:r>
              <w:rPr>
                <w:rFonts w:ascii="Arial" w:cs="Arial" w:eastAsia="Arial" w:hAnsi="Arial"/>
                <w:sz w:val="13"/>
                <w:szCs w:val="13"/>
                <w:color w:val="auto"/>
                <w:w w:val="82"/>
              </w:rPr>
              <w:t>Panama</w:t>
            </w:r>
          </w:p>
        </w:tc>
        <w:tc>
          <w:tcPr>
            <w:tcW w:w="2300" w:type="dxa"/>
            <w:vAlign w:val="bottom"/>
            <w:vMerge w:val="restart"/>
          </w:tcPr>
          <w:p>
            <w:pPr>
              <w:jc w:val="center"/>
              <w:spacing w:after="0"/>
              <w:rPr>
                <w:sz w:val="20"/>
                <w:szCs w:val="20"/>
                <w:color w:val="auto"/>
              </w:rPr>
            </w:pPr>
            <w:r>
              <w:rPr>
                <w:rFonts w:ascii="Arial" w:cs="Arial" w:eastAsia="Arial" w:hAnsi="Arial"/>
                <w:sz w:val="13"/>
                <w:szCs w:val="13"/>
                <w:color w:val="auto"/>
                <w:w w:val="82"/>
              </w:rPr>
              <w:t>45</w:t>
            </w:r>
          </w:p>
        </w:tc>
        <w:tc>
          <w:tcPr>
            <w:tcW w:w="0" w:type="dxa"/>
            <w:vAlign w:val="bottom"/>
          </w:tcPr>
          <w:p>
            <w:pPr>
              <w:spacing w:after="0"/>
              <w:rPr>
                <w:sz w:val="1"/>
                <w:szCs w:val="1"/>
                <w:color w:val="auto"/>
              </w:rPr>
            </w:pPr>
          </w:p>
        </w:tc>
      </w:tr>
      <w:tr>
        <w:trPr>
          <w:trHeight w:val="85"/>
        </w:trPr>
        <w:tc>
          <w:tcPr>
            <w:tcW w:w="2640" w:type="dxa"/>
            <w:vAlign w:val="bottom"/>
            <w:gridSpan w:val="2"/>
            <w:vMerge w:val="continue"/>
          </w:tcPr>
          <w:p>
            <w:pPr>
              <w:spacing w:after="0"/>
              <w:rPr>
                <w:sz w:val="7"/>
                <w:szCs w:val="7"/>
                <w:color w:val="auto"/>
              </w:rPr>
            </w:pPr>
          </w:p>
        </w:tc>
        <w:tc>
          <w:tcPr>
            <w:tcW w:w="3680" w:type="dxa"/>
            <w:vAlign w:val="bottom"/>
            <w:gridSpan w:val="2"/>
            <w:vMerge w:val="restart"/>
          </w:tcPr>
          <w:p>
            <w:pPr>
              <w:spacing w:after="0"/>
              <w:rPr>
                <w:sz w:val="20"/>
                <w:szCs w:val="20"/>
                <w:color w:val="auto"/>
              </w:rPr>
            </w:pPr>
            <w:r>
              <w:rPr>
                <w:rFonts w:ascii="Arial" w:cs="Arial" w:eastAsia="Arial" w:hAnsi="Arial"/>
                <w:sz w:val="13"/>
                <w:szCs w:val="13"/>
                <w:color w:val="auto"/>
              </w:rPr>
              <w:t>Chief Audit Officer</w:t>
            </w:r>
          </w:p>
        </w:tc>
        <w:tc>
          <w:tcPr>
            <w:tcW w:w="2860" w:type="dxa"/>
            <w:vAlign w:val="bottom"/>
            <w:gridSpan w:val="2"/>
            <w:vMerge w:val="continue"/>
          </w:tcPr>
          <w:p>
            <w:pPr>
              <w:spacing w:after="0"/>
              <w:rPr>
                <w:sz w:val="7"/>
                <w:szCs w:val="7"/>
                <w:color w:val="auto"/>
              </w:rPr>
            </w:pPr>
          </w:p>
        </w:tc>
        <w:tc>
          <w:tcPr>
            <w:tcW w:w="2300" w:type="dxa"/>
            <w:vAlign w:val="bottom"/>
            <w:vMerge w:val="continue"/>
          </w:tcPr>
          <w:p>
            <w:pPr>
              <w:spacing w:after="0"/>
              <w:rPr>
                <w:sz w:val="7"/>
                <w:szCs w:val="7"/>
                <w:color w:val="auto"/>
              </w:rPr>
            </w:pPr>
          </w:p>
        </w:tc>
        <w:tc>
          <w:tcPr>
            <w:tcW w:w="0" w:type="dxa"/>
            <w:vAlign w:val="bottom"/>
          </w:tcPr>
          <w:p>
            <w:pPr>
              <w:spacing w:after="0"/>
              <w:rPr>
                <w:sz w:val="1"/>
                <w:szCs w:val="1"/>
                <w:color w:val="auto"/>
              </w:rPr>
            </w:pPr>
          </w:p>
        </w:tc>
      </w:tr>
      <w:tr>
        <w:trPr>
          <w:trHeight w:val="77"/>
        </w:trPr>
        <w:tc>
          <w:tcPr>
            <w:tcW w:w="2520" w:type="dxa"/>
            <w:vAlign w:val="bottom"/>
          </w:tcPr>
          <w:p>
            <w:pPr>
              <w:spacing w:after="0"/>
              <w:rPr>
                <w:sz w:val="6"/>
                <w:szCs w:val="6"/>
                <w:color w:val="auto"/>
              </w:rPr>
            </w:pPr>
          </w:p>
        </w:tc>
        <w:tc>
          <w:tcPr>
            <w:tcW w:w="120" w:type="dxa"/>
            <w:vAlign w:val="bottom"/>
          </w:tcPr>
          <w:p>
            <w:pPr>
              <w:spacing w:after="0"/>
              <w:rPr>
                <w:sz w:val="6"/>
                <w:szCs w:val="6"/>
                <w:color w:val="auto"/>
              </w:rPr>
            </w:pPr>
          </w:p>
        </w:tc>
        <w:tc>
          <w:tcPr>
            <w:tcW w:w="3680" w:type="dxa"/>
            <w:vAlign w:val="bottom"/>
            <w:gridSpan w:val="2"/>
            <w:vMerge w:val="continue"/>
          </w:tcPr>
          <w:p>
            <w:pPr>
              <w:spacing w:after="0"/>
              <w:rPr>
                <w:sz w:val="6"/>
                <w:szCs w:val="6"/>
                <w:color w:val="auto"/>
              </w:rPr>
            </w:pPr>
          </w:p>
        </w:tc>
        <w:tc>
          <w:tcPr>
            <w:tcW w:w="2760" w:type="dxa"/>
            <w:vAlign w:val="bottom"/>
          </w:tcPr>
          <w:p>
            <w:pPr>
              <w:spacing w:after="0"/>
              <w:rPr>
                <w:sz w:val="6"/>
                <w:szCs w:val="6"/>
                <w:color w:val="auto"/>
              </w:rPr>
            </w:pPr>
          </w:p>
        </w:tc>
        <w:tc>
          <w:tcPr>
            <w:tcW w:w="100" w:type="dxa"/>
            <w:vAlign w:val="bottom"/>
          </w:tcPr>
          <w:p>
            <w:pPr>
              <w:spacing w:after="0"/>
              <w:rPr>
                <w:sz w:val="6"/>
                <w:szCs w:val="6"/>
                <w:color w:val="auto"/>
              </w:rPr>
            </w:pPr>
          </w:p>
        </w:tc>
        <w:tc>
          <w:tcPr>
            <w:tcW w:w="2300" w:type="dxa"/>
            <w:vAlign w:val="bottom"/>
          </w:tcPr>
          <w:p>
            <w:pPr>
              <w:spacing w:after="0"/>
              <w:rPr>
                <w:sz w:val="6"/>
                <w:szCs w:val="6"/>
                <w:color w:val="auto"/>
              </w:rPr>
            </w:pPr>
          </w:p>
        </w:tc>
        <w:tc>
          <w:tcPr>
            <w:tcW w:w="0" w:type="dxa"/>
            <w:vAlign w:val="bottom"/>
          </w:tcPr>
          <w:p>
            <w:pPr>
              <w:spacing w:after="0"/>
              <w:rPr>
                <w:sz w:val="1"/>
                <w:szCs w:val="1"/>
                <w:color w:val="auto"/>
              </w:rPr>
            </w:pPr>
          </w:p>
        </w:tc>
      </w:tr>
    </w:tbl>
    <w:p>
      <w:pPr>
        <w:spacing w:after="0" w:line="142"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 xml:space="preserve">N. Gabriel Tolchinsky </w:t>
      </w:r>
      <w:r>
        <w:rPr>
          <w:rFonts w:ascii="Arial" w:cs="Arial" w:eastAsia="Arial" w:hAnsi="Arial"/>
          <w:sz w:val="13"/>
          <w:szCs w:val="13"/>
          <w:color w:val="auto"/>
        </w:rPr>
        <w:t>is the only executive officer who serves as a member of the Board. A summary of Mr. Tolchinsky’s experience is set forth above under “Directors.”</w:t>
      </w:r>
    </w:p>
    <w:p>
      <w:pPr>
        <w:spacing w:after="0" w:line="159" w:lineRule="exact"/>
        <w:rPr>
          <w:sz w:val="20"/>
          <w:szCs w:val="20"/>
          <w:color w:val="auto"/>
        </w:rPr>
      </w:pPr>
    </w:p>
    <w:p>
      <w:pPr>
        <w:jc w:val="both"/>
        <w:ind w:right="20"/>
        <w:spacing w:after="0" w:line="256" w:lineRule="auto"/>
        <w:rPr>
          <w:sz w:val="20"/>
          <w:szCs w:val="20"/>
          <w:color w:val="auto"/>
        </w:rPr>
      </w:pPr>
      <w:r>
        <w:rPr>
          <w:rFonts w:ascii="Arial" w:cs="Arial" w:eastAsia="Arial" w:hAnsi="Arial"/>
          <w:sz w:val="13"/>
          <w:szCs w:val="13"/>
          <w:b w:val="1"/>
          <w:bCs w:val="1"/>
          <w:color w:val="auto"/>
        </w:rPr>
        <w:t xml:space="preserve">Erica Lijtztain </w:t>
      </w:r>
      <w:r>
        <w:rPr>
          <w:rFonts w:ascii="Arial" w:cs="Arial" w:eastAsia="Arial" w:hAnsi="Arial"/>
          <w:sz w:val="13"/>
          <w:szCs w:val="13"/>
          <w:color w:val="auto"/>
        </w:rPr>
        <w:t>was appointed Executive Vice President, Chief Operating Officer in February 2018, and has served as Senior Vice President, Corporate Services, since June 2017. She previously served in various capacities</w:t>
      </w:r>
      <w:r>
        <w:rPr>
          <w:rFonts w:ascii="Arial" w:cs="Arial" w:eastAsia="Arial" w:hAnsi="Arial"/>
          <w:sz w:val="13"/>
          <w:szCs w:val="13"/>
          <w:b w:val="1"/>
          <w:bCs w:val="1"/>
          <w:color w:val="auto"/>
        </w:rPr>
        <w:t xml:space="preserve"> </w:t>
      </w:r>
      <w:r>
        <w:rPr>
          <w:rFonts w:ascii="Arial" w:cs="Arial" w:eastAsia="Arial" w:hAnsi="Arial"/>
          <w:sz w:val="13"/>
          <w:szCs w:val="13"/>
          <w:color w:val="auto"/>
        </w:rPr>
        <w:t>for Banco Patagonia, S.A. in Argentina: Executive Manager – Risk Management from 2015 to 2017, Budget and Information Manager from 2008 to 2015, Manager – Special Projects from 2003 to 2008, and Manager – Commercial Planning and Control from 2001 to 2003. Ms. Lijtztain is a Certified International Investment Analyst, and holds a Master’s degree in Business Administration from University Torcuato di Tella, Argentina, and a Bachelor’s degree in Economic Science – Actuary from University of Buenos Aires, Argentina.</w:t>
      </w:r>
    </w:p>
    <w:p>
      <w:pPr>
        <w:spacing w:after="0" w:line="132" w:lineRule="exact"/>
        <w:rPr>
          <w:sz w:val="20"/>
          <w:szCs w:val="20"/>
          <w:color w:val="auto"/>
        </w:rPr>
      </w:pPr>
    </w:p>
    <w:p>
      <w:pPr>
        <w:jc w:val="both"/>
        <w:ind w:right="20"/>
        <w:spacing w:after="0" w:line="311" w:lineRule="auto"/>
        <w:rPr>
          <w:sz w:val="20"/>
          <w:szCs w:val="20"/>
          <w:color w:val="auto"/>
        </w:rPr>
      </w:pPr>
      <w:r>
        <w:rPr>
          <w:rFonts w:ascii="Arial" w:cs="Arial" w:eastAsia="Arial" w:hAnsi="Arial"/>
          <w:sz w:val="11"/>
          <w:szCs w:val="11"/>
          <w:b w:val="1"/>
          <w:bCs w:val="1"/>
          <w:color w:val="auto"/>
        </w:rPr>
        <w:t xml:space="preserve">Alejandro Jaramillo </w:t>
      </w:r>
      <w:r>
        <w:rPr>
          <w:rFonts w:ascii="Arial" w:cs="Arial" w:eastAsia="Arial" w:hAnsi="Arial"/>
          <w:sz w:val="11"/>
          <w:szCs w:val="11"/>
          <w:color w:val="auto"/>
        </w:rPr>
        <w:t>was appointed Executive Vice President, Chief Commercial Officer of the Bank on May 1, 2017. Mr. Jaramillo joined the Bank in 2012, working in the Bank’s Treasury department as the Head of</w:t>
      </w:r>
      <w:r>
        <w:rPr>
          <w:rFonts w:ascii="Arial" w:cs="Arial" w:eastAsia="Arial" w:hAnsi="Arial"/>
          <w:sz w:val="11"/>
          <w:szCs w:val="11"/>
          <w:b w:val="1"/>
          <w:bCs w:val="1"/>
          <w:color w:val="auto"/>
        </w:rPr>
        <w:t xml:space="preserve"> </w:t>
      </w:r>
      <w:r>
        <w:rPr>
          <w:rFonts w:ascii="Arial" w:cs="Arial" w:eastAsia="Arial" w:hAnsi="Arial"/>
          <w:sz w:val="11"/>
          <w:szCs w:val="11"/>
          <w:color w:val="auto"/>
        </w:rPr>
        <w:t>Funding. In 2013, he became the Head of Loan Structuring &amp; Distribution, spearheading the growth and development of the Bank’s Loan Syndication business and the purchase and sale of loans in the secondary market. Prior to joining the Bank, Mr. Jaramillo spent nine years at BNP Paribas, both in New York and in Bogota, Colombia. At BNP Paribas, he contributed to the development of the bank´s Commodity Structured Finance business in Latin America, and he was a Director in the bank’s Corporate &amp; Investment Banking unit. Before that, he worked at Standard Chartered Bank as a credit analyst in their Bogota, Colombia office as well as in the Global Commodity Finance unit in New York. Mr. Jaramillo has a Bachelor´s degree in Industrial Engineering from Universidad de los Andes - Bogota, Colombia, and an MBA from Columbia University in New York.</w:t>
      </w:r>
    </w:p>
    <w:p>
      <w:pPr>
        <w:spacing w:after="0" w:line="257"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85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87" w:name="page88"/>
    <w:bookmarkEnd w:id="87"/>
    <w:p>
      <w:pPr>
        <w:jc w:val="both"/>
        <w:ind w:right="20"/>
        <w:spacing w:after="0" w:line="284" w:lineRule="auto"/>
        <w:rPr>
          <w:sz w:val="20"/>
          <w:szCs w:val="20"/>
          <w:color w:val="auto"/>
        </w:rPr>
      </w:pPr>
      <w:r>
        <w:rPr>
          <w:rFonts w:ascii="Arial" w:cs="Arial" w:eastAsia="Arial" w:hAnsi="Arial"/>
          <w:sz w:val="12"/>
          <w:szCs w:val="12"/>
          <w:b w:val="1"/>
          <w:bCs w:val="1"/>
          <w:color w:val="auto"/>
        </w:rPr>
        <w:t xml:space="preserve">Ana Graciela de Méndez </w:t>
      </w:r>
      <w:r>
        <w:rPr>
          <w:rFonts w:ascii="Arial" w:cs="Arial" w:eastAsia="Arial" w:hAnsi="Arial"/>
          <w:sz w:val="12"/>
          <w:szCs w:val="12"/>
          <w:color w:val="auto"/>
        </w:rPr>
        <w:t>has served as Executive Vice President, Chief Financial Officer of the Bank since December 2017. She also served in various capacities within the Bank since 1990, including as Senior Vice</w:t>
      </w:r>
      <w:r>
        <w:rPr>
          <w:rFonts w:ascii="Arial" w:cs="Arial" w:eastAsia="Arial" w:hAnsi="Arial"/>
          <w:sz w:val="12"/>
          <w:szCs w:val="12"/>
          <w:b w:val="1"/>
          <w:bCs w:val="1"/>
          <w:color w:val="auto"/>
        </w:rPr>
        <w:t xml:space="preserve"> </w:t>
      </w:r>
      <w:r>
        <w:rPr>
          <w:rFonts w:ascii="Arial" w:cs="Arial" w:eastAsia="Arial" w:hAnsi="Arial"/>
          <w:sz w:val="12"/>
          <w:szCs w:val="12"/>
          <w:color w:val="auto"/>
        </w:rPr>
        <w:t>President of Finance and the alternate to the Chief Financial Officer from 2014 to 2017, Vice President of Financial Planning and Analysis from 2002 to 2014, and several other assignments within the Bank’s Finance area since 1994. Mrs. Méndez served as Commercial Relationship Manager at the Bank from 1991 to 1993 and as an Economist from 1990 to 1991. Mrs. Méndez holds a Bachelor’s degree in Business and Economics with a specialization in Economics and Mathematics, graduating Magna Cum Laude from Albertus Magnus College, New Haven, Connecticut, U.S.</w:t>
      </w:r>
    </w:p>
    <w:p>
      <w:pPr>
        <w:spacing w:after="0" w:line="117" w:lineRule="exact"/>
        <w:rPr>
          <w:sz w:val="20"/>
          <w:szCs w:val="20"/>
          <w:color w:val="auto"/>
        </w:rPr>
      </w:pPr>
    </w:p>
    <w:p>
      <w:pPr>
        <w:jc w:val="both"/>
        <w:spacing w:after="0" w:line="280" w:lineRule="auto"/>
        <w:rPr>
          <w:sz w:val="20"/>
          <w:szCs w:val="20"/>
          <w:color w:val="auto"/>
        </w:rPr>
      </w:pPr>
      <w:r>
        <w:rPr>
          <w:rFonts w:ascii="Arial" w:cs="Arial" w:eastAsia="Arial" w:hAnsi="Arial"/>
          <w:sz w:val="12"/>
          <w:szCs w:val="12"/>
          <w:b w:val="1"/>
          <w:bCs w:val="1"/>
          <w:color w:val="auto"/>
        </w:rPr>
        <w:t xml:space="preserve">Eduardo Vivone </w:t>
      </w:r>
      <w:r>
        <w:rPr>
          <w:rFonts w:ascii="Arial" w:cs="Arial" w:eastAsia="Arial" w:hAnsi="Arial"/>
          <w:sz w:val="12"/>
          <w:szCs w:val="12"/>
          <w:color w:val="auto"/>
        </w:rPr>
        <w:t>was appointed Executive Vice President, Treasury and Capital Markets, in February 2018, and has served as Senior Vice President, Head of Treasury, since September 2013. He also served as Senior Vice</w:t>
      </w:r>
      <w:r>
        <w:rPr>
          <w:rFonts w:ascii="Arial" w:cs="Arial" w:eastAsia="Arial" w:hAnsi="Arial"/>
          <w:sz w:val="12"/>
          <w:szCs w:val="12"/>
          <w:b w:val="1"/>
          <w:bCs w:val="1"/>
          <w:color w:val="auto"/>
        </w:rPr>
        <w:t xml:space="preserve"> </w:t>
      </w:r>
      <w:r>
        <w:rPr>
          <w:rFonts w:ascii="Arial" w:cs="Arial" w:eastAsia="Arial" w:hAnsi="Arial"/>
          <w:sz w:val="12"/>
          <w:szCs w:val="12"/>
          <w:color w:val="auto"/>
        </w:rPr>
        <w:t>President, Funding, from April through August 2013. Before joining the Bank, he served as Head of Global Markets for HSBC Bank Panama from 2010 to 2012, Regional Sector Head, Government Sector – Global Banking, Americas for HSBC Securities, New York from 2007 to 2010, Head of Treasury for HSBC Bank, Spain from 2003 to 2007, Head of Balance Sheet Management and Forward Foreign Exchange for HSBC Bank, Argentina from 1998 to 2003, and he served in diverse capacities for Banco Roberts, Buenos Aires from 1990 to 1998, serving his last two years as Head of Financial Planning. Mr. Vivone is a Certified Public Accountant and holds a Master’s degree in Finance from the University of CEMA, Buenos Aires, Argentina, and a Bachelor´s degree in Accounting from University of Buenos Aires, Argentina.</w:t>
      </w:r>
    </w:p>
    <w:p>
      <w:pPr>
        <w:spacing w:after="0" w:line="119" w:lineRule="exact"/>
        <w:rPr>
          <w:sz w:val="20"/>
          <w:szCs w:val="20"/>
          <w:color w:val="auto"/>
        </w:rPr>
      </w:pPr>
    </w:p>
    <w:p>
      <w:pPr>
        <w:jc w:val="both"/>
        <w:spacing w:after="0" w:line="254" w:lineRule="auto"/>
        <w:rPr>
          <w:sz w:val="20"/>
          <w:szCs w:val="20"/>
          <w:color w:val="auto"/>
        </w:rPr>
      </w:pPr>
      <w:r>
        <w:rPr>
          <w:rFonts w:ascii="Arial" w:cs="Arial" w:eastAsia="Arial" w:hAnsi="Arial"/>
          <w:sz w:val="13"/>
          <w:szCs w:val="13"/>
          <w:b w:val="1"/>
          <w:bCs w:val="1"/>
          <w:color w:val="auto"/>
        </w:rPr>
        <w:t xml:space="preserve">Alejandro Tizzoni </w:t>
      </w:r>
      <w:r>
        <w:rPr>
          <w:rFonts w:ascii="Arial" w:cs="Arial" w:eastAsia="Arial" w:hAnsi="Arial"/>
          <w:sz w:val="13"/>
          <w:szCs w:val="13"/>
          <w:color w:val="auto"/>
        </w:rPr>
        <w:t>has served as Executive Vice President, Chief Risk Officer of the Bank since May 2016. He also served in various capacities within the Risk Management of the Bank since 2006, as Senior Vice President</w:t>
      </w:r>
      <w:r>
        <w:rPr>
          <w:rFonts w:ascii="Arial" w:cs="Arial" w:eastAsia="Arial" w:hAnsi="Arial"/>
          <w:sz w:val="13"/>
          <w:szCs w:val="13"/>
          <w:b w:val="1"/>
          <w:bCs w:val="1"/>
          <w:color w:val="auto"/>
        </w:rPr>
        <w:t xml:space="preserve"> </w:t>
      </w:r>
      <w:r>
        <w:rPr>
          <w:rFonts w:ascii="Arial" w:cs="Arial" w:eastAsia="Arial" w:hAnsi="Arial"/>
          <w:sz w:val="13"/>
          <w:szCs w:val="13"/>
          <w:color w:val="auto"/>
        </w:rPr>
        <w:t>from 2012 to 2016, Vice President from 2008 to 2012 and Senior Analyst from 2006 to 2008. Mr. Tizzoni has served in different capacities in the credit risk area in banking and the international private sector in Argentina from 1997 to 2006. Mr. Tizzoni is a FIBA Anti-Money Laundering certified associate (AMLCA) by Florida International University, completed a fintech program at Saïd Business School, University of Oxford, holds a Master Degree in Enterprise Risk Management from the NYU’s Stern School of Business, an MBA from the University of Louisville, a Bachelor’s degree in Business Administration from the University of Buenos Aires in Argentina and qualified as a Certified Public Accountant.</w:t>
      </w:r>
    </w:p>
    <w:p>
      <w:pPr>
        <w:spacing w:after="0" w:line="133" w:lineRule="exact"/>
        <w:rPr>
          <w:sz w:val="20"/>
          <w:szCs w:val="20"/>
          <w:color w:val="auto"/>
        </w:rPr>
      </w:pPr>
    </w:p>
    <w:p>
      <w:pPr>
        <w:jc w:val="both"/>
        <w:ind w:right="20"/>
        <w:spacing w:after="0" w:line="311" w:lineRule="auto"/>
        <w:rPr>
          <w:sz w:val="20"/>
          <w:szCs w:val="20"/>
          <w:color w:val="auto"/>
        </w:rPr>
      </w:pPr>
      <w:r>
        <w:rPr>
          <w:rFonts w:ascii="Arial" w:cs="Arial" w:eastAsia="Arial" w:hAnsi="Arial"/>
          <w:sz w:val="11"/>
          <w:szCs w:val="11"/>
          <w:b w:val="1"/>
          <w:bCs w:val="1"/>
          <w:color w:val="auto"/>
        </w:rPr>
        <w:t xml:space="preserve">Jorge Luis Real </w:t>
      </w:r>
      <w:r>
        <w:rPr>
          <w:rFonts w:ascii="Arial" w:cs="Arial" w:eastAsia="Arial" w:hAnsi="Arial"/>
          <w:sz w:val="11"/>
          <w:szCs w:val="11"/>
          <w:color w:val="auto"/>
        </w:rPr>
        <w:t>was appointed Executive Vice President, Legal in February 2018. He has served as Senior Vice President, Chief Legal Officer of the Bank from 2016 to 2018, and was appointed Secretary of the Board of</w:t>
      </w:r>
      <w:r>
        <w:rPr>
          <w:rFonts w:ascii="Arial" w:cs="Arial" w:eastAsia="Arial" w:hAnsi="Arial"/>
          <w:sz w:val="11"/>
          <w:szCs w:val="11"/>
          <w:b w:val="1"/>
          <w:bCs w:val="1"/>
          <w:color w:val="auto"/>
        </w:rPr>
        <w:t xml:space="preserve"> </w:t>
      </w:r>
      <w:r>
        <w:rPr>
          <w:rFonts w:ascii="Arial" w:cs="Arial" w:eastAsia="Arial" w:hAnsi="Arial"/>
          <w:sz w:val="11"/>
          <w:szCs w:val="11"/>
          <w:color w:val="auto"/>
        </w:rPr>
        <w:t>Directors in April of 2016. He previously served as Vice President, Head of Legal Risk of the Bank from 2014 to 2016. Before joining the Bank, he was Coordinator of Latin American Legal Affairs at BNP Paribas, New York from 2010 to 2014, Head of Legal Department at BNP Paribas Panama from 2005 to 2010, Head of Legal Department Panama Group of BBVA from 2000 to 2005 and Lawyer at Mauad &amp; Mauad in Panama in 2000. Mr. Real was admitted to practice law in Panama by the Panamanian Supreme Court of Justice in 1998. Mr. Real is a FIBA Anti-Money Laundering certified associate (AMLCA) by Florida International University. He holds a Master’s degree in Commercial and Corporative Law from Université Panthéon-Assas (Paris II) and a Bachelor’s degree in Law and Political Science from Universidad Católica Santa María La Antigua in Panama.</w:t>
      </w:r>
    </w:p>
    <w:p>
      <w:pPr>
        <w:spacing w:after="0" w:line="105" w:lineRule="exact"/>
        <w:rPr>
          <w:sz w:val="20"/>
          <w:szCs w:val="20"/>
          <w:color w:val="auto"/>
        </w:rPr>
      </w:pPr>
    </w:p>
    <w:p>
      <w:pPr>
        <w:jc w:val="both"/>
        <w:ind w:right="20"/>
        <w:spacing w:after="0" w:line="252" w:lineRule="auto"/>
        <w:rPr>
          <w:sz w:val="20"/>
          <w:szCs w:val="20"/>
          <w:color w:val="auto"/>
        </w:rPr>
      </w:pPr>
      <w:r>
        <w:rPr>
          <w:rFonts w:ascii="Arial" w:cs="Arial" w:eastAsia="Arial" w:hAnsi="Arial"/>
          <w:sz w:val="13"/>
          <w:szCs w:val="13"/>
          <w:b w:val="1"/>
          <w:bCs w:val="1"/>
          <w:color w:val="auto"/>
        </w:rPr>
        <w:t xml:space="preserve">Jorge Córdoba </w:t>
      </w:r>
      <w:r>
        <w:rPr>
          <w:rFonts w:ascii="Arial" w:cs="Arial" w:eastAsia="Arial" w:hAnsi="Arial"/>
          <w:sz w:val="13"/>
          <w:szCs w:val="13"/>
          <w:color w:val="auto"/>
        </w:rPr>
        <w:t>joined the Bank as Executive Vice President, Chief Audit Officer in October 2017. Previously, Mr. Córdoba served as Director – Internal Audit LATAM for Credit Andorra Financial Group from 2013 to</w:t>
      </w:r>
      <w:r>
        <w:rPr>
          <w:rFonts w:ascii="Arial" w:cs="Arial" w:eastAsia="Arial" w:hAnsi="Arial"/>
          <w:sz w:val="13"/>
          <w:szCs w:val="13"/>
          <w:b w:val="1"/>
          <w:bCs w:val="1"/>
          <w:color w:val="auto"/>
        </w:rPr>
        <w:t xml:space="preserve"> </w:t>
      </w:r>
      <w:r>
        <w:rPr>
          <w:rFonts w:ascii="Arial" w:cs="Arial" w:eastAsia="Arial" w:hAnsi="Arial"/>
          <w:sz w:val="13"/>
          <w:szCs w:val="13"/>
          <w:color w:val="auto"/>
        </w:rPr>
        <w:t>2017, where he supervised from Panama the internal audit of the Group business in Panama, Mexico, Peru, Paraguay, Uruguay, Colombia and Miami. Between the years 2002 and 2013, he served as International Internal Auditor for Pan-American Life Insurance Group (PALIG) in charge of the branch offices and affiliates in some Latin American countries and U.S. cities. During 2001 and 2002, he served as Internal Auditor for Dresdner Bank Lateinamerica AG – Panama, and from 1992 to 2001, he served as Senior Auditor for PricewaterhouseCoopers. Mr. Córdoba is a FIBA Anti-Money Laundering certified associate (AMLCA) by Florida International University and is a Certified Public Accountant and holds a Degree in Accounting from Universidad de Panama. He also holds a Post Graduate Certificate in International Trade Management from St. Clair College of Applied Arts and Technology, Ontario, Canada.</w:t>
      </w:r>
    </w:p>
    <w:p>
      <w:pPr>
        <w:spacing w:after="0" w:line="289"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86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5" w:right="199" w:bottom="1440" w:gutter="0" w:footer="0" w:header="0"/>
        </w:sectPr>
      </w:pPr>
    </w:p>
    <w:bookmarkStart w:id="88" w:name="page89"/>
    <w:bookmarkEnd w:id="88"/>
    <w:p>
      <w:pPr>
        <w:ind w:left="463" w:hanging="463"/>
        <w:spacing w:after="0"/>
        <w:tabs>
          <w:tab w:leader="none" w:pos="463" w:val="left"/>
        </w:tabs>
        <w:numPr>
          <w:ilvl w:val="0"/>
          <w:numId w:val="51"/>
        </w:numPr>
        <w:rPr>
          <w:rFonts w:ascii="Arial" w:cs="Arial" w:eastAsia="Arial" w:hAnsi="Arial"/>
          <w:sz w:val="13"/>
          <w:szCs w:val="13"/>
          <w:b w:val="1"/>
          <w:bCs w:val="1"/>
          <w:color w:val="auto"/>
        </w:rPr>
      </w:pPr>
      <w:r>
        <w:rPr>
          <w:rFonts w:ascii="Arial" w:cs="Arial" w:eastAsia="Arial" w:hAnsi="Arial"/>
          <w:sz w:val="13"/>
          <w:szCs w:val="13"/>
          <w:b w:val="1"/>
          <w:bCs w:val="1"/>
          <w:color w:val="auto"/>
        </w:rPr>
        <w:t>Compensation</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Compensation of Executive Officers and Directors</w:t>
      </w:r>
    </w:p>
    <w:p>
      <w:pPr>
        <w:spacing w:after="0" w:line="163" w:lineRule="exact"/>
        <w:rPr>
          <w:sz w:val="20"/>
          <w:szCs w:val="20"/>
          <w:color w:val="auto"/>
        </w:rPr>
      </w:pPr>
    </w:p>
    <w:p>
      <w:pPr>
        <w:jc w:val="both"/>
        <w:ind w:left="3" w:right="20"/>
        <w:spacing w:after="0" w:line="360" w:lineRule="auto"/>
        <w:rPr>
          <w:sz w:val="20"/>
          <w:szCs w:val="20"/>
          <w:color w:val="auto"/>
        </w:rPr>
      </w:pPr>
      <w:r>
        <w:rPr>
          <w:rFonts w:ascii="Arial" w:cs="Arial" w:eastAsia="Arial" w:hAnsi="Arial"/>
          <w:sz w:val="11"/>
          <w:szCs w:val="11"/>
          <w:color w:val="auto"/>
        </w:rPr>
        <w:t>The Compensation Committee has reviewed and discussed the below “Compensation of Executive Officers and Directors” section with the Bank’s management, and based on this review and discussion, the Compensation Committee recommended to the Board that the discussion be included in the proxy statement for the Annual Shareholders’ Meeting held April 17, 2019 (commonly referred to as the “say on pay” proposal).</w:t>
      </w:r>
    </w:p>
    <w:p>
      <w:pPr>
        <w:spacing w:after="0" w:line="79"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Compensation Consultant</w:t>
      </w:r>
    </w:p>
    <w:p>
      <w:pPr>
        <w:spacing w:after="0" w:line="163"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The Compensation Committee has authority to retain compensation consulting firms to assist it in the evaluation of executive officer and employee compensation and benefit programs. During 2018, the Compensation Committee did not retain or obtain the advice of any compensation consultant.</w:t>
      </w:r>
    </w:p>
    <w:p>
      <w:pPr>
        <w:spacing w:after="0" w:line="12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Executive Officers Compensation</w:t>
      </w:r>
    </w:p>
    <w:p>
      <w:pPr>
        <w:spacing w:after="0" w:line="163"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Annually, in order to incentivize the alignment and collaboration of all areas of the Bank, the Bank pays to its executive officers variable compensation, based on the extent to which each officer meets certain individual and corporate objectives which are defined by the Board of Directors. This variable compensation is paid in both cash and stock options and/or restricted stock units.</w:t>
      </w:r>
    </w:p>
    <w:p>
      <w:pPr>
        <w:spacing w:after="0" w:line="129" w:lineRule="exact"/>
        <w:rPr>
          <w:sz w:val="20"/>
          <w:szCs w:val="20"/>
          <w:color w:val="auto"/>
        </w:rPr>
      </w:pPr>
    </w:p>
    <w:p>
      <w:pPr>
        <w:ind w:left="3"/>
        <w:spacing w:after="0"/>
        <w:rPr>
          <w:sz w:val="20"/>
          <w:szCs w:val="20"/>
          <w:color w:val="auto"/>
        </w:rPr>
      </w:pPr>
      <w:r>
        <w:rPr>
          <w:rFonts w:ascii="Arial" w:cs="Arial" w:eastAsia="Arial" w:hAnsi="Arial"/>
          <w:sz w:val="11"/>
          <w:szCs w:val="11"/>
          <w:color w:val="auto"/>
        </w:rPr>
        <w:t>During the fiscal year ended December 31, 2018, the aggregate amount of cash compensation paid by the Bank to the executive officers employed in the Bank’s Corporate Headquarters for their services was $1,013,379.</w:t>
      </w:r>
    </w:p>
    <w:p>
      <w:pPr>
        <w:spacing w:after="0" w:line="182" w:lineRule="exact"/>
        <w:rPr>
          <w:sz w:val="20"/>
          <w:szCs w:val="20"/>
          <w:color w:val="auto"/>
        </w:rPr>
      </w:pPr>
    </w:p>
    <w:p>
      <w:pPr>
        <w:jc w:val="both"/>
        <w:ind w:left="3" w:right="20"/>
        <w:spacing w:after="0" w:line="360" w:lineRule="auto"/>
        <w:rPr>
          <w:sz w:val="20"/>
          <w:szCs w:val="20"/>
          <w:color w:val="auto"/>
        </w:rPr>
      </w:pPr>
      <w:r>
        <w:rPr>
          <w:rFonts w:ascii="Arial" w:cs="Arial" w:eastAsia="Arial" w:hAnsi="Arial"/>
          <w:sz w:val="11"/>
          <w:szCs w:val="11"/>
          <w:color w:val="auto"/>
        </w:rPr>
        <w:t>In February 2008, the Board approved the 2008 Stock Incentive Plan (as amended, the “2008 Plan”), which allows the Bank, from time to time, to grant restricted shares, restricted stock units, stock options and/or other stock-based awards to the directors, executive officers and non-executive employees of the Bank. This plan was revised in October 2015, and amended and restated as the 2015 Stock Incentive Plan (“2015 Plan”).</w:t>
      </w:r>
    </w:p>
    <w:p>
      <w:pPr>
        <w:spacing w:after="0" w:line="83" w:lineRule="exact"/>
        <w:rPr>
          <w:sz w:val="20"/>
          <w:szCs w:val="20"/>
          <w:color w:val="auto"/>
        </w:rPr>
      </w:pPr>
    </w:p>
    <w:p>
      <w:pPr>
        <w:jc w:val="both"/>
        <w:ind w:left="3" w:right="20"/>
        <w:spacing w:after="0" w:line="257" w:lineRule="auto"/>
        <w:rPr>
          <w:sz w:val="20"/>
          <w:szCs w:val="20"/>
          <w:color w:val="auto"/>
        </w:rPr>
      </w:pPr>
      <w:r>
        <w:rPr>
          <w:rFonts w:ascii="Arial" w:cs="Arial" w:eastAsia="Arial" w:hAnsi="Arial"/>
          <w:sz w:val="13"/>
          <w:szCs w:val="13"/>
          <w:color w:val="auto"/>
        </w:rPr>
        <w:t>On February 6, 2018, the Bank granted to current executive officers 23,412 restricted stock units corresponding to 2017 performance. These restricted stock units vest 25% of the amount granted per year, with the first vesting on February 6, 2019, and the subsequent vestings on each anniversary of the first vesting date. As of December 31, 2018, the compensation cost charged against the Bank’s 2018 income in connection with these restricted stock units was $271,734. The total remaining compensation cost of $308,886 will be charged over a period of 2.9 years.</w:t>
      </w:r>
    </w:p>
    <w:p>
      <w:pPr>
        <w:spacing w:after="0" w:line="136" w:lineRule="exact"/>
        <w:rPr>
          <w:sz w:val="20"/>
          <w:szCs w:val="20"/>
          <w:color w:val="auto"/>
        </w:rPr>
      </w:pPr>
    </w:p>
    <w:p>
      <w:pPr>
        <w:jc w:val="both"/>
        <w:ind w:left="3" w:right="20"/>
        <w:spacing w:after="0" w:line="310" w:lineRule="auto"/>
        <w:rPr>
          <w:sz w:val="20"/>
          <w:szCs w:val="20"/>
          <w:color w:val="auto"/>
        </w:rPr>
      </w:pPr>
      <w:r>
        <w:rPr>
          <w:rFonts w:ascii="Arial" w:cs="Arial" w:eastAsia="Arial" w:hAnsi="Arial"/>
          <w:sz w:val="12"/>
          <w:szCs w:val="12"/>
          <w:color w:val="auto"/>
        </w:rPr>
        <w:t>The Bank sponsors a defined contribution plan for its expatriate officers. The Bank’s contributions are determined as a percentage of the eligible officer’s annual salary, with each officer contributing an additional amount withheld from his salary. All contributions are administered by a trust through an independent third party. During 2018, the Bank charged to salaries expense $49,487 with respect to the contribution plan.</w:t>
      </w:r>
    </w:p>
    <w:p>
      <w:pPr>
        <w:spacing w:after="0" w:line="102"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2018 Chief Executive Officer Compensation</w:t>
      </w:r>
    </w:p>
    <w:p>
      <w:pPr>
        <w:spacing w:after="0" w:line="163" w:lineRule="exact"/>
        <w:rPr>
          <w:sz w:val="20"/>
          <w:szCs w:val="20"/>
          <w:color w:val="auto"/>
        </w:rPr>
      </w:pPr>
    </w:p>
    <w:p>
      <w:pPr>
        <w:jc w:val="both"/>
        <w:ind w:left="3"/>
        <w:spacing w:after="0" w:line="310" w:lineRule="auto"/>
        <w:rPr>
          <w:sz w:val="20"/>
          <w:szCs w:val="20"/>
          <w:color w:val="auto"/>
        </w:rPr>
      </w:pPr>
      <w:r>
        <w:rPr>
          <w:rFonts w:ascii="Arial" w:cs="Arial" w:eastAsia="Arial" w:hAnsi="Arial"/>
          <w:sz w:val="12"/>
          <w:szCs w:val="12"/>
          <w:color w:val="auto"/>
        </w:rPr>
        <w:t>The compensation of the Bank’s Chief Executive Officer for 2018 included an annual base salary of $350,000, a performance-based cash bonus of $500,000, an aggregate of $14,000 from the Bank to the Chief Executive Officer’s contribution plan, and limited perquisites and other benefits amounting to $19,690. The Chief Executive Officer is eligible to receive a severance payment of $350,000 upon his departure.</w:t>
      </w:r>
    </w:p>
    <w:p>
      <w:pPr>
        <w:spacing w:after="0" w:line="254"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87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89" w:name="page90"/>
    <w:bookmarkEnd w:id="89"/>
    <w:p>
      <w:pPr>
        <w:spacing w:after="0"/>
        <w:rPr>
          <w:sz w:val="20"/>
          <w:szCs w:val="20"/>
          <w:color w:val="auto"/>
        </w:rPr>
      </w:pPr>
      <w:r>
        <w:rPr>
          <w:rFonts w:ascii="Arial" w:cs="Arial" w:eastAsia="Arial" w:hAnsi="Arial"/>
          <w:sz w:val="13"/>
          <w:szCs w:val="13"/>
          <w:color w:val="auto"/>
        </w:rPr>
        <w:t>The former Chief Executive Officer, who retired on April 30, 2018, received a total cash compensation of $500,000 during 2018, including a contractual severance payment of $350,000.</w:t>
      </w:r>
    </w:p>
    <w:p>
      <w:pPr>
        <w:spacing w:after="0" w:line="155"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Results of the 2018 Advisory Vote on Compensation of Executive Officers</w:t>
      </w:r>
    </w:p>
    <w:p>
      <w:pPr>
        <w:spacing w:after="0" w:line="163" w:lineRule="exact"/>
        <w:rPr>
          <w:sz w:val="20"/>
          <w:szCs w:val="20"/>
          <w:color w:val="auto"/>
        </w:rPr>
      </w:pPr>
    </w:p>
    <w:p>
      <w:pPr>
        <w:jc w:val="both"/>
        <w:ind w:right="20"/>
        <w:spacing w:after="0" w:line="281" w:lineRule="auto"/>
        <w:rPr>
          <w:sz w:val="20"/>
          <w:szCs w:val="20"/>
          <w:color w:val="auto"/>
        </w:rPr>
      </w:pPr>
      <w:r>
        <w:rPr>
          <w:rFonts w:ascii="Arial" w:cs="Arial" w:eastAsia="Arial" w:hAnsi="Arial"/>
          <w:sz w:val="12"/>
          <w:szCs w:val="12"/>
          <w:color w:val="auto"/>
        </w:rPr>
        <w:t>At the Bank’s annual meeting of shareholders held on April 11, 2018, the Bank’s shareholders were asked to approve, on an advisory basis, the Bank's fiscal year 2017 executive officers’ compensation programs (commonly referred to as the “say on pay” proposal). A substantial majority (93.16%) of the votes cast on the say-on-pay proposal at that meeting were voted in favor of the proposal. The Compensation Committee believes that these results affirm the Bank’s shareholders’ support for its approach to executive compensation, and therefore did not change its approach in the fiscal year 2018. The Compensation Committee will continue working to ensure that the design of the Bank’s executive officers’ compensation program is focused on long-term shareholder value creation and emphasizes pay for performance.</w:t>
      </w:r>
    </w:p>
    <w:p>
      <w:pPr>
        <w:spacing w:after="0" w:line="120"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Compensation and Risk</w:t>
      </w:r>
    </w:p>
    <w:p>
      <w:pPr>
        <w:spacing w:after="0" w:line="163" w:lineRule="exact"/>
        <w:rPr>
          <w:sz w:val="20"/>
          <w:szCs w:val="20"/>
          <w:color w:val="auto"/>
        </w:rPr>
      </w:pPr>
    </w:p>
    <w:p>
      <w:pPr>
        <w:spacing w:after="0"/>
        <w:rPr>
          <w:sz w:val="20"/>
          <w:szCs w:val="20"/>
          <w:color w:val="auto"/>
        </w:rPr>
      </w:pPr>
      <w:r>
        <w:rPr>
          <w:rFonts w:ascii="Arial" w:cs="Arial" w:eastAsia="Arial" w:hAnsi="Arial"/>
          <w:sz w:val="11"/>
          <w:szCs w:val="11"/>
          <w:color w:val="auto"/>
        </w:rPr>
        <w:t>The Bank reviews and monitors the extent to which compensation practices and programs for senior executives and employees whose activities, individually or as a group, may create incentives for excessive risk taking.</w:t>
      </w:r>
    </w:p>
    <w:p>
      <w:pPr>
        <w:spacing w:after="0" w:line="182"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The Bank and the Board have not identified any risks arising from the Bank’s compensation policies and practices that are reasonably likely to have a material adverse effect on the Bank. Furthermore, certain aspects of the Bank’s executive compensation programs, such as the combination of performance-based short-term cash bonuses and performance-based long-term equity awards, reduce the likelihood of excessive risk-taking, and instead create incentives for senior executives to work for long-term growth of the Bank.</w:t>
      </w:r>
    </w:p>
    <w:p>
      <w:pPr>
        <w:spacing w:after="0" w:line="132"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Board of Directors Compensation</w:t>
      </w:r>
    </w:p>
    <w:p>
      <w:pPr>
        <w:spacing w:after="0" w:line="163" w:lineRule="exact"/>
        <w:rPr>
          <w:sz w:val="20"/>
          <w:szCs w:val="20"/>
          <w:color w:val="auto"/>
        </w:rPr>
      </w:pPr>
    </w:p>
    <w:p>
      <w:pPr>
        <w:spacing w:after="0"/>
        <w:rPr>
          <w:sz w:val="20"/>
          <w:szCs w:val="20"/>
          <w:color w:val="auto"/>
        </w:rPr>
      </w:pPr>
      <w:r>
        <w:rPr>
          <w:rFonts w:ascii="Arial" w:cs="Arial" w:eastAsia="Arial" w:hAnsi="Arial"/>
          <w:sz w:val="12"/>
          <w:szCs w:val="12"/>
          <w:color w:val="auto"/>
        </w:rPr>
        <w:t>Each non-employee Director of the Bank receives an annual cash retainer of $85,000 for his or her services as a Director and the Chairman of the Board receives an annual cash retainer in the amount of $135,000.</w:t>
      </w:r>
    </w:p>
    <w:p>
      <w:pPr>
        <w:spacing w:after="0" w:line="170"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The Chairman of the Audit Committee receives an additional annual retainer of $8,500 and the Chairmen of the Compensation Committee, Risk Policy and Assessment Committee, and Finance and Business Committee each receives an additional annual retainer of $5,000. The non-Chairman members of the Audit Committee receive an additional annual retainer of $3,000.</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color w:val="auto"/>
        </w:rPr>
        <w:t>The aggregate amount of cash compensation paid by the Bank during the year ended December 31, 2018 to the Directors of the Bank as a group for their services as Directors was $847,500.</w:t>
      </w:r>
    </w:p>
    <w:p>
      <w:pPr>
        <w:spacing w:after="0" w:line="15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As approved by the Board of Directors on December 9, 2014, each non-employee director of the Bank receives an annual equity compensation of 6,000 restricted shares and the Chairman of the Board receives an annual equity compensation of 9,000 restricted shares, granted once a year under the 2015 Plan.</w:t>
      </w:r>
    </w:p>
    <w:p>
      <w:pPr>
        <w:spacing w:after="0" w:line="129" w:lineRule="exact"/>
        <w:rPr>
          <w:sz w:val="20"/>
          <w:szCs w:val="20"/>
          <w:color w:val="auto"/>
        </w:rPr>
      </w:pPr>
    </w:p>
    <w:p>
      <w:pPr>
        <w:jc w:val="both"/>
        <w:ind w:right="20"/>
        <w:spacing w:after="0" w:line="289" w:lineRule="auto"/>
        <w:rPr>
          <w:sz w:val="20"/>
          <w:szCs w:val="20"/>
          <w:color w:val="auto"/>
        </w:rPr>
      </w:pPr>
      <w:r>
        <w:rPr>
          <w:rFonts w:ascii="Arial" w:cs="Arial" w:eastAsia="Arial" w:hAnsi="Arial"/>
          <w:sz w:val="12"/>
          <w:szCs w:val="12"/>
          <w:color w:val="auto"/>
        </w:rPr>
        <w:t>During the fiscal year ended December 31, 2018, the aggregate number of restricted shares awarded to non-employee directors of the Bank as a group under the 2015 Plan was 57,000 Class E shares. These restricted shares vest 35% on each of the first and second anniversaries of the award date, and 30% on the third anniversary of the award date. As of December 31, 2018, the total cost for these restricted shares amounted to $1,635,900, of which $739,125 was registered during 2018, and the remaining compensation cost of $896,774 for these restricted shares will be charged against income over a period of 2.3 years.</w:t>
      </w:r>
    </w:p>
    <w:p>
      <w:pPr>
        <w:spacing w:after="0" w:line="266"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88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90" w:name="page91"/>
    <w:bookmarkEnd w:id="90"/>
    <w:p>
      <w:pPr>
        <w:ind w:left="3"/>
        <w:spacing w:after="0"/>
        <w:rPr>
          <w:sz w:val="20"/>
          <w:szCs w:val="20"/>
          <w:color w:val="auto"/>
        </w:rPr>
      </w:pPr>
      <w:r>
        <w:rPr>
          <w:rFonts w:ascii="Arial" w:cs="Arial" w:eastAsia="Arial" w:hAnsi="Arial"/>
          <w:sz w:val="13"/>
          <w:szCs w:val="13"/>
          <w:b w:val="1"/>
          <w:bCs w:val="1"/>
          <w:color w:val="auto"/>
        </w:rPr>
        <w:t>Beneficial Ownership</w:t>
      </w:r>
    </w:p>
    <w:p>
      <w:pPr>
        <w:spacing w:after="0" w:line="163" w:lineRule="exact"/>
        <w:rPr>
          <w:sz w:val="20"/>
          <w:szCs w:val="20"/>
          <w:color w:val="auto"/>
        </w:rPr>
      </w:pPr>
    </w:p>
    <w:p>
      <w:pPr>
        <w:jc w:val="both"/>
        <w:ind w:left="3"/>
        <w:spacing w:after="0" w:line="251" w:lineRule="auto"/>
        <w:rPr>
          <w:sz w:val="20"/>
          <w:szCs w:val="20"/>
          <w:color w:val="auto"/>
        </w:rPr>
      </w:pPr>
      <w:r>
        <w:rPr>
          <w:rFonts w:ascii="Arial" w:cs="Arial" w:eastAsia="Arial" w:hAnsi="Arial"/>
          <w:sz w:val="13"/>
          <w:szCs w:val="13"/>
          <w:color w:val="auto"/>
        </w:rPr>
        <w:t>As of December 31, 2018, the Bank’s Executive Officers and Directors, as a group, beneficially owned an aggregate of 268,637 Class E shares, representing approximately 0.87% (based on 30,951,135 Class E shares outstanding as of December 31, 2018) of all issued and outstanding Class E shares as of such date. “Beneficial ownership”, as the term is used in this section, means the sole or shared power to vote or direct the voting or to dispose or direct the disposition of any security. A person is deemed to be the beneficial owner of securities that can be acquired within 60 days from December 31, 2018 through the exercise of any option or through the vesting of any restricted stock or restricted stock units. Ordinary shares subject to options that are currently exercisable or exercisable within 60 days, or that constitute restricted stock or restricted stock units that will vest within 60 days, are deemed outstanding for computing the beneficial ownership percentage of the person holding such options, restricted stock or restricted stock units, but are not deemed outstanding for computing the ownership percentage of any other person.</w:t>
      </w:r>
    </w:p>
    <w:p>
      <w:pPr>
        <w:spacing w:after="0" w:line="140" w:lineRule="exact"/>
        <w:rPr>
          <w:sz w:val="20"/>
          <w:szCs w:val="20"/>
          <w:color w:val="auto"/>
        </w:rPr>
      </w:pPr>
    </w:p>
    <w:p>
      <w:pPr>
        <w:jc w:val="both"/>
        <w:ind w:left="3"/>
        <w:spacing w:after="0" w:line="289" w:lineRule="auto"/>
        <w:rPr>
          <w:sz w:val="20"/>
          <w:szCs w:val="20"/>
          <w:color w:val="auto"/>
        </w:rPr>
      </w:pPr>
      <w:r>
        <w:rPr>
          <w:rFonts w:ascii="Arial" w:cs="Arial" w:eastAsia="Arial" w:hAnsi="Arial"/>
          <w:sz w:val="12"/>
          <w:szCs w:val="12"/>
          <w:color w:val="auto"/>
        </w:rPr>
        <w:t>The following table sets forth information regarding beneficial ownership of the Bank’s Class E shares, including stock options and restricted stock units and holdings of unvested stock options and unvested restricted stock units by the Bank’s executive officers eligible to receive restricted stock units as of December 31, 2018. Except where noted, all holders listed below have sole voting power and investment power over the shares beneficially owned by them. Unless otherwise noted, the address of each person listed below is c/o Torre V, Business Park, Avenida La Rotonda, Urb. Costa del Este, Panama, Republic of Panama.</w:t>
      </w:r>
    </w:p>
    <w:p>
      <w:pPr>
        <w:spacing w:after="0" w:line="114" w:lineRule="exact"/>
        <w:rPr>
          <w:sz w:val="20"/>
          <w:szCs w:val="20"/>
          <w:color w:val="auto"/>
        </w:rPr>
      </w:pPr>
    </w:p>
    <w:tbl>
      <w:tblPr>
        <w:tblLayout w:type="fixed"/>
        <w:tblInd w:w="3" w:type="dxa"/>
        <w:tblCellMar>
          <w:top w:w="0" w:type="dxa"/>
          <w:left w:w="0" w:type="dxa"/>
          <w:bottom w:w="0" w:type="dxa"/>
          <w:right w:w="0" w:type="dxa"/>
        </w:tblCellMar>
      </w:tblPr>
      <w:tr>
        <w:trPr>
          <w:trHeight w:val="154"/>
        </w:trPr>
        <w:tc>
          <w:tcPr>
            <w:tcW w:w="41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320" w:type="dxa"/>
            <w:vAlign w:val="bottom"/>
            <w:gridSpan w:val="2"/>
          </w:tcPr>
          <w:p>
            <w:pPr>
              <w:jc w:val="center"/>
              <w:ind w:right="260"/>
              <w:spacing w:after="0"/>
              <w:rPr>
                <w:sz w:val="20"/>
                <w:szCs w:val="20"/>
                <w:color w:val="auto"/>
              </w:rPr>
            </w:pPr>
            <w:r>
              <w:rPr>
                <w:rFonts w:ascii="Arial" w:cs="Arial" w:eastAsia="Arial" w:hAnsi="Arial"/>
                <w:sz w:val="13"/>
                <w:szCs w:val="13"/>
                <w:b w:val="1"/>
                <w:bCs w:val="1"/>
                <w:color w:val="auto"/>
                <w:w w:val="89"/>
              </w:rPr>
              <w:t>Number of</w:t>
            </w:r>
          </w:p>
        </w:tc>
        <w:tc>
          <w:tcPr>
            <w:tcW w:w="11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120" w:type="dxa"/>
            <w:vAlign w:val="bottom"/>
          </w:tcPr>
          <w:p>
            <w:pPr>
              <w:spacing w:after="0"/>
              <w:rPr>
                <w:sz w:val="13"/>
                <w:szCs w:val="13"/>
                <w:color w:val="auto"/>
              </w:rPr>
            </w:pPr>
          </w:p>
        </w:tc>
        <w:tc>
          <w:tcPr>
            <w:tcW w:w="140" w:type="dxa"/>
            <w:vAlign w:val="bottom"/>
          </w:tcPr>
          <w:p>
            <w:pPr>
              <w:spacing w:after="0"/>
              <w:rPr>
                <w:sz w:val="13"/>
                <w:szCs w:val="13"/>
                <w:color w:val="auto"/>
              </w:rPr>
            </w:pPr>
          </w:p>
        </w:tc>
      </w:tr>
      <w:tr>
        <w:trPr>
          <w:trHeight w:val="157"/>
        </w:trPr>
        <w:tc>
          <w:tcPr>
            <w:tcW w:w="41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320" w:type="dxa"/>
            <w:vAlign w:val="bottom"/>
            <w:gridSpan w:val="2"/>
          </w:tcPr>
          <w:p>
            <w:pPr>
              <w:jc w:val="center"/>
              <w:ind w:right="280"/>
              <w:spacing w:after="0"/>
              <w:rPr>
                <w:sz w:val="20"/>
                <w:szCs w:val="20"/>
                <w:color w:val="auto"/>
              </w:rPr>
            </w:pPr>
            <w:r>
              <w:rPr>
                <w:rFonts w:ascii="Arial" w:cs="Arial" w:eastAsia="Arial" w:hAnsi="Arial"/>
                <w:sz w:val="13"/>
                <w:szCs w:val="13"/>
                <w:b w:val="1"/>
                <w:bCs w:val="1"/>
                <w:color w:val="auto"/>
                <w:w w:val="92"/>
              </w:rPr>
              <w:t>Number of</w:t>
            </w:r>
          </w:p>
        </w:tc>
        <w:tc>
          <w:tcPr>
            <w:tcW w:w="1320" w:type="dxa"/>
            <w:vAlign w:val="bottom"/>
            <w:gridSpan w:val="2"/>
          </w:tcPr>
          <w:p>
            <w:pPr>
              <w:jc w:val="center"/>
              <w:ind w:right="260"/>
              <w:spacing w:after="0"/>
              <w:rPr>
                <w:sz w:val="20"/>
                <w:szCs w:val="20"/>
                <w:color w:val="auto"/>
              </w:rPr>
            </w:pPr>
            <w:r>
              <w:rPr>
                <w:rFonts w:ascii="Arial" w:cs="Arial" w:eastAsia="Arial" w:hAnsi="Arial"/>
                <w:sz w:val="13"/>
                <w:szCs w:val="13"/>
                <w:b w:val="1"/>
                <w:bCs w:val="1"/>
                <w:color w:val="auto"/>
                <w:w w:val="89"/>
              </w:rPr>
              <w:t>Shares that may</w:t>
            </w:r>
          </w:p>
        </w:tc>
        <w:tc>
          <w:tcPr>
            <w:tcW w:w="1340" w:type="dxa"/>
            <w:vAlign w:val="bottom"/>
            <w:gridSpan w:val="2"/>
          </w:tcPr>
          <w:p>
            <w:pPr>
              <w:jc w:val="center"/>
              <w:ind w:right="260"/>
              <w:spacing w:after="0"/>
              <w:rPr>
                <w:sz w:val="20"/>
                <w:szCs w:val="20"/>
                <w:color w:val="auto"/>
              </w:rPr>
            </w:pPr>
            <w:r>
              <w:rPr>
                <w:rFonts w:ascii="Arial" w:cs="Arial" w:eastAsia="Arial" w:hAnsi="Arial"/>
                <w:sz w:val="13"/>
                <w:szCs w:val="13"/>
                <w:b w:val="1"/>
                <w:bCs w:val="1"/>
                <w:color w:val="auto"/>
                <w:w w:val="89"/>
              </w:rPr>
              <w:t>Total</w:t>
            </w:r>
          </w:p>
        </w:tc>
        <w:tc>
          <w:tcPr>
            <w:tcW w:w="11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120" w:type="dxa"/>
            <w:vAlign w:val="bottom"/>
          </w:tcPr>
          <w:p>
            <w:pPr>
              <w:spacing w:after="0"/>
              <w:rPr>
                <w:sz w:val="13"/>
                <w:szCs w:val="13"/>
                <w:color w:val="auto"/>
              </w:rPr>
            </w:pPr>
          </w:p>
        </w:tc>
        <w:tc>
          <w:tcPr>
            <w:tcW w:w="140" w:type="dxa"/>
            <w:vAlign w:val="bottom"/>
          </w:tcPr>
          <w:p>
            <w:pPr>
              <w:spacing w:after="0"/>
              <w:rPr>
                <w:sz w:val="13"/>
                <w:szCs w:val="13"/>
                <w:color w:val="auto"/>
              </w:rPr>
            </w:pPr>
          </w:p>
        </w:tc>
      </w:tr>
      <w:tr>
        <w:trPr>
          <w:trHeight w:val="154"/>
        </w:trPr>
        <w:tc>
          <w:tcPr>
            <w:tcW w:w="41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320" w:type="dxa"/>
            <w:vAlign w:val="bottom"/>
            <w:gridSpan w:val="2"/>
          </w:tcPr>
          <w:p>
            <w:pPr>
              <w:jc w:val="center"/>
              <w:ind w:right="280"/>
              <w:spacing w:after="0"/>
              <w:rPr>
                <w:sz w:val="20"/>
                <w:szCs w:val="20"/>
                <w:color w:val="auto"/>
              </w:rPr>
            </w:pPr>
            <w:r>
              <w:rPr>
                <w:rFonts w:ascii="Arial" w:cs="Arial" w:eastAsia="Arial" w:hAnsi="Arial"/>
                <w:sz w:val="13"/>
                <w:szCs w:val="13"/>
                <w:b w:val="1"/>
                <w:bCs w:val="1"/>
                <w:color w:val="auto"/>
                <w:w w:val="82"/>
              </w:rPr>
              <w:t>Shares</w:t>
            </w:r>
          </w:p>
        </w:tc>
        <w:tc>
          <w:tcPr>
            <w:tcW w:w="1320" w:type="dxa"/>
            <w:vAlign w:val="bottom"/>
            <w:gridSpan w:val="2"/>
          </w:tcPr>
          <w:p>
            <w:pPr>
              <w:jc w:val="center"/>
              <w:ind w:right="260"/>
              <w:spacing w:after="0"/>
              <w:rPr>
                <w:sz w:val="20"/>
                <w:szCs w:val="20"/>
                <w:color w:val="auto"/>
              </w:rPr>
            </w:pPr>
            <w:r>
              <w:rPr>
                <w:rFonts w:ascii="Arial" w:cs="Arial" w:eastAsia="Arial" w:hAnsi="Arial"/>
                <w:sz w:val="13"/>
                <w:szCs w:val="13"/>
                <w:b w:val="1"/>
                <w:bCs w:val="1"/>
                <w:color w:val="auto"/>
                <w:w w:val="90"/>
              </w:rPr>
              <w:t>be acquired</w:t>
            </w:r>
          </w:p>
        </w:tc>
        <w:tc>
          <w:tcPr>
            <w:tcW w:w="1340" w:type="dxa"/>
            <w:vAlign w:val="bottom"/>
            <w:gridSpan w:val="2"/>
          </w:tcPr>
          <w:p>
            <w:pPr>
              <w:jc w:val="center"/>
              <w:ind w:right="260"/>
              <w:spacing w:after="0"/>
              <w:rPr>
                <w:sz w:val="20"/>
                <w:szCs w:val="20"/>
                <w:color w:val="auto"/>
              </w:rPr>
            </w:pPr>
            <w:r>
              <w:rPr>
                <w:rFonts w:ascii="Arial" w:cs="Arial" w:eastAsia="Arial" w:hAnsi="Arial"/>
                <w:sz w:val="13"/>
                <w:szCs w:val="13"/>
                <w:b w:val="1"/>
                <w:bCs w:val="1"/>
                <w:color w:val="auto"/>
                <w:w w:val="92"/>
              </w:rPr>
              <w:t>Number of</w:t>
            </w:r>
          </w:p>
        </w:tc>
        <w:tc>
          <w:tcPr>
            <w:tcW w:w="1360" w:type="dxa"/>
            <w:vAlign w:val="bottom"/>
            <w:gridSpan w:val="2"/>
          </w:tcPr>
          <w:p>
            <w:pPr>
              <w:jc w:val="center"/>
              <w:ind w:right="216"/>
              <w:spacing w:after="0"/>
              <w:rPr>
                <w:sz w:val="20"/>
                <w:szCs w:val="20"/>
                <w:color w:val="auto"/>
              </w:rPr>
            </w:pPr>
            <w:r>
              <w:rPr>
                <w:rFonts w:ascii="Arial" w:cs="Arial" w:eastAsia="Arial" w:hAnsi="Arial"/>
                <w:sz w:val="13"/>
                <w:szCs w:val="13"/>
                <w:b w:val="1"/>
                <w:bCs w:val="1"/>
                <w:color w:val="auto"/>
                <w:w w:val="88"/>
              </w:rPr>
              <w:t>Percent of</w:t>
            </w:r>
          </w:p>
        </w:tc>
        <w:tc>
          <w:tcPr>
            <w:tcW w:w="1120" w:type="dxa"/>
            <w:vAlign w:val="bottom"/>
          </w:tcPr>
          <w:p>
            <w:pPr>
              <w:spacing w:after="0"/>
              <w:rPr>
                <w:sz w:val="13"/>
                <w:szCs w:val="13"/>
                <w:color w:val="auto"/>
              </w:rPr>
            </w:pPr>
          </w:p>
        </w:tc>
        <w:tc>
          <w:tcPr>
            <w:tcW w:w="140" w:type="dxa"/>
            <w:vAlign w:val="bottom"/>
          </w:tcPr>
          <w:p>
            <w:pPr>
              <w:spacing w:after="0"/>
              <w:rPr>
                <w:sz w:val="13"/>
                <w:szCs w:val="13"/>
                <w:color w:val="auto"/>
              </w:rPr>
            </w:pPr>
          </w:p>
        </w:tc>
      </w:tr>
      <w:tr>
        <w:trPr>
          <w:trHeight w:val="154"/>
        </w:trPr>
        <w:tc>
          <w:tcPr>
            <w:tcW w:w="41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320" w:type="dxa"/>
            <w:vAlign w:val="bottom"/>
            <w:gridSpan w:val="2"/>
          </w:tcPr>
          <w:p>
            <w:pPr>
              <w:jc w:val="center"/>
              <w:ind w:right="280"/>
              <w:spacing w:after="0"/>
              <w:rPr>
                <w:sz w:val="20"/>
                <w:szCs w:val="20"/>
                <w:color w:val="auto"/>
              </w:rPr>
            </w:pPr>
            <w:r>
              <w:rPr>
                <w:rFonts w:ascii="Arial" w:cs="Arial" w:eastAsia="Arial" w:hAnsi="Arial"/>
                <w:sz w:val="13"/>
                <w:szCs w:val="13"/>
                <w:b w:val="1"/>
                <w:bCs w:val="1"/>
                <w:color w:val="auto"/>
                <w:w w:val="87"/>
              </w:rPr>
              <w:t>Owned as of</w:t>
            </w:r>
          </w:p>
        </w:tc>
        <w:tc>
          <w:tcPr>
            <w:tcW w:w="1320" w:type="dxa"/>
            <w:vAlign w:val="bottom"/>
            <w:gridSpan w:val="2"/>
          </w:tcPr>
          <w:p>
            <w:pPr>
              <w:jc w:val="center"/>
              <w:ind w:right="260"/>
              <w:spacing w:after="0"/>
              <w:rPr>
                <w:sz w:val="20"/>
                <w:szCs w:val="20"/>
                <w:color w:val="auto"/>
              </w:rPr>
            </w:pPr>
            <w:r>
              <w:rPr>
                <w:rFonts w:ascii="Arial" w:cs="Arial" w:eastAsia="Arial" w:hAnsi="Arial"/>
                <w:sz w:val="13"/>
                <w:szCs w:val="13"/>
                <w:b w:val="1"/>
                <w:bCs w:val="1"/>
                <w:color w:val="auto"/>
                <w:w w:val="87"/>
              </w:rPr>
              <w:t>within 60 days</w:t>
            </w:r>
          </w:p>
        </w:tc>
        <w:tc>
          <w:tcPr>
            <w:tcW w:w="1340" w:type="dxa"/>
            <w:vAlign w:val="bottom"/>
            <w:gridSpan w:val="2"/>
          </w:tcPr>
          <w:p>
            <w:pPr>
              <w:jc w:val="center"/>
              <w:ind w:right="260"/>
              <w:spacing w:after="0"/>
              <w:rPr>
                <w:sz w:val="20"/>
                <w:szCs w:val="20"/>
                <w:color w:val="auto"/>
              </w:rPr>
            </w:pPr>
            <w:r>
              <w:rPr>
                <w:rFonts w:ascii="Arial" w:cs="Arial" w:eastAsia="Arial" w:hAnsi="Arial"/>
                <w:sz w:val="13"/>
                <w:szCs w:val="13"/>
                <w:b w:val="1"/>
                <w:bCs w:val="1"/>
                <w:color w:val="auto"/>
                <w:w w:val="82"/>
              </w:rPr>
              <w:t>Shares</w:t>
            </w:r>
          </w:p>
        </w:tc>
        <w:tc>
          <w:tcPr>
            <w:tcW w:w="1360" w:type="dxa"/>
            <w:vAlign w:val="bottom"/>
            <w:gridSpan w:val="2"/>
          </w:tcPr>
          <w:p>
            <w:pPr>
              <w:jc w:val="center"/>
              <w:ind w:right="196"/>
              <w:spacing w:after="0"/>
              <w:rPr>
                <w:sz w:val="20"/>
                <w:szCs w:val="20"/>
                <w:color w:val="auto"/>
              </w:rPr>
            </w:pPr>
            <w:r>
              <w:rPr>
                <w:rFonts w:ascii="Arial" w:cs="Arial" w:eastAsia="Arial" w:hAnsi="Arial"/>
                <w:sz w:val="13"/>
                <w:szCs w:val="13"/>
                <w:b w:val="1"/>
                <w:bCs w:val="1"/>
                <w:color w:val="auto"/>
                <w:w w:val="86"/>
              </w:rPr>
              <w:t>Class</w:t>
            </w:r>
          </w:p>
        </w:tc>
        <w:tc>
          <w:tcPr>
            <w:tcW w:w="1260" w:type="dxa"/>
            <w:vAlign w:val="bottom"/>
            <w:gridSpan w:val="2"/>
          </w:tcPr>
          <w:p>
            <w:pPr>
              <w:jc w:val="center"/>
              <w:ind w:right="160"/>
              <w:spacing w:after="0"/>
              <w:rPr>
                <w:sz w:val="20"/>
                <w:szCs w:val="20"/>
                <w:color w:val="auto"/>
              </w:rPr>
            </w:pPr>
            <w:r>
              <w:rPr>
                <w:rFonts w:ascii="Arial" w:cs="Arial" w:eastAsia="Arial" w:hAnsi="Arial"/>
                <w:sz w:val="13"/>
                <w:szCs w:val="13"/>
                <w:b w:val="1"/>
                <w:bCs w:val="1"/>
                <w:color w:val="auto"/>
                <w:w w:val="85"/>
              </w:rPr>
              <w:t>Unvested</w:t>
            </w:r>
          </w:p>
        </w:tc>
      </w:tr>
      <w:tr>
        <w:trPr>
          <w:trHeight w:val="154"/>
        </w:trPr>
        <w:tc>
          <w:tcPr>
            <w:tcW w:w="41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320" w:type="dxa"/>
            <w:vAlign w:val="bottom"/>
            <w:gridSpan w:val="2"/>
          </w:tcPr>
          <w:p>
            <w:pPr>
              <w:jc w:val="center"/>
              <w:ind w:right="280"/>
              <w:spacing w:after="0"/>
              <w:rPr>
                <w:sz w:val="20"/>
                <w:szCs w:val="20"/>
                <w:color w:val="auto"/>
              </w:rPr>
            </w:pPr>
            <w:r>
              <w:rPr>
                <w:rFonts w:ascii="Arial" w:cs="Arial" w:eastAsia="Arial" w:hAnsi="Arial"/>
                <w:sz w:val="13"/>
                <w:szCs w:val="13"/>
                <w:b w:val="1"/>
                <w:bCs w:val="1"/>
                <w:color w:val="auto"/>
                <w:w w:val="89"/>
              </w:rPr>
              <w:t>December</w:t>
            </w:r>
          </w:p>
        </w:tc>
        <w:tc>
          <w:tcPr>
            <w:tcW w:w="13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6"/>
              </w:rPr>
              <w:t>as of December</w:t>
            </w:r>
          </w:p>
        </w:tc>
        <w:tc>
          <w:tcPr>
            <w:tcW w:w="1340" w:type="dxa"/>
            <w:vAlign w:val="bottom"/>
            <w:gridSpan w:val="2"/>
          </w:tcPr>
          <w:p>
            <w:pPr>
              <w:jc w:val="center"/>
              <w:ind w:right="260"/>
              <w:spacing w:after="0"/>
              <w:rPr>
                <w:sz w:val="20"/>
                <w:szCs w:val="20"/>
                <w:color w:val="auto"/>
              </w:rPr>
            </w:pPr>
            <w:r>
              <w:rPr>
                <w:rFonts w:ascii="Arial" w:cs="Arial" w:eastAsia="Arial" w:hAnsi="Arial"/>
                <w:sz w:val="13"/>
                <w:szCs w:val="13"/>
                <w:b w:val="1"/>
                <w:bCs w:val="1"/>
                <w:color w:val="auto"/>
                <w:w w:val="88"/>
              </w:rPr>
              <w:t>Beneficially</w:t>
            </w:r>
          </w:p>
        </w:tc>
        <w:tc>
          <w:tcPr>
            <w:tcW w:w="1360" w:type="dxa"/>
            <w:vAlign w:val="bottom"/>
            <w:gridSpan w:val="2"/>
          </w:tcPr>
          <w:p>
            <w:pPr>
              <w:jc w:val="center"/>
              <w:ind w:right="216"/>
              <w:spacing w:after="0"/>
              <w:rPr>
                <w:sz w:val="20"/>
                <w:szCs w:val="20"/>
                <w:color w:val="auto"/>
              </w:rPr>
            </w:pPr>
            <w:r>
              <w:rPr>
                <w:rFonts w:ascii="Arial" w:cs="Arial" w:eastAsia="Arial" w:hAnsi="Arial"/>
                <w:sz w:val="13"/>
                <w:szCs w:val="13"/>
                <w:b w:val="1"/>
                <w:bCs w:val="1"/>
                <w:color w:val="auto"/>
                <w:w w:val="88"/>
              </w:rPr>
              <w:t>Beneficially</w:t>
            </w:r>
          </w:p>
        </w:tc>
        <w:tc>
          <w:tcPr>
            <w:tcW w:w="1260" w:type="dxa"/>
            <w:vAlign w:val="bottom"/>
            <w:gridSpan w:val="2"/>
          </w:tcPr>
          <w:p>
            <w:pPr>
              <w:jc w:val="center"/>
              <w:ind w:right="160"/>
              <w:spacing w:after="0"/>
              <w:rPr>
                <w:sz w:val="20"/>
                <w:szCs w:val="20"/>
                <w:color w:val="auto"/>
              </w:rPr>
            </w:pPr>
            <w:r>
              <w:rPr>
                <w:rFonts w:ascii="Arial" w:cs="Arial" w:eastAsia="Arial" w:hAnsi="Arial"/>
                <w:sz w:val="13"/>
                <w:szCs w:val="13"/>
                <w:b w:val="1"/>
                <w:bCs w:val="1"/>
                <w:color w:val="auto"/>
                <w:w w:val="87"/>
              </w:rPr>
              <w:t>Restricted Stock</w:t>
            </w:r>
          </w:p>
        </w:tc>
      </w:tr>
      <w:tr>
        <w:trPr>
          <w:trHeight w:val="193"/>
        </w:trPr>
        <w:tc>
          <w:tcPr>
            <w:tcW w:w="4300" w:type="dxa"/>
            <w:vAlign w:val="bottom"/>
            <w:gridSpan w:val="2"/>
          </w:tcPr>
          <w:p>
            <w:pPr>
              <w:ind w:left="1920"/>
              <w:spacing w:after="0"/>
              <w:rPr>
                <w:sz w:val="20"/>
                <w:szCs w:val="20"/>
                <w:color w:val="auto"/>
              </w:rPr>
            </w:pPr>
            <w:r>
              <w:rPr>
                <w:rFonts w:ascii="Arial" w:cs="Arial" w:eastAsia="Arial" w:hAnsi="Arial"/>
                <w:sz w:val="13"/>
                <w:szCs w:val="13"/>
                <w:b w:val="1"/>
                <w:bCs w:val="1"/>
                <w:color w:val="auto"/>
              </w:rPr>
              <w:t>Name</w:t>
            </w:r>
          </w:p>
        </w:tc>
        <w:tc>
          <w:tcPr>
            <w:tcW w:w="1080" w:type="dxa"/>
            <w:vAlign w:val="bottom"/>
          </w:tcPr>
          <w:p>
            <w:pPr>
              <w:jc w:val="center"/>
              <w:spacing w:after="0" w:line="193" w:lineRule="exact"/>
              <w:rPr>
                <w:sz w:val="20"/>
                <w:szCs w:val="20"/>
                <w:color w:val="auto"/>
              </w:rPr>
            </w:pPr>
            <w:r>
              <w:rPr>
                <w:rFonts w:ascii="Arial" w:cs="Arial" w:eastAsia="Arial" w:hAnsi="Arial"/>
                <w:sz w:val="13"/>
                <w:szCs w:val="13"/>
                <w:b w:val="1"/>
                <w:bCs w:val="1"/>
                <w:color w:val="auto"/>
                <w:w w:val="84"/>
              </w:rPr>
              <w:t xml:space="preserve">31, 2018 </w:t>
            </w:r>
            <w:r>
              <w:rPr>
                <w:rFonts w:ascii="Arial" w:cs="Arial" w:eastAsia="Arial" w:hAnsi="Arial"/>
                <w:sz w:val="21"/>
                <w:szCs w:val="21"/>
                <w:b w:val="1"/>
                <w:bCs w:val="1"/>
                <w:color w:val="auto"/>
                <w:w w:val="84"/>
                <w:vertAlign w:val="superscript"/>
              </w:rPr>
              <w:t>(1)</w:t>
            </w:r>
          </w:p>
        </w:tc>
        <w:tc>
          <w:tcPr>
            <w:tcW w:w="240" w:type="dxa"/>
            <w:vAlign w:val="bottom"/>
          </w:tcPr>
          <w:p>
            <w:pPr>
              <w:spacing w:after="0"/>
              <w:rPr>
                <w:sz w:val="16"/>
                <w:szCs w:val="16"/>
                <w:color w:val="auto"/>
              </w:rPr>
            </w:pPr>
          </w:p>
        </w:tc>
        <w:tc>
          <w:tcPr>
            <w:tcW w:w="1100" w:type="dxa"/>
            <w:vAlign w:val="bottom"/>
          </w:tcPr>
          <w:p>
            <w:pPr>
              <w:jc w:val="center"/>
              <w:spacing w:after="0" w:line="193" w:lineRule="exact"/>
              <w:rPr>
                <w:sz w:val="20"/>
                <w:szCs w:val="20"/>
                <w:color w:val="auto"/>
              </w:rPr>
            </w:pPr>
            <w:r>
              <w:rPr>
                <w:rFonts w:ascii="Arial" w:cs="Arial" w:eastAsia="Arial" w:hAnsi="Arial"/>
                <w:sz w:val="13"/>
                <w:szCs w:val="13"/>
                <w:b w:val="1"/>
                <w:bCs w:val="1"/>
                <w:color w:val="auto"/>
                <w:w w:val="86"/>
              </w:rPr>
              <w:t xml:space="preserve">31, 2018 </w:t>
            </w:r>
            <w:r>
              <w:rPr>
                <w:rFonts w:ascii="Arial" w:cs="Arial" w:eastAsia="Arial" w:hAnsi="Arial"/>
                <w:sz w:val="21"/>
                <w:szCs w:val="21"/>
                <w:b w:val="1"/>
                <w:bCs w:val="1"/>
                <w:color w:val="auto"/>
                <w:w w:val="86"/>
                <w:vertAlign w:val="superscript"/>
              </w:rPr>
              <w:t>(2)</w:t>
            </w:r>
          </w:p>
        </w:tc>
        <w:tc>
          <w:tcPr>
            <w:tcW w:w="220" w:type="dxa"/>
            <w:vAlign w:val="bottom"/>
          </w:tcPr>
          <w:p>
            <w:pPr>
              <w:spacing w:after="0"/>
              <w:rPr>
                <w:sz w:val="16"/>
                <w:szCs w:val="16"/>
                <w:color w:val="auto"/>
              </w:rPr>
            </w:pPr>
          </w:p>
        </w:tc>
        <w:tc>
          <w:tcPr>
            <w:tcW w:w="134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2"/>
              </w:rPr>
              <w:t>Owned</w:t>
            </w:r>
          </w:p>
        </w:tc>
        <w:tc>
          <w:tcPr>
            <w:tcW w:w="1360" w:type="dxa"/>
            <w:vAlign w:val="bottom"/>
            <w:gridSpan w:val="2"/>
          </w:tcPr>
          <w:p>
            <w:pPr>
              <w:jc w:val="center"/>
              <w:ind w:right="176"/>
              <w:spacing w:after="0"/>
              <w:rPr>
                <w:sz w:val="20"/>
                <w:szCs w:val="20"/>
                <w:color w:val="auto"/>
              </w:rPr>
            </w:pPr>
            <w:r>
              <w:rPr>
                <w:rFonts w:ascii="Arial" w:cs="Arial" w:eastAsia="Arial" w:hAnsi="Arial"/>
                <w:sz w:val="13"/>
                <w:szCs w:val="13"/>
                <w:b w:val="1"/>
                <w:bCs w:val="1"/>
                <w:color w:val="auto"/>
                <w:w w:val="92"/>
              </w:rPr>
              <w:t>Owned</w:t>
            </w:r>
          </w:p>
        </w:tc>
        <w:tc>
          <w:tcPr>
            <w:tcW w:w="1260" w:type="dxa"/>
            <w:vAlign w:val="bottom"/>
            <w:gridSpan w:val="2"/>
          </w:tcPr>
          <w:p>
            <w:pPr>
              <w:jc w:val="center"/>
              <w:ind w:right="140"/>
              <w:spacing w:after="0" w:line="193" w:lineRule="exact"/>
              <w:rPr>
                <w:sz w:val="20"/>
                <w:szCs w:val="20"/>
                <w:color w:val="auto"/>
              </w:rPr>
            </w:pPr>
            <w:r>
              <w:rPr>
                <w:rFonts w:ascii="Arial" w:cs="Arial" w:eastAsia="Arial" w:hAnsi="Arial"/>
                <w:sz w:val="13"/>
                <w:szCs w:val="13"/>
                <w:b w:val="1"/>
                <w:bCs w:val="1"/>
                <w:color w:val="auto"/>
                <w:w w:val="82"/>
              </w:rPr>
              <w:t xml:space="preserve">Units </w:t>
            </w:r>
            <w:r>
              <w:rPr>
                <w:rFonts w:ascii="Arial" w:cs="Arial" w:eastAsia="Arial" w:hAnsi="Arial"/>
                <w:sz w:val="21"/>
                <w:szCs w:val="21"/>
                <w:b w:val="1"/>
                <w:bCs w:val="1"/>
                <w:color w:val="auto"/>
                <w:w w:val="82"/>
                <w:vertAlign w:val="superscript"/>
              </w:rPr>
              <w:t>(3)</w:t>
            </w:r>
          </w:p>
        </w:tc>
      </w:tr>
      <w:tr>
        <w:trPr>
          <w:trHeight w:val="144"/>
        </w:trPr>
        <w:tc>
          <w:tcPr>
            <w:tcW w:w="4180" w:type="dxa"/>
            <w:vAlign w:val="bottom"/>
            <w:tcBorders>
              <w:top w:val="single" w:sz="8" w:color="auto"/>
            </w:tcBorders>
            <w:shd w:val="clear" w:color="auto" w:fill="CCEEFF"/>
          </w:tcPr>
          <w:p>
            <w:pPr>
              <w:spacing w:after="0" w:line="144" w:lineRule="exact"/>
              <w:rPr>
                <w:sz w:val="20"/>
                <w:szCs w:val="20"/>
                <w:color w:val="auto"/>
              </w:rPr>
            </w:pPr>
            <w:r>
              <w:rPr>
                <w:rFonts w:ascii="Arial" w:cs="Arial" w:eastAsia="Arial" w:hAnsi="Arial"/>
                <w:sz w:val="13"/>
                <w:szCs w:val="13"/>
                <w:color w:val="auto"/>
              </w:rPr>
              <w:t>N. Gabriel Tolchinsky</w:t>
            </w:r>
          </w:p>
        </w:tc>
        <w:tc>
          <w:tcPr>
            <w:tcW w:w="120" w:type="dxa"/>
            <w:vAlign w:val="bottom"/>
            <w:tcBorders>
              <w:top w:val="single" w:sz="8" w:color="CCEEFF"/>
            </w:tcBorders>
            <w:shd w:val="clear" w:color="auto" w:fill="CCEEFF"/>
          </w:tcPr>
          <w:p>
            <w:pPr>
              <w:spacing w:after="0"/>
              <w:rPr>
                <w:sz w:val="12"/>
                <w:szCs w:val="12"/>
                <w:color w:val="auto"/>
              </w:rPr>
            </w:pPr>
          </w:p>
        </w:tc>
        <w:tc>
          <w:tcPr>
            <w:tcW w:w="10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5,000</w:t>
            </w:r>
          </w:p>
        </w:tc>
        <w:tc>
          <w:tcPr>
            <w:tcW w:w="240" w:type="dxa"/>
            <w:vAlign w:val="bottom"/>
            <w:tcBorders>
              <w:top w:val="single" w:sz="8" w:color="CCEEFF"/>
            </w:tcBorders>
            <w:shd w:val="clear" w:color="auto" w:fill="CCEEFF"/>
          </w:tcPr>
          <w:p>
            <w:pPr>
              <w:spacing w:after="0"/>
              <w:rPr>
                <w:sz w:val="12"/>
                <w:szCs w:val="12"/>
                <w:color w:val="auto"/>
              </w:rPr>
            </w:pPr>
          </w:p>
        </w:tc>
        <w:tc>
          <w:tcPr>
            <w:tcW w:w="11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0</w:t>
            </w:r>
          </w:p>
        </w:tc>
        <w:tc>
          <w:tcPr>
            <w:tcW w:w="220" w:type="dxa"/>
            <w:vAlign w:val="bottom"/>
            <w:tcBorders>
              <w:top w:val="single" w:sz="8" w:color="CCEEFF"/>
            </w:tcBorders>
            <w:shd w:val="clear" w:color="auto" w:fill="CCEEFF"/>
          </w:tcPr>
          <w:p>
            <w:pPr>
              <w:spacing w:after="0"/>
              <w:rPr>
                <w:sz w:val="12"/>
                <w:szCs w:val="12"/>
                <w:color w:val="auto"/>
              </w:rPr>
            </w:pPr>
          </w:p>
        </w:tc>
        <w:tc>
          <w:tcPr>
            <w:tcW w:w="11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5,000</w:t>
            </w:r>
          </w:p>
        </w:tc>
        <w:tc>
          <w:tcPr>
            <w:tcW w:w="220" w:type="dxa"/>
            <w:vAlign w:val="bottom"/>
            <w:tcBorders>
              <w:top w:val="single" w:sz="8" w:color="CCEEFF"/>
            </w:tcBorders>
            <w:shd w:val="clear" w:color="auto" w:fill="CCEEFF"/>
          </w:tcPr>
          <w:p>
            <w:pPr>
              <w:spacing w:after="0"/>
              <w:rPr>
                <w:sz w:val="12"/>
                <w:szCs w:val="12"/>
                <w:color w:val="auto"/>
              </w:rPr>
            </w:pPr>
          </w:p>
        </w:tc>
        <w:tc>
          <w:tcPr>
            <w:tcW w:w="112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jc w:val="right"/>
              <w:ind w:right="116"/>
              <w:spacing w:after="0" w:line="143" w:lineRule="exact"/>
              <w:rPr>
                <w:sz w:val="20"/>
                <w:szCs w:val="20"/>
                <w:color w:val="auto"/>
              </w:rPr>
            </w:pPr>
            <w:r>
              <w:rPr>
                <w:rFonts w:ascii="Arial" w:cs="Arial" w:eastAsia="Arial" w:hAnsi="Arial"/>
                <w:sz w:val="13"/>
                <w:szCs w:val="13"/>
                <w:color w:val="auto"/>
                <w:w w:val="78"/>
              </w:rPr>
              <w:t>*</w:t>
            </w:r>
          </w:p>
        </w:tc>
        <w:tc>
          <w:tcPr>
            <w:tcW w:w="11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0</w:t>
            </w:r>
          </w:p>
        </w:tc>
        <w:tc>
          <w:tcPr>
            <w:tcW w:w="140" w:type="dxa"/>
            <w:vAlign w:val="bottom"/>
            <w:tcBorders>
              <w:top w:val="single" w:sz="8" w:color="CCEEFF"/>
            </w:tcBorders>
            <w:shd w:val="clear" w:color="auto" w:fill="CCEEFF"/>
          </w:tcPr>
          <w:p>
            <w:pPr>
              <w:spacing w:after="0"/>
              <w:rPr>
                <w:sz w:val="12"/>
                <w:szCs w:val="12"/>
                <w:color w:val="auto"/>
              </w:rPr>
            </w:pPr>
          </w:p>
        </w:tc>
      </w:tr>
      <w:tr>
        <w:trPr>
          <w:trHeight w:val="154"/>
        </w:trPr>
        <w:tc>
          <w:tcPr>
            <w:tcW w:w="4300" w:type="dxa"/>
            <w:vAlign w:val="bottom"/>
            <w:gridSpan w:val="2"/>
          </w:tcPr>
          <w:p>
            <w:pPr>
              <w:spacing w:after="0"/>
              <w:rPr>
                <w:sz w:val="20"/>
                <w:szCs w:val="20"/>
                <w:color w:val="auto"/>
              </w:rPr>
            </w:pPr>
            <w:r>
              <w:rPr>
                <w:rFonts w:ascii="Arial" w:cs="Arial" w:eastAsia="Arial" w:hAnsi="Arial"/>
                <w:sz w:val="13"/>
                <w:szCs w:val="13"/>
                <w:color w:val="auto"/>
              </w:rPr>
              <w:t>Erica Lijtztain</w:t>
            </w:r>
          </w:p>
        </w:tc>
        <w:tc>
          <w:tcPr>
            <w:tcW w:w="1320" w:type="dxa"/>
            <w:vAlign w:val="bottom"/>
            <w:gridSpan w:val="2"/>
          </w:tcPr>
          <w:p>
            <w:pPr>
              <w:jc w:val="right"/>
              <w:ind w:right="240"/>
              <w:spacing w:after="0"/>
              <w:rPr>
                <w:sz w:val="20"/>
                <w:szCs w:val="20"/>
                <w:color w:val="auto"/>
              </w:rPr>
            </w:pPr>
            <w:r>
              <w:rPr>
                <w:rFonts w:ascii="Arial" w:cs="Arial" w:eastAsia="Arial" w:hAnsi="Arial"/>
                <w:sz w:val="13"/>
                <w:szCs w:val="13"/>
                <w:color w:val="auto"/>
              </w:rPr>
              <w:t>0</w:t>
            </w:r>
          </w:p>
        </w:tc>
        <w:tc>
          <w:tcPr>
            <w:tcW w:w="1100" w:type="dxa"/>
            <w:vAlign w:val="bottom"/>
          </w:tcPr>
          <w:p>
            <w:pPr>
              <w:jc w:val="right"/>
              <w:spacing w:after="0"/>
              <w:rPr>
                <w:sz w:val="20"/>
                <w:szCs w:val="20"/>
                <w:color w:val="auto"/>
              </w:rPr>
            </w:pPr>
            <w:r>
              <w:rPr>
                <w:rFonts w:ascii="Arial" w:cs="Arial" w:eastAsia="Arial" w:hAnsi="Arial"/>
                <w:sz w:val="13"/>
                <w:szCs w:val="13"/>
                <w:color w:val="auto"/>
              </w:rPr>
              <w:t>1,008</w:t>
            </w:r>
          </w:p>
        </w:tc>
        <w:tc>
          <w:tcPr>
            <w:tcW w:w="220" w:type="dxa"/>
            <w:vAlign w:val="bottom"/>
          </w:tcPr>
          <w:p>
            <w:pPr>
              <w:spacing w:after="0"/>
              <w:rPr>
                <w:sz w:val="13"/>
                <w:szCs w:val="13"/>
                <w:color w:val="auto"/>
              </w:rPr>
            </w:pPr>
          </w:p>
        </w:tc>
        <w:tc>
          <w:tcPr>
            <w:tcW w:w="1120" w:type="dxa"/>
            <w:vAlign w:val="bottom"/>
          </w:tcPr>
          <w:p>
            <w:pPr>
              <w:jc w:val="right"/>
              <w:spacing w:after="0"/>
              <w:rPr>
                <w:sz w:val="20"/>
                <w:szCs w:val="20"/>
                <w:color w:val="auto"/>
              </w:rPr>
            </w:pPr>
            <w:r>
              <w:rPr>
                <w:rFonts w:ascii="Arial" w:cs="Arial" w:eastAsia="Arial" w:hAnsi="Arial"/>
                <w:sz w:val="13"/>
                <w:szCs w:val="13"/>
                <w:color w:val="auto"/>
              </w:rPr>
              <w:t>1,008</w:t>
            </w:r>
          </w:p>
        </w:tc>
        <w:tc>
          <w:tcPr>
            <w:tcW w:w="220" w:type="dxa"/>
            <w:vAlign w:val="bottom"/>
          </w:tcPr>
          <w:p>
            <w:pPr>
              <w:spacing w:after="0"/>
              <w:rPr>
                <w:sz w:val="13"/>
                <w:szCs w:val="13"/>
                <w:color w:val="auto"/>
              </w:rPr>
            </w:pPr>
          </w:p>
        </w:tc>
        <w:tc>
          <w:tcPr>
            <w:tcW w:w="1360" w:type="dxa"/>
            <w:vAlign w:val="bottom"/>
            <w:gridSpan w:val="2"/>
          </w:tcPr>
          <w:p>
            <w:pPr>
              <w:jc w:val="right"/>
              <w:ind w:right="116"/>
              <w:spacing w:after="0"/>
              <w:rPr>
                <w:sz w:val="20"/>
                <w:szCs w:val="20"/>
                <w:color w:val="auto"/>
              </w:rPr>
            </w:pPr>
            <w:r>
              <w:rPr>
                <w:rFonts w:ascii="Arial" w:cs="Arial" w:eastAsia="Arial" w:hAnsi="Arial"/>
                <w:sz w:val="13"/>
                <w:szCs w:val="13"/>
                <w:color w:val="auto"/>
              </w:rPr>
              <w:t>*</w:t>
            </w:r>
          </w:p>
        </w:tc>
        <w:tc>
          <w:tcPr>
            <w:tcW w:w="1260" w:type="dxa"/>
            <w:vAlign w:val="bottom"/>
            <w:gridSpan w:val="2"/>
          </w:tcPr>
          <w:p>
            <w:pPr>
              <w:jc w:val="right"/>
              <w:ind w:right="140"/>
              <w:spacing w:after="0"/>
              <w:rPr>
                <w:sz w:val="20"/>
                <w:szCs w:val="20"/>
                <w:color w:val="auto"/>
              </w:rPr>
            </w:pPr>
            <w:r>
              <w:rPr>
                <w:rFonts w:ascii="Arial" w:cs="Arial" w:eastAsia="Arial" w:hAnsi="Arial"/>
                <w:sz w:val="13"/>
                <w:szCs w:val="13"/>
                <w:color w:val="auto"/>
              </w:rPr>
              <w:t>3,024</w:t>
            </w:r>
          </w:p>
        </w:tc>
      </w:tr>
      <w:tr>
        <w:trPr>
          <w:trHeight w:val="154"/>
        </w:trPr>
        <w:tc>
          <w:tcPr>
            <w:tcW w:w="430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Alejandro Jaramillo</w:t>
            </w:r>
          </w:p>
        </w:tc>
        <w:tc>
          <w:tcPr>
            <w:tcW w:w="13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2,948</w:t>
            </w:r>
          </w:p>
        </w:tc>
        <w:tc>
          <w:tcPr>
            <w:tcW w:w="11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1,573</w:t>
            </w:r>
          </w:p>
        </w:tc>
        <w:tc>
          <w:tcPr>
            <w:tcW w:w="220" w:type="dxa"/>
            <w:vAlign w:val="bottom"/>
            <w:shd w:val="clear" w:color="auto" w:fill="CCEEFF"/>
          </w:tcPr>
          <w:p>
            <w:pPr>
              <w:spacing w:after="0"/>
              <w:rPr>
                <w:sz w:val="13"/>
                <w:szCs w:val="13"/>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4,521</w:t>
            </w:r>
          </w:p>
        </w:tc>
        <w:tc>
          <w:tcPr>
            <w:tcW w:w="220" w:type="dxa"/>
            <w:vAlign w:val="bottom"/>
            <w:shd w:val="clear" w:color="auto" w:fill="CCEEFF"/>
          </w:tcPr>
          <w:p>
            <w:pPr>
              <w:spacing w:after="0"/>
              <w:rPr>
                <w:sz w:val="13"/>
                <w:szCs w:val="13"/>
                <w:color w:val="auto"/>
              </w:rPr>
            </w:pPr>
          </w:p>
        </w:tc>
        <w:tc>
          <w:tcPr>
            <w:tcW w:w="1360" w:type="dxa"/>
            <w:vAlign w:val="bottom"/>
            <w:gridSpan w:val="2"/>
            <w:shd w:val="clear" w:color="auto" w:fill="CCEEFF"/>
          </w:tcPr>
          <w:p>
            <w:pPr>
              <w:jc w:val="right"/>
              <w:ind w:right="116"/>
              <w:spacing w:after="0"/>
              <w:rPr>
                <w:sz w:val="20"/>
                <w:szCs w:val="20"/>
                <w:color w:val="auto"/>
              </w:rPr>
            </w:pPr>
            <w:r>
              <w:rPr>
                <w:rFonts w:ascii="Arial" w:cs="Arial" w:eastAsia="Arial" w:hAnsi="Arial"/>
                <w:sz w:val="13"/>
                <w:szCs w:val="13"/>
                <w:color w:val="auto"/>
              </w:rPr>
              <w:t>*</w:t>
            </w:r>
          </w:p>
        </w:tc>
        <w:tc>
          <w:tcPr>
            <w:tcW w:w="126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4,718</w:t>
            </w:r>
          </w:p>
        </w:tc>
      </w:tr>
      <w:tr>
        <w:trPr>
          <w:trHeight w:val="154"/>
        </w:trPr>
        <w:tc>
          <w:tcPr>
            <w:tcW w:w="4300" w:type="dxa"/>
            <w:vAlign w:val="bottom"/>
            <w:gridSpan w:val="2"/>
          </w:tcPr>
          <w:p>
            <w:pPr>
              <w:spacing w:after="0"/>
              <w:rPr>
                <w:sz w:val="20"/>
                <w:szCs w:val="20"/>
                <w:color w:val="auto"/>
              </w:rPr>
            </w:pPr>
            <w:r>
              <w:rPr>
                <w:rFonts w:ascii="Arial" w:cs="Arial" w:eastAsia="Arial" w:hAnsi="Arial"/>
                <w:sz w:val="13"/>
                <w:szCs w:val="13"/>
                <w:color w:val="auto"/>
              </w:rPr>
              <w:t>Ana Graciela de Méndez</w:t>
            </w:r>
          </w:p>
        </w:tc>
        <w:tc>
          <w:tcPr>
            <w:tcW w:w="1320" w:type="dxa"/>
            <w:vAlign w:val="bottom"/>
            <w:gridSpan w:val="2"/>
          </w:tcPr>
          <w:p>
            <w:pPr>
              <w:jc w:val="right"/>
              <w:ind w:right="240"/>
              <w:spacing w:after="0"/>
              <w:rPr>
                <w:sz w:val="20"/>
                <w:szCs w:val="20"/>
                <w:color w:val="auto"/>
              </w:rPr>
            </w:pPr>
            <w:r>
              <w:rPr>
                <w:rFonts w:ascii="Arial" w:cs="Arial" w:eastAsia="Arial" w:hAnsi="Arial"/>
                <w:sz w:val="13"/>
                <w:szCs w:val="13"/>
                <w:color w:val="auto"/>
              </w:rPr>
              <w:t>0</w:t>
            </w:r>
          </w:p>
        </w:tc>
        <w:tc>
          <w:tcPr>
            <w:tcW w:w="1320" w:type="dxa"/>
            <w:vAlign w:val="bottom"/>
            <w:gridSpan w:val="2"/>
          </w:tcPr>
          <w:p>
            <w:pPr>
              <w:jc w:val="right"/>
              <w:ind w:right="220"/>
              <w:spacing w:after="0"/>
              <w:rPr>
                <w:sz w:val="20"/>
                <w:szCs w:val="20"/>
                <w:color w:val="auto"/>
              </w:rPr>
            </w:pPr>
            <w:r>
              <w:rPr>
                <w:rFonts w:ascii="Arial" w:cs="Arial" w:eastAsia="Arial" w:hAnsi="Arial"/>
                <w:sz w:val="13"/>
                <w:szCs w:val="13"/>
                <w:color w:val="auto"/>
              </w:rPr>
              <w:t>756</w:t>
            </w:r>
          </w:p>
        </w:tc>
        <w:tc>
          <w:tcPr>
            <w:tcW w:w="1340" w:type="dxa"/>
            <w:vAlign w:val="bottom"/>
            <w:gridSpan w:val="2"/>
          </w:tcPr>
          <w:p>
            <w:pPr>
              <w:jc w:val="right"/>
              <w:ind w:right="220"/>
              <w:spacing w:after="0"/>
              <w:rPr>
                <w:sz w:val="20"/>
                <w:szCs w:val="20"/>
                <w:color w:val="auto"/>
              </w:rPr>
            </w:pPr>
            <w:r>
              <w:rPr>
                <w:rFonts w:ascii="Arial" w:cs="Arial" w:eastAsia="Arial" w:hAnsi="Arial"/>
                <w:sz w:val="13"/>
                <w:szCs w:val="13"/>
                <w:color w:val="auto"/>
              </w:rPr>
              <w:t>756</w:t>
            </w:r>
          </w:p>
        </w:tc>
        <w:tc>
          <w:tcPr>
            <w:tcW w:w="1360" w:type="dxa"/>
            <w:vAlign w:val="bottom"/>
            <w:gridSpan w:val="2"/>
          </w:tcPr>
          <w:p>
            <w:pPr>
              <w:jc w:val="right"/>
              <w:ind w:right="116"/>
              <w:spacing w:after="0"/>
              <w:rPr>
                <w:sz w:val="20"/>
                <w:szCs w:val="20"/>
                <w:color w:val="auto"/>
              </w:rPr>
            </w:pPr>
            <w:r>
              <w:rPr>
                <w:rFonts w:ascii="Arial" w:cs="Arial" w:eastAsia="Arial" w:hAnsi="Arial"/>
                <w:sz w:val="13"/>
                <w:szCs w:val="13"/>
                <w:color w:val="auto"/>
              </w:rPr>
              <w:t>*</w:t>
            </w:r>
          </w:p>
        </w:tc>
        <w:tc>
          <w:tcPr>
            <w:tcW w:w="1260" w:type="dxa"/>
            <w:vAlign w:val="bottom"/>
            <w:gridSpan w:val="2"/>
          </w:tcPr>
          <w:p>
            <w:pPr>
              <w:jc w:val="right"/>
              <w:ind w:right="140"/>
              <w:spacing w:after="0"/>
              <w:rPr>
                <w:sz w:val="20"/>
                <w:szCs w:val="20"/>
                <w:color w:val="auto"/>
              </w:rPr>
            </w:pPr>
            <w:r>
              <w:rPr>
                <w:rFonts w:ascii="Arial" w:cs="Arial" w:eastAsia="Arial" w:hAnsi="Arial"/>
                <w:sz w:val="13"/>
                <w:szCs w:val="13"/>
                <w:color w:val="auto"/>
              </w:rPr>
              <w:t>2,268</w:t>
            </w:r>
          </w:p>
        </w:tc>
      </w:tr>
      <w:tr>
        <w:trPr>
          <w:trHeight w:val="154"/>
        </w:trPr>
        <w:tc>
          <w:tcPr>
            <w:tcW w:w="430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Eduardo Vivone</w:t>
            </w:r>
          </w:p>
        </w:tc>
        <w:tc>
          <w:tcPr>
            <w:tcW w:w="13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0</w:t>
            </w:r>
          </w:p>
        </w:tc>
        <w:tc>
          <w:tcPr>
            <w:tcW w:w="13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882</w:t>
            </w:r>
          </w:p>
        </w:tc>
        <w:tc>
          <w:tcPr>
            <w:tcW w:w="13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882</w:t>
            </w:r>
          </w:p>
        </w:tc>
        <w:tc>
          <w:tcPr>
            <w:tcW w:w="1360" w:type="dxa"/>
            <w:vAlign w:val="bottom"/>
            <w:gridSpan w:val="2"/>
            <w:shd w:val="clear" w:color="auto" w:fill="CCEEFF"/>
          </w:tcPr>
          <w:p>
            <w:pPr>
              <w:jc w:val="right"/>
              <w:ind w:right="116"/>
              <w:spacing w:after="0"/>
              <w:rPr>
                <w:sz w:val="20"/>
                <w:szCs w:val="20"/>
                <w:color w:val="auto"/>
              </w:rPr>
            </w:pPr>
            <w:r>
              <w:rPr>
                <w:rFonts w:ascii="Arial" w:cs="Arial" w:eastAsia="Arial" w:hAnsi="Arial"/>
                <w:sz w:val="13"/>
                <w:szCs w:val="13"/>
                <w:color w:val="auto"/>
              </w:rPr>
              <w:t>*</w:t>
            </w:r>
          </w:p>
        </w:tc>
        <w:tc>
          <w:tcPr>
            <w:tcW w:w="126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2,646</w:t>
            </w:r>
          </w:p>
        </w:tc>
      </w:tr>
      <w:tr>
        <w:trPr>
          <w:trHeight w:val="154"/>
        </w:trPr>
        <w:tc>
          <w:tcPr>
            <w:tcW w:w="4300" w:type="dxa"/>
            <w:vAlign w:val="bottom"/>
            <w:gridSpan w:val="2"/>
          </w:tcPr>
          <w:p>
            <w:pPr>
              <w:spacing w:after="0"/>
              <w:rPr>
                <w:sz w:val="20"/>
                <w:szCs w:val="20"/>
                <w:color w:val="auto"/>
              </w:rPr>
            </w:pPr>
            <w:r>
              <w:rPr>
                <w:rFonts w:ascii="Arial" w:cs="Arial" w:eastAsia="Arial" w:hAnsi="Arial"/>
                <w:sz w:val="13"/>
                <w:szCs w:val="13"/>
                <w:color w:val="auto"/>
              </w:rPr>
              <w:t>Alejandro Tizzoni</w:t>
            </w:r>
          </w:p>
        </w:tc>
        <w:tc>
          <w:tcPr>
            <w:tcW w:w="1320" w:type="dxa"/>
            <w:vAlign w:val="bottom"/>
            <w:gridSpan w:val="2"/>
          </w:tcPr>
          <w:p>
            <w:pPr>
              <w:jc w:val="right"/>
              <w:ind w:right="240"/>
              <w:spacing w:after="0"/>
              <w:rPr>
                <w:sz w:val="20"/>
                <w:szCs w:val="20"/>
                <w:color w:val="auto"/>
              </w:rPr>
            </w:pPr>
            <w:r>
              <w:rPr>
                <w:rFonts w:ascii="Arial" w:cs="Arial" w:eastAsia="Arial" w:hAnsi="Arial"/>
                <w:sz w:val="13"/>
                <w:szCs w:val="13"/>
                <w:color w:val="auto"/>
              </w:rPr>
              <w:t>2,868</w:t>
            </w:r>
          </w:p>
        </w:tc>
        <w:tc>
          <w:tcPr>
            <w:tcW w:w="1100" w:type="dxa"/>
            <w:vAlign w:val="bottom"/>
          </w:tcPr>
          <w:p>
            <w:pPr>
              <w:jc w:val="right"/>
              <w:spacing w:after="0"/>
              <w:rPr>
                <w:sz w:val="20"/>
                <w:szCs w:val="20"/>
                <w:color w:val="auto"/>
              </w:rPr>
            </w:pPr>
            <w:r>
              <w:rPr>
                <w:rFonts w:ascii="Arial" w:cs="Arial" w:eastAsia="Arial" w:hAnsi="Arial"/>
                <w:sz w:val="13"/>
                <w:szCs w:val="13"/>
                <w:color w:val="auto"/>
              </w:rPr>
              <w:t>1,176</w:t>
            </w:r>
          </w:p>
        </w:tc>
        <w:tc>
          <w:tcPr>
            <w:tcW w:w="220" w:type="dxa"/>
            <w:vAlign w:val="bottom"/>
          </w:tcPr>
          <w:p>
            <w:pPr>
              <w:spacing w:after="0"/>
              <w:rPr>
                <w:sz w:val="13"/>
                <w:szCs w:val="13"/>
                <w:color w:val="auto"/>
              </w:rPr>
            </w:pPr>
          </w:p>
        </w:tc>
        <w:tc>
          <w:tcPr>
            <w:tcW w:w="1120" w:type="dxa"/>
            <w:vAlign w:val="bottom"/>
          </w:tcPr>
          <w:p>
            <w:pPr>
              <w:jc w:val="right"/>
              <w:spacing w:after="0"/>
              <w:rPr>
                <w:sz w:val="20"/>
                <w:szCs w:val="20"/>
                <w:color w:val="auto"/>
              </w:rPr>
            </w:pPr>
            <w:r>
              <w:rPr>
                <w:rFonts w:ascii="Arial" w:cs="Arial" w:eastAsia="Arial" w:hAnsi="Arial"/>
                <w:sz w:val="13"/>
                <w:szCs w:val="13"/>
                <w:color w:val="auto"/>
              </w:rPr>
              <w:t>4,044</w:t>
            </w:r>
          </w:p>
        </w:tc>
        <w:tc>
          <w:tcPr>
            <w:tcW w:w="220" w:type="dxa"/>
            <w:vAlign w:val="bottom"/>
          </w:tcPr>
          <w:p>
            <w:pPr>
              <w:spacing w:after="0"/>
              <w:rPr>
                <w:sz w:val="13"/>
                <w:szCs w:val="13"/>
                <w:color w:val="auto"/>
              </w:rPr>
            </w:pPr>
          </w:p>
        </w:tc>
        <w:tc>
          <w:tcPr>
            <w:tcW w:w="1360" w:type="dxa"/>
            <w:vAlign w:val="bottom"/>
            <w:gridSpan w:val="2"/>
          </w:tcPr>
          <w:p>
            <w:pPr>
              <w:jc w:val="right"/>
              <w:ind w:right="116"/>
              <w:spacing w:after="0"/>
              <w:rPr>
                <w:sz w:val="20"/>
                <w:szCs w:val="20"/>
                <w:color w:val="auto"/>
              </w:rPr>
            </w:pPr>
            <w:r>
              <w:rPr>
                <w:rFonts w:ascii="Arial" w:cs="Arial" w:eastAsia="Arial" w:hAnsi="Arial"/>
                <w:sz w:val="13"/>
                <w:szCs w:val="13"/>
                <w:color w:val="auto"/>
              </w:rPr>
              <w:t>*</w:t>
            </w:r>
          </w:p>
        </w:tc>
        <w:tc>
          <w:tcPr>
            <w:tcW w:w="1260" w:type="dxa"/>
            <w:vAlign w:val="bottom"/>
            <w:gridSpan w:val="2"/>
          </w:tcPr>
          <w:p>
            <w:pPr>
              <w:jc w:val="right"/>
              <w:ind w:right="140"/>
              <w:spacing w:after="0"/>
              <w:rPr>
                <w:sz w:val="20"/>
                <w:szCs w:val="20"/>
                <w:color w:val="auto"/>
              </w:rPr>
            </w:pPr>
            <w:r>
              <w:rPr>
                <w:rFonts w:ascii="Arial" w:cs="Arial" w:eastAsia="Arial" w:hAnsi="Arial"/>
                <w:sz w:val="13"/>
                <w:szCs w:val="13"/>
                <w:color w:val="auto"/>
              </w:rPr>
              <w:t>5,278</w:t>
            </w:r>
          </w:p>
        </w:tc>
      </w:tr>
      <w:tr>
        <w:trPr>
          <w:trHeight w:val="154"/>
        </w:trPr>
        <w:tc>
          <w:tcPr>
            <w:tcW w:w="430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Jorge Luis Real</w:t>
            </w:r>
          </w:p>
        </w:tc>
        <w:tc>
          <w:tcPr>
            <w:tcW w:w="13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0</w:t>
            </w:r>
          </w:p>
        </w:tc>
        <w:tc>
          <w:tcPr>
            <w:tcW w:w="13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458</w:t>
            </w:r>
          </w:p>
        </w:tc>
        <w:tc>
          <w:tcPr>
            <w:tcW w:w="13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458</w:t>
            </w:r>
          </w:p>
        </w:tc>
        <w:tc>
          <w:tcPr>
            <w:tcW w:w="1360" w:type="dxa"/>
            <w:vAlign w:val="bottom"/>
            <w:gridSpan w:val="2"/>
            <w:shd w:val="clear" w:color="auto" w:fill="CCEEFF"/>
          </w:tcPr>
          <w:p>
            <w:pPr>
              <w:jc w:val="right"/>
              <w:ind w:right="116"/>
              <w:spacing w:after="0"/>
              <w:rPr>
                <w:sz w:val="20"/>
                <w:szCs w:val="20"/>
                <w:color w:val="auto"/>
              </w:rPr>
            </w:pPr>
            <w:r>
              <w:rPr>
                <w:rFonts w:ascii="Arial" w:cs="Arial" w:eastAsia="Arial" w:hAnsi="Arial"/>
                <w:sz w:val="13"/>
                <w:szCs w:val="13"/>
                <w:color w:val="auto"/>
              </w:rPr>
              <w:t>*</w:t>
            </w:r>
          </w:p>
        </w:tc>
        <w:tc>
          <w:tcPr>
            <w:tcW w:w="126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1,375</w:t>
            </w:r>
          </w:p>
        </w:tc>
      </w:tr>
      <w:tr>
        <w:trPr>
          <w:trHeight w:val="163"/>
        </w:trPr>
        <w:tc>
          <w:tcPr>
            <w:tcW w:w="4300" w:type="dxa"/>
            <w:vAlign w:val="bottom"/>
            <w:gridSpan w:val="2"/>
          </w:tcPr>
          <w:p>
            <w:pPr>
              <w:spacing w:after="0"/>
              <w:rPr>
                <w:sz w:val="20"/>
                <w:szCs w:val="20"/>
                <w:color w:val="auto"/>
              </w:rPr>
            </w:pPr>
            <w:r>
              <w:rPr>
                <w:rFonts w:ascii="Arial" w:cs="Arial" w:eastAsia="Arial" w:hAnsi="Arial"/>
                <w:sz w:val="13"/>
                <w:szCs w:val="13"/>
                <w:color w:val="auto"/>
              </w:rPr>
              <w:t>Jorge Córdoba</w:t>
            </w:r>
          </w:p>
        </w:tc>
        <w:tc>
          <w:tcPr>
            <w:tcW w:w="1320" w:type="dxa"/>
            <w:vAlign w:val="bottom"/>
            <w:gridSpan w:val="2"/>
          </w:tcPr>
          <w:p>
            <w:pPr>
              <w:jc w:val="right"/>
              <w:ind w:right="240"/>
              <w:spacing w:after="0"/>
              <w:rPr>
                <w:sz w:val="20"/>
                <w:szCs w:val="20"/>
                <w:color w:val="auto"/>
              </w:rPr>
            </w:pPr>
            <w:r>
              <w:rPr>
                <w:rFonts w:ascii="Arial" w:cs="Arial" w:eastAsia="Arial" w:hAnsi="Arial"/>
                <w:sz w:val="13"/>
                <w:szCs w:val="13"/>
                <w:color w:val="auto"/>
              </w:rPr>
              <w:t>0</w:t>
            </w:r>
          </w:p>
        </w:tc>
        <w:tc>
          <w:tcPr>
            <w:tcW w:w="132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134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1360" w:type="dxa"/>
            <w:vAlign w:val="bottom"/>
            <w:gridSpan w:val="2"/>
          </w:tcPr>
          <w:p>
            <w:pPr>
              <w:jc w:val="right"/>
              <w:ind w:right="116"/>
              <w:spacing w:after="0"/>
              <w:rPr>
                <w:sz w:val="20"/>
                <w:szCs w:val="20"/>
                <w:color w:val="auto"/>
              </w:rPr>
            </w:pPr>
            <w:r>
              <w:rPr>
                <w:rFonts w:ascii="Arial" w:cs="Arial" w:eastAsia="Arial" w:hAnsi="Arial"/>
                <w:sz w:val="13"/>
                <w:szCs w:val="13"/>
                <w:color w:val="auto"/>
              </w:rPr>
              <w:t>*</w:t>
            </w:r>
          </w:p>
        </w:tc>
        <w:tc>
          <w:tcPr>
            <w:tcW w:w="1260" w:type="dxa"/>
            <w:vAlign w:val="bottom"/>
            <w:gridSpan w:val="2"/>
          </w:tcPr>
          <w:p>
            <w:pPr>
              <w:jc w:val="right"/>
              <w:ind w:right="140"/>
              <w:spacing w:after="0"/>
              <w:rPr>
                <w:sz w:val="20"/>
                <w:szCs w:val="20"/>
                <w:color w:val="auto"/>
              </w:rPr>
            </w:pPr>
            <w:r>
              <w:rPr>
                <w:rFonts w:ascii="Arial" w:cs="Arial" w:eastAsia="Arial" w:hAnsi="Arial"/>
                <w:sz w:val="13"/>
                <w:szCs w:val="13"/>
                <w:color w:val="auto"/>
              </w:rPr>
              <w:t>0</w:t>
            </w:r>
          </w:p>
        </w:tc>
      </w:tr>
      <w:tr>
        <w:trPr>
          <w:trHeight w:val="163"/>
        </w:trPr>
        <w:tc>
          <w:tcPr>
            <w:tcW w:w="4300" w:type="dxa"/>
            <w:vAlign w:val="bottom"/>
            <w:tcBorders>
              <w:top w:val="single" w:sz="8" w:color="CCEEFF"/>
              <w:bottom w:val="single" w:sz="8" w:color="CCEEFF"/>
            </w:tcBorders>
            <w:gridSpan w:val="2"/>
            <w:shd w:val="clear" w:color="auto" w:fill="CCEEFF"/>
          </w:tcPr>
          <w:p>
            <w:pPr>
              <w:spacing w:after="0" w:line="147" w:lineRule="exact"/>
              <w:rPr>
                <w:sz w:val="20"/>
                <w:szCs w:val="20"/>
                <w:color w:val="auto"/>
              </w:rPr>
            </w:pPr>
            <w:r>
              <w:rPr>
                <w:rFonts w:ascii="Arial" w:cs="Arial" w:eastAsia="Arial" w:hAnsi="Arial"/>
                <w:sz w:val="13"/>
                <w:szCs w:val="13"/>
                <w:b w:val="1"/>
                <w:bCs w:val="1"/>
                <w:color w:val="auto"/>
              </w:rPr>
              <w:t>Total</w:t>
            </w: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10,816</w:t>
            </w: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5,853</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16,669</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120" w:type="dxa"/>
            <w:vAlign w:val="bottom"/>
            <w:tcBorders>
              <w:top w:val="single" w:sz="8" w:color="auto"/>
              <w:bottom w:val="single" w:sz="8" w:color="auto"/>
            </w:tcBorders>
            <w:shd w:val="clear" w:color="auto" w:fill="CCEEFF"/>
          </w:tcPr>
          <w:p>
            <w:pPr>
              <w:spacing w:after="0"/>
              <w:rPr>
                <w:sz w:val="14"/>
                <w:szCs w:val="14"/>
                <w:color w:val="auto"/>
              </w:rPr>
            </w:pP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19,309</w:t>
            </w:r>
          </w:p>
        </w:tc>
        <w:tc>
          <w:tcPr>
            <w:tcW w:w="140" w:type="dxa"/>
            <w:vAlign w:val="bottom"/>
            <w:tcBorders>
              <w:top w:val="single" w:sz="8" w:color="CCEEFF"/>
              <w:bottom w:val="single" w:sz="8" w:color="CCEEFF"/>
            </w:tcBorders>
            <w:shd w:val="clear" w:color="auto" w:fill="CCEEFF"/>
          </w:tcPr>
          <w:p>
            <w:pPr>
              <w:spacing w:after="0"/>
              <w:rPr>
                <w:sz w:val="14"/>
                <w:szCs w:val="14"/>
                <w:color w:val="auto"/>
              </w:rPr>
            </w:pPr>
          </w:p>
        </w:tc>
      </w:tr>
    </w:tbl>
    <w:p>
      <w:pPr>
        <w:spacing w:after="0" w:line="145" w:lineRule="exact"/>
        <w:rPr>
          <w:sz w:val="20"/>
          <w:szCs w:val="20"/>
          <w:color w:val="auto"/>
        </w:rPr>
      </w:pPr>
    </w:p>
    <w:p>
      <w:pPr>
        <w:ind w:left="223" w:hanging="223"/>
        <w:spacing w:after="0"/>
        <w:tabs>
          <w:tab w:leader="none" w:pos="223" w:val="left"/>
        </w:tabs>
        <w:numPr>
          <w:ilvl w:val="0"/>
          <w:numId w:val="52"/>
        </w:numPr>
        <w:rPr>
          <w:rFonts w:ascii="Arial" w:cs="Arial" w:eastAsia="Arial" w:hAnsi="Arial"/>
          <w:sz w:val="13"/>
          <w:szCs w:val="13"/>
          <w:color w:val="auto"/>
        </w:rPr>
      </w:pPr>
      <w:r>
        <w:rPr>
          <w:rFonts w:ascii="Arial" w:cs="Arial" w:eastAsia="Arial" w:hAnsi="Arial"/>
          <w:sz w:val="13"/>
          <w:szCs w:val="13"/>
          <w:color w:val="auto"/>
        </w:rPr>
        <w:t>Less than one percent of the outstanding Class E shares.</w:t>
      </w:r>
    </w:p>
    <w:p>
      <w:pPr>
        <w:ind w:left="223" w:hanging="223"/>
        <w:spacing w:after="0" w:line="183" w:lineRule="auto"/>
        <w:tabs>
          <w:tab w:leader="none" w:pos="223" w:val="left"/>
        </w:tabs>
        <w:numPr>
          <w:ilvl w:val="0"/>
          <w:numId w:val="53"/>
        </w:numPr>
        <w:rPr>
          <w:rFonts w:ascii="Arial" w:cs="Arial" w:eastAsia="Arial" w:hAnsi="Arial"/>
          <w:sz w:val="19"/>
          <w:szCs w:val="19"/>
          <w:color w:val="auto"/>
          <w:vertAlign w:val="superscript"/>
        </w:rPr>
      </w:pPr>
      <w:r>
        <w:rPr>
          <w:rFonts w:ascii="Arial" w:cs="Arial" w:eastAsia="Arial" w:hAnsi="Arial"/>
          <w:sz w:val="12"/>
          <w:szCs w:val="12"/>
          <w:color w:val="auto"/>
        </w:rPr>
        <w:t>Includes shares purchased by the executive and restricted stock units vested and transferred to the executive as of such date.</w:t>
      </w:r>
    </w:p>
    <w:p>
      <w:pPr>
        <w:spacing w:after="0" w:line="1" w:lineRule="exact"/>
        <w:rPr>
          <w:rFonts w:ascii="Arial" w:cs="Arial" w:eastAsia="Arial" w:hAnsi="Arial"/>
          <w:sz w:val="19"/>
          <w:szCs w:val="19"/>
          <w:color w:val="auto"/>
          <w:vertAlign w:val="superscript"/>
        </w:rPr>
      </w:pPr>
    </w:p>
    <w:p>
      <w:pPr>
        <w:ind w:left="223" w:hanging="223"/>
        <w:spacing w:after="0" w:line="187" w:lineRule="auto"/>
        <w:tabs>
          <w:tab w:leader="none" w:pos="223" w:val="left"/>
        </w:tabs>
        <w:numPr>
          <w:ilvl w:val="0"/>
          <w:numId w:val="53"/>
        </w:numPr>
        <w:rPr>
          <w:rFonts w:ascii="Arial" w:cs="Arial" w:eastAsia="Arial" w:hAnsi="Arial"/>
          <w:sz w:val="17"/>
          <w:szCs w:val="17"/>
          <w:color w:val="auto"/>
          <w:vertAlign w:val="superscript"/>
        </w:rPr>
      </w:pPr>
      <w:r>
        <w:rPr>
          <w:rFonts w:ascii="Arial" w:cs="Arial" w:eastAsia="Arial" w:hAnsi="Arial"/>
          <w:sz w:val="11"/>
          <w:szCs w:val="11"/>
          <w:color w:val="auto"/>
        </w:rPr>
        <w:t>Includes vested traditional stock options, as well as options and restricted stock units that will vest within 60 days of December 31, 2018.</w:t>
      </w:r>
    </w:p>
    <w:p>
      <w:pPr>
        <w:spacing w:after="0" w:line="1" w:lineRule="exact"/>
        <w:rPr>
          <w:rFonts w:ascii="Arial" w:cs="Arial" w:eastAsia="Arial" w:hAnsi="Arial"/>
          <w:sz w:val="17"/>
          <w:szCs w:val="17"/>
          <w:color w:val="auto"/>
          <w:vertAlign w:val="superscript"/>
        </w:rPr>
      </w:pPr>
    </w:p>
    <w:p>
      <w:pPr>
        <w:jc w:val="both"/>
        <w:ind w:left="223" w:hanging="223"/>
        <w:spacing w:after="0" w:line="204" w:lineRule="auto"/>
        <w:tabs>
          <w:tab w:leader="none" w:pos="223" w:val="left"/>
        </w:tabs>
        <w:numPr>
          <w:ilvl w:val="0"/>
          <w:numId w:val="53"/>
        </w:numPr>
        <w:rPr>
          <w:rFonts w:ascii="Arial" w:cs="Arial" w:eastAsia="Arial" w:hAnsi="Arial"/>
          <w:sz w:val="21"/>
          <w:szCs w:val="21"/>
          <w:color w:val="auto"/>
          <w:vertAlign w:val="superscript"/>
        </w:rPr>
      </w:pPr>
      <w:r>
        <w:rPr>
          <w:rFonts w:ascii="Arial" w:cs="Arial" w:eastAsia="Arial" w:hAnsi="Arial"/>
          <w:sz w:val="13"/>
          <w:szCs w:val="13"/>
          <w:color w:val="auto"/>
        </w:rPr>
        <w:t>Includes 23,412 and 3,501 unvested restricted stock units granted to executive officers on February 6, 2018 and June 14, 2017, under the 2015 Plan, respectively. These restricted stock units vest 25% each year on the relevant grant date’s anniversary, except for the 2017 grant. The 2017 grant will vest 25% on June 14, 2017, followed by 25% on each anniversary of the first vesting date. Any unvested portion of the grants referenced above that will not vest within 60 days of December 31, 2018, is not deemed to be beneficially owned by the individuals listed in the table.</w:t>
      </w:r>
    </w:p>
    <w:p>
      <w:pPr>
        <w:spacing w:after="0" w:line="295"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89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85" w:right="219" w:bottom="1440" w:gutter="0" w:footer="0" w:header="0"/>
        </w:sectPr>
      </w:pPr>
    </w:p>
    <w:bookmarkStart w:id="91" w:name="page92"/>
    <w:bookmarkEnd w:id="91"/>
    <w:p>
      <w:pPr>
        <w:spacing w:after="0" w:line="267" w:lineRule="auto"/>
        <w:rPr>
          <w:sz w:val="20"/>
          <w:szCs w:val="20"/>
          <w:color w:val="auto"/>
        </w:rPr>
      </w:pPr>
      <w:r>
        <w:rPr>
          <w:rFonts w:ascii="Arial" w:cs="Arial" w:eastAsia="Arial" w:hAnsi="Arial"/>
          <w:sz w:val="13"/>
          <w:szCs w:val="13"/>
          <w:color w:val="auto"/>
        </w:rPr>
        <w:t>The following table sets forth information regarding beneficial ownership of the Bank’s Class E shares, including restricted shares and stock options and holdings of unvested restricted shares and unvested stock options by members of the Bank’s Board, as of December 31, 2018:</w:t>
      </w:r>
    </w:p>
    <w:p>
      <w:pPr>
        <w:spacing w:after="0" w:line="125" w:lineRule="exact"/>
        <w:rPr>
          <w:sz w:val="20"/>
          <w:szCs w:val="20"/>
          <w:color w:val="auto"/>
        </w:rPr>
      </w:pPr>
    </w:p>
    <w:tbl>
      <w:tblPr>
        <w:tblLayout w:type="fixed"/>
        <w:tblInd w:w="0" w:type="dxa"/>
        <w:tblCellMar>
          <w:top w:w="0" w:type="dxa"/>
          <w:left w:w="0" w:type="dxa"/>
          <w:bottom w:w="0" w:type="dxa"/>
          <w:right w:w="0" w:type="dxa"/>
        </w:tblCellMar>
      </w:tblPr>
      <w:tr>
        <w:trPr>
          <w:trHeight w:val="154"/>
        </w:trPr>
        <w:tc>
          <w:tcPr>
            <w:tcW w:w="49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2"/>
              </w:rPr>
              <w:t>Number of</w:t>
            </w:r>
          </w:p>
        </w:tc>
        <w:tc>
          <w:tcPr>
            <w:tcW w:w="9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7"/>
        </w:trPr>
        <w:tc>
          <w:tcPr>
            <w:tcW w:w="49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7"/>
              </w:rPr>
              <w:t>Shares that may</w:t>
            </w:r>
          </w:p>
        </w:tc>
        <w:tc>
          <w:tcPr>
            <w:tcW w:w="120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9"/>
              </w:rPr>
              <w:t>Total</w:t>
            </w:r>
          </w:p>
        </w:tc>
        <w:tc>
          <w:tcPr>
            <w:tcW w:w="9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49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20" w:type="dxa"/>
            <w:vAlign w:val="bottom"/>
            <w:gridSpan w:val="2"/>
          </w:tcPr>
          <w:p>
            <w:pPr>
              <w:jc w:val="center"/>
              <w:ind w:right="260"/>
              <w:spacing w:after="0"/>
              <w:rPr>
                <w:sz w:val="20"/>
                <w:szCs w:val="20"/>
                <w:color w:val="auto"/>
              </w:rPr>
            </w:pPr>
            <w:r>
              <w:rPr>
                <w:rFonts w:ascii="Arial" w:cs="Arial" w:eastAsia="Arial" w:hAnsi="Arial"/>
                <w:sz w:val="13"/>
                <w:szCs w:val="13"/>
                <w:b w:val="1"/>
                <w:bCs w:val="1"/>
                <w:color w:val="auto"/>
                <w:w w:val="92"/>
              </w:rPr>
              <w:t>Number of</w:t>
            </w:r>
          </w:p>
        </w:tc>
        <w:tc>
          <w:tcPr>
            <w:tcW w:w="120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7"/>
              </w:rPr>
              <w:t>be acquired</w:t>
            </w:r>
          </w:p>
        </w:tc>
        <w:tc>
          <w:tcPr>
            <w:tcW w:w="120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2"/>
              </w:rPr>
              <w:t>Number of</w:t>
            </w:r>
          </w:p>
        </w:tc>
        <w:tc>
          <w:tcPr>
            <w:tcW w:w="1180" w:type="dxa"/>
            <w:vAlign w:val="bottom"/>
            <w:gridSpan w:val="2"/>
          </w:tcPr>
          <w:p>
            <w:pPr>
              <w:jc w:val="center"/>
              <w:ind w:right="196"/>
              <w:spacing w:after="0"/>
              <w:rPr>
                <w:sz w:val="20"/>
                <w:szCs w:val="20"/>
                <w:color w:val="auto"/>
              </w:rPr>
            </w:pPr>
            <w:r>
              <w:rPr>
                <w:rFonts w:ascii="Arial" w:cs="Arial" w:eastAsia="Arial" w:hAnsi="Arial"/>
                <w:sz w:val="13"/>
                <w:szCs w:val="13"/>
                <w:b w:val="1"/>
                <w:bCs w:val="1"/>
                <w:color w:val="auto"/>
                <w:w w:val="88"/>
              </w:rPr>
              <w:t>Percent of</w:t>
            </w:r>
          </w:p>
        </w:tc>
        <w:tc>
          <w:tcPr>
            <w:tcW w:w="96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49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20" w:type="dxa"/>
            <w:vAlign w:val="bottom"/>
            <w:gridSpan w:val="2"/>
          </w:tcPr>
          <w:p>
            <w:pPr>
              <w:jc w:val="center"/>
              <w:ind w:right="260"/>
              <w:spacing w:after="0"/>
              <w:rPr>
                <w:sz w:val="20"/>
                <w:szCs w:val="20"/>
                <w:color w:val="auto"/>
              </w:rPr>
            </w:pPr>
            <w:r>
              <w:rPr>
                <w:rFonts w:ascii="Arial" w:cs="Arial" w:eastAsia="Arial" w:hAnsi="Arial"/>
                <w:sz w:val="13"/>
                <w:szCs w:val="13"/>
                <w:b w:val="1"/>
                <w:bCs w:val="1"/>
                <w:color w:val="auto"/>
                <w:w w:val="88"/>
              </w:rPr>
              <w:t>Shares Owned</w:t>
            </w:r>
          </w:p>
        </w:tc>
        <w:tc>
          <w:tcPr>
            <w:tcW w:w="12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7"/>
              </w:rPr>
              <w:t>within 60 days as</w:t>
            </w:r>
          </w:p>
        </w:tc>
        <w:tc>
          <w:tcPr>
            <w:tcW w:w="120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2"/>
              </w:rPr>
              <w:t>Shares</w:t>
            </w:r>
          </w:p>
        </w:tc>
        <w:tc>
          <w:tcPr>
            <w:tcW w:w="1180" w:type="dxa"/>
            <w:vAlign w:val="bottom"/>
            <w:gridSpan w:val="2"/>
          </w:tcPr>
          <w:p>
            <w:pPr>
              <w:jc w:val="center"/>
              <w:ind w:right="196"/>
              <w:spacing w:after="0"/>
              <w:rPr>
                <w:sz w:val="20"/>
                <w:szCs w:val="20"/>
                <w:color w:val="auto"/>
              </w:rPr>
            </w:pPr>
            <w:r>
              <w:rPr>
                <w:rFonts w:ascii="Arial" w:cs="Arial" w:eastAsia="Arial" w:hAnsi="Arial"/>
                <w:sz w:val="13"/>
                <w:szCs w:val="13"/>
                <w:b w:val="1"/>
                <w:bCs w:val="1"/>
                <w:color w:val="auto"/>
                <w:w w:val="80"/>
              </w:rPr>
              <w:t>Class</w:t>
            </w:r>
          </w:p>
        </w:tc>
        <w:tc>
          <w:tcPr>
            <w:tcW w:w="96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49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20" w:type="dxa"/>
            <w:vAlign w:val="bottom"/>
            <w:gridSpan w:val="2"/>
          </w:tcPr>
          <w:p>
            <w:pPr>
              <w:jc w:val="center"/>
              <w:ind w:right="260"/>
              <w:spacing w:after="0"/>
              <w:rPr>
                <w:sz w:val="20"/>
                <w:szCs w:val="20"/>
                <w:color w:val="auto"/>
              </w:rPr>
            </w:pPr>
            <w:r>
              <w:rPr>
                <w:rFonts w:ascii="Arial" w:cs="Arial" w:eastAsia="Arial" w:hAnsi="Arial"/>
                <w:sz w:val="13"/>
                <w:szCs w:val="13"/>
                <w:b w:val="1"/>
                <w:bCs w:val="1"/>
                <w:color w:val="auto"/>
                <w:w w:val="86"/>
              </w:rPr>
              <w:t>as of December</w:t>
            </w:r>
          </w:p>
        </w:tc>
        <w:tc>
          <w:tcPr>
            <w:tcW w:w="120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7"/>
              </w:rPr>
              <w:t>of December 31,</w:t>
            </w:r>
          </w:p>
        </w:tc>
        <w:tc>
          <w:tcPr>
            <w:tcW w:w="120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8"/>
              </w:rPr>
              <w:t>Beneficially</w:t>
            </w:r>
          </w:p>
        </w:tc>
        <w:tc>
          <w:tcPr>
            <w:tcW w:w="1180" w:type="dxa"/>
            <w:vAlign w:val="bottom"/>
            <w:gridSpan w:val="2"/>
          </w:tcPr>
          <w:p>
            <w:pPr>
              <w:jc w:val="center"/>
              <w:ind w:right="196"/>
              <w:spacing w:after="0"/>
              <w:rPr>
                <w:sz w:val="20"/>
                <w:szCs w:val="20"/>
                <w:color w:val="auto"/>
              </w:rPr>
            </w:pPr>
            <w:r>
              <w:rPr>
                <w:rFonts w:ascii="Arial" w:cs="Arial" w:eastAsia="Arial" w:hAnsi="Arial"/>
                <w:sz w:val="13"/>
                <w:szCs w:val="13"/>
                <w:b w:val="1"/>
                <w:bCs w:val="1"/>
                <w:color w:val="auto"/>
                <w:w w:val="88"/>
              </w:rPr>
              <w:t>Beneficially</w:t>
            </w:r>
          </w:p>
        </w:tc>
        <w:tc>
          <w:tcPr>
            <w:tcW w:w="1080" w:type="dxa"/>
            <w:vAlign w:val="bottom"/>
            <w:gridSpan w:val="3"/>
          </w:tcPr>
          <w:p>
            <w:pPr>
              <w:jc w:val="right"/>
              <w:ind w:right="340"/>
              <w:spacing w:after="0"/>
              <w:rPr>
                <w:sz w:val="20"/>
                <w:szCs w:val="20"/>
                <w:color w:val="auto"/>
              </w:rPr>
            </w:pPr>
            <w:r>
              <w:rPr>
                <w:rFonts w:ascii="Arial" w:cs="Arial" w:eastAsia="Arial" w:hAnsi="Arial"/>
                <w:sz w:val="13"/>
                <w:szCs w:val="13"/>
                <w:b w:val="1"/>
                <w:bCs w:val="1"/>
                <w:color w:val="auto"/>
              </w:rPr>
              <w:t>Restricted</w:t>
            </w:r>
          </w:p>
        </w:tc>
      </w:tr>
      <w:tr>
        <w:trPr>
          <w:trHeight w:val="193"/>
        </w:trPr>
        <w:tc>
          <w:tcPr>
            <w:tcW w:w="5020" w:type="dxa"/>
            <w:vAlign w:val="bottom"/>
            <w:gridSpan w:val="2"/>
          </w:tcPr>
          <w:p>
            <w:pPr>
              <w:ind w:left="2300"/>
              <w:spacing w:after="0"/>
              <w:rPr>
                <w:sz w:val="20"/>
                <w:szCs w:val="20"/>
                <w:color w:val="auto"/>
              </w:rPr>
            </w:pPr>
            <w:r>
              <w:rPr>
                <w:rFonts w:ascii="Arial" w:cs="Arial" w:eastAsia="Arial" w:hAnsi="Arial"/>
                <w:sz w:val="13"/>
                <w:szCs w:val="13"/>
                <w:b w:val="1"/>
                <w:bCs w:val="1"/>
                <w:color w:val="auto"/>
              </w:rPr>
              <w:t>Name</w:t>
            </w:r>
          </w:p>
        </w:tc>
        <w:tc>
          <w:tcPr>
            <w:tcW w:w="1000" w:type="dxa"/>
            <w:vAlign w:val="bottom"/>
          </w:tcPr>
          <w:p>
            <w:pPr>
              <w:jc w:val="center"/>
              <w:spacing w:after="0" w:line="193" w:lineRule="exact"/>
              <w:rPr>
                <w:sz w:val="20"/>
                <w:szCs w:val="20"/>
                <w:color w:val="auto"/>
              </w:rPr>
            </w:pPr>
            <w:r>
              <w:rPr>
                <w:rFonts w:ascii="Arial" w:cs="Arial" w:eastAsia="Arial" w:hAnsi="Arial"/>
                <w:sz w:val="13"/>
                <w:szCs w:val="13"/>
                <w:b w:val="1"/>
                <w:bCs w:val="1"/>
                <w:color w:val="auto"/>
                <w:w w:val="84"/>
              </w:rPr>
              <w:t xml:space="preserve">31, 2018 </w:t>
            </w:r>
            <w:r>
              <w:rPr>
                <w:rFonts w:ascii="Arial" w:cs="Arial" w:eastAsia="Arial" w:hAnsi="Arial"/>
                <w:sz w:val="21"/>
                <w:szCs w:val="21"/>
                <w:b w:val="1"/>
                <w:bCs w:val="1"/>
                <w:color w:val="auto"/>
                <w:w w:val="84"/>
                <w:vertAlign w:val="superscript"/>
              </w:rPr>
              <w:t>(1)</w:t>
            </w:r>
          </w:p>
        </w:tc>
        <w:tc>
          <w:tcPr>
            <w:tcW w:w="220" w:type="dxa"/>
            <w:vAlign w:val="bottom"/>
          </w:tcPr>
          <w:p>
            <w:pPr>
              <w:spacing w:after="0"/>
              <w:rPr>
                <w:sz w:val="16"/>
                <w:szCs w:val="16"/>
                <w:color w:val="auto"/>
              </w:rPr>
            </w:pPr>
          </w:p>
        </w:tc>
        <w:tc>
          <w:tcPr>
            <w:tcW w:w="1000" w:type="dxa"/>
            <w:vAlign w:val="bottom"/>
          </w:tcPr>
          <w:p>
            <w:pPr>
              <w:jc w:val="center"/>
              <w:spacing w:after="0" w:line="193" w:lineRule="exact"/>
              <w:rPr>
                <w:sz w:val="20"/>
                <w:szCs w:val="20"/>
                <w:color w:val="auto"/>
              </w:rPr>
            </w:pPr>
            <w:r>
              <w:rPr>
                <w:rFonts w:ascii="Arial" w:cs="Arial" w:eastAsia="Arial" w:hAnsi="Arial"/>
                <w:sz w:val="13"/>
                <w:szCs w:val="13"/>
                <w:b w:val="1"/>
                <w:bCs w:val="1"/>
                <w:color w:val="auto"/>
                <w:w w:val="80"/>
              </w:rPr>
              <w:t xml:space="preserve">2018 </w:t>
            </w:r>
            <w:r>
              <w:rPr>
                <w:rFonts w:ascii="Arial" w:cs="Arial" w:eastAsia="Arial" w:hAnsi="Arial"/>
                <w:sz w:val="21"/>
                <w:szCs w:val="21"/>
                <w:b w:val="1"/>
                <w:bCs w:val="1"/>
                <w:color w:val="auto"/>
                <w:w w:val="80"/>
                <w:vertAlign w:val="superscript"/>
              </w:rPr>
              <w:t>(2)</w:t>
            </w:r>
          </w:p>
        </w:tc>
        <w:tc>
          <w:tcPr>
            <w:tcW w:w="200" w:type="dxa"/>
            <w:vAlign w:val="bottom"/>
          </w:tcPr>
          <w:p>
            <w:pPr>
              <w:spacing w:after="0"/>
              <w:rPr>
                <w:sz w:val="16"/>
                <w:szCs w:val="16"/>
                <w:color w:val="auto"/>
              </w:rPr>
            </w:pPr>
          </w:p>
        </w:tc>
        <w:tc>
          <w:tcPr>
            <w:tcW w:w="12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7"/>
              </w:rPr>
              <w:t>Owned</w:t>
            </w:r>
          </w:p>
        </w:tc>
        <w:tc>
          <w:tcPr>
            <w:tcW w:w="1180" w:type="dxa"/>
            <w:vAlign w:val="bottom"/>
            <w:gridSpan w:val="2"/>
          </w:tcPr>
          <w:p>
            <w:pPr>
              <w:jc w:val="center"/>
              <w:ind w:right="156"/>
              <w:spacing w:after="0"/>
              <w:rPr>
                <w:sz w:val="20"/>
                <w:szCs w:val="20"/>
                <w:color w:val="auto"/>
              </w:rPr>
            </w:pPr>
            <w:r>
              <w:rPr>
                <w:rFonts w:ascii="Arial" w:cs="Arial" w:eastAsia="Arial" w:hAnsi="Arial"/>
                <w:sz w:val="13"/>
                <w:szCs w:val="13"/>
                <w:b w:val="1"/>
                <w:bCs w:val="1"/>
                <w:color w:val="auto"/>
                <w:w w:val="92"/>
              </w:rPr>
              <w:t>Owned</w:t>
            </w:r>
          </w:p>
        </w:tc>
        <w:tc>
          <w:tcPr>
            <w:tcW w:w="1080" w:type="dxa"/>
            <w:vAlign w:val="bottom"/>
            <w:gridSpan w:val="3"/>
          </w:tcPr>
          <w:p>
            <w:pPr>
              <w:jc w:val="right"/>
              <w:ind w:right="340"/>
              <w:spacing w:after="0" w:line="193" w:lineRule="exact"/>
              <w:rPr>
                <w:sz w:val="20"/>
                <w:szCs w:val="20"/>
                <w:color w:val="auto"/>
              </w:rPr>
            </w:pPr>
            <w:r>
              <w:rPr>
                <w:rFonts w:ascii="Arial" w:cs="Arial" w:eastAsia="Arial" w:hAnsi="Arial"/>
                <w:sz w:val="13"/>
                <w:szCs w:val="13"/>
                <w:b w:val="1"/>
                <w:bCs w:val="1"/>
                <w:color w:val="auto"/>
              </w:rPr>
              <w:t xml:space="preserve">Shares </w:t>
            </w:r>
            <w:r>
              <w:rPr>
                <w:rFonts w:ascii="Arial" w:cs="Arial" w:eastAsia="Arial" w:hAnsi="Arial"/>
                <w:sz w:val="21"/>
                <w:szCs w:val="21"/>
                <w:b w:val="1"/>
                <w:bCs w:val="1"/>
                <w:color w:val="auto"/>
                <w:vertAlign w:val="superscript"/>
              </w:rPr>
              <w:t>(3)</w:t>
            </w:r>
          </w:p>
        </w:tc>
      </w:tr>
      <w:tr>
        <w:trPr>
          <w:trHeight w:val="144"/>
        </w:trPr>
        <w:tc>
          <w:tcPr>
            <w:tcW w:w="4900" w:type="dxa"/>
            <w:vAlign w:val="bottom"/>
            <w:tcBorders>
              <w:top w:val="single" w:sz="8" w:color="auto"/>
            </w:tcBorders>
            <w:shd w:val="clear" w:color="auto" w:fill="CCEEFF"/>
          </w:tcPr>
          <w:p>
            <w:pPr>
              <w:spacing w:after="0" w:line="144" w:lineRule="exact"/>
              <w:rPr>
                <w:sz w:val="20"/>
                <w:szCs w:val="20"/>
                <w:color w:val="auto"/>
              </w:rPr>
            </w:pPr>
            <w:r>
              <w:rPr>
                <w:rFonts w:ascii="Arial" w:cs="Arial" w:eastAsia="Arial" w:hAnsi="Arial"/>
                <w:sz w:val="13"/>
                <w:szCs w:val="13"/>
                <w:color w:val="auto"/>
              </w:rPr>
              <w:t>Javier González Fraga</w:t>
            </w:r>
          </w:p>
        </w:tc>
        <w:tc>
          <w:tcPr>
            <w:tcW w:w="120" w:type="dxa"/>
            <w:vAlign w:val="bottom"/>
            <w:tcBorders>
              <w:top w:val="single" w:sz="8" w:color="CCEEFF"/>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2,100</w:t>
            </w:r>
          </w:p>
        </w:tc>
        <w:tc>
          <w:tcPr>
            <w:tcW w:w="220" w:type="dxa"/>
            <w:vAlign w:val="bottom"/>
            <w:tcBorders>
              <w:top w:val="single" w:sz="8" w:color="CCEEFF"/>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0</w:t>
            </w:r>
          </w:p>
        </w:tc>
        <w:tc>
          <w:tcPr>
            <w:tcW w:w="20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2,100</w:t>
            </w:r>
          </w:p>
        </w:tc>
        <w:tc>
          <w:tcPr>
            <w:tcW w:w="220" w:type="dxa"/>
            <w:vAlign w:val="bottom"/>
            <w:tcBorders>
              <w:top w:val="single" w:sz="8" w:color="CCEEFF"/>
            </w:tcBorders>
            <w:shd w:val="clear" w:color="auto" w:fill="CCEEFF"/>
          </w:tcPr>
          <w:p>
            <w:pPr>
              <w:spacing w:after="0"/>
              <w:rPr>
                <w:sz w:val="12"/>
                <w:szCs w:val="12"/>
                <w:color w:val="auto"/>
              </w:rPr>
            </w:pPr>
          </w:p>
        </w:tc>
        <w:tc>
          <w:tcPr>
            <w:tcW w:w="9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jc w:val="right"/>
              <w:ind w:right="96"/>
              <w:spacing w:after="0" w:line="143" w:lineRule="exact"/>
              <w:rPr>
                <w:sz w:val="20"/>
                <w:szCs w:val="20"/>
                <w:color w:val="auto"/>
              </w:rPr>
            </w:pPr>
            <w:r>
              <w:rPr>
                <w:rFonts w:ascii="Arial" w:cs="Arial" w:eastAsia="Arial" w:hAnsi="Arial"/>
                <w:sz w:val="13"/>
                <w:szCs w:val="13"/>
                <w:color w:val="auto"/>
                <w:w w:val="78"/>
              </w:rPr>
              <w:t>*</w:t>
            </w:r>
          </w:p>
        </w:tc>
        <w:tc>
          <w:tcPr>
            <w:tcW w:w="9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9,900</w:t>
            </w:r>
          </w:p>
        </w:tc>
        <w:tc>
          <w:tcPr>
            <w:tcW w:w="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r>
      <w:tr>
        <w:trPr>
          <w:trHeight w:val="154"/>
        </w:trPr>
        <w:tc>
          <w:tcPr>
            <w:tcW w:w="5020" w:type="dxa"/>
            <w:vAlign w:val="bottom"/>
            <w:gridSpan w:val="2"/>
          </w:tcPr>
          <w:p>
            <w:pPr>
              <w:spacing w:after="0"/>
              <w:rPr>
                <w:sz w:val="20"/>
                <w:szCs w:val="20"/>
                <w:color w:val="auto"/>
              </w:rPr>
            </w:pPr>
            <w:r>
              <w:rPr>
                <w:rFonts w:ascii="Arial" w:cs="Arial" w:eastAsia="Arial" w:hAnsi="Arial"/>
                <w:sz w:val="13"/>
                <w:szCs w:val="13"/>
                <w:color w:val="auto"/>
              </w:rPr>
              <w:t>José Alberto Garzón</w:t>
            </w: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2,100</w:t>
            </w:r>
          </w:p>
        </w:tc>
        <w:tc>
          <w:tcPr>
            <w:tcW w:w="1200" w:type="dxa"/>
            <w:vAlign w:val="bottom"/>
            <w:gridSpan w:val="2"/>
          </w:tcPr>
          <w:p>
            <w:pPr>
              <w:jc w:val="right"/>
              <w:ind w:right="200"/>
              <w:spacing w:after="0"/>
              <w:rPr>
                <w:sz w:val="20"/>
                <w:szCs w:val="20"/>
                <w:color w:val="auto"/>
              </w:rPr>
            </w:pPr>
            <w:r>
              <w:rPr>
                <w:rFonts w:ascii="Arial" w:cs="Arial" w:eastAsia="Arial" w:hAnsi="Arial"/>
                <w:sz w:val="13"/>
                <w:szCs w:val="13"/>
                <w:color w:val="auto"/>
              </w:rPr>
              <w:t>0</w:t>
            </w:r>
          </w:p>
        </w:tc>
        <w:tc>
          <w:tcPr>
            <w:tcW w:w="980" w:type="dxa"/>
            <w:vAlign w:val="bottom"/>
          </w:tcPr>
          <w:p>
            <w:pPr>
              <w:jc w:val="right"/>
              <w:spacing w:after="0"/>
              <w:rPr>
                <w:sz w:val="20"/>
                <w:szCs w:val="20"/>
                <w:color w:val="auto"/>
              </w:rPr>
            </w:pPr>
            <w:r>
              <w:rPr>
                <w:rFonts w:ascii="Arial" w:cs="Arial" w:eastAsia="Arial" w:hAnsi="Arial"/>
                <w:sz w:val="13"/>
                <w:szCs w:val="13"/>
                <w:color w:val="auto"/>
              </w:rPr>
              <w:t>2,100</w:t>
            </w:r>
          </w:p>
        </w:tc>
        <w:tc>
          <w:tcPr>
            <w:tcW w:w="220" w:type="dxa"/>
            <w:vAlign w:val="bottom"/>
          </w:tcPr>
          <w:p>
            <w:pPr>
              <w:spacing w:after="0"/>
              <w:rPr>
                <w:sz w:val="13"/>
                <w:szCs w:val="13"/>
                <w:color w:val="auto"/>
              </w:rPr>
            </w:pPr>
          </w:p>
        </w:tc>
        <w:tc>
          <w:tcPr>
            <w:tcW w:w="1180" w:type="dxa"/>
            <w:vAlign w:val="bottom"/>
            <w:gridSpan w:val="2"/>
          </w:tcPr>
          <w:p>
            <w:pPr>
              <w:jc w:val="right"/>
              <w:ind w:right="96"/>
              <w:spacing w:after="0"/>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20"/>
              <w:spacing w:after="0"/>
              <w:rPr>
                <w:sz w:val="20"/>
                <w:szCs w:val="20"/>
                <w:color w:val="auto"/>
              </w:rPr>
            </w:pPr>
            <w:r>
              <w:rPr>
                <w:rFonts w:ascii="Arial" w:cs="Arial" w:eastAsia="Arial" w:hAnsi="Arial"/>
                <w:sz w:val="13"/>
                <w:szCs w:val="13"/>
                <w:color w:val="auto"/>
              </w:rPr>
              <w:t>9,900</w:t>
            </w:r>
          </w:p>
        </w:tc>
        <w:tc>
          <w:tcPr>
            <w:tcW w:w="100" w:type="dxa"/>
            <w:vAlign w:val="bottom"/>
          </w:tcPr>
          <w:p>
            <w:pPr>
              <w:spacing w:after="0"/>
              <w:rPr>
                <w:sz w:val="13"/>
                <w:szCs w:val="13"/>
                <w:color w:val="auto"/>
              </w:rPr>
            </w:pPr>
          </w:p>
        </w:tc>
      </w:tr>
      <w:tr>
        <w:trPr>
          <w:trHeight w:val="154"/>
        </w:trPr>
        <w:tc>
          <w:tcPr>
            <w:tcW w:w="502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Roland Holst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11,850</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0</w:t>
            </w: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11,850</w:t>
            </w:r>
          </w:p>
        </w:tc>
        <w:tc>
          <w:tcPr>
            <w:tcW w:w="220" w:type="dxa"/>
            <w:vAlign w:val="bottom"/>
            <w:shd w:val="clear" w:color="auto" w:fill="CCEEFF"/>
          </w:tcPr>
          <w:p>
            <w:pPr>
              <w:spacing w:after="0"/>
              <w:rPr>
                <w:sz w:val="13"/>
                <w:szCs w:val="13"/>
                <w:color w:val="auto"/>
              </w:rPr>
            </w:pPr>
          </w:p>
        </w:tc>
        <w:tc>
          <w:tcPr>
            <w:tcW w:w="1180" w:type="dxa"/>
            <w:vAlign w:val="bottom"/>
            <w:gridSpan w:val="2"/>
            <w:shd w:val="clear" w:color="auto" w:fill="CCEEFF"/>
          </w:tcPr>
          <w:p>
            <w:pPr>
              <w:jc w:val="right"/>
              <w:ind w:right="96"/>
              <w:spacing w:after="0"/>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6,000</w:t>
            </w:r>
          </w:p>
        </w:tc>
        <w:tc>
          <w:tcPr>
            <w:tcW w:w="100" w:type="dxa"/>
            <w:vAlign w:val="bottom"/>
            <w:shd w:val="clear" w:color="auto" w:fill="CCEEFF"/>
          </w:tcPr>
          <w:p>
            <w:pPr>
              <w:spacing w:after="0"/>
              <w:rPr>
                <w:sz w:val="13"/>
                <w:szCs w:val="13"/>
                <w:color w:val="auto"/>
              </w:rPr>
            </w:pPr>
          </w:p>
        </w:tc>
      </w:tr>
      <w:tr>
        <w:trPr>
          <w:trHeight w:val="154"/>
        </w:trPr>
        <w:tc>
          <w:tcPr>
            <w:tcW w:w="5020" w:type="dxa"/>
            <w:vAlign w:val="bottom"/>
            <w:gridSpan w:val="2"/>
          </w:tcPr>
          <w:p>
            <w:pPr>
              <w:spacing w:after="0"/>
              <w:rPr>
                <w:sz w:val="20"/>
                <w:szCs w:val="20"/>
                <w:color w:val="auto"/>
              </w:rPr>
            </w:pPr>
            <w:r>
              <w:rPr>
                <w:rFonts w:ascii="Arial" w:cs="Arial" w:eastAsia="Arial" w:hAnsi="Arial"/>
                <w:sz w:val="13"/>
                <w:szCs w:val="13"/>
                <w:color w:val="auto"/>
              </w:rPr>
              <w:t>Ricardo Manuel Arango</w:t>
            </w: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4,200</w:t>
            </w:r>
          </w:p>
        </w:tc>
        <w:tc>
          <w:tcPr>
            <w:tcW w:w="1200" w:type="dxa"/>
            <w:vAlign w:val="bottom"/>
            <w:gridSpan w:val="2"/>
          </w:tcPr>
          <w:p>
            <w:pPr>
              <w:jc w:val="right"/>
              <w:ind w:right="200"/>
              <w:spacing w:after="0"/>
              <w:rPr>
                <w:sz w:val="20"/>
                <w:szCs w:val="20"/>
                <w:color w:val="auto"/>
              </w:rPr>
            </w:pPr>
            <w:r>
              <w:rPr>
                <w:rFonts w:ascii="Arial" w:cs="Arial" w:eastAsia="Arial" w:hAnsi="Arial"/>
                <w:sz w:val="13"/>
                <w:szCs w:val="13"/>
                <w:color w:val="auto"/>
              </w:rPr>
              <w:t>0</w:t>
            </w:r>
          </w:p>
        </w:tc>
        <w:tc>
          <w:tcPr>
            <w:tcW w:w="980" w:type="dxa"/>
            <w:vAlign w:val="bottom"/>
          </w:tcPr>
          <w:p>
            <w:pPr>
              <w:jc w:val="right"/>
              <w:spacing w:after="0"/>
              <w:rPr>
                <w:sz w:val="20"/>
                <w:szCs w:val="20"/>
                <w:color w:val="auto"/>
              </w:rPr>
            </w:pPr>
            <w:r>
              <w:rPr>
                <w:rFonts w:ascii="Arial" w:cs="Arial" w:eastAsia="Arial" w:hAnsi="Arial"/>
                <w:sz w:val="13"/>
                <w:szCs w:val="13"/>
                <w:color w:val="auto"/>
              </w:rPr>
              <w:t>4,200</w:t>
            </w:r>
          </w:p>
        </w:tc>
        <w:tc>
          <w:tcPr>
            <w:tcW w:w="220" w:type="dxa"/>
            <w:vAlign w:val="bottom"/>
          </w:tcPr>
          <w:p>
            <w:pPr>
              <w:spacing w:after="0"/>
              <w:rPr>
                <w:sz w:val="13"/>
                <w:szCs w:val="13"/>
                <w:color w:val="auto"/>
              </w:rPr>
            </w:pPr>
          </w:p>
        </w:tc>
        <w:tc>
          <w:tcPr>
            <w:tcW w:w="1180" w:type="dxa"/>
            <w:vAlign w:val="bottom"/>
            <w:gridSpan w:val="2"/>
          </w:tcPr>
          <w:p>
            <w:pPr>
              <w:jc w:val="right"/>
              <w:ind w:right="96"/>
              <w:spacing w:after="0"/>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20"/>
              <w:spacing w:after="0"/>
              <w:rPr>
                <w:sz w:val="20"/>
                <w:szCs w:val="20"/>
                <w:color w:val="auto"/>
              </w:rPr>
            </w:pPr>
            <w:r>
              <w:rPr>
                <w:rFonts w:ascii="Arial" w:cs="Arial" w:eastAsia="Arial" w:hAnsi="Arial"/>
                <w:sz w:val="13"/>
                <w:szCs w:val="13"/>
                <w:color w:val="auto"/>
              </w:rPr>
              <w:t>11,700</w:t>
            </w:r>
          </w:p>
        </w:tc>
        <w:tc>
          <w:tcPr>
            <w:tcW w:w="100" w:type="dxa"/>
            <w:vAlign w:val="bottom"/>
          </w:tcPr>
          <w:p>
            <w:pPr>
              <w:spacing w:after="0"/>
              <w:rPr>
                <w:sz w:val="13"/>
                <w:szCs w:val="13"/>
                <w:color w:val="auto"/>
              </w:rPr>
            </w:pPr>
          </w:p>
        </w:tc>
      </w:tr>
      <w:tr>
        <w:trPr>
          <w:trHeight w:val="154"/>
        </w:trPr>
        <w:tc>
          <w:tcPr>
            <w:tcW w:w="502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Herminio A. Blanco</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69,060</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0</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69,060</w:t>
            </w:r>
          </w:p>
        </w:tc>
        <w:tc>
          <w:tcPr>
            <w:tcW w:w="1180" w:type="dxa"/>
            <w:vAlign w:val="bottom"/>
            <w:gridSpan w:val="2"/>
            <w:shd w:val="clear" w:color="auto" w:fill="CCEEFF"/>
          </w:tcPr>
          <w:p>
            <w:pPr>
              <w:jc w:val="right"/>
              <w:ind w:right="96"/>
              <w:spacing w:after="0"/>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11,700</w:t>
            </w:r>
          </w:p>
        </w:tc>
        <w:tc>
          <w:tcPr>
            <w:tcW w:w="100" w:type="dxa"/>
            <w:vAlign w:val="bottom"/>
            <w:shd w:val="clear" w:color="auto" w:fill="CCEEFF"/>
          </w:tcPr>
          <w:p>
            <w:pPr>
              <w:spacing w:after="0"/>
              <w:rPr>
                <w:sz w:val="13"/>
                <w:szCs w:val="13"/>
                <w:color w:val="auto"/>
              </w:rPr>
            </w:pPr>
          </w:p>
        </w:tc>
      </w:tr>
      <w:tr>
        <w:trPr>
          <w:trHeight w:val="154"/>
        </w:trPr>
        <w:tc>
          <w:tcPr>
            <w:tcW w:w="5020" w:type="dxa"/>
            <w:vAlign w:val="bottom"/>
            <w:gridSpan w:val="2"/>
          </w:tcPr>
          <w:p>
            <w:pPr>
              <w:spacing w:after="0"/>
              <w:rPr>
                <w:sz w:val="20"/>
                <w:szCs w:val="20"/>
                <w:color w:val="auto"/>
              </w:rPr>
            </w:pPr>
            <w:r>
              <w:rPr>
                <w:rFonts w:ascii="Arial" w:cs="Arial" w:eastAsia="Arial" w:hAnsi="Arial"/>
                <w:sz w:val="13"/>
                <w:szCs w:val="13"/>
                <w:color w:val="auto"/>
              </w:rPr>
              <w:t>Mario Covo</w:t>
            </w: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47,427</w:t>
            </w:r>
          </w:p>
        </w:tc>
        <w:tc>
          <w:tcPr>
            <w:tcW w:w="1200" w:type="dxa"/>
            <w:vAlign w:val="bottom"/>
            <w:gridSpan w:val="2"/>
          </w:tcPr>
          <w:p>
            <w:pPr>
              <w:jc w:val="right"/>
              <w:ind w:right="200"/>
              <w:spacing w:after="0"/>
              <w:rPr>
                <w:sz w:val="20"/>
                <w:szCs w:val="20"/>
                <w:color w:val="auto"/>
              </w:rPr>
            </w:pPr>
            <w:r>
              <w:rPr>
                <w:rFonts w:ascii="Arial" w:cs="Arial" w:eastAsia="Arial" w:hAnsi="Arial"/>
                <w:sz w:val="13"/>
                <w:szCs w:val="13"/>
                <w:color w:val="auto"/>
              </w:rPr>
              <w:t>0</w:t>
            </w:r>
          </w:p>
        </w:tc>
        <w:tc>
          <w:tcPr>
            <w:tcW w:w="1200" w:type="dxa"/>
            <w:vAlign w:val="bottom"/>
            <w:gridSpan w:val="2"/>
          </w:tcPr>
          <w:p>
            <w:pPr>
              <w:jc w:val="right"/>
              <w:ind w:right="220"/>
              <w:spacing w:after="0"/>
              <w:rPr>
                <w:sz w:val="20"/>
                <w:szCs w:val="20"/>
                <w:color w:val="auto"/>
              </w:rPr>
            </w:pPr>
            <w:r>
              <w:rPr>
                <w:rFonts w:ascii="Arial" w:cs="Arial" w:eastAsia="Arial" w:hAnsi="Arial"/>
                <w:sz w:val="13"/>
                <w:szCs w:val="13"/>
                <w:color w:val="auto"/>
              </w:rPr>
              <w:t>47,427</w:t>
            </w:r>
          </w:p>
        </w:tc>
        <w:tc>
          <w:tcPr>
            <w:tcW w:w="1180" w:type="dxa"/>
            <w:vAlign w:val="bottom"/>
            <w:gridSpan w:val="2"/>
          </w:tcPr>
          <w:p>
            <w:pPr>
              <w:jc w:val="right"/>
              <w:ind w:right="96"/>
              <w:spacing w:after="0"/>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20"/>
              <w:spacing w:after="0"/>
              <w:rPr>
                <w:sz w:val="20"/>
                <w:szCs w:val="20"/>
                <w:color w:val="auto"/>
              </w:rPr>
            </w:pPr>
            <w:r>
              <w:rPr>
                <w:rFonts w:ascii="Arial" w:cs="Arial" w:eastAsia="Arial" w:hAnsi="Arial"/>
                <w:sz w:val="13"/>
                <w:szCs w:val="13"/>
                <w:color w:val="auto"/>
              </w:rPr>
              <w:t>11,700</w:t>
            </w:r>
          </w:p>
        </w:tc>
        <w:tc>
          <w:tcPr>
            <w:tcW w:w="100" w:type="dxa"/>
            <w:vAlign w:val="bottom"/>
          </w:tcPr>
          <w:p>
            <w:pPr>
              <w:spacing w:after="0"/>
              <w:rPr>
                <w:sz w:val="13"/>
                <w:szCs w:val="13"/>
                <w:color w:val="auto"/>
              </w:rPr>
            </w:pPr>
          </w:p>
        </w:tc>
      </w:tr>
      <w:tr>
        <w:trPr>
          <w:trHeight w:val="183"/>
        </w:trPr>
        <w:tc>
          <w:tcPr>
            <w:tcW w:w="5020" w:type="dxa"/>
            <w:vAlign w:val="bottom"/>
            <w:gridSpan w:val="2"/>
            <w:shd w:val="clear" w:color="auto" w:fill="CCEEFF"/>
          </w:tcPr>
          <w:p>
            <w:pPr>
              <w:spacing w:after="0" w:line="183" w:lineRule="exact"/>
              <w:rPr>
                <w:sz w:val="20"/>
                <w:szCs w:val="20"/>
                <w:color w:val="auto"/>
              </w:rPr>
            </w:pPr>
            <w:r>
              <w:rPr>
                <w:rFonts w:ascii="Arial" w:cs="Arial" w:eastAsia="Arial" w:hAnsi="Arial"/>
                <w:sz w:val="13"/>
                <w:szCs w:val="13"/>
                <w:color w:val="auto"/>
              </w:rPr>
              <w:t>João Carlos de Nóbrega Pecego</w:t>
            </w:r>
            <w:r>
              <w:rPr>
                <w:rFonts w:ascii="Arial" w:cs="Arial" w:eastAsia="Arial" w:hAnsi="Arial"/>
                <w:sz w:val="21"/>
                <w:szCs w:val="21"/>
                <w:color w:val="auto"/>
                <w:vertAlign w:val="superscript"/>
              </w:rPr>
              <w:t>(4)</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2,100</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0</w:t>
            </w: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2,100</w:t>
            </w:r>
          </w:p>
        </w:tc>
        <w:tc>
          <w:tcPr>
            <w:tcW w:w="220" w:type="dxa"/>
            <w:vAlign w:val="bottom"/>
            <w:shd w:val="clear" w:color="auto" w:fill="CCEEFF"/>
          </w:tcPr>
          <w:p>
            <w:pPr>
              <w:spacing w:after="0"/>
              <w:rPr>
                <w:sz w:val="15"/>
                <w:szCs w:val="15"/>
                <w:color w:val="auto"/>
              </w:rPr>
            </w:pPr>
          </w:p>
        </w:tc>
        <w:tc>
          <w:tcPr>
            <w:tcW w:w="1180" w:type="dxa"/>
            <w:vAlign w:val="bottom"/>
            <w:gridSpan w:val="2"/>
            <w:shd w:val="clear" w:color="auto" w:fill="CCEEFF"/>
          </w:tcPr>
          <w:p>
            <w:pPr>
              <w:jc w:val="right"/>
              <w:ind w:right="96"/>
              <w:spacing w:after="0"/>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9,900</w:t>
            </w:r>
          </w:p>
        </w:tc>
        <w:tc>
          <w:tcPr>
            <w:tcW w:w="100" w:type="dxa"/>
            <w:vAlign w:val="bottom"/>
            <w:shd w:val="clear" w:color="auto" w:fill="CCEEFF"/>
          </w:tcPr>
          <w:p>
            <w:pPr>
              <w:spacing w:after="0"/>
              <w:rPr>
                <w:sz w:val="15"/>
                <w:szCs w:val="15"/>
                <w:color w:val="auto"/>
              </w:rPr>
            </w:pPr>
          </w:p>
        </w:tc>
      </w:tr>
      <w:tr>
        <w:trPr>
          <w:trHeight w:val="154"/>
        </w:trPr>
        <w:tc>
          <w:tcPr>
            <w:tcW w:w="5020" w:type="dxa"/>
            <w:vAlign w:val="bottom"/>
            <w:gridSpan w:val="2"/>
          </w:tcPr>
          <w:p>
            <w:pPr>
              <w:spacing w:after="0"/>
              <w:rPr>
                <w:sz w:val="20"/>
                <w:szCs w:val="20"/>
                <w:color w:val="auto"/>
              </w:rPr>
            </w:pPr>
            <w:r>
              <w:rPr>
                <w:rFonts w:ascii="Arial" w:cs="Arial" w:eastAsia="Arial" w:hAnsi="Arial"/>
                <w:sz w:val="13"/>
                <w:szCs w:val="13"/>
                <w:color w:val="auto"/>
              </w:rPr>
              <w:t>Miguel Heras Castro</w:t>
            </w: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52,300</w:t>
            </w:r>
          </w:p>
        </w:tc>
        <w:tc>
          <w:tcPr>
            <w:tcW w:w="1200" w:type="dxa"/>
            <w:vAlign w:val="bottom"/>
            <w:gridSpan w:val="2"/>
          </w:tcPr>
          <w:p>
            <w:pPr>
              <w:jc w:val="right"/>
              <w:ind w:right="200"/>
              <w:spacing w:after="0"/>
              <w:rPr>
                <w:sz w:val="20"/>
                <w:szCs w:val="20"/>
                <w:color w:val="auto"/>
              </w:rPr>
            </w:pPr>
            <w:r>
              <w:rPr>
                <w:rFonts w:ascii="Arial" w:cs="Arial" w:eastAsia="Arial" w:hAnsi="Arial"/>
                <w:sz w:val="13"/>
                <w:szCs w:val="13"/>
                <w:color w:val="auto"/>
              </w:rPr>
              <w:t>0</w:t>
            </w:r>
          </w:p>
        </w:tc>
        <w:tc>
          <w:tcPr>
            <w:tcW w:w="1200" w:type="dxa"/>
            <w:vAlign w:val="bottom"/>
            <w:gridSpan w:val="2"/>
          </w:tcPr>
          <w:p>
            <w:pPr>
              <w:jc w:val="right"/>
              <w:ind w:right="220"/>
              <w:spacing w:after="0"/>
              <w:rPr>
                <w:sz w:val="20"/>
                <w:szCs w:val="20"/>
                <w:color w:val="auto"/>
              </w:rPr>
            </w:pPr>
            <w:r>
              <w:rPr>
                <w:rFonts w:ascii="Arial" w:cs="Arial" w:eastAsia="Arial" w:hAnsi="Arial"/>
                <w:sz w:val="13"/>
                <w:szCs w:val="13"/>
                <w:color w:val="auto"/>
              </w:rPr>
              <w:t>52,300</w:t>
            </w:r>
          </w:p>
        </w:tc>
        <w:tc>
          <w:tcPr>
            <w:tcW w:w="1180" w:type="dxa"/>
            <w:vAlign w:val="bottom"/>
            <w:gridSpan w:val="2"/>
          </w:tcPr>
          <w:p>
            <w:pPr>
              <w:jc w:val="right"/>
              <w:ind w:right="96"/>
              <w:spacing w:after="0"/>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20"/>
              <w:spacing w:after="0"/>
              <w:rPr>
                <w:sz w:val="20"/>
                <w:szCs w:val="20"/>
                <w:color w:val="auto"/>
              </w:rPr>
            </w:pPr>
            <w:r>
              <w:rPr>
                <w:rFonts w:ascii="Arial" w:cs="Arial" w:eastAsia="Arial" w:hAnsi="Arial"/>
                <w:sz w:val="13"/>
                <w:szCs w:val="13"/>
                <w:color w:val="auto"/>
              </w:rPr>
              <w:t>11,700</w:t>
            </w:r>
          </w:p>
        </w:tc>
        <w:tc>
          <w:tcPr>
            <w:tcW w:w="100" w:type="dxa"/>
            <w:vAlign w:val="bottom"/>
          </w:tcPr>
          <w:p>
            <w:pPr>
              <w:spacing w:after="0"/>
              <w:rPr>
                <w:sz w:val="13"/>
                <w:szCs w:val="13"/>
                <w:color w:val="auto"/>
              </w:rPr>
            </w:pPr>
          </w:p>
        </w:tc>
      </w:tr>
      <w:tr>
        <w:trPr>
          <w:trHeight w:val="164"/>
        </w:trPr>
        <w:tc>
          <w:tcPr>
            <w:tcW w:w="502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Gonzalo Menéndez Duque</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60,831</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0</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60,831</w:t>
            </w:r>
          </w:p>
        </w:tc>
        <w:tc>
          <w:tcPr>
            <w:tcW w:w="1180" w:type="dxa"/>
            <w:vAlign w:val="bottom"/>
            <w:gridSpan w:val="2"/>
            <w:shd w:val="clear" w:color="auto" w:fill="CCEEFF"/>
          </w:tcPr>
          <w:p>
            <w:pPr>
              <w:jc w:val="right"/>
              <w:ind w:right="96"/>
              <w:spacing w:after="0"/>
              <w:rPr>
                <w:sz w:val="20"/>
                <w:szCs w:val="20"/>
                <w:color w:val="auto"/>
              </w:rPr>
            </w:pPr>
            <w:r>
              <w:rPr>
                <w:rFonts w:ascii="Arial" w:cs="Arial" w:eastAsia="Arial" w:hAnsi="Arial"/>
                <w:sz w:val="13"/>
                <w:szCs w:val="13"/>
                <w:color w:val="auto"/>
              </w:rPr>
              <w:t>*</w:t>
            </w: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17,550</w:t>
            </w:r>
          </w:p>
        </w:tc>
        <w:tc>
          <w:tcPr>
            <w:tcW w:w="100" w:type="dxa"/>
            <w:vAlign w:val="bottom"/>
            <w:shd w:val="clear" w:color="auto" w:fill="CCEEFF"/>
          </w:tcPr>
          <w:p>
            <w:pPr>
              <w:spacing w:after="0"/>
              <w:rPr>
                <w:sz w:val="14"/>
                <w:szCs w:val="14"/>
                <w:color w:val="auto"/>
              </w:rPr>
            </w:pPr>
          </w:p>
        </w:tc>
      </w:tr>
      <w:tr>
        <w:trPr>
          <w:trHeight w:val="162"/>
        </w:trPr>
        <w:tc>
          <w:tcPr>
            <w:tcW w:w="5020" w:type="dxa"/>
            <w:vAlign w:val="bottom"/>
            <w:gridSpan w:val="2"/>
          </w:tcPr>
          <w:p>
            <w:pPr>
              <w:spacing w:after="0" w:line="146" w:lineRule="exact"/>
              <w:rPr>
                <w:sz w:val="20"/>
                <w:szCs w:val="20"/>
                <w:color w:val="auto"/>
              </w:rPr>
            </w:pPr>
            <w:r>
              <w:rPr>
                <w:rFonts w:ascii="Arial" w:cs="Arial" w:eastAsia="Arial" w:hAnsi="Arial"/>
                <w:sz w:val="13"/>
                <w:szCs w:val="13"/>
                <w:b w:val="1"/>
                <w:bCs w:val="1"/>
                <w:color w:val="auto"/>
              </w:rPr>
              <w:t>Total</w:t>
            </w: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251,968</w:t>
            </w:r>
          </w:p>
        </w:tc>
        <w:tc>
          <w:tcPr>
            <w:tcW w:w="220" w:type="dxa"/>
            <w:vAlign w:val="bottom"/>
          </w:tcPr>
          <w:p>
            <w:pPr>
              <w:spacing w:after="0"/>
              <w:rPr>
                <w:sz w:val="14"/>
                <w:szCs w:val="14"/>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0</w:t>
            </w:r>
          </w:p>
        </w:tc>
        <w:tc>
          <w:tcPr>
            <w:tcW w:w="200" w:type="dxa"/>
            <w:vAlign w:val="bottom"/>
          </w:tcPr>
          <w:p>
            <w:pPr>
              <w:spacing w:after="0"/>
              <w:rPr>
                <w:sz w:val="14"/>
                <w:szCs w:val="14"/>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251,968</w:t>
            </w:r>
          </w:p>
        </w:tc>
        <w:tc>
          <w:tcPr>
            <w:tcW w:w="220" w:type="dxa"/>
            <w:vAlign w:val="bottom"/>
          </w:tcPr>
          <w:p>
            <w:pPr>
              <w:spacing w:after="0"/>
              <w:rPr>
                <w:sz w:val="14"/>
                <w:szCs w:val="14"/>
                <w:color w:val="auto"/>
              </w:rPr>
            </w:pPr>
          </w:p>
        </w:tc>
        <w:tc>
          <w:tcPr>
            <w:tcW w:w="960" w:type="dxa"/>
            <w:vAlign w:val="bottom"/>
            <w:tcBorders>
              <w:top w:val="single" w:sz="8" w:color="auto"/>
              <w:bottom w:val="single" w:sz="8" w:color="auto"/>
            </w:tcBorders>
          </w:tcPr>
          <w:p>
            <w:pPr>
              <w:spacing w:after="0"/>
              <w:rPr>
                <w:sz w:val="14"/>
                <w:szCs w:val="14"/>
                <w:color w:val="auto"/>
              </w:rPr>
            </w:pPr>
          </w:p>
        </w:tc>
        <w:tc>
          <w:tcPr>
            <w:tcW w:w="220" w:type="dxa"/>
            <w:vAlign w:val="bottom"/>
          </w:tcPr>
          <w:p>
            <w:pPr>
              <w:spacing w:after="0"/>
              <w:rPr>
                <w:sz w:val="14"/>
                <w:szCs w:val="14"/>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100,050</w:t>
            </w:r>
          </w:p>
        </w:tc>
        <w:tc>
          <w:tcPr>
            <w:tcW w:w="2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bl>
    <w:p>
      <w:pPr>
        <w:spacing w:after="0" w:line="145" w:lineRule="exact"/>
        <w:rPr>
          <w:sz w:val="20"/>
          <w:szCs w:val="20"/>
          <w:color w:val="auto"/>
        </w:rPr>
      </w:pPr>
    </w:p>
    <w:p>
      <w:pPr>
        <w:ind w:left="460" w:hanging="232"/>
        <w:spacing w:after="0"/>
        <w:tabs>
          <w:tab w:leader="none" w:pos="460" w:val="left"/>
        </w:tabs>
        <w:numPr>
          <w:ilvl w:val="0"/>
          <w:numId w:val="54"/>
        </w:numPr>
        <w:rPr>
          <w:rFonts w:ascii="Arial" w:cs="Arial" w:eastAsia="Arial" w:hAnsi="Arial"/>
          <w:sz w:val="13"/>
          <w:szCs w:val="13"/>
          <w:color w:val="auto"/>
        </w:rPr>
      </w:pPr>
      <w:r>
        <w:rPr>
          <w:rFonts w:ascii="Arial" w:cs="Arial" w:eastAsia="Arial" w:hAnsi="Arial"/>
          <w:sz w:val="13"/>
          <w:szCs w:val="13"/>
          <w:color w:val="auto"/>
        </w:rPr>
        <w:t>Less than one percent of the outstanding Class E shares.</w:t>
      </w:r>
    </w:p>
    <w:p>
      <w:pPr>
        <w:ind w:left="460" w:hanging="232"/>
        <w:spacing w:after="0" w:line="183" w:lineRule="auto"/>
        <w:tabs>
          <w:tab w:leader="none" w:pos="460" w:val="left"/>
        </w:tabs>
        <w:numPr>
          <w:ilvl w:val="0"/>
          <w:numId w:val="55"/>
        </w:numPr>
        <w:rPr>
          <w:rFonts w:ascii="Arial" w:cs="Arial" w:eastAsia="Arial" w:hAnsi="Arial"/>
          <w:sz w:val="19"/>
          <w:szCs w:val="19"/>
          <w:color w:val="auto"/>
          <w:vertAlign w:val="superscript"/>
        </w:rPr>
      </w:pPr>
      <w:r>
        <w:rPr>
          <w:rFonts w:ascii="Arial" w:cs="Arial" w:eastAsia="Arial" w:hAnsi="Arial"/>
          <w:sz w:val="12"/>
          <w:szCs w:val="12"/>
          <w:color w:val="auto"/>
        </w:rPr>
        <w:t>Includes Class E shares purchased by the director or restricted shares vested and transferred to the director pursuant to the 2003 Restricted Stock Plan, the 2008 Plan and the 2015 Plan as of such date.</w:t>
      </w:r>
    </w:p>
    <w:p>
      <w:pPr>
        <w:spacing w:after="0" w:line="1" w:lineRule="exact"/>
        <w:rPr>
          <w:rFonts w:ascii="Arial" w:cs="Arial" w:eastAsia="Arial" w:hAnsi="Arial"/>
          <w:sz w:val="19"/>
          <w:szCs w:val="19"/>
          <w:color w:val="auto"/>
          <w:vertAlign w:val="superscript"/>
        </w:rPr>
      </w:pPr>
    </w:p>
    <w:p>
      <w:pPr>
        <w:ind w:left="460" w:hanging="232"/>
        <w:spacing w:after="0" w:line="187" w:lineRule="auto"/>
        <w:tabs>
          <w:tab w:leader="none" w:pos="460" w:val="left"/>
        </w:tabs>
        <w:numPr>
          <w:ilvl w:val="0"/>
          <w:numId w:val="55"/>
        </w:numPr>
        <w:rPr>
          <w:rFonts w:ascii="Arial" w:cs="Arial" w:eastAsia="Arial" w:hAnsi="Arial"/>
          <w:sz w:val="17"/>
          <w:szCs w:val="17"/>
          <w:color w:val="auto"/>
          <w:vertAlign w:val="superscript"/>
        </w:rPr>
      </w:pPr>
      <w:r>
        <w:rPr>
          <w:rFonts w:ascii="Arial" w:cs="Arial" w:eastAsia="Arial" w:hAnsi="Arial"/>
          <w:sz w:val="11"/>
          <w:szCs w:val="11"/>
          <w:color w:val="auto"/>
        </w:rPr>
        <w:t>Includes vested / unexercised traditional stock options.</w:t>
      </w:r>
    </w:p>
    <w:p>
      <w:pPr>
        <w:spacing w:after="0" w:line="1" w:lineRule="exact"/>
        <w:rPr>
          <w:rFonts w:ascii="Arial" w:cs="Arial" w:eastAsia="Arial" w:hAnsi="Arial"/>
          <w:sz w:val="17"/>
          <w:szCs w:val="17"/>
          <w:color w:val="auto"/>
          <w:vertAlign w:val="superscript"/>
        </w:rPr>
      </w:pPr>
    </w:p>
    <w:p>
      <w:pPr>
        <w:ind w:left="460" w:hanging="232"/>
        <w:spacing w:after="0" w:line="188" w:lineRule="auto"/>
        <w:tabs>
          <w:tab w:leader="none" w:pos="460" w:val="left"/>
        </w:tabs>
        <w:numPr>
          <w:ilvl w:val="0"/>
          <w:numId w:val="55"/>
        </w:numPr>
        <w:rPr>
          <w:rFonts w:ascii="Arial" w:cs="Arial" w:eastAsia="Arial" w:hAnsi="Arial"/>
          <w:sz w:val="21"/>
          <w:szCs w:val="21"/>
          <w:color w:val="auto"/>
          <w:vertAlign w:val="superscript"/>
        </w:rPr>
      </w:pPr>
      <w:r>
        <w:rPr>
          <w:rFonts w:ascii="Arial" w:cs="Arial" w:eastAsia="Arial" w:hAnsi="Arial"/>
          <w:sz w:val="13"/>
          <w:szCs w:val="13"/>
          <w:color w:val="auto"/>
        </w:rPr>
        <w:t>Includes unvested restricted Class E shares granted under the Bank’s 2008 Plan and 2015 Plan. An aggregate amount of 57,000 restricted shares were granted to directors on April 19, 2018; these restricted shares vest 35% in each of the first and second year and 30% in the third year on the relevant grant date’s anniversary.</w:t>
      </w:r>
    </w:p>
    <w:p>
      <w:pPr>
        <w:ind w:left="460" w:hanging="232"/>
        <w:spacing w:after="0" w:line="189" w:lineRule="auto"/>
        <w:tabs>
          <w:tab w:leader="none" w:pos="460" w:val="left"/>
        </w:tabs>
        <w:numPr>
          <w:ilvl w:val="0"/>
          <w:numId w:val="55"/>
        </w:numPr>
        <w:rPr>
          <w:rFonts w:ascii="Arial" w:cs="Arial" w:eastAsia="Arial" w:hAnsi="Arial"/>
          <w:sz w:val="17"/>
          <w:szCs w:val="17"/>
          <w:color w:val="auto"/>
          <w:vertAlign w:val="superscript"/>
        </w:rPr>
      </w:pPr>
      <w:r>
        <w:rPr>
          <w:rFonts w:ascii="Arial" w:cs="Arial" w:eastAsia="Arial" w:hAnsi="Arial"/>
          <w:sz w:val="11"/>
          <w:szCs w:val="11"/>
          <w:color w:val="auto"/>
        </w:rPr>
        <w:t>27,779 Class E shares corresponding to Mr. Pecego’s entitlement under the Bank’s 2008 and 2015 Plans were assigned by Mr. Pecego to Banco do Brasil.</w:t>
      </w:r>
    </w:p>
    <w:p>
      <w:pPr>
        <w:spacing w:after="0" w:line="146" w:lineRule="exact"/>
        <w:rPr>
          <w:sz w:val="20"/>
          <w:szCs w:val="20"/>
          <w:color w:val="auto"/>
        </w:rPr>
      </w:pPr>
    </w:p>
    <w:p>
      <w:pPr>
        <w:spacing w:after="0"/>
        <w:rPr>
          <w:sz w:val="20"/>
          <w:szCs w:val="20"/>
          <w:color w:val="auto"/>
        </w:rPr>
      </w:pPr>
      <w:r>
        <w:rPr>
          <w:rFonts w:ascii="Arial" w:cs="Arial" w:eastAsia="Arial" w:hAnsi="Arial"/>
          <w:sz w:val="13"/>
          <w:szCs w:val="13"/>
          <w:color w:val="auto"/>
        </w:rPr>
        <w:t>For additional information regarding stock options granted to executive officers and directors, see Item 18, “Financial Statements,” note 20.</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Stock Ownership Policy for Directors and Executive Officers</w:t>
      </w:r>
    </w:p>
    <w:p>
      <w:pPr>
        <w:spacing w:after="0" w:line="159"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In October 2013, the Board of Directors adopted share ownership guidelines for directors and executive officers. These guidelines enable the Bank to meet its objective of aligning directors’ and executives’ interests with those of the shareholders.</w:t>
      </w:r>
    </w:p>
    <w:p>
      <w:pPr>
        <w:spacing w:after="0" w:line="129"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Under these guidelines, each director is required to accumulate 9,000 shares (13,500 for the Chairman of the Board) within three years of joining the Board, and to maintain at least this ownership level while serving as a member of the Board. Presently, all Board members are in compliance with the guidelines that apply to them.</w:t>
      </w:r>
    </w:p>
    <w:p>
      <w:pPr>
        <w:spacing w:after="0" w:line="129" w:lineRule="exact"/>
        <w:rPr>
          <w:sz w:val="20"/>
          <w:szCs w:val="20"/>
          <w:color w:val="auto"/>
        </w:rPr>
      </w:pPr>
    </w:p>
    <w:p>
      <w:pPr>
        <w:jc w:val="both"/>
        <w:spacing w:after="0" w:line="289" w:lineRule="auto"/>
        <w:rPr>
          <w:sz w:val="20"/>
          <w:szCs w:val="20"/>
          <w:color w:val="auto"/>
        </w:rPr>
      </w:pPr>
      <w:r>
        <w:rPr>
          <w:rFonts w:ascii="Arial" w:cs="Arial" w:eastAsia="Arial" w:hAnsi="Arial"/>
          <w:sz w:val="12"/>
          <w:szCs w:val="12"/>
          <w:color w:val="auto"/>
        </w:rPr>
        <w:t>The Chief Executive Officer is required to own shares of the Bank’s common stock worth at least two and a half times his annual base salary. Other Executive Officers are required to own stock equal to one time their annual base salary. These executive officers have up to seven years to comply with this share ownership requirement, measured from the later of the date of adoption of these guidelines or the date that they became subject to the guidelines. All executive officers named in the Beneficial Ownership table in this Annual Report are in compliance with the guidelines as they apply to them.</w:t>
      </w:r>
    </w:p>
    <w:p>
      <w:pPr>
        <w:spacing w:after="0" w:line="118"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The following elements are included in determining the Directors’ and Executive Officers’ share ownership for purposes of these guidelines: shares owned individually and by minor dependents or spouses; unvested restricted shares and restricted stock units; and vested or unvested stock options.</w:t>
      </w:r>
    </w:p>
    <w:p>
      <w:pPr>
        <w:spacing w:after="0" w:line="278"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90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89" w:right="219" w:bottom="1440" w:gutter="0" w:footer="0" w:header="0"/>
        </w:sectPr>
      </w:pPr>
    </w:p>
    <w:bookmarkStart w:id="92" w:name="page93"/>
    <w:bookmarkEnd w:id="92"/>
    <w:p>
      <w:pPr>
        <w:ind w:left="463" w:hanging="463"/>
        <w:spacing w:after="0"/>
        <w:tabs>
          <w:tab w:leader="none" w:pos="463" w:val="left"/>
        </w:tabs>
        <w:numPr>
          <w:ilvl w:val="0"/>
          <w:numId w:val="56"/>
        </w:numPr>
        <w:rPr>
          <w:rFonts w:ascii="Arial" w:cs="Arial" w:eastAsia="Arial" w:hAnsi="Arial"/>
          <w:sz w:val="13"/>
          <w:szCs w:val="13"/>
          <w:b w:val="1"/>
          <w:bCs w:val="1"/>
          <w:color w:val="auto"/>
        </w:rPr>
      </w:pPr>
      <w:r>
        <w:rPr>
          <w:rFonts w:ascii="Arial" w:cs="Arial" w:eastAsia="Arial" w:hAnsi="Arial"/>
          <w:sz w:val="13"/>
          <w:szCs w:val="13"/>
          <w:b w:val="1"/>
          <w:bCs w:val="1"/>
          <w:color w:val="auto"/>
        </w:rPr>
        <w:t>Board Practices</w:t>
      </w:r>
    </w:p>
    <w:p>
      <w:pPr>
        <w:spacing w:after="0" w:line="163"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Board Leadership Structure</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Board recognizes that one of its key responsibilities is to evaluate and determine its optimal leadership structure so as to provide an independent oversight of management.</w:t>
      </w:r>
    </w:p>
    <w:p>
      <w:pPr>
        <w:spacing w:after="0" w:line="159" w:lineRule="exact"/>
        <w:rPr>
          <w:sz w:val="20"/>
          <w:szCs w:val="20"/>
          <w:color w:val="auto"/>
        </w:rPr>
      </w:pPr>
    </w:p>
    <w:p>
      <w:pPr>
        <w:jc w:val="both"/>
        <w:ind w:left="3" w:right="20"/>
        <w:spacing w:after="0" w:line="360" w:lineRule="auto"/>
        <w:rPr>
          <w:sz w:val="20"/>
          <w:szCs w:val="20"/>
          <w:color w:val="auto"/>
        </w:rPr>
      </w:pPr>
      <w:r>
        <w:rPr>
          <w:rFonts w:ascii="Arial" w:cs="Arial" w:eastAsia="Arial" w:hAnsi="Arial"/>
          <w:sz w:val="11"/>
          <w:szCs w:val="11"/>
          <w:color w:val="auto"/>
        </w:rPr>
        <w:t>The Bank currently separates the positions of Chief Executive Officer and Chairman of the Board. Mr. N. Gabriel Tolchinsky has served as Chief Executive Officer since the close of business on April 30, 2018. Mr. Gonzalo Menéndez Duque has served as Chairman of the Board since 2002 and previously from 1995 to 1998 and qualifies as an “audit committee financial expert,” as defined by the SEC in Item 407 of Regulation S-K.</w:t>
      </w:r>
    </w:p>
    <w:p>
      <w:pPr>
        <w:spacing w:after="0" w:line="83" w:lineRule="exact"/>
        <w:rPr>
          <w:sz w:val="20"/>
          <w:szCs w:val="20"/>
          <w:color w:val="auto"/>
        </w:rPr>
      </w:pPr>
    </w:p>
    <w:p>
      <w:pPr>
        <w:jc w:val="both"/>
        <w:ind w:left="3" w:right="20"/>
        <w:spacing w:after="0" w:line="257" w:lineRule="auto"/>
        <w:rPr>
          <w:sz w:val="20"/>
          <w:szCs w:val="20"/>
          <w:color w:val="auto"/>
        </w:rPr>
      </w:pPr>
      <w:r>
        <w:rPr>
          <w:rFonts w:ascii="Arial" w:cs="Arial" w:eastAsia="Arial" w:hAnsi="Arial"/>
          <w:sz w:val="13"/>
          <w:szCs w:val="13"/>
          <w:color w:val="auto"/>
        </w:rPr>
        <w:t>In compliance with the Sarbanes-Oxley Act, Section 303A of the New York Stock Exchange Listed Company Manual, the Rules of the Superintendency of Banks of Panama, the Bank’s organizational documents and charters of each of the following Board committees, a majority of the members of the Board of Directors, all members of the Audit Committee, and all members of the Compensation Committee of the Bank are independent directors.</w:t>
      </w:r>
    </w:p>
    <w:p>
      <w:pPr>
        <w:spacing w:after="0" w:line="136" w:lineRule="exact"/>
        <w:rPr>
          <w:sz w:val="20"/>
          <w:szCs w:val="20"/>
          <w:color w:val="auto"/>
        </w:rPr>
      </w:pPr>
    </w:p>
    <w:p>
      <w:pPr>
        <w:ind w:left="3"/>
        <w:spacing w:after="0"/>
        <w:rPr>
          <w:sz w:val="20"/>
          <w:szCs w:val="20"/>
          <w:color w:val="auto"/>
        </w:rPr>
      </w:pPr>
      <w:r>
        <w:rPr>
          <w:rFonts w:ascii="Arial" w:cs="Arial" w:eastAsia="Arial" w:hAnsi="Arial"/>
          <w:sz w:val="13"/>
          <w:szCs w:val="13"/>
          <w:color w:val="auto"/>
        </w:rPr>
        <w:t>Our Board believes that its leadership structure promotes an effective board that supports and challenges management appropriately.</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Meetings of the Board and Committees</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2"/>
          <w:szCs w:val="12"/>
          <w:color w:val="auto"/>
        </w:rPr>
        <w:t>During the fiscal year ended December 31, 2018, the Board held eight meetings. Directors attended an average of 97% of the total number of Board meetings held during the fiscal year ended December 31, 2018.</w:t>
      </w:r>
    </w:p>
    <w:p>
      <w:pPr>
        <w:spacing w:after="0" w:line="170"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following table sets forth the membership and number of meetings for each of the five committees of the Board during the fiscal year ended December 31, 2018:</w:t>
      </w:r>
    </w:p>
    <w:p>
      <w:pPr>
        <w:spacing w:after="0" w:line="155" w:lineRule="exact"/>
        <w:rPr>
          <w:sz w:val="20"/>
          <w:szCs w:val="20"/>
          <w:color w:val="auto"/>
        </w:rPr>
      </w:pPr>
    </w:p>
    <w:tbl>
      <w:tblPr>
        <w:tblLayout w:type="fixed"/>
        <w:tblInd w:w="3" w:type="dxa"/>
        <w:tblCellMar>
          <w:top w:w="0" w:type="dxa"/>
          <w:left w:w="0" w:type="dxa"/>
          <w:bottom w:w="0" w:type="dxa"/>
          <w:right w:w="0" w:type="dxa"/>
        </w:tblCellMar>
      </w:tblPr>
      <w:tr>
        <w:trPr>
          <w:trHeight w:val="154"/>
        </w:trPr>
        <w:tc>
          <w:tcPr>
            <w:tcW w:w="20" w:type="dxa"/>
            <w:vAlign w:val="bottom"/>
          </w:tcPr>
          <w:p>
            <w:pPr>
              <w:spacing w:after="0"/>
              <w:rPr>
                <w:sz w:val="13"/>
                <w:szCs w:val="13"/>
                <w:color w:val="auto"/>
              </w:rPr>
            </w:pPr>
          </w:p>
        </w:tc>
        <w:tc>
          <w:tcPr>
            <w:tcW w:w="40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48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9"/>
              </w:rPr>
              <w:t>Compliance</w:t>
            </w: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0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500" w:type="dxa"/>
            <w:vAlign w:val="bottom"/>
            <w:gridSpan w:val="2"/>
          </w:tcPr>
          <w:p>
            <w:pPr>
              <w:jc w:val="center"/>
              <w:ind w:right="280"/>
              <w:spacing w:after="0"/>
              <w:rPr>
                <w:sz w:val="20"/>
                <w:szCs w:val="20"/>
                <w:color w:val="auto"/>
              </w:rPr>
            </w:pPr>
            <w:r>
              <w:rPr>
                <w:rFonts w:ascii="Arial" w:cs="Arial" w:eastAsia="Arial" w:hAnsi="Arial"/>
                <w:sz w:val="13"/>
                <w:szCs w:val="13"/>
                <w:b w:val="1"/>
                <w:bCs w:val="1"/>
                <w:color w:val="auto"/>
                <w:w w:val="89"/>
              </w:rPr>
              <w:t>Risk Policy</w:t>
            </w:r>
          </w:p>
        </w:tc>
        <w:tc>
          <w:tcPr>
            <w:tcW w:w="1500" w:type="dxa"/>
            <w:vAlign w:val="bottom"/>
            <w:gridSpan w:val="2"/>
          </w:tcPr>
          <w:p>
            <w:pPr>
              <w:jc w:val="center"/>
              <w:ind w:right="260"/>
              <w:spacing w:after="0"/>
              <w:rPr>
                <w:sz w:val="20"/>
                <w:szCs w:val="20"/>
                <w:color w:val="auto"/>
              </w:rPr>
            </w:pPr>
            <w:r>
              <w:rPr>
                <w:rFonts w:ascii="Arial" w:cs="Arial" w:eastAsia="Arial" w:hAnsi="Arial"/>
                <w:sz w:val="13"/>
                <w:szCs w:val="13"/>
                <w:b w:val="1"/>
                <w:bCs w:val="1"/>
                <w:color w:val="auto"/>
                <w:w w:val="89"/>
              </w:rPr>
              <w:t>Finance</w:t>
            </w:r>
          </w:p>
        </w:tc>
        <w:tc>
          <w:tcPr>
            <w:tcW w:w="148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5"/>
              </w:rPr>
              <w:t>and Anti-</w:t>
            </w: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0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500" w:type="dxa"/>
            <w:vAlign w:val="bottom"/>
            <w:gridSpan w:val="2"/>
          </w:tcPr>
          <w:p>
            <w:pPr>
              <w:jc w:val="center"/>
              <w:ind w:right="260"/>
              <w:spacing w:after="0"/>
              <w:rPr>
                <w:sz w:val="20"/>
                <w:szCs w:val="20"/>
                <w:color w:val="auto"/>
              </w:rPr>
            </w:pPr>
            <w:r>
              <w:rPr>
                <w:rFonts w:ascii="Arial" w:cs="Arial" w:eastAsia="Arial" w:hAnsi="Arial"/>
                <w:sz w:val="13"/>
                <w:szCs w:val="13"/>
                <w:b w:val="1"/>
                <w:bCs w:val="1"/>
                <w:color w:val="auto"/>
                <w:w w:val="86"/>
              </w:rPr>
              <w:t>and</w:t>
            </w:r>
          </w:p>
        </w:tc>
        <w:tc>
          <w:tcPr>
            <w:tcW w:w="1500" w:type="dxa"/>
            <w:vAlign w:val="bottom"/>
            <w:gridSpan w:val="2"/>
          </w:tcPr>
          <w:p>
            <w:pPr>
              <w:jc w:val="center"/>
              <w:ind w:right="260"/>
              <w:spacing w:after="0"/>
              <w:rPr>
                <w:sz w:val="20"/>
                <w:szCs w:val="20"/>
                <w:color w:val="auto"/>
              </w:rPr>
            </w:pPr>
            <w:r>
              <w:rPr>
                <w:rFonts w:ascii="Arial" w:cs="Arial" w:eastAsia="Arial" w:hAnsi="Arial"/>
                <w:sz w:val="13"/>
                <w:szCs w:val="13"/>
                <w:b w:val="1"/>
                <w:bCs w:val="1"/>
                <w:color w:val="auto"/>
                <w:w w:val="86"/>
              </w:rPr>
              <w:t>and</w:t>
            </w:r>
          </w:p>
        </w:tc>
        <w:tc>
          <w:tcPr>
            <w:tcW w:w="1480" w:type="dxa"/>
            <w:vAlign w:val="bottom"/>
            <w:gridSpan w:val="2"/>
          </w:tcPr>
          <w:p>
            <w:pPr>
              <w:jc w:val="center"/>
              <w:ind w:right="260"/>
              <w:spacing w:after="0"/>
              <w:rPr>
                <w:sz w:val="20"/>
                <w:szCs w:val="20"/>
                <w:color w:val="auto"/>
              </w:rPr>
            </w:pPr>
            <w:r>
              <w:rPr>
                <w:rFonts w:ascii="Arial" w:cs="Arial" w:eastAsia="Arial" w:hAnsi="Arial"/>
                <w:sz w:val="13"/>
                <w:szCs w:val="13"/>
                <w:b w:val="1"/>
                <w:bCs w:val="1"/>
                <w:color w:val="auto"/>
                <w:w w:val="92"/>
              </w:rPr>
              <w:t>Money</w:t>
            </w: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4120" w:type="dxa"/>
            <w:vAlign w:val="bottom"/>
            <w:gridSpan w:val="2"/>
          </w:tcPr>
          <w:p>
            <w:pPr>
              <w:ind w:left="1820"/>
              <w:spacing w:after="0"/>
              <w:rPr>
                <w:sz w:val="20"/>
                <w:szCs w:val="20"/>
                <w:color w:val="auto"/>
              </w:rPr>
            </w:pPr>
            <w:r>
              <w:rPr>
                <w:rFonts w:ascii="Arial" w:cs="Arial" w:eastAsia="Arial" w:hAnsi="Arial"/>
                <w:sz w:val="13"/>
                <w:szCs w:val="13"/>
                <w:b w:val="1"/>
                <w:bCs w:val="1"/>
                <w:color w:val="auto"/>
              </w:rPr>
              <w:t>Name</w:t>
            </w:r>
          </w:p>
        </w:tc>
        <w:tc>
          <w:tcPr>
            <w:tcW w:w="1500" w:type="dxa"/>
            <w:vAlign w:val="bottom"/>
            <w:gridSpan w:val="2"/>
          </w:tcPr>
          <w:p>
            <w:pPr>
              <w:ind w:left="480"/>
              <w:spacing w:after="0"/>
              <w:rPr>
                <w:sz w:val="20"/>
                <w:szCs w:val="20"/>
                <w:color w:val="auto"/>
              </w:rPr>
            </w:pPr>
            <w:r>
              <w:rPr>
                <w:rFonts w:ascii="Arial" w:cs="Arial" w:eastAsia="Arial" w:hAnsi="Arial"/>
                <w:sz w:val="13"/>
                <w:szCs w:val="13"/>
                <w:b w:val="1"/>
                <w:bCs w:val="1"/>
                <w:color w:val="auto"/>
              </w:rPr>
              <w:t>Audit</w:t>
            </w:r>
          </w:p>
        </w:tc>
        <w:tc>
          <w:tcPr>
            <w:tcW w:w="150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0"/>
              </w:rPr>
              <w:t>Assessment</w:t>
            </w:r>
          </w:p>
        </w:tc>
        <w:tc>
          <w:tcPr>
            <w:tcW w:w="15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2"/>
              </w:rPr>
              <w:t>Business</w:t>
            </w:r>
          </w:p>
        </w:tc>
        <w:tc>
          <w:tcPr>
            <w:tcW w:w="148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3"/>
              </w:rPr>
              <w:t>Laundering</w:t>
            </w:r>
          </w:p>
        </w:tc>
        <w:tc>
          <w:tcPr>
            <w:tcW w:w="1360" w:type="dxa"/>
            <w:vAlign w:val="bottom"/>
            <w:gridSpan w:val="2"/>
          </w:tcPr>
          <w:p>
            <w:pPr>
              <w:ind w:left="220"/>
              <w:spacing w:after="0"/>
              <w:rPr>
                <w:sz w:val="20"/>
                <w:szCs w:val="20"/>
                <w:color w:val="auto"/>
              </w:rPr>
            </w:pPr>
            <w:r>
              <w:rPr>
                <w:rFonts w:ascii="Arial" w:cs="Arial" w:eastAsia="Arial" w:hAnsi="Arial"/>
                <w:sz w:val="13"/>
                <w:szCs w:val="13"/>
                <w:b w:val="1"/>
                <w:bCs w:val="1"/>
                <w:color w:val="auto"/>
              </w:rPr>
              <w:t>Compensation</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4000" w:type="dxa"/>
            <w:vAlign w:val="bottom"/>
            <w:tcBorders>
              <w:top w:val="single" w:sz="8" w:color="auto"/>
            </w:tcBorders>
            <w:shd w:val="clear" w:color="auto" w:fill="CCEEFF"/>
          </w:tcPr>
          <w:p>
            <w:pPr>
              <w:spacing w:after="0" w:line="144" w:lineRule="exact"/>
              <w:rPr>
                <w:sz w:val="20"/>
                <w:szCs w:val="20"/>
                <w:color w:val="auto"/>
              </w:rPr>
            </w:pPr>
            <w:r>
              <w:rPr>
                <w:rFonts w:ascii="Arial" w:cs="Arial" w:eastAsia="Arial" w:hAnsi="Arial"/>
                <w:sz w:val="13"/>
                <w:szCs w:val="13"/>
                <w:color w:val="auto"/>
              </w:rPr>
              <w:t>Ricardo Manuel Arango</w:t>
            </w:r>
          </w:p>
        </w:tc>
        <w:tc>
          <w:tcPr>
            <w:tcW w:w="120" w:type="dxa"/>
            <w:vAlign w:val="bottom"/>
            <w:tcBorders>
              <w:top w:val="single" w:sz="8" w:color="CCEEFF"/>
            </w:tcBorders>
            <w:shd w:val="clear" w:color="auto" w:fill="CCEEFF"/>
          </w:tcPr>
          <w:p>
            <w:pPr>
              <w:spacing w:after="0"/>
              <w:rPr>
                <w:sz w:val="12"/>
                <w:szCs w:val="12"/>
                <w:color w:val="auto"/>
              </w:rPr>
            </w:pPr>
          </w:p>
        </w:tc>
        <w:tc>
          <w:tcPr>
            <w:tcW w:w="126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60" w:type="dxa"/>
            <w:vAlign w:val="bottom"/>
            <w:tcBorders>
              <w:top w:val="single" w:sz="8" w:color="auto"/>
            </w:tcBorders>
            <w:shd w:val="clear" w:color="auto" w:fill="CCEEFF"/>
          </w:tcPr>
          <w:p>
            <w:pPr>
              <w:jc w:val="center"/>
              <w:ind w:left="56"/>
              <w:spacing w:after="0" w:line="144" w:lineRule="exact"/>
              <w:rPr>
                <w:sz w:val="20"/>
                <w:szCs w:val="20"/>
                <w:color w:val="auto"/>
              </w:rPr>
            </w:pPr>
            <w:r>
              <w:rPr>
                <w:rFonts w:ascii="Arial" w:cs="Arial" w:eastAsia="Arial" w:hAnsi="Arial"/>
                <w:sz w:val="13"/>
                <w:szCs w:val="13"/>
                <w:color w:val="auto"/>
                <w:w w:val="88"/>
              </w:rPr>
              <w:t>Member</w:t>
            </w:r>
          </w:p>
        </w:tc>
        <w:tc>
          <w:tcPr>
            <w:tcW w:w="240" w:type="dxa"/>
            <w:vAlign w:val="bottom"/>
            <w:tcBorders>
              <w:top w:val="single" w:sz="8" w:color="CCEEFF"/>
            </w:tcBorders>
            <w:shd w:val="clear" w:color="auto" w:fill="CCEEFF"/>
          </w:tcPr>
          <w:p>
            <w:pPr>
              <w:spacing w:after="0"/>
              <w:rPr>
                <w:sz w:val="12"/>
                <w:szCs w:val="12"/>
                <w:color w:val="auto"/>
              </w:rPr>
            </w:pPr>
          </w:p>
        </w:tc>
        <w:tc>
          <w:tcPr>
            <w:tcW w:w="1260" w:type="dxa"/>
            <w:vAlign w:val="bottom"/>
            <w:tcBorders>
              <w:top w:val="single" w:sz="8" w:color="auto"/>
            </w:tcBorders>
            <w:shd w:val="clear" w:color="auto" w:fill="CCEEFF"/>
          </w:tcPr>
          <w:p>
            <w:pPr>
              <w:jc w:val="center"/>
              <w:ind w:left="56"/>
              <w:spacing w:after="0" w:line="144" w:lineRule="exact"/>
              <w:rPr>
                <w:sz w:val="20"/>
                <w:szCs w:val="20"/>
                <w:color w:val="auto"/>
              </w:rPr>
            </w:pPr>
            <w:r>
              <w:rPr>
                <w:rFonts w:ascii="Arial" w:cs="Arial" w:eastAsia="Arial" w:hAnsi="Arial"/>
                <w:sz w:val="13"/>
                <w:szCs w:val="13"/>
                <w:color w:val="auto"/>
                <w:w w:val="88"/>
              </w:rPr>
              <w:t>Member</w:t>
            </w:r>
          </w:p>
        </w:tc>
        <w:tc>
          <w:tcPr>
            <w:tcW w:w="240" w:type="dxa"/>
            <w:vAlign w:val="bottom"/>
            <w:tcBorders>
              <w:top w:val="single" w:sz="8" w:color="CCEEFF"/>
            </w:tcBorders>
            <w:shd w:val="clear" w:color="auto" w:fill="CCEEFF"/>
          </w:tcPr>
          <w:p>
            <w:pPr>
              <w:spacing w:after="0"/>
              <w:rPr>
                <w:sz w:val="12"/>
                <w:szCs w:val="12"/>
                <w:color w:val="auto"/>
              </w:rPr>
            </w:pPr>
          </w:p>
        </w:tc>
        <w:tc>
          <w:tcPr>
            <w:tcW w:w="1260" w:type="dxa"/>
            <w:vAlign w:val="bottom"/>
            <w:tcBorders>
              <w:top w:val="single" w:sz="8" w:color="auto"/>
            </w:tcBorders>
            <w:shd w:val="clear" w:color="auto" w:fill="CCEEFF"/>
          </w:tcPr>
          <w:p>
            <w:pPr>
              <w:jc w:val="center"/>
              <w:ind w:left="56"/>
              <w:spacing w:after="0" w:line="144" w:lineRule="exact"/>
              <w:rPr>
                <w:sz w:val="20"/>
                <w:szCs w:val="20"/>
                <w:color w:val="auto"/>
              </w:rPr>
            </w:pPr>
            <w:r>
              <w:rPr>
                <w:rFonts w:ascii="Arial" w:cs="Arial" w:eastAsia="Arial" w:hAnsi="Arial"/>
                <w:sz w:val="13"/>
                <w:szCs w:val="13"/>
                <w:color w:val="auto"/>
                <w:w w:val="88"/>
              </w:rPr>
              <w:t>Chairman</w:t>
            </w: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20" w:type="dxa"/>
            <w:vAlign w:val="bottom"/>
            <w:gridSpan w:val="2"/>
          </w:tcPr>
          <w:p>
            <w:pPr>
              <w:spacing w:after="0"/>
              <w:rPr>
                <w:sz w:val="20"/>
                <w:szCs w:val="20"/>
                <w:color w:val="auto"/>
              </w:rPr>
            </w:pPr>
            <w:r>
              <w:rPr>
                <w:rFonts w:ascii="Arial" w:cs="Arial" w:eastAsia="Arial" w:hAnsi="Arial"/>
                <w:sz w:val="13"/>
                <w:szCs w:val="13"/>
                <w:color w:val="auto"/>
              </w:rPr>
              <w:t>Herminio A. Blanco</w:t>
            </w:r>
          </w:p>
        </w:tc>
        <w:tc>
          <w:tcPr>
            <w:tcW w:w="1500" w:type="dxa"/>
            <w:vAlign w:val="bottom"/>
            <w:gridSpan w:val="2"/>
          </w:tcPr>
          <w:p>
            <w:pPr>
              <w:jc w:val="center"/>
              <w:ind w:right="120"/>
              <w:spacing w:after="0"/>
              <w:rPr>
                <w:sz w:val="20"/>
                <w:szCs w:val="20"/>
                <w:color w:val="auto"/>
              </w:rPr>
            </w:pPr>
            <w:r>
              <w:rPr>
                <w:rFonts w:ascii="Arial" w:cs="Arial" w:eastAsia="Arial" w:hAnsi="Arial"/>
                <w:sz w:val="13"/>
                <w:szCs w:val="13"/>
                <w:color w:val="auto"/>
                <w:w w:val="88"/>
              </w:rPr>
              <w:t>Chairman</w:t>
            </w:r>
          </w:p>
        </w:tc>
        <w:tc>
          <w:tcPr>
            <w:tcW w:w="1500" w:type="dxa"/>
            <w:vAlign w:val="bottom"/>
            <w:gridSpan w:val="2"/>
          </w:tcPr>
          <w:p>
            <w:pPr>
              <w:jc w:val="center"/>
              <w:ind w:right="120"/>
              <w:spacing w:after="0"/>
              <w:rPr>
                <w:sz w:val="20"/>
                <w:szCs w:val="20"/>
                <w:color w:val="auto"/>
              </w:rPr>
            </w:pPr>
            <w:r>
              <w:rPr>
                <w:rFonts w:ascii="Arial" w:cs="Arial" w:eastAsia="Arial" w:hAnsi="Arial"/>
                <w:sz w:val="13"/>
                <w:szCs w:val="13"/>
                <w:color w:val="auto"/>
                <w:w w:val="88"/>
              </w:rPr>
              <w:t>Member</w:t>
            </w:r>
          </w:p>
        </w:tc>
        <w:tc>
          <w:tcPr>
            <w:tcW w:w="1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2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Mario Covo</w:t>
            </w:r>
          </w:p>
        </w:tc>
        <w:tc>
          <w:tcPr>
            <w:tcW w:w="12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500" w:type="dxa"/>
            <w:vAlign w:val="bottom"/>
            <w:gridSpan w:val="2"/>
            <w:shd w:val="clear" w:color="auto" w:fill="CCEEFF"/>
          </w:tcPr>
          <w:p>
            <w:pPr>
              <w:jc w:val="center"/>
              <w:ind w:right="120"/>
              <w:spacing w:after="0"/>
              <w:rPr>
                <w:sz w:val="20"/>
                <w:szCs w:val="20"/>
                <w:color w:val="auto"/>
              </w:rPr>
            </w:pPr>
            <w:r>
              <w:rPr>
                <w:rFonts w:ascii="Arial" w:cs="Arial" w:eastAsia="Arial" w:hAnsi="Arial"/>
                <w:sz w:val="13"/>
                <w:szCs w:val="13"/>
                <w:color w:val="auto"/>
                <w:w w:val="88"/>
              </w:rPr>
              <w:t>Member</w:t>
            </w:r>
          </w:p>
        </w:tc>
        <w:tc>
          <w:tcPr>
            <w:tcW w:w="1500" w:type="dxa"/>
            <w:vAlign w:val="bottom"/>
            <w:gridSpan w:val="2"/>
            <w:shd w:val="clear" w:color="auto" w:fill="CCEEFF"/>
          </w:tcPr>
          <w:p>
            <w:pPr>
              <w:jc w:val="center"/>
              <w:ind w:right="120"/>
              <w:spacing w:after="0"/>
              <w:rPr>
                <w:sz w:val="20"/>
                <w:szCs w:val="20"/>
                <w:color w:val="auto"/>
              </w:rPr>
            </w:pPr>
            <w:r>
              <w:rPr>
                <w:rFonts w:ascii="Arial" w:cs="Arial" w:eastAsia="Arial" w:hAnsi="Arial"/>
                <w:sz w:val="13"/>
                <w:szCs w:val="13"/>
                <w:color w:val="auto"/>
                <w:w w:val="88"/>
              </w:rPr>
              <w:t>Chairman</w:t>
            </w:r>
          </w:p>
        </w:tc>
        <w:tc>
          <w:tcPr>
            <w:tcW w:w="12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20" w:type="dxa"/>
            <w:vAlign w:val="bottom"/>
            <w:gridSpan w:val="2"/>
          </w:tcPr>
          <w:p>
            <w:pPr>
              <w:spacing w:after="0"/>
              <w:rPr>
                <w:sz w:val="20"/>
                <w:szCs w:val="20"/>
                <w:color w:val="auto"/>
              </w:rPr>
            </w:pPr>
            <w:r>
              <w:rPr>
                <w:rFonts w:ascii="Arial" w:cs="Arial" w:eastAsia="Arial" w:hAnsi="Arial"/>
                <w:sz w:val="13"/>
                <w:szCs w:val="13"/>
                <w:color w:val="auto"/>
              </w:rPr>
              <w:t>José Alberto Garzón</w:t>
            </w:r>
          </w:p>
        </w:tc>
        <w:tc>
          <w:tcPr>
            <w:tcW w:w="1500" w:type="dxa"/>
            <w:vAlign w:val="bottom"/>
            <w:gridSpan w:val="2"/>
          </w:tcPr>
          <w:p>
            <w:pPr>
              <w:jc w:val="center"/>
              <w:ind w:right="120"/>
              <w:spacing w:after="0"/>
              <w:rPr>
                <w:sz w:val="20"/>
                <w:szCs w:val="20"/>
                <w:color w:val="auto"/>
              </w:rPr>
            </w:pPr>
            <w:r>
              <w:rPr>
                <w:rFonts w:ascii="Arial" w:cs="Arial" w:eastAsia="Arial" w:hAnsi="Arial"/>
                <w:sz w:val="13"/>
                <w:szCs w:val="13"/>
                <w:color w:val="auto"/>
                <w:w w:val="88"/>
              </w:rPr>
              <w:t>Member</w:t>
            </w:r>
          </w:p>
        </w:tc>
        <w:tc>
          <w:tcPr>
            <w:tcW w:w="1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360" w:type="dxa"/>
            <w:vAlign w:val="bottom"/>
            <w:gridSpan w:val="2"/>
          </w:tcPr>
          <w:p>
            <w:pPr>
              <w:jc w:val="center"/>
              <w:ind w:right="20"/>
              <w:spacing w:after="0"/>
              <w:rPr>
                <w:sz w:val="20"/>
                <w:szCs w:val="20"/>
                <w:color w:val="auto"/>
              </w:rPr>
            </w:pPr>
            <w:r>
              <w:rPr>
                <w:rFonts w:ascii="Arial" w:cs="Arial" w:eastAsia="Arial" w:hAnsi="Arial"/>
                <w:sz w:val="13"/>
                <w:szCs w:val="13"/>
                <w:color w:val="auto"/>
                <w:w w:val="88"/>
              </w:rPr>
              <w:t>Member</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2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Javier González Fraga</w:t>
            </w:r>
          </w:p>
        </w:tc>
        <w:tc>
          <w:tcPr>
            <w:tcW w:w="1500" w:type="dxa"/>
            <w:vAlign w:val="bottom"/>
            <w:gridSpan w:val="2"/>
            <w:shd w:val="clear" w:color="auto" w:fill="CCEEFF"/>
          </w:tcPr>
          <w:p>
            <w:pPr>
              <w:jc w:val="center"/>
              <w:ind w:right="120"/>
              <w:spacing w:after="0"/>
              <w:rPr>
                <w:sz w:val="20"/>
                <w:szCs w:val="20"/>
                <w:color w:val="auto"/>
              </w:rPr>
            </w:pPr>
            <w:r>
              <w:rPr>
                <w:rFonts w:ascii="Arial" w:cs="Arial" w:eastAsia="Arial" w:hAnsi="Arial"/>
                <w:sz w:val="13"/>
                <w:szCs w:val="13"/>
                <w:color w:val="auto"/>
                <w:w w:val="88"/>
              </w:rPr>
              <w:t>Member</w:t>
            </w:r>
          </w:p>
        </w:tc>
        <w:tc>
          <w:tcPr>
            <w:tcW w:w="12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2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2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360" w:type="dxa"/>
            <w:vAlign w:val="bottom"/>
            <w:gridSpan w:val="2"/>
            <w:shd w:val="clear" w:color="auto" w:fill="CCEEFF"/>
          </w:tcPr>
          <w:p>
            <w:pPr>
              <w:jc w:val="center"/>
              <w:ind w:right="20"/>
              <w:spacing w:after="0"/>
              <w:rPr>
                <w:sz w:val="20"/>
                <w:szCs w:val="20"/>
                <w:color w:val="auto"/>
              </w:rPr>
            </w:pPr>
            <w:r>
              <w:rPr>
                <w:rFonts w:ascii="Arial" w:cs="Arial" w:eastAsia="Arial" w:hAnsi="Arial"/>
                <w:sz w:val="13"/>
                <w:szCs w:val="13"/>
                <w:color w:val="auto"/>
                <w:w w:val="88"/>
              </w:rPr>
              <w:t>Member</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20" w:type="dxa"/>
            <w:vAlign w:val="bottom"/>
            <w:gridSpan w:val="2"/>
          </w:tcPr>
          <w:p>
            <w:pPr>
              <w:spacing w:after="0"/>
              <w:rPr>
                <w:sz w:val="20"/>
                <w:szCs w:val="20"/>
                <w:color w:val="auto"/>
              </w:rPr>
            </w:pPr>
            <w:r>
              <w:rPr>
                <w:rFonts w:ascii="Arial" w:cs="Arial" w:eastAsia="Arial" w:hAnsi="Arial"/>
                <w:sz w:val="13"/>
                <w:szCs w:val="13"/>
                <w:color w:val="auto"/>
              </w:rPr>
              <w:t>Miguel Heras Castro</w:t>
            </w:r>
          </w:p>
        </w:tc>
        <w:tc>
          <w:tcPr>
            <w:tcW w:w="1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500" w:type="dxa"/>
            <w:vAlign w:val="bottom"/>
            <w:gridSpan w:val="2"/>
          </w:tcPr>
          <w:p>
            <w:pPr>
              <w:jc w:val="center"/>
              <w:ind w:right="120"/>
              <w:spacing w:after="0"/>
              <w:rPr>
                <w:sz w:val="20"/>
                <w:szCs w:val="20"/>
                <w:color w:val="auto"/>
              </w:rPr>
            </w:pPr>
            <w:r>
              <w:rPr>
                <w:rFonts w:ascii="Arial" w:cs="Arial" w:eastAsia="Arial" w:hAnsi="Arial"/>
                <w:sz w:val="13"/>
                <w:szCs w:val="13"/>
                <w:color w:val="auto"/>
                <w:w w:val="88"/>
              </w:rPr>
              <w:t>Chairman</w:t>
            </w:r>
          </w:p>
        </w:tc>
        <w:tc>
          <w:tcPr>
            <w:tcW w:w="1500" w:type="dxa"/>
            <w:vAlign w:val="bottom"/>
            <w:gridSpan w:val="2"/>
          </w:tcPr>
          <w:p>
            <w:pPr>
              <w:jc w:val="center"/>
              <w:ind w:right="120"/>
              <w:spacing w:after="0"/>
              <w:rPr>
                <w:sz w:val="20"/>
                <w:szCs w:val="20"/>
                <w:color w:val="auto"/>
              </w:rPr>
            </w:pPr>
            <w:r>
              <w:rPr>
                <w:rFonts w:ascii="Arial" w:cs="Arial" w:eastAsia="Arial" w:hAnsi="Arial"/>
                <w:sz w:val="13"/>
                <w:szCs w:val="13"/>
                <w:color w:val="auto"/>
                <w:w w:val="88"/>
              </w:rPr>
              <w:t>Member</w:t>
            </w:r>
          </w:p>
        </w:tc>
        <w:tc>
          <w:tcPr>
            <w:tcW w:w="1480" w:type="dxa"/>
            <w:vAlign w:val="bottom"/>
            <w:gridSpan w:val="2"/>
          </w:tcPr>
          <w:p>
            <w:pPr>
              <w:jc w:val="center"/>
              <w:ind w:right="100"/>
              <w:spacing w:after="0"/>
              <w:rPr>
                <w:sz w:val="20"/>
                <w:szCs w:val="20"/>
                <w:color w:val="auto"/>
              </w:rPr>
            </w:pPr>
            <w:r>
              <w:rPr>
                <w:rFonts w:ascii="Arial" w:cs="Arial" w:eastAsia="Arial" w:hAnsi="Arial"/>
                <w:sz w:val="13"/>
                <w:szCs w:val="13"/>
                <w:color w:val="auto"/>
                <w:w w:val="88"/>
              </w:rPr>
              <w:t>Member</w:t>
            </w: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2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Roland Holst</w:t>
            </w:r>
          </w:p>
        </w:tc>
        <w:tc>
          <w:tcPr>
            <w:tcW w:w="12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500" w:type="dxa"/>
            <w:vAlign w:val="bottom"/>
            <w:gridSpan w:val="2"/>
            <w:shd w:val="clear" w:color="auto" w:fill="CCEEFF"/>
          </w:tcPr>
          <w:p>
            <w:pPr>
              <w:jc w:val="center"/>
              <w:ind w:right="120"/>
              <w:spacing w:after="0"/>
              <w:rPr>
                <w:sz w:val="20"/>
                <w:szCs w:val="20"/>
                <w:color w:val="auto"/>
              </w:rPr>
            </w:pPr>
            <w:r>
              <w:rPr>
                <w:rFonts w:ascii="Arial" w:cs="Arial" w:eastAsia="Arial" w:hAnsi="Arial"/>
                <w:sz w:val="13"/>
                <w:szCs w:val="13"/>
                <w:color w:val="auto"/>
                <w:w w:val="88"/>
              </w:rPr>
              <w:t>Member</w:t>
            </w:r>
          </w:p>
        </w:tc>
        <w:tc>
          <w:tcPr>
            <w:tcW w:w="1500" w:type="dxa"/>
            <w:vAlign w:val="bottom"/>
            <w:gridSpan w:val="2"/>
            <w:shd w:val="clear" w:color="auto" w:fill="CCEEFF"/>
          </w:tcPr>
          <w:p>
            <w:pPr>
              <w:jc w:val="center"/>
              <w:ind w:right="120"/>
              <w:spacing w:after="0"/>
              <w:rPr>
                <w:sz w:val="20"/>
                <w:szCs w:val="20"/>
                <w:color w:val="auto"/>
              </w:rPr>
            </w:pPr>
            <w:r>
              <w:rPr>
                <w:rFonts w:ascii="Arial" w:cs="Arial" w:eastAsia="Arial" w:hAnsi="Arial"/>
                <w:sz w:val="13"/>
                <w:szCs w:val="13"/>
                <w:color w:val="auto"/>
                <w:w w:val="88"/>
              </w:rPr>
              <w:t>Member</w:t>
            </w:r>
          </w:p>
        </w:tc>
        <w:tc>
          <w:tcPr>
            <w:tcW w:w="12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20" w:type="dxa"/>
            <w:vAlign w:val="bottom"/>
            <w:gridSpan w:val="2"/>
          </w:tcPr>
          <w:p>
            <w:pPr>
              <w:spacing w:after="0"/>
              <w:rPr>
                <w:sz w:val="20"/>
                <w:szCs w:val="20"/>
                <w:color w:val="auto"/>
              </w:rPr>
            </w:pPr>
            <w:r>
              <w:rPr>
                <w:rFonts w:ascii="Arial" w:cs="Arial" w:eastAsia="Arial" w:hAnsi="Arial"/>
                <w:sz w:val="13"/>
                <w:szCs w:val="13"/>
                <w:color w:val="auto"/>
              </w:rPr>
              <w:t>Gonzalo Menéndez Duque</w:t>
            </w:r>
          </w:p>
        </w:tc>
        <w:tc>
          <w:tcPr>
            <w:tcW w:w="1500" w:type="dxa"/>
            <w:vAlign w:val="bottom"/>
            <w:gridSpan w:val="2"/>
          </w:tcPr>
          <w:p>
            <w:pPr>
              <w:jc w:val="center"/>
              <w:ind w:right="120"/>
              <w:spacing w:after="0"/>
              <w:rPr>
                <w:sz w:val="20"/>
                <w:szCs w:val="20"/>
                <w:color w:val="auto"/>
              </w:rPr>
            </w:pPr>
            <w:r>
              <w:rPr>
                <w:rFonts w:ascii="Arial" w:cs="Arial" w:eastAsia="Arial" w:hAnsi="Arial"/>
                <w:sz w:val="13"/>
                <w:szCs w:val="13"/>
                <w:color w:val="auto"/>
                <w:w w:val="88"/>
              </w:rPr>
              <w:t>Member</w:t>
            </w:r>
          </w:p>
        </w:tc>
        <w:tc>
          <w:tcPr>
            <w:tcW w:w="1500" w:type="dxa"/>
            <w:vAlign w:val="bottom"/>
            <w:gridSpan w:val="2"/>
          </w:tcPr>
          <w:p>
            <w:pPr>
              <w:jc w:val="center"/>
              <w:ind w:right="120"/>
              <w:spacing w:after="0"/>
              <w:rPr>
                <w:sz w:val="20"/>
                <w:szCs w:val="20"/>
                <w:color w:val="auto"/>
              </w:rPr>
            </w:pPr>
            <w:r>
              <w:rPr>
                <w:rFonts w:ascii="Arial" w:cs="Arial" w:eastAsia="Arial" w:hAnsi="Arial"/>
                <w:sz w:val="13"/>
                <w:szCs w:val="13"/>
                <w:color w:val="auto"/>
                <w:w w:val="88"/>
              </w:rPr>
              <w:t>Member</w:t>
            </w:r>
          </w:p>
        </w:tc>
        <w:tc>
          <w:tcPr>
            <w:tcW w:w="1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12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João Carlos de Nóbrega Pecego</w:t>
            </w:r>
          </w:p>
        </w:tc>
        <w:tc>
          <w:tcPr>
            <w:tcW w:w="12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2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500" w:type="dxa"/>
            <w:vAlign w:val="bottom"/>
            <w:gridSpan w:val="2"/>
            <w:shd w:val="clear" w:color="auto" w:fill="CCEEFF"/>
          </w:tcPr>
          <w:p>
            <w:pPr>
              <w:jc w:val="center"/>
              <w:ind w:right="120"/>
              <w:spacing w:after="0"/>
              <w:rPr>
                <w:sz w:val="20"/>
                <w:szCs w:val="20"/>
                <w:color w:val="auto"/>
              </w:rPr>
            </w:pPr>
            <w:r>
              <w:rPr>
                <w:rFonts w:ascii="Arial" w:cs="Arial" w:eastAsia="Arial" w:hAnsi="Arial"/>
                <w:sz w:val="13"/>
                <w:szCs w:val="13"/>
                <w:color w:val="auto"/>
                <w:w w:val="88"/>
              </w:rPr>
              <w:t>Member</w:t>
            </w:r>
          </w:p>
        </w:tc>
        <w:tc>
          <w:tcPr>
            <w:tcW w:w="12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360" w:type="dxa"/>
            <w:vAlign w:val="bottom"/>
            <w:gridSpan w:val="2"/>
            <w:shd w:val="clear" w:color="auto" w:fill="CCEEFF"/>
          </w:tcPr>
          <w:p>
            <w:pPr>
              <w:jc w:val="center"/>
              <w:ind w:right="20"/>
              <w:spacing w:after="0"/>
              <w:rPr>
                <w:sz w:val="20"/>
                <w:szCs w:val="20"/>
                <w:color w:val="auto"/>
              </w:rPr>
            </w:pPr>
            <w:r>
              <w:rPr>
                <w:rFonts w:ascii="Arial" w:cs="Arial" w:eastAsia="Arial" w:hAnsi="Arial"/>
                <w:sz w:val="13"/>
                <w:szCs w:val="13"/>
                <w:color w:val="auto"/>
                <w:w w:val="88"/>
              </w:rPr>
              <w:t>Chairman</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0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412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Number of Committee Meetings Held in 2018</w:t>
            </w:r>
          </w:p>
        </w:tc>
        <w:tc>
          <w:tcPr>
            <w:tcW w:w="1260" w:type="dxa"/>
            <w:vAlign w:val="bottom"/>
            <w:shd w:val="clear" w:color="auto" w:fill="CCEEFF"/>
          </w:tcPr>
          <w:p>
            <w:pPr>
              <w:jc w:val="center"/>
              <w:ind w:left="56"/>
              <w:spacing w:after="0"/>
              <w:rPr>
                <w:sz w:val="20"/>
                <w:szCs w:val="20"/>
                <w:color w:val="auto"/>
              </w:rPr>
            </w:pPr>
            <w:r>
              <w:rPr>
                <w:rFonts w:ascii="Arial" w:cs="Arial" w:eastAsia="Arial" w:hAnsi="Arial"/>
                <w:sz w:val="13"/>
                <w:szCs w:val="13"/>
                <w:color w:val="auto"/>
                <w:w w:val="82"/>
              </w:rPr>
              <w:t>6</w:t>
            </w:r>
          </w:p>
        </w:tc>
        <w:tc>
          <w:tcPr>
            <w:tcW w:w="240" w:type="dxa"/>
            <w:vAlign w:val="bottom"/>
            <w:shd w:val="clear" w:color="auto" w:fill="CCEEFF"/>
          </w:tcPr>
          <w:p>
            <w:pPr>
              <w:spacing w:after="0"/>
              <w:rPr>
                <w:sz w:val="13"/>
                <w:szCs w:val="13"/>
                <w:color w:val="auto"/>
              </w:rPr>
            </w:pPr>
          </w:p>
        </w:tc>
        <w:tc>
          <w:tcPr>
            <w:tcW w:w="1260" w:type="dxa"/>
            <w:vAlign w:val="bottom"/>
            <w:shd w:val="clear" w:color="auto" w:fill="CCEEFF"/>
          </w:tcPr>
          <w:p>
            <w:pPr>
              <w:jc w:val="center"/>
              <w:ind w:left="56"/>
              <w:spacing w:after="0"/>
              <w:rPr>
                <w:sz w:val="20"/>
                <w:szCs w:val="20"/>
                <w:color w:val="auto"/>
              </w:rPr>
            </w:pPr>
            <w:r>
              <w:rPr>
                <w:rFonts w:ascii="Arial" w:cs="Arial" w:eastAsia="Arial" w:hAnsi="Arial"/>
                <w:sz w:val="13"/>
                <w:szCs w:val="13"/>
                <w:color w:val="auto"/>
                <w:w w:val="82"/>
              </w:rPr>
              <w:t>6</w:t>
            </w:r>
          </w:p>
        </w:tc>
        <w:tc>
          <w:tcPr>
            <w:tcW w:w="240" w:type="dxa"/>
            <w:vAlign w:val="bottom"/>
            <w:shd w:val="clear" w:color="auto" w:fill="CCEEFF"/>
          </w:tcPr>
          <w:p>
            <w:pPr>
              <w:spacing w:after="0"/>
              <w:rPr>
                <w:sz w:val="13"/>
                <w:szCs w:val="13"/>
                <w:color w:val="auto"/>
              </w:rPr>
            </w:pPr>
          </w:p>
        </w:tc>
        <w:tc>
          <w:tcPr>
            <w:tcW w:w="1260" w:type="dxa"/>
            <w:vAlign w:val="bottom"/>
            <w:shd w:val="clear" w:color="auto" w:fill="CCEEFF"/>
          </w:tcPr>
          <w:p>
            <w:pPr>
              <w:jc w:val="center"/>
              <w:ind w:left="56"/>
              <w:spacing w:after="0"/>
              <w:rPr>
                <w:sz w:val="20"/>
                <w:szCs w:val="20"/>
                <w:color w:val="auto"/>
              </w:rPr>
            </w:pPr>
            <w:r>
              <w:rPr>
                <w:rFonts w:ascii="Arial" w:cs="Arial" w:eastAsia="Arial" w:hAnsi="Arial"/>
                <w:sz w:val="13"/>
                <w:szCs w:val="13"/>
                <w:color w:val="auto"/>
                <w:w w:val="82"/>
              </w:rPr>
              <w:t>6</w:t>
            </w:r>
          </w:p>
        </w:tc>
        <w:tc>
          <w:tcPr>
            <w:tcW w:w="240" w:type="dxa"/>
            <w:vAlign w:val="bottom"/>
            <w:shd w:val="clear" w:color="auto" w:fill="CCEEFF"/>
          </w:tcPr>
          <w:p>
            <w:pPr>
              <w:spacing w:after="0"/>
              <w:rPr>
                <w:sz w:val="13"/>
                <w:szCs w:val="13"/>
                <w:color w:val="auto"/>
              </w:rPr>
            </w:pPr>
          </w:p>
        </w:tc>
        <w:tc>
          <w:tcPr>
            <w:tcW w:w="1260" w:type="dxa"/>
            <w:vAlign w:val="bottom"/>
            <w:shd w:val="clear" w:color="auto" w:fill="CCEEFF"/>
          </w:tcPr>
          <w:p>
            <w:pPr>
              <w:jc w:val="center"/>
              <w:ind w:left="56"/>
              <w:spacing w:after="0"/>
              <w:rPr>
                <w:sz w:val="20"/>
                <w:szCs w:val="20"/>
                <w:color w:val="auto"/>
              </w:rPr>
            </w:pPr>
            <w:r>
              <w:rPr>
                <w:rFonts w:ascii="Arial" w:cs="Arial" w:eastAsia="Arial" w:hAnsi="Arial"/>
                <w:sz w:val="13"/>
                <w:szCs w:val="13"/>
                <w:color w:val="auto"/>
                <w:w w:val="82"/>
              </w:rPr>
              <w:t>7</w:t>
            </w: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jc w:val="center"/>
              <w:ind w:left="36"/>
              <w:spacing w:after="0"/>
              <w:rPr>
                <w:sz w:val="20"/>
                <w:szCs w:val="20"/>
                <w:color w:val="auto"/>
              </w:rPr>
            </w:pPr>
            <w:r>
              <w:rPr>
                <w:rFonts w:ascii="Arial" w:cs="Arial" w:eastAsia="Arial" w:hAnsi="Arial"/>
                <w:sz w:val="13"/>
                <w:szCs w:val="13"/>
                <w:color w:val="auto"/>
                <w:w w:val="82"/>
              </w:rPr>
              <w:t>6</w:t>
            </w: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bl>
    <w:p>
      <w:pPr>
        <w:spacing w:after="0" w:line="294"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91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93" w:name="page94"/>
    <w:bookmarkEnd w:id="93"/>
    <w:p>
      <w:pPr>
        <w:spacing w:after="0"/>
        <w:rPr>
          <w:sz w:val="20"/>
          <w:szCs w:val="20"/>
          <w:color w:val="auto"/>
        </w:rPr>
      </w:pPr>
      <w:r>
        <w:rPr>
          <w:rFonts w:ascii="Arial" w:cs="Arial" w:eastAsia="Arial" w:hAnsi="Arial"/>
          <w:sz w:val="13"/>
          <w:szCs w:val="13"/>
          <w:i w:val="1"/>
          <w:iCs w:val="1"/>
          <w:color w:val="auto"/>
        </w:rPr>
        <w:t>Audit Committee</w:t>
      </w:r>
    </w:p>
    <w:p>
      <w:pPr>
        <w:spacing w:after="0" w:line="159" w:lineRule="exact"/>
        <w:rPr>
          <w:sz w:val="20"/>
          <w:szCs w:val="20"/>
          <w:color w:val="auto"/>
        </w:rPr>
      </w:pPr>
    </w:p>
    <w:p>
      <w:pPr>
        <w:spacing w:after="0"/>
        <w:rPr>
          <w:sz w:val="20"/>
          <w:szCs w:val="20"/>
          <w:color w:val="auto"/>
        </w:rPr>
      </w:pPr>
      <w:r>
        <w:rPr>
          <w:rFonts w:ascii="Arial" w:cs="Arial" w:eastAsia="Arial" w:hAnsi="Arial"/>
          <w:sz w:val="11"/>
          <w:szCs w:val="11"/>
          <w:color w:val="auto"/>
        </w:rPr>
        <w:t>The Audit Committee is a standing committee of the Board. According to its Charter, the Audit Committee must be comprised of at least three independent directors. The current members of the Audit Committee are Mr.</w:t>
      </w:r>
    </w:p>
    <w:p>
      <w:pPr>
        <w:spacing w:after="0" w:line="36" w:lineRule="exact"/>
        <w:rPr>
          <w:sz w:val="20"/>
          <w:szCs w:val="20"/>
          <w:color w:val="auto"/>
        </w:rPr>
      </w:pPr>
    </w:p>
    <w:p>
      <w:pPr>
        <w:spacing w:after="0"/>
        <w:rPr>
          <w:sz w:val="20"/>
          <w:szCs w:val="20"/>
          <w:color w:val="auto"/>
        </w:rPr>
      </w:pPr>
      <w:r>
        <w:rPr>
          <w:rFonts w:ascii="Arial" w:cs="Arial" w:eastAsia="Arial" w:hAnsi="Arial"/>
          <w:sz w:val="13"/>
          <w:szCs w:val="13"/>
          <w:color w:val="auto"/>
        </w:rPr>
        <w:t>Herminio A. Blanco (Chair), Mr. Gonzalo Menéndez Duque, Mr. José Alberto Garzón and Mr. Javier González Fraga.</w:t>
      </w:r>
    </w:p>
    <w:p>
      <w:pPr>
        <w:spacing w:after="0" w:line="150" w:lineRule="exact"/>
        <w:rPr>
          <w:sz w:val="20"/>
          <w:szCs w:val="20"/>
          <w:color w:val="auto"/>
        </w:rPr>
      </w:pPr>
    </w:p>
    <w:p>
      <w:pPr>
        <w:jc w:val="both"/>
        <w:spacing w:after="0" w:line="289" w:lineRule="auto"/>
        <w:rPr>
          <w:sz w:val="20"/>
          <w:szCs w:val="20"/>
          <w:color w:val="auto"/>
        </w:rPr>
      </w:pPr>
      <w:r>
        <w:rPr>
          <w:rFonts w:ascii="Arial" w:cs="Arial" w:eastAsia="Arial" w:hAnsi="Arial"/>
          <w:sz w:val="12"/>
          <w:szCs w:val="12"/>
          <w:color w:val="auto"/>
        </w:rPr>
        <w:t>The Board has determined that all members of the Audit Committee are independent directors under the terms defined by applicable laws and regulations, including rules promulgated by the SEC under the Sarbanes-Oxley Act, Section 303A of NYSE Listed Company Manual, and Rule No. 05-2011, as amended by Rule No. 05-2014 of the Superintendency of Banks of Panama. In addition, at least one of the members of the Audit Committee is an “audit committee financial expert,” as defined by the SEC in Item 407 of Regulation S-K. The Audit Committee’s financial expert is Gonzalo Menéndez Duque.</w:t>
      </w:r>
    </w:p>
    <w:p>
      <w:pPr>
        <w:spacing w:after="0" w:line="118" w:lineRule="exact"/>
        <w:rPr>
          <w:sz w:val="20"/>
          <w:szCs w:val="20"/>
          <w:color w:val="auto"/>
        </w:rPr>
      </w:pPr>
    </w:p>
    <w:p>
      <w:pPr>
        <w:jc w:val="both"/>
        <w:ind w:right="20"/>
        <w:spacing w:after="0" w:line="254" w:lineRule="auto"/>
        <w:rPr>
          <w:sz w:val="20"/>
          <w:szCs w:val="20"/>
          <w:color w:val="auto"/>
        </w:rPr>
      </w:pPr>
      <w:r>
        <w:rPr>
          <w:rFonts w:ascii="Arial" w:cs="Arial" w:eastAsia="Arial" w:hAnsi="Arial"/>
          <w:sz w:val="13"/>
          <w:szCs w:val="13"/>
          <w:color w:val="auto"/>
        </w:rPr>
        <w:t>The purpose of the Audit Committee is to provide assistance to the Board in fulfilling its oversight responsibilities regarding the processing of the Bank’s financial information, the integrity of the Bank’s financial statements, the Bank’s system of internal controls over financial reporting, the performance of both the internal audit and the independent registered public accounting firm, the Bank’s corporate governance, compliance with legal and regulatory requirements and the Bank’s Code of Ethics. The Audit Committee meets with each of the internal and independent auditors and the Bank’s management to discuss the Bank’s audited consolidated financial statements and management’s discussion and analysis of financial condition and results of operations.</w:t>
      </w:r>
    </w:p>
    <w:p>
      <w:pPr>
        <w:spacing w:after="0" w:line="137"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Audit Committee meets at least six times per year, as required by the Superintendency of Banks of Panama and the Committee charter, or more often if the circumstances so require. During the fiscal year ended December 31, 2018, the Committee met six times.</w:t>
      </w:r>
    </w:p>
    <w:p>
      <w:pPr>
        <w:spacing w:after="0" w:line="129" w:lineRule="exact"/>
        <w:rPr>
          <w:sz w:val="20"/>
          <w:szCs w:val="20"/>
          <w:color w:val="auto"/>
        </w:rPr>
      </w:pPr>
    </w:p>
    <w:p>
      <w:pPr>
        <w:jc w:val="both"/>
        <w:ind w:right="20"/>
        <w:spacing w:after="0" w:line="289" w:lineRule="auto"/>
        <w:rPr>
          <w:sz w:val="20"/>
          <w:szCs w:val="20"/>
          <w:color w:val="auto"/>
        </w:rPr>
      </w:pPr>
      <w:r>
        <w:rPr>
          <w:rFonts w:ascii="Arial" w:cs="Arial" w:eastAsia="Arial" w:hAnsi="Arial"/>
          <w:sz w:val="12"/>
          <w:szCs w:val="12"/>
          <w:color w:val="auto"/>
        </w:rPr>
        <w:t>The Audit Committee, in its capacity as a committee of the Board, is directly responsible for recommending to the shareholders the renewal or replacement of the Bank’s independent auditors at the Annual Shareholders’ Meeting, the compensation of the independent auditors (including the pre-approval of all audit and non-audit services) and oversight of the independent auditors, including the resolution of disagreements regarding financial reporting between the Bank’s management and the independent auditors. The Bank’s independent auditors are required to report directly to the Committee.</w:t>
      </w:r>
    </w:p>
    <w:p>
      <w:pPr>
        <w:spacing w:after="0" w:line="118" w:lineRule="exact"/>
        <w:rPr>
          <w:sz w:val="20"/>
          <w:szCs w:val="20"/>
          <w:color w:val="auto"/>
        </w:rPr>
      </w:pPr>
    </w:p>
    <w:p>
      <w:pPr>
        <w:spacing w:after="0"/>
        <w:rPr>
          <w:sz w:val="20"/>
          <w:szCs w:val="20"/>
          <w:color w:val="auto"/>
        </w:rPr>
      </w:pPr>
      <w:r>
        <w:rPr>
          <w:rFonts w:ascii="Arial" w:cs="Arial" w:eastAsia="Arial" w:hAnsi="Arial"/>
          <w:sz w:val="13"/>
          <w:szCs w:val="13"/>
          <w:color w:val="auto"/>
        </w:rPr>
        <w:t>The Charter of the Audit Committee requires an annual self-evaluation of the Committee’s performance.</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The Audit Committee pre approved all audit and non audit services of the Bank’s independent auditors in 2018.</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The Audit Committee’s Charter may be found on the Bank’s website at http://bladex.com/en/investors/committees-board.</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Risk Policy and Assessment Committee</w:t>
      </w:r>
    </w:p>
    <w:p>
      <w:pPr>
        <w:spacing w:after="0" w:line="15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Risk Policy and Assessment Committee is a standing committee of the Board. The current members of the Risk Policy and Assessment Committee are Mr. Miguel Heras Castro (Chair), Mr. Gonzalo Menéndez Duque, Mr. Ricardo Manuel Arango, Mr. Herminio A. Blanco, Mr. Mario Covo and Mr. Roland Holst.</w:t>
      </w:r>
    </w:p>
    <w:p>
      <w:pPr>
        <w:spacing w:after="0" w:line="129" w:lineRule="exact"/>
        <w:rPr>
          <w:sz w:val="20"/>
          <w:szCs w:val="20"/>
          <w:color w:val="auto"/>
        </w:rPr>
      </w:pPr>
    </w:p>
    <w:p>
      <w:pPr>
        <w:jc w:val="both"/>
        <w:ind w:right="20"/>
        <w:spacing w:after="0" w:line="254" w:lineRule="auto"/>
        <w:rPr>
          <w:sz w:val="20"/>
          <w:szCs w:val="20"/>
          <w:color w:val="auto"/>
        </w:rPr>
      </w:pPr>
      <w:r>
        <w:rPr>
          <w:rFonts w:ascii="Arial" w:cs="Arial" w:eastAsia="Arial" w:hAnsi="Arial"/>
          <w:sz w:val="13"/>
          <w:szCs w:val="13"/>
          <w:color w:val="auto"/>
        </w:rPr>
        <w:t>The Risk Policy and Assessment Committee is responsible for reviewing and recommending to the Board, for its approval, all policies related to the prudent enterprise risk management. The Committee also reviews and assesses exposures to the risks facing the Bank’s business within the risk levels the Bank is willing to take in accordance with its applicable policies, including the review and assessment of the quality and profile of the Bank’s credit facilities, the exposure to country, market, liquidity, information security (including cybersecurity) risks and the analysis of operational risks, which take into account the legal risks associated with the Bank’s products.</w:t>
      </w:r>
    </w:p>
    <w:p>
      <w:pPr>
        <w:spacing w:after="0" w:line="286"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92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94" w:name="page95"/>
    <w:bookmarkEnd w:id="94"/>
    <w:p>
      <w:pPr>
        <w:jc w:val="both"/>
        <w:spacing w:after="0" w:line="257" w:lineRule="auto"/>
        <w:rPr>
          <w:sz w:val="20"/>
          <w:szCs w:val="20"/>
          <w:color w:val="auto"/>
        </w:rPr>
      </w:pPr>
      <w:r>
        <w:rPr>
          <w:rFonts w:ascii="Arial" w:cs="Arial" w:eastAsia="Arial" w:hAnsi="Arial"/>
          <w:sz w:val="13"/>
          <w:szCs w:val="13"/>
          <w:color w:val="auto"/>
        </w:rPr>
        <w:t>In addition, the Risk Policy and Assessment Committee assesses and approves credit limits and approves management proposals for granting different types of financing up to the legal limit applicable to the Bank in accordance with current regulations on the date of approval of each transaction and/or economic group. The Committee reports to the Board, and refers transactions to the Board for consideration and approval when the transaction limit exceeds the authorization limit delegated to the Committee.</w:t>
      </w:r>
    </w:p>
    <w:p>
      <w:pPr>
        <w:spacing w:after="0" w:line="136"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The Risk Policy and Assessment Committee performs its duties through the review of reports received regularly from management and through its interactions with the Risk Management area and other members of the Bank’s management. The Risk Policy and Assessment Committee charter requires the Committee to meet at least four times per year. During the fiscal period ended December 31, 2018, the Risk Policy and Assessment Committee held six meetings.</w:t>
      </w:r>
    </w:p>
    <w:p>
      <w:pPr>
        <w:spacing w:after="0" w:line="136" w:lineRule="exact"/>
        <w:rPr>
          <w:sz w:val="20"/>
          <w:szCs w:val="20"/>
          <w:color w:val="auto"/>
        </w:rPr>
      </w:pPr>
    </w:p>
    <w:p>
      <w:pPr>
        <w:spacing w:after="0"/>
        <w:rPr>
          <w:sz w:val="20"/>
          <w:szCs w:val="20"/>
          <w:color w:val="auto"/>
        </w:rPr>
      </w:pPr>
      <w:r>
        <w:rPr>
          <w:rFonts w:ascii="Arial" w:cs="Arial" w:eastAsia="Arial" w:hAnsi="Arial"/>
          <w:sz w:val="13"/>
          <w:szCs w:val="13"/>
          <w:color w:val="auto"/>
        </w:rPr>
        <w:t>The Risk Policy and Assessment Committee Charter may be found on the Bank’s website at http://bladex.com/en/investors/committees-board.</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Finance and Business Committee</w:t>
      </w:r>
    </w:p>
    <w:p>
      <w:pPr>
        <w:spacing w:after="0" w:line="159"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The Finance and Business Committee is a standing committee of the Board. The current members of the Finance and Business Committee are Mr. Mario Covo (Chair), Mr. Ricardo Manuel Arango, Mr. Miguel Heras Castro, Mr. Roland Holst and Mr. João Carlos de Nóbrega Pecego.</w:t>
      </w:r>
    </w:p>
    <w:p>
      <w:pPr>
        <w:spacing w:after="0" w:line="129" w:lineRule="exact"/>
        <w:rPr>
          <w:sz w:val="20"/>
          <w:szCs w:val="20"/>
          <w:color w:val="auto"/>
        </w:rPr>
      </w:pPr>
    </w:p>
    <w:p>
      <w:pPr>
        <w:jc w:val="both"/>
        <w:spacing w:after="0" w:line="289" w:lineRule="auto"/>
        <w:rPr>
          <w:sz w:val="20"/>
          <w:szCs w:val="20"/>
          <w:color w:val="auto"/>
        </w:rPr>
      </w:pPr>
      <w:r>
        <w:rPr>
          <w:rFonts w:ascii="Arial" w:cs="Arial" w:eastAsia="Arial" w:hAnsi="Arial"/>
          <w:sz w:val="12"/>
          <w:szCs w:val="12"/>
          <w:color w:val="auto"/>
        </w:rPr>
        <w:t>The fundamental role of the Finance and Business Committee is to review and analyze all issues related to the development and execution of the Bank’s business and its financial management including, among others, capital management, portfolio management (assets and liabilities), liquidity management, gap and funding management, tax related matters and the financial performance of the Bank in general. The Finance and Business Committee charter requires the Committee to meet at least five times per year. During the fiscal year ended December 31, 2018, the Committee held six meetings.</w:t>
      </w:r>
    </w:p>
    <w:p>
      <w:pPr>
        <w:spacing w:after="0" w:line="118" w:lineRule="exact"/>
        <w:rPr>
          <w:sz w:val="20"/>
          <w:szCs w:val="20"/>
          <w:color w:val="auto"/>
        </w:rPr>
      </w:pPr>
    </w:p>
    <w:p>
      <w:pPr>
        <w:spacing w:after="0"/>
        <w:rPr>
          <w:sz w:val="20"/>
          <w:szCs w:val="20"/>
          <w:color w:val="auto"/>
        </w:rPr>
      </w:pPr>
      <w:r>
        <w:rPr>
          <w:rFonts w:ascii="Arial" w:cs="Arial" w:eastAsia="Arial" w:hAnsi="Arial"/>
          <w:sz w:val="13"/>
          <w:szCs w:val="13"/>
          <w:color w:val="auto"/>
        </w:rPr>
        <w:t>The Finance and Business Committee Charter may be found on the Bank’s website at http://bladex.com/en/investors/committees-board.</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Compliance and Anti-Money Laundering Committee</w:t>
      </w:r>
    </w:p>
    <w:p>
      <w:pPr>
        <w:spacing w:after="0" w:line="159" w:lineRule="exact"/>
        <w:rPr>
          <w:sz w:val="20"/>
          <w:szCs w:val="20"/>
          <w:color w:val="auto"/>
        </w:rPr>
      </w:pPr>
    </w:p>
    <w:p>
      <w:pPr>
        <w:jc w:val="both"/>
        <w:spacing w:after="0" w:line="360" w:lineRule="auto"/>
        <w:rPr>
          <w:sz w:val="20"/>
          <w:szCs w:val="20"/>
          <w:color w:val="auto"/>
        </w:rPr>
      </w:pPr>
      <w:r>
        <w:rPr>
          <w:rFonts w:ascii="Arial" w:cs="Arial" w:eastAsia="Arial" w:hAnsi="Arial"/>
          <w:sz w:val="11"/>
          <w:szCs w:val="11"/>
          <w:color w:val="auto"/>
        </w:rPr>
        <w:t>The Compliance and Anti-Money Laundering Committee is a standing committee of the Board. The current members of the Compliance and Anti-Money Laundering Committee are Directors Mr. Ricardo Manuel Arango (Chair) and Mr. Miguel Heras Castro, and the Bank’s Chief Executive Officer, Chief Operating Officer, Chief Commercial Officer, Chief Risk Officer, Chief Audit Officer, Chief Legal Officer and Chief Compliance Officer.</w:t>
      </w:r>
    </w:p>
    <w:p>
      <w:pPr>
        <w:spacing w:after="0" w:line="83"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The Compliance and Anti-Money Laundering Committee acts in support of the Board, fulfilling its responsibilities in compliance matters while also fulfilling the functions attributed to them pursuant to applicable laws and regulations related to compliance, including the responsibility to direct the Bank’s Compliance Program on a strategic level.</w:t>
      </w:r>
    </w:p>
    <w:p>
      <w:pPr>
        <w:spacing w:after="0" w:line="129" w:lineRule="exact"/>
        <w:rPr>
          <w:sz w:val="20"/>
          <w:szCs w:val="20"/>
          <w:color w:val="auto"/>
        </w:rPr>
      </w:pPr>
    </w:p>
    <w:p>
      <w:pPr>
        <w:jc w:val="both"/>
        <w:spacing w:after="0" w:line="310" w:lineRule="auto"/>
        <w:rPr>
          <w:sz w:val="20"/>
          <w:szCs w:val="20"/>
          <w:color w:val="auto"/>
        </w:rPr>
      </w:pPr>
      <w:r>
        <w:rPr>
          <w:rFonts w:ascii="Arial" w:cs="Arial" w:eastAsia="Arial" w:hAnsi="Arial"/>
          <w:sz w:val="12"/>
          <w:szCs w:val="12"/>
          <w:color w:val="auto"/>
        </w:rPr>
        <w:t>Compliance includes all the laws and regulations that are applicable to the Bank and are related to Anti-Money Laundering and the Combating of the Financing of Terrorism and the Proliferation of Weapons of Mass Destruction (AML/CFT), the U.S. Treasury Department’s Office of Foreign Assets Control (OFAC), the Foreign Accounts Tax Compliance Act (FATCA) and the OECD’s Common Reporting Standards (CRS).</w:t>
      </w:r>
    </w:p>
    <w:p>
      <w:pPr>
        <w:spacing w:after="0" w:line="106" w:lineRule="exact"/>
        <w:rPr>
          <w:sz w:val="20"/>
          <w:szCs w:val="20"/>
          <w:color w:val="auto"/>
        </w:rPr>
      </w:pPr>
    </w:p>
    <w:p>
      <w:pPr>
        <w:spacing w:after="0"/>
        <w:rPr>
          <w:sz w:val="20"/>
          <w:szCs w:val="20"/>
          <w:color w:val="auto"/>
        </w:rPr>
      </w:pPr>
      <w:r>
        <w:rPr>
          <w:rFonts w:ascii="Arial" w:cs="Arial" w:eastAsia="Arial" w:hAnsi="Arial"/>
          <w:sz w:val="13"/>
          <w:szCs w:val="13"/>
          <w:color w:val="auto"/>
        </w:rPr>
        <w:t>The Committee holds regular meetings at least every two months. During the fiscal year ended December 31, 2018, the Compliance and Anti-Money Laundering Committee held seven meetings.</w:t>
      </w:r>
    </w:p>
    <w:p>
      <w:pPr>
        <w:spacing w:after="0" w:line="307"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93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89" w:right="219" w:bottom="1440" w:gutter="0" w:footer="0" w:header="0"/>
        </w:sectPr>
      </w:pPr>
    </w:p>
    <w:bookmarkStart w:id="95" w:name="page96"/>
    <w:bookmarkEnd w:id="95"/>
    <w:p>
      <w:pPr>
        <w:spacing w:after="0"/>
        <w:rPr>
          <w:sz w:val="20"/>
          <w:szCs w:val="20"/>
          <w:color w:val="auto"/>
        </w:rPr>
      </w:pPr>
      <w:r>
        <w:rPr>
          <w:rFonts w:ascii="Arial" w:cs="Arial" w:eastAsia="Arial" w:hAnsi="Arial"/>
          <w:sz w:val="13"/>
          <w:szCs w:val="13"/>
          <w:color w:val="auto"/>
        </w:rPr>
        <w:t>The Compliance and Anti-Money Laundering Committee Charter may be found on the Bank’s website at http://bladex.com/en/investors/committees-board.</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Compensation Committee</w:t>
      </w:r>
    </w:p>
    <w:p>
      <w:pPr>
        <w:spacing w:after="0" w:line="15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Compensation Committee is a standing committee of the Board. The current members of the Compensation Committee are Mr. João Carlos de Nóbrega Pecego (Chair), Mr. José Alberto Garzón and Mr. Javier González Fraga.</w:t>
      </w:r>
    </w:p>
    <w:p>
      <w:pPr>
        <w:spacing w:after="0" w:line="129"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The Charter of the Compensation Committee requires that all members of the Committee be independent directors. No member of the Compensation Committee can be an employee of the Bank. The Board has determined that all members of the Compensation Committee are independent under the terms defined by applicable laws and regulations, including rules promulgated by the SEC under the Sarbanes-Oxley Act, Section 303A of the Manual for Companies listed on the NYSE, and Rule No. 05-2011, as amended by Rule No. 05-2014 of the Superintendency of Banks of Panama. The Compensation Committee charter requires the Committee to meet at least five times per year. During the fiscal year ended December 31, 2018, the Compensation Committee held six meetings.</w:t>
      </w:r>
    </w:p>
    <w:p>
      <w:pPr>
        <w:spacing w:after="0" w:line="137" w:lineRule="exact"/>
        <w:rPr>
          <w:sz w:val="20"/>
          <w:szCs w:val="20"/>
          <w:color w:val="auto"/>
        </w:rPr>
      </w:pPr>
    </w:p>
    <w:p>
      <w:pPr>
        <w:jc w:val="both"/>
        <w:ind w:right="20"/>
        <w:spacing w:after="0" w:line="278" w:lineRule="auto"/>
        <w:rPr>
          <w:sz w:val="20"/>
          <w:szCs w:val="20"/>
          <w:color w:val="auto"/>
        </w:rPr>
      </w:pPr>
      <w:r>
        <w:rPr>
          <w:rFonts w:ascii="Arial" w:cs="Arial" w:eastAsia="Arial" w:hAnsi="Arial"/>
          <w:sz w:val="12"/>
          <w:szCs w:val="12"/>
          <w:color w:val="auto"/>
        </w:rPr>
        <w:t>The Compensation Committee’s primary responsibilities are to assist the Board by: identifying candidates to become Board members and recommending nominees for the annual meetings of shareholders; making recommendations to the Board concerning candidates for Chief Executive Officer and counseling on succession planning for executive officers; recommending compensation for Board members and committee members, including cash and equity compensation; recommending compensation policies for executive officers and employees of the Bank, including cash and equity compensation, policies for senior management and employee benefit programs and plans; reviewing and recommending changes to the Bank’s Code of Ethics; and advising executive officers on issues related to the Bank’s personnel. In addition, this Committee submits recommendations on issues related to improving the Bank’s operating model, and evaluates and proposes technology and communications strategic plans.</w:t>
      </w:r>
    </w:p>
    <w:p>
      <w:pPr>
        <w:spacing w:after="0" w:line="125"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The Compensation Committee will consider qualified director candidates recommended by shareholders. All director candidates will be evaluated in the same manner regardless of how they are recommended, including recommendations by shareholders. For director nominees, the Committee considers candidate qualifications and other factors, including, but not limited to, diversity in background and experience, industry knowledge, educational level and the needs of the Bank. Shareholders can mail any recommendations and an explanation of the qualifications of the candidates to the Secretary of the Bank at Torre V, Business Park, P.O. Box 0819-08730, Panama City, Republic of Panama.</w:t>
      </w:r>
    </w:p>
    <w:p>
      <w:pPr>
        <w:spacing w:after="0" w:line="137" w:lineRule="exact"/>
        <w:rPr>
          <w:sz w:val="20"/>
          <w:szCs w:val="20"/>
          <w:color w:val="auto"/>
        </w:rPr>
      </w:pPr>
    </w:p>
    <w:p>
      <w:pPr>
        <w:jc w:val="both"/>
        <w:ind w:right="20"/>
        <w:spacing w:after="0" w:line="281" w:lineRule="auto"/>
        <w:rPr>
          <w:sz w:val="20"/>
          <w:szCs w:val="20"/>
          <w:color w:val="auto"/>
        </w:rPr>
      </w:pPr>
      <w:r>
        <w:rPr>
          <w:rFonts w:ascii="Arial" w:cs="Arial" w:eastAsia="Arial" w:hAnsi="Arial"/>
          <w:sz w:val="12"/>
          <w:szCs w:val="12"/>
          <w:color w:val="auto"/>
        </w:rPr>
        <w:t>Although the Bank does not have a formal policy or specific guidelines for the consideration of diversity by the Compensation Committee in identifying nominees for director, diversity is one of the factors the Compensation Committee considers. The Compensation Committee generally views and values diversity from the perspective of professional and life experiences, and recognizes that diversity in professional and life experiences may include considerations of race, national origin or other characteristics in identifying individuals who possess the qualifications that the Committee believes are important to be represented on the Board. The fact that out of a total of ten members, eight different nationalities are represented, reflects the importance given to diversity by the Board of Directors.</w:t>
      </w:r>
    </w:p>
    <w:p>
      <w:pPr>
        <w:spacing w:after="0" w:line="124" w:lineRule="exact"/>
        <w:rPr>
          <w:sz w:val="20"/>
          <w:szCs w:val="20"/>
          <w:color w:val="auto"/>
        </w:rPr>
      </w:pPr>
    </w:p>
    <w:p>
      <w:pPr>
        <w:spacing w:after="0"/>
        <w:rPr>
          <w:sz w:val="20"/>
          <w:szCs w:val="20"/>
          <w:color w:val="auto"/>
        </w:rPr>
      </w:pPr>
      <w:r>
        <w:rPr>
          <w:rFonts w:ascii="Arial" w:cs="Arial" w:eastAsia="Arial" w:hAnsi="Arial"/>
          <w:sz w:val="13"/>
          <w:szCs w:val="13"/>
          <w:color w:val="auto"/>
        </w:rPr>
        <w:t>The Charter of the Compensation Committee requires an annual self-evaluation of the Committee’s performance.</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The Compensation Committee Charter may be found on the Bank’s website at http://bladex.com/en/investors/committees-board.</w:t>
      </w:r>
    </w:p>
    <w:p>
      <w:pPr>
        <w:spacing w:after="0" w:line="307"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94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96" w:name="page97"/>
    <w:bookmarkEnd w:id="96"/>
    <w:p>
      <w:pPr>
        <w:jc w:val="both"/>
        <w:ind w:left="3" w:right="20"/>
        <w:spacing w:after="0" w:line="267" w:lineRule="auto"/>
        <w:rPr>
          <w:sz w:val="20"/>
          <w:szCs w:val="20"/>
          <w:color w:val="auto"/>
        </w:rPr>
      </w:pPr>
      <w:r>
        <w:rPr>
          <w:rFonts w:ascii="Arial" w:cs="Arial" w:eastAsia="Arial" w:hAnsi="Arial"/>
          <w:sz w:val="13"/>
          <w:szCs w:val="13"/>
          <w:color w:val="auto"/>
        </w:rPr>
        <w:t>None of the Bank’s executive officers serve as a director or a member of the Compensation Committee, or any other committee serving an equivalent function, of any other entity that has one or more of its executive officers serving as a member of the Board or the Compensation Committee. None of the members of the Compensation Committee has ever been an employee of the Bank.</w:t>
      </w:r>
    </w:p>
    <w:p>
      <w:pPr>
        <w:spacing w:after="0" w:line="129"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Corporate Governance Practices</w:t>
      </w:r>
    </w:p>
    <w:p>
      <w:pPr>
        <w:spacing w:after="0" w:line="159" w:lineRule="exact"/>
        <w:rPr>
          <w:sz w:val="20"/>
          <w:szCs w:val="20"/>
          <w:color w:val="auto"/>
        </w:rPr>
      </w:pPr>
    </w:p>
    <w:p>
      <w:pPr>
        <w:jc w:val="both"/>
        <w:ind w:left="3"/>
        <w:spacing w:after="0" w:line="310" w:lineRule="auto"/>
        <w:rPr>
          <w:sz w:val="20"/>
          <w:szCs w:val="20"/>
          <w:color w:val="auto"/>
        </w:rPr>
      </w:pPr>
      <w:r>
        <w:rPr>
          <w:rFonts w:ascii="Arial" w:cs="Arial" w:eastAsia="Arial" w:hAnsi="Arial"/>
          <w:sz w:val="12"/>
          <w:szCs w:val="12"/>
          <w:color w:val="auto"/>
        </w:rPr>
        <w:t>The Board has decided not to establish a Corporate Governance Committee. Given the importance that Corporate Governance has for the Bank, the Board decided to address all matters related to Corporate Governance at the Board level. Further, the Audit Committee is responsible for promoting continued improvement in the Bank’s Corporate Governance and verifying compliance with all applicable policies.</w:t>
      </w:r>
    </w:p>
    <w:p>
      <w:pPr>
        <w:spacing w:after="0" w:line="106" w:lineRule="exact"/>
        <w:rPr>
          <w:sz w:val="20"/>
          <w:szCs w:val="20"/>
          <w:color w:val="auto"/>
        </w:rPr>
      </w:pPr>
    </w:p>
    <w:p>
      <w:pPr>
        <w:jc w:val="both"/>
        <w:ind w:left="3"/>
        <w:spacing w:after="0" w:line="267" w:lineRule="auto"/>
        <w:rPr>
          <w:sz w:val="20"/>
          <w:szCs w:val="20"/>
          <w:color w:val="auto"/>
        </w:rPr>
      </w:pPr>
      <w:r>
        <w:rPr>
          <w:rFonts w:ascii="Arial" w:cs="Arial" w:eastAsia="Arial" w:hAnsi="Arial"/>
          <w:sz w:val="13"/>
          <w:szCs w:val="13"/>
          <w:color w:val="auto"/>
        </w:rPr>
        <w:t>The Bank has included the information regarding its Corporate Governance practices necessary to comply with Section 303A of the NYSE’s Listed Company Manual/Corporate Governance Rules on “Investors Relations / Corporate Governance” section of the Bank’s website at https://www.bladex.com/en/investors/governance-documents.</w:t>
      </w:r>
    </w:p>
    <w:p>
      <w:pPr>
        <w:spacing w:after="0" w:line="129" w:lineRule="exact"/>
        <w:rPr>
          <w:sz w:val="20"/>
          <w:szCs w:val="20"/>
          <w:color w:val="auto"/>
        </w:rPr>
      </w:pPr>
    </w:p>
    <w:p>
      <w:pPr>
        <w:ind w:left="3"/>
        <w:spacing w:after="0"/>
        <w:rPr>
          <w:sz w:val="20"/>
          <w:szCs w:val="20"/>
          <w:color w:val="auto"/>
        </w:rPr>
      </w:pPr>
      <w:r>
        <w:rPr>
          <w:rFonts w:ascii="Arial" w:cs="Arial" w:eastAsia="Arial" w:hAnsi="Arial"/>
          <w:sz w:val="13"/>
          <w:szCs w:val="13"/>
          <w:color w:val="auto"/>
        </w:rPr>
        <w:t>Shareholders, employees of the Bank, and other interested parties may communicate directly with the Board by corresponding to the address below:</w:t>
      </w:r>
    </w:p>
    <w:p>
      <w:pPr>
        <w:spacing w:after="0" w:line="159" w:lineRule="exact"/>
        <w:rPr>
          <w:sz w:val="20"/>
          <w:szCs w:val="20"/>
          <w:color w:val="auto"/>
        </w:rPr>
      </w:pPr>
    </w:p>
    <w:p>
      <w:pPr>
        <w:ind w:left="463"/>
        <w:spacing w:after="0"/>
        <w:rPr>
          <w:sz w:val="20"/>
          <w:szCs w:val="20"/>
          <w:color w:val="auto"/>
        </w:rPr>
      </w:pPr>
      <w:r>
        <w:rPr>
          <w:rFonts w:ascii="Arial" w:cs="Arial" w:eastAsia="Arial" w:hAnsi="Arial"/>
          <w:sz w:val="13"/>
          <w:szCs w:val="13"/>
          <w:color w:val="auto"/>
        </w:rPr>
        <w:t>Board of Directors of Banco Latinoamericano de Comercio Exterior, S.A.</w:t>
      </w:r>
    </w:p>
    <w:p>
      <w:pPr>
        <w:spacing w:after="0" w:line="13" w:lineRule="exact"/>
        <w:rPr>
          <w:sz w:val="20"/>
          <w:szCs w:val="20"/>
          <w:color w:val="auto"/>
        </w:rPr>
      </w:pPr>
    </w:p>
    <w:p>
      <w:pPr>
        <w:ind w:left="463"/>
        <w:spacing w:after="0"/>
        <w:rPr>
          <w:sz w:val="20"/>
          <w:szCs w:val="20"/>
          <w:color w:val="auto"/>
        </w:rPr>
      </w:pPr>
      <w:r>
        <w:rPr>
          <w:rFonts w:ascii="Arial" w:cs="Arial" w:eastAsia="Arial" w:hAnsi="Arial"/>
          <w:sz w:val="13"/>
          <w:szCs w:val="13"/>
          <w:color w:val="auto"/>
        </w:rPr>
        <w:t>c/o Mr. Gonzalo Menéndez Duque</w:t>
      </w:r>
    </w:p>
    <w:p>
      <w:pPr>
        <w:spacing w:after="0" w:line="5" w:lineRule="exact"/>
        <w:rPr>
          <w:sz w:val="20"/>
          <w:szCs w:val="20"/>
          <w:color w:val="auto"/>
        </w:rPr>
      </w:pPr>
    </w:p>
    <w:p>
      <w:pPr>
        <w:ind w:left="463"/>
        <w:spacing w:after="0"/>
        <w:rPr>
          <w:sz w:val="20"/>
          <w:szCs w:val="20"/>
          <w:color w:val="auto"/>
        </w:rPr>
      </w:pPr>
      <w:r>
        <w:rPr>
          <w:rFonts w:ascii="Arial" w:cs="Arial" w:eastAsia="Arial" w:hAnsi="Arial"/>
          <w:sz w:val="13"/>
          <w:szCs w:val="13"/>
          <w:color w:val="auto"/>
        </w:rPr>
        <w:t>Director and Chairman of the Board of Directors</w:t>
      </w:r>
    </w:p>
    <w:p>
      <w:pPr>
        <w:spacing w:after="0" w:line="5" w:lineRule="exact"/>
        <w:rPr>
          <w:sz w:val="20"/>
          <w:szCs w:val="20"/>
          <w:color w:val="auto"/>
        </w:rPr>
      </w:pPr>
    </w:p>
    <w:p>
      <w:pPr>
        <w:ind w:left="463"/>
        <w:spacing w:after="0"/>
        <w:rPr>
          <w:sz w:val="20"/>
          <w:szCs w:val="20"/>
          <w:color w:val="auto"/>
        </w:rPr>
      </w:pPr>
      <w:r>
        <w:rPr>
          <w:rFonts w:ascii="Arial" w:cs="Arial" w:eastAsia="Arial" w:hAnsi="Arial"/>
          <w:sz w:val="13"/>
          <w:szCs w:val="13"/>
          <w:color w:val="auto"/>
        </w:rPr>
        <w:t>Torre V, Business Park</w:t>
      </w:r>
    </w:p>
    <w:p>
      <w:pPr>
        <w:spacing w:after="0" w:line="5" w:lineRule="exact"/>
        <w:rPr>
          <w:sz w:val="20"/>
          <w:szCs w:val="20"/>
          <w:color w:val="auto"/>
        </w:rPr>
      </w:pPr>
    </w:p>
    <w:p>
      <w:pPr>
        <w:ind w:left="463"/>
        <w:spacing w:after="0"/>
        <w:rPr>
          <w:sz w:val="20"/>
          <w:szCs w:val="20"/>
          <w:color w:val="auto"/>
        </w:rPr>
      </w:pPr>
      <w:r>
        <w:rPr>
          <w:rFonts w:ascii="Arial" w:cs="Arial" w:eastAsia="Arial" w:hAnsi="Arial"/>
          <w:sz w:val="13"/>
          <w:szCs w:val="13"/>
          <w:color w:val="auto"/>
        </w:rPr>
        <w:t>Avenida La Rotonda, Urb. Costa del Este</w:t>
      </w:r>
    </w:p>
    <w:p>
      <w:pPr>
        <w:spacing w:after="0" w:line="5" w:lineRule="exact"/>
        <w:rPr>
          <w:sz w:val="20"/>
          <w:szCs w:val="20"/>
          <w:color w:val="auto"/>
        </w:rPr>
      </w:pPr>
    </w:p>
    <w:p>
      <w:pPr>
        <w:ind w:left="463"/>
        <w:spacing w:after="0"/>
        <w:rPr>
          <w:sz w:val="20"/>
          <w:szCs w:val="20"/>
          <w:color w:val="auto"/>
        </w:rPr>
      </w:pPr>
      <w:r>
        <w:rPr>
          <w:rFonts w:ascii="Arial" w:cs="Arial" w:eastAsia="Arial" w:hAnsi="Arial"/>
          <w:sz w:val="13"/>
          <w:szCs w:val="13"/>
          <w:color w:val="auto"/>
        </w:rPr>
        <w:t>P.O. Box 0819-08730</w:t>
      </w:r>
    </w:p>
    <w:p>
      <w:pPr>
        <w:spacing w:after="0" w:line="5" w:lineRule="exact"/>
        <w:rPr>
          <w:sz w:val="20"/>
          <w:szCs w:val="20"/>
          <w:color w:val="auto"/>
        </w:rPr>
      </w:pPr>
    </w:p>
    <w:p>
      <w:pPr>
        <w:ind w:left="463"/>
        <w:spacing w:after="0"/>
        <w:rPr>
          <w:sz w:val="20"/>
          <w:szCs w:val="20"/>
          <w:color w:val="auto"/>
        </w:rPr>
      </w:pPr>
      <w:r>
        <w:rPr>
          <w:rFonts w:ascii="Arial" w:cs="Arial" w:eastAsia="Arial" w:hAnsi="Arial"/>
          <w:sz w:val="13"/>
          <w:szCs w:val="13"/>
          <w:color w:val="auto"/>
        </w:rPr>
        <w:t>Panama City, Republic of Panama</w:t>
      </w:r>
    </w:p>
    <w:p>
      <w:pPr>
        <w:spacing w:after="0" w:line="150" w:lineRule="exact"/>
        <w:rPr>
          <w:sz w:val="20"/>
          <w:szCs w:val="20"/>
          <w:color w:val="auto"/>
        </w:rPr>
      </w:pPr>
    </w:p>
    <w:p>
      <w:pPr>
        <w:jc w:val="both"/>
        <w:ind w:left="3" w:right="20"/>
        <w:spacing w:after="0" w:line="257" w:lineRule="auto"/>
        <w:rPr>
          <w:sz w:val="20"/>
          <w:szCs w:val="20"/>
          <w:color w:val="auto"/>
        </w:rPr>
      </w:pPr>
      <w:r>
        <w:rPr>
          <w:rFonts w:ascii="Arial" w:cs="Arial" w:eastAsia="Arial" w:hAnsi="Arial"/>
          <w:sz w:val="13"/>
          <w:szCs w:val="13"/>
          <w:color w:val="auto"/>
        </w:rPr>
        <w:t>In addition, the Bank has selected Ethics Line, an online reporting system, to provide shareholders, employees of the Bank, and other interested parties with an alternative channel to report anonymously, any actual or possible violations of the Bank’s Code of Ethics, as well as other work-related situations or irregular or suspicious transactions, accounting matters, internal audit or accounting controls. In order to file a report, a link is provided on the Bank’s website at http://www.bladex.com.</w:t>
      </w:r>
    </w:p>
    <w:p>
      <w:pPr>
        <w:spacing w:after="0" w:line="132" w:lineRule="exact"/>
        <w:rPr>
          <w:sz w:val="20"/>
          <w:szCs w:val="20"/>
          <w:color w:val="auto"/>
        </w:rPr>
      </w:pPr>
    </w:p>
    <w:p>
      <w:pPr>
        <w:ind w:left="463" w:hanging="463"/>
        <w:spacing w:after="0"/>
        <w:tabs>
          <w:tab w:leader="none" w:pos="463" w:val="left"/>
        </w:tabs>
        <w:numPr>
          <w:ilvl w:val="0"/>
          <w:numId w:val="57"/>
        </w:numPr>
        <w:rPr>
          <w:rFonts w:ascii="Arial" w:cs="Arial" w:eastAsia="Arial" w:hAnsi="Arial"/>
          <w:sz w:val="13"/>
          <w:szCs w:val="13"/>
          <w:b w:val="1"/>
          <w:bCs w:val="1"/>
          <w:color w:val="auto"/>
        </w:rPr>
      </w:pPr>
      <w:r>
        <w:rPr>
          <w:rFonts w:ascii="Arial" w:cs="Arial" w:eastAsia="Arial" w:hAnsi="Arial"/>
          <w:sz w:val="13"/>
          <w:szCs w:val="13"/>
          <w:b w:val="1"/>
          <w:bCs w:val="1"/>
          <w:color w:val="auto"/>
        </w:rPr>
        <w:t>Employees</w:t>
      </w:r>
    </w:p>
    <w:p>
      <w:pPr>
        <w:spacing w:after="0" w:line="163"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following table presents the total number of permanent employees, geographically distributed, on the dates indicated:</w:t>
      </w:r>
    </w:p>
    <w:p>
      <w:pPr>
        <w:spacing w:after="0" w:line="307"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95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9" w:right="199" w:bottom="1440" w:gutter="0" w:footer="0" w:header="0"/>
        </w:sectPr>
      </w:pPr>
    </w:p>
    <w:bookmarkStart w:id="97" w:name="page98"/>
    <w:bookmarkEnd w:id="97"/>
    <w:p>
      <w:pPr>
        <w:ind w:left="8723"/>
        <w:spacing w:after="0"/>
        <w:rPr>
          <w:sz w:val="20"/>
          <w:szCs w:val="20"/>
          <w:color w:val="auto"/>
        </w:rPr>
      </w:pPr>
      <w:r>
        <w:rPr>
          <w:rFonts w:ascii="Arial" w:cs="Arial" w:eastAsia="Arial" w:hAnsi="Arial"/>
          <w:sz w:val="13"/>
          <w:szCs w:val="13"/>
          <w:b w:val="1"/>
          <w:bCs w:val="1"/>
          <w:color w:val="auto"/>
        </w:rPr>
        <w:t>As of December 31,</w:t>
      </w:r>
    </w:p>
    <w:p>
      <w:pPr>
        <w:spacing w:after="0" w:line="17" w:lineRule="exact"/>
        <w:rPr>
          <w:sz w:val="20"/>
          <w:szCs w:val="20"/>
          <w:color w:val="auto"/>
        </w:rPr>
      </w:pPr>
    </w:p>
    <w:tbl>
      <w:tblPr>
        <w:tblLayout w:type="fixed"/>
        <w:tblInd w:w="3" w:type="dxa"/>
        <w:tblCellMar>
          <w:top w:w="0" w:type="dxa"/>
          <w:left w:w="0" w:type="dxa"/>
          <w:bottom w:w="0" w:type="dxa"/>
          <w:right w:w="0" w:type="dxa"/>
        </w:tblCellMar>
      </w:tblPr>
      <w:tr>
        <w:trPr>
          <w:trHeight w:val="154"/>
        </w:trPr>
        <w:tc>
          <w:tcPr>
            <w:tcW w:w="7120" w:type="dxa"/>
            <w:vAlign w:val="bottom"/>
          </w:tcPr>
          <w:p>
            <w:pPr>
              <w:spacing w:after="0"/>
              <w:rPr>
                <w:sz w:val="13"/>
                <w:szCs w:val="13"/>
                <w:color w:val="auto"/>
              </w:rPr>
            </w:pPr>
          </w:p>
        </w:tc>
        <w:tc>
          <w:tcPr>
            <w:tcW w:w="920" w:type="dxa"/>
            <w:vAlign w:val="bottom"/>
            <w:tcBorders>
              <w:top w:val="single" w:sz="8" w:color="auto"/>
            </w:tcBorders>
          </w:tcPr>
          <w:p>
            <w:pPr>
              <w:jc w:val="right"/>
              <w:ind w:right="96"/>
              <w:spacing w:after="0"/>
              <w:rPr>
                <w:sz w:val="20"/>
                <w:szCs w:val="20"/>
                <w:color w:val="auto"/>
              </w:rPr>
            </w:pPr>
            <w:r>
              <w:rPr>
                <w:rFonts w:ascii="Arial" w:cs="Arial" w:eastAsia="Arial" w:hAnsi="Arial"/>
                <w:sz w:val="13"/>
                <w:szCs w:val="13"/>
                <w:b w:val="1"/>
                <w:bCs w:val="1"/>
                <w:color w:val="auto"/>
              </w:rPr>
              <w:t>2018</w:t>
            </w:r>
          </w:p>
        </w:tc>
        <w:tc>
          <w:tcPr>
            <w:tcW w:w="1500" w:type="dxa"/>
            <w:vAlign w:val="bottom"/>
            <w:tcBorders>
              <w:top w:val="single" w:sz="8" w:color="auto"/>
            </w:tcBorders>
            <w:gridSpan w:val="3"/>
          </w:tcPr>
          <w:p>
            <w:pPr>
              <w:jc w:val="right"/>
              <w:ind w:right="160"/>
              <w:spacing w:after="0"/>
              <w:rPr>
                <w:sz w:val="20"/>
                <w:szCs w:val="20"/>
                <w:color w:val="auto"/>
              </w:rPr>
            </w:pPr>
            <w:r>
              <w:rPr>
                <w:rFonts w:ascii="Arial" w:cs="Arial" w:eastAsia="Arial" w:hAnsi="Arial"/>
                <w:sz w:val="13"/>
                <w:szCs w:val="13"/>
                <w:b w:val="1"/>
                <w:bCs w:val="1"/>
                <w:color w:val="auto"/>
              </w:rPr>
              <w:t>2017</w:t>
            </w:r>
          </w:p>
        </w:tc>
        <w:tc>
          <w:tcPr>
            <w:tcW w:w="360" w:type="dxa"/>
            <w:vAlign w:val="bottom"/>
            <w:tcBorders>
              <w:top w:val="single" w:sz="8" w:color="auto"/>
            </w:tcBorders>
          </w:tcPr>
          <w:p>
            <w:pPr>
              <w:spacing w:after="0"/>
              <w:rPr>
                <w:sz w:val="13"/>
                <w:szCs w:val="13"/>
                <w:color w:val="auto"/>
              </w:rPr>
            </w:pPr>
          </w:p>
        </w:tc>
        <w:tc>
          <w:tcPr>
            <w:tcW w:w="220" w:type="dxa"/>
            <w:vAlign w:val="bottom"/>
            <w:tcBorders>
              <w:top w:val="single" w:sz="8" w:color="auto"/>
            </w:tcBorders>
          </w:tcPr>
          <w:p>
            <w:pPr>
              <w:spacing w:after="0"/>
              <w:rPr>
                <w:sz w:val="13"/>
                <w:szCs w:val="13"/>
                <w:color w:val="auto"/>
              </w:rPr>
            </w:pPr>
          </w:p>
        </w:tc>
        <w:tc>
          <w:tcPr>
            <w:tcW w:w="1240" w:type="dxa"/>
            <w:vAlign w:val="bottom"/>
            <w:tcBorders>
              <w:top w:val="single" w:sz="8" w:color="auto"/>
            </w:tcBorders>
          </w:tcPr>
          <w:p>
            <w:pPr>
              <w:jc w:val="right"/>
              <w:ind w:right="436"/>
              <w:spacing w:after="0"/>
              <w:rPr>
                <w:sz w:val="20"/>
                <w:szCs w:val="20"/>
                <w:color w:val="auto"/>
              </w:rPr>
            </w:pPr>
            <w:r>
              <w:rPr>
                <w:rFonts w:ascii="Arial" w:cs="Arial" w:eastAsia="Arial" w:hAnsi="Arial"/>
                <w:sz w:val="13"/>
                <w:szCs w:val="13"/>
                <w:b w:val="1"/>
                <w:bCs w:val="1"/>
                <w:color w:val="auto"/>
              </w:rPr>
              <w:t>2016</w:t>
            </w:r>
          </w:p>
        </w:tc>
        <w:tc>
          <w:tcPr>
            <w:tcW w:w="120" w:type="dxa"/>
            <w:vAlign w:val="bottom"/>
          </w:tcPr>
          <w:p>
            <w:pPr>
              <w:spacing w:after="0"/>
              <w:rPr>
                <w:sz w:val="13"/>
                <w:szCs w:val="13"/>
                <w:color w:val="auto"/>
              </w:rPr>
            </w:pPr>
          </w:p>
        </w:tc>
      </w:tr>
      <w:tr>
        <w:trPr>
          <w:trHeight w:val="144"/>
        </w:trPr>
        <w:tc>
          <w:tcPr>
            <w:tcW w:w="7120" w:type="dxa"/>
            <w:vAlign w:val="bottom"/>
            <w:tcBorders>
              <w:top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Bladex Head Office in Panama</w:t>
            </w:r>
          </w:p>
        </w:tc>
        <w:tc>
          <w:tcPr>
            <w:tcW w:w="920" w:type="dxa"/>
            <w:vAlign w:val="bottom"/>
            <w:tcBorders>
              <w:top w:val="single" w:sz="8" w:color="auto"/>
            </w:tcBorders>
            <w:shd w:val="clear" w:color="auto" w:fill="CCEEFF"/>
          </w:tcPr>
          <w:p>
            <w:pPr>
              <w:spacing w:after="0"/>
              <w:rPr>
                <w:sz w:val="12"/>
                <w:szCs w:val="12"/>
                <w:color w:val="auto"/>
              </w:rPr>
            </w:pPr>
          </w:p>
        </w:tc>
        <w:tc>
          <w:tcPr>
            <w:tcW w:w="3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140</w:t>
            </w:r>
          </w:p>
        </w:tc>
        <w:tc>
          <w:tcPr>
            <w:tcW w:w="22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spacing w:after="0"/>
              <w:rPr>
                <w:sz w:val="12"/>
                <w:szCs w:val="12"/>
                <w:color w:val="auto"/>
              </w:rPr>
            </w:pPr>
          </w:p>
        </w:tc>
        <w:tc>
          <w:tcPr>
            <w:tcW w:w="3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148</w:t>
            </w: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157</w:t>
            </w:r>
          </w:p>
        </w:tc>
        <w:tc>
          <w:tcPr>
            <w:tcW w:w="120" w:type="dxa"/>
            <w:vAlign w:val="bottom"/>
            <w:tcBorders>
              <w:top w:val="single" w:sz="8" w:color="CCEEFF"/>
            </w:tcBorders>
            <w:shd w:val="clear" w:color="auto" w:fill="CCEEFF"/>
          </w:tcPr>
          <w:p>
            <w:pPr>
              <w:spacing w:after="0"/>
              <w:rPr>
                <w:sz w:val="12"/>
                <w:szCs w:val="12"/>
                <w:color w:val="auto"/>
              </w:rPr>
            </w:pPr>
          </w:p>
        </w:tc>
      </w:tr>
      <w:tr>
        <w:trPr>
          <w:trHeight w:val="154"/>
        </w:trPr>
        <w:tc>
          <w:tcPr>
            <w:tcW w:w="8040" w:type="dxa"/>
            <w:vAlign w:val="bottom"/>
            <w:gridSpan w:val="2"/>
          </w:tcPr>
          <w:p>
            <w:pPr>
              <w:spacing w:after="0"/>
              <w:rPr>
                <w:sz w:val="20"/>
                <w:szCs w:val="20"/>
                <w:color w:val="auto"/>
              </w:rPr>
            </w:pPr>
            <w:r>
              <w:rPr>
                <w:rFonts w:ascii="Arial" w:cs="Arial" w:eastAsia="Arial" w:hAnsi="Arial"/>
                <w:sz w:val="13"/>
                <w:szCs w:val="13"/>
                <w:color w:val="auto"/>
              </w:rPr>
              <w:t>New York Agency</w:t>
            </w:r>
          </w:p>
        </w:tc>
        <w:tc>
          <w:tcPr>
            <w:tcW w:w="580" w:type="dxa"/>
            <w:vAlign w:val="bottom"/>
            <w:gridSpan w:val="2"/>
          </w:tcPr>
          <w:p>
            <w:pPr>
              <w:jc w:val="right"/>
              <w:ind w:right="220"/>
              <w:spacing w:after="0"/>
              <w:rPr>
                <w:sz w:val="20"/>
                <w:szCs w:val="20"/>
                <w:color w:val="auto"/>
              </w:rPr>
            </w:pPr>
            <w:r>
              <w:rPr>
                <w:rFonts w:ascii="Arial" w:cs="Arial" w:eastAsia="Arial" w:hAnsi="Arial"/>
                <w:sz w:val="13"/>
                <w:szCs w:val="13"/>
                <w:color w:val="auto"/>
              </w:rPr>
              <w:t>5</w:t>
            </w:r>
          </w:p>
        </w:tc>
        <w:tc>
          <w:tcPr>
            <w:tcW w:w="920" w:type="dxa"/>
            <w:vAlign w:val="bottom"/>
          </w:tcPr>
          <w:p>
            <w:pPr>
              <w:spacing w:after="0"/>
              <w:rPr>
                <w:sz w:val="13"/>
                <w:szCs w:val="13"/>
                <w:color w:val="auto"/>
              </w:rPr>
            </w:pPr>
          </w:p>
        </w:tc>
        <w:tc>
          <w:tcPr>
            <w:tcW w:w="580" w:type="dxa"/>
            <w:vAlign w:val="bottom"/>
            <w:gridSpan w:val="2"/>
          </w:tcPr>
          <w:p>
            <w:pPr>
              <w:jc w:val="right"/>
              <w:ind w:right="220"/>
              <w:spacing w:after="0"/>
              <w:rPr>
                <w:sz w:val="20"/>
                <w:szCs w:val="20"/>
                <w:color w:val="auto"/>
              </w:rPr>
            </w:pPr>
            <w:r>
              <w:rPr>
                <w:rFonts w:ascii="Arial" w:cs="Arial" w:eastAsia="Arial" w:hAnsi="Arial"/>
                <w:sz w:val="13"/>
                <w:szCs w:val="13"/>
                <w:color w:val="auto"/>
              </w:rPr>
              <w:t>5</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5</w:t>
            </w:r>
          </w:p>
        </w:tc>
      </w:tr>
      <w:tr>
        <w:trPr>
          <w:trHeight w:val="154"/>
        </w:trPr>
        <w:tc>
          <w:tcPr>
            <w:tcW w:w="80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Representative Office in Argentina</w:t>
            </w:r>
          </w:p>
        </w:tc>
        <w:tc>
          <w:tcPr>
            <w:tcW w:w="5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w:t>
            </w:r>
          </w:p>
        </w:tc>
        <w:tc>
          <w:tcPr>
            <w:tcW w:w="920" w:type="dxa"/>
            <w:vAlign w:val="bottom"/>
            <w:shd w:val="clear" w:color="auto" w:fill="CCEEFF"/>
          </w:tcPr>
          <w:p>
            <w:pPr>
              <w:spacing w:after="0"/>
              <w:rPr>
                <w:sz w:val="13"/>
                <w:szCs w:val="13"/>
                <w:color w:val="auto"/>
              </w:rPr>
            </w:pPr>
          </w:p>
        </w:tc>
        <w:tc>
          <w:tcPr>
            <w:tcW w:w="5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7</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8</w:t>
            </w:r>
          </w:p>
        </w:tc>
      </w:tr>
      <w:tr>
        <w:trPr>
          <w:trHeight w:val="154"/>
        </w:trPr>
        <w:tc>
          <w:tcPr>
            <w:tcW w:w="8040" w:type="dxa"/>
            <w:vAlign w:val="bottom"/>
            <w:gridSpan w:val="2"/>
          </w:tcPr>
          <w:p>
            <w:pPr>
              <w:spacing w:after="0"/>
              <w:rPr>
                <w:sz w:val="20"/>
                <w:szCs w:val="20"/>
                <w:color w:val="auto"/>
              </w:rPr>
            </w:pPr>
            <w:r>
              <w:rPr>
                <w:rFonts w:ascii="Arial" w:cs="Arial" w:eastAsia="Arial" w:hAnsi="Arial"/>
                <w:sz w:val="13"/>
                <w:szCs w:val="13"/>
                <w:color w:val="auto"/>
              </w:rPr>
              <w:t>Representative Office in Brazil</w:t>
            </w:r>
          </w:p>
        </w:tc>
        <w:tc>
          <w:tcPr>
            <w:tcW w:w="580" w:type="dxa"/>
            <w:vAlign w:val="bottom"/>
            <w:gridSpan w:val="2"/>
          </w:tcPr>
          <w:p>
            <w:pPr>
              <w:jc w:val="right"/>
              <w:ind w:right="220"/>
              <w:spacing w:after="0"/>
              <w:rPr>
                <w:sz w:val="20"/>
                <w:szCs w:val="20"/>
                <w:color w:val="auto"/>
              </w:rPr>
            </w:pPr>
            <w:r>
              <w:rPr>
                <w:rFonts w:ascii="Arial" w:cs="Arial" w:eastAsia="Arial" w:hAnsi="Arial"/>
                <w:sz w:val="13"/>
                <w:szCs w:val="13"/>
                <w:color w:val="auto"/>
              </w:rPr>
              <w:t>6</w:t>
            </w:r>
          </w:p>
        </w:tc>
        <w:tc>
          <w:tcPr>
            <w:tcW w:w="920" w:type="dxa"/>
            <w:vAlign w:val="bottom"/>
          </w:tcPr>
          <w:p>
            <w:pPr>
              <w:spacing w:after="0"/>
              <w:rPr>
                <w:sz w:val="13"/>
                <w:szCs w:val="13"/>
                <w:color w:val="auto"/>
              </w:rPr>
            </w:pPr>
          </w:p>
        </w:tc>
        <w:tc>
          <w:tcPr>
            <w:tcW w:w="580" w:type="dxa"/>
            <w:vAlign w:val="bottom"/>
            <w:gridSpan w:val="2"/>
          </w:tcPr>
          <w:p>
            <w:pPr>
              <w:jc w:val="right"/>
              <w:ind w:right="220"/>
              <w:spacing w:after="0"/>
              <w:rPr>
                <w:sz w:val="20"/>
                <w:szCs w:val="20"/>
                <w:color w:val="auto"/>
              </w:rPr>
            </w:pPr>
            <w:r>
              <w:rPr>
                <w:rFonts w:ascii="Arial" w:cs="Arial" w:eastAsia="Arial" w:hAnsi="Arial"/>
                <w:sz w:val="13"/>
                <w:szCs w:val="13"/>
                <w:color w:val="auto"/>
              </w:rPr>
              <w:t>12</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13</w:t>
            </w:r>
          </w:p>
        </w:tc>
      </w:tr>
      <w:tr>
        <w:trPr>
          <w:trHeight w:val="183"/>
        </w:trPr>
        <w:tc>
          <w:tcPr>
            <w:tcW w:w="8040" w:type="dxa"/>
            <w:vAlign w:val="bottom"/>
            <w:gridSpan w:val="2"/>
            <w:shd w:val="clear" w:color="auto" w:fill="CCEEFF"/>
          </w:tcPr>
          <w:p>
            <w:pPr>
              <w:spacing w:after="0" w:line="183" w:lineRule="exact"/>
              <w:rPr>
                <w:sz w:val="20"/>
                <w:szCs w:val="20"/>
                <w:color w:val="auto"/>
              </w:rPr>
            </w:pPr>
            <w:r>
              <w:rPr>
                <w:rFonts w:ascii="Arial" w:cs="Arial" w:eastAsia="Arial" w:hAnsi="Arial"/>
                <w:sz w:val="13"/>
                <w:szCs w:val="13"/>
                <w:color w:val="auto"/>
              </w:rPr>
              <w:t xml:space="preserve">Representative Offices in Mexico </w:t>
            </w:r>
            <w:r>
              <w:rPr>
                <w:rFonts w:ascii="Arial" w:cs="Arial" w:eastAsia="Arial" w:hAnsi="Arial"/>
                <w:sz w:val="21"/>
                <w:szCs w:val="21"/>
                <w:color w:val="auto"/>
                <w:vertAlign w:val="superscript"/>
              </w:rPr>
              <w:t>(1)</w:t>
            </w:r>
          </w:p>
        </w:tc>
        <w:tc>
          <w:tcPr>
            <w:tcW w:w="5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w:t>
            </w:r>
          </w:p>
        </w:tc>
        <w:tc>
          <w:tcPr>
            <w:tcW w:w="920" w:type="dxa"/>
            <w:vAlign w:val="bottom"/>
            <w:shd w:val="clear" w:color="auto" w:fill="CCEEFF"/>
          </w:tcPr>
          <w:p>
            <w:pPr>
              <w:spacing w:after="0"/>
              <w:rPr>
                <w:sz w:val="15"/>
                <w:szCs w:val="15"/>
                <w:color w:val="auto"/>
              </w:rPr>
            </w:pPr>
          </w:p>
        </w:tc>
        <w:tc>
          <w:tcPr>
            <w:tcW w:w="5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10</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13</w:t>
            </w:r>
          </w:p>
        </w:tc>
      </w:tr>
      <w:tr>
        <w:trPr>
          <w:trHeight w:val="154"/>
        </w:trPr>
        <w:tc>
          <w:tcPr>
            <w:tcW w:w="8040" w:type="dxa"/>
            <w:vAlign w:val="bottom"/>
            <w:gridSpan w:val="2"/>
          </w:tcPr>
          <w:p>
            <w:pPr>
              <w:spacing w:after="0"/>
              <w:rPr>
                <w:sz w:val="20"/>
                <w:szCs w:val="20"/>
                <w:color w:val="auto"/>
              </w:rPr>
            </w:pPr>
            <w:r>
              <w:rPr>
                <w:rFonts w:ascii="Arial" w:cs="Arial" w:eastAsia="Arial" w:hAnsi="Arial"/>
                <w:sz w:val="13"/>
                <w:szCs w:val="13"/>
                <w:color w:val="auto"/>
              </w:rPr>
              <w:t>Representative Office in Colombia</w:t>
            </w:r>
          </w:p>
        </w:tc>
        <w:tc>
          <w:tcPr>
            <w:tcW w:w="580" w:type="dxa"/>
            <w:vAlign w:val="bottom"/>
            <w:gridSpan w:val="2"/>
          </w:tcPr>
          <w:p>
            <w:pPr>
              <w:jc w:val="right"/>
              <w:ind w:right="220"/>
              <w:spacing w:after="0"/>
              <w:rPr>
                <w:sz w:val="20"/>
                <w:szCs w:val="20"/>
                <w:color w:val="auto"/>
              </w:rPr>
            </w:pPr>
            <w:r>
              <w:rPr>
                <w:rFonts w:ascii="Arial" w:cs="Arial" w:eastAsia="Arial" w:hAnsi="Arial"/>
                <w:sz w:val="13"/>
                <w:szCs w:val="13"/>
                <w:color w:val="auto"/>
              </w:rPr>
              <w:t>4</w:t>
            </w:r>
          </w:p>
        </w:tc>
        <w:tc>
          <w:tcPr>
            <w:tcW w:w="920" w:type="dxa"/>
            <w:vAlign w:val="bottom"/>
          </w:tcPr>
          <w:p>
            <w:pPr>
              <w:spacing w:after="0"/>
              <w:rPr>
                <w:sz w:val="13"/>
                <w:szCs w:val="13"/>
                <w:color w:val="auto"/>
              </w:rPr>
            </w:pPr>
          </w:p>
        </w:tc>
        <w:tc>
          <w:tcPr>
            <w:tcW w:w="580" w:type="dxa"/>
            <w:vAlign w:val="bottom"/>
            <w:gridSpan w:val="2"/>
          </w:tcPr>
          <w:p>
            <w:pPr>
              <w:jc w:val="right"/>
              <w:ind w:right="220"/>
              <w:spacing w:after="0"/>
              <w:rPr>
                <w:sz w:val="20"/>
                <w:szCs w:val="20"/>
                <w:color w:val="auto"/>
              </w:rPr>
            </w:pPr>
            <w:r>
              <w:rPr>
                <w:rFonts w:ascii="Arial" w:cs="Arial" w:eastAsia="Arial" w:hAnsi="Arial"/>
                <w:sz w:val="13"/>
                <w:szCs w:val="13"/>
                <w:color w:val="auto"/>
              </w:rPr>
              <w:t>5</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6</w:t>
            </w:r>
          </w:p>
        </w:tc>
      </w:tr>
      <w:tr>
        <w:trPr>
          <w:trHeight w:val="164"/>
        </w:trPr>
        <w:tc>
          <w:tcPr>
            <w:tcW w:w="80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Representative Office in Peru</w:t>
            </w:r>
          </w:p>
        </w:tc>
        <w:tc>
          <w:tcPr>
            <w:tcW w:w="5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w:t>
            </w:r>
          </w:p>
        </w:tc>
        <w:tc>
          <w:tcPr>
            <w:tcW w:w="920" w:type="dxa"/>
            <w:vAlign w:val="bottom"/>
            <w:shd w:val="clear" w:color="auto" w:fill="CCEEFF"/>
          </w:tcPr>
          <w:p>
            <w:pPr>
              <w:spacing w:after="0"/>
              <w:rPr>
                <w:sz w:val="14"/>
                <w:szCs w:val="14"/>
                <w:color w:val="auto"/>
              </w:rPr>
            </w:pPr>
          </w:p>
        </w:tc>
        <w:tc>
          <w:tcPr>
            <w:tcW w:w="5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7</w:t>
            </w:r>
          </w:p>
        </w:tc>
      </w:tr>
      <w:tr>
        <w:trPr>
          <w:trHeight w:val="156"/>
        </w:trPr>
        <w:tc>
          <w:tcPr>
            <w:tcW w:w="7120" w:type="dxa"/>
            <w:vAlign w:val="bottom"/>
          </w:tcPr>
          <w:p>
            <w:pPr>
              <w:spacing w:after="0" w:line="146" w:lineRule="exact"/>
              <w:rPr>
                <w:sz w:val="20"/>
                <w:szCs w:val="20"/>
                <w:color w:val="auto"/>
              </w:rPr>
            </w:pPr>
            <w:r>
              <w:rPr>
                <w:rFonts w:ascii="Arial" w:cs="Arial" w:eastAsia="Arial" w:hAnsi="Arial"/>
                <w:sz w:val="13"/>
                <w:szCs w:val="13"/>
                <w:b w:val="1"/>
                <w:bCs w:val="1"/>
                <w:color w:val="auto"/>
              </w:rPr>
              <w:t>Total Number of Permanent Employees</w:t>
            </w:r>
          </w:p>
        </w:tc>
        <w:tc>
          <w:tcPr>
            <w:tcW w:w="920" w:type="dxa"/>
            <w:vAlign w:val="bottom"/>
            <w:tcBorders>
              <w:top w:val="single" w:sz="8" w:color="auto"/>
            </w:tcBorders>
          </w:tcPr>
          <w:p>
            <w:pPr>
              <w:spacing w:after="0"/>
              <w:rPr>
                <w:sz w:val="13"/>
                <w:szCs w:val="13"/>
                <w:color w:val="auto"/>
              </w:rPr>
            </w:pPr>
          </w:p>
        </w:tc>
        <w:tc>
          <w:tcPr>
            <w:tcW w:w="360" w:type="dxa"/>
            <w:vAlign w:val="bottom"/>
            <w:tcBorders>
              <w:top w:val="single" w:sz="8" w:color="auto"/>
            </w:tcBorders>
          </w:tcPr>
          <w:p>
            <w:pPr>
              <w:jc w:val="right"/>
              <w:spacing w:after="0"/>
              <w:rPr>
                <w:sz w:val="20"/>
                <w:szCs w:val="20"/>
                <w:color w:val="auto"/>
              </w:rPr>
            </w:pPr>
            <w:r>
              <w:rPr>
                <w:rFonts w:ascii="Arial" w:cs="Arial" w:eastAsia="Arial" w:hAnsi="Arial"/>
                <w:sz w:val="13"/>
                <w:szCs w:val="13"/>
                <w:b w:val="1"/>
                <w:bCs w:val="1"/>
                <w:color w:val="auto"/>
              </w:rPr>
              <w:t>167</w:t>
            </w:r>
          </w:p>
        </w:tc>
        <w:tc>
          <w:tcPr>
            <w:tcW w:w="220" w:type="dxa"/>
            <w:vAlign w:val="bottom"/>
          </w:tcPr>
          <w:p>
            <w:pPr>
              <w:spacing w:after="0"/>
              <w:rPr>
                <w:sz w:val="13"/>
                <w:szCs w:val="13"/>
                <w:color w:val="auto"/>
              </w:rPr>
            </w:pPr>
          </w:p>
        </w:tc>
        <w:tc>
          <w:tcPr>
            <w:tcW w:w="920" w:type="dxa"/>
            <w:vAlign w:val="bottom"/>
            <w:tcBorders>
              <w:top w:val="single" w:sz="8" w:color="auto"/>
            </w:tcBorders>
          </w:tcPr>
          <w:p>
            <w:pPr>
              <w:spacing w:after="0"/>
              <w:rPr>
                <w:sz w:val="13"/>
                <w:szCs w:val="13"/>
                <w:color w:val="auto"/>
              </w:rPr>
            </w:pPr>
          </w:p>
        </w:tc>
        <w:tc>
          <w:tcPr>
            <w:tcW w:w="360" w:type="dxa"/>
            <w:vAlign w:val="bottom"/>
            <w:tcBorders>
              <w:top w:val="single" w:sz="8" w:color="auto"/>
            </w:tcBorders>
          </w:tcPr>
          <w:p>
            <w:pPr>
              <w:jc w:val="right"/>
              <w:spacing w:after="0"/>
              <w:rPr>
                <w:sz w:val="20"/>
                <w:szCs w:val="20"/>
                <w:color w:val="auto"/>
              </w:rPr>
            </w:pPr>
            <w:r>
              <w:rPr>
                <w:rFonts w:ascii="Arial" w:cs="Arial" w:eastAsia="Arial" w:hAnsi="Arial"/>
                <w:sz w:val="13"/>
                <w:szCs w:val="13"/>
                <w:b w:val="1"/>
                <w:bCs w:val="1"/>
                <w:color w:val="auto"/>
              </w:rPr>
              <w:t>193</w:t>
            </w:r>
          </w:p>
        </w:tc>
        <w:tc>
          <w:tcPr>
            <w:tcW w:w="220" w:type="dxa"/>
            <w:vAlign w:val="bottom"/>
          </w:tcPr>
          <w:p>
            <w:pPr>
              <w:spacing w:after="0"/>
              <w:rPr>
                <w:sz w:val="13"/>
                <w:szCs w:val="13"/>
                <w:color w:val="auto"/>
              </w:rPr>
            </w:pPr>
          </w:p>
        </w:tc>
        <w:tc>
          <w:tcPr>
            <w:tcW w:w="1240" w:type="dxa"/>
            <w:vAlign w:val="bottom"/>
            <w:tcBorders>
              <w:top w:val="single" w:sz="8" w:color="auto"/>
            </w:tcBorders>
          </w:tcPr>
          <w:p>
            <w:pPr>
              <w:jc w:val="right"/>
              <w:spacing w:after="0"/>
              <w:rPr>
                <w:sz w:val="20"/>
                <w:szCs w:val="20"/>
                <w:color w:val="auto"/>
              </w:rPr>
            </w:pPr>
            <w:r>
              <w:rPr>
                <w:rFonts w:ascii="Arial" w:cs="Arial" w:eastAsia="Arial" w:hAnsi="Arial"/>
                <w:sz w:val="13"/>
                <w:szCs w:val="13"/>
                <w:b w:val="1"/>
                <w:bCs w:val="1"/>
                <w:color w:val="auto"/>
              </w:rPr>
              <w:t>209</w:t>
            </w:r>
          </w:p>
        </w:tc>
        <w:tc>
          <w:tcPr>
            <w:tcW w:w="120" w:type="dxa"/>
            <w:vAlign w:val="bottom"/>
          </w:tcPr>
          <w:p>
            <w:pPr>
              <w:spacing w:after="0"/>
              <w:rPr>
                <w:sz w:val="13"/>
                <w:szCs w:val="13"/>
                <w:color w:val="auto"/>
              </w:rPr>
            </w:pPr>
          </w:p>
        </w:tc>
      </w:tr>
    </w:tbl>
    <w:p>
      <w:pPr>
        <w:spacing w:after="0" w:line="129" w:lineRule="exact"/>
        <w:rPr>
          <w:sz w:val="20"/>
          <w:szCs w:val="20"/>
          <w:color w:val="auto"/>
        </w:rPr>
      </w:pPr>
    </w:p>
    <w:p>
      <w:pPr>
        <w:ind w:left="143" w:hanging="143"/>
        <w:spacing w:after="0"/>
        <w:tabs>
          <w:tab w:leader="none" w:pos="143" w:val="left"/>
        </w:tabs>
        <w:numPr>
          <w:ilvl w:val="0"/>
          <w:numId w:val="58"/>
        </w:numPr>
        <w:rPr>
          <w:rFonts w:ascii="Arial" w:cs="Arial" w:eastAsia="Arial" w:hAnsi="Arial"/>
          <w:sz w:val="17"/>
          <w:szCs w:val="17"/>
          <w:color w:val="auto"/>
          <w:vertAlign w:val="superscript"/>
        </w:rPr>
      </w:pPr>
      <w:r>
        <w:rPr>
          <w:rFonts w:ascii="Arial" w:cs="Arial" w:eastAsia="Arial" w:hAnsi="Arial"/>
          <w:sz w:val="11"/>
          <w:szCs w:val="11"/>
          <w:color w:val="auto"/>
        </w:rPr>
        <w:t>On April 3, 2017, the Bank obtained approval from the National Banking and Securities Commission of Mexico to close its Representative Office in Monterrey, Mexico, and closed the office on April 7, 2017.</w:t>
      </w:r>
    </w:p>
    <w:p>
      <w:pPr>
        <w:spacing w:after="0" w:line="142" w:lineRule="exact"/>
        <w:rPr>
          <w:sz w:val="20"/>
          <w:szCs w:val="20"/>
          <w:color w:val="auto"/>
        </w:rPr>
      </w:pPr>
    </w:p>
    <w:p>
      <w:pPr>
        <w:ind w:left="463" w:hanging="463"/>
        <w:spacing w:after="0"/>
        <w:tabs>
          <w:tab w:leader="none" w:pos="463" w:val="left"/>
        </w:tabs>
        <w:numPr>
          <w:ilvl w:val="0"/>
          <w:numId w:val="59"/>
        </w:numPr>
        <w:rPr>
          <w:rFonts w:ascii="Arial" w:cs="Arial" w:eastAsia="Arial" w:hAnsi="Arial"/>
          <w:sz w:val="13"/>
          <w:szCs w:val="13"/>
          <w:b w:val="1"/>
          <w:bCs w:val="1"/>
          <w:color w:val="auto"/>
        </w:rPr>
      </w:pPr>
      <w:r>
        <w:rPr>
          <w:rFonts w:ascii="Arial" w:cs="Arial" w:eastAsia="Arial" w:hAnsi="Arial"/>
          <w:sz w:val="13"/>
          <w:szCs w:val="13"/>
          <w:b w:val="1"/>
          <w:bCs w:val="1"/>
          <w:color w:val="auto"/>
        </w:rPr>
        <w:t>Share Ownership</w:t>
      </w:r>
    </w:p>
    <w:p>
      <w:pPr>
        <w:spacing w:after="0" w:line="163" w:lineRule="exact"/>
        <w:rPr>
          <w:sz w:val="20"/>
          <w:szCs w:val="20"/>
          <w:color w:val="auto"/>
        </w:rPr>
      </w:pPr>
    </w:p>
    <w:p>
      <w:pPr>
        <w:ind w:left="3"/>
        <w:spacing w:after="0"/>
        <w:rPr>
          <w:sz w:val="20"/>
          <w:szCs w:val="20"/>
          <w:color w:val="auto"/>
        </w:rPr>
      </w:pPr>
      <w:r>
        <w:rPr>
          <w:rFonts w:ascii="Arial" w:cs="Arial" w:eastAsia="Arial" w:hAnsi="Arial"/>
          <w:sz w:val="13"/>
          <w:szCs w:val="13"/>
          <w:color w:val="auto"/>
        </w:rPr>
        <w:t>See Item 6.B., “Directors, Executive Officers and Employees–Compensation–Beneficial Ownership.”</w:t>
      </w:r>
    </w:p>
    <w:p>
      <w:pPr>
        <w:spacing w:after="0" w:line="155" w:lineRule="exact"/>
        <w:rPr>
          <w:sz w:val="20"/>
          <w:szCs w:val="20"/>
          <w:color w:val="auto"/>
        </w:rPr>
      </w:pPr>
    </w:p>
    <w:p>
      <w:pPr>
        <w:ind w:left="3"/>
        <w:spacing w:after="0"/>
        <w:tabs>
          <w:tab w:leader="none" w:pos="903" w:val="left"/>
        </w:tabs>
        <w:rPr>
          <w:sz w:val="20"/>
          <w:szCs w:val="20"/>
          <w:color w:val="auto"/>
        </w:rPr>
      </w:pPr>
      <w:r>
        <w:rPr>
          <w:rFonts w:ascii="Arial" w:cs="Arial" w:eastAsia="Arial" w:hAnsi="Arial"/>
          <w:sz w:val="13"/>
          <w:szCs w:val="13"/>
          <w:b w:val="1"/>
          <w:bCs w:val="1"/>
          <w:color w:val="auto"/>
        </w:rPr>
        <w:t>Item 7.</w:t>
      </w:r>
      <w:r>
        <w:rPr>
          <w:sz w:val="20"/>
          <w:szCs w:val="20"/>
          <w:color w:val="auto"/>
        </w:rPr>
        <w:tab/>
      </w:r>
      <w:r>
        <w:rPr>
          <w:rFonts w:ascii="Arial" w:cs="Arial" w:eastAsia="Arial" w:hAnsi="Arial"/>
          <w:sz w:val="11"/>
          <w:szCs w:val="11"/>
          <w:b w:val="1"/>
          <w:bCs w:val="1"/>
          <w:color w:val="auto"/>
        </w:rPr>
        <w:t>Major Shareholders and Related Party Transactions</w:t>
      </w:r>
    </w:p>
    <w:p>
      <w:pPr>
        <w:spacing w:after="0" w:line="159" w:lineRule="exact"/>
        <w:rPr>
          <w:sz w:val="20"/>
          <w:szCs w:val="20"/>
          <w:color w:val="auto"/>
        </w:rPr>
      </w:pPr>
    </w:p>
    <w:p>
      <w:pPr>
        <w:ind w:left="463" w:hanging="463"/>
        <w:spacing w:after="0"/>
        <w:tabs>
          <w:tab w:leader="none" w:pos="463" w:val="left"/>
        </w:tabs>
        <w:numPr>
          <w:ilvl w:val="0"/>
          <w:numId w:val="60"/>
        </w:numPr>
        <w:rPr>
          <w:rFonts w:ascii="Arial" w:cs="Arial" w:eastAsia="Arial" w:hAnsi="Arial"/>
          <w:sz w:val="13"/>
          <w:szCs w:val="13"/>
          <w:b w:val="1"/>
          <w:bCs w:val="1"/>
          <w:color w:val="auto"/>
        </w:rPr>
      </w:pPr>
      <w:r>
        <w:rPr>
          <w:rFonts w:ascii="Arial" w:cs="Arial" w:eastAsia="Arial" w:hAnsi="Arial"/>
          <w:sz w:val="13"/>
          <w:szCs w:val="13"/>
          <w:b w:val="1"/>
          <w:bCs w:val="1"/>
          <w:color w:val="auto"/>
        </w:rPr>
        <w:t>Major Shareholders</w:t>
      </w:r>
    </w:p>
    <w:p>
      <w:pPr>
        <w:spacing w:after="0" w:line="163" w:lineRule="exact"/>
        <w:rPr>
          <w:sz w:val="20"/>
          <w:szCs w:val="20"/>
          <w:color w:val="auto"/>
        </w:rPr>
      </w:pPr>
    </w:p>
    <w:p>
      <w:pPr>
        <w:ind w:left="3" w:right="20"/>
        <w:spacing w:after="0" w:line="267" w:lineRule="auto"/>
        <w:rPr>
          <w:sz w:val="20"/>
          <w:szCs w:val="20"/>
          <w:color w:val="auto"/>
        </w:rPr>
      </w:pPr>
      <w:r>
        <w:rPr>
          <w:rFonts w:ascii="Arial" w:cs="Arial" w:eastAsia="Arial" w:hAnsi="Arial"/>
          <w:sz w:val="13"/>
          <w:szCs w:val="13"/>
          <w:color w:val="auto"/>
        </w:rPr>
        <w:t>As of December 31, 2018, the Bank was not directly or indirectly owned or controlled by another corporation or any foreign government, and no person was the registered owner of more than 13% of the total outstanding shares of voting capital stock of the Bank.</w:t>
      </w:r>
    </w:p>
    <w:p>
      <w:pPr>
        <w:spacing w:after="0" w:line="129"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following table sets forth information regarding the Bank’s shareholders that are the beneficial owners of 5% or more of any one class of the Bank’s voting stock, on December 31, 2018.</w:t>
      </w:r>
    </w:p>
    <w:p>
      <w:pPr>
        <w:spacing w:after="0" w:line="164" w:lineRule="exact"/>
        <w:rPr>
          <w:sz w:val="20"/>
          <w:szCs w:val="20"/>
          <w:color w:val="auto"/>
        </w:rPr>
      </w:pPr>
    </w:p>
    <w:tbl>
      <w:tblPr>
        <w:tblLayout w:type="fixed"/>
        <w:tblInd w:w="3" w:type="dxa"/>
        <w:tblCellMar>
          <w:top w:w="0" w:type="dxa"/>
          <w:left w:w="0" w:type="dxa"/>
          <w:bottom w:w="0" w:type="dxa"/>
          <w:right w:w="0" w:type="dxa"/>
        </w:tblCellMar>
      </w:tblPr>
      <w:tr>
        <w:trPr>
          <w:trHeight w:val="166"/>
        </w:trPr>
        <w:tc>
          <w:tcPr>
            <w:tcW w:w="7120" w:type="dxa"/>
            <w:vAlign w:val="bottom"/>
          </w:tcPr>
          <w:p>
            <w:pPr>
              <w:spacing w:after="0"/>
              <w:rPr>
                <w:sz w:val="14"/>
                <w:szCs w:val="14"/>
                <w:color w:val="auto"/>
              </w:rPr>
            </w:pPr>
          </w:p>
        </w:tc>
        <w:tc>
          <w:tcPr>
            <w:tcW w:w="128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640" w:type="dxa"/>
            <w:vAlign w:val="bottom"/>
            <w:tcBorders>
              <w:bottom w:val="single" w:sz="8" w:color="auto"/>
            </w:tcBorders>
            <w:gridSpan w:val="3"/>
          </w:tcPr>
          <w:p>
            <w:pPr>
              <w:jc w:val="center"/>
              <w:ind w:right="120"/>
              <w:spacing w:after="0"/>
              <w:rPr>
                <w:sz w:val="20"/>
                <w:szCs w:val="20"/>
                <w:color w:val="auto"/>
              </w:rPr>
            </w:pPr>
            <w:r>
              <w:rPr>
                <w:rFonts w:ascii="Arial" w:cs="Arial" w:eastAsia="Arial" w:hAnsi="Arial"/>
                <w:sz w:val="13"/>
                <w:szCs w:val="13"/>
                <w:b w:val="1"/>
                <w:bCs w:val="1"/>
                <w:color w:val="auto"/>
                <w:w w:val="88"/>
              </w:rPr>
              <w:t>As of December 31, 2018</w:t>
            </w:r>
          </w:p>
        </w:tc>
        <w:tc>
          <w:tcPr>
            <w:tcW w:w="124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r>
      <w:tr>
        <w:trPr>
          <w:trHeight w:val="131"/>
        </w:trPr>
        <w:tc>
          <w:tcPr>
            <w:tcW w:w="7120" w:type="dxa"/>
            <w:vAlign w:val="bottom"/>
          </w:tcPr>
          <w:p>
            <w:pPr>
              <w:spacing w:after="0"/>
              <w:rPr>
                <w:sz w:val="11"/>
                <w:szCs w:val="11"/>
                <w:color w:val="auto"/>
              </w:rPr>
            </w:pPr>
          </w:p>
        </w:tc>
        <w:tc>
          <w:tcPr>
            <w:tcW w:w="12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2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40" w:type="dxa"/>
            <w:vAlign w:val="bottom"/>
          </w:tcPr>
          <w:p>
            <w:pPr>
              <w:jc w:val="right"/>
              <w:spacing w:after="0" w:line="131" w:lineRule="exact"/>
              <w:rPr>
                <w:sz w:val="20"/>
                <w:szCs w:val="20"/>
                <w:color w:val="auto"/>
              </w:rPr>
            </w:pPr>
            <w:r>
              <w:rPr>
                <w:rFonts w:ascii="Arial" w:cs="Arial" w:eastAsia="Arial" w:hAnsi="Arial"/>
                <w:sz w:val="13"/>
                <w:szCs w:val="13"/>
                <w:b w:val="1"/>
                <w:bCs w:val="1"/>
                <w:color w:val="auto"/>
                <w:w w:val="94"/>
              </w:rPr>
              <w:t>% of Total Common</w:t>
            </w:r>
          </w:p>
        </w:tc>
        <w:tc>
          <w:tcPr>
            <w:tcW w:w="120" w:type="dxa"/>
            <w:vAlign w:val="bottom"/>
          </w:tcPr>
          <w:p>
            <w:pPr>
              <w:spacing w:after="0"/>
              <w:rPr>
                <w:sz w:val="11"/>
                <w:szCs w:val="11"/>
                <w:color w:val="auto"/>
              </w:rPr>
            </w:pPr>
          </w:p>
        </w:tc>
      </w:tr>
      <w:tr>
        <w:trPr>
          <w:trHeight w:val="166"/>
        </w:trPr>
        <w:tc>
          <w:tcPr>
            <w:tcW w:w="7120" w:type="dxa"/>
            <w:vAlign w:val="bottom"/>
          </w:tcPr>
          <w:p>
            <w:pPr>
              <w:spacing w:after="0"/>
              <w:rPr>
                <w:sz w:val="20"/>
                <w:szCs w:val="20"/>
                <w:color w:val="auto"/>
              </w:rPr>
            </w:pPr>
            <w:r>
              <w:rPr>
                <w:rFonts w:ascii="Arial" w:cs="Arial" w:eastAsia="Arial" w:hAnsi="Arial"/>
                <w:sz w:val="13"/>
                <w:szCs w:val="13"/>
                <w:b w:val="1"/>
                <w:bCs w:val="1"/>
                <w:color w:val="auto"/>
              </w:rPr>
              <w:t>Class A Common Stock</w:t>
            </w:r>
          </w:p>
        </w:tc>
        <w:tc>
          <w:tcPr>
            <w:tcW w:w="1360" w:type="dxa"/>
            <w:vAlign w:val="bottom"/>
            <w:gridSpan w:val="2"/>
          </w:tcPr>
          <w:p>
            <w:pPr>
              <w:ind w:left="140"/>
              <w:spacing w:after="0"/>
              <w:rPr>
                <w:sz w:val="20"/>
                <w:szCs w:val="20"/>
                <w:color w:val="auto"/>
              </w:rPr>
            </w:pPr>
            <w:r>
              <w:rPr>
                <w:rFonts w:ascii="Arial" w:cs="Arial" w:eastAsia="Arial" w:hAnsi="Arial"/>
                <w:sz w:val="13"/>
                <w:szCs w:val="13"/>
                <w:b w:val="1"/>
                <w:bCs w:val="1"/>
                <w:color w:val="auto"/>
              </w:rPr>
              <w:t>Number of Shares</w:t>
            </w:r>
          </w:p>
        </w:tc>
        <w:tc>
          <w:tcPr>
            <w:tcW w:w="140" w:type="dxa"/>
            <w:vAlign w:val="bottom"/>
          </w:tcPr>
          <w:p>
            <w:pPr>
              <w:spacing w:after="0"/>
              <w:rPr>
                <w:sz w:val="14"/>
                <w:szCs w:val="14"/>
                <w:color w:val="auto"/>
              </w:rPr>
            </w:pPr>
          </w:p>
        </w:tc>
        <w:tc>
          <w:tcPr>
            <w:tcW w:w="15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1"/>
              </w:rPr>
              <w:t>% of Class</w:t>
            </w:r>
          </w:p>
        </w:tc>
        <w:tc>
          <w:tcPr>
            <w:tcW w:w="1360" w:type="dxa"/>
            <w:vAlign w:val="bottom"/>
            <w:gridSpan w:val="2"/>
          </w:tcPr>
          <w:p>
            <w:pPr>
              <w:jc w:val="right"/>
              <w:ind w:right="580"/>
              <w:spacing w:after="0"/>
              <w:rPr>
                <w:sz w:val="20"/>
                <w:szCs w:val="20"/>
                <w:color w:val="auto"/>
              </w:rPr>
            </w:pPr>
            <w:r>
              <w:rPr>
                <w:rFonts w:ascii="Arial" w:cs="Arial" w:eastAsia="Arial" w:hAnsi="Arial"/>
                <w:sz w:val="13"/>
                <w:szCs w:val="13"/>
                <w:b w:val="1"/>
                <w:bCs w:val="1"/>
                <w:color w:val="auto"/>
              </w:rPr>
              <w:t>Stock</w:t>
            </w:r>
          </w:p>
        </w:tc>
      </w:tr>
      <w:tr>
        <w:trPr>
          <w:trHeight w:val="126"/>
        </w:trPr>
        <w:tc>
          <w:tcPr>
            <w:tcW w:w="7120" w:type="dxa"/>
            <w:vAlign w:val="bottom"/>
            <w:tcBorders>
              <w:top w:val="single" w:sz="8" w:color="CCEEFF"/>
            </w:tcBorders>
            <w:shd w:val="clear" w:color="auto" w:fill="CCEEFF"/>
          </w:tcPr>
          <w:p>
            <w:pPr>
              <w:spacing w:after="0" w:line="126" w:lineRule="exact"/>
              <w:rPr>
                <w:sz w:val="20"/>
                <w:szCs w:val="20"/>
                <w:color w:val="auto"/>
              </w:rPr>
            </w:pPr>
            <w:r>
              <w:rPr>
                <w:rFonts w:ascii="Arial" w:cs="Arial" w:eastAsia="Arial" w:hAnsi="Arial"/>
                <w:sz w:val="13"/>
                <w:szCs w:val="13"/>
                <w:color w:val="auto"/>
              </w:rPr>
              <w:t>Banco de la Nación Argentina</w:t>
            </w:r>
          </w:p>
        </w:tc>
        <w:tc>
          <w:tcPr>
            <w:tcW w:w="1280" w:type="dxa"/>
            <w:vAlign w:val="bottom"/>
            <w:tcBorders>
              <w:top w:val="single" w:sz="8" w:color="auto"/>
            </w:tcBorders>
            <w:shd w:val="clear" w:color="auto" w:fill="CCEEFF"/>
          </w:tcPr>
          <w:p>
            <w:pPr>
              <w:spacing w:after="0"/>
              <w:rPr>
                <w:sz w:val="10"/>
                <w:szCs w:val="10"/>
                <w:color w:val="auto"/>
              </w:rPr>
            </w:pPr>
          </w:p>
        </w:tc>
        <w:tc>
          <w:tcPr>
            <w:tcW w:w="80" w:type="dxa"/>
            <w:vAlign w:val="bottom"/>
            <w:tcBorders>
              <w:top w:val="single" w:sz="8" w:color="CCEEFF"/>
            </w:tcBorders>
            <w:shd w:val="clear" w:color="auto" w:fill="CCEEFF"/>
          </w:tcPr>
          <w:p>
            <w:pPr>
              <w:spacing w:after="0"/>
              <w:rPr>
                <w:sz w:val="10"/>
                <w:szCs w:val="10"/>
                <w:color w:val="auto"/>
              </w:rPr>
            </w:pPr>
          </w:p>
        </w:tc>
        <w:tc>
          <w:tcPr>
            <w:tcW w:w="140" w:type="dxa"/>
            <w:vAlign w:val="bottom"/>
            <w:tcBorders>
              <w:top w:val="single" w:sz="8" w:color="CCEEFF"/>
            </w:tcBorders>
            <w:shd w:val="clear" w:color="auto" w:fill="CCEEFF"/>
          </w:tcPr>
          <w:p>
            <w:pPr>
              <w:spacing w:after="0"/>
              <w:rPr>
                <w:sz w:val="10"/>
                <w:szCs w:val="10"/>
                <w:color w:val="auto"/>
              </w:rPr>
            </w:pPr>
          </w:p>
        </w:tc>
        <w:tc>
          <w:tcPr>
            <w:tcW w:w="1280" w:type="dxa"/>
            <w:vAlign w:val="bottom"/>
            <w:tcBorders>
              <w:top w:val="single" w:sz="8" w:color="auto"/>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1240" w:type="dxa"/>
            <w:vAlign w:val="bottom"/>
            <w:tcBorders>
              <w:top w:val="single" w:sz="8" w:color="auto"/>
            </w:tcBorders>
            <w:shd w:val="clear" w:color="auto" w:fill="CCEEFF"/>
          </w:tcPr>
          <w:p>
            <w:pPr>
              <w:spacing w:after="0"/>
              <w:rPr>
                <w:sz w:val="10"/>
                <w:szCs w:val="10"/>
                <w:color w:val="auto"/>
              </w:rPr>
            </w:pPr>
          </w:p>
        </w:tc>
        <w:tc>
          <w:tcPr>
            <w:tcW w:w="120" w:type="dxa"/>
            <w:vAlign w:val="bottom"/>
            <w:tcBorders>
              <w:top w:val="single" w:sz="8" w:color="CCEEFF"/>
            </w:tcBorders>
            <w:shd w:val="clear" w:color="auto" w:fill="CCEEFF"/>
          </w:tcPr>
          <w:p>
            <w:pPr>
              <w:spacing w:after="0"/>
              <w:rPr>
                <w:sz w:val="10"/>
                <w:szCs w:val="10"/>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Bartolomé Mitre 326</w:t>
            </w:r>
          </w:p>
        </w:tc>
        <w:tc>
          <w:tcPr>
            <w:tcW w:w="12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r>
      <w:tr>
        <w:trPr>
          <w:trHeight w:val="163"/>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CP 1036 AAF Buenos Aires, Argentina</w:t>
            </w:r>
          </w:p>
        </w:tc>
        <w:tc>
          <w:tcPr>
            <w:tcW w:w="13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1,045,348</w:t>
            </w:r>
          </w:p>
        </w:tc>
        <w:tc>
          <w:tcPr>
            <w:tcW w:w="1640" w:type="dxa"/>
            <w:vAlign w:val="bottom"/>
            <w:gridSpan w:val="3"/>
            <w:shd w:val="clear" w:color="auto" w:fill="CCEEFF"/>
          </w:tcPr>
          <w:p>
            <w:pPr>
              <w:jc w:val="right"/>
              <w:ind w:right="220"/>
              <w:spacing w:after="0"/>
              <w:rPr>
                <w:sz w:val="20"/>
                <w:szCs w:val="20"/>
                <w:color w:val="auto"/>
              </w:rPr>
            </w:pPr>
            <w:r>
              <w:rPr>
                <w:rFonts w:ascii="Arial" w:cs="Arial" w:eastAsia="Arial" w:hAnsi="Arial"/>
                <w:sz w:val="13"/>
                <w:szCs w:val="13"/>
                <w:color w:val="auto"/>
              </w:rPr>
              <w:t>16.5</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2.6</w:t>
            </w:r>
          </w:p>
        </w:tc>
      </w:tr>
      <w:tr>
        <w:trPr>
          <w:trHeight w:val="145"/>
        </w:trPr>
        <w:tc>
          <w:tcPr>
            <w:tcW w:w="7120" w:type="dxa"/>
            <w:vAlign w:val="bottom"/>
          </w:tcPr>
          <w:p>
            <w:pPr>
              <w:spacing w:after="0" w:line="146" w:lineRule="exact"/>
              <w:rPr>
                <w:sz w:val="20"/>
                <w:szCs w:val="20"/>
                <w:color w:val="auto"/>
              </w:rPr>
            </w:pPr>
            <w:r>
              <w:rPr>
                <w:rFonts w:ascii="Arial" w:cs="Arial" w:eastAsia="Arial" w:hAnsi="Arial"/>
                <w:sz w:val="13"/>
                <w:szCs w:val="13"/>
                <w:color w:val="auto"/>
              </w:rPr>
              <w:t>Banco do Brasil</w:t>
            </w:r>
          </w:p>
        </w:tc>
        <w:tc>
          <w:tcPr>
            <w:tcW w:w="1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SAUN Qd 5, Lote B, Torre II, 12 Andar</w:t>
            </w:r>
          </w:p>
        </w:tc>
        <w:tc>
          <w:tcPr>
            <w:tcW w:w="12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Edificio Banco do Brasil</w:t>
            </w:r>
          </w:p>
        </w:tc>
        <w:tc>
          <w:tcPr>
            <w:tcW w:w="12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62"/>
        </w:trPr>
        <w:tc>
          <w:tcPr>
            <w:tcW w:w="7120" w:type="dxa"/>
            <w:vAlign w:val="bottom"/>
          </w:tcPr>
          <w:p>
            <w:pPr>
              <w:spacing w:after="0"/>
              <w:rPr>
                <w:sz w:val="20"/>
                <w:szCs w:val="20"/>
                <w:color w:val="auto"/>
              </w:rPr>
            </w:pPr>
            <w:r>
              <w:rPr>
                <w:rFonts w:ascii="Arial" w:cs="Arial" w:eastAsia="Arial" w:hAnsi="Arial"/>
                <w:sz w:val="13"/>
                <w:szCs w:val="13"/>
                <w:color w:val="auto"/>
              </w:rPr>
              <w:t>CEP 70040-912 Brasilia, DF - Brazil</w:t>
            </w:r>
          </w:p>
        </w:tc>
        <w:tc>
          <w:tcPr>
            <w:tcW w:w="1360" w:type="dxa"/>
            <w:vAlign w:val="bottom"/>
            <w:gridSpan w:val="2"/>
          </w:tcPr>
          <w:p>
            <w:pPr>
              <w:jc w:val="right"/>
              <w:ind w:right="80"/>
              <w:spacing w:after="0"/>
              <w:rPr>
                <w:sz w:val="20"/>
                <w:szCs w:val="20"/>
                <w:color w:val="auto"/>
              </w:rPr>
            </w:pPr>
            <w:r>
              <w:rPr>
                <w:rFonts w:ascii="Arial" w:cs="Arial" w:eastAsia="Arial" w:hAnsi="Arial"/>
                <w:sz w:val="13"/>
                <w:szCs w:val="13"/>
                <w:color w:val="auto"/>
              </w:rPr>
              <w:t>974,551</w:t>
            </w:r>
          </w:p>
        </w:tc>
        <w:tc>
          <w:tcPr>
            <w:tcW w:w="1640" w:type="dxa"/>
            <w:vAlign w:val="bottom"/>
            <w:gridSpan w:val="3"/>
          </w:tcPr>
          <w:p>
            <w:pPr>
              <w:jc w:val="right"/>
              <w:ind w:right="220"/>
              <w:spacing w:after="0"/>
              <w:rPr>
                <w:sz w:val="20"/>
                <w:szCs w:val="20"/>
                <w:color w:val="auto"/>
              </w:rPr>
            </w:pPr>
            <w:r>
              <w:rPr>
                <w:rFonts w:ascii="Arial" w:cs="Arial" w:eastAsia="Arial" w:hAnsi="Arial"/>
                <w:sz w:val="13"/>
                <w:szCs w:val="13"/>
                <w:color w:val="auto"/>
              </w:rPr>
              <w:t>15.4</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2.5</w:t>
            </w:r>
          </w:p>
        </w:tc>
      </w:tr>
      <w:tr>
        <w:trPr>
          <w:trHeight w:val="146"/>
        </w:trPr>
        <w:tc>
          <w:tcPr>
            <w:tcW w:w="7120" w:type="dxa"/>
            <w:vAlign w:val="bottom"/>
            <w:shd w:val="clear" w:color="auto" w:fill="CCEEFF"/>
          </w:tcPr>
          <w:p>
            <w:pPr>
              <w:spacing w:after="0" w:line="146" w:lineRule="exact"/>
              <w:rPr>
                <w:sz w:val="20"/>
                <w:szCs w:val="20"/>
                <w:color w:val="auto"/>
              </w:rPr>
            </w:pPr>
            <w:r>
              <w:rPr>
                <w:rFonts w:ascii="Arial" w:cs="Arial" w:eastAsia="Arial" w:hAnsi="Arial"/>
                <w:sz w:val="13"/>
                <w:szCs w:val="13"/>
                <w:color w:val="auto"/>
              </w:rPr>
              <w:t>Banco de Comercio Exterior de Colombia</w:t>
            </w:r>
          </w:p>
        </w:tc>
        <w:tc>
          <w:tcPr>
            <w:tcW w:w="1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2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Edif. Centro de Comercio Internacional</w:t>
            </w:r>
          </w:p>
        </w:tc>
        <w:tc>
          <w:tcPr>
            <w:tcW w:w="12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Calle 28 No. 13A-15</w:t>
            </w:r>
          </w:p>
        </w:tc>
        <w:tc>
          <w:tcPr>
            <w:tcW w:w="12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r>
      <w:tr>
        <w:trPr>
          <w:trHeight w:val="163"/>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C.P. 110311 Bogotá, Colombia</w:t>
            </w:r>
          </w:p>
        </w:tc>
        <w:tc>
          <w:tcPr>
            <w:tcW w:w="13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488,547</w:t>
            </w:r>
          </w:p>
        </w:tc>
        <w:tc>
          <w:tcPr>
            <w:tcW w:w="1640" w:type="dxa"/>
            <w:vAlign w:val="bottom"/>
            <w:gridSpan w:val="3"/>
            <w:shd w:val="clear" w:color="auto" w:fill="CCEEFF"/>
          </w:tcPr>
          <w:p>
            <w:pPr>
              <w:jc w:val="right"/>
              <w:ind w:right="220"/>
              <w:spacing w:after="0"/>
              <w:rPr>
                <w:sz w:val="20"/>
                <w:szCs w:val="20"/>
                <w:color w:val="auto"/>
              </w:rPr>
            </w:pPr>
            <w:r>
              <w:rPr>
                <w:rFonts w:ascii="Arial" w:cs="Arial" w:eastAsia="Arial" w:hAnsi="Arial"/>
                <w:sz w:val="13"/>
                <w:szCs w:val="13"/>
                <w:color w:val="auto"/>
              </w:rPr>
              <w:t>7.7</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1.2</w:t>
            </w:r>
          </w:p>
        </w:tc>
      </w:tr>
      <w:tr>
        <w:trPr>
          <w:trHeight w:val="145"/>
        </w:trPr>
        <w:tc>
          <w:tcPr>
            <w:tcW w:w="7120" w:type="dxa"/>
            <w:vAlign w:val="bottom"/>
          </w:tcPr>
          <w:p>
            <w:pPr>
              <w:spacing w:after="0" w:line="146" w:lineRule="exact"/>
              <w:rPr>
                <w:sz w:val="20"/>
                <w:szCs w:val="20"/>
                <w:color w:val="auto"/>
              </w:rPr>
            </w:pPr>
            <w:r>
              <w:rPr>
                <w:rFonts w:ascii="Arial" w:cs="Arial" w:eastAsia="Arial" w:hAnsi="Arial"/>
                <w:sz w:val="13"/>
                <w:szCs w:val="13"/>
                <w:color w:val="auto"/>
              </w:rPr>
              <w:t>Banco de la Nación (Perú)</w:t>
            </w:r>
          </w:p>
        </w:tc>
        <w:tc>
          <w:tcPr>
            <w:tcW w:w="1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Ave. República de Panamá 3664</w:t>
            </w:r>
          </w:p>
        </w:tc>
        <w:tc>
          <w:tcPr>
            <w:tcW w:w="12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62"/>
        </w:trPr>
        <w:tc>
          <w:tcPr>
            <w:tcW w:w="7120" w:type="dxa"/>
            <w:vAlign w:val="bottom"/>
          </w:tcPr>
          <w:p>
            <w:pPr>
              <w:spacing w:after="0"/>
              <w:rPr>
                <w:sz w:val="20"/>
                <w:szCs w:val="20"/>
                <w:color w:val="auto"/>
              </w:rPr>
            </w:pPr>
            <w:r>
              <w:rPr>
                <w:rFonts w:ascii="Arial" w:cs="Arial" w:eastAsia="Arial" w:hAnsi="Arial"/>
                <w:sz w:val="13"/>
                <w:szCs w:val="13"/>
                <w:color w:val="auto"/>
              </w:rPr>
              <w:t>San Isidro, Lima, Perú</w:t>
            </w:r>
          </w:p>
        </w:tc>
        <w:tc>
          <w:tcPr>
            <w:tcW w:w="1360" w:type="dxa"/>
            <w:vAlign w:val="bottom"/>
            <w:gridSpan w:val="2"/>
          </w:tcPr>
          <w:p>
            <w:pPr>
              <w:jc w:val="right"/>
              <w:ind w:right="80"/>
              <w:spacing w:after="0"/>
              <w:rPr>
                <w:sz w:val="20"/>
                <w:szCs w:val="20"/>
                <w:color w:val="auto"/>
              </w:rPr>
            </w:pPr>
            <w:r>
              <w:rPr>
                <w:rFonts w:ascii="Arial" w:cs="Arial" w:eastAsia="Arial" w:hAnsi="Arial"/>
                <w:sz w:val="13"/>
                <w:szCs w:val="13"/>
                <w:color w:val="auto"/>
              </w:rPr>
              <w:t>446,556</w:t>
            </w:r>
          </w:p>
        </w:tc>
        <w:tc>
          <w:tcPr>
            <w:tcW w:w="1640" w:type="dxa"/>
            <w:vAlign w:val="bottom"/>
            <w:gridSpan w:val="3"/>
          </w:tcPr>
          <w:p>
            <w:pPr>
              <w:jc w:val="right"/>
              <w:ind w:right="220"/>
              <w:spacing w:after="0"/>
              <w:rPr>
                <w:sz w:val="20"/>
                <w:szCs w:val="20"/>
                <w:color w:val="auto"/>
              </w:rPr>
            </w:pPr>
            <w:r>
              <w:rPr>
                <w:rFonts w:ascii="Arial" w:cs="Arial" w:eastAsia="Arial" w:hAnsi="Arial"/>
                <w:sz w:val="13"/>
                <w:szCs w:val="13"/>
                <w:color w:val="auto"/>
              </w:rPr>
              <w:t>7.0</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1.1</w:t>
            </w:r>
          </w:p>
        </w:tc>
      </w:tr>
      <w:tr>
        <w:trPr>
          <w:trHeight w:val="146"/>
        </w:trPr>
        <w:tc>
          <w:tcPr>
            <w:tcW w:w="7120" w:type="dxa"/>
            <w:vAlign w:val="bottom"/>
            <w:shd w:val="clear" w:color="auto" w:fill="CCEEFF"/>
          </w:tcPr>
          <w:p>
            <w:pPr>
              <w:spacing w:after="0" w:line="146" w:lineRule="exact"/>
              <w:rPr>
                <w:sz w:val="20"/>
                <w:szCs w:val="20"/>
                <w:color w:val="auto"/>
              </w:rPr>
            </w:pPr>
            <w:r>
              <w:rPr>
                <w:rFonts w:ascii="Arial" w:cs="Arial" w:eastAsia="Arial" w:hAnsi="Arial"/>
                <w:sz w:val="13"/>
                <w:szCs w:val="13"/>
                <w:color w:val="auto"/>
              </w:rPr>
              <w:t>Banco Central del Paraguay</w:t>
            </w:r>
          </w:p>
        </w:tc>
        <w:tc>
          <w:tcPr>
            <w:tcW w:w="1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2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Federación Rusa y Augusto Roa Bastos</w:t>
            </w:r>
          </w:p>
        </w:tc>
        <w:tc>
          <w:tcPr>
            <w:tcW w:w="12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r>
      <w:tr>
        <w:trPr>
          <w:trHeight w:val="163"/>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Asunción, Paraguay</w:t>
            </w:r>
          </w:p>
        </w:tc>
        <w:tc>
          <w:tcPr>
            <w:tcW w:w="13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434,658</w:t>
            </w:r>
          </w:p>
        </w:tc>
        <w:tc>
          <w:tcPr>
            <w:tcW w:w="1640" w:type="dxa"/>
            <w:vAlign w:val="bottom"/>
            <w:gridSpan w:val="3"/>
            <w:shd w:val="clear" w:color="auto" w:fill="CCEEFF"/>
          </w:tcPr>
          <w:p>
            <w:pPr>
              <w:jc w:val="right"/>
              <w:ind w:right="220"/>
              <w:spacing w:after="0"/>
              <w:rPr>
                <w:sz w:val="20"/>
                <w:szCs w:val="20"/>
                <w:color w:val="auto"/>
              </w:rPr>
            </w:pPr>
            <w:r>
              <w:rPr>
                <w:rFonts w:ascii="Arial" w:cs="Arial" w:eastAsia="Arial" w:hAnsi="Arial"/>
                <w:sz w:val="13"/>
                <w:szCs w:val="13"/>
                <w:color w:val="auto"/>
              </w:rPr>
              <w:t>6.9</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1.1</w:t>
            </w:r>
          </w:p>
        </w:tc>
      </w:tr>
      <w:tr>
        <w:trPr>
          <w:trHeight w:val="145"/>
        </w:trPr>
        <w:tc>
          <w:tcPr>
            <w:tcW w:w="7120" w:type="dxa"/>
            <w:vAlign w:val="bottom"/>
          </w:tcPr>
          <w:p>
            <w:pPr>
              <w:spacing w:after="0" w:line="146" w:lineRule="exact"/>
              <w:rPr>
                <w:sz w:val="20"/>
                <w:szCs w:val="20"/>
                <w:color w:val="auto"/>
              </w:rPr>
            </w:pPr>
            <w:r>
              <w:rPr>
                <w:rFonts w:ascii="Arial" w:cs="Arial" w:eastAsia="Arial" w:hAnsi="Arial"/>
                <w:sz w:val="13"/>
                <w:szCs w:val="13"/>
                <w:color w:val="auto"/>
              </w:rPr>
              <w:t>Banco Central del Ecuador</w:t>
            </w:r>
          </w:p>
        </w:tc>
        <w:tc>
          <w:tcPr>
            <w:tcW w:w="1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Ave. 10 de Agosto N11- 409 y Briceño</w:t>
            </w:r>
          </w:p>
        </w:tc>
        <w:tc>
          <w:tcPr>
            <w:tcW w:w="12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62"/>
        </w:trPr>
        <w:tc>
          <w:tcPr>
            <w:tcW w:w="7120" w:type="dxa"/>
            <w:vAlign w:val="bottom"/>
          </w:tcPr>
          <w:p>
            <w:pPr>
              <w:spacing w:after="0"/>
              <w:rPr>
                <w:sz w:val="20"/>
                <w:szCs w:val="20"/>
                <w:color w:val="auto"/>
              </w:rPr>
            </w:pPr>
            <w:r>
              <w:rPr>
                <w:rFonts w:ascii="Arial" w:cs="Arial" w:eastAsia="Arial" w:hAnsi="Arial"/>
                <w:sz w:val="13"/>
                <w:szCs w:val="13"/>
                <w:color w:val="auto"/>
              </w:rPr>
              <w:t>Quito, Ecuador</w:t>
            </w:r>
          </w:p>
        </w:tc>
        <w:tc>
          <w:tcPr>
            <w:tcW w:w="1360" w:type="dxa"/>
            <w:vAlign w:val="bottom"/>
            <w:gridSpan w:val="2"/>
          </w:tcPr>
          <w:p>
            <w:pPr>
              <w:jc w:val="right"/>
              <w:ind w:right="80"/>
              <w:spacing w:after="0"/>
              <w:rPr>
                <w:sz w:val="20"/>
                <w:szCs w:val="20"/>
                <w:color w:val="auto"/>
              </w:rPr>
            </w:pPr>
            <w:r>
              <w:rPr>
                <w:rFonts w:ascii="Arial" w:cs="Arial" w:eastAsia="Arial" w:hAnsi="Arial"/>
                <w:sz w:val="13"/>
                <w:szCs w:val="13"/>
                <w:color w:val="auto"/>
              </w:rPr>
              <w:t>431,217</w:t>
            </w:r>
          </w:p>
        </w:tc>
        <w:tc>
          <w:tcPr>
            <w:tcW w:w="1640" w:type="dxa"/>
            <w:vAlign w:val="bottom"/>
            <w:gridSpan w:val="3"/>
          </w:tcPr>
          <w:p>
            <w:pPr>
              <w:jc w:val="right"/>
              <w:ind w:right="220"/>
              <w:spacing w:after="0"/>
              <w:rPr>
                <w:sz w:val="20"/>
                <w:szCs w:val="20"/>
                <w:color w:val="auto"/>
              </w:rPr>
            </w:pPr>
            <w:r>
              <w:rPr>
                <w:rFonts w:ascii="Arial" w:cs="Arial" w:eastAsia="Arial" w:hAnsi="Arial"/>
                <w:sz w:val="13"/>
                <w:szCs w:val="13"/>
                <w:color w:val="auto"/>
              </w:rPr>
              <w:t>6.8</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1.1</w:t>
            </w:r>
          </w:p>
        </w:tc>
      </w:tr>
      <w:tr>
        <w:trPr>
          <w:trHeight w:val="146"/>
        </w:trPr>
        <w:tc>
          <w:tcPr>
            <w:tcW w:w="7120" w:type="dxa"/>
            <w:vAlign w:val="bottom"/>
            <w:shd w:val="clear" w:color="auto" w:fill="CCEEFF"/>
          </w:tcPr>
          <w:p>
            <w:pPr>
              <w:spacing w:after="0" w:line="146" w:lineRule="exact"/>
              <w:rPr>
                <w:sz w:val="20"/>
                <w:szCs w:val="20"/>
                <w:color w:val="auto"/>
              </w:rPr>
            </w:pPr>
            <w:r>
              <w:rPr>
                <w:rFonts w:ascii="Arial" w:cs="Arial" w:eastAsia="Arial" w:hAnsi="Arial"/>
                <w:sz w:val="13"/>
                <w:szCs w:val="13"/>
                <w:color w:val="auto"/>
              </w:rPr>
              <w:t>Banco del Estado de Chile</w:t>
            </w:r>
          </w:p>
        </w:tc>
        <w:tc>
          <w:tcPr>
            <w:tcW w:w="12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2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Ave. Libertador Bernardo O’Higgins No.1111</w:t>
            </w:r>
          </w:p>
        </w:tc>
        <w:tc>
          <w:tcPr>
            <w:tcW w:w="12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r>
      <w:tr>
        <w:trPr>
          <w:trHeight w:val="172"/>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Santiago, Chile</w:t>
            </w:r>
          </w:p>
        </w:tc>
        <w:tc>
          <w:tcPr>
            <w:tcW w:w="13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323,413</w:t>
            </w:r>
          </w:p>
        </w:tc>
        <w:tc>
          <w:tcPr>
            <w:tcW w:w="1640" w:type="dxa"/>
            <w:vAlign w:val="bottom"/>
            <w:gridSpan w:val="3"/>
            <w:shd w:val="clear" w:color="auto" w:fill="CCEEFF"/>
          </w:tcPr>
          <w:p>
            <w:pPr>
              <w:jc w:val="right"/>
              <w:ind w:right="220"/>
              <w:spacing w:after="0"/>
              <w:rPr>
                <w:sz w:val="20"/>
                <w:szCs w:val="20"/>
                <w:color w:val="auto"/>
              </w:rPr>
            </w:pPr>
            <w:r>
              <w:rPr>
                <w:rFonts w:ascii="Arial" w:cs="Arial" w:eastAsia="Arial" w:hAnsi="Arial"/>
                <w:sz w:val="13"/>
                <w:szCs w:val="13"/>
                <w:color w:val="auto"/>
              </w:rPr>
              <w:t>5.1</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0.8</w:t>
            </w:r>
          </w:p>
        </w:tc>
      </w:tr>
      <w:tr>
        <w:trPr>
          <w:trHeight w:val="144"/>
        </w:trPr>
        <w:tc>
          <w:tcPr>
            <w:tcW w:w="7120" w:type="dxa"/>
            <w:vAlign w:val="bottom"/>
            <w:tcBorders>
              <w:bottom w:val="single" w:sz="8" w:color="CCEEFF"/>
            </w:tcBorders>
          </w:tcPr>
          <w:p>
            <w:pPr>
              <w:spacing w:after="0" w:line="143" w:lineRule="exact"/>
              <w:rPr>
                <w:sz w:val="20"/>
                <w:szCs w:val="20"/>
                <w:color w:val="auto"/>
              </w:rPr>
            </w:pPr>
            <w:r>
              <w:rPr>
                <w:rFonts w:ascii="Arial" w:cs="Arial" w:eastAsia="Arial" w:hAnsi="Arial"/>
                <w:sz w:val="13"/>
                <w:szCs w:val="13"/>
                <w:color w:val="auto"/>
              </w:rPr>
              <w:t>Sub-total shares of Class A Common Stock</w:t>
            </w:r>
          </w:p>
        </w:tc>
        <w:tc>
          <w:tcPr>
            <w:tcW w:w="12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4,144,290</w:t>
            </w:r>
          </w:p>
        </w:tc>
        <w:tc>
          <w:tcPr>
            <w:tcW w:w="80" w:type="dxa"/>
            <w:vAlign w:val="bottom"/>
            <w:tcBorders>
              <w:bottom w:val="single" w:sz="8" w:color="CCEEFF"/>
            </w:tcBorders>
          </w:tcPr>
          <w:p>
            <w:pPr>
              <w:spacing w:after="0"/>
              <w:rPr>
                <w:sz w:val="12"/>
                <w:szCs w:val="12"/>
                <w:color w:val="auto"/>
              </w:rPr>
            </w:pPr>
          </w:p>
        </w:tc>
        <w:tc>
          <w:tcPr>
            <w:tcW w:w="140" w:type="dxa"/>
            <w:vAlign w:val="bottom"/>
            <w:tcBorders>
              <w:bottom w:val="single" w:sz="8" w:color="CCEEFF"/>
            </w:tcBorders>
          </w:tcPr>
          <w:p>
            <w:pPr>
              <w:spacing w:after="0"/>
              <w:rPr>
                <w:sz w:val="12"/>
                <w:szCs w:val="12"/>
                <w:color w:val="auto"/>
              </w:rPr>
            </w:pPr>
          </w:p>
        </w:tc>
        <w:tc>
          <w:tcPr>
            <w:tcW w:w="12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65.4</w:t>
            </w:r>
          </w:p>
        </w:tc>
        <w:tc>
          <w:tcPr>
            <w:tcW w:w="220" w:type="dxa"/>
            <w:vAlign w:val="bottom"/>
            <w:tcBorders>
              <w:bottom w:val="single" w:sz="8" w:color="CCEEFF"/>
            </w:tcBorders>
          </w:tcPr>
          <w:p>
            <w:pPr>
              <w:spacing w:after="0"/>
              <w:rPr>
                <w:sz w:val="12"/>
                <w:szCs w:val="12"/>
                <w:color w:val="auto"/>
              </w:rPr>
            </w:pPr>
          </w:p>
        </w:tc>
        <w:tc>
          <w:tcPr>
            <w:tcW w:w="12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10.4</w:t>
            </w:r>
          </w:p>
        </w:tc>
        <w:tc>
          <w:tcPr>
            <w:tcW w:w="120" w:type="dxa"/>
            <w:vAlign w:val="bottom"/>
            <w:tcBorders>
              <w:bottom w:val="single" w:sz="8" w:color="CCEEFF"/>
            </w:tcBorders>
          </w:tcPr>
          <w:p>
            <w:pPr>
              <w:spacing w:after="0"/>
              <w:rPr>
                <w:sz w:val="12"/>
                <w:szCs w:val="12"/>
                <w:color w:val="auto"/>
              </w:rPr>
            </w:pPr>
          </w:p>
        </w:tc>
      </w:tr>
      <w:tr>
        <w:trPr>
          <w:trHeight w:val="144"/>
        </w:trPr>
        <w:tc>
          <w:tcPr>
            <w:tcW w:w="7120" w:type="dxa"/>
            <w:vAlign w:val="bottom"/>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Total Shares of Class A Common Stock</w:t>
            </w:r>
          </w:p>
        </w:tc>
        <w:tc>
          <w:tcPr>
            <w:tcW w:w="1280" w:type="dxa"/>
            <w:vAlign w:val="bottom"/>
            <w:tcBorders>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6,342,189</w:t>
            </w: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280" w:type="dxa"/>
            <w:vAlign w:val="bottom"/>
            <w:tcBorders>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100.0</w:t>
            </w:r>
          </w:p>
        </w:tc>
        <w:tc>
          <w:tcPr>
            <w:tcW w:w="220" w:type="dxa"/>
            <w:vAlign w:val="bottom"/>
            <w:shd w:val="clear" w:color="auto" w:fill="CCEEFF"/>
          </w:tcPr>
          <w:p>
            <w:pPr>
              <w:spacing w:after="0"/>
              <w:rPr>
                <w:sz w:val="12"/>
                <w:szCs w:val="12"/>
                <w:color w:val="auto"/>
              </w:rPr>
            </w:pPr>
          </w:p>
        </w:tc>
        <w:tc>
          <w:tcPr>
            <w:tcW w:w="1240" w:type="dxa"/>
            <w:vAlign w:val="bottom"/>
            <w:tcBorders>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16.0</w:t>
            </w:r>
          </w:p>
        </w:tc>
        <w:tc>
          <w:tcPr>
            <w:tcW w:w="120" w:type="dxa"/>
            <w:vAlign w:val="bottom"/>
            <w:shd w:val="clear" w:color="auto" w:fill="CCEEFF"/>
          </w:tcPr>
          <w:p>
            <w:pPr>
              <w:spacing w:after="0"/>
              <w:rPr>
                <w:sz w:val="12"/>
                <w:szCs w:val="12"/>
                <w:color w:val="auto"/>
              </w:rPr>
            </w:pPr>
          </w:p>
        </w:tc>
      </w:tr>
    </w:tbl>
    <w:p>
      <w:pPr>
        <w:spacing w:after="0" w:line="294"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96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94" w:right="199" w:bottom="1440" w:gutter="0" w:footer="0" w:header="0"/>
        </w:sectPr>
      </w:pPr>
    </w:p>
    <w:bookmarkStart w:id="98" w:name="page99"/>
    <w:bookmarkEnd w:id="98"/>
    <w:tbl>
      <w:tblPr>
        <w:tblLayout w:type="fixed"/>
        <w:tblInd w:w="3" w:type="dxa"/>
        <w:tblCellMar>
          <w:top w:w="0" w:type="dxa"/>
          <w:left w:w="0" w:type="dxa"/>
          <w:bottom w:w="0" w:type="dxa"/>
          <w:right w:w="0" w:type="dxa"/>
        </w:tblCellMar>
      </w:tblPr>
      <w:tr>
        <w:trPr>
          <w:trHeight w:val="154"/>
        </w:trPr>
        <w:tc>
          <w:tcPr>
            <w:tcW w:w="71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360" w:type="dxa"/>
            <w:vAlign w:val="bottom"/>
            <w:gridSpan w:val="3"/>
          </w:tcPr>
          <w:p>
            <w:pPr>
              <w:jc w:val="center"/>
              <w:ind w:right="120"/>
              <w:spacing w:after="0"/>
              <w:rPr>
                <w:sz w:val="20"/>
                <w:szCs w:val="20"/>
                <w:color w:val="auto"/>
              </w:rPr>
            </w:pPr>
            <w:r>
              <w:rPr>
                <w:rFonts w:ascii="Arial" w:cs="Arial" w:eastAsia="Arial" w:hAnsi="Arial"/>
                <w:sz w:val="13"/>
                <w:szCs w:val="13"/>
                <w:b w:val="1"/>
                <w:bCs w:val="1"/>
                <w:color w:val="auto"/>
                <w:w w:val="91"/>
              </w:rPr>
              <w:t>% of Total Common</w:t>
            </w:r>
          </w:p>
        </w:tc>
      </w:tr>
      <w:tr>
        <w:trPr>
          <w:trHeight w:val="166"/>
        </w:trPr>
        <w:tc>
          <w:tcPr>
            <w:tcW w:w="7120" w:type="dxa"/>
            <w:vAlign w:val="bottom"/>
          </w:tcPr>
          <w:p>
            <w:pPr>
              <w:spacing w:after="0"/>
              <w:rPr>
                <w:sz w:val="20"/>
                <w:szCs w:val="20"/>
                <w:color w:val="auto"/>
              </w:rPr>
            </w:pPr>
            <w:r>
              <w:rPr>
                <w:rFonts w:ascii="Arial" w:cs="Arial" w:eastAsia="Arial" w:hAnsi="Arial"/>
                <w:sz w:val="13"/>
                <w:szCs w:val="13"/>
                <w:b w:val="1"/>
                <w:bCs w:val="1"/>
                <w:color w:val="auto"/>
              </w:rPr>
              <w:t>Class B Common Stock</w:t>
            </w:r>
          </w:p>
        </w:tc>
        <w:tc>
          <w:tcPr>
            <w:tcW w:w="1500" w:type="dxa"/>
            <w:vAlign w:val="bottom"/>
            <w:gridSpan w:val="2"/>
          </w:tcPr>
          <w:p>
            <w:pPr>
              <w:ind w:left="140"/>
              <w:spacing w:after="0"/>
              <w:rPr>
                <w:sz w:val="20"/>
                <w:szCs w:val="20"/>
                <w:color w:val="auto"/>
              </w:rPr>
            </w:pPr>
            <w:r>
              <w:rPr>
                <w:rFonts w:ascii="Arial" w:cs="Arial" w:eastAsia="Arial" w:hAnsi="Arial"/>
                <w:sz w:val="13"/>
                <w:szCs w:val="13"/>
                <w:b w:val="1"/>
                <w:bCs w:val="1"/>
                <w:color w:val="auto"/>
              </w:rPr>
              <w:t>Number of Shares</w:t>
            </w:r>
          </w:p>
        </w:tc>
        <w:tc>
          <w:tcPr>
            <w:tcW w:w="1500" w:type="dxa"/>
            <w:vAlign w:val="bottom"/>
            <w:gridSpan w:val="2"/>
          </w:tcPr>
          <w:p>
            <w:pPr>
              <w:ind w:left="340"/>
              <w:spacing w:after="0"/>
              <w:rPr>
                <w:sz w:val="20"/>
                <w:szCs w:val="20"/>
                <w:color w:val="auto"/>
              </w:rPr>
            </w:pPr>
            <w:r>
              <w:rPr>
                <w:rFonts w:ascii="Arial" w:cs="Arial" w:eastAsia="Arial" w:hAnsi="Arial"/>
                <w:sz w:val="13"/>
                <w:szCs w:val="13"/>
                <w:b w:val="1"/>
                <w:bCs w:val="1"/>
                <w:color w:val="auto"/>
              </w:rPr>
              <w:t>% of Class</w:t>
            </w:r>
          </w:p>
        </w:tc>
        <w:tc>
          <w:tcPr>
            <w:tcW w:w="1360" w:type="dxa"/>
            <w:vAlign w:val="bottom"/>
            <w:gridSpan w:val="3"/>
          </w:tcPr>
          <w:p>
            <w:pPr>
              <w:jc w:val="center"/>
              <w:ind w:right="120"/>
              <w:spacing w:after="0"/>
              <w:rPr>
                <w:sz w:val="20"/>
                <w:szCs w:val="20"/>
                <w:color w:val="auto"/>
              </w:rPr>
            </w:pPr>
            <w:r>
              <w:rPr>
                <w:rFonts w:ascii="Arial" w:cs="Arial" w:eastAsia="Arial" w:hAnsi="Arial"/>
                <w:sz w:val="13"/>
                <w:szCs w:val="13"/>
                <w:b w:val="1"/>
                <w:bCs w:val="1"/>
                <w:color w:val="auto"/>
                <w:w w:val="90"/>
              </w:rPr>
              <w:t>Stock</w:t>
            </w:r>
          </w:p>
        </w:tc>
      </w:tr>
      <w:tr>
        <w:trPr>
          <w:trHeight w:val="126"/>
        </w:trPr>
        <w:tc>
          <w:tcPr>
            <w:tcW w:w="7120" w:type="dxa"/>
            <w:vAlign w:val="bottom"/>
            <w:tcBorders>
              <w:top w:val="single" w:sz="8" w:color="CCEEFF"/>
            </w:tcBorders>
            <w:shd w:val="clear" w:color="auto" w:fill="CCEEFF"/>
          </w:tcPr>
          <w:p>
            <w:pPr>
              <w:spacing w:after="0" w:line="126" w:lineRule="exact"/>
              <w:rPr>
                <w:sz w:val="20"/>
                <w:szCs w:val="20"/>
                <w:color w:val="auto"/>
              </w:rPr>
            </w:pPr>
            <w:r>
              <w:rPr>
                <w:rFonts w:ascii="Arial" w:cs="Arial" w:eastAsia="Arial" w:hAnsi="Arial"/>
                <w:sz w:val="13"/>
                <w:szCs w:val="13"/>
                <w:color w:val="auto"/>
              </w:rPr>
              <w:t>Banco de la Provincia de Buenos Aires</w:t>
            </w:r>
          </w:p>
        </w:tc>
        <w:tc>
          <w:tcPr>
            <w:tcW w:w="1280" w:type="dxa"/>
            <w:vAlign w:val="bottom"/>
            <w:tcBorders>
              <w:top w:val="single" w:sz="8" w:color="auto"/>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1280" w:type="dxa"/>
            <w:vAlign w:val="bottom"/>
            <w:tcBorders>
              <w:top w:val="single" w:sz="8" w:color="auto"/>
            </w:tcBorders>
            <w:shd w:val="clear" w:color="auto" w:fill="CCEEFF"/>
          </w:tcPr>
          <w:p>
            <w:pPr>
              <w:spacing w:after="0"/>
              <w:rPr>
                <w:sz w:val="10"/>
                <w:szCs w:val="10"/>
                <w:color w:val="auto"/>
              </w:rPr>
            </w:pPr>
          </w:p>
        </w:tc>
        <w:tc>
          <w:tcPr>
            <w:tcW w:w="220" w:type="dxa"/>
            <w:vAlign w:val="bottom"/>
            <w:tcBorders>
              <w:top w:val="single" w:sz="8" w:color="CCEEFF"/>
            </w:tcBorders>
            <w:shd w:val="clear" w:color="auto" w:fill="CCEEFF"/>
          </w:tcPr>
          <w:p>
            <w:pPr>
              <w:spacing w:after="0"/>
              <w:rPr>
                <w:sz w:val="10"/>
                <w:szCs w:val="10"/>
                <w:color w:val="auto"/>
              </w:rPr>
            </w:pPr>
          </w:p>
        </w:tc>
        <w:tc>
          <w:tcPr>
            <w:tcW w:w="1240" w:type="dxa"/>
            <w:vAlign w:val="bottom"/>
            <w:tcBorders>
              <w:top w:val="single" w:sz="8" w:color="auto"/>
            </w:tcBorders>
            <w:shd w:val="clear" w:color="auto" w:fill="CCEEFF"/>
          </w:tcPr>
          <w:p>
            <w:pPr>
              <w:spacing w:after="0"/>
              <w:rPr>
                <w:sz w:val="10"/>
                <w:szCs w:val="10"/>
                <w:color w:val="auto"/>
              </w:rPr>
            </w:pPr>
          </w:p>
        </w:tc>
        <w:tc>
          <w:tcPr>
            <w:tcW w:w="20" w:type="dxa"/>
            <w:vAlign w:val="bottom"/>
            <w:tcBorders>
              <w:top w:val="single" w:sz="8" w:color="CCEEFF"/>
            </w:tcBorders>
            <w:shd w:val="clear" w:color="auto" w:fill="CCEEFF"/>
          </w:tcPr>
          <w:p>
            <w:pPr>
              <w:spacing w:after="0"/>
              <w:rPr>
                <w:sz w:val="10"/>
                <w:szCs w:val="10"/>
                <w:color w:val="auto"/>
              </w:rPr>
            </w:pPr>
          </w:p>
        </w:tc>
        <w:tc>
          <w:tcPr>
            <w:tcW w:w="100" w:type="dxa"/>
            <w:vAlign w:val="bottom"/>
            <w:tcBorders>
              <w:top w:val="single" w:sz="8" w:color="CCEEFF"/>
            </w:tcBorders>
            <w:shd w:val="clear" w:color="auto" w:fill="CCEEFF"/>
          </w:tcPr>
          <w:p>
            <w:pPr>
              <w:spacing w:after="0"/>
              <w:rPr>
                <w:sz w:val="10"/>
                <w:szCs w:val="10"/>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San Martín 137</w:t>
            </w: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r>
      <w:tr>
        <w:trPr>
          <w:trHeight w:val="163"/>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C1004AAC Buenos Aires, Argentina</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884,461</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39.4</w:t>
            </w:r>
          </w:p>
        </w:tc>
        <w:tc>
          <w:tcPr>
            <w:tcW w:w="12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2.2</w:t>
            </w:r>
          </w:p>
        </w:tc>
        <w:tc>
          <w:tcPr>
            <w:tcW w:w="100" w:type="dxa"/>
            <w:vAlign w:val="bottom"/>
            <w:shd w:val="clear" w:color="auto" w:fill="CCEEFF"/>
          </w:tcPr>
          <w:p>
            <w:pPr>
              <w:spacing w:after="0"/>
              <w:rPr>
                <w:sz w:val="14"/>
                <w:szCs w:val="14"/>
                <w:color w:val="auto"/>
              </w:rPr>
            </w:pPr>
          </w:p>
        </w:tc>
      </w:tr>
      <w:tr>
        <w:trPr>
          <w:trHeight w:val="145"/>
        </w:trPr>
        <w:tc>
          <w:tcPr>
            <w:tcW w:w="7120" w:type="dxa"/>
            <w:vAlign w:val="bottom"/>
          </w:tcPr>
          <w:p>
            <w:pPr>
              <w:spacing w:after="0" w:line="146" w:lineRule="exact"/>
              <w:rPr>
                <w:sz w:val="20"/>
                <w:szCs w:val="20"/>
                <w:color w:val="auto"/>
              </w:rPr>
            </w:pPr>
            <w:r>
              <w:rPr>
                <w:rFonts w:ascii="Arial" w:cs="Arial" w:eastAsia="Arial" w:hAnsi="Arial"/>
                <w:sz w:val="13"/>
                <w:szCs w:val="13"/>
                <w:color w:val="auto"/>
              </w:rPr>
              <w:t>Banco de la Nación Argentina</w:t>
            </w: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Bartolomé Mitre 326</w:t>
            </w: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62"/>
        </w:trPr>
        <w:tc>
          <w:tcPr>
            <w:tcW w:w="7120" w:type="dxa"/>
            <w:vAlign w:val="bottom"/>
          </w:tcPr>
          <w:p>
            <w:pPr>
              <w:spacing w:after="0"/>
              <w:rPr>
                <w:sz w:val="20"/>
                <w:szCs w:val="20"/>
                <w:color w:val="auto"/>
              </w:rPr>
            </w:pPr>
            <w:r>
              <w:rPr>
                <w:rFonts w:ascii="Arial" w:cs="Arial" w:eastAsia="Arial" w:hAnsi="Arial"/>
                <w:sz w:val="13"/>
                <w:szCs w:val="13"/>
                <w:color w:val="auto"/>
              </w:rPr>
              <w:t>CP 1036 AAF Buenos Aires, Argentina</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295,945</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13.2</w:t>
            </w:r>
          </w:p>
        </w:tc>
        <w:tc>
          <w:tcPr>
            <w:tcW w:w="1260" w:type="dxa"/>
            <w:vAlign w:val="bottom"/>
            <w:gridSpan w:val="2"/>
          </w:tcPr>
          <w:p>
            <w:pPr>
              <w:jc w:val="right"/>
              <w:ind w:right="20"/>
              <w:spacing w:after="0"/>
              <w:rPr>
                <w:sz w:val="20"/>
                <w:szCs w:val="20"/>
                <w:color w:val="auto"/>
              </w:rPr>
            </w:pPr>
            <w:r>
              <w:rPr>
                <w:rFonts w:ascii="Arial" w:cs="Arial" w:eastAsia="Arial" w:hAnsi="Arial"/>
                <w:sz w:val="13"/>
                <w:szCs w:val="13"/>
                <w:color w:val="auto"/>
              </w:rPr>
              <w:t>0.7</w:t>
            </w:r>
          </w:p>
        </w:tc>
        <w:tc>
          <w:tcPr>
            <w:tcW w:w="100" w:type="dxa"/>
            <w:vAlign w:val="bottom"/>
          </w:tcPr>
          <w:p>
            <w:pPr>
              <w:spacing w:after="0"/>
              <w:rPr>
                <w:sz w:val="14"/>
                <w:szCs w:val="14"/>
                <w:color w:val="auto"/>
              </w:rPr>
            </w:pPr>
          </w:p>
        </w:tc>
      </w:tr>
      <w:tr>
        <w:trPr>
          <w:trHeight w:val="146"/>
        </w:trPr>
        <w:tc>
          <w:tcPr>
            <w:tcW w:w="7120" w:type="dxa"/>
            <w:vAlign w:val="bottom"/>
            <w:shd w:val="clear" w:color="auto" w:fill="CCEEFF"/>
          </w:tcPr>
          <w:p>
            <w:pPr>
              <w:spacing w:after="0" w:line="146" w:lineRule="exact"/>
              <w:rPr>
                <w:sz w:val="20"/>
                <w:szCs w:val="20"/>
                <w:color w:val="auto"/>
              </w:rPr>
            </w:pPr>
            <w:r>
              <w:rPr>
                <w:rFonts w:ascii="Arial" w:cs="Arial" w:eastAsia="Arial" w:hAnsi="Arial"/>
                <w:sz w:val="13"/>
                <w:szCs w:val="13"/>
                <w:color w:val="auto"/>
              </w:rPr>
              <w:t>The Korea Exchange Bank</w:t>
            </w:r>
          </w:p>
        </w:tc>
        <w:tc>
          <w:tcPr>
            <w:tcW w:w="12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4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35, Euljiro, Jun-gu</w:t>
            </w: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r>
      <w:tr>
        <w:trPr>
          <w:trHeight w:val="172"/>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Seoul 100-793, Korea</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147,173</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6.6</w:t>
            </w:r>
          </w:p>
        </w:tc>
        <w:tc>
          <w:tcPr>
            <w:tcW w:w="12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0.4</w:t>
            </w:r>
          </w:p>
        </w:tc>
        <w:tc>
          <w:tcPr>
            <w:tcW w:w="100" w:type="dxa"/>
            <w:vAlign w:val="bottom"/>
            <w:shd w:val="clear" w:color="auto" w:fill="CCEEFF"/>
          </w:tcPr>
          <w:p>
            <w:pPr>
              <w:spacing w:after="0"/>
              <w:rPr>
                <w:sz w:val="14"/>
                <w:szCs w:val="14"/>
                <w:color w:val="auto"/>
              </w:rPr>
            </w:pPr>
          </w:p>
        </w:tc>
      </w:tr>
      <w:tr>
        <w:trPr>
          <w:trHeight w:val="144"/>
        </w:trPr>
        <w:tc>
          <w:tcPr>
            <w:tcW w:w="7120" w:type="dxa"/>
            <w:vAlign w:val="bottom"/>
            <w:tcBorders>
              <w:bottom w:val="single" w:sz="8" w:color="CCEEFF"/>
            </w:tcBorders>
          </w:tcPr>
          <w:p>
            <w:pPr>
              <w:spacing w:after="0" w:line="143" w:lineRule="exact"/>
              <w:rPr>
                <w:sz w:val="20"/>
                <w:szCs w:val="20"/>
                <w:color w:val="auto"/>
              </w:rPr>
            </w:pPr>
            <w:r>
              <w:rPr>
                <w:rFonts w:ascii="Arial" w:cs="Arial" w:eastAsia="Arial" w:hAnsi="Arial"/>
                <w:sz w:val="13"/>
                <w:szCs w:val="13"/>
                <w:color w:val="auto"/>
              </w:rPr>
              <w:t>Sub-total shares of Class B Common Stock</w:t>
            </w:r>
          </w:p>
        </w:tc>
        <w:tc>
          <w:tcPr>
            <w:tcW w:w="12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1,327,579</w:t>
            </w:r>
          </w:p>
        </w:tc>
        <w:tc>
          <w:tcPr>
            <w:tcW w:w="220" w:type="dxa"/>
            <w:vAlign w:val="bottom"/>
            <w:tcBorders>
              <w:bottom w:val="single" w:sz="8" w:color="CCEEFF"/>
            </w:tcBorders>
          </w:tcPr>
          <w:p>
            <w:pPr>
              <w:spacing w:after="0"/>
              <w:rPr>
                <w:sz w:val="12"/>
                <w:szCs w:val="12"/>
                <w:color w:val="auto"/>
              </w:rPr>
            </w:pPr>
          </w:p>
        </w:tc>
        <w:tc>
          <w:tcPr>
            <w:tcW w:w="12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59.2</w:t>
            </w:r>
          </w:p>
        </w:tc>
        <w:tc>
          <w:tcPr>
            <w:tcW w:w="220" w:type="dxa"/>
            <w:vAlign w:val="bottom"/>
            <w:tcBorders>
              <w:bottom w:val="single" w:sz="8" w:color="CCEEFF"/>
            </w:tcBorders>
          </w:tcPr>
          <w:p>
            <w:pPr>
              <w:spacing w:after="0"/>
              <w:rPr>
                <w:sz w:val="12"/>
                <w:szCs w:val="12"/>
                <w:color w:val="auto"/>
              </w:rPr>
            </w:pPr>
          </w:p>
        </w:tc>
        <w:tc>
          <w:tcPr>
            <w:tcW w:w="12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3.3</w:t>
            </w:r>
          </w:p>
        </w:tc>
        <w:tc>
          <w:tcPr>
            <w:tcW w:w="20" w:type="dxa"/>
            <w:vAlign w:val="bottom"/>
            <w:tcBorders>
              <w:bottom w:val="single" w:sz="8" w:color="CCEEFF"/>
            </w:tcBorders>
          </w:tcPr>
          <w:p>
            <w:pPr>
              <w:spacing w:after="0"/>
              <w:rPr>
                <w:sz w:val="12"/>
                <w:szCs w:val="12"/>
                <w:color w:val="auto"/>
              </w:rPr>
            </w:pPr>
          </w:p>
        </w:tc>
        <w:tc>
          <w:tcPr>
            <w:tcW w:w="100" w:type="dxa"/>
            <w:vAlign w:val="bottom"/>
            <w:tcBorders>
              <w:bottom w:val="single" w:sz="8" w:color="CCEEFF"/>
            </w:tcBorders>
          </w:tcPr>
          <w:p>
            <w:pPr>
              <w:spacing w:after="0"/>
              <w:rPr>
                <w:sz w:val="12"/>
                <w:szCs w:val="12"/>
                <w:color w:val="auto"/>
              </w:rPr>
            </w:pPr>
          </w:p>
        </w:tc>
      </w:tr>
      <w:tr>
        <w:trPr>
          <w:trHeight w:val="144"/>
        </w:trPr>
        <w:tc>
          <w:tcPr>
            <w:tcW w:w="7120" w:type="dxa"/>
            <w:vAlign w:val="bottom"/>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Total Shares of Class B Common Stock</w:t>
            </w:r>
          </w:p>
        </w:tc>
        <w:tc>
          <w:tcPr>
            <w:tcW w:w="1280" w:type="dxa"/>
            <w:vAlign w:val="bottom"/>
            <w:tcBorders>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2,245,227</w:t>
            </w:r>
          </w:p>
        </w:tc>
        <w:tc>
          <w:tcPr>
            <w:tcW w:w="220" w:type="dxa"/>
            <w:vAlign w:val="bottom"/>
            <w:shd w:val="clear" w:color="auto" w:fill="CCEEFF"/>
          </w:tcPr>
          <w:p>
            <w:pPr>
              <w:spacing w:after="0"/>
              <w:rPr>
                <w:sz w:val="12"/>
                <w:szCs w:val="12"/>
                <w:color w:val="auto"/>
              </w:rPr>
            </w:pPr>
          </w:p>
        </w:tc>
        <w:tc>
          <w:tcPr>
            <w:tcW w:w="1280" w:type="dxa"/>
            <w:vAlign w:val="bottom"/>
            <w:tcBorders>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100.0</w:t>
            </w:r>
          </w:p>
        </w:tc>
        <w:tc>
          <w:tcPr>
            <w:tcW w:w="220" w:type="dxa"/>
            <w:vAlign w:val="bottom"/>
            <w:shd w:val="clear" w:color="auto" w:fill="CCEEFF"/>
          </w:tcPr>
          <w:p>
            <w:pPr>
              <w:spacing w:after="0"/>
              <w:rPr>
                <w:sz w:val="12"/>
                <w:szCs w:val="12"/>
                <w:color w:val="auto"/>
              </w:rPr>
            </w:pPr>
          </w:p>
        </w:tc>
        <w:tc>
          <w:tcPr>
            <w:tcW w:w="1240" w:type="dxa"/>
            <w:vAlign w:val="bottom"/>
            <w:tcBorders>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5.7</w:t>
            </w: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r>
      <w:tr>
        <w:trPr>
          <w:trHeight w:val="285"/>
        </w:trPr>
        <w:tc>
          <w:tcPr>
            <w:tcW w:w="7120" w:type="dxa"/>
            <w:vAlign w:val="bottom"/>
          </w:tcPr>
          <w:p>
            <w:pPr>
              <w:spacing w:after="0"/>
              <w:rPr>
                <w:sz w:val="24"/>
                <w:szCs w:val="24"/>
                <w:color w:val="auto"/>
              </w:rPr>
            </w:pPr>
          </w:p>
        </w:tc>
        <w:tc>
          <w:tcPr>
            <w:tcW w:w="12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60" w:type="dxa"/>
            <w:vAlign w:val="bottom"/>
            <w:gridSpan w:val="3"/>
          </w:tcPr>
          <w:p>
            <w:pPr>
              <w:jc w:val="center"/>
              <w:ind w:right="120"/>
              <w:spacing w:after="0"/>
              <w:rPr>
                <w:sz w:val="20"/>
                <w:szCs w:val="20"/>
                <w:color w:val="auto"/>
              </w:rPr>
            </w:pPr>
            <w:r>
              <w:rPr>
                <w:rFonts w:ascii="Arial" w:cs="Arial" w:eastAsia="Arial" w:hAnsi="Arial"/>
                <w:sz w:val="13"/>
                <w:szCs w:val="13"/>
                <w:b w:val="1"/>
                <w:bCs w:val="1"/>
                <w:color w:val="auto"/>
                <w:w w:val="91"/>
              </w:rPr>
              <w:t>% of Total Common</w:t>
            </w:r>
          </w:p>
        </w:tc>
      </w:tr>
      <w:tr>
        <w:trPr>
          <w:trHeight w:val="166"/>
        </w:trPr>
        <w:tc>
          <w:tcPr>
            <w:tcW w:w="7120" w:type="dxa"/>
            <w:vAlign w:val="bottom"/>
          </w:tcPr>
          <w:p>
            <w:pPr>
              <w:spacing w:after="0"/>
              <w:rPr>
                <w:sz w:val="20"/>
                <w:szCs w:val="20"/>
                <w:color w:val="auto"/>
              </w:rPr>
            </w:pPr>
            <w:r>
              <w:rPr>
                <w:rFonts w:ascii="Arial" w:cs="Arial" w:eastAsia="Arial" w:hAnsi="Arial"/>
                <w:sz w:val="13"/>
                <w:szCs w:val="13"/>
                <w:b w:val="1"/>
                <w:bCs w:val="1"/>
                <w:color w:val="auto"/>
              </w:rPr>
              <w:t>Class E Common Stock</w:t>
            </w:r>
          </w:p>
        </w:tc>
        <w:tc>
          <w:tcPr>
            <w:tcW w:w="1500" w:type="dxa"/>
            <w:vAlign w:val="bottom"/>
            <w:gridSpan w:val="2"/>
          </w:tcPr>
          <w:p>
            <w:pPr>
              <w:ind w:left="140"/>
              <w:spacing w:after="0"/>
              <w:rPr>
                <w:sz w:val="20"/>
                <w:szCs w:val="20"/>
                <w:color w:val="auto"/>
              </w:rPr>
            </w:pPr>
            <w:r>
              <w:rPr>
                <w:rFonts w:ascii="Arial" w:cs="Arial" w:eastAsia="Arial" w:hAnsi="Arial"/>
                <w:sz w:val="13"/>
                <w:szCs w:val="13"/>
                <w:b w:val="1"/>
                <w:bCs w:val="1"/>
                <w:color w:val="auto"/>
              </w:rPr>
              <w:t>Number of Shares</w:t>
            </w:r>
          </w:p>
        </w:tc>
        <w:tc>
          <w:tcPr>
            <w:tcW w:w="1500" w:type="dxa"/>
            <w:vAlign w:val="bottom"/>
            <w:gridSpan w:val="2"/>
          </w:tcPr>
          <w:p>
            <w:pPr>
              <w:ind w:left="340"/>
              <w:spacing w:after="0"/>
              <w:rPr>
                <w:sz w:val="20"/>
                <w:szCs w:val="20"/>
                <w:color w:val="auto"/>
              </w:rPr>
            </w:pPr>
            <w:r>
              <w:rPr>
                <w:rFonts w:ascii="Arial" w:cs="Arial" w:eastAsia="Arial" w:hAnsi="Arial"/>
                <w:sz w:val="13"/>
                <w:szCs w:val="13"/>
                <w:b w:val="1"/>
                <w:bCs w:val="1"/>
                <w:color w:val="auto"/>
              </w:rPr>
              <w:t>% of Class</w:t>
            </w:r>
          </w:p>
        </w:tc>
        <w:tc>
          <w:tcPr>
            <w:tcW w:w="1360" w:type="dxa"/>
            <w:vAlign w:val="bottom"/>
            <w:gridSpan w:val="3"/>
          </w:tcPr>
          <w:p>
            <w:pPr>
              <w:jc w:val="center"/>
              <w:ind w:right="120"/>
              <w:spacing w:after="0"/>
              <w:rPr>
                <w:sz w:val="20"/>
                <w:szCs w:val="20"/>
                <w:color w:val="auto"/>
              </w:rPr>
            </w:pPr>
            <w:r>
              <w:rPr>
                <w:rFonts w:ascii="Arial" w:cs="Arial" w:eastAsia="Arial" w:hAnsi="Arial"/>
                <w:sz w:val="13"/>
                <w:szCs w:val="13"/>
                <w:b w:val="1"/>
                <w:bCs w:val="1"/>
                <w:color w:val="auto"/>
                <w:w w:val="90"/>
              </w:rPr>
              <w:t>Stock</w:t>
            </w:r>
          </w:p>
        </w:tc>
      </w:tr>
      <w:tr>
        <w:trPr>
          <w:trHeight w:val="155"/>
        </w:trPr>
        <w:tc>
          <w:tcPr>
            <w:tcW w:w="7120" w:type="dxa"/>
            <w:vAlign w:val="bottom"/>
            <w:tcBorders>
              <w:top w:val="single" w:sz="8" w:color="CCEEFF"/>
            </w:tcBorders>
            <w:shd w:val="clear" w:color="auto" w:fill="CCEEFF"/>
          </w:tcPr>
          <w:p>
            <w:pPr>
              <w:spacing w:after="0" w:line="154" w:lineRule="exact"/>
              <w:rPr>
                <w:sz w:val="20"/>
                <w:szCs w:val="20"/>
                <w:color w:val="auto"/>
              </w:rPr>
            </w:pPr>
            <w:r>
              <w:rPr>
                <w:rFonts w:ascii="Arial" w:cs="Arial" w:eastAsia="Arial" w:hAnsi="Arial"/>
                <w:sz w:val="11"/>
                <w:szCs w:val="11"/>
                <w:color w:val="auto"/>
              </w:rPr>
              <w:t xml:space="preserve">Brandes Investment Partners, L.P. </w:t>
            </w:r>
            <w:r>
              <w:rPr>
                <w:rFonts w:ascii="Arial" w:cs="Arial" w:eastAsia="Arial" w:hAnsi="Arial"/>
                <w:sz w:val="17"/>
                <w:szCs w:val="17"/>
                <w:color w:val="auto"/>
                <w:vertAlign w:val="superscript"/>
              </w:rPr>
              <w:t>(1)</w:t>
            </w:r>
          </w:p>
        </w:tc>
        <w:tc>
          <w:tcPr>
            <w:tcW w:w="1280" w:type="dxa"/>
            <w:vAlign w:val="bottom"/>
            <w:tcBorders>
              <w:top w:val="single" w:sz="8" w:color="auto"/>
            </w:tcBorders>
            <w:shd w:val="clear" w:color="auto" w:fill="CCEEFF"/>
          </w:tcPr>
          <w:p>
            <w:pPr>
              <w:spacing w:after="0"/>
              <w:rPr>
                <w:sz w:val="13"/>
                <w:szCs w:val="13"/>
                <w:color w:val="auto"/>
              </w:rPr>
            </w:pPr>
          </w:p>
        </w:tc>
        <w:tc>
          <w:tcPr>
            <w:tcW w:w="220" w:type="dxa"/>
            <w:vAlign w:val="bottom"/>
            <w:tcBorders>
              <w:top w:val="single" w:sz="8" w:color="CCEEFF"/>
            </w:tcBorders>
            <w:shd w:val="clear" w:color="auto" w:fill="CCEEFF"/>
          </w:tcPr>
          <w:p>
            <w:pPr>
              <w:spacing w:after="0"/>
              <w:rPr>
                <w:sz w:val="13"/>
                <w:szCs w:val="13"/>
                <w:color w:val="auto"/>
              </w:rPr>
            </w:pPr>
          </w:p>
        </w:tc>
        <w:tc>
          <w:tcPr>
            <w:tcW w:w="1280" w:type="dxa"/>
            <w:vAlign w:val="bottom"/>
            <w:tcBorders>
              <w:top w:val="single" w:sz="8" w:color="auto"/>
            </w:tcBorders>
            <w:shd w:val="clear" w:color="auto" w:fill="CCEEFF"/>
          </w:tcPr>
          <w:p>
            <w:pPr>
              <w:spacing w:after="0"/>
              <w:rPr>
                <w:sz w:val="13"/>
                <w:szCs w:val="13"/>
                <w:color w:val="auto"/>
              </w:rPr>
            </w:pPr>
          </w:p>
        </w:tc>
        <w:tc>
          <w:tcPr>
            <w:tcW w:w="220" w:type="dxa"/>
            <w:vAlign w:val="bottom"/>
            <w:tcBorders>
              <w:top w:val="single" w:sz="8" w:color="CCEEFF"/>
            </w:tcBorders>
            <w:shd w:val="clear" w:color="auto" w:fill="CCEEFF"/>
          </w:tcPr>
          <w:p>
            <w:pPr>
              <w:spacing w:after="0"/>
              <w:rPr>
                <w:sz w:val="13"/>
                <w:szCs w:val="13"/>
                <w:color w:val="auto"/>
              </w:rPr>
            </w:pPr>
          </w:p>
        </w:tc>
        <w:tc>
          <w:tcPr>
            <w:tcW w:w="1240" w:type="dxa"/>
            <w:vAlign w:val="bottom"/>
            <w:tcBorders>
              <w:top w:val="single" w:sz="8" w:color="auto"/>
            </w:tcBorders>
            <w:shd w:val="clear" w:color="auto" w:fill="CCEEFF"/>
          </w:tcPr>
          <w:p>
            <w:pPr>
              <w:spacing w:after="0"/>
              <w:rPr>
                <w:sz w:val="13"/>
                <w:szCs w:val="13"/>
                <w:color w:val="auto"/>
              </w:rPr>
            </w:pPr>
          </w:p>
        </w:tc>
        <w:tc>
          <w:tcPr>
            <w:tcW w:w="20" w:type="dxa"/>
            <w:vAlign w:val="bottom"/>
            <w:tcBorders>
              <w:top w:val="single" w:sz="8" w:color="CCEEFF"/>
            </w:tcBorders>
            <w:shd w:val="clear" w:color="auto" w:fill="CCEEFF"/>
          </w:tcPr>
          <w:p>
            <w:pPr>
              <w:spacing w:after="0"/>
              <w:rPr>
                <w:sz w:val="13"/>
                <w:szCs w:val="13"/>
                <w:color w:val="auto"/>
              </w:rPr>
            </w:pPr>
          </w:p>
        </w:tc>
        <w:tc>
          <w:tcPr>
            <w:tcW w:w="100" w:type="dxa"/>
            <w:vAlign w:val="bottom"/>
            <w:tcBorders>
              <w:top w:val="single" w:sz="8" w:color="CCEEFF"/>
            </w:tcBorders>
            <w:shd w:val="clear" w:color="auto" w:fill="CCEEFF"/>
          </w:tcPr>
          <w:p>
            <w:pPr>
              <w:spacing w:after="0"/>
              <w:rPr>
                <w:sz w:val="13"/>
                <w:szCs w:val="13"/>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11988 El Camino Real, Suite 600</w:t>
            </w: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San Diego, California 92130</w:t>
            </w: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r>
      <w:tr>
        <w:trPr>
          <w:trHeight w:val="163"/>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United States</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5,137,485</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16.6</w:t>
            </w:r>
          </w:p>
        </w:tc>
        <w:tc>
          <w:tcPr>
            <w:tcW w:w="12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13.0</w:t>
            </w:r>
          </w:p>
        </w:tc>
        <w:tc>
          <w:tcPr>
            <w:tcW w:w="100" w:type="dxa"/>
            <w:vAlign w:val="bottom"/>
            <w:shd w:val="clear" w:color="auto" w:fill="CCEEFF"/>
          </w:tcPr>
          <w:p>
            <w:pPr>
              <w:spacing w:after="0"/>
              <w:rPr>
                <w:sz w:val="14"/>
                <w:szCs w:val="14"/>
                <w:color w:val="auto"/>
              </w:rPr>
            </w:pPr>
          </w:p>
        </w:tc>
      </w:tr>
      <w:tr>
        <w:trPr>
          <w:trHeight w:val="174"/>
        </w:trPr>
        <w:tc>
          <w:tcPr>
            <w:tcW w:w="7120" w:type="dxa"/>
            <w:vAlign w:val="bottom"/>
          </w:tcPr>
          <w:p>
            <w:pPr>
              <w:spacing w:after="0" w:line="174" w:lineRule="exact"/>
              <w:rPr>
                <w:sz w:val="20"/>
                <w:szCs w:val="20"/>
                <w:color w:val="auto"/>
              </w:rPr>
            </w:pPr>
            <w:r>
              <w:rPr>
                <w:rFonts w:ascii="Arial" w:cs="Arial" w:eastAsia="Arial" w:hAnsi="Arial"/>
                <w:sz w:val="12"/>
                <w:szCs w:val="12"/>
                <w:color w:val="auto"/>
              </w:rPr>
              <w:t xml:space="preserve">Principal Global Investors, LLC </w:t>
            </w:r>
            <w:r>
              <w:rPr>
                <w:rFonts w:ascii="Arial" w:cs="Arial" w:eastAsia="Arial" w:hAnsi="Arial"/>
                <w:sz w:val="20"/>
                <w:szCs w:val="20"/>
                <w:color w:val="auto"/>
                <w:vertAlign w:val="superscript"/>
              </w:rPr>
              <w:t>(2)</w:t>
            </w:r>
          </w:p>
        </w:tc>
        <w:tc>
          <w:tcPr>
            <w:tcW w:w="12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4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100" w:type="dxa"/>
            <w:vAlign w:val="bottom"/>
          </w:tcPr>
          <w:p>
            <w:pPr>
              <w:spacing w:after="0"/>
              <w:rPr>
                <w:sz w:val="15"/>
                <w:szCs w:val="15"/>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711 High Street</w:t>
            </w: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Des Moines, Iowa 50392</w:t>
            </w: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62"/>
        </w:trPr>
        <w:tc>
          <w:tcPr>
            <w:tcW w:w="7120" w:type="dxa"/>
            <w:vAlign w:val="bottom"/>
          </w:tcPr>
          <w:p>
            <w:pPr>
              <w:spacing w:after="0"/>
              <w:rPr>
                <w:sz w:val="20"/>
                <w:szCs w:val="20"/>
                <w:color w:val="auto"/>
              </w:rPr>
            </w:pPr>
            <w:r>
              <w:rPr>
                <w:rFonts w:ascii="Arial" w:cs="Arial" w:eastAsia="Arial" w:hAnsi="Arial"/>
                <w:sz w:val="13"/>
                <w:szCs w:val="13"/>
                <w:color w:val="auto"/>
              </w:rPr>
              <w:t>United States</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2,542,963</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8.2</w:t>
            </w:r>
          </w:p>
        </w:tc>
        <w:tc>
          <w:tcPr>
            <w:tcW w:w="1260" w:type="dxa"/>
            <w:vAlign w:val="bottom"/>
            <w:gridSpan w:val="2"/>
          </w:tcPr>
          <w:p>
            <w:pPr>
              <w:jc w:val="right"/>
              <w:ind w:right="20"/>
              <w:spacing w:after="0"/>
              <w:rPr>
                <w:sz w:val="20"/>
                <w:szCs w:val="20"/>
                <w:color w:val="auto"/>
              </w:rPr>
            </w:pPr>
            <w:r>
              <w:rPr>
                <w:rFonts w:ascii="Arial" w:cs="Arial" w:eastAsia="Arial" w:hAnsi="Arial"/>
                <w:sz w:val="13"/>
                <w:szCs w:val="13"/>
                <w:color w:val="auto"/>
              </w:rPr>
              <w:t>6.4</w:t>
            </w:r>
          </w:p>
        </w:tc>
        <w:tc>
          <w:tcPr>
            <w:tcW w:w="100" w:type="dxa"/>
            <w:vAlign w:val="bottom"/>
          </w:tcPr>
          <w:p>
            <w:pPr>
              <w:spacing w:after="0"/>
              <w:rPr>
                <w:sz w:val="14"/>
                <w:szCs w:val="14"/>
                <w:color w:val="auto"/>
              </w:rPr>
            </w:pPr>
          </w:p>
        </w:tc>
      </w:tr>
      <w:tr>
        <w:trPr>
          <w:trHeight w:val="175"/>
        </w:trPr>
        <w:tc>
          <w:tcPr>
            <w:tcW w:w="7120" w:type="dxa"/>
            <w:vAlign w:val="bottom"/>
            <w:shd w:val="clear" w:color="auto" w:fill="CCEEFF"/>
          </w:tcPr>
          <w:p>
            <w:pPr>
              <w:spacing w:after="0" w:line="175" w:lineRule="exact"/>
              <w:rPr>
                <w:sz w:val="20"/>
                <w:szCs w:val="20"/>
                <w:color w:val="auto"/>
              </w:rPr>
            </w:pPr>
            <w:r>
              <w:rPr>
                <w:rFonts w:ascii="Arial" w:cs="Arial" w:eastAsia="Arial" w:hAnsi="Arial"/>
                <w:sz w:val="12"/>
                <w:szCs w:val="12"/>
                <w:color w:val="auto"/>
              </w:rPr>
              <w:t xml:space="preserve">Paradice Investment Management, LLC </w:t>
            </w:r>
            <w:r>
              <w:rPr>
                <w:rFonts w:ascii="Arial" w:cs="Arial" w:eastAsia="Arial" w:hAnsi="Arial"/>
                <w:sz w:val="20"/>
                <w:szCs w:val="20"/>
                <w:color w:val="auto"/>
                <w:vertAlign w:val="superscript"/>
              </w:rPr>
              <w:t>(3)</w:t>
            </w:r>
          </w:p>
        </w:tc>
        <w:tc>
          <w:tcPr>
            <w:tcW w:w="128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28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240" w:type="dxa"/>
            <w:vAlign w:val="bottom"/>
            <w:shd w:val="clear" w:color="auto" w:fill="CCEEFF"/>
          </w:tcPr>
          <w:p>
            <w:pPr>
              <w:spacing w:after="0"/>
              <w:rPr>
                <w:sz w:val="15"/>
                <w:szCs w:val="15"/>
                <w:color w:val="auto"/>
              </w:rPr>
            </w:pPr>
          </w:p>
        </w:tc>
        <w:tc>
          <w:tcPr>
            <w:tcW w:w="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257 Fillmore Street, Suite 200</w:t>
            </w: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r>
      <w:tr>
        <w:trPr>
          <w:trHeight w:val="154"/>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Denver, Colorado 80206</w:t>
            </w: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r>
      <w:tr>
        <w:trPr>
          <w:trHeight w:val="163"/>
        </w:trPr>
        <w:tc>
          <w:tcPr>
            <w:tcW w:w="7120" w:type="dxa"/>
            <w:vAlign w:val="bottom"/>
            <w:shd w:val="clear" w:color="auto" w:fill="CCEEFF"/>
          </w:tcPr>
          <w:p>
            <w:pPr>
              <w:spacing w:after="0"/>
              <w:rPr>
                <w:sz w:val="20"/>
                <w:szCs w:val="20"/>
                <w:color w:val="auto"/>
              </w:rPr>
            </w:pPr>
            <w:r>
              <w:rPr>
                <w:rFonts w:ascii="Arial" w:cs="Arial" w:eastAsia="Arial" w:hAnsi="Arial"/>
                <w:sz w:val="13"/>
                <w:szCs w:val="13"/>
                <w:color w:val="auto"/>
              </w:rPr>
              <w:t>United States</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2,389,375</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7.7</w:t>
            </w:r>
          </w:p>
        </w:tc>
        <w:tc>
          <w:tcPr>
            <w:tcW w:w="12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6.0</w:t>
            </w:r>
          </w:p>
        </w:tc>
        <w:tc>
          <w:tcPr>
            <w:tcW w:w="100" w:type="dxa"/>
            <w:vAlign w:val="bottom"/>
            <w:shd w:val="clear" w:color="auto" w:fill="CCEEFF"/>
          </w:tcPr>
          <w:p>
            <w:pPr>
              <w:spacing w:after="0"/>
              <w:rPr>
                <w:sz w:val="14"/>
                <w:szCs w:val="14"/>
                <w:color w:val="auto"/>
              </w:rPr>
            </w:pPr>
          </w:p>
        </w:tc>
      </w:tr>
      <w:tr>
        <w:trPr>
          <w:trHeight w:val="174"/>
        </w:trPr>
        <w:tc>
          <w:tcPr>
            <w:tcW w:w="7120" w:type="dxa"/>
            <w:vAlign w:val="bottom"/>
          </w:tcPr>
          <w:p>
            <w:pPr>
              <w:spacing w:after="0" w:line="174" w:lineRule="exact"/>
              <w:rPr>
                <w:sz w:val="20"/>
                <w:szCs w:val="20"/>
                <w:color w:val="auto"/>
              </w:rPr>
            </w:pPr>
            <w:r>
              <w:rPr>
                <w:rFonts w:ascii="Arial" w:cs="Arial" w:eastAsia="Arial" w:hAnsi="Arial"/>
                <w:sz w:val="12"/>
                <w:szCs w:val="12"/>
                <w:color w:val="auto"/>
              </w:rPr>
              <w:t xml:space="preserve">LSV Asset Management </w:t>
            </w:r>
            <w:r>
              <w:rPr>
                <w:rFonts w:ascii="Arial" w:cs="Arial" w:eastAsia="Arial" w:hAnsi="Arial"/>
                <w:sz w:val="20"/>
                <w:szCs w:val="20"/>
                <w:color w:val="auto"/>
                <w:vertAlign w:val="superscript"/>
              </w:rPr>
              <w:t>(4)</w:t>
            </w:r>
          </w:p>
        </w:tc>
        <w:tc>
          <w:tcPr>
            <w:tcW w:w="12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4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100" w:type="dxa"/>
            <w:vAlign w:val="bottom"/>
          </w:tcPr>
          <w:p>
            <w:pPr>
              <w:spacing w:after="0"/>
              <w:rPr>
                <w:sz w:val="15"/>
                <w:szCs w:val="15"/>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155 N. Wacker Drive, Suite 4600</w:t>
            </w: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7120" w:type="dxa"/>
            <w:vAlign w:val="bottom"/>
          </w:tcPr>
          <w:p>
            <w:pPr>
              <w:spacing w:after="0"/>
              <w:rPr>
                <w:sz w:val="20"/>
                <w:szCs w:val="20"/>
                <w:color w:val="auto"/>
              </w:rPr>
            </w:pPr>
            <w:r>
              <w:rPr>
                <w:rFonts w:ascii="Arial" w:cs="Arial" w:eastAsia="Arial" w:hAnsi="Arial"/>
                <w:sz w:val="13"/>
                <w:szCs w:val="13"/>
                <w:color w:val="auto"/>
              </w:rPr>
              <w:t>Chicago, Illinois 60606</w:t>
            </w: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72"/>
        </w:trPr>
        <w:tc>
          <w:tcPr>
            <w:tcW w:w="7120" w:type="dxa"/>
            <w:vAlign w:val="bottom"/>
          </w:tcPr>
          <w:p>
            <w:pPr>
              <w:spacing w:after="0"/>
              <w:rPr>
                <w:sz w:val="20"/>
                <w:szCs w:val="20"/>
                <w:color w:val="auto"/>
              </w:rPr>
            </w:pPr>
            <w:r>
              <w:rPr>
                <w:rFonts w:ascii="Arial" w:cs="Arial" w:eastAsia="Arial" w:hAnsi="Arial"/>
                <w:sz w:val="13"/>
                <w:szCs w:val="13"/>
                <w:color w:val="auto"/>
              </w:rPr>
              <w:t>United States</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1,738,374</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5.6</w:t>
            </w:r>
          </w:p>
        </w:tc>
        <w:tc>
          <w:tcPr>
            <w:tcW w:w="1260" w:type="dxa"/>
            <w:vAlign w:val="bottom"/>
            <w:gridSpan w:val="2"/>
          </w:tcPr>
          <w:p>
            <w:pPr>
              <w:jc w:val="right"/>
              <w:ind w:right="20"/>
              <w:spacing w:after="0"/>
              <w:rPr>
                <w:sz w:val="20"/>
                <w:szCs w:val="20"/>
                <w:color w:val="auto"/>
              </w:rPr>
            </w:pPr>
            <w:r>
              <w:rPr>
                <w:rFonts w:ascii="Arial" w:cs="Arial" w:eastAsia="Arial" w:hAnsi="Arial"/>
                <w:sz w:val="13"/>
                <w:szCs w:val="13"/>
                <w:color w:val="auto"/>
              </w:rPr>
              <w:t>4.4</w:t>
            </w:r>
          </w:p>
        </w:tc>
        <w:tc>
          <w:tcPr>
            <w:tcW w:w="100" w:type="dxa"/>
            <w:vAlign w:val="bottom"/>
          </w:tcPr>
          <w:p>
            <w:pPr>
              <w:spacing w:after="0"/>
              <w:rPr>
                <w:sz w:val="14"/>
                <w:szCs w:val="14"/>
                <w:color w:val="auto"/>
              </w:rPr>
            </w:pPr>
          </w:p>
        </w:tc>
      </w:tr>
      <w:tr>
        <w:trPr>
          <w:trHeight w:val="144"/>
        </w:trPr>
        <w:tc>
          <w:tcPr>
            <w:tcW w:w="7120" w:type="dxa"/>
            <w:vAlign w:val="bottom"/>
            <w:tcBorders>
              <w:top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Sub-total shares of Class E Common Stock</w:t>
            </w:r>
          </w:p>
        </w:tc>
        <w:tc>
          <w:tcPr>
            <w:tcW w:w="12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11,808,197</w:t>
            </w:r>
          </w:p>
        </w:tc>
        <w:tc>
          <w:tcPr>
            <w:tcW w:w="220" w:type="dxa"/>
            <w:vAlign w:val="bottom"/>
            <w:tcBorders>
              <w:top w:val="single" w:sz="8" w:color="CCEEFF"/>
            </w:tcBorders>
            <w:shd w:val="clear" w:color="auto" w:fill="CCEEFF"/>
          </w:tcPr>
          <w:p>
            <w:pPr>
              <w:spacing w:after="0"/>
              <w:rPr>
                <w:sz w:val="12"/>
                <w:szCs w:val="12"/>
                <w:color w:val="auto"/>
              </w:rPr>
            </w:pPr>
          </w:p>
        </w:tc>
        <w:tc>
          <w:tcPr>
            <w:tcW w:w="12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38.2</w:t>
            </w: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29.8</w:t>
            </w:r>
          </w:p>
        </w:tc>
        <w:tc>
          <w:tcPr>
            <w:tcW w:w="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r>
      <w:tr>
        <w:trPr>
          <w:trHeight w:val="144"/>
        </w:trPr>
        <w:tc>
          <w:tcPr>
            <w:tcW w:w="7120" w:type="dxa"/>
            <w:vAlign w:val="bottom"/>
          </w:tcPr>
          <w:p>
            <w:pPr>
              <w:spacing w:after="0" w:line="144" w:lineRule="exact"/>
              <w:rPr>
                <w:sz w:val="20"/>
                <w:szCs w:val="20"/>
                <w:color w:val="auto"/>
              </w:rPr>
            </w:pPr>
            <w:r>
              <w:rPr>
                <w:rFonts w:ascii="Arial" w:cs="Arial" w:eastAsia="Arial" w:hAnsi="Arial"/>
                <w:sz w:val="13"/>
                <w:szCs w:val="13"/>
                <w:b w:val="1"/>
                <w:bCs w:val="1"/>
                <w:color w:val="auto"/>
              </w:rPr>
              <w:t>Total Shares of Class E Common Stock</w:t>
            </w:r>
          </w:p>
        </w:tc>
        <w:tc>
          <w:tcPr>
            <w:tcW w:w="1280" w:type="dxa"/>
            <w:vAlign w:val="bottom"/>
            <w:tcBorders>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30,951,135</w:t>
            </w:r>
          </w:p>
        </w:tc>
        <w:tc>
          <w:tcPr>
            <w:tcW w:w="220" w:type="dxa"/>
            <w:vAlign w:val="bottom"/>
          </w:tcPr>
          <w:p>
            <w:pPr>
              <w:spacing w:after="0"/>
              <w:rPr>
                <w:sz w:val="12"/>
                <w:szCs w:val="12"/>
                <w:color w:val="auto"/>
              </w:rPr>
            </w:pPr>
          </w:p>
        </w:tc>
        <w:tc>
          <w:tcPr>
            <w:tcW w:w="1280" w:type="dxa"/>
            <w:vAlign w:val="bottom"/>
            <w:tcBorders>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100.0</w:t>
            </w:r>
          </w:p>
        </w:tc>
        <w:tc>
          <w:tcPr>
            <w:tcW w:w="220" w:type="dxa"/>
            <w:vAlign w:val="bottom"/>
          </w:tcPr>
          <w:p>
            <w:pPr>
              <w:spacing w:after="0"/>
              <w:rPr>
                <w:sz w:val="12"/>
                <w:szCs w:val="12"/>
                <w:color w:val="auto"/>
              </w:rPr>
            </w:pPr>
          </w:p>
        </w:tc>
        <w:tc>
          <w:tcPr>
            <w:tcW w:w="1240" w:type="dxa"/>
            <w:vAlign w:val="bottom"/>
            <w:tcBorders>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78.3</w:t>
            </w: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304"/>
        </w:trPr>
        <w:tc>
          <w:tcPr>
            <w:tcW w:w="7120" w:type="dxa"/>
            <w:vAlign w:val="bottom"/>
          </w:tcPr>
          <w:p>
            <w:pPr>
              <w:spacing w:after="0"/>
              <w:rPr>
                <w:sz w:val="24"/>
                <w:szCs w:val="24"/>
                <w:color w:val="auto"/>
              </w:rPr>
            </w:pPr>
          </w:p>
        </w:tc>
        <w:tc>
          <w:tcPr>
            <w:tcW w:w="12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60" w:type="dxa"/>
            <w:vAlign w:val="bottom"/>
            <w:gridSpan w:val="3"/>
          </w:tcPr>
          <w:p>
            <w:pPr>
              <w:jc w:val="center"/>
              <w:ind w:right="120"/>
              <w:spacing w:after="0"/>
              <w:rPr>
                <w:sz w:val="20"/>
                <w:szCs w:val="20"/>
                <w:color w:val="auto"/>
              </w:rPr>
            </w:pPr>
            <w:r>
              <w:rPr>
                <w:rFonts w:ascii="Arial" w:cs="Arial" w:eastAsia="Arial" w:hAnsi="Arial"/>
                <w:sz w:val="13"/>
                <w:szCs w:val="13"/>
                <w:b w:val="1"/>
                <w:bCs w:val="1"/>
                <w:color w:val="auto"/>
                <w:w w:val="91"/>
              </w:rPr>
              <w:t>% of Total Common</w:t>
            </w:r>
          </w:p>
        </w:tc>
      </w:tr>
      <w:tr>
        <w:trPr>
          <w:trHeight w:val="166"/>
        </w:trPr>
        <w:tc>
          <w:tcPr>
            <w:tcW w:w="7120" w:type="dxa"/>
            <w:vAlign w:val="bottom"/>
          </w:tcPr>
          <w:p>
            <w:pPr>
              <w:spacing w:after="0"/>
              <w:rPr>
                <w:sz w:val="20"/>
                <w:szCs w:val="20"/>
                <w:color w:val="auto"/>
              </w:rPr>
            </w:pPr>
            <w:r>
              <w:rPr>
                <w:rFonts w:ascii="Arial" w:cs="Arial" w:eastAsia="Arial" w:hAnsi="Arial"/>
                <w:sz w:val="13"/>
                <w:szCs w:val="13"/>
                <w:b w:val="1"/>
                <w:bCs w:val="1"/>
                <w:color w:val="auto"/>
              </w:rPr>
              <w:t>Class F Common Stock</w:t>
            </w:r>
          </w:p>
        </w:tc>
        <w:tc>
          <w:tcPr>
            <w:tcW w:w="1500" w:type="dxa"/>
            <w:vAlign w:val="bottom"/>
            <w:gridSpan w:val="2"/>
          </w:tcPr>
          <w:p>
            <w:pPr>
              <w:ind w:left="140"/>
              <w:spacing w:after="0"/>
              <w:rPr>
                <w:sz w:val="20"/>
                <w:szCs w:val="20"/>
                <w:color w:val="auto"/>
              </w:rPr>
            </w:pPr>
            <w:r>
              <w:rPr>
                <w:rFonts w:ascii="Arial" w:cs="Arial" w:eastAsia="Arial" w:hAnsi="Arial"/>
                <w:sz w:val="13"/>
                <w:szCs w:val="13"/>
                <w:b w:val="1"/>
                <w:bCs w:val="1"/>
                <w:color w:val="auto"/>
              </w:rPr>
              <w:t>Number of Shares</w:t>
            </w:r>
          </w:p>
        </w:tc>
        <w:tc>
          <w:tcPr>
            <w:tcW w:w="1500" w:type="dxa"/>
            <w:vAlign w:val="bottom"/>
            <w:gridSpan w:val="2"/>
          </w:tcPr>
          <w:p>
            <w:pPr>
              <w:ind w:left="340"/>
              <w:spacing w:after="0"/>
              <w:rPr>
                <w:sz w:val="20"/>
                <w:szCs w:val="20"/>
                <w:color w:val="auto"/>
              </w:rPr>
            </w:pPr>
            <w:r>
              <w:rPr>
                <w:rFonts w:ascii="Arial" w:cs="Arial" w:eastAsia="Arial" w:hAnsi="Arial"/>
                <w:sz w:val="13"/>
                <w:szCs w:val="13"/>
                <w:b w:val="1"/>
                <w:bCs w:val="1"/>
                <w:color w:val="auto"/>
              </w:rPr>
              <w:t>% of Class</w:t>
            </w:r>
          </w:p>
        </w:tc>
        <w:tc>
          <w:tcPr>
            <w:tcW w:w="1360" w:type="dxa"/>
            <w:vAlign w:val="bottom"/>
            <w:gridSpan w:val="3"/>
          </w:tcPr>
          <w:p>
            <w:pPr>
              <w:jc w:val="center"/>
              <w:ind w:right="120"/>
              <w:spacing w:after="0"/>
              <w:rPr>
                <w:sz w:val="20"/>
                <w:szCs w:val="20"/>
                <w:color w:val="auto"/>
              </w:rPr>
            </w:pPr>
            <w:r>
              <w:rPr>
                <w:rFonts w:ascii="Arial" w:cs="Arial" w:eastAsia="Arial" w:hAnsi="Arial"/>
                <w:sz w:val="13"/>
                <w:szCs w:val="13"/>
                <w:b w:val="1"/>
                <w:bCs w:val="1"/>
                <w:color w:val="auto"/>
                <w:w w:val="90"/>
              </w:rPr>
              <w:t>Stock</w:t>
            </w:r>
          </w:p>
        </w:tc>
      </w:tr>
      <w:tr>
        <w:trPr>
          <w:trHeight w:val="144"/>
        </w:trPr>
        <w:tc>
          <w:tcPr>
            <w:tcW w:w="712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Total Shares of Class F Common Stock</w:t>
            </w:r>
          </w:p>
        </w:tc>
        <w:tc>
          <w:tcPr>
            <w:tcW w:w="12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0</w:t>
            </w:r>
          </w:p>
        </w:tc>
        <w:tc>
          <w:tcPr>
            <w:tcW w:w="220" w:type="dxa"/>
            <w:vAlign w:val="bottom"/>
            <w:tcBorders>
              <w:top w:val="single" w:sz="8" w:color="CCEEFF"/>
            </w:tcBorders>
            <w:shd w:val="clear" w:color="auto" w:fill="CCEEFF"/>
          </w:tcPr>
          <w:p>
            <w:pPr>
              <w:spacing w:after="0"/>
              <w:rPr>
                <w:sz w:val="12"/>
                <w:szCs w:val="12"/>
                <w:color w:val="auto"/>
              </w:rPr>
            </w:pPr>
          </w:p>
        </w:tc>
        <w:tc>
          <w:tcPr>
            <w:tcW w:w="12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0.0</w:t>
            </w: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0.0</w:t>
            </w:r>
          </w:p>
        </w:tc>
        <w:tc>
          <w:tcPr>
            <w:tcW w:w="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r>
      <w:tr>
        <w:trPr>
          <w:trHeight w:val="144"/>
        </w:trPr>
        <w:tc>
          <w:tcPr>
            <w:tcW w:w="7120" w:type="dxa"/>
            <w:vAlign w:val="bottom"/>
          </w:tcPr>
          <w:p>
            <w:pPr>
              <w:spacing w:after="0" w:line="144" w:lineRule="exact"/>
              <w:rPr>
                <w:sz w:val="20"/>
                <w:szCs w:val="20"/>
                <w:color w:val="auto"/>
              </w:rPr>
            </w:pPr>
            <w:r>
              <w:rPr>
                <w:rFonts w:ascii="Arial" w:cs="Arial" w:eastAsia="Arial" w:hAnsi="Arial"/>
                <w:sz w:val="13"/>
                <w:szCs w:val="13"/>
                <w:b w:val="1"/>
                <w:bCs w:val="1"/>
                <w:color w:val="auto"/>
              </w:rPr>
              <w:t>Total Shares of Common Stock</w:t>
            </w:r>
          </w:p>
        </w:tc>
        <w:tc>
          <w:tcPr>
            <w:tcW w:w="1280" w:type="dxa"/>
            <w:vAlign w:val="bottom"/>
            <w:tcBorders>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39,538,551</w:t>
            </w:r>
          </w:p>
        </w:tc>
        <w:tc>
          <w:tcPr>
            <w:tcW w:w="220" w:type="dxa"/>
            <w:vAlign w:val="bottom"/>
          </w:tcPr>
          <w:p>
            <w:pPr>
              <w:spacing w:after="0"/>
              <w:rPr>
                <w:sz w:val="12"/>
                <w:szCs w:val="12"/>
                <w:color w:val="auto"/>
              </w:rPr>
            </w:pPr>
          </w:p>
        </w:tc>
        <w:tc>
          <w:tcPr>
            <w:tcW w:w="1280" w:type="dxa"/>
            <w:vAlign w:val="bottom"/>
            <w:tcBorders>
              <w:bottom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Borders>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100.0</w:t>
            </w:r>
          </w:p>
        </w:tc>
        <w:tc>
          <w:tcPr>
            <w:tcW w:w="20" w:type="dxa"/>
            <w:vAlign w:val="bottom"/>
            <w:tcBorders>
              <w:bottom w:val="single" w:sz="8" w:color="auto"/>
            </w:tcBorders>
          </w:tcPr>
          <w:p>
            <w:pPr>
              <w:spacing w:after="0"/>
              <w:rPr>
                <w:sz w:val="12"/>
                <w:szCs w:val="12"/>
                <w:color w:val="auto"/>
              </w:rPr>
            </w:pPr>
          </w:p>
        </w:tc>
        <w:tc>
          <w:tcPr>
            <w:tcW w:w="100" w:type="dxa"/>
            <w:vAlign w:val="bottom"/>
          </w:tcPr>
          <w:p>
            <w:pPr>
              <w:spacing w:after="0"/>
              <w:rPr>
                <w:sz w:val="12"/>
                <w:szCs w:val="12"/>
                <w:color w:val="auto"/>
              </w:rPr>
            </w:pPr>
          </w:p>
        </w:tc>
      </w:tr>
    </w:tbl>
    <w:p>
      <w:pPr>
        <w:spacing w:after="0" w:line="66" w:lineRule="exact"/>
        <w:rPr>
          <w:sz w:val="20"/>
          <w:szCs w:val="20"/>
          <w:color w:val="auto"/>
        </w:rPr>
      </w:pPr>
    </w:p>
    <w:p>
      <w:pPr>
        <w:ind w:left="223" w:hanging="223"/>
        <w:spacing w:after="0"/>
        <w:tabs>
          <w:tab w:leader="none" w:pos="223" w:val="left"/>
        </w:tabs>
        <w:numPr>
          <w:ilvl w:val="0"/>
          <w:numId w:val="61"/>
        </w:numPr>
        <w:rPr>
          <w:rFonts w:ascii="Arial" w:cs="Arial" w:eastAsia="Arial" w:hAnsi="Arial"/>
          <w:sz w:val="21"/>
          <w:szCs w:val="21"/>
          <w:color w:val="auto"/>
          <w:vertAlign w:val="superscript"/>
        </w:rPr>
      </w:pPr>
      <w:r>
        <w:rPr>
          <w:rFonts w:ascii="Arial" w:cs="Arial" w:eastAsia="Arial" w:hAnsi="Arial"/>
          <w:sz w:val="13"/>
          <w:szCs w:val="13"/>
          <w:color w:val="auto"/>
        </w:rPr>
        <w:t>Source: Schedule 13G/A filing with the U.S. Securities and Exchange Commission on January 10, 2019.</w:t>
      </w:r>
    </w:p>
    <w:p>
      <w:pPr>
        <w:spacing w:after="0" w:line="1" w:lineRule="exact"/>
        <w:rPr>
          <w:rFonts w:ascii="Arial" w:cs="Arial" w:eastAsia="Arial" w:hAnsi="Arial"/>
          <w:sz w:val="21"/>
          <w:szCs w:val="21"/>
          <w:color w:val="auto"/>
          <w:vertAlign w:val="superscript"/>
        </w:rPr>
      </w:pPr>
    </w:p>
    <w:p>
      <w:pPr>
        <w:ind w:left="223" w:hanging="223"/>
        <w:spacing w:after="0" w:line="187" w:lineRule="auto"/>
        <w:tabs>
          <w:tab w:leader="none" w:pos="223" w:val="left"/>
        </w:tabs>
        <w:numPr>
          <w:ilvl w:val="0"/>
          <w:numId w:val="61"/>
        </w:numPr>
        <w:rPr>
          <w:rFonts w:ascii="Arial" w:cs="Arial" w:eastAsia="Arial" w:hAnsi="Arial"/>
          <w:sz w:val="17"/>
          <w:szCs w:val="17"/>
          <w:color w:val="auto"/>
          <w:vertAlign w:val="superscript"/>
        </w:rPr>
      </w:pPr>
      <w:r>
        <w:rPr>
          <w:rFonts w:ascii="Arial" w:cs="Arial" w:eastAsia="Arial" w:hAnsi="Arial"/>
          <w:sz w:val="11"/>
          <w:szCs w:val="11"/>
          <w:color w:val="auto"/>
        </w:rPr>
        <w:t>Source: Shareholder Identification Report performed by Ipreo, a service provider of Bladex.</w:t>
      </w:r>
    </w:p>
    <w:p>
      <w:pPr>
        <w:spacing w:after="0" w:line="1" w:lineRule="exact"/>
        <w:rPr>
          <w:rFonts w:ascii="Arial" w:cs="Arial" w:eastAsia="Arial" w:hAnsi="Arial"/>
          <w:sz w:val="17"/>
          <w:szCs w:val="17"/>
          <w:color w:val="auto"/>
          <w:vertAlign w:val="superscript"/>
        </w:rPr>
      </w:pPr>
    </w:p>
    <w:p>
      <w:pPr>
        <w:ind w:left="223" w:hanging="223"/>
        <w:spacing w:after="0" w:line="187" w:lineRule="auto"/>
        <w:tabs>
          <w:tab w:leader="none" w:pos="223" w:val="left"/>
        </w:tabs>
        <w:numPr>
          <w:ilvl w:val="0"/>
          <w:numId w:val="61"/>
        </w:numPr>
        <w:rPr>
          <w:rFonts w:ascii="Arial" w:cs="Arial" w:eastAsia="Arial" w:hAnsi="Arial"/>
          <w:sz w:val="17"/>
          <w:szCs w:val="17"/>
          <w:color w:val="auto"/>
          <w:vertAlign w:val="superscript"/>
        </w:rPr>
      </w:pPr>
      <w:r>
        <w:rPr>
          <w:rFonts w:ascii="Arial" w:cs="Arial" w:eastAsia="Arial" w:hAnsi="Arial"/>
          <w:sz w:val="11"/>
          <w:szCs w:val="11"/>
          <w:color w:val="auto"/>
        </w:rPr>
        <w:t>Source: Schedule 13G/A filing with the U.S. Securities and Exchange Commission dated February 14, 2019.</w:t>
      </w:r>
    </w:p>
    <w:p>
      <w:pPr>
        <w:spacing w:after="0" w:line="1" w:lineRule="exact"/>
        <w:rPr>
          <w:rFonts w:ascii="Arial" w:cs="Arial" w:eastAsia="Arial" w:hAnsi="Arial"/>
          <w:sz w:val="17"/>
          <w:szCs w:val="17"/>
          <w:color w:val="auto"/>
          <w:vertAlign w:val="superscript"/>
        </w:rPr>
      </w:pPr>
    </w:p>
    <w:p>
      <w:pPr>
        <w:ind w:left="223" w:hanging="223"/>
        <w:spacing w:after="0" w:line="187" w:lineRule="auto"/>
        <w:tabs>
          <w:tab w:leader="none" w:pos="223" w:val="left"/>
        </w:tabs>
        <w:numPr>
          <w:ilvl w:val="0"/>
          <w:numId w:val="61"/>
        </w:numPr>
        <w:rPr>
          <w:rFonts w:ascii="Arial" w:cs="Arial" w:eastAsia="Arial" w:hAnsi="Arial"/>
          <w:sz w:val="17"/>
          <w:szCs w:val="17"/>
          <w:color w:val="auto"/>
          <w:vertAlign w:val="superscript"/>
        </w:rPr>
      </w:pPr>
      <w:r>
        <w:rPr>
          <w:rFonts w:ascii="Arial" w:cs="Arial" w:eastAsia="Arial" w:hAnsi="Arial"/>
          <w:sz w:val="11"/>
          <w:szCs w:val="11"/>
          <w:color w:val="auto"/>
        </w:rPr>
        <w:t>Source: Schedule 13G filing with the U.S. Securities and Exchange Commission dated February 12, 2019.</w:t>
      </w:r>
    </w:p>
    <w:p>
      <w:pPr>
        <w:spacing w:after="0" w:line="146" w:lineRule="exact"/>
        <w:rPr>
          <w:sz w:val="20"/>
          <w:szCs w:val="20"/>
          <w:color w:val="auto"/>
        </w:rPr>
      </w:pPr>
    </w:p>
    <w:p>
      <w:pPr>
        <w:ind w:left="3"/>
        <w:spacing w:after="0"/>
        <w:rPr>
          <w:sz w:val="20"/>
          <w:szCs w:val="20"/>
          <w:color w:val="auto"/>
        </w:rPr>
      </w:pPr>
      <w:r>
        <w:rPr>
          <w:rFonts w:ascii="Arial" w:cs="Arial" w:eastAsia="Arial" w:hAnsi="Arial"/>
          <w:sz w:val="13"/>
          <w:szCs w:val="13"/>
          <w:color w:val="auto"/>
        </w:rPr>
        <w:t>All common shares have the same rights and privileges regardless of their class, except that:</w:t>
      </w:r>
    </w:p>
    <w:p>
      <w:pPr>
        <w:spacing w:after="0" w:line="159" w:lineRule="exact"/>
        <w:rPr>
          <w:sz w:val="20"/>
          <w:szCs w:val="20"/>
          <w:color w:val="auto"/>
        </w:rPr>
      </w:pPr>
    </w:p>
    <w:p>
      <w:pPr>
        <w:ind w:left="923" w:right="20" w:hanging="230"/>
        <w:spacing w:after="0" w:line="275" w:lineRule="auto"/>
        <w:tabs>
          <w:tab w:leader="none" w:pos="923" w:val="left"/>
        </w:tabs>
        <w:numPr>
          <w:ilvl w:val="0"/>
          <w:numId w:val="62"/>
        </w:numPr>
        <w:rPr>
          <w:rFonts w:ascii="Arial" w:cs="Arial" w:eastAsia="Arial" w:hAnsi="Arial"/>
          <w:sz w:val="12"/>
          <w:szCs w:val="12"/>
          <w:color w:val="auto"/>
        </w:rPr>
      </w:pPr>
      <w:r>
        <w:rPr>
          <w:rFonts w:ascii="Arial" w:cs="Arial" w:eastAsia="Arial" w:hAnsi="Arial"/>
          <w:sz w:val="12"/>
          <w:szCs w:val="12"/>
          <w:color w:val="auto"/>
        </w:rPr>
        <w:t>The affirmative vote of three-quarters (3/4) of the issued and outstanding Class A shares is required (1) to dissolve and liquidate the Bank, (2) to amend certain material provisions of the Articles of Incorporation, (3) to merge or consolidate the Bank with another entity and (4) to authorize the Bank to engage in activities other than those described in its Articles of Incorporation;</w:t>
      </w:r>
    </w:p>
    <w:p>
      <w:pPr>
        <w:ind w:left="923" w:hanging="230"/>
        <w:spacing w:after="0"/>
        <w:tabs>
          <w:tab w:leader="none" w:pos="923" w:val="left"/>
        </w:tabs>
        <w:numPr>
          <w:ilvl w:val="0"/>
          <w:numId w:val="62"/>
        </w:numPr>
        <w:rPr>
          <w:rFonts w:ascii="Arial" w:cs="Arial" w:eastAsia="Arial" w:hAnsi="Arial"/>
          <w:sz w:val="12"/>
          <w:szCs w:val="12"/>
          <w:color w:val="auto"/>
        </w:rPr>
      </w:pPr>
      <w:r>
        <w:rPr>
          <w:rFonts w:ascii="Arial" w:cs="Arial" w:eastAsia="Arial" w:hAnsi="Arial"/>
          <w:sz w:val="12"/>
          <w:szCs w:val="12"/>
          <w:color w:val="auto"/>
        </w:rPr>
        <w:t>The Class E shares are freely transferable without restriction to any person, while the Class A shares, Class B shares and Class F shares can only be transferred to qualified holders of each class;</w:t>
      </w:r>
    </w:p>
    <w:p>
      <w:pPr>
        <w:spacing w:after="0" w:line="16" w:lineRule="exact"/>
        <w:rPr>
          <w:rFonts w:ascii="Arial" w:cs="Arial" w:eastAsia="Arial" w:hAnsi="Arial"/>
          <w:sz w:val="12"/>
          <w:szCs w:val="12"/>
          <w:color w:val="auto"/>
        </w:rPr>
      </w:pPr>
    </w:p>
    <w:p>
      <w:pPr>
        <w:ind w:left="923" w:hanging="230"/>
        <w:spacing w:after="0"/>
        <w:tabs>
          <w:tab w:leader="none" w:pos="923" w:val="left"/>
        </w:tabs>
        <w:numPr>
          <w:ilvl w:val="0"/>
          <w:numId w:val="62"/>
        </w:numPr>
        <w:rPr>
          <w:rFonts w:ascii="Arial" w:cs="Arial" w:eastAsia="Arial" w:hAnsi="Arial"/>
          <w:sz w:val="13"/>
          <w:szCs w:val="13"/>
          <w:color w:val="auto"/>
        </w:rPr>
      </w:pPr>
      <w:r>
        <w:rPr>
          <w:rFonts w:ascii="Arial" w:cs="Arial" w:eastAsia="Arial" w:hAnsi="Arial"/>
          <w:sz w:val="13"/>
          <w:szCs w:val="13"/>
          <w:color w:val="auto"/>
        </w:rPr>
        <w:t>The Class B shares and Class F shares may be converted into Class E shares;</w:t>
      </w:r>
    </w:p>
    <w:p>
      <w:pPr>
        <w:spacing w:after="0" w:line="4" w:lineRule="exact"/>
        <w:rPr>
          <w:rFonts w:ascii="Arial" w:cs="Arial" w:eastAsia="Arial" w:hAnsi="Arial"/>
          <w:sz w:val="13"/>
          <w:szCs w:val="13"/>
          <w:color w:val="auto"/>
        </w:rPr>
      </w:pPr>
    </w:p>
    <w:p>
      <w:pPr>
        <w:ind w:left="923" w:right="20" w:hanging="230"/>
        <w:spacing w:after="0" w:line="254" w:lineRule="auto"/>
        <w:tabs>
          <w:tab w:leader="none" w:pos="923" w:val="left"/>
        </w:tabs>
        <w:numPr>
          <w:ilvl w:val="0"/>
          <w:numId w:val="62"/>
        </w:numPr>
        <w:rPr>
          <w:rFonts w:ascii="Arial" w:cs="Arial" w:eastAsia="Arial" w:hAnsi="Arial"/>
          <w:sz w:val="13"/>
          <w:szCs w:val="13"/>
          <w:color w:val="auto"/>
        </w:rPr>
      </w:pPr>
      <w:r>
        <w:rPr>
          <w:rFonts w:ascii="Arial" w:cs="Arial" w:eastAsia="Arial" w:hAnsi="Arial"/>
          <w:sz w:val="13"/>
          <w:szCs w:val="13"/>
          <w:color w:val="auto"/>
        </w:rPr>
        <w:t>The holders of Class A shares, Class B shares and Class F shares benefit from pre-emptive rights in respect of shares of the same class of shares owned by them that may be issued by virtue of a capital increase, in proportion to the shares of the class owned by them, but the holders of Class E shares do not; and</w:t>
      </w:r>
    </w:p>
    <w:p>
      <w:pPr>
        <w:spacing w:after="0" w:line="305"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97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99" w:name="page100"/>
    <w:bookmarkEnd w:id="99"/>
    <w:p>
      <w:pPr>
        <w:jc w:val="both"/>
        <w:ind w:left="923" w:right="20" w:hanging="230"/>
        <w:spacing w:after="0" w:line="257" w:lineRule="auto"/>
        <w:tabs>
          <w:tab w:leader="none" w:pos="923" w:val="left"/>
        </w:tabs>
        <w:numPr>
          <w:ilvl w:val="0"/>
          <w:numId w:val="63"/>
        </w:numPr>
        <w:rPr>
          <w:rFonts w:ascii="Arial" w:cs="Arial" w:eastAsia="Arial" w:hAnsi="Arial"/>
          <w:sz w:val="13"/>
          <w:szCs w:val="13"/>
          <w:color w:val="auto"/>
        </w:rPr>
      </w:pPr>
      <w:r>
        <w:rPr>
          <w:rFonts w:ascii="Arial" w:cs="Arial" w:eastAsia="Arial" w:hAnsi="Arial"/>
          <w:sz w:val="13"/>
          <w:szCs w:val="13"/>
          <w:color w:val="auto"/>
        </w:rPr>
        <w:t>All classes vote separately for their respective directors. The holders of the Class A common shares have the right to elect three (3) Directors; the holders of the Class E common shares can elect five (5) Directors; and the holders of the Class F common shares have the right to elect one (1) Director, so long as the number of issued and outstanding Class F common shares is equal to or greater than fifteen per cent (15%) of the total number of issued and outstanding common shares of the corporation.</w:t>
      </w:r>
    </w:p>
    <w:p>
      <w:pPr>
        <w:spacing w:after="0" w:line="136" w:lineRule="exact"/>
        <w:rPr>
          <w:sz w:val="20"/>
          <w:szCs w:val="20"/>
          <w:color w:val="auto"/>
        </w:rPr>
      </w:pPr>
    </w:p>
    <w:tbl>
      <w:tblPr>
        <w:tblLayout w:type="fixed"/>
        <w:tblInd w:w="3" w:type="dxa"/>
        <w:tblCellMar>
          <w:top w:w="0" w:type="dxa"/>
          <w:left w:w="0" w:type="dxa"/>
          <w:bottom w:w="0" w:type="dxa"/>
          <w:right w:w="0" w:type="dxa"/>
        </w:tblCellMar>
      </w:tblPr>
      <w:tr>
        <w:trPr>
          <w:trHeight w:val="162"/>
        </w:trPr>
        <w:tc>
          <w:tcPr>
            <w:tcW w:w="7120" w:type="dxa"/>
            <w:vAlign w:val="bottom"/>
            <w:gridSpan w:val="2"/>
          </w:tcPr>
          <w:p>
            <w:pPr>
              <w:spacing w:after="0"/>
              <w:rPr>
                <w:sz w:val="20"/>
                <w:szCs w:val="20"/>
                <w:color w:val="auto"/>
              </w:rPr>
            </w:pPr>
            <w:r>
              <w:rPr>
                <w:rFonts w:ascii="Arial" w:cs="Arial" w:eastAsia="Arial" w:hAnsi="Arial"/>
                <w:sz w:val="13"/>
                <w:szCs w:val="13"/>
                <w:color w:val="auto"/>
                <w:w w:val="90"/>
              </w:rPr>
              <w:t>Set forth below are the number of shares of each class of the Bank’s common stock issued and outstanding as of the dates listed below:</w:t>
            </w:r>
          </w:p>
        </w:tc>
        <w:tc>
          <w:tcPr>
            <w:tcW w:w="12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40" w:type="dxa"/>
            <w:vAlign w:val="bottom"/>
          </w:tcPr>
          <w:p>
            <w:pPr>
              <w:spacing w:after="0"/>
              <w:rPr>
                <w:sz w:val="14"/>
                <w:szCs w:val="14"/>
                <w:color w:val="auto"/>
              </w:rPr>
            </w:pPr>
          </w:p>
        </w:tc>
        <w:tc>
          <w:tcPr>
            <w:tcW w:w="120" w:type="dxa"/>
            <w:vAlign w:val="bottom"/>
          </w:tcPr>
          <w:p>
            <w:pPr>
              <w:spacing w:after="0"/>
              <w:rPr>
                <w:sz w:val="14"/>
                <w:szCs w:val="14"/>
                <w:color w:val="auto"/>
              </w:rPr>
            </w:pPr>
          </w:p>
        </w:tc>
      </w:tr>
      <w:tr>
        <w:trPr>
          <w:trHeight w:val="318"/>
        </w:trPr>
        <w:tc>
          <w:tcPr>
            <w:tcW w:w="70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4360" w:type="dxa"/>
            <w:vAlign w:val="bottom"/>
            <w:gridSpan w:val="6"/>
          </w:tcPr>
          <w:p>
            <w:pPr>
              <w:jc w:val="center"/>
              <w:ind w:right="120"/>
              <w:spacing w:after="0"/>
              <w:rPr>
                <w:sz w:val="20"/>
                <w:szCs w:val="20"/>
                <w:color w:val="auto"/>
              </w:rPr>
            </w:pPr>
            <w:r>
              <w:rPr>
                <w:rFonts w:ascii="Arial" w:cs="Arial" w:eastAsia="Arial" w:hAnsi="Arial"/>
                <w:sz w:val="13"/>
                <w:szCs w:val="13"/>
                <w:b w:val="1"/>
                <w:bCs w:val="1"/>
                <w:color w:val="auto"/>
                <w:w w:val="88"/>
              </w:rPr>
              <w:t>Number of Shares Outstanding as of</w:t>
            </w:r>
          </w:p>
        </w:tc>
      </w:tr>
      <w:tr>
        <w:trPr>
          <w:trHeight w:val="154"/>
        </w:trPr>
        <w:tc>
          <w:tcPr>
            <w:tcW w:w="7120" w:type="dxa"/>
            <w:vAlign w:val="bottom"/>
            <w:gridSpan w:val="2"/>
          </w:tcPr>
          <w:p>
            <w:pPr>
              <w:ind w:left="3080"/>
              <w:spacing w:after="0"/>
              <w:rPr>
                <w:sz w:val="20"/>
                <w:szCs w:val="20"/>
                <w:color w:val="auto"/>
              </w:rPr>
            </w:pPr>
            <w:r>
              <w:rPr>
                <w:rFonts w:ascii="Arial" w:cs="Arial" w:eastAsia="Arial" w:hAnsi="Arial"/>
                <w:sz w:val="13"/>
                <w:szCs w:val="13"/>
                <w:b w:val="1"/>
                <w:bCs w:val="1"/>
                <w:color w:val="auto"/>
              </w:rPr>
              <w:t>Class of Shares</w:t>
            </w:r>
          </w:p>
        </w:tc>
        <w:tc>
          <w:tcPr>
            <w:tcW w:w="1500" w:type="dxa"/>
            <w:vAlign w:val="bottom"/>
            <w:tcBorders>
              <w:top w:val="single" w:sz="8" w:color="auto"/>
            </w:tcBorders>
            <w:gridSpan w:val="2"/>
          </w:tcPr>
          <w:p>
            <w:pPr>
              <w:ind w:left="120"/>
              <w:spacing w:after="0"/>
              <w:rPr>
                <w:sz w:val="20"/>
                <w:szCs w:val="20"/>
                <w:color w:val="auto"/>
              </w:rPr>
            </w:pPr>
            <w:r>
              <w:rPr>
                <w:rFonts w:ascii="Arial" w:cs="Arial" w:eastAsia="Arial" w:hAnsi="Arial"/>
                <w:sz w:val="13"/>
                <w:szCs w:val="13"/>
                <w:b w:val="1"/>
                <w:bCs w:val="1"/>
                <w:color w:val="auto"/>
              </w:rPr>
              <w:t>December 31, 2018</w:t>
            </w:r>
          </w:p>
        </w:tc>
        <w:tc>
          <w:tcPr>
            <w:tcW w:w="1500" w:type="dxa"/>
            <w:vAlign w:val="bottom"/>
            <w:tcBorders>
              <w:top w:val="single" w:sz="8" w:color="auto"/>
            </w:tcBorders>
            <w:gridSpan w:val="2"/>
          </w:tcPr>
          <w:p>
            <w:pPr>
              <w:jc w:val="center"/>
              <w:ind w:right="220"/>
              <w:spacing w:after="0"/>
              <w:rPr>
                <w:sz w:val="20"/>
                <w:szCs w:val="20"/>
                <w:color w:val="auto"/>
              </w:rPr>
            </w:pPr>
            <w:r>
              <w:rPr>
                <w:rFonts w:ascii="Arial" w:cs="Arial" w:eastAsia="Arial" w:hAnsi="Arial"/>
                <w:sz w:val="13"/>
                <w:szCs w:val="13"/>
                <w:b w:val="1"/>
                <w:bCs w:val="1"/>
                <w:color w:val="auto"/>
                <w:w w:val="88"/>
              </w:rPr>
              <w:t>December 31, 2017</w:t>
            </w:r>
          </w:p>
        </w:tc>
        <w:tc>
          <w:tcPr>
            <w:tcW w:w="1240" w:type="dxa"/>
            <w:vAlign w:val="bottom"/>
            <w:tcBorders>
              <w:top w:val="single" w:sz="8" w:color="auto"/>
            </w:tcBorders>
          </w:tcPr>
          <w:p>
            <w:pPr>
              <w:jc w:val="right"/>
              <w:ind w:right="36"/>
              <w:spacing w:after="0"/>
              <w:rPr>
                <w:sz w:val="20"/>
                <w:szCs w:val="20"/>
                <w:color w:val="auto"/>
              </w:rPr>
            </w:pPr>
            <w:r>
              <w:rPr>
                <w:rFonts w:ascii="Arial" w:cs="Arial" w:eastAsia="Arial" w:hAnsi="Arial"/>
                <w:sz w:val="13"/>
                <w:szCs w:val="13"/>
                <w:b w:val="1"/>
                <w:bCs w:val="1"/>
                <w:color w:val="auto"/>
                <w:w w:val="95"/>
              </w:rPr>
              <w:t>December 31, 2016</w:t>
            </w:r>
          </w:p>
        </w:tc>
        <w:tc>
          <w:tcPr>
            <w:tcW w:w="120" w:type="dxa"/>
            <w:vAlign w:val="bottom"/>
          </w:tcPr>
          <w:p>
            <w:pPr>
              <w:spacing w:after="0"/>
              <w:rPr>
                <w:sz w:val="13"/>
                <w:szCs w:val="13"/>
                <w:color w:val="auto"/>
              </w:rPr>
            </w:pPr>
          </w:p>
        </w:tc>
      </w:tr>
      <w:tr>
        <w:trPr>
          <w:trHeight w:val="144"/>
        </w:trPr>
        <w:tc>
          <w:tcPr>
            <w:tcW w:w="7000" w:type="dxa"/>
            <w:vAlign w:val="bottom"/>
            <w:tcBorders>
              <w:top w:val="single" w:sz="8" w:color="auto"/>
            </w:tcBorders>
            <w:shd w:val="clear" w:color="auto" w:fill="CCEEFF"/>
          </w:tcPr>
          <w:p>
            <w:pPr>
              <w:spacing w:after="0" w:line="144" w:lineRule="exact"/>
              <w:rPr>
                <w:sz w:val="20"/>
                <w:szCs w:val="20"/>
                <w:color w:val="auto"/>
              </w:rPr>
            </w:pPr>
            <w:r>
              <w:rPr>
                <w:rFonts w:ascii="Arial" w:cs="Arial" w:eastAsia="Arial" w:hAnsi="Arial"/>
                <w:sz w:val="13"/>
                <w:szCs w:val="13"/>
                <w:color w:val="auto"/>
              </w:rPr>
              <w:t>Class A Common Shares</w:t>
            </w:r>
          </w:p>
        </w:tc>
        <w:tc>
          <w:tcPr>
            <w:tcW w:w="120" w:type="dxa"/>
            <w:vAlign w:val="bottom"/>
            <w:tcBorders>
              <w:top w:val="single" w:sz="8" w:color="CCEEFF"/>
            </w:tcBorders>
            <w:shd w:val="clear" w:color="auto" w:fill="CCEEFF"/>
          </w:tcPr>
          <w:p>
            <w:pPr>
              <w:spacing w:after="0"/>
              <w:rPr>
                <w:sz w:val="12"/>
                <w:szCs w:val="12"/>
                <w:color w:val="auto"/>
              </w:rPr>
            </w:pPr>
          </w:p>
        </w:tc>
        <w:tc>
          <w:tcPr>
            <w:tcW w:w="12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6,342,189</w:t>
            </w:r>
          </w:p>
        </w:tc>
        <w:tc>
          <w:tcPr>
            <w:tcW w:w="220" w:type="dxa"/>
            <w:vAlign w:val="bottom"/>
            <w:tcBorders>
              <w:top w:val="single" w:sz="8" w:color="CCEEFF"/>
            </w:tcBorders>
            <w:shd w:val="clear" w:color="auto" w:fill="CCEEFF"/>
          </w:tcPr>
          <w:p>
            <w:pPr>
              <w:spacing w:after="0"/>
              <w:rPr>
                <w:sz w:val="12"/>
                <w:szCs w:val="12"/>
                <w:color w:val="auto"/>
              </w:rPr>
            </w:pPr>
          </w:p>
        </w:tc>
        <w:tc>
          <w:tcPr>
            <w:tcW w:w="12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6,342,189</w:t>
            </w: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6,342,189</w:t>
            </w:r>
          </w:p>
        </w:tc>
        <w:tc>
          <w:tcPr>
            <w:tcW w:w="120" w:type="dxa"/>
            <w:vAlign w:val="bottom"/>
            <w:tcBorders>
              <w:top w:val="single" w:sz="8" w:color="CCEEFF"/>
            </w:tcBorders>
            <w:shd w:val="clear" w:color="auto" w:fill="CCEEFF"/>
          </w:tcPr>
          <w:p>
            <w:pPr>
              <w:spacing w:after="0"/>
              <w:rPr>
                <w:sz w:val="12"/>
                <w:szCs w:val="12"/>
                <w:color w:val="auto"/>
              </w:rPr>
            </w:pPr>
          </w:p>
        </w:tc>
      </w:tr>
      <w:tr>
        <w:trPr>
          <w:trHeight w:val="154"/>
        </w:trPr>
        <w:tc>
          <w:tcPr>
            <w:tcW w:w="7120" w:type="dxa"/>
            <w:vAlign w:val="bottom"/>
            <w:gridSpan w:val="2"/>
          </w:tcPr>
          <w:p>
            <w:pPr>
              <w:spacing w:after="0"/>
              <w:rPr>
                <w:sz w:val="20"/>
                <w:szCs w:val="20"/>
                <w:color w:val="auto"/>
              </w:rPr>
            </w:pPr>
            <w:r>
              <w:rPr>
                <w:rFonts w:ascii="Arial" w:cs="Arial" w:eastAsia="Arial" w:hAnsi="Arial"/>
                <w:sz w:val="13"/>
                <w:szCs w:val="13"/>
                <w:color w:val="auto"/>
              </w:rPr>
              <w:t>Class B Common Shares</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2,245,227</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2,408,806</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2,474,469</w:t>
            </w:r>
          </w:p>
        </w:tc>
      </w:tr>
      <w:tr>
        <w:trPr>
          <w:trHeight w:val="154"/>
        </w:trPr>
        <w:tc>
          <w:tcPr>
            <w:tcW w:w="712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Class E Common Shares</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30,951,135</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30,677,840</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30,343,390</w:t>
            </w:r>
          </w:p>
        </w:tc>
      </w:tr>
      <w:tr>
        <w:trPr>
          <w:trHeight w:val="163"/>
        </w:trPr>
        <w:tc>
          <w:tcPr>
            <w:tcW w:w="7120" w:type="dxa"/>
            <w:vAlign w:val="bottom"/>
            <w:gridSpan w:val="2"/>
          </w:tcPr>
          <w:p>
            <w:pPr>
              <w:spacing w:after="0"/>
              <w:rPr>
                <w:sz w:val="20"/>
                <w:szCs w:val="20"/>
                <w:color w:val="auto"/>
              </w:rPr>
            </w:pPr>
            <w:r>
              <w:rPr>
                <w:rFonts w:ascii="Arial" w:cs="Arial" w:eastAsia="Arial" w:hAnsi="Arial"/>
                <w:sz w:val="13"/>
                <w:szCs w:val="13"/>
                <w:color w:val="auto"/>
              </w:rPr>
              <w:t>Class F Common Shares</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0</w:t>
            </w:r>
          </w:p>
        </w:tc>
      </w:tr>
      <w:tr>
        <w:trPr>
          <w:trHeight w:val="144"/>
        </w:trPr>
        <w:tc>
          <w:tcPr>
            <w:tcW w:w="7120" w:type="dxa"/>
            <w:vAlign w:val="bottom"/>
            <w:tcBorders>
              <w:top w:val="single" w:sz="8" w:color="CCEEFF"/>
            </w:tcBorders>
            <w:gridSpan w:val="2"/>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Total Common Shares</w:t>
            </w:r>
          </w:p>
        </w:tc>
        <w:tc>
          <w:tcPr>
            <w:tcW w:w="12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39,538,551</w:t>
            </w:r>
          </w:p>
        </w:tc>
        <w:tc>
          <w:tcPr>
            <w:tcW w:w="220" w:type="dxa"/>
            <w:vAlign w:val="bottom"/>
            <w:tcBorders>
              <w:top w:val="single" w:sz="8" w:color="CCEEFF"/>
            </w:tcBorders>
            <w:shd w:val="clear" w:color="auto" w:fill="CCEEFF"/>
          </w:tcPr>
          <w:p>
            <w:pPr>
              <w:spacing w:after="0"/>
              <w:rPr>
                <w:sz w:val="12"/>
                <w:szCs w:val="12"/>
                <w:color w:val="auto"/>
              </w:rPr>
            </w:pPr>
          </w:p>
        </w:tc>
        <w:tc>
          <w:tcPr>
            <w:tcW w:w="12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39,428,835</w:t>
            </w: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39,160,048</w:t>
            </w:r>
          </w:p>
        </w:tc>
        <w:tc>
          <w:tcPr>
            <w:tcW w:w="120" w:type="dxa"/>
            <w:vAlign w:val="bottom"/>
            <w:tcBorders>
              <w:top w:val="single" w:sz="8" w:color="CCEEFF"/>
            </w:tcBorders>
            <w:shd w:val="clear" w:color="auto" w:fill="CCEEFF"/>
          </w:tcPr>
          <w:p>
            <w:pPr>
              <w:spacing w:after="0"/>
              <w:rPr>
                <w:sz w:val="12"/>
                <w:szCs w:val="12"/>
                <w:color w:val="auto"/>
              </w:rPr>
            </w:pPr>
          </w:p>
        </w:tc>
      </w:tr>
    </w:tbl>
    <w:p>
      <w:pPr>
        <w:spacing w:after="0" w:line="145" w:lineRule="exact"/>
        <w:rPr>
          <w:sz w:val="20"/>
          <w:szCs w:val="20"/>
          <w:color w:val="auto"/>
        </w:rPr>
      </w:pPr>
    </w:p>
    <w:p>
      <w:pPr>
        <w:jc w:val="both"/>
        <w:ind w:left="3" w:right="20"/>
        <w:spacing w:after="0" w:line="289" w:lineRule="auto"/>
        <w:rPr>
          <w:sz w:val="20"/>
          <w:szCs w:val="20"/>
          <w:color w:val="auto"/>
        </w:rPr>
      </w:pPr>
      <w:r>
        <w:rPr>
          <w:rFonts w:ascii="Arial" w:cs="Arial" w:eastAsia="Arial" w:hAnsi="Arial"/>
          <w:sz w:val="12"/>
          <w:szCs w:val="12"/>
          <w:color w:val="auto"/>
        </w:rPr>
        <w:t>The number of the Bank’s Class A common shares outstanding as of December 31, 2018 did not change from December 31, 2017. Class B common shares decreased by 163.6 thousand shares during the same period, mostly due to the repurchase of common shares and the Class B conversions into Class E common shares. During the year ended December 31, 2018, Class E common shares outstanding increased by 273.3 thousand shares, primarily as a result of exercised stock options, issued and vested restricted stock units of Bank’s Directors, and the Class B conversions into Class E common shares.</w:t>
      </w:r>
    </w:p>
    <w:p>
      <w:pPr>
        <w:spacing w:after="0" w:line="118" w:lineRule="exact"/>
        <w:rPr>
          <w:sz w:val="20"/>
          <w:szCs w:val="20"/>
          <w:color w:val="auto"/>
        </w:rPr>
      </w:pPr>
    </w:p>
    <w:p>
      <w:pPr>
        <w:jc w:val="both"/>
        <w:ind w:left="3" w:right="20"/>
        <w:spacing w:after="0" w:line="289" w:lineRule="auto"/>
        <w:rPr>
          <w:sz w:val="20"/>
          <w:szCs w:val="20"/>
          <w:color w:val="auto"/>
        </w:rPr>
      </w:pPr>
      <w:r>
        <w:rPr>
          <w:rFonts w:ascii="Arial" w:cs="Arial" w:eastAsia="Arial" w:hAnsi="Arial"/>
          <w:sz w:val="12"/>
          <w:szCs w:val="12"/>
          <w:color w:val="auto"/>
        </w:rPr>
        <w:t>As of December 31, 2018, there were a total of 56 holders of record of our Class E shares, of which 17 were registered with addresses in the United States. Such United States record holders were, as of such date, the holders of record of approximately 94.56% of our outstanding Class E shares. The number of record holders in the United States is not representative of the number of beneficial holders nor is it representative of where such beneficial holders reside, as many of these ordinary shares were held of record by brokers or other nominees. None of our Class A shares or Class B shares are held in the United States.</w:t>
      </w:r>
    </w:p>
    <w:p>
      <w:pPr>
        <w:spacing w:after="0" w:line="118"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Bank had no preferred stock issued and outstanding as of December 31, 2018.</w:t>
      </w:r>
    </w:p>
    <w:p>
      <w:pPr>
        <w:spacing w:after="0" w:line="155" w:lineRule="exact"/>
        <w:rPr>
          <w:sz w:val="20"/>
          <w:szCs w:val="20"/>
          <w:color w:val="auto"/>
        </w:rPr>
      </w:pPr>
    </w:p>
    <w:p>
      <w:pPr>
        <w:ind w:left="463" w:hanging="463"/>
        <w:spacing w:after="0"/>
        <w:tabs>
          <w:tab w:leader="none" w:pos="463" w:val="left"/>
        </w:tabs>
        <w:numPr>
          <w:ilvl w:val="0"/>
          <w:numId w:val="64"/>
        </w:numPr>
        <w:rPr>
          <w:rFonts w:ascii="Arial" w:cs="Arial" w:eastAsia="Arial" w:hAnsi="Arial"/>
          <w:sz w:val="13"/>
          <w:szCs w:val="13"/>
          <w:b w:val="1"/>
          <w:bCs w:val="1"/>
          <w:color w:val="auto"/>
        </w:rPr>
      </w:pPr>
      <w:r>
        <w:rPr>
          <w:rFonts w:ascii="Arial" w:cs="Arial" w:eastAsia="Arial" w:hAnsi="Arial"/>
          <w:sz w:val="13"/>
          <w:szCs w:val="13"/>
          <w:b w:val="1"/>
          <w:bCs w:val="1"/>
          <w:color w:val="auto"/>
        </w:rPr>
        <w:t>Related Party Transactions</w:t>
      </w:r>
    </w:p>
    <w:p>
      <w:pPr>
        <w:spacing w:after="0" w:line="163" w:lineRule="exact"/>
        <w:rPr>
          <w:sz w:val="20"/>
          <w:szCs w:val="20"/>
          <w:color w:val="auto"/>
        </w:rPr>
      </w:pPr>
    </w:p>
    <w:p>
      <w:pPr>
        <w:jc w:val="both"/>
        <w:ind w:left="3" w:right="20"/>
        <w:spacing w:after="0" w:line="257" w:lineRule="auto"/>
        <w:rPr>
          <w:sz w:val="20"/>
          <w:szCs w:val="20"/>
          <w:color w:val="auto"/>
        </w:rPr>
      </w:pPr>
      <w:r>
        <w:rPr>
          <w:rFonts w:ascii="Arial" w:cs="Arial" w:eastAsia="Arial" w:hAnsi="Arial"/>
          <w:sz w:val="13"/>
          <w:szCs w:val="13"/>
          <w:color w:val="auto"/>
        </w:rPr>
        <w:t>Certain Directors of the Bank are also Directors and Executive Officers of banks and/or other companies located in Latin America, the Caribbean and elsewhere. Some of these banks and/or other companies own shares of the Bank’s common stock and have entered into loan transactions with the Bank in the ordinary course of business, in compliance with Panamanian regulatory related party limits set forth above in Item 4.B, “Information on the Company—Business Overview—Supervision and Regulation—Panamanian Law.”</w:t>
      </w:r>
    </w:p>
    <w:p>
      <w:pPr>
        <w:spacing w:after="0" w:line="136" w:lineRule="exact"/>
        <w:rPr>
          <w:sz w:val="20"/>
          <w:szCs w:val="20"/>
          <w:color w:val="auto"/>
        </w:rPr>
      </w:pPr>
    </w:p>
    <w:p>
      <w:pPr>
        <w:jc w:val="both"/>
        <w:ind w:left="3" w:right="20"/>
        <w:spacing w:after="0" w:line="314" w:lineRule="auto"/>
        <w:rPr>
          <w:sz w:val="20"/>
          <w:szCs w:val="20"/>
          <w:color w:val="auto"/>
        </w:rPr>
      </w:pPr>
      <w:r>
        <w:rPr>
          <w:rFonts w:ascii="Arial" w:cs="Arial" w:eastAsia="Arial" w:hAnsi="Arial"/>
          <w:sz w:val="11"/>
          <w:szCs w:val="11"/>
          <w:color w:val="auto"/>
        </w:rPr>
        <w:t>As of December 31, 2018 and December 31, 2017, the Bank had credit transactions in the normal course of business with 17% and 21%, respectively, of its Class A and B stockholders. All transactions were made based on arm’s-length terms and subject to prevailing commercial criteria and market rates and were subject to all of the Bank’s Corporate Governance and control procedures. As of December 31, 2018 and December 31, 2017, approximately 9% and 14%, respectively, of the outstanding loan portfolio was placed with the Bank’s Class A and B stockholders and their related parties. As of December 31, 2018, the Bank was not directly or indirectly owned or controlled by another corporation or any foreign government, and no Class A or B shareholder was the registered owner of more than 3.5% of the total outstanding shares of the voting capital stock of the Bank.</w:t>
      </w:r>
    </w:p>
    <w:p>
      <w:pPr>
        <w:spacing w:after="0" w:line="108" w:lineRule="exact"/>
        <w:rPr>
          <w:sz w:val="20"/>
          <w:szCs w:val="20"/>
          <w:color w:val="auto"/>
        </w:rPr>
      </w:pPr>
    </w:p>
    <w:p>
      <w:pPr>
        <w:ind w:left="3"/>
        <w:spacing w:after="0"/>
        <w:rPr>
          <w:sz w:val="20"/>
          <w:szCs w:val="20"/>
          <w:color w:val="auto"/>
        </w:rPr>
      </w:pPr>
      <w:r>
        <w:rPr>
          <w:rFonts w:ascii="Arial" w:cs="Arial" w:eastAsia="Arial" w:hAnsi="Arial"/>
          <w:sz w:val="13"/>
          <w:szCs w:val="13"/>
          <w:color w:val="auto"/>
        </w:rPr>
        <w:t>In addition, the Bank had extended transactions, in the ordinary course of business, to four entities whose directors and/or executive officers are also directors of the Bank. These entities were:</w:t>
      </w:r>
    </w:p>
    <w:p>
      <w:pPr>
        <w:spacing w:after="0" w:line="307"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98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9" w:right="199" w:bottom="1440" w:gutter="0" w:footer="0" w:header="0"/>
        </w:sectPr>
      </w:pPr>
    </w:p>
    <w:bookmarkStart w:id="100" w:name="page101"/>
    <w:bookmarkEnd w:id="100"/>
    <w:p>
      <w:pPr>
        <w:jc w:val="both"/>
        <w:ind w:left="3" w:right="20" w:hanging="3"/>
        <w:spacing w:after="0" w:line="281" w:lineRule="auto"/>
        <w:tabs>
          <w:tab w:leader="none" w:pos="124" w:val="left"/>
        </w:tabs>
        <w:numPr>
          <w:ilvl w:val="0"/>
          <w:numId w:val="65"/>
        </w:numPr>
        <w:rPr>
          <w:rFonts w:ascii="Arial" w:cs="Arial" w:eastAsia="Arial" w:hAnsi="Arial"/>
          <w:sz w:val="12"/>
          <w:szCs w:val="12"/>
          <w:color w:val="auto"/>
        </w:rPr>
      </w:pPr>
      <w:r>
        <w:rPr>
          <w:rFonts w:ascii="Arial" w:cs="Arial" w:eastAsia="Arial" w:hAnsi="Arial"/>
          <w:sz w:val="12"/>
          <w:szCs w:val="12"/>
          <w:color w:val="auto"/>
        </w:rPr>
        <w:t>Banco General S.A. – Costa Rica and Panama, of which the Bank’s director, Ricardo Manuel Arango, is also a director of its parent company. Two outstanding loans were made to Banco General S.A. – Costa Rica, disbursed on November 29, 2017 and 2018, together with a total outstanding amount of $10 million as of December 31, 2018, which also represented the largest amount outstanding during 2018 and had a weighted average interest rate of 5.36%. In addition, two outstanding loans were made to Banco General S.A. – Panama, disbursed on November 15, 2017 and April 30, 2018, together with a total outstanding amount of $40 million as of December 31, 2018, which also represented the largest amount outstanding during 2018 and had a weighted average interest rate of 3.95%.</w:t>
      </w:r>
    </w:p>
    <w:p>
      <w:pPr>
        <w:spacing w:after="0" w:line="123" w:lineRule="exact"/>
        <w:rPr>
          <w:rFonts w:ascii="Arial" w:cs="Arial" w:eastAsia="Arial" w:hAnsi="Arial"/>
          <w:sz w:val="12"/>
          <w:szCs w:val="12"/>
          <w:color w:val="auto"/>
        </w:rPr>
      </w:pPr>
    </w:p>
    <w:p>
      <w:pPr>
        <w:ind w:left="3" w:right="20" w:hanging="3"/>
        <w:spacing w:after="0" w:line="267" w:lineRule="auto"/>
        <w:tabs>
          <w:tab w:leader="none" w:pos="162" w:val="left"/>
        </w:tabs>
        <w:numPr>
          <w:ilvl w:val="0"/>
          <w:numId w:val="65"/>
        </w:numPr>
        <w:rPr>
          <w:rFonts w:ascii="Arial" w:cs="Arial" w:eastAsia="Arial" w:hAnsi="Arial"/>
          <w:sz w:val="13"/>
          <w:szCs w:val="13"/>
          <w:color w:val="auto"/>
        </w:rPr>
      </w:pPr>
      <w:r>
        <w:rPr>
          <w:rFonts w:ascii="Arial" w:cs="Arial" w:eastAsia="Arial" w:hAnsi="Arial"/>
          <w:sz w:val="13"/>
          <w:szCs w:val="13"/>
          <w:color w:val="auto"/>
        </w:rPr>
        <w:t>Banco Patagonia, S.A., of which the Bank’s director, João Carlos de Nóbrega Pecego, is President. Several short-term loans were made to Banco Patagonia, S.A. during 2018, with a total outstanding amount of $8 million, and a weighted average interest rate of 3.91% as of December 31, 2018. The largest amount outstanding during 2018 was $37.5 million.</w:t>
      </w:r>
    </w:p>
    <w:p>
      <w:pPr>
        <w:spacing w:after="0" w:line="129" w:lineRule="exact"/>
        <w:rPr>
          <w:rFonts w:ascii="Arial" w:cs="Arial" w:eastAsia="Arial" w:hAnsi="Arial"/>
          <w:sz w:val="13"/>
          <w:szCs w:val="13"/>
          <w:color w:val="auto"/>
        </w:rPr>
      </w:pPr>
    </w:p>
    <w:p>
      <w:pPr>
        <w:ind w:left="3" w:right="20" w:hanging="3"/>
        <w:spacing w:after="0" w:line="310" w:lineRule="auto"/>
        <w:tabs>
          <w:tab w:leader="none" w:pos="188" w:val="left"/>
        </w:tabs>
        <w:numPr>
          <w:ilvl w:val="0"/>
          <w:numId w:val="65"/>
        </w:numPr>
        <w:rPr>
          <w:rFonts w:ascii="Arial" w:cs="Arial" w:eastAsia="Arial" w:hAnsi="Arial"/>
          <w:sz w:val="12"/>
          <w:szCs w:val="12"/>
          <w:color w:val="auto"/>
        </w:rPr>
      </w:pPr>
      <w:r>
        <w:rPr>
          <w:rFonts w:ascii="Arial" w:cs="Arial" w:eastAsia="Arial" w:hAnsi="Arial"/>
          <w:sz w:val="12"/>
          <w:szCs w:val="12"/>
          <w:color w:val="auto"/>
        </w:rPr>
        <w:t>Banco de Brasil, S.A., of which the Bank’s director, João Carlos de Nóbrega Pecego, is President of the parent company. Two loans were made to Banco de Brasil, S.A. on September 12 and September 17, 2018, with a total outstanding amount of $95 million as of December 31, 2018, which was the largest amount outstanding during 2018. The outstanding loans had a weighted average interest rate of 3.73%.</w:t>
      </w:r>
    </w:p>
    <w:p>
      <w:pPr>
        <w:spacing w:after="0" w:line="105" w:lineRule="exact"/>
        <w:rPr>
          <w:rFonts w:ascii="Arial" w:cs="Arial" w:eastAsia="Arial" w:hAnsi="Arial"/>
          <w:sz w:val="12"/>
          <w:szCs w:val="12"/>
          <w:color w:val="auto"/>
        </w:rPr>
      </w:pPr>
    </w:p>
    <w:p>
      <w:pPr>
        <w:ind w:left="3" w:right="20" w:hanging="3"/>
        <w:spacing w:after="0" w:line="267" w:lineRule="auto"/>
        <w:tabs>
          <w:tab w:leader="none" w:pos="194" w:val="left"/>
        </w:tabs>
        <w:numPr>
          <w:ilvl w:val="0"/>
          <w:numId w:val="65"/>
        </w:numPr>
        <w:rPr>
          <w:rFonts w:ascii="Arial" w:cs="Arial" w:eastAsia="Arial" w:hAnsi="Arial"/>
          <w:sz w:val="13"/>
          <w:szCs w:val="13"/>
          <w:color w:val="auto"/>
        </w:rPr>
      </w:pPr>
      <w:r>
        <w:rPr>
          <w:rFonts w:ascii="Arial" w:cs="Arial" w:eastAsia="Arial" w:hAnsi="Arial"/>
          <w:sz w:val="13"/>
          <w:szCs w:val="13"/>
          <w:color w:val="auto"/>
        </w:rPr>
        <w:t>Sudameris Bank SAECA, of which the Bank’s director, Roland Holst, is also a director. Three loans were made to Sudameris Bank SAECA on October 16, November 16, and December 7, of 2018, with a total outstanding amount of $20 million as of December 31, 2018, which was the largest amount outstanding during 2018. The outstanding loans had a weighted average interest rate of 4.13%.</w:t>
      </w:r>
    </w:p>
    <w:p>
      <w:pPr>
        <w:spacing w:after="0" w:line="129" w:lineRule="exact"/>
        <w:rPr>
          <w:rFonts w:ascii="Arial" w:cs="Arial" w:eastAsia="Arial" w:hAnsi="Arial"/>
          <w:sz w:val="13"/>
          <w:szCs w:val="13"/>
          <w:color w:val="auto"/>
        </w:rPr>
      </w:pPr>
    </w:p>
    <w:p>
      <w:pPr>
        <w:jc w:val="both"/>
        <w:ind w:left="3" w:right="20" w:hanging="3"/>
        <w:spacing w:after="0" w:line="360" w:lineRule="auto"/>
        <w:tabs>
          <w:tab w:leader="none" w:pos="144" w:val="left"/>
        </w:tabs>
        <w:numPr>
          <w:ilvl w:val="0"/>
          <w:numId w:val="65"/>
        </w:numPr>
        <w:rPr>
          <w:rFonts w:ascii="Arial" w:cs="Arial" w:eastAsia="Arial" w:hAnsi="Arial"/>
          <w:sz w:val="11"/>
          <w:szCs w:val="11"/>
          <w:color w:val="auto"/>
        </w:rPr>
      </w:pPr>
      <w:r>
        <w:rPr>
          <w:rFonts w:ascii="Arial" w:cs="Arial" w:eastAsia="Arial" w:hAnsi="Arial"/>
          <w:sz w:val="11"/>
          <w:szCs w:val="11"/>
          <w:color w:val="auto"/>
        </w:rPr>
        <w:t>Banco de Inversion y Comercio Exterior, of which the Bank’s director, Javier González Fraga, is Chairman of the parent company. Two loans were made to Banco de Inversion y Comercio Exterior on September 7, 2018 and November 2, 2018, with a total outstanding amount of $30 million as of December 31, 2018, which was the largest amount outstanding during 2018. The outstanding loans had a weighted average interest rate of 4.75%.</w:t>
      </w:r>
    </w:p>
    <w:p>
      <w:pPr>
        <w:spacing w:after="0" w:line="83" w:lineRule="exact"/>
        <w:rPr>
          <w:sz w:val="20"/>
          <w:szCs w:val="20"/>
          <w:color w:val="auto"/>
        </w:rPr>
      </w:pPr>
    </w:p>
    <w:p>
      <w:pPr>
        <w:jc w:val="both"/>
        <w:ind w:left="3"/>
        <w:spacing w:after="0" w:line="281" w:lineRule="auto"/>
        <w:rPr>
          <w:sz w:val="20"/>
          <w:szCs w:val="20"/>
          <w:color w:val="auto"/>
        </w:rPr>
      </w:pPr>
      <w:r>
        <w:rPr>
          <w:rFonts w:ascii="Arial" w:cs="Arial" w:eastAsia="Arial" w:hAnsi="Arial"/>
          <w:sz w:val="12"/>
          <w:szCs w:val="12"/>
          <w:color w:val="auto"/>
        </w:rPr>
        <w:t>All of the abovementioned loans were granted for commercial business purposes. The terms and conditions of the loan transactions, including interest rates and collateral requirements, are substantially the same as the terms and conditions of comparable loan transactions entered into with other persons under similar market conditions. The loan transactions did not involve more than the normal risk of collectability or present other unfavorable features. In accordance with the Risk Policy and Assessment Committee’s charter, Directors of the Bank shall not participate in the approval process for credit facilities extended to institutions in which they are Executive Officers or Directors, nor do they participate with respect to decisions regarding country exposure limits in countries in which the institutions are domiciled.</w:t>
      </w:r>
    </w:p>
    <w:p>
      <w:pPr>
        <w:spacing w:after="0" w:line="124" w:lineRule="exact"/>
        <w:rPr>
          <w:sz w:val="20"/>
          <w:szCs w:val="20"/>
          <w:color w:val="auto"/>
        </w:rPr>
      </w:pPr>
    </w:p>
    <w:p>
      <w:pPr>
        <w:ind w:left="3"/>
        <w:spacing w:after="0"/>
        <w:rPr>
          <w:sz w:val="20"/>
          <w:szCs w:val="20"/>
          <w:color w:val="auto"/>
        </w:rPr>
      </w:pPr>
      <w:r>
        <w:rPr>
          <w:rFonts w:ascii="Arial" w:cs="Arial" w:eastAsia="Arial" w:hAnsi="Arial"/>
          <w:sz w:val="13"/>
          <w:szCs w:val="13"/>
          <w:color w:val="auto"/>
        </w:rPr>
        <w:t>For more information regarding the Bank’s related party transactions, see Item 18, “Financial Statements,” note 27.</w:t>
      </w:r>
    </w:p>
    <w:p>
      <w:pPr>
        <w:spacing w:after="0" w:line="155" w:lineRule="exact"/>
        <w:rPr>
          <w:sz w:val="20"/>
          <w:szCs w:val="20"/>
          <w:color w:val="auto"/>
        </w:rPr>
      </w:pPr>
    </w:p>
    <w:p>
      <w:pPr>
        <w:jc w:val="both"/>
        <w:ind w:left="463" w:right="9200" w:hanging="463"/>
        <w:spacing w:after="0" w:line="660" w:lineRule="auto"/>
        <w:tabs>
          <w:tab w:leader="none" w:pos="463" w:val="left"/>
        </w:tabs>
        <w:numPr>
          <w:ilvl w:val="0"/>
          <w:numId w:val="66"/>
        </w:numPr>
        <w:rPr>
          <w:rFonts w:ascii="Arial" w:cs="Arial" w:eastAsia="Arial" w:hAnsi="Arial"/>
          <w:sz w:val="11"/>
          <w:szCs w:val="11"/>
          <w:b w:val="1"/>
          <w:bCs w:val="1"/>
          <w:color w:val="auto"/>
        </w:rPr>
      </w:pPr>
      <w:r>
        <w:rPr>
          <w:rFonts w:ascii="Arial" w:cs="Arial" w:eastAsia="Arial" w:hAnsi="Arial"/>
          <w:sz w:val="11"/>
          <w:szCs w:val="11"/>
          <w:b w:val="1"/>
          <w:bCs w:val="1"/>
          <w:color w:val="auto"/>
        </w:rPr>
        <w:t xml:space="preserve">Interests of Experts and Counsel </w:t>
      </w:r>
      <w:r>
        <w:rPr>
          <w:rFonts w:ascii="Arial" w:cs="Arial" w:eastAsia="Arial" w:hAnsi="Arial"/>
          <w:sz w:val="11"/>
          <w:szCs w:val="11"/>
          <w:color w:val="auto"/>
        </w:rPr>
        <w:t>Not required in this Annual Report.</w:t>
      </w:r>
    </w:p>
    <w:p>
      <w:pPr>
        <w:spacing w:after="0" w:line="73"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99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9" w:right="199" w:bottom="1440" w:gutter="0" w:footer="0" w:header="0"/>
        </w:sectPr>
      </w:pPr>
    </w:p>
    <w:bookmarkStart w:id="101" w:name="page102"/>
    <w:bookmarkEnd w:id="101"/>
    <w:p>
      <w:pPr>
        <w:ind w:left="3"/>
        <w:spacing w:after="0"/>
        <w:tabs>
          <w:tab w:leader="none" w:pos="903" w:val="left"/>
        </w:tabs>
        <w:rPr>
          <w:sz w:val="20"/>
          <w:szCs w:val="20"/>
          <w:color w:val="auto"/>
        </w:rPr>
      </w:pPr>
      <w:r>
        <w:rPr>
          <w:rFonts w:ascii="Arial" w:cs="Arial" w:eastAsia="Arial" w:hAnsi="Arial"/>
          <w:sz w:val="13"/>
          <w:szCs w:val="13"/>
          <w:b w:val="1"/>
          <w:bCs w:val="1"/>
          <w:color w:val="auto"/>
        </w:rPr>
        <w:t>Item 8.</w:t>
      </w:r>
      <w:r>
        <w:rPr>
          <w:sz w:val="20"/>
          <w:szCs w:val="20"/>
          <w:color w:val="auto"/>
        </w:rPr>
        <w:tab/>
      </w:r>
      <w:r>
        <w:rPr>
          <w:rFonts w:ascii="Arial" w:cs="Arial" w:eastAsia="Arial" w:hAnsi="Arial"/>
          <w:sz w:val="12"/>
          <w:szCs w:val="12"/>
          <w:b w:val="1"/>
          <w:bCs w:val="1"/>
          <w:color w:val="auto"/>
        </w:rPr>
        <w:t>Financial Information</w:t>
      </w:r>
    </w:p>
    <w:p>
      <w:pPr>
        <w:spacing w:after="0" w:line="159" w:lineRule="exact"/>
        <w:rPr>
          <w:sz w:val="20"/>
          <w:szCs w:val="20"/>
          <w:color w:val="auto"/>
        </w:rPr>
      </w:pPr>
    </w:p>
    <w:p>
      <w:pPr>
        <w:ind w:left="463" w:hanging="463"/>
        <w:spacing w:after="0"/>
        <w:tabs>
          <w:tab w:leader="none" w:pos="463" w:val="left"/>
        </w:tabs>
        <w:numPr>
          <w:ilvl w:val="0"/>
          <w:numId w:val="67"/>
        </w:numPr>
        <w:rPr>
          <w:rFonts w:ascii="Arial" w:cs="Arial" w:eastAsia="Arial" w:hAnsi="Arial"/>
          <w:sz w:val="13"/>
          <w:szCs w:val="13"/>
          <w:b w:val="1"/>
          <w:bCs w:val="1"/>
          <w:color w:val="auto"/>
        </w:rPr>
      </w:pPr>
      <w:r>
        <w:rPr>
          <w:rFonts w:ascii="Arial" w:cs="Arial" w:eastAsia="Arial" w:hAnsi="Arial"/>
          <w:sz w:val="13"/>
          <w:szCs w:val="13"/>
          <w:b w:val="1"/>
          <w:bCs w:val="1"/>
          <w:color w:val="auto"/>
        </w:rPr>
        <w:t>Consolidated Statements and Other Financial Information</w:t>
      </w:r>
    </w:p>
    <w:p>
      <w:pPr>
        <w:spacing w:after="0" w:line="163"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information included in Item 18 of this Annual Report is referred to and incorporated by reference into this Item 8.A.</w:t>
      </w:r>
    </w:p>
    <w:p>
      <w:pPr>
        <w:spacing w:after="0" w:line="159" w:lineRule="exact"/>
        <w:rPr>
          <w:sz w:val="20"/>
          <w:szCs w:val="20"/>
          <w:color w:val="auto"/>
        </w:rPr>
      </w:pPr>
    </w:p>
    <w:p>
      <w:pPr>
        <w:ind w:left="3" w:right="20"/>
        <w:spacing w:after="0" w:line="267" w:lineRule="auto"/>
        <w:rPr>
          <w:sz w:val="20"/>
          <w:szCs w:val="20"/>
          <w:color w:val="auto"/>
        </w:rPr>
      </w:pPr>
      <w:r>
        <w:rPr>
          <w:rFonts w:ascii="Arial" w:cs="Arial" w:eastAsia="Arial" w:hAnsi="Arial"/>
          <w:sz w:val="13"/>
          <w:szCs w:val="13"/>
          <w:color w:val="auto"/>
        </w:rPr>
        <w:t>At the date of this Annual Report, there have been no legal or arbitration proceedings, which may have, or have had in the recent past, significant effects on the Bank’s financial position or profitability, including proceedings pending or known to be contemplated.</w:t>
      </w:r>
    </w:p>
    <w:p>
      <w:pPr>
        <w:spacing w:after="0" w:line="129"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Dividends</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2"/>
          <w:szCs w:val="12"/>
          <w:color w:val="auto"/>
        </w:rPr>
        <w:t>The Board’s policy is to declare and distribute quarterly cash dividends on the Bank’s common stock. Dividends are declared at the Board’s discretion and, from time to time, the Bank has declared special dividends.</w:t>
      </w:r>
    </w:p>
    <w:p>
      <w:pPr>
        <w:spacing w:after="0" w:line="170" w:lineRule="exact"/>
        <w:rPr>
          <w:sz w:val="20"/>
          <w:szCs w:val="20"/>
          <w:color w:val="auto"/>
        </w:rPr>
      </w:pPr>
    </w:p>
    <w:p>
      <w:pPr>
        <w:ind w:left="3" w:right="20"/>
        <w:spacing w:after="0" w:line="267" w:lineRule="auto"/>
        <w:rPr>
          <w:sz w:val="20"/>
          <w:szCs w:val="20"/>
          <w:color w:val="auto"/>
        </w:rPr>
      </w:pPr>
      <w:r>
        <w:rPr>
          <w:rFonts w:ascii="Arial" w:cs="Arial" w:eastAsia="Arial" w:hAnsi="Arial"/>
          <w:sz w:val="13"/>
          <w:szCs w:val="13"/>
          <w:color w:val="auto"/>
        </w:rPr>
        <w:t>On April 17, 2019, the Board declared a quarterly cash dividend distributed of $0.385 per common share for the first quarter of 2019. The cash dividend will be paid on May 15, 2019 to the Bank’s shareholders of record as of April 29, 2019.</w:t>
      </w:r>
    </w:p>
    <w:p>
      <w:pPr>
        <w:spacing w:after="0" w:line="129" w:lineRule="exact"/>
        <w:rPr>
          <w:sz w:val="20"/>
          <w:szCs w:val="20"/>
          <w:color w:val="auto"/>
        </w:rPr>
      </w:pPr>
    </w:p>
    <w:p>
      <w:pPr>
        <w:ind w:left="3"/>
        <w:spacing w:after="0" w:line="267" w:lineRule="auto"/>
        <w:rPr>
          <w:sz w:val="20"/>
          <w:szCs w:val="20"/>
          <w:color w:val="auto"/>
        </w:rPr>
      </w:pPr>
      <w:r>
        <w:rPr>
          <w:rFonts w:ascii="Arial" w:cs="Arial" w:eastAsia="Arial" w:hAnsi="Arial"/>
          <w:sz w:val="13"/>
          <w:szCs w:val="13"/>
          <w:color w:val="auto"/>
        </w:rPr>
        <w:t>For the year ended December 31, 2018, the Board declared quarterly cash dividends of $0.385 per common share for each quarter of 2018. The cash dividend paid per share to the Bank’s shareholders totaled $1.54 per common share in 2018.</w:t>
      </w:r>
    </w:p>
    <w:p>
      <w:pPr>
        <w:spacing w:after="0" w:line="129" w:lineRule="exact"/>
        <w:rPr>
          <w:sz w:val="20"/>
          <w:szCs w:val="20"/>
          <w:color w:val="auto"/>
        </w:rPr>
      </w:pPr>
    </w:p>
    <w:tbl>
      <w:tblPr>
        <w:tblLayout w:type="fixed"/>
        <w:tblInd w:w="3" w:type="dxa"/>
        <w:tblCellMar>
          <w:top w:w="0" w:type="dxa"/>
          <w:left w:w="0" w:type="dxa"/>
          <w:bottom w:w="0" w:type="dxa"/>
          <w:right w:w="0" w:type="dxa"/>
        </w:tblCellMar>
      </w:tblPr>
      <w:tr>
        <w:trPr>
          <w:trHeight w:val="162"/>
        </w:trPr>
        <w:tc>
          <w:tcPr>
            <w:tcW w:w="6520" w:type="dxa"/>
            <w:vAlign w:val="bottom"/>
            <w:gridSpan w:val="3"/>
          </w:tcPr>
          <w:p>
            <w:pPr>
              <w:spacing w:after="0"/>
              <w:rPr>
                <w:sz w:val="20"/>
                <w:szCs w:val="20"/>
                <w:color w:val="auto"/>
              </w:rPr>
            </w:pPr>
            <w:r>
              <w:rPr>
                <w:rFonts w:ascii="Arial" w:cs="Arial" w:eastAsia="Arial" w:hAnsi="Arial"/>
                <w:sz w:val="13"/>
                <w:szCs w:val="13"/>
                <w:color w:val="auto"/>
              </w:rPr>
              <w:t>No special dividends were declared during three-year period ended December 31, 2018.</w:t>
            </w:r>
          </w:p>
        </w:tc>
        <w:tc>
          <w:tcPr>
            <w:tcW w:w="23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380" w:type="dxa"/>
            <w:vAlign w:val="bottom"/>
          </w:tcPr>
          <w:p>
            <w:pPr>
              <w:spacing w:after="0"/>
              <w:rPr>
                <w:sz w:val="14"/>
                <w:szCs w:val="14"/>
                <w:color w:val="auto"/>
              </w:rPr>
            </w:pPr>
          </w:p>
        </w:tc>
        <w:tc>
          <w:tcPr>
            <w:tcW w:w="2020" w:type="dxa"/>
            <w:vAlign w:val="bottom"/>
          </w:tcPr>
          <w:p>
            <w:pPr>
              <w:spacing w:after="0"/>
              <w:rPr>
                <w:sz w:val="14"/>
                <w:szCs w:val="14"/>
                <w:color w:val="auto"/>
              </w:rPr>
            </w:pPr>
          </w:p>
        </w:tc>
        <w:tc>
          <w:tcPr>
            <w:tcW w:w="120" w:type="dxa"/>
            <w:vAlign w:val="bottom"/>
          </w:tcPr>
          <w:p>
            <w:pPr>
              <w:spacing w:after="0"/>
              <w:rPr>
                <w:sz w:val="14"/>
                <w:szCs w:val="14"/>
                <w:color w:val="auto"/>
              </w:rPr>
            </w:pPr>
          </w:p>
        </w:tc>
      </w:tr>
      <w:tr>
        <w:trPr>
          <w:trHeight w:val="308"/>
        </w:trPr>
        <w:tc>
          <w:tcPr>
            <w:tcW w:w="6520" w:type="dxa"/>
            <w:vAlign w:val="bottom"/>
            <w:gridSpan w:val="3"/>
          </w:tcPr>
          <w:p>
            <w:pPr>
              <w:spacing w:after="0"/>
              <w:rPr>
                <w:sz w:val="20"/>
                <w:szCs w:val="20"/>
                <w:color w:val="auto"/>
              </w:rPr>
            </w:pPr>
            <w:r>
              <w:rPr>
                <w:rFonts w:ascii="Arial" w:cs="Arial" w:eastAsia="Arial" w:hAnsi="Arial"/>
                <w:sz w:val="13"/>
                <w:szCs w:val="13"/>
                <w:color w:val="auto"/>
                <w:w w:val="95"/>
              </w:rPr>
              <w:t>The following table presents information regarding dividends paid to holders of common shares on the dates indicated:</w:t>
            </w:r>
          </w:p>
        </w:tc>
        <w:tc>
          <w:tcPr>
            <w:tcW w:w="23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2020" w:type="dxa"/>
            <w:vAlign w:val="bottom"/>
          </w:tcPr>
          <w:p>
            <w:pPr>
              <w:spacing w:after="0"/>
              <w:rPr>
                <w:sz w:val="24"/>
                <w:szCs w:val="24"/>
                <w:color w:val="auto"/>
              </w:rPr>
            </w:pPr>
          </w:p>
        </w:tc>
        <w:tc>
          <w:tcPr>
            <w:tcW w:w="120" w:type="dxa"/>
            <w:vAlign w:val="bottom"/>
          </w:tcPr>
          <w:p>
            <w:pPr>
              <w:spacing w:after="0"/>
              <w:rPr>
                <w:sz w:val="24"/>
                <w:szCs w:val="24"/>
                <w:color w:val="auto"/>
              </w:rPr>
            </w:pPr>
          </w:p>
        </w:tc>
      </w:tr>
      <w:tr>
        <w:trPr>
          <w:trHeight w:val="318"/>
        </w:trPr>
        <w:tc>
          <w:tcPr>
            <w:tcW w:w="6520" w:type="dxa"/>
            <w:vAlign w:val="bottom"/>
            <w:gridSpan w:val="3"/>
          </w:tcPr>
          <w:p>
            <w:pPr>
              <w:spacing w:after="0"/>
              <w:rPr>
                <w:sz w:val="20"/>
                <w:szCs w:val="20"/>
                <w:color w:val="auto"/>
              </w:rPr>
            </w:pPr>
            <w:r>
              <w:rPr>
                <w:rFonts w:ascii="Arial" w:cs="Arial" w:eastAsia="Arial" w:hAnsi="Arial"/>
                <w:sz w:val="13"/>
                <w:szCs w:val="13"/>
                <w:b w:val="1"/>
                <w:bCs w:val="1"/>
                <w:color w:val="auto"/>
              </w:rPr>
              <w:t>Payment date</w:t>
            </w:r>
          </w:p>
        </w:tc>
        <w:tc>
          <w:tcPr>
            <w:tcW w:w="2320" w:type="dxa"/>
            <w:vAlign w:val="bottom"/>
          </w:tcPr>
          <w:p>
            <w:pPr>
              <w:jc w:val="center"/>
              <w:ind w:right="476"/>
              <w:spacing w:after="0"/>
              <w:rPr>
                <w:sz w:val="20"/>
                <w:szCs w:val="20"/>
                <w:color w:val="auto"/>
              </w:rPr>
            </w:pPr>
            <w:r>
              <w:rPr>
                <w:rFonts w:ascii="Arial" w:cs="Arial" w:eastAsia="Arial" w:hAnsi="Arial"/>
                <w:sz w:val="13"/>
                <w:szCs w:val="13"/>
                <w:b w:val="1"/>
                <w:bCs w:val="1"/>
                <w:color w:val="auto"/>
                <w:w w:val="87"/>
              </w:rPr>
              <w:t>Record date</w:t>
            </w:r>
          </w:p>
        </w:tc>
        <w:tc>
          <w:tcPr>
            <w:tcW w:w="12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2140" w:type="dxa"/>
            <w:vAlign w:val="bottom"/>
            <w:gridSpan w:val="2"/>
          </w:tcPr>
          <w:p>
            <w:pPr>
              <w:jc w:val="right"/>
              <w:ind w:right="800"/>
              <w:spacing w:after="0"/>
              <w:rPr>
                <w:sz w:val="20"/>
                <w:szCs w:val="20"/>
                <w:color w:val="auto"/>
              </w:rPr>
            </w:pPr>
            <w:r>
              <w:rPr>
                <w:rFonts w:ascii="Arial" w:cs="Arial" w:eastAsia="Arial" w:hAnsi="Arial"/>
                <w:sz w:val="13"/>
                <w:szCs w:val="13"/>
                <w:b w:val="1"/>
                <w:bCs w:val="1"/>
                <w:color w:val="auto"/>
              </w:rPr>
              <w:t>Dividend per share</w:t>
            </w:r>
          </w:p>
        </w:tc>
      </w:tr>
      <w:tr>
        <w:trPr>
          <w:trHeight w:val="144"/>
        </w:trPr>
        <w:tc>
          <w:tcPr>
            <w:tcW w:w="5840" w:type="dxa"/>
            <w:vAlign w:val="bottom"/>
            <w:tcBorders>
              <w:top w:val="single" w:sz="8" w:color="auto"/>
            </w:tcBorders>
            <w:shd w:val="clear" w:color="auto" w:fill="CCEEFF"/>
          </w:tcPr>
          <w:p>
            <w:pPr>
              <w:spacing w:after="0" w:line="144" w:lineRule="exact"/>
              <w:rPr>
                <w:sz w:val="20"/>
                <w:szCs w:val="20"/>
                <w:color w:val="auto"/>
              </w:rPr>
            </w:pPr>
            <w:r>
              <w:rPr>
                <w:rFonts w:ascii="Arial" w:cs="Arial" w:eastAsia="Arial" w:hAnsi="Arial"/>
                <w:sz w:val="13"/>
                <w:szCs w:val="13"/>
                <w:color w:val="auto"/>
              </w:rPr>
              <w:t>May 15, 2019</w:t>
            </w:r>
          </w:p>
        </w:tc>
        <w:tc>
          <w:tcPr>
            <w:tcW w:w="120" w:type="dxa"/>
            <w:vAlign w:val="bottom"/>
            <w:tcBorders>
              <w:top w:val="single" w:sz="8" w:color="CCEEFF"/>
            </w:tcBorders>
            <w:shd w:val="clear" w:color="auto" w:fill="CCEEFF"/>
          </w:tcPr>
          <w:p>
            <w:pPr>
              <w:spacing w:after="0"/>
              <w:rPr>
                <w:sz w:val="12"/>
                <w:szCs w:val="12"/>
                <w:color w:val="auto"/>
              </w:rPr>
            </w:pPr>
          </w:p>
        </w:tc>
        <w:tc>
          <w:tcPr>
            <w:tcW w:w="560" w:type="dxa"/>
            <w:vAlign w:val="bottom"/>
            <w:tcBorders>
              <w:top w:val="single" w:sz="8" w:color="auto"/>
            </w:tcBorders>
            <w:shd w:val="clear" w:color="auto" w:fill="CCEEFF"/>
          </w:tcPr>
          <w:p>
            <w:pPr>
              <w:spacing w:after="0"/>
              <w:rPr>
                <w:sz w:val="12"/>
                <w:szCs w:val="12"/>
                <w:color w:val="auto"/>
              </w:rPr>
            </w:pPr>
          </w:p>
        </w:tc>
        <w:tc>
          <w:tcPr>
            <w:tcW w:w="2320" w:type="dxa"/>
            <w:vAlign w:val="bottom"/>
            <w:tcBorders>
              <w:top w:val="single" w:sz="8" w:color="auto"/>
            </w:tcBorders>
            <w:shd w:val="clear" w:color="auto" w:fill="CCEEFF"/>
          </w:tcPr>
          <w:p>
            <w:pPr>
              <w:jc w:val="center"/>
              <w:ind w:right="496"/>
              <w:spacing w:after="0" w:line="144" w:lineRule="exact"/>
              <w:rPr>
                <w:sz w:val="20"/>
                <w:szCs w:val="20"/>
                <w:color w:val="auto"/>
              </w:rPr>
            </w:pPr>
            <w:r>
              <w:rPr>
                <w:rFonts w:ascii="Arial" w:cs="Arial" w:eastAsia="Arial" w:hAnsi="Arial"/>
                <w:sz w:val="13"/>
                <w:szCs w:val="13"/>
                <w:color w:val="auto"/>
                <w:w w:val="94"/>
              </w:rPr>
              <w:t>April 29, 2019</w:t>
            </w:r>
          </w:p>
        </w:tc>
        <w:tc>
          <w:tcPr>
            <w:tcW w:w="120" w:type="dxa"/>
            <w:vAlign w:val="bottom"/>
            <w:tcBorders>
              <w:top w:val="single" w:sz="8" w:color="CCEEFF"/>
            </w:tcBorders>
            <w:shd w:val="clear" w:color="auto" w:fill="CCEEFF"/>
          </w:tcPr>
          <w:p>
            <w:pPr>
              <w:spacing w:after="0"/>
              <w:rPr>
                <w:sz w:val="12"/>
                <w:szCs w:val="12"/>
                <w:color w:val="auto"/>
              </w:rPr>
            </w:pPr>
          </w:p>
        </w:tc>
        <w:tc>
          <w:tcPr>
            <w:tcW w:w="380" w:type="dxa"/>
            <w:vAlign w:val="bottom"/>
            <w:tcBorders>
              <w:top w:val="single" w:sz="8" w:color="auto"/>
            </w:tcBorders>
            <w:shd w:val="clear" w:color="auto" w:fill="CCEEFF"/>
          </w:tcPr>
          <w:p>
            <w:pPr>
              <w:jc w:val="right"/>
              <w:ind w:right="272"/>
              <w:spacing w:after="0"/>
              <w:rPr>
                <w:sz w:val="20"/>
                <w:szCs w:val="20"/>
                <w:color w:val="auto"/>
              </w:rPr>
            </w:pPr>
            <w:r>
              <w:rPr>
                <w:rFonts w:ascii="Arial" w:cs="Arial" w:eastAsia="Arial" w:hAnsi="Arial"/>
                <w:sz w:val="10"/>
                <w:szCs w:val="10"/>
                <w:color w:val="auto"/>
                <w:w w:val="71"/>
              </w:rPr>
              <w:t>$</w:t>
            </w:r>
          </w:p>
        </w:tc>
        <w:tc>
          <w:tcPr>
            <w:tcW w:w="20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0.385</w:t>
            </w:r>
          </w:p>
        </w:tc>
        <w:tc>
          <w:tcPr>
            <w:tcW w:w="120" w:type="dxa"/>
            <w:vAlign w:val="bottom"/>
            <w:tcBorders>
              <w:top w:val="single" w:sz="8" w:color="CCEEFF"/>
            </w:tcBorders>
            <w:shd w:val="clear" w:color="auto" w:fill="CCEEFF"/>
          </w:tcPr>
          <w:p>
            <w:pPr>
              <w:spacing w:after="0"/>
              <w:rPr>
                <w:sz w:val="12"/>
                <w:szCs w:val="12"/>
                <w:color w:val="auto"/>
              </w:rPr>
            </w:pPr>
          </w:p>
        </w:tc>
      </w:tr>
      <w:tr>
        <w:trPr>
          <w:trHeight w:val="154"/>
        </w:trPr>
        <w:tc>
          <w:tcPr>
            <w:tcW w:w="6520" w:type="dxa"/>
            <w:vAlign w:val="bottom"/>
            <w:gridSpan w:val="3"/>
          </w:tcPr>
          <w:p>
            <w:pPr>
              <w:spacing w:after="0"/>
              <w:rPr>
                <w:sz w:val="20"/>
                <w:szCs w:val="20"/>
                <w:color w:val="auto"/>
              </w:rPr>
            </w:pPr>
            <w:r>
              <w:rPr>
                <w:rFonts w:ascii="Arial" w:cs="Arial" w:eastAsia="Arial" w:hAnsi="Arial"/>
                <w:sz w:val="13"/>
                <w:szCs w:val="13"/>
                <w:color w:val="auto"/>
              </w:rPr>
              <w:t>March 26, 2019</w:t>
            </w:r>
          </w:p>
        </w:tc>
        <w:tc>
          <w:tcPr>
            <w:tcW w:w="2320" w:type="dxa"/>
            <w:vAlign w:val="bottom"/>
          </w:tcPr>
          <w:p>
            <w:pPr>
              <w:jc w:val="center"/>
              <w:ind w:right="496"/>
              <w:spacing w:after="0"/>
              <w:rPr>
                <w:sz w:val="20"/>
                <w:szCs w:val="20"/>
                <w:color w:val="auto"/>
              </w:rPr>
            </w:pPr>
            <w:r>
              <w:rPr>
                <w:rFonts w:ascii="Arial" w:cs="Arial" w:eastAsia="Arial" w:hAnsi="Arial"/>
                <w:sz w:val="13"/>
                <w:szCs w:val="13"/>
                <w:color w:val="auto"/>
                <w:w w:val="88"/>
              </w:rPr>
              <w:t>March 11, 2019</w:t>
            </w:r>
          </w:p>
        </w:tc>
        <w:tc>
          <w:tcPr>
            <w:tcW w:w="500" w:type="dxa"/>
            <w:vAlign w:val="bottom"/>
            <w:gridSpan w:val="2"/>
          </w:tcPr>
          <w:p>
            <w:pPr>
              <w:jc w:val="right"/>
              <w:ind w:right="272"/>
              <w:spacing w:after="0"/>
              <w:rPr>
                <w:sz w:val="20"/>
                <w:szCs w:val="20"/>
                <w:color w:val="auto"/>
              </w:rPr>
            </w:pPr>
            <w:r>
              <w:rPr>
                <w:rFonts w:ascii="Arial" w:cs="Arial" w:eastAsia="Arial" w:hAnsi="Arial"/>
                <w:sz w:val="13"/>
                <w:szCs w:val="13"/>
                <w:color w:val="auto"/>
              </w:rPr>
              <w:t>$</w:t>
            </w:r>
          </w:p>
        </w:tc>
        <w:tc>
          <w:tcPr>
            <w:tcW w:w="2140" w:type="dxa"/>
            <w:vAlign w:val="bottom"/>
            <w:gridSpan w:val="2"/>
          </w:tcPr>
          <w:p>
            <w:pPr>
              <w:jc w:val="right"/>
              <w:ind w:right="120"/>
              <w:spacing w:after="0"/>
              <w:rPr>
                <w:sz w:val="20"/>
                <w:szCs w:val="20"/>
                <w:color w:val="auto"/>
              </w:rPr>
            </w:pPr>
            <w:r>
              <w:rPr>
                <w:rFonts w:ascii="Arial" w:cs="Arial" w:eastAsia="Arial" w:hAnsi="Arial"/>
                <w:sz w:val="13"/>
                <w:szCs w:val="13"/>
                <w:color w:val="auto"/>
              </w:rPr>
              <w:t>0.385</w:t>
            </w:r>
          </w:p>
        </w:tc>
      </w:tr>
      <w:tr>
        <w:trPr>
          <w:trHeight w:val="154"/>
        </w:trPr>
        <w:tc>
          <w:tcPr>
            <w:tcW w:w="652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November 20, 2018</w:t>
            </w:r>
          </w:p>
        </w:tc>
        <w:tc>
          <w:tcPr>
            <w:tcW w:w="2320" w:type="dxa"/>
            <w:vAlign w:val="bottom"/>
            <w:shd w:val="clear" w:color="auto" w:fill="CCEEFF"/>
          </w:tcPr>
          <w:p>
            <w:pPr>
              <w:jc w:val="center"/>
              <w:ind w:right="496"/>
              <w:spacing w:after="0"/>
              <w:rPr>
                <w:sz w:val="20"/>
                <w:szCs w:val="20"/>
                <w:color w:val="auto"/>
              </w:rPr>
            </w:pPr>
            <w:r>
              <w:rPr>
                <w:rFonts w:ascii="Arial" w:cs="Arial" w:eastAsia="Arial" w:hAnsi="Arial"/>
                <w:sz w:val="13"/>
                <w:szCs w:val="13"/>
                <w:color w:val="auto"/>
                <w:w w:val="89"/>
              </w:rPr>
              <w:t>November 6, 2018</w:t>
            </w:r>
          </w:p>
        </w:tc>
        <w:tc>
          <w:tcPr>
            <w:tcW w:w="500" w:type="dxa"/>
            <w:vAlign w:val="bottom"/>
            <w:gridSpan w:val="2"/>
            <w:shd w:val="clear" w:color="auto" w:fill="CCEEFF"/>
          </w:tcPr>
          <w:p>
            <w:pPr>
              <w:jc w:val="right"/>
              <w:ind w:right="272"/>
              <w:spacing w:after="0"/>
              <w:rPr>
                <w:sz w:val="20"/>
                <w:szCs w:val="20"/>
                <w:color w:val="auto"/>
              </w:rPr>
            </w:pPr>
            <w:r>
              <w:rPr>
                <w:rFonts w:ascii="Arial" w:cs="Arial" w:eastAsia="Arial" w:hAnsi="Arial"/>
                <w:sz w:val="13"/>
                <w:szCs w:val="13"/>
                <w:color w:val="auto"/>
              </w:rPr>
              <w:t>$</w:t>
            </w:r>
          </w:p>
        </w:tc>
        <w:tc>
          <w:tcPr>
            <w:tcW w:w="21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0.385</w:t>
            </w:r>
          </w:p>
        </w:tc>
      </w:tr>
      <w:tr>
        <w:trPr>
          <w:trHeight w:val="154"/>
        </w:trPr>
        <w:tc>
          <w:tcPr>
            <w:tcW w:w="6520" w:type="dxa"/>
            <w:vAlign w:val="bottom"/>
            <w:gridSpan w:val="3"/>
          </w:tcPr>
          <w:p>
            <w:pPr>
              <w:spacing w:after="0"/>
              <w:rPr>
                <w:sz w:val="20"/>
                <w:szCs w:val="20"/>
                <w:color w:val="auto"/>
              </w:rPr>
            </w:pPr>
            <w:r>
              <w:rPr>
                <w:rFonts w:ascii="Arial" w:cs="Arial" w:eastAsia="Arial" w:hAnsi="Arial"/>
                <w:sz w:val="13"/>
                <w:szCs w:val="13"/>
                <w:color w:val="auto"/>
              </w:rPr>
              <w:t>August 15, 2018</w:t>
            </w:r>
          </w:p>
        </w:tc>
        <w:tc>
          <w:tcPr>
            <w:tcW w:w="2320" w:type="dxa"/>
            <w:vAlign w:val="bottom"/>
          </w:tcPr>
          <w:p>
            <w:pPr>
              <w:jc w:val="center"/>
              <w:ind w:right="476"/>
              <w:spacing w:after="0"/>
              <w:rPr>
                <w:sz w:val="20"/>
                <w:szCs w:val="20"/>
                <w:color w:val="auto"/>
              </w:rPr>
            </w:pPr>
            <w:r>
              <w:rPr>
                <w:rFonts w:ascii="Arial" w:cs="Arial" w:eastAsia="Arial" w:hAnsi="Arial"/>
                <w:sz w:val="13"/>
                <w:szCs w:val="13"/>
                <w:color w:val="auto"/>
                <w:w w:val="90"/>
              </w:rPr>
              <w:t>July 31, 2018</w:t>
            </w:r>
          </w:p>
        </w:tc>
        <w:tc>
          <w:tcPr>
            <w:tcW w:w="500" w:type="dxa"/>
            <w:vAlign w:val="bottom"/>
            <w:gridSpan w:val="2"/>
          </w:tcPr>
          <w:p>
            <w:pPr>
              <w:jc w:val="right"/>
              <w:ind w:right="272"/>
              <w:spacing w:after="0"/>
              <w:rPr>
                <w:sz w:val="20"/>
                <w:szCs w:val="20"/>
                <w:color w:val="auto"/>
              </w:rPr>
            </w:pPr>
            <w:r>
              <w:rPr>
                <w:rFonts w:ascii="Arial" w:cs="Arial" w:eastAsia="Arial" w:hAnsi="Arial"/>
                <w:sz w:val="13"/>
                <w:szCs w:val="13"/>
                <w:color w:val="auto"/>
              </w:rPr>
              <w:t>$</w:t>
            </w:r>
          </w:p>
        </w:tc>
        <w:tc>
          <w:tcPr>
            <w:tcW w:w="2140" w:type="dxa"/>
            <w:vAlign w:val="bottom"/>
            <w:gridSpan w:val="2"/>
          </w:tcPr>
          <w:p>
            <w:pPr>
              <w:jc w:val="right"/>
              <w:ind w:right="120"/>
              <w:spacing w:after="0"/>
              <w:rPr>
                <w:sz w:val="20"/>
                <w:szCs w:val="20"/>
                <w:color w:val="auto"/>
              </w:rPr>
            </w:pPr>
            <w:r>
              <w:rPr>
                <w:rFonts w:ascii="Arial" w:cs="Arial" w:eastAsia="Arial" w:hAnsi="Arial"/>
                <w:sz w:val="13"/>
                <w:szCs w:val="13"/>
                <w:color w:val="auto"/>
              </w:rPr>
              <w:t>0.385</w:t>
            </w:r>
          </w:p>
        </w:tc>
      </w:tr>
      <w:tr>
        <w:trPr>
          <w:trHeight w:val="154"/>
        </w:trPr>
        <w:tc>
          <w:tcPr>
            <w:tcW w:w="652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May 17, 2018</w:t>
            </w:r>
          </w:p>
        </w:tc>
        <w:tc>
          <w:tcPr>
            <w:tcW w:w="2320" w:type="dxa"/>
            <w:vAlign w:val="bottom"/>
            <w:shd w:val="clear" w:color="auto" w:fill="CCEEFF"/>
          </w:tcPr>
          <w:p>
            <w:pPr>
              <w:jc w:val="center"/>
              <w:ind w:right="476"/>
              <w:spacing w:after="0"/>
              <w:rPr>
                <w:sz w:val="20"/>
                <w:szCs w:val="20"/>
                <w:color w:val="auto"/>
              </w:rPr>
            </w:pPr>
            <w:r>
              <w:rPr>
                <w:rFonts w:ascii="Arial" w:cs="Arial" w:eastAsia="Arial" w:hAnsi="Arial"/>
                <w:sz w:val="13"/>
                <w:szCs w:val="13"/>
                <w:color w:val="auto"/>
                <w:w w:val="92"/>
              </w:rPr>
              <w:t>May 2, 2018</w:t>
            </w:r>
          </w:p>
        </w:tc>
        <w:tc>
          <w:tcPr>
            <w:tcW w:w="500" w:type="dxa"/>
            <w:vAlign w:val="bottom"/>
            <w:gridSpan w:val="2"/>
            <w:shd w:val="clear" w:color="auto" w:fill="CCEEFF"/>
          </w:tcPr>
          <w:p>
            <w:pPr>
              <w:jc w:val="right"/>
              <w:ind w:right="272"/>
              <w:spacing w:after="0"/>
              <w:rPr>
                <w:sz w:val="20"/>
                <w:szCs w:val="20"/>
                <w:color w:val="auto"/>
              </w:rPr>
            </w:pPr>
            <w:r>
              <w:rPr>
                <w:rFonts w:ascii="Arial" w:cs="Arial" w:eastAsia="Arial" w:hAnsi="Arial"/>
                <w:sz w:val="13"/>
                <w:szCs w:val="13"/>
                <w:color w:val="auto"/>
              </w:rPr>
              <w:t>$</w:t>
            </w:r>
          </w:p>
        </w:tc>
        <w:tc>
          <w:tcPr>
            <w:tcW w:w="21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0.385</w:t>
            </w:r>
          </w:p>
        </w:tc>
      </w:tr>
      <w:tr>
        <w:trPr>
          <w:trHeight w:val="154"/>
        </w:trPr>
        <w:tc>
          <w:tcPr>
            <w:tcW w:w="6520" w:type="dxa"/>
            <w:vAlign w:val="bottom"/>
            <w:gridSpan w:val="3"/>
          </w:tcPr>
          <w:p>
            <w:pPr>
              <w:spacing w:after="0"/>
              <w:rPr>
                <w:sz w:val="20"/>
                <w:szCs w:val="20"/>
                <w:color w:val="auto"/>
              </w:rPr>
            </w:pPr>
            <w:r>
              <w:rPr>
                <w:rFonts w:ascii="Arial" w:cs="Arial" w:eastAsia="Arial" w:hAnsi="Arial"/>
                <w:sz w:val="13"/>
                <w:szCs w:val="13"/>
                <w:color w:val="auto"/>
              </w:rPr>
              <w:t>February 21, 2018</w:t>
            </w:r>
          </w:p>
        </w:tc>
        <w:tc>
          <w:tcPr>
            <w:tcW w:w="2320" w:type="dxa"/>
            <w:vAlign w:val="bottom"/>
          </w:tcPr>
          <w:p>
            <w:pPr>
              <w:jc w:val="center"/>
              <w:ind w:right="496"/>
              <w:spacing w:after="0"/>
              <w:rPr>
                <w:sz w:val="20"/>
                <w:szCs w:val="20"/>
                <w:color w:val="auto"/>
              </w:rPr>
            </w:pPr>
            <w:r>
              <w:rPr>
                <w:rFonts w:ascii="Arial" w:cs="Arial" w:eastAsia="Arial" w:hAnsi="Arial"/>
                <w:sz w:val="13"/>
                <w:szCs w:val="13"/>
                <w:color w:val="auto"/>
                <w:w w:val="88"/>
              </w:rPr>
              <w:t>February 2, 2018</w:t>
            </w:r>
          </w:p>
        </w:tc>
        <w:tc>
          <w:tcPr>
            <w:tcW w:w="500" w:type="dxa"/>
            <w:vAlign w:val="bottom"/>
            <w:gridSpan w:val="2"/>
          </w:tcPr>
          <w:p>
            <w:pPr>
              <w:jc w:val="right"/>
              <w:ind w:right="272"/>
              <w:spacing w:after="0"/>
              <w:rPr>
                <w:sz w:val="20"/>
                <w:szCs w:val="20"/>
                <w:color w:val="auto"/>
              </w:rPr>
            </w:pPr>
            <w:r>
              <w:rPr>
                <w:rFonts w:ascii="Arial" w:cs="Arial" w:eastAsia="Arial" w:hAnsi="Arial"/>
                <w:sz w:val="13"/>
                <w:szCs w:val="13"/>
                <w:color w:val="auto"/>
              </w:rPr>
              <w:t>$</w:t>
            </w:r>
          </w:p>
        </w:tc>
        <w:tc>
          <w:tcPr>
            <w:tcW w:w="2140" w:type="dxa"/>
            <w:vAlign w:val="bottom"/>
            <w:gridSpan w:val="2"/>
          </w:tcPr>
          <w:p>
            <w:pPr>
              <w:jc w:val="right"/>
              <w:ind w:right="120"/>
              <w:spacing w:after="0"/>
              <w:rPr>
                <w:sz w:val="20"/>
                <w:szCs w:val="20"/>
                <w:color w:val="auto"/>
              </w:rPr>
            </w:pPr>
            <w:r>
              <w:rPr>
                <w:rFonts w:ascii="Arial" w:cs="Arial" w:eastAsia="Arial" w:hAnsi="Arial"/>
                <w:sz w:val="13"/>
                <w:szCs w:val="13"/>
                <w:color w:val="auto"/>
              </w:rPr>
              <w:t>0.385</w:t>
            </w:r>
          </w:p>
        </w:tc>
      </w:tr>
      <w:tr>
        <w:trPr>
          <w:trHeight w:val="154"/>
        </w:trPr>
        <w:tc>
          <w:tcPr>
            <w:tcW w:w="652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November 21, 2017</w:t>
            </w:r>
          </w:p>
        </w:tc>
        <w:tc>
          <w:tcPr>
            <w:tcW w:w="2320" w:type="dxa"/>
            <w:vAlign w:val="bottom"/>
            <w:shd w:val="clear" w:color="auto" w:fill="CCEEFF"/>
          </w:tcPr>
          <w:p>
            <w:pPr>
              <w:jc w:val="center"/>
              <w:ind w:right="496"/>
              <w:spacing w:after="0"/>
              <w:rPr>
                <w:sz w:val="20"/>
                <w:szCs w:val="20"/>
                <w:color w:val="auto"/>
              </w:rPr>
            </w:pPr>
            <w:r>
              <w:rPr>
                <w:rFonts w:ascii="Arial" w:cs="Arial" w:eastAsia="Arial" w:hAnsi="Arial"/>
                <w:sz w:val="13"/>
                <w:szCs w:val="13"/>
                <w:color w:val="auto"/>
                <w:w w:val="89"/>
              </w:rPr>
              <w:t>November 1, 2017</w:t>
            </w:r>
          </w:p>
        </w:tc>
        <w:tc>
          <w:tcPr>
            <w:tcW w:w="500" w:type="dxa"/>
            <w:vAlign w:val="bottom"/>
            <w:gridSpan w:val="2"/>
            <w:shd w:val="clear" w:color="auto" w:fill="CCEEFF"/>
          </w:tcPr>
          <w:p>
            <w:pPr>
              <w:jc w:val="right"/>
              <w:ind w:right="272"/>
              <w:spacing w:after="0"/>
              <w:rPr>
                <w:sz w:val="20"/>
                <w:szCs w:val="20"/>
                <w:color w:val="auto"/>
              </w:rPr>
            </w:pPr>
            <w:r>
              <w:rPr>
                <w:rFonts w:ascii="Arial" w:cs="Arial" w:eastAsia="Arial" w:hAnsi="Arial"/>
                <w:sz w:val="13"/>
                <w:szCs w:val="13"/>
                <w:color w:val="auto"/>
              </w:rPr>
              <w:t>$</w:t>
            </w:r>
          </w:p>
        </w:tc>
        <w:tc>
          <w:tcPr>
            <w:tcW w:w="21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0.385</w:t>
            </w:r>
          </w:p>
        </w:tc>
      </w:tr>
      <w:tr>
        <w:trPr>
          <w:trHeight w:val="154"/>
        </w:trPr>
        <w:tc>
          <w:tcPr>
            <w:tcW w:w="6520" w:type="dxa"/>
            <w:vAlign w:val="bottom"/>
            <w:gridSpan w:val="3"/>
          </w:tcPr>
          <w:p>
            <w:pPr>
              <w:spacing w:after="0"/>
              <w:rPr>
                <w:sz w:val="20"/>
                <w:szCs w:val="20"/>
                <w:color w:val="auto"/>
              </w:rPr>
            </w:pPr>
            <w:r>
              <w:rPr>
                <w:rFonts w:ascii="Arial" w:cs="Arial" w:eastAsia="Arial" w:hAnsi="Arial"/>
                <w:sz w:val="13"/>
                <w:szCs w:val="13"/>
                <w:color w:val="auto"/>
              </w:rPr>
              <w:t>August 17, 2017</w:t>
            </w:r>
          </w:p>
        </w:tc>
        <w:tc>
          <w:tcPr>
            <w:tcW w:w="2320" w:type="dxa"/>
            <w:vAlign w:val="bottom"/>
          </w:tcPr>
          <w:p>
            <w:pPr>
              <w:jc w:val="center"/>
              <w:ind w:right="476"/>
              <w:spacing w:after="0"/>
              <w:rPr>
                <w:sz w:val="20"/>
                <w:szCs w:val="20"/>
                <w:color w:val="auto"/>
              </w:rPr>
            </w:pPr>
            <w:r>
              <w:rPr>
                <w:rFonts w:ascii="Arial" w:cs="Arial" w:eastAsia="Arial" w:hAnsi="Arial"/>
                <w:sz w:val="13"/>
                <w:szCs w:val="13"/>
                <w:color w:val="auto"/>
                <w:w w:val="89"/>
              </w:rPr>
              <w:t>August 2, 2017</w:t>
            </w:r>
          </w:p>
        </w:tc>
        <w:tc>
          <w:tcPr>
            <w:tcW w:w="500" w:type="dxa"/>
            <w:vAlign w:val="bottom"/>
            <w:gridSpan w:val="2"/>
          </w:tcPr>
          <w:p>
            <w:pPr>
              <w:jc w:val="right"/>
              <w:ind w:right="272"/>
              <w:spacing w:after="0"/>
              <w:rPr>
                <w:sz w:val="20"/>
                <w:szCs w:val="20"/>
                <w:color w:val="auto"/>
              </w:rPr>
            </w:pPr>
            <w:r>
              <w:rPr>
                <w:rFonts w:ascii="Arial" w:cs="Arial" w:eastAsia="Arial" w:hAnsi="Arial"/>
                <w:sz w:val="13"/>
                <w:szCs w:val="13"/>
                <w:color w:val="auto"/>
              </w:rPr>
              <w:t>$</w:t>
            </w:r>
          </w:p>
        </w:tc>
        <w:tc>
          <w:tcPr>
            <w:tcW w:w="2140" w:type="dxa"/>
            <w:vAlign w:val="bottom"/>
            <w:gridSpan w:val="2"/>
          </w:tcPr>
          <w:p>
            <w:pPr>
              <w:jc w:val="right"/>
              <w:ind w:right="120"/>
              <w:spacing w:after="0"/>
              <w:rPr>
                <w:sz w:val="20"/>
                <w:szCs w:val="20"/>
                <w:color w:val="auto"/>
              </w:rPr>
            </w:pPr>
            <w:r>
              <w:rPr>
                <w:rFonts w:ascii="Arial" w:cs="Arial" w:eastAsia="Arial" w:hAnsi="Arial"/>
                <w:sz w:val="13"/>
                <w:szCs w:val="13"/>
                <w:color w:val="auto"/>
              </w:rPr>
              <w:t>0.385</w:t>
            </w:r>
          </w:p>
        </w:tc>
      </w:tr>
      <w:tr>
        <w:trPr>
          <w:trHeight w:val="154"/>
        </w:trPr>
        <w:tc>
          <w:tcPr>
            <w:tcW w:w="652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May 18, 2017</w:t>
            </w:r>
          </w:p>
        </w:tc>
        <w:tc>
          <w:tcPr>
            <w:tcW w:w="2320" w:type="dxa"/>
            <w:vAlign w:val="bottom"/>
            <w:shd w:val="clear" w:color="auto" w:fill="CCEEFF"/>
          </w:tcPr>
          <w:p>
            <w:pPr>
              <w:jc w:val="center"/>
              <w:ind w:right="476"/>
              <w:spacing w:after="0"/>
              <w:rPr>
                <w:sz w:val="20"/>
                <w:szCs w:val="20"/>
                <w:color w:val="auto"/>
              </w:rPr>
            </w:pPr>
            <w:r>
              <w:rPr>
                <w:rFonts w:ascii="Arial" w:cs="Arial" w:eastAsia="Arial" w:hAnsi="Arial"/>
                <w:sz w:val="13"/>
                <w:szCs w:val="13"/>
                <w:color w:val="auto"/>
                <w:w w:val="92"/>
              </w:rPr>
              <w:t>May 3, 2017</w:t>
            </w:r>
          </w:p>
        </w:tc>
        <w:tc>
          <w:tcPr>
            <w:tcW w:w="500" w:type="dxa"/>
            <w:vAlign w:val="bottom"/>
            <w:gridSpan w:val="2"/>
            <w:shd w:val="clear" w:color="auto" w:fill="CCEEFF"/>
          </w:tcPr>
          <w:p>
            <w:pPr>
              <w:jc w:val="right"/>
              <w:ind w:right="272"/>
              <w:spacing w:after="0"/>
              <w:rPr>
                <w:sz w:val="20"/>
                <w:szCs w:val="20"/>
                <w:color w:val="auto"/>
              </w:rPr>
            </w:pPr>
            <w:r>
              <w:rPr>
                <w:rFonts w:ascii="Arial" w:cs="Arial" w:eastAsia="Arial" w:hAnsi="Arial"/>
                <w:sz w:val="13"/>
                <w:szCs w:val="13"/>
                <w:color w:val="auto"/>
              </w:rPr>
              <w:t>$</w:t>
            </w:r>
          </w:p>
        </w:tc>
        <w:tc>
          <w:tcPr>
            <w:tcW w:w="21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0.385</w:t>
            </w:r>
          </w:p>
        </w:tc>
      </w:tr>
      <w:tr>
        <w:trPr>
          <w:trHeight w:val="154"/>
        </w:trPr>
        <w:tc>
          <w:tcPr>
            <w:tcW w:w="6520" w:type="dxa"/>
            <w:vAlign w:val="bottom"/>
            <w:gridSpan w:val="3"/>
          </w:tcPr>
          <w:p>
            <w:pPr>
              <w:spacing w:after="0"/>
              <w:rPr>
                <w:sz w:val="20"/>
                <w:szCs w:val="20"/>
                <w:color w:val="auto"/>
              </w:rPr>
            </w:pPr>
            <w:r>
              <w:rPr>
                <w:rFonts w:ascii="Arial" w:cs="Arial" w:eastAsia="Arial" w:hAnsi="Arial"/>
                <w:sz w:val="13"/>
                <w:szCs w:val="13"/>
                <w:color w:val="auto"/>
              </w:rPr>
              <w:t>February 16, 2017</w:t>
            </w:r>
          </w:p>
        </w:tc>
        <w:tc>
          <w:tcPr>
            <w:tcW w:w="2320" w:type="dxa"/>
            <w:vAlign w:val="bottom"/>
          </w:tcPr>
          <w:p>
            <w:pPr>
              <w:jc w:val="center"/>
              <w:ind w:right="496"/>
              <w:spacing w:after="0"/>
              <w:rPr>
                <w:sz w:val="20"/>
                <w:szCs w:val="20"/>
                <w:color w:val="auto"/>
              </w:rPr>
            </w:pPr>
            <w:r>
              <w:rPr>
                <w:rFonts w:ascii="Arial" w:cs="Arial" w:eastAsia="Arial" w:hAnsi="Arial"/>
                <w:sz w:val="13"/>
                <w:szCs w:val="13"/>
                <w:color w:val="auto"/>
                <w:w w:val="88"/>
              </w:rPr>
              <w:t>February 1, 2017</w:t>
            </w:r>
          </w:p>
        </w:tc>
        <w:tc>
          <w:tcPr>
            <w:tcW w:w="500" w:type="dxa"/>
            <w:vAlign w:val="bottom"/>
            <w:gridSpan w:val="2"/>
          </w:tcPr>
          <w:p>
            <w:pPr>
              <w:jc w:val="right"/>
              <w:ind w:right="272"/>
              <w:spacing w:after="0"/>
              <w:rPr>
                <w:sz w:val="20"/>
                <w:szCs w:val="20"/>
                <w:color w:val="auto"/>
              </w:rPr>
            </w:pPr>
            <w:r>
              <w:rPr>
                <w:rFonts w:ascii="Arial" w:cs="Arial" w:eastAsia="Arial" w:hAnsi="Arial"/>
                <w:sz w:val="13"/>
                <w:szCs w:val="13"/>
                <w:color w:val="auto"/>
              </w:rPr>
              <w:t>$</w:t>
            </w:r>
          </w:p>
        </w:tc>
        <w:tc>
          <w:tcPr>
            <w:tcW w:w="2140" w:type="dxa"/>
            <w:vAlign w:val="bottom"/>
            <w:gridSpan w:val="2"/>
          </w:tcPr>
          <w:p>
            <w:pPr>
              <w:jc w:val="right"/>
              <w:ind w:right="120"/>
              <w:spacing w:after="0"/>
              <w:rPr>
                <w:sz w:val="20"/>
                <w:szCs w:val="20"/>
                <w:color w:val="auto"/>
              </w:rPr>
            </w:pPr>
            <w:r>
              <w:rPr>
                <w:rFonts w:ascii="Arial" w:cs="Arial" w:eastAsia="Arial" w:hAnsi="Arial"/>
                <w:sz w:val="13"/>
                <w:szCs w:val="13"/>
                <w:color w:val="auto"/>
              </w:rPr>
              <w:t>0.385</w:t>
            </w:r>
          </w:p>
        </w:tc>
      </w:tr>
      <w:tr>
        <w:trPr>
          <w:trHeight w:val="154"/>
        </w:trPr>
        <w:tc>
          <w:tcPr>
            <w:tcW w:w="652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November 17, 2016</w:t>
            </w:r>
          </w:p>
        </w:tc>
        <w:tc>
          <w:tcPr>
            <w:tcW w:w="2320" w:type="dxa"/>
            <w:vAlign w:val="bottom"/>
            <w:shd w:val="clear" w:color="auto" w:fill="CCEEFF"/>
          </w:tcPr>
          <w:p>
            <w:pPr>
              <w:jc w:val="center"/>
              <w:ind w:right="476"/>
              <w:spacing w:after="0"/>
              <w:rPr>
                <w:sz w:val="20"/>
                <w:szCs w:val="20"/>
                <w:color w:val="auto"/>
              </w:rPr>
            </w:pPr>
            <w:r>
              <w:rPr>
                <w:rFonts w:ascii="Arial" w:cs="Arial" w:eastAsia="Arial" w:hAnsi="Arial"/>
                <w:sz w:val="13"/>
                <w:szCs w:val="13"/>
                <w:color w:val="auto"/>
                <w:w w:val="89"/>
              </w:rPr>
              <w:t>October 31, 2016</w:t>
            </w:r>
          </w:p>
        </w:tc>
        <w:tc>
          <w:tcPr>
            <w:tcW w:w="500" w:type="dxa"/>
            <w:vAlign w:val="bottom"/>
            <w:gridSpan w:val="2"/>
            <w:shd w:val="clear" w:color="auto" w:fill="CCEEFF"/>
          </w:tcPr>
          <w:p>
            <w:pPr>
              <w:jc w:val="right"/>
              <w:ind w:right="272"/>
              <w:spacing w:after="0"/>
              <w:rPr>
                <w:sz w:val="20"/>
                <w:szCs w:val="20"/>
                <w:color w:val="auto"/>
              </w:rPr>
            </w:pPr>
            <w:r>
              <w:rPr>
                <w:rFonts w:ascii="Arial" w:cs="Arial" w:eastAsia="Arial" w:hAnsi="Arial"/>
                <w:sz w:val="13"/>
                <w:szCs w:val="13"/>
                <w:color w:val="auto"/>
              </w:rPr>
              <w:t>$</w:t>
            </w:r>
          </w:p>
        </w:tc>
        <w:tc>
          <w:tcPr>
            <w:tcW w:w="21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0.385</w:t>
            </w:r>
          </w:p>
        </w:tc>
      </w:tr>
      <w:tr>
        <w:trPr>
          <w:trHeight w:val="154"/>
        </w:trPr>
        <w:tc>
          <w:tcPr>
            <w:tcW w:w="6520" w:type="dxa"/>
            <w:vAlign w:val="bottom"/>
            <w:gridSpan w:val="3"/>
          </w:tcPr>
          <w:p>
            <w:pPr>
              <w:spacing w:after="0"/>
              <w:rPr>
                <w:sz w:val="20"/>
                <w:szCs w:val="20"/>
                <w:color w:val="auto"/>
              </w:rPr>
            </w:pPr>
            <w:r>
              <w:rPr>
                <w:rFonts w:ascii="Arial" w:cs="Arial" w:eastAsia="Arial" w:hAnsi="Arial"/>
                <w:sz w:val="13"/>
                <w:szCs w:val="13"/>
                <w:color w:val="auto"/>
              </w:rPr>
              <w:t>August 17, 2016</w:t>
            </w:r>
          </w:p>
        </w:tc>
        <w:tc>
          <w:tcPr>
            <w:tcW w:w="2320" w:type="dxa"/>
            <w:vAlign w:val="bottom"/>
          </w:tcPr>
          <w:p>
            <w:pPr>
              <w:jc w:val="center"/>
              <w:ind w:right="476"/>
              <w:spacing w:after="0"/>
              <w:rPr>
                <w:sz w:val="20"/>
                <w:szCs w:val="20"/>
                <w:color w:val="auto"/>
              </w:rPr>
            </w:pPr>
            <w:r>
              <w:rPr>
                <w:rFonts w:ascii="Arial" w:cs="Arial" w:eastAsia="Arial" w:hAnsi="Arial"/>
                <w:sz w:val="13"/>
                <w:szCs w:val="13"/>
                <w:color w:val="auto"/>
                <w:w w:val="89"/>
              </w:rPr>
              <w:t>August 3, 2016</w:t>
            </w:r>
          </w:p>
        </w:tc>
        <w:tc>
          <w:tcPr>
            <w:tcW w:w="500" w:type="dxa"/>
            <w:vAlign w:val="bottom"/>
            <w:gridSpan w:val="2"/>
          </w:tcPr>
          <w:p>
            <w:pPr>
              <w:jc w:val="right"/>
              <w:ind w:right="272"/>
              <w:spacing w:after="0"/>
              <w:rPr>
                <w:sz w:val="20"/>
                <w:szCs w:val="20"/>
                <w:color w:val="auto"/>
              </w:rPr>
            </w:pPr>
            <w:r>
              <w:rPr>
                <w:rFonts w:ascii="Arial" w:cs="Arial" w:eastAsia="Arial" w:hAnsi="Arial"/>
                <w:sz w:val="13"/>
                <w:szCs w:val="13"/>
                <w:color w:val="auto"/>
              </w:rPr>
              <w:t>$</w:t>
            </w:r>
          </w:p>
        </w:tc>
        <w:tc>
          <w:tcPr>
            <w:tcW w:w="2140" w:type="dxa"/>
            <w:vAlign w:val="bottom"/>
            <w:gridSpan w:val="2"/>
          </w:tcPr>
          <w:p>
            <w:pPr>
              <w:jc w:val="right"/>
              <w:ind w:right="120"/>
              <w:spacing w:after="0"/>
              <w:rPr>
                <w:sz w:val="20"/>
                <w:szCs w:val="20"/>
                <w:color w:val="auto"/>
              </w:rPr>
            </w:pPr>
            <w:r>
              <w:rPr>
                <w:rFonts w:ascii="Arial" w:cs="Arial" w:eastAsia="Arial" w:hAnsi="Arial"/>
                <w:sz w:val="13"/>
                <w:szCs w:val="13"/>
                <w:color w:val="auto"/>
              </w:rPr>
              <w:t>0.385</w:t>
            </w:r>
          </w:p>
        </w:tc>
      </w:tr>
      <w:tr>
        <w:trPr>
          <w:trHeight w:val="154"/>
        </w:trPr>
        <w:tc>
          <w:tcPr>
            <w:tcW w:w="652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May 11, 2016</w:t>
            </w:r>
          </w:p>
        </w:tc>
        <w:tc>
          <w:tcPr>
            <w:tcW w:w="2320" w:type="dxa"/>
            <w:vAlign w:val="bottom"/>
            <w:shd w:val="clear" w:color="auto" w:fill="CCEEFF"/>
          </w:tcPr>
          <w:p>
            <w:pPr>
              <w:jc w:val="center"/>
              <w:ind w:right="496"/>
              <w:spacing w:after="0"/>
              <w:rPr>
                <w:sz w:val="20"/>
                <w:szCs w:val="20"/>
                <w:color w:val="auto"/>
              </w:rPr>
            </w:pPr>
            <w:r>
              <w:rPr>
                <w:rFonts w:ascii="Arial" w:cs="Arial" w:eastAsia="Arial" w:hAnsi="Arial"/>
                <w:sz w:val="13"/>
                <w:szCs w:val="13"/>
                <w:color w:val="auto"/>
                <w:w w:val="94"/>
              </w:rPr>
              <w:t>April 25, 2016</w:t>
            </w:r>
          </w:p>
        </w:tc>
        <w:tc>
          <w:tcPr>
            <w:tcW w:w="500" w:type="dxa"/>
            <w:vAlign w:val="bottom"/>
            <w:gridSpan w:val="2"/>
            <w:shd w:val="clear" w:color="auto" w:fill="CCEEFF"/>
          </w:tcPr>
          <w:p>
            <w:pPr>
              <w:jc w:val="right"/>
              <w:ind w:right="272"/>
              <w:spacing w:after="0"/>
              <w:rPr>
                <w:sz w:val="20"/>
                <w:szCs w:val="20"/>
                <w:color w:val="auto"/>
              </w:rPr>
            </w:pPr>
            <w:r>
              <w:rPr>
                <w:rFonts w:ascii="Arial" w:cs="Arial" w:eastAsia="Arial" w:hAnsi="Arial"/>
                <w:sz w:val="13"/>
                <w:szCs w:val="13"/>
                <w:color w:val="auto"/>
              </w:rPr>
              <w:t>$</w:t>
            </w:r>
          </w:p>
        </w:tc>
        <w:tc>
          <w:tcPr>
            <w:tcW w:w="21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0.385</w:t>
            </w:r>
          </w:p>
        </w:tc>
      </w:tr>
      <w:tr>
        <w:trPr>
          <w:trHeight w:val="162"/>
        </w:trPr>
        <w:tc>
          <w:tcPr>
            <w:tcW w:w="6520" w:type="dxa"/>
            <w:vAlign w:val="bottom"/>
            <w:gridSpan w:val="3"/>
          </w:tcPr>
          <w:p>
            <w:pPr>
              <w:spacing w:after="0"/>
              <w:rPr>
                <w:sz w:val="20"/>
                <w:szCs w:val="20"/>
                <w:color w:val="auto"/>
              </w:rPr>
            </w:pPr>
            <w:r>
              <w:rPr>
                <w:rFonts w:ascii="Arial" w:cs="Arial" w:eastAsia="Arial" w:hAnsi="Arial"/>
                <w:sz w:val="13"/>
                <w:szCs w:val="13"/>
                <w:color w:val="auto"/>
              </w:rPr>
              <w:t>February 23, 2016</w:t>
            </w:r>
          </w:p>
        </w:tc>
        <w:tc>
          <w:tcPr>
            <w:tcW w:w="2320" w:type="dxa"/>
            <w:vAlign w:val="bottom"/>
          </w:tcPr>
          <w:p>
            <w:pPr>
              <w:jc w:val="center"/>
              <w:ind w:right="476"/>
              <w:spacing w:after="0"/>
              <w:rPr>
                <w:sz w:val="20"/>
                <w:szCs w:val="20"/>
                <w:color w:val="auto"/>
              </w:rPr>
            </w:pPr>
            <w:r>
              <w:rPr>
                <w:rFonts w:ascii="Arial" w:cs="Arial" w:eastAsia="Arial" w:hAnsi="Arial"/>
                <w:sz w:val="13"/>
                <w:szCs w:val="13"/>
                <w:color w:val="auto"/>
                <w:w w:val="88"/>
              </w:rPr>
              <w:t>February 10, 2016</w:t>
            </w:r>
          </w:p>
        </w:tc>
        <w:tc>
          <w:tcPr>
            <w:tcW w:w="500" w:type="dxa"/>
            <w:vAlign w:val="bottom"/>
            <w:gridSpan w:val="2"/>
          </w:tcPr>
          <w:p>
            <w:pPr>
              <w:jc w:val="right"/>
              <w:ind w:right="272"/>
              <w:spacing w:after="0"/>
              <w:rPr>
                <w:sz w:val="20"/>
                <w:szCs w:val="20"/>
                <w:color w:val="auto"/>
              </w:rPr>
            </w:pPr>
            <w:r>
              <w:rPr>
                <w:rFonts w:ascii="Arial" w:cs="Arial" w:eastAsia="Arial" w:hAnsi="Arial"/>
                <w:sz w:val="13"/>
                <w:szCs w:val="13"/>
                <w:color w:val="auto"/>
              </w:rPr>
              <w:t>$</w:t>
            </w:r>
          </w:p>
        </w:tc>
        <w:tc>
          <w:tcPr>
            <w:tcW w:w="2140" w:type="dxa"/>
            <w:vAlign w:val="bottom"/>
            <w:gridSpan w:val="2"/>
          </w:tcPr>
          <w:p>
            <w:pPr>
              <w:jc w:val="right"/>
              <w:ind w:right="120"/>
              <w:spacing w:after="0"/>
              <w:rPr>
                <w:sz w:val="20"/>
                <w:szCs w:val="20"/>
                <w:color w:val="auto"/>
              </w:rPr>
            </w:pPr>
            <w:r>
              <w:rPr>
                <w:rFonts w:ascii="Arial" w:cs="Arial" w:eastAsia="Arial" w:hAnsi="Arial"/>
                <w:sz w:val="13"/>
                <w:szCs w:val="13"/>
                <w:color w:val="auto"/>
              </w:rPr>
              <w:t>0.385</w:t>
            </w:r>
          </w:p>
        </w:tc>
      </w:tr>
    </w:tbl>
    <w:p>
      <w:pPr>
        <w:spacing w:after="0" w:line="137"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Bank has no preferred shares issued and outstanding as of December 31, 2018.</w:t>
      </w:r>
    </w:p>
    <w:p>
      <w:pPr>
        <w:spacing w:after="0" w:line="307"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100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102" w:name="page103"/>
    <w:bookmarkEnd w:id="102"/>
    <w:p>
      <w:pPr>
        <w:ind w:left="463" w:hanging="463"/>
        <w:spacing w:after="0"/>
        <w:tabs>
          <w:tab w:leader="none" w:pos="463" w:val="left"/>
        </w:tabs>
        <w:numPr>
          <w:ilvl w:val="0"/>
          <w:numId w:val="68"/>
        </w:numPr>
        <w:rPr>
          <w:rFonts w:ascii="Arial" w:cs="Arial" w:eastAsia="Arial" w:hAnsi="Arial"/>
          <w:sz w:val="13"/>
          <w:szCs w:val="13"/>
          <w:b w:val="1"/>
          <w:bCs w:val="1"/>
          <w:color w:val="auto"/>
        </w:rPr>
      </w:pPr>
      <w:r>
        <w:rPr>
          <w:rFonts w:ascii="Arial" w:cs="Arial" w:eastAsia="Arial" w:hAnsi="Arial"/>
          <w:sz w:val="13"/>
          <w:szCs w:val="13"/>
          <w:b w:val="1"/>
          <w:bCs w:val="1"/>
          <w:color w:val="auto"/>
        </w:rPr>
        <w:t>Significant Changes</w:t>
      </w:r>
    </w:p>
    <w:p>
      <w:pPr>
        <w:spacing w:after="0" w:line="163"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 applicable.</w:t>
      </w:r>
    </w:p>
    <w:p>
      <w:pPr>
        <w:spacing w:after="0" w:line="155" w:lineRule="exact"/>
        <w:rPr>
          <w:sz w:val="20"/>
          <w:szCs w:val="20"/>
          <w:color w:val="auto"/>
        </w:rPr>
      </w:pPr>
    </w:p>
    <w:p>
      <w:pPr>
        <w:ind w:left="3"/>
        <w:spacing w:after="0"/>
        <w:tabs>
          <w:tab w:leader="none" w:pos="903" w:val="left"/>
        </w:tabs>
        <w:rPr>
          <w:sz w:val="20"/>
          <w:szCs w:val="20"/>
          <w:color w:val="auto"/>
        </w:rPr>
      </w:pPr>
      <w:r>
        <w:rPr>
          <w:rFonts w:ascii="Arial" w:cs="Arial" w:eastAsia="Arial" w:hAnsi="Arial"/>
          <w:sz w:val="13"/>
          <w:szCs w:val="13"/>
          <w:b w:val="1"/>
          <w:bCs w:val="1"/>
          <w:color w:val="auto"/>
        </w:rPr>
        <w:t>Item 9.</w:t>
      </w:r>
      <w:r>
        <w:rPr>
          <w:sz w:val="20"/>
          <w:szCs w:val="20"/>
          <w:color w:val="auto"/>
        </w:rPr>
        <w:tab/>
      </w:r>
      <w:r>
        <w:rPr>
          <w:rFonts w:ascii="Arial" w:cs="Arial" w:eastAsia="Arial" w:hAnsi="Arial"/>
          <w:sz w:val="11"/>
          <w:szCs w:val="11"/>
          <w:b w:val="1"/>
          <w:bCs w:val="1"/>
          <w:color w:val="auto"/>
        </w:rPr>
        <w:t>The Offer and Listing</w:t>
      </w:r>
    </w:p>
    <w:p>
      <w:pPr>
        <w:spacing w:after="0" w:line="159" w:lineRule="exact"/>
        <w:rPr>
          <w:sz w:val="20"/>
          <w:szCs w:val="20"/>
          <w:color w:val="auto"/>
        </w:rPr>
      </w:pPr>
    </w:p>
    <w:p>
      <w:pPr>
        <w:ind w:left="463" w:hanging="463"/>
        <w:spacing w:after="0"/>
        <w:tabs>
          <w:tab w:leader="none" w:pos="463" w:val="left"/>
        </w:tabs>
        <w:numPr>
          <w:ilvl w:val="0"/>
          <w:numId w:val="69"/>
        </w:numPr>
        <w:rPr>
          <w:rFonts w:ascii="Arial" w:cs="Arial" w:eastAsia="Arial" w:hAnsi="Arial"/>
          <w:sz w:val="13"/>
          <w:szCs w:val="13"/>
          <w:b w:val="1"/>
          <w:bCs w:val="1"/>
          <w:color w:val="auto"/>
        </w:rPr>
      </w:pPr>
      <w:r>
        <w:rPr>
          <w:rFonts w:ascii="Arial" w:cs="Arial" w:eastAsia="Arial" w:hAnsi="Arial"/>
          <w:sz w:val="13"/>
          <w:szCs w:val="13"/>
          <w:b w:val="1"/>
          <w:bCs w:val="1"/>
          <w:color w:val="auto"/>
        </w:rPr>
        <w:t>Offer and Listing Details</w:t>
      </w:r>
    </w:p>
    <w:p>
      <w:pPr>
        <w:spacing w:after="0" w:line="163"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Bank’s Class E shares are listed on the NYSE under the symbol “BLX”. The following table shows the high and low market prices of the Class E shares on the NYSE for the periods indicated:</w:t>
      </w:r>
    </w:p>
    <w:p>
      <w:pPr>
        <w:spacing w:after="0" w:line="109" w:lineRule="exact"/>
        <w:rPr>
          <w:sz w:val="20"/>
          <w:szCs w:val="20"/>
          <w:color w:val="auto"/>
        </w:rPr>
      </w:pPr>
    </w:p>
    <w:p>
      <w:pPr>
        <w:ind w:left="8883"/>
        <w:spacing w:after="0"/>
        <w:rPr>
          <w:sz w:val="20"/>
          <w:szCs w:val="20"/>
          <w:color w:val="auto"/>
        </w:rPr>
      </w:pPr>
      <w:r>
        <w:rPr>
          <w:rFonts w:ascii="Arial" w:cs="Arial" w:eastAsia="Arial" w:hAnsi="Arial"/>
          <w:sz w:val="13"/>
          <w:szCs w:val="13"/>
          <w:b w:val="1"/>
          <w:bCs w:val="1"/>
          <w:color w:val="auto"/>
        </w:rPr>
        <w:t xml:space="preserve">Price per Class E Share (in $) </w:t>
      </w:r>
      <w:r>
        <w:rPr>
          <w:rFonts w:ascii="Arial" w:cs="Arial" w:eastAsia="Arial" w:hAnsi="Arial"/>
          <w:sz w:val="21"/>
          <w:szCs w:val="21"/>
          <w:b w:val="1"/>
          <w:bCs w:val="1"/>
          <w:color w:val="auto"/>
          <w:vertAlign w:val="superscript"/>
        </w:rPr>
        <w:t>(1)</w:t>
      </w:r>
    </w:p>
    <w:tbl>
      <w:tblPr>
        <w:tblLayout w:type="fixed"/>
        <w:tblInd w:w="3" w:type="dxa"/>
        <w:tblCellMar>
          <w:top w:w="0" w:type="dxa"/>
          <w:left w:w="0" w:type="dxa"/>
          <w:bottom w:w="0" w:type="dxa"/>
          <w:right w:w="0" w:type="dxa"/>
        </w:tblCellMar>
      </w:tblPr>
      <w:tr>
        <w:trPr>
          <w:trHeight w:val="153"/>
        </w:trPr>
        <w:tc>
          <w:tcPr>
            <w:tcW w:w="160" w:type="dxa"/>
            <w:vAlign w:val="bottom"/>
            <w:tcBorders>
              <w:bottom w:val="single" w:sz="8" w:color="CCEEFF"/>
            </w:tcBorders>
          </w:tcPr>
          <w:p>
            <w:pPr>
              <w:spacing w:after="0"/>
              <w:rPr>
                <w:sz w:val="13"/>
                <w:szCs w:val="13"/>
                <w:color w:val="auto"/>
              </w:rPr>
            </w:pPr>
          </w:p>
        </w:tc>
        <w:tc>
          <w:tcPr>
            <w:tcW w:w="8000" w:type="dxa"/>
            <w:vAlign w:val="bottom"/>
            <w:tcBorders>
              <w:bottom w:val="single" w:sz="8" w:color="CCEEFF"/>
            </w:tcBorders>
          </w:tcPr>
          <w:p>
            <w:pPr>
              <w:spacing w:after="0"/>
              <w:rPr>
                <w:sz w:val="13"/>
                <w:szCs w:val="13"/>
                <w:color w:val="auto"/>
              </w:rPr>
            </w:pPr>
          </w:p>
        </w:tc>
        <w:tc>
          <w:tcPr>
            <w:tcW w:w="1040" w:type="dxa"/>
            <w:vAlign w:val="bottom"/>
            <w:tcBorders>
              <w:top w:val="single" w:sz="8" w:color="auto"/>
              <w:bottom w:val="single" w:sz="8" w:color="auto"/>
            </w:tcBorders>
          </w:tcPr>
          <w:p>
            <w:pPr>
              <w:ind w:left="600"/>
              <w:spacing w:after="0"/>
              <w:rPr>
                <w:sz w:val="20"/>
                <w:szCs w:val="20"/>
                <w:color w:val="auto"/>
              </w:rPr>
            </w:pPr>
            <w:r>
              <w:rPr>
                <w:rFonts w:ascii="Arial" w:cs="Arial" w:eastAsia="Arial" w:hAnsi="Arial"/>
                <w:sz w:val="13"/>
                <w:szCs w:val="13"/>
                <w:b w:val="1"/>
                <w:bCs w:val="1"/>
                <w:color w:val="auto"/>
              </w:rPr>
              <w:t>High</w:t>
            </w:r>
          </w:p>
        </w:tc>
        <w:tc>
          <w:tcPr>
            <w:tcW w:w="460" w:type="dxa"/>
            <w:vAlign w:val="bottom"/>
            <w:tcBorders>
              <w:top w:val="single" w:sz="8" w:color="auto"/>
              <w:bottom w:val="single" w:sz="8" w:color="auto"/>
            </w:tcBorders>
          </w:tcPr>
          <w:p>
            <w:pPr>
              <w:spacing w:after="0"/>
              <w:rPr>
                <w:sz w:val="13"/>
                <w:szCs w:val="13"/>
                <w:color w:val="auto"/>
              </w:rPr>
            </w:pPr>
          </w:p>
        </w:tc>
        <w:tc>
          <w:tcPr>
            <w:tcW w:w="220" w:type="dxa"/>
            <w:vAlign w:val="bottom"/>
            <w:tcBorders>
              <w:top w:val="single" w:sz="8" w:color="auto"/>
              <w:bottom w:val="single" w:sz="8" w:color="CCEEFF"/>
            </w:tcBorders>
          </w:tcPr>
          <w:p>
            <w:pPr>
              <w:spacing w:after="0"/>
              <w:rPr>
                <w:sz w:val="13"/>
                <w:szCs w:val="13"/>
                <w:color w:val="auto"/>
              </w:rPr>
            </w:pPr>
          </w:p>
        </w:tc>
        <w:tc>
          <w:tcPr>
            <w:tcW w:w="1480" w:type="dxa"/>
            <w:vAlign w:val="bottom"/>
            <w:tcBorders>
              <w:top w:val="single" w:sz="8" w:color="auto"/>
              <w:bottom w:val="single" w:sz="8" w:color="auto"/>
            </w:tcBorders>
          </w:tcPr>
          <w:p>
            <w:pPr>
              <w:jc w:val="right"/>
              <w:ind w:right="556"/>
              <w:spacing w:after="0"/>
              <w:rPr>
                <w:sz w:val="20"/>
                <w:szCs w:val="20"/>
                <w:color w:val="auto"/>
              </w:rPr>
            </w:pPr>
            <w:r>
              <w:rPr>
                <w:rFonts w:ascii="Arial" w:cs="Arial" w:eastAsia="Arial" w:hAnsi="Arial"/>
                <w:sz w:val="13"/>
                <w:szCs w:val="13"/>
                <w:b w:val="1"/>
                <w:bCs w:val="1"/>
                <w:color w:val="auto"/>
              </w:rPr>
              <w:t>Low</w:t>
            </w:r>
          </w:p>
        </w:tc>
        <w:tc>
          <w:tcPr>
            <w:tcW w:w="120" w:type="dxa"/>
            <w:vAlign w:val="bottom"/>
            <w:tcBorders>
              <w:bottom w:val="single" w:sz="8" w:color="CCEEFF"/>
            </w:tcBorders>
          </w:tcPr>
          <w:p>
            <w:pPr>
              <w:spacing w:after="0"/>
              <w:rPr>
                <w:sz w:val="13"/>
                <w:szCs w:val="13"/>
                <w:color w:val="auto"/>
              </w:rPr>
            </w:pPr>
          </w:p>
        </w:tc>
      </w:tr>
      <w:tr>
        <w:trPr>
          <w:trHeight w:val="144"/>
        </w:trPr>
        <w:tc>
          <w:tcPr>
            <w:tcW w:w="8160" w:type="dxa"/>
            <w:vAlign w:val="bottom"/>
            <w:gridSpan w:val="2"/>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2018</w:t>
            </w:r>
          </w:p>
        </w:tc>
        <w:tc>
          <w:tcPr>
            <w:tcW w:w="1040" w:type="dxa"/>
            <w:vAlign w:val="bottom"/>
            <w:shd w:val="clear" w:color="auto" w:fill="CCEEFF"/>
          </w:tcPr>
          <w:p>
            <w:pPr>
              <w:spacing w:after="0"/>
              <w:rPr>
                <w:sz w:val="12"/>
                <w:szCs w:val="12"/>
                <w:color w:val="auto"/>
              </w:rPr>
            </w:pPr>
          </w:p>
        </w:tc>
        <w:tc>
          <w:tcPr>
            <w:tcW w:w="46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color w:val="auto"/>
              </w:rPr>
              <w:t>30.43</w:t>
            </w:r>
          </w:p>
        </w:tc>
        <w:tc>
          <w:tcPr>
            <w:tcW w:w="220" w:type="dxa"/>
            <w:vAlign w:val="bottom"/>
            <w:shd w:val="clear" w:color="auto" w:fill="CCEEFF"/>
          </w:tcPr>
          <w:p>
            <w:pPr>
              <w:spacing w:after="0"/>
              <w:rPr>
                <w:sz w:val="12"/>
                <w:szCs w:val="12"/>
                <w:color w:val="auto"/>
              </w:rPr>
            </w:pPr>
          </w:p>
        </w:tc>
        <w:tc>
          <w:tcPr>
            <w:tcW w:w="148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color w:val="auto"/>
              </w:rPr>
              <w:t>15.33</w:t>
            </w:r>
          </w:p>
        </w:tc>
        <w:tc>
          <w:tcPr>
            <w:tcW w:w="120" w:type="dxa"/>
            <w:vAlign w:val="bottom"/>
            <w:shd w:val="clear" w:color="auto" w:fill="CCEEFF"/>
          </w:tcPr>
          <w:p>
            <w:pPr>
              <w:spacing w:after="0"/>
              <w:rPr>
                <w:sz w:val="12"/>
                <w:szCs w:val="12"/>
                <w:color w:val="auto"/>
              </w:rPr>
            </w:pPr>
          </w:p>
        </w:tc>
      </w:tr>
      <w:tr>
        <w:trPr>
          <w:trHeight w:val="154"/>
        </w:trPr>
        <w:tc>
          <w:tcPr>
            <w:tcW w:w="8160" w:type="dxa"/>
            <w:vAlign w:val="bottom"/>
            <w:gridSpan w:val="2"/>
          </w:tcPr>
          <w:p>
            <w:pPr>
              <w:spacing w:after="0"/>
              <w:rPr>
                <w:sz w:val="20"/>
                <w:szCs w:val="20"/>
                <w:color w:val="auto"/>
              </w:rPr>
            </w:pPr>
            <w:r>
              <w:rPr>
                <w:rFonts w:ascii="Arial" w:cs="Arial" w:eastAsia="Arial" w:hAnsi="Arial"/>
                <w:sz w:val="13"/>
                <w:szCs w:val="13"/>
                <w:b w:val="1"/>
                <w:bCs w:val="1"/>
                <w:color w:val="auto"/>
              </w:rPr>
              <w:t>2017</w:t>
            </w:r>
          </w:p>
        </w:tc>
        <w:tc>
          <w:tcPr>
            <w:tcW w:w="1040" w:type="dxa"/>
            <w:vAlign w:val="bottom"/>
          </w:tcPr>
          <w:p>
            <w:pPr>
              <w:spacing w:after="0"/>
              <w:rPr>
                <w:sz w:val="13"/>
                <w:szCs w:val="13"/>
                <w:color w:val="auto"/>
              </w:rPr>
            </w:pPr>
          </w:p>
        </w:tc>
        <w:tc>
          <w:tcPr>
            <w:tcW w:w="680" w:type="dxa"/>
            <w:vAlign w:val="bottom"/>
            <w:gridSpan w:val="2"/>
          </w:tcPr>
          <w:p>
            <w:pPr>
              <w:jc w:val="right"/>
              <w:ind w:right="220"/>
              <w:spacing w:after="0"/>
              <w:rPr>
                <w:sz w:val="20"/>
                <w:szCs w:val="20"/>
                <w:color w:val="auto"/>
              </w:rPr>
            </w:pPr>
            <w:r>
              <w:rPr>
                <w:rFonts w:ascii="Arial" w:cs="Arial" w:eastAsia="Arial" w:hAnsi="Arial"/>
                <w:sz w:val="13"/>
                <w:szCs w:val="13"/>
                <w:color w:val="auto"/>
              </w:rPr>
              <w:t>30.45</w:t>
            </w:r>
          </w:p>
        </w:tc>
        <w:tc>
          <w:tcPr>
            <w:tcW w:w="1600" w:type="dxa"/>
            <w:vAlign w:val="bottom"/>
            <w:gridSpan w:val="2"/>
          </w:tcPr>
          <w:p>
            <w:pPr>
              <w:jc w:val="right"/>
              <w:ind w:right="120"/>
              <w:spacing w:after="0"/>
              <w:rPr>
                <w:sz w:val="20"/>
                <w:szCs w:val="20"/>
                <w:color w:val="auto"/>
              </w:rPr>
            </w:pPr>
            <w:r>
              <w:rPr>
                <w:rFonts w:ascii="Arial" w:cs="Arial" w:eastAsia="Arial" w:hAnsi="Arial"/>
                <w:sz w:val="13"/>
                <w:szCs w:val="13"/>
                <w:color w:val="auto"/>
              </w:rPr>
              <w:t>25.51</w:t>
            </w:r>
          </w:p>
        </w:tc>
      </w:tr>
      <w:tr>
        <w:trPr>
          <w:trHeight w:val="154"/>
        </w:trPr>
        <w:tc>
          <w:tcPr>
            <w:tcW w:w="8160" w:type="dxa"/>
            <w:vAlign w:val="bottom"/>
            <w:gridSpan w:val="2"/>
            <w:shd w:val="clear" w:color="auto" w:fill="CCEEFF"/>
          </w:tcPr>
          <w:p>
            <w:pPr>
              <w:spacing w:after="0"/>
              <w:rPr>
                <w:sz w:val="20"/>
                <w:szCs w:val="20"/>
                <w:color w:val="auto"/>
              </w:rPr>
            </w:pPr>
            <w:r>
              <w:rPr>
                <w:rFonts w:ascii="Arial" w:cs="Arial" w:eastAsia="Arial" w:hAnsi="Arial"/>
                <w:sz w:val="13"/>
                <w:szCs w:val="13"/>
                <w:b w:val="1"/>
                <w:bCs w:val="1"/>
                <w:color w:val="auto"/>
              </w:rPr>
              <w:t>2016</w:t>
            </w:r>
          </w:p>
        </w:tc>
        <w:tc>
          <w:tcPr>
            <w:tcW w:w="1040" w:type="dxa"/>
            <w:vAlign w:val="bottom"/>
            <w:shd w:val="clear" w:color="auto" w:fill="CCEEFF"/>
          </w:tcPr>
          <w:p>
            <w:pPr>
              <w:spacing w:after="0"/>
              <w:rPr>
                <w:sz w:val="13"/>
                <w:szCs w:val="13"/>
                <w:color w:val="auto"/>
              </w:rPr>
            </w:pP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30.50</w:t>
            </w:r>
          </w:p>
        </w:tc>
        <w:tc>
          <w:tcPr>
            <w:tcW w:w="16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19.63</w:t>
            </w:r>
          </w:p>
        </w:tc>
      </w:tr>
      <w:tr>
        <w:trPr>
          <w:trHeight w:val="154"/>
        </w:trPr>
        <w:tc>
          <w:tcPr>
            <w:tcW w:w="8160" w:type="dxa"/>
            <w:vAlign w:val="bottom"/>
            <w:gridSpan w:val="2"/>
          </w:tcPr>
          <w:p>
            <w:pPr>
              <w:spacing w:after="0"/>
              <w:rPr>
                <w:sz w:val="20"/>
                <w:szCs w:val="20"/>
                <w:color w:val="auto"/>
              </w:rPr>
            </w:pPr>
            <w:r>
              <w:rPr>
                <w:rFonts w:ascii="Arial" w:cs="Arial" w:eastAsia="Arial" w:hAnsi="Arial"/>
                <w:sz w:val="13"/>
                <w:szCs w:val="13"/>
                <w:b w:val="1"/>
                <w:bCs w:val="1"/>
                <w:color w:val="auto"/>
              </w:rPr>
              <w:t>2015</w:t>
            </w:r>
          </w:p>
        </w:tc>
        <w:tc>
          <w:tcPr>
            <w:tcW w:w="1040" w:type="dxa"/>
            <w:vAlign w:val="bottom"/>
          </w:tcPr>
          <w:p>
            <w:pPr>
              <w:spacing w:after="0"/>
              <w:rPr>
                <w:sz w:val="13"/>
                <w:szCs w:val="13"/>
                <w:color w:val="auto"/>
              </w:rPr>
            </w:pPr>
          </w:p>
        </w:tc>
        <w:tc>
          <w:tcPr>
            <w:tcW w:w="680" w:type="dxa"/>
            <w:vAlign w:val="bottom"/>
            <w:gridSpan w:val="2"/>
          </w:tcPr>
          <w:p>
            <w:pPr>
              <w:jc w:val="right"/>
              <w:ind w:right="220"/>
              <w:spacing w:after="0"/>
              <w:rPr>
                <w:sz w:val="20"/>
                <w:szCs w:val="20"/>
                <w:color w:val="auto"/>
              </w:rPr>
            </w:pPr>
            <w:r>
              <w:rPr>
                <w:rFonts w:ascii="Arial" w:cs="Arial" w:eastAsia="Arial" w:hAnsi="Arial"/>
                <w:sz w:val="13"/>
                <w:szCs w:val="13"/>
                <w:color w:val="auto"/>
              </w:rPr>
              <w:t>34.49</w:t>
            </w:r>
          </w:p>
        </w:tc>
        <w:tc>
          <w:tcPr>
            <w:tcW w:w="1600" w:type="dxa"/>
            <w:vAlign w:val="bottom"/>
            <w:gridSpan w:val="2"/>
          </w:tcPr>
          <w:p>
            <w:pPr>
              <w:jc w:val="right"/>
              <w:ind w:right="120"/>
              <w:spacing w:after="0"/>
              <w:rPr>
                <w:sz w:val="20"/>
                <w:szCs w:val="20"/>
                <w:color w:val="auto"/>
              </w:rPr>
            </w:pPr>
            <w:r>
              <w:rPr>
                <w:rFonts w:ascii="Arial" w:cs="Arial" w:eastAsia="Arial" w:hAnsi="Arial"/>
                <w:sz w:val="13"/>
                <w:szCs w:val="13"/>
                <w:color w:val="auto"/>
              </w:rPr>
              <w:t>22.16</w:t>
            </w:r>
          </w:p>
        </w:tc>
      </w:tr>
      <w:tr>
        <w:trPr>
          <w:trHeight w:val="154"/>
        </w:trPr>
        <w:tc>
          <w:tcPr>
            <w:tcW w:w="8160" w:type="dxa"/>
            <w:vAlign w:val="bottom"/>
            <w:gridSpan w:val="2"/>
            <w:shd w:val="clear" w:color="auto" w:fill="CCEEFF"/>
          </w:tcPr>
          <w:p>
            <w:pPr>
              <w:spacing w:after="0"/>
              <w:rPr>
                <w:sz w:val="20"/>
                <w:szCs w:val="20"/>
                <w:color w:val="auto"/>
              </w:rPr>
            </w:pPr>
            <w:r>
              <w:rPr>
                <w:rFonts w:ascii="Arial" w:cs="Arial" w:eastAsia="Arial" w:hAnsi="Arial"/>
                <w:sz w:val="13"/>
                <w:szCs w:val="13"/>
                <w:b w:val="1"/>
                <w:bCs w:val="1"/>
                <w:color w:val="auto"/>
              </w:rPr>
              <w:t>2014</w:t>
            </w:r>
          </w:p>
        </w:tc>
        <w:tc>
          <w:tcPr>
            <w:tcW w:w="1040" w:type="dxa"/>
            <w:vAlign w:val="bottom"/>
            <w:shd w:val="clear" w:color="auto" w:fill="CCEEFF"/>
          </w:tcPr>
          <w:p>
            <w:pPr>
              <w:spacing w:after="0"/>
              <w:rPr>
                <w:sz w:val="13"/>
                <w:szCs w:val="13"/>
                <w:color w:val="auto"/>
              </w:rPr>
            </w:pP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34.90</w:t>
            </w:r>
          </w:p>
        </w:tc>
        <w:tc>
          <w:tcPr>
            <w:tcW w:w="16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24.29</w:t>
            </w:r>
          </w:p>
        </w:tc>
      </w:tr>
      <w:tr>
        <w:trPr>
          <w:trHeight w:val="154"/>
        </w:trPr>
        <w:tc>
          <w:tcPr>
            <w:tcW w:w="8160" w:type="dxa"/>
            <w:vAlign w:val="bottom"/>
            <w:gridSpan w:val="2"/>
          </w:tcPr>
          <w:p>
            <w:pPr>
              <w:spacing w:after="0"/>
              <w:rPr>
                <w:sz w:val="20"/>
                <w:szCs w:val="20"/>
                <w:color w:val="auto"/>
              </w:rPr>
            </w:pPr>
            <w:r>
              <w:rPr>
                <w:rFonts w:ascii="Arial" w:cs="Arial" w:eastAsia="Arial" w:hAnsi="Arial"/>
                <w:sz w:val="13"/>
                <w:szCs w:val="13"/>
                <w:b w:val="1"/>
                <w:bCs w:val="1"/>
                <w:color w:val="auto"/>
              </w:rPr>
              <w:t>2019:</w:t>
            </w:r>
          </w:p>
        </w:tc>
        <w:tc>
          <w:tcPr>
            <w:tcW w:w="1040" w:type="dxa"/>
            <w:vAlign w:val="bottom"/>
          </w:tcPr>
          <w:p>
            <w:pPr>
              <w:spacing w:after="0"/>
              <w:rPr>
                <w:sz w:val="13"/>
                <w:szCs w:val="13"/>
                <w:color w:val="auto"/>
              </w:rPr>
            </w:pPr>
          </w:p>
        </w:tc>
        <w:tc>
          <w:tcPr>
            <w:tcW w:w="4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8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54"/>
        </w:trPr>
        <w:tc>
          <w:tcPr>
            <w:tcW w:w="160" w:type="dxa"/>
            <w:vAlign w:val="bottom"/>
            <w:shd w:val="clear" w:color="auto" w:fill="CCEEFF"/>
          </w:tcPr>
          <w:p>
            <w:pPr>
              <w:spacing w:after="0"/>
              <w:rPr>
                <w:sz w:val="13"/>
                <w:szCs w:val="13"/>
                <w:color w:val="auto"/>
              </w:rPr>
            </w:pPr>
          </w:p>
        </w:tc>
        <w:tc>
          <w:tcPr>
            <w:tcW w:w="9040" w:type="dxa"/>
            <w:vAlign w:val="bottom"/>
            <w:gridSpan w:val="2"/>
            <w:shd w:val="clear" w:color="auto" w:fill="CCEEFF"/>
          </w:tcPr>
          <w:p>
            <w:pPr>
              <w:ind w:left="20"/>
              <w:spacing w:after="0"/>
              <w:rPr>
                <w:sz w:val="20"/>
                <w:szCs w:val="20"/>
                <w:color w:val="auto"/>
              </w:rPr>
            </w:pPr>
            <w:r>
              <w:rPr>
                <w:rFonts w:ascii="Arial" w:cs="Arial" w:eastAsia="Arial" w:hAnsi="Arial"/>
                <w:sz w:val="13"/>
                <w:szCs w:val="13"/>
                <w:color w:val="auto"/>
              </w:rPr>
              <w:t>March</w:t>
            </w: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21.87</w:t>
            </w:r>
          </w:p>
        </w:tc>
        <w:tc>
          <w:tcPr>
            <w:tcW w:w="16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18.95</w:t>
            </w:r>
          </w:p>
        </w:tc>
      </w:tr>
      <w:tr>
        <w:trPr>
          <w:trHeight w:val="154"/>
        </w:trPr>
        <w:tc>
          <w:tcPr>
            <w:tcW w:w="160" w:type="dxa"/>
            <w:vAlign w:val="bottom"/>
          </w:tcPr>
          <w:p>
            <w:pPr>
              <w:spacing w:after="0"/>
              <w:rPr>
                <w:sz w:val="13"/>
                <w:szCs w:val="13"/>
                <w:color w:val="auto"/>
              </w:rPr>
            </w:pPr>
          </w:p>
        </w:tc>
        <w:tc>
          <w:tcPr>
            <w:tcW w:w="9040" w:type="dxa"/>
            <w:vAlign w:val="bottom"/>
            <w:gridSpan w:val="2"/>
          </w:tcPr>
          <w:p>
            <w:pPr>
              <w:ind w:left="20"/>
              <w:spacing w:after="0"/>
              <w:rPr>
                <w:sz w:val="20"/>
                <w:szCs w:val="20"/>
                <w:color w:val="auto"/>
              </w:rPr>
            </w:pPr>
            <w:r>
              <w:rPr>
                <w:rFonts w:ascii="Arial" w:cs="Arial" w:eastAsia="Arial" w:hAnsi="Arial"/>
                <w:sz w:val="13"/>
                <w:szCs w:val="13"/>
                <w:color w:val="auto"/>
              </w:rPr>
              <w:t>February</w:t>
            </w:r>
          </w:p>
        </w:tc>
        <w:tc>
          <w:tcPr>
            <w:tcW w:w="680" w:type="dxa"/>
            <w:vAlign w:val="bottom"/>
            <w:gridSpan w:val="2"/>
          </w:tcPr>
          <w:p>
            <w:pPr>
              <w:jc w:val="right"/>
              <w:ind w:right="220"/>
              <w:spacing w:after="0"/>
              <w:rPr>
                <w:sz w:val="20"/>
                <w:szCs w:val="20"/>
                <w:color w:val="auto"/>
              </w:rPr>
            </w:pPr>
            <w:r>
              <w:rPr>
                <w:rFonts w:ascii="Arial" w:cs="Arial" w:eastAsia="Arial" w:hAnsi="Arial"/>
                <w:sz w:val="13"/>
                <w:szCs w:val="13"/>
                <w:color w:val="auto"/>
              </w:rPr>
              <w:t>21.20</w:t>
            </w:r>
          </w:p>
        </w:tc>
        <w:tc>
          <w:tcPr>
            <w:tcW w:w="1600" w:type="dxa"/>
            <w:vAlign w:val="bottom"/>
            <w:gridSpan w:val="2"/>
          </w:tcPr>
          <w:p>
            <w:pPr>
              <w:jc w:val="right"/>
              <w:ind w:right="120"/>
              <w:spacing w:after="0"/>
              <w:rPr>
                <w:sz w:val="20"/>
                <w:szCs w:val="20"/>
                <w:color w:val="auto"/>
              </w:rPr>
            </w:pPr>
            <w:r>
              <w:rPr>
                <w:rFonts w:ascii="Arial" w:cs="Arial" w:eastAsia="Arial" w:hAnsi="Arial"/>
                <w:sz w:val="13"/>
                <w:szCs w:val="13"/>
                <w:color w:val="auto"/>
              </w:rPr>
              <w:t>17.78</w:t>
            </w:r>
          </w:p>
        </w:tc>
      </w:tr>
      <w:tr>
        <w:trPr>
          <w:trHeight w:val="154"/>
        </w:trPr>
        <w:tc>
          <w:tcPr>
            <w:tcW w:w="160" w:type="dxa"/>
            <w:vAlign w:val="bottom"/>
            <w:shd w:val="clear" w:color="auto" w:fill="CCEEFF"/>
          </w:tcPr>
          <w:p>
            <w:pPr>
              <w:spacing w:after="0"/>
              <w:rPr>
                <w:sz w:val="13"/>
                <w:szCs w:val="13"/>
                <w:color w:val="auto"/>
              </w:rPr>
            </w:pPr>
          </w:p>
        </w:tc>
        <w:tc>
          <w:tcPr>
            <w:tcW w:w="9040" w:type="dxa"/>
            <w:vAlign w:val="bottom"/>
            <w:gridSpan w:val="2"/>
            <w:shd w:val="clear" w:color="auto" w:fill="CCEEFF"/>
          </w:tcPr>
          <w:p>
            <w:pPr>
              <w:ind w:left="20"/>
              <w:spacing w:after="0"/>
              <w:rPr>
                <w:sz w:val="20"/>
                <w:szCs w:val="20"/>
                <w:color w:val="auto"/>
              </w:rPr>
            </w:pPr>
            <w:r>
              <w:rPr>
                <w:rFonts w:ascii="Arial" w:cs="Arial" w:eastAsia="Arial" w:hAnsi="Arial"/>
                <w:sz w:val="13"/>
                <w:szCs w:val="13"/>
                <w:color w:val="auto"/>
              </w:rPr>
              <w:t>January</w:t>
            </w: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18.90</w:t>
            </w:r>
          </w:p>
        </w:tc>
        <w:tc>
          <w:tcPr>
            <w:tcW w:w="16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16.96</w:t>
            </w:r>
          </w:p>
        </w:tc>
      </w:tr>
      <w:tr>
        <w:trPr>
          <w:trHeight w:val="154"/>
        </w:trPr>
        <w:tc>
          <w:tcPr>
            <w:tcW w:w="8160" w:type="dxa"/>
            <w:vAlign w:val="bottom"/>
            <w:gridSpan w:val="2"/>
          </w:tcPr>
          <w:p>
            <w:pPr>
              <w:spacing w:after="0"/>
              <w:rPr>
                <w:sz w:val="20"/>
                <w:szCs w:val="20"/>
                <w:color w:val="auto"/>
              </w:rPr>
            </w:pPr>
            <w:r>
              <w:rPr>
                <w:rFonts w:ascii="Arial" w:cs="Arial" w:eastAsia="Arial" w:hAnsi="Arial"/>
                <w:sz w:val="13"/>
                <w:szCs w:val="13"/>
                <w:b w:val="1"/>
                <w:bCs w:val="1"/>
                <w:color w:val="auto"/>
              </w:rPr>
              <w:t>2018:</w:t>
            </w:r>
          </w:p>
        </w:tc>
        <w:tc>
          <w:tcPr>
            <w:tcW w:w="1040" w:type="dxa"/>
            <w:vAlign w:val="bottom"/>
          </w:tcPr>
          <w:p>
            <w:pPr>
              <w:spacing w:after="0"/>
              <w:rPr>
                <w:sz w:val="13"/>
                <w:szCs w:val="13"/>
                <w:color w:val="auto"/>
              </w:rPr>
            </w:pPr>
          </w:p>
        </w:tc>
        <w:tc>
          <w:tcPr>
            <w:tcW w:w="4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8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54"/>
        </w:trPr>
        <w:tc>
          <w:tcPr>
            <w:tcW w:w="160" w:type="dxa"/>
            <w:vAlign w:val="bottom"/>
            <w:shd w:val="clear" w:color="auto" w:fill="CCEEFF"/>
          </w:tcPr>
          <w:p>
            <w:pPr>
              <w:spacing w:after="0"/>
              <w:rPr>
                <w:sz w:val="13"/>
                <w:szCs w:val="13"/>
                <w:color w:val="auto"/>
              </w:rPr>
            </w:pPr>
          </w:p>
        </w:tc>
        <w:tc>
          <w:tcPr>
            <w:tcW w:w="9040" w:type="dxa"/>
            <w:vAlign w:val="bottom"/>
            <w:gridSpan w:val="2"/>
            <w:shd w:val="clear" w:color="auto" w:fill="CCEEFF"/>
          </w:tcPr>
          <w:p>
            <w:pPr>
              <w:ind w:left="20"/>
              <w:spacing w:after="0"/>
              <w:rPr>
                <w:sz w:val="20"/>
                <w:szCs w:val="20"/>
                <w:color w:val="auto"/>
              </w:rPr>
            </w:pPr>
            <w:r>
              <w:rPr>
                <w:rFonts w:ascii="Arial" w:cs="Arial" w:eastAsia="Arial" w:hAnsi="Arial"/>
                <w:sz w:val="13"/>
                <w:szCs w:val="13"/>
                <w:color w:val="auto"/>
              </w:rPr>
              <w:t>December</w:t>
            </w: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18.02</w:t>
            </w:r>
          </w:p>
        </w:tc>
        <w:tc>
          <w:tcPr>
            <w:tcW w:w="16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16.04</w:t>
            </w:r>
          </w:p>
        </w:tc>
      </w:tr>
      <w:tr>
        <w:trPr>
          <w:trHeight w:val="154"/>
        </w:trPr>
        <w:tc>
          <w:tcPr>
            <w:tcW w:w="160" w:type="dxa"/>
            <w:vAlign w:val="bottom"/>
          </w:tcPr>
          <w:p>
            <w:pPr>
              <w:spacing w:after="0"/>
              <w:rPr>
                <w:sz w:val="13"/>
                <w:szCs w:val="13"/>
                <w:color w:val="auto"/>
              </w:rPr>
            </w:pPr>
          </w:p>
        </w:tc>
        <w:tc>
          <w:tcPr>
            <w:tcW w:w="9040" w:type="dxa"/>
            <w:vAlign w:val="bottom"/>
            <w:gridSpan w:val="2"/>
          </w:tcPr>
          <w:p>
            <w:pPr>
              <w:ind w:left="20"/>
              <w:spacing w:after="0"/>
              <w:rPr>
                <w:sz w:val="20"/>
                <w:szCs w:val="20"/>
                <w:color w:val="auto"/>
              </w:rPr>
            </w:pPr>
            <w:r>
              <w:rPr>
                <w:rFonts w:ascii="Arial" w:cs="Arial" w:eastAsia="Arial" w:hAnsi="Arial"/>
                <w:sz w:val="13"/>
                <w:szCs w:val="13"/>
                <w:color w:val="auto"/>
              </w:rPr>
              <w:t>November</w:t>
            </w:r>
          </w:p>
        </w:tc>
        <w:tc>
          <w:tcPr>
            <w:tcW w:w="680" w:type="dxa"/>
            <w:vAlign w:val="bottom"/>
            <w:gridSpan w:val="2"/>
          </w:tcPr>
          <w:p>
            <w:pPr>
              <w:jc w:val="right"/>
              <w:ind w:right="220"/>
              <w:spacing w:after="0"/>
              <w:rPr>
                <w:sz w:val="20"/>
                <w:szCs w:val="20"/>
                <w:color w:val="auto"/>
              </w:rPr>
            </w:pPr>
            <w:r>
              <w:rPr>
                <w:rFonts w:ascii="Arial" w:cs="Arial" w:eastAsia="Arial" w:hAnsi="Arial"/>
                <w:sz w:val="13"/>
                <w:szCs w:val="13"/>
                <w:color w:val="auto"/>
              </w:rPr>
              <w:t>18.65</w:t>
            </w:r>
          </w:p>
        </w:tc>
        <w:tc>
          <w:tcPr>
            <w:tcW w:w="1600" w:type="dxa"/>
            <w:vAlign w:val="bottom"/>
            <w:gridSpan w:val="2"/>
          </w:tcPr>
          <w:p>
            <w:pPr>
              <w:jc w:val="right"/>
              <w:ind w:right="120"/>
              <w:spacing w:after="0"/>
              <w:rPr>
                <w:sz w:val="20"/>
                <w:szCs w:val="20"/>
                <w:color w:val="auto"/>
              </w:rPr>
            </w:pPr>
            <w:r>
              <w:rPr>
                <w:rFonts w:ascii="Arial" w:cs="Arial" w:eastAsia="Arial" w:hAnsi="Arial"/>
                <w:sz w:val="13"/>
                <w:szCs w:val="13"/>
                <w:color w:val="auto"/>
              </w:rPr>
              <w:t>16.70</w:t>
            </w:r>
          </w:p>
        </w:tc>
      </w:tr>
      <w:tr>
        <w:trPr>
          <w:trHeight w:val="154"/>
        </w:trPr>
        <w:tc>
          <w:tcPr>
            <w:tcW w:w="160" w:type="dxa"/>
            <w:vAlign w:val="bottom"/>
            <w:shd w:val="clear" w:color="auto" w:fill="CCEEFF"/>
          </w:tcPr>
          <w:p>
            <w:pPr>
              <w:spacing w:after="0"/>
              <w:rPr>
                <w:sz w:val="13"/>
                <w:szCs w:val="13"/>
                <w:color w:val="auto"/>
              </w:rPr>
            </w:pPr>
          </w:p>
        </w:tc>
        <w:tc>
          <w:tcPr>
            <w:tcW w:w="9040" w:type="dxa"/>
            <w:vAlign w:val="bottom"/>
            <w:gridSpan w:val="2"/>
            <w:shd w:val="clear" w:color="auto" w:fill="CCEEFF"/>
          </w:tcPr>
          <w:p>
            <w:pPr>
              <w:ind w:left="60"/>
              <w:spacing w:after="0"/>
              <w:rPr>
                <w:sz w:val="20"/>
                <w:szCs w:val="20"/>
                <w:color w:val="auto"/>
              </w:rPr>
            </w:pPr>
            <w:r>
              <w:rPr>
                <w:rFonts w:ascii="Arial" w:cs="Arial" w:eastAsia="Arial" w:hAnsi="Arial"/>
                <w:sz w:val="13"/>
                <w:szCs w:val="13"/>
                <w:color w:val="auto"/>
              </w:rPr>
              <w:t>October</w:t>
            </w: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21.31</w:t>
            </w:r>
          </w:p>
        </w:tc>
        <w:tc>
          <w:tcPr>
            <w:tcW w:w="16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15.33</w:t>
            </w:r>
          </w:p>
        </w:tc>
      </w:tr>
      <w:tr>
        <w:trPr>
          <w:trHeight w:val="154"/>
        </w:trPr>
        <w:tc>
          <w:tcPr>
            <w:tcW w:w="8160" w:type="dxa"/>
            <w:vAlign w:val="bottom"/>
            <w:gridSpan w:val="2"/>
          </w:tcPr>
          <w:p>
            <w:pPr>
              <w:spacing w:after="0"/>
              <w:rPr>
                <w:sz w:val="20"/>
                <w:szCs w:val="20"/>
                <w:color w:val="auto"/>
              </w:rPr>
            </w:pPr>
            <w:r>
              <w:rPr>
                <w:rFonts w:ascii="Arial" w:cs="Arial" w:eastAsia="Arial" w:hAnsi="Arial"/>
                <w:sz w:val="13"/>
                <w:szCs w:val="13"/>
                <w:b w:val="1"/>
                <w:bCs w:val="1"/>
                <w:color w:val="auto"/>
              </w:rPr>
              <w:t>2019:</w:t>
            </w:r>
          </w:p>
        </w:tc>
        <w:tc>
          <w:tcPr>
            <w:tcW w:w="1040" w:type="dxa"/>
            <w:vAlign w:val="bottom"/>
          </w:tcPr>
          <w:p>
            <w:pPr>
              <w:spacing w:after="0"/>
              <w:rPr>
                <w:sz w:val="13"/>
                <w:szCs w:val="13"/>
                <w:color w:val="auto"/>
              </w:rPr>
            </w:pPr>
          </w:p>
        </w:tc>
        <w:tc>
          <w:tcPr>
            <w:tcW w:w="4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8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54"/>
        </w:trPr>
        <w:tc>
          <w:tcPr>
            <w:tcW w:w="160" w:type="dxa"/>
            <w:vAlign w:val="bottom"/>
            <w:shd w:val="clear" w:color="auto" w:fill="CCEEFF"/>
          </w:tcPr>
          <w:p>
            <w:pPr>
              <w:spacing w:after="0"/>
              <w:rPr>
                <w:sz w:val="13"/>
                <w:szCs w:val="13"/>
                <w:color w:val="auto"/>
              </w:rPr>
            </w:pPr>
          </w:p>
        </w:tc>
        <w:tc>
          <w:tcPr>
            <w:tcW w:w="9040" w:type="dxa"/>
            <w:vAlign w:val="bottom"/>
            <w:gridSpan w:val="2"/>
            <w:shd w:val="clear" w:color="auto" w:fill="CCEEFF"/>
          </w:tcPr>
          <w:p>
            <w:pPr>
              <w:ind w:left="100"/>
              <w:spacing w:after="0"/>
              <w:rPr>
                <w:sz w:val="20"/>
                <w:szCs w:val="20"/>
                <w:color w:val="auto"/>
              </w:rPr>
            </w:pPr>
            <w:r>
              <w:rPr>
                <w:rFonts w:ascii="Arial" w:cs="Arial" w:eastAsia="Arial" w:hAnsi="Arial"/>
                <w:sz w:val="13"/>
                <w:szCs w:val="13"/>
                <w:color w:val="auto"/>
              </w:rPr>
              <w:t>First Quarter</w:t>
            </w: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21.87</w:t>
            </w:r>
          </w:p>
        </w:tc>
        <w:tc>
          <w:tcPr>
            <w:tcW w:w="16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16.96</w:t>
            </w:r>
          </w:p>
        </w:tc>
      </w:tr>
      <w:tr>
        <w:trPr>
          <w:trHeight w:val="154"/>
        </w:trPr>
        <w:tc>
          <w:tcPr>
            <w:tcW w:w="8160" w:type="dxa"/>
            <w:vAlign w:val="bottom"/>
            <w:gridSpan w:val="2"/>
          </w:tcPr>
          <w:p>
            <w:pPr>
              <w:spacing w:after="0"/>
              <w:rPr>
                <w:sz w:val="20"/>
                <w:szCs w:val="20"/>
                <w:color w:val="auto"/>
              </w:rPr>
            </w:pPr>
            <w:r>
              <w:rPr>
                <w:rFonts w:ascii="Arial" w:cs="Arial" w:eastAsia="Arial" w:hAnsi="Arial"/>
                <w:sz w:val="13"/>
                <w:szCs w:val="13"/>
                <w:b w:val="1"/>
                <w:bCs w:val="1"/>
                <w:color w:val="auto"/>
              </w:rPr>
              <w:t>2018:</w:t>
            </w:r>
          </w:p>
        </w:tc>
        <w:tc>
          <w:tcPr>
            <w:tcW w:w="1040" w:type="dxa"/>
            <w:vAlign w:val="bottom"/>
          </w:tcPr>
          <w:p>
            <w:pPr>
              <w:spacing w:after="0"/>
              <w:rPr>
                <w:sz w:val="13"/>
                <w:szCs w:val="13"/>
                <w:color w:val="auto"/>
              </w:rPr>
            </w:pPr>
          </w:p>
        </w:tc>
        <w:tc>
          <w:tcPr>
            <w:tcW w:w="4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8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54"/>
        </w:trPr>
        <w:tc>
          <w:tcPr>
            <w:tcW w:w="160" w:type="dxa"/>
            <w:vAlign w:val="bottom"/>
            <w:shd w:val="clear" w:color="auto" w:fill="CCEEFF"/>
          </w:tcPr>
          <w:p>
            <w:pPr>
              <w:spacing w:after="0"/>
              <w:rPr>
                <w:sz w:val="13"/>
                <w:szCs w:val="13"/>
                <w:color w:val="auto"/>
              </w:rPr>
            </w:pPr>
          </w:p>
        </w:tc>
        <w:tc>
          <w:tcPr>
            <w:tcW w:w="9040" w:type="dxa"/>
            <w:vAlign w:val="bottom"/>
            <w:gridSpan w:val="2"/>
            <w:shd w:val="clear" w:color="auto" w:fill="CCEEFF"/>
          </w:tcPr>
          <w:p>
            <w:pPr>
              <w:ind w:left="100"/>
              <w:spacing w:after="0"/>
              <w:rPr>
                <w:sz w:val="20"/>
                <w:szCs w:val="20"/>
                <w:color w:val="auto"/>
              </w:rPr>
            </w:pPr>
            <w:r>
              <w:rPr>
                <w:rFonts w:ascii="Arial" w:cs="Arial" w:eastAsia="Arial" w:hAnsi="Arial"/>
                <w:sz w:val="13"/>
                <w:szCs w:val="13"/>
                <w:color w:val="auto"/>
              </w:rPr>
              <w:t>First Quarter</w:t>
            </w: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30.43</w:t>
            </w:r>
          </w:p>
        </w:tc>
        <w:tc>
          <w:tcPr>
            <w:tcW w:w="16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26.80</w:t>
            </w:r>
          </w:p>
        </w:tc>
      </w:tr>
      <w:tr>
        <w:trPr>
          <w:trHeight w:val="154"/>
        </w:trPr>
        <w:tc>
          <w:tcPr>
            <w:tcW w:w="160" w:type="dxa"/>
            <w:vAlign w:val="bottom"/>
          </w:tcPr>
          <w:p>
            <w:pPr>
              <w:spacing w:after="0"/>
              <w:rPr>
                <w:sz w:val="13"/>
                <w:szCs w:val="13"/>
                <w:color w:val="auto"/>
              </w:rPr>
            </w:pPr>
          </w:p>
        </w:tc>
        <w:tc>
          <w:tcPr>
            <w:tcW w:w="9040" w:type="dxa"/>
            <w:vAlign w:val="bottom"/>
            <w:gridSpan w:val="2"/>
          </w:tcPr>
          <w:p>
            <w:pPr>
              <w:ind w:left="100"/>
              <w:spacing w:after="0"/>
              <w:rPr>
                <w:sz w:val="20"/>
                <w:szCs w:val="20"/>
                <w:color w:val="auto"/>
              </w:rPr>
            </w:pPr>
            <w:r>
              <w:rPr>
                <w:rFonts w:ascii="Arial" w:cs="Arial" w:eastAsia="Arial" w:hAnsi="Arial"/>
                <w:sz w:val="13"/>
                <w:szCs w:val="13"/>
                <w:color w:val="auto"/>
              </w:rPr>
              <w:t>Second Quarter</w:t>
            </w:r>
          </w:p>
        </w:tc>
        <w:tc>
          <w:tcPr>
            <w:tcW w:w="680" w:type="dxa"/>
            <w:vAlign w:val="bottom"/>
            <w:gridSpan w:val="2"/>
          </w:tcPr>
          <w:p>
            <w:pPr>
              <w:jc w:val="right"/>
              <w:ind w:right="220"/>
              <w:spacing w:after="0"/>
              <w:rPr>
                <w:sz w:val="20"/>
                <w:szCs w:val="20"/>
                <w:color w:val="auto"/>
              </w:rPr>
            </w:pPr>
            <w:r>
              <w:rPr>
                <w:rFonts w:ascii="Arial" w:cs="Arial" w:eastAsia="Arial" w:hAnsi="Arial"/>
                <w:sz w:val="13"/>
                <w:szCs w:val="13"/>
                <w:color w:val="auto"/>
              </w:rPr>
              <w:t>29.94</w:t>
            </w:r>
          </w:p>
        </w:tc>
        <w:tc>
          <w:tcPr>
            <w:tcW w:w="1600" w:type="dxa"/>
            <w:vAlign w:val="bottom"/>
            <w:gridSpan w:val="2"/>
          </w:tcPr>
          <w:p>
            <w:pPr>
              <w:jc w:val="right"/>
              <w:ind w:right="120"/>
              <w:spacing w:after="0"/>
              <w:rPr>
                <w:sz w:val="20"/>
                <w:szCs w:val="20"/>
                <w:color w:val="auto"/>
              </w:rPr>
            </w:pPr>
            <w:r>
              <w:rPr>
                <w:rFonts w:ascii="Arial" w:cs="Arial" w:eastAsia="Arial" w:hAnsi="Arial"/>
                <w:sz w:val="13"/>
                <w:szCs w:val="13"/>
                <w:color w:val="auto"/>
              </w:rPr>
              <w:t>24.58</w:t>
            </w:r>
          </w:p>
        </w:tc>
      </w:tr>
      <w:tr>
        <w:trPr>
          <w:trHeight w:val="154"/>
        </w:trPr>
        <w:tc>
          <w:tcPr>
            <w:tcW w:w="160" w:type="dxa"/>
            <w:vAlign w:val="bottom"/>
            <w:shd w:val="clear" w:color="auto" w:fill="CCEEFF"/>
          </w:tcPr>
          <w:p>
            <w:pPr>
              <w:spacing w:after="0"/>
              <w:rPr>
                <w:sz w:val="13"/>
                <w:szCs w:val="13"/>
                <w:color w:val="auto"/>
              </w:rPr>
            </w:pPr>
          </w:p>
        </w:tc>
        <w:tc>
          <w:tcPr>
            <w:tcW w:w="9040" w:type="dxa"/>
            <w:vAlign w:val="bottom"/>
            <w:gridSpan w:val="2"/>
            <w:shd w:val="clear" w:color="auto" w:fill="CCEEFF"/>
          </w:tcPr>
          <w:p>
            <w:pPr>
              <w:ind w:left="100"/>
              <w:spacing w:after="0"/>
              <w:rPr>
                <w:sz w:val="20"/>
                <w:szCs w:val="20"/>
                <w:color w:val="auto"/>
              </w:rPr>
            </w:pPr>
            <w:r>
              <w:rPr>
                <w:rFonts w:ascii="Arial" w:cs="Arial" w:eastAsia="Arial" w:hAnsi="Arial"/>
                <w:sz w:val="13"/>
                <w:szCs w:val="13"/>
                <w:color w:val="auto"/>
              </w:rPr>
              <w:t>Third Quarter</w:t>
            </w: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25.37</w:t>
            </w:r>
          </w:p>
        </w:tc>
        <w:tc>
          <w:tcPr>
            <w:tcW w:w="16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19.29</w:t>
            </w:r>
          </w:p>
        </w:tc>
      </w:tr>
      <w:tr>
        <w:trPr>
          <w:trHeight w:val="154"/>
        </w:trPr>
        <w:tc>
          <w:tcPr>
            <w:tcW w:w="160" w:type="dxa"/>
            <w:vAlign w:val="bottom"/>
          </w:tcPr>
          <w:p>
            <w:pPr>
              <w:spacing w:after="0"/>
              <w:rPr>
                <w:sz w:val="13"/>
                <w:szCs w:val="13"/>
                <w:color w:val="auto"/>
              </w:rPr>
            </w:pPr>
          </w:p>
        </w:tc>
        <w:tc>
          <w:tcPr>
            <w:tcW w:w="9040" w:type="dxa"/>
            <w:vAlign w:val="bottom"/>
            <w:gridSpan w:val="2"/>
          </w:tcPr>
          <w:p>
            <w:pPr>
              <w:ind w:left="100"/>
              <w:spacing w:after="0"/>
              <w:rPr>
                <w:sz w:val="20"/>
                <w:szCs w:val="20"/>
                <w:color w:val="auto"/>
              </w:rPr>
            </w:pPr>
            <w:r>
              <w:rPr>
                <w:rFonts w:ascii="Arial" w:cs="Arial" w:eastAsia="Arial" w:hAnsi="Arial"/>
                <w:sz w:val="13"/>
                <w:szCs w:val="13"/>
                <w:color w:val="auto"/>
              </w:rPr>
              <w:t>Fourth Quarter</w:t>
            </w:r>
          </w:p>
        </w:tc>
        <w:tc>
          <w:tcPr>
            <w:tcW w:w="680" w:type="dxa"/>
            <w:vAlign w:val="bottom"/>
            <w:gridSpan w:val="2"/>
          </w:tcPr>
          <w:p>
            <w:pPr>
              <w:jc w:val="right"/>
              <w:ind w:right="220"/>
              <w:spacing w:after="0"/>
              <w:rPr>
                <w:sz w:val="20"/>
                <w:szCs w:val="20"/>
                <w:color w:val="auto"/>
              </w:rPr>
            </w:pPr>
            <w:r>
              <w:rPr>
                <w:rFonts w:ascii="Arial" w:cs="Arial" w:eastAsia="Arial" w:hAnsi="Arial"/>
                <w:sz w:val="13"/>
                <w:szCs w:val="13"/>
                <w:color w:val="auto"/>
              </w:rPr>
              <w:t>21.31</w:t>
            </w:r>
          </w:p>
        </w:tc>
        <w:tc>
          <w:tcPr>
            <w:tcW w:w="1600" w:type="dxa"/>
            <w:vAlign w:val="bottom"/>
            <w:gridSpan w:val="2"/>
          </w:tcPr>
          <w:p>
            <w:pPr>
              <w:jc w:val="right"/>
              <w:ind w:right="120"/>
              <w:spacing w:after="0"/>
              <w:rPr>
                <w:sz w:val="20"/>
                <w:szCs w:val="20"/>
                <w:color w:val="auto"/>
              </w:rPr>
            </w:pPr>
            <w:r>
              <w:rPr>
                <w:rFonts w:ascii="Arial" w:cs="Arial" w:eastAsia="Arial" w:hAnsi="Arial"/>
                <w:sz w:val="13"/>
                <w:szCs w:val="13"/>
                <w:color w:val="auto"/>
              </w:rPr>
              <w:t>15.33</w:t>
            </w:r>
          </w:p>
        </w:tc>
      </w:tr>
      <w:tr>
        <w:trPr>
          <w:trHeight w:val="154"/>
        </w:trPr>
        <w:tc>
          <w:tcPr>
            <w:tcW w:w="8160" w:type="dxa"/>
            <w:vAlign w:val="bottom"/>
            <w:gridSpan w:val="2"/>
            <w:shd w:val="clear" w:color="auto" w:fill="CCEEFF"/>
          </w:tcPr>
          <w:p>
            <w:pPr>
              <w:spacing w:after="0"/>
              <w:rPr>
                <w:sz w:val="20"/>
                <w:szCs w:val="20"/>
                <w:color w:val="auto"/>
              </w:rPr>
            </w:pPr>
            <w:r>
              <w:rPr>
                <w:rFonts w:ascii="Arial" w:cs="Arial" w:eastAsia="Arial" w:hAnsi="Arial"/>
                <w:sz w:val="13"/>
                <w:szCs w:val="13"/>
                <w:b w:val="1"/>
                <w:bCs w:val="1"/>
                <w:color w:val="auto"/>
              </w:rPr>
              <w:t>2017:</w:t>
            </w:r>
          </w:p>
        </w:tc>
        <w:tc>
          <w:tcPr>
            <w:tcW w:w="1040" w:type="dxa"/>
            <w:vAlign w:val="bottom"/>
            <w:shd w:val="clear" w:color="auto" w:fill="CCEEFF"/>
          </w:tcPr>
          <w:p>
            <w:pPr>
              <w:spacing w:after="0"/>
              <w:rPr>
                <w:sz w:val="13"/>
                <w:szCs w:val="13"/>
                <w:color w:val="auto"/>
              </w:rPr>
            </w:pPr>
          </w:p>
        </w:tc>
        <w:tc>
          <w:tcPr>
            <w:tcW w:w="4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4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r>
      <w:tr>
        <w:trPr>
          <w:trHeight w:val="154"/>
        </w:trPr>
        <w:tc>
          <w:tcPr>
            <w:tcW w:w="160" w:type="dxa"/>
            <w:vAlign w:val="bottom"/>
          </w:tcPr>
          <w:p>
            <w:pPr>
              <w:spacing w:after="0"/>
              <w:rPr>
                <w:sz w:val="13"/>
                <w:szCs w:val="13"/>
                <w:color w:val="auto"/>
              </w:rPr>
            </w:pPr>
          </w:p>
        </w:tc>
        <w:tc>
          <w:tcPr>
            <w:tcW w:w="9040" w:type="dxa"/>
            <w:vAlign w:val="bottom"/>
            <w:gridSpan w:val="2"/>
          </w:tcPr>
          <w:p>
            <w:pPr>
              <w:ind w:left="100"/>
              <w:spacing w:after="0"/>
              <w:rPr>
                <w:sz w:val="20"/>
                <w:szCs w:val="20"/>
                <w:color w:val="auto"/>
              </w:rPr>
            </w:pPr>
            <w:r>
              <w:rPr>
                <w:rFonts w:ascii="Arial" w:cs="Arial" w:eastAsia="Arial" w:hAnsi="Arial"/>
                <w:sz w:val="13"/>
                <w:szCs w:val="13"/>
                <w:color w:val="auto"/>
              </w:rPr>
              <w:t>First Quarter</w:t>
            </w:r>
          </w:p>
        </w:tc>
        <w:tc>
          <w:tcPr>
            <w:tcW w:w="680" w:type="dxa"/>
            <w:vAlign w:val="bottom"/>
            <w:gridSpan w:val="2"/>
          </w:tcPr>
          <w:p>
            <w:pPr>
              <w:jc w:val="right"/>
              <w:ind w:right="220"/>
              <w:spacing w:after="0"/>
              <w:rPr>
                <w:sz w:val="20"/>
                <w:szCs w:val="20"/>
                <w:color w:val="auto"/>
              </w:rPr>
            </w:pPr>
            <w:r>
              <w:rPr>
                <w:rFonts w:ascii="Arial" w:cs="Arial" w:eastAsia="Arial" w:hAnsi="Arial"/>
                <w:sz w:val="13"/>
                <w:szCs w:val="13"/>
                <w:color w:val="auto"/>
              </w:rPr>
              <w:t>30.42</w:t>
            </w:r>
          </w:p>
        </w:tc>
        <w:tc>
          <w:tcPr>
            <w:tcW w:w="1600" w:type="dxa"/>
            <w:vAlign w:val="bottom"/>
            <w:gridSpan w:val="2"/>
          </w:tcPr>
          <w:p>
            <w:pPr>
              <w:jc w:val="right"/>
              <w:ind w:right="120"/>
              <w:spacing w:after="0"/>
              <w:rPr>
                <w:sz w:val="20"/>
                <w:szCs w:val="20"/>
                <w:color w:val="auto"/>
              </w:rPr>
            </w:pPr>
            <w:r>
              <w:rPr>
                <w:rFonts w:ascii="Arial" w:cs="Arial" w:eastAsia="Arial" w:hAnsi="Arial"/>
                <w:sz w:val="13"/>
                <w:szCs w:val="13"/>
                <w:color w:val="auto"/>
              </w:rPr>
              <w:t>26.25</w:t>
            </w:r>
          </w:p>
        </w:tc>
      </w:tr>
      <w:tr>
        <w:trPr>
          <w:trHeight w:val="154"/>
        </w:trPr>
        <w:tc>
          <w:tcPr>
            <w:tcW w:w="160" w:type="dxa"/>
            <w:vAlign w:val="bottom"/>
            <w:shd w:val="clear" w:color="auto" w:fill="CCEEFF"/>
          </w:tcPr>
          <w:p>
            <w:pPr>
              <w:spacing w:after="0"/>
              <w:rPr>
                <w:sz w:val="13"/>
                <w:szCs w:val="13"/>
                <w:color w:val="auto"/>
              </w:rPr>
            </w:pPr>
          </w:p>
        </w:tc>
        <w:tc>
          <w:tcPr>
            <w:tcW w:w="9040" w:type="dxa"/>
            <w:vAlign w:val="bottom"/>
            <w:gridSpan w:val="2"/>
            <w:shd w:val="clear" w:color="auto" w:fill="CCEEFF"/>
          </w:tcPr>
          <w:p>
            <w:pPr>
              <w:ind w:left="100"/>
              <w:spacing w:after="0"/>
              <w:rPr>
                <w:sz w:val="20"/>
                <w:szCs w:val="20"/>
                <w:color w:val="auto"/>
              </w:rPr>
            </w:pPr>
            <w:r>
              <w:rPr>
                <w:rFonts w:ascii="Arial" w:cs="Arial" w:eastAsia="Arial" w:hAnsi="Arial"/>
                <w:sz w:val="13"/>
                <w:szCs w:val="13"/>
                <w:color w:val="auto"/>
              </w:rPr>
              <w:t>Second Quarter</w:t>
            </w: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29.11</w:t>
            </w:r>
          </w:p>
        </w:tc>
        <w:tc>
          <w:tcPr>
            <w:tcW w:w="16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26.60</w:t>
            </w:r>
          </w:p>
        </w:tc>
      </w:tr>
      <w:tr>
        <w:trPr>
          <w:trHeight w:val="154"/>
        </w:trPr>
        <w:tc>
          <w:tcPr>
            <w:tcW w:w="160" w:type="dxa"/>
            <w:vAlign w:val="bottom"/>
          </w:tcPr>
          <w:p>
            <w:pPr>
              <w:spacing w:after="0"/>
              <w:rPr>
                <w:sz w:val="13"/>
                <w:szCs w:val="13"/>
                <w:color w:val="auto"/>
              </w:rPr>
            </w:pPr>
          </w:p>
        </w:tc>
        <w:tc>
          <w:tcPr>
            <w:tcW w:w="9040" w:type="dxa"/>
            <w:vAlign w:val="bottom"/>
            <w:gridSpan w:val="2"/>
          </w:tcPr>
          <w:p>
            <w:pPr>
              <w:ind w:left="100"/>
              <w:spacing w:after="0"/>
              <w:rPr>
                <w:sz w:val="20"/>
                <w:szCs w:val="20"/>
                <w:color w:val="auto"/>
              </w:rPr>
            </w:pPr>
            <w:r>
              <w:rPr>
                <w:rFonts w:ascii="Arial" w:cs="Arial" w:eastAsia="Arial" w:hAnsi="Arial"/>
                <w:sz w:val="13"/>
                <w:szCs w:val="13"/>
                <w:color w:val="auto"/>
              </w:rPr>
              <w:t>Third Quarter</w:t>
            </w:r>
          </w:p>
        </w:tc>
        <w:tc>
          <w:tcPr>
            <w:tcW w:w="680" w:type="dxa"/>
            <w:vAlign w:val="bottom"/>
            <w:gridSpan w:val="2"/>
          </w:tcPr>
          <w:p>
            <w:pPr>
              <w:jc w:val="right"/>
              <w:ind w:right="220"/>
              <w:spacing w:after="0"/>
              <w:rPr>
                <w:sz w:val="20"/>
                <w:szCs w:val="20"/>
                <w:color w:val="auto"/>
              </w:rPr>
            </w:pPr>
            <w:r>
              <w:rPr>
                <w:rFonts w:ascii="Arial" w:cs="Arial" w:eastAsia="Arial" w:hAnsi="Arial"/>
                <w:sz w:val="13"/>
                <w:szCs w:val="13"/>
                <w:color w:val="auto"/>
              </w:rPr>
              <w:t>29.72</w:t>
            </w:r>
          </w:p>
        </w:tc>
        <w:tc>
          <w:tcPr>
            <w:tcW w:w="1600" w:type="dxa"/>
            <w:vAlign w:val="bottom"/>
            <w:gridSpan w:val="2"/>
          </w:tcPr>
          <w:p>
            <w:pPr>
              <w:jc w:val="right"/>
              <w:ind w:right="120"/>
              <w:spacing w:after="0"/>
              <w:rPr>
                <w:sz w:val="20"/>
                <w:szCs w:val="20"/>
                <w:color w:val="auto"/>
              </w:rPr>
            </w:pPr>
            <w:r>
              <w:rPr>
                <w:rFonts w:ascii="Arial" w:cs="Arial" w:eastAsia="Arial" w:hAnsi="Arial"/>
                <w:sz w:val="13"/>
                <w:szCs w:val="13"/>
                <w:color w:val="auto"/>
              </w:rPr>
              <w:t>25.51</w:t>
            </w:r>
          </w:p>
        </w:tc>
      </w:tr>
      <w:tr>
        <w:trPr>
          <w:trHeight w:val="154"/>
        </w:trPr>
        <w:tc>
          <w:tcPr>
            <w:tcW w:w="160" w:type="dxa"/>
            <w:vAlign w:val="bottom"/>
            <w:shd w:val="clear" w:color="auto" w:fill="CCEEFF"/>
          </w:tcPr>
          <w:p>
            <w:pPr>
              <w:spacing w:after="0"/>
              <w:rPr>
                <w:sz w:val="13"/>
                <w:szCs w:val="13"/>
                <w:color w:val="auto"/>
              </w:rPr>
            </w:pPr>
          </w:p>
        </w:tc>
        <w:tc>
          <w:tcPr>
            <w:tcW w:w="9040" w:type="dxa"/>
            <w:vAlign w:val="bottom"/>
            <w:gridSpan w:val="2"/>
            <w:shd w:val="clear" w:color="auto" w:fill="CCEEFF"/>
          </w:tcPr>
          <w:p>
            <w:pPr>
              <w:ind w:left="100"/>
              <w:spacing w:after="0"/>
              <w:rPr>
                <w:sz w:val="20"/>
                <w:szCs w:val="20"/>
                <w:color w:val="auto"/>
              </w:rPr>
            </w:pPr>
            <w:r>
              <w:rPr>
                <w:rFonts w:ascii="Arial" w:cs="Arial" w:eastAsia="Arial" w:hAnsi="Arial"/>
                <w:sz w:val="13"/>
                <w:szCs w:val="13"/>
                <w:color w:val="auto"/>
              </w:rPr>
              <w:t>Fourth Quarter</w:t>
            </w: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30.45</w:t>
            </w:r>
          </w:p>
        </w:tc>
        <w:tc>
          <w:tcPr>
            <w:tcW w:w="16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26.87</w:t>
            </w:r>
          </w:p>
        </w:tc>
      </w:tr>
      <w:tr>
        <w:trPr>
          <w:trHeight w:val="425"/>
        </w:trPr>
        <w:tc>
          <w:tcPr>
            <w:tcW w:w="9200" w:type="dxa"/>
            <w:vAlign w:val="bottom"/>
            <w:gridSpan w:val="3"/>
          </w:tcPr>
          <w:p>
            <w:pPr>
              <w:spacing w:after="0"/>
              <w:rPr>
                <w:sz w:val="20"/>
                <w:szCs w:val="20"/>
                <w:color w:val="auto"/>
              </w:rPr>
            </w:pPr>
            <w:r>
              <w:rPr>
                <w:rFonts w:ascii="Arial" w:cs="Arial" w:eastAsia="Arial" w:hAnsi="Arial"/>
                <w:sz w:val="21"/>
                <w:szCs w:val="21"/>
                <w:color w:val="auto"/>
                <w:vertAlign w:val="superscript"/>
              </w:rPr>
              <w:t>(1)</w:t>
            </w:r>
            <w:r>
              <w:rPr>
                <w:rFonts w:ascii="Arial" w:cs="Arial" w:eastAsia="Arial" w:hAnsi="Arial"/>
                <w:sz w:val="13"/>
                <w:szCs w:val="13"/>
                <w:color w:val="auto"/>
              </w:rPr>
              <w:t xml:space="preserve"> Corresponds to the highest and lowest sales price of the stock at any time during any given trading day. Source: NYSE Connect.</w:t>
            </w:r>
          </w:p>
        </w:tc>
        <w:tc>
          <w:tcPr>
            <w:tcW w:w="4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120" w:type="dxa"/>
            <w:vAlign w:val="bottom"/>
          </w:tcPr>
          <w:p>
            <w:pPr>
              <w:spacing w:after="0"/>
              <w:rPr>
                <w:sz w:val="24"/>
                <w:szCs w:val="24"/>
                <w:color w:val="auto"/>
              </w:rPr>
            </w:pPr>
          </w:p>
        </w:tc>
      </w:tr>
      <w:tr>
        <w:trPr>
          <w:trHeight w:val="219"/>
        </w:trPr>
        <w:tc>
          <w:tcPr>
            <w:tcW w:w="160" w:type="dxa"/>
            <w:vAlign w:val="bottom"/>
          </w:tcPr>
          <w:p>
            <w:pPr>
              <w:spacing w:after="0"/>
              <w:rPr>
                <w:sz w:val="20"/>
                <w:szCs w:val="20"/>
                <w:color w:val="auto"/>
              </w:rPr>
            </w:pPr>
            <w:r>
              <w:rPr>
                <w:rFonts w:ascii="Arial" w:cs="Arial" w:eastAsia="Arial" w:hAnsi="Arial"/>
                <w:sz w:val="13"/>
                <w:szCs w:val="13"/>
                <w:b w:val="1"/>
                <w:bCs w:val="1"/>
                <w:color w:val="auto"/>
              </w:rPr>
              <w:t>B.</w:t>
            </w:r>
          </w:p>
        </w:tc>
        <w:tc>
          <w:tcPr>
            <w:tcW w:w="9040" w:type="dxa"/>
            <w:vAlign w:val="bottom"/>
            <w:gridSpan w:val="2"/>
          </w:tcPr>
          <w:p>
            <w:pPr>
              <w:ind w:left="300"/>
              <w:spacing w:after="0"/>
              <w:rPr>
                <w:sz w:val="20"/>
                <w:szCs w:val="20"/>
                <w:color w:val="auto"/>
              </w:rPr>
            </w:pPr>
            <w:r>
              <w:rPr>
                <w:rFonts w:ascii="Arial" w:cs="Arial" w:eastAsia="Arial" w:hAnsi="Arial"/>
                <w:sz w:val="13"/>
                <w:szCs w:val="13"/>
                <w:b w:val="1"/>
                <w:bCs w:val="1"/>
                <w:color w:val="auto"/>
              </w:rPr>
              <w:t>Plan of Distribution</w:t>
            </w:r>
          </w:p>
        </w:tc>
        <w:tc>
          <w:tcPr>
            <w:tcW w:w="4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480" w:type="dxa"/>
            <w:vAlign w:val="bottom"/>
          </w:tcPr>
          <w:p>
            <w:pPr>
              <w:spacing w:after="0"/>
              <w:rPr>
                <w:sz w:val="19"/>
                <w:szCs w:val="19"/>
                <w:color w:val="auto"/>
              </w:rPr>
            </w:pPr>
          </w:p>
        </w:tc>
        <w:tc>
          <w:tcPr>
            <w:tcW w:w="120" w:type="dxa"/>
            <w:vAlign w:val="bottom"/>
          </w:tcPr>
          <w:p>
            <w:pPr>
              <w:spacing w:after="0"/>
              <w:rPr>
                <w:sz w:val="19"/>
                <w:szCs w:val="19"/>
                <w:color w:val="auto"/>
              </w:rPr>
            </w:pPr>
          </w:p>
        </w:tc>
      </w:tr>
      <w:tr>
        <w:trPr>
          <w:trHeight w:val="308"/>
        </w:trPr>
        <w:tc>
          <w:tcPr>
            <w:tcW w:w="160" w:type="dxa"/>
            <w:vAlign w:val="bottom"/>
          </w:tcPr>
          <w:p>
            <w:pPr>
              <w:spacing w:after="0"/>
              <w:rPr>
                <w:sz w:val="24"/>
                <w:szCs w:val="24"/>
                <w:color w:val="auto"/>
              </w:rPr>
            </w:pPr>
          </w:p>
        </w:tc>
        <w:tc>
          <w:tcPr>
            <w:tcW w:w="9040" w:type="dxa"/>
            <w:vAlign w:val="bottom"/>
            <w:gridSpan w:val="2"/>
          </w:tcPr>
          <w:p>
            <w:pPr>
              <w:ind w:left="300"/>
              <w:spacing w:after="0"/>
              <w:rPr>
                <w:sz w:val="20"/>
                <w:szCs w:val="20"/>
                <w:color w:val="auto"/>
              </w:rPr>
            </w:pPr>
            <w:r>
              <w:rPr>
                <w:rFonts w:ascii="Arial" w:cs="Arial" w:eastAsia="Arial" w:hAnsi="Arial"/>
                <w:sz w:val="13"/>
                <w:szCs w:val="13"/>
                <w:color w:val="auto"/>
              </w:rPr>
              <w:t>Not required in this Annual Report.</w:t>
            </w:r>
          </w:p>
        </w:tc>
        <w:tc>
          <w:tcPr>
            <w:tcW w:w="4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120" w:type="dxa"/>
            <w:vAlign w:val="bottom"/>
          </w:tcPr>
          <w:p>
            <w:pPr>
              <w:spacing w:after="0"/>
              <w:rPr>
                <w:sz w:val="24"/>
                <w:szCs w:val="24"/>
                <w:color w:val="auto"/>
              </w:rPr>
            </w:pPr>
          </w:p>
        </w:tc>
      </w:tr>
      <w:tr>
        <w:trPr>
          <w:trHeight w:val="308"/>
        </w:trPr>
        <w:tc>
          <w:tcPr>
            <w:tcW w:w="160" w:type="dxa"/>
            <w:vAlign w:val="bottom"/>
          </w:tcPr>
          <w:p>
            <w:pPr>
              <w:spacing w:after="0"/>
              <w:rPr>
                <w:sz w:val="20"/>
                <w:szCs w:val="20"/>
                <w:color w:val="auto"/>
              </w:rPr>
            </w:pPr>
            <w:r>
              <w:rPr>
                <w:rFonts w:ascii="Arial" w:cs="Arial" w:eastAsia="Arial" w:hAnsi="Arial"/>
                <w:sz w:val="13"/>
                <w:szCs w:val="13"/>
                <w:b w:val="1"/>
                <w:bCs w:val="1"/>
                <w:color w:val="auto"/>
              </w:rPr>
              <w:t>C.</w:t>
            </w:r>
          </w:p>
        </w:tc>
        <w:tc>
          <w:tcPr>
            <w:tcW w:w="9040" w:type="dxa"/>
            <w:vAlign w:val="bottom"/>
            <w:gridSpan w:val="2"/>
          </w:tcPr>
          <w:p>
            <w:pPr>
              <w:ind w:left="300"/>
              <w:spacing w:after="0"/>
              <w:rPr>
                <w:sz w:val="20"/>
                <w:szCs w:val="20"/>
                <w:color w:val="auto"/>
              </w:rPr>
            </w:pPr>
            <w:r>
              <w:rPr>
                <w:rFonts w:ascii="Arial" w:cs="Arial" w:eastAsia="Arial" w:hAnsi="Arial"/>
                <w:sz w:val="13"/>
                <w:szCs w:val="13"/>
                <w:b w:val="1"/>
                <w:bCs w:val="1"/>
                <w:color w:val="auto"/>
              </w:rPr>
              <w:t>Markets</w:t>
            </w:r>
          </w:p>
        </w:tc>
        <w:tc>
          <w:tcPr>
            <w:tcW w:w="4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120" w:type="dxa"/>
            <w:vAlign w:val="bottom"/>
          </w:tcPr>
          <w:p>
            <w:pPr>
              <w:spacing w:after="0"/>
              <w:rPr>
                <w:sz w:val="24"/>
                <w:szCs w:val="24"/>
                <w:color w:val="auto"/>
              </w:rPr>
            </w:pPr>
          </w:p>
        </w:tc>
      </w:tr>
    </w:tbl>
    <w:p>
      <w:pPr>
        <w:spacing w:after="0" w:line="146" w:lineRule="exact"/>
        <w:rPr>
          <w:sz w:val="20"/>
          <w:szCs w:val="20"/>
          <w:color w:val="auto"/>
        </w:rPr>
      </w:pPr>
    </w:p>
    <w:p>
      <w:pPr>
        <w:jc w:val="both"/>
        <w:ind w:left="3" w:right="20"/>
        <w:spacing w:after="0" w:line="257" w:lineRule="auto"/>
        <w:rPr>
          <w:sz w:val="20"/>
          <w:szCs w:val="20"/>
          <w:color w:val="auto"/>
        </w:rPr>
      </w:pPr>
      <w:r>
        <w:rPr>
          <w:rFonts w:ascii="Arial" w:cs="Arial" w:eastAsia="Arial" w:hAnsi="Arial"/>
          <w:sz w:val="13"/>
          <w:szCs w:val="13"/>
          <w:color w:val="auto"/>
        </w:rPr>
        <w:t>The Bank’s Class A shares and Class B shares were sold in private placements or sold in connection with the Bank’s 2003 rights offering, are not listed on any exchange and are not publicly traded. The Bank’s Class E shares, which constitute the only class of shares publicly traded (listed on the NYSE), represent 78.3% of the total shares of the Bank’s common stock issued and outstanding as of December 31, 2018. The Bank’s Class B shares are convertible into Class E shares on a one-to-one basis. There are no issued or outstanding Class F shares.</w:t>
      </w:r>
    </w:p>
    <w:p>
      <w:pPr>
        <w:spacing w:after="0" w:line="132" w:lineRule="exact"/>
        <w:rPr>
          <w:sz w:val="20"/>
          <w:szCs w:val="20"/>
          <w:color w:val="auto"/>
        </w:rPr>
      </w:pPr>
    </w:p>
    <w:p>
      <w:pPr>
        <w:ind w:left="463" w:hanging="463"/>
        <w:spacing w:after="0"/>
        <w:tabs>
          <w:tab w:leader="none" w:pos="463" w:val="left"/>
        </w:tabs>
        <w:numPr>
          <w:ilvl w:val="0"/>
          <w:numId w:val="70"/>
        </w:numPr>
        <w:rPr>
          <w:rFonts w:ascii="Arial" w:cs="Arial" w:eastAsia="Arial" w:hAnsi="Arial"/>
          <w:sz w:val="13"/>
          <w:szCs w:val="13"/>
          <w:b w:val="1"/>
          <w:bCs w:val="1"/>
          <w:color w:val="auto"/>
        </w:rPr>
      </w:pPr>
      <w:r>
        <w:rPr>
          <w:rFonts w:ascii="Arial" w:cs="Arial" w:eastAsia="Arial" w:hAnsi="Arial"/>
          <w:sz w:val="13"/>
          <w:szCs w:val="13"/>
          <w:b w:val="1"/>
          <w:bCs w:val="1"/>
          <w:color w:val="auto"/>
        </w:rPr>
        <w:t>Selling Shareholders</w:t>
      </w:r>
    </w:p>
    <w:p>
      <w:pPr>
        <w:spacing w:after="0" w:line="162" w:lineRule="exact"/>
        <w:rPr>
          <w:rFonts w:ascii="Arial" w:cs="Arial" w:eastAsia="Arial" w:hAnsi="Arial"/>
          <w:sz w:val="13"/>
          <w:szCs w:val="13"/>
          <w:b w:val="1"/>
          <w:bCs w:val="1"/>
          <w:color w:val="auto"/>
        </w:rPr>
      </w:pPr>
    </w:p>
    <w:p>
      <w:pPr>
        <w:ind w:left="463"/>
        <w:spacing w:after="0"/>
        <w:rPr>
          <w:rFonts w:ascii="Arial" w:cs="Arial" w:eastAsia="Arial" w:hAnsi="Arial"/>
          <w:sz w:val="13"/>
          <w:szCs w:val="13"/>
          <w:b w:val="1"/>
          <w:bCs w:val="1"/>
          <w:color w:val="auto"/>
        </w:rPr>
      </w:pPr>
      <w:r>
        <w:rPr>
          <w:rFonts w:ascii="Arial" w:cs="Arial" w:eastAsia="Arial" w:hAnsi="Arial"/>
          <w:sz w:val="13"/>
          <w:szCs w:val="13"/>
          <w:color w:val="auto"/>
        </w:rPr>
        <w:t>Not required in this Annual Report.</w:t>
      </w:r>
    </w:p>
    <w:p>
      <w:pPr>
        <w:spacing w:after="0" w:line="154" w:lineRule="exact"/>
        <w:rPr>
          <w:rFonts w:ascii="Arial" w:cs="Arial" w:eastAsia="Arial" w:hAnsi="Arial"/>
          <w:sz w:val="13"/>
          <w:szCs w:val="13"/>
          <w:b w:val="1"/>
          <w:bCs w:val="1"/>
          <w:color w:val="auto"/>
        </w:rPr>
      </w:pPr>
    </w:p>
    <w:p>
      <w:pPr>
        <w:ind w:left="463" w:hanging="463"/>
        <w:spacing w:after="0"/>
        <w:tabs>
          <w:tab w:leader="none" w:pos="463" w:val="left"/>
        </w:tabs>
        <w:numPr>
          <w:ilvl w:val="0"/>
          <w:numId w:val="70"/>
        </w:numPr>
        <w:rPr>
          <w:rFonts w:ascii="Arial" w:cs="Arial" w:eastAsia="Arial" w:hAnsi="Arial"/>
          <w:sz w:val="13"/>
          <w:szCs w:val="13"/>
          <w:b w:val="1"/>
          <w:bCs w:val="1"/>
          <w:color w:val="auto"/>
        </w:rPr>
      </w:pPr>
      <w:r>
        <w:rPr>
          <w:rFonts w:ascii="Arial" w:cs="Arial" w:eastAsia="Arial" w:hAnsi="Arial"/>
          <w:sz w:val="13"/>
          <w:szCs w:val="13"/>
          <w:b w:val="1"/>
          <w:bCs w:val="1"/>
          <w:color w:val="auto"/>
        </w:rPr>
        <w:t>Dilution</w:t>
      </w:r>
    </w:p>
    <w:p>
      <w:pPr>
        <w:spacing w:after="0" w:line="162" w:lineRule="exact"/>
        <w:rPr>
          <w:rFonts w:ascii="Arial" w:cs="Arial" w:eastAsia="Arial" w:hAnsi="Arial"/>
          <w:sz w:val="13"/>
          <w:szCs w:val="13"/>
          <w:b w:val="1"/>
          <w:bCs w:val="1"/>
          <w:color w:val="auto"/>
        </w:rPr>
      </w:pPr>
    </w:p>
    <w:p>
      <w:pPr>
        <w:ind w:left="463"/>
        <w:spacing w:after="0"/>
        <w:rPr>
          <w:rFonts w:ascii="Arial" w:cs="Arial" w:eastAsia="Arial" w:hAnsi="Arial"/>
          <w:sz w:val="13"/>
          <w:szCs w:val="13"/>
          <w:b w:val="1"/>
          <w:bCs w:val="1"/>
          <w:color w:val="auto"/>
        </w:rPr>
      </w:pPr>
      <w:r>
        <w:rPr>
          <w:rFonts w:ascii="Arial" w:cs="Arial" w:eastAsia="Arial" w:hAnsi="Arial"/>
          <w:sz w:val="13"/>
          <w:szCs w:val="13"/>
          <w:color w:val="auto"/>
        </w:rPr>
        <w:t>Not required in this Annual Report.</w:t>
      </w:r>
    </w:p>
    <w:p>
      <w:pPr>
        <w:spacing w:after="0" w:line="307"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101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103" w:name="page104"/>
    <w:bookmarkEnd w:id="103"/>
    <w:p>
      <w:pPr>
        <w:ind w:left="463" w:hanging="463"/>
        <w:spacing w:after="0"/>
        <w:tabs>
          <w:tab w:leader="none" w:pos="463" w:val="left"/>
        </w:tabs>
        <w:numPr>
          <w:ilvl w:val="0"/>
          <w:numId w:val="71"/>
        </w:numPr>
        <w:rPr>
          <w:rFonts w:ascii="Arial" w:cs="Arial" w:eastAsia="Arial" w:hAnsi="Arial"/>
          <w:sz w:val="13"/>
          <w:szCs w:val="13"/>
          <w:b w:val="1"/>
          <w:bCs w:val="1"/>
          <w:color w:val="auto"/>
        </w:rPr>
      </w:pPr>
      <w:r>
        <w:rPr>
          <w:rFonts w:ascii="Arial" w:cs="Arial" w:eastAsia="Arial" w:hAnsi="Arial"/>
          <w:sz w:val="13"/>
          <w:szCs w:val="13"/>
          <w:b w:val="1"/>
          <w:bCs w:val="1"/>
          <w:color w:val="auto"/>
        </w:rPr>
        <w:t>Expenses of the Issue</w:t>
      </w:r>
    </w:p>
    <w:p>
      <w:pPr>
        <w:spacing w:after="0" w:line="163" w:lineRule="exact"/>
        <w:rPr>
          <w:sz w:val="20"/>
          <w:szCs w:val="20"/>
          <w:color w:val="auto"/>
        </w:rPr>
      </w:pPr>
    </w:p>
    <w:p>
      <w:pPr>
        <w:ind w:left="463"/>
        <w:spacing w:after="0"/>
        <w:rPr>
          <w:sz w:val="20"/>
          <w:szCs w:val="20"/>
          <w:color w:val="auto"/>
        </w:rPr>
      </w:pPr>
      <w:r>
        <w:rPr>
          <w:rFonts w:ascii="Arial" w:cs="Arial" w:eastAsia="Arial" w:hAnsi="Arial"/>
          <w:sz w:val="13"/>
          <w:szCs w:val="13"/>
          <w:color w:val="auto"/>
        </w:rPr>
        <w:t>Not required in this Annual Report.</w:t>
      </w:r>
    </w:p>
    <w:p>
      <w:pPr>
        <w:spacing w:after="0" w:line="155" w:lineRule="exact"/>
        <w:rPr>
          <w:sz w:val="20"/>
          <w:szCs w:val="20"/>
          <w:color w:val="auto"/>
        </w:rPr>
      </w:pPr>
    </w:p>
    <w:p>
      <w:pPr>
        <w:ind w:left="3"/>
        <w:spacing w:after="0"/>
        <w:tabs>
          <w:tab w:leader="none" w:pos="903" w:val="left"/>
        </w:tabs>
        <w:rPr>
          <w:sz w:val="20"/>
          <w:szCs w:val="20"/>
          <w:color w:val="auto"/>
        </w:rPr>
      </w:pPr>
      <w:r>
        <w:rPr>
          <w:rFonts w:ascii="Arial" w:cs="Arial" w:eastAsia="Arial" w:hAnsi="Arial"/>
          <w:sz w:val="13"/>
          <w:szCs w:val="13"/>
          <w:b w:val="1"/>
          <w:bCs w:val="1"/>
          <w:color w:val="auto"/>
        </w:rPr>
        <w:t>Item 10.</w:t>
      </w:r>
      <w:r>
        <w:rPr>
          <w:sz w:val="20"/>
          <w:szCs w:val="20"/>
          <w:color w:val="auto"/>
        </w:rPr>
        <w:tab/>
      </w:r>
      <w:r>
        <w:rPr>
          <w:rFonts w:ascii="Arial" w:cs="Arial" w:eastAsia="Arial" w:hAnsi="Arial"/>
          <w:sz w:val="11"/>
          <w:szCs w:val="11"/>
          <w:b w:val="1"/>
          <w:bCs w:val="1"/>
          <w:color w:val="auto"/>
        </w:rPr>
        <w:t>Additional Information</w:t>
      </w:r>
    </w:p>
    <w:p>
      <w:pPr>
        <w:spacing w:after="0" w:line="159" w:lineRule="exact"/>
        <w:rPr>
          <w:sz w:val="20"/>
          <w:szCs w:val="20"/>
          <w:color w:val="auto"/>
        </w:rPr>
      </w:pPr>
    </w:p>
    <w:p>
      <w:pPr>
        <w:ind w:left="463" w:hanging="463"/>
        <w:spacing w:after="0"/>
        <w:tabs>
          <w:tab w:leader="none" w:pos="463" w:val="left"/>
        </w:tabs>
        <w:numPr>
          <w:ilvl w:val="0"/>
          <w:numId w:val="72"/>
        </w:numPr>
        <w:rPr>
          <w:rFonts w:ascii="Arial" w:cs="Arial" w:eastAsia="Arial" w:hAnsi="Arial"/>
          <w:sz w:val="13"/>
          <w:szCs w:val="13"/>
          <w:b w:val="1"/>
          <w:bCs w:val="1"/>
          <w:color w:val="auto"/>
        </w:rPr>
      </w:pPr>
      <w:r>
        <w:rPr>
          <w:rFonts w:ascii="Arial" w:cs="Arial" w:eastAsia="Arial" w:hAnsi="Arial"/>
          <w:sz w:val="13"/>
          <w:szCs w:val="13"/>
          <w:b w:val="1"/>
          <w:bCs w:val="1"/>
          <w:color w:val="auto"/>
        </w:rPr>
        <w:t>Share Capital</w:t>
      </w:r>
    </w:p>
    <w:p>
      <w:pPr>
        <w:spacing w:after="0" w:line="162" w:lineRule="exact"/>
        <w:rPr>
          <w:rFonts w:ascii="Arial" w:cs="Arial" w:eastAsia="Arial" w:hAnsi="Arial"/>
          <w:sz w:val="13"/>
          <w:szCs w:val="13"/>
          <w:b w:val="1"/>
          <w:bCs w:val="1"/>
          <w:color w:val="auto"/>
        </w:rPr>
      </w:pPr>
    </w:p>
    <w:p>
      <w:pPr>
        <w:ind w:left="463"/>
        <w:spacing w:after="0"/>
        <w:rPr>
          <w:rFonts w:ascii="Arial" w:cs="Arial" w:eastAsia="Arial" w:hAnsi="Arial"/>
          <w:sz w:val="13"/>
          <w:szCs w:val="13"/>
          <w:b w:val="1"/>
          <w:bCs w:val="1"/>
          <w:color w:val="auto"/>
        </w:rPr>
      </w:pPr>
      <w:r>
        <w:rPr>
          <w:rFonts w:ascii="Arial" w:cs="Arial" w:eastAsia="Arial" w:hAnsi="Arial"/>
          <w:sz w:val="13"/>
          <w:szCs w:val="13"/>
          <w:color w:val="auto"/>
        </w:rPr>
        <w:t>Not required in this Annual Report.</w:t>
      </w:r>
    </w:p>
    <w:p>
      <w:pPr>
        <w:spacing w:after="0" w:line="154" w:lineRule="exact"/>
        <w:rPr>
          <w:rFonts w:ascii="Arial" w:cs="Arial" w:eastAsia="Arial" w:hAnsi="Arial"/>
          <w:sz w:val="13"/>
          <w:szCs w:val="13"/>
          <w:b w:val="1"/>
          <w:bCs w:val="1"/>
          <w:color w:val="auto"/>
        </w:rPr>
      </w:pPr>
    </w:p>
    <w:p>
      <w:pPr>
        <w:ind w:left="463" w:hanging="463"/>
        <w:spacing w:after="0"/>
        <w:tabs>
          <w:tab w:leader="none" w:pos="463" w:val="left"/>
        </w:tabs>
        <w:numPr>
          <w:ilvl w:val="0"/>
          <w:numId w:val="72"/>
        </w:numPr>
        <w:rPr>
          <w:rFonts w:ascii="Arial" w:cs="Arial" w:eastAsia="Arial" w:hAnsi="Arial"/>
          <w:sz w:val="13"/>
          <w:szCs w:val="13"/>
          <w:b w:val="1"/>
          <w:bCs w:val="1"/>
          <w:color w:val="auto"/>
        </w:rPr>
      </w:pPr>
      <w:r>
        <w:rPr>
          <w:rFonts w:ascii="Arial" w:cs="Arial" w:eastAsia="Arial" w:hAnsi="Arial"/>
          <w:sz w:val="13"/>
          <w:szCs w:val="13"/>
          <w:b w:val="1"/>
          <w:bCs w:val="1"/>
          <w:color w:val="auto"/>
        </w:rPr>
        <w:t>Memorandum and Articles of Association</w:t>
      </w:r>
    </w:p>
    <w:p>
      <w:pPr>
        <w:spacing w:after="0" w:line="163"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Articles of Incorporation</w:t>
      </w:r>
    </w:p>
    <w:p>
      <w:pPr>
        <w:spacing w:after="0" w:line="159"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Bladex is a bank organized under the laws of the Republic of Panama, and its Articles of Incorporation are recorded in the Public Registry Office of Panama, Republic of Panama, Section of Mercantile Persons, at microjacket 021666, roll 1050 and frame 0002.</w:t>
      </w:r>
    </w:p>
    <w:p>
      <w:pPr>
        <w:spacing w:after="0" w:line="129" w:lineRule="exact"/>
        <w:rPr>
          <w:sz w:val="20"/>
          <w:szCs w:val="20"/>
          <w:color w:val="auto"/>
        </w:rPr>
      </w:pPr>
    </w:p>
    <w:p>
      <w:pPr>
        <w:jc w:val="both"/>
        <w:ind w:left="3" w:right="20"/>
        <w:spacing w:after="0" w:line="281" w:lineRule="auto"/>
        <w:rPr>
          <w:sz w:val="20"/>
          <w:szCs w:val="20"/>
          <w:color w:val="auto"/>
        </w:rPr>
      </w:pPr>
      <w:r>
        <w:rPr>
          <w:rFonts w:ascii="Arial" w:cs="Arial" w:eastAsia="Arial" w:hAnsi="Arial"/>
          <w:sz w:val="12"/>
          <w:szCs w:val="12"/>
          <w:color w:val="auto"/>
        </w:rPr>
        <w:t>Article 2 of the Bank’s Articles of Incorporation states that the purpose of the Bank is to promote the economic development and foreign trade of Latin American countries. To achieve this purpose, the Bank may engage in any banking or financial business, investment or other activity intended to promote the foreign trade and economic development of countries in Latin America. The Articles of Incorporation provide that Bladex may engage in activities beyond those described above provided that it has obtained shareholder approval in a resolution adopted upon the affirmative majority vote of the common shares, either present or represented, in a meeting of shareholders called to obtain such authorization, including the affirmative vote of the holders of three-quarters (3/4) of the Class A shares issued and outstanding.</w:t>
      </w:r>
    </w:p>
    <w:p>
      <w:pPr>
        <w:spacing w:after="0" w:line="124" w:lineRule="exact"/>
        <w:rPr>
          <w:sz w:val="20"/>
          <w:szCs w:val="20"/>
          <w:color w:val="auto"/>
        </w:rPr>
      </w:pPr>
    </w:p>
    <w:p>
      <w:pPr>
        <w:jc w:val="both"/>
        <w:ind w:left="3"/>
        <w:spacing w:after="0" w:line="257" w:lineRule="auto"/>
        <w:rPr>
          <w:sz w:val="20"/>
          <w:szCs w:val="20"/>
          <w:color w:val="auto"/>
        </w:rPr>
      </w:pPr>
      <w:r>
        <w:rPr>
          <w:rFonts w:ascii="Arial" w:cs="Arial" w:eastAsia="Arial" w:hAnsi="Arial"/>
          <w:sz w:val="13"/>
          <w:szCs w:val="13"/>
          <w:color w:val="auto"/>
        </w:rPr>
        <w:t>The Bank’s Articles of Incorporation provide that the Board shall direct and control the business and management of the assets of the Bank, except for those matters specifically reserved to shareholders by law or the Articles of Incorporation. The Board, however, may grant general and special powers of attorney authorizing directors, officers and employees of the Bank or other persons to transact such business and affairs within the competence of the Board, as the Board may deem convenient to entrust to such persons.</w:t>
      </w:r>
    </w:p>
    <w:p>
      <w:pPr>
        <w:spacing w:after="0" w:line="136" w:lineRule="exact"/>
        <w:rPr>
          <w:sz w:val="20"/>
          <w:szCs w:val="20"/>
          <w:color w:val="auto"/>
        </w:rPr>
      </w:pPr>
    </w:p>
    <w:p>
      <w:pPr>
        <w:jc w:val="both"/>
        <w:ind w:left="3" w:right="20"/>
        <w:spacing w:after="0" w:line="257" w:lineRule="auto"/>
        <w:rPr>
          <w:sz w:val="20"/>
          <w:szCs w:val="20"/>
          <w:color w:val="auto"/>
        </w:rPr>
      </w:pPr>
      <w:r>
        <w:rPr>
          <w:rFonts w:ascii="Arial" w:cs="Arial" w:eastAsia="Arial" w:hAnsi="Arial"/>
          <w:sz w:val="13"/>
          <w:szCs w:val="13"/>
          <w:color w:val="auto"/>
        </w:rPr>
        <w:t>The Articles of Incorporation do not contain provisions limiting the ability of the Board to approve a proposal, arrangement or contract in which a Director is materially interested, or limiting the ability of the Board to fix the compensation of its members. In addition, the Articles of Incorporation do not contain provisions requiring the mandatory retirement of a Director at any prescribed age, or requiring a person to own a certain number of shares to qualify as a Director.</w:t>
      </w:r>
    </w:p>
    <w:p>
      <w:pPr>
        <w:spacing w:after="0" w:line="136" w:lineRule="exact"/>
        <w:rPr>
          <w:sz w:val="20"/>
          <w:szCs w:val="20"/>
          <w:color w:val="auto"/>
        </w:rPr>
      </w:pPr>
    </w:p>
    <w:p>
      <w:pPr>
        <w:jc w:val="both"/>
        <w:ind w:left="3" w:right="20"/>
        <w:spacing w:after="0" w:line="326" w:lineRule="auto"/>
        <w:rPr>
          <w:sz w:val="20"/>
          <w:szCs w:val="20"/>
          <w:color w:val="auto"/>
        </w:rPr>
      </w:pPr>
      <w:r>
        <w:rPr>
          <w:rFonts w:ascii="Arial" w:cs="Arial" w:eastAsia="Arial" w:hAnsi="Arial"/>
          <w:sz w:val="11"/>
          <w:szCs w:val="11"/>
          <w:color w:val="auto"/>
        </w:rPr>
        <w:t>The Board consists of ten members: three Directors elected by the holders of the Class A common shares; five Directors elected by the holders of the Class E common shares; and two Directors elected by the holders of all common shares. For so long as the number of Class F common shares issued and outstanding is equal to or greater than fifteen percent (15%) of the total number of common shares issued and outstanding, the holders of the Class F common shares will have the right to elect one director and the Board will consist of eleven members. As of December 31, 2018, no Class F shares or preferred shares were issued and outstanding.</w:t>
      </w:r>
    </w:p>
    <w:p>
      <w:pPr>
        <w:spacing w:after="0" w:line="101" w:lineRule="exact"/>
        <w:rPr>
          <w:sz w:val="20"/>
          <w:szCs w:val="20"/>
          <w:color w:val="auto"/>
        </w:rPr>
      </w:pPr>
    </w:p>
    <w:p>
      <w:pPr>
        <w:jc w:val="both"/>
        <w:ind w:left="3" w:right="20"/>
        <w:spacing w:after="0" w:line="326" w:lineRule="auto"/>
        <w:rPr>
          <w:sz w:val="20"/>
          <w:szCs w:val="20"/>
          <w:color w:val="auto"/>
        </w:rPr>
      </w:pPr>
      <w:r>
        <w:rPr>
          <w:rFonts w:ascii="Arial" w:cs="Arial" w:eastAsia="Arial" w:hAnsi="Arial"/>
          <w:sz w:val="11"/>
          <w:szCs w:val="11"/>
          <w:color w:val="auto"/>
        </w:rPr>
        <w:t>The Directors are elected by shareholders for periods of three (3) years and they may be re-elected. The holders of the Class A, Class E and Class F shares vote separately as a class in the election of Directors representing their respective class. In the election of Directors, each shareholder of each class electing a Director has a number of votes equal to the number of shares of such class held by such shareholder multiplied by the number of Directors to be elected by such class. The shareholder may cast all votes in favor of one candidate or distribute them among two or more of the Directors to be elected, as the shareholder may decide.</w:t>
      </w:r>
    </w:p>
    <w:p>
      <w:pPr>
        <w:spacing w:after="0" w:line="249"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102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104" w:name="page105"/>
    <w:bookmarkEnd w:id="104"/>
    <w:p>
      <w:pPr>
        <w:spacing w:after="0"/>
        <w:rPr>
          <w:sz w:val="20"/>
          <w:szCs w:val="20"/>
          <w:color w:val="auto"/>
        </w:rPr>
      </w:pPr>
      <w:r>
        <w:rPr>
          <w:rFonts w:ascii="Arial" w:cs="Arial" w:eastAsia="Arial" w:hAnsi="Arial"/>
          <w:sz w:val="13"/>
          <w:szCs w:val="13"/>
          <w:color w:val="auto"/>
        </w:rPr>
        <w:t>All common shares have the same rights and privileges regardless of their class, except that:</w:t>
      </w:r>
    </w:p>
    <w:p>
      <w:pPr>
        <w:spacing w:after="0" w:line="159" w:lineRule="exact"/>
        <w:rPr>
          <w:sz w:val="20"/>
          <w:szCs w:val="20"/>
          <w:color w:val="auto"/>
        </w:rPr>
      </w:pPr>
    </w:p>
    <w:p>
      <w:pPr>
        <w:ind w:left="700" w:hanging="241"/>
        <w:spacing w:after="0"/>
        <w:tabs>
          <w:tab w:leader="none" w:pos="700" w:val="left"/>
        </w:tabs>
        <w:numPr>
          <w:ilvl w:val="0"/>
          <w:numId w:val="73"/>
        </w:numPr>
        <w:rPr>
          <w:rFonts w:ascii="Arial" w:cs="Arial" w:eastAsia="Arial" w:hAnsi="Arial"/>
          <w:sz w:val="12"/>
          <w:szCs w:val="12"/>
          <w:color w:val="auto"/>
        </w:rPr>
      </w:pPr>
      <w:r>
        <w:rPr>
          <w:rFonts w:ascii="Arial" w:cs="Arial" w:eastAsia="Arial" w:hAnsi="Arial"/>
          <w:sz w:val="12"/>
          <w:szCs w:val="12"/>
          <w:color w:val="auto"/>
        </w:rPr>
        <w:t>the affirmative vote of three-quarters (3/4) of the issued and outstanding Class A shares is required (A) to dissolve and liquidate the Bank, (B) to amend certain material provisions of the Articles of</w:t>
      </w:r>
    </w:p>
    <w:p>
      <w:pPr>
        <w:spacing w:after="0" w:line="24" w:lineRule="exact"/>
        <w:rPr>
          <w:sz w:val="20"/>
          <w:szCs w:val="20"/>
          <w:color w:val="auto"/>
        </w:rPr>
      </w:pPr>
    </w:p>
    <w:p>
      <w:pPr>
        <w:ind w:left="700" w:right="20"/>
        <w:spacing w:after="0" w:line="247" w:lineRule="auto"/>
        <w:rPr>
          <w:sz w:val="20"/>
          <w:szCs w:val="20"/>
          <w:color w:val="auto"/>
        </w:rPr>
      </w:pPr>
      <w:r>
        <w:rPr>
          <w:rFonts w:ascii="Arial" w:cs="Arial" w:eastAsia="Arial" w:hAnsi="Arial"/>
          <w:sz w:val="13"/>
          <w:szCs w:val="13"/>
          <w:color w:val="auto"/>
        </w:rPr>
        <w:t>Incorporation, (C) to merge or consolidate the Bank with another entity and (D) to authorize the Bank to engage in activities other than those described as the purposes of the Bank in its Articles of Incorporation;</w:t>
      </w:r>
    </w:p>
    <w:p>
      <w:pPr>
        <w:ind w:left="460"/>
        <w:spacing w:after="0"/>
        <w:tabs>
          <w:tab w:leader="none" w:pos="680" w:val="left"/>
        </w:tabs>
        <w:rPr>
          <w:sz w:val="20"/>
          <w:szCs w:val="20"/>
          <w:color w:val="auto"/>
        </w:rPr>
      </w:pPr>
      <w:r>
        <w:rPr>
          <w:rFonts w:ascii="Arial" w:cs="Arial" w:eastAsia="Arial" w:hAnsi="Arial"/>
          <w:sz w:val="13"/>
          <w:szCs w:val="13"/>
          <w:color w:val="auto"/>
        </w:rPr>
        <w:t>·</w:t>
      </w:r>
      <w:r>
        <w:rPr>
          <w:sz w:val="20"/>
          <w:szCs w:val="20"/>
          <w:color w:val="auto"/>
        </w:rPr>
        <w:tab/>
      </w:r>
      <w:r>
        <w:rPr>
          <w:rFonts w:ascii="Arial" w:cs="Arial" w:eastAsia="Arial" w:hAnsi="Arial"/>
          <w:sz w:val="13"/>
          <w:szCs w:val="13"/>
          <w:color w:val="auto"/>
        </w:rPr>
        <w:t>the Class E shares are freely transferable, but the Class A shares, Class B shares and Class F shares may only be transferred to qualified holders;</w:t>
      </w:r>
    </w:p>
    <w:p>
      <w:pPr>
        <w:spacing w:after="0" w:line="5" w:lineRule="exact"/>
        <w:rPr>
          <w:sz w:val="20"/>
          <w:szCs w:val="20"/>
          <w:color w:val="auto"/>
        </w:rPr>
      </w:pPr>
    </w:p>
    <w:p>
      <w:pPr>
        <w:ind w:left="700" w:hanging="241"/>
        <w:spacing w:after="0"/>
        <w:tabs>
          <w:tab w:leader="none" w:pos="700" w:val="left"/>
        </w:tabs>
        <w:numPr>
          <w:ilvl w:val="0"/>
          <w:numId w:val="74"/>
        </w:numPr>
        <w:rPr>
          <w:rFonts w:ascii="Arial" w:cs="Arial" w:eastAsia="Arial" w:hAnsi="Arial"/>
          <w:sz w:val="13"/>
          <w:szCs w:val="13"/>
          <w:color w:val="auto"/>
        </w:rPr>
      </w:pPr>
      <w:r>
        <w:rPr>
          <w:rFonts w:ascii="Arial" w:cs="Arial" w:eastAsia="Arial" w:hAnsi="Arial"/>
          <w:sz w:val="13"/>
          <w:szCs w:val="13"/>
          <w:color w:val="auto"/>
        </w:rPr>
        <w:t>the Class B shares and Class F shares may be converted into Class E shares;</w:t>
      </w:r>
    </w:p>
    <w:p>
      <w:pPr>
        <w:spacing w:after="0" w:line="5" w:lineRule="exact"/>
        <w:rPr>
          <w:sz w:val="20"/>
          <w:szCs w:val="20"/>
          <w:color w:val="auto"/>
        </w:rPr>
      </w:pPr>
    </w:p>
    <w:p>
      <w:pPr>
        <w:ind w:left="460"/>
        <w:spacing w:after="0"/>
        <w:tabs>
          <w:tab w:leader="none" w:pos="680" w:val="left"/>
        </w:tabs>
        <w:rPr>
          <w:sz w:val="20"/>
          <w:szCs w:val="20"/>
          <w:color w:val="auto"/>
        </w:rPr>
      </w:pPr>
      <w:r>
        <w:rPr>
          <w:rFonts w:ascii="Arial" w:cs="Arial" w:eastAsia="Arial" w:hAnsi="Arial"/>
          <w:sz w:val="13"/>
          <w:szCs w:val="13"/>
          <w:color w:val="auto"/>
        </w:rPr>
        <w:t>·</w:t>
      </w:r>
      <w:r>
        <w:rPr>
          <w:sz w:val="20"/>
          <w:szCs w:val="20"/>
          <w:color w:val="auto"/>
        </w:rPr>
        <w:tab/>
      </w:r>
      <w:r>
        <w:rPr>
          <w:rFonts w:ascii="Arial" w:cs="Arial" w:eastAsia="Arial" w:hAnsi="Arial"/>
          <w:sz w:val="13"/>
          <w:szCs w:val="13"/>
          <w:color w:val="auto"/>
        </w:rPr>
        <w:t>the holders of Class A shares, Class B shares and Class F shares benefit from pre-emptive rights, but the holders of Class E shares do not;</w:t>
      </w:r>
    </w:p>
    <w:p>
      <w:pPr>
        <w:spacing w:after="0" w:line="5" w:lineRule="exact"/>
        <w:rPr>
          <w:sz w:val="20"/>
          <w:szCs w:val="20"/>
          <w:color w:val="auto"/>
        </w:rPr>
      </w:pPr>
    </w:p>
    <w:p>
      <w:pPr>
        <w:ind w:left="700" w:hanging="241"/>
        <w:spacing w:after="0"/>
        <w:tabs>
          <w:tab w:leader="none" w:pos="700" w:val="left"/>
        </w:tabs>
        <w:numPr>
          <w:ilvl w:val="0"/>
          <w:numId w:val="75"/>
        </w:numPr>
        <w:rPr>
          <w:rFonts w:ascii="Arial" w:cs="Arial" w:eastAsia="Arial" w:hAnsi="Arial"/>
          <w:sz w:val="13"/>
          <w:szCs w:val="13"/>
          <w:color w:val="auto"/>
        </w:rPr>
      </w:pPr>
      <w:r>
        <w:rPr>
          <w:rFonts w:ascii="Arial" w:cs="Arial" w:eastAsia="Arial" w:hAnsi="Arial"/>
          <w:sz w:val="13"/>
          <w:szCs w:val="13"/>
          <w:color w:val="auto"/>
        </w:rPr>
        <w:t>the classes vote separately for their representative directors; and</w:t>
      </w:r>
    </w:p>
    <w:p>
      <w:pPr>
        <w:spacing w:after="0" w:line="4" w:lineRule="exact"/>
        <w:rPr>
          <w:rFonts w:ascii="Arial" w:cs="Arial" w:eastAsia="Arial" w:hAnsi="Arial"/>
          <w:sz w:val="13"/>
          <w:szCs w:val="13"/>
          <w:color w:val="auto"/>
        </w:rPr>
      </w:pPr>
    </w:p>
    <w:p>
      <w:pPr>
        <w:ind w:left="700" w:hanging="241"/>
        <w:spacing w:after="0"/>
        <w:tabs>
          <w:tab w:leader="none" w:pos="700" w:val="left"/>
        </w:tabs>
        <w:numPr>
          <w:ilvl w:val="0"/>
          <w:numId w:val="75"/>
        </w:numPr>
        <w:rPr>
          <w:rFonts w:ascii="Arial" w:cs="Arial" w:eastAsia="Arial" w:hAnsi="Arial"/>
          <w:sz w:val="13"/>
          <w:szCs w:val="13"/>
          <w:color w:val="auto"/>
        </w:rPr>
      </w:pPr>
      <w:r>
        <w:rPr>
          <w:rFonts w:ascii="Arial" w:cs="Arial" w:eastAsia="Arial" w:hAnsi="Arial"/>
          <w:sz w:val="13"/>
          <w:szCs w:val="13"/>
          <w:color w:val="auto"/>
        </w:rPr>
        <w:t>the rights, preferences, privileges and obligations of the preferred shares are determined by the Board at the time of their issuance in a certificate of designation.</w:t>
      </w:r>
    </w:p>
    <w:p>
      <w:pPr>
        <w:spacing w:after="0" w:line="150" w:lineRule="exact"/>
        <w:rPr>
          <w:sz w:val="20"/>
          <w:szCs w:val="20"/>
          <w:color w:val="auto"/>
        </w:rPr>
      </w:pPr>
    </w:p>
    <w:p>
      <w:pPr>
        <w:jc w:val="both"/>
        <w:spacing w:after="0" w:line="289" w:lineRule="auto"/>
        <w:rPr>
          <w:sz w:val="20"/>
          <w:szCs w:val="20"/>
          <w:color w:val="auto"/>
        </w:rPr>
      </w:pPr>
      <w:r>
        <w:rPr>
          <w:rFonts w:ascii="Arial" w:cs="Arial" w:eastAsia="Arial" w:hAnsi="Arial"/>
          <w:sz w:val="12"/>
          <w:szCs w:val="12"/>
          <w:color w:val="auto"/>
        </w:rPr>
        <w:t>Under the Bank’s Articles of Incorporation, preferred shares have no voting rights, except in accordance with their certificate of designation mentioned above. Holders of preferred shares will have the right to elect one Director only upon a default of the terms of such preferred shares and only if contemplated in the certificate of designation. In the event the holders of the preferred shares are entitled to elect a Director, the total number of Directors on the Board will be increased by one. The rights of the holders of the common shares may be changed by an amendment to the Articles of Incorporation of the Bank.</w:t>
      </w:r>
    </w:p>
    <w:p>
      <w:pPr>
        <w:spacing w:after="0" w:line="118" w:lineRule="exact"/>
        <w:rPr>
          <w:sz w:val="20"/>
          <w:szCs w:val="20"/>
          <w:color w:val="auto"/>
        </w:rPr>
      </w:pPr>
    </w:p>
    <w:p>
      <w:pPr>
        <w:jc w:val="both"/>
        <w:spacing w:after="0" w:line="314" w:lineRule="auto"/>
        <w:rPr>
          <w:sz w:val="20"/>
          <w:szCs w:val="20"/>
          <w:color w:val="auto"/>
        </w:rPr>
      </w:pPr>
      <w:r>
        <w:rPr>
          <w:rFonts w:ascii="Arial" w:cs="Arial" w:eastAsia="Arial" w:hAnsi="Arial"/>
          <w:sz w:val="11"/>
          <w:szCs w:val="11"/>
          <w:color w:val="auto"/>
        </w:rPr>
        <w:t>Amendments to the Articles of Incorporation may be adopted by the affirmative majority vote of the common shares represented at the respective meeting, except for the following amendments which require, in addition, the affirmative vote of three-quarters (3/4) of all issued and outstanding Class A shares: (i) any amendment to the Bank’s purposes or powers, (ii) any amendment to the capital structure of the Bank and the qualifications to become a holder of any particular class of shares, (iii) any amendment to the provisions relating to the notice, quorum and voting at shareholders’ meetings, (iv) any amendment to the composition and election of the Board, as well as notices, quorum and voting at meetings of Directors, (v) any amendments to the powers of the Chief Executive Officer of the Bank and (vi) any amendments to the fundamental financial policies of the Bank.</w:t>
      </w:r>
    </w:p>
    <w:p>
      <w:pPr>
        <w:spacing w:after="0" w:line="108" w:lineRule="exact"/>
        <w:rPr>
          <w:sz w:val="20"/>
          <w:szCs w:val="20"/>
          <w:color w:val="auto"/>
        </w:rPr>
      </w:pPr>
    </w:p>
    <w:p>
      <w:pPr>
        <w:jc w:val="both"/>
        <w:ind w:right="20"/>
        <w:spacing w:after="0" w:line="254" w:lineRule="auto"/>
        <w:rPr>
          <w:sz w:val="20"/>
          <w:szCs w:val="20"/>
          <w:color w:val="auto"/>
        </w:rPr>
      </w:pPr>
      <w:r>
        <w:rPr>
          <w:rFonts w:ascii="Arial" w:cs="Arial" w:eastAsia="Arial" w:hAnsi="Arial"/>
          <w:sz w:val="13"/>
          <w:szCs w:val="13"/>
          <w:color w:val="auto"/>
        </w:rPr>
        <w:t>The Articles of Incorporation of Bladex provide that there will be a general meeting of holders of the common shares every year, on such date and in such place as may be determined by resolution of the Board, to elect Directors and transact any other business duly submitted to the meeting by the Board. In addition, extraordinary meetings of holders of the common shares may be called by the Board, as it deems necessary. The Board or the Chairman of the Board must call an extraordinary meeting of holders of the common shares when requested in writing by one or more holders of common shares representing at least one-twentieth (1/20) of the issued and outstanding capital.</w:t>
      </w:r>
    </w:p>
    <w:p>
      <w:pPr>
        <w:spacing w:after="0" w:line="137" w:lineRule="exact"/>
        <w:rPr>
          <w:sz w:val="20"/>
          <w:szCs w:val="20"/>
          <w:color w:val="auto"/>
        </w:rPr>
      </w:pPr>
    </w:p>
    <w:p>
      <w:pPr>
        <w:jc w:val="both"/>
        <w:ind w:right="20"/>
        <w:spacing w:after="0" w:line="289" w:lineRule="auto"/>
        <w:rPr>
          <w:sz w:val="20"/>
          <w:szCs w:val="20"/>
          <w:color w:val="auto"/>
        </w:rPr>
      </w:pPr>
      <w:r>
        <w:rPr>
          <w:rFonts w:ascii="Arial" w:cs="Arial" w:eastAsia="Arial" w:hAnsi="Arial"/>
          <w:sz w:val="12"/>
          <w:szCs w:val="12"/>
          <w:color w:val="auto"/>
        </w:rPr>
        <w:t>Notice of meetings of shareholders, whether ordinary or extraordinary, are personally delivered to each registered shareholder or sent by fax, telex, courier, air mail or any other means authorized by the Board of the Directors, at least 30 days before the date of the meeting, counted from the date that the notice is sent. The notice of the meeting must include the agenda of the meeting. At any meeting of shareholders, shareholders with a right to vote may be represented by a proxy, who need not be a shareholder and who may be appointed by public or private document, with or without power of substitution.</w:t>
      </w:r>
    </w:p>
    <w:p>
      <w:pPr>
        <w:spacing w:after="0" w:line="266"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103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105" w:name="page106"/>
    <w:bookmarkEnd w:id="105"/>
    <w:p>
      <w:pPr>
        <w:jc w:val="both"/>
        <w:ind w:left="3" w:right="20"/>
        <w:spacing w:after="0" w:line="252" w:lineRule="auto"/>
        <w:rPr>
          <w:sz w:val="20"/>
          <w:szCs w:val="20"/>
          <w:color w:val="auto"/>
        </w:rPr>
      </w:pPr>
      <w:r>
        <w:rPr>
          <w:rFonts w:ascii="Arial" w:cs="Arial" w:eastAsia="Arial" w:hAnsi="Arial"/>
          <w:sz w:val="13"/>
          <w:szCs w:val="13"/>
          <w:color w:val="auto"/>
        </w:rPr>
        <w:t>Upon request to the Board or the Chairman of the Board, shareholders representing at least one-twentieth (1/20) of the issued and outstanding shares of any given class may hold a meeting separately as a class for the purpose of considering any matter which, in accordance with the provisions of the Articles of Incorporation and the By-Laws, is within their competence. In order to have a quorum at any meeting of shareholders, a majority of the common shares issued and outstanding must be represented at the meeting. Whenever a quorum is not obtained at a meeting of shareholders, the meeting shall be held on the second date set forth in the notice of the meeting. All resolutions of shareholders shall be adopted by the affirmative majority vote of the common shares represented at the meeting where the resolution was adopted, except where a super-majority vote of the Class A shareholders is required, as described above.</w:t>
      </w:r>
    </w:p>
    <w:p>
      <w:pPr>
        <w:spacing w:after="0" w:line="139" w:lineRule="exact"/>
        <w:rPr>
          <w:sz w:val="20"/>
          <w:szCs w:val="20"/>
          <w:color w:val="auto"/>
        </w:rPr>
      </w:pPr>
    </w:p>
    <w:p>
      <w:pPr>
        <w:jc w:val="both"/>
        <w:ind w:left="3"/>
        <w:spacing w:after="0" w:line="254" w:lineRule="auto"/>
        <w:rPr>
          <w:sz w:val="20"/>
          <w:szCs w:val="20"/>
          <w:color w:val="auto"/>
        </w:rPr>
      </w:pPr>
      <w:r>
        <w:rPr>
          <w:rFonts w:ascii="Arial" w:cs="Arial" w:eastAsia="Arial" w:hAnsi="Arial"/>
          <w:sz w:val="13"/>
          <w:szCs w:val="13"/>
          <w:color w:val="auto"/>
        </w:rPr>
        <w:t>Class A shares may be issued only as registered shares in the name of the following entities in Latin American countries: (i) central banks, (ii) banks in which the State is the majority shareholder or (iii) other government agencies. Class B shares may be issued only in the name of banks or financial institutions. Class E shares and preferred shares may be issued in the name of any person, whether a natural person or a legal entity. Class F shares may be issued only: (i) in the name of state entities or agencies of countries that are not Latin American countries, including central banks and banks in which the State is the majority shareholder or (ii) in the name of multilateral financial institutions, whether international or regional.</w:t>
      </w:r>
    </w:p>
    <w:p>
      <w:pPr>
        <w:spacing w:after="0" w:line="137" w:lineRule="exact"/>
        <w:rPr>
          <w:sz w:val="20"/>
          <w:szCs w:val="20"/>
          <w:color w:val="auto"/>
        </w:rPr>
      </w:pPr>
    </w:p>
    <w:p>
      <w:pPr>
        <w:ind w:left="3"/>
        <w:spacing w:after="0"/>
        <w:rPr>
          <w:sz w:val="20"/>
          <w:szCs w:val="20"/>
          <w:color w:val="auto"/>
        </w:rPr>
      </w:pPr>
      <w:r>
        <w:rPr>
          <w:rFonts w:ascii="Arial" w:cs="Arial" w:eastAsia="Arial" w:hAnsi="Arial"/>
          <w:sz w:val="13"/>
          <w:szCs w:val="13"/>
          <w:color w:val="auto"/>
        </w:rPr>
        <w:t>Neither Bladex’s Articles of Incorporation nor its By-Laws contain any provision requiring disclosure with respect to a shareholder’s ownership above a certain threshold.</w:t>
      </w:r>
    </w:p>
    <w:p>
      <w:pPr>
        <w:spacing w:after="0" w:line="159"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The Amended and Restated Articles of Incorporation were filed as an exhibit to the Form 20-F for the fiscal year ended December 31, 2008, filed with the SEC on June 26, 2009 and the Bylaws were filed as an exhibit to the Form 20-F for the fiscal year ended December 31, 2009, filed with the SEC on June 11, 2010. See Item 19, “Exhibits” for hyperlinks to these documents.</w:t>
      </w:r>
    </w:p>
    <w:p>
      <w:pPr>
        <w:spacing w:after="0" w:line="125" w:lineRule="exact"/>
        <w:rPr>
          <w:sz w:val="20"/>
          <w:szCs w:val="20"/>
          <w:color w:val="auto"/>
        </w:rPr>
      </w:pPr>
    </w:p>
    <w:p>
      <w:pPr>
        <w:ind w:left="463" w:hanging="463"/>
        <w:spacing w:after="0"/>
        <w:tabs>
          <w:tab w:leader="none" w:pos="463" w:val="left"/>
        </w:tabs>
        <w:numPr>
          <w:ilvl w:val="0"/>
          <w:numId w:val="76"/>
        </w:numPr>
        <w:rPr>
          <w:rFonts w:ascii="Arial" w:cs="Arial" w:eastAsia="Arial" w:hAnsi="Arial"/>
          <w:sz w:val="13"/>
          <w:szCs w:val="13"/>
          <w:b w:val="1"/>
          <w:bCs w:val="1"/>
          <w:color w:val="auto"/>
        </w:rPr>
      </w:pPr>
      <w:r>
        <w:rPr>
          <w:rFonts w:ascii="Arial" w:cs="Arial" w:eastAsia="Arial" w:hAnsi="Arial"/>
          <w:sz w:val="13"/>
          <w:szCs w:val="13"/>
          <w:b w:val="1"/>
          <w:bCs w:val="1"/>
          <w:color w:val="auto"/>
        </w:rPr>
        <w:t>Material Contracts</w:t>
      </w:r>
    </w:p>
    <w:p>
      <w:pPr>
        <w:spacing w:after="0" w:line="163"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Bank has not entered into any material contract outside the ordinary course of business during the two-year period immediately preceding the date of this Annual Report.</w:t>
      </w:r>
    </w:p>
    <w:p>
      <w:pPr>
        <w:spacing w:after="0" w:line="155" w:lineRule="exact"/>
        <w:rPr>
          <w:sz w:val="20"/>
          <w:szCs w:val="20"/>
          <w:color w:val="auto"/>
        </w:rPr>
      </w:pPr>
    </w:p>
    <w:p>
      <w:pPr>
        <w:ind w:left="463" w:hanging="463"/>
        <w:spacing w:after="0"/>
        <w:tabs>
          <w:tab w:leader="none" w:pos="463" w:val="left"/>
        </w:tabs>
        <w:numPr>
          <w:ilvl w:val="0"/>
          <w:numId w:val="77"/>
        </w:numPr>
        <w:rPr>
          <w:rFonts w:ascii="Arial" w:cs="Arial" w:eastAsia="Arial" w:hAnsi="Arial"/>
          <w:sz w:val="13"/>
          <w:szCs w:val="13"/>
          <w:b w:val="1"/>
          <w:bCs w:val="1"/>
          <w:color w:val="auto"/>
        </w:rPr>
      </w:pPr>
      <w:r>
        <w:rPr>
          <w:rFonts w:ascii="Arial" w:cs="Arial" w:eastAsia="Arial" w:hAnsi="Arial"/>
          <w:sz w:val="13"/>
          <w:szCs w:val="13"/>
          <w:b w:val="1"/>
          <w:bCs w:val="1"/>
          <w:color w:val="auto"/>
        </w:rPr>
        <w:t>Exchange Controls</w:t>
      </w:r>
    </w:p>
    <w:p>
      <w:pPr>
        <w:spacing w:after="0" w:line="163" w:lineRule="exact"/>
        <w:rPr>
          <w:sz w:val="20"/>
          <w:szCs w:val="20"/>
          <w:color w:val="auto"/>
        </w:rPr>
      </w:pPr>
    </w:p>
    <w:p>
      <w:pPr>
        <w:ind w:left="3" w:right="20"/>
        <w:spacing w:after="0" w:line="267" w:lineRule="auto"/>
        <w:rPr>
          <w:sz w:val="20"/>
          <w:szCs w:val="20"/>
          <w:color w:val="auto"/>
        </w:rPr>
      </w:pPr>
      <w:r>
        <w:rPr>
          <w:rFonts w:ascii="Arial" w:cs="Arial" w:eastAsia="Arial" w:hAnsi="Arial"/>
          <w:sz w:val="13"/>
          <w:szCs w:val="13"/>
          <w:color w:val="auto"/>
        </w:rPr>
        <w:t>Currently, there are no restrictions or limitations under Panamanian law on the export or import of capital, including foreign exchange controls, the payment of dividends or interest, or the rights of foreign shareholders to hold or vote stock.</w:t>
      </w:r>
    </w:p>
    <w:p>
      <w:pPr>
        <w:spacing w:after="0" w:line="125" w:lineRule="exact"/>
        <w:rPr>
          <w:sz w:val="20"/>
          <w:szCs w:val="20"/>
          <w:color w:val="auto"/>
        </w:rPr>
      </w:pPr>
    </w:p>
    <w:p>
      <w:pPr>
        <w:ind w:left="463" w:hanging="463"/>
        <w:spacing w:after="0"/>
        <w:tabs>
          <w:tab w:leader="none" w:pos="463" w:val="left"/>
        </w:tabs>
        <w:numPr>
          <w:ilvl w:val="0"/>
          <w:numId w:val="78"/>
        </w:numPr>
        <w:rPr>
          <w:rFonts w:ascii="Arial" w:cs="Arial" w:eastAsia="Arial" w:hAnsi="Arial"/>
          <w:sz w:val="13"/>
          <w:szCs w:val="13"/>
          <w:b w:val="1"/>
          <w:bCs w:val="1"/>
          <w:color w:val="auto"/>
        </w:rPr>
      </w:pPr>
      <w:r>
        <w:rPr>
          <w:rFonts w:ascii="Arial" w:cs="Arial" w:eastAsia="Arial" w:hAnsi="Arial"/>
          <w:sz w:val="13"/>
          <w:szCs w:val="13"/>
          <w:b w:val="1"/>
          <w:bCs w:val="1"/>
          <w:color w:val="auto"/>
        </w:rPr>
        <w:t>Taxation</w:t>
      </w:r>
    </w:p>
    <w:p>
      <w:pPr>
        <w:spacing w:after="0" w:line="163" w:lineRule="exact"/>
        <w:rPr>
          <w:sz w:val="20"/>
          <w:szCs w:val="20"/>
          <w:color w:val="auto"/>
        </w:rPr>
      </w:pPr>
    </w:p>
    <w:p>
      <w:pPr>
        <w:jc w:val="both"/>
        <w:ind w:left="3" w:right="20"/>
        <w:spacing w:after="0" w:line="257" w:lineRule="auto"/>
        <w:rPr>
          <w:sz w:val="20"/>
          <w:szCs w:val="20"/>
          <w:color w:val="auto"/>
        </w:rPr>
      </w:pPr>
      <w:r>
        <w:rPr>
          <w:rFonts w:ascii="Arial" w:cs="Arial" w:eastAsia="Arial" w:hAnsi="Arial"/>
          <w:sz w:val="13"/>
          <w:szCs w:val="13"/>
          <w:color w:val="auto"/>
        </w:rPr>
        <w:t>The following is a summary of certain U.S. federal and Panamanian tax matters that may be relevant with respect to the acquisition, ownership and disposition of the Bank’s Class E shares. Prospective purchasers of Class E shares should consult their own tax advisors as to United States, Panamanian or other tax consequences of the acquisition, ownership and disposition of Class E shares. The Bank may be subject to the tax regime of other countries or jurisdictions due to its operations.</w:t>
      </w:r>
    </w:p>
    <w:p>
      <w:pPr>
        <w:spacing w:after="0" w:line="136" w:lineRule="exact"/>
        <w:rPr>
          <w:sz w:val="20"/>
          <w:szCs w:val="20"/>
          <w:color w:val="auto"/>
        </w:rPr>
      </w:pPr>
    </w:p>
    <w:p>
      <w:pPr>
        <w:ind w:left="3"/>
        <w:spacing w:after="0"/>
        <w:rPr>
          <w:sz w:val="20"/>
          <w:szCs w:val="20"/>
          <w:color w:val="auto"/>
        </w:rPr>
      </w:pPr>
      <w:r>
        <w:rPr>
          <w:rFonts w:ascii="Arial" w:cs="Arial" w:eastAsia="Arial" w:hAnsi="Arial"/>
          <w:sz w:val="13"/>
          <w:szCs w:val="13"/>
          <w:color w:val="auto"/>
        </w:rPr>
        <w:t>This summary does not address the consequences of the acquisition, ownership or disposition of the Bank’s Class A or Class B shares.</w:t>
      </w:r>
    </w:p>
    <w:p>
      <w:pPr>
        <w:spacing w:after="0" w:line="307"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104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9" w:right="199" w:bottom="1440" w:gutter="0" w:footer="0" w:header="0"/>
        </w:sectPr>
      </w:pPr>
    </w:p>
    <w:bookmarkStart w:id="106" w:name="page107"/>
    <w:bookmarkEnd w:id="106"/>
    <w:p>
      <w:pPr>
        <w:spacing w:after="0"/>
        <w:rPr>
          <w:sz w:val="20"/>
          <w:szCs w:val="20"/>
          <w:color w:val="auto"/>
        </w:rPr>
      </w:pPr>
      <w:r>
        <w:rPr>
          <w:rFonts w:ascii="Arial" w:cs="Arial" w:eastAsia="Arial" w:hAnsi="Arial"/>
          <w:sz w:val="13"/>
          <w:szCs w:val="13"/>
          <w:b w:val="1"/>
          <w:bCs w:val="1"/>
          <w:i w:val="1"/>
          <w:iCs w:val="1"/>
          <w:color w:val="auto"/>
        </w:rPr>
        <w:t>United States Taxes</w:t>
      </w:r>
    </w:p>
    <w:p>
      <w:pPr>
        <w:spacing w:after="0" w:line="159" w:lineRule="exact"/>
        <w:rPr>
          <w:sz w:val="20"/>
          <w:szCs w:val="20"/>
          <w:color w:val="auto"/>
        </w:rPr>
      </w:pPr>
    </w:p>
    <w:p>
      <w:pPr>
        <w:jc w:val="both"/>
        <w:ind w:right="20"/>
        <w:spacing w:after="0" w:line="274" w:lineRule="auto"/>
        <w:rPr>
          <w:sz w:val="20"/>
          <w:szCs w:val="20"/>
          <w:color w:val="auto"/>
        </w:rPr>
      </w:pPr>
      <w:r>
        <w:rPr>
          <w:rFonts w:ascii="Arial" w:cs="Arial" w:eastAsia="Arial" w:hAnsi="Arial"/>
          <w:sz w:val="12"/>
          <w:szCs w:val="12"/>
          <w:color w:val="auto"/>
        </w:rPr>
        <w:t>This summary describes the material U.S. federal income tax consequences of the ownership and disposition of the Class E shares, but does not purport to be a comprehensive description of all of the tax considerations that may be relevant to holders of Class E shares. Except as specifically noted, this summary applies only to current holders that hold Class E shares as capital assets for U.S. federal income tax purposes and does not address classes of holders that are subject to special treatment under the United States Internal Revenue Code of 1986, as amended (the “Code”) such as dealers in securities or currencies, financial institutions, tax-exempt entities, regulated investment companies, insurance companies, securities traders that elect mark-to-market tax accounting, persons subject to the alternative minimum tax, non-U.S. investors (including, without limitation, non-U.S. investors subject to tax as U.S. expatriates and non-U.S. investors holding Class E shares in connection with a U.S. trade or business), persons receiving Class E shares in connection with the performance of services, persons holding Class E shares as part of a hedging, constructive ownership or conversion transaction or a straddle, holders whose functional currency is not the U.S. dollar, or a holder that owns 10% or more (directly, indirectly or constructively) of the shares of the Bank, by vote or value.</w:t>
      </w:r>
    </w:p>
    <w:p>
      <w:pPr>
        <w:spacing w:after="0" w:line="129"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This summary is based upon the Code, existing, temporary and proposed regulations promulgated thereunder, judicial decisions and administrative pronouncements, all as in effect on the date of this Annual Report and which are subject to change (possibly on a retroactive basis) and to differing interpretations. Purchasers or holders of Class E shares should consult their own tax advisors as to the U.S. federal, state and local, and foreign tax consequences of the ownership and disposition of Class E shares in their particular circumstances.</w:t>
      </w:r>
    </w:p>
    <w:p>
      <w:pPr>
        <w:spacing w:after="0" w:line="136" w:lineRule="exact"/>
        <w:rPr>
          <w:sz w:val="20"/>
          <w:szCs w:val="20"/>
          <w:color w:val="auto"/>
        </w:rPr>
      </w:pPr>
    </w:p>
    <w:p>
      <w:pPr>
        <w:jc w:val="both"/>
        <w:spacing w:after="0" w:line="273" w:lineRule="auto"/>
        <w:rPr>
          <w:sz w:val="20"/>
          <w:szCs w:val="20"/>
          <w:color w:val="auto"/>
        </w:rPr>
      </w:pPr>
      <w:r>
        <w:rPr>
          <w:rFonts w:ascii="Arial" w:cs="Arial" w:eastAsia="Arial" w:hAnsi="Arial"/>
          <w:sz w:val="12"/>
          <w:szCs w:val="12"/>
          <w:color w:val="auto"/>
        </w:rPr>
        <w:t>As used herein, a “U.S. Holder” refers to a beneficial holder of Class E shares that is, for U.S. federal income tax purposes: (1) an individual citizen or resident of the United States, (2) a corporation, or an entity treated as a corporation, organized or created in or under the laws of the United States or any political subdivision thereof, (3) an estate the income of which is subject to U.S. federal income taxation without regard to the source of its income, (4) a trust, if both (A) a court within the United States is able to exercise primary supervision over the administration of the trust and (B) one or more U.S. persons (as defined in the Code) have the authority to control all substantial decisions of the trust, or a trust that has made a valid election under U.S. Treasury Regulations to be treated as a domestic trust, and (5) any holder otherwise subject to U.S. federal income taxation on a net income basis with respect to Class E shares (including a non-resident alien individual or foreign corporation that holds, or is deemed to hold, any Class E share in connection with the conduct of a U.S. trade or business). If a partnership (including for this purpose any entity treated as a partnership for U.S. federal income tax purposes) is a beneficial owner of Class E shares, the U.S. federal income tax consequences to a partner in the partnership will generally depend on the status of the partner and the activities of the partnership. A holder of Class E shares that is a partnership and the partners in such partnership should consult their own tax advisors regarding the U.S. federal income tax consequences of the ownership and disposition of Class E shares.</w:t>
      </w:r>
    </w:p>
    <w:p>
      <w:pPr>
        <w:spacing w:after="0" w:line="126"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Taxation of Distributions</w:t>
      </w:r>
    </w:p>
    <w:p>
      <w:pPr>
        <w:spacing w:after="0" w:line="163" w:lineRule="exact"/>
        <w:rPr>
          <w:sz w:val="20"/>
          <w:szCs w:val="20"/>
          <w:color w:val="auto"/>
        </w:rPr>
      </w:pPr>
    </w:p>
    <w:p>
      <w:pPr>
        <w:jc w:val="both"/>
        <w:ind w:right="20"/>
        <w:spacing w:after="0" w:line="276" w:lineRule="auto"/>
        <w:rPr>
          <w:sz w:val="20"/>
          <w:szCs w:val="20"/>
          <w:color w:val="auto"/>
        </w:rPr>
      </w:pPr>
      <w:r>
        <w:rPr>
          <w:rFonts w:ascii="Arial" w:cs="Arial" w:eastAsia="Arial" w:hAnsi="Arial"/>
          <w:sz w:val="12"/>
          <w:szCs w:val="12"/>
          <w:color w:val="auto"/>
        </w:rPr>
        <w:t>Subject to the “Passive Foreign Investment Company Status” discussion below, to the extent paid out of current or accumulated earnings and profits of the Bank as determined under U.S. federal income tax principles (“earnings and profits”), distributions made with respect to Class E shares (other than certain pro rata distributions of capital stock of the Bank or rights to subscribe for shares of capital stock of the Bank) will be includable in income of a U.S. Holder as ordinary dividend income in accordance with the U.S. Holder’s regular method of accounting for U.S. federal income tax purposes whether paid in cash or Class E shares. To the extent that a distribution exceeds the Bank’s earnings and profits, such distribution will be treated, first, as a nontaxable return of capital to the extent of the U.S. Holder’s tax basis in the Class E shares and will reduce the U.S. Holder’s tax basis in such shares, and thereafter as a capital gain from the sale or disposition of Class E shares. See Item 10, “Additional Information–Taxation–United States Taxes–Taxation of Capital Gains.” The amount of the distribution will equal the gross amount of the distribution received by the U.S. Holder, including any Panamanian taxes withheld from such distribution.</w:t>
      </w:r>
    </w:p>
    <w:p>
      <w:pPr>
        <w:spacing w:after="0" w:line="274"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105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3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107" w:name="page108"/>
    <w:bookmarkEnd w:id="107"/>
    <w:p>
      <w:pPr>
        <w:jc w:val="both"/>
        <w:ind w:left="3"/>
        <w:spacing w:after="0" w:line="300" w:lineRule="auto"/>
        <w:rPr>
          <w:sz w:val="20"/>
          <w:szCs w:val="20"/>
          <w:color w:val="auto"/>
        </w:rPr>
      </w:pPr>
      <w:r>
        <w:rPr>
          <w:rFonts w:ascii="Arial" w:cs="Arial" w:eastAsia="Arial" w:hAnsi="Arial"/>
          <w:sz w:val="11"/>
          <w:szCs w:val="11"/>
          <w:color w:val="auto"/>
        </w:rPr>
        <w:t>Distributions made with respect to Class E shares out of earnings and profits generally will be treated as dividend income from sources outside the United States. U.S. Holders that are corporations will not be entitled to the “dividends received deduction” under Section 243 of the Code with respect to such dividends. Dividends may be eligible for special rates applicable to “qualified dividend income” received by an individual, provided, that:</w:t>
      </w:r>
    </w:p>
    <w:p>
      <w:pPr>
        <w:jc w:val="both"/>
        <w:ind w:left="3" w:hanging="3"/>
        <w:spacing w:after="0" w:line="249" w:lineRule="auto"/>
        <w:tabs>
          <w:tab w:leader="none" w:pos="193" w:val="left"/>
        </w:tabs>
        <w:numPr>
          <w:ilvl w:val="0"/>
          <w:numId w:val="79"/>
        </w:numPr>
        <w:rPr>
          <w:rFonts w:ascii="Arial" w:cs="Arial" w:eastAsia="Arial" w:hAnsi="Arial"/>
          <w:sz w:val="13"/>
          <w:szCs w:val="13"/>
          <w:color w:val="auto"/>
        </w:rPr>
      </w:pPr>
      <w:r>
        <w:rPr>
          <w:rFonts w:ascii="Arial" w:cs="Arial" w:eastAsia="Arial" w:hAnsi="Arial"/>
          <w:sz w:val="13"/>
          <w:szCs w:val="13"/>
          <w:color w:val="auto"/>
        </w:rPr>
        <w:t>the Bank is not a “Passive Foreign Investment Company” (“PFIC”) in the year in which the dividend is paid nor in the immediately preceding year, (2) the class of stock with respect to which the dividend is paid is readily tradable on an established securities market in the United States, and (3) the U.S. Holder held his shares for more than 60 days during the 121-day period beginning 60 days prior to the ex-dividend date and meets other holding period requirements. Subject to certain conditions and limitations, Panamanian tax withheld from dividends will be treated as a foreign income tax eligible for deduction from taxable income or as a credit against a U.S. Holder’s U.S. federal income tax liability. Distributions of dividend income made with respect to Class E shares generally will be treated as “passive” income or, in the case of certain U.S. Holders, “general category income,” for purposes of computing a U.S. Holder’s U.S. foreign tax credit.</w:t>
      </w:r>
    </w:p>
    <w:p>
      <w:pPr>
        <w:spacing w:after="0" w:line="140" w:lineRule="exact"/>
        <w:rPr>
          <w:sz w:val="20"/>
          <w:szCs w:val="20"/>
          <w:color w:val="auto"/>
        </w:rPr>
      </w:pPr>
    </w:p>
    <w:p>
      <w:pPr>
        <w:jc w:val="both"/>
        <w:ind w:left="3" w:right="20"/>
        <w:spacing w:after="0" w:line="254" w:lineRule="auto"/>
        <w:rPr>
          <w:sz w:val="20"/>
          <w:szCs w:val="20"/>
          <w:color w:val="auto"/>
        </w:rPr>
      </w:pPr>
      <w:r>
        <w:rPr>
          <w:rFonts w:ascii="Arial" w:cs="Arial" w:eastAsia="Arial" w:hAnsi="Arial"/>
          <w:sz w:val="13"/>
          <w:szCs w:val="13"/>
          <w:color w:val="auto"/>
        </w:rPr>
        <w:t>A holder of Class E shares that is not a U.S. Holder (“non-U.S. Holder”) generally will not be subject to U.S. federal income tax or withholding tax on distributions received on Class E shares that are treated as dividend income for U.S. federal income tax purposes. Special rules may apply in the case of non-U.S. Holders that are (1) engaged in a U.S. trade or business, or (2) former citizens or long-term residents of the United States, “controlled foreign corporations,” corporations that accumulate earnings to avoid U.S. federal income tax, or certain foreign charitable organizations, each within the meaning of the Code. Such persons should consult their own tax advisors as to the U.S. federal income or other tax consequences of the ownership and disposition of Class E shares.</w:t>
      </w:r>
    </w:p>
    <w:p>
      <w:pPr>
        <w:spacing w:after="0" w:line="133"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Taxation of Capital Gains</w:t>
      </w:r>
    </w:p>
    <w:p>
      <w:pPr>
        <w:spacing w:after="0" w:line="163" w:lineRule="exact"/>
        <w:rPr>
          <w:sz w:val="20"/>
          <w:szCs w:val="20"/>
          <w:color w:val="auto"/>
        </w:rPr>
      </w:pPr>
    </w:p>
    <w:p>
      <w:pPr>
        <w:jc w:val="both"/>
        <w:ind w:left="3"/>
        <w:spacing w:after="0" w:line="273" w:lineRule="auto"/>
        <w:rPr>
          <w:sz w:val="20"/>
          <w:szCs w:val="20"/>
          <w:color w:val="auto"/>
        </w:rPr>
      </w:pPr>
      <w:r>
        <w:rPr>
          <w:rFonts w:ascii="Arial" w:cs="Arial" w:eastAsia="Arial" w:hAnsi="Arial"/>
          <w:sz w:val="12"/>
          <w:szCs w:val="12"/>
          <w:color w:val="auto"/>
        </w:rPr>
        <w:t>Subject to the “Passive Foreign Investment Company Status” discussion below, gain or loss realized by a U.S. Holder on the sale or other disposition of Class E shares generally will be subject to U.S. federal income tax as capital gain or loss in an amount equal to the difference between the U.S. Holder’s tax basis in the Class E shares and the amount realized on the disposition. Such gain will be treated as long-term capital gain if the Class E shares are held by the U.S. Holder for more than one year at the time of the sale or other disposition. Otherwise, the gain will be treated as a short-term capital gain. Gain realized by a U.S. Holder on the sale or other disposition of Class E shares generally will be treated as U.S. source income for U.S. foreign tax credit purposes, unless the gain is attributable to an office or fixed place of business maintained by the U.S. Holder outside the United States or is recognized by an individual whose tax home is outside the United States, and certain other conditions are met. For U.S. federal income tax purposes, capital losses are subject to limitations on deductibility. As a general rule, U.S. Holders that are corporations can use capital losses for a taxable year only to offset capital gains in that year. A corporation may be entitled to carry back unused capital losses to the three preceding tax years and to carry over losses to the five following tax years. In the case of non-corporate U.S. Holders, capital losses in a taxable year are deductible to the extent of any capital gains plus ordinary income of up to $3,000. Unused capital losses of non-corporate U.S. Holders may be carried over indefinitely.</w:t>
      </w:r>
    </w:p>
    <w:p>
      <w:pPr>
        <w:spacing w:after="0" w:line="130" w:lineRule="exact"/>
        <w:rPr>
          <w:sz w:val="20"/>
          <w:szCs w:val="20"/>
          <w:color w:val="auto"/>
        </w:rPr>
      </w:pPr>
    </w:p>
    <w:p>
      <w:pPr>
        <w:jc w:val="both"/>
        <w:ind w:left="3" w:right="20"/>
        <w:spacing w:after="0" w:line="281" w:lineRule="auto"/>
        <w:rPr>
          <w:sz w:val="20"/>
          <w:szCs w:val="20"/>
          <w:color w:val="auto"/>
        </w:rPr>
      </w:pPr>
      <w:r>
        <w:rPr>
          <w:rFonts w:ascii="Arial" w:cs="Arial" w:eastAsia="Arial" w:hAnsi="Arial"/>
          <w:sz w:val="12"/>
          <w:szCs w:val="12"/>
          <w:color w:val="auto"/>
        </w:rPr>
        <w:t>A non-U.S. Holder of Class E shares will generally not be subject to U.S. federal income tax or withholding tax on gain realized on the sale or other disposition of Class E shares. However, special rules may apply in the case of non-U.S. Holders that are: (1) engaged in a U.S. trade or business, (2) former citizens or long-term residents of the United States, “controlled foreign corporations,” corporations that accumulate earnings to avoid U.S. federal income tax, or certain foreign charitable organizations, each within the meaning of the Code, or (3) certain non-resident alien individuals who are present in the United States for 183 days or more during a taxable year. Such persons should consult their own tax advisors as to the United States or other tax consequences of the purchase, ownership and disposition of the Class E shares.</w:t>
      </w:r>
    </w:p>
    <w:p>
      <w:pPr>
        <w:spacing w:after="0" w:line="272"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106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9" w:right="199" w:bottom="1440" w:gutter="0" w:footer="0" w:header="0"/>
        </w:sectPr>
      </w:pPr>
    </w:p>
    <w:bookmarkStart w:id="108" w:name="page109"/>
    <w:bookmarkEnd w:id="108"/>
    <w:p>
      <w:pPr>
        <w:ind w:left="3"/>
        <w:spacing w:after="0"/>
        <w:rPr>
          <w:sz w:val="20"/>
          <w:szCs w:val="20"/>
          <w:color w:val="auto"/>
        </w:rPr>
      </w:pPr>
      <w:r>
        <w:rPr>
          <w:rFonts w:ascii="Arial" w:cs="Arial" w:eastAsia="Arial" w:hAnsi="Arial"/>
          <w:sz w:val="13"/>
          <w:szCs w:val="13"/>
          <w:b w:val="1"/>
          <w:bCs w:val="1"/>
          <w:color w:val="auto"/>
        </w:rPr>
        <w:t>Passive Foreign Investment Company Status</w:t>
      </w:r>
    </w:p>
    <w:p>
      <w:pPr>
        <w:spacing w:after="0" w:line="163" w:lineRule="exact"/>
        <w:rPr>
          <w:sz w:val="20"/>
          <w:szCs w:val="20"/>
          <w:color w:val="auto"/>
        </w:rPr>
      </w:pPr>
    </w:p>
    <w:p>
      <w:pPr>
        <w:jc w:val="both"/>
        <w:ind w:left="3"/>
        <w:spacing w:after="0" w:line="303" w:lineRule="auto"/>
        <w:rPr>
          <w:sz w:val="20"/>
          <w:szCs w:val="20"/>
          <w:color w:val="auto"/>
        </w:rPr>
      </w:pPr>
      <w:r>
        <w:rPr>
          <w:rFonts w:ascii="Arial" w:cs="Arial" w:eastAsia="Arial" w:hAnsi="Arial"/>
          <w:sz w:val="11"/>
          <w:szCs w:val="11"/>
          <w:color w:val="auto"/>
        </w:rPr>
        <w:t>Under the Code, certain rules apply to an entity classified as a PFIC. A PFIC is defined as any foreign (i.e., non-U.S.) corporation if either: (1) 75% or more of its gross income for the taxable year is passive income (generally including, among other types of income, dividends, interest and gains from the sale of stock and securities) or (2) 50% or more of its assets (by value) produce, or are held for the production of, passive income. The application of the PFIC rules to banks is not entirely clear under present U.S. federal income tax law. Banks generally derive a substantial part of their income from assets that are interest bearing or that otherwise could be considered passive under the PFIC rules. The Internal Revenue Service (“IRS”) issued a notice in 1989 (the “Notice”), and has proposed regulations (the “Proposed Regulations”), that exclude from passive income any income derived in the active conduct of a banking business by a qualifying foreign bank, or the “active bank exception.” In addition, under separate statutory provisions of the Code certain “qualified” banking income is excluded from the definition of passive income for purposes of the PFIC rules. The Notice, the Proposed Regulations and the exclusion for qualified banking income all have different requirements for qualifying as an active foreign bank, and for determining the banking income that may be excluded from passive income. Moreover, the Proposed Regulations have been outstanding since 1994 and will not be effective unless finalized.</w:t>
      </w:r>
    </w:p>
    <w:p>
      <w:pPr>
        <w:spacing w:after="0" w:line="114" w:lineRule="exact"/>
        <w:rPr>
          <w:sz w:val="20"/>
          <w:szCs w:val="20"/>
          <w:color w:val="auto"/>
        </w:rPr>
      </w:pPr>
    </w:p>
    <w:p>
      <w:pPr>
        <w:jc w:val="both"/>
        <w:ind w:left="3" w:right="20"/>
        <w:spacing w:after="0" w:line="254" w:lineRule="auto"/>
        <w:rPr>
          <w:sz w:val="20"/>
          <w:szCs w:val="20"/>
          <w:color w:val="auto"/>
        </w:rPr>
      </w:pPr>
      <w:r>
        <w:rPr>
          <w:rFonts w:ascii="Arial" w:cs="Arial" w:eastAsia="Arial" w:hAnsi="Arial"/>
          <w:sz w:val="13"/>
          <w:szCs w:val="13"/>
          <w:color w:val="auto"/>
        </w:rPr>
        <w:t>While the Bank conducts, and intends to continue to conduct, a significant banking business, there can be no assurance that the Bank will satisfy the specific requirements for the active bank exception under the Notice, the Proposed Regulations or the exclusion for qualified banking income. Based on estimates of the Bank’s current and projected gross income and gross assets, the Bank does not believe that it will be classified as a PFIC for the Bank’s current or future taxable years. The determination of whether the Bank is a PFIC, however, is made annually and is based upon the composition of the Bank’s income and assets (including income and assets of entities in which we hold at least a 25% interest), and the nature of the Bank’s activities.</w:t>
      </w:r>
    </w:p>
    <w:p>
      <w:pPr>
        <w:spacing w:after="0" w:line="137" w:lineRule="exact"/>
        <w:rPr>
          <w:sz w:val="20"/>
          <w:szCs w:val="20"/>
          <w:color w:val="auto"/>
        </w:rPr>
      </w:pPr>
    </w:p>
    <w:p>
      <w:pPr>
        <w:jc w:val="both"/>
        <w:ind w:left="3"/>
        <w:spacing w:after="0" w:line="257" w:lineRule="auto"/>
        <w:rPr>
          <w:sz w:val="20"/>
          <w:szCs w:val="20"/>
          <w:color w:val="auto"/>
        </w:rPr>
      </w:pPr>
      <w:r>
        <w:rPr>
          <w:rFonts w:ascii="Arial" w:cs="Arial" w:eastAsia="Arial" w:hAnsi="Arial"/>
          <w:sz w:val="13"/>
          <w:szCs w:val="13"/>
          <w:color w:val="auto"/>
        </w:rPr>
        <w:t>Because final regulations have not been issued and because the Notice and the Proposed Regulations are inconsistent, the Bank’s status under the PFIC rules is subject to uncertainty. While the Bank conducts, and intends to continue to conduct, a significant banking business, there can be no assurance that it will satisfy the specific requirements under the Notice, the Proposed Regulations or the exclusion for qualified banking income. Accordingly, U.S. Holders could be subject to U.S. federal income tax under the rules described below.</w:t>
      </w:r>
    </w:p>
    <w:p>
      <w:pPr>
        <w:spacing w:after="0" w:line="136" w:lineRule="exact"/>
        <w:rPr>
          <w:sz w:val="20"/>
          <w:szCs w:val="20"/>
          <w:color w:val="auto"/>
        </w:rPr>
      </w:pPr>
    </w:p>
    <w:p>
      <w:pPr>
        <w:jc w:val="both"/>
        <w:ind w:left="3" w:right="20"/>
        <w:spacing w:after="0" w:line="296" w:lineRule="auto"/>
        <w:rPr>
          <w:sz w:val="20"/>
          <w:szCs w:val="20"/>
          <w:color w:val="auto"/>
        </w:rPr>
      </w:pPr>
      <w:r>
        <w:rPr>
          <w:rFonts w:ascii="Arial" w:cs="Arial" w:eastAsia="Arial" w:hAnsi="Arial"/>
          <w:sz w:val="11"/>
          <w:szCs w:val="11"/>
          <w:color w:val="auto"/>
        </w:rPr>
        <w:t>If the Bank were to become a PFIC for purposes of the Code, unless a U.S. Holder makes one of the elections described below, a U.S. Holder generally will be subject to a special tax charge with respect to: (a) any gain realized on the sale or other disposition of Class E shares, and (b) any “excess distribution” by the Bank to the U.S. Holder (generally, any distributions, including return of capital distributions, received by the U.S. Holder on the Class E shares in a taxable year that are greater than 125% of the average annual distributions received by the U.S. Holder in the three preceding taxable years, or, if shorter, the U.S. Holder’s holding period). Under these rules: (1) the gain or excess distribution would be allocated ratably over the U.S. Holder’s holding period for the Class E shares, (2) the amount allocated to the current taxable year would be treated as ordinary income,</w:t>
      </w:r>
    </w:p>
    <w:p>
      <w:pPr>
        <w:jc w:val="both"/>
        <w:ind w:left="3" w:right="20" w:hanging="3"/>
        <w:spacing w:after="0" w:line="250" w:lineRule="auto"/>
        <w:tabs>
          <w:tab w:leader="none" w:pos="194" w:val="left"/>
        </w:tabs>
        <w:numPr>
          <w:ilvl w:val="0"/>
          <w:numId w:val="80"/>
        </w:numPr>
        <w:rPr>
          <w:rFonts w:ascii="Arial" w:cs="Arial" w:eastAsia="Arial" w:hAnsi="Arial"/>
          <w:sz w:val="13"/>
          <w:szCs w:val="13"/>
          <w:color w:val="auto"/>
        </w:rPr>
      </w:pPr>
      <w:r>
        <w:rPr>
          <w:rFonts w:ascii="Arial" w:cs="Arial" w:eastAsia="Arial" w:hAnsi="Arial"/>
          <w:sz w:val="13"/>
          <w:szCs w:val="13"/>
          <w:color w:val="auto"/>
        </w:rPr>
        <w:t>the amount allocated to each prior taxable year generally would be subject to tax at the highest rate in effect for that year, and (4) an interest charge at the rate generally applicable to underpayments of tax would be imposed with respect to the resulting tax attributable to each such prior taxable year. For purposes of the foregoing rules, a U.S. Holder of Class E shares that uses such stock as security for a loan will be treated as having disposed of such stock.</w:t>
      </w:r>
    </w:p>
    <w:p>
      <w:pPr>
        <w:spacing w:after="0" w:line="141" w:lineRule="exact"/>
        <w:rPr>
          <w:sz w:val="20"/>
          <w:szCs w:val="20"/>
          <w:color w:val="auto"/>
        </w:rPr>
      </w:pPr>
    </w:p>
    <w:p>
      <w:pPr>
        <w:jc w:val="both"/>
        <w:ind w:left="3" w:right="20"/>
        <w:spacing w:after="0" w:line="257" w:lineRule="auto"/>
        <w:rPr>
          <w:sz w:val="20"/>
          <w:szCs w:val="20"/>
          <w:color w:val="auto"/>
        </w:rPr>
      </w:pPr>
      <w:r>
        <w:rPr>
          <w:rFonts w:ascii="Arial" w:cs="Arial" w:eastAsia="Arial" w:hAnsi="Arial"/>
          <w:sz w:val="13"/>
          <w:szCs w:val="13"/>
          <w:color w:val="auto"/>
        </w:rPr>
        <w:t>If the Bank were to be classified as a PFIC, U.S. Holders of interests in a non-U.S. Holder of Class E shares may be treated as indirect holders of their proportionate share of the Class E shares and may be taxed on their proportionate share of any excess distributions or gain attributable to the Class E shares. An indirect holder also must treat an appropriate portion of its gain on the sale or disposition of its interest in the actual holder as gain on the sale of Class E shares.</w:t>
      </w:r>
    </w:p>
    <w:p>
      <w:pPr>
        <w:spacing w:after="0" w:line="284"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107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109" w:name="page110"/>
    <w:bookmarkEnd w:id="109"/>
    <w:p>
      <w:pPr>
        <w:jc w:val="both"/>
        <w:spacing w:after="0" w:line="281" w:lineRule="auto"/>
        <w:rPr>
          <w:sz w:val="20"/>
          <w:szCs w:val="20"/>
          <w:color w:val="auto"/>
        </w:rPr>
      </w:pPr>
      <w:r>
        <w:rPr>
          <w:rFonts w:ascii="Arial" w:cs="Arial" w:eastAsia="Arial" w:hAnsi="Arial"/>
          <w:sz w:val="12"/>
          <w:szCs w:val="12"/>
          <w:color w:val="auto"/>
        </w:rPr>
        <w:t>If the Bank were to become a PFIC, a U.S. Holder could make an election, provided the Bank complies with certain reporting requirements, to have the Bank treated, with respect to such U.S. Holder, as a “qualified electing fund”, hereinafter referred to as a QEF election, in which case, the electing U.S. Holder would be required to include annually in gross income the U.S. Holder’s proportionate share of the Bank’s ordinary earnings and net capital gains, whether or not such amounts are actually distributed. If the Bank were to become a PFIC, the Bank intends to make reasonable best efforts to so notify each U.S. Holder and to comply with all reporting requirements necessary for a U.S. Holder to make a QEF election and will provide to record U.S. Holders of Class E shares such information as may be required to make such QEF election.</w:t>
      </w:r>
    </w:p>
    <w:p>
      <w:pPr>
        <w:spacing w:after="0" w:line="124" w:lineRule="exact"/>
        <w:rPr>
          <w:sz w:val="20"/>
          <w:szCs w:val="20"/>
          <w:color w:val="auto"/>
        </w:rPr>
      </w:pPr>
    </w:p>
    <w:p>
      <w:pPr>
        <w:jc w:val="both"/>
        <w:ind w:right="20"/>
        <w:spacing w:after="0" w:line="310" w:lineRule="auto"/>
        <w:rPr>
          <w:sz w:val="20"/>
          <w:szCs w:val="20"/>
          <w:color w:val="auto"/>
        </w:rPr>
      </w:pPr>
      <w:r>
        <w:rPr>
          <w:rFonts w:ascii="Arial" w:cs="Arial" w:eastAsia="Arial" w:hAnsi="Arial"/>
          <w:sz w:val="12"/>
          <w:szCs w:val="12"/>
          <w:color w:val="auto"/>
        </w:rPr>
        <w:t>If the Bank were to become a PFIC in any year, a U.S. Holder that beneficially owns Class E shares during such year must make an annual return on IRS Form 8621, which describes the income received (or deemed to be received if a QEF election is in effect) from the Bank. The Bank will, if applicable, provide all information necessary for a U.S. Holder of record to make an annual return on IRS Form 8621.</w:t>
      </w:r>
    </w:p>
    <w:p>
      <w:pPr>
        <w:spacing w:after="0" w:line="106" w:lineRule="exact"/>
        <w:rPr>
          <w:sz w:val="20"/>
          <w:szCs w:val="20"/>
          <w:color w:val="auto"/>
        </w:rPr>
      </w:pPr>
    </w:p>
    <w:p>
      <w:pPr>
        <w:jc w:val="both"/>
        <w:ind w:right="20"/>
        <w:spacing w:after="0" w:line="289" w:lineRule="auto"/>
        <w:rPr>
          <w:sz w:val="20"/>
          <w:szCs w:val="20"/>
          <w:color w:val="auto"/>
        </w:rPr>
      </w:pPr>
      <w:r>
        <w:rPr>
          <w:rFonts w:ascii="Arial" w:cs="Arial" w:eastAsia="Arial" w:hAnsi="Arial"/>
          <w:sz w:val="12"/>
          <w:szCs w:val="12"/>
          <w:color w:val="auto"/>
        </w:rPr>
        <w:t>A U.S. Holder that owns certain “marketable stock” in a PFIC may elect to mark-to-market such stock and, subject to certain exceptions, include in income any gain (increases in market value) or loss (decreases in market value to the extent of prior gains recognized) realized annually as ordinary income or loss to avoid the adverse consequences described above. U.S. Holders of Class E shares are urged to consult their own tax advisors as to the consequences of owning stock in a PFIC and whether such U.S. Holder would be eligible to make either of the aforementioned elections to mitigate the adverse effects of such consequences.</w:t>
      </w:r>
    </w:p>
    <w:p>
      <w:pPr>
        <w:spacing w:after="0" w:line="114"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Information Reporting and Backup Withholding</w:t>
      </w:r>
    </w:p>
    <w:p>
      <w:pPr>
        <w:spacing w:after="0" w:line="163" w:lineRule="exact"/>
        <w:rPr>
          <w:sz w:val="20"/>
          <w:szCs w:val="20"/>
          <w:color w:val="auto"/>
        </w:rPr>
      </w:pPr>
    </w:p>
    <w:p>
      <w:pPr>
        <w:jc w:val="both"/>
        <w:spacing w:after="0" w:line="273" w:lineRule="auto"/>
        <w:rPr>
          <w:sz w:val="20"/>
          <w:szCs w:val="20"/>
          <w:color w:val="auto"/>
        </w:rPr>
      </w:pPr>
      <w:r>
        <w:rPr>
          <w:rFonts w:ascii="Arial" w:cs="Arial" w:eastAsia="Arial" w:hAnsi="Arial"/>
          <w:sz w:val="12"/>
          <w:szCs w:val="12"/>
          <w:color w:val="auto"/>
        </w:rPr>
        <w:t>The Bank and any U.S. payor making payments in respect of Class E shares will generally be required to provide the IRS with information concerning certain payments made on Class E shares, including the name, address and taxpayer identification number of the beneficial owner of Class E shares, and the aggregate amount of dividends paid to such beneficial owner during the calendar year. Under the backup withholding rules, a holder may be subject to backup withholding at a current rate of 24% with respect to proceeds received on the sale or exchange of Class E shares within the United States and to dividends paid, unless such holder: (1) is a corporation or comes within certain other exempt categories (including non-U.S. Holders, securities broker-dealers, other financial institutions, tax-exempt organizations, qualified pension and profit sharing trusts and individual retirement accounts), and, when required, demonstrates this fact or (2) provides a taxpayer identification number, certifies as to no loss of exemption and otherwise complies with the applicable requirements of the backup withholding rules. Non-U.S. Holders generally are exempt from information reporting and backup withholding, but may be required to provide a properly completed IRS Form W-8BEN or W-8BEN-E (or other similar form) or otherwise comply with applicable certification and identification procedures in order to prove their exemption. Backup withholding is not an additional tax and any amounts withheld from a payment to a holder of Class E shares will be refunded (or credited against such holder’s U.S. federal income tax liability, if any) provided that the required information is timely furnished to the IRS.</w:t>
      </w:r>
    </w:p>
    <w:p>
      <w:pPr>
        <w:spacing w:after="0" w:line="130" w:lineRule="exact"/>
        <w:rPr>
          <w:sz w:val="20"/>
          <w:szCs w:val="20"/>
          <w:color w:val="auto"/>
        </w:rPr>
      </w:pPr>
    </w:p>
    <w:p>
      <w:pPr>
        <w:spacing w:after="0"/>
        <w:rPr>
          <w:sz w:val="20"/>
          <w:szCs w:val="20"/>
          <w:color w:val="auto"/>
        </w:rPr>
      </w:pPr>
      <w:r>
        <w:rPr>
          <w:rFonts w:ascii="Arial" w:cs="Arial" w:eastAsia="Arial" w:hAnsi="Arial"/>
          <w:sz w:val="13"/>
          <w:szCs w:val="13"/>
          <w:color w:val="auto"/>
        </w:rPr>
        <w:t>There is no income tax treaty between Panama and the United States.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3.8% Medicare Tax On “Net Investment Income”</w:t>
      </w:r>
    </w:p>
    <w:p>
      <w:pPr>
        <w:spacing w:after="0" w:line="159" w:lineRule="exact"/>
        <w:rPr>
          <w:sz w:val="20"/>
          <w:szCs w:val="20"/>
          <w:color w:val="auto"/>
        </w:rPr>
      </w:pPr>
    </w:p>
    <w:p>
      <w:pPr>
        <w:spacing w:after="0"/>
        <w:rPr>
          <w:sz w:val="20"/>
          <w:szCs w:val="20"/>
          <w:color w:val="auto"/>
        </w:rPr>
      </w:pPr>
      <w:r>
        <w:rPr>
          <w:rFonts w:ascii="Arial" w:cs="Arial" w:eastAsia="Arial" w:hAnsi="Arial"/>
          <w:sz w:val="12"/>
          <w:szCs w:val="12"/>
          <w:color w:val="auto"/>
        </w:rPr>
        <w:t>Certain U.S. Holders who are individuals, estates or trusts may be required to pay an additional 3.8% tax on, among other things, dividends and capital gains from the sale or other disposition of Class E shares.</w:t>
      </w:r>
    </w:p>
    <w:p>
      <w:pPr>
        <w:spacing w:after="0" w:line="170"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Foreign Asset Reporting</w:t>
      </w:r>
    </w:p>
    <w:p>
      <w:pPr>
        <w:spacing w:after="0" w:line="15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Certain U.S. Holders who are individuals are required to report information relating to an interest in the Bank’s Class E shares, subject to certain exceptions (including an exception for Class E shares held in custodial accounts maintained by United States financial institutions) by filing IRS Form 8938 with their annual U.S. federal income tax return. U.S. Holders are urged to consult their tax advisors regarding their information reporting obligations with respect to their ownership and disposition of the Class E shares.</w:t>
      </w:r>
    </w:p>
    <w:p>
      <w:pPr>
        <w:spacing w:after="0" w:line="136"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above description is not intended to constitute a complete analysis of all tax consequences relating to the acquisition, ownership and disposition of the Class E shares. Prospective purchasers should consult their own tax advisors to determine the tax consequences of their particular situations.</w:t>
      </w:r>
    </w:p>
    <w:p>
      <w:pPr>
        <w:spacing w:after="0" w:line="278"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108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110" w:name="page111"/>
    <w:bookmarkEnd w:id="110"/>
    <w:p>
      <w:pPr>
        <w:ind w:left="3"/>
        <w:spacing w:after="0"/>
        <w:rPr>
          <w:sz w:val="20"/>
          <w:szCs w:val="20"/>
          <w:color w:val="auto"/>
        </w:rPr>
      </w:pPr>
      <w:r>
        <w:rPr>
          <w:rFonts w:ascii="Arial" w:cs="Arial" w:eastAsia="Arial" w:hAnsi="Arial"/>
          <w:sz w:val="13"/>
          <w:szCs w:val="13"/>
          <w:b w:val="1"/>
          <w:bCs w:val="1"/>
          <w:i w:val="1"/>
          <w:iCs w:val="1"/>
          <w:color w:val="auto"/>
        </w:rPr>
        <w:t>Panamanian Taxes</w:t>
      </w:r>
    </w:p>
    <w:p>
      <w:pPr>
        <w:spacing w:after="0" w:line="159"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The following is a summary of the principal Panamanian tax consequences arising in connection with the ownership and disposition of the Bank’s Class E shares. This summary is based upon the laws and regulations of Panama, as well as court precedents and interpretative rulings, in effect as of the date of this Annual Report, all of which are subject to prospective and retroactive change.</w:t>
      </w:r>
    </w:p>
    <w:p>
      <w:pPr>
        <w:spacing w:after="0" w:line="129"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General Principle</w:t>
      </w:r>
    </w:p>
    <w:p>
      <w:pPr>
        <w:spacing w:after="0" w:line="159" w:lineRule="exact"/>
        <w:rPr>
          <w:sz w:val="20"/>
          <w:szCs w:val="20"/>
          <w:color w:val="auto"/>
        </w:rPr>
      </w:pPr>
    </w:p>
    <w:p>
      <w:pPr>
        <w:jc w:val="both"/>
        <w:ind w:left="3" w:right="20"/>
        <w:spacing w:after="0" w:line="257" w:lineRule="auto"/>
        <w:rPr>
          <w:sz w:val="20"/>
          <w:szCs w:val="20"/>
          <w:color w:val="auto"/>
        </w:rPr>
      </w:pPr>
      <w:r>
        <w:rPr>
          <w:rFonts w:ascii="Arial" w:cs="Arial" w:eastAsia="Arial" w:hAnsi="Arial"/>
          <w:sz w:val="13"/>
          <w:szCs w:val="13"/>
          <w:color w:val="auto"/>
        </w:rPr>
        <w:t>The Bank is exempt from income tax in Panama under a special exemption granted to the Bank pursuant to Contract Law 103-78 of July 25, 1978 between Panama and Bladex. In addition, under general rules of income tax in Panama, only income that is deemed to be Panamanian source income is subject to taxation in Panama. Accordingly, since the Bank’s income is derived primarily from sources outside of Panama and is not deemed to be Panamanian source income, even in the absence of the special exemption, the Bank would have limited income tax liability in Panama.</w:t>
      </w:r>
    </w:p>
    <w:p>
      <w:pPr>
        <w:spacing w:after="0" w:line="136"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Taxation of Distributions</w:t>
      </w:r>
    </w:p>
    <w:p>
      <w:pPr>
        <w:spacing w:after="0" w:line="159" w:lineRule="exact"/>
        <w:rPr>
          <w:sz w:val="20"/>
          <w:szCs w:val="20"/>
          <w:color w:val="auto"/>
        </w:rPr>
      </w:pPr>
    </w:p>
    <w:p>
      <w:pPr>
        <w:jc w:val="both"/>
        <w:ind w:left="3" w:right="20"/>
        <w:spacing w:after="0" w:line="257" w:lineRule="auto"/>
        <w:rPr>
          <w:sz w:val="20"/>
          <w:szCs w:val="20"/>
          <w:color w:val="auto"/>
        </w:rPr>
      </w:pPr>
      <w:r>
        <w:rPr>
          <w:rFonts w:ascii="Arial" w:cs="Arial" w:eastAsia="Arial" w:hAnsi="Arial"/>
          <w:sz w:val="13"/>
          <w:szCs w:val="13"/>
          <w:color w:val="auto"/>
        </w:rPr>
        <w:t>Dividends, whether cash or in kind, paid by the Bank in respect of its shares are also exempt from dividend tax or other withholding under the special exemption described above. In the absence of this special exemption, there would be a 10% withholding tax on dividends or distributions paid in respect of the Bank’s registered shares to the extent the dividends were paid from income derived by the Bank from Panamanian sources, and a 5% withholding tax on dividends or distributions paid from income derived by the Bank from non-Panamanian sources.</w:t>
      </w:r>
    </w:p>
    <w:p>
      <w:pPr>
        <w:spacing w:after="0" w:line="136"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Taxation of Capital Gains</w:t>
      </w:r>
    </w:p>
    <w:p>
      <w:pPr>
        <w:spacing w:after="0" w:line="159"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Since the Class E shares are listed on the NYSE, any capital gains realized by an individual or a corporation, regardless of its nationality or residency, on the sale or other disposition of such shares on the NYSE would be exempted from capital gains taxes in Panama.</w:t>
      </w:r>
    </w:p>
    <w:p>
      <w:pPr>
        <w:spacing w:after="0" w:line="125" w:lineRule="exact"/>
        <w:rPr>
          <w:sz w:val="20"/>
          <w:szCs w:val="20"/>
          <w:color w:val="auto"/>
        </w:rPr>
      </w:pPr>
    </w:p>
    <w:p>
      <w:pPr>
        <w:ind w:left="463" w:right="9200" w:hanging="463"/>
        <w:spacing w:after="0" w:line="584" w:lineRule="auto"/>
        <w:tabs>
          <w:tab w:leader="none" w:pos="463" w:val="left"/>
        </w:tabs>
        <w:numPr>
          <w:ilvl w:val="0"/>
          <w:numId w:val="81"/>
        </w:numPr>
        <w:rPr>
          <w:rFonts w:ascii="Arial" w:cs="Arial" w:eastAsia="Arial" w:hAnsi="Arial"/>
          <w:sz w:val="11"/>
          <w:szCs w:val="11"/>
          <w:b w:val="1"/>
          <w:bCs w:val="1"/>
          <w:color w:val="auto"/>
        </w:rPr>
      </w:pPr>
      <w:r>
        <w:rPr>
          <w:rFonts w:ascii="Arial" w:cs="Arial" w:eastAsia="Arial" w:hAnsi="Arial"/>
          <w:sz w:val="11"/>
          <w:szCs w:val="11"/>
          <w:b w:val="1"/>
          <w:bCs w:val="1"/>
          <w:color w:val="auto"/>
        </w:rPr>
        <w:t xml:space="preserve">Dividends and Paying Agents </w:t>
      </w:r>
      <w:r>
        <w:rPr>
          <w:rFonts w:ascii="Arial" w:cs="Arial" w:eastAsia="Arial" w:hAnsi="Arial"/>
          <w:sz w:val="11"/>
          <w:szCs w:val="11"/>
          <w:color w:val="auto"/>
        </w:rPr>
        <w:t>Not required in this Annual Report.</w:t>
      </w:r>
    </w:p>
    <w:p>
      <w:pPr>
        <w:ind w:left="463" w:hanging="463"/>
        <w:spacing w:after="0"/>
        <w:tabs>
          <w:tab w:leader="none" w:pos="463" w:val="left"/>
        </w:tabs>
        <w:numPr>
          <w:ilvl w:val="0"/>
          <w:numId w:val="81"/>
        </w:numPr>
        <w:rPr>
          <w:rFonts w:ascii="Arial" w:cs="Arial" w:eastAsia="Arial" w:hAnsi="Arial"/>
          <w:sz w:val="13"/>
          <w:szCs w:val="13"/>
          <w:b w:val="1"/>
          <w:bCs w:val="1"/>
          <w:color w:val="auto"/>
        </w:rPr>
      </w:pPr>
      <w:r>
        <w:rPr>
          <w:rFonts w:ascii="Arial" w:cs="Arial" w:eastAsia="Arial" w:hAnsi="Arial"/>
          <w:sz w:val="13"/>
          <w:szCs w:val="13"/>
          <w:b w:val="1"/>
          <w:bCs w:val="1"/>
          <w:color w:val="auto"/>
        </w:rPr>
        <w:t>Statement by Experts</w:t>
      </w:r>
    </w:p>
    <w:p>
      <w:pPr>
        <w:spacing w:after="0" w:line="162" w:lineRule="exact"/>
        <w:rPr>
          <w:rFonts w:ascii="Arial" w:cs="Arial" w:eastAsia="Arial" w:hAnsi="Arial"/>
          <w:sz w:val="13"/>
          <w:szCs w:val="13"/>
          <w:b w:val="1"/>
          <w:bCs w:val="1"/>
          <w:color w:val="auto"/>
        </w:rPr>
      </w:pPr>
    </w:p>
    <w:p>
      <w:pPr>
        <w:ind w:left="463"/>
        <w:spacing w:after="0"/>
        <w:rPr>
          <w:rFonts w:ascii="Arial" w:cs="Arial" w:eastAsia="Arial" w:hAnsi="Arial"/>
          <w:sz w:val="13"/>
          <w:szCs w:val="13"/>
          <w:b w:val="1"/>
          <w:bCs w:val="1"/>
          <w:color w:val="auto"/>
        </w:rPr>
      </w:pPr>
      <w:r>
        <w:rPr>
          <w:rFonts w:ascii="Arial" w:cs="Arial" w:eastAsia="Arial" w:hAnsi="Arial"/>
          <w:sz w:val="13"/>
          <w:szCs w:val="13"/>
          <w:color w:val="auto"/>
        </w:rPr>
        <w:t>Not required in this Annual Report.</w:t>
      </w:r>
    </w:p>
    <w:p>
      <w:pPr>
        <w:spacing w:after="0" w:line="154" w:lineRule="exact"/>
        <w:rPr>
          <w:rFonts w:ascii="Arial" w:cs="Arial" w:eastAsia="Arial" w:hAnsi="Arial"/>
          <w:sz w:val="13"/>
          <w:szCs w:val="13"/>
          <w:b w:val="1"/>
          <w:bCs w:val="1"/>
          <w:color w:val="auto"/>
        </w:rPr>
      </w:pPr>
    </w:p>
    <w:p>
      <w:pPr>
        <w:ind w:left="463" w:hanging="463"/>
        <w:spacing w:after="0"/>
        <w:tabs>
          <w:tab w:leader="none" w:pos="463" w:val="left"/>
        </w:tabs>
        <w:numPr>
          <w:ilvl w:val="0"/>
          <w:numId w:val="81"/>
        </w:numPr>
        <w:rPr>
          <w:rFonts w:ascii="Arial" w:cs="Arial" w:eastAsia="Arial" w:hAnsi="Arial"/>
          <w:sz w:val="13"/>
          <w:szCs w:val="13"/>
          <w:b w:val="1"/>
          <w:bCs w:val="1"/>
          <w:color w:val="auto"/>
        </w:rPr>
      </w:pPr>
      <w:r>
        <w:rPr>
          <w:rFonts w:ascii="Arial" w:cs="Arial" w:eastAsia="Arial" w:hAnsi="Arial"/>
          <w:sz w:val="13"/>
          <w:szCs w:val="13"/>
          <w:b w:val="1"/>
          <w:bCs w:val="1"/>
          <w:color w:val="auto"/>
        </w:rPr>
        <w:t>Documents on Display</w:t>
      </w:r>
    </w:p>
    <w:p>
      <w:pPr>
        <w:spacing w:after="0" w:line="163" w:lineRule="exact"/>
        <w:rPr>
          <w:sz w:val="20"/>
          <w:szCs w:val="20"/>
          <w:color w:val="auto"/>
        </w:rPr>
      </w:pPr>
    </w:p>
    <w:p>
      <w:pPr>
        <w:jc w:val="both"/>
        <w:ind w:left="3"/>
        <w:spacing w:after="0" w:line="252" w:lineRule="auto"/>
        <w:rPr>
          <w:sz w:val="20"/>
          <w:szCs w:val="20"/>
          <w:color w:val="auto"/>
        </w:rPr>
      </w:pPr>
      <w:r>
        <w:rPr>
          <w:rFonts w:ascii="Arial" w:cs="Arial" w:eastAsia="Arial" w:hAnsi="Arial"/>
          <w:sz w:val="13"/>
          <w:szCs w:val="13"/>
          <w:color w:val="auto"/>
        </w:rPr>
        <w:t xml:space="preserve">Upon written or oral request, the Bank will provide without charge to each person to whom this Annual Report is delivered, a copy of any or all of the documents listed as exhibits to this Annual Report (other than exhibits to those documents, unless the exhibits are specifically incorporated by reference in the documents). Written requests for copies should be directed to the attention of Mrs. Ana Graciela de Méndez, Chief Financial Officer, Bladex, as follows: (1) if by regular mail, to P.O. Box 0819-08730, Panama City, Republic of Panama, and (2) if by courier, to Torre V, Business Park, Avenida La Rotonda, Urb. Costa del Este, Panama City, Republic of Panama. Telephone requests may be directed to Mrs. de Méndez at +507 210-8563. Written requests may also be sent via e-mail to Mrs. de Méndez at </w:t>
      </w:r>
      <w:r>
        <w:rPr>
          <w:rFonts w:ascii="Arial" w:cs="Arial" w:eastAsia="Arial" w:hAnsi="Arial"/>
          <w:sz w:val="13"/>
          <w:szCs w:val="13"/>
          <w:u w:val="single" w:color="auto"/>
          <w:color w:val="auto"/>
        </w:rPr>
        <w:t>amendez@bladex.com</w:t>
      </w:r>
      <w:r>
        <w:rPr>
          <w:rFonts w:ascii="Arial" w:cs="Arial" w:eastAsia="Arial" w:hAnsi="Arial"/>
          <w:sz w:val="13"/>
          <w:szCs w:val="13"/>
          <w:color w:val="auto"/>
        </w:rPr>
        <w:t xml:space="preserve"> or ir@bladex.com. Information is also available on the Bank’s website at: http://www.bladex.com.</w:t>
      </w:r>
    </w:p>
    <w:p>
      <w:pPr>
        <w:spacing w:after="0" w:line="288"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109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3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9" w:right="199" w:bottom="1440" w:gutter="0" w:footer="0" w:header="0"/>
        </w:sectPr>
      </w:pPr>
    </w:p>
    <w:bookmarkStart w:id="111" w:name="page112"/>
    <w:bookmarkEnd w:id="111"/>
    <w:p>
      <w:pPr>
        <w:ind w:left="463" w:right="9720" w:hanging="463"/>
        <w:spacing w:after="0" w:line="584" w:lineRule="auto"/>
        <w:tabs>
          <w:tab w:leader="none" w:pos="463" w:val="left"/>
        </w:tabs>
        <w:numPr>
          <w:ilvl w:val="0"/>
          <w:numId w:val="82"/>
        </w:numPr>
        <w:rPr>
          <w:rFonts w:ascii="Arial" w:cs="Arial" w:eastAsia="Arial" w:hAnsi="Arial"/>
          <w:sz w:val="11"/>
          <w:szCs w:val="11"/>
          <w:b w:val="1"/>
          <w:bCs w:val="1"/>
          <w:color w:val="auto"/>
        </w:rPr>
      </w:pPr>
      <w:r>
        <w:rPr>
          <w:rFonts w:ascii="Arial" w:cs="Arial" w:eastAsia="Arial" w:hAnsi="Arial"/>
          <w:sz w:val="11"/>
          <w:szCs w:val="11"/>
          <w:b w:val="1"/>
          <w:bCs w:val="1"/>
          <w:color w:val="auto"/>
        </w:rPr>
        <w:t xml:space="preserve">Subsidiary Information </w:t>
      </w:r>
      <w:r>
        <w:rPr>
          <w:rFonts w:ascii="Arial" w:cs="Arial" w:eastAsia="Arial" w:hAnsi="Arial"/>
          <w:sz w:val="11"/>
          <w:szCs w:val="11"/>
          <w:color w:val="auto"/>
        </w:rPr>
        <w:t>Not applicable.</w:t>
      </w:r>
    </w:p>
    <w:p>
      <w:pPr>
        <w:ind w:left="3"/>
        <w:spacing w:after="0"/>
        <w:tabs>
          <w:tab w:leader="none" w:pos="903" w:val="left"/>
        </w:tabs>
        <w:rPr>
          <w:sz w:val="20"/>
          <w:szCs w:val="20"/>
          <w:color w:val="auto"/>
        </w:rPr>
      </w:pPr>
      <w:r>
        <w:rPr>
          <w:rFonts w:ascii="Arial" w:cs="Arial" w:eastAsia="Arial" w:hAnsi="Arial"/>
          <w:sz w:val="13"/>
          <w:szCs w:val="13"/>
          <w:b w:val="1"/>
          <w:bCs w:val="1"/>
          <w:color w:val="auto"/>
        </w:rPr>
        <w:t>Item 11.</w:t>
      </w:r>
      <w:r>
        <w:rPr>
          <w:sz w:val="20"/>
          <w:szCs w:val="20"/>
          <w:color w:val="auto"/>
        </w:rPr>
        <w:tab/>
      </w:r>
      <w:r>
        <w:rPr>
          <w:rFonts w:ascii="Arial" w:cs="Arial" w:eastAsia="Arial" w:hAnsi="Arial"/>
          <w:sz w:val="11"/>
          <w:szCs w:val="11"/>
          <w:b w:val="1"/>
          <w:bCs w:val="1"/>
          <w:color w:val="auto"/>
        </w:rPr>
        <w:t>Quantitative and Qualitative Disclosure About Market Risk</w:t>
      </w:r>
    </w:p>
    <w:p>
      <w:pPr>
        <w:spacing w:after="0" w:line="163" w:lineRule="exact"/>
        <w:rPr>
          <w:sz w:val="20"/>
          <w:szCs w:val="20"/>
          <w:color w:val="auto"/>
        </w:rPr>
      </w:pPr>
    </w:p>
    <w:p>
      <w:pPr>
        <w:jc w:val="both"/>
        <w:ind w:left="3" w:right="20"/>
        <w:spacing w:after="0" w:line="289" w:lineRule="auto"/>
        <w:rPr>
          <w:sz w:val="20"/>
          <w:szCs w:val="20"/>
          <w:color w:val="auto"/>
        </w:rPr>
      </w:pPr>
      <w:r>
        <w:rPr>
          <w:rFonts w:ascii="Arial" w:cs="Arial" w:eastAsia="Arial" w:hAnsi="Arial"/>
          <w:sz w:val="12"/>
          <w:szCs w:val="12"/>
          <w:color w:val="auto"/>
        </w:rPr>
        <w:t>The Bank’s risk management policies, as approved by the Board from time to time, are designed to identify and control the Bank’s credit and market risks by establishing and monitoring appropriate limits on the Bank’s credit and market exposures. Certain members of the Board constitute the Risk Policy and Assessment Committee and the Finance and Business Committee, which meet on a regular basis and monitor and control the risks in each specific area. At the management level, the Bank has a Risk Management Department that measures and controls overall risk management of the Bank (credit, operational and market risk).</w:t>
      </w:r>
    </w:p>
    <w:p>
      <w:pPr>
        <w:spacing w:after="0" w:line="118"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The Bank’s businesses are subject to market risk. The components of this market risk are interest rate risk inherent in the Bank’s financial position, foreign exchange risk, and the price risk in the Bank’s investment securities portfolio.</w:t>
      </w:r>
    </w:p>
    <w:p>
      <w:pPr>
        <w:spacing w:after="0" w:line="129"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Interest Rate Risk Management and Sensitivity</w:t>
      </w:r>
    </w:p>
    <w:p>
      <w:pPr>
        <w:spacing w:after="0" w:line="159"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The tables below list the notional amounts and weighted interest rates, as of December 31, 2018 and 2017, for derivative financial instruments and other financial instruments that are sensitive to changes in interest rates, including the Bank’s investment securities, loans, borrowings and placements, interest rate swaps, cross currency swaps and forward currency exchange agreements.</w:t>
      </w:r>
    </w:p>
    <w:p>
      <w:pPr>
        <w:spacing w:after="0" w:line="129" w:lineRule="exact"/>
        <w:rPr>
          <w:sz w:val="20"/>
          <w:szCs w:val="20"/>
          <w:color w:val="auto"/>
        </w:rPr>
      </w:pPr>
    </w:p>
    <w:p>
      <w:pPr>
        <w:ind w:left="3"/>
        <w:spacing w:after="0"/>
        <w:rPr>
          <w:sz w:val="20"/>
          <w:szCs w:val="20"/>
          <w:color w:val="auto"/>
        </w:rPr>
      </w:pPr>
      <w:r>
        <w:rPr>
          <w:rFonts w:ascii="Arial" w:cs="Arial" w:eastAsia="Arial" w:hAnsi="Arial"/>
          <w:sz w:val="13"/>
          <w:szCs w:val="13"/>
          <w:color w:val="auto"/>
        </w:rPr>
        <w:t>As of December 31, 2018:</w:t>
      </w:r>
    </w:p>
    <w:p>
      <w:pPr>
        <w:spacing w:after="0" w:line="151" w:lineRule="exact"/>
        <w:rPr>
          <w:sz w:val="20"/>
          <w:szCs w:val="20"/>
          <w:color w:val="auto"/>
        </w:rPr>
      </w:pPr>
    </w:p>
    <w:p>
      <w:pPr>
        <w:jc w:val="center"/>
        <w:ind w:right="-2"/>
        <w:spacing w:after="0"/>
        <w:rPr>
          <w:sz w:val="20"/>
          <w:szCs w:val="20"/>
          <w:color w:val="auto"/>
        </w:rPr>
      </w:pPr>
      <w:r>
        <w:rPr>
          <w:rFonts w:ascii="Arial" w:cs="Arial" w:eastAsia="Arial" w:hAnsi="Arial"/>
          <w:sz w:val="10"/>
          <w:szCs w:val="10"/>
          <w:b w:val="1"/>
          <w:bCs w:val="1"/>
          <w:color w:val="auto"/>
        </w:rPr>
        <w:t>Expected maturity date</w:t>
      </w:r>
    </w:p>
    <w:p>
      <w:pPr>
        <w:spacing w:after="0" w:line="8" w:lineRule="exact"/>
        <w:rPr>
          <w:sz w:val="20"/>
          <w:szCs w:val="20"/>
          <w:color w:val="auto"/>
        </w:rPr>
      </w:pPr>
    </w:p>
    <w:tbl>
      <w:tblPr>
        <w:tblLayout w:type="fixed"/>
        <w:tblInd w:w="3" w:type="dxa"/>
        <w:tblCellMar>
          <w:top w:w="0" w:type="dxa"/>
          <w:left w:w="0" w:type="dxa"/>
          <w:bottom w:w="0" w:type="dxa"/>
          <w:right w:w="0" w:type="dxa"/>
        </w:tblCellMar>
      </w:tblPr>
      <w:tr>
        <w:trPr>
          <w:trHeight w:val="79"/>
        </w:trPr>
        <w:tc>
          <w:tcPr>
            <w:tcW w:w="20" w:type="dxa"/>
            <w:vAlign w:val="bottom"/>
          </w:tcPr>
          <w:p>
            <w:pPr>
              <w:spacing w:after="0"/>
              <w:rPr>
                <w:sz w:val="6"/>
                <w:szCs w:val="6"/>
                <w:color w:val="auto"/>
              </w:rPr>
            </w:pPr>
          </w:p>
        </w:tc>
        <w:tc>
          <w:tcPr>
            <w:tcW w:w="3200" w:type="dxa"/>
            <w:vAlign w:val="bottom"/>
            <w:tcBorders>
              <w:top w:val="single" w:sz="8" w:color="auto"/>
            </w:tcBorders>
          </w:tcPr>
          <w:p>
            <w:pPr>
              <w:spacing w:after="0"/>
              <w:rPr>
                <w:sz w:val="6"/>
                <w:szCs w:val="6"/>
                <w:color w:val="auto"/>
              </w:rPr>
            </w:pPr>
          </w:p>
        </w:tc>
        <w:tc>
          <w:tcPr>
            <w:tcW w:w="800" w:type="dxa"/>
            <w:vAlign w:val="bottom"/>
            <w:tcBorders>
              <w:top w:val="single" w:sz="8" w:color="auto"/>
            </w:tcBorders>
          </w:tcPr>
          <w:p>
            <w:pPr>
              <w:spacing w:after="0"/>
              <w:rPr>
                <w:sz w:val="6"/>
                <w:szCs w:val="6"/>
                <w:color w:val="auto"/>
              </w:rPr>
            </w:pPr>
          </w:p>
        </w:tc>
        <w:tc>
          <w:tcPr>
            <w:tcW w:w="120" w:type="dxa"/>
            <w:vAlign w:val="bottom"/>
            <w:tcBorders>
              <w:top w:val="single" w:sz="8" w:color="auto"/>
            </w:tcBorders>
          </w:tcPr>
          <w:p>
            <w:pPr>
              <w:spacing w:after="0"/>
              <w:rPr>
                <w:sz w:val="6"/>
                <w:szCs w:val="6"/>
                <w:color w:val="auto"/>
              </w:rPr>
            </w:pPr>
          </w:p>
        </w:tc>
        <w:tc>
          <w:tcPr>
            <w:tcW w:w="800" w:type="dxa"/>
            <w:vAlign w:val="bottom"/>
            <w:tcBorders>
              <w:top w:val="single" w:sz="8" w:color="auto"/>
            </w:tcBorders>
          </w:tcPr>
          <w:p>
            <w:pPr>
              <w:spacing w:after="0"/>
              <w:rPr>
                <w:sz w:val="6"/>
                <w:szCs w:val="6"/>
                <w:color w:val="auto"/>
              </w:rPr>
            </w:pPr>
          </w:p>
        </w:tc>
        <w:tc>
          <w:tcPr>
            <w:tcW w:w="120" w:type="dxa"/>
            <w:vAlign w:val="bottom"/>
            <w:tcBorders>
              <w:top w:val="single" w:sz="8" w:color="auto"/>
            </w:tcBorders>
          </w:tcPr>
          <w:p>
            <w:pPr>
              <w:spacing w:after="0"/>
              <w:rPr>
                <w:sz w:val="6"/>
                <w:szCs w:val="6"/>
                <w:color w:val="auto"/>
              </w:rPr>
            </w:pPr>
          </w:p>
        </w:tc>
        <w:tc>
          <w:tcPr>
            <w:tcW w:w="800" w:type="dxa"/>
            <w:vAlign w:val="bottom"/>
            <w:tcBorders>
              <w:top w:val="single" w:sz="8" w:color="auto"/>
            </w:tcBorders>
          </w:tcPr>
          <w:p>
            <w:pPr>
              <w:spacing w:after="0"/>
              <w:rPr>
                <w:sz w:val="6"/>
                <w:szCs w:val="6"/>
                <w:color w:val="auto"/>
              </w:rPr>
            </w:pPr>
          </w:p>
        </w:tc>
        <w:tc>
          <w:tcPr>
            <w:tcW w:w="120" w:type="dxa"/>
            <w:vAlign w:val="bottom"/>
            <w:tcBorders>
              <w:top w:val="single" w:sz="8" w:color="auto"/>
            </w:tcBorders>
          </w:tcPr>
          <w:p>
            <w:pPr>
              <w:spacing w:after="0"/>
              <w:rPr>
                <w:sz w:val="6"/>
                <w:szCs w:val="6"/>
                <w:color w:val="auto"/>
              </w:rPr>
            </w:pPr>
          </w:p>
        </w:tc>
        <w:tc>
          <w:tcPr>
            <w:tcW w:w="360" w:type="dxa"/>
            <w:vAlign w:val="bottom"/>
            <w:tcBorders>
              <w:top w:val="single" w:sz="8" w:color="auto"/>
            </w:tcBorders>
          </w:tcPr>
          <w:p>
            <w:pPr>
              <w:spacing w:after="0"/>
              <w:rPr>
                <w:sz w:val="6"/>
                <w:szCs w:val="6"/>
                <w:color w:val="auto"/>
              </w:rPr>
            </w:pPr>
          </w:p>
        </w:tc>
        <w:tc>
          <w:tcPr>
            <w:tcW w:w="460" w:type="dxa"/>
            <w:vAlign w:val="bottom"/>
            <w:tcBorders>
              <w:top w:val="single" w:sz="8" w:color="auto"/>
            </w:tcBorders>
          </w:tcPr>
          <w:p>
            <w:pPr>
              <w:spacing w:after="0"/>
              <w:rPr>
                <w:sz w:val="6"/>
                <w:szCs w:val="6"/>
                <w:color w:val="auto"/>
              </w:rPr>
            </w:pPr>
          </w:p>
        </w:tc>
        <w:tc>
          <w:tcPr>
            <w:tcW w:w="100" w:type="dxa"/>
            <w:vAlign w:val="bottom"/>
            <w:tcBorders>
              <w:top w:val="single" w:sz="8" w:color="auto"/>
            </w:tcBorders>
          </w:tcPr>
          <w:p>
            <w:pPr>
              <w:spacing w:after="0"/>
              <w:rPr>
                <w:sz w:val="6"/>
                <w:szCs w:val="6"/>
                <w:color w:val="auto"/>
              </w:rPr>
            </w:pPr>
          </w:p>
        </w:tc>
        <w:tc>
          <w:tcPr>
            <w:tcW w:w="820" w:type="dxa"/>
            <w:vAlign w:val="bottom"/>
            <w:tcBorders>
              <w:top w:val="single" w:sz="8" w:color="auto"/>
            </w:tcBorders>
          </w:tcPr>
          <w:p>
            <w:pPr>
              <w:spacing w:after="0"/>
              <w:rPr>
                <w:sz w:val="6"/>
                <w:szCs w:val="6"/>
                <w:color w:val="auto"/>
              </w:rPr>
            </w:pPr>
          </w:p>
        </w:tc>
        <w:tc>
          <w:tcPr>
            <w:tcW w:w="120" w:type="dxa"/>
            <w:vAlign w:val="bottom"/>
            <w:tcBorders>
              <w:top w:val="single" w:sz="8" w:color="auto"/>
            </w:tcBorders>
          </w:tcPr>
          <w:p>
            <w:pPr>
              <w:spacing w:after="0"/>
              <w:rPr>
                <w:sz w:val="6"/>
                <w:szCs w:val="6"/>
                <w:color w:val="auto"/>
              </w:rPr>
            </w:pPr>
          </w:p>
        </w:tc>
        <w:tc>
          <w:tcPr>
            <w:tcW w:w="920" w:type="dxa"/>
            <w:vAlign w:val="bottom"/>
            <w:tcBorders>
              <w:top w:val="single" w:sz="8" w:color="auto"/>
            </w:tcBorders>
            <w:gridSpan w:val="2"/>
            <w:vMerge w:val="restart"/>
          </w:tcPr>
          <w:p>
            <w:pPr>
              <w:jc w:val="center"/>
              <w:ind w:right="20"/>
              <w:spacing w:after="0"/>
              <w:rPr>
                <w:sz w:val="20"/>
                <w:szCs w:val="20"/>
                <w:color w:val="auto"/>
              </w:rPr>
            </w:pPr>
            <w:r>
              <w:rPr>
                <w:rFonts w:ascii="Arial" w:cs="Arial" w:eastAsia="Arial" w:hAnsi="Arial"/>
                <w:sz w:val="10"/>
                <w:szCs w:val="10"/>
                <w:b w:val="1"/>
                <w:bCs w:val="1"/>
                <w:color w:val="auto"/>
                <w:w w:val="98"/>
              </w:rPr>
              <w:t>There-</w:t>
            </w:r>
          </w:p>
        </w:tc>
        <w:tc>
          <w:tcPr>
            <w:tcW w:w="940" w:type="dxa"/>
            <w:vAlign w:val="bottom"/>
            <w:tcBorders>
              <w:top w:val="single" w:sz="8" w:color="auto"/>
            </w:tcBorders>
            <w:gridSpan w:val="2"/>
            <w:vMerge w:val="restart"/>
          </w:tcPr>
          <w:p>
            <w:pPr>
              <w:ind w:left="280"/>
              <w:spacing w:after="0"/>
              <w:rPr>
                <w:sz w:val="20"/>
                <w:szCs w:val="20"/>
                <w:color w:val="auto"/>
              </w:rPr>
            </w:pPr>
            <w:r>
              <w:rPr>
                <w:rFonts w:ascii="Arial" w:cs="Arial" w:eastAsia="Arial" w:hAnsi="Arial"/>
                <w:sz w:val="10"/>
                <w:szCs w:val="10"/>
                <w:b w:val="1"/>
                <w:bCs w:val="1"/>
                <w:color w:val="auto"/>
              </w:rPr>
              <w:t>Without</w:t>
            </w:r>
          </w:p>
        </w:tc>
        <w:tc>
          <w:tcPr>
            <w:tcW w:w="880" w:type="dxa"/>
            <w:vAlign w:val="bottom"/>
            <w:tcBorders>
              <w:top w:val="single" w:sz="8" w:color="auto"/>
            </w:tcBorders>
            <w:gridSpan w:val="2"/>
            <w:vMerge w:val="restart"/>
          </w:tcPr>
          <w:p>
            <w:pPr>
              <w:jc w:val="right"/>
              <w:ind w:right="320"/>
              <w:spacing w:after="0"/>
              <w:rPr>
                <w:sz w:val="20"/>
                <w:szCs w:val="20"/>
                <w:color w:val="auto"/>
              </w:rPr>
            </w:pPr>
            <w:r>
              <w:rPr>
                <w:rFonts w:ascii="Arial" w:cs="Arial" w:eastAsia="Arial" w:hAnsi="Arial"/>
                <w:sz w:val="10"/>
                <w:szCs w:val="10"/>
                <w:b w:val="1"/>
                <w:bCs w:val="1"/>
                <w:color w:val="auto"/>
              </w:rPr>
              <w:t>Total</w:t>
            </w:r>
          </w:p>
        </w:tc>
        <w:tc>
          <w:tcPr>
            <w:tcW w:w="900" w:type="dxa"/>
            <w:vAlign w:val="bottom"/>
            <w:tcBorders>
              <w:top w:val="single" w:sz="8" w:color="auto"/>
            </w:tcBorders>
            <w:gridSpan w:val="2"/>
          </w:tcPr>
          <w:p>
            <w:pPr>
              <w:jc w:val="center"/>
              <w:spacing w:after="0" w:line="79" w:lineRule="exact"/>
              <w:rPr>
                <w:sz w:val="20"/>
                <w:szCs w:val="20"/>
                <w:color w:val="auto"/>
              </w:rPr>
            </w:pPr>
            <w:r>
              <w:rPr>
                <w:rFonts w:ascii="Arial" w:cs="Arial" w:eastAsia="Arial" w:hAnsi="Arial"/>
                <w:sz w:val="9"/>
                <w:szCs w:val="9"/>
                <w:b w:val="1"/>
                <w:bCs w:val="1"/>
                <w:color w:val="auto"/>
              </w:rPr>
              <w:t>Fair</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spacing w:after="0"/>
              <w:rPr>
                <w:sz w:val="9"/>
                <w:szCs w:val="9"/>
                <w:color w:val="auto"/>
              </w:rPr>
            </w:pPr>
          </w:p>
        </w:tc>
        <w:tc>
          <w:tcPr>
            <w:tcW w:w="800" w:type="dxa"/>
            <w:vAlign w:val="bottom"/>
            <w:vMerge w:val="restart"/>
          </w:tcPr>
          <w:p>
            <w:pPr>
              <w:jc w:val="right"/>
              <w:ind w:right="189"/>
              <w:spacing w:after="0"/>
              <w:rPr>
                <w:sz w:val="20"/>
                <w:szCs w:val="20"/>
                <w:color w:val="auto"/>
              </w:rPr>
            </w:pPr>
            <w:r>
              <w:rPr>
                <w:rFonts w:ascii="Arial" w:cs="Arial" w:eastAsia="Arial" w:hAnsi="Arial"/>
                <w:sz w:val="10"/>
                <w:szCs w:val="10"/>
                <w:b w:val="1"/>
                <w:bCs w:val="1"/>
                <w:color w:val="auto"/>
              </w:rPr>
              <w:t>2019</w:t>
            </w:r>
          </w:p>
        </w:tc>
        <w:tc>
          <w:tcPr>
            <w:tcW w:w="120" w:type="dxa"/>
            <w:vAlign w:val="bottom"/>
          </w:tcPr>
          <w:p>
            <w:pPr>
              <w:spacing w:after="0"/>
              <w:rPr>
                <w:sz w:val="9"/>
                <w:szCs w:val="9"/>
                <w:color w:val="auto"/>
              </w:rPr>
            </w:pPr>
          </w:p>
        </w:tc>
        <w:tc>
          <w:tcPr>
            <w:tcW w:w="800" w:type="dxa"/>
            <w:vAlign w:val="bottom"/>
            <w:vMerge w:val="restart"/>
          </w:tcPr>
          <w:p>
            <w:pPr>
              <w:jc w:val="right"/>
              <w:ind w:right="189"/>
              <w:spacing w:after="0"/>
              <w:rPr>
                <w:sz w:val="20"/>
                <w:szCs w:val="20"/>
                <w:color w:val="auto"/>
              </w:rPr>
            </w:pPr>
            <w:r>
              <w:rPr>
                <w:rFonts w:ascii="Arial" w:cs="Arial" w:eastAsia="Arial" w:hAnsi="Arial"/>
                <w:sz w:val="10"/>
                <w:szCs w:val="10"/>
                <w:b w:val="1"/>
                <w:bCs w:val="1"/>
                <w:color w:val="auto"/>
              </w:rPr>
              <w:t>2020</w:t>
            </w:r>
          </w:p>
        </w:tc>
        <w:tc>
          <w:tcPr>
            <w:tcW w:w="120" w:type="dxa"/>
            <w:vAlign w:val="bottom"/>
          </w:tcPr>
          <w:p>
            <w:pPr>
              <w:spacing w:after="0"/>
              <w:rPr>
                <w:sz w:val="9"/>
                <w:szCs w:val="9"/>
                <w:color w:val="auto"/>
              </w:rPr>
            </w:pPr>
          </w:p>
        </w:tc>
        <w:tc>
          <w:tcPr>
            <w:tcW w:w="800" w:type="dxa"/>
            <w:vAlign w:val="bottom"/>
            <w:vMerge w:val="restart"/>
          </w:tcPr>
          <w:p>
            <w:pPr>
              <w:jc w:val="right"/>
              <w:ind w:right="189"/>
              <w:spacing w:after="0"/>
              <w:rPr>
                <w:sz w:val="20"/>
                <w:szCs w:val="20"/>
                <w:color w:val="auto"/>
              </w:rPr>
            </w:pPr>
            <w:r>
              <w:rPr>
                <w:rFonts w:ascii="Arial" w:cs="Arial" w:eastAsia="Arial" w:hAnsi="Arial"/>
                <w:sz w:val="10"/>
                <w:szCs w:val="10"/>
                <w:b w:val="1"/>
                <w:bCs w:val="1"/>
                <w:color w:val="auto"/>
              </w:rPr>
              <w:t>2021</w:t>
            </w:r>
          </w:p>
        </w:tc>
        <w:tc>
          <w:tcPr>
            <w:tcW w:w="120" w:type="dxa"/>
            <w:vAlign w:val="bottom"/>
          </w:tcPr>
          <w:p>
            <w:pPr>
              <w:spacing w:after="0"/>
              <w:rPr>
                <w:sz w:val="9"/>
                <w:szCs w:val="9"/>
                <w:color w:val="auto"/>
              </w:rPr>
            </w:pPr>
          </w:p>
        </w:tc>
        <w:tc>
          <w:tcPr>
            <w:tcW w:w="360" w:type="dxa"/>
            <w:vAlign w:val="bottom"/>
          </w:tcPr>
          <w:p>
            <w:pPr>
              <w:spacing w:after="0"/>
              <w:rPr>
                <w:sz w:val="9"/>
                <w:szCs w:val="9"/>
                <w:color w:val="auto"/>
              </w:rPr>
            </w:pPr>
          </w:p>
        </w:tc>
        <w:tc>
          <w:tcPr>
            <w:tcW w:w="460" w:type="dxa"/>
            <w:vAlign w:val="bottom"/>
            <w:vMerge w:val="restart"/>
          </w:tcPr>
          <w:p>
            <w:pPr>
              <w:jc w:val="right"/>
              <w:ind w:right="209"/>
              <w:spacing w:after="0"/>
              <w:rPr>
                <w:sz w:val="20"/>
                <w:szCs w:val="20"/>
                <w:color w:val="auto"/>
              </w:rPr>
            </w:pPr>
            <w:r>
              <w:rPr>
                <w:rFonts w:ascii="Arial" w:cs="Arial" w:eastAsia="Arial" w:hAnsi="Arial"/>
                <w:sz w:val="10"/>
                <w:szCs w:val="10"/>
                <w:b w:val="1"/>
                <w:bCs w:val="1"/>
                <w:color w:val="auto"/>
                <w:w w:val="80"/>
              </w:rPr>
              <w:t>2022</w:t>
            </w:r>
          </w:p>
        </w:tc>
        <w:tc>
          <w:tcPr>
            <w:tcW w:w="100" w:type="dxa"/>
            <w:vAlign w:val="bottom"/>
          </w:tcPr>
          <w:p>
            <w:pPr>
              <w:spacing w:after="0"/>
              <w:rPr>
                <w:sz w:val="9"/>
                <w:szCs w:val="9"/>
                <w:color w:val="auto"/>
              </w:rPr>
            </w:pPr>
          </w:p>
        </w:tc>
        <w:tc>
          <w:tcPr>
            <w:tcW w:w="820" w:type="dxa"/>
            <w:vAlign w:val="bottom"/>
            <w:vMerge w:val="restart"/>
          </w:tcPr>
          <w:p>
            <w:pPr>
              <w:jc w:val="right"/>
              <w:ind w:right="189"/>
              <w:spacing w:after="0"/>
              <w:rPr>
                <w:sz w:val="20"/>
                <w:szCs w:val="20"/>
                <w:color w:val="auto"/>
              </w:rPr>
            </w:pPr>
            <w:r>
              <w:rPr>
                <w:rFonts w:ascii="Arial" w:cs="Arial" w:eastAsia="Arial" w:hAnsi="Arial"/>
                <w:sz w:val="10"/>
                <w:szCs w:val="10"/>
                <w:b w:val="1"/>
                <w:bCs w:val="1"/>
                <w:color w:val="auto"/>
              </w:rPr>
              <w:t>2023</w:t>
            </w:r>
          </w:p>
        </w:tc>
        <w:tc>
          <w:tcPr>
            <w:tcW w:w="120" w:type="dxa"/>
            <w:vAlign w:val="bottom"/>
          </w:tcPr>
          <w:p>
            <w:pPr>
              <w:spacing w:after="0"/>
              <w:rPr>
                <w:sz w:val="9"/>
                <w:szCs w:val="9"/>
                <w:color w:val="auto"/>
              </w:rPr>
            </w:pPr>
          </w:p>
        </w:tc>
        <w:tc>
          <w:tcPr>
            <w:tcW w:w="920" w:type="dxa"/>
            <w:vAlign w:val="bottom"/>
            <w:gridSpan w:val="2"/>
            <w:vMerge w:val="continue"/>
          </w:tcPr>
          <w:p>
            <w:pPr>
              <w:spacing w:after="0"/>
              <w:rPr>
                <w:sz w:val="9"/>
                <w:szCs w:val="9"/>
                <w:color w:val="auto"/>
              </w:rPr>
            </w:pPr>
          </w:p>
        </w:tc>
        <w:tc>
          <w:tcPr>
            <w:tcW w:w="940" w:type="dxa"/>
            <w:vAlign w:val="bottom"/>
            <w:gridSpan w:val="2"/>
            <w:vMerge w:val="continue"/>
          </w:tcPr>
          <w:p>
            <w:pPr>
              <w:spacing w:after="0"/>
              <w:rPr>
                <w:sz w:val="9"/>
                <w:szCs w:val="9"/>
                <w:color w:val="auto"/>
              </w:rPr>
            </w:pPr>
          </w:p>
        </w:tc>
        <w:tc>
          <w:tcPr>
            <w:tcW w:w="880" w:type="dxa"/>
            <w:vAlign w:val="bottom"/>
            <w:gridSpan w:val="2"/>
            <w:vMerge w:val="continue"/>
          </w:tcPr>
          <w:p>
            <w:pPr>
              <w:spacing w:after="0"/>
              <w:rPr>
                <w:sz w:val="9"/>
                <w:szCs w:val="9"/>
                <w:color w:val="auto"/>
              </w:rPr>
            </w:pPr>
          </w:p>
        </w:tc>
        <w:tc>
          <w:tcPr>
            <w:tcW w:w="900" w:type="dxa"/>
            <w:vAlign w:val="bottom"/>
            <w:gridSpan w:val="2"/>
          </w:tcPr>
          <w:p>
            <w:pPr>
              <w:jc w:val="center"/>
              <w:spacing w:after="0" w:line="106" w:lineRule="exact"/>
              <w:rPr>
                <w:sz w:val="20"/>
                <w:szCs w:val="20"/>
                <w:color w:val="auto"/>
              </w:rPr>
            </w:pPr>
            <w:r>
              <w:rPr>
                <w:rFonts w:ascii="Arial" w:cs="Arial" w:eastAsia="Arial" w:hAnsi="Arial"/>
                <w:sz w:val="10"/>
                <w:szCs w:val="10"/>
                <w:b w:val="1"/>
                <w:bCs w:val="1"/>
                <w:color w:val="auto"/>
                <w:w w:val="85"/>
              </w:rPr>
              <w:t>value</w:t>
            </w:r>
          </w:p>
        </w:tc>
        <w:tc>
          <w:tcPr>
            <w:tcW w:w="0" w:type="dxa"/>
            <w:vAlign w:val="bottom"/>
          </w:tcPr>
          <w:p>
            <w:pPr>
              <w:spacing w:after="0"/>
              <w:rPr>
                <w:sz w:val="1"/>
                <w:szCs w:val="1"/>
                <w:color w:val="auto"/>
              </w:rPr>
            </w:pPr>
          </w:p>
        </w:tc>
      </w:tr>
      <w:tr>
        <w:trPr>
          <w:trHeight w:val="123"/>
        </w:trPr>
        <w:tc>
          <w:tcPr>
            <w:tcW w:w="20" w:type="dxa"/>
            <w:vAlign w:val="bottom"/>
          </w:tcPr>
          <w:p>
            <w:pPr>
              <w:spacing w:after="0"/>
              <w:rPr>
                <w:sz w:val="10"/>
                <w:szCs w:val="10"/>
                <w:color w:val="auto"/>
              </w:rPr>
            </w:pPr>
          </w:p>
        </w:tc>
        <w:tc>
          <w:tcPr>
            <w:tcW w:w="3200" w:type="dxa"/>
            <w:vAlign w:val="bottom"/>
          </w:tcPr>
          <w:p>
            <w:pPr>
              <w:spacing w:after="0"/>
              <w:rPr>
                <w:sz w:val="10"/>
                <w:szCs w:val="10"/>
                <w:color w:val="auto"/>
              </w:rPr>
            </w:pPr>
          </w:p>
        </w:tc>
        <w:tc>
          <w:tcPr>
            <w:tcW w:w="800" w:type="dxa"/>
            <w:vAlign w:val="bottom"/>
            <w:tcBorders>
              <w:bottom w:val="single" w:sz="8" w:color="auto"/>
            </w:tcBorders>
            <w:vMerge w:val="continue"/>
          </w:tcPr>
          <w:p>
            <w:pPr>
              <w:spacing w:after="0"/>
              <w:rPr>
                <w:sz w:val="10"/>
                <w:szCs w:val="10"/>
                <w:color w:val="auto"/>
              </w:rPr>
            </w:pPr>
          </w:p>
        </w:tc>
        <w:tc>
          <w:tcPr>
            <w:tcW w:w="120" w:type="dxa"/>
            <w:vAlign w:val="bottom"/>
          </w:tcPr>
          <w:p>
            <w:pPr>
              <w:spacing w:after="0"/>
              <w:rPr>
                <w:sz w:val="10"/>
                <w:szCs w:val="10"/>
                <w:color w:val="auto"/>
              </w:rPr>
            </w:pPr>
          </w:p>
        </w:tc>
        <w:tc>
          <w:tcPr>
            <w:tcW w:w="800" w:type="dxa"/>
            <w:vAlign w:val="bottom"/>
            <w:tcBorders>
              <w:bottom w:val="single" w:sz="8" w:color="auto"/>
            </w:tcBorders>
            <w:vMerge w:val="continue"/>
          </w:tcPr>
          <w:p>
            <w:pPr>
              <w:spacing w:after="0"/>
              <w:rPr>
                <w:sz w:val="10"/>
                <w:szCs w:val="10"/>
                <w:color w:val="auto"/>
              </w:rPr>
            </w:pPr>
          </w:p>
        </w:tc>
        <w:tc>
          <w:tcPr>
            <w:tcW w:w="120" w:type="dxa"/>
            <w:vAlign w:val="bottom"/>
          </w:tcPr>
          <w:p>
            <w:pPr>
              <w:spacing w:after="0"/>
              <w:rPr>
                <w:sz w:val="10"/>
                <w:szCs w:val="10"/>
                <w:color w:val="auto"/>
              </w:rPr>
            </w:pPr>
          </w:p>
        </w:tc>
        <w:tc>
          <w:tcPr>
            <w:tcW w:w="800" w:type="dxa"/>
            <w:vAlign w:val="bottom"/>
            <w:tcBorders>
              <w:bottom w:val="single" w:sz="8" w:color="auto"/>
            </w:tcBorders>
            <w:vMerge w:val="continue"/>
          </w:tcPr>
          <w:p>
            <w:pPr>
              <w:spacing w:after="0"/>
              <w:rPr>
                <w:sz w:val="10"/>
                <w:szCs w:val="10"/>
                <w:color w:val="auto"/>
              </w:rPr>
            </w:pPr>
          </w:p>
        </w:tc>
        <w:tc>
          <w:tcPr>
            <w:tcW w:w="120" w:type="dxa"/>
            <w:vAlign w:val="bottom"/>
          </w:tcPr>
          <w:p>
            <w:pPr>
              <w:spacing w:after="0"/>
              <w:rPr>
                <w:sz w:val="10"/>
                <w:szCs w:val="10"/>
                <w:color w:val="auto"/>
              </w:rPr>
            </w:pPr>
          </w:p>
        </w:tc>
        <w:tc>
          <w:tcPr>
            <w:tcW w:w="360" w:type="dxa"/>
            <w:vAlign w:val="bottom"/>
            <w:tcBorders>
              <w:bottom w:val="single" w:sz="8" w:color="auto"/>
            </w:tcBorders>
          </w:tcPr>
          <w:p>
            <w:pPr>
              <w:spacing w:after="0"/>
              <w:rPr>
                <w:sz w:val="10"/>
                <w:szCs w:val="10"/>
                <w:color w:val="auto"/>
              </w:rPr>
            </w:pPr>
          </w:p>
        </w:tc>
        <w:tc>
          <w:tcPr>
            <w:tcW w:w="460" w:type="dxa"/>
            <w:vAlign w:val="bottom"/>
            <w:tcBorders>
              <w:bottom w:val="single" w:sz="8" w:color="auto"/>
            </w:tcBorders>
            <w:vMerge w:val="continue"/>
          </w:tcPr>
          <w:p>
            <w:pPr>
              <w:spacing w:after="0"/>
              <w:rPr>
                <w:sz w:val="10"/>
                <w:szCs w:val="10"/>
                <w:color w:val="auto"/>
              </w:rPr>
            </w:pPr>
          </w:p>
        </w:tc>
        <w:tc>
          <w:tcPr>
            <w:tcW w:w="100" w:type="dxa"/>
            <w:vAlign w:val="bottom"/>
          </w:tcPr>
          <w:p>
            <w:pPr>
              <w:spacing w:after="0"/>
              <w:rPr>
                <w:sz w:val="10"/>
                <w:szCs w:val="10"/>
                <w:color w:val="auto"/>
              </w:rPr>
            </w:pPr>
          </w:p>
        </w:tc>
        <w:tc>
          <w:tcPr>
            <w:tcW w:w="820" w:type="dxa"/>
            <w:vAlign w:val="bottom"/>
            <w:tcBorders>
              <w:bottom w:val="single" w:sz="8" w:color="auto"/>
            </w:tcBorders>
            <w:vMerge w:val="continue"/>
          </w:tcPr>
          <w:p>
            <w:pPr>
              <w:spacing w:after="0"/>
              <w:rPr>
                <w:sz w:val="10"/>
                <w:szCs w:val="10"/>
                <w:color w:val="auto"/>
              </w:rPr>
            </w:pPr>
          </w:p>
        </w:tc>
        <w:tc>
          <w:tcPr>
            <w:tcW w:w="120" w:type="dxa"/>
            <w:vAlign w:val="bottom"/>
          </w:tcPr>
          <w:p>
            <w:pPr>
              <w:spacing w:after="0"/>
              <w:rPr>
                <w:sz w:val="10"/>
                <w:szCs w:val="10"/>
                <w:color w:val="auto"/>
              </w:rPr>
            </w:pPr>
          </w:p>
        </w:tc>
        <w:tc>
          <w:tcPr>
            <w:tcW w:w="800" w:type="dxa"/>
            <w:vAlign w:val="bottom"/>
            <w:tcBorders>
              <w:bottom w:val="single" w:sz="8" w:color="auto"/>
            </w:tcBorders>
          </w:tcPr>
          <w:p>
            <w:pPr>
              <w:jc w:val="center"/>
              <w:ind w:left="49"/>
              <w:spacing w:after="0"/>
              <w:rPr>
                <w:sz w:val="20"/>
                <w:szCs w:val="20"/>
                <w:color w:val="auto"/>
              </w:rPr>
            </w:pPr>
            <w:r>
              <w:rPr>
                <w:rFonts w:ascii="Arial" w:cs="Arial" w:eastAsia="Arial" w:hAnsi="Arial"/>
                <w:sz w:val="10"/>
                <w:szCs w:val="10"/>
                <w:b w:val="1"/>
                <w:bCs w:val="1"/>
                <w:color w:val="auto"/>
              </w:rPr>
              <w:t>after</w:t>
            </w:r>
          </w:p>
        </w:tc>
        <w:tc>
          <w:tcPr>
            <w:tcW w:w="120" w:type="dxa"/>
            <w:vAlign w:val="bottom"/>
          </w:tcPr>
          <w:p>
            <w:pPr>
              <w:spacing w:after="0"/>
              <w:rPr>
                <w:sz w:val="10"/>
                <w:szCs w:val="10"/>
                <w:color w:val="auto"/>
              </w:rPr>
            </w:pPr>
          </w:p>
        </w:tc>
        <w:tc>
          <w:tcPr>
            <w:tcW w:w="820" w:type="dxa"/>
            <w:vAlign w:val="bottom"/>
            <w:tcBorders>
              <w:bottom w:val="single" w:sz="8" w:color="auto"/>
            </w:tcBorders>
          </w:tcPr>
          <w:p>
            <w:pPr>
              <w:jc w:val="right"/>
              <w:ind w:right="109"/>
              <w:spacing w:after="0"/>
              <w:rPr>
                <w:sz w:val="20"/>
                <w:szCs w:val="20"/>
                <w:color w:val="auto"/>
              </w:rPr>
            </w:pPr>
            <w:r>
              <w:rPr>
                <w:rFonts w:ascii="Arial" w:cs="Arial" w:eastAsia="Arial" w:hAnsi="Arial"/>
                <w:sz w:val="10"/>
                <w:szCs w:val="10"/>
                <w:b w:val="1"/>
                <w:bCs w:val="1"/>
                <w:color w:val="auto"/>
              </w:rPr>
              <w:t>maturity</w:t>
            </w:r>
          </w:p>
        </w:tc>
        <w:tc>
          <w:tcPr>
            <w:tcW w:w="120" w:type="dxa"/>
            <w:vAlign w:val="bottom"/>
          </w:tcPr>
          <w:p>
            <w:pPr>
              <w:spacing w:after="0"/>
              <w:rPr>
                <w:sz w:val="10"/>
                <w:szCs w:val="10"/>
                <w:color w:val="auto"/>
              </w:rPr>
            </w:pPr>
          </w:p>
        </w:tc>
        <w:tc>
          <w:tcPr>
            <w:tcW w:w="780" w:type="dxa"/>
            <w:vAlign w:val="bottom"/>
            <w:tcBorders>
              <w:bottom w:val="single" w:sz="8" w:color="auto"/>
            </w:tcBorders>
          </w:tcPr>
          <w:p>
            <w:pPr>
              <w:jc w:val="right"/>
              <w:ind w:right="189"/>
              <w:spacing w:after="0"/>
              <w:rPr>
                <w:sz w:val="20"/>
                <w:szCs w:val="20"/>
                <w:color w:val="auto"/>
              </w:rPr>
            </w:pPr>
            <w:r>
              <w:rPr>
                <w:rFonts w:ascii="Arial" w:cs="Arial" w:eastAsia="Arial" w:hAnsi="Arial"/>
                <w:sz w:val="10"/>
                <w:szCs w:val="10"/>
                <w:b w:val="1"/>
                <w:bCs w:val="1"/>
                <w:color w:val="auto"/>
              </w:rPr>
              <w:t>2018</w:t>
            </w:r>
          </w:p>
        </w:tc>
        <w:tc>
          <w:tcPr>
            <w:tcW w:w="100" w:type="dxa"/>
            <w:vAlign w:val="bottom"/>
          </w:tcPr>
          <w:p>
            <w:pPr>
              <w:spacing w:after="0"/>
              <w:rPr>
                <w:sz w:val="10"/>
                <w:szCs w:val="10"/>
                <w:color w:val="auto"/>
              </w:rPr>
            </w:pPr>
          </w:p>
        </w:tc>
        <w:tc>
          <w:tcPr>
            <w:tcW w:w="780" w:type="dxa"/>
            <w:vAlign w:val="bottom"/>
            <w:tcBorders>
              <w:bottom w:val="single" w:sz="8" w:color="auto"/>
            </w:tcBorders>
          </w:tcPr>
          <w:p>
            <w:pPr>
              <w:jc w:val="center"/>
              <w:ind w:left="69"/>
              <w:spacing w:after="0"/>
              <w:rPr>
                <w:sz w:val="20"/>
                <w:szCs w:val="20"/>
                <w:color w:val="auto"/>
              </w:rPr>
            </w:pPr>
            <w:r>
              <w:rPr>
                <w:rFonts w:ascii="Arial" w:cs="Arial" w:eastAsia="Arial" w:hAnsi="Arial"/>
                <w:sz w:val="10"/>
                <w:szCs w:val="10"/>
                <w:b w:val="1"/>
                <w:bCs w:val="1"/>
                <w:color w:val="auto"/>
                <w:w w:val="98"/>
              </w:rPr>
              <w:t>2018</w:t>
            </w: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86"/>
        </w:trPr>
        <w:tc>
          <w:tcPr>
            <w:tcW w:w="20" w:type="dxa"/>
            <w:vAlign w:val="bottom"/>
          </w:tcPr>
          <w:p>
            <w:pPr>
              <w:spacing w:after="0"/>
              <w:rPr>
                <w:sz w:val="7"/>
                <w:szCs w:val="7"/>
                <w:color w:val="auto"/>
              </w:rPr>
            </w:pPr>
          </w:p>
        </w:tc>
        <w:tc>
          <w:tcPr>
            <w:tcW w:w="3200" w:type="dxa"/>
            <w:vAlign w:val="bottom"/>
          </w:tcPr>
          <w:p>
            <w:pPr>
              <w:spacing w:after="0"/>
              <w:rPr>
                <w:sz w:val="7"/>
                <w:szCs w:val="7"/>
                <w:color w:val="auto"/>
              </w:rPr>
            </w:pPr>
          </w:p>
        </w:tc>
        <w:tc>
          <w:tcPr>
            <w:tcW w:w="800" w:type="dxa"/>
            <w:vAlign w:val="bottom"/>
          </w:tcPr>
          <w:p>
            <w:pPr>
              <w:spacing w:after="0"/>
              <w:rPr>
                <w:sz w:val="7"/>
                <w:szCs w:val="7"/>
                <w:color w:val="auto"/>
              </w:rPr>
            </w:pPr>
          </w:p>
        </w:tc>
        <w:tc>
          <w:tcPr>
            <w:tcW w:w="120" w:type="dxa"/>
            <w:vAlign w:val="bottom"/>
          </w:tcPr>
          <w:p>
            <w:pPr>
              <w:spacing w:after="0"/>
              <w:rPr>
                <w:sz w:val="7"/>
                <w:szCs w:val="7"/>
                <w:color w:val="auto"/>
              </w:rPr>
            </w:pPr>
          </w:p>
        </w:tc>
        <w:tc>
          <w:tcPr>
            <w:tcW w:w="800" w:type="dxa"/>
            <w:vAlign w:val="bottom"/>
          </w:tcPr>
          <w:p>
            <w:pPr>
              <w:spacing w:after="0"/>
              <w:rPr>
                <w:sz w:val="7"/>
                <w:szCs w:val="7"/>
                <w:color w:val="auto"/>
              </w:rPr>
            </w:pPr>
          </w:p>
        </w:tc>
        <w:tc>
          <w:tcPr>
            <w:tcW w:w="120" w:type="dxa"/>
            <w:vAlign w:val="bottom"/>
          </w:tcPr>
          <w:p>
            <w:pPr>
              <w:spacing w:after="0"/>
              <w:rPr>
                <w:sz w:val="7"/>
                <w:szCs w:val="7"/>
                <w:color w:val="auto"/>
              </w:rPr>
            </w:pPr>
          </w:p>
        </w:tc>
        <w:tc>
          <w:tcPr>
            <w:tcW w:w="1280" w:type="dxa"/>
            <w:vAlign w:val="bottom"/>
            <w:gridSpan w:val="3"/>
          </w:tcPr>
          <w:p>
            <w:pPr>
              <w:ind w:left="80"/>
              <w:spacing w:after="0" w:line="86" w:lineRule="exact"/>
              <w:rPr>
                <w:sz w:val="20"/>
                <w:szCs w:val="20"/>
                <w:color w:val="auto"/>
              </w:rPr>
            </w:pPr>
            <w:r>
              <w:rPr>
                <w:rFonts w:ascii="Arial" w:cs="Arial" w:eastAsia="Arial" w:hAnsi="Arial"/>
                <w:sz w:val="9"/>
                <w:szCs w:val="9"/>
                <w:b w:val="1"/>
                <w:bCs w:val="1"/>
                <w:color w:val="auto"/>
              </w:rPr>
              <w:t>($ Equivalent in thousands)</w:t>
            </w:r>
          </w:p>
        </w:tc>
        <w:tc>
          <w:tcPr>
            <w:tcW w:w="460" w:type="dxa"/>
            <w:vAlign w:val="bottom"/>
          </w:tcPr>
          <w:p>
            <w:pPr>
              <w:spacing w:after="0"/>
              <w:rPr>
                <w:sz w:val="7"/>
                <w:szCs w:val="7"/>
                <w:color w:val="auto"/>
              </w:rPr>
            </w:pPr>
          </w:p>
        </w:tc>
        <w:tc>
          <w:tcPr>
            <w:tcW w:w="100" w:type="dxa"/>
            <w:vAlign w:val="bottom"/>
          </w:tcPr>
          <w:p>
            <w:pPr>
              <w:spacing w:after="0"/>
              <w:rPr>
                <w:sz w:val="7"/>
                <w:szCs w:val="7"/>
                <w:color w:val="auto"/>
              </w:rPr>
            </w:pPr>
          </w:p>
        </w:tc>
        <w:tc>
          <w:tcPr>
            <w:tcW w:w="820" w:type="dxa"/>
            <w:vAlign w:val="bottom"/>
          </w:tcPr>
          <w:p>
            <w:pPr>
              <w:spacing w:after="0"/>
              <w:rPr>
                <w:sz w:val="7"/>
                <w:szCs w:val="7"/>
                <w:color w:val="auto"/>
              </w:rPr>
            </w:pPr>
          </w:p>
        </w:tc>
        <w:tc>
          <w:tcPr>
            <w:tcW w:w="120" w:type="dxa"/>
            <w:vAlign w:val="bottom"/>
          </w:tcPr>
          <w:p>
            <w:pPr>
              <w:spacing w:after="0"/>
              <w:rPr>
                <w:sz w:val="7"/>
                <w:szCs w:val="7"/>
                <w:color w:val="auto"/>
              </w:rPr>
            </w:pPr>
          </w:p>
        </w:tc>
        <w:tc>
          <w:tcPr>
            <w:tcW w:w="800" w:type="dxa"/>
            <w:vAlign w:val="bottom"/>
          </w:tcPr>
          <w:p>
            <w:pPr>
              <w:spacing w:after="0"/>
              <w:rPr>
                <w:sz w:val="7"/>
                <w:szCs w:val="7"/>
                <w:color w:val="auto"/>
              </w:rPr>
            </w:pPr>
          </w:p>
        </w:tc>
        <w:tc>
          <w:tcPr>
            <w:tcW w:w="120" w:type="dxa"/>
            <w:vAlign w:val="bottom"/>
          </w:tcPr>
          <w:p>
            <w:pPr>
              <w:spacing w:after="0"/>
              <w:rPr>
                <w:sz w:val="7"/>
                <w:szCs w:val="7"/>
                <w:color w:val="auto"/>
              </w:rPr>
            </w:pPr>
          </w:p>
        </w:tc>
        <w:tc>
          <w:tcPr>
            <w:tcW w:w="820" w:type="dxa"/>
            <w:vAlign w:val="bottom"/>
          </w:tcPr>
          <w:p>
            <w:pPr>
              <w:spacing w:after="0"/>
              <w:rPr>
                <w:sz w:val="7"/>
                <w:szCs w:val="7"/>
                <w:color w:val="auto"/>
              </w:rPr>
            </w:pPr>
          </w:p>
        </w:tc>
        <w:tc>
          <w:tcPr>
            <w:tcW w:w="120" w:type="dxa"/>
            <w:vAlign w:val="bottom"/>
          </w:tcPr>
          <w:p>
            <w:pPr>
              <w:spacing w:after="0"/>
              <w:rPr>
                <w:sz w:val="7"/>
                <w:szCs w:val="7"/>
                <w:color w:val="auto"/>
              </w:rPr>
            </w:pPr>
          </w:p>
        </w:tc>
        <w:tc>
          <w:tcPr>
            <w:tcW w:w="780" w:type="dxa"/>
            <w:vAlign w:val="bottom"/>
          </w:tcPr>
          <w:p>
            <w:pPr>
              <w:spacing w:after="0"/>
              <w:rPr>
                <w:sz w:val="7"/>
                <w:szCs w:val="7"/>
                <w:color w:val="auto"/>
              </w:rPr>
            </w:pPr>
          </w:p>
        </w:tc>
        <w:tc>
          <w:tcPr>
            <w:tcW w:w="100" w:type="dxa"/>
            <w:vAlign w:val="bottom"/>
          </w:tcPr>
          <w:p>
            <w:pPr>
              <w:spacing w:after="0"/>
              <w:rPr>
                <w:sz w:val="7"/>
                <w:szCs w:val="7"/>
                <w:color w:val="auto"/>
              </w:rPr>
            </w:pPr>
          </w:p>
        </w:tc>
        <w:tc>
          <w:tcPr>
            <w:tcW w:w="780" w:type="dxa"/>
            <w:vAlign w:val="bottom"/>
          </w:tcPr>
          <w:p>
            <w:pPr>
              <w:spacing w:after="0"/>
              <w:rPr>
                <w:sz w:val="7"/>
                <w:szCs w:val="7"/>
                <w:color w:val="auto"/>
              </w:rPr>
            </w:pPr>
          </w:p>
        </w:tc>
        <w:tc>
          <w:tcPr>
            <w:tcW w:w="12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spacing w:after="0" w:line="106" w:lineRule="exact"/>
              <w:rPr>
                <w:sz w:val="20"/>
                <w:szCs w:val="20"/>
                <w:color w:val="auto"/>
              </w:rPr>
            </w:pPr>
            <w:r>
              <w:rPr>
                <w:rFonts w:ascii="Arial" w:cs="Arial" w:eastAsia="Arial" w:hAnsi="Arial"/>
                <w:sz w:val="10"/>
                <w:szCs w:val="10"/>
                <w:b w:val="1"/>
                <w:bCs w:val="1"/>
                <w:color w:val="auto"/>
              </w:rPr>
              <w:t>ASSETS:</w:t>
            </w: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36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8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7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restart"/>
          </w:tcPr>
          <w:p>
            <w:pPr>
              <w:spacing w:after="0"/>
              <w:rPr>
                <w:sz w:val="9"/>
                <w:szCs w:val="9"/>
                <w:color w:val="auto"/>
              </w:rPr>
            </w:pPr>
          </w:p>
        </w:tc>
        <w:tc>
          <w:tcPr>
            <w:tcW w:w="320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360" w:type="dxa"/>
            <w:vAlign w:val="bottom"/>
          </w:tcPr>
          <w:p>
            <w:pPr>
              <w:spacing w:after="0"/>
              <w:rPr>
                <w:sz w:val="9"/>
                <w:szCs w:val="9"/>
                <w:color w:val="auto"/>
              </w:rPr>
            </w:pPr>
          </w:p>
        </w:tc>
        <w:tc>
          <w:tcPr>
            <w:tcW w:w="460" w:type="dxa"/>
            <w:vAlign w:val="bottom"/>
          </w:tcPr>
          <w:p>
            <w:pPr>
              <w:spacing w:after="0"/>
              <w:rPr>
                <w:sz w:val="9"/>
                <w:szCs w:val="9"/>
                <w:color w:val="auto"/>
              </w:rPr>
            </w:pPr>
          </w:p>
        </w:tc>
        <w:tc>
          <w:tcPr>
            <w:tcW w:w="100" w:type="dxa"/>
            <w:vAlign w:val="bottom"/>
          </w:tcPr>
          <w:p>
            <w:pPr>
              <w:spacing w:after="0"/>
              <w:rPr>
                <w:sz w:val="9"/>
                <w:szCs w:val="9"/>
                <w:color w:val="auto"/>
              </w:rPr>
            </w:pPr>
          </w:p>
        </w:tc>
        <w:tc>
          <w:tcPr>
            <w:tcW w:w="82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820" w:type="dxa"/>
            <w:vAlign w:val="bottom"/>
          </w:tcPr>
          <w:p>
            <w:pPr>
              <w:spacing w:after="0"/>
              <w:rPr>
                <w:sz w:val="9"/>
                <w:szCs w:val="9"/>
                <w:color w:val="auto"/>
              </w:rPr>
            </w:pPr>
          </w:p>
        </w:tc>
        <w:tc>
          <w:tcPr>
            <w:tcW w:w="120" w:type="dxa"/>
            <w:vAlign w:val="bottom"/>
          </w:tcPr>
          <w:p>
            <w:pPr>
              <w:spacing w:after="0"/>
              <w:rPr>
                <w:sz w:val="9"/>
                <w:szCs w:val="9"/>
                <w:color w:val="auto"/>
              </w:rPr>
            </w:pPr>
          </w:p>
        </w:tc>
        <w:tc>
          <w:tcPr>
            <w:tcW w:w="780" w:type="dxa"/>
            <w:vAlign w:val="bottom"/>
          </w:tcPr>
          <w:p>
            <w:pPr>
              <w:spacing w:after="0"/>
              <w:rPr>
                <w:sz w:val="9"/>
                <w:szCs w:val="9"/>
                <w:color w:val="auto"/>
              </w:rPr>
            </w:pPr>
          </w:p>
        </w:tc>
        <w:tc>
          <w:tcPr>
            <w:tcW w:w="100" w:type="dxa"/>
            <w:vAlign w:val="bottom"/>
          </w:tcPr>
          <w:p>
            <w:pPr>
              <w:spacing w:after="0"/>
              <w:rPr>
                <w:sz w:val="9"/>
                <w:szCs w:val="9"/>
                <w:color w:val="auto"/>
              </w:rPr>
            </w:pPr>
          </w:p>
        </w:tc>
        <w:tc>
          <w:tcPr>
            <w:tcW w:w="7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continue"/>
          </w:tcPr>
          <w:p>
            <w:pPr>
              <w:spacing w:after="0"/>
              <w:rPr>
                <w:sz w:val="9"/>
                <w:szCs w:val="9"/>
                <w:color w:val="auto"/>
              </w:rPr>
            </w:pPr>
          </w:p>
        </w:tc>
        <w:tc>
          <w:tcPr>
            <w:tcW w:w="3200" w:type="dxa"/>
            <w:vAlign w:val="bottom"/>
            <w:shd w:val="clear" w:color="auto" w:fill="CCEEFF"/>
          </w:tcPr>
          <w:p>
            <w:pPr>
              <w:spacing w:after="0" w:line="106" w:lineRule="exact"/>
              <w:rPr>
                <w:sz w:val="20"/>
                <w:szCs w:val="20"/>
                <w:color w:val="auto"/>
              </w:rPr>
            </w:pPr>
            <w:r>
              <w:rPr>
                <w:rFonts w:ascii="Arial" w:cs="Arial" w:eastAsia="Arial" w:hAnsi="Arial"/>
                <w:sz w:val="10"/>
                <w:szCs w:val="10"/>
                <w:b w:val="1"/>
                <w:bCs w:val="1"/>
                <w:color w:val="auto"/>
              </w:rPr>
              <w:t>Investment Securities</w:t>
            </w: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36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8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7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spacing w:after="0" w:line="106" w:lineRule="exact"/>
              <w:rPr>
                <w:sz w:val="20"/>
                <w:szCs w:val="20"/>
                <w:color w:val="auto"/>
              </w:rPr>
            </w:pPr>
            <w:r>
              <w:rPr>
                <w:rFonts w:ascii="Arial" w:cs="Arial" w:eastAsia="Arial" w:hAnsi="Arial"/>
                <w:sz w:val="10"/>
                <w:szCs w:val="10"/>
                <w:color w:val="auto"/>
              </w:rPr>
              <w:t>Fixed rate</w:t>
            </w: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360" w:type="dxa"/>
            <w:vAlign w:val="bottom"/>
          </w:tcPr>
          <w:p>
            <w:pPr>
              <w:spacing w:after="0"/>
              <w:rPr>
                <w:sz w:val="9"/>
                <w:szCs w:val="9"/>
                <w:color w:val="auto"/>
              </w:rPr>
            </w:pPr>
          </w:p>
        </w:tc>
        <w:tc>
          <w:tcPr>
            <w:tcW w:w="460" w:type="dxa"/>
            <w:vAlign w:val="bottom"/>
          </w:tcPr>
          <w:p>
            <w:pPr>
              <w:spacing w:after="0"/>
              <w:rPr>
                <w:sz w:val="9"/>
                <w:szCs w:val="9"/>
                <w:color w:val="auto"/>
              </w:rPr>
            </w:pPr>
          </w:p>
        </w:tc>
        <w:tc>
          <w:tcPr>
            <w:tcW w:w="100" w:type="dxa"/>
            <w:vAlign w:val="bottom"/>
          </w:tcPr>
          <w:p>
            <w:pPr>
              <w:spacing w:after="0"/>
              <w:rPr>
                <w:sz w:val="9"/>
                <w:szCs w:val="9"/>
                <w:color w:val="auto"/>
              </w:rPr>
            </w:pPr>
          </w:p>
        </w:tc>
        <w:tc>
          <w:tcPr>
            <w:tcW w:w="82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820" w:type="dxa"/>
            <w:vAlign w:val="bottom"/>
          </w:tcPr>
          <w:p>
            <w:pPr>
              <w:spacing w:after="0"/>
              <w:rPr>
                <w:sz w:val="9"/>
                <w:szCs w:val="9"/>
                <w:color w:val="auto"/>
              </w:rPr>
            </w:pPr>
          </w:p>
        </w:tc>
        <w:tc>
          <w:tcPr>
            <w:tcW w:w="120" w:type="dxa"/>
            <w:vAlign w:val="bottom"/>
          </w:tcPr>
          <w:p>
            <w:pPr>
              <w:spacing w:after="0"/>
              <w:rPr>
                <w:sz w:val="9"/>
                <w:szCs w:val="9"/>
                <w:color w:val="auto"/>
              </w:rPr>
            </w:pPr>
          </w:p>
        </w:tc>
        <w:tc>
          <w:tcPr>
            <w:tcW w:w="780" w:type="dxa"/>
            <w:vAlign w:val="bottom"/>
          </w:tcPr>
          <w:p>
            <w:pPr>
              <w:spacing w:after="0"/>
              <w:rPr>
                <w:sz w:val="9"/>
                <w:szCs w:val="9"/>
                <w:color w:val="auto"/>
              </w:rPr>
            </w:pPr>
          </w:p>
        </w:tc>
        <w:tc>
          <w:tcPr>
            <w:tcW w:w="100" w:type="dxa"/>
            <w:vAlign w:val="bottom"/>
          </w:tcPr>
          <w:p>
            <w:pPr>
              <w:spacing w:after="0"/>
              <w:rPr>
                <w:sz w:val="9"/>
                <w:szCs w:val="9"/>
                <w:color w:val="auto"/>
              </w:rPr>
            </w:pPr>
          </w:p>
        </w:tc>
        <w:tc>
          <w:tcPr>
            <w:tcW w:w="7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U.S. Dollars</w:t>
            </w:r>
          </w:p>
        </w:tc>
        <w:tc>
          <w:tcPr>
            <w:tcW w:w="8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36,294</w:t>
            </w:r>
          </w:p>
        </w:tc>
        <w:tc>
          <w:tcPr>
            <w:tcW w:w="1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10,231</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35,237</w:t>
            </w:r>
          </w:p>
        </w:tc>
        <w:tc>
          <w:tcPr>
            <w:tcW w:w="360" w:type="dxa"/>
            <w:vAlign w:val="bottom"/>
            <w:shd w:val="clear" w:color="auto" w:fill="CCEEFF"/>
          </w:tcPr>
          <w:p>
            <w:pPr>
              <w:spacing w:after="0"/>
              <w:rPr>
                <w:sz w:val="9"/>
                <w:szCs w:val="9"/>
                <w:color w:val="auto"/>
              </w:rPr>
            </w:pPr>
          </w:p>
        </w:tc>
        <w:tc>
          <w:tcPr>
            <w:tcW w:w="560" w:type="dxa"/>
            <w:vAlign w:val="bottom"/>
            <w:gridSpan w:val="2"/>
            <w:shd w:val="clear" w:color="auto" w:fill="CCEEFF"/>
          </w:tcPr>
          <w:p>
            <w:pPr>
              <w:jc w:val="right"/>
              <w:ind w:right="100"/>
              <w:spacing w:after="0" w:line="106" w:lineRule="exact"/>
              <w:rPr>
                <w:sz w:val="20"/>
                <w:szCs w:val="20"/>
                <w:color w:val="auto"/>
              </w:rPr>
            </w:pPr>
            <w:r>
              <w:rPr>
                <w:rFonts w:ascii="Arial" w:cs="Arial" w:eastAsia="Arial" w:hAnsi="Arial"/>
                <w:sz w:val="10"/>
                <w:szCs w:val="10"/>
                <w:color w:val="auto"/>
              </w:rPr>
              <w:t>19,204</w:t>
            </w:r>
          </w:p>
        </w:tc>
        <w:tc>
          <w:tcPr>
            <w:tcW w:w="94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6,158</w:t>
            </w:r>
          </w:p>
        </w:tc>
        <w:tc>
          <w:tcPr>
            <w:tcW w:w="94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880" w:type="dxa"/>
            <w:vAlign w:val="bottom"/>
            <w:gridSpan w:val="2"/>
            <w:shd w:val="clear" w:color="auto" w:fill="CCEEFF"/>
          </w:tcPr>
          <w:p>
            <w:pPr>
              <w:jc w:val="right"/>
              <w:ind w:right="100"/>
              <w:spacing w:after="0" w:line="106" w:lineRule="exact"/>
              <w:rPr>
                <w:sz w:val="20"/>
                <w:szCs w:val="20"/>
                <w:color w:val="auto"/>
              </w:rPr>
            </w:pPr>
            <w:r>
              <w:rPr>
                <w:rFonts w:ascii="Arial" w:cs="Arial" w:eastAsia="Arial" w:hAnsi="Arial"/>
                <w:sz w:val="10"/>
                <w:szCs w:val="10"/>
                <w:color w:val="auto"/>
              </w:rPr>
              <w:t>107,124</w:t>
            </w:r>
          </w:p>
        </w:tc>
        <w:tc>
          <w:tcPr>
            <w:tcW w:w="90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106,834</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ind w:left="100"/>
              <w:spacing w:after="0" w:line="106" w:lineRule="exact"/>
              <w:rPr>
                <w:sz w:val="20"/>
                <w:szCs w:val="20"/>
                <w:color w:val="auto"/>
              </w:rPr>
            </w:pPr>
            <w:r>
              <w:rPr>
                <w:rFonts w:ascii="Arial" w:cs="Arial" w:eastAsia="Arial" w:hAnsi="Arial"/>
                <w:sz w:val="10"/>
                <w:szCs w:val="10"/>
                <w:color w:val="auto"/>
              </w:rPr>
              <w:t>Average fixed rate</w:t>
            </w:r>
          </w:p>
        </w:tc>
        <w:tc>
          <w:tcPr>
            <w:tcW w:w="920" w:type="dxa"/>
            <w:vAlign w:val="bottom"/>
            <w:gridSpan w:val="2"/>
          </w:tcPr>
          <w:p>
            <w:pPr>
              <w:jc w:val="right"/>
              <w:ind w:right="40"/>
              <w:spacing w:after="0" w:line="106" w:lineRule="exact"/>
              <w:rPr>
                <w:sz w:val="20"/>
                <w:szCs w:val="20"/>
                <w:color w:val="auto"/>
              </w:rPr>
            </w:pPr>
            <w:r>
              <w:rPr>
                <w:rFonts w:ascii="Arial" w:cs="Arial" w:eastAsia="Arial" w:hAnsi="Arial"/>
                <w:sz w:val="10"/>
                <w:szCs w:val="10"/>
                <w:color w:val="auto"/>
              </w:rPr>
              <w:t>6.99%</w:t>
            </w:r>
          </w:p>
        </w:tc>
        <w:tc>
          <w:tcPr>
            <w:tcW w:w="92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4.86%</w:t>
            </w:r>
          </w:p>
        </w:tc>
        <w:tc>
          <w:tcPr>
            <w:tcW w:w="92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4.35%</w:t>
            </w:r>
          </w:p>
        </w:tc>
        <w:tc>
          <w:tcPr>
            <w:tcW w:w="360" w:type="dxa"/>
            <w:vAlign w:val="bottom"/>
          </w:tcPr>
          <w:p>
            <w:pPr>
              <w:spacing w:after="0"/>
              <w:rPr>
                <w:sz w:val="9"/>
                <w:szCs w:val="9"/>
                <w:color w:val="auto"/>
              </w:rPr>
            </w:pPr>
          </w:p>
        </w:tc>
        <w:tc>
          <w:tcPr>
            <w:tcW w:w="56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4.87%</w:t>
            </w:r>
          </w:p>
        </w:tc>
        <w:tc>
          <w:tcPr>
            <w:tcW w:w="94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40"/>
              <w:spacing w:after="0" w:line="106" w:lineRule="exact"/>
              <w:rPr>
                <w:sz w:val="20"/>
                <w:szCs w:val="20"/>
                <w:color w:val="auto"/>
              </w:rPr>
            </w:pPr>
            <w:r>
              <w:rPr>
                <w:rFonts w:ascii="Arial" w:cs="Arial" w:eastAsia="Arial" w:hAnsi="Arial"/>
                <w:sz w:val="10"/>
                <w:szCs w:val="10"/>
                <w:color w:val="auto"/>
              </w:rPr>
              <w:t>9.45%</w:t>
            </w:r>
          </w:p>
        </w:tc>
        <w:tc>
          <w:tcPr>
            <w:tcW w:w="94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88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5.68%</w:t>
            </w:r>
          </w:p>
        </w:tc>
        <w:tc>
          <w:tcPr>
            <w:tcW w:w="7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restart"/>
          </w:tcPr>
          <w:p>
            <w:pPr>
              <w:spacing w:after="0"/>
              <w:rPr>
                <w:sz w:val="9"/>
                <w:szCs w:val="9"/>
                <w:color w:val="auto"/>
              </w:rPr>
            </w:pPr>
          </w:p>
        </w:tc>
        <w:tc>
          <w:tcPr>
            <w:tcW w:w="320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36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8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7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continue"/>
          </w:tcPr>
          <w:p>
            <w:pPr>
              <w:spacing w:after="0"/>
              <w:rPr>
                <w:sz w:val="9"/>
                <w:szCs w:val="9"/>
                <w:color w:val="auto"/>
              </w:rPr>
            </w:pPr>
          </w:p>
        </w:tc>
        <w:tc>
          <w:tcPr>
            <w:tcW w:w="3200" w:type="dxa"/>
            <w:vAlign w:val="bottom"/>
          </w:tcPr>
          <w:p>
            <w:pPr>
              <w:spacing w:after="0" w:line="106" w:lineRule="exact"/>
              <w:rPr>
                <w:sz w:val="20"/>
                <w:szCs w:val="20"/>
                <w:color w:val="auto"/>
              </w:rPr>
            </w:pPr>
            <w:r>
              <w:rPr>
                <w:rFonts w:ascii="Arial" w:cs="Arial" w:eastAsia="Arial" w:hAnsi="Arial"/>
                <w:sz w:val="10"/>
                <w:szCs w:val="10"/>
                <w:b w:val="1"/>
                <w:bCs w:val="1"/>
                <w:color w:val="auto"/>
              </w:rPr>
              <w:t>Loans</w:t>
            </w: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360" w:type="dxa"/>
            <w:vAlign w:val="bottom"/>
          </w:tcPr>
          <w:p>
            <w:pPr>
              <w:spacing w:after="0"/>
              <w:rPr>
                <w:sz w:val="9"/>
                <w:szCs w:val="9"/>
                <w:color w:val="auto"/>
              </w:rPr>
            </w:pPr>
          </w:p>
        </w:tc>
        <w:tc>
          <w:tcPr>
            <w:tcW w:w="460" w:type="dxa"/>
            <w:vAlign w:val="bottom"/>
          </w:tcPr>
          <w:p>
            <w:pPr>
              <w:spacing w:after="0"/>
              <w:rPr>
                <w:sz w:val="9"/>
                <w:szCs w:val="9"/>
                <w:color w:val="auto"/>
              </w:rPr>
            </w:pPr>
          </w:p>
        </w:tc>
        <w:tc>
          <w:tcPr>
            <w:tcW w:w="100" w:type="dxa"/>
            <w:vAlign w:val="bottom"/>
          </w:tcPr>
          <w:p>
            <w:pPr>
              <w:spacing w:after="0"/>
              <w:rPr>
                <w:sz w:val="9"/>
                <w:szCs w:val="9"/>
                <w:color w:val="auto"/>
              </w:rPr>
            </w:pPr>
          </w:p>
        </w:tc>
        <w:tc>
          <w:tcPr>
            <w:tcW w:w="82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820" w:type="dxa"/>
            <w:vAlign w:val="bottom"/>
          </w:tcPr>
          <w:p>
            <w:pPr>
              <w:spacing w:after="0"/>
              <w:rPr>
                <w:sz w:val="9"/>
                <w:szCs w:val="9"/>
                <w:color w:val="auto"/>
              </w:rPr>
            </w:pPr>
          </w:p>
        </w:tc>
        <w:tc>
          <w:tcPr>
            <w:tcW w:w="120" w:type="dxa"/>
            <w:vAlign w:val="bottom"/>
          </w:tcPr>
          <w:p>
            <w:pPr>
              <w:spacing w:after="0"/>
              <w:rPr>
                <w:sz w:val="9"/>
                <w:szCs w:val="9"/>
                <w:color w:val="auto"/>
              </w:rPr>
            </w:pPr>
          </w:p>
        </w:tc>
        <w:tc>
          <w:tcPr>
            <w:tcW w:w="780" w:type="dxa"/>
            <w:vAlign w:val="bottom"/>
          </w:tcPr>
          <w:p>
            <w:pPr>
              <w:spacing w:after="0"/>
              <w:rPr>
                <w:sz w:val="9"/>
                <w:szCs w:val="9"/>
                <w:color w:val="auto"/>
              </w:rPr>
            </w:pPr>
          </w:p>
        </w:tc>
        <w:tc>
          <w:tcPr>
            <w:tcW w:w="100" w:type="dxa"/>
            <w:vAlign w:val="bottom"/>
          </w:tcPr>
          <w:p>
            <w:pPr>
              <w:spacing w:after="0"/>
              <w:rPr>
                <w:sz w:val="9"/>
                <w:szCs w:val="9"/>
                <w:color w:val="auto"/>
              </w:rPr>
            </w:pPr>
          </w:p>
        </w:tc>
        <w:tc>
          <w:tcPr>
            <w:tcW w:w="7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spacing w:after="0" w:line="106" w:lineRule="exact"/>
              <w:rPr>
                <w:sz w:val="20"/>
                <w:szCs w:val="20"/>
                <w:color w:val="auto"/>
              </w:rPr>
            </w:pPr>
            <w:r>
              <w:rPr>
                <w:rFonts w:ascii="Arial" w:cs="Arial" w:eastAsia="Arial" w:hAnsi="Arial"/>
                <w:sz w:val="10"/>
                <w:szCs w:val="10"/>
                <w:color w:val="auto"/>
              </w:rPr>
              <w:t>Fixed rate</w:t>
            </w: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36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8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7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ind w:left="100"/>
              <w:spacing w:after="0" w:line="106" w:lineRule="exact"/>
              <w:rPr>
                <w:sz w:val="20"/>
                <w:szCs w:val="20"/>
                <w:color w:val="auto"/>
              </w:rPr>
            </w:pPr>
            <w:r>
              <w:rPr>
                <w:rFonts w:ascii="Arial" w:cs="Arial" w:eastAsia="Arial" w:hAnsi="Arial"/>
                <w:sz w:val="10"/>
                <w:szCs w:val="10"/>
                <w:color w:val="auto"/>
              </w:rPr>
              <w:t>U.S. Dollars</w:t>
            </w:r>
          </w:p>
        </w:tc>
        <w:tc>
          <w:tcPr>
            <w:tcW w:w="800" w:type="dxa"/>
            <w:vAlign w:val="bottom"/>
          </w:tcPr>
          <w:p>
            <w:pPr>
              <w:jc w:val="right"/>
              <w:spacing w:after="0" w:line="106" w:lineRule="exact"/>
              <w:rPr>
                <w:sz w:val="20"/>
                <w:szCs w:val="20"/>
                <w:color w:val="auto"/>
              </w:rPr>
            </w:pPr>
            <w:r>
              <w:rPr>
                <w:rFonts w:ascii="Arial" w:cs="Arial" w:eastAsia="Arial" w:hAnsi="Arial"/>
                <w:sz w:val="10"/>
                <w:szCs w:val="10"/>
                <w:color w:val="auto"/>
              </w:rPr>
              <w:t>2,492,636</w:t>
            </w:r>
          </w:p>
        </w:tc>
        <w:tc>
          <w:tcPr>
            <w:tcW w:w="120" w:type="dxa"/>
            <w:vAlign w:val="bottom"/>
          </w:tcPr>
          <w:p>
            <w:pPr>
              <w:spacing w:after="0"/>
              <w:rPr>
                <w:sz w:val="9"/>
                <w:szCs w:val="9"/>
                <w:color w:val="auto"/>
              </w:rPr>
            </w:pP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75,806</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24,501</w:t>
            </w:r>
          </w:p>
        </w:tc>
        <w:tc>
          <w:tcPr>
            <w:tcW w:w="360" w:type="dxa"/>
            <w:vAlign w:val="bottom"/>
          </w:tcPr>
          <w:p>
            <w:pPr>
              <w:spacing w:after="0"/>
              <w:rPr>
                <w:sz w:val="9"/>
                <w:szCs w:val="9"/>
                <w:color w:val="auto"/>
              </w:rPr>
            </w:pPr>
          </w:p>
        </w:tc>
        <w:tc>
          <w:tcPr>
            <w:tcW w:w="56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14,304</w:t>
            </w:r>
          </w:p>
        </w:tc>
        <w:tc>
          <w:tcPr>
            <w:tcW w:w="94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14,542</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7,602</w:t>
            </w:r>
          </w:p>
        </w:tc>
        <w:tc>
          <w:tcPr>
            <w:tcW w:w="94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88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2,629,391</w:t>
            </w:r>
          </w:p>
        </w:tc>
        <w:tc>
          <w:tcPr>
            <w:tcW w:w="90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2,681,520</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Average fixed rate</w:t>
            </w:r>
          </w:p>
        </w:tc>
        <w:tc>
          <w:tcPr>
            <w:tcW w:w="920" w:type="dxa"/>
            <w:vAlign w:val="bottom"/>
            <w:gridSpan w:val="2"/>
            <w:shd w:val="clear" w:color="auto" w:fill="CCEEFF"/>
          </w:tcPr>
          <w:p>
            <w:pPr>
              <w:jc w:val="right"/>
              <w:ind w:right="40"/>
              <w:spacing w:after="0" w:line="106" w:lineRule="exact"/>
              <w:rPr>
                <w:sz w:val="20"/>
                <w:szCs w:val="20"/>
                <w:color w:val="auto"/>
              </w:rPr>
            </w:pPr>
            <w:r>
              <w:rPr>
                <w:rFonts w:ascii="Arial" w:cs="Arial" w:eastAsia="Arial" w:hAnsi="Arial"/>
                <w:sz w:val="10"/>
                <w:szCs w:val="10"/>
                <w:color w:val="auto"/>
              </w:rPr>
              <w:t>4.31%</w:t>
            </w:r>
          </w:p>
        </w:tc>
        <w:tc>
          <w:tcPr>
            <w:tcW w:w="92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5.90%</w:t>
            </w:r>
          </w:p>
        </w:tc>
        <w:tc>
          <w:tcPr>
            <w:tcW w:w="92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6.07%</w:t>
            </w:r>
          </w:p>
        </w:tc>
        <w:tc>
          <w:tcPr>
            <w:tcW w:w="360" w:type="dxa"/>
            <w:vAlign w:val="bottom"/>
            <w:shd w:val="clear" w:color="auto" w:fill="CCEEFF"/>
          </w:tcPr>
          <w:p>
            <w:pPr>
              <w:spacing w:after="0"/>
              <w:rPr>
                <w:sz w:val="9"/>
                <w:szCs w:val="9"/>
                <w:color w:val="auto"/>
              </w:rPr>
            </w:pPr>
          </w:p>
        </w:tc>
        <w:tc>
          <w:tcPr>
            <w:tcW w:w="56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7.46%</w:t>
            </w:r>
          </w:p>
        </w:tc>
        <w:tc>
          <w:tcPr>
            <w:tcW w:w="940" w:type="dxa"/>
            <w:vAlign w:val="bottom"/>
            <w:gridSpan w:val="2"/>
            <w:shd w:val="clear" w:color="auto" w:fill="CCEEFF"/>
          </w:tcPr>
          <w:p>
            <w:pPr>
              <w:jc w:val="right"/>
              <w:ind w:right="40"/>
              <w:spacing w:after="0" w:line="106" w:lineRule="exact"/>
              <w:rPr>
                <w:sz w:val="20"/>
                <w:szCs w:val="20"/>
                <w:color w:val="auto"/>
              </w:rPr>
            </w:pPr>
            <w:r>
              <w:rPr>
                <w:rFonts w:ascii="Arial" w:cs="Arial" w:eastAsia="Arial" w:hAnsi="Arial"/>
                <w:sz w:val="10"/>
                <w:szCs w:val="10"/>
                <w:color w:val="auto"/>
              </w:rPr>
              <w:t>7.40%</w:t>
            </w:r>
          </w:p>
        </w:tc>
        <w:tc>
          <w:tcPr>
            <w:tcW w:w="920" w:type="dxa"/>
            <w:vAlign w:val="bottom"/>
            <w:gridSpan w:val="2"/>
            <w:shd w:val="clear" w:color="auto" w:fill="CCEEFF"/>
          </w:tcPr>
          <w:p>
            <w:pPr>
              <w:jc w:val="right"/>
              <w:ind w:right="40"/>
              <w:spacing w:after="0" w:line="106" w:lineRule="exact"/>
              <w:rPr>
                <w:sz w:val="20"/>
                <w:szCs w:val="20"/>
                <w:color w:val="auto"/>
              </w:rPr>
            </w:pPr>
            <w:r>
              <w:rPr>
                <w:rFonts w:ascii="Arial" w:cs="Arial" w:eastAsia="Arial" w:hAnsi="Arial"/>
                <w:sz w:val="10"/>
                <w:szCs w:val="10"/>
                <w:color w:val="auto"/>
              </w:rPr>
              <w:t>4.00%</w:t>
            </w:r>
          </w:p>
        </w:tc>
        <w:tc>
          <w:tcPr>
            <w:tcW w:w="94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88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4.41%</w:t>
            </w: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ind w:left="100"/>
              <w:spacing w:after="0" w:line="106" w:lineRule="exact"/>
              <w:rPr>
                <w:sz w:val="20"/>
                <w:szCs w:val="20"/>
                <w:color w:val="auto"/>
              </w:rPr>
            </w:pPr>
            <w:r>
              <w:rPr>
                <w:rFonts w:ascii="Arial" w:cs="Arial" w:eastAsia="Arial" w:hAnsi="Arial"/>
                <w:sz w:val="10"/>
                <w:szCs w:val="10"/>
                <w:color w:val="auto"/>
              </w:rPr>
              <w:t>Mexican Peso</w:t>
            </w:r>
          </w:p>
        </w:tc>
        <w:tc>
          <w:tcPr>
            <w:tcW w:w="800" w:type="dxa"/>
            <w:vAlign w:val="bottom"/>
          </w:tcPr>
          <w:p>
            <w:pPr>
              <w:jc w:val="right"/>
              <w:spacing w:after="0" w:line="106" w:lineRule="exact"/>
              <w:rPr>
                <w:sz w:val="20"/>
                <w:szCs w:val="20"/>
                <w:color w:val="auto"/>
              </w:rPr>
            </w:pPr>
            <w:r>
              <w:rPr>
                <w:rFonts w:ascii="Arial" w:cs="Arial" w:eastAsia="Arial" w:hAnsi="Arial"/>
                <w:sz w:val="10"/>
                <w:szCs w:val="10"/>
                <w:color w:val="auto"/>
              </w:rPr>
              <w:t>67,224</w:t>
            </w:r>
          </w:p>
        </w:tc>
        <w:tc>
          <w:tcPr>
            <w:tcW w:w="120" w:type="dxa"/>
            <w:vAlign w:val="bottom"/>
          </w:tcPr>
          <w:p>
            <w:pPr>
              <w:spacing w:after="0"/>
              <w:rPr>
                <w:sz w:val="9"/>
                <w:szCs w:val="9"/>
                <w:color w:val="auto"/>
              </w:rPr>
            </w:pP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2,800</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963</w:t>
            </w:r>
          </w:p>
        </w:tc>
        <w:tc>
          <w:tcPr>
            <w:tcW w:w="36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457</w:t>
            </w:r>
          </w:p>
        </w:tc>
        <w:tc>
          <w:tcPr>
            <w:tcW w:w="100" w:type="dxa"/>
            <w:vAlign w:val="bottom"/>
          </w:tcPr>
          <w:p>
            <w:pPr>
              <w:spacing w:after="0"/>
              <w:rPr>
                <w:sz w:val="9"/>
                <w:szCs w:val="9"/>
                <w:color w:val="auto"/>
              </w:rPr>
            </w:pPr>
          </w:p>
        </w:tc>
        <w:tc>
          <w:tcPr>
            <w:tcW w:w="94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88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71,445</w:t>
            </w:r>
          </w:p>
        </w:tc>
        <w:tc>
          <w:tcPr>
            <w:tcW w:w="90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71,532</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Average fixed rate</w:t>
            </w:r>
          </w:p>
        </w:tc>
        <w:tc>
          <w:tcPr>
            <w:tcW w:w="920" w:type="dxa"/>
            <w:vAlign w:val="bottom"/>
            <w:gridSpan w:val="2"/>
            <w:shd w:val="clear" w:color="auto" w:fill="CCEEFF"/>
          </w:tcPr>
          <w:p>
            <w:pPr>
              <w:jc w:val="right"/>
              <w:ind w:right="40"/>
              <w:spacing w:after="0" w:line="106" w:lineRule="exact"/>
              <w:rPr>
                <w:sz w:val="20"/>
                <w:szCs w:val="20"/>
                <w:color w:val="auto"/>
              </w:rPr>
            </w:pPr>
            <w:r>
              <w:rPr>
                <w:rFonts w:ascii="Arial" w:cs="Arial" w:eastAsia="Arial" w:hAnsi="Arial"/>
                <w:sz w:val="10"/>
                <w:szCs w:val="10"/>
                <w:color w:val="auto"/>
              </w:rPr>
              <w:t>10.37%</w:t>
            </w:r>
          </w:p>
        </w:tc>
        <w:tc>
          <w:tcPr>
            <w:tcW w:w="92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9.12%</w:t>
            </w:r>
          </w:p>
        </w:tc>
        <w:tc>
          <w:tcPr>
            <w:tcW w:w="92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1050%</w:t>
            </w:r>
          </w:p>
        </w:tc>
        <w:tc>
          <w:tcPr>
            <w:tcW w:w="360" w:type="dxa"/>
            <w:vAlign w:val="bottom"/>
            <w:shd w:val="clear" w:color="auto" w:fill="CCEEFF"/>
          </w:tcPr>
          <w:p>
            <w:pPr>
              <w:spacing w:after="0"/>
              <w:rPr>
                <w:sz w:val="9"/>
                <w:szCs w:val="9"/>
                <w:color w:val="auto"/>
              </w:rPr>
            </w:pPr>
          </w:p>
        </w:tc>
        <w:tc>
          <w:tcPr>
            <w:tcW w:w="56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12.53%</w:t>
            </w:r>
          </w:p>
        </w:tc>
        <w:tc>
          <w:tcPr>
            <w:tcW w:w="94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88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10.34%</w:t>
            </w: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ind w:left="100"/>
              <w:spacing w:after="0" w:line="106" w:lineRule="exact"/>
              <w:rPr>
                <w:sz w:val="20"/>
                <w:szCs w:val="20"/>
                <w:color w:val="auto"/>
              </w:rPr>
            </w:pPr>
            <w:r>
              <w:rPr>
                <w:rFonts w:ascii="Arial" w:cs="Arial" w:eastAsia="Arial" w:hAnsi="Arial"/>
                <w:sz w:val="10"/>
                <w:szCs w:val="10"/>
                <w:color w:val="auto"/>
              </w:rPr>
              <w:t>Euro Dollar</w:t>
            </w:r>
          </w:p>
        </w:tc>
        <w:tc>
          <w:tcPr>
            <w:tcW w:w="800" w:type="dxa"/>
            <w:vAlign w:val="bottom"/>
          </w:tcPr>
          <w:p>
            <w:pPr>
              <w:jc w:val="right"/>
              <w:spacing w:after="0" w:line="106" w:lineRule="exact"/>
              <w:rPr>
                <w:sz w:val="20"/>
                <w:szCs w:val="20"/>
                <w:color w:val="auto"/>
              </w:rPr>
            </w:pPr>
            <w:r>
              <w:rPr>
                <w:rFonts w:ascii="Arial" w:cs="Arial" w:eastAsia="Arial" w:hAnsi="Arial"/>
                <w:sz w:val="10"/>
                <w:szCs w:val="10"/>
                <w:color w:val="auto"/>
              </w:rPr>
              <w:t>1,521</w:t>
            </w:r>
          </w:p>
        </w:tc>
        <w:tc>
          <w:tcPr>
            <w:tcW w:w="120" w:type="dxa"/>
            <w:vAlign w:val="bottom"/>
          </w:tcPr>
          <w:p>
            <w:pPr>
              <w:spacing w:after="0"/>
              <w:rPr>
                <w:sz w:val="9"/>
                <w:szCs w:val="9"/>
                <w:color w:val="auto"/>
              </w:rPr>
            </w:pP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4,478</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36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tcPr>
          <w:p>
            <w:pPr>
              <w:spacing w:after="0"/>
              <w:rPr>
                <w:sz w:val="9"/>
                <w:szCs w:val="9"/>
                <w:color w:val="auto"/>
              </w:rPr>
            </w:pPr>
          </w:p>
        </w:tc>
        <w:tc>
          <w:tcPr>
            <w:tcW w:w="94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88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5,999</w:t>
            </w:r>
          </w:p>
        </w:tc>
        <w:tc>
          <w:tcPr>
            <w:tcW w:w="90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6,081</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Average fixed rate</w:t>
            </w:r>
          </w:p>
        </w:tc>
        <w:tc>
          <w:tcPr>
            <w:tcW w:w="920" w:type="dxa"/>
            <w:vAlign w:val="bottom"/>
            <w:gridSpan w:val="2"/>
            <w:shd w:val="clear" w:color="auto" w:fill="CCEEFF"/>
          </w:tcPr>
          <w:p>
            <w:pPr>
              <w:jc w:val="right"/>
              <w:ind w:right="40"/>
              <w:spacing w:after="0" w:line="106" w:lineRule="exact"/>
              <w:rPr>
                <w:sz w:val="20"/>
                <w:szCs w:val="20"/>
                <w:color w:val="auto"/>
              </w:rPr>
            </w:pPr>
            <w:r>
              <w:rPr>
                <w:rFonts w:ascii="Arial" w:cs="Arial" w:eastAsia="Arial" w:hAnsi="Arial"/>
                <w:sz w:val="10"/>
                <w:szCs w:val="10"/>
                <w:color w:val="auto"/>
              </w:rPr>
              <w:t>1.80%</w:t>
            </w:r>
          </w:p>
        </w:tc>
        <w:tc>
          <w:tcPr>
            <w:tcW w:w="92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1.20%</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36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shd w:val="clear" w:color="auto" w:fill="CCEEFF"/>
          </w:tcPr>
          <w:p>
            <w:pPr>
              <w:spacing w:after="0"/>
              <w:rPr>
                <w:sz w:val="9"/>
                <w:szCs w:val="9"/>
                <w:color w:val="auto"/>
              </w:rPr>
            </w:pPr>
          </w:p>
        </w:tc>
        <w:tc>
          <w:tcPr>
            <w:tcW w:w="94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88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1.35%</w:t>
            </w: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spacing w:after="0" w:line="106" w:lineRule="exact"/>
              <w:rPr>
                <w:sz w:val="20"/>
                <w:szCs w:val="20"/>
                <w:color w:val="auto"/>
              </w:rPr>
            </w:pPr>
            <w:r>
              <w:rPr>
                <w:rFonts w:ascii="Arial" w:cs="Arial" w:eastAsia="Arial" w:hAnsi="Arial"/>
                <w:sz w:val="10"/>
                <w:szCs w:val="10"/>
                <w:color w:val="auto"/>
              </w:rPr>
              <w:t>Floating rate</w:t>
            </w: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360" w:type="dxa"/>
            <w:vAlign w:val="bottom"/>
          </w:tcPr>
          <w:p>
            <w:pPr>
              <w:spacing w:after="0"/>
              <w:rPr>
                <w:sz w:val="9"/>
                <w:szCs w:val="9"/>
                <w:color w:val="auto"/>
              </w:rPr>
            </w:pPr>
          </w:p>
        </w:tc>
        <w:tc>
          <w:tcPr>
            <w:tcW w:w="460" w:type="dxa"/>
            <w:vAlign w:val="bottom"/>
          </w:tcPr>
          <w:p>
            <w:pPr>
              <w:spacing w:after="0"/>
              <w:rPr>
                <w:sz w:val="9"/>
                <w:szCs w:val="9"/>
                <w:color w:val="auto"/>
              </w:rPr>
            </w:pPr>
          </w:p>
        </w:tc>
        <w:tc>
          <w:tcPr>
            <w:tcW w:w="100" w:type="dxa"/>
            <w:vAlign w:val="bottom"/>
          </w:tcPr>
          <w:p>
            <w:pPr>
              <w:spacing w:after="0"/>
              <w:rPr>
                <w:sz w:val="9"/>
                <w:szCs w:val="9"/>
                <w:color w:val="auto"/>
              </w:rPr>
            </w:pPr>
          </w:p>
        </w:tc>
        <w:tc>
          <w:tcPr>
            <w:tcW w:w="82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820" w:type="dxa"/>
            <w:vAlign w:val="bottom"/>
          </w:tcPr>
          <w:p>
            <w:pPr>
              <w:spacing w:after="0"/>
              <w:rPr>
                <w:sz w:val="9"/>
                <w:szCs w:val="9"/>
                <w:color w:val="auto"/>
              </w:rPr>
            </w:pPr>
          </w:p>
        </w:tc>
        <w:tc>
          <w:tcPr>
            <w:tcW w:w="120" w:type="dxa"/>
            <w:vAlign w:val="bottom"/>
          </w:tcPr>
          <w:p>
            <w:pPr>
              <w:spacing w:after="0"/>
              <w:rPr>
                <w:sz w:val="9"/>
                <w:szCs w:val="9"/>
                <w:color w:val="auto"/>
              </w:rPr>
            </w:pPr>
          </w:p>
        </w:tc>
        <w:tc>
          <w:tcPr>
            <w:tcW w:w="780" w:type="dxa"/>
            <w:vAlign w:val="bottom"/>
          </w:tcPr>
          <w:p>
            <w:pPr>
              <w:spacing w:after="0"/>
              <w:rPr>
                <w:sz w:val="9"/>
                <w:szCs w:val="9"/>
                <w:color w:val="auto"/>
              </w:rPr>
            </w:pPr>
          </w:p>
        </w:tc>
        <w:tc>
          <w:tcPr>
            <w:tcW w:w="100" w:type="dxa"/>
            <w:vAlign w:val="bottom"/>
          </w:tcPr>
          <w:p>
            <w:pPr>
              <w:spacing w:after="0"/>
              <w:rPr>
                <w:sz w:val="9"/>
                <w:szCs w:val="9"/>
                <w:color w:val="auto"/>
              </w:rPr>
            </w:pPr>
          </w:p>
        </w:tc>
        <w:tc>
          <w:tcPr>
            <w:tcW w:w="7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U.S. Dollars</w:t>
            </w:r>
          </w:p>
        </w:tc>
        <w:tc>
          <w:tcPr>
            <w:tcW w:w="8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1,625,047</w:t>
            </w:r>
          </w:p>
        </w:tc>
        <w:tc>
          <w:tcPr>
            <w:tcW w:w="1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676,278</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329,875</w:t>
            </w:r>
          </w:p>
        </w:tc>
        <w:tc>
          <w:tcPr>
            <w:tcW w:w="360" w:type="dxa"/>
            <w:vAlign w:val="bottom"/>
            <w:shd w:val="clear" w:color="auto" w:fill="CCEEFF"/>
          </w:tcPr>
          <w:p>
            <w:pPr>
              <w:spacing w:after="0"/>
              <w:rPr>
                <w:sz w:val="9"/>
                <w:szCs w:val="9"/>
                <w:color w:val="auto"/>
              </w:rPr>
            </w:pPr>
          </w:p>
        </w:tc>
        <w:tc>
          <w:tcPr>
            <w:tcW w:w="560" w:type="dxa"/>
            <w:vAlign w:val="bottom"/>
            <w:gridSpan w:val="2"/>
            <w:shd w:val="clear" w:color="auto" w:fill="CCEEFF"/>
          </w:tcPr>
          <w:p>
            <w:pPr>
              <w:jc w:val="right"/>
              <w:ind w:right="100"/>
              <w:spacing w:after="0" w:line="106" w:lineRule="exact"/>
              <w:rPr>
                <w:sz w:val="20"/>
                <w:szCs w:val="20"/>
                <w:color w:val="auto"/>
              </w:rPr>
            </w:pPr>
            <w:r>
              <w:rPr>
                <w:rFonts w:ascii="Arial" w:cs="Arial" w:eastAsia="Arial" w:hAnsi="Arial"/>
                <w:sz w:val="10"/>
                <w:szCs w:val="10"/>
                <w:color w:val="auto"/>
              </w:rPr>
              <w:t>206,623</w:t>
            </w:r>
          </w:p>
        </w:tc>
        <w:tc>
          <w:tcPr>
            <w:tcW w:w="94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71,255</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4,237</w:t>
            </w:r>
          </w:p>
        </w:tc>
        <w:tc>
          <w:tcPr>
            <w:tcW w:w="94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880" w:type="dxa"/>
            <w:vAlign w:val="bottom"/>
            <w:gridSpan w:val="2"/>
            <w:shd w:val="clear" w:color="auto" w:fill="CCEEFF"/>
          </w:tcPr>
          <w:p>
            <w:pPr>
              <w:jc w:val="right"/>
              <w:ind w:right="100"/>
              <w:spacing w:after="0" w:line="106" w:lineRule="exact"/>
              <w:rPr>
                <w:sz w:val="20"/>
                <w:szCs w:val="20"/>
                <w:color w:val="auto"/>
              </w:rPr>
            </w:pPr>
            <w:r>
              <w:rPr>
                <w:rFonts w:ascii="Arial" w:cs="Arial" w:eastAsia="Arial" w:hAnsi="Arial"/>
                <w:sz w:val="10"/>
                <w:szCs w:val="10"/>
                <w:color w:val="auto"/>
              </w:rPr>
              <w:t>2,913,315</w:t>
            </w:r>
          </w:p>
        </w:tc>
        <w:tc>
          <w:tcPr>
            <w:tcW w:w="90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3,086,163</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ind w:left="100"/>
              <w:spacing w:after="0" w:line="106" w:lineRule="exact"/>
              <w:rPr>
                <w:sz w:val="20"/>
                <w:szCs w:val="20"/>
                <w:color w:val="auto"/>
              </w:rPr>
            </w:pPr>
            <w:r>
              <w:rPr>
                <w:rFonts w:ascii="Arial" w:cs="Arial" w:eastAsia="Arial" w:hAnsi="Arial"/>
                <w:sz w:val="10"/>
                <w:szCs w:val="10"/>
                <w:color w:val="auto"/>
              </w:rPr>
              <w:t>Average floating rate</w:t>
            </w:r>
          </w:p>
        </w:tc>
        <w:tc>
          <w:tcPr>
            <w:tcW w:w="920" w:type="dxa"/>
            <w:vAlign w:val="bottom"/>
            <w:gridSpan w:val="2"/>
          </w:tcPr>
          <w:p>
            <w:pPr>
              <w:jc w:val="right"/>
              <w:ind w:right="40"/>
              <w:spacing w:after="0" w:line="106" w:lineRule="exact"/>
              <w:rPr>
                <w:sz w:val="20"/>
                <w:szCs w:val="20"/>
                <w:color w:val="auto"/>
              </w:rPr>
            </w:pPr>
            <w:r>
              <w:rPr>
                <w:rFonts w:ascii="Arial" w:cs="Arial" w:eastAsia="Arial" w:hAnsi="Arial"/>
                <w:sz w:val="10"/>
                <w:szCs w:val="10"/>
                <w:color w:val="auto"/>
              </w:rPr>
              <w:t>4.35%</w:t>
            </w:r>
          </w:p>
        </w:tc>
        <w:tc>
          <w:tcPr>
            <w:tcW w:w="92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4.89%</w:t>
            </w:r>
          </w:p>
        </w:tc>
        <w:tc>
          <w:tcPr>
            <w:tcW w:w="92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5.78%</w:t>
            </w:r>
          </w:p>
        </w:tc>
        <w:tc>
          <w:tcPr>
            <w:tcW w:w="360" w:type="dxa"/>
            <w:vAlign w:val="bottom"/>
          </w:tcPr>
          <w:p>
            <w:pPr>
              <w:spacing w:after="0"/>
              <w:rPr>
                <w:sz w:val="9"/>
                <w:szCs w:val="9"/>
                <w:color w:val="auto"/>
              </w:rPr>
            </w:pPr>
          </w:p>
        </w:tc>
        <w:tc>
          <w:tcPr>
            <w:tcW w:w="56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5.39%</w:t>
            </w:r>
          </w:p>
        </w:tc>
        <w:tc>
          <w:tcPr>
            <w:tcW w:w="940" w:type="dxa"/>
            <w:vAlign w:val="bottom"/>
            <w:gridSpan w:val="2"/>
          </w:tcPr>
          <w:p>
            <w:pPr>
              <w:jc w:val="right"/>
              <w:ind w:right="40"/>
              <w:spacing w:after="0" w:line="106" w:lineRule="exact"/>
              <w:rPr>
                <w:sz w:val="20"/>
                <w:szCs w:val="20"/>
                <w:color w:val="auto"/>
              </w:rPr>
            </w:pPr>
            <w:r>
              <w:rPr>
                <w:rFonts w:ascii="Arial" w:cs="Arial" w:eastAsia="Arial" w:hAnsi="Arial"/>
                <w:sz w:val="10"/>
                <w:szCs w:val="10"/>
                <w:color w:val="auto"/>
              </w:rPr>
              <w:t>5.83%</w:t>
            </w:r>
          </w:p>
        </w:tc>
        <w:tc>
          <w:tcPr>
            <w:tcW w:w="920" w:type="dxa"/>
            <w:vAlign w:val="bottom"/>
            <w:gridSpan w:val="2"/>
          </w:tcPr>
          <w:p>
            <w:pPr>
              <w:jc w:val="right"/>
              <w:ind w:right="40"/>
              <w:spacing w:after="0" w:line="106" w:lineRule="exact"/>
              <w:rPr>
                <w:sz w:val="20"/>
                <w:szCs w:val="20"/>
                <w:color w:val="auto"/>
              </w:rPr>
            </w:pPr>
            <w:r>
              <w:rPr>
                <w:rFonts w:ascii="Arial" w:cs="Arial" w:eastAsia="Arial" w:hAnsi="Arial"/>
                <w:sz w:val="10"/>
                <w:szCs w:val="10"/>
                <w:color w:val="auto"/>
              </w:rPr>
              <w:t>6.84%</w:t>
            </w:r>
          </w:p>
        </w:tc>
        <w:tc>
          <w:tcPr>
            <w:tcW w:w="94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88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4.75%</w:t>
            </w:r>
          </w:p>
        </w:tc>
        <w:tc>
          <w:tcPr>
            <w:tcW w:w="7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Mexican Peso</w:t>
            </w:r>
          </w:p>
        </w:tc>
        <w:tc>
          <w:tcPr>
            <w:tcW w:w="8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32,867</w:t>
            </w:r>
          </w:p>
        </w:tc>
        <w:tc>
          <w:tcPr>
            <w:tcW w:w="1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50,942</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37,242</w:t>
            </w:r>
          </w:p>
        </w:tc>
        <w:tc>
          <w:tcPr>
            <w:tcW w:w="360" w:type="dxa"/>
            <w:vAlign w:val="bottom"/>
            <w:shd w:val="clear" w:color="auto" w:fill="CCEEFF"/>
          </w:tcPr>
          <w:p>
            <w:pPr>
              <w:spacing w:after="0"/>
              <w:rPr>
                <w:sz w:val="9"/>
                <w:szCs w:val="9"/>
                <w:color w:val="auto"/>
              </w:rPr>
            </w:pPr>
          </w:p>
        </w:tc>
        <w:tc>
          <w:tcPr>
            <w:tcW w:w="560" w:type="dxa"/>
            <w:vAlign w:val="bottom"/>
            <w:gridSpan w:val="2"/>
            <w:shd w:val="clear" w:color="auto" w:fill="CCEEFF"/>
          </w:tcPr>
          <w:p>
            <w:pPr>
              <w:jc w:val="right"/>
              <w:ind w:right="100"/>
              <w:spacing w:after="0" w:line="106" w:lineRule="exact"/>
              <w:rPr>
                <w:sz w:val="20"/>
                <w:szCs w:val="20"/>
                <w:color w:val="auto"/>
              </w:rPr>
            </w:pPr>
            <w:r>
              <w:rPr>
                <w:rFonts w:ascii="Arial" w:cs="Arial" w:eastAsia="Arial" w:hAnsi="Arial"/>
                <w:sz w:val="10"/>
                <w:szCs w:val="10"/>
                <w:color w:val="auto"/>
              </w:rPr>
              <w:t>17,844</w:t>
            </w:r>
          </w:p>
        </w:tc>
        <w:tc>
          <w:tcPr>
            <w:tcW w:w="94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10,831</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8,548</w:t>
            </w:r>
          </w:p>
        </w:tc>
        <w:tc>
          <w:tcPr>
            <w:tcW w:w="94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880" w:type="dxa"/>
            <w:vAlign w:val="bottom"/>
            <w:gridSpan w:val="2"/>
            <w:shd w:val="clear" w:color="auto" w:fill="CCEEFF"/>
          </w:tcPr>
          <w:p>
            <w:pPr>
              <w:jc w:val="right"/>
              <w:ind w:right="100"/>
              <w:spacing w:after="0" w:line="106" w:lineRule="exact"/>
              <w:rPr>
                <w:sz w:val="20"/>
                <w:szCs w:val="20"/>
                <w:color w:val="auto"/>
              </w:rPr>
            </w:pPr>
            <w:r>
              <w:rPr>
                <w:rFonts w:ascii="Arial" w:cs="Arial" w:eastAsia="Arial" w:hAnsi="Arial"/>
                <w:sz w:val="10"/>
                <w:szCs w:val="10"/>
                <w:color w:val="auto"/>
              </w:rPr>
              <w:t>158,274</w:t>
            </w:r>
          </w:p>
        </w:tc>
        <w:tc>
          <w:tcPr>
            <w:tcW w:w="90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178,101</w:t>
            </w: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3200" w:type="dxa"/>
            <w:vAlign w:val="bottom"/>
          </w:tcPr>
          <w:p>
            <w:pPr>
              <w:ind w:left="100"/>
              <w:spacing w:after="0"/>
              <w:rPr>
                <w:sz w:val="20"/>
                <w:szCs w:val="20"/>
                <w:color w:val="auto"/>
              </w:rPr>
            </w:pPr>
            <w:r>
              <w:rPr>
                <w:rFonts w:ascii="Arial" w:cs="Arial" w:eastAsia="Arial" w:hAnsi="Arial"/>
                <w:sz w:val="10"/>
                <w:szCs w:val="10"/>
                <w:color w:val="auto"/>
              </w:rPr>
              <w:t>Average floating rate</w:t>
            </w:r>
          </w:p>
        </w:tc>
        <w:tc>
          <w:tcPr>
            <w:tcW w:w="920" w:type="dxa"/>
            <w:vAlign w:val="bottom"/>
            <w:gridSpan w:val="2"/>
          </w:tcPr>
          <w:p>
            <w:pPr>
              <w:jc w:val="right"/>
              <w:ind w:right="40"/>
              <w:spacing w:after="0"/>
              <w:rPr>
                <w:sz w:val="20"/>
                <w:szCs w:val="20"/>
                <w:color w:val="auto"/>
              </w:rPr>
            </w:pPr>
            <w:r>
              <w:rPr>
                <w:rFonts w:ascii="Arial" w:cs="Arial" w:eastAsia="Arial" w:hAnsi="Arial"/>
                <w:sz w:val="10"/>
                <w:szCs w:val="10"/>
                <w:color w:val="auto"/>
              </w:rPr>
              <w:t>11.20%</w:t>
            </w:r>
          </w:p>
        </w:tc>
        <w:tc>
          <w:tcPr>
            <w:tcW w:w="920" w:type="dxa"/>
            <w:vAlign w:val="bottom"/>
            <w:gridSpan w:val="2"/>
          </w:tcPr>
          <w:p>
            <w:pPr>
              <w:jc w:val="right"/>
              <w:ind w:right="20"/>
              <w:spacing w:after="0"/>
              <w:rPr>
                <w:sz w:val="20"/>
                <w:szCs w:val="20"/>
                <w:color w:val="auto"/>
              </w:rPr>
            </w:pPr>
            <w:r>
              <w:rPr>
                <w:rFonts w:ascii="Arial" w:cs="Arial" w:eastAsia="Arial" w:hAnsi="Arial"/>
                <w:sz w:val="10"/>
                <w:szCs w:val="10"/>
                <w:color w:val="auto"/>
              </w:rPr>
              <w:t>11.24%</w:t>
            </w:r>
          </w:p>
        </w:tc>
        <w:tc>
          <w:tcPr>
            <w:tcW w:w="920" w:type="dxa"/>
            <w:vAlign w:val="bottom"/>
            <w:gridSpan w:val="2"/>
          </w:tcPr>
          <w:p>
            <w:pPr>
              <w:jc w:val="right"/>
              <w:ind w:right="20"/>
              <w:spacing w:after="0"/>
              <w:rPr>
                <w:sz w:val="20"/>
                <w:szCs w:val="20"/>
                <w:color w:val="auto"/>
              </w:rPr>
            </w:pPr>
            <w:r>
              <w:rPr>
                <w:rFonts w:ascii="Arial" w:cs="Arial" w:eastAsia="Arial" w:hAnsi="Arial"/>
                <w:sz w:val="10"/>
                <w:szCs w:val="10"/>
                <w:color w:val="auto"/>
              </w:rPr>
              <w:t>11.30%</w:t>
            </w:r>
          </w:p>
        </w:tc>
        <w:tc>
          <w:tcPr>
            <w:tcW w:w="360" w:type="dxa"/>
            <w:vAlign w:val="bottom"/>
          </w:tcPr>
          <w:p>
            <w:pPr>
              <w:spacing w:after="0"/>
              <w:rPr>
                <w:sz w:val="11"/>
                <w:szCs w:val="11"/>
                <w:color w:val="auto"/>
              </w:rPr>
            </w:pPr>
          </w:p>
        </w:tc>
        <w:tc>
          <w:tcPr>
            <w:tcW w:w="560" w:type="dxa"/>
            <w:vAlign w:val="bottom"/>
            <w:gridSpan w:val="2"/>
          </w:tcPr>
          <w:p>
            <w:pPr>
              <w:jc w:val="right"/>
              <w:ind w:right="20"/>
              <w:spacing w:after="0"/>
              <w:rPr>
                <w:sz w:val="20"/>
                <w:szCs w:val="20"/>
                <w:color w:val="auto"/>
              </w:rPr>
            </w:pPr>
            <w:r>
              <w:rPr>
                <w:rFonts w:ascii="Arial" w:cs="Arial" w:eastAsia="Arial" w:hAnsi="Arial"/>
                <w:sz w:val="10"/>
                <w:szCs w:val="10"/>
                <w:color w:val="auto"/>
              </w:rPr>
              <w:t>11.29%</w:t>
            </w:r>
          </w:p>
        </w:tc>
        <w:tc>
          <w:tcPr>
            <w:tcW w:w="940" w:type="dxa"/>
            <w:vAlign w:val="bottom"/>
            <w:gridSpan w:val="2"/>
          </w:tcPr>
          <w:p>
            <w:pPr>
              <w:jc w:val="right"/>
              <w:ind w:right="40"/>
              <w:spacing w:after="0"/>
              <w:rPr>
                <w:sz w:val="20"/>
                <w:szCs w:val="20"/>
                <w:color w:val="auto"/>
              </w:rPr>
            </w:pPr>
            <w:r>
              <w:rPr>
                <w:rFonts w:ascii="Arial" w:cs="Arial" w:eastAsia="Arial" w:hAnsi="Arial"/>
                <w:sz w:val="10"/>
                <w:szCs w:val="10"/>
                <w:color w:val="auto"/>
              </w:rPr>
              <w:t>11.37%</w:t>
            </w:r>
          </w:p>
        </w:tc>
        <w:tc>
          <w:tcPr>
            <w:tcW w:w="920" w:type="dxa"/>
            <w:vAlign w:val="bottom"/>
            <w:gridSpan w:val="2"/>
          </w:tcPr>
          <w:p>
            <w:pPr>
              <w:jc w:val="right"/>
              <w:ind w:right="40"/>
              <w:spacing w:after="0"/>
              <w:rPr>
                <w:sz w:val="20"/>
                <w:szCs w:val="20"/>
                <w:color w:val="auto"/>
              </w:rPr>
            </w:pPr>
            <w:r>
              <w:rPr>
                <w:rFonts w:ascii="Arial" w:cs="Arial" w:eastAsia="Arial" w:hAnsi="Arial"/>
                <w:sz w:val="10"/>
                <w:szCs w:val="10"/>
                <w:color w:val="auto"/>
              </w:rPr>
              <w:t>11.85%</w:t>
            </w:r>
          </w:p>
        </w:tc>
        <w:tc>
          <w:tcPr>
            <w:tcW w:w="940" w:type="dxa"/>
            <w:vAlign w:val="bottom"/>
            <w:gridSpan w:val="2"/>
          </w:tcPr>
          <w:p>
            <w:pPr>
              <w:jc w:val="right"/>
              <w:ind w:right="120"/>
              <w:spacing w:after="0"/>
              <w:rPr>
                <w:sz w:val="20"/>
                <w:szCs w:val="20"/>
                <w:color w:val="auto"/>
              </w:rPr>
            </w:pPr>
            <w:r>
              <w:rPr>
                <w:rFonts w:ascii="Arial" w:cs="Arial" w:eastAsia="Arial" w:hAnsi="Arial"/>
                <w:sz w:val="10"/>
                <w:szCs w:val="10"/>
                <w:color w:val="auto"/>
              </w:rPr>
              <w:t>-</w:t>
            </w:r>
          </w:p>
        </w:tc>
        <w:tc>
          <w:tcPr>
            <w:tcW w:w="880" w:type="dxa"/>
            <w:vAlign w:val="bottom"/>
            <w:gridSpan w:val="2"/>
          </w:tcPr>
          <w:p>
            <w:pPr>
              <w:jc w:val="right"/>
              <w:ind w:right="20"/>
              <w:spacing w:after="0"/>
              <w:rPr>
                <w:sz w:val="20"/>
                <w:szCs w:val="20"/>
                <w:color w:val="auto"/>
              </w:rPr>
            </w:pPr>
            <w:r>
              <w:rPr>
                <w:rFonts w:ascii="Arial" w:cs="Arial" w:eastAsia="Arial" w:hAnsi="Arial"/>
                <w:sz w:val="10"/>
                <w:szCs w:val="10"/>
                <w:color w:val="auto"/>
              </w:rPr>
              <w:t>11.29%</w:t>
            </w:r>
          </w:p>
        </w:tc>
        <w:tc>
          <w:tcPr>
            <w:tcW w:w="7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bl>
    <w:p>
      <w:pPr>
        <w:spacing w:after="0" w:line="270"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110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3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112" w:name="page113"/>
    <w:bookmarkEnd w:id="112"/>
    <w:p>
      <w:pPr>
        <w:jc w:val="center"/>
        <w:ind w:right="-2"/>
        <w:spacing w:after="0"/>
        <w:rPr>
          <w:sz w:val="20"/>
          <w:szCs w:val="20"/>
          <w:color w:val="auto"/>
        </w:rPr>
      </w:pPr>
      <w:r>
        <w:rPr>
          <w:rFonts w:ascii="Arial" w:cs="Arial" w:eastAsia="Arial" w:hAnsi="Arial"/>
          <w:sz w:val="10"/>
          <w:szCs w:val="10"/>
          <w:b w:val="1"/>
          <w:bCs w:val="1"/>
          <w:color w:val="auto"/>
        </w:rPr>
        <w:t>Expected maturity date</w:t>
      </w:r>
    </w:p>
    <w:p>
      <w:pPr>
        <w:spacing w:after="0" w:line="8" w:lineRule="exact"/>
        <w:rPr>
          <w:sz w:val="20"/>
          <w:szCs w:val="20"/>
          <w:color w:val="auto"/>
        </w:rPr>
      </w:pPr>
    </w:p>
    <w:tbl>
      <w:tblPr>
        <w:tblLayout w:type="fixed"/>
        <w:tblInd w:w="3" w:type="dxa"/>
        <w:tblCellMar>
          <w:top w:w="0" w:type="dxa"/>
          <w:left w:w="0" w:type="dxa"/>
          <w:bottom w:w="0" w:type="dxa"/>
          <w:right w:w="0" w:type="dxa"/>
        </w:tblCellMar>
      </w:tblPr>
      <w:tr>
        <w:trPr>
          <w:trHeight w:val="79"/>
        </w:trPr>
        <w:tc>
          <w:tcPr>
            <w:tcW w:w="20" w:type="dxa"/>
            <w:vAlign w:val="bottom"/>
          </w:tcPr>
          <w:p>
            <w:pPr>
              <w:spacing w:after="0"/>
              <w:rPr>
                <w:sz w:val="6"/>
                <w:szCs w:val="6"/>
                <w:color w:val="auto"/>
              </w:rPr>
            </w:pPr>
          </w:p>
        </w:tc>
        <w:tc>
          <w:tcPr>
            <w:tcW w:w="3200" w:type="dxa"/>
            <w:vAlign w:val="bottom"/>
            <w:tcBorders>
              <w:top w:val="single" w:sz="8" w:color="auto"/>
            </w:tcBorders>
          </w:tcPr>
          <w:p>
            <w:pPr>
              <w:spacing w:after="0"/>
              <w:rPr>
                <w:sz w:val="6"/>
                <w:szCs w:val="6"/>
                <w:color w:val="auto"/>
              </w:rPr>
            </w:pPr>
          </w:p>
        </w:tc>
        <w:tc>
          <w:tcPr>
            <w:tcW w:w="800" w:type="dxa"/>
            <w:vAlign w:val="bottom"/>
            <w:tcBorders>
              <w:top w:val="single" w:sz="8" w:color="auto"/>
            </w:tcBorders>
          </w:tcPr>
          <w:p>
            <w:pPr>
              <w:spacing w:after="0"/>
              <w:rPr>
                <w:sz w:val="6"/>
                <w:szCs w:val="6"/>
                <w:color w:val="auto"/>
              </w:rPr>
            </w:pPr>
          </w:p>
        </w:tc>
        <w:tc>
          <w:tcPr>
            <w:tcW w:w="120" w:type="dxa"/>
            <w:vAlign w:val="bottom"/>
            <w:tcBorders>
              <w:top w:val="single" w:sz="8" w:color="auto"/>
            </w:tcBorders>
          </w:tcPr>
          <w:p>
            <w:pPr>
              <w:spacing w:after="0"/>
              <w:rPr>
                <w:sz w:val="6"/>
                <w:szCs w:val="6"/>
                <w:color w:val="auto"/>
              </w:rPr>
            </w:pPr>
          </w:p>
        </w:tc>
        <w:tc>
          <w:tcPr>
            <w:tcW w:w="800" w:type="dxa"/>
            <w:vAlign w:val="bottom"/>
            <w:tcBorders>
              <w:top w:val="single" w:sz="8" w:color="auto"/>
            </w:tcBorders>
          </w:tcPr>
          <w:p>
            <w:pPr>
              <w:spacing w:after="0"/>
              <w:rPr>
                <w:sz w:val="6"/>
                <w:szCs w:val="6"/>
                <w:color w:val="auto"/>
              </w:rPr>
            </w:pPr>
          </w:p>
        </w:tc>
        <w:tc>
          <w:tcPr>
            <w:tcW w:w="120" w:type="dxa"/>
            <w:vAlign w:val="bottom"/>
            <w:tcBorders>
              <w:top w:val="single" w:sz="8" w:color="auto"/>
            </w:tcBorders>
          </w:tcPr>
          <w:p>
            <w:pPr>
              <w:spacing w:after="0"/>
              <w:rPr>
                <w:sz w:val="6"/>
                <w:szCs w:val="6"/>
                <w:color w:val="auto"/>
              </w:rPr>
            </w:pPr>
          </w:p>
        </w:tc>
        <w:tc>
          <w:tcPr>
            <w:tcW w:w="800" w:type="dxa"/>
            <w:vAlign w:val="bottom"/>
            <w:tcBorders>
              <w:top w:val="single" w:sz="8" w:color="auto"/>
            </w:tcBorders>
          </w:tcPr>
          <w:p>
            <w:pPr>
              <w:spacing w:after="0"/>
              <w:rPr>
                <w:sz w:val="6"/>
                <w:szCs w:val="6"/>
                <w:color w:val="auto"/>
              </w:rPr>
            </w:pPr>
          </w:p>
        </w:tc>
        <w:tc>
          <w:tcPr>
            <w:tcW w:w="120" w:type="dxa"/>
            <w:vAlign w:val="bottom"/>
            <w:tcBorders>
              <w:top w:val="single" w:sz="8" w:color="auto"/>
            </w:tcBorders>
          </w:tcPr>
          <w:p>
            <w:pPr>
              <w:spacing w:after="0"/>
              <w:rPr>
                <w:sz w:val="6"/>
                <w:szCs w:val="6"/>
                <w:color w:val="auto"/>
              </w:rPr>
            </w:pPr>
          </w:p>
        </w:tc>
        <w:tc>
          <w:tcPr>
            <w:tcW w:w="360" w:type="dxa"/>
            <w:vAlign w:val="bottom"/>
            <w:tcBorders>
              <w:top w:val="single" w:sz="8" w:color="auto"/>
            </w:tcBorders>
          </w:tcPr>
          <w:p>
            <w:pPr>
              <w:spacing w:after="0"/>
              <w:rPr>
                <w:sz w:val="6"/>
                <w:szCs w:val="6"/>
                <w:color w:val="auto"/>
              </w:rPr>
            </w:pPr>
          </w:p>
        </w:tc>
        <w:tc>
          <w:tcPr>
            <w:tcW w:w="460" w:type="dxa"/>
            <w:vAlign w:val="bottom"/>
            <w:tcBorders>
              <w:top w:val="single" w:sz="8" w:color="auto"/>
            </w:tcBorders>
          </w:tcPr>
          <w:p>
            <w:pPr>
              <w:spacing w:after="0"/>
              <w:rPr>
                <w:sz w:val="6"/>
                <w:szCs w:val="6"/>
                <w:color w:val="auto"/>
              </w:rPr>
            </w:pPr>
          </w:p>
        </w:tc>
        <w:tc>
          <w:tcPr>
            <w:tcW w:w="100" w:type="dxa"/>
            <w:vAlign w:val="bottom"/>
            <w:tcBorders>
              <w:top w:val="single" w:sz="8" w:color="auto"/>
            </w:tcBorders>
          </w:tcPr>
          <w:p>
            <w:pPr>
              <w:spacing w:after="0"/>
              <w:rPr>
                <w:sz w:val="6"/>
                <w:szCs w:val="6"/>
                <w:color w:val="auto"/>
              </w:rPr>
            </w:pPr>
          </w:p>
        </w:tc>
        <w:tc>
          <w:tcPr>
            <w:tcW w:w="820" w:type="dxa"/>
            <w:vAlign w:val="bottom"/>
            <w:tcBorders>
              <w:top w:val="single" w:sz="8" w:color="auto"/>
            </w:tcBorders>
          </w:tcPr>
          <w:p>
            <w:pPr>
              <w:spacing w:after="0"/>
              <w:rPr>
                <w:sz w:val="6"/>
                <w:szCs w:val="6"/>
                <w:color w:val="auto"/>
              </w:rPr>
            </w:pPr>
          </w:p>
        </w:tc>
        <w:tc>
          <w:tcPr>
            <w:tcW w:w="120" w:type="dxa"/>
            <w:vAlign w:val="bottom"/>
            <w:tcBorders>
              <w:top w:val="single" w:sz="8" w:color="auto"/>
            </w:tcBorders>
          </w:tcPr>
          <w:p>
            <w:pPr>
              <w:spacing w:after="0"/>
              <w:rPr>
                <w:sz w:val="6"/>
                <w:szCs w:val="6"/>
                <w:color w:val="auto"/>
              </w:rPr>
            </w:pPr>
          </w:p>
        </w:tc>
        <w:tc>
          <w:tcPr>
            <w:tcW w:w="920" w:type="dxa"/>
            <w:vAlign w:val="bottom"/>
            <w:tcBorders>
              <w:top w:val="single" w:sz="8" w:color="auto"/>
            </w:tcBorders>
            <w:gridSpan w:val="2"/>
            <w:vMerge w:val="restart"/>
          </w:tcPr>
          <w:p>
            <w:pPr>
              <w:jc w:val="center"/>
              <w:ind w:right="20"/>
              <w:spacing w:after="0"/>
              <w:rPr>
                <w:sz w:val="20"/>
                <w:szCs w:val="20"/>
                <w:color w:val="auto"/>
              </w:rPr>
            </w:pPr>
            <w:r>
              <w:rPr>
                <w:rFonts w:ascii="Arial" w:cs="Arial" w:eastAsia="Arial" w:hAnsi="Arial"/>
                <w:sz w:val="10"/>
                <w:szCs w:val="10"/>
                <w:b w:val="1"/>
                <w:bCs w:val="1"/>
                <w:color w:val="auto"/>
                <w:w w:val="98"/>
              </w:rPr>
              <w:t>There-</w:t>
            </w:r>
          </w:p>
        </w:tc>
        <w:tc>
          <w:tcPr>
            <w:tcW w:w="920" w:type="dxa"/>
            <w:vAlign w:val="bottom"/>
            <w:tcBorders>
              <w:top w:val="single" w:sz="8" w:color="auto"/>
            </w:tcBorders>
            <w:gridSpan w:val="2"/>
            <w:vMerge w:val="restart"/>
          </w:tcPr>
          <w:p>
            <w:pPr>
              <w:ind w:left="280"/>
              <w:spacing w:after="0"/>
              <w:rPr>
                <w:sz w:val="20"/>
                <w:szCs w:val="20"/>
                <w:color w:val="auto"/>
              </w:rPr>
            </w:pPr>
            <w:r>
              <w:rPr>
                <w:rFonts w:ascii="Arial" w:cs="Arial" w:eastAsia="Arial" w:hAnsi="Arial"/>
                <w:sz w:val="10"/>
                <w:szCs w:val="10"/>
                <w:b w:val="1"/>
                <w:bCs w:val="1"/>
                <w:color w:val="auto"/>
              </w:rPr>
              <w:t>Without</w:t>
            </w:r>
          </w:p>
        </w:tc>
        <w:tc>
          <w:tcPr>
            <w:tcW w:w="900" w:type="dxa"/>
            <w:vAlign w:val="bottom"/>
            <w:tcBorders>
              <w:top w:val="single" w:sz="8" w:color="auto"/>
            </w:tcBorders>
            <w:gridSpan w:val="2"/>
            <w:vMerge w:val="restart"/>
          </w:tcPr>
          <w:p>
            <w:pPr>
              <w:jc w:val="right"/>
              <w:ind w:right="320"/>
              <w:spacing w:after="0"/>
              <w:rPr>
                <w:sz w:val="20"/>
                <w:szCs w:val="20"/>
                <w:color w:val="auto"/>
              </w:rPr>
            </w:pPr>
            <w:r>
              <w:rPr>
                <w:rFonts w:ascii="Arial" w:cs="Arial" w:eastAsia="Arial" w:hAnsi="Arial"/>
                <w:sz w:val="10"/>
                <w:szCs w:val="10"/>
                <w:b w:val="1"/>
                <w:bCs w:val="1"/>
                <w:color w:val="auto"/>
              </w:rPr>
              <w:t>Total</w:t>
            </w:r>
          </w:p>
        </w:tc>
        <w:tc>
          <w:tcPr>
            <w:tcW w:w="900" w:type="dxa"/>
            <w:vAlign w:val="bottom"/>
            <w:tcBorders>
              <w:top w:val="single" w:sz="8" w:color="auto"/>
            </w:tcBorders>
            <w:gridSpan w:val="2"/>
          </w:tcPr>
          <w:p>
            <w:pPr>
              <w:jc w:val="center"/>
              <w:spacing w:after="0" w:line="79" w:lineRule="exact"/>
              <w:rPr>
                <w:sz w:val="20"/>
                <w:szCs w:val="20"/>
                <w:color w:val="auto"/>
              </w:rPr>
            </w:pPr>
            <w:r>
              <w:rPr>
                <w:rFonts w:ascii="Arial" w:cs="Arial" w:eastAsia="Arial" w:hAnsi="Arial"/>
                <w:sz w:val="9"/>
                <w:szCs w:val="9"/>
                <w:b w:val="1"/>
                <w:bCs w:val="1"/>
                <w:color w:val="auto"/>
              </w:rPr>
              <w:t>Fair</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spacing w:after="0"/>
              <w:rPr>
                <w:sz w:val="9"/>
                <w:szCs w:val="9"/>
                <w:color w:val="auto"/>
              </w:rPr>
            </w:pPr>
          </w:p>
        </w:tc>
        <w:tc>
          <w:tcPr>
            <w:tcW w:w="800" w:type="dxa"/>
            <w:vAlign w:val="bottom"/>
            <w:vMerge w:val="restart"/>
          </w:tcPr>
          <w:p>
            <w:pPr>
              <w:jc w:val="right"/>
              <w:ind w:right="189"/>
              <w:spacing w:after="0"/>
              <w:rPr>
                <w:sz w:val="20"/>
                <w:szCs w:val="20"/>
                <w:color w:val="auto"/>
              </w:rPr>
            </w:pPr>
            <w:r>
              <w:rPr>
                <w:rFonts w:ascii="Arial" w:cs="Arial" w:eastAsia="Arial" w:hAnsi="Arial"/>
                <w:sz w:val="10"/>
                <w:szCs w:val="10"/>
                <w:b w:val="1"/>
                <w:bCs w:val="1"/>
                <w:color w:val="auto"/>
              </w:rPr>
              <w:t>2019</w:t>
            </w:r>
          </w:p>
        </w:tc>
        <w:tc>
          <w:tcPr>
            <w:tcW w:w="120" w:type="dxa"/>
            <w:vAlign w:val="bottom"/>
          </w:tcPr>
          <w:p>
            <w:pPr>
              <w:spacing w:after="0"/>
              <w:rPr>
                <w:sz w:val="9"/>
                <w:szCs w:val="9"/>
                <w:color w:val="auto"/>
              </w:rPr>
            </w:pPr>
          </w:p>
        </w:tc>
        <w:tc>
          <w:tcPr>
            <w:tcW w:w="800" w:type="dxa"/>
            <w:vAlign w:val="bottom"/>
            <w:vMerge w:val="restart"/>
          </w:tcPr>
          <w:p>
            <w:pPr>
              <w:jc w:val="right"/>
              <w:ind w:right="189"/>
              <w:spacing w:after="0"/>
              <w:rPr>
                <w:sz w:val="20"/>
                <w:szCs w:val="20"/>
                <w:color w:val="auto"/>
              </w:rPr>
            </w:pPr>
            <w:r>
              <w:rPr>
                <w:rFonts w:ascii="Arial" w:cs="Arial" w:eastAsia="Arial" w:hAnsi="Arial"/>
                <w:sz w:val="10"/>
                <w:szCs w:val="10"/>
                <w:b w:val="1"/>
                <w:bCs w:val="1"/>
                <w:color w:val="auto"/>
              </w:rPr>
              <w:t>2020</w:t>
            </w:r>
          </w:p>
        </w:tc>
        <w:tc>
          <w:tcPr>
            <w:tcW w:w="120" w:type="dxa"/>
            <w:vAlign w:val="bottom"/>
          </w:tcPr>
          <w:p>
            <w:pPr>
              <w:spacing w:after="0"/>
              <w:rPr>
                <w:sz w:val="9"/>
                <w:szCs w:val="9"/>
                <w:color w:val="auto"/>
              </w:rPr>
            </w:pPr>
          </w:p>
        </w:tc>
        <w:tc>
          <w:tcPr>
            <w:tcW w:w="800" w:type="dxa"/>
            <w:vAlign w:val="bottom"/>
            <w:vMerge w:val="restart"/>
          </w:tcPr>
          <w:p>
            <w:pPr>
              <w:jc w:val="right"/>
              <w:ind w:right="189"/>
              <w:spacing w:after="0"/>
              <w:rPr>
                <w:sz w:val="20"/>
                <w:szCs w:val="20"/>
                <w:color w:val="auto"/>
              </w:rPr>
            </w:pPr>
            <w:r>
              <w:rPr>
                <w:rFonts w:ascii="Arial" w:cs="Arial" w:eastAsia="Arial" w:hAnsi="Arial"/>
                <w:sz w:val="10"/>
                <w:szCs w:val="10"/>
                <w:b w:val="1"/>
                <w:bCs w:val="1"/>
                <w:color w:val="auto"/>
              </w:rPr>
              <w:t>2021</w:t>
            </w:r>
          </w:p>
        </w:tc>
        <w:tc>
          <w:tcPr>
            <w:tcW w:w="120" w:type="dxa"/>
            <w:vAlign w:val="bottom"/>
          </w:tcPr>
          <w:p>
            <w:pPr>
              <w:spacing w:after="0"/>
              <w:rPr>
                <w:sz w:val="9"/>
                <w:szCs w:val="9"/>
                <w:color w:val="auto"/>
              </w:rPr>
            </w:pPr>
          </w:p>
        </w:tc>
        <w:tc>
          <w:tcPr>
            <w:tcW w:w="360" w:type="dxa"/>
            <w:vAlign w:val="bottom"/>
          </w:tcPr>
          <w:p>
            <w:pPr>
              <w:spacing w:after="0"/>
              <w:rPr>
                <w:sz w:val="9"/>
                <w:szCs w:val="9"/>
                <w:color w:val="auto"/>
              </w:rPr>
            </w:pPr>
          </w:p>
        </w:tc>
        <w:tc>
          <w:tcPr>
            <w:tcW w:w="460" w:type="dxa"/>
            <w:vAlign w:val="bottom"/>
            <w:vMerge w:val="restart"/>
          </w:tcPr>
          <w:p>
            <w:pPr>
              <w:jc w:val="right"/>
              <w:ind w:right="209"/>
              <w:spacing w:after="0"/>
              <w:rPr>
                <w:sz w:val="20"/>
                <w:szCs w:val="20"/>
                <w:color w:val="auto"/>
              </w:rPr>
            </w:pPr>
            <w:r>
              <w:rPr>
                <w:rFonts w:ascii="Arial" w:cs="Arial" w:eastAsia="Arial" w:hAnsi="Arial"/>
                <w:sz w:val="10"/>
                <w:szCs w:val="10"/>
                <w:b w:val="1"/>
                <w:bCs w:val="1"/>
                <w:color w:val="auto"/>
                <w:w w:val="80"/>
              </w:rPr>
              <w:t>2022</w:t>
            </w:r>
          </w:p>
        </w:tc>
        <w:tc>
          <w:tcPr>
            <w:tcW w:w="100" w:type="dxa"/>
            <w:vAlign w:val="bottom"/>
          </w:tcPr>
          <w:p>
            <w:pPr>
              <w:spacing w:after="0"/>
              <w:rPr>
                <w:sz w:val="9"/>
                <w:szCs w:val="9"/>
                <w:color w:val="auto"/>
              </w:rPr>
            </w:pPr>
          </w:p>
        </w:tc>
        <w:tc>
          <w:tcPr>
            <w:tcW w:w="820" w:type="dxa"/>
            <w:vAlign w:val="bottom"/>
            <w:vMerge w:val="restart"/>
          </w:tcPr>
          <w:p>
            <w:pPr>
              <w:jc w:val="right"/>
              <w:ind w:right="189"/>
              <w:spacing w:after="0"/>
              <w:rPr>
                <w:sz w:val="20"/>
                <w:szCs w:val="20"/>
                <w:color w:val="auto"/>
              </w:rPr>
            </w:pPr>
            <w:r>
              <w:rPr>
                <w:rFonts w:ascii="Arial" w:cs="Arial" w:eastAsia="Arial" w:hAnsi="Arial"/>
                <w:sz w:val="10"/>
                <w:szCs w:val="10"/>
                <w:b w:val="1"/>
                <w:bCs w:val="1"/>
                <w:color w:val="auto"/>
              </w:rPr>
              <w:t>2023</w:t>
            </w:r>
          </w:p>
        </w:tc>
        <w:tc>
          <w:tcPr>
            <w:tcW w:w="120" w:type="dxa"/>
            <w:vAlign w:val="bottom"/>
          </w:tcPr>
          <w:p>
            <w:pPr>
              <w:spacing w:after="0"/>
              <w:rPr>
                <w:sz w:val="9"/>
                <w:szCs w:val="9"/>
                <w:color w:val="auto"/>
              </w:rPr>
            </w:pPr>
          </w:p>
        </w:tc>
        <w:tc>
          <w:tcPr>
            <w:tcW w:w="920" w:type="dxa"/>
            <w:vAlign w:val="bottom"/>
            <w:gridSpan w:val="2"/>
            <w:vMerge w:val="continue"/>
          </w:tcPr>
          <w:p>
            <w:pPr>
              <w:spacing w:after="0"/>
              <w:rPr>
                <w:sz w:val="9"/>
                <w:szCs w:val="9"/>
                <w:color w:val="auto"/>
              </w:rPr>
            </w:pPr>
          </w:p>
        </w:tc>
        <w:tc>
          <w:tcPr>
            <w:tcW w:w="920" w:type="dxa"/>
            <w:vAlign w:val="bottom"/>
            <w:gridSpan w:val="2"/>
            <w:vMerge w:val="continue"/>
          </w:tcPr>
          <w:p>
            <w:pPr>
              <w:spacing w:after="0"/>
              <w:rPr>
                <w:sz w:val="9"/>
                <w:szCs w:val="9"/>
                <w:color w:val="auto"/>
              </w:rPr>
            </w:pPr>
          </w:p>
        </w:tc>
        <w:tc>
          <w:tcPr>
            <w:tcW w:w="900" w:type="dxa"/>
            <w:vAlign w:val="bottom"/>
            <w:gridSpan w:val="2"/>
            <w:vMerge w:val="continue"/>
          </w:tcPr>
          <w:p>
            <w:pPr>
              <w:spacing w:after="0"/>
              <w:rPr>
                <w:sz w:val="9"/>
                <w:szCs w:val="9"/>
                <w:color w:val="auto"/>
              </w:rPr>
            </w:pPr>
          </w:p>
        </w:tc>
        <w:tc>
          <w:tcPr>
            <w:tcW w:w="900" w:type="dxa"/>
            <w:vAlign w:val="bottom"/>
            <w:gridSpan w:val="2"/>
          </w:tcPr>
          <w:p>
            <w:pPr>
              <w:jc w:val="center"/>
              <w:spacing w:after="0" w:line="106" w:lineRule="exact"/>
              <w:rPr>
                <w:sz w:val="20"/>
                <w:szCs w:val="20"/>
                <w:color w:val="auto"/>
              </w:rPr>
            </w:pPr>
            <w:r>
              <w:rPr>
                <w:rFonts w:ascii="Arial" w:cs="Arial" w:eastAsia="Arial" w:hAnsi="Arial"/>
                <w:sz w:val="10"/>
                <w:szCs w:val="10"/>
                <w:b w:val="1"/>
                <w:bCs w:val="1"/>
                <w:color w:val="auto"/>
                <w:w w:val="85"/>
              </w:rPr>
              <w:t>value</w:t>
            </w:r>
          </w:p>
        </w:tc>
        <w:tc>
          <w:tcPr>
            <w:tcW w:w="0" w:type="dxa"/>
            <w:vAlign w:val="bottom"/>
          </w:tcPr>
          <w:p>
            <w:pPr>
              <w:spacing w:after="0"/>
              <w:rPr>
                <w:sz w:val="1"/>
                <w:szCs w:val="1"/>
                <w:color w:val="auto"/>
              </w:rPr>
            </w:pPr>
          </w:p>
        </w:tc>
      </w:tr>
      <w:tr>
        <w:trPr>
          <w:trHeight w:val="123"/>
        </w:trPr>
        <w:tc>
          <w:tcPr>
            <w:tcW w:w="20" w:type="dxa"/>
            <w:vAlign w:val="bottom"/>
          </w:tcPr>
          <w:p>
            <w:pPr>
              <w:spacing w:after="0"/>
              <w:rPr>
                <w:sz w:val="10"/>
                <w:szCs w:val="10"/>
                <w:color w:val="auto"/>
              </w:rPr>
            </w:pPr>
          </w:p>
        </w:tc>
        <w:tc>
          <w:tcPr>
            <w:tcW w:w="3200" w:type="dxa"/>
            <w:vAlign w:val="bottom"/>
          </w:tcPr>
          <w:p>
            <w:pPr>
              <w:spacing w:after="0"/>
              <w:rPr>
                <w:sz w:val="10"/>
                <w:szCs w:val="10"/>
                <w:color w:val="auto"/>
              </w:rPr>
            </w:pPr>
          </w:p>
        </w:tc>
        <w:tc>
          <w:tcPr>
            <w:tcW w:w="800" w:type="dxa"/>
            <w:vAlign w:val="bottom"/>
            <w:tcBorders>
              <w:bottom w:val="single" w:sz="8" w:color="auto"/>
            </w:tcBorders>
            <w:vMerge w:val="continue"/>
          </w:tcPr>
          <w:p>
            <w:pPr>
              <w:spacing w:after="0"/>
              <w:rPr>
                <w:sz w:val="10"/>
                <w:szCs w:val="10"/>
                <w:color w:val="auto"/>
              </w:rPr>
            </w:pPr>
          </w:p>
        </w:tc>
        <w:tc>
          <w:tcPr>
            <w:tcW w:w="120" w:type="dxa"/>
            <w:vAlign w:val="bottom"/>
          </w:tcPr>
          <w:p>
            <w:pPr>
              <w:spacing w:after="0"/>
              <w:rPr>
                <w:sz w:val="10"/>
                <w:szCs w:val="10"/>
                <w:color w:val="auto"/>
              </w:rPr>
            </w:pPr>
          </w:p>
        </w:tc>
        <w:tc>
          <w:tcPr>
            <w:tcW w:w="800" w:type="dxa"/>
            <w:vAlign w:val="bottom"/>
            <w:tcBorders>
              <w:bottom w:val="single" w:sz="8" w:color="auto"/>
            </w:tcBorders>
            <w:vMerge w:val="continue"/>
          </w:tcPr>
          <w:p>
            <w:pPr>
              <w:spacing w:after="0"/>
              <w:rPr>
                <w:sz w:val="10"/>
                <w:szCs w:val="10"/>
                <w:color w:val="auto"/>
              </w:rPr>
            </w:pPr>
          </w:p>
        </w:tc>
        <w:tc>
          <w:tcPr>
            <w:tcW w:w="120" w:type="dxa"/>
            <w:vAlign w:val="bottom"/>
          </w:tcPr>
          <w:p>
            <w:pPr>
              <w:spacing w:after="0"/>
              <w:rPr>
                <w:sz w:val="10"/>
                <w:szCs w:val="10"/>
                <w:color w:val="auto"/>
              </w:rPr>
            </w:pPr>
          </w:p>
        </w:tc>
        <w:tc>
          <w:tcPr>
            <w:tcW w:w="800" w:type="dxa"/>
            <w:vAlign w:val="bottom"/>
            <w:tcBorders>
              <w:bottom w:val="single" w:sz="8" w:color="auto"/>
            </w:tcBorders>
            <w:vMerge w:val="continue"/>
          </w:tcPr>
          <w:p>
            <w:pPr>
              <w:spacing w:after="0"/>
              <w:rPr>
                <w:sz w:val="10"/>
                <w:szCs w:val="10"/>
                <w:color w:val="auto"/>
              </w:rPr>
            </w:pPr>
          </w:p>
        </w:tc>
        <w:tc>
          <w:tcPr>
            <w:tcW w:w="120" w:type="dxa"/>
            <w:vAlign w:val="bottom"/>
          </w:tcPr>
          <w:p>
            <w:pPr>
              <w:spacing w:after="0"/>
              <w:rPr>
                <w:sz w:val="10"/>
                <w:szCs w:val="10"/>
                <w:color w:val="auto"/>
              </w:rPr>
            </w:pPr>
          </w:p>
        </w:tc>
        <w:tc>
          <w:tcPr>
            <w:tcW w:w="360" w:type="dxa"/>
            <w:vAlign w:val="bottom"/>
            <w:tcBorders>
              <w:bottom w:val="single" w:sz="8" w:color="auto"/>
            </w:tcBorders>
          </w:tcPr>
          <w:p>
            <w:pPr>
              <w:spacing w:after="0"/>
              <w:rPr>
                <w:sz w:val="10"/>
                <w:szCs w:val="10"/>
                <w:color w:val="auto"/>
              </w:rPr>
            </w:pPr>
          </w:p>
        </w:tc>
        <w:tc>
          <w:tcPr>
            <w:tcW w:w="460" w:type="dxa"/>
            <w:vAlign w:val="bottom"/>
            <w:tcBorders>
              <w:bottom w:val="single" w:sz="8" w:color="auto"/>
            </w:tcBorders>
            <w:vMerge w:val="continue"/>
          </w:tcPr>
          <w:p>
            <w:pPr>
              <w:spacing w:after="0"/>
              <w:rPr>
                <w:sz w:val="10"/>
                <w:szCs w:val="10"/>
                <w:color w:val="auto"/>
              </w:rPr>
            </w:pPr>
          </w:p>
        </w:tc>
        <w:tc>
          <w:tcPr>
            <w:tcW w:w="100" w:type="dxa"/>
            <w:vAlign w:val="bottom"/>
          </w:tcPr>
          <w:p>
            <w:pPr>
              <w:spacing w:after="0"/>
              <w:rPr>
                <w:sz w:val="10"/>
                <w:szCs w:val="10"/>
                <w:color w:val="auto"/>
              </w:rPr>
            </w:pPr>
          </w:p>
        </w:tc>
        <w:tc>
          <w:tcPr>
            <w:tcW w:w="820" w:type="dxa"/>
            <w:vAlign w:val="bottom"/>
            <w:tcBorders>
              <w:bottom w:val="single" w:sz="8" w:color="auto"/>
            </w:tcBorders>
            <w:vMerge w:val="continue"/>
          </w:tcPr>
          <w:p>
            <w:pPr>
              <w:spacing w:after="0"/>
              <w:rPr>
                <w:sz w:val="10"/>
                <w:szCs w:val="10"/>
                <w:color w:val="auto"/>
              </w:rPr>
            </w:pPr>
          </w:p>
        </w:tc>
        <w:tc>
          <w:tcPr>
            <w:tcW w:w="120" w:type="dxa"/>
            <w:vAlign w:val="bottom"/>
          </w:tcPr>
          <w:p>
            <w:pPr>
              <w:spacing w:after="0"/>
              <w:rPr>
                <w:sz w:val="10"/>
                <w:szCs w:val="10"/>
                <w:color w:val="auto"/>
              </w:rPr>
            </w:pPr>
          </w:p>
        </w:tc>
        <w:tc>
          <w:tcPr>
            <w:tcW w:w="800" w:type="dxa"/>
            <w:vAlign w:val="bottom"/>
            <w:tcBorders>
              <w:bottom w:val="single" w:sz="8" w:color="auto"/>
            </w:tcBorders>
          </w:tcPr>
          <w:p>
            <w:pPr>
              <w:jc w:val="center"/>
              <w:ind w:left="49"/>
              <w:spacing w:after="0"/>
              <w:rPr>
                <w:sz w:val="20"/>
                <w:szCs w:val="20"/>
                <w:color w:val="auto"/>
              </w:rPr>
            </w:pPr>
            <w:r>
              <w:rPr>
                <w:rFonts w:ascii="Arial" w:cs="Arial" w:eastAsia="Arial" w:hAnsi="Arial"/>
                <w:sz w:val="10"/>
                <w:szCs w:val="10"/>
                <w:b w:val="1"/>
                <w:bCs w:val="1"/>
                <w:color w:val="auto"/>
              </w:rPr>
              <w:t>after</w:t>
            </w:r>
          </w:p>
        </w:tc>
        <w:tc>
          <w:tcPr>
            <w:tcW w:w="120" w:type="dxa"/>
            <w:vAlign w:val="bottom"/>
          </w:tcPr>
          <w:p>
            <w:pPr>
              <w:spacing w:after="0"/>
              <w:rPr>
                <w:sz w:val="10"/>
                <w:szCs w:val="10"/>
                <w:color w:val="auto"/>
              </w:rPr>
            </w:pPr>
          </w:p>
        </w:tc>
        <w:tc>
          <w:tcPr>
            <w:tcW w:w="800" w:type="dxa"/>
            <w:vAlign w:val="bottom"/>
            <w:tcBorders>
              <w:bottom w:val="single" w:sz="8" w:color="auto"/>
            </w:tcBorders>
          </w:tcPr>
          <w:p>
            <w:pPr>
              <w:ind w:left="260"/>
              <w:spacing w:after="0"/>
              <w:rPr>
                <w:sz w:val="20"/>
                <w:szCs w:val="20"/>
                <w:color w:val="auto"/>
              </w:rPr>
            </w:pPr>
            <w:r>
              <w:rPr>
                <w:rFonts w:ascii="Arial" w:cs="Arial" w:eastAsia="Arial" w:hAnsi="Arial"/>
                <w:sz w:val="10"/>
                <w:szCs w:val="10"/>
                <w:b w:val="1"/>
                <w:bCs w:val="1"/>
                <w:color w:val="auto"/>
              </w:rPr>
              <w:t>maturity</w:t>
            </w:r>
          </w:p>
        </w:tc>
        <w:tc>
          <w:tcPr>
            <w:tcW w:w="120" w:type="dxa"/>
            <w:vAlign w:val="bottom"/>
          </w:tcPr>
          <w:p>
            <w:pPr>
              <w:spacing w:after="0"/>
              <w:rPr>
                <w:sz w:val="10"/>
                <w:szCs w:val="10"/>
                <w:color w:val="auto"/>
              </w:rPr>
            </w:pPr>
          </w:p>
        </w:tc>
        <w:tc>
          <w:tcPr>
            <w:tcW w:w="800" w:type="dxa"/>
            <w:vAlign w:val="bottom"/>
            <w:tcBorders>
              <w:bottom w:val="single" w:sz="8" w:color="auto"/>
            </w:tcBorders>
          </w:tcPr>
          <w:p>
            <w:pPr>
              <w:jc w:val="right"/>
              <w:ind w:right="189"/>
              <w:spacing w:after="0"/>
              <w:rPr>
                <w:sz w:val="20"/>
                <w:szCs w:val="20"/>
                <w:color w:val="auto"/>
              </w:rPr>
            </w:pPr>
            <w:r>
              <w:rPr>
                <w:rFonts w:ascii="Arial" w:cs="Arial" w:eastAsia="Arial" w:hAnsi="Arial"/>
                <w:sz w:val="10"/>
                <w:szCs w:val="10"/>
                <w:b w:val="1"/>
                <w:bCs w:val="1"/>
                <w:color w:val="auto"/>
              </w:rPr>
              <w:t>2018</w:t>
            </w:r>
          </w:p>
        </w:tc>
        <w:tc>
          <w:tcPr>
            <w:tcW w:w="100" w:type="dxa"/>
            <w:vAlign w:val="bottom"/>
          </w:tcPr>
          <w:p>
            <w:pPr>
              <w:spacing w:after="0"/>
              <w:rPr>
                <w:sz w:val="10"/>
                <w:szCs w:val="10"/>
                <w:color w:val="auto"/>
              </w:rPr>
            </w:pPr>
          </w:p>
        </w:tc>
        <w:tc>
          <w:tcPr>
            <w:tcW w:w="780" w:type="dxa"/>
            <w:vAlign w:val="bottom"/>
            <w:tcBorders>
              <w:bottom w:val="single" w:sz="8" w:color="auto"/>
            </w:tcBorders>
          </w:tcPr>
          <w:p>
            <w:pPr>
              <w:jc w:val="center"/>
              <w:ind w:left="69"/>
              <w:spacing w:after="0"/>
              <w:rPr>
                <w:sz w:val="20"/>
                <w:szCs w:val="20"/>
                <w:color w:val="auto"/>
              </w:rPr>
            </w:pPr>
            <w:r>
              <w:rPr>
                <w:rFonts w:ascii="Arial" w:cs="Arial" w:eastAsia="Arial" w:hAnsi="Arial"/>
                <w:sz w:val="10"/>
                <w:szCs w:val="10"/>
                <w:b w:val="1"/>
                <w:bCs w:val="1"/>
                <w:color w:val="auto"/>
                <w:w w:val="98"/>
              </w:rPr>
              <w:t>2018</w:t>
            </w: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3"/>
        </w:trPr>
        <w:tc>
          <w:tcPr>
            <w:tcW w:w="20" w:type="dxa"/>
            <w:vAlign w:val="bottom"/>
          </w:tcPr>
          <w:p>
            <w:pPr>
              <w:spacing w:after="0"/>
              <w:rPr>
                <w:sz w:val="10"/>
                <w:szCs w:val="10"/>
                <w:color w:val="auto"/>
              </w:rPr>
            </w:pPr>
          </w:p>
        </w:tc>
        <w:tc>
          <w:tcPr>
            <w:tcW w:w="3200" w:type="dxa"/>
            <w:vAlign w:val="bottom"/>
          </w:tcPr>
          <w:p>
            <w:pPr>
              <w:spacing w:after="0"/>
              <w:rPr>
                <w:sz w:val="10"/>
                <w:szCs w:val="10"/>
                <w:color w:val="auto"/>
              </w:rPr>
            </w:pPr>
          </w:p>
        </w:tc>
        <w:tc>
          <w:tcPr>
            <w:tcW w:w="8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8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280" w:type="dxa"/>
            <w:vAlign w:val="bottom"/>
            <w:gridSpan w:val="3"/>
          </w:tcPr>
          <w:p>
            <w:pPr>
              <w:ind w:left="80"/>
              <w:spacing w:after="0"/>
              <w:rPr>
                <w:sz w:val="20"/>
                <w:szCs w:val="20"/>
                <w:color w:val="auto"/>
              </w:rPr>
            </w:pPr>
            <w:r>
              <w:rPr>
                <w:rFonts w:ascii="Arial" w:cs="Arial" w:eastAsia="Arial" w:hAnsi="Arial"/>
                <w:sz w:val="10"/>
                <w:szCs w:val="10"/>
                <w:b w:val="1"/>
                <w:bCs w:val="1"/>
                <w:color w:val="auto"/>
                <w:w w:val="90"/>
              </w:rPr>
              <w:t>($ Equivalent in thousands)</w:t>
            </w:r>
          </w:p>
        </w:tc>
        <w:tc>
          <w:tcPr>
            <w:tcW w:w="4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8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8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8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8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69"/>
        </w:trPr>
        <w:tc>
          <w:tcPr>
            <w:tcW w:w="20" w:type="dxa"/>
            <w:vAlign w:val="bottom"/>
            <w:vMerge w:val="restart"/>
          </w:tcPr>
          <w:p>
            <w:pPr>
              <w:spacing w:after="0"/>
              <w:rPr>
                <w:sz w:val="5"/>
                <w:szCs w:val="5"/>
                <w:color w:val="auto"/>
              </w:rPr>
            </w:pPr>
          </w:p>
        </w:tc>
        <w:tc>
          <w:tcPr>
            <w:tcW w:w="3200" w:type="dxa"/>
            <w:vAlign w:val="bottom"/>
          </w:tcPr>
          <w:p>
            <w:pPr>
              <w:spacing w:after="0"/>
              <w:rPr>
                <w:sz w:val="5"/>
                <w:szCs w:val="5"/>
                <w:color w:val="auto"/>
              </w:rPr>
            </w:pPr>
          </w:p>
        </w:tc>
        <w:tc>
          <w:tcPr>
            <w:tcW w:w="800" w:type="dxa"/>
            <w:vAlign w:val="bottom"/>
          </w:tcPr>
          <w:p>
            <w:pPr>
              <w:spacing w:after="0"/>
              <w:rPr>
                <w:sz w:val="5"/>
                <w:szCs w:val="5"/>
                <w:color w:val="auto"/>
              </w:rPr>
            </w:pPr>
          </w:p>
        </w:tc>
        <w:tc>
          <w:tcPr>
            <w:tcW w:w="120" w:type="dxa"/>
            <w:vAlign w:val="bottom"/>
          </w:tcPr>
          <w:p>
            <w:pPr>
              <w:spacing w:after="0"/>
              <w:rPr>
                <w:sz w:val="5"/>
                <w:szCs w:val="5"/>
                <w:color w:val="auto"/>
              </w:rPr>
            </w:pPr>
          </w:p>
        </w:tc>
        <w:tc>
          <w:tcPr>
            <w:tcW w:w="800" w:type="dxa"/>
            <w:vAlign w:val="bottom"/>
          </w:tcPr>
          <w:p>
            <w:pPr>
              <w:spacing w:after="0"/>
              <w:rPr>
                <w:sz w:val="5"/>
                <w:szCs w:val="5"/>
                <w:color w:val="auto"/>
              </w:rPr>
            </w:pPr>
          </w:p>
        </w:tc>
        <w:tc>
          <w:tcPr>
            <w:tcW w:w="120" w:type="dxa"/>
            <w:vAlign w:val="bottom"/>
          </w:tcPr>
          <w:p>
            <w:pPr>
              <w:spacing w:after="0"/>
              <w:rPr>
                <w:sz w:val="5"/>
                <w:szCs w:val="5"/>
                <w:color w:val="auto"/>
              </w:rPr>
            </w:pPr>
          </w:p>
        </w:tc>
        <w:tc>
          <w:tcPr>
            <w:tcW w:w="800" w:type="dxa"/>
            <w:vAlign w:val="bottom"/>
          </w:tcPr>
          <w:p>
            <w:pPr>
              <w:spacing w:after="0"/>
              <w:rPr>
                <w:sz w:val="5"/>
                <w:szCs w:val="5"/>
                <w:color w:val="auto"/>
              </w:rPr>
            </w:pPr>
          </w:p>
        </w:tc>
        <w:tc>
          <w:tcPr>
            <w:tcW w:w="120" w:type="dxa"/>
            <w:vAlign w:val="bottom"/>
          </w:tcPr>
          <w:p>
            <w:pPr>
              <w:spacing w:after="0"/>
              <w:rPr>
                <w:sz w:val="5"/>
                <w:szCs w:val="5"/>
                <w:color w:val="auto"/>
              </w:rPr>
            </w:pPr>
          </w:p>
        </w:tc>
        <w:tc>
          <w:tcPr>
            <w:tcW w:w="360" w:type="dxa"/>
            <w:vAlign w:val="bottom"/>
          </w:tcPr>
          <w:p>
            <w:pPr>
              <w:spacing w:after="0"/>
              <w:rPr>
                <w:sz w:val="5"/>
                <w:szCs w:val="5"/>
                <w:color w:val="auto"/>
              </w:rPr>
            </w:pPr>
          </w:p>
        </w:tc>
        <w:tc>
          <w:tcPr>
            <w:tcW w:w="460" w:type="dxa"/>
            <w:vAlign w:val="bottom"/>
          </w:tcPr>
          <w:p>
            <w:pPr>
              <w:spacing w:after="0"/>
              <w:rPr>
                <w:sz w:val="5"/>
                <w:szCs w:val="5"/>
                <w:color w:val="auto"/>
              </w:rPr>
            </w:pPr>
          </w:p>
        </w:tc>
        <w:tc>
          <w:tcPr>
            <w:tcW w:w="100" w:type="dxa"/>
            <w:vAlign w:val="bottom"/>
          </w:tcPr>
          <w:p>
            <w:pPr>
              <w:spacing w:after="0"/>
              <w:rPr>
                <w:sz w:val="5"/>
                <w:szCs w:val="5"/>
                <w:color w:val="auto"/>
              </w:rPr>
            </w:pPr>
          </w:p>
        </w:tc>
        <w:tc>
          <w:tcPr>
            <w:tcW w:w="820" w:type="dxa"/>
            <w:vAlign w:val="bottom"/>
          </w:tcPr>
          <w:p>
            <w:pPr>
              <w:spacing w:after="0"/>
              <w:rPr>
                <w:sz w:val="5"/>
                <w:szCs w:val="5"/>
                <w:color w:val="auto"/>
              </w:rPr>
            </w:pPr>
          </w:p>
        </w:tc>
        <w:tc>
          <w:tcPr>
            <w:tcW w:w="120" w:type="dxa"/>
            <w:vAlign w:val="bottom"/>
          </w:tcPr>
          <w:p>
            <w:pPr>
              <w:spacing w:after="0"/>
              <w:rPr>
                <w:sz w:val="5"/>
                <w:szCs w:val="5"/>
                <w:color w:val="auto"/>
              </w:rPr>
            </w:pPr>
          </w:p>
        </w:tc>
        <w:tc>
          <w:tcPr>
            <w:tcW w:w="800" w:type="dxa"/>
            <w:vAlign w:val="bottom"/>
          </w:tcPr>
          <w:p>
            <w:pPr>
              <w:spacing w:after="0"/>
              <w:rPr>
                <w:sz w:val="5"/>
                <w:szCs w:val="5"/>
                <w:color w:val="auto"/>
              </w:rPr>
            </w:pPr>
          </w:p>
        </w:tc>
        <w:tc>
          <w:tcPr>
            <w:tcW w:w="120" w:type="dxa"/>
            <w:vAlign w:val="bottom"/>
          </w:tcPr>
          <w:p>
            <w:pPr>
              <w:spacing w:after="0"/>
              <w:rPr>
                <w:sz w:val="5"/>
                <w:szCs w:val="5"/>
                <w:color w:val="auto"/>
              </w:rPr>
            </w:pPr>
          </w:p>
        </w:tc>
        <w:tc>
          <w:tcPr>
            <w:tcW w:w="800" w:type="dxa"/>
            <w:vAlign w:val="bottom"/>
          </w:tcPr>
          <w:p>
            <w:pPr>
              <w:spacing w:after="0"/>
              <w:rPr>
                <w:sz w:val="5"/>
                <w:szCs w:val="5"/>
                <w:color w:val="auto"/>
              </w:rPr>
            </w:pPr>
          </w:p>
        </w:tc>
        <w:tc>
          <w:tcPr>
            <w:tcW w:w="120" w:type="dxa"/>
            <w:vAlign w:val="bottom"/>
          </w:tcPr>
          <w:p>
            <w:pPr>
              <w:spacing w:after="0"/>
              <w:rPr>
                <w:sz w:val="5"/>
                <w:szCs w:val="5"/>
                <w:color w:val="auto"/>
              </w:rPr>
            </w:pPr>
          </w:p>
        </w:tc>
        <w:tc>
          <w:tcPr>
            <w:tcW w:w="800" w:type="dxa"/>
            <w:vAlign w:val="bottom"/>
          </w:tcPr>
          <w:p>
            <w:pPr>
              <w:spacing w:after="0"/>
              <w:rPr>
                <w:sz w:val="5"/>
                <w:szCs w:val="5"/>
                <w:color w:val="auto"/>
              </w:rPr>
            </w:pPr>
          </w:p>
        </w:tc>
        <w:tc>
          <w:tcPr>
            <w:tcW w:w="100" w:type="dxa"/>
            <w:vAlign w:val="bottom"/>
          </w:tcPr>
          <w:p>
            <w:pPr>
              <w:spacing w:after="0"/>
              <w:rPr>
                <w:sz w:val="5"/>
                <w:szCs w:val="5"/>
                <w:color w:val="auto"/>
              </w:rPr>
            </w:pPr>
          </w:p>
        </w:tc>
        <w:tc>
          <w:tcPr>
            <w:tcW w:w="780" w:type="dxa"/>
            <w:vAlign w:val="bottom"/>
          </w:tcPr>
          <w:p>
            <w:pPr>
              <w:spacing w:after="0"/>
              <w:rPr>
                <w:sz w:val="5"/>
                <w:szCs w:val="5"/>
                <w:color w:val="auto"/>
              </w:rPr>
            </w:pPr>
          </w:p>
        </w:tc>
        <w:tc>
          <w:tcPr>
            <w:tcW w:w="120" w:type="dxa"/>
            <w:vAlign w:val="bottom"/>
          </w:tcPr>
          <w:p>
            <w:pPr>
              <w:spacing w:after="0"/>
              <w:rPr>
                <w:sz w:val="5"/>
                <w:szCs w:val="5"/>
                <w:color w:val="auto"/>
              </w:rPr>
            </w:pPr>
          </w:p>
        </w:tc>
        <w:tc>
          <w:tcPr>
            <w:tcW w:w="0" w:type="dxa"/>
            <w:vAlign w:val="bottom"/>
          </w:tcPr>
          <w:p>
            <w:pPr>
              <w:spacing w:after="0"/>
              <w:rPr>
                <w:sz w:val="1"/>
                <w:szCs w:val="1"/>
                <w:color w:val="auto"/>
              </w:rPr>
            </w:pPr>
          </w:p>
        </w:tc>
      </w:tr>
      <w:tr>
        <w:trPr>
          <w:trHeight w:val="106"/>
        </w:trPr>
        <w:tc>
          <w:tcPr>
            <w:tcW w:w="20" w:type="dxa"/>
            <w:vAlign w:val="bottom"/>
            <w:vMerge w:val="continue"/>
          </w:tcPr>
          <w:p>
            <w:pPr>
              <w:spacing w:after="0"/>
              <w:rPr>
                <w:sz w:val="9"/>
                <w:szCs w:val="9"/>
                <w:color w:val="auto"/>
              </w:rPr>
            </w:pPr>
          </w:p>
        </w:tc>
        <w:tc>
          <w:tcPr>
            <w:tcW w:w="3200" w:type="dxa"/>
            <w:vAlign w:val="bottom"/>
            <w:shd w:val="clear" w:color="auto" w:fill="CCEEFF"/>
          </w:tcPr>
          <w:p>
            <w:pPr>
              <w:spacing w:after="0" w:line="106" w:lineRule="exact"/>
              <w:rPr>
                <w:sz w:val="20"/>
                <w:szCs w:val="20"/>
                <w:color w:val="auto"/>
              </w:rPr>
            </w:pPr>
            <w:r>
              <w:rPr>
                <w:rFonts w:ascii="Arial" w:cs="Arial" w:eastAsia="Arial" w:hAnsi="Arial"/>
                <w:sz w:val="10"/>
                <w:szCs w:val="10"/>
                <w:b w:val="1"/>
                <w:bCs w:val="1"/>
                <w:color w:val="auto"/>
              </w:rPr>
              <w:t>LIABILITIES:</w:t>
            </w: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36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8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200" w:type="dxa"/>
            <w:vAlign w:val="bottom"/>
          </w:tcPr>
          <w:p>
            <w:pPr>
              <w:spacing w:after="0" w:line="135" w:lineRule="exact"/>
              <w:rPr>
                <w:sz w:val="20"/>
                <w:szCs w:val="20"/>
                <w:color w:val="auto"/>
              </w:rPr>
            </w:pPr>
            <w:r>
              <w:rPr>
                <w:rFonts w:ascii="Arial" w:cs="Arial" w:eastAsia="Arial" w:hAnsi="Arial"/>
                <w:sz w:val="9"/>
                <w:szCs w:val="9"/>
                <w:b w:val="1"/>
                <w:bCs w:val="1"/>
                <w:color w:val="auto"/>
              </w:rPr>
              <w:t xml:space="preserve">Borrowings and Placements </w:t>
            </w:r>
            <w:r>
              <w:rPr>
                <w:rFonts w:ascii="Arial" w:cs="Arial" w:eastAsia="Arial" w:hAnsi="Arial"/>
                <w:sz w:val="15"/>
                <w:szCs w:val="15"/>
                <w:b w:val="1"/>
                <w:bCs w:val="1"/>
                <w:color w:val="auto"/>
                <w:vertAlign w:val="superscript"/>
              </w:rPr>
              <w:t>(1)</w:t>
            </w:r>
          </w:p>
        </w:tc>
        <w:tc>
          <w:tcPr>
            <w:tcW w:w="8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spacing w:after="0" w:line="106" w:lineRule="exact"/>
              <w:rPr>
                <w:sz w:val="20"/>
                <w:szCs w:val="20"/>
                <w:color w:val="auto"/>
              </w:rPr>
            </w:pPr>
            <w:r>
              <w:rPr>
                <w:rFonts w:ascii="Arial" w:cs="Arial" w:eastAsia="Arial" w:hAnsi="Arial"/>
                <w:sz w:val="10"/>
                <w:szCs w:val="10"/>
                <w:color w:val="auto"/>
              </w:rPr>
              <w:t>Fixed rate</w:t>
            </w: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36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8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ind w:left="100"/>
              <w:spacing w:after="0" w:line="106" w:lineRule="exact"/>
              <w:rPr>
                <w:sz w:val="20"/>
                <w:szCs w:val="20"/>
                <w:color w:val="auto"/>
              </w:rPr>
            </w:pPr>
            <w:r>
              <w:rPr>
                <w:rFonts w:ascii="Arial" w:cs="Arial" w:eastAsia="Arial" w:hAnsi="Arial"/>
                <w:sz w:val="10"/>
                <w:szCs w:val="10"/>
                <w:color w:val="auto"/>
              </w:rPr>
              <w:t>U.S. Dollars</w:t>
            </w:r>
          </w:p>
        </w:tc>
        <w:tc>
          <w:tcPr>
            <w:tcW w:w="800" w:type="dxa"/>
            <w:vAlign w:val="bottom"/>
          </w:tcPr>
          <w:p>
            <w:pPr>
              <w:jc w:val="right"/>
              <w:spacing w:after="0" w:line="106" w:lineRule="exact"/>
              <w:rPr>
                <w:sz w:val="20"/>
                <w:szCs w:val="20"/>
                <w:color w:val="auto"/>
              </w:rPr>
            </w:pPr>
            <w:r>
              <w:rPr>
                <w:rFonts w:ascii="Arial" w:cs="Arial" w:eastAsia="Arial" w:hAnsi="Arial"/>
                <w:sz w:val="10"/>
                <w:szCs w:val="10"/>
                <w:color w:val="auto"/>
              </w:rPr>
              <w:t>752,967</w:t>
            </w:r>
          </w:p>
        </w:tc>
        <w:tc>
          <w:tcPr>
            <w:tcW w:w="120" w:type="dxa"/>
            <w:vAlign w:val="bottom"/>
          </w:tcPr>
          <w:p>
            <w:pPr>
              <w:spacing w:after="0"/>
              <w:rPr>
                <w:sz w:val="9"/>
                <w:szCs w:val="9"/>
                <w:color w:val="auto"/>
              </w:rPr>
            </w:pP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374,269</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4,831</w:t>
            </w:r>
          </w:p>
        </w:tc>
        <w:tc>
          <w:tcPr>
            <w:tcW w:w="36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tcPr>
          <w:p>
            <w:pPr>
              <w:spacing w:after="0"/>
              <w:rPr>
                <w:sz w:val="9"/>
                <w:szCs w:val="9"/>
                <w:color w:val="auto"/>
              </w:rPr>
            </w:pPr>
          </w:p>
        </w:tc>
        <w:tc>
          <w:tcPr>
            <w:tcW w:w="94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1,132,068</w:t>
            </w:r>
          </w:p>
        </w:tc>
        <w:tc>
          <w:tcPr>
            <w:tcW w:w="90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1,095,538</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Average fixed rate</w:t>
            </w:r>
          </w:p>
        </w:tc>
        <w:tc>
          <w:tcPr>
            <w:tcW w:w="920" w:type="dxa"/>
            <w:vAlign w:val="bottom"/>
            <w:gridSpan w:val="2"/>
            <w:shd w:val="clear" w:color="auto" w:fill="CCEEFF"/>
          </w:tcPr>
          <w:p>
            <w:pPr>
              <w:jc w:val="right"/>
              <w:ind w:right="40"/>
              <w:spacing w:after="0" w:line="106" w:lineRule="exact"/>
              <w:rPr>
                <w:sz w:val="20"/>
                <w:szCs w:val="20"/>
                <w:color w:val="auto"/>
              </w:rPr>
            </w:pPr>
            <w:r>
              <w:rPr>
                <w:rFonts w:ascii="Arial" w:cs="Arial" w:eastAsia="Arial" w:hAnsi="Arial"/>
                <w:sz w:val="10"/>
                <w:szCs w:val="10"/>
                <w:color w:val="auto"/>
              </w:rPr>
              <w:t>2.99%</w:t>
            </w:r>
          </w:p>
        </w:tc>
        <w:tc>
          <w:tcPr>
            <w:tcW w:w="92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3.30%</w:t>
            </w:r>
          </w:p>
        </w:tc>
        <w:tc>
          <w:tcPr>
            <w:tcW w:w="92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2.95%</w:t>
            </w:r>
          </w:p>
        </w:tc>
        <w:tc>
          <w:tcPr>
            <w:tcW w:w="36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shd w:val="clear" w:color="auto" w:fill="CCEEFF"/>
          </w:tcPr>
          <w:p>
            <w:pPr>
              <w:spacing w:after="0"/>
              <w:rPr>
                <w:sz w:val="9"/>
                <w:szCs w:val="9"/>
                <w:color w:val="auto"/>
              </w:rPr>
            </w:pPr>
          </w:p>
        </w:tc>
        <w:tc>
          <w:tcPr>
            <w:tcW w:w="94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3.09%</w:t>
            </w: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ind w:left="100"/>
              <w:spacing w:after="0" w:line="106" w:lineRule="exact"/>
              <w:rPr>
                <w:sz w:val="20"/>
                <w:szCs w:val="20"/>
                <w:color w:val="auto"/>
              </w:rPr>
            </w:pPr>
            <w:r>
              <w:rPr>
                <w:rFonts w:ascii="Arial" w:cs="Arial" w:eastAsia="Arial" w:hAnsi="Arial"/>
                <w:sz w:val="10"/>
                <w:szCs w:val="10"/>
                <w:color w:val="auto"/>
              </w:rPr>
              <w:t>Mexican Peso</w:t>
            </w:r>
          </w:p>
        </w:tc>
        <w:tc>
          <w:tcPr>
            <w:tcW w:w="800" w:type="dxa"/>
            <w:vAlign w:val="bottom"/>
          </w:tcPr>
          <w:p>
            <w:pPr>
              <w:jc w:val="right"/>
              <w:spacing w:after="0" w:line="106" w:lineRule="exact"/>
              <w:rPr>
                <w:sz w:val="20"/>
                <w:szCs w:val="20"/>
                <w:color w:val="auto"/>
              </w:rPr>
            </w:pPr>
            <w:r>
              <w:rPr>
                <w:rFonts w:ascii="Arial" w:cs="Arial" w:eastAsia="Arial" w:hAnsi="Arial"/>
                <w:sz w:val="10"/>
                <w:szCs w:val="10"/>
                <w:color w:val="auto"/>
              </w:rPr>
              <w:t>8,448</w:t>
            </w:r>
          </w:p>
        </w:tc>
        <w:tc>
          <w:tcPr>
            <w:tcW w:w="120" w:type="dxa"/>
            <w:vAlign w:val="bottom"/>
          </w:tcPr>
          <w:p>
            <w:pPr>
              <w:spacing w:after="0"/>
              <w:rPr>
                <w:sz w:val="9"/>
                <w:szCs w:val="9"/>
                <w:color w:val="auto"/>
              </w:rPr>
            </w:pP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6,958</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2,912</w:t>
            </w:r>
          </w:p>
        </w:tc>
        <w:tc>
          <w:tcPr>
            <w:tcW w:w="36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50</w:t>
            </w:r>
          </w:p>
        </w:tc>
        <w:tc>
          <w:tcPr>
            <w:tcW w:w="100" w:type="dxa"/>
            <w:vAlign w:val="bottom"/>
          </w:tcPr>
          <w:p>
            <w:pPr>
              <w:spacing w:after="0"/>
              <w:rPr>
                <w:sz w:val="9"/>
                <w:szCs w:val="9"/>
                <w:color w:val="auto"/>
              </w:rPr>
            </w:pPr>
          </w:p>
        </w:tc>
        <w:tc>
          <w:tcPr>
            <w:tcW w:w="94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18,367</w:t>
            </w:r>
          </w:p>
        </w:tc>
        <w:tc>
          <w:tcPr>
            <w:tcW w:w="90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19,990</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Average fixed rate</w:t>
            </w:r>
          </w:p>
        </w:tc>
        <w:tc>
          <w:tcPr>
            <w:tcW w:w="920" w:type="dxa"/>
            <w:vAlign w:val="bottom"/>
            <w:gridSpan w:val="2"/>
            <w:shd w:val="clear" w:color="auto" w:fill="CCEEFF"/>
          </w:tcPr>
          <w:p>
            <w:pPr>
              <w:jc w:val="right"/>
              <w:ind w:right="40"/>
              <w:spacing w:after="0" w:line="106" w:lineRule="exact"/>
              <w:rPr>
                <w:sz w:val="20"/>
                <w:szCs w:val="20"/>
                <w:color w:val="auto"/>
              </w:rPr>
            </w:pPr>
            <w:r>
              <w:rPr>
                <w:rFonts w:ascii="Arial" w:cs="Arial" w:eastAsia="Arial" w:hAnsi="Arial"/>
                <w:sz w:val="10"/>
                <w:szCs w:val="10"/>
                <w:color w:val="auto"/>
              </w:rPr>
              <w:t>6.54%</w:t>
            </w:r>
          </w:p>
        </w:tc>
        <w:tc>
          <w:tcPr>
            <w:tcW w:w="92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6.96%</w:t>
            </w:r>
          </w:p>
        </w:tc>
        <w:tc>
          <w:tcPr>
            <w:tcW w:w="92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8.22%</w:t>
            </w:r>
          </w:p>
        </w:tc>
        <w:tc>
          <w:tcPr>
            <w:tcW w:w="360" w:type="dxa"/>
            <w:vAlign w:val="bottom"/>
            <w:shd w:val="clear" w:color="auto" w:fill="CCEEFF"/>
          </w:tcPr>
          <w:p>
            <w:pPr>
              <w:spacing w:after="0"/>
              <w:rPr>
                <w:sz w:val="9"/>
                <w:szCs w:val="9"/>
                <w:color w:val="auto"/>
              </w:rPr>
            </w:pPr>
          </w:p>
        </w:tc>
        <w:tc>
          <w:tcPr>
            <w:tcW w:w="56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8.99%</w:t>
            </w:r>
          </w:p>
        </w:tc>
        <w:tc>
          <w:tcPr>
            <w:tcW w:w="94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6.97%</w:t>
            </w: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ind w:left="100"/>
              <w:spacing w:after="0" w:line="106" w:lineRule="exact"/>
              <w:rPr>
                <w:sz w:val="20"/>
                <w:szCs w:val="20"/>
                <w:color w:val="auto"/>
              </w:rPr>
            </w:pPr>
            <w:r>
              <w:rPr>
                <w:rFonts w:ascii="Arial" w:cs="Arial" w:eastAsia="Arial" w:hAnsi="Arial"/>
                <w:sz w:val="10"/>
                <w:szCs w:val="10"/>
                <w:color w:val="auto"/>
              </w:rPr>
              <w:t>Euro Dollar</w:t>
            </w:r>
          </w:p>
        </w:tc>
        <w:tc>
          <w:tcPr>
            <w:tcW w:w="80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120" w:type="dxa"/>
            <w:vAlign w:val="bottom"/>
          </w:tcPr>
          <w:p>
            <w:pPr>
              <w:spacing w:after="0"/>
              <w:rPr>
                <w:sz w:val="9"/>
                <w:szCs w:val="9"/>
                <w:color w:val="auto"/>
              </w:rPr>
            </w:pP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36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tcPr>
          <w:p>
            <w:pPr>
              <w:spacing w:after="0"/>
              <w:rPr>
                <w:sz w:val="9"/>
                <w:szCs w:val="9"/>
                <w:color w:val="auto"/>
              </w:rPr>
            </w:pPr>
          </w:p>
        </w:tc>
        <w:tc>
          <w:tcPr>
            <w:tcW w:w="94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60,315</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60,315</w:t>
            </w:r>
          </w:p>
        </w:tc>
        <w:tc>
          <w:tcPr>
            <w:tcW w:w="90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63,212</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Average fixed rate</w:t>
            </w:r>
          </w:p>
        </w:tc>
        <w:tc>
          <w:tcPr>
            <w:tcW w:w="8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1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36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shd w:val="clear" w:color="auto" w:fill="CCEEFF"/>
          </w:tcPr>
          <w:p>
            <w:pPr>
              <w:spacing w:after="0"/>
              <w:rPr>
                <w:sz w:val="9"/>
                <w:szCs w:val="9"/>
                <w:color w:val="auto"/>
              </w:rPr>
            </w:pPr>
          </w:p>
        </w:tc>
        <w:tc>
          <w:tcPr>
            <w:tcW w:w="94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40"/>
              <w:spacing w:after="0" w:line="106" w:lineRule="exact"/>
              <w:rPr>
                <w:sz w:val="20"/>
                <w:szCs w:val="20"/>
                <w:color w:val="auto"/>
              </w:rPr>
            </w:pPr>
            <w:r>
              <w:rPr>
                <w:rFonts w:ascii="Arial" w:cs="Arial" w:eastAsia="Arial" w:hAnsi="Arial"/>
                <w:sz w:val="10"/>
                <w:szCs w:val="10"/>
                <w:color w:val="auto"/>
              </w:rPr>
              <w:t>3.56%</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3.56%</w:t>
            </w: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ind w:left="100"/>
              <w:spacing w:after="0" w:line="106" w:lineRule="exact"/>
              <w:rPr>
                <w:sz w:val="20"/>
                <w:szCs w:val="20"/>
                <w:color w:val="auto"/>
              </w:rPr>
            </w:pPr>
            <w:r>
              <w:rPr>
                <w:rFonts w:ascii="Arial" w:cs="Arial" w:eastAsia="Arial" w:hAnsi="Arial"/>
                <w:sz w:val="10"/>
                <w:szCs w:val="10"/>
                <w:color w:val="auto"/>
              </w:rPr>
              <w:t>Japanese Yen</w:t>
            </w:r>
          </w:p>
        </w:tc>
        <w:tc>
          <w:tcPr>
            <w:tcW w:w="800" w:type="dxa"/>
            <w:vAlign w:val="bottom"/>
          </w:tcPr>
          <w:p>
            <w:pPr>
              <w:jc w:val="right"/>
              <w:spacing w:after="0" w:line="106" w:lineRule="exact"/>
              <w:rPr>
                <w:sz w:val="20"/>
                <w:szCs w:val="20"/>
                <w:color w:val="auto"/>
              </w:rPr>
            </w:pPr>
            <w:r>
              <w:rPr>
                <w:rFonts w:ascii="Arial" w:cs="Arial" w:eastAsia="Arial" w:hAnsi="Arial"/>
                <w:sz w:val="10"/>
                <w:szCs w:val="10"/>
                <w:color w:val="auto"/>
              </w:rPr>
              <w:t>72,670</w:t>
            </w:r>
          </w:p>
        </w:tc>
        <w:tc>
          <w:tcPr>
            <w:tcW w:w="120" w:type="dxa"/>
            <w:vAlign w:val="bottom"/>
          </w:tcPr>
          <w:p>
            <w:pPr>
              <w:spacing w:after="0"/>
              <w:rPr>
                <w:sz w:val="9"/>
                <w:szCs w:val="9"/>
                <w:color w:val="auto"/>
              </w:rPr>
            </w:pP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36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tcPr>
          <w:p>
            <w:pPr>
              <w:spacing w:after="0"/>
              <w:rPr>
                <w:sz w:val="9"/>
                <w:szCs w:val="9"/>
                <w:color w:val="auto"/>
              </w:rPr>
            </w:pPr>
          </w:p>
        </w:tc>
        <w:tc>
          <w:tcPr>
            <w:tcW w:w="94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72,670</w:t>
            </w:r>
          </w:p>
        </w:tc>
        <w:tc>
          <w:tcPr>
            <w:tcW w:w="90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71,969</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Average fixed rate</w:t>
            </w:r>
          </w:p>
        </w:tc>
        <w:tc>
          <w:tcPr>
            <w:tcW w:w="920" w:type="dxa"/>
            <w:vAlign w:val="bottom"/>
            <w:gridSpan w:val="2"/>
            <w:shd w:val="clear" w:color="auto" w:fill="CCEEFF"/>
          </w:tcPr>
          <w:p>
            <w:pPr>
              <w:jc w:val="right"/>
              <w:ind w:right="40"/>
              <w:spacing w:after="0" w:line="106" w:lineRule="exact"/>
              <w:rPr>
                <w:sz w:val="20"/>
                <w:szCs w:val="20"/>
                <w:color w:val="auto"/>
              </w:rPr>
            </w:pPr>
            <w:r>
              <w:rPr>
                <w:rFonts w:ascii="Arial" w:cs="Arial" w:eastAsia="Arial" w:hAnsi="Arial"/>
                <w:sz w:val="10"/>
                <w:szCs w:val="10"/>
                <w:color w:val="auto"/>
              </w:rPr>
              <w:t>0.46%</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36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shd w:val="clear" w:color="auto" w:fill="CCEEFF"/>
          </w:tcPr>
          <w:p>
            <w:pPr>
              <w:spacing w:after="0"/>
              <w:rPr>
                <w:sz w:val="9"/>
                <w:szCs w:val="9"/>
                <w:color w:val="auto"/>
              </w:rPr>
            </w:pPr>
          </w:p>
        </w:tc>
        <w:tc>
          <w:tcPr>
            <w:tcW w:w="94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0.46%</w:t>
            </w: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ind w:left="100"/>
              <w:spacing w:after="0" w:line="106" w:lineRule="exact"/>
              <w:rPr>
                <w:sz w:val="20"/>
                <w:szCs w:val="20"/>
                <w:color w:val="auto"/>
              </w:rPr>
            </w:pPr>
            <w:r>
              <w:rPr>
                <w:rFonts w:ascii="Arial" w:cs="Arial" w:eastAsia="Arial" w:hAnsi="Arial"/>
                <w:sz w:val="10"/>
                <w:szCs w:val="10"/>
                <w:color w:val="auto"/>
              </w:rPr>
              <w:t>Australian Dollar</w:t>
            </w:r>
          </w:p>
        </w:tc>
        <w:tc>
          <w:tcPr>
            <w:tcW w:w="80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120" w:type="dxa"/>
            <w:vAlign w:val="bottom"/>
          </w:tcPr>
          <w:p>
            <w:pPr>
              <w:spacing w:after="0"/>
              <w:rPr>
                <w:sz w:val="9"/>
                <w:szCs w:val="9"/>
                <w:color w:val="auto"/>
              </w:rPr>
            </w:pP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21,143</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36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tcPr>
          <w:p>
            <w:pPr>
              <w:spacing w:after="0"/>
              <w:rPr>
                <w:sz w:val="9"/>
                <w:szCs w:val="9"/>
                <w:color w:val="auto"/>
              </w:rPr>
            </w:pPr>
          </w:p>
        </w:tc>
        <w:tc>
          <w:tcPr>
            <w:tcW w:w="94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21,143</w:t>
            </w:r>
          </w:p>
        </w:tc>
        <w:tc>
          <w:tcPr>
            <w:tcW w:w="90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21,371</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Average fixed rate</w:t>
            </w:r>
          </w:p>
        </w:tc>
        <w:tc>
          <w:tcPr>
            <w:tcW w:w="8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1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3.33%</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36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shd w:val="clear" w:color="auto" w:fill="CCEEFF"/>
          </w:tcPr>
          <w:p>
            <w:pPr>
              <w:spacing w:after="0"/>
              <w:rPr>
                <w:sz w:val="9"/>
                <w:szCs w:val="9"/>
                <w:color w:val="auto"/>
              </w:rPr>
            </w:pPr>
          </w:p>
        </w:tc>
        <w:tc>
          <w:tcPr>
            <w:tcW w:w="94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3.33%</w:t>
            </w: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spacing w:after="0" w:line="106" w:lineRule="exact"/>
              <w:rPr>
                <w:sz w:val="20"/>
                <w:szCs w:val="20"/>
                <w:color w:val="auto"/>
              </w:rPr>
            </w:pPr>
            <w:r>
              <w:rPr>
                <w:rFonts w:ascii="Arial" w:cs="Arial" w:eastAsia="Arial" w:hAnsi="Arial"/>
                <w:sz w:val="10"/>
                <w:szCs w:val="10"/>
                <w:color w:val="auto"/>
              </w:rPr>
              <w:t>Floating rate</w:t>
            </w: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360" w:type="dxa"/>
            <w:vAlign w:val="bottom"/>
          </w:tcPr>
          <w:p>
            <w:pPr>
              <w:spacing w:after="0"/>
              <w:rPr>
                <w:sz w:val="9"/>
                <w:szCs w:val="9"/>
                <w:color w:val="auto"/>
              </w:rPr>
            </w:pPr>
          </w:p>
        </w:tc>
        <w:tc>
          <w:tcPr>
            <w:tcW w:w="460" w:type="dxa"/>
            <w:vAlign w:val="bottom"/>
          </w:tcPr>
          <w:p>
            <w:pPr>
              <w:spacing w:after="0"/>
              <w:rPr>
                <w:sz w:val="9"/>
                <w:szCs w:val="9"/>
                <w:color w:val="auto"/>
              </w:rPr>
            </w:pPr>
          </w:p>
        </w:tc>
        <w:tc>
          <w:tcPr>
            <w:tcW w:w="100" w:type="dxa"/>
            <w:vAlign w:val="bottom"/>
          </w:tcPr>
          <w:p>
            <w:pPr>
              <w:spacing w:after="0"/>
              <w:rPr>
                <w:sz w:val="9"/>
                <w:szCs w:val="9"/>
                <w:color w:val="auto"/>
              </w:rPr>
            </w:pPr>
          </w:p>
        </w:tc>
        <w:tc>
          <w:tcPr>
            <w:tcW w:w="82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00" w:type="dxa"/>
            <w:vAlign w:val="bottom"/>
          </w:tcPr>
          <w:p>
            <w:pPr>
              <w:spacing w:after="0"/>
              <w:rPr>
                <w:sz w:val="9"/>
                <w:szCs w:val="9"/>
                <w:color w:val="auto"/>
              </w:rPr>
            </w:pPr>
          </w:p>
        </w:tc>
        <w:tc>
          <w:tcPr>
            <w:tcW w:w="7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U.S. Dollars</w:t>
            </w:r>
          </w:p>
        </w:tc>
        <w:tc>
          <w:tcPr>
            <w:tcW w:w="8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1,303,800</w:t>
            </w:r>
          </w:p>
        </w:tc>
        <w:tc>
          <w:tcPr>
            <w:tcW w:w="1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70,000</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540,500</w:t>
            </w:r>
          </w:p>
        </w:tc>
        <w:tc>
          <w:tcPr>
            <w:tcW w:w="360" w:type="dxa"/>
            <w:vAlign w:val="bottom"/>
            <w:shd w:val="clear" w:color="auto" w:fill="CCEEFF"/>
          </w:tcPr>
          <w:p>
            <w:pPr>
              <w:spacing w:after="0"/>
              <w:rPr>
                <w:sz w:val="9"/>
                <w:szCs w:val="9"/>
                <w:color w:val="auto"/>
              </w:rPr>
            </w:pPr>
          </w:p>
        </w:tc>
        <w:tc>
          <w:tcPr>
            <w:tcW w:w="560" w:type="dxa"/>
            <w:vAlign w:val="bottom"/>
            <w:gridSpan w:val="2"/>
            <w:shd w:val="clear" w:color="auto" w:fill="CCEEFF"/>
          </w:tcPr>
          <w:p>
            <w:pPr>
              <w:jc w:val="right"/>
              <w:ind w:right="100"/>
              <w:spacing w:after="0" w:line="106" w:lineRule="exact"/>
              <w:rPr>
                <w:sz w:val="20"/>
                <w:szCs w:val="20"/>
                <w:color w:val="auto"/>
              </w:rPr>
            </w:pPr>
            <w:r>
              <w:rPr>
                <w:rFonts w:ascii="Arial" w:cs="Arial" w:eastAsia="Arial" w:hAnsi="Arial"/>
                <w:sz w:val="10"/>
                <w:szCs w:val="10"/>
                <w:color w:val="auto"/>
              </w:rPr>
              <w:t>60,000</w:t>
            </w:r>
          </w:p>
        </w:tc>
        <w:tc>
          <w:tcPr>
            <w:tcW w:w="94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62,500</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100"/>
              <w:spacing w:after="0" w:line="106" w:lineRule="exact"/>
              <w:rPr>
                <w:sz w:val="20"/>
                <w:szCs w:val="20"/>
                <w:color w:val="auto"/>
              </w:rPr>
            </w:pPr>
            <w:r>
              <w:rPr>
                <w:rFonts w:ascii="Arial" w:cs="Arial" w:eastAsia="Arial" w:hAnsi="Arial"/>
                <w:sz w:val="10"/>
                <w:szCs w:val="10"/>
                <w:color w:val="auto"/>
              </w:rPr>
              <w:t>2,036,800</w:t>
            </w:r>
          </w:p>
        </w:tc>
        <w:tc>
          <w:tcPr>
            <w:tcW w:w="90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2,064,374</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ind w:left="100"/>
              <w:spacing w:after="0" w:line="106" w:lineRule="exact"/>
              <w:rPr>
                <w:sz w:val="20"/>
                <w:szCs w:val="20"/>
                <w:color w:val="auto"/>
              </w:rPr>
            </w:pPr>
            <w:r>
              <w:rPr>
                <w:rFonts w:ascii="Arial" w:cs="Arial" w:eastAsia="Arial" w:hAnsi="Arial"/>
                <w:sz w:val="10"/>
                <w:szCs w:val="10"/>
                <w:color w:val="auto"/>
              </w:rPr>
              <w:t>Average floating rate</w:t>
            </w:r>
          </w:p>
        </w:tc>
        <w:tc>
          <w:tcPr>
            <w:tcW w:w="920" w:type="dxa"/>
            <w:vAlign w:val="bottom"/>
            <w:gridSpan w:val="2"/>
          </w:tcPr>
          <w:p>
            <w:pPr>
              <w:jc w:val="right"/>
              <w:ind w:right="40"/>
              <w:spacing w:after="0" w:line="106" w:lineRule="exact"/>
              <w:rPr>
                <w:sz w:val="20"/>
                <w:szCs w:val="20"/>
                <w:color w:val="auto"/>
              </w:rPr>
            </w:pPr>
            <w:r>
              <w:rPr>
                <w:rFonts w:ascii="Arial" w:cs="Arial" w:eastAsia="Arial" w:hAnsi="Arial"/>
                <w:sz w:val="10"/>
                <w:szCs w:val="10"/>
                <w:color w:val="auto"/>
              </w:rPr>
              <w:t>2.99%</w:t>
            </w:r>
          </w:p>
        </w:tc>
        <w:tc>
          <w:tcPr>
            <w:tcW w:w="92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3.27%</w:t>
            </w:r>
          </w:p>
        </w:tc>
        <w:tc>
          <w:tcPr>
            <w:tcW w:w="92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3.84%</w:t>
            </w:r>
          </w:p>
        </w:tc>
        <w:tc>
          <w:tcPr>
            <w:tcW w:w="360" w:type="dxa"/>
            <w:vAlign w:val="bottom"/>
          </w:tcPr>
          <w:p>
            <w:pPr>
              <w:spacing w:after="0"/>
              <w:rPr>
                <w:sz w:val="9"/>
                <w:szCs w:val="9"/>
                <w:color w:val="auto"/>
              </w:rPr>
            </w:pPr>
          </w:p>
        </w:tc>
        <w:tc>
          <w:tcPr>
            <w:tcW w:w="56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4.03%</w:t>
            </w:r>
          </w:p>
        </w:tc>
        <w:tc>
          <w:tcPr>
            <w:tcW w:w="940" w:type="dxa"/>
            <w:vAlign w:val="bottom"/>
            <w:gridSpan w:val="2"/>
          </w:tcPr>
          <w:p>
            <w:pPr>
              <w:jc w:val="right"/>
              <w:ind w:right="40"/>
              <w:spacing w:after="0" w:line="106" w:lineRule="exact"/>
              <w:rPr>
                <w:sz w:val="20"/>
                <w:szCs w:val="20"/>
                <w:color w:val="auto"/>
              </w:rPr>
            </w:pPr>
            <w:r>
              <w:rPr>
                <w:rFonts w:ascii="Arial" w:cs="Arial" w:eastAsia="Arial" w:hAnsi="Arial"/>
                <w:sz w:val="10"/>
                <w:szCs w:val="10"/>
                <w:color w:val="auto"/>
              </w:rPr>
              <w:t>3.85%</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3.28%</w:t>
            </w:r>
          </w:p>
        </w:tc>
        <w:tc>
          <w:tcPr>
            <w:tcW w:w="7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Mexican Peso</w:t>
            </w:r>
          </w:p>
        </w:tc>
        <w:tc>
          <w:tcPr>
            <w:tcW w:w="8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180,380</w:t>
            </w:r>
          </w:p>
        </w:tc>
        <w:tc>
          <w:tcPr>
            <w:tcW w:w="1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15,868</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10,022</w:t>
            </w:r>
          </w:p>
        </w:tc>
        <w:tc>
          <w:tcPr>
            <w:tcW w:w="360" w:type="dxa"/>
            <w:vAlign w:val="bottom"/>
            <w:shd w:val="clear" w:color="auto" w:fill="CCEEFF"/>
          </w:tcPr>
          <w:p>
            <w:pPr>
              <w:spacing w:after="0"/>
              <w:rPr>
                <w:sz w:val="9"/>
                <w:szCs w:val="9"/>
                <w:color w:val="auto"/>
              </w:rPr>
            </w:pPr>
          </w:p>
        </w:tc>
        <w:tc>
          <w:tcPr>
            <w:tcW w:w="560" w:type="dxa"/>
            <w:vAlign w:val="bottom"/>
            <w:gridSpan w:val="2"/>
            <w:shd w:val="clear" w:color="auto" w:fill="CCEEFF"/>
          </w:tcPr>
          <w:p>
            <w:pPr>
              <w:jc w:val="right"/>
              <w:ind w:right="100"/>
              <w:spacing w:after="0" w:line="106" w:lineRule="exact"/>
              <w:rPr>
                <w:sz w:val="20"/>
                <w:szCs w:val="20"/>
                <w:color w:val="auto"/>
              </w:rPr>
            </w:pPr>
            <w:r>
              <w:rPr>
                <w:rFonts w:ascii="Arial" w:cs="Arial" w:eastAsia="Arial" w:hAnsi="Arial"/>
                <w:sz w:val="10"/>
                <w:szCs w:val="10"/>
                <w:color w:val="auto"/>
              </w:rPr>
              <w:t>14,129</w:t>
            </w:r>
          </w:p>
        </w:tc>
        <w:tc>
          <w:tcPr>
            <w:tcW w:w="94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100"/>
              <w:spacing w:after="0" w:line="106" w:lineRule="exact"/>
              <w:rPr>
                <w:sz w:val="20"/>
                <w:szCs w:val="20"/>
                <w:color w:val="auto"/>
              </w:rPr>
            </w:pPr>
            <w:r>
              <w:rPr>
                <w:rFonts w:ascii="Arial" w:cs="Arial" w:eastAsia="Arial" w:hAnsi="Arial"/>
                <w:sz w:val="10"/>
                <w:szCs w:val="10"/>
                <w:color w:val="auto"/>
              </w:rPr>
              <w:t>220,399</w:t>
            </w:r>
          </w:p>
        </w:tc>
        <w:tc>
          <w:tcPr>
            <w:tcW w:w="90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222,308</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ind w:left="100"/>
              <w:spacing w:after="0" w:line="106" w:lineRule="exact"/>
              <w:rPr>
                <w:sz w:val="20"/>
                <w:szCs w:val="20"/>
                <w:color w:val="auto"/>
              </w:rPr>
            </w:pPr>
            <w:r>
              <w:rPr>
                <w:rFonts w:ascii="Arial" w:cs="Arial" w:eastAsia="Arial" w:hAnsi="Arial"/>
                <w:sz w:val="10"/>
                <w:szCs w:val="10"/>
                <w:color w:val="auto"/>
              </w:rPr>
              <w:t>Average floating rate</w:t>
            </w:r>
          </w:p>
        </w:tc>
        <w:tc>
          <w:tcPr>
            <w:tcW w:w="920" w:type="dxa"/>
            <w:vAlign w:val="bottom"/>
            <w:gridSpan w:val="2"/>
          </w:tcPr>
          <w:p>
            <w:pPr>
              <w:jc w:val="right"/>
              <w:ind w:right="40"/>
              <w:spacing w:after="0" w:line="106" w:lineRule="exact"/>
              <w:rPr>
                <w:sz w:val="20"/>
                <w:szCs w:val="20"/>
                <w:color w:val="auto"/>
              </w:rPr>
            </w:pPr>
            <w:r>
              <w:rPr>
                <w:rFonts w:ascii="Arial" w:cs="Arial" w:eastAsia="Arial" w:hAnsi="Arial"/>
                <w:sz w:val="10"/>
                <w:szCs w:val="10"/>
                <w:color w:val="auto"/>
              </w:rPr>
              <w:t>9.18%</w:t>
            </w:r>
          </w:p>
        </w:tc>
        <w:tc>
          <w:tcPr>
            <w:tcW w:w="92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9.67%</w:t>
            </w:r>
          </w:p>
        </w:tc>
        <w:tc>
          <w:tcPr>
            <w:tcW w:w="92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9.62%</w:t>
            </w:r>
          </w:p>
        </w:tc>
        <w:tc>
          <w:tcPr>
            <w:tcW w:w="360" w:type="dxa"/>
            <w:vAlign w:val="bottom"/>
          </w:tcPr>
          <w:p>
            <w:pPr>
              <w:spacing w:after="0"/>
              <w:rPr>
                <w:sz w:val="9"/>
                <w:szCs w:val="9"/>
                <w:color w:val="auto"/>
              </w:rPr>
            </w:pPr>
          </w:p>
        </w:tc>
        <w:tc>
          <w:tcPr>
            <w:tcW w:w="56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9.50%</w:t>
            </w:r>
          </w:p>
        </w:tc>
        <w:tc>
          <w:tcPr>
            <w:tcW w:w="94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9.25%</w:t>
            </w:r>
          </w:p>
        </w:tc>
        <w:tc>
          <w:tcPr>
            <w:tcW w:w="7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restart"/>
          </w:tcPr>
          <w:p>
            <w:pPr>
              <w:spacing w:after="0"/>
              <w:rPr>
                <w:sz w:val="9"/>
                <w:szCs w:val="9"/>
                <w:color w:val="auto"/>
              </w:rPr>
            </w:pPr>
          </w:p>
        </w:tc>
        <w:tc>
          <w:tcPr>
            <w:tcW w:w="320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36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8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continue"/>
          </w:tcPr>
          <w:p>
            <w:pPr>
              <w:spacing w:after="0"/>
              <w:rPr>
                <w:sz w:val="9"/>
                <w:szCs w:val="9"/>
                <w:color w:val="auto"/>
              </w:rPr>
            </w:pPr>
          </w:p>
        </w:tc>
        <w:tc>
          <w:tcPr>
            <w:tcW w:w="3200" w:type="dxa"/>
            <w:vAlign w:val="bottom"/>
          </w:tcPr>
          <w:p>
            <w:pPr>
              <w:spacing w:after="0" w:line="106" w:lineRule="exact"/>
              <w:rPr>
                <w:sz w:val="20"/>
                <w:szCs w:val="20"/>
                <w:color w:val="auto"/>
              </w:rPr>
            </w:pPr>
            <w:r>
              <w:rPr>
                <w:rFonts w:ascii="Arial" w:cs="Arial" w:eastAsia="Arial" w:hAnsi="Arial"/>
                <w:sz w:val="10"/>
                <w:szCs w:val="10"/>
                <w:b w:val="1"/>
                <w:bCs w:val="1"/>
                <w:color w:val="auto"/>
              </w:rPr>
              <w:t>INTEREST RATE SWAPS:</w:t>
            </w: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360" w:type="dxa"/>
            <w:vAlign w:val="bottom"/>
          </w:tcPr>
          <w:p>
            <w:pPr>
              <w:spacing w:after="0"/>
              <w:rPr>
                <w:sz w:val="9"/>
                <w:szCs w:val="9"/>
                <w:color w:val="auto"/>
              </w:rPr>
            </w:pPr>
          </w:p>
        </w:tc>
        <w:tc>
          <w:tcPr>
            <w:tcW w:w="460" w:type="dxa"/>
            <w:vAlign w:val="bottom"/>
          </w:tcPr>
          <w:p>
            <w:pPr>
              <w:spacing w:after="0"/>
              <w:rPr>
                <w:sz w:val="9"/>
                <w:szCs w:val="9"/>
                <w:color w:val="auto"/>
              </w:rPr>
            </w:pPr>
          </w:p>
        </w:tc>
        <w:tc>
          <w:tcPr>
            <w:tcW w:w="100" w:type="dxa"/>
            <w:vAlign w:val="bottom"/>
          </w:tcPr>
          <w:p>
            <w:pPr>
              <w:spacing w:after="0"/>
              <w:rPr>
                <w:sz w:val="9"/>
                <w:szCs w:val="9"/>
                <w:color w:val="auto"/>
              </w:rPr>
            </w:pPr>
          </w:p>
        </w:tc>
        <w:tc>
          <w:tcPr>
            <w:tcW w:w="82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00" w:type="dxa"/>
            <w:vAlign w:val="bottom"/>
          </w:tcPr>
          <w:p>
            <w:pPr>
              <w:spacing w:after="0"/>
              <w:rPr>
                <w:sz w:val="9"/>
                <w:szCs w:val="9"/>
                <w:color w:val="auto"/>
              </w:rPr>
            </w:pPr>
          </w:p>
        </w:tc>
        <w:tc>
          <w:tcPr>
            <w:tcW w:w="7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spacing w:after="0" w:line="106" w:lineRule="exact"/>
              <w:rPr>
                <w:sz w:val="20"/>
                <w:szCs w:val="20"/>
                <w:color w:val="auto"/>
              </w:rPr>
            </w:pPr>
            <w:r>
              <w:rPr>
                <w:rFonts w:ascii="Arial" w:cs="Arial" w:eastAsia="Arial" w:hAnsi="Arial"/>
                <w:sz w:val="10"/>
                <w:szCs w:val="10"/>
                <w:b w:val="1"/>
                <w:bCs w:val="1"/>
                <w:color w:val="auto"/>
              </w:rPr>
              <w:t>Interest Rate Swaps – Investment Securities</w:t>
            </w: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36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8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ind w:left="100"/>
              <w:spacing w:after="0" w:line="106" w:lineRule="exact"/>
              <w:rPr>
                <w:sz w:val="20"/>
                <w:szCs w:val="20"/>
                <w:color w:val="auto"/>
              </w:rPr>
            </w:pPr>
            <w:r>
              <w:rPr>
                <w:rFonts w:ascii="Arial" w:cs="Arial" w:eastAsia="Arial" w:hAnsi="Arial"/>
                <w:sz w:val="10"/>
                <w:szCs w:val="10"/>
                <w:color w:val="auto"/>
              </w:rPr>
              <w:t>U.S. Dollars fixed to floating</w:t>
            </w:r>
          </w:p>
        </w:tc>
        <w:tc>
          <w:tcPr>
            <w:tcW w:w="800" w:type="dxa"/>
            <w:vAlign w:val="bottom"/>
          </w:tcPr>
          <w:p>
            <w:pPr>
              <w:jc w:val="right"/>
              <w:spacing w:after="0" w:line="106" w:lineRule="exact"/>
              <w:rPr>
                <w:sz w:val="20"/>
                <w:szCs w:val="20"/>
                <w:color w:val="auto"/>
              </w:rPr>
            </w:pPr>
            <w:r>
              <w:rPr>
                <w:rFonts w:ascii="Arial" w:cs="Arial" w:eastAsia="Arial" w:hAnsi="Arial"/>
                <w:sz w:val="10"/>
                <w:szCs w:val="10"/>
                <w:color w:val="auto"/>
              </w:rPr>
              <w:t>4,500</w:t>
            </w:r>
          </w:p>
        </w:tc>
        <w:tc>
          <w:tcPr>
            <w:tcW w:w="120" w:type="dxa"/>
            <w:vAlign w:val="bottom"/>
          </w:tcPr>
          <w:p>
            <w:pPr>
              <w:spacing w:after="0"/>
              <w:rPr>
                <w:sz w:val="9"/>
                <w:szCs w:val="9"/>
                <w:color w:val="auto"/>
              </w:rPr>
            </w:pP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5,000</w:t>
            </w:r>
          </w:p>
        </w:tc>
        <w:tc>
          <w:tcPr>
            <w:tcW w:w="360" w:type="dxa"/>
            <w:vAlign w:val="bottom"/>
          </w:tcPr>
          <w:p>
            <w:pPr>
              <w:spacing w:after="0"/>
              <w:rPr>
                <w:sz w:val="9"/>
                <w:szCs w:val="9"/>
                <w:color w:val="auto"/>
              </w:rPr>
            </w:pPr>
          </w:p>
        </w:tc>
        <w:tc>
          <w:tcPr>
            <w:tcW w:w="56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3,000</w:t>
            </w:r>
          </w:p>
        </w:tc>
        <w:tc>
          <w:tcPr>
            <w:tcW w:w="94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12,500</w:t>
            </w:r>
          </w:p>
        </w:tc>
        <w:tc>
          <w:tcPr>
            <w:tcW w:w="90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98</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Average pay rate</w:t>
            </w:r>
          </w:p>
        </w:tc>
        <w:tc>
          <w:tcPr>
            <w:tcW w:w="920" w:type="dxa"/>
            <w:vAlign w:val="bottom"/>
            <w:gridSpan w:val="2"/>
            <w:shd w:val="clear" w:color="auto" w:fill="CCEEFF"/>
          </w:tcPr>
          <w:p>
            <w:pPr>
              <w:jc w:val="right"/>
              <w:ind w:right="40"/>
              <w:spacing w:after="0" w:line="106" w:lineRule="exact"/>
              <w:rPr>
                <w:sz w:val="20"/>
                <w:szCs w:val="20"/>
                <w:color w:val="auto"/>
              </w:rPr>
            </w:pPr>
            <w:r>
              <w:rPr>
                <w:rFonts w:ascii="Arial" w:cs="Arial" w:eastAsia="Arial" w:hAnsi="Arial"/>
                <w:sz w:val="10"/>
                <w:szCs w:val="10"/>
                <w:color w:val="auto"/>
              </w:rPr>
              <w:t>9.75%</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3.25%</w:t>
            </w:r>
          </w:p>
        </w:tc>
        <w:tc>
          <w:tcPr>
            <w:tcW w:w="360" w:type="dxa"/>
            <w:vAlign w:val="bottom"/>
            <w:shd w:val="clear" w:color="auto" w:fill="CCEEFF"/>
          </w:tcPr>
          <w:p>
            <w:pPr>
              <w:spacing w:after="0"/>
              <w:rPr>
                <w:sz w:val="9"/>
                <w:szCs w:val="9"/>
                <w:color w:val="auto"/>
              </w:rPr>
            </w:pPr>
          </w:p>
        </w:tc>
        <w:tc>
          <w:tcPr>
            <w:tcW w:w="56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3.88%</w:t>
            </w:r>
          </w:p>
        </w:tc>
        <w:tc>
          <w:tcPr>
            <w:tcW w:w="94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5.63%</w:t>
            </w: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ind w:left="100"/>
              <w:spacing w:after="0" w:line="106" w:lineRule="exact"/>
              <w:rPr>
                <w:sz w:val="20"/>
                <w:szCs w:val="20"/>
                <w:color w:val="auto"/>
              </w:rPr>
            </w:pPr>
            <w:r>
              <w:rPr>
                <w:rFonts w:ascii="Arial" w:cs="Arial" w:eastAsia="Arial" w:hAnsi="Arial"/>
                <w:sz w:val="10"/>
                <w:szCs w:val="10"/>
                <w:color w:val="auto"/>
              </w:rPr>
              <w:t>Average receive rate</w:t>
            </w:r>
          </w:p>
        </w:tc>
        <w:tc>
          <w:tcPr>
            <w:tcW w:w="920" w:type="dxa"/>
            <w:vAlign w:val="bottom"/>
            <w:gridSpan w:val="2"/>
          </w:tcPr>
          <w:p>
            <w:pPr>
              <w:jc w:val="right"/>
              <w:ind w:right="40"/>
              <w:spacing w:after="0" w:line="106" w:lineRule="exact"/>
              <w:rPr>
                <w:sz w:val="20"/>
                <w:szCs w:val="20"/>
                <w:color w:val="auto"/>
              </w:rPr>
            </w:pPr>
            <w:r>
              <w:rPr>
                <w:rFonts w:ascii="Arial" w:cs="Arial" w:eastAsia="Arial" w:hAnsi="Arial"/>
                <w:sz w:val="10"/>
                <w:szCs w:val="10"/>
                <w:color w:val="auto"/>
              </w:rPr>
              <w:t>10.41%</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3.63%</w:t>
            </w:r>
          </w:p>
        </w:tc>
        <w:tc>
          <w:tcPr>
            <w:tcW w:w="360" w:type="dxa"/>
            <w:vAlign w:val="bottom"/>
          </w:tcPr>
          <w:p>
            <w:pPr>
              <w:spacing w:after="0"/>
              <w:rPr>
                <w:sz w:val="9"/>
                <w:szCs w:val="9"/>
                <w:color w:val="auto"/>
              </w:rPr>
            </w:pPr>
          </w:p>
        </w:tc>
        <w:tc>
          <w:tcPr>
            <w:tcW w:w="56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3.84%</w:t>
            </w:r>
          </w:p>
        </w:tc>
        <w:tc>
          <w:tcPr>
            <w:tcW w:w="94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5.96%</w:t>
            </w:r>
          </w:p>
        </w:tc>
        <w:tc>
          <w:tcPr>
            <w:tcW w:w="7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spacing w:after="0" w:line="106" w:lineRule="exact"/>
              <w:rPr>
                <w:sz w:val="20"/>
                <w:szCs w:val="20"/>
                <w:color w:val="auto"/>
              </w:rPr>
            </w:pPr>
            <w:r>
              <w:rPr>
                <w:rFonts w:ascii="Arial" w:cs="Arial" w:eastAsia="Arial" w:hAnsi="Arial"/>
                <w:sz w:val="10"/>
                <w:szCs w:val="10"/>
                <w:b w:val="1"/>
                <w:bCs w:val="1"/>
                <w:color w:val="auto"/>
              </w:rPr>
              <w:t>Interest Rate Swaps – Loans</w:t>
            </w: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36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8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ind w:left="100"/>
              <w:spacing w:after="0" w:line="106" w:lineRule="exact"/>
              <w:rPr>
                <w:sz w:val="20"/>
                <w:szCs w:val="20"/>
                <w:color w:val="auto"/>
              </w:rPr>
            </w:pPr>
            <w:r>
              <w:rPr>
                <w:rFonts w:ascii="Arial" w:cs="Arial" w:eastAsia="Arial" w:hAnsi="Arial"/>
                <w:sz w:val="10"/>
                <w:szCs w:val="10"/>
                <w:color w:val="auto"/>
              </w:rPr>
              <w:t>U.S. Dollars fixed to floating</w:t>
            </w:r>
          </w:p>
        </w:tc>
        <w:tc>
          <w:tcPr>
            <w:tcW w:w="80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120" w:type="dxa"/>
            <w:vAlign w:val="bottom"/>
          </w:tcPr>
          <w:p>
            <w:pPr>
              <w:spacing w:after="0"/>
              <w:rPr>
                <w:sz w:val="9"/>
                <w:szCs w:val="9"/>
                <w:color w:val="auto"/>
              </w:rPr>
            </w:pP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50,000</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15,333</w:t>
            </w:r>
          </w:p>
        </w:tc>
        <w:tc>
          <w:tcPr>
            <w:tcW w:w="36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tcPr>
          <w:p>
            <w:pPr>
              <w:spacing w:after="0"/>
              <w:rPr>
                <w:sz w:val="9"/>
                <w:szCs w:val="9"/>
                <w:color w:val="auto"/>
              </w:rPr>
            </w:pPr>
          </w:p>
        </w:tc>
        <w:tc>
          <w:tcPr>
            <w:tcW w:w="94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65,333</w:t>
            </w:r>
          </w:p>
        </w:tc>
        <w:tc>
          <w:tcPr>
            <w:tcW w:w="900" w:type="dxa"/>
            <w:vAlign w:val="bottom"/>
            <w:gridSpan w:val="2"/>
          </w:tcPr>
          <w:p>
            <w:pPr>
              <w:jc w:val="right"/>
              <w:ind w:right="80"/>
              <w:spacing w:after="0" w:line="106" w:lineRule="exact"/>
              <w:rPr>
                <w:sz w:val="20"/>
                <w:szCs w:val="20"/>
                <w:color w:val="auto"/>
              </w:rPr>
            </w:pPr>
            <w:r>
              <w:rPr>
                <w:rFonts w:ascii="Arial" w:cs="Arial" w:eastAsia="Arial" w:hAnsi="Arial"/>
                <w:sz w:val="10"/>
                <w:szCs w:val="10"/>
                <w:color w:val="auto"/>
              </w:rPr>
              <w:t>(55)</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Average pay rate</w:t>
            </w:r>
          </w:p>
        </w:tc>
        <w:tc>
          <w:tcPr>
            <w:tcW w:w="8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1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5.50%</w:t>
            </w:r>
          </w:p>
        </w:tc>
        <w:tc>
          <w:tcPr>
            <w:tcW w:w="92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4.05%</w:t>
            </w:r>
          </w:p>
        </w:tc>
        <w:tc>
          <w:tcPr>
            <w:tcW w:w="36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shd w:val="clear" w:color="auto" w:fill="CCEEFF"/>
          </w:tcPr>
          <w:p>
            <w:pPr>
              <w:spacing w:after="0"/>
              <w:rPr>
                <w:sz w:val="9"/>
                <w:szCs w:val="9"/>
                <w:color w:val="auto"/>
              </w:rPr>
            </w:pPr>
          </w:p>
        </w:tc>
        <w:tc>
          <w:tcPr>
            <w:tcW w:w="94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4.78%</w:t>
            </w: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ind w:left="100"/>
              <w:spacing w:after="0" w:line="106" w:lineRule="exact"/>
              <w:rPr>
                <w:sz w:val="20"/>
                <w:szCs w:val="20"/>
                <w:color w:val="auto"/>
              </w:rPr>
            </w:pPr>
            <w:r>
              <w:rPr>
                <w:rFonts w:ascii="Arial" w:cs="Arial" w:eastAsia="Arial" w:hAnsi="Arial"/>
                <w:sz w:val="10"/>
                <w:szCs w:val="10"/>
                <w:color w:val="auto"/>
              </w:rPr>
              <w:t>Average receive rate</w:t>
            </w:r>
          </w:p>
        </w:tc>
        <w:tc>
          <w:tcPr>
            <w:tcW w:w="80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120" w:type="dxa"/>
            <w:vAlign w:val="bottom"/>
          </w:tcPr>
          <w:p>
            <w:pPr>
              <w:spacing w:after="0"/>
              <w:rPr>
                <w:sz w:val="9"/>
                <w:szCs w:val="9"/>
                <w:color w:val="auto"/>
              </w:rPr>
            </w:pPr>
          </w:p>
        </w:tc>
        <w:tc>
          <w:tcPr>
            <w:tcW w:w="92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5.38%</w:t>
            </w:r>
          </w:p>
        </w:tc>
        <w:tc>
          <w:tcPr>
            <w:tcW w:w="92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3.98%</w:t>
            </w:r>
          </w:p>
        </w:tc>
        <w:tc>
          <w:tcPr>
            <w:tcW w:w="36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tcPr>
          <w:p>
            <w:pPr>
              <w:spacing w:after="0"/>
              <w:rPr>
                <w:sz w:val="9"/>
                <w:szCs w:val="9"/>
                <w:color w:val="auto"/>
              </w:rPr>
            </w:pPr>
          </w:p>
        </w:tc>
        <w:tc>
          <w:tcPr>
            <w:tcW w:w="94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4.68%</w:t>
            </w:r>
          </w:p>
        </w:tc>
        <w:tc>
          <w:tcPr>
            <w:tcW w:w="7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spacing w:after="0" w:line="106" w:lineRule="exact"/>
              <w:rPr>
                <w:sz w:val="20"/>
                <w:szCs w:val="20"/>
                <w:color w:val="auto"/>
              </w:rPr>
            </w:pPr>
            <w:r>
              <w:rPr>
                <w:rFonts w:ascii="Arial" w:cs="Arial" w:eastAsia="Arial" w:hAnsi="Arial"/>
                <w:sz w:val="10"/>
                <w:szCs w:val="10"/>
                <w:b w:val="1"/>
                <w:bCs w:val="1"/>
                <w:color w:val="auto"/>
              </w:rPr>
              <w:t>Interest Rate Swaps – Borrowings</w:t>
            </w: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36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8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ind w:left="100"/>
              <w:spacing w:after="0" w:line="106" w:lineRule="exact"/>
              <w:rPr>
                <w:sz w:val="20"/>
                <w:szCs w:val="20"/>
                <w:color w:val="auto"/>
              </w:rPr>
            </w:pPr>
            <w:r>
              <w:rPr>
                <w:rFonts w:ascii="Arial" w:cs="Arial" w:eastAsia="Arial" w:hAnsi="Arial"/>
                <w:sz w:val="10"/>
                <w:szCs w:val="10"/>
                <w:color w:val="auto"/>
              </w:rPr>
              <w:t>U.S. Dollars fixed to floating</w:t>
            </w:r>
          </w:p>
        </w:tc>
        <w:tc>
          <w:tcPr>
            <w:tcW w:w="800" w:type="dxa"/>
            <w:vAlign w:val="bottom"/>
          </w:tcPr>
          <w:p>
            <w:pPr>
              <w:jc w:val="right"/>
              <w:spacing w:after="0" w:line="106" w:lineRule="exact"/>
              <w:rPr>
                <w:sz w:val="20"/>
                <w:szCs w:val="20"/>
                <w:color w:val="auto"/>
              </w:rPr>
            </w:pPr>
            <w:r>
              <w:rPr>
                <w:rFonts w:ascii="Arial" w:cs="Arial" w:eastAsia="Arial" w:hAnsi="Arial"/>
                <w:sz w:val="10"/>
                <w:szCs w:val="10"/>
                <w:color w:val="auto"/>
              </w:rPr>
              <w:t>337,000</w:t>
            </w:r>
          </w:p>
        </w:tc>
        <w:tc>
          <w:tcPr>
            <w:tcW w:w="120" w:type="dxa"/>
            <w:vAlign w:val="bottom"/>
          </w:tcPr>
          <w:p>
            <w:pPr>
              <w:spacing w:after="0"/>
              <w:rPr>
                <w:sz w:val="9"/>
                <w:szCs w:val="9"/>
                <w:color w:val="auto"/>
              </w:rPr>
            </w:pP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63,000</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40,000</w:t>
            </w:r>
          </w:p>
        </w:tc>
        <w:tc>
          <w:tcPr>
            <w:tcW w:w="36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tcPr>
          <w:p>
            <w:pPr>
              <w:spacing w:after="0"/>
              <w:rPr>
                <w:sz w:val="9"/>
                <w:szCs w:val="9"/>
                <w:color w:val="auto"/>
              </w:rPr>
            </w:pPr>
          </w:p>
        </w:tc>
        <w:tc>
          <w:tcPr>
            <w:tcW w:w="94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440,000</w:t>
            </w:r>
          </w:p>
        </w:tc>
        <w:tc>
          <w:tcPr>
            <w:tcW w:w="900" w:type="dxa"/>
            <w:vAlign w:val="bottom"/>
            <w:gridSpan w:val="2"/>
          </w:tcPr>
          <w:p>
            <w:pPr>
              <w:jc w:val="right"/>
              <w:ind w:right="80"/>
              <w:spacing w:after="0" w:line="106" w:lineRule="exact"/>
              <w:rPr>
                <w:sz w:val="20"/>
                <w:szCs w:val="20"/>
                <w:color w:val="auto"/>
              </w:rPr>
            </w:pPr>
            <w:r>
              <w:rPr>
                <w:rFonts w:ascii="Arial" w:cs="Arial" w:eastAsia="Arial" w:hAnsi="Arial"/>
                <w:sz w:val="10"/>
                <w:szCs w:val="10"/>
                <w:color w:val="auto"/>
              </w:rPr>
              <w:t>(2,776)</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Average pay rate</w:t>
            </w:r>
          </w:p>
        </w:tc>
        <w:tc>
          <w:tcPr>
            <w:tcW w:w="920" w:type="dxa"/>
            <w:vAlign w:val="bottom"/>
            <w:gridSpan w:val="2"/>
            <w:shd w:val="clear" w:color="auto" w:fill="CCEEFF"/>
          </w:tcPr>
          <w:p>
            <w:pPr>
              <w:jc w:val="right"/>
              <w:ind w:right="40"/>
              <w:spacing w:after="0" w:line="106" w:lineRule="exact"/>
              <w:rPr>
                <w:sz w:val="20"/>
                <w:szCs w:val="20"/>
                <w:color w:val="auto"/>
              </w:rPr>
            </w:pPr>
            <w:r>
              <w:rPr>
                <w:rFonts w:ascii="Arial" w:cs="Arial" w:eastAsia="Arial" w:hAnsi="Arial"/>
                <w:sz w:val="10"/>
                <w:szCs w:val="10"/>
                <w:color w:val="auto"/>
              </w:rPr>
              <w:t>2.60%</w:t>
            </w:r>
          </w:p>
        </w:tc>
        <w:tc>
          <w:tcPr>
            <w:tcW w:w="92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2.59%</w:t>
            </w:r>
          </w:p>
        </w:tc>
        <w:tc>
          <w:tcPr>
            <w:tcW w:w="92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2.30%</w:t>
            </w:r>
          </w:p>
        </w:tc>
        <w:tc>
          <w:tcPr>
            <w:tcW w:w="36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shd w:val="clear" w:color="auto" w:fill="CCEEFF"/>
          </w:tcPr>
          <w:p>
            <w:pPr>
              <w:spacing w:after="0"/>
              <w:rPr>
                <w:sz w:val="9"/>
                <w:szCs w:val="9"/>
                <w:color w:val="auto"/>
              </w:rPr>
            </w:pPr>
          </w:p>
        </w:tc>
        <w:tc>
          <w:tcPr>
            <w:tcW w:w="94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2.50%</w:t>
            </w: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ind w:left="100"/>
              <w:spacing w:after="0" w:line="106" w:lineRule="exact"/>
              <w:rPr>
                <w:sz w:val="20"/>
                <w:szCs w:val="20"/>
                <w:color w:val="auto"/>
              </w:rPr>
            </w:pPr>
            <w:r>
              <w:rPr>
                <w:rFonts w:ascii="Arial" w:cs="Arial" w:eastAsia="Arial" w:hAnsi="Arial"/>
                <w:sz w:val="10"/>
                <w:szCs w:val="10"/>
                <w:color w:val="auto"/>
              </w:rPr>
              <w:t>Average receive rate</w:t>
            </w:r>
          </w:p>
        </w:tc>
        <w:tc>
          <w:tcPr>
            <w:tcW w:w="920" w:type="dxa"/>
            <w:vAlign w:val="bottom"/>
            <w:gridSpan w:val="2"/>
          </w:tcPr>
          <w:p>
            <w:pPr>
              <w:jc w:val="right"/>
              <w:ind w:right="40"/>
              <w:spacing w:after="0" w:line="106" w:lineRule="exact"/>
              <w:rPr>
                <w:sz w:val="20"/>
                <w:szCs w:val="20"/>
                <w:color w:val="auto"/>
              </w:rPr>
            </w:pPr>
            <w:r>
              <w:rPr>
                <w:rFonts w:ascii="Arial" w:cs="Arial" w:eastAsia="Arial" w:hAnsi="Arial"/>
                <w:sz w:val="10"/>
                <w:szCs w:val="10"/>
                <w:color w:val="auto"/>
              </w:rPr>
              <w:t>2.81%</w:t>
            </w:r>
          </w:p>
        </w:tc>
        <w:tc>
          <w:tcPr>
            <w:tcW w:w="92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2.87%</w:t>
            </w:r>
          </w:p>
        </w:tc>
        <w:tc>
          <w:tcPr>
            <w:tcW w:w="92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2.49%</w:t>
            </w:r>
          </w:p>
        </w:tc>
        <w:tc>
          <w:tcPr>
            <w:tcW w:w="36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tcPr>
          <w:p>
            <w:pPr>
              <w:spacing w:after="0"/>
              <w:rPr>
                <w:sz w:val="9"/>
                <w:szCs w:val="9"/>
                <w:color w:val="auto"/>
              </w:rPr>
            </w:pPr>
          </w:p>
        </w:tc>
        <w:tc>
          <w:tcPr>
            <w:tcW w:w="94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2.72%</w:t>
            </w:r>
          </w:p>
        </w:tc>
        <w:tc>
          <w:tcPr>
            <w:tcW w:w="7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spacing w:after="0" w:line="106" w:lineRule="exact"/>
              <w:rPr>
                <w:sz w:val="20"/>
                <w:szCs w:val="20"/>
                <w:color w:val="auto"/>
              </w:rPr>
            </w:pPr>
            <w:r>
              <w:rPr>
                <w:rFonts w:ascii="Arial" w:cs="Arial" w:eastAsia="Arial" w:hAnsi="Arial"/>
                <w:sz w:val="10"/>
                <w:szCs w:val="10"/>
                <w:b w:val="1"/>
                <w:bCs w:val="1"/>
                <w:color w:val="auto"/>
              </w:rPr>
              <w:t>Interest Rate Swaps – Issuances</w:t>
            </w: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36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8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ind w:left="100"/>
              <w:spacing w:after="0" w:line="106" w:lineRule="exact"/>
              <w:rPr>
                <w:sz w:val="20"/>
                <w:szCs w:val="20"/>
                <w:color w:val="auto"/>
              </w:rPr>
            </w:pPr>
            <w:r>
              <w:rPr>
                <w:rFonts w:ascii="Arial" w:cs="Arial" w:eastAsia="Arial" w:hAnsi="Arial"/>
                <w:sz w:val="10"/>
                <w:szCs w:val="10"/>
                <w:color w:val="auto"/>
              </w:rPr>
              <w:t>U.S. Dollars fixed to floating</w:t>
            </w:r>
          </w:p>
        </w:tc>
        <w:tc>
          <w:tcPr>
            <w:tcW w:w="80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120" w:type="dxa"/>
            <w:vAlign w:val="bottom"/>
          </w:tcPr>
          <w:p>
            <w:pPr>
              <w:spacing w:after="0"/>
              <w:rPr>
                <w:sz w:val="9"/>
                <w:szCs w:val="9"/>
                <w:color w:val="auto"/>
              </w:rPr>
            </w:pP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350,000</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5,000</w:t>
            </w:r>
          </w:p>
        </w:tc>
        <w:tc>
          <w:tcPr>
            <w:tcW w:w="36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tcPr>
          <w:p>
            <w:pPr>
              <w:spacing w:after="0"/>
              <w:rPr>
                <w:sz w:val="9"/>
                <w:szCs w:val="9"/>
                <w:color w:val="auto"/>
              </w:rPr>
            </w:pPr>
          </w:p>
        </w:tc>
        <w:tc>
          <w:tcPr>
            <w:tcW w:w="94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20,000</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375,000</w:t>
            </w:r>
          </w:p>
        </w:tc>
        <w:tc>
          <w:tcPr>
            <w:tcW w:w="900" w:type="dxa"/>
            <w:vAlign w:val="bottom"/>
            <w:gridSpan w:val="2"/>
          </w:tcPr>
          <w:p>
            <w:pPr>
              <w:jc w:val="right"/>
              <w:ind w:right="80"/>
              <w:spacing w:after="0" w:line="106" w:lineRule="exact"/>
              <w:rPr>
                <w:sz w:val="20"/>
                <w:szCs w:val="20"/>
                <w:color w:val="auto"/>
              </w:rPr>
            </w:pPr>
            <w:r>
              <w:rPr>
                <w:rFonts w:ascii="Arial" w:cs="Arial" w:eastAsia="Arial" w:hAnsi="Arial"/>
                <w:sz w:val="10"/>
                <w:szCs w:val="10"/>
                <w:color w:val="auto"/>
              </w:rPr>
              <w:t>(6,057)</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Average pay rate</w:t>
            </w:r>
          </w:p>
        </w:tc>
        <w:tc>
          <w:tcPr>
            <w:tcW w:w="8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1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4.39%</w:t>
            </w:r>
          </w:p>
        </w:tc>
        <w:tc>
          <w:tcPr>
            <w:tcW w:w="92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4.50%</w:t>
            </w:r>
          </w:p>
        </w:tc>
        <w:tc>
          <w:tcPr>
            <w:tcW w:w="36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shd w:val="clear" w:color="auto" w:fill="CCEEFF"/>
          </w:tcPr>
          <w:p>
            <w:pPr>
              <w:spacing w:after="0"/>
              <w:rPr>
                <w:sz w:val="9"/>
                <w:szCs w:val="9"/>
                <w:color w:val="auto"/>
              </w:rPr>
            </w:pPr>
          </w:p>
        </w:tc>
        <w:tc>
          <w:tcPr>
            <w:tcW w:w="94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40"/>
              <w:spacing w:after="0" w:line="106" w:lineRule="exact"/>
              <w:rPr>
                <w:sz w:val="20"/>
                <w:szCs w:val="20"/>
                <w:color w:val="auto"/>
              </w:rPr>
            </w:pPr>
            <w:r>
              <w:rPr>
                <w:rFonts w:ascii="Arial" w:cs="Arial" w:eastAsia="Arial" w:hAnsi="Arial"/>
                <w:sz w:val="10"/>
                <w:szCs w:val="10"/>
                <w:color w:val="auto"/>
              </w:rPr>
              <w:t>3.70%</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4.20%</w:t>
            </w: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ind w:left="100"/>
              <w:spacing w:after="0" w:line="106" w:lineRule="exact"/>
              <w:rPr>
                <w:sz w:val="20"/>
                <w:szCs w:val="20"/>
                <w:color w:val="auto"/>
              </w:rPr>
            </w:pPr>
            <w:r>
              <w:rPr>
                <w:rFonts w:ascii="Arial" w:cs="Arial" w:eastAsia="Arial" w:hAnsi="Arial"/>
                <w:sz w:val="10"/>
                <w:szCs w:val="10"/>
                <w:color w:val="auto"/>
              </w:rPr>
              <w:t>Average receive rate</w:t>
            </w:r>
          </w:p>
        </w:tc>
        <w:tc>
          <w:tcPr>
            <w:tcW w:w="80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120" w:type="dxa"/>
            <w:vAlign w:val="bottom"/>
          </w:tcPr>
          <w:p>
            <w:pPr>
              <w:spacing w:after="0"/>
              <w:rPr>
                <w:sz w:val="9"/>
                <w:szCs w:val="9"/>
                <w:color w:val="auto"/>
              </w:rPr>
            </w:pPr>
          </w:p>
        </w:tc>
        <w:tc>
          <w:tcPr>
            <w:tcW w:w="92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3.25%</w:t>
            </w:r>
          </w:p>
        </w:tc>
        <w:tc>
          <w:tcPr>
            <w:tcW w:w="92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2.85%</w:t>
            </w:r>
          </w:p>
        </w:tc>
        <w:tc>
          <w:tcPr>
            <w:tcW w:w="36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tcPr>
          <w:p>
            <w:pPr>
              <w:spacing w:after="0"/>
              <w:rPr>
                <w:sz w:val="9"/>
                <w:szCs w:val="9"/>
                <w:color w:val="auto"/>
              </w:rPr>
            </w:pPr>
          </w:p>
        </w:tc>
        <w:tc>
          <w:tcPr>
            <w:tcW w:w="94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40"/>
              <w:spacing w:after="0" w:line="106" w:lineRule="exact"/>
              <w:rPr>
                <w:sz w:val="20"/>
                <w:szCs w:val="20"/>
                <w:color w:val="auto"/>
              </w:rPr>
            </w:pPr>
            <w:r>
              <w:rPr>
                <w:rFonts w:ascii="Arial" w:cs="Arial" w:eastAsia="Arial" w:hAnsi="Arial"/>
                <w:sz w:val="10"/>
                <w:szCs w:val="10"/>
                <w:color w:val="auto"/>
              </w:rPr>
              <w:t>3.78%</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3.29%</w:t>
            </w:r>
          </w:p>
        </w:tc>
        <w:tc>
          <w:tcPr>
            <w:tcW w:w="7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restart"/>
          </w:tcPr>
          <w:p>
            <w:pPr>
              <w:spacing w:after="0"/>
              <w:rPr>
                <w:sz w:val="9"/>
                <w:szCs w:val="9"/>
                <w:color w:val="auto"/>
              </w:rPr>
            </w:pPr>
          </w:p>
        </w:tc>
        <w:tc>
          <w:tcPr>
            <w:tcW w:w="320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36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8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continue"/>
          </w:tcPr>
          <w:p>
            <w:pPr>
              <w:spacing w:after="0"/>
              <w:rPr>
                <w:sz w:val="9"/>
                <w:szCs w:val="9"/>
                <w:color w:val="auto"/>
              </w:rPr>
            </w:pPr>
          </w:p>
        </w:tc>
        <w:tc>
          <w:tcPr>
            <w:tcW w:w="3200" w:type="dxa"/>
            <w:vAlign w:val="bottom"/>
          </w:tcPr>
          <w:p>
            <w:pPr>
              <w:spacing w:after="0" w:line="106" w:lineRule="exact"/>
              <w:rPr>
                <w:sz w:val="20"/>
                <w:szCs w:val="20"/>
                <w:color w:val="auto"/>
              </w:rPr>
            </w:pPr>
            <w:r>
              <w:rPr>
                <w:rFonts w:ascii="Arial" w:cs="Arial" w:eastAsia="Arial" w:hAnsi="Arial"/>
                <w:sz w:val="10"/>
                <w:szCs w:val="10"/>
                <w:b w:val="1"/>
                <w:bCs w:val="1"/>
                <w:color w:val="auto"/>
              </w:rPr>
              <w:t>CROSS CURRENCY SWAPS:</w:t>
            </w: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360" w:type="dxa"/>
            <w:vAlign w:val="bottom"/>
          </w:tcPr>
          <w:p>
            <w:pPr>
              <w:spacing w:after="0"/>
              <w:rPr>
                <w:sz w:val="9"/>
                <w:szCs w:val="9"/>
                <w:color w:val="auto"/>
              </w:rPr>
            </w:pPr>
          </w:p>
        </w:tc>
        <w:tc>
          <w:tcPr>
            <w:tcW w:w="460" w:type="dxa"/>
            <w:vAlign w:val="bottom"/>
          </w:tcPr>
          <w:p>
            <w:pPr>
              <w:spacing w:after="0"/>
              <w:rPr>
                <w:sz w:val="9"/>
                <w:szCs w:val="9"/>
                <w:color w:val="auto"/>
              </w:rPr>
            </w:pPr>
          </w:p>
        </w:tc>
        <w:tc>
          <w:tcPr>
            <w:tcW w:w="100" w:type="dxa"/>
            <w:vAlign w:val="bottom"/>
          </w:tcPr>
          <w:p>
            <w:pPr>
              <w:spacing w:after="0"/>
              <w:rPr>
                <w:sz w:val="9"/>
                <w:szCs w:val="9"/>
                <w:color w:val="auto"/>
              </w:rPr>
            </w:pPr>
          </w:p>
        </w:tc>
        <w:tc>
          <w:tcPr>
            <w:tcW w:w="82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00" w:type="dxa"/>
            <w:vAlign w:val="bottom"/>
          </w:tcPr>
          <w:p>
            <w:pPr>
              <w:spacing w:after="0"/>
              <w:rPr>
                <w:sz w:val="9"/>
                <w:szCs w:val="9"/>
                <w:color w:val="auto"/>
              </w:rPr>
            </w:pPr>
          </w:p>
        </w:tc>
        <w:tc>
          <w:tcPr>
            <w:tcW w:w="7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spacing w:after="0" w:line="106" w:lineRule="exact"/>
              <w:rPr>
                <w:sz w:val="20"/>
                <w:szCs w:val="20"/>
                <w:color w:val="auto"/>
              </w:rPr>
            </w:pPr>
            <w:r>
              <w:rPr>
                <w:rFonts w:ascii="Arial" w:cs="Arial" w:eastAsia="Arial" w:hAnsi="Arial"/>
                <w:sz w:val="10"/>
                <w:szCs w:val="10"/>
                <w:b w:val="1"/>
                <w:bCs w:val="1"/>
                <w:color w:val="auto"/>
              </w:rPr>
              <w:t>Cross Currency Swaps</w:t>
            </w: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36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8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ind w:left="100"/>
              <w:spacing w:after="0" w:line="106" w:lineRule="exact"/>
              <w:rPr>
                <w:sz w:val="20"/>
                <w:szCs w:val="20"/>
                <w:color w:val="auto"/>
              </w:rPr>
            </w:pPr>
            <w:r>
              <w:rPr>
                <w:rFonts w:ascii="Arial" w:cs="Arial" w:eastAsia="Arial" w:hAnsi="Arial"/>
                <w:sz w:val="10"/>
                <w:szCs w:val="10"/>
                <w:color w:val="auto"/>
              </w:rPr>
              <w:t>Receive U.S. Dollars</w:t>
            </w:r>
          </w:p>
        </w:tc>
        <w:tc>
          <w:tcPr>
            <w:tcW w:w="80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120" w:type="dxa"/>
            <w:vAlign w:val="bottom"/>
          </w:tcPr>
          <w:p>
            <w:pPr>
              <w:spacing w:after="0"/>
              <w:rPr>
                <w:sz w:val="9"/>
                <w:szCs w:val="9"/>
                <w:color w:val="auto"/>
              </w:rPr>
            </w:pP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360" w:type="dxa"/>
            <w:vAlign w:val="bottom"/>
          </w:tcPr>
          <w:p>
            <w:pPr>
              <w:spacing w:after="0"/>
              <w:rPr>
                <w:sz w:val="9"/>
                <w:szCs w:val="9"/>
                <w:color w:val="auto"/>
              </w:rPr>
            </w:pPr>
          </w:p>
        </w:tc>
        <w:tc>
          <w:tcPr>
            <w:tcW w:w="56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5,272</w:t>
            </w:r>
          </w:p>
        </w:tc>
        <w:tc>
          <w:tcPr>
            <w:tcW w:w="94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6,213</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11,484</w:t>
            </w:r>
          </w:p>
        </w:tc>
        <w:tc>
          <w:tcPr>
            <w:tcW w:w="7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U.S. Dollars fixed rate</w:t>
            </w:r>
          </w:p>
        </w:tc>
        <w:tc>
          <w:tcPr>
            <w:tcW w:w="8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1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36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shd w:val="clear" w:color="auto" w:fill="CCEEFF"/>
          </w:tcPr>
          <w:p>
            <w:pPr>
              <w:spacing w:after="0"/>
              <w:rPr>
                <w:sz w:val="9"/>
                <w:szCs w:val="9"/>
                <w:color w:val="auto"/>
              </w:rPr>
            </w:pPr>
          </w:p>
        </w:tc>
        <w:tc>
          <w:tcPr>
            <w:tcW w:w="94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100"/>
              <w:spacing w:after="0" w:line="106" w:lineRule="exact"/>
              <w:rPr>
                <w:sz w:val="20"/>
                <w:szCs w:val="20"/>
                <w:color w:val="auto"/>
              </w:rPr>
            </w:pPr>
            <w:r>
              <w:rPr>
                <w:rFonts w:ascii="Arial" w:cs="Arial" w:eastAsia="Arial" w:hAnsi="Arial"/>
                <w:sz w:val="10"/>
                <w:szCs w:val="10"/>
                <w:color w:val="auto"/>
              </w:rPr>
              <w:t>-</w:t>
            </w: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ind w:left="100"/>
              <w:spacing w:after="0" w:line="106" w:lineRule="exact"/>
              <w:rPr>
                <w:sz w:val="20"/>
                <w:szCs w:val="20"/>
                <w:color w:val="auto"/>
              </w:rPr>
            </w:pPr>
            <w:r>
              <w:rPr>
                <w:rFonts w:ascii="Arial" w:cs="Arial" w:eastAsia="Arial" w:hAnsi="Arial"/>
                <w:sz w:val="10"/>
                <w:szCs w:val="10"/>
                <w:color w:val="auto"/>
              </w:rPr>
              <w:t>U.S. Dollars floating rate</w:t>
            </w:r>
          </w:p>
        </w:tc>
        <w:tc>
          <w:tcPr>
            <w:tcW w:w="80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120" w:type="dxa"/>
            <w:vAlign w:val="bottom"/>
          </w:tcPr>
          <w:p>
            <w:pPr>
              <w:spacing w:after="0"/>
              <w:rPr>
                <w:sz w:val="9"/>
                <w:szCs w:val="9"/>
                <w:color w:val="auto"/>
              </w:rPr>
            </w:pP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360" w:type="dxa"/>
            <w:vAlign w:val="bottom"/>
          </w:tcPr>
          <w:p>
            <w:pPr>
              <w:spacing w:after="0"/>
              <w:rPr>
                <w:sz w:val="9"/>
                <w:szCs w:val="9"/>
                <w:color w:val="auto"/>
              </w:rPr>
            </w:pPr>
          </w:p>
        </w:tc>
        <w:tc>
          <w:tcPr>
            <w:tcW w:w="56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6.24%</w:t>
            </w:r>
          </w:p>
        </w:tc>
        <w:tc>
          <w:tcPr>
            <w:tcW w:w="94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40"/>
              <w:spacing w:after="0" w:line="106" w:lineRule="exact"/>
              <w:rPr>
                <w:sz w:val="20"/>
                <w:szCs w:val="20"/>
                <w:color w:val="auto"/>
              </w:rPr>
            </w:pPr>
            <w:r>
              <w:rPr>
                <w:rFonts w:ascii="Arial" w:cs="Arial" w:eastAsia="Arial" w:hAnsi="Arial"/>
                <w:sz w:val="10"/>
                <w:szCs w:val="10"/>
                <w:color w:val="auto"/>
              </w:rPr>
              <w:t>6.49%</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6.36%</w:t>
            </w:r>
          </w:p>
        </w:tc>
        <w:tc>
          <w:tcPr>
            <w:tcW w:w="7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Pay U.S. Dollars</w:t>
            </w:r>
          </w:p>
        </w:tc>
        <w:tc>
          <w:tcPr>
            <w:tcW w:w="8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146,505</w:t>
            </w:r>
          </w:p>
        </w:tc>
        <w:tc>
          <w:tcPr>
            <w:tcW w:w="1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23,025</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36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shd w:val="clear" w:color="auto" w:fill="CCEEFF"/>
          </w:tcPr>
          <w:p>
            <w:pPr>
              <w:spacing w:after="0"/>
              <w:rPr>
                <w:sz w:val="9"/>
                <w:szCs w:val="9"/>
                <w:color w:val="auto"/>
              </w:rPr>
            </w:pPr>
          </w:p>
        </w:tc>
        <w:tc>
          <w:tcPr>
            <w:tcW w:w="94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68,768</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100"/>
              <w:spacing w:after="0" w:line="106" w:lineRule="exact"/>
              <w:rPr>
                <w:sz w:val="20"/>
                <w:szCs w:val="20"/>
                <w:color w:val="auto"/>
              </w:rPr>
            </w:pPr>
            <w:r>
              <w:rPr>
                <w:rFonts w:ascii="Arial" w:cs="Arial" w:eastAsia="Arial" w:hAnsi="Arial"/>
                <w:sz w:val="10"/>
                <w:szCs w:val="10"/>
                <w:color w:val="auto"/>
              </w:rPr>
              <w:t>238,297</w:t>
            </w: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ind w:left="100"/>
              <w:spacing w:after="0" w:line="106" w:lineRule="exact"/>
              <w:rPr>
                <w:sz w:val="20"/>
                <w:szCs w:val="20"/>
                <w:color w:val="auto"/>
              </w:rPr>
            </w:pPr>
            <w:r>
              <w:rPr>
                <w:rFonts w:ascii="Arial" w:cs="Arial" w:eastAsia="Arial" w:hAnsi="Arial"/>
                <w:sz w:val="10"/>
                <w:szCs w:val="10"/>
                <w:color w:val="auto"/>
              </w:rPr>
              <w:t>U.S. Dollars fixed rate</w:t>
            </w:r>
          </w:p>
        </w:tc>
        <w:tc>
          <w:tcPr>
            <w:tcW w:w="920" w:type="dxa"/>
            <w:vAlign w:val="bottom"/>
            <w:gridSpan w:val="2"/>
          </w:tcPr>
          <w:p>
            <w:pPr>
              <w:jc w:val="right"/>
              <w:ind w:right="40"/>
              <w:spacing w:after="0" w:line="106" w:lineRule="exact"/>
              <w:rPr>
                <w:sz w:val="20"/>
                <w:szCs w:val="20"/>
                <w:color w:val="auto"/>
              </w:rPr>
            </w:pPr>
            <w:r>
              <w:rPr>
                <w:rFonts w:ascii="Arial" w:cs="Arial" w:eastAsia="Arial" w:hAnsi="Arial"/>
                <w:sz w:val="10"/>
                <w:szCs w:val="10"/>
                <w:color w:val="auto"/>
              </w:rPr>
              <w:t>4.12%</w:t>
            </w:r>
          </w:p>
        </w:tc>
        <w:tc>
          <w:tcPr>
            <w:tcW w:w="92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2.53%</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36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tcPr>
          <w:p>
            <w:pPr>
              <w:spacing w:after="0"/>
              <w:rPr>
                <w:sz w:val="9"/>
                <w:szCs w:val="9"/>
                <w:color w:val="auto"/>
              </w:rPr>
            </w:pPr>
          </w:p>
        </w:tc>
        <w:tc>
          <w:tcPr>
            <w:tcW w:w="94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40"/>
              <w:spacing w:after="0" w:line="106" w:lineRule="exact"/>
              <w:rPr>
                <w:sz w:val="20"/>
                <w:szCs w:val="20"/>
                <w:color w:val="auto"/>
              </w:rPr>
            </w:pPr>
            <w:r>
              <w:rPr>
                <w:rFonts w:ascii="Arial" w:cs="Arial" w:eastAsia="Arial" w:hAnsi="Arial"/>
                <w:sz w:val="10"/>
                <w:szCs w:val="10"/>
                <w:color w:val="auto"/>
              </w:rPr>
              <w:t>5.20%</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3.95%</w:t>
            </w:r>
          </w:p>
        </w:tc>
        <w:tc>
          <w:tcPr>
            <w:tcW w:w="7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U.S. Dollars floating rate</w:t>
            </w:r>
          </w:p>
        </w:tc>
        <w:tc>
          <w:tcPr>
            <w:tcW w:w="920" w:type="dxa"/>
            <w:vAlign w:val="bottom"/>
            <w:gridSpan w:val="2"/>
            <w:shd w:val="clear" w:color="auto" w:fill="CCEEFF"/>
          </w:tcPr>
          <w:p>
            <w:pPr>
              <w:jc w:val="right"/>
              <w:ind w:right="40"/>
              <w:spacing w:after="0" w:line="106" w:lineRule="exact"/>
              <w:rPr>
                <w:sz w:val="20"/>
                <w:szCs w:val="20"/>
                <w:color w:val="auto"/>
              </w:rPr>
            </w:pPr>
            <w:r>
              <w:rPr>
                <w:rFonts w:ascii="Arial" w:cs="Arial" w:eastAsia="Arial" w:hAnsi="Arial"/>
                <w:sz w:val="10"/>
                <w:szCs w:val="10"/>
                <w:color w:val="auto"/>
              </w:rPr>
              <w:t>3.96%</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36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shd w:val="clear" w:color="auto" w:fill="CCEEFF"/>
          </w:tcPr>
          <w:p>
            <w:pPr>
              <w:spacing w:after="0"/>
              <w:rPr>
                <w:sz w:val="9"/>
                <w:szCs w:val="9"/>
                <w:color w:val="auto"/>
              </w:rPr>
            </w:pPr>
          </w:p>
        </w:tc>
        <w:tc>
          <w:tcPr>
            <w:tcW w:w="94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3.96%</w:t>
            </w: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ind w:left="100"/>
              <w:spacing w:after="0" w:line="106" w:lineRule="exact"/>
              <w:rPr>
                <w:sz w:val="20"/>
                <w:szCs w:val="20"/>
                <w:color w:val="auto"/>
              </w:rPr>
            </w:pPr>
            <w:r>
              <w:rPr>
                <w:rFonts w:ascii="Arial" w:cs="Arial" w:eastAsia="Arial" w:hAnsi="Arial"/>
                <w:sz w:val="10"/>
                <w:szCs w:val="10"/>
                <w:color w:val="auto"/>
              </w:rPr>
              <w:t>Receive Mexican Peso</w:t>
            </w:r>
          </w:p>
        </w:tc>
        <w:tc>
          <w:tcPr>
            <w:tcW w:w="800" w:type="dxa"/>
            <w:vAlign w:val="bottom"/>
          </w:tcPr>
          <w:p>
            <w:pPr>
              <w:jc w:val="right"/>
              <w:spacing w:after="0" w:line="106" w:lineRule="exact"/>
              <w:rPr>
                <w:sz w:val="20"/>
                <w:szCs w:val="20"/>
                <w:color w:val="auto"/>
              </w:rPr>
            </w:pPr>
            <w:r>
              <w:rPr>
                <w:rFonts w:ascii="Arial" w:cs="Arial" w:eastAsia="Arial" w:hAnsi="Arial"/>
                <w:sz w:val="10"/>
                <w:szCs w:val="10"/>
                <w:color w:val="auto"/>
              </w:rPr>
              <w:t>73,312</w:t>
            </w:r>
          </w:p>
        </w:tc>
        <w:tc>
          <w:tcPr>
            <w:tcW w:w="120" w:type="dxa"/>
            <w:vAlign w:val="bottom"/>
          </w:tcPr>
          <w:p>
            <w:pPr>
              <w:spacing w:after="0"/>
              <w:rPr>
                <w:sz w:val="9"/>
                <w:szCs w:val="9"/>
                <w:color w:val="auto"/>
              </w:rPr>
            </w:pP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36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tcPr>
          <w:p>
            <w:pPr>
              <w:spacing w:after="0"/>
              <w:rPr>
                <w:sz w:val="9"/>
                <w:szCs w:val="9"/>
                <w:color w:val="auto"/>
              </w:rPr>
            </w:pPr>
          </w:p>
        </w:tc>
        <w:tc>
          <w:tcPr>
            <w:tcW w:w="94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73,312</w:t>
            </w:r>
          </w:p>
        </w:tc>
        <w:tc>
          <w:tcPr>
            <w:tcW w:w="7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Mexican Peso floating rate</w:t>
            </w:r>
          </w:p>
        </w:tc>
        <w:tc>
          <w:tcPr>
            <w:tcW w:w="920" w:type="dxa"/>
            <w:vAlign w:val="bottom"/>
            <w:gridSpan w:val="2"/>
            <w:shd w:val="clear" w:color="auto" w:fill="CCEEFF"/>
          </w:tcPr>
          <w:p>
            <w:pPr>
              <w:jc w:val="right"/>
              <w:ind w:right="40"/>
              <w:spacing w:after="0" w:line="106" w:lineRule="exact"/>
              <w:rPr>
                <w:sz w:val="20"/>
                <w:szCs w:val="20"/>
                <w:color w:val="auto"/>
              </w:rPr>
            </w:pPr>
            <w:r>
              <w:rPr>
                <w:rFonts w:ascii="Arial" w:cs="Arial" w:eastAsia="Arial" w:hAnsi="Arial"/>
                <w:sz w:val="10"/>
                <w:szCs w:val="10"/>
                <w:color w:val="auto"/>
              </w:rPr>
              <w:t>9.11%</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36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shd w:val="clear" w:color="auto" w:fill="CCEEFF"/>
          </w:tcPr>
          <w:p>
            <w:pPr>
              <w:spacing w:after="0"/>
              <w:rPr>
                <w:sz w:val="9"/>
                <w:szCs w:val="9"/>
                <w:color w:val="auto"/>
              </w:rPr>
            </w:pPr>
          </w:p>
        </w:tc>
        <w:tc>
          <w:tcPr>
            <w:tcW w:w="94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9.11%</w:t>
            </w: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ind w:left="100"/>
              <w:spacing w:after="0" w:line="106" w:lineRule="exact"/>
              <w:rPr>
                <w:sz w:val="20"/>
                <w:szCs w:val="20"/>
                <w:color w:val="auto"/>
              </w:rPr>
            </w:pPr>
            <w:r>
              <w:rPr>
                <w:rFonts w:ascii="Arial" w:cs="Arial" w:eastAsia="Arial" w:hAnsi="Arial"/>
                <w:sz w:val="10"/>
                <w:szCs w:val="10"/>
                <w:color w:val="auto"/>
              </w:rPr>
              <w:t>Pay Mexican Peso</w:t>
            </w:r>
          </w:p>
        </w:tc>
        <w:tc>
          <w:tcPr>
            <w:tcW w:w="80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120" w:type="dxa"/>
            <w:vAlign w:val="bottom"/>
          </w:tcPr>
          <w:p>
            <w:pPr>
              <w:spacing w:after="0"/>
              <w:rPr>
                <w:sz w:val="9"/>
                <w:szCs w:val="9"/>
                <w:color w:val="auto"/>
              </w:rPr>
            </w:pP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360" w:type="dxa"/>
            <w:vAlign w:val="bottom"/>
          </w:tcPr>
          <w:p>
            <w:pPr>
              <w:spacing w:after="0"/>
              <w:rPr>
                <w:sz w:val="9"/>
                <w:szCs w:val="9"/>
                <w:color w:val="auto"/>
              </w:rPr>
            </w:pPr>
          </w:p>
        </w:tc>
        <w:tc>
          <w:tcPr>
            <w:tcW w:w="56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5,272</w:t>
            </w:r>
          </w:p>
        </w:tc>
        <w:tc>
          <w:tcPr>
            <w:tcW w:w="94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6,213</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11,484</w:t>
            </w:r>
          </w:p>
        </w:tc>
        <w:tc>
          <w:tcPr>
            <w:tcW w:w="7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Mexican Peso floating rate</w:t>
            </w:r>
          </w:p>
        </w:tc>
        <w:tc>
          <w:tcPr>
            <w:tcW w:w="8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1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360" w:type="dxa"/>
            <w:vAlign w:val="bottom"/>
            <w:shd w:val="clear" w:color="auto" w:fill="CCEEFF"/>
          </w:tcPr>
          <w:p>
            <w:pPr>
              <w:spacing w:after="0"/>
              <w:rPr>
                <w:sz w:val="9"/>
                <w:szCs w:val="9"/>
                <w:color w:val="auto"/>
              </w:rPr>
            </w:pPr>
          </w:p>
        </w:tc>
        <w:tc>
          <w:tcPr>
            <w:tcW w:w="56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10.81%</w:t>
            </w:r>
          </w:p>
        </w:tc>
        <w:tc>
          <w:tcPr>
            <w:tcW w:w="94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40"/>
              <w:spacing w:after="0" w:line="106" w:lineRule="exact"/>
              <w:rPr>
                <w:sz w:val="20"/>
                <w:szCs w:val="20"/>
                <w:color w:val="auto"/>
              </w:rPr>
            </w:pPr>
            <w:r>
              <w:rPr>
                <w:rFonts w:ascii="Arial" w:cs="Arial" w:eastAsia="Arial" w:hAnsi="Arial"/>
                <w:sz w:val="10"/>
                <w:szCs w:val="10"/>
                <w:color w:val="auto"/>
              </w:rPr>
              <w:t>12.03%</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11.42%</w:t>
            </w: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ind w:left="100"/>
              <w:spacing w:after="0" w:line="106" w:lineRule="exact"/>
              <w:rPr>
                <w:sz w:val="20"/>
                <w:szCs w:val="20"/>
                <w:color w:val="auto"/>
              </w:rPr>
            </w:pPr>
            <w:r>
              <w:rPr>
                <w:rFonts w:ascii="Arial" w:cs="Arial" w:eastAsia="Arial" w:hAnsi="Arial"/>
                <w:sz w:val="10"/>
                <w:szCs w:val="10"/>
                <w:color w:val="auto"/>
              </w:rPr>
              <w:t>Receive Euro Dollar</w:t>
            </w:r>
          </w:p>
        </w:tc>
        <w:tc>
          <w:tcPr>
            <w:tcW w:w="80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120" w:type="dxa"/>
            <w:vAlign w:val="bottom"/>
          </w:tcPr>
          <w:p>
            <w:pPr>
              <w:spacing w:after="0"/>
              <w:rPr>
                <w:sz w:val="9"/>
                <w:szCs w:val="9"/>
                <w:color w:val="auto"/>
              </w:rPr>
            </w:pP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36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tcPr>
          <w:p>
            <w:pPr>
              <w:spacing w:after="0"/>
              <w:rPr>
                <w:sz w:val="9"/>
                <w:szCs w:val="9"/>
                <w:color w:val="auto"/>
              </w:rPr>
            </w:pPr>
          </w:p>
        </w:tc>
        <w:tc>
          <w:tcPr>
            <w:tcW w:w="94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68,768</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68,768</w:t>
            </w:r>
          </w:p>
        </w:tc>
        <w:tc>
          <w:tcPr>
            <w:tcW w:w="7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Euro Dollar fixed rate</w:t>
            </w:r>
          </w:p>
        </w:tc>
        <w:tc>
          <w:tcPr>
            <w:tcW w:w="8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1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36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shd w:val="clear" w:color="auto" w:fill="CCEEFF"/>
          </w:tcPr>
          <w:p>
            <w:pPr>
              <w:spacing w:after="0"/>
              <w:rPr>
                <w:sz w:val="9"/>
                <w:szCs w:val="9"/>
                <w:color w:val="auto"/>
              </w:rPr>
            </w:pPr>
          </w:p>
        </w:tc>
        <w:tc>
          <w:tcPr>
            <w:tcW w:w="94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40"/>
              <w:spacing w:after="0" w:line="106" w:lineRule="exact"/>
              <w:rPr>
                <w:sz w:val="20"/>
                <w:szCs w:val="20"/>
                <w:color w:val="auto"/>
              </w:rPr>
            </w:pPr>
            <w:r>
              <w:rPr>
                <w:rFonts w:ascii="Arial" w:cs="Arial" w:eastAsia="Arial" w:hAnsi="Arial"/>
                <w:sz w:val="10"/>
                <w:szCs w:val="10"/>
                <w:color w:val="auto"/>
              </w:rPr>
              <w:t>3.75%</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3.75%</w:t>
            </w: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ind w:left="100"/>
              <w:spacing w:after="0" w:line="106" w:lineRule="exact"/>
              <w:rPr>
                <w:sz w:val="20"/>
                <w:szCs w:val="20"/>
                <w:color w:val="auto"/>
              </w:rPr>
            </w:pPr>
            <w:r>
              <w:rPr>
                <w:rFonts w:ascii="Arial" w:cs="Arial" w:eastAsia="Arial" w:hAnsi="Arial"/>
                <w:sz w:val="10"/>
                <w:szCs w:val="10"/>
                <w:color w:val="auto"/>
              </w:rPr>
              <w:t>Receive Japanese Yen</w:t>
            </w:r>
          </w:p>
        </w:tc>
        <w:tc>
          <w:tcPr>
            <w:tcW w:w="800" w:type="dxa"/>
            <w:vAlign w:val="bottom"/>
          </w:tcPr>
          <w:p>
            <w:pPr>
              <w:jc w:val="right"/>
              <w:spacing w:after="0" w:line="106" w:lineRule="exact"/>
              <w:rPr>
                <w:sz w:val="20"/>
                <w:szCs w:val="20"/>
                <w:color w:val="auto"/>
              </w:rPr>
            </w:pPr>
            <w:r>
              <w:rPr>
                <w:rFonts w:ascii="Arial" w:cs="Arial" w:eastAsia="Arial" w:hAnsi="Arial"/>
                <w:sz w:val="10"/>
                <w:szCs w:val="10"/>
                <w:color w:val="auto"/>
              </w:rPr>
              <w:t>73,193</w:t>
            </w:r>
          </w:p>
        </w:tc>
        <w:tc>
          <w:tcPr>
            <w:tcW w:w="120" w:type="dxa"/>
            <w:vAlign w:val="bottom"/>
          </w:tcPr>
          <w:p>
            <w:pPr>
              <w:spacing w:after="0"/>
              <w:rPr>
                <w:sz w:val="9"/>
                <w:szCs w:val="9"/>
                <w:color w:val="auto"/>
              </w:rPr>
            </w:pP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36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tcPr>
          <w:p>
            <w:pPr>
              <w:spacing w:after="0"/>
              <w:rPr>
                <w:sz w:val="9"/>
                <w:szCs w:val="9"/>
                <w:color w:val="auto"/>
              </w:rPr>
            </w:pPr>
          </w:p>
        </w:tc>
        <w:tc>
          <w:tcPr>
            <w:tcW w:w="94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73,193</w:t>
            </w:r>
          </w:p>
        </w:tc>
        <w:tc>
          <w:tcPr>
            <w:tcW w:w="7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Japanese Yen fixed rate</w:t>
            </w:r>
          </w:p>
        </w:tc>
        <w:tc>
          <w:tcPr>
            <w:tcW w:w="920" w:type="dxa"/>
            <w:vAlign w:val="bottom"/>
            <w:gridSpan w:val="2"/>
            <w:shd w:val="clear" w:color="auto" w:fill="CCEEFF"/>
          </w:tcPr>
          <w:p>
            <w:pPr>
              <w:jc w:val="right"/>
              <w:ind w:right="40"/>
              <w:spacing w:after="0" w:line="106" w:lineRule="exact"/>
              <w:rPr>
                <w:sz w:val="20"/>
                <w:szCs w:val="20"/>
                <w:color w:val="auto"/>
              </w:rPr>
            </w:pPr>
            <w:r>
              <w:rPr>
                <w:rFonts w:ascii="Arial" w:cs="Arial" w:eastAsia="Arial" w:hAnsi="Arial"/>
                <w:sz w:val="10"/>
                <w:szCs w:val="10"/>
                <w:color w:val="auto"/>
              </w:rPr>
              <w:t>0.46%</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36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shd w:val="clear" w:color="auto" w:fill="CCEEFF"/>
          </w:tcPr>
          <w:p>
            <w:pPr>
              <w:spacing w:after="0"/>
              <w:rPr>
                <w:sz w:val="9"/>
                <w:szCs w:val="9"/>
                <w:color w:val="auto"/>
              </w:rPr>
            </w:pPr>
          </w:p>
        </w:tc>
        <w:tc>
          <w:tcPr>
            <w:tcW w:w="94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0.46%</w:t>
            </w: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ind w:left="100"/>
              <w:spacing w:after="0" w:line="106" w:lineRule="exact"/>
              <w:rPr>
                <w:sz w:val="20"/>
                <w:szCs w:val="20"/>
                <w:color w:val="auto"/>
              </w:rPr>
            </w:pPr>
            <w:r>
              <w:rPr>
                <w:rFonts w:ascii="Arial" w:cs="Arial" w:eastAsia="Arial" w:hAnsi="Arial"/>
                <w:sz w:val="10"/>
                <w:szCs w:val="10"/>
                <w:color w:val="auto"/>
              </w:rPr>
              <w:t>Receive Australian Dollar</w:t>
            </w:r>
          </w:p>
        </w:tc>
        <w:tc>
          <w:tcPr>
            <w:tcW w:w="80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120" w:type="dxa"/>
            <w:vAlign w:val="bottom"/>
          </w:tcPr>
          <w:p>
            <w:pPr>
              <w:spacing w:after="0"/>
              <w:rPr>
                <w:sz w:val="9"/>
                <w:szCs w:val="9"/>
                <w:color w:val="auto"/>
              </w:rPr>
            </w:pP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23,025</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36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tcPr>
          <w:p>
            <w:pPr>
              <w:spacing w:after="0"/>
              <w:rPr>
                <w:sz w:val="9"/>
                <w:szCs w:val="9"/>
                <w:color w:val="auto"/>
              </w:rPr>
            </w:pPr>
          </w:p>
        </w:tc>
        <w:tc>
          <w:tcPr>
            <w:tcW w:w="94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23,025</w:t>
            </w:r>
          </w:p>
        </w:tc>
        <w:tc>
          <w:tcPr>
            <w:tcW w:w="7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Australian Dollar fixed rate</w:t>
            </w:r>
          </w:p>
        </w:tc>
        <w:tc>
          <w:tcPr>
            <w:tcW w:w="8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1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3.33%</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36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shd w:val="clear" w:color="auto" w:fill="CCEEFF"/>
          </w:tcPr>
          <w:p>
            <w:pPr>
              <w:spacing w:after="0"/>
              <w:rPr>
                <w:sz w:val="9"/>
                <w:szCs w:val="9"/>
                <w:color w:val="auto"/>
              </w:rPr>
            </w:pPr>
          </w:p>
        </w:tc>
        <w:tc>
          <w:tcPr>
            <w:tcW w:w="94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3.33%</w:t>
            </w: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restart"/>
          </w:tcPr>
          <w:p>
            <w:pPr>
              <w:spacing w:after="0"/>
              <w:rPr>
                <w:sz w:val="9"/>
                <w:szCs w:val="9"/>
                <w:color w:val="auto"/>
              </w:rPr>
            </w:pPr>
          </w:p>
        </w:tc>
        <w:tc>
          <w:tcPr>
            <w:tcW w:w="320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360" w:type="dxa"/>
            <w:vAlign w:val="bottom"/>
          </w:tcPr>
          <w:p>
            <w:pPr>
              <w:spacing w:after="0"/>
              <w:rPr>
                <w:sz w:val="9"/>
                <w:szCs w:val="9"/>
                <w:color w:val="auto"/>
              </w:rPr>
            </w:pPr>
          </w:p>
        </w:tc>
        <w:tc>
          <w:tcPr>
            <w:tcW w:w="460" w:type="dxa"/>
            <w:vAlign w:val="bottom"/>
          </w:tcPr>
          <w:p>
            <w:pPr>
              <w:spacing w:after="0"/>
              <w:rPr>
                <w:sz w:val="9"/>
                <w:szCs w:val="9"/>
                <w:color w:val="auto"/>
              </w:rPr>
            </w:pPr>
          </w:p>
        </w:tc>
        <w:tc>
          <w:tcPr>
            <w:tcW w:w="100" w:type="dxa"/>
            <w:vAlign w:val="bottom"/>
          </w:tcPr>
          <w:p>
            <w:pPr>
              <w:spacing w:after="0"/>
              <w:rPr>
                <w:sz w:val="9"/>
                <w:szCs w:val="9"/>
                <w:color w:val="auto"/>
              </w:rPr>
            </w:pPr>
          </w:p>
        </w:tc>
        <w:tc>
          <w:tcPr>
            <w:tcW w:w="82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00" w:type="dxa"/>
            <w:vAlign w:val="bottom"/>
          </w:tcPr>
          <w:p>
            <w:pPr>
              <w:spacing w:after="0"/>
              <w:rPr>
                <w:sz w:val="9"/>
                <w:szCs w:val="9"/>
                <w:color w:val="auto"/>
              </w:rPr>
            </w:pPr>
          </w:p>
        </w:tc>
        <w:tc>
          <w:tcPr>
            <w:tcW w:w="7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continue"/>
          </w:tcPr>
          <w:p>
            <w:pPr>
              <w:spacing w:after="0"/>
              <w:rPr>
                <w:sz w:val="9"/>
                <w:szCs w:val="9"/>
                <w:color w:val="auto"/>
              </w:rPr>
            </w:pPr>
          </w:p>
        </w:tc>
        <w:tc>
          <w:tcPr>
            <w:tcW w:w="3200" w:type="dxa"/>
            <w:vAlign w:val="bottom"/>
            <w:shd w:val="clear" w:color="auto" w:fill="CCEEFF"/>
          </w:tcPr>
          <w:p>
            <w:pPr>
              <w:spacing w:after="0" w:line="106" w:lineRule="exact"/>
              <w:rPr>
                <w:sz w:val="20"/>
                <w:szCs w:val="20"/>
                <w:color w:val="auto"/>
              </w:rPr>
            </w:pPr>
            <w:r>
              <w:rPr>
                <w:rFonts w:ascii="Arial" w:cs="Arial" w:eastAsia="Arial" w:hAnsi="Arial"/>
                <w:sz w:val="10"/>
                <w:szCs w:val="10"/>
                <w:b w:val="1"/>
                <w:bCs w:val="1"/>
                <w:color w:val="auto"/>
              </w:rPr>
              <w:t>FORWARD CURRENCY EXCHANGE AGREEMENTS:</w:t>
            </w: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36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8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ind w:left="100"/>
              <w:spacing w:after="0" w:line="106" w:lineRule="exact"/>
              <w:rPr>
                <w:sz w:val="20"/>
                <w:szCs w:val="20"/>
                <w:color w:val="auto"/>
              </w:rPr>
            </w:pPr>
            <w:r>
              <w:rPr>
                <w:rFonts w:ascii="Arial" w:cs="Arial" w:eastAsia="Arial" w:hAnsi="Arial"/>
                <w:sz w:val="10"/>
                <w:szCs w:val="10"/>
                <w:color w:val="auto"/>
              </w:rPr>
              <w:t>Receive U.S. Dollars/ Pay Mexican Pesos</w:t>
            </w:r>
          </w:p>
        </w:tc>
        <w:tc>
          <w:tcPr>
            <w:tcW w:w="800" w:type="dxa"/>
            <w:vAlign w:val="bottom"/>
          </w:tcPr>
          <w:p>
            <w:pPr>
              <w:jc w:val="right"/>
              <w:spacing w:after="0" w:line="106" w:lineRule="exact"/>
              <w:rPr>
                <w:sz w:val="20"/>
                <w:szCs w:val="20"/>
                <w:color w:val="auto"/>
              </w:rPr>
            </w:pPr>
            <w:r>
              <w:rPr>
                <w:rFonts w:ascii="Arial" w:cs="Arial" w:eastAsia="Arial" w:hAnsi="Arial"/>
                <w:sz w:val="10"/>
                <w:szCs w:val="10"/>
                <w:color w:val="auto"/>
              </w:rPr>
              <w:t>45,160</w:t>
            </w:r>
          </w:p>
        </w:tc>
        <w:tc>
          <w:tcPr>
            <w:tcW w:w="120" w:type="dxa"/>
            <w:vAlign w:val="bottom"/>
          </w:tcPr>
          <w:p>
            <w:pPr>
              <w:spacing w:after="0"/>
              <w:rPr>
                <w:sz w:val="9"/>
                <w:szCs w:val="9"/>
                <w:color w:val="auto"/>
              </w:rPr>
            </w:pP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36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tcPr>
          <w:p>
            <w:pPr>
              <w:spacing w:after="0"/>
              <w:rPr>
                <w:sz w:val="9"/>
                <w:szCs w:val="9"/>
                <w:color w:val="auto"/>
              </w:rPr>
            </w:pPr>
          </w:p>
        </w:tc>
        <w:tc>
          <w:tcPr>
            <w:tcW w:w="94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45,160</w:t>
            </w:r>
          </w:p>
        </w:tc>
        <w:tc>
          <w:tcPr>
            <w:tcW w:w="7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Average exchange rate</w:t>
            </w:r>
          </w:p>
        </w:tc>
        <w:tc>
          <w:tcPr>
            <w:tcW w:w="920" w:type="dxa"/>
            <w:vAlign w:val="bottom"/>
            <w:gridSpan w:val="2"/>
            <w:shd w:val="clear" w:color="auto" w:fill="CCEEFF"/>
          </w:tcPr>
          <w:p>
            <w:pPr>
              <w:jc w:val="right"/>
              <w:ind w:right="40"/>
              <w:spacing w:after="0" w:line="106" w:lineRule="exact"/>
              <w:rPr>
                <w:sz w:val="20"/>
                <w:szCs w:val="20"/>
                <w:color w:val="auto"/>
              </w:rPr>
            </w:pPr>
            <w:r>
              <w:rPr>
                <w:rFonts w:ascii="Arial" w:cs="Arial" w:eastAsia="Arial" w:hAnsi="Arial"/>
                <w:sz w:val="10"/>
                <w:szCs w:val="10"/>
                <w:color w:val="auto"/>
              </w:rPr>
              <w:t>20.49%</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36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shd w:val="clear" w:color="auto" w:fill="CCEEFF"/>
          </w:tcPr>
          <w:p>
            <w:pPr>
              <w:spacing w:after="0"/>
              <w:rPr>
                <w:sz w:val="9"/>
                <w:szCs w:val="9"/>
                <w:color w:val="auto"/>
              </w:rPr>
            </w:pPr>
          </w:p>
        </w:tc>
        <w:tc>
          <w:tcPr>
            <w:tcW w:w="94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20.49%</w:t>
            </w: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ind w:left="100"/>
              <w:spacing w:after="0" w:line="106" w:lineRule="exact"/>
              <w:rPr>
                <w:sz w:val="20"/>
                <w:szCs w:val="20"/>
                <w:color w:val="auto"/>
              </w:rPr>
            </w:pPr>
            <w:r>
              <w:rPr>
                <w:rFonts w:ascii="Arial" w:cs="Arial" w:eastAsia="Arial" w:hAnsi="Arial"/>
                <w:sz w:val="10"/>
                <w:szCs w:val="10"/>
                <w:color w:val="auto"/>
              </w:rPr>
              <w:t>Receive U.S. Dollars/ Pay Brazilian Reales</w:t>
            </w:r>
          </w:p>
        </w:tc>
        <w:tc>
          <w:tcPr>
            <w:tcW w:w="800" w:type="dxa"/>
            <w:vAlign w:val="bottom"/>
          </w:tcPr>
          <w:p>
            <w:pPr>
              <w:jc w:val="right"/>
              <w:spacing w:after="0" w:line="106" w:lineRule="exact"/>
              <w:rPr>
                <w:sz w:val="20"/>
                <w:szCs w:val="20"/>
                <w:color w:val="auto"/>
              </w:rPr>
            </w:pPr>
            <w:r>
              <w:rPr>
                <w:rFonts w:ascii="Arial" w:cs="Arial" w:eastAsia="Arial" w:hAnsi="Arial"/>
                <w:sz w:val="10"/>
                <w:szCs w:val="10"/>
                <w:color w:val="auto"/>
              </w:rPr>
              <w:t>6,183</w:t>
            </w:r>
          </w:p>
        </w:tc>
        <w:tc>
          <w:tcPr>
            <w:tcW w:w="120" w:type="dxa"/>
            <w:vAlign w:val="bottom"/>
          </w:tcPr>
          <w:p>
            <w:pPr>
              <w:spacing w:after="0"/>
              <w:rPr>
                <w:sz w:val="9"/>
                <w:szCs w:val="9"/>
                <w:color w:val="auto"/>
              </w:rPr>
            </w:pP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36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tcPr>
          <w:p>
            <w:pPr>
              <w:spacing w:after="0"/>
              <w:rPr>
                <w:sz w:val="9"/>
                <w:szCs w:val="9"/>
                <w:color w:val="auto"/>
              </w:rPr>
            </w:pPr>
          </w:p>
        </w:tc>
        <w:tc>
          <w:tcPr>
            <w:tcW w:w="94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6,183</w:t>
            </w:r>
          </w:p>
        </w:tc>
        <w:tc>
          <w:tcPr>
            <w:tcW w:w="7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Average exchange rate</w:t>
            </w:r>
          </w:p>
        </w:tc>
        <w:tc>
          <w:tcPr>
            <w:tcW w:w="920" w:type="dxa"/>
            <w:vAlign w:val="bottom"/>
            <w:gridSpan w:val="2"/>
            <w:shd w:val="clear" w:color="auto" w:fill="CCEEFF"/>
          </w:tcPr>
          <w:p>
            <w:pPr>
              <w:jc w:val="right"/>
              <w:ind w:right="40"/>
              <w:spacing w:after="0" w:line="106" w:lineRule="exact"/>
              <w:rPr>
                <w:sz w:val="20"/>
                <w:szCs w:val="20"/>
                <w:color w:val="auto"/>
              </w:rPr>
            </w:pPr>
            <w:r>
              <w:rPr>
                <w:rFonts w:ascii="Arial" w:cs="Arial" w:eastAsia="Arial" w:hAnsi="Arial"/>
                <w:sz w:val="10"/>
                <w:szCs w:val="10"/>
                <w:color w:val="auto"/>
              </w:rPr>
              <w:t>3.93%</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36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shd w:val="clear" w:color="auto" w:fill="CCEEFF"/>
          </w:tcPr>
          <w:p>
            <w:pPr>
              <w:spacing w:after="0"/>
              <w:rPr>
                <w:sz w:val="9"/>
                <w:szCs w:val="9"/>
                <w:color w:val="auto"/>
              </w:rPr>
            </w:pPr>
          </w:p>
        </w:tc>
        <w:tc>
          <w:tcPr>
            <w:tcW w:w="94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3.93%</w:t>
            </w: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ind w:left="100"/>
              <w:spacing w:after="0" w:line="106" w:lineRule="exact"/>
              <w:rPr>
                <w:sz w:val="20"/>
                <w:szCs w:val="20"/>
                <w:color w:val="auto"/>
              </w:rPr>
            </w:pPr>
            <w:r>
              <w:rPr>
                <w:rFonts w:ascii="Arial" w:cs="Arial" w:eastAsia="Arial" w:hAnsi="Arial"/>
                <w:sz w:val="10"/>
                <w:szCs w:val="10"/>
                <w:color w:val="auto"/>
              </w:rPr>
              <w:t>Receive U.S. Dollars/ Pay Euro Dollars</w:t>
            </w:r>
          </w:p>
        </w:tc>
        <w:tc>
          <w:tcPr>
            <w:tcW w:w="800" w:type="dxa"/>
            <w:vAlign w:val="bottom"/>
          </w:tcPr>
          <w:p>
            <w:pPr>
              <w:jc w:val="right"/>
              <w:spacing w:after="0" w:line="106" w:lineRule="exact"/>
              <w:rPr>
                <w:sz w:val="20"/>
                <w:szCs w:val="20"/>
                <w:color w:val="auto"/>
              </w:rPr>
            </w:pPr>
            <w:r>
              <w:rPr>
                <w:rFonts w:ascii="Arial" w:cs="Arial" w:eastAsia="Arial" w:hAnsi="Arial"/>
                <w:sz w:val="10"/>
                <w:szCs w:val="10"/>
                <w:color w:val="auto"/>
              </w:rPr>
              <w:t>1,641</w:t>
            </w:r>
          </w:p>
        </w:tc>
        <w:tc>
          <w:tcPr>
            <w:tcW w:w="120" w:type="dxa"/>
            <w:vAlign w:val="bottom"/>
          </w:tcPr>
          <w:p>
            <w:pPr>
              <w:spacing w:after="0"/>
              <w:rPr>
                <w:sz w:val="9"/>
                <w:szCs w:val="9"/>
                <w:color w:val="auto"/>
              </w:rPr>
            </w:pP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5,162</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36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tcPr>
          <w:p>
            <w:pPr>
              <w:spacing w:after="0"/>
              <w:rPr>
                <w:sz w:val="9"/>
                <w:szCs w:val="9"/>
                <w:color w:val="auto"/>
              </w:rPr>
            </w:pPr>
          </w:p>
        </w:tc>
        <w:tc>
          <w:tcPr>
            <w:tcW w:w="94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6,802</w:t>
            </w:r>
          </w:p>
        </w:tc>
        <w:tc>
          <w:tcPr>
            <w:tcW w:w="7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Average exchange rate</w:t>
            </w:r>
          </w:p>
        </w:tc>
        <w:tc>
          <w:tcPr>
            <w:tcW w:w="920" w:type="dxa"/>
            <w:vAlign w:val="bottom"/>
            <w:gridSpan w:val="2"/>
            <w:shd w:val="clear" w:color="auto" w:fill="CCEEFF"/>
          </w:tcPr>
          <w:p>
            <w:pPr>
              <w:jc w:val="right"/>
              <w:ind w:right="40"/>
              <w:spacing w:after="0" w:line="106" w:lineRule="exact"/>
              <w:rPr>
                <w:sz w:val="20"/>
                <w:szCs w:val="20"/>
                <w:color w:val="auto"/>
              </w:rPr>
            </w:pPr>
            <w:r>
              <w:rPr>
                <w:rFonts w:ascii="Arial" w:cs="Arial" w:eastAsia="Arial" w:hAnsi="Arial"/>
                <w:sz w:val="10"/>
                <w:szCs w:val="10"/>
                <w:color w:val="auto"/>
              </w:rPr>
              <w:t>1.21%</w:t>
            </w:r>
          </w:p>
        </w:tc>
        <w:tc>
          <w:tcPr>
            <w:tcW w:w="92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1.29%</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36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shd w:val="clear" w:color="auto" w:fill="CCEEFF"/>
          </w:tcPr>
          <w:p>
            <w:pPr>
              <w:spacing w:after="0"/>
              <w:rPr>
                <w:sz w:val="9"/>
                <w:szCs w:val="9"/>
                <w:color w:val="auto"/>
              </w:rPr>
            </w:pPr>
          </w:p>
        </w:tc>
        <w:tc>
          <w:tcPr>
            <w:tcW w:w="94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1.25%</w:t>
            </w: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ind w:left="100"/>
              <w:spacing w:after="0" w:line="106" w:lineRule="exact"/>
              <w:rPr>
                <w:sz w:val="20"/>
                <w:szCs w:val="20"/>
                <w:color w:val="auto"/>
              </w:rPr>
            </w:pPr>
            <w:r>
              <w:rPr>
                <w:rFonts w:ascii="Arial" w:cs="Arial" w:eastAsia="Arial" w:hAnsi="Arial"/>
                <w:sz w:val="10"/>
                <w:szCs w:val="10"/>
                <w:color w:val="auto"/>
              </w:rPr>
              <w:t>Receive Euro Dollars/ Pay U.S. Dollars</w:t>
            </w:r>
          </w:p>
        </w:tc>
        <w:tc>
          <w:tcPr>
            <w:tcW w:w="800" w:type="dxa"/>
            <w:vAlign w:val="bottom"/>
          </w:tcPr>
          <w:p>
            <w:pPr>
              <w:jc w:val="right"/>
              <w:spacing w:after="0" w:line="106" w:lineRule="exact"/>
              <w:rPr>
                <w:sz w:val="20"/>
                <w:szCs w:val="20"/>
                <w:color w:val="auto"/>
              </w:rPr>
            </w:pPr>
            <w:r>
              <w:rPr>
                <w:rFonts w:ascii="Arial" w:cs="Arial" w:eastAsia="Arial" w:hAnsi="Arial"/>
                <w:sz w:val="10"/>
                <w:szCs w:val="10"/>
                <w:color w:val="auto"/>
              </w:rPr>
              <w:t>124,349</w:t>
            </w:r>
          </w:p>
        </w:tc>
        <w:tc>
          <w:tcPr>
            <w:tcW w:w="120" w:type="dxa"/>
            <w:vAlign w:val="bottom"/>
          </w:tcPr>
          <w:p>
            <w:pPr>
              <w:spacing w:after="0"/>
              <w:rPr>
                <w:sz w:val="9"/>
                <w:szCs w:val="9"/>
                <w:color w:val="auto"/>
              </w:rPr>
            </w:pP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36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tcPr>
          <w:p>
            <w:pPr>
              <w:spacing w:after="0"/>
              <w:rPr>
                <w:sz w:val="9"/>
                <w:szCs w:val="9"/>
                <w:color w:val="auto"/>
              </w:rPr>
            </w:pPr>
          </w:p>
        </w:tc>
        <w:tc>
          <w:tcPr>
            <w:tcW w:w="94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124,349</w:t>
            </w:r>
          </w:p>
        </w:tc>
        <w:tc>
          <w:tcPr>
            <w:tcW w:w="7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Average exchange rate</w:t>
            </w:r>
          </w:p>
        </w:tc>
        <w:tc>
          <w:tcPr>
            <w:tcW w:w="920" w:type="dxa"/>
            <w:vAlign w:val="bottom"/>
            <w:gridSpan w:val="2"/>
            <w:shd w:val="clear" w:color="auto" w:fill="CCEEFF"/>
          </w:tcPr>
          <w:p>
            <w:pPr>
              <w:jc w:val="right"/>
              <w:ind w:right="40"/>
              <w:spacing w:after="0" w:line="106" w:lineRule="exact"/>
              <w:rPr>
                <w:sz w:val="20"/>
                <w:szCs w:val="20"/>
                <w:color w:val="auto"/>
              </w:rPr>
            </w:pPr>
            <w:r>
              <w:rPr>
                <w:rFonts w:ascii="Arial" w:cs="Arial" w:eastAsia="Arial" w:hAnsi="Arial"/>
                <w:sz w:val="10"/>
                <w:szCs w:val="10"/>
                <w:color w:val="auto"/>
              </w:rPr>
              <w:t>1.19%</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36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shd w:val="clear" w:color="auto" w:fill="CCEEFF"/>
          </w:tcPr>
          <w:p>
            <w:pPr>
              <w:spacing w:after="0"/>
              <w:rPr>
                <w:sz w:val="9"/>
                <w:szCs w:val="9"/>
                <w:color w:val="auto"/>
              </w:rPr>
            </w:pPr>
          </w:p>
        </w:tc>
        <w:tc>
          <w:tcPr>
            <w:tcW w:w="94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1.19%</w:t>
            </w: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bl>
    <w:p>
      <w:pPr>
        <w:ind w:left="163" w:hanging="163"/>
        <w:spacing w:after="0" w:line="190" w:lineRule="auto"/>
        <w:tabs>
          <w:tab w:leader="none" w:pos="163" w:val="left"/>
        </w:tabs>
        <w:numPr>
          <w:ilvl w:val="0"/>
          <w:numId w:val="83"/>
        </w:numPr>
        <w:rPr>
          <w:rFonts w:ascii="Arial" w:cs="Arial" w:eastAsia="Arial" w:hAnsi="Arial"/>
          <w:sz w:val="20"/>
          <w:szCs w:val="20"/>
          <w:color w:val="auto"/>
          <w:vertAlign w:val="superscript"/>
        </w:rPr>
      </w:pPr>
      <w:r>
        <w:rPr>
          <w:rFonts w:ascii="Arial" w:cs="Arial" w:eastAsia="Arial" w:hAnsi="Arial"/>
          <w:sz w:val="12"/>
          <w:szCs w:val="12"/>
          <w:color w:val="auto"/>
        </w:rPr>
        <w:t>Borrowings and placements include Repos, short and long-term borrowings and debt, gross of prepaid commissions.</w:t>
      </w:r>
    </w:p>
    <w:p>
      <w:pPr>
        <w:spacing w:after="0" w:line="294"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111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1" w:right="199" w:bottom="1440" w:gutter="0" w:footer="0" w:header="0"/>
        </w:sectPr>
      </w:pPr>
    </w:p>
    <w:bookmarkStart w:id="113" w:name="page114"/>
    <w:bookmarkEnd w:id="113"/>
    <w:p>
      <w:pPr>
        <w:spacing w:after="0"/>
        <w:rPr>
          <w:sz w:val="20"/>
          <w:szCs w:val="20"/>
          <w:color w:val="auto"/>
        </w:rPr>
      </w:pPr>
      <w:r>
        <w:rPr>
          <w:rFonts w:ascii="Arial" w:cs="Arial" w:eastAsia="Arial" w:hAnsi="Arial"/>
          <w:sz w:val="13"/>
          <w:szCs w:val="13"/>
          <w:color w:val="auto"/>
        </w:rPr>
        <w:t>As of December 31, 2017:</w:t>
      </w:r>
    </w:p>
    <w:p>
      <w:pPr>
        <w:spacing w:after="0" w:line="151" w:lineRule="exact"/>
        <w:rPr>
          <w:sz w:val="20"/>
          <w:szCs w:val="20"/>
          <w:color w:val="auto"/>
        </w:rPr>
      </w:pPr>
    </w:p>
    <w:p>
      <w:pPr>
        <w:jc w:val="center"/>
        <w:spacing w:after="0"/>
        <w:rPr>
          <w:sz w:val="20"/>
          <w:szCs w:val="20"/>
          <w:color w:val="auto"/>
        </w:rPr>
      </w:pPr>
      <w:r>
        <w:rPr>
          <w:rFonts w:ascii="Arial" w:cs="Arial" w:eastAsia="Arial" w:hAnsi="Arial"/>
          <w:sz w:val="10"/>
          <w:szCs w:val="10"/>
          <w:b w:val="1"/>
          <w:bCs w:val="1"/>
          <w:color w:val="auto"/>
        </w:rPr>
        <w:t>Expected maturity date</w:t>
      </w:r>
    </w:p>
    <w:p>
      <w:pPr>
        <w:spacing w:after="0" w:line="8" w:lineRule="exact"/>
        <w:rPr>
          <w:sz w:val="20"/>
          <w:szCs w:val="20"/>
          <w:color w:val="auto"/>
        </w:rPr>
      </w:pPr>
    </w:p>
    <w:tbl>
      <w:tblPr>
        <w:tblLayout w:type="fixed"/>
        <w:tblInd w:w="0" w:type="dxa"/>
        <w:tblCellMar>
          <w:top w:w="0" w:type="dxa"/>
          <w:left w:w="0" w:type="dxa"/>
          <w:bottom w:w="0" w:type="dxa"/>
          <w:right w:w="0" w:type="dxa"/>
        </w:tblCellMar>
      </w:tblPr>
      <w:tr>
        <w:trPr>
          <w:trHeight w:val="79"/>
        </w:trPr>
        <w:tc>
          <w:tcPr>
            <w:tcW w:w="20" w:type="dxa"/>
            <w:vAlign w:val="bottom"/>
          </w:tcPr>
          <w:p>
            <w:pPr>
              <w:spacing w:after="0"/>
              <w:rPr>
                <w:sz w:val="6"/>
                <w:szCs w:val="6"/>
                <w:color w:val="auto"/>
              </w:rPr>
            </w:pPr>
          </w:p>
        </w:tc>
        <w:tc>
          <w:tcPr>
            <w:tcW w:w="3200" w:type="dxa"/>
            <w:vAlign w:val="bottom"/>
            <w:tcBorders>
              <w:top w:val="single" w:sz="8" w:color="auto"/>
            </w:tcBorders>
          </w:tcPr>
          <w:p>
            <w:pPr>
              <w:spacing w:after="0"/>
              <w:rPr>
                <w:sz w:val="6"/>
                <w:szCs w:val="6"/>
                <w:color w:val="auto"/>
              </w:rPr>
            </w:pPr>
          </w:p>
        </w:tc>
        <w:tc>
          <w:tcPr>
            <w:tcW w:w="800" w:type="dxa"/>
            <w:vAlign w:val="bottom"/>
            <w:tcBorders>
              <w:top w:val="single" w:sz="8" w:color="auto"/>
            </w:tcBorders>
          </w:tcPr>
          <w:p>
            <w:pPr>
              <w:spacing w:after="0"/>
              <w:rPr>
                <w:sz w:val="6"/>
                <w:szCs w:val="6"/>
                <w:color w:val="auto"/>
              </w:rPr>
            </w:pPr>
          </w:p>
        </w:tc>
        <w:tc>
          <w:tcPr>
            <w:tcW w:w="120" w:type="dxa"/>
            <w:vAlign w:val="bottom"/>
            <w:tcBorders>
              <w:top w:val="single" w:sz="8" w:color="auto"/>
            </w:tcBorders>
          </w:tcPr>
          <w:p>
            <w:pPr>
              <w:spacing w:after="0"/>
              <w:rPr>
                <w:sz w:val="6"/>
                <w:szCs w:val="6"/>
                <w:color w:val="auto"/>
              </w:rPr>
            </w:pPr>
          </w:p>
        </w:tc>
        <w:tc>
          <w:tcPr>
            <w:tcW w:w="800" w:type="dxa"/>
            <w:vAlign w:val="bottom"/>
            <w:tcBorders>
              <w:top w:val="single" w:sz="8" w:color="auto"/>
            </w:tcBorders>
          </w:tcPr>
          <w:p>
            <w:pPr>
              <w:spacing w:after="0"/>
              <w:rPr>
                <w:sz w:val="6"/>
                <w:szCs w:val="6"/>
                <w:color w:val="auto"/>
              </w:rPr>
            </w:pPr>
          </w:p>
        </w:tc>
        <w:tc>
          <w:tcPr>
            <w:tcW w:w="120" w:type="dxa"/>
            <w:vAlign w:val="bottom"/>
            <w:tcBorders>
              <w:top w:val="single" w:sz="8" w:color="auto"/>
            </w:tcBorders>
          </w:tcPr>
          <w:p>
            <w:pPr>
              <w:spacing w:after="0"/>
              <w:rPr>
                <w:sz w:val="6"/>
                <w:szCs w:val="6"/>
                <w:color w:val="auto"/>
              </w:rPr>
            </w:pPr>
          </w:p>
        </w:tc>
        <w:tc>
          <w:tcPr>
            <w:tcW w:w="800" w:type="dxa"/>
            <w:vAlign w:val="bottom"/>
            <w:tcBorders>
              <w:top w:val="single" w:sz="8" w:color="auto"/>
            </w:tcBorders>
          </w:tcPr>
          <w:p>
            <w:pPr>
              <w:spacing w:after="0"/>
              <w:rPr>
                <w:sz w:val="6"/>
                <w:szCs w:val="6"/>
                <w:color w:val="auto"/>
              </w:rPr>
            </w:pPr>
          </w:p>
        </w:tc>
        <w:tc>
          <w:tcPr>
            <w:tcW w:w="120" w:type="dxa"/>
            <w:vAlign w:val="bottom"/>
            <w:tcBorders>
              <w:top w:val="single" w:sz="8" w:color="auto"/>
            </w:tcBorders>
          </w:tcPr>
          <w:p>
            <w:pPr>
              <w:spacing w:after="0"/>
              <w:rPr>
                <w:sz w:val="6"/>
                <w:szCs w:val="6"/>
                <w:color w:val="auto"/>
              </w:rPr>
            </w:pPr>
          </w:p>
        </w:tc>
        <w:tc>
          <w:tcPr>
            <w:tcW w:w="360" w:type="dxa"/>
            <w:vAlign w:val="bottom"/>
            <w:tcBorders>
              <w:top w:val="single" w:sz="8" w:color="auto"/>
            </w:tcBorders>
          </w:tcPr>
          <w:p>
            <w:pPr>
              <w:spacing w:after="0"/>
              <w:rPr>
                <w:sz w:val="6"/>
                <w:szCs w:val="6"/>
                <w:color w:val="auto"/>
              </w:rPr>
            </w:pPr>
          </w:p>
        </w:tc>
        <w:tc>
          <w:tcPr>
            <w:tcW w:w="460" w:type="dxa"/>
            <w:vAlign w:val="bottom"/>
            <w:tcBorders>
              <w:top w:val="single" w:sz="8" w:color="auto"/>
            </w:tcBorders>
          </w:tcPr>
          <w:p>
            <w:pPr>
              <w:spacing w:after="0"/>
              <w:rPr>
                <w:sz w:val="6"/>
                <w:szCs w:val="6"/>
                <w:color w:val="auto"/>
              </w:rPr>
            </w:pPr>
          </w:p>
        </w:tc>
        <w:tc>
          <w:tcPr>
            <w:tcW w:w="100" w:type="dxa"/>
            <w:vAlign w:val="bottom"/>
            <w:tcBorders>
              <w:top w:val="single" w:sz="8" w:color="auto"/>
            </w:tcBorders>
          </w:tcPr>
          <w:p>
            <w:pPr>
              <w:spacing w:after="0"/>
              <w:rPr>
                <w:sz w:val="6"/>
                <w:szCs w:val="6"/>
                <w:color w:val="auto"/>
              </w:rPr>
            </w:pPr>
          </w:p>
        </w:tc>
        <w:tc>
          <w:tcPr>
            <w:tcW w:w="820" w:type="dxa"/>
            <w:vAlign w:val="bottom"/>
            <w:tcBorders>
              <w:top w:val="single" w:sz="8" w:color="auto"/>
            </w:tcBorders>
          </w:tcPr>
          <w:p>
            <w:pPr>
              <w:spacing w:after="0"/>
              <w:rPr>
                <w:sz w:val="6"/>
                <w:szCs w:val="6"/>
                <w:color w:val="auto"/>
              </w:rPr>
            </w:pPr>
          </w:p>
        </w:tc>
        <w:tc>
          <w:tcPr>
            <w:tcW w:w="120" w:type="dxa"/>
            <w:vAlign w:val="bottom"/>
            <w:tcBorders>
              <w:top w:val="single" w:sz="8" w:color="auto"/>
            </w:tcBorders>
          </w:tcPr>
          <w:p>
            <w:pPr>
              <w:spacing w:after="0"/>
              <w:rPr>
                <w:sz w:val="6"/>
                <w:szCs w:val="6"/>
                <w:color w:val="auto"/>
              </w:rPr>
            </w:pPr>
          </w:p>
        </w:tc>
        <w:tc>
          <w:tcPr>
            <w:tcW w:w="920" w:type="dxa"/>
            <w:vAlign w:val="bottom"/>
            <w:tcBorders>
              <w:top w:val="single" w:sz="8" w:color="auto"/>
            </w:tcBorders>
            <w:gridSpan w:val="2"/>
            <w:vMerge w:val="restart"/>
          </w:tcPr>
          <w:p>
            <w:pPr>
              <w:jc w:val="center"/>
              <w:ind w:right="20"/>
              <w:spacing w:after="0"/>
              <w:rPr>
                <w:sz w:val="20"/>
                <w:szCs w:val="20"/>
                <w:color w:val="auto"/>
              </w:rPr>
            </w:pPr>
            <w:r>
              <w:rPr>
                <w:rFonts w:ascii="Arial" w:cs="Arial" w:eastAsia="Arial" w:hAnsi="Arial"/>
                <w:sz w:val="10"/>
                <w:szCs w:val="10"/>
                <w:b w:val="1"/>
                <w:bCs w:val="1"/>
                <w:color w:val="auto"/>
                <w:w w:val="98"/>
              </w:rPr>
              <w:t>There-</w:t>
            </w:r>
          </w:p>
        </w:tc>
        <w:tc>
          <w:tcPr>
            <w:tcW w:w="920" w:type="dxa"/>
            <w:vAlign w:val="bottom"/>
            <w:tcBorders>
              <w:top w:val="single" w:sz="8" w:color="auto"/>
            </w:tcBorders>
            <w:gridSpan w:val="2"/>
            <w:vMerge w:val="restart"/>
          </w:tcPr>
          <w:p>
            <w:pPr>
              <w:ind w:left="280"/>
              <w:spacing w:after="0"/>
              <w:rPr>
                <w:sz w:val="20"/>
                <w:szCs w:val="20"/>
                <w:color w:val="auto"/>
              </w:rPr>
            </w:pPr>
            <w:r>
              <w:rPr>
                <w:rFonts w:ascii="Arial" w:cs="Arial" w:eastAsia="Arial" w:hAnsi="Arial"/>
                <w:sz w:val="10"/>
                <w:szCs w:val="10"/>
                <w:b w:val="1"/>
                <w:bCs w:val="1"/>
                <w:color w:val="auto"/>
              </w:rPr>
              <w:t>Without</w:t>
            </w:r>
          </w:p>
        </w:tc>
        <w:tc>
          <w:tcPr>
            <w:tcW w:w="900" w:type="dxa"/>
            <w:vAlign w:val="bottom"/>
            <w:tcBorders>
              <w:top w:val="single" w:sz="8" w:color="auto"/>
            </w:tcBorders>
            <w:gridSpan w:val="2"/>
            <w:vMerge w:val="restart"/>
          </w:tcPr>
          <w:p>
            <w:pPr>
              <w:jc w:val="right"/>
              <w:ind w:right="320"/>
              <w:spacing w:after="0"/>
              <w:rPr>
                <w:sz w:val="20"/>
                <w:szCs w:val="20"/>
                <w:color w:val="auto"/>
              </w:rPr>
            </w:pPr>
            <w:r>
              <w:rPr>
                <w:rFonts w:ascii="Arial" w:cs="Arial" w:eastAsia="Arial" w:hAnsi="Arial"/>
                <w:sz w:val="10"/>
                <w:szCs w:val="10"/>
                <w:b w:val="1"/>
                <w:bCs w:val="1"/>
                <w:color w:val="auto"/>
              </w:rPr>
              <w:t>Total</w:t>
            </w:r>
          </w:p>
        </w:tc>
        <w:tc>
          <w:tcPr>
            <w:tcW w:w="900" w:type="dxa"/>
            <w:vAlign w:val="bottom"/>
            <w:tcBorders>
              <w:top w:val="single" w:sz="8" w:color="auto"/>
            </w:tcBorders>
            <w:gridSpan w:val="2"/>
          </w:tcPr>
          <w:p>
            <w:pPr>
              <w:jc w:val="center"/>
              <w:spacing w:after="0" w:line="79" w:lineRule="exact"/>
              <w:rPr>
                <w:sz w:val="20"/>
                <w:szCs w:val="20"/>
                <w:color w:val="auto"/>
              </w:rPr>
            </w:pPr>
            <w:r>
              <w:rPr>
                <w:rFonts w:ascii="Arial" w:cs="Arial" w:eastAsia="Arial" w:hAnsi="Arial"/>
                <w:sz w:val="9"/>
                <w:szCs w:val="9"/>
                <w:b w:val="1"/>
                <w:bCs w:val="1"/>
                <w:color w:val="auto"/>
              </w:rPr>
              <w:t>Fair</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spacing w:after="0"/>
              <w:rPr>
                <w:sz w:val="9"/>
                <w:szCs w:val="9"/>
                <w:color w:val="auto"/>
              </w:rPr>
            </w:pPr>
          </w:p>
        </w:tc>
        <w:tc>
          <w:tcPr>
            <w:tcW w:w="800" w:type="dxa"/>
            <w:vAlign w:val="bottom"/>
            <w:vMerge w:val="restart"/>
          </w:tcPr>
          <w:p>
            <w:pPr>
              <w:jc w:val="right"/>
              <w:ind w:right="189"/>
              <w:spacing w:after="0"/>
              <w:rPr>
                <w:sz w:val="20"/>
                <w:szCs w:val="20"/>
                <w:color w:val="auto"/>
              </w:rPr>
            </w:pPr>
            <w:r>
              <w:rPr>
                <w:rFonts w:ascii="Arial" w:cs="Arial" w:eastAsia="Arial" w:hAnsi="Arial"/>
                <w:sz w:val="10"/>
                <w:szCs w:val="10"/>
                <w:b w:val="1"/>
                <w:bCs w:val="1"/>
                <w:color w:val="auto"/>
              </w:rPr>
              <w:t>2018</w:t>
            </w:r>
          </w:p>
        </w:tc>
        <w:tc>
          <w:tcPr>
            <w:tcW w:w="120" w:type="dxa"/>
            <w:vAlign w:val="bottom"/>
          </w:tcPr>
          <w:p>
            <w:pPr>
              <w:spacing w:after="0"/>
              <w:rPr>
                <w:sz w:val="9"/>
                <w:szCs w:val="9"/>
                <w:color w:val="auto"/>
              </w:rPr>
            </w:pPr>
          </w:p>
        </w:tc>
        <w:tc>
          <w:tcPr>
            <w:tcW w:w="800" w:type="dxa"/>
            <w:vAlign w:val="bottom"/>
            <w:vMerge w:val="restart"/>
          </w:tcPr>
          <w:p>
            <w:pPr>
              <w:jc w:val="right"/>
              <w:ind w:right="189"/>
              <w:spacing w:after="0"/>
              <w:rPr>
                <w:sz w:val="20"/>
                <w:szCs w:val="20"/>
                <w:color w:val="auto"/>
              </w:rPr>
            </w:pPr>
            <w:r>
              <w:rPr>
                <w:rFonts w:ascii="Arial" w:cs="Arial" w:eastAsia="Arial" w:hAnsi="Arial"/>
                <w:sz w:val="10"/>
                <w:szCs w:val="10"/>
                <w:b w:val="1"/>
                <w:bCs w:val="1"/>
                <w:color w:val="auto"/>
              </w:rPr>
              <w:t>2019</w:t>
            </w:r>
          </w:p>
        </w:tc>
        <w:tc>
          <w:tcPr>
            <w:tcW w:w="120" w:type="dxa"/>
            <w:vAlign w:val="bottom"/>
          </w:tcPr>
          <w:p>
            <w:pPr>
              <w:spacing w:after="0"/>
              <w:rPr>
                <w:sz w:val="9"/>
                <w:szCs w:val="9"/>
                <w:color w:val="auto"/>
              </w:rPr>
            </w:pPr>
          </w:p>
        </w:tc>
        <w:tc>
          <w:tcPr>
            <w:tcW w:w="800" w:type="dxa"/>
            <w:vAlign w:val="bottom"/>
            <w:vMerge w:val="restart"/>
          </w:tcPr>
          <w:p>
            <w:pPr>
              <w:jc w:val="right"/>
              <w:ind w:right="189"/>
              <w:spacing w:after="0"/>
              <w:rPr>
                <w:sz w:val="20"/>
                <w:szCs w:val="20"/>
                <w:color w:val="auto"/>
              </w:rPr>
            </w:pPr>
            <w:r>
              <w:rPr>
                <w:rFonts w:ascii="Arial" w:cs="Arial" w:eastAsia="Arial" w:hAnsi="Arial"/>
                <w:sz w:val="10"/>
                <w:szCs w:val="10"/>
                <w:b w:val="1"/>
                <w:bCs w:val="1"/>
                <w:color w:val="auto"/>
              </w:rPr>
              <w:t>2020</w:t>
            </w:r>
          </w:p>
        </w:tc>
        <w:tc>
          <w:tcPr>
            <w:tcW w:w="120" w:type="dxa"/>
            <w:vAlign w:val="bottom"/>
          </w:tcPr>
          <w:p>
            <w:pPr>
              <w:spacing w:after="0"/>
              <w:rPr>
                <w:sz w:val="9"/>
                <w:szCs w:val="9"/>
                <w:color w:val="auto"/>
              </w:rPr>
            </w:pPr>
          </w:p>
        </w:tc>
        <w:tc>
          <w:tcPr>
            <w:tcW w:w="360" w:type="dxa"/>
            <w:vAlign w:val="bottom"/>
          </w:tcPr>
          <w:p>
            <w:pPr>
              <w:spacing w:after="0"/>
              <w:rPr>
                <w:sz w:val="9"/>
                <w:szCs w:val="9"/>
                <w:color w:val="auto"/>
              </w:rPr>
            </w:pPr>
          </w:p>
        </w:tc>
        <w:tc>
          <w:tcPr>
            <w:tcW w:w="460" w:type="dxa"/>
            <w:vAlign w:val="bottom"/>
            <w:vMerge w:val="restart"/>
          </w:tcPr>
          <w:p>
            <w:pPr>
              <w:jc w:val="right"/>
              <w:ind w:right="209"/>
              <w:spacing w:after="0"/>
              <w:rPr>
                <w:sz w:val="20"/>
                <w:szCs w:val="20"/>
                <w:color w:val="auto"/>
              </w:rPr>
            </w:pPr>
            <w:r>
              <w:rPr>
                <w:rFonts w:ascii="Arial" w:cs="Arial" w:eastAsia="Arial" w:hAnsi="Arial"/>
                <w:sz w:val="10"/>
                <w:szCs w:val="10"/>
                <w:b w:val="1"/>
                <w:bCs w:val="1"/>
                <w:color w:val="auto"/>
                <w:w w:val="80"/>
              </w:rPr>
              <w:t>2021</w:t>
            </w:r>
          </w:p>
        </w:tc>
        <w:tc>
          <w:tcPr>
            <w:tcW w:w="100" w:type="dxa"/>
            <w:vAlign w:val="bottom"/>
          </w:tcPr>
          <w:p>
            <w:pPr>
              <w:spacing w:after="0"/>
              <w:rPr>
                <w:sz w:val="9"/>
                <w:szCs w:val="9"/>
                <w:color w:val="auto"/>
              </w:rPr>
            </w:pPr>
          </w:p>
        </w:tc>
        <w:tc>
          <w:tcPr>
            <w:tcW w:w="820" w:type="dxa"/>
            <w:vAlign w:val="bottom"/>
            <w:vMerge w:val="restart"/>
          </w:tcPr>
          <w:p>
            <w:pPr>
              <w:jc w:val="right"/>
              <w:ind w:right="189"/>
              <w:spacing w:after="0"/>
              <w:rPr>
                <w:sz w:val="20"/>
                <w:szCs w:val="20"/>
                <w:color w:val="auto"/>
              </w:rPr>
            </w:pPr>
            <w:r>
              <w:rPr>
                <w:rFonts w:ascii="Arial" w:cs="Arial" w:eastAsia="Arial" w:hAnsi="Arial"/>
                <w:sz w:val="10"/>
                <w:szCs w:val="10"/>
                <w:b w:val="1"/>
                <w:bCs w:val="1"/>
                <w:color w:val="auto"/>
              </w:rPr>
              <w:t>2022</w:t>
            </w:r>
          </w:p>
        </w:tc>
        <w:tc>
          <w:tcPr>
            <w:tcW w:w="120" w:type="dxa"/>
            <w:vAlign w:val="bottom"/>
          </w:tcPr>
          <w:p>
            <w:pPr>
              <w:spacing w:after="0"/>
              <w:rPr>
                <w:sz w:val="9"/>
                <w:szCs w:val="9"/>
                <w:color w:val="auto"/>
              </w:rPr>
            </w:pPr>
          </w:p>
        </w:tc>
        <w:tc>
          <w:tcPr>
            <w:tcW w:w="920" w:type="dxa"/>
            <w:vAlign w:val="bottom"/>
            <w:gridSpan w:val="2"/>
            <w:vMerge w:val="continue"/>
          </w:tcPr>
          <w:p>
            <w:pPr>
              <w:spacing w:after="0"/>
              <w:rPr>
                <w:sz w:val="9"/>
                <w:szCs w:val="9"/>
                <w:color w:val="auto"/>
              </w:rPr>
            </w:pPr>
          </w:p>
        </w:tc>
        <w:tc>
          <w:tcPr>
            <w:tcW w:w="920" w:type="dxa"/>
            <w:vAlign w:val="bottom"/>
            <w:gridSpan w:val="2"/>
            <w:vMerge w:val="continue"/>
          </w:tcPr>
          <w:p>
            <w:pPr>
              <w:spacing w:after="0"/>
              <w:rPr>
                <w:sz w:val="9"/>
                <w:szCs w:val="9"/>
                <w:color w:val="auto"/>
              </w:rPr>
            </w:pPr>
          </w:p>
        </w:tc>
        <w:tc>
          <w:tcPr>
            <w:tcW w:w="900" w:type="dxa"/>
            <w:vAlign w:val="bottom"/>
            <w:gridSpan w:val="2"/>
            <w:vMerge w:val="continue"/>
          </w:tcPr>
          <w:p>
            <w:pPr>
              <w:spacing w:after="0"/>
              <w:rPr>
                <w:sz w:val="9"/>
                <w:szCs w:val="9"/>
                <w:color w:val="auto"/>
              </w:rPr>
            </w:pPr>
          </w:p>
        </w:tc>
        <w:tc>
          <w:tcPr>
            <w:tcW w:w="900" w:type="dxa"/>
            <w:vAlign w:val="bottom"/>
            <w:gridSpan w:val="2"/>
          </w:tcPr>
          <w:p>
            <w:pPr>
              <w:jc w:val="center"/>
              <w:spacing w:after="0" w:line="106" w:lineRule="exact"/>
              <w:rPr>
                <w:sz w:val="20"/>
                <w:szCs w:val="20"/>
                <w:color w:val="auto"/>
              </w:rPr>
            </w:pPr>
            <w:r>
              <w:rPr>
                <w:rFonts w:ascii="Arial" w:cs="Arial" w:eastAsia="Arial" w:hAnsi="Arial"/>
                <w:sz w:val="10"/>
                <w:szCs w:val="10"/>
                <w:b w:val="1"/>
                <w:bCs w:val="1"/>
                <w:color w:val="auto"/>
                <w:w w:val="85"/>
              </w:rPr>
              <w:t>value</w:t>
            </w:r>
          </w:p>
        </w:tc>
        <w:tc>
          <w:tcPr>
            <w:tcW w:w="0" w:type="dxa"/>
            <w:vAlign w:val="bottom"/>
          </w:tcPr>
          <w:p>
            <w:pPr>
              <w:spacing w:after="0"/>
              <w:rPr>
                <w:sz w:val="1"/>
                <w:szCs w:val="1"/>
                <w:color w:val="auto"/>
              </w:rPr>
            </w:pPr>
          </w:p>
        </w:tc>
      </w:tr>
      <w:tr>
        <w:trPr>
          <w:trHeight w:val="123"/>
        </w:trPr>
        <w:tc>
          <w:tcPr>
            <w:tcW w:w="20" w:type="dxa"/>
            <w:vAlign w:val="bottom"/>
          </w:tcPr>
          <w:p>
            <w:pPr>
              <w:spacing w:after="0"/>
              <w:rPr>
                <w:sz w:val="10"/>
                <w:szCs w:val="10"/>
                <w:color w:val="auto"/>
              </w:rPr>
            </w:pPr>
          </w:p>
        </w:tc>
        <w:tc>
          <w:tcPr>
            <w:tcW w:w="3200" w:type="dxa"/>
            <w:vAlign w:val="bottom"/>
          </w:tcPr>
          <w:p>
            <w:pPr>
              <w:spacing w:after="0"/>
              <w:rPr>
                <w:sz w:val="10"/>
                <w:szCs w:val="10"/>
                <w:color w:val="auto"/>
              </w:rPr>
            </w:pPr>
          </w:p>
        </w:tc>
        <w:tc>
          <w:tcPr>
            <w:tcW w:w="800" w:type="dxa"/>
            <w:vAlign w:val="bottom"/>
            <w:tcBorders>
              <w:bottom w:val="single" w:sz="8" w:color="auto"/>
            </w:tcBorders>
            <w:vMerge w:val="continue"/>
          </w:tcPr>
          <w:p>
            <w:pPr>
              <w:spacing w:after="0"/>
              <w:rPr>
                <w:sz w:val="10"/>
                <w:szCs w:val="10"/>
                <w:color w:val="auto"/>
              </w:rPr>
            </w:pPr>
          </w:p>
        </w:tc>
        <w:tc>
          <w:tcPr>
            <w:tcW w:w="120" w:type="dxa"/>
            <w:vAlign w:val="bottom"/>
          </w:tcPr>
          <w:p>
            <w:pPr>
              <w:spacing w:after="0"/>
              <w:rPr>
                <w:sz w:val="10"/>
                <w:szCs w:val="10"/>
                <w:color w:val="auto"/>
              </w:rPr>
            </w:pPr>
          </w:p>
        </w:tc>
        <w:tc>
          <w:tcPr>
            <w:tcW w:w="800" w:type="dxa"/>
            <w:vAlign w:val="bottom"/>
            <w:tcBorders>
              <w:bottom w:val="single" w:sz="8" w:color="auto"/>
            </w:tcBorders>
            <w:vMerge w:val="continue"/>
          </w:tcPr>
          <w:p>
            <w:pPr>
              <w:spacing w:after="0"/>
              <w:rPr>
                <w:sz w:val="10"/>
                <w:szCs w:val="10"/>
                <w:color w:val="auto"/>
              </w:rPr>
            </w:pPr>
          </w:p>
        </w:tc>
        <w:tc>
          <w:tcPr>
            <w:tcW w:w="120" w:type="dxa"/>
            <w:vAlign w:val="bottom"/>
          </w:tcPr>
          <w:p>
            <w:pPr>
              <w:spacing w:after="0"/>
              <w:rPr>
                <w:sz w:val="10"/>
                <w:szCs w:val="10"/>
                <w:color w:val="auto"/>
              </w:rPr>
            </w:pPr>
          </w:p>
        </w:tc>
        <w:tc>
          <w:tcPr>
            <w:tcW w:w="800" w:type="dxa"/>
            <w:vAlign w:val="bottom"/>
            <w:tcBorders>
              <w:bottom w:val="single" w:sz="8" w:color="auto"/>
            </w:tcBorders>
            <w:vMerge w:val="continue"/>
          </w:tcPr>
          <w:p>
            <w:pPr>
              <w:spacing w:after="0"/>
              <w:rPr>
                <w:sz w:val="10"/>
                <w:szCs w:val="10"/>
                <w:color w:val="auto"/>
              </w:rPr>
            </w:pPr>
          </w:p>
        </w:tc>
        <w:tc>
          <w:tcPr>
            <w:tcW w:w="120" w:type="dxa"/>
            <w:vAlign w:val="bottom"/>
          </w:tcPr>
          <w:p>
            <w:pPr>
              <w:spacing w:after="0"/>
              <w:rPr>
                <w:sz w:val="10"/>
                <w:szCs w:val="10"/>
                <w:color w:val="auto"/>
              </w:rPr>
            </w:pPr>
          </w:p>
        </w:tc>
        <w:tc>
          <w:tcPr>
            <w:tcW w:w="360" w:type="dxa"/>
            <w:vAlign w:val="bottom"/>
            <w:tcBorders>
              <w:bottom w:val="single" w:sz="8" w:color="auto"/>
            </w:tcBorders>
          </w:tcPr>
          <w:p>
            <w:pPr>
              <w:spacing w:after="0"/>
              <w:rPr>
                <w:sz w:val="10"/>
                <w:szCs w:val="10"/>
                <w:color w:val="auto"/>
              </w:rPr>
            </w:pPr>
          </w:p>
        </w:tc>
        <w:tc>
          <w:tcPr>
            <w:tcW w:w="460" w:type="dxa"/>
            <w:vAlign w:val="bottom"/>
            <w:tcBorders>
              <w:bottom w:val="single" w:sz="8" w:color="auto"/>
            </w:tcBorders>
            <w:vMerge w:val="continue"/>
          </w:tcPr>
          <w:p>
            <w:pPr>
              <w:spacing w:after="0"/>
              <w:rPr>
                <w:sz w:val="10"/>
                <w:szCs w:val="10"/>
                <w:color w:val="auto"/>
              </w:rPr>
            </w:pPr>
          </w:p>
        </w:tc>
        <w:tc>
          <w:tcPr>
            <w:tcW w:w="100" w:type="dxa"/>
            <w:vAlign w:val="bottom"/>
          </w:tcPr>
          <w:p>
            <w:pPr>
              <w:spacing w:after="0"/>
              <w:rPr>
                <w:sz w:val="10"/>
                <w:szCs w:val="10"/>
                <w:color w:val="auto"/>
              </w:rPr>
            </w:pPr>
          </w:p>
        </w:tc>
        <w:tc>
          <w:tcPr>
            <w:tcW w:w="820" w:type="dxa"/>
            <w:vAlign w:val="bottom"/>
            <w:tcBorders>
              <w:bottom w:val="single" w:sz="8" w:color="auto"/>
            </w:tcBorders>
            <w:vMerge w:val="continue"/>
          </w:tcPr>
          <w:p>
            <w:pPr>
              <w:spacing w:after="0"/>
              <w:rPr>
                <w:sz w:val="10"/>
                <w:szCs w:val="10"/>
                <w:color w:val="auto"/>
              </w:rPr>
            </w:pPr>
          </w:p>
        </w:tc>
        <w:tc>
          <w:tcPr>
            <w:tcW w:w="120" w:type="dxa"/>
            <w:vAlign w:val="bottom"/>
          </w:tcPr>
          <w:p>
            <w:pPr>
              <w:spacing w:after="0"/>
              <w:rPr>
                <w:sz w:val="10"/>
                <w:szCs w:val="10"/>
                <w:color w:val="auto"/>
              </w:rPr>
            </w:pPr>
          </w:p>
        </w:tc>
        <w:tc>
          <w:tcPr>
            <w:tcW w:w="800" w:type="dxa"/>
            <w:vAlign w:val="bottom"/>
            <w:tcBorders>
              <w:bottom w:val="single" w:sz="8" w:color="auto"/>
            </w:tcBorders>
          </w:tcPr>
          <w:p>
            <w:pPr>
              <w:jc w:val="center"/>
              <w:ind w:left="49"/>
              <w:spacing w:after="0"/>
              <w:rPr>
                <w:sz w:val="20"/>
                <w:szCs w:val="20"/>
                <w:color w:val="auto"/>
              </w:rPr>
            </w:pPr>
            <w:r>
              <w:rPr>
                <w:rFonts w:ascii="Arial" w:cs="Arial" w:eastAsia="Arial" w:hAnsi="Arial"/>
                <w:sz w:val="10"/>
                <w:szCs w:val="10"/>
                <w:b w:val="1"/>
                <w:bCs w:val="1"/>
                <w:color w:val="auto"/>
              </w:rPr>
              <w:t>after</w:t>
            </w:r>
          </w:p>
        </w:tc>
        <w:tc>
          <w:tcPr>
            <w:tcW w:w="120" w:type="dxa"/>
            <w:vAlign w:val="bottom"/>
          </w:tcPr>
          <w:p>
            <w:pPr>
              <w:spacing w:after="0"/>
              <w:rPr>
                <w:sz w:val="10"/>
                <w:szCs w:val="10"/>
                <w:color w:val="auto"/>
              </w:rPr>
            </w:pPr>
          </w:p>
        </w:tc>
        <w:tc>
          <w:tcPr>
            <w:tcW w:w="800" w:type="dxa"/>
            <w:vAlign w:val="bottom"/>
            <w:tcBorders>
              <w:bottom w:val="single" w:sz="8" w:color="auto"/>
            </w:tcBorders>
          </w:tcPr>
          <w:p>
            <w:pPr>
              <w:ind w:left="260"/>
              <w:spacing w:after="0"/>
              <w:rPr>
                <w:sz w:val="20"/>
                <w:szCs w:val="20"/>
                <w:color w:val="auto"/>
              </w:rPr>
            </w:pPr>
            <w:r>
              <w:rPr>
                <w:rFonts w:ascii="Arial" w:cs="Arial" w:eastAsia="Arial" w:hAnsi="Arial"/>
                <w:sz w:val="10"/>
                <w:szCs w:val="10"/>
                <w:b w:val="1"/>
                <w:bCs w:val="1"/>
                <w:color w:val="auto"/>
              </w:rPr>
              <w:t>maturity</w:t>
            </w:r>
          </w:p>
        </w:tc>
        <w:tc>
          <w:tcPr>
            <w:tcW w:w="120" w:type="dxa"/>
            <w:vAlign w:val="bottom"/>
          </w:tcPr>
          <w:p>
            <w:pPr>
              <w:spacing w:after="0"/>
              <w:rPr>
                <w:sz w:val="10"/>
                <w:szCs w:val="10"/>
                <w:color w:val="auto"/>
              </w:rPr>
            </w:pPr>
          </w:p>
        </w:tc>
        <w:tc>
          <w:tcPr>
            <w:tcW w:w="800" w:type="dxa"/>
            <w:vAlign w:val="bottom"/>
            <w:tcBorders>
              <w:bottom w:val="single" w:sz="8" w:color="auto"/>
            </w:tcBorders>
          </w:tcPr>
          <w:p>
            <w:pPr>
              <w:jc w:val="right"/>
              <w:ind w:right="189"/>
              <w:spacing w:after="0"/>
              <w:rPr>
                <w:sz w:val="20"/>
                <w:szCs w:val="20"/>
                <w:color w:val="auto"/>
              </w:rPr>
            </w:pPr>
            <w:r>
              <w:rPr>
                <w:rFonts w:ascii="Arial" w:cs="Arial" w:eastAsia="Arial" w:hAnsi="Arial"/>
                <w:sz w:val="10"/>
                <w:szCs w:val="10"/>
                <w:b w:val="1"/>
                <w:bCs w:val="1"/>
                <w:color w:val="auto"/>
              </w:rPr>
              <w:t>2017</w:t>
            </w:r>
          </w:p>
        </w:tc>
        <w:tc>
          <w:tcPr>
            <w:tcW w:w="100" w:type="dxa"/>
            <w:vAlign w:val="bottom"/>
          </w:tcPr>
          <w:p>
            <w:pPr>
              <w:spacing w:after="0"/>
              <w:rPr>
                <w:sz w:val="10"/>
                <w:szCs w:val="10"/>
                <w:color w:val="auto"/>
              </w:rPr>
            </w:pPr>
          </w:p>
        </w:tc>
        <w:tc>
          <w:tcPr>
            <w:tcW w:w="780" w:type="dxa"/>
            <w:vAlign w:val="bottom"/>
            <w:tcBorders>
              <w:bottom w:val="single" w:sz="8" w:color="auto"/>
            </w:tcBorders>
          </w:tcPr>
          <w:p>
            <w:pPr>
              <w:jc w:val="center"/>
              <w:ind w:left="69"/>
              <w:spacing w:after="0"/>
              <w:rPr>
                <w:sz w:val="20"/>
                <w:szCs w:val="20"/>
                <w:color w:val="auto"/>
              </w:rPr>
            </w:pPr>
            <w:r>
              <w:rPr>
                <w:rFonts w:ascii="Arial" w:cs="Arial" w:eastAsia="Arial" w:hAnsi="Arial"/>
                <w:sz w:val="10"/>
                <w:szCs w:val="10"/>
                <w:b w:val="1"/>
                <w:bCs w:val="1"/>
                <w:color w:val="auto"/>
                <w:w w:val="98"/>
              </w:rPr>
              <w:t>2017</w:t>
            </w: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86"/>
        </w:trPr>
        <w:tc>
          <w:tcPr>
            <w:tcW w:w="20" w:type="dxa"/>
            <w:vAlign w:val="bottom"/>
          </w:tcPr>
          <w:p>
            <w:pPr>
              <w:spacing w:after="0"/>
              <w:rPr>
                <w:sz w:val="7"/>
                <w:szCs w:val="7"/>
                <w:color w:val="auto"/>
              </w:rPr>
            </w:pPr>
          </w:p>
        </w:tc>
        <w:tc>
          <w:tcPr>
            <w:tcW w:w="3200" w:type="dxa"/>
            <w:vAlign w:val="bottom"/>
          </w:tcPr>
          <w:p>
            <w:pPr>
              <w:spacing w:after="0"/>
              <w:rPr>
                <w:sz w:val="7"/>
                <w:szCs w:val="7"/>
                <w:color w:val="auto"/>
              </w:rPr>
            </w:pPr>
          </w:p>
        </w:tc>
        <w:tc>
          <w:tcPr>
            <w:tcW w:w="800" w:type="dxa"/>
            <w:vAlign w:val="bottom"/>
          </w:tcPr>
          <w:p>
            <w:pPr>
              <w:spacing w:after="0"/>
              <w:rPr>
                <w:sz w:val="7"/>
                <w:szCs w:val="7"/>
                <w:color w:val="auto"/>
              </w:rPr>
            </w:pPr>
          </w:p>
        </w:tc>
        <w:tc>
          <w:tcPr>
            <w:tcW w:w="120" w:type="dxa"/>
            <w:vAlign w:val="bottom"/>
          </w:tcPr>
          <w:p>
            <w:pPr>
              <w:spacing w:after="0"/>
              <w:rPr>
                <w:sz w:val="7"/>
                <w:szCs w:val="7"/>
                <w:color w:val="auto"/>
              </w:rPr>
            </w:pPr>
          </w:p>
        </w:tc>
        <w:tc>
          <w:tcPr>
            <w:tcW w:w="800" w:type="dxa"/>
            <w:vAlign w:val="bottom"/>
          </w:tcPr>
          <w:p>
            <w:pPr>
              <w:spacing w:after="0"/>
              <w:rPr>
                <w:sz w:val="7"/>
                <w:szCs w:val="7"/>
                <w:color w:val="auto"/>
              </w:rPr>
            </w:pPr>
          </w:p>
        </w:tc>
        <w:tc>
          <w:tcPr>
            <w:tcW w:w="120" w:type="dxa"/>
            <w:vAlign w:val="bottom"/>
          </w:tcPr>
          <w:p>
            <w:pPr>
              <w:spacing w:after="0"/>
              <w:rPr>
                <w:sz w:val="7"/>
                <w:szCs w:val="7"/>
                <w:color w:val="auto"/>
              </w:rPr>
            </w:pPr>
          </w:p>
        </w:tc>
        <w:tc>
          <w:tcPr>
            <w:tcW w:w="1280" w:type="dxa"/>
            <w:vAlign w:val="bottom"/>
            <w:gridSpan w:val="3"/>
          </w:tcPr>
          <w:p>
            <w:pPr>
              <w:ind w:left="80"/>
              <w:spacing w:after="0" w:line="86" w:lineRule="exact"/>
              <w:rPr>
                <w:sz w:val="20"/>
                <w:szCs w:val="20"/>
                <w:color w:val="auto"/>
              </w:rPr>
            </w:pPr>
            <w:r>
              <w:rPr>
                <w:rFonts w:ascii="Arial" w:cs="Arial" w:eastAsia="Arial" w:hAnsi="Arial"/>
                <w:sz w:val="9"/>
                <w:szCs w:val="9"/>
                <w:b w:val="1"/>
                <w:bCs w:val="1"/>
                <w:color w:val="auto"/>
              </w:rPr>
              <w:t>($ Equivalent in thousands)</w:t>
            </w:r>
          </w:p>
        </w:tc>
        <w:tc>
          <w:tcPr>
            <w:tcW w:w="460" w:type="dxa"/>
            <w:vAlign w:val="bottom"/>
          </w:tcPr>
          <w:p>
            <w:pPr>
              <w:spacing w:after="0"/>
              <w:rPr>
                <w:sz w:val="7"/>
                <w:szCs w:val="7"/>
                <w:color w:val="auto"/>
              </w:rPr>
            </w:pPr>
          </w:p>
        </w:tc>
        <w:tc>
          <w:tcPr>
            <w:tcW w:w="100" w:type="dxa"/>
            <w:vAlign w:val="bottom"/>
          </w:tcPr>
          <w:p>
            <w:pPr>
              <w:spacing w:after="0"/>
              <w:rPr>
                <w:sz w:val="7"/>
                <w:szCs w:val="7"/>
                <w:color w:val="auto"/>
              </w:rPr>
            </w:pPr>
          </w:p>
        </w:tc>
        <w:tc>
          <w:tcPr>
            <w:tcW w:w="820" w:type="dxa"/>
            <w:vAlign w:val="bottom"/>
          </w:tcPr>
          <w:p>
            <w:pPr>
              <w:spacing w:after="0"/>
              <w:rPr>
                <w:sz w:val="7"/>
                <w:szCs w:val="7"/>
                <w:color w:val="auto"/>
              </w:rPr>
            </w:pPr>
          </w:p>
        </w:tc>
        <w:tc>
          <w:tcPr>
            <w:tcW w:w="120" w:type="dxa"/>
            <w:vAlign w:val="bottom"/>
          </w:tcPr>
          <w:p>
            <w:pPr>
              <w:spacing w:after="0"/>
              <w:rPr>
                <w:sz w:val="7"/>
                <w:szCs w:val="7"/>
                <w:color w:val="auto"/>
              </w:rPr>
            </w:pPr>
          </w:p>
        </w:tc>
        <w:tc>
          <w:tcPr>
            <w:tcW w:w="800" w:type="dxa"/>
            <w:vAlign w:val="bottom"/>
          </w:tcPr>
          <w:p>
            <w:pPr>
              <w:spacing w:after="0"/>
              <w:rPr>
                <w:sz w:val="7"/>
                <w:szCs w:val="7"/>
                <w:color w:val="auto"/>
              </w:rPr>
            </w:pPr>
          </w:p>
        </w:tc>
        <w:tc>
          <w:tcPr>
            <w:tcW w:w="120" w:type="dxa"/>
            <w:vAlign w:val="bottom"/>
          </w:tcPr>
          <w:p>
            <w:pPr>
              <w:spacing w:after="0"/>
              <w:rPr>
                <w:sz w:val="7"/>
                <w:szCs w:val="7"/>
                <w:color w:val="auto"/>
              </w:rPr>
            </w:pPr>
          </w:p>
        </w:tc>
        <w:tc>
          <w:tcPr>
            <w:tcW w:w="800" w:type="dxa"/>
            <w:vAlign w:val="bottom"/>
          </w:tcPr>
          <w:p>
            <w:pPr>
              <w:spacing w:after="0"/>
              <w:rPr>
                <w:sz w:val="7"/>
                <w:szCs w:val="7"/>
                <w:color w:val="auto"/>
              </w:rPr>
            </w:pPr>
          </w:p>
        </w:tc>
        <w:tc>
          <w:tcPr>
            <w:tcW w:w="120" w:type="dxa"/>
            <w:vAlign w:val="bottom"/>
          </w:tcPr>
          <w:p>
            <w:pPr>
              <w:spacing w:after="0"/>
              <w:rPr>
                <w:sz w:val="7"/>
                <w:szCs w:val="7"/>
                <w:color w:val="auto"/>
              </w:rPr>
            </w:pPr>
          </w:p>
        </w:tc>
        <w:tc>
          <w:tcPr>
            <w:tcW w:w="800" w:type="dxa"/>
            <w:vAlign w:val="bottom"/>
          </w:tcPr>
          <w:p>
            <w:pPr>
              <w:spacing w:after="0"/>
              <w:rPr>
                <w:sz w:val="7"/>
                <w:szCs w:val="7"/>
                <w:color w:val="auto"/>
              </w:rPr>
            </w:pPr>
          </w:p>
        </w:tc>
        <w:tc>
          <w:tcPr>
            <w:tcW w:w="100" w:type="dxa"/>
            <w:vAlign w:val="bottom"/>
          </w:tcPr>
          <w:p>
            <w:pPr>
              <w:spacing w:after="0"/>
              <w:rPr>
                <w:sz w:val="7"/>
                <w:szCs w:val="7"/>
                <w:color w:val="auto"/>
              </w:rPr>
            </w:pPr>
          </w:p>
        </w:tc>
        <w:tc>
          <w:tcPr>
            <w:tcW w:w="780" w:type="dxa"/>
            <w:vAlign w:val="bottom"/>
          </w:tcPr>
          <w:p>
            <w:pPr>
              <w:spacing w:after="0"/>
              <w:rPr>
                <w:sz w:val="7"/>
                <w:szCs w:val="7"/>
                <w:color w:val="auto"/>
              </w:rPr>
            </w:pPr>
          </w:p>
        </w:tc>
        <w:tc>
          <w:tcPr>
            <w:tcW w:w="12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200" w:type="dxa"/>
            <w:vAlign w:val="bottom"/>
            <w:shd w:val="clear" w:color="auto" w:fill="CCEEFF"/>
          </w:tcPr>
          <w:p>
            <w:pPr>
              <w:spacing w:after="0"/>
              <w:rPr>
                <w:sz w:val="20"/>
                <w:szCs w:val="20"/>
                <w:color w:val="auto"/>
              </w:rPr>
            </w:pPr>
            <w:r>
              <w:rPr>
                <w:rFonts w:ascii="Arial" w:cs="Arial" w:eastAsia="Arial" w:hAnsi="Arial"/>
                <w:sz w:val="10"/>
                <w:szCs w:val="10"/>
                <w:b w:val="1"/>
                <w:bCs w:val="1"/>
                <w:color w:val="auto"/>
              </w:rPr>
              <w:t>ASSETS:</w:t>
            </w:r>
          </w:p>
        </w:tc>
        <w:tc>
          <w:tcPr>
            <w:tcW w:w="8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4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7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spacing w:after="0" w:line="106" w:lineRule="exact"/>
              <w:rPr>
                <w:sz w:val="20"/>
                <w:szCs w:val="20"/>
                <w:color w:val="auto"/>
              </w:rPr>
            </w:pPr>
            <w:r>
              <w:rPr>
                <w:rFonts w:ascii="Arial" w:cs="Arial" w:eastAsia="Arial" w:hAnsi="Arial"/>
                <w:sz w:val="10"/>
                <w:szCs w:val="10"/>
                <w:b w:val="1"/>
                <w:bCs w:val="1"/>
                <w:color w:val="auto"/>
              </w:rPr>
              <w:t>Investment Securities</w:t>
            </w: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360" w:type="dxa"/>
            <w:vAlign w:val="bottom"/>
          </w:tcPr>
          <w:p>
            <w:pPr>
              <w:spacing w:after="0"/>
              <w:rPr>
                <w:sz w:val="9"/>
                <w:szCs w:val="9"/>
                <w:color w:val="auto"/>
              </w:rPr>
            </w:pPr>
          </w:p>
        </w:tc>
        <w:tc>
          <w:tcPr>
            <w:tcW w:w="460" w:type="dxa"/>
            <w:vAlign w:val="bottom"/>
          </w:tcPr>
          <w:p>
            <w:pPr>
              <w:spacing w:after="0"/>
              <w:rPr>
                <w:sz w:val="9"/>
                <w:szCs w:val="9"/>
                <w:color w:val="auto"/>
              </w:rPr>
            </w:pPr>
          </w:p>
        </w:tc>
        <w:tc>
          <w:tcPr>
            <w:tcW w:w="100" w:type="dxa"/>
            <w:vAlign w:val="bottom"/>
          </w:tcPr>
          <w:p>
            <w:pPr>
              <w:spacing w:after="0"/>
              <w:rPr>
                <w:sz w:val="9"/>
                <w:szCs w:val="9"/>
                <w:color w:val="auto"/>
              </w:rPr>
            </w:pPr>
          </w:p>
        </w:tc>
        <w:tc>
          <w:tcPr>
            <w:tcW w:w="82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00" w:type="dxa"/>
            <w:vAlign w:val="bottom"/>
          </w:tcPr>
          <w:p>
            <w:pPr>
              <w:spacing w:after="0"/>
              <w:rPr>
                <w:sz w:val="9"/>
                <w:szCs w:val="9"/>
                <w:color w:val="auto"/>
              </w:rPr>
            </w:pPr>
          </w:p>
        </w:tc>
        <w:tc>
          <w:tcPr>
            <w:tcW w:w="7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spacing w:after="0" w:line="106" w:lineRule="exact"/>
              <w:rPr>
                <w:sz w:val="20"/>
                <w:szCs w:val="20"/>
                <w:color w:val="auto"/>
              </w:rPr>
            </w:pPr>
            <w:r>
              <w:rPr>
                <w:rFonts w:ascii="Arial" w:cs="Arial" w:eastAsia="Arial" w:hAnsi="Arial"/>
                <w:sz w:val="10"/>
                <w:szCs w:val="10"/>
                <w:color w:val="auto"/>
              </w:rPr>
              <w:t>Fixed rate</w:t>
            </w: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36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8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ind w:left="100"/>
              <w:spacing w:after="0" w:line="106" w:lineRule="exact"/>
              <w:rPr>
                <w:sz w:val="20"/>
                <w:szCs w:val="20"/>
                <w:color w:val="auto"/>
              </w:rPr>
            </w:pPr>
            <w:r>
              <w:rPr>
                <w:rFonts w:ascii="Arial" w:cs="Arial" w:eastAsia="Arial" w:hAnsi="Arial"/>
                <w:sz w:val="10"/>
                <w:szCs w:val="10"/>
                <w:color w:val="auto"/>
              </w:rPr>
              <w:t>U.S. Dollars</w:t>
            </w:r>
          </w:p>
        </w:tc>
        <w:tc>
          <w:tcPr>
            <w:tcW w:w="800" w:type="dxa"/>
            <w:vAlign w:val="bottom"/>
          </w:tcPr>
          <w:p>
            <w:pPr>
              <w:jc w:val="right"/>
              <w:spacing w:after="0" w:line="106" w:lineRule="exact"/>
              <w:rPr>
                <w:sz w:val="20"/>
                <w:szCs w:val="20"/>
                <w:color w:val="auto"/>
              </w:rPr>
            </w:pPr>
            <w:r>
              <w:rPr>
                <w:rFonts w:ascii="Arial" w:cs="Arial" w:eastAsia="Arial" w:hAnsi="Arial"/>
                <w:sz w:val="10"/>
                <w:szCs w:val="10"/>
                <w:color w:val="auto"/>
              </w:rPr>
              <w:t>7,978</w:t>
            </w:r>
          </w:p>
        </w:tc>
        <w:tc>
          <w:tcPr>
            <w:tcW w:w="120" w:type="dxa"/>
            <w:vAlign w:val="bottom"/>
          </w:tcPr>
          <w:p>
            <w:pPr>
              <w:spacing w:after="0"/>
              <w:rPr>
                <w:sz w:val="9"/>
                <w:szCs w:val="9"/>
                <w:color w:val="auto"/>
              </w:rPr>
            </w:pP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23,875</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9,943</w:t>
            </w:r>
          </w:p>
        </w:tc>
        <w:tc>
          <w:tcPr>
            <w:tcW w:w="360" w:type="dxa"/>
            <w:vAlign w:val="bottom"/>
          </w:tcPr>
          <w:p>
            <w:pPr>
              <w:spacing w:after="0"/>
              <w:rPr>
                <w:sz w:val="9"/>
                <w:szCs w:val="9"/>
                <w:color w:val="auto"/>
              </w:rPr>
            </w:pPr>
          </w:p>
        </w:tc>
        <w:tc>
          <w:tcPr>
            <w:tcW w:w="56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35,876</w:t>
            </w:r>
          </w:p>
        </w:tc>
        <w:tc>
          <w:tcPr>
            <w:tcW w:w="94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8,191</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85,863</w:t>
            </w:r>
          </w:p>
        </w:tc>
        <w:tc>
          <w:tcPr>
            <w:tcW w:w="90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85,739</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Average fixed rate</w:t>
            </w:r>
          </w:p>
        </w:tc>
        <w:tc>
          <w:tcPr>
            <w:tcW w:w="920" w:type="dxa"/>
            <w:vAlign w:val="bottom"/>
            <w:gridSpan w:val="2"/>
            <w:shd w:val="clear" w:color="auto" w:fill="CCEEFF"/>
          </w:tcPr>
          <w:p>
            <w:pPr>
              <w:jc w:val="right"/>
              <w:ind w:right="40"/>
              <w:spacing w:after="0" w:line="106" w:lineRule="exact"/>
              <w:rPr>
                <w:sz w:val="20"/>
                <w:szCs w:val="20"/>
                <w:color w:val="auto"/>
              </w:rPr>
            </w:pPr>
            <w:r>
              <w:rPr>
                <w:rFonts w:ascii="Arial" w:cs="Arial" w:eastAsia="Arial" w:hAnsi="Arial"/>
                <w:sz w:val="10"/>
                <w:szCs w:val="10"/>
                <w:color w:val="auto"/>
              </w:rPr>
              <w:t>3.80%</w:t>
            </w:r>
          </w:p>
        </w:tc>
        <w:tc>
          <w:tcPr>
            <w:tcW w:w="92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7.52%</w:t>
            </w:r>
          </w:p>
        </w:tc>
        <w:tc>
          <w:tcPr>
            <w:tcW w:w="92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4.79%</w:t>
            </w:r>
          </w:p>
        </w:tc>
        <w:tc>
          <w:tcPr>
            <w:tcW w:w="360" w:type="dxa"/>
            <w:vAlign w:val="bottom"/>
            <w:shd w:val="clear" w:color="auto" w:fill="CCEEFF"/>
          </w:tcPr>
          <w:p>
            <w:pPr>
              <w:spacing w:after="0"/>
              <w:rPr>
                <w:sz w:val="9"/>
                <w:szCs w:val="9"/>
                <w:color w:val="auto"/>
              </w:rPr>
            </w:pPr>
          </w:p>
        </w:tc>
        <w:tc>
          <w:tcPr>
            <w:tcW w:w="56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4.27%</w:t>
            </w:r>
          </w:p>
        </w:tc>
        <w:tc>
          <w:tcPr>
            <w:tcW w:w="940" w:type="dxa"/>
            <w:vAlign w:val="bottom"/>
            <w:gridSpan w:val="2"/>
            <w:shd w:val="clear" w:color="auto" w:fill="CCEEFF"/>
          </w:tcPr>
          <w:p>
            <w:pPr>
              <w:jc w:val="right"/>
              <w:ind w:right="40"/>
              <w:spacing w:after="0" w:line="106" w:lineRule="exact"/>
              <w:rPr>
                <w:sz w:val="20"/>
                <w:szCs w:val="20"/>
                <w:color w:val="auto"/>
              </w:rPr>
            </w:pPr>
            <w:r>
              <w:rPr>
                <w:rFonts w:ascii="Arial" w:cs="Arial" w:eastAsia="Arial" w:hAnsi="Arial"/>
                <w:sz w:val="10"/>
                <w:szCs w:val="10"/>
                <w:color w:val="auto"/>
              </w:rPr>
              <w:t>3.63%</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5.13%</w:t>
            </w: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restart"/>
          </w:tcPr>
          <w:p>
            <w:pPr>
              <w:spacing w:after="0"/>
              <w:rPr>
                <w:sz w:val="9"/>
                <w:szCs w:val="9"/>
                <w:color w:val="auto"/>
              </w:rPr>
            </w:pPr>
          </w:p>
        </w:tc>
        <w:tc>
          <w:tcPr>
            <w:tcW w:w="320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360" w:type="dxa"/>
            <w:vAlign w:val="bottom"/>
          </w:tcPr>
          <w:p>
            <w:pPr>
              <w:spacing w:after="0"/>
              <w:rPr>
                <w:sz w:val="9"/>
                <w:szCs w:val="9"/>
                <w:color w:val="auto"/>
              </w:rPr>
            </w:pPr>
          </w:p>
        </w:tc>
        <w:tc>
          <w:tcPr>
            <w:tcW w:w="460" w:type="dxa"/>
            <w:vAlign w:val="bottom"/>
          </w:tcPr>
          <w:p>
            <w:pPr>
              <w:spacing w:after="0"/>
              <w:rPr>
                <w:sz w:val="9"/>
                <w:szCs w:val="9"/>
                <w:color w:val="auto"/>
              </w:rPr>
            </w:pPr>
          </w:p>
        </w:tc>
        <w:tc>
          <w:tcPr>
            <w:tcW w:w="100" w:type="dxa"/>
            <w:vAlign w:val="bottom"/>
          </w:tcPr>
          <w:p>
            <w:pPr>
              <w:spacing w:after="0"/>
              <w:rPr>
                <w:sz w:val="9"/>
                <w:szCs w:val="9"/>
                <w:color w:val="auto"/>
              </w:rPr>
            </w:pPr>
          </w:p>
        </w:tc>
        <w:tc>
          <w:tcPr>
            <w:tcW w:w="82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00" w:type="dxa"/>
            <w:vAlign w:val="bottom"/>
          </w:tcPr>
          <w:p>
            <w:pPr>
              <w:spacing w:after="0"/>
              <w:rPr>
                <w:sz w:val="9"/>
                <w:szCs w:val="9"/>
                <w:color w:val="auto"/>
              </w:rPr>
            </w:pPr>
          </w:p>
        </w:tc>
        <w:tc>
          <w:tcPr>
            <w:tcW w:w="7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continue"/>
          </w:tcPr>
          <w:p>
            <w:pPr>
              <w:spacing w:after="0"/>
              <w:rPr>
                <w:sz w:val="9"/>
                <w:szCs w:val="9"/>
                <w:color w:val="auto"/>
              </w:rPr>
            </w:pPr>
          </w:p>
        </w:tc>
        <w:tc>
          <w:tcPr>
            <w:tcW w:w="3200" w:type="dxa"/>
            <w:vAlign w:val="bottom"/>
            <w:shd w:val="clear" w:color="auto" w:fill="CCEEFF"/>
          </w:tcPr>
          <w:p>
            <w:pPr>
              <w:spacing w:after="0" w:line="106" w:lineRule="exact"/>
              <w:rPr>
                <w:sz w:val="20"/>
                <w:szCs w:val="20"/>
                <w:color w:val="auto"/>
              </w:rPr>
            </w:pPr>
            <w:r>
              <w:rPr>
                <w:rFonts w:ascii="Arial" w:cs="Arial" w:eastAsia="Arial" w:hAnsi="Arial"/>
                <w:sz w:val="10"/>
                <w:szCs w:val="10"/>
                <w:b w:val="1"/>
                <w:bCs w:val="1"/>
                <w:color w:val="auto"/>
              </w:rPr>
              <w:t>Loans</w:t>
            </w: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36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8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spacing w:after="0" w:line="106" w:lineRule="exact"/>
              <w:rPr>
                <w:sz w:val="20"/>
                <w:szCs w:val="20"/>
                <w:color w:val="auto"/>
              </w:rPr>
            </w:pPr>
            <w:r>
              <w:rPr>
                <w:rFonts w:ascii="Arial" w:cs="Arial" w:eastAsia="Arial" w:hAnsi="Arial"/>
                <w:sz w:val="10"/>
                <w:szCs w:val="10"/>
                <w:color w:val="auto"/>
              </w:rPr>
              <w:t>Fixed rate</w:t>
            </w: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360" w:type="dxa"/>
            <w:vAlign w:val="bottom"/>
          </w:tcPr>
          <w:p>
            <w:pPr>
              <w:spacing w:after="0"/>
              <w:rPr>
                <w:sz w:val="9"/>
                <w:szCs w:val="9"/>
                <w:color w:val="auto"/>
              </w:rPr>
            </w:pPr>
          </w:p>
        </w:tc>
        <w:tc>
          <w:tcPr>
            <w:tcW w:w="460" w:type="dxa"/>
            <w:vAlign w:val="bottom"/>
          </w:tcPr>
          <w:p>
            <w:pPr>
              <w:spacing w:after="0"/>
              <w:rPr>
                <w:sz w:val="9"/>
                <w:szCs w:val="9"/>
                <w:color w:val="auto"/>
              </w:rPr>
            </w:pPr>
          </w:p>
        </w:tc>
        <w:tc>
          <w:tcPr>
            <w:tcW w:w="100" w:type="dxa"/>
            <w:vAlign w:val="bottom"/>
          </w:tcPr>
          <w:p>
            <w:pPr>
              <w:spacing w:after="0"/>
              <w:rPr>
                <w:sz w:val="9"/>
                <w:szCs w:val="9"/>
                <w:color w:val="auto"/>
              </w:rPr>
            </w:pPr>
          </w:p>
        </w:tc>
        <w:tc>
          <w:tcPr>
            <w:tcW w:w="82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00" w:type="dxa"/>
            <w:vAlign w:val="bottom"/>
          </w:tcPr>
          <w:p>
            <w:pPr>
              <w:spacing w:after="0"/>
              <w:rPr>
                <w:sz w:val="9"/>
                <w:szCs w:val="9"/>
                <w:color w:val="auto"/>
              </w:rPr>
            </w:pPr>
          </w:p>
        </w:tc>
        <w:tc>
          <w:tcPr>
            <w:tcW w:w="7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U.S. Dollars</w:t>
            </w:r>
          </w:p>
        </w:tc>
        <w:tc>
          <w:tcPr>
            <w:tcW w:w="8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2,225,408</w:t>
            </w:r>
          </w:p>
        </w:tc>
        <w:tc>
          <w:tcPr>
            <w:tcW w:w="1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22,200</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4,132</w:t>
            </w:r>
          </w:p>
        </w:tc>
        <w:tc>
          <w:tcPr>
            <w:tcW w:w="36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shd w:val="clear" w:color="auto" w:fill="CCEEFF"/>
          </w:tcPr>
          <w:p>
            <w:pPr>
              <w:spacing w:after="0"/>
              <w:rPr>
                <w:sz w:val="9"/>
                <w:szCs w:val="9"/>
                <w:color w:val="auto"/>
              </w:rPr>
            </w:pPr>
          </w:p>
        </w:tc>
        <w:tc>
          <w:tcPr>
            <w:tcW w:w="94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10,593</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100"/>
              <w:spacing w:after="0" w:line="106" w:lineRule="exact"/>
              <w:rPr>
                <w:sz w:val="20"/>
                <w:szCs w:val="20"/>
                <w:color w:val="auto"/>
              </w:rPr>
            </w:pPr>
            <w:r>
              <w:rPr>
                <w:rFonts w:ascii="Arial" w:cs="Arial" w:eastAsia="Arial" w:hAnsi="Arial"/>
                <w:sz w:val="10"/>
                <w:szCs w:val="10"/>
                <w:color w:val="auto"/>
              </w:rPr>
              <w:t>2,262,333</w:t>
            </w:r>
          </w:p>
        </w:tc>
        <w:tc>
          <w:tcPr>
            <w:tcW w:w="90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2,268,201</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ind w:left="100"/>
              <w:spacing w:after="0" w:line="106" w:lineRule="exact"/>
              <w:rPr>
                <w:sz w:val="20"/>
                <w:szCs w:val="20"/>
                <w:color w:val="auto"/>
              </w:rPr>
            </w:pPr>
            <w:r>
              <w:rPr>
                <w:rFonts w:ascii="Arial" w:cs="Arial" w:eastAsia="Arial" w:hAnsi="Arial"/>
                <w:sz w:val="10"/>
                <w:szCs w:val="10"/>
                <w:color w:val="auto"/>
              </w:rPr>
              <w:t>Average fixed rate</w:t>
            </w:r>
          </w:p>
        </w:tc>
        <w:tc>
          <w:tcPr>
            <w:tcW w:w="920" w:type="dxa"/>
            <w:vAlign w:val="bottom"/>
            <w:gridSpan w:val="2"/>
          </w:tcPr>
          <w:p>
            <w:pPr>
              <w:jc w:val="right"/>
              <w:ind w:right="40"/>
              <w:spacing w:after="0" w:line="106" w:lineRule="exact"/>
              <w:rPr>
                <w:sz w:val="20"/>
                <w:szCs w:val="20"/>
                <w:color w:val="auto"/>
              </w:rPr>
            </w:pPr>
            <w:r>
              <w:rPr>
                <w:rFonts w:ascii="Arial" w:cs="Arial" w:eastAsia="Arial" w:hAnsi="Arial"/>
                <w:sz w:val="10"/>
                <w:szCs w:val="10"/>
                <w:color w:val="auto"/>
              </w:rPr>
              <w:t>3.04%</w:t>
            </w:r>
          </w:p>
        </w:tc>
        <w:tc>
          <w:tcPr>
            <w:tcW w:w="92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4.15%</w:t>
            </w:r>
          </w:p>
        </w:tc>
        <w:tc>
          <w:tcPr>
            <w:tcW w:w="92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7.27%</w:t>
            </w:r>
          </w:p>
        </w:tc>
        <w:tc>
          <w:tcPr>
            <w:tcW w:w="36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tcPr>
          <w:p>
            <w:pPr>
              <w:spacing w:after="0"/>
              <w:rPr>
                <w:sz w:val="9"/>
                <w:szCs w:val="9"/>
                <w:color w:val="auto"/>
              </w:rPr>
            </w:pPr>
          </w:p>
        </w:tc>
        <w:tc>
          <w:tcPr>
            <w:tcW w:w="94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40"/>
              <w:spacing w:after="0" w:line="106" w:lineRule="exact"/>
              <w:rPr>
                <w:sz w:val="20"/>
                <w:szCs w:val="20"/>
                <w:color w:val="auto"/>
              </w:rPr>
            </w:pPr>
            <w:r>
              <w:rPr>
                <w:rFonts w:ascii="Arial" w:cs="Arial" w:eastAsia="Arial" w:hAnsi="Arial"/>
                <w:sz w:val="10"/>
                <w:szCs w:val="10"/>
                <w:color w:val="auto"/>
              </w:rPr>
              <w:t>4.00%</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3.06%</w:t>
            </w:r>
          </w:p>
        </w:tc>
        <w:tc>
          <w:tcPr>
            <w:tcW w:w="7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Mexican Peso</w:t>
            </w:r>
          </w:p>
        </w:tc>
        <w:tc>
          <w:tcPr>
            <w:tcW w:w="8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94,020</w:t>
            </w:r>
          </w:p>
        </w:tc>
        <w:tc>
          <w:tcPr>
            <w:tcW w:w="1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9,764</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7,984</w:t>
            </w:r>
          </w:p>
        </w:tc>
        <w:tc>
          <w:tcPr>
            <w:tcW w:w="360" w:type="dxa"/>
            <w:vAlign w:val="bottom"/>
            <w:shd w:val="clear" w:color="auto" w:fill="CCEEFF"/>
          </w:tcPr>
          <w:p>
            <w:pPr>
              <w:spacing w:after="0"/>
              <w:rPr>
                <w:sz w:val="9"/>
                <w:szCs w:val="9"/>
                <w:color w:val="auto"/>
              </w:rPr>
            </w:pPr>
          </w:p>
        </w:tc>
        <w:tc>
          <w:tcPr>
            <w:tcW w:w="560" w:type="dxa"/>
            <w:vAlign w:val="bottom"/>
            <w:gridSpan w:val="2"/>
            <w:shd w:val="clear" w:color="auto" w:fill="CCEEFF"/>
          </w:tcPr>
          <w:p>
            <w:pPr>
              <w:jc w:val="right"/>
              <w:ind w:right="100"/>
              <w:spacing w:after="0" w:line="106" w:lineRule="exact"/>
              <w:rPr>
                <w:sz w:val="20"/>
                <w:szCs w:val="20"/>
                <w:color w:val="auto"/>
              </w:rPr>
            </w:pPr>
            <w:r>
              <w:rPr>
                <w:rFonts w:ascii="Arial" w:cs="Arial" w:eastAsia="Arial" w:hAnsi="Arial"/>
                <w:sz w:val="10"/>
                <w:szCs w:val="10"/>
                <w:color w:val="auto"/>
              </w:rPr>
              <w:t>3,875</w:t>
            </w:r>
          </w:p>
        </w:tc>
        <w:tc>
          <w:tcPr>
            <w:tcW w:w="94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533</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100"/>
              <w:spacing w:after="0" w:line="106" w:lineRule="exact"/>
              <w:rPr>
                <w:sz w:val="20"/>
                <w:szCs w:val="20"/>
                <w:color w:val="auto"/>
              </w:rPr>
            </w:pPr>
            <w:r>
              <w:rPr>
                <w:rFonts w:ascii="Arial" w:cs="Arial" w:eastAsia="Arial" w:hAnsi="Arial"/>
                <w:sz w:val="10"/>
                <w:szCs w:val="10"/>
                <w:color w:val="auto"/>
              </w:rPr>
              <w:t>116,176</w:t>
            </w:r>
          </w:p>
        </w:tc>
        <w:tc>
          <w:tcPr>
            <w:tcW w:w="90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130,667</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ind w:left="100"/>
              <w:spacing w:after="0" w:line="106" w:lineRule="exact"/>
              <w:rPr>
                <w:sz w:val="20"/>
                <w:szCs w:val="20"/>
                <w:color w:val="auto"/>
              </w:rPr>
            </w:pPr>
            <w:r>
              <w:rPr>
                <w:rFonts w:ascii="Arial" w:cs="Arial" w:eastAsia="Arial" w:hAnsi="Arial"/>
                <w:sz w:val="10"/>
                <w:szCs w:val="10"/>
                <w:color w:val="auto"/>
              </w:rPr>
              <w:t>Average fixed rate</w:t>
            </w:r>
          </w:p>
        </w:tc>
        <w:tc>
          <w:tcPr>
            <w:tcW w:w="920" w:type="dxa"/>
            <w:vAlign w:val="bottom"/>
            <w:gridSpan w:val="2"/>
          </w:tcPr>
          <w:p>
            <w:pPr>
              <w:jc w:val="right"/>
              <w:ind w:right="40"/>
              <w:spacing w:after="0" w:line="106" w:lineRule="exact"/>
              <w:rPr>
                <w:sz w:val="20"/>
                <w:szCs w:val="20"/>
                <w:color w:val="auto"/>
              </w:rPr>
            </w:pPr>
            <w:r>
              <w:rPr>
                <w:rFonts w:ascii="Arial" w:cs="Arial" w:eastAsia="Arial" w:hAnsi="Arial"/>
                <w:sz w:val="10"/>
                <w:szCs w:val="10"/>
                <w:color w:val="auto"/>
              </w:rPr>
              <w:t>9.44%</w:t>
            </w:r>
          </w:p>
        </w:tc>
        <w:tc>
          <w:tcPr>
            <w:tcW w:w="92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8.43%</w:t>
            </w:r>
          </w:p>
        </w:tc>
        <w:tc>
          <w:tcPr>
            <w:tcW w:w="92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8.22%</w:t>
            </w:r>
          </w:p>
        </w:tc>
        <w:tc>
          <w:tcPr>
            <w:tcW w:w="360" w:type="dxa"/>
            <w:vAlign w:val="bottom"/>
          </w:tcPr>
          <w:p>
            <w:pPr>
              <w:spacing w:after="0"/>
              <w:rPr>
                <w:sz w:val="9"/>
                <w:szCs w:val="9"/>
                <w:color w:val="auto"/>
              </w:rPr>
            </w:pPr>
          </w:p>
        </w:tc>
        <w:tc>
          <w:tcPr>
            <w:tcW w:w="56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9.14%</w:t>
            </w:r>
          </w:p>
        </w:tc>
        <w:tc>
          <w:tcPr>
            <w:tcW w:w="940" w:type="dxa"/>
            <w:vAlign w:val="bottom"/>
            <w:gridSpan w:val="2"/>
          </w:tcPr>
          <w:p>
            <w:pPr>
              <w:jc w:val="right"/>
              <w:ind w:right="40"/>
              <w:spacing w:after="0" w:line="106" w:lineRule="exact"/>
              <w:rPr>
                <w:sz w:val="20"/>
                <w:szCs w:val="20"/>
                <w:color w:val="auto"/>
              </w:rPr>
            </w:pPr>
            <w:r>
              <w:rPr>
                <w:rFonts w:ascii="Arial" w:cs="Arial" w:eastAsia="Arial" w:hAnsi="Arial"/>
                <w:sz w:val="10"/>
                <w:szCs w:val="10"/>
                <w:color w:val="auto"/>
              </w:rPr>
              <w:t>11.65%</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9.27%</w:t>
            </w:r>
          </w:p>
        </w:tc>
        <w:tc>
          <w:tcPr>
            <w:tcW w:w="7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spacing w:after="0" w:line="106" w:lineRule="exact"/>
              <w:rPr>
                <w:sz w:val="20"/>
                <w:szCs w:val="20"/>
                <w:color w:val="auto"/>
              </w:rPr>
            </w:pPr>
            <w:r>
              <w:rPr>
                <w:rFonts w:ascii="Arial" w:cs="Arial" w:eastAsia="Arial" w:hAnsi="Arial"/>
                <w:sz w:val="10"/>
                <w:szCs w:val="10"/>
                <w:color w:val="auto"/>
              </w:rPr>
              <w:t>Floating rate</w:t>
            </w: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36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8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ind w:left="100"/>
              <w:spacing w:after="0" w:line="106" w:lineRule="exact"/>
              <w:rPr>
                <w:sz w:val="20"/>
                <w:szCs w:val="20"/>
                <w:color w:val="auto"/>
              </w:rPr>
            </w:pPr>
            <w:r>
              <w:rPr>
                <w:rFonts w:ascii="Arial" w:cs="Arial" w:eastAsia="Arial" w:hAnsi="Arial"/>
                <w:sz w:val="10"/>
                <w:szCs w:val="10"/>
                <w:color w:val="auto"/>
              </w:rPr>
              <w:t>U.S. Dollars</w:t>
            </w:r>
          </w:p>
        </w:tc>
        <w:tc>
          <w:tcPr>
            <w:tcW w:w="800" w:type="dxa"/>
            <w:vAlign w:val="bottom"/>
          </w:tcPr>
          <w:p>
            <w:pPr>
              <w:jc w:val="right"/>
              <w:spacing w:after="0" w:line="106" w:lineRule="exact"/>
              <w:rPr>
                <w:sz w:val="20"/>
                <w:szCs w:val="20"/>
                <w:color w:val="auto"/>
              </w:rPr>
            </w:pPr>
            <w:r>
              <w:rPr>
                <w:rFonts w:ascii="Arial" w:cs="Arial" w:eastAsia="Arial" w:hAnsi="Arial"/>
                <w:sz w:val="10"/>
                <w:szCs w:val="10"/>
                <w:color w:val="auto"/>
              </w:rPr>
              <w:t>2,014,535</w:t>
            </w:r>
          </w:p>
        </w:tc>
        <w:tc>
          <w:tcPr>
            <w:tcW w:w="120" w:type="dxa"/>
            <w:vAlign w:val="bottom"/>
          </w:tcPr>
          <w:p>
            <w:pPr>
              <w:spacing w:after="0"/>
              <w:rPr>
                <w:sz w:val="9"/>
                <w:szCs w:val="9"/>
                <w:color w:val="auto"/>
              </w:rPr>
            </w:pP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535,568</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239,474</w:t>
            </w:r>
          </w:p>
        </w:tc>
        <w:tc>
          <w:tcPr>
            <w:tcW w:w="36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117,753</w:t>
            </w:r>
          </w:p>
        </w:tc>
        <w:tc>
          <w:tcPr>
            <w:tcW w:w="100" w:type="dxa"/>
            <w:vAlign w:val="bottom"/>
          </w:tcPr>
          <w:p>
            <w:pPr>
              <w:spacing w:after="0"/>
              <w:rPr>
                <w:sz w:val="9"/>
                <w:szCs w:val="9"/>
                <w:color w:val="auto"/>
              </w:rPr>
            </w:pPr>
          </w:p>
        </w:tc>
        <w:tc>
          <w:tcPr>
            <w:tcW w:w="94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106,524</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12,835</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3,026,689</w:t>
            </w:r>
          </w:p>
        </w:tc>
        <w:tc>
          <w:tcPr>
            <w:tcW w:w="90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3,103,544</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Average floating rate</w:t>
            </w:r>
          </w:p>
        </w:tc>
        <w:tc>
          <w:tcPr>
            <w:tcW w:w="920" w:type="dxa"/>
            <w:vAlign w:val="bottom"/>
            <w:gridSpan w:val="2"/>
            <w:shd w:val="clear" w:color="auto" w:fill="CCEEFF"/>
          </w:tcPr>
          <w:p>
            <w:pPr>
              <w:jc w:val="right"/>
              <w:ind w:right="40"/>
              <w:spacing w:after="0" w:line="106" w:lineRule="exact"/>
              <w:rPr>
                <w:sz w:val="20"/>
                <w:szCs w:val="20"/>
                <w:color w:val="auto"/>
              </w:rPr>
            </w:pPr>
            <w:r>
              <w:rPr>
                <w:rFonts w:ascii="Arial" w:cs="Arial" w:eastAsia="Arial" w:hAnsi="Arial"/>
                <w:sz w:val="10"/>
                <w:szCs w:val="10"/>
                <w:color w:val="auto"/>
              </w:rPr>
              <w:t>3.62%</w:t>
            </w:r>
          </w:p>
        </w:tc>
        <w:tc>
          <w:tcPr>
            <w:tcW w:w="92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4.90%</w:t>
            </w:r>
          </w:p>
        </w:tc>
        <w:tc>
          <w:tcPr>
            <w:tcW w:w="92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4.87%</w:t>
            </w:r>
          </w:p>
        </w:tc>
        <w:tc>
          <w:tcPr>
            <w:tcW w:w="360" w:type="dxa"/>
            <w:vAlign w:val="bottom"/>
            <w:shd w:val="clear" w:color="auto" w:fill="CCEEFF"/>
          </w:tcPr>
          <w:p>
            <w:pPr>
              <w:spacing w:after="0"/>
              <w:rPr>
                <w:sz w:val="9"/>
                <w:szCs w:val="9"/>
                <w:color w:val="auto"/>
              </w:rPr>
            </w:pPr>
          </w:p>
        </w:tc>
        <w:tc>
          <w:tcPr>
            <w:tcW w:w="56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5.68%</w:t>
            </w:r>
          </w:p>
        </w:tc>
        <w:tc>
          <w:tcPr>
            <w:tcW w:w="940" w:type="dxa"/>
            <w:vAlign w:val="bottom"/>
            <w:gridSpan w:val="2"/>
            <w:shd w:val="clear" w:color="auto" w:fill="CCEEFF"/>
          </w:tcPr>
          <w:p>
            <w:pPr>
              <w:jc w:val="right"/>
              <w:ind w:right="40"/>
              <w:spacing w:after="0" w:line="106" w:lineRule="exact"/>
              <w:rPr>
                <w:sz w:val="20"/>
                <w:szCs w:val="20"/>
                <w:color w:val="auto"/>
              </w:rPr>
            </w:pPr>
            <w:r>
              <w:rPr>
                <w:rFonts w:ascii="Arial" w:cs="Arial" w:eastAsia="Arial" w:hAnsi="Arial"/>
                <w:sz w:val="10"/>
                <w:szCs w:val="10"/>
                <w:color w:val="auto"/>
              </w:rPr>
              <w:t>4.24%</w:t>
            </w:r>
          </w:p>
        </w:tc>
        <w:tc>
          <w:tcPr>
            <w:tcW w:w="920" w:type="dxa"/>
            <w:vAlign w:val="bottom"/>
            <w:gridSpan w:val="2"/>
            <w:shd w:val="clear" w:color="auto" w:fill="CCEEFF"/>
          </w:tcPr>
          <w:p>
            <w:pPr>
              <w:jc w:val="right"/>
              <w:ind w:right="40"/>
              <w:spacing w:after="0" w:line="106" w:lineRule="exact"/>
              <w:rPr>
                <w:sz w:val="20"/>
                <w:szCs w:val="20"/>
                <w:color w:val="auto"/>
              </w:rPr>
            </w:pPr>
            <w:r>
              <w:rPr>
                <w:rFonts w:ascii="Arial" w:cs="Arial" w:eastAsia="Arial" w:hAnsi="Arial"/>
                <w:sz w:val="10"/>
                <w:szCs w:val="10"/>
                <w:color w:val="auto"/>
              </w:rPr>
              <w:t>5.12%</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4.06%</w:t>
            </w: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ind w:left="100"/>
              <w:spacing w:after="0" w:line="106" w:lineRule="exact"/>
              <w:rPr>
                <w:sz w:val="20"/>
                <w:szCs w:val="20"/>
                <w:color w:val="auto"/>
              </w:rPr>
            </w:pPr>
            <w:r>
              <w:rPr>
                <w:rFonts w:ascii="Arial" w:cs="Arial" w:eastAsia="Arial" w:hAnsi="Arial"/>
                <w:sz w:val="10"/>
                <w:szCs w:val="10"/>
                <w:color w:val="auto"/>
              </w:rPr>
              <w:t>Mexican Peso</w:t>
            </w:r>
          </w:p>
        </w:tc>
        <w:tc>
          <w:tcPr>
            <w:tcW w:w="800" w:type="dxa"/>
            <w:vAlign w:val="bottom"/>
          </w:tcPr>
          <w:p>
            <w:pPr>
              <w:jc w:val="right"/>
              <w:spacing w:after="0" w:line="106" w:lineRule="exact"/>
              <w:rPr>
                <w:sz w:val="20"/>
                <w:szCs w:val="20"/>
                <w:color w:val="auto"/>
              </w:rPr>
            </w:pPr>
            <w:r>
              <w:rPr>
                <w:rFonts w:ascii="Arial" w:cs="Arial" w:eastAsia="Arial" w:hAnsi="Arial"/>
                <w:sz w:val="10"/>
                <w:szCs w:val="10"/>
                <w:color w:val="auto"/>
              </w:rPr>
              <w:t>46,555</w:t>
            </w:r>
          </w:p>
        </w:tc>
        <w:tc>
          <w:tcPr>
            <w:tcW w:w="120" w:type="dxa"/>
            <w:vAlign w:val="bottom"/>
          </w:tcPr>
          <w:p>
            <w:pPr>
              <w:spacing w:after="0"/>
              <w:rPr>
                <w:sz w:val="9"/>
                <w:szCs w:val="9"/>
                <w:color w:val="auto"/>
              </w:rPr>
            </w:pP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15,295</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18,346</w:t>
            </w:r>
          </w:p>
        </w:tc>
        <w:tc>
          <w:tcPr>
            <w:tcW w:w="360" w:type="dxa"/>
            <w:vAlign w:val="bottom"/>
          </w:tcPr>
          <w:p>
            <w:pPr>
              <w:spacing w:after="0"/>
              <w:rPr>
                <w:sz w:val="9"/>
                <w:szCs w:val="9"/>
                <w:color w:val="auto"/>
              </w:rPr>
            </w:pPr>
          </w:p>
        </w:tc>
        <w:tc>
          <w:tcPr>
            <w:tcW w:w="56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14,344</w:t>
            </w:r>
          </w:p>
        </w:tc>
        <w:tc>
          <w:tcPr>
            <w:tcW w:w="94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3,447</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2,473</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100,460</w:t>
            </w:r>
          </w:p>
        </w:tc>
        <w:tc>
          <w:tcPr>
            <w:tcW w:w="90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105,161</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Average floating rate</w:t>
            </w:r>
          </w:p>
        </w:tc>
        <w:tc>
          <w:tcPr>
            <w:tcW w:w="920" w:type="dxa"/>
            <w:vAlign w:val="bottom"/>
            <w:gridSpan w:val="2"/>
            <w:shd w:val="clear" w:color="auto" w:fill="CCEEFF"/>
          </w:tcPr>
          <w:p>
            <w:pPr>
              <w:jc w:val="right"/>
              <w:ind w:right="40"/>
              <w:spacing w:after="0" w:line="106" w:lineRule="exact"/>
              <w:rPr>
                <w:sz w:val="20"/>
                <w:szCs w:val="20"/>
                <w:color w:val="auto"/>
              </w:rPr>
            </w:pPr>
            <w:r>
              <w:rPr>
                <w:rFonts w:ascii="Arial" w:cs="Arial" w:eastAsia="Arial" w:hAnsi="Arial"/>
                <w:sz w:val="10"/>
                <w:szCs w:val="10"/>
                <w:color w:val="auto"/>
              </w:rPr>
              <w:t>9.68%</w:t>
            </w:r>
          </w:p>
        </w:tc>
        <w:tc>
          <w:tcPr>
            <w:tcW w:w="92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10.95%</w:t>
            </w:r>
          </w:p>
        </w:tc>
        <w:tc>
          <w:tcPr>
            <w:tcW w:w="92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10.79%</w:t>
            </w:r>
          </w:p>
        </w:tc>
        <w:tc>
          <w:tcPr>
            <w:tcW w:w="360" w:type="dxa"/>
            <w:vAlign w:val="bottom"/>
            <w:shd w:val="clear" w:color="auto" w:fill="CCEEFF"/>
          </w:tcPr>
          <w:p>
            <w:pPr>
              <w:spacing w:after="0"/>
              <w:rPr>
                <w:sz w:val="9"/>
                <w:szCs w:val="9"/>
                <w:color w:val="auto"/>
              </w:rPr>
            </w:pPr>
          </w:p>
        </w:tc>
        <w:tc>
          <w:tcPr>
            <w:tcW w:w="56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10.85%</w:t>
            </w:r>
          </w:p>
        </w:tc>
        <w:tc>
          <w:tcPr>
            <w:tcW w:w="940" w:type="dxa"/>
            <w:vAlign w:val="bottom"/>
            <w:gridSpan w:val="2"/>
            <w:shd w:val="clear" w:color="auto" w:fill="CCEEFF"/>
          </w:tcPr>
          <w:p>
            <w:pPr>
              <w:jc w:val="right"/>
              <w:ind w:right="40"/>
              <w:spacing w:after="0" w:line="106" w:lineRule="exact"/>
              <w:rPr>
                <w:sz w:val="20"/>
                <w:szCs w:val="20"/>
                <w:color w:val="auto"/>
              </w:rPr>
            </w:pPr>
            <w:r>
              <w:rPr>
                <w:rFonts w:ascii="Arial" w:cs="Arial" w:eastAsia="Arial" w:hAnsi="Arial"/>
                <w:sz w:val="10"/>
                <w:szCs w:val="10"/>
                <w:color w:val="auto"/>
              </w:rPr>
              <w:t>10.87%</w:t>
            </w:r>
          </w:p>
        </w:tc>
        <w:tc>
          <w:tcPr>
            <w:tcW w:w="920" w:type="dxa"/>
            <w:vAlign w:val="bottom"/>
            <w:gridSpan w:val="2"/>
            <w:shd w:val="clear" w:color="auto" w:fill="CCEEFF"/>
          </w:tcPr>
          <w:p>
            <w:pPr>
              <w:jc w:val="right"/>
              <w:ind w:right="40"/>
              <w:spacing w:after="0" w:line="106" w:lineRule="exact"/>
              <w:rPr>
                <w:sz w:val="20"/>
                <w:szCs w:val="20"/>
                <w:color w:val="auto"/>
              </w:rPr>
            </w:pPr>
            <w:r>
              <w:rPr>
                <w:rFonts w:ascii="Arial" w:cs="Arial" w:eastAsia="Arial" w:hAnsi="Arial"/>
                <w:sz w:val="10"/>
                <w:szCs w:val="10"/>
                <w:color w:val="auto"/>
              </w:rPr>
              <w:t>7.99%</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10.24%</w:t>
            </w: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restart"/>
          </w:tcPr>
          <w:p>
            <w:pPr>
              <w:spacing w:after="0"/>
              <w:rPr>
                <w:sz w:val="9"/>
                <w:szCs w:val="9"/>
                <w:color w:val="auto"/>
              </w:rPr>
            </w:pPr>
          </w:p>
        </w:tc>
        <w:tc>
          <w:tcPr>
            <w:tcW w:w="320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360" w:type="dxa"/>
            <w:vAlign w:val="bottom"/>
          </w:tcPr>
          <w:p>
            <w:pPr>
              <w:spacing w:after="0"/>
              <w:rPr>
                <w:sz w:val="9"/>
                <w:szCs w:val="9"/>
                <w:color w:val="auto"/>
              </w:rPr>
            </w:pPr>
          </w:p>
        </w:tc>
        <w:tc>
          <w:tcPr>
            <w:tcW w:w="460" w:type="dxa"/>
            <w:vAlign w:val="bottom"/>
          </w:tcPr>
          <w:p>
            <w:pPr>
              <w:spacing w:after="0"/>
              <w:rPr>
                <w:sz w:val="9"/>
                <w:szCs w:val="9"/>
                <w:color w:val="auto"/>
              </w:rPr>
            </w:pPr>
          </w:p>
        </w:tc>
        <w:tc>
          <w:tcPr>
            <w:tcW w:w="100" w:type="dxa"/>
            <w:vAlign w:val="bottom"/>
          </w:tcPr>
          <w:p>
            <w:pPr>
              <w:spacing w:after="0"/>
              <w:rPr>
                <w:sz w:val="9"/>
                <w:szCs w:val="9"/>
                <w:color w:val="auto"/>
              </w:rPr>
            </w:pPr>
          </w:p>
        </w:tc>
        <w:tc>
          <w:tcPr>
            <w:tcW w:w="82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00" w:type="dxa"/>
            <w:vAlign w:val="bottom"/>
          </w:tcPr>
          <w:p>
            <w:pPr>
              <w:spacing w:after="0"/>
              <w:rPr>
                <w:sz w:val="9"/>
                <w:szCs w:val="9"/>
                <w:color w:val="auto"/>
              </w:rPr>
            </w:pPr>
          </w:p>
        </w:tc>
        <w:tc>
          <w:tcPr>
            <w:tcW w:w="7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continue"/>
          </w:tcPr>
          <w:p>
            <w:pPr>
              <w:spacing w:after="0"/>
              <w:rPr>
                <w:sz w:val="9"/>
                <w:szCs w:val="9"/>
                <w:color w:val="auto"/>
              </w:rPr>
            </w:pPr>
          </w:p>
        </w:tc>
        <w:tc>
          <w:tcPr>
            <w:tcW w:w="3200" w:type="dxa"/>
            <w:vAlign w:val="bottom"/>
            <w:shd w:val="clear" w:color="auto" w:fill="CCEEFF"/>
          </w:tcPr>
          <w:p>
            <w:pPr>
              <w:spacing w:after="0" w:line="106" w:lineRule="exact"/>
              <w:rPr>
                <w:sz w:val="20"/>
                <w:szCs w:val="20"/>
                <w:color w:val="auto"/>
              </w:rPr>
            </w:pPr>
            <w:r>
              <w:rPr>
                <w:rFonts w:ascii="Arial" w:cs="Arial" w:eastAsia="Arial" w:hAnsi="Arial"/>
                <w:sz w:val="10"/>
                <w:szCs w:val="10"/>
                <w:b w:val="1"/>
                <w:bCs w:val="1"/>
                <w:color w:val="auto"/>
              </w:rPr>
              <w:t>LIABILITIES:</w:t>
            </w: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36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8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200" w:type="dxa"/>
            <w:vAlign w:val="bottom"/>
          </w:tcPr>
          <w:p>
            <w:pPr>
              <w:spacing w:after="0" w:line="135" w:lineRule="exact"/>
              <w:rPr>
                <w:sz w:val="20"/>
                <w:szCs w:val="20"/>
                <w:color w:val="auto"/>
              </w:rPr>
            </w:pPr>
            <w:r>
              <w:rPr>
                <w:rFonts w:ascii="Arial" w:cs="Arial" w:eastAsia="Arial" w:hAnsi="Arial"/>
                <w:sz w:val="9"/>
                <w:szCs w:val="9"/>
                <w:b w:val="1"/>
                <w:bCs w:val="1"/>
                <w:color w:val="auto"/>
              </w:rPr>
              <w:t xml:space="preserve">Borrowings and Placements </w:t>
            </w:r>
            <w:r>
              <w:rPr>
                <w:rFonts w:ascii="Arial" w:cs="Arial" w:eastAsia="Arial" w:hAnsi="Arial"/>
                <w:sz w:val="15"/>
                <w:szCs w:val="15"/>
                <w:b w:val="1"/>
                <w:bCs w:val="1"/>
                <w:color w:val="auto"/>
                <w:vertAlign w:val="superscript"/>
              </w:rPr>
              <w:t>(1)</w:t>
            </w:r>
          </w:p>
        </w:tc>
        <w:tc>
          <w:tcPr>
            <w:tcW w:w="8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spacing w:after="0" w:line="106" w:lineRule="exact"/>
              <w:rPr>
                <w:sz w:val="20"/>
                <w:szCs w:val="20"/>
                <w:color w:val="auto"/>
              </w:rPr>
            </w:pPr>
            <w:r>
              <w:rPr>
                <w:rFonts w:ascii="Arial" w:cs="Arial" w:eastAsia="Arial" w:hAnsi="Arial"/>
                <w:sz w:val="10"/>
                <w:szCs w:val="10"/>
                <w:color w:val="auto"/>
              </w:rPr>
              <w:t>Fixed rate</w:t>
            </w: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36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82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80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ind w:left="100"/>
              <w:spacing w:after="0" w:line="106" w:lineRule="exact"/>
              <w:rPr>
                <w:sz w:val="20"/>
                <w:szCs w:val="20"/>
                <w:color w:val="auto"/>
              </w:rPr>
            </w:pPr>
            <w:r>
              <w:rPr>
                <w:rFonts w:ascii="Arial" w:cs="Arial" w:eastAsia="Arial" w:hAnsi="Arial"/>
                <w:sz w:val="10"/>
                <w:szCs w:val="10"/>
                <w:color w:val="auto"/>
              </w:rPr>
              <w:t>U.S. Dollars</w:t>
            </w:r>
          </w:p>
        </w:tc>
        <w:tc>
          <w:tcPr>
            <w:tcW w:w="800" w:type="dxa"/>
            <w:vAlign w:val="bottom"/>
          </w:tcPr>
          <w:p>
            <w:pPr>
              <w:jc w:val="right"/>
              <w:spacing w:after="0" w:line="106" w:lineRule="exact"/>
              <w:rPr>
                <w:sz w:val="20"/>
                <w:szCs w:val="20"/>
                <w:color w:val="auto"/>
              </w:rPr>
            </w:pPr>
            <w:r>
              <w:rPr>
                <w:rFonts w:ascii="Arial" w:cs="Arial" w:eastAsia="Arial" w:hAnsi="Arial"/>
                <w:sz w:val="10"/>
                <w:szCs w:val="10"/>
                <w:color w:val="auto"/>
              </w:rPr>
              <w:t>429,461</w:t>
            </w:r>
          </w:p>
        </w:tc>
        <w:tc>
          <w:tcPr>
            <w:tcW w:w="120" w:type="dxa"/>
            <w:vAlign w:val="bottom"/>
          </w:tcPr>
          <w:p>
            <w:pPr>
              <w:spacing w:after="0"/>
              <w:rPr>
                <w:sz w:val="9"/>
                <w:szCs w:val="9"/>
                <w:color w:val="auto"/>
              </w:rPr>
            </w:pP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15,000</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345,199</w:t>
            </w:r>
          </w:p>
        </w:tc>
        <w:tc>
          <w:tcPr>
            <w:tcW w:w="360" w:type="dxa"/>
            <w:vAlign w:val="bottom"/>
          </w:tcPr>
          <w:p>
            <w:pPr>
              <w:spacing w:after="0"/>
              <w:rPr>
                <w:sz w:val="9"/>
                <w:szCs w:val="9"/>
                <w:color w:val="auto"/>
              </w:rPr>
            </w:pPr>
          </w:p>
        </w:tc>
        <w:tc>
          <w:tcPr>
            <w:tcW w:w="56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4,819</w:t>
            </w:r>
          </w:p>
        </w:tc>
        <w:tc>
          <w:tcPr>
            <w:tcW w:w="94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794,479</w:t>
            </w:r>
          </w:p>
        </w:tc>
        <w:tc>
          <w:tcPr>
            <w:tcW w:w="90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799,196</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Average fixed rate</w:t>
            </w:r>
          </w:p>
        </w:tc>
        <w:tc>
          <w:tcPr>
            <w:tcW w:w="920" w:type="dxa"/>
            <w:vAlign w:val="bottom"/>
            <w:gridSpan w:val="2"/>
            <w:shd w:val="clear" w:color="auto" w:fill="CCEEFF"/>
          </w:tcPr>
          <w:p>
            <w:pPr>
              <w:jc w:val="right"/>
              <w:ind w:right="40"/>
              <w:spacing w:after="0" w:line="106" w:lineRule="exact"/>
              <w:rPr>
                <w:sz w:val="20"/>
                <w:szCs w:val="20"/>
                <w:color w:val="auto"/>
              </w:rPr>
            </w:pPr>
            <w:r>
              <w:rPr>
                <w:rFonts w:ascii="Arial" w:cs="Arial" w:eastAsia="Arial" w:hAnsi="Arial"/>
                <w:sz w:val="10"/>
                <w:szCs w:val="10"/>
                <w:color w:val="auto"/>
              </w:rPr>
              <w:t>1.77%</w:t>
            </w:r>
          </w:p>
        </w:tc>
        <w:tc>
          <w:tcPr>
            <w:tcW w:w="92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2.25%</w:t>
            </w:r>
          </w:p>
        </w:tc>
        <w:tc>
          <w:tcPr>
            <w:tcW w:w="92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3.30%</w:t>
            </w:r>
          </w:p>
        </w:tc>
        <w:tc>
          <w:tcPr>
            <w:tcW w:w="360" w:type="dxa"/>
            <w:vAlign w:val="bottom"/>
            <w:shd w:val="clear" w:color="auto" w:fill="CCEEFF"/>
          </w:tcPr>
          <w:p>
            <w:pPr>
              <w:spacing w:after="0"/>
              <w:rPr>
                <w:sz w:val="9"/>
                <w:szCs w:val="9"/>
                <w:color w:val="auto"/>
              </w:rPr>
            </w:pPr>
          </w:p>
        </w:tc>
        <w:tc>
          <w:tcPr>
            <w:tcW w:w="56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2.96%</w:t>
            </w:r>
          </w:p>
        </w:tc>
        <w:tc>
          <w:tcPr>
            <w:tcW w:w="94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2.45%</w:t>
            </w: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ind w:left="100"/>
              <w:spacing w:after="0" w:line="106" w:lineRule="exact"/>
              <w:rPr>
                <w:sz w:val="20"/>
                <w:szCs w:val="20"/>
                <w:color w:val="auto"/>
              </w:rPr>
            </w:pPr>
            <w:r>
              <w:rPr>
                <w:rFonts w:ascii="Arial" w:cs="Arial" w:eastAsia="Arial" w:hAnsi="Arial"/>
                <w:sz w:val="10"/>
                <w:szCs w:val="10"/>
                <w:color w:val="auto"/>
              </w:rPr>
              <w:t>Mexican Peso</w:t>
            </w:r>
          </w:p>
        </w:tc>
        <w:tc>
          <w:tcPr>
            <w:tcW w:w="800" w:type="dxa"/>
            <w:vAlign w:val="bottom"/>
          </w:tcPr>
          <w:p>
            <w:pPr>
              <w:jc w:val="right"/>
              <w:spacing w:after="0" w:line="106" w:lineRule="exact"/>
              <w:rPr>
                <w:sz w:val="20"/>
                <w:szCs w:val="20"/>
                <w:color w:val="auto"/>
              </w:rPr>
            </w:pPr>
            <w:r>
              <w:rPr>
                <w:rFonts w:ascii="Arial" w:cs="Arial" w:eastAsia="Arial" w:hAnsi="Arial"/>
                <w:sz w:val="10"/>
                <w:szCs w:val="10"/>
                <w:color w:val="auto"/>
              </w:rPr>
              <w:t>20,715</w:t>
            </w:r>
          </w:p>
        </w:tc>
        <w:tc>
          <w:tcPr>
            <w:tcW w:w="120" w:type="dxa"/>
            <w:vAlign w:val="bottom"/>
          </w:tcPr>
          <w:p>
            <w:pPr>
              <w:spacing w:after="0"/>
              <w:rPr>
                <w:sz w:val="9"/>
                <w:szCs w:val="9"/>
                <w:color w:val="auto"/>
              </w:rPr>
            </w:pP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8,447</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6,957</w:t>
            </w:r>
          </w:p>
        </w:tc>
        <w:tc>
          <w:tcPr>
            <w:tcW w:w="360" w:type="dxa"/>
            <w:vAlign w:val="bottom"/>
          </w:tcPr>
          <w:p>
            <w:pPr>
              <w:spacing w:after="0"/>
              <w:rPr>
                <w:sz w:val="9"/>
                <w:szCs w:val="9"/>
                <w:color w:val="auto"/>
              </w:rPr>
            </w:pPr>
          </w:p>
        </w:tc>
        <w:tc>
          <w:tcPr>
            <w:tcW w:w="56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2,912</w:t>
            </w:r>
          </w:p>
        </w:tc>
        <w:tc>
          <w:tcPr>
            <w:tcW w:w="94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50</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39,081</w:t>
            </w:r>
          </w:p>
        </w:tc>
        <w:tc>
          <w:tcPr>
            <w:tcW w:w="90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42,546</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Average fixed rate</w:t>
            </w:r>
          </w:p>
        </w:tc>
        <w:tc>
          <w:tcPr>
            <w:tcW w:w="920" w:type="dxa"/>
            <w:vAlign w:val="bottom"/>
            <w:gridSpan w:val="2"/>
            <w:shd w:val="clear" w:color="auto" w:fill="CCEEFF"/>
          </w:tcPr>
          <w:p>
            <w:pPr>
              <w:jc w:val="right"/>
              <w:ind w:right="40"/>
              <w:spacing w:after="0" w:line="106" w:lineRule="exact"/>
              <w:rPr>
                <w:sz w:val="20"/>
                <w:szCs w:val="20"/>
                <w:color w:val="auto"/>
              </w:rPr>
            </w:pPr>
            <w:r>
              <w:rPr>
                <w:rFonts w:ascii="Arial" w:cs="Arial" w:eastAsia="Arial" w:hAnsi="Arial"/>
                <w:sz w:val="10"/>
                <w:szCs w:val="10"/>
                <w:color w:val="auto"/>
              </w:rPr>
              <w:t>7.04%</w:t>
            </w:r>
          </w:p>
        </w:tc>
        <w:tc>
          <w:tcPr>
            <w:tcW w:w="92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6.54%</w:t>
            </w:r>
          </w:p>
        </w:tc>
        <w:tc>
          <w:tcPr>
            <w:tcW w:w="92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6.96%</w:t>
            </w:r>
          </w:p>
        </w:tc>
        <w:tc>
          <w:tcPr>
            <w:tcW w:w="360" w:type="dxa"/>
            <w:vAlign w:val="bottom"/>
            <w:shd w:val="clear" w:color="auto" w:fill="CCEEFF"/>
          </w:tcPr>
          <w:p>
            <w:pPr>
              <w:spacing w:after="0"/>
              <w:rPr>
                <w:sz w:val="9"/>
                <w:szCs w:val="9"/>
                <w:color w:val="auto"/>
              </w:rPr>
            </w:pPr>
          </w:p>
        </w:tc>
        <w:tc>
          <w:tcPr>
            <w:tcW w:w="56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8.22%</w:t>
            </w:r>
          </w:p>
        </w:tc>
        <w:tc>
          <w:tcPr>
            <w:tcW w:w="940" w:type="dxa"/>
            <w:vAlign w:val="bottom"/>
            <w:gridSpan w:val="2"/>
            <w:shd w:val="clear" w:color="auto" w:fill="CCEEFF"/>
          </w:tcPr>
          <w:p>
            <w:pPr>
              <w:jc w:val="right"/>
              <w:ind w:right="40"/>
              <w:spacing w:after="0" w:line="106" w:lineRule="exact"/>
              <w:rPr>
                <w:sz w:val="20"/>
                <w:szCs w:val="20"/>
                <w:color w:val="auto"/>
              </w:rPr>
            </w:pPr>
            <w:r>
              <w:rPr>
                <w:rFonts w:ascii="Arial" w:cs="Arial" w:eastAsia="Arial" w:hAnsi="Arial"/>
                <w:sz w:val="10"/>
                <w:szCs w:val="10"/>
                <w:color w:val="auto"/>
              </w:rPr>
              <w:t>8.99%</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7.01%</w:t>
            </w: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ind w:left="100"/>
              <w:spacing w:after="0" w:line="106" w:lineRule="exact"/>
              <w:rPr>
                <w:sz w:val="20"/>
                <w:szCs w:val="20"/>
                <w:color w:val="auto"/>
              </w:rPr>
            </w:pPr>
            <w:r>
              <w:rPr>
                <w:rFonts w:ascii="Arial" w:cs="Arial" w:eastAsia="Arial" w:hAnsi="Arial"/>
                <w:sz w:val="10"/>
                <w:szCs w:val="10"/>
                <w:color w:val="auto"/>
              </w:rPr>
              <w:t>Euro Dollar</w:t>
            </w:r>
          </w:p>
        </w:tc>
        <w:tc>
          <w:tcPr>
            <w:tcW w:w="80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120" w:type="dxa"/>
            <w:vAlign w:val="bottom"/>
          </w:tcPr>
          <w:p>
            <w:pPr>
              <w:spacing w:after="0"/>
              <w:rPr>
                <w:sz w:val="9"/>
                <w:szCs w:val="9"/>
                <w:color w:val="auto"/>
              </w:rPr>
            </w:pP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36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tcPr>
          <w:p>
            <w:pPr>
              <w:spacing w:after="0"/>
              <w:rPr>
                <w:sz w:val="9"/>
                <w:szCs w:val="9"/>
                <w:color w:val="auto"/>
              </w:rPr>
            </w:pPr>
          </w:p>
        </w:tc>
        <w:tc>
          <w:tcPr>
            <w:tcW w:w="94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60,178</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60,178</w:t>
            </w:r>
          </w:p>
        </w:tc>
        <w:tc>
          <w:tcPr>
            <w:tcW w:w="90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61,434</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Average fixed rate</w:t>
            </w:r>
          </w:p>
        </w:tc>
        <w:tc>
          <w:tcPr>
            <w:tcW w:w="8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1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36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shd w:val="clear" w:color="auto" w:fill="CCEEFF"/>
          </w:tcPr>
          <w:p>
            <w:pPr>
              <w:spacing w:after="0"/>
              <w:rPr>
                <w:sz w:val="9"/>
                <w:szCs w:val="9"/>
                <w:color w:val="auto"/>
              </w:rPr>
            </w:pPr>
          </w:p>
        </w:tc>
        <w:tc>
          <w:tcPr>
            <w:tcW w:w="94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40"/>
              <w:spacing w:after="0" w:line="106" w:lineRule="exact"/>
              <w:rPr>
                <w:sz w:val="20"/>
                <w:szCs w:val="20"/>
                <w:color w:val="auto"/>
              </w:rPr>
            </w:pPr>
            <w:r>
              <w:rPr>
                <w:rFonts w:ascii="Arial" w:cs="Arial" w:eastAsia="Arial" w:hAnsi="Arial"/>
                <w:sz w:val="10"/>
                <w:szCs w:val="10"/>
                <w:color w:val="auto"/>
              </w:rPr>
              <w:t>3.74%</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3.74%</w:t>
            </w: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ind w:left="100"/>
              <w:spacing w:after="0" w:line="106" w:lineRule="exact"/>
              <w:rPr>
                <w:sz w:val="20"/>
                <w:szCs w:val="20"/>
                <w:color w:val="auto"/>
              </w:rPr>
            </w:pPr>
            <w:r>
              <w:rPr>
                <w:rFonts w:ascii="Arial" w:cs="Arial" w:eastAsia="Arial" w:hAnsi="Arial"/>
                <w:sz w:val="10"/>
                <w:szCs w:val="10"/>
                <w:color w:val="auto"/>
              </w:rPr>
              <w:t>Japanese Yen</w:t>
            </w:r>
          </w:p>
        </w:tc>
        <w:tc>
          <w:tcPr>
            <w:tcW w:w="800" w:type="dxa"/>
            <w:vAlign w:val="bottom"/>
          </w:tcPr>
          <w:p>
            <w:pPr>
              <w:jc w:val="right"/>
              <w:spacing w:after="0" w:line="106" w:lineRule="exact"/>
              <w:rPr>
                <w:sz w:val="20"/>
                <w:szCs w:val="20"/>
                <w:color w:val="auto"/>
              </w:rPr>
            </w:pPr>
            <w:r>
              <w:rPr>
                <w:rFonts w:ascii="Arial" w:cs="Arial" w:eastAsia="Arial" w:hAnsi="Arial"/>
                <w:sz w:val="10"/>
                <w:szCs w:val="10"/>
                <w:color w:val="auto"/>
              </w:rPr>
              <w:t>26,362</w:t>
            </w:r>
          </w:p>
        </w:tc>
        <w:tc>
          <w:tcPr>
            <w:tcW w:w="120" w:type="dxa"/>
            <w:vAlign w:val="bottom"/>
          </w:tcPr>
          <w:p>
            <w:pPr>
              <w:spacing w:after="0"/>
              <w:rPr>
                <w:sz w:val="9"/>
                <w:szCs w:val="9"/>
                <w:color w:val="auto"/>
              </w:rPr>
            </w:pP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72,349</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36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tcPr>
          <w:p>
            <w:pPr>
              <w:spacing w:after="0"/>
              <w:rPr>
                <w:sz w:val="9"/>
                <w:szCs w:val="9"/>
                <w:color w:val="auto"/>
              </w:rPr>
            </w:pPr>
          </w:p>
        </w:tc>
        <w:tc>
          <w:tcPr>
            <w:tcW w:w="94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98,711</w:t>
            </w:r>
          </w:p>
        </w:tc>
        <w:tc>
          <w:tcPr>
            <w:tcW w:w="90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96,663</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Average fixed rate</w:t>
            </w:r>
          </w:p>
        </w:tc>
        <w:tc>
          <w:tcPr>
            <w:tcW w:w="920" w:type="dxa"/>
            <w:vAlign w:val="bottom"/>
            <w:gridSpan w:val="2"/>
            <w:shd w:val="clear" w:color="auto" w:fill="CCEEFF"/>
          </w:tcPr>
          <w:p>
            <w:pPr>
              <w:jc w:val="right"/>
              <w:ind w:right="40"/>
              <w:spacing w:after="0" w:line="106" w:lineRule="exact"/>
              <w:rPr>
                <w:sz w:val="20"/>
                <w:szCs w:val="20"/>
                <w:color w:val="auto"/>
              </w:rPr>
            </w:pPr>
            <w:r>
              <w:rPr>
                <w:rFonts w:ascii="Arial" w:cs="Arial" w:eastAsia="Arial" w:hAnsi="Arial"/>
                <w:sz w:val="10"/>
                <w:szCs w:val="10"/>
                <w:color w:val="auto"/>
              </w:rPr>
              <w:t>0.71%</w:t>
            </w:r>
          </w:p>
        </w:tc>
        <w:tc>
          <w:tcPr>
            <w:tcW w:w="92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0.45%</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36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shd w:val="clear" w:color="auto" w:fill="CCEEFF"/>
          </w:tcPr>
          <w:p>
            <w:pPr>
              <w:spacing w:after="0"/>
              <w:rPr>
                <w:sz w:val="9"/>
                <w:szCs w:val="9"/>
                <w:color w:val="auto"/>
              </w:rPr>
            </w:pPr>
          </w:p>
        </w:tc>
        <w:tc>
          <w:tcPr>
            <w:tcW w:w="94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0.52%</w:t>
            </w: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ind w:left="100"/>
              <w:spacing w:after="0" w:line="106" w:lineRule="exact"/>
              <w:rPr>
                <w:sz w:val="20"/>
                <w:szCs w:val="20"/>
                <w:color w:val="auto"/>
              </w:rPr>
            </w:pPr>
            <w:r>
              <w:rPr>
                <w:rFonts w:ascii="Arial" w:cs="Arial" w:eastAsia="Arial" w:hAnsi="Arial"/>
                <w:sz w:val="10"/>
                <w:szCs w:val="10"/>
                <w:color w:val="auto"/>
              </w:rPr>
              <w:t>Australian Dollar</w:t>
            </w:r>
          </w:p>
        </w:tc>
        <w:tc>
          <w:tcPr>
            <w:tcW w:w="80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120" w:type="dxa"/>
            <w:vAlign w:val="bottom"/>
          </w:tcPr>
          <w:p>
            <w:pPr>
              <w:spacing w:after="0"/>
              <w:rPr>
                <w:sz w:val="9"/>
                <w:szCs w:val="9"/>
                <w:color w:val="auto"/>
              </w:rPr>
            </w:pP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23,436</w:t>
            </w:r>
          </w:p>
        </w:tc>
        <w:tc>
          <w:tcPr>
            <w:tcW w:w="36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tcPr>
          <w:p>
            <w:pPr>
              <w:spacing w:after="0"/>
              <w:rPr>
                <w:sz w:val="9"/>
                <w:szCs w:val="9"/>
                <w:color w:val="auto"/>
              </w:rPr>
            </w:pPr>
          </w:p>
        </w:tc>
        <w:tc>
          <w:tcPr>
            <w:tcW w:w="94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23,436</w:t>
            </w:r>
          </w:p>
        </w:tc>
        <w:tc>
          <w:tcPr>
            <w:tcW w:w="90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23,818</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Average fixed rate</w:t>
            </w:r>
          </w:p>
        </w:tc>
        <w:tc>
          <w:tcPr>
            <w:tcW w:w="8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1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3.33%</w:t>
            </w:r>
          </w:p>
        </w:tc>
        <w:tc>
          <w:tcPr>
            <w:tcW w:w="36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shd w:val="clear" w:color="auto" w:fill="CCEEFF"/>
          </w:tcPr>
          <w:p>
            <w:pPr>
              <w:spacing w:after="0"/>
              <w:rPr>
                <w:sz w:val="9"/>
                <w:szCs w:val="9"/>
                <w:color w:val="auto"/>
              </w:rPr>
            </w:pPr>
          </w:p>
        </w:tc>
        <w:tc>
          <w:tcPr>
            <w:tcW w:w="94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20"/>
              <w:spacing w:after="0" w:line="106" w:lineRule="exact"/>
              <w:rPr>
                <w:sz w:val="20"/>
                <w:szCs w:val="20"/>
                <w:color w:val="auto"/>
              </w:rPr>
            </w:pPr>
            <w:r>
              <w:rPr>
                <w:rFonts w:ascii="Arial" w:cs="Arial" w:eastAsia="Arial" w:hAnsi="Arial"/>
                <w:sz w:val="10"/>
                <w:szCs w:val="10"/>
                <w:color w:val="auto"/>
              </w:rPr>
              <w:t>3.33%</w:t>
            </w:r>
          </w:p>
        </w:tc>
        <w:tc>
          <w:tcPr>
            <w:tcW w:w="7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spacing w:after="0" w:line="106" w:lineRule="exact"/>
              <w:rPr>
                <w:sz w:val="20"/>
                <w:szCs w:val="20"/>
                <w:color w:val="auto"/>
              </w:rPr>
            </w:pPr>
            <w:r>
              <w:rPr>
                <w:rFonts w:ascii="Arial" w:cs="Arial" w:eastAsia="Arial" w:hAnsi="Arial"/>
                <w:sz w:val="10"/>
                <w:szCs w:val="10"/>
                <w:color w:val="auto"/>
              </w:rPr>
              <w:t>Floating rate</w:t>
            </w: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360" w:type="dxa"/>
            <w:vAlign w:val="bottom"/>
          </w:tcPr>
          <w:p>
            <w:pPr>
              <w:spacing w:after="0"/>
              <w:rPr>
                <w:sz w:val="9"/>
                <w:szCs w:val="9"/>
                <w:color w:val="auto"/>
              </w:rPr>
            </w:pPr>
          </w:p>
        </w:tc>
        <w:tc>
          <w:tcPr>
            <w:tcW w:w="460" w:type="dxa"/>
            <w:vAlign w:val="bottom"/>
          </w:tcPr>
          <w:p>
            <w:pPr>
              <w:spacing w:after="0"/>
              <w:rPr>
                <w:sz w:val="9"/>
                <w:szCs w:val="9"/>
                <w:color w:val="auto"/>
              </w:rPr>
            </w:pPr>
          </w:p>
        </w:tc>
        <w:tc>
          <w:tcPr>
            <w:tcW w:w="100" w:type="dxa"/>
            <w:vAlign w:val="bottom"/>
          </w:tcPr>
          <w:p>
            <w:pPr>
              <w:spacing w:after="0"/>
              <w:rPr>
                <w:sz w:val="9"/>
                <w:szCs w:val="9"/>
                <w:color w:val="auto"/>
              </w:rPr>
            </w:pPr>
          </w:p>
        </w:tc>
        <w:tc>
          <w:tcPr>
            <w:tcW w:w="82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tcPr>
          <w:p>
            <w:pPr>
              <w:spacing w:after="0"/>
              <w:rPr>
                <w:sz w:val="9"/>
                <w:szCs w:val="9"/>
                <w:color w:val="auto"/>
              </w:rPr>
            </w:pPr>
          </w:p>
        </w:tc>
        <w:tc>
          <w:tcPr>
            <w:tcW w:w="100" w:type="dxa"/>
            <w:vAlign w:val="bottom"/>
          </w:tcPr>
          <w:p>
            <w:pPr>
              <w:spacing w:after="0"/>
              <w:rPr>
                <w:sz w:val="9"/>
                <w:szCs w:val="9"/>
                <w:color w:val="auto"/>
              </w:rPr>
            </w:pPr>
          </w:p>
        </w:tc>
        <w:tc>
          <w:tcPr>
            <w:tcW w:w="7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U.S. Dollars</w:t>
            </w:r>
          </w:p>
        </w:tc>
        <w:tc>
          <w:tcPr>
            <w:tcW w:w="8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615,000</w:t>
            </w:r>
          </w:p>
        </w:tc>
        <w:tc>
          <w:tcPr>
            <w:tcW w:w="1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186,000</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360" w:type="dxa"/>
            <w:vAlign w:val="bottom"/>
            <w:shd w:val="clear" w:color="auto" w:fill="CCEEFF"/>
          </w:tcPr>
          <w:p>
            <w:pPr>
              <w:spacing w:after="0"/>
              <w:rPr>
                <w:sz w:val="9"/>
                <w:szCs w:val="9"/>
                <w:color w:val="auto"/>
              </w:rPr>
            </w:pPr>
          </w:p>
        </w:tc>
        <w:tc>
          <w:tcPr>
            <w:tcW w:w="560" w:type="dxa"/>
            <w:vAlign w:val="bottom"/>
            <w:gridSpan w:val="2"/>
            <w:shd w:val="clear" w:color="auto" w:fill="CCEEFF"/>
          </w:tcPr>
          <w:p>
            <w:pPr>
              <w:jc w:val="right"/>
              <w:ind w:right="100"/>
              <w:spacing w:after="0" w:line="106" w:lineRule="exact"/>
              <w:rPr>
                <w:sz w:val="20"/>
                <w:szCs w:val="20"/>
                <w:color w:val="auto"/>
              </w:rPr>
            </w:pPr>
            <w:r>
              <w:rPr>
                <w:rFonts w:ascii="Arial" w:cs="Arial" w:eastAsia="Arial" w:hAnsi="Arial"/>
                <w:sz w:val="10"/>
                <w:szCs w:val="10"/>
                <w:color w:val="auto"/>
              </w:rPr>
              <w:t>193,000</w:t>
            </w:r>
          </w:p>
        </w:tc>
        <w:tc>
          <w:tcPr>
            <w:tcW w:w="94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10,000</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100"/>
              <w:spacing w:after="0" w:line="106" w:lineRule="exact"/>
              <w:rPr>
                <w:sz w:val="20"/>
                <w:szCs w:val="20"/>
                <w:color w:val="auto"/>
              </w:rPr>
            </w:pPr>
            <w:r>
              <w:rPr>
                <w:rFonts w:ascii="Arial" w:cs="Arial" w:eastAsia="Arial" w:hAnsi="Arial"/>
                <w:sz w:val="10"/>
                <w:szCs w:val="10"/>
                <w:color w:val="auto"/>
              </w:rPr>
              <w:t>1,004,000</w:t>
            </w:r>
          </w:p>
        </w:tc>
        <w:tc>
          <w:tcPr>
            <w:tcW w:w="90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1,011,309</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tcPr>
          <w:p>
            <w:pPr>
              <w:ind w:left="100"/>
              <w:spacing w:after="0" w:line="106" w:lineRule="exact"/>
              <w:rPr>
                <w:sz w:val="20"/>
                <w:szCs w:val="20"/>
                <w:color w:val="auto"/>
              </w:rPr>
            </w:pPr>
            <w:r>
              <w:rPr>
                <w:rFonts w:ascii="Arial" w:cs="Arial" w:eastAsia="Arial" w:hAnsi="Arial"/>
                <w:sz w:val="10"/>
                <w:szCs w:val="10"/>
                <w:color w:val="auto"/>
              </w:rPr>
              <w:t>Average floating rate</w:t>
            </w:r>
          </w:p>
        </w:tc>
        <w:tc>
          <w:tcPr>
            <w:tcW w:w="920" w:type="dxa"/>
            <w:vAlign w:val="bottom"/>
            <w:gridSpan w:val="2"/>
          </w:tcPr>
          <w:p>
            <w:pPr>
              <w:jc w:val="right"/>
              <w:ind w:right="40"/>
              <w:spacing w:after="0" w:line="106" w:lineRule="exact"/>
              <w:rPr>
                <w:sz w:val="20"/>
                <w:szCs w:val="20"/>
                <w:color w:val="auto"/>
              </w:rPr>
            </w:pPr>
            <w:r>
              <w:rPr>
                <w:rFonts w:ascii="Arial" w:cs="Arial" w:eastAsia="Arial" w:hAnsi="Arial"/>
                <w:sz w:val="10"/>
                <w:szCs w:val="10"/>
                <w:color w:val="auto"/>
              </w:rPr>
              <w:t>1.89%</w:t>
            </w:r>
          </w:p>
        </w:tc>
        <w:tc>
          <w:tcPr>
            <w:tcW w:w="92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2.68%</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360" w:type="dxa"/>
            <w:vAlign w:val="bottom"/>
          </w:tcPr>
          <w:p>
            <w:pPr>
              <w:spacing w:after="0"/>
              <w:rPr>
                <w:sz w:val="9"/>
                <w:szCs w:val="9"/>
                <w:color w:val="auto"/>
              </w:rPr>
            </w:pPr>
          </w:p>
        </w:tc>
        <w:tc>
          <w:tcPr>
            <w:tcW w:w="56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2.96%</w:t>
            </w:r>
          </w:p>
        </w:tc>
        <w:tc>
          <w:tcPr>
            <w:tcW w:w="940" w:type="dxa"/>
            <w:vAlign w:val="bottom"/>
            <w:gridSpan w:val="2"/>
          </w:tcPr>
          <w:p>
            <w:pPr>
              <w:jc w:val="right"/>
              <w:ind w:right="40"/>
              <w:spacing w:after="0" w:line="106" w:lineRule="exact"/>
              <w:rPr>
                <w:sz w:val="20"/>
                <w:szCs w:val="20"/>
                <w:color w:val="auto"/>
              </w:rPr>
            </w:pPr>
            <w:r>
              <w:rPr>
                <w:rFonts w:ascii="Arial" w:cs="Arial" w:eastAsia="Arial" w:hAnsi="Arial"/>
                <w:sz w:val="10"/>
                <w:szCs w:val="10"/>
                <w:color w:val="auto"/>
              </w:rPr>
              <w:t>2.93%</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2.25%</w:t>
            </w:r>
          </w:p>
        </w:tc>
        <w:tc>
          <w:tcPr>
            <w:tcW w:w="7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2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Mexican Peso</w:t>
            </w:r>
          </w:p>
        </w:tc>
        <w:tc>
          <w:tcPr>
            <w:tcW w:w="8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120,255</w:t>
            </w:r>
          </w:p>
        </w:tc>
        <w:tc>
          <w:tcPr>
            <w:tcW w:w="1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75,638</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36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shd w:val="clear" w:color="auto" w:fill="CCEEFF"/>
          </w:tcPr>
          <w:p>
            <w:pPr>
              <w:spacing w:after="0"/>
              <w:rPr>
                <w:sz w:val="9"/>
                <w:szCs w:val="9"/>
                <w:color w:val="auto"/>
              </w:rPr>
            </w:pPr>
          </w:p>
        </w:tc>
        <w:tc>
          <w:tcPr>
            <w:tcW w:w="94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100"/>
              <w:spacing w:after="0" w:line="106" w:lineRule="exact"/>
              <w:rPr>
                <w:sz w:val="20"/>
                <w:szCs w:val="20"/>
                <w:color w:val="auto"/>
              </w:rPr>
            </w:pPr>
            <w:r>
              <w:rPr>
                <w:rFonts w:ascii="Arial" w:cs="Arial" w:eastAsia="Arial" w:hAnsi="Arial"/>
                <w:sz w:val="10"/>
                <w:szCs w:val="10"/>
                <w:color w:val="auto"/>
              </w:rPr>
              <w:t>195,893</w:t>
            </w:r>
          </w:p>
        </w:tc>
        <w:tc>
          <w:tcPr>
            <w:tcW w:w="90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196,081</w:t>
            </w: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3200" w:type="dxa"/>
            <w:vAlign w:val="bottom"/>
          </w:tcPr>
          <w:p>
            <w:pPr>
              <w:ind w:left="100"/>
              <w:spacing w:after="0"/>
              <w:rPr>
                <w:sz w:val="20"/>
                <w:szCs w:val="20"/>
                <w:color w:val="auto"/>
              </w:rPr>
            </w:pPr>
            <w:r>
              <w:rPr>
                <w:rFonts w:ascii="Arial" w:cs="Arial" w:eastAsia="Arial" w:hAnsi="Arial"/>
                <w:sz w:val="10"/>
                <w:szCs w:val="10"/>
                <w:color w:val="auto"/>
              </w:rPr>
              <w:t>Average floating rate</w:t>
            </w:r>
          </w:p>
        </w:tc>
        <w:tc>
          <w:tcPr>
            <w:tcW w:w="920" w:type="dxa"/>
            <w:vAlign w:val="bottom"/>
            <w:gridSpan w:val="2"/>
          </w:tcPr>
          <w:p>
            <w:pPr>
              <w:jc w:val="right"/>
              <w:ind w:right="40"/>
              <w:spacing w:after="0"/>
              <w:rPr>
                <w:sz w:val="20"/>
                <w:szCs w:val="20"/>
                <w:color w:val="auto"/>
              </w:rPr>
            </w:pPr>
            <w:r>
              <w:rPr>
                <w:rFonts w:ascii="Arial" w:cs="Arial" w:eastAsia="Arial" w:hAnsi="Arial"/>
                <w:sz w:val="10"/>
                <w:szCs w:val="10"/>
                <w:color w:val="auto"/>
              </w:rPr>
              <w:t>7.94%</w:t>
            </w:r>
          </w:p>
        </w:tc>
        <w:tc>
          <w:tcPr>
            <w:tcW w:w="920" w:type="dxa"/>
            <w:vAlign w:val="bottom"/>
            <w:gridSpan w:val="2"/>
          </w:tcPr>
          <w:p>
            <w:pPr>
              <w:jc w:val="right"/>
              <w:ind w:right="20"/>
              <w:spacing w:after="0"/>
              <w:rPr>
                <w:sz w:val="20"/>
                <w:szCs w:val="20"/>
                <w:color w:val="auto"/>
              </w:rPr>
            </w:pPr>
            <w:r>
              <w:rPr>
                <w:rFonts w:ascii="Arial" w:cs="Arial" w:eastAsia="Arial" w:hAnsi="Arial"/>
                <w:sz w:val="10"/>
                <w:szCs w:val="10"/>
                <w:color w:val="auto"/>
              </w:rPr>
              <w:t>8.06%</w:t>
            </w:r>
          </w:p>
        </w:tc>
        <w:tc>
          <w:tcPr>
            <w:tcW w:w="920" w:type="dxa"/>
            <w:vAlign w:val="bottom"/>
            <w:gridSpan w:val="2"/>
          </w:tcPr>
          <w:p>
            <w:pPr>
              <w:jc w:val="right"/>
              <w:ind w:right="120"/>
              <w:spacing w:after="0"/>
              <w:rPr>
                <w:sz w:val="20"/>
                <w:szCs w:val="20"/>
                <w:color w:val="auto"/>
              </w:rPr>
            </w:pPr>
            <w:r>
              <w:rPr>
                <w:rFonts w:ascii="Arial" w:cs="Arial" w:eastAsia="Arial" w:hAnsi="Arial"/>
                <w:sz w:val="10"/>
                <w:szCs w:val="10"/>
                <w:color w:val="auto"/>
              </w:rPr>
              <w:t>-</w:t>
            </w:r>
          </w:p>
        </w:tc>
        <w:tc>
          <w:tcPr>
            <w:tcW w:w="360" w:type="dxa"/>
            <w:vAlign w:val="bottom"/>
          </w:tcPr>
          <w:p>
            <w:pPr>
              <w:spacing w:after="0"/>
              <w:rPr>
                <w:sz w:val="11"/>
                <w:szCs w:val="11"/>
                <w:color w:val="auto"/>
              </w:rPr>
            </w:pPr>
          </w:p>
        </w:tc>
        <w:tc>
          <w:tcPr>
            <w:tcW w:w="460" w:type="dxa"/>
            <w:vAlign w:val="bottom"/>
          </w:tcPr>
          <w:p>
            <w:pPr>
              <w:jc w:val="right"/>
              <w:spacing w:after="0"/>
              <w:rPr>
                <w:sz w:val="20"/>
                <w:szCs w:val="20"/>
                <w:color w:val="auto"/>
              </w:rPr>
            </w:pPr>
            <w:r>
              <w:rPr>
                <w:rFonts w:ascii="Arial" w:cs="Arial" w:eastAsia="Arial" w:hAnsi="Arial"/>
                <w:sz w:val="10"/>
                <w:szCs w:val="10"/>
                <w:color w:val="auto"/>
              </w:rPr>
              <w:t>-</w:t>
            </w:r>
          </w:p>
        </w:tc>
        <w:tc>
          <w:tcPr>
            <w:tcW w:w="100" w:type="dxa"/>
            <w:vAlign w:val="bottom"/>
          </w:tcPr>
          <w:p>
            <w:pPr>
              <w:spacing w:after="0"/>
              <w:rPr>
                <w:sz w:val="11"/>
                <w:szCs w:val="11"/>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120"/>
              <w:spacing w:after="0"/>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20"/>
              <w:spacing w:after="0"/>
              <w:rPr>
                <w:sz w:val="20"/>
                <w:szCs w:val="20"/>
                <w:color w:val="auto"/>
              </w:rPr>
            </w:pPr>
            <w:r>
              <w:rPr>
                <w:rFonts w:ascii="Arial" w:cs="Arial" w:eastAsia="Arial" w:hAnsi="Arial"/>
                <w:sz w:val="10"/>
                <w:szCs w:val="10"/>
                <w:color w:val="auto"/>
              </w:rPr>
              <w:t>7.98%</w:t>
            </w:r>
          </w:p>
        </w:tc>
        <w:tc>
          <w:tcPr>
            <w:tcW w:w="7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bl>
    <w:p>
      <w:pPr>
        <w:spacing w:after="0" w:line="270"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112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114" w:name="page115"/>
    <w:bookmarkEnd w:id="114"/>
    <w:p>
      <w:pPr>
        <w:jc w:val="center"/>
        <w:ind w:right="-2"/>
        <w:spacing w:after="0"/>
        <w:rPr>
          <w:sz w:val="20"/>
          <w:szCs w:val="20"/>
          <w:color w:val="auto"/>
        </w:rPr>
      </w:pPr>
      <w:r>
        <w:rPr>
          <w:rFonts w:ascii="Arial" w:cs="Arial" w:eastAsia="Arial" w:hAnsi="Arial"/>
          <w:sz w:val="10"/>
          <w:szCs w:val="10"/>
          <w:b w:val="1"/>
          <w:bCs w:val="1"/>
          <w:color w:val="auto"/>
        </w:rPr>
        <w:t>Expected maturity date</w:t>
      </w:r>
    </w:p>
    <w:p>
      <w:pPr>
        <w:spacing w:after="0" w:line="8" w:lineRule="exact"/>
        <w:rPr>
          <w:sz w:val="20"/>
          <w:szCs w:val="20"/>
          <w:color w:val="auto"/>
        </w:rPr>
      </w:pPr>
    </w:p>
    <w:tbl>
      <w:tblPr>
        <w:tblLayout w:type="fixed"/>
        <w:tblInd w:w="3" w:type="dxa"/>
        <w:tblCellMar>
          <w:top w:w="0" w:type="dxa"/>
          <w:left w:w="0" w:type="dxa"/>
          <w:bottom w:w="0" w:type="dxa"/>
          <w:right w:w="0" w:type="dxa"/>
        </w:tblCellMar>
      </w:tblPr>
      <w:tr>
        <w:trPr>
          <w:trHeight w:val="79"/>
        </w:trPr>
        <w:tc>
          <w:tcPr>
            <w:tcW w:w="20" w:type="dxa"/>
            <w:vAlign w:val="bottom"/>
          </w:tcPr>
          <w:p>
            <w:pPr>
              <w:spacing w:after="0"/>
              <w:rPr>
                <w:sz w:val="6"/>
                <w:szCs w:val="6"/>
                <w:color w:val="auto"/>
              </w:rPr>
            </w:pPr>
          </w:p>
        </w:tc>
        <w:tc>
          <w:tcPr>
            <w:tcW w:w="3300" w:type="dxa"/>
            <w:vAlign w:val="bottom"/>
            <w:tcBorders>
              <w:top w:val="single" w:sz="8" w:color="auto"/>
            </w:tcBorders>
          </w:tcPr>
          <w:p>
            <w:pPr>
              <w:spacing w:after="0"/>
              <w:rPr>
                <w:sz w:val="6"/>
                <w:szCs w:val="6"/>
                <w:color w:val="auto"/>
              </w:rPr>
            </w:pPr>
          </w:p>
        </w:tc>
        <w:tc>
          <w:tcPr>
            <w:tcW w:w="700" w:type="dxa"/>
            <w:vAlign w:val="bottom"/>
            <w:tcBorders>
              <w:top w:val="single" w:sz="8" w:color="auto"/>
            </w:tcBorders>
          </w:tcPr>
          <w:p>
            <w:pPr>
              <w:spacing w:after="0"/>
              <w:rPr>
                <w:sz w:val="6"/>
                <w:szCs w:val="6"/>
                <w:color w:val="auto"/>
              </w:rPr>
            </w:pPr>
          </w:p>
        </w:tc>
        <w:tc>
          <w:tcPr>
            <w:tcW w:w="240" w:type="dxa"/>
            <w:vAlign w:val="bottom"/>
            <w:tcBorders>
              <w:top w:val="single" w:sz="8" w:color="auto"/>
            </w:tcBorders>
          </w:tcPr>
          <w:p>
            <w:pPr>
              <w:spacing w:after="0"/>
              <w:rPr>
                <w:sz w:val="6"/>
                <w:szCs w:val="6"/>
                <w:color w:val="auto"/>
              </w:rPr>
            </w:pPr>
          </w:p>
        </w:tc>
        <w:tc>
          <w:tcPr>
            <w:tcW w:w="680" w:type="dxa"/>
            <w:vAlign w:val="bottom"/>
            <w:tcBorders>
              <w:top w:val="single" w:sz="8" w:color="auto"/>
            </w:tcBorders>
          </w:tcPr>
          <w:p>
            <w:pPr>
              <w:spacing w:after="0"/>
              <w:rPr>
                <w:sz w:val="6"/>
                <w:szCs w:val="6"/>
                <w:color w:val="auto"/>
              </w:rPr>
            </w:pPr>
          </w:p>
        </w:tc>
        <w:tc>
          <w:tcPr>
            <w:tcW w:w="140" w:type="dxa"/>
            <w:vAlign w:val="bottom"/>
            <w:tcBorders>
              <w:top w:val="single" w:sz="8" w:color="auto"/>
            </w:tcBorders>
          </w:tcPr>
          <w:p>
            <w:pPr>
              <w:spacing w:after="0"/>
              <w:rPr>
                <w:sz w:val="6"/>
                <w:szCs w:val="6"/>
                <w:color w:val="auto"/>
              </w:rPr>
            </w:pPr>
          </w:p>
        </w:tc>
        <w:tc>
          <w:tcPr>
            <w:tcW w:w="100" w:type="dxa"/>
            <w:vAlign w:val="bottom"/>
            <w:tcBorders>
              <w:top w:val="single" w:sz="8" w:color="auto"/>
            </w:tcBorders>
          </w:tcPr>
          <w:p>
            <w:pPr>
              <w:spacing w:after="0"/>
              <w:rPr>
                <w:sz w:val="6"/>
                <w:szCs w:val="6"/>
                <w:color w:val="auto"/>
              </w:rPr>
            </w:pPr>
          </w:p>
        </w:tc>
        <w:tc>
          <w:tcPr>
            <w:tcW w:w="680" w:type="dxa"/>
            <w:vAlign w:val="bottom"/>
            <w:tcBorders>
              <w:top w:val="single" w:sz="8" w:color="auto"/>
            </w:tcBorders>
          </w:tcPr>
          <w:p>
            <w:pPr>
              <w:spacing w:after="0"/>
              <w:rPr>
                <w:sz w:val="6"/>
                <w:szCs w:val="6"/>
                <w:color w:val="auto"/>
              </w:rPr>
            </w:pPr>
          </w:p>
        </w:tc>
        <w:tc>
          <w:tcPr>
            <w:tcW w:w="240" w:type="dxa"/>
            <w:vAlign w:val="bottom"/>
            <w:tcBorders>
              <w:top w:val="single" w:sz="8" w:color="auto"/>
            </w:tcBorders>
          </w:tcPr>
          <w:p>
            <w:pPr>
              <w:spacing w:after="0"/>
              <w:rPr>
                <w:sz w:val="6"/>
                <w:szCs w:val="6"/>
                <w:color w:val="auto"/>
              </w:rPr>
            </w:pPr>
          </w:p>
        </w:tc>
        <w:tc>
          <w:tcPr>
            <w:tcW w:w="240" w:type="dxa"/>
            <w:vAlign w:val="bottom"/>
            <w:tcBorders>
              <w:top w:val="single" w:sz="8" w:color="auto"/>
            </w:tcBorders>
          </w:tcPr>
          <w:p>
            <w:pPr>
              <w:spacing w:after="0"/>
              <w:rPr>
                <w:sz w:val="6"/>
                <w:szCs w:val="6"/>
                <w:color w:val="auto"/>
              </w:rPr>
            </w:pPr>
          </w:p>
        </w:tc>
        <w:tc>
          <w:tcPr>
            <w:tcW w:w="460" w:type="dxa"/>
            <w:vAlign w:val="bottom"/>
            <w:tcBorders>
              <w:top w:val="single" w:sz="8" w:color="auto"/>
            </w:tcBorders>
          </w:tcPr>
          <w:p>
            <w:pPr>
              <w:spacing w:after="0"/>
              <w:rPr>
                <w:sz w:val="6"/>
                <w:szCs w:val="6"/>
                <w:color w:val="auto"/>
              </w:rPr>
            </w:pPr>
          </w:p>
        </w:tc>
        <w:tc>
          <w:tcPr>
            <w:tcW w:w="220" w:type="dxa"/>
            <w:vAlign w:val="bottom"/>
            <w:tcBorders>
              <w:top w:val="single" w:sz="8" w:color="auto"/>
            </w:tcBorders>
          </w:tcPr>
          <w:p>
            <w:pPr>
              <w:spacing w:after="0"/>
              <w:rPr>
                <w:sz w:val="6"/>
                <w:szCs w:val="6"/>
                <w:color w:val="auto"/>
              </w:rPr>
            </w:pPr>
          </w:p>
        </w:tc>
        <w:tc>
          <w:tcPr>
            <w:tcW w:w="700" w:type="dxa"/>
            <w:vAlign w:val="bottom"/>
            <w:tcBorders>
              <w:top w:val="single" w:sz="8" w:color="auto"/>
            </w:tcBorders>
          </w:tcPr>
          <w:p>
            <w:pPr>
              <w:spacing w:after="0"/>
              <w:rPr>
                <w:sz w:val="6"/>
                <w:szCs w:val="6"/>
                <w:color w:val="auto"/>
              </w:rPr>
            </w:pPr>
          </w:p>
        </w:tc>
        <w:tc>
          <w:tcPr>
            <w:tcW w:w="220" w:type="dxa"/>
            <w:vAlign w:val="bottom"/>
            <w:tcBorders>
              <w:top w:val="single" w:sz="8" w:color="auto"/>
            </w:tcBorders>
          </w:tcPr>
          <w:p>
            <w:pPr>
              <w:spacing w:after="0"/>
              <w:rPr>
                <w:sz w:val="6"/>
                <w:szCs w:val="6"/>
                <w:color w:val="auto"/>
              </w:rPr>
            </w:pPr>
          </w:p>
        </w:tc>
        <w:tc>
          <w:tcPr>
            <w:tcW w:w="940" w:type="dxa"/>
            <w:vAlign w:val="bottom"/>
            <w:tcBorders>
              <w:top w:val="single" w:sz="8" w:color="auto"/>
            </w:tcBorders>
            <w:gridSpan w:val="2"/>
            <w:vMerge w:val="restart"/>
          </w:tcPr>
          <w:p>
            <w:pPr>
              <w:jc w:val="center"/>
              <w:ind w:right="240"/>
              <w:spacing w:after="0"/>
              <w:rPr>
                <w:sz w:val="20"/>
                <w:szCs w:val="20"/>
                <w:color w:val="auto"/>
              </w:rPr>
            </w:pPr>
            <w:r>
              <w:rPr>
                <w:rFonts w:ascii="Arial" w:cs="Arial" w:eastAsia="Arial" w:hAnsi="Arial"/>
                <w:sz w:val="10"/>
                <w:szCs w:val="10"/>
                <w:b w:val="1"/>
                <w:bCs w:val="1"/>
                <w:color w:val="auto"/>
                <w:w w:val="98"/>
              </w:rPr>
              <w:t>There-</w:t>
            </w:r>
          </w:p>
        </w:tc>
        <w:tc>
          <w:tcPr>
            <w:tcW w:w="920" w:type="dxa"/>
            <w:vAlign w:val="bottom"/>
            <w:tcBorders>
              <w:top w:val="single" w:sz="8" w:color="auto"/>
            </w:tcBorders>
            <w:gridSpan w:val="2"/>
            <w:vMerge w:val="restart"/>
          </w:tcPr>
          <w:p>
            <w:pPr>
              <w:ind w:left="160"/>
              <w:spacing w:after="0"/>
              <w:rPr>
                <w:sz w:val="20"/>
                <w:szCs w:val="20"/>
                <w:color w:val="auto"/>
              </w:rPr>
            </w:pPr>
            <w:r>
              <w:rPr>
                <w:rFonts w:ascii="Arial" w:cs="Arial" w:eastAsia="Arial" w:hAnsi="Arial"/>
                <w:sz w:val="10"/>
                <w:szCs w:val="10"/>
                <w:b w:val="1"/>
                <w:bCs w:val="1"/>
                <w:color w:val="auto"/>
              </w:rPr>
              <w:t>Without</w:t>
            </w:r>
          </w:p>
        </w:tc>
        <w:tc>
          <w:tcPr>
            <w:tcW w:w="900" w:type="dxa"/>
            <w:vAlign w:val="bottom"/>
            <w:tcBorders>
              <w:top w:val="single" w:sz="8" w:color="auto"/>
            </w:tcBorders>
            <w:gridSpan w:val="2"/>
            <w:vMerge w:val="restart"/>
          </w:tcPr>
          <w:p>
            <w:pPr>
              <w:jc w:val="right"/>
              <w:ind w:right="440"/>
              <w:spacing w:after="0"/>
              <w:rPr>
                <w:sz w:val="20"/>
                <w:szCs w:val="20"/>
                <w:color w:val="auto"/>
              </w:rPr>
            </w:pPr>
            <w:r>
              <w:rPr>
                <w:rFonts w:ascii="Arial" w:cs="Arial" w:eastAsia="Arial" w:hAnsi="Arial"/>
                <w:sz w:val="10"/>
                <w:szCs w:val="10"/>
                <w:b w:val="1"/>
                <w:bCs w:val="1"/>
                <w:color w:val="auto"/>
              </w:rPr>
              <w:t>Total</w:t>
            </w:r>
          </w:p>
        </w:tc>
        <w:tc>
          <w:tcPr>
            <w:tcW w:w="780" w:type="dxa"/>
            <w:vAlign w:val="bottom"/>
            <w:tcBorders>
              <w:top w:val="single" w:sz="8" w:color="auto"/>
            </w:tcBorders>
            <w:gridSpan w:val="2"/>
          </w:tcPr>
          <w:p>
            <w:pPr>
              <w:jc w:val="center"/>
              <w:ind w:right="120"/>
              <w:spacing w:after="0" w:line="79" w:lineRule="exact"/>
              <w:rPr>
                <w:sz w:val="20"/>
                <w:szCs w:val="20"/>
                <w:color w:val="auto"/>
              </w:rPr>
            </w:pPr>
            <w:r>
              <w:rPr>
                <w:rFonts w:ascii="Arial" w:cs="Arial" w:eastAsia="Arial" w:hAnsi="Arial"/>
                <w:sz w:val="9"/>
                <w:szCs w:val="9"/>
                <w:b w:val="1"/>
                <w:bCs w:val="1"/>
                <w:color w:val="auto"/>
              </w:rPr>
              <w:t>Fair</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rPr>
                <w:sz w:val="9"/>
                <w:szCs w:val="9"/>
                <w:color w:val="auto"/>
              </w:rPr>
            </w:pPr>
          </w:p>
        </w:tc>
        <w:tc>
          <w:tcPr>
            <w:tcW w:w="700" w:type="dxa"/>
            <w:vAlign w:val="bottom"/>
            <w:vMerge w:val="restart"/>
          </w:tcPr>
          <w:p>
            <w:pPr>
              <w:jc w:val="right"/>
              <w:ind w:right="189"/>
              <w:spacing w:after="0"/>
              <w:rPr>
                <w:sz w:val="20"/>
                <w:szCs w:val="20"/>
                <w:color w:val="auto"/>
              </w:rPr>
            </w:pPr>
            <w:r>
              <w:rPr>
                <w:rFonts w:ascii="Arial" w:cs="Arial" w:eastAsia="Arial" w:hAnsi="Arial"/>
                <w:sz w:val="10"/>
                <w:szCs w:val="10"/>
                <w:b w:val="1"/>
                <w:bCs w:val="1"/>
                <w:color w:val="auto"/>
              </w:rPr>
              <w:t>2018</w:t>
            </w:r>
          </w:p>
        </w:tc>
        <w:tc>
          <w:tcPr>
            <w:tcW w:w="240" w:type="dxa"/>
            <w:vAlign w:val="bottom"/>
          </w:tcPr>
          <w:p>
            <w:pPr>
              <w:spacing w:after="0"/>
              <w:rPr>
                <w:sz w:val="9"/>
                <w:szCs w:val="9"/>
                <w:color w:val="auto"/>
              </w:rPr>
            </w:pPr>
          </w:p>
        </w:tc>
        <w:tc>
          <w:tcPr>
            <w:tcW w:w="680" w:type="dxa"/>
            <w:vAlign w:val="bottom"/>
            <w:vMerge w:val="restart"/>
          </w:tcPr>
          <w:p>
            <w:pPr>
              <w:jc w:val="right"/>
              <w:ind w:right="189"/>
              <w:spacing w:after="0"/>
              <w:rPr>
                <w:sz w:val="20"/>
                <w:szCs w:val="20"/>
                <w:color w:val="auto"/>
              </w:rPr>
            </w:pPr>
            <w:r>
              <w:rPr>
                <w:rFonts w:ascii="Arial" w:cs="Arial" w:eastAsia="Arial" w:hAnsi="Arial"/>
                <w:sz w:val="10"/>
                <w:szCs w:val="10"/>
                <w:b w:val="1"/>
                <w:bCs w:val="1"/>
                <w:color w:val="auto"/>
              </w:rPr>
              <w:t>2019</w:t>
            </w:r>
          </w:p>
        </w:tc>
        <w:tc>
          <w:tcPr>
            <w:tcW w:w="140" w:type="dxa"/>
            <w:vAlign w:val="bottom"/>
          </w:tcPr>
          <w:p>
            <w:pPr>
              <w:spacing w:after="0"/>
              <w:rPr>
                <w:sz w:val="9"/>
                <w:szCs w:val="9"/>
                <w:color w:val="auto"/>
              </w:rPr>
            </w:pPr>
          </w:p>
        </w:tc>
        <w:tc>
          <w:tcPr>
            <w:tcW w:w="100" w:type="dxa"/>
            <w:vAlign w:val="bottom"/>
            <w:vMerge w:val="restart"/>
          </w:tcPr>
          <w:p>
            <w:pPr>
              <w:spacing w:after="0"/>
              <w:rPr>
                <w:sz w:val="9"/>
                <w:szCs w:val="9"/>
                <w:color w:val="auto"/>
              </w:rPr>
            </w:pPr>
          </w:p>
        </w:tc>
        <w:tc>
          <w:tcPr>
            <w:tcW w:w="680" w:type="dxa"/>
            <w:vAlign w:val="bottom"/>
            <w:vMerge w:val="restart"/>
          </w:tcPr>
          <w:p>
            <w:pPr>
              <w:jc w:val="right"/>
              <w:ind w:right="189"/>
              <w:spacing w:after="0"/>
              <w:rPr>
                <w:sz w:val="20"/>
                <w:szCs w:val="20"/>
                <w:color w:val="auto"/>
              </w:rPr>
            </w:pPr>
            <w:r>
              <w:rPr>
                <w:rFonts w:ascii="Arial" w:cs="Arial" w:eastAsia="Arial" w:hAnsi="Arial"/>
                <w:sz w:val="10"/>
                <w:szCs w:val="10"/>
                <w:b w:val="1"/>
                <w:bCs w:val="1"/>
                <w:color w:val="auto"/>
              </w:rPr>
              <w:t>2020</w:t>
            </w: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vMerge w:val="restart"/>
          </w:tcPr>
          <w:p>
            <w:pPr>
              <w:jc w:val="right"/>
              <w:ind w:right="209"/>
              <w:spacing w:after="0"/>
              <w:rPr>
                <w:sz w:val="20"/>
                <w:szCs w:val="20"/>
                <w:color w:val="auto"/>
              </w:rPr>
            </w:pPr>
            <w:r>
              <w:rPr>
                <w:rFonts w:ascii="Arial" w:cs="Arial" w:eastAsia="Arial" w:hAnsi="Arial"/>
                <w:sz w:val="10"/>
                <w:szCs w:val="10"/>
                <w:b w:val="1"/>
                <w:bCs w:val="1"/>
                <w:color w:val="auto"/>
                <w:w w:val="80"/>
              </w:rPr>
              <w:t>2021</w:t>
            </w:r>
          </w:p>
        </w:tc>
        <w:tc>
          <w:tcPr>
            <w:tcW w:w="220" w:type="dxa"/>
            <w:vAlign w:val="bottom"/>
          </w:tcPr>
          <w:p>
            <w:pPr>
              <w:spacing w:after="0"/>
              <w:rPr>
                <w:sz w:val="9"/>
                <w:szCs w:val="9"/>
                <w:color w:val="auto"/>
              </w:rPr>
            </w:pPr>
          </w:p>
        </w:tc>
        <w:tc>
          <w:tcPr>
            <w:tcW w:w="700" w:type="dxa"/>
            <w:vAlign w:val="bottom"/>
            <w:vMerge w:val="restart"/>
          </w:tcPr>
          <w:p>
            <w:pPr>
              <w:jc w:val="right"/>
              <w:ind w:right="189"/>
              <w:spacing w:after="0"/>
              <w:rPr>
                <w:sz w:val="20"/>
                <w:szCs w:val="20"/>
                <w:color w:val="auto"/>
              </w:rPr>
            </w:pPr>
            <w:r>
              <w:rPr>
                <w:rFonts w:ascii="Arial" w:cs="Arial" w:eastAsia="Arial" w:hAnsi="Arial"/>
                <w:sz w:val="10"/>
                <w:szCs w:val="10"/>
                <w:b w:val="1"/>
                <w:bCs w:val="1"/>
                <w:color w:val="auto"/>
              </w:rPr>
              <w:t>2022</w:t>
            </w:r>
          </w:p>
        </w:tc>
        <w:tc>
          <w:tcPr>
            <w:tcW w:w="220" w:type="dxa"/>
            <w:vAlign w:val="bottom"/>
          </w:tcPr>
          <w:p>
            <w:pPr>
              <w:spacing w:after="0"/>
              <w:rPr>
                <w:sz w:val="9"/>
                <w:szCs w:val="9"/>
                <w:color w:val="auto"/>
              </w:rPr>
            </w:pPr>
          </w:p>
        </w:tc>
        <w:tc>
          <w:tcPr>
            <w:tcW w:w="940" w:type="dxa"/>
            <w:vAlign w:val="bottom"/>
            <w:gridSpan w:val="2"/>
            <w:vMerge w:val="continue"/>
          </w:tcPr>
          <w:p>
            <w:pPr>
              <w:spacing w:after="0"/>
              <w:rPr>
                <w:sz w:val="9"/>
                <w:szCs w:val="9"/>
                <w:color w:val="auto"/>
              </w:rPr>
            </w:pPr>
          </w:p>
        </w:tc>
        <w:tc>
          <w:tcPr>
            <w:tcW w:w="920" w:type="dxa"/>
            <w:vAlign w:val="bottom"/>
            <w:gridSpan w:val="2"/>
            <w:vMerge w:val="continue"/>
          </w:tcPr>
          <w:p>
            <w:pPr>
              <w:spacing w:after="0"/>
              <w:rPr>
                <w:sz w:val="9"/>
                <w:szCs w:val="9"/>
                <w:color w:val="auto"/>
              </w:rPr>
            </w:pPr>
          </w:p>
        </w:tc>
        <w:tc>
          <w:tcPr>
            <w:tcW w:w="900" w:type="dxa"/>
            <w:vAlign w:val="bottom"/>
            <w:gridSpan w:val="2"/>
            <w:vMerge w:val="continue"/>
          </w:tcPr>
          <w:p>
            <w:pPr>
              <w:spacing w:after="0"/>
              <w:rPr>
                <w:sz w:val="9"/>
                <w:szCs w:val="9"/>
                <w:color w:val="auto"/>
              </w:rPr>
            </w:pPr>
          </w:p>
        </w:tc>
        <w:tc>
          <w:tcPr>
            <w:tcW w:w="780" w:type="dxa"/>
            <w:vAlign w:val="bottom"/>
            <w:gridSpan w:val="2"/>
          </w:tcPr>
          <w:p>
            <w:pPr>
              <w:jc w:val="center"/>
              <w:ind w:right="120"/>
              <w:spacing w:after="0" w:line="106" w:lineRule="exact"/>
              <w:rPr>
                <w:sz w:val="20"/>
                <w:szCs w:val="20"/>
                <w:color w:val="auto"/>
              </w:rPr>
            </w:pPr>
            <w:r>
              <w:rPr>
                <w:rFonts w:ascii="Arial" w:cs="Arial" w:eastAsia="Arial" w:hAnsi="Arial"/>
                <w:sz w:val="10"/>
                <w:szCs w:val="10"/>
                <w:b w:val="1"/>
                <w:bCs w:val="1"/>
                <w:color w:val="auto"/>
                <w:w w:val="85"/>
              </w:rPr>
              <w:t>value</w:t>
            </w:r>
          </w:p>
        </w:tc>
        <w:tc>
          <w:tcPr>
            <w:tcW w:w="0" w:type="dxa"/>
            <w:vAlign w:val="bottom"/>
          </w:tcPr>
          <w:p>
            <w:pPr>
              <w:spacing w:after="0"/>
              <w:rPr>
                <w:sz w:val="1"/>
                <w:szCs w:val="1"/>
                <w:color w:val="auto"/>
              </w:rPr>
            </w:pPr>
          </w:p>
        </w:tc>
      </w:tr>
      <w:tr>
        <w:trPr>
          <w:trHeight w:val="123"/>
        </w:trPr>
        <w:tc>
          <w:tcPr>
            <w:tcW w:w="20" w:type="dxa"/>
            <w:vAlign w:val="bottom"/>
          </w:tcPr>
          <w:p>
            <w:pPr>
              <w:spacing w:after="0"/>
              <w:rPr>
                <w:sz w:val="10"/>
                <w:szCs w:val="10"/>
                <w:color w:val="auto"/>
              </w:rPr>
            </w:pPr>
          </w:p>
        </w:tc>
        <w:tc>
          <w:tcPr>
            <w:tcW w:w="3300" w:type="dxa"/>
            <w:vAlign w:val="bottom"/>
          </w:tcPr>
          <w:p>
            <w:pPr>
              <w:spacing w:after="0"/>
              <w:rPr>
                <w:sz w:val="10"/>
                <w:szCs w:val="10"/>
                <w:color w:val="auto"/>
              </w:rPr>
            </w:pPr>
          </w:p>
        </w:tc>
        <w:tc>
          <w:tcPr>
            <w:tcW w:w="700" w:type="dxa"/>
            <w:vAlign w:val="bottom"/>
            <w:tcBorders>
              <w:bottom w:val="single" w:sz="8" w:color="auto"/>
            </w:tcBorders>
            <w:vMerge w:val="continue"/>
          </w:tcPr>
          <w:p>
            <w:pPr>
              <w:spacing w:after="0"/>
              <w:rPr>
                <w:sz w:val="10"/>
                <w:szCs w:val="10"/>
                <w:color w:val="auto"/>
              </w:rPr>
            </w:pPr>
          </w:p>
        </w:tc>
        <w:tc>
          <w:tcPr>
            <w:tcW w:w="240" w:type="dxa"/>
            <w:vAlign w:val="bottom"/>
          </w:tcPr>
          <w:p>
            <w:pPr>
              <w:spacing w:after="0"/>
              <w:rPr>
                <w:sz w:val="10"/>
                <w:szCs w:val="10"/>
                <w:color w:val="auto"/>
              </w:rPr>
            </w:pPr>
          </w:p>
        </w:tc>
        <w:tc>
          <w:tcPr>
            <w:tcW w:w="680" w:type="dxa"/>
            <w:vAlign w:val="bottom"/>
            <w:tcBorders>
              <w:bottom w:val="single" w:sz="8" w:color="auto"/>
            </w:tcBorders>
            <w:vMerge w:val="continue"/>
          </w:tcPr>
          <w:p>
            <w:pPr>
              <w:spacing w:after="0"/>
              <w:rPr>
                <w:sz w:val="10"/>
                <w:szCs w:val="10"/>
                <w:color w:val="auto"/>
              </w:rPr>
            </w:pPr>
          </w:p>
        </w:tc>
        <w:tc>
          <w:tcPr>
            <w:tcW w:w="140" w:type="dxa"/>
            <w:vAlign w:val="bottom"/>
          </w:tcPr>
          <w:p>
            <w:pPr>
              <w:spacing w:after="0"/>
              <w:rPr>
                <w:sz w:val="10"/>
                <w:szCs w:val="10"/>
                <w:color w:val="auto"/>
              </w:rPr>
            </w:pPr>
          </w:p>
        </w:tc>
        <w:tc>
          <w:tcPr>
            <w:tcW w:w="100" w:type="dxa"/>
            <w:vAlign w:val="bottom"/>
            <w:vMerge w:val="continue"/>
          </w:tcPr>
          <w:p>
            <w:pPr>
              <w:spacing w:after="0"/>
              <w:rPr>
                <w:sz w:val="10"/>
                <w:szCs w:val="10"/>
                <w:color w:val="auto"/>
              </w:rPr>
            </w:pPr>
          </w:p>
        </w:tc>
        <w:tc>
          <w:tcPr>
            <w:tcW w:w="680" w:type="dxa"/>
            <w:vAlign w:val="bottom"/>
            <w:tcBorders>
              <w:bottom w:val="single" w:sz="8" w:color="auto"/>
            </w:tcBorders>
            <w:vMerge w:val="continue"/>
          </w:tcPr>
          <w:p>
            <w:pPr>
              <w:spacing w:after="0"/>
              <w:rPr>
                <w:sz w:val="10"/>
                <w:szCs w:val="10"/>
                <w:color w:val="auto"/>
              </w:rPr>
            </w:pPr>
          </w:p>
        </w:tc>
        <w:tc>
          <w:tcPr>
            <w:tcW w:w="240" w:type="dxa"/>
            <w:vAlign w:val="bottom"/>
          </w:tcPr>
          <w:p>
            <w:pPr>
              <w:spacing w:after="0"/>
              <w:rPr>
                <w:sz w:val="10"/>
                <w:szCs w:val="10"/>
                <w:color w:val="auto"/>
              </w:rPr>
            </w:pPr>
          </w:p>
        </w:tc>
        <w:tc>
          <w:tcPr>
            <w:tcW w:w="240" w:type="dxa"/>
            <w:vAlign w:val="bottom"/>
            <w:tcBorders>
              <w:bottom w:val="single" w:sz="8" w:color="auto"/>
            </w:tcBorders>
          </w:tcPr>
          <w:p>
            <w:pPr>
              <w:spacing w:after="0"/>
              <w:rPr>
                <w:sz w:val="10"/>
                <w:szCs w:val="10"/>
                <w:color w:val="auto"/>
              </w:rPr>
            </w:pPr>
          </w:p>
        </w:tc>
        <w:tc>
          <w:tcPr>
            <w:tcW w:w="460" w:type="dxa"/>
            <w:vAlign w:val="bottom"/>
            <w:tcBorders>
              <w:bottom w:val="single" w:sz="8" w:color="auto"/>
            </w:tcBorders>
            <w:vMerge w:val="continue"/>
          </w:tcPr>
          <w:p>
            <w:pPr>
              <w:spacing w:after="0"/>
              <w:rPr>
                <w:sz w:val="10"/>
                <w:szCs w:val="10"/>
                <w:color w:val="auto"/>
              </w:rPr>
            </w:pPr>
          </w:p>
        </w:tc>
        <w:tc>
          <w:tcPr>
            <w:tcW w:w="220" w:type="dxa"/>
            <w:vAlign w:val="bottom"/>
          </w:tcPr>
          <w:p>
            <w:pPr>
              <w:spacing w:after="0"/>
              <w:rPr>
                <w:sz w:val="10"/>
                <w:szCs w:val="10"/>
                <w:color w:val="auto"/>
              </w:rPr>
            </w:pPr>
          </w:p>
        </w:tc>
        <w:tc>
          <w:tcPr>
            <w:tcW w:w="700" w:type="dxa"/>
            <w:vAlign w:val="bottom"/>
            <w:tcBorders>
              <w:bottom w:val="single" w:sz="8" w:color="auto"/>
            </w:tcBorders>
            <w:vMerge w:val="continue"/>
          </w:tcPr>
          <w:p>
            <w:pPr>
              <w:spacing w:after="0"/>
              <w:rPr>
                <w:sz w:val="10"/>
                <w:szCs w:val="10"/>
                <w:color w:val="auto"/>
              </w:rPr>
            </w:pPr>
          </w:p>
        </w:tc>
        <w:tc>
          <w:tcPr>
            <w:tcW w:w="220" w:type="dxa"/>
            <w:vAlign w:val="bottom"/>
          </w:tcPr>
          <w:p>
            <w:pPr>
              <w:spacing w:after="0"/>
              <w:rPr>
                <w:sz w:val="10"/>
                <w:szCs w:val="10"/>
                <w:color w:val="auto"/>
              </w:rPr>
            </w:pPr>
          </w:p>
        </w:tc>
        <w:tc>
          <w:tcPr>
            <w:tcW w:w="700" w:type="dxa"/>
            <w:vAlign w:val="bottom"/>
            <w:tcBorders>
              <w:bottom w:val="single" w:sz="8" w:color="auto"/>
            </w:tcBorders>
          </w:tcPr>
          <w:p>
            <w:pPr>
              <w:jc w:val="center"/>
              <w:spacing w:after="0"/>
              <w:rPr>
                <w:sz w:val="20"/>
                <w:szCs w:val="20"/>
                <w:color w:val="auto"/>
              </w:rPr>
            </w:pPr>
            <w:r>
              <w:rPr>
                <w:rFonts w:ascii="Arial" w:cs="Arial" w:eastAsia="Arial" w:hAnsi="Arial"/>
                <w:sz w:val="10"/>
                <w:szCs w:val="10"/>
                <w:b w:val="1"/>
                <w:bCs w:val="1"/>
                <w:color w:val="auto"/>
              </w:rPr>
              <w:t>after</w:t>
            </w:r>
          </w:p>
        </w:tc>
        <w:tc>
          <w:tcPr>
            <w:tcW w:w="240" w:type="dxa"/>
            <w:vAlign w:val="bottom"/>
          </w:tcPr>
          <w:p>
            <w:pPr>
              <w:spacing w:after="0"/>
              <w:rPr>
                <w:sz w:val="10"/>
                <w:szCs w:val="10"/>
                <w:color w:val="auto"/>
              </w:rPr>
            </w:pPr>
          </w:p>
        </w:tc>
        <w:tc>
          <w:tcPr>
            <w:tcW w:w="680" w:type="dxa"/>
            <w:vAlign w:val="bottom"/>
            <w:tcBorders>
              <w:bottom w:val="single" w:sz="8" w:color="auto"/>
            </w:tcBorders>
          </w:tcPr>
          <w:p>
            <w:pPr>
              <w:ind w:left="140"/>
              <w:spacing w:after="0"/>
              <w:rPr>
                <w:sz w:val="20"/>
                <w:szCs w:val="20"/>
                <w:color w:val="auto"/>
              </w:rPr>
            </w:pPr>
            <w:r>
              <w:rPr>
                <w:rFonts w:ascii="Arial" w:cs="Arial" w:eastAsia="Arial" w:hAnsi="Arial"/>
                <w:sz w:val="10"/>
                <w:szCs w:val="10"/>
                <w:b w:val="1"/>
                <w:bCs w:val="1"/>
                <w:color w:val="auto"/>
              </w:rPr>
              <w:t>maturity</w:t>
            </w:r>
          </w:p>
        </w:tc>
        <w:tc>
          <w:tcPr>
            <w:tcW w:w="240" w:type="dxa"/>
            <w:vAlign w:val="bottom"/>
          </w:tcPr>
          <w:p>
            <w:pPr>
              <w:spacing w:after="0"/>
              <w:rPr>
                <w:sz w:val="10"/>
                <w:szCs w:val="10"/>
                <w:color w:val="auto"/>
              </w:rPr>
            </w:pPr>
          </w:p>
        </w:tc>
        <w:tc>
          <w:tcPr>
            <w:tcW w:w="680" w:type="dxa"/>
            <w:vAlign w:val="bottom"/>
            <w:tcBorders>
              <w:bottom w:val="single" w:sz="8" w:color="auto"/>
            </w:tcBorders>
          </w:tcPr>
          <w:p>
            <w:pPr>
              <w:jc w:val="right"/>
              <w:ind w:right="189"/>
              <w:spacing w:after="0"/>
              <w:rPr>
                <w:sz w:val="20"/>
                <w:szCs w:val="20"/>
                <w:color w:val="auto"/>
              </w:rPr>
            </w:pPr>
            <w:r>
              <w:rPr>
                <w:rFonts w:ascii="Arial" w:cs="Arial" w:eastAsia="Arial" w:hAnsi="Arial"/>
                <w:sz w:val="10"/>
                <w:szCs w:val="10"/>
                <w:b w:val="1"/>
                <w:bCs w:val="1"/>
                <w:color w:val="auto"/>
              </w:rPr>
              <w:t>2017</w:t>
            </w:r>
          </w:p>
        </w:tc>
        <w:tc>
          <w:tcPr>
            <w:tcW w:w="220" w:type="dxa"/>
            <w:vAlign w:val="bottom"/>
          </w:tcPr>
          <w:p>
            <w:pPr>
              <w:spacing w:after="0"/>
              <w:rPr>
                <w:sz w:val="10"/>
                <w:szCs w:val="10"/>
                <w:color w:val="auto"/>
              </w:rPr>
            </w:pPr>
          </w:p>
        </w:tc>
        <w:tc>
          <w:tcPr>
            <w:tcW w:w="660" w:type="dxa"/>
            <w:vAlign w:val="bottom"/>
            <w:tcBorders>
              <w:bottom w:val="single" w:sz="8" w:color="auto"/>
            </w:tcBorders>
          </w:tcPr>
          <w:p>
            <w:pPr>
              <w:jc w:val="center"/>
              <w:spacing w:after="0"/>
              <w:rPr>
                <w:sz w:val="20"/>
                <w:szCs w:val="20"/>
                <w:color w:val="auto"/>
              </w:rPr>
            </w:pPr>
            <w:r>
              <w:rPr>
                <w:rFonts w:ascii="Arial" w:cs="Arial" w:eastAsia="Arial" w:hAnsi="Arial"/>
                <w:sz w:val="10"/>
                <w:szCs w:val="10"/>
                <w:b w:val="1"/>
                <w:bCs w:val="1"/>
                <w:color w:val="auto"/>
                <w:w w:val="98"/>
              </w:rPr>
              <w:t>2017</w:t>
            </w: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86"/>
        </w:trPr>
        <w:tc>
          <w:tcPr>
            <w:tcW w:w="20" w:type="dxa"/>
            <w:vAlign w:val="bottom"/>
          </w:tcPr>
          <w:p>
            <w:pPr>
              <w:spacing w:after="0"/>
              <w:rPr>
                <w:sz w:val="7"/>
                <w:szCs w:val="7"/>
                <w:color w:val="auto"/>
              </w:rPr>
            </w:pPr>
          </w:p>
        </w:tc>
        <w:tc>
          <w:tcPr>
            <w:tcW w:w="3300" w:type="dxa"/>
            <w:vAlign w:val="bottom"/>
          </w:tcPr>
          <w:p>
            <w:pPr>
              <w:spacing w:after="0"/>
              <w:rPr>
                <w:sz w:val="7"/>
                <w:szCs w:val="7"/>
                <w:color w:val="auto"/>
              </w:rPr>
            </w:pPr>
          </w:p>
        </w:tc>
        <w:tc>
          <w:tcPr>
            <w:tcW w:w="700" w:type="dxa"/>
            <w:vAlign w:val="bottom"/>
          </w:tcPr>
          <w:p>
            <w:pPr>
              <w:spacing w:after="0"/>
              <w:rPr>
                <w:sz w:val="7"/>
                <w:szCs w:val="7"/>
                <w:color w:val="auto"/>
              </w:rPr>
            </w:pPr>
          </w:p>
        </w:tc>
        <w:tc>
          <w:tcPr>
            <w:tcW w:w="240" w:type="dxa"/>
            <w:vAlign w:val="bottom"/>
          </w:tcPr>
          <w:p>
            <w:pPr>
              <w:spacing w:after="0"/>
              <w:rPr>
                <w:sz w:val="7"/>
                <w:szCs w:val="7"/>
                <w:color w:val="auto"/>
              </w:rPr>
            </w:pPr>
          </w:p>
        </w:tc>
        <w:tc>
          <w:tcPr>
            <w:tcW w:w="680" w:type="dxa"/>
            <w:vAlign w:val="bottom"/>
          </w:tcPr>
          <w:p>
            <w:pPr>
              <w:spacing w:after="0"/>
              <w:rPr>
                <w:sz w:val="7"/>
                <w:szCs w:val="7"/>
                <w:color w:val="auto"/>
              </w:rPr>
            </w:pPr>
          </w:p>
        </w:tc>
        <w:tc>
          <w:tcPr>
            <w:tcW w:w="140" w:type="dxa"/>
            <w:vAlign w:val="bottom"/>
          </w:tcPr>
          <w:p>
            <w:pPr>
              <w:spacing w:after="0"/>
              <w:rPr>
                <w:sz w:val="7"/>
                <w:szCs w:val="7"/>
                <w:color w:val="auto"/>
              </w:rPr>
            </w:pPr>
          </w:p>
        </w:tc>
        <w:tc>
          <w:tcPr>
            <w:tcW w:w="1260" w:type="dxa"/>
            <w:vAlign w:val="bottom"/>
            <w:gridSpan w:val="4"/>
          </w:tcPr>
          <w:p>
            <w:pPr>
              <w:ind w:left="60"/>
              <w:spacing w:after="0" w:line="86" w:lineRule="exact"/>
              <w:rPr>
                <w:sz w:val="20"/>
                <w:szCs w:val="20"/>
                <w:color w:val="auto"/>
              </w:rPr>
            </w:pPr>
            <w:r>
              <w:rPr>
                <w:rFonts w:ascii="Arial" w:cs="Arial" w:eastAsia="Arial" w:hAnsi="Arial"/>
                <w:sz w:val="9"/>
                <w:szCs w:val="9"/>
                <w:b w:val="1"/>
                <w:bCs w:val="1"/>
                <w:color w:val="auto"/>
              </w:rPr>
              <w:t>($ Equivalent in thousands)</w:t>
            </w:r>
          </w:p>
        </w:tc>
        <w:tc>
          <w:tcPr>
            <w:tcW w:w="460" w:type="dxa"/>
            <w:vAlign w:val="bottom"/>
          </w:tcPr>
          <w:p>
            <w:pPr>
              <w:spacing w:after="0"/>
              <w:rPr>
                <w:sz w:val="7"/>
                <w:szCs w:val="7"/>
                <w:color w:val="auto"/>
              </w:rPr>
            </w:pPr>
          </w:p>
        </w:tc>
        <w:tc>
          <w:tcPr>
            <w:tcW w:w="220" w:type="dxa"/>
            <w:vAlign w:val="bottom"/>
          </w:tcPr>
          <w:p>
            <w:pPr>
              <w:spacing w:after="0"/>
              <w:rPr>
                <w:sz w:val="7"/>
                <w:szCs w:val="7"/>
                <w:color w:val="auto"/>
              </w:rPr>
            </w:pPr>
          </w:p>
        </w:tc>
        <w:tc>
          <w:tcPr>
            <w:tcW w:w="700" w:type="dxa"/>
            <w:vAlign w:val="bottom"/>
          </w:tcPr>
          <w:p>
            <w:pPr>
              <w:spacing w:after="0"/>
              <w:rPr>
                <w:sz w:val="7"/>
                <w:szCs w:val="7"/>
                <w:color w:val="auto"/>
              </w:rPr>
            </w:pPr>
          </w:p>
        </w:tc>
        <w:tc>
          <w:tcPr>
            <w:tcW w:w="220" w:type="dxa"/>
            <w:vAlign w:val="bottom"/>
          </w:tcPr>
          <w:p>
            <w:pPr>
              <w:spacing w:after="0"/>
              <w:rPr>
                <w:sz w:val="7"/>
                <w:szCs w:val="7"/>
                <w:color w:val="auto"/>
              </w:rPr>
            </w:pPr>
          </w:p>
        </w:tc>
        <w:tc>
          <w:tcPr>
            <w:tcW w:w="700" w:type="dxa"/>
            <w:vAlign w:val="bottom"/>
          </w:tcPr>
          <w:p>
            <w:pPr>
              <w:spacing w:after="0"/>
              <w:rPr>
                <w:sz w:val="7"/>
                <w:szCs w:val="7"/>
                <w:color w:val="auto"/>
              </w:rPr>
            </w:pPr>
          </w:p>
        </w:tc>
        <w:tc>
          <w:tcPr>
            <w:tcW w:w="240" w:type="dxa"/>
            <w:vAlign w:val="bottom"/>
          </w:tcPr>
          <w:p>
            <w:pPr>
              <w:spacing w:after="0"/>
              <w:rPr>
                <w:sz w:val="7"/>
                <w:szCs w:val="7"/>
                <w:color w:val="auto"/>
              </w:rPr>
            </w:pPr>
          </w:p>
        </w:tc>
        <w:tc>
          <w:tcPr>
            <w:tcW w:w="680" w:type="dxa"/>
            <w:vAlign w:val="bottom"/>
          </w:tcPr>
          <w:p>
            <w:pPr>
              <w:spacing w:after="0"/>
              <w:rPr>
                <w:sz w:val="7"/>
                <w:szCs w:val="7"/>
                <w:color w:val="auto"/>
              </w:rPr>
            </w:pPr>
          </w:p>
        </w:tc>
        <w:tc>
          <w:tcPr>
            <w:tcW w:w="240" w:type="dxa"/>
            <w:vAlign w:val="bottom"/>
          </w:tcPr>
          <w:p>
            <w:pPr>
              <w:spacing w:after="0"/>
              <w:rPr>
                <w:sz w:val="7"/>
                <w:szCs w:val="7"/>
                <w:color w:val="auto"/>
              </w:rPr>
            </w:pPr>
          </w:p>
        </w:tc>
        <w:tc>
          <w:tcPr>
            <w:tcW w:w="680" w:type="dxa"/>
            <w:vAlign w:val="bottom"/>
          </w:tcPr>
          <w:p>
            <w:pPr>
              <w:spacing w:after="0"/>
              <w:rPr>
                <w:sz w:val="7"/>
                <w:szCs w:val="7"/>
                <w:color w:val="auto"/>
              </w:rPr>
            </w:pPr>
          </w:p>
        </w:tc>
        <w:tc>
          <w:tcPr>
            <w:tcW w:w="220" w:type="dxa"/>
            <w:vAlign w:val="bottom"/>
          </w:tcPr>
          <w:p>
            <w:pPr>
              <w:spacing w:after="0"/>
              <w:rPr>
                <w:sz w:val="7"/>
                <w:szCs w:val="7"/>
                <w:color w:val="auto"/>
              </w:rPr>
            </w:pPr>
          </w:p>
        </w:tc>
        <w:tc>
          <w:tcPr>
            <w:tcW w:w="660" w:type="dxa"/>
            <w:vAlign w:val="bottom"/>
          </w:tcPr>
          <w:p>
            <w:pPr>
              <w:spacing w:after="0"/>
              <w:rPr>
                <w:sz w:val="7"/>
                <w:szCs w:val="7"/>
                <w:color w:val="auto"/>
              </w:rPr>
            </w:pPr>
          </w:p>
        </w:tc>
        <w:tc>
          <w:tcPr>
            <w:tcW w:w="12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spacing w:after="0" w:line="106" w:lineRule="exact"/>
              <w:rPr>
                <w:sz w:val="20"/>
                <w:szCs w:val="20"/>
                <w:color w:val="auto"/>
              </w:rPr>
            </w:pPr>
            <w:r>
              <w:rPr>
                <w:rFonts w:ascii="Arial" w:cs="Arial" w:eastAsia="Arial" w:hAnsi="Arial"/>
                <w:sz w:val="10"/>
                <w:szCs w:val="10"/>
                <w:b w:val="1"/>
                <w:bCs w:val="1"/>
                <w:color w:val="auto"/>
              </w:rPr>
              <w:t>INTEREST RATE SWAPS:</w:t>
            </w: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line="106" w:lineRule="exact"/>
              <w:rPr>
                <w:sz w:val="20"/>
                <w:szCs w:val="20"/>
                <w:color w:val="auto"/>
              </w:rPr>
            </w:pPr>
            <w:r>
              <w:rPr>
                <w:rFonts w:ascii="Arial" w:cs="Arial" w:eastAsia="Arial" w:hAnsi="Arial"/>
                <w:sz w:val="10"/>
                <w:szCs w:val="10"/>
                <w:b w:val="1"/>
                <w:bCs w:val="1"/>
                <w:color w:val="auto"/>
              </w:rPr>
              <w:t>Interest Rate Swaps – Investment Securities</w:t>
            </w: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U.S. Dollars fixed to floating</w:t>
            </w:r>
          </w:p>
        </w:tc>
        <w:tc>
          <w:tcPr>
            <w:tcW w:w="7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9"/>
                <w:szCs w:val="9"/>
                <w:color w:val="auto"/>
              </w:rPr>
            </w:pPr>
          </w:p>
        </w:tc>
        <w:tc>
          <w:tcPr>
            <w:tcW w:w="820" w:type="dxa"/>
            <w:vAlign w:val="bottom"/>
            <w:gridSpan w:val="2"/>
            <w:shd w:val="clear" w:color="auto" w:fill="CCEEFF"/>
          </w:tcPr>
          <w:p>
            <w:pPr>
              <w:jc w:val="right"/>
              <w:ind w:right="140"/>
              <w:spacing w:after="0" w:line="106" w:lineRule="exact"/>
              <w:rPr>
                <w:sz w:val="20"/>
                <w:szCs w:val="20"/>
                <w:color w:val="auto"/>
              </w:rPr>
            </w:pPr>
            <w:r>
              <w:rPr>
                <w:rFonts w:ascii="Arial" w:cs="Arial" w:eastAsia="Arial" w:hAnsi="Arial"/>
                <w:sz w:val="10"/>
                <w:szCs w:val="10"/>
                <w:color w:val="auto"/>
              </w:rPr>
              <w:t>4,500</w:t>
            </w:r>
          </w:p>
        </w:tc>
        <w:tc>
          <w:tcPr>
            <w:tcW w:w="1020" w:type="dxa"/>
            <w:vAlign w:val="bottom"/>
            <w:gridSpan w:val="3"/>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9"/>
                <w:szCs w:val="9"/>
                <w:color w:val="auto"/>
              </w:rPr>
            </w:pPr>
          </w:p>
        </w:tc>
        <w:tc>
          <w:tcPr>
            <w:tcW w:w="68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5,000</w:t>
            </w:r>
          </w:p>
        </w:tc>
        <w:tc>
          <w:tcPr>
            <w:tcW w:w="92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3,000</w:t>
            </w:r>
          </w:p>
        </w:tc>
        <w:tc>
          <w:tcPr>
            <w:tcW w:w="940" w:type="dxa"/>
            <w:vAlign w:val="bottom"/>
            <w:gridSpan w:val="2"/>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12,500</w:t>
            </w:r>
          </w:p>
        </w:tc>
        <w:tc>
          <w:tcPr>
            <w:tcW w:w="78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12,442</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Average pay rate</w:t>
            </w:r>
          </w:p>
        </w:tc>
        <w:tc>
          <w:tcPr>
            <w:tcW w:w="70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820" w:type="dxa"/>
            <w:vAlign w:val="bottom"/>
            <w:gridSpan w:val="2"/>
          </w:tcPr>
          <w:p>
            <w:pPr>
              <w:jc w:val="right"/>
              <w:ind w:right="40"/>
              <w:spacing w:after="0" w:line="106" w:lineRule="exact"/>
              <w:rPr>
                <w:sz w:val="20"/>
                <w:szCs w:val="20"/>
                <w:color w:val="auto"/>
              </w:rPr>
            </w:pPr>
            <w:r>
              <w:rPr>
                <w:rFonts w:ascii="Arial" w:cs="Arial" w:eastAsia="Arial" w:hAnsi="Arial"/>
                <w:sz w:val="10"/>
                <w:szCs w:val="10"/>
                <w:color w:val="auto"/>
              </w:rPr>
              <w:t>9.75%</w:t>
            </w:r>
          </w:p>
        </w:tc>
        <w:tc>
          <w:tcPr>
            <w:tcW w:w="102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68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3.25%</w:t>
            </w:r>
          </w:p>
        </w:tc>
        <w:tc>
          <w:tcPr>
            <w:tcW w:w="92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3.88%</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5.74%</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Average receive rate</w:t>
            </w:r>
          </w:p>
        </w:tc>
        <w:tc>
          <w:tcPr>
            <w:tcW w:w="7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9"/>
                <w:szCs w:val="9"/>
                <w:color w:val="auto"/>
              </w:rPr>
            </w:pPr>
          </w:p>
        </w:tc>
        <w:tc>
          <w:tcPr>
            <w:tcW w:w="820" w:type="dxa"/>
            <w:vAlign w:val="bottom"/>
            <w:gridSpan w:val="2"/>
            <w:shd w:val="clear" w:color="auto" w:fill="CCEEFF"/>
          </w:tcPr>
          <w:p>
            <w:pPr>
              <w:jc w:val="right"/>
              <w:ind w:right="40"/>
              <w:spacing w:after="0" w:line="106" w:lineRule="exact"/>
              <w:rPr>
                <w:sz w:val="20"/>
                <w:szCs w:val="20"/>
                <w:color w:val="auto"/>
              </w:rPr>
            </w:pPr>
            <w:r>
              <w:rPr>
                <w:rFonts w:ascii="Arial" w:cs="Arial" w:eastAsia="Arial" w:hAnsi="Arial"/>
                <w:sz w:val="10"/>
                <w:szCs w:val="10"/>
                <w:color w:val="auto"/>
              </w:rPr>
              <w:t>9.12%</w:t>
            </w:r>
          </w:p>
        </w:tc>
        <w:tc>
          <w:tcPr>
            <w:tcW w:w="1020" w:type="dxa"/>
            <w:vAlign w:val="bottom"/>
            <w:gridSpan w:val="3"/>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9"/>
                <w:szCs w:val="9"/>
                <w:color w:val="auto"/>
              </w:rPr>
            </w:pPr>
          </w:p>
        </w:tc>
        <w:tc>
          <w:tcPr>
            <w:tcW w:w="680" w:type="dxa"/>
            <w:vAlign w:val="bottom"/>
            <w:gridSpan w:val="2"/>
            <w:shd w:val="clear" w:color="auto" w:fill="CCEEFF"/>
          </w:tcPr>
          <w:p>
            <w:pPr>
              <w:jc w:val="right"/>
              <w:ind w:right="140"/>
              <w:spacing w:after="0" w:line="106" w:lineRule="exact"/>
              <w:rPr>
                <w:sz w:val="20"/>
                <w:szCs w:val="20"/>
                <w:color w:val="auto"/>
              </w:rPr>
            </w:pPr>
            <w:r>
              <w:rPr>
                <w:rFonts w:ascii="Arial" w:cs="Arial" w:eastAsia="Arial" w:hAnsi="Arial"/>
                <w:sz w:val="10"/>
                <w:szCs w:val="10"/>
                <w:color w:val="auto"/>
              </w:rPr>
              <w:t>1.55%</w:t>
            </w:r>
          </w:p>
        </w:tc>
        <w:tc>
          <w:tcPr>
            <w:tcW w:w="920" w:type="dxa"/>
            <w:vAlign w:val="bottom"/>
            <w:gridSpan w:val="2"/>
            <w:shd w:val="clear" w:color="auto" w:fill="CCEEFF"/>
          </w:tcPr>
          <w:p>
            <w:pPr>
              <w:jc w:val="right"/>
              <w:ind w:right="140"/>
              <w:spacing w:after="0" w:line="106" w:lineRule="exact"/>
              <w:rPr>
                <w:sz w:val="20"/>
                <w:szCs w:val="20"/>
                <w:color w:val="auto"/>
              </w:rPr>
            </w:pPr>
            <w:r>
              <w:rPr>
                <w:rFonts w:ascii="Arial" w:cs="Arial" w:eastAsia="Arial" w:hAnsi="Arial"/>
                <w:sz w:val="10"/>
                <w:szCs w:val="10"/>
                <w:color w:val="auto"/>
              </w:rPr>
              <w:t>2.73%</w:t>
            </w:r>
          </w:p>
        </w:tc>
        <w:tc>
          <w:tcPr>
            <w:tcW w:w="940" w:type="dxa"/>
            <w:vAlign w:val="bottom"/>
            <w:gridSpan w:val="2"/>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140"/>
              <w:spacing w:after="0" w:line="106" w:lineRule="exact"/>
              <w:rPr>
                <w:sz w:val="20"/>
                <w:szCs w:val="20"/>
                <w:color w:val="auto"/>
              </w:rPr>
            </w:pPr>
            <w:r>
              <w:rPr>
                <w:rFonts w:ascii="Arial" w:cs="Arial" w:eastAsia="Arial" w:hAnsi="Arial"/>
                <w:sz w:val="10"/>
                <w:szCs w:val="10"/>
                <w:color w:val="auto"/>
              </w:rPr>
              <w:t>4.90%</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line="106" w:lineRule="exact"/>
              <w:rPr>
                <w:sz w:val="20"/>
                <w:szCs w:val="20"/>
                <w:color w:val="auto"/>
              </w:rPr>
            </w:pPr>
            <w:r>
              <w:rPr>
                <w:rFonts w:ascii="Arial" w:cs="Arial" w:eastAsia="Arial" w:hAnsi="Arial"/>
                <w:sz w:val="10"/>
                <w:szCs w:val="10"/>
                <w:b w:val="1"/>
                <w:bCs w:val="1"/>
                <w:color w:val="auto"/>
              </w:rPr>
              <w:t>Interest Rate Swaps – Borrowings</w:t>
            </w: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U.S. Dollars fixed to floating</w:t>
            </w:r>
          </w:p>
        </w:tc>
        <w:tc>
          <w:tcPr>
            <w:tcW w:w="7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525,000</w:t>
            </w:r>
          </w:p>
        </w:tc>
        <w:tc>
          <w:tcPr>
            <w:tcW w:w="240" w:type="dxa"/>
            <w:vAlign w:val="bottom"/>
            <w:shd w:val="clear" w:color="auto" w:fill="CCEEFF"/>
          </w:tcPr>
          <w:p>
            <w:pPr>
              <w:spacing w:after="0"/>
              <w:rPr>
                <w:sz w:val="9"/>
                <w:szCs w:val="9"/>
                <w:color w:val="auto"/>
              </w:rPr>
            </w:pPr>
          </w:p>
        </w:tc>
        <w:tc>
          <w:tcPr>
            <w:tcW w:w="820" w:type="dxa"/>
            <w:vAlign w:val="bottom"/>
            <w:gridSpan w:val="2"/>
            <w:shd w:val="clear" w:color="auto" w:fill="CCEEFF"/>
          </w:tcPr>
          <w:p>
            <w:pPr>
              <w:jc w:val="right"/>
              <w:ind w:right="140"/>
              <w:spacing w:after="0" w:line="106" w:lineRule="exact"/>
              <w:rPr>
                <w:sz w:val="20"/>
                <w:szCs w:val="20"/>
                <w:color w:val="auto"/>
              </w:rPr>
            </w:pPr>
            <w:r>
              <w:rPr>
                <w:rFonts w:ascii="Arial" w:cs="Arial" w:eastAsia="Arial" w:hAnsi="Arial"/>
                <w:sz w:val="10"/>
                <w:szCs w:val="10"/>
                <w:color w:val="auto"/>
              </w:rPr>
              <w:t>17,000</w:t>
            </w:r>
          </w:p>
        </w:tc>
        <w:tc>
          <w:tcPr>
            <w:tcW w:w="1020" w:type="dxa"/>
            <w:vAlign w:val="bottom"/>
            <w:gridSpan w:val="3"/>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13,000</w:t>
            </w:r>
          </w:p>
        </w:tc>
        <w:tc>
          <w:tcPr>
            <w:tcW w:w="240" w:type="dxa"/>
            <w:vAlign w:val="bottom"/>
            <w:shd w:val="clear" w:color="auto" w:fill="CCEEFF"/>
          </w:tcPr>
          <w:p>
            <w:pPr>
              <w:spacing w:after="0"/>
              <w:rPr>
                <w:sz w:val="9"/>
                <w:szCs w:val="9"/>
                <w:color w:val="auto"/>
              </w:rPr>
            </w:pPr>
          </w:p>
        </w:tc>
        <w:tc>
          <w:tcPr>
            <w:tcW w:w="68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40,000</w:t>
            </w:r>
          </w:p>
        </w:tc>
        <w:tc>
          <w:tcPr>
            <w:tcW w:w="92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595,000</w:t>
            </w:r>
          </w:p>
        </w:tc>
        <w:tc>
          <w:tcPr>
            <w:tcW w:w="78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594,699</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Average pay rate</w:t>
            </w:r>
          </w:p>
        </w:tc>
        <w:tc>
          <w:tcPr>
            <w:tcW w:w="9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1.94%</w:t>
            </w:r>
          </w:p>
        </w:tc>
        <w:tc>
          <w:tcPr>
            <w:tcW w:w="820" w:type="dxa"/>
            <w:vAlign w:val="bottom"/>
            <w:gridSpan w:val="2"/>
          </w:tcPr>
          <w:p>
            <w:pPr>
              <w:jc w:val="right"/>
              <w:ind w:right="40"/>
              <w:spacing w:after="0" w:line="106" w:lineRule="exact"/>
              <w:rPr>
                <w:sz w:val="20"/>
                <w:szCs w:val="20"/>
                <w:color w:val="auto"/>
              </w:rPr>
            </w:pPr>
            <w:r>
              <w:rPr>
                <w:rFonts w:ascii="Arial" w:cs="Arial" w:eastAsia="Arial" w:hAnsi="Arial"/>
                <w:sz w:val="10"/>
                <w:szCs w:val="10"/>
                <w:color w:val="auto"/>
              </w:rPr>
              <w:t>1.87%</w:t>
            </w:r>
          </w:p>
        </w:tc>
        <w:tc>
          <w:tcPr>
            <w:tcW w:w="1020" w:type="dxa"/>
            <w:vAlign w:val="bottom"/>
            <w:gridSpan w:val="3"/>
          </w:tcPr>
          <w:p>
            <w:pPr>
              <w:jc w:val="right"/>
              <w:ind w:right="140"/>
              <w:spacing w:after="0" w:line="106" w:lineRule="exact"/>
              <w:rPr>
                <w:sz w:val="20"/>
                <w:szCs w:val="20"/>
                <w:color w:val="auto"/>
              </w:rPr>
            </w:pPr>
            <w:r>
              <w:rPr>
                <w:rFonts w:ascii="Arial" w:cs="Arial" w:eastAsia="Arial" w:hAnsi="Arial"/>
                <w:sz w:val="10"/>
                <w:szCs w:val="10"/>
                <w:color w:val="auto"/>
              </w:rPr>
              <w:t>2.12%</w:t>
            </w:r>
          </w:p>
        </w:tc>
        <w:tc>
          <w:tcPr>
            <w:tcW w:w="240" w:type="dxa"/>
            <w:vAlign w:val="bottom"/>
          </w:tcPr>
          <w:p>
            <w:pPr>
              <w:spacing w:after="0"/>
              <w:rPr>
                <w:sz w:val="9"/>
                <w:szCs w:val="9"/>
                <w:color w:val="auto"/>
              </w:rPr>
            </w:pPr>
          </w:p>
        </w:tc>
        <w:tc>
          <w:tcPr>
            <w:tcW w:w="68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2.30%</w:t>
            </w: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1.96%</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Average receive rate</w:t>
            </w:r>
          </w:p>
        </w:tc>
        <w:tc>
          <w:tcPr>
            <w:tcW w:w="940" w:type="dxa"/>
            <w:vAlign w:val="bottom"/>
            <w:gridSpan w:val="2"/>
            <w:shd w:val="clear" w:color="auto" w:fill="CCEEFF"/>
          </w:tcPr>
          <w:p>
            <w:pPr>
              <w:jc w:val="right"/>
              <w:ind w:right="160"/>
              <w:spacing w:after="0" w:line="106" w:lineRule="exact"/>
              <w:rPr>
                <w:sz w:val="20"/>
                <w:szCs w:val="20"/>
                <w:color w:val="auto"/>
              </w:rPr>
            </w:pPr>
            <w:r>
              <w:rPr>
                <w:rFonts w:ascii="Arial" w:cs="Arial" w:eastAsia="Arial" w:hAnsi="Arial"/>
                <w:sz w:val="10"/>
                <w:szCs w:val="10"/>
                <w:color w:val="auto"/>
              </w:rPr>
              <w:t>1.87%</w:t>
            </w:r>
          </w:p>
        </w:tc>
        <w:tc>
          <w:tcPr>
            <w:tcW w:w="820" w:type="dxa"/>
            <w:vAlign w:val="bottom"/>
            <w:gridSpan w:val="2"/>
            <w:shd w:val="clear" w:color="auto" w:fill="CCEEFF"/>
          </w:tcPr>
          <w:p>
            <w:pPr>
              <w:jc w:val="right"/>
              <w:ind w:right="40"/>
              <w:spacing w:after="0" w:line="106" w:lineRule="exact"/>
              <w:rPr>
                <w:sz w:val="20"/>
                <w:szCs w:val="20"/>
                <w:color w:val="auto"/>
              </w:rPr>
            </w:pPr>
            <w:r>
              <w:rPr>
                <w:rFonts w:ascii="Arial" w:cs="Arial" w:eastAsia="Arial" w:hAnsi="Arial"/>
                <w:sz w:val="10"/>
                <w:szCs w:val="10"/>
                <w:color w:val="auto"/>
              </w:rPr>
              <w:t>1.55%</w:t>
            </w:r>
          </w:p>
        </w:tc>
        <w:tc>
          <w:tcPr>
            <w:tcW w:w="1020" w:type="dxa"/>
            <w:vAlign w:val="bottom"/>
            <w:gridSpan w:val="3"/>
            <w:shd w:val="clear" w:color="auto" w:fill="CCEEFF"/>
          </w:tcPr>
          <w:p>
            <w:pPr>
              <w:jc w:val="right"/>
              <w:ind w:right="140"/>
              <w:spacing w:after="0" w:line="106" w:lineRule="exact"/>
              <w:rPr>
                <w:sz w:val="20"/>
                <w:szCs w:val="20"/>
                <w:color w:val="auto"/>
              </w:rPr>
            </w:pPr>
            <w:r>
              <w:rPr>
                <w:rFonts w:ascii="Arial" w:cs="Arial" w:eastAsia="Arial" w:hAnsi="Arial"/>
                <w:sz w:val="10"/>
                <w:szCs w:val="10"/>
                <w:color w:val="auto"/>
              </w:rPr>
              <w:t>1.55%</w:t>
            </w:r>
          </w:p>
        </w:tc>
        <w:tc>
          <w:tcPr>
            <w:tcW w:w="240" w:type="dxa"/>
            <w:vAlign w:val="bottom"/>
            <w:shd w:val="clear" w:color="auto" w:fill="CCEEFF"/>
          </w:tcPr>
          <w:p>
            <w:pPr>
              <w:spacing w:after="0"/>
              <w:rPr>
                <w:sz w:val="9"/>
                <w:szCs w:val="9"/>
                <w:color w:val="auto"/>
              </w:rPr>
            </w:pPr>
          </w:p>
        </w:tc>
        <w:tc>
          <w:tcPr>
            <w:tcW w:w="680" w:type="dxa"/>
            <w:vAlign w:val="bottom"/>
            <w:gridSpan w:val="2"/>
            <w:shd w:val="clear" w:color="auto" w:fill="CCEEFF"/>
          </w:tcPr>
          <w:p>
            <w:pPr>
              <w:jc w:val="right"/>
              <w:ind w:right="140"/>
              <w:spacing w:after="0" w:line="106" w:lineRule="exact"/>
              <w:rPr>
                <w:sz w:val="20"/>
                <w:szCs w:val="20"/>
                <w:color w:val="auto"/>
              </w:rPr>
            </w:pPr>
            <w:r>
              <w:rPr>
                <w:rFonts w:ascii="Arial" w:cs="Arial" w:eastAsia="Arial" w:hAnsi="Arial"/>
                <w:sz w:val="10"/>
                <w:szCs w:val="10"/>
                <w:color w:val="auto"/>
              </w:rPr>
              <w:t>1.55%</w:t>
            </w:r>
          </w:p>
        </w:tc>
        <w:tc>
          <w:tcPr>
            <w:tcW w:w="92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140"/>
              <w:spacing w:after="0" w:line="106" w:lineRule="exact"/>
              <w:rPr>
                <w:sz w:val="20"/>
                <w:szCs w:val="20"/>
                <w:color w:val="auto"/>
              </w:rPr>
            </w:pPr>
            <w:r>
              <w:rPr>
                <w:rFonts w:ascii="Arial" w:cs="Arial" w:eastAsia="Arial" w:hAnsi="Arial"/>
                <w:sz w:val="10"/>
                <w:szCs w:val="10"/>
                <w:color w:val="auto"/>
              </w:rPr>
              <w:t>1.84%</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line="106" w:lineRule="exact"/>
              <w:rPr>
                <w:sz w:val="20"/>
                <w:szCs w:val="20"/>
                <w:color w:val="auto"/>
              </w:rPr>
            </w:pPr>
            <w:r>
              <w:rPr>
                <w:rFonts w:ascii="Arial" w:cs="Arial" w:eastAsia="Arial" w:hAnsi="Arial"/>
                <w:sz w:val="10"/>
                <w:szCs w:val="10"/>
                <w:b w:val="1"/>
                <w:bCs w:val="1"/>
                <w:color w:val="auto"/>
              </w:rPr>
              <w:t>Interest Rate Swaps – Issuances</w:t>
            </w: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U.S. Dollars fixed to floating</w:t>
            </w:r>
          </w:p>
        </w:tc>
        <w:tc>
          <w:tcPr>
            <w:tcW w:w="7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9"/>
                <w:szCs w:val="9"/>
                <w:color w:val="auto"/>
              </w:rPr>
            </w:pPr>
          </w:p>
        </w:tc>
        <w:tc>
          <w:tcPr>
            <w:tcW w:w="820" w:type="dxa"/>
            <w:vAlign w:val="bottom"/>
            <w:gridSpan w:val="2"/>
            <w:shd w:val="clear" w:color="auto" w:fill="CCEEFF"/>
          </w:tcPr>
          <w:p>
            <w:pPr>
              <w:jc w:val="right"/>
              <w:ind w:right="140"/>
              <w:spacing w:after="0" w:line="106" w:lineRule="exact"/>
              <w:rPr>
                <w:sz w:val="20"/>
                <w:szCs w:val="20"/>
                <w:color w:val="auto"/>
              </w:rPr>
            </w:pPr>
            <w:r>
              <w:rPr>
                <w:rFonts w:ascii="Arial" w:cs="Arial" w:eastAsia="Arial" w:hAnsi="Arial"/>
                <w:sz w:val="10"/>
                <w:szCs w:val="10"/>
                <w:color w:val="auto"/>
              </w:rPr>
              <w:t>-</w:t>
            </w:r>
          </w:p>
        </w:tc>
        <w:tc>
          <w:tcPr>
            <w:tcW w:w="1020" w:type="dxa"/>
            <w:vAlign w:val="bottom"/>
            <w:gridSpan w:val="3"/>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350,000</w:t>
            </w:r>
          </w:p>
        </w:tc>
        <w:tc>
          <w:tcPr>
            <w:tcW w:w="240" w:type="dxa"/>
            <w:vAlign w:val="bottom"/>
            <w:shd w:val="clear" w:color="auto" w:fill="CCEEFF"/>
          </w:tcPr>
          <w:p>
            <w:pPr>
              <w:spacing w:after="0"/>
              <w:rPr>
                <w:sz w:val="9"/>
                <w:szCs w:val="9"/>
                <w:color w:val="auto"/>
              </w:rPr>
            </w:pPr>
          </w:p>
        </w:tc>
        <w:tc>
          <w:tcPr>
            <w:tcW w:w="68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5,000</w:t>
            </w:r>
          </w:p>
        </w:tc>
        <w:tc>
          <w:tcPr>
            <w:tcW w:w="92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355,000</w:t>
            </w:r>
          </w:p>
        </w:tc>
        <w:tc>
          <w:tcPr>
            <w:tcW w:w="78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350,699</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Average pay rate</w:t>
            </w:r>
          </w:p>
        </w:tc>
        <w:tc>
          <w:tcPr>
            <w:tcW w:w="70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82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w:t>
            </w:r>
          </w:p>
        </w:tc>
        <w:tc>
          <w:tcPr>
            <w:tcW w:w="1020" w:type="dxa"/>
            <w:vAlign w:val="bottom"/>
            <w:gridSpan w:val="3"/>
          </w:tcPr>
          <w:p>
            <w:pPr>
              <w:jc w:val="right"/>
              <w:ind w:right="140"/>
              <w:spacing w:after="0" w:line="106" w:lineRule="exact"/>
              <w:rPr>
                <w:sz w:val="20"/>
                <w:szCs w:val="20"/>
                <w:color w:val="auto"/>
              </w:rPr>
            </w:pPr>
            <w:r>
              <w:rPr>
                <w:rFonts w:ascii="Arial" w:cs="Arial" w:eastAsia="Arial" w:hAnsi="Arial"/>
                <w:sz w:val="10"/>
                <w:szCs w:val="10"/>
                <w:color w:val="auto"/>
              </w:rPr>
              <w:t>2.83%</w:t>
            </w:r>
          </w:p>
        </w:tc>
        <w:tc>
          <w:tcPr>
            <w:tcW w:w="240" w:type="dxa"/>
            <w:vAlign w:val="bottom"/>
          </w:tcPr>
          <w:p>
            <w:pPr>
              <w:spacing w:after="0"/>
              <w:rPr>
                <w:sz w:val="9"/>
                <w:szCs w:val="9"/>
                <w:color w:val="auto"/>
              </w:rPr>
            </w:pPr>
          </w:p>
        </w:tc>
        <w:tc>
          <w:tcPr>
            <w:tcW w:w="68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2.89%</w:t>
            </w: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2.84%</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Average receive rate</w:t>
            </w:r>
          </w:p>
        </w:tc>
        <w:tc>
          <w:tcPr>
            <w:tcW w:w="7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9"/>
                <w:szCs w:val="9"/>
                <w:color w:val="auto"/>
              </w:rPr>
            </w:pPr>
          </w:p>
        </w:tc>
        <w:tc>
          <w:tcPr>
            <w:tcW w:w="820" w:type="dxa"/>
            <w:vAlign w:val="bottom"/>
            <w:gridSpan w:val="2"/>
            <w:shd w:val="clear" w:color="auto" w:fill="CCEEFF"/>
          </w:tcPr>
          <w:p>
            <w:pPr>
              <w:jc w:val="right"/>
              <w:ind w:right="140"/>
              <w:spacing w:after="0" w:line="106" w:lineRule="exact"/>
              <w:rPr>
                <w:sz w:val="20"/>
                <w:szCs w:val="20"/>
                <w:color w:val="auto"/>
              </w:rPr>
            </w:pPr>
            <w:r>
              <w:rPr>
                <w:rFonts w:ascii="Arial" w:cs="Arial" w:eastAsia="Arial" w:hAnsi="Arial"/>
                <w:sz w:val="10"/>
                <w:szCs w:val="10"/>
                <w:color w:val="auto"/>
              </w:rPr>
              <w:t>-</w:t>
            </w:r>
          </w:p>
        </w:tc>
        <w:tc>
          <w:tcPr>
            <w:tcW w:w="1020" w:type="dxa"/>
            <w:vAlign w:val="bottom"/>
            <w:gridSpan w:val="3"/>
            <w:shd w:val="clear" w:color="auto" w:fill="CCEEFF"/>
          </w:tcPr>
          <w:p>
            <w:pPr>
              <w:jc w:val="right"/>
              <w:ind w:right="140"/>
              <w:spacing w:after="0" w:line="106" w:lineRule="exact"/>
              <w:rPr>
                <w:sz w:val="20"/>
                <w:szCs w:val="20"/>
                <w:color w:val="auto"/>
              </w:rPr>
            </w:pPr>
            <w:r>
              <w:rPr>
                <w:rFonts w:ascii="Arial" w:cs="Arial" w:eastAsia="Arial" w:hAnsi="Arial"/>
                <w:sz w:val="10"/>
                <w:szCs w:val="10"/>
                <w:color w:val="auto"/>
              </w:rPr>
              <w:t>3.25%</w:t>
            </w:r>
          </w:p>
        </w:tc>
        <w:tc>
          <w:tcPr>
            <w:tcW w:w="240" w:type="dxa"/>
            <w:vAlign w:val="bottom"/>
            <w:shd w:val="clear" w:color="auto" w:fill="CCEEFF"/>
          </w:tcPr>
          <w:p>
            <w:pPr>
              <w:spacing w:after="0"/>
              <w:rPr>
                <w:sz w:val="9"/>
                <w:szCs w:val="9"/>
                <w:color w:val="auto"/>
              </w:rPr>
            </w:pPr>
          </w:p>
        </w:tc>
        <w:tc>
          <w:tcPr>
            <w:tcW w:w="680" w:type="dxa"/>
            <w:vAlign w:val="bottom"/>
            <w:gridSpan w:val="2"/>
            <w:shd w:val="clear" w:color="auto" w:fill="CCEEFF"/>
          </w:tcPr>
          <w:p>
            <w:pPr>
              <w:jc w:val="right"/>
              <w:ind w:right="140"/>
              <w:spacing w:after="0" w:line="106" w:lineRule="exact"/>
              <w:rPr>
                <w:sz w:val="20"/>
                <w:szCs w:val="20"/>
                <w:color w:val="auto"/>
              </w:rPr>
            </w:pPr>
            <w:r>
              <w:rPr>
                <w:rFonts w:ascii="Arial" w:cs="Arial" w:eastAsia="Arial" w:hAnsi="Arial"/>
                <w:sz w:val="10"/>
                <w:szCs w:val="10"/>
                <w:color w:val="auto"/>
              </w:rPr>
              <w:t>2.85%</w:t>
            </w:r>
          </w:p>
        </w:tc>
        <w:tc>
          <w:tcPr>
            <w:tcW w:w="92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140"/>
              <w:spacing w:after="0" w:line="106" w:lineRule="exact"/>
              <w:rPr>
                <w:sz w:val="20"/>
                <w:szCs w:val="20"/>
                <w:color w:val="auto"/>
              </w:rPr>
            </w:pPr>
            <w:r>
              <w:rPr>
                <w:rFonts w:ascii="Arial" w:cs="Arial" w:eastAsia="Arial" w:hAnsi="Arial"/>
                <w:sz w:val="10"/>
                <w:szCs w:val="10"/>
                <w:color w:val="auto"/>
              </w:rPr>
              <w:t>3.24%</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restart"/>
          </w:tcPr>
          <w:p>
            <w:pPr>
              <w:spacing w:after="0"/>
              <w:rPr>
                <w:sz w:val="9"/>
                <w:szCs w:val="9"/>
                <w:color w:val="auto"/>
              </w:rPr>
            </w:pPr>
          </w:p>
        </w:tc>
        <w:tc>
          <w:tcPr>
            <w:tcW w:w="330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continue"/>
          </w:tcPr>
          <w:p>
            <w:pPr>
              <w:spacing w:after="0"/>
              <w:rPr>
                <w:sz w:val="9"/>
                <w:szCs w:val="9"/>
                <w:color w:val="auto"/>
              </w:rPr>
            </w:pPr>
          </w:p>
        </w:tc>
        <w:tc>
          <w:tcPr>
            <w:tcW w:w="3300" w:type="dxa"/>
            <w:vAlign w:val="bottom"/>
            <w:shd w:val="clear" w:color="auto" w:fill="CCEEFF"/>
          </w:tcPr>
          <w:p>
            <w:pPr>
              <w:spacing w:after="0" w:line="106" w:lineRule="exact"/>
              <w:rPr>
                <w:sz w:val="20"/>
                <w:szCs w:val="20"/>
                <w:color w:val="auto"/>
              </w:rPr>
            </w:pPr>
            <w:r>
              <w:rPr>
                <w:rFonts w:ascii="Arial" w:cs="Arial" w:eastAsia="Arial" w:hAnsi="Arial"/>
                <w:sz w:val="10"/>
                <w:szCs w:val="10"/>
                <w:b w:val="1"/>
                <w:bCs w:val="1"/>
                <w:color w:val="auto"/>
              </w:rPr>
              <w:t>CROSS CURRENCY SWAPS:</w:t>
            </w: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line="106" w:lineRule="exact"/>
              <w:rPr>
                <w:sz w:val="20"/>
                <w:szCs w:val="20"/>
                <w:color w:val="auto"/>
              </w:rPr>
            </w:pPr>
            <w:r>
              <w:rPr>
                <w:rFonts w:ascii="Arial" w:cs="Arial" w:eastAsia="Arial" w:hAnsi="Arial"/>
                <w:sz w:val="10"/>
                <w:szCs w:val="10"/>
                <w:b w:val="1"/>
                <w:bCs w:val="1"/>
                <w:color w:val="auto"/>
              </w:rPr>
              <w:t>Cross Currency Swaps</w:t>
            </w: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Receive U.S. Dollars</w:t>
            </w:r>
          </w:p>
        </w:tc>
        <w:tc>
          <w:tcPr>
            <w:tcW w:w="7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13,199</w:t>
            </w:r>
          </w:p>
        </w:tc>
        <w:tc>
          <w:tcPr>
            <w:tcW w:w="240" w:type="dxa"/>
            <w:vAlign w:val="bottom"/>
            <w:shd w:val="clear" w:color="auto" w:fill="CCEEFF"/>
          </w:tcPr>
          <w:p>
            <w:pPr>
              <w:spacing w:after="0"/>
              <w:rPr>
                <w:sz w:val="9"/>
                <w:szCs w:val="9"/>
                <w:color w:val="auto"/>
              </w:rPr>
            </w:pPr>
          </w:p>
        </w:tc>
        <w:tc>
          <w:tcPr>
            <w:tcW w:w="820" w:type="dxa"/>
            <w:vAlign w:val="bottom"/>
            <w:gridSpan w:val="2"/>
            <w:shd w:val="clear" w:color="auto" w:fill="CCEEFF"/>
          </w:tcPr>
          <w:p>
            <w:pPr>
              <w:jc w:val="right"/>
              <w:ind w:right="140"/>
              <w:spacing w:after="0" w:line="106" w:lineRule="exact"/>
              <w:rPr>
                <w:sz w:val="20"/>
                <w:szCs w:val="20"/>
                <w:color w:val="auto"/>
              </w:rPr>
            </w:pPr>
            <w:r>
              <w:rPr>
                <w:rFonts w:ascii="Arial" w:cs="Arial" w:eastAsia="Arial" w:hAnsi="Arial"/>
                <w:sz w:val="10"/>
                <w:szCs w:val="10"/>
                <w:color w:val="auto"/>
              </w:rPr>
              <w:t>-</w:t>
            </w:r>
          </w:p>
        </w:tc>
        <w:tc>
          <w:tcPr>
            <w:tcW w:w="1020" w:type="dxa"/>
            <w:vAlign w:val="bottom"/>
            <w:gridSpan w:val="3"/>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6,260</w:t>
            </w:r>
          </w:p>
        </w:tc>
        <w:tc>
          <w:tcPr>
            <w:tcW w:w="940" w:type="dxa"/>
            <w:vAlign w:val="bottom"/>
            <w:gridSpan w:val="2"/>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7,282</w:t>
            </w:r>
          </w:p>
        </w:tc>
        <w:tc>
          <w:tcPr>
            <w:tcW w:w="920" w:type="dxa"/>
            <w:vAlign w:val="bottom"/>
            <w:gridSpan w:val="2"/>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26,741</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U.S. Dollars fixed rate</w:t>
            </w:r>
          </w:p>
        </w:tc>
        <w:tc>
          <w:tcPr>
            <w:tcW w:w="70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82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w:t>
            </w:r>
          </w:p>
        </w:tc>
        <w:tc>
          <w:tcPr>
            <w:tcW w:w="102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4.84%</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4.84%</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U.S. Dollars floating rate</w:t>
            </w:r>
          </w:p>
        </w:tc>
        <w:tc>
          <w:tcPr>
            <w:tcW w:w="940" w:type="dxa"/>
            <w:vAlign w:val="bottom"/>
            <w:gridSpan w:val="2"/>
            <w:shd w:val="clear" w:color="auto" w:fill="CCEEFF"/>
          </w:tcPr>
          <w:p>
            <w:pPr>
              <w:jc w:val="right"/>
              <w:ind w:right="160"/>
              <w:spacing w:after="0" w:line="106" w:lineRule="exact"/>
              <w:rPr>
                <w:sz w:val="20"/>
                <w:szCs w:val="20"/>
                <w:color w:val="auto"/>
              </w:rPr>
            </w:pPr>
            <w:r>
              <w:rPr>
                <w:rFonts w:ascii="Arial" w:cs="Arial" w:eastAsia="Arial" w:hAnsi="Arial"/>
                <w:sz w:val="10"/>
                <w:szCs w:val="10"/>
                <w:color w:val="auto"/>
              </w:rPr>
              <w:t>2.14%</w:t>
            </w:r>
          </w:p>
        </w:tc>
        <w:tc>
          <w:tcPr>
            <w:tcW w:w="820" w:type="dxa"/>
            <w:vAlign w:val="bottom"/>
            <w:gridSpan w:val="2"/>
            <w:shd w:val="clear" w:color="auto" w:fill="CCEEFF"/>
          </w:tcPr>
          <w:p>
            <w:pPr>
              <w:jc w:val="right"/>
              <w:ind w:right="140"/>
              <w:spacing w:after="0" w:line="106" w:lineRule="exact"/>
              <w:rPr>
                <w:sz w:val="20"/>
                <w:szCs w:val="20"/>
                <w:color w:val="auto"/>
              </w:rPr>
            </w:pPr>
            <w:r>
              <w:rPr>
                <w:rFonts w:ascii="Arial" w:cs="Arial" w:eastAsia="Arial" w:hAnsi="Arial"/>
                <w:sz w:val="10"/>
                <w:szCs w:val="10"/>
                <w:color w:val="auto"/>
              </w:rPr>
              <w:t>-</w:t>
            </w:r>
          </w:p>
        </w:tc>
        <w:tc>
          <w:tcPr>
            <w:tcW w:w="1020" w:type="dxa"/>
            <w:vAlign w:val="bottom"/>
            <w:gridSpan w:val="3"/>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140"/>
              <w:spacing w:after="0" w:line="106" w:lineRule="exact"/>
              <w:rPr>
                <w:sz w:val="20"/>
                <w:szCs w:val="20"/>
                <w:color w:val="auto"/>
              </w:rPr>
            </w:pPr>
            <w:r>
              <w:rPr>
                <w:rFonts w:ascii="Arial" w:cs="Arial" w:eastAsia="Arial" w:hAnsi="Arial"/>
                <w:sz w:val="10"/>
                <w:szCs w:val="10"/>
                <w:color w:val="auto"/>
              </w:rPr>
              <w:t>5.24%</w:t>
            </w:r>
          </w:p>
        </w:tc>
        <w:tc>
          <w:tcPr>
            <w:tcW w:w="940" w:type="dxa"/>
            <w:vAlign w:val="bottom"/>
            <w:gridSpan w:val="2"/>
            <w:shd w:val="clear" w:color="auto" w:fill="CCEEFF"/>
          </w:tcPr>
          <w:p>
            <w:pPr>
              <w:jc w:val="right"/>
              <w:ind w:right="160"/>
              <w:spacing w:after="0" w:line="106" w:lineRule="exact"/>
              <w:rPr>
                <w:sz w:val="20"/>
                <w:szCs w:val="20"/>
                <w:color w:val="auto"/>
              </w:rPr>
            </w:pPr>
            <w:r>
              <w:rPr>
                <w:rFonts w:ascii="Arial" w:cs="Arial" w:eastAsia="Arial" w:hAnsi="Arial"/>
                <w:sz w:val="10"/>
                <w:szCs w:val="10"/>
                <w:color w:val="auto"/>
              </w:rPr>
              <w:t>5.43%</w:t>
            </w:r>
          </w:p>
        </w:tc>
        <w:tc>
          <w:tcPr>
            <w:tcW w:w="920" w:type="dxa"/>
            <w:vAlign w:val="bottom"/>
            <w:gridSpan w:val="2"/>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140"/>
              <w:spacing w:after="0" w:line="106" w:lineRule="exact"/>
              <w:rPr>
                <w:sz w:val="20"/>
                <w:szCs w:val="20"/>
                <w:color w:val="auto"/>
              </w:rPr>
            </w:pPr>
            <w:r>
              <w:rPr>
                <w:rFonts w:ascii="Arial" w:cs="Arial" w:eastAsia="Arial" w:hAnsi="Arial"/>
                <w:sz w:val="10"/>
                <w:szCs w:val="10"/>
                <w:color w:val="auto"/>
              </w:rPr>
              <w:t>3.47%</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Pay U.S. Dollars</w:t>
            </w:r>
          </w:p>
        </w:tc>
        <w:tc>
          <w:tcPr>
            <w:tcW w:w="700" w:type="dxa"/>
            <w:vAlign w:val="bottom"/>
          </w:tcPr>
          <w:p>
            <w:pPr>
              <w:jc w:val="right"/>
              <w:spacing w:after="0" w:line="106" w:lineRule="exact"/>
              <w:rPr>
                <w:sz w:val="20"/>
                <w:szCs w:val="20"/>
                <w:color w:val="auto"/>
              </w:rPr>
            </w:pPr>
            <w:r>
              <w:rPr>
                <w:rFonts w:ascii="Arial" w:cs="Arial" w:eastAsia="Arial" w:hAnsi="Arial"/>
                <w:sz w:val="10"/>
                <w:szCs w:val="10"/>
                <w:color w:val="auto"/>
              </w:rPr>
              <w:t>64,948</w:t>
            </w:r>
          </w:p>
        </w:tc>
        <w:tc>
          <w:tcPr>
            <w:tcW w:w="240" w:type="dxa"/>
            <w:vAlign w:val="bottom"/>
          </w:tcPr>
          <w:p>
            <w:pPr>
              <w:spacing w:after="0"/>
              <w:rPr>
                <w:sz w:val="9"/>
                <w:szCs w:val="9"/>
                <w:color w:val="auto"/>
              </w:rPr>
            </w:pPr>
          </w:p>
        </w:tc>
        <w:tc>
          <w:tcPr>
            <w:tcW w:w="82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146,505</w:t>
            </w:r>
          </w:p>
        </w:tc>
        <w:tc>
          <w:tcPr>
            <w:tcW w:w="102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23,025</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68,768</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303,246</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U.S. Dollars fixed rate</w:t>
            </w:r>
          </w:p>
        </w:tc>
        <w:tc>
          <w:tcPr>
            <w:tcW w:w="7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9"/>
                <w:szCs w:val="9"/>
                <w:color w:val="auto"/>
              </w:rPr>
            </w:pPr>
          </w:p>
        </w:tc>
        <w:tc>
          <w:tcPr>
            <w:tcW w:w="820" w:type="dxa"/>
            <w:vAlign w:val="bottom"/>
            <w:gridSpan w:val="2"/>
            <w:shd w:val="clear" w:color="auto" w:fill="CCEEFF"/>
          </w:tcPr>
          <w:p>
            <w:pPr>
              <w:jc w:val="right"/>
              <w:ind w:right="140"/>
              <w:spacing w:after="0" w:line="106" w:lineRule="exact"/>
              <w:rPr>
                <w:sz w:val="20"/>
                <w:szCs w:val="20"/>
                <w:color w:val="auto"/>
              </w:rPr>
            </w:pPr>
            <w:r>
              <w:rPr>
                <w:rFonts w:ascii="Arial" w:cs="Arial" w:eastAsia="Arial" w:hAnsi="Arial"/>
                <w:sz w:val="10"/>
                <w:szCs w:val="10"/>
                <w:color w:val="auto"/>
              </w:rPr>
              <w:t>-</w:t>
            </w:r>
          </w:p>
        </w:tc>
        <w:tc>
          <w:tcPr>
            <w:tcW w:w="1020" w:type="dxa"/>
            <w:vAlign w:val="bottom"/>
            <w:gridSpan w:val="3"/>
            <w:shd w:val="clear" w:color="auto" w:fill="CCEEFF"/>
          </w:tcPr>
          <w:p>
            <w:pPr>
              <w:jc w:val="right"/>
              <w:ind w:right="140"/>
              <w:spacing w:after="0" w:line="106" w:lineRule="exact"/>
              <w:rPr>
                <w:sz w:val="20"/>
                <w:szCs w:val="20"/>
                <w:color w:val="auto"/>
              </w:rPr>
            </w:pPr>
            <w:r>
              <w:rPr>
                <w:rFonts w:ascii="Arial" w:cs="Arial" w:eastAsia="Arial" w:hAnsi="Arial"/>
                <w:sz w:val="10"/>
                <w:szCs w:val="10"/>
                <w:color w:val="auto"/>
              </w:rPr>
              <w:t>2.53%</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140"/>
              <w:spacing w:after="0" w:line="106" w:lineRule="exact"/>
              <w:rPr>
                <w:sz w:val="20"/>
                <w:szCs w:val="20"/>
                <w:color w:val="auto"/>
              </w:rPr>
            </w:pPr>
            <w:r>
              <w:rPr>
                <w:rFonts w:ascii="Arial" w:cs="Arial" w:eastAsia="Arial" w:hAnsi="Arial"/>
                <w:sz w:val="10"/>
                <w:szCs w:val="10"/>
                <w:color w:val="auto"/>
              </w:rPr>
              <w:t>2.53%</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U.S. Dollars floating rate</w:t>
            </w:r>
          </w:p>
        </w:tc>
        <w:tc>
          <w:tcPr>
            <w:tcW w:w="9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2.60%</w:t>
            </w:r>
          </w:p>
        </w:tc>
        <w:tc>
          <w:tcPr>
            <w:tcW w:w="820" w:type="dxa"/>
            <w:vAlign w:val="bottom"/>
            <w:gridSpan w:val="2"/>
          </w:tcPr>
          <w:p>
            <w:pPr>
              <w:jc w:val="right"/>
              <w:ind w:right="40"/>
              <w:spacing w:after="0" w:line="106" w:lineRule="exact"/>
              <w:rPr>
                <w:sz w:val="20"/>
                <w:szCs w:val="20"/>
                <w:color w:val="auto"/>
              </w:rPr>
            </w:pPr>
            <w:r>
              <w:rPr>
                <w:rFonts w:ascii="Arial" w:cs="Arial" w:eastAsia="Arial" w:hAnsi="Arial"/>
                <w:sz w:val="10"/>
                <w:szCs w:val="10"/>
                <w:color w:val="auto"/>
              </w:rPr>
              <w:t>2.81%</w:t>
            </w:r>
          </w:p>
        </w:tc>
        <w:tc>
          <w:tcPr>
            <w:tcW w:w="102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3.96%</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3.04%</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Receive Mexican Peso</w:t>
            </w:r>
          </w:p>
        </w:tc>
        <w:tc>
          <w:tcPr>
            <w:tcW w:w="7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40,000</w:t>
            </w:r>
          </w:p>
        </w:tc>
        <w:tc>
          <w:tcPr>
            <w:tcW w:w="240" w:type="dxa"/>
            <w:vAlign w:val="bottom"/>
            <w:shd w:val="clear" w:color="auto" w:fill="CCEEFF"/>
          </w:tcPr>
          <w:p>
            <w:pPr>
              <w:spacing w:after="0"/>
              <w:rPr>
                <w:sz w:val="9"/>
                <w:szCs w:val="9"/>
                <w:color w:val="auto"/>
              </w:rPr>
            </w:pPr>
          </w:p>
        </w:tc>
        <w:tc>
          <w:tcPr>
            <w:tcW w:w="820" w:type="dxa"/>
            <w:vAlign w:val="bottom"/>
            <w:gridSpan w:val="2"/>
            <w:shd w:val="clear" w:color="auto" w:fill="CCEEFF"/>
          </w:tcPr>
          <w:p>
            <w:pPr>
              <w:jc w:val="right"/>
              <w:ind w:right="140"/>
              <w:spacing w:after="0" w:line="106" w:lineRule="exact"/>
              <w:rPr>
                <w:sz w:val="20"/>
                <w:szCs w:val="20"/>
                <w:color w:val="auto"/>
              </w:rPr>
            </w:pPr>
            <w:r>
              <w:rPr>
                <w:rFonts w:ascii="Arial" w:cs="Arial" w:eastAsia="Arial" w:hAnsi="Arial"/>
                <w:sz w:val="10"/>
                <w:szCs w:val="10"/>
                <w:color w:val="auto"/>
              </w:rPr>
              <w:t>73,312</w:t>
            </w:r>
          </w:p>
        </w:tc>
        <w:tc>
          <w:tcPr>
            <w:tcW w:w="1020" w:type="dxa"/>
            <w:vAlign w:val="bottom"/>
            <w:gridSpan w:val="3"/>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113,312</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Mexican Peso floating rate</w:t>
            </w:r>
          </w:p>
        </w:tc>
        <w:tc>
          <w:tcPr>
            <w:tcW w:w="9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8.01%</w:t>
            </w:r>
          </w:p>
        </w:tc>
        <w:tc>
          <w:tcPr>
            <w:tcW w:w="820" w:type="dxa"/>
            <w:vAlign w:val="bottom"/>
            <w:gridSpan w:val="2"/>
          </w:tcPr>
          <w:p>
            <w:pPr>
              <w:jc w:val="right"/>
              <w:ind w:right="40"/>
              <w:spacing w:after="0" w:line="106" w:lineRule="exact"/>
              <w:rPr>
                <w:sz w:val="20"/>
                <w:szCs w:val="20"/>
                <w:color w:val="auto"/>
              </w:rPr>
            </w:pPr>
            <w:r>
              <w:rPr>
                <w:rFonts w:ascii="Arial" w:cs="Arial" w:eastAsia="Arial" w:hAnsi="Arial"/>
                <w:sz w:val="10"/>
                <w:szCs w:val="10"/>
                <w:color w:val="auto"/>
              </w:rPr>
              <w:t>7.99%</w:t>
            </w:r>
          </w:p>
        </w:tc>
        <w:tc>
          <w:tcPr>
            <w:tcW w:w="102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8.00%</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Pay Mexican Peso</w:t>
            </w:r>
          </w:p>
        </w:tc>
        <w:tc>
          <w:tcPr>
            <w:tcW w:w="7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13,199</w:t>
            </w:r>
          </w:p>
        </w:tc>
        <w:tc>
          <w:tcPr>
            <w:tcW w:w="240" w:type="dxa"/>
            <w:vAlign w:val="bottom"/>
            <w:shd w:val="clear" w:color="auto" w:fill="CCEEFF"/>
          </w:tcPr>
          <w:p>
            <w:pPr>
              <w:spacing w:after="0"/>
              <w:rPr>
                <w:sz w:val="9"/>
                <w:szCs w:val="9"/>
                <w:color w:val="auto"/>
              </w:rPr>
            </w:pPr>
          </w:p>
        </w:tc>
        <w:tc>
          <w:tcPr>
            <w:tcW w:w="820" w:type="dxa"/>
            <w:vAlign w:val="bottom"/>
            <w:gridSpan w:val="2"/>
            <w:shd w:val="clear" w:color="auto" w:fill="CCEEFF"/>
          </w:tcPr>
          <w:p>
            <w:pPr>
              <w:jc w:val="right"/>
              <w:ind w:right="140"/>
              <w:spacing w:after="0" w:line="106" w:lineRule="exact"/>
              <w:rPr>
                <w:sz w:val="20"/>
                <w:szCs w:val="20"/>
                <w:color w:val="auto"/>
              </w:rPr>
            </w:pPr>
            <w:r>
              <w:rPr>
                <w:rFonts w:ascii="Arial" w:cs="Arial" w:eastAsia="Arial" w:hAnsi="Arial"/>
                <w:sz w:val="10"/>
                <w:szCs w:val="10"/>
                <w:color w:val="auto"/>
              </w:rPr>
              <w:t>-</w:t>
            </w:r>
          </w:p>
        </w:tc>
        <w:tc>
          <w:tcPr>
            <w:tcW w:w="1020" w:type="dxa"/>
            <w:vAlign w:val="bottom"/>
            <w:gridSpan w:val="3"/>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6,260</w:t>
            </w:r>
          </w:p>
        </w:tc>
        <w:tc>
          <w:tcPr>
            <w:tcW w:w="940" w:type="dxa"/>
            <w:vAlign w:val="bottom"/>
            <w:gridSpan w:val="2"/>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7,282</w:t>
            </w:r>
          </w:p>
        </w:tc>
        <w:tc>
          <w:tcPr>
            <w:tcW w:w="920" w:type="dxa"/>
            <w:vAlign w:val="bottom"/>
            <w:gridSpan w:val="2"/>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26,741</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Mexican Peso floating rate</w:t>
            </w:r>
          </w:p>
        </w:tc>
        <w:tc>
          <w:tcPr>
            <w:tcW w:w="9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7.95%</w:t>
            </w:r>
          </w:p>
        </w:tc>
        <w:tc>
          <w:tcPr>
            <w:tcW w:w="82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w:t>
            </w:r>
          </w:p>
        </w:tc>
        <w:tc>
          <w:tcPr>
            <w:tcW w:w="102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10.54%</w:t>
            </w:r>
          </w:p>
        </w:tc>
        <w:tc>
          <w:tcPr>
            <w:tcW w:w="9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10.90%</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9.36%</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Receive Euro Dollar</w:t>
            </w:r>
          </w:p>
        </w:tc>
        <w:tc>
          <w:tcPr>
            <w:tcW w:w="7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9"/>
                <w:szCs w:val="9"/>
                <w:color w:val="auto"/>
              </w:rPr>
            </w:pPr>
          </w:p>
        </w:tc>
        <w:tc>
          <w:tcPr>
            <w:tcW w:w="820" w:type="dxa"/>
            <w:vAlign w:val="bottom"/>
            <w:gridSpan w:val="2"/>
            <w:shd w:val="clear" w:color="auto" w:fill="CCEEFF"/>
          </w:tcPr>
          <w:p>
            <w:pPr>
              <w:jc w:val="right"/>
              <w:ind w:right="140"/>
              <w:spacing w:after="0" w:line="106" w:lineRule="exact"/>
              <w:rPr>
                <w:sz w:val="20"/>
                <w:szCs w:val="20"/>
                <w:color w:val="auto"/>
              </w:rPr>
            </w:pPr>
            <w:r>
              <w:rPr>
                <w:rFonts w:ascii="Arial" w:cs="Arial" w:eastAsia="Arial" w:hAnsi="Arial"/>
                <w:sz w:val="10"/>
                <w:szCs w:val="10"/>
                <w:color w:val="auto"/>
              </w:rPr>
              <w:t>-</w:t>
            </w:r>
          </w:p>
        </w:tc>
        <w:tc>
          <w:tcPr>
            <w:tcW w:w="1020" w:type="dxa"/>
            <w:vAlign w:val="bottom"/>
            <w:gridSpan w:val="3"/>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68,768</w:t>
            </w:r>
          </w:p>
        </w:tc>
        <w:tc>
          <w:tcPr>
            <w:tcW w:w="920" w:type="dxa"/>
            <w:vAlign w:val="bottom"/>
            <w:gridSpan w:val="2"/>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68,768</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Euro Dollar fixed rate</w:t>
            </w:r>
          </w:p>
        </w:tc>
        <w:tc>
          <w:tcPr>
            <w:tcW w:w="70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82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w:t>
            </w:r>
          </w:p>
        </w:tc>
        <w:tc>
          <w:tcPr>
            <w:tcW w:w="102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3.75%</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3.75%</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Receive Japanese Yen</w:t>
            </w:r>
          </w:p>
        </w:tc>
        <w:tc>
          <w:tcPr>
            <w:tcW w:w="7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24,948</w:t>
            </w:r>
          </w:p>
        </w:tc>
        <w:tc>
          <w:tcPr>
            <w:tcW w:w="240" w:type="dxa"/>
            <w:vAlign w:val="bottom"/>
            <w:shd w:val="clear" w:color="auto" w:fill="CCEEFF"/>
          </w:tcPr>
          <w:p>
            <w:pPr>
              <w:spacing w:after="0"/>
              <w:rPr>
                <w:sz w:val="9"/>
                <w:szCs w:val="9"/>
                <w:color w:val="auto"/>
              </w:rPr>
            </w:pPr>
          </w:p>
        </w:tc>
        <w:tc>
          <w:tcPr>
            <w:tcW w:w="820" w:type="dxa"/>
            <w:vAlign w:val="bottom"/>
            <w:gridSpan w:val="2"/>
            <w:shd w:val="clear" w:color="auto" w:fill="CCEEFF"/>
          </w:tcPr>
          <w:p>
            <w:pPr>
              <w:jc w:val="right"/>
              <w:ind w:right="140"/>
              <w:spacing w:after="0" w:line="106" w:lineRule="exact"/>
              <w:rPr>
                <w:sz w:val="20"/>
                <w:szCs w:val="20"/>
                <w:color w:val="auto"/>
              </w:rPr>
            </w:pPr>
            <w:r>
              <w:rPr>
                <w:rFonts w:ascii="Arial" w:cs="Arial" w:eastAsia="Arial" w:hAnsi="Arial"/>
                <w:sz w:val="10"/>
                <w:szCs w:val="10"/>
                <w:color w:val="auto"/>
              </w:rPr>
              <w:t>73,193</w:t>
            </w:r>
          </w:p>
        </w:tc>
        <w:tc>
          <w:tcPr>
            <w:tcW w:w="1020" w:type="dxa"/>
            <w:vAlign w:val="bottom"/>
            <w:gridSpan w:val="3"/>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98,141</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Japanese Yen fixed rate</w:t>
            </w:r>
          </w:p>
        </w:tc>
        <w:tc>
          <w:tcPr>
            <w:tcW w:w="9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0.65%</w:t>
            </w:r>
          </w:p>
        </w:tc>
        <w:tc>
          <w:tcPr>
            <w:tcW w:w="820" w:type="dxa"/>
            <w:vAlign w:val="bottom"/>
            <w:gridSpan w:val="2"/>
          </w:tcPr>
          <w:p>
            <w:pPr>
              <w:jc w:val="right"/>
              <w:ind w:right="40"/>
              <w:spacing w:after="0" w:line="106" w:lineRule="exact"/>
              <w:rPr>
                <w:sz w:val="20"/>
                <w:szCs w:val="20"/>
                <w:color w:val="auto"/>
              </w:rPr>
            </w:pPr>
            <w:r>
              <w:rPr>
                <w:rFonts w:ascii="Arial" w:cs="Arial" w:eastAsia="Arial" w:hAnsi="Arial"/>
                <w:sz w:val="10"/>
                <w:szCs w:val="10"/>
                <w:color w:val="auto"/>
              </w:rPr>
              <w:t>0.46%</w:t>
            </w:r>
          </w:p>
        </w:tc>
        <w:tc>
          <w:tcPr>
            <w:tcW w:w="102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0.52%</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Receive Australian Dollar</w:t>
            </w:r>
          </w:p>
        </w:tc>
        <w:tc>
          <w:tcPr>
            <w:tcW w:w="7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9"/>
                <w:szCs w:val="9"/>
                <w:color w:val="auto"/>
              </w:rPr>
            </w:pPr>
          </w:p>
        </w:tc>
        <w:tc>
          <w:tcPr>
            <w:tcW w:w="820" w:type="dxa"/>
            <w:vAlign w:val="bottom"/>
            <w:gridSpan w:val="2"/>
            <w:shd w:val="clear" w:color="auto" w:fill="CCEEFF"/>
          </w:tcPr>
          <w:p>
            <w:pPr>
              <w:jc w:val="right"/>
              <w:ind w:right="140"/>
              <w:spacing w:after="0" w:line="106" w:lineRule="exact"/>
              <w:rPr>
                <w:sz w:val="20"/>
                <w:szCs w:val="20"/>
                <w:color w:val="auto"/>
              </w:rPr>
            </w:pPr>
            <w:r>
              <w:rPr>
                <w:rFonts w:ascii="Arial" w:cs="Arial" w:eastAsia="Arial" w:hAnsi="Arial"/>
                <w:sz w:val="10"/>
                <w:szCs w:val="10"/>
                <w:color w:val="auto"/>
              </w:rPr>
              <w:t>-</w:t>
            </w:r>
          </w:p>
        </w:tc>
        <w:tc>
          <w:tcPr>
            <w:tcW w:w="1020" w:type="dxa"/>
            <w:vAlign w:val="bottom"/>
            <w:gridSpan w:val="3"/>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23,025</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23,025</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Australian Dollar fixed rate</w:t>
            </w:r>
          </w:p>
        </w:tc>
        <w:tc>
          <w:tcPr>
            <w:tcW w:w="70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82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w:t>
            </w:r>
          </w:p>
        </w:tc>
        <w:tc>
          <w:tcPr>
            <w:tcW w:w="1020" w:type="dxa"/>
            <w:vAlign w:val="bottom"/>
            <w:gridSpan w:val="3"/>
          </w:tcPr>
          <w:p>
            <w:pPr>
              <w:jc w:val="right"/>
              <w:ind w:right="140"/>
              <w:spacing w:after="0" w:line="106" w:lineRule="exact"/>
              <w:rPr>
                <w:sz w:val="20"/>
                <w:szCs w:val="20"/>
                <w:color w:val="auto"/>
              </w:rPr>
            </w:pPr>
            <w:r>
              <w:rPr>
                <w:rFonts w:ascii="Arial" w:cs="Arial" w:eastAsia="Arial" w:hAnsi="Arial"/>
                <w:sz w:val="10"/>
                <w:szCs w:val="10"/>
                <w:color w:val="auto"/>
              </w:rPr>
              <w:t>3.33%</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3.33%</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restart"/>
          </w:tcPr>
          <w:p>
            <w:pPr>
              <w:spacing w:after="0"/>
              <w:rPr>
                <w:sz w:val="9"/>
                <w:szCs w:val="9"/>
                <w:color w:val="auto"/>
              </w:rPr>
            </w:pPr>
          </w:p>
        </w:tc>
        <w:tc>
          <w:tcPr>
            <w:tcW w:w="330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continue"/>
          </w:tcPr>
          <w:p>
            <w:pPr>
              <w:spacing w:after="0"/>
              <w:rPr>
                <w:sz w:val="9"/>
                <w:szCs w:val="9"/>
                <w:color w:val="auto"/>
              </w:rPr>
            </w:pPr>
          </w:p>
        </w:tc>
        <w:tc>
          <w:tcPr>
            <w:tcW w:w="3300" w:type="dxa"/>
            <w:vAlign w:val="bottom"/>
          </w:tcPr>
          <w:p>
            <w:pPr>
              <w:spacing w:after="0" w:line="106" w:lineRule="exact"/>
              <w:rPr>
                <w:sz w:val="20"/>
                <w:szCs w:val="20"/>
                <w:color w:val="auto"/>
              </w:rPr>
            </w:pPr>
            <w:r>
              <w:rPr>
                <w:rFonts w:ascii="Arial" w:cs="Arial" w:eastAsia="Arial" w:hAnsi="Arial"/>
                <w:sz w:val="10"/>
                <w:szCs w:val="10"/>
                <w:b w:val="1"/>
                <w:bCs w:val="1"/>
                <w:color w:val="auto"/>
              </w:rPr>
              <w:t>FORWARD CURRENCY EXCHANGE AGREEMENTS:</w:t>
            </w: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Receive U.S. Dollars/ Pay Mexican Pesos</w:t>
            </w:r>
          </w:p>
        </w:tc>
        <w:tc>
          <w:tcPr>
            <w:tcW w:w="7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51,416</w:t>
            </w:r>
          </w:p>
        </w:tc>
        <w:tc>
          <w:tcPr>
            <w:tcW w:w="240" w:type="dxa"/>
            <w:vAlign w:val="bottom"/>
            <w:shd w:val="clear" w:color="auto" w:fill="CCEEFF"/>
          </w:tcPr>
          <w:p>
            <w:pPr>
              <w:spacing w:after="0"/>
              <w:rPr>
                <w:sz w:val="9"/>
                <w:szCs w:val="9"/>
                <w:color w:val="auto"/>
              </w:rPr>
            </w:pPr>
          </w:p>
        </w:tc>
        <w:tc>
          <w:tcPr>
            <w:tcW w:w="820" w:type="dxa"/>
            <w:vAlign w:val="bottom"/>
            <w:gridSpan w:val="2"/>
            <w:shd w:val="clear" w:color="auto" w:fill="CCEEFF"/>
          </w:tcPr>
          <w:p>
            <w:pPr>
              <w:jc w:val="right"/>
              <w:ind w:right="140"/>
              <w:spacing w:after="0" w:line="106" w:lineRule="exact"/>
              <w:rPr>
                <w:sz w:val="20"/>
                <w:szCs w:val="20"/>
                <w:color w:val="auto"/>
              </w:rPr>
            </w:pPr>
            <w:r>
              <w:rPr>
                <w:rFonts w:ascii="Arial" w:cs="Arial" w:eastAsia="Arial" w:hAnsi="Arial"/>
                <w:sz w:val="10"/>
                <w:szCs w:val="10"/>
                <w:color w:val="auto"/>
              </w:rPr>
              <w:t>-</w:t>
            </w:r>
          </w:p>
        </w:tc>
        <w:tc>
          <w:tcPr>
            <w:tcW w:w="1020" w:type="dxa"/>
            <w:vAlign w:val="bottom"/>
            <w:gridSpan w:val="3"/>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51,416</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Average exchange rate</w:t>
            </w:r>
          </w:p>
        </w:tc>
        <w:tc>
          <w:tcPr>
            <w:tcW w:w="9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18.63%</w:t>
            </w:r>
          </w:p>
        </w:tc>
        <w:tc>
          <w:tcPr>
            <w:tcW w:w="82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w:t>
            </w:r>
          </w:p>
        </w:tc>
        <w:tc>
          <w:tcPr>
            <w:tcW w:w="102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18.63%</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Receive U.S. Dollars/ Pay Brazilian Reales</w:t>
            </w:r>
          </w:p>
        </w:tc>
        <w:tc>
          <w:tcPr>
            <w:tcW w:w="7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9,243</w:t>
            </w:r>
          </w:p>
        </w:tc>
        <w:tc>
          <w:tcPr>
            <w:tcW w:w="240" w:type="dxa"/>
            <w:vAlign w:val="bottom"/>
            <w:shd w:val="clear" w:color="auto" w:fill="CCEEFF"/>
          </w:tcPr>
          <w:p>
            <w:pPr>
              <w:spacing w:after="0"/>
              <w:rPr>
                <w:sz w:val="9"/>
                <w:szCs w:val="9"/>
                <w:color w:val="auto"/>
              </w:rPr>
            </w:pPr>
          </w:p>
        </w:tc>
        <w:tc>
          <w:tcPr>
            <w:tcW w:w="820" w:type="dxa"/>
            <w:vAlign w:val="bottom"/>
            <w:gridSpan w:val="2"/>
            <w:shd w:val="clear" w:color="auto" w:fill="CCEEFF"/>
          </w:tcPr>
          <w:p>
            <w:pPr>
              <w:jc w:val="right"/>
              <w:ind w:right="140"/>
              <w:spacing w:after="0" w:line="106" w:lineRule="exact"/>
              <w:rPr>
                <w:sz w:val="20"/>
                <w:szCs w:val="20"/>
                <w:color w:val="auto"/>
              </w:rPr>
            </w:pPr>
            <w:r>
              <w:rPr>
                <w:rFonts w:ascii="Arial" w:cs="Arial" w:eastAsia="Arial" w:hAnsi="Arial"/>
                <w:sz w:val="10"/>
                <w:szCs w:val="10"/>
                <w:color w:val="auto"/>
              </w:rPr>
              <w:t>-</w:t>
            </w:r>
          </w:p>
        </w:tc>
        <w:tc>
          <w:tcPr>
            <w:tcW w:w="1020" w:type="dxa"/>
            <w:vAlign w:val="bottom"/>
            <w:gridSpan w:val="3"/>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9,243</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Average exchange rate</w:t>
            </w:r>
          </w:p>
        </w:tc>
        <w:tc>
          <w:tcPr>
            <w:tcW w:w="9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3.32%</w:t>
            </w:r>
          </w:p>
        </w:tc>
        <w:tc>
          <w:tcPr>
            <w:tcW w:w="82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w:t>
            </w:r>
          </w:p>
        </w:tc>
        <w:tc>
          <w:tcPr>
            <w:tcW w:w="102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3.32%</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ind w:left="100"/>
              <w:spacing w:after="0" w:line="106" w:lineRule="exact"/>
              <w:rPr>
                <w:sz w:val="20"/>
                <w:szCs w:val="20"/>
                <w:color w:val="auto"/>
              </w:rPr>
            </w:pPr>
            <w:r>
              <w:rPr>
                <w:rFonts w:ascii="Arial" w:cs="Arial" w:eastAsia="Arial" w:hAnsi="Arial"/>
                <w:sz w:val="10"/>
                <w:szCs w:val="10"/>
                <w:color w:val="auto"/>
              </w:rPr>
              <w:t>Receive Euro Dollars/ Pay U.S. Dollars</w:t>
            </w:r>
          </w:p>
        </w:tc>
        <w:tc>
          <w:tcPr>
            <w:tcW w:w="7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68,952</w:t>
            </w:r>
          </w:p>
        </w:tc>
        <w:tc>
          <w:tcPr>
            <w:tcW w:w="240" w:type="dxa"/>
            <w:vAlign w:val="bottom"/>
            <w:shd w:val="clear" w:color="auto" w:fill="CCEEFF"/>
          </w:tcPr>
          <w:p>
            <w:pPr>
              <w:spacing w:after="0"/>
              <w:rPr>
                <w:sz w:val="9"/>
                <w:szCs w:val="9"/>
                <w:color w:val="auto"/>
              </w:rPr>
            </w:pPr>
          </w:p>
        </w:tc>
        <w:tc>
          <w:tcPr>
            <w:tcW w:w="820" w:type="dxa"/>
            <w:vAlign w:val="bottom"/>
            <w:gridSpan w:val="2"/>
            <w:shd w:val="clear" w:color="auto" w:fill="CCEEFF"/>
          </w:tcPr>
          <w:p>
            <w:pPr>
              <w:jc w:val="right"/>
              <w:ind w:right="140"/>
              <w:spacing w:after="0" w:line="106" w:lineRule="exact"/>
              <w:rPr>
                <w:sz w:val="20"/>
                <w:szCs w:val="20"/>
                <w:color w:val="auto"/>
              </w:rPr>
            </w:pPr>
            <w:r>
              <w:rPr>
                <w:rFonts w:ascii="Arial" w:cs="Arial" w:eastAsia="Arial" w:hAnsi="Arial"/>
                <w:sz w:val="10"/>
                <w:szCs w:val="10"/>
                <w:color w:val="auto"/>
              </w:rPr>
              <w:t>105,020</w:t>
            </w:r>
          </w:p>
        </w:tc>
        <w:tc>
          <w:tcPr>
            <w:tcW w:w="1020" w:type="dxa"/>
            <w:vAlign w:val="bottom"/>
            <w:gridSpan w:val="3"/>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EEFF"/>
          </w:tcPr>
          <w:p>
            <w:pPr>
              <w:spacing w:after="0"/>
              <w:rPr>
                <w:sz w:val="9"/>
                <w:szCs w:val="9"/>
                <w:color w:val="auto"/>
              </w:rPr>
            </w:pPr>
          </w:p>
        </w:tc>
        <w:tc>
          <w:tcPr>
            <w:tcW w:w="46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9"/>
                <w:szCs w:val="9"/>
                <w:color w:val="auto"/>
              </w:rPr>
            </w:pPr>
          </w:p>
        </w:tc>
        <w:tc>
          <w:tcPr>
            <w:tcW w:w="92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173,972</w:t>
            </w:r>
          </w:p>
        </w:tc>
        <w:tc>
          <w:tcPr>
            <w:tcW w:w="66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7"/>
        </w:trPr>
        <w:tc>
          <w:tcPr>
            <w:tcW w:w="20" w:type="dxa"/>
            <w:vAlign w:val="bottom"/>
          </w:tcPr>
          <w:p>
            <w:pPr>
              <w:spacing w:after="0"/>
              <w:rPr>
                <w:sz w:val="9"/>
                <w:szCs w:val="9"/>
                <w:color w:val="auto"/>
              </w:rPr>
            </w:pPr>
          </w:p>
        </w:tc>
        <w:tc>
          <w:tcPr>
            <w:tcW w:w="3300" w:type="dxa"/>
            <w:vAlign w:val="bottom"/>
          </w:tcPr>
          <w:p>
            <w:pPr>
              <w:ind w:left="100"/>
              <w:spacing w:after="0" w:line="107" w:lineRule="exact"/>
              <w:rPr>
                <w:sz w:val="20"/>
                <w:szCs w:val="20"/>
                <w:color w:val="auto"/>
              </w:rPr>
            </w:pPr>
            <w:r>
              <w:rPr>
                <w:rFonts w:ascii="Arial" w:cs="Arial" w:eastAsia="Arial" w:hAnsi="Arial"/>
                <w:sz w:val="10"/>
                <w:szCs w:val="10"/>
                <w:color w:val="auto"/>
              </w:rPr>
              <w:t>Average exchange rate</w:t>
            </w:r>
          </w:p>
        </w:tc>
        <w:tc>
          <w:tcPr>
            <w:tcW w:w="940" w:type="dxa"/>
            <w:vAlign w:val="bottom"/>
            <w:gridSpan w:val="2"/>
          </w:tcPr>
          <w:p>
            <w:pPr>
              <w:jc w:val="right"/>
              <w:ind w:right="160"/>
              <w:spacing w:after="0" w:line="107" w:lineRule="exact"/>
              <w:rPr>
                <w:sz w:val="20"/>
                <w:szCs w:val="20"/>
                <w:color w:val="auto"/>
              </w:rPr>
            </w:pPr>
            <w:r>
              <w:rPr>
                <w:rFonts w:ascii="Arial" w:cs="Arial" w:eastAsia="Arial" w:hAnsi="Arial"/>
                <w:sz w:val="10"/>
                <w:szCs w:val="10"/>
                <w:color w:val="auto"/>
              </w:rPr>
              <w:t>1.14%</w:t>
            </w:r>
          </w:p>
        </w:tc>
        <w:tc>
          <w:tcPr>
            <w:tcW w:w="820" w:type="dxa"/>
            <w:vAlign w:val="bottom"/>
            <w:gridSpan w:val="2"/>
          </w:tcPr>
          <w:p>
            <w:pPr>
              <w:jc w:val="right"/>
              <w:ind w:right="40"/>
              <w:spacing w:after="0" w:line="107" w:lineRule="exact"/>
              <w:rPr>
                <w:sz w:val="20"/>
                <w:szCs w:val="20"/>
                <w:color w:val="auto"/>
              </w:rPr>
            </w:pPr>
            <w:r>
              <w:rPr>
                <w:rFonts w:ascii="Arial" w:cs="Arial" w:eastAsia="Arial" w:hAnsi="Arial"/>
                <w:sz w:val="10"/>
                <w:szCs w:val="10"/>
                <w:color w:val="auto"/>
              </w:rPr>
              <w:t>1.21%</w:t>
            </w:r>
          </w:p>
        </w:tc>
        <w:tc>
          <w:tcPr>
            <w:tcW w:w="1020" w:type="dxa"/>
            <w:vAlign w:val="bottom"/>
            <w:gridSpan w:val="3"/>
          </w:tcPr>
          <w:p>
            <w:pPr>
              <w:jc w:val="right"/>
              <w:ind w:right="240"/>
              <w:spacing w:after="0" w:line="107"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7"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7"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240"/>
              <w:spacing w:after="0" w:line="107"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7"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40"/>
              <w:spacing w:after="0" w:line="107" w:lineRule="exact"/>
              <w:rPr>
                <w:sz w:val="20"/>
                <w:szCs w:val="20"/>
                <w:color w:val="auto"/>
              </w:rPr>
            </w:pPr>
            <w:r>
              <w:rPr>
                <w:rFonts w:ascii="Arial" w:cs="Arial" w:eastAsia="Arial" w:hAnsi="Arial"/>
                <w:sz w:val="10"/>
                <w:szCs w:val="10"/>
                <w:color w:val="auto"/>
              </w:rPr>
              <w:t>1.18%</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bl>
    <w:p>
      <w:pPr>
        <w:ind w:left="163" w:hanging="163"/>
        <w:spacing w:after="0" w:line="189" w:lineRule="auto"/>
        <w:tabs>
          <w:tab w:leader="none" w:pos="163" w:val="left"/>
        </w:tabs>
        <w:numPr>
          <w:ilvl w:val="0"/>
          <w:numId w:val="84"/>
        </w:numPr>
        <w:rPr>
          <w:rFonts w:ascii="Arial" w:cs="Arial" w:eastAsia="Arial" w:hAnsi="Arial"/>
          <w:sz w:val="20"/>
          <w:szCs w:val="20"/>
          <w:color w:val="auto"/>
          <w:vertAlign w:val="superscript"/>
        </w:rPr>
      </w:pPr>
      <w:r>
        <w:rPr>
          <w:rFonts w:ascii="Arial" w:cs="Arial" w:eastAsia="Arial" w:hAnsi="Arial"/>
          <w:sz w:val="12"/>
          <w:szCs w:val="12"/>
          <w:color w:val="auto"/>
        </w:rPr>
        <w:t>Borrowings and placements include short and long-term borrowings and debt, gross of prepaid commissions.</w:t>
      </w:r>
    </w:p>
    <w:p>
      <w:pPr>
        <w:spacing w:after="0" w:line="146" w:lineRule="exact"/>
        <w:rPr>
          <w:sz w:val="20"/>
          <w:szCs w:val="20"/>
          <w:color w:val="auto"/>
        </w:rPr>
      </w:pPr>
    </w:p>
    <w:p>
      <w:pPr>
        <w:jc w:val="both"/>
        <w:ind w:left="3" w:right="20"/>
        <w:spacing w:after="0" w:line="257" w:lineRule="auto"/>
        <w:rPr>
          <w:sz w:val="20"/>
          <w:szCs w:val="20"/>
          <w:color w:val="auto"/>
        </w:rPr>
      </w:pPr>
      <w:r>
        <w:rPr>
          <w:rFonts w:ascii="Arial" w:cs="Arial" w:eastAsia="Arial" w:hAnsi="Arial"/>
          <w:sz w:val="13"/>
          <w:szCs w:val="13"/>
          <w:color w:val="auto"/>
        </w:rPr>
        <w:t>Although certain assets and liabilities may have similar maturities or periods of re-pricing, they may be impacted in varying degrees by changes in market interest rates. The maturity of certain types of assets and liabilities may fluctuate in advance of changes in market rates, while the maturity of other types of assets and liabilities may lag behind changes in market rates. In the event of a change in interest rates, prepayment and early withdrawal levels could deviate significantly from the maturities assumed in calculating the table above.</w:t>
      </w:r>
    </w:p>
    <w:p>
      <w:pPr>
        <w:spacing w:after="0" w:line="284"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113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1" w:right="199" w:bottom="1440" w:gutter="0" w:footer="0" w:header="0"/>
        </w:sectPr>
      </w:pPr>
    </w:p>
    <w:bookmarkStart w:id="115" w:name="page116"/>
    <w:bookmarkEnd w:id="115"/>
    <w:p>
      <w:pPr>
        <w:ind w:left="3"/>
        <w:spacing w:after="0"/>
        <w:rPr>
          <w:sz w:val="20"/>
          <w:szCs w:val="20"/>
          <w:color w:val="auto"/>
        </w:rPr>
      </w:pPr>
      <w:r>
        <w:rPr>
          <w:rFonts w:ascii="Arial" w:cs="Arial" w:eastAsia="Arial" w:hAnsi="Arial"/>
          <w:sz w:val="13"/>
          <w:szCs w:val="13"/>
          <w:b w:val="1"/>
          <w:bCs w:val="1"/>
          <w:i w:val="1"/>
          <w:iCs w:val="1"/>
          <w:color w:val="auto"/>
        </w:rPr>
        <w:t>Foreign Exchange Risk Management and Sensitivity</w:t>
      </w:r>
    </w:p>
    <w:p>
      <w:pPr>
        <w:spacing w:after="0" w:line="159" w:lineRule="exact"/>
        <w:rPr>
          <w:sz w:val="20"/>
          <w:szCs w:val="20"/>
          <w:color w:val="auto"/>
        </w:rPr>
      </w:pPr>
    </w:p>
    <w:p>
      <w:pPr>
        <w:jc w:val="both"/>
        <w:ind w:left="3" w:right="20"/>
        <w:spacing w:after="0" w:line="326" w:lineRule="auto"/>
        <w:rPr>
          <w:sz w:val="20"/>
          <w:szCs w:val="20"/>
          <w:color w:val="auto"/>
        </w:rPr>
      </w:pPr>
      <w:r>
        <w:rPr>
          <w:rFonts w:ascii="Arial" w:cs="Arial" w:eastAsia="Arial" w:hAnsi="Arial"/>
          <w:sz w:val="11"/>
          <w:szCs w:val="11"/>
          <w:color w:val="auto"/>
        </w:rPr>
        <w:t>The Bank accepts deposits and raises funds principally in U.S. dollars, and makes most loans in U.S. dollars. Currency exchange risk arises when the Bank accepts deposits or raises funds in one currency and lends or invests the proceeds in another. In general, foreign currency-denominated assets are funded with liability instruments denominated in the same currency. In those cases where assets are funded in different currencies, forward foreign exchange or cross-currency swap contracts are used to fully hedge the risk resulting from this cross currency funding, which, though economically hedged, might give rise to some accounting volatility.</w:t>
      </w:r>
    </w:p>
    <w:p>
      <w:pPr>
        <w:spacing w:after="0" w:line="101"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The Bank does not run any foreign exchange trading business nor does it maintain open positions in any currencies beyond the minimum operational balances required to run the business of its representative offices and the foreign currency-denominated assets, liabilities and hedging derivative instruments.</w:t>
      </w:r>
    </w:p>
    <w:p>
      <w:pPr>
        <w:spacing w:after="0" w:line="129" w:lineRule="exact"/>
        <w:rPr>
          <w:sz w:val="20"/>
          <w:szCs w:val="20"/>
          <w:color w:val="auto"/>
        </w:rPr>
      </w:pPr>
    </w:p>
    <w:p>
      <w:pPr>
        <w:jc w:val="both"/>
        <w:ind w:left="3" w:right="20"/>
        <w:spacing w:after="0" w:line="254" w:lineRule="auto"/>
        <w:rPr>
          <w:sz w:val="20"/>
          <w:szCs w:val="20"/>
          <w:color w:val="auto"/>
        </w:rPr>
      </w:pPr>
      <w:r>
        <w:rPr>
          <w:rFonts w:ascii="Arial" w:cs="Arial" w:eastAsia="Arial" w:hAnsi="Arial"/>
          <w:sz w:val="13"/>
          <w:szCs w:val="13"/>
          <w:color w:val="auto"/>
        </w:rPr>
        <w:t>Most of the Bank’s assets and most of its liabilities are denominated in U.S. dollars and, therefore, the Bank has no significant foreign exchange risk, nor does it hold material open foreign exchange positions. As of December 31, 2018, the Bank had an equivalent of US$174.9 million in non-U.S. dollar financial assets and US$173.6 million of non-U.S. dollar financial liabilities, reflecting a net currency position of $1.3 million. Most of this net currency position came from the Bank’s Mexican pesos loan book, which as of December 31, 2018 amounted to the equivalent of US$174 million, mostly funded with liabilities denominated in the same currency. The rest of the open position is hedged with derivatives in order to avoid any currency mismatch.</w:t>
      </w:r>
    </w:p>
    <w:p>
      <w:pPr>
        <w:spacing w:after="0" w:line="137"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Price Risk Management and Sensitivity</w:t>
      </w:r>
    </w:p>
    <w:p>
      <w:pPr>
        <w:spacing w:after="0" w:line="159"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Price risk corresponds to the risk that arises from the volatility in the price of the financial instruments held by the Bank, which may result from observed transaction prices that fluctuate freely according to supply and demand or from changes in the risk factors used for determining prices (interest rates, exchange rates, credit risk spreads, etc.).</w:t>
      </w:r>
    </w:p>
    <w:p>
      <w:pPr>
        <w:spacing w:after="0" w:line="129"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table below lists the carrying amount and fair value of the Investment Portfolio and the interest rate swaps associated with this portfolio as of the dates below:</w:t>
      </w:r>
    </w:p>
    <w:p>
      <w:pPr>
        <w:spacing w:after="0" w:line="164" w:lineRule="exact"/>
        <w:rPr>
          <w:sz w:val="20"/>
          <w:szCs w:val="20"/>
          <w:color w:val="auto"/>
        </w:rPr>
      </w:pPr>
    </w:p>
    <w:tbl>
      <w:tblPr>
        <w:tblLayout w:type="fixed"/>
        <w:tblInd w:w="3" w:type="dxa"/>
        <w:tblCellMar>
          <w:top w:w="0" w:type="dxa"/>
          <w:left w:w="0" w:type="dxa"/>
          <w:bottom w:w="0" w:type="dxa"/>
          <w:right w:w="0" w:type="dxa"/>
        </w:tblCellMar>
      </w:tblPr>
      <w:tr>
        <w:trPr>
          <w:trHeight w:val="167"/>
        </w:trPr>
        <w:tc>
          <w:tcPr>
            <w:tcW w:w="5620" w:type="dxa"/>
            <w:vAlign w:val="bottom"/>
          </w:tcPr>
          <w:p>
            <w:pPr>
              <w:spacing w:after="0"/>
              <w:rPr>
                <w:sz w:val="14"/>
                <w:szCs w:val="14"/>
                <w:color w:val="auto"/>
              </w:rPr>
            </w:pPr>
          </w:p>
        </w:tc>
        <w:tc>
          <w:tcPr>
            <w:tcW w:w="3020" w:type="dxa"/>
            <w:vAlign w:val="bottom"/>
            <w:gridSpan w:val="3"/>
          </w:tcPr>
          <w:p>
            <w:pPr>
              <w:jc w:val="right"/>
              <w:ind w:right="960"/>
              <w:spacing w:after="0"/>
              <w:rPr>
                <w:sz w:val="20"/>
                <w:szCs w:val="20"/>
                <w:color w:val="auto"/>
              </w:rPr>
            </w:pPr>
            <w:r>
              <w:rPr>
                <w:rFonts w:ascii="Arial" w:cs="Arial" w:eastAsia="Arial" w:hAnsi="Arial"/>
                <w:sz w:val="13"/>
                <w:szCs w:val="13"/>
                <w:b w:val="1"/>
                <w:bCs w:val="1"/>
                <w:color w:val="auto"/>
              </w:rPr>
              <w:t>As of December 31, 2018</w:t>
            </w:r>
          </w:p>
        </w:tc>
        <w:tc>
          <w:tcPr>
            <w:tcW w:w="2840" w:type="dxa"/>
            <w:vAlign w:val="bottom"/>
            <w:gridSpan w:val="3"/>
          </w:tcPr>
          <w:p>
            <w:pPr>
              <w:jc w:val="right"/>
              <w:ind w:right="800"/>
              <w:spacing w:after="0"/>
              <w:rPr>
                <w:sz w:val="20"/>
                <w:szCs w:val="20"/>
                <w:color w:val="auto"/>
              </w:rPr>
            </w:pPr>
            <w:r>
              <w:rPr>
                <w:rFonts w:ascii="Arial" w:cs="Arial" w:eastAsia="Arial" w:hAnsi="Arial"/>
                <w:sz w:val="13"/>
                <w:szCs w:val="13"/>
                <w:b w:val="1"/>
                <w:bCs w:val="1"/>
                <w:color w:val="auto"/>
              </w:rPr>
              <w:t>As of December 31, 2017</w:t>
            </w:r>
          </w:p>
        </w:tc>
      </w:tr>
      <w:tr>
        <w:trPr>
          <w:trHeight w:val="154"/>
        </w:trPr>
        <w:tc>
          <w:tcPr>
            <w:tcW w:w="5620" w:type="dxa"/>
            <w:vAlign w:val="bottom"/>
          </w:tcPr>
          <w:p>
            <w:pPr>
              <w:spacing w:after="0"/>
              <w:rPr>
                <w:sz w:val="13"/>
                <w:szCs w:val="13"/>
                <w:color w:val="auto"/>
              </w:rPr>
            </w:pPr>
          </w:p>
        </w:tc>
        <w:tc>
          <w:tcPr>
            <w:tcW w:w="1560" w:type="dxa"/>
            <w:vAlign w:val="bottom"/>
            <w:tcBorders>
              <w:top w:val="single" w:sz="8" w:color="auto"/>
              <w:bottom w:val="single" w:sz="8" w:color="auto"/>
            </w:tcBorders>
          </w:tcPr>
          <w:p>
            <w:pPr>
              <w:jc w:val="right"/>
              <w:ind w:right="356"/>
              <w:spacing w:after="0"/>
              <w:rPr>
                <w:sz w:val="20"/>
                <w:szCs w:val="20"/>
                <w:color w:val="auto"/>
              </w:rPr>
            </w:pPr>
            <w:r>
              <w:rPr>
                <w:rFonts w:ascii="Arial" w:cs="Arial" w:eastAsia="Arial" w:hAnsi="Arial"/>
                <w:sz w:val="13"/>
                <w:szCs w:val="13"/>
                <w:b w:val="1"/>
                <w:bCs w:val="1"/>
                <w:color w:val="auto"/>
              </w:rPr>
              <w:t>Carrying Amount</w:t>
            </w:r>
          </w:p>
        </w:tc>
        <w:tc>
          <w:tcPr>
            <w:tcW w:w="1220" w:type="dxa"/>
            <w:vAlign w:val="bottom"/>
            <w:tcBorders>
              <w:top w:val="single" w:sz="8" w:color="auto"/>
              <w:bottom w:val="single" w:sz="8" w:color="auto"/>
            </w:tcBorders>
          </w:tcPr>
          <w:p>
            <w:pPr>
              <w:jc w:val="right"/>
              <w:ind w:right="276"/>
              <w:spacing w:after="0"/>
              <w:rPr>
                <w:sz w:val="20"/>
                <w:szCs w:val="20"/>
                <w:color w:val="auto"/>
              </w:rPr>
            </w:pPr>
            <w:r>
              <w:rPr>
                <w:rFonts w:ascii="Arial" w:cs="Arial" w:eastAsia="Arial" w:hAnsi="Arial"/>
                <w:sz w:val="13"/>
                <w:szCs w:val="13"/>
                <w:b w:val="1"/>
                <w:bCs w:val="1"/>
                <w:color w:val="auto"/>
              </w:rPr>
              <w:t>Fair Value</w:t>
            </w:r>
          </w:p>
        </w:tc>
        <w:tc>
          <w:tcPr>
            <w:tcW w:w="240" w:type="dxa"/>
            <w:vAlign w:val="bottom"/>
            <w:tcBorders>
              <w:bottom w:val="single" w:sz="8" w:color="auto"/>
            </w:tcBorders>
          </w:tcPr>
          <w:p>
            <w:pPr>
              <w:spacing w:after="0"/>
              <w:rPr>
                <w:sz w:val="13"/>
                <w:szCs w:val="13"/>
                <w:color w:val="auto"/>
              </w:rPr>
            </w:pPr>
          </w:p>
        </w:tc>
        <w:tc>
          <w:tcPr>
            <w:tcW w:w="1560" w:type="dxa"/>
            <w:vAlign w:val="bottom"/>
            <w:tcBorders>
              <w:top w:val="single" w:sz="8" w:color="auto"/>
              <w:bottom w:val="single" w:sz="8" w:color="auto"/>
            </w:tcBorders>
          </w:tcPr>
          <w:p>
            <w:pPr>
              <w:jc w:val="right"/>
              <w:ind w:right="376"/>
              <w:spacing w:after="0"/>
              <w:rPr>
                <w:sz w:val="20"/>
                <w:szCs w:val="20"/>
                <w:color w:val="auto"/>
              </w:rPr>
            </w:pPr>
            <w:r>
              <w:rPr>
                <w:rFonts w:ascii="Arial" w:cs="Arial" w:eastAsia="Arial" w:hAnsi="Arial"/>
                <w:sz w:val="13"/>
                <w:szCs w:val="13"/>
                <w:b w:val="1"/>
                <w:bCs w:val="1"/>
                <w:color w:val="auto"/>
              </w:rPr>
              <w:t>Carrying Amount</w:t>
            </w:r>
          </w:p>
        </w:tc>
        <w:tc>
          <w:tcPr>
            <w:tcW w:w="1160" w:type="dxa"/>
            <w:vAlign w:val="bottom"/>
            <w:tcBorders>
              <w:top w:val="single" w:sz="8" w:color="auto"/>
              <w:bottom w:val="single" w:sz="8" w:color="auto"/>
            </w:tcBorders>
          </w:tcPr>
          <w:p>
            <w:pPr>
              <w:jc w:val="right"/>
              <w:ind w:right="276"/>
              <w:spacing w:after="0"/>
              <w:rPr>
                <w:sz w:val="20"/>
                <w:szCs w:val="20"/>
                <w:color w:val="auto"/>
              </w:rPr>
            </w:pPr>
            <w:r>
              <w:rPr>
                <w:rFonts w:ascii="Arial" w:cs="Arial" w:eastAsia="Arial" w:hAnsi="Arial"/>
                <w:sz w:val="13"/>
                <w:szCs w:val="13"/>
                <w:b w:val="1"/>
                <w:bCs w:val="1"/>
                <w:color w:val="auto"/>
              </w:rPr>
              <w:t>Fair Value</w:t>
            </w:r>
          </w:p>
        </w:tc>
        <w:tc>
          <w:tcPr>
            <w:tcW w:w="120" w:type="dxa"/>
            <w:vAlign w:val="bottom"/>
          </w:tcPr>
          <w:p>
            <w:pPr>
              <w:spacing w:after="0"/>
              <w:rPr>
                <w:sz w:val="13"/>
                <w:szCs w:val="13"/>
                <w:color w:val="auto"/>
              </w:rPr>
            </w:pPr>
          </w:p>
        </w:tc>
      </w:tr>
      <w:tr>
        <w:trPr>
          <w:trHeight w:val="144"/>
        </w:trPr>
        <w:tc>
          <w:tcPr>
            <w:tcW w:w="5620" w:type="dxa"/>
            <w:vAlign w:val="bottom"/>
          </w:tcPr>
          <w:p>
            <w:pPr>
              <w:spacing w:after="0"/>
              <w:rPr>
                <w:sz w:val="12"/>
                <w:szCs w:val="12"/>
                <w:color w:val="auto"/>
              </w:rPr>
            </w:pPr>
          </w:p>
        </w:tc>
        <w:tc>
          <w:tcPr>
            <w:tcW w:w="1560" w:type="dxa"/>
            <w:vAlign w:val="bottom"/>
          </w:tcPr>
          <w:p>
            <w:pPr>
              <w:spacing w:after="0"/>
              <w:rPr>
                <w:sz w:val="12"/>
                <w:szCs w:val="12"/>
                <w:color w:val="auto"/>
              </w:rPr>
            </w:pPr>
          </w:p>
        </w:tc>
        <w:tc>
          <w:tcPr>
            <w:tcW w:w="3020" w:type="dxa"/>
            <w:vAlign w:val="bottom"/>
            <w:gridSpan w:val="3"/>
          </w:tcPr>
          <w:p>
            <w:pPr>
              <w:jc w:val="right"/>
              <w:ind w:right="1196"/>
              <w:spacing w:after="0" w:line="144" w:lineRule="exact"/>
              <w:rPr>
                <w:sz w:val="20"/>
                <w:szCs w:val="20"/>
                <w:color w:val="auto"/>
              </w:rPr>
            </w:pPr>
            <w:r>
              <w:rPr>
                <w:rFonts w:ascii="Arial" w:cs="Arial" w:eastAsia="Arial" w:hAnsi="Arial"/>
                <w:sz w:val="13"/>
                <w:szCs w:val="13"/>
                <w:b w:val="1"/>
                <w:bCs w:val="1"/>
                <w:color w:val="auto"/>
              </w:rPr>
              <w:t>(in $ thousands)</w:t>
            </w:r>
          </w:p>
        </w:tc>
        <w:tc>
          <w:tcPr>
            <w:tcW w:w="116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562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INVESTMENT SECURITIES</w:t>
            </w:r>
          </w:p>
        </w:tc>
        <w:tc>
          <w:tcPr>
            <w:tcW w:w="1560" w:type="dxa"/>
            <w:vAlign w:val="bottom"/>
            <w:shd w:val="clear" w:color="auto" w:fill="CCEEFF"/>
          </w:tcPr>
          <w:p>
            <w:pPr>
              <w:spacing w:after="0"/>
              <w:rPr>
                <w:sz w:val="13"/>
                <w:szCs w:val="13"/>
                <w:color w:val="auto"/>
              </w:rPr>
            </w:pPr>
          </w:p>
        </w:tc>
        <w:tc>
          <w:tcPr>
            <w:tcW w:w="12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560" w:type="dxa"/>
            <w:vAlign w:val="bottom"/>
            <w:shd w:val="clear" w:color="auto" w:fill="CCEEFF"/>
          </w:tcPr>
          <w:p>
            <w:pPr>
              <w:spacing w:after="0"/>
              <w:rPr>
                <w:sz w:val="13"/>
                <w:szCs w:val="13"/>
                <w:color w:val="auto"/>
              </w:rPr>
            </w:pPr>
          </w:p>
        </w:tc>
        <w:tc>
          <w:tcPr>
            <w:tcW w:w="116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r>
      <w:tr>
        <w:trPr>
          <w:trHeight w:val="183"/>
        </w:trPr>
        <w:tc>
          <w:tcPr>
            <w:tcW w:w="5620" w:type="dxa"/>
            <w:vAlign w:val="bottom"/>
          </w:tcPr>
          <w:p>
            <w:pPr>
              <w:ind w:left="120"/>
              <w:spacing w:after="0" w:line="183" w:lineRule="exact"/>
              <w:rPr>
                <w:sz w:val="20"/>
                <w:szCs w:val="20"/>
                <w:color w:val="auto"/>
              </w:rPr>
            </w:pPr>
            <w:r>
              <w:rPr>
                <w:rFonts w:ascii="Arial" w:cs="Arial" w:eastAsia="Arial" w:hAnsi="Arial"/>
                <w:sz w:val="13"/>
                <w:szCs w:val="13"/>
                <w:color w:val="auto"/>
              </w:rPr>
              <w:t xml:space="preserve">Securities at amortized cost </w:t>
            </w:r>
            <w:r>
              <w:rPr>
                <w:rFonts w:ascii="Arial" w:cs="Arial" w:eastAsia="Arial" w:hAnsi="Arial"/>
                <w:sz w:val="21"/>
                <w:szCs w:val="21"/>
                <w:color w:val="auto"/>
                <w:vertAlign w:val="superscript"/>
              </w:rPr>
              <w:t>(1)</w:t>
            </w:r>
          </w:p>
        </w:tc>
        <w:tc>
          <w:tcPr>
            <w:tcW w:w="1560" w:type="dxa"/>
            <w:vAlign w:val="bottom"/>
          </w:tcPr>
          <w:p>
            <w:pPr>
              <w:jc w:val="right"/>
              <w:ind w:right="216"/>
              <w:spacing w:after="0"/>
              <w:rPr>
                <w:sz w:val="20"/>
                <w:szCs w:val="20"/>
                <w:color w:val="auto"/>
              </w:rPr>
            </w:pPr>
            <w:r>
              <w:rPr>
                <w:rFonts w:ascii="Arial" w:cs="Arial" w:eastAsia="Arial" w:hAnsi="Arial"/>
                <w:sz w:val="13"/>
                <w:szCs w:val="13"/>
                <w:color w:val="auto"/>
              </w:rPr>
              <w:t>85,326</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85,036</w:t>
            </w:r>
          </w:p>
        </w:tc>
        <w:tc>
          <w:tcPr>
            <w:tcW w:w="1560" w:type="dxa"/>
            <w:vAlign w:val="bottom"/>
          </w:tcPr>
          <w:p>
            <w:pPr>
              <w:jc w:val="right"/>
              <w:ind w:right="236"/>
              <w:spacing w:after="0"/>
              <w:rPr>
                <w:sz w:val="20"/>
                <w:szCs w:val="20"/>
                <w:color w:val="auto"/>
              </w:rPr>
            </w:pPr>
            <w:r>
              <w:rPr>
                <w:rFonts w:ascii="Arial" w:cs="Arial" w:eastAsia="Arial" w:hAnsi="Arial"/>
                <w:sz w:val="13"/>
                <w:szCs w:val="13"/>
                <w:color w:val="auto"/>
              </w:rPr>
              <w:t>69,130</w:t>
            </w:r>
          </w:p>
        </w:tc>
        <w:tc>
          <w:tcPr>
            <w:tcW w:w="1280" w:type="dxa"/>
            <w:vAlign w:val="bottom"/>
            <w:gridSpan w:val="2"/>
          </w:tcPr>
          <w:p>
            <w:pPr>
              <w:jc w:val="right"/>
              <w:ind w:right="120"/>
              <w:spacing w:after="0"/>
              <w:rPr>
                <w:sz w:val="20"/>
                <w:szCs w:val="20"/>
                <w:color w:val="auto"/>
              </w:rPr>
            </w:pPr>
            <w:r>
              <w:rPr>
                <w:rFonts w:ascii="Arial" w:cs="Arial" w:eastAsia="Arial" w:hAnsi="Arial"/>
                <w:sz w:val="13"/>
                <w:szCs w:val="13"/>
                <w:color w:val="auto"/>
              </w:rPr>
              <w:t>69,006</w:t>
            </w:r>
          </w:p>
        </w:tc>
      </w:tr>
      <w:tr>
        <w:trPr>
          <w:trHeight w:val="154"/>
        </w:trPr>
        <w:tc>
          <w:tcPr>
            <w:tcW w:w="56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Securities at FVOCI</w:t>
            </w:r>
          </w:p>
        </w:tc>
        <w:tc>
          <w:tcPr>
            <w:tcW w:w="1560" w:type="dxa"/>
            <w:vAlign w:val="bottom"/>
            <w:shd w:val="clear" w:color="auto" w:fill="CCEEFF"/>
          </w:tcPr>
          <w:p>
            <w:pPr>
              <w:jc w:val="right"/>
              <w:ind w:right="216"/>
              <w:spacing w:after="0"/>
              <w:rPr>
                <w:sz w:val="20"/>
                <w:szCs w:val="20"/>
                <w:color w:val="auto"/>
              </w:rPr>
            </w:pPr>
            <w:r>
              <w:rPr>
                <w:rFonts w:ascii="Arial" w:cs="Arial" w:eastAsia="Arial" w:hAnsi="Arial"/>
                <w:sz w:val="13"/>
                <w:szCs w:val="13"/>
                <w:color w:val="auto"/>
              </w:rPr>
              <w:t>21,798</w:t>
            </w: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21,798</w:t>
            </w:r>
          </w:p>
        </w:tc>
        <w:tc>
          <w:tcPr>
            <w:tcW w:w="1560" w:type="dxa"/>
            <w:vAlign w:val="bottom"/>
            <w:shd w:val="clear" w:color="auto" w:fill="CCEEFF"/>
          </w:tcPr>
          <w:p>
            <w:pPr>
              <w:jc w:val="right"/>
              <w:ind w:right="236"/>
              <w:spacing w:after="0"/>
              <w:rPr>
                <w:sz w:val="20"/>
                <w:szCs w:val="20"/>
                <w:color w:val="auto"/>
              </w:rPr>
            </w:pPr>
            <w:r>
              <w:rPr>
                <w:rFonts w:ascii="Arial" w:cs="Arial" w:eastAsia="Arial" w:hAnsi="Arial"/>
                <w:sz w:val="13"/>
                <w:szCs w:val="13"/>
                <w:color w:val="auto"/>
              </w:rPr>
              <w:t>16,733</w:t>
            </w:r>
          </w:p>
        </w:tc>
        <w:tc>
          <w:tcPr>
            <w:tcW w:w="12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16,733</w:t>
            </w:r>
          </w:p>
        </w:tc>
      </w:tr>
      <w:tr>
        <w:trPr>
          <w:trHeight w:val="184"/>
        </w:trPr>
        <w:tc>
          <w:tcPr>
            <w:tcW w:w="5620" w:type="dxa"/>
            <w:vAlign w:val="bottom"/>
          </w:tcPr>
          <w:p>
            <w:pPr>
              <w:ind w:left="120"/>
              <w:spacing w:after="0" w:line="184" w:lineRule="exact"/>
              <w:rPr>
                <w:sz w:val="20"/>
                <w:szCs w:val="20"/>
                <w:color w:val="auto"/>
              </w:rPr>
            </w:pPr>
            <w:r>
              <w:rPr>
                <w:rFonts w:ascii="Arial" w:cs="Arial" w:eastAsia="Arial" w:hAnsi="Arial"/>
                <w:sz w:val="13"/>
                <w:szCs w:val="13"/>
                <w:color w:val="auto"/>
              </w:rPr>
              <w:t xml:space="preserve">Interest rate swaps </w:t>
            </w:r>
            <w:r>
              <w:rPr>
                <w:rFonts w:ascii="Arial" w:cs="Arial" w:eastAsia="Arial" w:hAnsi="Arial"/>
                <w:sz w:val="21"/>
                <w:szCs w:val="21"/>
                <w:color w:val="auto"/>
                <w:vertAlign w:val="superscript"/>
              </w:rPr>
              <w:t>(2)</w:t>
            </w:r>
          </w:p>
        </w:tc>
        <w:tc>
          <w:tcPr>
            <w:tcW w:w="1560" w:type="dxa"/>
            <w:vAlign w:val="bottom"/>
          </w:tcPr>
          <w:p>
            <w:pPr>
              <w:jc w:val="right"/>
              <w:ind w:right="216"/>
              <w:spacing w:after="0"/>
              <w:rPr>
                <w:sz w:val="20"/>
                <w:szCs w:val="20"/>
                <w:color w:val="auto"/>
              </w:rPr>
            </w:pPr>
            <w:r>
              <w:rPr>
                <w:rFonts w:ascii="Arial" w:cs="Arial" w:eastAsia="Arial" w:hAnsi="Arial"/>
                <w:sz w:val="13"/>
                <w:szCs w:val="13"/>
                <w:color w:val="auto"/>
              </w:rPr>
              <w:t>98</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98</w:t>
            </w:r>
          </w:p>
        </w:tc>
        <w:tc>
          <w:tcPr>
            <w:tcW w:w="1560" w:type="dxa"/>
            <w:vAlign w:val="bottom"/>
          </w:tcPr>
          <w:p>
            <w:pPr>
              <w:jc w:val="right"/>
              <w:ind w:right="196"/>
              <w:spacing w:after="0"/>
              <w:rPr>
                <w:sz w:val="20"/>
                <w:szCs w:val="20"/>
                <w:color w:val="auto"/>
              </w:rPr>
            </w:pPr>
            <w:r>
              <w:rPr>
                <w:rFonts w:ascii="Arial" w:cs="Arial" w:eastAsia="Arial" w:hAnsi="Arial"/>
                <w:sz w:val="13"/>
                <w:szCs w:val="13"/>
                <w:color w:val="auto"/>
              </w:rPr>
              <w:t>(58)</w:t>
            </w:r>
          </w:p>
        </w:tc>
        <w:tc>
          <w:tcPr>
            <w:tcW w:w="1280" w:type="dxa"/>
            <w:vAlign w:val="bottom"/>
            <w:gridSpan w:val="2"/>
          </w:tcPr>
          <w:p>
            <w:pPr>
              <w:jc w:val="right"/>
              <w:ind w:right="80"/>
              <w:spacing w:after="0"/>
              <w:rPr>
                <w:sz w:val="20"/>
                <w:szCs w:val="20"/>
                <w:color w:val="auto"/>
              </w:rPr>
            </w:pPr>
            <w:r>
              <w:rPr>
                <w:rFonts w:ascii="Arial" w:cs="Arial" w:eastAsia="Arial" w:hAnsi="Arial"/>
                <w:sz w:val="13"/>
                <w:szCs w:val="13"/>
                <w:color w:val="auto"/>
              </w:rPr>
              <w:t>(58)</w:t>
            </w:r>
          </w:p>
        </w:tc>
      </w:tr>
    </w:tbl>
    <w:p>
      <w:pPr>
        <w:ind w:left="223" w:hanging="223"/>
        <w:spacing w:after="0" w:line="187" w:lineRule="auto"/>
        <w:tabs>
          <w:tab w:leader="none" w:pos="223" w:val="left"/>
        </w:tabs>
        <w:numPr>
          <w:ilvl w:val="0"/>
          <w:numId w:val="85"/>
        </w:numPr>
        <w:rPr>
          <w:rFonts w:ascii="Arial" w:cs="Arial" w:eastAsia="Arial" w:hAnsi="Arial"/>
          <w:sz w:val="17"/>
          <w:szCs w:val="17"/>
          <w:color w:val="auto"/>
          <w:vertAlign w:val="superscript"/>
        </w:rPr>
      </w:pPr>
      <w:r>
        <w:rPr>
          <w:rFonts w:ascii="Arial" w:cs="Arial" w:eastAsia="Arial" w:hAnsi="Arial"/>
          <w:sz w:val="11"/>
          <w:szCs w:val="11"/>
          <w:color w:val="auto"/>
        </w:rPr>
        <w:t>As of December 31, 2018 and 2017, amounts do not include the interest receivable of $1,140 thousand and $1,040 thousand, and the allowance for losses of $140 thousand and $196 thousand, respectively.</w:t>
      </w:r>
    </w:p>
    <w:p>
      <w:pPr>
        <w:spacing w:after="0" w:line="1" w:lineRule="exact"/>
        <w:rPr>
          <w:rFonts w:ascii="Arial" w:cs="Arial" w:eastAsia="Arial" w:hAnsi="Arial"/>
          <w:sz w:val="17"/>
          <w:szCs w:val="17"/>
          <w:color w:val="auto"/>
          <w:vertAlign w:val="superscript"/>
        </w:rPr>
      </w:pPr>
    </w:p>
    <w:p>
      <w:pPr>
        <w:ind w:left="223" w:hanging="223"/>
        <w:spacing w:after="0" w:line="187" w:lineRule="auto"/>
        <w:tabs>
          <w:tab w:leader="none" w:pos="223" w:val="left"/>
        </w:tabs>
        <w:numPr>
          <w:ilvl w:val="0"/>
          <w:numId w:val="85"/>
        </w:numPr>
        <w:rPr>
          <w:rFonts w:ascii="Arial" w:cs="Arial" w:eastAsia="Arial" w:hAnsi="Arial"/>
          <w:sz w:val="17"/>
          <w:szCs w:val="17"/>
          <w:color w:val="auto"/>
          <w:vertAlign w:val="superscript"/>
        </w:rPr>
      </w:pPr>
      <w:r>
        <w:rPr>
          <w:rFonts w:ascii="Arial" w:cs="Arial" w:eastAsia="Arial" w:hAnsi="Arial"/>
          <w:sz w:val="11"/>
          <w:szCs w:val="11"/>
          <w:color w:val="auto"/>
        </w:rPr>
        <w:t>As of December 31, 2018 and 2017, includes interest rate swaps that applies for hedge accounting.</w:t>
      </w:r>
    </w:p>
    <w:p>
      <w:pPr>
        <w:spacing w:after="0" w:line="142" w:lineRule="exact"/>
        <w:rPr>
          <w:sz w:val="20"/>
          <w:szCs w:val="20"/>
          <w:color w:val="auto"/>
        </w:rPr>
      </w:pPr>
    </w:p>
    <w:p>
      <w:pPr>
        <w:ind w:left="3"/>
        <w:spacing w:after="0"/>
        <w:tabs>
          <w:tab w:leader="none" w:pos="903" w:val="left"/>
        </w:tabs>
        <w:rPr>
          <w:sz w:val="20"/>
          <w:szCs w:val="20"/>
          <w:color w:val="auto"/>
        </w:rPr>
      </w:pPr>
      <w:r>
        <w:rPr>
          <w:rFonts w:ascii="Arial" w:cs="Arial" w:eastAsia="Arial" w:hAnsi="Arial"/>
          <w:sz w:val="13"/>
          <w:szCs w:val="13"/>
          <w:b w:val="1"/>
          <w:bCs w:val="1"/>
          <w:color w:val="auto"/>
        </w:rPr>
        <w:t>Item 12.</w:t>
      </w:r>
      <w:r>
        <w:rPr>
          <w:sz w:val="20"/>
          <w:szCs w:val="20"/>
          <w:color w:val="auto"/>
        </w:rPr>
        <w:tab/>
      </w:r>
      <w:r>
        <w:rPr>
          <w:rFonts w:ascii="Arial" w:cs="Arial" w:eastAsia="Arial" w:hAnsi="Arial"/>
          <w:sz w:val="11"/>
          <w:szCs w:val="11"/>
          <w:b w:val="1"/>
          <w:bCs w:val="1"/>
          <w:color w:val="auto"/>
        </w:rPr>
        <w:t>Description of Securities Other than Equity Securities</w:t>
      </w:r>
    </w:p>
    <w:p>
      <w:pPr>
        <w:spacing w:after="0" w:line="163" w:lineRule="exact"/>
        <w:rPr>
          <w:sz w:val="20"/>
          <w:szCs w:val="20"/>
          <w:color w:val="auto"/>
        </w:rPr>
      </w:pPr>
    </w:p>
    <w:p>
      <w:pPr>
        <w:ind w:left="923"/>
        <w:spacing w:after="0"/>
        <w:rPr>
          <w:sz w:val="20"/>
          <w:szCs w:val="20"/>
          <w:color w:val="auto"/>
        </w:rPr>
      </w:pPr>
      <w:r>
        <w:rPr>
          <w:rFonts w:ascii="Arial" w:cs="Arial" w:eastAsia="Arial" w:hAnsi="Arial"/>
          <w:sz w:val="13"/>
          <w:szCs w:val="13"/>
          <w:color w:val="auto"/>
        </w:rPr>
        <w:t>Not applicable.</w:t>
      </w:r>
    </w:p>
    <w:p>
      <w:pPr>
        <w:spacing w:after="0" w:line="307" w:lineRule="exact"/>
        <w:rPr>
          <w:sz w:val="20"/>
          <w:szCs w:val="20"/>
          <w:color w:val="auto"/>
        </w:rPr>
      </w:pPr>
    </w:p>
    <w:p>
      <w:pPr>
        <w:jc w:val="center"/>
        <w:ind w:right="-2"/>
        <w:spacing w:after="0"/>
        <w:rPr>
          <w:sz w:val="20"/>
          <w:szCs w:val="20"/>
          <w:color w:val="auto"/>
        </w:rPr>
      </w:pPr>
      <w:r>
        <w:rPr>
          <w:rFonts w:ascii="Arial" w:cs="Arial" w:eastAsia="Arial" w:hAnsi="Arial"/>
          <w:sz w:val="15"/>
          <w:szCs w:val="15"/>
          <w:color w:val="auto"/>
        </w:rPr>
        <w:t>114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9525</wp:posOffset>
            </wp:positionV>
            <wp:extent cx="7285990" cy="635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9" w:right="199" w:bottom="1440" w:gutter="0" w:footer="0" w:header="0"/>
        </w:sectPr>
      </w:pPr>
    </w:p>
    <w:bookmarkStart w:id="116" w:name="page117"/>
    <w:bookmarkEnd w:id="116"/>
    <w:p>
      <w:pPr>
        <w:jc w:val="center"/>
        <w:spacing w:after="0"/>
        <w:rPr>
          <w:sz w:val="20"/>
          <w:szCs w:val="20"/>
          <w:color w:val="auto"/>
        </w:rPr>
      </w:pPr>
      <w:r>
        <w:rPr>
          <w:rFonts w:ascii="Arial" w:cs="Arial" w:eastAsia="Arial" w:hAnsi="Arial"/>
          <w:sz w:val="13"/>
          <w:szCs w:val="13"/>
          <w:b w:val="1"/>
          <w:bCs w:val="1"/>
          <w:color w:val="auto"/>
        </w:rPr>
        <w:t>PART II</w:t>
      </w:r>
    </w:p>
    <w:p>
      <w:pPr>
        <w:spacing w:after="0" w:line="159" w:lineRule="exact"/>
        <w:rPr>
          <w:sz w:val="20"/>
          <w:szCs w:val="20"/>
          <w:color w:val="auto"/>
        </w:rPr>
      </w:pPr>
    </w:p>
    <w:p>
      <w:pPr>
        <w:spacing w:after="0"/>
        <w:tabs>
          <w:tab w:leader="none" w:pos="900" w:val="left"/>
        </w:tabs>
        <w:rPr>
          <w:sz w:val="20"/>
          <w:szCs w:val="20"/>
          <w:color w:val="auto"/>
        </w:rPr>
      </w:pPr>
      <w:r>
        <w:rPr>
          <w:rFonts w:ascii="Arial" w:cs="Arial" w:eastAsia="Arial" w:hAnsi="Arial"/>
          <w:sz w:val="13"/>
          <w:szCs w:val="13"/>
          <w:b w:val="1"/>
          <w:bCs w:val="1"/>
          <w:color w:val="auto"/>
        </w:rPr>
        <w:t>Item 13.</w:t>
      </w:r>
      <w:r>
        <w:rPr>
          <w:sz w:val="20"/>
          <w:szCs w:val="20"/>
          <w:color w:val="auto"/>
        </w:rPr>
        <w:tab/>
      </w:r>
      <w:r>
        <w:rPr>
          <w:rFonts w:ascii="Arial" w:cs="Arial" w:eastAsia="Arial" w:hAnsi="Arial"/>
          <w:sz w:val="11"/>
          <w:szCs w:val="11"/>
          <w:b w:val="1"/>
          <w:bCs w:val="1"/>
          <w:color w:val="auto"/>
        </w:rPr>
        <w:t>Defaults, Dividend Arrearages and Delinquencies</w:t>
      </w:r>
    </w:p>
    <w:p>
      <w:pPr>
        <w:spacing w:after="0" w:line="163" w:lineRule="exact"/>
        <w:rPr>
          <w:sz w:val="20"/>
          <w:szCs w:val="20"/>
          <w:color w:val="auto"/>
        </w:rPr>
      </w:pPr>
    </w:p>
    <w:p>
      <w:pPr>
        <w:ind w:left="920"/>
        <w:spacing w:after="0"/>
        <w:rPr>
          <w:sz w:val="20"/>
          <w:szCs w:val="20"/>
          <w:color w:val="auto"/>
        </w:rPr>
      </w:pPr>
      <w:r>
        <w:rPr>
          <w:rFonts w:ascii="Arial" w:cs="Arial" w:eastAsia="Arial" w:hAnsi="Arial"/>
          <w:sz w:val="13"/>
          <w:szCs w:val="13"/>
          <w:color w:val="auto"/>
        </w:rPr>
        <w:t>None.</w:t>
      </w:r>
    </w:p>
    <w:p>
      <w:pPr>
        <w:spacing w:after="0" w:line="155" w:lineRule="exact"/>
        <w:rPr>
          <w:sz w:val="20"/>
          <w:szCs w:val="20"/>
          <w:color w:val="auto"/>
        </w:rPr>
      </w:pPr>
    </w:p>
    <w:p>
      <w:pPr>
        <w:spacing w:after="0"/>
        <w:tabs>
          <w:tab w:leader="none" w:pos="900" w:val="left"/>
        </w:tabs>
        <w:rPr>
          <w:sz w:val="20"/>
          <w:szCs w:val="20"/>
          <w:color w:val="auto"/>
        </w:rPr>
      </w:pPr>
      <w:r>
        <w:rPr>
          <w:rFonts w:ascii="Arial" w:cs="Arial" w:eastAsia="Arial" w:hAnsi="Arial"/>
          <w:sz w:val="13"/>
          <w:szCs w:val="13"/>
          <w:b w:val="1"/>
          <w:bCs w:val="1"/>
          <w:color w:val="auto"/>
        </w:rPr>
        <w:t>Item 14.</w:t>
      </w:r>
      <w:r>
        <w:rPr>
          <w:sz w:val="20"/>
          <w:szCs w:val="20"/>
          <w:color w:val="auto"/>
        </w:rPr>
        <w:tab/>
      </w:r>
      <w:r>
        <w:rPr>
          <w:rFonts w:ascii="Arial" w:cs="Arial" w:eastAsia="Arial" w:hAnsi="Arial"/>
          <w:sz w:val="11"/>
          <w:szCs w:val="11"/>
          <w:b w:val="1"/>
          <w:bCs w:val="1"/>
          <w:color w:val="auto"/>
        </w:rPr>
        <w:t>Material Modifications to the Rights of Security Holders and Use of Proceeds</w:t>
      </w:r>
    </w:p>
    <w:p>
      <w:pPr>
        <w:spacing w:after="0" w:line="163" w:lineRule="exact"/>
        <w:rPr>
          <w:sz w:val="20"/>
          <w:szCs w:val="20"/>
          <w:color w:val="auto"/>
        </w:rPr>
      </w:pPr>
    </w:p>
    <w:p>
      <w:pPr>
        <w:ind w:left="920"/>
        <w:spacing w:after="0"/>
        <w:rPr>
          <w:sz w:val="20"/>
          <w:szCs w:val="20"/>
          <w:color w:val="auto"/>
        </w:rPr>
      </w:pPr>
      <w:r>
        <w:rPr>
          <w:rFonts w:ascii="Arial" w:cs="Arial" w:eastAsia="Arial" w:hAnsi="Arial"/>
          <w:sz w:val="13"/>
          <w:szCs w:val="13"/>
          <w:color w:val="auto"/>
        </w:rPr>
        <w:t>None.</w:t>
      </w:r>
    </w:p>
    <w:p>
      <w:pPr>
        <w:spacing w:after="0" w:line="155" w:lineRule="exact"/>
        <w:rPr>
          <w:sz w:val="20"/>
          <w:szCs w:val="20"/>
          <w:color w:val="auto"/>
        </w:rPr>
      </w:pPr>
    </w:p>
    <w:p>
      <w:pPr>
        <w:spacing w:after="0"/>
        <w:tabs>
          <w:tab w:leader="none" w:pos="900" w:val="left"/>
        </w:tabs>
        <w:rPr>
          <w:sz w:val="20"/>
          <w:szCs w:val="20"/>
          <w:color w:val="auto"/>
        </w:rPr>
      </w:pPr>
      <w:r>
        <w:rPr>
          <w:rFonts w:ascii="Arial" w:cs="Arial" w:eastAsia="Arial" w:hAnsi="Arial"/>
          <w:sz w:val="13"/>
          <w:szCs w:val="13"/>
          <w:b w:val="1"/>
          <w:bCs w:val="1"/>
          <w:color w:val="auto"/>
        </w:rPr>
        <w:t>Item 15.</w:t>
      </w:r>
      <w:r>
        <w:rPr>
          <w:sz w:val="20"/>
          <w:szCs w:val="20"/>
          <w:color w:val="auto"/>
        </w:rPr>
        <w:tab/>
      </w:r>
      <w:r>
        <w:rPr>
          <w:rFonts w:ascii="Arial" w:cs="Arial" w:eastAsia="Arial" w:hAnsi="Arial"/>
          <w:sz w:val="11"/>
          <w:szCs w:val="11"/>
          <w:b w:val="1"/>
          <w:bCs w:val="1"/>
          <w:color w:val="auto"/>
        </w:rPr>
        <w:t>Controls and Procedures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a) Disclosure Controls and Procedures</w:t>
      </w:r>
    </w:p>
    <w:p>
      <w:pPr>
        <w:spacing w:after="0" w:line="163"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The Bank maintains disclosure controls and procedures that are designed to ensure that information required to be disclosed in the reports it files under the Exchange Act is recorded, processed, summarized and reported within the time periods specified in the SEC’s rules and forms. Such controls include those designed to ensure that information for disclosure is accumulated and communicated to the members of the Board and management, as appropriate to allow timely decisions regarding required disclosure.</w:t>
      </w:r>
    </w:p>
    <w:p>
      <w:pPr>
        <w:spacing w:after="0" w:line="136"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The Chief Executive Officer (“CEO”) and the Chief Financial Officer (“CFO”) evaluated the effectiveness of the Bank’s disclosure controls and procedures as of December 31, 2018, and concluded that they were effective as of December 31, 2018.</w:t>
      </w:r>
    </w:p>
    <w:p>
      <w:pPr>
        <w:spacing w:after="0" w:line="125"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b) Management’s Annual Report on Internal Control Over Financial Reporting</w:t>
      </w:r>
    </w:p>
    <w:p>
      <w:pPr>
        <w:spacing w:after="0" w:line="163" w:lineRule="exact"/>
        <w:rPr>
          <w:sz w:val="20"/>
          <w:szCs w:val="20"/>
          <w:color w:val="auto"/>
        </w:rPr>
      </w:pPr>
    </w:p>
    <w:p>
      <w:pPr>
        <w:jc w:val="both"/>
        <w:spacing w:after="0" w:line="289" w:lineRule="auto"/>
        <w:rPr>
          <w:sz w:val="20"/>
          <w:szCs w:val="20"/>
          <w:color w:val="auto"/>
        </w:rPr>
      </w:pPr>
      <w:r>
        <w:rPr>
          <w:rFonts w:ascii="Arial" w:cs="Arial" w:eastAsia="Arial" w:hAnsi="Arial"/>
          <w:sz w:val="12"/>
          <w:szCs w:val="12"/>
          <w:color w:val="auto"/>
        </w:rPr>
        <w:t>Management is responsible for establishing and maintaining adequate internal control over financial reporting, as defined in Exchange Act Rule 13a-15(f) or 15d-15(f). Management, with the participation and supervision of the Bank’s CEO and CFO, has evaluated the effectiveness of its internal control over financial reporting as of December 31, 2018. Such evaluation included (i) the documentation and understanding of the Bank’s internal control over financial reporting and (ii) a test of the design and the operating effectiveness of internal controls over financial reporting. This evaluation was the basis of management’s conclusions.</w:t>
      </w:r>
    </w:p>
    <w:p>
      <w:pPr>
        <w:spacing w:after="0" w:line="118" w:lineRule="exact"/>
        <w:rPr>
          <w:sz w:val="20"/>
          <w:szCs w:val="20"/>
          <w:color w:val="auto"/>
        </w:rPr>
      </w:pPr>
    </w:p>
    <w:p>
      <w:pPr>
        <w:spacing w:after="0"/>
        <w:rPr>
          <w:sz w:val="20"/>
          <w:szCs w:val="20"/>
          <w:color w:val="auto"/>
        </w:rPr>
      </w:pPr>
      <w:r>
        <w:rPr>
          <w:rFonts w:ascii="Arial" w:cs="Arial" w:eastAsia="Arial" w:hAnsi="Arial"/>
          <w:sz w:val="13"/>
          <w:szCs w:val="13"/>
          <w:color w:val="auto"/>
        </w:rPr>
        <w:t>Management’s evaluation was based on the criteria set forth by the Internal Control-Integrated Framework 2013 of the Committee of Sponsoring Organizations of the Treadway Commission.</w:t>
      </w:r>
    </w:p>
    <w:p>
      <w:pPr>
        <w:spacing w:after="0" w:line="159"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Internal control over financial reporting is a process designed to provide reasonable assurance regarding the reliability of financial reporting and the preparation of financial statements for external purposes in accordance with generally accepted accounting principles. The Bank’s internal control over financial reporting includes policies and procedures that:</w:t>
      </w:r>
    </w:p>
    <w:p>
      <w:pPr>
        <w:spacing w:after="0" w:line="129" w:lineRule="exact"/>
        <w:rPr>
          <w:sz w:val="20"/>
          <w:szCs w:val="20"/>
          <w:color w:val="auto"/>
        </w:rPr>
      </w:pPr>
    </w:p>
    <w:p>
      <w:pPr>
        <w:ind w:left="640" w:hanging="181"/>
        <w:spacing w:after="0"/>
        <w:tabs>
          <w:tab w:leader="none" w:pos="640" w:val="left"/>
        </w:tabs>
        <w:numPr>
          <w:ilvl w:val="0"/>
          <w:numId w:val="86"/>
        </w:numPr>
        <w:rPr>
          <w:rFonts w:ascii="Arial" w:cs="Arial" w:eastAsia="Arial" w:hAnsi="Arial"/>
          <w:sz w:val="13"/>
          <w:szCs w:val="13"/>
          <w:color w:val="auto"/>
        </w:rPr>
      </w:pPr>
      <w:r>
        <w:rPr>
          <w:rFonts w:ascii="Arial" w:cs="Arial" w:eastAsia="Arial" w:hAnsi="Arial"/>
          <w:sz w:val="13"/>
          <w:szCs w:val="13"/>
          <w:color w:val="auto"/>
        </w:rPr>
        <w:t>pertain to the maintenance of records that, in reasonable detail, accurately and fairly reflect the Bank’s transactions and dispositions of its assets;</w:t>
      </w:r>
    </w:p>
    <w:p>
      <w:pPr>
        <w:spacing w:after="0" w:line="158" w:lineRule="exact"/>
        <w:rPr>
          <w:rFonts w:ascii="Arial" w:cs="Arial" w:eastAsia="Arial" w:hAnsi="Arial"/>
          <w:sz w:val="13"/>
          <w:szCs w:val="13"/>
          <w:color w:val="auto"/>
        </w:rPr>
      </w:pPr>
    </w:p>
    <w:p>
      <w:pPr>
        <w:ind w:left="460" w:hanging="1"/>
        <w:spacing w:after="0" w:line="267" w:lineRule="auto"/>
        <w:tabs>
          <w:tab w:leader="none" w:pos="642" w:val="left"/>
        </w:tabs>
        <w:numPr>
          <w:ilvl w:val="0"/>
          <w:numId w:val="86"/>
        </w:numPr>
        <w:rPr>
          <w:rFonts w:ascii="Arial" w:cs="Arial" w:eastAsia="Arial" w:hAnsi="Arial"/>
          <w:sz w:val="13"/>
          <w:szCs w:val="13"/>
          <w:color w:val="auto"/>
        </w:rPr>
      </w:pPr>
      <w:r>
        <w:rPr>
          <w:rFonts w:ascii="Arial" w:cs="Arial" w:eastAsia="Arial" w:hAnsi="Arial"/>
          <w:sz w:val="13"/>
          <w:szCs w:val="13"/>
          <w:color w:val="auto"/>
        </w:rPr>
        <w:t>provide reasonable assurance that transactions are recorded as necessary to permit the preparation of financial statements in accordance with generally accepted accounting principles, and that the Bank’s receipts and expenditures are being made only in accordance with authorizations of the Bank’s management and the Board; and</w:t>
      </w:r>
    </w:p>
    <w:p>
      <w:pPr>
        <w:spacing w:after="0" w:line="129" w:lineRule="exact"/>
        <w:rPr>
          <w:rFonts w:ascii="Arial" w:cs="Arial" w:eastAsia="Arial" w:hAnsi="Arial"/>
          <w:sz w:val="13"/>
          <w:szCs w:val="13"/>
          <w:color w:val="auto"/>
        </w:rPr>
      </w:pPr>
    </w:p>
    <w:p>
      <w:pPr>
        <w:ind w:left="640" w:hanging="181"/>
        <w:spacing w:after="0"/>
        <w:tabs>
          <w:tab w:leader="none" w:pos="640" w:val="left"/>
        </w:tabs>
        <w:numPr>
          <w:ilvl w:val="0"/>
          <w:numId w:val="86"/>
        </w:numPr>
        <w:rPr>
          <w:rFonts w:ascii="Arial" w:cs="Arial" w:eastAsia="Arial" w:hAnsi="Arial"/>
          <w:sz w:val="12"/>
          <w:szCs w:val="12"/>
          <w:color w:val="auto"/>
        </w:rPr>
      </w:pPr>
      <w:r>
        <w:rPr>
          <w:rFonts w:ascii="Arial" w:cs="Arial" w:eastAsia="Arial" w:hAnsi="Arial"/>
          <w:sz w:val="12"/>
          <w:szCs w:val="12"/>
          <w:color w:val="auto"/>
        </w:rPr>
        <w:t>provide reasonable assurance regarding prevention or timely detection of unauthorized acquisition, use or disposition of the Bank’s assets that could have a material effect on its financial statements.</w:t>
      </w:r>
    </w:p>
    <w:p>
      <w:pPr>
        <w:spacing w:after="0" w:line="318"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115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4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85" w:right="219" w:bottom="1440" w:gutter="0" w:footer="0" w:header="0"/>
        </w:sectPr>
      </w:pPr>
    </w:p>
    <w:bookmarkStart w:id="117" w:name="page118"/>
    <w:bookmarkEnd w:id="117"/>
    <w:p>
      <w:pPr>
        <w:jc w:val="both"/>
        <w:spacing w:after="0" w:line="257" w:lineRule="auto"/>
        <w:rPr>
          <w:sz w:val="20"/>
          <w:szCs w:val="20"/>
          <w:color w:val="auto"/>
        </w:rPr>
      </w:pPr>
      <w:r>
        <w:rPr>
          <w:rFonts w:ascii="Arial" w:cs="Arial" w:eastAsia="Arial" w:hAnsi="Arial"/>
          <w:sz w:val="13"/>
          <w:szCs w:val="13"/>
          <w:color w:val="auto"/>
        </w:rPr>
        <w:t>Because of its inherent limitations, internal control over financial reporting determined to be effective can provide only reasonable assurance with respect to financial statement preparation and may not prevent or detect all misstatements. Also, projections of any evaluation of the effectiveness to future periods are subject to the risk that controls may become inadequate because of changes in conditions, or that the degree of compliance with the policies or procedures may deteriorate.</w:t>
      </w:r>
    </w:p>
    <w:p>
      <w:pPr>
        <w:spacing w:after="0" w:line="136" w:lineRule="exact"/>
        <w:rPr>
          <w:sz w:val="20"/>
          <w:szCs w:val="20"/>
          <w:color w:val="auto"/>
        </w:rPr>
      </w:pPr>
    </w:p>
    <w:p>
      <w:pPr>
        <w:spacing w:after="0"/>
        <w:rPr>
          <w:sz w:val="20"/>
          <w:szCs w:val="20"/>
          <w:color w:val="auto"/>
        </w:rPr>
      </w:pPr>
      <w:r>
        <w:rPr>
          <w:rFonts w:ascii="Arial" w:cs="Arial" w:eastAsia="Arial" w:hAnsi="Arial"/>
          <w:sz w:val="13"/>
          <w:szCs w:val="13"/>
          <w:color w:val="auto"/>
        </w:rPr>
        <w:t>Based on the assessment and criteria described above, the Bank’s management concluded that, as of December 31, 2018, the Bank’s internal control over financial reporting was effective.</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The Bank’s independent registered public accounting firm, KPMG, has issued an attestation report on the effectiveness of the Bank’s internal control over financial reporting.</w:t>
      </w:r>
    </w:p>
    <w:p>
      <w:pPr>
        <w:spacing w:after="0" w:line="155"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c) Attestation Report of the Registered Public Accounting Firm</w:t>
      </w:r>
    </w:p>
    <w:p>
      <w:pPr>
        <w:sectPr>
          <w:pgSz w:w="11900" w:h="16838" w:orient="portrait"/>
          <w:cols w:equalWidth="0" w:num="1">
            <w:col w:w="11460"/>
          </w:cols>
          <w:pgMar w:left="220" w:top="689" w:right="219" w:bottom="1440" w:gutter="0" w:footer="0" w:header="0"/>
        </w:sectPr>
      </w:pPr>
    </w:p>
    <w:p>
      <w:pPr>
        <w:spacing w:after="0" w:line="155" w:lineRule="exact"/>
        <w:rPr>
          <w:sz w:val="20"/>
          <w:szCs w:val="20"/>
          <w:color w:val="auto"/>
        </w:rPr>
      </w:pPr>
    </w:p>
    <w:p>
      <w:pPr>
        <w:ind w:left="3900"/>
        <w:spacing w:after="0"/>
        <w:rPr>
          <w:sz w:val="20"/>
          <w:szCs w:val="20"/>
          <w:color w:val="auto"/>
        </w:rPr>
      </w:pPr>
      <w:r>
        <w:rPr>
          <w:rFonts w:ascii="Arial" w:cs="Arial" w:eastAsia="Arial" w:hAnsi="Arial"/>
          <w:sz w:val="10"/>
          <w:szCs w:val="10"/>
          <w:b w:val="1"/>
          <w:bCs w:val="1"/>
          <w:color w:val="auto"/>
        </w:rPr>
        <w:t>KPMG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-61595</wp:posOffset>
            </wp:positionV>
            <wp:extent cx="727075" cy="38481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41">
                      <a:extLst>
                        <a:ext uri="{28A0092B-C50C-407E-A947-70E740481C1C}"/>
                      </a:extLst>
                    </a:blip>
                    <a:srcRect/>
                    <a:stretch>
                      <a:fillRect/>
                    </a:stretch>
                  </pic:blipFill>
                  <pic:spPr bwMode="auto">
                    <a:xfrm>
                      <a:off x="0" y="0"/>
                      <a:ext cx="727075" cy="384810"/>
                    </a:xfrm>
                    <a:prstGeom prst="rect">
                      <a:avLst/>
                    </a:prstGeom>
                    <a:noFill/>
                  </pic:spPr>
                </pic:pic>
              </a:graphicData>
            </a:graphic>
          </wp:anchor>
        </w:drawing>
      </w:r>
    </w:p>
    <w:p>
      <w:pPr>
        <w:ind w:left="3900"/>
        <w:spacing w:after="0"/>
        <w:rPr>
          <w:sz w:val="20"/>
          <w:szCs w:val="20"/>
          <w:color w:val="auto"/>
        </w:rPr>
      </w:pPr>
      <w:r>
        <w:rPr>
          <w:rFonts w:ascii="Arial" w:cs="Arial" w:eastAsia="Arial" w:hAnsi="Arial"/>
          <w:sz w:val="9"/>
          <w:szCs w:val="9"/>
          <w:color w:val="auto"/>
        </w:rPr>
        <w:t>Torre PDC, Ave. Samuel Lewis y</w:t>
      </w:r>
    </w:p>
    <w:p>
      <w:pPr>
        <w:ind w:left="3900"/>
        <w:spacing w:after="0" w:line="225" w:lineRule="auto"/>
        <w:rPr>
          <w:sz w:val="20"/>
          <w:szCs w:val="20"/>
          <w:color w:val="auto"/>
        </w:rPr>
      </w:pPr>
      <w:r>
        <w:rPr>
          <w:rFonts w:ascii="Arial" w:cs="Arial" w:eastAsia="Arial" w:hAnsi="Arial"/>
          <w:sz w:val="10"/>
          <w:szCs w:val="10"/>
          <w:color w:val="auto"/>
        </w:rPr>
        <w:t>Calle 56 Este, Obarrio</w:t>
      </w:r>
    </w:p>
    <w:p>
      <w:pPr>
        <w:ind w:left="3900"/>
        <w:spacing w:after="0"/>
        <w:rPr>
          <w:sz w:val="20"/>
          <w:szCs w:val="20"/>
          <w:color w:val="auto"/>
        </w:rPr>
      </w:pPr>
      <w:r>
        <w:rPr>
          <w:rFonts w:ascii="Arial" w:cs="Arial" w:eastAsia="Arial" w:hAnsi="Arial"/>
          <w:sz w:val="9"/>
          <w:szCs w:val="9"/>
          <w:color w:val="auto"/>
        </w:rPr>
        <w:t>Panamá, República de Panamá</w:t>
      </w:r>
    </w:p>
    <w:p>
      <w:pPr>
        <w:spacing w:after="0" w:line="20" w:lineRule="exact"/>
        <w:rPr>
          <w:sz w:val="20"/>
          <w:szCs w:val="20"/>
          <w:color w:val="auto"/>
        </w:rPr>
      </w:pPr>
      <w:r>
        <w:rPr>
          <w:sz w:val="20"/>
          <w:szCs w:val="20"/>
          <w:color w:val="auto"/>
        </w:rPr>
        <w:br w:type="column"/>
      </w:r>
    </w:p>
    <w:p>
      <w:pPr>
        <w:spacing w:after="0" w:line="139" w:lineRule="exact"/>
        <w:rPr>
          <w:sz w:val="20"/>
          <w:szCs w:val="20"/>
          <w:color w:val="auto"/>
        </w:rPr>
      </w:pPr>
    </w:p>
    <w:p>
      <w:pPr>
        <w:spacing w:after="0"/>
        <w:rPr>
          <w:sz w:val="20"/>
          <w:szCs w:val="20"/>
          <w:color w:val="auto"/>
        </w:rPr>
      </w:pPr>
      <w:r>
        <w:rPr>
          <w:rFonts w:ascii="Arial" w:cs="Arial" w:eastAsia="Arial" w:hAnsi="Arial"/>
          <w:sz w:val="9"/>
          <w:szCs w:val="9"/>
          <w:color w:val="auto"/>
        </w:rPr>
        <w:t>Teléfono: (507) 208-0700</w:t>
      </w:r>
    </w:p>
    <w:p>
      <w:pPr>
        <w:spacing w:after="0" w:line="10" w:lineRule="exact"/>
        <w:rPr>
          <w:sz w:val="20"/>
          <w:szCs w:val="20"/>
          <w:color w:val="auto"/>
        </w:rPr>
      </w:pPr>
    </w:p>
    <w:p>
      <w:pPr>
        <w:spacing w:after="0"/>
        <w:rPr>
          <w:sz w:val="20"/>
          <w:szCs w:val="20"/>
          <w:color w:val="auto"/>
        </w:rPr>
      </w:pPr>
      <w:r>
        <w:rPr>
          <w:rFonts w:ascii="Arial" w:cs="Arial" w:eastAsia="Arial" w:hAnsi="Arial"/>
          <w:sz w:val="10"/>
          <w:szCs w:val="10"/>
          <w:color w:val="auto"/>
        </w:rPr>
        <w:t>Website: kpmg.com.pa</w:t>
      </w:r>
    </w:p>
    <w:p>
      <w:pPr>
        <w:spacing w:after="0" w:line="400" w:lineRule="exact"/>
        <w:rPr>
          <w:sz w:val="20"/>
          <w:szCs w:val="20"/>
          <w:color w:val="auto"/>
        </w:rPr>
      </w:pPr>
    </w:p>
    <w:p>
      <w:pPr>
        <w:sectPr>
          <w:pgSz w:w="11900" w:h="16838" w:orient="portrait"/>
          <w:cols w:equalWidth="0" w:num="2">
            <w:col w:w="7080" w:space="720"/>
            <w:col w:w="3660"/>
          </w:cols>
          <w:pgMar w:left="220" w:top="689" w:right="219" w:bottom="1440" w:gutter="0" w:footer="0" w:header="0"/>
          <w:type w:val="continuous"/>
        </w:sectPr>
      </w:pPr>
    </w:p>
    <w:p>
      <w:pPr>
        <w:spacing w:after="0" w:line="151" w:lineRule="exact"/>
        <w:rPr>
          <w:sz w:val="20"/>
          <w:szCs w:val="20"/>
          <w:color w:val="auto"/>
        </w:rPr>
      </w:pPr>
    </w:p>
    <w:p>
      <w:pPr>
        <w:jc w:val="center"/>
        <w:ind w:right="-19"/>
        <w:spacing w:after="0"/>
        <w:rPr>
          <w:sz w:val="20"/>
          <w:szCs w:val="20"/>
          <w:color w:val="auto"/>
        </w:rPr>
      </w:pPr>
      <w:r>
        <w:rPr>
          <w:rFonts w:ascii="Arial" w:cs="Arial" w:eastAsia="Arial" w:hAnsi="Arial"/>
          <w:sz w:val="13"/>
          <w:szCs w:val="13"/>
          <w:b w:val="1"/>
          <w:bCs w:val="1"/>
          <w:u w:val="single" w:color="auto"/>
          <w:color w:val="auto"/>
        </w:rPr>
        <w:t>REPORT OF INDEPENDENT REGISTERED PUBLIC ACCOUNTING FIRM</w:t>
      </w:r>
    </w:p>
    <w:p>
      <w:pPr>
        <w:spacing w:after="0" w:line="163" w:lineRule="exact"/>
        <w:rPr>
          <w:sz w:val="20"/>
          <w:szCs w:val="20"/>
          <w:color w:val="auto"/>
        </w:rPr>
      </w:pPr>
    </w:p>
    <w:p>
      <w:pPr>
        <w:spacing w:after="0"/>
        <w:rPr>
          <w:sz w:val="20"/>
          <w:szCs w:val="20"/>
          <w:color w:val="auto"/>
        </w:rPr>
      </w:pPr>
      <w:r>
        <w:rPr>
          <w:rFonts w:ascii="Arial" w:cs="Arial" w:eastAsia="Arial" w:hAnsi="Arial"/>
          <w:sz w:val="13"/>
          <w:szCs w:val="13"/>
          <w:color w:val="auto"/>
        </w:rPr>
        <w:t>To the Stockholders and Board of Directors</w:t>
      </w:r>
    </w:p>
    <w:p>
      <w:pPr>
        <w:spacing w:after="0" w:line="13" w:lineRule="exact"/>
        <w:rPr>
          <w:sz w:val="20"/>
          <w:szCs w:val="20"/>
          <w:color w:val="auto"/>
        </w:rPr>
      </w:pPr>
    </w:p>
    <w:p>
      <w:pPr>
        <w:spacing w:after="0"/>
        <w:rPr>
          <w:sz w:val="20"/>
          <w:szCs w:val="20"/>
          <w:color w:val="auto"/>
        </w:rPr>
      </w:pPr>
      <w:r>
        <w:rPr>
          <w:rFonts w:ascii="Arial" w:cs="Arial" w:eastAsia="Arial" w:hAnsi="Arial"/>
          <w:sz w:val="13"/>
          <w:szCs w:val="13"/>
          <w:color w:val="auto"/>
        </w:rPr>
        <w:t>Banco Latinoamericano de Comercio Exterior, S. A.:</w:t>
      </w:r>
    </w:p>
    <w:p>
      <w:pPr>
        <w:spacing w:after="0" w:line="150"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Opinion on Internal Control Over Financial Reporting</w:t>
      </w:r>
    </w:p>
    <w:p>
      <w:pPr>
        <w:spacing w:after="0" w:line="159" w:lineRule="exact"/>
        <w:rPr>
          <w:sz w:val="20"/>
          <w:szCs w:val="20"/>
          <w:color w:val="auto"/>
        </w:rPr>
      </w:pPr>
    </w:p>
    <w:p>
      <w:pPr>
        <w:jc w:val="both"/>
        <w:ind w:right="380"/>
        <w:spacing w:after="0" w:line="326" w:lineRule="auto"/>
        <w:rPr>
          <w:sz w:val="20"/>
          <w:szCs w:val="20"/>
          <w:color w:val="auto"/>
        </w:rPr>
      </w:pPr>
      <w:r>
        <w:rPr>
          <w:rFonts w:ascii="Arial" w:cs="Arial" w:eastAsia="Arial" w:hAnsi="Arial"/>
          <w:sz w:val="11"/>
          <w:szCs w:val="11"/>
          <w:color w:val="auto"/>
        </w:rPr>
        <w:t>We have audited Banco Latinoamericano de Comercio Exterior, S. A. and subsidiaries’ (the Bank) internal control over financial reporting as of December 31, 2018, based on criteria established in Internal Control – Integrated Framework (2013) issued by the Committee of Sponsoring Organizations of the Treadway Commission. In our opinion, the Bank maintained, in all material respects, effective internal control over financial reporting as of December 31, 2018, based on criteria established in Internal Control – Integrated Framework (2013) issued by the Committee of Sponsoring Organizations of the Treadway Commission.</w:t>
      </w:r>
    </w:p>
    <w:p>
      <w:pPr>
        <w:spacing w:after="0" w:line="101"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We also have audited, in accordance with the standards of the Public Company Accounting Oversight Board (United States) (PCAOB), the consolidated statement of financial position of the Bank as of December 31, 2018, the related consolidated statements of profit or loss, comprehensive income, changes in equity, and cash flows for the year ended December 31, 2018 and the related notes (collectively, the consolidated financial statements), and our report dated April 30, 2019 expressed an unqualified opinion on those consolidated financial statements.</w:t>
      </w:r>
    </w:p>
    <w:p>
      <w:pPr>
        <w:spacing w:after="0" w:line="136"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Basis for Opinion</w:t>
      </w:r>
    </w:p>
    <w:p>
      <w:pPr>
        <w:spacing w:after="0" w:line="159" w:lineRule="exact"/>
        <w:rPr>
          <w:sz w:val="20"/>
          <w:szCs w:val="20"/>
          <w:color w:val="auto"/>
        </w:rPr>
      </w:pPr>
    </w:p>
    <w:p>
      <w:pPr>
        <w:ind w:right="80"/>
        <w:spacing w:after="0" w:line="254" w:lineRule="auto"/>
        <w:rPr>
          <w:sz w:val="20"/>
          <w:szCs w:val="20"/>
          <w:color w:val="auto"/>
        </w:rPr>
      </w:pPr>
      <w:r>
        <w:rPr>
          <w:rFonts w:ascii="Arial" w:cs="Arial" w:eastAsia="Arial" w:hAnsi="Arial"/>
          <w:sz w:val="13"/>
          <w:szCs w:val="13"/>
          <w:color w:val="auto"/>
        </w:rPr>
        <w:t>The Bank’s management is responsible for maintaining effective internal control over financial reporting and for its assessment of the effectiveness of internal control over financial reporting, included in the accompanying Management’s Annual Report on Internal Control Over Financial Reporting. Our responsibility is to express an opinion on the Bank’s internal control over financial reporting based on our audit. We are a public accounting firm registered with the PCAOB and are required to be independent with respect to the Bank in accordance with the U.S. federal securities laws and the applicable rules and regulations of the Securities and Exchange Commission and the PCAOB.</w:t>
      </w:r>
    </w:p>
    <w:p>
      <w:pPr>
        <w:spacing w:after="0" w:line="137" w:lineRule="exact"/>
        <w:rPr>
          <w:sz w:val="20"/>
          <w:szCs w:val="20"/>
          <w:color w:val="auto"/>
        </w:rPr>
      </w:pPr>
    </w:p>
    <w:p>
      <w:pPr>
        <w:ind w:right="140"/>
        <w:spacing w:after="0" w:line="254" w:lineRule="auto"/>
        <w:rPr>
          <w:sz w:val="20"/>
          <w:szCs w:val="20"/>
          <w:color w:val="auto"/>
        </w:rPr>
      </w:pPr>
      <w:r>
        <w:rPr>
          <w:rFonts w:ascii="Arial" w:cs="Arial" w:eastAsia="Arial" w:hAnsi="Arial"/>
          <w:sz w:val="13"/>
          <w:szCs w:val="13"/>
          <w:color w:val="auto"/>
        </w:rPr>
        <w:t>We conducted our audit in accordance with the standards of the PCAOB. Those standards require that we plan and perform the audit to obtain reasonable assurance about whether effective internal control over financial reporting was maintained in all material respects. Our audit of internal control over financial reporting included obtaining an understanding of internal control over financial reporting, assessing the risk that a material weakness exists, and testing and evaluating the design and operating effectiveness of internal control based on the assessed risk. Our audit also included performing such other procedures as we considered necessary in the circumstances. We believe that our audit provides a reasonable basis for our opinion.</w:t>
      </w:r>
    </w:p>
    <w:p>
      <w:pPr>
        <w:spacing w:after="0" w:line="291" w:lineRule="exact"/>
        <w:rPr>
          <w:sz w:val="20"/>
          <w:szCs w:val="20"/>
          <w:color w:val="auto"/>
        </w:rPr>
      </w:pPr>
    </w:p>
    <w:p>
      <w:pPr>
        <w:jc w:val="center"/>
        <w:ind w:right="-19"/>
        <w:spacing w:after="0"/>
        <w:rPr>
          <w:sz w:val="20"/>
          <w:szCs w:val="20"/>
          <w:color w:val="auto"/>
        </w:rPr>
      </w:pPr>
      <w:r>
        <w:rPr>
          <w:rFonts w:ascii="Arial" w:cs="Arial" w:eastAsia="Arial" w:hAnsi="Arial"/>
          <w:sz w:val="13"/>
          <w:szCs w:val="13"/>
          <w:color w:val="auto"/>
        </w:rPr>
        <w:t>116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4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89" w:right="219" w:bottom="1440" w:gutter="0" w:footer="0" w:header="0"/>
          <w:type w:val="continuous"/>
        </w:sectPr>
      </w:pPr>
    </w:p>
    <w:bookmarkStart w:id="118" w:name="page119"/>
    <w:bookmarkEnd w:id="118"/>
    <w:p>
      <w:pPr>
        <w:spacing w:after="0"/>
        <w:rPr>
          <w:sz w:val="20"/>
          <w:szCs w:val="20"/>
          <w:color w:val="auto"/>
        </w:rPr>
      </w:pPr>
      <w:r>
        <w:rPr>
          <w:rFonts w:ascii="Arial" w:cs="Arial" w:eastAsia="Arial" w:hAnsi="Arial"/>
          <w:sz w:val="13"/>
          <w:szCs w:val="13"/>
          <w:i w:val="1"/>
          <w:iCs w:val="1"/>
          <w:color w:val="auto"/>
        </w:rPr>
        <w:t>Definition and Limitations of Internal Control Over Financial Reporting</w:t>
      </w:r>
    </w:p>
    <w:p>
      <w:pPr>
        <w:spacing w:after="0" w:line="159" w:lineRule="exact"/>
        <w:rPr>
          <w:sz w:val="20"/>
          <w:szCs w:val="20"/>
          <w:color w:val="auto"/>
        </w:rPr>
      </w:pPr>
    </w:p>
    <w:p>
      <w:pPr>
        <w:ind w:right="40"/>
        <w:spacing w:after="0" w:line="309" w:lineRule="auto"/>
        <w:rPr>
          <w:sz w:val="20"/>
          <w:szCs w:val="20"/>
          <w:color w:val="auto"/>
        </w:rPr>
      </w:pPr>
      <w:r>
        <w:rPr>
          <w:rFonts w:ascii="Arial" w:cs="Arial" w:eastAsia="Arial" w:hAnsi="Arial"/>
          <w:sz w:val="11"/>
          <w:szCs w:val="11"/>
          <w:color w:val="auto"/>
        </w:rPr>
        <w:t>A company’s internal control over financial reporting is a process designed to provide reasonable assurance regarding the reliability of financial reporting and the preparation of financial statements for external purposes in accordance with generally accepted accounting principles. A company’s internal control over financial reporting includes those policies and procedures that (1) pertain to the maintenance of records that, in reasonable detail, accurately and fairly reflect the transactions and dispositions of the assets of the company; (2) provide reasonable assurance that transactions are recorded as necessary to permit preparation of financial statements in accordance with generally accepted accounting principles, and that receipts and expenditures of the company are being made only in accordance with authorizations of management and directors of the company; and (3) provide reasonable assurance regarding prevention or timely detection of unauthorized acquisition, use, or disposition of the company’s assets that could have a material effect on the financial statements.</w:t>
      </w:r>
    </w:p>
    <w:p>
      <w:pPr>
        <w:spacing w:after="0" w:line="110" w:lineRule="exact"/>
        <w:rPr>
          <w:sz w:val="20"/>
          <w:szCs w:val="20"/>
          <w:color w:val="auto"/>
        </w:rPr>
      </w:pPr>
    </w:p>
    <w:p>
      <w:pPr>
        <w:ind w:right="160"/>
        <w:spacing w:after="0" w:line="267" w:lineRule="auto"/>
        <w:rPr>
          <w:sz w:val="20"/>
          <w:szCs w:val="20"/>
          <w:color w:val="auto"/>
        </w:rPr>
      </w:pPr>
      <w:r>
        <w:rPr>
          <w:rFonts w:ascii="Arial" w:cs="Arial" w:eastAsia="Arial" w:hAnsi="Arial"/>
          <w:sz w:val="13"/>
          <w:szCs w:val="13"/>
          <w:color w:val="auto"/>
        </w:rPr>
        <w:t>Because of its inherent limitations, internal control over financial reporting may not prevent or detect misstatements. Also, projections of any evaluation of effectiveness to future periods are subject to the risk that controls may become inadequate because of changes in conditions, or that the degree of compliance with the policies or procedures may deteriorate.</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color w:val="auto"/>
        </w:rPr>
        <w:t>/s/ KPMG</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Panama City, Republic of Panama</w:t>
      </w:r>
    </w:p>
    <w:p>
      <w:pPr>
        <w:spacing w:after="0" w:line="13" w:lineRule="exact"/>
        <w:rPr>
          <w:sz w:val="20"/>
          <w:szCs w:val="20"/>
          <w:color w:val="auto"/>
        </w:rPr>
      </w:pPr>
    </w:p>
    <w:p>
      <w:pPr>
        <w:spacing w:after="0"/>
        <w:rPr>
          <w:sz w:val="20"/>
          <w:szCs w:val="20"/>
          <w:color w:val="auto"/>
        </w:rPr>
      </w:pPr>
      <w:r>
        <w:rPr>
          <w:rFonts w:ascii="Arial" w:cs="Arial" w:eastAsia="Arial" w:hAnsi="Arial"/>
          <w:sz w:val="13"/>
          <w:szCs w:val="13"/>
          <w:color w:val="auto"/>
        </w:rPr>
        <w:t>April 30, 2019</w:t>
      </w:r>
    </w:p>
    <w:p>
      <w:pPr>
        <w:spacing w:after="0" w:line="146"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d) Changes in Internal Control over Financial Reporting</w:t>
      </w:r>
    </w:p>
    <w:p>
      <w:pPr>
        <w:spacing w:after="0" w:line="163"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There has been no change in the Bank’s internal control over financial reporting during the fiscal year ended December 31, 2018 that has materially affected, or is reasonably likely to materially affect, the Bank’s internal control over financial reporting, as such term is defined in Rules 13a-15(f) and 15d-15(f) under the Exchange Act.</w:t>
      </w:r>
    </w:p>
    <w:p>
      <w:pPr>
        <w:spacing w:after="0" w:line="125" w:lineRule="exact"/>
        <w:rPr>
          <w:sz w:val="20"/>
          <w:szCs w:val="20"/>
          <w:color w:val="auto"/>
        </w:rPr>
      </w:pPr>
    </w:p>
    <w:p>
      <w:pPr>
        <w:spacing w:after="0"/>
        <w:tabs>
          <w:tab w:leader="none" w:pos="900" w:val="left"/>
        </w:tabs>
        <w:rPr>
          <w:sz w:val="20"/>
          <w:szCs w:val="20"/>
          <w:color w:val="auto"/>
        </w:rPr>
      </w:pPr>
      <w:r>
        <w:rPr>
          <w:rFonts w:ascii="Arial" w:cs="Arial" w:eastAsia="Arial" w:hAnsi="Arial"/>
          <w:sz w:val="13"/>
          <w:szCs w:val="13"/>
          <w:b w:val="1"/>
          <w:bCs w:val="1"/>
          <w:color w:val="auto"/>
        </w:rPr>
        <w:t>Item 16.</w:t>
      </w:r>
      <w:r>
        <w:rPr>
          <w:sz w:val="20"/>
          <w:szCs w:val="20"/>
          <w:color w:val="auto"/>
        </w:rPr>
        <w:tab/>
      </w:r>
      <w:r>
        <w:rPr>
          <w:rFonts w:ascii="Arial" w:cs="Arial" w:eastAsia="Arial" w:hAnsi="Arial"/>
          <w:sz w:val="11"/>
          <w:szCs w:val="11"/>
          <w:b w:val="1"/>
          <w:bCs w:val="1"/>
          <w:color w:val="auto"/>
        </w:rPr>
        <w:t>[Reserved]</w:t>
      </w:r>
    </w:p>
    <w:p>
      <w:pPr>
        <w:spacing w:after="0" w:line="159" w:lineRule="exact"/>
        <w:rPr>
          <w:sz w:val="20"/>
          <w:szCs w:val="20"/>
          <w:color w:val="auto"/>
        </w:rPr>
      </w:pPr>
    </w:p>
    <w:p>
      <w:pPr>
        <w:spacing w:after="0"/>
        <w:tabs>
          <w:tab w:leader="none" w:pos="900" w:val="left"/>
        </w:tabs>
        <w:rPr>
          <w:sz w:val="20"/>
          <w:szCs w:val="20"/>
          <w:color w:val="auto"/>
        </w:rPr>
      </w:pPr>
      <w:r>
        <w:rPr>
          <w:rFonts w:ascii="Arial" w:cs="Arial" w:eastAsia="Arial" w:hAnsi="Arial"/>
          <w:sz w:val="13"/>
          <w:szCs w:val="13"/>
          <w:b w:val="1"/>
          <w:bCs w:val="1"/>
          <w:color w:val="auto"/>
        </w:rPr>
        <w:t>Item 16A.</w:t>
      </w:r>
      <w:r>
        <w:rPr>
          <w:sz w:val="20"/>
          <w:szCs w:val="20"/>
          <w:color w:val="auto"/>
        </w:rPr>
        <w:tab/>
      </w:r>
      <w:r>
        <w:rPr>
          <w:rFonts w:ascii="Arial" w:cs="Arial" w:eastAsia="Arial" w:hAnsi="Arial"/>
          <w:sz w:val="11"/>
          <w:szCs w:val="11"/>
          <w:b w:val="1"/>
          <w:bCs w:val="1"/>
          <w:color w:val="auto"/>
        </w:rPr>
        <w:t>Audit Committee Financial Expert</w:t>
      </w:r>
    </w:p>
    <w:p>
      <w:pPr>
        <w:spacing w:after="0" w:line="163"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The Board has determined that at least one member of the Audit Committee is an “audit committee financial expert,” as defined in the rules enacted by the SEC under the Sarbanes-Oxley Act, Section 303A of NYSE Listed Company Manual, and Rule No. 05-2011, as amended by Rule No. 05-2014, of the Superintendency of Banks of Panama. The Audit Committee’s financial expert is Gonzalo Menéndez Duque. Mr. Menéndez Duque is independent as defined by the NYSE Listed Company Manual and Item 407 of Regulation S-K.</w:t>
      </w:r>
    </w:p>
    <w:p>
      <w:pPr>
        <w:spacing w:after="0" w:line="136" w:lineRule="exact"/>
        <w:rPr>
          <w:sz w:val="20"/>
          <w:szCs w:val="20"/>
          <w:color w:val="auto"/>
        </w:rPr>
      </w:pPr>
    </w:p>
    <w:p>
      <w:pPr>
        <w:spacing w:after="0"/>
        <w:rPr>
          <w:sz w:val="20"/>
          <w:szCs w:val="20"/>
          <w:color w:val="auto"/>
        </w:rPr>
      </w:pPr>
      <w:r>
        <w:rPr>
          <w:rFonts w:ascii="Arial" w:cs="Arial" w:eastAsia="Arial" w:hAnsi="Arial"/>
          <w:sz w:val="13"/>
          <w:szCs w:val="13"/>
          <w:color w:val="auto"/>
        </w:rPr>
        <w:t>See Item 6.A., “Directors and Executive Officers.”</w:t>
      </w:r>
    </w:p>
    <w:p>
      <w:pPr>
        <w:spacing w:after="0" w:line="155" w:lineRule="exact"/>
        <w:rPr>
          <w:sz w:val="20"/>
          <w:szCs w:val="20"/>
          <w:color w:val="auto"/>
        </w:rPr>
      </w:pPr>
    </w:p>
    <w:p>
      <w:pPr>
        <w:spacing w:after="0"/>
        <w:tabs>
          <w:tab w:leader="none" w:pos="900" w:val="left"/>
        </w:tabs>
        <w:rPr>
          <w:sz w:val="20"/>
          <w:szCs w:val="20"/>
          <w:color w:val="auto"/>
        </w:rPr>
      </w:pPr>
      <w:r>
        <w:rPr>
          <w:rFonts w:ascii="Arial" w:cs="Arial" w:eastAsia="Arial" w:hAnsi="Arial"/>
          <w:sz w:val="13"/>
          <w:szCs w:val="13"/>
          <w:b w:val="1"/>
          <w:bCs w:val="1"/>
          <w:color w:val="auto"/>
        </w:rPr>
        <w:t>Item 16B.</w:t>
      </w:r>
      <w:r>
        <w:rPr>
          <w:sz w:val="20"/>
          <w:szCs w:val="20"/>
          <w:color w:val="auto"/>
        </w:rPr>
        <w:tab/>
      </w:r>
      <w:r>
        <w:rPr>
          <w:rFonts w:ascii="Arial" w:cs="Arial" w:eastAsia="Arial" w:hAnsi="Arial"/>
          <w:sz w:val="11"/>
          <w:szCs w:val="11"/>
          <w:b w:val="1"/>
          <w:bCs w:val="1"/>
          <w:color w:val="auto"/>
        </w:rPr>
        <w:t>Code of Ethics</w:t>
      </w:r>
    </w:p>
    <w:p>
      <w:pPr>
        <w:spacing w:after="0" w:line="163"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Bank has adopted a Code of Ethics that applies to the Bank’s principal executive officer, principal financial officer and principal accounting officer. The Bank’s Code of Ethics includes the information regarding its corporate governance practices necessary to comply with Section 303A of the NYSE Rules.</w:t>
      </w:r>
    </w:p>
    <w:p>
      <w:pPr>
        <w:spacing w:after="0" w:line="129" w:lineRule="exact"/>
        <w:rPr>
          <w:sz w:val="20"/>
          <w:szCs w:val="20"/>
          <w:color w:val="auto"/>
        </w:rPr>
      </w:pPr>
    </w:p>
    <w:p>
      <w:pPr>
        <w:jc w:val="both"/>
        <w:ind w:right="20"/>
        <w:spacing w:after="0" w:line="310" w:lineRule="auto"/>
        <w:rPr>
          <w:sz w:val="20"/>
          <w:szCs w:val="20"/>
          <w:color w:val="auto"/>
        </w:rPr>
      </w:pPr>
      <w:r>
        <w:rPr>
          <w:rFonts w:ascii="Arial" w:cs="Arial" w:eastAsia="Arial" w:hAnsi="Arial"/>
          <w:sz w:val="12"/>
          <w:szCs w:val="12"/>
          <w:color w:val="auto"/>
        </w:rPr>
        <w:t>A copy of the Bank’s amended Code of Ethics, approved by the Board of Directors in its meeting held on April 16, 2019, is being filed with the SEC as an Exhibit to this Annual Report on Form 20-F for the fiscal year ended December 31, 2018, and may also be found on the Bank’s website at http://www.bladex.com/en/investors/governance-documents (for purposes of Section 406 of the Sarbanes-Oxley Act of 2002).</w:t>
      </w:r>
    </w:p>
    <w:p>
      <w:pPr>
        <w:spacing w:after="0" w:line="254"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117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4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119" w:name="page120"/>
    <w:bookmarkEnd w:id="119"/>
    <w:p>
      <w:pPr>
        <w:spacing w:after="0"/>
        <w:tabs>
          <w:tab w:leader="none" w:pos="900" w:val="left"/>
        </w:tabs>
        <w:rPr>
          <w:sz w:val="20"/>
          <w:szCs w:val="20"/>
          <w:color w:val="auto"/>
        </w:rPr>
      </w:pPr>
      <w:r>
        <w:rPr>
          <w:rFonts w:ascii="Arial" w:cs="Arial" w:eastAsia="Arial" w:hAnsi="Arial"/>
          <w:sz w:val="13"/>
          <w:szCs w:val="13"/>
          <w:b w:val="1"/>
          <w:bCs w:val="1"/>
          <w:color w:val="auto"/>
        </w:rPr>
        <w:t>Item 16C.</w:t>
      </w:r>
      <w:r>
        <w:rPr>
          <w:sz w:val="20"/>
          <w:szCs w:val="20"/>
          <w:color w:val="auto"/>
        </w:rPr>
        <w:tab/>
      </w:r>
      <w:r>
        <w:rPr>
          <w:rFonts w:ascii="Arial" w:cs="Arial" w:eastAsia="Arial" w:hAnsi="Arial"/>
          <w:sz w:val="11"/>
          <w:szCs w:val="11"/>
          <w:b w:val="1"/>
          <w:bCs w:val="1"/>
          <w:color w:val="auto"/>
        </w:rPr>
        <w:t>Principal Accountant Fees and Services</w:t>
      </w:r>
    </w:p>
    <w:p>
      <w:pPr>
        <w:spacing w:after="0" w:line="163" w:lineRule="exact"/>
        <w:rPr>
          <w:sz w:val="20"/>
          <w:szCs w:val="20"/>
          <w:color w:val="auto"/>
        </w:rPr>
      </w:pPr>
    </w:p>
    <w:p>
      <w:pPr>
        <w:ind w:right="20"/>
        <w:spacing w:after="0" w:line="310" w:lineRule="auto"/>
        <w:rPr>
          <w:sz w:val="20"/>
          <w:szCs w:val="20"/>
          <w:color w:val="auto"/>
        </w:rPr>
      </w:pPr>
      <w:r>
        <w:rPr>
          <w:rFonts w:ascii="Arial" w:cs="Arial" w:eastAsia="Arial" w:hAnsi="Arial"/>
          <w:sz w:val="12"/>
          <w:szCs w:val="12"/>
          <w:color w:val="auto"/>
        </w:rPr>
        <w:t>The following table summarizes the fees paid and/or accrued by the Bank for audit services provided by KPMG, the Bank’s current independent registered public accounting firm, for the 2018 fiscal year, and Deloitte, the Bank’s previous independent registered public accounting firm, for the 2017 fiscal year, as well as fees paid by the Bank in 2018 and 2017 for audit-related services provided by both of these firms.</w:t>
      </w:r>
    </w:p>
    <w:p>
      <w:pPr>
        <w:spacing w:after="0" w:line="111"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8600" w:type="dxa"/>
            <w:vAlign w:val="bottom"/>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1140" w:type="dxa"/>
            <w:vAlign w:val="bottom"/>
            <w:tcBorders>
              <w:bottom w:val="single" w:sz="8" w:color="auto"/>
            </w:tcBorders>
            <w:gridSpan w:val="3"/>
          </w:tcPr>
          <w:p>
            <w:pPr>
              <w:jc w:val="right"/>
              <w:spacing w:after="0"/>
              <w:rPr>
                <w:sz w:val="20"/>
                <w:szCs w:val="20"/>
                <w:color w:val="auto"/>
              </w:rPr>
            </w:pPr>
            <w:r>
              <w:rPr>
                <w:rFonts w:ascii="Arial" w:cs="Arial" w:eastAsia="Arial" w:hAnsi="Arial"/>
                <w:sz w:val="13"/>
                <w:szCs w:val="13"/>
                <w:b w:val="1"/>
                <w:bCs w:val="1"/>
                <w:color w:val="auto"/>
                <w:w w:val="89"/>
              </w:rPr>
              <w:t>As of December 31,</w:t>
            </w:r>
          </w:p>
        </w:tc>
        <w:tc>
          <w:tcPr>
            <w:tcW w:w="80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600" w:type="dxa"/>
            <w:vAlign w:val="bottom"/>
          </w:tcPr>
          <w:p>
            <w:pPr>
              <w:spacing w:after="0"/>
              <w:rPr>
                <w:sz w:val="13"/>
                <w:szCs w:val="13"/>
                <w:color w:val="auto"/>
              </w:rPr>
            </w:pPr>
          </w:p>
        </w:tc>
        <w:tc>
          <w:tcPr>
            <w:tcW w:w="80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2018</w:t>
            </w:r>
          </w:p>
        </w:tc>
        <w:tc>
          <w:tcPr>
            <w:tcW w:w="460" w:type="dxa"/>
            <w:vAlign w:val="bottom"/>
            <w:tcBorders>
              <w:bottom w:val="single" w:sz="8" w:color="auto"/>
            </w:tcBorders>
          </w:tcPr>
          <w:p>
            <w:pPr>
              <w:spacing w:after="0"/>
              <w:rPr>
                <w:sz w:val="13"/>
                <w:szCs w:val="13"/>
                <w:color w:val="auto"/>
              </w:rPr>
            </w:pPr>
          </w:p>
        </w:tc>
        <w:tc>
          <w:tcPr>
            <w:tcW w:w="240" w:type="dxa"/>
            <w:vAlign w:val="bottom"/>
          </w:tcPr>
          <w:p>
            <w:pPr>
              <w:spacing w:after="0"/>
              <w:rPr>
                <w:sz w:val="13"/>
                <w:szCs w:val="13"/>
                <w:color w:val="auto"/>
              </w:rPr>
            </w:pPr>
          </w:p>
        </w:tc>
        <w:tc>
          <w:tcPr>
            <w:tcW w:w="440" w:type="dxa"/>
            <w:vAlign w:val="bottom"/>
            <w:tcBorders>
              <w:bottom w:val="single" w:sz="8" w:color="auto"/>
            </w:tcBorders>
          </w:tcPr>
          <w:p>
            <w:pPr>
              <w:spacing w:after="0"/>
              <w:rPr>
                <w:sz w:val="13"/>
                <w:szCs w:val="13"/>
                <w:color w:val="auto"/>
              </w:rPr>
            </w:pPr>
          </w:p>
        </w:tc>
        <w:tc>
          <w:tcPr>
            <w:tcW w:w="800" w:type="dxa"/>
            <w:vAlign w:val="bottom"/>
            <w:tcBorders>
              <w:bottom w:val="single" w:sz="8" w:color="auto"/>
            </w:tcBorders>
          </w:tcPr>
          <w:p>
            <w:pPr>
              <w:jc w:val="right"/>
              <w:ind w:right="436"/>
              <w:spacing w:after="0"/>
              <w:rPr>
                <w:sz w:val="20"/>
                <w:szCs w:val="20"/>
                <w:color w:val="auto"/>
              </w:rPr>
            </w:pPr>
            <w:r>
              <w:rPr>
                <w:rFonts w:ascii="Arial" w:cs="Arial" w:eastAsia="Arial" w:hAnsi="Arial"/>
                <w:sz w:val="13"/>
                <w:szCs w:val="13"/>
                <w:b w:val="1"/>
                <w:bCs w:val="1"/>
                <w:color w:val="auto"/>
                <w:w w:val="96"/>
              </w:rPr>
              <w:t>2017</w:t>
            </w: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86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44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8600" w:type="dxa"/>
            <w:vAlign w:val="bottom"/>
            <w:shd w:val="clear" w:color="auto" w:fill="CCEEFF"/>
          </w:tcPr>
          <w:p>
            <w:pPr>
              <w:spacing w:after="0"/>
              <w:rPr>
                <w:sz w:val="20"/>
                <w:szCs w:val="20"/>
                <w:color w:val="auto"/>
              </w:rPr>
            </w:pPr>
            <w:r>
              <w:rPr>
                <w:rFonts w:ascii="Arial" w:cs="Arial" w:eastAsia="Arial" w:hAnsi="Arial"/>
                <w:sz w:val="13"/>
                <w:szCs w:val="13"/>
                <w:color w:val="auto"/>
              </w:rPr>
              <w:t>Audit fees</w:t>
            </w:r>
          </w:p>
        </w:tc>
        <w:tc>
          <w:tcPr>
            <w:tcW w:w="800" w:type="dxa"/>
            <w:vAlign w:val="bottom"/>
            <w:shd w:val="clear" w:color="auto" w:fill="CCEEFF"/>
          </w:tcPr>
          <w:p>
            <w:pPr>
              <w:jc w:val="right"/>
              <w:ind w:right="687"/>
              <w:spacing w:after="0"/>
              <w:rPr>
                <w:sz w:val="20"/>
                <w:szCs w:val="20"/>
                <w:color w:val="auto"/>
              </w:rPr>
            </w:pPr>
            <w:r>
              <w:rPr>
                <w:rFonts w:ascii="Arial" w:cs="Arial" w:eastAsia="Arial" w:hAnsi="Arial"/>
                <w:sz w:val="10"/>
                <w:szCs w:val="10"/>
                <w:color w:val="auto"/>
                <w:w w:val="71"/>
              </w:rPr>
              <w:t>$</w:t>
            </w:r>
          </w:p>
        </w:tc>
        <w:tc>
          <w:tcPr>
            <w:tcW w:w="7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w w:val="93"/>
              </w:rPr>
              <w:t>684,919</w:t>
            </w:r>
          </w:p>
        </w:tc>
        <w:tc>
          <w:tcPr>
            <w:tcW w:w="440" w:type="dxa"/>
            <w:vAlign w:val="bottom"/>
            <w:shd w:val="clear" w:color="auto" w:fill="CCEEFF"/>
          </w:tcPr>
          <w:p>
            <w:pPr>
              <w:jc w:val="right"/>
              <w:ind w:right="332"/>
              <w:spacing w:after="0"/>
              <w:rPr>
                <w:sz w:val="20"/>
                <w:szCs w:val="20"/>
                <w:color w:val="auto"/>
              </w:rPr>
            </w:pPr>
            <w:r>
              <w:rPr>
                <w:rFonts w:ascii="Arial" w:cs="Arial" w:eastAsia="Arial" w:hAnsi="Arial"/>
                <w:sz w:val="10"/>
                <w:szCs w:val="10"/>
                <w:color w:val="auto"/>
                <w:w w:val="71"/>
              </w:rPr>
              <w:t>$</w:t>
            </w: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647,906</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600" w:type="dxa"/>
            <w:vAlign w:val="bottom"/>
          </w:tcPr>
          <w:p>
            <w:pPr>
              <w:spacing w:after="0"/>
              <w:rPr>
                <w:sz w:val="20"/>
                <w:szCs w:val="20"/>
                <w:color w:val="auto"/>
              </w:rPr>
            </w:pPr>
            <w:r>
              <w:rPr>
                <w:rFonts w:ascii="Arial" w:cs="Arial" w:eastAsia="Arial" w:hAnsi="Arial"/>
                <w:sz w:val="13"/>
                <w:szCs w:val="13"/>
                <w:color w:val="auto"/>
              </w:rPr>
              <w:t>Audit-related fees</w:t>
            </w:r>
          </w:p>
        </w:tc>
        <w:tc>
          <w:tcPr>
            <w:tcW w:w="800" w:type="dxa"/>
            <w:vAlign w:val="bottom"/>
          </w:tcPr>
          <w:p>
            <w:pPr>
              <w:spacing w:after="0"/>
              <w:rPr>
                <w:sz w:val="13"/>
                <w:szCs w:val="13"/>
                <w:color w:val="auto"/>
              </w:rPr>
            </w:pPr>
          </w:p>
        </w:tc>
        <w:tc>
          <w:tcPr>
            <w:tcW w:w="700" w:type="dxa"/>
            <w:vAlign w:val="bottom"/>
            <w:gridSpan w:val="2"/>
          </w:tcPr>
          <w:p>
            <w:pPr>
              <w:jc w:val="right"/>
              <w:ind w:right="240"/>
              <w:spacing w:after="0"/>
              <w:rPr>
                <w:sz w:val="20"/>
                <w:szCs w:val="20"/>
                <w:color w:val="auto"/>
              </w:rPr>
            </w:pPr>
            <w:r>
              <w:rPr>
                <w:rFonts w:ascii="Arial" w:cs="Arial" w:eastAsia="Arial" w:hAnsi="Arial"/>
                <w:sz w:val="13"/>
                <w:szCs w:val="13"/>
                <w:color w:val="auto"/>
                <w:w w:val="93"/>
              </w:rPr>
              <w:t>259,671</w:t>
            </w:r>
          </w:p>
        </w:tc>
        <w:tc>
          <w:tcPr>
            <w:tcW w:w="440" w:type="dxa"/>
            <w:vAlign w:val="bottom"/>
          </w:tcPr>
          <w:p>
            <w:pPr>
              <w:spacing w:after="0"/>
              <w:rPr>
                <w:sz w:val="13"/>
                <w:szCs w:val="13"/>
                <w:color w:val="auto"/>
              </w:rPr>
            </w:pPr>
          </w:p>
        </w:tc>
        <w:tc>
          <w:tcPr>
            <w:tcW w:w="920" w:type="dxa"/>
            <w:vAlign w:val="bottom"/>
            <w:gridSpan w:val="2"/>
          </w:tcPr>
          <w:p>
            <w:pPr>
              <w:jc w:val="right"/>
              <w:ind w:right="120"/>
              <w:spacing w:after="0"/>
              <w:rPr>
                <w:sz w:val="20"/>
                <w:szCs w:val="20"/>
                <w:color w:val="auto"/>
              </w:rPr>
            </w:pPr>
            <w:r>
              <w:rPr>
                <w:rFonts w:ascii="Arial" w:cs="Arial" w:eastAsia="Arial" w:hAnsi="Arial"/>
                <w:sz w:val="13"/>
                <w:szCs w:val="13"/>
                <w:color w:val="auto"/>
              </w:rPr>
              <w:t>206,189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600" w:type="dxa"/>
            <w:vAlign w:val="bottom"/>
            <w:shd w:val="clear" w:color="auto" w:fill="CCEEFF"/>
          </w:tcPr>
          <w:p>
            <w:pPr>
              <w:spacing w:after="0"/>
              <w:rPr>
                <w:sz w:val="20"/>
                <w:szCs w:val="20"/>
                <w:color w:val="auto"/>
              </w:rPr>
            </w:pPr>
            <w:r>
              <w:rPr>
                <w:rFonts w:ascii="Arial" w:cs="Arial" w:eastAsia="Arial" w:hAnsi="Arial"/>
                <w:sz w:val="13"/>
                <w:szCs w:val="13"/>
                <w:color w:val="auto"/>
              </w:rPr>
              <w:t>Tax fees</w:t>
            </w:r>
          </w:p>
        </w:tc>
        <w:tc>
          <w:tcPr>
            <w:tcW w:w="800" w:type="dxa"/>
            <w:vAlign w:val="bottom"/>
            <w:shd w:val="clear" w:color="auto" w:fill="CCEEFF"/>
          </w:tcPr>
          <w:p>
            <w:pPr>
              <w:spacing w:after="0"/>
              <w:rPr>
                <w:sz w:val="13"/>
                <w:szCs w:val="13"/>
                <w:color w:val="auto"/>
              </w:rPr>
            </w:pPr>
          </w:p>
        </w:tc>
        <w:tc>
          <w:tcPr>
            <w:tcW w:w="7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0</w:t>
            </w:r>
          </w:p>
        </w:tc>
        <w:tc>
          <w:tcPr>
            <w:tcW w:w="440" w:type="dxa"/>
            <w:vAlign w:val="bottom"/>
            <w:shd w:val="clear" w:color="auto" w:fill="CCEEFF"/>
          </w:tcPr>
          <w:p>
            <w:pPr>
              <w:spacing w:after="0"/>
              <w:rPr>
                <w:sz w:val="13"/>
                <w:szCs w:val="13"/>
                <w:color w:val="auto"/>
              </w:rPr>
            </w:pP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w:t>
            </w: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8600" w:type="dxa"/>
            <w:vAlign w:val="bottom"/>
          </w:tcPr>
          <w:p>
            <w:pPr>
              <w:spacing w:after="0"/>
              <w:rPr>
                <w:sz w:val="20"/>
                <w:szCs w:val="20"/>
                <w:color w:val="auto"/>
              </w:rPr>
            </w:pPr>
            <w:r>
              <w:rPr>
                <w:rFonts w:ascii="Arial" w:cs="Arial" w:eastAsia="Arial" w:hAnsi="Arial"/>
                <w:sz w:val="13"/>
                <w:szCs w:val="13"/>
                <w:color w:val="auto"/>
              </w:rPr>
              <w:t>All other fees</w:t>
            </w:r>
          </w:p>
        </w:tc>
        <w:tc>
          <w:tcPr>
            <w:tcW w:w="800" w:type="dxa"/>
            <w:vAlign w:val="bottom"/>
          </w:tcPr>
          <w:p>
            <w:pPr>
              <w:spacing w:after="0"/>
              <w:rPr>
                <w:sz w:val="14"/>
                <w:szCs w:val="14"/>
                <w:color w:val="auto"/>
              </w:rPr>
            </w:pPr>
          </w:p>
        </w:tc>
        <w:tc>
          <w:tcPr>
            <w:tcW w:w="700" w:type="dxa"/>
            <w:vAlign w:val="bottom"/>
            <w:gridSpan w:val="2"/>
          </w:tcPr>
          <w:p>
            <w:pPr>
              <w:jc w:val="right"/>
              <w:ind w:right="240"/>
              <w:spacing w:after="0"/>
              <w:rPr>
                <w:sz w:val="20"/>
                <w:szCs w:val="20"/>
                <w:color w:val="auto"/>
              </w:rPr>
            </w:pPr>
            <w:r>
              <w:rPr>
                <w:rFonts w:ascii="Arial" w:cs="Arial" w:eastAsia="Arial" w:hAnsi="Arial"/>
                <w:sz w:val="13"/>
                <w:szCs w:val="13"/>
                <w:color w:val="auto"/>
              </w:rPr>
              <w:t>0</w:t>
            </w:r>
          </w:p>
        </w:tc>
        <w:tc>
          <w:tcPr>
            <w:tcW w:w="440" w:type="dxa"/>
            <w:vAlign w:val="bottom"/>
          </w:tcPr>
          <w:p>
            <w:pPr>
              <w:spacing w:after="0"/>
              <w:rPr>
                <w:sz w:val="14"/>
                <w:szCs w:val="14"/>
                <w:color w:val="auto"/>
              </w:rPr>
            </w:pPr>
          </w:p>
        </w:tc>
        <w:tc>
          <w:tcPr>
            <w:tcW w:w="920" w:type="dxa"/>
            <w:vAlign w:val="bottom"/>
            <w:gridSpan w:val="2"/>
          </w:tcPr>
          <w:p>
            <w:pPr>
              <w:jc w:val="right"/>
              <w:ind w:right="120"/>
              <w:spacing w:after="0"/>
              <w:rPr>
                <w:sz w:val="20"/>
                <w:szCs w:val="20"/>
                <w:color w:val="auto"/>
              </w:rPr>
            </w:pPr>
            <w:r>
              <w:rPr>
                <w:rFonts w:ascii="Arial" w:cs="Arial" w:eastAsia="Arial" w:hAnsi="Arial"/>
                <w:sz w:val="13"/>
                <w:szCs w:val="13"/>
                <w:color w:val="auto"/>
              </w:rPr>
              <w:t>0</w:t>
            </w: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8600" w:type="dxa"/>
            <w:vAlign w:val="bottom"/>
            <w:tcBorders>
              <w:top w:val="single" w:sz="8" w:color="CCEEFF"/>
              <w:bottom w:val="single" w:sz="8" w:color="CCEEFF"/>
            </w:tcBorders>
            <w:shd w:val="clear" w:color="auto" w:fill="CCEEFF"/>
          </w:tcPr>
          <w:p>
            <w:pPr>
              <w:spacing w:after="0" w:line="147" w:lineRule="exact"/>
              <w:rPr>
                <w:sz w:val="20"/>
                <w:szCs w:val="20"/>
                <w:color w:val="auto"/>
              </w:rPr>
            </w:pPr>
            <w:r>
              <w:rPr>
                <w:rFonts w:ascii="Arial" w:cs="Arial" w:eastAsia="Arial" w:hAnsi="Arial"/>
                <w:sz w:val="13"/>
                <w:szCs w:val="13"/>
                <w:b w:val="1"/>
                <w:bCs w:val="1"/>
                <w:color w:val="auto"/>
              </w:rPr>
              <w:t>Total</w:t>
            </w:r>
          </w:p>
        </w:tc>
        <w:tc>
          <w:tcPr>
            <w:tcW w:w="800" w:type="dxa"/>
            <w:vAlign w:val="bottom"/>
            <w:tcBorders>
              <w:top w:val="single" w:sz="8" w:color="auto"/>
              <w:bottom w:val="single" w:sz="8" w:color="auto"/>
            </w:tcBorders>
            <w:shd w:val="clear" w:color="auto" w:fill="CCEEFF"/>
          </w:tcPr>
          <w:p>
            <w:pPr>
              <w:jc w:val="right"/>
              <w:ind w:right="687"/>
              <w:spacing w:after="0"/>
              <w:rPr>
                <w:sz w:val="20"/>
                <w:szCs w:val="20"/>
                <w:color w:val="auto"/>
              </w:rPr>
            </w:pPr>
            <w:r>
              <w:rPr>
                <w:rFonts w:ascii="Arial" w:cs="Arial" w:eastAsia="Arial" w:hAnsi="Arial"/>
                <w:sz w:val="10"/>
                <w:szCs w:val="10"/>
                <w:b w:val="1"/>
                <w:bCs w:val="1"/>
                <w:color w:val="auto"/>
                <w:w w:val="71"/>
              </w:rPr>
              <w:t>$</w:t>
            </w:r>
          </w:p>
        </w:tc>
        <w:tc>
          <w:tcPr>
            <w:tcW w:w="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w w:val="93"/>
              </w:rPr>
              <w:t>944,590</w:t>
            </w: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440" w:type="dxa"/>
            <w:vAlign w:val="bottom"/>
            <w:tcBorders>
              <w:top w:val="single" w:sz="8" w:color="auto"/>
              <w:bottom w:val="single" w:sz="8" w:color="auto"/>
            </w:tcBorders>
            <w:shd w:val="clear" w:color="auto" w:fill="CCEEFF"/>
          </w:tcPr>
          <w:p>
            <w:pPr>
              <w:jc w:val="right"/>
              <w:ind w:right="332"/>
              <w:spacing w:after="0"/>
              <w:rPr>
                <w:sz w:val="20"/>
                <w:szCs w:val="20"/>
                <w:color w:val="auto"/>
              </w:rPr>
            </w:pPr>
            <w:r>
              <w:rPr>
                <w:rFonts w:ascii="Arial" w:cs="Arial" w:eastAsia="Arial" w:hAnsi="Arial"/>
                <w:sz w:val="10"/>
                <w:szCs w:val="10"/>
                <w:b w:val="1"/>
                <w:bCs w:val="1"/>
                <w:color w:val="auto"/>
                <w:w w:val="71"/>
              </w:rPr>
              <w:t>$</w:t>
            </w: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854,095</w:t>
            </w:r>
          </w:p>
        </w:tc>
        <w:tc>
          <w:tcPr>
            <w:tcW w:w="120" w:type="dxa"/>
            <w:vAlign w:val="bottom"/>
            <w:tcBorders>
              <w:top w:val="single" w:sz="8" w:color="CCEEFF"/>
              <w:bottom w:val="single" w:sz="8" w:color="CCEEFF"/>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bl>
    <w:p>
      <w:pPr>
        <w:spacing w:after="0" w:line="145" w:lineRule="exact"/>
        <w:rPr>
          <w:sz w:val="20"/>
          <w:szCs w:val="20"/>
          <w:color w:val="auto"/>
        </w:rPr>
      </w:pPr>
    </w:p>
    <w:p>
      <w:pPr>
        <w:spacing w:after="0"/>
        <w:rPr>
          <w:sz w:val="20"/>
          <w:szCs w:val="20"/>
          <w:color w:val="auto"/>
        </w:rPr>
      </w:pPr>
      <w:r>
        <w:rPr>
          <w:rFonts w:ascii="Arial" w:cs="Arial" w:eastAsia="Arial" w:hAnsi="Arial"/>
          <w:sz w:val="13"/>
          <w:szCs w:val="13"/>
          <w:color w:val="auto"/>
        </w:rPr>
        <w:t>The following is a description of the type of services included within the categories listed above:</w:t>
      </w:r>
    </w:p>
    <w:p>
      <w:pPr>
        <w:spacing w:after="0" w:line="159" w:lineRule="exact"/>
        <w:rPr>
          <w:sz w:val="20"/>
          <w:szCs w:val="20"/>
          <w:color w:val="auto"/>
        </w:rPr>
      </w:pPr>
    </w:p>
    <w:p>
      <w:pPr>
        <w:ind w:left="440" w:right="20" w:hanging="173"/>
        <w:spacing w:after="0" w:line="253" w:lineRule="auto"/>
        <w:tabs>
          <w:tab w:leader="none" w:pos="440" w:val="left"/>
        </w:tabs>
        <w:numPr>
          <w:ilvl w:val="0"/>
          <w:numId w:val="87"/>
        </w:numPr>
        <w:rPr>
          <w:rFonts w:ascii="Arial" w:cs="Arial" w:eastAsia="Arial" w:hAnsi="Arial"/>
          <w:sz w:val="13"/>
          <w:szCs w:val="13"/>
          <w:color w:val="auto"/>
        </w:rPr>
      </w:pPr>
      <w:r>
        <w:rPr>
          <w:rFonts w:ascii="Arial" w:cs="Arial" w:eastAsia="Arial" w:hAnsi="Arial"/>
          <w:sz w:val="13"/>
          <w:szCs w:val="13"/>
          <w:color w:val="auto"/>
        </w:rPr>
        <w:t>Audit fees include aggregate fees billed for professional services rendered by KPMG and Deloitte, respectively, for the audit of the Bank’s annual financial statements and services that are normally provided in connection with statutory and regulatory filings or engagements.</w:t>
      </w:r>
    </w:p>
    <w:p>
      <w:pPr>
        <w:spacing w:after="0" w:line="1" w:lineRule="exact"/>
        <w:rPr>
          <w:rFonts w:ascii="Arial" w:cs="Arial" w:eastAsia="Arial" w:hAnsi="Arial"/>
          <w:sz w:val="13"/>
          <w:szCs w:val="13"/>
          <w:color w:val="auto"/>
        </w:rPr>
      </w:pPr>
    </w:p>
    <w:p>
      <w:pPr>
        <w:ind w:left="440" w:right="20" w:hanging="173"/>
        <w:spacing w:after="0" w:line="254" w:lineRule="auto"/>
        <w:tabs>
          <w:tab w:leader="none" w:pos="440" w:val="left"/>
        </w:tabs>
        <w:numPr>
          <w:ilvl w:val="0"/>
          <w:numId w:val="87"/>
        </w:numPr>
        <w:rPr>
          <w:rFonts w:ascii="Arial" w:cs="Arial" w:eastAsia="Arial" w:hAnsi="Arial"/>
          <w:sz w:val="13"/>
          <w:szCs w:val="13"/>
          <w:color w:val="auto"/>
        </w:rPr>
      </w:pPr>
      <w:r>
        <w:rPr>
          <w:rFonts w:ascii="Arial" w:cs="Arial" w:eastAsia="Arial" w:hAnsi="Arial"/>
          <w:sz w:val="13"/>
          <w:szCs w:val="13"/>
          <w:color w:val="auto"/>
        </w:rPr>
        <w:t>Audit-related fees include aggregate fees billed for assurance and related services by KPMG and Deloitte, respectively, that are reasonably related to the performance of the audit or review of the Bank’s financial statements and are not reported under the “Audit fees.” These services are associated with funding programs as part of the normal course of business of the Bank.</w:t>
      </w:r>
    </w:p>
    <w:p>
      <w:pPr>
        <w:spacing w:after="0" w:line="137"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Audit Committee Pre-Approval Policies and Procedures</w:t>
      </w:r>
    </w:p>
    <w:p>
      <w:pPr>
        <w:spacing w:after="0" w:line="159"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The Audit Committee pre-approves all audit and non-audit services to be provided to the Bank by the Bank’s independent accounting firm. All of the services related to the audit fees, audit-related fees, tax fees and all other fees described above were approved by the Audit Committee.</w:t>
      </w:r>
    </w:p>
    <w:p>
      <w:pPr>
        <w:spacing w:after="0" w:line="125" w:lineRule="exact"/>
        <w:rPr>
          <w:sz w:val="20"/>
          <w:szCs w:val="20"/>
          <w:color w:val="auto"/>
        </w:rPr>
      </w:pPr>
    </w:p>
    <w:p>
      <w:pPr>
        <w:spacing w:after="0"/>
        <w:tabs>
          <w:tab w:leader="none" w:pos="900" w:val="left"/>
        </w:tabs>
        <w:rPr>
          <w:sz w:val="20"/>
          <w:szCs w:val="20"/>
          <w:color w:val="auto"/>
        </w:rPr>
      </w:pPr>
      <w:r>
        <w:rPr>
          <w:rFonts w:ascii="Arial" w:cs="Arial" w:eastAsia="Arial" w:hAnsi="Arial"/>
          <w:sz w:val="13"/>
          <w:szCs w:val="13"/>
          <w:b w:val="1"/>
          <w:bCs w:val="1"/>
          <w:color w:val="auto"/>
        </w:rPr>
        <w:t>Item 16D.</w:t>
      </w:r>
      <w:r>
        <w:rPr>
          <w:sz w:val="20"/>
          <w:szCs w:val="20"/>
          <w:color w:val="auto"/>
        </w:rPr>
        <w:tab/>
      </w:r>
      <w:r>
        <w:rPr>
          <w:rFonts w:ascii="Arial" w:cs="Arial" w:eastAsia="Arial" w:hAnsi="Arial"/>
          <w:sz w:val="11"/>
          <w:szCs w:val="11"/>
          <w:b w:val="1"/>
          <w:bCs w:val="1"/>
          <w:color w:val="auto"/>
        </w:rPr>
        <w:t>Exemptions from the Listing Standards for Audit Committees</w:t>
      </w:r>
    </w:p>
    <w:p>
      <w:pPr>
        <w:spacing w:after="0" w:line="163" w:lineRule="exact"/>
        <w:rPr>
          <w:sz w:val="20"/>
          <w:szCs w:val="20"/>
          <w:color w:val="auto"/>
        </w:rPr>
      </w:pPr>
    </w:p>
    <w:p>
      <w:pPr>
        <w:ind w:left="920"/>
        <w:spacing w:after="0"/>
        <w:rPr>
          <w:sz w:val="20"/>
          <w:szCs w:val="20"/>
          <w:color w:val="auto"/>
        </w:rPr>
      </w:pPr>
      <w:r>
        <w:rPr>
          <w:rFonts w:ascii="Arial" w:cs="Arial" w:eastAsia="Arial" w:hAnsi="Arial"/>
          <w:sz w:val="13"/>
          <w:szCs w:val="13"/>
          <w:color w:val="auto"/>
        </w:rPr>
        <w:t>Not applicable.</w:t>
      </w:r>
    </w:p>
    <w:p>
      <w:pPr>
        <w:spacing w:after="0" w:line="155" w:lineRule="exact"/>
        <w:rPr>
          <w:sz w:val="20"/>
          <w:szCs w:val="20"/>
          <w:color w:val="auto"/>
        </w:rPr>
      </w:pPr>
    </w:p>
    <w:p>
      <w:pPr>
        <w:spacing w:after="0"/>
        <w:tabs>
          <w:tab w:leader="none" w:pos="900" w:val="left"/>
        </w:tabs>
        <w:rPr>
          <w:sz w:val="20"/>
          <w:szCs w:val="20"/>
          <w:color w:val="auto"/>
        </w:rPr>
      </w:pPr>
      <w:r>
        <w:rPr>
          <w:rFonts w:ascii="Arial" w:cs="Arial" w:eastAsia="Arial" w:hAnsi="Arial"/>
          <w:sz w:val="13"/>
          <w:szCs w:val="13"/>
          <w:b w:val="1"/>
          <w:bCs w:val="1"/>
          <w:color w:val="auto"/>
        </w:rPr>
        <w:t>Item 16E.</w:t>
      </w:r>
      <w:r>
        <w:rPr>
          <w:sz w:val="20"/>
          <w:szCs w:val="20"/>
          <w:color w:val="auto"/>
        </w:rPr>
        <w:tab/>
      </w:r>
      <w:r>
        <w:rPr>
          <w:rFonts w:ascii="Arial" w:cs="Arial" w:eastAsia="Arial" w:hAnsi="Arial"/>
          <w:sz w:val="11"/>
          <w:szCs w:val="11"/>
          <w:b w:val="1"/>
          <w:bCs w:val="1"/>
          <w:color w:val="auto"/>
        </w:rPr>
        <w:t>Purchases of Equity Securities by the Issuer and Affiliated Purchasers</w:t>
      </w:r>
    </w:p>
    <w:p>
      <w:pPr>
        <w:spacing w:after="0" w:line="163" w:lineRule="exact"/>
        <w:rPr>
          <w:sz w:val="20"/>
          <w:szCs w:val="20"/>
          <w:color w:val="auto"/>
        </w:rPr>
      </w:pPr>
    </w:p>
    <w:p>
      <w:pPr>
        <w:ind w:left="920"/>
        <w:spacing w:after="0"/>
        <w:rPr>
          <w:sz w:val="20"/>
          <w:szCs w:val="20"/>
          <w:color w:val="auto"/>
        </w:rPr>
      </w:pPr>
      <w:r>
        <w:rPr>
          <w:rFonts w:ascii="Arial" w:cs="Arial" w:eastAsia="Arial" w:hAnsi="Arial"/>
          <w:sz w:val="13"/>
          <w:szCs w:val="13"/>
          <w:color w:val="auto"/>
        </w:rPr>
        <w:t>Not applicable.</w:t>
      </w:r>
    </w:p>
    <w:p>
      <w:pPr>
        <w:spacing w:after="0" w:line="155" w:lineRule="exact"/>
        <w:rPr>
          <w:sz w:val="20"/>
          <w:szCs w:val="20"/>
          <w:color w:val="auto"/>
        </w:rPr>
      </w:pPr>
    </w:p>
    <w:p>
      <w:pPr>
        <w:spacing w:after="0"/>
        <w:tabs>
          <w:tab w:leader="none" w:pos="900" w:val="left"/>
        </w:tabs>
        <w:rPr>
          <w:sz w:val="20"/>
          <w:szCs w:val="20"/>
          <w:color w:val="auto"/>
        </w:rPr>
      </w:pPr>
      <w:r>
        <w:rPr>
          <w:rFonts w:ascii="Arial" w:cs="Arial" w:eastAsia="Arial" w:hAnsi="Arial"/>
          <w:sz w:val="13"/>
          <w:szCs w:val="13"/>
          <w:b w:val="1"/>
          <w:bCs w:val="1"/>
          <w:color w:val="auto"/>
        </w:rPr>
        <w:t>Item 16F.</w:t>
      </w:r>
      <w:r>
        <w:rPr>
          <w:sz w:val="20"/>
          <w:szCs w:val="20"/>
          <w:color w:val="auto"/>
        </w:rPr>
        <w:tab/>
      </w:r>
      <w:r>
        <w:rPr>
          <w:rFonts w:ascii="Arial" w:cs="Arial" w:eastAsia="Arial" w:hAnsi="Arial"/>
          <w:sz w:val="11"/>
          <w:szCs w:val="11"/>
          <w:b w:val="1"/>
          <w:bCs w:val="1"/>
          <w:color w:val="auto"/>
        </w:rPr>
        <w:t>Change in Registrant’s Certifying Accountant</w:t>
      </w:r>
    </w:p>
    <w:p>
      <w:pPr>
        <w:spacing w:after="0" w:line="163" w:lineRule="exact"/>
        <w:rPr>
          <w:sz w:val="20"/>
          <w:szCs w:val="20"/>
          <w:color w:val="auto"/>
        </w:rPr>
      </w:pPr>
    </w:p>
    <w:p>
      <w:pPr>
        <w:ind w:right="20"/>
        <w:spacing w:after="0" w:line="310" w:lineRule="auto"/>
        <w:rPr>
          <w:sz w:val="20"/>
          <w:szCs w:val="20"/>
          <w:color w:val="auto"/>
        </w:rPr>
      </w:pPr>
      <w:r>
        <w:rPr>
          <w:rFonts w:ascii="Arial" w:cs="Arial" w:eastAsia="Arial" w:hAnsi="Arial"/>
          <w:sz w:val="12"/>
          <w:szCs w:val="12"/>
          <w:color w:val="auto"/>
        </w:rPr>
        <w:t>At the Bank’s Annual Shareholders’ Meeting held on April 11, 2018, in Panama City, Panama, shareholders ratified the appointment of KPMG as the Bank’s new independent registered public accounting firm for the fiscal year ending December 31, 2018 to report on the Bank’s audited consolidated financial statements and to perform such other appropriate audit-related services as may be required.</w:t>
      </w:r>
    </w:p>
    <w:p>
      <w:pPr>
        <w:spacing w:after="0" w:line="106" w:lineRule="exact"/>
        <w:rPr>
          <w:sz w:val="20"/>
          <w:szCs w:val="20"/>
          <w:color w:val="auto"/>
        </w:rPr>
      </w:pPr>
    </w:p>
    <w:p>
      <w:pPr>
        <w:spacing w:after="0" w:line="267" w:lineRule="auto"/>
        <w:rPr>
          <w:sz w:val="20"/>
          <w:szCs w:val="20"/>
          <w:color w:val="auto"/>
        </w:rPr>
      </w:pPr>
      <w:r>
        <w:rPr>
          <w:rFonts w:ascii="Arial" w:cs="Arial" w:eastAsia="Arial" w:hAnsi="Arial"/>
          <w:sz w:val="13"/>
          <w:szCs w:val="13"/>
          <w:color w:val="auto"/>
        </w:rPr>
        <w:t>Prior to KPMG’s appointment as our auditors, Deloitte served as our independent registered public accounting firm. The decision to change the Bank’s independent auditor was recommended and approved by the Audit Committee of the Board based on the results of an open and transparent tender offer.</w:t>
      </w:r>
    </w:p>
    <w:p>
      <w:pPr>
        <w:spacing w:after="0" w:line="278"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118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4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704" w:right="199" w:bottom="1440" w:gutter="0" w:footer="0" w:header="0"/>
        </w:sectPr>
      </w:pPr>
    </w:p>
    <w:bookmarkStart w:id="120" w:name="page121"/>
    <w:bookmarkEnd w:id="120"/>
    <w:p>
      <w:pPr>
        <w:jc w:val="both"/>
        <w:ind w:right="20"/>
        <w:spacing w:after="0" w:line="267" w:lineRule="auto"/>
        <w:rPr>
          <w:sz w:val="20"/>
          <w:szCs w:val="20"/>
          <w:color w:val="auto"/>
        </w:rPr>
      </w:pPr>
      <w:r>
        <w:rPr>
          <w:rFonts w:ascii="Arial" w:cs="Arial" w:eastAsia="Arial" w:hAnsi="Arial"/>
          <w:sz w:val="13"/>
          <w:szCs w:val="13"/>
          <w:color w:val="auto"/>
        </w:rPr>
        <w:t>The audit reports of Deloitte on the Bank’s consolidated financial statements at and for the years ended December 31, 2017 and 2016 did not contain any adverse opinion or disclaimer of opinion, nor were they qualified or modified as to uncertainty, audit scope or accounting principles.</w:t>
      </w:r>
    </w:p>
    <w:p>
      <w:pPr>
        <w:spacing w:after="0" w:line="129" w:lineRule="exact"/>
        <w:rPr>
          <w:sz w:val="20"/>
          <w:szCs w:val="20"/>
          <w:color w:val="auto"/>
        </w:rPr>
      </w:pPr>
    </w:p>
    <w:p>
      <w:pPr>
        <w:jc w:val="both"/>
        <w:spacing w:after="0" w:line="297" w:lineRule="auto"/>
        <w:rPr>
          <w:sz w:val="20"/>
          <w:szCs w:val="20"/>
          <w:color w:val="auto"/>
        </w:rPr>
      </w:pPr>
      <w:r>
        <w:rPr>
          <w:rFonts w:ascii="Arial" w:cs="Arial" w:eastAsia="Arial" w:hAnsi="Arial"/>
          <w:sz w:val="11"/>
          <w:szCs w:val="11"/>
          <w:color w:val="auto"/>
        </w:rPr>
        <w:t>In connection with the audit of the fiscal years ended December 31, 2017 and December 31, 2016, and during the subsequent interim period through the date of the Bank’s 2017 Annual Report on Form 20-F, there were no disagreements with Deloitte on any matter of accounting principles or practices, financial statement disclosure, or auditing scope of procedures, which disagreements, if not resolved to Deloitte’s satisfaction, would have caused them to make reference to the subject matter of the disagreements in connection with their opinion on the Bank’s consolidated financial statements. In addition, there were no reportable events as listed in Item 304 (a)</w:t>
      </w:r>
    </w:p>
    <w:p>
      <w:pPr>
        <w:spacing w:after="0" w:line="1" w:lineRule="exact"/>
        <w:rPr>
          <w:sz w:val="20"/>
          <w:szCs w:val="20"/>
          <w:color w:val="auto"/>
        </w:rPr>
      </w:pPr>
    </w:p>
    <w:p>
      <w:pPr>
        <w:spacing w:after="0"/>
        <w:rPr>
          <w:sz w:val="20"/>
          <w:szCs w:val="20"/>
          <w:color w:val="auto"/>
        </w:rPr>
      </w:pPr>
      <w:r>
        <w:rPr>
          <w:rFonts w:ascii="Arial" w:cs="Arial" w:eastAsia="Arial" w:hAnsi="Arial"/>
          <w:sz w:val="13"/>
          <w:szCs w:val="13"/>
          <w:color w:val="auto"/>
        </w:rPr>
        <w:t>(1) (v) of Regulation S-K.</w:t>
      </w:r>
    </w:p>
    <w:p>
      <w:pPr>
        <w:spacing w:after="0" w:line="150" w:lineRule="exact"/>
        <w:rPr>
          <w:sz w:val="20"/>
          <w:szCs w:val="20"/>
          <w:color w:val="auto"/>
        </w:rPr>
      </w:pPr>
    </w:p>
    <w:p>
      <w:pPr>
        <w:spacing w:after="0"/>
        <w:rPr>
          <w:sz w:val="20"/>
          <w:szCs w:val="20"/>
          <w:color w:val="auto"/>
        </w:rPr>
      </w:pPr>
      <w:r>
        <w:rPr>
          <w:rFonts w:ascii="Arial" w:cs="Arial" w:eastAsia="Arial" w:hAnsi="Arial"/>
          <w:sz w:val="13"/>
          <w:szCs w:val="13"/>
          <w:color w:val="auto"/>
        </w:rPr>
        <w:t>A copy of Deloitte’s consent letter, was filed as an Exhibit 15.1 to the Annual Report on Form 20-F for the fiscal year ended December 31, 2017, filed with the SEC on April 30, 2018.</w:t>
      </w:r>
    </w:p>
    <w:p>
      <w:pPr>
        <w:spacing w:after="0" w:line="159" w:lineRule="exact"/>
        <w:rPr>
          <w:sz w:val="20"/>
          <w:szCs w:val="20"/>
          <w:color w:val="auto"/>
        </w:rPr>
      </w:pPr>
    </w:p>
    <w:p>
      <w:pPr>
        <w:jc w:val="both"/>
        <w:spacing w:after="0" w:line="278" w:lineRule="auto"/>
        <w:rPr>
          <w:sz w:val="20"/>
          <w:szCs w:val="20"/>
          <w:color w:val="auto"/>
        </w:rPr>
      </w:pPr>
      <w:r>
        <w:rPr>
          <w:rFonts w:ascii="Arial" w:cs="Arial" w:eastAsia="Arial" w:hAnsi="Arial"/>
          <w:sz w:val="12"/>
          <w:szCs w:val="12"/>
          <w:color w:val="auto"/>
        </w:rPr>
        <w:t>During the two fiscal years ended December 31, 2017 and 2016, and during the subsequent interim period through the appointment of KPMG as the Bank’s new independent registered public accounting firm on April 11, 2018, neither the Bank, nor anyone on its behalf, consulted KPMG regarding either (i) application of accounting principles to a specified transaction, either completed or proposed, or the type of audit opinion that might be rendered with respect to the consolidated financial statements of the Bank, in any case where a written report or oral advice was provided to the Bank by KPMG, that KPMG concluded was an important factor considered by the Bank in reaching a decision as to any accounting, auditing or financial reporting issue; or (ii) any matter that was the subject of a disagreement (as that term is defined in Item 304(a)(1)(iv) of Regulation S-K and the related instructions) or a “reportable event” (as that term is defined in Item 304(a)(1)(v) of Regulation S-K).</w:t>
      </w:r>
    </w:p>
    <w:p>
      <w:pPr>
        <w:spacing w:after="0" w:line="125"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The Bank has been advised by KPMG that neither that firm nor any of its affiliates has any relationship with the Bank or its subsidiaries, other than the relationship that typically exists between independent auditors and their clients. KPMG representatives were present at the Bank’s Annual Shareholders’ Meeting held on April 17, 2019, in Panama City, Panama, and had the opportunity to make any statement, if they so desired, or respond to questions posed by shareholders of the Bank that attended the annual meeting.</w:t>
      </w:r>
    </w:p>
    <w:p>
      <w:pPr>
        <w:spacing w:after="0" w:line="132" w:lineRule="exact"/>
        <w:rPr>
          <w:sz w:val="20"/>
          <w:szCs w:val="20"/>
          <w:color w:val="auto"/>
        </w:rPr>
      </w:pPr>
    </w:p>
    <w:p>
      <w:pPr>
        <w:spacing w:after="0"/>
        <w:tabs>
          <w:tab w:leader="none" w:pos="900" w:val="left"/>
        </w:tabs>
        <w:rPr>
          <w:sz w:val="20"/>
          <w:szCs w:val="20"/>
          <w:color w:val="auto"/>
        </w:rPr>
      </w:pPr>
      <w:r>
        <w:rPr>
          <w:rFonts w:ascii="Arial" w:cs="Arial" w:eastAsia="Arial" w:hAnsi="Arial"/>
          <w:sz w:val="13"/>
          <w:szCs w:val="13"/>
          <w:b w:val="1"/>
          <w:bCs w:val="1"/>
          <w:color w:val="auto"/>
        </w:rPr>
        <w:t>Item 16G.</w:t>
      </w:r>
      <w:r>
        <w:rPr>
          <w:sz w:val="20"/>
          <w:szCs w:val="20"/>
          <w:color w:val="auto"/>
        </w:rPr>
        <w:tab/>
      </w:r>
      <w:r>
        <w:rPr>
          <w:rFonts w:ascii="Arial" w:cs="Arial" w:eastAsia="Arial" w:hAnsi="Arial"/>
          <w:sz w:val="11"/>
          <w:szCs w:val="11"/>
          <w:b w:val="1"/>
          <w:bCs w:val="1"/>
          <w:color w:val="auto"/>
        </w:rPr>
        <w:t>Corporate Governance</w:t>
      </w:r>
    </w:p>
    <w:p>
      <w:pPr>
        <w:spacing w:after="0" w:line="163" w:lineRule="exact"/>
        <w:rPr>
          <w:sz w:val="20"/>
          <w:szCs w:val="20"/>
          <w:color w:val="auto"/>
        </w:rPr>
      </w:pPr>
    </w:p>
    <w:p>
      <w:pPr>
        <w:spacing w:after="0"/>
        <w:rPr>
          <w:sz w:val="20"/>
          <w:szCs w:val="20"/>
          <w:color w:val="auto"/>
        </w:rPr>
      </w:pPr>
      <w:r>
        <w:rPr>
          <w:rFonts w:ascii="Arial" w:cs="Arial" w:eastAsia="Arial" w:hAnsi="Arial"/>
          <w:sz w:val="13"/>
          <w:szCs w:val="13"/>
          <w:color w:val="auto"/>
        </w:rPr>
        <w:t>The corporate governance practices of the Bank and those required by the NYSE for domestic companies in the United States differ in two significant ways:</w:t>
      </w:r>
    </w:p>
    <w:p>
      <w:pPr>
        <w:spacing w:after="0" w:line="15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First, under Section 303A.04 of the NYSE Rules, a listed company must have a nomination/corporate governance committee comprised entirely of independent directors. However, it is common practice among public companies in Panama, including the Bank, not to have a corporate governance committee. The Bank addresses all corporate governance matters in plenary meetings of the Board, and the Audit Committee has been given the responsibility of improving the Bank’s corporate governance practices and monitoring compliance with such practices.</w:t>
      </w:r>
    </w:p>
    <w:p>
      <w:pPr>
        <w:spacing w:after="0" w:line="136" w:lineRule="exact"/>
        <w:rPr>
          <w:sz w:val="20"/>
          <w:szCs w:val="20"/>
          <w:color w:val="auto"/>
        </w:rPr>
      </w:pPr>
    </w:p>
    <w:p>
      <w:pPr>
        <w:jc w:val="both"/>
        <w:ind w:right="20"/>
        <w:spacing w:after="0" w:line="254" w:lineRule="auto"/>
        <w:rPr>
          <w:sz w:val="20"/>
          <w:szCs w:val="20"/>
          <w:color w:val="auto"/>
        </w:rPr>
      </w:pPr>
      <w:r>
        <w:rPr>
          <w:rFonts w:ascii="Arial" w:cs="Arial" w:eastAsia="Arial" w:hAnsi="Arial"/>
          <w:sz w:val="13"/>
          <w:szCs w:val="13"/>
          <w:color w:val="auto"/>
        </w:rPr>
        <w:t>Second, under Section 303A.08 of the NYSE Rules, shareholders must approve all equity compensation plans and material revisions to such plans, subject to limited exceptions. However, under Panamanian law, any contracts, agreements and transactions between the Bank and one or more of its directors or officers, or companies in which they have an interest, only need to be approved by the Board, including equity compensation plans. The Board must inform shareholders of the equity compensation plans and/or material revisions to such plans at the next shareholders’ meeting and shareholders may revoke the Board’s approval of the equity compensation plans and/or material revisions to such plans at such meeting.</w:t>
      </w:r>
    </w:p>
    <w:p>
      <w:pPr>
        <w:spacing w:after="0" w:line="286" w:lineRule="exact"/>
        <w:rPr>
          <w:sz w:val="20"/>
          <w:szCs w:val="20"/>
          <w:color w:val="auto"/>
        </w:rPr>
      </w:pPr>
    </w:p>
    <w:p>
      <w:pPr>
        <w:jc w:val="center"/>
        <w:spacing w:after="0"/>
        <w:rPr>
          <w:sz w:val="20"/>
          <w:szCs w:val="20"/>
          <w:color w:val="auto"/>
        </w:rPr>
      </w:pPr>
      <w:r>
        <w:rPr>
          <w:rFonts w:ascii="Arial" w:cs="Arial" w:eastAsia="Arial" w:hAnsi="Arial"/>
          <w:sz w:val="15"/>
          <w:szCs w:val="15"/>
          <w:color w:val="auto"/>
        </w:rPr>
        <w:t>119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4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121" w:name="page122"/>
    <w:bookmarkEnd w:id="121"/>
    <w:p>
      <w:pPr>
        <w:spacing w:after="0"/>
        <w:tabs>
          <w:tab w:leader="none" w:pos="900" w:val="left"/>
        </w:tabs>
        <w:rPr>
          <w:sz w:val="20"/>
          <w:szCs w:val="20"/>
          <w:color w:val="auto"/>
        </w:rPr>
      </w:pPr>
      <w:r>
        <w:rPr>
          <w:rFonts w:ascii="Arial" w:cs="Arial" w:eastAsia="Arial" w:hAnsi="Arial"/>
          <w:sz w:val="13"/>
          <w:szCs w:val="13"/>
          <w:b w:val="1"/>
          <w:bCs w:val="1"/>
          <w:color w:val="auto"/>
        </w:rPr>
        <w:t>Item 16H.</w:t>
      </w:r>
      <w:r>
        <w:rPr>
          <w:sz w:val="20"/>
          <w:szCs w:val="20"/>
          <w:color w:val="auto"/>
        </w:rPr>
        <w:tab/>
      </w:r>
      <w:r>
        <w:rPr>
          <w:rFonts w:ascii="Arial" w:cs="Arial" w:eastAsia="Arial" w:hAnsi="Arial"/>
          <w:sz w:val="11"/>
          <w:szCs w:val="11"/>
          <w:b w:val="1"/>
          <w:bCs w:val="1"/>
          <w:color w:val="auto"/>
        </w:rPr>
        <w:t>Mine Safety Disclosure</w:t>
      </w:r>
    </w:p>
    <w:p>
      <w:pPr>
        <w:spacing w:after="0" w:line="163" w:lineRule="exact"/>
        <w:rPr>
          <w:sz w:val="20"/>
          <w:szCs w:val="20"/>
          <w:color w:val="auto"/>
        </w:rPr>
      </w:pPr>
    </w:p>
    <w:p>
      <w:pPr>
        <w:ind w:left="920"/>
        <w:spacing w:after="0"/>
        <w:rPr>
          <w:sz w:val="20"/>
          <w:szCs w:val="20"/>
          <w:color w:val="auto"/>
        </w:rPr>
      </w:pPr>
      <w:r>
        <w:rPr>
          <w:rFonts w:ascii="Arial" w:cs="Arial" w:eastAsia="Arial" w:hAnsi="Arial"/>
          <w:sz w:val="13"/>
          <w:szCs w:val="13"/>
          <w:color w:val="auto"/>
        </w:rPr>
        <w:t>Not applicable.</w:t>
      </w:r>
    </w:p>
    <w:p>
      <w:pPr>
        <w:spacing w:after="0" w:line="13" w:lineRule="exact"/>
        <w:rPr>
          <w:sz w:val="20"/>
          <w:szCs w:val="20"/>
          <w:color w:val="auto"/>
        </w:rPr>
      </w:pPr>
    </w:p>
    <w:p>
      <w:pPr>
        <w:jc w:val="center"/>
        <w:ind w:right="-199"/>
        <w:spacing w:after="0"/>
        <w:rPr>
          <w:sz w:val="20"/>
          <w:szCs w:val="20"/>
          <w:color w:val="auto"/>
        </w:rPr>
      </w:pPr>
      <w:r>
        <w:rPr>
          <w:rFonts w:ascii="Arial" w:cs="Arial" w:eastAsia="Arial" w:hAnsi="Arial"/>
          <w:sz w:val="13"/>
          <w:szCs w:val="13"/>
          <w:b w:val="1"/>
          <w:bCs w:val="1"/>
          <w:color w:val="auto"/>
        </w:rPr>
        <w:t>PART III</w:t>
      </w:r>
    </w:p>
    <w:p>
      <w:pPr>
        <w:spacing w:after="0" w:line="146" w:lineRule="exact"/>
        <w:rPr>
          <w:sz w:val="20"/>
          <w:szCs w:val="20"/>
          <w:color w:val="auto"/>
        </w:rPr>
      </w:pPr>
    </w:p>
    <w:p>
      <w:pPr>
        <w:spacing w:after="0"/>
        <w:tabs>
          <w:tab w:leader="none" w:pos="900" w:val="left"/>
        </w:tabs>
        <w:rPr>
          <w:sz w:val="20"/>
          <w:szCs w:val="20"/>
          <w:color w:val="auto"/>
        </w:rPr>
      </w:pPr>
      <w:r>
        <w:rPr>
          <w:rFonts w:ascii="Arial" w:cs="Arial" w:eastAsia="Arial" w:hAnsi="Arial"/>
          <w:sz w:val="13"/>
          <w:szCs w:val="13"/>
          <w:b w:val="1"/>
          <w:bCs w:val="1"/>
          <w:color w:val="auto"/>
        </w:rPr>
        <w:t>Item 17.</w:t>
      </w:r>
      <w:r>
        <w:rPr>
          <w:sz w:val="20"/>
          <w:szCs w:val="20"/>
          <w:color w:val="auto"/>
        </w:rPr>
        <w:tab/>
      </w:r>
      <w:r>
        <w:rPr>
          <w:rFonts w:ascii="Arial" w:cs="Arial" w:eastAsia="Arial" w:hAnsi="Arial"/>
          <w:sz w:val="11"/>
          <w:szCs w:val="11"/>
          <w:b w:val="1"/>
          <w:bCs w:val="1"/>
          <w:color w:val="auto"/>
        </w:rPr>
        <w:t>Financial Statements</w:t>
      </w:r>
    </w:p>
    <w:p>
      <w:pPr>
        <w:spacing w:after="0" w:line="163" w:lineRule="exact"/>
        <w:rPr>
          <w:sz w:val="20"/>
          <w:szCs w:val="20"/>
          <w:color w:val="auto"/>
        </w:rPr>
      </w:pPr>
    </w:p>
    <w:p>
      <w:pPr>
        <w:spacing w:after="0"/>
        <w:rPr>
          <w:sz w:val="20"/>
          <w:szCs w:val="20"/>
          <w:color w:val="auto"/>
        </w:rPr>
      </w:pPr>
      <w:r>
        <w:rPr>
          <w:rFonts w:ascii="Arial" w:cs="Arial" w:eastAsia="Arial" w:hAnsi="Arial"/>
          <w:sz w:val="13"/>
          <w:szCs w:val="13"/>
          <w:color w:val="auto"/>
        </w:rPr>
        <w:t>The Bank is providing the financial statements and related information specified in Item 18.</w:t>
      </w:r>
    </w:p>
    <w:p>
      <w:pPr>
        <w:spacing w:after="0" w:line="155" w:lineRule="exact"/>
        <w:rPr>
          <w:sz w:val="20"/>
          <w:szCs w:val="20"/>
          <w:color w:val="auto"/>
        </w:rPr>
      </w:pPr>
    </w:p>
    <w:tbl>
      <w:tblPr>
        <w:tblLayout w:type="fixed"/>
        <w:tblInd w:w="0" w:type="dxa"/>
        <w:tblCellMar>
          <w:top w:w="0" w:type="dxa"/>
          <w:left w:w="0" w:type="dxa"/>
          <w:bottom w:w="0" w:type="dxa"/>
          <w:right w:w="0" w:type="dxa"/>
        </w:tblCellMar>
      </w:tblPr>
      <w:tr>
        <w:trPr>
          <w:trHeight w:val="166"/>
        </w:trPr>
        <w:tc>
          <w:tcPr>
            <w:tcW w:w="680" w:type="dxa"/>
            <w:vAlign w:val="bottom"/>
            <w:gridSpan w:val="2"/>
          </w:tcPr>
          <w:p>
            <w:pPr>
              <w:spacing w:after="0"/>
              <w:rPr>
                <w:sz w:val="20"/>
                <w:szCs w:val="20"/>
                <w:color w:val="auto"/>
              </w:rPr>
            </w:pPr>
            <w:r>
              <w:rPr>
                <w:rFonts w:ascii="Arial" w:cs="Arial" w:eastAsia="Arial" w:hAnsi="Arial"/>
                <w:sz w:val="13"/>
                <w:szCs w:val="13"/>
                <w:b w:val="1"/>
                <w:bCs w:val="1"/>
                <w:color w:val="auto"/>
              </w:rPr>
              <w:t>Item 18.</w:t>
            </w:r>
          </w:p>
        </w:tc>
        <w:tc>
          <w:tcPr>
            <w:tcW w:w="6920" w:type="dxa"/>
            <w:vAlign w:val="bottom"/>
            <w:gridSpan w:val="7"/>
          </w:tcPr>
          <w:p>
            <w:pPr>
              <w:ind w:left="240"/>
              <w:spacing w:after="0"/>
              <w:rPr>
                <w:sz w:val="20"/>
                <w:szCs w:val="20"/>
                <w:color w:val="auto"/>
              </w:rPr>
            </w:pPr>
            <w:r>
              <w:rPr>
                <w:rFonts w:ascii="Arial" w:cs="Arial" w:eastAsia="Arial" w:hAnsi="Arial"/>
                <w:sz w:val="13"/>
                <w:szCs w:val="13"/>
                <w:b w:val="1"/>
                <w:bCs w:val="1"/>
                <w:color w:val="auto"/>
              </w:rPr>
              <w:t>Financial Statements</w:t>
            </w:r>
          </w:p>
        </w:tc>
        <w:tc>
          <w:tcPr>
            <w:tcW w:w="348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08"/>
        </w:trPr>
        <w:tc>
          <w:tcPr>
            <w:tcW w:w="7600" w:type="dxa"/>
            <w:vAlign w:val="bottom"/>
            <w:gridSpan w:val="9"/>
          </w:tcPr>
          <w:p>
            <w:pPr>
              <w:spacing w:after="0"/>
              <w:rPr>
                <w:sz w:val="20"/>
                <w:szCs w:val="20"/>
                <w:color w:val="auto"/>
              </w:rPr>
            </w:pPr>
            <w:r>
              <w:rPr>
                <w:rFonts w:ascii="Arial" w:cs="Arial" w:eastAsia="Arial" w:hAnsi="Arial"/>
                <w:sz w:val="13"/>
                <w:szCs w:val="13"/>
                <w:color w:val="auto"/>
              </w:rPr>
              <w:t>List of Consolidated Financial Statements</w:t>
            </w:r>
          </w:p>
        </w:tc>
        <w:tc>
          <w:tcPr>
            <w:tcW w:w="34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5"/>
        </w:trPr>
        <w:tc>
          <w:tcPr>
            <w:tcW w:w="360" w:type="dxa"/>
            <w:vAlign w:val="bottom"/>
          </w:tcPr>
          <w:p>
            <w:pPr>
              <w:spacing w:after="0"/>
              <w:rPr>
                <w:sz w:val="13"/>
                <w:szCs w:val="13"/>
                <w:color w:val="auto"/>
              </w:rPr>
            </w:pPr>
          </w:p>
        </w:tc>
        <w:tc>
          <w:tcPr>
            <w:tcW w:w="1980" w:type="dxa"/>
            <w:vAlign w:val="bottom"/>
            <w:gridSpan w:val="2"/>
          </w:tcPr>
          <w:p>
            <w:pPr>
              <w:spacing w:after="0"/>
              <w:rPr>
                <w:sz w:val="13"/>
                <w:szCs w:val="13"/>
                <w:color w:val="auto"/>
              </w:rPr>
            </w:pP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62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3420" w:type="dxa"/>
            <w:vAlign w:val="bottom"/>
          </w:tcPr>
          <w:p>
            <w:pPr>
              <w:spacing w:after="0"/>
              <w:rPr>
                <w:sz w:val="13"/>
                <w:szCs w:val="13"/>
                <w:color w:val="auto"/>
              </w:rPr>
            </w:pPr>
          </w:p>
        </w:tc>
        <w:tc>
          <w:tcPr>
            <w:tcW w:w="348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45"/>
        </w:trPr>
        <w:tc>
          <w:tcPr>
            <w:tcW w:w="360" w:type="dxa"/>
            <w:vAlign w:val="bottom"/>
          </w:tcPr>
          <w:p>
            <w:pPr>
              <w:spacing w:after="0"/>
              <w:rPr>
                <w:sz w:val="12"/>
                <w:szCs w:val="12"/>
                <w:color w:val="auto"/>
              </w:rPr>
            </w:pPr>
          </w:p>
        </w:tc>
        <w:tc>
          <w:tcPr>
            <w:tcW w:w="7240" w:type="dxa"/>
            <w:vAlign w:val="bottom"/>
            <w:gridSpan w:val="8"/>
            <w:shd w:val="clear" w:color="auto" w:fill="CCEEFF"/>
          </w:tcPr>
          <w:p>
            <w:pPr>
              <w:spacing w:after="0" w:line="125" w:lineRule="exact"/>
              <w:rPr>
                <w:rFonts w:ascii="Arial" w:cs="Arial" w:eastAsia="Arial" w:hAnsi="Arial"/>
                <w:sz w:val="13"/>
                <w:szCs w:val="13"/>
                <w:color w:val="0000EE"/>
              </w:rPr>
            </w:pPr>
            <w:hyperlink w:anchor="page128">
              <w:r>
                <w:rPr>
                  <w:rFonts w:ascii="Arial" w:cs="Arial" w:eastAsia="Arial" w:hAnsi="Arial"/>
                  <w:sz w:val="13"/>
                  <w:szCs w:val="13"/>
                  <w:color w:val="0000EE"/>
                </w:rPr>
                <w:t>Reports of Independent Registered Public Accounting Firm</w:t>
              </w:r>
            </w:hyperlink>
          </w:p>
        </w:tc>
        <w:tc>
          <w:tcPr>
            <w:tcW w:w="3480" w:type="dxa"/>
            <w:vAlign w:val="bottom"/>
            <w:tcBorders>
              <w:right w:val="single" w:sz="8" w:color="CCEEFF"/>
            </w:tcBorders>
            <w:shd w:val="clear" w:color="auto" w:fill="CCEEFF"/>
          </w:tcPr>
          <w:p>
            <w:pPr>
              <w:spacing w:after="0"/>
              <w:rPr>
                <w:sz w:val="12"/>
                <w:szCs w:val="12"/>
                <w:color w:val="auto"/>
              </w:rPr>
            </w:pPr>
          </w:p>
        </w:tc>
        <w:tc>
          <w:tcPr>
            <w:tcW w:w="180" w:type="dxa"/>
            <w:vAlign w:val="bottom"/>
            <w:shd w:val="clear" w:color="auto" w:fill="CCEEFF"/>
          </w:tcPr>
          <w:p>
            <w:pPr>
              <w:jc w:val="right"/>
              <w:spacing w:after="0" w:line="125" w:lineRule="exact"/>
              <w:rPr>
                <w:rFonts w:ascii="Arial" w:cs="Arial" w:eastAsia="Arial" w:hAnsi="Arial"/>
                <w:sz w:val="13"/>
                <w:szCs w:val="13"/>
                <w:color w:val="0000EE"/>
                <w:w w:val="81"/>
              </w:rPr>
            </w:pPr>
            <w:hyperlink w:anchor="page128">
              <w:r>
                <w:rPr>
                  <w:rFonts w:ascii="Arial" w:cs="Arial" w:eastAsia="Arial" w:hAnsi="Arial"/>
                  <w:sz w:val="13"/>
                  <w:szCs w:val="13"/>
                  <w:color w:val="0000EE"/>
                  <w:w w:val="81"/>
                </w:rPr>
                <w:t>F-3</w:t>
              </w:r>
            </w:hyperlink>
          </w:p>
        </w:tc>
        <w:tc>
          <w:tcPr>
            <w:tcW w:w="20" w:type="dxa"/>
            <w:vAlign w:val="bottom"/>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114"/>
        </w:trPr>
        <w:tc>
          <w:tcPr>
            <w:tcW w:w="360" w:type="dxa"/>
            <w:vAlign w:val="bottom"/>
          </w:tcPr>
          <w:p>
            <w:pPr>
              <w:spacing w:after="0"/>
              <w:rPr>
                <w:sz w:val="9"/>
                <w:szCs w:val="9"/>
                <w:color w:val="auto"/>
              </w:rPr>
            </w:pPr>
          </w:p>
        </w:tc>
        <w:tc>
          <w:tcPr>
            <w:tcW w:w="3060" w:type="dxa"/>
            <w:vAlign w:val="bottom"/>
            <w:tcBorders>
              <w:top w:val="single" w:sz="8" w:color="0000EE"/>
            </w:tcBorders>
            <w:gridSpan w:val="6"/>
          </w:tcPr>
          <w:p>
            <w:pPr>
              <w:spacing w:after="0" w:line="114" w:lineRule="exact"/>
              <w:rPr>
                <w:rFonts w:ascii="Arial" w:cs="Arial" w:eastAsia="Arial" w:hAnsi="Arial"/>
                <w:sz w:val="13"/>
                <w:szCs w:val="13"/>
                <w:color w:val="0000EE"/>
              </w:rPr>
            </w:pPr>
            <w:hyperlink w:anchor="page130">
              <w:r>
                <w:rPr>
                  <w:rFonts w:ascii="Arial" w:cs="Arial" w:eastAsia="Arial" w:hAnsi="Arial"/>
                  <w:sz w:val="13"/>
                  <w:szCs w:val="13"/>
                  <w:color w:val="0000EE"/>
                </w:rPr>
                <w:t>Consolidated statements of financial position</w:t>
              </w:r>
            </w:hyperlink>
          </w:p>
        </w:tc>
        <w:tc>
          <w:tcPr>
            <w:tcW w:w="4180" w:type="dxa"/>
            <w:vAlign w:val="bottom"/>
            <w:tcBorders>
              <w:top w:val="single" w:sz="8" w:color="CCEEFF"/>
            </w:tcBorders>
            <w:gridSpan w:val="2"/>
          </w:tcPr>
          <w:p>
            <w:pPr>
              <w:spacing w:after="0"/>
              <w:rPr>
                <w:sz w:val="9"/>
                <w:szCs w:val="9"/>
                <w:color w:val="auto"/>
              </w:rPr>
            </w:pPr>
          </w:p>
        </w:tc>
        <w:tc>
          <w:tcPr>
            <w:tcW w:w="3480" w:type="dxa"/>
            <w:vAlign w:val="bottom"/>
            <w:tcBorders>
              <w:top w:val="single" w:sz="8" w:color="CCEEFF"/>
            </w:tcBorders>
          </w:tcPr>
          <w:p>
            <w:pPr>
              <w:spacing w:after="0"/>
              <w:rPr>
                <w:sz w:val="9"/>
                <w:szCs w:val="9"/>
                <w:color w:val="auto"/>
              </w:rPr>
            </w:pPr>
          </w:p>
        </w:tc>
        <w:tc>
          <w:tcPr>
            <w:tcW w:w="180" w:type="dxa"/>
            <w:vAlign w:val="bottom"/>
            <w:tcBorders>
              <w:top w:val="single" w:sz="8" w:color="0000EE"/>
            </w:tcBorders>
          </w:tcPr>
          <w:p>
            <w:pPr>
              <w:jc w:val="right"/>
              <w:spacing w:after="0" w:line="114" w:lineRule="exact"/>
              <w:rPr>
                <w:rFonts w:ascii="Arial" w:cs="Arial" w:eastAsia="Arial" w:hAnsi="Arial"/>
                <w:sz w:val="13"/>
                <w:szCs w:val="13"/>
                <w:color w:val="0000EE"/>
                <w:w w:val="81"/>
              </w:rPr>
            </w:pPr>
            <w:hyperlink w:anchor="page130">
              <w:r>
                <w:rPr>
                  <w:rFonts w:ascii="Arial" w:cs="Arial" w:eastAsia="Arial" w:hAnsi="Arial"/>
                  <w:sz w:val="13"/>
                  <w:szCs w:val="13"/>
                  <w:color w:val="0000EE"/>
                  <w:w w:val="81"/>
                </w:rPr>
                <w:t>F-5</w:t>
              </w:r>
            </w:hyperlink>
          </w:p>
        </w:tc>
        <w:tc>
          <w:tcPr>
            <w:tcW w:w="20" w:type="dxa"/>
            <w:vAlign w:val="bottom"/>
            <w:tcBorders>
              <w:top w:val="single" w:sz="8" w:color="0000EE"/>
            </w:tcBorders>
          </w:tcPr>
          <w:p>
            <w:pPr>
              <w:spacing w:after="0"/>
              <w:rPr>
                <w:sz w:val="9"/>
                <w:szCs w:val="9"/>
                <w:color w:val="auto"/>
              </w:rPr>
            </w:pPr>
          </w:p>
        </w:tc>
        <w:tc>
          <w:tcPr>
            <w:tcW w:w="0" w:type="dxa"/>
            <w:vAlign w:val="bottom"/>
          </w:tcPr>
          <w:p>
            <w:pPr>
              <w:spacing w:after="0"/>
              <w:rPr>
                <w:sz w:val="1"/>
                <w:szCs w:val="1"/>
                <w:color w:val="auto"/>
              </w:rPr>
            </w:pPr>
          </w:p>
        </w:tc>
      </w:tr>
      <w:tr>
        <w:trPr>
          <w:trHeight w:val="134"/>
        </w:trPr>
        <w:tc>
          <w:tcPr>
            <w:tcW w:w="360" w:type="dxa"/>
            <w:vAlign w:val="bottom"/>
          </w:tcPr>
          <w:p>
            <w:pPr>
              <w:spacing w:after="0"/>
              <w:rPr>
                <w:sz w:val="11"/>
                <w:szCs w:val="11"/>
                <w:color w:val="auto"/>
              </w:rPr>
            </w:pPr>
          </w:p>
        </w:tc>
        <w:tc>
          <w:tcPr>
            <w:tcW w:w="2320" w:type="dxa"/>
            <w:vAlign w:val="bottom"/>
            <w:tcBorders>
              <w:top w:val="single" w:sz="8" w:color="0000EE"/>
            </w:tcBorders>
            <w:gridSpan w:val="4"/>
            <w:shd w:val="clear" w:color="auto" w:fill="CCEEFF"/>
          </w:tcPr>
          <w:p>
            <w:pPr>
              <w:spacing w:after="0" w:line="134" w:lineRule="exact"/>
              <w:rPr>
                <w:rFonts w:ascii="Arial" w:cs="Arial" w:eastAsia="Arial" w:hAnsi="Arial"/>
                <w:sz w:val="13"/>
                <w:szCs w:val="13"/>
                <w:color w:val="0000EE"/>
                <w:w w:val="99"/>
              </w:rPr>
            </w:pPr>
            <w:hyperlink w:anchor="page131">
              <w:r>
                <w:rPr>
                  <w:rFonts w:ascii="Arial" w:cs="Arial" w:eastAsia="Arial" w:hAnsi="Arial"/>
                  <w:sz w:val="13"/>
                  <w:szCs w:val="13"/>
                  <w:color w:val="0000EE"/>
                  <w:w w:val="99"/>
                </w:rPr>
                <w:t>Consolidated statements of profit or loss</w:t>
              </w:r>
            </w:hyperlink>
          </w:p>
        </w:tc>
        <w:tc>
          <w:tcPr>
            <w:tcW w:w="4920" w:type="dxa"/>
            <w:vAlign w:val="bottom"/>
            <w:gridSpan w:val="4"/>
            <w:shd w:val="clear" w:color="auto" w:fill="CCEEFF"/>
          </w:tcPr>
          <w:p>
            <w:pPr>
              <w:spacing w:after="0"/>
              <w:rPr>
                <w:sz w:val="11"/>
                <w:szCs w:val="11"/>
                <w:color w:val="auto"/>
              </w:rPr>
            </w:pPr>
          </w:p>
        </w:tc>
        <w:tc>
          <w:tcPr>
            <w:tcW w:w="3480" w:type="dxa"/>
            <w:vAlign w:val="bottom"/>
            <w:tcBorders>
              <w:right w:val="single" w:sz="8" w:color="CCEEFF"/>
            </w:tcBorders>
            <w:shd w:val="clear" w:color="auto" w:fill="CCEEFF"/>
          </w:tcPr>
          <w:p>
            <w:pPr>
              <w:spacing w:after="0"/>
              <w:rPr>
                <w:sz w:val="11"/>
                <w:szCs w:val="11"/>
                <w:color w:val="auto"/>
              </w:rPr>
            </w:pPr>
          </w:p>
        </w:tc>
        <w:tc>
          <w:tcPr>
            <w:tcW w:w="180" w:type="dxa"/>
            <w:vAlign w:val="bottom"/>
            <w:tcBorders>
              <w:top w:val="single" w:sz="8" w:color="0000EE"/>
            </w:tcBorders>
            <w:shd w:val="clear" w:color="auto" w:fill="CCEEFF"/>
          </w:tcPr>
          <w:p>
            <w:pPr>
              <w:jc w:val="right"/>
              <w:spacing w:after="0" w:line="134" w:lineRule="exact"/>
              <w:rPr>
                <w:rFonts w:ascii="Arial" w:cs="Arial" w:eastAsia="Arial" w:hAnsi="Arial"/>
                <w:sz w:val="13"/>
                <w:szCs w:val="13"/>
                <w:color w:val="0000EE"/>
                <w:w w:val="81"/>
              </w:rPr>
            </w:pPr>
            <w:hyperlink w:anchor="page131">
              <w:r>
                <w:rPr>
                  <w:rFonts w:ascii="Arial" w:cs="Arial" w:eastAsia="Arial" w:hAnsi="Arial"/>
                  <w:sz w:val="13"/>
                  <w:szCs w:val="13"/>
                  <w:color w:val="0000EE"/>
                  <w:w w:val="81"/>
                </w:rPr>
                <w:t>F-6</w:t>
              </w:r>
            </w:hyperlink>
          </w:p>
        </w:tc>
        <w:tc>
          <w:tcPr>
            <w:tcW w:w="20" w:type="dxa"/>
            <w:vAlign w:val="bottom"/>
            <w:tcBorders>
              <w:top w:val="single" w:sz="8" w:color="0000EE"/>
            </w:tcBorders>
          </w:tcPr>
          <w:p>
            <w:pPr>
              <w:spacing w:after="0"/>
              <w:rPr>
                <w:sz w:val="11"/>
                <w:szCs w:val="11"/>
                <w:color w:val="auto"/>
              </w:rPr>
            </w:pPr>
          </w:p>
        </w:tc>
        <w:tc>
          <w:tcPr>
            <w:tcW w:w="0" w:type="dxa"/>
            <w:vAlign w:val="bottom"/>
          </w:tcPr>
          <w:p>
            <w:pPr>
              <w:spacing w:after="0"/>
              <w:rPr>
                <w:sz w:val="1"/>
                <w:szCs w:val="1"/>
                <w:color w:val="auto"/>
              </w:rPr>
            </w:pPr>
          </w:p>
        </w:tc>
      </w:tr>
      <w:tr>
        <w:trPr>
          <w:trHeight w:val="20"/>
        </w:trPr>
        <w:tc>
          <w:tcPr>
            <w:tcW w:w="360" w:type="dxa"/>
            <w:vAlign w:val="bottom"/>
          </w:tcPr>
          <w:p>
            <w:pPr>
              <w:spacing w:after="0" w:line="20" w:lineRule="exact"/>
              <w:rPr>
                <w:sz w:val="1"/>
                <w:szCs w:val="1"/>
                <w:color w:val="auto"/>
              </w:rPr>
            </w:pPr>
          </w:p>
        </w:tc>
        <w:tc>
          <w:tcPr>
            <w:tcW w:w="320" w:type="dxa"/>
            <w:vAlign w:val="bottom"/>
            <w:tcBorders>
              <w:top w:val="single" w:sz="8" w:color="0000EE"/>
            </w:tcBorders>
            <w:shd w:val="clear" w:color="auto" w:fill="CCEEFF"/>
          </w:tcPr>
          <w:p>
            <w:pPr>
              <w:spacing w:after="0" w:line="20" w:lineRule="exact"/>
              <w:rPr>
                <w:sz w:val="1"/>
                <w:szCs w:val="1"/>
                <w:color w:val="auto"/>
              </w:rPr>
            </w:pPr>
          </w:p>
        </w:tc>
        <w:tc>
          <w:tcPr>
            <w:tcW w:w="1660" w:type="dxa"/>
            <w:vAlign w:val="bottom"/>
            <w:tcBorders>
              <w:top w:val="single" w:sz="8" w:color="0000EE"/>
            </w:tcBorders>
            <w:shd w:val="clear" w:color="auto" w:fill="CCEEFF"/>
          </w:tcPr>
          <w:p>
            <w:pPr>
              <w:spacing w:after="0" w:line="20" w:lineRule="exact"/>
              <w:rPr>
                <w:sz w:val="1"/>
                <w:szCs w:val="1"/>
                <w:color w:val="auto"/>
              </w:rPr>
            </w:pPr>
          </w:p>
        </w:tc>
        <w:tc>
          <w:tcPr>
            <w:tcW w:w="100" w:type="dxa"/>
            <w:vAlign w:val="bottom"/>
            <w:tcBorders>
              <w:top w:val="single" w:sz="8" w:color="0000EE"/>
            </w:tcBorders>
            <w:shd w:val="clear" w:color="auto" w:fill="CCEEFF"/>
          </w:tcPr>
          <w:p>
            <w:pPr>
              <w:spacing w:after="0" w:line="20" w:lineRule="exact"/>
              <w:rPr>
                <w:sz w:val="1"/>
                <w:szCs w:val="1"/>
                <w:color w:val="auto"/>
              </w:rPr>
            </w:pPr>
          </w:p>
        </w:tc>
        <w:tc>
          <w:tcPr>
            <w:tcW w:w="24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620" w:type="dxa"/>
            <w:vAlign w:val="bottom"/>
            <w:tcBorders>
              <w:top w:val="single" w:sz="8" w:color="CCEEFF"/>
            </w:tcBorders>
            <w:shd w:val="clear" w:color="auto" w:fill="CCEEFF"/>
          </w:tcPr>
          <w:p>
            <w:pPr>
              <w:spacing w:after="0" w:line="20" w:lineRule="exact"/>
              <w:rPr>
                <w:sz w:val="1"/>
                <w:szCs w:val="1"/>
                <w:color w:val="auto"/>
              </w:rPr>
            </w:pPr>
          </w:p>
        </w:tc>
        <w:tc>
          <w:tcPr>
            <w:tcW w:w="760" w:type="dxa"/>
            <w:vAlign w:val="bottom"/>
            <w:tcBorders>
              <w:top w:val="single" w:sz="8" w:color="CCEEFF"/>
            </w:tcBorders>
            <w:shd w:val="clear" w:color="auto" w:fill="CCEEFF"/>
          </w:tcPr>
          <w:p>
            <w:pPr>
              <w:spacing w:after="0" w:line="20" w:lineRule="exact"/>
              <w:rPr>
                <w:sz w:val="1"/>
                <w:szCs w:val="1"/>
                <w:color w:val="auto"/>
              </w:rPr>
            </w:pPr>
          </w:p>
        </w:tc>
        <w:tc>
          <w:tcPr>
            <w:tcW w:w="3420" w:type="dxa"/>
            <w:vAlign w:val="bottom"/>
            <w:tcBorders>
              <w:top w:val="single" w:sz="8" w:color="CCEEFF"/>
            </w:tcBorders>
            <w:shd w:val="clear" w:color="auto" w:fill="CCEEFF"/>
          </w:tcPr>
          <w:p>
            <w:pPr>
              <w:spacing w:after="0" w:line="20" w:lineRule="exact"/>
              <w:rPr>
                <w:sz w:val="1"/>
                <w:szCs w:val="1"/>
                <w:color w:val="auto"/>
              </w:rPr>
            </w:pPr>
          </w:p>
        </w:tc>
        <w:tc>
          <w:tcPr>
            <w:tcW w:w="3480" w:type="dxa"/>
            <w:vAlign w:val="bottom"/>
            <w:tcBorders>
              <w:top w:val="single" w:sz="8" w:color="CCEEFF"/>
              <w:right w:val="single" w:sz="8" w:color="CCEEFF"/>
            </w:tcBorders>
            <w:shd w:val="clear" w:color="auto" w:fill="CCEEFF"/>
          </w:tcPr>
          <w:p>
            <w:pPr>
              <w:spacing w:after="0" w:line="20" w:lineRule="exact"/>
              <w:rPr>
                <w:sz w:val="1"/>
                <w:szCs w:val="1"/>
                <w:color w:val="auto"/>
              </w:rPr>
            </w:pPr>
          </w:p>
        </w:tc>
        <w:tc>
          <w:tcPr>
            <w:tcW w:w="180" w:type="dxa"/>
            <w:vAlign w:val="bottom"/>
            <w:tcBorders>
              <w:top w:val="single" w:sz="8" w:color="0000EE"/>
            </w:tcBorders>
            <w:shd w:val="clear" w:color="auto" w:fill="CCEEFF"/>
          </w:tcPr>
          <w:p>
            <w:pPr>
              <w:spacing w:after="0" w:line="20" w:lineRule="exact"/>
              <w:rPr>
                <w:sz w:val="1"/>
                <w:szCs w:val="1"/>
                <w:color w:val="auto"/>
              </w:rPr>
            </w:pPr>
          </w:p>
        </w:tc>
        <w:tc>
          <w:tcPr>
            <w:tcW w:w="20" w:type="dxa"/>
            <w:vAlign w:val="bottom"/>
            <w:tcBorders>
              <w:top w:val="single" w:sz="8" w:color="0000EE"/>
            </w:tcBorders>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14"/>
        </w:trPr>
        <w:tc>
          <w:tcPr>
            <w:tcW w:w="360" w:type="dxa"/>
            <w:vAlign w:val="bottom"/>
          </w:tcPr>
          <w:p>
            <w:pPr>
              <w:spacing w:after="0"/>
              <w:rPr>
                <w:sz w:val="9"/>
                <w:szCs w:val="9"/>
                <w:color w:val="auto"/>
              </w:rPr>
            </w:pPr>
          </w:p>
        </w:tc>
        <w:tc>
          <w:tcPr>
            <w:tcW w:w="3820" w:type="dxa"/>
            <w:vAlign w:val="bottom"/>
            <w:tcBorders>
              <w:bottom w:val="single" w:sz="8" w:color="0000EE"/>
            </w:tcBorders>
            <w:gridSpan w:val="7"/>
          </w:tcPr>
          <w:p>
            <w:pPr>
              <w:spacing w:after="0" w:line="114" w:lineRule="exact"/>
              <w:rPr>
                <w:rFonts w:ascii="Arial" w:cs="Arial" w:eastAsia="Arial" w:hAnsi="Arial"/>
                <w:sz w:val="13"/>
                <w:szCs w:val="13"/>
                <w:color w:val="0000EE"/>
                <w:w w:val="88"/>
              </w:rPr>
            </w:pPr>
            <w:hyperlink w:anchor="page132">
              <w:r>
                <w:rPr>
                  <w:rFonts w:ascii="Arial" w:cs="Arial" w:eastAsia="Arial" w:hAnsi="Arial"/>
                  <w:sz w:val="13"/>
                  <w:szCs w:val="13"/>
                  <w:color w:val="0000EE"/>
                  <w:w w:val="88"/>
                </w:rPr>
                <w:t>Consolidated statements of profit or loss and other comprehensive income</w:t>
              </w:r>
            </w:hyperlink>
          </w:p>
        </w:tc>
        <w:tc>
          <w:tcPr>
            <w:tcW w:w="3420" w:type="dxa"/>
            <w:vAlign w:val="bottom"/>
          </w:tcPr>
          <w:p>
            <w:pPr>
              <w:spacing w:after="0"/>
              <w:rPr>
                <w:sz w:val="9"/>
                <w:szCs w:val="9"/>
                <w:color w:val="auto"/>
              </w:rPr>
            </w:pPr>
          </w:p>
        </w:tc>
        <w:tc>
          <w:tcPr>
            <w:tcW w:w="3480" w:type="dxa"/>
            <w:vAlign w:val="bottom"/>
          </w:tcPr>
          <w:p>
            <w:pPr>
              <w:spacing w:after="0"/>
              <w:rPr>
                <w:sz w:val="9"/>
                <w:szCs w:val="9"/>
                <w:color w:val="auto"/>
              </w:rPr>
            </w:pPr>
          </w:p>
        </w:tc>
        <w:tc>
          <w:tcPr>
            <w:tcW w:w="180" w:type="dxa"/>
            <w:vAlign w:val="bottom"/>
            <w:tcBorders>
              <w:bottom w:val="single" w:sz="8" w:color="0000EE"/>
            </w:tcBorders>
          </w:tcPr>
          <w:p>
            <w:pPr>
              <w:jc w:val="right"/>
              <w:spacing w:after="0" w:line="114" w:lineRule="exact"/>
              <w:rPr>
                <w:rFonts w:ascii="Arial" w:cs="Arial" w:eastAsia="Arial" w:hAnsi="Arial"/>
                <w:sz w:val="13"/>
                <w:szCs w:val="13"/>
                <w:color w:val="0000EE"/>
                <w:w w:val="81"/>
              </w:rPr>
            </w:pPr>
            <w:hyperlink w:anchor="page132">
              <w:r>
                <w:rPr>
                  <w:rFonts w:ascii="Arial" w:cs="Arial" w:eastAsia="Arial" w:hAnsi="Arial"/>
                  <w:sz w:val="13"/>
                  <w:szCs w:val="13"/>
                  <w:color w:val="0000EE"/>
                  <w:w w:val="81"/>
                </w:rPr>
                <w:t>F-7</w:t>
              </w:r>
            </w:hyperlink>
          </w:p>
        </w:tc>
        <w:tc>
          <w:tcPr>
            <w:tcW w:w="20" w:type="dxa"/>
            <w:vAlign w:val="bottom"/>
            <w:tcBorders>
              <w:bottom w:val="single" w:sz="8" w:color="0000EE"/>
            </w:tcBorders>
            <w:vMerge w:val="continue"/>
          </w:tcPr>
          <w:p>
            <w:pPr>
              <w:spacing w:after="0"/>
              <w:rPr>
                <w:sz w:val="9"/>
                <w:szCs w:val="9"/>
                <w:color w:val="auto"/>
              </w:rPr>
            </w:pPr>
          </w:p>
        </w:tc>
        <w:tc>
          <w:tcPr>
            <w:tcW w:w="0" w:type="dxa"/>
            <w:vAlign w:val="bottom"/>
          </w:tcPr>
          <w:p>
            <w:pPr>
              <w:spacing w:after="0"/>
              <w:rPr>
                <w:sz w:val="1"/>
                <w:szCs w:val="1"/>
                <w:color w:val="auto"/>
              </w:rPr>
            </w:pPr>
          </w:p>
        </w:tc>
      </w:tr>
      <w:tr>
        <w:trPr>
          <w:trHeight w:val="154"/>
        </w:trPr>
        <w:tc>
          <w:tcPr>
            <w:tcW w:w="360" w:type="dxa"/>
            <w:vAlign w:val="bottom"/>
          </w:tcPr>
          <w:p>
            <w:pPr>
              <w:spacing w:after="0"/>
              <w:rPr>
                <w:sz w:val="13"/>
                <w:szCs w:val="13"/>
                <w:color w:val="auto"/>
              </w:rPr>
            </w:pPr>
          </w:p>
        </w:tc>
        <w:tc>
          <w:tcPr>
            <w:tcW w:w="7240" w:type="dxa"/>
            <w:vAlign w:val="bottom"/>
            <w:gridSpan w:val="8"/>
            <w:shd w:val="clear" w:color="auto" w:fill="CCEEFF"/>
          </w:tcPr>
          <w:p>
            <w:pPr>
              <w:spacing w:after="0" w:line="134" w:lineRule="exact"/>
              <w:rPr>
                <w:rFonts w:ascii="Arial" w:cs="Arial" w:eastAsia="Arial" w:hAnsi="Arial"/>
                <w:sz w:val="13"/>
                <w:szCs w:val="13"/>
                <w:color w:val="0000EE"/>
              </w:rPr>
            </w:pPr>
            <w:hyperlink w:anchor="page133">
              <w:r>
                <w:rPr>
                  <w:rFonts w:ascii="Arial" w:cs="Arial" w:eastAsia="Arial" w:hAnsi="Arial"/>
                  <w:sz w:val="13"/>
                  <w:szCs w:val="13"/>
                  <w:color w:val="0000EE"/>
                </w:rPr>
                <w:t>Consolidated statements of changes in equity</w:t>
              </w:r>
            </w:hyperlink>
          </w:p>
        </w:tc>
        <w:tc>
          <w:tcPr>
            <w:tcW w:w="3480" w:type="dxa"/>
            <w:vAlign w:val="bottom"/>
            <w:tcBorders>
              <w:right w:val="single" w:sz="8" w:color="CCEEFF"/>
            </w:tcBorders>
            <w:shd w:val="clear" w:color="auto" w:fill="CCEEFF"/>
          </w:tcPr>
          <w:p>
            <w:pPr>
              <w:spacing w:after="0"/>
              <w:rPr>
                <w:sz w:val="13"/>
                <w:szCs w:val="13"/>
                <w:color w:val="auto"/>
              </w:rPr>
            </w:pPr>
          </w:p>
        </w:tc>
        <w:tc>
          <w:tcPr>
            <w:tcW w:w="180" w:type="dxa"/>
            <w:vAlign w:val="bottom"/>
            <w:shd w:val="clear" w:color="auto" w:fill="CCEEFF"/>
          </w:tcPr>
          <w:p>
            <w:pPr>
              <w:jc w:val="right"/>
              <w:spacing w:after="0" w:line="134" w:lineRule="exact"/>
              <w:rPr>
                <w:rFonts w:ascii="Arial" w:cs="Arial" w:eastAsia="Arial" w:hAnsi="Arial"/>
                <w:sz w:val="13"/>
                <w:szCs w:val="13"/>
                <w:color w:val="0000EE"/>
                <w:w w:val="81"/>
              </w:rPr>
            </w:pPr>
            <w:hyperlink w:anchor="page133">
              <w:r>
                <w:rPr>
                  <w:rFonts w:ascii="Arial" w:cs="Arial" w:eastAsia="Arial" w:hAnsi="Arial"/>
                  <w:sz w:val="13"/>
                  <w:szCs w:val="13"/>
                  <w:color w:val="0000EE"/>
                  <w:w w:val="81"/>
                </w:rPr>
                <w:t>F-8</w:t>
              </w:r>
            </w:hyperlink>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14"/>
        </w:trPr>
        <w:tc>
          <w:tcPr>
            <w:tcW w:w="360" w:type="dxa"/>
            <w:vAlign w:val="bottom"/>
          </w:tcPr>
          <w:p>
            <w:pPr>
              <w:spacing w:after="0"/>
              <w:rPr>
                <w:sz w:val="9"/>
                <w:szCs w:val="9"/>
                <w:color w:val="auto"/>
              </w:rPr>
            </w:pPr>
          </w:p>
        </w:tc>
        <w:tc>
          <w:tcPr>
            <w:tcW w:w="1980" w:type="dxa"/>
            <w:vAlign w:val="bottom"/>
            <w:tcBorders>
              <w:top w:val="single" w:sz="8" w:color="0000EE"/>
              <w:bottom w:val="single" w:sz="8" w:color="0000EE"/>
            </w:tcBorders>
            <w:gridSpan w:val="2"/>
          </w:tcPr>
          <w:p>
            <w:pPr>
              <w:spacing w:after="0" w:line="114" w:lineRule="exact"/>
              <w:rPr>
                <w:rFonts w:ascii="Arial" w:cs="Arial" w:eastAsia="Arial" w:hAnsi="Arial"/>
                <w:sz w:val="13"/>
                <w:szCs w:val="13"/>
                <w:color w:val="0000EE"/>
                <w:w w:val="88"/>
              </w:rPr>
            </w:pPr>
            <w:hyperlink w:anchor="page134">
              <w:r>
                <w:rPr>
                  <w:rFonts w:ascii="Arial" w:cs="Arial" w:eastAsia="Arial" w:hAnsi="Arial"/>
                  <w:sz w:val="13"/>
                  <w:szCs w:val="13"/>
                  <w:color w:val="0000EE"/>
                  <w:w w:val="88"/>
                </w:rPr>
                <w:t>Consolidated statements of cash flows</w:t>
              </w:r>
            </w:hyperlink>
          </w:p>
        </w:tc>
        <w:tc>
          <w:tcPr>
            <w:tcW w:w="340" w:type="dxa"/>
            <w:vAlign w:val="bottom"/>
            <w:tcBorders>
              <w:top w:val="single" w:sz="8" w:color="0000EE"/>
            </w:tcBorders>
            <w:gridSpan w:val="2"/>
          </w:tcPr>
          <w:p>
            <w:pPr>
              <w:spacing w:after="0"/>
              <w:rPr>
                <w:sz w:val="9"/>
                <w:szCs w:val="9"/>
                <w:color w:val="auto"/>
              </w:rPr>
            </w:pPr>
          </w:p>
        </w:tc>
        <w:tc>
          <w:tcPr>
            <w:tcW w:w="4920" w:type="dxa"/>
            <w:vAlign w:val="bottom"/>
            <w:tcBorders>
              <w:top w:val="single" w:sz="8" w:color="CCEEFF"/>
            </w:tcBorders>
            <w:gridSpan w:val="4"/>
          </w:tcPr>
          <w:p>
            <w:pPr>
              <w:spacing w:after="0"/>
              <w:rPr>
                <w:sz w:val="9"/>
                <w:szCs w:val="9"/>
                <w:color w:val="auto"/>
              </w:rPr>
            </w:pPr>
          </w:p>
        </w:tc>
        <w:tc>
          <w:tcPr>
            <w:tcW w:w="3480" w:type="dxa"/>
            <w:vAlign w:val="bottom"/>
            <w:tcBorders>
              <w:top w:val="single" w:sz="8" w:color="CCEEFF"/>
            </w:tcBorders>
          </w:tcPr>
          <w:p>
            <w:pPr>
              <w:spacing w:after="0"/>
              <w:rPr>
                <w:sz w:val="9"/>
                <w:szCs w:val="9"/>
                <w:color w:val="auto"/>
              </w:rPr>
            </w:pPr>
          </w:p>
        </w:tc>
        <w:tc>
          <w:tcPr>
            <w:tcW w:w="180" w:type="dxa"/>
            <w:vAlign w:val="bottom"/>
            <w:tcBorders>
              <w:top w:val="single" w:sz="8" w:color="0000EE"/>
              <w:bottom w:val="single" w:sz="8" w:color="0000EE"/>
            </w:tcBorders>
          </w:tcPr>
          <w:p>
            <w:pPr>
              <w:jc w:val="right"/>
              <w:spacing w:after="0" w:line="114" w:lineRule="exact"/>
              <w:rPr>
                <w:rFonts w:ascii="Arial" w:cs="Arial" w:eastAsia="Arial" w:hAnsi="Arial"/>
                <w:sz w:val="13"/>
                <w:szCs w:val="13"/>
                <w:color w:val="0000EE"/>
                <w:w w:val="81"/>
              </w:rPr>
            </w:pPr>
            <w:hyperlink w:anchor="page134">
              <w:r>
                <w:rPr>
                  <w:rFonts w:ascii="Arial" w:cs="Arial" w:eastAsia="Arial" w:hAnsi="Arial"/>
                  <w:sz w:val="13"/>
                  <w:szCs w:val="13"/>
                  <w:color w:val="0000EE"/>
                  <w:w w:val="81"/>
                </w:rPr>
                <w:t>F-9</w:t>
              </w:r>
            </w:hyperlink>
          </w:p>
        </w:tc>
        <w:tc>
          <w:tcPr>
            <w:tcW w:w="20" w:type="dxa"/>
            <w:vAlign w:val="bottom"/>
            <w:tcBorders>
              <w:top w:val="single" w:sz="8" w:color="0000EE"/>
              <w:bottom w:val="single" w:sz="8" w:color="0000EE"/>
            </w:tcBorders>
          </w:tcPr>
          <w:p>
            <w:pPr>
              <w:spacing w:after="0"/>
              <w:rPr>
                <w:sz w:val="9"/>
                <w:szCs w:val="9"/>
                <w:color w:val="auto"/>
              </w:rPr>
            </w:pPr>
          </w:p>
        </w:tc>
        <w:tc>
          <w:tcPr>
            <w:tcW w:w="0" w:type="dxa"/>
            <w:vAlign w:val="bottom"/>
          </w:tcPr>
          <w:p>
            <w:pPr>
              <w:spacing w:after="0"/>
              <w:rPr>
                <w:sz w:val="1"/>
                <w:szCs w:val="1"/>
                <w:color w:val="auto"/>
              </w:rPr>
            </w:pPr>
          </w:p>
        </w:tc>
      </w:tr>
      <w:tr>
        <w:trPr>
          <w:trHeight w:val="134"/>
        </w:trPr>
        <w:tc>
          <w:tcPr>
            <w:tcW w:w="360" w:type="dxa"/>
            <w:vAlign w:val="bottom"/>
          </w:tcPr>
          <w:p>
            <w:pPr>
              <w:spacing w:after="0"/>
              <w:rPr>
                <w:sz w:val="11"/>
                <w:szCs w:val="11"/>
                <w:color w:val="auto"/>
              </w:rPr>
            </w:pPr>
          </w:p>
        </w:tc>
        <w:tc>
          <w:tcPr>
            <w:tcW w:w="7240" w:type="dxa"/>
            <w:vAlign w:val="bottom"/>
            <w:gridSpan w:val="8"/>
            <w:shd w:val="clear" w:color="auto" w:fill="CCEEFF"/>
          </w:tcPr>
          <w:p>
            <w:pPr>
              <w:spacing w:after="0" w:line="134" w:lineRule="exact"/>
              <w:rPr>
                <w:rFonts w:ascii="Arial" w:cs="Arial" w:eastAsia="Arial" w:hAnsi="Arial"/>
                <w:sz w:val="13"/>
                <w:szCs w:val="13"/>
                <w:color w:val="0000EE"/>
              </w:rPr>
            </w:pPr>
            <w:hyperlink w:anchor="page135">
              <w:r>
                <w:rPr>
                  <w:rFonts w:ascii="Arial" w:cs="Arial" w:eastAsia="Arial" w:hAnsi="Arial"/>
                  <w:sz w:val="13"/>
                  <w:szCs w:val="13"/>
                  <w:color w:val="0000EE"/>
                </w:rPr>
                <w:t>Notes to the Consolidated Financial Statements</w:t>
              </w:r>
            </w:hyperlink>
          </w:p>
        </w:tc>
        <w:tc>
          <w:tcPr>
            <w:tcW w:w="3660" w:type="dxa"/>
            <w:vAlign w:val="bottom"/>
            <w:gridSpan w:val="2"/>
            <w:shd w:val="clear" w:color="auto" w:fill="CCEEFF"/>
          </w:tcPr>
          <w:p>
            <w:pPr>
              <w:jc w:val="right"/>
              <w:spacing w:after="0" w:line="134" w:lineRule="exact"/>
              <w:rPr>
                <w:rFonts w:ascii="Arial" w:cs="Arial" w:eastAsia="Arial" w:hAnsi="Arial"/>
                <w:sz w:val="13"/>
                <w:szCs w:val="13"/>
                <w:color w:val="0000EE"/>
              </w:rPr>
            </w:pPr>
            <w:hyperlink w:anchor="page135">
              <w:r>
                <w:rPr>
                  <w:rFonts w:ascii="Arial" w:cs="Arial" w:eastAsia="Arial" w:hAnsi="Arial"/>
                  <w:sz w:val="13"/>
                  <w:szCs w:val="13"/>
                  <w:color w:val="0000EE"/>
                </w:rPr>
                <w:t>F-10</w:t>
              </w:r>
            </w:hyperlink>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29"/>
        </w:trPr>
        <w:tc>
          <w:tcPr>
            <w:tcW w:w="360" w:type="dxa"/>
            <w:vAlign w:val="bottom"/>
          </w:tcPr>
          <w:p>
            <w:pPr>
              <w:spacing w:after="0"/>
              <w:rPr>
                <w:sz w:val="2"/>
                <w:szCs w:val="2"/>
                <w:color w:val="auto"/>
              </w:rPr>
            </w:pPr>
          </w:p>
        </w:tc>
        <w:tc>
          <w:tcPr>
            <w:tcW w:w="320" w:type="dxa"/>
            <w:vAlign w:val="bottom"/>
            <w:shd w:val="clear" w:color="auto" w:fill="0000EE"/>
          </w:tcPr>
          <w:p>
            <w:pPr>
              <w:spacing w:after="0"/>
              <w:rPr>
                <w:sz w:val="2"/>
                <w:szCs w:val="2"/>
                <w:color w:val="auto"/>
              </w:rPr>
            </w:pPr>
          </w:p>
        </w:tc>
        <w:tc>
          <w:tcPr>
            <w:tcW w:w="1660" w:type="dxa"/>
            <w:vAlign w:val="bottom"/>
            <w:shd w:val="clear" w:color="auto" w:fill="0000EE"/>
          </w:tcPr>
          <w:p>
            <w:pPr>
              <w:spacing w:after="0"/>
              <w:rPr>
                <w:sz w:val="2"/>
                <w:szCs w:val="2"/>
                <w:color w:val="auto"/>
              </w:rPr>
            </w:pPr>
          </w:p>
        </w:tc>
        <w:tc>
          <w:tcPr>
            <w:tcW w:w="100" w:type="dxa"/>
            <w:vAlign w:val="bottom"/>
            <w:shd w:val="clear" w:color="auto" w:fill="0000EE"/>
          </w:tcPr>
          <w:p>
            <w:pPr>
              <w:spacing w:after="0"/>
              <w:rPr>
                <w:sz w:val="2"/>
                <w:szCs w:val="2"/>
                <w:color w:val="auto"/>
              </w:rPr>
            </w:pPr>
          </w:p>
        </w:tc>
        <w:tc>
          <w:tcPr>
            <w:tcW w:w="240" w:type="dxa"/>
            <w:vAlign w:val="bottom"/>
            <w:shd w:val="clear" w:color="auto" w:fill="0000EE"/>
          </w:tcPr>
          <w:p>
            <w:pPr>
              <w:spacing w:after="0"/>
              <w:rPr>
                <w:sz w:val="2"/>
                <w:szCs w:val="2"/>
                <w:color w:val="auto"/>
              </w:rPr>
            </w:pPr>
          </w:p>
        </w:tc>
        <w:tc>
          <w:tcPr>
            <w:tcW w:w="120" w:type="dxa"/>
            <w:vAlign w:val="bottom"/>
            <w:shd w:val="clear" w:color="auto" w:fill="0000EE"/>
          </w:tcPr>
          <w:p>
            <w:pPr>
              <w:spacing w:after="0"/>
              <w:rPr>
                <w:sz w:val="2"/>
                <w:szCs w:val="2"/>
                <w:color w:val="auto"/>
              </w:rPr>
            </w:pPr>
          </w:p>
        </w:tc>
        <w:tc>
          <w:tcPr>
            <w:tcW w:w="620" w:type="dxa"/>
            <w:vAlign w:val="bottom"/>
            <w:shd w:val="clear" w:color="auto" w:fill="CCEEFF"/>
          </w:tcPr>
          <w:p>
            <w:pPr>
              <w:spacing w:after="0"/>
              <w:rPr>
                <w:sz w:val="2"/>
                <w:szCs w:val="2"/>
                <w:color w:val="auto"/>
              </w:rPr>
            </w:pPr>
          </w:p>
        </w:tc>
        <w:tc>
          <w:tcPr>
            <w:tcW w:w="760" w:type="dxa"/>
            <w:vAlign w:val="bottom"/>
            <w:shd w:val="clear" w:color="auto" w:fill="CCEEFF"/>
          </w:tcPr>
          <w:p>
            <w:pPr>
              <w:spacing w:after="0"/>
              <w:rPr>
                <w:sz w:val="2"/>
                <w:szCs w:val="2"/>
                <w:color w:val="auto"/>
              </w:rPr>
            </w:pPr>
          </w:p>
        </w:tc>
        <w:tc>
          <w:tcPr>
            <w:tcW w:w="3420" w:type="dxa"/>
            <w:vAlign w:val="bottom"/>
            <w:shd w:val="clear" w:color="auto" w:fill="CCEEFF"/>
          </w:tcPr>
          <w:p>
            <w:pPr>
              <w:spacing w:after="0"/>
              <w:rPr>
                <w:sz w:val="2"/>
                <w:szCs w:val="2"/>
                <w:color w:val="auto"/>
              </w:rPr>
            </w:pPr>
          </w:p>
        </w:tc>
        <w:tc>
          <w:tcPr>
            <w:tcW w:w="3480" w:type="dxa"/>
            <w:vAlign w:val="bottom"/>
            <w:tcBorders>
              <w:right w:val="single" w:sz="8" w:color="0000EE"/>
            </w:tcBorders>
            <w:shd w:val="clear" w:color="auto" w:fill="CCEEFF"/>
          </w:tcPr>
          <w:p>
            <w:pPr>
              <w:spacing w:after="0"/>
              <w:rPr>
                <w:sz w:val="2"/>
                <w:szCs w:val="2"/>
                <w:color w:val="auto"/>
              </w:rPr>
            </w:pPr>
          </w:p>
        </w:tc>
        <w:tc>
          <w:tcPr>
            <w:tcW w:w="180" w:type="dxa"/>
            <w:vAlign w:val="bottom"/>
            <w:shd w:val="clear" w:color="auto" w:fill="0000EE"/>
          </w:tcPr>
          <w:p>
            <w:pPr>
              <w:spacing w:after="0"/>
              <w:rPr>
                <w:sz w:val="2"/>
                <w:szCs w:val="2"/>
                <w:color w:val="auto"/>
              </w:rPr>
            </w:pPr>
          </w:p>
        </w:tc>
        <w:tc>
          <w:tcPr>
            <w:tcW w:w="20" w:type="dxa"/>
            <w:vAlign w:val="bottom"/>
            <w:shd w:val="clear" w:color="auto" w:fill="0000EE"/>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67" w:lineRule="exact"/>
        <w:rPr>
          <w:sz w:val="20"/>
          <w:szCs w:val="20"/>
          <w:color w:val="auto"/>
        </w:rPr>
      </w:pPr>
    </w:p>
    <w:p>
      <w:pPr>
        <w:jc w:val="center"/>
        <w:ind w:right="-199"/>
        <w:spacing w:after="0"/>
        <w:rPr>
          <w:sz w:val="20"/>
          <w:szCs w:val="20"/>
          <w:color w:val="auto"/>
        </w:rPr>
      </w:pPr>
      <w:r>
        <w:rPr>
          <w:rFonts w:ascii="Arial" w:cs="Arial" w:eastAsia="Arial" w:hAnsi="Arial"/>
          <w:sz w:val="15"/>
          <w:szCs w:val="15"/>
          <w:color w:val="auto"/>
        </w:rPr>
        <w:t>120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4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260"/>
          </w:cols>
          <w:pgMar w:left="220" w:top="704" w:right="419" w:bottom="1440" w:gutter="0" w:footer="0" w:header="0"/>
        </w:sectPr>
      </w:pPr>
    </w:p>
    <w:bookmarkStart w:id="122" w:name="page123"/>
    <w:bookmarkEnd w:id="122"/>
    <w:tbl>
      <w:tblPr>
        <w:tblLayout w:type="fixed"/>
        <w:tblInd w:w="0" w:type="dxa"/>
        <w:tblCellMar>
          <w:top w:w="0" w:type="dxa"/>
          <w:left w:w="0" w:type="dxa"/>
          <w:bottom w:w="0" w:type="dxa"/>
          <w:right w:w="0" w:type="dxa"/>
        </w:tblCellMar>
      </w:tblPr>
      <w:tr>
        <w:trPr>
          <w:trHeight w:val="166"/>
        </w:trPr>
        <w:tc>
          <w:tcPr>
            <w:tcW w:w="680" w:type="dxa"/>
            <w:vAlign w:val="bottom"/>
            <w:gridSpan w:val="2"/>
          </w:tcPr>
          <w:p>
            <w:pPr>
              <w:spacing w:after="0"/>
              <w:rPr>
                <w:sz w:val="20"/>
                <w:szCs w:val="20"/>
                <w:color w:val="auto"/>
              </w:rPr>
            </w:pPr>
            <w:r>
              <w:rPr>
                <w:rFonts w:ascii="Arial" w:cs="Arial" w:eastAsia="Arial" w:hAnsi="Arial"/>
                <w:sz w:val="13"/>
                <w:szCs w:val="13"/>
                <w:b w:val="1"/>
                <w:bCs w:val="1"/>
                <w:color w:val="auto"/>
              </w:rPr>
              <w:t>Item 19.</w:t>
            </w:r>
          </w:p>
        </w:tc>
        <w:tc>
          <w:tcPr>
            <w:tcW w:w="1760" w:type="dxa"/>
            <w:vAlign w:val="bottom"/>
            <w:gridSpan w:val="4"/>
          </w:tcPr>
          <w:p>
            <w:pPr>
              <w:ind w:left="240"/>
              <w:spacing w:after="0"/>
              <w:rPr>
                <w:sz w:val="20"/>
                <w:szCs w:val="20"/>
                <w:color w:val="auto"/>
              </w:rPr>
            </w:pPr>
            <w:r>
              <w:rPr>
                <w:rFonts w:ascii="Arial" w:cs="Arial" w:eastAsia="Arial" w:hAnsi="Arial"/>
                <w:sz w:val="13"/>
                <w:szCs w:val="13"/>
                <w:b w:val="1"/>
                <w:bCs w:val="1"/>
                <w:color w:val="auto"/>
              </w:rPr>
              <w:t>Exhibits</w:t>
            </w:r>
          </w:p>
        </w:tc>
        <w:tc>
          <w:tcPr>
            <w:tcW w:w="48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500" w:type="dxa"/>
            <w:vAlign w:val="bottom"/>
          </w:tcPr>
          <w:p>
            <w:pPr>
              <w:spacing w:after="0"/>
              <w:rPr>
                <w:sz w:val="14"/>
                <w:szCs w:val="14"/>
                <w:color w:val="auto"/>
              </w:rPr>
            </w:pPr>
          </w:p>
        </w:tc>
        <w:tc>
          <w:tcPr>
            <w:tcW w:w="28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23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280" w:type="dxa"/>
            <w:vAlign w:val="bottom"/>
          </w:tcPr>
          <w:p>
            <w:pPr>
              <w:spacing w:after="0"/>
              <w:rPr>
                <w:sz w:val="14"/>
                <w:szCs w:val="14"/>
                <w:color w:val="auto"/>
              </w:rPr>
            </w:pPr>
          </w:p>
        </w:tc>
      </w:tr>
      <w:tr>
        <w:trPr>
          <w:trHeight w:val="308"/>
        </w:trPr>
        <w:tc>
          <w:tcPr>
            <w:tcW w:w="360" w:type="dxa"/>
            <w:vAlign w:val="bottom"/>
          </w:tcPr>
          <w:p>
            <w:pPr>
              <w:spacing w:after="0"/>
              <w:rPr>
                <w:sz w:val="24"/>
                <w:szCs w:val="24"/>
                <w:color w:val="auto"/>
              </w:rPr>
            </w:pPr>
          </w:p>
        </w:tc>
        <w:tc>
          <w:tcPr>
            <w:tcW w:w="2080" w:type="dxa"/>
            <w:vAlign w:val="bottom"/>
            <w:gridSpan w:val="5"/>
          </w:tcPr>
          <w:p>
            <w:pPr>
              <w:spacing w:after="0"/>
              <w:rPr>
                <w:sz w:val="20"/>
                <w:szCs w:val="20"/>
                <w:color w:val="auto"/>
              </w:rPr>
            </w:pPr>
            <w:r>
              <w:rPr>
                <w:rFonts w:ascii="Arial" w:cs="Arial" w:eastAsia="Arial" w:hAnsi="Arial"/>
                <w:sz w:val="13"/>
                <w:szCs w:val="13"/>
                <w:color w:val="auto"/>
              </w:rPr>
              <w:t>List of Exhibits</w:t>
            </w:r>
          </w:p>
        </w:tc>
        <w:tc>
          <w:tcPr>
            <w:tcW w:w="48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28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3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280" w:type="dxa"/>
            <w:vAlign w:val="bottom"/>
          </w:tcPr>
          <w:p>
            <w:pPr>
              <w:spacing w:after="0"/>
              <w:rPr>
                <w:sz w:val="24"/>
                <w:szCs w:val="24"/>
                <w:color w:val="auto"/>
              </w:rPr>
            </w:pPr>
          </w:p>
        </w:tc>
      </w:tr>
      <w:tr>
        <w:trPr>
          <w:trHeight w:val="280"/>
        </w:trPr>
        <w:tc>
          <w:tcPr>
            <w:tcW w:w="360" w:type="dxa"/>
            <w:vAlign w:val="bottom"/>
          </w:tcPr>
          <w:p>
            <w:pPr>
              <w:spacing w:after="0"/>
              <w:rPr>
                <w:sz w:val="24"/>
                <w:szCs w:val="24"/>
                <w:color w:val="auto"/>
              </w:rPr>
            </w:pPr>
          </w:p>
        </w:tc>
        <w:tc>
          <w:tcPr>
            <w:tcW w:w="2080" w:type="dxa"/>
            <w:vAlign w:val="bottom"/>
            <w:gridSpan w:val="5"/>
          </w:tcPr>
          <w:p>
            <w:pPr>
              <w:spacing w:after="0"/>
              <w:rPr>
                <w:rFonts w:ascii="Arial" w:cs="Arial" w:eastAsia="Arial" w:hAnsi="Arial"/>
                <w:sz w:val="13"/>
                <w:szCs w:val="13"/>
                <w:color w:val="0000EE"/>
              </w:rPr>
            </w:pPr>
            <w:hyperlink r:id="rId147">
              <w:r>
                <w:rPr>
                  <w:rFonts w:ascii="Arial" w:cs="Arial" w:eastAsia="Arial" w:hAnsi="Arial"/>
                  <w:sz w:val="13"/>
                  <w:szCs w:val="13"/>
                  <w:color w:val="0000EE"/>
                </w:rPr>
                <w:t>Exhibit 1.1.</w:t>
              </w:r>
            </w:hyperlink>
          </w:p>
        </w:tc>
        <w:tc>
          <w:tcPr>
            <w:tcW w:w="9040" w:type="dxa"/>
            <w:vAlign w:val="bottom"/>
            <w:gridSpan w:val="9"/>
          </w:tcPr>
          <w:p>
            <w:pPr>
              <w:spacing w:after="0"/>
              <w:rPr>
                <w:rFonts w:ascii="Arial" w:cs="Arial" w:eastAsia="Arial" w:hAnsi="Arial"/>
                <w:sz w:val="13"/>
                <w:szCs w:val="13"/>
                <w:color w:val="0000EE"/>
              </w:rPr>
            </w:pPr>
            <w:hyperlink r:id="rId147">
              <w:r>
                <w:rPr>
                  <w:rFonts w:ascii="Arial" w:cs="Arial" w:eastAsia="Arial" w:hAnsi="Arial"/>
                  <w:sz w:val="13"/>
                  <w:szCs w:val="13"/>
                  <w:color w:val="0000EE"/>
                </w:rPr>
                <w:t>Amended and Restated Articles of Incorporation</w:t>
              </w:r>
            </w:hyperlink>
          </w:p>
        </w:tc>
      </w:tr>
      <w:tr>
        <w:trPr>
          <w:trHeight w:val="20"/>
        </w:trPr>
        <w:tc>
          <w:tcPr>
            <w:tcW w:w="360" w:type="dxa"/>
            <w:vAlign w:val="bottom"/>
          </w:tcPr>
          <w:p>
            <w:pPr>
              <w:spacing w:after="0" w:line="20" w:lineRule="exact"/>
              <w:rPr>
                <w:sz w:val="1"/>
                <w:szCs w:val="1"/>
                <w:color w:val="auto"/>
              </w:rPr>
            </w:pPr>
          </w:p>
        </w:tc>
        <w:tc>
          <w:tcPr>
            <w:tcW w:w="600" w:type="dxa"/>
            <w:vAlign w:val="bottom"/>
            <w:gridSpan w:val="2"/>
            <w:shd w:val="clear" w:color="auto" w:fill="0000EE"/>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0" w:type="dxa"/>
            <w:vAlign w:val="bottom"/>
          </w:tcPr>
          <w:p>
            <w:pPr>
              <w:spacing w:after="0" w:line="20" w:lineRule="exact"/>
              <w:rPr>
                <w:sz w:val="1"/>
                <w:szCs w:val="1"/>
                <w:color w:val="auto"/>
              </w:rPr>
            </w:pPr>
          </w:p>
        </w:tc>
        <w:tc>
          <w:tcPr>
            <w:tcW w:w="480" w:type="dxa"/>
            <w:vAlign w:val="bottom"/>
            <w:shd w:val="clear" w:color="auto" w:fill="0000EE"/>
          </w:tcPr>
          <w:p>
            <w:pPr>
              <w:spacing w:after="0" w:line="20" w:lineRule="exact"/>
              <w:rPr>
                <w:sz w:val="1"/>
                <w:szCs w:val="1"/>
                <w:color w:val="auto"/>
              </w:rPr>
            </w:pPr>
          </w:p>
        </w:tc>
        <w:tc>
          <w:tcPr>
            <w:tcW w:w="280" w:type="dxa"/>
            <w:vAlign w:val="bottom"/>
            <w:shd w:val="clear" w:color="auto" w:fill="0000EE"/>
          </w:tcPr>
          <w:p>
            <w:pPr>
              <w:spacing w:after="0" w:line="20" w:lineRule="exact"/>
              <w:rPr>
                <w:sz w:val="1"/>
                <w:szCs w:val="1"/>
                <w:color w:val="auto"/>
              </w:rPr>
            </w:pPr>
          </w:p>
        </w:tc>
        <w:tc>
          <w:tcPr>
            <w:tcW w:w="240" w:type="dxa"/>
            <w:vAlign w:val="bottom"/>
            <w:shd w:val="clear" w:color="auto" w:fill="0000EE"/>
          </w:tcPr>
          <w:p>
            <w:pPr>
              <w:spacing w:after="0" w:line="20" w:lineRule="exact"/>
              <w:rPr>
                <w:sz w:val="1"/>
                <w:szCs w:val="1"/>
                <w:color w:val="auto"/>
              </w:rPr>
            </w:pPr>
          </w:p>
        </w:tc>
        <w:tc>
          <w:tcPr>
            <w:tcW w:w="1500" w:type="dxa"/>
            <w:vAlign w:val="bottom"/>
            <w:shd w:val="clear" w:color="auto" w:fill="0000EE"/>
          </w:tcPr>
          <w:p>
            <w:pPr>
              <w:spacing w:after="0" w:line="20" w:lineRule="exact"/>
              <w:rPr>
                <w:sz w:val="1"/>
                <w:szCs w:val="1"/>
                <w:color w:val="auto"/>
              </w:rPr>
            </w:pPr>
          </w:p>
        </w:tc>
        <w:tc>
          <w:tcPr>
            <w:tcW w:w="28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3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80" w:type="dxa"/>
            <w:vAlign w:val="bottom"/>
          </w:tcPr>
          <w:p>
            <w:pPr>
              <w:spacing w:after="0" w:line="20" w:lineRule="exact"/>
              <w:rPr>
                <w:sz w:val="1"/>
                <w:szCs w:val="1"/>
                <w:color w:val="auto"/>
              </w:rPr>
            </w:pPr>
          </w:p>
        </w:tc>
      </w:tr>
      <w:tr>
        <w:trPr>
          <w:trHeight w:val="288"/>
        </w:trPr>
        <w:tc>
          <w:tcPr>
            <w:tcW w:w="360" w:type="dxa"/>
            <w:vAlign w:val="bottom"/>
          </w:tcPr>
          <w:p>
            <w:pPr>
              <w:spacing w:after="0"/>
              <w:rPr>
                <w:sz w:val="24"/>
                <w:szCs w:val="24"/>
                <w:color w:val="auto"/>
              </w:rPr>
            </w:pPr>
          </w:p>
        </w:tc>
        <w:tc>
          <w:tcPr>
            <w:tcW w:w="2080" w:type="dxa"/>
            <w:vAlign w:val="bottom"/>
            <w:gridSpan w:val="5"/>
          </w:tcPr>
          <w:p>
            <w:pPr>
              <w:spacing w:after="0"/>
              <w:rPr>
                <w:rFonts w:ascii="Arial" w:cs="Arial" w:eastAsia="Arial" w:hAnsi="Arial"/>
                <w:sz w:val="13"/>
                <w:szCs w:val="13"/>
                <w:color w:val="0000EE"/>
              </w:rPr>
            </w:pPr>
            <w:hyperlink r:id="rId148">
              <w:r>
                <w:rPr>
                  <w:rFonts w:ascii="Arial" w:cs="Arial" w:eastAsia="Arial" w:hAnsi="Arial"/>
                  <w:sz w:val="13"/>
                  <w:szCs w:val="13"/>
                  <w:color w:val="0000EE"/>
                </w:rPr>
                <w:t>Exhibit 1.2.</w:t>
              </w:r>
            </w:hyperlink>
          </w:p>
        </w:tc>
        <w:tc>
          <w:tcPr>
            <w:tcW w:w="9040" w:type="dxa"/>
            <w:vAlign w:val="bottom"/>
            <w:gridSpan w:val="9"/>
          </w:tcPr>
          <w:p>
            <w:pPr>
              <w:spacing w:after="0"/>
              <w:rPr>
                <w:rFonts w:ascii="Arial" w:cs="Arial" w:eastAsia="Arial" w:hAnsi="Arial"/>
                <w:sz w:val="13"/>
                <w:szCs w:val="13"/>
                <w:color w:val="0000EE"/>
              </w:rPr>
            </w:pPr>
            <w:hyperlink r:id="rId148">
              <w:r>
                <w:rPr>
                  <w:rFonts w:ascii="Arial" w:cs="Arial" w:eastAsia="Arial" w:hAnsi="Arial"/>
                  <w:sz w:val="13"/>
                  <w:szCs w:val="13"/>
                  <w:color w:val="0000EE"/>
                </w:rPr>
                <w:t>By-Laws</w:t>
              </w:r>
            </w:hyperlink>
          </w:p>
        </w:tc>
      </w:tr>
      <w:tr>
        <w:trPr>
          <w:trHeight w:val="20"/>
        </w:trPr>
        <w:tc>
          <w:tcPr>
            <w:tcW w:w="360" w:type="dxa"/>
            <w:vAlign w:val="bottom"/>
          </w:tcPr>
          <w:p>
            <w:pPr>
              <w:spacing w:after="0" w:line="20" w:lineRule="exact"/>
              <w:rPr>
                <w:sz w:val="1"/>
                <w:szCs w:val="1"/>
                <w:color w:val="auto"/>
              </w:rPr>
            </w:pPr>
          </w:p>
        </w:tc>
        <w:tc>
          <w:tcPr>
            <w:tcW w:w="600" w:type="dxa"/>
            <w:vAlign w:val="bottom"/>
            <w:gridSpan w:val="2"/>
            <w:shd w:val="clear" w:color="auto" w:fill="0000EE"/>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0" w:type="dxa"/>
            <w:vAlign w:val="bottom"/>
          </w:tcPr>
          <w:p>
            <w:pPr>
              <w:spacing w:after="0" w:line="20" w:lineRule="exact"/>
              <w:rPr>
                <w:sz w:val="1"/>
                <w:szCs w:val="1"/>
                <w:color w:val="auto"/>
              </w:rPr>
            </w:pPr>
          </w:p>
        </w:tc>
        <w:tc>
          <w:tcPr>
            <w:tcW w:w="480" w:type="dxa"/>
            <w:vAlign w:val="bottom"/>
            <w:shd w:val="clear" w:color="auto" w:fill="0000EE"/>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340" w:type="dxa"/>
            <w:vAlign w:val="bottom"/>
            <w:gridSpan w:val="2"/>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3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80" w:type="dxa"/>
            <w:vAlign w:val="bottom"/>
          </w:tcPr>
          <w:p>
            <w:pPr>
              <w:spacing w:after="0" w:line="20" w:lineRule="exact"/>
              <w:rPr>
                <w:sz w:val="1"/>
                <w:szCs w:val="1"/>
                <w:color w:val="auto"/>
              </w:rPr>
            </w:pPr>
          </w:p>
        </w:tc>
      </w:tr>
      <w:tr>
        <w:trPr>
          <w:trHeight w:val="288"/>
        </w:trPr>
        <w:tc>
          <w:tcPr>
            <w:tcW w:w="360" w:type="dxa"/>
            <w:vAlign w:val="bottom"/>
          </w:tcPr>
          <w:p>
            <w:pPr>
              <w:spacing w:after="0"/>
              <w:rPr>
                <w:sz w:val="24"/>
                <w:szCs w:val="24"/>
                <w:color w:val="auto"/>
              </w:rPr>
            </w:pPr>
          </w:p>
        </w:tc>
        <w:tc>
          <w:tcPr>
            <w:tcW w:w="2080" w:type="dxa"/>
            <w:vAlign w:val="bottom"/>
            <w:gridSpan w:val="5"/>
          </w:tcPr>
          <w:p>
            <w:pPr>
              <w:spacing w:after="0"/>
              <w:rPr>
                <w:sz w:val="20"/>
                <w:szCs w:val="20"/>
                <w:color w:val="auto"/>
              </w:rPr>
            </w:pPr>
            <w:r>
              <w:rPr>
                <w:rFonts w:ascii="Arial" w:cs="Arial" w:eastAsia="Arial" w:hAnsi="Arial"/>
                <w:sz w:val="13"/>
                <w:szCs w:val="13"/>
                <w:color w:val="0000EE"/>
              </w:rPr>
              <w:t>Exhibit 8.1.</w:t>
            </w:r>
          </w:p>
        </w:tc>
        <w:tc>
          <w:tcPr>
            <w:tcW w:w="9040" w:type="dxa"/>
            <w:vAlign w:val="bottom"/>
            <w:gridSpan w:val="9"/>
          </w:tcPr>
          <w:p>
            <w:pPr>
              <w:spacing w:after="0"/>
              <w:rPr>
                <w:sz w:val="20"/>
                <w:szCs w:val="20"/>
                <w:color w:val="auto"/>
              </w:rPr>
            </w:pPr>
            <w:r>
              <w:rPr>
                <w:rFonts w:ascii="Arial" w:cs="Arial" w:eastAsia="Arial" w:hAnsi="Arial"/>
                <w:sz w:val="13"/>
                <w:szCs w:val="13"/>
                <w:color w:val="0000EE"/>
              </w:rPr>
              <w:t>List of Subsidiaries</w:t>
            </w:r>
          </w:p>
        </w:tc>
      </w:tr>
      <w:tr>
        <w:trPr>
          <w:trHeight w:val="20"/>
        </w:trPr>
        <w:tc>
          <w:tcPr>
            <w:tcW w:w="360" w:type="dxa"/>
            <w:vAlign w:val="bottom"/>
          </w:tcPr>
          <w:p>
            <w:pPr>
              <w:spacing w:after="0" w:line="20" w:lineRule="exact"/>
              <w:rPr>
                <w:sz w:val="1"/>
                <w:szCs w:val="1"/>
                <w:color w:val="auto"/>
              </w:rPr>
            </w:pPr>
          </w:p>
        </w:tc>
        <w:tc>
          <w:tcPr>
            <w:tcW w:w="600" w:type="dxa"/>
            <w:vAlign w:val="bottom"/>
            <w:gridSpan w:val="2"/>
            <w:shd w:val="clear" w:color="auto" w:fill="0000EE"/>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0" w:type="dxa"/>
            <w:vAlign w:val="bottom"/>
          </w:tcPr>
          <w:p>
            <w:pPr>
              <w:spacing w:after="0" w:line="20" w:lineRule="exact"/>
              <w:rPr>
                <w:sz w:val="1"/>
                <w:szCs w:val="1"/>
                <w:color w:val="auto"/>
              </w:rPr>
            </w:pPr>
          </w:p>
        </w:tc>
        <w:tc>
          <w:tcPr>
            <w:tcW w:w="760" w:type="dxa"/>
            <w:vAlign w:val="bottom"/>
            <w:gridSpan w:val="2"/>
            <w:shd w:val="clear" w:color="auto" w:fill="0000EE"/>
          </w:tcPr>
          <w:p>
            <w:pPr>
              <w:spacing w:after="0" w:line="20" w:lineRule="exact"/>
              <w:rPr>
                <w:sz w:val="1"/>
                <w:szCs w:val="1"/>
                <w:color w:val="auto"/>
              </w:rPr>
            </w:pPr>
          </w:p>
        </w:tc>
        <w:tc>
          <w:tcPr>
            <w:tcW w:w="240" w:type="dxa"/>
            <w:vAlign w:val="bottom"/>
            <w:shd w:val="clear" w:color="auto" w:fill="0000EE"/>
          </w:tcPr>
          <w:p>
            <w:pPr>
              <w:spacing w:after="0" w:line="20" w:lineRule="exact"/>
              <w:rPr>
                <w:sz w:val="1"/>
                <w:szCs w:val="1"/>
                <w:color w:val="auto"/>
              </w:rPr>
            </w:pPr>
          </w:p>
        </w:tc>
        <w:tc>
          <w:tcPr>
            <w:tcW w:w="4340" w:type="dxa"/>
            <w:vAlign w:val="bottom"/>
            <w:gridSpan w:val="2"/>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3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80" w:type="dxa"/>
            <w:vAlign w:val="bottom"/>
          </w:tcPr>
          <w:p>
            <w:pPr>
              <w:spacing w:after="0" w:line="20" w:lineRule="exact"/>
              <w:rPr>
                <w:sz w:val="1"/>
                <w:szCs w:val="1"/>
                <w:color w:val="auto"/>
              </w:rPr>
            </w:pPr>
          </w:p>
        </w:tc>
      </w:tr>
      <w:tr>
        <w:trPr>
          <w:trHeight w:val="288"/>
        </w:trPr>
        <w:tc>
          <w:tcPr>
            <w:tcW w:w="360" w:type="dxa"/>
            <w:vAlign w:val="bottom"/>
          </w:tcPr>
          <w:p>
            <w:pPr>
              <w:spacing w:after="0"/>
              <w:rPr>
                <w:sz w:val="24"/>
                <w:szCs w:val="24"/>
                <w:color w:val="auto"/>
              </w:rPr>
            </w:pPr>
          </w:p>
        </w:tc>
        <w:tc>
          <w:tcPr>
            <w:tcW w:w="2080" w:type="dxa"/>
            <w:vAlign w:val="bottom"/>
            <w:gridSpan w:val="5"/>
          </w:tcPr>
          <w:p>
            <w:pPr>
              <w:spacing w:after="0"/>
              <w:rPr>
                <w:sz w:val="20"/>
                <w:szCs w:val="20"/>
                <w:color w:val="auto"/>
              </w:rPr>
            </w:pPr>
            <w:r>
              <w:rPr>
                <w:rFonts w:ascii="Arial" w:cs="Arial" w:eastAsia="Arial" w:hAnsi="Arial"/>
                <w:sz w:val="13"/>
                <w:szCs w:val="13"/>
                <w:color w:val="0000EE"/>
              </w:rPr>
              <w:t>Exhibit 11.1.</w:t>
            </w:r>
          </w:p>
        </w:tc>
        <w:tc>
          <w:tcPr>
            <w:tcW w:w="9040" w:type="dxa"/>
            <w:vAlign w:val="bottom"/>
            <w:gridSpan w:val="9"/>
          </w:tcPr>
          <w:p>
            <w:pPr>
              <w:spacing w:after="0"/>
              <w:rPr>
                <w:sz w:val="20"/>
                <w:szCs w:val="20"/>
                <w:color w:val="auto"/>
              </w:rPr>
            </w:pPr>
            <w:r>
              <w:rPr>
                <w:rFonts w:ascii="Arial" w:cs="Arial" w:eastAsia="Arial" w:hAnsi="Arial"/>
                <w:sz w:val="13"/>
                <w:szCs w:val="13"/>
                <w:color w:val="0000EE"/>
              </w:rPr>
              <w:t>Code of Ethics</w:t>
            </w:r>
          </w:p>
        </w:tc>
      </w:tr>
      <w:tr>
        <w:trPr>
          <w:trHeight w:val="20"/>
        </w:trPr>
        <w:tc>
          <w:tcPr>
            <w:tcW w:w="360" w:type="dxa"/>
            <w:vAlign w:val="bottom"/>
          </w:tcPr>
          <w:p>
            <w:pPr>
              <w:spacing w:after="0" w:line="20" w:lineRule="exact"/>
              <w:rPr>
                <w:sz w:val="1"/>
                <w:szCs w:val="1"/>
                <w:color w:val="auto"/>
              </w:rPr>
            </w:pPr>
          </w:p>
        </w:tc>
        <w:tc>
          <w:tcPr>
            <w:tcW w:w="660" w:type="dxa"/>
            <w:vAlign w:val="bottom"/>
            <w:gridSpan w:val="3"/>
            <w:shd w:val="clear" w:color="auto" w:fill="0000EE"/>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0" w:type="dxa"/>
            <w:vAlign w:val="bottom"/>
          </w:tcPr>
          <w:p>
            <w:pPr>
              <w:spacing w:after="0" w:line="20" w:lineRule="exact"/>
              <w:rPr>
                <w:sz w:val="1"/>
                <w:szCs w:val="1"/>
                <w:color w:val="auto"/>
              </w:rPr>
            </w:pPr>
          </w:p>
        </w:tc>
        <w:tc>
          <w:tcPr>
            <w:tcW w:w="760" w:type="dxa"/>
            <w:vAlign w:val="bottom"/>
            <w:gridSpan w:val="2"/>
            <w:shd w:val="clear" w:color="auto" w:fill="0000EE"/>
          </w:tcPr>
          <w:p>
            <w:pPr>
              <w:spacing w:after="0" w:line="20" w:lineRule="exact"/>
              <w:rPr>
                <w:sz w:val="1"/>
                <w:szCs w:val="1"/>
                <w:color w:val="auto"/>
              </w:rPr>
            </w:pPr>
          </w:p>
        </w:tc>
        <w:tc>
          <w:tcPr>
            <w:tcW w:w="4580" w:type="dxa"/>
            <w:vAlign w:val="bottom"/>
            <w:gridSpan w:val="3"/>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3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80" w:type="dxa"/>
            <w:vAlign w:val="bottom"/>
          </w:tcPr>
          <w:p>
            <w:pPr>
              <w:spacing w:after="0" w:line="20" w:lineRule="exact"/>
              <w:rPr>
                <w:sz w:val="1"/>
                <w:szCs w:val="1"/>
                <w:color w:val="auto"/>
              </w:rPr>
            </w:pPr>
          </w:p>
        </w:tc>
      </w:tr>
      <w:tr>
        <w:trPr>
          <w:trHeight w:val="288"/>
        </w:trPr>
        <w:tc>
          <w:tcPr>
            <w:tcW w:w="360" w:type="dxa"/>
            <w:vAlign w:val="bottom"/>
          </w:tcPr>
          <w:p>
            <w:pPr>
              <w:spacing w:after="0"/>
              <w:rPr>
                <w:sz w:val="24"/>
                <w:szCs w:val="24"/>
                <w:color w:val="auto"/>
              </w:rPr>
            </w:pPr>
          </w:p>
        </w:tc>
        <w:tc>
          <w:tcPr>
            <w:tcW w:w="680" w:type="dxa"/>
            <w:vAlign w:val="bottom"/>
            <w:tcBorders>
              <w:bottom w:val="single" w:sz="8" w:color="0000EE"/>
            </w:tcBorders>
            <w:gridSpan w:val="4"/>
          </w:tcPr>
          <w:p>
            <w:pPr>
              <w:spacing w:after="0"/>
              <w:rPr>
                <w:sz w:val="20"/>
                <w:szCs w:val="20"/>
                <w:color w:val="auto"/>
              </w:rPr>
            </w:pPr>
            <w:r>
              <w:rPr>
                <w:rFonts w:ascii="Arial" w:cs="Arial" w:eastAsia="Arial" w:hAnsi="Arial"/>
                <w:sz w:val="13"/>
                <w:szCs w:val="13"/>
                <w:color w:val="0000EE"/>
                <w:w w:val="92"/>
              </w:rPr>
              <w:t>Exhibit 12.1.</w:t>
            </w:r>
          </w:p>
        </w:tc>
        <w:tc>
          <w:tcPr>
            <w:tcW w:w="1400" w:type="dxa"/>
            <w:vAlign w:val="bottom"/>
          </w:tcPr>
          <w:p>
            <w:pPr>
              <w:spacing w:after="0"/>
              <w:rPr>
                <w:sz w:val="24"/>
                <w:szCs w:val="24"/>
                <w:color w:val="auto"/>
              </w:rPr>
            </w:pPr>
          </w:p>
        </w:tc>
        <w:tc>
          <w:tcPr>
            <w:tcW w:w="5380" w:type="dxa"/>
            <w:vAlign w:val="bottom"/>
            <w:tcBorders>
              <w:bottom w:val="single" w:sz="8" w:color="0000EE"/>
            </w:tcBorders>
            <w:gridSpan w:val="6"/>
          </w:tcPr>
          <w:p>
            <w:pPr>
              <w:spacing w:after="0"/>
              <w:rPr>
                <w:sz w:val="20"/>
                <w:szCs w:val="20"/>
                <w:color w:val="auto"/>
              </w:rPr>
            </w:pPr>
            <w:r>
              <w:rPr>
                <w:rFonts w:ascii="Arial" w:cs="Arial" w:eastAsia="Arial" w:hAnsi="Arial"/>
                <w:sz w:val="13"/>
                <w:szCs w:val="13"/>
                <w:color w:val="0000EE"/>
                <w:w w:val="90"/>
              </w:rPr>
              <w:t>Certification of Principal Executive Officer pursuant to Exchange Act Rules 13a – 14(a) and 15d – 14(a)</w:t>
            </w:r>
          </w:p>
        </w:tc>
        <w:tc>
          <w:tcPr>
            <w:tcW w:w="3660" w:type="dxa"/>
            <w:vAlign w:val="bottom"/>
            <w:gridSpan w:val="3"/>
          </w:tcPr>
          <w:p>
            <w:pPr>
              <w:spacing w:after="0"/>
              <w:rPr>
                <w:sz w:val="24"/>
                <w:szCs w:val="24"/>
                <w:color w:val="auto"/>
              </w:rPr>
            </w:pPr>
          </w:p>
        </w:tc>
      </w:tr>
      <w:tr>
        <w:trPr>
          <w:trHeight w:val="288"/>
        </w:trPr>
        <w:tc>
          <w:tcPr>
            <w:tcW w:w="360" w:type="dxa"/>
            <w:vAlign w:val="bottom"/>
          </w:tcPr>
          <w:p>
            <w:pPr>
              <w:spacing w:after="0"/>
              <w:rPr>
                <w:sz w:val="24"/>
                <w:szCs w:val="24"/>
                <w:color w:val="auto"/>
              </w:rPr>
            </w:pPr>
          </w:p>
        </w:tc>
        <w:tc>
          <w:tcPr>
            <w:tcW w:w="680" w:type="dxa"/>
            <w:vAlign w:val="bottom"/>
            <w:tcBorders>
              <w:bottom w:val="single" w:sz="8" w:color="0000EE"/>
            </w:tcBorders>
            <w:gridSpan w:val="4"/>
          </w:tcPr>
          <w:p>
            <w:pPr>
              <w:spacing w:after="0"/>
              <w:rPr>
                <w:sz w:val="20"/>
                <w:szCs w:val="20"/>
                <w:color w:val="auto"/>
              </w:rPr>
            </w:pPr>
            <w:r>
              <w:rPr>
                <w:rFonts w:ascii="Arial" w:cs="Arial" w:eastAsia="Arial" w:hAnsi="Arial"/>
                <w:sz w:val="13"/>
                <w:szCs w:val="13"/>
                <w:color w:val="0000EE"/>
                <w:w w:val="92"/>
              </w:rPr>
              <w:t>Exhibit 12.2.</w:t>
            </w:r>
          </w:p>
        </w:tc>
        <w:tc>
          <w:tcPr>
            <w:tcW w:w="1400" w:type="dxa"/>
            <w:vAlign w:val="bottom"/>
          </w:tcPr>
          <w:p>
            <w:pPr>
              <w:spacing w:after="0"/>
              <w:rPr>
                <w:sz w:val="24"/>
                <w:szCs w:val="24"/>
                <w:color w:val="auto"/>
              </w:rPr>
            </w:pPr>
          </w:p>
        </w:tc>
        <w:tc>
          <w:tcPr>
            <w:tcW w:w="5340" w:type="dxa"/>
            <w:vAlign w:val="bottom"/>
            <w:tcBorders>
              <w:bottom w:val="single" w:sz="8" w:color="0000EE"/>
            </w:tcBorders>
            <w:gridSpan w:val="5"/>
          </w:tcPr>
          <w:p>
            <w:pPr>
              <w:spacing w:after="0"/>
              <w:rPr>
                <w:sz w:val="20"/>
                <w:szCs w:val="20"/>
                <w:color w:val="auto"/>
              </w:rPr>
            </w:pPr>
            <w:r>
              <w:rPr>
                <w:rFonts w:ascii="Arial" w:cs="Arial" w:eastAsia="Arial" w:hAnsi="Arial"/>
                <w:sz w:val="13"/>
                <w:szCs w:val="13"/>
                <w:color w:val="0000EE"/>
                <w:w w:val="90"/>
              </w:rPr>
              <w:t>Certification of Principal Financial Officer pursuant to Exchange Act Rules 13a – 14(a) and 15d – 14(a)</w:t>
            </w:r>
          </w:p>
        </w:tc>
        <w:tc>
          <w:tcPr>
            <w:tcW w:w="3700" w:type="dxa"/>
            <w:vAlign w:val="bottom"/>
            <w:gridSpan w:val="4"/>
          </w:tcPr>
          <w:p>
            <w:pPr>
              <w:spacing w:after="0"/>
              <w:rPr>
                <w:sz w:val="24"/>
                <w:szCs w:val="24"/>
                <w:color w:val="auto"/>
              </w:rPr>
            </w:pPr>
          </w:p>
        </w:tc>
      </w:tr>
      <w:tr>
        <w:trPr>
          <w:trHeight w:val="288"/>
        </w:trPr>
        <w:tc>
          <w:tcPr>
            <w:tcW w:w="360" w:type="dxa"/>
            <w:vAlign w:val="bottom"/>
          </w:tcPr>
          <w:p>
            <w:pPr>
              <w:spacing w:after="0"/>
              <w:rPr>
                <w:sz w:val="24"/>
                <w:szCs w:val="24"/>
                <w:color w:val="auto"/>
              </w:rPr>
            </w:pPr>
          </w:p>
        </w:tc>
        <w:tc>
          <w:tcPr>
            <w:tcW w:w="680" w:type="dxa"/>
            <w:vAlign w:val="bottom"/>
            <w:tcBorders>
              <w:bottom w:val="single" w:sz="8" w:color="0000EE"/>
            </w:tcBorders>
            <w:gridSpan w:val="4"/>
          </w:tcPr>
          <w:p>
            <w:pPr>
              <w:spacing w:after="0"/>
              <w:rPr>
                <w:sz w:val="20"/>
                <w:szCs w:val="20"/>
                <w:color w:val="auto"/>
              </w:rPr>
            </w:pPr>
            <w:r>
              <w:rPr>
                <w:rFonts w:ascii="Arial" w:cs="Arial" w:eastAsia="Arial" w:hAnsi="Arial"/>
                <w:sz w:val="13"/>
                <w:szCs w:val="13"/>
                <w:color w:val="0000EE"/>
                <w:w w:val="92"/>
              </w:rPr>
              <w:t>Exhibit 13.1.</w:t>
            </w:r>
          </w:p>
        </w:tc>
        <w:tc>
          <w:tcPr>
            <w:tcW w:w="1400" w:type="dxa"/>
            <w:vAlign w:val="bottom"/>
          </w:tcPr>
          <w:p>
            <w:pPr>
              <w:spacing w:after="0"/>
              <w:rPr>
                <w:sz w:val="24"/>
                <w:szCs w:val="24"/>
                <w:color w:val="auto"/>
              </w:rPr>
            </w:pPr>
          </w:p>
        </w:tc>
        <w:tc>
          <w:tcPr>
            <w:tcW w:w="7760" w:type="dxa"/>
            <w:vAlign w:val="bottom"/>
            <w:tcBorders>
              <w:bottom w:val="single" w:sz="8" w:color="0000EE"/>
            </w:tcBorders>
            <w:gridSpan w:val="8"/>
          </w:tcPr>
          <w:p>
            <w:pPr>
              <w:spacing w:after="0"/>
              <w:rPr>
                <w:sz w:val="20"/>
                <w:szCs w:val="20"/>
                <w:color w:val="auto"/>
              </w:rPr>
            </w:pPr>
            <w:r>
              <w:rPr>
                <w:rFonts w:ascii="Arial" w:cs="Arial" w:eastAsia="Arial" w:hAnsi="Arial"/>
                <w:sz w:val="13"/>
                <w:szCs w:val="13"/>
                <w:color w:val="0000EE"/>
                <w:w w:val="89"/>
              </w:rPr>
              <w:t>Certification of Principal Executive Officer pursuant to 18 U.S.C. Section 1350, as adopted pursuant to Section 906 of the Sarbanes Oxley Act of 2002</w:t>
            </w:r>
          </w:p>
        </w:tc>
        <w:tc>
          <w:tcPr>
            <w:tcW w:w="1280" w:type="dxa"/>
            <w:vAlign w:val="bottom"/>
          </w:tcPr>
          <w:p>
            <w:pPr>
              <w:spacing w:after="0"/>
              <w:rPr>
                <w:sz w:val="24"/>
                <w:szCs w:val="24"/>
                <w:color w:val="auto"/>
              </w:rPr>
            </w:pPr>
          </w:p>
        </w:tc>
      </w:tr>
      <w:tr>
        <w:trPr>
          <w:trHeight w:val="288"/>
        </w:trPr>
        <w:tc>
          <w:tcPr>
            <w:tcW w:w="360" w:type="dxa"/>
            <w:vAlign w:val="bottom"/>
          </w:tcPr>
          <w:p>
            <w:pPr>
              <w:spacing w:after="0"/>
              <w:rPr>
                <w:sz w:val="24"/>
                <w:szCs w:val="24"/>
                <w:color w:val="auto"/>
              </w:rPr>
            </w:pPr>
          </w:p>
        </w:tc>
        <w:tc>
          <w:tcPr>
            <w:tcW w:w="2080" w:type="dxa"/>
            <w:vAlign w:val="bottom"/>
            <w:gridSpan w:val="5"/>
          </w:tcPr>
          <w:p>
            <w:pPr>
              <w:spacing w:after="0"/>
              <w:rPr>
                <w:sz w:val="20"/>
                <w:szCs w:val="20"/>
                <w:color w:val="auto"/>
              </w:rPr>
            </w:pPr>
            <w:r>
              <w:rPr>
                <w:rFonts w:ascii="Arial" w:cs="Arial" w:eastAsia="Arial" w:hAnsi="Arial"/>
                <w:sz w:val="13"/>
                <w:szCs w:val="13"/>
                <w:color w:val="0000EE"/>
              </w:rPr>
              <w:t>Exhibit 13.2.</w:t>
            </w:r>
          </w:p>
        </w:tc>
        <w:tc>
          <w:tcPr>
            <w:tcW w:w="9040" w:type="dxa"/>
            <w:vAlign w:val="bottom"/>
            <w:gridSpan w:val="9"/>
          </w:tcPr>
          <w:p>
            <w:pPr>
              <w:spacing w:after="0"/>
              <w:rPr>
                <w:sz w:val="20"/>
                <w:szCs w:val="20"/>
                <w:color w:val="auto"/>
              </w:rPr>
            </w:pPr>
            <w:r>
              <w:rPr>
                <w:rFonts w:ascii="Arial" w:cs="Arial" w:eastAsia="Arial" w:hAnsi="Arial"/>
                <w:sz w:val="13"/>
                <w:szCs w:val="13"/>
                <w:color w:val="0000EE"/>
              </w:rPr>
              <w:t>Certification of Principal Financial Officer pursuant to 18 U.S.C. Section 1350, as adopted pursuant to Section 906 of the Sarbanes Oxley Act of 2002</w:t>
            </w:r>
          </w:p>
        </w:tc>
      </w:tr>
      <w:tr>
        <w:trPr>
          <w:trHeight w:val="490"/>
        </w:trPr>
        <w:tc>
          <w:tcPr>
            <w:tcW w:w="360" w:type="dxa"/>
            <w:vAlign w:val="bottom"/>
            <w:tcBorders>
              <w:bottom w:val="single" w:sz="8" w:color="auto"/>
            </w:tcBorders>
          </w:tcPr>
          <w:p>
            <w:pPr>
              <w:spacing w:after="0"/>
              <w:rPr>
                <w:sz w:val="24"/>
                <w:szCs w:val="24"/>
                <w:color w:val="auto"/>
              </w:rPr>
            </w:pPr>
          </w:p>
        </w:tc>
        <w:tc>
          <w:tcPr>
            <w:tcW w:w="320" w:type="dxa"/>
            <w:vAlign w:val="bottom"/>
            <w:tcBorders>
              <w:top w:val="single" w:sz="8" w:color="0000EE"/>
              <w:bottom w:val="single" w:sz="8" w:color="auto"/>
            </w:tcBorders>
          </w:tcPr>
          <w:p>
            <w:pPr>
              <w:spacing w:after="0"/>
              <w:rPr>
                <w:sz w:val="24"/>
                <w:szCs w:val="24"/>
                <w:color w:val="auto"/>
              </w:rPr>
            </w:pPr>
          </w:p>
        </w:tc>
        <w:tc>
          <w:tcPr>
            <w:tcW w:w="280" w:type="dxa"/>
            <w:vAlign w:val="bottom"/>
            <w:tcBorders>
              <w:top w:val="single" w:sz="8" w:color="0000EE"/>
              <w:bottom w:val="single" w:sz="8" w:color="auto"/>
            </w:tcBorders>
          </w:tcPr>
          <w:p>
            <w:pPr>
              <w:spacing w:after="0"/>
              <w:rPr>
                <w:sz w:val="24"/>
                <w:szCs w:val="24"/>
                <w:color w:val="auto"/>
              </w:rPr>
            </w:pPr>
          </w:p>
        </w:tc>
        <w:tc>
          <w:tcPr>
            <w:tcW w:w="60" w:type="dxa"/>
            <w:vAlign w:val="bottom"/>
            <w:tcBorders>
              <w:top w:val="single" w:sz="8" w:color="0000EE"/>
              <w:bottom w:val="single" w:sz="8" w:color="auto"/>
            </w:tcBorders>
          </w:tcPr>
          <w:p>
            <w:pPr>
              <w:spacing w:after="0"/>
              <w:rPr>
                <w:sz w:val="24"/>
                <w:szCs w:val="24"/>
                <w:color w:val="auto"/>
              </w:rPr>
            </w:pPr>
          </w:p>
        </w:tc>
        <w:tc>
          <w:tcPr>
            <w:tcW w:w="20" w:type="dxa"/>
            <w:vAlign w:val="bottom"/>
            <w:tcBorders>
              <w:top w:val="single" w:sz="8" w:color="0000EE"/>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5340" w:type="dxa"/>
            <w:vAlign w:val="bottom"/>
            <w:tcBorders>
              <w:top w:val="single" w:sz="8" w:color="0000EE"/>
              <w:bottom w:val="single" w:sz="8" w:color="auto"/>
            </w:tcBorders>
            <w:gridSpan w:val="5"/>
          </w:tcPr>
          <w:p>
            <w:pPr>
              <w:ind w:left="3180"/>
              <w:spacing w:after="0"/>
              <w:rPr>
                <w:sz w:val="20"/>
                <w:szCs w:val="20"/>
                <w:color w:val="auto"/>
              </w:rPr>
            </w:pPr>
            <w:r>
              <w:rPr>
                <w:rFonts w:ascii="Arial" w:cs="Arial" w:eastAsia="Arial" w:hAnsi="Arial"/>
                <w:sz w:val="15"/>
                <w:szCs w:val="15"/>
                <w:color w:val="auto"/>
              </w:rPr>
              <w:t>121</w:t>
            </w:r>
          </w:p>
        </w:tc>
        <w:tc>
          <w:tcPr>
            <w:tcW w:w="40" w:type="dxa"/>
            <w:vAlign w:val="bottom"/>
            <w:tcBorders>
              <w:top w:val="single" w:sz="8" w:color="0000EE"/>
              <w:bottom w:val="single" w:sz="8" w:color="auto"/>
            </w:tcBorders>
          </w:tcPr>
          <w:p>
            <w:pPr>
              <w:spacing w:after="0"/>
              <w:rPr>
                <w:sz w:val="24"/>
                <w:szCs w:val="24"/>
                <w:color w:val="auto"/>
              </w:rPr>
            </w:pPr>
          </w:p>
        </w:tc>
        <w:tc>
          <w:tcPr>
            <w:tcW w:w="2340" w:type="dxa"/>
            <w:vAlign w:val="bottom"/>
            <w:tcBorders>
              <w:top w:val="single" w:sz="8" w:color="0000EE"/>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280" w:type="dxa"/>
            <w:vAlign w:val="bottom"/>
            <w:tcBorders>
              <w:bottom w:val="single" w:sz="8" w:color="auto"/>
            </w:tcBorders>
          </w:tcPr>
          <w:p>
            <w:pPr>
              <w:spacing w:after="0"/>
              <w:rPr>
                <w:sz w:val="24"/>
                <w:szCs w:val="24"/>
                <w:color w:val="auto"/>
              </w:rPr>
            </w:pPr>
          </w:p>
        </w:tc>
      </w:tr>
    </w:tbl>
    <w:p>
      <w:pPr>
        <w:sectPr>
          <w:pgSz w:w="11900" w:h="16838" w:orient="portrait"/>
          <w:cols w:equalWidth="0" w:num="1">
            <w:col w:w="11480"/>
          </w:cols>
          <w:pgMar w:left="220" w:top="704" w:right="199" w:bottom="1440" w:gutter="0" w:footer="0" w:header="0"/>
        </w:sectPr>
      </w:pPr>
    </w:p>
    <w:bookmarkStart w:id="123" w:name="page124"/>
    <w:bookmarkEnd w:id="123"/>
    <w:p>
      <w:pPr>
        <w:ind w:left="5320"/>
        <w:spacing w:after="0"/>
        <w:rPr>
          <w:sz w:val="20"/>
          <w:szCs w:val="20"/>
          <w:color w:val="auto"/>
        </w:rPr>
      </w:pPr>
      <w:r>
        <w:rPr>
          <w:rFonts w:ascii="Arial" w:cs="Arial" w:eastAsia="Arial" w:hAnsi="Arial"/>
          <w:sz w:val="13"/>
          <w:szCs w:val="13"/>
          <w:b w:val="1"/>
          <w:bCs w:val="1"/>
          <w:color w:val="auto"/>
        </w:rPr>
        <w:t>SIGNATURES</w:t>
      </w:r>
    </w:p>
    <w:p>
      <w:pPr>
        <w:spacing w:after="0" w:line="163" w:lineRule="exact"/>
        <w:rPr>
          <w:sz w:val="20"/>
          <w:szCs w:val="20"/>
          <w:color w:val="auto"/>
        </w:rPr>
      </w:pPr>
    </w:p>
    <w:p>
      <w:pPr>
        <w:spacing w:after="0"/>
        <w:rPr>
          <w:sz w:val="20"/>
          <w:szCs w:val="20"/>
          <w:color w:val="auto"/>
        </w:rPr>
      </w:pPr>
      <w:r>
        <w:rPr>
          <w:rFonts w:ascii="Arial" w:cs="Arial" w:eastAsia="Arial" w:hAnsi="Arial"/>
          <w:sz w:val="11"/>
          <w:szCs w:val="11"/>
          <w:color w:val="auto"/>
        </w:rPr>
        <w:t>The registrant hereby certifies that it meets all of the requirements for filing on Form 20-F and that it has duly caused and authorized the undersigned to sign this Annual Report on its behalf.</w:t>
      </w:r>
    </w:p>
    <w:p>
      <w:pPr>
        <w:spacing w:after="0" w:line="182" w:lineRule="exact"/>
        <w:rPr>
          <w:sz w:val="20"/>
          <w:szCs w:val="20"/>
          <w:color w:val="auto"/>
        </w:rPr>
      </w:pPr>
    </w:p>
    <w:p>
      <w:pPr>
        <w:spacing w:after="0"/>
        <w:rPr>
          <w:sz w:val="20"/>
          <w:szCs w:val="20"/>
          <w:color w:val="auto"/>
        </w:rPr>
      </w:pPr>
      <w:r>
        <w:rPr>
          <w:rFonts w:ascii="Arial" w:cs="Arial" w:eastAsia="Arial" w:hAnsi="Arial"/>
          <w:sz w:val="13"/>
          <w:szCs w:val="13"/>
          <w:color w:val="auto"/>
        </w:rPr>
        <w:t>BANCO LATINOAMERICANO DE COMERCIO EXTERIOR, S.A.</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/s/ N. Gabriel Tolchinsky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3642995" cy="635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49">
                      <a:extLst>
                        <a:ext uri="{28A0092B-C50C-407E-A947-70E740481C1C}"/>
                      </a:extLst>
                    </a:blip>
                    <a:srcRect/>
                    <a:stretch>
                      <a:fillRect/>
                    </a:stretch>
                  </pic:blipFill>
                  <pic:spPr bwMode="auto">
                    <a:xfrm>
                      <a:off x="0" y="0"/>
                      <a:ext cx="3642995" cy="6350"/>
                    </a:xfrm>
                    <a:prstGeom prst="rect">
                      <a:avLst/>
                    </a:prstGeom>
                    <a:noFill/>
                  </pic:spPr>
                </pic:pic>
              </a:graphicData>
            </a:graphic>
          </wp:anchor>
        </w:drawing>
      </w:r>
    </w:p>
    <w:p>
      <w:pPr>
        <w:spacing w:after="0"/>
        <w:rPr>
          <w:sz w:val="20"/>
          <w:szCs w:val="20"/>
          <w:color w:val="auto"/>
        </w:rPr>
      </w:pPr>
      <w:r>
        <w:rPr>
          <w:rFonts w:ascii="Arial" w:cs="Arial" w:eastAsia="Arial" w:hAnsi="Arial"/>
          <w:sz w:val="13"/>
          <w:szCs w:val="13"/>
          <w:i w:val="1"/>
          <w:iCs w:val="1"/>
          <w:color w:val="auto"/>
        </w:rPr>
        <w:t>Chief Executive Officer</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April 30, 2019</w:t>
      </w:r>
    </w:p>
    <w:p>
      <w:pPr>
        <w:spacing w:after="0" w:line="307" w:lineRule="exact"/>
        <w:rPr>
          <w:sz w:val="20"/>
          <w:szCs w:val="20"/>
          <w:color w:val="auto"/>
        </w:rPr>
      </w:pPr>
    </w:p>
    <w:p>
      <w:pPr>
        <w:ind w:left="5620"/>
        <w:spacing w:after="0"/>
        <w:rPr>
          <w:sz w:val="20"/>
          <w:szCs w:val="20"/>
          <w:color w:val="auto"/>
        </w:rPr>
      </w:pPr>
      <w:r>
        <w:rPr>
          <w:rFonts w:ascii="Arial" w:cs="Arial" w:eastAsia="Arial" w:hAnsi="Arial"/>
          <w:sz w:val="15"/>
          <w:szCs w:val="15"/>
          <w:color w:val="auto"/>
        </w:rPr>
        <w:t>122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9525</wp:posOffset>
            </wp:positionV>
            <wp:extent cx="7285990" cy="635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5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0239"/>
          </w:cols>
          <w:pgMar w:left="220" w:top="685" w:right="1440" w:bottom="1440" w:gutter="0" w:footer="0" w:header="0"/>
        </w:sectPr>
      </w:pPr>
    </w:p>
    <w:bookmarkStart w:id="124" w:name="page125"/>
    <w:bookmarkEnd w:id="124"/>
    <w:tbl>
      <w:tblPr>
        <w:tblLayout w:type="fixed"/>
        <w:tblInd w:w="0" w:type="dxa"/>
        <w:tblCellMar>
          <w:top w:w="0" w:type="dxa"/>
          <w:left w:w="0" w:type="dxa"/>
          <w:bottom w:w="0" w:type="dxa"/>
          <w:right w:w="0" w:type="dxa"/>
        </w:tblCellMar>
      </w:tblPr>
      <w:tr>
        <w:trPr>
          <w:trHeight w:val="149"/>
        </w:trPr>
        <w:tc>
          <w:tcPr>
            <w:tcW w:w="60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400" w:type="dxa"/>
            <w:vAlign w:val="bottom"/>
          </w:tcPr>
          <w:p>
            <w:pPr>
              <w:spacing w:after="0"/>
              <w:rPr>
                <w:sz w:val="13"/>
                <w:szCs w:val="13"/>
                <w:color w:val="auto"/>
              </w:rPr>
            </w:pPr>
          </w:p>
        </w:tc>
        <w:tc>
          <w:tcPr>
            <w:tcW w:w="46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500" w:type="dxa"/>
            <w:vAlign w:val="bottom"/>
          </w:tcPr>
          <w:p>
            <w:pPr>
              <w:spacing w:after="0"/>
              <w:rPr>
                <w:sz w:val="13"/>
                <w:szCs w:val="13"/>
                <w:color w:val="auto"/>
              </w:rPr>
            </w:pPr>
          </w:p>
        </w:tc>
        <w:tc>
          <w:tcPr>
            <w:tcW w:w="1600" w:type="dxa"/>
            <w:vAlign w:val="bottom"/>
          </w:tcPr>
          <w:p>
            <w:pPr>
              <w:spacing w:after="0"/>
              <w:rPr>
                <w:sz w:val="13"/>
                <w:szCs w:val="13"/>
                <w:color w:val="auto"/>
              </w:rPr>
            </w:pPr>
          </w:p>
        </w:tc>
        <w:tc>
          <w:tcPr>
            <w:tcW w:w="6240" w:type="dxa"/>
            <w:vAlign w:val="bottom"/>
            <w:gridSpan w:val="4"/>
          </w:tcPr>
          <w:p>
            <w:pPr>
              <w:spacing w:after="0"/>
              <w:rPr>
                <w:sz w:val="20"/>
                <w:szCs w:val="20"/>
                <w:color w:val="auto"/>
              </w:rPr>
            </w:pPr>
            <w:r>
              <w:rPr>
                <w:rFonts w:ascii="Arial" w:cs="Arial" w:eastAsia="Arial" w:hAnsi="Arial"/>
                <w:sz w:val="13"/>
                <w:szCs w:val="13"/>
                <w:b w:val="1"/>
                <w:bCs w:val="1"/>
                <w:color w:val="auto"/>
              </w:rPr>
              <w:t>EXHIBIT INDEX</w:t>
            </w:r>
          </w:p>
        </w:tc>
      </w:tr>
      <w:tr>
        <w:trPr>
          <w:trHeight w:val="316"/>
        </w:trPr>
        <w:tc>
          <w:tcPr>
            <w:tcW w:w="1160" w:type="dxa"/>
            <w:vAlign w:val="bottom"/>
            <w:gridSpan w:val="3"/>
          </w:tcPr>
          <w:p>
            <w:pPr>
              <w:spacing w:after="0"/>
              <w:rPr>
                <w:sz w:val="20"/>
                <w:szCs w:val="20"/>
                <w:color w:val="auto"/>
              </w:rPr>
            </w:pPr>
            <w:r>
              <w:rPr>
                <w:rFonts w:ascii="Arial" w:cs="Arial" w:eastAsia="Arial" w:hAnsi="Arial"/>
                <w:sz w:val="13"/>
                <w:szCs w:val="13"/>
                <w:b w:val="1"/>
                <w:bCs w:val="1"/>
                <w:color w:val="auto"/>
              </w:rPr>
              <w:t>Exhibit</w:t>
            </w:r>
          </w:p>
        </w:tc>
        <w:tc>
          <w:tcPr>
            <w:tcW w:w="46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1600" w:type="dxa"/>
            <w:vAlign w:val="bottom"/>
          </w:tcPr>
          <w:p>
            <w:pPr>
              <w:spacing w:after="0"/>
              <w:rPr>
                <w:sz w:val="24"/>
                <w:szCs w:val="24"/>
                <w:color w:val="auto"/>
              </w:rPr>
            </w:pPr>
          </w:p>
        </w:tc>
        <w:tc>
          <w:tcPr>
            <w:tcW w:w="1000" w:type="dxa"/>
            <w:vAlign w:val="bottom"/>
            <w:tcBorders>
              <w:top w:val="single" w:sz="8" w:color="auto"/>
            </w:tcBorders>
          </w:tcPr>
          <w:p>
            <w:pPr>
              <w:spacing w:after="0"/>
              <w:rPr>
                <w:sz w:val="24"/>
                <w:szCs w:val="24"/>
                <w:color w:val="auto"/>
              </w:rPr>
            </w:pPr>
          </w:p>
        </w:tc>
        <w:tc>
          <w:tcPr>
            <w:tcW w:w="240" w:type="dxa"/>
            <w:vAlign w:val="bottom"/>
          </w:tcPr>
          <w:p>
            <w:pPr>
              <w:spacing w:after="0"/>
              <w:rPr>
                <w:sz w:val="24"/>
                <w:szCs w:val="24"/>
                <w:color w:val="auto"/>
              </w:rPr>
            </w:pPr>
          </w:p>
        </w:tc>
        <w:tc>
          <w:tcPr>
            <w:tcW w:w="2420" w:type="dxa"/>
            <w:vAlign w:val="bottom"/>
          </w:tcPr>
          <w:p>
            <w:pPr>
              <w:spacing w:after="0"/>
              <w:rPr>
                <w:sz w:val="24"/>
                <w:szCs w:val="24"/>
                <w:color w:val="auto"/>
              </w:rPr>
            </w:pPr>
          </w:p>
        </w:tc>
        <w:tc>
          <w:tcPr>
            <w:tcW w:w="2580" w:type="dxa"/>
            <w:vAlign w:val="bottom"/>
          </w:tcPr>
          <w:p>
            <w:pPr>
              <w:spacing w:after="0"/>
              <w:rPr>
                <w:sz w:val="24"/>
                <w:szCs w:val="24"/>
                <w:color w:val="auto"/>
              </w:rPr>
            </w:pPr>
          </w:p>
        </w:tc>
      </w:tr>
      <w:tr>
        <w:trPr>
          <w:trHeight w:val="280"/>
        </w:trPr>
        <w:tc>
          <w:tcPr>
            <w:tcW w:w="600" w:type="dxa"/>
            <w:vAlign w:val="bottom"/>
          </w:tcPr>
          <w:p>
            <w:pPr>
              <w:spacing w:after="0"/>
              <w:rPr>
                <w:rFonts w:ascii="Arial" w:cs="Arial" w:eastAsia="Arial" w:hAnsi="Arial"/>
                <w:sz w:val="13"/>
                <w:szCs w:val="13"/>
                <w:color w:val="0000EE"/>
                <w:w w:val="86"/>
              </w:rPr>
            </w:pPr>
            <w:hyperlink r:id="rId147">
              <w:r>
                <w:rPr>
                  <w:rFonts w:ascii="Arial" w:cs="Arial" w:eastAsia="Arial" w:hAnsi="Arial"/>
                  <w:sz w:val="13"/>
                  <w:szCs w:val="13"/>
                  <w:color w:val="0000EE"/>
                  <w:w w:val="86"/>
                </w:rPr>
                <w:t>Exhibit 1.1.</w:t>
              </w:r>
            </w:hyperlink>
          </w:p>
        </w:tc>
        <w:tc>
          <w:tcPr>
            <w:tcW w:w="560" w:type="dxa"/>
            <w:vAlign w:val="bottom"/>
            <w:gridSpan w:val="2"/>
          </w:tcPr>
          <w:p>
            <w:pPr>
              <w:spacing w:after="0"/>
              <w:rPr>
                <w:sz w:val="24"/>
                <w:szCs w:val="24"/>
                <w:color w:val="auto"/>
              </w:rPr>
            </w:pPr>
          </w:p>
        </w:tc>
        <w:tc>
          <w:tcPr>
            <w:tcW w:w="10320" w:type="dxa"/>
            <w:vAlign w:val="bottom"/>
            <w:gridSpan w:val="9"/>
          </w:tcPr>
          <w:p>
            <w:pPr>
              <w:spacing w:after="0"/>
              <w:rPr>
                <w:rFonts w:ascii="Arial" w:cs="Arial" w:eastAsia="Arial" w:hAnsi="Arial"/>
                <w:sz w:val="13"/>
                <w:szCs w:val="13"/>
                <w:color w:val="0000EE"/>
              </w:rPr>
            </w:pPr>
            <w:hyperlink r:id="rId147">
              <w:r>
                <w:rPr>
                  <w:rFonts w:ascii="Arial" w:cs="Arial" w:eastAsia="Arial" w:hAnsi="Arial"/>
                  <w:sz w:val="13"/>
                  <w:szCs w:val="13"/>
                  <w:color w:val="0000EE"/>
                </w:rPr>
                <w:t>Amended and Restated Articles of Incorporation</w:t>
              </w:r>
            </w:hyperlink>
          </w:p>
        </w:tc>
      </w:tr>
      <w:tr>
        <w:trPr>
          <w:trHeight w:val="288"/>
        </w:trPr>
        <w:tc>
          <w:tcPr>
            <w:tcW w:w="600" w:type="dxa"/>
            <w:vAlign w:val="bottom"/>
            <w:tcBorders>
              <w:top w:val="single" w:sz="8" w:color="0000EE"/>
            </w:tcBorders>
          </w:tcPr>
          <w:p>
            <w:pPr>
              <w:spacing w:after="0"/>
              <w:rPr>
                <w:rFonts w:ascii="Arial" w:cs="Arial" w:eastAsia="Arial" w:hAnsi="Arial"/>
                <w:sz w:val="13"/>
                <w:szCs w:val="13"/>
                <w:color w:val="0000EE"/>
                <w:w w:val="86"/>
              </w:rPr>
            </w:pPr>
            <w:hyperlink r:id="rId148">
              <w:r>
                <w:rPr>
                  <w:rFonts w:ascii="Arial" w:cs="Arial" w:eastAsia="Arial" w:hAnsi="Arial"/>
                  <w:sz w:val="13"/>
                  <w:szCs w:val="13"/>
                  <w:color w:val="0000EE"/>
                  <w:w w:val="86"/>
                </w:rPr>
                <w:t>Exhibit 1.2.</w:t>
              </w:r>
            </w:hyperlink>
          </w:p>
        </w:tc>
        <w:tc>
          <w:tcPr>
            <w:tcW w:w="560" w:type="dxa"/>
            <w:vAlign w:val="bottom"/>
            <w:gridSpan w:val="2"/>
          </w:tcPr>
          <w:p>
            <w:pPr>
              <w:spacing w:after="0"/>
              <w:rPr>
                <w:sz w:val="24"/>
                <w:szCs w:val="24"/>
                <w:color w:val="auto"/>
              </w:rPr>
            </w:pPr>
          </w:p>
        </w:tc>
        <w:tc>
          <w:tcPr>
            <w:tcW w:w="2480" w:type="dxa"/>
            <w:vAlign w:val="bottom"/>
            <w:tcBorders>
              <w:top w:val="single" w:sz="8" w:color="0000EE"/>
            </w:tcBorders>
            <w:gridSpan w:val="4"/>
          </w:tcPr>
          <w:p>
            <w:pPr>
              <w:spacing w:after="0"/>
              <w:rPr>
                <w:rFonts w:ascii="Arial" w:cs="Arial" w:eastAsia="Arial" w:hAnsi="Arial"/>
                <w:sz w:val="13"/>
                <w:szCs w:val="13"/>
                <w:color w:val="0000EE"/>
              </w:rPr>
            </w:pPr>
            <w:hyperlink r:id="rId148">
              <w:r>
                <w:rPr>
                  <w:rFonts w:ascii="Arial" w:cs="Arial" w:eastAsia="Arial" w:hAnsi="Arial"/>
                  <w:sz w:val="13"/>
                  <w:szCs w:val="13"/>
                  <w:color w:val="0000EE"/>
                </w:rPr>
                <w:t>By-Laws</w:t>
              </w:r>
            </w:hyperlink>
          </w:p>
        </w:tc>
        <w:tc>
          <w:tcPr>
            <w:tcW w:w="7840" w:type="dxa"/>
            <w:vAlign w:val="bottom"/>
            <w:gridSpan w:val="5"/>
          </w:tcPr>
          <w:p>
            <w:pPr>
              <w:spacing w:after="0"/>
              <w:rPr>
                <w:sz w:val="24"/>
                <w:szCs w:val="24"/>
                <w:color w:val="auto"/>
              </w:rPr>
            </w:pPr>
          </w:p>
        </w:tc>
      </w:tr>
      <w:tr>
        <w:trPr>
          <w:trHeight w:val="20"/>
        </w:trPr>
        <w:tc>
          <w:tcPr>
            <w:tcW w:w="600" w:type="dxa"/>
            <w:vAlign w:val="bottom"/>
            <w:shd w:val="clear" w:color="auto" w:fill="0000EE"/>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460" w:type="dxa"/>
            <w:vAlign w:val="bottom"/>
            <w:shd w:val="clear" w:color="auto" w:fill="0000EE"/>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340" w:type="dxa"/>
            <w:vAlign w:val="bottom"/>
            <w:gridSpan w:val="4"/>
          </w:tcPr>
          <w:p>
            <w:pPr>
              <w:spacing w:after="0" w:line="20" w:lineRule="exact"/>
              <w:rPr>
                <w:sz w:val="1"/>
                <w:szCs w:val="1"/>
                <w:color w:val="auto"/>
              </w:rPr>
            </w:pPr>
          </w:p>
        </w:tc>
        <w:tc>
          <w:tcPr>
            <w:tcW w:w="2420" w:type="dxa"/>
            <w:vAlign w:val="bottom"/>
          </w:tcPr>
          <w:p>
            <w:pPr>
              <w:spacing w:after="0" w:line="20" w:lineRule="exact"/>
              <w:rPr>
                <w:sz w:val="1"/>
                <w:szCs w:val="1"/>
                <w:color w:val="auto"/>
              </w:rPr>
            </w:pPr>
          </w:p>
        </w:tc>
        <w:tc>
          <w:tcPr>
            <w:tcW w:w="2580" w:type="dxa"/>
            <w:vAlign w:val="bottom"/>
          </w:tcPr>
          <w:p>
            <w:pPr>
              <w:spacing w:after="0" w:line="20" w:lineRule="exact"/>
              <w:rPr>
                <w:sz w:val="1"/>
                <w:szCs w:val="1"/>
                <w:color w:val="auto"/>
              </w:rPr>
            </w:pPr>
          </w:p>
        </w:tc>
      </w:tr>
      <w:tr>
        <w:trPr>
          <w:trHeight w:val="288"/>
        </w:trPr>
        <w:tc>
          <w:tcPr>
            <w:tcW w:w="600" w:type="dxa"/>
            <w:vAlign w:val="bottom"/>
          </w:tcPr>
          <w:p>
            <w:pPr>
              <w:spacing w:after="0"/>
              <w:rPr>
                <w:sz w:val="20"/>
                <w:szCs w:val="20"/>
                <w:color w:val="auto"/>
              </w:rPr>
            </w:pPr>
            <w:r>
              <w:rPr>
                <w:rFonts w:ascii="Arial" w:cs="Arial" w:eastAsia="Arial" w:hAnsi="Arial"/>
                <w:sz w:val="13"/>
                <w:szCs w:val="13"/>
                <w:color w:val="0000EE"/>
                <w:w w:val="87"/>
              </w:rPr>
              <w:t>Exhibit 8.1.</w:t>
            </w:r>
          </w:p>
        </w:tc>
        <w:tc>
          <w:tcPr>
            <w:tcW w:w="560" w:type="dxa"/>
            <w:vAlign w:val="bottom"/>
            <w:gridSpan w:val="2"/>
          </w:tcPr>
          <w:p>
            <w:pPr>
              <w:spacing w:after="0"/>
              <w:rPr>
                <w:sz w:val="24"/>
                <w:szCs w:val="24"/>
                <w:color w:val="auto"/>
              </w:rPr>
            </w:pPr>
          </w:p>
        </w:tc>
        <w:tc>
          <w:tcPr>
            <w:tcW w:w="10320" w:type="dxa"/>
            <w:vAlign w:val="bottom"/>
            <w:gridSpan w:val="9"/>
          </w:tcPr>
          <w:p>
            <w:pPr>
              <w:spacing w:after="0"/>
              <w:rPr>
                <w:sz w:val="20"/>
                <w:szCs w:val="20"/>
                <w:color w:val="auto"/>
              </w:rPr>
            </w:pPr>
            <w:r>
              <w:rPr>
                <w:rFonts w:ascii="Arial" w:cs="Arial" w:eastAsia="Arial" w:hAnsi="Arial"/>
                <w:sz w:val="13"/>
                <w:szCs w:val="13"/>
                <w:color w:val="0000EE"/>
              </w:rPr>
              <w:t>List of Subsidiaries</w:t>
            </w:r>
          </w:p>
        </w:tc>
      </w:tr>
      <w:tr>
        <w:trPr>
          <w:trHeight w:val="20"/>
        </w:trPr>
        <w:tc>
          <w:tcPr>
            <w:tcW w:w="600" w:type="dxa"/>
            <w:vAlign w:val="bottom"/>
            <w:shd w:val="clear" w:color="auto" w:fill="0000EE"/>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760" w:type="dxa"/>
            <w:vAlign w:val="bottom"/>
            <w:gridSpan w:val="2"/>
            <w:shd w:val="clear" w:color="auto" w:fill="0000EE"/>
          </w:tcPr>
          <w:p>
            <w:pPr>
              <w:spacing w:after="0" w:line="20" w:lineRule="exact"/>
              <w:rPr>
                <w:sz w:val="1"/>
                <w:szCs w:val="1"/>
                <w:color w:val="auto"/>
              </w:rPr>
            </w:pPr>
          </w:p>
        </w:tc>
        <w:tc>
          <w:tcPr>
            <w:tcW w:w="220" w:type="dxa"/>
            <w:vAlign w:val="bottom"/>
            <w:shd w:val="clear" w:color="auto" w:fill="0000EE"/>
          </w:tcPr>
          <w:p>
            <w:pPr>
              <w:spacing w:after="0" w:line="20" w:lineRule="exact"/>
              <w:rPr>
                <w:sz w:val="1"/>
                <w:szCs w:val="1"/>
                <w:color w:val="auto"/>
              </w:rPr>
            </w:pPr>
          </w:p>
        </w:tc>
        <w:tc>
          <w:tcPr>
            <w:tcW w:w="4340" w:type="dxa"/>
            <w:vAlign w:val="bottom"/>
            <w:gridSpan w:val="4"/>
          </w:tcPr>
          <w:p>
            <w:pPr>
              <w:spacing w:after="0" w:line="20" w:lineRule="exact"/>
              <w:rPr>
                <w:sz w:val="1"/>
                <w:szCs w:val="1"/>
                <w:color w:val="auto"/>
              </w:rPr>
            </w:pPr>
          </w:p>
        </w:tc>
        <w:tc>
          <w:tcPr>
            <w:tcW w:w="2420" w:type="dxa"/>
            <w:vAlign w:val="bottom"/>
          </w:tcPr>
          <w:p>
            <w:pPr>
              <w:spacing w:after="0" w:line="20" w:lineRule="exact"/>
              <w:rPr>
                <w:sz w:val="1"/>
                <w:szCs w:val="1"/>
                <w:color w:val="auto"/>
              </w:rPr>
            </w:pPr>
          </w:p>
        </w:tc>
        <w:tc>
          <w:tcPr>
            <w:tcW w:w="2580" w:type="dxa"/>
            <w:vAlign w:val="bottom"/>
          </w:tcPr>
          <w:p>
            <w:pPr>
              <w:spacing w:after="0" w:line="20" w:lineRule="exact"/>
              <w:rPr>
                <w:sz w:val="1"/>
                <w:szCs w:val="1"/>
                <w:color w:val="auto"/>
              </w:rPr>
            </w:pPr>
          </w:p>
        </w:tc>
      </w:tr>
      <w:tr>
        <w:trPr>
          <w:trHeight w:val="288"/>
        </w:trPr>
        <w:tc>
          <w:tcPr>
            <w:tcW w:w="760" w:type="dxa"/>
            <w:vAlign w:val="bottom"/>
            <w:tcBorders>
              <w:bottom w:val="single" w:sz="8" w:color="0000EE"/>
            </w:tcBorders>
            <w:gridSpan w:val="2"/>
          </w:tcPr>
          <w:p>
            <w:pPr>
              <w:spacing w:after="0"/>
              <w:rPr>
                <w:sz w:val="20"/>
                <w:szCs w:val="20"/>
                <w:color w:val="auto"/>
              </w:rPr>
            </w:pPr>
            <w:r>
              <w:rPr>
                <w:rFonts w:ascii="Arial" w:cs="Arial" w:eastAsia="Arial" w:hAnsi="Arial"/>
                <w:sz w:val="13"/>
                <w:szCs w:val="13"/>
                <w:color w:val="0000EE"/>
              </w:rPr>
              <w:t>Exhibit 11.1.</w:t>
            </w:r>
          </w:p>
        </w:tc>
        <w:tc>
          <w:tcPr>
            <w:tcW w:w="400" w:type="dxa"/>
            <w:vAlign w:val="bottom"/>
          </w:tcPr>
          <w:p>
            <w:pPr>
              <w:spacing w:after="0"/>
              <w:rPr>
                <w:sz w:val="24"/>
                <w:szCs w:val="24"/>
                <w:color w:val="auto"/>
              </w:rPr>
            </w:pPr>
          </w:p>
        </w:tc>
        <w:tc>
          <w:tcPr>
            <w:tcW w:w="760" w:type="dxa"/>
            <w:vAlign w:val="bottom"/>
            <w:tcBorders>
              <w:bottom w:val="single" w:sz="8" w:color="0000EE"/>
            </w:tcBorders>
            <w:gridSpan w:val="2"/>
          </w:tcPr>
          <w:p>
            <w:pPr>
              <w:spacing w:after="0"/>
              <w:rPr>
                <w:sz w:val="20"/>
                <w:szCs w:val="20"/>
                <w:color w:val="auto"/>
              </w:rPr>
            </w:pPr>
            <w:r>
              <w:rPr>
                <w:rFonts w:ascii="Arial" w:cs="Arial" w:eastAsia="Arial" w:hAnsi="Arial"/>
                <w:sz w:val="13"/>
                <w:szCs w:val="13"/>
                <w:color w:val="0000EE"/>
                <w:w w:val="87"/>
              </w:rPr>
              <w:t>Code of Ethics</w:t>
            </w:r>
          </w:p>
        </w:tc>
        <w:tc>
          <w:tcPr>
            <w:tcW w:w="9560" w:type="dxa"/>
            <w:vAlign w:val="bottom"/>
            <w:gridSpan w:val="7"/>
          </w:tcPr>
          <w:p>
            <w:pPr>
              <w:spacing w:after="0"/>
              <w:rPr>
                <w:sz w:val="24"/>
                <w:szCs w:val="24"/>
                <w:color w:val="auto"/>
              </w:rPr>
            </w:pPr>
          </w:p>
        </w:tc>
      </w:tr>
      <w:tr>
        <w:trPr>
          <w:trHeight w:val="288"/>
        </w:trPr>
        <w:tc>
          <w:tcPr>
            <w:tcW w:w="1160" w:type="dxa"/>
            <w:vAlign w:val="bottom"/>
            <w:gridSpan w:val="3"/>
          </w:tcPr>
          <w:p>
            <w:pPr>
              <w:spacing w:after="0"/>
              <w:rPr>
                <w:sz w:val="20"/>
                <w:szCs w:val="20"/>
                <w:color w:val="auto"/>
              </w:rPr>
            </w:pPr>
            <w:r>
              <w:rPr>
                <w:rFonts w:ascii="Arial" w:cs="Arial" w:eastAsia="Arial" w:hAnsi="Arial"/>
                <w:sz w:val="13"/>
                <w:szCs w:val="13"/>
                <w:color w:val="0000EE"/>
              </w:rPr>
              <w:t>Exhibit 12.1.</w:t>
            </w:r>
          </w:p>
        </w:tc>
        <w:tc>
          <w:tcPr>
            <w:tcW w:w="10320" w:type="dxa"/>
            <w:vAlign w:val="bottom"/>
            <w:gridSpan w:val="9"/>
          </w:tcPr>
          <w:p>
            <w:pPr>
              <w:spacing w:after="0"/>
              <w:rPr>
                <w:sz w:val="20"/>
                <w:szCs w:val="20"/>
                <w:color w:val="auto"/>
              </w:rPr>
            </w:pPr>
            <w:r>
              <w:rPr>
                <w:rFonts w:ascii="Arial" w:cs="Arial" w:eastAsia="Arial" w:hAnsi="Arial"/>
                <w:sz w:val="13"/>
                <w:szCs w:val="13"/>
                <w:color w:val="0000EE"/>
              </w:rPr>
              <w:t>Certification of Principal Executive Officer pursuant to Exchange Act Rules 13a – 14(a) and 15d – 14(a)</w:t>
            </w:r>
          </w:p>
        </w:tc>
      </w:tr>
      <w:tr>
        <w:trPr>
          <w:trHeight w:val="20"/>
        </w:trPr>
        <w:tc>
          <w:tcPr>
            <w:tcW w:w="600" w:type="dxa"/>
            <w:vAlign w:val="bottom"/>
            <w:shd w:val="clear" w:color="auto" w:fill="0000EE"/>
          </w:tcPr>
          <w:p>
            <w:pPr>
              <w:spacing w:after="0" w:line="20" w:lineRule="exact"/>
              <w:rPr>
                <w:sz w:val="1"/>
                <w:szCs w:val="1"/>
                <w:color w:val="auto"/>
              </w:rPr>
            </w:pPr>
          </w:p>
        </w:tc>
        <w:tc>
          <w:tcPr>
            <w:tcW w:w="560" w:type="dxa"/>
            <w:vAlign w:val="bottom"/>
            <w:tcBorders>
              <w:left w:val="single" w:sz="8" w:color="0000EE"/>
            </w:tcBorders>
            <w:gridSpan w:val="2"/>
          </w:tcPr>
          <w:p>
            <w:pPr>
              <w:spacing w:after="0" w:line="20" w:lineRule="exact"/>
              <w:rPr>
                <w:sz w:val="1"/>
                <w:szCs w:val="1"/>
                <w:color w:val="auto"/>
              </w:rPr>
            </w:pPr>
          </w:p>
        </w:tc>
        <w:tc>
          <w:tcPr>
            <w:tcW w:w="5320" w:type="dxa"/>
            <w:vAlign w:val="bottom"/>
            <w:gridSpan w:val="7"/>
            <w:shd w:val="clear" w:color="auto" w:fill="0000EE"/>
          </w:tcPr>
          <w:p>
            <w:pPr>
              <w:spacing w:after="0" w:line="20" w:lineRule="exact"/>
              <w:rPr>
                <w:sz w:val="1"/>
                <w:szCs w:val="1"/>
                <w:color w:val="auto"/>
              </w:rPr>
            </w:pPr>
          </w:p>
        </w:tc>
        <w:tc>
          <w:tcPr>
            <w:tcW w:w="2420" w:type="dxa"/>
            <w:vAlign w:val="bottom"/>
            <w:tcBorders>
              <w:left w:val="single" w:sz="8" w:color="0000EE"/>
            </w:tcBorders>
          </w:tcPr>
          <w:p>
            <w:pPr>
              <w:spacing w:after="0" w:line="20" w:lineRule="exact"/>
              <w:rPr>
                <w:sz w:val="1"/>
                <w:szCs w:val="1"/>
                <w:color w:val="auto"/>
              </w:rPr>
            </w:pPr>
          </w:p>
        </w:tc>
        <w:tc>
          <w:tcPr>
            <w:tcW w:w="2580" w:type="dxa"/>
            <w:vAlign w:val="bottom"/>
          </w:tcPr>
          <w:p>
            <w:pPr>
              <w:spacing w:after="0" w:line="20" w:lineRule="exact"/>
              <w:rPr>
                <w:sz w:val="1"/>
                <w:szCs w:val="1"/>
                <w:color w:val="auto"/>
              </w:rPr>
            </w:pPr>
          </w:p>
        </w:tc>
      </w:tr>
      <w:tr>
        <w:trPr>
          <w:trHeight w:val="288"/>
        </w:trPr>
        <w:tc>
          <w:tcPr>
            <w:tcW w:w="1160" w:type="dxa"/>
            <w:vAlign w:val="bottom"/>
            <w:gridSpan w:val="3"/>
          </w:tcPr>
          <w:p>
            <w:pPr>
              <w:spacing w:after="0"/>
              <w:rPr>
                <w:sz w:val="20"/>
                <w:szCs w:val="20"/>
                <w:color w:val="auto"/>
              </w:rPr>
            </w:pPr>
            <w:r>
              <w:rPr>
                <w:rFonts w:ascii="Arial" w:cs="Arial" w:eastAsia="Arial" w:hAnsi="Arial"/>
                <w:sz w:val="13"/>
                <w:szCs w:val="13"/>
                <w:color w:val="0000EE"/>
              </w:rPr>
              <w:t>Exhibit 12.2.</w:t>
            </w:r>
          </w:p>
        </w:tc>
        <w:tc>
          <w:tcPr>
            <w:tcW w:w="10320" w:type="dxa"/>
            <w:vAlign w:val="bottom"/>
            <w:gridSpan w:val="9"/>
          </w:tcPr>
          <w:p>
            <w:pPr>
              <w:spacing w:after="0"/>
              <w:rPr>
                <w:sz w:val="20"/>
                <w:szCs w:val="20"/>
                <w:color w:val="auto"/>
              </w:rPr>
            </w:pPr>
            <w:r>
              <w:rPr>
                <w:rFonts w:ascii="Arial" w:cs="Arial" w:eastAsia="Arial" w:hAnsi="Arial"/>
                <w:sz w:val="13"/>
                <w:szCs w:val="13"/>
                <w:color w:val="0000EE"/>
              </w:rPr>
              <w:t>Certification of Principal Financial Officer pursuant to Exchange Act Rules 13a – 14(a) and 15d – 14(a)</w:t>
            </w:r>
          </w:p>
        </w:tc>
      </w:tr>
      <w:tr>
        <w:trPr>
          <w:trHeight w:val="20"/>
        </w:trPr>
        <w:tc>
          <w:tcPr>
            <w:tcW w:w="600" w:type="dxa"/>
            <w:vAlign w:val="bottom"/>
            <w:shd w:val="clear" w:color="auto" w:fill="0000EE"/>
          </w:tcPr>
          <w:p>
            <w:pPr>
              <w:spacing w:after="0" w:line="20" w:lineRule="exact"/>
              <w:rPr>
                <w:sz w:val="1"/>
                <w:szCs w:val="1"/>
                <w:color w:val="auto"/>
              </w:rPr>
            </w:pPr>
          </w:p>
        </w:tc>
        <w:tc>
          <w:tcPr>
            <w:tcW w:w="160" w:type="dxa"/>
            <w:vAlign w:val="bottom"/>
            <w:tcBorders>
              <w:left w:val="single" w:sz="8" w:color="0000EE"/>
            </w:tcBorders>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460" w:type="dxa"/>
            <w:vAlign w:val="bottom"/>
            <w:shd w:val="clear" w:color="auto" w:fill="0000EE"/>
          </w:tcPr>
          <w:p>
            <w:pPr>
              <w:spacing w:after="0" w:line="20" w:lineRule="exact"/>
              <w:rPr>
                <w:sz w:val="1"/>
                <w:szCs w:val="1"/>
                <w:color w:val="auto"/>
              </w:rPr>
            </w:pPr>
          </w:p>
        </w:tc>
        <w:tc>
          <w:tcPr>
            <w:tcW w:w="300" w:type="dxa"/>
            <w:vAlign w:val="bottom"/>
            <w:shd w:val="clear" w:color="auto" w:fill="0000EE"/>
          </w:tcPr>
          <w:p>
            <w:pPr>
              <w:spacing w:after="0" w:line="20" w:lineRule="exact"/>
              <w:rPr>
                <w:sz w:val="1"/>
                <w:szCs w:val="1"/>
                <w:color w:val="auto"/>
              </w:rPr>
            </w:pPr>
          </w:p>
        </w:tc>
        <w:tc>
          <w:tcPr>
            <w:tcW w:w="220" w:type="dxa"/>
            <w:vAlign w:val="bottom"/>
            <w:shd w:val="clear" w:color="auto" w:fill="0000EE"/>
          </w:tcPr>
          <w:p>
            <w:pPr>
              <w:spacing w:after="0" w:line="20" w:lineRule="exact"/>
              <w:rPr>
                <w:sz w:val="1"/>
                <w:szCs w:val="1"/>
                <w:color w:val="auto"/>
              </w:rPr>
            </w:pPr>
          </w:p>
        </w:tc>
        <w:tc>
          <w:tcPr>
            <w:tcW w:w="1500" w:type="dxa"/>
            <w:vAlign w:val="bottom"/>
            <w:shd w:val="clear" w:color="auto" w:fill="0000EE"/>
          </w:tcPr>
          <w:p>
            <w:pPr>
              <w:spacing w:after="0" w:line="20" w:lineRule="exact"/>
              <w:rPr>
                <w:sz w:val="1"/>
                <w:szCs w:val="1"/>
                <w:color w:val="auto"/>
              </w:rPr>
            </w:pPr>
          </w:p>
        </w:tc>
        <w:tc>
          <w:tcPr>
            <w:tcW w:w="1600" w:type="dxa"/>
            <w:vAlign w:val="bottom"/>
            <w:shd w:val="clear" w:color="auto" w:fill="0000EE"/>
          </w:tcPr>
          <w:p>
            <w:pPr>
              <w:spacing w:after="0" w:line="20" w:lineRule="exact"/>
              <w:rPr>
                <w:sz w:val="1"/>
                <w:szCs w:val="1"/>
                <w:color w:val="auto"/>
              </w:rPr>
            </w:pPr>
          </w:p>
        </w:tc>
        <w:tc>
          <w:tcPr>
            <w:tcW w:w="1000" w:type="dxa"/>
            <w:vAlign w:val="bottom"/>
            <w:shd w:val="clear" w:color="auto" w:fill="0000EE"/>
          </w:tcPr>
          <w:p>
            <w:pPr>
              <w:spacing w:after="0" w:line="20" w:lineRule="exact"/>
              <w:rPr>
                <w:sz w:val="1"/>
                <w:szCs w:val="1"/>
                <w:color w:val="auto"/>
              </w:rPr>
            </w:pPr>
          </w:p>
        </w:tc>
        <w:tc>
          <w:tcPr>
            <w:tcW w:w="240" w:type="dxa"/>
            <w:vAlign w:val="bottom"/>
            <w:shd w:val="clear" w:color="auto" w:fill="0000EE"/>
          </w:tcPr>
          <w:p>
            <w:pPr>
              <w:spacing w:after="0" w:line="20" w:lineRule="exact"/>
              <w:rPr>
                <w:sz w:val="1"/>
                <w:szCs w:val="1"/>
                <w:color w:val="auto"/>
              </w:rPr>
            </w:pPr>
          </w:p>
        </w:tc>
        <w:tc>
          <w:tcPr>
            <w:tcW w:w="2420" w:type="dxa"/>
            <w:vAlign w:val="bottom"/>
          </w:tcPr>
          <w:p>
            <w:pPr>
              <w:spacing w:after="0" w:line="20" w:lineRule="exact"/>
              <w:rPr>
                <w:sz w:val="1"/>
                <w:szCs w:val="1"/>
                <w:color w:val="auto"/>
              </w:rPr>
            </w:pPr>
          </w:p>
        </w:tc>
        <w:tc>
          <w:tcPr>
            <w:tcW w:w="2580" w:type="dxa"/>
            <w:vAlign w:val="bottom"/>
          </w:tcPr>
          <w:p>
            <w:pPr>
              <w:spacing w:after="0" w:line="20" w:lineRule="exact"/>
              <w:rPr>
                <w:sz w:val="1"/>
                <w:szCs w:val="1"/>
                <w:color w:val="auto"/>
              </w:rPr>
            </w:pPr>
          </w:p>
        </w:tc>
      </w:tr>
      <w:tr>
        <w:trPr>
          <w:trHeight w:val="288"/>
        </w:trPr>
        <w:tc>
          <w:tcPr>
            <w:tcW w:w="1160" w:type="dxa"/>
            <w:vAlign w:val="bottom"/>
            <w:gridSpan w:val="3"/>
          </w:tcPr>
          <w:p>
            <w:pPr>
              <w:spacing w:after="0"/>
              <w:rPr>
                <w:sz w:val="20"/>
                <w:szCs w:val="20"/>
                <w:color w:val="auto"/>
              </w:rPr>
            </w:pPr>
            <w:r>
              <w:rPr>
                <w:rFonts w:ascii="Arial" w:cs="Arial" w:eastAsia="Arial" w:hAnsi="Arial"/>
                <w:sz w:val="13"/>
                <w:szCs w:val="13"/>
                <w:color w:val="0000EE"/>
              </w:rPr>
              <w:t>Exhibit 13.1.</w:t>
            </w:r>
          </w:p>
        </w:tc>
        <w:tc>
          <w:tcPr>
            <w:tcW w:w="10320" w:type="dxa"/>
            <w:vAlign w:val="bottom"/>
            <w:gridSpan w:val="9"/>
          </w:tcPr>
          <w:p>
            <w:pPr>
              <w:spacing w:after="0"/>
              <w:rPr>
                <w:sz w:val="20"/>
                <w:szCs w:val="20"/>
                <w:color w:val="auto"/>
              </w:rPr>
            </w:pPr>
            <w:r>
              <w:rPr>
                <w:rFonts w:ascii="Arial" w:cs="Arial" w:eastAsia="Arial" w:hAnsi="Arial"/>
                <w:sz w:val="13"/>
                <w:szCs w:val="13"/>
                <w:color w:val="0000EE"/>
              </w:rPr>
              <w:t>Certification of Principal Executive Officer pursuant to 18 U.S.C. Section 1350, as adopted pursuant to Section 906 of the Sarbanes Oxley Act of 2002</w:t>
            </w:r>
          </w:p>
        </w:tc>
      </w:tr>
      <w:tr>
        <w:trPr>
          <w:trHeight w:val="20"/>
        </w:trPr>
        <w:tc>
          <w:tcPr>
            <w:tcW w:w="600" w:type="dxa"/>
            <w:vAlign w:val="bottom"/>
            <w:shd w:val="clear" w:color="auto" w:fill="0000EE"/>
          </w:tcPr>
          <w:p>
            <w:pPr>
              <w:spacing w:after="0" w:line="20" w:lineRule="exact"/>
              <w:rPr>
                <w:sz w:val="1"/>
                <w:szCs w:val="1"/>
                <w:color w:val="auto"/>
              </w:rPr>
            </w:pPr>
          </w:p>
        </w:tc>
        <w:tc>
          <w:tcPr>
            <w:tcW w:w="160" w:type="dxa"/>
            <w:vAlign w:val="bottom"/>
            <w:tcBorders>
              <w:left w:val="single" w:sz="8" w:color="0000EE"/>
            </w:tcBorders>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460" w:type="dxa"/>
            <w:vAlign w:val="bottom"/>
            <w:shd w:val="clear" w:color="auto" w:fill="0000EE"/>
          </w:tcPr>
          <w:p>
            <w:pPr>
              <w:spacing w:after="0" w:line="20" w:lineRule="exact"/>
              <w:rPr>
                <w:sz w:val="1"/>
                <w:szCs w:val="1"/>
                <w:color w:val="auto"/>
              </w:rPr>
            </w:pPr>
          </w:p>
        </w:tc>
        <w:tc>
          <w:tcPr>
            <w:tcW w:w="300" w:type="dxa"/>
            <w:vAlign w:val="bottom"/>
            <w:shd w:val="clear" w:color="auto" w:fill="0000EE"/>
          </w:tcPr>
          <w:p>
            <w:pPr>
              <w:spacing w:after="0" w:line="20" w:lineRule="exact"/>
              <w:rPr>
                <w:sz w:val="1"/>
                <w:szCs w:val="1"/>
                <w:color w:val="auto"/>
              </w:rPr>
            </w:pPr>
          </w:p>
        </w:tc>
        <w:tc>
          <w:tcPr>
            <w:tcW w:w="220" w:type="dxa"/>
            <w:vAlign w:val="bottom"/>
            <w:shd w:val="clear" w:color="auto" w:fill="0000EE"/>
          </w:tcPr>
          <w:p>
            <w:pPr>
              <w:spacing w:after="0" w:line="20" w:lineRule="exact"/>
              <w:rPr>
                <w:sz w:val="1"/>
                <w:szCs w:val="1"/>
                <w:color w:val="auto"/>
              </w:rPr>
            </w:pPr>
          </w:p>
        </w:tc>
        <w:tc>
          <w:tcPr>
            <w:tcW w:w="1500" w:type="dxa"/>
            <w:vAlign w:val="bottom"/>
            <w:shd w:val="clear" w:color="auto" w:fill="0000EE"/>
          </w:tcPr>
          <w:p>
            <w:pPr>
              <w:spacing w:after="0" w:line="20" w:lineRule="exact"/>
              <w:rPr>
                <w:sz w:val="1"/>
                <w:szCs w:val="1"/>
                <w:color w:val="auto"/>
              </w:rPr>
            </w:pPr>
          </w:p>
        </w:tc>
        <w:tc>
          <w:tcPr>
            <w:tcW w:w="1600" w:type="dxa"/>
            <w:vAlign w:val="bottom"/>
            <w:shd w:val="clear" w:color="auto" w:fill="0000EE"/>
          </w:tcPr>
          <w:p>
            <w:pPr>
              <w:spacing w:after="0" w:line="20" w:lineRule="exact"/>
              <w:rPr>
                <w:sz w:val="1"/>
                <w:szCs w:val="1"/>
                <w:color w:val="auto"/>
              </w:rPr>
            </w:pPr>
          </w:p>
        </w:tc>
        <w:tc>
          <w:tcPr>
            <w:tcW w:w="1000" w:type="dxa"/>
            <w:vAlign w:val="bottom"/>
            <w:shd w:val="clear" w:color="auto" w:fill="0000EE"/>
          </w:tcPr>
          <w:p>
            <w:pPr>
              <w:spacing w:after="0" w:line="20" w:lineRule="exact"/>
              <w:rPr>
                <w:sz w:val="1"/>
                <w:szCs w:val="1"/>
                <w:color w:val="auto"/>
              </w:rPr>
            </w:pPr>
          </w:p>
        </w:tc>
        <w:tc>
          <w:tcPr>
            <w:tcW w:w="240" w:type="dxa"/>
            <w:vAlign w:val="bottom"/>
            <w:shd w:val="clear" w:color="auto" w:fill="0000EE"/>
          </w:tcPr>
          <w:p>
            <w:pPr>
              <w:spacing w:after="0" w:line="20" w:lineRule="exact"/>
              <w:rPr>
                <w:sz w:val="1"/>
                <w:szCs w:val="1"/>
                <w:color w:val="auto"/>
              </w:rPr>
            </w:pPr>
          </w:p>
        </w:tc>
        <w:tc>
          <w:tcPr>
            <w:tcW w:w="2420" w:type="dxa"/>
            <w:vAlign w:val="bottom"/>
            <w:tcBorders>
              <w:left w:val="single" w:sz="8" w:color="0000EE"/>
              <w:right w:val="single" w:sz="8" w:color="0000EE"/>
            </w:tcBorders>
            <w:shd w:val="clear" w:color="auto" w:fill="0000EE"/>
          </w:tcPr>
          <w:p>
            <w:pPr>
              <w:spacing w:after="0" w:line="20" w:lineRule="exact"/>
              <w:rPr>
                <w:sz w:val="1"/>
                <w:szCs w:val="1"/>
                <w:color w:val="auto"/>
              </w:rPr>
            </w:pPr>
          </w:p>
        </w:tc>
        <w:tc>
          <w:tcPr>
            <w:tcW w:w="2580" w:type="dxa"/>
            <w:vAlign w:val="bottom"/>
          </w:tcPr>
          <w:p>
            <w:pPr>
              <w:spacing w:after="0" w:line="20" w:lineRule="exact"/>
              <w:rPr>
                <w:sz w:val="1"/>
                <w:szCs w:val="1"/>
                <w:color w:val="auto"/>
              </w:rPr>
            </w:pPr>
          </w:p>
        </w:tc>
      </w:tr>
      <w:tr>
        <w:trPr>
          <w:trHeight w:val="288"/>
        </w:trPr>
        <w:tc>
          <w:tcPr>
            <w:tcW w:w="1160" w:type="dxa"/>
            <w:vAlign w:val="bottom"/>
            <w:gridSpan w:val="3"/>
          </w:tcPr>
          <w:p>
            <w:pPr>
              <w:spacing w:after="0"/>
              <w:rPr>
                <w:sz w:val="20"/>
                <w:szCs w:val="20"/>
                <w:color w:val="auto"/>
              </w:rPr>
            </w:pPr>
            <w:r>
              <w:rPr>
                <w:rFonts w:ascii="Arial" w:cs="Arial" w:eastAsia="Arial" w:hAnsi="Arial"/>
                <w:sz w:val="13"/>
                <w:szCs w:val="13"/>
                <w:color w:val="0000EE"/>
              </w:rPr>
              <w:t>Exhibit 13.2.</w:t>
            </w:r>
          </w:p>
        </w:tc>
        <w:tc>
          <w:tcPr>
            <w:tcW w:w="10320" w:type="dxa"/>
            <w:vAlign w:val="bottom"/>
            <w:gridSpan w:val="9"/>
          </w:tcPr>
          <w:p>
            <w:pPr>
              <w:spacing w:after="0"/>
              <w:rPr>
                <w:sz w:val="20"/>
                <w:szCs w:val="20"/>
                <w:color w:val="auto"/>
              </w:rPr>
            </w:pPr>
            <w:r>
              <w:rPr>
                <w:rFonts w:ascii="Arial" w:cs="Arial" w:eastAsia="Arial" w:hAnsi="Arial"/>
                <w:sz w:val="13"/>
                <w:szCs w:val="13"/>
                <w:color w:val="0000EE"/>
              </w:rPr>
              <w:t>Certification of Principal Financial Officer pursuant to 18 U.S.C. Section 1350, as adopted pursuant to Section 906 of the Sarbanes Oxley Act of 2002</w:t>
            </w:r>
          </w:p>
        </w:tc>
      </w:tr>
      <w:tr>
        <w:trPr>
          <w:trHeight w:val="490"/>
        </w:trPr>
        <w:tc>
          <w:tcPr>
            <w:tcW w:w="600" w:type="dxa"/>
            <w:vAlign w:val="bottom"/>
            <w:tcBorders>
              <w:top w:val="single" w:sz="8" w:color="0000EE"/>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400" w:type="dxa"/>
            <w:vAlign w:val="bottom"/>
            <w:tcBorders>
              <w:bottom w:val="single" w:sz="8" w:color="auto"/>
            </w:tcBorders>
          </w:tcPr>
          <w:p>
            <w:pPr>
              <w:spacing w:after="0"/>
              <w:rPr>
                <w:sz w:val="24"/>
                <w:szCs w:val="24"/>
                <w:color w:val="auto"/>
              </w:rPr>
            </w:pPr>
          </w:p>
        </w:tc>
        <w:tc>
          <w:tcPr>
            <w:tcW w:w="5080" w:type="dxa"/>
            <w:vAlign w:val="bottom"/>
            <w:tcBorders>
              <w:top w:val="single" w:sz="8" w:color="0000EE"/>
              <w:bottom w:val="single" w:sz="8" w:color="auto"/>
            </w:tcBorders>
            <w:gridSpan w:val="6"/>
          </w:tcPr>
          <w:p>
            <w:pPr>
              <w:ind w:left="4460"/>
              <w:spacing w:after="0"/>
              <w:rPr>
                <w:sz w:val="20"/>
                <w:szCs w:val="20"/>
                <w:color w:val="auto"/>
              </w:rPr>
            </w:pPr>
            <w:r>
              <w:rPr>
                <w:rFonts w:ascii="Arial" w:cs="Arial" w:eastAsia="Arial" w:hAnsi="Arial"/>
                <w:sz w:val="15"/>
                <w:szCs w:val="15"/>
                <w:color w:val="auto"/>
              </w:rPr>
              <w:t>123</w:t>
            </w:r>
          </w:p>
        </w:tc>
        <w:tc>
          <w:tcPr>
            <w:tcW w:w="240" w:type="dxa"/>
            <w:vAlign w:val="bottom"/>
            <w:tcBorders>
              <w:top w:val="single" w:sz="8" w:color="0000EE"/>
              <w:bottom w:val="single" w:sz="8" w:color="auto"/>
            </w:tcBorders>
          </w:tcPr>
          <w:p>
            <w:pPr>
              <w:spacing w:after="0"/>
              <w:rPr>
                <w:sz w:val="24"/>
                <w:szCs w:val="24"/>
                <w:color w:val="auto"/>
              </w:rPr>
            </w:pPr>
          </w:p>
        </w:tc>
        <w:tc>
          <w:tcPr>
            <w:tcW w:w="2420" w:type="dxa"/>
            <w:vAlign w:val="bottom"/>
            <w:tcBorders>
              <w:top w:val="single" w:sz="8" w:color="0000EE"/>
              <w:bottom w:val="single" w:sz="8" w:color="auto"/>
            </w:tcBorders>
          </w:tcPr>
          <w:p>
            <w:pPr>
              <w:spacing w:after="0"/>
              <w:rPr>
                <w:sz w:val="24"/>
                <w:szCs w:val="24"/>
                <w:color w:val="auto"/>
              </w:rPr>
            </w:pPr>
          </w:p>
        </w:tc>
        <w:tc>
          <w:tcPr>
            <w:tcW w:w="2580" w:type="dxa"/>
            <w:vAlign w:val="bottom"/>
            <w:tcBorders>
              <w:bottom w:val="single" w:sz="8" w:color="auto"/>
            </w:tcBorders>
          </w:tcPr>
          <w:p>
            <w:pPr>
              <w:spacing w:after="0"/>
              <w:rPr>
                <w:sz w:val="24"/>
                <w:szCs w:val="24"/>
                <w:color w:val="auto"/>
              </w:rPr>
            </w:pPr>
          </w:p>
        </w:tc>
      </w:tr>
    </w:tbl>
    <w:p>
      <w:pPr>
        <w:sectPr>
          <w:pgSz w:w="11900" w:h="16838" w:orient="portrait"/>
          <w:cols w:equalWidth="0" w:num="1">
            <w:col w:w="11480"/>
          </w:cols>
          <w:pgMar w:left="220" w:top="673" w:right="199" w:bottom="1440" w:gutter="0" w:footer="0" w:header="0"/>
        </w:sectPr>
      </w:pPr>
    </w:p>
    <w:bookmarkStart w:id="125" w:name="page126"/>
    <w:bookmarkEnd w:id="125"/>
    <w:p>
      <w:pPr>
        <w:spacing w:after="0"/>
        <w:rPr>
          <w:sz w:val="20"/>
          <w:szCs w:val="20"/>
          <w:color w:val="auto"/>
        </w:rPr>
      </w:pPr>
      <w:r>
        <w:rPr>
          <w:rFonts w:ascii="Arial" w:cs="Arial" w:eastAsia="Arial" w:hAnsi="Arial"/>
          <w:sz w:val="23"/>
          <w:szCs w:val="23"/>
          <w:b w:val="1"/>
          <w:bCs w:val="1"/>
          <w:color w:val="auto"/>
        </w:rPr>
        <w:t>Banco Latinoamericano</w:t>
      </w:r>
    </w:p>
    <w:p>
      <w:pPr>
        <w:spacing w:after="0" w:line="17" w:lineRule="exact"/>
        <w:rPr>
          <w:sz w:val="20"/>
          <w:szCs w:val="20"/>
          <w:color w:val="auto"/>
        </w:rPr>
      </w:pPr>
    </w:p>
    <w:p>
      <w:pPr>
        <w:spacing w:after="0"/>
        <w:rPr>
          <w:sz w:val="20"/>
          <w:szCs w:val="20"/>
          <w:color w:val="auto"/>
        </w:rPr>
      </w:pPr>
      <w:r>
        <w:rPr>
          <w:rFonts w:ascii="Arial" w:cs="Arial" w:eastAsia="Arial" w:hAnsi="Arial"/>
          <w:sz w:val="23"/>
          <w:szCs w:val="23"/>
          <w:b w:val="1"/>
          <w:bCs w:val="1"/>
          <w:color w:val="auto"/>
        </w:rPr>
        <w:t>de Comercio Exterior, S.A.</w:t>
      </w:r>
    </w:p>
    <w:p>
      <w:pPr>
        <w:ind w:left="120"/>
        <w:spacing w:after="0"/>
        <w:rPr>
          <w:sz w:val="20"/>
          <w:szCs w:val="20"/>
          <w:color w:val="auto"/>
        </w:rPr>
      </w:pPr>
      <w:r>
        <w:rPr>
          <w:rFonts w:ascii="Arial" w:cs="Arial" w:eastAsia="Arial" w:hAnsi="Arial"/>
          <w:sz w:val="23"/>
          <w:szCs w:val="23"/>
          <w:b w:val="1"/>
          <w:bCs w:val="1"/>
          <w:color w:val="auto"/>
        </w:rPr>
        <w:t>and Subsidiaries</w:t>
      </w:r>
    </w:p>
    <w:p>
      <w:pPr>
        <w:spacing w:after="0" w:line="250" w:lineRule="exact"/>
        <w:rPr>
          <w:sz w:val="20"/>
          <w:szCs w:val="20"/>
          <w:color w:val="auto"/>
        </w:rPr>
      </w:pPr>
    </w:p>
    <w:p>
      <w:pPr>
        <w:spacing w:after="0"/>
        <w:rPr>
          <w:sz w:val="20"/>
          <w:szCs w:val="20"/>
          <w:color w:val="auto"/>
        </w:rPr>
      </w:pPr>
      <w:r>
        <w:rPr>
          <w:rFonts w:ascii="Arial" w:cs="Arial" w:eastAsia="Arial" w:hAnsi="Arial"/>
          <w:sz w:val="13"/>
          <w:szCs w:val="13"/>
          <w:color w:val="auto"/>
        </w:rPr>
        <w:t>Consolidated Financial Statements</w:t>
      </w:r>
    </w:p>
    <w:p>
      <w:pPr>
        <w:spacing w:after="0" w:line="13" w:lineRule="exact"/>
        <w:rPr>
          <w:sz w:val="20"/>
          <w:szCs w:val="20"/>
          <w:color w:val="auto"/>
        </w:rPr>
      </w:pPr>
    </w:p>
    <w:p>
      <w:pPr>
        <w:ind w:left="60"/>
        <w:spacing w:after="0"/>
        <w:rPr>
          <w:sz w:val="20"/>
          <w:szCs w:val="20"/>
          <w:color w:val="auto"/>
        </w:rPr>
      </w:pPr>
      <w:r>
        <w:rPr>
          <w:rFonts w:ascii="Arial" w:cs="Arial" w:eastAsia="Arial" w:hAnsi="Arial"/>
          <w:sz w:val="13"/>
          <w:szCs w:val="13"/>
          <w:color w:val="auto"/>
        </w:rPr>
        <w:t>as of December 31, 2018</w:t>
      </w:r>
    </w:p>
    <w:p>
      <w:pPr>
        <w:spacing w:after="0" w:line="150" w:lineRule="exact"/>
        <w:rPr>
          <w:sz w:val="20"/>
          <w:szCs w:val="20"/>
          <w:color w:val="auto"/>
        </w:rPr>
      </w:pPr>
    </w:p>
    <w:p>
      <w:pPr>
        <w:spacing w:after="0"/>
        <w:rPr>
          <w:sz w:val="20"/>
          <w:szCs w:val="20"/>
          <w:color w:val="auto"/>
        </w:rPr>
      </w:pPr>
      <w:r>
        <w:rPr>
          <w:rFonts w:ascii="Arial" w:cs="Arial" w:eastAsia="Arial" w:hAnsi="Arial"/>
          <w:sz w:val="11"/>
          <w:szCs w:val="11"/>
          <w:color w:val="auto"/>
        </w:rPr>
        <w:t>(With the Reports of Independent Registered Public Accounting Firm thereon)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310515</wp:posOffset>
            </wp:positionV>
            <wp:extent cx="7285990" cy="635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5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0239"/>
          </w:cols>
          <w:pgMar w:left="220" w:top="514" w:right="1440" w:bottom="1440" w:gutter="0" w:footer="0" w:header="0"/>
        </w:sectPr>
      </w:pPr>
    </w:p>
    <w:bookmarkStart w:id="126" w:name="page127"/>
    <w:bookmarkEnd w:id="126"/>
    <w:p>
      <w:pPr>
        <w:spacing w:after="0"/>
        <w:rPr>
          <w:sz w:val="20"/>
          <w:szCs w:val="20"/>
          <w:color w:val="auto"/>
        </w:rPr>
      </w:pPr>
      <w:r>
        <w:rPr>
          <w:rFonts w:ascii="Arial" w:cs="Arial" w:eastAsia="Arial" w:hAnsi="Arial"/>
          <w:sz w:val="13"/>
          <w:szCs w:val="13"/>
          <w:b w:val="1"/>
          <w:bCs w:val="1"/>
          <w:color w:val="auto"/>
        </w:rPr>
        <w:t>Banco Latinoamericano de Comercio Exterior, S.A.</w:t>
      </w:r>
    </w:p>
    <w:p>
      <w:pPr>
        <w:spacing w:after="0" w:line="17" w:lineRule="exact"/>
        <w:rPr>
          <w:sz w:val="20"/>
          <w:szCs w:val="20"/>
          <w:color w:val="auto"/>
        </w:rPr>
      </w:pPr>
    </w:p>
    <w:tbl>
      <w:tblPr>
        <w:tblLayout w:type="fixed"/>
        <w:tblInd w:w="0" w:type="dxa"/>
        <w:tblCellMar>
          <w:top w:w="0" w:type="dxa"/>
          <w:left w:w="0" w:type="dxa"/>
          <w:bottom w:w="0" w:type="dxa"/>
          <w:right w:w="0" w:type="dxa"/>
        </w:tblCellMar>
      </w:tblPr>
      <w:tr>
        <w:trPr>
          <w:trHeight w:val="166"/>
        </w:trPr>
        <w:tc>
          <w:tcPr>
            <w:tcW w:w="20" w:type="dxa"/>
            <w:vAlign w:val="bottom"/>
          </w:tcPr>
          <w:p>
            <w:pPr>
              <w:spacing w:after="0"/>
              <w:rPr>
                <w:sz w:val="14"/>
                <w:szCs w:val="14"/>
                <w:color w:val="auto"/>
              </w:rPr>
            </w:pPr>
          </w:p>
        </w:tc>
        <w:tc>
          <w:tcPr>
            <w:tcW w:w="4340" w:type="dxa"/>
            <w:vAlign w:val="bottom"/>
            <w:gridSpan w:val="8"/>
          </w:tcPr>
          <w:p>
            <w:pPr>
              <w:ind w:left="80"/>
              <w:spacing w:after="0"/>
              <w:rPr>
                <w:sz w:val="20"/>
                <w:szCs w:val="20"/>
                <w:color w:val="auto"/>
              </w:rPr>
            </w:pPr>
            <w:r>
              <w:rPr>
                <w:rFonts w:ascii="Arial" w:cs="Arial" w:eastAsia="Arial" w:hAnsi="Arial"/>
                <w:sz w:val="13"/>
                <w:szCs w:val="13"/>
                <w:b w:val="1"/>
                <w:bCs w:val="1"/>
                <w:color w:val="auto"/>
              </w:rPr>
              <w:t>and Subsidiaries</w:t>
            </w:r>
          </w:p>
        </w:tc>
        <w:tc>
          <w:tcPr>
            <w:tcW w:w="68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96"/>
        </w:trPr>
        <w:tc>
          <w:tcPr>
            <w:tcW w:w="4360" w:type="dxa"/>
            <w:vAlign w:val="bottom"/>
            <w:gridSpan w:val="9"/>
          </w:tcPr>
          <w:p>
            <w:pPr>
              <w:spacing w:after="0"/>
              <w:rPr>
                <w:sz w:val="20"/>
                <w:szCs w:val="20"/>
                <w:color w:val="auto"/>
              </w:rPr>
            </w:pPr>
            <w:r>
              <w:rPr>
                <w:rFonts w:ascii="Arial" w:cs="Arial" w:eastAsia="Arial" w:hAnsi="Arial"/>
                <w:sz w:val="13"/>
                <w:szCs w:val="13"/>
                <w:color w:val="auto"/>
              </w:rPr>
              <w:t>Consolidated Financial Statements</w:t>
            </w:r>
          </w:p>
        </w:tc>
        <w:tc>
          <w:tcPr>
            <w:tcW w:w="68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08"/>
        </w:trPr>
        <w:tc>
          <w:tcPr>
            <w:tcW w:w="4360" w:type="dxa"/>
            <w:vAlign w:val="bottom"/>
            <w:gridSpan w:val="9"/>
          </w:tcPr>
          <w:p>
            <w:pPr>
              <w:spacing w:after="0"/>
              <w:rPr>
                <w:sz w:val="20"/>
                <w:szCs w:val="20"/>
                <w:color w:val="auto"/>
              </w:rPr>
            </w:pPr>
            <w:r>
              <w:rPr>
                <w:rFonts w:ascii="Arial" w:cs="Arial" w:eastAsia="Arial" w:hAnsi="Arial"/>
                <w:sz w:val="13"/>
                <w:szCs w:val="13"/>
                <w:b w:val="1"/>
                <w:bCs w:val="1"/>
                <w:color w:val="auto"/>
              </w:rPr>
              <w:t>Contents</w:t>
            </w:r>
          </w:p>
        </w:tc>
        <w:tc>
          <w:tcPr>
            <w:tcW w:w="68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5"/>
        </w:trPr>
        <w:tc>
          <w:tcPr>
            <w:tcW w:w="20" w:type="dxa"/>
            <w:vAlign w:val="bottom"/>
            <w:vMerge w:val="restart"/>
          </w:tcPr>
          <w:p>
            <w:pPr>
              <w:spacing w:after="0"/>
              <w:rPr>
                <w:sz w:val="13"/>
                <w:szCs w:val="13"/>
                <w:color w:val="auto"/>
              </w:rPr>
            </w:pPr>
          </w:p>
        </w:tc>
        <w:tc>
          <w:tcPr>
            <w:tcW w:w="19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440" w:type="dxa"/>
            <w:vAlign w:val="bottom"/>
          </w:tcPr>
          <w:p>
            <w:pPr>
              <w:spacing w:after="0"/>
              <w:rPr>
                <w:sz w:val="13"/>
                <w:szCs w:val="13"/>
                <w:color w:val="auto"/>
              </w:rPr>
            </w:pPr>
          </w:p>
        </w:tc>
        <w:tc>
          <w:tcPr>
            <w:tcW w:w="1300" w:type="dxa"/>
            <w:vAlign w:val="bottom"/>
          </w:tcPr>
          <w:p>
            <w:pPr>
              <w:spacing w:after="0"/>
              <w:rPr>
                <w:sz w:val="13"/>
                <w:szCs w:val="13"/>
                <w:color w:val="auto"/>
              </w:rPr>
            </w:pPr>
          </w:p>
        </w:tc>
        <w:tc>
          <w:tcPr>
            <w:tcW w:w="68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4340" w:type="dxa"/>
            <w:vAlign w:val="bottom"/>
            <w:gridSpan w:val="8"/>
            <w:shd w:val="clear" w:color="auto" w:fill="CCEEFF"/>
          </w:tcPr>
          <w:p>
            <w:pPr>
              <w:spacing w:after="0" w:line="125" w:lineRule="exact"/>
              <w:rPr>
                <w:rFonts w:ascii="Arial" w:cs="Arial" w:eastAsia="Arial" w:hAnsi="Arial"/>
                <w:sz w:val="13"/>
                <w:szCs w:val="13"/>
                <w:color w:val="0000EE"/>
              </w:rPr>
            </w:pPr>
            <w:hyperlink w:anchor="page128">
              <w:r>
                <w:rPr>
                  <w:rFonts w:ascii="Arial" w:cs="Arial" w:eastAsia="Arial" w:hAnsi="Arial"/>
                  <w:sz w:val="13"/>
                  <w:szCs w:val="13"/>
                  <w:color w:val="0000EE"/>
                </w:rPr>
                <w:t>Reports of Independent Registered Public Accounting Firm</w:t>
              </w:r>
            </w:hyperlink>
          </w:p>
        </w:tc>
        <w:tc>
          <w:tcPr>
            <w:tcW w:w="68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80" w:type="dxa"/>
            <w:vAlign w:val="bottom"/>
            <w:shd w:val="clear" w:color="auto" w:fill="CCEEFF"/>
          </w:tcPr>
          <w:p>
            <w:pPr>
              <w:jc w:val="right"/>
              <w:spacing w:after="0" w:line="125" w:lineRule="exact"/>
              <w:rPr>
                <w:rFonts w:ascii="Arial" w:cs="Arial" w:eastAsia="Arial" w:hAnsi="Arial"/>
                <w:sz w:val="13"/>
                <w:szCs w:val="13"/>
                <w:color w:val="0000EE"/>
                <w:w w:val="81"/>
              </w:rPr>
            </w:pPr>
            <w:hyperlink w:anchor="page128">
              <w:r>
                <w:rPr>
                  <w:rFonts w:ascii="Arial" w:cs="Arial" w:eastAsia="Arial" w:hAnsi="Arial"/>
                  <w:sz w:val="13"/>
                  <w:szCs w:val="13"/>
                  <w:color w:val="0000EE"/>
                  <w:w w:val="81"/>
                </w:rPr>
                <w:t>F-3</w:t>
              </w:r>
            </w:hyperlink>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1980" w:type="dxa"/>
            <w:vAlign w:val="bottom"/>
            <w:tcBorders>
              <w:top w:val="single" w:sz="8" w:color="0000EE"/>
            </w:tcBorders>
          </w:tcPr>
          <w:p>
            <w:pPr>
              <w:spacing w:after="0"/>
              <w:rPr>
                <w:sz w:val="13"/>
                <w:szCs w:val="13"/>
                <w:color w:val="auto"/>
              </w:rPr>
            </w:pPr>
          </w:p>
        </w:tc>
        <w:tc>
          <w:tcPr>
            <w:tcW w:w="100" w:type="dxa"/>
            <w:vAlign w:val="bottom"/>
            <w:tcBorders>
              <w:top w:val="single" w:sz="8" w:color="0000EE"/>
            </w:tcBorders>
          </w:tcPr>
          <w:p>
            <w:pPr>
              <w:spacing w:after="0"/>
              <w:rPr>
                <w:sz w:val="13"/>
                <w:szCs w:val="13"/>
                <w:color w:val="auto"/>
              </w:rPr>
            </w:pPr>
          </w:p>
        </w:tc>
        <w:tc>
          <w:tcPr>
            <w:tcW w:w="220" w:type="dxa"/>
            <w:vAlign w:val="bottom"/>
            <w:tcBorders>
              <w:top w:val="single" w:sz="8" w:color="0000EE"/>
            </w:tcBorders>
          </w:tcPr>
          <w:p>
            <w:pPr>
              <w:spacing w:after="0"/>
              <w:rPr>
                <w:sz w:val="13"/>
                <w:szCs w:val="13"/>
                <w:color w:val="auto"/>
              </w:rPr>
            </w:pPr>
          </w:p>
        </w:tc>
        <w:tc>
          <w:tcPr>
            <w:tcW w:w="20" w:type="dxa"/>
            <w:vAlign w:val="bottom"/>
            <w:tcBorders>
              <w:top w:val="single" w:sz="8" w:color="0000EE"/>
            </w:tcBorders>
          </w:tcPr>
          <w:p>
            <w:pPr>
              <w:spacing w:after="0"/>
              <w:rPr>
                <w:sz w:val="13"/>
                <w:szCs w:val="13"/>
                <w:color w:val="auto"/>
              </w:rPr>
            </w:pPr>
          </w:p>
        </w:tc>
        <w:tc>
          <w:tcPr>
            <w:tcW w:w="100" w:type="dxa"/>
            <w:vAlign w:val="bottom"/>
            <w:tcBorders>
              <w:top w:val="single" w:sz="8" w:color="0000EE"/>
            </w:tcBorders>
          </w:tcPr>
          <w:p>
            <w:pPr>
              <w:spacing w:after="0"/>
              <w:rPr>
                <w:sz w:val="13"/>
                <w:szCs w:val="13"/>
                <w:color w:val="auto"/>
              </w:rPr>
            </w:pPr>
          </w:p>
        </w:tc>
        <w:tc>
          <w:tcPr>
            <w:tcW w:w="180" w:type="dxa"/>
            <w:vAlign w:val="bottom"/>
            <w:tcBorders>
              <w:top w:val="single" w:sz="8" w:color="0000EE"/>
            </w:tcBorders>
          </w:tcPr>
          <w:p>
            <w:pPr>
              <w:spacing w:after="0"/>
              <w:rPr>
                <w:sz w:val="13"/>
                <w:szCs w:val="13"/>
                <w:color w:val="auto"/>
              </w:rPr>
            </w:pPr>
          </w:p>
        </w:tc>
        <w:tc>
          <w:tcPr>
            <w:tcW w:w="440" w:type="dxa"/>
            <w:vAlign w:val="bottom"/>
            <w:tcBorders>
              <w:top w:val="single" w:sz="8" w:color="0000EE"/>
            </w:tcBorders>
          </w:tcPr>
          <w:p>
            <w:pPr>
              <w:spacing w:after="0"/>
              <w:rPr>
                <w:sz w:val="13"/>
                <w:szCs w:val="13"/>
                <w:color w:val="auto"/>
              </w:rPr>
            </w:pPr>
          </w:p>
        </w:tc>
        <w:tc>
          <w:tcPr>
            <w:tcW w:w="1300" w:type="dxa"/>
            <w:vAlign w:val="bottom"/>
            <w:tcBorders>
              <w:top w:val="single" w:sz="8" w:color="CCEEFF"/>
            </w:tcBorders>
          </w:tcPr>
          <w:p>
            <w:pPr>
              <w:spacing w:after="0"/>
              <w:rPr>
                <w:sz w:val="13"/>
                <w:szCs w:val="13"/>
                <w:color w:val="auto"/>
              </w:rPr>
            </w:pPr>
          </w:p>
        </w:tc>
        <w:tc>
          <w:tcPr>
            <w:tcW w:w="6860" w:type="dxa"/>
            <w:vAlign w:val="bottom"/>
            <w:tcBorders>
              <w:top w:val="single" w:sz="8" w:color="CCEEFF"/>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180" w:type="dxa"/>
            <w:vAlign w:val="bottom"/>
            <w:tcBorders>
              <w:top w:val="single" w:sz="8" w:color="0000EE"/>
            </w:tcBorders>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4340" w:type="dxa"/>
            <w:vAlign w:val="bottom"/>
            <w:gridSpan w:val="8"/>
            <w:shd w:val="clear" w:color="auto" w:fill="CCEEFF"/>
          </w:tcPr>
          <w:p>
            <w:pPr>
              <w:spacing w:after="0" w:line="125" w:lineRule="exact"/>
              <w:rPr>
                <w:rFonts w:ascii="Arial" w:cs="Arial" w:eastAsia="Arial" w:hAnsi="Arial"/>
                <w:sz w:val="13"/>
                <w:szCs w:val="13"/>
                <w:color w:val="0000EE"/>
              </w:rPr>
            </w:pPr>
            <w:hyperlink w:anchor="page130">
              <w:r>
                <w:rPr>
                  <w:rFonts w:ascii="Arial" w:cs="Arial" w:eastAsia="Arial" w:hAnsi="Arial"/>
                  <w:sz w:val="13"/>
                  <w:szCs w:val="13"/>
                  <w:color w:val="0000EE"/>
                </w:rPr>
                <w:t>Consolidated Statement of Financial Position</w:t>
              </w:r>
            </w:hyperlink>
          </w:p>
        </w:tc>
        <w:tc>
          <w:tcPr>
            <w:tcW w:w="68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80" w:type="dxa"/>
            <w:vAlign w:val="bottom"/>
            <w:shd w:val="clear" w:color="auto" w:fill="CCEEFF"/>
          </w:tcPr>
          <w:p>
            <w:pPr>
              <w:jc w:val="right"/>
              <w:spacing w:after="0" w:line="125" w:lineRule="exact"/>
              <w:rPr>
                <w:rFonts w:ascii="Arial" w:cs="Arial" w:eastAsia="Arial" w:hAnsi="Arial"/>
                <w:sz w:val="13"/>
                <w:szCs w:val="13"/>
                <w:color w:val="0000EE"/>
                <w:w w:val="81"/>
              </w:rPr>
            </w:pPr>
            <w:hyperlink w:anchor="page130">
              <w:r>
                <w:rPr>
                  <w:rFonts w:ascii="Arial" w:cs="Arial" w:eastAsia="Arial" w:hAnsi="Arial"/>
                  <w:sz w:val="13"/>
                  <w:szCs w:val="13"/>
                  <w:color w:val="0000EE"/>
                  <w:w w:val="81"/>
                </w:rPr>
                <w:t>F-5</w:t>
              </w:r>
            </w:hyperlink>
          </w:p>
        </w:tc>
        <w:tc>
          <w:tcPr>
            <w:tcW w:w="2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2080" w:type="dxa"/>
            <w:vAlign w:val="bottom"/>
            <w:tcBorders>
              <w:top w:val="single" w:sz="8" w:color="0000EE"/>
              <w:bottom w:val="single" w:sz="8" w:color="0000EE"/>
            </w:tcBorders>
            <w:gridSpan w:val="2"/>
          </w:tcPr>
          <w:p>
            <w:pPr>
              <w:spacing w:after="0" w:line="125" w:lineRule="exact"/>
              <w:rPr>
                <w:rFonts w:ascii="Arial" w:cs="Arial" w:eastAsia="Arial" w:hAnsi="Arial"/>
                <w:sz w:val="13"/>
                <w:szCs w:val="13"/>
                <w:color w:val="0000EE"/>
                <w:w w:val="88"/>
              </w:rPr>
            </w:pPr>
            <w:hyperlink w:anchor="page131">
              <w:r>
                <w:rPr>
                  <w:rFonts w:ascii="Arial" w:cs="Arial" w:eastAsia="Arial" w:hAnsi="Arial"/>
                  <w:sz w:val="13"/>
                  <w:szCs w:val="13"/>
                  <w:color w:val="0000EE"/>
                  <w:w w:val="88"/>
                </w:rPr>
                <w:t>Consolidated Statement of Profit or Loss</w:t>
              </w:r>
            </w:hyperlink>
          </w:p>
        </w:tc>
        <w:tc>
          <w:tcPr>
            <w:tcW w:w="220" w:type="dxa"/>
            <w:vAlign w:val="bottom"/>
            <w:tcBorders>
              <w:top w:val="single" w:sz="8" w:color="0000EE"/>
            </w:tcBorders>
          </w:tcPr>
          <w:p>
            <w:pPr>
              <w:spacing w:after="0"/>
              <w:rPr>
                <w:sz w:val="11"/>
                <w:szCs w:val="11"/>
                <w:color w:val="auto"/>
              </w:rPr>
            </w:pPr>
          </w:p>
        </w:tc>
        <w:tc>
          <w:tcPr>
            <w:tcW w:w="2040" w:type="dxa"/>
            <w:vAlign w:val="bottom"/>
            <w:tcBorders>
              <w:top w:val="single" w:sz="8" w:color="CCEEFF"/>
            </w:tcBorders>
            <w:gridSpan w:val="5"/>
          </w:tcPr>
          <w:p>
            <w:pPr>
              <w:spacing w:after="0"/>
              <w:rPr>
                <w:sz w:val="11"/>
                <w:szCs w:val="11"/>
                <w:color w:val="auto"/>
              </w:rPr>
            </w:pPr>
          </w:p>
        </w:tc>
        <w:tc>
          <w:tcPr>
            <w:tcW w:w="6860" w:type="dxa"/>
            <w:vAlign w:val="bottom"/>
            <w:tcBorders>
              <w:top w:val="single" w:sz="8" w:color="CCEEFF"/>
            </w:tcBorders>
          </w:tcPr>
          <w:p>
            <w:pPr>
              <w:spacing w:after="0"/>
              <w:rPr>
                <w:sz w:val="11"/>
                <w:szCs w:val="11"/>
                <w:color w:val="auto"/>
              </w:rPr>
            </w:pPr>
          </w:p>
        </w:tc>
        <w:tc>
          <w:tcPr>
            <w:tcW w:w="80" w:type="dxa"/>
            <w:vAlign w:val="bottom"/>
            <w:tcBorders>
              <w:top w:val="single" w:sz="8" w:color="CCEEFF"/>
            </w:tcBorders>
          </w:tcPr>
          <w:p>
            <w:pPr>
              <w:spacing w:after="0"/>
              <w:rPr>
                <w:sz w:val="11"/>
                <w:szCs w:val="11"/>
                <w:color w:val="auto"/>
              </w:rPr>
            </w:pPr>
          </w:p>
        </w:tc>
        <w:tc>
          <w:tcPr>
            <w:tcW w:w="180" w:type="dxa"/>
            <w:vAlign w:val="bottom"/>
            <w:tcBorders>
              <w:top w:val="single" w:sz="8" w:color="0000EE"/>
              <w:bottom w:val="single" w:sz="8" w:color="0000EE"/>
            </w:tcBorders>
          </w:tcPr>
          <w:p>
            <w:pPr>
              <w:jc w:val="right"/>
              <w:spacing w:after="0" w:line="125" w:lineRule="exact"/>
              <w:rPr>
                <w:rFonts w:ascii="Arial" w:cs="Arial" w:eastAsia="Arial" w:hAnsi="Arial"/>
                <w:sz w:val="13"/>
                <w:szCs w:val="13"/>
                <w:color w:val="0000EE"/>
                <w:w w:val="81"/>
              </w:rPr>
            </w:pPr>
            <w:hyperlink w:anchor="page131">
              <w:r>
                <w:rPr>
                  <w:rFonts w:ascii="Arial" w:cs="Arial" w:eastAsia="Arial" w:hAnsi="Arial"/>
                  <w:sz w:val="13"/>
                  <w:szCs w:val="13"/>
                  <w:color w:val="0000EE"/>
                  <w:w w:val="81"/>
                </w:rPr>
                <w:t>F-6</w:t>
              </w:r>
            </w:hyperlink>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2600" w:type="dxa"/>
            <w:vAlign w:val="bottom"/>
            <w:tcBorders>
              <w:bottom w:val="single" w:sz="8" w:color="0000EE"/>
            </w:tcBorders>
            <w:gridSpan w:val="6"/>
            <w:shd w:val="clear" w:color="auto" w:fill="CCEEFF"/>
          </w:tcPr>
          <w:p>
            <w:pPr>
              <w:spacing w:after="0" w:line="125" w:lineRule="exact"/>
              <w:rPr>
                <w:rFonts w:ascii="Arial" w:cs="Arial" w:eastAsia="Arial" w:hAnsi="Arial"/>
                <w:sz w:val="13"/>
                <w:szCs w:val="13"/>
                <w:color w:val="0000EE"/>
                <w:w w:val="87"/>
              </w:rPr>
            </w:pPr>
            <w:hyperlink w:anchor="page132">
              <w:r>
                <w:rPr>
                  <w:rFonts w:ascii="Arial" w:cs="Arial" w:eastAsia="Arial" w:hAnsi="Arial"/>
                  <w:sz w:val="13"/>
                  <w:szCs w:val="13"/>
                  <w:color w:val="0000EE"/>
                  <w:w w:val="87"/>
                </w:rPr>
                <w:t>Consolidated Statement of Comprehensive Income</w:t>
              </w:r>
            </w:hyperlink>
          </w:p>
        </w:tc>
        <w:tc>
          <w:tcPr>
            <w:tcW w:w="1740" w:type="dxa"/>
            <w:vAlign w:val="bottom"/>
            <w:tcBorders>
              <w:bottom w:val="single" w:sz="8" w:color="CCEEFF"/>
            </w:tcBorders>
            <w:gridSpan w:val="2"/>
            <w:shd w:val="clear" w:color="auto" w:fill="CCEEFF"/>
          </w:tcPr>
          <w:p>
            <w:pPr>
              <w:spacing w:after="0"/>
              <w:rPr>
                <w:sz w:val="11"/>
                <w:szCs w:val="11"/>
                <w:color w:val="auto"/>
              </w:rPr>
            </w:pPr>
          </w:p>
        </w:tc>
        <w:tc>
          <w:tcPr>
            <w:tcW w:w="6860" w:type="dxa"/>
            <w:vAlign w:val="bottom"/>
            <w:tcBorders>
              <w:bottom w:val="single" w:sz="8" w:color="CCEEFF"/>
            </w:tcBorders>
            <w:shd w:val="clear" w:color="auto" w:fill="CCEEFF"/>
          </w:tcPr>
          <w:p>
            <w:pPr>
              <w:spacing w:after="0"/>
              <w:rPr>
                <w:sz w:val="11"/>
                <w:szCs w:val="11"/>
                <w:color w:val="auto"/>
              </w:rPr>
            </w:pPr>
          </w:p>
        </w:tc>
        <w:tc>
          <w:tcPr>
            <w:tcW w:w="80" w:type="dxa"/>
            <w:vAlign w:val="bottom"/>
            <w:tcBorders>
              <w:bottom w:val="single" w:sz="8" w:color="CCEEFF"/>
            </w:tcBorders>
            <w:shd w:val="clear" w:color="auto" w:fill="CCEEFF"/>
          </w:tcPr>
          <w:p>
            <w:pPr>
              <w:spacing w:after="0"/>
              <w:rPr>
                <w:sz w:val="11"/>
                <w:szCs w:val="11"/>
                <w:color w:val="auto"/>
              </w:rPr>
            </w:pPr>
          </w:p>
        </w:tc>
        <w:tc>
          <w:tcPr>
            <w:tcW w:w="180" w:type="dxa"/>
            <w:vAlign w:val="bottom"/>
            <w:tcBorders>
              <w:bottom w:val="single" w:sz="8" w:color="0000EE"/>
            </w:tcBorders>
            <w:shd w:val="clear" w:color="auto" w:fill="CCEEFF"/>
          </w:tcPr>
          <w:p>
            <w:pPr>
              <w:jc w:val="right"/>
              <w:spacing w:after="0" w:line="125" w:lineRule="exact"/>
              <w:rPr>
                <w:rFonts w:ascii="Arial" w:cs="Arial" w:eastAsia="Arial" w:hAnsi="Arial"/>
                <w:sz w:val="13"/>
                <w:szCs w:val="13"/>
                <w:color w:val="0000EE"/>
                <w:w w:val="81"/>
              </w:rPr>
            </w:pPr>
            <w:hyperlink w:anchor="page132">
              <w:r>
                <w:rPr>
                  <w:rFonts w:ascii="Arial" w:cs="Arial" w:eastAsia="Arial" w:hAnsi="Arial"/>
                  <w:sz w:val="13"/>
                  <w:szCs w:val="13"/>
                  <w:color w:val="0000EE"/>
                  <w:w w:val="81"/>
                </w:rPr>
                <w:t>F-7</w:t>
              </w:r>
            </w:hyperlink>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2320" w:type="dxa"/>
            <w:vAlign w:val="bottom"/>
            <w:tcBorders>
              <w:bottom w:val="single" w:sz="8" w:color="0000EE"/>
            </w:tcBorders>
            <w:gridSpan w:val="4"/>
          </w:tcPr>
          <w:p>
            <w:pPr>
              <w:spacing w:after="0" w:line="125" w:lineRule="exact"/>
              <w:rPr>
                <w:rFonts w:ascii="Arial" w:cs="Arial" w:eastAsia="Arial" w:hAnsi="Arial"/>
                <w:sz w:val="13"/>
                <w:szCs w:val="13"/>
                <w:color w:val="0000EE"/>
                <w:w w:val="87"/>
              </w:rPr>
            </w:pPr>
            <w:hyperlink w:anchor="page133">
              <w:r>
                <w:rPr>
                  <w:rFonts w:ascii="Arial" w:cs="Arial" w:eastAsia="Arial" w:hAnsi="Arial"/>
                  <w:sz w:val="13"/>
                  <w:szCs w:val="13"/>
                  <w:color w:val="0000EE"/>
                  <w:w w:val="87"/>
                </w:rPr>
                <w:t>Consolidated Statement of Changes in Equity</w:t>
              </w:r>
            </w:hyperlink>
          </w:p>
        </w:tc>
        <w:tc>
          <w:tcPr>
            <w:tcW w:w="2020" w:type="dxa"/>
            <w:vAlign w:val="bottom"/>
            <w:gridSpan w:val="4"/>
          </w:tcPr>
          <w:p>
            <w:pPr>
              <w:spacing w:after="0"/>
              <w:rPr>
                <w:sz w:val="11"/>
                <w:szCs w:val="11"/>
                <w:color w:val="auto"/>
              </w:rPr>
            </w:pPr>
          </w:p>
        </w:tc>
        <w:tc>
          <w:tcPr>
            <w:tcW w:w="68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80" w:type="dxa"/>
            <w:vAlign w:val="bottom"/>
            <w:tcBorders>
              <w:bottom w:val="single" w:sz="8" w:color="0000EE"/>
            </w:tcBorders>
          </w:tcPr>
          <w:p>
            <w:pPr>
              <w:jc w:val="right"/>
              <w:spacing w:after="0" w:line="125" w:lineRule="exact"/>
              <w:rPr>
                <w:rFonts w:ascii="Arial" w:cs="Arial" w:eastAsia="Arial" w:hAnsi="Arial"/>
                <w:sz w:val="13"/>
                <w:szCs w:val="13"/>
                <w:color w:val="0000EE"/>
                <w:w w:val="81"/>
              </w:rPr>
            </w:pPr>
            <w:hyperlink w:anchor="page133">
              <w:r>
                <w:rPr>
                  <w:rFonts w:ascii="Arial" w:cs="Arial" w:eastAsia="Arial" w:hAnsi="Arial"/>
                  <w:sz w:val="13"/>
                  <w:szCs w:val="13"/>
                  <w:color w:val="0000EE"/>
                  <w:w w:val="81"/>
                </w:rPr>
                <w:t>F-8</w:t>
              </w:r>
            </w:hyperlink>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1980" w:type="dxa"/>
            <w:vAlign w:val="bottom"/>
            <w:tcBorders>
              <w:bottom w:val="single" w:sz="8" w:color="0000EE"/>
            </w:tcBorders>
            <w:shd w:val="clear" w:color="auto" w:fill="CCEEFF"/>
          </w:tcPr>
          <w:p>
            <w:pPr>
              <w:spacing w:after="0" w:line="125" w:lineRule="exact"/>
              <w:rPr>
                <w:rFonts w:ascii="Arial" w:cs="Arial" w:eastAsia="Arial" w:hAnsi="Arial"/>
                <w:sz w:val="13"/>
                <w:szCs w:val="13"/>
                <w:color w:val="0000EE"/>
                <w:w w:val="87"/>
              </w:rPr>
            </w:pPr>
            <w:hyperlink w:anchor="page134">
              <w:r>
                <w:rPr>
                  <w:rFonts w:ascii="Arial" w:cs="Arial" w:eastAsia="Arial" w:hAnsi="Arial"/>
                  <w:sz w:val="13"/>
                  <w:szCs w:val="13"/>
                  <w:color w:val="0000EE"/>
                  <w:w w:val="87"/>
                </w:rPr>
                <w:t>Consolidated Statement of Cash Flows</w:t>
              </w:r>
            </w:hyperlink>
          </w:p>
        </w:tc>
        <w:tc>
          <w:tcPr>
            <w:tcW w:w="2360" w:type="dxa"/>
            <w:vAlign w:val="bottom"/>
            <w:tcBorders>
              <w:bottom w:val="single" w:sz="8" w:color="CCEEFF"/>
            </w:tcBorders>
            <w:gridSpan w:val="7"/>
            <w:shd w:val="clear" w:color="auto" w:fill="CCEEFF"/>
          </w:tcPr>
          <w:p>
            <w:pPr>
              <w:spacing w:after="0"/>
              <w:rPr>
                <w:sz w:val="11"/>
                <w:szCs w:val="11"/>
                <w:color w:val="auto"/>
              </w:rPr>
            </w:pPr>
          </w:p>
        </w:tc>
        <w:tc>
          <w:tcPr>
            <w:tcW w:w="6860" w:type="dxa"/>
            <w:vAlign w:val="bottom"/>
            <w:tcBorders>
              <w:bottom w:val="single" w:sz="8" w:color="CCEEFF"/>
            </w:tcBorders>
            <w:shd w:val="clear" w:color="auto" w:fill="CCEEFF"/>
          </w:tcPr>
          <w:p>
            <w:pPr>
              <w:spacing w:after="0"/>
              <w:rPr>
                <w:sz w:val="11"/>
                <w:szCs w:val="11"/>
                <w:color w:val="auto"/>
              </w:rPr>
            </w:pPr>
          </w:p>
        </w:tc>
        <w:tc>
          <w:tcPr>
            <w:tcW w:w="80" w:type="dxa"/>
            <w:vAlign w:val="bottom"/>
            <w:tcBorders>
              <w:bottom w:val="single" w:sz="8" w:color="CCEEFF"/>
            </w:tcBorders>
            <w:shd w:val="clear" w:color="auto" w:fill="CCEEFF"/>
          </w:tcPr>
          <w:p>
            <w:pPr>
              <w:spacing w:after="0"/>
              <w:rPr>
                <w:sz w:val="11"/>
                <w:szCs w:val="11"/>
                <w:color w:val="auto"/>
              </w:rPr>
            </w:pPr>
          </w:p>
        </w:tc>
        <w:tc>
          <w:tcPr>
            <w:tcW w:w="180" w:type="dxa"/>
            <w:vAlign w:val="bottom"/>
            <w:tcBorders>
              <w:bottom w:val="single" w:sz="8" w:color="0000EE"/>
            </w:tcBorders>
            <w:shd w:val="clear" w:color="auto" w:fill="CCEEFF"/>
          </w:tcPr>
          <w:p>
            <w:pPr>
              <w:jc w:val="right"/>
              <w:spacing w:after="0" w:line="125" w:lineRule="exact"/>
              <w:rPr>
                <w:rFonts w:ascii="Arial" w:cs="Arial" w:eastAsia="Arial" w:hAnsi="Arial"/>
                <w:sz w:val="13"/>
                <w:szCs w:val="13"/>
                <w:color w:val="0000EE"/>
                <w:w w:val="81"/>
              </w:rPr>
            </w:pPr>
            <w:hyperlink w:anchor="page134">
              <w:r>
                <w:rPr>
                  <w:rFonts w:ascii="Arial" w:cs="Arial" w:eastAsia="Arial" w:hAnsi="Arial"/>
                  <w:sz w:val="13"/>
                  <w:szCs w:val="13"/>
                  <w:color w:val="0000EE"/>
                  <w:w w:val="81"/>
                </w:rPr>
                <w:t>F-9</w:t>
              </w:r>
            </w:hyperlink>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5"/>
        </w:trPr>
        <w:tc>
          <w:tcPr>
            <w:tcW w:w="20" w:type="dxa"/>
            <w:vAlign w:val="bottom"/>
          </w:tcPr>
          <w:p>
            <w:pPr>
              <w:spacing w:after="0"/>
              <w:rPr>
                <w:sz w:val="10"/>
                <w:szCs w:val="10"/>
                <w:color w:val="auto"/>
              </w:rPr>
            </w:pPr>
          </w:p>
        </w:tc>
        <w:tc>
          <w:tcPr>
            <w:tcW w:w="2420" w:type="dxa"/>
            <w:vAlign w:val="bottom"/>
            <w:tcBorders>
              <w:bottom w:val="single" w:sz="8" w:color="0000EE"/>
            </w:tcBorders>
            <w:gridSpan w:val="5"/>
          </w:tcPr>
          <w:p>
            <w:pPr>
              <w:spacing w:after="0" w:line="125" w:lineRule="exact"/>
              <w:rPr>
                <w:rFonts w:ascii="Arial" w:cs="Arial" w:eastAsia="Arial" w:hAnsi="Arial"/>
                <w:sz w:val="13"/>
                <w:szCs w:val="13"/>
                <w:color w:val="0000EE"/>
                <w:w w:val="87"/>
              </w:rPr>
            </w:pPr>
            <w:hyperlink w:anchor="page135">
              <w:r>
                <w:rPr>
                  <w:rFonts w:ascii="Arial" w:cs="Arial" w:eastAsia="Arial" w:hAnsi="Arial"/>
                  <w:sz w:val="13"/>
                  <w:szCs w:val="13"/>
                  <w:color w:val="0000EE"/>
                  <w:w w:val="87"/>
                </w:rPr>
                <w:t>Notes to the Consolidated Financial Statements</w:t>
              </w:r>
            </w:hyperlink>
          </w:p>
        </w:tc>
        <w:tc>
          <w:tcPr>
            <w:tcW w:w="1920" w:type="dxa"/>
            <w:vAlign w:val="bottom"/>
            <w:gridSpan w:val="3"/>
          </w:tcPr>
          <w:p>
            <w:pPr>
              <w:spacing w:after="0"/>
              <w:rPr>
                <w:sz w:val="10"/>
                <w:szCs w:val="10"/>
                <w:color w:val="auto"/>
              </w:rPr>
            </w:pPr>
          </w:p>
        </w:tc>
        <w:tc>
          <w:tcPr>
            <w:tcW w:w="6860" w:type="dxa"/>
            <w:vAlign w:val="bottom"/>
          </w:tcPr>
          <w:p>
            <w:pPr>
              <w:spacing w:after="0"/>
              <w:rPr>
                <w:sz w:val="10"/>
                <w:szCs w:val="10"/>
                <w:color w:val="auto"/>
              </w:rPr>
            </w:pPr>
          </w:p>
        </w:tc>
        <w:tc>
          <w:tcPr>
            <w:tcW w:w="260" w:type="dxa"/>
            <w:vAlign w:val="bottom"/>
            <w:tcBorders>
              <w:bottom w:val="single" w:sz="8" w:color="0000EE"/>
            </w:tcBorders>
            <w:gridSpan w:val="2"/>
          </w:tcPr>
          <w:p>
            <w:pPr>
              <w:jc w:val="right"/>
              <w:spacing w:after="0" w:line="125" w:lineRule="exact"/>
              <w:rPr>
                <w:rFonts w:ascii="Arial" w:cs="Arial" w:eastAsia="Arial" w:hAnsi="Arial"/>
                <w:sz w:val="13"/>
                <w:szCs w:val="13"/>
                <w:color w:val="0000EE"/>
                <w:w w:val="89"/>
              </w:rPr>
            </w:pPr>
            <w:hyperlink w:anchor="page135">
              <w:r>
                <w:rPr>
                  <w:rFonts w:ascii="Arial" w:cs="Arial" w:eastAsia="Arial" w:hAnsi="Arial"/>
                  <w:sz w:val="13"/>
                  <w:szCs w:val="13"/>
                  <w:color w:val="0000EE"/>
                  <w:w w:val="89"/>
                </w:rPr>
                <w:t>F-10</w:t>
              </w:r>
            </w:hyperlink>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471"/>
        </w:trPr>
        <w:tc>
          <w:tcPr>
            <w:tcW w:w="20" w:type="dxa"/>
            <w:vAlign w:val="bottom"/>
          </w:tcPr>
          <w:p>
            <w:pPr>
              <w:spacing w:after="0"/>
              <w:rPr>
                <w:sz w:val="24"/>
                <w:szCs w:val="24"/>
                <w:color w:val="auto"/>
              </w:rPr>
            </w:pPr>
          </w:p>
        </w:tc>
        <w:tc>
          <w:tcPr>
            <w:tcW w:w="19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tcPr>
          <w:p>
            <w:pPr>
              <w:spacing w:after="0"/>
              <w:rPr>
                <w:sz w:val="24"/>
                <w:szCs w:val="24"/>
                <w:color w:val="auto"/>
              </w:rPr>
            </w:pPr>
          </w:p>
        </w:tc>
        <w:tc>
          <w:tcPr>
            <w:tcW w:w="7120" w:type="dxa"/>
            <w:vAlign w:val="bottom"/>
            <w:tcBorders>
              <w:bottom w:val="single" w:sz="8" w:color="auto"/>
            </w:tcBorders>
            <w:gridSpan w:val="3"/>
          </w:tcPr>
          <w:p>
            <w:pPr>
              <w:jc w:val="right"/>
              <w:ind w:right="5596"/>
              <w:spacing w:after="0"/>
              <w:rPr>
                <w:sz w:val="20"/>
                <w:szCs w:val="20"/>
                <w:color w:val="auto"/>
              </w:rPr>
            </w:pPr>
            <w:r>
              <w:rPr>
                <w:rFonts w:ascii="Arial" w:cs="Arial" w:eastAsia="Arial" w:hAnsi="Arial"/>
                <w:sz w:val="13"/>
                <w:szCs w:val="13"/>
                <w:color w:val="auto"/>
              </w:rPr>
              <w:t>F-2</w:t>
            </w: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0"/>
          </w:cols>
          <w:pgMar w:left="220" w:top="685" w:right="199" w:bottom="1440" w:gutter="0" w:footer="0" w:header="0"/>
        </w:sectPr>
      </w:pPr>
    </w:p>
    <w:bookmarkStart w:id="127" w:name="page128"/>
    <w:bookmarkEnd w:id="127"/>
    <w:p>
      <w:pPr>
        <w:ind w:left="3900"/>
        <w:spacing w:after="0"/>
        <w:rPr>
          <w:sz w:val="20"/>
          <w:szCs w:val="20"/>
          <w:color w:val="auto"/>
        </w:rPr>
      </w:pPr>
      <w:r>
        <w:rPr>
          <w:rFonts w:ascii="Arial" w:cs="Arial" w:eastAsia="Arial" w:hAnsi="Arial"/>
          <w:sz w:val="10"/>
          <w:szCs w:val="10"/>
          <w:b w:val="1"/>
          <w:bCs w:val="1"/>
          <w:color w:val="auto"/>
        </w:rPr>
        <w:t>KPMG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-61595</wp:posOffset>
            </wp:positionV>
            <wp:extent cx="727075" cy="38481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52">
                      <a:extLst>
                        <a:ext uri="{28A0092B-C50C-407E-A947-70E740481C1C}"/>
                      </a:extLst>
                    </a:blip>
                    <a:srcRect/>
                    <a:stretch>
                      <a:fillRect/>
                    </a:stretch>
                  </pic:blipFill>
                  <pic:spPr bwMode="auto">
                    <a:xfrm>
                      <a:off x="0" y="0"/>
                      <a:ext cx="727075" cy="384810"/>
                    </a:xfrm>
                    <a:prstGeom prst="rect">
                      <a:avLst/>
                    </a:prstGeom>
                    <a:noFill/>
                  </pic:spPr>
                </pic:pic>
              </a:graphicData>
            </a:graphic>
          </wp:anchor>
        </w:drawing>
      </w:r>
    </w:p>
    <w:p>
      <w:pPr>
        <w:ind w:left="3900"/>
        <w:spacing w:after="0"/>
        <w:rPr>
          <w:sz w:val="20"/>
          <w:szCs w:val="20"/>
          <w:color w:val="auto"/>
        </w:rPr>
      </w:pPr>
      <w:r>
        <w:rPr>
          <w:rFonts w:ascii="Arial" w:cs="Arial" w:eastAsia="Arial" w:hAnsi="Arial"/>
          <w:sz w:val="9"/>
          <w:szCs w:val="9"/>
          <w:color w:val="auto"/>
        </w:rPr>
        <w:t>Torre PDC, Ave. Samuel Lewis y</w:t>
      </w:r>
    </w:p>
    <w:p>
      <w:pPr>
        <w:ind w:left="3900"/>
        <w:spacing w:after="0" w:line="225" w:lineRule="auto"/>
        <w:rPr>
          <w:sz w:val="20"/>
          <w:szCs w:val="20"/>
          <w:color w:val="auto"/>
        </w:rPr>
      </w:pPr>
      <w:r>
        <w:rPr>
          <w:rFonts w:ascii="Arial" w:cs="Arial" w:eastAsia="Arial" w:hAnsi="Arial"/>
          <w:sz w:val="10"/>
          <w:szCs w:val="10"/>
          <w:color w:val="auto"/>
        </w:rPr>
        <w:t>Calle 56 Este, Obarrio</w:t>
      </w:r>
    </w:p>
    <w:p>
      <w:pPr>
        <w:ind w:left="3900"/>
        <w:spacing w:after="0"/>
        <w:rPr>
          <w:sz w:val="20"/>
          <w:szCs w:val="20"/>
          <w:color w:val="auto"/>
        </w:rPr>
      </w:pPr>
      <w:r>
        <w:rPr>
          <w:rFonts w:ascii="Arial" w:cs="Arial" w:eastAsia="Arial" w:hAnsi="Arial"/>
          <w:sz w:val="9"/>
          <w:szCs w:val="9"/>
          <w:color w:val="auto"/>
        </w:rPr>
        <w:t>Panamá, República de Panamá</w:t>
      </w:r>
    </w:p>
    <w:p>
      <w:pPr>
        <w:spacing w:after="0" w:line="20" w:lineRule="exact"/>
        <w:rPr>
          <w:sz w:val="20"/>
          <w:szCs w:val="20"/>
          <w:color w:val="auto"/>
        </w:rPr>
      </w:pPr>
      <w:r>
        <w:rPr>
          <w:sz w:val="20"/>
          <w:szCs w:val="20"/>
          <w:color w:val="auto"/>
        </w:rPr>
        <w:br w:type="column"/>
      </w:r>
    </w:p>
    <w:p>
      <w:pPr>
        <w:spacing w:after="0"/>
        <w:rPr>
          <w:sz w:val="20"/>
          <w:szCs w:val="20"/>
          <w:color w:val="auto"/>
        </w:rPr>
      </w:pPr>
      <w:r>
        <w:rPr>
          <w:rFonts w:ascii="Arial" w:cs="Arial" w:eastAsia="Arial" w:hAnsi="Arial"/>
          <w:sz w:val="9"/>
          <w:szCs w:val="9"/>
          <w:color w:val="auto"/>
        </w:rPr>
        <w:t>Teléfono: (507) 208-0700</w:t>
      </w:r>
    </w:p>
    <w:p>
      <w:pPr>
        <w:spacing w:after="0" w:line="10" w:lineRule="exact"/>
        <w:rPr>
          <w:sz w:val="20"/>
          <w:szCs w:val="20"/>
          <w:color w:val="auto"/>
        </w:rPr>
      </w:pPr>
    </w:p>
    <w:p>
      <w:pPr>
        <w:spacing w:after="0"/>
        <w:rPr>
          <w:sz w:val="20"/>
          <w:szCs w:val="20"/>
          <w:color w:val="auto"/>
        </w:rPr>
      </w:pPr>
      <w:r>
        <w:rPr>
          <w:rFonts w:ascii="Arial" w:cs="Arial" w:eastAsia="Arial" w:hAnsi="Arial"/>
          <w:sz w:val="10"/>
          <w:szCs w:val="10"/>
          <w:color w:val="auto"/>
        </w:rPr>
        <w:t>Website: kpmg.com.pa</w:t>
      </w:r>
    </w:p>
    <w:p>
      <w:pPr>
        <w:spacing w:after="0" w:line="400" w:lineRule="exact"/>
        <w:rPr>
          <w:sz w:val="20"/>
          <w:szCs w:val="20"/>
          <w:color w:val="auto"/>
        </w:rPr>
      </w:pPr>
    </w:p>
    <w:p>
      <w:pPr>
        <w:sectPr>
          <w:pgSz w:w="11900" w:h="16838" w:orient="portrait"/>
          <w:cols w:equalWidth="0" w:num="2">
            <w:col w:w="7080" w:space="720"/>
            <w:col w:w="3620"/>
          </w:cols>
          <w:pgMar w:left="220" w:top="835" w:right="259" w:bottom="1440" w:gutter="0" w:footer="0" w:header="0"/>
        </w:sectPr>
      </w:pPr>
    </w:p>
    <w:p>
      <w:pPr>
        <w:spacing w:after="0" w:line="151" w:lineRule="exact"/>
        <w:rPr>
          <w:sz w:val="20"/>
          <w:szCs w:val="20"/>
          <w:color w:val="auto"/>
        </w:rPr>
      </w:pPr>
    </w:p>
    <w:p>
      <w:pPr>
        <w:jc w:val="center"/>
        <w:ind w:right="-59"/>
        <w:spacing w:after="0"/>
        <w:rPr>
          <w:sz w:val="20"/>
          <w:szCs w:val="20"/>
          <w:color w:val="auto"/>
        </w:rPr>
      </w:pPr>
      <w:r>
        <w:rPr>
          <w:rFonts w:ascii="Arial" w:cs="Arial" w:eastAsia="Arial" w:hAnsi="Arial"/>
          <w:sz w:val="13"/>
          <w:szCs w:val="13"/>
          <w:b w:val="1"/>
          <w:bCs w:val="1"/>
          <w:color w:val="auto"/>
        </w:rPr>
        <w:t>Report of Independent Registered Public Accounting Firm</w:t>
      </w:r>
    </w:p>
    <w:p>
      <w:pPr>
        <w:spacing w:after="0" w:line="163" w:lineRule="exact"/>
        <w:rPr>
          <w:sz w:val="20"/>
          <w:szCs w:val="20"/>
          <w:color w:val="auto"/>
        </w:rPr>
      </w:pPr>
    </w:p>
    <w:p>
      <w:pPr>
        <w:spacing w:after="0"/>
        <w:rPr>
          <w:sz w:val="20"/>
          <w:szCs w:val="20"/>
          <w:color w:val="auto"/>
        </w:rPr>
      </w:pPr>
      <w:r>
        <w:rPr>
          <w:rFonts w:ascii="Arial" w:cs="Arial" w:eastAsia="Arial" w:hAnsi="Arial"/>
          <w:sz w:val="13"/>
          <w:szCs w:val="13"/>
          <w:color w:val="auto"/>
        </w:rPr>
        <w:t>To the Stockholders and Board of Directors</w:t>
      </w:r>
    </w:p>
    <w:p>
      <w:pPr>
        <w:spacing w:after="0" w:line="13" w:lineRule="exact"/>
        <w:rPr>
          <w:sz w:val="20"/>
          <w:szCs w:val="20"/>
          <w:color w:val="auto"/>
        </w:rPr>
      </w:pPr>
    </w:p>
    <w:p>
      <w:pPr>
        <w:spacing w:after="0"/>
        <w:rPr>
          <w:sz w:val="20"/>
          <w:szCs w:val="20"/>
          <w:color w:val="auto"/>
        </w:rPr>
      </w:pPr>
      <w:r>
        <w:rPr>
          <w:rFonts w:ascii="Arial" w:cs="Arial" w:eastAsia="Arial" w:hAnsi="Arial"/>
          <w:sz w:val="13"/>
          <w:szCs w:val="13"/>
          <w:color w:val="auto"/>
        </w:rPr>
        <w:t>Banco Latinoamericano de Comercio Exterior, S. A.:</w:t>
      </w:r>
    </w:p>
    <w:p>
      <w:pPr>
        <w:spacing w:after="0" w:line="150"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 xml:space="preserve">Opinion on the </w:t>
      </w:r>
      <w:r>
        <w:rPr>
          <w:rFonts w:ascii="Arial" w:cs="Arial" w:eastAsia="Arial" w:hAnsi="Arial"/>
          <w:sz w:val="13"/>
          <w:szCs w:val="13"/>
          <w:color w:val="auto"/>
        </w:rPr>
        <w:t>Consolidated</w:t>
      </w:r>
      <w:r>
        <w:rPr>
          <w:rFonts w:ascii="Arial" w:cs="Arial" w:eastAsia="Arial" w:hAnsi="Arial"/>
          <w:sz w:val="13"/>
          <w:szCs w:val="13"/>
          <w:i w:val="1"/>
          <w:iCs w:val="1"/>
          <w:color w:val="auto"/>
        </w:rPr>
        <w:t xml:space="preserve"> Financial Statements</w:t>
      </w:r>
    </w:p>
    <w:p>
      <w:pPr>
        <w:spacing w:after="0" w:line="159" w:lineRule="exact"/>
        <w:rPr>
          <w:sz w:val="20"/>
          <w:szCs w:val="20"/>
          <w:color w:val="auto"/>
        </w:rPr>
      </w:pPr>
    </w:p>
    <w:p>
      <w:pPr>
        <w:ind w:right="60"/>
        <w:spacing w:after="0" w:line="281" w:lineRule="auto"/>
        <w:rPr>
          <w:sz w:val="20"/>
          <w:szCs w:val="20"/>
          <w:color w:val="auto"/>
        </w:rPr>
      </w:pPr>
      <w:r>
        <w:rPr>
          <w:rFonts w:ascii="Arial" w:cs="Arial" w:eastAsia="Arial" w:hAnsi="Arial"/>
          <w:sz w:val="12"/>
          <w:szCs w:val="12"/>
          <w:color w:val="auto"/>
        </w:rPr>
        <w:t>We have audited the accompanying consolidated statement of financial position of Banco Latinoamericano de Comercio Exterior, S. A. and subsidiaries (the Bank) as of December 31, 2018, the related consolidated statements of profit or loss, comprehensive income, changes in equity, and cash flows for the year ended December 31, 2018 and the related notes (collectively, the consolidated financial statements). In our opinion, the consolidated financial statements present fairly, in all material respects, the financial position of the Bank as of December 31, 2018, and the results of its operations and its cash flows for the year ended December 31, 2018, in conformity with International Financial Reporting Standards as issued by the International Accounting Standards Board.</w:t>
      </w:r>
    </w:p>
    <w:p>
      <w:pPr>
        <w:spacing w:after="0" w:line="124" w:lineRule="exact"/>
        <w:rPr>
          <w:sz w:val="20"/>
          <w:szCs w:val="20"/>
          <w:color w:val="auto"/>
        </w:rPr>
      </w:pPr>
    </w:p>
    <w:p>
      <w:pPr>
        <w:spacing w:after="0" w:line="257" w:lineRule="auto"/>
        <w:rPr>
          <w:sz w:val="20"/>
          <w:szCs w:val="20"/>
          <w:color w:val="auto"/>
        </w:rPr>
      </w:pPr>
      <w:r>
        <w:rPr>
          <w:rFonts w:ascii="Arial" w:cs="Arial" w:eastAsia="Arial" w:hAnsi="Arial"/>
          <w:sz w:val="13"/>
          <w:szCs w:val="13"/>
          <w:color w:val="auto"/>
        </w:rPr>
        <w:t xml:space="preserve">We also have audited, in accordance with the standards of the Public Company Accounting Oversight Board (United States) (PCAOB), the Bank’s internal control over financial reporting as of December 31, 2018, based on criteria established in </w:t>
      </w:r>
      <w:r>
        <w:rPr>
          <w:rFonts w:ascii="Arial" w:cs="Arial" w:eastAsia="Arial" w:hAnsi="Arial"/>
          <w:sz w:val="13"/>
          <w:szCs w:val="13"/>
          <w:i w:val="1"/>
          <w:iCs w:val="1"/>
          <w:color w:val="auto"/>
        </w:rPr>
        <w:t>Internal Control – Integrated Framework (2013)</w:t>
      </w:r>
      <w:r>
        <w:rPr>
          <w:rFonts w:ascii="Arial" w:cs="Arial" w:eastAsia="Arial" w:hAnsi="Arial"/>
          <w:sz w:val="13"/>
          <w:szCs w:val="13"/>
          <w:color w:val="auto"/>
        </w:rPr>
        <w:t xml:space="preserve"> issued by the Committee of Sponsoring Organizations of the Treadway Commission, and our report dated April 30, 2019 expressed an unqualified opinion on the effectiveness of the Bank’s internal control over financial reporting.</w:t>
      </w:r>
    </w:p>
    <w:p>
      <w:pPr>
        <w:spacing w:after="0" w:line="136"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Basis for Opinion</w:t>
      </w:r>
    </w:p>
    <w:p>
      <w:pPr>
        <w:spacing w:after="0" w:line="159" w:lineRule="exact"/>
        <w:rPr>
          <w:sz w:val="20"/>
          <w:szCs w:val="20"/>
          <w:color w:val="auto"/>
        </w:rPr>
      </w:pPr>
    </w:p>
    <w:p>
      <w:pPr>
        <w:spacing w:after="0" w:line="257" w:lineRule="auto"/>
        <w:rPr>
          <w:sz w:val="20"/>
          <w:szCs w:val="20"/>
          <w:color w:val="auto"/>
        </w:rPr>
      </w:pPr>
      <w:r>
        <w:rPr>
          <w:rFonts w:ascii="Arial" w:cs="Arial" w:eastAsia="Arial" w:hAnsi="Arial"/>
          <w:sz w:val="13"/>
          <w:szCs w:val="13"/>
          <w:color w:val="auto"/>
        </w:rPr>
        <w:t>These consolidated financial statements are the responsibility of the Bank’s management. Our responsibility is to express an opinion on these consolidated financial statements based on our audit. We are a public accounting firm registered with the PCAOB and are required to be independent with respect to the Bank in accordance with the U.S. federal securities laws and the applicable rules and regulations of the Securities and Exchange Commission and the PCAOB.</w:t>
      </w:r>
    </w:p>
    <w:p>
      <w:pPr>
        <w:spacing w:after="0" w:line="136" w:lineRule="exact"/>
        <w:rPr>
          <w:sz w:val="20"/>
          <w:szCs w:val="20"/>
          <w:color w:val="auto"/>
        </w:rPr>
      </w:pPr>
    </w:p>
    <w:p>
      <w:pPr>
        <w:ind w:right="40"/>
        <w:spacing w:after="0" w:line="252" w:lineRule="auto"/>
        <w:rPr>
          <w:sz w:val="20"/>
          <w:szCs w:val="20"/>
          <w:color w:val="auto"/>
        </w:rPr>
      </w:pPr>
      <w:r>
        <w:rPr>
          <w:rFonts w:ascii="Arial" w:cs="Arial" w:eastAsia="Arial" w:hAnsi="Arial"/>
          <w:sz w:val="13"/>
          <w:szCs w:val="13"/>
          <w:color w:val="auto"/>
        </w:rPr>
        <w:t>We conducted our audit in accordance with the standards of the PCAOB. Those standards require that we plan and perform the audit to obtain reasonable assurance about whether the consolidated financial statements are free of material misstatement, whether due to error or fraud. Our audit included performing procedures to assess the risks of material misstatement of the consolidated financial statements, whether due to error or fraud, and performing procedures that respond to those risks. Such procedures included examining, on a test basis, evidence regarding the amounts and disclosures in the consolidated financial statements. Our audit also included evaluating the accounting principles used and significant estimates made by management, as well as evaluating the overall presentation of the consolidated financial statements. We believe that our audit provides a reasonable basis for our opinion.</w:t>
      </w:r>
    </w:p>
    <w:p>
      <w:pPr>
        <w:spacing w:after="0" w:line="139" w:lineRule="exact"/>
        <w:rPr>
          <w:sz w:val="20"/>
          <w:szCs w:val="20"/>
          <w:color w:val="auto"/>
        </w:rPr>
      </w:pPr>
    </w:p>
    <w:p>
      <w:pPr>
        <w:spacing w:after="0"/>
        <w:rPr>
          <w:sz w:val="20"/>
          <w:szCs w:val="20"/>
          <w:color w:val="auto"/>
        </w:rPr>
      </w:pPr>
      <w:r>
        <w:rPr>
          <w:rFonts w:ascii="Arial" w:cs="Arial" w:eastAsia="Arial" w:hAnsi="Arial"/>
          <w:sz w:val="13"/>
          <w:szCs w:val="13"/>
          <w:color w:val="auto"/>
        </w:rPr>
        <w:t>/s/ KPMG</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We have served as the Bank’s auditor since 2018.</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Panama City, Republic of Panama</w:t>
      </w:r>
    </w:p>
    <w:p>
      <w:pPr>
        <w:spacing w:after="0" w:line="13" w:lineRule="exact"/>
        <w:rPr>
          <w:sz w:val="20"/>
          <w:szCs w:val="20"/>
          <w:color w:val="auto"/>
        </w:rPr>
      </w:pPr>
    </w:p>
    <w:p>
      <w:pPr>
        <w:spacing w:after="0"/>
        <w:rPr>
          <w:sz w:val="20"/>
          <w:szCs w:val="20"/>
          <w:color w:val="auto"/>
        </w:rPr>
      </w:pPr>
      <w:r>
        <w:rPr>
          <w:rFonts w:ascii="Arial" w:cs="Arial" w:eastAsia="Arial" w:hAnsi="Arial"/>
          <w:sz w:val="13"/>
          <w:szCs w:val="13"/>
          <w:color w:val="auto"/>
        </w:rPr>
        <w:t>April 30, 2019</w:t>
      </w:r>
    </w:p>
    <w:p>
      <w:pPr>
        <w:spacing w:after="0" w:line="304" w:lineRule="exact"/>
        <w:rPr>
          <w:sz w:val="20"/>
          <w:szCs w:val="20"/>
          <w:color w:val="auto"/>
        </w:rPr>
      </w:pPr>
    </w:p>
    <w:p>
      <w:pPr>
        <w:jc w:val="center"/>
        <w:ind w:right="-59"/>
        <w:spacing w:after="0"/>
        <w:rPr>
          <w:sz w:val="20"/>
          <w:szCs w:val="20"/>
          <w:color w:val="auto"/>
        </w:rPr>
      </w:pPr>
      <w:r>
        <w:rPr>
          <w:rFonts w:ascii="Arial" w:cs="Arial" w:eastAsia="Arial" w:hAnsi="Arial"/>
          <w:sz w:val="13"/>
          <w:szCs w:val="13"/>
          <w:color w:val="auto"/>
        </w:rPr>
        <w:t>F-3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5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20"/>
          </w:cols>
          <w:pgMar w:left="220" w:top="835" w:right="259" w:bottom="1440" w:gutter="0" w:footer="0" w:header="0"/>
          <w:type w:val="continuous"/>
        </w:sectPr>
      </w:pPr>
    </w:p>
    <w:bookmarkStart w:id="128" w:name="page129"/>
    <w:bookmarkEnd w:id="128"/>
    <w:p>
      <w:pPr>
        <w:ind w:left="9180"/>
        <w:spacing w:after="0"/>
        <w:rPr>
          <w:sz w:val="20"/>
          <w:szCs w:val="20"/>
          <w:color w:val="auto"/>
        </w:rPr>
      </w:pPr>
      <w:r>
        <w:rPr>
          <w:rFonts w:ascii="Arial" w:cs="Arial" w:eastAsia="Arial" w:hAnsi="Arial"/>
          <w:sz w:val="10"/>
          <w:szCs w:val="10"/>
          <w:b w:val="1"/>
          <w:bCs w:val="1"/>
          <w:color w:val="auto"/>
        </w:rPr>
        <w:t>Deloitte, lnc.</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-61595</wp:posOffset>
            </wp:positionV>
            <wp:extent cx="1149350" cy="28702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54">
                      <a:extLst>
                        <a:ext uri="{28A0092B-C50C-407E-A947-70E740481C1C}"/>
                      </a:extLst>
                    </a:blip>
                    <a:srcRect/>
                    <a:stretch>
                      <a:fillRect/>
                    </a:stretch>
                  </pic:blipFill>
                  <pic:spPr bwMode="auto">
                    <a:xfrm>
                      <a:off x="0" y="0"/>
                      <a:ext cx="1149350" cy="287020"/>
                    </a:xfrm>
                    <a:prstGeom prst="rect">
                      <a:avLst/>
                    </a:prstGeom>
                    <a:noFill/>
                  </pic:spPr>
                </pic:pic>
              </a:graphicData>
            </a:graphic>
          </wp:anchor>
        </w:drawing>
      </w:r>
    </w:p>
    <w:p>
      <w:pPr>
        <w:ind w:left="9180"/>
        <w:spacing w:after="0" w:line="227" w:lineRule="auto"/>
        <w:rPr>
          <w:sz w:val="20"/>
          <w:szCs w:val="20"/>
          <w:color w:val="auto"/>
        </w:rPr>
      </w:pPr>
      <w:r>
        <w:rPr>
          <w:rFonts w:ascii="Arial" w:cs="Arial" w:eastAsia="Arial" w:hAnsi="Arial"/>
          <w:sz w:val="10"/>
          <w:szCs w:val="10"/>
          <w:color w:val="auto"/>
        </w:rPr>
        <w:t>Contadores Públicos Autorizados</w:t>
      </w:r>
    </w:p>
    <w:p>
      <w:pPr>
        <w:ind w:left="9180"/>
        <w:spacing w:after="0" w:line="221" w:lineRule="auto"/>
        <w:rPr>
          <w:sz w:val="20"/>
          <w:szCs w:val="20"/>
          <w:color w:val="auto"/>
        </w:rPr>
      </w:pPr>
      <w:r>
        <w:rPr>
          <w:rFonts w:ascii="Arial" w:cs="Arial" w:eastAsia="Arial" w:hAnsi="Arial"/>
          <w:sz w:val="10"/>
          <w:szCs w:val="10"/>
          <w:color w:val="auto"/>
        </w:rPr>
        <w:t>RUC 16292-152-155203 D.V. 65</w:t>
      </w:r>
    </w:p>
    <w:p>
      <w:pPr>
        <w:ind w:left="9180"/>
        <w:spacing w:after="0" w:line="220" w:lineRule="auto"/>
        <w:rPr>
          <w:sz w:val="20"/>
          <w:szCs w:val="20"/>
          <w:color w:val="auto"/>
        </w:rPr>
      </w:pPr>
      <w:r>
        <w:rPr>
          <w:rFonts w:ascii="Arial" w:cs="Arial" w:eastAsia="Arial" w:hAnsi="Arial"/>
          <w:sz w:val="10"/>
          <w:szCs w:val="10"/>
          <w:color w:val="auto"/>
        </w:rPr>
        <w:t>Torre Banco Panamá, piso 12</w:t>
      </w:r>
    </w:p>
    <w:p>
      <w:pPr>
        <w:ind w:left="9180"/>
        <w:spacing w:after="0" w:line="221" w:lineRule="auto"/>
        <w:rPr>
          <w:sz w:val="20"/>
          <w:szCs w:val="20"/>
          <w:color w:val="auto"/>
        </w:rPr>
      </w:pPr>
      <w:r>
        <w:rPr>
          <w:rFonts w:ascii="Arial" w:cs="Arial" w:eastAsia="Arial" w:hAnsi="Arial"/>
          <w:sz w:val="10"/>
          <w:szCs w:val="10"/>
          <w:color w:val="auto"/>
        </w:rPr>
        <w:t>Avenida Boulevard y la Rotonda</w:t>
      </w:r>
    </w:p>
    <w:p>
      <w:pPr>
        <w:ind w:left="9180"/>
        <w:spacing w:after="0" w:line="221" w:lineRule="auto"/>
        <w:rPr>
          <w:sz w:val="20"/>
          <w:szCs w:val="20"/>
          <w:color w:val="auto"/>
        </w:rPr>
      </w:pPr>
      <w:r>
        <w:rPr>
          <w:rFonts w:ascii="Arial" w:cs="Arial" w:eastAsia="Arial" w:hAnsi="Arial"/>
          <w:sz w:val="10"/>
          <w:szCs w:val="10"/>
          <w:color w:val="auto"/>
        </w:rPr>
        <w:t>Costa del Este, Panamá</w:t>
      </w:r>
    </w:p>
    <w:p>
      <w:pPr>
        <w:ind w:left="9180"/>
        <w:spacing w:after="0" w:line="221" w:lineRule="auto"/>
        <w:rPr>
          <w:sz w:val="20"/>
          <w:szCs w:val="20"/>
          <w:color w:val="auto"/>
        </w:rPr>
      </w:pPr>
      <w:r>
        <w:rPr>
          <w:rFonts w:ascii="Arial" w:cs="Arial" w:eastAsia="Arial" w:hAnsi="Arial"/>
          <w:sz w:val="10"/>
          <w:szCs w:val="10"/>
          <w:color w:val="auto"/>
        </w:rPr>
        <w:t>Apartado 0816-01558</w:t>
      </w:r>
    </w:p>
    <w:p>
      <w:pPr>
        <w:ind w:left="9180"/>
        <w:spacing w:after="0"/>
        <w:rPr>
          <w:sz w:val="20"/>
          <w:szCs w:val="20"/>
          <w:color w:val="auto"/>
        </w:rPr>
      </w:pPr>
      <w:r>
        <w:rPr>
          <w:rFonts w:ascii="Arial" w:cs="Arial" w:eastAsia="Arial" w:hAnsi="Arial"/>
          <w:sz w:val="10"/>
          <w:szCs w:val="10"/>
          <w:color w:val="auto"/>
        </w:rPr>
        <w:t>Panamá, Rep. de Panamá</w:t>
      </w:r>
    </w:p>
    <w:p>
      <w:pPr>
        <w:spacing w:after="0" w:line="88" w:lineRule="exact"/>
        <w:rPr>
          <w:sz w:val="20"/>
          <w:szCs w:val="20"/>
          <w:color w:val="auto"/>
        </w:rPr>
      </w:pPr>
    </w:p>
    <w:p>
      <w:pPr>
        <w:ind w:left="9180"/>
        <w:spacing w:after="0"/>
        <w:rPr>
          <w:sz w:val="20"/>
          <w:szCs w:val="20"/>
          <w:color w:val="auto"/>
        </w:rPr>
      </w:pPr>
      <w:r>
        <w:rPr>
          <w:rFonts w:ascii="Arial" w:cs="Arial" w:eastAsia="Arial" w:hAnsi="Arial"/>
          <w:sz w:val="10"/>
          <w:szCs w:val="10"/>
          <w:color w:val="auto"/>
        </w:rPr>
        <w:t>Teléfono: (507) 303-4100</w:t>
      </w:r>
    </w:p>
    <w:p>
      <w:pPr>
        <w:ind w:left="9180"/>
        <w:spacing w:after="0" w:line="220" w:lineRule="auto"/>
        <w:rPr>
          <w:sz w:val="20"/>
          <w:szCs w:val="20"/>
          <w:color w:val="auto"/>
        </w:rPr>
      </w:pPr>
      <w:r>
        <w:rPr>
          <w:rFonts w:ascii="Arial" w:cs="Arial" w:eastAsia="Arial" w:hAnsi="Arial"/>
          <w:sz w:val="10"/>
          <w:szCs w:val="10"/>
          <w:color w:val="auto"/>
        </w:rPr>
        <w:t>Fax: (507) 269-2386</w:t>
      </w:r>
    </w:p>
    <w:p>
      <w:pPr>
        <w:ind w:left="9180"/>
        <w:spacing w:after="0" w:line="221" w:lineRule="auto"/>
        <w:rPr>
          <w:sz w:val="20"/>
          <w:szCs w:val="20"/>
          <w:color w:val="auto"/>
        </w:rPr>
      </w:pPr>
      <w:r>
        <w:rPr>
          <w:rFonts w:ascii="Arial" w:cs="Arial" w:eastAsia="Arial" w:hAnsi="Arial"/>
          <w:sz w:val="10"/>
          <w:szCs w:val="10"/>
          <w:color w:val="auto"/>
        </w:rPr>
        <w:t>infopanama@deloitte.com</w:t>
      </w:r>
    </w:p>
    <w:p>
      <w:pPr>
        <w:ind w:left="9180"/>
        <w:spacing w:after="0"/>
        <w:rPr>
          <w:sz w:val="20"/>
          <w:szCs w:val="20"/>
          <w:color w:val="auto"/>
        </w:rPr>
      </w:pPr>
      <w:r>
        <w:rPr>
          <w:rFonts w:ascii="Arial" w:cs="Arial" w:eastAsia="Arial" w:hAnsi="Arial"/>
          <w:sz w:val="10"/>
          <w:szCs w:val="10"/>
          <w:color w:val="auto"/>
        </w:rPr>
        <w:t>www.deloitte.com/pa</w:t>
      </w:r>
    </w:p>
    <w:p>
      <w:pPr>
        <w:spacing w:after="0" w:line="329" w:lineRule="exact"/>
        <w:rPr>
          <w:sz w:val="20"/>
          <w:szCs w:val="20"/>
          <w:color w:val="auto"/>
        </w:rPr>
      </w:pPr>
    </w:p>
    <w:p>
      <w:pPr>
        <w:jc w:val="center"/>
        <w:spacing w:after="0"/>
        <w:rPr>
          <w:sz w:val="20"/>
          <w:szCs w:val="20"/>
          <w:color w:val="auto"/>
        </w:rPr>
      </w:pPr>
      <w:r>
        <w:rPr>
          <w:rFonts w:ascii="Arial" w:cs="Arial" w:eastAsia="Arial" w:hAnsi="Arial"/>
          <w:sz w:val="13"/>
          <w:szCs w:val="13"/>
          <w:b w:val="1"/>
          <w:bCs w:val="1"/>
          <w:u w:val="single" w:color="auto"/>
          <w:color w:val="auto"/>
        </w:rPr>
        <w:t>REPORT OF INDEPENDENT REGISTERED PUBLIC ACCOUNTING FIRM</w:t>
      </w:r>
    </w:p>
    <w:p>
      <w:pPr>
        <w:spacing w:after="0" w:line="163" w:lineRule="exact"/>
        <w:rPr>
          <w:sz w:val="20"/>
          <w:szCs w:val="20"/>
          <w:color w:val="auto"/>
        </w:rPr>
      </w:pPr>
    </w:p>
    <w:p>
      <w:pPr>
        <w:spacing w:after="0"/>
        <w:rPr>
          <w:sz w:val="20"/>
          <w:szCs w:val="20"/>
          <w:color w:val="auto"/>
        </w:rPr>
      </w:pPr>
      <w:r>
        <w:rPr>
          <w:rFonts w:ascii="Arial" w:cs="Arial" w:eastAsia="Arial" w:hAnsi="Arial"/>
          <w:sz w:val="13"/>
          <w:szCs w:val="13"/>
          <w:color w:val="auto"/>
        </w:rPr>
        <w:t>To the Board of Directors and Stockholders of</w:t>
      </w:r>
    </w:p>
    <w:p>
      <w:pPr>
        <w:spacing w:after="0" w:line="13"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Banco Latinoamericano de Comercio Exterior, S.A.</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color w:val="auto"/>
        </w:rPr>
        <w:t>Panama, Republic of Panama</w:t>
      </w:r>
    </w:p>
    <w:p>
      <w:pPr>
        <w:spacing w:after="0" w:line="146"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Opinion on the Consolidated Financial Statements</w:t>
      </w:r>
    </w:p>
    <w:p>
      <w:pPr>
        <w:spacing w:after="0" w:line="163" w:lineRule="exact"/>
        <w:rPr>
          <w:sz w:val="20"/>
          <w:szCs w:val="20"/>
          <w:color w:val="auto"/>
        </w:rPr>
      </w:pPr>
    </w:p>
    <w:p>
      <w:pPr>
        <w:jc w:val="both"/>
        <w:spacing w:after="0" w:line="314" w:lineRule="auto"/>
        <w:rPr>
          <w:sz w:val="20"/>
          <w:szCs w:val="20"/>
          <w:color w:val="auto"/>
        </w:rPr>
      </w:pPr>
      <w:r>
        <w:rPr>
          <w:rFonts w:ascii="Arial" w:cs="Arial" w:eastAsia="Arial" w:hAnsi="Arial"/>
          <w:sz w:val="11"/>
          <w:szCs w:val="11"/>
          <w:color w:val="auto"/>
        </w:rPr>
        <w:t>We have audited the accompanying consolidated statements of financial position of Banco Latinoamericano de Comercio Exterior, S.A. and subsidiaries (the "Bank") as of December 31, 2017, and the related consolidated statements of profit or loss, profit or loss and other comprehensive income, changes in equity, and cash flows for each of the two years in the period ended December 31, 2017 and the related notes (collectively referred to as the "consolidated financial statements"). In our opinion, such consolidated financial statements present fairly, in all material respects, the financial position of the Bank as of December 31, 2017 and the results of their operations and their cash flows for each of the two years in the period ended December 31, 2017, in conformity with International Financial Reporting Standards, as issued by the International Accounting Standards Board.</w:t>
      </w:r>
    </w:p>
    <w:p>
      <w:pPr>
        <w:spacing w:after="0" w:line="104"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Basis for Opinion</w:t>
      </w:r>
    </w:p>
    <w:p>
      <w:pPr>
        <w:spacing w:after="0" w:line="163"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These consolidated financial statements are the responsibility of the Bank's management. Our responsibility is to express an opinion on the Bank’s consolidated financial statements based on our audits. We are a public accounting firm registered with the PCAOB and are required to be independent with respect to the Bank in accordance with the U.S. federal securities laws and the applicable rules and regulations of the Securities and Exchange Commission and the PCAOB.</w:t>
      </w:r>
    </w:p>
    <w:p>
      <w:pPr>
        <w:spacing w:after="0" w:line="136" w:lineRule="exact"/>
        <w:rPr>
          <w:sz w:val="20"/>
          <w:szCs w:val="20"/>
          <w:color w:val="auto"/>
        </w:rPr>
      </w:pPr>
    </w:p>
    <w:p>
      <w:pPr>
        <w:jc w:val="both"/>
        <w:ind w:right="20"/>
        <w:spacing w:after="0" w:line="252" w:lineRule="auto"/>
        <w:rPr>
          <w:sz w:val="20"/>
          <w:szCs w:val="20"/>
          <w:color w:val="auto"/>
        </w:rPr>
      </w:pPr>
      <w:r>
        <w:rPr>
          <w:rFonts w:ascii="Arial" w:cs="Arial" w:eastAsia="Arial" w:hAnsi="Arial"/>
          <w:sz w:val="13"/>
          <w:szCs w:val="13"/>
          <w:color w:val="auto"/>
        </w:rPr>
        <w:t>We conducted our audits in accordance with the standards of the PCAOB. Those standards require that we plan and perform the audit to obtain reasonable assurance about whether the consolidated financial statements are free of material misstatement, whether due to error or fraud. Our audits included performing procedures to assess the risks of material misstatement of the consolidated financial statements, whether due to error or fraud, and performing procedures that respond to those risks. Such procedures included examining, on a test basis, evidence regarding the amounts and disclosures in the consolidated financial statements. Our audits also included evaluating the accounting principles used and significant estimates made by management, as well as evaluating the overall presentation of the consolidated financial statements. We believe that our audits provide a reasonable basis for our opinion.</w:t>
      </w:r>
    </w:p>
    <w:p>
      <w:pPr>
        <w:spacing w:after="0" w:line="139" w:lineRule="exact"/>
        <w:rPr>
          <w:sz w:val="20"/>
          <w:szCs w:val="20"/>
          <w:color w:val="auto"/>
        </w:rPr>
      </w:pPr>
    </w:p>
    <w:p>
      <w:pPr>
        <w:spacing w:after="0"/>
        <w:rPr>
          <w:sz w:val="20"/>
          <w:szCs w:val="20"/>
          <w:color w:val="auto"/>
        </w:rPr>
      </w:pPr>
      <w:r>
        <w:rPr>
          <w:rFonts w:ascii="Arial" w:cs="Arial" w:eastAsia="Arial" w:hAnsi="Arial"/>
          <w:sz w:val="13"/>
          <w:szCs w:val="13"/>
          <w:color w:val="auto"/>
        </w:rPr>
        <w:t>/s/ Deloitte</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April 30, 2018 (April 30, 2019 as to the effects of the restatement discussed in Note 2.3)</w:t>
      </w:r>
    </w:p>
    <w:p>
      <w:pPr>
        <w:spacing w:after="0" w:line="13" w:lineRule="exact"/>
        <w:rPr>
          <w:sz w:val="20"/>
          <w:szCs w:val="20"/>
          <w:color w:val="auto"/>
        </w:rPr>
      </w:pPr>
    </w:p>
    <w:p>
      <w:pPr>
        <w:spacing w:after="0"/>
        <w:rPr>
          <w:sz w:val="20"/>
          <w:szCs w:val="20"/>
          <w:color w:val="auto"/>
        </w:rPr>
      </w:pPr>
      <w:r>
        <w:rPr>
          <w:rFonts w:ascii="Arial" w:cs="Arial" w:eastAsia="Arial" w:hAnsi="Arial"/>
          <w:sz w:val="13"/>
          <w:szCs w:val="13"/>
          <w:color w:val="auto"/>
        </w:rPr>
        <w:t>Panama, Republic of Panama</w:t>
      </w:r>
    </w:p>
    <w:p>
      <w:pPr>
        <w:spacing w:after="0" w:line="299" w:lineRule="exact"/>
        <w:rPr>
          <w:sz w:val="20"/>
          <w:szCs w:val="20"/>
          <w:color w:val="auto"/>
        </w:rPr>
      </w:pPr>
    </w:p>
    <w:p>
      <w:pPr>
        <w:ind w:left="9180"/>
        <w:spacing w:after="0"/>
        <w:rPr>
          <w:sz w:val="20"/>
          <w:szCs w:val="20"/>
          <w:color w:val="auto"/>
        </w:rPr>
      </w:pPr>
      <w:r>
        <w:rPr>
          <w:rFonts w:ascii="Arial" w:cs="Arial" w:eastAsia="Arial" w:hAnsi="Arial"/>
          <w:sz w:val="10"/>
          <w:szCs w:val="10"/>
          <w:color w:val="auto"/>
        </w:rPr>
        <w:t>Deloitte LATCO</w:t>
      </w:r>
    </w:p>
    <w:p>
      <w:pPr>
        <w:ind w:left="9180"/>
        <w:spacing w:after="0" w:line="220" w:lineRule="auto"/>
        <w:rPr>
          <w:sz w:val="20"/>
          <w:szCs w:val="20"/>
          <w:color w:val="auto"/>
        </w:rPr>
      </w:pPr>
      <w:r>
        <w:rPr>
          <w:rFonts w:ascii="Arial" w:cs="Arial" w:eastAsia="Arial" w:hAnsi="Arial"/>
          <w:sz w:val="10"/>
          <w:szCs w:val="10"/>
          <w:color w:val="auto"/>
        </w:rPr>
        <w:t>Firma miembro de</w:t>
      </w:r>
    </w:p>
    <w:p>
      <w:pPr>
        <w:ind w:left="9180"/>
        <w:spacing w:after="0"/>
        <w:rPr>
          <w:sz w:val="20"/>
          <w:szCs w:val="20"/>
          <w:color w:val="auto"/>
        </w:rPr>
      </w:pPr>
      <w:r>
        <w:rPr>
          <w:rFonts w:ascii="Arial" w:cs="Arial" w:eastAsia="Arial" w:hAnsi="Arial"/>
          <w:sz w:val="10"/>
          <w:szCs w:val="10"/>
          <w:color w:val="auto"/>
        </w:rPr>
        <w:t>Deloitte Touche Tohmatsu Limited</w:t>
      </w:r>
    </w:p>
    <w:p>
      <w:pPr>
        <w:spacing w:after="0" w:line="295"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F-4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5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1" w:right="199" w:bottom="1440" w:gutter="0" w:footer="0" w:header="0"/>
        </w:sectPr>
      </w:pPr>
    </w:p>
    <w:bookmarkStart w:id="129" w:name="page130"/>
    <w:bookmarkEnd w:id="129"/>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Consolidated statement of financial position</w:t>
      </w:r>
    </w:p>
    <w:p>
      <w:pPr>
        <w:spacing w:after="0" w:line="17"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December 31, 2018</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5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tbl>
      <w:tblPr>
        <w:tblLayout w:type="fixed"/>
        <w:tblInd w:w="0" w:type="dxa"/>
        <w:tblCellMar>
          <w:top w:w="0" w:type="dxa"/>
          <w:left w:w="0" w:type="dxa"/>
          <w:bottom w:w="0" w:type="dxa"/>
          <w:right w:w="0" w:type="dxa"/>
        </w:tblCellMar>
      </w:tblPr>
      <w:tr>
        <w:trPr>
          <w:trHeight w:val="176"/>
        </w:trPr>
        <w:tc>
          <w:tcPr>
            <w:tcW w:w="20" w:type="dxa"/>
            <w:vAlign w:val="bottom"/>
          </w:tcPr>
          <w:p>
            <w:pPr>
              <w:spacing w:after="0"/>
              <w:rPr>
                <w:sz w:val="15"/>
                <w:szCs w:val="15"/>
                <w:color w:val="auto"/>
              </w:rPr>
            </w:pPr>
          </w:p>
        </w:tc>
        <w:tc>
          <w:tcPr>
            <w:tcW w:w="5860" w:type="dxa"/>
            <w:vAlign w:val="bottom"/>
            <w:tcBorders>
              <w:bottom w:val="single" w:sz="8" w:color="CCEEFF"/>
            </w:tcBorders>
          </w:tcPr>
          <w:p>
            <w:pPr>
              <w:spacing w:after="0"/>
              <w:rPr>
                <w:sz w:val="15"/>
                <w:szCs w:val="15"/>
                <w:color w:val="auto"/>
              </w:rPr>
            </w:pPr>
          </w:p>
        </w:tc>
        <w:tc>
          <w:tcPr>
            <w:tcW w:w="2740" w:type="dxa"/>
            <w:vAlign w:val="bottom"/>
            <w:tcBorders>
              <w:bottom w:val="single" w:sz="8" w:color="CCEEFF"/>
            </w:tcBorders>
          </w:tcPr>
          <w:p>
            <w:pPr>
              <w:ind w:left="2000"/>
              <w:spacing w:after="0"/>
              <w:rPr>
                <w:sz w:val="20"/>
                <w:szCs w:val="20"/>
                <w:color w:val="auto"/>
              </w:rPr>
            </w:pPr>
            <w:r>
              <w:rPr>
                <w:rFonts w:ascii="Arial" w:cs="Arial" w:eastAsia="Arial" w:hAnsi="Arial"/>
                <w:sz w:val="13"/>
                <w:szCs w:val="13"/>
                <w:b w:val="1"/>
                <w:bCs w:val="1"/>
                <w:color w:val="auto"/>
              </w:rPr>
              <w:t>Notes</w:t>
            </w:r>
          </w:p>
        </w:tc>
        <w:tc>
          <w:tcPr>
            <w:tcW w:w="1260" w:type="dxa"/>
            <w:vAlign w:val="bottom"/>
            <w:tcBorders>
              <w:bottom w:val="single" w:sz="8" w:color="auto"/>
            </w:tcBorders>
          </w:tcPr>
          <w:p>
            <w:pPr>
              <w:jc w:val="right"/>
              <w:ind w:right="436"/>
              <w:spacing w:after="0"/>
              <w:rPr>
                <w:sz w:val="20"/>
                <w:szCs w:val="20"/>
                <w:color w:val="auto"/>
              </w:rPr>
            </w:pPr>
            <w:r>
              <w:rPr>
                <w:rFonts w:ascii="Arial" w:cs="Arial" w:eastAsia="Arial" w:hAnsi="Arial"/>
                <w:sz w:val="13"/>
                <w:szCs w:val="13"/>
                <w:b w:val="1"/>
                <w:bCs w:val="1"/>
                <w:color w:val="auto"/>
              </w:rPr>
              <w:t>2018</w:t>
            </w:r>
          </w:p>
        </w:tc>
        <w:tc>
          <w:tcPr>
            <w:tcW w:w="240" w:type="dxa"/>
            <w:vAlign w:val="bottom"/>
            <w:tcBorders>
              <w:bottom w:val="single" w:sz="8" w:color="CCEEFF"/>
            </w:tcBorders>
          </w:tcPr>
          <w:p>
            <w:pPr>
              <w:spacing w:after="0"/>
              <w:rPr>
                <w:sz w:val="15"/>
                <w:szCs w:val="15"/>
                <w:color w:val="auto"/>
              </w:rPr>
            </w:pPr>
          </w:p>
        </w:tc>
        <w:tc>
          <w:tcPr>
            <w:tcW w:w="1240" w:type="dxa"/>
            <w:vAlign w:val="bottom"/>
            <w:tcBorders>
              <w:bottom w:val="single" w:sz="8" w:color="auto"/>
            </w:tcBorders>
          </w:tcPr>
          <w:p>
            <w:pPr>
              <w:jc w:val="right"/>
              <w:ind w:right="436"/>
              <w:spacing w:after="0"/>
              <w:rPr>
                <w:sz w:val="20"/>
                <w:szCs w:val="20"/>
                <w:color w:val="auto"/>
              </w:rPr>
            </w:pPr>
            <w:r>
              <w:rPr>
                <w:rFonts w:ascii="Arial" w:cs="Arial" w:eastAsia="Arial" w:hAnsi="Arial"/>
                <w:sz w:val="13"/>
                <w:szCs w:val="13"/>
                <w:b w:val="1"/>
                <w:bCs w:val="1"/>
                <w:color w:val="auto"/>
              </w:rPr>
              <w:t>2017</w:t>
            </w:r>
          </w:p>
        </w:tc>
        <w:tc>
          <w:tcPr>
            <w:tcW w:w="120" w:type="dxa"/>
            <w:vAlign w:val="bottom"/>
            <w:tcBorders>
              <w:bottom w:val="single" w:sz="8" w:color="CCEEFF"/>
            </w:tcBorders>
          </w:tcPr>
          <w:p>
            <w:pPr>
              <w:spacing w:after="0"/>
              <w:rPr>
                <w:sz w:val="15"/>
                <w:szCs w:val="15"/>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860" w:type="dxa"/>
            <w:vAlign w:val="bottom"/>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Assets</w:t>
            </w:r>
          </w:p>
        </w:tc>
        <w:tc>
          <w:tcPr>
            <w:tcW w:w="2740" w:type="dxa"/>
            <w:vAlign w:val="bottom"/>
            <w:shd w:val="clear" w:color="auto" w:fill="CCEEFF"/>
          </w:tcPr>
          <w:p>
            <w:pPr>
              <w:spacing w:after="0"/>
              <w:rPr>
                <w:sz w:val="12"/>
                <w:szCs w:val="12"/>
                <w:color w:val="auto"/>
              </w:rPr>
            </w:pPr>
          </w:p>
        </w:tc>
        <w:tc>
          <w:tcPr>
            <w:tcW w:w="12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860" w:type="dxa"/>
            <w:vAlign w:val="bottom"/>
          </w:tcPr>
          <w:p>
            <w:pPr>
              <w:spacing w:after="0"/>
              <w:rPr>
                <w:sz w:val="13"/>
                <w:szCs w:val="13"/>
                <w:color w:val="auto"/>
              </w:rPr>
            </w:pPr>
          </w:p>
        </w:tc>
        <w:tc>
          <w:tcPr>
            <w:tcW w:w="274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860" w:type="dxa"/>
            <w:vAlign w:val="bottom"/>
            <w:shd w:val="clear" w:color="auto" w:fill="CCEEFF"/>
          </w:tcPr>
          <w:p>
            <w:pPr>
              <w:spacing w:after="0"/>
              <w:rPr>
                <w:sz w:val="20"/>
                <w:szCs w:val="20"/>
                <w:color w:val="auto"/>
              </w:rPr>
            </w:pPr>
            <w:r>
              <w:rPr>
                <w:rFonts w:ascii="Arial" w:cs="Arial" w:eastAsia="Arial" w:hAnsi="Arial"/>
                <w:sz w:val="13"/>
                <w:szCs w:val="13"/>
                <w:color w:val="auto"/>
              </w:rPr>
              <w:t>Cash and cash equivalents</w:t>
            </w:r>
          </w:p>
        </w:tc>
        <w:tc>
          <w:tcPr>
            <w:tcW w:w="2740" w:type="dxa"/>
            <w:vAlign w:val="bottom"/>
            <w:shd w:val="clear" w:color="auto" w:fill="CCEEFF"/>
          </w:tcPr>
          <w:p>
            <w:pPr>
              <w:jc w:val="center"/>
              <w:ind w:left="1496"/>
              <w:spacing w:after="0"/>
              <w:rPr>
                <w:sz w:val="20"/>
                <w:szCs w:val="20"/>
                <w:color w:val="auto"/>
              </w:rPr>
            </w:pPr>
            <w:r>
              <w:rPr>
                <w:rFonts w:ascii="Arial" w:cs="Arial" w:eastAsia="Arial" w:hAnsi="Arial"/>
                <w:sz w:val="13"/>
                <w:szCs w:val="13"/>
                <w:color w:val="auto"/>
                <w:w w:val="82"/>
              </w:rPr>
              <w:t>4</w:t>
            </w: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1,745,652</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672,048</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860" w:type="dxa"/>
            <w:vAlign w:val="bottom"/>
          </w:tcPr>
          <w:p>
            <w:pPr>
              <w:spacing w:after="0"/>
              <w:rPr>
                <w:sz w:val="13"/>
                <w:szCs w:val="13"/>
                <w:color w:val="auto"/>
              </w:rPr>
            </w:pPr>
          </w:p>
        </w:tc>
        <w:tc>
          <w:tcPr>
            <w:tcW w:w="274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860" w:type="dxa"/>
            <w:vAlign w:val="bottom"/>
            <w:shd w:val="clear" w:color="auto" w:fill="CCEEFF"/>
          </w:tcPr>
          <w:p>
            <w:pPr>
              <w:spacing w:after="0"/>
              <w:rPr>
                <w:sz w:val="20"/>
                <w:szCs w:val="20"/>
                <w:color w:val="auto"/>
              </w:rPr>
            </w:pPr>
            <w:r>
              <w:rPr>
                <w:rFonts w:ascii="Arial" w:cs="Arial" w:eastAsia="Arial" w:hAnsi="Arial"/>
                <w:sz w:val="13"/>
                <w:szCs w:val="13"/>
                <w:color w:val="auto"/>
              </w:rPr>
              <w:t>Securities and other financial assets, net</w:t>
            </w:r>
          </w:p>
        </w:tc>
        <w:tc>
          <w:tcPr>
            <w:tcW w:w="2740" w:type="dxa"/>
            <w:vAlign w:val="bottom"/>
            <w:shd w:val="clear" w:color="auto" w:fill="CCEEFF"/>
          </w:tcPr>
          <w:p>
            <w:pPr>
              <w:jc w:val="center"/>
              <w:ind w:left="1496"/>
              <w:spacing w:after="0"/>
              <w:rPr>
                <w:sz w:val="20"/>
                <w:szCs w:val="20"/>
                <w:color w:val="auto"/>
              </w:rPr>
            </w:pPr>
            <w:r>
              <w:rPr>
                <w:rFonts w:ascii="Arial" w:cs="Arial" w:eastAsia="Arial" w:hAnsi="Arial"/>
                <w:sz w:val="13"/>
                <w:szCs w:val="13"/>
                <w:color w:val="auto"/>
                <w:w w:val="86"/>
              </w:rPr>
              <w:t>5,26</w:t>
            </w: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123,598</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95,484</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860" w:type="dxa"/>
            <w:vAlign w:val="bottom"/>
          </w:tcPr>
          <w:p>
            <w:pPr>
              <w:spacing w:after="0"/>
              <w:rPr>
                <w:sz w:val="13"/>
                <w:szCs w:val="13"/>
                <w:color w:val="auto"/>
              </w:rPr>
            </w:pPr>
          </w:p>
        </w:tc>
        <w:tc>
          <w:tcPr>
            <w:tcW w:w="274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860" w:type="dxa"/>
            <w:vAlign w:val="bottom"/>
            <w:shd w:val="clear" w:color="auto" w:fill="CCEEFF"/>
          </w:tcPr>
          <w:p>
            <w:pPr>
              <w:spacing w:after="0"/>
              <w:rPr>
                <w:sz w:val="20"/>
                <w:szCs w:val="20"/>
                <w:color w:val="auto"/>
              </w:rPr>
            </w:pPr>
            <w:r>
              <w:rPr>
                <w:rFonts w:ascii="Arial" w:cs="Arial" w:eastAsia="Arial" w:hAnsi="Arial"/>
                <w:sz w:val="13"/>
                <w:szCs w:val="13"/>
                <w:color w:val="auto"/>
              </w:rPr>
              <w:t>Loans</w:t>
            </w:r>
          </w:p>
        </w:tc>
        <w:tc>
          <w:tcPr>
            <w:tcW w:w="2740" w:type="dxa"/>
            <w:vAlign w:val="bottom"/>
            <w:shd w:val="clear" w:color="auto" w:fill="CCEEFF"/>
          </w:tcPr>
          <w:p>
            <w:pPr>
              <w:spacing w:after="0"/>
              <w:rPr>
                <w:sz w:val="13"/>
                <w:szCs w:val="13"/>
                <w:color w:val="auto"/>
              </w:rPr>
            </w:pP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5,778,424</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5,505,658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860" w:type="dxa"/>
            <w:vAlign w:val="bottom"/>
          </w:tcPr>
          <w:p>
            <w:pPr>
              <w:ind w:left="100"/>
              <w:spacing w:after="0"/>
              <w:rPr>
                <w:sz w:val="20"/>
                <w:szCs w:val="20"/>
                <w:color w:val="auto"/>
              </w:rPr>
            </w:pPr>
            <w:r>
              <w:rPr>
                <w:rFonts w:ascii="Arial" w:cs="Arial" w:eastAsia="Arial" w:hAnsi="Arial"/>
                <w:sz w:val="13"/>
                <w:szCs w:val="13"/>
                <w:color w:val="auto"/>
              </w:rPr>
              <w:t>Interest receivable</w:t>
            </w:r>
          </w:p>
        </w:tc>
        <w:tc>
          <w:tcPr>
            <w:tcW w:w="2740" w:type="dxa"/>
            <w:vAlign w:val="bottom"/>
          </w:tcPr>
          <w:p>
            <w:pPr>
              <w:spacing w:after="0"/>
              <w:rPr>
                <w:sz w:val="13"/>
                <w:szCs w:val="13"/>
                <w:color w:val="auto"/>
              </w:rPr>
            </w:pPr>
          </w:p>
        </w:tc>
        <w:tc>
          <w:tcPr>
            <w:tcW w:w="1500" w:type="dxa"/>
            <w:vAlign w:val="bottom"/>
            <w:gridSpan w:val="2"/>
          </w:tcPr>
          <w:p>
            <w:pPr>
              <w:jc w:val="right"/>
              <w:ind w:right="240"/>
              <w:spacing w:after="0"/>
              <w:rPr>
                <w:sz w:val="20"/>
                <w:szCs w:val="20"/>
                <w:color w:val="auto"/>
              </w:rPr>
            </w:pPr>
            <w:r>
              <w:rPr>
                <w:rFonts w:ascii="Arial" w:cs="Arial" w:eastAsia="Arial" w:hAnsi="Arial"/>
                <w:sz w:val="13"/>
                <w:szCs w:val="13"/>
                <w:color w:val="auto"/>
              </w:rPr>
              <w:t>41,144</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29,409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860" w:type="dxa"/>
            <w:vAlign w:val="bottom"/>
            <w:shd w:val="clear" w:color="auto" w:fill="CCEEFF"/>
          </w:tcPr>
          <w:p>
            <w:pPr>
              <w:ind w:left="100"/>
              <w:spacing w:after="0"/>
              <w:rPr>
                <w:sz w:val="20"/>
                <w:szCs w:val="20"/>
                <w:color w:val="auto"/>
              </w:rPr>
            </w:pPr>
            <w:r>
              <w:rPr>
                <w:rFonts w:ascii="Arial" w:cs="Arial" w:eastAsia="Arial" w:hAnsi="Arial"/>
                <w:sz w:val="13"/>
                <w:szCs w:val="13"/>
                <w:color w:val="auto"/>
              </w:rPr>
              <w:t>Allowance for loans losses</w:t>
            </w:r>
          </w:p>
        </w:tc>
        <w:tc>
          <w:tcPr>
            <w:tcW w:w="2740" w:type="dxa"/>
            <w:vAlign w:val="bottom"/>
            <w:shd w:val="clear" w:color="auto" w:fill="CCEEFF"/>
          </w:tcPr>
          <w:p>
            <w:pPr>
              <w:spacing w:after="0"/>
              <w:rPr>
                <w:sz w:val="13"/>
                <w:szCs w:val="13"/>
                <w:color w:val="auto"/>
              </w:rPr>
            </w:pPr>
          </w:p>
        </w:tc>
        <w:tc>
          <w:tcPr>
            <w:tcW w:w="15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(100,785)</w:t>
            </w:r>
          </w:p>
        </w:tc>
        <w:tc>
          <w:tcPr>
            <w:tcW w:w="13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(81,294)</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860" w:type="dxa"/>
            <w:vAlign w:val="bottom"/>
          </w:tcPr>
          <w:p>
            <w:pPr>
              <w:ind w:left="100"/>
              <w:spacing w:after="0"/>
              <w:rPr>
                <w:sz w:val="20"/>
                <w:szCs w:val="20"/>
                <w:color w:val="auto"/>
              </w:rPr>
            </w:pPr>
            <w:r>
              <w:rPr>
                <w:rFonts w:ascii="Arial" w:cs="Arial" w:eastAsia="Arial" w:hAnsi="Arial"/>
                <w:sz w:val="13"/>
                <w:szCs w:val="13"/>
                <w:color w:val="auto"/>
              </w:rPr>
              <w:t>Unearned interest and deferred fees</w:t>
            </w:r>
          </w:p>
        </w:tc>
        <w:tc>
          <w:tcPr>
            <w:tcW w:w="2740" w:type="dxa"/>
            <w:vAlign w:val="bottom"/>
          </w:tcPr>
          <w:p>
            <w:pPr>
              <w:spacing w:after="0"/>
              <w:rPr>
                <w:sz w:val="14"/>
                <w:szCs w:val="14"/>
                <w:color w:val="auto"/>
              </w:rPr>
            </w:pPr>
          </w:p>
        </w:tc>
        <w:tc>
          <w:tcPr>
            <w:tcW w:w="1500" w:type="dxa"/>
            <w:vAlign w:val="bottom"/>
            <w:gridSpan w:val="2"/>
          </w:tcPr>
          <w:p>
            <w:pPr>
              <w:jc w:val="right"/>
              <w:ind w:right="200"/>
              <w:spacing w:after="0"/>
              <w:rPr>
                <w:sz w:val="20"/>
                <w:szCs w:val="20"/>
                <w:color w:val="auto"/>
              </w:rPr>
            </w:pPr>
            <w:r>
              <w:rPr>
                <w:rFonts w:ascii="Arial" w:cs="Arial" w:eastAsia="Arial" w:hAnsi="Arial"/>
                <w:sz w:val="13"/>
                <w:szCs w:val="13"/>
                <w:color w:val="auto"/>
              </w:rPr>
              <w:t>(16,525)</w:t>
            </w:r>
          </w:p>
        </w:tc>
        <w:tc>
          <w:tcPr>
            <w:tcW w:w="1360" w:type="dxa"/>
            <w:vAlign w:val="bottom"/>
            <w:gridSpan w:val="2"/>
          </w:tcPr>
          <w:p>
            <w:pPr>
              <w:jc w:val="right"/>
              <w:ind w:right="80"/>
              <w:spacing w:after="0"/>
              <w:rPr>
                <w:sz w:val="20"/>
                <w:szCs w:val="20"/>
                <w:color w:val="auto"/>
              </w:rPr>
            </w:pPr>
            <w:r>
              <w:rPr>
                <w:rFonts w:ascii="Arial" w:cs="Arial" w:eastAsia="Arial" w:hAnsi="Arial"/>
                <w:sz w:val="13"/>
                <w:szCs w:val="13"/>
                <w:color w:val="auto"/>
              </w:rPr>
              <w:t>(4,985)</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860" w:type="dxa"/>
            <w:vAlign w:val="bottom"/>
            <w:tcBorders>
              <w:top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Loans, net</w:t>
            </w:r>
          </w:p>
        </w:tc>
        <w:tc>
          <w:tcPr>
            <w:tcW w:w="2740" w:type="dxa"/>
            <w:vAlign w:val="bottom"/>
            <w:tcBorders>
              <w:top w:val="single" w:sz="8" w:color="CCEEFF"/>
            </w:tcBorders>
            <w:shd w:val="clear" w:color="auto" w:fill="CCEEFF"/>
          </w:tcPr>
          <w:p>
            <w:pPr>
              <w:jc w:val="center"/>
              <w:ind w:left="1496"/>
              <w:spacing w:after="0" w:line="143" w:lineRule="exact"/>
              <w:rPr>
                <w:sz w:val="20"/>
                <w:szCs w:val="20"/>
                <w:color w:val="auto"/>
              </w:rPr>
            </w:pPr>
            <w:r>
              <w:rPr>
                <w:rFonts w:ascii="Arial" w:cs="Arial" w:eastAsia="Arial" w:hAnsi="Arial"/>
                <w:sz w:val="13"/>
                <w:szCs w:val="13"/>
                <w:color w:val="auto"/>
                <w:w w:val="82"/>
              </w:rPr>
              <w:t>6</w:t>
            </w:r>
          </w:p>
        </w:tc>
        <w:tc>
          <w:tcPr>
            <w:tcW w:w="12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5,702,258</w:t>
            </w:r>
          </w:p>
        </w:tc>
        <w:tc>
          <w:tcPr>
            <w:tcW w:w="24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5,448,788</w:t>
            </w: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860" w:type="dxa"/>
            <w:vAlign w:val="bottom"/>
          </w:tcPr>
          <w:p>
            <w:pPr>
              <w:spacing w:after="0"/>
              <w:rPr>
                <w:sz w:val="13"/>
                <w:szCs w:val="13"/>
                <w:color w:val="auto"/>
              </w:rPr>
            </w:pPr>
          </w:p>
        </w:tc>
        <w:tc>
          <w:tcPr>
            <w:tcW w:w="274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860" w:type="dxa"/>
            <w:vAlign w:val="bottom"/>
            <w:shd w:val="clear" w:color="auto" w:fill="CCEEFF"/>
          </w:tcPr>
          <w:p>
            <w:pPr>
              <w:spacing w:after="0"/>
              <w:rPr>
                <w:sz w:val="20"/>
                <w:szCs w:val="20"/>
                <w:color w:val="auto"/>
              </w:rPr>
            </w:pPr>
            <w:r>
              <w:rPr>
                <w:rFonts w:ascii="Arial" w:cs="Arial" w:eastAsia="Arial" w:hAnsi="Arial"/>
                <w:sz w:val="13"/>
                <w:szCs w:val="13"/>
                <w:color w:val="auto"/>
              </w:rPr>
              <w:t>Customers' liabilities under acceptances</w:t>
            </w:r>
          </w:p>
        </w:tc>
        <w:tc>
          <w:tcPr>
            <w:tcW w:w="2740" w:type="dxa"/>
            <w:vAlign w:val="bottom"/>
            <w:shd w:val="clear" w:color="auto" w:fill="CCEEFF"/>
          </w:tcPr>
          <w:p>
            <w:pPr>
              <w:spacing w:after="0"/>
              <w:rPr>
                <w:sz w:val="13"/>
                <w:szCs w:val="13"/>
                <w:color w:val="auto"/>
              </w:rPr>
            </w:pP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9,696</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6,369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860" w:type="dxa"/>
            <w:vAlign w:val="bottom"/>
          </w:tcPr>
          <w:p>
            <w:pPr>
              <w:spacing w:after="0"/>
              <w:rPr>
                <w:sz w:val="20"/>
                <w:szCs w:val="20"/>
                <w:color w:val="auto"/>
              </w:rPr>
            </w:pPr>
            <w:r>
              <w:rPr>
                <w:rFonts w:ascii="Arial" w:cs="Arial" w:eastAsia="Arial" w:hAnsi="Arial"/>
                <w:sz w:val="13"/>
                <w:szCs w:val="13"/>
                <w:color w:val="auto"/>
              </w:rPr>
              <w:t>Derivative financial instruments - assets</w:t>
            </w:r>
          </w:p>
        </w:tc>
        <w:tc>
          <w:tcPr>
            <w:tcW w:w="2740" w:type="dxa"/>
            <w:vAlign w:val="bottom"/>
          </w:tcPr>
          <w:p>
            <w:pPr>
              <w:jc w:val="center"/>
              <w:ind w:left="1496"/>
              <w:spacing w:after="0"/>
              <w:rPr>
                <w:sz w:val="20"/>
                <w:szCs w:val="20"/>
                <w:color w:val="auto"/>
              </w:rPr>
            </w:pPr>
            <w:r>
              <w:rPr>
                <w:rFonts w:ascii="Arial" w:cs="Arial" w:eastAsia="Arial" w:hAnsi="Arial"/>
                <w:sz w:val="13"/>
                <w:szCs w:val="13"/>
                <w:color w:val="auto"/>
                <w:w w:val="86"/>
              </w:rPr>
              <w:t>9,26</w:t>
            </w:r>
          </w:p>
        </w:tc>
        <w:tc>
          <w:tcPr>
            <w:tcW w:w="1500" w:type="dxa"/>
            <w:vAlign w:val="bottom"/>
            <w:gridSpan w:val="2"/>
          </w:tcPr>
          <w:p>
            <w:pPr>
              <w:jc w:val="right"/>
              <w:ind w:right="240"/>
              <w:spacing w:after="0"/>
              <w:rPr>
                <w:sz w:val="20"/>
                <w:szCs w:val="20"/>
                <w:color w:val="auto"/>
              </w:rPr>
            </w:pPr>
            <w:r>
              <w:rPr>
                <w:rFonts w:ascii="Arial" w:cs="Arial" w:eastAsia="Arial" w:hAnsi="Arial"/>
                <w:sz w:val="13"/>
                <w:szCs w:val="13"/>
                <w:color w:val="auto"/>
              </w:rPr>
              <w:t>2,688</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13,338</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860" w:type="dxa"/>
            <w:vAlign w:val="bottom"/>
            <w:shd w:val="clear" w:color="auto" w:fill="CCEEFF"/>
          </w:tcPr>
          <w:p>
            <w:pPr>
              <w:spacing w:after="0"/>
              <w:rPr>
                <w:sz w:val="13"/>
                <w:szCs w:val="13"/>
                <w:color w:val="auto"/>
              </w:rPr>
            </w:pPr>
          </w:p>
        </w:tc>
        <w:tc>
          <w:tcPr>
            <w:tcW w:w="2740" w:type="dxa"/>
            <w:vAlign w:val="bottom"/>
            <w:shd w:val="clear" w:color="auto" w:fill="CCEEFF"/>
          </w:tcPr>
          <w:p>
            <w:pPr>
              <w:spacing w:after="0"/>
              <w:rPr>
                <w:sz w:val="13"/>
                <w:szCs w:val="13"/>
                <w:color w:val="auto"/>
              </w:rPr>
            </w:pPr>
          </w:p>
        </w:tc>
        <w:tc>
          <w:tcPr>
            <w:tcW w:w="12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860" w:type="dxa"/>
            <w:vAlign w:val="bottom"/>
          </w:tcPr>
          <w:p>
            <w:pPr>
              <w:spacing w:after="0"/>
              <w:rPr>
                <w:sz w:val="20"/>
                <w:szCs w:val="20"/>
                <w:color w:val="auto"/>
              </w:rPr>
            </w:pPr>
            <w:r>
              <w:rPr>
                <w:rFonts w:ascii="Arial" w:cs="Arial" w:eastAsia="Arial" w:hAnsi="Arial"/>
                <w:sz w:val="13"/>
                <w:szCs w:val="13"/>
                <w:color w:val="auto"/>
              </w:rPr>
              <w:t>Equipment and leasehold improvements, net</w:t>
            </w:r>
          </w:p>
        </w:tc>
        <w:tc>
          <w:tcPr>
            <w:tcW w:w="2740" w:type="dxa"/>
            <w:vAlign w:val="bottom"/>
          </w:tcPr>
          <w:p>
            <w:pPr>
              <w:jc w:val="center"/>
              <w:ind w:left="1516"/>
              <w:spacing w:after="0"/>
              <w:rPr>
                <w:sz w:val="20"/>
                <w:szCs w:val="20"/>
                <w:color w:val="auto"/>
              </w:rPr>
            </w:pPr>
            <w:r>
              <w:rPr>
                <w:rFonts w:ascii="Arial" w:cs="Arial" w:eastAsia="Arial" w:hAnsi="Arial"/>
                <w:sz w:val="13"/>
                <w:szCs w:val="13"/>
                <w:color w:val="auto"/>
                <w:w w:val="82"/>
              </w:rPr>
              <w:t>11</w:t>
            </w:r>
          </w:p>
        </w:tc>
        <w:tc>
          <w:tcPr>
            <w:tcW w:w="1500" w:type="dxa"/>
            <w:vAlign w:val="bottom"/>
            <w:gridSpan w:val="2"/>
          </w:tcPr>
          <w:p>
            <w:pPr>
              <w:jc w:val="right"/>
              <w:ind w:right="240"/>
              <w:spacing w:after="0"/>
              <w:rPr>
                <w:sz w:val="20"/>
                <w:szCs w:val="20"/>
                <w:color w:val="auto"/>
              </w:rPr>
            </w:pPr>
            <w:r>
              <w:rPr>
                <w:rFonts w:ascii="Arial" w:cs="Arial" w:eastAsia="Arial" w:hAnsi="Arial"/>
                <w:sz w:val="13"/>
                <w:szCs w:val="13"/>
                <w:color w:val="auto"/>
              </w:rPr>
              <w:t>6,686</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7,420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860" w:type="dxa"/>
            <w:vAlign w:val="bottom"/>
            <w:shd w:val="clear" w:color="auto" w:fill="CCEEFF"/>
          </w:tcPr>
          <w:p>
            <w:pPr>
              <w:spacing w:after="0"/>
              <w:rPr>
                <w:sz w:val="20"/>
                <w:szCs w:val="20"/>
                <w:color w:val="auto"/>
              </w:rPr>
            </w:pPr>
            <w:r>
              <w:rPr>
                <w:rFonts w:ascii="Arial" w:cs="Arial" w:eastAsia="Arial" w:hAnsi="Arial"/>
                <w:sz w:val="13"/>
                <w:szCs w:val="13"/>
                <w:color w:val="auto"/>
              </w:rPr>
              <w:t>Intangibles, net</w:t>
            </w:r>
          </w:p>
        </w:tc>
        <w:tc>
          <w:tcPr>
            <w:tcW w:w="2740" w:type="dxa"/>
            <w:vAlign w:val="bottom"/>
            <w:shd w:val="clear" w:color="auto" w:fill="CCEEFF"/>
          </w:tcPr>
          <w:p>
            <w:pPr>
              <w:jc w:val="center"/>
              <w:ind w:left="1516"/>
              <w:spacing w:after="0"/>
              <w:rPr>
                <w:sz w:val="20"/>
                <w:szCs w:val="20"/>
                <w:color w:val="auto"/>
              </w:rPr>
            </w:pPr>
            <w:r>
              <w:rPr>
                <w:rFonts w:ascii="Arial" w:cs="Arial" w:eastAsia="Arial" w:hAnsi="Arial"/>
                <w:sz w:val="13"/>
                <w:szCs w:val="13"/>
                <w:color w:val="auto"/>
                <w:w w:val="82"/>
              </w:rPr>
              <w:t>12</w:t>
            </w: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1,633</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5,425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860" w:type="dxa"/>
            <w:vAlign w:val="bottom"/>
          </w:tcPr>
          <w:p>
            <w:pPr>
              <w:spacing w:after="0"/>
              <w:rPr>
                <w:sz w:val="20"/>
                <w:szCs w:val="20"/>
                <w:color w:val="auto"/>
              </w:rPr>
            </w:pPr>
            <w:r>
              <w:rPr>
                <w:rFonts w:ascii="Arial" w:cs="Arial" w:eastAsia="Arial" w:hAnsi="Arial"/>
                <w:sz w:val="13"/>
                <w:szCs w:val="13"/>
                <w:color w:val="auto"/>
              </w:rPr>
              <w:t>Investment properties</w:t>
            </w:r>
          </w:p>
        </w:tc>
        <w:tc>
          <w:tcPr>
            <w:tcW w:w="2740" w:type="dxa"/>
            <w:vAlign w:val="bottom"/>
          </w:tcPr>
          <w:p>
            <w:pPr>
              <w:jc w:val="center"/>
              <w:ind w:left="1516"/>
              <w:spacing w:after="0"/>
              <w:rPr>
                <w:sz w:val="20"/>
                <w:szCs w:val="20"/>
                <w:color w:val="auto"/>
              </w:rPr>
            </w:pPr>
            <w:r>
              <w:rPr>
                <w:rFonts w:ascii="Arial" w:cs="Arial" w:eastAsia="Arial" w:hAnsi="Arial"/>
                <w:sz w:val="13"/>
                <w:szCs w:val="13"/>
                <w:color w:val="auto"/>
                <w:w w:val="82"/>
              </w:rPr>
              <w:t>13</w:t>
            </w:r>
          </w:p>
        </w:tc>
        <w:tc>
          <w:tcPr>
            <w:tcW w:w="150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5,119</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860" w:type="dxa"/>
            <w:vAlign w:val="bottom"/>
            <w:shd w:val="clear" w:color="auto" w:fill="CCEEFF"/>
          </w:tcPr>
          <w:p>
            <w:pPr>
              <w:spacing w:after="0"/>
              <w:rPr>
                <w:sz w:val="20"/>
                <w:szCs w:val="20"/>
                <w:color w:val="auto"/>
              </w:rPr>
            </w:pPr>
            <w:r>
              <w:rPr>
                <w:rFonts w:ascii="Arial" w:cs="Arial" w:eastAsia="Arial" w:hAnsi="Arial"/>
                <w:sz w:val="13"/>
                <w:szCs w:val="13"/>
                <w:color w:val="auto"/>
              </w:rPr>
              <w:t>Other assets</w:t>
            </w:r>
          </w:p>
        </w:tc>
        <w:tc>
          <w:tcPr>
            <w:tcW w:w="2740" w:type="dxa"/>
            <w:vAlign w:val="bottom"/>
            <w:shd w:val="clear" w:color="auto" w:fill="CCEEFF"/>
          </w:tcPr>
          <w:p>
            <w:pPr>
              <w:jc w:val="center"/>
              <w:ind w:left="1516"/>
              <w:spacing w:after="0"/>
              <w:rPr>
                <w:sz w:val="20"/>
                <w:szCs w:val="20"/>
                <w:color w:val="auto"/>
              </w:rPr>
            </w:pPr>
            <w:r>
              <w:rPr>
                <w:rFonts w:ascii="Arial" w:cs="Arial" w:eastAsia="Arial" w:hAnsi="Arial"/>
                <w:sz w:val="13"/>
                <w:szCs w:val="13"/>
                <w:color w:val="auto"/>
                <w:w w:val="82"/>
              </w:rPr>
              <w:t>14</w:t>
            </w: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16,974</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13,756</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860" w:type="dxa"/>
            <w:vAlign w:val="bottom"/>
            <w:vMerge w:val="restart"/>
          </w:tcPr>
          <w:p>
            <w:pPr>
              <w:spacing w:after="0"/>
              <w:rPr>
                <w:sz w:val="20"/>
                <w:szCs w:val="20"/>
                <w:color w:val="auto"/>
              </w:rPr>
            </w:pPr>
            <w:r>
              <w:rPr>
                <w:rFonts w:ascii="Arial" w:cs="Arial" w:eastAsia="Arial" w:hAnsi="Arial"/>
                <w:sz w:val="13"/>
                <w:szCs w:val="13"/>
                <w:b w:val="1"/>
                <w:bCs w:val="1"/>
                <w:color w:val="auto"/>
              </w:rPr>
              <w:t>Total assets</w:t>
            </w:r>
          </w:p>
        </w:tc>
        <w:tc>
          <w:tcPr>
            <w:tcW w:w="2740" w:type="dxa"/>
            <w:vAlign w:val="bottom"/>
          </w:tcPr>
          <w:p>
            <w:pPr>
              <w:spacing w:after="0" w:line="20" w:lineRule="exact"/>
              <w:rPr>
                <w:sz w:val="1"/>
                <w:szCs w:val="1"/>
                <w:color w:val="auto"/>
              </w:rPr>
            </w:pPr>
          </w:p>
        </w:tc>
        <w:tc>
          <w:tcPr>
            <w:tcW w:w="126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4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62"/>
        </w:trPr>
        <w:tc>
          <w:tcPr>
            <w:tcW w:w="20" w:type="dxa"/>
            <w:vAlign w:val="bottom"/>
          </w:tcPr>
          <w:p>
            <w:pPr>
              <w:spacing w:after="0"/>
              <w:rPr>
                <w:sz w:val="14"/>
                <w:szCs w:val="14"/>
                <w:color w:val="auto"/>
              </w:rPr>
            </w:pPr>
          </w:p>
        </w:tc>
        <w:tc>
          <w:tcPr>
            <w:tcW w:w="5860" w:type="dxa"/>
            <w:vAlign w:val="bottom"/>
            <w:vMerge w:val="continue"/>
          </w:tcPr>
          <w:p>
            <w:pPr>
              <w:spacing w:after="0"/>
              <w:rPr>
                <w:sz w:val="14"/>
                <w:szCs w:val="14"/>
                <w:color w:val="auto"/>
              </w:rPr>
            </w:pPr>
          </w:p>
        </w:tc>
        <w:tc>
          <w:tcPr>
            <w:tcW w:w="2740" w:type="dxa"/>
            <w:vAlign w:val="bottom"/>
          </w:tcPr>
          <w:p>
            <w:pPr>
              <w:spacing w:after="0"/>
              <w:rPr>
                <w:sz w:val="14"/>
                <w:szCs w:val="14"/>
                <w:color w:val="auto"/>
              </w:rPr>
            </w:pPr>
          </w:p>
        </w:tc>
        <w:tc>
          <w:tcPr>
            <w:tcW w:w="1500" w:type="dxa"/>
            <w:vAlign w:val="bottom"/>
            <w:gridSpan w:val="2"/>
          </w:tcPr>
          <w:p>
            <w:pPr>
              <w:jc w:val="right"/>
              <w:ind w:right="240"/>
              <w:spacing w:after="0"/>
              <w:rPr>
                <w:sz w:val="20"/>
                <w:szCs w:val="20"/>
                <w:color w:val="auto"/>
              </w:rPr>
            </w:pPr>
            <w:r>
              <w:rPr>
                <w:rFonts w:ascii="Arial" w:cs="Arial" w:eastAsia="Arial" w:hAnsi="Arial"/>
                <w:sz w:val="13"/>
                <w:szCs w:val="13"/>
                <w:color w:val="auto"/>
              </w:rPr>
              <w:t>7,609,185</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6,267,747</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860" w:type="dxa"/>
            <w:vAlign w:val="bottom"/>
            <w:tcBorders>
              <w:top w:val="single" w:sz="8" w:color="CCEEFF"/>
            </w:tcBorders>
            <w:shd w:val="clear" w:color="auto" w:fill="CCEEFF"/>
          </w:tcPr>
          <w:p>
            <w:pPr>
              <w:spacing w:after="0"/>
              <w:rPr>
                <w:sz w:val="13"/>
                <w:szCs w:val="13"/>
                <w:color w:val="auto"/>
              </w:rPr>
            </w:pPr>
          </w:p>
        </w:tc>
        <w:tc>
          <w:tcPr>
            <w:tcW w:w="2740" w:type="dxa"/>
            <w:vAlign w:val="bottom"/>
            <w:tcBorders>
              <w:top w:val="single" w:sz="8" w:color="CCEEFF"/>
            </w:tcBorders>
            <w:shd w:val="clear" w:color="auto" w:fill="CCEEFF"/>
          </w:tcPr>
          <w:p>
            <w:pPr>
              <w:spacing w:after="0"/>
              <w:rPr>
                <w:sz w:val="13"/>
                <w:szCs w:val="13"/>
                <w:color w:val="auto"/>
              </w:rPr>
            </w:pPr>
          </w:p>
        </w:tc>
        <w:tc>
          <w:tcPr>
            <w:tcW w:w="1260" w:type="dxa"/>
            <w:vAlign w:val="bottom"/>
            <w:tcBorders>
              <w:top w:val="single" w:sz="8" w:color="auto"/>
            </w:tcBorders>
            <w:shd w:val="clear" w:color="auto" w:fill="CCEEFF"/>
          </w:tcPr>
          <w:p>
            <w:pPr>
              <w:spacing w:after="0"/>
              <w:rPr>
                <w:sz w:val="13"/>
                <w:szCs w:val="13"/>
                <w:color w:val="auto"/>
              </w:rPr>
            </w:pPr>
          </w:p>
        </w:tc>
        <w:tc>
          <w:tcPr>
            <w:tcW w:w="240" w:type="dxa"/>
            <w:vAlign w:val="bottom"/>
            <w:tcBorders>
              <w:top w:val="single" w:sz="8" w:color="CCEEFF"/>
            </w:tcBorders>
            <w:shd w:val="clear" w:color="auto" w:fill="CCEEFF"/>
          </w:tcPr>
          <w:p>
            <w:pPr>
              <w:spacing w:after="0"/>
              <w:rPr>
                <w:sz w:val="13"/>
                <w:szCs w:val="13"/>
                <w:color w:val="auto"/>
              </w:rPr>
            </w:pPr>
          </w:p>
        </w:tc>
        <w:tc>
          <w:tcPr>
            <w:tcW w:w="1240" w:type="dxa"/>
            <w:vAlign w:val="bottom"/>
            <w:tcBorders>
              <w:top w:val="single" w:sz="8" w:color="auto"/>
            </w:tcBorders>
            <w:shd w:val="clear" w:color="auto" w:fill="CCEEFF"/>
          </w:tcPr>
          <w:p>
            <w:pPr>
              <w:spacing w:after="0"/>
              <w:rPr>
                <w:sz w:val="13"/>
                <w:szCs w:val="13"/>
                <w:color w:val="auto"/>
              </w:rPr>
            </w:pPr>
          </w:p>
        </w:tc>
        <w:tc>
          <w:tcPr>
            <w:tcW w:w="120" w:type="dxa"/>
            <w:vAlign w:val="bottom"/>
            <w:tcBorders>
              <w:top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860" w:type="dxa"/>
            <w:vAlign w:val="bottom"/>
          </w:tcPr>
          <w:p>
            <w:pPr>
              <w:spacing w:after="0"/>
              <w:rPr>
                <w:sz w:val="20"/>
                <w:szCs w:val="20"/>
                <w:color w:val="auto"/>
              </w:rPr>
            </w:pPr>
            <w:r>
              <w:rPr>
                <w:rFonts w:ascii="Arial" w:cs="Arial" w:eastAsia="Arial" w:hAnsi="Arial"/>
                <w:sz w:val="13"/>
                <w:szCs w:val="13"/>
                <w:b w:val="1"/>
                <w:bCs w:val="1"/>
                <w:color w:val="auto"/>
              </w:rPr>
              <w:t>Liabilities and Equity</w:t>
            </w:r>
          </w:p>
        </w:tc>
        <w:tc>
          <w:tcPr>
            <w:tcW w:w="274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860" w:type="dxa"/>
            <w:vAlign w:val="bottom"/>
            <w:shd w:val="clear" w:color="auto" w:fill="CCEEFF"/>
          </w:tcPr>
          <w:p>
            <w:pPr>
              <w:spacing w:after="0"/>
              <w:rPr>
                <w:sz w:val="20"/>
                <w:szCs w:val="20"/>
                <w:color w:val="auto"/>
              </w:rPr>
            </w:pPr>
            <w:r>
              <w:rPr>
                <w:rFonts w:ascii="Arial" w:cs="Arial" w:eastAsia="Arial" w:hAnsi="Arial"/>
                <w:sz w:val="13"/>
                <w:szCs w:val="13"/>
                <w:color w:val="auto"/>
              </w:rPr>
              <w:t>Liabilities:</w:t>
            </w:r>
          </w:p>
        </w:tc>
        <w:tc>
          <w:tcPr>
            <w:tcW w:w="2740" w:type="dxa"/>
            <w:vAlign w:val="bottom"/>
            <w:shd w:val="clear" w:color="auto" w:fill="CCEEFF"/>
          </w:tcPr>
          <w:p>
            <w:pPr>
              <w:spacing w:after="0"/>
              <w:rPr>
                <w:sz w:val="13"/>
                <w:szCs w:val="13"/>
                <w:color w:val="auto"/>
              </w:rPr>
            </w:pPr>
          </w:p>
        </w:tc>
        <w:tc>
          <w:tcPr>
            <w:tcW w:w="12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860" w:type="dxa"/>
            <w:vAlign w:val="bottom"/>
          </w:tcPr>
          <w:p>
            <w:pPr>
              <w:spacing w:after="0"/>
              <w:rPr>
                <w:sz w:val="20"/>
                <w:szCs w:val="20"/>
                <w:color w:val="auto"/>
              </w:rPr>
            </w:pPr>
            <w:r>
              <w:rPr>
                <w:rFonts w:ascii="Arial" w:cs="Arial" w:eastAsia="Arial" w:hAnsi="Arial"/>
                <w:sz w:val="13"/>
                <w:szCs w:val="13"/>
                <w:color w:val="auto"/>
              </w:rPr>
              <w:t>Demand deposits</w:t>
            </w:r>
          </w:p>
        </w:tc>
        <w:tc>
          <w:tcPr>
            <w:tcW w:w="2740" w:type="dxa"/>
            <w:vAlign w:val="bottom"/>
          </w:tcPr>
          <w:p>
            <w:pPr>
              <w:spacing w:after="0"/>
              <w:rPr>
                <w:sz w:val="13"/>
                <w:szCs w:val="13"/>
                <w:color w:val="auto"/>
              </w:rPr>
            </w:pPr>
          </w:p>
        </w:tc>
        <w:tc>
          <w:tcPr>
            <w:tcW w:w="1500" w:type="dxa"/>
            <w:vAlign w:val="bottom"/>
            <w:gridSpan w:val="2"/>
          </w:tcPr>
          <w:p>
            <w:pPr>
              <w:jc w:val="right"/>
              <w:ind w:right="240"/>
              <w:spacing w:after="0"/>
              <w:rPr>
                <w:sz w:val="20"/>
                <w:szCs w:val="20"/>
                <w:color w:val="auto"/>
              </w:rPr>
            </w:pPr>
            <w:r>
              <w:rPr>
                <w:rFonts w:ascii="Arial" w:cs="Arial" w:eastAsia="Arial" w:hAnsi="Arial"/>
                <w:sz w:val="13"/>
                <w:szCs w:val="13"/>
                <w:color w:val="auto"/>
              </w:rPr>
              <w:t>211,381</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82,064</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860" w:type="dxa"/>
            <w:vAlign w:val="bottom"/>
            <w:shd w:val="clear" w:color="auto" w:fill="CCEEFF"/>
          </w:tcPr>
          <w:p>
            <w:pPr>
              <w:spacing w:after="0"/>
              <w:rPr>
                <w:sz w:val="20"/>
                <w:szCs w:val="20"/>
                <w:color w:val="auto"/>
              </w:rPr>
            </w:pPr>
            <w:r>
              <w:rPr>
                <w:rFonts w:ascii="Arial" w:cs="Arial" w:eastAsia="Arial" w:hAnsi="Arial"/>
                <w:sz w:val="13"/>
                <w:szCs w:val="13"/>
                <w:color w:val="auto"/>
              </w:rPr>
              <w:t>Time deposits</w:t>
            </w:r>
          </w:p>
        </w:tc>
        <w:tc>
          <w:tcPr>
            <w:tcW w:w="2740" w:type="dxa"/>
            <w:vAlign w:val="bottom"/>
            <w:shd w:val="clear" w:color="auto" w:fill="CCEEFF"/>
          </w:tcPr>
          <w:p>
            <w:pPr>
              <w:spacing w:after="0"/>
              <w:rPr>
                <w:sz w:val="14"/>
                <w:szCs w:val="14"/>
                <w:color w:val="auto"/>
              </w:rPr>
            </w:pP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2,759,441</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2,846,780</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860" w:type="dxa"/>
            <w:vAlign w:val="bottom"/>
          </w:tcPr>
          <w:p>
            <w:pPr>
              <w:spacing w:after="0"/>
              <w:rPr>
                <w:sz w:val="12"/>
                <w:szCs w:val="12"/>
                <w:color w:val="auto"/>
              </w:rPr>
            </w:pPr>
          </w:p>
        </w:tc>
        <w:tc>
          <w:tcPr>
            <w:tcW w:w="2740" w:type="dxa"/>
            <w:vAlign w:val="bottom"/>
          </w:tcPr>
          <w:p>
            <w:pPr>
              <w:jc w:val="center"/>
              <w:ind w:left="1516"/>
              <w:spacing w:after="0" w:line="143" w:lineRule="exact"/>
              <w:rPr>
                <w:sz w:val="20"/>
                <w:szCs w:val="20"/>
                <w:color w:val="auto"/>
              </w:rPr>
            </w:pPr>
            <w:r>
              <w:rPr>
                <w:rFonts w:ascii="Arial" w:cs="Arial" w:eastAsia="Arial" w:hAnsi="Arial"/>
                <w:sz w:val="13"/>
                <w:szCs w:val="13"/>
                <w:color w:val="auto"/>
                <w:w w:val="82"/>
              </w:rPr>
              <w:t>15</w:t>
            </w:r>
          </w:p>
        </w:tc>
        <w:tc>
          <w:tcPr>
            <w:tcW w:w="126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2,970,822</w:t>
            </w:r>
          </w:p>
        </w:tc>
        <w:tc>
          <w:tcPr>
            <w:tcW w:w="240" w:type="dxa"/>
            <w:vAlign w:val="bottom"/>
          </w:tcPr>
          <w:p>
            <w:pPr>
              <w:spacing w:after="0"/>
              <w:rPr>
                <w:sz w:val="12"/>
                <w:szCs w:val="12"/>
                <w:color w:val="auto"/>
              </w:rPr>
            </w:pPr>
          </w:p>
        </w:tc>
        <w:tc>
          <w:tcPr>
            <w:tcW w:w="124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2,928,844</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860" w:type="dxa"/>
            <w:vAlign w:val="bottom"/>
            <w:shd w:val="clear" w:color="auto" w:fill="CCEEFF"/>
          </w:tcPr>
          <w:p>
            <w:pPr>
              <w:ind w:left="100"/>
              <w:spacing w:after="0"/>
              <w:rPr>
                <w:sz w:val="20"/>
                <w:szCs w:val="20"/>
                <w:color w:val="auto"/>
              </w:rPr>
            </w:pPr>
            <w:r>
              <w:rPr>
                <w:rFonts w:ascii="Arial" w:cs="Arial" w:eastAsia="Arial" w:hAnsi="Arial"/>
                <w:sz w:val="13"/>
                <w:szCs w:val="13"/>
                <w:color w:val="auto"/>
              </w:rPr>
              <w:t>Interest payable</w:t>
            </w:r>
          </w:p>
        </w:tc>
        <w:tc>
          <w:tcPr>
            <w:tcW w:w="2740" w:type="dxa"/>
            <w:vAlign w:val="bottom"/>
            <w:shd w:val="clear" w:color="auto" w:fill="CCEEFF"/>
          </w:tcPr>
          <w:p>
            <w:pPr>
              <w:spacing w:after="0"/>
              <w:rPr>
                <w:sz w:val="14"/>
                <w:szCs w:val="14"/>
                <w:color w:val="auto"/>
              </w:rPr>
            </w:pP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12,154</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8,261</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860" w:type="dxa"/>
            <w:vAlign w:val="bottom"/>
            <w:tcBorders>
              <w:bottom w:val="single" w:sz="8" w:color="CCEEFF"/>
            </w:tcBorders>
          </w:tcPr>
          <w:p>
            <w:pPr>
              <w:spacing w:after="0" w:line="143" w:lineRule="exact"/>
              <w:rPr>
                <w:sz w:val="20"/>
                <w:szCs w:val="20"/>
                <w:color w:val="auto"/>
              </w:rPr>
            </w:pPr>
            <w:r>
              <w:rPr>
                <w:rFonts w:ascii="Arial" w:cs="Arial" w:eastAsia="Arial" w:hAnsi="Arial"/>
                <w:sz w:val="13"/>
                <w:szCs w:val="13"/>
                <w:color w:val="auto"/>
              </w:rPr>
              <w:t>Total deposits</w:t>
            </w:r>
          </w:p>
        </w:tc>
        <w:tc>
          <w:tcPr>
            <w:tcW w:w="2740" w:type="dxa"/>
            <w:vAlign w:val="bottom"/>
            <w:tcBorders>
              <w:bottom w:val="single" w:sz="8" w:color="CCEEFF"/>
            </w:tcBorders>
          </w:tcPr>
          <w:p>
            <w:pPr>
              <w:spacing w:after="0"/>
              <w:rPr>
                <w:sz w:val="12"/>
                <w:szCs w:val="12"/>
                <w:color w:val="auto"/>
              </w:rPr>
            </w:pPr>
          </w:p>
        </w:tc>
        <w:tc>
          <w:tcPr>
            <w:tcW w:w="126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2,982,976</w:t>
            </w:r>
          </w:p>
        </w:tc>
        <w:tc>
          <w:tcPr>
            <w:tcW w:w="240" w:type="dxa"/>
            <w:vAlign w:val="bottom"/>
            <w:tcBorders>
              <w:bottom w:val="single" w:sz="8" w:color="CCEEFF"/>
            </w:tcBorders>
          </w:tcPr>
          <w:p>
            <w:pPr>
              <w:spacing w:after="0"/>
              <w:rPr>
                <w:sz w:val="12"/>
                <w:szCs w:val="12"/>
                <w:color w:val="auto"/>
              </w:rPr>
            </w:pPr>
          </w:p>
        </w:tc>
        <w:tc>
          <w:tcPr>
            <w:tcW w:w="12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2,937,105</w:t>
            </w:r>
          </w:p>
        </w:tc>
        <w:tc>
          <w:tcPr>
            <w:tcW w:w="120" w:type="dxa"/>
            <w:vAlign w:val="bottom"/>
            <w:tcBorders>
              <w:bottom w:val="single" w:sz="8" w:color="CCEEFF"/>
            </w:tcBorders>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5860" w:type="dxa"/>
            <w:vAlign w:val="bottom"/>
            <w:shd w:val="clear" w:color="auto" w:fill="CCEEFF"/>
          </w:tcPr>
          <w:p>
            <w:pPr>
              <w:spacing w:after="0"/>
              <w:rPr>
                <w:sz w:val="12"/>
                <w:szCs w:val="12"/>
                <w:color w:val="auto"/>
              </w:rPr>
            </w:pPr>
          </w:p>
        </w:tc>
        <w:tc>
          <w:tcPr>
            <w:tcW w:w="2740" w:type="dxa"/>
            <w:vAlign w:val="bottom"/>
            <w:shd w:val="clear" w:color="auto" w:fill="CCEEFF"/>
          </w:tcPr>
          <w:p>
            <w:pPr>
              <w:spacing w:after="0"/>
              <w:rPr>
                <w:sz w:val="12"/>
                <w:szCs w:val="12"/>
                <w:color w:val="auto"/>
              </w:rPr>
            </w:pPr>
          </w:p>
        </w:tc>
        <w:tc>
          <w:tcPr>
            <w:tcW w:w="12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860" w:type="dxa"/>
            <w:vAlign w:val="bottom"/>
          </w:tcPr>
          <w:p>
            <w:pPr>
              <w:spacing w:after="0"/>
              <w:rPr>
                <w:sz w:val="20"/>
                <w:szCs w:val="20"/>
                <w:color w:val="auto"/>
              </w:rPr>
            </w:pPr>
            <w:r>
              <w:rPr>
                <w:rFonts w:ascii="Arial" w:cs="Arial" w:eastAsia="Arial" w:hAnsi="Arial"/>
                <w:sz w:val="13"/>
                <w:szCs w:val="13"/>
                <w:color w:val="auto"/>
              </w:rPr>
              <w:t>Securities sold under repurchase agreements</w:t>
            </w:r>
          </w:p>
        </w:tc>
        <w:tc>
          <w:tcPr>
            <w:tcW w:w="2740" w:type="dxa"/>
            <w:vAlign w:val="bottom"/>
          </w:tcPr>
          <w:p>
            <w:pPr>
              <w:jc w:val="center"/>
              <w:ind w:left="1516"/>
              <w:spacing w:after="0"/>
              <w:rPr>
                <w:sz w:val="20"/>
                <w:szCs w:val="20"/>
                <w:color w:val="auto"/>
              </w:rPr>
            </w:pPr>
            <w:r>
              <w:rPr>
                <w:rFonts w:ascii="Arial" w:cs="Arial" w:eastAsia="Arial" w:hAnsi="Arial"/>
                <w:sz w:val="13"/>
                <w:szCs w:val="13"/>
                <w:color w:val="auto"/>
                <w:w w:val="82"/>
              </w:rPr>
              <w:t>16</w:t>
            </w:r>
          </w:p>
        </w:tc>
        <w:tc>
          <w:tcPr>
            <w:tcW w:w="1500" w:type="dxa"/>
            <w:vAlign w:val="bottom"/>
            <w:gridSpan w:val="2"/>
          </w:tcPr>
          <w:p>
            <w:pPr>
              <w:jc w:val="right"/>
              <w:ind w:right="240"/>
              <w:spacing w:after="0"/>
              <w:rPr>
                <w:sz w:val="20"/>
                <w:szCs w:val="20"/>
                <w:color w:val="auto"/>
              </w:rPr>
            </w:pPr>
            <w:r>
              <w:rPr>
                <w:rFonts w:ascii="Arial" w:cs="Arial" w:eastAsia="Arial" w:hAnsi="Arial"/>
                <w:sz w:val="13"/>
                <w:szCs w:val="13"/>
                <w:color w:val="auto"/>
              </w:rPr>
              <w:t>39,767</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860" w:type="dxa"/>
            <w:vAlign w:val="bottom"/>
            <w:shd w:val="clear" w:color="auto" w:fill="CCEEFF"/>
          </w:tcPr>
          <w:p>
            <w:pPr>
              <w:spacing w:after="0"/>
              <w:rPr>
                <w:sz w:val="20"/>
                <w:szCs w:val="20"/>
                <w:color w:val="auto"/>
              </w:rPr>
            </w:pPr>
            <w:r>
              <w:rPr>
                <w:rFonts w:ascii="Arial" w:cs="Arial" w:eastAsia="Arial" w:hAnsi="Arial"/>
                <w:sz w:val="13"/>
                <w:szCs w:val="13"/>
                <w:color w:val="auto"/>
              </w:rPr>
              <w:t>Borrowings and debt, net</w:t>
            </w:r>
          </w:p>
        </w:tc>
        <w:tc>
          <w:tcPr>
            <w:tcW w:w="2740" w:type="dxa"/>
            <w:vAlign w:val="bottom"/>
            <w:shd w:val="clear" w:color="auto" w:fill="CCEEFF"/>
          </w:tcPr>
          <w:p>
            <w:pPr>
              <w:jc w:val="center"/>
              <w:ind w:left="1516"/>
              <w:spacing w:after="0"/>
              <w:rPr>
                <w:sz w:val="20"/>
                <w:szCs w:val="20"/>
                <w:color w:val="auto"/>
              </w:rPr>
            </w:pPr>
            <w:r>
              <w:rPr>
                <w:rFonts w:ascii="Arial" w:cs="Arial" w:eastAsia="Arial" w:hAnsi="Arial"/>
                <w:sz w:val="13"/>
                <w:szCs w:val="13"/>
                <w:color w:val="auto"/>
                <w:w w:val="82"/>
              </w:rPr>
              <w:t>17</w:t>
            </w: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3,518,446</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2,211,567</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860" w:type="dxa"/>
            <w:vAlign w:val="bottom"/>
          </w:tcPr>
          <w:p>
            <w:pPr>
              <w:spacing w:after="0"/>
              <w:rPr>
                <w:sz w:val="20"/>
                <w:szCs w:val="20"/>
                <w:color w:val="auto"/>
              </w:rPr>
            </w:pPr>
            <w:r>
              <w:rPr>
                <w:rFonts w:ascii="Arial" w:cs="Arial" w:eastAsia="Arial" w:hAnsi="Arial"/>
                <w:sz w:val="13"/>
                <w:szCs w:val="13"/>
                <w:color w:val="auto"/>
              </w:rPr>
              <w:t>Interest payable</w:t>
            </w:r>
          </w:p>
        </w:tc>
        <w:tc>
          <w:tcPr>
            <w:tcW w:w="2740" w:type="dxa"/>
            <w:vAlign w:val="bottom"/>
          </w:tcPr>
          <w:p>
            <w:pPr>
              <w:spacing w:after="0"/>
              <w:rPr>
                <w:sz w:val="13"/>
                <w:szCs w:val="13"/>
                <w:color w:val="auto"/>
              </w:rPr>
            </w:pPr>
          </w:p>
        </w:tc>
        <w:tc>
          <w:tcPr>
            <w:tcW w:w="1500" w:type="dxa"/>
            <w:vAlign w:val="bottom"/>
            <w:gridSpan w:val="2"/>
          </w:tcPr>
          <w:p>
            <w:pPr>
              <w:jc w:val="right"/>
              <w:ind w:right="240"/>
              <w:spacing w:after="0"/>
              <w:rPr>
                <w:sz w:val="20"/>
                <w:szCs w:val="20"/>
                <w:color w:val="auto"/>
              </w:rPr>
            </w:pPr>
            <w:r>
              <w:rPr>
                <w:rFonts w:ascii="Arial" w:cs="Arial" w:eastAsia="Arial" w:hAnsi="Arial"/>
                <w:sz w:val="13"/>
                <w:szCs w:val="13"/>
                <w:color w:val="auto"/>
              </w:rPr>
              <w:t>13,763</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7,555</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860" w:type="dxa"/>
            <w:vAlign w:val="bottom"/>
            <w:shd w:val="clear" w:color="auto" w:fill="CCEEFF"/>
          </w:tcPr>
          <w:p>
            <w:pPr>
              <w:spacing w:after="0"/>
              <w:rPr>
                <w:sz w:val="13"/>
                <w:szCs w:val="13"/>
                <w:color w:val="auto"/>
              </w:rPr>
            </w:pPr>
          </w:p>
        </w:tc>
        <w:tc>
          <w:tcPr>
            <w:tcW w:w="2740" w:type="dxa"/>
            <w:vAlign w:val="bottom"/>
            <w:shd w:val="clear" w:color="auto" w:fill="CCEEFF"/>
          </w:tcPr>
          <w:p>
            <w:pPr>
              <w:spacing w:after="0"/>
              <w:rPr>
                <w:sz w:val="13"/>
                <w:szCs w:val="13"/>
                <w:color w:val="auto"/>
              </w:rPr>
            </w:pPr>
          </w:p>
        </w:tc>
        <w:tc>
          <w:tcPr>
            <w:tcW w:w="12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860" w:type="dxa"/>
            <w:vAlign w:val="bottom"/>
          </w:tcPr>
          <w:p>
            <w:pPr>
              <w:spacing w:after="0"/>
              <w:rPr>
                <w:sz w:val="20"/>
                <w:szCs w:val="20"/>
                <w:color w:val="auto"/>
              </w:rPr>
            </w:pPr>
            <w:r>
              <w:rPr>
                <w:rFonts w:ascii="Arial" w:cs="Arial" w:eastAsia="Arial" w:hAnsi="Arial"/>
                <w:sz w:val="13"/>
                <w:szCs w:val="13"/>
                <w:color w:val="auto"/>
              </w:rPr>
              <w:t>Customers' liabilities under acceptances</w:t>
            </w:r>
          </w:p>
        </w:tc>
        <w:tc>
          <w:tcPr>
            <w:tcW w:w="2740" w:type="dxa"/>
            <w:vAlign w:val="bottom"/>
          </w:tcPr>
          <w:p>
            <w:pPr>
              <w:spacing w:after="0"/>
              <w:rPr>
                <w:sz w:val="13"/>
                <w:szCs w:val="13"/>
                <w:color w:val="auto"/>
              </w:rPr>
            </w:pPr>
          </w:p>
        </w:tc>
        <w:tc>
          <w:tcPr>
            <w:tcW w:w="1500" w:type="dxa"/>
            <w:vAlign w:val="bottom"/>
            <w:gridSpan w:val="2"/>
          </w:tcPr>
          <w:p>
            <w:pPr>
              <w:jc w:val="right"/>
              <w:ind w:right="240"/>
              <w:spacing w:after="0"/>
              <w:rPr>
                <w:sz w:val="20"/>
                <w:szCs w:val="20"/>
                <w:color w:val="auto"/>
              </w:rPr>
            </w:pPr>
            <w:r>
              <w:rPr>
                <w:rFonts w:ascii="Arial" w:cs="Arial" w:eastAsia="Arial" w:hAnsi="Arial"/>
                <w:sz w:val="13"/>
                <w:szCs w:val="13"/>
                <w:color w:val="auto"/>
              </w:rPr>
              <w:t>9,696</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6,369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860" w:type="dxa"/>
            <w:vAlign w:val="bottom"/>
            <w:shd w:val="clear" w:color="auto" w:fill="CCEEFF"/>
          </w:tcPr>
          <w:p>
            <w:pPr>
              <w:spacing w:after="0"/>
              <w:rPr>
                <w:sz w:val="20"/>
                <w:szCs w:val="20"/>
                <w:color w:val="auto"/>
              </w:rPr>
            </w:pPr>
            <w:r>
              <w:rPr>
                <w:rFonts w:ascii="Arial" w:cs="Arial" w:eastAsia="Arial" w:hAnsi="Arial"/>
                <w:sz w:val="13"/>
                <w:szCs w:val="13"/>
                <w:color w:val="auto"/>
              </w:rPr>
              <w:t>Derivative financial instruments - liabilities</w:t>
            </w:r>
          </w:p>
        </w:tc>
        <w:tc>
          <w:tcPr>
            <w:tcW w:w="2740" w:type="dxa"/>
            <w:vAlign w:val="bottom"/>
            <w:shd w:val="clear" w:color="auto" w:fill="CCEEFF"/>
          </w:tcPr>
          <w:p>
            <w:pPr>
              <w:jc w:val="center"/>
              <w:ind w:left="1496"/>
              <w:spacing w:after="0"/>
              <w:rPr>
                <w:sz w:val="20"/>
                <w:szCs w:val="20"/>
                <w:color w:val="auto"/>
              </w:rPr>
            </w:pPr>
            <w:r>
              <w:rPr>
                <w:rFonts w:ascii="Arial" w:cs="Arial" w:eastAsia="Arial" w:hAnsi="Arial"/>
                <w:sz w:val="13"/>
                <w:szCs w:val="13"/>
                <w:color w:val="auto"/>
                <w:w w:val="86"/>
              </w:rPr>
              <w:t>9,26</w:t>
            </w: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34,043</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34,943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860" w:type="dxa"/>
            <w:vAlign w:val="bottom"/>
          </w:tcPr>
          <w:p>
            <w:pPr>
              <w:spacing w:after="0"/>
              <w:rPr>
                <w:sz w:val="20"/>
                <w:szCs w:val="20"/>
                <w:color w:val="auto"/>
              </w:rPr>
            </w:pPr>
            <w:r>
              <w:rPr>
                <w:rFonts w:ascii="Arial" w:cs="Arial" w:eastAsia="Arial" w:hAnsi="Arial"/>
                <w:sz w:val="13"/>
                <w:szCs w:val="13"/>
                <w:color w:val="auto"/>
              </w:rPr>
              <w:t>Allowance for loan commitments and financial guarantees contracts losses</w:t>
            </w:r>
          </w:p>
        </w:tc>
        <w:tc>
          <w:tcPr>
            <w:tcW w:w="2740" w:type="dxa"/>
            <w:vAlign w:val="bottom"/>
          </w:tcPr>
          <w:p>
            <w:pPr>
              <w:jc w:val="center"/>
              <w:ind w:left="1496"/>
              <w:spacing w:after="0"/>
              <w:rPr>
                <w:sz w:val="20"/>
                <w:szCs w:val="20"/>
                <w:color w:val="auto"/>
              </w:rPr>
            </w:pPr>
            <w:r>
              <w:rPr>
                <w:rFonts w:ascii="Arial" w:cs="Arial" w:eastAsia="Arial" w:hAnsi="Arial"/>
                <w:sz w:val="13"/>
                <w:szCs w:val="13"/>
                <w:color w:val="auto"/>
                <w:w w:val="82"/>
              </w:rPr>
              <w:t>7</w:t>
            </w:r>
          </w:p>
        </w:tc>
        <w:tc>
          <w:tcPr>
            <w:tcW w:w="1500" w:type="dxa"/>
            <w:vAlign w:val="bottom"/>
            <w:gridSpan w:val="2"/>
          </w:tcPr>
          <w:p>
            <w:pPr>
              <w:jc w:val="right"/>
              <w:ind w:right="240"/>
              <w:spacing w:after="0"/>
              <w:rPr>
                <w:sz w:val="20"/>
                <w:szCs w:val="20"/>
                <w:color w:val="auto"/>
              </w:rPr>
            </w:pPr>
            <w:r>
              <w:rPr>
                <w:rFonts w:ascii="Arial" w:cs="Arial" w:eastAsia="Arial" w:hAnsi="Arial"/>
                <w:sz w:val="13"/>
                <w:szCs w:val="13"/>
                <w:color w:val="auto"/>
              </w:rPr>
              <w:t>3,289</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6,845</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860" w:type="dxa"/>
            <w:vAlign w:val="bottom"/>
            <w:shd w:val="clear" w:color="auto" w:fill="CCEEFF"/>
          </w:tcPr>
          <w:p>
            <w:pPr>
              <w:spacing w:after="0"/>
              <w:rPr>
                <w:sz w:val="20"/>
                <w:szCs w:val="20"/>
                <w:color w:val="auto"/>
              </w:rPr>
            </w:pPr>
            <w:r>
              <w:rPr>
                <w:rFonts w:ascii="Arial" w:cs="Arial" w:eastAsia="Arial" w:hAnsi="Arial"/>
                <w:sz w:val="13"/>
                <w:szCs w:val="13"/>
                <w:color w:val="auto"/>
              </w:rPr>
              <w:t>Other liabilities</w:t>
            </w:r>
          </w:p>
        </w:tc>
        <w:tc>
          <w:tcPr>
            <w:tcW w:w="2740" w:type="dxa"/>
            <w:vAlign w:val="bottom"/>
            <w:shd w:val="clear" w:color="auto" w:fill="CCEEFF"/>
          </w:tcPr>
          <w:p>
            <w:pPr>
              <w:jc w:val="center"/>
              <w:ind w:left="1516"/>
              <w:spacing w:after="0"/>
              <w:rPr>
                <w:sz w:val="20"/>
                <w:szCs w:val="20"/>
                <w:color w:val="auto"/>
              </w:rPr>
            </w:pPr>
            <w:r>
              <w:rPr>
                <w:rFonts w:ascii="Arial" w:cs="Arial" w:eastAsia="Arial" w:hAnsi="Arial"/>
                <w:sz w:val="13"/>
                <w:szCs w:val="13"/>
                <w:color w:val="auto"/>
                <w:w w:val="82"/>
              </w:rPr>
              <w:t>18</w:t>
            </w: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13,615</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20,551</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860" w:type="dxa"/>
            <w:vAlign w:val="bottom"/>
            <w:tcBorders>
              <w:bottom w:val="single" w:sz="8" w:color="CCEEFF"/>
            </w:tcBorders>
          </w:tcPr>
          <w:p>
            <w:pPr>
              <w:spacing w:after="0" w:line="143" w:lineRule="exact"/>
              <w:rPr>
                <w:sz w:val="20"/>
                <w:szCs w:val="20"/>
                <w:color w:val="auto"/>
              </w:rPr>
            </w:pPr>
            <w:r>
              <w:rPr>
                <w:rFonts w:ascii="Arial" w:cs="Arial" w:eastAsia="Arial" w:hAnsi="Arial"/>
                <w:sz w:val="13"/>
                <w:szCs w:val="13"/>
                <w:color w:val="auto"/>
              </w:rPr>
              <w:t>Total liabilities</w:t>
            </w:r>
          </w:p>
        </w:tc>
        <w:tc>
          <w:tcPr>
            <w:tcW w:w="2740" w:type="dxa"/>
            <w:vAlign w:val="bottom"/>
            <w:tcBorders>
              <w:bottom w:val="single" w:sz="8" w:color="CCEEFF"/>
            </w:tcBorders>
          </w:tcPr>
          <w:p>
            <w:pPr>
              <w:spacing w:after="0"/>
              <w:rPr>
                <w:sz w:val="12"/>
                <w:szCs w:val="12"/>
                <w:color w:val="auto"/>
              </w:rPr>
            </w:pPr>
          </w:p>
        </w:tc>
        <w:tc>
          <w:tcPr>
            <w:tcW w:w="126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6,615,595</w:t>
            </w:r>
          </w:p>
        </w:tc>
        <w:tc>
          <w:tcPr>
            <w:tcW w:w="240" w:type="dxa"/>
            <w:vAlign w:val="bottom"/>
            <w:tcBorders>
              <w:bottom w:val="single" w:sz="8" w:color="CCEEFF"/>
            </w:tcBorders>
          </w:tcPr>
          <w:p>
            <w:pPr>
              <w:spacing w:after="0"/>
              <w:rPr>
                <w:sz w:val="12"/>
                <w:szCs w:val="12"/>
                <w:color w:val="auto"/>
              </w:rPr>
            </w:pPr>
          </w:p>
        </w:tc>
        <w:tc>
          <w:tcPr>
            <w:tcW w:w="12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5,224,935</w:t>
            </w:r>
          </w:p>
        </w:tc>
        <w:tc>
          <w:tcPr>
            <w:tcW w:w="120" w:type="dxa"/>
            <w:vAlign w:val="bottom"/>
            <w:tcBorders>
              <w:bottom w:val="single" w:sz="8" w:color="CCEEFF"/>
            </w:tcBorders>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5860" w:type="dxa"/>
            <w:vAlign w:val="bottom"/>
            <w:shd w:val="clear" w:color="auto" w:fill="CCEEFF"/>
          </w:tcPr>
          <w:p>
            <w:pPr>
              <w:spacing w:after="0"/>
              <w:rPr>
                <w:sz w:val="12"/>
                <w:szCs w:val="12"/>
                <w:color w:val="auto"/>
              </w:rPr>
            </w:pPr>
          </w:p>
        </w:tc>
        <w:tc>
          <w:tcPr>
            <w:tcW w:w="2740" w:type="dxa"/>
            <w:vAlign w:val="bottom"/>
            <w:shd w:val="clear" w:color="auto" w:fill="CCEEFF"/>
          </w:tcPr>
          <w:p>
            <w:pPr>
              <w:spacing w:after="0"/>
              <w:rPr>
                <w:sz w:val="12"/>
                <w:szCs w:val="12"/>
                <w:color w:val="auto"/>
              </w:rPr>
            </w:pPr>
          </w:p>
        </w:tc>
        <w:tc>
          <w:tcPr>
            <w:tcW w:w="12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860" w:type="dxa"/>
            <w:vAlign w:val="bottom"/>
          </w:tcPr>
          <w:p>
            <w:pPr>
              <w:spacing w:after="0"/>
              <w:rPr>
                <w:sz w:val="20"/>
                <w:szCs w:val="20"/>
                <w:color w:val="auto"/>
              </w:rPr>
            </w:pPr>
            <w:r>
              <w:rPr>
                <w:rFonts w:ascii="Arial" w:cs="Arial" w:eastAsia="Arial" w:hAnsi="Arial"/>
                <w:sz w:val="13"/>
                <w:szCs w:val="13"/>
                <w:color w:val="auto"/>
              </w:rPr>
              <w:t>Equity:</w:t>
            </w:r>
          </w:p>
        </w:tc>
        <w:tc>
          <w:tcPr>
            <w:tcW w:w="274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860" w:type="dxa"/>
            <w:vAlign w:val="bottom"/>
            <w:shd w:val="clear" w:color="auto" w:fill="CCEEFF"/>
          </w:tcPr>
          <w:p>
            <w:pPr>
              <w:spacing w:after="0"/>
              <w:rPr>
                <w:sz w:val="20"/>
                <w:szCs w:val="20"/>
                <w:color w:val="auto"/>
              </w:rPr>
            </w:pPr>
            <w:r>
              <w:rPr>
                <w:rFonts w:ascii="Arial" w:cs="Arial" w:eastAsia="Arial" w:hAnsi="Arial"/>
                <w:sz w:val="13"/>
                <w:szCs w:val="13"/>
                <w:color w:val="auto"/>
              </w:rPr>
              <w:t>Common stock</w:t>
            </w:r>
          </w:p>
        </w:tc>
        <w:tc>
          <w:tcPr>
            <w:tcW w:w="2740" w:type="dxa"/>
            <w:vAlign w:val="bottom"/>
            <w:shd w:val="clear" w:color="auto" w:fill="CCEEFF"/>
          </w:tcPr>
          <w:p>
            <w:pPr>
              <w:jc w:val="center"/>
              <w:ind w:left="1516"/>
              <w:spacing w:after="0"/>
              <w:rPr>
                <w:sz w:val="20"/>
                <w:szCs w:val="20"/>
                <w:color w:val="auto"/>
              </w:rPr>
            </w:pPr>
            <w:r>
              <w:rPr>
                <w:rFonts w:ascii="Arial" w:cs="Arial" w:eastAsia="Arial" w:hAnsi="Arial"/>
                <w:sz w:val="13"/>
                <w:szCs w:val="13"/>
                <w:color w:val="auto"/>
                <w:w w:val="82"/>
              </w:rPr>
              <w:t>20</w:t>
            </w: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279,980</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279,980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860" w:type="dxa"/>
            <w:vAlign w:val="bottom"/>
          </w:tcPr>
          <w:p>
            <w:pPr>
              <w:spacing w:after="0"/>
              <w:rPr>
                <w:sz w:val="20"/>
                <w:szCs w:val="20"/>
                <w:color w:val="auto"/>
              </w:rPr>
            </w:pPr>
            <w:r>
              <w:rPr>
                <w:rFonts w:ascii="Arial" w:cs="Arial" w:eastAsia="Arial" w:hAnsi="Arial"/>
                <w:sz w:val="13"/>
                <w:szCs w:val="13"/>
                <w:color w:val="auto"/>
              </w:rPr>
              <w:t>Treasury stock</w:t>
            </w:r>
          </w:p>
        </w:tc>
        <w:tc>
          <w:tcPr>
            <w:tcW w:w="2740" w:type="dxa"/>
            <w:vAlign w:val="bottom"/>
          </w:tcPr>
          <w:p>
            <w:pPr>
              <w:jc w:val="center"/>
              <w:ind w:left="1516"/>
              <w:spacing w:after="0"/>
              <w:rPr>
                <w:sz w:val="20"/>
                <w:szCs w:val="20"/>
                <w:color w:val="auto"/>
              </w:rPr>
            </w:pPr>
            <w:r>
              <w:rPr>
                <w:rFonts w:ascii="Arial" w:cs="Arial" w:eastAsia="Arial" w:hAnsi="Arial"/>
                <w:sz w:val="13"/>
                <w:szCs w:val="13"/>
                <w:color w:val="auto"/>
                <w:w w:val="82"/>
              </w:rPr>
              <w:t>21</w:t>
            </w:r>
          </w:p>
        </w:tc>
        <w:tc>
          <w:tcPr>
            <w:tcW w:w="1500" w:type="dxa"/>
            <w:vAlign w:val="bottom"/>
            <w:gridSpan w:val="2"/>
          </w:tcPr>
          <w:p>
            <w:pPr>
              <w:jc w:val="right"/>
              <w:ind w:right="200"/>
              <w:spacing w:after="0"/>
              <w:rPr>
                <w:sz w:val="20"/>
                <w:szCs w:val="20"/>
                <w:color w:val="auto"/>
              </w:rPr>
            </w:pPr>
            <w:r>
              <w:rPr>
                <w:rFonts w:ascii="Arial" w:cs="Arial" w:eastAsia="Arial" w:hAnsi="Arial"/>
                <w:sz w:val="13"/>
                <w:szCs w:val="13"/>
                <w:color w:val="auto"/>
              </w:rPr>
              <w:t>(61,076)</w:t>
            </w:r>
          </w:p>
        </w:tc>
        <w:tc>
          <w:tcPr>
            <w:tcW w:w="1360" w:type="dxa"/>
            <w:vAlign w:val="bottom"/>
            <w:gridSpan w:val="2"/>
          </w:tcPr>
          <w:p>
            <w:pPr>
              <w:jc w:val="right"/>
              <w:ind w:right="80"/>
              <w:spacing w:after="0"/>
              <w:rPr>
                <w:sz w:val="20"/>
                <w:szCs w:val="20"/>
                <w:color w:val="auto"/>
              </w:rPr>
            </w:pPr>
            <w:r>
              <w:rPr>
                <w:rFonts w:ascii="Arial" w:cs="Arial" w:eastAsia="Arial" w:hAnsi="Arial"/>
                <w:sz w:val="13"/>
                <w:szCs w:val="13"/>
                <w:color w:val="auto"/>
              </w:rPr>
              <w:t>(63,248)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860" w:type="dxa"/>
            <w:vAlign w:val="bottom"/>
            <w:shd w:val="clear" w:color="auto" w:fill="CCEEFF"/>
          </w:tcPr>
          <w:p>
            <w:pPr>
              <w:spacing w:after="0"/>
              <w:rPr>
                <w:sz w:val="20"/>
                <w:szCs w:val="20"/>
                <w:color w:val="auto"/>
              </w:rPr>
            </w:pPr>
            <w:r>
              <w:rPr>
                <w:rFonts w:ascii="Arial" w:cs="Arial" w:eastAsia="Arial" w:hAnsi="Arial"/>
                <w:sz w:val="13"/>
                <w:szCs w:val="13"/>
                <w:color w:val="auto"/>
              </w:rPr>
              <w:t>Additional paid-in capital in excess of value assigned to common stock</w:t>
            </w:r>
          </w:p>
        </w:tc>
        <w:tc>
          <w:tcPr>
            <w:tcW w:w="2740" w:type="dxa"/>
            <w:vAlign w:val="bottom"/>
            <w:shd w:val="clear" w:color="auto" w:fill="CCEEFF"/>
          </w:tcPr>
          <w:p>
            <w:pPr>
              <w:jc w:val="center"/>
              <w:ind w:left="1516"/>
              <w:spacing w:after="0"/>
              <w:rPr>
                <w:sz w:val="20"/>
                <w:szCs w:val="20"/>
                <w:color w:val="auto"/>
              </w:rPr>
            </w:pPr>
            <w:r>
              <w:rPr>
                <w:rFonts w:ascii="Arial" w:cs="Arial" w:eastAsia="Arial" w:hAnsi="Arial"/>
                <w:sz w:val="13"/>
                <w:szCs w:val="13"/>
                <w:color w:val="auto"/>
                <w:w w:val="82"/>
              </w:rPr>
              <w:t>20</w:t>
            </w: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119,987</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119,941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860" w:type="dxa"/>
            <w:vAlign w:val="bottom"/>
          </w:tcPr>
          <w:p>
            <w:pPr>
              <w:spacing w:after="0"/>
              <w:rPr>
                <w:sz w:val="20"/>
                <w:szCs w:val="20"/>
                <w:color w:val="auto"/>
              </w:rPr>
            </w:pPr>
            <w:r>
              <w:rPr>
                <w:rFonts w:ascii="Arial" w:cs="Arial" w:eastAsia="Arial" w:hAnsi="Arial"/>
                <w:sz w:val="13"/>
                <w:szCs w:val="13"/>
                <w:color w:val="auto"/>
              </w:rPr>
              <w:t>Capital reserves</w:t>
            </w:r>
          </w:p>
        </w:tc>
        <w:tc>
          <w:tcPr>
            <w:tcW w:w="2740" w:type="dxa"/>
            <w:vAlign w:val="bottom"/>
          </w:tcPr>
          <w:p>
            <w:pPr>
              <w:jc w:val="center"/>
              <w:ind w:left="1516"/>
              <w:spacing w:after="0"/>
              <w:rPr>
                <w:sz w:val="20"/>
                <w:szCs w:val="20"/>
                <w:color w:val="auto"/>
              </w:rPr>
            </w:pPr>
            <w:r>
              <w:rPr>
                <w:rFonts w:ascii="Arial" w:cs="Arial" w:eastAsia="Arial" w:hAnsi="Arial"/>
                <w:sz w:val="13"/>
                <w:szCs w:val="13"/>
                <w:color w:val="auto"/>
                <w:w w:val="82"/>
              </w:rPr>
              <w:t>33</w:t>
            </w:r>
          </w:p>
        </w:tc>
        <w:tc>
          <w:tcPr>
            <w:tcW w:w="1500" w:type="dxa"/>
            <w:vAlign w:val="bottom"/>
            <w:gridSpan w:val="2"/>
          </w:tcPr>
          <w:p>
            <w:pPr>
              <w:jc w:val="right"/>
              <w:ind w:right="240"/>
              <w:spacing w:after="0"/>
              <w:rPr>
                <w:sz w:val="20"/>
                <w:szCs w:val="20"/>
                <w:color w:val="auto"/>
              </w:rPr>
            </w:pPr>
            <w:r>
              <w:rPr>
                <w:rFonts w:ascii="Arial" w:cs="Arial" w:eastAsia="Arial" w:hAnsi="Arial"/>
                <w:sz w:val="13"/>
                <w:szCs w:val="13"/>
                <w:color w:val="auto"/>
              </w:rPr>
              <w:t>95,210</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95,210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860" w:type="dxa"/>
            <w:vAlign w:val="bottom"/>
            <w:shd w:val="clear" w:color="auto" w:fill="CCEEFF"/>
          </w:tcPr>
          <w:p>
            <w:pPr>
              <w:spacing w:after="0"/>
              <w:rPr>
                <w:sz w:val="20"/>
                <w:szCs w:val="20"/>
                <w:color w:val="auto"/>
              </w:rPr>
            </w:pPr>
            <w:r>
              <w:rPr>
                <w:rFonts w:ascii="Arial" w:cs="Arial" w:eastAsia="Arial" w:hAnsi="Arial"/>
                <w:sz w:val="13"/>
                <w:szCs w:val="13"/>
                <w:color w:val="auto"/>
              </w:rPr>
              <w:t>Regulatory reserves</w:t>
            </w:r>
          </w:p>
        </w:tc>
        <w:tc>
          <w:tcPr>
            <w:tcW w:w="2740" w:type="dxa"/>
            <w:vAlign w:val="bottom"/>
            <w:shd w:val="clear" w:color="auto" w:fill="CCEEFF"/>
          </w:tcPr>
          <w:p>
            <w:pPr>
              <w:jc w:val="center"/>
              <w:ind w:left="1516"/>
              <w:spacing w:after="0"/>
              <w:rPr>
                <w:sz w:val="20"/>
                <w:szCs w:val="20"/>
                <w:color w:val="auto"/>
              </w:rPr>
            </w:pPr>
            <w:r>
              <w:rPr>
                <w:rFonts w:ascii="Arial" w:cs="Arial" w:eastAsia="Arial" w:hAnsi="Arial"/>
                <w:sz w:val="13"/>
                <w:szCs w:val="13"/>
                <w:color w:val="auto"/>
                <w:w w:val="82"/>
              </w:rPr>
              <w:t>33</w:t>
            </w: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136,019</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129,254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860" w:type="dxa"/>
            <w:vAlign w:val="bottom"/>
          </w:tcPr>
          <w:p>
            <w:pPr>
              <w:spacing w:after="0"/>
              <w:rPr>
                <w:sz w:val="20"/>
                <w:szCs w:val="20"/>
                <w:color w:val="auto"/>
              </w:rPr>
            </w:pPr>
            <w:r>
              <w:rPr>
                <w:rFonts w:ascii="Arial" w:cs="Arial" w:eastAsia="Arial" w:hAnsi="Arial"/>
                <w:sz w:val="13"/>
                <w:szCs w:val="13"/>
                <w:color w:val="auto"/>
              </w:rPr>
              <w:t>Retained earnings</w:t>
            </w:r>
          </w:p>
        </w:tc>
        <w:tc>
          <w:tcPr>
            <w:tcW w:w="2740" w:type="dxa"/>
            <w:vAlign w:val="bottom"/>
          </w:tcPr>
          <w:p>
            <w:pPr>
              <w:spacing w:after="0"/>
              <w:rPr>
                <w:sz w:val="13"/>
                <w:szCs w:val="13"/>
                <w:color w:val="auto"/>
              </w:rPr>
            </w:pPr>
          </w:p>
        </w:tc>
        <w:tc>
          <w:tcPr>
            <w:tcW w:w="1500" w:type="dxa"/>
            <w:vAlign w:val="bottom"/>
            <w:gridSpan w:val="2"/>
          </w:tcPr>
          <w:p>
            <w:pPr>
              <w:jc w:val="right"/>
              <w:ind w:right="240"/>
              <w:spacing w:after="0"/>
              <w:rPr>
                <w:sz w:val="20"/>
                <w:szCs w:val="20"/>
                <w:color w:val="auto"/>
              </w:rPr>
            </w:pPr>
            <w:r>
              <w:rPr>
                <w:rFonts w:ascii="Arial" w:cs="Arial" w:eastAsia="Arial" w:hAnsi="Arial"/>
                <w:sz w:val="13"/>
                <w:szCs w:val="13"/>
                <w:color w:val="auto"/>
              </w:rPr>
              <w:t>423,050</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479,712</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860" w:type="dxa"/>
            <w:vAlign w:val="bottom"/>
            <w:shd w:val="clear" w:color="auto" w:fill="CCEEFF"/>
          </w:tcPr>
          <w:p>
            <w:pPr>
              <w:spacing w:after="0"/>
              <w:rPr>
                <w:sz w:val="20"/>
                <w:szCs w:val="20"/>
                <w:color w:val="auto"/>
              </w:rPr>
            </w:pPr>
            <w:r>
              <w:rPr>
                <w:rFonts w:ascii="Arial" w:cs="Arial" w:eastAsia="Arial" w:hAnsi="Arial"/>
                <w:sz w:val="13"/>
                <w:szCs w:val="13"/>
                <w:color w:val="auto"/>
              </w:rPr>
              <w:t>Other comprehensive income</w:t>
            </w:r>
          </w:p>
        </w:tc>
        <w:tc>
          <w:tcPr>
            <w:tcW w:w="2740" w:type="dxa"/>
            <w:vAlign w:val="bottom"/>
            <w:shd w:val="clear" w:color="auto" w:fill="CCEEFF"/>
          </w:tcPr>
          <w:p>
            <w:pPr>
              <w:jc w:val="center"/>
              <w:ind w:left="1516"/>
              <w:spacing w:after="0"/>
              <w:rPr>
                <w:sz w:val="20"/>
                <w:szCs w:val="20"/>
                <w:color w:val="auto"/>
              </w:rPr>
            </w:pPr>
            <w:r>
              <w:rPr>
                <w:rFonts w:ascii="Arial" w:cs="Arial" w:eastAsia="Arial" w:hAnsi="Arial"/>
                <w:sz w:val="13"/>
                <w:szCs w:val="13"/>
                <w:color w:val="auto"/>
                <w:w w:val="82"/>
              </w:rPr>
              <w:t>22</w:t>
            </w: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420</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1,963</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860" w:type="dxa"/>
            <w:vAlign w:val="bottom"/>
            <w:tcBorders>
              <w:bottom w:val="single" w:sz="8" w:color="CCEEFF"/>
            </w:tcBorders>
          </w:tcPr>
          <w:p>
            <w:pPr>
              <w:spacing w:after="0" w:line="143" w:lineRule="exact"/>
              <w:rPr>
                <w:sz w:val="20"/>
                <w:szCs w:val="20"/>
                <w:color w:val="auto"/>
              </w:rPr>
            </w:pPr>
            <w:r>
              <w:rPr>
                <w:rFonts w:ascii="Arial" w:cs="Arial" w:eastAsia="Arial" w:hAnsi="Arial"/>
                <w:sz w:val="13"/>
                <w:szCs w:val="13"/>
                <w:color w:val="auto"/>
              </w:rPr>
              <w:t>Total equity</w:t>
            </w:r>
          </w:p>
        </w:tc>
        <w:tc>
          <w:tcPr>
            <w:tcW w:w="2740" w:type="dxa"/>
            <w:vAlign w:val="bottom"/>
            <w:tcBorders>
              <w:bottom w:val="single" w:sz="8" w:color="CCEEFF"/>
            </w:tcBorders>
          </w:tcPr>
          <w:p>
            <w:pPr>
              <w:spacing w:after="0"/>
              <w:rPr>
                <w:sz w:val="12"/>
                <w:szCs w:val="12"/>
                <w:color w:val="auto"/>
              </w:rPr>
            </w:pPr>
          </w:p>
        </w:tc>
        <w:tc>
          <w:tcPr>
            <w:tcW w:w="126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993,590</w:t>
            </w:r>
          </w:p>
        </w:tc>
        <w:tc>
          <w:tcPr>
            <w:tcW w:w="240" w:type="dxa"/>
            <w:vAlign w:val="bottom"/>
            <w:tcBorders>
              <w:bottom w:val="single" w:sz="8" w:color="CCEEFF"/>
            </w:tcBorders>
          </w:tcPr>
          <w:p>
            <w:pPr>
              <w:spacing w:after="0"/>
              <w:rPr>
                <w:sz w:val="12"/>
                <w:szCs w:val="12"/>
                <w:color w:val="auto"/>
              </w:rPr>
            </w:pPr>
          </w:p>
        </w:tc>
        <w:tc>
          <w:tcPr>
            <w:tcW w:w="12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1,042,812</w:t>
            </w:r>
          </w:p>
        </w:tc>
        <w:tc>
          <w:tcPr>
            <w:tcW w:w="120" w:type="dxa"/>
            <w:vAlign w:val="bottom"/>
            <w:tcBorders>
              <w:bottom w:val="single" w:sz="8" w:color="CCEEFF"/>
            </w:tcBorders>
          </w:tcPr>
          <w:p>
            <w:pPr>
              <w:spacing w:after="0"/>
              <w:rPr>
                <w:sz w:val="12"/>
                <w:szCs w:val="12"/>
                <w:color w:val="auto"/>
              </w:rPr>
            </w:pPr>
          </w:p>
        </w:tc>
        <w:tc>
          <w:tcPr>
            <w:tcW w:w="0" w:type="dxa"/>
            <w:vAlign w:val="bottom"/>
          </w:tcPr>
          <w:p>
            <w:pPr>
              <w:spacing w:after="0"/>
              <w:rPr>
                <w:sz w:val="1"/>
                <w:szCs w:val="1"/>
                <w:color w:val="auto"/>
              </w:rPr>
            </w:pPr>
          </w:p>
        </w:tc>
      </w:tr>
      <w:tr>
        <w:trPr>
          <w:trHeight w:val="153"/>
        </w:trPr>
        <w:tc>
          <w:tcPr>
            <w:tcW w:w="20" w:type="dxa"/>
            <w:vAlign w:val="bottom"/>
          </w:tcPr>
          <w:p>
            <w:pPr>
              <w:spacing w:after="0"/>
              <w:rPr>
                <w:sz w:val="13"/>
                <w:szCs w:val="13"/>
                <w:color w:val="auto"/>
              </w:rPr>
            </w:pPr>
          </w:p>
        </w:tc>
        <w:tc>
          <w:tcPr>
            <w:tcW w:w="5860" w:type="dxa"/>
            <w:vAlign w:val="bottom"/>
            <w:shd w:val="clear" w:color="auto" w:fill="CCEEFF"/>
          </w:tcPr>
          <w:p>
            <w:pPr>
              <w:spacing w:after="0" w:line="146" w:lineRule="exact"/>
              <w:rPr>
                <w:sz w:val="20"/>
                <w:szCs w:val="20"/>
                <w:color w:val="auto"/>
              </w:rPr>
            </w:pPr>
            <w:r>
              <w:rPr>
                <w:rFonts w:ascii="Arial" w:cs="Arial" w:eastAsia="Arial" w:hAnsi="Arial"/>
                <w:sz w:val="13"/>
                <w:szCs w:val="13"/>
                <w:b w:val="1"/>
                <w:bCs w:val="1"/>
                <w:color w:val="auto"/>
              </w:rPr>
              <w:t>Total liabilities and equity</w:t>
            </w:r>
          </w:p>
        </w:tc>
        <w:tc>
          <w:tcPr>
            <w:tcW w:w="2740" w:type="dxa"/>
            <w:vAlign w:val="bottom"/>
            <w:shd w:val="clear" w:color="auto" w:fill="CCEEFF"/>
          </w:tcPr>
          <w:p>
            <w:pPr>
              <w:spacing w:after="0"/>
              <w:rPr>
                <w:sz w:val="13"/>
                <w:szCs w:val="13"/>
                <w:color w:val="auto"/>
              </w:rPr>
            </w:pP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7,609,185</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6,267,747</w:t>
            </w:r>
          </w:p>
        </w:tc>
        <w:tc>
          <w:tcPr>
            <w:tcW w:w="0" w:type="dxa"/>
            <w:vAlign w:val="bottom"/>
          </w:tcPr>
          <w:p>
            <w:pPr>
              <w:spacing w:after="0"/>
              <w:rPr>
                <w:sz w:val="1"/>
                <w:szCs w:val="1"/>
                <w:color w:val="auto"/>
              </w:rPr>
            </w:pPr>
          </w:p>
        </w:tc>
      </w:tr>
      <w:tr>
        <w:trPr>
          <w:trHeight w:val="29"/>
        </w:trPr>
        <w:tc>
          <w:tcPr>
            <w:tcW w:w="20" w:type="dxa"/>
            <w:vAlign w:val="bottom"/>
          </w:tcPr>
          <w:p>
            <w:pPr>
              <w:spacing w:after="0"/>
              <w:rPr>
                <w:sz w:val="2"/>
                <w:szCs w:val="2"/>
                <w:color w:val="auto"/>
              </w:rPr>
            </w:pPr>
          </w:p>
        </w:tc>
        <w:tc>
          <w:tcPr>
            <w:tcW w:w="5860" w:type="dxa"/>
            <w:vAlign w:val="bottom"/>
            <w:shd w:val="clear" w:color="auto" w:fill="CCEEFF"/>
          </w:tcPr>
          <w:p>
            <w:pPr>
              <w:spacing w:after="0"/>
              <w:rPr>
                <w:sz w:val="2"/>
                <w:szCs w:val="2"/>
                <w:color w:val="auto"/>
              </w:rPr>
            </w:pPr>
          </w:p>
        </w:tc>
        <w:tc>
          <w:tcPr>
            <w:tcW w:w="2740" w:type="dxa"/>
            <w:vAlign w:val="bottom"/>
            <w:shd w:val="clear" w:color="auto" w:fill="CCEEFF"/>
          </w:tcPr>
          <w:p>
            <w:pPr>
              <w:spacing w:after="0"/>
              <w:rPr>
                <w:sz w:val="2"/>
                <w:szCs w:val="2"/>
                <w:color w:val="auto"/>
              </w:rPr>
            </w:pPr>
          </w:p>
        </w:tc>
        <w:tc>
          <w:tcPr>
            <w:tcW w:w="126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1240" w:type="dxa"/>
            <w:vAlign w:val="bottom"/>
            <w:shd w:val="clear" w:color="auto" w:fill="000000"/>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145" w:lineRule="exact"/>
        <w:rPr>
          <w:sz w:val="20"/>
          <w:szCs w:val="20"/>
          <w:color w:val="auto"/>
        </w:rPr>
      </w:pPr>
    </w:p>
    <w:p>
      <w:pPr>
        <w:spacing w:after="0"/>
        <w:rPr>
          <w:sz w:val="20"/>
          <w:szCs w:val="20"/>
          <w:color w:val="auto"/>
        </w:rPr>
      </w:pPr>
      <w:r>
        <w:rPr>
          <w:rFonts w:ascii="Arial" w:cs="Arial" w:eastAsia="Arial" w:hAnsi="Arial"/>
          <w:sz w:val="13"/>
          <w:szCs w:val="13"/>
          <w:color w:val="auto"/>
        </w:rPr>
        <w:t>The accompanying notes are an integral part of these consolidated financial statements.</w:t>
      </w:r>
    </w:p>
    <w:p>
      <w:pPr>
        <w:spacing w:after="0" w:line="313"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F-5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5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5" w:right="199" w:bottom="1440" w:gutter="0" w:footer="0" w:header="0"/>
        </w:sectPr>
      </w:pPr>
    </w:p>
    <w:bookmarkStart w:id="130" w:name="page131"/>
    <w:bookmarkEnd w:id="130"/>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Consolidated statement of profit or loss</w:t>
      </w:r>
    </w:p>
    <w:p>
      <w:pPr>
        <w:spacing w:after="0" w:line="17"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For the year ended December 31, 2018</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color w:val="auto"/>
        </w:rPr>
        <w:t>(In thousands of US dollars, except per share data and number of shares)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-2540</wp:posOffset>
            </wp:positionV>
            <wp:extent cx="7285990" cy="635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5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26" w:lineRule="exact"/>
        <w:rPr>
          <w:sz w:val="20"/>
          <w:szCs w:val="20"/>
          <w:color w:val="auto"/>
        </w:rPr>
      </w:pPr>
    </w:p>
    <w:tbl>
      <w:tblPr>
        <w:tblLayout w:type="fixed"/>
        <w:tblInd w:w="0" w:type="dxa"/>
        <w:tblCellMar>
          <w:top w:w="0" w:type="dxa"/>
          <w:left w:w="0" w:type="dxa"/>
          <w:bottom w:w="0" w:type="dxa"/>
          <w:right w:w="0" w:type="dxa"/>
        </w:tblCellMar>
      </w:tblPr>
      <w:tr>
        <w:trPr>
          <w:trHeight w:val="176"/>
        </w:trPr>
        <w:tc>
          <w:tcPr>
            <w:tcW w:w="20" w:type="dxa"/>
            <w:vAlign w:val="bottom"/>
          </w:tcPr>
          <w:p>
            <w:pPr>
              <w:spacing w:after="0"/>
              <w:rPr>
                <w:sz w:val="15"/>
                <w:szCs w:val="15"/>
                <w:color w:val="auto"/>
              </w:rPr>
            </w:pPr>
          </w:p>
        </w:tc>
        <w:tc>
          <w:tcPr>
            <w:tcW w:w="4660" w:type="dxa"/>
            <w:vAlign w:val="bottom"/>
          </w:tcPr>
          <w:p>
            <w:pPr>
              <w:spacing w:after="0"/>
              <w:rPr>
                <w:sz w:val="15"/>
                <w:szCs w:val="15"/>
                <w:color w:val="auto"/>
              </w:rPr>
            </w:pPr>
          </w:p>
        </w:tc>
        <w:tc>
          <w:tcPr>
            <w:tcW w:w="2440" w:type="dxa"/>
            <w:vAlign w:val="bottom"/>
          </w:tcPr>
          <w:p>
            <w:pPr>
              <w:ind w:left="1700"/>
              <w:spacing w:after="0"/>
              <w:rPr>
                <w:sz w:val="20"/>
                <w:szCs w:val="20"/>
                <w:color w:val="auto"/>
              </w:rPr>
            </w:pPr>
            <w:r>
              <w:rPr>
                <w:rFonts w:ascii="Arial" w:cs="Arial" w:eastAsia="Arial" w:hAnsi="Arial"/>
                <w:sz w:val="13"/>
                <w:szCs w:val="13"/>
                <w:b w:val="1"/>
                <w:bCs w:val="1"/>
                <w:color w:val="auto"/>
              </w:rPr>
              <w:t>Notes</w:t>
            </w:r>
          </w:p>
        </w:tc>
        <w:tc>
          <w:tcPr>
            <w:tcW w:w="1280" w:type="dxa"/>
            <w:vAlign w:val="bottom"/>
            <w:tcBorders>
              <w:bottom w:val="single" w:sz="8" w:color="auto"/>
            </w:tcBorders>
          </w:tcPr>
          <w:p>
            <w:pPr>
              <w:jc w:val="right"/>
              <w:ind w:right="456"/>
              <w:spacing w:after="0"/>
              <w:rPr>
                <w:sz w:val="20"/>
                <w:szCs w:val="20"/>
                <w:color w:val="auto"/>
              </w:rPr>
            </w:pPr>
            <w:r>
              <w:rPr>
                <w:rFonts w:ascii="Arial" w:cs="Arial" w:eastAsia="Arial" w:hAnsi="Arial"/>
                <w:sz w:val="13"/>
                <w:szCs w:val="13"/>
                <w:b w:val="1"/>
                <w:bCs w:val="1"/>
                <w:color w:val="auto"/>
              </w:rPr>
              <w:t>2018</w:t>
            </w:r>
          </w:p>
        </w:tc>
        <w:tc>
          <w:tcPr>
            <w:tcW w:w="220" w:type="dxa"/>
            <w:vAlign w:val="bottom"/>
          </w:tcPr>
          <w:p>
            <w:pPr>
              <w:spacing w:after="0"/>
              <w:rPr>
                <w:sz w:val="15"/>
                <w:szCs w:val="15"/>
                <w:color w:val="auto"/>
              </w:rPr>
            </w:pPr>
          </w:p>
        </w:tc>
        <w:tc>
          <w:tcPr>
            <w:tcW w:w="1280" w:type="dxa"/>
            <w:vAlign w:val="bottom"/>
            <w:tcBorders>
              <w:bottom w:val="single" w:sz="8" w:color="auto"/>
            </w:tcBorders>
          </w:tcPr>
          <w:p>
            <w:pPr>
              <w:jc w:val="right"/>
              <w:ind w:right="456"/>
              <w:spacing w:after="0"/>
              <w:rPr>
                <w:sz w:val="20"/>
                <w:szCs w:val="20"/>
                <w:color w:val="auto"/>
              </w:rPr>
            </w:pPr>
            <w:r>
              <w:rPr>
                <w:rFonts w:ascii="Arial" w:cs="Arial" w:eastAsia="Arial" w:hAnsi="Arial"/>
                <w:sz w:val="13"/>
                <w:szCs w:val="13"/>
                <w:b w:val="1"/>
                <w:bCs w:val="1"/>
                <w:color w:val="auto"/>
              </w:rPr>
              <w:t>2017</w:t>
            </w:r>
          </w:p>
        </w:tc>
        <w:tc>
          <w:tcPr>
            <w:tcW w:w="220" w:type="dxa"/>
            <w:vAlign w:val="bottom"/>
          </w:tcPr>
          <w:p>
            <w:pPr>
              <w:spacing w:after="0"/>
              <w:rPr>
                <w:sz w:val="15"/>
                <w:szCs w:val="15"/>
                <w:color w:val="auto"/>
              </w:rPr>
            </w:pPr>
          </w:p>
        </w:tc>
        <w:tc>
          <w:tcPr>
            <w:tcW w:w="1240" w:type="dxa"/>
            <w:vAlign w:val="bottom"/>
            <w:tcBorders>
              <w:bottom w:val="single" w:sz="8" w:color="auto"/>
            </w:tcBorders>
          </w:tcPr>
          <w:p>
            <w:pPr>
              <w:jc w:val="right"/>
              <w:ind w:right="436"/>
              <w:spacing w:after="0"/>
              <w:rPr>
                <w:sz w:val="20"/>
                <w:szCs w:val="20"/>
                <w:color w:val="auto"/>
              </w:rPr>
            </w:pPr>
            <w:r>
              <w:rPr>
                <w:rFonts w:ascii="Arial" w:cs="Arial" w:eastAsia="Arial" w:hAnsi="Arial"/>
                <w:sz w:val="13"/>
                <w:szCs w:val="13"/>
                <w:b w:val="1"/>
                <w:bCs w:val="1"/>
                <w:color w:val="auto"/>
              </w:rPr>
              <w:t>2016</w:t>
            </w:r>
          </w:p>
        </w:tc>
        <w:tc>
          <w:tcPr>
            <w:tcW w:w="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4660" w:type="dxa"/>
            <w:vAlign w:val="bottom"/>
          </w:tcPr>
          <w:p>
            <w:pPr>
              <w:spacing w:after="0"/>
              <w:rPr>
                <w:sz w:val="12"/>
                <w:szCs w:val="12"/>
                <w:color w:val="auto"/>
              </w:rPr>
            </w:pPr>
          </w:p>
        </w:tc>
        <w:tc>
          <w:tcPr>
            <w:tcW w:w="244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466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Interest income:</w:t>
            </w:r>
          </w:p>
        </w:tc>
        <w:tc>
          <w:tcPr>
            <w:tcW w:w="244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660" w:type="dxa"/>
            <w:vAlign w:val="bottom"/>
          </w:tcPr>
          <w:p>
            <w:pPr>
              <w:spacing w:after="0"/>
              <w:rPr>
                <w:sz w:val="20"/>
                <w:szCs w:val="20"/>
                <w:color w:val="auto"/>
              </w:rPr>
            </w:pPr>
            <w:r>
              <w:rPr>
                <w:rFonts w:ascii="Arial" w:cs="Arial" w:eastAsia="Arial" w:hAnsi="Arial"/>
                <w:sz w:val="13"/>
                <w:szCs w:val="13"/>
                <w:color w:val="auto"/>
              </w:rPr>
              <w:t>Deposits</w:t>
            </w:r>
          </w:p>
        </w:tc>
        <w:tc>
          <w:tcPr>
            <w:tcW w:w="2440" w:type="dxa"/>
            <w:vAlign w:val="bottom"/>
          </w:tcPr>
          <w:p>
            <w:pPr>
              <w:spacing w:after="0"/>
              <w:rPr>
                <w:sz w:val="13"/>
                <w:szCs w:val="13"/>
                <w:color w:val="auto"/>
              </w:rPr>
            </w:pP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15,615</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10,261</w:t>
            </w:r>
          </w:p>
        </w:tc>
        <w:tc>
          <w:tcPr>
            <w:tcW w:w="1260" w:type="dxa"/>
            <w:vAlign w:val="bottom"/>
            <w:gridSpan w:val="2"/>
          </w:tcPr>
          <w:p>
            <w:pPr>
              <w:jc w:val="right"/>
              <w:ind w:right="20"/>
              <w:spacing w:after="0"/>
              <w:rPr>
                <w:sz w:val="20"/>
                <w:szCs w:val="20"/>
                <w:color w:val="auto"/>
              </w:rPr>
            </w:pPr>
            <w:r>
              <w:rPr>
                <w:rFonts w:ascii="Arial" w:cs="Arial" w:eastAsia="Arial" w:hAnsi="Arial"/>
                <w:sz w:val="13"/>
                <w:szCs w:val="13"/>
                <w:color w:val="auto"/>
              </w:rPr>
              <w:t>4,472</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660" w:type="dxa"/>
            <w:vAlign w:val="bottom"/>
            <w:shd w:val="clear" w:color="auto" w:fill="CCEEFF"/>
          </w:tcPr>
          <w:p>
            <w:pPr>
              <w:spacing w:after="0"/>
              <w:rPr>
                <w:sz w:val="20"/>
                <w:szCs w:val="20"/>
                <w:color w:val="auto"/>
              </w:rPr>
            </w:pPr>
            <w:r>
              <w:rPr>
                <w:rFonts w:ascii="Arial" w:cs="Arial" w:eastAsia="Arial" w:hAnsi="Arial"/>
                <w:sz w:val="13"/>
                <w:szCs w:val="13"/>
                <w:color w:val="auto"/>
              </w:rPr>
              <w:t>Securities</w:t>
            </w:r>
          </w:p>
        </w:tc>
        <w:tc>
          <w:tcPr>
            <w:tcW w:w="2440" w:type="dxa"/>
            <w:vAlign w:val="bottom"/>
            <w:shd w:val="clear" w:color="auto" w:fill="CCEEFF"/>
          </w:tcPr>
          <w:p>
            <w:pPr>
              <w:spacing w:after="0"/>
              <w:rPr>
                <w:sz w:val="13"/>
                <w:szCs w:val="13"/>
                <w:color w:val="auto"/>
              </w:rPr>
            </w:pP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2,899</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2,492</w:t>
            </w:r>
          </w:p>
        </w:tc>
        <w:tc>
          <w:tcPr>
            <w:tcW w:w="12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5,034</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4660" w:type="dxa"/>
            <w:vAlign w:val="bottom"/>
          </w:tcPr>
          <w:p>
            <w:pPr>
              <w:spacing w:after="0"/>
              <w:rPr>
                <w:sz w:val="20"/>
                <w:szCs w:val="20"/>
                <w:color w:val="auto"/>
              </w:rPr>
            </w:pPr>
            <w:r>
              <w:rPr>
                <w:rFonts w:ascii="Arial" w:cs="Arial" w:eastAsia="Arial" w:hAnsi="Arial"/>
                <w:sz w:val="13"/>
                <w:szCs w:val="13"/>
                <w:color w:val="auto"/>
              </w:rPr>
              <w:t>Loans</w:t>
            </w:r>
          </w:p>
        </w:tc>
        <w:tc>
          <w:tcPr>
            <w:tcW w:w="2440" w:type="dxa"/>
            <w:vAlign w:val="bottom"/>
          </w:tcPr>
          <w:p>
            <w:pPr>
              <w:spacing w:after="0"/>
              <w:rPr>
                <w:sz w:val="14"/>
                <w:szCs w:val="14"/>
                <w:color w:val="auto"/>
              </w:rPr>
            </w:pP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239,976</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213,326</w:t>
            </w:r>
          </w:p>
        </w:tc>
        <w:tc>
          <w:tcPr>
            <w:tcW w:w="1260" w:type="dxa"/>
            <w:vAlign w:val="bottom"/>
            <w:gridSpan w:val="2"/>
          </w:tcPr>
          <w:p>
            <w:pPr>
              <w:jc w:val="right"/>
              <w:ind w:right="20"/>
              <w:spacing w:after="0"/>
              <w:rPr>
                <w:sz w:val="20"/>
                <w:szCs w:val="20"/>
                <w:color w:val="auto"/>
              </w:rPr>
            </w:pPr>
            <w:r>
              <w:rPr>
                <w:rFonts w:ascii="Arial" w:cs="Arial" w:eastAsia="Arial" w:hAnsi="Arial"/>
                <w:sz w:val="13"/>
                <w:szCs w:val="13"/>
                <w:color w:val="auto"/>
              </w:rPr>
              <w:t>236,392</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4660" w:type="dxa"/>
            <w:vAlign w:val="bottom"/>
            <w:tcBorders>
              <w:top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Total interest income</w:t>
            </w:r>
          </w:p>
        </w:tc>
        <w:tc>
          <w:tcPr>
            <w:tcW w:w="2440" w:type="dxa"/>
            <w:vAlign w:val="bottom"/>
            <w:tcBorders>
              <w:top w:val="single" w:sz="8" w:color="CCEEFF"/>
            </w:tcBorders>
            <w:shd w:val="clear" w:color="auto" w:fill="CCEEFF"/>
          </w:tcPr>
          <w:p>
            <w:pPr>
              <w:jc w:val="center"/>
              <w:ind w:left="1216"/>
              <w:spacing w:after="0" w:line="143" w:lineRule="exact"/>
              <w:rPr>
                <w:sz w:val="20"/>
                <w:szCs w:val="20"/>
                <w:color w:val="auto"/>
              </w:rPr>
            </w:pPr>
            <w:r>
              <w:rPr>
                <w:rFonts w:ascii="Arial" w:cs="Arial" w:eastAsia="Arial" w:hAnsi="Arial"/>
                <w:sz w:val="13"/>
                <w:szCs w:val="13"/>
                <w:color w:val="auto"/>
                <w:w w:val="82"/>
              </w:rPr>
              <w:t>25</w:t>
            </w:r>
          </w:p>
        </w:tc>
        <w:tc>
          <w:tcPr>
            <w:tcW w:w="12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258,490</w:t>
            </w:r>
          </w:p>
        </w:tc>
        <w:tc>
          <w:tcPr>
            <w:tcW w:w="220" w:type="dxa"/>
            <w:vAlign w:val="bottom"/>
            <w:tcBorders>
              <w:top w:val="single" w:sz="8" w:color="CCEEFF"/>
            </w:tcBorders>
            <w:shd w:val="clear" w:color="auto" w:fill="CCEEFF"/>
          </w:tcPr>
          <w:p>
            <w:pPr>
              <w:spacing w:after="0"/>
              <w:rPr>
                <w:sz w:val="12"/>
                <w:szCs w:val="12"/>
                <w:color w:val="auto"/>
              </w:rPr>
            </w:pPr>
          </w:p>
        </w:tc>
        <w:tc>
          <w:tcPr>
            <w:tcW w:w="12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226,079</w:t>
            </w: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245,898</w:t>
            </w:r>
          </w:p>
        </w:tc>
        <w:tc>
          <w:tcPr>
            <w:tcW w:w="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4660" w:type="dxa"/>
            <w:vAlign w:val="bottom"/>
          </w:tcPr>
          <w:p>
            <w:pPr>
              <w:spacing w:after="0" w:line="144" w:lineRule="exact"/>
              <w:rPr>
                <w:sz w:val="20"/>
                <w:szCs w:val="20"/>
                <w:color w:val="auto"/>
              </w:rPr>
            </w:pPr>
            <w:r>
              <w:rPr>
                <w:rFonts w:ascii="Arial" w:cs="Arial" w:eastAsia="Arial" w:hAnsi="Arial"/>
                <w:sz w:val="13"/>
                <w:szCs w:val="13"/>
                <w:b w:val="1"/>
                <w:bCs w:val="1"/>
                <w:color w:val="auto"/>
              </w:rPr>
              <w:t>Interest expense:</w:t>
            </w:r>
          </w:p>
        </w:tc>
        <w:tc>
          <w:tcPr>
            <w:tcW w:w="244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660" w:type="dxa"/>
            <w:vAlign w:val="bottom"/>
            <w:shd w:val="clear" w:color="auto" w:fill="CCEEFF"/>
          </w:tcPr>
          <w:p>
            <w:pPr>
              <w:spacing w:after="0"/>
              <w:rPr>
                <w:sz w:val="20"/>
                <w:szCs w:val="20"/>
                <w:color w:val="auto"/>
              </w:rPr>
            </w:pPr>
            <w:r>
              <w:rPr>
                <w:rFonts w:ascii="Arial" w:cs="Arial" w:eastAsia="Arial" w:hAnsi="Arial"/>
                <w:sz w:val="13"/>
                <w:szCs w:val="13"/>
                <w:color w:val="auto"/>
              </w:rPr>
              <w:t>Deposits</w:t>
            </w:r>
          </w:p>
        </w:tc>
        <w:tc>
          <w:tcPr>
            <w:tcW w:w="2440" w:type="dxa"/>
            <w:vAlign w:val="bottom"/>
            <w:shd w:val="clear" w:color="auto" w:fill="CCEEFF"/>
          </w:tcPr>
          <w:p>
            <w:pPr>
              <w:spacing w:after="0"/>
              <w:rPr>
                <w:sz w:val="13"/>
                <w:szCs w:val="13"/>
                <w:color w:val="auto"/>
              </w:rPr>
            </w:pPr>
          </w:p>
        </w:tc>
        <w:tc>
          <w:tcPr>
            <w:tcW w:w="15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(63,146)</w:t>
            </w:r>
          </w:p>
        </w:tc>
        <w:tc>
          <w:tcPr>
            <w:tcW w:w="15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(42,847)</w:t>
            </w:r>
          </w:p>
        </w:tc>
        <w:tc>
          <w:tcPr>
            <w:tcW w:w="136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(20,131)</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4660" w:type="dxa"/>
            <w:vAlign w:val="bottom"/>
          </w:tcPr>
          <w:p>
            <w:pPr>
              <w:spacing w:after="0"/>
              <w:rPr>
                <w:sz w:val="20"/>
                <w:szCs w:val="20"/>
                <w:color w:val="auto"/>
              </w:rPr>
            </w:pPr>
            <w:r>
              <w:rPr>
                <w:rFonts w:ascii="Arial" w:cs="Arial" w:eastAsia="Arial" w:hAnsi="Arial"/>
                <w:sz w:val="13"/>
                <w:szCs w:val="13"/>
                <w:color w:val="auto"/>
              </w:rPr>
              <w:t>Borrowings and debt</w:t>
            </w:r>
          </w:p>
        </w:tc>
        <w:tc>
          <w:tcPr>
            <w:tcW w:w="2440" w:type="dxa"/>
            <w:vAlign w:val="bottom"/>
          </w:tcPr>
          <w:p>
            <w:pPr>
              <w:spacing w:after="0"/>
              <w:rPr>
                <w:sz w:val="14"/>
                <w:szCs w:val="14"/>
                <w:color w:val="auto"/>
              </w:rPr>
            </w:pPr>
          </w:p>
        </w:tc>
        <w:tc>
          <w:tcPr>
            <w:tcW w:w="1500" w:type="dxa"/>
            <w:vAlign w:val="bottom"/>
            <w:gridSpan w:val="2"/>
          </w:tcPr>
          <w:p>
            <w:pPr>
              <w:jc w:val="right"/>
              <w:ind w:right="180"/>
              <w:spacing w:after="0"/>
              <w:rPr>
                <w:sz w:val="20"/>
                <w:szCs w:val="20"/>
                <w:color w:val="auto"/>
              </w:rPr>
            </w:pPr>
            <w:r>
              <w:rPr>
                <w:rFonts w:ascii="Arial" w:cs="Arial" w:eastAsia="Arial" w:hAnsi="Arial"/>
                <w:sz w:val="13"/>
                <w:szCs w:val="13"/>
                <w:color w:val="auto"/>
              </w:rPr>
              <w:t>(85,601)</w:t>
            </w:r>
          </w:p>
        </w:tc>
        <w:tc>
          <w:tcPr>
            <w:tcW w:w="1500" w:type="dxa"/>
            <w:vAlign w:val="bottom"/>
            <w:gridSpan w:val="2"/>
          </w:tcPr>
          <w:p>
            <w:pPr>
              <w:jc w:val="right"/>
              <w:ind w:right="180"/>
              <w:spacing w:after="0"/>
              <w:rPr>
                <w:sz w:val="20"/>
                <w:szCs w:val="20"/>
                <w:color w:val="auto"/>
              </w:rPr>
            </w:pPr>
            <w:r>
              <w:rPr>
                <w:rFonts w:ascii="Arial" w:cs="Arial" w:eastAsia="Arial" w:hAnsi="Arial"/>
                <w:sz w:val="13"/>
                <w:szCs w:val="13"/>
                <w:color w:val="auto"/>
              </w:rPr>
              <w:t>(63,417)</w:t>
            </w:r>
          </w:p>
        </w:tc>
        <w:tc>
          <w:tcPr>
            <w:tcW w:w="1360" w:type="dxa"/>
            <w:vAlign w:val="bottom"/>
            <w:gridSpan w:val="3"/>
          </w:tcPr>
          <w:p>
            <w:pPr>
              <w:jc w:val="right"/>
              <w:ind w:right="80"/>
              <w:spacing w:after="0"/>
              <w:rPr>
                <w:sz w:val="20"/>
                <w:szCs w:val="20"/>
                <w:color w:val="auto"/>
              </w:rPr>
            </w:pPr>
            <w:r>
              <w:rPr>
                <w:rFonts w:ascii="Arial" w:cs="Arial" w:eastAsia="Arial" w:hAnsi="Arial"/>
                <w:sz w:val="13"/>
                <w:szCs w:val="13"/>
                <w:color w:val="auto"/>
              </w:rPr>
              <w:t>(70,558)</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4660" w:type="dxa"/>
            <w:vAlign w:val="bottom"/>
            <w:tcBorders>
              <w:top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Total interest expense</w:t>
            </w:r>
          </w:p>
        </w:tc>
        <w:tc>
          <w:tcPr>
            <w:tcW w:w="2440" w:type="dxa"/>
            <w:vAlign w:val="bottom"/>
            <w:tcBorders>
              <w:top w:val="single" w:sz="8" w:color="CCEEFF"/>
            </w:tcBorders>
            <w:shd w:val="clear" w:color="auto" w:fill="CCEEFF"/>
          </w:tcPr>
          <w:p>
            <w:pPr>
              <w:jc w:val="center"/>
              <w:ind w:left="1216"/>
              <w:spacing w:after="0" w:line="143" w:lineRule="exact"/>
              <w:rPr>
                <w:sz w:val="20"/>
                <w:szCs w:val="20"/>
                <w:color w:val="auto"/>
              </w:rPr>
            </w:pPr>
            <w:r>
              <w:rPr>
                <w:rFonts w:ascii="Arial" w:cs="Arial" w:eastAsia="Arial" w:hAnsi="Arial"/>
                <w:sz w:val="13"/>
                <w:szCs w:val="13"/>
                <w:color w:val="auto"/>
                <w:w w:val="82"/>
              </w:rPr>
              <w:t>25</w:t>
            </w:r>
          </w:p>
        </w:tc>
        <w:tc>
          <w:tcPr>
            <w:tcW w:w="12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(148,747)</w:t>
            </w:r>
          </w:p>
        </w:tc>
        <w:tc>
          <w:tcPr>
            <w:tcW w:w="220" w:type="dxa"/>
            <w:vAlign w:val="bottom"/>
            <w:tcBorders>
              <w:top w:val="single" w:sz="8" w:color="CCEEFF"/>
            </w:tcBorders>
            <w:shd w:val="clear" w:color="auto" w:fill="CCEEFF"/>
          </w:tcPr>
          <w:p>
            <w:pPr>
              <w:spacing w:after="0"/>
              <w:rPr>
                <w:sz w:val="12"/>
                <w:szCs w:val="12"/>
                <w:color w:val="auto"/>
              </w:rPr>
            </w:pPr>
          </w:p>
        </w:tc>
        <w:tc>
          <w:tcPr>
            <w:tcW w:w="12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(106,264)</w:t>
            </w: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(90,689)</w:t>
            </w:r>
          </w:p>
        </w:tc>
        <w:tc>
          <w:tcPr>
            <w:tcW w:w="120" w:type="dxa"/>
            <w:vAlign w:val="bottom"/>
            <w:tcBorders>
              <w:top w:val="single" w:sz="8" w:color="CCEEFF"/>
            </w:tcBorders>
            <w:gridSpan w:val="2"/>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4660" w:type="dxa"/>
            <w:vAlign w:val="bottom"/>
          </w:tcPr>
          <w:p>
            <w:pPr>
              <w:spacing w:after="0"/>
              <w:rPr>
                <w:sz w:val="12"/>
                <w:szCs w:val="12"/>
                <w:color w:val="auto"/>
              </w:rPr>
            </w:pPr>
          </w:p>
        </w:tc>
        <w:tc>
          <w:tcPr>
            <w:tcW w:w="244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4"/>
        </w:trPr>
        <w:tc>
          <w:tcPr>
            <w:tcW w:w="20" w:type="dxa"/>
            <w:vAlign w:val="bottom"/>
            <w:vMerge w:val="continue"/>
          </w:tcPr>
          <w:p>
            <w:pPr>
              <w:spacing w:after="0"/>
              <w:rPr>
                <w:sz w:val="14"/>
                <w:szCs w:val="14"/>
                <w:color w:val="auto"/>
              </w:rPr>
            </w:pPr>
          </w:p>
        </w:tc>
        <w:tc>
          <w:tcPr>
            <w:tcW w:w="466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Net interest income</w:t>
            </w:r>
          </w:p>
        </w:tc>
        <w:tc>
          <w:tcPr>
            <w:tcW w:w="2440" w:type="dxa"/>
            <w:vAlign w:val="bottom"/>
            <w:shd w:val="clear" w:color="auto" w:fill="CCEEFF"/>
          </w:tcPr>
          <w:p>
            <w:pPr>
              <w:spacing w:after="0"/>
              <w:rPr>
                <w:sz w:val="14"/>
                <w:szCs w:val="14"/>
                <w:color w:val="auto"/>
              </w:rPr>
            </w:pP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109,743</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119,815</w:t>
            </w:r>
          </w:p>
        </w:tc>
        <w:tc>
          <w:tcPr>
            <w:tcW w:w="12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155,209</w:t>
            </w:r>
          </w:p>
        </w:tc>
        <w:tc>
          <w:tcPr>
            <w:tcW w:w="1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4660" w:type="dxa"/>
            <w:vAlign w:val="bottom"/>
          </w:tcPr>
          <w:p>
            <w:pPr>
              <w:spacing w:after="0"/>
              <w:rPr>
                <w:sz w:val="12"/>
                <w:szCs w:val="12"/>
                <w:color w:val="auto"/>
              </w:rPr>
            </w:pPr>
          </w:p>
        </w:tc>
        <w:tc>
          <w:tcPr>
            <w:tcW w:w="2440" w:type="dxa"/>
            <w:vAlign w:val="bottom"/>
          </w:tcPr>
          <w:p>
            <w:pPr>
              <w:spacing w:after="0"/>
              <w:rPr>
                <w:sz w:val="12"/>
                <w:szCs w:val="12"/>
                <w:color w:val="auto"/>
              </w:rPr>
            </w:pPr>
          </w:p>
        </w:tc>
        <w:tc>
          <w:tcPr>
            <w:tcW w:w="12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Borders>
              <w:top w:val="single" w:sz="8" w:color="auto"/>
            </w:tcBorders>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466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Other income (expense):</w:t>
            </w:r>
          </w:p>
        </w:tc>
        <w:tc>
          <w:tcPr>
            <w:tcW w:w="244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660" w:type="dxa"/>
            <w:vAlign w:val="bottom"/>
          </w:tcPr>
          <w:p>
            <w:pPr>
              <w:spacing w:after="0"/>
              <w:rPr>
                <w:sz w:val="20"/>
                <w:szCs w:val="20"/>
                <w:color w:val="auto"/>
              </w:rPr>
            </w:pPr>
            <w:r>
              <w:rPr>
                <w:rFonts w:ascii="Arial" w:cs="Arial" w:eastAsia="Arial" w:hAnsi="Arial"/>
                <w:sz w:val="13"/>
                <w:szCs w:val="13"/>
                <w:color w:val="auto"/>
              </w:rPr>
              <w:t>Fees and commissions, net</w:t>
            </w:r>
          </w:p>
        </w:tc>
        <w:tc>
          <w:tcPr>
            <w:tcW w:w="2440" w:type="dxa"/>
            <w:vAlign w:val="bottom"/>
          </w:tcPr>
          <w:p>
            <w:pPr>
              <w:jc w:val="center"/>
              <w:ind w:left="1216"/>
              <w:spacing w:after="0"/>
              <w:rPr>
                <w:sz w:val="20"/>
                <w:szCs w:val="20"/>
                <w:color w:val="auto"/>
              </w:rPr>
            </w:pPr>
            <w:r>
              <w:rPr>
                <w:rFonts w:ascii="Arial" w:cs="Arial" w:eastAsia="Arial" w:hAnsi="Arial"/>
                <w:sz w:val="13"/>
                <w:szCs w:val="13"/>
                <w:color w:val="auto"/>
                <w:w w:val="82"/>
              </w:rPr>
              <w:t>24</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17,185</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17,514</w:t>
            </w:r>
          </w:p>
        </w:tc>
        <w:tc>
          <w:tcPr>
            <w:tcW w:w="1260" w:type="dxa"/>
            <w:vAlign w:val="bottom"/>
            <w:gridSpan w:val="2"/>
          </w:tcPr>
          <w:p>
            <w:pPr>
              <w:jc w:val="right"/>
              <w:ind w:right="20"/>
              <w:spacing w:after="0"/>
              <w:rPr>
                <w:sz w:val="20"/>
                <w:szCs w:val="20"/>
                <w:color w:val="auto"/>
              </w:rPr>
            </w:pPr>
            <w:r>
              <w:rPr>
                <w:rFonts w:ascii="Arial" w:cs="Arial" w:eastAsia="Arial" w:hAnsi="Arial"/>
                <w:sz w:val="13"/>
                <w:szCs w:val="13"/>
                <w:color w:val="auto"/>
              </w:rPr>
              <w:t>14,306</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660" w:type="dxa"/>
            <w:vAlign w:val="bottom"/>
            <w:shd w:val="clear" w:color="auto" w:fill="CCEEFF"/>
          </w:tcPr>
          <w:p>
            <w:pPr>
              <w:spacing w:after="0"/>
              <w:rPr>
                <w:sz w:val="20"/>
                <w:szCs w:val="20"/>
                <w:color w:val="auto"/>
              </w:rPr>
            </w:pPr>
            <w:r>
              <w:rPr>
                <w:rFonts w:ascii="Arial" w:cs="Arial" w:eastAsia="Arial" w:hAnsi="Arial"/>
                <w:sz w:val="13"/>
                <w:szCs w:val="13"/>
                <w:color w:val="auto"/>
              </w:rPr>
              <w:t>Loss on financial instruments, net</w:t>
            </w:r>
          </w:p>
        </w:tc>
        <w:tc>
          <w:tcPr>
            <w:tcW w:w="2440" w:type="dxa"/>
            <w:vAlign w:val="bottom"/>
            <w:shd w:val="clear" w:color="auto" w:fill="CCEEFF"/>
          </w:tcPr>
          <w:p>
            <w:pPr>
              <w:jc w:val="center"/>
              <w:ind w:left="1236"/>
              <w:spacing w:after="0"/>
              <w:rPr>
                <w:sz w:val="20"/>
                <w:szCs w:val="20"/>
                <w:color w:val="auto"/>
              </w:rPr>
            </w:pPr>
            <w:r>
              <w:rPr>
                <w:rFonts w:ascii="Arial" w:cs="Arial" w:eastAsia="Arial" w:hAnsi="Arial"/>
                <w:sz w:val="13"/>
                <w:szCs w:val="13"/>
                <w:color w:val="auto"/>
                <w:w w:val="82"/>
              </w:rPr>
              <w:t>8</w:t>
            </w:r>
          </w:p>
        </w:tc>
        <w:tc>
          <w:tcPr>
            <w:tcW w:w="15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(1,009)</w:t>
            </w:r>
          </w:p>
        </w:tc>
        <w:tc>
          <w:tcPr>
            <w:tcW w:w="15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(739)</w:t>
            </w:r>
          </w:p>
        </w:tc>
        <w:tc>
          <w:tcPr>
            <w:tcW w:w="136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(2,919)</w:t>
            </w: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4660" w:type="dxa"/>
            <w:vAlign w:val="bottom"/>
          </w:tcPr>
          <w:p>
            <w:pPr>
              <w:spacing w:after="0"/>
              <w:rPr>
                <w:sz w:val="20"/>
                <w:szCs w:val="20"/>
                <w:color w:val="auto"/>
              </w:rPr>
            </w:pPr>
            <w:r>
              <w:rPr>
                <w:rFonts w:ascii="Arial" w:cs="Arial" w:eastAsia="Arial" w:hAnsi="Arial"/>
                <w:sz w:val="13"/>
                <w:szCs w:val="13"/>
                <w:color w:val="auto"/>
              </w:rPr>
              <w:t>Other income, net</w:t>
            </w:r>
          </w:p>
        </w:tc>
        <w:tc>
          <w:tcPr>
            <w:tcW w:w="2440" w:type="dxa"/>
            <w:vAlign w:val="bottom"/>
          </w:tcPr>
          <w:p>
            <w:pPr>
              <w:jc w:val="center"/>
              <w:ind w:left="1216"/>
              <w:spacing w:after="0"/>
              <w:rPr>
                <w:sz w:val="20"/>
                <w:szCs w:val="20"/>
                <w:color w:val="auto"/>
              </w:rPr>
            </w:pPr>
            <w:r>
              <w:rPr>
                <w:rFonts w:ascii="Arial" w:cs="Arial" w:eastAsia="Arial" w:hAnsi="Arial"/>
                <w:sz w:val="13"/>
                <w:szCs w:val="13"/>
                <w:color w:val="auto"/>
                <w:w w:val="82"/>
              </w:rPr>
              <w:t>25</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1,670</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1,723</w:t>
            </w:r>
          </w:p>
        </w:tc>
        <w:tc>
          <w:tcPr>
            <w:tcW w:w="1260" w:type="dxa"/>
            <w:vAlign w:val="bottom"/>
            <w:gridSpan w:val="2"/>
          </w:tcPr>
          <w:p>
            <w:pPr>
              <w:jc w:val="right"/>
              <w:ind w:right="20"/>
              <w:spacing w:after="0"/>
              <w:rPr>
                <w:sz w:val="20"/>
                <w:szCs w:val="20"/>
                <w:color w:val="auto"/>
              </w:rPr>
            </w:pPr>
            <w:r>
              <w:rPr>
                <w:rFonts w:ascii="Arial" w:cs="Arial" w:eastAsia="Arial" w:hAnsi="Arial"/>
                <w:sz w:val="13"/>
                <w:szCs w:val="13"/>
                <w:color w:val="auto"/>
              </w:rPr>
              <w:t>1,378</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4660" w:type="dxa"/>
            <w:vAlign w:val="bottom"/>
            <w:tcBorders>
              <w:top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Total other income, net</w:t>
            </w:r>
          </w:p>
        </w:tc>
        <w:tc>
          <w:tcPr>
            <w:tcW w:w="2440" w:type="dxa"/>
            <w:vAlign w:val="bottom"/>
            <w:tcBorders>
              <w:top w:val="single" w:sz="8" w:color="CCEEFF"/>
            </w:tcBorders>
            <w:shd w:val="clear" w:color="auto" w:fill="CCEEFF"/>
          </w:tcPr>
          <w:p>
            <w:pPr>
              <w:spacing w:after="0"/>
              <w:rPr>
                <w:sz w:val="12"/>
                <w:szCs w:val="12"/>
                <w:color w:val="auto"/>
              </w:rPr>
            </w:pPr>
          </w:p>
        </w:tc>
        <w:tc>
          <w:tcPr>
            <w:tcW w:w="12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17,846</w:t>
            </w:r>
          </w:p>
        </w:tc>
        <w:tc>
          <w:tcPr>
            <w:tcW w:w="220" w:type="dxa"/>
            <w:vAlign w:val="bottom"/>
            <w:tcBorders>
              <w:top w:val="single" w:sz="8" w:color="CCEEFF"/>
            </w:tcBorders>
            <w:shd w:val="clear" w:color="auto" w:fill="CCEEFF"/>
          </w:tcPr>
          <w:p>
            <w:pPr>
              <w:spacing w:after="0"/>
              <w:rPr>
                <w:sz w:val="12"/>
                <w:szCs w:val="12"/>
                <w:color w:val="auto"/>
              </w:rPr>
            </w:pPr>
          </w:p>
        </w:tc>
        <w:tc>
          <w:tcPr>
            <w:tcW w:w="12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18,498</w:t>
            </w: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12,765</w:t>
            </w:r>
          </w:p>
        </w:tc>
        <w:tc>
          <w:tcPr>
            <w:tcW w:w="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4660" w:type="dxa"/>
            <w:vAlign w:val="bottom"/>
          </w:tcPr>
          <w:p>
            <w:pPr>
              <w:spacing w:after="0"/>
              <w:rPr>
                <w:sz w:val="12"/>
                <w:szCs w:val="12"/>
                <w:color w:val="auto"/>
              </w:rPr>
            </w:pPr>
          </w:p>
        </w:tc>
        <w:tc>
          <w:tcPr>
            <w:tcW w:w="244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466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Total revenues</w:t>
            </w:r>
          </w:p>
        </w:tc>
        <w:tc>
          <w:tcPr>
            <w:tcW w:w="2440" w:type="dxa"/>
            <w:vAlign w:val="bottom"/>
            <w:shd w:val="clear" w:color="auto" w:fill="CCEEFF"/>
          </w:tcPr>
          <w:p>
            <w:pPr>
              <w:spacing w:after="0"/>
              <w:rPr>
                <w:sz w:val="13"/>
                <w:szCs w:val="13"/>
                <w:color w:val="auto"/>
              </w:rPr>
            </w:pP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127,589</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138,313</w:t>
            </w:r>
          </w:p>
        </w:tc>
        <w:tc>
          <w:tcPr>
            <w:tcW w:w="12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167,974</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660" w:type="dxa"/>
            <w:vAlign w:val="bottom"/>
          </w:tcPr>
          <w:p>
            <w:pPr>
              <w:spacing w:after="0"/>
              <w:rPr>
                <w:sz w:val="13"/>
                <w:szCs w:val="13"/>
                <w:color w:val="auto"/>
              </w:rPr>
            </w:pPr>
          </w:p>
        </w:tc>
        <w:tc>
          <w:tcPr>
            <w:tcW w:w="244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4660" w:type="dxa"/>
            <w:vAlign w:val="bottom"/>
            <w:shd w:val="clear" w:color="auto" w:fill="CCEEFF"/>
          </w:tcPr>
          <w:p>
            <w:pPr>
              <w:spacing w:after="0"/>
              <w:rPr>
                <w:sz w:val="20"/>
                <w:szCs w:val="20"/>
                <w:color w:val="auto"/>
              </w:rPr>
            </w:pPr>
            <w:r>
              <w:rPr>
                <w:rFonts w:ascii="Arial" w:cs="Arial" w:eastAsia="Arial" w:hAnsi="Arial"/>
                <w:sz w:val="13"/>
                <w:szCs w:val="13"/>
                <w:color w:val="auto"/>
              </w:rPr>
              <w:t>Impairment loss on financial instruments</w:t>
            </w:r>
          </w:p>
        </w:tc>
        <w:tc>
          <w:tcPr>
            <w:tcW w:w="2440" w:type="dxa"/>
            <w:vAlign w:val="bottom"/>
            <w:shd w:val="clear" w:color="auto" w:fill="CCEEFF"/>
          </w:tcPr>
          <w:p>
            <w:pPr>
              <w:jc w:val="center"/>
              <w:ind w:left="1216"/>
              <w:spacing w:after="0"/>
              <w:rPr>
                <w:sz w:val="20"/>
                <w:szCs w:val="20"/>
                <w:color w:val="auto"/>
              </w:rPr>
            </w:pPr>
            <w:r>
              <w:rPr>
                <w:rFonts w:ascii="Arial" w:cs="Arial" w:eastAsia="Arial" w:hAnsi="Arial"/>
                <w:sz w:val="13"/>
                <w:szCs w:val="13"/>
                <w:color w:val="auto"/>
                <w:w w:val="88"/>
              </w:rPr>
              <w:t>6,7</w:t>
            </w:r>
          </w:p>
        </w:tc>
        <w:tc>
          <w:tcPr>
            <w:tcW w:w="15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(57,515)</w:t>
            </w:r>
          </w:p>
        </w:tc>
        <w:tc>
          <w:tcPr>
            <w:tcW w:w="15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(9,439)</w:t>
            </w:r>
          </w:p>
        </w:tc>
        <w:tc>
          <w:tcPr>
            <w:tcW w:w="136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(35,115)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660" w:type="dxa"/>
            <w:vAlign w:val="bottom"/>
          </w:tcPr>
          <w:p>
            <w:pPr>
              <w:spacing w:after="0"/>
              <w:rPr>
                <w:sz w:val="20"/>
                <w:szCs w:val="20"/>
                <w:color w:val="auto"/>
              </w:rPr>
            </w:pPr>
            <w:r>
              <w:rPr>
                <w:rFonts w:ascii="Arial" w:cs="Arial" w:eastAsia="Arial" w:hAnsi="Arial"/>
                <w:sz w:val="13"/>
                <w:szCs w:val="13"/>
                <w:color w:val="auto"/>
              </w:rPr>
              <w:t>Impairment loss on non-financial assets</w:t>
            </w:r>
          </w:p>
        </w:tc>
        <w:tc>
          <w:tcPr>
            <w:tcW w:w="2440" w:type="dxa"/>
            <w:vAlign w:val="bottom"/>
          </w:tcPr>
          <w:p>
            <w:pPr>
              <w:jc w:val="center"/>
              <w:ind w:left="1216"/>
              <w:spacing w:after="0"/>
              <w:rPr>
                <w:sz w:val="20"/>
                <w:szCs w:val="20"/>
                <w:color w:val="auto"/>
              </w:rPr>
            </w:pPr>
            <w:r>
              <w:rPr>
                <w:rFonts w:ascii="Arial" w:cs="Arial" w:eastAsia="Arial" w:hAnsi="Arial"/>
                <w:sz w:val="13"/>
                <w:szCs w:val="13"/>
                <w:color w:val="auto"/>
                <w:w w:val="82"/>
              </w:rPr>
              <w:t>10</w:t>
            </w:r>
          </w:p>
        </w:tc>
        <w:tc>
          <w:tcPr>
            <w:tcW w:w="1500" w:type="dxa"/>
            <w:vAlign w:val="bottom"/>
            <w:gridSpan w:val="2"/>
          </w:tcPr>
          <w:p>
            <w:pPr>
              <w:jc w:val="right"/>
              <w:ind w:right="180"/>
              <w:spacing w:after="0"/>
              <w:rPr>
                <w:sz w:val="20"/>
                <w:szCs w:val="20"/>
                <w:color w:val="auto"/>
              </w:rPr>
            </w:pPr>
            <w:r>
              <w:rPr>
                <w:rFonts w:ascii="Arial" w:cs="Arial" w:eastAsia="Arial" w:hAnsi="Arial"/>
                <w:sz w:val="13"/>
                <w:szCs w:val="13"/>
                <w:color w:val="auto"/>
              </w:rPr>
              <w:t>(10,018)</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260" w:type="dxa"/>
            <w:vAlign w:val="bottom"/>
            <w:gridSpan w:val="2"/>
          </w:tcPr>
          <w:p>
            <w:pPr>
              <w:jc w:val="right"/>
              <w:ind w:right="20"/>
              <w:spacing w:after="0"/>
              <w:rPr>
                <w:sz w:val="20"/>
                <w:szCs w:val="20"/>
                <w:color w:val="auto"/>
              </w:rPr>
            </w:pPr>
            <w:r>
              <w:rPr>
                <w:rFonts w:ascii="Arial" w:cs="Arial" w:eastAsia="Arial" w:hAnsi="Arial"/>
                <w:sz w:val="13"/>
                <w:szCs w:val="13"/>
                <w:color w:val="auto"/>
              </w:rPr>
              <w:t>-</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660" w:type="dxa"/>
            <w:vAlign w:val="bottom"/>
            <w:shd w:val="clear" w:color="auto" w:fill="CCEEFF"/>
          </w:tcPr>
          <w:p>
            <w:pPr>
              <w:spacing w:after="0"/>
              <w:rPr>
                <w:sz w:val="13"/>
                <w:szCs w:val="13"/>
                <w:color w:val="auto"/>
              </w:rPr>
            </w:pPr>
          </w:p>
        </w:tc>
        <w:tc>
          <w:tcPr>
            <w:tcW w:w="244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4660" w:type="dxa"/>
            <w:vAlign w:val="bottom"/>
          </w:tcPr>
          <w:p>
            <w:pPr>
              <w:spacing w:after="0"/>
              <w:rPr>
                <w:sz w:val="20"/>
                <w:szCs w:val="20"/>
                <w:color w:val="auto"/>
              </w:rPr>
            </w:pPr>
            <w:r>
              <w:rPr>
                <w:rFonts w:ascii="Arial" w:cs="Arial" w:eastAsia="Arial" w:hAnsi="Arial"/>
                <w:sz w:val="13"/>
                <w:szCs w:val="13"/>
                <w:color w:val="auto"/>
              </w:rPr>
              <w:t>Operating expenses:</w:t>
            </w:r>
          </w:p>
        </w:tc>
        <w:tc>
          <w:tcPr>
            <w:tcW w:w="244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660" w:type="dxa"/>
            <w:vAlign w:val="bottom"/>
            <w:shd w:val="clear" w:color="auto" w:fill="CCEEFF"/>
          </w:tcPr>
          <w:p>
            <w:pPr>
              <w:ind w:left="100"/>
              <w:spacing w:after="0"/>
              <w:rPr>
                <w:sz w:val="20"/>
                <w:szCs w:val="20"/>
                <w:color w:val="auto"/>
              </w:rPr>
            </w:pPr>
            <w:r>
              <w:rPr>
                <w:rFonts w:ascii="Arial" w:cs="Arial" w:eastAsia="Arial" w:hAnsi="Arial"/>
                <w:sz w:val="13"/>
                <w:szCs w:val="13"/>
                <w:color w:val="auto"/>
              </w:rPr>
              <w:t>Salaries and other employee expenses</w:t>
            </w:r>
          </w:p>
        </w:tc>
        <w:tc>
          <w:tcPr>
            <w:tcW w:w="2440" w:type="dxa"/>
            <w:vAlign w:val="bottom"/>
            <w:shd w:val="clear" w:color="auto" w:fill="CCEEFF"/>
          </w:tcPr>
          <w:p>
            <w:pPr>
              <w:jc w:val="center"/>
              <w:ind w:left="1216"/>
              <w:spacing w:after="0"/>
              <w:rPr>
                <w:sz w:val="20"/>
                <w:szCs w:val="20"/>
                <w:color w:val="auto"/>
              </w:rPr>
            </w:pPr>
            <w:r>
              <w:rPr>
                <w:rFonts w:ascii="Arial" w:cs="Arial" w:eastAsia="Arial" w:hAnsi="Arial"/>
                <w:sz w:val="13"/>
                <w:szCs w:val="13"/>
                <w:color w:val="auto"/>
                <w:w w:val="82"/>
              </w:rPr>
              <w:t>28</w:t>
            </w:r>
          </w:p>
        </w:tc>
        <w:tc>
          <w:tcPr>
            <w:tcW w:w="15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(27,989)</w:t>
            </w:r>
          </w:p>
        </w:tc>
        <w:tc>
          <w:tcPr>
            <w:tcW w:w="15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(27,653)</w:t>
            </w:r>
          </w:p>
        </w:tc>
        <w:tc>
          <w:tcPr>
            <w:tcW w:w="136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(25,196)</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660" w:type="dxa"/>
            <w:vAlign w:val="bottom"/>
          </w:tcPr>
          <w:p>
            <w:pPr>
              <w:ind w:left="100"/>
              <w:spacing w:after="0"/>
              <w:rPr>
                <w:sz w:val="20"/>
                <w:szCs w:val="20"/>
                <w:color w:val="auto"/>
              </w:rPr>
            </w:pPr>
            <w:r>
              <w:rPr>
                <w:rFonts w:ascii="Arial" w:cs="Arial" w:eastAsia="Arial" w:hAnsi="Arial"/>
                <w:sz w:val="13"/>
                <w:szCs w:val="13"/>
                <w:color w:val="auto"/>
              </w:rPr>
              <w:t>Depreciation of equipment and leasehold improvements</w:t>
            </w:r>
          </w:p>
        </w:tc>
        <w:tc>
          <w:tcPr>
            <w:tcW w:w="2440" w:type="dxa"/>
            <w:vAlign w:val="bottom"/>
          </w:tcPr>
          <w:p>
            <w:pPr>
              <w:jc w:val="center"/>
              <w:ind w:left="1216"/>
              <w:spacing w:after="0"/>
              <w:rPr>
                <w:sz w:val="20"/>
                <w:szCs w:val="20"/>
                <w:color w:val="auto"/>
              </w:rPr>
            </w:pPr>
            <w:r>
              <w:rPr>
                <w:rFonts w:ascii="Arial" w:cs="Arial" w:eastAsia="Arial" w:hAnsi="Arial"/>
                <w:sz w:val="13"/>
                <w:szCs w:val="13"/>
                <w:color w:val="auto"/>
                <w:w w:val="82"/>
              </w:rPr>
              <w:t>11</w:t>
            </w:r>
          </w:p>
        </w:tc>
        <w:tc>
          <w:tcPr>
            <w:tcW w:w="1500" w:type="dxa"/>
            <w:vAlign w:val="bottom"/>
            <w:gridSpan w:val="2"/>
          </w:tcPr>
          <w:p>
            <w:pPr>
              <w:jc w:val="right"/>
              <w:ind w:right="180"/>
              <w:spacing w:after="0"/>
              <w:rPr>
                <w:sz w:val="20"/>
                <w:szCs w:val="20"/>
                <w:color w:val="auto"/>
              </w:rPr>
            </w:pPr>
            <w:r>
              <w:rPr>
                <w:rFonts w:ascii="Arial" w:cs="Arial" w:eastAsia="Arial" w:hAnsi="Arial"/>
                <w:sz w:val="13"/>
                <w:szCs w:val="13"/>
                <w:color w:val="auto"/>
              </w:rPr>
              <w:t>(1,282)</w:t>
            </w:r>
          </w:p>
        </w:tc>
        <w:tc>
          <w:tcPr>
            <w:tcW w:w="1500" w:type="dxa"/>
            <w:vAlign w:val="bottom"/>
            <w:gridSpan w:val="2"/>
          </w:tcPr>
          <w:p>
            <w:pPr>
              <w:jc w:val="right"/>
              <w:ind w:right="180"/>
              <w:spacing w:after="0"/>
              <w:rPr>
                <w:sz w:val="20"/>
                <w:szCs w:val="20"/>
                <w:color w:val="auto"/>
              </w:rPr>
            </w:pPr>
            <w:r>
              <w:rPr>
                <w:rFonts w:ascii="Arial" w:cs="Arial" w:eastAsia="Arial" w:hAnsi="Arial"/>
                <w:sz w:val="13"/>
                <w:szCs w:val="13"/>
                <w:color w:val="auto"/>
              </w:rPr>
              <w:t>(1,578)</w:t>
            </w:r>
          </w:p>
        </w:tc>
        <w:tc>
          <w:tcPr>
            <w:tcW w:w="1360" w:type="dxa"/>
            <w:vAlign w:val="bottom"/>
            <w:gridSpan w:val="3"/>
          </w:tcPr>
          <w:p>
            <w:pPr>
              <w:jc w:val="right"/>
              <w:ind w:right="80"/>
              <w:spacing w:after="0"/>
              <w:rPr>
                <w:sz w:val="20"/>
                <w:szCs w:val="20"/>
                <w:color w:val="auto"/>
              </w:rPr>
            </w:pPr>
            <w:r>
              <w:rPr>
                <w:rFonts w:ascii="Arial" w:cs="Arial" w:eastAsia="Arial" w:hAnsi="Arial"/>
                <w:sz w:val="13"/>
                <w:szCs w:val="13"/>
                <w:color w:val="auto"/>
              </w:rPr>
              <w:t>(1,457)</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660" w:type="dxa"/>
            <w:vAlign w:val="bottom"/>
            <w:shd w:val="clear" w:color="auto" w:fill="CCEEFF"/>
          </w:tcPr>
          <w:p>
            <w:pPr>
              <w:ind w:left="100"/>
              <w:spacing w:after="0"/>
              <w:rPr>
                <w:sz w:val="20"/>
                <w:szCs w:val="20"/>
                <w:color w:val="auto"/>
              </w:rPr>
            </w:pPr>
            <w:r>
              <w:rPr>
                <w:rFonts w:ascii="Arial" w:cs="Arial" w:eastAsia="Arial" w:hAnsi="Arial"/>
                <w:sz w:val="13"/>
                <w:szCs w:val="13"/>
                <w:color w:val="auto"/>
              </w:rPr>
              <w:t>Amortization of intangible assets</w:t>
            </w:r>
          </w:p>
        </w:tc>
        <w:tc>
          <w:tcPr>
            <w:tcW w:w="2440" w:type="dxa"/>
            <w:vAlign w:val="bottom"/>
            <w:shd w:val="clear" w:color="auto" w:fill="CCEEFF"/>
          </w:tcPr>
          <w:p>
            <w:pPr>
              <w:jc w:val="center"/>
              <w:ind w:left="1216"/>
              <w:spacing w:after="0"/>
              <w:rPr>
                <w:sz w:val="20"/>
                <w:szCs w:val="20"/>
                <w:color w:val="auto"/>
              </w:rPr>
            </w:pPr>
            <w:r>
              <w:rPr>
                <w:rFonts w:ascii="Arial" w:cs="Arial" w:eastAsia="Arial" w:hAnsi="Arial"/>
                <w:sz w:val="13"/>
                <w:szCs w:val="13"/>
                <w:color w:val="auto"/>
                <w:w w:val="82"/>
              </w:rPr>
              <w:t>12</w:t>
            </w:r>
          </w:p>
        </w:tc>
        <w:tc>
          <w:tcPr>
            <w:tcW w:w="15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(1,176)</w:t>
            </w:r>
          </w:p>
        </w:tc>
        <w:tc>
          <w:tcPr>
            <w:tcW w:w="15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(838)</w:t>
            </w:r>
          </w:p>
        </w:tc>
        <w:tc>
          <w:tcPr>
            <w:tcW w:w="136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(629)</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4660" w:type="dxa"/>
            <w:vAlign w:val="bottom"/>
          </w:tcPr>
          <w:p>
            <w:pPr>
              <w:ind w:left="100"/>
              <w:spacing w:after="0"/>
              <w:rPr>
                <w:sz w:val="20"/>
                <w:szCs w:val="20"/>
                <w:color w:val="auto"/>
              </w:rPr>
            </w:pPr>
            <w:r>
              <w:rPr>
                <w:rFonts w:ascii="Arial" w:cs="Arial" w:eastAsia="Arial" w:hAnsi="Arial"/>
                <w:sz w:val="13"/>
                <w:szCs w:val="13"/>
                <w:color w:val="auto"/>
              </w:rPr>
              <w:t>Other expenses</w:t>
            </w:r>
          </w:p>
        </w:tc>
        <w:tc>
          <w:tcPr>
            <w:tcW w:w="2440" w:type="dxa"/>
            <w:vAlign w:val="bottom"/>
          </w:tcPr>
          <w:p>
            <w:pPr>
              <w:jc w:val="center"/>
              <w:ind w:left="1216"/>
              <w:spacing w:after="0"/>
              <w:rPr>
                <w:sz w:val="20"/>
                <w:szCs w:val="20"/>
                <w:color w:val="auto"/>
              </w:rPr>
            </w:pPr>
            <w:r>
              <w:rPr>
                <w:rFonts w:ascii="Arial" w:cs="Arial" w:eastAsia="Arial" w:hAnsi="Arial"/>
                <w:sz w:val="13"/>
                <w:szCs w:val="13"/>
                <w:color w:val="auto"/>
                <w:w w:val="82"/>
              </w:rPr>
              <w:t>29</w:t>
            </w:r>
          </w:p>
        </w:tc>
        <w:tc>
          <w:tcPr>
            <w:tcW w:w="1500" w:type="dxa"/>
            <w:vAlign w:val="bottom"/>
            <w:gridSpan w:val="2"/>
          </w:tcPr>
          <w:p>
            <w:pPr>
              <w:jc w:val="right"/>
              <w:ind w:right="180"/>
              <w:spacing w:after="0"/>
              <w:rPr>
                <w:sz w:val="20"/>
                <w:szCs w:val="20"/>
                <w:color w:val="auto"/>
              </w:rPr>
            </w:pPr>
            <w:r>
              <w:rPr>
                <w:rFonts w:ascii="Arial" w:cs="Arial" w:eastAsia="Arial" w:hAnsi="Arial"/>
                <w:sz w:val="13"/>
                <w:szCs w:val="13"/>
                <w:color w:val="auto"/>
              </w:rPr>
              <w:t>(18,471)</w:t>
            </w:r>
          </w:p>
        </w:tc>
        <w:tc>
          <w:tcPr>
            <w:tcW w:w="1500" w:type="dxa"/>
            <w:vAlign w:val="bottom"/>
            <w:gridSpan w:val="2"/>
          </w:tcPr>
          <w:p>
            <w:pPr>
              <w:jc w:val="right"/>
              <w:ind w:right="180"/>
              <w:spacing w:after="0"/>
              <w:rPr>
                <w:sz w:val="20"/>
                <w:szCs w:val="20"/>
                <w:color w:val="auto"/>
              </w:rPr>
            </w:pPr>
            <w:r>
              <w:rPr>
                <w:rFonts w:ascii="Arial" w:cs="Arial" w:eastAsia="Arial" w:hAnsi="Arial"/>
                <w:sz w:val="13"/>
                <w:szCs w:val="13"/>
                <w:color w:val="auto"/>
              </w:rPr>
              <w:t>(16,806)</w:t>
            </w:r>
          </w:p>
        </w:tc>
        <w:tc>
          <w:tcPr>
            <w:tcW w:w="1360" w:type="dxa"/>
            <w:vAlign w:val="bottom"/>
            <w:gridSpan w:val="3"/>
          </w:tcPr>
          <w:p>
            <w:pPr>
              <w:jc w:val="right"/>
              <w:ind w:right="80"/>
              <w:spacing w:after="0"/>
              <w:rPr>
                <w:sz w:val="20"/>
                <w:szCs w:val="20"/>
                <w:color w:val="auto"/>
              </w:rPr>
            </w:pPr>
            <w:r>
              <w:rPr>
                <w:rFonts w:ascii="Arial" w:cs="Arial" w:eastAsia="Arial" w:hAnsi="Arial"/>
                <w:sz w:val="13"/>
                <w:szCs w:val="13"/>
                <w:color w:val="auto"/>
              </w:rPr>
              <w:t>(18,532)</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4660" w:type="dxa"/>
            <w:vAlign w:val="bottom"/>
            <w:tcBorders>
              <w:top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Total operating expenses</w:t>
            </w:r>
          </w:p>
        </w:tc>
        <w:tc>
          <w:tcPr>
            <w:tcW w:w="2440" w:type="dxa"/>
            <w:vAlign w:val="bottom"/>
            <w:tcBorders>
              <w:top w:val="single" w:sz="8" w:color="CCEEFF"/>
            </w:tcBorders>
            <w:shd w:val="clear" w:color="auto" w:fill="CCEEFF"/>
          </w:tcPr>
          <w:p>
            <w:pPr>
              <w:spacing w:after="0"/>
              <w:rPr>
                <w:sz w:val="12"/>
                <w:szCs w:val="12"/>
                <w:color w:val="auto"/>
              </w:rPr>
            </w:pPr>
          </w:p>
        </w:tc>
        <w:tc>
          <w:tcPr>
            <w:tcW w:w="12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(48,918)</w:t>
            </w:r>
          </w:p>
        </w:tc>
        <w:tc>
          <w:tcPr>
            <w:tcW w:w="220" w:type="dxa"/>
            <w:vAlign w:val="bottom"/>
            <w:tcBorders>
              <w:top w:val="single" w:sz="8" w:color="CCEEFF"/>
            </w:tcBorders>
            <w:shd w:val="clear" w:color="auto" w:fill="CCEEFF"/>
          </w:tcPr>
          <w:p>
            <w:pPr>
              <w:spacing w:after="0"/>
              <w:rPr>
                <w:sz w:val="12"/>
                <w:szCs w:val="12"/>
                <w:color w:val="auto"/>
              </w:rPr>
            </w:pPr>
          </w:p>
        </w:tc>
        <w:tc>
          <w:tcPr>
            <w:tcW w:w="12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(46,875)</w:t>
            </w: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(45,814)</w:t>
            </w:r>
          </w:p>
        </w:tc>
        <w:tc>
          <w:tcPr>
            <w:tcW w:w="120" w:type="dxa"/>
            <w:vAlign w:val="bottom"/>
            <w:tcBorders>
              <w:top w:val="single" w:sz="8" w:color="CCEEFF"/>
            </w:tcBorders>
            <w:gridSpan w:val="2"/>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660" w:type="dxa"/>
            <w:vAlign w:val="bottom"/>
          </w:tcPr>
          <w:p>
            <w:pPr>
              <w:spacing w:after="0" w:line="146" w:lineRule="exact"/>
              <w:rPr>
                <w:sz w:val="20"/>
                <w:szCs w:val="20"/>
                <w:color w:val="auto"/>
              </w:rPr>
            </w:pPr>
            <w:r>
              <w:rPr>
                <w:rFonts w:ascii="Arial" w:cs="Arial" w:eastAsia="Arial" w:hAnsi="Arial"/>
                <w:sz w:val="13"/>
                <w:szCs w:val="13"/>
                <w:b w:val="1"/>
                <w:bCs w:val="1"/>
                <w:color w:val="auto"/>
              </w:rPr>
              <w:t>Profit for the year</w:t>
            </w:r>
          </w:p>
        </w:tc>
        <w:tc>
          <w:tcPr>
            <w:tcW w:w="2440" w:type="dxa"/>
            <w:vAlign w:val="bottom"/>
          </w:tcPr>
          <w:p>
            <w:pPr>
              <w:spacing w:after="0"/>
              <w:rPr>
                <w:sz w:val="14"/>
                <w:szCs w:val="14"/>
                <w:color w:val="auto"/>
              </w:rPr>
            </w:pP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11,138</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81,999</w:t>
            </w:r>
          </w:p>
        </w:tc>
        <w:tc>
          <w:tcPr>
            <w:tcW w:w="1260" w:type="dxa"/>
            <w:vAlign w:val="bottom"/>
            <w:gridSpan w:val="2"/>
          </w:tcPr>
          <w:p>
            <w:pPr>
              <w:jc w:val="right"/>
              <w:ind w:right="20"/>
              <w:spacing w:after="0"/>
              <w:rPr>
                <w:sz w:val="20"/>
                <w:szCs w:val="20"/>
                <w:color w:val="auto"/>
              </w:rPr>
            </w:pPr>
            <w:r>
              <w:rPr>
                <w:rFonts w:ascii="Arial" w:cs="Arial" w:eastAsia="Arial" w:hAnsi="Arial"/>
                <w:sz w:val="13"/>
                <w:szCs w:val="13"/>
                <w:color w:val="auto"/>
              </w:rPr>
              <w:t>87,045</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660" w:type="dxa"/>
            <w:vAlign w:val="bottom"/>
            <w:tcBorders>
              <w:top w:val="single" w:sz="8" w:color="CCEEFF"/>
            </w:tcBorders>
            <w:shd w:val="clear" w:color="auto" w:fill="CCEEFF"/>
          </w:tcPr>
          <w:p>
            <w:pPr>
              <w:spacing w:after="0"/>
              <w:rPr>
                <w:sz w:val="13"/>
                <w:szCs w:val="13"/>
                <w:color w:val="auto"/>
              </w:rPr>
            </w:pPr>
          </w:p>
        </w:tc>
        <w:tc>
          <w:tcPr>
            <w:tcW w:w="2440" w:type="dxa"/>
            <w:vAlign w:val="bottom"/>
            <w:tcBorders>
              <w:top w:val="single" w:sz="8" w:color="CCEEFF"/>
            </w:tcBorders>
            <w:shd w:val="clear" w:color="auto" w:fill="CCEEFF"/>
          </w:tcPr>
          <w:p>
            <w:pPr>
              <w:spacing w:after="0"/>
              <w:rPr>
                <w:sz w:val="13"/>
                <w:szCs w:val="13"/>
                <w:color w:val="auto"/>
              </w:rPr>
            </w:pPr>
          </w:p>
        </w:tc>
        <w:tc>
          <w:tcPr>
            <w:tcW w:w="1280" w:type="dxa"/>
            <w:vAlign w:val="bottom"/>
            <w:tcBorders>
              <w:top w:val="single" w:sz="8" w:color="auto"/>
            </w:tcBorders>
            <w:shd w:val="clear" w:color="auto" w:fill="CCEEFF"/>
          </w:tcPr>
          <w:p>
            <w:pPr>
              <w:spacing w:after="0"/>
              <w:rPr>
                <w:sz w:val="13"/>
                <w:szCs w:val="13"/>
                <w:color w:val="auto"/>
              </w:rPr>
            </w:pPr>
          </w:p>
        </w:tc>
        <w:tc>
          <w:tcPr>
            <w:tcW w:w="220" w:type="dxa"/>
            <w:vAlign w:val="bottom"/>
            <w:tcBorders>
              <w:top w:val="single" w:sz="8" w:color="CCEEFF"/>
            </w:tcBorders>
            <w:shd w:val="clear" w:color="auto" w:fill="CCEEFF"/>
          </w:tcPr>
          <w:p>
            <w:pPr>
              <w:spacing w:after="0"/>
              <w:rPr>
                <w:sz w:val="13"/>
                <w:szCs w:val="13"/>
                <w:color w:val="auto"/>
              </w:rPr>
            </w:pPr>
          </w:p>
        </w:tc>
        <w:tc>
          <w:tcPr>
            <w:tcW w:w="1280" w:type="dxa"/>
            <w:vAlign w:val="bottom"/>
            <w:tcBorders>
              <w:top w:val="single" w:sz="8" w:color="auto"/>
            </w:tcBorders>
            <w:shd w:val="clear" w:color="auto" w:fill="CCEEFF"/>
          </w:tcPr>
          <w:p>
            <w:pPr>
              <w:spacing w:after="0"/>
              <w:rPr>
                <w:sz w:val="13"/>
                <w:szCs w:val="13"/>
                <w:color w:val="auto"/>
              </w:rPr>
            </w:pPr>
          </w:p>
        </w:tc>
        <w:tc>
          <w:tcPr>
            <w:tcW w:w="220" w:type="dxa"/>
            <w:vAlign w:val="bottom"/>
            <w:tcBorders>
              <w:top w:val="single" w:sz="8" w:color="CCEEFF"/>
            </w:tcBorders>
            <w:shd w:val="clear" w:color="auto" w:fill="CCEEFF"/>
          </w:tcPr>
          <w:p>
            <w:pPr>
              <w:spacing w:after="0"/>
              <w:rPr>
                <w:sz w:val="13"/>
                <w:szCs w:val="13"/>
                <w:color w:val="auto"/>
              </w:rPr>
            </w:pPr>
          </w:p>
        </w:tc>
        <w:tc>
          <w:tcPr>
            <w:tcW w:w="1240" w:type="dxa"/>
            <w:vAlign w:val="bottom"/>
            <w:tcBorders>
              <w:top w:val="single" w:sz="8" w:color="auto"/>
            </w:tcBorders>
            <w:shd w:val="clear" w:color="auto" w:fill="CCEEFF"/>
          </w:tcPr>
          <w:p>
            <w:pPr>
              <w:spacing w:after="0"/>
              <w:rPr>
                <w:sz w:val="13"/>
                <w:szCs w:val="13"/>
                <w:color w:val="auto"/>
              </w:rPr>
            </w:pPr>
          </w:p>
        </w:tc>
        <w:tc>
          <w:tcPr>
            <w:tcW w:w="20" w:type="dxa"/>
            <w:vAlign w:val="bottom"/>
            <w:tcBorders>
              <w:top w:val="single" w:sz="8" w:color="CCEEFF"/>
            </w:tcBorders>
            <w:shd w:val="clear" w:color="auto" w:fill="CCEEFF"/>
          </w:tcPr>
          <w:p>
            <w:pPr>
              <w:spacing w:after="0"/>
              <w:rPr>
                <w:sz w:val="13"/>
                <w:szCs w:val="13"/>
                <w:color w:val="auto"/>
              </w:rPr>
            </w:pPr>
          </w:p>
        </w:tc>
        <w:tc>
          <w:tcPr>
            <w:tcW w:w="100" w:type="dxa"/>
            <w:vAlign w:val="bottom"/>
            <w:tcBorders>
              <w:top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4660" w:type="dxa"/>
            <w:vAlign w:val="bottom"/>
          </w:tcPr>
          <w:p>
            <w:pPr>
              <w:spacing w:after="0"/>
              <w:rPr>
                <w:sz w:val="20"/>
                <w:szCs w:val="20"/>
                <w:color w:val="auto"/>
              </w:rPr>
            </w:pPr>
            <w:r>
              <w:rPr>
                <w:rFonts w:ascii="Arial" w:cs="Arial" w:eastAsia="Arial" w:hAnsi="Arial"/>
                <w:sz w:val="13"/>
                <w:szCs w:val="13"/>
                <w:b w:val="1"/>
                <w:bCs w:val="1"/>
                <w:color w:val="auto"/>
              </w:rPr>
              <w:t>Per share data:</w:t>
            </w:r>
          </w:p>
        </w:tc>
        <w:tc>
          <w:tcPr>
            <w:tcW w:w="244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93"/>
        </w:trPr>
        <w:tc>
          <w:tcPr>
            <w:tcW w:w="20" w:type="dxa"/>
            <w:vAlign w:val="bottom"/>
          </w:tcPr>
          <w:p>
            <w:pPr>
              <w:spacing w:after="0"/>
              <w:rPr>
                <w:sz w:val="16"/>
                <w:szCs w:val="16"/>
                <w:color w:val="auto"/>
              </w:rPr>
            </w:pPr>
          </w:p>
        </w:tc>
        <w:tc>
          <w:tcPr>
            <w:tcW w:w="4660" w:type="dxa"/>
            <w:vAlign w:val="bottom"/>
            <w:shd w:val="clear" w:color="auto" w:fill="CCEEFF"/>
          </w:tcPr>
          <w:p>
            <w:pPr>
              <w:spacing w:after="0"/>
              <w:rPr>
                <w:sz w:val="20"/>
                <w:szCs w:val="20"/>
                <w:color w:val="auto"/>
              </w:rPr>
            </w:pPr>
            <w:r>
              <w:rPr>
                <w:rFonts w:ascii="Arial" w:cs="Arial" w:eastAsia="Arial" w:hAnsi="Arial"/>
                <w:sz w:val="13"/>
                <w:szCs w:val="13"/>
                <w:color w:val="auto"/>
              </w:rPr>
              <w:t>Basic earnings per share</w:t>
            </w:r>
          </w:p>
        </w:tc>
        <w:tc>
          <w:tcPr>
            <w:tcW w:w="2440" w:type="dxa"/>
            <w:vAlign w:val="bottom"/>
            <w:shd w:val="clear" w:color="auto" w:fill="CCEEFF"/>
          </w:tcPr>
          <w:p>
            <w:pPr>
              <w:jc w:val="center"/>
              <w:ind w:left="1216"/>
              <w:spacing w:after="0"/>
              <w:rPr>
                <w:sz w:val="20"/>
                <w:szCs w:val="20"/>
                <w:color w:val="auto"/>
              </w:rPr>
            </w:pPr>
            <w:r>
              <w:rPr>
                <w:rFonts w:ascii="Arial" w:cs="Arial" w:eastAsia="Arial" w:hAnsi="Arial"/>
                <w:sz w:val="13"/>
                <w:szCs w:val="13"/>
                <w:color w:val="auto"/>
                <w:w w:val="82"/>
              </w:rPr>
              <w:t>19</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0.28</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2.09</w:t>
            </w:r>
          </w:p>
        </w:tc>
        <w:tc>
          <w:tcPr>
            <w:tcW w:w="12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2.23</w:t>
            </w:r>
          </w:p>
        </w:tc>
        <w:tc>
          <w:tcPr>
            <w:tcW w:w="10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52"/>
        </w:trPr>
        <w:tc>
          <w:tcPr>
            <w:tcW w:w="20" w:type="dxa"/>
            <w:vAlign w:val="bottom"/>
          </w:tcPr>
          <w:p>
            <w:pPr>
              <w:spacing w:after="0"/>
              <w:rPr>
                <w:sz w:val="13"/>
                <w:szCs w:val="13"/>
                <w:color w:val="auto"/>
              </w:rPr>
            </w:pPr>
          </w:p>
        </w:tc>
        <w:tc>
          <w:tcPr>
            <w:tcW w:w="4660" w:type="dxa"/>
            <w:vAlign w:val="bottom"/>
            <w:tcBorders>
              <w:top w:val="single" w:sz="8" w:color="CCEEFF"/>
              <w:bottom w:val="single" w:sz="8" w:color="CCEEFF"/>
            </w:tcBorders>
          </w:tcPr>
          <w:p>
            <w:pPr>
              <w:spacing w:after="0" w:line="143" w:lineRule="exact"/>
              <w:rPr>
                <w:sz w:val="20"/>
                <w:szCs w:val="20"/>
                <w:color w:val="auto"/>
              </w:rPr>
            </w:pPr>
            <w:r>
              <w:rPr>
                <w:rFonts w:ascii="Arial" w:cs="Arial" w:eastAsia="Arial" w:hAnsi="Arial"/>
                <w:sz w:val="13"/>
                <w:szCs w:val="13"/>
                <w:color w:val="auto"/>
              </w:rPr>
              <w:t>Diluted earnings per share</w:t>
            </w:r>
          </w:p>
        </w:tc>
        <w:tc>
          <w:tcPr>
            <w:tcW w:w="2440" w:type="dxa"/>
            <w:vAlign w:val="bottom"/>
            <w:tcBorders>
              <w:top w:val="single" w:sz="8" w:color="CCEEFF"/>
              <w:bottom w:val="single" w:sz="8" w:color="CCEEFF"/>
            </w:tcBorders>
          </w:tcPr>
          <w:p>
            <w:pPr>
              <w:jc w:val="center"/>
              <w:ind w:left="1216"/>
              <w:spacing w:after="0" w:line="143" w:lineRule="exact"/>
              <w:rPr>
                <w:sz w:val="20"/>
                <w:szCs w:val="20"/>
                <w:color w:val="auto"/>
              </w:rPr>
            </w:pPr>
            <w:r>
              <w:rPr>
                <w:rFonts w:ascii="Arial" w:cs="Arial" w:eastAsia="Arial" w:hAnsi="Arial"/>
                <w:sz w:val="13"/>
                <w:szCs w:val="13"/>
                <w:color w:val="auto"/>
                <w:w w:val="82"/>
              </w:rPr>
              <w:t>19</w:t>
            </w:r>
          </w:p>
        </w:tc>
        <w:tc>
          <w:tcPr>
            <w:tcW w:w="128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0.28</w:t>
            </w:r>
          </w:p>
        </w:tc>
        <w:tc>
          <w:tcPr>
            <w:tcW w:w="220" w:type="dxa"/>
            <w:vAlign w:val="bottom"/>
            <w:tcBorders>
              <w:top w:val="single" w:sz="8" w:color="CCEEFF"/>
              <w:bottom w:val="single" w:sz="8" w:color="CCEEFF"/>
            </w:tcBorders>
          </w:tcPr>
          <w:p>
            <w:pPr>
              <w:spacing w:after="0"/>
              <w:rPr>
                <w:sz w:val="13"/>
                <w:szCs w:val="13"/>
                <w:color w:val="auto"/>
              </w:rPr>
            </w:pPr>
          </w:p>
        </w:tc>
        <w:tc>
          <w:tcPr>
            <w:tcW w:w="128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2.08</w:t>
            </w:r>
          </w:p>
        </w:tc>
        <w:tc>
          <w:tcPr>
            <w:tcW w:w="220" w:type="dxa"/>
            <w:vAlign w:val="bottom"/>
            <w:tcBorders>
              <w:top w:val="single" w:sz="8" w:color="CCEEFF"/>
              <w:bottom w:val="single" w:sz="8" w:color="CCEEFF"/>
            </w:tcBorders>
          </w:tcPr>
          <w:p>
            <w:pPr>
              <w:spacing w:after="0"/>
              <w:rPr>
                <w:sz w:val="13"/>
                <w:szCs w:val="13"/>
                <w:color w:val="auto"/>
              </w:rPr>
            </w:pPr>
          </w:p>
        </w:tc>
        <w:tc>
          <w:tcPr>
            <w:tcW w:w="124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2.22</w:t>
            </w:r>
          </w:p>
        </w:tc>
        <w:tc>
          <w:tcPr>
            <w:tcW w:w="20" w:type="dxa"/>
            <w:vAlign w:val="bottom"/>
            <w:tcBorders>
              <w:top w:val="single" w:sz="8" w:color="CCEEFF"/>
              <w:bottom w:val="single" w:sz="8" w:color="CCEEFF"/>
            </w:tcBorders>
          </w:tcPr>
          <w:p>
            <w:pPr>
              <w:spacing w:after="0"/>
              <w:rPr>
                <w:sz w:val="13"/>
                <w:szCs w:val="13"/>
                <w:color w:val="auto"/>
              </w:rPr>
            </w:pPr>
          </w:p>
        </w:tc>
        <w:tc>
          <w:tcPr>
            <w:tcW w:w="100" w:type="dxa"/>
            <w:vAlign w:val="bottom"/>
            <w:tcBorders>
              <w:top w:val="single" w:sz="8" w:color="CCEEFF"/>
              <w:bottom w:val="single" w:sz="8" w:color="CCEEFF"/>
            </w:tcBorders>
          </w:tcPr>
          <w:p>
            <w:pPr>
              <w:spacing w:after="0"/>
              <w:rPr>
                <w:sz w:val="13"/>
                <w:szCs w:val="13"/>
                <w:color w:val="auto"/>
              </w:rPr>
            </w:pPr>
          </w:p>
        </w:tc>
        <w:tc>
          <w:tcPr>
            <w:tcW w:w="0" w:type="dxa"/>
            <w:vAlign w:val="bottom"/>
          </w:tcPr>
          <w:p>
            <w:pPr>
              <w:spacing w:after="0"/>
              <w:rPr>
                <w:sz w:val="1"/>
                <w:szCs w:val="1"/>
                <w:color w:val="auto"/>
              </w:rPr>
            </w:pPr>
          </w:p>
        </w:tc>
      </w:tr>
      <w:tr>
        <w:trPr>
          <w:trHeight w:val="174"/>
        </w:trPr>
        <w:tc>
          <w:tcPr>
            <w:tcW w:w="20" w:type="dxa"/>
            <w:vAlign w:val="bottom"/>
          </w:tcPr>
          <w:p>
            <w:pPr>
              <w:spacing w:after="0"/>
              <w:rPr>
                <w:sz w:val="15"/>
                <w:szCs w:val="15"/>
                <w:color w:val="auto"/>
              </w:rPr>
            </w:pPr>
          </w:p>
        </w:tc>
        <w:tc>
          <w:tcPr>
            <w:tcW w:w="4660" w:type="dxa"/>
            <w:vAlign w:val="bottom"/>
            <w:tcBorders>
              <w:bottom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Weighted average basic shares</w:t>
            </w:r>
          </w:p>
        </w:tc>
        <w:tc>
          <w:tcPr>
            <w:tcW w:w="2440" w:type="dxa"/>
            <w:vAlign w:val="bottom"/>
            <w:tcBorders>
              <w:bottom w:val="single" w:sz="8" w:color="CCEEFF"/>
            </w:tcBorders>
            <w:shd w:val="clear" w:color="auto" w:fill="CCEEFF"/>
          </w:tcPr>
          <w:p>
            <w:pPr>
              <w:jc w:val="center"/>
              <w:ind w:left="1216"/>
              <w:spacing w:after="0" w:line="143" w:lineRule="exact"/>
              <w:rPr>
                <w:sz w:val="20"/>
                <w:szCs w:val="20"/>
                <w:color w:val="auto"/>
              </w:rPr>
            </w:pPr>
            <w:r>
              <w:rPr>
                <w:rFonts w:ascii="Arial" w:cs="Arial" w:eastAsia="Arial" w:hAnsi="Arial"/>
                <w:sz w:val="13"/>
                <w:szCs w:val="13"/>
                <w:color w:val="auto"/>
                <w:w w:val="82"/>
              </w:rPr>
              <w:t>19</w:t>
            </w:r>
          </w:p>
        </w:tc>
        <w:tc>
          <w:tcPr>
            <w:tcW w:w="12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39,543</w:t>
            </w:r>
          </w:p>
        </w:tc>
        <w:tc>
          <w:tcPr>
            <w:tcW w:w="220" w:type="dxa"/>
            <w:vAlign w:val="bottom"/>
            <w:tcBorders>
              <w:bottom w:val="single" w:sz="8" w:color="CCEEFF"/>
            </w:tcBorders>
            <w:shd w:val="clear" w:color="auto" w:fill="CCEEFF"/>
          </w:tcPr>
          <w:p>
            <w:pPr>
              <w:spacing w:after="0"/>
              <w:rPr>
                <w:sz w:val="15"/>
                <w:szCs w:val="15"/>
                <w:color w:val="auto"/>
              </w:rPr>
            </w:pPr>
          </w:p>
        </w:tc>
        <w:tc>
          <w:tcPr>
            <w:tcW w:w="12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39,311</w:t>
            </w:r>
          </w:p>
        </w:tc>
        <w:tc>
          <w:tcPr>
            <w:tcW w:w="220" w:type="dxa"/>
            <w:vAlign w:val="bottom"/>
            <w:tcBorders>
              <w:bottom w:val="single" w:sz="8" w:color="CCEEFF"/>
            </w:tcBorders>
            <w:shd w:val="clear" w:color="auto" w:fill="CCEEFF"/>
          </w:tcPr>
          <w:p>
            <w:pPr>
              <w:spacing w:after="0"/>
              <w:rPr>
                <w:sz w:val="15"/>
                <w:szCs w:val="15"/>
                <w:color w:val="auto"/>
              </w:rPr>
            </w:pPr>
          </w:p>
        </w:tc>
        <w:tc>
          <w:tcPr>
            <w:tcW w:w="12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39,085</w:t>
            </w:r>
          </w:p>
        </w:tc>
        <w:tc>
          <w:tcPr>
            <w:tcW w:w="20" w:type="dxa"/>
            <w:vAlign w:val="bottom"/>
            <w:tcBorders>
              <w:bottom w:val="single" w:sz="8" w:color="CCEEFF"/>
            </w:tcBorders>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52"/>
        </w:trPr>
        <w:tc>
          <w:tcPr>
            <w:tcW w:w="20" w:type="dxa"/>
            <w:vAlign w:val="bottom"/>
          </w:tcPr>
          <w:p>
            <w:pPr>
              <w:spacing w:after="0"/>
              <w:rPr>
                <w:sz w:val="13"/>
                <w:szCs w:val="13"/>
                <w:color w:val="auto"/>
              </w:rPr>
            </w:pPr>
          </w:p>
        </w:tc>
        <w:tc>
          <w:tcPr>
            <w:tcW w:w="4660" w:type="dxa"/>
            <w:vAlign w:val="bottom"/>
          </w:tcPr>
          <w:p>
            <w:pPr>
              <w:spacing w:after="0" w:line="143" w:lineRule="exact"/>
              <w:rPr>
                <w:sz w:val="20"/>
                <w:szCs w:val="20"/>
                <w:color w:val="auto"/>
              </w:rPr>
            </w:pPr>
            <w:r>
              <w:rPr>
                <w:rFonts w:ascii="Arial" w:cs="Arial" w:eastAsia="Arial" w:hAnsi="Arial"/>
                <w:sz w:val="13"/>
                <w:szCs w:val="13"/>
                <w:color w:val="auto"/>
              </w:rPr>
              <w:t>Weighted average diluted shares</w:t>
            </w:r>
          </w:p>
        </w:tc>
        <w:tc>
          <w:tcPr>
            <w:tcW w:w="2440" w:type="dxa"/>
            <w:vAlign w:val="bottom"/>
          </w:tcPr>
          <w:p>
            <w:pPr>
              <w:jc w:val="center"/>
              <w:ind w:left="1216"/>
              <w:spacing w:after="0" w:line="143" w:lineRule="exact"/>
              <w:rPr>
                <w:sz w:val="20"/>
                <w:szCs w:val="20"/>
                <w:color w:val="auto"/>
              </w:rPr>
            </w:pPr>
            <w:r>
              <w:rPr>
                <w:rFonts w:ascii="Arial" w:cs="Arial" w:eastAsia="Arial" w:hAnsi="Arial"/>
                <w:sz w:val="13"/>
                <w:szCs w:val="13"/>
                <w:color w:val="auto"/>
                <w:w w:val="82"/>
              </w:rPr>
              <w:t>19</w:t>
            </w:r>
          </w:p>
        </w:tc>
        <w:tc>
          <w:tcPr>
            <w:tcW w:w="128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39,543</w:t>
            </w:r>
          </w:p>
        </w:tc>
        <w:tc>
          <w:tcPr>
            <w:tcW w:w="220" w:type="dxa"/>
            <w:vAlign w:val="bottom"/>
          </w:tcPr>
          <w:p>
            <w:pPr>
              <w:spacing w:after="0"/>
              <w:rPr>
                <w:sz w:val="13"/>
                <w:szCs w:val="13"/>
                <w:color w:val="auto"/>
              </w:rPr>
            </w:pPr>
          </w:p>
        </w:tc>
        <w:tc>
          <w:tcPr>
            <w:tcW w:w="128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39,329</w:t>
            </w:r>
          </w:p>
        </w:tc>
        <w:tc>
          <w:tcPr>
            <w:tcW w:w="220" w:type="dxa"/>
            <w:vAlign w:val="bottom"/>
          </w:tcPr>
          <w:p>
            <w:pPr>
              <w:spacing w:after="0"/>
              <w:rPr>
                <w:sz w:val="13"/>
                <w:szCs w:val="13"/>
                <w:color w:val="auto"/>
              </w:rPr>
            </w:pPr>
          </w:p>
        </w:tc>
        <w:tc>
          <w:tcPr>
            <w:tcW w:w="124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39,210</w:t>
            </w:r>
          </w:p>
        </w:tc>
        <w:tc>
          <w:tcPr>
            <w:tcW w:w="2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bl>
    <w:p>
      <w:pPr>
        <w:spacing w:after="0" w:line="145" w:lineRule="exact"/>
        <w:rPr>
          <w:sz w:val="20"/>
          <w:szCs w:val="20"/>
          <w:color w:val="auto"/>
        </w:rPr>
      </w:pPr>
    </w:p>
    <w:p>
      <w:pPr>
        <w:spacing w:after="0"/>
        <w:rPr>
          <w:sz w:val="20"/>
          <w:szCs w:val="20"/>
          <w:color w:val="auto"/>
        </w:rPr>
      </w:pPr>
      <w:r>
        <w:rPr>
          <w:rFonts w:ascii="Arial" w:cs="Arial" w:eastAsia="Arial" w:hAnsi="Arial"/>
          <w:sz w:val="13"/>
          <w:szCs w:val="13"/>
          <w:color w:val="auto"/>
        </w:rPr>
        <w:t>The accompanying notes are an integral part of these consolidated financial statements.</w:t>
      </w:r>
    </w:p>
    <w:p>
      <w:pPr>
        <w:spacing w:after="0" w:line="313"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F-6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5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5" w:right="199" w:bottom="1440" w:gutter="0" w:footer="0" w:header="0"/>
        </w:sectPr>
      </w:pPr>
    </w:p>
    <w:bookmarkStart w:id="131" w:name="page132"/>
    <w:bookmarkEnd w:id="131"/>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Consolidated statement of comprehensive income</w:t>
      </w:r>
    </w:p>
    <w:p>
      <w:pPr>
        <w:spacing w:after="0" w:line="17"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For the year ended December 31, 2018</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6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tbl>
      <w:tblPr>
        <w:tblLayout w:type="fixed"/>
        <w:tblInd w:w="0" w:type="dxa"/>
        <w:tblCellMar>
          <w:top w:w="0" w:type="dxa"/>
          <w:left w:w="0" w:type="dxa"/>
          <w:bottom w:w="0" w:type="dxa"/>
          <w:right w:w="0" w:type="dxa"/>
        </w:tblCellMar>
      </w:tblPr>
      <w:tr>
        <w:trPr>
          <w:trHeight w:val="176"/>
        </w:trPr>
        <w:tc>
          <w:tcPr>
            <w:tcW w:w="20" w:type="dxa"/>
            <w:vAlign w:val="bottom"/>
          </w:tcPr>
          <w:p>
            <w:pPr>
              <w:spacing w:after="0"/>
              <w:rPr>
                <w:sz w:val="15"/>
                <w:szCs w:val="15"/>
                <w:color w:val="auto"/>
              </w:rPr>
            </w:pPr>
          </w:p>
        </w:tc>
        <w:tc>
          <w:tcPr>
            <w:tcW w:w="5040" w:type="dxa"/>
            <w:vAlign w:val="bottom"/>
          </w:tcPr>
          <w:p>
            <w:pPr>
              <w:spacing w:after="0"/>
              <w:rPr>
                <w:sz w:val="15"/>
                <w:szCs w:val="15"/>
                <w:color w:val="auto"/>
              </w:rPr>
            </w:pPr>
          </w:p>
        </w:tc>
        <w:tc>
          <w:tcPr>
            <w:tcW w:w="2060" w:type="dxa"/>
            <w:vAlign w:val="bottom"/>
          </w:tcPr>
          <w:p>
            <w:pPr>
              <w:jc w:val="center"/>
              <w:ind w:left="836"/>
              <w:spacing w:after="0"/>
              <w:rPr>
                <w:sz w:val="20"/>
                <w:szCs w:val="20"/>
                <w:color w:val="auto"/>
              </w:rPr>
            </w:pPr>
            <w:r>
              <w:rPr>
                <w:rFonts w:ascii="Arial" w:cs="Arial" w:eastAsia="Arial" w:hAnsi="Arial"/>
                <w:sz w:val="13"/>
                <w:szCs w:val="13"/>
                <w:b w:val="1"/>
                <w:bCs w:val="1"/>
                <w:color w:val="auto"/>
                <w:w w:val="88"/>
              </w:rPr>
              <w:t>Notes</w:t>
            </w:r>
          </w:p>
        </w:tc>
        <w:tc>
          <w:tcPr>
            <w:tcW w:w="1280" w:type="dxa"/>
            <w:vAlign w:val="bottom"/>
            <w:tcBorders>
              <w:bottom w:val="single" w:sz="8" w:color="auto"/>
            </w:tcBorders>
          </w:tcPr>
          <w:p>
            <w:pPr>
              <w:jc w:val="right"/>
              <w:ind w:right="456"/>
              <w:spacing w:after="0"/>
              <w:rPr>
                <w:sz w:val="20"/>
                <w:szCs w:val="20"/>
                <w:color w:val="auto"/>
              </w:rPr>
            </w:pPr>
            <w:r>
              <w:rPr>
                <w:rFonts w:ascii="Arial" w:cs="Arial" w:eastAsia="Arial" w:hAnsi="Arial"/>
                <w:sz w:val="13"/>
                <w:szCs w:val="13"/>
                <w:b w:val="1"/>
                <w:bCs w:val="1"/>
                <w:color w:val="auto"/>
              </w:rPr>
              <w:t>2018</w:t>
            </w:r>
          </w:p>
        </w:tc>
        <w:tc>
          <w:tcPr>
            <w:tcW w:w="220" w:type="dxa"/>
            <w:vAlign w:val="bottom"/>
          </w:tcPr>
          <w:p>
            <w:pPr>
              <w:spacing w:after="0"/>
              <w:rPr>
                <w:sz w:val="15"/>
                <w:szCs w:val="15"/>
                <w:color w:val="auto"/>
              </w:rPr>
            </w:pPr>
          </w:p>
        </w:tc>
        <w:tc>
          <w:tcPr>
            <w:tcW w:w="1280" w:type="dxa"/>
            <w:vAlign w:val="bottom"/>
            <w:tcBorders>
              <w:bottom w:val="single" w:sz="8" w:color="auto"/>
            </w:tcBorders>
          </w:tcPr>
          <w:p>
            <w:pPr>
              <w:jc w:val="right"/>
              <w:ind w:right="456"/>
              <w:spacing w:after="0"/>
              <w:rPr>
                <w:sz w:val="20"/>
                <w:szCs w:val="20"/>
                <w:color w:val="auto"/>
              </w:rPr>
            </w:pPr>
            <w:r>
              <w:rPr>
                <w:rFonts w:ascii="Arial" w:cs="Arial" w:eastAsia="Arial" w:hAnsi="Arial"/>
                <w:sz w:val="13"/>
                <w:szCs w:val="13"/>
                <w:b w:val="1"/>
                <w:bCs w:val="1"/>
                <w:color w:val="auto"/>
              </w:rPr>
              <w:t>2017</w:t>
            </w:r>
          </w:p>
        </w:tc>
        <w:tc>
          <w:tcPr>
            <w:tcW w:w="220" w:type="dxa"/>
            <w:vAlign w:val="bottom"/>
          </w:tcPr>
          <w:p>
            <w:pPr>
              <w:spacing w:after="0"/>
              <w:rPr>
                <w:sz w:val="15"/>
                <w:szCs w:val="15"/>
                <w:color w:val="auto"/>
              </w:rPr>
            </w:pPr>
          </w:p>
        </w:tc>
        <w:tc>
          <w:tcPr>
            <w:tcW w:w="1240" w:type="dxa"/>
            <w:vAlign w:val="bottom"/>
            <w:tcBorders>
              <w:bottom w:val="single" w:sz="8" w:color="auto"/>
            </w:tcBorders>
          </w:tcPr>
          <w:p>
            <w:pPr>
              <w:jc w:val="right"/>
              <w:ind w:right="436"/>
              <w:spacing w:after="0"/>
              <w:rPr>
                <w:sz w:val="20"/>
                <w:szCs w:val="20"/>
                <w:color w:val="auto"/>
              </w:rPr>
            </w:pPr>
            <w:r>
              <w:rPr>
                <w:rFonts w:ascii="Arial" w:cs="Arial" w:eastAsia="Arial" w:hAnsi="Arial"/>
                <w:sz w:val="13"/>
                <w:szCs w:val="13"/>
                <w:b w:val="1"/>
                <w:bCs w:val="1"/>
                <w:color w:val="auto"/>
              </w:rPr>
              <w:t>2016</w:t>
            </w:r>
          </w:p>
        </w:tc>
        <w:tc>
          <w:tcPr>
            <w:tcW w:w="1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5040" w:type="dxa"/>
            <w:vAlign w:val="bottom"/>
          </w:tcPr>
          <w:p>
            <w:pPr>
              <w:spacing w:after="0"/>
              <w:rPr>
                <w:sz w:val="12"/>
                <w:szCs w:val="12"/>
                <w:color w:val="auto"/>
              </w:rPr>
            </w:pPr>
          </w:p>
        </w:tc>
        <w:tc>
          <w:tcPr>
            <w:tcW w:w="206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040" w:type="dxa"/>
            <w:vAlign w:val="bottom"/>
            <w:shd w:val="clear" w:color="auto" w:fill="CCEEFF"/>
          </w:tcPr>
          <w:p>
            <w:pPr>
              <w:spacing w:after="0"/>
              <w:rPr>
                <w:sz w:val="20"/>
                <w:szCs w:val="20"/>
                <w:color w:val="auto"/>
              </w:rPr>
            </w:pPr>
            <w:r>
              <w:rPr>
                <w:rFonts w:ascii="Arial" w:cs="Arial" w:eastAsia="Arial" w:hAnsi="Arial"/>
                <w:sz w:val="13"/>
                <w:szCs w:val="13"/>
                <w:color w:val="auto"/>
              </w:rPr>
              <w:t>Profit for the year</w:t>
            </w:r>
          </w:p>
        </w:tc>
        <w:tc>
          <w:tcPr>
            <w:tcW w:w="2060" w:type="dxa"/>
            <w:vAlign w:val="bottom"/>
            <w:shd w:val="clear" w:color="auto" w:fill="CCEEFF"/>
          </w:tcPr>
          <w:p>
            <w:pPr>
              <w:spacing w:after="0"/>
              <w:rPr>
                <w:sz w:val="13"/>
                <w:szCs w:val="13"/>
                <w:color w:val="auto"/>
              </w:rPr>
            </w:pP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11,138</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81,999</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87,045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tcPr>
          <w:p>
            <w:pPr>
              <w:spacing w:after="0"/>
              <w:rPr>
                <w:sz w:val="20"/>
                <w:szCs w:val="20"/>
                <w:color w:val="auto"/>
              </w:rPr>
            </w:pPr>
            <w:r>
              <w:rPr>
                <w:rFonts w:ascii="Arial" w:cs="Arial" w:eastAsia="Arial" w:hAnsi="Arial"/>
                <w:sz w:val="13"/>
                <w:szCs w:val="13"/>
                <w:color w:val="auto"/>
              </w:rPr>
              <w:t>Other comprehensive income (loss):</w:t>
            </w:r>
          </w:p>
        </w:tc>
        <w:tc>
          <w:tcPr>
            <w:tcW w:w="206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shd w:val="clear" w:color="auto" w:fill="CCEEFF"/>
          </w:tcPr>
          <w:p>
            <w:pPr>
              <w:spacing w:after="0"/>
              <w:rPr>
                <w:sz w:val="20"/>
                <w:szCs w:val="20"/>
                <w:color w:val="auto"/>
              </w:rPr>
            </w:pPr>
            <w:r>
              <w:rPr>
                <w:rFonts w:ascii="Arial" w:cs="Arial" w:eastAsia="Arial" w:hAnsi="Arial"/>
                <w:sz w:val="13"/>
                <w:szCs w:val="13"/>
                <w:b w:val="1"/>
                <w:bCs w:val="1"/>
                <w:color w:val="222222"/>
              </w:rPr>
              <w:t>Items that will not be reclassified subsequently to profit and loss:</w:t>
            </w:r>
          </w:p>
        </w:tc>
        <w:tc>
          <w:tcPr>
            <w:tcW w:w="206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tcPr>
          <w:p>
            <w:pPr>
              <w:ind w:left="100"/>
              <w:spacing w:after="0"/>
              <w:rPr>
                <w:sz w:val="20"/>
                <w:szCs w:val="20"/>
                <w:color w:val="auto"/>
              </w:rPr>
            </w:pPr>
            <w:r>
              <w:rPr>
                <w:rFonts w:ascii="Arial" w:cs="Arial" w:eastAsia="Arial" w:hAnsi="Arial"/>
                <w:sz w:val="13"/>
                <w:szCs w:val="13"/>
                <w:color w:val="222222"/>
              </w:rPr>
              <w:t>Change in fair value on equity instrument at FVOCI, net of hedging</w:t>
            </w:r>
          </w:p>
        </w:tc>
        <w:tc>
          <w:tcPr>
            <w:tcW w:w="2060" w:type="dxa"/>
            <w:vAlign w:val="bottom"/>
          </w:tcPr>
          <w:p>
            <w:pPr>
              <w:jc w:val="center"/>
              <w:ind w:left="836"/>
              <w:spacing w:after="0"/>
              <w:rPr>
                <w:sz w:val="20"/>
                <w:szCs w:val="20"/>
                <w:color w:val="auto"/>
              </w:rPr>
            </w:pPr>
            <w:r>
              <w:rPr>
                <w:rFonts w:ascii="Arial" w:cs="Arial" w:eastAsia="Arial" w:hAnsi="Arial"/>
                <w:sz w:val="13"/>
                <w:szCs w:val="13"/>
                <w:color w:val="auto"/>
                <w:w w:val="82"/>
              </w:rPr>
              <w:t>22</w:t>
            </w:r>
          </w:p>
        </w:tc>
        <w:tc>
          <w:tcPr>
            <w:tcW w:w="1500" w:type="dxa"/>
            <w:vAlign w:val="bottom"/>
            <w:gridSpan w:val="2"/>
          </w:tcPr>
          <w:p>
            <w:pPr>
              <w:jc w:val="right"/>
              <w:ind w:right="180"/>
              <w:spacing w:after="0"/>
              <w:rPr>
                <w:sz w:val="20"/>
                <w:szCs w:val="20"/>
                <w:color w:val="auto"/>
              </w:rPr>
            </w:pPr>
            <w:r>
              <w:rPr>
                <w:rFonts w:ascii="Arial" w:cs="Arial" w:eastAsia="Arial" w:hAnsi="Arial"/>
                <w:sz w:val="13"/>
                <w:szCs w:val="13"/>
                <w:color w:val="auto"/>
              </w:rPr>
              <w:t>(1,224)</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187</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040" w:type="dxa"/>
            <w:vAlign w:val="bottom"/>
            <w:shd w:val="clear" w:color="auto" w:fill="CCEEFF"/>
          </w:tcPr>
          <w:p>
            <w:pPr>
              <w:spacing w:after="0"/>
              <w:rPr>
                <w:sz w:val="13"/>
                <w:szCs w:val="13"/>
                <w:color w:val="auto"/>
              </w:rPr>
            </w:pPr>
          </w:p>
        </w:tc>
        <w:tc>
          <w:tcPr>
            <w:tcW w:w="206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040" w:type="dxa"/>
            <w:vAlign w:val="bottom"/>
          </w:tcPr>
          <w:p>
            <w:pPr>
              <w:spacing w:after="0"/>
              <w:rPr>
                <w:sz w:val="20"/>
                <w:szCs w:val="20"/>
                <w:color w:val="auto"/>
              </w:rPr>
            </w:pPr>
            <w:r>
              <w:rPr>
                <w:rFonts w:ascii="Arial" w:cs="Arial" w:eastAsia="Arial" w:hAnsi="Arial"/>
                <w:sz w:val="13"/>
                <w:szCs w:val="13"/>
                <w:b w:val="1"/>
                <w:bCs w:val="1"/>
                <w:color w:val="auto"/>
              </w:rPr>
              <w:t>Items that are or may be reclassified subsequently to profit and loss:</w:t>
            </w:r>
          </w:p>
        </w:tc>
        <w:tc>
          <w:tcPr>
            <w:tcW w:w="206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shd w:val="clear" w:color="auto" w:fill="CCEEFF"/>
          </w:tcPr>
          <w:p>
            <w:pPr>
              <w:ind w:left="100"/>
              <w:spacing w:after="0"/>
              <w:rPr>
                <w:sz w:val="20"/>
                <w:szCs w:val="20"/>
                <w:color w:val="auto"/>
              </w:rPr>
            </w:pPr>
            <w:r>
              <w:rPr>
                <w:rFonts w:ascii="Arial" w:cs="Arial" w:eastAsia="Arial" w:hAnsi="Arial"/>
                <w:sz w:val="13"/>
                <w:szCs w:val="13"/>
                <w:color w:val="auto"/>
              </w:rPr>
              <w:t>Change in fair value of debt instruments at FVOCI, net of hedging</w:t>
            </w:r>
          </w:p>
        </w:tc>
        <w:tc>
          <w:tcPr>
            <w:tcW w:w="2060" w:type="dxa"/>
            <w:vAlign w:val="bottom"/>
            <w:shd w:val="clear" w:color="auto" w:fill="CCEEFF"/>
          </w:tcPr>
          <w:p>
            <w:pPr>
              <w:jc w:val="center"/>
              <w:ind w:left="836"/>
              <w:spacing w:after="0"/>
              <w:rPr>
                <w:sz w:val="20"/>
                <w:szCs w:val="20"/>
                <w:color w:val="auto"/>
              </w:rPr>
            </w:pPr>
            <w:r>
              <w:rPr>
                <w:rFonts w:ascii="Arial" w:cs="Arial" w:eastAsia="Arial" w:hAnsi="Arial"/>
                <w:sz w:val="13"/>
                <w:szCs w:val="13"/>
                <w:color w:val="auto"/>
                <w:w w:val="82"/>
              </w:rPr>
              <w:t>22</w:t>
            </w:r>
          </w:p>
        </w:tc>
        <w:tc>
          <w:tcPr>
            <w:tcW w:w="15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(4,629)</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604</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11,431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tcPr>
          <w:p>
            <w:pPr>
              <w:ind w:left="100"/>
              <w:spacing w:after="0"/>
              <w:rPr>
                <w:sz w:val="20"/>
                <w:szCs w:val="20"/>
                <w:color w:val="auto"/>
              </w:rPr>
            </w:pPr>
            <w:r>
              <w:rPr>
                <w:rFonts w:ascii="Arial" w:cs="Arial" w:eastAsia="Arial" w:hAnsi="Arial"/>
                <w:sz w:val="13"/>
                <w:szCs w:val="13"/>
                <w:color w:val="auto"/>
              </w:rPr>
              <w:t>Reclassification of gains (losses) on debt instruments to the profit or loss</w:t>
            </w:r>
          </w:p>
        </w:tc>
        <w:tc>
          <w:tcPr>
            <w:tcW w:w="2060" w:type="dxa"/>
            <w:vAlign w:val="bottom"/>
          </w:tcPr>
          <w:p>
            <w:pPr>
              <w:jc w:val="center"/>
              <w:ind w:left="836"/>
              <w:spacing w:after="0"/>
              <w:rPr>
                <w:sz w:val="20"/>
                <w:szCs w:val="20"/>
                <w:color w:val="auto"/>
              </w:rPr>
            </w:pPr>
            <w:r>
              <w:rPr>
                <w:rFonts w:ascii="Arial" w:cs="Arial" w:eastAsia="Arial" w:hAnsi="Arial"/>
                <w:sz w:val="13"/>
                <w:szCs w:val="13"/>
                <w:color w:val="auto"/>
                <w:w w:val="82"/>
              </w:rPr>
              <w:t>22</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5,591</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2,483</w:t>
            </w:r>
          </w:p>
        </w:tc>
        <w:tc>
          <w:tcPr>
            <w:tcW w:w="1360" w:type="dxa"/>
            <w:vAlign w:val="bottom"/>
            <w:gridSpan w:val="2"/>
          </w:tcPr>
          <w:p>
            <w:pPr>
              <w:jc w:val="right"/>
              <w:ind w:right="80"/>
              <w:spacing w:after="0"/>
              <w:rPr>
                <w:sz w:val="20"/>
                <w:szCs w:val="20"/>
                <w:color w:val="auto"/>
              </w:rPr>
            </w:pPr>
            <w:r>
              <w:rPr>
                <w:rFonts w:ascii="Arial" w:cs="Arial" w:eastAsia="Arial" w:hAnsi="Arial"/>
                <w:sz w:val="13"/>
                <w:szCs w:val="13"/>
                <w:color w:val="auto"/>
              </w:rPr>
              <w:t>(3,551)</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040" w:type="dxa"/>
            <w:vAlign w:val="bottom"/>
            <w:shd w:val="clear" w:color="auto" w:fill="CCEEFF"/>
          </w:tcPr>
          <w:p>
            <w:pPr>
              <w:ind w:left="100"/>
              <w:spacing w:after="0"/>
              <w:rPr>
                <w:sz w:val="20"/>
                <w:szCs w:val="20"/>
                <w:color w:val="auto"/>
              </w:rPr>
            </w:pPr>
            <w:r>
              <w:rPr>
                <w:rFonts w:ascii="Arial" w:cs="Arial" w:eastAsia="Arial" w:hAnsi="Arial"/>
                <w:sz w:val="13"/>
                <w:szCs w:val="13"/>
                <w:color w:val="auto"/>
              </w:rPr>
              <w:t>Exchange difference in conversion of foreign currency operation</w:t>
            </w:r>
          </w:p>
        </w:tc>
        <w:tc>
          <w:tcPr>
            <w:tcW w:w="2060" w:type="dxa"/>
            <w:vAlign w:val="bottom"/>
            <w:shd w:val="clear" w:color="auto" w:fill="CCEEFF"/>
          </w:tcPr>
          <w:p>
            <w:pPr>
              <w:jc w:val="center"/>
              <w:ind w:left="836"/>
              <w:spacing w:after="0"/>
              <w:rPr>
                <w:sz w:val="20"/>
                <w:szCs w:val="20"/>
                <w:color w:val="auto"/>
              </w:rPr>
            </w:pPr>
            <w:r>
              <w:rPr>
                <w:rFonts w:ascii="Arial" w:cs="Arial" w:eastAsia="Arial" w:hAnsi="Arial"/>
                <w:sz w:val="13"/>
                <w:szCs w:val="13"/>
                <w:color w:val="auto"/>
                <w:w w:val="82"/>
              </w:rPr>
              <w:t>22</w:t>
            </w:r>
          </w:p>
        </w:tc>
        <w:tc>
          <w:tcPr>
            <w:tcW w:w="15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(1,281)</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1,490</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040" w:type="dxa"/>
            <w:vAlign w:val="bottom"/>
          </w:tcPr>
          <w:p>
            <w:pPr>
              <w:spacing w:after="0"/>
              <w:rPr>
                <w:sz w:val="12"/>
                <w:szCs w:val="12"/>
                <w:color w:val="auto"/>
              </w:rPr>
            </w:pPr>
          </w:p>
        </w:tc>
        <w:tc>
          <w:tcPr>
            <w:tcW w:w="2060" w:type="dxa"/>
            <w:vAlign w:val="bottom"/>
          </w:tcPr>
          <w:p>
            <w:pPr>
              <w:spacing w:after="0"/>
              <w:rPr>
                <w:sz w:val="12"/>
                <w:szCs w:val="12"/>
                <w:color w:val="auto"/>
              </w:rPr>
            </w:pPr>
          </w:p>
        </w:tc>
        <w:tc>
          <w:tcPr>
            <w:tcW w:w="12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040" w:type="dxa"/>
            <w:vAlign w:val="bottom"/>
            <w:shd w:val="clear" w:color="auto" w:fill="CCEEFF"/>
          </w:tcPr>
          <w:p>
            <w:pPr>
              <w:ind w:left="100"/>
              <w:spacing w:after="0"/>
              <w:rPr>
                <w:sz w:val="20"/>
                <w:szCs w:val="20"/>
                <w:color w:val="auto"/>
              </w:rPr>
            </w:pPr>
            <w:r>
              <w:rPr>
                <w:rFonts w:ascii="Arial" w:cs="Arial" w:eastAsia="Arial" w:hAnsi="Arial"/>
                <w:sz w:val="13"/>
                <w:szCs w:val="13"/>
                <w:color w:val="auto"/>
              </w:rPr>
              <w:t>Other comprehensive income (loss)</w:t>
            </w:r>
          </w:p>
        </w:tc>
        <w:tc>
          <w:tcPr>
            <w:tcW w:w="2060" w:type="dxa"/>
            <w:vAlign w:val="bottom"/>
            <w:shd w:val="clear" w:color="auto" w:fill="CCEEFF"/>
          </w:tcPr>
          <w:p>
            <w:pPr>
              <w:jc w:val="center"/>
              <w:ind w:left="836"/>
              <w:spacing w:after="0"/>
              <w:rPr>
                <w:sz w:val="20"/>
                <w:szCs w:val="20"/>
                <w:color w:val="auto"/>
              </w:rPr>
            </w:pPr>
            <w:r>
              <w:rPr>
                <w:rFonts w:ascii="Arial" w:cs="Arial" w:eastAsia="Arial" w:hAnsi="Arial"/>
                <w:sz w:val="13"/>
                <w:szCs w:val="13"/>
                <w:color w:val="auto"/>
                <w:w w:val="82"/>
              </w:rPr>
              <w:t>22</w:t>
            </w:r>
          </w:p>
        </w:tc>
        <w:tc>
          <w:tcPr>
            <w:tcW w:w="15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(1,543)</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4,764</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7,880</w:t>
            </w: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5040" w:type="dxa"/>
            <w:vAlign w:val="bottom"/>
          </w:tcPr>
          <w:p>
            <w:pPr>
              <w:spacing w:after="0"/>
              <w:rPr>
                <w:sz w:val="12"/>
                <w:szCs w:val="12"/>
                <w:color w:val="auto"/>
              </w:rPr>
            </w:pPr>
          </w:p>
        </w:tc>
        <w:tc>
          <w:tcPr>
            <w:tcW w:w="2060" w:type="dxa"/>
            <w:vAlign w:val="bottom"/>
          </w:tcPr>
          <w:p>
            <w:pPr>
              <w:spacing w:after="0"/>
              <w:rPr>
                <w:sz w:val="12"/>
                <w:szCs w:val="12"/>
                <w:color w:val="auto"/>
              </w:rPr>
            </w:pPr>
          </w:p>
        </w:tc>
        <w:tc>
          <w:tcPr>
            <w:tcW w:w="12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73"/>
        </w:trPr>
        <w:tc>
          <w:tcPr>
            <w:tcW w:w="20" w:type="dxa"/>
            <w:vAlign w:val="bottom"/>
            <w:vMerge w:val="continue"/>
          </w:tcPr>
          <w:p>
            <w:pPr>
              <w:spacing w:after="0"/>
              <w:rPr>
                <w:sz w:val="15"/>
                <w:szCs w:val="15"/>
                <w:color w:val="auto"/>
              </w:rPr>
            </w:pPr>
          </w:p>
        </w:tc>
        <w:tc>
          <w:tcPr>
            <w:tcW w:w="5040" w:type="dxa"/>
            <w:vAlign w:val="bottom"/>
            <w:shd w:val="clear" w:color="auto" w:fill="CCEEFF"/>
          </w:tcPr>
          <w:p>
            <w:pPr>
              <w:spacing w:after="0"/>
              <w:rPr>
                <w:sz w:val="20"/>
                <w:szCs w:val="20"/>
                <w:color w:val="auto"/>
              </w:rPr>
            </w:pPr>
            <w:r>
              <w:rPr>
                <w:rFonts w:ascii="Arial" w:cs="Arial" w:eastAsia="Arial" w:hAnsi="Arial"/>
                <w:sz w:val="13"/>
                <w:szCs w:val="13"/>
                <w:color w:val="auto"/>
              </w:rPr>
              <w:t>Total comprehensive income for the year</w:t>
            </w:r>
          </w:p>
        </w:tc>
        <w:tc>
          <w:tcPr>
            <w:tcW w:w="2060" w:type="dxa"/>
            <w:vAlign w:val="bottom"/>
            <w:shd w:val="clear" w:color="auto" w:fill="CCEEFF"/>
          </w:tcPr>
          <w:p>
            <w:pPr>
              <w:spacing w:after="0"/>
              <w:rPr>
                <w:sz w:val="15"/>
                <w:szCs w:val="15"/>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9,595</w:t>
            </w:r>
          </w:p>
        </w:tc>
        <w:tc>
          <w:tcPr>
            <w:tcW w:w="220" w:type="dxa"/>
            <w:vAlign w:val="bottom"/>
            <w:shd w:val="clear" w:color="auto" w:fill="CCEEFF"/>
          </w:tcPr>
          <w:p>
            <w:pPr>
              <w:spacing w:after="0"/>
              <w:rPr>
                <w:sz w:val="15"/>
                <w:szCs w:val="15"/>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86,763</w:t>
            </w:r>
          </w:p>
        </w:tc>
        <w:tc>
          <w:tcPr>
            <w:tcW w:w="220" w:type="dxa"/>
            <w:vAlign w:val="bottom"/>
            <w:shd w:val="clear" w:color="auto" w:fill="CCEEFF"/>
          </w:tcPr>
          <w:p>
            <w:pPr>
              <w:spacing w:after="0"/>
              <w:rPr>
                <w:sz w:val="15"/>
                <w:szCs w:val="15"/>
                <w:color w:val="auto"/>
              </w:rPr>
            </w:pP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94,925</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040" w:type="dxa"/>
            <w:vAlign w:val="bottom"/>
            <w:shd w:val="clear" w:color="auto" w:fill="CCEEFF"/>
          </w:tcPr>
          <w:p>
            <w:pPr>
              <w:spacing w:after="0" w:line="20" w:lineRule="exact"/>
              <w:rPr>
                <w:sz w:val="1"/>
                <w:szCs w:val="1"/>
                <w:color w:val="auto"/>
              </w:rPr>
            </w:pPr>
          </w:p>
        </w:tc>
        <w:tc>
          <w:tcPr>
            <w:tcW w:w="2060" w:type="dxa"/>
            <w:vAlign w:val="bottom"/>
            <w:shd w:val="clear" w:color="auto" w:fill="CCEEFF"/>
          </w:tcPr>
          <w:p>
            <w:pPr>
              <w:spacing w:after="0" w:line="20" w:lineRule="exact"/>
              <w:rPr>
                <w:sz w:val="1"/>
                <w:szCs w:val="1"/>
                <w:color w:val="auto"/>
              </w:rPr>
            </w:pPr>
          </w:p>
        </w:tc>
        <w:tc>
          <w:tcPr>
            <w:tcW w:w="1280" w:type="dxa"/>
            <w:vAlign w:val="bottom"/>
            <w:tcBorders>
              <w:bottom w:val="single" w:sz="8" w:color="auto"/>
            </w:tcBorders>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80" w:type="dxa"/>
            <w:vAlign w:val="bottom"/>
            <w:tcBorders>
              <w:bottom w:val="single" w:sz="8" w:color="auto"/>
            </w:tcBorders>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40" w:type="dxa"/>
            <w:vAlign w:val="bottom"/>
            <w:tcBorders>
              <w:bottom w:val="single" w:sz="8" w:color="auto"/>
            </w:tcBorders>
            <w:shd w:val="clear" w:color="auto" w:fill="000000"/>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97"/>
        </w:trPr>
        <w:tc>
          <w:tcPr>
            <w:tcW w:w="5060" w:type="dxa"/>
            <w:vAlign w:val="bottom"/>
            <w:gridSpan w:val="2"/>
          </w:tcPr>
          <w:p>
            <w:pPr>
              <w:spacing w:after="0"/>
              <w:rPr>
                <w:sz w:val="20"/>
                <w:szCs w:val="20"/>
                <w:color w:val="auto"/>
              </w:rPr>
            </w:pPr>
            <w:r>
              <w:rPr>
                <w:rFonts w:ascii="Arial" w:cs="Arial" w:eastAsia="Arial" w:hAnsi="Arial"/>
                <w:sz w:val="13"/>
                <w:szCs w:val="13"/>
                <w:color w:val="auto"/>
                <w:w w:val="99"/>
              </w:rPr>
              <w:t>The accompanying notes are an integral part of these consolidated financial statements.</w:t>
            </w:r>
          </w:p>
        </w:tc>
        <w:tc>
          <w:tcPr>
            <w:tcW w:w="2060" w:type="dxa"/>
            <w:vAlign w:val="bottom"/>
          </w:tcPr>
          <w:p>
            <w:pPr>
              <w:spacing w:after="0"/>
              <w:rPr>
                <w:sz w:val="24"/>
                <w:szCs w:val="24"/>
                <w:color w:val="auto"/>
              </w:rPr>
            </w:pPr>
          </w:p>
        </w:tc>
        <w:tc>
          <w:tcPr>
            <w:tcW w:w="12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62"/>
        </w:trPr>
        <w:tc>
          <w:tcPr>
            <w:tcW w:w="20" w:type="dxa"/>
            <w:vAlign w:val="bottom"/>
          </w:tcPr>
          <w:p>
            <w:pPr>
              <w:spacing w:after="0"/>
              <w:rPr>
                <w:sz w:val="24"/>
                <w:szCs w:val="24"/>
                <w:color w:val="auto"/>
              </w:rPr>
            </w:pPr>
          </w:p>
        </w:tc>
        <w:tc>
          <w:tcPr>
            <w:tcW w:w="5040" w:type="dxa"/>
            <w:vAlign w:val="bottom"/>
            <w:tcBorders>
              <w:bottom w:val="single" w:sz="8" w:color="auto"/>
            </w:tcBorders>
          </w:tcPr>
          <w:p>
            <w:pPr>
              <w:spacing w:after="0"/>
              <w:rPr>
                <w:sz w:val="24"/>
                <w:szCs w:val="24"/>
                <w:color w:val="auto"/>
              </w:rPr>
            </w:pPr>
          </w:p>
        </w:tc>
        <w:tc>
          <w:tcPr>
            <w:tcW w:w="2060" w:type="dxa"/>
            <w:vAlign w:val="bottom"/>
            <w:tcBorders>
              <w:bottom w:val="single" w:sz="8" w:color="auto"/>
            </w:tcBorders>
          </w:tcPr>
          <w:p>
            <w:pPr>
              <w:ind w:left="580"/>
              <w:spacing w:after="0"/>
              <w:rPr>
                <w:sz w:val="20"/>
                <w:szCs w:val="20"/>
                <w:color w:val="auto"/>
              </w:rPr>
            </w:pPr>
            <w:r>
              <w:rPr>
                <w:rFonts w:ascii="Arial" w:cs="Arial" w:eastAsia="Arial" w:hAnsi="Arial"/>
                <w:sz w:val="13"/>
                <w:szCs w:val="13"/>
                <w:color w:val="auto"/>
              </w:rPr>
              <w:t>F-7</w:t>
            </w:r>
          </w:p>
        </w:tc>
        <w:tc>
          <w:tcPr>
            <w:tcW w:w="12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0"/>
          </w:cols>
          <w:pgMar w:left="220" w:top="685" w:right="199" w:bottom="1440" w:gutter="0" w:footer="0" w:header="0"/>
        </w:sectPr>
      </w:pPr>
    </w:p>
    <w:bookmarkStart w:id="132" w:name="page133"/>
    <w:bookmarkEnd w:id="132"/>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Consolidated statement of changes in equity</w:t>
      </w:r>
    </w:p>
    <w:p>
      <w:pPr>
        <w:spacing w:after="0" w:line="17"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For the year ended December 31, 2018</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6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23" w:lineRule="exact"/>
        <w:rPr>
          <w:sz w:val="20"/>
          <w:szCs w:val="20"/>
          <w:color w:val="auto"/>
        </w:rPr>
      </w:pPr>
    </w:p>
    <w:tbl>
      <w:tblPr>
        <w:tblLayout w:type="fixed"/>
        <w:tblInd w:w="0" w:type="dxa"/>
        <w:tblCellMar>
          <w:top w:w="0" w:type="dxa"/>
          <w:left w:w="0" w:type="dxa"/>
          <w:bottom w:w="0" w:type="dxa"/>
          <w:right w:w="0" w:type="dxa"/>
        </w:tblCellMar>
      </w:tblPr>
      <w:tr>
        <w:trPr>
          <w:trHeight w:val="115"/>
        </w:trPr>
        <w:tc>
          <w:tcPr>
            <w:tcW w:w="20" w:type="dxa"/>
            <w:vAlign w:val="bottom"/>
          </w:tcPr>
          <w:p>
            <w:pPr>
              <w:spacing w:after="0"/>
              <w:rPr>
                <w:sz w:val="10"/>
                <w:szCs w:val="10"/>
                <w:color w:val="auto"/>
              </w:rPr>
            </w:pPr>
          </w:p>
        </w:tc>
        <w:tc>
          <w:tcPr>
            <w:tcW w:w="3300" w:type="dxa"/>
            <w:vAlign w:val="bottom"/>
          </w:tcPr>
          <w:p>
            <w:pPr>
              <w:spacing w:after="0"/>
              <w:rPr>
                <w:sz w:val="10"/>
                <w:szCs w:val="10"/>
                <w:color w:val="auto"/>
              </w:rPr>
            </w:pPr>
          </w:p>
        </w:tc>
        <w:tc>
          <w:tcPr>
            <w:tcW w:w="8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40" w:type="dxa"/>
            <w:vAlign w:val="bottom"/>
            <w:gridSpan w:val="2"/>
          </w:tcPr>
          <w:p>
            <w:pPr>
              <w:jc w:val="center"/>
              <w:ind w:right="200"/>
              <w:spacing w:after="0"/>
              <w:rPr>
                <w:sz w:val="20"/>
                <w:szCs w:val="20"/>
                <w:color w:val="auto"/>
              </w:rPr>
            </w:pPr>
            <w:r>
              <w:rPr>
                <w:rFonts w:ascii="Arial" w:cs="Arial" w:eastAsia="Arial" w:hAnsi="Arial"/>
                <w:sz w:val="10"/>
                <w:szCs w:val="10"/>
                <w:b w:val="1"/>
                <w:bCs w:val="1"/>
                <w:color w:val="auto"/>
                <w:w w:val="95"/>
              </w:rPr>
              <w:t>Additional paid-</w:t>
            </w:r>
          </w:p>
        </w:tc>
        <w:tc>
          <w:tcPr>
            <w:tcW w:w="8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rPr>
                <w:sz w:val="9"/>
                <w:szCs w:val="9"/>
                <w:color w:val="auto"/>
              </w:rPr>
            </w:pPr>
          </w:p>
        </w:tc>
        <w:tc>
          <w:tcPr>
            <w:tcW w:w="820" w:type="dxa"/>
            <w:vAlign w:val="bottom"/>
          </w:tcPr>
          <w:p>
            <w:pPr>
              <w:spacing w:after="0"/>
              <w:rPr>
                <w:sz w:val="9"/>
                <w:szCs w:val="9"/>
                <w:color w:val="auto"/>
              </w:rPr>
            </w:pPr>
          </w:p>
        </w:tc>
        <w:tc>
          <w:tcPr>
            <w:tcW w:w="220" w:type="dxa"/>
            <w:vAlign w:val="bottom"/>
          </w:tcPr>
          <w:p>
            <w:pPr>
              <w:spacing w:after="0"/>
              <w:rPr>
                <w:sz w:val="9"/>
                <w:szCs w:val="9"/>
                <w:color w:val="auto"/>
              </w:rPr>
            </w:pPr>
          </w:p>
        </w:tc>
        <w:tc>
          <w:tcPr>
            <w:tcW w:w="820" w:type="dxa"/>
            <w:vAlign w:val="bottom"/>
          </w:tcPr>
          <w:p>
            <w:pPr>
              <w:spacing w:after="0"/>
              <w:rPr>
                <w:sz w:val="9"/>
                <w:szCs w:val="9"/>
                <w:color w:val="auto"/>
              </w:rPr>
            </w:pPr>
          </w:p>
        </w:tc>
        <w:tc>
          <w:tcPr>
            <w:tcW w:w="220" w:type="dxa"/>
            <w:vAlign w:val="bottom"/>
          </w:tcPr>
          <w:p>
            <w:pPr>
              <w:spacing w:after="0"/>
              <w:rPr>
                <w:sz w:val="9"/>
                <w:szCs w:val="9"/>
                <w:color w:val="auto"/>
              </w:rPr>
            </w:pPr>
          </w:p>
        </w:tc>
        <w:tc>
          <w:tcPr>
            <w:tcW w:w="1040" w:type="dxa"/>
            <w:vAlign w:val="bottom"/>
            <w:gridSpan w:val="2"/>
          </w:tcPr>
          <w:p>
            <w:pPr>
              <w:jc w:val="center"/>
              <w:ind w:right="200"/>
              <w:spacing w:after="0" w:line="106" w:lineRule="exact"/>
              <w:rPr>
                <w:sz w:val="20"/>
                <w:szCs w:val="20"/>
                <w:color w:val="auto"/>
              </w:rPr>
            </w:pPr>
            <w:r>
              <w:rPr>
                <w:rFonts w:ascii="Arial" w:cs="Arial" w:eastAsia="Arial" w:hAnsi="Arial"/>
                <w:sz w:val="10"/>
                <w:szCs w:val="10"/>
                <w:b w:val="1"/>
                <w:bCs w:val="1"/>
                <w:color w:val="auto"/>
                <w:w w:val="94"/>
              </w:rPr>
              <w:t>in capital in</w:t>
            </w:r>
          </w:p>
        </w:tc>
        <w:tc>
          <w:tcPr>
            <w:tcW w:w="820" w:type="dxa"/>
            <w:vAlign w:val="bottom"/>
          </w:tcPr>
          <w:p>
            <w:pPr>
              <w:spacing w:after="0"/>
              <w:rPr>
                <w:sz w:val="9"/>
                <w:szCs w:val="9"/>
                <w:color w:val="auto"/>
              </w:rPr>
            </w:pPr>
          </w:p>
        </w:tc>
        <w:tc>
          <w:tcPr>
            <w:tcW w:w="220" w:type="dxa"/>
            <w:vAlign w:val="bottom"/>
          </w:tcPr>
          <w:p>
            <w:pPr>
              <w:spacing w:after="0"/>
              <w:rPr>
                <w:sz w:val="9"/>
                <w:szCs w:val="9"/>
                <w:color w:val="auto"/>
              </w:rPr>
            </w:pPr>
          </w:p>
        </w:tc>
        <w:tc>
          <w:tcPr>
            <w:tcW w:w="820" w:type="dxa"/>
            <w:vAlign w:val="bottom"/>
          </w:tcPr>
          <w:p>
            <w:pPr>
              <w:spacing w:after="0"/>
              <w:rPr>
                <w:sz w:val="9"/>
                <w:szCs w:val="9"/>
                <w:color w:val="auto"/>
              </w:rPr>
            </w:pPr>
          </w:p>
        </w:tc>
        <w:tc>
          <w:tcPr>
            <w:tcW w:w="220" w:type="dxa"/>
            <w:vAlign w:val="bottom"/>
          </w:tcPr>
          <w:p>
            <w:pPr>
              <w:spacing w:after="0"/>
              <w:rPr>
                <w:sz w:val="9"/>
                <w:szCs w:val="9"/>
                <w:color w:val="auto"/>
              </w:rPr>
            </w:pPr>
          </w:p>
        </w:tc>
        <w:tc>
          <w:tcPr>
            <w:tcW w:w="820" w:type="dxa"/>
            <w:vAlign w:val="bottom"/>
          </w:tcPr>
          <w:p>
            <w:pPr>
              <w:spacing w:after="0"/>
              <w:rPr>
                <w:sz w:val="9"/>
                <w:szCs w:val="9"/>
                <w:color w:val="auto"/>
              </w:rPr>
            </w:pPr>
          </w:p>
        </w:tc>
        <w:tc>
          <w:tcPr>
            <w:tcW w:w="220" w:type="dxa"/>
            <w:vAlign w:val="bottom"/>
          </w:tcPr>
          <w:p>
            <w:pPr>
              <w:spacing w:after="0"/>
              <w:rPr>
                <w:sz w:val="9"/>
                <w:szCs w:val="9"/>
                <w:color w:val="auto"/>
              </w:rPr>
            </w:pPr>
          </w:p>
        </w:tc>
        <w:tc>
          <w:tcPr>
            <w:tcW w:w="1020" w:type="dxa"/>
            <w:vAlign w:val="bottom"/>
            <w:gridSpan w:val="2"/>
            <w:vMerge w:val="restart"/>
          </w:tcPr>
          <w:p>
            <w:pPr>
              <w:jc w:val="center"/>
              <w:ind w:right="200"/>
              <w:spacing w:after="0"/>
              <w:rPr>
                <w:sz w:val="20"/>
                <w:szCs w:val="20"/>
                <w:color w:val="auto"/>
              </w:rPr>
            </w:pPr>
            <w:r>
              <w:rPr>
                <w:rFonts w:ascii="Arial" w:cs="Arial" w:eastAsia="Arial" w:hAnsi="Arial"/>
                <w:sz w:val="10"/>
                <w:szCs w:val="10"/>
                <w:b w:val="1"/>
                <w:bCs w:val="1"/>
                <w:color w:val="auto"/>
                <w:w w:val="97"/>
              </w:rPr>
              <w:t>Other</w:t>
            </w:r>
          </w:p>
        </w:tc>
        <w:tc>
          <w:tcPr>
            <w:tcW w:w="7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rPr>
                <w:sz w:val="9"/>
                <w:szCs w:val="9"/>
                <w:color w:val="auto"/>
              </w:rPr>
            </w:pPr>
          </w:p>
        </w:tc>
        <w:tc>
          <w:tcPr>
            <w:tcW w:w="820" w:type="dxa"/>
            <w:vAlign w:val="bottom"/>
          </w:tcPr>
          <w:p>
            <w:pPr>
              <w:spacing w:after="0"/>
              <w:rPr>
                <w:sz w:val="9"/>
                <w:szCs w:val="9"/>
                <w:color w:val="auto"/>
              </w:rPr>
            </w:pPr>
          </w:p>
        </w:tc>
        <w:tc>
          <w:tcPr>
            <w:tcW w:w="220" w:type="dxa"/>
            <w:vAlign w:val="bottom"/>
          </w:tcPr>
          <w:p>
            <w:pPr>
              <w:spacing w:after="0"/>
              <w:rPr>
                <w:sz w:val="9"/>
                <w:szCs w:val="9"/>
                <w:color w:val="auto"/>
              </w:rPr>
            </w:pPr>
          </w:p>
        </w:tc>
        <w:tc>
          <w:tcPr>
            <w:tcW w:w="820" w:type="dxa"/>
            <w:vAlign w:val="bottom"/>
          </w:tcPr>
          <w:p>
            <w:pPr>
              <w:spacing w:after="0"/>
              <w:rPr>
                <w:sz w:val="9"/>
                <w:szCs w:val="9"/>
                <w:color w:val="auto"/>
              </w:rPr>
            </w:pPr>
          </w:p>
        </w:tc>
        <w:tc>
          <w:tcPr>
            <w:tcW w:w="220" w:type="dxa"/>
            <w:vAlign w:val="bottom"/>
          </w:tcPr>
          <w:p>
            <w:pPr>
              <w:spacing w:after="0"/>
              <w:rPr>
                <w:sz w:val="9"/>
                <w:szCs w:val="9"/>
                <w:color w:val="auto"/>
              </w:rPr>
            </w:pPr>
          </w:p>
        </w:tc>
        <w:tc>
          <w:tcPr>
            <w:tcW w:w="1040" w:type="dxa"/>
            <w:vAlign w:val="bottom"/>
            <w:gridSpan w:val="2"/>
          </w:tcPr>
          <w:p>
            <w:pPr>
              <w:jc w:val="center"/>
              <w:ind w:right="200"/>
              <w:spacing w:after="0" w:line="106" w:lineRule="exact"/>
              <w:rPr>
                <w:sz w:val="20"/>
                <w:szCs w:val="20"/>
                <w:color w:val="auto"/>
              </w:rPr>
            </w:pPr>
            <w:r>
              <w:rPr>
                <w:rFonts w:ascii="Arial" w:cs="Arial" w:eastAsia="Arial" w:hAnsi="Arial"/>
                <w:sz w:val="10"/>
                <w:szCs w:val="10"/>
                <w:b w:val="1"/>
                <w:bCs w:val="1"/>
                <w:color w:val="auto"/>
                <w:w w:val="86"/>
              </w:rPr>
              <w:t>excess of value</w:t>
            </w:r>
          </w:p>
        </w:tc>
        <w:tc>
          <w:tcPr>
            <w:tcW w:w="820" w:type="dxa"/>
            <w:vAlign w:val="bottom"/>
          </w:tcPr>
          <w:p>
            <w:pPr>
              <w:spacing w:after="0"/>
              <w:rPr>
                <w:sz w:val="9"/>
                <w:szCs w:val="9"/>
                <w:color w:val="auto"/>
              </w:rPr>
            </w:pPr>
          </w:p>
        </w:tc>
        <w:tc>
          <w:tcPr>
            <w:tcW w:w="220" w:type="dxa"/>
            <w:vAlign w:val="bottom"/>
          </w:tcPr>
          <w:p>
            <w:pPr>
              <w:spacing w:after="0"/>
              <w:rPr>
                <w:sz w:val="9"/>
                <w:szCs w:val="9"/>
                <w:color w:val="auto"/>
              </w:rPr>
            </w:pPr>
          </w:p>
        </w:tc>
        <w:tc>
          <w:tcPr>
            <w:tcW w:w="1040" w:type="dxa"/>
            <w:vAlign w:val="bottom"/>
            <w:gridSpan w:val="2"/>
            <w:vMerge w:val="restart"/>
          </w:tcPr>
          <w:p>
            <w:pPr>
              <w:jc w:val="right"/>
              <w:ind w:right="380"/>
              <w:spacing w:after="0"/>
              <w:rPr>
                <w:sz w:val="20"/>
                <w:szCs w:val="20"/>
                <w:color w:val="auto"/>
              </w:rPr>
            </w:pPr>
            <w:r>
              <w:rPr>
                <w:rFonts w:ascii="Arial" w:cs="Arial" w:eastAsia="Arial" w:hAnsi="Arial"/>
                <w:sz w:val="10"/>
                <w:szCs w:val="10"/>
                <w:b w:val="1"/>
                <w:bCs w:val="1"/>
                <w:color w:val="auto"/>
              </w:rPr>
              <w:t>Regulatory</w:t>
            </w:r>
          </w:p>
        </w:tc>
        <w:tc>
          <w:tcPr>
            <w:tcW w:w="1040" w:type="dxa"/>
            <w:vAlign w:val="bottom"/>
            <w:gridSpan w:val="2"/>
            <w:vMerge w:val="restart"/>
          </w:tcPr>
          <w:p>
            <w:pPr>
              <w:jc w:val="right"/>
              <w:ind w:right="440"/>
              <w:spacing w:after="0"/>
              <w:rPr>
                <w:sz w:val="20"/>
                <w:szCs w:val="20"/>
                <w:color w:val="auto"/>
              </w:rPr>
            </w:pPr>
            <w:r>
              <w:rPr>
                <w:rFonts w:ascii="Arial" w:cs="Arial" w:eastAsia="Arial" w:hAnsi="Arial"/>
                <w:sz w:val="10"/>
                <w:szCs w:val="10"/>
                <w:b w:val="1"/>
                <w:bCs w:val="1"/>
                <w:color w:val="auto"/>
              </w:rPr>
              <w:t>Retained</w:t>
            </w:r>
          </w:p>
        </w:tc>
        <w:tc>
          <w:tcPr>
            <w:tcW w:w="1020" w:type="dxa"/>
            <w:vAlign w:val="bottom"/>
            <w:gridSpan w:val="2"/>
            <w:vMerge w:val="continue"/>
          </w:tcPr>
          <w:p>
            <w:pPr>
              <w:spacing w:after="0"/>
              <w:rPr>
                <w:sz w:val="9"/>
                <w:szCs w:val="9"/>
                <w:color w:val="auto"/>
              </w:rPr>
            </w:pPr>
          </w:p>
        </w:tc>
        <w:tc>
          <w:tcPr>
            <w:tcW w:w="7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rPr>
                <w:sz w:val="9"/>
                <w:szCs w:val="9"/>
                <w:color w:val="auto"/>
              </w:rPr>
            </w:pPr>
          </w:p>
        </w:tc>
        <w:tc>
          <w:tcPr>
            <w:tcW w:w="1040" w:type="dxa"/>
            <w:vAlign w:val="bottom"/>
            <w:gridSpan w:val="2"/>
            <w:vMerge w:val="restart"/>
          </w:tcPr>
          <w:p>
            <w:pPr>
              <w:ind w:left="80"/>
              <w:spacing w:after="0"/>
              <w:rPr>
                <w:sz w:val="20"/>
                <w:szCs w:val="20"/>
                <w:color w:val="auto"/>
              </w:rPr>
            </w:pPr>
            <w:r>
              <w:rPr>
                <w:rFonts w:ascii="Arial" w:cs="Arial" w:eastAsia="Arial" w:hAnsi="Arial"/>
                <w:sz w:val="10"/>
                <w:szCs w:val="10"/>
                <w:b w:val="1"/>
                <w:bCs w:val="1"/>
                <w:color w:val="auto"/>
              </w:rPr>
              <w:t>Common stock</w:t>
            </w:r>
          </w:p>
        </w:tc>
        <w:tc>
          <w:tcPr>
            <w:tcW w:w="1040" w:type="dxa"/>
            <w:vAlign w:val="bottom"/>
            <w:gridSpan w:val="2"/>
            <w:vMerge w:val="restart"/>
          </w:tcPr>
          <w:p>
            <w:pPr>
              <w:jc w:val="right"/>
              <w:ind w:right="295"/>
              <w:spacing w:after="0"/>
              <w:rPr>
                <w:sz w:val="20"/>
                <w:szCs w:val="20"/>
                <w:color w:val="auto"/>
              </w:rPr>
            </w:pPr>
            <w:r>
              <w:rPr>
                <w:rFonts w:ascii="Arial" w:cs="Arial" w:eastAsia="Arial" w:hAnsi="Arial"/>
                <w:sz w:val="10"/>
                <w:szCs w:val="10"/>
                <w:b w:val="1"/>
                <w:bCs w:val="1"/>
                <w:color w:val="auto"/>
              </w:rPr>
              <w:t>Treasury stock</w:t>
            </w:r>
          </w:p>
        </w:tc>
        <w:tc>
          <w:tcPr>
            <w:tcW w:w="1040" w:type="dxa"/>
            <w:vAlign w:val="bottom"/>
            <w:gridSpan w:val="2"/>
          </w:tcPr>
          <w:p>
            <w:pPr>
              <w:jc w:val="center"/>
              <w:ind w:right="200"/>
              <w:spacing w:after="0" w:line="106" w:lineRule="exact"/>
              <w:rPr>
                <w:sz w:val="20"/>
                <w:szCs w:val="20"/>
                <w:color w:val="auto"/>
              </w:rPr>
            </w:pPr>
            <w:r>
              <w:rPr>
                <w:rFonts w:ascii="Arial" w:cs="Arial" w:eastAsia="Arial" w:hAnsi="Arial"/>
                <w:sz w:val="10"/>
                <w:szCs w:val="10"/>
                <w:b w:val="1"/>
                <w:bCs w:val="1"/>
                <w:color w:val="auto"/>
                <w:w w:val="86"/>
              </w:rPr>
              <w:t>assigned to</w:t>
            </w:r>
          </w:p>
        </w:tc>
        <w:tc>
          <w:tcPr>
            <w:tcW w:w="1040" w:type="dxa"/>
            <w:vAlign w:val="bottom"/>
            <w:gridSpan w:val="2"/>
            <w:vMerge w:val="restart"/>
          </w:tcPr>
          <w:p>
            <w:pPr>
              <w:ind w:left="60"/>
              <w:spacing w:after="0"/>
              <w:rPr>
                <w:sz w:val="20"/>
                <w:szCs w:val="20"/>
                <w:color w:val="auto"/>
              </w:rPr>
            </w:pPr>
            <w:r>
              <w:rPr>
                <w:rFonts w:ascii="Arial" w:cs="Arial" w:eastAsia="Arial" w:hAnsi="Arial"/>
                <w:sz w:val="10"/>
                <w:szCs w:val="10"/>
                <w:b w:val="1"/>
                <w:bCs w:val="1"/>
                <w:color w:val="auto"/>
              </w:rPr>
              <w:t>Capital reserves</w:t>
            </w:r>
          </w:p>
        </w:tc>
        <w:tc>
          <w:tcPr>
            <w:tcW w:w="1040" w:type="dxa"/>
            <w:vAlign w:val="bottom"/>
            <w:gridSpan w:val="2"/>
            <w:vMerge w:val="continue"/>
          </w:tcPr>
          <w:p>
            <w:pPr>
              <w:spacing w:after="0"/>
              <w:rPr>
                <w:sz w:val="9"/>
                <w:szCs w:val="9"/>
                <w:color w:val="auto"/>
              </w:rPr>
            </w:pPr>
          </w:p>
        </w:tc>
        <w:tc>
          <w:tcPr>
            <w:tcW w:w="1040" w:type="dxa"/>
            <w:vAlign w:val="bottom"/>
            <w:gridSpan w:val="2"/>
            <w:vMerge w:val="continue"/>
          </w:tcPr>
          <w:p>
            <w:pPr>
              <w:spacing w:after="0"/>
              <w:rPr>
                <w:sz w:val="9"/>
                <w:szCs w:val="9"/>
                <w:color w:val="auto"/>
              </w:rPr>
            </w:pPr>
          </w:p>
        </w:tc>
        <w:tc>
          <w:tcPr>
            <w:tcW w:w="1020" w:type="dxa"/>
            <w:vAlign w:val="bottom"/>
            <w:gridSpan w:val="2"/>
          </w:tcPr>
          <w:p>
            <w:pPr>
              <w:jc w:val="center"/>
              <w:ind w:right="200"/>
              <w:spacing w:after="0" w:line="106" w:lineRule="exact"/>
              <w:rPr>
                <w:sz w:val="20"/>
                <w:szCs w:val="20"/>
                <w:color w:val="auto"/>
              </w:rPr>
            </w:pPr>
            <w:r>
              <w:rPr>
                <w:rFonts w:ascii="Arial" w:cs="Arial" w:eastAsia="Arial" w:hAnsi="Arial"/>
                <w:sz w:val="10"/>
                <w:szCs w:val="10"/>
                <w:b w:val="1"/>
                <w:bCs w:val="1"/>
                <w:color w:val="auto"/>
                <w:w w:val="89"/>
              </w:rPr>
              <w:t>comprehensive</w:t>
            </w:r>
          </w:p>
        </w:tc>
        <w:tc>
          <w:tcPr>
            <w:tcW w:w="900" w:type="dxa"/>
            <w:vAlign w:val="bottom"/>
            <w:gridSpan w:val="2"/>
            <w:vMerge w:val="restart"/>
          </w:tcPr>
          <w:p>
            <w:pPr>
              <w:jc w:val="right"/>
              <w:ind w:right="240"/>
              <w:spacing w:after="0"/>
              <w:rPr>
                <w:sz w:val="20"/>
                <w:szCs w:val="20"/>
                <w:color w:val="auto"/>
              </w:rPr>
            </w:pPr>
            <w:r>
              <w:rPr>
                <w:rFonts w:ascii="Arial" w:cs="Arial" w:eastAsia="Arial" w:hAnsi="Arial"/>
                <w:sz w:val="10"/>
                <w:szCs w:val="10"/>
                <w:b w:val="1"/>
                <w:bCs w:val="1"/>
                <w:color w:val="auto"/>
              </w:rPr>
              <w:t>Total equity</w:t>
            </w:r>
          </w:p>
        </w:tc>
        <w:tc>
          <w:tcPr>
            <w:tcW w:w="0" w:type="dxa"/>
            <w:vAlign w:val="bottom"/>
          </w:tcPr>
          <w:p>
            <w:pPr>
              <w:spacing w:after="0"/>
              <w:rPr>
                <w:sz w:val="1"/>
                <w:szCs w:val="1"/>
                <w:color w:val="auto"/>
              </w:rPr>
            </w:pPr>
          </w:p>
        </w:tc>
      </w:tr>
      <w:tr>
        <w:trPr>
          <w:trHeight w:val="123"/>
        </w:trPr>
        <w:tc>
          <w:tcPr>
            <w:tcW w:w="20" w:type="dxa"/>
            <w:vAlign w:val="bottom"/>
          </w:tcPr>
          <w:p>
            <w:pPr>
              <w:spacing w:after="0"/>
              <w:rPr>
                <w:sz w:val="10"/>
                <w:szCs w:val="10"/>
                <w:color w:val="auto"/>
              </w:rPr>
            </w:pPr>
          </w:p>
        </w:tc>
        <w:tc>
          <w:tcPr>
            <w:tcW w:w="3300" w:type="dxa"/>
            <w:vAlign w:val="bottom"/>
          </w:tcPr>
          <w:p>
            <w:pPr>
              <w:spacing w:after="0"/>
              <w:rPr>
                <w:sz w:val="10"/>
                <w:szCs w:val="10"/>
                <w:color w:val="auto"/>
              </w:rPr>
            </w:pPr>
          </w:p>
        </w:tc>
        <w:tc>
          <w:tcPr>
            <w:tcW w:w="1040" w:type="dxa"/>
            <w:vAlign w:val="bottom"/>
            <w:gridSpan w:val="2"/>
            <w:vMerge w:val="continue"/>
          </w:tcPr>
          <w:p>
            <w:pPr>
              <w:spacing w:after="0"/>
              <w:rPr>
                <w:sz w:val="10"/>
                <w:szCs w:val="10"/>
                <w:color w:val="auto"/>
              </w:rPr>
            </w:pPr>
          </w:p>
        </w:tc>
        <w:tc>
          <w:tcPr>
            <w:tcW w:w="1040" w:type="dxa"/>
            <w:vAlign w:val="bottom"/>
            <w:gridSpan w:val="2"/>
            <w:vMerge w:val="continue"/>
          </w:tcPr>
          <w:p>
            <w:pPr>
              <w:spacing w:after="0"/>
              <w:rPr>
                <w:sz w:val="10"/>
                <w:szCs w:val="10"/>
                <w:color w:val="auto"/>
              </w:rPr>
            </w:pPr>
          </w:p>
        </w:tc>
        <w:tc>
          <w:tcPr>
            <w:tcW w:w="1040" w:type="dxa"/>
            <w:vAlign w:val="bottom"/>
            <w:gridSpan w:val="2"/>
          </w:tcPr>
          <w:p>
            <w:pPr>
              <w:jc w:val="center"/>
              <w:ind w:right="220"/>
              <w:spacing w:after="0"/>
              <w:rPr>
                <w:sz w:val="20"/>
                <w:szCs w:val="20"/>
                <w:color w:val="auto"/>
              </w:rPr>
            </w:pPr>
            <w:r>
              <w:rPr>
                <w:rFonts w:ascii="Arial" w:cs="Arial" w:eastAsia="Arial" w:hAnsi="Arial"/>
                <w:sz w:val="10"/>
                <w:szCs w:val="10"/>
                <w:b w:val="1"/>
                <w:bCs w:val="1"/>
                <w:color w:val="auto"/>
                <w:w w:val="87"/>
              </w:rPr>
              <w:t>common stock</w:t>
            </w:r>
          </w:p>
        </w:tc>
        <w:tc>
          <w:tcPr>
            <w:tcW w:w="1040" w:type="dxa"/>
            <w:vAlign w:val="bottom"/>
            <w:gridSpan w:val="2"/>
            <w:vMerge w:val="continue"/>
          </w:tcPr>
          <w:p>
            <w:pPr>
              <w:spacing w:after="0"/>
              <w:rPr>
                <w:sz w:val="10"/>
                <w:szCs w:val="10"/>
                <w:color w:val="auto"/>
              </w:rPr>
            </w:pPr>
          </w:p>
        </w:tc>
        <w:tc>
          <w:tcPr>
            <w:tcW w:w="1040" w:type="dxa"/>
            <w:vAlign w:val="bottom"/>
            <w:gridSpan w:val="2"/>
          </w:tcPr>
          <w:p>
            <w:pPr>
              <w:jc w:val="right"/>
              <w:ind w:right="460"/>
              <w:spacing w:after="0"/>
              <w:rPr>
                <w:sz w:val="20"/>
                <w:szCs w:val="20"/>
                <w:color w:val="auto"/>
              </w:rPr>
            </w:pPr>
            <w:r>
              <w:rPr>
                <w:rFonts w:ascii="Arial" w:cs="Arial" w:eastAsia="Arial" w:hAnsi="Arial"/>
                <w:sz w:val="10"/>
                <w:szCs w:val="10"/>
                <w:b w:val="1"/>
                <w:bCs w:val="1"/>
                <w:color w:val="auto"/>
              </w:rPr>
              <w:t>reserves</w:t>
            </w:r>
          </w:p>
        </w:tc>
        <w:tc>
          <w:tcPr>
            <w:tcW w:w="1040" w:type="dxa"/>
            <w:vAlign w:val="bottom"/>
            <w:gridSpan w:val="2"/>
          </w:tcPr>
          <w:p>
            <w:pPr>
              <w:jc w:val="right"/>
              <w:ind w:right="440"/>
              <w:spacing w:after="0"/>
              <w:rPr>
                <w:sz w:val="20"/>
                <w:szCs w:val="20"/>
                <w:color w:val="auto"/>
              </w:rPr>
            </w:pPr>
            <w:r>
              <w:rPr>
                <w:rFonts w:ascii="Arial" w:cs="Arial" w:eastAsia="Arial" w:hAnsi="Arial"/>
                <w:sz w:val="10"/>
                <w:szCs w:val="10"/>
                <w:b w:val="1"/>
                <w:bCs w:val="1"/>
                <w:color w:val="auto"/>
              </w:rPr>
              <w:t>earnings</w:t>
            </w:r>
          </w:p>
        </w:tc>
        <w:tc>
          <w:tcPr>
            <w:tcW w:w="1020" w:type="dxa"/>
            <w:vAlign w:val="bottom"/>
            <w:gridSpan w:val="2"/>
          </w:tcPr>
          <w:p>
            <w:pPr>
              <w:jc w:val="center"/>
              <w:ind w:right="220"/>
              <w:spacing w:after="0"/>
              <w:rPr>
                <w:sz w:val="20"/>
                <w:szCs w:val="20"/>
                <w:color w:val="auto"/>
              </w:rPr>
            </w:pPr>
            <w:r>
              <w:rPr>
                <w:rFonts w:ascii="Arial" w:cs="Arial" w:eastAsia="Arial" w:hAnsi="Arial"/>
                <w:sz w:val="10"/>
                <w:szCs w:val="10"/>
                <w:b w:val="1"/>
                <w:bCs w:val="1"/>
                <w:color w:val="auto"/>
                <w:w w:val="91"/>
              </w:rPr>
              <w:t>income</w:t>
            </w:r>
          </w:p>
        </w:tc>
        <w:tc>
          <w:tcPr>
            <w:tcW w:w="900" w:type="dxa"/>
            <w:vAlign w:val="bottom"/>
            <w:gridSpan w:val="2"/>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tcBorders>
              <w:top w:val="single" w:sz="8" w:color="CCEEFF"/>
            </w:tcBorders>
            <w:shd w:val="clear" w:color="auto" w:fill="CCEEFF"/>
          </w:tcPr>
          <w:p>
            <w:pPr>
              <w:spacing w:after="0" w:line="96" w:lineRule="exact"/>
              <w:rPr>
                <w:sz w:val="20"/>
                <w:szCs w:val="20"/>
                <w:color w:val="auto"/>
              </w:rPr>
            </w:pPr>
            <w:r>
              <w:rPr>
                <w:rFonts w:ascii="Arial" w:cs="Arial" w:eastAsia="Arial" w:hAnsi="Arial"/>
                <w:sz w:val="10"/>
                <w:szCs w:val="10"/>
                <w:b w:val="1"/>
                <w:bCs w:val="1"/>
                <w:color w:val="auto"/>
              </w:rPr>
              <w:t>Balances at January 1, 2016</w:t>
            </w:r>
          </w:p>
        </w:tc>
        <w:tc>
          <w:tcPr>
            <w:tcW w:w="820" w:type="dxa"/>
            <w:vAlign w:val="bottom"/>
            <w:tcBorders>
              <w:top w:val="single" w:sz="8" w:color="auto"/>
            </w:tcBorders>
            <w:shd w:val="clear" w:color="auto" w:fill="CCEEFF"/>
          </w:tcPr>
          <w:p>
            <w:pPr>
              <w:jc w:val="right"/>
              <w:spacing w:after="0" w:line="96" w:lineRule="exact"/>
              <w:rPr>
                <w:sz w:val="20"/>
                <w:szCs w:val="20"/>
                <w:color w:val="auto"/>
              </w:rPr>
            </w:pPr>
            <w:r>
              <w:rPr>
                <w:rFonts w:ascii="Arial" w:cs="Arial" w:eastAsia="Arial" w:hAnsi="Arial"/>
                <w:sz w:val="10"/>
                <w:szCs w:val="10"/>
                <w:color w:val="auto"/>
              </w:rPr>
              <w:t>279,980</w:t>
            </w:r>
          </w:p>
        </w:tc>
        <w:tc>
          <w:tcPr>
            <w:tcW w:w="220" w:type="dxa"/>
            <w:vAlign w:val="bottom"/>
            <w:tcBorders>
              <w:top w:val="single" w:sz="8" w:color="CCEEFF"/>
            </w:tcBorders>
            <w:shd w:val="clear" w:color="auto" w:fill="CCEEFF"/>
          </w:tcPr>
          <w:p>
            <w:pPr>
              <w:spacing w:after="0"/>
              <w:rPr>
                <w:sz w:val="8"/>
                <w:szCs w:val="8"/>
                <w:color w:val="auto"/>
              </w:rPr>
            </w:pPr>
          </w:p>
        </w:tc>
        <w:tc>
          <w:tcPr>
            <w:tcW w:w="820" w:type="dxa"/>
            <w:vAlign w:val="bottom"/>
            <w:tcBorders>
              <w:top w:val="single" w:sz="8" w:color="auto"/>
            </w:tcBorders>
            <w:shd w:val="clear" w:color="auto" w:fill="CCEEFF"/>
          </w:tcPr>
          <w:p>
            <w:pPr>
              <w:jc w:val="right"/>
              <w:spacing w:after="0" w:line="96" w:lineRule="exact"/>
              <w:rPr>
                <w:sz w:val="20"/>
                <w:szCs w:val="20"/>
                <w:color w:val="auto"/>
              </w:rPr>
            </w:pPr>
            <w:r>
              <w:rPr>
                <w:rFonts w:ascii="Arial" w:cs="Arial" w:eastAsia="Arial" w:hAnsi="Arial"/>
                <w:sz w:val="10"/>
                <w:szCs w:val="10"/>
                <w:color w:val="auto"/>
              </w:rPr>
              <w:t>(73,397)</w:t>
            </w:r>
          </w:p>
        </w:tc>
        <w:tc>
          <w:tcPr>
            <w:tcW w:w="220" w:type="dxa"/>
            <w:vAlign w:val="bottom"/>
            <w:tcBorders>
              <w:top w:val="single" w:sz="8" w:color="CCEEFF"/>
            </w:tcBorders>
            <w:shd w:val="clear" w:color="auto" w:fill="CCEEFF"/>
          </w:tcPr>
          <w:p>
            <w:pPr>
              <w:spacing w:after="0"/>
              <w:rPr>
                <w:sz w:val="8"/>
                <w:szCs w:val="8"/>
                <w:color w:val="auto"/>
              </w:rPr>
            </w:pPr>
          </w:p>
        </w:tc>
        <w:tc>
          <w:tcPr>
            <w:tcW w:w="820" w:type="dxa"/>
            <w:vAlign w:val="bottom"/>
            <w:tcBorders>
              <w:top w:val="single" w:sz="8" w:color="auto"/>
            </w:tcBorders>
            <w:shd w:val="clear" w:color="auto" w:fill="CCEEFF"/>
          </w:tcPr>
          <w:p>
            <w:pPr>
              <w:jc w:val="right"/>
              <w:spacing w:after="0" w:line="96" w:lineRule="exact"/>
              <w:rPr>
                <w:sz w:val="20"/>
                <w:szCs w:val="20"/>
                <w:color w:val="auto"/>
              </w:rPr>
            </w:pPr>
            <w:r>
              <w:rPr>
                <w:rFonts w:ascii="Arial" w:cs="Arial" w:eastAsia="Arial" w:hAnsi="Arial"/>
                <w:sz w:val="10"/>
                <w:szCs w:val="10"/>
                <w:color w:val="auto"/>
              </w:rPr>
              <w:t>120,177</w:t>
            </w:r>
          </w:p>
        </w:tc>
        <w:tc>
          <w:tcPr>
            <w:tcW w:w="220" w:type="dxa"/>
            <w:vAlign w:val="bottom"/>
            <w:tcBorders>
              <w:top w:val="single" w:sz="8" w:color="CCEEFF"/>
            </w:tcBorders>
            <w:shd w:val="clear" w:color="auto" w:fill="CCEEFF"/>
          </w:tcPr>
          <w:p>
            <w:pPr>
              <w:spacing w:after="0"/>
              <w:rPr>
                <w:sz w:val="8"/>
                <w:szCs w:val="8"/>
                <w:color w:val="auto"/>
              </w:rPr>
            </w:pPr>
          </w:p>
        </w:tc>
        <w:tc>
          <w:tcPr>
            <w:tcW w:w="820" w:type="dxa"/>
            <w:vAlign w:val="bottom"/>
            <w:tcBorders>
              <w:top w:val="single" w:sz="8" w:color="auto"/>
            </w:tcBorders>
            <w:shd w:val="clear" w:color="auto" w:fill="CCEEFF"/>
          </w:tcPr>
          <w:p>
            <w:pPr>
              <w:jc w:val="right"/>
              <w:spacing w:after="0" w:line="96" w:lineRule="exact"/>
              <w:rPr>
                <w:sz w:val="20"/>
                <w:szCs w:val="20"/>
                <w:color w:val="auto"/>
              </w:rPr>
            </w:pPr>
            <w:r>
              <w:rPr>
                <w:rFonts w:ascii="Arial" w:cs="Arial" w:eastAsia="Arial" w:hAnsi="Arial"/>
                <w:sz w:val="10"/>
                <w:szCs w:val="10"/>
                <w:color w:val="auto"/>
              </w:rPr>
              <w:t>95,210</w:t>
            </w:r>
          </w:p>
        </w:tc>
        <w:tc>
          <w:tcPr>
            <w:tcW w:w="220" w:type="dxa"/>
            <w:vAlign w:val="bottom"/>
            <w:tcBorders>
              <w:top w:val="single" w:sz="8" w:color="CCEEFF"/>
            </w:tcBorders>
            <w:shd w:val="clear" w:color="auto" w:fill="CCEEFF"/>
          </w:tcPr>
          <w:p>
            <w:pPr>
              <w:spacing w:after="0"/>
              <w:rPr>
                <w:sz w:val="8"/>
                <w:szCs w:val="8"/>
                <w:color w:val="auto"/>
              </w:rPr>
            </w:pPr>
          </w:p>
        </w:tc>
        <w:tc>
          <w:tcPr>
            <w:tcW w:w="820" w:type="dxa"/>
            <w:vAlign w:val="bottom"/>
            <w:tcBorders>
              <w:top w:val="single" w:sz="8" w:color="auto"/>
            </w:tcBorders>
            <w:shd w:val="clear" w:color="auto" w:fill="CCEEFF"/>
          </w:tcPr>
          <w:p>
            <w:pPr>
              <w:jc w:val="right"/>
              <w:spacing w:after="0" w:line="96" w:lineRule="exact"/>
              <w:rPr>
                <w:sz w:val="20"/>
                <w:szCs w:val="20"/>
                <w:color w:val="auto"/>
              </w:rPr>
            </w:pPr>
            <w:r>
              <w:rPr>
                <w:rFonts w:ascii="Arial" w:cs="Arial" w:eastAsia="Arial" w:hAnsi="Arial"/>
                <w:sz w:val="10"/>
                <w:szCs w:val="10"/>
                <w:color w:val="auto"/>
              </w:rPr>
              <w:t>38,708</w:t>
            </w:r>
          </w:p>
        </w:tc>
        <w:tc>
          <w:tcPr>
            <w:tcW w:w="220" w:type="dxa"/>
            <w:vAlign w:val="bottom"/>
            <w:tcBorders>
              <w:top w:val="single" w:sz="8" w:color="CCEEFF"/>
            </w:tcBorders>
            <w:shd w:val="clear" w:color="auto" w:fill="CCEEFF"/>
          </w:tcPr>
          <w:p>
            <w:pPr>
              <w:spacing w:after="0"/>
              <w:rPr>
                <w:sz w:val="8"/>
                <w:szCs w:val="8"/>
                <w:color w:val="auto"/>
              </w:rPr>
            </w:pPr>
          </w:p>
        </w:tc>
        <w:tc>
          <w:tcPr>
            <w:tcW w:w="820" w:type="dxa"/>
            <w:vAlign w:val="bottom"/>
            <w:tcBorders>
              <w:top w:val="single" w:sz="8" w:color="auto"/>
            </w:tcBorders>
            <w:shd w:val="clear" w:color="auto" w:fill="CCEEFF"/>
          </w:tcPr>
          <w:p>
            <w:pPr>
              <w:jc w:val="right"/>
              <w:spacing w:after="0" w:line="96" w:lineRule="exact"/>
              <w:rPr>
                <w:sz w:val="20"/>
                <w:szCs w:val="20"/>
                <w:color w:val="auto"/>
              </w:rPr>
            </w:pPr>
            <w:r>
              <w:rPr>
                <w:rFonts w:ascii="Arial" w:cs="Arial" w:eastAsia="Arial" w:hAnsi="Arial"/>
                <w:sz w:val="10"/>
                <w:szCs w:val="10"/>
                <w:color w:val="auto"/>
              </w:rPr>
              <w:t>521,934</w:t>
            </w:r>
          </w:p>
        </w:tc>
        <w:tc>
          <w:tcPr>
            <w:tcW w:w="220" w:type="dxa"/>
            <w:vAlign w:val="bottom"/>
            <w:tcBorders>
              <w:top w:val="single" w:sz="8" w:color="CCEEFF"/>
            </w:tcBorders>
            <w:shd w:val="clear" w:color="auto" w:fill="CCEEFF"/>
          </w:tcPr>
          <w:p>
            <w:pPr>
              <w:spacing w:after="0"/>
              <w:rPr>
                <w:sz w:val="8"/>
                <w:szCs w:val="8"/>
                <w:color w:val="auto"/>
              </w:rPr>
            </w:pPr>
          </w:p>
        </w:tc>
        <w:tc>
          <w:tcPr>
            <w:tcW w:w="800" w:type="dxa"/>
            <w:vAlign w:val="bottom"/>
            <w:tcBorders>
              <w:top w:val="single" w:sz="8" w:color="auto"/>
            </w:tcBorders>
            <w:shd w:val="clear" w:color="auto" w:fill="CCEEFF"/>
          </w:tcPr>
          <w:p>
            <w:pPr>
              <w:jc w:val="right"/>
              <w:spacing w:after="0" w:line="96" w:lineRule="exact"/>
              <w:rPr>
                <w:sz w:val="20"/>
                <w:szCs w:val="20"/>
                <w:color w:val="auto"/>
              </w:rPr>
            </w:pPr>
            <w:r>
              <w:rPr>
                <w:rFonts w:ascii="Arial" w:cs="Arial" w:eastAsia="Arial" w:hAnsi="Arial"/>
                <w:sz w:val="10"/>
                <w:szCs w:val="10"/>
                <w:color w:val="auto"/>
              </w:rPr>
              <w:t>(10,681)</w:t>
            </w:r>
          </w:p>
        </w:tc>
        <w:tc>
          <w:tcPr>
            <w:tcW w:w="220" w:type="dxa"/>
            <w:vAlign w:val="bottom"/>
            <w:tcBorders>
              <w:top w:val="single" w:sz="8" w:color="CCEEFF"/>
            </w:tcBorders>
            <w:shd w:val="clear" w:color="auto" w:fill="CCEEFF"/>
          </w:tcPr>
          <w:p>
            <w:pPr>
              <w:spacing w:after="0"/>
              <w:rPr>
                <w:sz w:val="8"/>
                <w:szCs w:val="8"/>
                <w:color w:val="auto"/>
              </w:rPr>
            </w:pPr>
          </w:p>
        </w:tc>
        <w:tc>
          <w:tcPr>
            <w:tcW w:w="780" w:type="dxa"/>
            <w:vAlign w:val="bottom"/>
            <w:tcBorders>
              <w:top w:val="single" w:sz="8" w:color="auto"/>
            </w:tcBorders>
            <w:shd w:val="clear" w:color="auto" w:fill="CCEEFF"/>
          </w:tcPr>
          <w:p>
            <w:pPr>
              <w:jc w:val="right"/>
              <w:spacing w:after="0" w:line="96" w:lineRule="exact"/>
              <w:rPr>
                <w:sz w:val="20"/>
                <w:szCs w:val="20"/>
                <w:color w:val="auto"/>
              </w:rPr>
            </w:pPr>
            <w:r>
              <w:rPr>
                <w:rFonts w:ascii="Arial" w:cs="Arial" w:eastAsia="Arial" w:hAnsi="Arial"/>
                <w:sz w:val="10"/>
                <w:szCs w:val="10"/>
                <w:color w:val="auto"/>
              </w:rPr>
              <w:t>971,931</w:t>
            </w:r>
          </w:p>
        </w:tc>
        <w:tc>
          <w:tcPr>
            <w:tcW w:w="120" w:type="dxa"/>
            <w:vAlign w:val="bottom"/>
            <w:tcBorders>
              <w:top w:val="single" w:sz="8" w:color="CCEEFF"/>
            </w:tcBorders>
            <w:shd w:val="clear" w:color="auto" w:fill="CCEEFF"/>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line="106" w:lineRule="exact"/>
              <w:rPr>
                <w:sz w:val="20"/>
                <w:szCs w:val="20"/>
                <w:color w:val="auto"/>
              </w:rPr>
            </w:pPr>
            <w:r>
              <w:rPr>
                <w:rFonts w:ascii="Arial" w:cs="Arial" w:eastAsia="Arial" w:hAnsi="Arial"/>
                <w:sz w:val="10"/>
                <w:szCs w:val="10"/>
                <w:color w:val="auto"/>
              </w:rPr>
              <w:t>Profit for the year</w:t>
            </w:r>
          </w:p>
        </w:tc>
        <w:tc>
          <w:tcPr>
            <w:tcW w:w="10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tcPr>
          <w:p>
            <w:pPr>
              <w:jc w:val="right"/>
              <w:ind w:right="215"/>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82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10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87,045</w:t>
            </w:r>
          </w:p>
        </w:tc>
        <w:tc>
          <w:tcPr>
            <w:tcW w:w="80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0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87,045</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spacing w:after="0" w:line="106" w:lineRule="exact"/>
              <w:rPr>
                <w:sz w:val="20"/>
                <w:szCs w:val="20"/>
                <w:color w:val="auto"/>
              </w:rPr>
            </w:pPr>
            <w:r>
              <w:rPr>
                <w:rFonts w:ascii="Arial" w:cs="Arial" w:eastAsia="Arial" w:hAnsi="Arial"/>
                <w:sz w:val="10"/>
                <w:szCs w:val="10"/>
                <w:color w:val="auto"/>
              </w:rPr>
              <w:t>Other comprehensive income</w:t>
            </w:r>
          </w:p>
        </w:tc>
        <w:tc>
          <w:tcPr>
            <w:tcW w:w="104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shd w:val="clear" w:color="auto" w:fill="CCEEFF"/>
          </w:tcPr>
          <w:p>
            <w:pPr>
              <w:jc w:val="right"/>
              <w:ind w:right="215"/>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82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9"/>
                <w:szCs w:val="9"/>
                <w:color w:val="auto"/>
              </w:rPr>
            </w:pPr>
          </w:p>
        </w:tc>
        <w:tc>
          <w:tcPr>
            <w:tcW w:w="82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9"/>
                <w:szCs w:val="9"/>
                <w:color w:val="auto"/>
              </w:rPr>
            </w:pPr>
          </w:p>
        </w:tc>
        <w:tc>
          <w:tcPr>
            <w:tcW w:w="102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7,880</w:t>
            </w:r>
          </w:p>
        </w:tc>
        <w:tc>
          <w:tcPr>
            <w:tcW w:w="90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7,880</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line="106" w:lineRule="exact"/>
              <w:rPr>
                <w:sz w:val="20"/>
                <w:szCs w:val="20"/>
                <w:color w:val="auto"/>
              </w:rPr>
            </w:pPr>
            <w:r>
              <w:rPr>
                <w:rFonts w:ascii="Arial" w:cs="Arial" w:eastAsia="Arial" w:hAnsi="Arial"/>
                <w:sz w:val="10"/>
                <w:szCs w:val="10"/>
                <w:color w:val="auto"/>
              </w:rPr>
              <w:t>Issuance of restricted stock</w:t>
            </w:r>
          </w:p>
        </w:tc>
        <w:tc>
          <w:tcPr>
            <w:tcW w:w="10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tcPr>
          <w:p>
            <w:pPr>
              <w:jc w:val="right"/>
              <w:ind w:right="215"/>
              <w:spacing w:after="0" w:line="106" w:lineRule="exact"/>
              <w:rPr>
                <w:sz w:val="20"/>
                <w:szCs w:val="20"/>
                <w:color w:val="auto"/>
              </w:rPr>
            </w:pPr>
            <w:r>
              <w:rPr>
                <w:rFonts w:ascii="Arial" w:cs="Arial" w:eastAsia="Arial" w:hAnsi="Arial"/>
                <w:sz w:val="10"/>
                <w:szCs w:val="10"/>
                <w:color w:val="auto"/>
              </w:rPr>
              <w:t>1,259</w:t>
            </w:r>
          </w:p>
        </w:tc>
        <w:tc>
          <w:tcPr>
            <w:tcW w:w="1040" w:type="dxa"/>
            <w:vAlign w:val="bottom"/>
            <w:gridSpan w:val="2"/>
          </w:tcPr>
          <w:p>
            <w:pPr>
              <w:jc w:val="right"/>
              <w:ind w:right="200"/>
              <w:spacing w:after="0" w:line="106" w:lineRule="exact"/>
              <w:rPr>
                <w:sz w:val="20"/>
                <w:szCs w:val="20"/>
                <w:color w:val="auto"/>
              </w:rPr>
            </w:pPr>
            <w:r>
              <w:rPr>
                <w:rFonts w:ascii="Arial" w:cs="Arial" w:eastAsia="Arial" w:hAnsi="Arial"/>
                <w:sz w:val="10"/>
                <w:szCs w:val="10"/>
                <w:color w:val="auto"/>
              </w:rPr>
              <w:t>(1,259)</w:t>
            </w:r>
          </w:p>
        </w:tc>
        <w:tc>
          <w:tcPr>
            <w:tcW w:w="10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82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82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80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0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spacing w:after="0" w:line="106" w:lineRule="exact"/>
              <w:rPr>
                <w:sz w:val="20"/>
                <w:szCs w:val="20"/>
                <w:color w:val="auto"/>
              </w:rPr>
            </w:pPr>
            <w:r>
              <w:rPr>
                <w:rFonts w:ascii="Arial" w:cs="Arial" w:eastAsia="Arial" w:hAnsi="Arial"/>
                <w:sz w:val="10"/>
                <w:szCs w:val="10"/>
                <w:color w:val="auto"/>
              </w:rPr>
              <w:t>Compensation cost - stock options and stock units plans</w:t>
            </w:r>
          </w:p>
        </w:tc>
        <w:tc>
          <w:tcPr>
            <w:tcW w:w="104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shd w:val="clear" w:color="auto" w:fill="CCEEFF"/>
          </w:tcPr>
          <w:p>
            <w:pPr>
              <w:jc w:val="right"/>
              <w:ind w:right="215"/>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3,063</w:t>
            </w:r>
          </w:p>
        </w:tc>
        <w:tc>
          <w:tcPr>
            <w:tcW w:w="104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82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9"/>
                <w:szCs w:val="9"/>
                <w:color w:val="auto"/>
              </w:rPr>
            </w:pPr>
          </w:p>
        </w:tc>
        <w:tc>
          <w:tcPr>
            <w:tcW w:w="82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9"/>
                <w:szCs w:val="9"/>
                <w:color w:val="auto"/>
              </w:rPr>
            </w:pPr>
          </w:p>
        </w:tc>
        <w:tc>
          <w:tcPr>
            <w:tcW w:w="8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9"/>
                <w:szCs w:val="9"/>
                <w:color w:val="auto"/>
              </w:rPr>
            </w:pPr>
          </w:p>
        </w:tc>
        <w:tc>
          <w:tcPr>
            <w:tcW w:w="90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3,063</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line="106" w:lineRule="exact"/>
              <w:rPr>
                <w:sz w:val="20"/>
                <w:szCs w:val="20"/>
                <w:color w:val="auto"/>
              </w:rPr>
            </w:pPr>
            <w:r>
              <w:rPr>
                <w:rFonts w:ascii="Arial" w:cs="Arial" w:eastAsia="Arial" w:hAnsi="Arial"/>
                <w:sz w:val="10"/>
                <w:szCs w:val="10"/>
                <w:color w:val="auto"/>
              </w:rPr>
              <w:t>Exercised options and stock units vested</w:t>
            </w:r>
          </w:p>
        </w:tc>
        <w:tc>
          <w:tcPr>
            <w:tcW w:w="10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tcPr>
          <w:p>
            <w:pPr>
              <w:jc w:val="right"/>
              <w:ind w:right="215"/>
              <w:spacing w:after="0" w:line="106" w:lineRule="exact"/>
              <w:rPr>
                <w:sz w:val="20"/>
                <w:szCs w:val="20"/>
                <w:color w:val="auto"/>
              </w:rPr>
            </w:pPr>
            <w:r>
              <w:rPr>
                <w:rFonts w:ascii="Arial" w:cs="Arial" w:eastAsia="Arial" w:hAnsi="Arial"/>
                <w:sz w:val="10"/>
                <w:szCs w:val="10"/>
                <w:color w:val="auto"/>
              </w:rPr>
              <w:t>2,962</w:t>
            </w:r>
          </w:p>
        </w:tc>
        <w:tc>
          <w:tcPr>
            <w:tcW w:w="1040" w:type="dxa"/>
            <w:vAlign w:val="bottom"/>
            <w:gridSpan w:val="2"/>
          </w:tcPr>
          <w:p>
            <w:pPr>
              <w:jc w:val="right"/>
              <w:ind w:right="200"/>
              <w:spacing w:after="0" w:line="106" w:lineRule="exact"/>
              <w:rPr>
                <w:sz w:val="20"/>
                <w:szCs w:val="20"/>
                <w:color w:val="auto"/>
              </w:rPr>
            </w:pPr>
            <w:r>
              <w:rPr>
                <w:rFonts w:ascii="Arial" w:cs="Arial" w:eastAsia="Arial" w:hAnsi="Arial"/>
                <w:sz w:val="10"/>
                <w:szCs w:val="10"/>
                <w:color w:val="auto"/>
              </w:rPr>
              <w:t>(1,387)</w:t>
            </w:r>
          </w:p>
        </w:tc>
        <w:tc>
          <w:tcPr>
            <w:tcW w:w="10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82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82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80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0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1,575</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spacing w:after="0" w:line="106" w:lineRule="exact"/>
              <w:rPr>
                <w:sz w:val="20"/>
                <w:szCs w:val="20"/>
                <w:color w:val="auto"/>
              </w:rPr>
            </w:pPr>
            <w:r>
              <w:rPr>
                <w:rFonts w:ascii="Arial" w:cs="Arial" w:eastAsia="Arial" w:hAnsi="Arial"/>
                <w:sz w:val="10"/>
                <w:szCs w:val="10"/>
                <w:color w:val="auto"/>
              </w:rPr>
              <w:t>Repurchase of "Class B" and "Class E" common stock</w:t>
            </w:r>
          </w:p>
        </w:tc>
        <w:tc>
          <w:tcPr>
            <w:tcW w:w="104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shd w:val="clear" w:color="auto" w:fill="CCEEFF"/>
          </w:tcPr>
          <w:p>
            <w:pPr>
              <w:jc w:val="right"/>
              <w:ind w:right="215"/>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82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9"/>
                <w:szCs w:val="9"/>
                <w:color w:val="auto"/>
              </w:rPr>
            </w:pPr>
          </w:p>
        </w:tc>
        <w:tc>
          <w:tcPr>
            <w:tcW w:w="82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9"/>
                <w:szCs w:val="9"/>
                <w:color w:val="auto"/>
              </w:rPr>
            </w:pPr>
          </w:p>
        </w:tc>
        <w:tc>
          <w:tcPr>
            <w:tcW w:w="8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9"/>
                <w:szCs w:val="9"/>
                <w:color w:val="auto"/>
              </w:rPr>
            </w:pPr>
          </w:p>
        </w:tc>
        <w:tc>
          <w:tcPr>
            <w:tcW w:w="90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line="106" w:lineRule="exact"/>
              <w:rPr>
                <w:sz w:val="20"/>
                <w:szCs w:val="20"/>
                <w:color w:val="auto"/>
              </w:rPr>
            </w:pPr>
            <w:r>
              <w:rPr>
                <w:rFonts w:ascii="Arial" w:cs="Arial" w:eastAsia="Arial" w:hAnsi="Arial"/>
                <w:sz w:val="10"/>
                <w:szCs w:val="10"/>
                <w:color w:val="auto"/>
              </w:rPr>
              <w:t>Regulatory credit reserve</w:t>
            </w:r>
          </w:p>
        </w:tc>
        <w:tc>
          <w:tcPr>
            <w:tcW w:w="10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tcPr>
          <w:p>
            <w:pPr>
              <w:jc w:val="right"/>
              <w:ind w:right="215"/>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10,713</w:t>
            </w:r>
          </w:p>
        </w:tc>
        <w:tc>
          <w:tcPr>
            <w:tcW w:w="1040" w:type="dxa"/>
            <w:vAlign w:val="bottom"/>
            <w:gridSpan w:val="2"/>
          </w:tcPr>
          <w:p>
            <w:pPr>
              <w:jc w:val="right"/>
              <w:ind w:right="200"/>
              <w:spacing w:after="0" w:line="106" w:lineRule="exact"/>
              <w:rPr>
                <w:sz w:val="20"/>
                <w:szCs w:val="20"/>
                <w:color w:val="auto"/>
              </w:rPr>
            </w:pPr>
            <w:r>
              <w:rPr>
                <w:rFonts w:ascii="Arial" w:cs="Arial" w:eastAsia="Arial" w:hAnsi="Arial"/>
                <w:sz w:val="10"/>
                <w:szCs w:val="10"/>
                <w:color w:val="auto"/>
              </w:rPr>
              <w:t>(10,713)</w:t>
            </w:r>
          </w:p>
        </w:tc>
        <w:tc>
          <w:tcPr>
            <w:tcW w:w="80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0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spacing w:after="0" w:line="106" w:lineRule="exact"/>
              <w:rPr>
                <w:sz w:val="20"/>
                <w:szCs w:val="20"/>
                <w:color w:val="auto"/>
              </w:rPr>
            </w:pPr>
            <w:r>
              <w:rPr>
                <w:rFonts w:ascii="Arial" w:cs="Arial" w:eastAsia="Arial" w:hAnsi="Arial"/>
                <w:sz w:val="10"/>
                <w:szCs w:val="10"/>
                <w:color w:val="auto"/>
              </w:rPr>
              <w:t>Dymanic provision</w:t>
            </w:r>
          </w:p>
        </w:tc>
        <w:tc>
          <w:tcPr>
            <w:tcW w:w="104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shd w:val="clear" w:color="auto" w:fill="CCEEFF"/>
          </w:tcPr>
          <w:p>
            <w:pPr>
              <w:jc w:val="right"/>
              <w:ind w:right="215"/>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13,038</w:t>
            </w:r>
          </w:p>
        </w:tc>
        <w:tc>
          <w:tcPr>
            <w:tcW w:w="1040" w:type="dxa"/>
            <w:vAlign w:val="bottom"/>
            <w:gridSpan w:val="2"/>
            <w:shd w:val="clear" w:color="auto" w:fill="CCEEFF"/>
          </w:tcPr>
          <w:p>
            <w:pPr>
              <w:jc w:val="right"/>
              <w:ind w:right="200"/>
              <w:spacing w:after="0" w:line="106" w:lineRule="exact"/>
              <w:rPr>
                <w:sz w:val="20"/>
                <w:szCs w:val="20"/>
                <w:color w:val="auto"/>
              </w:rPr>
            </w:pPr>
            <w:r>
              <w:rPr>
                <w:rFonts w:ascii="Arial" w:cs="Arial" w:eastAsia="Arial" w:hAnsi="Arial"/>
                <w:sz w:val="10"/>
                <w:szCs w:val="10"/>
                <w:color w:val="auto"/>
              </w:rPr>
              <w:t>(13,038)</w:t>
            </w:r>
          </w:p>
        </w:tc>
        <w:tc>
          <w:tcPr>
            <w:tcW w:w="8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9"/>
                <w:szCs w:val="9"/>
                <w:color w:val="auto"/>
              </w:rPr>
            </w:pPr>
          </w:p>
        </w:tc>
        <w:tc>
          <w:tcPr>
            <w:tcW w:w="90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0" w:type="dxa"/>
            <w:vAlign w:val="bottom"/>
          </w:tcPr>
          <w:p>
            <w:pPr>
              <w:spacing w:after="0"/>
              <w:rPr>
                <w:sz w:val="1"/>
                <w:szCs w:val="1"/>
                <w:color w:val="auto"/>
              </w:rPr>
            </w:pPr>
          </w:p>
        </w:tc>
      </w:tr>
      <w:tr>
        <w:trPr>
          <w:trHeight w:val="116"/>
        </w:trPr>
        <w:tc>
          <w:tcPr>
            <w:tcW w:w="20" w:type="dxa"/>
            <w:vAlign w:val="bottom"/>
          </w:tcPr>
          <w:p>
            <w:pPr>
              <w:spacing w:after="0"/>
              <w:rPr>
                <w:sz w:val="10"/>
                <w:szCs w:val="10"/>
                <w:color w:val="auto"/>
              </w:rPr>
            </w:pPr>
          </w:p>
        </w:tc>
        <w:tc>
          <w:tcPr>
            <w:tcW w:w="3300" w:type="dxa"/>
            <w:vAlign w:val="bottom"/>
          </w:tcPr>
          <w:p>
            <w:pPr>
              <w:spacing w:after="0"/>
              <w:rPr>
                <w:sz w:val="20"/>
                <w:szCs w:val="20"/>
                <w:color w:val="auto"/>
              </w:rPr>
            </w:pPr>
            <w:r>
              <w:rPr>
                <w:rFonts w:ascii="Arial" w:cs="Arial" w:eastAsia="Arial" w:hAnsi="Arial"/>
                <w:sz w:val="10"/>
                <w:szCs w:val="10"/>
                <w:color w:val="auto"/>
              </w:rPr>
              <w:t>Dividends declared</w:t>
            </w:r>
          </w:p>
        </w:tc>
        <w:tc>
          <w:tcPr>
            <w:tcW w:w="1040" w:type="dxa"/>
            <w:vAlign w:val="bottom"/>
            <w:gridSpan w:val="2"/>
          </w:tcPr>
          <w:p>
            <w:pPr>
              <w:jc w:val="right"/>
              <w:ind w:right="220"/>
              <w:spacing w:after="0"/>
              <w:rPr>
                <w:sz w:val="20"/>
                <w:szCs w:val="20"/>
                <w:color w:val="auto"/>
              </w:rPr>
            </w:pPr>
            <w:r>
              <w:rPr>
                <w:rFonts w:ascii="Arial" w:cs="Arial" w:eastAsia="Arial" w:hAnsi="Arial"/>
                <w:sz w:val="10"/>
                <w:szCs w:val="10"/>
                <w:color w:val="auto"/>
              </w:rPr>
              <w:t>-</w:t>
            </w:r>
          </w:p>
        </w:tc>
        <w:tc>
          <w:tcPr>
            <w:tcW w:w="1040" w:type="dxa"/>
            <w:vAlign w:val="bottom"/>
            <w:gridSpan w:val="2"/>
          </w:tcPr>
          <w:p>
            <w:pPr>
              <w:jc w:val="right"/>
              <w:ind w:right="215"/>
              <w:spacing w:after="0"/>
              <w:rPr>
                <w:sz w:val="20"/>
                <w:szCs w:val="20"/>
                <w:color w:val="auto"/>
              </w:rPr>
            </w:pPr>
            <w:r>
              <w:rPr>
                <w:rFonts w:ascii="Arial" w:cs="Arial" w:eastAsia="Arial" w:hAnsi="Arial"/>
                <w:sz w:val="10"/>
                <w:szCs w:val="10"/>
                <w:color w:val="auto"/>
              </w:rPr>
              <w:t>-</w:t>
            </w:r>
          </w:p>
        </w:tc>
        <w:tc>
          <w:tcPr>
            <w:tcW w:w="1040" w:type="dxa"/>
            <w:vAlign w:val="bottom"/>
            <w:gridSpan w:val="2"/>
          </w:tcPr>
          <w:p>
            <w:pPr>
              <w:jc w:val="right"/>
              <w:ind w:right="220"/>
              <w:spacing w:after="0"/>
              <w:rPr>
                <w:sz w:val="20"/>
                <w:szCs w:val="20"/>
                <w:color w:val="auto"/>
              </w:rPr>
            </w:pPr>
            <w:r>
              <w:rPr>
                <w:rFonts w:ascii="Arial" w:cs="Arial" w:eastAsia="Arial" w:hAnsi="Arial"/>
                <w:sz w:val="10"/>
                <w:szCs w:val="10"/>
                <w:color w:val="auto"/>
              </w:rPr>
              <w:t>-</w:t>
            </w:r>
          </w:p>
        </w:tc>
        <w:tc>
          <w:tcPr>
            <w:tcW w:w="1040" w:type="dxa"/>
            <w:vAlign w:val="bottom"/>
            <w:gridSpan w:val="2"/>
          </w:tcPr>
          <w:p>
            <w:pPr>
              <w:jc w:val="right"/>
              <w:ind w:right="220"/>
              <w:spacing w:after="0"/>
              <w:rPr>
                <w:sz w:val="20"/>
                <w:szCs w:val="20"/>
                <w:color w:val="auto"/>
              </w:rPr>
            </w:pPr>
            <w:r>
              <w:rPr>
                <w:rFonts w:ascii="Arial" w:cs="Arial" w:eastAsia="Arial" w:hAnsi="Arial"/>
                <w:sz w:val="10"/>
                <w:szCs w:val="10"/>
                <w:color w:val="auto"/>
              </w:rPr>
              <w:t>-</w:t>
            </w:r>
          </w:p>
        </w:tc>
        <w:tc>
          <w:tcPr>
            <w:tcW w:w="820" w:type="dxa"/>
            <w:vAlign w:val="bottom"/>
          </w:tcPr>
          <w:p>
            <w:pPr>
              <w:jc w:val="right"/>
              <w:spacing w:after="0"/>
              <w:rPr>
                <w:sz w:val="20"/>
                <w:szCs w:val="20"/>
                <w:color w:val="auto"/>
              </w:rPr>
            </w:pPr>
            <w:r>
              <w:rPr>
                <w:rFonts w:ascii="Arial" w:cs="Arial" w:eastAsia="Arial" w:hAnsi="Arial"/>
                <w:sz w:val="10"/>
                <w:szCs w:val="10"/>
                <w:color w:val="auto"/>
              </w:rPr>
              <w:t>-</w:t>
            </w:r>
          </w:p>
        </w:tc>
        <w:tc>
          <w:tcPr>
            <w:tcW w:w="220" w:type="dxa"/>
            <w:vAlign w:val="bottom"/>
          </w:tcPr>
          <w:p>
            <w:pPr>
              <w:spacing w:after="0"/>
              <w:rPr>
                <w:sz w:val="10"/>
                <w:szCs w:val="10"/>
                <w:color w:val="auto"/>
              </w:rPr>
            </w:pPr>
          </w:p>
        </w:tc>
        <w:tc>
          <w:tcPr>
            <w:tcW w:w="1040" w:type="dxa"/>
            <w:vAlign w:val="bottom"/>
            <w:gridSpan w:val="2"/>
          </w:tcPr>
          <w:p>
            <w:pPr>
              <w:jc w:val="right"/>
              <w:ind w:right="200"/>
              <w:spacing w:after="0"/>
              <w:rPr>
                <w:sz w:val="20"/>
                <w:szCs w:val="20"/>
                <w:color w:val="auto"/>
              </w:rPr>
            </w:pPr>
            <w:r>
              <w:rPr>
                <w:rFonts w:ascii="Arial" w:cs="Arial" w:eastAsia="Arial" w:hAnsi="Arial"/>
                <w:sz w:val="10"/>
                <w:szCs w:val="10"/>
                <w:color w:val="auto"/>
              </w:rPr>
              <w:t>(60,180)</w:t>
            </w:r>
          </w:p>
        </w:tc>
        <w:tc>
          <w:tcPr>
            <w:tcW w:w="800" w:type="dxa"/>
            <w:vAlign w:val="bottom"/>
          </w:tcPr>
          <w:p>
            <w:pPr>
              <w:jc w:val="right"/>
              <w:spacing w:after="0"/>
              <w:rPr>
                <w:sz w:val="20"/>
                <w:szCs w:val="20"/>
                <w:color w:val="auto"/>
              </w:rPr>
            </w:pPr>
            <w:r>
              <w:rPr>
                <w:rFonts w:ascii="Arial" w:cs="Arial" w:eastAsia="Arial" w:hAnsi="Arial"/>
                <w:sz w:val="10"/>
                <w:szCs w:val="10"/>
                <w:color w:val="auto"/>
              </w:rPr>
              <w:t>-</w:t>
            </w:r>
          </w:p>
        </w:tc>
        <w:tc>
          <w:tcPr>
            <w:tcW w:w="220" w:type="dxa"/>
            <w:vAlign w:val="bottom"/>
          </w:tcPr>
          <w:p>
            <w:pPr>
              <w:spacing w:after="0"/>
              <w:rPr>
                <w:sz w:val="10"/>
                <w:szCs w:val="10"/>
                <w:color w:val="auto"/>
              </w:rPr>
            </w:pPr>
          </w:p>
        </w:tc>
        <w:tc>
          <w:tcPr>
            <w:tcW w:w="900" w:type="dxa"/>
            <w:vAlign w:val="bottom"/>
            <w:gridSpan w:val="2"/>
          </w:tcPr>
          <w:p>
            <w:pPr>
              <w:jc w:val="right"/>
              <w:ind w:right="80"/>
              <w:spacing w:after="0"/>
              <w:rPr>
                <w:sz w:val="20"/>
                <w:szCs w:val="20"/>
                <w:color w:val="auto"/>
              </w:rPr>
            </w:pPr>
            <w:r>
              <w:rPr>
                <w:rFonts w:ascii="Arial" w:cs="Arial" w:eastAsia="Arial" w:hAnsi="Arial"/>
                <w:sz w:val="10"/>
                <w:szCs w:val="10"/>
                <w:color w:val="auto"/>
              </w:rPr>
              <w:t>(60,180)</w:t>
            </w: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tcBorders>
              <w:top w:val="single" w:sz="8" w:color="CCEEFF"/>
            </w:tcBorders>
            <w:shd w:val="clear" w:color="auto" w:fill="CCEEFF"/>
          </w:tcPr>
          <w:p>
            <w:pPr>
              <w:spacing w:after="0" w:line="96" w:lineRule="exact"/>
              <w:rPr>
                <w:sz w:val="20"/>
                <w:szCs w:val="20"/>
                <w:color w:val="auto"/>
              </w:rPr>
            </w:pPr>
            <w:r>
              <w:rPr>
                <w:rFonts w:ascii="Arial" w:cs="Arial" w:eastAsia="Arial" w:hAnsi="Arial"/>
                <w:sz w:val="10"/>
                <w:szCs w:val="10"/>
                <w:b w:val="1"/>
                <w:bCs w:val="1"/>
                <w:color w:val="auto"/>
              </w:rPr>
              <w:t>Balances at December 31, 2016</w:t>
            </w:r>
          </w:p>
        </w:tc>
        <w:tc>
          <w:tcPr>
            <w:tcW w:w="820" w:type="dxa"/>
            <w:vAlign w:val="bottom"/>
            <w:tcBorders>
              <w:top w:val="single" w:sz="8" w:color="auto"/>
              <w:bottom w:val="single" w:sz="8" w:color="auto"/>
            </w:tcBorders>
            <w:shd w:val="clear" w:color="auto" w:fill="CCEEFF"/>
          </w:tcPr>
          <w:p>
            <w:pPr>
              <w:jc w:val="right"/>
              <w:spacing w:after="0" w:line="96" w:lineRule="exact"/>
              <w:rPr>
                <w:sz w:val="20"/>
                <w:szCs w:val="20"/>
                <w:color w:val="auto"/>
              </w:rPr>
            </w:pPr>
            <w:r>
              <w:rPr>
                <w:rFonts w:ascii="Arial" w:cs="Arial" w:eastAsia="Arial" w:hAnsi="Arial"/>
                <w:sz w:val="10"/>
                <w:szCs w:val="10"/>
                <w:color w:val="auto"/>
              </w:rPr>
              <w:t>279,980</w:t>
            </w:r>
          </w:p>
        </w:tc>
        <w:tc>
          <w:tcPr>
            <w:tcW w:w="220" w:type="dxa"/>
            <w:vAlign w:val="bottom"/>
            <w:tcBorders>
              <w:top w:val="single" w:sz="8" w:color="CCEEFF"/>
            </w:tcBorders>
            <w:shd w:val="clear" w:color="auto" w:fill="CCEEFF"/>
          </w:tcPr>
          <w:p>
            <w:pPr>
              <w:spacing w:after="0"/>
              <w:rPr>
                <w:sz w:val="8"/>
                <w:szCs w:val="8"/>
                <w:color w:val="auto"/>
              </w:rPr>
            </w:pPr>
          </w:p>
        </w:tc>
        <w:tc>
          <w:tcPr>
            <w:tcW w:w="820" w:type="dxa"/>
            <w:vAlign w:val="bottom"/>
            <w:tcBorders>
              <w:top w:val="single" w:sz="8" w:color="auto"/>
              <w:bottom w:val="single" w:sz="8" w:color="auto"/>
            </w:tcBorders>
            <w:shd w:val="clear" w:color="auto" w:fill="CCEEFF"/>
          </w:tcPr>
          <w:p>
            <w:pPr>
              <w:jc w:val="right"/>
              <w:spacing w:after="0" w:line="96" w:lineRule="exact"/>
              <w:rPr>
                <w:sz w:val="20"/>
                <w:szCs w:val="20"/>
                <w:color w:val="auto"/>
              </w:rPr>
            </w:pPr>
            <w:r>
              <w:rPr>
                <w:rFonts w:ascii="Arial" w:cs="Arial" w:eastAsia="Arial" w:hAnsi="Arial"/>
                <w:sz w:val="10"/>
                <w:szCs w:val="10"/>
                <w:color w:val="auto"/>
              </w:rPr>
              <w:t>(69,176)</w:t>
            </w:r>
          </w:p>
        </w:tc>
        <w:tc>
          <w:tcPr>
            <w:tcW w:w="220" w:type="dxa"/>
            <w:vAlign w:val="bottom"/>
            <w:tcBorders>
              <w:top w:val="single" w:sz="8" w:color="CCEEFF"/>
            </w:tcBorders>
            <w:shd w:val="clear" w:color="auto" w:fill="CCEEFF"/>
          </w:tcPr>
          <w:p>
            <w:pPr>
              <w:spacing w:after="0"/>
              <w:rPr>
                <w:sz w:val="8"/>
                <w:szCs w:val="8"/>
                <w:color w:val="auto"/>
              </w:rPr>
            </w:pPr>
          </w:p>
        </w:tc>
        <w:tc>
          <w:tcPr>
            <w:tcW w:w="820" w:type="dxa"/>
            <w:vAlign w:val="bottom"/>
            <w:tcBorders>
              <w:top w:val="single" w:sz="8" w:color="auto"/>
              <w:bottom w:val="single" w:sz="8" w:color="auto"/>
            </w:tcBorders>
            <w:shd w:val="clear" w:color="auto" w:fill="CCEEFF"/>
          </w:tcPr>
          <w:p>
            <w:pPr>
              <w:jc w:val="right"/>
              <w:spacing w:after="0" w:line="96" w:lineRule="exact"/>
              <w:rPr>
                <w:sz w:val="20"/>
                <w:szCs w:val="20"/>
                <w:color w:val="auto"/>
              </w:rPr>
            </w:pPr>
            <w:r>
              <w:rPr>
                <w:rFonts w:ascii="Arial" w:cs="Arial" w:eastAsia="Arial" w:hAnsi="Arial"/>
                <w:sz w:val="10"/>
                <w:szCs w:val="10"/>
                <w:color w:val="auto"/>
              </w:rPr>
              <w:t>120,594</w:t>
            </w:r>
          </w:p>
        </w:tc>
        <w:tc>
          <w:tcPr>
            <w:tcW w:w="220" w:type="dxa"/>
            <w:vAlign w:val="bottom"/>
            <w:tcBorders>
              <w:top w:val="single" w:sz="8" w:color="CCEEFF"/>
            </w:tcBorders>
            <w:shd w:val="clear" w:color="auto" w:fill="CCEEFF"/>
          </w:tcPr>
          <w:p>
            <w:pPr>
              <w:spacing w:after="0"/>
              <w:rPr>
                <w:sz w:val="8"/>
                <w:szCs w:val="8"/>
                <w:color w:val="auto"/>
              </w:rPr>
            </w:pPr>
          </w:p>
        </w:tc>
        <w:tc>
          <w:tcPr>
            <w:tcW w:w="820" w:type="dxa"/>
            <w:vAlign w:val="bottom"/>
            <w:tcBorders>
              <w:top w:val="single" w:sz="8" w:color="auto"/>
              <w:bottom w:val="single" w:sz="8" w:color="auto"/>
            </w:tcBorders>
            <w:shd w:val="clear" w:color="auto" w:fill="CCEEFF"/>
          </w:tcPr>
          <w:p>
            <w:pPr>
              <w:jc w:val="right"/>
              <w:spacing w:after="0" w:line="96" w:lineRule="exact"/>
              <w:rPr>
                <w:sz w:val="20"/>
                <w:szCs w:val="20"/>
                <w:color w:val="auto"/>
              </w:rPr>
            </w:pPr>
            <w:r>
              <w:rPr>
                <w:rFonts w:ascii="Arial" w:cs="Arial" w:eastAsia="Arial" w:hAnsi="Arial"/>
                <w:sz w:val="10"/>
                <w:szCs w:val="10"/>
                <w:color w:val="auto"/>
              </w:rPr>
              <w:t>95,210</w:t>
            </w:r>
          </w:p>
        </w:tc>
        <w:tc>
          <w:tcPr>
            <w:tcW w:w="220" w:type="dxa"/>
            <w:vAlign w:val="bottom"/>
            <w:tcBorders>
              <w:top w:val="single" w:sz="8" w:color="CCEEFF"/>
            </w:tcBorders>
            <w:shd w:val="clear" w:color="auto" w:fill="CCEEFF"/>
          </w:tcPr>
          <w:p>
            <w:pPr>
              <w:spacing w:after="0"/>
              <w:rPr>
                <w:sz w:val="8"/>
                <w:szCs w:val="8"/>
                <w:color w:val="auto"/>
              </w:rPr>
            </w:pPr>
          </w:p>
        </w:tc>
        <w:tc>
          <w:tcPr>
            <w:tcW w:w="820" w:type="dxa"/>
            <w:vAlign w:val="bottom"/>
            <w:tcBorders>
              <w:top w:val="single" w:sz="8" w:color="auto"/>
              <w:bottom w:val="single" w:sz="8" w:color="auto"/>
            </w:tcBorders>
            <w:shd w:val="clear" w:color="auto" w:fill="CCEEFF"/>
          </w:tcPr>
          <w:p>
            <w:pPr>
              <w:jc w:val="right"/>
              <w:spacing w:after="0" w:line="96" w:lineRule="exact"/>
              <w:rPr>
                <w:sz w:val="20"/>
                <w:szCs w:val="20"/>
                <w:color w:val="auto"/>
              </w:rPr>
            </w:pPr>
            <w:r>
              <w:rPr>
                <w:rFonts w:ascii="Arial" w:cs="Arial" w:eastAsia="Arial" w:hAnsi="Arial"/>
                <w:sz w:val="10"/>
                <w:szCs w:val="10"/>
                <w:color w:val="auto"/>
              </w:rPr>
              <w:t>62,459</w:t>
            </w:r>
          </w:p>
        </w:tc>
        <w:tc>
          <w:tcPr>
            <w:tcW w:w="220" w:type="dxa"/>
            <w:vAlign w:val="bottom"/>
            <w:tcBorders>
              <w:top w:val="single" w:sz="8" w:color="CCEEFF"/>
            </w:tcBorders>
            <w:shd w:val="clear" w:color="auto" w:fill="CCEEFF"/>
          </w:tcPr>
          <w:p>
            <w:pPr>
              <w:spacing w:after="0"/>
              <w:rPr>
                <w:sz w:val="8"/>
                <w:szCs w:val="8"/>
                <w:color w:val="auto"/>
              </w:rPr>
            </w:pPr>
          </w:p>
        </w:tc>
        <w:tc>
          <w:tcPr>
            <w:tcW w:w="820" w:type="dxa"/>
            <w:vAlign w:val="bottom"/>
            <w:tcBorders>
              <w:top w:val="single" w:sz="8" w:color="auto"/>
              <w:bottom w:val="single" w:sz="8" w:color="auto"/>
            </w:tcBorders>
            <w:shd w:val="clear" w:color="auto" w:fill="CCEEFF"/>
          </w:tcPr>
          <w:p>
            <w:pPr>
              <w:jc w:val="right"/>
              <w:spacing w:after="0" w:line="96" w:lineRule="exact"/>
              <w:rPr>
                <w:sz w:val="20"/>
                <w:szCs w:val="20"/>
                <w:color w:val="auto"/>
              </w:rPr>
            </w:pPr>
            <w:r>
              <w:rPr>
                <w:rFonts w:ascii="Arial" w:cs="Arial" w:eastAsia="Arial" w:hAnsi="Arial"/>
                <w:sz w:val="10"/>
                <w:szCs w:val="10"/>
                <w:color w:val="auto"/>
              </w:rPr>
              <w:t>525,048</w:t>
            </w:r>
          </w:p>
        </w:tc>
        <w:tc>
          <w:tcPr>
            <w:tcW w:w="220" w:type="dxa"/>
            <w:vAlign w:val="bottom"/>
            <w:tcBorders>
              <w:top w:val="single" w:sz="8" w:color="CCEEFF"/>
            </w:tcBorders>
            <w:shd w:val="clear" w:color="auto" w:fill="CCEEFF"/>
          </w:tcPr>
          <w:p>
            <w:pPr>
              <w:spacing w:after="0"/>
              <w:rPr>
                <w:sz w:val="8"/>
                <w:szCs w:val="8"/>
                <w:color w:val="auto"/>
              </w:rPr>
            </w:pPr>
          </w:p>
        </w:tc>
        <w:tc>
          <w:tcPr>
            <w:tcW w:w="800" w:type="dxa"/>
            <w:vAlign w:val="bottom"/>
            <w:tcBorders>
              <w:top w:val="single" w:sz="8" w:color="auto"/>
              <w:bottom w:val="single" w:sz="8" w:color="auto"/>
            </w:tcBorders>
            <w:shd w:val="clear" w:color="auto" w:fill="CCEEFF"/>
          </w:tcPr>
          <w:p>
            <w:pPr>
              <w:jc w:val="right"/>
              <w:spacing w:after="0" w:line="96" w:lineRule="exact"/>
              <w:rPr>
                <w:sz w:val="20"/>
                <w:szCs w:val="20"/>
                <w:color w:val="auto"/>
              </w:rPr>
            </w:pPr>
            <w:r>
              <w:rPr>
                <w:rFonts w:ascii="Arial" w:cs="Arial" w:eastAsia="Arial" w:hAnsi="Arial"/>
                <w:sz w:val="10"/>
                <w:szCs w:val="10"/>
                <w:color w:val="auto"/>
              </w:rPr>
              <w:t>(2,801)</w:t>
            </w:r>
          </w:p>
        </w:tc>
        <w:tc>
          <w:tcPr>
            <w:tcW w:w="220" w:type="dxa"/>
            <w:vAlign w:val="bottom"/>
            <w:tcBorders>
              <w:top w:val="single" w:sz="8" w:color="CCEEFF"/>
            </w:tcBorders>
            <w:shd w:val="clear" w:color="auto" w:fill="CCEEFF"/>
          </w:tcPr>
          <w:p>
            <w:pPr>
              <w:spacing w:after="0"/>
              <w:rPr>
                <w:sz w:val="8"/>
                <w:szCs w:val="8"/>
                <w:color w:val="auto"/>
              </w:rPr>
            </w:pPr>
          </w:p>
        </w:tc>
        <w:tc>
          <w:tcPr>
            <w:tcW w:w="780" w:type="dxa"/>
            <w:vAlign w:val="bottom"/>
            <w:tcBorders>
              <w:top w:val="single" w:sz="8" w:color="auto"/>
              <w:bottom w:val="single" w:sz="8" w:color="auto"/>
            </w:tcBorders>
            <w:shd w:val="clear" w:color="auto" w:fill="CCEEFF"/>
          </w:tcPr>
          <w:p>
            <w:pPr>
              <w:jc w:val="right"/>
              <w:spacing w:after="0" w:line="96" w:lineRule="exact"/>
              <w:rPr>
                <w:sz w:val="20"/>
                <w:szCs w:val="20"/>
                <w:color w:val="auto"/>
              </w:rPr>
            </w:pPr>
            <w:r>
              <w:rPr>
                <w:rFonts w:ascii="Arial" w:cs="Arial" w:eastAsia="Arial" w:hAnsi="Arial"/>
                <w:sz w:val="10"/>
                <w:szCs w:val="10"/>
                <w:color w:val="auto"/>
              </w:rPr>
              <w:t>1,011,314</w:t>
            </w:r>
          </w:p>
        </w:tc>
        <w:tc>
          <w:tcPr>
            <w:tcW w:w="120" w:type="dxa"/>
            <w:vAlign w:val="bottom"/>
            <w:tcBorders>
              <w:top w:val="single" w:sz="8" w:color="CCEEFF"/>
            </w:tcBorders>
            <w:shd w:val="clear" w:color="auto" w:fill="CCEEFF"/>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20" w:type="dxa"/>
            <w:vAlign w:val="bottom"/>
            <w:vMerge w:val="restart"/>
          </w:tcPr>
          <w:p>
            <w:pPr>
              <w:spacing w:after="0"/>
              <w:rPr>
                <w:sz w:val="8"/>
                <w:szCs w:val="8"/>
                <w:color w:val="auto"/>
              </w:rPr>
            </w:pPr>
          </w:p>
        </w:tc>
        <w:tc>
          <w:tcPr>
            <w:tcW w:w="330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00" w:type="dxa"/>
            <w:vAlign w:val="bottom"/>
          </w:tcPr>
          <w:p>
            <w:pPr>
              <w:spacing w:after="0"/>
              <w:rPr>
                <w:sz w:val="8"/>
                <w:szCs w:val="8"/>
                <w:color w:val="auto"/>
              </w:rPr>
            </w:pPr>
          </w:p>
        </w:tc>
        <w:tc>
          <w:tcPr>
            <w:tcW w:w="220" w:type="dxa"/>
            <w:vAlign w:val="bottom"/>
          </w:tcPr>
          <w:p>
            <w:pPr>
              <w:spacing w:after="0"/>
              <w:rPr>
                <w:sz w:val="8"/>
                <w:szCs w:val="8"/>
                <w:color w:val="auto"/>
              </w:rPr>
            </w:pPr>
          </w:p>
        </w:tc>
        <w:tc>
          <w:tcPr>
            <w:tcW w:w="78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20" w:type="dxa"/>
            <w:vAlign w:val="bottom"/>
            <w:vMerge w:val="continue"/>
          </w:tcPr>
          <w:p>
            <w:pPr>
              <w:spacing w:after="0"/>
              <w:rPr>
                <w:sz w:val="9"/>
                <w:szCs w:val="9"/>
                <w:color w:val="auto"/>
              </w:rPr>
            </w:pPr>
          </w:p>
        </w:tc>
        <w:tc>
          <w:tcPr>
            <w:tcW w:w="3300" w:type="dxa"/>
            <w:vAlign w:val="bottom"/>
            <w:shd w:val="clear" w:color="auto" w:fill="CCEEFF"/>
          </w:tcPr>
          <w:p>
            <w:pPr>
              <w:spacing w:after="0" w:line="106" w:lineRule="exact"/>
              <w:rPr>
                <w:sz w:val="20"/>
                <w:szCs w:val="20"/>
                <w:color w:val="auto"/>
              </w:rPr>
            </w:pPr>
            <w:r>
              <w:rPr>
                <w:rFonts w:ascii="Arial" w:cs="Arial" w:eastAsia="Arial" w:hAnsi="Arial"/>
                <w:sz w:val="10"/>
                <w:szCs w:val="10"/>
                <w:color w:val="auto"/>
              </w:rPr>
              <w:t>Profit for the year</w:t>
            </w:r>
          </w:p>
        </w:tc>
        <w:tc>
          <w:tcPr>
            <w:tcW w:w="104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shd w:val="clear" w:color="auto" w:fill="CCEEFF"/>
          </w:tcPr>
          <w:p>
            <w:pPr>
              <w:jc w:val="right"/>
              <w:ind w:right="215"/>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82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9"/>
                <w:szCs w:val="9"/>
                <w:color w:val="auto"/>
              </w:rPr>
            </w:pPr>
          </w:p>
        </w:tc>
        <w:tc>
          <w:tcPr>
            <w:tcW w:w="104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81,999</w:t>
            </w:r>
          </w:p>
        </w:tc>
        <w:tc>
          <w:tcPr>
            <w:tcW w:w="8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9"/>
                <w:szCs w:val="9"/>
                <w:color w:val="auto"/>
              </w:rPr>
            </w:pPr>
          </w:p>
        </w:tc>
        <w:tc>
          <w:tcPr>
            <w:tcW w:w="90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81,999</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line="106" w:lineRule="exact"/>
              <w:rPr>
                <w:sz w:val="20"/>
                <w:szCs w:val="20"/>
                <w:color w:val="auto"/>
              </w:rPr>
            </w:pPr>
            <w:r>
              <w:rPr>
                <w:rFonts w:ascii="Arial" w:cs="Arial" w:eastAsia="Arial" w:hAnsi="Arial"/>
                <w:sz w:val="10"/>
                <w:szCs w:val="10"/>
                <w:color w:val="auto"/>
              </w:rPr>
              <w:t>Other comprehensive income (loss)</w:t>
            </w:r>
          </w:p>
        </w:tc>
        <w:tc>
          <w:tcPr>
            <w:tcW w:w="10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tcPr>
          <w:p>
            <w:pPr>
              <w:jc w:val="right"/>
              <w:ind w:right="215"/>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82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82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10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4,764</w:t>
            </w:r>
          </w:p>
        </w:tc>
        <w:tc>
          <w:tcPr>
            <w:tcW w:w="90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4,764</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spacing w:after="0" w:line="106" w:lineRule="exact"/>
              <w:rPr>
                <w:sz w:val="20"/>
                <w:szCs w:val="20"/>
                <w:color w:val="auto"/>
              </w:rPr>
            </w:pPr>
            <w:r>
              <w:rPr>
                <w:rFonts w:ascii="Arial" w:cs="Arial" w:eastAsia="Arial" w:hAnsi="Arial"/>
                <w:sz w:val="10"/>
                <w:szCs w:val="10"/>
                <w:color w:val="auto"/>
              </w:rPr>
              <w:t>Issuance of restricted stock</w:t>
            </w:r>
          </w:p>
        </w:tc>
        <w:tc>
          <w:tcPr>
            <w:tcW w:w="104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shd w:val="clear" w:color="auto" w:fill="CCEEFF"/>
          </w:tcPr>
          <w:p>
            <w:pPr>
              <w:jc w:val="right"/>
              <w:ind w:right="215"/>
              <w:spacing w:after="0" w:line="106" w:lineRule="exact"/>
              <w:rPr>
                <w:sz w:val="20"/>
                <w:szCs w:val="20"/>
                <w:color w:val="auto"/>
              </w:rPr>
            </w:pPr>
            <w:r>
              <w:rPr>
                <w:rFonts w:ascii="Arial" w:cs="Arial" w:eastAsia="Arial" w:hAnsi="Arial"/>
                <w:sz w:val="10"/>
                <w:szCs w:val="10"/>
                <w:color w:val="auto"/>
              </w:rPr>
              <w:t>1,259</w:t>
            </w:r>
          </w:p>
        </w:tc>
        <w:tc>
          <w:tcPr>
            <w:tcW w:w="1040" w:type="dxa"/>
            <w:vAlign w:val="bottom"/>
            <w:gridSpan w:val="2"/>
            <w:shd w:val="clear" w:color="auto" w:fill="CCEEFF"/>
          </w:tcPr>
          <w:p>
            <w:pPr>
              <w:jc w:val="right"/>
              <w:ind w:right="200"/>
              <w:spacing w:after="0" w:line="106" w:lineRule="exact"/>
              <w:rPr>
                <w:sz w:val="20"/>
                <w:szCs w:val="20"/>
                <w:color w:val="auto"/>
              </w:rPr>
            </w:pPr>
            <w:r>
              <w:rPr>
                <w:rFonts w:ascii="Arial" w:cs="Arial" w:eastAsia="Arial" w:hAnsi="Arial"/>
                <w:sz w:val="10"/>
                <w:szCs w:val="10"/>
                <w:color w:val="auto"/>
              </w:rPr>
              <w:t>(1,229)</w:t>
            </w:r>
          </w:p>
        </w:tc>
        <w:tc>
          <w:tcPr>
            <w:tcW w:w="104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82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9"/>
                <w:szCs w:val="9"/>
                <w:color w:val="auto"/>
              </w:rPr>
            </w:pPr>
          </w:p>
        </w:tc>
        <w:tc>
          <w:tcPr>
            <w:tcW w:w="82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9"/>
                <w:szCs w:val="9"/>
                <w:color w:val="auto"/>
              </w:rPr>
            </w:pPr>
          </w:p>
        </w:tc>
        <w:tc>
          <w:tcPr>
            <w:tcW w:w="8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9"/>
                <w:szCs w:val="9"/>
                <w:color w:val="auto"/>
              </w:rPr>
            </w:pPr>
          </w:p>
        </w:tc>
        <w:tc>
          <w:tcPr>
            <w:tcW w:w="90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30</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line="106" w:lineRule="exact"/>
              <w:rPr>
                <w:sz w:val="20"/>
                <w:szCs w:val="20"/>
                <w:color w:val="auto"/>
              </w:rPr>
            </w:pPr>
            <w:r>
              <w:rPr>
                <w:rFonts w:ascii="Arial" w:cs="Arial" w:eastAsia="Arial" w:hAnsi="Arial"/>
                <w:sz w:val="10"/>
                <w:szCs w:val="10"/>
                <w:color w:val="auto"/>
              </w:rPr>
              <w:t>Compensation cost - stock options and stock units plans</w:t>
            </w:r>
          </w:p>
        </w:tc>
        <w:tc>
          <w:tcPr>
            <w:tcW w:w="10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tcPr>
          <w:p>
            <w:pPr>
              <w:jc w:val="right"/>
              <w:ind w:right="215"/>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296</w:t>
            </w:r>
          </w:p>
        </w:tc>
        <w:tc>
          <w:tcPr>
            <w:tcW w:w="10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82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82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80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0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296</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spacing w:after="0" w:line="106" w:lineRule="exact"/>
              <w:rPr>
                <w:sz w:val="20"/>
                <w:szCs w:val="20"/>
                <w:color w:val="auto"/>
              </w:rPr>
            </w:pPr>
            <w:r>
              <w:rPr>
                <w:rFonts w:ascii="Arial" w:cs="Arial" w:eastAsia="Arial" w:hAnsi="Arial"/>
                <w:sz w:val="10"/>
                <w:szCs w:val="10"/>
                <w:color w:val="auto"/>
              </w:rPr>
              <w:t>Exercised options and stock units vested</w:t>
            </w:r>
          </w:p>
        </w:tc>
        <w:tc>
          <w:tcPr>
            <w:tcW w:w="104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shd w:val="clear" w:color="auto" w:fill="CCEEFF"/>
          </w:tcPr>
          <w:p>
            <w:pPr>
              <w:jc w:val="right"/>
              <w:ind w:right="215"/>
              <w:spacing w:after="0" w:line="106" w:lineRule="exact"/>
              <w:rPr>
                <w:sz w:val="20"/>
                <w:szCs w:val="20"/>
                <w:color w:val="auto"/>
              </w:rPr>
            </w:pPr>
            <w:r>
              <w:rPr>
                <w:rFonts w:ascii="Arial" w:cs="Arial" w:eastAsia="Arial" w:hAnsi="Arial"/>
                <w:sz w:val="10"/>
                <w:szCs w:val="10"/>
                <w:color w:val="auto"/>
              </w:rPr>
              <w:t>4,697</w:t>
            </w:r>
          </w:p>
        </w:tc>
        <w:tc>
          <w:tcPr>
            <w:tcW w:w="104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280</w:t>
            </w:r>
          </w:p>
        </w:tc>
        <w:tc>
          <w:tcPr>
            <w:tcW w:w="104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82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9"/>
                <w:szCs w:val="9"/>
                <w:color w:val="auto"/>
              </w:rPr>
            </w:pPr>
          </w:p>
        </w:tc>
        <w:tc>
          <w:tcPr>
            <w:tcW w:w="82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9"/>
                <w:szCs w:val="9"/>
                <w:color w:val="auto"/>
              </w:rPr>
            </w:pPr>
          </w:p>
        </w:tc>
        <w:tc>
          <w:tcPr>
            <w:tcW w:w="8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9"/>
                <w:szCs w:val="9"/>
                <w:color w:val="auto"/>
              </w:rPr>
            </w:pPr>
          </w:p>
        </w:tc>
        <w:tc>
          <w:tcPr>
            <w:tcW w:w="90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4,977</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line="106" w:lineRule="exact"/>
              <w:rPr>
                <w:sz w:val="20"/>
                <w:szCs w:val="20"/>
                <w:color w:val="auto"/>
              </w:rPr>
            </w:pPr>
            <w:r>
              <w:rPr>
                <w:rFonts w:ascii="Arial" w:cs="Arial" w:eastAsia="Arial" w:hAnsi="Arial"/>
                <w:sz w:val="10"/>
                <w:szCs w:val="10"/>
                <w:color w:val="auto"/>
              </w:rPr>
              <w:t>Repurchase of "Class B" and "Class E" common stock</w:t>
            </w:r>
          </w:p>
        </w:tc>
        <w:tc>
          <w:tcPr>
            <w:tcW w:w="10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tcPr>
          <w:p>
            <w:pPr>
              <w:jc w:val="right"/>
              <w:ind w:right="195"/>
              <w:spacing w:after="0" w:line="106" w:lineRule="exact"/>
              <w:rPr>
                <w:sz w:val="20"/>
                <w:szCs w:val="20"/>
                <w:color w:val="auto"/>
              </w:rPr>
            </w:pPr>
            <w:r>
              <w:rPr>
                <w:rFonts w:ascii="Arial" w:cs="Arial" w:eastAsia="Arial" w:hAnsi="Arial"/>
                <w:sz w:val="10"/>
                <w:szCs w:val="10"/>
                <w:color w:val="auto"/>
              </w:rPr>
              <w:t>(28)</w:t>
            </w:r>
          </w:p>
        </w:tc>
        <w:tc>
          <w:tcPr>
            <w:tcW w:w="10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82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82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80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00" w:type="dxa"/>
            <w:vAlign w:val="bottom"/>
            <w:gridSpan w:val="2"/>
          </w:tcPr>
          <w:p>
            <w:pPr>
              <w:jc w:val="right"/>
              <w:ind w:right="80"/>
              <w:spacing w:after="0" w:line="106" w:lineRule="exact"/>
              <w:rPr>
                <w:sz w:val="20"/>
                <w:szCs w:val="20"/>
                <w:color w:val="auto"/>
              </w:rPr>
            </w:pPr>
            <w:r>
              <w:rPr>
                <w:rFonts w:ascii="Arial" w:cs="Arial" w:eastAsia="Arial" w:hAnsi="Arial"/>
                <w:sz w:val="10"/>
                <w:szCs w:val="10"/>
                <w:color w:val="auto"/>
              </w:rPr>
              <w:t>(28)</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spacing w:after="0" w:line="106" w:lineRule="exact"/>
              <w:rPr>
                <w:sz w:val="20"/>
                <w:szCs w:val="20"/>
                <w:color w:val="auto"/>
              </w:rPr>
            </w:pPr>
            <w:r>
              <w:rPr>
                <w:rFonts w:ascii="Arial" w:cs="Arial" w:eastAsia="Arial" w:hAnsi="Arial"/>
                <w:sz w:val="10"/>
                <w:szCs w:val="10"/>
                <w:color w:val="auto"/>
              </w:rPr>
              <w:t>Regulatory credit reserve</w:t>
            </w:r>
          </w:p>
        </w:tc>
        <w:tc>
          <w:tcPr>
            <w:tcW w:w="104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shd w:val="clear" w:color="auto" w:fill="CCEEFF"/>
          </w:tcPr>
          <w:p>
            <w:pPr>
              <w:jc w:val="right"/>
              <w:ind w:right="215"/>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1,865</w:t>
            </w:r>
          </w:p>
        </w:tc>
        <w:tc>
          <w:tcPr>
            <w:tcW w:w="1040" w:type="dxa"/>
            <w:vAlign w:val="bottom"/>
            <w:gridSpan w:val="2"/>
            <w:shd w:val="clear" w:color="auto" w:fill="CCEEFF"/>
          </w:tcPr>
          <w:p>
            <w:pPr>
              <w:jc w:val="right"/>
              <w:ind w:right="200"/>
              <w:spacing w:after="0" w:line="106" w:lineRule="exact"/>
              <w:rPr>
                <w:sz w:val="20"/>
                <w:szCs w:val="20"/>
                <w:color w:val="auto"/>
              </w:rPr>
            </w:pPr>
            <w:r>
              <w:rPr>
                <w:rFonts w:ascii="Arial" w:cs="Arial" w:eastAsia="Arial" w:hAnsi="Arial"/>
                <w:sz w:val="10"/>
                <w:szCs w:val="10"/>
                <w:color w:val="auto"/>
              </w:rPr>
              <w:t>(1,865)</w:t>
            </w:r>
          </w:p>
        </w:tc>
        <w:tc>
          <w:tcPr>
            <w:tcW w:w="8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9"/>
                <w:szCs w:val="9"/>
                <w:color w:val="auto"/>
              </w:rPr>
            </w:pPr>
          </w:p>
        </w:tc>
        <w:tc>
          <w:tcPr>
            <w:tcW w:w="90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line="106" w:lineRule="exact"/>
              <w:rPr>
                <w:sz w:val="20"/>
                <w:szCs w:val="20"/>
                <w:color w:val="auto"/>
              </w:rPr>
            </w:pPr>
            <w:r>
              <w:rPr>
                <w:rFonts w:ascii="Arial" w:cs="Arial" w:eastAsia="Arial" w:hAnsi="Arial"/>
                <w:sz w:val="10"/>
                <w:szCs w:val="10"/>
                <w:color w:val="auto"/>
              </w:rPr>
              <w:t>Dymanic provision</w:t>
            </w:r>
          </w:p>
        </w:tc>
        <w:tc>
          <w:tcPr>
            <w:tcW w:w="10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tcPr>
          <w:p>
            <w:pPr>
              <w:jc w:val="right"/>
              <w:ind w:right="215"/>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64,930</w:t>
            </w:r>
          </w:p>
        </w:tc>
        <w:tc>
          <w:tcPr>
            <w:tcW w:w="1040" w:type="dxa"/>
            <w:vAlign w:val="bottom"/>
            <w:gridSpan w:val="2"/>
          </w:tcPr>
          <w:p>
            <w:pPr>
              <w:jc w:val="right"/>
              <w:ind w:right="200"/>
              <w:spacing w:after="0" w:line="106" w:lineRule="exact"/>
              <w:rPr>
                <w:sz w:val="20"/>
                <w:szCs w:val="20"/>
                <w:color w:val="auto"/>
              </w:rPr>
            </w:pPr>
            <w:r>
              <w:rPr>
                <w:rFonts w:ascii="Arial" w:cs="Arial" w:eastAsia="Arial" w:hAnsi="Arial"/>
                <w:sz w:val="10"/>
                <w:szCs w:val="10"/>
                <w:color w:val="auto"/>
              </w:rPr>
              <w:t>(64,930)</w:t>
            </w:r>
          </w:p>
        </w:tc>
        <w:tc>
          <w:tcPr>
            <w:tcW w:w="80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0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0" w:type="dxa"/>
            <w:vAlign w:val="bottom"/>
          </w:tcPr>
          <w:p>
            <w:pPr>
              <w:spacing w:after="0"/>
              <w:rPr>
                <w:sz w:val="1"/>
                <w:szCs w:val="1"/>
                <w:color w:val="auto"/>
              </w:rPr>
            </w:pPr>
          </w:p>
        </w:tc>
      </w:tr>
      <w:tr>
        <w:trPr>
          <w:trHeight w:val="116"/>
        </w:trPr>
        <w:tc>
          <w:tcPr>
            <w:tcW w:w="20" w:type="dxa"/>
            <w:vAlign w:val="bottom"/>
          </w:tcPr>
          <w:p>
            <w:pPr>
              <w:spacing w:after="0"/>
              <w:rPr>
                <w:sz w:val="10"/>
                <w:szCs w:val="10"/>
                <w:color w:val="auto"/>
              </w:rPr>
            </w:pPr>
          </w:p>
        </w:tc>
        <w:tc>
          <w:tcPr>
            <w:tcW w:w="3300" w:type="dxa"/>
            <w:vAlign w:val="bottom"/>
            <w:shd w:val="clear" w:color="auto" w:fill="CCEEFF"/>
          </w:tcPr>
          <w:p>
            <w:pPr>
              <w:spacing w:after="0"/>
              <w:rPr>
                <w:sz w:val="20"/>
                <w:szCs w:val="20"/>
                <w:color w:val="auto"/>
              </w:rPr>
            </w:pPr>
            <w:r>
              <w:rPr>
                <w:rFonts w:ascii="Arial" w:cs="Arial" w:eastAsia="Arial" w:hAnsi="Arial"/>
                <w:sz w:val="10"/>
                <w:szCs w:val="10"/>
                <w:color w:val="auto"/>
              </w:rPr>
              <w:t>Dividends declared</w:t>
            </w: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0"/>
                <w:szCs w:val="10"/>
                <w:color w:val="auto"/>
              </w:rPr>
              <w:t>-</w:t>
            </w:r>
          </w:p>
        </w:tc>
        <w:tc>
          <w:tcPr>
            <w:tcW w:w="1040" w:type="dxa"/>
            <w:vAlign w:val="bottom"/>
            <w:gridSpan w:val="2"/>
            <w:shd w:val="clear" w:color="auto" w:fill="CCEEFF"/>
          </w:tcPr>
          <w:p>
            <w:pPr>
              <w:jc w:val="right"/>
              <w:ind w:right="215"/>
              <w:spacing w:after="0"/>
              <w:rPr>
                <w:sz w:val="20"/>
                <w:szCs w:val="20"/>
                <w:color w:val="auto"/>
              </w:rPr>
            </w:pPr>
            <w:r>
              <w:rPr>
                <w:rFonts w:ascii="Arial" w:cs="Arial" w:eastAsia="Arial" w:hAnsi="Arial"/>
                <w:sz w:val="10"/>
                <w:szCs w:val="10"/>
                <w:color w:val="auto"/>
              </w:rPr>
              <w:t>-</w:t>
            </w: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0"/>
                <w:szCs w:val="10"/>
                <w:color w:val="auto"/>
              </w:rPr>
              <w:t>-</w:t>
            </w: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0"/>
                <w:szCs w:val="10"/>
                <w:color w:val="auto"/>
              </w:rPr>
              <w:t>-</w:t>
            </w:r>
          </w:p>
        </w:tc>
        <w:tc>
          <w:tcPr>
            <w:tcW w:w="820" w:type="dxa"/>
            <w:vAlign w:val="bottom"/>
            <w:shd w:val="clear" w:color="auto" w:fill="CCEEFF"/>
          </w:tcPr>
          <w:p>
            <w:pPr>
              <w:jc w:val="right"/>
              <w:spacing w:after="0"/>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10"/>
                <w:szCs w:val="10"/>
                <w:color w:val="auto"/>
              </w:rPr>
            </w:pPr>
          </w:p>
        </w:tc>
        <w:tc>
          <w:tcPr>
            <w:tcW w:w="1040" w:type="dxa"/>
            <w:vAlign w:val="bottom"/>
            <w:gridSpan w:val="2"/>
            <w:shd w:val="clear" w:color="auto" w:fill="CCEEFF"/>
          </w:tcPr>
          <w:p>
            <w:pPr>
              <w:jc w:val="right"/>
              <w:ind w:right="200"/>
              <w:spacing w:after="0"/>
              <w:rPr>
                <w:sz w:val="20"/>
                <w:szCs w:val="20"/>
                <w:color w:val="auto"/>
              </w:rPr>
            </w:pPr>
            <w:r>
              <w:rPr>
                <w:rFonts w:ascii="Arial" w:cs="Arial" w:eastAsia="Arial" w:hAnsi="Arial"/>
                <w:sz w:val="10"/>
                <w:szCs w:val="10"/>
                <w:color w:val="auto"/>
              </w:rPr>
              <w:t>(60,540)</w:t>
            </w:r>
          </w:p>
        </w:tc>
        <w:tc>
          <w:tcPr>
            <w:tcW w:w="800" w:type="dxa"/>
            <w:vAlign w:val="bottom"/>
            <w:shd w:val="clear" w:color="auto" w:fill="CCEEFF"/>
          </w:tcPr>
          <w:p>
            <w:pPr>
              <w:jc w:val="right"/>
              <w:spacing w:after="0"/>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10"/>
                <w:szCs w:val="10"/>
                <w:color w:val="auto"/>
              </w:rPr>
            </w:pPr>
          </w:p>
        </w:tc>
        <w:tc>
          <w:tcPr>
            <w:tcW w:w="900" w:type="dxa"/>
            <w:vAlign w:val="bottom"/>
            <w:gridSpan w:val="2"/>
            <w:shd w:val="clear" w:color="auto" w:fill="CCEEFF"/>
          </w:tcPr>
          <w:p>
            <w:pPr>
              <w:jc w:val="right"/>
              <w:ind w:right="80"/>
              <w:spacing w:after="0"/>
              <w:rPr>
                <w:sz w:val="20"/>
                <w:szCs w:val="20"/>
                <w:color w:val="auto"/>
              </w:rPr>
            </w:pPr>
            <w:r>
              <w:rPr>
                <w:rFonts w:ascii="Arial" w:cs="Arial" w:eastAsia="Arial" w:hAnsi="Arial"/>
                <w:sz w:val="10"/>
                <w:szCs w:val="10"/>
                <w:color w:val="auto"/>
              </w:rPr>
              <w:t>(60,540)</w:t>
            </w: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tcBorders>
              <w:bottom w:val="single" w:sz="8" w:color="CCEEFF"/>
            </w:tcBorders>
          </w:tcPr>
          <w:p>
            <w:pPr>
              <w:spacing w:after="0" w:line="96" w:lineRule="exact"/>
              <w:rPr>
                <w:sz w:val="20"/>
                <w:szCs w:val="20"/>
                <w:color w:val="auto"/>
              </w:rPr>
            </w:pPr>
            <w:r>
              <w:rPr>
                <w:rFonts w:ascii="Arial" w:cs="Arial" w:eastAsia="Arial" w:hAnsi="Arial"/>
                <w:sz w:val="10"/>
                <w:szCs w:val="10"/>
                <w:b w:val="1"/>
                <w:bCs w:val="1"/>
                <w:color w:val="auto"/>
              </w:rPr>
              <w:t>Balances at December 31, 2017</w:t>
            </w:r>
          </w:p>
        </w:tc>
        <w:tc>
          <w:tcPr>
            <w:tcW w:w="820" w:type="dxa"/>
            <w:vAlign w:val="bottom"/>
            <w:tcBorders>
              <w:top w:val="single" w:sz="8" w:color="auto"/>
              <w:bottom w:val="single" w:sz="8" w:color="auto"/>
            </w:tcBorders>
          </w:tcPr>
          <w:p>
            <w:pPr>
              <w:jc w:val="right"/>
              <w:spacing w:after="0" w:line="96" w:lineRule="exact"/>
              <w:rPr>
                <w:sz w:val="20"/>
                <w:szCs w:val="20"/>
                <w:color w:val="auto"/>
              </w:rPr>
            </w:pPr>
            <w:r>
              <w:rPr>
                <w:rFonts w:ascii="Arial" w:cs="Arial" w:eastAsia="Arial" w:hAnsi="Arial"/>
                <w:sz w:val="10"/>
                <w:szCs w:val="10"/>
                <w:color w:val="auto"/>
              </w:rPr>
              <w:t>279,980</w:t>
            </w:r>
          </w:p>
        </w:tc>
        <w:tc>
          <w:tcPr>
            <w:tcW w:w="220" w:type="dxa"/>
            <w:vAlign w:val="bottom"/>
            <w:tcBorders>
              <w:bottom w:val="single" w:sz="8" w:color="CCEEFF"/>
            </w:tcBorders>
          </w:tcPr>
          <w:p>
            <w:pPr>
              <w:spacing w:after="0"/>
              <w:rPr>
                <w:sz w:val="8"/>
                <w:szCs w:val="8"/>
                <w:color w:val="auto"/>
              </w:rPr>
            </w:pPr>
          </w:p>
        </w:tc>
        <w:tc>
          <w:tcPr>
            <w:tcW w:w="820" w:type="dxa"/>
            <w:vAlign w:val="bottom"/>
            <w:tcBorders>
              <w:top w:val="single" w:sz="8" w:color="auto"/>
              <w:bottom w:val="single" w:sz="8" w:color="auto"/>
            </w:tcBorders>
          </w:tcPr>
          <w:p>
            <w:pPr>
              <w:jc w:val="right"/>
              <w:spacing w:after="0" w:line="96" w:lineRule="exact"/>
              <w:rPr>
                <w:sz w:val="20"/>
                <w:szCs w:val="20"/>
                <w:color w:val="auto"/>
              </w:rPr>
            </w:pPr>
            <w:r>
              <w:rPr>
                <w:rFonts w:ascii="Arial" w:cs="Arial" w:eastAsia="Arial" w:hAnsi="Arial"/>
                <w:sz w:val="10"/>
                <w:szCs w:val="10"/>
                <w:color w:val="auto"/>
              </w:rPr>
              <w:t>(63,248)</w:t>
            </w:r>
          </w:p>
        </w:tc>
        <w:tc>
          <w:tcPr>
            <w:tcW w:w="220" w:type="dxa"/>
            <w:vAlign w:val="bottom"/>
            <w:tcBorders>
              <w:bottom w:val="single" w:sz="8" w:color="CCEEFF"/>
            </w:tcBorders>
          </w:tcPr>
          <w:p>
            <w:pPr>
              <w:spacing w:after="0"/>
              <w:rPr>
                <w:sz w:val="8"/>
                <w:szCs w:val="8"/>
                <w:color w:val="auto"/>
              </w:rPr>
            </w:pPr>
          </w:p>
        </w:tc>
        <w:tc>
          <w:tcPr>
            <w:tcW w:w="820" w:type="dxa"/>
            <w:vAlign w:val="bottom"/>
            <w:tcBorders>
              <w:top w:val="single" w:sz="8" w:color="auto"/>
              <w:bottom w:val="single" w:sz="8" w:color="auto"/>
            </w:tcBorders>
          </w:tcPr>
          <w:p>
            <w:pPr>
              <w:jc w:val="right"/>
              <w:spacing w:after="0" w:line="96" w:lineRule="exact"/>
              <w:rPr>
                <w:sz w:val="20"/>
                <w:szCs w:val="20"/>
                <w:color w:val="auto"/>
              </w:rPr>
            </w:pPr>
            <w:r>
              <w:rPr>
                <w:rFonts w:ascii="Arial" w:cs="Arial" w:eastAsia="Arial" w:hAnsi="Arial"/>
                <w:sz w:val="10"/>
                <w:szCs w:val="10"/>
                <w:color w:val="auto"/>
              </w:rPr>
              <w:t>119,941</w:t>
            </w:r>
          </w:p>
        </w:tc>
        <w:tc>
          <w:tcPr>
            <w:tcW w:w="220" w:type="dxa"/>
            <w:vAlign w:val="bottom"/>
            <w:tcBorders>
              <w:bottom w:val="single" w:sz="8" w:color="CCEEFF"/>
            </w:tcBorders>
          </w:tcPr>
          <w:p>
            <w:pPr>
              <w:spacing w:after="0"/>
              <w:rPr>
                <w:sz w:val="8"/>
                <w:szCs w:val="8"/>
                <w:color w:val="auto"/>
              </w:rPr>
            </w:pPr>
          </w:p>
        </w:tc>
        <w:tc>
          <w:tcPr>
            <w:tcW w:w="820" w:type="dxa"/>
            <w:vAlign w:val="bottom"/>
            <w:tcBorders>
              <w:top w:val="single" w:sz="8" w:color="auto"/>
              <w:bottom w:val="single" w:sz="8" w:color="auto"/>
            </w:tcBorders>
          </w:tcPr>
          <w:p>
            <w:pPr>
              <w:jc w:val="right"/>
              <w:spacing w:after="0" w:line="96" w:lineRule="exact"/>
              <w:rPr>
                <w:sz w:val="20"/>
                <w:szCs w:val="20"/>
                <w:color w:val="auto"/>
              </w:rPr>
            </w:pPr>
            <w:r>
              <w:rPr>
                <w:rFonts w:ascii="Arial" w:cs="Arial" w:eastAsia="Arial" w:hAnsi="Arial"/>
                <w:sz w:val="10"/>
                <w:szCs w:val="10"/>
                <w:color w:val="auto"/>
              </w:rPr>
              <w:t>95,210</w:t>
            </w:r>
          </w:p>
        </w:tc>
        <w:tc>
          <w:tcPr>
            <w:tcW w:w="220" w:type="dxa"/>
            <w:vAlign w:val="bottom"/>
            <w:tcBorders>
              <w:bottom w:val="single" w:sz="8" w:color="CCEEFF"/>
            </w:tcBorders>
          </w:tcPr>
          <w:p>
            <w:pPr>
              <w:spacing w:after="0"/>
              <w:rPr>
                <w:sz w:val="8"/>
                <w:szCs w:val="8"/>
                <w:color w:val="auto"/>
              </w:rPr>
            </w:pPr>
          </w:p>
        </w:tc>
        <w:tc>
          <w:tcPr>
            <w:tcW w:w="820" w:type="dxa"/>
            <w:vAlign w:val="bottom"/>
            <w:tcBorders>
              <w:top w:val="single" w:sz="8" w:color="auto"/>
              <w:bottom w:val="single" w:sz="8" w:color="auto"/>
            </w:tcBorders>
          </w:tcPr>
          <w:p>
            <w:pPr>
              <w:jc w:val="right"/>
              <w:spacing w:after="0" w:line="96" w:lineRule="exact"/>
              <w:rPr>
                <w:sz w:val="20"/>
                <w:szCs w:val="20"/>
                <w:color w:val="auto"/>
              </w:rPr>
            </w:pPr>
            <w:r>
              <w:rPr>
                <w:rFonts w:ascii="Arial" w:cs="Arial" w:eastAsia="Arial" w:hAnsi="Arial"/>
                <w:sz w:val="10"/>
                <w:szCs w:val="10"/>
                <w:color w:val="auto"/>
              </w:rPr>
              <w:t>129,254</w:t>
            </w:r>
          </w:p>
        </w:tc>
        <w:tc>
          <w:tcPr>
            <w:tcW w:w="220" w:type="dxa"/>
            <w:vAlign w:val="bottom"/>
            <w:tcBorders>
              <w:bottom w:val="single" w:sz="8" w:color="CCEEFF"/>
            </w:tcBorders>
          </w:tcPr>
          <w:p>
            <w:pPr>
              <w:spacing w:after="0"/>
              <w:rPr>
                <w:sz w:val="8"/>
                <w:szCs w:val="8"/>
                <w:color w:val="auto"/>
              </w:rPr>
            </w:pPr>
          </w:p>
        </w:tc>
        <w:tc>
          <w:tcPr>
            <w:tcW w:w="820" w:type="dxa"/>
            <w:vAlign w:val="bottom"/>
            <w:tcBorders>
              <w:top w:val="single" w:sz="8" w:color="auto"/>
              <w:bottom w:val="single" w:sz="8" w:color="auto"/>
            </w:tcBorders>
          </w:tcPr>
          <w:p>
            <w:pPr>
              <w:jc w:val="right"/>
              <w:spacing w:after="0" w:line="96" w:lineRule="exact"/>
              <w:rPr>
                <w:sz w:val="20"/>
                <w:szCs w:val="20"/>
                <w:color w:val="auto"/>
              </w:rPr>
            </w:pPr>
            <w:r>
              <w:rPr>
                <w:rFonts w:ascii="Arial" w:cs="Arial" w:eastAsia="Arial" w:hAnsi="Arial"/>
                <w:sz w:val="10"/>
                <w:szCs w:val="10"/>
                <w:color w:val="auto"/>
              </w:rPr>
              <w:t>479,712</w:t>
            </w:r>
          </w:p>
        </w:tc>
        <w:tc>
          <w:tcPr>
            <w:tcW w:w="220" w:type="dxa"/>
            <w:vAlign w:val="bottom"/>
            <w:tcBorders>
              <w:bottom w:val="single" w:sz="8" w:color="CCEEFF"/>
            </w:tcBorders>
          </w:tcPr>
          <w:p>
            <w:pPr>
              <w:spacing w:after="0"/>
              <w:rPr>
                <w:sz w:val="8"/>
                <w:szCs w:val="8"/>
                <w:color w:val="auto"/>
              </w:rPr>
            </w:pPr>
          </w:p>
        </w:tc>
        <w:tc>
          <w:tcPr>
            <w:tcW w:w="800" w:type="dxa"/>
            <w:vAlign w:val="bottom"/>
            <w:tcBorders>
              <w:top w:val="single" w:sz="8" w:color="auto"/>
              <w:bottom w:val="single" w:sz="8" w:color="auto"/>
            </w:tcBorders>
          </w:tcPr>
          <w:p>
            <w:pPr>
              <w:jc w:val="right"/>
              <w:spacing w:after="0" w:line="96" w:lineRule="exact"/>
              <w:rPr>
                <w:sz w:val="20"/>
                <w:szCs w:val="20"/>
                <w:color w:val="auto"/>
              </w:rPr>
            </w:pPr>
            <w:r>
              <w:rPr>
                <w:rFonts w:ascii="Arial" w:cs="Arial" w:eastAsia="Arial" w:hAnsi="Arial"/>
                <w:sz w:val="10"/>
                <w:szCs w:val="10"/>
                <w:color w:val="auto"/>
              </w:rPr>
              <w:t>1,963</w:t>
            </w:r>
          </w:p>
        </w:tc>
        <w:tc>
          <w:tcPr>
            <w:tcW w:w="220" w:type="dxa"/>
            <w:vAlign w:val="bottom"/>
            <w:tcBorders>
              <w:bottom w:val="single" w:sz="8" w:color="CCEEFF"/>
            </w:tcBorders>
          </w:tcPr>
          <w:p>
            <w:pPr>
              <w:spacing w:after="0"/>
              <w:rPr>
                <w:sz w:val="8"/>
                <w:szCs w:val="8"/>
                <w:color w:val="auto"/>
              </w:rPr>
            </w:pPr>
          </w:p>
        </w:tc>
        <w:tc>
          <w:tcPr>
            <w:tcW w:w="780" w:type="dxa"/>
            <w:vAlign w:val="bottom"/>
            <w:tcBorders>
              <w:top w:val="single" w:sz="8" w:color="auto"/>
              <w:bottom w:val="single" w:sz="8" w:color="auto"/>
            </w:tcBorders>
          </w:tcPr>
          <w:p>
            <w:pPr>
              <w:jc w:val="right"/>
              <w:spacing w:after="0" w:line="96" w:lineRule="exact"/>
              <w:rPr>
                <w:sz w:val="20"/>
                <w:szCs w:val="20"/>
                <w:color w:val="auto"/>
              </w:rPr>
            </w:pPr>
            <w:r>
              <w:rPr>
                <w:rFonts w:ascii="Arial" w:cs="Arial" w:eastAsia="Arial" w:hAnsi="Arial"/>
                <w:sz w:val="10"/>
                <w:szCs w:val="10"/>
                <w:color w:val="auto"/>
              </w:rPr>
              <w:t>1,042,812</w:t>
            </w:r>
          </w:p>
        </w:tc>
        <w:tc>
          <w:tcPr>
            <w:tcW w:w="120" w:type="dxa"/>
            <w:vAlign w:val="bottom"/>
            <w:tcBorders>
              <w:bottom w:val="single" w:sz="8" w:color="CCEEFF"/>
            </w:tcBorders>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20" w:type="dxa"/>
            <w:vAlign w:val="bottom"/>
            <w:vMerge w:val="restart"/>
          </w:tcPr>
          <w:p>
            <w:pPr>
              <w:spacing w:after="0"/>
              <w:rPr>
                <w:sz w:val="8"/>
                <w:szCs w:val="8"/>
                <w:color w:val="auto"/>
              </w:rPr>
            </w:pPr>
          </w:p>
        </w:tc>
        <w:tc>
          <w:tcPr>
            <w:tcW w:w="3300" w:type="dxa"/>
            <w:vAlign w:val="bottom"/>
            <w:shd w:val="clear" w:color="auto" w:fill="CCEEFF"/>
          </w:tcPr>
          <w:p>
            <w:pPr>
              <w:spacing w:after="0"/>
              <w:rPr>
                <w:sz w:val="8"/>
                <w:szCs w:val="8"/>
                <w:color w:val="auto"/>
              </w:rPr>
            </w:pPr>
          </w:p>
        </w:tc>
        <w:tc>
          <w:tcPr>
            <w:tcW w:w="82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82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82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82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82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82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80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780" w:type="dxa"/>
            <w:vAlign w:val="bottom"/>
            <w:shd w:val="clear" w:color="auto" w:fill="CCEEFF"/>
          </w:tcPr>
          <w:p>
            <w:pPr>
              <w:spacing w:after="0"/>
              <w:rPr>
                <w:sz w:val="8"/>
                <w:szCs w:val="8"/>
                <w:color w:val="auto"/>
              </w:rPr>
            </w:pPr>
          </w:p>
        </w:tc>
        <w:tc>
          <w:tcPr>
            <w:tcW w:w="120" w:type="dxa"/>
            <w:vAlign w:val="bottom"/>
            <w:shd w:val="clear" w:color="auto" w:fill="CCEEFF"/>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20" w:type="dxa"/>
            <w:vAlign w:val="bottom"/>
            <w:vMerge w:val="continue"/>
          </w:tcPr>
          <w:p>
            <w:pPr>
              <w:spacing w:after="0"/>
              <w:rPr>
                <w:sz w:val="9"/>
                <w:szCs w:val="9"/>
                <w:color w:val="auto"/>
              </w:rPr>
            </w:pPr>
          </w:p>
        </w:tc>
        <w:tc>
          <w:tcPr>
            <w:tcW w:w="3300" w:type="dxa"/>
            <w:vAlign w:val="bottom"/>
          </w:tcPr>
          <w:p>
            <w:pPr>
              <w:spacing w:after="0" w:line="106" w:lineRule="exact"/>
              <w:rPr>
                <w:sz w:val="20"/>
                <w:szCs w:val="20"/>
                <w:color w:val="auto"/>
              </w:rPr>
            </w:pPr>
            <w:r>
              <w:rPr>
                <w:rFonts w:ascii="Arial" w:cs="Arial" w:eastAsia="Arial" w:hAnsi="Arial"/>
                <w:sz w:val="10"/>
                <w:szCs w:val="10"/>
                <w:color w:val="auto"/>
              </w:rPr>
              <w:t>Profit for the year</w:t>
            </w:r>
          </w:p>
        </w:tc>
        <w:tc>
          <w:tcPr>
            <w:tcW w:w="10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tcPr>
          <w:p>
            <w:pPr>
              <w:jc w:val="right"/>
              <w:ind w:right="215"/>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82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10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11,138</w:t>
            </w:r>
          </w:p>
        </w:tc>
        <w:tc>
          <w:tcPr>
            <w:tcW w:w="80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0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11,138</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spacing w:after="0" w:line="106" w:lineRule="exact"/>
              <w:rPr>
                <w:sz w:val="20"/>
                <w:szCs w:val="20"/>
                <w:color w:val="auto"/>
              </w:rPr>
            </w:pPr>
            <w:r>
              <w:rPr>
                <w:rFonts w:ascii="Arial" w:cs="Arial" w:eastAsia="Arial" w:hAnsi="Arial"/>
                <w:sz w:val="10"/>
                <w:szCs w:val="10"/>
                <w:color w:val="auto"/>
              </w:rPr>
              <w:t>Other comprehensive income</w:t>
            </w:r>
          </w:p>
        </w:tc>
        <w:tc>
          <w:tcPr>
            <w:tcW w:w="104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shd w:val="clear" w:color="auto" w:fill="CCEEFF"/>
          </w:tcPr>
          <w:p>
            <w:pPr>
              <w:jc w:val="right"/>
              <w:ind w:right="215"/>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82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9"/>
                <w:szCs w:val="9"/>
                <w:color w:val="auto"/>
              </w:rPr>
            </w:pPr>
          </w:p>
        </w:tc>
        <w:tc>
          <w:tcPr>
            <w:tcW w:w="82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9"/>
                <w:szCs w:val="9"/>
                <w:color w:val="auto"/>
              </w:rPr>
            </w:pPr>
          </w:p>
        </w:tc>
        <w:tc>
          <w:tcPr>
            <w:tcW w:w="1020" w:type="dxa"/>
            <w:vAlign w:val="bottom"/>
            <w:gridSpan w:val="2"/>
            <w:shd w:val="clear" w:color="auto" w:fill="CCEEFF"/>
          </w:tcPr>
          <w:p>
            <w:pPr>
              <w:jc w:val="right"/>
              <w:ind w:right="180"/>
              <w:spacing w:after="0" w:line="106" w:lineRule="exact"/>
              <w:rPr>
                <w:sz w:val="20"/>
                <w:szCs w:val="20"/>
                <w:color w:val="auto"/>
              </w:rPr>
            </w:pPr>
            <w:r>
              <w:rPr>
                <w:rFonts w:ascii="Arial" w:cs="Arial" w:eastAsia="Arial" w:hAnsi="Arial"/>
                <w:sz w:val="10"/>
                <w:szCs w:val="10"/>
                <w:color w:val="auto"/>
              </w:rPr>
              <w:t>(1,543)</w:t>
            </w:r>
          </w:p>
        </w:tc>
        <w:tc>
          <w:tcPr>
            <w:tcW w:w="900" w:type="dxa"/>
            <w:vAlign w:val="bottom"/>
            <w:gridSpan w:val="2"/>
            <w:shd w:val="clear" w:color="auto" w:fill="CCEEFF"/>
          </w:tcPr>
          <w:p>
            <w:pPr>
              <w:jc w:val="right"/>
              <w:ind w:right="80"/>
              <w:spacing w:after="0" w:line="106" w:lineRule="exact"/>
              <w:rPr>
                <w:sz w:val="20"/>
                <w:szCs w:val="20"/>
                <w:color w:val="auto"/>
              </w:rPr>
            </w:pPr>
            <w:r>
              <w:rPr>
                <w:rFonts w:ascii="Arial" w:cs="Arial" w:eastAsia="Arial" w:hAnsi="Arial"/>
                <w:sz w:val="10"/>
                <w:szCs w:val="10"/>
                <w:color w:val="auto"/>
              </w:rPr>
              <w:t>(1,543)</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line="106" w:lineRule="exact"/>
              <w:rPr>
                <w:sz w:val="20"/>
                <w:szCs w:val="20"/>
                <w:color w:val="auto"/>
              </w:rPr>
            </w:pPr>
            <w:r>
              <w:rPr>
                <w:rFonts w:ascii="Arial" w:cs="Arial" w:eastAsia="Arial" w:hAnsi="Arial"/>
                <w:sz w:val="10"/>
                <w:szCs w:val="10"/>
                <w:color w:val="auto"/>
              </w:rPr>
              <w:t>Issuance of restricted stock</w:t>
            </w:r>
          </w:p>
        </w:tc>
        <w:tc>
          <w:tcPr>
            <w:tcW w:w="10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tcPr>
          <w:p>
            <w:pPr>
              <w:jc w:val="right"/>
              <w:ind w:right="215"/>
              <w:spacing w:after="0" w:line="106" w:lineRule="exact"/>
              <w:rPr>
                <w:sz w:val="20"/>
                <w:szCs w:val="20"/>
                <w:color w:val="auto"/>
              </w:rPr>
            </w:pPr>
            <w:r>
              <w:rPr>
                <w:rFonts w:ascii="Arial" w:cs="Arial" w:eastAsia="Arial" w:hAnsi="Arial"/>
                <w:sz w:val="10"/>
                <w:szCs w:val="10"/>
                <w:color w:val="auto"/>
              </w:rPr>
              <w:t>1,259</w:t>
            </w:r>
          </w:p>
        </w:tc>
        <w:tc>
          <w:tcPr>
            <w:tcW w:w="1040" w:type="dxa"/>
            <w:vAlign w:val="bottom"/>
            <w:gridSpan w:val="2"/>
          </w:tcPr>
          <w:p>
            <w:pPr>
              <w:jc w:val="right"/>
              <w:ind w:right="200"/>
              <w:spacing w:after="0" w:line="106" w:lineRule="exact"/>
              <w:rPr>
                <w:sz w:val="20"/>
                <w:szCs w:val="20"/>
                <w:color w:val="auto"/>
              </w:rPr>
            </w:pPr>
            <w:r>
              <w:rPr>
                <w:rFonts w:ascii="Arial" w:cs="Arial" w:eastAsia="Arial" w:hAnsi="Arial"/>
                <w:sz w:val="10"/>
                <w:szCs w:val="10"/>
                <w:color w:val="auto"/>
              </w:rPr>
              <w:t>(1,259)</w:t>
            </w:r>
          </w:p>
        </w:tc>
        <w:tc>
          <w:tcPr>
            <w:tcW w:w="10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82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82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80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0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spacing w:after="0" w:line="106" w:lineRule="exact"/>
              <w:rPr>
                <w:sz w:val="20"/>
                <w:szCs w:val="20"/>
                <w:color w:val="auto"/>
              </w:rPr>
            </w:pPr>
            <w:r>
              <w:rPr>
                <w:rFonts w:ascii="Arial" w:cs="Arial" w:eastAsia="Arial" w:hAnsi="Arial"/>
                <w:sz w:val="10"/>
                <w:szCs w:val="10"/>
                <w:color w:val="auto"/>
              </w:rPr>
              <w:t>Compensation cost - stock options and stock units plans</w:t>
            </w:r>
          </w:p>
        </w:tc>
        <w:tc>
          <w:tcPr>
            <w:tcW w:w="104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shd w:val="clear" w:color="auto" w:fill="CCEEFF"/>
          </w:tcPr>
          <w:p>
            <w:pPr>
              <w:jc w:val="right"/>
              <w:ind w:right="215"/>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1,051</w:t>
            </w:r>
          </w:p>
        </w:tc>
        <w:tc>
          <w:tcPr>
            <w:tcW w:w="104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82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9"/>
                <w:szCs w:val="9"/>
                <w:color w:val="auto"/>
              </w:rPr>
            </w:pPr>
          </w:p>
        </w:tc>
        <w:tc>
          <w:tcPr>
            <w:tcW w:w="82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9"/>
                <w:szCs w:val="9"/>
                <w:color w:val="auto"/>
              </w:rPr>
            </w:pPr>
          </w:p>
        </w:tc>
        <w:tc>
          <w:tcPr>
            <w:tcW w:w="8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9"/>
                <w:szCs w:val="9"/>
                <w:color w:val="auto"/>
              </w:rPr>
            </w:pPr>
          </w:p>
        </w:tc>
        <w:tc>
          <w:tcPr>
            <w:tcW w:w="90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1,051</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line="106" w:lineRule="exact"/>
              <w:rPr>
                <w:sz w:val="20"/>
                <w:szCs w:val="20"/>
                <w:color w:val="auto"/>
              </w:rPr>
            </w:pPr>
            <w:r>
              <w:rPr>
                <w:rFonts w:ascii="Arial" w:cs="Arial" w:eastAsia="Arial" w:hAnsi="Arial"/>
                <w:sz w:val="10"/>
                <w:szCs w:val="10"/>
                <w:color w:val="auto"/>
              </w:rPr>
              <w:t>Exercised options and stock units vested</w:t>
            </w:r>
          </w:p>
        </w:tc>
        <w:tc>
          <w:tcPr>
            <w:tcW w:w="10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tcPr>
          <w:p>
            <w:pPr>
              <w:jc w:val="right"/>
              <w:ind w:right="215"/>
              <w:spacing w:after="0" w:line="106" w:lineRule="exact"/>
              <w:rPr>
                <w:sz w:val="20"/>
                <w:szCs w:val="20"/>
                <w:color w:val="auto"/>
              </w:rPr>
            </w:pPr>
            <w:r>
              <w:rPr>
                <w:rFonts w:ascii="Arial" w:cs="Arial" w:eastAsia="Arial" w:hAnsi="Arial"/>
                <w:sz w:val="10"/>
                <w:szCs w:val="10"/>
                <w:color w:val="auto"/>
              </w:rPr>
              <w:t>3,355</w:t>
            </w:r>
          </w:p>
        </w:tc>
        <w:tc>
          <w:tcPr>
            <w:tcW w:w="10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254</w:t>
            </w:r>
          </w:p>
        </w:tc>
        <w:tc>
          <w:tcPr>
            <w:tcW w:w="10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82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82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80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0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3,609</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spacing w:after="0" w:line="106" w:lineRule="exact"/>
              <w:rPr>
                <w:sz w:val="20"/>
                <w:szCs w:val="20"/>
                <w:color w:val="auto"/>
              </w:rPr>
            </w:pPr>
            <w:r>
              <w:rPr>
                <w:rFonts w:ascii="Arial" w:cs="Arial" w:eastAsia="Arial" w:hAnsi="Arial"/>
                <w:sz w:val="10"/>
                <w:szCs w:val="10"/>
                <w:color w:val="auto"/>
              </w:rPr>
              <w:t>Repurchase of "Class B" and "Class E" common stock</w:t>
            </w:r>
          </w:p>
        </w:tc>
        <w:tc>
          <w:tcPr>
            <w:tcW w:w="104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shd w:val="clear" w:color="auto" w:fill="CCEEFF"/>
          </w:tcPr>
          <w:p>
            <w:pPr>
              <w:jc w:val="right"/>
              <w:ind w:right="195"/>
              <w:spacing w:after="0" w:line="106" w:lineRule="exact"/>
              <w:rPr>
                <w:sz w:val="20"/>
                <w:szCs w:val="20"/>
                <w:color w:val="auto"/>
              </w:rPr>
            </w:pPr>
            <w:r>
              <w:rPr>
                <w:rFonts w:ascii="Arial" w:cs="Arial" w:eastAsia="Arial" w:hAnsi="Arial"/>
                <w:sz w:val="10"/>
                <w:szCs w:val="10"/>
                <w:color w:val="auto"/>
              </w:rPr>
              <w:t>(2,442)</w:t>
            </w:r>
          </w:p>
        </w:tc>
        <w:tc>
          <w:tcPr>
            <w:tcW w:w="104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82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9"/>
                <w:szCs w:val="9"/>
                <w:color w:val="auto"/>
              </w:rPr>
            </w:pPr>
          </w:p>
        </w:tc>
        <w:tc>
          <w:tcPr>
            <w:tcW w:w="82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9"/>
                <w:szCs w:val="9"/>
                <w:color w:val="auto"/>
              </w:rPr>
            </w:pPr>
          </w:p>
        </w:tc>
        <w:tc>
          <w:tcPr>
            <w:tcW w:w="8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9"/>
                <w:szCs w:val="9"/>
                <w:color w:val="auto"/>
              </w:rPr>
            </w:pPr>
          </w:p>
        </w:tc>
        <w:tc>
          <w:tcPr>
            <w:tcW w:w="900" w:type="dxa"/>
            <w:vAlign w:val="bottom"/>
            <w:gridSpan w:val="2"/>
            <w:shd w:val="clear" w:color="auto" w:fill="CCEEFF"/>
          </w:tcPr>
          <w:p>
            <w:pPr>
              <w:jc w:val="right"/>
              <w:ind w:right="80"/>
              <w:spacing w:after="0" w:line="106" w:lineRule="exact"/>
              <w:rPr>
                <w:sz w:val="20"/>
                <w:szCs w:val="20"/>
                <w:color w:val="auto"/>
              </w:rPr>
            </w:pPr>
            <w:r>
              <w:rPr>
                <w:rFonts w:ascii="Arial" w:cs="Arial" w:eastAsia="Arial" w:hAnsi="Arial"/>
                <w:sz w:val="10"/>
                <w:szCs w:val="10"/>
                <w:color w:val="auto"/>
              </w:rPr>
              <w:t>(2,442)</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line="106" w:lineRule="exact"/>
              <w:rPr>
                <w:sz w:val="20"/>
                <w:szCs w:val="20"/>
                <w:color w:val="auto"/>
              </w:rPr>
            </w:pPr>
            <w:r>
              <w:rPr>
                <w:rFonts w:ascii="Arial" w:cs="Arial" w:eastAsia="Arial" w:hAnsi="Arial"/>
                <w:sz w:val="10"/>
                <w:szCs w:val="10"/>
                <w:color w:val="auto"/>
              </w:rPr>
              <w:t>Regulatory credit reserve</w:t>
            </w:r>
          </w:p>
        </w:tc>
        <w:tc>
          <w:tcPr>
            <w:tcW w:w="10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tcPr>
          <w:p>
            <w:pPr>
              <w:jc w:val="right"/>
              <w:ind w:right="215"/>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tcPr>
          <w:p>
            <w:pPr>
              <w:jc w:val="right"/>
              <w:ind w:right="200"/>
              <w:spacing w:after="0" w:line="106" w:lineRule="exact"/>
              <w:rPr>
                <w:sz w:val="20"/>
                <w:szCs w:val="20"/>
                <w:color w:val="auto"/>
              </w:rPr>
            </w:pPr>
            <w:r>
              <w:rPr>
                <w:rFonts w:ascii="Arial" w:cs="Arial" w:eastAsia="Arial" w:hAnsi="Arial"/>
                <w:sz w:val="10"/>
                <w:szCs w:val="10"/>
                <w:color w:val="auto"/>
              </w:rPr>
              <w:t>(20,498)</w:t>
            </w:r>
          </w:p>
        </w:tc>
        <w:tc>
          <w:tcPr>
            <w:tcW w:w="10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20,498</w:t>
            </w:r>
          </w:p>
        </w:tc>
        <w:tc>
          <w:tcPr>
            <w:tcW w:w="80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0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EEFF"/>
          </w:tcPr>
          <w:p>
            <w:pPr>
              <w:spacing w:after="0" w:line="106" w:lineRule="exact"/>
              <w:rPr>
                <w:sz w:val="20"/>
                <w:szCs w:val="20"/>
                <w:color w:val="auto"/>
              </w:rPr>
            </w:pPr>
            <w:r>
              <w:rPr>
                <w:rFonts w:ascii="Arial" w:cs="Arial" w:eastAsia="Arial" w:hAnsi="Arial"/>
                <w:sz w:val="10"/>
                <w:szCs w:val="10"/>
                <w:color w:val="auto"/>
              </w:rPr>
              <w:t>Dymanic provision</w:t>
            </w:r>
          </w:p>
        </w:tc>
        <w:tc>
          <w:tcPr>
            <w:tcW w:w="104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shd w:val="clear" w:color="auto" w:fill="CCEEFF"/>
          </w:tcPr>
          <w:p>
            <w:pPr>
              <w:jc w:val="right"/>
              <w:ind w:right="215"/>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04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27,263</w:t>
            </w:r>
          </w:p>
        </w:tc>
        <w:tc>
          <w:tcPr>
            <w:tcW w:w="1040" w:type="dxa"/>
            <w:vAlign w:val="bottom"/>
            <w:gridSpan w:val="2"/>
            <w:shd w:val="clear" w:color="auto" w:fill="CCEEFF"/>
          </w:tcPr>
          <w:p>
            <w:pPr>
              <w:jc w:val="right"/>
              <w:ind w:right="200"/>
              <w:spacing w:after="0" w:line="106" w:lineRule="exact"/>
              <w:rPr>
                <w:sz w:val="20"/>
                <w:szCs w:val="20"/>
                <w:color w:val="auto"/>
              </w:rPr>
            </w:pPr>
            <w:r>
              <w:rPr>
                <w:rFonts w:ascii="Arial" w:cs="Arial" w:eastAsia="Arial" w:hAnsi="Arial"/>
                <w:sz w:val="10"/>
                <w:szCs w:val="10"/>
                <w:color w:val="auto"/>
              </w:rPr>
              <w:t>(27,263)</w:t>
            </w:r>
          </w:p>
        </w:tc>
        <w:tc>
          <w:tcPr>
            <w:tcW w:w="800" w:type="dxa"/>
            <w:vAlign w:val="bottom"/>
            <w:shd w:val="clear" w:color="auto" w:fill="CCEEFF"/>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EEFF"/>
          </w:tcPr>
          <w:p>
            <w:pPr>
              <w:spacing w:after="0"/>
              <w:rPr>
                <w:sz w:val="9"/>
                <w:szCs w:val="9"/>
                <w:color w:val="auto"/>
              </w:rPr>
            </w:pPr>
          </w:p>
        </w:tc>
        <w:tc>
          <w:tcPr>
            <w:tcW w:w="900" w:type="dxa"/>
            <w:vAlign w:val="bottom"/>
            <w:gridSpan w:val="2"/>
            <w:shd w:val="clear" w:color="auto" w:fill="CCEEFF"/>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0" w:type="dxa"/>
            <w:vAlign w:val="bottom"/>
          </w:tcPr>
          <w:p>
            <w:pPr>
              <w:spacing w:after="0"/>
              <w:rPr>
                <w:sz w:val="1"/>
                <w:szCs w:val="1"/>
                <w:color w:val="auto"/>
              </w:rPr>
            </w:pPr>
          </w:p>
        </w:tc>
      </w:tr>
      <w:tr>
        <w:trPr>
          <w:trHeight w:val="116"/>
        </w:trPr>
        <w:tc>
          <w:tcPr>
            <w:tcW w:w="20" w:type="dxa"/>
            <w:vAlign w:val="bottom"/>
          </w:tcPr>
          <w:p>
            <w:pPr>
              <w:spacing w:after="0"/>
              <w:rPr>
                <w:sz w:val="10"/>
                <w:szCs w:val="10"/>
                <w:color w:val="auto"/>
              </w:rPr>
            </w:pPr>
          </w:p>
        </w:tc>
        <w:tc>
          <w:tcPr>
            <w:tcW w:w="3300" w:type="dxa"/>
            <w:vAlign w:val="bottom"/>
          </w:tcPr>
          <w:p>
            <w:pPr>
              <w:spacing w:after="0"/>
              <w:rPr>
                <w:sz w:val="20"/>
                <w:szCs w:val="20"/>
                <w:color w:val="auto"/>
              </w:rPr>
            </w:pPr>
            <w:r>
              <w:rPr>
                <w:rFonts w:ascii="Arial" w:cs="Arial" w:eastAsia="Arial" w:hAnsi="Arial"/>
                <w:sz w:val="10"/>
                <w:szCs w:val="10"/>
                <w:color w:val="auto"/>
              </w:rPr>
              <w:t>Dividends declared</w:t>
            </w:r>
          </w:p>
        </w:tc>
        <w:tc>
          <w:tcPr>
            <w:tcW w:w="1040" w:type="dxa"/>
            <w:vAlign w:val="bottom"/>
            <w:gridSpan w:val="2"/>
          </w:tcPr>
          <w:p>
            <w:pPr>
              <w:jc w:val="right"/>
              <w:ind w:right="220"/>
              <w:spacing w:after="0"/>
              <w:rPr>
                <w:sz w:val="20"/>
                <w:szCs w:val="20"/>
                <w:color w:val="auto"/>
              </w:rPr>
            </w:pPr>
            <w:r>
              <w:rPr>
                <w:rFonts w:ascii="Arial" w:cs="Arial" w:eastAsia="Arial" w:hAnsi="Arial"/>
                <w:sz w:val="10"/>
                <w:szCs w:val="10"/>
                <w:color w:val="auto"/>
              </w:rPr>
              <w:t>-</w:t>
            </w:r>
          </w:p>
        </w:tc>
        <w:tc>
          <w:tcPr>
            <w:tcW w:w="1040" w:type="dxa"/>
            <w:vAlign w:val="bottom"/>
            <w:gridSpan w:val="2"/>
          </w:tcPr>
          <w:p>
            <w:pPr>
              <w:jc w:val="right"/>
              <w:ind w:right="215"/>
              <w:spacing w:after="0"/>
              <w:rPr>
                <w:sz w:val="20"/>
                <w:szCs w:val="20"/>
                <w:color w:val="auto"/>
              </w:rPr>
            </w:pPr>
            <w:r>
              <w:rPr>
                <w:rFonts w:ascii="Arial" w:cs="Arial" w:eastAsia="Arial" w:hAnsi="Arial"/>
                <w:sz w:val="10"/>
                <w:szCs w:val="10"/>
                <w:color w:val="auto"/>
              </w:rPr>
              <w:t>-</w:t>
            </w:r>
          </w:p>
        </w:tc>
        <w:tc>
          <w:tcPr>
            <w:tcW w:w="1040" w:type="dxa"/>
            <w:vAlign w:val="bottom"/>
            <w:gridSpan w:val="2"/>
          </w:tcPr>
          <w:p>
            <w:pPr>
              <w:jc w:val="right"/>
              <w:ind w:right="220"/>
              <w:spacing w:after="0"/>
              <w:rPr>
                <w:sz w:val="20"/>
                <w:szCs w:val="20"/>
                <w:color w:val="auto"/>
              </w:rPr>
            </w:pPr>
            <w:r>
              <w:rPr>
                <w:rFonts w:ascii="Arial" w:cs="Arial" w:eastAsia="Arial" w:hAnsi="Arial"/>
                <w:sz w:val="10"/>
                <w:szCs w:val="10"/>
                <w:color w:val="auto"/>
              </w:rPr>
              <w:t>-</w:t>
            </w:r>
          </w:p>
        </w:tc>
        <w:tc>
          <w:tcPr>
            <w:tcW w:w="1040" w:type="dxa"/>
            <w:vAlign w:val="bottom"/>
            <w:gridSpan w:val="2"/>
          </w:tcPr>
          <w:p>
            <w:pPr>
              <w:jc w:val="right"/>
              <w:ind w:right="220"/>
              <w:spacing w:after="0"/>
              <w:rPr>
                <w:sz w:val="20"/>
                <w:szCs w:val="20"/>
                <w:color w:val="auto"/>
              </w:rPr>
            </w:pPr>
            <w:r>
              <w:rPr>
                <w:rFonts w:ascii="Arial" w:cs="Arial" w:eastAsia="Arial" w:hAnsi="Arial"/>
                <w:sz w:val="10"/>
                <w:szCs w:val="10"/>
                <w:color w:val="auto"/>
              </w:rPr>
              <w:t>-</w:t>
            </w:r>
          </w:p>
        </w:tc>
        <w:tc>
          <w:tcPr>
            <w:tcW w:w="820" w:type="dxa"/>
            <w:vAlign w:val="bottom"/>
          </w:tcPr>
          <w:p>
            <w:pPr>
              <w:jc w:val="right"/>
              <w:spacing w:after="0"/>
              <w:rPr>
                <w:sz w:val="20"/>
                <w:szCs w:val="20"/>
                <w:color w:val="auto"/>
              </w:rPr>
            </w:pPr>
            <w:r>
              <w:rPr>
                <w:rFonts w:ascii="Arial" w:cs="Arial" w:eastAsia="Arial" w:hAnsi="Arial"/>
                <w:sz w:val="10"/>
                <w:szCs w:val="10"/>
                <w:color w:val="auto"/>
              </w:rPr>
              <w:t>-</w:t>
            </w:r>
          </w:p>
        </w:tc>
        <w:tc>
          <w:tcPr>
            <w:tcW w:w="220" w:type="dxa"/>
            <w:vAlign w:val="bottom"/>
          </w:tcPr>
          <w:p>
            <w:pPr>
              <w:spacing w:after="0"/>
              <w:rPr>
                <w:sz w:val="10"/>
                <w:szCs w:val="10"/>
                <w:color w:val="auto"/>
              </w:rPr>
            </w:pPr>
          </w:p>
        </w:tc>
        <w:tc>
          <w:tcPr>
            <w:tcW w:w="1040" w:type="dxa"/>
            <w:vAlign w:val="bottom"/>
            <w:gridSpan w:val="2"/>
          </w:tcPr>
          <w:p>
            <w:pPr>
              <w:jc w:val="right"/>
              <w:ind w:right="200"/>
              <w:spacing w:after="0"/>
              <w:rPr>
                <w:sz w:val="20"/>
                <w:szCs w:val="20"/>
                <w:color w:val="auto"/>
              </w:rPr>
            </w:pPr>
            <w:r>
              <w:rPr>
                <w:rFonts w:ascii="Arial" w:cs="Arial" w:eastAsia="Arial" w:hAnsi="Arial"/>
                <w:sz w:val="10"/>
                <w:szCs w:val="10"/>
                <w:color w:val="auto"/>
              </w:rPr>
              <w:t>(61,035)</w:t>
            </w:r>
          </w:p>
        </w:tc>
        <w:tc>
          <w:tcPr>
            <w:tcW w:w="800" w:type="dxa"/>
            <w:vAlign w:val="bottom"/>
          </w:tcPr>
          <w:p>
            <w:pPr>
              <w:jc w:val="right"/>
              <w:spacing w:after="0"/>
              <w:rPr>
                <w:sz w:val="20"/>
                <w:szCs w:val="20"/>
                <w:color w:val="auto"/>
              </w:rPr>
            </w:pPr>
            <w:r>
              <w:rPr>
                <w:rFonts w:ascii="Arial" w:cs="Arial" w:eastAsia="Arial" w:hAnsi="Arial"/>
                <w:sz w:val="10"/>
                <w:szCs w:val="10"/>
                <w:color w:val="auto"/>
              </w:rPr>
              <w:t>-</w:t>
            </w:r>
          </w:p>
        </w:tc>
        <w:tc>
          <w:tcPr>
            <w:tcW w:w="220" w:type="dxa"/>
            <w:vAlign w:val="bottom"/>
          </w:tcPr>
          <w:p>
            <w:pPr>
              <w:spacing w:after="0"/>
              <w:rPr>
                <w:sz w:val="10"/>
                <w:szCs w:val="10"/>
                <w:color w:val="auto"/>
              </w:rPr>
            </w:pPr>
          </w:p>
        </w:tc>
        <w:tc>
          <w:tcPr>
            <w:tcW w:w="900" w:type="dxa"/>
            <w:vAlign w:val="bottom"/>
            <w:gridSpan w:val="2"/>
          </w:tcPr>
          <w:p>
            <w:pPr>
              <w:jc w:val="right"/>
              <w:ind w:right="80"/>
              <w:spacing w:after="0"/>
              <w:rPr>
                <w:sz w:val="20"/>
                <w:szCs w:val="20"/>
                <w:color w:val="auto"/>
              </w:rPr>
            </w:pPr>
            <w:r>
              <w:rPr>
                <w:rFonts w:ascii="Arial" w:cs="Arial" w:eastAsia="Arial" w:hAnsi="Arial"/>
                <w:sz w:val="10"/>
                <w:szCs w:val="10"/>
                <w:color w:val="auto"/>
              </w:rPr>
              <w:t>(61,035)</w:t>
            </w:r>
          </w:p>
        </w:tc>
        <w:tc>
          <w:tcPr>
            <w:tcW w:w="0" w:type="dxa"/>
            <w:vAlign w:val="bottom"/>
          </w:tcPr>
          <w:p>
            <w:pPr>
              <w:spacing w:after="0"/>
              <w:rPr>
                <w:sz w:val="1"/>
                <w:szCs w:val="1"/>
                <w:color w:val="auto"/>
              </w:rPr>
            </w:pPr>
          </w:p>
        </w:tc>
      </w:tr>
      <w:tr>
        <w:trPr>
          <w:trHeight w:val="114"/>
        </w:trPr>
        <w:tc>
          <w:tcPr>
            <w:tcW w:w="20" w:type="dxa"/>
            <w:vAlign w:val="bottom"/>
          </w:tcPr>
          <w:p>
            <w:pPr>
              <w:spacing w:after="0"/>
              <w:rPr>
                <w:sz w:val="9"/>
                <w:szCs w:val="9"/>
                <w:color w:val="auto"/>
              </w:rPr>
            </w:pPr>
          </w:p>
        </w:tc>
        <w:tc>
          <w:tcPr>
            <w:tcW w:w="3300" w:type="dxa"/>
            <w:vAlign w:val="bottom"/>
            <w:tcBorders>
              <w:top w:val="single" w:sz="8" w:color="CCEEFF"/>
              <w:bottom w:val="single" w:sz="8" w:color="CCEEFF"/>
            </w:tcBorders>
            <w:shd w:val="clear" w:color="auto" w:fill="CCEEFF"/>
          </w:tcPr>
          <w:p>
            <w:pPr>
              <w:spacing w:after="0" w:line="105" w:lineRule="exact"/>
              <w:rPr>
                <w:sz w:val="20"/>
                <w:szCs w:val="20"/>
                <w:color w:val="auto"/>
              </w:rPr>
            </w:pPr>
            <w:r>
              <w:rPr>
                <w:rFonts w:ascii="Arial" w:cs="Arial" w:eastAsia="Arial" w:hAnsi="Arial"/>
                <w:sz w:val="10"/>
                <w:szCs w:val="10"/>
                <w:b w:val="1"/>
                <w:bCs w:val="1"/>
                <w:color w:val="auto"/>
              </w:rPr>
              <w:t>Balances at December 31, 2018</w:t>
            </w:r>
          </w:p>
        </w:tc>
        <w:tc>
          <w:tcPr>
            <w:tcW w:w="82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Arial" w:cs="Arial" w:eastAsia="Arial" w:hAnsi="Arial"/>
                <w:sz w:val="10"/>
                <w:szCs w:val="10"/>
                <w:color w:val="auto"/>
              </w:rPr>
              <w:t>279,980</w:t>
            </w:r>
          </w:p>
        </w:tc>
        <w:tc>
          <w:tcPr>
            <w:tcW w:w="220" w:type="dxa"/>
            <w:vAlign w:val="bottom"/>
            <w:tcBorders>
              <w:top w:val="single" w:sz="8" w:color="CCEEFF"/>
              <w:bottom w:val="single" w:sz="8" w:color="CCEEFF"/>
            </w:tcBorders>
            <w:shd w:val="clear" w:color="auto" w:fill="CCEEFF"/>
          </w:tcPr>
          <w:p>
            <w:pPr>
              <w:spacing w:after="0"/>
              <w:rPr>
                <w:sz w:val="9"/>
                <w:szCs w:val="9"/>
                <w:color w:val="auto"/>
              </w:rPr>
            </w:pPr>
          </w:p>
        </w:tc>
        <w:tc>
          <w:tcPr>
            <w:tcW w:w="82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Arial" w:cs="Arial" w:eastAsia="Arial" w:hAnsi="Arial"/>
                <w:sz w:val="10"/>
                <w:szCs w:val="10"/>
                <w:color w:val="auto"/>
              </w:rPr>
              <w:t>(61,076</w:t>
            </w:r>
          </w:p>
        </w:tc>
        <w:tc>
          <w:tcPr>
            <w:tcW w:w="220" w:type="dxa"/>
            <w:vAlign w:val="bottom"/>
            <w:tcBorders>
              <w:top w:val="single" w:sz="8" w:color="CCEEFF"/>
              <w:bottom w:val="single" w:sz="8" w:color="CCEEFF"/>
            </w:tcBorders>
            <w:shd w:val="clear" w:color="auto" w:fill="CCEEFF"/>
          </w:tcPr>
          <w:p>
            <w:pPr>
              <w:jc w:val="right"/>
              <w:ind w:right="195"/>
              <w:spacing w:after="0"/>
              <w:rPr>
                <w:sz w:val="20"/>
                <w:szCs w:val="20"/>
                <w:color w:val="auto"/>
              </w:rPr>
            </w:pPr>
            <w:r>
              <w:rPr>
                <w:rFonts w:ascii="Arial" w:cs="Arial" w:eastAsia="Arial" w:hAnsi="Arial"/>
                <w:sz w:val="1"/>
                <w:szCs w:val="1"/>
                <w:color w:val="auto"/>
                <w:w w:val="4294967281"/>
              </w:rPr>
              <w:t>)</w:t>
            </w:r>
          </w:p>
        </w:tc>
        <w:tc>
          <w:tcPr>
            <w:tcW w:w="82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Arial" w:cs="Arial" w:eastAsia="Arial" w:hAnsi="Arial"/>
                <w:sz w:val="10"/>
                <w:szCs w:val="10"/>
                <w:color w:val="auto"/>
              </w:rPr>
              <w:t>119,987</w:t>
            </w:r>
          </w:p>
        </w:tc>
        <w:tc>
          <w:tcPr>
            <w:tcW w:w="220" w:type="dxa"/>
            <w:vAlign w:val="bottom"/>
            <w:tcBorders>
              <w:top w:val="single" w:sz="8" w:color="CCEEFF"/>
              <w:bottom w:val="single" w:sz="8" w:color="CCEEFF"/>
            </w:tcBorders>
            <w:shd w:val="clear" w:color="auto" w:fill="CCEEFF"/>
          </w:tcPr>
          <w:p>
            <w:pPr>
              <w:spacing w:after="0"/>
              <w:rPr>
                <w:sz w:val="9"/>
                <w:szCs w:val="9"/>
                <w:color w:val="auto"/>
              </w:rPr>
            </w:pPr>
          </w:p>
        </w:tc>
        <w:tc>
          <w:tcPr>
            <w:tcW w:w="82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Arial" w:cs="Arial" w:eastAsia="Arial" w:hAnsi="Arial"/>
                <w:sz w:val="10"/>
                <w:szCs w:val="10"/>
                <w:color w:val="auto"/>
              </w:rPr>
              <w:t>95,210</w:t>
            </w:r>
          </w:p>
        </w:tc>
        <w:tc>
          <w:tcPr>
            <w:tcW w:w="220" w:type="dxa"/>
            <w:vAlign w:val="bottom"/>
            <w:tcBorders>
              <w:top w:val="single" w:sz="8" w:color="CCEEFF"/>
              <w:bottom w:val="single" w:sz="8" w:color="CCEEFF"/>
            </w:tcBorders>
            <w:shd w:val="clear" w:color="auto" w:fill="CCEEFF"/>
          </w:tcPr>
          <w:p>
            <w:pPr>
              <w:spacing w:after="0"/>
              <w:rPr>
                <w:sz w:val="9"/>
                <w:szCs w:val="9"/>
                <w:color w:val="auto"/>
              </w:rPr>
            </w:pPr>
          </w:p>
        </w:tc>
        <w:tc>
          <w:tcPr>
            <w:tcW w:w="82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Arial" w:cs="Arial" w:eastAsia="Arial" w:hAnsi="Arial"/>
                <w:sz w:val="10"/>
                <w:szCs w:val="10"/>
                <w:color w:val="auto"/>
              </w:rPr>
              <w:t>136,019</w:t>
            </w:r>
          </w:p>
        </w:tc>
        <w:tc>
          <w:tcPr>
            <w:tcW w:w="220" w:type="dxa"/>
            <w:vAlign w:val="bottom"/>
            <w:tcBorders>
              <w:top w:val="single" w:sz="8" w:color="CCEEFF"/>
              <w:bottom w:val="single" w:sz="8" w:color="CCEEFF"/>
            </w:tcBorders>
            <w:shd w:val="clear" w:color="auto" w:fill="CCEEFF"/>
          </w:tcPr>
          <w:p>
            <w:pPr>
              <w:spacing w:after="0"/>
              <w:rPr>
                <w:sz w:val="9"/>
                <w:szCs w:val="9"/>
                <w:color w:val="auto"/>
              </w:rPr>
            </w:pPr>
          </w:p>
        </w:tc>
        <w:tc>
          <w:tcPr>
            <w:tcW w:w="82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Arial" w:cs="Arial" w:eastAsia="Arial" w:hAnsi="Arial"/>
                <w:sz w:val="10"/>
                <w:szCs w:val="10"/>
                <w:color w:val="auto"/>
              </w:rPr>
              <w:t>423,050</w:t>
            </w:r>
          </w:p>
        </w:tc>
        <w:tc>
          <w:tcPr>
            <w:tcW w:w="220" w:type="dxa"/>
            <w:vAlign w:val="bottom"/>
            <w:tcBorders>
              <w:top w:val="single" w:sz="8" w:color="CCEEFF"/>
              <w:bottom w:val="single" w:sz="8" w:color="CCEEFF"/>
            </w:tcBorders>
            <w:shd w:val="clear" w:color="auto" w:fill="CCEEFF"/>
          </w:tcPr>
          <w:p>
            <w:pPr>
              <w:spacing w:after="0"/>
              <w:rPr>
                <w:sz w:val="9"/>
                <w:szCs w:val="9"/>
                <w:color w:val="auto"/>
              </w:rPr>
            </w:pPr>
          </w:p>
        </w:tc>
        <w:tc>
          <w:tcPr>
            <w:tcW w:w="80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Arial" w:cs="Arial" w:eastAsia="Arial" w:hAnsi="Arial"/>
                <w:sz w:val="10"/>
                <w:szCs w:val="10"/>
                <w:color w:val="auto"/>
              </w:rPr>
              <w:t>420</w:t>
            </w:r>
          </w:p>
        </w:tc>
        <w:tc>
          <w:tcPr>
            <w:tcW w:w="220" w:type="dxa"/>
            <w:vAlign w:val="bottom"/>
            <w:tcBorders>
              <w:top w:val="single" w:sz="8" w:color="CCEEFF"/>
              <w:bottom w:val="single" w:sz="8" w:color="CCEEFF"/>
            </w:tcBorders>
            <w:shd w:val="clear" w:color="auto" w:fill="CCEEFF"/>
          </w:tcPr>
          <w:p>
            <w:pPr>
              <w:spacing w:after="0"/>
              <w:rPr>
                <w:sz w:val="9"/>
                <w:szCs w:val="9"/>
                <w:color w:val="auto"/>
              </w:rPr>
            </w:pPr>
          </w:p>
        </w:tc>
        <w:tc>
          <w:tcPr>
            <w:tcW w:w="780" w:type="dxa"/>
            <w:vAlign w:val="bottom"/>
            <w:tcBorders>
              <w:top w:val="single" w:sz="8" w:color="auto"/>
              <w:bottom w:val="single" w:sz="8" w:color="auto"/>
            </w:tcBorders>
            <w:shd w:val="clear" w:color="auto" w:fill="CCEEFF"/>
          </w:tcPr>
          <w:p>
            <w:pPr>
              <w:jc w:val="right"/>
              <w:spacing w:after="0" w:line="105" w:lineRule="exact"/>
              <w:rPr>
                <w:sz w:val="20"/>
                <w:szCs w:val="20"/>
                <w:color w:val="auto"/>
              </w:rPr>
            </w:pPr>
            <w:r>
              <w:rPr>
                <w:rFonts w:ascii="Arial" w:cs="Arial" w:eastAsia="Arial" w:hAnsi="Arial"/>
                <w:sz w:val="10"/>
                <w:szCs w:val="10"/>
                <w:color w:val="auto"/>
              </w:rPr>
              <w:t>993,590</w:t>
            </w:r>
          </w:p>
        </w:tc>
        <w:tc>
          <w:tcPr>
            <w:tcW w:w="120" w:type="dxa"/>
            <w:vAlign w:val="bottom"/>
            <w:tcBorders>
              <w:top w:val="single" w:sz="8" w:color="CCEEFF"/>
              <w:bottom w:val="single" w:sz="8" w:color="CCEEFF"/>
            </w:tcBorders>
            <w:shd w:val="clear" w:color="auto" w:fill="CCEEFF"/>
          </w:tcPr>
          <w:p>
            <w:pPr>
              <w:spacing w:after="0"/>
              <w:rPr>
                <w:sz w:val="9"/>
                <w:szCs w:val="9"/>
                <w:color w:val="auto"/>
              </w:rPr>
            </w:pPr>
          </w:p>
        </w:tc>
        <w:tc>
          <w:tcPr>
            <w:tcW w:w="0" w:type="dxa"/>
            <w:vAlign w:val="bottom"/>
          </w:tcPr>
          <w:p>
            <w:pPr>
              <w:spacing w:after="0"/>
              <w:rPr>
                <w:sz w:val="1"/>
                <w:szCs w:val="1"/>
                <w:color w:val="auto"/>
              </w:rPr>
            </w:pPr>
          </w:p>
        </w:tc>
      </w:tr>
    </w:tbl>
    <w:p>
      <w:pPr>
        <w:spacing w:after="0" w:line="145" w:lineRule="exact"/>
        <w:rPr>
          <w:sz w:val="20"/>
          <w:szCs w:val="20"/>
          <w:color w:val="auto"/>
        </w:rPr>
      </w:pPr>
    </w:p>
    <w:p>
      <w:pPr>
        <w:spacing w:after="0"/>
        <w:rPr>
          <w:sz w:val="20"/>
          <w:szCs w:val="20"/>
          <w:color w:val="auto"/>
        </w:rPr>
      </w:pPr>
      <w:r>
        <w:rPr>
          <w:rFonts w:ascii="Arial" w:cs="Arial" w:eastAsia="Arial" w:hAnsi="Arial"/>
          <w:sz w:val="13"/>
          <w:szCs w:val="13"/>
          <w:color w:val="auto"/>
        </w:rPr>
        <w:t>The accompanying notes are an integral part of these consolidated financial statements.</w:t>
      </w:r>
    </w:p>
    <w:p>
      <w:pPr>
        <w:spacing w:after="0" w:line="313"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F-8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6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5" w:right="199" w:bottom="1440" w:gutter="0" w:footer="0" w:header="0"/>
        </w:sectPr>
      </w:pPr>
    </w:p>
    <w:bookmarkStart w:id="133" w:name="page134"/>
    <w:bookmarkEnd w:id="133"/>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4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Consolidated statement of cash flows</w:t>
      </w:r>
    </w:p>
    <w:p>
      <w:pPr>
        <w:spacing w:after="0" w:line="17"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For the year ended December 31, 2018</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6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7100" w:type="dxa"/>
            <w:vAlign w:val="bottom"/>
          </w:tcPr>
          <w:p>
            <w:pPr>
              <w:spacing w:after="0"/>
              <w:rPr>
                <w:sz w:val="14"/>
                <w:szCs w:val="14"/>
                <w:color w:val="auto"/>
              </w:rPr>
            </w:pPr>
          </w:p>
        </w:tc>
        <w:tc>
          <w:tcPr>
            <w:tcW w:w="1280" w:type="dxa"/>
            <w:vAlign w:val="bottom"/>
            <w:tcBorders>
              <w:bottom w:val="single" w:sz="8" w:color="auto"/>
            </w:tcBorders>
          </w:tcPr>
          <w:p>
            <w:pPr>
              <w:jc w:val="right"/>
              <w:ind w:right="456"/>
              <w:spacing w:after="0"/>
              <w:rPr>
                <w:sz w:val="20"/>
                <w:szCs w:val="20"/>
                <w:color w:val="auto"/>
              </w:rPr>
            </w:pPr>
            <w:r>
              <w:rPr>
                <w:rFonts w:ascii="Arial" w:cs="Arial" w:eastAsia="Arial" w:hAnsi="Arial"/>
                <w:sz w:val="13"/>
                <w:szCs w:val="13"/>
                <w:b w:val="1"/>
                <w:bCs w:val="1"/>
                <w:color w:val="auto"/>
              </w:rPr>
              <w:t>2018</w:t>
            </w:r>
          </w:p>
        </w:tc>
        <w:tc>
          <w:tcPr>
            <w:tcW w:w="220" w:type="dxa"/>
            <w:vAlign w:val="bottom"/>
          </w:tcPr>
          <w:p>
            <w:pPr>
              <w:spacing w:after="0"/>
              <w:rPr>
                <w:sz w:val="14"/>
                <w:szCs w:val="14"/>
                <w:color w:val="auto"/>
              </w:rPr>
            </w:pPr>
          </w:p>
        </w:tc>
        <w:tc>
          <w:tcPr>
            <w:tcW w:w="1280" w:type="dxa"/>
            <w:vAlign w:val="bottom"/>
            <w:tcBorders>
              <w:bottom w:val="single" w:sz="8" w:color="auto"/>
            </w:tcBorders>
          </w:tcPr>
          <w:p>
            <w:pPr>
              <w:jc w:val="right"/>
              <w:ind w:right="456"/>
              <w:spacing w:after="0"/>
              <w:rPr>
                <w:sz w:val="20"/>
                <w:szCs w:val="20"/>
                <w:color w:val="auto"/>
              </w:rPr>
            </w:pPr>
            <w:r>
              <w:rPr>
                <w:rFonts w:ascii="Arial" w:cs="Arial" w:eastAsia="Arial" w:hAnsi="Arial"/>
                <w:sz w:val="13"/>
                <w:szCs w:val="13"/>
                <w:b w:val="1"/>
                <w:bCs w:val="1"/>
                <w:color w:val="auto"/>
              </w:rPr>
              <w:t>2017</w:t>
            </w:r>
          </w:p>
        </w:tc>
        <w:tc>
          <w:tcPr>
            <w:tcW w:w="220" w:type="dxa"/>
            <w:vAlign w:val="bottom"/>
          </w:tcPr>
          <w:p>
            <w:pPr>
              <w:spacing w:after="0"/>
              <w:rPr>
                <w:sz w:val="14"/>
                <w:szCs w:val="14"/>
                <w:color w:val="auto"/>
              </w:rPr>
            </w:pPr>
          </w:p>
        </w:tc>
        <w:tc>
          <w:tcPr>
            <w:tcW w:w="1240" w:type="dxa"/>
            <w:vAlign w:val="bottom"/>
            <w:tcBorders>
              <w:bottom w:val="single" w:sz="8" w:color="auto"/>
            </w:tcBorders>
          </w:tcPr>
          <w:p>
            <w:pPr>
              <w:jc w:val="right"/>
              <w:ind w:right="436"/>
              <w:spacing w:after="0"/>
              <w:rPr>
                <w:sz w:val="20"/>
                <w:szCs w:val="20"/>
                <w:color w:val="auto"/>
              </w:rPr>
            </w:pPr>
            <w:r>
              <w:rPr>
                <w:rFonts w:ascii="Arial" w:cs="Arial" w:eastAsia="Arial" w:hAnsi="Arial"/>
                <w:sz w:val="13"/>
                <w:szCs w:val="13"/>
                <w:b w:val="1"/>
                <w:bCs w:val="1"/>
                <w:color w:val="auto"/>
              </w:rPr>
              <w:t>2016</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710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10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Cash flows from operating activities</w:t>
            </w: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spacing w:after="0"/>
              <w:rPr>
                <w:sz w:val="20"/>
                <w:szCs w:val="20"/>
                <w:color w:val="auto"/>
              </w:rPr>
            </w:pPr>
            <w:r>
              <w:rPr>
                <w:rFonts w:ascii="Arial" w:cs="Arial" w:eastAsia="Arial" w:hAnsi="Arial"/>
                <w:sz w:val="13"/>
                <w:szCs w:val="13"/>
                <w:color w:val="auto"/>
              </w:rPr>
              <w:t>Profit for the year</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11,138</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81,999</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87,045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Adjustments to reconcile profit for the year to net cash provided by (used in) operating activities:</w:t>
            </w: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spacing w:after="0"/>
              <w:rPr>
                <w:sz w:val="20"/>
                <w:szCs w:val="20"/>
                <w:color w:val="auto"/>
              </w:rPr>
            </w:pPr>
            <w:r>
              <w:rPr>
                <w:rFonts w:ascii="Arial" w:cs="Arial" w:eastAsia="Arial" w:hAnsi="Arial"/>
                <w:sz w:val="13"/>
                <w:szCs w:val="13"/>
                <w:color w:val="auto"/>
              </w:rPr>
              <w:t>Net changes in hedging position</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12,403</w:t>
            </w:r>
          </w:p>
        </w:tc>
        <w:tc>
          <w:tcPr>
            <w:tcW w:w="1500" w:type="dxa"/>
            <w:vAlign w:val="bottom"/>
            <w:gridSpan w:val="2"/>
          </w:tcPr>
          <w:p>
            <w:pPr>
              <w:jc w:val="right"/>
              <w:ind w:right="180"/>
              <w:spacing w:after="0"/>
              <w:rPr>
                <w:sz w:val="20"/>
                <w:szCs w:val="20"/>
                <w:color w:val="auto"/>
              </w:rPr>
            </w:pPr>
            <w:r>
              <w:rPr>
                <w:rFonts w:ascii="Arial" w:cs="Arial" w:eastAsia="Arial" w:hAnsi="Arial"/>
                <w:sz w:val="13"/>
                <w:szCs w:val="13"/>
                <w:color w:val="auto"/>
              </w:rPr>
              <w:t>(1,833)</w:t>
            </w:r>
          </w:p>
        </w:tc>
        <w:tc>
          <w:tcPr>
            <w:tcW w:w="1360" w:type="dxa"/>
            <w:vAlign w:val="bottom"/>
            <w:gridSpan w:val="2"/>
          </w:tcPr>
          <w:p>
            <w:pPr>
              <w:jc w:val="right"/>
              <w:ind w:right="80"/>
              <w:spacing w:after="0"/>
              <w:rPr>
                <w:sz w:val="20"/>
                <w:szCs w:val="20"/>
                <w:color w:val="auto"/>
              </w:rPr>
            </w:pPr>
            <w:r>
              <w:rPr>
                <w:rFonts w:ascii="Arial" w:cs="Arial" w:eastAsia="Arial" w:hAnsi="Arial"/>
                <w:sz w:val="13"/>
                <w:szCs w:val="13"/>
                <w:color w:val="auto"/>
              </w:rPr>
              <w:t>(24,836)</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spacing w:after="0"/>
              <w:rPr>
                <w:sz w:val="20"/>
                <w:szCs w:val="20"/>
                <w:color w:val="auto"/>
              </w:rPr>
            </w:pPr>
            <w:r>
              <w:rPr>
                <w:rFonts w:ascii="Arial" w:cs="Arial" w:eastAsia="Arial" w:hAnsi="Arial"/>
                <w:sz w:val="13"/>
                <w:szCs w:val="13"/>
                <w:color w:val="auto"/>
              </w:rPr>
              <w:t>Depreciation of equipment and leasehold improvements</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1,282</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1,578</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1,457</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spacing w:after="0"/>
              <w:rPr>
                <w:sz w:val="20"/>
                <w:szCs w:val="20"/>
                <w:color w:val="auto"/>
              </w:rPr>
            </w:pPr>
            <w:r>
              <w:rPr>
                <w:rFonts w:ascii="Arial" w:cs="Arial" w:eastAsia="Arial" w:hAnsi="Arial"/>
                <w:sz w:val="13"/>
                <w:szCs w:val="13"/>
                <w:color w:val="auto"/>
              </w:rPr>
              <w:t>Amortization of intangible assets</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1,176</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838</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629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spacing w:after="0"/>
              <w:rPr>
                <w:sz w:val="20"/>
                <w:szCs w:val="20"/>
                <w:color w:val="auto"/>
              </w:rPr>
            </w:pPr>
            <w:r>
              <w:rPr>
                <w:rFonts w:ascii="Arial" w:cs="Arial" w:eastAsia="Arial" w:hAnsi="Arial"/>
                <w:sz w:val="13"/>
                <w:szCs w:val="13"/>
                <w:color w:val="auto"/>
              </w:rPr>
              <w:t>Loss for disposal of equipment and leasehold improvements</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24</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2,205</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140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spacing w:after="0"/>
              <w:rPr>
                <w:sz w:val="20"/>
                <w:szCs w:val="20"/>
                <w:color w:val="auto"/>
              </w:rPr>
            </w:pPr>
            <w:r>
              <w:rPr>
                <w:rFonts w:ascii="Arial" w:cs="Arial" w:eastAsia="Arial" w:hAnsi="Arial"/>
                <w:sz w:val="13"/>
                <w:szCs w:val="13"/>
                <w:color w:val="auto"/>
              </w:rPr>
              <w:t>Loss for derecognition of intangible assets</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2,705</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16</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spacing w:after="0"/>
              <w:rPr>
                <w:sz w:val="20"/>
                <w:szCs w:val="20"/>
                <w:color w:val="auto"/>
              </w:rPr>
            </w:pPr>
            <w:r>
              <w:rPr>
                <w:rFonts w:ascii="Arial" w:cs="Arial" w:eastAsia="Arial" w:hAnsi="Arial"/>
                <w:sz w:val="13"/>
                <w:szCs w:val="13"/>
                <w:color w:val="auto"/>
              </w:rPr>
              <w:t>Impairment on investment properties at fair value through profit or loss</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3,849</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spacing w:after="0"/>
              <w:rPr>
                <w:sz w:val="20"/>
                <w:szCs w:val="20"/>
                <w:color w:val="auto"/>
              </w:rPr>
            </w:pPr>
            <w:r>
              <w:rPr>
                <w:rFonts w:ascii="Arial" w:cs="Arial" w:eastAsia="Arial" w:hAnsi="Arial"/>
                <w:sz w:val="13"/>
                <w:szCs w:val="13"/>
                <w:color w:val="auto"/>
              </w:rPr>
              <w:t>Impairment loss on financial instruments</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57,515</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9,439</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35,115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spacing w:after="0"/>
              <w:rPr>
                <w:sz w:val="20"/>
                <w:szCs w:val="20"/>
                <w:color w:val="auto"/>
              </w:rPr>
            </w:pPr>
            <w:r>
              <w:rPr>
                <w:rFonts w:ascii="Arial" w:cs="Arial" w:eastAsia="Arial" w:hAnsi="Arial"/>
                <w:sz w:val="13"/>
                <w:szCs w:val="13"/>
                <w:color w:val="auto"/>
              </w:rPr>
              <w:t>(Gain) loss, net on sale of financial assets at fair value through OCI</w:t>
            </w:r>
          </w:p>
        </w:tc>
        <w:tc>
          <w:tcPr>
            <w:tcW w:w="15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(194)</w:t>
            </w:r>
          </w:p>
        </w:tc>
        <w:tc>
          <w:tcPr>
            <w:tcW w:w="15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(249)</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356</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spacing w:after="0"/>
              <w:rPr>
                <w:sz w:val="20"/>
                <w:szCs w:val="20"/>
                <w:color w:val="auto"/>
              </w:rPr>
            </w:pPr>
            <w:r>
              <w:rPr>
                <w:rFonts w:ascii="Arial" w:cs="Arial" w:eastAsia="Arial" w:hAnsi="Arial"/>
                <w:sz w:val="13"/>
                <w:szCs w:val="13"/>
                <w:color w:val="auto"/>
              </w:rPr>
              <w:t>Amortization of premium and discount related to securities at amortized cost</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698</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732</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965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spacing w:after="0"/>
              <w:rPr>
                <w:sz w:val="20"/>
                <w:szCs w:val="20"/>
                <w:color w:val="auto"/>
              </w:rPr>
            </w:pPr>
            <w:r>
              <w:rPr>
                <w:rFonts w:ascii="Arial" w:cs="Arial" w:eastAsia="Arial" w:hAnsi="Arial"/>
                <w:sz w:val="13"/>
                <w:szCs w:val="13"/>
                <w:color w:val="auto"/>
              </w:rPr>
              <w:t>Impairment loss on other assets</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3,464</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spacing w:after="0"/>
              <w:rPr>
                <w:sz w:val="20"/>
                <w:szCs w:val="20"/>
                <w:color w:val="auto"/>
              </w:rPr>
            </w:pPr>
            <w:r>
              <w:rPr>
                <w:rFonts w:ascii="Arial" w:cs="Arial" w:eastAsia="Arial" w:hAnsi="Arial"/>
                <w:sz w:val="13"/>
                <w:szCs w:val="13"/>
                <w:color w:val="auto"/>
              </w:rPr>
              <w:t>Compensation cost - share-based payment</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1,051</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296</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3,063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spacing w:after="0"/>
              <w:rPr>
                <w:sz w:val="20"/>
                <w:szCs w:val="20"/>
                <w:color w:val="auto"/>
              </w:rPr>
            </w:pPr>
            <w:r>
              <w:rPr>
                <w:rFonts w:ascii="Arial" w:cs="Arial" w:eastAsia="Arial" w:hAnsi="Arial"/>
                <w:sz w:val="13"/>
                <w:szCs w:val="13"/>
                <w:color w:val="auto"/>
              </w:rPr>
              <w:t>Interest income</w:t>
            </w:r>
          </w:p>
        </w:tc>
        <w:tc>
          <w:tcPr>
            <w:tcW w:w="15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(258,490)</w:t>
            </w:r>
          </w:p>
        </w:tc>
        <w:tc>
          <w:tcPr>
            <w:tcW w:w="15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(226,079)</w:t>
            </w:r>
          </w:p>
        </w:tc>
        <w:tc>
          <w:tcPr>
            <w:tcW w:w="13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(245,898)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spacing w:after="0"/>
              <w:rPr>
                <w:sz w:val="20"/>
                <w:szCs w:val="20"/>
                <w:color w:val="auto"/>
              </w:rPr>
            </w:pPr>
            <w:r>
              <w:rPr>
                <w:rFonts w:ascii="Arial" w:cs="Arial" w:eastAsia="Arial" w:hAnsi="Arial"/>
                <w:sz w:val="13"/>
                <w:szCs w:val="13"/>
                <w:color w:val="auto"/>
              </w:rPr>
              <w:t>Interest expense</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148,747</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106,264</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90,689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Net decrease (increase) in operating assets:</w:t>
            </w: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spacing w:after="0"/>
              <w:rPr>
                <w:sz w:val="20"/>
                <w:szCs w:val="20"/>
                <w:color w:val="auto"/>
              </w:rPr>
            </w:pPr>
            <w:r>
              <w:rPr>
                <w:rFonts w:ascii="Arial" w:cs="Arial" w:eastAsia="Arial" w:hAnsi="Arial"/>
                <w:sz w:val="13"/>
                <w:szCs w:val="13"/>
                <w:color w:val="auto"/>
              </w:rPr>
              <w:t>Pledged deposits</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13,781</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8,571</w:t>
            </w:r>
          </w:p>
        </w:tc>
        <w:tc>
          <w:tcPr>
            <w:tcW w:w="1360" w:type="dxa"/>
            <w:vAlign w:val="bottom"/>
            <w:gridSpan w:val="2"/>
          </w:tcPr>
          <w:p>
            <w:pPr>
              <w:jc w:val="right"/>
              <w:ind w:right="80"/>
              <w:spacing w:after="0"/>
              <w:rPr>
                <w:sz w:val="20"/>
                <w:szCs w:val="20"/>
                <w:color w:val="auto"/>
              </w:rPr>
            </w:pPr>
            <w:r>
              <w:rPr>
                <w:rFonts w:ascii="Arial" w:cs="Arial" w:eastAsia="Arial" w:hAnsi="Arial"/>
                <w:sz w:val="13"/>
                <w:szCs w:val="13"/>
                <w:color w:val="auto"/>
              </w:rPr>
              <w:t>(29,148)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spacing w:after="0"/>
              <w:rPr>
                <w:sz w:val="20"/>
                <w:szCs w:val="20"/>
                <w:color w:val="auto"/>
              </w:rPr>
            </w:pPr>
            <w:r>
              <w:rPr>
                <w:rFonts w:ascii="Arial" w:cs="Arial" w:eastAsia="Arial" w:hAnsi="Arial"/>
                <w:sz w:val="13"/>
                <w:szCs w:val="13"/>
                <w:color w:val="auto"/>
              </w:rPr>
              <w:t>Financial instruments at fair value through profit or loss</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53,411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spacing w:after="0"/>
              <w:rPr>
                <w:sz w:val="20"/>
                <w:szCs w:val="20"/>
                <w:color w:val="auto"/>
              </w:rPr>
            </w:pPr>
            <w:r>
              <w:rPr>
                <w:rFonts w:ascii="Arial" w:cs="Arial" w:eastAsia="Arial" w:hAnsi="Arial"/>
                <w:sz w:val="13"/>
                <w:szCs w:val="13"/>
                <w:color w:val="auto"/>
              </w:rPr>
              <w:t>Loans</w:t>
            </w:r>
          </w:p>
        </w:tc>
        <w:tc>
          <w:tcPr>
            <w:tcW w:w="1500" w:type="dxa"/>
            <w:vAlign w:val="bottom"/>
            <w:gridSpan w:val="2"/>
          </w:tcPr>
          <w:p>
            <w:pPr>
              <w:jc w:val="right"/>
              <w:ind w:right="180"/>
              <w:spacing w:after="0"/>
              <w:rPr>
                <w:sz w:val="20"/>
                <w:szCs w:val="20"/>
                <w:color w:val="auto"/>
              </w:rPr>
            </w:pPr>
            <w:r>
              <w:rPr>
                <w:rFonts w:ascii="Arial" w:cs="Arial" w:eastAsia="Arial" w:hAnsi="Arial"/>
                <w:sz w:val="13"/>
                <w:szCs w:val="13"/>
                <w:color w:val="auto"/>
              </w:rPr>
              <w:t>(305,464)</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479,226</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650,217</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spacing w:after="0"/>
              <w:rPr>
                <w:sz w:val="20"/>
                <w:szCs w:val="20"/>
                <w:color w:val="auto"/>
              </w:rPr>
            </w:pPr>
            <w:r>
              <w:rPr>
                <w:rFonts w:ascii="Arial" w:cs="Arial" w:eastAsia="Arial" w:hAnsi="Arial"/>
                <w:sz w:val="13"/>
                <w:szCs w:val="13"/>
                <w:color w:val="auto"/>
              </w:rPr>
              <w:t>Other assets</w:t>
            </w:r>
          </w:p>
        </w:tc>
        <w:tc>
          <w:tcPr>
            <w:tcW w:w="15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(6,449)</w:t>
            </w:r>
          </w:p>
        </w:tc>
        <w:tc>
          <w:tcPr>
            <w:tcW w:w="15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(269)</w:t>
            </w:r>
          </w:p>
        </w:tc>
        <w:tc>
          <w:tcPr>
            <w:tcW w:w="13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spacing w:after="0"/>
              <w:rPr>
                <w:sz w:val="20"/>
                <w:szCs w:val="20"/>
                <w:color w:val="auto"/>
              </w:rPr>
            </w:pPr>
            <w:r>
              <w:rPr>
                <w:rFonts w:ascii="Arial" w:cs="Arial" w:eastAsia="Arial" w:hAnsi="Arial"/>
                <w:sz w:val="13"/>
                <w:szCs w:val="13"/>
                <w:b w:val="1"/>
                <w:bCs w:val="1"/>
                <w:color w:val="auto"/>
              </w:rPr>
              <w:t>Net increase (decrease) in operating liabilities:</w:t>
            </w: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spacing w:after="0"/>
              <w:rPr>
                <w:sz w:val="20"/>
                <w:szCs w:val="20"/>
                <w:color w:val="auto"/>
              </w:rPr>
            </w:pPr>
            <w:r>
              <w:rPr>
                <w:rFonts w:ascii="Arial" w:cs="Arial" w:eastAsia="Arial" w:hAnsi="Arial"/>
                <w:sz w:val="13"/>
                <w:szCs w:val="13"/>
                <w:color w:val="auto"/>
              </w:rPr>
              <w:t>Due to depositors</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41,978</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125,992</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7,383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spacing w:after="0"/>
              <w:rPr>
                <w:sz w:val="20"/>
                <w:szCs w:val="20"/>
                <w:color w:val="auto"/>
              </w:rPr>
            </w:pPr>
            <w:r>
              <w:rPr>
                <w:rFonts w:ascii="Arial" w:cs="Arial" w:eastAsia="Arial" w:hAnsi="Arial"/>
                <w:sz w:val="13"/>
                <w:szCs w:val="13"/>
                <w:color w:val="auto"/>
              </w:rPr>
              <w:t>Financial liabilities at fair value through profit or loss</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500" w:type="dxa"/>
            <w:vAlign w:val="bottom"/>
            <w:gridSpan w:val="2"/>
          </w:tcPr>
          <w:p>
            <w:pPr>
              <w:jc w:val="right"/>
              <w:ind w:right="180"/>
              <w:spacing w:after="0"/>
              <w:rPr>
                <w:sz w:val="20"/>
                <w:szCs w:val="20"/>
                <w:color w:val="auto"/>
              </w:rPr>
            </w:pPr>
            <w:r>
              <w:rPr>
                <w:rFonts w:ascii="Arial" w:cs="Arial" w:eastAsia="Arial" w:hAnsi="Arial"/>
                <w:sz w:val="13"/>
                <w:szCs w:val="13"/>
                <w:color w:val="auto"/>
              </w:rPr>
              <w:t>(24)</w:t>
            </w:r>
          </w:p>
        </w:tc>
        <w:tc>
          <w:tcPr>
            <w:tcW w:w="1360" w:type="dxa"/>
            <w:vAlign w:val="bottom"/>
            <w:gridSpan w:val="2"/>
          </w:tcPr>
          <w:p>
            <w:pPr>
              <w:jc w:val="right"/>
              <w:ind w:right="80"/>
              <w:spacing w:after="0"/>
              <w:rPr>
                <w:sz w:val="20"/>
                <w:szCs w:val="20"/>
                <w:color w:val="auto"/>
              </w:rPr>
            </w:pPr>
            <w:r>
              <w:rPr>
                <w:rFonts w:ascii="Arial" w:cs="Arial" w:eastAsia="Arial" w:hAnsi="Arial"/>
                <w:sz w:val="13"/>
                <w:szCs w:val="13"/>
                <w:color w:val="auto"/>
              </w:rPr>
              <w:t>(65)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spacing w:after="0"/>
              <w:rPr>
                <w:sz w:val="20"/>
                <w:szCs w:val="20"/>
                <w:color w:val="auto"/>
              </w:rPr>
            </w:pPr>
            <w:r>
              <w:rPr>
                <w:rFonts w:ascii="Arial" w:cs="Arial" w:eastAsia="Arial" w:hAnsi="Arial"/>
                <w:sz w:val="13"/>
                <w:szCs w:val="13"/>
                <w:color w:val="auto"/>
              </w:rPr>
              <w:t>Other liabilities</w:t>
            </w:r>
          </w:p>
        </w:tc>
        <w:tc>
          <w:tcPr>
            <w:tcW w:w="15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(6,432)</w:t>
            </w:r>
          </w:p>
        </w:tc>
        <w:tc>
          <w:tcPr>
            <w:tcW w:w="15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(4,695)</w:t>
            </w:r>
          </w:p>
        </w:tc>
        <w:tc>
          <w:tcPr>
            <w:tcW w:w="13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(1,774)</w:t>
            </w:r>
          </w:p>
        </w:tc>
        <w:tc>
          <w:tcPr>
            <w:tcW w:w="0" w:type="dxa"/>
            <w:vAlign w:val="bottom"/>
          </w:tcPr>
          <w:p>
            <w:pPr>
              <w:spacing w:after="0"/>
              <w:rPr>
                <w:sz w:val="1"/>
                <w:szCs w:val="1"/>
                <w:color w:val="auto"/>
              </w:rPr>
            </w:pPr>
          </w:p>
        </w:tc>
      </w:tr>
      <w:tr>
        <w:trPr>
          <w:trHeight w:val="144"/>
        </w:trPr>
        <w:tc>
          <w:tcPr>
            <w:tcW w:w="7120" w:type="dxa"/>
            <w:vAlign w:val="bottom"/>
            <w:gridSpan w:val="2"/>
          </w:tcPr>
          <w:p>
            <w:pPr>
              <w:spacing w:after="0" w:line="143" w:lineRule="exact"/>
              <w:rPr>
                <w:sz w:val="20"/>
                <w:szCs w:val="20"/>
                <w:color w:val="auto"/>
              </w:rPr>
            </w:pPr>
            <w:r>
              <w:rPr>
                <w:rFonts w:ascii="Arial" w:cs="Arial" w:eastAsia="Arial" w:hAnsi="Arial"/>
                <w:sz w:val="13"/>
                <w:szCs w:val="13"/>
                <w:color w:val="auto"/>
              </w:rPr>
              <w:t>Cash flows provided by (used in) operating activities</w:t>
            </w:r>
          </w:p>
        </w:tc>
        <w:tc>
          <w:tcPr>
            <w:tcW w:w="128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(277,218)</w:t>
            </w:r>
          </w:p>
        </w:tc>
        <w:tc>
          <w:tcPr>
            <w:tcW w:w="220" w:type="dxa"/>
            <w:vAlign w:val="bottom"/>
          </w:tcPr>
          <w:p>
            <w:pPr>
              <w:spacing w:after="0"/>
              <w:rPr>
                <w:sz w:val="12"/>
                <w:szCs w:val="12"/>
                <w:color w:val="auto"/>
              </w:rPr>
            </w:pPr>
          </w:p>
        </w:tc>
        <w:tc>
          <w:tcPr>
            <w:tcW w:w="128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584,007</w:t>
            </w:r>
          </w:p>
        </w:tc>
        <w:tc>
          <w:tcPr>
            <w:tcW w:w="220" w:type="dxa"/>
            <w:vAlign w:val="bottom"/>
          </w:tcPr>
          <w:p>
            <w:pPr>
              <w:spacing w:after="0"/>
              <w:rPr>
                <w:sz w:val="12"/>
                <w:szCs w:val="12"/>
                <w:color w:val="auto"/>
              </w:rPr>
            </w:pPr>
          </w:p>
        </w:tc>
        <w:tc>
          <w:tcPr>
            <w:tcW w:w="124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628,710</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ind w:left="120"/>
              <w:spacing w:after="0"/>
              <w:rPr>
                <w:sz w:val="20"/>
                <w:szCs w:val="20"/>
                <w:color w:val="auto"/>
              </w:rPr>
            </w:pPr>
            <w:r>
              <w:rPr>
                <w:rFonts w:ascii="Arial" w:cs="Arial" w:eastAsia="Arial" w:hAnsi="Arial"/>
                <w:sz w:val="13"/>
                <w:szCs w:val="13"/>
                <w:color w:val="auto"/>
              </w:rPr>
              <w:t>Interest received</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242,276</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239,394</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247,167</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ind w:left="120"/>
              <w:spacing w:after="0"/>
              <w:rPr>
                <w:sz w:val="20"/>
                <w:szCs w:val="20"/>
                <w:color w:val="auto"/>
              </w:rPr>
            </w:pPr>
            <w:r>
              <w:rPr>
                <w:rFonts w:ascii="Arial" w:cs="Arial" w:eastAsia="Arial" w:hAnsi="Arial"/>
                <w:sz w:val="13"/>
                <w:szCs w:val="13"/>
                <w:color w:val="auto"/>
              </w:rPr>
              <w:t>Interest paid</w:t>
            </w:r>
          </w:p>
        </w:tc>
        <w:tc>
          <w:tcPr>
            <w:tcW w:w="15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(138,646)</w:t>
            </w:r>
          </w:p>
        </w:tc>
        <w:tc>
          <w:tcPr>
            <w:tcW w:w="15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(107,051)</w:t>
            </w:r>
          </w:p>
        </w:tc>
        <w:tc>
          <w:tcPr>
            <w:tcW w:w="13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(91,802)</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7100" w:type="dxa"/>
            <w:vAlign w:val="bottom"/>
            <w:tcBorders>
              <w:bottom w:val="single" w:sz="8" w:color="CCEEFF"/>
            </w:tcBorders>
          </w:tcPr>
          <w:p>
            <w:pPr>
              <w:spacing w:after="0" w:line="144" w:lineRule="exact"/>
              <w:rPr>
                <w:sz w:val="20"/>
                <w:szCs w:val="20"/>
                <w:color w:val="auto"/>
              </w:rPr>
            </w:pPr>
            <w:r>
              <w:rPr>
                <w:rFonts w:ascii="Arial" w:cs="Arial" w:eastAsia="Arial" w:hAnsi="Arial"/>
                <w:sz w:val="13"/>
                <w:szCs w:val="13"/>
                <w:b w:val="1"/>
                <w:bCs w:val="1"/>
                <w:color w:val="auto"/>
              </w:rPr>
              <w:t>Net cash (used in) provided by operating activities</w:t>
            </w:r>
          </w:p>
        </w:tc>
        <w:tc>
          <w:tcPr>
            <w:tcW w:w="12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(173,588)</w:t>
            </w:r>
          </w:p>
        </w:tc>
        <w:tc>
          <w:tcPr>
            <w:tcW w:w="220" w:type="dxa"/>
            <w:vAlign w:val="bottom"/>
            <w:tcBorders>
              <w:bottom w:val="single" w:sz="8" w:color="CCEEFF"/>
            </w:tcBorders>
          </w:tcPr>
          <w:p>
            <w:pPr>
              <w:spacing w:after="0"/>
              <w:rPr>
                <w:sz w:val="12"/>
                <w:szCs w:val="12"/>
                <w:color w:val="auto"/>
              </w:rPr>
            </w:pPr>
          </w:p>
        </w:tc>
        <w:tc>
          <w:tcPr>
            <w:tcW w:w="12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716,350</w:t>
            </w:r>
          </w:p>
        </w:tc>
        <w:tc>
          <w:tcPr>
            <w:tcW w:w="220" w:type="dxa"/>
            <w:vAlign w:val="bottom"/>
            <w:tcBorders>
              <w:bottom w:val="single" w:sz="8" w:color="CCEEFF"/>
            </w:tcBorders>
          </w:tcPr>
          <w:p>
            <w:pPr>
              <w:spacing w:after="0"/>
              <w:rPr>
                <w:sz w:val="12"/>
                <w:szCs w:val="12"/>
                <w:color w:val="auto"/>
              </w:rPr>
            </w:pPr>
          </w:p>
        </w:tc>
        <w:tc>
          <w:tcPr>
            <w:tcW w:w="12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784,075</w:t>
            </w:r>
          </w:p>
        </w:tc>
        <w:tc>
          <w:tcPr>
            <w:tcW w:w="120" w:type="dxa"/>
            <w:vAlign w:val="bottom"/>
            <w:tcBorders>
              <w:bottom w:val="single" w:sz="8" w:color="CCEEFF"/>
            </w:tcBorders>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7100" w:type="dxa"/>
            <w:vAlign w:val="bottom"/>
            <w:shd w:val="clear" w:color="auto" w:fill="CCEEFF"/>
          </w:tcPr>
          <w:p>
            <w:pPr>
              <w:spacing w:after="0"/>
              <w:rPr>
                <w:sz w:val="12"/>
                <w:szCs w:val="12"/>
                <w:color w:val="auto"/>
              </w:rPr>
            </w:pPr>
          </w:p>
        </w:tc>
        <w:tc>
          <w:tcPr>
            <w:tcW w:w="12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100" w:type="dxa"/>
            <w:vAlign w:val="bottom"/>
          </w:tcPr>
          <w:p>
            <w:pPr>
              <w:spacing w:after="0"/>
              <w:rPr>
                <w:sz w:val="20"/>
                <w:szCs w:val="20"/>
                <w:color w:val="auto"/>
              </w:rPr>
            </w:pPr>
            <w:r>
              <w:rPr>
                <w:rFonts w:ascii="Arial" w:cs="Arial" w:eastAsia="Arial" w:hAnsi="Arial"/>
                <w:sz w:val="13"/>
                <w:szCs w:val="13"/>
                <w:b w:val="1"/>
                <w:bCs w:val="1"/>
                <w:color w:val="auto"/>
              </w:rPr>
              <w:t>Cash flows from investing activities:</w:t>
            </w: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spacing w:after="0"/>
              <w:rPr>
                <w:sz w:val="20"/>
                <w:szCs w:val="20"/>
                <w:color w:val="auto"/>
              </w:rPr>
            </w:pPr>
            <w:r>
              <w:rPr>
                <w:rFonts w:ascii="Arial" w:cs="Arial" w:eastAsia="Arial" w:hAnsi="Arial"/>
                <w:sz w:val="13"/>
                <w:szCs w:val="13"/>
                <w:color w:val="auto"/>
              </w:rPr>
              <w:t>Acquisition of equipment and leasehold improvements</w:t>
            </w:r>
          </w:p>
        </w:tc>
        <w:tc>
          <w:tcPr>
            <w:tcW w:w="15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(603)</w:t>
            </w:r>
          </w:p>
        </w:tc>
        <w:tc>
          <w:tcPr>
            <w:tcW w:w="15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(2,654)</w:t>
            </w:r>
          </w:p>
        </w:tc>
        <w:tc>
          <w:tcPr>
            <w:tcW w:w="13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(3,973)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spacing w:after="0"/>
              <w:rPr>
                <w:sz w:val="20"/>
                <w:szCs w:val="20"/>
                <w:color w:val="auto"/>
              </w:rPr>
            </w:pPr>
            <w:r>
              <w:rPr>
                <w:rFonts w:ascii="Arial" w:cs="Arial" w:eastAsia="Arial" w:hAnsi="Arial"/>
                <w:sz w:val="13"/>
                <w:szCs w:val="13"/>
                <w:color w:val="auto"/>
              </w:rPr>
              <w:t>Acquisition of intangible assets</w:t>
            </w:r>
          </w:p>
        </w:tc>
        <w:tc>
          <w:tcPr>
            <w:tcW w:w="1500" w:type="dxa"/>
            <w:vAlign w:val="bottom"/>
            <w:gridSpan w:val="2"/>
          </w:tcPr>
          <w:p>
            <w:pPr>
              <w:jc w:val="right"/>
              <w:ind w:right="180"/>
              <w:spacing w:after="0"/>
              <w:rPr>
                <w:sz w:val="20"/>
                <w:szCs w:val="20"/>
                <w:color w:val="auto"/>
              </w:rPr>
            </w:pPr>
            <w:r>
              <w:rPr>
                <w:rFonts w:ascii="Arial" w:cs="Arial" w:eastAsia="Arial" w:hAnsi="Arial"/>
                <w:sz w:val="13"/>
                <w:szCs w:val="13"/>
                <w:color w:val="auto"/>
              </w:rPr>
              <w:t>(58)</w:t>
            </w:r>
          </w:p>
        </w:tc>
        <w:tc>
          <w:tcPr>
            <w:tcW w:w="1500" w:type="dxa"/>
            <w:vAlign w:val="bottom"/>
            <w:gridSpan w:val="2"/>
          </w:tcPr>
          <w:p>
            <w:pPr>
              <w:jc w:val="right"/>
              <w:ind w:right="180"/>
              <w:spacing w:after="0"/>
              <w:rPr>
                <w:sz w:val="20"/>
                <w:szCs w:val="20"/>
                <w:color w:val="auto"/>
              </w:rPr>
            </w:pPr>
            <w:r>
              <w:rPr>
                <w:rFonts w:ascii="Arial" w:cs="Arial" w:eastAsia="Arial" w:hAnsi="Arial"/>
                <w:sz w:val="13"/>
                <w:szCs w:val="13"/>
                <w:color w:val="auto"/>
              </w:rPr>
              <w:t>(3,370)</w:t>
            </w:r>
          </w:p>
        </w:tc>
        <w:tc>
          <w:tcPr>
            <w:tcW w:w="1360" w:type="dxa"/>
            <w:vAlign w:val="bottom"/>
            <w:gridSpan w:val="2"/>
          </w:tcPr>
          <w:p>
            <w:pPr>
              <w:jc w:val="right"/>
              <w:ind w:right="80"/>
              <w:spacing w:after="0"/>
              <w:rPr>
                <w:sz w:val="20"/>
                <w:szCs w:val="20"/>
                <w:color w:val="auto"/>
              </w:rPr>
            </w:pPr>
            <w:r>
              <w:rPr>
                <w:rFonts w:ascii="Arial" w:cs="Arial" w:eastAsia="Arial" w:hAnsi="Arial"/>
                <w:sz w:val="13"/>
                <w:szCs w:val="13"/>
                <w:color w:val="auto"/>
              </w:rPr>
              <w:t>(3,111)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spacing w:after="0"/>
              <w:rPr>
                <w:sz w:val="20"/>
                <w:szCs w:val="20"/>
                <w:color w:val="auto"/>
              </w:rPr>
            </w:pPr>
            <w:r>
              <w:rPr>
                <w:rFonts w:ascii="Arial" w:cs="Arial" w:eastAsia="Arial" w:hAnsi="Arial"/>
                <w:sz w:val="13"/>
                <w:szCs w:val="13"/>
                <w:color w:val="auto"/>
              </w:rPr>
              <w:t>Proceeds from the sale of investment property</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1,270</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spacing w:after="0"/>
              <w:rPr>
                <w:sz w:val="20"/>
                <w:szCs w:val="20"/>
                <w:color w:val="auto"/>
              </w:rPr>
            </w:pPr>
            <w:r>
              <w:rPr>
                <w:rFonts w:ascii="Arial" w:cs="Arial" w:eastAsia="Arial" w:hAnsi="Arial"/>
                <w:sz w:val="13"/>
                <w:szCs w:val="13"/>
                <w:color w:val="auto"/>
              </w:rPr>
              <w:t>Proceeds from the redemption of securities at fair value through OCI</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4,635</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107,088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spacing w:after="0"/>
              <w:rPr>
                <w:sz w:val="20"/>
                <w:szCs w:val="20"/>
                <w:color w:val="auto"/>
              </w:rPr>
            </w:pPr>
            <w:r>
              <w:rPr>
                <w:rFonts w:ascii="Arial" w:cs="Arial" w:eastAsia="Arial" w:hAnsi="Arial"/>
                <w:sz w:val="13"/>
                <w:szCs w:val="13"/>
                <w:color w:val="auto"/>
              </w:rPr>
              <w:t>Proceeds from the sale of securities at fair value through OCI</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17,040</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102,655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spacing w:after="0"/>
              <w:rPr>
                <w:sz w:val="20"/>
                <w:szCs w:val="20"/>
                <w:color w:val="auto"/>
              </w:rPr>
            </w:pPr>
            <w:r>
              <w:rPr>
                <w:rFonts w:ascii="Arial" w:cs="Arial" w:eastAsia="Arial" w:hAnsi="Arial"/>
                <w:sz w:val="13"/>
                <w:szCs w:val="13"/>
                <w:color w:val="auto"/>
              </w:rPr>
              <w:t>Proceeds from maturities of securities at amortized cost</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9,807</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17,526</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54,275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spacing w:after="0"/>
              <w:rPr>
                <w:sz w:val="20"/>
                <w:szCs w:val="20"/>
                <w:color w:val="auto"/>
              </w:rPr>
            </w:pPr>
            <w:r>
              <w:rPr>
                <w:rFonts w:ascii="Arial" w:cs="Arial" w:eastAsia="Arial" w:hAnsi="Arial"/>
                <w:sz w:val="13"/>
                <w:szCs w:val="13"/>
                <w:color w:val="auto"/>
              </w:rPr>
              <w:t>Purchases of securities at fair value through OCI</w:t>
            </w:r>
          </w:p>
        </w:tc>
        <w:tc>
          <w:tcPr>
            <w:tcW w:w="15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(9,875)</w:t>
            </w:r>
          </w:p>
        </w:tc>
        <w:tc>
          <w:tcPr>
            <w:tcW w:w="15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(8,402)</w:t>
            </w:r>
          </w:p>
        </w:tc>
        <w:tc>
          <w:tcPr>
            <w:tcW w:w="13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(84,153)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spacing w:after="0"/>
              <w:rPr>
                <w:sz w:val="20"/>
                <w:szCs w:val="20"/>
                <w:color w:val="auto"/>
              </w:rPr>
            </w:pPr>
            <w:r>
              <w:rPr>
                <w:rFonts w:ascii="Arial" w:cs="Arial" w:eastAsia="Arial" w:hAnsi="Arial"/>
                <w:sz w:val="13"/>
                <w:szCs w:val="13"/>
                <w:color w:val="auto"/>
              </w:rPr>
              <w:t>Purchases of securities at amortized cost</w:t>
            </w:r>
          </w:p>
        </w:tc>
        <w:tc>
          <w:tcPr>
            <w:tcW w:w="1500" w:type="dxa"/>
            <w:vAlign w:val="bottom"/>
            <w:gridSpan w:val="2"/>
          </w:tcPr>
          <w:p>
            <w:pPr>
              <w:jc w:val="right"/>
              <w:ind w:right="180"/>
              <w:spacing w:after="0"/>
              <w:rPr>
                <w:sz w:val="20"/>
                <w:szCs w:val="20"/>
                <w:color w:val="auto"/>
              </w:rPr>
            </w:pPr>
            <w:r>
              <w:rPr>
                <w:rFonts w:ascii="Arial" w:cs="Arial" w:eastAsia="Arial" w:hAnsi="Arial"/>
                <w:sz w:val="13"/>
                <w:szCs w:val="13"/>
                <w:color w:val="auto"/>
              </w:rPr>
              <w:t>(26,701)</w:t>
            </w:r>
          </w:p>
        </w:tc>
        <w:tc>
          <w:tcPr>
            <w:tcW w:w="1500" w:type="dxa"/>
            <w:vAlign w:val="bottom"/>
            <w:gridSpan w:val="2"/>
          </w:tcPr>
          <w:p>
            <w:pPr>
              <w:jc w:val="right"/>
              <w:ind w:right="180"/>
              <w:spacing w:after="0"/>
              <w:rPr>
                <w:sz w:val="20"/>
                <w:szCs w:val="20"/>
                <w:color w:val="auto"/>
              </w:rPr>
            </w:pPr>
            <w:r>
              <w:rPr>
                <w:rFonts w:ascii="Arial" w:cs="Arial" w:eastAsia="Arial" w:hAnsi="Arial"/>
                <w:sz w:val="13"/>
                <w:szCs w:val="13"/>
                <w:color w:val="auto"/>
              </w:rPr>
              <w:t>(9,978)</w:t>
            </w:r>
          </w:p>
        </w:tc>
        <w:tc>
          <w:tcPr>
            <w:tcW w:w="1360" w:type="dxa"/>
            <w:vAlign w:val="bottom"/>
            <w:gridSpan w:val="2"/>
          </w:tcPr>
          <w:p>
            <w:pPr>
              <w:jc w:val="right"/>
              <w:ind w:right="80"/>
              <w:spacing w:after="0"/>
              <w:rPr>
                <w:sz w:val="20"/>
                <w:szCs w:val="20"/>
                <w:color w:val="auto"/>
              </w:rPr>
            </w:pPr>
            <w:r>
              <w:rPr>
                <w:rFonts w:ascii="Arial" w:cs="Arial" w:eastAsia="Arial" w:hAnsi="Arial"/>
                <w:sz w:val="13"/>
                <w:szCs w:val="13"/>
                <w:color w:val="auto"/>
              </w:rPr>
              <w:t>(24,600)</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710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Net cash (used in) provided by investing activities</w:t>
            </w:r>
          </w:p>
        </w:tc>
        <w:tc>
          <w:tcPr>
            <w:tcW w:w="12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(21,525)</w:t>
            </w:r>
          </w:p>
        </w:tc>
        <w:tc>
          <w:tcPr>
            <w:tcW w:w="220" w:type="dxa"/>
            <w:vAlign w:val="bottom"/>
            <w:tcBorders>
              <w:top w:val="single" w:sz="8" w:color="CCEEFF"/>
            </w:tcBorders>
            <w:shd w:val="clear" w:color="auto" w:fill="CCEEFF"/>
          </w:tcPr>
          <w:p>
            <w:pPr>
              <w:spacing w:after="0"/>
              <w:rPr>
                <w:sz w:val="12"/>
                <w:szCs w:val="12"/>
                <w:color w:val="auto"/>
              </w:rPr>
            </w:pPr>
          </w:p>
        </w:tc>
        <w:tc>
          <w:tcPr>
            <w:tcW w:w="12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10,162</w:t>
            </w: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148,181</w:t>
            </w: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710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10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Cash flows from financing activities:</w:t>
            </w: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spacing w:after="0"/>
              <w:rPr>
                <w:sz w:val="20"/>
                <w:szCs w:val="20"/>
                <w:color w:val="auto"/>
              </w:rPr>
            </w:pPr>
            <w:r>
              <w:rPr>
                <w:rFonts w:ascii="Arial" w:cs="Arial" w:eastAsia="Arial" w:hAnsi="Arial"/>
                <w:sz w:val="13"/>
                <w:szCs w:val="13"/>
                <w:color w:val="auto"/>
              </w:rPr>
              <w:t>Increase (decrease) in securities sold under repurchase agreements</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39,767</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360" w:type="dxa"/>
            <w:vAlign w:val="bottom"/>
            <w:gridSpan w:val="2"/>
          </w:tcPr>
          <w:p>
            <w:pPr>
              <w:jc w:val="right"/>
              <w:ind w:right="80"/>
              <w:spacing w:after="0"/>
              <w:rPr>
                <w:sz w:val="20"/>
                <w:szCs w:val="20"/>
                <w:color w:val="auto"/>
              </w:rPr>
            </w:pPr>
            <w:r>
              <w:rPr>
                <w:rFonts w:ascii="Arial" w:cs="Arial" w:eastAsia="Arial" w:hAnsi="Arial"/>
                <w:sz w:val="13"/>
                <w:szCs w:val="13"/>
                <w:color w:val="auto"/>
              </w:rPr>
              <w:t>(114,084)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spacing w:after="0"/>
              <w:rPr>
                <w:sz w:val="20"/>
                <w:szCs w:val="20"/>
                <w:color w:val="auto"/>
              </w:rPr>
            </w:pPr>
            <w:r>
              <w:rPr>
                <w:rFonts w:ascii="Arial" w:cs="Arial" w:eastAsia="Arial" w:hAnsi="Arial"/>
                <w:sz w:val="13"/>
                <w:szCs w:val="13"/>
                <w:color w:val="auto"/>
              </w:rPr>
              <w:t>Net increase (decrease) in short-term borrowings and debt</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950,259</w:t>
            </w:r>
          </w:p>
        </w:tc>
        <w:tc>
          <w:tcPr>
            <w:tcW w:w="15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(396,205)</w:t>
            </w:r>
          </w:p>
        </w:tc>
        <w:tc>
          <w:tcPr>
            <w:tcW w:w="13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(961,095)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spacing w:after="0"/>
              <w:rPr>
                <w:sz w:val="20"/>
                <w:szCs w:val="20"/>
                <w:color w:val="auto"/>
              </w:rPr>
            </w:pPr>
            <w:r>
              <w:rPr>
                <w:rFonts w:ascii="Arial" w:cs="Arial" w:eastAsia="Arial" w:hAnsi="Arial"/>
                <w:sz w:val="13"/>
                <w:szCs w:val="13"/>
                <w:color w:val="auto"/>
              </w:rPr>
              <w:t>Proceeds from long-term borrowings and debt</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609,017</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219,905</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406,149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spacing w:after="0"/>
              <w:rPr>
                <w:sz w:val="20"/>
                <w:szCs w:val="20"/>
                <w:color w:val="auto"/>
              </w:rPr>
            </w:pPr>
            <w:r>
              <w:rPr>
                <w:rFonts w:ascii="Arial" w:cs="Arial" w:eastAsia="Arial" w:hAnsi="Arial"/>
                <w:sz w:val="13"/>
                <w:szCs w:val="13"/>
                <w:color w:val="auto"/>
              </w:rPr>
              <w:t>Repayments of long-term borrowings and debt</w:t>
            </w:r>
          </w:p>
        </w:tc>
        <w:tc>
          <w:tcPr>
            <w:tcW w:w="15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(256,173)</w:t>
            </w:r>
          </w:p>
        </w:tc>
        <w:tc>
          <w:tcPr>
            <w:tcW w:w="15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(883,476)</w:t>
            </w:r>
          </w:p>
        </w:tc>
        <w:tc>
          <w:tcPr>
            <w:tcW w:w="13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(464,242)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spacing w:after="0"/>
              <w:rPr>
                <w:sz w:val="20"/>
                <w:szCs w:val="20"/>
                <w:color w:val="auto"/>
              </w:rPr>
            </w:pPr>
            <w:r>
              <w:rPr>
                <w:rFonts w:ascii="Arial" w:cs="Arial" w:eastAsia="Arial" w:hAnsi="Arial"/>
                <w:sz w:val="13"/>
                <w:szCs w:val="13"/>
                <w:color w:val="auto"/>
              </w:rPr>
              <w:t>Dividends paid</w:t>
            </w:r>
          </w:p>
        </w:tc>
        <w:tc>
          <w:tcPr>
            <w:tcW w:w="1500" w:type="dxa"/>
            <w:vAlign w:val="bottom"/>
            <w:gridSpan w:val="2"/>
          </w:tcPr>
          <w:p>
            <w:pPr>
              <w:jc w:val="right"/>
              <w:ind w:right="180"/>
              <w:spacing w:after="0"/>
              <w:rPr>
                <w:sz w:val="20"/>
                <w:szCs w:val="20"/>
                <w:color w:val="auto"/>
              </w:rPr>
            </w:pPr>
            <w:r>
              <w:rPr>
                <w:rFonts w:ascii="Arial" w:cs="Arial" w:eastAsia="Arial" w:hAnsi="Arial"/>
                <w:sz w:val="13"/>
                <w:szCs w:val="13"/>
                <w:color w:val="auto"/>
              </w:rPr>
              <w:t>(61,539)</w:t>
            </w:r>
          </w:p>
        </w:tc>
        <w:tc>
          <w:tcPr>
            <w:tcW w:w="1500" w:type="dxa"/>
            <w:vAlign w:val="bottom"/>
            <w:gridSpan w:val="2"/>
          </w:tcPr>
          <w:p>
            <w:pPr>
              <w:jc w:val="right"/>
              <w:ind w:right="180"/>
              <w:spacing w:after="0"/>
              <w:rPr>
                <w:sz w:val="20"/>
                <w:szCs w:val="20"/>
                <w:color w:val="auto"/>
              </w:rPr>
            </w:pPr>
            <w:r>
              <w:rPr>
                <w:rFonts w:ascii="Arial" w:cs="Arial" w:eastAsia="Arial" w:hAnsi="Arial"/>
                <w:sz w:val="13"/>
                <w:szCs w:val="13"/>
                <w:color w:val="auto"/>
              </w:rPr>
              <w:t>(60,605)</w:t>
            </w:r>
          </w:p>
        </w:tc>
        <w:tc>
          <w:tcPr>
            <w:tcW w:w="1360" w:type="dxa"/>
            <w:vAlign w:val="bottom"/>
            <w:gridSpan w:val="2"/>
          </w:tcPr>
          <w:p>
            <w:pPr>
              <w:jc w:val="right"/>
              <w:ind w:right="80"/>
              <w:spacing w:after="0"/>
              <w:rPr>
                <w:sz w:val="20"/>
                <w:szCs w:val="20"/>
                <w:color w:val="auto"/>
              </w:rPr>
            </w:pPr>
            <w:r>
              <w:rPr>
                <w:rFonts w:ascii="Arial" w:cs="Arial" w:eastAsia="Arial" w:hAnsi="Arial"/>
                <w:sz w:val="13"/>
                <w:szCs w:val="13"/>
                <w:color w:val="auto"/>
              </w:rPr>
              <w:t>(60,135)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EEFF"/>
          </w:tcPr>
          <w:p>
            <w:pPr>
              <w:spacing w:after="0"/>
              <w:rPr>
                <w:sz w:val="20"/>
                <w:szCs w:val="20"/>
                <w:color w:val="auto"/>
              </w:rPr>
            </w:pPr>
            <w:r>
              <w:rPr>
                <w:rFonts w:ascii="Arial" w:cs="Arial" w:eastAsia="Arial" w:hAnsi="Arial"/>
                <w:sz w:val="13"/>
                <w:szCs w:val="13"/>
                <w:color w:val="auto"/>
              </w:rPr>
              <w:t>Exercised options and stock units vested</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3,609</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4,977</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1,575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spacing w:after="0"/>
              <w:rPr>
                <w:sz w:val="20"/>
                <w:szCs w:val="20"/>
                <w:color w:val="auto"/>
              </w:rPr>
            </w:pPr>
            <w:r>
              <w:rPr>
                <w:rFonts w:ascii="Arial" w:cs="Arial" w:eastAsia="Arial" w:hAnsi="Arial"/>
                <w:sz w:val="13"/>
                <w:szCs w:val="13"/>
                <w:color w:val="auto"/>
              </w:rPr>
              <w:t>Repurchase of common stock</w:t>
            </w:r>
          </w:p>
        </w:tc>
        <w:tc>
          <w:tcPr>
            <w:tcW w:w="1500" w:type="dxa"/>
            <w:vAlign w:val="bottom"/>
            <w:gridSpan w:val="2"/>
          </w:tcPr>
          <w:p>
            <w:pPr>
              <w:jc w:val="right"/>
              <w:ind w:right="180"/>
              <w:spacing w:after="0"/>
              <w:rPr>
                <w:sz w:val="20"/>
                <w:szCs w:val="20"/>
                <w:color w:val="auto"/>
              </w:rPr>
            </w:pPr>
            <w:r>
              <w:rPr>
                <w:rFonts w:ascii="Arial" w:cs="Arial" w:eastAsia="Arial" w:hAnsi="Arial"/>
                <w:sz w:val="13"/>
                <w:szCs w:val="13"/>
                <w:color w:val="auto"/>
              </w:rPr>
              <w:t>(2,442)</w:t>
            </w:r>
          </w:p>
        </w:tc>
        <w:tc>
          <w:tcPr>
            <w:tcW w:w="1500" w:type="dxa"/>
            <w:vAlign w:val="bottom"/>
            <w:gridSpan w:val="2"/>
          </w:tcPr>
          <w:p>
            <w:pPr>
              <w:jc w:val="right"/>
              <w:ind w:right="180"/>
              <w:spacing w:after="0"/>
              <w:rPr>
                <w:sz w:val="20"/>
                <w:szCs w:val="20"/>
                <w:color w:val="auto"/>
              </w:rPr>
            </w:pPr>
            <w:r>
              <w:rPr>
                <w:rFonts w:ascii="Arial" w:cs="Arial" w:eastAsia="Arial" w:hAnsi="Arial"/>
                <w:sz w:val="13"/>
                <w:szCs w:val="13"/>
                <w:color w:val="auto"/>
              </w:rPr>
              <w:t>(27)</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710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Net cash provided by (used in) financing activities</w:t>
            </w:r>
          </w:p>
        </w:tc>
        <w:tc>
          <w:tcPr>
            <w:tcW w:w="12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1,282,498</w:t>
            </w:r>
          </w:p>
        </w:tc>
        <w:tc>
          <w:tcPr>
            <w:tcW w:w="220" w:type="dxa"/>
            <w:vAlign w:val="bottom"/>
            <w:tcBorders>
              <w:top w:val="single" w:sz="8" w:color="CCEEFF"/>
            </w:tcBorders>
            <w:shd w:val="clear" w:color="auto" w:fill="CCEEFF"/>
          </w:tcPr>
          <w:p>
            <w:pPr>
              <w:spacing w:after="0"/>
              <w:rPr>
                <w:sz w:val="12"/>
                <w:szCs w:val="12"/>
                <w:color w:val="auto"/>
              </w:rPr>
            </w:pPr>
          </w:p>
        </w:tc>
        <w:tc>
          <w:tcPr>
            <w:tcW w:w="12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(1,115,431)</w:t>
            </w: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(1,191,832)</w:t>
            </w: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710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100" w:type="dxa"/>
            <w:vAlign w:val="bottom"/>
            <w:shd w:val="clear" w:color="auto" w:fill="CCEEFF"/>
          </w:tcPr>
          <w:p>
            <w:pPr>
              <w:spacing w:after="0"/>
              <w:rPr>
                <w:sz w:val="20"/>
                <w:szCs w:val="20"/>
                <w:color w:val="auto"/>
              </w:rPr>
            </w:pPr>
            <w:r>
              <w:rPr>
                <w:rFonts w:ascii="Arial" w:cs="Arial" w:eastAsia="Arial" w:hAnsi="Arial"/>
                <w:sz w:val="13"/>
                <w:szCs w:val="13"/>
                <w:color w:val="auto"/>
              </w:rPr>
              <w:t>Increase (decrease) net in cash and cash equivalents</w:t>
            </w:r>
          </w:p>
        </w:tc>
        <w:tc>
          <w:tcPr>
            <w:tcW w:w="15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1,087,385</w:t>
            </w:r>
          </w:p>
        </w:tc>
        <w:tc>
          <w:tcPr>
            <w:tcW w:w="15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(388,919)</w:t>
            </w:r>
          </w:p>
        </w:tc>
        <w:tc>
          <w:tcPr>
            <w:tcW w:w="13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(259,576)</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spacing w:after="0"/>
              <w:rPr>
                <w:sz w:val="20"/>
                <w:szCs w:val="20"/>
                <w:color w:val="auto"/>
              </w:rPr>
            </w:pPr>
            <w:r>
              <w:rPr>
                <w:rFonts w:ascii="Arial" w:cs="Arial" w:eastAsia="Arial" w:hAnsi="Arial"/>
                <w:sz w:val="13"/>
                <w:szCs w:val="13"/>
                <w:color w:val="auto"/>
              </w:rPr>
              <w:t>Cash and cash equivalents at beginning of the year</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618,807</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1,007,726</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1,267,302</w:t>
            </w:r>
          </w:p>
        </w:tc>
        <w:tc>
          <w:tcPr>
            <w:tcW w:w="0" w:type="dxa"/>
            <w:vAlign w:val="bottom"/>
          </w:tcPr>
          <w:p>
            <w:pPr>
              <w:spacing w:after="0"/>
              <w:rPr>
                <w:sz w:val="1"/>
                <w:szCs w:val="1"/>
                <w:color w:val="auto"/>
              </w:rPr>
            </w:pPr>
          </w:p>
        </w:tc>
      </w:tr>
      <w:tr>
        <w:trPr>
          <w:trHeight w:val="153"/>
        </w:trPr>
        <w:tc>
          <w:tcPr>
            <w:tcW w:w="20" w:type="dxa"/>
            <w:vAlign w:val="bottom"/>
          </w:tcPr>
          <w:p>
            <w:pPr>
              <w:spacing w:after="0"/>
              <w:rPr>
                <w:sz w:val="13"/>
                <w:szCs w:val="13"/>
                <w:color w:val="auto"/>
              </w:rPr>
            </w:pPr>
          </w:p>
        </w:tc>
        <w:tc>
          <w:tcPr>
            <w:tcW w:w="7100" w:type="dxa"/>
            <w:vAlign w:val="bottom"/>
            <w:tcBorders>
              <w:top w:val="single" w:sz="8" w:color="CCEEFF"/>
              <w:bottom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Cash and cash equivalents at end of the year</w:t>
            </w:r>
          </w:p>
        </w:tc>
        <w:tc>
          <w:tcPr>
            <w:tcW w:w="12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1,706,192</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12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618,807</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12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1,007,726</w:t>
            </w: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bl>
    <w:p>
      <w:pPr>
        <w:spacing w:after="0" w:line="145" w:lineRule="exact"/>
        <w:rPr>
          <w:sz w:val="20"/>
          <w:szCs w:val="20"/>
          <w:color w:val="auto"/>
        </w:rPr>
      </w:pPr>
    </w:p>
    <w:p>
      <w:pPr>
        <w:spacing w:after="0"/>
        <w:rPr>
          <w:sz w:val="20"/>
          <w:szCs w:val="20"/>
          <w:color w:val="auto"/>
        </w:rPr>
      </w:pPr>
      <w:r>
        <w:rPr>
          <w:rFonts w:ascii="Arial" w:cs="Arial" w:eastAsia="Arial" w:hAnsi="Arial"/>
          <w:sz w:val="13"/>
          <w:szCs w:val="13"/>
          <w:color w:val="auto"/>
        </w:rPr>
        <w:t>The accompanying notes are an integral part of these consolidated financial statements.</w:t>
      </w:r>
    </w:p>
    <w:p>
      <w:pPr>
        <w:spacing w:after="0" w:line="313"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F-9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6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5" w:right="199" w:bottom="1440" w:gutter="0" w:footer="0" w:header="0"/>
        </w:sectPr>
      </w:pPr>
    </w:p>
    <w:bookmarkStart w:id="134" w:name="page135"/>
    <w:bookmarkEnd w:id="134"/>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6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88"/>
        </w:numPr>
        <w:rPr>
          <w:rFonts w:ascii="Arial" w:cs="Arial" w:eastAsia="Arial" w:hAnsi="Arial"/>
          <w:sz w:val="13"/>
          <w:szCs w:val="13"/>
          <w:b w:val="1"/>
          <w:bCs w:val="1"/>
          <w:color w:val="auto"/>
        </w:rPr>
      </w:pPr>
      <w:r>
        <w:rPr>
          <w:rFonts w:ascii="Arial" w:cs="Arial" w:eastAsia="Arial" w:hAnsi="Arial"/>
          <w:sz w:val="13"/>
          <w:szCs w:val="13"/>
          <w:b w:val="1"/>
          <w:bCs w:val="1"/>
          <w:color w:val="auto"/>
        </w:rPr>
        <w:t>Corporate information</w:t>
      </w:r>
    </w:p>
    <w:p>
      <w:pPr>
        <w:spacing w:after="0" w:line="162" w:lineRule="exact"/>
        <w:rPr>
          <w:rFonts w:ascii="Arial" w:cs="Arial" w:eastAsia="Arial" w:hAnsi="Arial"/>
          <w:sz w:val="13"/>
          <w:szCs w:val="13"/>
          <w:b w:val="1"/>
          <w:bCs w:val="1"/>
          <w:color w:val="auto"/>
        </w:rPr>
      </w:pPr>
    </w:p>
    <w:p>
      <w:pPr>
        <w:jc w:val="both"/>
        <w:ind w:left="223"/>
        <w:spacing w:after="0" w:line="278" w:lineRule="auto"/>
        <w:rPr>
          <w:rFonts w:ascii="Arial" w:cs="Arial" w:eastAsia="Arial" w:hAnsi="Arial"/>
          <w:sz w:val="13"/>
          <w:szCs w:val="13"/>
          <w:b w:val="1"/>
          <w:bCs w:val="1"/>
          <w:color w:val="auto"/>
        </w:rPr>
      </w:pPr>
      <w:r>
        <w:rPr>
          <w:rFonts w:ascii="Arial" w:cs="Arial" w:eastAsia="Arial" w:hAnsi="Arial"/>
          <w:sz w:val="12"/>
          <w:szCs w:val="12"/>
          <w:color w:val="auto"/>
        </w:rPr>
        <w:t>Banco Latinoamericano de Comercio Exterior, S. A. (“Bladex Head Office” and together with its subsidiaries “Bladex” or the “Bank”), headquartered in Panama City, Republic of Panama, is a specialized multinational bank established to support the financing of foreign trade and economic integration in Latin America and the Caribbean (the “Region”). The Bank was established pursuant to a May 1975 proposal presented to the Assembly of Governors of Central Banks in the Region, which recommended the creation of a multinational organization to increase the foreign trade financing capacity of the Region. The Bank was organized in 1977, incorporated in 1978 as a corporation pursuant to the laws of the Republic of Panama, and initiated operations on January 2, 1979. Under a contract law signed in 1978 between the Republic of Panama and Bladex, the Bank was granted certain privileges by the Republic of Panama, including an exemption from payment of income taxes in Panama.</w:t>
      </w:r>
    </w:p>
    <w:p>
      <w:pPr>
        <w:spacing w:after="0" w:line="124"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Bank operates under a general banking license issued by the National Banking Commission of Panama, predecessor of the Superintendence of Banks of Panama (the “SBP”).</w:t>
      </w:r>
    </w:p>
    <w:p>
      <w:pPr>
        <w:spacing w:after="0" w:line="158" w:lineRule="exact"/>
        <w:rPr>
          <w:rFonts w:ascii="Arial" w:cs="Arial" w:eastAsia="Arial" w:hAnsi="Arial"/>
          <w:sz w:val="13"/>
          <w:szCs w:val="13"/>
          <w:b w:val="1"/>
          <w:bCs w:val="1"/>
          <w:color w:val="auto"/>
        </w:rPr>
      </w:pPr>
    </w:p>
    <w:p>
      <w:pPr>
        <w:jc w:val="both"/>
        <w:ind w:left="223"/>
        <w:spacing w:after="0" w:line="254" w:lineRule="auto"/>
        <w:rPr>
          <w:rFonts w:ascii="Arial" w:cs="Arial" w:eastAsia="Arial" w:hAnsi="Arial"/>
          <w:sz w:val="13"/>
          <w:szCs w:val="13"/>
          <w:b w:val="1"/>
          <w:bCs w:val="1"/>
          <w:color w:val="auto"/>
        </w:rPr>
      </w:pPr>
      <w:r>
        <w:rPr>
          <w:rFonts w:ascii="Arial" w:cs="Arial" w:eastAsia="Arial" w:hAnsi="Arial"/>
          <w:sz w:val="13"/>
          <w:szCs w:val="13"/>
          <w:color w:val="auto"/>
        </w:rPr>
        <w:t>In the Republic of Panama, banks are regulated by the SBP through Executive Decree No. 52 of April 30, 2008, which adopts the unique text of Law Decree No. 9 of February 26, 1998, modified by Law Decree No. 2 of February 22, 2008. Banks are also regulated by resolutions and agreements issued by this entity. The main aspects of this law and its regulations include: the authorization of banking licenses, minimum capital and liquidity requirements, consolidated supervision, procedures for management of credit and market risks, measures to prevent money laundering, the financing of terrorism and related illicit activities, and procedures for banking intervention and liquidation, among others.</w:t>
      </w:r>
    </w:p>
    <w:p>
      <w:pPr>
        <w:spacing w:after="0" w:line="137"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Bladex Head Office’s subsidiaries are the following:</w:t>
      </w:r>
    </w:p>
    <w:p>
      <w:pPr>
        <w:spacing w:after="0" w:line="158" w:lineRule="exact"/>
        <w:rPr>
          <w:rFonts w:ascii="Arial" w:cs="Arial" w:eastAsia="Arial" w:hAnsi="Arial"/>
          <w:sz w:val="13"/>
          <w:szCs w:val="13"/>
          <w:b w:val="1"/>
          <w:bCs w:val="1"/>
          <w:color w:val="auto"/>
        </w:rPr>
      </w:pPr>
    </w:p>
    <w:p>
      <w:pPr>
        <w:ind w:left="463" w:hanging="232"/>
        <w:spacing w:after="0" w:line="267" w:lineRule="auto"/>
        <w:tabs>
          <w:tab w:leader="none" w:pos="463" w:val="left"/>
        </w:tabs>
        <w:numPr>
          <w:ilvl w:val="1"/>
          <w:numId w:val="88"/>
        </w:numPr>
        <w:rPr>
          <w:rFonts w:ascii="Arial" w:cs="Arial" w:eastAsia="Arial" w:hAnsi="Arial"/>
          <w:sz w:val="13"/>
          <w:szCs w:val="13"/>
          <w:color w:val="auto"/>
        </w:rPr>
      </w:pPr>
      <w:r>
        <w:rPr>
          <w:rFonts w:ascii="Arial" w:cs="Arial" w:eastAsia="Arial" w:hAnsi="Arial"/>
          <w:sz w:val="13"/>
          <w:szCs w:val="13"/>
          <w:color w:val="auto"/>
        </w:rPr>
        <w:t>Bladex Holdings Inc. is a wholly owned subsidiary, incorporated under the laws of the State of Delaware, United States of America (USA), on May 30, 2000. Bladex Holdings Inc. has ownership in Bladex Representaçao Ltda.</w:t>
      </w:r>
    </w:p>
    <w:p>
      <w:pPr>
        <w:spacing w:after="0" w:line="129" w:lineRule="exact"/>
        <w:rPr>
          <w:rFonts w:ascii="Arial" w:cs="Arial" w:eastAsia="Arial" w:hAnsi="Arial"/>
          <w:sz w:val="13"/>
          <w:szCs w:val="13"/>
          <w:color w:val="auto"/>
        </w:rPr>
      </w:pPr>
    </w:p>
    <w:p>
      <w:pPr>
        <w:ind w:left="463" w:right="20" w:hanging="232"/>
        <w:spacing w:after="0" w:line="267" w:lineRule="auto"/>
        <w:tabs>
          <w:tab w:leader="none" w:pos="463" w:val="left"/>
        </w:tabs>
        <w:numPr>
          <w:ilvl w:val="1"/>
          <w:numId w:val="88"/>
        </w:numPr>
        <w:rPr>
          <w:rFonts w:ascii="Arial" w:cs="Arial" w:eastAsia="Arial" w:hAnsi="Arial"/>
          <w:sz w:val="13"/>
          <w:szCs w:val="13"/>
          <w:color w:val="auto"/>
        </w:rPr>
      </w:pPr>
      <w:r>
        <w:rPr>
          <w:rFonts w:ascii="Arial" w:cs="Arial" w:eastAsia="Arial" w:hAnsi="Arial"/>
          <w:sz w:val="13"/>
          <w:szCs w:val="13"/>
          <w:color w:val="auto"/>
        </w:rPr>
        <w:t>Bladex Representaçao Ltda., incorporated under the laws of Brazil on January 7, 2000, acts as the Bank’s representative office in Brazil. Bladex Representaçao Ltda. is 99.999% owned by Bladex Head Office and the remaining is 0.001% owned by Bladex Holdings Inc.</w:t>
      </w:r>
    </w:p>
    <w:p>
      <w:pPr>
        <w:spacing w:after="0" w:line="129" w:lineRule="exact"/>
        <w:rPr>
          <w:rFonts w:ascii="Arial" w:cs="Arial" w:eastAsia="Arial" w:hAnsi="Arial"/>
          <w:sz w:val="13"/>
          <w:szCs w:val="13"/>
          <w:color w:val="auto"/>
        </w:rPr>
      </w:pPr>
    </w:p>
    <w:p>
      <w:pPr>
        <w:jc w:val="both"/>
        <w:ind w:left="463" w:right="20" w:hanging="232"/>
        <w:spacing w:after="0" w:line="254" w:lineRule="auto"/>
        <w:tabs>
          <w:tab w:leader="none" w:pos="463" w:val="left"/>
        </w:tabs>
        <w:numPr>
          <w:ilvl w:val="1"/>
          <w:numId w:val="88"/>
        </w:numPr>
        <w:rPr>
          <w:rFonts w:ascii="Arial" w:cs="Arial" w:eastAsia="Arial" w:hAnsi="Arial"/>
          <w:sz w:val="13"/>
          <w:szCs w:val="13"/>
          <w:color w:val="auto"/>
        </w:rPr>
      </w:pPr>
      <w:r>
        <w:rPr>
          <w:rFonts w:ascii="Arial" w:cs="Arial" w:eastAsia="Arial" w:hAnsi="Arial"/>
          <w:sz w:val="13"/>
          <w:szCs w:val="13"/>
          <w:color w:val="auto"/>
        </w:rPr>
        <w:t>Bladex Investimentos Ltda. was incorporated under the laws of Brazil on May 3, 2011. Bladex Head Office owned 99% of Bladex Investimentos Ltda., and Bladex Holdings Inc. owned the remaining 1%. This company had invested substantially all of its assets in an investment fund, Alpha 4x Latam Fundo de Investimento Multimercado, incorporated in Brazil (“the Brazilian Fund”), registered with the Securities and Exchange Commission of Brazil (“CVM”, for its acronym in Portuguese). Bladex Investimentos Ltda. merged with Bladex Representaçao Ltda. in April 2016, being the former the extinct company under Brazilian law and prevailing the acquiring company Bladex Representaçao Ltda.</w:t>
      </w:r>
    </w:p>
    <w:p>
      <w:pPr>
        <w:spacing w:after="0" w:line="137" w:lineRule="exact"/>
        <w:rPr>
          <w:rFonts w:ascii="Arial" w:cs="Arial" w:eastAsia="Arial" w:hAnsi="Arial"/>
          <w:sz w:val="13"/>
          <w:szCs w:val="13"/>
          <w:color w:val="auto"/>
        </w:rPr>
      </w:pPr>
    </w:p>
    <w:p>
      <w:pPr>
        <w:ind w:left="463" w:hanging="232"/>
        <w:spacing w:after="0"/>
        <w:tabs>
          <w:tab w:leader="none" w:pos="463" w:val="left"/>
        </w:tabs>
        <w:numPr>
          <w:ilvl w:val="1"/>
          <w:numId w:val="88"/>
        </w:numPr>
        <w:rPr>
          <w:rFonts w:ascii="Arial" w:cs="Arial" w:eastAsia="Arial" w:hAnsi="Arial"/>
          <w:sz w:val="13"/>
          <w:szCs w:val="13"/>
          <w:color w:val="auto"/>
        </w:rPr>
      </w:pPr>
      <w:r>
        <w:rPr>
          <w:rFonts w:ascii="Arial" w:cs="Arial" w:eastAsia="Arial" w:hAnsi="Arial"/>
          <w:sz w:val="13"/>
          <w:szCs w:val="13"/>
          <w:color w:val="auto"/>
        </w:rPr>
        <w:t>Bladex Development Corp. was incorporated under the laws of the Republic of Panama on June 5, 2014. Bladex Development Corp. is 100% owned by Bladex Head Office.</w:t>
      </w:r>
    </w:p>
    <w:p>
      <w:pPr>
        <w:spacing w:after="0" w:line="158" w:lineRule="exact"/>
        <w:rPr>
          <w:rFonts w:ascii="Arial" w:cs="Arial" w:eastAsia="Arial" w:hAnsi="Arial"/>
          <w:sz w:val="13"/>
          <w:szCs w:val="13"/>
          <w:color w:val="auto"/>
        </w:rPr>
      </w:pPr>
    </w:p>
    <w:p>
      <w:pPr>
        <w:ind w:left="463" w:right="20" w:hanging="232"/>
        <w:spacing w:after="0" w:line="267" w:lineRule="auto"/>
        <w:tabs>
          <w:tab w:leader="none" w:pos="463" w:val="left"/>
        </w:tabs>
        <w:numPr>
          <w:ilvl w:val="1"/>
          <w:numId w:val="88"/>
        </w:numPr>
        <w:rPr>
          <w:rFonts w:ascii="Arial" w:cs="Arial" w:eastAsia="Arial" w:hAnsi="Arial"/>
          <w:sz w:val="13"/>
          <w:szCs w:val="13"/>
          <w:color w:val="auto"/>
        </w:rPr>
      </w:pPr>
      <w:r>
        <w:rPr>
          <w:rFonts w:ascii="Arial" w:cs="Arial" w:eastAsia="Arial" w:hAnsi="Arial"/>
          <w:sz w:val="13"/>
          <w:szCs w:val="13"/>
          <w:color w:val="auto"/>
        </w:rPr>
        <w:t>BLX Soluciones, S.A. de C.V., SOFOM, E.N.R.(“BLX Soluciones”) was incorporated under the laws of Mexico on June 13, 2014. BLX Soluciones is 99.9% owned by Bladex Head Office, and Bladex Development Corp. owns the remaining 0.1%. The company specializes in offering financial leasing and other financial products such as loans and factoring.</w:t>
      </w:r>
    </w:p>
    <w:p>
      <w:pPr>
        <w:spacing w:after="0" w:line="129" w:lineRule="exact"/>
        <w:rPr>
          <w:sz w:val="20"/>
          <w:szCs w:val="20"/>
          <w:color w:val="auto"/>
        </w:rPr>
      </w:pPr>
    </w:p>
    <w:p>
      <w:pPr>
        <w:jc w:val="both"/>
        <w:ind w:left="223"/>
        <w:spacing w:after="0" w:line="257" w:lineRule="auto"/>
        <w:rPr>
          <w:sz w:val="20"/>
          <w:szCs w:val="20"/>
          <w:color w:val="auto"/>
        </w:rPr>
      </w:pPr>
      <w:r>
        <w:rPr>
          <w:rFonts w:ascii="Arial" w:cs="Arial" w:eastAsia="Arial" w:hAnsi="Arial"/>
          <w:sz w:val="13"/>
          <w:szCs w:val="13"/>
          <w:color w:val="auto"/>
        </w:rPr>
        <w:t>Bladex Head Office has an agency in New York City, USA (the “New York Agency”), which began operations on March 27, 1989. The New York Agency is principally engaged in financing transactions related to international trade, mostly the confirmation and financing of letters of credit for customers in the Region. The New York Agency, also has authorization to book transactions through an International Banking Facility (“IBF”).</w:t>
      </w:r>
    </w:p>
    <w:p>
      <w:pPr>
        <w:spacing w:after="0" w:line="136" w:lineRule="exact"/>
        <w:rPr>
          <w:sz w:val="20"/>
          <w:szCs w:val="20"/>
          <w:color w:val="auto"/>
        </w:rPr>
      </w:pPr>
    </w:p>
    <w:p>
      <w:pPr>
        <w:ind w:left="223"/>
        <w:spacing w:after="0"/>
        <w:rPr>
          <w:sz w:val="20"/>
          <w:szCs w:val="20"/>
          <w:color w:val="auto"/>
        </w:rPr>
      </w:pPr>
      <w:r>
        <w:rPr>
          <w:rFonts w:ascii="Arial" w:cs="Arial" w:eastAsia="Arial" w:hAnsi="Arial"/>
          <w:sz w:val="13"/>
          <w:szCs w:val="13"/>
          <w:color w:val="auto"/>
        </w:rPr>
        <w:t>The Bank has representative offices in Buenos Aires, Argentina; in Mexico City, Mexico; in Lima, Peru; and in Bogota, Colombia.</w:t>
      </w:r>
    </w:p>
    <w:p>
      <w:pPr>
        <w:spacing w:after="0" w:line="159" w:lineRule="exact"/>
        <w:rPr>
          <w:sz w:val="20"/>
          <w:szCs w:val="20"/>
          <w:color w:val="auto"/>
        </w:rPr>
      </w:pPr>
    </w:p>
    <w:p>
      <w:pPr>
        <w:ind w:left="223"/>
        <w:spacing w:after="0"/>
        <w:rPr>
          <w:sz w:val="20"/>
          <w:szCs w:val="20"/>
          <w:color w:val="auto"/>
        </w:rPr>
      </w:pPr>
      <w:r>
        <w:rPr>
          <w:rFonts w:ascii="Arial" w:cs="Arial" w:eastAsia="Arial" w:hAnsi="Arial"/>
          <w:sz w:val="13"/>
          <w:szCs w:val="13"/>
          <w:color w:val="auto"/>
        </w:rPr>
        <w:t>These consolidated financial statements were authorized for issue by the Board of Directors on February 19, 2019.</w:t>
      </w:r>
    </w:p>
    <w:p>
      <w:pPr>
        <w:spacing w:after="0" w:line="313"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6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135" w:name="page136"/>
    <w:bookmarkEnd w:id="135"/>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6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89"/>
        </w:numPr>
        <w:rPr>
          <w:rFonts w:ascii="Arial" w:cs="Arial" w:eastAsia="Arial" w:hAnsi="Arial"/>
          <w:sz w:val="13"/>
          <w:szCs w:val="13"/>
          <w:b w:val="1"/>
          <w:bCs w:val="1"/>
          <w:color w:val="auto"/>
        </w:rPr>
      </w:pPr>
      <w:r>
        <w:rPr>
          <w:rFonts w:ascii="Arial" w:cs="Arial" w:eastAsia="Arial" w:hAnsi="Arial"/>
          <w:sz w:val="13"/>
          <w:szCs w:val="13"/>
          <w:b w:val="1"/>
          <w:bCs w:val="1"/>
          <w:color w:val="auto"/>
        </w:rPr>
        <w:t>Basis of preparation of the consolidated financial statements</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2.1</w:t>
      </w:r>
      <w:r>
        <w:rPr>
          <w:rFonts w:ascii="Arial" w:cs="Arial" w:eastAsia="Arial" w:hAnsi="Arial"/>
          <w:sz w:val="11"/>
          <w:szCs w:val="11"/>
          <w:b w:val="1"/>
          <w:bCs w:val="1"/>
          <w:color w:val="auto"/>
        </w:rPr>
        <w:t>Statement of compliance</w:t>
      </w:r>
    </w:p>
    <w:p>
      <w:pPr>
        <w:spacing w:after="0" w:line="162" w:lineRule="exact"/>
        <w:rPr>
          <w:rFonts w:ascii="Arial" w:cs="Arial" w:eastAsia="Arial" w:hAnsi="Arial"/>
          <w:sz w:val="13"/>
          <w:szCs w:val="13"/>
          <w:b w:val="1"/>
          <w:bCs w:val="1"/>
          <w:color w:val="auto"/>
        </w:rPr>
      </w:pPr>
    </w:p>
    <w:p>
      <w:pPr>
        <w:ind w:left="223"/>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The consolidated financial statements of Banco Latinoamericano de Comercio Exterior, S. A. and its subsidiaries have been prepared in accordance with International Financial Reporting Standards ("IFRS") as issued by the International Accounting Standards Board ("IASB").</w:t>
      </w:r>
    </w:p>
    <w:p>
      <w:pPr>
        <w:spacing w:after="0" w:line="125"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2.2</w:t>
      </w:r>
      <w:r>
        <w:rPr>
          <w:rFonts w:ascii="Arial" w:cs="Arial" w:eastAsia="Arial" w:hAnsi="Arial"/>
          <w:sz w:val="11"/>
          <w:szCs w:val="11"/>
          <w:b w:val="1"/>
          <w:bCs w:val="1"/>
          <w:color w:val="auto"/>
        </w:rPr>
        <w:t>Basis of measurement and presentation currency</w:t>
      </w:r>
    </w:p>
    <w:p>
      <w:pPr>
        <w:spacing w:after="0" w:line="162" w:lineRule="exact"/>
        <w:rPr>
          <w:rFonts w:ascii="Arial" w:cs="Arial" w:eastAsia="Arial" w:hAnsi="Arial"/>
          <w:sz w:val="13"/>
          <w:szCs w:val="13"/>
          <w:b w:val="1"/>
          <w:bCs w:val="1"/>
          <w:color w:val="auto"/>
        </w:rPr>
      </w:pPr>
    </w:p>
    <w:p>
      <w:pPr>
        <w:jc w:val="both"/>
        <w:ind w:left="223"/>
        <w:spacing w:after="0" w:line="254" w:lineRule="auto"/>
        <w:rPr>
          <w:rFonts w:ascii="Arial" w:cs="Arial" w:eastAsia="Arial" w:hAnsi="Arial"/>
          <w:sz w:val="13"/>
          <w:szCs w:val="13"/>
          <w:b w:val="1"/>
          <w:bCs w:val="1"/>
          <w:color w:val="auto"/>
        </w:rPr>
      </w:pPr>
      <w:r>
        <w:rPr>
          <w:rFonts w:ascii="Arial" w:cs="Arial" w:eastAsia="Arial" w:hAnsi="Arial"/>
          <w:sz w:val="13"/>
          <w:szCs w:val="13"/>
          <w:color w:val="auto"/>
        </w:rPr>
        <w:t>The consolidated financial statements have been prepared on the basis of fair value for financial assets and liabilities through profit or loss, investment properties, derivative financial instruments, investments and other financial assets at fair value through other comprehensive income. The carrying values of recognized assets and liabilities that are designated as hedged items in fair value hedges, that would otherwise be carried at amortized cost, are adjusted to record changes in the fair values attributable to the risks that are being hedged in effective hedge relationships. Other financial assets and liabilities and other non-financial assets and liabilities are presented at amortized cost or on a historical cost basis.</w:t>
      </w:r>
    </w:p>
    <w:p>
      <w:pPr>
        <w:spacing w:after="0" w:line="137"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All amounts presented in the consolidated financial statements and notes are expressed in United States of America dollars (US dollar), which is the functional currency of the Bank.</w:t>
      </w:r>
    </w:p>
    <w:p>
      <w:pPr>
        <w:spacing w:after="0" w:line="154"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2.3</w:t>
      </w:r>
      <w:r>
        <w:rPr>
          <w:rFonts w:ascii="Arial" w:cs="Arial" w:eastAsia="Arial" w:hAnsi="Arial"/>
          <w:sz w:val="11"/>
          <w:szCs w:val="11"/>
          <w:b w:val="1"/>
          <w:bCs w:val="1"/>
          <w:color w:val="auto"/>
        </w:rPr>
        <w:t>Reclassifications and non-material errors corrections</w:t>
      </w:r>
    </w:p>
    <w:p>
      <w:pPr>
        <w:spacing w:after="0" w:line="162" w:lineRule="exact"/>
        <w:rPr>
          <w:rFonts w:ascii="Arial" w:cs="Arial" w:eastAsia="Arial" w:hAnsi="Arial"/>
          <w:sz w:val="13"/>
          <w:szCs w:val="13"/>
          <w:b w:val="1"/>
          <w:bCs w:val="1"/>
          <w:color w:val="auto"/>
        </w:rPr>
      </w:pPr>
    </w:p>
    <w:p>
      <w:pPr>
        <w:ind w:left="223"/>
        <w:spacing w:after="0" w:line="360" w:lineRule="auto"/>
        <w:rPr>
          <w:rFonts w:ascii="Arial" w:cs="Arial" w:eastAsia="Arial" w:hAnsi="Arial"/>
          <w:sz w:val="13"/>
          <w:szCs w:val="13"/>
          <w:b w:val="1"/>
          <w:bCs w:val="1"/>
          <w:color w:val="auto"/>
        </w:rPr>
      </w:pPr>
      <w:r>
        <w:rPr>
          <w:rFonts w:ascii="Arial" w:cs="Arial" w:eastAsia="Arial" w:hAnsi="Arial"/>
          <w:sz w:val="11"/>
          <w:szCs w:val="11"/>
          <w:color w:val="auto"/>
        </w:rPr>
        <w:t>Non-material amounts in the consolidated financial statements of 2017 and 2016 were reclassified to align them with the presentation of the consolidated financial statements of 2018. In addition, the Bank has identified non-material errors that have been corrected in the consolidated statements of cash flows for the years ended December 31, 2017 and 2016. The following table shows a description of the identified non-material errors:</w:t>
      </w:r>
    </w:p>
    <w:p>
      <w:pPr>
        <w:spacing w:after="0" w:line="88" w:lineRule="exact"/>
        <w:rPr>
          <w:sz w:val="20"/>
          <w:szCs w:val="20"/>
          <w:color w:val="auto"/>
        </w:rPr>
      </w:pPr>
    </w:p>
    <w:tbl>
      <w:tblPr>
        <w:tblLayout w:type="fixed"/>
        <w:tblInd w:w="223" w:type="dxa"/>
        <w:tblCellMar>
          <w:top w:w="0" w:type="dxa"/>
          <w:left w:w="0" w:type="dxa"/>
          <w:bottom w:w="0" w:type="dxa"/>
          <w:right w:w="0" w:type="dxa"/>
        </w:tblCellMar>
      </w:tblPr>
      <w:tr>
        <w:trPr>
          <w:trHeight w:val="167"/>
        </w:trPr>
        <w:tc>
          <w:tcPr>
            <w:tcW w:w="4540" w:type="dxa"/>
            <w:vAlign w:val="bottom"/>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900" w:type="dxa"/>
            <w:vAlign w:val="bottom"/>
            <w:tcBorders>
              <w:bottom w:val="single" w:sz="8" w:color="auto"/>
            </w:tcBorders>
          </w:tcPr>
          <w:p>
            <w:pPr>
              <w:jc w:val="right"/>
              <w:ind w:right="276"/>
              <w:spacing w:after="0"/>
              <w:rPr>
                <w:sz w:val="20"/>
                <w:szCs w:val="20"/>
                <w:color w:val="auto"/>
              </w:rPr>
            </w:pPr>
            <w:r>
              <w:rPr>
                <w:rFonts w:ascii="Arial" w:cs="Arial" w:eastAsia="Arial" w:hAnsi="Arial"/>
                <w:sz w:val="13"/>
                <w:szCs w:val="13"/>
                <w:b w:val="1"/>
                <w:bCs w:val="1"/>
                <w:color w:val="auto"/>
              </w:rPr>
              <w:t>2017</w:t>
            </w:r>
          </w:p>
        </w:tc>
        <w:tc>
          <w:tcPr>
            <w:tcW w:w="220" w:type="dxa"/>
            <w:vAlign w:val="bottom"/>
            <w:tcBorders>
              <w:bottom w:val="single" w:sz="8" w:color="auto"/>
            </w:tcBorders>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200" w:type="dxa"/>
            <w:vAlign w:val="bottom"/>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tcPr>
          <w:p>
            <w:pPr>
              <w:jc w:val="right"/>
              <w:ind w:right="236"/>
              <w:spacing w:after="0"/>
              <w:rPr>
                <w:sz w:val="20"/>
                <w:szCs w:val="20"/>
                <w:color w:val="auto"/>
              </w:rPr>
            </w:pPr>
            <w:r>
              <w:rPr>
                <w:rFonts w:ascii="Arial" w:cs="Arial" w:eastAsia="Arial" w:hAnsi="Arial"/>
                <w:sz w:val="13"/>
                <w:szCs w:val="13"/>
                <w:b w:val="1"/>
                <w:bCs w:val="1"/>
                <w:color w:val="auto"/>
              </w:rPr>
              <w:t>2016</w:t>
            </w:r>
          </w:p>
        </w:tc>
        <w:tc>
          <w:tcPr>
            <w:tcW w:w="220" w:type="dxa"/>
            <w:vAlign w:val="bottom"/>
            <w:tcBorders>
              <w:bottom w:val="single" w:sz="8" w:color="auto"/>
            </w:tcBorders>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r>
        <w:trPr>
          <w:trHeight w:val="131"/>
        </w:trPr>
        <w:tc>
          <w:tcPr>
            <w:tcW w:w="4540" w:type="dxa"/>
            <w:vAlign w:val="bottom"/>
          </w:tcPr>
          <w:p>
            <w:pPr>
              <w:spacing w:after="0"/>
              <w:rPr>
                <w:sz w:val="11"/>
                <w:szCs w:val="11"/>
                <w:color w:val="auto"/>
              </w:rPr>
            </w:pPr>
          </w:p>
        </w:tc>
        <w:tc>
          <w:tcPr>
            <w:tcW w:w="1120" w:type="dxa"/>
            <w:vAlign w:val="bottom"/>
            <w:gridSpan w:val="2"/>
          </w:tcPr>
          <w:p>
            <w:pPr>
              <w:jc w:val="right"/>
              <w:ind w:right="400"/>
              <w:spacing w:after="0" w:line="131" w:lineRule="exact"/>
              <w:rPr>
                <w:sz w:val="20"/>
                <w:szCs w:val="20"/>
                <w:color w:val="auto"/>
              </w:rPr>
            </w:pPr>
            <w:r>
              <w:rPr>
                <w:rFonts w:ascii="Arial" w:cs="Arial" w:eastAsia="Arial" w:hAnsi="Arial"/>
                <w:sz w:val="13"/>
                <w:szCs w:val="13"/>
                <w:b w:val="1"/>
                <w:bCs w:val="1"/>
                <w:color w:val="auto"/>
              </w:rPr>
              <w:t>Previously</w:t>
            </w:r>
          </w:p>
        </w:tc>
        <w:tc>
          <w:tcPr>
            <w:tcW w:w="9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100" w:type="dxa"/>
            <w:vAlign w:val="bottom"/>
            <w:gridSpan w:val="2"/>
          </w:tcPr>
          <w:p>
            <w:pPr>
              <w:jc w:val="right"/>
              <w:ind w:right="380"/>
              <w:spacing w:after="0" w:line="131" w:lineRule="exact"/>
              <w:rPr>
                <w:sz w:val="20"/>
                <w:szCs w:val="20"/>
                <w:color w:val="auto"/>
              </w:rPr>
            </w:pPr>
            <w:r>
              <w:rPr>
                <w:rFonts w:ascii="Arial" w:cs="Arial" w:eastAsia="Arial" w:hAnsi="Arial"/>
                <w:sz w:val="13"/>
                <w:szCs w:val="13"/>
                <w:b w:val="1"/>
                <w:bCs w:val="1"/>
                <w:color w:val="auto"/>
              </w:rPr>
              <w:t>Previously</w:t>
            </w: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67"/>
        </w:trPr>
        <w:tc>
          <w:tcPr>
            <w:tcW w:w="4540" w:type="dxa"/>
            <w:vAlign w:val="bottom"/>
          </w:tcPr>
          <w:p>
            <w:pPr>
              <w:spacing w:after="0"/>
              <w:rPr>
                <w:sz w:val="14"/>
                <w:szCs w:val="14"/>
                <w:color w:val="auto"/>
              </w:rPr>
            </w:pPr>
          </w:p>
        </w:tc>
        <w:tc>
          <w:tcPr>
            <w:tcW w:w="1120" w:type="dxa"/>
            <w:vAlign w:val="bottom"/>
            <w:gridSpan w:val="2"/>
          </w:tcPr>
          <w:p>
            <w:pPr>
              <w:jc w:val="right"/>
              <w:ind w:right="440"/>
              <w:spacing w:after="0"/>
              <w:rPr>
                <w:sz w:val="20"/>
                <w:szCs w:val="20"/>
                <w:color w:val="auto"/>
              </w:rPr>
            </w:pPr>
            <w:r>
              <w:rPr>
                <w:rFonts w:ascii="Arial" w:cs="Arial" w:eastAsia="Arial" w:hAnsi="Arial"/>
                <w:sz w:val="13"/>
                <w:szCs w:val="13"/>
                <w:b w:val="1"/>
                <w:bCs w:val="1"/>
                <w:color w:val="auto"/>
              </w:rPr>
              <w:t>reported</w:t>
            </w:r>
          </w:p>
        </w:tc>
        <w:tc>
          <w:tcPr>
            <w:tcW w:w="1120" w:type="dxa"/>
            <w:vAlign w:val="bottom"/>
            <w:gridSpan w:val="2"/>
          </w:tcPr>
          <w:p>
            <w:pPr>
              <w:jc w:val="right"/>
              <w:ind w:right="380"/>
              <w:spacing w:after="0"/>
              <w:rPr>
                <w:sz w:val="20"/>
                <w:szCs w:val="20"/>
                <w:color w:val="auto"/>
              </w:rPr>
            </w:pPr>
            <w:r>
              <w:rPr>
                <w:rFonts w:ascii="Arial" w:cs="Arial" w:eastAsia="Arial" w:hAnsi="Arial"/>
                <w:sz w:val="13"/>
                <w:szCs w:val="13"/>
                <w:b w:val="1"/>
                <w:bCs w:val="1"/>
                <w:color w:val="auto"/>
              </w:rPr>
              <w:t>Correction</w:t>
            </w:r>
          </w:p>
        </w:tc>
        <w:tc>
          <w:tcPr>
            <w:tcW w:w="1080" w:type="dxa"/>
            <w:vAlign w:val="bottom"/>
            <w:gridSpan w:val="2"/>
          </w:tcPr>
          <w:p>
            <w:pPr>
              <w:jc w:val="right"/>
              <w:ind w:right="280"/>
              <w:spacing w:after="0"/>
              <w:rPr>
                <w:sz w:val="20"/>
                <w:szCs w:val="20"/>
                <w:color w:val="auto"/>
              </w:rPr>
            </w:pPr>
            <w:r>
              <w:rPr>
                <w:rFonts w:ascii="Arial" w:cs="Arial" w:eastAsia="Arial" w:hAnsi="Arial"/>
                <w:sz w:val="13"/>
                <w:szCs w:val="13"/>
                <w:b w:val="1"/>
                <w:bCs w:val="1"/>
                <w:color w:val="auto"/>
                <w:w w:val="95"/>
              </w:rPr>
              <w:t>As Corrected</w:t>
            </w:r>
          </w:p>
        </w:tc>
        <w:tc>
          <w:tcPr>
            <w:tcW w:w="1100" w:type="dxa"/>
            <w:vAlign w:val="bottom"/>
            <w:gridSpan w:val="2"/>
          </w:tcPr>
          <w:p>
            <w:pPr>
              <w:jc w:val="right"/>
              <w:ind w:right="420"/>
              <w:spacing w:after="0"/>
              <w:rPr>
                <w:sz w:val="20"/>
                <w:szCs w:val="20"/>
                <w:color w:val="auto"/>
              </w:rPr>
            </w:pPr>
            <w:r>
              <w:rPr>
                <w:rFonts w:ascii="Arial" w:cs="Arial" w:eastAsia="Arial" w:hAnsi="Arial"/>
                <w:sz w:val="13"/>
                <w:szCs w:val="13"/>
                <w:b w:val="1"/>
                <w:bCs w:val="1"/>
                <w:color w:val="auto"/>
              </w:rPr>
              <w:t>reported</w:t>
            </w:r>
          </w:p>
        </w:tc>
        <w:tc>
          <w:tcPr>
            <w:tcW w:w="108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8"/>
              </w:rPr>
              <w:t>Correction</w:t>
            </w:r>
          </w:p>
        </w:tc>
        <w:tc>
          <w:tcPr>
            <w:tcW w:w="980" w:type="dxa"/>
            <w:vAlign w:val="bottom"/>
            <w:gridSpan w:val="2"/>
          </w:tcPr>
          <w:p>
            <w:pPr>
              <w:jc w:val="right"/>
              <w:ind w:right="180"/>
              <w:spacing w:after="0"/>
              <w:rPr>
                <w:sz w:val="20"/>
                <w:szCs w:val="20"/>
                <w:color w:val="auto"/>
              </w:rPr>
            </w:pPr>
            <w:r>
              <w:rPr>
                <w:rFonts w:ascii="Arial" w:cs="Arial" w:eastAsia="Arial" w:hAnsi="Arial"/>
                <w:sz w:val="13"/>
                <w:szCs w:val="13"/>
                <w:b w:val="1"/>
                <w:bCs w:val="1"/>
                <w:color w:val="auto"/>
                <w:w w:val="95"/>
              </w:rPr>
              <w:t>As Corrected</w:t>
            </w:r>
          </w:p>
        </w:tc>
      </w:tr>
      <w:tr>
        <w:trPr>
          <w:trHeight w:val="144"/>
        </w:trPr>
        <w:tc>
          <w:tcPr>
            <w:tcW w:w="454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color w:val="auto"/>
              </w:rPr>
              <w:t>Operating activities</w:t>
            </w:r>
          </w:p>
        </w:tc>
        <w:tc>
          <w:tcPr>
            <w:tcW w:w="8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r>
      <w:tr>
        <w:trPr>
          <w:trHeight w:val="154"/>
        </w:trPr>
        <w:tc>
          <w:tcPr>
            <w:tcW w:w="4540" w:type="dxa"/>
            <w:vAlign w:val="bottom"/>
          </w:tcPr>
          <w:p>
            <w:pPr>
              <w:ind w:left="120"/>
              <w:spacing w:after="0"/>
              <w:rPr>
                <w:sz w:val="20"/>
                <w:szCs w:val="20"/>
                <w:color w:val="auto"/>
              </w:rPr>
            </w:pPr>
            <w:r>
              <w:rPr>
                <w:rFonts w:ascii="Arial" w:cs="Arial" w:eastAsia="Arial" w:hAnsi="Arial"/>
                <w:sz w:val="13"/>
                <w:szCs w:val="13"/>
                <w:color w:val="auto"/>
              </w:rPr>
              <w:t>Amortizations in securities at amortized cost</w:t>
            </w:r>
          </w:p>
        </w:tc>
        <w:tc>
          <w:tcPr>
            <w:tcW w:w="112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732</w:t>
            </w:r>
          </w:p>
        </w:tc>
        <w:tc>
          <w:tcPr>
            <w:tcW w:w="1080" w:type="dxa"/>
            <w:vAlign w:val="bottom"/>
            <w:gridSpan w:val="2"/>
          </w:tcPr>
          <w:p>
            <w:pPr>
              <w:jc w:val="right"/>
              <w:ind w:right="200"/>
              <w:spacing w:after="0"/>
              <w:rPr>
                <w:sz w:val="20"/>
                <w:szCs w:val="20"/>
                <w:color w:val="auto"/>
              </w:rPr>
            </w:pPr>
            <w:r>
              <w:rPr>
                <w:rFonts w:ascii="Arial" w:cs="Arial" w:eastAsia="Arial" w:hAnsi="Arial"/>
                <w:sz w:val="13"/>
                <w:szCs w:val="13"/>
                <w:color w:val="auto"/>
              </w:rPr>
              <w:t>732</w:t>
            </w:r>
          </w:p>
        </w:tc>
        <w:tc>
          <w:tcPr>
            <w:tcW w:w="8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965</w:t>
            </w:r>
          </w:p>
        </w:tc>
        <w:tc>
          <w:tcPr>
            <w:tcW w:w="980" w:type="dxa"/>
            <w:vAlign w:val="bottom"/>
            <w:gridSpan w:val="2"/>
          </w:tcPr>
          <w:p>
            <w:pPr>
              <w:jc w:val="right"/>
              <w:ind w:right="100"/>
              <w:spacing w:after="0"/>
              <w:rPr>
                <w:sz w:val="20"/>
                <w:szCs w:val="20"/>
                <w:color w:val="auto"/>
              </w:rPr>
            </w:pPr>
            <w:r>
              <w:rPr>
                <w:rFonts w:ascii="Arial" w:cs="Arial" w:eastAsia="Arial" w:hAnsi="Arial"/>
                <w:sz w:val="13"/>
                <w:szCs w:val="13"/>
                <w:color w:val="auto"/>
              </w:rPr>
              <w:t>965</w:t>
            </w:r>
          </w:p>
        </w:tc>
      </w:tr>
      <w:tr>
        <w:trPr>
          <w:trHeight w:val="154"/>
        </w:trPr>
        <w:tc>
          <w:tcPr>
            <w:tcW w:w="4540" w:type="dxa"/>
            <w:vAlign w:val="bottom"/>
            <w:shd w:val="clear" w:color="auto" w:fill="CCEEFF"/>
          </w:tcPr>
          <w:p>
            <w:pPr>
              <w:ind w:left="120"/>
              <w:spacing w:after="0"/>
              <w:rPr>
                <w:sz w:val="20"/>
                <w:szCs w:val="20"/>
                <w:color w:val="auto"/>
              </w:rPr>
            </w:pPr>
            <w:r>
              <w:rPr>
                <w:rFonts w:ascii="Arial" w:cs="Arial" w:eastAsia="Arial" w:hAnsi="Arial"/>
                <w:sz w:val="13"/>
                <w:szCs w:val="13"/>
                <w:color w:val="auto"/>
              </w:rPr>
              <w:t>Net changes in hedging position</w:t>
            </w:r>
          </w:p>
        </w:tc>
        <w:tc>
          <w:tcPr>
            <w:tcW w:w="11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(26,363)</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24,530</w:t>
            </w:r>
          </w:p>
        </w:tc>
        <w:tc>
          <w:tcPr>
            <w:tcW w:w="108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(1,833)</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21,333</w:t>
            </w:r>
          </w:p>
        </w:tc>
        <w:tc>
          <w:tcPr>
            <w:tcW w:w="108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(46,169)</w:t>
            </w:r>
          </w:p>
        </w:tc>
        <w:tc>
          <w:tcPr>
            <w:tcW w:w="98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(24,836)</w:t>
            </w:r>
          </w:p>
        </w:tc>
      </w:tr>
      <w:tr>
        <w:trPr>
          <w:trHeight w:val="154"/>
        </w:trPr>
        <w:tc>
          <w:tcPr>
            <w:tcW w:w="4540" w:type="dxa"/>
            <w:vAlign w:val="bottom"/>
          </w:tcPr>
          <w:p>
            <w:pPr>
              <w:spacing w:after="0"/>
              <w:rPr>
                <w:sz w:val="20"/>
                <w:szCs w:val="20"/>
                <w:color w:val="auto"/>
              </w:rPr>
            </w:pPr>
            <w:r>
              <w:rPr>
                <w:rFonts w:ascii="Arial" w:cs="Arial" w:eastAsia="Arial" w:hAnsi="Arial"/>
                <w:sz w:val="13"/>
                <w:szCs w:val="13"/>
                <w:color w:val="auto"/>
              </w:rPr>
              <w:t>Investing activities</w:t>
            </w:r>
          </w:p>
        </w:tc>
        <w:tc>
          <w:tcPr>
            <w:tcW w:w="8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4540" w:type="dxa"/>
            <w:vAlign w:val="bottom"/>
            <w:shd w:val="clear" w:color="auto" w:fill="CCEEFF"/>
          </w:tcPr>
          <w:p>
            <w:pPr>
              <w:ind w:left="120"/>
              <w:spacing w:after="0"/>
              <w:rPr>
                <w:sz w:val="20"/>
                <w:szCs w:val="20"/>
                <w:color w:val="auto"/>
              </w:rPr>
            </w:pPr>
            <w:r>
              <w:rPr>
                <w:rFonts w:ascii="Arial" w:cs="Arial" w:eastAsia="Arial" w:hAnsi="Arial"/>
                <w:sz w:val="13"/>
                <w:szCs w:val="13"/>
                <w:color w:val="auto"/>
              </w:rPr>
              <w:t>Proceeds from maturities of securities at amortized cost</w:t>
            </w:r>
          </w:p>
        </w:tc>
        <w:tc>
          <w:tcPr>
            <w:tcW w:w="11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18,258</w:t>
            </w:r>
          </w:p>
        </w:tc>
        <w:tc>
          <w:tcPr>
            <w:tcW w:w="11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(732)</w:t>
            </w: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17,526</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55,240</w:t>
            </w:r>
          </w:p>
        </w:tc>
        <w:tc>
          <w:tcPr>
            <w:tcW w:w="108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(965)</w:t>
            </w: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54,275</w:t>
            </w:r>
          </w:p>
        </w:tc>
      </w:tr>
      <w:tr>
        <w:trPr>
          <w:trHeight w:val="154"/>
        </w:trPr>
        <w:tc>
          <w:tcPr>
            <w:tcW w:w="4540" w:type="dxa"/>
            <w:vAlign w:val="bottom"/>
          </w:tcPr>
          <w:p>
            <w:pPr>
              <w:spacing w:after="0"/>
              <w:rPr>
                <w:sz w:val="20"/>
                <w:szCs w:val="20"/>
                <w:color w:val="auto"/>
              </w:rPr>
            </w:pPr>
            <w:r>
              <w:rPr>
                <w:rFonts w:ascii="Arial" w:cs="Arial" w:eastAsia="Arial" w:hAnsi="Arial"/>
                <w:sz w:val="13"/>
                <w:szCs w:val="13"/>
                <w:color w:val="auto"/>
              </w:rPr>
              <w:t>Financing activities</w:t>
            </w:r>
          </w:p>
        </w:tc>
        <w:tc>
          <w:tcPr>
            <w:tcW w:w="8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4540" w:type="dxa"/>
            <w:vAlign w:val="bottom"/>
            <w:shd w:val="clear" w:color="auto" w:fill="CCEEFF"/>
          </w:tcPr>
          <w:p>
            <w:pPr>
              <w:ind w:left="120"/>
              <w:spacing w:after="0"/>
              <w:rPr>
                <w:sz w:val="20"/>
                <w:szCs w:val="20"/>
                <w:color w:val="auto"/>
              </w:rPr>
            </w:pPr>
            <w:r>
              <w:rPr>
                <w:rFonts w:ascii="Arial" w:cs="Arial" w:eastAsia="Arial" w:hAnsi="Arial"/>
                <w:sz w:val="13"/>
                <w:szCs w:val="13"/>
                <w:color w:val="auto"/>
              </w:rPr>
              <w:t>Net increase (decrease) in short-term borrowings and debt</w:t>
            </w:r>
          </w:p>
        </w:tc>
        <w:tc>
          <w:tcPr>
            <w:tcW w:w="11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(397,352)</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1,147</w:t>
            </w:r>
          </w:p>
        </w:tc>
        <w:tc>
          <w:tcPr>
            <w:tcW w:w="108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(396,205)</w:t>
            </w:r>
          </w:p>
        </w:tc>
        <w:tc>
          <w:tcPr>
            <w:tcW w:w="11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(960,281)</w:t>
            </w:r>
          </w:p>
        </w:tc>
        <w:tc>
          <w:tcPr>
            <w:tcW w:w="108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(814)</w:t>
            </w:r>
          </w:p>
        </w:tc>
        <w:tc>
          <w:tcPr>
            <w:tcW w:w="98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(961,095)</w:t>
            </w:r>
          </w:p>
        </w:tc>
      </w:tr>
      <w:tr>
        <w:trPr>
          <w:trHeight w:val="154"/>
        </w:trPr>
        <w:tc>
          <w:tcPr>
            <w:tcW w:w="4540" w:type="dxa"/>
            <w:vAlign w:val="bottom"/>
          </w:tcPr>
          <w:p>
            <w:pPr>
              <w:ind w:left="120"/>
              <w:spacing w:after="0"/>
              <w:rPr>
                <w:sz w:val="20"/>
                <w:szCs w:val="20"/>
                <w:color w:val="auto"/>
              </w:rPr>
            </w:pPr>
            <w:r>
              <w:rPr>
                <w:rFonts w:ascii="Arial" w:cs="Arial" w:eastAsia="Arial" w:hAnsi="Arial"/>
                <w:sz w:val="13"/>
                <w:szCs w:val="13"/>
                <w:color w:val="auto"/>
              </w:rPr>
              <w:t>Proceeds from long-term borrowings and debt</w:t>
            </w:r>
          </w:p>
        </w:tc>
        <w:tc>
          <w:tcPr>
            <w:tcW w:w="1120" w:type="dxa"/>
            <w:vAlign w:val="bottom"/>
            <w:gridSpan w:val="2"/>
          </w:tcPr>
          <w:p>
            <w:pPr>
              <w:jc w:val="right"/>
              <w:ind w:right="240"/>
              <w:spacing w:after="0"/>
              <w:rPr>
                <w:sz w:val="20"/>
                <w:szCs w:val="20"/>
                <w:color w:val="auto"/>
              </w:rPr>
            </w:pPr>
            <w:r>
              <w:rPr>
                <w:rFonts w:ascii="Arial" w:cs="Arial" w:eastAsia="Arial" w:hAnsi="Arial"/>
                <w:sz w:val="13"/>
                <w:szCs w:val="13"/>
                <w:color w:val="auto"/>
              </w:rPr>
              <w:t>219,905</w:t>
            </w: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080" w:type="dxa"/>
            <w:vAlign w:val="bottom"/>
            <w:gridSpan w:val="2"/>
          </w:tcPr>
          <w:p>
            <w:pPr>
              <w:jc w:val="right"/>
              <w:ind w:right="200"/>
              <w:spacing w:after="0"/>
              <w:rPr>
                <w:sz w:val="20"/>
                <w:szCs w:val="20"/>
                <w:color w:val="auto"/>
              </w:rPr>
            </w:pPr>
            <w:r>
              <w:rPr>
                <w:rFonts w:ascii="Arial" w:cs="Arial" w:eastAsia="Arial" w:hAnsi="Arial"/>
                <w:sz w:val="13"/>
                <w:szCs w:val="13"/>
                <w:color w:val="auto"/>
              </w:rPr>
              <w:t>219,905</w:t>
            </w:r>
          </w:p>
        </w:tc>
        <w:tc>
          <w:tcPr>
            <w:tcW w:w="880" w:type="dxa"/>
            <w:vAlign w:val="bottom"/>
          </w:tcPr>
          <w:p>
            <w:pPr>
              <w:jc w:val="right"/>
              <w:spacing w:after="0"/>
              <w:rPr>
                <w:sz w:val="20"/>
                <w:szCs w:val="20"/>
                <w:color w:val="auto"/>
              </w:rPr>
            </w:pPr>
            <w:r>
              <w:rPr>
                <w:rFonts w:ascii="Arial" w:cs="Arial" w:eastAsia="Arial" w:hAnsi="Arial"/>
                <w:sz w:val="13"/>
                <w:szCs w:val="13"/>
                <w:color w:val="auto"/>
              </w:rPr>
              <w:t>403,489</w:t>
            </w:r>
          </w:p>
        </w:tc>
        <w:tc>
          <w:tcPr>
            <w:tcW w:w="220" w:type="dxa"/>
            <w:vAlign w:val="bottom"/>
          </w:tcPr>
          <w:p>
            <w:pPr>
              <w:spacing w:after="0"/>
              <w:rPr>
                <w:sz w:val="13"/>
                <w:szCs w:val="13"/>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2,660</w:t>
            </w:r>
          </w:p>
        </w:tc>
        <w:tc>
          <w:tcPr>
            <w:tcW w:w="980" w:type="dxa"/>
            <w:vAlign w:val="bottom"/>
            <w:gridSpan w:val="2"/>
          </w:tcPr>
          <w:p>
            <w:pPr>
              <w:jc w:val="right"/>
              <w:ind w:right="100"/>
              <w:spacing w:after="0"/>
              <w:rPr>
                <w:sz w:val="20"/>
                <w:szCs w:val="20"/>
                <w:color w:val="auto"/>
              </w:rPr>
            </w:pPr>
            <w:r>
              <w:rPr>
                <w:rFonts w:ascii="Arial" w:cs="Arial" w:eastAsia="Arial" w:hAnsi="Arial"/>
                <w:sz w:val="13"/>
                <w:szCs w:val="13"/>
                <w:color w:val="auto"/>
              </w:rPr>
              <w:t>406,149</w:t>
            </w:r>
          </w:p>
        </w:tc>
      </w:tr>
      <w:tr>
        <w:trPr>
          <w:trHeight w:val="154"/>
        </w:trPr>
        <w:tc>
          <w:tcPr>
            <w:tcW w:w="4540" w:type="dxa"/>
            <w:vAlign w:val="bottom"/>
            <w:shd w:val="clear" w:color="auto" w:fill="CCEEFF"/>
          </w:tcPr>
          <w:p>
            <w:pPr>
              <w:ind w:left="120"/>
              <w:spacing w:after="0"/>
              <w:rPr>
                <w:sz w:val="20"/>
                <w:szCs w:val="20"/>
                <w:color w:val="auto"/>
              </w:rPr>
            </w:pPr>
            <w:r>
              <w:rPr>
                <w:rFonts w:ascii="Arial" w:cs="Arial" w:eastAsia="Arial" w:hAnsi="Arial"/>
                <w:sz w:val="13"/>
                <w:szCs w:val="13"/>
                <w:color w:val="auto"/>
              </w:rPr>
              <w:t>Repayments of long-term borrowings and debt</w:t>
            </w:r>
          </w:p>
        </w:tc>
        <w:tc>
          <w:tcPr>
            <w:tcW w:w="11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(857,799)</w:t>
            </w:r>
          </w:p>
        </w:tc>
        <w:tc>
          <w:tcPr>
            <w:tcW w:w="11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(25,677)</w:t>
            </w:r>
          </w:p>
        </w:tc>
        <w:tc>
          <w:tcPr>
            <w:tcW w:w="108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(883,476)</w:t>
            </w:r>
          </w:p>
        </w:tc>
        <w:tc>
          <w:tcPr>
            <w:tcW w:w="11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(508,564)</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44,322</w:t>
            </w:r>
          </w:p>
        </w:tc>
        <w:tc>
          <w:tcPr>
            <w:tcW w:w="98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(464,242)</w:t>
            </w:r>
          </w:p>
        </w:tc>
      </w:tr>
    </w:tbl>
    <w:p>
      <w:pPr>
        <w:spacing w:after="0" w:line="145" w:lineRule="exact"/>
        <w:rPr>
          <w:sz w:val="20"/>
          <w:szCs w:val="20"/>
          <w:color w:val="auto"/>
        </w:rPr>
      </w:pPr>
    </w:p>
    <w:p>
      <w:pPr>
        <w:ind w:left="223"/>
        <w:spacing w:after="0"/>
        <w:rPr>
          <w:sz w:val="20"/>
          <w:szCs w:val="20"/>
          <w:color w:val="auto"/>
        </w:rPr>
      </w:pPr>
      <w:r>
        <w:rPr>
          <w:rFonts w:ascii="Arial" w:cs="Arial" w:eastAsia="Arial" w:hAnsi="Arial"/>
          <w:sz w:val="13"/>
          <w:szCs w:val="13"/>
          <w:color w:val="auto"/>
        </w:rPr>
        <w:t>These reclassifications and corrections did not change total assets, liabilities, equity, nor the profit for the respective years.</w:t>
      </w:r>
    </w:p>
    <w:p>
      <w:pPr>
        <w:spacing w:after="0" w:line="155" w:lineRule="exact"/>
        <w:rPr>
          <w:sz w:val="20"/>
          <w:szCs w:val="20"/>
          <w:color w:val="auto"/>
        </w:rPr>
      </w:pPr>
    </w:p>
    <w:p>
      <w:pPr>
        <w:ind w:left="223"/>
        <w:spacing w:after="0"/>
        <w:tabs>
          <w:tab w:leader="none" w:pos="683" w:val="left"/>
        </w:tabs>
        <w:rPr>
          <w:sz w:val="20"/>
          <w:szCs w:val="20"/>
          <w:color w:val="auto"/>
        </w:rPr>
      </w:pPr>
      <w:r>
        <w:rPr>
          <w:rFonts w:ascii="Arial" w:cs="Arial" w:eastAsia="Arial" w:hAnsi="Arial"/>
          <w:sz w:val="13"/>
          <w:szCs w:val="13"/>
          <w:b w:val="1"/>
          <w:bCs w:val="1"/>
          <w:color w:val="auto"/>
        </w:rPr>
        <w:t>2.4</w:t>
      </w:r>
      <w:r>
        <w:rPr>
          <w:sz w:val="20"/>
          <w:szCs w:val="20"/>
          <w:color w:val="auto"/>
        </w:rPr>
        <w:tab/>
      </w:r>
      <w:r>
        <w:rPr>
          <w:rFonts w:ascii="Arial" w:cs="Arial" w:eastAsia="Arial" w:hAnsi="Arial"/>
          <w:sz w:val="11"/>
          <w:szCs w:val="11"/>
          <w:b w:val="1"/>
          <w:bCs w:val="1"/>
          <w:color w:val="auto"/>
        </w:rPr>
        <w:t>Basis of consolidation</w:t>
      </w:r>
    </w:p>
    <w:p>
      <w:pPr>
        <w:spacing w:after="0" w:line="163" w:lineRule="exact"/>
        <w:rPr>
          <w:sz w:val="20"/>
          <w:szCs w:val="20"/>
          <w:color w:val="auto"/>
        </w:rPr>
      </w:pPr>
    </w:p>
    <w:p>
      <w:pPr>
        <w:ind w:left="223"/>
        <w:spacing w:after="0" w:line="267" w:lineRule="auto"/>
        <w:rPr>
          <w:sz w:val="20"/>
          <w:szCs w:val="20"/>
          <w:color w:val="auto"/>
        </w:rPr>
      </w:pPr>
      <w:r>
        <w:rPr>
          <w:rFonts w:ascii="Arial" w:cs="Arial" w:eastAsia="Arial" w:hAnsi="Arial"/>
          <w:sz w:val="13"/>
          <w:szCs w:val="13"/>
          <w:color w:val="auto"/>
        </w:rPr>
        <w:t>The consolidated financial statements comprise the financial statements of Bladex and its subsidiaries. Bladex consolidates its subsidiaries from the date on which control is transferred to the Bank. All intercompany balances and transactions have been eliminated for consolidation purposes. Specifically, the Bank controls an investee if, and only if, the Bank has the following elements:</w:t>
      </w:r>
    </w:p>
    <w:p>
      <w:pPr>
        <w:spacing w:after="0" w:line="129" w:lineRule="exact"/>
        <w:rPr>
          <w:sz w:val="20"/>
          <w:szCs w:val="20"/>
          <w:color w:val="auto"/>
        </w:rPr>
      </w:pPr>
    </w:p>
    <w:p>
      <w:pPr>
        <w:ind w:left="703" w:hanging="241"/>
        <w:spacing w:after="0"/>
        <w:tabs>
          <w:tab w:leader="none" w:pos="703" w:val="left"/>
        </w:tabs>
        <w:numPr>
          <w:ilvl w:val="0"/>
          <w:numId w:val="90"/>
        </w:numPr>
        <w:rPr>
          <w:rFonts w:ascii="Arial" w:cs="Arial" w:eastAsia="Arial" w:hAnsi="Arial"/>
          <w:sz w:val="13"/>
          <w:szCs w:val="13"/>
          <w:color w:val="auto"/>
        </w:rPr>
      </w:pPr>
      <w:r>
        <w:rPr>
          <w:rFonts w:ascii="Arial" w:cs="Arial" w:eastAsia="Arial" w:hAnsi="Arial"/>
          <w:sz w:val="13"/>
          <w:szCs w:val="13"/>
          <w:color w:val="auto"/>
        </w:rPr>
        <w:t>Power over the investee. Existing rights that give it the current ability to direct the relevant activities of the investee.</w:t>
      </w:r>
    </w:p>
    <w:p>
      <w:pPr>
        <w:spacing w:after="0" w:line="12" w:lineRule="exact"/>
        <w:rPr>
          <w:rFonts w:ascii="Arial" w:cs="Arial" w:eastAsia="Arial" w:hAnsi="Arial"/>
          <w:sz w:val="13"/>
          <w:szCs w:val="13"/>
          <w:color w:val="auto"/>
        </w:rPr>
      </w:pPr>
    </w:p>
    <w:p>
      <w:pPr>
        <w:ind w:left="703" w:hanging="241"/>
        <w:spacing w:after="0"/>
        <w:tabs>
          <w:tab w:leader="none" w:pos="703" w:val="left"/>
        </w:tabs>
        <w:numPr>
          <w:ilvl w:val="0"/>
          <w:numId w:val="90"/>
        </w:numPr>
        <w:rPr>
          <w:rFonts w:ascii="Arial" w:cs="Arial" w:eastAsia="Arial" w:hAnsi="Arial"/>
          <w:sz w:val="13"/>
          <w:szCs w:val="13"/>
          <w:color w:val="auto"/>
        </w:rPr>
      </w:pPr>
      <w:r>
        <w:rPr>
          <w:rFonts w:ascii="Arial" w:cs="Arial" w:eastAsia="Arial" w:hAnsi="Arial"/>
          <w:sz w:val="13"/>
          <w:szCs w:val="13"/>
          <w:color w:val="auto"/>
        </w:rPr>
        <w:t>Exposure or rights to variable returns from its involvement with the investee.</w:t>
      </w:r>
    </w:p>
    <w:p>
      <w:pPr>
        <w:spacing w:after="0" w:line="4" w:lineRule="exact"/>
        <w:rPr>
          <w:rFonts w:ascii="Arial" w:cs="Arial" w:eastAsia="Arial" w:hAnsi="Arial"/>
          <w:sz w:val="13"/>
          <w:szCs w:val="13"/>
          <w:color w:val="auto"/>
        </w:rPr>
      </w:pPr>
    </w:p>
    <w:p>
      <w:pPr>
        <w:ind w:left="703" w:hanging="241"/>
        <w:spacing w:after="0"/>
        <w:tabs>
          <w:tab w:leader="none" w:pos="703" w:val="left"/>
        </w:tabs>
        <w:numPr>
          <w:ilvl w:val="0"/>
          <w:numId w:val="90"/>
        </w:numPr>
        <w:rPr>
          <w:rFonts w:ascii="Arial" w:cs="Arial" w:eastAsia="Arial" w:hAnsi="Arial"/>
          <w:sz w:val="13"/>
          <w:szCs w:val="13"/>
          <w:color w:val="auto"/>
        </w:rPr>
      </w:pPr>
      <w:r>
        <w:rPr>
          <w:rFonts w:ascii="Arial" w:cs="Arial" w:eastAsia="Arial" w:hAnsi="Arial"/>
          <w:sz w:val="13"/>
          <w:szCs w:val="13"/>
          <w:color w:val="auto"/>
        </w:rPr>
        <w:t>The ability to use its power over the investee to affect its returns.</w:t>
      </w:r>
    </w:p>
    <w:p>
      <w:pPr>
        <w:spacing w:after="0" w:line="150" w:lineRule="exact"/>
        <w:rPr>
          <w:sz w:val="20"/>
          <w:szCs w:val="20"/>
          <w:color w:val="auto"/>
        </w:rPr>
      </w:pPr>
    </w:p>
    <w:p>
      <w:pPr>
        <w:ind w:left="223"/>
        <w:spacing w:after="0" w:line="267" w:lineRule="auto"/>
        <w:rPr>
          <w:sz w:val="20"/>
          <w:szCs w:val="20"/>
          <w:color w:val="auto"/>
        </w:rPr>
      </w:pPr>
      <w:r>
        <w:rPr>
          <w:rFonts w:ascii="Arial" w:cs="Arial" w:eastAsia="Arial" w:hAnsi="Arial"/>
          <w:sz w:val="13"/>
          <w:szCs w:val="13"/>
          <w:color w:val="auto"/>
        </w:rPr>
        <w:t>Generally, there is a presumption that a majority of voting rights results in control. To support this presumption and when the Bank has less than the majority of the voting or similar rights of an investee, the Bank considers all relevant facts and circumstances in assessing whether it has power over an investee, including:</w:t>
      </w:r>
    </w:p>
    <w:p>
      <w:pPr>
        <w:spacing w:after="0" w:line="129"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6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85" w:right="219" w:bottom="1440" w:gutter="0" w:footer="0" w:header="0"/>
        </w:sectPr>
      </w:pPr>
    </w:p>
    <w:bookmarkStart w:id="136" w:name="page137"/>
    <w:bookmarkEnd w:id="136"/>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6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91"/>
        </w:numPr>
        <w:rPr>
          <w:rFonts w:ascii="Arial" w:cs="Arial" w:eastAsia="Arial" w:hAnsi="Arial"/>
          <w:sz w:val="13"/>
          <w:szCs w:val="13"/>
          <w:b w:val="1"/>
          <w:bCs w:val="1"/>
          <w:color w:val="auto"/>
        </w:rPr>
      </w:pPr>
      <w:r>
        <w:rPr>
          <w:rFonts w:ascii="Arial" w:cs="Arial" w:eastAsia="Arial" w:hAnsi="Arial"/>
          <w:sz w:val="13"/>
          <w:szCs w:val="13"/>
          <w:b w:val="1"/>
          <w:bCs w:val="1"/>
          <w:color w:val="auto"/>
        </w:rPr>
        <w:t>Basis of preparation of the consolidated financial statements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2.4</w:t>
      </w:r>
      <w:r>
        <w:rPr>
          <w:rFonts w:ascii="Arial" w:cs="Arial" w:eastAsia="Arial" w:hAnsi="Arial"/>
          <w:sz w:val="11"/>
          <w:szCs w:val="11"/>
          <w:b w:val="1"/>
          <w:bCs w:val="1"/>
          <w:color w:val="auto"/>
        </w:rPr>
        <w:t>Basis of consolidation (continued)</w:t>
      </w:r>
    </w:p>
    <w:p>
      <w:pPr>
        <w:spacing w:after="0" w:line="162" w:lineRule="exact"/>
        <w:rPr>
          <w:rFonts w:ascii="Arial" w:cs="Arial" w:eastAsia="Arial" w:hAnsi="Arial"/>
          <w:sz w:val="13"/>
          <w:szCs w:val="13"/>
          <w:b w:val="1"/>
          <w:bCs w:val="1"/>
          <w:color w:val="auto"/>
        </w:rPr>
      </w:pPr>
    </w:p>
    <w:p>
      <w:pPr>
        <w:ind w:left="703" w:hanging="241"/>
        <w:spacing w:after="0"/>
        <w:tabs>
          <w:tab w:leader="none" w:pos="703" w:val="left"/>
        </w:tabs>
        <w:numPr>
          <w:ilvl w:val="1"/>
          <w:numId w:val="91"/>
        </w:numPr>
        <w:rPr>
          <w:rFonts w:ascii="Arial" w:cs="Arial" w:eastAsia="Arial" w:hAnsi="Arial"/>
          <w:sz w:val="13"/>
          <w:szCs w:val="13"/>
          <w:color w:val="auto"/>
        </w:rPr>
      </w:pPr>
      <w:r>
        <w:rPr>
          <w:rFonts w:ascii="Arial" w:cs="Arial" w:eastAsia="Arial" w:hAnsi="Arial"/>
          <w:sz w:val="13"/>
          <w:szCs w:val="13"/>
          <w:color w:val="auto"/>
        </w:rPr>
        <w:t>The contractual arrangement(s) with the other vote holders of the investee</w:t>
      </w:r>
    </w:p>
    <w:p>
      <w:pPr>
        <w:spacing w:after="0" w:line="12" w:lineRule="exact"/>
        <w:rPr>
          <w:rFonts w:ascii="Arial" w:cs="Arial" w:eastAsia="Arial" w:hAnsi="Arial"/>
          <w:sz w:val="13"/>
          <w:szCs w:val="13"/>
          <w:color w:val="auto"/>
        </w:rPr>
      </w:pPr>
    </w:p>
    <w:p>
      <w:pPr>
        <w:ind w:left="703" w:hanging="241"/>
        <w:spacing w:after="0"/>
        <w:tabs>
          <w:tab w:leader="none" w:pos="703" w:val="left"/>
        </w:tabs>
        <w:numPr>
          <w:ilvl w:val="1"/>
          <w:numId w:val="91"/>
        </w:numPr>
        <w:rPr>
          <w:rFonts w:ascii="Arial" w:cs="Arial" w:eastAsia="Arial" w:hAnsi="Arial"/>
          <w:sz w:val="13"/>
          <w:szCs w:val="13"/>
          <w:color w:val="auto"/>
        </w:rPr>
      </w:pPr>
      <w:r>
        <w:rPr>
          <w:rFonts w:ascii="Arial" w:cs="Arial" w:eastAsia="Arial" w:hAnsi="Arial"/>
          <w:sz w:val="13"/>
          <w:szCs w:val="13"/>
          <w:color w:val="auto"/>
        </w:rPr>
        <w:t>Rights arising from other contractual arrangements</w:t>
      </w:r>
    </w:p>
    <w:p>
      <w:pPr>
        <w:spacing w:after="0" w:line="4" w:lineRule="exact"/>
        <w:rPr>
          <w:rFonts w:ascii="Arial" w:cs="Arial" w:eastAsia="Arial" w:hAnsi="Arial"/>
          <w:sz w:val="13"/>
          <w:szCs w:val="13"/>
          <w:color w:val="auto"/>
        </w:rPr>
      </w:pPr>
    </w:p>
    <w:p>
      <w:pPr>
        <w:ind w:left="703" w:hanging="241"/>
        <w:spacing w:after="0"/>
        <w:tabs>
          <w:tab w:leader="none" w:pos="703" w:val="left"/>
        </w:tabs>
        <w:numPr>
          <w:ilvl w:val="1"/>
          <w:numId w:val="91"/>
        </w:numPr>
        <w:rPr>
          <w:rFonts w:ascii="Arial" w:cs="Arial" w:eastAsia="Arial" w:hAnsi="Arial"/>
          <w:sz w:val="13"/>
          <w:szCs w:val="13"/>
          <w:color w:val="auto"/>
        </w:rPr>
      </w:pPr>
      <w:r>
        <w:rPr>
          <w:rFonts w:ascii="Arial" w:cs="Arial" w:eastAsia="Arial" w:hAnsi="Arial"/>
          <w:sz w:val="13"/>
          <w:szCs w:val="13"/>
          <w:color w:val="auto"/>
        </w:rPr>
        <w:t>The Bank’s voting rights and potential voting rights.</w:t>
      </w:r>
    </w:p>
    <w:p>
      <w:pPr>
        <w:spacing w:after="0" w:line="150" w:lineRule="exact"/>
        <w:rPr>
          <w:sz w:val="20"/>
          <w:szCs w:val="20"/>
          <w:color w:val="auto"/>
        </w:rPr>
      </w:pPr>
    </w:p>
    <w:p>
      <w:pPr>
        <w:ind w:left="223"/>
        <w:spacing w:after="0" w:line="267" w:lineRule="auto"/>
        <w:rPr>
          <w:sz w:val="20"/>
          <w:szCs w:val="20"/>
          <w:color w:val="auto"/>
        </w:rPr>
      </w:pPr>
      <w:r>
        <w:rPr>
          <w:rFonts w:ascii="Arial" w:cs="Arial" w:eastAsia="Arial" w:hAnsi="Arial"/>
          <w:sz w:val="13"/>
          <w:szCs w:val="13"/>
          <w:color w:val="auto"/>
        </w:rPr>
        <w:t>The Bank re-assesses whether or not it controls an investee if facts and circumstances indicate that there are changes to one or more of the three elements of control. The consolidation of the financial statements of a subsidiary begins when the Bank obtains control over the subsidiary and ceases when the Bank loses control of the subsidiary.</w:t>
      </w:r>
    </w:p>
    <w:p>
      <w:pPr>
        <w:spacing w:after="0" w:line="129" w:lineRule="exact"/>
        <w:rPr>
          <w:sz w:val="20"/>
          <w:szCs w:val="20"/>
          <w:color w:val="auto"/>
        </w:rPr>
      </w:pPr>
    </w:p>
    <w:p>
      <w:pPr>
        <w:ind w:left="223"/>
        <w:spacing w:after="0" w:line="310" w:lineRule="auto"/>
        <w:rPr>
          <w:sz w:val="20"/>
          <w:szCs w:val="20"/>
          <w:color w:val="auto"/>
        </w:rPr>
      </w:pPr>
      <w:r>
        <w:rPr>
          <w:rFonts w:ascii="Arial" w:cs="Arial" w:eastAsia="Arial" w:hAnsi="Arial"/>
          <w:sz w:val="12"/>
          <w:szCs w:val="12"/>
          <w:color w:val="auto"/>
        </w:rPr>
        <w:t>Profit or loss and each component of other comprehensive income (“OCI”) are attributed to the equity holders of the Bank and to the non-controlling interests, even if this results in the non-controlling interests having a deficit balance. When necessary, adjustments are made to the financial statements of subsidiaries to bring their accounting policies in line with the Bank’s accounting policies.</w:t>
      </w:r>
    </w:p>
    <w:p>
      <w:pPr>
        <w:spacing w:after="0" w:line="106" w:lineRule="exact"/>
        <w:rPr>
          <w:sz w:val="20"/>
          <w:szCs w:val="20"/>
          <w:color w:val="auto"/>
        </w:rPr>
      </w:pPr>
    </w:p>
    <w:p>
      <w:pPr>
        <w:ind w:left="223"/>
        <w:spacing w:after="0" w:line="310" w:lineRule="auto"/>
        <w:rPr>
          <w:sz w:val="20"/>
          <w:szCs w:val="20"/>
          <w:color w:val="auto"/>
        </w:rPr>
      </w:pPr>
      <w:r>
        <w:rPr>
          <w:rFonts w:ascii="Arial" w:cs="Arial" w:eastAsia="Arial" w:hAnsi="Arial"/>
          <w:sz w:val="12"/>
          <w:szCs w:val="12"/>
          <w:color w:val="auto"/>
        </w:rPr>
        <w:t>A change in the ownership interest of a subsidiary, without a loss of control, is accounted for as an equity transaction. If the Bank loses control over a subsidiary, it derecognizes the related assets, liabilities, non-controlling interest and other components of equity, while any resultant gain or loss is recognized in profit or loss. Any investment retained in the former subsidiary is recognized at fair value.</w:t>
      </w:r>
    </w:p>
    <w:p>
      <w:pPr>
        <w:spacing w:after="0" w:line="106" w:lineRule="exact"/>
        <w:rPr>
          <w:sz w:val="20"/>
          <w:szCs w:val="20"/>
          <w:color w:val="auto"/>
        </w:rPr>
      </w:pPr>
    </w:p>
    <w:p>
      <w:pPr>
        <w:ind w:left="223"/>
        <w:spacing w:after="0" w:line="267" w:lineRule="auto"/>
        <w:rPr>
          <w:sz w:val="20"/>
          <w:szCs w:val="20"/>
          <w:color w:val="auto"/>
        </w:rPr>
      </w:pPr>
      <w:r>
        <w:rPr>
          <w:rFonts w:ascii="Arial" w:cs="Arial" w:eastAsia="Arial" w:hAnsi="Arial"/>
          <w:sz w:val="13"/>
          <w:szCs w:val="13"/>
          <w:color w:val="auto"/>
        </w:rPr>
        <w:t>The fair value of any investment retained in the former subsidiary at the date when control is lost is regarded as the fair value on initial recognition for subsequent accounting under IFRS 9 – “</w:t>
      </w:r>
      <w:r>
        <w:rPr>
          <w:rFonts w:ascii="Arial" w:cs="Arial" w:eastAsia="Arial" w:hAnsi="Arial"/>
          <w:sz w:val="13"/>
          <w:szCs w:val="13"/>
          <w:i w:val="1"/>
          <w:iCs w:val="1"/>
          <w:color w:val="auto"/>
        </w:rPr>
        <w:t>Financial Instruments</w:t>
      </w:r>
      <w:r>
        <w:rPr>
          <w:rFonts w:ascii="Arial" w:cs="Arial" w:eastAsia="Arial" w:hAnsi="Arial"/>
          <w:sz w:val="13"/>
          <w:szCs w:val="13"/>
          <w:color w:val="auto"/>
        </w:rPr>
        <w:t>”, or where applicable, to the cost on initial recognition of an investment in an associate or a joint venture.</w:t>
      </w:r>
    </w:p>
    <w:p>
      <w:pPr>
        <w:spacing w:after="0" w:line="125" w:lineRule="exact"/>
        <w:rPr>
          <w:sz w:val="20"/>
          <w:szCs w:val="20"/>
          <w:color w:val="auto"/>
        </w:rPr>
      </w:pPr>
    </w:p>
    <w:p>
      <w:pPr>
        <w:ind w:left="223" w:hanging="223"/>
        <w:spacing w:after="0"/>
        <w:tabs>
          <w:tab w:leader="none" w:pos="223" w:val="left"/>
        </w:tabs>
        <w:numPr>
          <w:ilvl w:val="0"/>
          <w:numId w:val="92"/>
        </w:numPr>
        <w:rPr>
          <w:rFonts w:ascii="Arial" w:cs="Arial" w:eastAsia="Arial" w:hAnsi="Arial"/>
          <w:sz w:val="13"/>
          <w:szCs w:val="13"/>
          <w:b w:val="1"/>
          <w:bCs w:val="1"/>
          <w:color w:val="auto"/>
        </w:rPr>
      </w:pPr>
      <w:r>
        <w:rPr>
          <w:rFonts w:ascii="Arial" w:cs="Arial" w:eastAsia="Arial" w:hAnsi="Arial"/>
          <w:sz w:val="13"/>
          <w:szCs w:val="13"/>
          <w:b w:val="1"/>
          <w:bCs w:val="1"/>
          <w:color w:val="auto"/>
        </w:rPr>
        <w:t>Summary of accounting policies</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3.1</w:t>
      </w:r>
      <w:r>
        <w:rPr>
          <w:rFonts w:ascii="Arial" w:cs="Arial" w:eastAsia="Arial" w:hAnsi="Arial"/>
          <w:sz w:val="11"/>
          <w:szCs w:val="11"/>
          <w:b w:val="1"/>
          <w:bCs w:val="1"/>
          <w:color w:val="auto"/>
        </w:rPr>
        <w:t>New accounting policies</w:t>
      </w:r>
    </w:p>
    <w:p>
      <w:pPr>
        <w:spacing w:after="0" w:line="158" w:lineRule="exact"/>
        <w:rPr>
          <w:rFonts w:ascii="Arial" w:cs="Arial" w:eastAsia="Arial" w:hAnsi="Arial"/>
          <w:sz w:val="13"/>
          <w:szCs w:val="13"/>
          <w:b w:val="1"/>
          <w:bCs w:val="1"/>
          <w:color w:val="auto"/>
        </w:rPr>
      </w:pPr>
    </w:p>
    <w:p>
      <w:pPr>
        <w:ind w:left="223" w:right="8560" w:firstLine="462"/>
        <w:spacing w:after="0" w:line="497" w:lineRule="auto"/>
        <w:rPr>
          <w:rFonts w:ascii="Arial" w:cs="Arial" w:eastAsia="Arial" w:hAnsi="Arial"/>
          <w:sz w:val="13"/>
          <w:szCs w:val="13"/>
          <w:b w:val="1"/>
          <w:bCs w:val="1"/>
          <w:color w:val="auto"/>
        </w:rPr>
      </w:pPr>
      <w:r>
        <w:rPr>
          <w:rFonts w:ascii="Arial" w:cs="Arial" w:eastAsia="Arial" w:hAnsi="Arial"/>
          <w:sz w:val="13"/>
          <w:szCs w:val="13"/>
          <w:b w:val="1"/>
          <w:bCs w:val="1"/>
          <w:color w:val="auto"/>
        </w:rPr>
        <w:t xml:space="preserve">3.1.1 Fees and commissions </w:t>
      </w:r>
      <w:r>
        <w:rPr>
          <w:rFonts w:ascii="Arial" w:cs="Arial" w:eastAsia="Arial" w:hAnsi="Arial"/>
          <w:sz w:val="13"/>
          <w:szCs w:val="13"/>
          <w:color w:val="auto"/>
        </w:rPr>
        <w:t>Former accounting policy as of December 31, 2017:</w:t>
      </w:r>
    </w:p>
    <w:p>
      <w:pPr>
        <w:ind w:left="223"/>
        <w:spacing w:after="0"/>
        <w:rPr>
          <w:rFonts w:ascii="Arial" w:cs="Arial" w:eastAsia="Arial" w:hAnsi="Arial"/>
          <w:sz w:val="13"/>
          <w:szCs w:val="13"/>
          <w:b w:val="1"/>
          <w:bCs w:val="1"/>
          <w:color w:val="auto"/>
        </w:rPr>
      </w:pPr>
      <w:r>
        <w:rPr>
          <w:rFonts w:ascii="Arial" w:cs="Arial" w:eastAsia="Arial" w:hAnsi="Arial"/>
          <w:sz w:val="13"/>
          <w:szCs w:val="13"/>
          <w:i w:val="1"/>
          <w:iCs w:val="1"/>
          <w:u w:val="single" w:color="auto"/>
          <w:color w:val="auto"/>
        </w:rPr>
        <w:t>Revenue recognition of fees and commissions under IAS 18</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Bank earns fee and commission income from a diverse range of services it provides to its customers.</w:t>
      </w:r>
    </w:p>
    <w:p>
      <w:pPr>
        <w:spacing w:after="0" w:line="158" w:lineRule="exact"/>
        <w:rPr>
          <w:rFonts w:ascii="Arial" w:cs="Arial" w:eastAsia="Arial" w:hAnsi="Arial"/>
          <w:sz w:val="13"/>
          <w:szCs w:val="13"/>
          <w:b w:val="1"/>
          <w:bCs w:val="1"/>
          <w:color w:val="auto"/>
        </w:rPr>
      </w:pPr>
    </w:p>
    <w:p>
      <w:pPr>
        <w:ind w:left="223"/>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Income is recognized to the extent that is probable that the economic benefits will flow to the Bank and it is reliably measured, regardless of when the payment is made. This income is measured at fair value of the consideration received or receivable, taking into account contractually defined terms of payment and excluding taxes or duty.</w:t>
      </w:r>
    </w:p>
    <w:p>
      <w:pPr>
        <w:spacing w:after="0" w:line="129"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Fee income can be divided into the following two categories:</w:t>
      </w:r>
    </w:p>
    <w:p>
      <w:pPr>
        <w:spacing w:after="0" w:line="158" w:lineRule="exact"/>
        <w:rPr>
          <w:rFonts w:ascii="Arial" w:cs="Arial" w:eastAsia="Arial" w:hAnsi="Arial"/>
          <w:sz w:val="13"/>
          <w:szCs w:val="13"/>
          <w:b w:val="1"/>
          <w:bCs w:val="1"/>
          <w:color w:val="auto"/>
        </w:rPr>
      </w:pPr>
    </w:p>
    <w:p>
      <w:pPr>
        <w:ind w:left="463" w:hanging="232"/>
        <w:spacing w:after="0"/>
        <w:tabs>
          <w:tab w:leader="none" w:pos="463" w:val="left"/>
        </w:tabs>
        <w:numPr>
          <w:ilvl w:val="1"/>
          <w:numId w:val="92"/>
        </w:numPr>
        <w:rPr>
          <w:rFonts w:ascii="Arial" w:cs="Arial" w:eastAsia="Arial" w:hAnsi="Arial"/>
          <w:sz w:val="13"/>
          <w:szCs w:val="13"/>
          <w:color w:val="auto"/>
        </w:rPr>
      </w:pPr>
      <w:r>
        <w:rPr>
          <w:rFonts w:ascii="Arial" w:cs="Arial" w:eastAsia="Arial" w:hAnsi="Arial"/>
          <w:sz w:val="13"/>
          <w:szCs w:val="13"/>
          <w:color w:val="auto"/>
        </w:rPr>
        <w:t>Fee income earned from services that are provided over a certain period of time.</w:t>
      </w:r>
    </w:p>
    <w:p>
      <w:pPr>
        <w:spacing w:after="0" w:line="12" w:lineRule="exact"/>
        <w:rPr>
          <w:rFonts w:ascii="Arial" w:cs="Arial" w:eastAsia="Arial" w:hAnsi="Arial"/>
          <w:sz w:val="13"/>
          <w:szCs w:val="13"/>
          <w:color w:val="auto"/>
        </w:rPr>
      </w:pPr>
    </w:p>
    <w:p>
      <w:pPr>
        <w:ind w:left="463" w:hanging="232"/>
        <w:spacing w:after="0"/>
        <w:tabs>
          <w:tab w:leader="none" w:pos="463" w:val="left"/>
        </w:tabs>
        <w:numPr>
          <w:ilvl w:val="1"/>
          <w:numId w:val="92"/>
        </w:numPr>
        <w:rPr>
          <w:rFonts w:ascii="Arial" w:cs="Arial" w:eastAsia="Arial" w:hAnsi="Arial"/>
          <w:sz w:val="13"/>
          <w:szCs w:val="13"/>
          <w:color w:val="auto"/>
        </w:rPr>
      </w:pPr>
      <w:r>
        <w:rPr>
          <w:rFonts w:ascii="Arial" w:cs="Arial" w:eastAsia="Arial" w:hAnsi="Arial"/>
          <w:sz w:val="13"/>
          <w:szCs w:val="13"/>
          <w:color w:val="auto"/>
        </w:rPr>
        <w:t>Fees earned for the provision of services over a period of time are accrued over that period. These fees include commission income and other management and advisory fees.</w:t>
      </w:r>
    </w:p>
    <w:p>
      <w:pPr>
        <w:spacing w:after="0" w:line="150" w:lineRule="exact"/>
        <w:rPr>
          <w:sz w:val="20"/>
          <w:szCs w:val="20"/>
          <w:color w:val="auto"/>
        </w:rPr>
      </w:pPr>
    </w:p>
    <w:p>
      <w:pPr>
        <w:ind w:left="223"/>
        <w:spacing w:after="0"/>
        <w:rPr>
          <w:sz w:val="20"/>
          <w:szCs w:val="20"/>
          <w:color w:val="auto"/>
        </w:rPr>
      </w:pPr>
      <w:r>
        <w:rPr>
          <w:rFonts w:ascii="Arial" w:cs="Arial" w:eastAsia="Arial" w:hAnsi="Arial"/>
          <w:sz w:val="13"/>
          <w:szCs w:val="13"/>
          <w:u w:val="single" w:color="auto"/>
          <w:color w:val="auto"/>
        </w:rPr>
        <w:t>Fee income from providing transaction services</w:t>
      </w:r>
    </w:p>
    <w:p>
      <w:pPr>
        <w:spacing w:after="0" w:line="159" w:lineRule="exact"/>
        <w:rPr>
          <w:sz w:val="20"/>
          <w:szCs w:val="20"/>
          <w:color w:val="auto"/>
        </w:rPr>
      </w:pPr>
    </w:p>
    <w:p>
      <w:pPr>
        <w:ind w:left="223"/>
        <w:spacing w:after="0" w:line="267" w:lineRule="auto"/>
        <w:rPr>
          <w:sz w:val="20"/>
          <w:szCs w:val="20"/>
          <w:color w:val="auto"/>
        </w:rPr>
      </w:pPr>
      <w:r>
        <w:rPr>
          <w:rFonts w:ascii="Arial" w:cs="Arial" w:eastAsia="Arial" w:hAnsi="Arial"/>
          <w:sz w:val="13"/>
          <w:szCs w:val="13"/>
          <w:color w:val="auto"/>
        </w:rPr>
        <w:t>Fees arising from negotiating or participating in the negotiation of a transaction for a third party, are recognized on completion of the underlying transaction. Fees or components of fees that are linked to a certain performance are recognized after fulfilling the corresponding criteria.</w:t>
      </w:r>
    </w:p>
    <w:p>
      <w:pPr>
        <w:spacing w:after="0" w:line="283"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7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85" w:right="219" w:bottom="1440" w:gutter="0" w:footer="0" w:header="0"/>
        </w:sectPr>
      </w:pPr>
    </w:p>
    <w:bookmarkStart w:id="137" w:name="page138"/>
    <w:bookmarkEnd w:id="137"/>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7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93"/>
        </w:numPr>
        <w:rPr>
          <w:rFonts w:ascii="Arial" w:cs="Arial" w:eastAsia="Arial" w:hAnsi="Arial"/>
          <w:sz w:val="13"/>
          <w:szCs w:val="13"/>
          <w:b w:val="1"/>
          <w:bCs w:val="1"/>
          <w:color w:val="auto"/>
        </w:rPr>
      </w:pPr>
      <w:r>
        <w:rPr>
          <w:rFonts w:ascii="Arial" w:cs="Arial" w:eastAsia="Arial" w:hAnsi="Arial"/>
          <w:sz w:val="13"/>
          <w:szCs w:val="13"/>
          <w:b w:val="1"/>
          <w:bCs w:val="1"/>
          <w:color w:val="auto"/>
        </w:rPr>
        <w:t>Summary of accounting policies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3.1</w:t>
      </w:r>
      <w:r>
        <w:rPr>
          <w:rFonts w:ascii="Arial" w:cs="Arial" w:eastAsia="Arial" w:hAnsi="Arial"/>
          <w:sz w:val="11"/>
          <w:szCs w:val="11"/>
          <w:b w:val="1"/>
          <w:bCs w:val="1"/>
          <w:color w:val="auto"/>
        </w:rPr>
        <w:t>New accounting policies (continued)</w:t>
      </w:r>
    </w:p>
    <w:p>
      <w:pPr>
        <w:spacing w:after="0" w:line="158" w:lineRule="exact"/>
        <w:rPr>
          <w:rFonts w:ascii="Arial" w:cs="Arial" w:eastAsia="Arial" w:hAnsi="Arial"/>
          <w:sz w:val="13"/>
          <w:szCs w:val="13"/>
          <w:b w:val="1"/>
          <w:bCs w:val="1"/>
          <w:color w:val="auto"/>
        </w:rPr>
      </w:pPr>
    </w:p>
    <w:p>
      <w:pPr>
        <w:ind w:left="223" w:right="8460" w:firstLine="462"/>
        <w:spacing w:after="0" w:line="539" w:lineRule="auto"/>
        <w:rPr>
          <w:rFonts w:ascii="Arial" w:cs="Arial" w:eastAsia="Arial" w:hAnsi="Arial"/>
          <w:sz w:val="13"/>
          <w:szCs w:val="13"/>
          <w:b w:val="1"/>
          <w:bCs w:val="1"/>
          <w:color w:val="auto"/>
        </w:rPr>
      </w:pPr>
      <w:r>
        <w:rPr>
          <w:rFonts w:ascii="Arial" w:cs="Arial" w:eastAsia="Arial" w:hAnsi="Arial"/>
          <w:sz w:val="12"/>
          <w:szCs w:val="12"/>
          <w:b w:val="1"/>
          <w:bCs w:val="1"/>
          <w:color w:val="auto"/>
        </w:rPr>
        <w:t xml:space="preserve">3.1.1 Fees and commissions (continued) </w:t>
      </w:r>
      <w:r>
        <w:rPr>
          <w:rFonts w:ascii="Arial" w:cs="Arial" w:eastAsia="Arial" w:hAnsi="Arial"/>
          <w:sz w:val="12"/>
          <w:szCs w:val="12"/>
          <w:u w:val="single" w:color="auto"/>
          <w:color w:val="auto"/>
        </w:rPr>
        <w:t>Fees and commissions on loans at amortized cost</w:t>
      </w:r>
    </w:p>
    <w:p>
      <w:pPr>
        <w:jc w:val="both"/>
        <w:ind w:left="223" w:right="20"/>
        <w:spacing w:after="0" w:line="289" w:lineRule="auto"/>
        <w:rPr>
          <w:rFonts w:ascii="Arial" w:cs="Arial" w:eastAsia="Arial" w:hAnsi="Arial"/>
          <w:sz w:val="13"/>
          <w:szCs w:val="13"/>
          <w:b w:val="1"/>
          <w:bCs w:val="1"/>
          <w:color w:val="auto"/>
        </w:rPr>
      </w:pPr>
      <w:r>
        <w:rPr>
          <w:rFonts w:ascii="Arial" w:cs="Arial" w:eastAsia="Arial" w:hAnsi="Arial"/>
          <w:sz w:val="12"/>
          <w:szCs w:val="12"/>
          <w:color w:val="auto"/>
        </w:rPr>
        <w:t>Loan commitment fees for loans that are likely to be drawn down and other credit related fees are deferred (together with any incremental costs) and recognized as an adjustment to the effective interest rate on the loan. When it is unlikely that a loan will be drawn down, the loan commitment fees are recognized over the commitment period on an effective interest rate basis. These fees are regarded as compensation for an ongoing involvement with the acquisition of a financial instrument. If the commitment expires without the Bank making the loan, the fee is recognized as revenue on expiration.</w:t>
      </w:r>
    </w:p>
    <w:p>
      <w:pPr>
        <w:spacing w:after="0" w:line="117" w:lineRule="exact"/>
        <w:rPr>
          <w:rFonts w:ascii="Arial" w:cs="Arial" w:eastAsia="Arial" w:hAnsi="Arial"/>
          <w:sz w:val="13"/>
          <w:szCs w:val="13"/>
          <w:b w:val="1"/>
          <w:bCs w:val="1"/>
          <w:color w:val="auto"/>
        </w:rPr>
      </w:pP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Loan origination fees, net of direct loan origination costs, are deferred, and the net amount is recognized as revenue over the contractual term of the loans as an adjustment to the yield. When there are concerns about the realization of loan principal or interest, these net fees are recognized as revenue at the credit-adjusted effective interest rate for credit-impaired financial assets.</w:t>
      </w:r>
    </w:p>
    <w:p>
      <w:pPr>
        <w:spacing w:after="0" w:line="129" w:lineRule="exact"/>
        <w:rPr>
          <w:rFonts w:ascii="Arial" w:cs="Arial" w:eastAsia="Arial" w:hAnsi="Arial"/>
          <w:sz w:val="13"/>
          <w:szCs w:val="13"/>
          <w:b w:val="1"/>
          <w:bCs w:val="1"/>
          <w:color w:val="auto"/>
        </w:rPr>
      </w:pPr>
    </w:p>
    <w:p>
      <w:pPr>
        <w:ind w:left="223" w:right="20"/>
        <w:spacing w:after="0" w:line="310" w:lineRule="auto"/>
        <w:rPr>
          <w:rFonts w:ascii="Arial" w:cs="Arial" w:eastAsia="Arial" w:hAnsi="Arial"/>
          <w:sz w:val="13"/>
          <w:szCs w:val="13"/>
          <w:b w:val="1"/>
          <w:bCs w:val="1"/>
          <w:color w:val="auto"/>
        </w:rPr>
      </w:pPr>
      <w:r>
        <w:rPr>
          <w:rFonts w:ascii="Arial" w:cs="Arial" w:eastAsia="Arial" w:hAnsi="Arial"/>
          <w:sz w:val="12"/>
          <w:szCs w:val="12"/>
          <w:color w:val="auto"/>
        </w:rPr>
        <w:t>Underwriting fees are recognized as revenue when the Bank has rendered all services to the issuer and is entitled to collect the fee from the issuer, when there are no contingencies related to the fee. Underwriting fees are recognized net of syndicate expenses. In addition, the Bank recognizes credit arrangement and syndication fees as revenue after satisfying certain retention, timing and yield criteria.</w:t>
      </w:r>
    </w:p>
    <w:p>
      <w:pPr>
        <w:spacing w:after="0" w:line="105" w:lineRule="exact"/>
        <w:rPr>
          <w:rFonts w:ascii="Arial" w:cs="Arial" w:eastAsia="Arial" w:hAnsi="Arial"/>
          <w:sz w:val="13"/>
          <w:szCs w:val="13"/>
          <w:b w:val="1"/>
          <w:bCs w:val="1"/>
          <w:color w:val="auto"/>
        </w:rPr>
      </w:pP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Fees received in connection with a modification of terms of a loan are applied as a reduction of the amortized cost of the loan. Fees earned on letters of credit, financial guarantees and other commitments are amortized using the straight-line method over the life of such instruments.</w:t>
      </w:r>
    </w:p>
    <w:p>
      <w:pPr>
        <w:spacing w:after="0" w:line="131" w:lineRule="exact"/>
        <w:rPr>
          <w:rFonts w:ascii="Arial" w:cs="Arial" w:eastAsia="Arial" w:hAnsi="Arial"/>
          <w:sz w:val="13"/>
          <w:szCs w:val="13"/>
          <w:b w:val="1"/>
          <w:bCs w:val="1"/>
          <w:color w:val="auto"/>
        </w:rPr>
      </w:pPr>
    </w:p>
    <w:p>
      <w:pPr>
        <w:ind w:left="223" w:right="8140"/>
        <w:spacing w:after="0" w:line="462" w:lineRule="auto"/>
        <w:rPr>
          <w:rFonts w:ascii="Arial" w:cs="Arial" w:eastAsia="Arial" w:hAnsi="Arial"/>
          <w:sz w:val="13"/>
          <w:szCs w:val="13"/>
          <w:b w:val="1"/>
          <w:bCs w:val="1"/>
          <w:color w:val="auto"/>
        </w:rPr>
      </w:pPr>
      <w:r>
        <w:rPr>
          <w:rFonts w:ascii="Arial" w:cs="Arial" w:eastAsia="Arial" w:hAnsi="Arial"/>
          <w:sz w:val="11"/>
          <w:szCs w:val="11"/>
          <w:color w:val="auto"/>
        </w:rPr>
        <w:t>Accounting policy applicable from January 1</w:t>
      </w:r>
      <w:r>
        <w:rPr>
          <w:rFonts w:ascii="Arial" w:cs="Arial" w:eastAsia="Arial" w:hAnsi="Arial"/>
          <w:sz w:val="18"/>
          <w:szCs w:val="18"/>
          <w:color w:val="auto"/>
          <w:vertAlign w:val="superscript"/>
        </w:rPr>
        <w:t>st</w:t>
      </w:r>
      <w:r>
        <w:rPr>
          <w:rFonts w:ascii="Arial" w:cs="Arial" w:eastAsia="Arial" w:hAnsi="Arial"/>
          <w:sz w:val="11"/>
          <w:szCs w:val="11"/>
          <w:color w:val="auto"/>
        </w:rPr>
        <w:t xml:space="preserve">, 2018: </w:t>
      </w:r>
      <w:r>
        <w:rPr>
          <w:rFonts w:ascii="Arial" w:cs="Arial" w:eastAsia="Arial" w:hAnsi="Arial"/>
          <w:sz w:val="11"/>
          <w:szCs w:val="11"/>
          <w:i w:val="1"/>
          <w:iCs w:val="1"/>
          <w:u w:val="single" w:color="auto"/>
          <w:color w:val="auto"/>
        </w:rPr>
        <w:t>Revenue recognition of fees and commissions under IFRS 15</w:t>
      </w:r>
    </w:p>
    <w:p>
      <w:pPr>
        <w:spacing w:after="0" w:line="1" w:lineRule="exact"/>
        <w:rPr>
          <w:rFonts w:ascii="Arial" w:cs="Arial" w:eastAsia="Arial" w:hAnsi="Arial"/>
          <w:sz w:val="13"/>
          <w:szCs w:val="13"/>
          <w:b w:val="1"/>
          <w:bCs w:val="1"/>
          <w:color w:val="auto"/>
        </w:rPr>
      </w:pP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Revenues are measured based on the considerations specified in a contract signed with a customer and exclude collections on behalf of third parties. The Bank recognizes revenues when it transfers control over the product or services to a customer.</w:t>
      </w:r>
    </w:p>
    <w:p>
      <w:pPr>
        <w:spacing w:after="0" w:line="129" w:lineRule="exact"/>
        <w:rPr>
          <w:rFonts w:ascii="Arial" w:cs="Arial" w:eastAsia="Arial" w:hAnsi="Arial"/>
          <w:sz w:val="13"/>
          <w:szCs w:val="13"/>
          <w:b w:val="1"/>
          <w:bCs w:val="1"/>
          <w:color w:val="auto"/>
        </w:rPr>
      </w:pPr>
    </w:p>
    <w:p>
      <w:pPr>
        <w:jc w:val="both"/>
        <w:ind w:left="223"/>
        <w:spacing w:after="0" w:line="257" w:lineRule="auto"/>
        <w:rPr>
          <w:rFonts w:ascii="Arial" w:cs="Arial" w:eastAsia="Arial" w:hAnsi="Arial"/>
          <w:sz w:val="13"/>
          <w:szCs w:val="13"/>
          <w:b w:val="1"/>
          <w:bCs w:val="1"/>
          <w:color w:val="auto"/>
        </w:rPr>
      </w:pPr>
      <w:r>
        <w:rPr>
          <w:rFonts w:ascii="Arial" w:cs="Arial" w:eastAsia="Arial" w:hAnsi="Arial"/>
          <w:sz w:val="13"/>
          <w:szCs w:val="13"/>
          <w:color w:val="auto"/>
        </w:rPr>
        <w:t>IFRS 15 - "Revenue from contracts with customers" was issued in May 2014 and establishes a five-step model to account for the revenue from the contracts with customers. Under IFRS 15, income is recognized by an amount that reflects the consideration that the Bank expects to be entitled to, in exchange for the transfer of goods or services. The new revenue standard replaces all current requirements for revenue recognition under IAS 18.</w:t>
      </w:r>
    </w:p>
    <w:p>
      <w:pPr>
        <w:spacing w:after="0" w:line="135" w:lineRule="exact"/>
        <w:rPr>
          <w:rFonts w:ascii="Arial" w:cs="Arial" w:eastAsia="Arial" w:hAnsi="Arial"/>
          <w:sz w:val="13"/>
          <w:szCs w:val="13"/>
          <w:b w:val="1"/>
          <w:bCs w:val="1"/>
          <w:color w:val="auto"/>
        </w:rPr>
      </w:pPr>
    </w:p>
    <w:p>
      <w:pPr>
        <w:jc w:val="both"/>
        <w:ind w:left="223" w:right="20"/>
        <w:spacing w:after="0" w:line="257" w:lineRule="auto"/>
        <w:rPr>
          <w:rFonts w:ascii="Arial" w:cs="Arial" w:eastAsia="Arial" w:hAnsi="Arial"/>
          <w:sz w:val="13"/>
          <w:szCs w:val="13"/>
          <w:b w:val="1"/>
          <w:bCs w:val="1"/>
          <w:color w:val="auto"/>
        </w:rPr>
      </w:pPr>
      <w:r>
        <w:rPr>
          <w:rFonts w:ascii="Arial" w:cs="Arial" w:eastAsia="Arial" w:hAnsi="Arial"/>
          <w:sz w:val="13"/>
          <w:szCs w:val="13"/>
          <w:color w:val="auto"/>
        </w:rPr>
        <w:t xml:space="preserve">The Bank has applied IFRS 15 provisions from the 1st of January 2018 by applying the retroactive modified method pursuant to IAS 8 - </w:t>
      </w:r>
      <w:r>
        <w:rPr>
          <w:rFonts w:ascii="Arial" w:cs="Arial" w:eastAsia="Arial" w:hAnsi="Arial"/>
          <w:sz w:val="13"/>
          <w:szCs w:val="13"/>
          <w:i w:val="1"/>
          <w:iCs w:val="1"/>
          <w:color w:val="auto"/>
        </w:rPr>
        <w:t>"Accounting policies, changes in accounting estimates and errors".</w:t>
      </w:r>
      <w:r>
        <w:rPr>
          <w:rFonts w:ascii="Arial" w:cs="Arial" w:eastAsia="Arial" w:hAnsi="Arial"/>
          <w:sz w:val="13"/>
          <w:szCs w:val="13"/>
          <w:color w:val="auto"/>
        </w:rPr>
        <w:t xml:space="preserve"> The performance period for services provided to customers of the Bank and revenue recognition of related commissions were not impacted by the adoption of IFRS 15. The impact of IFRS 15 is limited to the new required disclosures.</w:t>
      </w:r>
    </w:p>
    <w:p>
      <w:pPr>
        <w:spacing w:after="0" w:line="290"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138" w:name="page139"/>
    <w:bookmarkEnd w:id="138"/>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7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94"/>
        </w:numPr>
        <w:rPr>
          <w:rFonts w:ascii="Arial" w:cs="Arial" w:eastAsia="Arial" w:hAnsi="Arial"/>
          <w:sz w:val="13"/>
          <w:szCs w:val="13"/>
          <w:b w:val="1"/>
          <w:bCs w:val="1"/>
          <w:color w:val="auto"/>
        </w:rPr>
      </w:pPr>
      <w:r>
        <w:rPr>
          <w:rFonts w:ascii="Arial" w:cs="Arial" w:eastAsia="Arial" w:hAnsi="Arial"/>
          <w:sz w:val="13"/>
          <w:szCs w:val="13"/>
          <w:b w:val="1"/>
          <w:bCs w:val="1"/>
          <w:color w:val="auto"/>
        </w:rPr>
        <w:t>Summary of accounting policies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3.1</w:t>
      </w:r>
      <w:r>
        <w:rPr>
          <w:rFonts w:ascii="Arial" w:cs="Arial" w:eastAsia="Arial" w:hAnsi="Arial"/>
          <w:sz w:val="11"/>
          <w:szCs w:val="11"/>
          <w:b w:val="1"/>
          <w:bCs w:val="1"/>
          <w:color w:val="auto"/>
        </w:rPr>
        <w:t>New accounting policies (continued)</w:t>
      </w:r>
    </w:p>
    <w:p>
      <w:pPr>
        <w:spacing w:after="0" w:line="158" w:lineRule="exact"/>
        <w:rPr>
          <w:rFonts w:ascii="Arial" w:cs="Arial" w:eastAsia="Arial" w:hAnsi="Arial"/>
          <w:sz w:val="13"/>
          <w:szCs w:val="13"/>
          <w:b w:val="1"/>
          <w:bCs w:val="1"/>
          <w:color w:val="auto"/>
        </w:rPr>
      </w:pPr>
    </w:p>
    <w:p>
      <w:pPr>
        <w:ind w:left="70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3.1.1   Fees and commissions (continued)</w:t>
      </w:r>
    </w:p>
    <w:p>
      <w:pPr>
        <w:spacing w:after="0" w:line="162" w:lineRule="exact"/>
        <w:rPr>
          <w:rFonts w:ascii="Arial" w:cs="Arial" w:eastAsia="Arial" w:hAnsi="Arial"/>
          <w:sz w:val="13"/>
          <w:szCs w:val="13"/>
          <w:b w:val="1"/>
          <w:bCs w:val="1"/>
          <w:color w:val="auto"/>
        </w:rPr>
      </w:pPr>
    </w:p>
    <w:p>
      <w:pPr>
        <w:ind w:left="343"/>
        <w:spacing w:after="0"/>
        <w:rPr>
          <w:rFonts w:ascii="Arial" w:cs="Arial" w:eastAsia="Arial" w:hAnsi="Arial"/>
          <w:sz w:val="13"/>
          <w:szCs w:val="13"/>
          <w:b w:val="1"/>
          <w:bCs w:val="1"/>
          <w:color w:val="auto"/>
        </w:rPr>
      </w:pPr>
      <w:r>
        <w:rPr>
          <w:rFonts w:ascii="Arial" w:cs="Arial" w:eastAsia="Arial" w:hAnsi="Arial"/>
          <w:sz w:val="11"/>
          <w:szCs w:val="11"/>
          <w:color w:val="auto"/>
        </w:rPr>
        <w:t>The following table describes the main products and services, other than services for financial intermediation, from which the Bank generates its revenue:</w:t>
      </w:r>
    </w:p>
    <w:p>
      <w:pPr>
        <w:sectPr>
          <w:pgSz w:w="11900" w:h="16838" w:orient="portrait"/>
          <w:cols w:equalWidth="0" w:num="1">
            <w:col w:w="11323"/>
          </w:cols>
          <w:pgMar w:left="217" w:top="685" w:right="359" w:bottom="1440" w:gutter="0" w:footer="0" w:header="0"/>
        </w:sectPr>
      </w:pPr>
    </w:p>
    <w:p>
      <w:pPr>
        <w:spacing w:after="0" w:line="178" w:lineRule="exact"/>
        <w:rPr>
          <w:sz w:val="20"/>
          <w:szCs w:val="20"/>
          <w:color w:val="auto"/>
        </w:rPr>
      </w:pPr>
    </w:p>
    <w:tbl>
      <w:tblPr>
        <w:tblLayout w:type="fixed"/>
        <w:tblInd w:w="223" w:type="dxa"/>
        <w:tblCellMar>
          <w:top w:w="0" w:type="dxa"/>
          <w:left w:w="0" w:type="dxa"/>
          <w:bottom w:w="0" w:type="dxa"/>
          <w:right w:w="0" w:type="dxa"/>
        </w:tblCellMar>
      </w:tblPr>
      <w:tr>
        <w:trPr>
          <w:trHeight w:val="154"/>
        </w:trPr>
        <w:tc>
          <w:tcPr>
            <w:tcW w:w="6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5440" w:type="dxa"/>
            <w:vAlign w:val="bottom"/>
          </w:tcPr>
          <w:p>
            <w:pPr>
              <w:ind w:left="1380"/>
              <w:spacing w:after="0"/>
              <w:rPr>
                <w:sz w:val="20"/>
                <w:szCs w:val="20"/>
                <w:color w:val="auto"/>
              </w:rPr>
            </w:pPr>
            <w:r>
              <w:rPr>
                <w:rFonts w:ascii="Arial" w:cs="Arial" w:eastAsia="Arial" w:hAnsi="Arial"/>
                <w:sz w:val="13"/>
                <w:szCs w:val="13"/>
                <w:b w:val="1"/>
                <w:bCs w:val="1"/>
                <w:color w:val="auto"/>
              </w:rPr>
              <w:t>Nature and timing of satisfaction of performance</w:t>
            </w:r>
          </w:p>
        </w:tc>
      </w:tr>
      <w:tr>
        <w:trPr>
          <w:trHeight w:val="167"/>
        </w:trPr>
        <w:tc>
          <w:tcPr>
            <w:tcW w:w="1680" w:type="dxa"/>
            <w:vAlign w:val="bottom"/>
            <w:tcBorders>
              <w:bottom w:val="single" w:sz="8" w:color="auto"/>
            </w:tcBorders>
            <w:gridSpan w:val="4"/>
          </w:tcPr>
          <w:p>
            <w:pPr>
              <w:ind w:left="420"/>
              <w:spacing w:after="0"/>
              <w:rPr>
                <w:sz w:val="20"/>
                <w:szCs w:val="20"/>
                <w:color w:val="auto"/>
              </w:rPr>
            </w:pPr>
            <w:r>
              <w:rPr>
                <w:rFonts w:ascii="Arial" w:cs="Arial" w:eastAsia="Arial" w:hAnsi="Arial"/>
                <w:sz w:val="13"/>
                <w:szCs w:val="13"/>
                <w:b w:val="1"/>
                <w:bCs w:val="1"/>
                <w:color w:val="auto"/>
              </w:rPr>
              <w:t>Type of services</w:t>
            </w:r>
          </w:p>
        </w:tc>
        <w:tc>
          <w:tcPr>
            <w:tcW w:w="240" w:type="dxa"/>
            <w:vAlign w:val="bottom"/>
          </w:tcPr>
          <w:p>
            <w:pPr>
              <w:spacing w:after="0"/>
              <w:rPr>
                <w:sz w:val="14"/>
                <w:szCs w:val="14"/>
                <w:color w:val="auto"/>
              </w:rPr>
            </w:pPr>
          </w:p>
        </w:tc>
        <w:tc>
          <w:tcPr>
            <w:tcW w:w="5440" w:type="dxa"/>
            <w:vAlign w:val="bottom"/>
            <w:tcBorders>
              <w:bottom w:val="single" w:sz="8" w:color="auto"/>
            </w:tcBorders>
          </w:tcPr>
          <w:p>
            <w:pPr>
              <w:ind w:left="1400"/>
              <w:spacing w:after="0"/>
              <w:rPr>
                <w:sz w:val="20"/>
                <w:szCs w:val="20"/>
                <w:color w:val="auto"/>
              </w:rPr>
            </w:pPr>
            <w:r>
              <w:rPr>
                <w:rFonts w:ascii="Arial" w:cs="Arial" w:eastAsia="Arial" w:hAnsi="Arial"/>
                <w:sz w:val="13"/>
                <w:szCs w:val="13"/>
                <w:b w:val="1"/>
                <w:bCs w:val="1"/>
                <w:color w:val="auto"/>
              </w:rPr>
              <w:t>obligations, including significant payment terms</w:t>
            </w:r>
          </w:p>
        </w:tc>
      </w:tr>
      <w:tr>
        <w:trPr>
          <w:trHeight w:val="269"/>
        </w:trPr>
        <w:tc>
          <w:tcPr>
            <w:tcW w:w="1920" w:type="dxa"/>
            <w:vAlign w:val="bottom"/>
            <w:gridSpan w:val="5"/>
          </w:tcPr>
          <w:p>
            <w:pPr>
              <w:spacing w:after="0"/>
              <w:rPr>
                <w:sz w:val="20"/>
                <w:szCs w:val="20"/>
                <w:color w:val="auto"/>
              </w:rPr>
            </w:pPr>
            <w:r>
              <w:rPr>
                <w:rFonts w:ascii="Arial" w:cs="Arial" w:eastAsia="Arial" w:hAnsi="Arial"/>
                <w:sz w:val="13"/>
                <w:szCs w:val="13"/>
                <w:b w:val="1"/>
                <w:bCs w:val="1"/>
                <w:i w:val="1"/>
                <w:iCs w:val="1"/>
                <w:color w:val="auto"/>
              </w:rPr>
              <w:t>Letters of credit</w:t>
            </w:r>
          </w:p>
        </w:tc>
        <w:tc>
          <w:tcPr>
            <w:tcW w:w="5440" w:type="dxa"/>
            <w:vAlign w:val="bottom"/>
          </w:tcPr>
          <w:p>
            <w:pPr>
              <w:spacing w:after="0"/>
              <w:rPr>
                <w:sz w:val="23"/>
                <w:szCs w:val="23"/>
                <w:color w:val="auto"/>
              </w:rPr>
            </w:pPr>
          </w:p>
        </w:tc>
      </w:tr>
      <w:tr>
        <w:trPr>
          <w:trHeight w:val="308"/>
        </w:trPr>
        <w:tc>
          <w:tcPr>
            <w:tcW w:w="840" w:type="dxa"/>
            <w:vAlign w:val="bottom"/>
            <w:tcBorders>
              <w:top w:val="single" w:sz="8" w:color="auto"/>
            </w:tcBorders>
            <w:gridSpan w:val="3"/>
          </w:tcPr>
          <w:p>
            <w:pPr>
              <w:spacing w:after="0"/>
              <w:rPr>
                <w:sz w:val="20"/>
                <w:szCs w:val="20"/>
                <w:color w:val="auto"/>
              </w:rPr>
            </w:pPr>
            <w:r>
              <w:rPr>
                <w:rFonts w:ascii="Arial" w:cs="Arial" w:eastAsia="Arial" w:hAnsi="Arial"/>
                <w:sz w:val="13"/>
                <w:szCs w:val="13"/>
                <w:b w:val="1"/>
                <w:bCs w:val="1"/>
                <w:color w:val="auto"/>
              </w:rPr>
              <w:t>Opening</w:t>
            </w:r>
          </w:p>
        </w:tc>
        <w:tc>
          <w:tcPr>
            <w:tcW w:w="1080" w:type="dxa"/>
            <w:vAlign w:val="bottom"/>
            <w:gridSpan w:val="2"/>
          </w:tcPr>
          <w:p>
            <w:pPr>
              <w:spacing w:after="0"/>
              <w:rPr>
                <w:sz w:val="24"/>
                <w:szCs w:val="24"/>
                <w:color w:val="auto"/>
              </w:rPr>
            </w:pPr>
          </w:p>
        </w:tc>
        <w:tc>
          <w:tcPr>
            <w:tcW w:w="5440" w:type="dxa"/>
            <w:vAlign w:val="bottom"/>
          </w:tcPr>
          <w:p>
            <w:pPr>
              <w:spacing w:after="0"/>
              <w:rPr>
                <w:sz w:val="20"/>
                <w:szCs w:val="20"/>
                <w:color w:val="auto"/>
              </w:rPr>
            </w:pPr>
            <w:r>
              <w:rPr>
                <w:rFonts w:ascii="Arial" w:cs="Arial" w:eastAsia="Arial" w:hAnsi="Arial"/>
                <w:sz w:val="13"/>
                <w:szCs w:val="13"/>
                <w:color w:val="auto"/>
                <w:w w:val="92"/>
              </w:rPr>
              <w:t>Guarantee to honor the estipulated amount agreed to in the terms and conditions entered into with the</w:t>
            </w:r>
          </w:p>
        </w:tc>
      </w:tr>
      <w:tr>
        <w:trPr>
          <w:trHeight w:val="162"/>
        </w:trPr>
        <w:tc>
          <w:tcPr>
            <w:tcW w:w="6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4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5440" w:type="dxa"/>
            <w:vAlign w:val="bottom"/>
          </w:tcPr>
          <w:p>
            <w:pPr>
              <w:spacing w:after="0"/>
              <w:rPr>
                <w:sz w:val="20"/>
                <w:szCs w:val="20"/>
                <w:color w:val="auto"/>
              </w:rPr>
            </w:pPr>
            <w:r>
              <w:rPr>
                <w:rFonts w:ascii="Arial" w:cs="Arial" w:eastAsia="Arial" w:hAnsi="Arial"/>
                <w:sz w:val="13"/>
                <w:szCs w:val="13"/>
                <w:color w:val="auto"/>
              </w:rPr>
              <w:t>customer, upon presentation of required documentation.</w:t>
            </w:r>
          </w:p>
        </w:tc>
      </w:tr>
      <w:tr>
        <w:trPr>
          <w:trHeight w:val="300"/>
        </w:trPr>
        <w:tc>
          <w:tcPr>
            <w:tcW w:w="1920" w:type="dxa"/>
            <w:vAlign w:val="bottom"/>
            <w:gridSpan w:val="5"/>
          </w:tcPr>
          <w:p>
            <w:pPr>
              <w:spacing w:after="0"/>
              <w:rPr>
                <w:sz w:val="20"/>
                <w:szCs w:val="20"/>
                <w:color w:val="auto"/>
              </w:rPr>
            </w:pPr>
            <w:r>
              <w:rPr>
                <w:rFonts w:ascii="Arial" w:cs="Arial" w:eastAsia="Arial" w:hAnsi="Arial"/>
                <w:sz w:val="13"/>
                <w:szCs w:val="13"/>
                <w:b w:val="1"/>
                <w:bCs w:val="1"/>
                <w:color w:val="auto"/>
              </w:rPr>
              <w:t>Negotiation</w:t>
            </w:r>
          </w:p>
        </w:tc>
        <w:tc>
          <w:tcPr>
            <w:tcW w:w="5440" w:type="dxa"/>
            <w:vAlign w:val="bottom"/>
          </w:tcPr>
          <w:p>
            <w:pPr>
              <w:spacing w:after="0"/>
              <w:rPr>
                <w:sz w:val="20"/>
                <w:szCs w:val="20"/>
                <w:color w:val="auto"/>
              </w:rPr>
            </w:pPr>
            <w:r>
              <w:rPr>
                <w:rFonts w:ascii="Arial" w:cs="Arial" w:eastAsia="Arial" w:hAnsi="Arial"/>
                <w:sz w:val="13"/>
                <w:szCs w:val="13"/>
                <w:color w:val="auto"/>
                <w:w w:val="89"/>
              </w:rPr>
              <w:t>Review of the shipping documents, of the beneficiary, agreeing to pay at sight or on the day on which the</w:t>
            </w:r>
          </w:p>
        </w:tc>
      </w:tr>
      <w:tr>
        <w:trPr>
          <w:trHeight w:val="162"/>
        </w:trPr>
        <w:tc>
          <w:tcPr>
            <w:tcW w:w="6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4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5440" w:type="dxa"/>
            <w:vAlign w:val="bottom"/>
          </w:tcPr>
          <w:p>
            <w:pPr>
              <w:spacing w:after="0"/>
              <w:rPr>
                <w:sz w:val="20"/>
                <w:szCs w:val="20"/>
                <w:color w:val="auto"/>
              </w:rPr>
            </w:pPr>
            <w:r>
              <w:rPr>
                <w:rFonts w:ascii="Arial" w:cs="Arial" w:eastAsia="Arial" w:hAnsi="Arial"/>
                <w:sz w:val="13"/>
                <w:szCs w:val="13"/>
                <w:color w:val="auto"/>
              </w:rPr>
              <w:t>reimbursement is being made by the designated bank.</w:t>
            </w:r>
          </w:p>
        </w:tc>
      </w:tr>
      <w:tr>
        <w:trPr>
          <w:trHeight w:val="300"/>
        </w:trPr>
        <w:tc>
          <w:tcPr>
            <w:tcW w:w="1920" w:type="dxa"/>
            <w:vAlign w:val="bottom"/>
            <w:gridSpan w:val="5"/>
          </w:tcPr>
          <w:p>
            <w:pPr>
              <w:spacing w:after="0"/>
              <w:rPr>
                <w:sz w:val="20"/>
                <w:szCs w:val="20"/>
                <w:color w:val="auto"/>
              </w:rPr>
            </w:pPr>
            <w:r>
              <w:rPr>
                <w:rFonts w:ascii="Arial" w:cs="Arial" w:eastAsia="Arial" w:hAnsi="Arial"/>
                <w:sz w:val="13"/>
                <w:szCs w:val="13"/>
                <w:b w:val="1"/>
                <w:bCs w:val="1"/>
                <w:color w:val="auto"/>
              </w:rPr>
              <w:t>Acceptance</w:t>
            </w:r>
          </w:p>
        </w:tc>
        <w:tc>
          <w:tcPr>
            <w:tcW w:w="5440" w:type="dxa"/>
            <w:vAlign w:val="bottom"/>
          </w:tcPr>
          <w:p>
            <w:pPr>
              <w:spacing w:after="0"/>
              <w:rPr>
                <w:sz w:val="20"/>
                <w:szCs w:val="20"/>
                <w:color w:val="auto"/>
              </w:rPr>
            </w:pPr>
            <w:r>
              <w:rPr>
                <w:rFonts w:ascii="Arial" w:cs="Arial" w:eastAsia="Arial" w:hAnsi="Arial"/>
                <w:sz w:val="13"/>
                <w:szCs w:val="13"/>
                <w:color w:val="auto"/>
                <w:w w:val="99"/>
              </w:rPr>
              <w:t>Commitment issued to the beneficiary to pay to a supplier in a future date, once all the shipping</w:t>
            </w:r>
          </w:p>
        </w:tc>
      </w:tr>
      <w:tr>
        <w:trPr>
          <w:trHeight w:val="162"/>
        </w:trPr>
        <w:tc>
          <w:tcPr>
            <w:tcW w:w="6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4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5440" w:type="dxa"/>
            <w:vAlign w:val="bottom"/>
          </w:tcPr>
          <w:p>
            <w:pPr>
              <w:spacing w:after="0"/>
              <w:rPr>
                <w:sz w:val="20"/>
                <w:szCs w:val="20"/>
                <w:color w:val="auto"/>
              </w:rPr>
            </w:pPr>
            <w:r>
              <w:rPr>
                <w:rFonts w:ascii="Arial" w:cs="Arial" w:eastAsia="Arial" w:hAnsi="Arial"/>
                <w:sz w:val="13"/>
                <w:szCs w:val="13"/>
                <w:color w:val="auto"/>
                <w:w w:val="93"/>
              </w:rPr>
              <w:t>documents have been reviewed as to compliance with the terms and conditions of the letter of credit.</w:t>
            </w:r>
          </w:p>
        </w:tc>
      </w:tr>
      <w:tr>
        <w:trPr>
          <w:trHeight w:val="308"/>
        </w:trPr>
        <w:tc>
          <w:tcPr>
            <w:tcW w:w="1920" w:type="dxa"/>
            <w:vAlign w:val="bottom"/>
            <w:gridSpan w:val="5"/>
          </w:tcPr>
          <w:p>
            <w:pPr>
              <w:spacing w:after="0"/>
              <w:rPr>
                <w:sz w:val="20"/>
                <w:szCs w:val="20"/>
                <w:color w:val="auto"/>
              </w:rPr>
            </w:pPr>
            <w:r>
              <w:rPr>
                <w:rFonts w:ascii="Arial" w:cs="Arial" w:eastAsia="Arial" w:hAnsi="Arial"/>
                <w:sz w:val="13"/>
                <w:szCs w:val="13"/>
                <w:b w:val="1"/>
                <w:bCs w:val="1"/>
                <w:color w:val="auto"/>
              </w:rPr>
              <w:t>Confirmation</w:t>
            </w:r>
          </w:p>
        </w:tc>
        <w:tc>
          <w:tcPr>
            <w:tcW w:w="5440" w:type="dxa"/>
            <w:vAlign w:val="bottom"/>
          </w:tcPr>
          <w:p>
            <w:pPr>
              <w:spacing w:after="0"/>
              <w:rPr>
                <w:sz w:val="20"/>
                <w:szCs w:val="20"/>
                <w:color w:val="auto"/>
              </w:rPr>
            </w:pPr>
            <w:r>
              <w:rPr>
                <w:rFonts w:ascii="Arial" w:cs="Arial" w:eastAsia="Arial" w:hAnsi="Arial"/>
                <w:sz w:val="13"/>
                <w:szCs w:val="13"/>
                <w:color w:val="auto"/>
                <w:w w:val="93"/>
              </w:rPr>
              <w:t>Commitment issued to the issuer bank and the beneficiary to honor or negotiate shipping documents.</w:t>
            </w:r>
          </w:p>
        </w:tc>
      </w:tr>
      <w:tr>
        <w:trPr>
          <w:trHeight w:val="454"/>
        </w:trPr>
        <w:tc>
          <w:tcPr>
            <w:tcW w:w="1920" w:type="dxa"/>
            <w:vAlign w:val="bottom"/>
            <w:gridSpan w:val="5"/>
          </w:tcPr>
          <w:p>
            <w:pPr>
              <w:spacing w:after="0"/>
              <w:rPr>
                <w:sz w:val="20"/>
                <w:szCs w:val="20"/>
                <w:color w:val="auto"/>
              </w:rPr>
            </w:pPr>
            <w:r>
              <w:rPr>
                <w:rFonts w:ascii="Arial" w:cs="Arial" w:eastAsia="Arial" w:hAnsi="Arial"/>
                <w:sz w:val="13"/>
                <w:szCs w:val="13"/>
                <w:b w:val="1"/>
                <w:bCs w:val="1"/>
                <w:color w:val="auto"/>
              </w:rPr>
              <w:t>Amendment</w:t>
            </w:r>
          </w:p>
        </w:tc>
        <w:tc>
          <w:tcPr>
            <w:tcW w:w="5440" w:type="dxa"/>
            <w:vAlign w:val="bottom"/>
          </w:tcPr>
          <w:p>
            <w:pPr>
              <w:spacing w:after="0"/>
              <w:rPr>
                <w:sz w:val="20"/>
                <w:szCs w:val="20"/>
                <w:color w:val="auto"/>
              </w:rPr>
            </w:pPr>
            <w:r>
              <w:rPr>
                <w:rFonts w:ascii="Arial" w:cs="Arial" w:eastAsia="Arial" w:hAnsi="Arial"/>
                <w:sz w:val="13"/>
                <w:szCs w:val="13"/>
                <w:color w:val="auto"/>
                <w:w w:val="92"/>
              </w:rPr>
              <w:t>A request to amend the original letter of credit on behalf of the beneficiary modifying the original terms</w:t>
            </w:r>
          </w:p>
        </w:tc>
      </w:tr>
      <w:tr>
        <w:trPr>
          <w:trHeight w:val="162"/>
        </w:trPr>
        <w:tc>
          <w:tcPr>
            <w:tcW w:w="6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4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5440" w:type="dxa"/>
            <w:vAlign w:val="bottom"/>
          </w:tcPr>
          <w:p>
            <w:pPr>
              <w:spacing w:after="0"/>
              <w:rPr>
                <w:sz w:val="20"/>
                <w:szCs w:val="20"/>
                <w:color w:val="auto"/>
              </w:rPr>
            </w:pPr>
            <w:r>
              <w:rPr>
                <w:rFonts w:ascii="Arial" w:cs="Arial" w:eastAsia="Arial" w:hAnsi="Arial"/>
                <w:sz w:val="13"/>
                <w:szCs w:val="13"/>
                <w:color w:val="auto"/>
              </w:rPr>
              <w:t>and conditions</w:t>
            </w:r>
          </w:p>
        </w:tc>
      </w:tr>
      <w:tr>
        <w:trPr>
          <w:trHeight w:val="280"/>
        </w:trPr>
        <w:tc>
          <w:tcPr>
            <w:tcW w:w="1920" w:type="dxa"/>
            <w:vAlign w:val="bottom"/>
            <w:gridSpan w:val="5"/>
          </w:tcPr>
          <w:p>
            <w:pPr>
              <w:spacing w:after="0"/>
              <w:rPr>
                <w:sz w:val="20"/>
                <w:szCs w:val="20"/>
                <w:color w:val="auto"/>
              </w:rPr>
            </w:pPr>
            <w:r>
              <w:rPr>
                <w:rFonts w:ascii="Arial" w:cs="Arial" w:eastAsia="Arial" w:hAnsi="Arial"/>
                <w:sz w:val="13"/>
                <w:szCs w:val="13"/>
                <w:b w:val="1"/>
                <w:bCs w:val="1"/>
                <w:i w:val="1"/>
                <w:iCs w:val="1"/>
                <w:color w:val="auto"/>
              </w:rPr>
              <w:t>Syndications</w:t>
            </w:r>
          </w:p>
        </w:tc>
        <w:tc>
          <w:tcPr>
            <w:tcW w:w="5440" w:type="dxa"/>
            <w:vAlign w:val="bottom"/>
          </w:tcPr>
          <w:p>
            <w:pPr>
              <w:spacing w:after="0"/>
              <w:rPr>
                <w:sz w:val="24"/>
                <w:szCs w:val="24"/>
                <w:color w:val="auto"/>
              </w:rPr>
            </w:pPr>
          </w:p>
        </w:tc>
      </w:tr>
      <w:tr>
        <w:trPr>
          <w:trHeight w:val="308"/>
        </w:trPr>
        <w:tc>
          <w:tcPr>
            <w:tcW w:w="680" w:type="dxa"/>
            <w:vAlign w:val="bottom"/>
            <w:tcBorders>
              <w:top w:val="single" w:sz="8" w:color="auto"/>
            </w:tcBorders>
          </w:tcPr>
          <w:p>
            <w:pPr>
              <w:spacing w:after="0"/>
              <w:rPr>
                <w:sz w:val="20"/>
                <w:szCs w:val="20"/>
                <w:color w:val="auto"/>
              </w:rPr>
            </w:pPr>
            <w:r>
              <w:rPr>
                <w:rFonts w:ascii="Arial" w:cs="Arial" w:eastAsia="Arial" w:hAnsi="Arial"/>
                <w:sz w:val="13"/>
                <w:szCs w:val="13"/>
                <w:b w:val="1"/>
                <w:bCs w:val="1"/>
                <w:color w:val="auto"/>
                <w:w w:val="94"/>
              </w:rPr>
              <w:t>Structuring</w:t>
            </w:r>
          </w:p>
        </w:tc>
        <w:tc>
          <w:tcPr>
            <w:tcW w:w="1240" w:type="dxa"/>
            <w:vAlign w:val="bottom"/>
            <w:gridSpan w:val="4"/>
          </w:tcPr>
          <w:p>
            <w:pPr>
              <w:spacing w:after="0"/>
              <w:rPr>
                <w:sz w:val="24"/>
                <w:szCs w:val="24"/>
                <w:color w:val="auto"/>
              </w:rPr>
            </w:pPr>
          </w:p>
        </w:tc>
        <w:tc>
          <w:tcPr>
            <w:tcW w:w="5440" w:type="dxa"/>
            <w:vAlign w:val="bottom"/>
          </w:tcPr>
          <w:p>
            <w:pPr>
              <w:spacing w:after="0"/>
              <w:rPr>
                <w:sz w:val="20"/>
                <w:szCs w:val="20"/>
                <w:color w:val="auto"/>
              </w:rPr>
            </w:pPr>
            <w:r>
              <w:rPr>
                <w:rFonts w:ascii="Arial" w:cs="Arial" w:eastAsia="Arial" w:hAnsi="Arial"/>
                <w:sz w:val="13"/>
                <w:szCs w:val="13"/>
                <w:color w:val="auto"/>
                <w:w w:val="96"/>
              </w:rPr>
              <w:t>Advise to the borrower by structuring the terms and conditions of a credit facility, and coordinating</w:t>
            </w:r>
          </w:p>
        </w:tc>
      </w:tr>
      <w:tr>
        <w:trPr>
          <w:trHeight w:val="154"/>
        </w:trPr>
        <w:tc>
          <w:tcPr>
            <w:tcW w:w="6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5440" w:type="dxa"/>
            <w:vAlign w:val="bottom"/>
          </w:tcPr>
          <w:p>
            <w:pPr>
              <w:spacing w:after="0"/>
              <w:rPr>
                <w:sz w:val="20"/>
                <w:szCs w:val="20"/>
                <w:color w:val="auto"/>
              </w:rPr>
            </w:pPr>
            <w:r>
              <w:rPr>
                <w:rFonts w:ascii="Arial" w:cs="Arial" w:eastAsia="Arial" w:hAnsi="Arial"/>
                <w:sz w:val="13"/>
                <w:szCs w:val="13"/>
                <w:color w:val="auto"/>
                <w:w w:val="90"/>
              </w:rPr>
              <w:t>among the lenders’ and the borrowers’ legal counsel all legal aspects relating to the credit facility, among</w:t>
            </w:r>
          </w:p>
        </w:tc>
      </w:tr>
      <w:tr>
        <w:trPr>
          <w:trHeight w:val="162"/>
        </w:trPr>
        <w:tc>
          <w:tcPr>
            <w:tcW w:w="6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4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5440" w:type="dxa"/>
            <w:vAlign w:val="bottom"/>
          </w:tcPr>
          <w:p>
            <w:pPr>
              <w:spacing w:after="0"/>
              <w:rPr>
                <w:sz w:val="20"/>
                <w:szCs w:val="20"/>
                <w:color w:val="auto"/>
              </w:rPr>
            </w:pPr>
            <w:r>
              <w:rPr>
                <w:rFonts w:ascii="Arial" w:cs="Arial" w:eastAsia="Arial" w:hAnsi="Arial"/>
                <w:sz w:val="13"/>
                <w:szCs w:val="13"/>
                <w:color w:val="auto"/>
              </w:rPr>
              <w:t>others.</w:t>
            </w:r>
          </w:p>
        </w:tc>
      </w:tr>
      <w:tr>
        <w:trPr>
          <w:trHeight w:val="280"/>
        </w:trPr>
        <w:tc>
          <w:tcPr>
            <w:tcW w:w="760" w:type="dxa"/>
            <w:vAlign w:val="bottom"/>
            <w:tcBorders>
              <w:bottom w:val="single" w:sz="8" w:color="auto"/>
            </w:tcBorders>
            <w:gridSpan w:val="2"/>
          </w:tcPr>
          <w:p>
            <w:pPr>
              <w:spacing w:after="0"/>
              <w:rPr>
                <w:sz w:val="20"/>
                <w:szCs w:val="20"/>
                <w:color w:val="auto"/>
              </w:rPr>
            </w:pPr>
            <w:r>
              <w:rPr>
                <w:rFonts w:ascii="Arial" w:cs="Arial" w:eastAsia="Arial" w:hAnsi="Arial"/>
                <w:sz w:val="13"/>
                <w:szCs w:val="13"/>
                <w:b w:val="1"/>
                <w:bCs w:val="1"/>
                <w:i w:val="1"/>
                <w:iCs w:val="1"/>
                <w:color w:val="auto"/>
                <w:w w:val="81"/>
              </w:rPr>
              <w:t>Other services</w:t>
            </w:r>
          </w:p>
        </w:tc>
        <w:tc>
          <w:tcPr>
            <w:tcW w:w="1160" w:type="dxa"/>
            <w:vAlign w:val="bottom"/>
            <w:gridSpan w:val="3"/>
          </w:tcPr>
          <w:p>
            <w:pPr>
              <w:spacing w:after="0"/>
              <w:rPr>
                <w:sz w:val="24"/>
                <w:szCs w:val="24"/>
                <w:color w:val="auto"/>
              </w:rPr>
            </w:pPr>
          </w:p>
        </w:tc>
        <w:tc>
          <w:tcPr>
            <w:tcW w:w="5440" w:type="dxa"/>
            <w:vAlign w:val="bottom"/>
          </w:tcPr>
          <w:p>
            <w:pPr>
              <w:spacing w:after="0"/>
              <w:rPr>
                <w:sz w:val="24"/>
                <w:szCs w:val="24"/>
                <w:color w:val="auto"/>
              </w:rPr>
            </w:pPr>
          </w:p>
        </w:tc>
      </w:tr>
      <w:tr>
        <w:trPr>
          <w:trHeight w:val="308"/>
        </w:trPr>
        <w:tc>
          <w:tcPr>
            <w:tcW w:w="1920" w:type="dxa"/>
            <w:vAlign w:val="bottom"/>
            <w:gridSpan w:val="5"/>
          </w:tcPr>
          <w:p>
            <w:pPr>
              <w:spacing w:after="0"/>
              <w:rPr>
                <w:sz w:val="20"/>
                <w:szCs w:val="20"/>
                <w:color w:val="auto"/>
              </w:rPr>
            </w:pPr>
            <w:r>
              <w:rPr>
                <w:rFonts w:ascii="Arial" w:cs="Arial" w:eastAsia="Arial" w:hAnsi="Arial"/>
                <w:sz w:val="13"/>
                <w:szCs w:val="13"/>
                <w:b w:val="1"/>
                <w:bCs w:val="1"/>
                <w:color w:val="auto"/>
              </w:rPr>
              <w:t>Other</w:t>
            </w:r>
          </w:p>
        </w:tc>
        <w:tc>
          <w:tcPr>
            <w:tcW w:w="5440" w:type="dxa"/>
            <w:vAlign w:val="bottom"/>
          </w:tcPr>
          <w:p>
            <w:pPr>
              <w:spacing w:after="0"/>
              <w:rPr>
                <w:sz w:val="20"/>
                <w:szCs w:val="20"/>
                <w:color w:val="auto"/>
              </w:rPr>
            </w:pPr>
            <w:r>
              <w:rPr>
                <w:rFonts w:ascii="Arial" w:cs="Arial" w:eastAsia="Arial" w:hAnsi="Arial"/>
                <w:sz w:val="13"/>
                <w:szCs w:val="13"/>
                <w:color w:val="auto"/>
                <w:w w:val="92"/>
              </w:rPr>
              <w:t>Assignment of rights, transferability, reimbursements, payments, discrepancies, courier and swift fees,</w:t>
            </w:r>
          </w:p>
        </w:tc>
      </w:tr>
      <w:tr>
        <w:trPr>
          <w:trHeight w:val="162"/>
        </w:trPr>
        <w:tc>
          <w:tcPr>
            <w:tcW w:w="6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4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5440" w:type="dxa"/>
            <w:vAlign w:val="bottom"/>
          </w:tcPr>
          <w:p>
            <w:pPr>
              <w:spacing w:after="0"/>
              <w:rPr>
                <w:sz w:val="20"/>
                <w:szCs w:val="20"/>
                <w:color w:val="auto"/>
              </w:rPr>
            </w:pPr>
            <w:r>
              <w:rPr>
                <w:rFonts w:ascii="Arial" w:cs="Arial" w:eastAsia="Arial" w:hAnsi="Arial"/>
                <w:sz w:val="13"/>
                <w:szCs w:val="13"/>
                <w:color w:val="auto"/>
              </w:rPr>
              <w:t>etc.</w:t>
            </w:r>
          </w:p>
        </w:tc>
      </w:tr>
    </w:tbl>
    <w:p>
      <w:pPr>
        <w:spacing w:after="0" w:line="20" w:lineRule="exact"/>
        <w:rPr>
          <w:sz w:val="20"/>
          <w:szCs w:val="20"/>
          <w:color w:val="auto"/>
        </w:rPr>
      </w:pPr>
      <w:r>
        <w:rPr>
          <w:sz w:val="20"/>
          <w:szCs w:val="20"/>
          <w:color w:val="auto"/>
        </w:rPr>
        <w:br w:type="column"/>
      </w:r>
    </w:p>
    <w:p>
      <w:pPr>
        <w:spacing w:after="0" w:line="158" w:lineRule="exact"/>
        <w:rPr>
          <w:sz w:val="20"/>
          <w:szCs w:val="20"/>
          <w:color w:val="auto"/>
        </w:rPr>
      </w:pPr>
    </w:p>
    <w:p>
      <w:pPr>
        <w:jc w:val="center"/>
        <w:ind w:left="-39"/>
        <w:spacing w:after="0" w:line="274" w:lineRule="auto"/>
        <w:rPr>
          <w:sz w:val="20"/>
          <w:szCs w:val="20"/>
          <w:color w:val="auto"/>
        </w:rPr>
      </w:pPr>
      <w:r>
        <w:rPr>
          <w:rFonts w:ascii="Arial" w:cs="Arial" w:eastAsia="Arial" w:hAnsi="Arial"/>
          <w:sz w:val="13"/>
          <w:szCs w:val="13"/>
          <w:b w:val="1"/>
          <w:bCs w:val="1"/>
          <w:color w:val="auto"/>
        </w:rPr>
        <w:t>Revenue recognition under IFRS 15 (applicable from 1 January 2018)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wp:posOffset>
            </wp:positionH>
            <wp:positionV relativeFrom="paragraph">
              <wp:posOffset>-12700</wp:posOffset>
            </wp:positionV>
            <wp:extent cx="2255520" cy="635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74">
                      <a:extLst>
                        <a:ext uri="{28A0092B-C50C-407E-A947-70E740481C1C}"/>
                      </a:extLst>
                    </a:blip>
                    <a:srcRect/>
                    <a:stretch>
                      <a:fillRect/>
                    </a:stretch>
                  </pic:blipFill>
                  <pic:spPr bwMode="auto">
                    <a:xfrm>
                      <a:off x="0" y="0"/>
                      <a:ext cx="2255520" cy="6350"/>
                    </a:xfrm>
                    <a:prstGeom prst="rect">
                      <a:avLst/>
                    </a:prstGeom>
                    <a:noFill/>
                  </pic:spPr>
                </pic:pic>
              </a:graphicData>
            </a:graphic>
          </wp:anchor>
        </w:drawing>
      </w:r>
    </w:p>
    <w:p>
      <w:pPr>
        <w:spacing w:after="0" w:line="200" w:lineRule="exact"/>
        <w:rPr>
          <w:sz w:val="20"/>
          <w:szCs w:val="20"/>
          <w:color w:val="auto"/>
        </w:rPr>
      </w:pPr>
    </w:p>
    <w:p>
      <w:pPr>
        <w:spacing w:after="0" w:line="222" w:lineRule="exact"/>
        <w:rPr>
          <w:sz w:val="20"/>
          <w:szCs w:val="20"/>
          <w:color w:val="auto"/>
        </w:rPr>
      </w:pPr>
    </w:p>
    <w:p>
      <w:pPr>
        <w:ind w:right="220"/>
        <w:spacing w:after="0" w:line="267" w:lineRule="auto"/>
        <w:rPr>
          <w:sz w:val="20"/>
          <w:szCs w:val="20"/>
          <w:color w:val="auto"/>
        </w:rPr>
      </w:pPr>
      <w:r>
        <w:rPr>
          <w:rFonts w:ascii="Arial" w:cs="Arial" w:eastAsia="Arial" w:hAnsi="Arial"/>
          <w:sz w:val="13"/>
          <w:szCs w:val="13"/>
          <w:color w:val="auto"/>
        </w:rPr>
        <w:t>Revenues from services are recognized over time as services are provided.</w:t>
      </w:r>
    </w:p>
    <w:p>
      <w:pPr>
        <w:spacing w:after="0" w:line="129" w:lineRule="exact"/>
        <w:rPr>
          <w:sz w:val="20"/>
          <w:szCs w:val="20"/>
          <w:color w:val="auto"/>
        </w:rPr>
      </w:pPr>
    </w:p>
    <w:p>
      <w:pPr>
        <w:ind w:right="200"/>
        <w:spacing w:after="0" w:line="267" w:lineRule="auto"/>
        <w:rPr>
          <w:sz w:val="20"/>
          <w:szCs w:val="20"/>
          <w:color w:val="auto"/>
        </w:rPr>
      </w:pPr>
      <w:r>
        <w:rPr>
          <w:rFonts w:ascii="Arial" w:cs="Arial" w:eastAsia="Arial" w:hAnsi="Arial"/>
          <w:sz w:val="13"/>
          <w:szCs w:val="13"/>
          <w:color w:val="auto"/>
        </w:rPr>
        <w:t>Revenue related to transactions is recognised at the point in time when the transaction takes place.</w:t>
      </w:r>
    </w:p>
    <w:p>
      <w:pPr>
        <w:spacing w:after="0" w:line="129" w:lineRule="exact"/>
        <w:rPr>
          <w:sz w:val="20"/>
          <w:szCs w:val="20"/>
          <w:color w:val="auto"/>
        </w:rPr>
      </w:pPr>
    </w:p>
    <w:p>
      <w:pPr>
        <w:ind w:right="200"/>
        <w:spacing w:after="0" w:line="267" w:lineRule="auto"/>
        <w:rPr>
          <w:sz w:val="20"/>
          <w:szCs w:val="20"/>
          <w:color w:val="auto"/>
        </w:rPr>
      </w:pPr>
      <w:r>
        <w:rPr>
          <w:rFonts w:ascii="Arial" w:cs="Arial" w:eastAsia="Arial" w:hAnsi="Arial"/>
          <w:sz w:val="13"/>
          <w:szCs w:val="13"/>
          <w:color w:val="auto"/>
        </w:rPr>
        <w:t>Revenue related to transactions is recognised at the point in time when the transaction takes place.</w:t>
      </w:r>
    </w:p>
    <w:p>
      <w:pPr>
        <w:spacing w:after="0" w:line="129" w:lineRule="exact"/>
        <w:rPr>
          <w:sz w:val="20"/>
          <w:szCs w:val="20"/>
          <w:color w:val="auto"/>
        </w:rPr>
      </w:pPr>
    </w:p>
    <w:p>
      <w:pPr>
        <w:ind w:right="200"/>
        <w:spacing w:after="0" w:line="267" w:lineRule="auto"/>
        <w:rPr>
          <w:sz w:val="20"/>
          <w:szCs w:val="20"/>
          <w:color w:val="auto"/>
        </w:rPr>
      </w:pPr>
      <w:r>
        <w:rPr>
          <w:rFonts w:ascii="Arial" w:cs="Arial" w:eastAsia="Arial" w:hAnsi="Arial"/>
          <w:sz w:val="13"/>
          <w:szCs w:val="13"/>
          <w:color w:val="auto"/>
        </w:rPr>
        <w:t>Revenue related to transactions is recognised at the point in time when the transaction takes place.</w:t>
      </w:r>
    </w:p>
    <w:p>
      <w:pPr>
        <w:spacing w:after="0" w:line="129" w:lineRule="exact"/>
        <w:rPr>
          <w:sz w:val="20"/>
          <w:szCs w:val="20"/>
          <w:color w:val="auto"/>
        </w:rPr>
      </w:pPr>
    </w:p>
    <w:p>
      <w:pPr>
        <w:ind w:right="160"/>
        <w:spacing w:after="0" w:line="267" w:lineRule="auto"/>
        <w:rPr>
          <w:sz w:val="20"/>
          <w:szCs w:val="20"/>
          <w:color w:val="auto"/>
        </w:rPr>
      </w:pPr>
      <w:r>
        <w:rPr>
          <w:rFonts w:ascii="Arial" w:cs="Arial" w:eastAsia="Arial" w:hAnsi="Arial"/>
          <w:sz w:val="13"/>
          <w:szCs w:val="13"/>
          <w:color w:val="auto"/>
        </w:rPr>
        <w:t>Revenue from services is recognised over time as the services are provided.</w:t>
      </w:r>
    </w:p>
    <w:p>
      <w:pPr>
        <w:spacing w:after="0" w:line="200" w:lineRule="exact"/>
        <w:rPr>
          <w:sz w:val="20"/>
          <w:szCs w:val="20"/>
          <w:color w:val="auto"/>
        </w:rPr>
      </w:pPr>
    </w:p>
    <w:p>
      <w:pPr>
        <w:spacing w:after="0" w:line="237" w:lineRule="exact"/>
        <w:rPr>
          <w:sz w:val="20"/>
          <w:szCs w:val="20"/>
          <w:color w:val="auto"/>
        </w:rPr>
      </w:pPr>
    </w:p>
    <w:p>
      <w:pPr>
        <w:ind w:right="200"/>
        <w:spacing w:after="0" w:line="267" w:lineRule="auto"/>
        <w:rPr>
          <w:sz w:val="20"/>
          <w:szCs w:val="20"/>
          <w:color w:val="auto"/>
        </w:rPr>
      </w:pPr>
      <w:r>
        <w:rPr>
          <w:rFonts w:ascii="Arial" w:cs="Arial" w:eastAsia="Arial" w:hAnsi="Arial"/>
          <w:sz w:val="13"/>
          <w:szCs w:val="13"/>
          <w:color w:val="auto"/>
        </w:rPr>
        <w:t>Revenue related to transactions is recognised at the point in time when the transaction takes place.</w:t>
      </w:r>
    </w:p>
    <w:p>
      <w:pPr>
        <w:spacing w:after="0" w:line="200" w:lineRule="exact"/>
        <w:rPr>
          <w:sz w:val="20"/>
          <w:szCs w:val="20"/>
          <w:color w:val="auto"/>
        </w:rPr>
      </w:pPr>
    </w:p>
    <w:p>
      <w:pPr>
        <w:spacing w:after="0" w:line="391" w:lineRule="exact"/>
        <w:rPr>
          <w:sz w:val="20"/>
          <w:szCs w:val="20"/>
          <w:color w:val="auto"/>
        </w:rPr>
      </w:pPr>
    </w:p>
    <w:p>
      <w:pPr>
        <w:ind w:right="200"/>
        <w:spacing w:after="0" w:line="267" w:lineRule="auto"/>
        <w:rPr>
          <w:sz w:val="20"/>
          <w:szCs w:val="20"/>
          <w:color w:val="auto"/>
        </w:rPr>
      </w:pPr>
      <w:r>
        <w:rPr>
          <w:rFonts w:ascii="Arial" w:cs="Arial" w:eastAsia="Arial" w:hAnsi="Arial"/>
          <w:sz w:val="13"/>
          <w:szCs w:val="13"/>
          <w:color w:val="auto"/>
        </w:rPr>
        <w:t>Revenue related to transactions is recognised at the point in time when the transaction takes place.</w:t>
      </w:r>
    </w:p>
    <w:p>
      <w:pPr>
        <w:spacing w:after="0" w:line="200" w:lineRule="exact"/>
        <w:rPr>
          <w:sz w:val="20"/>
          <w:szCs w:val="20"/>
          <w:color w:val="auto"/>
        </w:rPr>
      </w:pPr>
    </w:p>
    <w:p>
      <w:pPr>
        <w:sectPr>
          <w:pgSz w:w="11900" w:h="16838" w:orient="portrait"/>
          <w:cols w:equalWidth="0" w:num="2">
            <w:col w:w="7583" w:space="220"/>
            <w:col w:w="3520"/>
          </w:cols>
          <w:pgMar w:left="217" w:top="685" w:right="359" w:bottom="1440" w:gutter="0" w:footer="0" w:header="0"/>
          <w:type w:val="continuous"/>
        </w:sectPr>
      </w:pPr>
    </w:p>
    <w:p>
      <w:pPr>
        <w:spacing w:after="0" w:line="83" w:lineRule="exact"/>
        <w:rPr>
          <w:sz w:val="20"/>
          <w:szCs w:val="20"/>
          <w:color w:val="auto"/>
        </w:rPr>
      </w:pPr>
    </w:p>
    <w:p>
      <w:pPr>
        <w:jc w:val="center"/>
        <w:ind w:right="-162"/>
        <w:spacing w:after="0"/>
        <w:rPr>
          <w:sz w:val="20"/>
          <w:szCs w:val="20"/>
          <w:color w:val="auto"/>
        </w:rPr>
      </w:pPr>
      <w:r>
        <w:rPr>
          <w:rFonts w:ascii="Arial" w:cs="Arial" w:eastAsia="Arial" w:hAnsi="Arial"/>
          <w:sz w:val="11"/>
          <w:szCs w:val="11"/>
          <w:color w:val="auto"/>
        </w:rPr>
        <w:t>F-14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29210</wp:posOffset>
            </wp:positionV>
            <wp:extent cx="7285990" cy="635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7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323"/>
          </w:cols>
          <w:pgMar w:left="217" w:top="685" w:right="359" w:bottom="1440" w:gutter="0" w:footer="0" w:header="0"/>
          <w:type w:val="continuous"/>
        </w:sectPr>
      </w:pPr>
    </w:p>
    <w:bookmarkStart w:id="139" w:name="page140"/>
    <w:bookmarkEnd w:id="139"/>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7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95"/>
        </w:numPr>
        <w:rPr>
          <w:rFonts w:ascii="Arial" w:cs="Arial" w:eastAsia="Arial" w:hAnsi="Arial"/>
          <w:sz w:val="13"/>
          <w:szCs w:val="13"/>
          <w:b w:val="1"/>
          <w:bCs w:val="1"/>
          <w:color w:val="auto"/>
        </w:rPr>
      </w:pPr>
      <w:r>
        <w:rPr>
          <w:rFonts w:ascii="Arial" w:cs="Arial" w:eastAsia="Arial" w:hAnsi="Arial"/>
          <w:sz w:val="13"/>
          <w:szCs w:val="13"/>
          <w:b w:val="1"/>
          <w:bCs w:val="1"/>
          <w:color w:val="auto"/>
        </w:rPr>
        <w:t>Summary of accounting policies (continued)</w:t>
      </w:r>
    </w:p>
    <w:p>
      <w:pPr>
        <w:spacing w:after="0" w:line="159" w:lineRule="exact"/>
        <w:rPr>
          <w:sz w:val="20"/>
          <w:szCs w:val="20"/>
          <w:color w:val="auto"/>
        </w:rPr>
      </w:pPr>
    </w:p>
    <w:p>
      <w:pPr>
        <w:ind w:left="223"/>
        <w:spacing w:after="0"/>
        <w:tabs>
          <w:tab w:leader="none" w:pos="683" w:val="left"/>
        </w:tabs>
        <w:rPr>
          <w:sz w:val="20"/>
          <w:szCs w:val="20"/>
          <w:color w:val="auto"/>
        </w:rPr>
      </w:pPr>
      <w:r>
        <w:rPr>
          <w:rFonts w:ascii="Arial" w:cs="Arial" w:eastAsia="Arial" w:hAnsi="Arial"/>
          <w:sz w:val="13"/>
          <w:szCs w:val="13"/>
          <w:b w:val="1"/>
          <w:bCs w:val="1"/>
          <w:color w:val="auto"/>
        </w:rPr>
        <w:t>3.2</w:t>
      </w:r>
      <w:r>
        <w:rPr>
          <w:sz w:val="20"/>
          <w:szCs w:val="20"/>
          <w:color w:val="auto"/>
        </w:rPr>
        <w:tab/>
      </w:r>
      <w:r>
        <w:rPr>
          <w:rFonts w:ascii="Arial" w:cs="Arial" w:eastAsia="Arial" w:hAnsi="Arial"/>
          <w:sz w:val="11"/>
          <w:szCs w:val="11"/>
          <w:b w:val="1"/>
          <w:bCs w:val="1"/>
          <w:color w:val="auto"/>
        </w:rPr>
        <w:t>Significant accounting policies</w:t>
      </w:r>
    </w:p>
    <w:p>
      <w:pPr>
        <w:spacing w:after="0" w:line="163" w:lineRule="exact"/>
        <w:rPr>
          <w:sz w:val="20"/>
          <w:szCs w:val="20"/>
          <w:color w:val="auto"/>
        </w:rPr>
      </w:pPr>
    </w:p>
    <w:p>
      <w:pPr>
        <w:ind w:left="223"/>
        <w:spacing w:after="0"/>
        <w:rPr>
          <w:sz w:val="20"/>
          <w:szCs w:val="20"/>
          <w:color w:val="auto"/>
        </w:rPr>
      </w:pPr>
      <w:r>
        <w:rPr>
          <w:rFonts w:ascii="Arial" w:cs="Arial" w:eastAsia="Arial" w:hAnsi="Arial"/>
          <w:sz w:val="13"/>
          <w:szCs w:val="13"/>
          <w:color w:val="auto"/>
        </w:rPr>
        <w:t>Significant accounting policies applied consistently by the Bank to all years presented in these consolidated financial statements, are presented as follows.</w:t>
      </w:r>
    </w:p>
    <w:p>
      <w:pPr>
        <w:spacing w:after="0" w:line="155" w:lineRule="exact"/>
        <w:rPr>
          <w:sz w:val="20"/>
          <w:szCs w:val="20"/>
          <w:color w:val="auto"/>
        </w:rPr>
      </w:pPr>
    </w:p>
    <w:p>
      <w:pPr>
        <w:ind w:left="703"/>
        <w:spacing w:after="0"/>
        <w:tabs>
          <w:tab w:leader="none" w:pos="1143" w:val="left"/>
        </w:tabs>
        <w:rPr>
          <w:sz w:val="20"/>
          <w:szCs w:val="20"/>
          <w:color w:val="auto"/>
        </w:rPr>
      </w:pPr>
      <w:r>
        <w:rPr>
          <w:rFonts w:ascii="Arial" w:cs="Arial" w:eastAsia="Arial" w:hAnsi="Arial"/>
          <w:sz w:val="13"/>
          <w:szCs w:val="13"/>
          <w:b w:val="1"/>
          <w:bCs w:val="1"/>
          <w:color w:val="auto"/>
        </w:rPr>
        <w:t>3.2.1</w:t>
      </w:r>
      <w:r>
        <w:rPr>
          <w:sz w:val="20"/>
          <w:szCs w:val="20"/>
          <w:color w:val="auto"/>
        </w:rPr>
        <w:tab/>
      </w:r>
      <w:r>
        <w:rPr>
          <w:rFonts w:ascii="Arial" w:cs="Arial" w:eastAsia="Arial" w:hAnsi="Arial"/>
          <w:sz w:val="11"/>
          <w:szCs w:val="11"/>
          <w:b w:val="1"/>
          <w:bCs w:val="1"/>
          <w:color w:val="auto"/>
        </w:rPr>
        <w:t>Currency and foreign currency transactions</w:t>
      </w:r>
    </w:p>
    <w:p>
      <w:pPr>
        <w:spacing w:after="0" w:line="159" w:lineRule="exact"/>
        <w:rPr>
          <w:sz w:val="20"/>
          <w:szCs w:val="20"/>
          <w:color w:val="auto"/>
        </w:rPr>
      </w:pPr>
    </w:p>
    <w:p>
      <w:pPr>
        <w:ind w:left="183"/>
        <w:spacing w:after="0"/>
        <w:rPr>
          <w:sz w:val="20"/>
          <w:szCs w:val="20"/>
          <w:color w:val="auto"/>
        </w:rPr>
      </w:pPr>
      <w:r>
        <w:rPr>
          <w:rFonts w:ascii="Arial" w:cs="Arial" w:eastAsia="Arial" w:hAnsi="Arial"/>
          <w:sz w:val="13"/>
          <w:szCs w:val="13"/>
          <w:b w:val="1"/>
          <w:bCs w:val="1"/>
          <w:u w:val="single" w:color="auto"/>
          <w:color w:val="auto"/>
        </w:rPr>
        <w:t>Foreign currency transactions</w:t>
      </w:r>
    </w:p>
    <w:p>
      <w:pPr>
        <w:spacing w:after="0" w:line="163" w:lineRule="exact"/>
        <w:rPr>
          <w:sz w:val="20"/>
          <w:szCs w:val="20"/>
          <w:color w:val="auto"/>
        </w:rPr>
      </w:pPr>
    </w:p>
    <w:p>
      <w:pPr>
        <w:jc w:val="both"/>
        <w:ind w:left="223" w:right="20"/>
        <w:spacing w:after="0" w:line="254" w:lineRule="auto"/>
        <w:rPr>
          <w:sz w:val="20"/>
          <w:szCs w:val="20"/>
          <w:color w:val="auto"/>
        </w:rPr>
      </w:pPr>
      <w:r>
        <w:rPr>
          <w:rFonts w:ascii="Arial" w:cs="Arial" w:eastAsia="Arial" w:hAnsi="Arial"/>
          <w:sz w:val="13"/>
          <w:szCs w:val="13"/>
          <w:color w:val="auto"/>
        </w:rPr>
        <w:t>For purposes of consolidation of the financial statements, the Bank applies IAS 21- “</w:t>
      </w:r>
      <w:r>
        <w:rPr>
          <w:rFonts w:ascii="Arial" w:cs="Arial" w:eastAsia="Arial" w:hAnsi="Arial"/>
          <w:sz w:val="13"/>
          <w:szCs w:val="13"/>
          <w:i w:val="1"/>
          <w:iCs w:val="1"/>
          <w:color w:val="auto"/>
        </w:rPr>
        <w:t>The Effects of Changes in Foreign Exchange Rates</w:t>
      </w:r>
      <w:r>
        <w:rPr>
          <w:rFonts w:ascii="Arial" w:cs="Arial" w:eastAsia="Arial" w:hAnsi="Arial"/>
          <w:sz w:val="13"/>
          <w:szCs w:val="13"/>
          <w:color w:val="auto"/>
        </w:rPr>
        <w:t>” to financial assets and financial liabilities that are monetary items and denominated in a foreign currency. This standard requires any foreign exchange gains and losses on monetary assets and monetary liabilities to be recognized in profit or loss. An exception is a monetary item that is designated as a hedging instrument in a cash flow hedge, a hedge of a net investment or a fair value hedge of an equity instrument for which an entity has elected to present changes in fair value in other comprehensive income (loss).</w:t>
      </w:r>
    </w:p>
    <w:p>
      <w:pPr>
        <w:spacing w:after="0" w:line="137" w:lineRule="exact"/>
        <w:rPr>
          <w:sz w:val="20"/>
          <w:szCs w:val="20"/>
          <w:color w:val="auto"/>
        </w:rPr>
      </w:pPr>
    </w:p>
    <w:p>
      <w:pPr>
        <w:ind w:left="223"/>
        <w:spacing w:after="0"/>
        <w:rPr>
          <w:sz w:val="20"/>
          <w:szCs w:val="20"/>
          <w:color w:val="auto"/>
        </w:rPr>
      </w:pPr>
      <w:r>
        <w:rPr>
          <w:rFonts w:ascii="Arial" w:cs="Arial" w:eastAsia="Arial" w:hAnsi="Arial"/>
          <w:sz w:val="13"/>
          <w:szCs w:val="13"/>
          <w:color w:val="auto"/>
        </w:rPr>
        <w:t>For each entity, the Bank determines the functional currency; items, included in the consolidated financial statements of each entity, are measured using their respective functional currency.</w:t>
      </w:r>
    </w:p>
    <w:p>
      <w:pPr>
        <w:spacing w:after="0" w:line="155" w:lineRule="exact"/>
        <w:rPr>
          <w:sz w:val="20"/>
          <w:szCs w:val="20"/>
          <w:color w:val="auto"/>
        </w:rPr>
      </w:pPr>
    </w:p>
    <w:p>
      <w:pPr>
        <w:ind w:left="223"/>
        <w:spacing w:after="0"/>
        <w:rPr>
          <w:sz w:val="20"/>
          <w:szCs w:val="20"/>
          <w:color w:val="auto"/>
        </w:rPr>
      </w:pPr>
      <w:r>
        <w:rPr>
          <w:rFonts w:ascii="Arial" w:cs="Arial" w:eastAsia="Arial" w:hAnsi="Arial"/>
          <w:sz w:val="13"/>
          <w:szCs w:val="13"/>
          <w:b w:val="1"/>
          <w:bCs w:val="1"/>
          <w:u w:val="single" w:color="auto"/>
          <w:color w:val="auto"/>
        </w:rPr>
        <w:t>Transactions and balances</w:t>
      </w:r>
    </w:p>
    <w:p>
      <w:pPr>
        <w:spacing w:after="0" w:line="163" w:lineRule="exact"/>
        <w:rPr>
          <w:sz w:val="20"/>
          <w:szCs w:val="20"/>
          <w:color w:val="auto"/>
        </w:rPr>
      </w:pPr>
    </w:p>
    <w:p>
      <w:pPr>
        <w:jc w:val="both"/>
        <w:ind w:left="223" w:right="20"/>
        <w:spacing w:after="0" w:line="257" w:lineRule="auto"/>
        <w:rPr>
          <w:sz w:val="20"/>
          <w:szCs w:val="20"/>
          <w:color w:val="auto"/>
        </w:rPr>
      </w:pPr>
      <w:r>
        <w:rPr>
          <w:rFonts w:ascii="Arial" w:cs="Arial" w:eastAsia="Arial" w:hAnsi="Arial"/>
          <w:sz w:val="13"/>
          <w:szCs w:val="13"/>
          <w:color w:val="auto"/>
        </w:rPr>
        <w:t>Assets and liabilities of foreign subsidiaries, whose local currency is considered their functional currency, are translated into the reporting currency, US dollars, using month-end spot foreign exchange rates. The Bank uses monthly-averaged exchange rates to translate revenues and expenses from local functional currency into US dollars. The effects of those translation adjustments are reported as a component of other comprehensive income (loss) in the consolidated statement of changes in equity.</w:t>
      </w:r>
    </w:p>
    <w:p>
      <w:pPr>
        <w:spacing w:after="0" w:line="136" w:lineRule="exact"/>
        <w:rPr>
          <w:sz w:val="20"/>
          <w:szCs w:val="20"/>
          <w:color w:val="auto"/>
        </w:rPr>
      </w:pPr>
    </w:p>
    <w:p>
      <w:pPr>
        <w:jc w:val="both"/>
        <w:ind w:left="223" w:right="20"/>
        <w:spacing w:after="0" w:line="289" w:lineRule="auto"/>
        <w:rPr>
          <w:sz w:val="20"/>
          <w:szCs w:val="20"/>
          <w:color w:val="auto"/>
        </w:rPr>
      </w:pPr>
      <w:r>
        <w:rPr>
          <w:rFonts w:ascii="Arial" w:cs="Arial" w:eastAsia="Arial" w:hAnsi="Arial"/>
          <w:sz w:val="12"/>
          <w:szCs w:val="12"/>
          <w:color w:val="auto"/>
        </w:rPr>
        <w:t>Transactions whose terms are denominated in a currency other than the functional currency, including transactions denominated in local currency of the foreign entities whose functional currency is the US dollar, are recorded at the exchange rate prevailing at the date of the transaction. Assets and liabilities in foreign currency are translated into US dollar using month-end spot foreign exchange rates. The effects of translation of monetary assets and liabilities into US dollar are included in current year’s earnings on the line "gain (loss) on financial instruments, net" in profit or loss.</w:t>
      </w:r>
    </w:p>
    <w:p>
      <w:pPr>
        <w:spacing w:after="0" w:line="118" w:lineRule="exact"/>
        <w:rPr>
          <w:sz w:val="20"/>
          <w:szCs w:val="20"/>
          <w:color w:val="auto"/>
        </w:rPr>
      </w:pPr>
    </w:p>
    <w:p>
      <w:pPr>
        <w:jc w:val="both"/>
        <w:ind w:left="223"/>
        <w:spacing w:after="0" w:line="257" w:lineRule="auto"/>
        <w:rPr>
          <w:sz w:val="20"/>
          <w:szCs w:val="20"/>
          <w:color w:val="auto"/>
        </w:rPr>
      </w:pPr>
      <w:r>
        <w:rPr>
          <w:rFonts w:ascii="Arial" w:cs="Arial" w:eastAsia="Arial" w:hAnsi="Arial"/>
          <w:sz w:val="13"/>
          <w:szCs w:val="13"/>
          <w:color w:val="auto"/>
        </w:rPr>
        <w:t>Differences arising on settlement or translation of monetary items are recognized in profit or loss, except for monetary items that are designated as part of the hedge of the Bank’s net investment in a foreign operation. These are recognized in accumulated other comprehensive income until the net investment is disposed of, at which time, the cumulative amount is reclassified to profit or loss. Tax charges and credits attributable to exchange differences on those monetary items are also recorded in accumulated other comprehensive income, if applicable.</w:t>
      </w:r>
    </w:p>
    <w:p>
      <w:pPr>
        <w:spacing w:after="0" w:line="136" w:lineRule="exact"/>
        <w:rPr>
          <w:sz w:val="20"/>
          <w:szCs w:val="20"/>
          <w:color w:val="auto"/>
        </w:rPr>
      </w:pPr>
    </w:p>
    <w:p>
      <w:pPr>
        <w:jc w:val="both"/>
        <w:ind w:left="223" w:right="20"/>
        <w:spacing w:after="0" w:line="267" w:lineRule="auto"/>
        <w:rPr>
          <w:sz w:val="20"/>
          <w:szCs w:val="20"/>
          <w:color w:val="auto"/>
        </w:rPr>
      </w:pPr>
      <w:r>
        <w:rPr>
          <w:rFonts w:ascii="Arial" w:cs="Arial" w:eastAsia="Arial" w:hAnsi="Arial"/>
          <w:sz w:val="13"/>
          <w:szCs w:val="13"/>
          <w:color w:val="auto"/>
        </w:rPr>
        <w:t>Non-monetary assets and liabilities that are measured at fair value in a foreign currency are translated into the functional currency at the spot exchange rate at the date on which the fair value is determined. Non-monetary items that are measured based on historical cost in a foreign currency are translated using the spot exchange rate at the date of the transaction.</w:t>
      </w:r>
    </w:p>
    <w:p>
      <w:pPr>
        <w:spacing w:after="0" w:line="283"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7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140" w:name="page141"/>
    <w:bookmarkEnd w:id="140"/>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7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96"/>
        </w:numPr>
        <w:rPr>
          <w:rFonts w:ascii="Arial" w:cs="Arial" w:eastAsia="Arial" w:hAnsi="Arial"/>
          <w:sz w:val="13"/>
          <w:szCs w:val="13"/>
          <w:b w:val="1"/>
          <w:bCs w:val="1"/>
          <w:color w:val="auto"/>
        </w:rPr>
      </w:pPr>
      <w:r>
        <w:rPr>
          <w:rFonts w:ascii="Arial" w:cs="Arial" w:eastAsia="Arial" w:hAnsi="Arial"/>
          <w:sz w:val="13"/>
          <w:szCs w:val="13"/>
          <w:b w:val="1"/>
          <w:bCs w:val="1"/>
          <w:color w:val="auto"/>
        </w:rPr>
        <w:t>Summary of accounting policies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3.2</w:t>
      </w:r>
      <w:r>
        <w:rPr>
          <w:rFonts w:ascii="Arial" w:cs="Arial" w:eastAsia="Arial" w:hAnsi="Arial"/>
          <w:sz w:val="11"/>
          <w:szCs w:val="11"/>
          <w:b w:val="1"/>
          <w:bCs w:val="1"/>
          <w:color w:val="auto"/>
        </w:rPr>
        <w:t>Significant accounting policies (continued)</w:t>
      </w:r>
    </w:p>
    <w:p>
      <w:pPr>
        <w:spacing w:after="0" w:line="158" w:lineRule="exact"/>
        <w:rPr>
          <w:rFonts w:ascii="Arial" w:cs="Arial" w:eastAsia="Arial" w:hAnsi="Arial"/>
          <w:sz w:val="13"/>
          <w:szCs w:val="13"/>
          <w:b w:val="1"/>
          <w:bCs w:val="1"/>
          <w:color w:val="auto"/>
        </w:rPr>
      </w:pPr>
    </w:p>
    <w:p>
      <w:pPr>
        <w:ind w:left="70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3.2.2   Cash and cash equivalents</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Cash equivalents include demand deposits in banks and interest-bearing deposits in banks with original maturities of three months or less, excluding pledged deposits.</w:t>
      </w:r>
    </w:p>
    <w:p>
      <w:pPr>
        <w:spacing w:after="0" w:line="154" w:lineRule="exact"/>
        <w:rPr>
          <w:rFonts w:ascii="Arial" w:cs="Arial" w:eastAsia="Arial" w:hAnsi="Arial"/>
          <w:sz w:val="13"/>
          <w:szCs w:val="13"/>
          <w:b w:val="1"/>
          <w:bCs w:val="1"/>
          <w:color w:val="auto"/>
        </w:rPr>
      </w:pPr>
    </w:p>
    <w:p>
      <w:pPr>
        <w:ind w:left="223" w:right="9120" w:firstLine="462"/>
        <w:spacing w:after="0" w:line="497" w:lineRule="auto"/>
        <w:rPr>
          <w:rFonts w:ascii="Arial" w:cs="Arial" w:eastAsia="Arial" w:hAnsi="Arial"/>
          <w:sz w:val="13"/>
          <w:szCs w:val="13"/>
          <w:b w:val="1"/>
          <w:bCs w:val="1"/>
          <w:color w:val="auto"/>
        </w:rPr>
      </w:pPr>
      <w:r>
        <w:rPr>
          <w:rFonts w:ascii="Arial" w:cs="Arial" w:eastAsia="Arial" w:hAnsi="Arial"/>
          <w:sz w:val="13"/>
          <w:szCs w:val="13"/>
          <w:b w:val="1"/>
          <w:bCs w:val="1"/>
          <w:color w:val="auto"/>
        </w:rPr>
        <w:t xml:space="preserve">3.2.3 Financial instruments </w:t>
      </w:r>
      <w:r>
        <w:rPr>
          <w:rFonts w:ascii="Arial" w:cs="Arial" w:eastAsia="Arial" w:hAnsi="Arial"/>
          <w:sz w:val="13"/>
          <w:szCs w:val="13"/>
          <w:b w:val="1"/>
          <w:bCs w:val="1"/>
          <w:u w:val="single" w:color="auto"/>
          <w:color w:val="auto"/>
        </w:rPr>
        <w:t>Date of recognition</w:t>
      </w: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All financial assets and liabilities are initially recognized on the trade date, the date that the Bank becomes a party to the contractual provisions of the instrument. This includes regular way trades: purchases or sales of financial assets that require delivery of assets within the time frame generally established by regulation or convention in the market place.</w:t>
      </w:r>
    </w:p>
    <w:p>
      <w:pPr>
        <w:spacing w:after="0" w:line="125"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u w:val="single" w:color="auto"/>
          <w:color w:val="auto"/>
        </w:rPr>
        <w:t>Initial measurement of financial instruments</w:t>
      </w:r>
    </w:p>
    <w:p>
      <w:pPr>
        <w:spacing w:after="0" w:line="162" w:lineRule="exact"/>
        <w:rPr>
          <w:rFonts w:ascii="Arial" w:cs="Arial" w:eastAsia="Arial" w:hAnsi="Arial"/>
          <w:sz w:val="13"/>
          <w:szCs w:val="13"/>
          <w:b w:val="1"/>
          <w:bCs w:val="1"/>
          <w:color w:val="auto"/>
        </w:rPr>
      </w:pPr>
    </w:p>
    <w:p>
      <w:pPr>
        <w:jc w:val="both"/>
        <w:ind w:left="223" w:right="20"/>
        <w:spacing w:after="0" w:line="257" w:lineRule="auto"/>
        <w:rPr>
          <w:rFonts w:ascii="Arial" w:cs="Arial" w:eastAsia="Arial" w:hAnsi="Arial"/>
          <w:sz w:val="13"/>
          <w:szCs w:val="13"/>
          <w:b w:val="1"/>
          <w:bCs w:val="1"/>
          <w:color w:val="auto"/>
        </w:rPr>
      </w:pPr>
      <w:r>
        <w:rPr>
          <w:rFonts w:ascii="Arial" w:cs="Arial" w:eastAsia="Arial" w:hAnsi="Arial"/>
          <w:sz w:val="13"/>
          <w:szCs w:val="13"/>
          <w:color w:val="auto"/>
        </w:rPr>
        <w:t>Recognized financial assets and financial liabilities are initially measured at fair value. Transaction costs that are directly attributable to the acquisition or issue of financial assets and financial liabilities, other than financial assets or financial liabilities at fair value through profit or loss (FVTPL), are added to or deducted from the fair value of the financial assets or financial liabilities, as appropriate, on initial recognition. Transaction costs directly attributable to the acquisition of financial assets or financial liabilities at FVTPL are recognized immediately in profit or loss.</w:t>
      </w:r>
    </w:p>
    <w:p>
      <w:pPr>
        <w:spacing w:after="0" w:line="135" w:lineRule="exact"/>
        <w:rPr>
          <w:rFonts w:ascii="Arial" w:cs="Arial" w:eastAsia="Arial" w:hAnsi="Arial"/>
          <w:sz w:val="13"/>
          <w:szCs w:val="13"/>
          <w:b w:val="1"/>
          <w:bCs w:val="1"/>
          <w:color w:val="auto"/>
        </w:rPr>
      </w:pP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Recognized financial assets and financial liabilities designated as hedged items in qualifying fair value hedging relationships are measured at amortized cost adjusted for the hedge risk components associated to the hedging relationship.</w:t>
      </w:r>
    </w:p>
    <w:p>
      <w:pPr>
        <w:spacing w:after="0" w:line="129" w:lineRule="exact"/>
        <w:rPr>
          <w:rFonts w:ascii="Arial" w:cs="Arial" w:eastAsia="Arial" w:hAnsi="Arial"/>
          <w:sz w:val="13"/>
          <w:szCs w:val="13"/>
          <w:b w:val="1"/>
          <w:bCs w:val="1"/>
          <w:color w:val="auto"/>
        </w:rPr>
      </w:pPr>
    </w:p>
    <w:p>
      <w:pPr>
        <w:jc w:val="both"/>
        <w:ind w:left="223"/>
        <w:spacing w:after="0" w:line="254" w:lineRule="auto"/>
        <w:rPr>
          <w:rFonts w:ascii="Arial" w:cs="Arial" w:eastAsia="Arial" w:hAnsi="Arial"/>
          <w:sz w:val="13"/>
          <w:szCs w:val="13"/>
          <w:b w:val="1"/>
          <w:bCs w:val="1"/>
          <w:color w:val="auto"/>
        </w:rPr>
      </w:pPr>
      <w:r>
        <w:rPr>
          <w:rFonts w:ascii="Arial" w:cs="Arial" w:eastAsia="Arial" w:hAnsi="Arial"/>
          <w:sz w:val="13"/>
          <w:szCs w:val="13"/>
          <w:color w:val="auto"/>
        </w:rPr>
        <w:t>Debt instruments that are held within a business model whose objective is to collect the contractual cash flows, and that have contractual cash flows that are solely payments of principal and interest on the principal amount outstanding (SPPI), are subsequently measured at amortized cost; debt instruments that are held within a business model whose objective is both to collect the contractual cash flows and to sell the debt instruments, and that have contractual cash flows that are SPPI, are subsequently measured at fair value through other comprehensive income (FVOCI); all other debt instruments (e.g. debt instruments managed on a fair value basis, or held for sale) and equity instruments are subsequently measured at FVTPL.</w:t>
      </w:r>
    </w:p>
    <w:p>
      <w:pPr>
        <w:spacing w:after="0" w:line="137"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However, the following irrevocable election / designation at initial recognition of a financial asset on an asset-by-asset basis may be made:</w:t>
      </w:r>
    </w:p>
    <w:p>
      <w:pPr>
        <w:spacing w:after="0" w:line="158" w:lineRule="exact"/>
        <w:rPr>
          <w:rFonts w:ascii="Arial" w:cs="Arial" w:eastAsia="Arial" w:hAnsi="Arial"/>
          <w:sz w:val="13"/>
          <w:szCs w:val="13"/>
          <w:b w:val="1"/>
          <w:bCs w:val="1"/>
          <w:color w:val="auto"/>
        </w:rPr>
      </w:pPr>
    </w:p>
    <w:p>
      <w:pPr>
        <w:ind w:left="703" w:right="20" w:hanging="241"/>
        <w:spacing w:after="0" w:line="253" w:lineRule="auto"/>
        <w:tabs>
          <w:tab w:leader="none" w:pos="703" w:val="left"/>
        </w:tabs>
        <w:numPr>
          <w:ilvl w:val="1"/>
          <w:numId w:val="96"/>
        </w:numPr>
        <w:rPr>
          <w:rFonts w:ascii="Arial" w:cs="Arial" w:eastAsia="Arial" w:hAnsi="Arial"/>
          <w:sz w:val="13"/>
          <w:szCs w:val="13"/>
          <w:color w:val="auto"/>
        </w:rPr>
      </w:pPr>
      <w:r>
        <w:rPr>
          <w:rFonts w:ascii="Arial" w:cs="Arial" w:eastAsia="Arial" w:hAnsi="Arial"/>
          <w:sz w:val="13"/>
          <w:szCs w:val="13"/>
          <w:color w:val="auto"/>
        </w:rPr>
        <w:t>It may irrevocably elect to present subsequent changes in fair value of an equity instrument that is neither held for trading nor contingent consideration recognized by an acquirer in a business combination to which IFRS 3 – “</w:t>
      </w:r>
      <w:r>
        <w:rPr>
          <w:rFonts w:ascii="Arial" w:cs="Arial" w:eastAsia="Arial" w:hAnsi="Arial"/>
          <w:sz w:val="13"/>
          <w:szCs w:val="13"/>
          <w:i w:val="1"/>
          <w:iCs w:val="1"/>
          <w:color w:val="auto"/>
        </w:rPr>
        <w:t>Business Combinations</w:t>
      </w:r>
      <w:r>
        <w:rPr>
          <w:rFonts w:ascii="Arial" w:cs="Arial" w:eastAsia="Arial" w:hAnsi="Arial"/>
          <w:sz w:val="13"/>
          <w:szCs w:val="13"/>
          <w:color w:val="auto"/>
        </w:rPr>
        <w:t>” applies, in other comprehensive income (loss); and</w:t>
      </w:r>
    </w:p>
    <w:p>
      <w:pPr>
        <w:spacing w:after="0" w:line="1" w:lineRule="exact"/>
        <w:rPr>
          <w:rFonts w:ascii="Arial" w:cs="Arial" w:eastAsia="Arial" w:hAnsi="Arial"/>
          <w:sz w:val="13"/>
          <w:szCs w:val="13"/>
          <w:color w:val="auto"/>
        </w:rPr>
      </w:pPr>
    </w:p>
    <w:p>
      <w:pPr>
        <w:ind w:left="703" w:hanging="241"/>
        <w:spacing w:after="0"/>
        <w:tabs>
          <w:tab w:leader="none" w:pos="703" w:val="left"/>
        </w:tabs>
        <w:numPr>
          <w:ilvl w:val="1"/>
          <w:numId w:val="96"/>
        </w:numPr>
        <w:rPr>
          <w:rFonts w:ascii="Arial" w:cs="Arial" w:eastAsia="Arial" w:hAnsi="Arial"/>
          <w:sz w:val="12"/>
          <w:szCs w:val="12"/>
          <w:color w:val="auto"/>
        </w:rPr>
      </w:pPr>
      <w:r>
        <w:rPr>
          <w:rFonts w:ascii="Arial" w:cs="Arial" w:eastAsia="Arial" w:hAnsi="Arial"/>
          <w:sz w:val="12"/>
          <w:szCs w:val="12"/>
          <w:color w:val="auto"/>
        </w:rPr>
        <w:t>It may irrevocably designate a debt instrument that meets the amortized cost or at FVOCI criteria as measured at FVTPL if doing so eliminates or significantly reduces an accounting mismatch.</w:t>
      </w:r>
    </w:p>
    <w:p>
      <w:pPr>
        <w:spacing w:after="0" w:line="158" w:lineRule="exact"/>
        <w:rPr>
          <w:sz w:val="20"/>
          <w:szCs w:val="20"/>
          <w:color w:val="auto"/>
        </w:rPr>
      </w:pPr>
    </w:p>
    <w:p>
      <w:pPr>
        <w:ind w:left="223"/>
        <w:spacing w:after="0"/>
        <w:rPr>
          <w:sz w:val="20"/>
          <w:szCs w:val="20"/>
          <w:color w:val="auto"/>
        </w:rPr>
      </w:pPr>
      <w:r>
        <w:rPr>
          <w:rFonts w:ascii="Arial" w:cs="Arial" w:eastAsia="Arial" w:hAnsi="Arial"/>
          <w:sz w:val="13"/>
          <w:szCs w:val="13"/>
          <w:b w:val="1"/>
          <w:bCs w:val="1"/>
          <w:u w:val="single" w:color="auto"/>
          <w:color w:val="auto"/>
        </w:rPr>
        <w:t>Classification</w:t>
      </w:r>
    </w:p>
    <w:p>
      <w:pPr>
        <w:spacing w:after="0" w:line="163" w:lineRule="exact"/>
        <w:rPr>
          <w:sz w:val="20"/>
          <w:szCs w:val="20"/>
          <w:color w:val="auto"/>
        </w:rPr>
      </w:pPr>
    </w:p>
    <w:p>
      <w:pPr>
        <w:ind w:left="223" w:right="20"/>
        <w:spacing w:after="0" w:line="267" w:lineRule="auto"/>
        <w:rPr>
          <w:sz w:val="20"/>
          <w:szCs w:val="20"/>
          <w:color w:val="auto"/>
        </w:rPr>
      </w:pPr>
      <w:r>
        <w:rPr>
          <w:rFonts w:ascii="Arial" w:cs="Arial" w:eastAsia="Arial" w:hAnsi="Arial"/>
          <w:sz w:val="13"/>
          <w:szCs w:val="13"/>
          <w:color w:val="auto"/>
        </w:rPr>
        <w:t>The Bank classifies its financial assets as subsequently measured at amortized cost, fair value through other comprehensive income or fair value through profit or loss based on the Bank’s business model for managing the financial assets and the contractual cash flow characteristics of these financial assets.</w:t>
      </w:r>
    </w:p>
    <w:p>
      <w:pPr>
        <w:spacing w:after="0" w:line="129" w:lineRule="exact"/>
        <w:rPr>
          <w:sz w:val="20"/>
          <w:szCs w:val="20"/>
          <w:color w:val="auto"/>
        </w:rPr>
      </w:pPr>
    </w:p>
    <w:p>
      <w:pPr>
        <w:ind w:left="223" w:right="20"/>
        <w:spacing w:after="0" w:line="267" w:lineRule="auto"/>
        <w:rPr>
          <w:sz w:val="20"/>
          <w:szCs w:val="20"/>
          <w:color w:val="auto"/>
        </w:rPr>
      </w:pPr>
      <w:r>
        <w:rPr>
          <w:rFonts w:ascii="Arial" w:cs="Arial" w:eastAsia="Arial" w:hAnsi="Arial"/>
          <w:sz w:val="13"/>
          <w:szCs w:val="13"/>
          <w:color w:val="auto"/>
        </w:rPr>
        <w:t>The Bank classifies all financial liabilities as subsequently measured at amortized cost, except for those liabilities designated as hedged items in qualifying fair value hedging relationships, which are measured at amortized cost adjusted for the hedge risk components associated to the hedging relationship.</w:t>
      </w:r>
    </w:p>
    <w:p>
      <w:pPr>
        <w:spacing w:after="0" w:line="283"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7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141" w:name="page142"/>
    <w:bookmarkEnd w:id="141"/>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8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97"/>
        </w:numPr>
        <w:rPr>
          <w:rFonts w:ascii="Arial" w:cs="Arial" w:eastAsia="Arial" w:hAnsi="Arial"/>
          <w:sz w:val="13"/>
          <w:szCs w:val="13"/>
          <w:b w:val="1"/>
          <w:bCs w:val="1"/>
          <w:color w:val="auto"/>
        </w:rPr>
      </w:pPr>
      <w:r>
        <w:rPr>
          <w:rFonts w:ascii="Arial" w:cs="Arial" w:eastAsia="Arial" w:hAnsi="Arial"/>
          <w:sz w:val="13"/>
          <w:szCs w:val="13"/>
          <w:b w:val="1"/>
          <w:bCs w:val="1"/>
          <w:color w:val="auto"/>
        </w:rPr>
        <w:t>Summary of accounting policies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3.2</w:t>
      </w:r>
      <w:r>
        <w:rPr>
          <w:rFonts w:ascii="Arial" w:cs="Arial" w:eastAsia="Arial" w:hAnsi="Arial"/>
          <w:sz w:val="11"/>
          <w:szCs w:val="11"/>
          <w:b w:val="1"/>
          <w:bCs w:val="1"/>
          <w:color w:val="auto"/>
        </w:rPr>
        <w:t>Significant accounting policies (continued)</w:t>
      </w:r>
    </w:p>
    <w:p>
      <w:pPr>
        <w:spacing w:after="0" w:line="158" w:lineRule="exact"/>
        <w:rPr>
          <w:rFonts w:ascii="Arial" w:cs="Arial" w:eastAsia="Arial" w:hAnsi="Arial"/>
          <w:sz w:val="13"/>
          <w:szCs w:val="13"/>
          <w:b w:val="1"/>
          <w:bCs w:val="1"/>
          <w:color w:val="auto"/>
        </w:rPr>
      </w:pPr>
    </w:p>
    <w:p>
      <w:pPr>
        <w:ind w:left="223" w:right="8460" w:firstLine="462"/>
        <w:spacing w:after="0" w:line="497" w:lineRule="auto"/>
        <w:rPr>
          <w:rFonts w:ascii="Arial" w:cs="Arial" w:eastAsia="Arial" w:hAnsi="Arial"/>
          <w:sz w:val="13"/>
          <w:szCs w:val="13"/>
          <w:b w:val="1"/>
          <w:bCs w:val="1"/>
          <w:color w:val="auto"/>
        </w:rPr>
      </w:pPr>
      <w:r>
        <w:rPr>
          <w:rFonts w:ascii="Arial" w:cs="Arial" w:eastAsia="Arial" w:hAnsi="Arial"/>
          <w:sz w:val="13"/>
          <w:szCs w:val="13"/>
          <w:b w:val="1"/>
          <w:bCs w:val="1"/>
          <w:color w:val="auto"/>
        </w:rPr>
        <w:t xml:space="preserve">3.2.3 Financial instruments (continued) </w:t>
      </w:r>
      <w:r>
        <w:rPr>
          <w:rFonts w:ascii="Arial" w:cs="Arial" w:eastAsia="Arial" w:hAnsi="Arial"/>
          <w:sz w:val="13"/>
          <w:szCs w:val="13"/>
          <w:b w:val="1"/>
          <w:bCs w:val="1"/>
          <w:u w:val="single" w:color="auto"/>
          <w:color w:val="auto"/>
        </w:rPr>
        <w:t>Business model assessment</w:t>
      </w: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The Bank assesses the objective of the business model in which the financial asset is held at a portfolio level, because this reflects the way the business is managed, and information is provided to management. The information considers the following:</w:t>
      </w:r>
    </w:p>
    <w:p>
      <w:pPr>
        <w:spacing w:after="0" w:line="129" w:lineRule="exact"/>
        <w:rPr>
          <w:rFonts w:ascii="Arial" w:cs="Arial" w:eastAsia="Arial" w:hAnsi="Arial"/>
          <w:sz w:val="13"/>
          <w:szCs w:val="13"/>
          <w:b w:val="1"/>
          <w:bCs w:val="1"/>
          <w:color w:val="auto"/>
        </w:rPr>
      </w:pPr>
    </w:p>
    <w:p>
      <w:pPr>
        <w:ind w:left="923" w:right="20" w:hanging="230"/>
        <w:spacing w:after="0" w:line="300" w:lineRule="auto"/>
        <w:tabs>
          <w:tab w:leader="none" w:pos="923" w:val="left"/>
        </w:tabs>
        <w:numPr>
          <w:ilvl w:val="1"/>
          <w:numId w:val="97"/>
        </w:numPr>
        <w:rPr>
          <w:rFonts w:ascii="Arial" w:cs="Arial" w:eastAsia="Arial" w:hAnsi="Arial"/>
          <w:sz w:val="11"/>
          <w:szCs w:val="11"/>
          <w:color w:val="auto"/>
        </w:rPr>
      </w:pPr>
      <w:r>
        <w:rPr>
          <w:rFonts w:ascii="Arial" w:cs="Arial" w:eastAsia="Arial" w:hAnsi="Arial"/>
          <w:sz w:val="11"/>
          <w:szCs w:val="11"/>
          <w:color w:val="auto"/>
        </w:rPr>
        <w:t>The Bank’s policies and objectives for the portfolio and the operation of those policies in practice. In particular, if the management’s strategy focuses on earning contractual interest revenue, maintaining a particular interest rate profile, matching the duration of the financial assets to the duration of the liabilities that are funding those assets or realizing cash flows through the sale of the assets;</w:t>
      </w:r>
    </w:p>
    <w:p>
      <w:pPr>
        <w:ind w:left="923" w:hanging="230"/>
        <w:spacing w:after="0"/>
        <w:tabs>
          <w:tab w:leader="none" w:pos="923" w:val="left"/>
        </w:tabs>
        <w:numPr>
          <w:ilvl w:val="1"/>
          <w:numId w:val="97"/>
        </w:numPr>
        <w:rPr>
          <w:rFonts w:ascii="Arial" w:cs="Arial" w:eastAsia="Arial" w:hAnsi="Arial"/>
          <w:sz w:val="13"/>
          <w:szCs w:val="13"/>
          <w:color w:val="auto"/>
        </w:rPr>
      </w:pPr>
      <w:r>
        <w:rPr>
          <w:rFonts w:ascii="Arial" w:cs="Arial" w:eastAsia="Arial" w:hAnsi="Arial"/>
          <w:sz w:val="13"/>
          <w:szCs w:val="13"/>
          <w:color w:val="auto"/>
        </w:rPr>
        <w:t>How the performance of the portfolio is evaluated and reported to the Bank’s management;</w:t>
      </w:r>
    </w:p>
    <w:p>
      <w:pPr>
        <w:spacing w:after="0" w:line="4" w:lineRule="exact"/>
        <w:rPr>
          <w:rFonts w:ascii="Arial" w:cs="Arial" w:eastAsia="Arial" w:hAnsi="Arial"/>
          <w:sz w:val="13"/>
          <w:szCs w:val="13"/>
          <w:color w:val="auto"/>
        </w:rPr>
      </w:pPr>
    </w:p>
    <w:p>
      <w:pPr>
        <w:ind w:left="923" w:hanging="230"/>
        <w:spacing w:after="0"/>
        <w:tabs>
          <w:tab w:leader="none" w:pos="923" w:val="left"/>
        </w:tabs>
        <w:numPr>
          <w:ilvl w:val="1"/>
          <w:numId w:val="97"/>
        </w:numPr>
        <w:rPr>
          <w:rFonts w:ascii="Arial" w:cs="Arial" w:eastAsia="Arial" w:hAnsi="Arial"/>
          <w:sz w:val="13"/>
          <w:szCs w:val="13"/>
          <w:color w:val="auto"/>
        </w:rPr>
      </w:pPr>
      <w:r>
        <w:rPr>
          <w:rFonts w:ascii="Arial" w:cs="Arial" w:eastAsia="Arial" w:hAnsi="Arial"/>
          <w:sz w:val="13"/>
          <w:szCs w:val="13"/>
          <w:color w:val="auto"/>
        </w:rPr>
        <w:t>The risks that affect the performance of the business model and how those risks are managed;</w:t>
      </w:r>
    </w:p>
    <w:p>
      <w:pPr>
        <w:spacing w:after="0" w:line="4" w:lineRule="exact"/>
        <w:rPr>
          <w:rFonts w:ascii="Arial" w:cs="Arial" w:eastAsia="Arial" w:hAnsi="Arial"/>
          <w:sz w:val="13"/>
          <w:szCs w:val="13"/>
          <w:color w:val="auto"/>
        </w:rPr>
      </w:pPr>
    </w:p>
    <w:p>
      <w:pPr>
        <w:ind w:left="923" w:right="20" w:hanging="230"/>
        <w:spacing w:after="0" w:line="254" w:lineRule="auto"/>
        <w:tabs>
          <w:tab w:leader="none" w:pos="923" w:val="left"/>
        </w:tabs>
        <w:numPr>
          <w:ilvl w:val="1"/>
          <w:numId w:val="97"/>
        </w:numPr>
        <w:rPr>
          <w:rFonts w:ascii="Arial" w:cs="Arial" w:eastAsia="Arial" w:hAnsi="Arial"/>
          <w:sz w:val="13"/>
          <w:szCs w:val="13"/>
          <w:color w:val="auto"/>
        </w:rPr>
      </w:pPr>
      <w:r>
        <w:rPr>
          <w:rFonts w:ascii="Arial" w:cs="Arial" w:eastAsia="Arial" w:hAnsi="Arial"/>
          <w:sz w:val="13"/>
          <w:szCs w:val="13"/>
          <w:color w:val="auto"/>
        </w:rPr>
        <w:t>The frequency, volume and timing of sales in prior periods, the reason for such sales and its expectations about future sales activity. However, information about sales activity is not considered in isolation, but as part of an overall assessment of how the Bank’s stated objective for managing the financial assets is achieved and how cash flows are realized.</w:t>
      </w:r>
    </w:p>
    <w:p>
      <w:pPr>
        <w:spacing w:after="0" w:line="137" w:lineRule="exact"/>
        <w:rPr>
          <w:sz w:val="20"/>
          <w:szCs w:val="20"/>
          <w:color w:val="auto"/>
        </w:rPr>
      </w:pPr>
    </w:p>
    <w:p>
      <w:pPr>
        <w:jc w:val="both"/>
        <w:ind w:left="283"/>
        <w:spacing w:after="0" w:line="257" w:lineRule="auto"/>
        <w:rPr>
          <w:sz w:val="20"/>
          <w:szCs w:val="20"/>
          <w:color w:val="auto"/>
        </w:rPr>
      </w:pPr>
      <w:r>
        <w:rPr>
          <w:rFonts w:ascii="Arial" w:cs="Arial" w:eastAsia="Arial" w:hAnsi="Arial"/>
          <w:sz w:val="13"/>
          <w:szCs w:val="13"/>
          <w:color w:val="auto"/>
        </w:rPr>
        <w:t>An assessment of the business model for managing financial assets is fundamental to the classification of a financial asset. The Bank determines the business model at a level that reflects how financial asset groups are managed together to obtain a particular business objective. The business model does not depend on management intentions for an individual instrument; therefore, assessment of the business model is done at a higher level of aggregation rather than instrument by instrument.</w:t>
      </w:r>
    </w:p>
    <w:p>
      <w:pPr>
        <w:spacing w:after="0" w:line="136" w:lineRule="exact"/>
        <w:rPr>
          <w:sz w:val="20"/>
          <w:szCs w:val="20"/>
          <w:color w:val="auto"/>
        </w:rPr>
      </w:pPr>
    </w:p>
    <w:p>
      <w:pPr>
        <w:jc w:val="both"/>
        <w:ind w:left="283" w:right="20"/>
        <w:spacing w:after="0" w:line="257" w:lineRule="auto"/>
        <w:rPr>
          <w:sz w:val="20"/>
          <w:szCs w:val="20"/>
          <w:color w:val="auto"/>
        </w:rPr>
      </w:pPr>
      <w:r>
        <w:rPr>
          <w:rFonts w:ascii="Arial" w:cs="Arial" w:eastAsia="Arial" w:hAnsi="Arial"/>
          <w:sz w:val="13"/>
          <w:szCs w:val="13"/>
          <w:color w:val="auto"/>
        </w:rPr>
        <w:t>At the initial recognition of a financial asset, it is determined whether the newly recognized financial asset is part of an existing business model or whether it reflects the start of a new business model. The Bank reassesses its business model in each reporting date to determine whether business models have changed since the previous reporting date. For the current and previous reporting dates, the Bank has not identified a change in its business model.</w:t>
      </w:r>
    </w:p>
    <w:p>
      <w:pPr>
        <w:spacing w:after="0" w:line="132" w:lineRule="exact"/>
        <w:rPr>
          <w:sz w:val="20"/>
          <w:szCs w:val="20"/>
          <w:color w:val="auto"/>
        </w:rPr>
      </w:pPr>
    </w:p>
    <w:p>
      <w:pPr>
        <w:ind w:left="223"/>
        <w:spacing w:after="0"/>
        <w:rPr>
          <w:sz w:val="20"/>
          <w:szCs w:val="20"/>
          <w:color w:val="auto"/>
        </w:rPr>
      </w:pPr>
      <w:r>
        <w:rPr>
          <w:rFonts w:ascii="Arial" w:cs="Arial" w:eastAsia="Arial" w:hAnsi="Arial"/>
          <w:sz w:val="13"/>
          <w:szCs w:val="13"/>
          <w:b w:val="1"/>
          <w:bCs w:val="1"/>
          <w:u w:val="single" w:color="auto"/>
          <w:color w:val="auto"/>
        </w:rPr>
        <w:t>Assessment whether contractual cash flows are solely payments of principal and interest (SPPI)</w:t>
      </w:r>
    </w:p>
    <w:p>
      <w:pPr>
        <w:spacing w:after="0" w:line="163" w:lineRule="exact"/>
        <w:rPr>
          <w:sz w:val="20"/>
          <w:szCs w:val="20"/>
          <w:color w:val="auto"/>
        </w:rPr>
      </w:pPr>
    </w:p>
    <w:p>
      <w:pPr>
        <w:jc w:val="both"/>
        <w:ind w:left="223" w:right="20"/>
        <w:spacing w:after="0" w:line="267" w:lineRule="auto"/>
        <w:rPr>
          <w:sz w:val="20"/>
          <w:szCs w:val="20"/>
          <w:color w:val="auto"/>
        </w:rPr>
      </w:pPr>
      <w:r>
        <w:rPr>
          <w:rFonts w:ascii="Arial" w:cs="Arial" w:eastAsia="Arial" w:hAnsi="Arial"/>
          <w:sz w:val="13"/>
          <w:szCs w:val="13"/>
          <w:color w:val="auto"/>
        </w:rPr>
        <w:t>For the purposes of this assessment, ‘principal’ is defined as the fair value of the financial asset on initial recognition. ‘Interest’ is defined as consideration for the time value of money and for the credit risk associated with the principal amount outstanding at a point in time and for other basic lending risks and costs as well as profit margin.</w:t>
      </w:r>
    </w:p>
    <w:p>
      <w:pPr>
        <w:spacing w:after="0" w:line="129" w:lineRule="exact"/>
        <w:rPr>
          <w:sz w:val="20"/>
          <w:szCs w:val="20"/>
          <w:color w:val="auto"/>
        </w:rPr>
      </w:pPr>
    </w:p>
    <w:p>
      <w:pPr>
        <w:jc w:val="both"/>
        <w:ind w:left="223" w:right="20"/>
        <w:spacing w:after="0" w:line="257" w:lineRule="auto"/>
        <w:rPr>
          <w:sz w:val="20"/>
          <w:szCs w:val="20"/>
          <w:color w:val="auto"/>
        </w:rPr>
      </w:pPr>
      <w:r>
        <w:rPr>
          <w:rFonts w:ascii="Arial" w:cs="Arial" w:eastAsia="Arial" w:hAnsi="Arial"/>
          <w:sz w:val="13"/>
          <w:szCs w:val="13"/>
          <w:color w:val="auto"/>
        </w:rPr>
        <w:t>Contractual cash flows that are SPPI are consistent with a basic credit agreement. Contractual terms that originate risk exposure or volatility in the contractual cash flows that are not related to a basic credit agreement, such as exposure to changes in equity prices or commodity prices, do not give rise to contractual cash flows that are SPPI. An originated or an acquired financial asset can be a basic credit arrangement irrespective of whether it is a credit in its legal form.</w:t>
      </w:r>
    </w:p>
    <w:p>
      <w:pPr>
        <w:spacing w:after="0" w:line="290"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8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142" w:name="page143"/>
    <w:bookmarkEnd w:id="142"/>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8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98"/>
        </w:numPr>
        <w:rPr>
          <w:rFonts w:ascii="Arial" w:cs="Arial" w:eastAsia="Arial" w:hAnsi="Arial"/>
          <w:sz w:val="13"/>
          <w:szCs w:val="13"/>
          <w:b w:val="1"/>
          <w:bCs w:val="1"/>
          <w:color w:val="auto"/>
        </w:rPr>
      </w:pPr>
      <w:r>
        <w:rPr>
          <w:rFonts w:ascii="Arial" w:cs="Arial" w:eastAsia="Arial" w:hAnsi="Arial"/>
          <w:sz w:val="13"/>
          <w:szCs w:val="13"/>
          <w:b w:val="1"/>
          <w:bCs w:val="1"/>
          <w:color w:val="auto"/>
        </w:rPr>
        <w:t>Summary of accounting policies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3.2</w:t>
      </w:r>
      <w:r>
        <w:rPr>
          <w:rFonts w:ascii="Arial" w:cs="Arial" w:eastAsia="Arial" w:hAnsi="Arial"/>
          <w:sz w:val="11"/>
          <w:szCs w:val="11"/>
          <w:b w:val="1"/>
          <w:bCs w:val="1"/>
          <w:color w:val="auto"/>
        </w:rPr>
        <w:t>Significant accounting policies (continued)</w:t>
      </w:r>
    </w:p>
    <w:p>
      <w:pPr>
        <w:spacing w:after="0" w:line="158" w:lineRule="exact"/>
        <w:rPr>
          <w:rFonts w:ascii="Arial" w:cs="Arial" w:eastAsia="Arial" w:hAnsi="Arial"/>
          <w:sz w:val="13"/>
          <w:szCs w:val="13"/>
          <w:b w:val="1"/>
          <w:bCs w:val="1"/>
          <w:color w:val="auto"/>
        </w:rPr>
      </w:pPr>
    </w:p>
    <w:p>
      <w:pPr>
        <w:ind w:left="70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3.2.3   Financial instruments (continued)</w:t>
      </w:r>
    </w:p>
    <w:p>
      <w:pPr>
        <w:spacing w:after="0" w:line="162" w:lineRule="exact"/>
        <w:rPr>
          <w:rFonts w:ascii="Arial" w:cs="Arial" w:eastAsia="Arial" w:hAnsi="Arial"/>
          <w:sz w:val="13"/>
          <w:szCs w:val="13"/>
          <w:b w:val="1"/>
          <w:bCs w:val="1"/>
          <w:color w:val="auto"/>
        </w:rPr>
      </w:pPr>
    </w:p>
    <w:p>
      <w:pPr>
        <w:ind w:left="223"/>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In assessing whether the contractual cash flows are SPPI, the Bank considers the contractual terms of the instrument. This includes assessing whether the financial asset contains a contractual term that could change the timing or amount of contractual cash flows, so that it would not meet this condition. In making the assessment, the Bank considers the following:</w:t>
      </w:r>
    </w:p>
    <w:p>
      <w:pPr>
        <w:spacing w:after="0" w:line="129" w:lineRule="exact"/>
        <w:rPr>
          <w:rFonts w:ascii="Arial" w:cs="Arial" w:eastAsia="Arial" w:hAnsi="Arial"/>
          <w:sz w:val="13"/>
          <w:szCs w:val="13"/>
          <w:b w:val="1"/>
          <w:bCs w:val="1"/>
          <w:color w:val="auto"/>
        </w:rPr>
      </w:pPr>
    </w:p>
    <w:p>
      <w:pPr>
        <w:ind w:left="923" w:hanging="230"/>
        <w:spacing w:after="0"/>
        <w:tabs>
          <w:tab w:leader="none" w:pos="923" w:val="left"/>
        </w:tabs>
        <w:numPr>
          <w:ilvl w:val="1"/>
          <w:numId w:val="98"/>
        </w:numPr>
        <w:rPr>
          <w:rFonts w:ascii="Arial" w:cs="Arial" w:eastAsia="Arial" w:hAnsi="Arial"/>
          <w:sz w:val="13"/>
          <w:szCs w:val="13"/>
          <w:color w:val="auto"/>
        </w:rPr>
      </w:pPr>
      <w:r>
        <w:rPr>
          <w:rFonts w:ascii="Arial" w:cs="Arial" w:eastAsia="Arial" w:hAnsi="Arial"/>
          <w:sz w:val="13"/>
          <w:szCs w:val="13"/>
          <w:color w:val="auto"/>
        </w:rPr>
        <w:t>Contingent events that would change the amount and timing of cash flows;</w:t>
      </w:r>
    </w:p>
    <w:p>
      <w:pPr>
        <w:spacing w:after="0" w:line="12" w:lineRule="exact"/>
        <w:rPr>
          <w:rFonts w:ascii="Arial" w:cs="Arial" w:eastAsia="Arial" w:hAnsi="Arial"/>
          <w:sz w:val="13"/>
          <w:szCs w:val="13"/>
          <w:color w:val="auto"/>
        </w:rPr>
      </w:pPr>
    </w:p>
    <w:p>
      <w:pPr>
        <w:ind w:left="923" w:hanging="230"/>
        <w:spacing w:after="0"/>
        <w:tabs>
          <w:tab w:leader="none" w:pos="923" w:val="left"/>
        </w:tabs>
        <w:numPr>
          <w:ilvl w:val="1"/>
          <w:numId w:val="98"/>
        </w:numPr>
        <w:rPr>
          <w:rFonts w:ascii="Arial" w:cs="Arial" w:eastAsia="Arial" w:hAnsi="Arial"/>
          <w:sz w:val="13"/>
          <w:szCs w:val="13"/>
          <w:color w:val="auto"/>
        </w:rPr>
      </w:pPr>
      <w:r>
        <w:rPr>
          <w:rFonts w:ascii="Arial" w:cs="Arial" w:eastAsia="Arial" w:hAnsi="Arial"/>
          <w:sz w:val="13"/>
          <w:szCs w:val="13"/>
          <w:color w:val="auto"/>
        </w:rPr>
        <w:t>Leverage features;</w:t>
      </w:r>
    </w:p>
    <w:p>
      <w:pPr>
        <w:spacing w:after="0" w:line="4" w:lineRule="exact"/>
        <w:rPr>
          <w:rFonts w:ascii="Arial" w:cs="Arial" w:eastAsia="Arial" w:hAnsi="Arial"/>
          <w:sz w:val="13"/>
          <w:szCs w:val="13"/>
          <w:color w:val="auto"/>
        </w:rPr>
      </w:pPr>
    </w:p>
    <w:p>
      <w:pPr>
        <w:ind w:left="923" w:hanging="230"/>
        <w:spacing w:after="0"/>
        <w:tabs>
          <w:tab w:leader="none" w:pos="923" w:val="left"/>
        </w:tabs>
        <w:numPr>
          <w:ilvl w:val="1"/>
          <w:numId w:val="98"/>
        </w:numPr>
        <w:rPr>
          <w:rFonts w:ascii="Arial" w:cs="Arial" w:eastAsia="Arial" w:hAnsi="Arial"/>
          <w:sz w:val="13"/>
          <w:szCs w:val="13"/>
          <w:color w:val="auto"/>
        </w:rPr>
      </w:pPr>
      <w:r>
        <w:rPr>
          <w:rFonts w:ascii="Arial" w:cs="Arial" w:eastAsia="Arial" w:hAnsi="Arial"/>
          <w:sz w:val="13"/>
          <w:szCs w:val="13"/>
          <w:color w:val="auto"/>
        </w:rPr>
        <w:t>Prepayment and extension terms;</w:t>
      </w:r>
    </w:p>
    <w:p>
      <w:pPr>
        <w:spacing w:after="0" w:line="4" w:lineRule="exact"/>
        <w:rPr>
          <w:rFonts w:ascii="Arial" w:cs="Arial" w:eastAsia="Arial" w:hAnsi="Arial"/>
          <w:sz w:val="13"/>
          <w:szCs w:val="13"/>
          <w:color w:val="auto"/>
        </w:rPr>
      </w:pPr>
    </w:p>
    <w:p>
      <w:pPr>
        <w:ind w:left="923" w:right="20" w:hanging="230"/>
        <w:spacing w:after="0" w:line="254" w:lineRule="auto"/>
        <w:tabs>
          <w:tab w:leader="none" w:pos="923" w:val="left"/>
        </w:tabs>
        <w:numPr>
          <w:ilvl w:val="1"/>
          <w:numId w:val="98"/>
        </w:numPr>
        <w:rPr>
          <w:rFonts w:ascii="Arial" w:cs="Arial" w:eastAsia="Arial" w:hAnsi="Arial"/>
          <w:sz w:val="13"/>
          <w:szCs w:val="13"/>
          <w:color w:val="auto"/>
        </w:rPr>
      </w:pPr>
      <w:r>
        <w:rPr>
          <w:rFonts w:ascii="Arial" w:cs="Arial" w:eastAsia="Arial" w:hAnsi="Arial"/>
          <w:sz w:val="13"/>
          <w:szCs w:val="13"/>
          <w:color w:val="auto"/>
        </w:rPr>
        <w:t>Terms that limit the Bank’s claim to cash flows from specified assets (e.g. non-recourse asset arrangements); and features that modify consideration of the time value of money (e.g. periodical reset of interest rates).</w:t>
      </w:r>
    </w:p>
    <w:p>
      <w:pPr>
        <w:spacing w:after="0" w:line="133" w:lineRule="exact"/>
        <w:rPr>
          <w:sz w:val="20"/>
          <w:szCs w:val="20"/>
          <w:color w:val="auto"/>
        </w:rPr>
      </w:pPr>
    </w:p>
    <w:p>
      <w:pPr>
        <w:ind w:left="223"/>
        <w:spacing w:after="0"/>
        <w:rPr>
          <w:sz w:val="20"/>
          <w:szCs w:val="20"/>
          <w:color w:val="auto"/>
        </w:rPr>
      </w:pPr>
      <w:r>
        <w:rPr>
          <w:rFonts w:ascii="Arial" w:cs="Arial" w:eastAsia="Arial" w:hAnsi="Arial"/>
          <w:sz w:val="13"/>
          <w:szCs w:val="13"/>
          <w:b w:val="1"/>
          <w:bCs w:val="1"/>
          <w:u w:val="single" w:color="auto"/>
          <w:color w:val="auto"/>
        </w:rPr>
        <w:t>Financial assets at fair value through other comprehensive income (FVOCI)</w:t>
      </w:r>
    </w:p>
    <w:p>
      <w:pPr>
        <w:spacing w:after="0" w:line="163" w:lineRule="exact"/>
        <w:rPr>
          <w:sz w:val="20"/>
          <w:szCs w:val="20"/>
          <w:color w:val="auto"/>
        </w:rPr>
      </w:pPr>
    </w:p>
    <w:p>
      <w:pPr>
        <w:ind w:left="223" w:right="20"/>
        <w:spacing w:after="0" w:line="267" w:lineRule="auto"/>
        <w:rPr>
          <w:sz w:val="20"/>
          <w:szCs w:val="20"/>
          <w:color w:val="auto"/>
        </w:rPr>
      </w:pPr>
      <w:r>
        <w:rPr>
          <w:rFonts w:ascii="Arial" w:cs="Arial" w:eastAsia="Arial" w:hAnsi="Arial"/>
          <w:sz w:val="13"/>
          <w:szCs w:val="13"/>
          <w:color w:val="auto"/>
        </w:rPr>
        <w:t>These instruments consist on debt instruments not classified as either financial instruments at FVTPL or at amortized cost and are subject to the same approval criteria as the rest of the credit portfolio. These instruments are carried at fair value if both of the following conditions are met:</w:t>
      </w:r>
    </w:p>
    <w:p>
      <w:pPr>
        <w:spacing w:after="0" w:line="129" w:lineRule="exact"/>
        <w:rPr>
          <w:sz w:val="20"/>
          <w:szCs w:val="20"/>
          <w:color w:val="auto"/>
        </w:rPr>
      </w:pPr>
    </w:p>
    <w:p>
      <w:pPr>
        <w:ind w:left="923" w:hanging="230"/>
        <w:spacing w:after="0"/>
        <w:tabs>
          <w:tab w:leader="none" w:pos="923" w:val="left"/>
        </w:tabs>
        <w:numPr>
          <w:ilvl w:val="0"/>
          <w:numId w:val="99"/>
        </w:numPr>
        <w:rPr>
          <w:rFonts w:ascii="Arial" w:cs="Arial" w:eastAsia="Arial" w:hAnsi="Arial"/>
          <w:sz w:val="13"/>
          <w:szCs w:val="13"/>
          <w:color w:val="auto"/>
        </w:rPr>
      </w:pPr>
      <w:r>
        <w:rPr>
          <w:rFonts w:ascii="Arial" w:cs="Arial" w:eastAsia="Arial" w:hAnsi="Arial"/>
          <w:sz w:val="13"/>
          <w:szCs w:val="13"/>
          <w:color w:val="auto"/>
        </w:rPr>
        <w:t>The financial asset is held according to a business model whose objective is achieved by both collecting contractual cash flows and selling financial assets; and,</w:t>
      </w:r>
    </w:p>
    <w:p>
      <w:pPr>
        <w:spacing w:after="0" w:line="12" w:lineRule="exact"/>
        <w:rPr>
          <w:rFonts w:ascii="Arial" w:cs="Arial" w:eastAsia="Arial" w:hAnsi="Arial"/>
          <w:sz w:val="13"/>
          <w:szCs w:val="13"/>
          <w:color w:val="auto"/>
        </w:rPr>
      </w:pPr>
    </w:p>
    <w:p>
      <w:pPr>
        <w:ind w:left="923" w:hanging="230"/>
        <w:spacing w:after="0"/>
        <w:tabs>
          <w:tab w:leader="none" w:pos="923" w:val="left"/>
        </w:tabs>
        <w:numPr>
          <w:ilvl w:val="0"/>
          <w:numId w:val="99"/>
        </w:numPr>
        <w:rPr>
          <w:rFonts w:ascii="Arial" w:cs="Arial" w:eastAsia="Arial" w:hAnsi="Arial"/>
          <w:sz w:val="13"/>
          <w:szCs w:val="13"/>
          <w:color w:val="auto"/>
        </w:rPr>
      </w:pPr>
      <w:r>
        <w:rPr>
          <w:rFonts w:ascii="Arial" w:cs="Arial" w:eastAsia="Arial" w:hAnsi="Arial"/>
          <w:sz w:val="13"/>
          <w:szCs w:val="13"/>
          <w:color w:val="auto"/>
        </w:rPr>
        <w:t>The contractual terms of the financial assets give rise on specified dates to cash flows that are solely payments of principal and interest on the principal amount outstanding.</w:t>
      </w:r>
    </w:p>
    <w:p>
      <w:pPr>
        <w:spacing w:after="0" w:line="150" w:lineRule="exact"/>
        <w:rPr>
          <w:sz w:val="20"/>
          <w:szCs w:val="20"/>
          <w:color w:val="auto"/>
        </w:rPr>
      </w:pPr>
    </w:p>
    <w:p>
      <w:pPr>
        <w:ind w:left="223"/>
        <w:spacing w:after="0" w:line="267" w:lineRule="auto"/>
        <w:rPr>
          <w:sz w:val="20"/>
          <w:szCs w:val="20"/>
          <w:color w:val="auto"/>
        </w:rPr>
      </w:pPr>
      <w:r>
        <w:rPr>
          <w:rFonts w:ascii="Arial" w:cs="Arial" w:eastAsia="Arial" w:hAnsi="Arial"/>
          <w:sz w:val="13"/>
          <w:szCs w:val="13"/>
          <w:color w:val="auto"/>
        </w:rPr>
        <w:t>Unrealized gains or losses are reported as net increases or decreases in other comprehensive income (OCI) in the consolidated statement of changes in equity until they are realized. Realized gains or losses from the sale of securities which are included as gain (loss) on financial instruments, net are determined using the specific identification method.</w:t>
      </w:r>
    </w:p>
    <w:p>
      <w:pPr>
        <w:spacing w:after="0" w:line="129" w:lineRule="exact"/>
        <w:rPr>
          <w:sz w:val="20"/>
          <w:szCs w:val="20"/>
          <w:color w:val="auto"/>
        </w:rPr>
      </w:pPr>
    </w:p>
    <w:p>
      <w:pPr>
        <w:ind w:left="223"/>
        <w:spacing w:after="0"/>
        <w:rPr>
          <w:sz w:val="20"/>
          <w:szCs w:val="20"/>
          <w:color w:val="auto"/>
        </w:rPr>
      </w:pPr>
      <w:r>
        <w:rPr>
          <w:rFonts w:ascii="Arial" w:cs="Arial" w:eastAsia="Arial" w:hAnsi="Arial"/>
          <w:sz w:val="13"/>
          <w:szCs w:val="13"/>
          <w:color w:val="auto"/>
        </w:rPr>
        <w:t>For an equity instrument designated at FVOCI, the cumulative gain or loss previously recognized in OCI is not subsequently reclassified to profit or loss but transferred within equity.</w:t>
      </w:r>
    </w:p>
    <w:p>
      <w:pPr>
        <w:spacing w:after="0" w:line="155" w:lineRule="exact"/>
        <w:rPr>
          <w:sz w:val="20"/>
          <w:szCs w:val="20"/>
          <w:color w:val="auto"/>
        </w:rPr>
      </w:pPr>
    </w:p>
    <w:p>
      <w:pPr>
        <w:ind w:left="223"/>
        <w:spacing w:after="0"/>
        <w:rPr>
          <w:sz w:val="20"/>
          <w:szCs w:val="20"/>
          <w:color w:val="auto"/>
        </w:rPr>
      </w:pPr>
      <w:r>
        <w:rPr>
          <w:rFonts w:ascii="Arial" w:cs="Arial" w:eastAsia="Arial" w:hAnsi="Arial"/>
          <w:sz w:val="13"/>
          <w:szCs w:val="13"/>
          <w:b w:val="1"/>
          <w:bCs w:val="1"/>
          <w:u w:val="single" w:color="auto"/>
          <w:color w:val="auto"/>
        </w:rPr>
        <w:t>Financial assets at amortized cost</w:t>
      </w:r>
    </w:p>
    <w:p>
      <w:pPr>
        <w:spacing w:after="0" w:line="163" w:lineRule="exact"/>
        <w:rPr>
          <w:sz w:val="20"/>
          <w:szCs w:val="20"/>
          <w:color w:val="auto"/>
        </w:rPr>
      </w:pPr>
    </w:p>
    <w:p>
      <w:pPr>
        <w:ind w:left="223" w:right="20"/>
        <w:spacing w:after="0" w:line="267" w:lineRule="auto"/>
        <w:rPr>
          <w:sz w:val="20"/>
          <w:szCs w:val="20"/>
          <w:color w:val="auto"/>
        </w:rPr>
      </w:pPr>
      <w:r>
        <w:rPr>
          <w:rFonts w:ascii="Arial" w:cs="Arial" w:eastAsia="Arial" w:hAnsi="Arial"/>
          <w:sz w:val="13"/>
          <w:szCs w:val="13"/>
          <w:color w:val="auto"/>
        </w:rPr>
        <w:t>Financial assets classified at amortized cost represent securities and loans whose objective is to hold them to collect contractual cash flows over the life of the instrument. These securities and loans are measured at amortized cost if both of the following conditions are met:</w:t>
      </w:r>
    </w:p>
    <w:p>
      <w:pPr>
        <w:spacing w:after="0" w:line="129" w:lineRule="exact"/>
        <w:rPr>
          <w:sz w:val="20"/>
          <w:szCs w:val="20"/>
          <w:color w:val="auto"/>
        </w:rPr>
      </w:pPr>
    </w:p>
    <w:p>
      <w:pPr>
        <w:ind w:left="923" w:hanging="230"/>
        <w:spacing w:after="0"/>
        <w:tabs>
          <w:tab w:leader="none" w:pos="923" w:val="left"/>
        </w:tabs>
        <w:numPr>
          <w:ilvl w:val="0"/>
          <w:numId w:val="100"/>
        </w:numPr>
        <w:rPr>
          <w:rFonts w:ascii="Arial" w:cs="Arial" w:eastAsia="Arial" w:hAnsi="Arial"/>
          <w:sz w:val="13"/>
          <w:szCs w:val="13"/>
          <w:color w:val="auto"/>
        </w:rPr>
      </w:pPr>
      <w:r>
        <w:rPr>
          <w:rFonts w:ascii="Arial" w:cs="Arial" w:eastAsia="Arial" w:hAnsi="Arial"/>
          <w:sz w:val="13"/>
          <w:szCs w:val="13"/>
          <w:color w:val="auto"/>
        </w:rPr>
        <w:t>The financial asset is held according to a business model whose objective is to hold the financial assets to collect the contractual cash flows, and</w:t>
      </w:r>
    </w:p>
    <w:p>
      <w:pPr>
        <w:spacing w:after="0" w:line="12" w:lineRule="exact"/>
        <w:rPr>
          <w:rFonts w:ascii="Arial" w:cs="Arial" w:eastAsia="Arial" w:hAnsi="Arial"/>
          <w:sz w:val="13"/>
          <w:szCs w:val="13"/>
          <w:color w:val="auto"/>
        </w:rPr>
      </w:pPr>
    </w:p>
    <w:p>
      <w:pPr>
        <w:ind w:left="923" w:hanging="230"/>
        <w:spacing w:after="0"/>
        <w:tabs>
          <w:tab w:leader="none" w:pos="923" w:val="left"/>
        </w:tabs>
        <w:numPr>
          <w:ilvl w:val="0"/>
          <w:numId w:val="100"/>
        </w:numPr>
        <w:rPr>
          <w:rFonts w:ascii="Arial" w:cs="Arial" w:eastAsia="Arial" w:hAnsi="Arial"/>
          <w:sz w:val="13"/>
          <w:szCs w:val="13"/>
          <w:color w:val="auto"/>
        </w:rPr>
      </w:pPr>
      <w:r>
        <w:rPr>
          <w:rFonts w:ascii="Arial" w:cs="Arial" w:eastAsia="Arial" w:hAnsi="Arial"/>
          <w:sz w:val="13"/>
          <w:szCs w:val="13"/>
          <w:color w:val="auto"/>
        </w:rPr>
        <w:t>The contractual terms of the financial asset give rise on specified dates to cash flows that are solely payments of principal and interest on the principal amount outstanding.</w:t>
      </w:r>
    </w:p>
    <w:p>
      <w:pPr>
        <w:spacing w:after="0" w:line="146" w:lineRule="exact"/>
        <w:rPr>
          <w:sz w:val="20"/>
          <w:szCs w:val="20"/>
          <w:color w:val="auto"/>
        </w:rPr>
      </w:pPr>
    </w:p>
    <w:p>
      <w:pPr>
        <w:ind w:left="223"/>
        <w:spacing w:after="0"/>
        <w:rPr>
          <w:sz w:val="20"/>
          <w:szCs w:val="20"/>
          <w:color w:val="auto"/>
        </w:rPr>
      </w:pPr>
      <w:r>
        <w:rPr>
          <w:rFonts w:ascii="Arial" w:cs="Arial" w:eastAsia="Arial" w:hAnsi="Arial"/>
          <w:sz w:val="13"/>
          <w:szCs w:val="13"/>
          <w:b w:val="1"/>
          <w:bCs w:val="1"/>
          <w:u w:val="single" w:color="auto"/>
          <w:color w:val="auto"/>
        </w:rPr>
        <w:t>Financial assets and liabilities at fair value through profit or loss (FVTPL)</w:t>
      </w:r>
    </w:p>
    <w:p>
      <w:pPr>
        <w:spacing w:after="0" w:line="163" w:lineRule="exact"/>
        <w:rPr>
          <w:sz w:val="20"/>
          <w:szCs w:val="20"/>
          <w:color w:val="auto"/>
        </w:rPr>
      </w:pPr>
    </w:p>
    <w:p>
      <w:pPr>
        <w:ind w:left="223" w:right="20"/>
        <w:spacing w:after="0" w:line="310" w:lineRule="auto"/>
        <w:rPr>
          <w:sz w:val="20"/>
          <w:szCs w:val="20"/>
          <w:color w:val="auto"/>
        </w:rPr>
      </w:pPr>
      <w:r>
        <w:rPr>
          <w:rFonts w:ascii="Arial" w:cs="Arial" w:eastAsia="Arial" w:hAnsi="Arial"/>
          <w:sz w:val="12"/>
          <w:szCs w:val="12"/>
          <w:color w:val="auto"/>
        </w:rPr>
        <w:t>Financial assets and liabilities at fair value through profit or loss include a) instruments with contractual cash flows that are not SPPI; and/or b) instruments designated at FVTPL using the fair value option; accounts receivable (unrealized gains) and accounts payable (unrealized losses) related to derivative financial instruments which are not hedge designated or do not qualify for hedge accounting.</w:t>
      </w:r>
    </w:p>
    <w:p>
      <w:pPr>
        <w:spacing w:after="0" w:line="106" w:lineRule="exact"/>
        <w:rPr>
          <w:sz w:val="20"/>
          <w:szCs w:val="20"/>
          <w:color w:val="auto"/>
        </w:rPr>
      </w:pPr>
    </w:p>
    <w:p>
      <w:pPr>
        <w:ind w:left="223"/>
        <w:spacing w:after="0"/>
        <w:rPr>
          <w:sz w:val="20"/>
          <w:szCs w:val="20"/>
          <w:color w:val="auto"/>
        </w:rPr>
      </w:pPr>
      <w:r>
        <w:rPr>
          <w:rFonts w:ascii="Arial" w:cs="Arial" w:eastAsia="Arial" w:hAnsi="Arial"/>
          <w:sz w:val="13"/>
          <w:szCs w:val="13"/>
          <w:color w:val="auto"/>
        </w:rPr>
        <w:t>Unrealized and realized gains or losses on assets and liabilities at FVTPL are recorded in profit or loss as gain (loss) on financial instruments, net.</w:t>
      </w:r>
    </w:p>
    <w:p>
      <w:pPr>
        <w:spacing w:after="0" w:line="313"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8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143" w:name="page144"/>
    <w:bookmarkEnd w:id="143"/>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8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101"/>
        </w:numPr>
        <w:rPr>
          <w:rFonts w:ascii="Arial" w:cs="Arial" w:eastAsia="Arial" w:hAnsi="Arial"/>
          <w:sz w:val="13"/>
          <w:szCs w:val="13"/>
          <w:b w:val="1"/>
          <w:bCs w:val="1"/>
          <w:color w:val="auto"/>
        </w:rPr>
      </w:pPr>
      <w:r>
        <w:rPr>
          <w:rFonts w:ascii="Arial" w:cs="Arial" w:eastAsia="Arial" w:hAnsi="Arial"/>
          <w:sz w:val="13"/>
          <w:szCs w:val="13"/>
          <w:b w:val="1"/>
          <w:bCs w:val="1"/>
          <w:color w:val="auto"/>
        </w:rPr>
        <w:t>Summary of accounting policies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3.2</w:t>
      </w:r>
      <w:r>
        <w:rPr>
          <w:rFonts w:ascii="Arial" w:cs="Arial" w:eastAsia="Arial" w:hAnsi="Arial"/>
          <w:sz w:val="11"/>
          <w:szCs w:val="11"/>
          <w:b w:val="1"/>
          <w:bCs w:val="1"/>
          <w:color w:val="auto"/>
        </w:rPr>
        <w:t>Significant accounting policies (continued)</w:t>
      </w:r>
    </w:p>
    <w:p>
      <w:pPr>
        <w:spacing w:after="0" w:line="158" w:lineRule="exact"/>
        <w:rPr>
          <w:rFonts w:ascii="Arial" w:cs="Arial" w:eastAsia="Arial" w:hAnsi="Arial"/>
          <w:sz w:val="13"/>
          <w:szCs w:val="13"/>
          <w:b w:val="1"/>
          <w:bCs w:val="1"/>
          <w:color w:val="auto"/>
        </w:rPr>
      </w:pPr>
    </w:p>
    <w:p>
      <w:pPr>
        <w:ind w:left="223" w:right="8440" w:firstLine="462"/>
        <w:spacing w:after="0" w:line="497" w:lineRule="auto"/>
        <w:rPr>
          <w:rFonts w:ascii="Arial" w:cs="Arial" w:eastAsia="Arial" w:hAnsi="Arial"/>
          <w:sz w:val="13"/>
          <w:szCs w:val="13"/>
          <w:b w:val="1"/>
          <w:bCs w:val="1"/>
          <w:color w:val="auto"/>
        </w:rPr>
      </w:pPr>
      <w:r>
        <w:rPr>
          <w:rFonts w:ascii="Arial" w:cs="Arial" w:eastAsia="Arial" w:hAnsi="Arial"/>
          <w:sz w:val="13"/>
          <w:szCs w:val="13"/>
          <w:b w:val="1"/>
          <w:bCs w:val="1"/>
          <w:color w:val="auto"/>
        </w:rPr>
        <w:t xml:space="preserve">3.2.3 Financial instruments (continued) </w:t>
      </w:r>
      <w:r>
        <w:rPr>
          <w:rFonts w:ascii="Arial" w:cs="Arial" w:eastAsia="Arial" w:hAnsi="Arial"/>
          <w:sz w:val="13"/>
          <w:szCs w:val="13"/>
          <w:b w:val="1"/>
          <w:bCs w:val="1"/>
          <w:u w:val="single" w:color="auto"/>
          <w:color w:val="auto"/>
        </w:rPr>
        <w:t>Reclassification</w:t>
      </w:r>
    </w:p>
    <w:p>
      <w:pPr>
        <w:ind w:left="223"/>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If the business model under which the Bank holds financial assets changes, the financial assets affected are reclassified. The classification and measurement requirements related to the new category apply prospectively from the first day of the first reporting period following the change in business model that results in reclassifying the Bank’s financial assets.</w:t>
      </w:r>
    </w:p>
    <w:p>
      <w:pPr>
        <w:spacing w:after="0" w:line="129" w:lineRule="exact"/>
        <w:rPr>
          <w:rFonts w:ascii="Arial" w:cs="Arial" w:eastAsia="Arial" w:hAnsi="Arial"/>
          <w:sz w:val="13"/>
          <w:szCs w:val="13"/>
          <w:b w:val="1"/>
          <w:bCs w:val="1"/>
          <w:color w:val="auto"/>
        </w:rPr>
      </w:pPr>
    </w:p>
    <w:p>
      <w:pPr>
        <w:ind w:left="223"/>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During the current financial year and previous accounting period there was no change in the business model under which the Bank holds financial assets and therefore no reclassifications were made. Changes in contractual cash flows are considered under the accounting policy on modification and derecognition of financial assets described in the following paragraphs.</w:t>
      </w:r>
    </w:p>
    <w:p>
      <w:pPr>
        <w:spacing w:after="0" w:line="125" w:lineRule="exact"/>
        <w:rPr>
          <w:rFonts w:ascii="Arial" w:cs="Arial" w:eastAsia="Arial" w:hAnsi="Arial"/>
          <w:sz w:val="13"/>
          <w:szCs w:val="13"/>
          <w:b w:val="1"/>
          <w:bCs w:val="1"/>
          <w:color w:val="auto"/>
        </w:rPr>
      </w:pPr>
    </w:p>
    <w:p>
      <w:pPr>
        <w:ind w:left="223" w:right="8200"/>
        <w:spacing w:after="0" w:line="497" w:lineRule="auto"/>
        <w:rPr>
          <w:rFonts w:ascii="Arial" w:cs="Arial" w:eastAsia="Arial" w:hAnsi="Arial"/>
          <w:sz w:val="13"/>
          <w:szCs w:val="13"/>
          <w:b w:val="1"/>
          <w:bCs w:val="1"/>
          <w:color w:val="auto"/>
        </w:rPr>
      </w:pPr>
      <w:r>
        <w:rPr>
          <w:rFonts w:ascii="Arial" w:cs="Arial" w:eastAsia="Arial" w:hAnsi="Arial"/>
          <w:sz w:val="13"/>
          <w:szCs w:val="13"/>
          <w:b w:val="1"/>
          <w:bCs w:val="1"/>
          <w:u w:val="single" w:color="auto"/>
          <w:color w:val="auto"/>
        </w:rPr>
        <w:t xml:space="preserve">Derecognition of financial assets and financial liabilities </w:t>
      </w:r>
      <w:r>
        <w:rPr>
          <w:rFonts w:ascii="Arial" w:cs="Arial" w:eastAsia="Arial" w:hAnsi="Arial"/>
          <w:sz w:val="13"/>
          <w:szCs w:val="13"/>
          <w:b w:val="1"/>
          <w:bCs w:val="1"/>
          <w:i w:val="1"/>
          <w:iCs w:val="1"/>
          <w:color w:val="auto"/>
        </w:rPr>
        <w:t>Financial assets</w:t>
      </w: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A financial asset (or, where applicable, a part of a financial asset or part of a group of similar financial assets) is derecognized when:</w:t>
      </w:r>
    </w:p>
    <w:p>
      <w:pPr>
        <w:spacing w:after="0" w:line="158" w:lineRule="exact"/>
        <w:rPr>
          <w:rFonts w:ascii="Arial" w:cs="Arial" w:eastAsia="Arial" w:hAnsi="Arial"/>
          <w:sz w:val="13"/>
          <w:szCs w:val="13"/>
          <w:b w:val="1"/>
          <w:bCs w:val="1"/>
          <w:color w:val="auto"/>
        </w:rPr>
      </w:pPr>
    </w:p>
    <w:p>
      <w:pPr>
        <w:ind w:left="703" w:hanging="241"/>
        <w:spacing w:after="0"/>
        <w:tabs>
          <w:tab w:leader="none" w:pos="703" w:val="left"/>
        </w:tabs>
        <w:numPr>
          <w:ilvl w:val="1"/>
          <w:numId w:val="101"/>
        </w:numPr>
        <w:rPr>
          <w:rFonts w:ascii="Arial" w:cs="Arial" w:eastAsia="Arial" w:hAnsi="Arial"/>
          <w:sz w:val="13"/>
          <w:szCs w:val="13"/>
          <w:color w:val="auto"/>
        </w:rPr>
      </w:pPr>
      <w:r>
        <w:rPr>
          <w:rFonts w:ascii="Arial" w:cs="Arial" w:eastAsia="Arial" w:hAnsi="Arial"/>
          <w:sz w:val="13"/>
          <w:szCs w:val="13"/>
          <w:color w:val="auto"/>
        </w:rPr>
        <w:t>The rights to receive cash flows from the asset have expired.</w:t>
      </w:r>
    </w:p>
    <w:p>
      <w:pPr>
        <w:spacing w:after="0" w:line="12" w:lineRule="exact"/>
        <w:rPr>
          <w:rFonts w:ascii="Arial" w:cs="Arial" w:eastAsia="Arial" w:hAnsi="Arial"/>
          <w:sz w:val="13"/>
          <w:szCs w:val="13"/>
          <w:color w:val="auto"/>
        </w:rPr>
      </w:pPr>
    </w:p>
    <w:p>
      <w:pPr>
        <w:ind w:left="703" w:hanging="241"/>
        <w:spacing w:after="0" w:line="247" w:lineRule="auto"/>
        <w:tabs>
          <w:tab w:leader="none" w:pos="703" w:val="left"/>
        </w:tabs>
        <w:numPr>
          <w:ilvl w:val="1"/>
          <w:numId w:val="101"/>
        </w:numPr>
        <w:rPr>
          <w:rFonts w:ascii="Arial" w:cs="Arial" w:eastAsia="Arial" w:hAnsi="Arial"/>
          <w:sz w:val="13"/>
          <w:szCs w:val="13"/>
          <w:color w:val="auto"/>
        </w:rPr>
      </w:pPr>
      <w:r>
        <w:rPr>
          <w:rFonts w:ascii="Arial" w:cs="Arial" w:eastAsia="Arial" w:hAnsi="Arial"/>
          <w:sz w:val="13"/>
          <w:szCs w:val="13"/>
          <w:color w:val="auto"/>
        </w:rPr>
        <w:t>The Bank has transferred its rights to receive cash flows from the asset and either has transferred substantially all risk and rewards of the asset or has neither transferred nor retained substantially all the risks and rewards of the asset, but has transferred control of the asset.</w:t>
      </w:r>
    </w:p>
    <w:p>
      <w:pPr>
        <w:ind w:left="703" w:hanging="241"/>
        <w:spacing w:after="0"/>
        <w:tabs>
          <w:tab w:leader="none" w:pos="703" w:val="left"/>
        </w:tabs>
        <w:numPr>
          <w:ilvl w:val="1"/>
          <w:numId w:val="101"/>
        </w:numPr>
        <w:rPr>
          <w:rFonts w:ascii="Arial" w:cs="Arial" w:eastAsia="Arial" w:hAnsi="Arial"/>
          <w:sz w:val="11"/>
          <w:szCs w:val="11"/>
          <w:color w:val="auto"/>
        </w:rPr>
      </w:pPr>
      <w:r>
        <w:rPr>
          <w:rFonts w:ascii="Arial" w:cs="Arial" w:eastAsia="Arial" w:hAnsi="Arial"/>
          <w:sz w:val="11"/>
          <w:szCs w:val="11"/>
          <w:color w:val="auto"/>
        </w:rPr>
        <w:t>The Bank retains the right to receive cash flows from the asset but has assumed an obligation to pay the received cash flows in full without material delay to a third party under a ‘pass–through’ arrangement.</w:t>
      </w:r>
    </w:p>
    <w:p>
      <w:pPr>
        <w:spacing w:after="0" w:line="27" w:lineRule="exact"/>
        <w:rPr>
          <w:rFonts w:ascii="Arial" w:cs="Arial" w:eastAsia="Arial" w:hAnsi="Arial"/>
          <w:sz w:val="11"/>
          <w:szCs w:val="11"/>
          <w:color w:val="auto"/>
        </w:rPr>
      </w:pPr>
    </w:p>
    <w:p>
      <w:pPr>
        <w:jc w:val="both"/>
        <w:ind w:left="703" w:hanging="241"/>
        <w:spacing w:after="0" w:line="250" w:lineRule="auto"/>
        <w:tabs>
          <w:tab w:leader="none" w:pos="703" w:val="left"/>
        </w:tabs>
        <w:numPr>
          <w:ilvl w:val="1"/>
          <w:numId w:val="101"/>
        </w:numPr>
        <w:rPr>
          <w:rFonts w:ascii="Arial" w:cs="Arial" w:eastAsia="Arial" w:hAnsi="Arial"/>
          <w:sz w:val="13"/>
          <w:szCs w:val="13"/>
          <w:color w:val="auto"/>
        </w:rPr>
      </w:pPr>
      <w:r>
        <w:rPr>
          <w:rFonts w:ascii="Arial" w:cs="Arial" w:eastAsia="Arial" w:hAnsi="Arial"/>
          <w:sz w:val="13"/>
          <w:szCs w:val="13"/>
          <w:color w:val="auto"/>
        </w:rPr>
        <w:t>When the Bank has transferred its rights to receive cash flows from an asset or has entered into a pass–through arrangement and has neither transferred nor retained substantially all the risks and rewards of the asset nor transferred control of the asset, the asset is recognized to the extent of the Bank’s continuing involvement in the asset. In that case, the Bank also recognizes an associated liability. The transferred asset and the associated liability are measured on a basis that reflects the rights and obligations that the Bank has retained.</w:t>
      </w:r>
    </w:p>
    <w:p>
      <w:pPr>
        <w:spacing w:after="0" w:line="141" w:lineRule="exact"/>
        <w:rPr>
          <w:sz w:val="20"/>
          <w:szCs w:val="20"/>
          <w:color w:val="auto"/>
        </w:rPr>
      </w:pPr>
    </w:p>
    <w:p>
      <w:pPr>
        <w:ind w:left="223"/>
        <w:spacing w:after="0" w:line="267" w:lineRule="auto"/>
        <w:rPr>
          <w:sz w:val="20"/>
          <w:szCs w:val="20"/>
          <w:color w:val="auto"/>
        </w:rPr>
      </w:pPr>
      <w:r>
        <w:rPr>
          <w:rFonts w:ascii="Arial" w:cs="Arial" w:eastAsia="Arial" w:hAnsi="Arial"/>
          <w:sz w:val="13"/>
          <w:szCs w:val="13"/>
          <w:color w:val="auto"/>
        </w:rPr>
        <w:t>Continuing involvement that takes the form of a guarantee over the transferred asset is measured at the lower of the original carrying amount of the asset and the maximum amount of consideration that the Bank could be required to repay.</w:t>
      </w:r>
    </w:p>
    <w:p>
      <w:pPr>
        <w:spacing w:after="0" w:line="129" w:lineRule="exact"/>
        <w:rPr>
          <w:sz w:val="20"/>
          <w:szCs w:val="20"/>
          <w:color w:val="auto"/>
        </w:rPr>
      </w:pPr>
    </w:p>
    <w:p>
      <w:pPr>
        <w:ind w:left="223"/>
        <w:spacing w:after="0" w:line="267" w:lineRule="auto"/>
        <w:rPr>
          <w:sz w:val="20"/>
          <w:szCs w:val="20"/>
          <w:color w:val="auto"/>
        </w:rPr>
      </w:pPr>
      <w:r>
        <w:rPr>
          <w:rFonts w:ascii="Arial" w:cs="Arial" w:eastAsia="Arial" w:hAnsi="Arial"/>
          <w:sz w:val="13"/>
          <w:szCs w:val="13"/>
          <w:color w:val="auto"/>
        </w:rPr>
        <w:t>The Bank enters into transactions whereby it transfers assets recognized on its consolidated statement of financial position but retains either all or substantially all the risks and rewards of the transferred asset or portion of them. In such cases, the transferred assets are not derecognized. Examples of such transactions are securities lending and sale-and-repurchase transactions.</w:t>
      </w:r>
    </w:p>
    <w:p>
      <w:pPr>
        <w:spacing w:after="0" w:line="129" w:lineRule="exact"/>
        <w:rPr>
          <w:sz w:val="20"/>
          <w:szCs w:val="20"/>
          <w:color w:val="auto"/>
        </w:rPr>
      </w:pPr>
    </w:p>
    <w:p>
      <w:pPr>
        <w:ind w:left="223"/>
        <w:spacing w:after="0"/>
        <w:rPr>
          <w:sz w:val="20"/>
          <w:szCs w:val="20"/>
          <w:color w:val="auto"/>
        </w:rPr>
      </w:pPr>
      <w:r>
        <w:rPr>
          <w:rFonts w:ascii="Arial" w:cs="Arial" w:eastAsia="Arial" w:hAnsi="Arial"/>
          <w:sz w:val="13"/>
          <w:szCs w:val="13"/>
          <w:b w:val="1"/>
          <w:bCs w:val="1"/>
          <w:i w:val="1"/>
          <w:iCs w:val="1"/>
          <w:color w:val="auto"/>
        </w:rPr>
        <w:t>Financial liabilities</w:t>
      </w:r>
    </w:p>
    <w:p>
      <w:pPr>
        <w:spacing w:after="0" w:line="159" w:lineRule="exact"/>
        <w:rPr>
          <w:sz w:val="20"/>
          <w:szCs w:val="20"/>
          <w:color w:val="auto"/>
        </w:rPr>
      </w:pPr>
    </w:p>
    <w:p>
      <w:pPr>
        <w:ind w:left="223"/>
        <w:spacing w:after="0"/>
        <w:rPr>
          <w:sz w:val="20"/>
          <w:szCs w:val="20"/>
          <w:color w:val="auto"/>
        </w:rPr>
      </w:pPr>
      <w:r>
        <w:rPr>
          <w:rFonts w:ascii="Arial" w:cs="Arial" w:eastAsia="Arial" w:hAnsi="Arial"/>
          <w:sz w:val="13"/>
          <w:szCs w:val="13"/>
          <w:color w:val="auto"/>
        </w:rPr>
        <w:t>A financial liability is derecognized when the obligation under the liability is extinguished, when the obligation specified in the contract is discharged or cancelled or expires.</w:t>
      </w:r>
    </w:p>
    <w:p>
      <w:pPr>
        <w:spacing w:after="0" w:line="159" w:lineRule="exact"/>
        <w:rPr>
          <w:sz w:val="20"/>
          <w:szCs w:val="20"/>
          <w:color w:val="auto"/>
        </w:rPr>
      </w:pPr>
    </w:p>
    <w:p>
      <w:pPr>
        <w:ind w:left="223"/>
        <w:spacing w:after="0" w:line="267" w:lineRule="auto"/>
        <w:rPr>
          <w:sz w:val="20"/>
          <w:szCs w:val="20"/>
          <w:color w:val="auto"/>
        </w:rPr>
      </w:pPr>
      <w:r>
        <w:rPr>
          <w:rFonts w:ascii="Arial" w:cs="Arial" w:eastAsia="Arial" w:hAnsi="Arial"/>
          <w:sz w:val="13"/>
          <w:szCs w:val="13"/>
          <w:color w:val="auto"/>
        </w:rPr>
        <w:t>Where an existing financial liability is replaced by another from the same lender on substantially different terms, or the terms of an existing liability are substantially modified, such an exchange or modification is treated as an extinguishment of the original liability and the recognition of a new liability.</w:t>
      </w:r>
    </w:p>
    <w:p>
      <w:pPr>
        <w:spacing w:after="0" w:line="129" w:lineRule="exact"/>
        <w:rPr>
          <w:sz w:val="20"/>
          <w:szCs w:val="20"/>
          <w:color w:val="auto"/>
        </w:rPr>
      </w:pPr>
    </w:p>
    <w:p>
      <w:pPr>
        <w:ind w:left="223"/>
        <w:spacing w:after="0"/>
        <w:rPr>
          <w:sz w:val="20"/>
          <w:szCs w:val="20"/>
          <w:color w:val="auto"/>
        </w:rPr>
      </w:pPr>
      <w:r>
        <w:rPr>
          <w:rFonts w:ascii="Arial" w:cs="Arial" w:eastAsia="Arial" w:hAnsi="Arial"/>
          <w:sz w:val="13"/>
          <w:szCs w:val="13"/>
          <w:color w:val="auto"/>
        </w:rPr>
        <w:t>The difference between the carrying value of the original financial liability and the consideration paid, including any non-cash assets transferred or liabilities assumed, is recognized in profit or loss.</w:t>
      </w:r>
    </w:p>
    <w:p>
      <w:pPr>
        <w:spacing w:after="0" w:line="313"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8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85" w:right="219" w:bottom="1440" w:gutter="0" w:footer="0" w:header="0"/>
        </w:sectPr>
      </w:pPr>
    </w:p>
    <w:bookmarkStart w:id="144" w:name="page145"/>
    <w:bookmarkEnd w:id="144"/>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8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102"/>
        </w:numPr>
        <w:rPr>
          <w:rFonts w:ascii="Arial" w:cs="Arial" w:eastAsia="Arial" w:hAnsi="Arial"/>
          <w:sz w:val="13"/>
          <w:szCs w:val="13"/>
          <w:b w:val="1"/>
          <w:bCs w:val="1"/>
          <w:color w:val="auto"/>
        </w:rPr>
      </w:pPr>
      <w:r>
        <w:rPr>
          <w:rFonts w:ascii="Arial" w:cs="Arial" w:eastAsia="Arial" w:hAnsi="Arial"/>
          <w:sz w:val="13"/>
          <w:szCs w:val="13"/>
          <w:b w:val="1"/>
          <w:bCs w:val="1"/>
          <w:color w:val="auto"/>
        </w:rPr>
        <w:t>Summary of accounting policies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3.2</w:t>
      </w:r>
      <w:r>
        <w:rPr>
          <w:rFonts w:ascii="Arial" w:cs="Arial" w:eastAsia="Arial" w:hAnsi="Arial"/>
          <w:sz w:val="11"/>
          <w:szCs w:val="11"/>
          <w:b w:val="1"/>
          <w:bCs w:val="1"/>
          <w:color w:val="auto"/>
        </w:rPr>
        <w:t>Significant accounting policies (continued)</w:t>
      </w:r>
    </w:p>
    <w:p>
      <w:pPr>
        <w:spacing w:after="0" w:line="158" w:lineRule="exact"/>
        <w:rPr>
          <w:rFonts w:ascii="Arial" w:cs="Arial" w:eastAsia="Arial" w:hAnsi="Arial"/>
          <w:sz w:val="13"/>
          <w:szCs w:val="13"/>
          <w:b w:val="1"/>
          <w:bCs w:val="1"/>
          <w:color w:val="auto"/>
        </w:rPr>
      </w:pPr>
    </w:p>
    <w:p>
      <w:pPr>
        <w:ind w:left="70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3.2.4   Loans - at amortized cost</w:t>
      </w:r>
    </w:p>
    <w:p>
      <w:pPr>
        <w:spacing w:after="0" w:line="162" w:lineRule="exact"/>
        <w:rPr>
          <w:rFonts w:ascii="Arial" w:cs="Arial" w:eastAsia="Arial" w:hAnsi="Arial"/>
          <w:sz w:val="13"/>
          <w:szCs w:val="13"/>
          <w:b w:val="1"/>
          <w:bCs w:val="1"/>
          <w:color w:val="auto"/>
        </w:rPr>
      </w:pPr>
    </w:p>
    <w:p>
      <w:pPr>
        <w:jc w:val="both"/>
        <w:ind w:left="223"/>
        <w:spacing w:after="0" w:line="252" w:lineRule="auto"/>
        <w:rPr>
          <w:rFonts w:ascii="Arial" w:cs="Arial" w:eastAsia="Arial" w:hAnsi="Arial"/>
          <w:sz w:val="13"/>
          <w:szCs w:val="13"/>
          <w:b w:val="1"/>
          <w:bCs w:val="1"/>
          <w:color w:val="auto"/>
        </w:rPr>
      </w:pPr>
      <w:r>
        <w:rPr>
          <w:rFonts w:ascii="Arial" w:cs="Arial" w:eastAsia="Arial" w:hAnsi="Arial"/>
          <w:sz w:val="13"/>
          <w:szCs w:val="13"/>
          <w:color w:val="auto"/>
        </w:rPr>
        <w:t>Loans are reported at their amortized cost considering the principal outstanding amounts and interest receivable net of unearned interest, deferred fees and allowance for expected credit losses, except for those designated as hedged items in qualifying fair value hedging relationships. Interest income is recognized using the effective interest rate method. Such income shall be calculated by applying the effective interest rate to the gross carrying amount of the loan, except for: a) purchased or originated credit-impaired loans. For these loans, the Bank applies the credit-adjusted effective interest rate to the amortized cost of the loan from initial recognition; and b) loans that have subsequently become credit impaired financial assets. For these loans, the Bank shall apply the effective interest rate to the amortized cost of the loan, after deducting the impairment allowance in subsequent reporting periods.</w:t>
      </w:r>
    </w:p>
    <w:p>
      <w:pPr>
        <w:spacing w:after="0" w:line="139"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amortization of net unearned interest and deferred fees is recognized as an adjustment to the related loan yield using the effective interest rate method.</w:t>
      </w:r>
    </w:p>
    <w:p>
      <w:pPr>
        <w:spacing w:after="0" w:line="158" w:lineRule="exact"/>
        <w:rPr>
          <w:rFonts w:ascii="Arial" w:cs="Arial" w:eastAsia="Arial" w:hAnsi="Arial"/>
          <w:sz w:val="13"/>
          <w:szCs w:val="13"/>
          <w:b w:val="1"/>
          <w:bCs w:val="1"/>
          <w:color w:val="auto"/>
        </w:rPr>
      </w:pP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Purchased loans are recorded at acquisition cost. The difference between the principal and the acquisition cost of loans, premiums and discounts, is amortized over the life of the loan as an adjustment to the yield. All other costs related to acquisition of loans are also reflected as an adjustment to the yield and are expensed when incurred.</w:t>
      </w:r>
    </w:p>
    <w:p>
      <w:pPr>
        <w:spacing w:after="0" w:line="125"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u w:val="single" w:color="auto"/>
          <w:color w:val="auto"/>
        </w:rPr>
        <w:t>Modified or renegotiated loan</w:t>
      </w:r>
    </w:p>
    <w:p>
      <w:pPr>
        <w:spacing w:after="0" w:line="162" w:lineRule="exact"/>
        <w:rPr>
          <w:rFonts w:ascii="Arial" w:cs="Arial" w:eastAsia="Arial" w:hAnsi="Arial"/>
          <w:sz w:val="13"/>
          <w:szCs w:val="13"/>
          <w:b w:val="1"/>
          <w:bCs w:val="1"/>
          <w:color w:val="auto"/>
        </w:rPr>
      </w:pPr>
    </w:p>
    <w:p>
      <w:pPr>
        <w:ind w:left="223" w:right="20"/>
        <w:spacing w:after="0" w:line="310" w:lineRule="auto"/>
        <w:rPr>
          <w:rFonts w:ascii="Arial" w:cs="Arial" w:eastAsia="Arial" w:hAnsi="Arial"/>
          <w:sz w:val="13"/>
          <w:szCs w:val="13"/>
          <w:b w:val="1"/>
          <w:bCs w:val="1"/>
          <w:color w:val="auto"/>
        </w:rPr>
      </w:pPr>
      <w:r>
        <w:rPr>
          <w:rFonts w:ascii="Arial" w:cs="Arial" w:eastAsia="Arial" w:hAnsi="Arial"/>
          <w:sz w:val="12"/>
          <w:szCs w:val="12"/>
          <w:color w:val="auto"/>
        </w:rPr>
        <w:t>A modified or renegotiated loan is a loan whose borrower is experiencing financial difficulties and the renegotiation constitutes a concession to the borrower. A concession may include modification of terms such as an extension of maturity date, reduction in the stated interest rate, rescheduling of future cash flows, and reduction in the face amount of the loan or accrued interest, among others.</w:t>
      </w:r>
    </w:p>
    <w:p>
      <w:pPr>
        <w:spacing w:after="0" w:line="105" w:lineRule="exact"/>
        <w:rPr>
          <w:rFonts w:ascii="Arial" w:cs="Arial" w:eastAsia="Arial" w:hAnsi="Arial"/>
          <w:sz w:val="13"/>
          <w:szCs w:val="13"/>
          <w:b w:val="1"/>
          <w:bCs w:val="1"/>
          <w:color w:val="auto"/>
        </w:rPr>
      </w:pP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When a financial asset is modified, the Bank assesses whether this modification results in derecognition. In accordance with the Bank’s policies a modification results in derecognition when it gives rise to substantially different terms. To determine if the modified terms are substantially different from the original contractual terms the Bank considers the following:</w:t>
      </w:r>
    </w:p>
    <w:p>
      <w:pPr>
        <w:spacing w:after="0" w:line="129" w:lineRule="exact"/>
        <w:rPr>
          <w:rFonts w:ascii="Arial" w:cs="Arial" w:eastAsia="Arial" w:hAnsi="Arial"/>
          <w:sz w:val="13"/>
          <w:szCs w:val="13"/>
          <w:b w:val="1"/>
          <w:bCs w:val="1"/>
          <w:color w:val="auto"/>
        </w:rPr>
      </w:pPr>
    </w:p>
    <w:p>
      <w:pPr>
        <w:ind w:left="703" w:right="20" w:hanging="241"/>
        <w:spacing w:after="0" w:line="253" w:lineRule="auto"/>
        <w:tabs>
          <w:tab w:leader="none" w:pos="703" w:val="left"/>
        </w:tabs>
        <w:numPr>
          <w:ilvl w:val="1"/>
          <w:numId w:val="102"/>
        </w:numPr>
        <w:rPr>
          <w:rFonts w:ascii="Arial" w:cs="Arial" w:eastAsia="Arial" w:hAnsi="Arial"/>
          <w:sz w:val="13"/>
          <w:szCs w:val="13"/>
          <w:color w:val="auto"/>
        </w:rPr>
      </w:pPr>
      <w:r>
        <w:rPr>
          <w:rFonts w:ascii="Arial" w:cs="Arial" w:eastAsia="Arial" w:hAnsi="Arial"/>
          <w:sz w:val="13"/>
          <w:szCs w:val="13"/>
          <w:color w:val="auto"/>
        </w:rPr>
        <w:t>Qualitative factors, such as contractual cash flows after modification are no longer SPPI, change in currency or change of counterparty, the extent of change in interest rates, maturity or covenants. If these do not clearly indicate a substantial modification, then;</w:t>
      </w:r>
    </w:p>
    <w:p>
      <w:pPr>
        <w:spacing w:after="0" w:line="1" w:lineRule="exact"/>
        <w:rPr>
          <w:rFonts w:ascii="Arial" w:cs="Arial" w:eastAsia="Arial" w:hAnsi="Arial"/>
          <w:sz w:val="13"/>
          <w:szCs w:val="13"/>
          <w:color w:val="auto"/>
        </w:rPr>
      </w:pPr>
    </w:p>
    <w:p>
      <w:pPr>
        <w:ind w:left="703" w:right="20" w:hanging="241"/>
        <w:spacing w:after="0" w:line="254" w:lineRule="auto"/>
        <w:tabs>
          <w:tab w:leader="none" w:pos="703" w:val="left"/>
        </w:tabs>
        <w:numPr>
          <w:ilvl w:val="1"/>
          <w:numId w:val="102"/>
        </w:numPr>
        <w:rPr>
          <w:rFonts w:ascii="Arial" w:cs="Arial" w:eastAsia="Arial" w:hAnsi="Arial"/>
          <w:sz w:val="13"/>
          <w:szCs w:val="13"/>
          <w:color w:val="auto"/>
        </w:rPr>
      </w:pPr>
      <w:r>
        <w:rPr>
          <w:rFonts w:ascii="Arial" w:cs="Arial" w:eastAsia="Arial" w:hAnsi="Arial"/>
          <w:sz w:val="13"/>
          <w:szCs w:val="13"/>
          <w:color w:val="auto"/>
        </w:rPr>
        <w:t>A quantitative assessment is performed to compare the present value of the remaining contractual cash flows under the original terms with the contractual cash flows under the revised terms, both amounts discounted at the original effective interest.</w:t>
      </w:r>
    </w:p>
    <w:p>
      <w:pPr>
        <w:spacing w:after="0" w:line="137" w:lineRule="exact"/>
        <w:rPr>
          <w:sz w:val="20"/>
          <w:szCs w:val="20"/>
          <w:color w:val="auto"/>
        </w:rPr>
      </w:pPr>
    </w:p>
    <w:p>
      <w:pPr>
        <w:ind w:left="223"/>
        <w:spacing w:after="0"/>
        <w:rPr>
          <w:sz w:val="20"/>
          <w:szCs w:val="20"/>
          <w:color w:val="auto"/>
        </w:rPr>
      </w:pPr>
      <w:r>
        <w:rPr>
          <w:rFonts w:ascii="Arial" w:cs="Arial" w:eastAsia="Arial" w:hAnsi="Arial"/>
          <w:sz w:val="13"/>
          <w:szCs w:val="13"/>
          <w:color w:val="auto"/>
        </w:rPr>
        <w:t>If the difference in present value is more than 10% the Bank deems the arrangement is substantially different leading to derecognition.</w:t>
      </w:r>
    </w:p>
    <w:p>
      <w:pPr>
        <w:spacing w:after="0" w:line="159" w:lineRule="exact"/>
        <w:rPr>
          <w:sz w:val="20"/>
          <w:szCs w:val="20"/>
          <w:color w:val="auto"/>
        </w:rPr>
      </w:pPr>
    </w:p>
    <w:p>
      <w:pPr>
        <w:jc w:val="both"/>
        <w:ind w:left="223" w:right="20"/>
        <w:spacing w:after="0" w:line="278" w:lineRule="auto"/>
        <w:rPr>
          <w:sz w:val="20"/>
          <w:szCs w:val="20"/>
          <w:color w:val="auto"/>
        </w:rPr>
      </w:pPr>
      <w:r>
        <w:rPr>
          <w:rFonts w:ascii="Arial" w:cs="Arial" w:eastAsia="Arial" w:hAnsi="Arial"/>
          <w:sz w:val="12"/>
          <w:szCs w:val="12"/>
          <w:color w:val="auto"/>
        </w:rPr>
        <w:t>In the case where the financial asset is derecognized the loss allowance for expected credit losses (ECL) is remeasured at the date of derecognition to determine the net carrying amount of the asset at that date. The difference between this revised carrying amount and the fair value of the new financial asset with the new terms will lead to a gain or loss on derecognition. The new financial asset will have a loss allowance measured based on 12-month ECL except in the rare occasions where the new loan is considered to be credit originated impaired. This applies only in the case where the fair value of the new loan is recognized at a significant discount to its revised nominal amount because there remains a high risk of default which has not been reduced by the modification. The Bank monitors credit risk of modified or renegotiated financial assets by evaluating qualitative and quantitative information, such as if the borrower is in past due status under the new terms.</w:t>
      </w:r>
    </w:p>
    <w:p>
      <w:pPr>
        <w:spacing w:after="0" w:line="279"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8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145" w:name="page146"/>
    <w:bookmarkEnd w:id="145"/>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8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103"/>
        </w:numPr>
        <w:rPr>
          <w:rFonts w:ascii="Arial" w:cs="Arial" w:eastAsia="Arial" w:hAnsi="Arial"/>
          <w:sz w:val="13"/>
          <w:szCs w:val="13"/>
          <w:b w:val="1"/>
          <w:bCs w:val="1"/>
          <w:color w:val="auto"/>
        </w:rPr>
      </w:pPr>
      <w:r>
        <w:rPr>
          <w:rFonts w:ascii="Arial" w:cs="Arial" w:eastAsia="Arial" w:hAnsi="Arial"/>
          <w:sz w:val="13"/>
          <w:szCs w:val="13"/>
          <w:b w:val="1"/>
          <w:bCs w:val="1"/>
          <w:color w:val="auto"/>
        </w:rPr>
        <w:t>Summary of accounting policies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3.2</w:t>
      </w:r>
      <w:r>
        <w:rPr>
          <w:rFonts w:ascii="Arial" w:cs="Arial" w:eastAsia="Arial" w:hAnsi="Arial"/>
          <w:sz w:val="11"/>
          <w:szCs w:val="11"/>
          <w:b w:val="1"/>
          <w:bCs w:val="1"/>
          <w:color w:val="auto"/>
        </w:rPr>
        <w:t>Significant accounting policies (continued)</w:t>
      </w:r>
    </w:p>
    <w:p>
      <w:pPr>
        <w:spacing w:after="0" w:line="158" w:lineRule="exact"/>
        <w:rPr>
          <w:rFonts w:ascii="Arial" w:cs="Arial" w:eastAsia="Arial" w:hAnsi="Arial"/>
          <w:sz w:val="13"/>
          <w:szCs w:val="13"/>
          <w:b w:val="1"/>
          <w:bCs w:val="1"/>
          <w:color w:val="auto"/>
        </w:rPr>
      </w:pPr>
    </w:p>
    <w:p>
      <w:pPr>
        <w:ind w:left="223" w:right="8260" w:firstLine="462"/>
        <w:spacing w:after="0" w:line="539" w:lineRule="auto"/>
        <w:rPr>
          <w:rFonts w:ascii="Arial" w:cs="Arial" w:eastAsia="Arial" w:hAnsi="Arial"/>
          <w:sz w:val="13"/>
          <w:szCs w:val="13"/>
          <w:b w:val="1"/>
          <w:bCs w:val="1"/>
          <w:color w:val="auto"/>
        </w:rPr>
      </w:pPr>
      <w:r>
        <w:rPr>
          <w:rFonts w:ascii="Arial" w:cs="Arial" w:eastAsia="Arial" w:hAnsi="Arial"/>
          <w:sz w:val="12"/>
          <w:szCs w:val="12"/>
          <w:b w:val="1"/>
          <w:bCs w:val="1"/>
          <w:color w:val="auto"/>
        </w:rPr>
        <w:t xml:space="preserve">3.2.4 Loans - at amortized cost (continued) </w:t>
      </w:r>
      <w:r>
        <w:rPr>
          <w:rFonts w:ascii="Arial" w:cs="Arial" w:eastAsia="Arial" w:hAnsi="Arial"/>
          <w:sz w:val="12"/>
          <w:szCs w:val="12"/>
          <w:b w:val="1"/>
          <w:bCs w:val="1"/>
          <w:u w:val="single" w:color="auto"/>
          <w:color w:val="auto"/>
        </w:rPr>
        <w:t>Modified or renegotiated loan</w:t>
      </w:r>
      <w:r>
        <w:rPr>
          <w:rFonts w:ascii="Arial" w:cs="Arial" w:eastAsia="Arial" w:hAnsi="Arial"/>
          <w:sz w:val="12"/>
          <w:szCs w:val="12"/>
          <w:b w:val="1"/>
          <w:bCs w:val="1"/>
          <w:color w:val="auto"/>
        </w:rPr>
        <w:t xml:space="preserve"> (continued)</w:t>
      </w:r>
    </w:p>
    <w:p>
      <w:pPr>
        <w:ind w:left="223"/>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When the contractual terms of a financial asset are modified, and the modification does not result in derecognition, the Bank determines if the financial asset’s credit risk has increased significantly since initial recognition by comparing:</w:t>
      </w:r>
    </w:p>
    <w:p>
      <w:pPr>
        <w:spacing w:after="0" w:line="129" w:lineRule="exact"/>
        <w:rPr>
          <w:rFonts w:ascii="Arial" w:cs="Arial" w:eastAsia="Arial" w:hAnsi="Arial"/>
          <w:sz w:val="13"/>
          <w:szCs w:val="13"/>
          <w:b w:val="1"/>
          <w:bCs w:val="1"/>
          <w:color w:val="auto"/>
        </w:rPr>
      </w:pPr>
    </w:p>
    <w:p>
      <w:pPr>
        <w:ind w:left="703" w:hanging="241"/>
        <w:spacing w:after="0"/>
        <w:tabs>
          <w:tab w:leader="none" w:pos="703" w:val="left"/>
        </w:tabs>
        <w:numPr>
          <w:ilvl w:val="1"/>
          <w:numId w:val="103"/>
        </w:numPr>
        <w:rPr>
          <w:rFonts w:ascii="Arial" w:cs="Arial" w:eastAsia="Arial" w:hAnsi="Arial"/>
          <w:sz w:val="13"/>
          <w:szCs w:val="13"/>
          <w:color w:val="auto"/>
        </w:rPr>
      </w:pPr>
      <w:r>
        <w:rPr>
          <w:rFonts w:ascii="Arial" w:cs="Arial" w:eastAsia="Arial" w:hAnsi="Arial"/>
          <w:sz w:val="13"/>
          <w:szCs w:val="13"/>
          <w:color w:val="auto"/>
        </w:rPr>
        <w:t>The remaining lifetime probability of default (PD) estimated based on data at initial recognition and the original contractual terms; with</w:t>
      </w:r>
    </w:p>
    <w:p>
      <w:pPr>
        <w:spacing w:after="0" w:line="12" w:lineRule="exact"/>
        <w:rPr>
          <w:rFonts w:ascii="Arial" w:cs="Arial" w:eastAsia="Arial" w:hAnsi="Arial"/>
          <w:sz w:val="13"/>
          <w:szCs w:val="13"/>
          <w:color w:val="auto"/>
        </w:rPr>
      </w:pPr>
    </w:p>
    <w:p>
      <w:pPr>
        <w:ind w:left="703" w:hanging="241"/>
        <w:spacing w:after="0"/>
        <w:tabs>
          <w:tab w:leader="none" w:pos="703" w:val="left"/>
        </w:tabs>
        <w:numPr>
          <w:ilvl w:val="1"/>
          <w:numId w:val="103"/>
        </w:numPr>
        <w:rPr>
          <w:rFonts w:ascii="Arial" w:cs="Arial" w:eastAsia="Arial" w:hAnsi="Arial"/>
          <w:sz w:val="13"/>
          <w:szCs w:val="13"/>
          <w:color w:val="auto"/>
        </w:rPr>
      </w:pPr>
      <w:r>
        <w:rPr>
          <w:rFonts w:ascii="Arial" w:cs="Arial" w:eastAsia="Arial" w:hAnsi="Arial"/>
          <w:sz w:val="13"/>
          <w:szCs w:val="13"/>
          <w:color w:val="auto"/>
        </w:rPr>
        <w:t>The remaining lifetime PD at the reporting date based on the modified terms.</w:t>
      </w:r>
    </w:p>
    <w:p>
      <w:pPr>
        <w:spacing w:after="0" w:line="150" w:lineRule="exact"/>
        <w:rPr>
          <w:sz w:val="20"/>
          <w:szCs w:val="20"/>
          <w:color w:val="auto"/>
        </w:rPr>
      </w:pPr>
    </w:p>
    <w:p>
      <w:pPr>
        <w:ind w:left="223"/>
        <w:spacing w:after="0"/>
        <w:rPr>
          <w:sz w:val="20"/>
          <w:szCs w:val="20"/>
          <w:color w:val="auto"/>
        </w:rPr>
      </w:pPr>
      <w:r>
        <w:rPr>
          <w:rFonts w:ascii="Arial" w:cs="Arial" w:eastAsia="Arial" w:hAnsi="Arial"/>
          <w:sz w:val="13"/>
          <w:szCs w:val="13"/>
          <w:color w:val="auto"/>
        </w:rPr>
        <w:t>In the renegotiation or modification of the contractual cash flows of the loan, the Bank shall:</w:t>
      </w:r>
    </w:p>
    <w:p>
      <w:pPr>
        <w:spacing w:after="0" w:line="159" w:lineRule="exact"/>
        <w:rPr>
          <w:sz w:val="20"/>
          <w:szCs w:val="20"/>
          <w:color w:val="auto"/>
        </w:rPr>
      </w:pPr>
    </w:p>
    <w:p>
      <w:pPr>
        <w:ind w:left="703" w:hanging="241"/>
        <w:spacing w:after="0"/>
        <w:tabs>
          <w:tab w:leader="none" w:pos="703" w:val="left"/>
        </w:tabs>
        <w:numPr>
          <w:ilvl w:val="0"/>
          <w:numId w:val="104"/>
        </w:numPr>
        <w:rPr>
          <w:rFonts w:ascii="Arial" w:cs="Arial" w:eastAsia="Arial" w:hAnsi="Arial"/>
          <w:sz w:val="13"/>
          <w:szCs w:val="13"/>
          <w:color w:val="auto"/>
        </w:rPr>
      </w:pPr>
      <w:r>
        <w:rPr>
          <w:rFonts w:ascii="Arial" w:cs="Arial" w:eastAsia="Arial" w:hAnsi="Arial"/>
          <w:sz w:val="13"/>
          <w:szCs w:val="13"/>
          <w:color w:val="auto"/>
        </w:rPr>
        <w:t>Continue with its current accounting treatment for the existing loan that has been modified.</w:t>
      </w:r>
    </w:p>
    <w:p>
      <w:pPr>
        <w:spacing w:after="0" w:line="12" w:lineRule="exact"/>
        <w:rPr>
          <w:rFonts w:ascii="Arial" w:cs="Arial" w:eastAsia="Arial" w:hAnsi="Arial"/>
          <w:sz w:val="13"/>
          <w:szCs w:val="13"/>
          <w:color w:val="auto"/>
        </w:rPr>
      </w:pPr>
    </w:p>
    <w:p>
      <w:pPr>
        <w:ind w:left="703" w:hanging="241"/>
        <w:spacing w:after="0" w:line="247" w:lineRule="auto"/>
        <w:tabs>
          <w:tab w:leader="none" w:pos="703" w:val="left"/>
        </w:tabs>
        <w:numPr>
          <w:ilvl w:val="0"/>
          <w:numId w:val="104"/>
        </w:numPr>
        <w:rPr>
          <w:rFonts w:ascii="Arial" w:cs="Arial" w:eastAsia="Arial" w:hAnsi="Arial"/>
          <w:sz w:val="13"/>
          <w:szCs w:val="13"/>
          <w:color w:val="auto"/>
        </w:rPr>
      </w:pPr>
      <w:r>
        <w:rPr>
          <w:rFonts w:ascii="Arial" w:cs="Arial" w:eastAsia="Arial" w:hAnsi="Arial"/>
          <w:sz w:val="13"/>
          <w:szCs w:val="13"/>
          <w:color w:val="auto"/>
        </w:rPr>
        <w:t>Record a modification gain or loss by recalculating the gross carrying amount of the financial asset as the present value of the renegotiated or modified contractual cash flows, discounted at the loan’s original effective interest rate.</w:t>
      </w:r>
    </w:p>
    <w:p>
      <w:pPr>
        <w:jc w:val="both"/>
        <w:ind w:left="703" w:hanging="241"/>
        <w:spacing w:after="0" w:line="267" w:lineRule="auto"/>
        <w:tabs>
          <w:tab w:leader="none" w:pos="703" w:val="left"/>
        </w:tabs>
        <w:numPr>
          <w:ilvl w:val="0"/>
          <w:numId w:val="104"/>
        </w:numPr>
        <w:rPr>
          <w:rFonts w:ascii="Arial" w:cs="Arial" w:eastAsia="Arial" w:hAnsi="Arial"/>
          <w:sz w:val="12"/>
          <w:szCs w:val="12"/>
          <w:color w:val="auto"/>
        </w:rPr>
      </w:pPr>
      <w:r>
        <w:rPr>
          <w:rFonts w:ascii="Arial" w:cs="Arial" w:eastAsia="Arial" w:hAnsi="Arial"/>
          <w:sz w:val="12"/>
          <w:szCs w:val="12"/>
          <w:color w:val="auto"/>
        </w:rPr>
        <w:t>Assess whether there has been a significant increase in the credit risk of the financial instrument, by comparing the risk of a default occurring at the reporting date (based on the modified contractual terms) and the risk of a default occurring at initial recognition (based on the original, unmodified contractual terms). The loan that is modified is not automatically considered to have a lower credit risk. The assessment should consider credit risk over the expected life of the asset based on historical and forward-looking information, including information about the circumstances that led to the modification. Evidence that the criteria for the recognition of lifetime expected credit losses are subsequently no longer met may include a history of up-to-date and timely payment in subsequent periods. A minimum period of observation will be necessary before a financial asset may qualify to return to a 12-month expected credit loss measurement.</w:t>
      </w:r>
    </w:p>
    <w:p>
      <w:pPr>
        <w:spacing w:after="0" w:line="2" w:lineRule="exact"/>
        <w:rPr>
          <w:rFonts w:ascii="Arial" w:cs="Arial" w:eastAsia="Arial" w:hAnsi="Arial"/>
          <w:sz w:val="12"/>
          <w:szCs w:val="12"/>
          <w:color w:val="auto"/>
        </w:rPr>
      </w:pPr>
    </w:p>
    <w:p>
      <w:pPr>
        <w:ind w:left="703" w:hanging="241"/>
        <w:spacing w:after="0" w:line="254" w:lineRule="auto"/>
        <w:tabs>
          <w:tab w:leader="none" w:pos="703" w:val="left"/>
        </w:tabs>
        <w:numPr>
          <w:ilvl w:val="0"/>
          <w:numId w:val="104"/>
        </w:numPr>
        <w:rPr>
          <w:rFonts w:ascii="Arial" w:cs="Arial" w:eastAsia="Arial" w:hAnsi="Arial"/>
          <w:sz w:val="13"/>
          <w:szCs w:val="13"/>
          <w:color w:val="auto"/>
        </w:rPr>
      </w:pPr>
      <w:r>
        <w:rPr>
          <w:rFonts w:ascii="Arial" w:cs="Arial" w:eastAsia="Arial" w:hAnsi="Arial"/>
          <w:sz w:val="13"/>
          <w:szCs w:val="13"/>
          <w:color w:val="auto"/>
        </w:rPr>
        <w:t>Make the appropriate quantitative and qualitative disclosures required for renegotiated or modified assets to reflect the nature and effect of such modifications (including the effect on the measurement of expected credit losses) and how the Bank monitors these loans that have been modified.</w:t>
      </w:r>
    </w:p>
    <w:p>
      <w:pPr>
        <w:spacing w:after="0" w:line="137" w:lineRule="exact"/>
        <w:rPr>
          <w:sz w:val="20"/>
          <w:szCs w:val="20"/>
          <w:color w:val="auto"/>
        </w:rPr>
      </w:pPr>
    </w:p>
    <w:p>
      <w:pPr>
        <w:jc w:val="both"/>
        <w:ind w:left="223"/>
        <w:spacing w:after="0" w:line="257" w:lineRule="auto"/>
        <w:rPr>
          <w:sz w:val="20"/>
          <w:szCs w:val="20"/>
          <w:color w:val="auto"/>
        </w:rPr>
      </w:pPr>
      <w:r>
        <w:rPr>
          <w:rFonts w:ascii="Arial" w:cs="Arial" w:eastAsia="Arial" w:hAnsi="Arial"/>
          <w:sz w:val="13"/>
          <w:szCs w:val="13"/>
          <w:color w:val="auto"/>
        </w:rPr>
        <w:t>The Bank recognizes a loss allowance for expected credit losses on a loan that is measured at amortized cost at each reporting date at an amount equal to the lifetime expected credit losses if the credit risk on that loan has increased significantly since initial recognition. If at the reporting date, the credit risk of that loan has not increased significantly since initial recognition, an entity shall measure the loss allowance for that loan at an amount equal to 12-month expected credit losses.</w:t>
      </w:r>
    </w:p>
    <w:p>
      <w:pPr>
        <w:spacing w:after="0" w:line="136" w:lineRule="exact"/>
        <w:rPr>
          <w:sz w:val="20"/>
          <w:szCs w:val="20"/>
          <w:color w:val="auto"/>
        </w:rPr>
      </w:pPr>
    </w:p>
    <w:p>
      <w:pPr>
        <w:ind w:left="223"/>
        <w:spacing w:after="0"/>
        <w:rPr>
          <w:sz w:val="20"/>
          <w:szCs w:val="20"/>
          <w:color w:val="auto"/>
        </w:rPr>
      </w:pPr>
      <w:r>
        <w:rPr>
          <w:rFonts w:ascii="Arial" w:cs="Arial" w:eastAsia="Arial" w:hAnsi="Arial"/>
          <w:sz w:val="13"/>
          <w:szCs w:val="13"/>
          <w:color w:val="auto"/>
        </w:rPr>
        <w:t>The Bank's lending portfolio is comprised of the following types of debtor: corporations and financial institutions. In turn, these are broken down into state-owned and private.</w:t>
      </w:r>
    </w:p>
    <w:p>
      <w:pPr>
        <w:spacing w:after="0" w:line="159" w:lineRule="exact"/>
        <w:rPr>
          <w:sz w:val="20"/>
          <w:szCs w:val="20"/>
          <w:color w:val="auto"/>
        </w:rPr>
      </w:pPr>
    </w:p>
    <w:p>
      <w:pPr>
        <w:ind w:left="223"/>
        <w:spacing w:after="0"/>
        <w:rPr>
          <w:sz w:val="20"/>
          <w:szCs w:val="20"/>
          <w:color w:val="auto"/>
        </w:rPr>
      </w:pPr>
      <w:r>
        <w:rPr>
          <w:rFonts w:ascii="Arial" w:cs="Arial" w:eastAsia="Arial" w:hAnsi="Arial"/>
          <w:sz w:val="13"/>
          <w:szCs w:val="13"/>
          <w:color w:val="auto"/>
        </w:rPr>
        <w:t>The Bank's lending policy is applicable to all types of loans.</w:t>
      </w:r>
    </w:p>
    <w:p>
      <w:pPr>
        <w:spacing w:after="0" w:line="313"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8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85" w:right="219" w:bottom="1440" w:gutter="0" w:footer="0" w:header="0"/>
        </w:sectPr>
      </w:pPr>
    </w:p>
    <w:bookmarkStart w:id="146" w:name="page147"/>
    <w:bookmarkEnd w:id="146"/>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9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105"/>
        </w:numPr>
        <w:rPr>
          <w:rFonts w:ascii="Arial" w:cs="Arial" w:eastAsia="Arial" w:hAnsi="Arial"/>
          <w:sz w:val="13"/>
          <w:szCs w:val="13"/>
          <w:b w:val="1"/>
          <w:bCs w:val="1"/>
          <w:color w:val="auto"/>
        </w:rPr>
      </w:pPr>
      <w:r>
        <w:rPr>
          <w:rFonts w:ascii="Arial" w:cs="Arial" w:eastAsia="Arial" w:hAnsi="Arial"/>
          <w:sz w:val="13"/>
          <w:szCs w:val="13"/>
          <w:b w:val="1"/>
          <w:bCs w:val="1"/>
          <w:color w:val="auto"/>
        </w:rPr>
        <w:t>Summary of accounting policies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3.2</w:t>
      </w:r>
      <w:r>
        <w:rPr>
          <w:rFonts w:ascii="Arial" w:cs="Arial" w:eastAsia="Arial" w:hAnsi="Arial"/>
          <w:sz w:val="11"/>
          <w:szCs w:val="11"/>
          <w:b w:val="1"/>
          <w:bCs w:val="1"/>
          <w:color w:val="auto"/>
        </w:rPr>
        <w:t>Significant accounting policies (continued)</w:t>
      </w:r>
    </w:p>
    <w:p>
      <w:pPr>
        <w:spacing w:after="0" w:line="158" w:lineRule="exact"/>
        <w:rPr>
          <w:rFonts w:ascii="Arial" w:cs="Arial" w:eastAsia="Arial" w:hAnsi="Arial"/>
          <w:sz w:val="13"/>
          <w:szCs w:val="13"/>
          <w:b w:val="1"/>
          <w:bCs w:val="1"/>
          <w:color w:val="auto"/>
        </w:rPr>
      </w:pPr>
    </w:p>
    <w:p>
      <w:pPr>
        <w:ind w:left="223" w:right="8280" w:firstLine="462"/>
        <w:spacing w:after="0" w:line="497" w:lineRule="auto"/>
        <w:rPr>
          <w:rFonts w:ascii="Arial" w:cs="Arial" w:eastAsia="Arial" w:hAnsi="Arial"/>
          <w:sz w:val="13"/>
          <w:szCs w:val="13"/>
          <w:b w:val="1"/>
          <w:bCs w:val="1"/>
          <w:color w:val="auto"/>
        </w:rPr>
      </w:pPr>
      <w:r>
        <w:rPr>
          <w:rFonts w:ascii="Arial" w:cs="Arial" w:eastAsia="Arial" w:hAnsi="Arial"/>
          <w:sz w:val="13"/>
          <w:szCs w:val="13"/>
          <w:b w:val="1"/>
          <w:bCs w:val="1"/>
          <w:color w:val="auto"/>
        </w:rPr>
        <w:t xml:space="preserve">3.2.4 Loans - at amortized cost (continued) </w:t>
      </w:r>
      <w:r>
        <w:rPr>
          <w:rFonts w:ascii="Arial" w:cs="Arial" w:eastAsia="Arial" w:hAnsi="Arial"/>
          <w:sz w:val="13"/>
          <w:szCs w:val="13"/>
          <w:b w:val="1"/>
          <w:bCs w:val="1"/>
          <w:u w:val="single" w:color="auto"/>
          <w:color w:val="auto"/>
        </w:rPr>
        <w:t>Write-offs</w:t>
      </w:r>
    </w:p>
    <w:p>
      <w:pPr>
        <w:spacing w:after="0" w:line="1" w:lineRule="exact"/>
        <w:rPr>
          <w:sz w:val="20"/>
          <w:szCs w:val="20"/>
          <w:color w:val="auto"/>
        </w:rPr>
      </w:pPr>
    </w:p>
    <w:p>
      <w:pPr>
        <w:jc w:val="both"/>
        <w:ind w:left="223" w:right="20"/>
        <w:spacing w:after="0" w:line="257" w:lineRule="auto"/>
        <w:rPr>
          <w:sz w:val="20"/>
          <w:szCs w:val="20"/>
          <w:color w:val="auto"/>
        </w:rPr>
      </w:pPr>
      <w:r>
        <w:rPr>
          <w:rFonts w:ascii="Arial" w:cs="Arial" w:eastAsia="Arial" w:hAnsi="Arial"/>
          <w:sz w:val="13"/>
          <w:szCs w:val="13"/>
          <w:color w:val="auto"/>
        </w:rPr>
        <w:t>When the Bank has no reasonable expectations of recovering the loan, then the gross carrying amount of the loan is directly reduced in full or partially; thus, constituting a derecognition event. This is generally the case when the Bank determines that the borrower does not have assets or sources of income that could generate enough cash flows to repay the amounts subject to the write-off. Nevertheless, the financial assets that are written off could still be subject to enforcement activities in order to comply with the Bank’s procedures for recovery of amounts due.</w:t>
      </w:r>
    </w:p>
    <w:p>
      <w:pPr>
        <w:spacing w:after="0" w:line="132" w:lineRule="exact"/>
        <w:rPr>
          <w:sz w:val="20"/>
          <w:szCs w:val="20"/>
          <w:color w:val="auto"/>
        </w:rPr>
      </w:pPr>
    </w:p>
    <w:p>
      <w:pPr>
        <w:ind w:left="703"/>
        <w:spacing w:after="0"/>
        <w:tabs>
          <w:tab w:leader="none" w:pos="1143" w:val="left"/>
        </w:tabs>
        <w:rPr>
          <w:sz w:val="20"/>
          <w:szCs w:val="20"/>
          <w:color w:val="auto"/>
        </w:rPr>
      </w:pPr>
      <w:r>
        <w:rPr>
          <w:rFonts w:ascii="Arial" w:cs="Arial" w:eastAsia="Arial" w:hAnsi="Arial"/>
          <w:sz w:val="13"/>
          <w:szCs w:val="13"/>
          <w:b w:val="1"/>
          <w:bCs w:val="1"/>
          <w:color w:val="auto"/>
        </w:rPr>
        <w:t>3.2.5</w:t>
      </w:r>
      <w:r>
        <w:rPr>
          <w:sz w:val="20"/>
          <w:szCs w:val="20"/>
          <w:color w:val="auto"/>
        </w:rPr>
        <w:tab/>
      </w:r>
      <w:r>
        <w:rPr>
          <w:rFonts w:ascii="Arial" w:cs="Arial" w:eastAsia="Arial" w:hAnsi="Arial"/>
          <w:sz w:val="11"/>
          <w:szCs w:val="11"/>
          <w:b w:val="1"/>
          <w:bCs w:val="1"/>
          <w:color w:val="auto"/>
        </w:rPr>
        <w:t>Allowances for losses on financial instruments</w:t>
      </w:r>
    </w:p>
    <w:p>
      <w:pPr>
        <w:spacing w:after="0" w:line="163" w:lineRule="exact"/>
        <w:rPr>
          <w:sz w:val="20"/>
          <w:szCs w:val="20"/>
          <w:color w:val="auto"/>
        </w:rPr>
      </w:pPr>
    </w:p>
    <w:p>
      <w:pPr>
        <w:jc w:val="both"/>
        <w:ind w:left="223"/>
        <w:spacing w:after="0" w:line="252" w:lineRule="auto"/>
        <w:rPr>
          <w:sz w:val="20"/>
          <w:szCs w:val="20"/>
          <w:color w:val="auto"/>
        </w:rPr>
      </w:pPr>
      <w:r>
        <w:rPr>
          <w:rFonts w:ascii="Arial" w:cs="Arial" w:eastAsia="Arial" w:hAnsi="Arial"/>
          <w:sz w:val="13"/>
          <w:szCs w:val="13"/>
          <w:color w:val="auto"/>
        </w:rPr>
        <w:t>The allowances for losses on financial instruments are provided for losses derived from the expected credit losses, inherent in the loan portfolio, investment securities and loan commitments and financial guarantee contracts, using the reserve methodology to determine expected credit losses. Additions to the allowance for expected credit losses for financial instruments are recognized in profit or loss or in other comprehensive income depending on classification of the instrument. Expected credit losses are deducted from the allowance, and subsequent recoveries are added. The allowance is also decreased by reversals of the allowance back to profit or loss. The allowance for expected credit losses for financial instruments at amortized cost is reported as a deduction of financial assets and, the allowance for expected credit losses on loan commitments and financial guarantee contracts, such as letters of credit and guarantees, is presented as a liability.</w:t>
      </w:r>
    </w:p>
    <w:p>
      <w:pPr>
        <w:spacing w:after="0" w:line="139" w:lineRule="exact"/>
        <w:rPr>
          <w:sz w:val="20"/>
          <w:szCs w:val="20"/>
          <w:color w:val="auto"/>
        </w:rPr>
      </w:pPr>
    </w:p>
    <w:p>
      <w:pPr>
        <w:jc w:val="both"/>
        <w:ind w:left="223" w:right="20"/>
        <w:spacing w:after="0" w:line="267" w:lineRule="auto"/>
        <w:rPr>
          <w:sz w:val="20"/>
          <w:szCs w:val="20"/>
          <w:color w:val="auto"/>
        </w:rPr>
      </w:pPr>
      <w:r>
        <w:rPr>
          <w:rFonts w:ascii="Arial" w:cs="Arial" w:eastAsia="Arial" w:hAnsi="Arial"/>
          <w:sz w:val="13"/>
          <w:szCs w:val="13"/>
          <w:color w:val="auto"/>
        </w:rPr>
        <w:t>The Bank assigns to each exposure a risk rating which is defined using quantitative and qualitative factors that are indicative of the risk loss. This rating is considered for purposes of identifying significant increases in credit risk. These factors may vary depending on the nature of the exposure and the type of borrower.</w:t>
      </w:r>
    </w:p>
    <w:p>
      <w:pPr>
        <w:spacing w:after="0" w:line="129" w:lineRule="exact"/>
        <w:rPr>
          <w:sz w:val="20"/>
          <w:szCs w:val="20"/>
          <w:color w:val="auto"/>
        </w:rPr>
      </w:pPr>
    </w:p>
    <w:p>
      <w:pPr>
        <w:jc w:val="both"/>
        <w:ind w:left="223" w:right="20"/>
        <w:spacing w:after="0" w:line="267" w:lineRule="auto"/>
        <w:rPr>
          <w:sz w:val="20"/>
          <w:szCs w:val="20"/>
          <w:color w:val="auto"/>
        </w:rPr>
      </w:pPr>
      <w:r>
        <w:rPr>
          <w:rFonts w:ascii="Arial" w:cs="Arial" w:eastAsia="Arial" w:hAnsi="Arial"/>
          <w:sz w:val="13"/>
          <w:szCs w:val="13"/>
          <w:color w:val="auto"/>
        </w:rPr>
        <w:t>Each exposure will be assigned to a risk rating at the time of initial recognition based on the information available about the customer and the country. Exposures will be subject to continuous monitoring, which may result in the change of an exposure to a different risk rating.</w:t>
      </w:r>
    </w:p>
    <w:p>
      <w:pPr>
        <w:spacing w:after="0" w:line="129" w:lineRule="exact"/>
        <w:rPr>
          <w:sz w:val="20"/>
          <w:szCs w:val="20"/>
          <w:color w:val="auto"/>
        </w:rPr>
      </w:pPr>
    </w:p>
    <w:p>
      <w:pPr>
        <w:jc w:val="both"/>
        <w:ind w:left="223" w:right="20"/>
        <w:spacing w:after="0" w:line="267" w:lineRule="auto"/>
        <w:rPr>
          <w:sz w:val="20"/>
          <w:szCs w:val="20"/>
          <w:color w:val="auto"/>
        </w:rPr>
      </w:pPr>
      <w:r>
        <w:rPr>
          <w:rFonts w:ascii="Arial" w:cs="Arial" w:eastAsia="Arial" w:hAnsi="Arial"/>
          <w:sz w:val="13"/>
          <w:szCs w:val="13"/>
          <w:color w:val="auto"/>
        </w:rPr>
        <w:t>The analysis of customer risk considers financial and operational factors, sector / industry, market and managerial, also considering the ratings of international rating agencies, quality of information and other elements of an objective nature, including projections on these indicators.</w:t>
      </w:r>
    </w:p>
    <w:p>
      <w:pPr>
        <w:spacing w:after="0" w:line="129" w:lineRule="exact"/>
        <w:rPr>
          <w:sz w:val="20"/>
          <w:szCs w:val="20"/>
          <w:color w:val="auto"/>
        </w:rPr>
      </w:pPr>
    </w:p>
    <w:p>
      <w:pPr>
        <w:jc w:val="both"/>
        <w:ind w:left="223" w:right="20"/>
        <w:spacing w:after="0" w:line="267" w:lineRule="auto"/>
        <w:rPr>
          <w:sz w:val="20"/>
          <w:szCs w:val="20"/>
          <w:color w:val="auto"/>
        </w:rPr>
      </w:pPr>
      <w:r>
        <w:rPr>
          <w:rFonts w:ascii="Arial" w:cs="Arial" w:eastAsia="Arial" w:hAnsi="Arial"/>
          <w:sz w:val="13"/>
          <w:szCs w:val="13"/>
          <w:color w:val="auto"/>
        </w:rPr>
        <w:t>For the assignment of customer credit ratings, quantitative and qualitative criteria are applied, depending on whether the counterpart corresponds to a financial entity or a corporation, and broken down into several factors, which receive a weighting within the customer's rating.</w:t>
      </w:r>
    </w:p>
    <w:p>
      <w:pPr>
        <w:spacing w:after="0" w:line="129" w:lineRule="exact"/>
        <w:rPr>
          <w:sz w:val="20"/>
          <w:szCs w:val="20"/>
          <w:color w:val="auto"/>
        </w:rPr>
      </w:pPr>
    </w:p>
    <w:p>
      <w:pPr>
        <w:jc w:val="both"/>
        <w:ind w:left="223" w:right="20"/>
        <w:spacing w:after="0" w:line="267" w:lineRule="auto"/>
        <w:rPr>
          <w:sz w:val="20"/>
          <w:szCs w:val="20"/>
          <w:color w:val="auto"/>
        </w:rPr>
      </w:pPr>
      <w:r>
        <w:rPr>
          <w:rFonts w:ascii="Arial" w:cs="Arial" w:eastAsia="Arial" w:hAnsi="Arial"/>
          <w:sz w:val="13"/>
          <w:szCs w:val="13"/>
          <w:color w:val="auto"/>
        </w:rPr>
        <w:t>In the analysis of the country risk, for the establishment of the rating, the assessment of quantitative and qualitative variables specific to the country under analysis is considered, as well as the regional and global macroeconomic environment, considering projections about the future performance of the country environment.</w:t>
      </w:r>
    </w:p>
    <w:p>
      <w:pPr>
        <w:spacing w:after="0" w:line="129" w:lineRule="exact"/>
        <w:rPr>
          <w:sz w:val="20"/>
          <w:szCs w:val="20"/>
          <w:color w:val="auto"/>
        </w:rPr>
      </w:pPr>
    </w:p>
    <w:p>
      <w:pPr>
        <w:jc w:val="both"/>
        <w:ind w:left="223" w:right="20"/>
        <w:spacing w:after="0" w:line="257" w:lineRule="auto"/>
        <w:rPr>
          <w:sz w:val="20"/>
          <w:szCs w:val="20"/>
          <w:color w:val="auto"/>
        </w:rPr>
      </w:pPr>
      <w:r>
        <w:rPr>
          <w:rFonts w:ascii="Arial" w:cs="Arial" w:eastAsia="Arial" w:hAnsi="Arial"/>
          <w:sz w:val="13"/>
          <w:szCs w:val="13"/>
          <w:color w:val="auto"/>
        </w:rPr>
        <w:t>In general, there are three groups of quantitative factors that determine the analysis and that give rise to a quantitative rating of the country (changes in main economic indicators; external payment capacity and access to capital; performance of domestic credit and the financial system), which is later analyzed within the social-political framework of the country (qualitative factors) and may suffer some deterioration for the determination of the final country rating.</w:t>
      </w:r>
    </w:p>
    <w:p>
      <w:pPr>
        <w:spacing w:after="0" w:line="136" w:lineRule="exact"/>
        <w:rPr>
          <w:sz w:val="20"/>
          <w:szCs w:val="20"/>
          <w:color w:val="auto"/>
        </w:rPr>
      </w:pPr>
    </w:p>
    <w:p>
      <w:pPr>
        <w:jc w:val="both"/>
        <w:ind w:left="223" w:right="20"/>
        <w:spacing w:after="0" w:line="267" w:lineRule="auto"/>
        <w:rPr>
          <w:sz w:val="20"/>
          <w:szCs w:val="20"/>
          <w:color w:val="auto"/>
        </w:rPr>
      </w:pPr>
      <w:r>
        <w:rPr>
          <w:rFonts w:ascii="Arial" w:cs="Arial" w:eastAsia="Arial" w:hAnsi="Arial"/>
          <w:sz w:val="13"/>
          <w:szCs w:val="13"/>
          <w:color w:val="auto"/>
        </w:rPr>
        <w:t>Calculation of reserve for expected credit losses for financial instruments is made based on the risk rating resulting from the Bank's internal model and considering, generally (certain exceptions apply), the worst among the country risk rating of the transaction and the customer risk rating.</w:t>
      </w:r>
    </w:p>
    <w:p>
      <w:pPr>
        <w:spacing w:after="0" w:line="283"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9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147" w:name="page148"/>
    <w:bookmarkEnd w:id="147"/>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9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106"/>
        </w:numPr>
        <w:rPr>
          <w:rFonts w:ascii="Arial" w:cs="Arial" w:eastAsia="Arial" w:hAnsi="Arial"/>
          <w:sz w:val="13"/>
          <w:szCs w:val="13"/>
          <w:b w:val="1"/>
          <w:bCs w:val="1"/>
          <w:color w:val="auto"/>
        </w:rPr>
      </w:pPr>
      <w:r>
        <w:rPr>
          <w:rFonts w:ascii="Arial" w:cs="Arial" w:eastAsia="Arial" w:hAnsi="Arial"/>
          <w:sz w:val="13"/>
          <w:szCs w:val="13"/>
          <w:b w:val="1"/>
          <w:bCs w:val="1"/>
          <w:color w:val="auto"/>
        </w:rPr>
        <w:t>Summary of accounting policies (continued)</w:t>
      </w:r>
    </w:p>
    <w:p>
      <w:pPr>
        <w:spacing w:after="0" w:line="159" w:lineRule="exact"/>
        <w:rPr>
          <w:sz w:val="20"/>
          <w:szCs w:val="20"/>
          <w:color w:val="auto"/>
        </w:rPr>
      </w:pPr>
    </w:p>
    <w:p>
      <w:pPr>
        <w:ind w:left="223"/>
        <w:spacing w:after="0"/>
        <w:tabs>
          <w:tab w:leader="none" w:pos="683" w:val="left"/>
        </w:tabs>
        <w:rPr>
          <w:sz w:val="20"/>
          <w:szCs w:val="20"/>
          <w:color w:val="auto"/>
        </w:rPr>
      </w:pPr>
      <w:r>
        <w:rPr>
          <w:rFonts w:ascii="Arial" w:cs="Arial" w:eastAsia="Arial" w:hAnsi="Arial"/>
          <w:sz w:val="13"/>
          <w:szCs w:val="13"/>
          <w:b w:val="1"/>
          <w:bCs w:val="1"/>
          <w:color w:val="auto"/>
        </w:rPr>
        <w:t>3.2</w:t>
      </w:r>
      <w:r>
        <w:rPr>
          <w:sz w:val="20"/>
          <w:szCs w:val="20"/>
          <w:color w:val="auto"/>
        </w:rPr>
        <w:tab/>
      </w:r>
      <w:r>
        <w:rPr>
          <w:rFonts w:ascii="Arial" w:cs="Arial" w:eastAsia="Arial" w:hAnsi="Arial"/>
          <w:sz w:val="11"/>
          <w:szCs w:val="11"/>
          <w:b w:val="1"/>
          <w:bCs w:val="1"/>
          <w:color w:val="auto"/>
        </w:rPr>
        <w:t>Significant accounting policies (continued)</w:t>
      </w:r>
    </w:p>
    <w:p>
      <w:pPr>
        <w:spacing w:after="0" w:line="159" w:lineRule="exact"/>
        <w:rPr>
          <w:sz w:val="20"/>
          <w:szCs w:val="20"/>
          <w:color w:val="auto"/>
        </w:rPr>
      </w:pPr>
    </w:p>
    <w:p>
      <w:pPr>
        <w:ind w:left="703"/>
        <w:spacing w:after="0"/>
        <w:tabs>
          <w:tab w:leader="none" w:pos="1143" w:val="left"/>
        </w:tabs>
        <w:rPr>
          <w:sz w:val="20"/>
          <w:szCs w:val="20"/>
          <w:color w:val="auto"/>
        </w:rPr>
      </w:pPr>
      <w:r>
        <w:rPr>
          <w:rFonts w:ascii="Arial" w:cs="Arial" w:eastAsia="Arial" w:hAnsi="Arial"/>
          <w:sz w:val="13"/>
          <w:szCs w:val="13"/>
          <w:b w:val="1"/>
          <w:bCs w:val="1"/>
          <w:color w:val="auto"/>
        </w:rPr>
        <w:t>3.2.5</w:t>
      </w:r>
      <w:r>
        <w:rPr>
          <w:sz w:val="20"/>
          <w:szCs w:val="20"/>
          <w:color w:val="auto"/>
        </w:rPr>
        <w:tab/>
      </w:r>
      <w:r>
        <w:rPr>
          <w:rFonts w:ascii="Arial" w:cs="Arial" w:eastAsia="Arial" w:hAnsi="Arial"/>
          <w:sz w:val="11"/>
          <w:szCs w:val="11"/>
          <w:b w:val="1"/>
          <w:bCs w:val="1"/>
          <w:color w:val="auto"/>
        </w:rPr>
        <w:t>Allowances for losses on financial instruments (continued)</w:t>
      </w:r>
    </w:p>
    <w:p>
      <w:pPr>
        <w:spacing w:after="0" w:line="163" w:lineRule="exact"/>
        <w:rPr>
          <w:sz w:val="20"/>
          <w:szCs w:val="20"/>
          <w:color w:val="auto"/>
        </w:rPr>
      </w:pPr>
    </w:p>
    <w:p>
      <w:pPr>
        <w:ind w:left="223"/>
        <w:spacing w:after="0"/>
        <w:rPr>
          <w:sz w:val="20"/>
          <w:szCs w:val="20"/>
          <w:color w:val="auto"/>
        </w:rPr>
      </w:pPr>
      <w:r>
        <w:rPr>
          <w:rFonts w:ascii="Arial" w:cs="Arial" w:eastAsia="Arial" w:hAnsi="Arial"/>
          <w:sz w:val="13"/>
          <w:szCs w:val="13"/>
          <w:color w:val="auto"/>
        </w:rPr>
        <w:t>The table below provides a mapping of the Bank’s internal credit risk grades to external ratings.</w:t>
      </w:r>
    </w:p>
    <w:p>
      <w:pPr>
        <w:spacing w:after="0" w:line="155" w:lineRule="exact"/>
        <w:rPr>
          <w:sz w:val="20"/>
          <w:szCs w:val="20"/>
          <w:color w:val="auto"/>
        </w:rPr>
      </w:pPr>
    </w:p>
    <w:tbl>
      <w:tblPr>
        <w:tblLayout w:type="fixed"/>
        <w:tblInd w:w="563" w:type="dxa"/>
        <w:tblCellMar>
          <w:top w:w="0" w:type="dxa"/>
          <w:left w:w="0" w:type="dxa"/>
          <w:bottom w:w="0" w:type="dxa"/>
          <w:right w:w="0" w:type="dxa"/>
        </w:tblCellMar>
      </w:tblPr>
      <w:tr>
        <w:trPr>
          <w:trHeight w:val="154"/>
        </w:trPr>
        <w:tc>
          <w:tcPr>
            <w:tcW w:w="1040" w:type="dxa"/>
            <w:vAlign w:val="bottom"/>
            <w:gridSpan w:val="2"/>
          </w:tcPr>
          <w:p>
            <w:pPr>
              <w:spacing w:after="0"/>
              <w:rPr>
                <w:sz w:val="20"/>
                <w:szCs w:val="20"/>
                <w:color w:val="auto"/>
              </w:rPr>
            </w:pPr>
            <w:r>
              <w:rPr>
                <w:rFonts w:ascii="Arial" w:cs="Arial" w:eastAsia="Arial" w:hAnsi="Arial"/>
                <w:sz w:val="13"/>
                <w:szCs w:val="13"/>
                <w:b w:val="1"/>
                <w:bCs w:val="1"/>
                <w:color w:val="auto"/>
              </w:rPr>
              <w:t>Internal</w:t>
            </w:r>
          </w:p>
        </w:tc>
        <w:tc>
          <w:tcPr>
            <w:tcW w:w="200" w:type="dxa"/>
            <w:vAlign w:val="bottom"/>
          </w:tcPr>
          <w:p>
            <w:pPr>
              <w:spacing w:after="0"/>
              <w:rPr>
                <w:sz w:val="13"/>
                <w:szCs w:val="13"/>
                <w:color w:val="auto"/>
              </w:rPr>
            </w:pPr>
          </w:p>
        </w:tc>
        <w:tc>
          <w:tcPr>
            <w:tcW w:w="1240" w:type="dxa"/>
            <w:vAlign w:val="bottom"/>
          </w:tcPr>
          <w:p>
            <w:pPr>
              <w:ind w:left="360"/>
              <w:spacing w:after="0"/>
              <w:rPr>
                <w:sz w:val="20"/>
                <w:szCs w:val="20"/>
                <w:color w:val="auto"/>
              </w:rPr>
            </w:pPr>
            <w:r>
              <w:rPr>
                <w:rFonts w:ascii="Arial" w:cs="Arial" w:eastAsia="Arial" w:hAnsi="Arial"/>
                <w:sz w:val="13"/>
                <w:szCs w:val="13"/>
                <w:b w:val="1"/>
                <w:bCs w:val="1"/>
                <w:color w:val="auto"/>
              </w:rPr>
              <w:t>External</w:t>
            </w:r>
          </w:p>
        </w:tc>
        <w:tc>
          <w:tcPr>
            <w:tcW w:w="200" w:type="dxa"/>
            <w:vAlign w:val="bottom"/>
          </w:tcPr>
          <w:p>
            <w:pPr>
              <w:spacing w:after="0"/>
              <w:rPr>
                <w:sz w:val="13"/>
                <w:szCs w:val="13"/>
                <w:color w:val="auto"/>
              </w:rPr>
            </w:pPr>
          </w:p>
        </w:tc>
        <w:tc>
          <w:tcPr>
            <w:tcW w:w="7640" w:type="dxa"/>
            <w:vAlign w:val="bottom"/>
          </w:tcPr>
          <w:p>
            <w:pPr>
              <w:spacing w:after="0"/>
              <w:rPr>
                <w:sz w:val="13"/>
                <w:szCs w:val="13"/>
                <w:color w:val="auto"/>
              </w:rPr>
            </w:pPr>
          </w:p>
        </w:tc>
      </w:tr>
      <w:tr>
        <w:trPr>
          <w:trHeight w:val="196"/>
        </w:trPr>
        <w:tc>
          <w:tcPr>
            <w:tcW w:w="1040" w:type="dxa"/>
            <w:vAlign w:val="bottom"/>
            <w:gridSpan w:val="2"/>
          </w:tcPr>
          <w:p>
            <w:pPr>
              <w:spacing w:after="0"/>
              <w:rPr>
                <w:sz w:val="20"/>
                <w:szCs w:val="20"/>
                <w:color w:val="auto"/>
              </w:rPr>
            </w:pPr>
            <w:r>
              <w:rPr>
                <w:rFonts w:ascii="Arial" w:cs="Arial" w:eastAsia="Arial" w:hAnsi="Arial"/>
                <w:sz w:val="13"/>
                <w:szCs w:val="13"/>
                <w:b w:val="1"/>
                <w:bCs w:val="1"/>
                <w:color w:val="auto"/>
              </w:rPr>
              <w:t>Rating</w:t>
            </w:r>
          </w:p>
        </w:tc>
        <w:tc>
          <w:tcPr>
            <w:tcW w:w="200" w:type="dxa"/>
            <w:vAlign w:val="bottom"/>
          </w:tcPr>
          <w:p>
            <w:pPr>
              <w:spacing w:after="0"/>
              <w:rPr>
                <w:sz w:val="17"/>
                <w:szCs w:val="17"/>
                <w:color w:val="auto"/>
              </w:rPr>
            </w:pPr>
          </w:p>
        </w:tc>
        <w:tc>
          <w:tcPr>
            <w:tcW w:w="1240" w:type="dxa"/>
            <w:vAlign w:val="bottom"/>
          </w:tcPr>
          <w:p>
            <w:pPr>
              <w:ind w:left="360"/>
              <w:spacing w:after="0" w:line="196" w:lineRule="exact"/>
              <w:rPr>
                <w:sz w:val="20"/>
                <w:szCs w:val="20"/>
                <w:color w:val="auto"/>
              </w:rPr>
            </w:pPr>
            <w:r>
              <w:rPr>
                <w:rFonts w:ascii="Arial" w:cs="Arial" w:eastAsia="Arial" w:hAnsi="Arial"/>
                <w:sz w:val="13"/>
                <w:szCs w:val="13"/>
                <w:b w:val="1"/>
                <w:bCs w:val="1"/>
                <w:color w:val="auto"/>
              </w:rPr>
              <w:t xml:space="preserve">Rating </w:t>
            </w:r>
            <w:r>
              <w:rPr>
                <w:rFonts w:ascii="Arial" w:cs="Arial" w:eastAsia="Arial" w:hAnsi="Arial"/>
                <w:sz w:val="21"/>
                <w:szCs w:val="21"/>
                <w:b w:val="1"/>
                <w:bCs w:val="1"/>
                <w:color w:val="auto"/>
                <w:vertAlign w:val="superscript"/>
              </w:rPr>
              <w:t>(1)</w:t>
            </w:r>
          </w:p>
        </w:tc>
        <w:tc>
          <w:tcPr>
            <w:tcW w:w="200" w:type="dxa"/>
            <w:vAlign w:val="bottom"/>
          </w:tcPr>
          <w:p>
            <w:pPr>
              <w:spacing w:after="0"/>
              <w:rPr>
                <w:sz w:val="17"/>
                <w:szCs w:val="17"/>
                <w:color w:val="auto"/>
              </w:rPr>
            </w:pPr>
          </w:p>
        </w:tc>
        <w:tc>
          <w:tcPr>
            <w:tcW w:w="7640" w:type="dxa"/>
            <w:vAlign w:val="bottom"/>
          </w:tcPr>
          <w:p>
            <w:pPr>
              <w:ind w:left="3500"/>
              <w:spacing w:after="0"/>
              <w:rPr>
                <w:sz w:val="20"/>
                <w:szCs w:val="20"/>
                <w:color w:val="auto"/>
              </w:rPr>
            </w:pPr>
            <w:r>
              <w:rPr>
                <w:rFonts w:ascii="Arial" w:cs="Arial" w:eastAsia="Arial" w:hAnsi="Arial"/>
                <w:sz w:val="13"/>
                <w:szCs w:val="13"/>
                <w:b w:val="1"/>
                <w:bCs w:val="1"/>
                <w:color w:val="auto"/>
              </w:rPr>
              <w:t>Description</w:t>
            </w:r>
          </w:p>
        </w:tc>
      </w:tr>
      <w:tr>
        <w:trPr>
          <w:trHeight w:val="152"/>
        </w:trPr>
        <w:tc>
          <w:tcPr>
            <w:tcW w:w="20" w:type="dxa"/>
            <w:vAlign w:val="bottom"/>
          </w:tcPr>
          <w:p>
            <w:pPr>
              <w:spacing w:after="0"/>
              <w:rPr>
                <w:sz w:val="13"/>
                <w:szCs w:val="13"/>
                <w:color w:val="auto"/>
              </w:rPr>
            </w:pPr>
          </w:p>
        </w:tc>
        <w:tc>
          <w:tcPr>
            <w:tcW w:w="1020" w:type="dxa"/>
            <w:vAlign w:val="bottom"/>
            <w:tcBorders>
              <w:top w:val="single" w:sz="8" w:color="auto"/>
            </w:tcBorders>
          </w:tcPr>
          <w:p>
            <w:pPr>
              <w:spacing w:after="0"/>
              <w:rPr>
                <w:sz w:val="20"/>
                <w:szCs w:val="20"/>
                <w:color w:val="auto"/>
              </w:rPr>
            </w:pPr>
            <w:r>
              <w:rPr>
                <w:rFonts w:ascii="Arial" w:cs="Arial" w:eastAsia="Arial" w:hAnsi="Arial"/>
                <w:sz w:val="13"/>
                <w:szCs w:val="13"/>
                <w:color w:val="auto"/>
              </w:rPr>
              <w:t>1 - 4</w:t>
            </w:r>
          </w:p>
        </w:tc>
        <w:tc>
          <w:tcPr>
            <w:tcW w:w="200" w:type="dxa"/>
            <w:vAlign w:val="bottom"/>
          </w:tcPr>
          <w:p>
            <w:pPr>
              <w:spacing w:after="0"/>
              <w:rPr>
                <w:sz w:val="13"/>
                <w:szCs w:val="13"/>
                <w:color w:val="auto"/>
              </w:rPr>
            </w:pPr>
          </w:p>
        </w:tc>
        <w:tc>
          <w:tcPr>
            <w:tcW w:w="1240" w:type="dxa"/>
            <w:vAlign w:val="bottom"/>
            <w:tcBorders>
              <w:top w:val="single" w:sz="8" w:color="auto"/>
            </w:tcBorders>
          </w:tcPr>
          <w:p>
            <w:pPr>
              <w:spacing w:after="0"/>
              <w:rPr>
                <w:sz w:val="20"/>
                <w:szCs w:val="20"/>
                <w:color w:val="auto"/>
              </w:rPr>
            </w:pPr>
            <w:r>
              <w:rPr>
                <w:rFonts w:ascii="Arial" w:cs="Arial" w:eastAsia="Arial" w:hAnsi="Arial"/>
                <w:sz w:val="13"/>
                <w:szCs w:val="13"/>
                <w:color w:val="auto"/>
              </w:rPr>
              <w:t>Aaa – Ba1</w:t>
            </w:r>
          </w:p>
        </w:tc>
        <w:tc>
          <w:tcPr>
            <w:tcW w:w="200" w:type="dxa"/>
            <w:vAlign w:val="bottom"/>
          </w:tcPr>
          <w:p>
            <w:pPr>
              <w:spacing w:after="0"/>
              <w:rPr>
                <w:sz w:val="13"/>
                <w:szCs w:val="13"/>
                <w:color w:val="auto"/>
              </w:rPr>
            </w:pPr>
          </w:p>
        </w:tc>
        <w:tc>
          <w:tcPr>
            <w:tcW w:w="7640" w:type="dxa"/>
            <w:vAlign w:val="bottom"/>
            <w:tcBorders>
              <w:top w:val="single" w:sz="8" w:color="auto"/>
            </w:tcBorders>
          </w:tcPr>
          <w:p>
            <w:pPr>
              <w:spacing w:after="0"/>
              <w:rPr>
                <w:sz w:val="20"/>
                <w:szCs w:val="20"/>
                <w:color w:val="auto"/>
              </w:rPr>
            </w:pPr>
            <w:r>
              <w:rPr>
                <w:rFonts w:ascii="Arial" w:cs="Arial" w:eastAsia="Arial" w:hAnsi="Arial"/>
                <w:sz w:val="13"/>
                <w:szCs w:val="13"/>
                <w:color w:val="auto"/>
              </w:rPr>
              <w:t>Exposure in customers or countries with payment ability to satisfy their financial commitments</w:t>
            </w:r>
          </w:p>
        </w:tc>
      </w:tr>
      <w:tr>
        <w:trPr>
          <w:trHeight w:val="299"/>
        </w:trPr>
        <w:tc>
          <w:tcPr>
            <w:tcW w:w="1040" w:type="dxa"/>
            <w:vAlign w:val="bottom"/>
            <w:gridSpan w:val="2"/>
          </w:tcPr>
          <w:p>
            <w:pPr>
              <w:spacing w:after="0"/>
              <w:rPr>
                <w:sz w:val="20"/>
                <w:szCs w:val="20"/>
                <w:color w:val="auto"/>
              </w:rPr>
            </w:pPr>
            <w:r>
              <w:rPr>
                <w:rFonts w:ascii="Arial" w:cs="Arial" w:eastAsia="Arial" w:hAnsi="Arial"/>
                <w:sz w:val="13"/>
                <w:szCs w:val="13"/>
                <w:color w:val="auto"/>
              </w:rPr>
              <w:t>5 - 6</w:t>
            </w:r>
          </w:p>
        </w:tc>
        <w:tc>
          <w:tcPr>
            <w:tcW w:w="1440" w:type="dxa"/>
            <w:vAlign w:val="bottom"/>
            <w:gridSpan w:val="2"/>
          </w:tcPr>
          <w:p>
            <w:pPr>
              <w:ind w:left="200"/>
              <w:spacing w:after="0"/>
              <w:rPr>
                <w:sz w:val="20"/>
                <w:szCs w:val="20"/>
                <w:color w:val="auto"/>
              </w:rPr>
            </w:pPr>
            <w:r>
              <w:rPr>
                <w:rFonts w:ascii="Arial" w:cs="Arial" w:eastAsia="Arial" w:hAnsi="Arial"/>
                <w:sz w:val="13"/>
                <w:szCs w:val="13"/>
                <w:color w:val="auto"/>
              </w:rPr>
              <w:t>Ba2 – B3</w:t>
            </w:r>
          </w:p>
        </w:tc>
        <w:tc>
          <w:tcPr>
            <w:tcW w:w="7840" w:type="dxa"/>
            <w:vAlign w:val="bottom"/>
            <w:gridSpan w:val="2"/>
          </w:tcPr>
          <w:p>
            <w:pPr>
              <w:ind w:left="200"/>
              <w:spacing w:after="0"/>
              <w:rPr>
                <w:sz w:val="20"/>
                <w:szCs w:val="20"/>
                <w:color w:val="auto"/>
              </w:rPr>
            </w:pPr>
            <w:r>
              <w:rPr>
                <w:rFonts w:ascii="Arial" w:cs="Arial" w:eastAsia="Arial" w:hAnsi="Arial"/>
                <w:sz w:val="13"/>
                <w:szCs w:val="13"/>
                <w:color w:val="auto"/>
              </w:rPr>
              <w:t>Exposure in customers or countries with payment ability to satisfy their financial commitments, but with more frequent reviews.</w:t>
            </w:r>
          </w:p>
        </w:tc>
      </w:tr>
      <w:tr>
        <w:trPr>
          <w:trHeight w:val="300"/>
        </w:trPr>
        <w:tc>
          <w:tcPr>
            <w:tcW w:w="1040" w:type="dxa"/>
            <w:vAlign w:val="bottom"/>
            <w:gridSpan w:val="2"/>
          </w:tcPr>
          <w:p>
            <w:pPr>
              <w:spacing w:after="0"/>
              <w:rPr>
                <w:sz w:val="20"/>
                <w:szCs w:val="20"/>
                <w:color w:val="auto"/>
              </w:rPr>
            </w:pPr>
            <w:r>
              <w:rPr>
                <w:rFonts w:ascii="Arial" w:cs="Arial" w:eastAsia="Arial" w:hAnsi="Arial"/>
                <w:sz w:val="13"/>
                <w:szCs w:val="13"/>
                <w:color w:val="auto"/>
              </w:rPr>
              <w:t>7</w:t>
            </w:r>
          </w:p>
        </w:tc>
        <w:tc>
          <w:tcPr>
            <w:tcW w:w="1440" w:type="dxa"/>
            <w:vAlign w:val="bottom"/>
            <w:gridSpan w:val="2"/>
          </w:tcPr>
          <w:p>
            <w:pPr>
              <w:ind w:left="200"/>
              <w:spacing w:after="0"/>
              <w:rPr>
                <w:sz w:val="20"/>
                <w:szCs w:val="20"/>
                <w:color w:val="auto"/>
              </w:rPr>
            </w:pPr>
            <w:r>
              <w:rPr>
                <w:rFonts w:ascii="Arial" w:cs="Arial" w:eastAsia="Arial" w:hAnsi="Arial"/>
                <w:sz w:val="13"/>
                <w:szCs w:val="13"/>
                <w:color w:val="auto"/>
              </w:rPr>
              <w:t>Caa1 - Caa3</w:t>
            </w:r>
          </w:p>
        </w:tc>
        <w:tc>
          <w:tcPr>
            <w:tcW w:w="7840" w:type="dxa"/>
            <w:vAlign w:val="bottom"/>
            <w:gridSpan w:val="2"/>
          </w:tcPr>
          <w:p>
            <w:pPr>
              <w:ind w:left="200"/>
              <w:spacing w:after="0"/>
              <w:rPr>
                <w:sz w:val="20"/>
                <w:szCs w:val="20"/>
                <w:color w:val="auto"/>
              </w:rPr>
            </w:pPr>
            <w:r>
              <w:rPr>
                <w:rFonts w:ascii="Arial" w:cs="Arial" w:eastAsia="Arial" w:hAnsi="Arial"/>
                <w:sz w:val="13"/>
                <w:szCs w:val="13"/>
                <w:color w:val="auto"/>
                <w:w w:val="93"/>
              </w:rPr>
              <w:t>Exposure in customers whose primary source of payment (operating cash flow) is inadequate, and who show evidence of deterioration in their</w:t>
            </w:r>
          </w:p>
        </w:tc>
      </w:tr>
      <w:tr>
        <w:trPr>
          <w:trHeight w:val="162"/>
        </w:trPr>
        <w:tc>
          <w:tcPr>
            <w:tcW w:w="2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240" w:type="dxa"/>
            <w:vAlign w:val="bottom"/>
          </w:tcPr>
          <w:p>
            <w:pPr>
              <w:spacing w:after="0"/>
              <w:rPr>
                <w:sz w:val="14"/>
                <w:szCs w:val="14"/>
                <w:color w:val="auto"/>
              </w:rPr>
            </w:pPr>
          </w:p>
        </w:tc>
        <w:tc>
          <w:tcPr>
            <w:tcW w:w="7840" w:type="dxa"/>
            <w:vAlign w:val="bottom"/>
            <w:gridSpan w:val="2"/>
          </w:tcPr>
          <w:p>
            <w:pPr>
              <w:ind w:left="200"/>
              <w:spacing w:after="0"/>
              <w:rPr>
                <w:sz w:val="20"/>
                <w:szCs w:val="20"/>
                <w:color w:val="auto"/>
              </w:rPr>
            </w:pPr>
            <w:r>
              <w:rPr>
                <w:rFonts w:ascii="Arial" w:cs="Arial" w:eastAsia="Arial" w:hAnsi="Arial"/>
                <w:sz w:val="13"/>
                <w:szCs w:val="13"/>
                <w:color w:val="auto"/>
                <w:w w:val="96"/>
              </w:rPr>
              <w:t>working capital that does not allow them to satisfy payments on the agreed terms, or in countries where the operation carries certain risks.</w:t>
            </w:r>
          </w:p>
        </w:tc>
      </w:tr>
      <w:tr>
        <w:trPr>
          <w:trHeight w:val="300"/>
        </w:trPr>
        <w:tc>
          <w:tcPr>
            <w:tcW w:w="1040" w:type="dxa"/>
            <w:vAlign w:val="bottom"/>
            <w:gridSpan w:val="2"/>
          </w:tcPr>
          <w:p>
            <w:pPr>
              <w:spacing w:after="0"/>
              <w:rPr>
                <w:sz w:val="20"/>
                <w:szCs w:val="20"/>
                <w:color w:val="auto"/>
              </w:rPr>
            </w:pPr>
            <w:r>
              <w:rPr>
                <w:rFonts w:ascii="Arial" w:cs="Arial" w:eastAsia="Arial" w:hAnsi="Arial"/>
                <w:sz w:val="13"/>
                <w:szCs w:val="13"/>
                <w:color w:val="auto"/>
              </w:rPr>
              <w:t>8</w:t>
            </w:r>
          </w:p>
        </w:tc>
        <w:tc>
          <w:tcPr>
            <w:tcW w:w="1440" w:type="dxa"/>
            <w:vAlign w:val="bottom"/>
            <w:gridSpan w:val="2"/>
          </w:tcPr>
          <w:p>
            <w:pPr>
              <w:ind w:left="200"/>
              <w:spacing w:after="0"/>
              <w:rPr>
                <w:sz w:val="20"/>
                <w:szCs w:val="20"/>
                <w:color w:val="auto"/>
              </w:rPr>
            </w:pPr>
            <w:r>
              <w:rPr>
                <w:rFonts w:ascii="Arial" w:cs="Arial" w:eastAsia="Arial" w:hAnsi="Arial"/>
                <w:sz w:val="13"/>
                <w:szCs w:val="13"/>
                <w:color w:val="auto"/>
              </w:rPr>
              <w:t>Ca</w:t>
            </w:r>
          </w:p>
        </w:tc>
        <w:tc>
          <w:tcPr>
            <w:tcW w:w="7840" w:type="dxa"/>
            <w:vAlign w:val="bottom"/>
            <w:gridSpan w:val="2"/>
          </w:tcPr>
          <w:p>
            <w:pPr>
              <w:ind w:left="200"/>
              <w:spacing w:after="0"/>
              <w:rPr>
                <w:sz w:val="20"/>
                <w:szCs w:val="20"/>
                <w:color w:val="auto"/>
              </w:rPr>
            </w:pPr>
            <w:r>
              <w:rPr>
                <w:rFonts w:ascii="Arial" w:cs="Arial" w:eastAsia="Arial" w:hAnsi="Arial"/>
                <w:sz w:val="13"/>
                <w:szCs w:val="13"/>
                <w:color w:val="auto"/>
                <w:w w:val="95"/>
              </w:rPr>
              <w:t>Exposure in customers whose operating cash flow continuously shows insufficiency to service the debt on the originally agreed terms, or in</w:t>
            </w:r>
          </w:p>
        </w:tc>
      </w:tr>
      <w:tr>
        <w:trPr>
          <w:trHeight w:val="162"/>
        </w:trPr>
        <w:tc>
          <w:tcPr>
            <w:tcW w:w="2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240" w:type="dxa"/>
            <w:vAlign w:val="bottom"/>
          </w:tcPr>
          <w:p>
            <w:pPr>
              <w:spacing w:after="0"/>
              <w:rPr>
                <w:sz w:val="14"/>
                <w:szCs w:val="14"/>
                <w:color w:val="auto"/>
              </w:rPr>
            </w:pPr>
          </w:p>
        </w:tc>
        <w:tc>
          <w:tcPr>
            <w:tcW w:w="7840" w:type="dxa"/>
            <w:vAlign w:val="bottom"/>
            <w:gridSpan w:val="2"/>
          </w:tcPr>
          <w:p>
            <w:pPr>
              <w:ind w:left="200"/>
              <w:spacing w:after="0"/>
              <w:rPr>
                <w:sz w:val="20"/>
                <w:szCs w:val="20"/>
                <w:color w:val="auto"/>
              </w:rPr>
            </w:pPr>
            <w:r>
              <w:rPr>
                <w:rFonts w:ascii="Arial" w:cs="Arial" w:eastAsia="Arial" w:hAnsi="Arial"/>
                <w:sz w:val="13"/>
                <w:szCs w:val="13"/>
                <w:color w:val="auto"/>
              </w:rPr>
              <w:t>countries where the operation is limited or restricted to certain terms, structure and types of credits.</w:t>
            </w:r>
          </w:p>
        </w:tc>
      </w:tr>
      <w:tr>
        <w:trPr>
          <w:trHeight w:val="300"/>
        </w:trPr>
        <w:tc>
          <w:tcPr>
            <w:tcW w:w="1040" w:type="dxa"/>
            <w:vAlign w:val="bottom"/>
            <w:gridSpan w:val="2"/>
          </w:tcPr>
          <w:p>
            <w:pPr>
              <w:spacing w:after="0"/>
              <w:rPr>
                <w:sz w:val="20"/>
                <w:szCs w:val="20"/>
                <w:color w:val="auto"/>
              </w:rPr>
            </w:pPr>
            <w:r>
              <w:rPr>
                <w:rFonts w:ascii="Arial" w:cs="Arial" w:eastAsia="Arial" w:hAnsi="Arial"/>
                <w:sz w:val="13"/>
                <w:szCs w:val="13"/>
                <w:color w:val="auto"/>
              </w:rPr>
              <w:t>9-10</w:t>
            </w:r>
          </w:p>
        </w:tc>
        <w:tc>
          <w:tcPr>
            <w:tcW w:w="1440" w:type="dxa"/>
            <w:vAlign w:val="bottom"/>
            <w:gridSpan w:val="2"/>
          </w:tcPr>
          <w:p>
            <w:pPr>
              <w:ind w:left="200"/>
              <w:spacing w:after="0"/>
              <w:rPr>
                <w:sz w:val="20"/>
                <w:szCs w:val="20"/>
                <w:color w:val="auto"/>
              </w:rPr>
            </w:pPr>
            <w:r>
              <w:rPr>
                <w:rFonts w:ascii="Arial" w:cs="Arial" w:eastAsia="Arial" w:hAnsi="Arial"/>
                <w:sz w:val="13"/>
                <w:szCs w:val="13"/>
                <w:color w:val="auto"/>
              </w:rPr>
              <w:t>C</w:t>
            </w:r>
          </w:p>
        </w:tc>
        <w:tc>
          <w:tcPr>
            <w:tcW w:w="7840" w:type="dxa"/>
            <w:vAlign w:val="bottom"/>
            <w:gridSpan w:val="2"/>
          </w:tcPr>
          <w:p>
            <w:pPr>
              <w:ind w:left="200"/>
              <w:spacing w:after="0"/>
              <w:rPr>
                <w:sz w:val="20"/>
                <w:szCs w:val="20"/>
                <w:color w:val="auto"/>
              </w:rPr>
            </w:pPr>
            <w:r>
              <w:rPr>
                <w:rFonts w:ascii="Arial" w:cs="Arial" w:eastAsia="Arial" w:hAnsi="Arial"/>
                <w:sz w:val="13"/>
                <w:szCs w:val="13"/>
                <w:color w:val="auto"/>
                <w:w w:val="96"/>
              </w:rPr>
              <w:t>Exposure in customers with operating cash flow that does not cover their costs, are in suspension of payments, presumably will also have</w:t>
            </w:r>
          </w:p>
        </w:tc>
      </w:tr>
      <w:tr>
        <w:trPr>
          <w:trHeight w:val="162"/>
        </w:trPr>
        <w:tc>
          <w:tcPr>
            <w:tcW w:w="2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240" w:type="dxa"/>
            <w:vAlign w:val="bottom"/>
          </w:tcPr>
          <w:p>
            <w:pPr>
              <w:spacing w:after="0"/>
              <w:rPr>
                <w:sz w:val="14"/>
                <w:szCs w:val="14"/>
                <w:color w:val="auto"/>
              </w:rPr>
            </w:pPr>
          </w:p>
        </w:tc>
        <w:tc>
          <w:tcPr>
            <w:tcW w:w="7840" w:type="dxa"/>
            <w:vAlign w:val="bottom"/>
            <w:gridSpan w:val="2"/>
          </w:tcPr>
          <w:p>
            <w:pPr>
              <w:ind w:left="200"/>
              <w:spacing w:after="0"/>
              <w:rPr>
                <w:sz w:val="20"/>
                <w:szCs w:val="20"/>
                <w:color w:val="auto"/>
              </w:rPr>
            </w:pPr>
            <w:r>
              <w:rPr>
                <w:rFonts w:ascii="Arial" w:cs="Arial" w:eastAsia="Arial" w:hAnsi="Arial"/>
                <w:sz w:val="13"/>
                <w:szCs w:val="13"/>
                <w:color w:val="auto"/>
              </w:rPr>
              <w:t>difficulties fulfilling possible restructuring agreements, are in a state of insolvency, or have filed for bankruptcy, among others.</w:t>
            </w:r>
          </w:p>
        </w:tc>
      </w:tr>
    </w:tbl>
    <w:p>
      <w:pPr>
        <w:spacing w:after="0" w:line="67" w:lineRule="exact"/>
        <w:rPr>
          <w:sz w:val="20"/>
          <w:szCs w:val="20"/>
          <w:color w:val="auto"/>
        </w:rPr>
      </w:pPr>
    </w:p>
    <w:p>
      <w:pPr>
        <w:ind w:left="463" w:hanging="232"/>
        <w:spacing w:after="0"/>
        <w:tabs>
          <w:tab w:leader="none" w:pos="463" w:val="left"/>
        </w:tabs>
        <w:numPr>
          <w:ilvl w:val="0"/>
          <w:numId w:val="107"/>
        </w:numPr>
        <w:rPr>
          <w:rFonts w:ascii="Arial" w:cs="Arial" w:eastAsia="Arial" w:hAnsi="Arial"/>
          <w:sz w:val="21"/>
          <w:szCs w:val="21"/>
          <w:color w:val="auto"/>
          <w:vertAlign w:val="superscript"/>
        </w:rPr>
      </w:pPr>
      <w:r>
        <w:rPr>
          <w:rFonts w:ascii="Arial" w:cs="Arial" w:eastAsia="Arial" w:hAnsi="Arial"/>
          <w:sz w:val="13"/>
          <w:szCs w:val="13"/>
          <w:color w:val="auto"/>
        </w:rPr>
        <w:t>Credit rating by Moody’s Investors Service.</w:t>
      </w:r>
    </w:p>
    <w:p>
      <w:pPr>
        <w:spacing w:after="0" w:line="136" w:lineRule="exact"/>
        <w:rPr>
          <w:sz w:val="20"/>
          <w:szCs w:val="20"/>
          <w:color w:val="auto"/>
        </w:rPr>
      </w:pPr>
    </w:p>
    <w:p>
      <w:pPr>
        <w:ind w:left="223"/>
        <w:spacing w:after="0"/>
        <w:rPr>
          <w:sz w:val="20"/>
          <w:szCs w:val="20"/>
          <w:color w:val="auto"/>
        </w:rPr>
      </w:pPr>
      <w:r>
        <w:rPr>
          <w:rFonts w:ascii="Arial" w:cs="Arial" w:eastAsia="Arial" w:hAnsi="Arial"/>
          <w:sz w:val="13"/>
          <w:szCs w:val="13"/>
          <w:color w:val="auto"/>
        </w:rPr>
        <w:t>In order to maintain periodical monitoring of the quality of the portfolio, customers and countries are reviewed within a time frequency ranging from 3 to 12 months, depending on the risk rating.</w:t>
      </w:r>
    </w:p>
    <w:p>
      <w:pPr>
        <w:spacing w:after="0" w:line="159" w:lineRule="exact"/>
        <w:rPr>
          <w:sz w:val="20"/>
          <w:szCs w:val="20"/>
          <w:color w:val="auto"/>
        </w:rPr>
      </w:pPr>
    </w:p>
    <w:p>
      <w:pPr>
        <w:ind w:left="223" w:right="20"/>
        <w:spacing w:after="0" w:line="310" w:lineRule="auto"/>
        <w:rPr>
          <w:sz w:val="20"/>
          <w:szCs w:val="20"/>
          <w:color w:val="auto"/>
        </w:rPr>
      </w:pPr>
      <w:r>
        <w:rPr>
          <w:rFonts w:ascii="Arial" w:cs="Arial" w:eastAsia="Arial" w:hAnsi="Arial"/>
          <w:sz w:val="12"/>
          <w:szCs w:val="12"/>
          <w:color w:val="auto"/>
        </w:rPr>
        <w:t>The Bank measures expected credit losses in a way that reflects: a) an unbiased and probability-weighted amount that is determined by evaluating a range of possible outcomes; b) time value of money; and c) reasonable and supportable information that is available without undue cost or effort at the reporting date about past events, current conditions and forecast of future economic conditions.</w:t>
      </w:r>
    </w:p>
    <w:p>
      <w:pPr>
        <w:spacing w:after="0" w:line="106" w:lineRule="exact"/>
        <w:rPr>
          <w:sz w:val="20"/>
          <w:szCs w:val="20"/>
          <w:color w:val="auto"/>
        </w:rPr>
      </w:pPr>
    </w:p>
    <w:p>
      <w:pPr>
        <w:ind w:left="223" w:right="20"/>
        <w:spacing w:after="0" w:line="267" w:lineRule="auto"/>
        <w:rPr>
          <w:sz w:val="20"/>
          <w:szCs w:val="20"/>
          <w:color w:val="auto"/>
        </w:rPr>
      </w:pPr>
      <w:r>
        <w:rPr>
          <w:rFonts w:ascii="Arial" w:cs="Arial" w:eastAsia="Arial" w:hAnsi="Arial"/>
          <w:sz w:val="13"/>
          <w:szCs w:val="13"/>
          <w:color w:val="auto"/>
        </w:rPr>
        <w:t>The expected credit loss model reflects the general pattern of deterioration or improvement in the credit quality of the financial instrument. The amount of ECL recognized as a loss allowance or provision depends on the extent of credit deterioration since initial recognition. There are two measurement bases:</w:t>
      </w:r>
    </w:p>
    <w:p>
      <w:pPr>
        <w:spacing w:after="0" w:line="129" w:lineRule="exact"/>
        <w:rPr>
          <w:sz w:val="20"/>
          <w:szCs w:val="20"/>
          <w:color w:val="auto"/>
        </w:rPr>
      </w:pPr>
    </w:p>
    <w:p>
      <w:pPr>
        <w:ind w:left="703" w:hanging="241"/>
        <w:spacing w:after="0"/>
        <w:tabs>
          <w:tab w:leader="none" w:pos="703" w:val="left"/>
        </w:tabs>
        <w:numPr>
          <w:ilvl w:val="0"/>
          <w:numId w:val="108"/>
        </w:numPr>
        <w:rPr>
          <w:rFonts w:ascii="Arial" w:cs="Arial" w:eastAsia="Arial" w:hAnsi="Arial"/>
          <w:sz w:val="13"/>
          <w:szCs w:val="13"/>
          <w:color w:val="auto"/>
        </w:rPr>
      </w:pPr>
      <w:r>
        <w:rPr>
          <w:rFonts w:ascii="Arial" w:cs="Arial" w:eastAsia="Arial" w:hAnsi="Arial"/>
          <w:sz w:val="13"/>
          <w:szCs w:val="13"/>
          <w:color w:val="auto"/>
        </w:rPr>
        <w:t>12-month ECL (Stage 1), which applies to all financial instruments (from initial recognition) as long as there is no significant deterioration in credit quality, and</w:t>
      </w:r>
    </w:p>
    <w:p>
      <w:pPr>
        <w:spacing w:after="0" w:line="158" w:lineRule="exact"/>
        <w:rPr>
          <w:rFonts w:ascii="Arial" w:cs="Arial" w:eastAsia="Arial" w:hAnsi="Arial"/>
          <w:sz w:val="13"/>
          <w:szCs w:val="13"/>
          <w:color w:val="auto"/>
        </w:rPr>
      </w:pPr>
    </w:p>
    <w:p>
      <w:pPr>
        <w:jc w:val="both"/>
        <w:ind w:left="703" w:hanging="241"/>
        <w:spacing w:after="0" w:line="278" w:lineRule="auto"/>
        <w:tabs>
          <w:tab w:leader="none" w:pos="703" w:val="left"/>
        </w:tabs>
        <w:numPr>
          <w:ilvl w:val="0"/>
          <w:numId w:val="108"/>
        </w:numPr>
        <w:rPr>
          <w:rFonts w:ascii="Arial" w:cs="Arial" w:eastAsia="Arial" w:hAnsi="Arial"/>
          <w:sz w:val="12"/>
          <w:szCs w:val="12"/>
          <w:color w:val="auto"/>
        </w:rPr>
      </w:pPr>
      <w:r>
        <w:rPr>
          <w:rFonts w:ascii="Arial" w:cs="Arial" w:eastAsia="Arial" w:hAnsi="Arial"/>
          <w:sz w:val="12"/>
          <w:szCs w:val="12"/>
          <w:color w:val="auto"/>
        </w:rPr>
        <w:t>Lifetime ECL (Stages 2 and 3), which applies when a significant increase in credit risk has occurred on an individual or collective basis. In Stages 2 and 3 interest income is recognized. Under Stage 2 (as under Stage 1), there is a full decoupling between interest recognition and impairment and interest income is calculated on the gross carrying amount. Under Stage 3, when a financial asset subsequently becomes credit impaired (when a credit event has occurred), interest income is calculated on the amortized cost, net of impairment, i.e. the gross carrying amount after deducting the impairment allowance. In subsequent reporting years, if the credit quality of the financial asset improves so that the financial asset is no longer credit-impaired, and the improvement can be related objectively to the occurrence of an event (such as an improvement in the borrower’s credit rating), then the Bank will once again calculate interest income on a gross basis.</w:t>
      </w:r>
    </w:p>
    <w:p>
      <w:pPr>
        <w:spacing w:after="0" w:line="298"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9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148" w:name="page149"/>
    <w:bookmarkEnd w:id="148"/>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9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109"/>
        </w:numPr>
        <w:rPr>
          <w:rFonts w:ascii="Arial" w:cs="Arial" w:eastAsia="Arial" w:hAnsi="Arial"/>
          <w:sz w:val="13"/>
          <w:szCs w:val="13"/>
          <w:b w:val="1"/>
          <w:bCs w:val="1"/>
          <w:color w:val="auto"/>
        </w:rPr>
      </w:pPr>
      <w:r>
        <w:rPr>
          <w:rFonts w:ascii="Arial" w:cs="Arial" w:eastAsia="Arial" w:hAnsi="Arial"/>
          <w:sz w:val="13"/>
          <w:szCs w:val="13"/>
          <w:b w:val="1"/>
          <w:bCs w:val="1"/>
          <w:color w:val="auto"/>
        </w:rPr>
        <w:t>Summary of accounting policies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3.2</w:t>
      </w:r>
      <w:r>
        <w:rPr>
          <w:rFonts w:ascii="Arial" w:cs="Arial" w:eastAsia="Arial" w:hAnsi="Arial"/>
          <w:sz w:val="11"/>
          <w:szCs w:val="11"/>
          <w:b w:val="1"/>
          <w:bCs w:val="1"/>
          <w:color w:val="auto"/>
        </w:rPr>
        <w:t>Significant accounting policies (continued)</w:t>
      </w:r>
    </w:p>
    <w:p>
      <w:pPr>
        <w:spacing w:after="0" w:line="158" w:lineRule="exact"/>
        <w:rPr>
          <w:rFonts w:ascii="Arial" w:cs="Arial" w:eastAsia="Arial" w:hAnsi="Arial"/>
          <w:sz w:val="13"/>
          <w:szCs w:val="13"/>
          <w:b w:val="1"/>
          <w:bCs w:val="1"/>
          <w:color w:val="auto"/>
        </w:rPr>
      </w:pPr>
    </w:p>
    <w:p>
      <w:pPr>
        <w:ind w:left="70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3.2.5   Allowances for losses on financial instruments (continued)</w:t>
      </w:r>
    </w:p>
    <w:p>
      <w:pPr>
        <w:spacing w:after="0" w:line="162" w:lineRule="exact"/>
        <w:rPr>
          <w:rFonts w:ascii="Arial" w:cs="Arial" w:eastAsia="Arial" w:hAnsi="Arial"/>
          <w:sz w:val="13"/>
          <w:szCs w:val="13"/>
          <w:b w:val="1"/>
          <w:bCs w:val="1"/>
          <w:color w:val="auto"/>
        </w:rPr>
      </w:pPr>
    </w:p>
    <w:p>
      <w:pPr>
        <w:jc w:val="both"/>
        <w:ind w:left="223" w:right="20"/>
        <w:spacing w:after="0" w:line="252" w:lineRule="auto"/>
        <w:rPr>
          <w:rFonts w:ascii="Arial" w:cs="Arial" w:eastAsia="Arial" w:hAnsi="Arial"/>
          <w:sz w:val="13"/>
          <w:szCs w:val="13"/>
          <w:b w:val="1"/>
          <w:bCs w:val="1"/>
          <w:color w:val="auto"/>
        </w:rPr>
      </w:pPr>
      <w:r>
        <w:rPr>
          <w:rFonts w:ascii="Arial" w:cs="Arial" w:eastAsia="Arial" w:hAnsi="Arial"/>
          <w:sz w:val="13"/>
          <w:szCs w:val="13"/>
          <w:color w:val="auto"/>
        </w:rPr>
        <w:t>The allowance for expected credit losses includes an asset-specific component and a formula-based component. The asset-specific component, or specific allowance, relates to the provision for losses on credits considered impaired and measured individually case-by-case. A specific allowance is established when the discounted cash flows (or observable fair value of collateral) of the credit is lower than the carrying value of that credit. The formula-based component (collective assessment basis), covers the Bank’s performing credit portfolio and it is established based on a process that estimates the probable loss inherent in the portfolio, based on statistical analysis and management’s qualitative judgment. This assessment considers comprehensive information that incorporates not only past-due data, but other relevant credit information, such as forward looking macro-economic information.</w:t>
      </w:r>
    </w:p>
    <w:p>
      <w:pPr>
        <w:spacing w:after="0" w:line="139" w:lineRule="exact"/>
        <w:rPr>
          <w:rFonts w:ascii="Arial" w:cs="Arial" w:eastAsia="Arial" w:hAnsi="Arial"/>
          <w:sz w:val="13"/>
          <w:szCs w:val="13"/>
          <w:b w:val="1"/>
          <w:bCs w:val="1"/>
          <w:color w:val="auto"/>
        </w:rPr>
      </w:pPr>
    </w:p>
    <w:p>
      <w:pPr>
        <w:jc w:val="both"/>
        <w:ind w:left="223" w:right="20"/>
        <w:spacing w:after="0" w:line="252" w:lineRule="auto"/>
        <w:rPr>
          <w:rFonts w:ascii="Arial" w:cs="Arial" w:eastAsia="Arial" w:hAnsi="Arial"/>
          <w:sz w:val="13"/>
          <w:szCs w:val="13"/>
          <w:b w:val="1"/>
          <w:bCs w:val="1"/>
          <w:color w:val="auto"/>
        </w:rPr>
      </w:pPr>
      <w:r>
        <w:rPr>
          <w:rFonts w:ascii="Arial" w:cs="Arial" w:eastAsia="Arial" w:hAnsi="Arial"/>
          <w:sz w:val="13"/>
          <w:szCs w:val="13"/>
          <w:color w:val="auto"/>
        </w:rPr>
        <w:t>ECL are a probability-weighted estimate of the present value of credit losses. These are measured as the difference in the present value of the cash flows due to the Bank under the contract and the cash flows that the Bank expects to receive arising from weighing of multiple future economic scenarios, discounted at the asset’s effective interest rate (EIR). For undrawn loan commitments, the ECL is the difference between the present value of the contractual cash flows that are due to the Bank if the holder of the commitment draws down the loan and the cash flows that the Bank expects to receive if the loan is drawn down; and for financial guarantee contracts, the ECL is the difference between the expected payments to reimburse the holder of the guaranteed debt instrument less any amounts that the Bank expects to receive from the holder, the debtor or any other party.</w:t>
      </w:r>
    </w:p>
    <w:p>
      <w:pPr>
        <w:spacing w:after="0" w:line="139"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222222"/>
        </w:rPr>
        <w:t>The Bank determines ECL using two methodologies to determine if there is objective evidence of impairment for financial instruments:</w:t>
      </w:r>
    </w:p>
    <w:p>
      <w:pPr>
        <w:spacing w:after="0" w:line="158" w:lineRule="exact"/>
        <w:rPr>
          <w:rFonts w:ascii="Arial" w:cs="Arial" w:eastAsia="Arial" w:hAnsi="Arial"/>
          <w:sz w:val="13"/>
          <w:szCs w:val="13"/>
          <w:b w:val="1"/>
          <w:bCs w:val="1"/>
          <w:color w:val="auto"/>
        </w:rPr>
      </w:pPr>
    </w:p>
    <w:p>
      <w:pPr>
        <w:ind w:left="483" w:hanging="79"/>
        <w:spacing w:after="0"/>
        <w:tabs>
          <w:tab w:leader="none" w:pos="483" w:val="left"/>
        </w:tabs>
        <w:numPr>
          <w:ilvl w:val="1"/>
          <w:numId w:val="109"/>
        </w:numPr>
        <w:rPr>
          <w:rFonts w:ascii="Arial" w:cs="Arial" w:eastAsia="Arial" w:hAnsi="Arial"/>
          <w:sz w:val="13"/>
          <w:szCs w:val="13"/>
          <w:color w:val="222222"/>
        </w:rPr>
      </w:pPr>
      <w:r>
        <w:rPr>
          <w:rFonts w:ascii="Arial" w:cs="Arial" w:eastAsia="Arial" w:hAnsi="Arial"/>
          <w:sz w:val="13"/>
          <w:szCs w:val="13"/>
          <w:u w:val="single" w:color="auto"/>
          <w:color w:val="222222"/>
        </w:rPr>
        <w:t>Individually Assessed</w:t>
      </w:r>
    </w:p>
    <w:p>
      <w:pPr>
        <w:spacing w:after="0" w:line="158" w:lineRule="exact"/>
        <w:rPr>
          <w:rFonts w:ascii="Arial" w:cs="Arial" w:eastAsia="Arial" w:hAnsi="Arial"/>
          <w:sz w:val="13"/>
          <w:szCs w:val="13"/>
          <w:color w:val="222222"/>
        </w:rPr>
      </w:pPr>
    </w:p>
    <w:p>
      <w:pPr>
        <w:jc w:val="both"/>
        <w:ind w:left="463" w:right="20"/>
        <w:spacing w:after="0" w:line="257" w:lineRule="auto"/>
        <w:rPr>
          <w:rFonts w:ascii="Arial" w:cs="Arial" w:eastAsia="Arial" w:hAnsi="Arial"/>
          <w:sz w:val="13"/>
          <w:szCs w:val="13"/>
          <w:color w:val="222222"/>
        </w:rPr>
      </w:pPr>
      <w:r>
        <w:rPr>
          <w:rFonts w:ascii="Arial" w:cs="Arial" w:eastAsia="Arial" w:hAnsi="Arial"/>
          <w:sz w:val="13"/>
          <w:szCs w:val="13"/>
          <w:color w:val="222222"/>
        </w:rPr>
        <w:t>The expected credit losses on individually assessed financial instruments are determined by an evaluation of the exposures on a case-by-case basis. This procedure is applied to all credit transaction that are individually significant or not. If it is determined that there is no objective evidence of impairment for an individual credit transaction, it is included in a group of credit transactions with similar characteristics and is collectively assessed to determine whether there is impairment.</w:t>
      </w:r>
    </w:p>
    <w:p>
      <w:pPr>
        <w:spacing w:after="0" w:line="135" w:lineRule="exact"/>
        <w:rPr>
          <w:rFonts w:ascii="Arial" w:cs="Arial" w:eastAsia="Arial" w:hAnsi="Arial"/>
          <w:sz w:val="13"/>
          <w:szCs w:val="13"/>
          <w:color w:val="222222"/>
        </w:rPr>
      </w:pPr>
    </w:p>
    <w:p>
      <w:pPr>
        <w:ind w:left="463" w:right="20"/>
        <w:spacing w:after="0" w:line="310" w:lineRule="auto"/>
        <w:rPr>
          <w:rFonts w:ascii="Arial" w:cs="Arial" w:eastAsia="Arial" w:hAnsi="Arial"/>
          <w:sz w:val="13"/>
          <w:szCs w:val="13"/>
          <w:color w:val="222222"/>
        </w:rPr>
      </w:pPr>
      <w:r>
        <w:rPr>
          <w:rFonts w:ascii="Arial" w:cs="Arial" w:eastAsia="Arial" w:hAnsi="Arial"/>
          <w:sz w:val="12"/>
          <w:szCs w:val="12"/>
          <w:color w:val="222222"/>
        </w:rPr>
        <w:t>The impairment loss is calculated by comparing the present value of the future expected flows, discounted at the original effective rate of the credit transaction, with its current carrying amount and the amount of any loss is charged as a provision for losses in profit or loss for those measured at amortized cost, and in equity for those operations measured at fair value through other comprehensive income.</w:t>
      </w:r>
    </w:p>
    <w:p>
      <w:pPr>
        <w:spacing w:after="0" w:line="105" w:lineRule="exact"/>
        <w:rPr>
          <w:rFonts w:ascii="Arial" w:cs="Arial" w:eastAsia="Arial" w:hAnsi="Arial"/>
          <w:sz w:val="13"/>
          <w:szCs w:val="13"/>
          <w:color w:val="222222"/>
        </w:rPr>
      </w:pPr>
    </w:p>
    <w:p>
      <w:pPr>
        <w:ind w:left="483" w:hanging="79"/>
        <w:spacing w:after="0"/>
        <w:tabs>
          <w:tab w:leader="none" w:pos="483" w:val="left"/>
        </w:tabs>
        <w:numPr>
          <w:ilvl w:val="1"/>
          <w:numId w:val="109"/>
        </w:numPr>
        <w:rPr>
          <w:rFonts w:ascii="Arial" w:cs="Arial" w:eastAsia="Arial" w:hAnsi="Arial"/>
          <w:sz w:val="13"/>
          <w:szCs w:val="13"/>
          <w:color w:val="222222"/>
        </w:rPr>
      </w:pPr>
      <w:r>
        <w:rPr>
          <w:rFonts w:ascii="Arial" w:cs="Arial" w:eastAsia="Arial" w:hAnsi="Arial"/>
          <w:sz w:val="13"/>
          <w:szCs w:val="13"/>
          <w:u w:val="single" w:color="auto"/>
          <w:color w:val="222222"/>
        </w:rPr>
        <w:t>Collectively Assessed</w:t>
      </w:r>
    </w:p>
    <w:p>
      <w:pPr>
        <w:spacing w:after="0" w:line="158" w:lineRule="exact"/>
        <w:rPr>
          <w:rFonts w:ascii="Arial" w:cs="Arial" w:eastAsia="Arial" w:hAnsi="Arial"/>
          <w:sz w:val="13"/>
          <w:szCs w:val="13"/>
          <w:color w:val="222222"/>
        </w:rPr>
      </w:pPr>
    </w:p>
    <w:p>
      <w:pPr>
        <w:ind w:left="463"/>
        <w:spacing w:after="0" w:line="267" w:lineRule="auto"/>
        <w:rPr>
          <w:rFonts w:ascii="Arial" w:cs="Arial" w:eastAsia="Arial" w:hAnsi="Arial"/>
          <w:sz w:val="13"/>
          <w:szCs w:val="13"/>
          <w:color w:val="222222"/>
        </w:rPr>
      </w:pPr>
      <w:r>
        <w:rPr>
          <w:rFonts w:ascii="Arial" w:cs="Arial" w:eastAsia="Arial" w:hAnsi="Arial"/>
          <w:sz w:val="13"/>
          <w:szCs w:val="13"/>
          <w:color w:val="222222"/>
        </w:rPr>
        <w:t>For the purposes of a collective assessment of impairment, financial instruments are grouped according to similar credit risk characteristics. These characteristics are relevant to estimate cash flows for the groups of such assets, being indicative of the debtors' ability to pay the amounts owed according to the contractual terms of the assets that are assessed.</w:t>
      </w:r>
    </w:p>
    <w:p>
      <w:pPr>
        <w:spacing w:after="0" w:line="129" w:lineRule="exact"/>
        <w:rPr>
          <w:rFonts w:ascii="Arial" w:cs="Arial" w:eastAsia="Arial" w:hAnsi="Arial"/>
          <w:sz w:val="13"/>
          <w:szCs w:val="13"/>
          <w:color w:val="222222"/>
        </w:rPr>
      </w:pPr>
    </w:p>
    <w:p>
      <w:pPr>
        <w:jc w:val="both"/>
        <w:ind w:left="463" w:right="20"/>
        <w:spacing w:after="0" w:line="257" w:lineRule="auto"/>
        <w:rPr>
          <w:rFonts w:ascii="Arial" w:cs="Arial" w:eastAsia="Arial" w:hAnsi="Arial"/>
          <w:sz w:val="13"/>
          <w:szCs w:val="13"/>
          <w:color w:val="222222"/>
        </w:rPr>
      </w:pPr>
      <w:r>
        <w:rPr>
          <w:rFonts w:ascii="Arial" w:cs="Arial" w:eastAsia="Arial" w:hAnsi="Arial"/>
          <w:sz w:val="13"/>
          <w:szCs w:val="13"/>
          <w:color w:val="222222"/>
        </w:rPr>
        <w:t>Future cash flows in a group of credit transactions that are collectively assessed to determine whether there is impairment are estimated according to the contractual cash flows of the assets in the group, the historical loss experience for assets with similar credit risk characteristics, within each group, and the experienced management views on whether the current economy and credit conditions can change the real level of historical inherent losses suggested.</w:t>
      </w:r>
    </w:p>
    <w:p>
      <w:pPr>
        <w:spacing w:after="0" w:line="290"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F-24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9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149" w:name="page150"/>
    <w:bookmarkEnd w:id="149"/>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9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110"/>
        </w:numPr>
        <w:rPr>
          <w:rFonts w:ascii="Arial" w:cs="Arial" w:eastAsia="Arial" w:hAnsi="Arial"/>
          <w:sz w:val="13"/>
          <w:szCs w:val="13"/>
          <w:b w:val="1"/>
          <w:bCs w:val="1"/>
          <w:color w:val="auto"/>
        </w:rPr>
      </w:pPr>
      <w:r>
        <w:rPr>
          <w:rFonts w:ascii="Arial" w:cs="Arial" w:eastAsia="Arial" w:hAnsi="Arial"/>
          <w:sz w:val="13"/>
          <w:szCs w:val="13"/>
          <w:b w:val="1"/>
          <w:bCs w:val="1"/>
          <w:color w:val="auto"/>
        </w:rPr>
        <w:t>Summary of accounting policies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3.2</w:t>
      </w:r>
      <w:r>
        <w:rPr>
          <w:rFonts w:ascii="Arial" w:cs="Arial" w:eastAsia="Arial" w:hAnsi="Arial"/>
          <w:sz w:val="11"/>
          <w:szCs w:val="11"/>
          <w:b w:val="1"/>
          <w:bCs w:val="1"/>
          <w:color w:val="auto"/>
        </w:rPr>
        <w:t>Significant accounting policies (continued)</w:t>
      </w:r>
    </w:p>
    <w:p>
      <w:pPr>
        <w:spacing w:after="0" w:line="158" w:lineRule="exact"/>
        <w:rPr>
          <w:rFonts w:ascii="Arial" w:cs="Arial" w:eastAsia="Arial" w:hAnsi="Arial"/>
          <w:sz w:val="13"/>
          <w:szCs w:val="13"/>
          <w:b w:val="1"/>
          <w:bCs w:val="1"/>
          <w:color w:val="auto"/>
        </w:rPr>
      </w:pPr>
    </w:p>
    <w:p>
      <w:pPr>
        <w:ind w:left="223" w:right="7140" w:firstLine="462"/>
        <w:spacing w:after="0" w:line="497" w:lineRule="auto"/>
        <w:rPr>
          <w:rFonts w:ascii="Arial" w:cs="Arial" w:eastAsia="Arial" w:hAnsi="Arial"/>
          <w:sz w:val="13"/>
          <w:szCs w:val="13"/>
          <w:b w:val="1"/>
          <w:bCs w:val="1"/>
          <w:color w:val="auto"/>
        </w:rPr>
      </w:pPr>
      <w:r>
        <w:rPr>
          <w:rFonts w:ascii="Arial" w:cs="Arial" w:eastAsia="Arial" w:hAnsi="Arial"/>
          <w:sz w:val="13"/>
          <w:szCs w:val="13"/>
          <w:b w:val="1"/>
          <w:bCs w:val="1"/>
          <w:color w:val="auto"/>
        </w:rPr>
        <w:t xml:space="preserve">3.2.5 Allowances for losses on financial instruments (continued) </w:t>
      </w:r>
      <w:r>
        <w:rPr>
          <w:rFonts w:ascii="Arial" w:cs="Arial" w:eastAsia="Arial" w:hAnsi="Arial"/>
          <w:sz w:val="13"/>
          <w:szCs w:val="13"/>
          <w:b w:val="1"/>
          <w:bCs w:val="1"/>
          <w:u w:val="single" w:color="auto"/>
          <w:color w:val="auto"/>
        </w:rPr>
        <w:t>Definition of Default</w:t>
      </w: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Bank considers a financial asset to be in default when it presents any of the following characteristics:</w:t>
      </w:r>
    </w:p>
    <w:p>
      <w:pPr>
        <w:spacing w:after="0" w:line="158" w:lineRule="exact"/>
        <w:rPr>
          <w:rFonts w:ascii="Arial" w:cs="Arial" w:eastAsia="Arial" w:hAnsi="Arial"/>
          <w:sz w:val="13"/>
          <w:szCs w:val="13"/>
          <w:b w:val="1"/>
          <w:bCs w:val="1"/>
          <w:color w:val="auto"/>
        </w:rPr>
      </w:pPr>
    </w:p>
    <w:p>
      <w:pPr>
        <w:ind w:left="703" w:right="20" w:hanging="241"/>
        <w:spacing w:after="0" w:line="253" w:lineRule="auto"/>
        <w:tabs>
          <w:tab w:leader="none" w:pos="703" w:val="left"/>
        </w:tabs>
        <w:numPr>
          <w:ilvl w:val="1"/>
          <w:numId w:val="110"/>
        </w:numPr>
        <w:rPr>
          <w:rFonts w:ascii="Arial" w:cs="Arial" w:eastAsia="Arial" w:hAnsi="Arial"/>
          <w:sz w:val="13"/>
          <w:szCs w:val="13"/>
          <w:color w:val="auto"/>
        </w:rPr>
      </w:pPr>
      <w:r>
        <w:rPr>
          <w:rFonts w:ascii="Arial" w:cs="Arial" w:eastAsia="Arial" w:hAnsi="Arial"/>
          <w:sz w:val="13"/>
          <w:szCs w:val="13"/>
          <w:color w:val="auto"/>
        </w:rPr>
        <w:t>The debtor is past due for more than 90 days in any of its obligations to the Bank, either in the loan principal or interest; or when the principal balance with one single balloon payment was due for more than 30 days;</w:t>
      </w:r>
    </w:p>
    <w:p>
      <w:pPr>
        <w:spacing w:after="0" w:line="1" w:lineRule="exact"/>
        <w:rPr>
          <w:rFonts w:ascii="Arial" w:cs="Arial" w:eastAsia="Arial" w:hAnsi="Arial"/>
          <w:sz w:val="13"/>
          <w:szCs w:val="13"/>
          <w:color w:val="auto"/>
        </w:rPr>
      </w:pPr>
    </w:p>
    <w:p>
      <w:pPr>
        <w:ind w:left="703" w:right="20" w:hanging="241"/>
        <w:spacing w:after="0" w:line="254" w:lineRule="auto"/>
        <w:tabs>
          <w:tab w:leader="none" w:pos="703" w:val="left"/>
        </w:tabs>
        <w:numPr>
          <w:ilvl w:val="1"/>
          <w:numId w:val="110"/>
        </w:numPr>
        <w:rPr>
          <w:rFonts w:ascii="Arial" w:cs="Arial" w:eastAsia="Arial" w:hAnsi="Arial"/>
          <w:sz w:val="13"/>
          <w:szCs w:val="13"/>
          <w:color w:val="auto"/>
        </w:rPr>
      </w:pPr>
      <w:r>
        <w:rPr>
          <w:rFonts w:ascii="Arial" w:cs="Arial" w:eastAsia="Arial" w:hAnsi="Arial"/>
          <w:sz w:val="13"/>
          <w:szCs w:val="13"/>
          <w:color w:val="auto"/>
        </w:rPr>
        <w:t>Deterioration in the financial condition of the customer, or the existence of other factors allowing to estimate the possibility that the balance of principal and interest on customers’ loans will not be fully recovered.</w:t>
      </w:r>
    </w:p>
    <w:p>
      <w:pPr>
        <w:spacing w:after="0" w:line="137" w:lineRule="exact"/>
        <w:rPr>
          <w:sz w:val="20"/>
          <w:szCs w:val="20"/>
          <w:color w:val="auto"/>
        </w:rPr>
      </w:pPr>
    </w:p>
    <w:p>
      <w:pPr>
        <w:ind w:left="223" w:right="20"/>
        <w:spacing w:after="0" w:line="267" w:lineRule="auto"/>
        <w:rPr>
          <w:sz w:val="20"/>
          <w:szCs w:val="20"/>
          <w:color w:val="auto"/>
        </w:rPr>
      </w:pPr>
      <w:r>
        <w:rPr>
          <w:rFonts w:ascii="Arial" w:cs="Arial" w:eastAsia="Arial" w:hAnsi="Arial"/>
          <w:sz w:val="13"/>
          <w:szCs w:val="13"/>
          <w:color w:val="auto"/>
        </w:rPr>
        <w:t>The above presumptions regarding past due loans may be rebuttable if the Bank has reasonable and supportable information that is available without undue cost or effort, that demonstrate that the credit risk has not increased significantly since initial recognition even though the contractual payments are more than 30 or 90 days past due.</w:t>
      </w:r>
    </w:p>
    <w:p>
      <w:pPr>
        <w:spacing w:after="0" w:line="129" w:lineRule="exact"/>
        <w:rPr>
          <w:sz w:val="20"/>
          <w:szCs w:val="20"/>
          <w:color w:val="auto"/>
        </w:rPr>
      </w:pPr>
    </w:p>
    <w:p>
      <w:pPr>
        <w:ind w:left="223" w:right="20"/>
        <w:spacing w:after="0" w:line="267" w:lineRule="auto"/>
        <w:rPr>
          <w:sz w:val="20"/>
          <w:szCs w:val="20"/>
          <w:color w:val="auto"/>
        </w:rPr>
      </w:pPr>
      <w:r>
        <w:rPr>
          <w:rFonts w:ascii="Arial" w:cs="Arial" w:eastAsia="Arial" w:hAnsi="Arial"/>
          <w:sz w:val="13"/>
          <w:szCs w:val="13"/>
          <w:color w:val="auto"/>
        </w:rPr>
        <w:t>In assessing whether a borrower is in default, the Bank considers qualitative and quantitative indicators based on data internally developed and obtained from external sources. Inputs into the assessment of whether a financial instrument is in default and their significance may vary over time to reflect changes in circumstances.</w:t>
      </w:r>
    </w:p>
    <w:p>
      <w:pPr>
        <w:spacing w:after="0" w:line="125" w:lineRule="exact"/>
        <w:rPr>
          <w:sz w:val="20"/>
          <w:szCs w:val="20"/>
          <w:color w:val="auto"/>
        </w:rPr>
      </w:pPr>
    </w:p>
    <w:p>
      <w:pPr>
        <w:ind w:left="223"/>
        <w:spacing w:after="0"/>
        <w:rPr>
          <w:sz w:val="20"/>
          <w:szCs w:val="20"/>
          <w:color w:val="auto"/>
        </w:rPr>
      </w:pPr>
      <w:r>
        <w:rPr>
          <w:rFonts w:ascii="Arial" w:cs="Arial" w:eastAsia="Arial" w:hAnsi="Arial"/>
          <w:sz w:val="13"/>
          <w:szCs w:val="13"/>
          <w:b w:val="1"/>
          <w:bCs w:val="1"/>
          <w:u w:val="single" w:color="auto"/>
          <w:color w:val="auto"/>
        </w:rPr>
        <w:t>Significant increase in credit risk</w:t>
      </w:r>
    </w:p>
    <w:p>
      <w:pPr>
        <w:spacing w:after="0" w:line="163" w:lineRule="exact"/>
        <w:rPr>
          <w:sz w:val="20"/>
          <w:szCs w:val="20"/>
          <w:color w:val="auto"/>
        </w:rPr>
      </w:pPr>
    </w:p>
    <w:p>
      <w:pPr>
        <w:ind w:left="223" w:right="20"/>
        <w:spacing w:after="0" w:line="267" w:lineRule="auto"/>
        <w:rPr>
          <w:sz w:val="20"/>
          <w:szCs w:val="20"/>
          <w:color w:val="auto"/>
        </w:rPr>
      </w:pPr>
      <w:r>
        <w:rPr>
          <w:rFonts w:ascii="Arial" w:cs="Arial" w:eastAsia="Arial" w:hAnsi="Arial"/>
          <w:sz w:val="13"/>
          <w:szCs w:val="13"/>
          <w:color w:val="auto"/>
        </w:rPr>
        <w:t>When assessing whether the credit risk on a financial instrument has increased significantly, the Bank considers the change in the risk of default occurring since initial recognition. For a financial instrument to be considered in default, management considers criteria used in the internal credit risk model and qualitative factors, such as financial covenants, where appropriate.</w:t>
      </w:r>
    </w:p>
    <w:p>
      <w:pPr>
        <w:spacing w:after="0" w:line="129" w:lineRule="exact"/>
        <w:rPr>
          <w:sz w:val="20"/>
          <w:szCs w:val="20"/>
          <w:color w:val="auto"/>
        </w:rPr>
      </w:pPr>
    </w:p>
    <w:p>
      <w:pPr>
        <w:ind w:left="223" w:right="20"/>
        <w:spacing w:after="0" w:line="267" w:lineRule="auto"/>
        <w:rPr>
          <w:sz w:val="20"/>
          <w:szCs w:val="20"/>
          <w:color w:val="auto"/>
        </w:rPr>
      </w:pPr>
      <w:r>
        <w:rPr>
          <w:rFonts w:ascii="Arial" w:cs="Arial" w:eastAsia="Arial" w:hAnsi="Arial"/>
          <w:sz w:val="13"/>
          <w:szCs w:val="13"/>
          <w:color w:val="auto"/>
        </w:rPr>
        <w:t>The Bank continuously assesses significant increases in credit risk based on the change in the risk of a default occurring over the expected life of the credit instrument. In order to make the assessment of whether there has been significant credit deterioration, the Bank considers reasonable and supportable information that is available without undue cost or effort by comparing:</w:t>
      </w:r>
    </w:p>
    <w:p>
      <w:pPr>
        <w:spacing w:after="0" w:line="129" w:lineRule="exact"/>
        <w:rPr>
          <w:sz w:val="20"/>
          <w:szCs w:val="20"/>
          <w:color w:val="auto"/>
        </w:rPr>
      </w:pPr>
    </w:p>
    <w:p>
      <w:pPr>
        <w:ind w:left="703" w:hanging="241"/>
        <w:spacing w:after="0"/>
        <w:tabs>
          <w:tab w:leader="none" w:pos="703" w:val="left"/>
        </w:tabs>
        <w:numPr>
          <w:ilvl w:val="0"/>
          <w:numId w:val="111"/>
        </w:numPr>
        <w:rPr>
          <w:rFonts w:ascii="Arial" w:cs="Arial" w:eastAsia="Arial" w:hAnsi="Arial"/>
          <w:sz w:val="13"/>
          <w:szCs w:val="13"/>
          <w:color w:val="auto"/>
        </w:rPr>
      </w:pPr>
      <w:r>
        <w:rPr>
          <w:rFonts w:ascii="Arial" w:cs="Arial" w:eastAsia="Arial" w:hAnsi="Arial"/>
          <w:sz w:val="13"/>
          <w:szCs w:val="13"/>
          <w:color w:val="auto"/>
        </w:rPr>
        <w:t>The risk of a default occurring on the financial instrument at the assessment date, and</w:t>
      </w:r>
    </w:p>
    <w:p>
      <w:pPr>
        <w:spacing w:after="0" w:line="12" w:lineRule="exact"/>
        <w:rPr>
          <w:rFonts w:ascii="Arial" w:cs="Arial" w:eastAsia="Arial" w:hAnsi="Arial"/>
          <w:sz w:val="13"/>
          <w:szCs w:val="13"/>
          <w:color w:val="auto"/>
        </w:rPr>
      </w:pPr>
    </w:p>
    <w:p>
      <w:pPr>
        <w:ind w:left="703" w:hanging="241"/>
        <w:spacing w:after="0"/>
        <w:tabs>
          <w:tab w:leader="none" w:pos="703" w:val="left"/>
        </w:tabs>
        <w:numPr>
          <w:ilvl w:val="0"/>
          <w:numId w:val="111"/>
        </w:numPr>
        <w:rPr>
          <w:rFonts w:ascii="Arial" w:cs="Arial" w:eastAsia="Arial" w:hAnsi="Arial"/>
          <w:sz w:val="13"/>
          <w:szCs w:val="13"/>
          <w:color w:val="auto"/>
        </w:rPr>
      </w:pPr>
      <w:r>
        <w:rPr>
          <w:rFonts w:ascii="Arial" w:cs="Arial" w:eastAsia="Arial" w:hAnsi="Arial"/>
          <w:sz w:val="13"/>
          <w:szCs w:val="13"/>
          <w:color w:val="auto"/>
        </w:rPr>
        <w:t>The risk of a default occurring on the financial instrument at initial recognition.</w:t>
      </w:r>
    </w:p>
    <w:p>
      <w:pPr>
        <w:spacing w:after="0" w:line="150" w:lineRule="exact"/>
        <w:rPr>
          <w:sz w:val="20"/>
          <w:szCs w:val="20"/>
          <w:color w:val="auto"/>
        </w:rPr>
      </w:pPr>
    </w:p>
    <w:p>
      <w:pPr>
        <w:jc w:val="both"/>
        <w:ind w:left="223"/>
        <w:spacing w:after="0" w:line="267" w:lineRule="auto"/>
        <w:rPr>
          <w:sz w:val="20"/>
          <w:szCs w:val="20"/>
          <w:color w:val="auto"/>
        </w:rPr>
      </w:pPr>
      <w:r>
        <w:rPr>
          <w:rFonts w:ascii="Arial" w:cs="Arial" w:eastAsia="Arial" w:hAnsi="Arial"/>
          <w:sz w:val="13"/>
          <w:szCs w:val="13"/>
          <w:color w:val="auto"/>
        </w:rPr>
        <w:t>For loan commitments, the Bank considers changes in the risk of a default occurring on the ‘potential’ financial instrument to which a loan commitment relates, and for financial guarantee contracts, changes in the risk that the specified debtor will default, are taken into consideration.</w:t>
      </w:r>
    </w:p>
    <w:p>
      <w:pPr>
        <w:spacing w:after="0" w:line="129" w:lineRule="exact"/>
        <w:rPr>
          <w:sz w:val="20"/>
          <w:szCs w:val="20"/>
          <w:color w:val="auto"/>
        </w:rPr>
      </w:pPr>
    </w:p>
    <w:p>
      <w:pPr>
        <w:jc w:val="both"/>
        <w:ind w:left="223"/>
        <w:spacing w:after="0" w:line="257" w:lineRule="auto"/>
        <w:rPr>
          <w:sz w:val="20"/>
          <w:szCs w:val="20"/>
          <w:color w:val="auto"/>
        </w:rPr>
      </w:pPr>
      <w:r>
        <w:rPr>
          <w:rFonts w:ascii="Arial" w:cs="Arial" w:eastAsia="Arial" w:hAnsi="Arial"/>
          <w:sz w:val="13"/>
          <w:szCs w:val="13"/>
          <w:color w:val="auto"/>
        </w:rPr>
        <w:t>For financial instruments measured at fair value through OCI, the expected credit losses do not reduce the carrying amount in the consolidated statement of financial position, which remains at fair value. Instead, an amount equal to the allowance that would arise if the asset was measured at amortized cost is recognized in profit or loss as the impairment amount. Impairment losses or recoveries are accounted for as an adjustment to the reserve in accumulated other comprehensive income, against profit or loss.</w:t>
      </w:r>
    </w:p>
    <w:p>
      <w:pPr>
        <w:spacing w:after="0" w:line="136" w:lineRule="exact"/>
        <w:rPr>
          <w:sz w:val="20"/>
          <w:szCs w:val="20"/>
          <w:color w:val="auto"/>
        </w:rPr>
      </w:pPr>
    </w:p>
    <w:p>
      <w:pPr>
        <w:jc w:val="both"/>
        <w:ind w:left="223" w:right="20"/>
        <w:spacing w:after="0" w:line="257" w:lineRule="auto"/>
        <w:rPr>
          <w:sz w:val="20"/>
          <w:szCs w:val="20"/>
          <w:color w:val="auto"/>
        </w:rPr>
      </w:pPr>
      <w:r>
        <w:rPr>
          <w:rFonts w:ascii="Arial" w:cs="Arial" w:eastAsia="Arial" w:hAnsi="Arial"/>
          <w:sz w:val="13"/>
          <w:szCs w:val="13"/>
          <w:color w:val="222222"/>
        </w:rPr>
        <w:t>Additionally, to determine if there has been a significant increase in risk, the Bank applies an alert model that considers the international economic environment, the specific financial situation by country and the economic analysis of the industry where the customer generates its income. The model defines a consolidated calculation of risk severity depending on the weighing of the severity to risk of each one of the scenarios under analysis. Also, this depends on the context of the variables or the ratings constructed for each one (by market, country and economic sector).</w:t>
      </w:r>
    </w:p>
    <w:p>
      <w:pPr>
        <w:spacing w:after="0" w:line="136" w:lineRule="exact"/>
        <w:rPr>
          <w:sz w:val="20"/>
          <w:szCs w:val="20"/>
          <w:color w:val="auto"/>
        </w:rPr>
      </w:pPr>
    </w:p>
    <w:p>
      <w:pPr>
        <w:jc w:val="both"/>
        <w:ind w:left="223" w:right="20"/>
        <w:spacing w:after="0" w:line="289" w:lineRule="auto"/>
        <w:rPr>
          <w:sz w:val="20"/>
          <w:szCs w:val="20"/>
          <w:color w:val="auto"/>
        </w:rPr>
      </w:pPr>
      <w:r>
        <w:rPr>
          <w:rFonts w:ascii="Arial" w:cs="Arial" w:eastAsia="Arial" w:hAnsi="Arial"/>
          <w:sz w:val="12"/>
          <w:szCs w:val="12"/>
          <w:color w:val="auto"/>
        </w:rPr>
        <w:t xml:space="preserve">Impairment on a financial asset is assessed based on numerous factors and its relative importance varies on a case-by-case basis. Factors considered in determining whether there has been a negative impact on the estimated future cash flows of a financial asset </w:t>
      </w:r>
      <w:r>
        <w:rPr>
          <w:rFonts w:ascii="Arial" w:cs="Arial" w:eastAsia="Arial" w:hAnsi="Arial"/>
          <w:sz w:val="12"/>
          <w:szCs w:val="12"/>
          <w:color w:val="222222"/>
        </w:rPr>
        <w:t>include</w:t>
      </w:r>
      <w:r>
        <w:rPr>
          <w:rFonts w:ascii="Arial" w:cs="Arial" w:eastAsia="Arial" w:hAnsi="Arial"/>
          <w:sz w:val="12"/>
          <w:szCs w:val="12"/>
          <w:color w:val="auto"/>
        </w:rPr>
        <w:t>: significant financial difficulties of the issuer; high probability of default; granting a concession to the issuer; disappearance of an active market due to financial difficulties; breach of contract, such as defaults or delays in interest or principal; and, observable data indicating that there is a measurable decrease in estimated future cash flows since initial recognition.</w:t>
      </w:r>
    </w:p>
    <w:p>
      <w:pPr>
        <w:spacing w:after="0" w:line="272"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9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150" w:name="page151"/>
    <w:bookmarkEnd w:id="150"/>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9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112"/>
        </w:numPr>
        <w:rPr>
          <w:rFonts w:ascii="Arial" w:cs="Arial" w:eastAsia="Arial" w:hAnsi="Arial"/>
          <w:sz w:val="13"/>
          <w:szCs w:val="13"/>
          <w:b w:val="1"/>
          <w:bCs w:val="1"/>
          <w:color w:val="auto"/>
        </w:rPr>
      </w:pPr>
      <w:r>
        <w:rPr>
          <w:rFonts w:ascii="Arial" w:cs="Arial" w:eastAsia="Arial" w:hAnsi="Arial"/>
          <w:sz w:val="13"/>
          <w:szCs w:val="13"/>
          <w:b w:val="1"/>
          <w:bCs w:val="1"/>
          <w:color w:val="auto"/>
        </w:rPr>
        <w:t>Summary of accounting policies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3.2</w:t>
      </w:r>
      <w:r>
        <w:rPr>
          <w:rFonts w:ascii="Arial" w:cs="Arial" w:eastAsia="Arial" w:hAnsi="Arial"/>
          <w:sz w:val="11"/>
          <w:szCs w:val="11"/>
          <w:b w:val="1"/>
          <w:bCs w:val="1"/>
          <w:color w:val="auto"/>
        </w:rPr>
        <w:t>Significant accounting policies (continued)</w:t>
      </w:r>
    </w:p>
    <w:p>
      <w:pPr>
        <w:spacing w:after="0" w:line="158" w:lineRule="exact"/>
        <w:rPr>
          <w:rFonts w:ascii="Arial" w:cs="Arial" w:eastAsia="Arial" w:hAnsi="Arial"/>
          <w:sz w:val="13"/>
          <w:szCs w:val="13"/>
          <w:b w:val="1"/>
          <w:bCs w:val="1"/>
          <w:color w:val="auto"/>
        </w:rPr>
      </w:pPr>
    </w:p>
    <w:p>
      <w:pPr>
        <w:ind w:left="223" w:right="7140" w:firstLine="462"/>
        <w:spacing w:after="0" w:line="497" w:lineRule="auto"/>
        <w:rPr>
          <w:rFonts w:ascii="Arial" w:cs="Arial" w:eastAsia="Arial" w:hAnsi="Arial"/>
          <w:sz w:val="13"/>
          <w:szCs w:val="13"/>
          <w:b w:val="1"/>
          <w:bCs w:val="1"/>
          <w:color w:val="auto"/>
        </w:rPr>
      </w:pPr>
      <w:r>
        <w:rPr>
          <w:rFonts w:ascii="Arial" w:cs="Arial" w:eastAsia="Arial" w:hAnsi="Arial"/>
          <w:sz w:val="13"/>
          <w:szCs w:val="13"/>
          <w:b w:val="1"/>
          <w:bCs w:val="1"/>
          <w:color w:val="auto"/>
        </w:rPr>
        <w:t xml:space="preserve">3.2.5 Allowances for losses on financial instruments (continued) </w:t>
      </w:r>
      <w:r>
        <w:rPr>
          <w:rFonts w:ascii="Arial" w:cs="Arial" w:eastAsia="Arial" w:hAnsi="Arial"/>
          <w:sz w:val="13"/>
          <w:szCs w:val="13"/>
          <w:b w:val="1"/>
          <w:bCs w:val="1"/>
          <w:u w:val="single" w:color="auto"/>
          <w:color w:val="auto"/>
        </w:rPr>
        <w:t>Significant increase in credit risk</w:t>
      </w:r>
      <w:r>
        <w:rPr>
          <w:rFonts w:ascii="Arial" w:cs="Arial" w:eastAsia="Arial" w:hAnsi="Arial"/>
          <w:sz w:val="13"/>
          <w:szCs w:val="13"/>
          <w:b w:val="1"/>
          <w:bCs w:val="1"/>
          <w:color w:val="auto"/>
        </w:rPr>
        <w:t xml:space="preserve"> (continued)</w:t>
      </w:r>
    </w:p>
    <w:p>
      <w:pPr>
        <w:jc w:val="both"/>
        <w:ind w:left="223"/>
        <w:spacing w:after="0" w:line="254" w:lineRule="auto"/>
        <w:rPr>
          <w:rFonts w:ascii="Arial" w:cs="Arial" w:eastAsia="Arial" w:hAnsi="Arial"/>
          <w:sz w:val="13"/>
          <w:szCs w:val="13"/>
          <w:b w:val="1"/>
          <w:bCs w:val="1"/>
          <w:color w:val="auto"/>
        </w:rPr>
      </w:pPr>
      <w:r>
        <w:rPr>
          <w:rFonts w:ascii="Arial" w:cs="Arial" w:eastAsia="Arial" w:hAnsi="Arial"/>
          <w:sz w:val="13"/>
          <w:szCs w:val="13"/>
          <w:color w:val="auto"/>
        </w:rPr>
        <w:t>If a security is no longer publicly traded or the entity´s credit rating is downgraded, this is not, by itself, evidence of impairment, but should be considered for impairment together with other information. A decline in the fair value of an investment security below its amortized cost is not necessarily evidence of impairment, as it may be due to an increase in market interest rates. Whether a decline in fair value below cost is considered significant or prolonged, must be assessed on an instrument-by-instrument basis and should be based on both qualitative and quantitative factors. However, the assessment of prolonged decline should not be compared to the entire period that the investment has been or is expected to be held.</w:t>
      </w:r>
    </w:p>
    <w:p>
      <w:pPr>
        <w:spacing w:after="0" w:line="137" w:lineRule="exact"/>
        <w:rPr>
          <w:rFonts w:ascii="Arial" w:cs="Arial" w:eastAsia="Arial" w:hAnsi="Arial"/>
          <w:sz w:val="13"/>
          <w:szCs w:val="13"/>
          <w:b w:val="1"/>
          <w:bCs w:val="1"/>
          <w:color w:val="auto"/>
        </w:rPr>
      </w:pPr>
    </w:p>
    <w:p>
      <w:pPr>
        <w:ind w:left="223" w:right="1420"/>
        <w:spacing w:after="0" w:line="494" w:lineRule="auto"/>
        <w:rPr>
          <w:rFonts w:ascii="Arial" w:cs="Arial" w:eastAsia="Arial" w:hAnsi="Arial"/>
          <w:sz w:val="13"/>
          <w:szCs w:val="13"/>
          <w:b w:val="1"/>
          <w:bCs w:val="1"/>
          <w:color w:val="auto"/>
        </w:rPr>
      </w:pPr>
      <w:r>
        <w:rPr>
          <w:rFonts w:ascii="Arial" w:cs="Arial" w:eastAsia="Arial" w:hAnsi="Arial"/>
          <w:sz w:val="13"/>
          <w:szCs w:val="13"/>
          <w:color w:val="auto"/>
        </w:rPr>
        <w:t>In order to determine whether there has been a significant increase in the credit risk of the financial instrument, the assessment is based on quantitative information and qualitative information. The Bank considers the following factors, among others, when measuring significant increase in credit risk:</w:t>
      </w:r>
    </w:p>
    <w:p>
      <w:pPr>
        <w:ind w:left="703" w:hanging="241"/>
        <w:spacing w:after="0"/>
        <w:tabs>
          <w:tab w:leader="none" w:pos="703" w:val="left"/>
        </w:tabs>
        <w:numPr>
          <w:ilvl w:val="1"/>
          <w:numId w:val="112"/>
        </w:numPr>
        <w:rPr>
          <w:rFonts w:ascii="Arial" w:cs="Arial" w:eastAsia="Arial" w:hAnsi="Arial"/>
          <w:sz w:val="13"/>
          <w:szCs w:val="13"/>
          <w:color w:val="auto"/>
        </w:rPr>
      </w:pPr>
      <w:r>
        <w:rPr>
          <w:rFonts w:ascii="Arial" w:cs="Arial" w:eastAsia="Arial" w:hAnsi="Arial"/>
          <w:sz w:val="13"/>
          <w:szCs w:val="13"/>
          <w:color w:val="auto"/>
        </w:rPr>
        <w:t>Significant changes in internal indicators of credit risk as a result of a change in credit risk since inception;</w:t>
      </w:r>
    </w:p>
    <w:p>
      <w:pPr>
        <w:spacing w:after="0" w:line="12" w:lineRule="exact"/>
        <w:rPr>
          <w:rFonts w:ascii="Arial" w:cs="Arial" w:eastAsia="Arial" w:hAnsi="Arial"/>
          <w:sz w:val="13"/>
          <w:szCs w:val="13"/>
          <w:color w:val="auto"/>
        </w:rPr>
      </w:pPr>
    </w:p>
    <w:p>
      <w:pPr>
        <w:ind w:left="703" w:hanging="241"/>
        <w:spacing w:after="0"/>
        <w:tabs>
          <w:tab w:leader="none" w:pos="703" w:val="left"/>
        </w:tabs>
        <w:numPr>
          <w:ilvl w:val="1"/>
          <w:numId w:val="112"/>
        </w:numPr>
        <w:rPr>
          <w:rFonts w:ascii="Arial" w:cs="Arial" w:eastAsia="Arial" w:hAnsi="Arial"/>
          <w:sz w:val="13"/>
          <w:szCs w:val="13"/>
          <w:color w:val="auto"/>
        </w:rPr>
      </w:pPr>
      <w:r>
        <w:rPr>
          <w:rFonts w:ascii="Arial" w:cs="Arial" w:eastAsia="Arial" w:hAnsi="Arial"/>
          <w:sz w:val="13"/>
          <w:szCs w:val="13"/>
          <w:color w:val="auto"/>
        </w:rPr>
        <w:t>Significant changes in market indicators of credit risk for a particular financial instrument or similar financial instruments with the same expected life;</w:t>
      </w:r>
    </w:p>
    <w:p>
      <w:pPr>
        <w:spacing w:after="0" w:line="4" w:lineRule="exact"/>
        <w:rPr>
          <w:rFonts w:ascii="Arial" w:cs="Arial" w:eastAsia="Arial" w:hAnsi="Arial"/>
          <w:sz w:val="13"/>
          <w:szCs w:val="13"/>
          <w:color w:val="auto"/>
        </w:rPr>
      </w:pPr>
    </w:p>
    <w:p>
      <w:pPr>
        <w:ind w:left="703" w:hanging="241"/>
        <w:spacing w:after="0"/>
        <w:tabs>
          <w:tab w:leader="none" w:pos="703" w:val="left"/>
        </w:tabs>
        <w:numPr>
          <w:ilvl w:val="1"/>
          <w:numId w:val="112"/>
        </w:numPr>
        <w:rPr>
          <w:rFonts w:ascii="Arial" w:cs="Arial" w:eastAsia="Arial" w:hAnsi="Arial"/>
          <w:sz w:val="13"/>
          <w:szCs w:val="13"/>
          <w:color w:val="auto"/>
        </w:rPr>
      </w:pPr>
      <w:r>
        <w:rPr>
          <w:rFonts w:ascii="Arial" w:cs="Arial" w:eastAsia="Arial" w:hAnsi="Arial"/>
          <w:sz w:val="13"/>
          <w:szCs w:val="13"/>
          <w:color w:val="auto"/>
        </w:rPr>
        <w:t>An actual or expected significant change in the financial instrument’s external credit rating;</w:t>
      </w:r>
    </w:p>
    <w:p>
      <w:pPr>
        <w:spacing w:after="0" w:line="4" w:lineRule="exact"/>
        <w:rPr>
          <w:rFonts w:ascii="Arial" w:cs="Arial" w:eastAsia="Arial" w:hAnsi="Arial"/>
          <w:sz w:val="13"/>
          <w:szCs w:val="13"/>
          <w:color w:val="auto"/>
        </w:rPr>
      </w:pPr>
    </w:p>
    <w:p>
      <w:pPr>
        <w:ind w:left="703" w:hanging="241"/>
        <w:spacing w:after="0"/>
        <w:tabs>
          <w:tab w:leader="none" w:pos="703" w:val="left"/>
        </w:tabs>
        <w:numPr>
          <w:ilvl w:val="1"/>
          <w:numId w:val="112"/>
        </w:numPr>
        <w:rPr>
          <w:rFonts w:ascii="Arial" w:cs="Arial" w:eastAsia="Arial" w:hAnsi="Arial"/>
          <w:sz w:val="13"/>
          <w:szCs w:val="13"/>
          <w:color w:val="auto"/>
        </w:rPr>
      </w:pPr>
      <w:r>
        <w:rPr>
          <w:rFonts w:ascii="Arial" w:cs="Arial" w:eastAsia="Arial" w:hAnsi="Arial"/>
          <w:sz w:val="13"/>
          <w:szCs w:val="13"/>
          <w:color w:val="auto"/>
        </w:rPr>
        <w:t>Existing or forecast adverse changes in business, financial or economic conditions;</w:t>
      </w:r>
    </w:p>
    <w:p>
      <w:pPr>
        <w:spacing w:after="0" w:line="4" w:lineRule="exact"/>
        <w:rPr>
          <w:rFonts w:ascii="Arial" w:cs="Arial" w:eastAsia="Arial" w:hAnsi="Arial"/>
          <w:sz w:val="13"/>
          <w:szCs w:val="13"/>
          <w:color w:val="auto"/>
        </w:rPr>
      </w:pPr>
    </w:p>
    <w:p>
      <w:pPr>
        <w:ind w:left="703" w:hanging="241"/>
        <w:spacing w:after="0"/>
        <w:tabs>
          <w:tab w:leader="none" w:pos="703" w:val="left"/>
        </w:tabs>
        <w:numPr>
          <w:ilvl w:val="1"/>
          <w:numId w:val="112"/>
        </w:numPr>
        <w:rPr>
          <w:rFonts w:ascii="Arial" w:cs="Arial" w:eastAsia="Arial" w:hAnsi="Arial"/>
          <w:sz w:val="13"/>
          <w:szCs w:val="13"/>
          <w:color w:val="auto"/>
        </w:rPr>
      </w:pPr>
      <w:r>
        <w:rPr>
          <w:rFonts w:ascii="Arial" w:cs="Arial" w:eastAsia="Arial" w:hAnsi="Arial"/>
          <w:sz w:val="13"/>
          <w:szCs w:val="13"/>
          <w:color w:val="auto"/>
        </w:rPr>
        <w:t>An actual or expected significant change in the operating results of the borrower;</w:t>
      </w:r>
    </w:p>
    <w:p>
      <w:pPr>
        <w:spacing w:after="0" w:line="4" w:lineRule="exact"/>
        <w:rPr>
          <w:rFonts w:ascii="Arial" w:cs="Arial" w:eastAsia="Arial" w:hAnsi="Arial"/>
          <w:sz w:val="13"/>
          <w:szCs w:val="13"/>
          <w:color w:val="auto"/>
        </w:rPr>
      </w:pPr>
    </w:p>
    <w:p>
      <w:pPr>
        <w:ind w:left="703" w:hanging="241"/>
        <w:spacing w:after="0"/>
        <w:tabs>
          <w:tab w:leader="none" w:pos="703" w:val="left"/>
        </w:tabs>
        <w:numPr>
          <w:ilvl w:val="1"/>
          <w:numId w:val="112"/>
        </w:numPr>
        <w:rPr>
          <w:rFonts w:ascii="Arial" w:cs="Arial" w:eastAsia="Arial" w:hAnsi="Arial"/>
          <w:sz w:val="13"/>
          <w:szCs w:val="13"/>
          <w:color w:val="auto"/>
        </w:rPr>
      </w:pPr>
      <w:r>
        <w:rPr>
          <w:rFonts w:ascii="Arial" w:cs="Arial" w:eastAsia="Arial" w:hAnsi="Arial"/>
          <w:sz w:val="13"/>
          <w:szCs w:val="13"/>
          <w:color w:val="auto"/>
        </w:rPr>
        <w:t>An actual or expected significant adverse change in the regulatory, economic, or technological environment of the borrower;</w:t>
      </w:r>
    </w:p>
    <w:p>
      <w:pPr>
        <w:spacing w:after="0" w:line="4" w:lineRule="exact"/>
        <w:rPr>
          <w:rFonts w:ascii="Arial" w:cs="Arial" w:eastAsia="Arial" w:hAnsi="Arial"/>
          <w:sz w:val="13"/>
          <w:szCs w:val="13"/>
          <w:color w:val="auto"/>
        </w:rPr>
      </w:pPr>
    </w:p>
    <w:p>
      <w:pPr>
        <w:ind w:left="703" w:hanging="241"/>
        <w:spacing w:after="0"/>
        <w:tabs>
          <w:tab w:leader="none" w:pos="703" w:val="left"/>
        </w:tabs>
        <w:numPr>
          <w:ilvl w:val="1"/>
          <w:numId w:val="112"/>
        </w:numPr>
        <w:rPr>
          <w:rFonts w:ascii="Arial" w:cs="Arial" w:eastAsia="Arial" w:hAnsi="Arial"/>
          <w:sz w:val="13"/>
          <w:szCs w:val="13"/>
          <w:color w:val="auto"/>
        </w:rPr>
      </w:pPr>
      <w:r>
        <w:rPr>
          <w:rFonts w:ascii="Arial" w:cs="Arial" w:eastAsia="Arial" w:hAnsi="Arial"/>
          <w:sz w:val="13"/>
          <w:szCs w:val="13"/>
          <w:color w:val="auto"/>
        </w:rPr>
        <w:t>Significant changes in the value of the collateral supporting the obligation;</w:t>
      </w:r>
    </w:p>
    <w:p>
      <w:pPr>
        <w:spacing w:after="0" w:line="4" w:lineRule="exact"/>
        <w:rPr>
          <w:rFonts w:ascii="Arial" w:cs="Arial" w:eastAsia="Arial" w:hAnsi="Arial"/>
          <w:sz w:val="13"/>
          <w:szCs w:val="13"/>
          <w:color w:val="auto"/>
        </w:rPr>
      </w:pPr>
    </w:p>
    <w:p>
      <w:pPr>
        <w:ind w:left="703" w:right="20" w:hanging="241"/>
        <w:spacing w:after="0" w:line="254" w:lineRule="auto"/>
        <w:tabs>
          <w:tab w:leader="none" w:pos="703" w:val="left"/>
        </w:tabs>
        <w:numPr>
          <w:ilvl w:val="1"/>
          <w:numId w:val="112"/>
        </w:numPr>
        <w:rPr>
          <w:rFonts w:ascii="Arial" w:cs="Arial" w:eastAsia="Arial" w:hAnsi="Arial"/>
          <w:sz w:val="13"/>
          <w:szCs w:val="13"/>
          <w:color w:val="auto"/>
        </w:rPr>
      </w:pPr>
      <w:r>
        <w:rPr>
          <w:rFonts w:ascii="Arial" w:cs="Arial" w:eastAsia="Arial" w:hAnsi="Arial"/>
          <w:sz w:val="13"/>
          <w:szCs w:val="13"/>
          <w:color w:val="auto"/>
        </w:rPr>
        <w:t>Significant changes, such as reductions in financial support from a parent entity or other affiliate or an actual or expected significant change in the quality of credit enhancements, among other factors incorporated in the Bank’s ECL model.</w:t>
      </w:r>
    </w:p>
    <w:p>
      <w:pPr>
        <w:spacing w:after="0" w:line="137" w:lineRule="exact"/>
        <w:rPr>
          <w:sz w:val="20"/>
          <w:szCs w:val="20"/>
          <w:color w:val="auto"/>
        </w:rPr>
      </w:pPr>
    </w:p>
    <w:p>
      <w:pPr>
        <w:ind w:left="223"/>
        <w:spacing w:after="0"/>
        <w:rPr>
          <w:sz w:val="20"/>
          <w:szCs w:val="20"/>
          <w:color w:val="auto"/>
        </w:rPr>
      </w:pPr>
      <w:r>
        <w:rPr>
          <w:rFonts w:ascii="Arial" w:cs="Arial" w:eastAsia="Arial" w:hAnsi="Arial"/>
          <w:sz w:val="13"/>
          <w:szCs w:val="13"/>
          <w:color w:val="auto"/>
        </w:rPr>
        <w:t>The reserve balances for expected credit losses, for credit exposures, are calculated applying the following formula:</w:t>
      </w:r>
    </w:p>
    <w:p>
      <w:pPr>
        <w:spacing w:after="0" w:line="159" w:lineRule="exact"/>
        <w:rPr>
          <w:sz w:val="20"/>
          <w:szCs w:val="20"/>
          <w:color w:val="auto"/>
        </w:rPr>
      </w:pPr>
    </w:p>
    <w:p>
      <w:pPr>
        <w:ind w:left="223"/>
        <w:spacing w:after="0"/>
        <w:rPr>
          <w:sz w:val="20"/>
          <w:szCs w:val="20"/>
          <w:color w:val="auto"/>
        </w:rPr>
      </w:pPr>
      <w:r>
        <w:rPr>
          <w:rFonts w:ascii="Arial" w:cs="Arial" w:eastAsia="Arial" w:hAnsi="Arial"/>
          <w:sz w:val="13"/>
          <w:szCs w:val="13"/>
          <w:color w:val="auto"/>
        </w:rPr>
        <w:t>Reserves = ∑(E x PD x LGD); where:</w:t>
      </w:r>
    </w:p>
    <w:p>
      <w:pPr>
        <w:spacing w:after="0" w:line="159" w:lineRule="exact"/>
        <w:rPr>
          <w:sz w:val="20"/>
          <w:szCs w:val="20"/>
          <w:color w:val="auto"/>
        </w:rPr>
      </w:pPr>
    </w:p>
    <w:p>
      <w:pPr>
        <w:ind w:left="703" w:hanging="241"/>
        <w:spacing w:after="0"/>
        <w:tabs>
          <w:tab w:leader="none" w:pos="703" w:val="left"/>
        </w:tabs>
        <w:numPr>
          <w:ilvl w:val="0"/>
          <w:numId w:val="113"/>
        </w:numPr>
        <w:rPr>
          <w:rFonts w:ascii="Arial" w:cs="Arial" w:eastAsia="Arial" w:hAnsi="Arial"/>
          <w:sz w:val="13"/>
          <w:szCs w:val="13"/>
          <w:color w:val="auto"/>
        </w:rPr>
      </w:pPr>
      <w:r>
        <w:rPr>
          <w:rFonts w:ascii="Arial" w:cs="Arial" w:eastAsia="Arial" w:hAnsi="Arial"/>
          <w:sz w:val="13"/>
          <w:szCs w:val="13"/>
          <w:color w:val="auto"/>
        </w:rPr>
        <w:t>Exposure (E) = the total accounting balance at the end of the period under review.</w:t>
      </w:r>
    </w:p>
    <w:p>
      <w:pPr>
        <w:spacing w:after="0" w:line="158" w:lineRule="exact"/>
        <w:rPr>
          <w:rFonts w:ascii="Arial" w:cs="Arial" w:eastAsia="Arial" w:hAnsi="Arial"/>
          <w:sz w:val="13"/>
          <w:szCs w:val="13"/>
          <w:color w:val="auto"/>
        </w:rPr>
      </w:pPr>
    </w:p>
    <w:p>
      <w:pPr>
        <w:jc w:val="both"/>
        <w:ind w:left="703" w:right="20" w:hanging="241"/>
        <w:spacing w:after="0" w:line="257" w:lineRule="auto"/>
        <w:tabs>
          <w:tab w:leader="none" w:pos="703" w:val="left"/>
        </w:tabs>
        <w:numPr>
          <w:ilvl w:val="0"/>
          <w:numId w:val="113"/>
        </w:numPr>
        <w:rPr>
          <w:rFonts w:ascii="Arial" w:cs="Arial" w:eastAsia="Arial" w:hAnsi="Arial"/>
          <w:sz w:val="13"/>
          <w:szCs w:val="13"/>
          <w:color w:val="auto"/>
        </w:rPr>
      </w:pPr>
      <w:r>
        <w:rPr>
          <w:rFonts w:ascii="Arial" w:cs="Arial" w:eastAsia="Arial" w:hAnsi="Arial"/>
          <w:sz w:val="13"/>
          <w:szCs w:val="13"/>
          <w:color w:val="auto"/>
        </w:rPr>
        <w:t>Probabilities of Default (PD) = one-year probability of default applied to the portfolio to account for 12-month ECL and lifetime probability of default to account for more than 12-month ECL. Default rates are based on Bladex’s historical portfolio performance per rating category, in addition to international rating agency’s probabilities of default for categories 6, 7 and 8, in view of the greater robustness of data for such cases.</w:t>
      </w:r>
    </w:p>
    <w:p>
      <w:pPr>
        <w:spacing w:after="0" w:line="135" w:lineRule="exact"/>
        <w:rPr>
          <w:rFonts w:ascii="Arial" w:cs="Arial" w:eastAsia="Arial" w:hAnsi="Arial"/>
          <w:sz w:val="13"/>
          <w:szCs w:val="13"/>
          <w:color w:val="auto"/>
        </w:rPr>
      </w:pPr>
    </w:p>
    <w:p>
      <w:pPr>
        <w:jc w:val="both"/>
        <w:ind w:left="703" w:right="20" w:hanging="241"/>
        <w:spacing w:after="0" w:line="289" w:lineRule="auto"/>
        <w:tabs>
          <w:tab w:leader="none" w:pos="703" w:val="left"/>
        </w:tabs>
        <w:numPr>
          <w:ilvl w:val="0"/>
          <w:numId w:val="113"/>
        </w:numPr>
        <w:rPr>
          <w:rFonts w:ascii="Arial" w:cs="Arial" w:eastAsia="Arial" w:hAnsi="Arial"/>
          <w:sz w:val="12"/>
          <w:szCs w:val="12"/>
          <w:color w:val="auto"/>
        </w:rPr>
      </w:pPr>
      <w:r>
        <w:rPr>
          <w:rFonts w:ascii="Arial" w:cs="Arial" w:eastAsia="Arial" w:hAnsi="Arial"/>
          <w:sz w:val="12"/>
          <w:szCs w:val="12"/>
          <w:color w:val="auto"/>
        </w:rPr>
        <w:t>Loss Given Default (LGD) = a factor is applied, based on historical information, as well as best practices in the banking industry, volatility and simulated scenarios based on forward-looking information. Management applies judgment and historical loss experience. Management also applies complementary judgment to capture elements of prospective nature or loss expectations based on risks identified in the environment that are not necessarily reflected in the historical data. The allowance policy is applicable to all classes of loans and loan commitments and financial guarantee contracts of the Bank.</w:t>
      </w:r>
    </w:p>
    <w:p>
      <w:pPr>
        <w:spacing w:after="0" w:line="272"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F-26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9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151" w:name="page152"/>
    <w:bookmarkEnd w:id="151"/>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0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114"/>
        </w:numPr>
        <w:rPr>
          <w:rFonts w:ascii="Arial" w:cs="Arial" w:eastAsia="Arial" w:hAnsi="Arial"/>
          <w:sz w:val="13"/>
          <w:szCs w:val="13"/>
          <w:b w:val="1"/>
          <w:bCs w:val="1"/>
          <w:color w:val="auto"/>
        </w:rPr>
      </w:pPr>
      <w:r>
        <w:rPr>
          <w:rFonts w:ascii="Arial" w:cs="Arial" w:eastAsia="Arial" w:hAnsi="Arial"/>
          <w:sz w:val="13"/>
          <w:szCs w:val="13"/>
          <w:b w:val="1"/>
          <w:bCs w:val="1"/>
          <w:color w:val="auto"/>
        </w:rPr>
        <w:t>Summary of accounting policies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3.2</w:t>
      </w:r>
      <w:r>
        <w:rPr>
          <w:rFonts w:ascii="Arial" w:cs="Arial" w:eastAsia="Arial" w:hAnsi="Arial"/>
          <w:sz w:val="11"/>
          <w:szCs w:val="11"/>
          <w:b w:val="1"/>
          <w:bCs w:val="1"/>
          <w:color w:val="auto"/>
        </w:rPr>
        <w:t>Significant accounting policies (continued)</w:t>
      </w:r>
    </w:p>
    <w:p>
      <w:pPr>
        <w:spacing w:after="0" w:line="158" w:lineRule="exact"/>
        <w:rPr>
          <w:rFonts w:ascii="Arial" w:cs="Arial" w:eastAsia="Arial" w:hAnsi="Arial"/>
          <w:sz w:val="13"/>
          <w:szCs w:val="13"/>
          <w:b w:val="1"/>
          <w:bCs w:val="1"/>
          <w:color w:val="auto"/>
        </w:rPr>
      </w:pPr>
    </w:p>
    <w:p>
      <w:pPr>
        <w:ind w:left="70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3.2.6   Derivative financial instruments for risk management purposes and hedge accounting</w:t>
      </w:r>
    </w:p>
    <w:p>
      <w:pPr>
        <w:spacing w:after="0" w:line="162" w:lineRule="exact"/>
        <w:rPr>
          <w:rFonts w:ascii="Arial" w:cs="Arial" w:eastAsia="Arial" w:hAnsi="Arial"/>
          <w:sz w:val="13"/>
          <w:szCs w:val="13"/>
          <w:b w:val="1"/>
          <w:bCs w:val="1"/>
          <w:color w:val="auto"/>
        </w:rPr>
      </w:pPr>
    </w:p>
    <w:p>
      <w:pPr>
        <w:ind w:left="223" w:right="14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Derivatives embedded in financial liabilities or other non-financial asset host contracts are treated as separate derivatives when their risks and characteristics are not closely related to those of the host contracts and the host contracts are not measured at FVTPL.</w:t>
      </w:r>
    </w:p>
    <w:p>
      <w:pPr>
        <w:spacing w:after="0" w:line="129"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Bank applies IFRS 9- “</w:t>
      </w:r>
      <w:r>
        <w:rPr>
          <w:rFonts w:ascii="Arial" w:cs="Arial" w:eastAsia="Arial" w:hAnsi="Arial"/>
          <w:sz w:val="13"/>
          <w:szCs w:val="13"/>
          <w:i w:val="1"/>
          <w:iCs w:val="1"/>
          <w:color w:val="auto"/>
        </w:rPr>
        <w:t>Financial Instruments</w:t>
      </w:r>
      <w:r>
        <w:rPr>
          <w:rFonts w:ascii="Arial" w:cs="Arial" w:eastAsia="Arial" w:hAnsi="Arial"/>
          <w:sz w:val="13"/>
          <w:szCs w:val="13"/>
          <w:color w:val="auto"/>
        </w:rPr>
        <w:t>” hedge accounting rules in full.</w:t>
      </w:r>
    </w:p>
    <w:p>
      <w:pPr>
        <w:spacing w:after="0" w:line="158" w:lineRule="exact"/>
        <w:rPr>
          <w:rFonts w:ascii="Arial" w:cs="Arial" w:eastAsia="Arial" w:hAnsi="Arial"/>
          <w:sz w:val="13"/>
          <w:szCs w:val="13"/>
          <w:b w:val="1"/>
          <w:bCs w:val="1"/>
          <w:color w:val="auto"/>
        </w:rPr>
      </w:pPr>
    </w:p>
    <w:p>
      <w:pPr>
        <w:jc w:val="both"/>
        <w:ind w:left="223"/>
        <w:spacing w:after="0" w:line="254" w:lineRule="auto"/>
        <w:rPr>
          <w:rFonts w:ascii="Arial" w:cs="Arial" w:eastAsia="Arial" w:hAnsi="Arial"/>
          <w:sz w:val="13"/>
          <w:szCs w:val="13"/>
          <w:b w:val="1"/>
          <w:bCs w:val="1"/>
          <w:color w:val="auto"/>
        </w:rPr>
      </w:pPr>
      <w:r>
        <w:rPr>
          <w:rFonts w:ascii="Arial" w:cs="Arial" w:eastAsia="Arial" w:hAnsi="Arial"/>
          <w:sz w:val="13"/>
          <w:szCs w:val="13"/>
          <w:color w:val="auto"/>
        </w:rPr>
        <w:t>Derivatives held for risk management purposes include all derivative assets and liabilities that are not classified as trading assets or liabilities. Derivatives held for risk management purposes are measured at fair value in the consolidated statement of financial position. Derivatives are initially recognized at fair value at the date a derivative contract is entered into and are subsequently remeasured to their fair value at each reporting date. The resulting gain/loss is recognized in profit or loss immediately unless the derivative is designated and effective as a hedging instrument, in which event the timing of the recognition in profit or loss depends on the nature of the hedge relationship.</w:t>
      </w:r>
    </w:p>
    <w:p>
      <w:pPr>
        <w:spacing w:after="0" w:line="137" w:lineRule="exact"/>
        <w:rPr>
          <w:rFonts w:ascii="Arial" w:cs="Arial" w:eastAsia="Arial" w:hAnsi="Arial"/>
          <w:sz w:val="13"/>
          <w:szCs w:val="13"/>
          <w:b w:val="1"/>
          <w:bCs w:val="1"/>
          <w:color w:val="auto"/>
        </w:rPr>
      </w:pPr>
    </w:p>
    <w:p>
      <w:pPr>
        <w:jc w:val="both"/>
        <w:ind w:left="223" w:right="20"/>
        <w:spacing w:after="0" w:line="326" w:lineRule="auto"/>
        <w:rPr>
          <w:rFonts w:ascii="Arial" w:cs="Arial" w:eastAsia="Arial" w:hAnsi="Arial"/>
          <w:sz w:val="13"/>
          <w:szCs w:val="13"/>
          <w:b w:val="1"/>
          <w:bCs w:val="1"/>
          <w:color w:val="auto"/>
        </w:rPr>
      </w:pPr>
      <w:r>
        <w:rPr>
          <w:rFonts w:ascii="Arial" w:cs="Arial" w:eastAsia="Arial" w:hAnsi="Arial"/>
          <w:sz w:val="11"/>
          <w:szCs w:val="11"/>
          <w:color w:val="auto"/>
        </w:rPr>
        <w:t>On initial designation of the hedge, the Bank formally documents the relationship between the hedging instrument(s) and hedged item(s), including the risk management objective and strategy in undertaking the hedge, together with the method that will be used to assess the effectiveness of the hedging relationship. The Bank makes an assessment, both at inception of the hedge relationship and on an ongoing basis, of whether the hedging instrument(s) is(are) expected to be highly effective in offsetting the changes in the fair value or cash flows of the respective hedged item(s) during the period for which the hedge is designated.</w:t>
      </w:r>
    </w:p>
    <w:p>
      <w:pPr>
        <w:spacing w:after="0" w:line="100" w:lineRule="exact"/>
        <w:rPr>
          <w:rFonts w:ascii="Arial" w:cs="Arial" w:eastAsia="Arial" w:hAnsi="Arial"/>
          <w:sz w:val="13"/>
          <w:szCs w:val="13"/>
          <w:b w:val="1"/>
          <w:bCs w:val="1"/>
          <w:color w:val="auto"/>
        </w:rPr>
      </w:pPr>
    </w:p>
    <w:p>
      <w:pPr>
        <w:ind w:left="223" w:right="20"/>
        <w:spacing w:after="0" w:line="310" w:lineRule="auto"/>
        <w:rPr>
          <w:rFonts w:ascii="Arial" w:cs="Arial" w:eastAsia="Arial" w:hAnsi="Arial"/>
          <w:sz w:val="13"/>
          <w:szCs w:val="13"/>
          <w:b w:val="1"/>
          <w:bCs w:val="1"/>
          <w:color w:val="auto"/>
        </w:rPr>
      </w:pPr>
      <w:r>
        <w:rPr>
          <w:rFonts w:ascii="Arial" w:cs="Arial" w:eastAsia="Arial" w:hAnsi="Arial"/>
          <w:sz w:val="12"/>
          <w:szCs w:val="12"/>
          <w:color w:val="auto"/>
        </w:rPr>
        <w:t>The Bank uses derivative financial instruments for its management of interest rate and foreign currency risks. Interest rate swap contracts, cross-currency swap contracts and foreign exchange forward contracts have been used to manage interest rate and foreign exchange risks respectively associated with debt securities and borrowings with fixed and floating rates, and loans and borrowings in foreign currency.</w:t>
      </w:r>
    </w:p>
    <w:p>
      <w:pPr>
        <w:spacing w:after="0" w:line="105" w:lineRule="exact"/>
        <w:rPr>
          <w:rFonts w:ascii="Arial" w:cs="Arial" w:eastAsia="Arial" w:hAnsi="Arial"/>
          <w:sz w:val="13"/>
          <w:szCs w:val="13"/>
          <w:b w:val="1"/>
          <w:bCs w:val="1"/>
          <w:color w:val="auto"/>
        </w:rPr>
      </w:pP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These derivatives contracts can be classified as fair value and cash flow hedges. In addition, foreign exchange forward contracts are used to hedge exposures to changes in foreign currency in subsidiary companies with functional currencies other than the US dollar. These contracts are classified as net investment hedges.</w:t>
      </w:r>
    </w:p>
    <w:p>
      <w:pPr>
        <w:spacing w:after="0" w:line="129"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accounting for changes in value of a derivative depends on whether the contract is for trading purposes or has been designated and qualifies for hedge accounting.</w:t>
      </w:r>
    </w:p>
    <w:p>
      <w:pPr>
        <w:spacing w:after="0" w:line="158" w:lineRule="exact"/>
        <w:rPr>
          <w:rFonts w:ascii="Arial" w:cs="Arial" w:eastAsia="Arial" w:hAnsi="Arial"/>
          <w:sz w:val="13"/>
          <w:szCs w:val="13"/>
          <w:b w:val="1"/>
          <w:bCs w:val="1"/>
          <w:color w:val="auto"/>
        </w:rPr>
      </w:pPr>
    </w:p>
    <w:p>
      <w:pPr>
        <w:jc w:val="both"/>
        <w:ind w:left="223" w:right="20"/>
        <w:spacing w:after="0" w:line="257" w:lineRule="auto"/>
        <w:rPr>
          <w:rFonts w:ascii="Arial" w:cs="Arial" w:eastAsia="Arial" w:hAnsi="Arial"/>
          <w:sz w:val="13"/>
          <w:szCs w:val="13"/>
          <w:b w:val="1"/>
          <w:bCs w:val="1"/>
          <w:color w:val="auto"/>
        </w:rPr>
      </w:pPr>
      <w:r>
        <w:rPr>
          <w:rFonts w:ascii="Arial" w:cs="Arial" w:eastAsia="Arial" w:hAnsi="Arial"/>
          <w:sz w:val="13"/>
          <w:szCs w:val="13"/>
          <w:color w:val="auto"/>
        </w:rPr>
        <w:t>Derivatives held for trading purposes include interest rate swaps, cross-currency swaps and foreign exchange forward contracts used for risk management purposes that do not qualify for hedge accounting. These derivatives are reported as asset or liabilities, as applicable. Changes in realized and unrealized gains and losses and interest from these financial instruments are recognized as gains or losses on financial instruments at fair value through profit or loss.</w:t>
      </w:r>
    </w:p>
    <w:p>
      <w:pPr>
        <w:spacing w:after="0" w:line="135" w:lineRule="exact"/>
        <w:rPr>
          <w:rFonts w:ascii="Arial" w:cs="Arial" w:eastAsia="Arial" w:hAnsi="Arial"/>
          <w:sz w:val="13"/>
          <w:szCs w:val="13"/>
          <w:b w:val="1"/>
          <w:bCs w:val="1"/>
          <w:color w:val="auto"/>
        </w:rPr>
      </w:pPr>
    </w:p>
    <w:p>
      <w:pPr>
        <w:jc w:val="both"/>
        <w:ind w:left="223"/>
        <w:spacing w:after="0" w:line="309" w:lineRule="auto"/>
        <w:rPr>
          <w:rFonts w:ascii="Arial" w:cs="Arial" w:eastAsia="Arial" w:hAnsi="Arial"/>
          <w:sz w:val="13"/>
          <w:szCs w:val="13"/>
          <w:b w:val="1"/>
          <w:bCs w:val="1"/>
          <w:color w:val="auto"/>
        </w:rPr>
      </w:pPr>
      <w:r>
        <w:rPr>
          <w:rFonts w:ascii="Arial" w:cs="Arial" w:eastAsia="Arial" w:hAnsi="Arial"/>
          <w:sz w:val="11"/>
          <w:szCs w:val="11"/>
          <w:color w:val="auto"/>
        </w:rPr>
        <w:t>Derivatives for hedging purposes primarily include foreign exchange forward contracts and interest rate swap contracts in US dollar and cross-currency swaps. Derivative contracts designated and qualifying for hedge accounting are reported in the consolidated statement of financial position as derivative financial instruments used for hedging - assets and liabilities, as applicable; and hedge accounting is applied. In order to qualify for hedge accounting, a derivative must be considered highly effective at reducing the risk associated with the exposure being hedged. Each derivative must be designated as a hedge, with documentation of the risk management objective and strategy, including identification of the hedging instrument, the hedged item and the risk exposure, as well as how effectiveness will be assessed prospectively. The hedging instrument should be qualitatively assessed on a quarterly basis in order to determine its effectiveness at achieving offsetting changes in fair value or cash flows. Any ineffectiveness must be reported in current-year earnings.</w:t>
      </w:r>
    </w:p>
    <w:p>
      <w:pPr>
        <w:spacing w:after="0" w:line="264"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F-27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0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152" w:name="page153"/>
    <w:bookmarkEnd w:id="152"/>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0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115"/>
        </w:numPr>
        <w:rPr>
          <w:rFonts w:ascii="Arial" w:cs="Arial" w:eastAsia="Arial" w:hAnsi="Arial"/>
          <w:sz w:val="13"/>
          <w:szCs w:val="13"/>
          <w:b w:val="1"/>
          <w:bCs w:val="1"/>
          <w:color w:val="auto"/>
        </w:rPr>
      </w:pPr>
      <w:r>
        <w:rPr>
          <w:rFonts w:ascii="Arial" w:cs="Arial" w:eastAsia="Arial" w:hAnsi="Arial"/>
          <w:sz w:val="13"/>
          <w:szCs w:val="13"/>
          <w:b w:val="1"/>
          <w:bCs w:val="1"/>
          <w:color w:val="auto"/>
        </w:rPr>
        <w:t>Summary of accounting policies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3.2</w:t>
      </w:r>
      <w:r>
        <w:rPr>
          <w:rFonts w:ascii="Arial" w:cs="Arial" w:eastAsia="Arial" w:hAnsi="Arial"/>
          <w:sz w:val="11"/>
          <w:szCs w:val="11"/>
          <w:b w:val="1"/>
          <w:bCs w:val="1"/>
          <w:color w:val="auto"/>
        </w:rPr>
        <w:t>Significant accounting policies (continued)</w:t>
      </w:r>
    </w:p>
    <w:p>
      <w:pPr>
        <w:spacing w:after="0" w:line="158" w:lineRule="exact"/>
        <w:rPr>
          <w:rFonts w:ascii="Arial" w:cs="Arial" w:eastAsia="Arial" w:hAnsi="Arial"/>
          <w:sz w:val="13"/>
          <w:szCs w:val="13"/>
          <w:b w:val="1"/>
          <w:bCs w:val="1"/>
          <w:color w:val="auto"/>
        </w:rPr>
      </w:pPr>
    </w:p>
    <w:p>
      <w:pPr>
        <w:ind w:left="223" w:right="4980" w:firstLine="462"/>
        <w:spacing w:after="0" w:line="497" w:lineRule="auto"/>
        <w:rPr>
          <w:rFonts w:ascii="Arial" w:cs="Arial" w:eastAsia="Arial" w:hAnsi="Arial"/>
          <w:sz w:val="13"/>
          <w:szCs w:val="13"/>
          <w:b w:val="1"/>
          <w:bCs w:val="1"/>
          <w:color w:val="auto"/>
        </w:rPr>
      </w:pPr>
      <w:r>
        <w:rPr>
          <w:rFonts w:ascii="Arial" w:cs="Arial" w:eastAsia="Arial" w:hAnsi="Arial"/>
          <w:sz w:val="13"/>
          <w:szCs w:val="13"/>
          <w:b w:val="1"/>
          <w:bCs w:val="1"/>
          <w:color w:val="auto"/>
        </w:rPr>
        <w:t xml:space="preserve">3.2.6 Derivative financial instruments for risk management purposes and hedge accounting (continued) </w:t>
      </w:r>
      <w:r>
        <w:rPr>
          <w:rFonts w:ascii="Arial" w:cs="Arial" w:eastAsia="Arial" w:hAnsi="Arial"/>
          <w:sz w:val="13"/>
          <w:szCs w:val="13"/>
          <w:b w:val="1"/>
          <w:bCs w:val="1"/>
          <w:u w:val="single" w:color="auto"/>
          <w:color w:val="auto"/>
        </w:rPr>
        <w:t>Hedge accounting relationship</w:t>
      </w:r>
    </w:p>
    <w:p>
      <w:pPr>
        <w:jc w:val="both"/>
        <w:ind w:left="223" w:right="20"/>
        <w:spacing w:after="0" w:line="252" w:lineRule="auto"/>
        <w:rPr>
          <w:rFonts w:ascii="Arial" w:cs="Arial" w:eastAsia="Arial" w:hAnsi="Arial"/>
          <w:sz w:val="13"/>
          <w:szCs w:val="13"/>
          <w:b w:val="1"/>
          <w:bCs w:val="1"/>
          <w:color w:val="auto"/>
        </w:rPr>
      </w:pPr>
      <w:r>
        <w:rPr>
          <w:rFonts w:ascii="Arial" w:cs="Arial" w:eastAsia="Arial" w:hAnsi="Arial"/>
          <w:sz w:val="13"/>
          <w:szCs w:val="13"/>
          <w:color w:val="auto"/>
        </w:rPr>
        <w:t>As the Bank enters into a hedge accounting relationship, the first requirement is that the hedging instrument and the hedged item must be expected to move in the opposite direction as a result of the change in the hedged risk. This should be based on an economic rationale, as could be the case if the relationship is based only on a statistical correlation. This requirement is fulfilled for many of the hedging relationships carried by the Bank as the underlying of the hedging instrument matches or is closely aligned with the hedged risk. Even when there are differences between the hedged item and the hedging instrument, the economic relationship will often be capable of being demonstrated using a qualitative assessment. The assessment, whether qualitative or quantitative, considers the following: a) maturity; b) nominal amount; c) cash flow dates; d) interest rate basis; and e) credit risk, including the effect of collateral, among others.</w:t>
      </w:r>
    </w:p>
    <w:p>
      <w:pPr>
        <w:spacing w:after="0" w:line="135"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u w:val="single" w:color="auto"/>
          <w:color w:val="auto"/>
        </w:rPr>
        <w:t>Hedge ratio</w:t>
      </w:r>
    </w:p>
    <w:p>
      <w:pPr>
        <w:spacing w:after="0" w:line="162" w:lineRule="exact"/>
        <w:rPr>
          <w:rFonts w:ascii="Arial" w:cs="Arial" w:eastAsia="Arial" w:hAnsi="Arial"/>
          <w:sz w:val="13"/>
          <w:szCs w:val="13"/>
          <w:b w:val="1"/>
          <w:bCs w:val="1"/>
          <w:color w:val="auto"/>
        </w:rPr>
      </w:pPr>
    </w:p>
    <w:p>
      <w:pPr>
        <w:jc w:val="both"/>
        <w:ind w:left="223" w:right="20"/>
        <w:spacing w:after="0" w:line="257" w:lineRule="auto"/>
        <w:rPr>
          <w:rFonts w:ascii="Arial" w:cs="Arial" w:eastAsia="Arial" w:hAnsi="Arial"/>
          <w:sz w:val="13"/>
          <w:szCs w:val="13"/>
          <w:b w:val="1"/>
          <w:bCs w:val="1"/>
          <w:color w:val="auto"/>
        </w:rPr>
      </w:pPr>
      <w:r>
        <w:rPr>
          <w:rFonts w:ascii="Arial" w:cs="Arial" w:eastAsia="Arial" w:hAnsi="Arial"/>
          <w:sz w:val="13"/>
          <w:szCs w:val="13"/>
          <w:color w:val="auto"/>
        </w:rPr>
        <w:t>The hedge ratio is the ratio between the amount of hedged item and the amount of the hedging instrument. For most of the hedging relationships, the hedge ratio is 1:1 as the underlying of the hedging instrument perfectly matches the designated hedged risk. For a hedging relationship with a correlation between the hedged item and the hedging instrument that is not 1:1 relationship, generally set the hedge ratio so as to adjust for the type of relation in order to improve effectiveness.</w:t>
      </w:r>
    </w:p>
    <w:p>
      <w:pPr>
        <w:spacing w:after="0" w:line="131"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u w:val="single" w:color="auto"/>
          <w:color w:val="auto"/>
        </w:rPr>
        <w:t>Discontinuation of hedge accounting</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Bank discontinues hedge accounting prospectively in the following situations:</w:t>
      </w:r>
    </w:p>
    <w:p>
      <w:pPr>
        <w:spacing w:after="0" w:line="158" w:lineRule="exact"/>
        <w:rPr>
          <w:rFonts w:ascii="Arial" w:cs="Arial" w:eastAsia="Arial" w:hAnsi="Arial"/>
          <w:sz w:val="13"/>
          <w:szCs w:val="13"/>
          <w:b w:val="1"/>
          <w:bCs w:val="1"/>
          <w:color w:val="auto"/>
        </w:rPr>
      </w:pPr>
    </w:p>
    <w:p>
      <w:pPr>
        <w:ind w:left="703" w:hanging="241"/>
        <w:spacing w:after="0"/>
        <w:tabs>
          <w:tab w:leader="none" w:pos="703" w:val="left"/>
        </w:tabs>
        <w:numPr>
          <w:ilvl w:val="1"/>
          <w:numId w:val="115"/>
        </w:numPr>
        <w:rPr>
          <w:rFonts w:ascii="Arial" w:cs="Arial" w:eastAsia="Arial" w:hAnsi="Arial"/>
          <w:sz w:val="13"/>
          <w:szCs w:val="13"/>
          <w:color w:val="auto"/>
        </w:rPr>
      </w:pPr>
      <w:r>
        <w:rPr>
          <w:rFonts w:ascii="Arial" w:cs="Arial" w:eastAsia="Arial" w:hAnsi="Arial"/>
          <w:sz w:val="13"/>
          <w:szCs w:val="13"/>
          <w:color w:val="auto"/>
        </w:rPr>
        <w:t>It is determined that the derivative is no longer effective in offsetting changes in the fair value or cash flows of a hedged item.</w:t>
      </w:r>
    </w:p>
    <w:p>
      <w:pPr>
        <w:spacing w:after="0" w:line="12" w:lineRule="exact"/>
        <w:rPr>
          <w:rFonts w:ascii="Arial" w:cs="Arial" w:eastAsia="Arial" w:hAnsi="Arial"/>
          <w:sz w:val="13"/>
          <w:szCs w:val="13"/>
          <w:color w:val="auto"/>
        </w:rPr>
      </w:pPr>
    </w:p>
    <w:p>
      <w:pPr>
        <w:ind w:left="703" w:hanging="241"/>
        <w:spacing w:after="0"/>
        <w:tabs>
          <w:tab w:leader="none" w:pos="703" w:val="left"/>
        </w:tabs>
        <w:numPr>
          <w:ilvl w:val="1"/>
          <w:numId w:val="115"/>
        </w:numPr>
        <w:rPr>
          <w:rFonts w:ascii="Arial" w:cs="Arial" w:eastAsia="Arial" w:hAnsi="Arial"/>
          <w:sz w:val="13"/>
          <w:szCs w:val="13"/>
          <w:color w:val="auto"/>
        </w:rPr>
      </w:pPr>
      <w:r>
        <w:rPr>
          <w:rFonts w:ascii="Arial" w:cs="Arial" w:eastAsia="Arial" w:hAnsi="Arial"/>
          <w:sz w:val="13"/>
          <w:szCs w:val="13"/>
          <w:color w:val="auto"/>
        </w:rPr>
        <w:t>The derivative expires or is sold, terminated or exercised.</w:t>
      </w:r>
    </w:p>
    <w:p>
      <w:pPr>
        <w:spacing w:after="0" w:line="4" w:lineRule="exact"/>
        <w:rPr>
          <w:rFonts w:ascii="Arial" w:cs="Arial" w:eastAsia="Arial" w:hAnsi="Arial"/>
          <w:sz w:val="13"/>
          <w:szCs w:val="13"/>
          <w:color w:val="auto"/>
        </w:rPr>
      </w:pPr>
    </w:p>
    <w:p>
      <w:pPr>
        <w:ind w:left="703" w:hanging="241"/>
        <w:spacing w:after="0"/>
        <w:tabs>
          <w:tab w:leader="none" w:pos="703" w:val="left"/>
        </w:tabs>
        <w:numPr>
          <w:ilvl w:val="1"/>
          <w:numId w:val="115"/>
        </w:numPr>
        <w:rPr>
          <w:rFonts w:ascii="Arial" w:cs="Arial" w:eastAsia="Arial" w:hAnsi="Arial"/>
          <w:sz w:val="13"/>
          <w:szCs w:val="13"/>
          <w:color w:val="auto"/>
        </w:rPr>
      </w:pPr>
      <w:r>
        <w:rPr>
          <w:rFonts w:ascii="Arial" w:cs="Arial" w:eastAsia="Arial" w:hAnsi="Arial"/>
          <w:sz w:val="13"/>
          <w:szCs w:val="13"/>
          <w:color w:val="auto"/>
        </w:rPr>
        <w:t>It is determined that designation of the derivative as a hedging instrument is no longer appropriate.</w:t>
      </w:r>
    </w:p>
    <w:p>
      <w:pPr>
        <w:spacing w:after="0" w:line="150" w:lineRule="exact"/>
        <w:rPr>
          <w:sz w:val="20"/>
          <w:szCs w:val="20"/>
          <w:color w:val="auto"/>
        </w:rPr>
      </w:pPr>
    </w:p>
    <w:p>
      <w:pPr>
        <w:ind w:left="223"/>
        <w:spacing w:after="0"/>
        <w:rPr>
          <w:sz w:val="20"/>
          <w:szCs w:val="20"/>
          <w:color w:val="auto"/>
        </w:rPr>
      </w:pPr>
      <w:r>
        <w:rPr>
          <w:rFonts w:ascii="Arial" w:cs="Arial" w:eastAsia="Arial" w:hAnsi="Arial"/>
          <w:sz w:val="13"/>
          <w:szCs w:val="13"/>
          <w:color w:val="auto"/>
        </w:rPr>
        <w:t>The Bank carries all derivative financial instruments in the consolidated statement of financial position at fair value.</w:t>
      </w:r>
    </w:p>
    <w:p>
      <w:pPr>
        <w:spacing w:after="0" w:line="155" w:lineRule="exact"/>
        <w:rPr>
          <w:sz w:val="20"/>
          <w:szCs w:val="20"/>
          <w:color w:val="auto"/>
        </w:rPr>
      </w:pPr>
    </w:p>
    <w:p>
      <w:pPr>
        <w:ind w:left="223"/>
        <w:spacing w:after="0"/>
        <w:rPr>
          <w:sz w:val="20"/>
          <w:szCs w:val="20"/>
          <w:color w:val="auto"/>
        </w:rPr>
      </w:pPr>
      <w:r>
        <w:rPr>
          <w:rFonts w:ascii="Arial" w:cs="Arial" w:eastAsia="Arial" w:hAnsi="Arial"/>
          <w:sz w:val="13"/>
          <w:szCs w:val="13"/>
          <w:b w:val="1"/>
          <w:bCs w:val="1"/>
          <w:u w:val="single" w:color="auto"/>
          <w:color w:val="auto"/>
        </w:rPr>
        <w:t>Fair value hedges</w:t>
      </w:r>
    </w:p>
    <w:p>
      <w:pPr>
        <w:spacing w:after="0" w:line="163" w:lineRule="exact"/>
        <w:rPr>
          <w:sz w:val="20"/>
          <w:szCs w:val="20"/>
          <w:color w:val="auto"/>
        </w:rPr>
      </w:pPr>
    </w:p>
    <w:p>
      <w:pPr>
        <w:jc w:val="both"/>
        <w:ind w:left="223" w:right="20"/>
        <w:spacing w:after="0" w:line="278" w:lineRule="auto"/>
        <w:rPr>
          <w:sz w:val="20"/>
          <w:szCs w:val="20"/>
          <w:color w:val="auto"/>
        </w:rPr>
      </w:pPr>
      <w:r>
        <w:rPr>
          <w:rFonts w:ascii="Arial" w:cs="Arial" w:eastAsia="Arial" w:hAnsi="Arial"/>
          <w:sz w:val="12"/>
          <w:szCs w:val="12"/>
          <w:color w:val="auto"/>
        </w:rPr>
        <w:t>When a derivative is designated as the hedging instrument in a hedge of the change in fair value of a recognized asset or liability or a firm commitment that could affect profit or loss, changes in the fair value of the derivative are recognized in profit or loss together with changes in the fair value of the hedged item that are attributable to the hedged risk, except when the hedging instrument hedges an equity instrument designated at FVOCI in which case it is recognized in OCI. The carrying amount of a hedged item not already measured at fair value is adjusted for the fair value change attributable to the hedged risk. For debt instruments measured at FVOCI, the carrying amount is not adjusted as it is already at fair value, but the part of the fair value gain or loss on the hedged item associated with the hedged risk is recognized in profit or loss instead of OCI. When the hedged item is an equity instrument designated at FVOCI, the hedging gain/loss remains in OCI to match that of the hedging instrument.</w:t>
      </w:r>
    </w:p>
    <w:p>
      <w:pPr>
        <w:spacing w:after="0" w:line="125" w:lineRule="exact"/>
        <w:rPr>
          <w:sz w:val="20"/>
          <w:szCs w:val="20"/>
          <w:color w:val="auto"/>
        </w:rPr>
      </w:pPr>
    </w:p>
    <w:p>
      <w:pPr>
        <w:jc w:val="both"/>
        <w:ind w:left="223"/>
        <w:spacing w:after="0" w:line="257" w:lineRule="auto"/>
        <w:rPr>
          <w:sz w:val="20"/>
          <w:szCs w:val="20"/>
          <w:color w:val="auto"/>
        </w:rPr>
      </w:pPr>
      <w:r>
        <w:rPr>
          <w:rFonts w:ascii="Arial" w:cs="Arial" w:eastAsia="Arial" w:hAnsi="Arial"/>
          <w:sz w:val="13"/>
          <w:szCs w:val="13"/>
          <w:color w:val="auto"/>
        </w:rPr>
        <w:t>If the hedge relationship is terminated or exercised, or the hedge no longer meets the criteria for fair value hedge accounting, or the hedge designation is revoked, then hedge accounting is discontinued prospectively and the fair value adjustment to the hedged item continues to be reported as part of the basis of the item and is amortized to earnings as a yield adjustment where hedging gains/losses are recognized in profit or loss; they are recognized in the same line as the hedged item.</w:t>
      </w:r>
    </w:p>
    <w:p>
      <w:pPr>
        <w:spacing w:after="0" w:line="290"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F-28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0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153" w:name="page154"/>
    <w:bookmarkEnd w:id="153"/>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0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116"/>
        </w:numPr>
        <w:rPr>
          <w:rFonts w:ascii="Arial" w:cs="Arial" w:eastAsia="Arial" w:hAnsi="Arial"/>
          <w:sz w:val="13"/>
          <w:szCs w:val="13"/>
          <w:b w:val="1"/>
          <w:bCs w:val="1"/>
          <w:color w:val="auto"/>
        </w:rPr>
      </w:pPr>
      <w:r>
        <w:rPr>
          <w:rFonts w:ascii="Arial" w:cs="Arial" w:eastAsia="Arial" w:hAnsi="Arial"/>
          <w:sz w:val="13"/>
          <w:szCs w:val="13"/>
          <w:b w:val="1"/>
          <w:bCs w:val="1"/>
          <w:color w:val="auto"/>
        </w:rPr>
        <w:t>Summary of accounting policies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3.2</w:t>
      </w:r>
      <w:r>
        <w:rPr>
          <w:rFonts w:ascii="Arial" w:cs="Arial" w:eastAsia="Arial" w:hAnsi="Arial"/>
          <w:sz w:val="11"/>
          <w:szCs w:val="11"/>
          <w:b w:val="1"/>
          <w:bCs w:val="1"/>
          <w:color w:val="auto"/>
        </w:rPr>
        <w:t>Significant accounting policies (continued)</w:t>
      </w:r>
    </w:p>
    <w:p>
      <w:pPr>
        <w:spacing w:after="0" w:line="158" w:lineRule="exact"/>
        <w:rPr>
          <w:rFonts w:ascii="Arial" w:cs="Arial" w:eastAsia="Arial" w:hAnsi="Arial"/>
          <w:sz w:val="13"/>
          <w:szCs w:val="13"/>
          <w:b w:val="1"/>
          <w:bCs w:val="1"/>
          <w:color w:val="auto"/>
        </w:rPr>
      </w:pPr>
    </w:p>
    <w:p>
      <w:pPr>
        <w:ind w:left="223" w:right="4980" w:firstLine="462"/>
        <w:spacing w:after="0" w:line="497" w:lineRule="auto"/>
        <w:rPr>
          <w:rFonts w:ascii="Arial" w:cs="Arial" w:eastAsia="Arial" w:hAnsi="Arial"/>
          <w:sz w:val="13"/>
          <w:szCs w:val="13"/>
          <w:b w:val="1"/>
          <w:bCs w:val="1"/>
          <w:color w:val="auto"/>
        </w:rPr>
      </w:pPr>
      <w:r>
        <w:rPr>
          <w:rFonts w:ascii="Arial" w:cs="Arial" w:eastAsia="Arial" w:hAnsi="Arial"/>
          <w:sz w:val="13"/>
          <w:szCs w:val="13"/>
          <w:b w:val="1"/>
          <w:bCs w:val="1"/>
          <w:color w:val="auto"/>
        </w:rPr>
        <w:t xml:space="preserve">3.2.6 Derivative financial instruments for risk management purposes and hedge accounting (continued) </w:t>
      </w:r>
      <w:r>
        <w:rPr>
          <w:rFonts w:ascii="Arial" w:cs="Arial" w:eastAsia="Arial" w:hAnsi="Arial"/>
          <w:sz w:val="13"/>
          <w:szCs w:val="13"/>
          <w:b w:val="1"/>
          <w:bCs w:val="1"/>
          <w:u w:val="single" w:color="auto"/>
          <w:color w:val="auto"/>
        </w:rPr>
        <w:t>Cash flow hedges</w:t>
      </w:r>
    </w:p>
    <w:p>
      <w:pPr>
        <w:jc w:val="both"/>
        <w:ind w:left="223" w:right="20"/>
        <w:spacing w:after="0" w:line="281" w:lineRule="auto"/>
        <w:rPr>
          <w:rFonts w:ascii="Arial" w:cs="Arial" w:eastAsia="Arial" w:hAnsi="Arial"/>
          <w:sz w:val="13"/>
          <w:szCs w:val="13"/>
          <w:b w:val="1"/>
          <w:bCs w:val="1"/>
          <w:color w:val="auto"/>
        </w:rPr>
      </w:pPr>
      <w:r>
        <w:rPr>
          <w:rFonts w:ascii="Arial" w:cs="Arial" w:eastAsia="Arial" w:hAnsi="Arial"/>
          <w:sz w:val="12"/>
          <w:szCs w:val="12"/>
          <w:color w:val="auto"/>
        </w:rPr>
        <w:t>When a derivative is designated as the hedging instrument in a hedge of variability in cash flows attributable to a particular risk associated with a recognized asset or liability that could affect profit or loss, the effective portion of changes in the fair value of the derivative is recognized in OCI and recognized in profit or loss when the hedged cash flows affect earnings. The ineffective portion is recognized in profit or loss as loss on financial instruments, net. If the cash flow hedge relationship is terminated or exercised, or the hedge no longer meets the criteria for fair value hedge accounting, or the hedge designation is revoked, then hedge accounting is discontinued prospectively and the related amounts in OCI are reclassified into profit or loss when hedged cash flows occur.</w:t>
      </w:r>
    </w:p>
    <w:p>
      <w:pPr>
        <w:spacing w:after="0" w:line="119"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u w:val="single" w:color="auto"/>
          <w:color w:val="auto"/>
        </w:rPr>
        <w:t>Net investment hedges</w:t>
      </w:r>
    </w:p>
    <w:p>
      <w:pPr>
        <w:spacing w:after="0" w:line="162" w:lineRule="exact"/>
        <w:rPr>
          <w:rFonts w:ascii="Arial" w:cs="Arial" w:eastAsia="Arial" w:hAnsi="Arial"/>
          <w:sz w:val="13"/>
          <w:szCs w:val="13"/>
          <w:b w:val="1"/>
          <w:bCs w:val="1"/>
          <w:color w:val="auto"/>
        </w:rPr>
      </w:pPr>
    </w:p>
    <w:p>
      <w:pPr>
        <w:jc w:val="both"/>
        <w:ind w:left="223" w:right="20"/>
        <w:spacing w:after="0" w:line="257" w:lineRule="auto"/>
        <w:rPr>
          <w:rFonts w:ascii="Arial" w:cs="Arial" w:eastAsia="Arial" w:hAnsi="Arial"/>
          <w:sz w:val="13"/>
          <w:szCs w:val="13"/>
          <w:b w:val="1"/>
          <w:bCs w:val="1"/>
          <w:color w:val="auto"/>
        </w:rPr>
      </w:pPr>
      <w:r>
        <w:rPr>
          <w:rFonts w:ascii="Arial" w:cs="Arial" w:eastAsia="Arial" w:hAnsi="Arial"/>
          <w:sz w:val="13"/>
          <w:szCs w:val="13"/>
          <w:color w:val="auto"/>
        </w:rPr>
        <w:t>When a derivative instrument or a non-derivative financial item is designated as the hedging instrument in a hedge of a net investment in a foreign operation, the effective portion of changes in the fair value of the hedging instrument is recognized in OCI and presented in the translation reserve within equity. Any ineffective portion of the changes in the fair value of the derivative is recognized in profit or loss. The amount recognized in OCI is reclassified to profit or loss as a reclassification adjustment when disposal of the foreign operation occurs.</w:t>
      </w:r>
    </w:p>
    <w:p>
      <w:pPr>
        <w:spacing w:after="0" w:line="132" w:lineRule="exact"/>
        <w:rPr>
          <w:sz w:val="20"/>
          <w:szCs w:val="20"/>
          <w:color w:val="auto"/>
        </w:rPr>
      </w:pPr>
    </w:p>
    <w:p>
      <w:pPr>
        <w:ind w:left="703"/>
        <w:spacing w:after="0"/>
        <w:tabs>
          <w:tab w:leader="none" w:pos="1143" w:val="left"/>
        </w:tabs>
        <w:rPr>
          <w:sz w:val="20"/>
          <w:szCs w:val="20"/>
          <w:color w:val="auto"/>
        </w:rPr>
      </w:pPr>
      <w:r>
        <w:rPr>
          <w:rFonts w:ascii="Arial" w:cs="Arial" w:eastAsia="Arial" w:hAnsi="Arial"/>
          <w:sz w:val="13"/>
          <w:szCs w:val="13"/>
          <w:b w:val="1"/>
          <w:bCs w:val="1"/>
          <w:color w:val="auto"/>
        </w:rPr>
        <w:t>3.2.7</w:t>
      </w:r>
      <w:r>
        <w:rPr>
          <w:sz w:val="20"/>
          <w:szCs w:val="20"/>
          <w:color w:val="auto"/>
        </w:rPr>
        <w:tab/>
      </w:r>
      <w:r>
        <w:rPr>
          <w:rFonts w:ascii="Arial" w:cs="Arial" w:eastAsia="Arial" w:hAnsi="Arial"/>
          <w:sz w:val="11"/>
          <w:szCs w:val="11"/>
          <w:b w:val="1"/>
          <w:bCs w:val="1"/>
          <w:color w:val="auto"/>
        </w:rPr>
        <w:t>Repurchase agreements</w:t>
      </w:r>
    </w:p>
    <w:p>
      <w:pPr>
        <w:spacing w:after="0" w:line="163" w:lineRule="exact"/>
        <w:rPr>
          <w:sz w:val="20"/>
          <w:szCs w:val="20"/>
          <w:color w:val="auto"/>
        </w:rPr>
      </w:pPr>
    </w:p>
    <w:p>
      <w:pPr>
        <w:jc w:val="both"/>
        <w:ind w:left="223" w:right="20"/>
        <w:spacing w:after="0" w:line="254" w:lineRule="auto"/>
        <w:rPr>
          <w:sz w:val="20"/>
          <w:szCs w:val="20"/>
          <w:color w:val="auto"/>
        </w:rPr>
      </w:pPr>
      <w:r>
        <w:rPr>
          <w:rFonts w:ascii="Arial" w:cs="Arial" w:eastAsia="Arial" w:hAnsi="Arial"/>
          <w:sz w:val="13"/>
          <w:szCs w:val="13"/>
          <w:color w:val="auto"/>
        </w:rPr>
        <w:t>Repurchase agreements are transactions in which the Bank sells a security and simultaneously agrees to repurchase that security (or an asset that is substantially identical) at a fixed price on a future date. The Bank continues to recognize the securities in their entirety in the statement of financial position because it retains substantially all the risks and rewards of ownership. The cash consideration received is recognized as a financial asset and a financial liability is recognized for the obligation to pay the repurchase price. Because the Bank sells the contractual rights to the cash flows of the securities, it does not have the ability to use the transferred assets during the term of the arrangement.</w:t>
      </w:r>
    </w:p>
    <w:p>
      <w:pPr>
        <w:spacing w:after="0" w:line="133" w:lineRule="exact"/>
        <w:rPr>
          <w:sz w:val="20"/>
          <w:szCs w:val="20"/>
          <w:color w:val="auto"/>
        </w:rPr>
      </w:pPr>
    </w:p>
    <w:p>
      <w:pPr>
        <w:ind w:left="703"/>
        <w:spacing w:after="0"/>
        <w:tabs>
          <w:tab w:leader="none" w:pos="1143" w:val="left"/>
        </w:tabs>
        <w:rPr>
          <w:sz w:val="20"/>
          <w:szCs w:val="20"/>
          <w:color w:val="auto"/>
        </w:rPr>
      </w:pPr>
      <w:r>
        <w:rPr>
          <w:rFonts w:ascii="Arial" w:cs="Arial" w:eastAsia="Arial" w:hAnsi="Arial"/>
          <w:sz w:val="13"/>
          <w:szCs w:val="13"/>
          <w:b w:val="1"/>
          <w:bCs w:val="1"/>
          <w:color w:val="auto"/>
        </w:rPr>
        <w:t>3.2.8</w:t>
      </w:r>
      <w:r>
        <w:rPr>
          <w:sz w:val="20"/>
          <w:szCs w:val="20"/>
          <w:color w:val="auto"/>
        </w:rPr>
        <w:tab/>
      </w:r>
      <w:r>
        <w:rPr>
          <w:rFonts w:ascii="Arial" w:cs="Arial" w:eastAsia="Arial" w:hAnsi="Arial"/>
          <w:sz w:val="11"/>
          <w:szCs w:val="11"/>
          <w:b w:val="1"/>
          <w:bCs w:val="1"/>
          <w:color w:val="auto"/>
        </w:rPr>
        <w:t>Borrowings and debt</w:t>
      </w:r>
    </w:p>
    <w:p>
      <w:pPr>
        <w:spacing w:after="0" w:line="163" w:lineRule="exact"/>
        <w:rPr>
          <w:sz w:val="20"/>
          <w:szCs w:val="20"/>
          <w:color w:val="auto"/>
        </w:rPr>
      </w:pPr>
    </w:p>
    <w:p>
      <w:pPr>
        <w:jc w:val="both"/>
        <w:ind w:left="223" w:right="20"/>
        <w:spacing w:after="0" w:line="267" w:lineRule="auto"/>
        <w:rPr>
          <w:sz w:val="20"/>
          <w:szCs w:val="20"/>
          <w:color w:val="auto"/>
        </w:rPr>
      </w:pPr>
      <w:r>
        <w:rPr>
          <w:rFonts w:ascii="Arial" w:cs="Arial" w:eastAsia="Arial" w:hAnsi="Arial"/>
          <w:sz w:val="13"/>
          <w:szCs w:val="13"/>
          <w:color w:val="auto"/>
        </w:rPr>
        <w:t>Borrowings and debt are accounted for at amortized cost, except for those designated as hedged items in qualifying fair value hedging relationships, which are measured at amortized cost adjusted for the hedge risk components associated to the hedging relationship.</w:t>
      </w:r>
    </w:p>
    <w:p>
      <w:pPr>
        <w:spacing w:after="0" w:line="125" w:lineRule="exact"/>
        <w:rPr>
          <w:sz w:val="20"/>
          <w:szCs w:val="20"/>
          <w:color w:val="auto"/>
        </w:rPr>
      </w:pPr>
    </w:p>
    <w:p>
      <w:pPr>
        <w:ind w:left="703"/>
        <w:spacing w:after="0"/>
        <w:tabs>
          <w:tab w:leader="none" w:pos="1143" w:val="left"/>
        </w:tabs>
        <w:rPr>
          <w:sz w:val="20"/>
          <w:szCs w:val="20"/>
          <w:color w:val="auto"/>
        </w:rPr>
      </w:pPr>
      <w:r>
        <w:rPr>
          <w:rFonts w:ascii="Arial" w:cs="Arial" w:eastAsia="Arial" w:hAnsi="Arial"/>
          <w:sz w:val="13"/>
          <w:szCs w:val="13"/>
          <w:b w:val="1"/>
          <w:bCs w:val="1"/>
          <w:color w:val="auto"/>
        </w:rPr>
        <w:t>3.2.9</w:t>
      </w:r>
      <w:r>
        <w:rPr>
          <w:sz w:val="20"/>
          <w:szCs w:val="20"/>
          <w:color w:val="auto"/>
        </w:rPr>
        <w:tab/>
      </w:r>
      <w:r>
        <w:rPr>
          <w:rFonts w:ascii="Arial" w:cs="Arial" w:eastAsia="Arial" w:hAnsi="Arial"/>
          <w:sz w:val="11"/>
          <w:szCs w:val="11"/>
          <w:b w:val="1"/>
          <w:bCs w:val="1"/>
          <w:color w:val="auto"/>
        </w:rPr>
        <w:t>Non-financial assets</w:t>
      </w:r>
    </w:p>
    <w:p>
      <w:pPr>
        <w:spacing w:after="0" w:line="163" w:lineRule="exact"/>
        <w:rPr>
          <w:sz w:val="20"/>
          <w:szCs w:val="20"/>
          <w:color w:val="auto"/>
        </w:rPr>
      </w:pPr>
    </w:p>
    <w:p>
      <w:pPr>
        <w:ind w:left="223"/>
        <w:spacing w:after="0"/>
        <w:rPr>
          <w:sz w:val="20"/>
          <w:szCs w:val="20"/>
          <w:color w:val="auto"/>
        </w:rPr>
      </w:pPr>
      <w:r>
        <w:rPr>
          <w:rFonts w:ascii="Arial" w:cs="Arial" w:eastAsia="Arial" w:hAnsi="Arial"/>
          <w:sz w:val="13"/>
          <w:szCs w:val="13"/>
          <w:color w:val="auto"/>
        </w:rPr>
        <w:t xml:space="preserve">A non-financial asset is an asset with a physical or intangible value and it is subject to the impairment guidelines prescribed in IAS 36 – </w:t>
      </w:r>
      <w:r>
        <w:rPr>
          <w:rFonts w:ascii="Arial" w:cs="Arial" w:eastAsia="Arial" w:hAnsi="Arial"/>
          <w:sz w:val="13"/>
          <w:szCs w:val="13"/>
          <w:i w:val="1"/>
          <w:iCs w:val="1"/>
          <w:color w:val="auto"/>
        </w:rPr>
        <w:t>Impairment of assets.</w:t>
      </w:r>
    </w:p>
    <w:p>
      <w:pPr>
        <w:spacing w:after="0" w:line="155" w:lineRule="exact"/>
        <w:rPr>
          <w:sz w:val="20"/>
          <w:szCs w:val="20"/>
          <w:color w:val="auto"/>
        </w:rPr>
      </w:pPr>
    </w:p>
    <w:p>
      <w:pPr>
        <w:ind w:left="283"/>
        <w:spacing w:after="0"/>
        <w:rPr>
          <w:sz w:val="20"/>
          <w:szCs w:val="20"/>
          <w:color w:val="auto"/>
        </w:rPr>
      </w:pPr>
      <w:r>
        <w:rPr>
          <w:rFonts w:ascii="Arial" w:cs="Arial" w:eastAsia="Arial" w:hAnsi="Arial"/>
          <w:sz w:val="13"/>
          <w:szCs w:val="13"/>
          <w:b w:val="1"/>
          <w:bCs w:val="1"/>
          <w:u w:val="single" w:color="auto"/>
          <w:color w:val="auto"/>
        </w:rPr>
        <w:t>Impairment of non-financial assets</w:t>
      </w:r>
    </w:p>
    <w:p>
      <w:pPr>
        <w:spacing w:after="0" w:line="163" w:lineRule="exact"/>
        <w:rPr>
          <w:sz w:val="20"/>
          <w:szCs w:val="20"/>
          <w:color w:val="auto"/>
        </w:rPr>
      </w:pPr>
    </w:p>
    <w:p>
      <w:pPr>
        <w:jc w:val="both"/>
        <w:ind w:left="223"/>
        <w:spacing w:after="0" w:line="278" w:lineRule="auto"/>
        <w:rPr>
          <w:sz w:val="20"/>
          <w:szCs w:val="20"/>
          <w:color w:val="auto"/>
        </w:rPr>
      </w:pPr>
      <w:r>
        <w:rPr>
          <w:rFonts w:ascii="Arial" w:cs="Arial" w:eastAsia="Arial" w:hAnsi="Arial"/>
          <w:sz w:val="12"/>
          <w:szCs w:val="12"/>
          <w:color w:val="auto"/>
        </w:rPr>
        <w:t>A non-financial asset is impaired when an entity will not be able to recover that asset’s carrying value, either through its use or sale. If circumstances arise which indicate that a non-financial asset might be impaired, a review should be undertaken of its cash generating abilities through use or sale. This review will produce an amount which should be compared with the asset’s carrying value, and if the carrying value is higher, the difference must be written off as impairment in profit or loss. On the other hand, if there is any indication that previously recognized impairment losses may no longer exist or may have decreased, the Bank makes an estimate of the recoverable amount. In that case, the carrying amount of the asset is increased to its recoverable amount. This increase cannot exceed the carrying amount that would have been determined, net of depreciation or amortization, had no impairment loss been recognized for the asset in prior years. Such reversal is recognized in profit or loss.</w:t>
      </w:r>
    </w:p>
    <w:p>
      <w:pPr>
        <w:spacing w:after="0" w:line="279"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F-29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0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154" w:name="page155"/>
    <w:bookmarkEnd w:id="154"/>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0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117"/>
        </w:numPr>
        <w:rPr>
          <w:rFonts w:ascii="Arial" w:cs="Arial" w:eastAsia="Arial" w:hAnsi="Arial"/>
          <w:sz w:val="13"/>
          <w:szCs w:val="13"/>
          <w:b w:val="1"/>
          <w:bCs w:val="1"/>
          <w:color w:val="auto"/>
        </w:rPr>
      </w:pPr>
      <w:r>
        <w:rPr>
          <w:rFonts w:ascii="Arial" w:cs="Arial" w:eastAsia="Arial" w:hAnsi="Arial"/>
          <w:sz w:val="13"/>
          <w:szCs w:val="13"/>
          <w:b w:val="1"/>
          <w:bCs w:val="1"/>
          <w:color w:val="auto"/>
        </w:rPr>
        <w:t>Summary of accounting policies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3.2</w:t>
      </w:r>
      <w:r>
        <w:rPr>
          <w:rFonts w:ascii="Arial" w:cs="Arial" w:eastAsia="Arial" w:hAnsi="Arial"/>
          <w:sz w:val="11"/>
          <w:szCs w:val="11"/>
          <w:b w:val="1"/>
          <w:bCs w:val="1"/>
          <w:color w:val="auto"/>
        </w:rPr>
        <w:t>Significant accounting policies (continued)</w:t>
      </w:r>
    </w:p>
    <w:p>
      <w:pPr>
        <w:spacing w:after="0" w:line="158" w:lineRule="exact"/>
        <w:rPr>
          <w:rFonts w:ascii="Arial" w:cs="Arial" w:eastAsia="Arial" w:hAnsi="Arial"/>
          <w:sz w:val="13"/>
          <w:szCs w:val="13"/>
          <w:b w:val="1"/>
          <w:bCs w:val="1"/>
          <w:color w:val="auto"/>
        </w:rPr>
      </w:pPr>
    </w:p>
    <w:p>
      <w:pPr>
        <w:ind w:left="70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3.2.10  Equipment and leasehold improvements</w:t>
      </w:r>
    </w:p>
    <w:p>
      <w:pPr>
        <w:spacing w:after="0" w:line="162" w:lineRule="exact"/>
        <w:rPr>
          <w:rFonts w:ascii="Arial" w:cs="Arial" w:eastAsia="Arial" w:hAnsi="Arial"/>
          <w:sz w:val="13"/>
          <w:szCs w:val="13"/>
          <w:b w:val="1"/>
          <w:bCs w:val="1"/>
          <w:color w:val="auto"/>
        </w:rPr>
      </w:pP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Equipment and leasehold improvements are stated at cost excluding the costs of day–to–day maintenance, less accumulated depreciation and impairment losses. Changes in the expected useful life are accounted for by changing the amortization period or method, as appropriate, and treated as changes in accounting estimates.</w:t>
      </w:r>
    </w:p>
    <w:p>
      <w:pPr>
        <w:spacing w:after="0" w:line="129"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2"/>
          <w:szCs w:val="12"/>
          <w:color w:val="auto"/>
        </w:rPr>
        <w:t>Depreciation is calculated using the straight–line method to write down the cost of assets and equipment to their residual values over their estimated useful lives. The estimated useful lives are as follows:</w:t>
      </w:r>
    </w:p>
    <w:p>
      <w:pPr>
        <w:spacing w:after="0" w:line="154" w:lineRule="exact"/>
        <w:rPr>
          <w:sz w:val="20"/>
          <w:szCs w:val="20"/>
          <w:color w:val="auto"/>
        </w:rPr>
      </w:pPr>
    </w:p>
    <w:tbl>
      <w:tblPr>
        <w:tblLayout w:type="fixed"/>
        <w:tblInd w:w="1143" w:type="dxa"/>
        <w:tblCellMar>
          <w:top w:w="0" w:type="dxa"/>
          <w:left w:w="0" w:type="dxa"/>
          <w:bottom w:w="0" w:type="dxa"/>
          <w:right w:w="0" w:type="dxa"/>
        </w:tblCellMar>
      </w:tblPr>
      <w:tr>
        <w:trPr>
          <w:trHeight w:val="149"/>
        </w:trPr>
        <w:tc>
          <w:tcPr>
            <w:tcW w:w="3920" w:type="dxa"/>
            <w:vAlign w:val="bottom"/>
          </w:tcPr>
          <w:p>
            <w:pPr>
              <w:spacing w:after="0"/>
              <w:rPr>
                <w:sz w:val="13"/>
                <w:szCs w:val="13"/>
                <w:color w:val="auto"/>
              </w:rPr>
            </w:pPr>
          </w:p>
        </w:tc>
        <w:tc>
          <w:tcPr>
            <w:tcW w:w="3020" w:type="dxa"/>
            <w:vAlign w:val="bottom"/>
          </w:tcPr>
          <w:p>
            <w:pPr>
              <w:spacing w:after="0"/>
              <w:rPr>
                <w:sz w:val="13"/>
                <w:szCs w:val="13"/>
                <w:color w:val="auto"/>
              </w:rPr>
            </w:pPr>
          </w:p>
        </w:tc>
        <w:tc>
          <w:tcPr>
            <w:tcW w:w="104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9"/>
              </w:rPr>
              <w:t>Useful life in Years</w:t>
            </w:r>
          </w:p>
        </w:tc>
        <w:tc>
          <w:tcPr>
            <w:tcW w:w="400" w:type="dxa"/>
            <w:vAlign w:val="bottom"/>
          </w:tcPr>
          <w:p>
            <w:pPr>
              <w:spacing w:after="0"/>
              <w:rPr>
                <w:sz w:val="13"/>
                <w:szCs w:val="13"/>
                <w:color w:val="auto"/>
              </w:rPr>
            </w:pPr>
          </w:p>
        </w:tc>
      </w:tr>
      <w:tr>
        <w:trPr>
          <w:trHeight w:val="154"/>
        </w:trPr>
        <w:tc>
          <w:tcPr>
            <w:tcW w:w="3920" w:type="dxa"/>
            <w:vAlign w:val="bottom"/>
          </w:tcPr>
          <w:p>
            <w:pPr>
              <w:spacing w:after="0"/>
              <w:rPr>
                <w:sz w:val="20"/>
                <w:szCs w:val="20"/>
                <w:color w:val="auto"/>
              </w:rPr>
            </w:pPr>
            <w:r>
              <w:rPr>
                <w:rFonts w:ascii="Arial" w:cs="Arial" w:eastAsia="Arial" w:hAnsi="Arial"/>
                <w:sz w:val="13"/>
                <w:szCs w:val="13"/>
                <w:color w:val="auto"/>
              </w:rPr>
              <w:t>Furniture and equipment</w:t>
            </w:r>
          </w:p>
        </w:tc>
        <w:tc>
          <w:tcPr>
            <w:tcW w:w="3020" w:type="dxa"/>
            <w:vAlign w:val="bottom"/>
          </w:tcPr>
          <w:p>
            <w:pPr>
              <w:spacing w:after="0"/>
              <w:rPr>
                <w:sz w:val="13"/>
                <w:szCs w:val="13"/>
                <w:color w:val="auto"/>
              </w:rPr>
            </w:pPr>
          </w:p>
        </w:tc>
        <w:tc>
          <w:tcPr>
            <w:tcW w:w="1440" w:type="dxa"/>
            <w:vAlign w:val="bottom"/>
            <w:gridSpan w:val="2"/>
          </w:tcPr>
          <w:p>
            <w:pPr>
              <w:jc w:val="center"/>
              <w:ind w:right="400"/>
              <w:spacing w:after="0"/>
              <w:rPr>
                <w:sz w:val="20"/>
                <w:szCs w:val="20"/>
                <w:color w:val="auto"/>
              </w:rPr>
            </w:pPr>
            <w:r>
              <w:rPr>
                <w:rFonts w:ascii="Arial" w:cs="Arial" w:eastAsia="Arial" w:hAnsi="Arial"/>
                <w:sz w:val="13"/>
                <w:szCs w:val="13"/>
                <w:color w:val="auto"/>
                <w:w w:val="88"/>
              </w:rPr>
              <w:t>3 to 5 years</w:t>
            </w:r>
          </w:p>
        </w:tc>
      </w:tr>
      <w:tr>
        <w:trPr>
          <w:trHeight w:val="154"/>
        </w:trPr>
        <w:tc>
          <w:tcPr>
            <w:tcW w:w="3920" w:type="dxa"/>
            <w:vAlign w:val="bottom"/>
          </w:tcPr>
          <w:p>
            <w:pPr>
              <w:spacing w:after="0"/>
              <w:rPr>
                <w:sz w:val="20"/>
                <w:szCs w:val="20"/>
                <w:color w:val="auto"/>
              </w:rPr>
            </w:pPr>
            <w:r>
              <w:rPr>
                <w:rFonts w:ascii="Arial" w:cs="Arial" w:eastAsia="Arial" w:hAnsi="Arial"/>
                <w:sz w:val="13"/>
                <w:szCs w:val="13"/>
                <w:color w:val="auto"/>
              </w:rPr>
              <w:t>Hardware</w:t>
            </w:r>
          </w:p>
        </w:tc>
        <w:tc>
          <w:tcPr>
            <w:tcW w:w="3020" w:type="dxa"/>
            <w:vAlign w:val="bottom"/>
          </w:tcPr>
          <w:p>
            <w:pPr>
              <w:spacing w:after="0"/>
              <w:rPr>
                <w:sz w:val="13"/>
                <w:szCs w:val="13"/>
                <w:color w:val="auto"/>
              </w:rPr>
            </w:pPr>
          </w:p>
        </w:tc>
        <w:tc>
          <w:tcPr>
            <w:tcW w:w="1440" w:type="dxa"/>
            <w:vAlign w:val="bottom"/>
            <w:gridSpan w:val="2"/>
          </w:tcPr>
          <w:p>
            <w:pPr>
              <w:jc w:val="center"/>
              <w:ind w:right="400"/>
              <w:spacing w:after="0"/>
              <w:rPr>
                <w:sz w:val="20"/>
                <w:szCs w:val="20"/>
                <w:color w:val="auto"/>
              </w:rPr>
            </w:pPr>
            <w:r>
              <w:rPr>
                <w:rFonts w:ascii="Arial" w:cs="Arial" w:eastAsia="Arial" w:hAnsi="Arial"/>
                <w:sz w:val="13"/>
                <w:szCs w:val="13"/>
                <w:color w:val="auto"/>
                <w:w w:val="84"/>
              </w:rPr>
              <w:t>3 years</w:t>
            </w:r>
          </w:p>
        </w:tc>
      </w:tr>
      <w:tr>
        <w:trPr>
          <w:trHeight w:val="154"/>
        </w:trPr>
        <w:tc>
          <w:tcPr>
            <w:tcW w:w="3920" w:type="dxa"/>
            <w:vAlign w:val="bottom"/>
          </w:tcPr>
          <w:p>
            <w:pPr>
              <w:spacing w:after="0"/>
              <w:rPr>
                <w:sz w:val="20"/>
                <w:szCs w:val="20"/>
                <w:color w:val="auto"/>
              </w:rPr>
            </w:pPr>
            <w:r>
              <w:rPr>
                <w:rFonts w:ascii="Arial" w:cs="Arial" w:eastAsia="Arial" w:hAnsi="Arial"/>
                <w:sz w:val="13"/>
                <w:szCs w:val="13"/>
                <w:color w:val="auto"/>
              </w:rPr>
              <w:t>Other equipment</w:t>
            </w:r>
          </w:p>
        </w:tc>
        <w:tc>
          <w:tcPr>
            <w:tcW w:w="3020" w:type="dxa"/>
            <w:vAlign w:val="bottom"/>
          </w:tcPr>
          <w:p>
            <w:pPr>
              <w:spacing w:after="0"/>
              <w:rPr>
                <w:sz w:val="13"/>
                <w:szCs w:val="13"/>
                <w:color w:val="auto"/>
              </w:rPr>
            </w:pPr>
          </w:p>
        </w:tc>
        <w:tc>
          <w:tcPr>
            <w:tcW w:w="1440" w:type="dxa"/>
            <w:vAlign w:val="bottom"/>
            <w:gridSpan w:val="2"/>
          </w:tcPr>
          <w:p>
            <w:pPr>
              <w:jc w:val="center"/>
              <w:ind w:right="400"/>
              <w:spacing w:after="0"/>
              <w:rPr>
                <w:sz w:val="20"/>
                <w:szCs w:val="20"/>
                <w:color w:val="auto"/>
              </w:rPr>
            </w:pPr>
            <w:r>
              <w:rPr>
                <w:rFonts w:ascii="Arial" w:cs="Arial" w:eastAsia="Arial" w:hAnsi="Arial"/>
                <w:sz w:val="13"/>
                <w:szCs w:val="13"/>
                <w:color w:val="auto"/>
                <w:w w:val="88"/>
              </w:rPr>
              <w:t>2 to 4 years</w:t>
            </w:r>
          </w:p>
        </w:tc>
      </w:tr>
      <w:tr>
        <w:trPr>
          <w:trHeight w:val="162"/>
        </w:trPr>
        <w:tc>
          <w:tcPr>
            <w:tcW w:w="3920" w:type="dxa"/>
            <w:vAlign w:val="bottom"/>
          </w:tcPr>
          <w:p>
            <w:pPr>
              <w:spacing w:after="0"/>
              <w:rPr>
                <w:sz w:val="20"/>
                <w:szCs w:val="20"/>
                <w:color w:val="auto"/>
              </w:rPr>
            </w:pPr>
            <w:r>
              <w:rPr>
                <w:rFonts w:ascii="Arial" w:cs="Arial" w:eastAsia="Arial" w:hAnsi="Arial"/>
                <w:sz w:val="13"/>
                <w:szCs w:val="13"/>
                <w:color w:val="auto"/>
              </w:rPr>
              <w:t>Leasehold improvements</w:t>
            </w:r>
          </w:p>
        </w:tc>
        <w:tc>
          <w:tcPr>
            <w:tcW w:w="4460" w:type="dxa"/>
            <w:vAlign w:val="bottom"/>
            <w:gridSpan w:val="3"/>
          </w:tcPr>
          <w:p>
            <w:pPr>
              <w:jc w:val="center"/>
              <w:ind w:left="2556"/>
              <w:spacing w:after="0"/>
              <w:rPr>
                <w:sz w:val="20"/>
                <w:szCs w:val="20"/>
                <w:color w:val="auto"/>
              </w:rPr>
            </w:pPr>
            <w:r>
              <w:rPr>
                <w:rFonts w:ascii="Arial" w:cs="Arial" w:eastAsia="Arial" w:hAnsi="Arial"/>
                <w:sz w:val="13"/>
                <w:szCs w:val="13"/>
                <w:color w:val="auto"/>
                <w:w w:val="88"/>
              </w:rPr>
              <w:t>3 to 15 years or up to the lease term</w:t>
            </w:r>
          </w:p>
        </w:tc>
      </w:tr>
    </w:tbl>
    <w:p>
      <w:pPr>
        <w:spacing w:after="0" w:line="146" w:lineRule="exact"/>
        <w:rPr>
          <w:sz w:val="20"/>
          <w:szCs w:val="20"/>
          <w:color w:val="auto"/>
        </w:rPr>
      </w:pPr>
    </w:p>
    <w:p>
      <w:pPr>
        <w:ind w:left="223"/>
        <w:spacing w:after="0"/>
        <w:rPr>
          <w:sz w:val="20"/>
          <w:szCs w:val="20"/>
          <w:color w:val="auto"/>
        </w:rPr>
      </w:pPr>
      <w:r>
        <w:rPr>
          <w:rFonts w:ascii="Arial" w:cs="Arial" w:eastAsia="Arial" w:hAnsi="Arial"/>
          <w:sz w:val="13"/>
          <w:szCs w:val="13"/>
          <w:color w:val="auto"/>
        </w:rPr>
        <w:t>Leasehold improvements, under operating leases are amortized on a straight line basis calculated without exceeding the length of the respective lease contracts.</w:t>
      </w:r>
    </w:p>
    <w:p>
      <w:pPr>
        <w:spacing w:after="0" w:line="159" w:lineRule="exact"/>
        <w:rPr>
          <w:sz w:val="20"/>
          <w:szCs w:val="20"/>
          <w:color w:val="auto"/>
        </w:rPr>
      </w:pPr>
    </w:p>
    <w:p>
      <w:pPr>
        <w:jc w:val="both"/>
        <w:ind w:left="223"/>
        <w:spacing w:after="0" w:line="310" w:lineRule="auto"/>
        <w:rPr>
          <w:sz w:val="20"/>
          <w:szCs w:val="20"/>
          <w:color w:val="auto"/>
        </w:rPr>
      </w:pPr>
      <w:r>
        <w:rPr>
          <w:rFonts w:ascii="Arial" w:cs="Arial" w:eastAsia="Arial" w:hAnsi="Arial"/>
          <w:sz w:val="12"/>
          <w:szCs w:val="12"/>
          <w:color w:val="auto"/>
        </w:rPr>
        <w:t>Equipment and leasehold improvements are derecognized on disposal or when no future economic benefits are expected from their use. Any gain or loss arising on derecognition of the asset (calculated as the difference between the net disposal proceeds and the carrying amount of the asset) is recognized in other income or other expenses in profit or loss in the year that the asset is derecognized.</w:t>
      </w:r>
    </w:p>
    <w:p>
      <w:pPr>
        <w:spacing w:after="0" w:line="102" w:lineRule="exact"/>
        <w:rPr>
          <w:sz w:val="20"/>
          <w:szCs w:val="20"/>
          <w:color w:val="auto"/>
        </w:rPr>
      </w:pPr>
    </w:p>
    <w:p>
      <w:pPr>
        <w:ind w:left="703"/>
        <w:spacing w:after="0"/>
        <w:tabs>
          <w:tab w:leader="none" w:pos="1143" w:val="left"/>
        </w:tabs>
        <w:rPr>
          <w:sz w:val="20"/>
          <w:szCs w:val="20"/>
          <w:color w:val="auto"/>
        </w:rPr>
      </w:pPr>
      <w:r>
        <w:rPr>
          <w:rFonts w:ascii="Arial" w:cs="Arial" w:eastAsia="Arial" w:hAnsi="Arial"/>
          <w:sz w:val="13"/>
          <w:szCs w:val="13"/>
          <w:b w:val="1"/>
          <w:bCs w:val="1"/>
          <w:color w:val="auto"/>
        </w:rPr>
        <w:t>3.2.11</w:t>
      </w:r>
      <w:r>
        <w:rPr>
          <w:sz w:val="20"/>
          <w:szCs w:val="20"/>
          <w:color w:val="auto"/>
        </w:rPr>
        <w:tab/>
      </w:r>
      <w:r>
        <w:rPr>
          <w:rFonts w:ascii="Arial" w:cs="Arial" w:eastAsia="Arial" w:hAnsi="Arial"/>
          <w:sz w:val="11"/>
          <w:szCs w:val="11"/>
          <w:b w:val="1"/>
          <w:bCs w:val="1"/>
          <w:color w:val="auto"/>
        </w:rPr>
        <w:t>Intangible assets</w:t>
      </w:r>
    </w:p>
    <w:p>
      <w:pPr>
        <w:spacing w:after="0" w:line="163" w:lineRule="exact"/>
        <w:rPr>
          <w:sz w:val="20"/>
          <w:szCs w:val="20"/>
          <w:color w:val="auto"/>
        </w:rPr>
      </w:pPr>
    </w:p>
    <w:p>
      <w:pPr>
        <w:ind w:left="223"/>
        <w:spacing w:after="0"/>
        <w:rPr>
          <w:sz w:val="20"/>
          <w:szCs w:val="20"/>
          <w:color w:val="auto"/>
        </w:rPr>
      </w:pPr>
      <w:r>
        <w:rPr>
          <w:rFonts w:ascii="Arial" w:cs="Arial" w:eastAsia="Arial" w:hAnsi="Arial"/>
          <w:sz w:val="13"/>
          <w:szCs w:val="13"/>
          <w:color w:val="auto"/>
        </w:rPr>
        <w:t>An intangible asset is recognized only when its cost can be measured reliably, and it is probable that the expected future economic benefits that are attributable to it will flow to the Bank.</w:t>
      </w:r>
    </w:p>
    <w:p>
      <w:pPr>
        <w:spacing w:after="0" w:line="159" w:lineRule="exact"/>
        <w:rPr>
          <w:sz w:val="20"/>
          <w:szCs w:val="20"/>
          <w:color w:val="auto"/>
        </w:rPr>
      </w:pPr>
    </w:p>
    <w:p>
      <w:pPr>
        <w:jc w:val="both"/>
        <w:ind w:left="223"/>
        <w:spacing w:after="0" w:line="289" w:lineRule="auto"/>
        <w:rPr>
          <w:sz w:val="20"/>
          <w:szCs w:val="20"/>
          <w:color w:val="auto"/>
        </w:rPr>
      </w:pPr>
      <w:r>
        <w:rPr>
          <w:rFonts w:ascii="Arial" w:cs="Arial" w:eastAsia="Arial" w:hAnsi="Arial"/>
          <w:sz w:val="12"/>
          <w:szCs w:val="12"/>
          <w:color w:val="auto"/>
        </w:rPr>
        <w:t>The useful lives of intangible assets are assessed to be either finite or indefinite. Intangible assets with finite useful lives are amortized using the straight-line method over the estimated useful lives of the assets. Changes in the expected useful life or the expected pattern of consumption of future economic benefits embodied in the asset are accounted for by changing the amortization period or method, as appropriate, and they are treated as changes in accounting estimates. The amortization expense on intangible assets with finite lives is presented as a separate line item in profit or loss.</w:t>
      </w:r>
    </w:p>
    <w:p>
      <w:pPr>
        <w:spacing w:after="0" w:line="118" w:lineRule="exact"/>
        <w:rPr>
          <w:sz w:val="20"/>
          <w:szCs w:val="20"/>
          <w:color w:val="auto"/>
        </w:rPr>
      </w:pPr>
    </w:p>
    <w:p>
      <w:pPr>
        <w:jc w:val="both"/>
        <w:ind w:left="223" w:right="20"/>
        <w:spacing w:after="0" w:line="257" w:lineRule="auto"/>
        <w:rPr>
          <w:sz w:val="20"/>
          <w:szCs w:val="20"/>
          <w:color w:val="auto"/>
        </w:rPr>
      </w:pPr>
      <w:r>
        <w:rPr>
          <w:rFonts w:ascii="Arial" w:cs="Arial" w:eastAsia="Arial" w:hAnsi="Arial"/>
          <w:sz w:val="13"/>
          <w:szCs w:val="13"/>
          <w:color w:val="auto"/>
        </w:rPr>
        <w:t>Bank’s intangible assets include the cost of computer software. Amortization is calculated using the straight–line method to write down the cost of intangible assets to their residual values over their estimated useful lives of 5 years. Gains or losses arising from the derecognition of an intangible asset are determined by the Bank as the difference between proceeds from the sale or disposal and the net carrying amount of the intangible asset and recognized in profit or loss for the year in which the transaction occurs.</w:t>
      </w:r>
    </w:p>
    <w:p>
      <w:pPr>
        <w:spacing w:after="0" w:line="132" w:lineRule="exact"/>
        <w:rPr>
          <w:sz w:val="20"/>
          <w:szCs w:val="20"/>
          <w:color w:val="auto"/>
        </w:rPr>
      </w:pPr>
    </w:p>
    <w:p>
      <w:pPr>
        <w:ind w:left="703"/>
        <w:spacing w:after="0"/>
        <w:tabs>
          <w:tab w:leader="none" w:pos="1143" w:val="left"/>
        </w:tabs>
        <w:rPr>
          <w:sz w:val="20"/>
          <w:szCs w:val="20"/>
          <w:color w:val="auto"/>
        </w:rPr>
      </w:pPr>
      <w:r>
        <w:rPr>
          <w:rFonts w:ascii="Arial" w:cs="Arial" w:eastAsia="Arial" w:hAnsi="Arial"/>
          <w:sz w:val="13"/>
          <w:szCs w:val="13"/>
          <w:b w:val="1"/>
          <w:bCs w:val="1"/>
          <w:color w:val="auto"/>
        </w:rPr>
        <w:t>3.2.12</w:t>
      </w:r>
      <w:r>
        <w:rPr>
          <w:sz w:val="20"/>
          <w:szCs w:val="20"/>
          <w:color w:val="auto"/>
        </w:rPr>
        <w:tab/>
      </w:r>
      <w:r>
        <w:rPr>
          <w:rFonts w:ascii="Arial" w:cs="Arial" w:eastAsia="Arial" w:hAnsi="Arial"/>
          <w:sz w:val="11"/>
          <w:szCs w:val="11"/>
          <w:b w:val="1"/>
          <w:bCs w:val="1"/>
          <w:color w:val="auto"/>
        </w:rPr>
        <w:t>Investment properties</w:t>
      </w:r>
    </w:p>
    <w:p>
      <w:pPr>
        <w:spacing w:after="0" w:line="163" w:lineRule="exact"/>
        <w:rPr>
          <w:sz w:val="20"/>
          <w:szCs w:val="20"/>
          <w:color w:val="auto"/>
        </w:rPr>
      </w:pPr>
    </w:p>
    <w:p>
      <w:pPr>
        <w:jc w:val="both"/>
        <w:ind w:left="223" w:right="20"/>
        <w:spacing w:after="0" w:line="267" w:lineRule="auto"/>
        <w:rPr>
          <w:sz w:val="20"/>
          <w:szCs w:val="20"/>
          <w:color w:val="auto"/>
        </w:rPr>
      </w:pPr>
      <w:r>
        <w:rPr>
          <w:rFonts w:ascii="Arial" w:cs="Arial" w:eastAsia="Arial" w:hAnsi="Arial"/>
          <w:sz w:val="13"/>
          <w:szCs w:val="13"/>
          <w:color w:val="auto"/>
        </w:rPr>
        <w:t>Property that is held for long-term rental yields, operating leases and/or for capital appreciation, and that is not occupied by the Bank, is classified as investment property. Investment property is measured initially at its cost, including related transaction costs and where applicable borrowing costs. After initial recognition, investment property is carried at fair value.</w:t>
      </w:r>
    </w:p>
    <w:p>
      <w:pPr>
        <w:spacing w:after="0" w:line="129" w:lineRule="exact"/>
        <w:rPr>
          <w:sz w:val="20"/>
          <w:szCs w:val="20"/>
          <w:color w:val="auto"/>
        </w:rPr>
      </w:pPr>
    </w:p>
    <w:p>
      <w:pPr>
        <w:jc w:val="both"/>
        <w:ind w:left="223" w:right="20"/>
        <w:spacing w:after="0" w:line="289" w:lineRule="auto"/>
        <w:rPr>
          <w:sz w:val="20"/>
          <w:szCs w:val="20"/>
          <w:color w:val="auto"/>
        </w:rPr>
      </w:pPr>
      <w:r>
        <w:rPr>
          <w:rFonts w:ascii="Arial" w:cs="Arial" w:eastAsia="Arial" w:hAnsi="Arial"/>
          <w:sz w:val="12"/>
          <w:szCs w:val="12"/>
          <w:color w:val="auto"/>
        </w:rPr>
        <w:t>Fair value is based on market prices, adjusted, if necessary, for differences in the nature, location or condition of the specific asset. If this information is not available, the Bank uses alternative valuation methods, such as recent prices on less active markets or discounted cash flow projections. Valuations are performed as of the reporting date by professional appraisers who hold recognized and relevant professional qualifications and have recent experience in the location and category of the investment property being valued. These valuations form the basis for the carrying amounts in the consolidated financial statements.</w:t>
      </w:r>
    </w:p>
    <w:p>
      <w:pPr>
        <w:spacing w:after="0" w:line="118" w:lineRule="exact"/>
        <w:rPr>
          <w:sz w:val="20"/>
          <w:szCs w:val="20"/>
          <w:color w:val="auto"/>
        </w:rPr>
      </w:pPr>
    </w:p>
    <w:p>
      <w:pPr>
        <w:ind w:left="223"/>
        <w:spacing w:after="0"/>
        <w:rPr>
          <w:sz w:val="20"/>
          <w:szCs w:val="20"/>
          <w:color w:val="auto"/>
        </w:rPr>
      </w:pPr>
      <w:r>
        <w:rPr>
          <w:rFonts w:ascii="Arial" w:cs="Arial" w:eastAsia="Arial" w:hAnsi="Arial"/>
          <w:sz w:val="11"/>
          <w:szCs w:val="11"/>
          <w:color w:val="auto"/>
        </w:rPr>
        <w:t>The fair value of investment property reflects, among other things, rental income from current leases and other assumptions market participants would make when pricing the property under current market conditions.</w:t>
      </w:r>
    </w:p>
    <w:p>
      <w:pPr>
        <w:spacing w:after="0" w:line="336"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F-30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0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155" w:name="page156"/>
    <w:bookmarkEnd w:id="155"/>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0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118"/>
        </w:numPr>
        <w:rPr>
          <w:rFonts w:ascii="Arial" w:cs="Arial" w:eastAsia="Arial" w:hAnsi="Arial"/>
          <w:sz w:val="13"/>
          <w:szCs w:val="13"/>
          <w:b w:val="1"/>
          <w:bCs w:val="1"/>
          <w:color w:val="auto"/>
        </w:rPr>
      </w:pPr>
      <w:r>
        <w:rPr>
          <w:rFonts w:ascii="Arial" w:cs="Arial" w:eastAsia="Arial" w:hAnsi="Arial"/>
          <w:sz w:val="13"/>
          <w:szCs w:val="13"/>
          <w:b w:val="1"/>
          <w:bCs w:val="1"/>
          <w:color w:val="auto"/>
        </w:rPr>
        <w:t>Summary of accounting policies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3.2</w:t>
      </w:r>
      <w:r>
        <w:rPr>
          <w:rFonts w:ascii="Arial" w:cs="Arial" w:eastAsia="Arial" w:hAnsi="Arial"/>
          <w:sz w:val="11"/>
          <w:szCs w:val="11"/>
          <w:b w:val="1"/>
          <w:bCs w:val="1"/>
          <w:color w:val="auto"/>
        </w:rPr>
        <w:t>Significant accounting policies (continued)</w:t>
      </w:r>
    </w:p>
    <w:p>
      <w:pPr>
        <w:spacing w:after="0" w:line="158" w:lineRule="exact"/>
        <w:rPr>
          <w:rFonts w:ascii="Arial" w:cs="Arial" w:eastAsia="Arial" w:hAnsi="Arial"/>
          <w:sz w:val="13"/>
          <w:szCs w:val="13"/>
          <w:b w:val="1"/>
          <w:bCs w:val="1"/>
          <w:color w:val="auto"/>
        </w:rPr>
      </w:pPr>
    </w:p>
    <w:p>
      <w:pPr>
        <w:ind w:left="70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3.2.12  Investment properties (continued)</w:t>
      </w:r>
    </w:p>
    <w:p>
      <w:pPr>
        <w:spacing w:after="0" w:line="162" w:lineRule="exact"/>
        <w:rPr>
          <w:rFonts w:ascii="Arial" w:cs="Arial" w:eastAsia="Arial" w:hAnsi="Arial"/>
          <w:sz w:val="13"/>
          <w:szCs w:val="13"/>
          <w:b w:val="1"/>
          <w:bCs w:val="1"/>
          <w:color w:val="auto"/>
        </w:rPr>
      </w:pPr>
    </w:p>
    <w:p>
      <w:pPr>
        <w:ind w:left="223" w:right="20"/>
        <w:spacing w:after="0" w:line="310" w:lineRule="auto"/>
        <w:rPr>
          <w:rFonts w:ascii="Arial" w:cs="Arial" w:eastAsia="Arial" w:hAnsi="Arial"/>
          <w:sz w:val="13"/>
          <w:szCs w:val="13"/>
          <w:b w:val="1"/>
          <w:bCs w:val="1"/>
          <w:color w:val="auto"/>
        </w:rPr>
      </w:pPr>
      <w:r>
        <w:rPr>
          <w:rFonts w:ascii="Arial" w:cs="Arial" w:eastAsia="Arial" w:hAnsi="Arial"/>
          <w:sz w:val="12"/>
          <w:szCs w:val="12"/>
          <w:color w:val="auto"/>
        </w:rPr>
        <w:t>Subsequent expenditure is capitalized to the asset’s carrying amount only when it is probable that future economic benefits associated with the expenditure will flow to the Bank and the cost of the item can be measured reliably. All other repairs and maintenance costs are expensed when incurred. When part of an investment property is replaced, the carrying amount of the replaced part is derecognized.</w:t>
      </w:r>
    </w:p>
    <w:p>
      <w:pPr>
        <w:spacing w:after="0" w:line="105"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Changes in fair value are recognized in profit or loss. Investment properties are derecognized when they have been disposed of.</w:t>
      </w:r>
    </w:p>
    <w:p>
      <w:pPr>
        <w:spacing w:after="0" w:line="158" w:lineRule="exact"/>
        <w:rPr>
          <w:rFonts w:ascii="Arial" w:cs="Arial" w:eastAsia="Arial" w:hAnsi="Arial"/>
          <w:sz w:val="13"/>
          <w:szCs w:val="13"/>
          <w:b w:val="1"/>
          <w:bCs w:val="1"/>
          <w:color w:val="auto"/>
        </w:rPr>
      </w:pP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When the Bank disposes of a property at fair value in an arm’s length transaction, the carrying value immediately prior to the sale is adjusted to the transaction price, and the adjustment is recorded in profit or loss as gain (loss) on investment property at fair value through profit and loss.</w:t>
      </w:r>
    </w:p>
    <w:p>
      <w:pPr>
        <w:spacing w:after="0" w:line="129" w:lineRule="exact"/>
        <w:rPr>
          <w:sz w:val="20"/>
          <w:szCs w:val="20"/>
          <w:color w:val="auto"/>
        </w:rPr>
      </w:pPr>
    </w:p>
    <w:p>
      <w:pPr>
        <w:ind w:left="223"/>
        <w:spacing w:after="0"/>
        <w:rPr>
          <w:sz w:val="20"/>
          <w:szCs w:val="20"/>
          <w:color w:val="auto"/>
        </w:rPr>
      </w:pPr>
      <w:r>
        <w:rPr>
          <w:rFonts w:ascii="Arial" w:cs="Arial" w:eastAsia="Arial" w:hAnsi="Arial"/>
          <w:sz w:val="12"/>
          <w:szCs w:val="12"/>
          <w:color w:val="auto"/>
        </w:rPr>
        <w:t>If an investment property becomes owner-occupied, it is reclassified as property, plant and equipment. Its fair value at the date of reclassification becomes its cost for subsequent accounting purposes.</w:t>
      </w:r>
    </w:p>
    <w:p>
      <w:pPr>
        <w:spacing w:after="0" w:line="166" w:lineRule="exact"/>
        <w:rPr>
          <w:sz w:val="20"/>
          <w:szCs w:val="20"/>
          <w:color w:val="auto"/>
        </w:rPr>
      </w:pPr>
    </w:p>
    <w:p>
      <w:pPr>
        <w:ind w:left="703"/>
        <w:spacing w:after="0"/>
        <w:tabs>
          <w:tab w:leader="none" w:pos="1143" w:val="left"/>
        </w:tabs>
        <w:rPr>
          <w:sz w:val="20"/>
          <w:szCs w:val="20"/>
          <w:color w:val="auto"/>
        </w:rPr>
      </w:pPr>
      <w:r>
        <w:rPr>
          <w:rFonts w:ascii="Arial" w:cs="Arial" w:eastAsia="Arial" w:hAnsi="Arial"/>
          <w:sz w:val="13"/>
          <w:szCs w:val="13"/>
          <w:b w:val="1"/>
          <w:bCs w:val="1"/>
          <w:color w:val="auto"/>
        </w:rPr>
        <w:t>3.2.13</w:t>
      </w:r>
      <w:r>
        <w:rPr>
          <w:sz w:val="20"/>
          <w:szCs w:val="20"/>
          <w:color w:val="auto"/>
        </w:rPr>
        <w:tab/>
      </w:r>
      <w:r>
        <w:rPr>
          <w:rFonts w:ascii="Arial" w:cs="Arial" w:eastAsia="Arial" w:hAnsi="Arial"/>
          <w:sz w:val="11"/>
          <w:szCs w:val="11"/>
          <w:b w:val="1"/>
          <w:bCs w:val="1"/>
          <w:color w:val="auto"/>
        </w:rPr>
        <w:t>Offsetting of financial instruments</w:t>
      </w:r>
    </w:p>
    <w:p>
      <w:pPr>
        <w:spacing w:after="0" w:line="163" w:lineRule="exact"/>
        <w:rPr>
          <w:sz w:val="20"/>
          <w:szCs w:val="20"/>
          <w:color w:val="auto"/>
        </w:rPr>
      </w:pPr>
    </w:p>
    <w:p>
      <w:pPr>
        <w:jc w:val="both"/>
        <w:ind w:left="223" w:right="20"/>
        <w:spacing w:after="0" w:line="257" w:lineRule="auto"/>
        <w:rPr>
          <w:sz w:val="20"/>
          <w:szCs w:val="20"/>
          <w:color w:val="auto"/>
        </w:rPr>
      </w:pPr>
      <w:r>
        <w:rPr>
          <w:rFonts w:ascii="Arial" w:cs="Arial" w:eastAsia="Arial" w:hAnsi="Arial"/>
          <w:sz w:val="13"/>
          <w:szCs w:val="13"/>
          <w:color w:val="auto"/>
        </w:rPr>
        <w:t>Financial assets and financial liabilities are offset, and the net amount reported in the consolidated statement of financial position if, and only when, there is a currently enforceable legal right to offset the recognized amounts and there is an intention to settle on a net basis, or to realize the asset and settle the liability simultaneously. This is generally not the case with master netting agreements; therefore, the related assets and liabilities are presented gross in the consolidated statement of financial position.</w:t>
      </w:r>
    </w:p>
    <w:p>
      <w:pPr>
        <w:spacing w:after="0" w:line="136" w:lineRule="exact"/>
        <w:rPr>
          <w:sz w:val="20"/>
          <w:szCs w:val="20"/>
          <w:color w:val="auto"/>
        </w:rPr>
      </w:pPr>
    </w:p>
    <w:p>
      <w:pPr>
        <w:ind w:left="223"/>
        <w:spacing w:after="0"/>
        <w:rPr>
          <w:sz w:val="20"/>
          <w:szCs w:val="20"/>
          <w:color w:val="auto"/>
        </w:rPr>
      </w:pPr>
      <w:r>
        <w:rPr>
          <w:rFonts w:ascii="Arial" w:cs="Arial" w:eastAsia="Arial" w:hAnsi="Arial"/>
          <w:sz w:val="13"/>
          <w:szCs w:val="13"/>
          <w:color w:val="auto"/>
        </w:rPr>
        <w:t>Income and expenses are presented on a net basis only when permitted under IFRS, or for gains or losses arising from a group of similar transactions.</w:t>
      </w:r>
    </w:p>
    <w:p>
      <w:pPr>
        <w:spacing w:after="0" w:line="155" w:lineRule="exact"/>
        <w:rPr>
          <w:sz w:val="20"/>
          <w:szCs w:val="20"/>
          <w:color w:val="auto"/>
        </w:rPr>
      </w:pPr>
    </w:p>
    <w:p>
      <w:pPr>
        <w:ind w:left="703"/>
        <w:spacing w:after="0"/>
        <w:tabs>
          <w:tab w:leader="none" w:pos="1143" w:val="left"/>
        </w:tabs>
        <w:rPr>
          <w:sz w:val="20"/>
          <w:szCs w:val="20"/>
          <w:color w:val="auto"/>
        </w:rPr>
      </w:pPr>
      <w:r>
        <w:rPr>
          <w:rFonts w:ascii="Arial" w:cs="Arial" w:eastAsia="Arial" w:hAnsi="Arial"/>
          <w:sz w:val="13"/>
          <w:szCs w:val="13"/>
          <w:b w:val="1"/>
          <w:bCs w:val="1"/>
          <w:color w:val="auto"/>
        </w:rPr>
        <w:t>3.2.14</w:t>
      </w:r>
      <w:r>
        <w:rPr>
          <w:sz w:val="20"/>
          <w:szCs w:val="20"/>
          <w:color w:val="auto"/>
        </w:rPr>
        <w:tab/>
      </w:r>
      <w:r>
        <w:rPr>
          <w:rFonts w:ascii="Arial" w:cs="Arial" w:eastAsia="Arial" w:hAnsi="Arial"/>
          <w:sz w:val="11"/>
          <w:szCs w:val="11"/>
          <w:b w:val="1"/>
          <w:bCs w:val="1"/>
          <w:color w:val="auto"/>
        </w:rPr>
        <w:t>Operating leases</w:t>
      </w:r>
    </w:p>
    <w:p>
      <w:pPr>
        <w:spacing w:after="0" w:line="163" w:lineRule="exact"/>
        <w:rPr>
          <w:sz w:val="20"/>
          <w:szCs w:val="20"/>
          <w:color w:val="auto"/>
        </w:rPr>
      </w:pPr>
    </w:p>
    <w:p>
      <w:pPr>
        <w:jc w:val="both"/>
        <w:ind w:left="223" w:right="20"/>
        <w:spacing w:after="0" w:line="267" w:lineRule="auto"/>
        <w:rPr>
          <w:sz w:val="20"/>
          <w:szCs w:val="20"/>
          <w:color w:val="auto"/>
        </w:rPr>
      </w:pPr>
      <w:r>
        <w:rPr>
          <w:rFonts w:ascii="Arial" w:cs="Arial" w:eastAsia="Arial" w:hAnsi="Arial"/>
          <w:sz w:val="13"/>
          <w:szCs w:val="13"/>
          <w:color w:val="auto"/>
        </w:rPr>
        <w:t>The determination of whether an arrangement is a lease, or contains a lease, is based on the substance of the arrangement and requires an assessment of whether the fulfillment of the arrangement is dependent on the use of a specific asset or assets and the arrangement conveys a right to use the asset.</w:t>
      </w:r>
    </w:p>
    <w:p>
      <w:pPr>
        <w:spacing w:after="0" w:line="125" w:lineRule="exact"/>
        <w:rPr>
          <w:sz w:val="20"/>
          <w:szCs w:val="20"/>
          <w:color w:val="auto"/>
        </w:rPr>
      </w:pPr>
    </w:p>
    <w:p>
      <w:pPr>
        <w:ind w:left="223"/>
        <w:spacing w:after="0"/>
        <w:rPr>
          <w:sz w:val="20"/>
          <w:szCs w:val="20"/>
          <w:color w:val="auto"/>
        </w:rPr>
      </w:pPr>
      <w:r>
        <w:rPr>
          <w:rFonts w:ascii="Arial" w:cs="Arial" w:eastAsia="Arial" w:hAnsi="Arial"/>
          <w:sz w:val="13"/>
          <w:szCs w:val="13"/>
          <w:b w:val="1"/>
          <w:bCs w:val="1"/>
          <w:u w:val="single" w:color="auto"/>
          <w:color w:val="auto"/>
        </w:rPr>
        <w:t>Banks as a lessee</w:t>
      </w:r>
    </w:p>
    <w:p>
      <w:pPr>
        <w:spacing w:after="0" w:line="163" w:lineRule="exact"/>
        <w:rPr>
          <w:sz w:val="20"/>
          <w:szCs w:val="20"/>
          <w:color w:val="auto"/>
        </w:rPr>
      </w:pPr>
    </w:p>
    <w:p>
      <w:pPr>
        <w:jc w:val="both"/>
        <w:ind w:left="223" w:right="20"/>
        <w:spacing w:after="0" w:line="267" w:lineRule="auto"/>
        <w:rPr>
          <w:sz w:val="20"/>
          <w:szCs w:val="20"/>
          <w:color w:val="auto"/>
        </w:rPr>
      </w:pPr>
      <w:r>
        <w:rPr>
          <w:rFonts w:ascii="Arial" w:cs="Arial" w:eastAsia="Arial" w:hAnsi="Arial"/>
          <w:sz w:val="13"/>
          <w:szCs w:val="13"/>
          <w:color w:val="auto"/>
        </w:rPr>
        <w:t>Leases where the lessor does not transfer to the Bank substantially all the risks and benefits incidental to ownership of the leased items are classified as operating leases. Operating lease payments are recognized as an expense in profit or loss on a straight-line basis through the lease term. Rental payable is recognized as an expense as incurred.</w:t>
      </w:r>
    </w:p>
    <w:p>
      <w:pPr>
        <w:spacing w:after="0" w:line="125" w:lineRule="exact"/>
        <w:rPr>
          <w:sz w:val="20"/>
          <w:szCs w:val="20"/>
          <w:color w:val="auto"/>
        </w:rPr>
      </w:pPr>
    </w:p>
    <w:p>
      <w:pPr>
        <w:ind w:left="223"/>
        <w:spacing w:after="0"/>
        <w:rPr>
          <w:sz w:val="20"/>
          <w:szCs w:val="20"/>
          <w:color w:val="auto"/>
        </w:rPr>
      </w:pPr>
      <w:r>
        <w:rPr>
          <w:rFonts w:ascii="Arial" w:cs="Arial" w:eastAsia="Arial" w:hAnsi="Arial"/>
          <w:sz w:val="13"/>
          <w:szCs w:val="13"/>
          <w:b w:val="1"/>
          <w:bCs w:val="1"/>
          <w:u w:val="single" w:color="auto"/>
          <w:color w:val="auto"/>
        </w:rPr>
        <w:t>Bank as a sub-lessor</w:t>
      </w:r>
    </w:p>
    <w:p>
      <w:pPr>
        <w:spacing w:after="0" w:line="163" w:lineRule="exact"/>
        <w:rPr>
          <w:sz w:val="20"/>
          <w:szCs w:val="20"/>
          <w:color w:val="auto"/>
        </w:rPr>
      </w:pPr>
    </w:p>
    <w:p>
      <w:pPr>
        <w:jc w:val="both"/>
        <w:ind w:left="223"/>
        <w:spacing w:after="0" w:line="257" w:lineRule="auto"/>
        <w:rPr>
          <w:sz w:val="20"/>
          <w:szCs w:val="20"/>
          <w:color w:val="auto"/>
        </w:rPr>
      </w:pPr>
      <w:r>
        <w:rPr>
          <w:rFonts w:ascii="Arial" w:cs="Arial" w:eastAsia="Arial" w:hAnsi="Arial"/>
          <w:sz w:val="13"/>
          <w:szCs w:val="13"/>
          <w:color w:val="auto"/>
        </w:rPr>
        <w:t>Leases where the Bank does not transfer substantially all of the risk and benefits of ownership of the asset are classified as operating leases. Initial direct costs incurred in negotiating operating leases are added to the carrying amount of the leased asset and recognized over the lease term on the same basis as rental income. Rental income is recognized as revenue as earned. In the event that the contract is cancelable, they are recognized as income over the term of the lease.</w:t>
      </w:r>
    </w:p>
    <w:p>
      <w:pPr>
        <w:spacing w:after="0" w:line="290"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F-31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0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156" w:name="page157"/>
    <w:bookmarkEnd w:id="156"/>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1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119"/>
        </w:numPr>
        <w:rPr>
          <w:rFonts w:ascii="Arial" w:cs="Arial" w:eastAsia="Arial" w:hAnsi="Arial"/>
          <w:sz w:val="13"/>
          <w:szCs w:val="13"/>
          <w:b w:val="1"/>
          <w:bCs w:val="1"/>
          <w:color w:val="auto"/>
        </w:rPr>
      </w:pPr>
      <w:r>
        <w:rPr>
          <w:rFonts w:ascii="Arial" w:cs="Arial" w:eastAsia="Arial" w:hAnsi="Arial"/>
          <w:sz w:val="13"/>
          <w:szCs w:val="13"/>
          <w:b w:val="1"/>
          <w:bCs w:val="1"/>
          <w:color w:val="auto"/>
        </w:rPr>
        <w:t>Summary of accounting policies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3.2</w:t>
      </w:r>
      <w:r>
        <w:rPr>
          <w:rFonts w:ascii="Arial" w:cs="Arial" w:eastAsia="Arial" w:hAnsi="Arial"/>
          <w:sz w:val="11"/>
          <w:szCs w:val="11"/>
          <w:b w:val="1"/>
          <w:bCs w:val="1"/>
          <w:color w:val="auto"/>
        </w:rPr>
        <w:t>Significant accounting policies (continued)</w:t>
      </w:r>
    </w:p>
    <w:p>
      <w:pPr>
        <w:spacing w:after="0" w:line="158" w:lineRule="exact"/>
        <w:rPr>
          <w:rFonts w:ascii="Arial" w:cs="Arial" w:eastAsia="Arial" w:hAnsi="Arial"/>
          <w:sz w:val="13"/>
          <w:szCs w:val="13"/>
          <w:b w:val="1"/>
          <w:bCs w:val="1"/>
          <w:color w:val="auto"/>
        </w:rPr>
      </w:pPr>
    </w:p>
    <w:p>
      <w:pPr>
        <w:ind w:left="70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3.2.15  Provisions</w:t>
      </w:r>
    </w:p>
    <w:p>
      <w:pPr>
        <w:spacing w:after="0" w:line="163" w:lineRule="exact"/>
        <w:rPr>
          <w:sz w:val="20"/>
          <w:szCs w:val="20"/>
          <w:color w:val="auto"/>
        </w:rPr>
      </w:pPr>
    </w:p>
    <w:p>
      <w:pPr>
        <w:ind w:left="223" w:right="20"/>
        <w:spacing w:after="0" w:line="310" w:lineRule="auto"/>
        <w:rPr>
          <w:sz w:val="20"/>
          <w:szCs w:val="20"/>
          <w:color w:val="auto"/>
        </w:rPr>
      </w:pPr>
      <w:r>
        <w:rPr>
          <w:rFonts w:ascii="Arial" w:cs="Arial" w:eastAsia="Arial" w:hAnsi="Arial"/>
          <w:sz w:val="12"/>
          <w:szCs w:val="12"/>
          <w:color w:val="auto"/>
        </w:rPr>
        <w:t>Provisions are recognized when the Bank has a present obligation (legal or constructive) as a result of a past event, and it is probable that an outflow of resources embodying economic benefits will be required to settle the obligation and a reliable estimate can be made of the amount of the obligation. The expense relating to any provision is presented in profit or loss, net of any reimbursement.</w:t>
      </w:r>
    </w:p>
    <w:p>
      <w:pPr>
        <w:spacing w:after="0" w:line="102" w:lineRule="exact"/>
        <w:rPr>
          <w:sz w:val="20"/>
          <w:szCs w:val="20"/>
          <w:color w:val="auto"/>
        </w:rPr>
      </w:pPr>
    </w:p>
    <w:p>
      <w:pPr>
        <w:ind w:left="703"/>
        <w:spacing w:after="0"/>
        <w:tabs>
          <w:tab w:leader="none" w:pos="1143" w:val="left"/>
        </w:tabs>
        <w:rPr>
          <w:sz w:val="20"/>
          <w:szCs w:val="20"/>
          <w:color w:val="auto"/>
        </w:rPr>
      </w:pPr>
      <w:r>
        <w:rPr>
          <w:rFonts w:ascii="Arial" w:cs="Arial" w:eastAsia="Arial" w:hAnsi="Arial"/>
          <w:sz w:val="13"/>
          <w:szCs w:val="13"/>
          <w:b w:val="1"/>
          <w:bCs w:val="1"/>
          <w:color w:val="auto"/>
        </w:rPr>
        <w:t>3.2.16</w:t>
      </w:r>
      <w:r>
        <w:rPr>
          <w:sz w:val="20"/>
          <w:szCs w:val="20"/>
          <w:color w:val="auto"/>
        </w:rPr>
        <w:tab/>
      </w:r>
      <w:r>
        <w:rPr>
          <w:rFonts w:ascii="Arial" w:cs="Arial" w:eastAsia="Arial" w:hAnsi="Arial"/>
          <w:sz w:val="11"/>
          <w:szCs w:val="11"/>
          <w:b w:val="1"/>
          <w:bCs w:val="1"/>
          <w:color w:val="auto"/>
        </w:rPr>
        <w:t>Regulatory and capital reserves</w:t>
      </w:r>
    </w:p>
    <w:p>
      <w:pPr>
        <w:spacing w:after="0" w:line="163" w:lineRule="exact"/>
        <w:rPr>
          <w:sz w:val="20"/>
          <w:szCs w:val="20"/>
          <w:color w:val="auto"/>
        </w:rPr>
      </w:pPr>
    </w:p>
    <w:p>
      <w:pPr>
        <w:ind w:left="223" w:right="20"/>
        <w:spacing w:after="0" w:line="267" w:lineRule="auto"/>
        <w:rPr>
          <w:sz w:val="20"/>
          <w:szCs w:val="20"/>
          <w:color w:val="auto"/>
        </w:rPr>
      </w:pPr>
      <w:r>
        <w:rPr>
          <w:rFonts w:ascii="Arial" w:cs="Arial" w:eastAsia="Arial" w:hAnsi="Arial"/>
          <w:sz w:val="13"/>
          <w:szCs w:val="13"/>
          <w:color w:val="auto"/>
        </w:rPr>
        <w:t>Regulatory and capital reserves are established as appropriations from retained earnings and, as such, form part of retained earnings. Reductions of regulatory and capital reserves require the approval of the Bank’s Board of Directors and the SBP. Such reserves include:</w:t>
      </w:r>
    </w:p>
    <w:p>
      <w:pPr>
        <w:spacing w:after="0" w:line="129" w:lineRule="exact"/>
        <w:rPr>
          <w:sz w:val="20"/>
          <w:szCs w:val="20"/>
          <w:color w:val="auto"/>
        </w:rPr>
      </w:pPr>
    </w:p>
    <w:p>
      <w:pPr>
        <w:ind w:left="923" w:right="20" w:hanging="230"/>
        <w:spacing w:after="0" w:line="253" w:lineRule="auto"/>
        <w:tabs>
          <w:tab w:leader="none" w:pos="923" w:val="left"/>
        </w:tabs>
        <w:numPr>
          <w:ilvl w:val="0"/>
          <w:numId w:val="120"/>
        </w:numPr>
        <w:rPr>
          <w:rFonts w:ascii="Arial" w:cs="Arial" w:eastAsia="Arial" w:hAnsi="Arial"/>
          <w:sz w:val="13"/>
          <w:szCs w:val="13"/>
          <w:color w:val="auto"/>
        </w:rPr>
      </w:pPr>
      <w:r>
        <w:rPr>
          <w:rFonts w:ascii="Arial" w:cs="Arial" w:eastAsia="Arial" w:hAnsi="Arial"/>
          <w:sz w:val="13"/>
          <w:szCs w:val="13"/>
          <w:u w:val="single" w:color="auto"/>
          <w:color w:val="auto"/>
        </w:rPr>
        <w:t>Translation reserve</w:t>
      </w:r>
      <w:r>
        <w:rPr>
          <w:rFonts w:ascii="Arial" w:cs="Arial" w:eastAsia="Arial" w:hAnsi="Arial"/>
          <w:sz w:val="13"/>
          <w:szCs w:val="13"/>
          <w:color w:val="auto"/>
        </w:rPr>
        <w:t>: The translation reserve comprises all foreign currency differences arising from the translation of the consolidated financial statements of foreign operations as well as the effective portion of any foreign currency differences arising from hedges of a net investment in a foreign operation.</w:t>
      </w:r>
    </w:p>
    <w:p>
      <w:pPr>
        <w:spacing w:after="0" w:line="1" w:lineRule="exact"/>
        <w:rPr>
          <w:rFonts w:ascii="Arial" w:cs="Arial" w:eastAsia="Arial" w:hAnsi="Arial"/>
          <w:sz w:val="13"/>
          <w:szCs w:val="13"/>
          <w:color w:val="auto"/>
        </w:rPr>
      </w:pPr>
    </w:p>
    <w:p>
      <w:pPr>
        <w:ind w:left="923" w:right="20" w:hanging="230"/>
        <w:spacing w:after="0" w:line="247" w:lineRule="auto"/>
        <w:tabs>
          <w:tab w:leader="none" w:pos="923" w:val="left"/>
        </w:tabs>
        <w:numPr>
          <w:ilvl w:val="0"/>
          <w:numId w:val="120"/>
        </w:numPr>
        <w:rPr>
          <w:rFonts w:ascii="Arial" w:cs="Arial" w:eastAsia="Arial" w:hAnsi="Arial"/>
          <w:sz w:val="13"/>
          <w:szCs w:val="13"/>
          <w:color w:val="auto"/>
        </w:rPr>
      </w:pPr>
      <w:r>
        <w:rPr>
          <w:rFonts w:ascii="Arial" w:cs="Arial" w:eastAsia="Arial" w:hAnsi="Arial"/>
          <w:sz w:val="13"/>
          <w:szCs w:val="13"/>
          <w:u w:val="single" w:color="auto"/>
          <w:color w:val="auto"/>
        </w:rPr>
        <w:t>Hedging reserve</w:t>
      </w:r>
      <w:r>
        <w:rPr>
          <w:rFonts w:ascii="Arial" w:cs="Arial" w:eastAsia="Arial" w:hAnsi="Arial"/>
          <w:sz w:val="13"/>
          <w:szCs w:val="13"/>
          <w:color w:val="auto"/>
        </w:rPr>
        <w:t>: The hedging reserve comprises the effective portion of the cumulative net change in the fair value of hedging instruments used in cash flow hedges pending subsequent recognition in profit or loss as the hedged cash flows affect profit or loss.</w:t>
      </w:r>
    </w:p>
    <w:p>
      <w:pPr>
        <w:ind w:left="923" w:hanging="230"/>
        <w:spacing w:after="0"/>
        <w:tabs>
          <w:tab w:leader="none" w:pos="923" w:val="left"/>
        </w:tabs>
        <w:numPr>
          <w:ilvl w:val="0"/>
          <w:numId w:val="120"/>
        </w:numPr>
        <w:rPr>
          <w:rFonts w:ascii="Arial" w:cs="Arial" w:eastAsia="Arial" w:hAnsi="Arial"/>
          <w:sz w:val="12"/>
          <w:szCs w:val="12"/>
          <w:color w:val="auto"/>
        </w:rPr>
      </w:pPr>
      <w:r>
        <w:rPr>
          <w:rFonts w:ascii="Arial" w:cs="Arial" w:eastAsia="Arial" w:hAnsi="Arial"/>
          <w:sz w:val="12"/>
          <w:szCs w:val="12"/>
          <w:u w:val="single" w:color="auto"/>
          <w:color w:val="auto"/>
        </w:rPr>
        <w:t>Fair value reserve</w:t>
      </w:r>
      <w:r>
        <w:rPr>
          <w:rFonts w:ascii="Arial" w:cs="Arial" w:eastAsia="Arial" w:hAnsi="Arial"/>
          <w:sz w:val="12"/>
          <w:szCs w:val="12"/>
          <w:color w:val="auto"/>
        </w:rPr>
        <w:t>: The fair value reserve comprises the cumulative net change in the fair value of investment securities measured at FVOCI, less the ECL allowance recognized in profit or loss.</w:t>
      </w:r>
    </w:p>
    <w:p>
      <w:pPr>
        <w:spacing w:after="0" w:line="158" w:lineRule="exact"/>
        <w:rPr>
          <w:sz w:val="20"/>
          <w:szCs w:val="20"/>
          <w:color w:val="auto"/>
        </w:rPr>
      </w:pPr>
    </w:p>
    <w:p>
      <w:pPr>
        <w:ind w:left="703"/>
        <w:spacing w:after="0"/>
        <w:tabs>
          <w:tab w:leader="none" w:pos="1143" w:val="left"/>
        </w:tabs>
        <w:rPr>
          <w:sz w:val="20"/>
          <w:szCs w:val="20"/>
          <w:color w:val="auto"/>
        </w:rPr>
      </w:pPr>
      <w:r>
        <w:rPr>
          <w:rFonts w:ascii="Arial" w:cs="Arial" w:eastAsia="Arial" w:hAnsi="Arial"/>
          <w:sz w:val="13"/>
          <w:szCs w:val="13"/>
          <w:b w:val="1"/>
          <w:bCs w:val="1"/>
          <w:color w:val="auto"/>
        </w:rPr>
        <w:t>3.2.17</w:t>
      </w:r>
      <w:r>
        <w:rPr>
          <w:sz w:val="20"/>
          <w:szCs w:val="20"/>
          <w:color w:val="auto"/>
        </w:rPr>
        <w:tab/>
      </w:r>
      <w:r>
        <w:rPr>
          <w:rFonts w:ascii="Arial" w:cs="Arial" w:eastAsia="Arial" w:hAnsi="Arial"/>
          <w:sz w:val="11"/>
          <w:szCs w:val="11"/>
          <w:b w:val="1"/>
          <w:bCs w:val="1"/>
          <w:color w:val="auto"/>
        </w:rPr>
        <w:t>Share-based payments</w:t>
      </w:r>
    </w:p>
    <w:p>
      <w:pPr>
        <w:spacing w:after="0" w:line="163" w:lineRule="exact"/>
        <w:rPr>
          <w:sz w:val="20"/>
          <w:szCs w:val="20"/>
          <w:color w:val="auto"/>
        </w:rPr>
      </w:pPr>
    </w:p>
    <w:p>
      <w:pPr>
        <w:jc w:val="both"/>
        <w:ind w:left="223"/>
        <w:spacing w:after="0" w:line="257" w:lineRule="auto"/>
        <w:rPr>
          <w:sz w:val="20"/>
          <w:szCs w:val="20"/>
          <w:color w:val="auto"/>
        </w:rPr>
      </w:pPr>
      <w:r>
        <w:rPr>
          <w:rFonts w:ascii="Arial" w:cs="Arial" w:eastAsia="Arial" w:hAnsi="Arial"/>
          <w:sz w:val="13"/>
          <w:szCs w:val="13"/>
          <w:color w:val="auto"/>
        </w:rPr>
        <w:t xml:space="preserve">The Bank applies IFRS 2 - </w:t>
      </w:r>
      <w:r>
        <w:rPr>
          <w:rFonts w:ascii="Arial" w:cs="Arial" w:eastAsia="Arial" w:hAnsi="Arial"/>
          <w:sz w:val="13"/>
          <w:szCs w:val="13"/>
          <w:i w:val="1"/>
          <w:iCs w:val="1"/>
          <w:color w:val="auto"/>
        </w:rPr>
        <w:t>Share–based payment transactions</w:t>
      </w:r>
      <w:r>
        <w:rPr>
          <w:rFonts w:ascii="Arial" w:cs="Arial" w:eastAsia="Arial" w:hAnsi="Arial"/>
          <w:sz w:val="13"/>
          <w:szCs w:val="13"/>
          <w:color w:val="auto"/>
        </w:rPr>
        <w:t xml:space="preserve"> to account for compensation costs on restricted stock, restricted stock units and stock option plans. Compensation cost is based on the grant date fair value of both stock and options and is recognized over the requisite service period of the employee. The fair value of each option is estimated at the grant date using a binomial option-pricing model. When stocks options and restricted stock units vested are exercised, the Bank’s policy is to sale treasury stock.</w:t>
      </w:r>
    </w:p>
    <w:p>
      <w:pPr>
        <w:spacing w:after="0" w:line="132" w:lineRule="exact"/>
        <w:rPr>
          <w:sz w:val="20"/>
          <w:szCs w:val="20"/>
          <w:color w:val="auto"/>
        </w:rPr>
      </w:pPr>
    </w:p>
    <w:p>
      <w:pPr>
        <w:ind w:left="703"/>
        <w:spacing w:after="0"/>
        <w:tabs>
          <w:tab w:leader="none" w:pos="1143" w:val="left"/>
        </w:tabs>
        <w:rPr>
          <w:sz w:val="20"/>
          <w:szCs w:val="20"/>
          <w:color w:val="auto"/>
        </w:rPr>
      </w:pPr>
      <w:r>
        <w:rPr>
          <w:rFonts w:ascii="Arial" w:cs="Arial" w:eastAsia="Arial" w:hAnsi="Arial"/>
          <w:sz w:val="13"/>
          <w:szCs w:val="13"/>
          <w:b w:val="1"/>
          <w:bCs w:val="1"/>
          <w:color w:val="auto"/>
        </w:rPr>
        <w:t>3.2.18</w:t>
      </w:r>
      <w:r>
        <w:rPr>
          <w:sz w:val="20"/>
          <w:szCs w:val="20"/>
          <w:color w:val="auto"/>
        </w:rPr>
        <w:tab/>
      </w:r>
      <w:r>
        <w:rPr>
          <w:rFonts w:ascii="Arial" w:cs="Arial" w:eastAsia="Arial" w:hAnsi="Arial"/>
          <w:sz w:val="10"/>
          <w:szCs w:val="10"/>
          <w:b w:val="1"/>
          <w:bCs w:val="1"/>
          <w:color w:val="auto"/>
        </w:rPr>
        <w:t>Taxes</w:t>
      </w:r>
    </w:p>
    <w:p>
      <w:pPr>
        <w:spacing w:after="0" w:line="159" w:lineRule="exact"/>
        <w:rPr>
          <w:sz w:val="20"/>
          <w:szCs w:val="20"/>
          <w:color w:val="auto"/>
        </w:rPr>
      </w:pPr>
    </w:p>
    <w:p>
      <w:pPr>
        <w:ind w:left="223"/>
        <w:spacing w:after="0"/>
        <w:rPr>
          <w:sz w:val="20"/>
          <w:szCs w:val="20"/>
          <w:color w:val="auto"/>
        </w:rPr>
      </w:pPr>
      <w:r>
        <w:rPr>
          <w:rFonts w:ascii="Arial" w:cs="Arial" w:eastAsia="Arial" w:hAnsi="Arial"/>
          <w:sz w:val="13"/>
          <w:szCs w:val="13"/>
          <w:b w:val="1"/>
          <w:bCs w:val="1"/>
          <w:u w:val="single" w:color="auto"/>
          <w:color w:val="auto"/>
        </w:rPr>
        <w:t>Income taxes</w:t>
      </w:r>
    </w:p>
    <w:p>
      <w:pPr>
        <w:spacing w:after="0" w:line="163" w:lineRule="exact"/>
        <w:rPr>
          <w:sz w:val="20"/>
          <w:szCs w:val="20"/>
          <w:color w:val="auto"/>
        </w:rPr>
      </w:pPr>
    </w:p>
    <w:p>
      <w:pPr>
        <w:jc w:val="both"/>
        <w:ind w:left="223" w:right="20"/>
        <w:spacing w:after="0" w:line="267" w:lineRule="auto"/>
        <w:rPr>
          <w:sz w:val="20"/>
          <w:szCs w:val="20"/>
          <w:color w:val="auto"/>
        </w:rPr>
      </w:pPr>
      <w:r>
        <w:rPr>
          <w:rFonts w:ascii="Arial" w:cs="Arial" w:eastAsia="Arial" w:hAnsi="Arial"/>
          <w:sz w:val="13"/>
          <w:szCs w:val="13"/>
          <w:color w:val="auto"/>
        </w:rPr>
        <w:t>Current tax assets and liabilities for the current and prior years are measured at the amount expected to be recovered from or paid to the taxation authorities. Tax laws and regulations used to compute the amount are those that are enacted or substantively enacted by the reporting date.</w:t>
      </w:r>
    </w:p>
    <w:p>
      <w:pPr>
        <w:spacing w:after="0" w:line="129" w:lineRule="exact"/>
        <w:rPr>
          <w:sz w:val="20"/>
          <w:szCs w:val="20"/>
          <w:color w:val="auto"/>
        </w:rPr>
      </w:pPr>
    </w:p>
    <w:p>
      <w:pPr>
        <w:ind w:left="923" w:hanging="230"/>
        <w:spacing w:after="0"/>
        <w:tabs>
          <w:tab w:leader="none" w:pos="923" w:val="left"/>
        </w:tabs>
        <w:numPr>
          <w:ilvl w:val="0"/>
          <w:numId w:val="121"/>
        </w:numPr>
        <w:rPr>
          <w:rFonts w:ascii="Arial" w:cs="Arial" w:eastAsia="Arial" w:hAnsi="Arial"/>
          <w:sz w:val="13"/>
          <w:szCs w:val="13"/>
          <w:color w:val="auto"/>
        </w:rPr>
      </w:pPr>
      <w:r>
        <w:rPr>
          <w:rFonts w:ascii="Arial" w:cs="Arial" w:eastAsia="Arial" w:hAnsi="Arial"/>
          <w:sz w:val="13"/>
          <w:szCs w:val="13"/>
          <w:color w:val="auto"/>
        </w:rPr>
        <w:t>Bladex Head Office is exempted from payment of income taxes in Panama in accordance with the contract law signed between the Republic of Panama and Bladex.</w:t>
      </w:r>
    </w:p>
    <w:p>
      <w:pPr>
        <w:spacing w:after="0" w:line="12" w:lineRule="exact"/>
        <w:rPr>
          <w:rFonts w:ascii="Arial" w:cs="Arial" w:eastAsia="Arial" w:hAnsi="Arial"/>
          <w:sz w:val="13"/>
          <w:szCs w:val="13"/>
          <w:color w:val="auto"/>
        </w:rPr>
      </w:pPr>
    </w:p>
    <w:p>
      <w:pPr>
        <w:ind w:left="923" w:hanging="230"/>
        <w:spacing w:after="0"/>
        <w:tabs>
          <w:tab w:leader="none" w:pos="923" w:val="left"/>
        </w:tabs>
        <w:numPr>
          <w:ilvl w:val="0"/>
          <w:numId w:val="121"/>
        </w:numPr>
        <w:rPr>
          <w:rFonts w:ascii="Arial" w:cs="Arial" w:eastAsia="Arial" w:hAnsi="Arial"/>
          <w:sz w:val="13"/>
          <w:szCs w:val="13"/>
          <w:color w:val="auto"/>
        </w:rPr>
      </w:pPr>
      <w:r>
        <w:rPr>
          <w:rFonts w:ascii="Arial" w:cs="Arial" w:eastAsia="Arial" w:hAnsi="Arial"/>
          <w:sz w:val="13"/>
          <w:szCs w:val="13"/>
          <w:color w:val="auto"/>
        </w:rPr>
        <w:t>Bladex Representacao Ltda. and Bladex Investimentos Ltda., are subject to income taxes in Brazil.</w:t>
      </w:r>
    </w:p>
    <w:p>
      <w:pPr>
        <w:spacing w:after="0" w:line="4" w:lineRule="exact"/>
        <w:rPr>
          <w:rFonts w:ascii="Arial" w:cs="Arial" w:eastAsia="Arial" w:hAnsi="Arial"/>
          <w:sz w:val="13"/>
          <w:szCs w:val="13"/>
          <w:color w:val="auto"/>
        </w:rPr>
      </w:pPr>
    </w:p>
    <w:p>
      <w:pPr>
        <w:ind w:left="923" w:hanging="230"/>
        <w:spacing w:after="0"/>
        <w:tabs>
          <w:tab w:leader="none" w:pos="923" w:val="left"/>
        </w:tabs>
        <w:numPr>
          <w:ilvl w:val="0"/>
          <w:numId w:val="121"/>
        </w:numPr>
        <w:rPr>
          <w:rFonts w:ascii="Arial" w:cs="Arial" w:eastAsia="Arial" w:hAnsi="Arial"/>
          <w:sz w:val="13"/>
          <w:szCs w:val="13"/>
          <w:color w:val="auto"/>
        </w:rPr>
      </w:pPr>
      <w:r>
        <w:rPr>
          <w:rFonts w:ascii="Arial" w:cs="Arial" w:eastAsia="Arial" w:hAnsi="Arial"/>
          <w:sz w:val="13"/>
          <w:szCs w:val="13"/>
          <w:color w:val="auto"/>
        </w:rPr>
        <w:t>Bladex Development Corp. is subject to income taxes in Panama.</w:t>
      </w:r>
    </w:p>
    <w:p>
      <w:pPr>
        <w:spacing w:after="0" w:line="4" w:lineRule="exact"/>
        <w:rPr>
          <w:rFonts w:ascii="Arial" w:cs="Arial" w:eastAsia="Arial" w:hAnsi="Arial"/>
          <w:sz w:val="13"/>
          <w:szCs w:val="13"/>
          <w:color w:val="auto"/>
        </w:rPr>
      </w:pPr>
    </w:p>
    <w:p>
      <w:pPr>
        <w:ind w:left="923" w:hanging="230"/>
        <w:spacing w:after="0"/>
        <w:tabs>
          <w:tab w:leader="none" w:pos="923" w:val="left"/>
        </w:tabs>
        <w:numPr>
          <w:ilvl w:val="0"/>
          <w:numId w:val="121"/>
        </w:numPr>
        <w:rPr>
          <w:rFonts w:ascii="Arial" w:cs="Arial" w:eastAsia="Arial" w:hAnsi="Arial"/>
          <w:sz w:val="13"/>
          <w:szCs w:val="13"/>
          <w:color w:val="auto"/>
        </w:rPr>
      </w:pPr>
      <w:r>
        <w:rPr>
          <w:rFonts w:ascii="Arial" w:cs="Arial" w:eastAsia="Arial" w:hAnsi="Arial"/>
          <w:sz w:val="13"/>
          <w:szCs w:val="13"/>
          <w:color w:val="auto"/>
        </w:rPr>
        <w:t>BLX Soluciones, S.A. de C.V., SOFOM, is subject to income taxes in Mexico.</w:t>
      </w:r>
    </w:p>
    <w:p>
      <w:pPr>
        <w:spacing w:after="0" w:line="4" w:lineRule="exact"/>
        <w:rPr>
          <w:rFonts w:ascii="Arial" w:cs="Arial" w:eastAsia="Arial" w:hAnsi="Arial"/>
          <w:sz w:val="13"/>
          <w:szCs w:val="13"/>
          <w:color w:val="auto"/>
        </w:rPr>
      </w:pPr>
    </w:p>
    <w:p>
      <w:pPr>
        <w:ind w:left="923" w:right="20" w:hanging="230"/>
        <w:spacing w:after="0" w:line="254" w:lineRule="auto"/>
        <w:tabs>
          <w:tab w:leader="none" w:pos="923" w:val="left"/>
        </w:tabs>
        <w:numPr>
          <w:ilvl w:val="0"/>
          <w:numId w:val="121"/>
        </w:numPr>
        <w:rPr>
          <w:rFonts w:ascii="Arial" w:cs="Arial" w:eastAsia="Arial" w:hAnsi="Arial"/>
          <w:sz w:val="13"/>
          <w:szCs w:val="13"/>
          <w:color w:val="auto"/>
        </w:rPr>
      </w:pPr>
      <w:r>
        <w:rPr>
          <w:rFonts w:ascii="Arial" w:cs="Arial" w:eastAsia="Arial" w:hAnsi="Arial"/>
          <w:sz w:val="13"/>
          <w:szCs w:val="13"/>
          <w:color w:val="auto"/>
        </w:rPr>
        <w:t>The New York Agency and Bladex Holdings, Inc. incorporated in USA are subject to federal and local taxation in USA based on the portion of income that is effectively connected with its operations in that country.</w:t>
      </w:r>
    </w:p>
    <w:p>
      <w:pPr>
        <w:spacing w:after="0" w:line="311"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1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157" w:name="page158"/>
    <w:bookmarkEnd w:id="157"/>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1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122"/>
        </w:numPr>
        <w:rPr>
          <w:rFonts w:ascii="Arial" w:cs="Arial" w:eastAsia="Arial" w:hAnsi="Arial"/>
          <w:sz w:val="13"/>
          <w:szCs w:val="13"/>
          <w:b w:val="1"/>
          <w:bCs w:val="1"/>
          <w:color w:val="auto"/>
        </w:rPr>
      </w:pPr>
      <w:r>
        <w:rPr>
          <w:rFonts w:ascii="Arial" w:cs="Arial" w:eastAsia="Arial" w:hAnsi="Arial"/>
          <w:sz w:val="13"/>
          <w:szCs w:val="13"/>
          <w:b w:val="1"/>
          <w:bCs w:val="1"/>
          <w:color w:val="auto"/>
        </w:rPr>
        <w:t>Summary of accounting policies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3.2</w:t>
      </w:r>
      <w:r>
        <w:rPr>
          <w:rFonts w:ascii="Arial" w:cs="Arial" w:eastAsia="Arial" w:hAnsi="Arial"/>
          <w:sz w:val="11"/>
          <w:szCs w:val="11"/>
          <w:b w:val="1"/>
          <w:bCs w:val="1"/>
          <w:color w:val="auto"/>
        </w:rPr>
        <w:t>Significant accounting policies (continued)</w:t>
      </w:r>
    </w:p>
    <w:p>
      <w:pPr>
        <w:spacing w:after="0" w:line="158" w:lineRule="exact"/>
        <w:rPr>
          <w:rFonts w:ascii="Arial" w:cs="Arial" w:eastAsia="Arial" w:hAnsi="Arial"/>
          <w:sz w:val="13"/>
          <w:szCs w:val="13"/>
          <w:b w:val="1"/>
          <w:bCs w:val="1"/>
          <w:color w:val="auto"/>
        </w:rPr>
      </w:pPr>
    </w:p>
    <w:p>
      <w:pPr>
        <w:ind w:left="223" w:right="10000" w:firstLine="462"/>
        <w:spacing w:after="0" w:line="497" w:lineRule="auto"/>
        <w:rPr>
          <w:rFonts w:ascii="Arial" w:cs="Arial" w:eastAsia="Arial" w:hAnsi="Arial"/>
          <w:sz w:val="13"/>
          <w:szCs w:val="13"/>
          <w:b w:val="1"/>
          <w:bCs w:val="1"/>
          <w:color w:val="auto"/>
        </w:rPr>
      </w:pPr>
      <w:r>
        <w:rPr>
          <w:rFonts w:ascii="Arial" w:cs="Arial" w:eastAsia="Arial" w:hAnsi="Arial"/>
          <w:sz w:val="13"/>
          <w:szCs w:val="13"/>
          <w:b w:val="1"/>
          <w:bCs w:val="1"/>
          <w:color w:val="auto"/>
        </w:rPr>
        <w:t xml:space="preserve">3.2.18 Taxes </w:t>
      </w:r>
      <w:r>
        <w:rPr>
          <w:rFonts w:ascii="Arial" w:cs="Arial" w:eastAsia="Arial" w:hAnsi="Arial"/>
          <w:sz w:val="13"/>
          <w:szCs w:val="13"/>
          <w:b w:val="1"/>
          <w:bCs w:val="1"/>
          <w:u w:val="single" w:color="auto"/>
          <w:color w:val="auto"/>
        </w:rPr>
        <w:t>Deferred tax</w:t>
      </w:r>
    </w:p>
    <w:p>
      <w:pPr>
        <w:ind w:left="223"/>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Deferred tax is calculated based on the asset and liability method, on temporary differences between the carrying amounts of assets and liabilities reported for financial purposes and the amounts used for taxation purposes. The amount of deferred tax is based on the realization of assets and liabilities using the income tax rate in effect on the reporting date.</w:t>
      </w:r>
    </w:p>
    <w:p>
      <w:pPr>
        <w:spacing w:after="0" w:line="129" w:lineRule="exact"/>
        <w:rPr>
          <w:sz w:val="20"/>
          <w:szCs w:val="20"/>
          <w:color w:val="auto"/>
        </w:rPr>
      </w:pPr>
    </w:p>
    <w:p>
      <w:pPr>
        <w:ind w:left="223"/>
        <w:spacing w:after="0"/>
        <w:rPr>
          <w:sz w:val="20"/>
          <w:szCs w:val="20"/>
          <w:color w:val="auto"/>
        </w:rPr>
      </w:pPr>
      <w:r>
        <w:rPr>
          <w:rFonts w:ascii="Arial" w:cs="Arial" w:eastAsia="Arial" w:hAnsi="Arial"/>
          <w:sz w:val="13"/>
          <w:szCs w:val="13"/>
          <w:color w:val="auto"/>
        </w:rPr>
        <w:t>The current tax for the reporting date as well as for the deferred tax, result in a minimal amount, whereby the changes are presented in profit or loss as other operating expenses.</w:t>
      </w:r>
    </w:p>
    <w:p>
      <w:pPr>
        <w:spacing w:after="0" w:line="155" w:lineRule="exact"/>
        <w:rPr>
          <w:sz w:val="20"/>
          <w:szCs w:val="20"/>
          <w:color w:val="auto"/>
        </w:rPr>
      </w:pPr>
    </w:p>
    <w:p>
      <w:pPr>
        <w:ind w:left="703"/>
        <w:spacing w:after="0"/>
        <w:tabs>
          <w:tab w:leader="none" w:pos="1143" w:val="left"/>
        </w:tabs>
        <w:rPr>
          <w:sz w:val="20"/>
          <w:szCs w:val="20"/>
          <w:color w:val="auto"/>
        </w:rPr>
      </w:pPr>
      <w:r>
        <w:rPr>
          <w:rFonts w:ascii="Arial" w:cs="Arial" w:eastAsia="Arial" w:hAnsi="Arial"/>
          <w:sz w:val="13"/>
          <w:szCs w:val="13"/>
          <w:b w:val="1"/>
          <w:bCs w:val="1"/>
          <w:color w:val="auto"/>
        </w:rPr>
        <w:t>3.2.19</w:t>
      </w:r>
      <w:r>
        <w:rPr>
          <w:sz w:val="20"/>
          <w:szCs w:val="20"/>
          <w:color w:val="auto"/>
        </w:rPr>
        <w:tab/>
      </w:r>
      <w:r>
        <w:rPr>
          <w:rFonts w:ascii="Arial" w:cs="Arial" w:eastAsia="Arial" w:hAnsi="Arial"/>
          <w:sz w:val="11"/>
          <w:szCs w:val="11"/>
          <w:b w:val="1"/>
          <w:bCs w:val="1"/>
          <w:color w:val="auto"/>
        </w:rPr>
        <w:t>Earnings per share</w:t>
      </w:r>
    </w:p>
    <w:p>
      <w:pPr>
        <w:spacing w:after="0" w:line="163" w:lineRule="exact"/>
        <w:rPr>
          <w:sz w:val="20"/>
          <w:szCs w:val="20"/>
          <w:color w:val="auto"/>
        </w:rPr>
      </w:pPr>
    </w:p>
    <w:p>
      <w:pPr>
        <w:jc w:val="both"/>
        <w:ind w:left="223"/>
        <w:spacing w:after="0" w:line="254" w:lineRule="auto"/>
        <w:rPr>
          <w:sz w:val="20"/>
          <w:szCs w:val="20"/>
          <w:color w:val="auto"/>
        </w:rPr>
      </w:pPr>
      <w:r>
        <w:rPr>
          <w:rFonts w:ascii="Arial" w:cs="Arial" w:eastAsia="Arial" w:hAnsi="Arial"/>
          <w:sz w:val="13"/>
          <w:szCs w:val="13"/>
          <w:color w:val="auto"/>
        </w:rPr>
        <w:t>Basic earnings per share is computed by dividing the profit for the year (the numerator) by the weighted average number of common shares outstanding (the denominator) during the year. Diluted earnings per share measure performance incorporating the effect that potential common shares, such as stock options and restricted stock units outstanding during the same period, would have on earnings per share. The computation of diluted earnings per share is similar to the computation of basic earnings per share, except for the denominator, which is increased to include the number of additional common shares that would have been issued if the beneficiaries of stock purchase options and restricted stock units plans could exercise their options.</w:t>
      </w:r>
    </w:p>
    <w:p>
      <w:pPr>
        <w:spacing w:after="0" w:line="133" w:lineRule="exact"/>
        <w:rPr>
          <w:sz w:val="20"/>
          <w:szCs w:val="20"/>
          <w:color w:val="auto"/>
        </w:rPr>
      </w:pPr>
    </w:p>
    <w:p>
      <w:pPr>
        <w:ind w:left="703"/>
        <w:spacing w:after="0"/>
        <w:tabs>
          <w:tab w:leader="none" w:pos="1143" w:val="left"/>
        </w:tabs>
        <w:rPr>
          <w:sz w:val="20"/>
          <w:szCs w:val="20"/>
          <w:color w:val="auto"/>
        </w:rPr>
      </w:pPr>
      <w:r>
        <w:rPr>
          <w:rFonts w:ascii="Arial" w:cs="Arial" w:eastAsia="Arial" w:hAnsi="Arial"/>
          <w:sz w:val="13"/>
          <w:szCs w:val="13"/>
          <w:b w:val="1"/>
          <w:bCs w:val="1"/>
          <w:color w:val="auto"/>
        </w:rPr>
        <w:t>3.2.20</w:t>
      </w:r>
      <w:r>
        <w:rPr>
          <w:sz w:val="20"/>
          <w:szCs w:val="20"/>
          <w:color w:val="auto"/>
        </w:rPr>
        <w:tab/>
      </w:r>
      <w:r>
        <w:rPr>
          <w:rFonts w:ascii="Arial" w:cs="Arial" w:eastAsia="Arial" w:hAnsi="Arial"/>
          <w:sz w:val="11"/>
          <w:szCs w:val="11"/>
          <w:b w:val="1"/>
          <w:bCs w:val="1"/>
          <w:color w:val="auto"/>
        </w:rPr>
        <w:t>Treasury stock and contracts on own shares</w:t>
      </w:r>
    </w:p>
    <w:p>
      <w:pPr>
        <w:spacing w:after="0" w:line="163" w:lineRule="exact"/>
        <w:rPr>
          <w:sz w:val="20"/>
          <w:szCs w:val="20"/>
          <w:color w:val="auto"/>
        </w:rPr>
      </w:pPr>
    </w:p>
    <w:p>
      <w:pPr>
        <w:jc w:val="both"/>
        <w:ind w:left="223"/>
        <w:spacing w:after="0" w:line="267" w:lineRule="auto"/>
        <w:rPr>
          <w:sz w:val="20"/>
          <w:szCs w:val="20"/>
          <w:color w:val="auto"/>
        </w:rPr>
      </w:pPr>
      <w:r>
        <w:rPr>
          <w:rFonts w:ascii="Arial" w:cs="Arial" w:eastAsia="Arial" w:hAnsi="Arial"/>
          <w:sz w:val="13"/>
          <w:szCs w:val="13"/>
          <w:color w:val="auto"/>
        </w:rPr>
        <w:t>The own equity instruments of the Bank which are acquired by it or by any of its subsidiaries (treasury stock) are deducted from equity and accounted for at weighted average cost. Consideration paid or received on the purchase, sale, issue or cancellation of the Bank’s own equity instruments is recognized directly in equity.</w:t>
      </w:r>
    </w:p>
    <w:p>
      <w:pPr>
        <w:spacing w:after="0" w:line="129" w:lineRule="exact"/>
        <w:rPr>
          <w:sz w:val="20"/>
          <w:szCs w:val="20"/>
          <w:color w:val="auto"/>
        </w:rPr>
      </w:pPr>
    </w:p>
    <w:p>
      <w:pPr>
        <w:ind w:left="223"/>
        <w:spacing w:after="0"/>
        <w:rPr>
          <w:sz w:val="20"/>
          <w:szCs w:val="20"/>
          <w:color w:val="auto"/>
        </w:rPr>
      </w:pPr>
      <w:r>
        <w:rPr>
          <w:rFonts w:ascii="Arial" w:cs="Arial" w:eastAsia="Arial" w:hAnsi="Arial"/>
          <w:sz w:val="13"/>
          <w:szCs w:val="13"/>
          <w:color w:val="auto"/>
        </w:rPr>
        <w:t>No gain or loss is recognized in profit or loss on the purchase, sale, issue or cancellation of own equity instruments.</w:t>
      </w:r>
    </w:p>
    <w:p>
      <w:pPr>
        <w:spacing w:after="0" w:line="155" w:lineRule="exact"/>
        <w:rPr>
          <w:sz w:val="20"/>
          <w:szCs w:val="20"/>
          <w:color w:val="auto"/>
        </w:rPr>
      </w:pPr>
    </w:p>
    <w:p>
      <w:pPr>
        <w:ind w:left="703"/>
        <w:spacing w:after="0"/>
        <w:tabs>
          <w:tab w:leader="none" w:pos="1143" w:val="left"/>
        </w:tabs>
        <w:rPr>
          <w:sz w:val="20"/>
          <w:szCs w:val="20"/>
          <w:color w:val="auto"/>
        </w:rPr>
      </w:pPr>
      <w:r>
        <w:rPr>
          <w:rFonts w:ascii="Arial" w:cs="Arial" w:eastAsia="Arial" w:hAnsi="Arial"/>
          <w:sz w:val="13"/>
          <w:szCs w:val="13"/>
          <w:b w:val="1"/>
          <w:bCs w:val="1"/>
          <w:color w:val="auto"/>
        </w:rPr>
        <w:t>3.2.21</w:t>
      </w:r>
      <w:r>
        <w:rPr>
          <w:sz w:val="20"/>
          <w:szCs w:val="20"/>
          <w:color w:val="auto"/>
        </w:rPr>
        <w:tab/>
      </w:r>
      <w:r>
        <w:rPr>
          <w:rFonts w:ascii="Arial" w:cs="Arial" w:eastAsia="Arial" w:hAnsi="Arial"/>
          <w:sz w:val="11"/>
          <w:szCs w:val="11"/>
          <w:b w:val="1"/>
          <w:bCs w:val="1"/>
          <w:color w:val="auto"/>
        </w:rPr>
        <w:t>Segment reporting</w:t>
      </w:r>
    </w:p>
    <w:p>
      <w:pPr>
        <w:spacing w:after="0" w:line="163" w:lineRule="exact"/>
        <w:rPr>
          <w:sz w:val="20"/>
          <w:szCs w:val="20"/>
          <w:color w:val="auto"/>
        </w:rPr>
      </w:pPr>
    </w:p>
    <w:p>
      <w:pPr>
        <w:jc w:val="both"/>
        <w:ind w:left="223"/>
        <w:spacing w:after="0" w:line="257" w:lineRule="auto"/>
        <w:rPr>
          <w:sz w:val="20"/>
          <w:szCs w:val="20"/>
          <w:color w:val="auto"/>
        </w:rPr>
      </w:pPr>
      <w:r>
        <w:rPr>
          <w:rFonts w:ascii="Arial" w:cs="Arial" w:eastAsia="Arial" w:hAnsi="Arial"/>
          <w:sz w:val="13"/>
          <w:szCs w:val="13"/>
          <w:color w:val="auto"/>
        </w:rPr>
        <w:t>The Bank’s segment reporting is based on the following business segments: Commercial, which incorporates the Bank’s core business of financial intermediation and fee generation activities relating to the Bank’s commercial portfolio; and Treasury, which is responsible for the Bank’s funding and liquidity management, including its activities in investment securities, as well as the management of the Bank’s interest rate, liquidity, price, and currency risks.</w:t>
      </w:r>
    </w:p>
    <w:p>
      <w:pPr>
        <w:spacing w:after="0" w:line="132" w:lineRule="exact"/>
        <w:rPr>
          <w:sz w:val="20"/>
          <w:szCs w:val="20"/>
          <w:color w:val="auto"/>
        </w:rPr>
      </w:pPr>
    </w:p>
    <w:p>
      <w:pPr>
        <w:ind w:left="703"/>
        <w:spacing w:after="0"/>
        <w:tabs>
          <w:tab w:leader="none" w:pos="1143" w:val="left"/>
        </w:tabs>
        <w:rPr>
          <w:sz w:val="20"/>
          <w:szCs w:val="20"/>
          <w:color w:val="auto"/>
        </w:rPr>
      </w:pPr>
      <w:r>
        <w:rPr>
          <w:rFonts w:ascii="Arial" w:cs="Arial" w:eastAsia="Arial" w:hAnsi="Arial"/>
          <w:sz w:val="13"/>
          <w:szCs w:val="13"/>
          <w:b w:val="1"/>
          <w:bCs w:val="1"/>
          <w:color w:val="auto"/>
        </w:rPr>
        <w:t>3.2.22</w:t>
      </w:r>
      <w:r>
        <w:rPr>
          <w:sz w:val="20"/>
          <w:szCs w:val="20"/>
          <w:color w:val="auto"/>
        </w:rPr>
        <w:tab/>
      </w:r>
      <w:r>
        <w:rPr>
          <w:rFonts w:ascii="Arial" w:cs="Arial" w:eastAsia="Arial" w:hAnsi="Arial"/>
          <w:sz w:val="11"/>
          <w:szCs w:val="11"/>
          <w:b w:val="1"/>
          <w:bCs w:val="1"/>
          <w:color w:val="auto"/>
        </w:rPr>
        <w:t>Judgments, estimates and significant accounting assumptions</w:t>
      </w:r>
    </w:p>
    <w:p>
      <w:pPr>
        <w:spacing w:after="0" w:line="163" w:lineRule="exact"/>
        <w:rPr>
          <w:sz w:val="20"/>
          <w:szCs w:val="20"/>
          <w:color w:val="auto"/>
        </w:rPr>
      </w:pPr>
    </w:p>
    <w:p>
      <w:pPr>
        <w:jc w:val="both"/>
        <w:ind w:left="223"/>
        <w:spacing w:after="0" w:line="289" w:lineRule="auto"/>
        <w:rPr>
          <w:sz w:val="20"/>
          <w:szCs w:val="20"/>
          <w:color w:val="auto"/>
        </w:rPr>
      </w:pPr>
      <w:r>
        <w:rPr>
          <w:rFonts w:ascii="Arial" w:cs="Arial" w:eastAsia="Arial" w:hAnsi="Arial"/>
          <w:sz w:val="12"/>
          <w:szCs w:val="12"/>
          <w:color w:val="auto"/>
        </w:rPr>
        <w:t>The preparation of the consolidated financial statements requires management to make estimates and use assumptions that affect the reported amounts of assets and liabilities and disclosure of contingent liabilities at the reporting date and the reported amounts of revenues and expenses during the year. Material estimates that are particularly susceptible to significant changes relate to the determination of the allowances for expected credit losses, impairment of securities, and the fair value of financial instruments. Actual results could differ from those estimates. Management believes these estimates are adequate.</w:t>
      </w:r>
    </w:p>
    <w:p>
      <w:pPr>
        <w:spacing w:after="0" w:line="114" w:lineRule="exact"/>
        <w:rPr>
          <w:sz w:val="20"/>
          <w:szCs w:val="20"/>
          <w:color w:val="auto"/>
        </w:rPr>
      </w:pPr>
    </w:p>
    <w:p>
      <w:pPr>
        <w:ind w:left="223"/>
        <w:spacing w:after="0"/>
        <w:rPr>
          <w:sz w:val="20"/>
          <w:szCs w:val="20"/>
          <w:color w:val="auto"/>
        </w:rPr>
      </w:pPr>
      <w:r>
        <w:rPr>
          <w:rFonts w:ascii="Arial" w:cs="Arial" w:eastAsia="Arial" w:hAnsi="Arial"/>
          <w:sz w:val="13"/>
          <w:szCs w:val="13"/>
          <w:b w:val="1"/>
          <w:bCs w:val="1"/>
          <w:u w:val="single" w:color="auto"/>
          <w:color w:val="auto"/>
        </w:rPr>
        <w:t>Judgments</w:t>
      </w:r>
    </w:p>
    <w:p>
      <w:pPr>
        <w:spacing w:after="0" w:line="163" w:lineRule="exact"/>
        <w:rPr>
          <w:sz w:val="20"/>
          <w:szCs w:val="20"/>
          <w:color w:val="auto"/>
        </w:rPr>
      </w:pPr>
    </w:p>
    <w:p>
      <w:pPr>
        <w:ind w:left="223"/>
        <w:spacing w:after="0"/>
        <w:rPr>
          <w:sz w:val="20"/>
          <w:szCs w:val="20"/>
          <w:color w:val="auto"/>
        </w:rPr>
      </w:pPr>
      <w:r>
        <w:rPr>
          <w:rFonts w:ascii="Arial" w:cs="Arial" w:eastAsia="Arial" w:hAnsi="Arial"/>
          <w:sz w:val="11"/>
          <w:szCs w:val="11"/>
          <w:color w:val="auto"/>
        </w:rPr>
        <w:t>In the process of applying the Bank’s accounting policies, management has made the following judgments, which have the most significant effect on the amounts recognized in the consolidated financial statements:</w:t>
      </w:r>
    </w:p>
    <w:p>
      <w:pPr>
        <w:spacing w:after="0" w:line="336"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F-33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1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85" w:right="219" w:bottom="1440" w:gutter="0" w:footer="0" w:header="0"/>
        </w:sectPr>
      </w:pPr>
    </w:p>
    <w:bookmarkStart w:id="158" w:name="page159"/>
    <w:bookmarkEnd w:id="158"/>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1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123"/>
        </w:numPr>
        <w:rPr>
          <w:rFonts w:ascii="Arial" w:cs="Arial" w:eastAsia="Arial" w:hAnsi="Arial"/>
          <w:sz w:val="13"/>
          <w:szCs w:val="13"/>
          <w:b w:val="1"/>
          <w:bCs w:val="1"/>
          <w:color w:val="auto"/>
        </w:rPr>
      </w:pPr>
      <w:r>
        <w:rPr>
          <w:rFonts w:ascii="Arial" w:cs="Arial" w:eastAsia="Arial" w:hAnsi="Arial"/>
          <w:sz w:val="13"/>
          <w:szCs w:val="13"/>
          <w:b w:val="1"/>
          <w:bCs w:val="1"/>
          <w:color w:val="auto"/>
        </w:rPr>
        <w:t>Summary of accounting policies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3.2</w:t>
      </w:r>
      <w:r>
        <w:rPr>
          <w:rFonts w:ascii="Arial" w:cs="Arial" w:eastAsia="Arial" w:hAnsi="Arial"/>
          <w:sz w:val="11"/>
          <w:szCs w:val="11"/>
          <w:b w:val="1"/>
          <w:bCs w:val="1"/>
          <w:color w:val="auto"/>
        </w:rPr>
        <w:t>Significant accounting policies (continued)</w:t>
      </w:r>
    </w:p>
    <w:p>
      <w:pPr>
        <w:spacing w:after="0" w:line="158" w:lineRule="exact"/>
        <w:rPr>
          <w:rFonts w:ascii="Arial" w:cs="Arial" w:eastAsia="Arial" w:hAnsi="Arial"/>
          <w:sz w:val="13"/>
          <w:szCs w:val="13"/>
          <w:b w:val="1"/>
          <w:bCs w:val="1"/>
          <w:color w:val="auto"/>
        </w:rPr>
      </w:pPr>
    </w:p>
    <w:p>
      <w:pPr>
        <w:ind w:left="223" w:right="6320" w:firstLine="462"/>
        <w:spacing w:after="0" w:line="497" w:lineRule="auto"/>
        <w:rPr>
          <w:rFonts w:ascii="Arial" w:cs="Arial" w:eastAsia="Arial" w:hAnsi="Arial"/>
          <w:sz w:val="13"/>
          <w:szCs w:val="13"/>
          <w:b w:val="1"/>
          <w:bCs w:val="1"/>
          <w:color w:val="auto"/>
        </w:rPr>
      </w:pPr>
      <w:r>
        <w:rPr>
          <w:rFonts w:ascii="Arial" w:cs="Arial" w:eastAsia="Arial" w:hAnsi="Arial"/>
          <w:sz w:val="13"/>
          <w:szCs w:val="13"/>
          <w:b w:val="1"/>
          <w:bCs w:val="1"/>
          <w:color w:val="auto"/>
        </w:rPr>
        <w:t xml:space="preserve">3.2.22 Judgments, estimates and significant accounting assumptions (continued) </w:t>
      </w:r>
      <w:r>
        <w:rPr>
          <w:rFonts w:ascii="Arial" w:cs="Arial" w:eastAsia="Arial" w:hAnsi="Arial"/>
          <w:sz w:val="13"/>
          <w:szCs w:val="13"/>
          <w:b w:val="1"/>
          <w:bCs w:val="1"/>
          <w:u w:val="single" w:color="auto"/>
          <w:color w:val="auto"/>
        </w:rPr>
        <w:t>Business model assessment</w:t>
      </w:r>
    </w:p>
    <w:p>
      <w:pPr>
        <w:jc w:val="both"/>
        <w:ind w:left="223"/>
        <w:spacing w:after="0" w:line="314" w:lineRule="auto"/>
        <w:rPr>
          <w:rFonts w:ascii="Arial" w:cs="Arial" w:eastAsia="Arial" w:hAnsi="Arial"/>
          <w:sz w:val="13"/>
          <w:szCs w:val="13"/>
          <w:b w:val="1"/>
          <w:bCs w:val="1"/>
          <w:color w:val="auto"/>
        </w:rPr>
      </w:pPr>
      <w:r>
        <w:rPr>
          <w:rFonts w:ascii="Arial" w:cs="Arial" w:eastAsia="Arial" w:hAnsi="Arial"/>
          <w:sz w:val="11"/>
          <w:szCs w:val="11"/>
          <w:color w:val="auto"/>
        </w:rPr>
        <w:t>Classification and measurement of financial assets depends on the results of the SPPI and the business model test. The Bank determines the business model at a level that reflects how groups of financial assets are managed together to achieve a particular business objective. This assessment includes judgment reflecting all relevant evidence including how the performance of the assets is evaluated and their performance is measured, and the risks that affect the performance of the assets and how they are managed. The Bank monitors financial assets measured at amortized cost or fair value through other comprehensive income that are derecognized prior to their maturity to understand the reason for their disposal and whether the reasons are consistent with the objective of the business for which the asset was held.</w:t>
      </w:r>
    </w:p>
    <w:p>
      <w:pPr>
        <w:spacing w:after="0" w:line="104"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u w:val="single" w:color="auto"/>
          <w:color w:val="auto"/>
        </w:rPr>
        <w:t>Significant increase of credit risk</w:t>
      </w:r>
    </w:p>
    <w:p>
      <w:pPr>
        <w:spacing w:after="0" w:line="162" w:lineRule="exact"/>
        <w:rPr>
          <w:rFonts w:ascii="Arial" w:cs="Arial" w:eastAsia="Arial" w:hAnsi="Arial"/>
          <w:sz w:val="13"/>
          <w:szCs w:val="13"/>
          <w:b w:val="1"/>
          <w:bCs w:val="1"/>
          <w:color w:val="auto"/>
        </w:rPr>
      </w:pPr>
    </w:p>
    <w:p>
      <w:pPr>
        <w:jc w:val="both"/>
        <w:ind w:left="223" w:right="20"/>
        <w:spacing w:after="0" w:line="257" w:lineRule="auto"/>
        <w:rPr>
          <w:rFonts w:ascii="Arial" w:cs="Arial" w:eastAsia="Arial" w:hAnsi="Arial"/>
          <w:sz w:val="13"/>
          <w:szCs w:val="13"/>
          <w:b w:val="1"/>
          <w:bCs w:val="1"/>
          <w:color w:val="auto"/>
        </w:rPr>
      </w:pPr>
      <w:r>
        <w:rPr>
          <w:rFonts w:ascii="Arial" w:cs="Arial" w:eastAsia="Arial" w:hAnsi="Arial"/>
          <w:sz w:val="13"/>
          <w:szCs w:val="13"/>
          <w:color w:val="auto"/>
        </w:rPr>
        <w:t>For the financial assets in stage 1, ECL are measured as an allowance equal to 12-month ECL on stage 1 assets, or lifetime ECL assets on stage 2 or stage 3 assets. An asset moves to stage 2 when its credit risk has increased significantly since initial recognition. In assessing whether the credit risk of an asset has significantly increased the Bank takes into account reasonable and supportable forward-looking qualitative and quantitative information.</w:t>
      </w:r>
    </w:p>
    <w:p>
      <w:pPr>
        <w:spacing w:after="0" w:line="131"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u w:val="single" w:color="auto"/>
          <w:color w:val="auto"/>
        </w:rPr>
        <w:t>Establishing groups of assets with similar credit risk characteristics</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When ECL are measured on a collective basis, the financial instruments are grouped on the basis of shared risk characteristics.</w:t>
      </w:r>
    </w:p>
    <w:p>
      <w:pPr>
        <w:spacing w:after="0" w:line="158" w:lineRule="exact"/>
        <w:rPr>
          <w:rFonts w:ascii="Arial" w:cs="Arial" w:eastAsia="Arial" w:hAnsi="Arial"/>
          <w:sz w:val="13"/>
          <w:szCs w:val="13"/>
          <w:b w:val="1"/>
          <w:bCs w:val="1"/>
          <w:color w:val="auto"/>
        </w:rPr>
      </w:pPr>
    </w:p>
    <w:p>
      <w:pPr>
        <w:jc w:val="both"/>
        <w:ind w:left="223"/>
        <w:spacing w:after="0" w:line="252" w:lineRule="auto"/>
        <w:rPr>
          <w:rFonts w:ascii="Arial" w:cs="Arial" w:eastAsia="Arial" w:hAnsi="Arial"/>
          <w:sz w:val="13"/>
          <w:szCs w:val="13"/>
          <w:b w:val="1"/>
          <w:bCs w:val="1"/>
          <w:color w:val="auto"/>
        </w:rPr>
      </w:pPr>
      <w:r>
        <w:rPr>
          <w:rFonts w:ascii="Arial" w:cs="Arial" w:eastAsia="Arial" w:hAnsi="Arial"/>
          <w:sz w:val="13"/>
          <w:szCs w:val="13"/>
          <w:color w:val="auto"/>
        </w:rPr>
        <w:t>The Bank monitors the appropriateness of the credit risk characteristics on an ongoing basis to assess whether they continue to be similar. This is required in order to ensure that when credit risk characteristics change there is appropriate re-segmentation of the assets. This may result in new portfolios being created or assets moving to an existing portfolio that better reflects the similar credit risk characteristics of that group of assets. Re-segmentation of portfolios and movement between portfolios is more common when there is a significant increase in credit risk (or when that significant increase reverses) and so assets move from 12-month ECL to lifetime ECL, or vice versa, but it can also occur within portfolios that continue to be measured on the same basis of 12-month ECL or lifetime ECL but the amount of ECL changes because the credit risk of the portfolios differs.</w:t>
      </w:r>
    </w:p>
    <w:p>
      <w:pPr>
        <w:spacing w:after="0" w:line="135"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u w:val="single" w:color="auto"/>
          <w:color w:val="auto"/>
        </w:rPr>
        <w:t>Models and assumptions used</w:t>
      </w:r>
    </w:p>
    <w:p>
      <w:pPr>
        <w:spacing w:after="0" w:line="162" w:lineRule="exact"/>
        <w:rPr>
          <w:rFonts w:ascii="Arial" w:cs="Arial" w:eastAsia="Arial" w:hAnsi="Arial"/>
          <w:sz w:val="13"/>
          <w:szCs w:val="13"/>
          <w:b w:val="1"/>
          <w:bCs w:val="1"/>
          <w:color w:val="auto"/>
        </w:rPr>
      </w:pP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The Bank uses various models and assumptions in measuring fair value of financial assets as well as in estimating ECL. Judgment is applied in identifying the most appropriate model for each type of asset, as well as for determining the assumptions used in these models, including assumptions that relate to key drivers of credit risk.</w:t>
      </w:r>
    </w:p>
    <w:p>
      <w:pPr>
        <w:spacing w:after="0" w:line="125"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u w:val="single" w:color="auto"/>
          <w:color w:val="auto"/>
        </w:rPr>
        <w:t>Reserve for expected credit losses</w:t>
      </w:r>
    </w:p>
    <w:p>
      <w:pPr>
        <w:spacing w:after="0" w:line="162" w:lineRule="exact"/>
        <w:rPr>
          <w:rFonts w:ascii="Arial" w:cs="Arial" w:eastAsia="Arial" w:hAnsi="Arial"/>
          <w:sz w:val="13"/>
          <w:szCs w:val="13"/>
          <w:b w:val="1"/>
          <w:bCs w:val="1"/>
          <w:color w:val="auto"/>
        </w:rPr>
      </w:pPr>
    </w:p>
    <w:p>
      <w:pPr>
        <w:jc w:val="both"/>
        <w:ind w:left="223"/>
        <w:spacing w:after="0" w:line="281" w:lineRule="auto"/>
        <w:rPr>
          <w:rFonts w:ascii="Arial" w:cs="Arial" w:eastAsia="Arial" w:hAnsi="Arial"/>
          <w:sz w:val="13"/>
          <w:szCs w:val="13"/>
          <w:b w:val="1"/>
          <w:bCs w:val="1"/>
          <w:color w:val="auto"/>
        </w:rPr>
      </w:pPr>
      <w:r>
        <w:rPr>
          <w:rFonts w:ascii="Arial" w:cs="Arial" w:eastAsia="Arial" w:hAnsi="Arial"/>
          <w:sz w:val="12"/>
          <w:szCs w:val="12"/>
          <w:color w:val="auto"/>
        </w:rPr>
        <w:t>When establishing ECL, judgment is applied by management in order to assess the amount and opportunity of the future cash flows with the purpose of evaluating whether credit risk has significantly increased since the initial recognition, taking into account the characteristics of the financial asset and the former patterns pre-established for similar financial assets. The changes in risk of default occurring within the next 12 months can be a reasonable approach of the changes in the risk measure according to the lifetime of the instrument. The Bank uses the changes in risk of default occurring within the next 12 months to determine if the credit has significantly increased since the initial recognition, unless the circumstances give rise to an assessment during the lifetime of the instrument.</w:t>
      </w:r>
    </w:p>
    <w:p>
      <w:pPr>
        <w:spacing w:after="0" w:line="278"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F-34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1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159" w:name="page160"/>
    <w:bookmarkEnd w:id="159"/>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1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124"/>
        </w:numPr>
        <w:rPr>
          <w:rFonts w:ascii="Arial" w:cs="Arial" w:eastAsia="Arial" w:hAnsi="Arial"/>
          <w:sz w:val="13"/>
          <w:szCs w:val="13"/>
          <w:b w:val="1"/>
          <w:bCs w:val="1"/>
          <w:color w:val="auto"/>
        </w:rPr>
      </w:pPr>
      <w:r>
        <w:rPr>
          <w:rFonts w:ascii="Arial" w:cs="Arial" w:eastAsia="Arial" w:hAnsi="Arial"/>
          <w:sz w:val="13"/>
          <w:szCs w:val="13"/>
          <w:b w:val="1"/>
          <w:bCs w:val="1"/>
          <w:color w:val="auto"/>
        </w:rPr>
        <w:t>Summary of accounting policies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3.2</w:t>
      </w:r>
      <w:r>
        <w:rPr>
          <w:rFonts w:ascii="Arial" w:cs="Arial" w:eastAsia="Arial" w:hAnsi="Arial"/>
          <w:sz w:val="11"/>
          <w:szCs w:val="11"/>
          <w:b w:val="1"/>
          <w:bCs w:val="1"/>
          <w:color w:val="auto"/>
        </w:rPr>
        <w:t>Significant accounting policies (continued)</w:t>
      </w:r>
    </w:p>
    <w:p>
      <w:pPr>
        <w:spacing w:after="0" w:line="158" w:lineRule="exact"/>
        <w:rPr>
          <w:rFonts w:ascii="Arial" w:cs="Arial" w:eastAsia="Arial" w:hAnsi="Arial"/>
          <w:sz w:val="13"/>
          <w:szCs w:val="13"/>
          <w:b w:val="1"/>
          <w:bCs w:val="1"/>
          <w:color w:val="auto"/>
        </w:rPr>
      </w:pPr>
    </w:p>
    <w:p>
      <w:pPr>
        <w:ind w:left="223" w:right="6960" w:firstLine="462"/>
        <w:spacing w:after="0" w:line="497" w:lineRule="auto"/>
        <w:rPr>
          <w:rFonts w:ascii="Arial" w:cs="Arial" w:eastAsia="Arial" w:hAnsi="Arial"/>
          <w:sz w:val="13"/>
          <w:szCs w:val="13"/>
          <w:b w:val="1"/>
          <w:bCs w:val="1"/>
          <w:color w:val="auto"/>
        </w:rPr>
      </w:pPr>
      <w:r>
        <w:rPr>
          <w:rFonts w:ascii="Arial" w:cs="Arial" w:eastAsia="Arial" w:hAnsi="Arial"/>
          <w:sz w:val="13"/>
          <w:szCs w:val="13"/>
          <w:b w:val="1"/>
          <w:bCs w:val="1"/>
          <w:color w:val="auto"/>
        </w:rPr>
        <w:t xml:space="preserve">3.2.22 Judgments, estimates and significant accounting assumptions </w:t>
      </w:r>
      <w:r>
        <w:rPr>
          <w:rFonts w:ascii="Arial" w:cs="Arial" w:eastAsia="Arial" w:hAnsi="Arial"/>
          <w:sz w:val="13"/>
          <w:szCs w:val="13"/>
          <w:b w:val="1"/>
          <w:bCs w:val="1"/>
          <w:u w:val="single" w:color="auto"/>
          <w:color w:val="auto"/>
        </w:rPr>
        <w:t>Fair value measurement</w:t>
      </w:r>
    </w:p>
    <w:p>
      <w:pPr>
        <w:jc w:val="both"/>
        <w:ind w:left="223"/>
        <w:spacing w:after="0" w:line="254" w:lineRule="auto"/>
        <w:rPr>
          <w:rFonts w:ascii="Arial" w:cs="Arial" w:eastAsia="Arial" w:hAnsi="Arial"/>
          <w:sz w:val="13"/>
          <w:szCs w:val="13"/>
          <w:b w:val="1"/>
          <w:bCs w:val="1"/>
          <w:color w:val="auto"/>
        </w:rPr>
      </w:pPr>
      <w:r>
        <w:rPr>
          <w:rFonts w:ascii="Arial" w:cs="Arial" w:eastAsia="Arial" w:hAnsi="Arial"/>
          <w:sz w:val="13"/>
          <w:szCs w:val="13"/>
          <w:color w:val="auto"/>
        </w:rPr>
        <w:t>When the fair values of financial assets and financial liabilities recorded in the consolidated statement of financial position cannot be derived from active markets, they are determined using a variety of valuation techniques that include the use of mathematical models. The inputs to these models are derived from observable market data where possible, but if this is not available, judgment is required to establish fair values. The judgments include considerations of liquidity and model inputs such as volatility for longer–dated derivatives and discount rates, prepayment rates and default rate assumptions for asset-backed securities. The valuation of financial instruments is described in more detail in Note 26.</w:t>
      </w:r>
    </w:p>
    <w:p>
      <w:pPr>
        <w:spacing w:after="0" w:line="133"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u w:val="single" w:color="auto"/>
          <w:color w:val="auto"/>
        </w:rPr>
        <w:t>Estimates and assumptions</w:t>
      </w:r>
    </w:p>
    <w:p>
      <w:pPr>
        <w:spacing w:after="0" w:line="162" w:lineRule="exact"/>
        <w:rPr>
          <w:rFonts w:ascii="Arial" w:cs="Arial" w:eastAsia="Arial" w:hAnsi="Arial"/>
          <w:sz w:val="13"/>
          <w:szCs w:val="13"/>
          <w:b w:val="1"/>
          <w:bCs w:val="1"/>
          <w:color w:val="auto"/>
        </w:rPr>
      </w:pPr>
    </w:p>
    <w:p>
      <w:pPr>
        <w:jc w:val="both"/>
        <w:ind w:left="223"/>
        <w:spacing w:after="0" w:line="326" w:lineRule="auto"/>
        <w:rPr>
          <w:rFonts w:ascii="Arial" w:cs="Arial" w:eastAsia="Arial" w:hAnsi="Arial"/>
          <w:sz w:val="13"/>
          <w:szCs w:val="13"/>
          <w:b w:val="1"/>
          <w:bCs w:val="1"/>
          <w:color w:val="auto"/>
        </w:rPr>
      </w:pPr>
      <w:r>
        <w:rPr>
          <w:rFonts w:ascii="Arial" w:cs="Arial" w:eastAsia="Arial" w:hAnsi="Arial"/>
          <w:sz w:val="11"/>
          <w:szCs w:val="11"/>
          <w:color w:val="auto"/>
        </w:rPr>
        <w:t>The key assumptions concerning the future and other key sources of estimating uncertainty at the reporting date, that have a significant risk of causing a material adjustment to the carrying amounts of assets and liabilities within the next financial year, are described below. The Bank based its assumptions and estimates on parameters available when the consolidated financial statements were prepared. Existing circumstances and assumptions about future developments, however, may change due to market changes or circumstances beyond the control of the Bank. Such changes are reflected in the assumptions when they occur.</w:t>
      </w:r>
    </w:p>
    <w:p>
      <w:pPr>
        <w:spacing w:after="0" w:line="96"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u w:val="single" w:color="auto"/>
          <w:color w:val="auto"/>
        </w:rPr>
        <w:t>Going concern</w:t>
      </w:r>
    </w:p>
    <w:p>
      <w:pPr>
        <w:spacing w:after="0" w:line="162" w:lineRule="exact"/>
        <w:rPr>
          <w:rFonts w:ascii="Arial" w:cs="Arial" w:eastAsia="Arial" w:hAnsi="Arial"/>
          <w:sz w:val="13"/>
          <w:szCs w:val="13"/>
          <w:b w:val="1"/>
          <w:bCs w:val="1"/>
          <w:color w:val="auto"/>
        </w:rPr>
      </w:pPr>
    </w:p>
    <w:p>
      <w:pPr>
        <w:jc w:val="both"/>
        <w:ind w:left="223"/>
        <w:spacing w:after="0" w:line="257" w:lineRule="auto"/>
        <w:rPr>
          <w:rFonts w:ascii="Arial" w:cs="Arial" w:eastAsia="Arial" w:hAnsi="Arial"/>
          <w:sz w:val="13"/>
          <w:szCs w:val="13"/>
          <w:b w:val="1"/>
          <w:bCs w:val="1"/>
          <w:color w:val="auto"/>
        </w:rPr>
      </w:pPr>
      <w:r>
        <w:rPr>
          <w:rFonts w:ascii="Arial" w:cs="Arial" w:eastAsia="Arial" w:hAnsi="Arial"/>
          <w:sz w:val="13"/>
          <w:szCs w:val="13"/>
          <w:color w:val="auto"/>
        </w:rPr>
        <w:t>The Bank’s management has made an assessment of its ability to continue as a going concern and is satisfied that it has the resources to continue in business for the foreseeable future. Furthermore, management is not aware of any material uncertainties that may cast significant doubt upon the Bank’s ability to continue as a going concern. Therefore, the consolidated financial statements continue to be prepared on a going concern basis.</w:t>
      </w:r>
    </w:p>
    <w:p>
      <w:pPr>
        <w:spacing w:after="0" w:line="131"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u w:val="single" w:color="auto"/>
          <w:color w:val="auto"/>
        </w:rPr>
        <w:t>Impairment losses on loans at amortized cost</w:t>
      </w:r>
    </w:p>
    <w:p>
      <w:pPr>
        <w:spacing w:after="0" w:line="162" w:lineRule="exact"/>
        <w:rPr>
          <w:rFonts w:ascii="Arial" w:cs="Arial" w:eastAsia="Arial" w:hAnsi="Arial"/>
          <w:sz w:val="13"/>
          <w:szCs w:val="13"/>
          <w:b w:val="1"/>
          <w:bCs w:val="1"/>
          <w:color w:val="auto"/>
        </w:rPr>
      </w:pPr>
    </w:p>
    <w:p>
      <w:pPr>
        <w:jc w:val="both"/>
        <w:ind w:left="223"/>
        <w:spacing w:after="0" w:line="251" w:lineRule="auto"/>
        <w:rPr>
          <w:rFonts w:ascii="Arial" w:cs="Arial" w:eastAsia="Arial" w:hAnsi="Arial"/>
          <w:sz w:val="13"/>
          <w:szCs w:val="13"/>
          <w:b w:val="1"/>
          <w:bCs w:val="1"/>
          <w:color w:val="auto"/>
        </w:rPr>
      </w:pPr>
      <w:r>
        <w:rPr>
          <w:rFonts w:ascii="Arial" w:cs="Arial" w:eastAsia="Arial" w:hAnsi="Arial"/>
          <w:sz w:val="13"/>
          <w:szCs w:val="13"/>
          <w:color w:val="auto"/>
        </w:rPr>
        <w:t>The Bank individually assesses all credit impaired loans at amortized cost at each reporting date to assess whether an impairment loss should be recorded in profit or loss. Management’s judgment is required in the estimation of the amount and timing of future cash flows when determining the impairment loss. These estimates are based on assumptions about several factors and actual results that may vary, resulting in future changes to the allowance. Loans at amortized cost that do not give rise to credit impairment individually are assessed in groups of assets with similar risk characteristics. This is to determine whether a provision should be made due to incurred loss events for which there is objective evidence, but the effects which are not yet evident. The collective assessment takes into account data from the loan portfolio (such as levels of arrears, credit utilization, loan-to-collateral ratios, etc.), and judgments on the effect of concentrations of risks and economic data (including levels of unemployment, real estate price indices, country risk and the performance of various individual groups).</w:t>
      </w:r>
    </w:p>
    <w:p>
      <w:pPr>
        <w:spacing w:after="0" w:line="294"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F-35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1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85" w:right="219" w:bottom="1440" w:gutter="0" w:footer="0" w:header="0"/>
        </w:sectPr>
      </w:pPr>
    </w:p>
    <w:bookmarkStart w:id="160" w:name="page161"/>
    <w:bookmarkEnd w:id="160"/>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1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125"/>
        </w:numPr>
        <w:rPr>
          <w:rFonts w:ascii="Arial" w:cs="Arial" w:eastAsia="Arial" w:hAnsi="Arial"/>
          <w:sz w:val="13"/>
          <w:szCs w:val="13"/>
          <w:b w:val="1"/>
          <w:bCs w:val="1"/>
          <w:color w:val="auto"/>
        </w:rPr>
      </w:pPr>
      <w:r>
        <w:rPr>
          <w:rFonts w:ascii="Arial" w:cs="Arial" w:eastAsia="Arial" w:hAnsi="Arial"/>
          <w:sz w:val="13"/>
          <w:szCs w:val="13"/>
          <w:b w:val="1"/>
          <w:bCs w:val="1"/>
          <w:color w:val="auto"/>
        </w:rPr>
        <w:t>Summary of accounting policies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3.2</w:t>
      </w:r>
      <w:r>
        <w:rPr>
          <w:rFonts w:ascii="Arial" w:cs="Arial" w:eastAsia="Arial" w:hAnsi="Arial"/>
          <w:sz w:val="11"/>
          <w:szCs w:val="11"/>
          <w:b w:val="1"/>
          <w:bCs w:val="1"/>
          <w:color w:val="auto"/>
        </w:rPr>
        <w:t>Significant accounting policies (continued)</w:t>
      </w:r>
    </w:p>
    <w:p>
      <w:pPr>
        <w:spacing w:after="0" w:line="158" w:lineRule="exact"/>
        <w:rPr>
          <w:rFonts w:ascii="Arial" w:cs="Arial" w:eastAsia="Arial" w:hAnsi="Arial"/>
          <w:sz w:val="13"/>
          <w:szCs w:val="13"/>
          <w:b w:val="1"/>
          <w:bCs w:val="1"/>
          <w:color w:val="auto"/>
        </w:rPr>
      </w:pPr>
    </w:p>
    <w:p>
      <w:pPr>
        <w:ind w:left="70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3.2.23  Future changes in accounting policies</w:t>
      </w:r>
    </w:p>
    <w:p>
      <w:pPr>
        <w:spacing w:after="0" w:line="162" w:lineRule="exact"/>
        <w:rPr>
          <w:rFonts w:ascii="Arial" w:cs="Arial" w:eastAsia="Arial" w:hAnsi="Arial"/>
          <w:sz w:val="13"/>
          <w:szCs w:val="13"/>
          <w:b w:val="1"/>
          <w:bCs w:val="1"/>
          <w:color w:val="auto"/>
        </w:rPr>
      </w:pPr>
    </w:p>
    <w:p>
      <w:pPr>
        <w:jc w:val="both"/>
        <w:ind w:left="223"/>
        <w:spacing w:after="0" w:line="257" w:lineRule="auto"/>
        <w:rPr>
          <w:rFonts w:ascii="Arial" w:cs="Arial" w:eastAsia="Arial" w:hAnsi="Arial"/>
          <w:sz w:val="13"/>
          <w:szCs w:val="13"/>
          <w:b w:val="1"/>
          <w:bCs w:val="1"/>
          <w:color w:val="auto"/>
        </w:rPr>
      </w:pPr>
      <w:r>
        <w:rPr>
          <w:rFonts w:ascii="Arial" w:cs="Arial" w:eastAsia="Arial" w:hAnsi="Arial"/>
          <w:sz w:val="13"/>
          <w:szCs w:val="13"/>
          <w:color w:val="auto"/>
        </w:rPr>
        <w:t>A number of new standards and amendments to standards are effective for annual periods beginning after 1 January 2019 and earlier application is permitted; however, the Bank has not early adopted them in preparing these consolidated financial statements, with the exception of the amendment to IFRS 9 affecting prepayment features with negative compensation issued in October 2017. Of those standards that are not yet effective, IFRS 16 is expected to have a significant impact on the Bank's consolidated financial statements in the period of initial application.</w:t>
      </w:r>
    </w:p>
    <w:p>
      <w:pPr>
        <w:spacing w:after="0" w:line="131"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IFRS 16 Leases</w:t>
      </w:r>
    </w:p>
    <w:p>
      <w:pPr>
        <w:spacing w:after="0" w:line="162" w:lineRule="exact"/>
        <w:rPr>
          <w:rFonts w:ascii="Arial" w:cs="Arial" w:eastAsia="Arial" w:hAnsi="Arial"/>
          <w:sz w:val="13"/>
          <w:szCs w:val="13"/>
          <w:b w:val="1"/>
          <w:bCs w:val="1"/>
          <w:color w:val="auto"/>
        </w:rPr>
      </w:pP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IFRS 16 Leases will be effective for annual periods beginning on or after January 1, 2019. IFRS 16 supersedes IAS 17 – Leases; IFRIC 4 – Determining whether an arrangement contains a lease, SIC 15 -Operating leases – incentives and SIC27 - Evaluating the substance of transactions involving the legal form of a lease.</w:t>
      </w:r>
    </w:p>
    <w:p>
      <w:pPr>
        <w:spacing w:after="0" w:line="129" w:lineRule="exact"/>
        <w:rPr>
          <w:rFonts w:ascii="Arial" w:cs="Arial" w:eastAsia="Arial" w:hAnsi="Arial"/>
          <w:sz w:val="13"/>
          <w:szCs w:val="13"/>
          <w:b w:val="1"/>
          <w:bCs w:val="1"/>
          <w:color w:val="auto"/>
        </w:rPr>
      </w:pP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IFRS 16 changes the way in which the lease is accounted for by lessees, using a single model to account for such transactions. This unique model determines that a lessee must recognize a right-of-use asset, which represents its right to use the underlying asset, and a lease liability, which represents its obligation to make future lease payments.</w:t>
      </w:r>
    </w:p>
    <w:p>
      <w:pPr>
        <w:spacing w:after="0" w:line="129"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standard includes exemptions for its application for short-term leases and leases in which the underlying asset has low value.</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lessor's accounting remains the same to that established in IAS 17, that is, the lessors continue to classify the leases as financial or operating.</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Bank has evaluated the estimated impact that the initial application of IFRS 16 will have on its consolidated financial statements, as described below:</w:t>
      </w:r>
    </w:p>
    <w:p>
      <w:pPr>
        <w:spacing w:after="0" w:line="158" w:lineRule="exact"/>
        <w:rPr>
          <w:rFonts w:ascii="Arial" w:cs="Arial" w:eastAsia="Arial" w:hAnsi="Arial"/>
          <w:sz w:val="13"/>
          <w:szCs w:val="13"/>
          <w:b w:val="1"/>
          <w:bCs w:val="1"/>
          <w:color w:val="auto"/>
        </w:rPr>
      </w:pP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The Bank will recognize the new assets and liabilities for its operating leases related to rental of offices premises, use of parking lots, and equipment rental contracts. The nature of the expenses related to these leases will change as of January 1, 2019, because the Bank will recognize a depreciation expense for the right-of-use assets, and the interest expenses for the lease liabilities.</w:t>
      </w:r>
    </w:p>
    <w:p>
      <w:pPr>
        <w:spacing w:after="0" w:line="129"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Previously, the Bank recognized operating lease payments as an expense in profit or loss on a straight-line basis over the lease term.</w:t>
      </w:r>
    </w:p>
    <w:p>
      <w:pPr>
        <w:spacing w:after="0" w:line="154"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Transition</w:t>
      </w:r>
    </w:p>
    <w:p>
      <w:pPr>
        <w:spacing w:after="0" w:line="162" w:lineRule="exact"/>
        <w:rPr>
          <w:rFonts w:ascii="Arial" w:cs="Arial" w:eastAsia="Arial" w:hAnsi="Arial"/>
          <w:sz w:val="13"/>
          <w:szCs w:val="13"/>
          <w:b w:val="1"/>
          <w:bCs w:val="1"/>
          <w:color w:val="auto"/>
        </w:rPr>
      </w:pP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The Bank will to apply IFRS 16 initially on 1 January 2019, using a modified retrospective approach. Therefore, the cumulative effect of adopting IFRS 16 will be recognized as an adjustment to the opening balance of retained earnings at 1 January 2019, with no restatement of comparative information.</w:t>
      </w:r>
    </w:p>
    <w:p>
      <w:pPr>
        <w:spacing w:after="0" w:line="129" w:lineRule="exact"/>
        <w:rPr>
          <w:rFonts w:ascii="Arial" w:cs="Arial" w:eastAsia="Arial" w:hAnsi="Arial"/>
          <w:sz w:val="13"/>
          <w:szCs w:val="13"/>
          <w:b w:val="1"/>
          <w:bCs w:val="1"/>
          <w:color w:val="auto"/>
        </w:rPr>
      </w:pP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The Group plans to apply the practical expedient to grandfather the definition of a lease on transition. This means that it will apply IFRS 16 to all contracts entered into before 1 January 2019 and identified as leases in accordance with IAS 17 and IFRIC 4.</w:t>
      </w:r>
    </w:p>
    <w:p>
      <w:pPr>
        <w:spacing w:after="0" w:line="129"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On the basis of available information, the Bank estimates that on January 1, 2019, it will recognize lease liabilities for $20.8 million and right-of-use assets for $17.2 million.</w:t>
      </w:r>
    </w:p>
    <w:p>
      <w:pPr>
        <w:spacing w:after="0" w:line="313"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F-36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21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161" w:name="page162"/>
    <w:bookmarkEnd w:id="161"/>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22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tbl>
      <w:tblPr>
        <w:tblLayout w:type="fixed"/>
        <w:tblInd w:w="0" w:type="dxa"/>
        <w:tblCellMar>
          <w:top w:w="0" w:type="dxa"/>
          <w:left w:w="0" w:type="dxa"/>
          <w:bottom w:w="0" w:type="dxa"/>
          <w:right w:w="0" w:type="dxa"/>
        </w:tblCellMar>
      </w:tblPr>
      <w:tr>
        <w:trPr>
          <w:trHeight w:val="166"/>
        </w:trPr>
        <w:tc>
          <w:tcPr>
            <w:tcW w:w="5400" w:type="dxa"/>
            <w:vAlign w:val="bottom"/>
            <w:gridSpan w:val="3"/>
          </w:tcPr>
          <w:p>
            <w:pPr>
              <w:spacing w:after="0"/>
              <w:rPr>
                <w:sz w:val="20"/>
                <w:szCs w:val="20"/>
                <w:color w:val="auto"/>
              </w:rPr>
            </w:pPr>
            <w:r>
              <w:rPr>
                <w:rFonts w:ascii="Arial" w:cs="Arial" w:eastAsia="Arial" w:hAnsi="Arial"/>
                <w:sz w:val="13"/>
                <w:szCs w:val="13"/>
                <w:b w:val="1"/>
                <w:bCs w:val="1"/>
                <w:color w:val="auto"/>
              </w:rPr>
              <w:t>4.  Cash and cash equivalents</w:t>
            </w:r>
          </w:p>
        </w:tc>
        <w:tc>
          <w:tcPr>
            <w:tcW w:w="96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4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05"/>
        </w:trPr>
        <w:tc>
          <w:tcPr>
            <w:tcW w:w="220" w:type="dxa"/>
            <w:vAlign w:val="bottom"/>
          </w:tcPr>
          <w:p>
            <w:pPr>
              <w:spacing w:after="0"/>
              <w:rPr>
                <w:sz w:val="24"/>
                <w:szCs w:val="24"/>
                <w:color w:val="auto"/>
              </w:rPr>
            </w:pPr>
          </w:p>
        </w:tc>
        <w:tc>
          <w:tcPr>
            <w:tcW w:w="492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4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420" w:type="dxa"/>
            <w:vAlign w:val="bottom"/>
            <w:gridSpan w:val="3"/>
          </w:tcPr>
          <w:p>
            <w:pPr>
              <w:jc w:val="center"/>
              <w:ind w:right="200"/>
              <w:spacing w:after="0"/>
              <w:rPr>
                <w:sz w:val="20"/>
                <w:szCs w:val="20"/>
                <w:color w:val="auto"/>
              </w:rPr>
            </w:pPr>
            <w:r>
              <w:rPr>
                <w:rFonts w:ascii="Arial" w:cs="Arial" w:eastAsia="Arial" w:hAnsi="Arial"/>
                <w:sz w:val="13"/>
                <w:szCs w:val="13"/>
                <w:b w:val="1"/>
                <w:bCs w:val="1"/>
                <w:color w:val="auto"/>
                <w:w w:val="87"/>
              </w:rPr>
              <w:t>December 31,</w:t>
            </w:r>
          </w:p>
        </w:tc>
        <w:tc>
          <w:tcPr>
            <w:tcW w:w="1300" w:type="dxa"/>
            <w:vAlign w:val="bottom"/>
            <w:gridSpan w:val="3"/>
          </w:tcPr>
          <w:p>
            <w:pPr>
              <w:jc w:val="center"/>
              <w:ind w:right="100"/>
              <w:spacing w:after="0"/>
              <w:rPr>
                <w:sz w:val="20"/>
                <w:szCs w:val="20"/>
                <w:color w:val="auto"/>
              </w:rPr>
            </w:pPr>
            <w:r>
              <w:rPr>
                <w:rFonts w:ascii="Arial" w:cs="Arial" w:eastAsia="Arial" w:hAnsi="Arial"/>
                <w:sz w:val="13"/>
                <w:szCs w:val="13"/>
                <w:b w:val="1"/>
                <w:bCs w:val="1"/>
                <w:color w:val="auto"/>
                <w:w w:val="89"/>
              </w:rPr>
              <w:t>December 31,</w:t>
            </w:r>
          </w:p>
        </w:tc>
        <w:tc>
          <w:tcPr>
            <w:tcW w:w="0" w:type="dxa"/>
            <w:vAlign w:val="bottom"/>
          </w:tcPr>
          <w:p>
            <w:pPr>
              <w:spacing w:after="0"/>
              <w:rPr>
                <w:sz w:val="1"/>
                <w:szCs w:val="1"/>
                <w:color w:val="auto"/>
              </w:rPr>
            </w:pPr>
          </w:p>
        </w:tc>
      </w:tr>
      <w:tr>
        <w:trPr>
          <w:trHeight w:val="167"/>
        </w:trPr>
        <w:tc>
          <w:tcPr>
            <w:tcW w:w="220" w:type="dxa"/>
            <w:vAlign w:val="bottom"/>
          </w:tcPr>
          <w:p>
            <w:pPr>
              <w:spacing w:after="0"/>
              <w:rPr>
                <w:sz w:val="14"/>
                <w:szCs w:val="14"/>
                <w:color w:val="auto"/>
              </w:rPr>
            </w:pPr>
          </w:p>
        </w:tc>
        <w:tc>
          <w:tcPr>
            <w:tcW w:w="4920" w:type="dxa"/>
            <w:vAlign w:val="bottom"/>
            <w:tcBorders>
              <w:bottom w:val="single" w:sz="8" w:color="CCEEFF"/>
            </w:tcBorders>
          </w:tcPr>
          <w:p>
            <w:pPr>
              <w:spacing w:after="0"/>
              <w:rPr>
                <w:sz w:val="14"/>
                <w:szCs w:val="14"/>
                <w:color w:val="auto"/>
              </w:rPr>
            </w:pPr>
          </w:p>
        </w:tc>
        <w:tc>
          <w:tcPr>
            <w:tcW w:w="260" w:type="dxa"/>
            <w:vAlign w:val="bottom"/>
            <w:tcBorders>
              <w:bottom w:val="single" w:sz="8" w:color="CCEEFF"/>
            </w:tcBorders>
          </w:tcPr>
          <w:p>
            <w:pPr>
              <w:spacing w:after="0"/>
              <w:rPr>
                <w:sz w:val="14"/>
                <w:szCs w:val="14"/>
                <w:color w:val="auto"/>
              </w:rPr>
            </w:pPr>
          </w:p>
        </w:tc>
        <w:tc>
          <w:tcPr>
            <w:tcW w:w="960" w:type="dxa"/>
            <w:vAlign w:val="bottom"/>
            <w:tcBorders>
              <w:bottom w:val="single" w:sz="8" w:color="CCEEFF"/>
            </w:tcBorders>
          </w:tcPr>
          <w:p>
            <w:pPr>
              <w:spacing w:after="0"/>
              <w:rPr>
                <w:sz w:val="14"/>
                <w:szCs w:val="14"/>
                <w:color w:val="auto"/>
              </w:rPr>
            </w:pPr>
          </w:p>
        </w:tc>
        <w:tc>
          <w:tcPr>
            <w:tcW w:w="240" w:type="dxa"/>
            <w:vAlign w:val="bottom"/>
            <w:tcBorders>
              <w:bottom w:val="single" w:sz="8" w:color="CCEEFF"/>
            </w:tcBorders>
          </w:tcPr>
          <w:p>
            <w:pPr>
              <w:spacing w:after="0"/>
              <w:rPr>
                <w:sz w:val="14"/>
                <w:szCs w:val="14"/>
                <w:color w:val="auto"/>
              </w:rPr>
            </w:pPr>
          </w:p>
        </w:tc>
        <w:tc>
          <w:tcPr>
            <w:tcW w:w="1400" w:type="dxa"/>
            <w:vAlign w:val="bottom"/>
            <w:tcBorders>
              <w:bottom w:val="single" w:sz="8" w:color="CCEEFF"/>
            </w:tcBorders>
          </w:tcPr>
          <w:p>
            <w:pPr>
              <w:spacing w:after="0"/>
              <w:rPr>
                <w:sz w:val="14"/>
                <w:szCs w:val="14"/>
                <w:color w:val="auto"/>
              </w:rPr>
            </w:pPr>
          </w:p>
        </w:tc>
        <w:tc>
          <w:tcPr>
            <w:tcW w:w="200" w:type="dxa"/>
            <w:vAlign w:val="bottom"/>
            <w:tcBorders>
              <w:bottom w:val="single" w:sz="8" w:color="CCEEFF"/>
            </w:tcBorders>
          </w:tcPr>
          <w:p>
            <w:pPr>
              <w:spacing w:after="0"/>
              <w:rPr>
                <w:sz w:val="14"/>
                <w:szCs w:val="14"/>
                <w:color w:val="auto"/>
              </w:rPr>
            </w:pPr>
          </w:p>
        </w:tc>
        <w:tc>
          <w:tcPr>
            <w:tcW w:w="200" w:type="dxa"/>
            <w:vAlign w:val="bottom"/>
            <w:tcBorders>
              <w:bottom w:val="single" w:sz="8" w:color="CCEEFF"/>
            </w:tcBorders>
          </w:tcPr>
          <w:p>
            <w:pPr>
              <w:spacing w:after="0"/>
              <w:rPr>
                <w:sz w:val="14"/>
                <w:szCs w:val="14"/>
                <w:color w:val="auto"/>
              </w:rPr>
            </w:pPr>
          </w:p>
        </w:tc>
        <w:tc>
          <w:tcPr>
            <w:tcW w:w="1000" w:type="dxa"/>
            <w:vAlign w:val="bottom"/>
            <w:tcBorders>
              <w:bottom w:val="single" w:sz="8" w:color="auto"/>
            </w:tcBorders>
          </w:tcPr>
          <w:p>
            <w:pPr>
              <w:jc w:val="center"/>
              <w:ind w:left="156"/>
              <w:spacing w:after="0"/>
              <w:rPr>
                <w:sz w:val="20"/>
                <w:szCs w:val="20"/>
                <w:color w:val="auto"/>
              </w:rPr>
            </w:pPr>
            <w:r>
              <w:rPr>
                <w:rFonts w:ascii="Arial" w:cs="Arial" w:eastAsia="Arial" w:hAnsi="Arial"/>
                <w:sz w:val="13"/>
                <w:szCs w:val="13"/>
                <w:b w:val="1"/>
                <w:bCs w:val="1"/>
                <w:color w:val="auto"/>
                <w:w w:val="89"/>
              </w:rPr>
              <w:t>2018</w:t>
            </w:r>
          </w:p>
        </w:tc>
        <w:tc>
          <w:tcPr>
            <w:tcW w:w="220" w:type="dxa"/>
            <w:vAlign w:val="bottom"/>
            <w:tcBorders>
              <w:bottom w:val="single" w:sz="8" w:color="auto"/>
            </w:tcBorders>
          </w:tcPr>
          <w:p>
            <w:pPr>
              <w:spacing w:after="0"/>
              <w:rPr>
                <w:sz w:val="14"/>
                <w:szCs w:val="14"/>
                <w:color w:val="auto"/>
              </w:rPr>
            </w:pPr>
          </w:p>
        </w:tc>
        <w:tc>
          <w:tcPr>
            <w:tcW w:w="200" w:type="dxa"/>
            <w:vAlign w:val="bottom"/>
            <w:tcBorders>
              <w:bottom w:val="single" w:sz="8" w:color="CCEEFF"/>
            </w:tcBorders>
          </w:tcPr>
          <w:p>
            <w:pPr>
              <w:spacing w:after="0"/>
              <w:rPr>
                <w:sz w:val="14"/>
                <w:szCs w:val="14"/>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9"/>
              </w:rPr>
              <w:t>2017</w:t>
            </w:r>
          </w:p>
        </w:tc>
        <w:tc>
          <w:tcPr>
            <w:tcW w:w="20" w:type="dxa"/>
            <w:vAlign w:val="bottom"/>
            <w:tcBorders>
              <w:bottom w:val="single" w:sz="8" w:color="CCEEFF"/>
            </w:tcBorders>
          </w:tcPr>
          <w:p>
            <w:pPr>
              <w:spacing w:after="0"/>
              <w:rPr>
                <w:sz w:val="14"/>
                <w:szCs w:val="14"/>
                <w:color w:val="auto"/>
              </w:rPr>
            </w:pPr>
          </w:p>
        </w:tc>
        <w:tc>
          <w:tcPr>
            <w:tcW w:w="8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5180" w:type="dxa"/>
            <w:vAlign w:val="bottom"/>
            <w:gridSpan w:val="2"/>
            <w:shd w:val="clear" w:color="auto" w:fill="CCEEFF"/>
          </w:tcPr>
          <w:p>
            <w:pPr>
              <w:spacing w:after="0" w:line="144" w:lineRule="exact"/>
              <w:rPr>
                <w:sz w:val="20"/>
                <w:szCs w:val="20"/>
                <w:color w:val="auto"/>
              </w:rPr>
            </w:pPr>
            <w:r>
              <w:rPr>
                <w:rFonts w:ascii="Arial" w:cs="Arial" w:eastAsia="Arial" w:hAnsi="Arial"/>
                <w:sz w:val="13"/>
                <w:szCs w:val="13"/>
                <w:color w:val="auto"/>
              </w:rPr>
              <w:t>Cash and due from banks</w:t>
            </w:r>
          </w:p>
        </w:tc>
        <w:tc>
          <w:tcPr>
            <w:tcW w:w="9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220" w:type="dxa"/>
            <w:vAlign w:val="bottom"/>
            <w:gridSpan w:val="2"/>
            <w:shd w:val="clear" w:color="auto" w:fill="CCEEFF"/>
          </w:tcPr>
          <w:p>
            <w:pPr>
              <w:jc w:val="right"/>
              <w:spacing w:after="0" w:line="144" w:lineRule="exact"/>
              <w:rPr>
                <w:sz w:val="20"/>
                <w:szCs w:val="20"/>
                <w:color w:val="auto"/>
              </w:rPr>
            </w:pPr>
            <w:r>
              <w:rPr>
                <w:rFonts w:ascii="Arial" w:cs="Arial" w:eastAsia="Arial" w:hAnsi="Arial"/>
                <w:sz w:val="13"/>
                <w:szCs w:val="13"/>
                <w:color w:val="auto"/>
              </w:rPr>
              <w:t>9,644</w:t>
            </w:r>
          </w:p>
        </w:tc>
        <w:tc>
          <w:tcPr>
            <w:tcW w:w="200" w:type="dxa"/>
            <w:vAlign w:val="bottom"/>
            <w:shd w:val="clear" w:color="auto" w:fill="CCEEFF"/>
          </w:tcPr>
          <w:p>
            <w:pPr>
              <w:spacing w:after="0"/>
              <w:rPr>
                <w:sz w:val="12"/>
                <w:szCs w:val="12"/>
                <w:color w:val="auto"/>
              </w:rPr>
            </w:pPr>
          </w:p>
        </w:tc>
        <w:tc>
          <w:tcPr>
            <w:tcW w:w="120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color w:val="auto"/>
              </w:rPr>
              <w:t>11,032</w:t>
            </w:r>
          </w:p>
        </w:tc>
        <w:tc>
          <w:tcPr>
            <w:tcW w:w="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5180" w:type="dxa"/>
            <w:vAlign w:val="bottom"/>
            <w:gridSpan w:val="2"/>
          </w:tcPr>
          <w:p>
            <w:pPr>
              <w:spacing w:after="0"/>
              <w:rPr>
                <w:sz w:val="20"/>
                <w:szCs w:val="20"/>
                <w:color w:val="auto"/>
              </w:rPr>
            </w:pPr>
            <w:r>
              <w:rPr>
                <w:rFonts w:ascii="Arial" w:cs="Arial" w:eastAsia="Arial" w:hAnsi="Arial"/>
                <w:sz w:val="13"/>
                <w:szCs w:val="13"/>
                <w:color w:val="auto"/>
              </w:rPr>
              <w:t>Interest-bearing deposits in banks</w:t>
            </w:r>
          </w:p>
        </w:tc>
        <w:tc>
          <w:tcPr>
            <w:tcW w:w="96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4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220" w:type="dxa"/>
            <w:vAlign w:val="bottom"/>
            <w:gridSpan w:val="2"/>
          </w:tcPr>
          <w:p>
            <w:pPr>
              <w:jc w:val="right"/>
              <w:spacing w:after="0"/>
              <w:rPr>
                <w:sz w:val="20"/>
                <w:szCs w:val="20"/>
                <w:color w:val="auto"/>
              </w:rPr>
            </w:pPr>
            <w:r>
              <w:rPr>
                <w:rFonts w:ascii="Arial" w:cs="Arial" w:eastAsia="Arial" w:hAnsi="Arial"/>
                <w:sz w:val="13"/>
                <w:szCs w:val="13"/>
                <w:color w:val="auto"/>
              </w:rPr>
              <w:t>1,736,008</w:t>
            </w:r>
          </w:p>
        </w:tc>
        <w:tc>
          <w:tcPr>
            <w:tcW w:w="200" w:type="dxa"/>
            <w:vAlign w:val="bottom"/>
          </w:tcPr>
          <w:p>
            <w:pPr>
              <w:spacing w:after="0"/>
              <w:rPr>
                <w:sz w:val="14"/>
                <w:szCs w:val="14"/>
                <w:color w:val="auto"/>
              </w:rPr>
            </w:pPr>
          </w:p>
        </w:tc>
        <w:tc>
          <w:tcPr>
            <w:tcW w:w="1220" w:type="dxa"/>
            <w:vAlign w:val="bottom"/>
            <w:gridSpan w:val="2"/>
          </w:tcPr>
          <w:p>
            <w:pPr>
              <w:jc w:val="right"/>
              <w:ind w:right="20"/>
              <w:spacing w:after="0"/>
              <w:rPr>
                <w:sz w:val="20"/>
                <w:szCs w:val="20"/>
                <w:color w:val="auto"/>
              </w:rPr>
            </w:pPr>
            <w:r>
              <w:rPr>
                <w:rFonts w:ascii="Arial" w:cs="Arial" w:eastAsia="Arial" w:hAnsi="Arial"/>
                <w:sz w:val="13"/>
                <w:szCs w:val="13"/>
                <w:color w:val="auto"/>
              </w:rPr>
              <w:t>661,016</w:t>
            </w: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5180" w:type="dxa"/>
            <w:vAlign w:val="bottom"/>
            <w:tcBorders>
              <w:top w:val="single" w:sz="8" w:color="CCEEFF"/>
            </w:tcBorders>
            <w:gridSpan w:val="2"/>
            <w:shd w:val="clear" w:color="auto" w:fill="CCEEFF"/>
          </w:tcPr>
          <w:p>
            <w:pPr>
              <w:spacing w:after="0" w:line="144" w:lineRule="exact"/>
              <w:rPr>
                <w:sz w:val="20"/>
                <w:szCs w:val="20"/>
                <w:color w:val="auto"/>
              </w:rPr>
            </w:pPr>
            <w:r>
              <w:rPr>
                <w:rFonts w:ascii="Arial" w:cs="Arial" w:eastAsia="Arial" w:hAnsi="Arial"/>
                <w:sz w:val="13"/>
                <w:szCs w:val="13"/>
                <w:color w:val="auto"/>
              </w:rPr>
              <w:t>Total</w:t>
            </w:r>
          </w:p>
        </w:tc>
        <w:tc>
          <w:tcPr>
            <w:tcW w:w="960" w:type="dxa"/>
            <w:vAlign w:val="bottom"/>
            <w:tcBorders>
              <w:top w:val="single" w:sz="8" w:color="CCEEFF"/>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40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tcBorders>
            <w:gridSpan w:val="2"/>
            <w:shd w:val="clear" w:color="auto" w:fill="CCEEFF"/>
          </w:tcPr>
          <w:p>
            <w:pPr>
              <w:jc w:val="right"/>
              <w:spacing w:after="0" w:line="144" w:lineRule="exact"/>
              <w:rPr>
                <w:sz w:val="20"/>
                <w:szCs w:val="20"/>
                <w:color w:val="auto"/>
              </w:rPr>
            </w:pPr>
            <w:r>
              <w:rPr>
                <w:rFonts w:ascii="Arial" w:cs="Arial" w:eastAsia="Arial" w:hAnsi="Arial"/>
                <w:sz w:val="13"/>
                <w:szCs w:val="13"/>
                <w:color w:val="auto"/>
              </w:rPr>
              <w:t>1,745,652</w:t>
            </w: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672,048</w:t>
            </w: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492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4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518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Less:</w:t>
            </w:r>
          </w:p>
        </w:tc>
        <w:tc>
          <w:tcPr>
            <w:tcW w:w="9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40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0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5180" w:type="dxa"/>
            <w:vAlign w:val="bottom"/>
            <w:gridSpan w:val="2"/>
          </w:tcPr>
          <w:p>
            <w:pPr>
              <w:spacing w:after="0"/>
              <w:rPr>
                <w:sz w:val="20"/>
                <w:szCs w:val="20"/>
                <w:color w:val="auto"/>
              </w:rPr>
            </w:pPr>
            <w:r>
              <w:rPr>
                <w:rFonts w:ascii="Arial" w:cs="Arial" w:eastAsia="Arial" w:hAnsi="Arial"/>
                <w:sz w:val="13"/>
                <w:szCs w:val="13"/>
                <w:color w:val="auto"/>
              </w:rPr>
              <w:t>Pledged deposits</w:t>
            </w:r>
          </w:p>
        </w:tc>
        <w:tc>
          <w:tcPr>
            <w:tcW w:w="96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4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420" w:type="dxa"/>
            <w:vAlign w:val="bottom"/>
            <w:gridSpan w:val="3"/>
          </w:tcPr>
          <w:p>
            <w:pPr>
              <w:jc w:val="right"/>
              <w:ind w:right="200"/>
              <w:spacing w:after="0"/>
              <w:rPr>
                <w:sz w:val="20"/>
                <w:szCs w:val="20"/>
                <w:color w:val="auto"/>
              </w:rPr>
            </w:pPr>
            <w:r>
              <w:rPr>
                <w:rFonts w:ascii="Arial" w:cs="Arial" w:eastAsia="Arial" w:hAnsi="Arial"/>
                <w:sz w:val="13"/>
                <w:szCs w:val="13"/>
                <w:color w:val="auto"/>
              </w:rPr>
              <w:t>39,460</w:t>
            </w:r>
          </w:p>
        </w:tc>
        <w:tc>
          <w:tcPr>
            <w:tcW w:w="1220" w:type="dxa"/>
            <w:vAlign w:val="bottom"/>
            <w:gridSpan w:val="2"/>
          </w:tcPr>
          <w:p>
            <w:pPr>
              <w:jc w:val="right"/>
              <w:ind w:right="20"/>
              <w:spacing w:after="0"/>
              <w:rPr>
                <w:sz w:val="20"/>
                <w:szCs w:val="20"/>
                <w:color w:val="auto"/>
              </w:rPr>
            </w:pPr>
            <w:r>
              <w:rPr>
                <w:rFonts w:ascii="Arial" w:cs="Arial" w:eastAsia="Arial" w:hAnsi="Arial"/>
                <w:sz w:val="13"/>
                <w:szCs w:val="13"/>
                <w:color w:val="auto"/>
              </w:rPr>
              <w:t>53,241</w:t>
            </w: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4"/>
        </w:trPr>
        <w:tc>
          <w:tcPr>
            <w:tcW w:w="220" w:type="dxa"/>
            <w:vAlign w:val="bottom"/>
          </w:tcPr>
          <w:p>
            <w:pPr>
              <w:spacing w:after="0"/>
              <w:rPr>
                <w:sz w:val="15"/>
                <w:szCs w:val="15"/>
                <w:color w:val="auto"/>
              </w:rPr>
            </w:pPr>
          </w:p>
        </w:tc>
        <w:tc>
          <w:tcPr>
            <w:tcW w:w="5180" w:type="dxa"/>
            <w:vAlign w:val="bottom"/>
            <w:tcBorders>
              <w:top w:val="single" w:sz="8" w:color="CCEEFF"/>
              <w:bottom w:val="single" w:sz="8" w:color="CCEEFF"/>
            </w:tcBorders>
            <w:gridSpan w:val="2"/>
            <w:shd w:val="clear" w:color="auto" w:fill="CCEEFF"/>
          </w:tcPr>
          <w:p>
            <w:pPr>
              <w:spacing w:after="0" w:line="143" w:lineRule="exact"/>
              <w:rPr>
                <w:sz w:val="20"/>
                <w:szCs w:val="20"/>
                <w:color w:val="auto"/>
              </w:rPr>
            </w:pPr>
            <w:r>
              <w:rPr>
                <w:rFonts w:ascii="Arial" w:cs="Arial" w:eastAsia="Arial" w:hAnsi="Arial"/>
                <w:sz w:val="13"/>
                <w:szCs w:val="13"/>
                <w:color w:val="auto"/>
              </w:rPr>
              <w:t>Total cash and cash equivalents</w:t>
            </w:r>
          </w:p>
        </w:tc>
        <w:tc>
          <w:tcPr>
            <w:tcW w:w="960" w:type="dxa"/>
            <w:vAlign w:val="bottom"/>
            <w:tcBorders>
              <w:top w:val="single" w:sz="8" w:color="CCEEFF"/>
              <w:bottom w:val="single" w:sz="8" w:color="CCEEFF"/>
            </w:tcBorders>
            <w:shd w:val="clear" w:color="auto" w:fill="CCEEFF"/>
          </w:tcPr>
          <w:p>
            <w:pPr>
              <w:spacing w:after="0"/>
              <w:rPr>
                <w:sz w:val="15"/>
                <w:szCs w:val="15"/>
                <w:color w:val="auto"/>
              </w:rPr>
            </w:pPr>
          </w:p>
        </w:tc>
        <w:tc>
          <w:tcPr>
            <w:tcW w:w="240" w:type="dxa"/>
            <w:vAlign w:val="bottom"/>
            <w:tcBorders>
              <w:top w:val="single" w:sz="8" w:color="CCEEFF"/>
              <w:bottom w:val="single" w:sz="8" w:color="CCEEFF"/>
            </w:tcBorders>
            <w:shd w:val="clear" w:color="auto" w:fill="CCEEFF"/>
          </w:tcPr>
          <w:p>
            <w:pPr>
              <w:spacing w:after="0"/>
              <w:rPr>
                <w:sz w:val="15"/>
                <w:szCs w:val="15"/>
                <w:color w:val="auto"/>
              </w:rPr>
            </w:pPr>
          </w:p>
        </w:tc>
        <w:tc>
          <w:tcPr>
            <w:tcW w:w="1400" w:type="dxa"/>
            <w:vAlign w:val="bottom"/>
            <w:tcBorders>
              <w:top w:val="single" w:sz="8" w:color="CCEEFF"/>
              <w:bottom w:val="single" w:sz="8" w:color="CCEEFF"/>
            </w:tcBorders>
            <w:shd w:val="clear" w:color="auto" w:fill="CCEEFF"/>
          </w:tcPr>
          <w:p>
            <w:pPr>
              <w:spacing w:after="0"/>
              <w:rPr>
                <w:sz w:val="15"/>
                <w:szCs w:val="15"/>
                <w:color w:val="auto"/>
              </w:rPr>
            </w:pPr>
          </w:p>
        </w:tc>
        <w:tc>
          <w:tcPr>
            <w:tcW w:w="200" w:type="dxa"/>
            <w:vAlign w:val="bottom"/>
            <w:tcBorders>
              <w:top w:val="single" w:sz="8" w:color="CCEEFF"/>
              <w:bottom w:val="single" w:sz="8" w:color="CCEEFF"/>
            </w:tcBorders>
            <w:shd w:val="clear" w:color="auto" w:fill="CCEEFF"/>
          </w:tcPr>
          <w:p>
            <w:pPr>
              <w:spacing w:after="0"/>
              <w:rPr>
                <w:sz w:val="15"/>
                <w:szCs w:val="15"/>
                <w:color w:val="auto"/>
              </w:rPr>
            </w:pPr>
          </w:p>
        </w:tc>
        <w:tc>
          <w:tcPr>
            <w:tcW w:w="200" w:type="dxa"/>
            <w:vAlign w:val="bottom"/>
            <w:tcBorders>
              <w:top w:val="single" w:sz="8" w:color="CCEEFF"/>
              <w:bottom w:val="single" w:sz="8" w:color="CCEEFF"/>
            </w:tcBorders>
            <w:shd w:val="clear" w:color="auto" w:fill="CCEEFF"/>
          </w:tcPr>
          <w:p>
            <w:pPr>
              <w:spacing w:after="0"/>
              <w:rPr>
                <w:sz w:val="15"/>
                <w:szCs w:val="15"/>
                <w:color w:val="auto"/>
              </w:rPr>
            </w:pPr>
          </w:p>
        </w:tc>
        <w:tc>
          <w:tcPr>
            <w:tcW w:w="122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3"/>
                <w:szCs w:val="13"/>
                <w:b w:val="1"/>
                <w:bCs w:val="1"/>
                <w:color w:val="auto"/>
              </w:rPr>
              <w:t>1,706,192</w:t>
            </w:r>
          </w:p>
        </w:tc>
        <w:tc>
          <w:tcPr>
            <w:tcW w:w="200" w:type="dxa"/>
            <w:vAlign w:val="bottom"/>
            <w:tcBorders>
              <w:top w:val="single" w:sz="8" w:color="CCEEFF"/>
              <w:bottom w:val="single" w:sz="8" w:color="CCEEFF"/>
            </w:tcBorders>
            <w:shd w:val="clear" w:color="auto" w:fill="CCEEFF"/>
          </w:tcPr>
          <w:p>
            <w:pPr>
              <w:spacing w:after="0"/>
              <w:rPr>
                <w:sz w:val="15"/>
                <w:szCs w:val="15"/>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618,807</w:t>
            </w:r>
          </w:p>
        </w:tc>
        <w:tc>
          <w:tcPr>
            <w:tcW w:w="20" w:type="dxa"/>
            <w:vAlign w:val="bottom"/>
            <w:tcBorders>
              <w:top w:val="single" w:sz="8" w:color="CCEEFF"/>
              <w:bottom w:val="single" w:sz="8" w:color="CCEEFF"/>
            </w:tcBorders>
            <w:shd w:val="clear" w:color="auto" w:fill="CCEEFF"/>
          </w:tcPr>
          <w:p>
            <w:pPr>
              <w:spacing w:after="0"/>
              <w:rPr>
                <w:sz w:val="15"/>
                <w:szCs w:val="15"/>
                <w:color w:val="auto"/>
              </w:rPr>
            </w:pPr>
          </w:p>
        </w:tc>
        <w:tc>
          <w:tcPr>
            <w:tcW w:w="80" w:type="dxa"/>
            <w:vAlign w:val="bottom"/>
            <w:tcBorders>
              <w:top w:val="single" w:sz="8" w:color="CCEEFF"/>
              <w:bottom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96"/>
        </w:trPr>
        <w:tc>
          <w:tcPr>
            <w:tcW w:w="5400" w:type="dxa"/>
            <w:vAlign w:val="bottom"/>
            <w:gridSpan w:val="3"/>
          </w:tcPr>
          <w:p>
            <w:pPr>
              <w:ind w:left="220"/>
              <w:spacing w:after="0"/>
              <w:rPr>
                <w:sz w:val="20"/>
                <w:szCs w:val="20"/>
                <w:color w:val="auto"/>
              </w:rPr>
            </w:pPr>
            <w:r>
              <w:rPr>
                <w:rFonts w:ascii="Arial" w:cs="Arial" w:eastAsia="Arial" w:hAnsi="Arial"/>
                <w:sz w:val="13"/>
                <w:szCs w:val="13"/>
                <w:color w:val="auto"/>
                <w:w w:val="90"/>
              </w:rPr>
              <w:t>The following table presents the details of interest-bearing deposits in banks and pledged deposits:</w:t>
            </w:r>
          </w:p>
        </w:tc>
        <w:tc>
          <w:tcPr>
            <w:tcW w:w="96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4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18"/>
        </w:trPr>
        <w:tc>
          <w:tcPr>
            <w:tcW w:w="220" w:type="dxa"/>
            <w:vAlign w:val="bottom"/>
          </w:tcPr>
          <w:p>
            <w:pPr>
              <w:spacing w:after="0"/>
              <w:rPr>
                <w:sz w:val="24"/>
                <w:szCs w:val="24"/>
                <w:color w:val="auto"/>
              </w:rPr>
            </w:pPr>
          </w:p>
        </w:tc>
        <w:tc>
          <w:tcPr>
            <w:tcW w:w="492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3000" w:type="dxa"/>
            <w:vAlign w:val="bottom"/>
            <w:gridSpan w:val="5"/>
          </w:tcPr>
          <w:p>
            <w:pPr>
              <w:ind w:left="660"/>
              <w:spacing w:after="0"/>
              <w:rPr>
                <w:sz w:val="20"/>
                <w:szCs w:val="20"/>
                <w:color w:val="auto"/>
              </w:rPr>
            </w:pPr>
            <w:r>
              <w:rPr>
                <w:rFonts w:ascii="Arial" w:cs="Arial" w:eastAsia="Arial" w:hAnsi="Arial"/>
                <w:sz w:val="13"/>
                <w:szCs w:val="13"/>
                <w:b w:val="1"/>
                <w:bCs w:val="1"/>
                <w:color w:val="auto"/>
              </w:rPr>
              <w:t>December 31, 2018</w:t>
            </w:r>
          </w:p>
        </w:tc>
        <w:tc>
          <w:tcPr>
            <w:tcW w:w="2720" w:type="dxa"/>
            <w:vAlign w:val="bottom"/>
            <w:gridSpan w:val="6"/>
          </w:tcPr>
          <w:p>
            <w:pPr>
              <w:ind w:left="700"/>
              <w:spacing w:after="0"/>
              <w:rPr>
                <w:sz w:val="20"/>
                <w:szCs w:val="20"/>
                <w:color w:val="auto"/>
              </w:rPr>
            </w:pPr>
            <w:r>
              <w:rPr>
                <w:rFonts w:ascii="Arial" w:cs="Arial" w:eastAsia="Arial" w:hAnsi="Arial"/>
                <w:sz w:val="13"/>
                <w:szCs w:val="13"/>
                <w:b w:val="1"/>
                <w:bCs w:val="1"/>
                <w:color w:val="auto"/>
              </w:rPr>
              <w:t>December 31, 2017</w:t>
            </w:r>
          </w:p>
        </w:tc>
        <w:tc>
          <w:tcPr>
            <w:tcW w:w="0" w:type="dxa"/>
            <w:vAlign w:val="bottom"/>
          </w:tcPr>
          <w:p>
            <w:pPr>
              <w:spacing w:after="0"/>
              <w:rPr>
                <w:sz w:val="1"/>
                <w:szCs w:val="1"/>
                <w:color w:val="auto"/>
              </w:rPr>
            </w:pPr>
          </w:p>
        </w:tc>
      </w:tr>
      <w:tr>
        <w:trPr>
          <w:trHeight w:val="131"/>
        </w:trPr>
        <w:tc>
          <w:tcPr>
            <w:tcW w:w="220" w:type="dxa"/>
            <w:vAlign w:val="bottom"/>
          </w:tcPr>
          <w:p>
            <w:pPr>
              <w:spacing w:after="0"/>
              <w:rPr>
                <w:sz w:val="11"/>
                <w:szCs w:val="11"/>
                <w:color w:val="auto"/>
              </w:rPr>
            </w:pPr>
          </w:p>
        </w:tc>
        <w:tc>
          <w:tcPr>
            <w:tcW w:w="4920" w:type="dxa"/>
            <w:vAlign w:val="bottom"/>
          </w:tcPr>
          <w:p>
            <w:pPr>
              <w:spacing w:after="0"/>
              <w:rPr>
                <w:sz w:val="11"/>
                <w:szCs w:val="11"/>
                <w:color w:val="auto"/>
              </w:rPr>
            </w:pPr>
          </w:p>
        </w:tc>
        <w:tc>
          <w:tcPr>
            <w:tcW w:w="260" w:type="dxa"/>
            <w:vAlign w:val="bottom"/>
            <w:tcBorders>
              <w:top w:val="single" w:sz="8" w:color="auto"/>
            </w:tcBorders>
          </w:tcPr>
          <w:p>
            <w:pPr>
              <w:spacing w:after="0"/>
              <w:rPr>
                <w:sz w:val="11"/>
                <w:szCs w:val="11"/>
                <w:color w:val="auto"/>
              </w:rPr>
            </w:pPr>
          </w:p>
        </w:tc>
        <w:tc>
          <w:tcPr>
            <w:tcW w:w="960" w:type="dxa"/>
            <w:vAlign w:val="bottom"/>
            <w:tcBorders>
              <w:top w:val="single" w:sz="8" w:color="auto"/>
            </w:tcBorders>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1400" w:type="dxa"/>
            <w:vAlign w:val="bottom"/>
            <w:tcBorders>
              <w:top w:val="single" w:sz="8" w:color="auto"/>
            </w:tcBorders>
          </w:tcPr>
          <w:p>
            <w:pPr>
              <w:jc w:val="center"/>
              <w:spacing w:after="0" w:line="131" w:lineRule="exact"/>
              <w:rPr>
                <w:sz w:val="20"/>
                <w:szCs w:val="20"/>
                <w:color w:val="auto"/>
              </w:rPr>
            </w:pPr>
            <w:r>
              <w:rPr>
                <w:rFonts w:ascii="Arial" w:cs="Arial" w:eastAsia="Arial" w:hAnsi="Arial"/>
                <w:sz w:val="13"/>
                <w:szCs w:val="13"/>
                <w:b w:val="1"/>
                <w:bCs w:val="1"/>
                <w:color w:val="auto"/>
                <w:w w:val="91"/>
              </w:rPr>
              <w:t>Interest rate</w:t>
            </w:r>
          </w:p>
        </w:tc>
        <w:tc>
          <w:tcPr>
            <w:tcW w:w="200" w:type="dxa"/>
            <w:vAlign w:val="bottom"/>
          </w:tcPr>
          <w:p>
            <w:pPr>
              <w:spacing w:after="0"/>
              <w:rPr>
                <w:sz w:val="11"/>
                <w:szCs w:val="11"/>
                <w:color w:val="auto"/>
              </w:rPr>
            </w:pPr>
          </w:p>
        </w:tc>
        <w:tc>
          <w:tcPr>
            <w:tcW w:w="200" w:type="dxa"/>
            <w:vAlign w:val="bottom"/>
            <w:tcBorders>
              <w:top w:val="single" w:sz="8" w:color="auto"/>
            </w:tcBorders>
          </w:tcPr>
          <w:p>
            <w:pPr>
              <w:spacing w:after="0"/>
              <w:rPr>
                <w:sz w:val="11"/>
                <w:szCs w:val="11"/>
                <w:color w:val="auto"/>
              </w:rPr>
            </w:pPr>
          </w:p>
        </w:tc>
        <w:tc>
          <w:tcPr>
            <w:tcW w:w="100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200" w:type="dxa"/>
            <w:vAlign w:val="bottom"/>
            <w:tcBorders>
              <w:top w:val="single" w:sz="8" w:color="auto"/>
            </w:tcBorders>
          </w:tcPr>
          <w:p>
            <w:pPr>
              <w:spacing w:after="0"/>
              <w:rPr>
                <w:sz w:val="11"/>
                <w:szCs w:val="11"/>
                <w:color w:val="auto"/>
              </w:rPr>
            </w:pPr>
          </w:p>
        </w:tc>
        <w:tc>
          <w:tcPr>
            <w:tcW w:w="1200" w:type="dxa"/>
            <w:vAlign w:val="bottom"/>
            <w:tcBorders>
              <w:top w:val="single" w:sz="8" w:color="auto"/>
            </w:tcBorders>
          </w:tcPr>
          <w:p>
            <w:pPr>
              <w:jc w:val="center"/>
              <w:ind w:right="136"/>
              <w:spacing w:after="0" w:line="131" w:lineRule="exact"/>
              <w:rPr>
                <w:sz w:val="20"/>
                <w:szCs w:val="20"/>
                <w:color w:val="auto"/>
              </w:rPr>
            </w:pPr>
            <w:r>
              <w:rPr>
                <w:rFonts w:ascii="Arial" w:cs="Arial" w:eastAsia="Arial" w:hAnsi="Arial"/>
                <w:sz w:val="13"/>
                <w:szCs w:val="13"/>
                <w:b w:val="1"/>
                <w:bCs w:val="1"/>
                <w:color w:val="auto"/>
                <w:w w:val="91"/>
              </w:rPr>
              <w:t>Interest rate</w:t>
            </w:r>
          </w:p>
        </w:tc>
        <w:tc>
          <w:tcPr>
            <w:tcW w:w="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6"/>
        </w:trPr>
        <w:tc>
          <w:tcPr>
            <w:tcW w:w="220" w:type="dxa"/>
            <w:vAlign w:val="bottom"/>
          </w:tcPr>
          <w:p>
            <w:pPr>
              <w:spacing w:after="0"/>
              <w:rPr>
                <w:sz w:val="14"/>
                <w:szCs w:val="14"/>
                <w:color w:val="auto"/>
              </w:rPr>
            </w:pPr>
          </w:p>
        </w:tc>
        <w:tc>
          <w:tcPr>
            <w:tcW w:w="492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200" w:type="dxa"/>
            <w:vAlign w:val="bottom"/>
            <w:gridSpan w:val="2"/>
          </w:tcPr>
          <w:p>
            <w:pPr>
              <w:ind w:left="120"/>
              <w:spacing w:after="0"/>
              <w:rPr>
                <w:sz w:val="20"/>
                <w:szCs w:val="20"/>
                <w:color w:val="auto"/>
              </w:rPr>
            </w:pPr>
            <w:r>
              <w:rPr>
                <w:rFonts w:ascii="Arial" w:cs="Arial" w:eastAsia="Arial" w:hAnsi="Arial"/>
                <w:sz w:val="13"/>
                <w:szCs w:val="13"/>
                <w:b w:val="1"/>
                <w:bCs w:val="1"/>
                <w:color w:val="auto"/>
              </w:rPr>
              <w:t>Amount</w:t>
            </w:r>
          </w:p>
        </w:tc>
        <w:tc>
          <w:tcPr>
            <w:tcW w:w="1800" w:type="dxa"/>
            <w:vAlign w:val="bottom"/>
            <w:gridSpan w:val="3"/>
          </w:tcPr>
          <w:p>
            <w:pPr>
              <w:jc w:val="center"/>
              <w:ind w:right="400"/>
              <w:spacing w:after="0"/>
              <w:rPr>
                <w:sz w:val="20"/>
                <w:szCs w:val="20"/>
                <w:color w:val="auto"/>
              </w:rPr>
            </w:pPr>
            <w:r>
              <w:rPr>
                <w:rFonts w:ascii="Arial" w:cs="Arial" w:eastAsia="Arial" w:hAnsi="Arial"/>
                <w:sz w:val="13"/>
                <w:szCs w:val="13"/>
                <w:b w:val="1"/>
                <w:bCs w:val="1"/>
                <w:color w:val="auto"/>
                <w:w w:val="90"/>
              </w:rPr>
              <w:t>range</w:t>
            </w:r>
          </w:p>
        </w:tc>
        <w:tc>
          <w:tcPr>
            <w:tcW w:w="1420" w:type="dxa"/>
            <w:vAlign w:val="bottom"/>
            <w:gridSpan w:val="3"/>
          </w:tcPr>
          <w:p>
            <w:pPr>
              <w:ind w:left="180"/>
              <w:spacing w:after="0"/>
              <w:rPr>
                <w:sz w:val="20"/>
                <w:szCs w:val="20"/>
                <w:color w:val="auto"/>
              </w:rPr>
            </w:pPr>
            <w:r>
              <w:rPr>
                <w:rFonts w:ascii="Arial" w:cs="Arial" w:eastAsia="Arial" w:hAnsi="Arial"/>
                <w:sz w:val="13"/>
                <w:szCs w:val="13"/>
                <w:b w:val="1"/>
                <w:bCs w:val="1"/>
                <w:color w:val="auto"/>
              </w:rPr>
              <w:t>Amount</w:t>
            </w:r>
          </w:p>
        </w:tc>
        <w:tc>
          <w:tcPr>
            <w:tcW w:w="1300" w:type="dxa"/>
            <w:vAlign w:val="bottom"/>
            <w:gridSpan w:val="3"/>
          </w:tcPr>
          <w:p>
            <w:pPr>
              <w:jc w:val="center"/>
              <w:ind w:right="300"/>
              <w:spacing w:after="0"/>
              <w:rPr>
                <w:sz w:val="20"/>
                <w:szCs w:val="20"/>
                <w:color w:val="auto"/>
              </w:rPr>
            </w:pPr>
            <w:r>
              <w:rPr>
                <w:rFonts w:ascii="Arial" w:cs="Arial" w:eastAsia="Arial" w:hAnsi="Arial"/>
                <w:sz w:val="13"/>
                <w:szCs w:val="13"/>
                <w:b w:val="1"/>
                <w:bCs w:val="1"/>
                <w:color w:val="auto"/>
                <w:w w:val="90"/>
              </w:rPr>
              <w:t>range</w:t>
            </w: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92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Interest-bearing deposits in banks:</w:t>
            </w:r>
          </w:p>
        </w:tc>
        <w:tc>
          <w:tcPr>
            <w:tcW w:w="260" w:type="dxa"/>
            <w:vAlign w:val="bottom"/>
            <w:tcBorders>
              <w:top w:val="single" w:sz="8" w:color="auto"/>
            </w:tcBorders>
            <w:shd w:val="clear" w:color="auto" w:fill="CCEEFF"/>
          </w:tcPr>
          <w:p>
            <w:pPr>
              <w:spacing w:after="0"/>
              <w:rPr>
                <w:sz w:val="12"/>
                <w:szCs w:val="12"/>
                <w:color w:val="auto"/>
              </w:rPr>
            </w:pPr>
          </w:p>
        </w:tc>
        <w:tc>
          <w:tcPr>
            <w:tcW w:w="96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40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83"/>
        </w:trPr>
        <w:tc>
          <w:tcPr>
            <w:tcW w:w="220" w:type="dxa"/>
            <w:vAlign w:val="bottom"/>
          </w:tcPr>
          <w:p>
            <w:pPr>
              <w:spacing w:after="0"/>
              <w:rPr>
                <w:sz w:val="15"/>
                <w:szCs w:val="15"/>
                <w:color w:val="auto"/>
              </w:rPr>
            </w:pPr>
          </w:p>
        </w:tc>
        <w:tc>
          <w:tcPr>
            <w:tcW w:w="5180" w:type="dxa"/>
            <w:vAlign w:val="bottom"/>
            <w:gridSpan w:val="2"/>
          </w:tcPr>
          <w:p>
            <w:pPr>
              <w:ind w:left="120"/>
              <w:spacing w:after="0" w:line="183" w:lineRule="exact"/>
              <w:rPr>
                <w:sz w:val="20"/>
                <w:szCs w:val="20"/>
                <w:color w:val="auto"/>
              </w:rPr>
            </w:pPr>
            <w:r>
              <w:rPr>
                <w:rFonts w:ascii="Arial" w:cs="Arial" w:eastAsia="Arial" w:hAnsi="Arial"/>
                <w:sz w:val="13"/>
                <w:szCs w:val="13"/>
                <w:color w:val="auto"/>
              </w:rPr>
              <w:t xml:space="preserve">Demand deposits </w:t>
            </w:r>
            <w:r>
              <w:rPr>
                <w:rFonts w:ascii="Arial" w:cs="Arial" w:eastAsia="Arial" w:hAnsi="Arial"/>
                <w:sz w:val="21"/>
                <w:szCs w:val="21"/>
                <w:color w:val="auto"/>
                <w:vertAlign w:val="superscript"/>
              </w:rPr>
              <w:t>(1)</w:t>
            </w:r>
          </w:p>
        </w:tc>
        <w:tc>
          <w:tcPr>
            <w:tcW w:w="960" w:type="dxa"/>
            <w:vAlign w:val="bottom"/>
          </w:tcPr>
          <w:p>
            <w:pPr>
              <w:jc w:val="right"/>
              <w:spacing w:after="0"/>
              <w:rPr>
                <w:sz w:val="20"/>
                <w:szCs w:val="20"/>
                <w:color w:val="auto"/>
              </w:rPr>
            </w:pPr>
            <w:r>
              <w:rPr>
                <w:rFonts w:ascii="Arial" w:cs="Arial" w:eastAsia="Arial" w:hAnsi="Arial"/>
                <w:sz w:val="13"/>
                <w:szCs w:val="13"/>
                <w:color w:val="auto"/>
              </w:rPr>
              <w:t>1,686,008</w:t>
            </w:r>
          </w:p>
        </w:tc>
        <w:tc>
          <w:tcPr>
            <w:tcW w:w="240" w:type="dxa"/>
            <w:vAlign w:val="bottom"/>
          </w:tcPr>
          <w:p>
            <w:pPr>
              <w:spacing w:after="0"/>
              <w:rPr>
                <w:sz w:val="15"/>
                <w:szCs w:val="15"/>
                <w:color w:val="auto"/>
              </w:rPr>
            </w:pPr>
          </w:p>
        </w:tc>
        <w:tc>
          <w:tcPr>
            <w:tcW w:w="1800" w:type="dxa"/>
            <w:vAlign w:val="bottom"/>
            <w:gridSpan w:val="3"/>
          </w:tcPr>
          <w:p>
            <w:pPr>
              <w:jc w:val="right"/>
              <w:ind w:right="400"/>
              <w:spacing w:after="0"/>
              <w:rPr>
                <w:sz w:val="20"/>
                <w:szCs w:val="20"/>
                <w:color w:val="auto"/>
              </w:rPr>
            </w:pPr>
            <w:r>
              <w:rPr>
                <w:rFonts w:ascii="Arial" w:cs="Arial" w:eastAsia="Arial" w:hAnsi="Arial"/>
                <w:sz w:val="13"/>
                <w:szCs w:val="13"/>
                <w:color w:val="auto"/>
              </w:rPr>
              <w:t>2.43% to 6.5%</w:t>
            </w:r>
          </w:p>
        </w:tc>
        <w:tc>
          <w:tcPr>
            <w:tcW w:w="1000" w:type="dxa"/>
            <w:vAlign w:val="bottom"/>
          </w:tcPr>
          <w:p>
            <w:pPr>
              <w:jc w:val="right"/>
              <w:spacing w:after="0"/>
              <w:rPr>
                <w:sz w:val="20"/>
                <w:szCs w:val="20"/>
                <w:color w:val="auto"/>
              </w:rPr>
            </w:pPr>
            <w:r>
              <w:rPr>
                <w:rFonts w:ascii="Arial" w:cs="Arial" w:eastAsia="Arial" w:hAnsi="Arial"/>
                <w:sz w:val="13"/>
                <w:szCs w:val="13"/>
                <w:color w:val="auto"/>
              </w:rPr>
              <w:t>661,016</w:t>
            </w:r>
          </w:p>
        </w:tc>
        <w:tc>
          <w:tcPr>
            <w:tcW w:w="22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300" w:type="dxa"/>
            <w:vAlign w:val="bottom"/>
            <w:gridSpan w:val="3"/>
          </w:tcPr>
          <w:p>
            <w:pPr>
              <w:ind w:left="380"/>
              <w:spacing w:after="0"/>
              <w:rPr>
                <w:sz w:val="20"/>
                <w:szCs w:val="20"/>
                <w:color w:val="auto"/>
              </w:rPr>
            </w:pPr>
            <w:r>
              <w:rPr>
                <w:rFonts w:ascii="Arial" w:cs="Arial" w:eastAsia="Arial" w:hAnsi="Arial"/>
                <w:sz w:val="13"/>
                <w:szCs w:val="13"/>
                <w:color w:val="auto"/>
                <w:w w:val="98"/>
              </w:rPr>
              <w:t>0.25% to 1.55%</w:t>
            </w:r>
          </w:p>
        </w:tc>
        <w:tc>
          <w:tcPr>
            <w:tcW w:w="0" w:type="dxa"/>
            <w:vAlign w:val="bottom"/>
          </w:tcPr>
          <w:p>
            <w:pPr>
              <w:spacing w:after="0"/>
              <w:rPr>
                <w:sz w:val="1"/>
                <w:szCs w:val="1"/>
                <w:color w:val="auto"/>
              </w:rPr>
            </w:pPr>
          </w:p>
        </w:tc>
      </w:tr>
      <w:tr>
        <w:trPr>
          <w:trHeight w:val="193"/>
        </w:trPr>
        <w:tc>
          <w:tcPr>
            <w:tcW w:w="220" w:type="dxa"/>
            <w:vAlign w:val="bottom"/>
          </w:tcPr>
          <w:p>
            <w:pPr>
              <w:spacing w:after="0"/>
              <w:rPr>
                <w:sz w:val="16"/>
                <w:szCs w:val="16"/>
                <w:color w:val="auto"/>
              </w:rPr>
            </w:pPr>
          </w:p>
        </w:tc>
        <w:tc>
          <w:tcPr>
            <w:tcW w:w="5180" w:type="dxa"/>
            <w:vAlign w:val="bottom"/>
            <w:gridSpan w:val="2"/>
            <w:shd w:val="clear" w:color="auto" w:fill="CCEEFF"/>
          </w:tcPr>
          <w:p>
            <w:pPr>
              <w:ind w:left="120"/>
              <w:spacing w:after="0" w:line="193" w:lineRule="exact"/>
              <w:rPr>
                <w:sz w:val="20"/>
                <w:szCs w:val="20"/>
                <w:color w:val="auto"/>
              </w:rPr>
            </w:pPr>
            <w:r>
              <w:rPr>
                <w:rFonts w:ascii="Arial" w:cs="Arial" w:eastAsia="Arial" w:hAnsi="Arial"/>
                <w:sz w:val="13"/>
                <w:szCs w:val="13"/>
                <w:color w:val="auto"/>
              </w:rPr>
              <w:t xml:space="preserve">Time deposits </w:t>
            </w:r>
            <w:r>
              <w:rPr>
                <w:rFonts w:ascii="Arial" w:cs="Arial" w:eastAsia="Arial" w:hAnsi="Arial"/>
                <w:sz w:val="21"/>
                <w:szCs w:val="21"/>
                <w:color w:val="auto"/>
                <w:vertAlign w:val="superscript"/>
              </w:rPr>
              <w:t>(2)</w:t>
            </w:r>
          </w:p>
        </w:tc>
        <w:tc>
          <w:tcPr>
            <w:tcW w:w="12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50,000</w:t>
            </w:r>
          </w:p>
        </w:tc>
        <w:tc>
          <w:tcPr>
            <w:tcW w:w="140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0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w:t>
            </w:r>
          </w:p>
        </w:tc>
        <w:tc>
          <w:tcPr>
            <w:tcW w:w="8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4920" w:type="dxa"/>
            <w:vAlign w:val="bottom"/>
            <w:tcBorders>
              <w:bottom w:val="single" w:sz="8" w:color="CCEEFF"/>
            </w:tcBorders>
          </w:tcPr>
          <w:p>
            <w:pPr>
              <w:spacing w:after="0" w:line="143" w:lineRule="exact"/>
              <w:rPr>
                <w:sz w:val="20"/>
                <w:szCs w:val="20"/>
                <w:color w:val="auto"/>
              </w:rPr>
            </w:pPr>
            <w:r>
              <w:rPr>
                <w:rFonts w:ascii="Arial" w:cs="Arial" w:eastAsia="Arial" w:hAnsi="Arial"/>
                <w:sz w:val="13"/>
                <w:szCs w:val="13"/>
                <w:color w:val="auto"/>
              </w:rPr>
              <w:t>Total</w:t>
            </w:r>
          </w:p>
        </w:tc>
        <w:tc>
          <w:tcPr>
            <w:tcW w:w="260" w:type="dxa"/>
            <w:vAlign w:val="bottom"/>
            <w:tcBorders>
              <w:top w:val="single" w:sz="8" w:color="auto"/>
              <w:bottom w:val="single" w:sz="8" w:color="auto"/>
            </w:tcBorders>
          </w:tcPr>
          <w:p>
            <w:pPr>
              <w:spacing w:after="0"/>
              <w:rPr>
                <w:sz w:val="14"/>
                <w:szCs w:val="14"/>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1,736,008</w:t>
            </w:r>
          </w:p>
        </w:tc>
        <w:tc>
          <w:tcPr>
            <w:tcW w:w="240" w:type="dxa"/>
            <w:vAlign w:val="bottom"/>
            <w:tcBorders>
              <w:bottom w:val="single" w:sz="8" w:color="CCEEFF"/>
            </w:tcBorders>
          </w:tcPr>
          <w:p>
            <w:pPr>
              <w:spacing w:after="0"/>
              <w:rPr>
                <w:sz w:val="14"/>
                <w:szCs w:val="14"/>
                <w:color w:val="auto"/>
              </w:rPr>
            </w:pPr>
          </w:p>
        </w:tc>
        <w:tc>
          <w:tcPr>
            <w:tcW w:w="1400" w:type="dxa"/>
            <w:vAlign w:val="bottom"/>
            <w:tcBorders>
              <w:bottom w:val="single" w:sz="8" w:color="CCEEFF"/>
            </w:tcBorders>
          </w:tcPr>
          <w:p>
            <w:pPr>
              <w:spacing w:after="0"/>
              <w:rPr>
                <w:sz w:val="14"/>
                <w:szCs w:val="14"/>
                <w:color w:val="auto"/>
              </w:rPr>
            </w:pPr>
          </w:p>
        </w:tc>
        <w:tc>
          <w:tcPr>
            <w:tcW w:w="200" w:type="dxa"/>
            <w:vAlign w:val="bottom"/>
            <w:tcBorders>
              <w:bottom w:val="single" w:sz="8" w:color="CCEEFF"/>
            </w:tcBorders>
          </w:tcPr>
          <w:p>
            <w:pPr>
              <w:spacing w:after="0"/>
              <w:rPr>
                <w:sz w:val="14"/>
                <w:szCs w:val="14"/>
                <w:color w:val="auto"/>
              </w:rPr>
            </w:pPr>
          </w:p>
        </w:tc>
        <w:tc>
          <w:tcPr>
            <w:tcW w:w="200" w:type="dxa"/>
            <w:vAlign w:val="bottom"/>
            <w:tcBorders>
              <w:top w:val="single" w:sz="8" w:color="auto"/>
              <w:bottom w:val="single" w:sz="8" w:color="auto"/>
            </w:tcBorders>
          </w:tcPr>
          <w:p>
            <w:pPr>
              <w:spacing w:after="0"/>
              <w:rPr>
                <w:sz w:val="14"/>
                <w:szCs w:val="14"/>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661,016</w:t>
            </w:r>
          </w:p>
        </w:tc>
        <w:tc>
          <w:tcPr>
            <w:tcW w:w="220" w:type="dxa"/>
            <w:vAlign w:val="bottom"/>
            <w:tcBorders>
              <w:bottom w:val="single" w:sz="8" w:color="CCEEFF"/>
            </w:tcBorders>
          </w:tcPr>
          <w:p>
            <w:pPr>
              <w:spacing w:after="0"/>
              <w:rPr>
                <w:sz w:val="14"/>
                <w:szCs w:val="14"/>
                <w:color w:val="auto"/>
              </w:rPr>
            </w:pPr>
          </w:p>
        </w:tc>
        <w:tc>
          <w:tcPr>
            <w:tcW w:w="200" w:type="dxa"/>
            <w:vAlign w:val="bottom"/>
            <w:tcBorders>
              <w:bottom w:val="single" w:sz="8" w:color="CCEEFF"/>
            </w:tcBorders>
          </w:tcPr>
          <w:p>
            <w:pPr>
              <w:spacing w:after="0"/>
              <w:rPr>
                <w:sz w:val="14"/>
                <w:szCs w:val="14"/>
                <w:color w:val="auto"/>
              </w:rPr>
            </w:pPr>
          </w:p>
        </w:tc>
        <w:tc>
          <w:tcPr>
            <w:tcW w:w="1200" w:type="dxa"/>
            <w:vAlign w:val="bottom"/>
            <w:tcBorders>
              <w:bottom w:val="single" w:sz="8" w:color="CCEEFF"/>
            </w:tcBorders>
          </w:tcPr>
          <w:p>
            <w:pPr>
              <w:spacing w:after="0"/>
              <w:rPr>
                <w:sz w:val="14"/>
                <w:szCs w:val="14"/>
                <w:color w:val="auto"/>
              </w:rPr>
            </w:pPr>
          </w:p>
        </w:tc>
        <w:tc>
          <w:tcPr>
            <w:tcW w:w="20" w:type="dxa"/>
            <w:vAlign w:val="bottom"/>
            <w:tcBorders>
              <w:bottom w:val="single" w:sz="8" w:color="CCEEFF"/>
            </w:tcBorders>
          </w:tcPr>
          <w:p>
            <w:pPr>
              <w:spacing w:after="0"/>
              <w:rPr>
                <w:sz w:val="14"/>
                <w:szCs w:val="14"/>
                <w:color w:val="auto"/>
              </w:rPr>
            </w:pPr>
          </w:p>
        </w:tc>
        <w:tc>
          <w:tcPr>
            <w:tcW w:w="8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492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9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40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0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11"/>
        </w:trPr>
        <w:tc>
          <w:tcPr>
            <w:tcW w:w="220" w:type="dxa"/>
            <w:vAlign w:val="bottom"/>
            <w:vMerge w:val="continue"/>
          </w:tcPr>
          <w:p>
            <w:pPr>
              <w:spacing w:after="0"/>
              <w:rPr>
                <w:sz w:val="18"/>
                <w:szCs w:val="18"/>
                <w:color w:val="auto"/>
              </w:rPr>
            </w:pPr>
          </w:p>
        </w:tc>
        <w:tc>
          <w:tcPr>
            <w:tcW w:w="4920" w:type="dxa"/>
            <w:vAlign w:val="bottom"/>
          </w:tcPr>
          <w:p>
            <w:pPr>
              <w:spacing w:after="0" w:line="202" w:lineRule="exact"/>
              <w:rPr>
                <w:sz w:val="20"/>
                <w:szCs w:val="20"/>
                <w:color w:val="auto"/>
              </w:rPr>
            </w:pPr>
            <w:r>
              <w:rPr>
                <w:rFonts w:ascii="Arial" w:cs="Arial" w:eastAsia="Arial" w:hAnsi="Arial"/>
                <w:sz w:val="13"/>
                <w:szCs w:val="13"/>
                <w:color w:val="auto"/>
              </w:rPr>
              <w:t xml:space="preserve">Pledged deposits </w:t>
            </w:r>
            <w:r>
              <w:rPr>
                <w:rFonts w:ascii="Arial" w:cs="Arial" w:eastAsia="Arial" w:hAnsi="Arial"/>
                <w:sz w:val="21"/>
                <w:szCs w:val="21"/>
                <w:color w:val="auto"/>
                <w:vertAlign w:val="superscript"/>
              </w:rPr>
              <w:t>(3)</w:t>
            </w:r>
          </w:p>
        </w:tc>
        <w:tc>
          <w:tcPr>
            <w:tcW w:w="26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3"/>
                <w:szCs w:val="13"/>
                <w:b w:val="1"/>
                <w:bCs w:val="1"/>
                <w:color w:val="auto"/>
              </w:rPr>
              <w:t>39,460</w:t>
            </w:r>
          </w:p>
        </w:tc>
        <w:tc>
          <w:tcPr>
            <w:tcW w:w="240" w:type="dxa"/>
            <w:vAlign w:val="bottom"/>
          </w:tcPr>
          <w:p>
            <w:pPr>
              <w:spacing w:after="0"/>
              <w:rPr>
                <w:sz w:val="18"/>
                <w:szCs w:val="18"/>
                <w:color w:val="auto"/>
              </w:rPr>
            </w:pPr>
          </w:p>
        </w:tc>
        <w:tc>
          <w:tcPr>
            <w:tcW w:w="1600" w:type="dxa"/>
            <w:vAlign w:val="bottom"/>
            <w:gridSpan w:val="2"/>
          </w:tcPr>
          <w:p>
            <w:pPr>
              <w:jc w:val="right"/>
              <w:ind w:right="200"/>
              <w:spacing w:after="0"/>
              <w:rPr>
                <w:sz w:val="20"/>
                <w:szCs w:val="20"/>
                <w:color w:val="auto"/>
              </w:rPr>
            </w:pPr>
            <w:r>
              <w:rPr>
                <w:rFonts w:ascii="Arial" w:cs="Arial" w:eastAsia="Arial" w:hAnsi="Arial"/>
                <w:sz w:val="13"/>
                <w:szCs w:val="13"/>
                <w:color w:val="auto"/>
              </w:rPr>
              <w:t>2.40%</w:t>
            </w:r>
          </w:p>
        </w:tc>
        <w:tc>
          <w:tcPr>
            <w:tcW w:w="200" w:type="dxa"/>
            <w:vAlign w:val="bottom"/>
          </w:tcPr>
          <w:p>
            <w:pPr>
              <w:spacing w:after="0"/>
              <w:rPr>
                <w:sz w:val="18"/>
                <w:szCs w:val="18"/>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3"/>
                <w:szCs w:val="13"/>
                <w:b w:val="1"/>
                <w:bCs w:val="1"/>
                <w:color w:val="auto"/>
              </w:rPr>
              <w:t>53,241</w:t>
            </w:r>
          </w:p>
        </w:tc>
        <w:tc>
          <w:tcPr>
            <w:tcW w:w="200" w:type="dxa"/>
            <w:vAlign w:val="bottom"/>
          </w:tcPr>
          <w:p>
            <w:pPr>
              <w:spacing w:after="0"/>
              <w:rPr>
                <w:sz w:val="18"/>
                <w:szCs w:val="18"/>
                <w:color w:val="auto"/>
              </w:rPr>
            </w:pPr>
          </w:p>
        </w:tc>
        <w:tc>
          <w:tcPr>
            <w:tcW w:w="1220" w:type="dxa"/>
            <w:vAlign w:val="bottom"/>
            <w:gridSpan w:val="2"/>
          </w:tcPr>
          <w:p>
            <w:pPr>
              <w:jc w:val="right"/>
              <w:ind w:right="20"/>
              <w:spacing w:after="0"/>
              <w:rPr>
                <w:sz w:val="20"/>
                <w:szCs w:val="20"/>
                <w:color w:val="auto"/>
              </w:rPr>
            </w:pPr>
            <w:r>
              <w:rPr>
                <w:rFonts w:ascii="Arial" w:cs="Arial" w:eastAsia="Arial" w:hAnsi="Arial"/>
                <w:sz w:val="13"/>
                <w:szCs w:val="13"/>
                <w:color w:val="auto"/>
              </w:rPr>
              <w:t>1.42%</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308"/>
        </w:trPr>
        <w:tc>
          <w:tcPr>
            <w:tcW w:w="5140" w:type="dxa"/>
            <w:vAlign w:val="bottom"/>
            <w:gridSpan w:val="2"/>
          </w:tcPr>
          <w:p>
            <w:pPr>
              <w:ind w:left="220"/>
              <w:spacing w:after="0"/>
              <w:rPr>
                <w:sz w:val="20"/>
                <w:szCs w:val="20"/>
                <w:color w:val="auto"/>
              </w:rPr>
            </w:pPr>
            <w:r>
              <w:rPr>
                <w:rFonts w:ascii="Arial" w:cs="Arial" w:eastAsia="Arial" w:hAnsi="Arial"/>
                <w:sz w:val="13"/>
                <w:szCs w:val="13"/>
                <w:color w:val="auto"/>
              </w:rPr>
              <w:t>The following table provides a breakdown of pledged deposits by country risk:</w:t>
            </w:r>
          </w:p>
        </w:tc>
        <w:tc>
          <w:tcPr>
            <w:tcW w:w="260" w:type="dxa"/>
            <w:vAlign w:val="bottom"/>
            <w:tcBorders>
              <w:top w:val="single" w:sz="8" w:color="auto"/>
            </w:tcBorders>
          </w:tcPr>
          <w:p>
            <w:pPr>
              <w:spacing w:after="0"/>
              <w:rPr>
                <w:sz w:val="24"/>
                <w:szCs w:val="24"/>
                <w:color w:val="auto"/>
              </w:rPr>
            </w:pPr>
          </w:p>
        </w:tc>
        <w:tc>
          <w:tcPr>
            <w:tcW w:w="960" w:type="dxa"/>
            <w:vAlign w:val="bottom"/>
            <w:tcBorders>
              <w:top w:val="single" w:sz="8" w:color="auto"/>
            </w:tcBorders>
          </w:tcPr>
          <w:p>
            <w:pPr>
              <w:spacing w:after="0"/>
              <w:rPr>
                <w:sz w:val="24"/>
                <w:szCs w:val="24"/>
                <w:color w:val="auto"/>
              </w:rPr>
            </w:pPr>
          </w:p>
        </w:tc>
        <w:tc>
          <w:tcPr>
            <w:tcW w:w="240" w:type="dxa"/>
            <w:vAlign w:val="bottom"/>
          </w:tcPr>
          <w:p>
            <w:pPr>
              <w:spacing w:after="0"/>
              <w:rPr>
                <w:sz w:val="24"/>
                <w:szCs w:val="24"/>
                <w:color w:val="auto"/>
              </w:rPr>
            </w:pPr>
          </w:p>
        </w:tc>
        <w:tc>
          <w:tcPr>
            <w:tcW w:w="14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00" w:type="dxa"/>
            <w:vAlign w:val="bottom"/>
            <w:tcBorders>
              <w:top w:val="single" w:sz="8" w:color="auto"/>
            </w:tcBorders>
          </w:tcPr>
          <w:p>
            <w:pPr>
              <w:spacing w:after="0"/>
              <w:rPr>
                <w:sz w:val="24"/>
                <w:szCs w:val="24"/>
                <w:color w:val="auto"/>
              </w:rPr>
            </w:pPr>
          </w:p>
        </w:tc>
        <w:tc>
          <w:tcPr>
            <w:tcW w:w="1000" w:type="dxa"/>
            <w:vAlign w:val="bottom"/>
            <w:tcBorders>
              <w:top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05"/>
        </w:trPr>
        <w:tc>
          <w:tcPr>
            <w:tcW w:w="220" w:type="dxa"/>
            <w:vAlign w:val="bottom"/>
          </w:tcPr>
          <w:p>
            <w:pPr>
              <w:spacing w:after="0"/>
              <w:rPr>
                <w:sz w:val="24"/>
                <w:szCs w:val="24"/>
                <w:color w:val="auto"/>
              </w:rPr>
            </w:pPr>
          </w:p>
        </w:tc>
        <w:tc>
          <w:tcPr>
            <w:tcW w:w="492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4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420" w:type="dxa"/>
            <w:vAlign w:val="bottom"/>
            <w:gridSpan w:val="3"/>
          </w:tcPr>
          <w:p>
            <w:pPr>
              <w:jc w:val="center"/>
              <w:ind w:right="200"/>
              <w:spacing w:after="0"/>
              <w:rPr>
                <w:sz w:val="20"/>
                <w:szCs w:val="20"/>
                <w:color w:val="auto"/>
              </w:rPr>
            </w:pPr>
            <w:r>
              <w:rPr>
                <w:rFonts w:ascii="Arial" w:cs="Arial" w:eastAsia="Arial" w:hAnsi="Arial"/>
                <w:sz w:val="13"/>
                <w:szCs w:val="13"/>
                <w:b w:val="1"/>
                <w:bCs w:val="1"/>
                <w:color w:val="auto"/>
                <w:w w:val="87"/>
              </w:rPr>
              <w:t>December 31,</w:t>
            </w:r>
          </w:p>
        </w:tc>
        <w:tc>
          <w:tcPr>
            <w:tcW w:w="1300" w:type="dxa"/>
            <w:vAlign w:val="bottom"/>
            <w:gridSpan w:val="3"/>
          </w:tcPr>
          <w:p>
            <w:pPr>
              <w:jc w:val="center"/>
              <w:ind w:right="100"/>
              <w:spacing w:after="0"/>
              <w:rPr>
                <w:sz w:val="20"/>
                <w:szCs w:val="20"/>
                <w:color w:val="auto"/>
              </w:rPr>
            </w:pPr>
            <w:r>
              <w:rPr>
                <w:rFonts w:ascii="Arial" w:cs="Arial" w:eastAsia="Arial" w:hAnsi="Arial"/>
                <w:sz w:val="13"/>
                <w:szCs w:val="13"/>
                <w:b w:val="1"/>
                <w:bCs w:val="1"/>
                <w:color w:val="auto"/>
                <w:w w:val="89"/>
              </w:rPr>
              <w:t>December 31,</w:t>
            </w:r>
          </w:p>
        </w:tc>
        <w:tc>
          <w:tcPr>
            <w:tcW w:w="0" w:type="dxa"/>
            <w:vAlign w:val="bottom"/>
          </w:tcPr>
          <w:p>
            <w:pPr>
              <w:spacing w:after="0"/>
              <w:rPr>
                <w:sz w:val="1"/>
                <w:szCs w:val="1"/>
                <w:color w:val="auto"/>
              </w:rPr>
            </w:pPr>
          </w:p>
        </w:tc>
      </w:tr>
      <w:tr>
        <w:trPr>
          <w:trHeight w:val="166"/>
        </w:trPr>
        <w:tc>
          <w:tcPr>
            <w:tcW w:w="220" w:type="dxa"/>
            <w:vAlign w:val="bottom"/>
          </w:tcPr>
          <w:p>
            <w:pPr>
              <w:spacing w:after="0"/>
              <w:rPr>
                <w:sz w:val="14"/>
                <w:szCs w:val="14"/>
                <w:color w:val="auto"/>
              </w:rPr>
            </w:pPr>
          </w:p>
        </w:tc>
        <w:tc>
          <w:tcPr>
            <w:tcW w:w="4920" w:type="dxa"/>
            <w:vAlign w:val="bottom"/>
            <w:tcBorders>
              <w:bottom w:val="single" w:sz="8" w:color="CCEEFF"/>
            </w:tcBorders>
          </w:tcPr>
          <w:p>
            <w:pPr>
              <w:spacing w:after="0"/>
              <w:rPr>
                <w:sz w:val="14"/>
                <w:szCs w:val="14"/>
                <w:color w:val="auto"/>
              </w:rPr>
            </w:pPr>
          </w:p>
        </w:tc>
        <w:tc>
          <w:tcPr>
            <w:tcW w:w="260" w:type="dxa"/>
            <w:vAlign w:val="bottom"/>
            <w:tcBorders>
              <w:bottom w:val="single" w:sz="8" w:color="CCEEFF"/>
            </w:tcBorders>
          </w:tcPr>
          <w:p>
            <w:pPr>
              <w:spacing w:after="0"/>
              <w:rPr>
                <w:sz w:val="14"/>
                <w:szCs w:val="14"/>
                <w:color w:val="auto"/>
              </w:rPr>
            </w:pPr>
          </w:p>
        </w:tc>
        <w:tc>
          <w:tcPr>
            <w:tcW w:w="960" w:type="dxa"/>
            <w:vAlign w:val="bottom"/>
            <w:tcBorders>
              <w:bottom w:val="single" w:sz="8" w:color="CCEEFF"/>
            </w:tcBorders>
          </w:tcPr>
          <w:p>
            <w:pPr>
              <w:spacing w:after="0"/>
              <w:rPr>
                <w:sz w:val="14"/>
                <w:szCs w:val="14"/>
                <w:color w:val="auto"/>
              </w:rPr>
            </w:pPr>
          </w:p>
        </w:tc>
        <w:tc>
          <w:tcPr>
            <w:tcW w:w="240" w:type="dxa"/>
            <w:vAlign w:val="bottom"/>
            <w:tcBorders>
              <w:bottom w:val="single" w:sz="8" w:color="CCEEFF"/>
            </w:tcBorders>
          </w:tcPr>
          <w:p>
            <w:pPr>
              <w:spacing w:after="0"/>
              <w:rPr>
                <w:sz w:val="14"/>
                <w:szCs w:val="14"/>
                <w:color w:val="auto"/>
              </w:rPr>
            </w:pPr>
          </w:p>
        </w:tc>
        <w:tc>
          <w:tcPr>
            <w:tcW w:w="1400" w:type="dxa"/>
            <w:vAlign w:val="bottom"/>
            <w:tcBorders>
              <w:bottom w:val="single" w:sz="8" w:color="CCEEFF"/>
            </w:tcBorders>
          </w:tcPr>
          <w:p>
            <w:pPr>
              <w:spacing w:after="0"/>
              <w:rPr>
                <w:sz w:val="14"/>
                <w:szCs w:val="14"/>
                <w:color w:val="auto"/>
              </w:rPr>
            </w:pPr>
          </w:p>
        </w:tc>
        <w:tc>
          <w:tcPr>
            <w:tcW w:w="200" w:type="dxa"/>
            <w:vAlign w:val="bottom"/>
            <w:tcBorders>
              <w:bottom w:val="single" w:sz="8" w:color="CCEEFF"/>
            </w:tcBorders>
          </w:tcPr>
          <w:p>
            <w:pPr>
              <w:spacing w:after="0"/>
              <w:rPr>
                <w:sz w:val="14"/>
                <w:szCs w:val="14"/>
                <w:color w:val="auto"/>
              </w:rPr>
            </w:pPr>
          </w:p>
        </w:tc>
        <w:tc>
          <w:tcPr>
            <w:tcW w:w="200" w:type="dxa"/>
            <w:vAlign w:val="bottom"/>
            <w:tcBorders>
              <w:bottom w:val="single" w:sz="8" w:color="CCEEFF"/>
            </w:tcBorders>
          </w:tcPr>
          <w:p>
            <w:pPr>
              <w:spacing w:after="0"/>
              <w:rPr>
                <w:sz w:val="14"/>
                <w:szCs w:val="14"/>
                <w:color w:val="auto"/>
              </w:rPr>
            </w:pPr>
          </w:p>
        </w:tc>
        <w:tc>
          <w:tcPr>
            <w:tcW w:w="1000" w:type="dxa"/>
            <w:vAlign w:val="bottom"/>
            <w:tcBorders>
              <w:bottom w:val="single" w:sz="8" w:color="auto"/>
            </w:tcBorders>
          </w:tcPr>
          <w:p>
            <w:pPr>
              <w:jc w:val="center"/>
              <w:ind w:left="156"/>
              <w:spacing w:after="0"/>
              <w:rPr>
                <w:sz w:val="20"/>
                <w:szCs w:val="20"/>
                <w:color w:val="auto"/>
              </w:rPr>
            </w:pPr>
            <w:r>
              <w:rPr>
                <w:rFonts w:ascii="Arial" w:cs="Arial" w:eastAsia="Arial" w:hAnsi="Arial"/>
                <w:sz w:val="13"/>
                <w:szCs w:val="13"/>
                <w:b w:val="1"/>
                <w:bCs w:val="1"/>
                <w:color w:val="auto"/>
                <w:w w:val="89"/>
              </w:rPr>
              <w:t>2018</w:t>
            </w:r>
          </w:p>
        </w:tc>
        <w:tc>
          <w:tcPr>
            <w:tcW w:w="220" w:type="dxa"/>
            <w:vAlign w:val="bottom"/>
            <w:tcBorders>
              <w:bottom w:val="single" w:sz="8" w:color="auto"/>
            </w:tcBorders>
          </w:tcPr>
          <w:p>
            <w:pPr>
              <w:spacing w:after="0"/>
              <w:rPr>
                <w:sz w:val="14"/>
                <w:szCs w:val="14"/>
                <w:color w:val="auto"/>
              </w:rPr>
            </w:pPr>
          </w:p>
        </w:tc>
        <w:tc>
          <w:tcPr>
            <w:tcW w:w="200" w:type="dxa"/>
            <w:vAlign w:val="bottom"/>
            <w:tcBorders>
              <w:bottom w:val="single" w:sz="8" w:color="CCEEFF"/>
            </w:tcBorders>
          </w:tcPr>
          <w:p>
            <w:pPr>
              <w:spacing w:after="0"/>
              <w:rPr>
                <w:sz w:val="14"/>
                <w:szCs w:val="14"/>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9"/>
              </w:rPr>
              <w:t>2017</w:t>
            </w:r>
          </w:p>
        </w:tc>
        <w:tc>
          <w:tcPr>
            <w:tcW w:w="20" w:type="dxa"/>
            <w:vAlign w:val="bottom"/>
            <w:tcBorders>
              <w:bottom w:val="single" w:sz="8" w:color="CCEEFF"/>
            </w:tcBorders>
          </w:tcPr>
          <w:p>
            <w:pPr>
              <w:spacing w:after="0"/>
              <w:rPr>
                <w:sz w:val="14"/>
                <w:szCs w:val="14"/>
                <w:color w:val="auto"/>
              </w:rPr>
            </w:pPr>
          </w:p>
        </w:tc>
        <w:tc>
          <w:tcPr>
            <w:tcW w:w="8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5180" w:type="dxa"/>
            <w:vAlign w:val="bottom"/>
            <w:gridSpan w:val="2"/>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Country:</w:t>
            </w:r>
          </w:p>
        </w:tc>
        <w:tc>
          <w:tcPr>
            <w:tcW w:w="9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2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5180" w:type="dxa"/>
            <w:vAlign w:val="bottom"/>
            <w:gridSpan w:val="2"/>
          </w:tcPr>
          <w:p>
            <w:pPr>
              <w:ind w:left="120"/>
              <w:spacing w:after="0"/>
              <w:rPr>
                <w:sz w:val="20"/>
                <w:szCs w:val="20"/>
                <w:color w:val="auto"/>
              </w:rPr>
            </w:pPr>
            <w:r>
              <w:rPr>
                <w:rFonts w:ascii="Arial" w:cs="Arial" w:eastAsia="Arial" w:hAnsi="Arial"/>
                <w:sz w:val="13"/>
                <w:szCs w:val="13"/>
                <w:color w:val="auto"/>
              </w:rPr>
              <w:t>Netherlands</w:t>
            </w:r>
          </w:p>
        </w:tc>
        <w:tc>
          <w:tcPr>
            <w:tcW w:w="9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4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220" w:type="dxa"/>
            <w:vAlign w:val="bottom"/>
            <w:gridSpan w:val="2"/>
          </w:tcPr>
          <w:p>
            <w:pPr>
              <w:jc w:val="right"/>
              <w:spacing w:after="0"/>
              <w:rPr>
                <w:sz w:val="20"/>
                <w:szCs w:val="20"/>
                <w:color w:val="auto"/>
              </w:rPr>
            </w:pPr>
            <w:r>
              <w:rPr>
                <w:rFonts w:ascii="Arial" w:cs="Arial" w:eastAsia="Arial" w:hAnsi="Arial"/>
                <w:sz w:val="13"/>
                <w:szCs w:val="13"/>
                <w:color w:val="auto"/>
              </w:rPr>
              <w:t>494</w:t>
            </w:r>
          </w:p>
        </w:tc>
        <w:tc>
          <w:tcPr>
            <w:tcW w:w="200" w:type="dxa"/>
            <w:vAlign w:val="bottom"/>
          </w:tcPr>
          <w:p>
            <w:pPr>
              <w:spacing w:after="0"/>
              <w:rPr>
                <w:sz w:val="13"/>
                <w:szCs w:val="13"/>
                <w:color w:val="auto"/>
              </w:rPr>
            </w:pPr>
          </w:p>
        </w:tc>
        <w:tc>
          <w:tcPr>
            <w:tcW w:w="1220" w:type="dxa"/>
            <w:vAlign w:val="bottom"/>
            <w:gridSpan w:val="2"/>
          </w:tcPr>
          <w:p>
            <w:pPr>
              <w:jc w:val="right"/>
              <w:ind w:right="20"/>
              <w:spacing w:after="0"/>
              <w:rPr>
                <w:sz w:val="20"/>
                <w:szCs w:val="20"/>
                <w:color w:val="auto"/>
              </w:rPr>
            </w:pPr>
            <w:r>
              <w:rPr>
                <w:rFonts w:ascii="Arial" w:cs="Arial" w:eastAsia="Arial" w:hAnsi="Arial"/>
                <w:sz w:val="13"/>
                <w:szCs w:val="13"/>
                <w:color w:val="auto"/>
              </w:rPr>
              <w:t>15,582</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5180" w:type="dxa"/>
            <w:vAlign w:val="bottom"/>
            <w:gridSpan w:val="2"/>
            <w:shd w:val="clear" w:color="auto" w:fill="CCEEFF"/>
          </w:tcPr>
          <w:p>
            <w:pPr>
              <w:ind w:left="120"/>
              <w:spacing w:after="0"/>
              <w:rPr>
                <w:sz w:val="20"/>
                <w:szCs w:val="20"/>
                <w:color w:val="auto"/>
              </w:rPr>
            </w:pPr>
            <w:r>
              <w:rPr>
                <w:rFonts w:ascii="Arial" w:cs="Arial" w:eastAsia="Arial" w:hAnsi="Arial"/>
                <w:sz w:val="13"/>
                <w:szCs w:val="13"/>
                <w:color w:val="auto"/>
              </w:rPr>
              <w:t>Spain</w:t>
            </w:r>
          </w:p>
        </w:tc>
        <w:tc>
          <w:tcPr>
            <w:tcW w:w="9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40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8,740</w:t>
            </w:r>
          </w:p>
        </w:tc>
        <w:tc>
          <w:tcPr>
            <w:tcW w:w="20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22,580</w:t>
            </w: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5180" w:type="dxa"/>
            <w:vAlign w:val="bottom"/>
            <w:gridSpan w:val="2"/>
          </w:tcPr>
          <w:p>
            <w:pPr>
              <w:ind w:left="120"/>
              <w:spacing w:after="0"/>
              <w:rPr>
                <w:sz w:val="20"/>
                <w:szCs w:val="20"/>
                <w:color w:val="auto"/>
              </w:rPr>
            </w:pPr>
            <w:r>
              <w:rPr>
                <w:rFonts w:ascii="Arial" w:cs="Arial" w:eastAsia="Arial" w:hAnsi="Arial"/>
                <w:sz w:val="13"/>
                <w:szCs w:val="13"/>
                <w:color w:val="auto"/>
              </w:rPr>
              <w:t>United Kingdom</w:t>
            </w:r>
          </w:p>
        </w:tc>
        <w:tc>
          <w:tcPr>
            <w:tcW w:w="9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4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420" w:type="dxa"/>
            <w:vAlign w:val="bottom"/>
            <w:gridSpan w:val="3"/>
          </w:tcPr>
          <w:p>
            <w:pPr>
              <w:jc w:val="right"/>
              <w:ind w:right="200"/>
              <w:spacing w:after="0"/>
              <w:rPr>
                <w:sz w:val="20"/>
                <w:szCs w:val="20"/>
                <w:color w:val="auto"/>
              </w:rPr>
            </w:pPr>
            <w:r>
              <w:rPr>
                <w:rFonts w:ascii="Arial" w:cs="Arial" w:eastAsia="Arial" w:hAnsi="Arial"/>
                <w:sz w:val="13"/>
                <w:szCs w:val="13"/>
                <w:color w:val="auto"/>
              </w:rPr>
              <w:t>15,217</w:t>
            </w:r>
          </w:p>
        </w:tc>
        <w:tc>
          <w:tcPr>
            <w:tcW w:w="1220" w:type="dxa"/>
            <w:vAlign w:val="bottom"/>
            <w:gridSpan w:val="2"/>
          </w:tcPr>
          <w:p>
            <w:pPr>
              <w:jc w:val="right"/>
              <w:ind w:right="20"/>
              <w:spacing w:after="0"/>
              <w:rPr>
                <w:sz w:val="20"/>
                <w:szCs w:val="20"/>
                <w:color w:val="auto"/>
              </w:rPr>
            </w:pPr>
            <w:r>
              <w:rPr>
                <w:rFonts w:ascii="Arial" w:cs="Arial" w:eastAsia="Arial" w:hAnsi="Arial"/>
                <w:sz w:val="13"/>
                <w:szCs w:val="13"/>
                <w:color w:val="auto"/>
              </w:rPr>
              <w:t>9,137</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93"/>
        </w:trPr>
        <w:tc>
          <w:tcPr>
            <w:tcW w:w="220" w:type="dxa"/>
            <w:vAlign w:val="bottom"/>
          </w:tcPr>
          <w:p>
            <w:pPr>
              <w:spacing w:after="0"/>
              <w:rPr>
                <w:sz w:val="16"/>
                <w:szCs w:val="16"/>
                <w:color w:val="auto"/>
              </w:rPr>
            </w:pPr>
          </w:p>
        </w:tc>
        <w:tc>
          <w:tcPr>
            <w:tcW w:w="5180" w:type="dxa"/>
            <w:vAlign w:val="bottom"/>
            <w:gridSpan w:val="2"/>
            <w:shd w:val="clear" w:color="auto" w:fill="CCEEFF"/>
          </w:tcPr>
          <w:p>
            <w:pPr>
              <w:ind w:left="120"/>
              <w:spacing w:after="0" w:line="193" w:lineRule="exact"/>
              <w:rPr>
                <w:sz w:val="20"/>
                <w:szCs w:val="20"/>
                <w:color w:val="auto"/>
              </w:rPr>
            </w:pPr>
            <w:r>
              <w:rPr>
                <w:rFonts w:ascii="Arial" w:cs="Arial" w:eastAsia="Arial" w:hAnsi="Arial"/>
                <w:sz w:val="13"/>
                <w:szCs w:val="13"/>
                <w:color w:val="auto"/>
              </w:rPr>
              <w:t xml:space="preserve">United States of America </w:t>
            </w:r>
            <w:r>
              <w:rPr>
                <w:rFonts w:ascii="Arial" w:cs="Arial" w:eastAsia="Arial" w:hAnsi="Arial"/>
                <w:sz w:val="21"/>
                <w:szCs w:val="21"/>
                <w:color w:val="auto"/>
                <w:vertAlign w:val="superscript"/>
              </w:rPr>
              <w:t>(3)</w:t>
            </w:r>
          </w:p>
        </w:tc>
        <w:tc>
          <w:tcPr>
            <w:tcW w:w="96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140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420" w:type="dxa"/>
            <w:vAlign w:val="bottom"/>
            <w:gridSpan w:val="3"/>
            <w:shd w:val="clear" w:color="auto" w:fill="CCEEFF"/>
          </w:tcPr>
          <w:p>
            <w:pPr>
              <w:jc w:val="right"/>
              <w:ind w:right="200"/>
              <w:spacing w:after="0"/>
              <w:rPr>
                <w:sz w:val="20"/>
                <w:szCs w:val="20"/>
                <w:color w:val="auto"/>
              </w:rPr>
            </w:pPr>
            <w:r>
              <w:rPr>
                <w:rFonts w:ascii="Arial" w:cs="Arial" w:eastAsia="Arial" w:hAnsi="Arial"/>
                <w:sz w:val="13"/>
                <w:szCs w:val="13"/>
                <w:color w:val="auto"/>
              </w:rPr>
              <w:t>15,009</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5,942</w:t>
            </w:r>
          </w:p>
        </w:tc>
        <w:tc>
          <w:tcPr>
            <w:tcW w:w="8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5180" w:type="dxa"/>
            <w:vAlign w:val="bottom"/>
            <w:gridSpan w:val="2"/>
          </w:tcPr>
          <w:p>
            <w:pPr>
              <w:spacing w:after="0" w:line="146" w:lineRule="exact"/>
              <w:rPr>
                <w:sz w:val="20"/>
                <w:szCs w:val="20"/>
                <w:color w:val="auto"/>
              </w:rPr>
            </w:pPr>
            <w:r>
              <w:rPr>
                <w:rFonts w:ascii="Arial" w:cs="Arial" w:eastAsia="Arial" w:hAnsi="Arial"/>
                <w:sz w:val="13"/>
                <w:szCs w:val="13"/>
                <w:b w:val="1"/>
                <w:bCs w:val="1"/>
                <w:color w:val="auto"/>
              </w:rPr>
              <w:t>Total</w:t>
            </w:r>
          </w:p>
        </w:tc>
        <w:tc>
          <w:tcPr>
            <w:tcW w:w="96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4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22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3"/>
                <w:szCs w:val="13"/>
                <w:b w:val="1"/>
                <w:bCs w:val="1"/>
                <w:color w:val="auto"/>
              </w:rPr>
              <w:t>39,460</w:t>
            </w:r>
          </w:p>
        </w:tc>
        <w:tc>
          <w:tcPr>
            <w:tcW w:w="200" w:type="dxa"/>
            <w:vAlign w:val="bottom"/>
          </w:tcPr>
          <w:p>
            <w:pPr>
              <w:spacing w:after="0"/>
              <w:rPr>
                <w:sz w:val="14"/>
                <w:szCs w:val="14"/>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53,241</w:t>
            </w:r>
          </w:p>
        </w:tc>
        <w:tc>
          <w:tcPr>
            <w:tcW w:w="20" w:type="dxa"/>
            <w:vAlign w:val="bottom"/>
            <w:tcBorders>
              <w:bottom w:val="single" w:sz="8" w:color="auto"/>
            </w:tcBorders>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bl>
    <w:p>
      <w:pPr>
        <w:spacing w:after="0" w:line="145" w:lineRule="exact"/>
        <w:rPr>
          <w:sz w:val="20"/>
          <w:szCs w:val="20"/>
          <w:color w:val="auto"/>
        </w:rPr>
      </w:pPr>
    </w:p>
    <w:p>
      <w:pPr>
        <w:ind w:left="640" w:hanging="239"/>
        <w:spacing w:after="0" w:line="194" w:lineRule="auto"/>
        <w:tabs>
          <w:tab w:leader="none" w:pos="640" w:val="left"/>
        </w:tabs>
        <w:numPr>
          <w:ilvl w:val="0"/>
          <w:numId w:val="126"/>
        </w:numPr>
        <w:rPr>
          <w:rFonts w:ascii="Arial" w:cs="Arial" w:eastAsia="Arial" w:hAnsi="Arial"/>
          <w:sz w:val="21"/>
          <w:szCs w:val="21"/>
          <w:color w:val="auto"/>
          <w:vertAlign w:val="superscript"/>
        </w:rPr>
      </w:pPr>
      <w:r>
        <w:rPr>
          <w:rFonts w:ascii="Arial" w:cs="Arial" w:eastAsia="Arial" w:hAnsi="Arial"/>
          <w:sz w:val="13"/>
          <w:szCs w:val="13"/>
          <w:color w:val="auto"/>
        </w:rPr>
        <w:t>Interest-bearing demand deposits based on the daily rates determined by banks. The rate of 6.5% corresponds to a deposit placed in BRL - Brazil. In addition, a rate of 5.61% corresponds to a deposit placed in MXN – México.</w:t>
      </w:r>
    </w:p>
    <w:p>
      <w:pPr>
        <w:ind w:left="640" w:hanging="239"/>
        <w:spacing w:after="0" w:line="189" w:lineRule="auto"/>
        <w:tabs>
          <w:tab w:leader="none" w:pos="640" w:val="left"/>
        </w:tabs>
        <w:numPr>
          <w:ilvl w:val="0"/>
          <w:numId w:val="126"/>
        </w:numPr>
        <w:rPr>
          <w:rFonts w:ascii="Arial" w:cs="Arial" w:eastAsia="Arial" w:hAnsi="Arial"/>
          <w:sz w:val="17"/>
          <w:szCs w:val="17"/>
          <w:color w:val="auto"/>
          <w:vertAlign w:val="superscript"/>
        </w:rPr>
      </w:pPr>
      <w:r>
        <w:rPr>
          <w:rFonts w:ascii="Arial" w:cs="Arial" w:eastAsia="Arial" w:hAnsi="Arial"/>
          <w:sz w:val="11"/>
          <w:szCs w:val="11"/>
          <w:color w:val="auto"/>
        </w:rPr>
        <w:t>Time deposits “overnight” calculated on an average interest rate.</w:t>
      </w:r>
    </w:p>
    <w:p>
      <w:pPr>
        <w:spacing w:after="0" w:line="1" w:lineRule="exact"/>
        <w:rPr>
          <w:rFonts w:ascii="Arial" w:cs="Arial" w:eastAsia="Arial" w:hAnsi="Arial"/>
          <w:sz w:val="17"/>
          <w:szCs w:val="17"/>
          <w:color w:val="auto"/>
          <w:vertAlign w:val="superscript"/>
        </w:rPr>
      </w:pPr>
    </w:p>
    <w:p>
      <w:pPr>
        <w:ind w:left="640" w:hanging="239"/>
        <w:spacing w:after="0" w:line="188" w:lineRule="auto"/>
        <w:tabs>
          <w:tab w:leader="none" w:pos="640" w:val="left"/>
        </w:tabs>
        <w:numPr>
          <w:ilvl w:val="0"/>
          <w:numId w:val="126"/>
        </w:numPr>
        <w:rPr>
          <w:rFonts w:ascii="Arial" w:cs="Arial" w:eastAsia="Arial" w:hAnsi="Arial"/>
          <w:sz w:val="21"/>
          <w:szCs w:val="21"/>
          <w:color w:val="auto"/>
          <w:vertAlign w:val="superscript"/>
        </w:rPr>
      </w:pPr>
      <w:r>
        <w:rPr>
          <w:rFonts w:ascii="Arial" w:cs="Arial" w:eastAsia="Arial" w:hAnsi="Arial"/>
          <w:sz w:val="13"/>
          <w:szCs w:val="13"/>
          <w:color w:val="auto"/>
        </w:rPr>
        <w:t>Includes deposits pledged of $3.5 million and $3.0 million at December 31, 2018 and 2017, respectively, with the New York State Banking Department under March 1994 legislation and deposits pledged to guarantee derivative financial instrument transactions.</w:t>
      </w:r>
    </w:p>
    <w:p>
      <w:pPr>
        <w:spacing w:after="0" w:line="319" w:lineRule="exact"/>
        <w:rPr>
          <w:sz w:val="20"/>
          <w:szCs w:val="20"/>
          <w:color w:val="auto"/>
        </w:rPr>
      </w:pPr>
    </w:p>
    <w:p>
      <w:pPr>
        <w:jc w:val="center"/>
        <w:ind w:right="-19"/>
        <w:spacing w:after="0"/>
        <w:rPr>
          <w:sz w:val="20"/>
          <w:szCs w:val="20"/>
          <w:color w:val="auto"/>
        </w:rPr>
      </w:pPr>
      <w:r>
        <w:rPr>
          <w:rFonts w:ascii="Arial" w:cs="Arial" w:eastAsia="Arial" w:hAnsi="Arial"/>
          <w:sz w:val="13"/>
          <w:szCs w:val="13"/>
          <w:color w:val="auto"/>
        </w:rPr>
        <w:t>F-37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14605</wp:posOffset>
            </wp:positionV>
            <wp:extent cx="7285990" cy="6350"/>
            <wp:wrapNone/>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2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85" w:right="219" w:bottom="1440" w:gutter="0" w:footer="0" w:header="0"/>
        </w:sectPr>
      </w:pPr>
    </w:p>
    <w:bookmarkStart w:id="162" w:name="page163"/>
    <w:bookmarkEnd w:id="162"/>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22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127"/>
        </w:numPr>
        <w:rPr>
          <w:rFonts w:ascii="Arial" w:cs="Arial" w:eastAsia="Arial" w:hAnsi="Arial"/>
          <w:sz w:val="13"/>
          <w:szCs w:val="13"/>
          <w:b w:val="1"/>
          <w:bCs w:val="1"/>
          <w:color w:val="auto"/>
        </w:rPr>
      </w:pPr>
      <w:r>
        <w:rPr>
          <w:rFonts w:ascii="Arial" w:cs="Arial" w:eastAsia="Arial" w:hAnsi="Arial"/>
          <w:sz w:val="13"/>
          <w:szCs w:val="13"/>
          <w:b w:val="1"/>
          <w:bCs w:val="1"/>
          <w:color w:val="auto"/>
        </w:rPr>
        <w:t>Securities and other financial assets, net</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All securities and other financial assets as of December 31, 2018 and 2017 are presented as follows:</w:t>
      </w:r>
    </w:p>
    <w:p>
      <w:pPr>
        <w:spacing w:after="0" w:line="164" w:lineRule="exact"/>
        <w:rPr>
          <w:sz w:val="20"/>
          <w:szCs w:val="20"/>
          <w:color w:val="auto"/>
        </w:rPr>
      </w:pPr>
    </w:p>
    <w:tbl>
      <w:tblPr>
        <w:tblLayout w:type="fixed"/>
        <w:tblInd w:w="223" w:type="dxa"/>
        <w:tblCellMar>
          <w:top w:w="0" w:type="dxa"/>
          <w:left w:w="0" w:type="dxa"/>
          <w:bottom w:w="0" w:type="dxa"/>
          <w:right w:w="0" w:type="dxa"/>
        </w:tblCellMar>
      </w:tblPr>
      <w:tr>
        <w:trPr>
          <w:trHeight w:val="166"/>
        </w:trPr>
        <w:tc>
          <w:tcPr>
            <w:tcW w:w="3940" w:type="dxa"/>
            <w:vAlign w:val="bottom"/>
            <w:gridSpan w:val="2"/>
            <w:vMerge w:val="restart"/>
          </w:tcPr>
          <w:p>
            <w:pPr>
              <w:jc w:val="center"/>
              <w:ind w:right="100"/>
              <w:spacing w:after="0"/>
              <w:rPr>
                <w:sz w:val="20"/>
                <w:szCs w:val="20"/>
                <w:color w:val="auto"/>
              </w:rPr>
            </w:pPr>
            <w:r>
              <w:rPr>
                <w:rFonts w:ascii="Arial" w:cs="Arial" w:eastAsia="Arial" w:hAnsi="Arial"/>
                <w:sz w:val="13"/>
                <w:szCs w:val="13"/>
                <w:b w:val="1"/>
                <w:bCs w:val="1"/>
                <w:color w:val="auto"/>
                <w:w w:val="89"/>
              </w:rPr>
              <w:t>At December 31, 2018</w:t>
            </w:r>
          </w:p>
        </w:tc>
        <w:tc>
          <w:tcPr>
            <w:tcW w:w="12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400" w:type="dxa"/>
            <w:vAlign w:val="bottom"/>
            <w:tcBorders>
              <w:bottom w:val="single" w:sz="8" w:color="auto"/>
            </w:tcBorders>
            <w:gridSpan w:val="2"/>
          </w:tcPr>
          <w:p>
            <w:pPr>
              <w:jc w:val="center"/>
              <w:ind w:right="220"/>
              <w:spacing w:after="0"/>
              <w:rPr>
                <w:sz w:val="20"/>
                <w:szCs w:val="20"/>
                <w:color w:val="auto"/>
              </w:rPr>
            </w:pPr>
            <w:r>
              <w:rPr>
                <w:rFonts w:ascii="Arial" w:cs="Arial" w:eastAsia="Arial" w:hAnsi="Arial"/>
                <w:sz w:val="13"/>
                <w:szCs w:val="13"/>
                <w:b w:val="1"/>
                <w:bCs w:val="1"/>
                <w:color w:val="auto"/>
                <w:w w:val="94"/>
              </w:rPr>
              <w:t>At fair value</w:t>
            </w:r>
          </w:p>
        </w:tc>
        <w:tc>
          <w:tcPr>
            <w:tcW w:w="1200" w:type="dxa"/>
            <w:vAlign w:val="bottom"/>
            <w:tcBorders>
              <w:bottom w:val="single" w:sz="8" w:color="auto"/>
            </w:tcBorders>
          </w:tcPr>
          <w:p>
            <w:pPr>
              <w:spacing w:after="0"/>
              <w:rPr>
                <w:sz w:val="14"/>
                <w:szCs w:val="14"/>
                <w:color w:val="auto"/>
              </w:rPr>
            </w:pPr>
          </w:p>
        </w:tc>
        <w:tc>
          <w:tcPr>
            <w:tcW w:w="20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3940" w:type="dxa"/>
            <w:vAlign w:val="bottom"/>
            <w:gridSpan w:val="2"/>
            <w:vMerge w:val="continue"/>
          </w:tcPr>
          <w:p>
            <w:pPr>
              <w:spacing w:after="0"/>
              <w:rPr>
                <w:sz w:val="13"/>
                <w:szCs w:val="13"/>
                <w:color w:val="auto"/>
              </w:rPr>
            </w:pPr>
          </w:p>
        </w:tc>
        <w:tc>
          <w:tcPr>
            <w:tcW w:w="12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820" w:type="dxa"/>
            <w:vAlign w:val="bottom"/>
            <w:gridSpan w:val="4"/>
          </w:tcPr>
          <w:p>
            <w:pPr>
              <w:ind w:left="60"/>
              <w:spacing w:after="0"/>
              <w:rPr>
                <w:sz w:val="20"/>
                <w:szCs w:val="20"/>
                <w:color w:val="auto"/>
              </w:rPr>
            </w:pPr>
            <w:r>
              <w:rPr>
                <w:rFonts w:ascii="Arial" w:cs="Arial" w:eastAsia="Arial" w:hAnsi="Arial"/>
                <w:sz w:val="13"/>
                <w:szCs w:val="13"/>
                <w:b w:val="1"/>
                <w:bCs w:val="1"/>
                <w:color w:val="auto"/>
                <w:w w:val="96"/>
              </w:rPr>
              <w:t>With changes in other comprehensive income</w:t>
            </w:r>
          </w:p>
        </w:tc>
        <w:tc>
          <w:tcPr>
            <w:tcW w:w="1200" w:type="dxa"/>
            <w:vAlign w:val="bottom"/>
          </w:tcPr>
          <w:p>
            <w:pPr>
              <w:jc w:val="center"/>
              <w:spacing w:after="0"/>
              <w:rPr>
                <w:sz w:val="20"/>
                <w:szCs w:val="20"/>
                <w:color w:val="auto"/>
              </w:rPr>
            </w:pPr>
            <w:r>
              <w:rPr>
                <w:rFonts w:ascii="Arial" w:cs="Arial" w:eastAsia="Arial" w:hAnsi="Arial"/>
                <w:sz w:val="13"/>
                <w:szCs w:val="13"/>
                <w:b w:val="1"/>
                <w:bCs w:val="1"/>
                <w:color w:val="auto"/>
                <w:w w:val="99"/>
              </w:rPr>
              <w:t>With</w:t>
            </w:r>
          </w:p>
        </w:tc>
        <w:tc>
          <w:tcPr>
            <w:tcW w:w="200" w:type="dxa"/>
            <w:vAlign w:val="bottom"/>
          </w:tcPr>
          <w:p>
            <w:pPr>
              <w:spacing w:after="0"/>
              <w:rPr>
                <w:sz w:val="13"/>
                <w:szCs w:val="13"/>
                <w:color w:val="auto"/>
              </w:rPr>
            </w:pPr>
          </w:p>
        </w:tc>
        <w:tc>
          <w:tcPr>
            <w:tcW w:w="130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8"/>
              </w:rPr>
              <w:t>Total securities and</w:t>
            </w:r>
          </w:p>
        </w:tc>
        <w:tc>
          <w:tcPr>
            <w:tcW w:w="0" w:type="dxa"/>
            <w:vAlign w:val="bottom"/>
          </w:tcPr>
          <w:p>
            <w:pPr>
              <w:spacing w:after="0"/>
              <w:rPr>
                <w:sz w:val="1"/>
                <w:szCs w:val="1"/>
                <w:color w:val="auto"/>
              </w:rPr>
            </w:pPr>
          </w:p>
        </w:tc>
      </w:tr>
      <w:tr>
        <w:trPr>
          <w:trHeight w:val="131"/>
        </w:trPr>
        <w:tc>
          <w:tcPr>
            <w:tcW w:w="38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420" w:type="dxa"/>
            <w:vAlign w:val="bottom"/>
            <w:tcBorders>
              <w:top w:val="single" w:sz="8" w:color="auto"/>
            </w:tcBorders>
            <w:gridSpan w:val="2"/>
          </w:tcPr>
          <w:p>
            <w:pPr>
              <w:ind w:left="60"/>
              <w:spacing w:after="0" w:line="131" w:lineRule="exact"/>
              <w:rPr>
                <w:sz w:val="20"/>
                <w:szCs w:val="20"/>
                <w:color w:val="auto"/>
              </w:rPr>
            </w:pPr>
            <w:r>
              <w:rPr>
                <w:rFonts w:ascii="Arial" w:cs="Arial" w:eastAsia="Arial" w:hAnsi="Arial"/>
                <w:sz w:val="13"/>
                <w:szCs w:val="13"/>
                <w:b w:val="1"/>
                <w:bCs w:val="1"/>
                <w:color w:val="auto"/>
              </w:rPr>
              <w:t>Recyclable to profit</w:t>
            </w:r>
          </w:p>
        </w:tc>
        <w:tc>
          <w:tcPr>
            <w:tcW w:w="1180" w:type="dxa"/>
            <w:vAlign w:val="bottom"/>
            <w:tcBorders>
              <w:top w:val="single" w:sz="8" w:color="auto"/>
            </w:tcBorders>
          </w:tcPr>
          <w:p>
            <w:pPr>
              <w:jc w:val="center"/>
              <w:spacing w:after="0" w:line="131" w:lineRule="exact"/>
              <w:rPr>
                <w:sz w:val="20"/>
                <w:szCs w:val="20"/>
                <w:color w:val="auto"/>
              </w:rPr>
            </w:pPr>
            <w:r>
              <w:rPr>
                <w:rFonts w:ascii="Arial" w:cs="Arial" w:eastAsia="Arial" w:hAnsi="Arial"/>
                <w:sz w:val="13"/>
                <w:szCs w:val="13"/>
                <w:b w:val="1"/>
                <w:bCs w:val="1"/>
                <w:color w:val="auto"/>
                <w:w w:val="89"/>
              </w:rPr>
              <w:t>Non-recyclable to</w:t>
            </w:r>
          </w:p>
        </w:tc>
        <w:tc>
          <w:tcPr>
            <w:tcW w:w="220" w:type="dxa"/>
            <w:vAlign w:val="bottom"/>
          </w:tcPr>
          <w:p>
            <w:pPr>
              <w:spacing w:after="0"/>
              <w:rPr>
                <w:sz w:val="11"/>
                <w:szCs w:val="11"/>
                <w:color w:val="auto"/>
              </w:rPr>
            </w:pPr>
          </w:p>
        </w:tc>
        <w:tc>
          <w:tcPr>
            <w:tcW w:w="1400" w:type="dxa"/>
            <w:vAlign w:val="bottom"/>
            <w:gridSpan w:val="2"/>
          </w:tcPr>
          <w:p>
            <w:pPr>
              <w:jc w:val="center"/>
              <w:ind w:right="220"/>
              <w:spacing w:after="0" w:line="131" w:lineRule="exact"/>
              <w:rPr>
                <w:sz w:val="20"/>
                <w:szCs w:val="20"/>
                <w:color w:val="auto"/>
              </w:rPr>
            </w:pPr>
            <w:r>
              <w:rPr>
                <w:rFonts w:ascii="Arial" w:cs="Arial" w:eastAsia="Arial" w:hAnsi="Arial"/>
                <w:sz w:val="13"/>
                <w:szCs w:val="13"/>
                <w:b w:val="1"/>
                <w:bCs w:val="1"/>
                <w:color w:val="auto"/>
                <w:w w:val="85"/>
              </w:rPr>
              <w:t>changes in</w:t>
            </w:r>
          </w:p>
        </w:tc>
        <w:tc>
          <w:tcPr>
            <w:tcW w:w="1300" w:type="dxa"/>
            <w:vAlign w:val="bottom"/>
            <w:gridSpan w:val="2"/>
          </w:tcPr>
          <w:p>
            <w:pPr>
              <w:jc w:val="center"/>
              <w:ind w:right="100"/>
              <w:spacing w:after="0" w:line="131" w:lineRule="exact"/>
              <w:rPr>
                <w:sz w:val="20"/>
                <w:szCs w:val="20"/>
                <w:color w:val="auto"/>
              </w:rPr>
            </w:pPr>
            <w:r>
              <w:rPr>
                <w:rFonts w:ascii="Arial" w:cs="Arial" w:eastAsia="Arial" w:hAnsi="Arial"/>
                <w:sz w:val="13"/>
                <w:szCs w:val="13"/>
                <w:b w:val="1"/>
                <w:bCs w:val="1"/>
                <w:color w:val="auto"/>
                <w:w w:val="89"/>
              </w:rPr>
              <w:t>other financial</w:t>
            </w:r>
          </w:p>
        </w:tc>
        <w:tc>
          <w:tcPr>
            <w:tcW w:w="0" w:type="dxa"/>
            <w:vAlign w:val="bottom"/>
          </w:tcPr>
          <w:p>
            <w:pPr>
              <w:spacing w:after="0"/>
              <w:rPr>
                <w:sz w:val="1"/>
                <w:szCs w:val="1"/>
                <w:color w:val="auto"/>
              </w:rPr>
            </w:pPr>
          </w:p>
        </w:tc>
      </w:tr>
      <w:tr>
        <w:trPr>
          <w:trHeight w:val="167"/>
        </w:trPr>
        <w:tc>
          <w:tcPr>
            <w:tcW w:w="394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90"/>
              </w:rPr>
              <w:t>Carring amount</w:t>
            </w:r>
          </w:p>
        </w:tc>
        <w:tc>
          <w:tcPr>
            <w:tcW w:w="1440" w:type="dxa"/>
            <w:vAlign w:val="bottom"/>
            <w:gridSpan w:val="2"/>
          </w:tcPr>
          <w:p>
            <w:pPr>
              <w:jc w:val="right"/>
              <w:ind w:right="420"/>
              <w:spacing w:after="0"/>
              <w:rPr>
                <w:sz w:val="20"/>
                <w:szCs w:val="20"/>
                <w:color w:val="auto"/>
              </w:rPr>
            </w:pPr>
            <w:r>
              <w:rPr>
                <w:rFonts w:ascii="Arial" w:cs="Arial" w:eastAsia="Arial" w:hAnsi="Arial"/>
                <w:sz w:val="13"/>
                <w:szCs w:val="13"/>
                <w:b w:val="1"/>
                <w:bCs w:val="1"/>
                <w:color w:val="auto"/>
              </w:rPr>
              <w:t>Amortized cost</w:t>
            </w:r>
          </w:p>
        </w:tc>
        <w:tc>
          <w:tcPr>
            <w:tcW w:w="1420" w:type="dxa"/>
            <w:vAlign w:val="bottom"/>
            <w:gridSpan w:val="2"/>
          </w:tcPr>
          <w:p>
            <w:pPr>
              <w:ind w:left="380"/>
              <w:spacing w:after="0"/>
              <w:rPr>
                <w:sz w:val="20"/>
                <w:szCs w:val="20"/>
                <w:color w:val="auto"/>
              </w:rPr>
            </w:pPr>
            <w:r>
              <w:rPr>
                <w:rFonts w:ascii="Arial" w:cs="Arial" w:eastAsia="Arial" w:hAnsi="Arial"/>
                <w:sz w:val="13"/>
                <w:szCs w:val="13"/>
                <w:b w:val="1"/>
                <w:bCs w:val="1"/>
                <w:color w:val="auto"/>
              </w:rPr>
              <w:t>and loss</w:t>
            </w:r>
          </w:p>
        </w:tc>
        <w:tc>
          <w:tcPr>
            <w:tcW w:w="14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7"/>
              </w:rPr>
              <w:t>profit and loss</w:t>
            </w:r>
          </w:p>
        </w:tc>
        <w:tc>
          <w:tcPr>
            <w:tcW w:w="14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8"/>
              </w:rPr>
              <w:t>profit or loss</w:t>
            </w:r>
          </w:p>
        </w:tc>
        <w:tc>
          <w:tcPr>
            <w:tcW w:w="130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3"/>
              </w:rPr>
              <w:t>assets, net</w:t>
            </w:r>
          </w:p>
        </w:tc>
        <w:tc>
          <w:tcPr>
            <w:tcW w:w="0" w:type="dxa"/>
            <w:vAlign w:val="bottom"/>
          </w:tcPr>
          <w:p>
            <w:pPr>
              <w:spacing w:after="0"/>
              <w:rPr>
                <w:sz w:val="1"/>
                <w:szCs w:val="1"/>
                <w:color w:val="auto"/>
              </w:rPr>
            </w:pPr>
          </w:p>
        </w:tc>
      </w:tr>
      <w:tr>
        <w:trPr>
          <w:trHeight w:val="144"/>
        </w:trPr>
        <w:tc>
          <w:tcPr>
            <w:tcW w:w="3820" w:type="dxa"/>
            <w:vAlign w:val="bottom"/>
            <w:tcBorders>
              <w:top w:val="single" w:sz="8" w:color="auto"/>
            </w:tcBorders>
            <w:shd w:val="clear" w:color="auto" w:fill="CCEEFF"/>
          </w:tcPr>
          <w:p>
            <w:pPr>
              <w:spacing w:after="0" w:line="144" w:lineRule="exact"/>
              <w:rPr>
                <w:sz w:val="20"/>
                <w:szCs w:val="20"/>
                <w:color w:val="auto"/>
              </w:rPr>
            </w:pPr>
            <w:r>
              <w:rPr>
                <w:rFonts w:ascii="Arial" w:cs="Arial" w:eastAsia="Arial" w:hAnsi="Arial"/>
                <w:sz w:val="13"/>
                <w:szCs w:val="13"/>
                <w:color w:val="auto"/>
              </w:rPr>
              <w:t>Principal</w:t>
            </w:r>
          </w:p>
        </w:tc>
        <w:tc>
          <w:tcPr>
            <w:tcW w:w="12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85,326</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21,798</w:t>
            </w: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6,273</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8,750</w:t>
            </w: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122,147</w:t>
            </w:r>
          </w:p>
        </w:tc>
        <w:tc>
          <w:tcPr>
            <w:tcW w:w="100" w:type="dxa"/>
            <w:vAlign w:val="bottom"/>
            <w:tcBorders>
              <w:top w:val="single" w:sz="8" w:color="CCEEFF"/>
              <w:left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3940" w:type="dxa"/>
            <w:vAlign w:val="bottom"/>
            <w:gridSpan w:val="2"/>
          </w:tcPr>
          <w:p>
            <w:pPr>
              <w:spacing w:after="0"/>
              <w:rPr>
                <w:sz w:val="20"/>
                <w:szCs w:val="20"/>
                <w:color w:val="auto"/>
              </w:rPr>
            </w:pPr>
            <w:r>
              <w:rPr>
                <w:rFonts w:ascii="Arial" w:cs="Arial" w:eastAsia="Arial" w:hAnsi="Arial"/>
                <w:sz w:val="13"/>
                <w:szCs w:val="13"/>
                <w:color w:val="auto"/>
              </w:rPr>
              <w:t>Interest receivable</w:t>
            </w:r>
          </w:p>
        </w:tc>
        <w:tc>
          <w:tcPr>
            <w:tcW w:w="1220" w:type="dxa"/>
            <w:vAlign w:val="bottom"/>
          </w:tcPr>
          <w:p>
            <w:pPr>
              <w:jc w:val="right"/>
              <w:spacing w:after="0"/>
              <w:rPr>
                <w:sz w:val="20"/>
                <w:szCs w:val="20"/>
                <w:color w:val="auto"/>
              </w:rPr>
            </w:pPr>
            <w:r>
              <w:rPr>
                <w:rFonts w:ascii="Arial" w:cs="Arial" w:eastAsia="Arial" w:hAnsi="Arial"/>
                <w:sz w:val="13"/>
                <w:szCs w:val="13"/>
                <w:color w:val="auto"/>
              </w:rPr>
              <w:t>1,140</w:t>
            </w:r>
          </w:p>
        </w:tc>
        <w:tc>
          <w:tcPr>
            <w:tcW w:w="220" w:type="dxa"/>
            <w:vAlign w:val="bottom"/>
          </w:tcPr>
          <w:p>
            <w:pPr>
              <w:spacing w:after="0"/>
              <w:rPr>
                <w:sz w:val="13"/>
                <w:szCs w:val="13"/>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451</w:t>
            </w:r>
          </w:p>
        </w:tc>
        <w:tc>
          <w:tcPr>
            <w:tcW w:w="11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1,591</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39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Reserves</w:t>
            </w:r>
          </w:p>
        </w:tc>
        <w:tc>
          <w:tcPr>
            <w:tcW w:w="144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(140)</w:t>
            </w: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4"/>
                <w:szCs w:val="14"/>
                <w:color w:val="auto"/>
              </w:rPr>
            </w:pPr>
          </w:p>
        </w:tc>
        <w:tc>
          <w:tcPr>
            <w:tcW w:w="13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(140)</w:t>
            </w:r>
          </w:p>
        </w:tc>
        <w:tc>
          <w:tcPr>
            <w:tcW w:w="0" w:type="dxa"/>
            <w:vAlign w:val="bottom"/>
          </w:tcPr>
          <w:p>
            <w:pPr>
              <w:spacing w:after="0"/>
              <w:rPr>
                <w:sz w:val="1"/>
                <w:szCs w:val="1"/>
                <w:color w:val="auto"/>
              </w:rPr>
            </w:pPr>
          </w:p>
        </w:tc>
      </w:tr>
      <w:tr>
        <w:trPr>
          <w:trHeight w:val="20"/>
        </w:trPr>
        <w:tc>
          <w:tcPr>
            <w:tcW w:w="38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62"/>
        </w:trPr>
        <w:tc>
          <w:tcPr>
            <w:tcW w:w="38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220" w:type="dxa"/>
            <w:vAlign w:val="bottom"/>
          </w:tcPr>
          <w:p>
            <w:pPr>
              <w:jc w:val="right"/>
              <w:spacing w:after="0"/>
              <w:rPr>
                <w:sz w:val="20"/>
                <w:szCs w:val="20"/>
                <w:color w:val="auto"/>
              </w:rPr>
            </w:pPr>
            <w:r>
              <w:rPr>
                <w:rFonts w:ascii="Arial" w:cs="Arial" w:eastAsia="Arial" w:hAnsi="Arial"/>
                <w:sz w:val="13"/>
                <w:szCs w:val="13"/>
                <w:color w:val="auto"/>
              </w:rPr>
              <w:t>86,326</w:t>
            </w:r>
          </w:p>
        </w:tc>
        <w:tc>
          <w:tcPr>
            <w:tcW w:w="220" w:type="dxa"/>
            <w:vAlign w:val="bottom"/>
          </w:tcPr>
          <w:p>
            <w:pPr>
              <w:spacing w:after="0"/>
              <w:rPr>
                <w:sz w:val="14"/>
                <w:szCs w:val="14"/>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22,249</w:t>
            </w:r>
          </w:p>
        </w:tc>
        <w:tc>
          <w:tcPr>
            <w:tcW w:w="1180" w:type="dxa"/>
            <w:vAlign w:val="bottom"/>
          </w:tcPr>
          <w:p>
            <w:pPr>
              <w:jc w:val="right"/>
              <w:spacing w:after="0"/>
              <w:rPr>
                <w:sz w:val="20"/>
                <w:szCs w:val="20"/>
                <w:color w:val="auto"/>
              </w:rPr>
            </w:pPr>
            <w:r>
              <w:rPr>
                <w:rFonts w:ascii="Arial" w:cs="Arial" w:eastAsia="Arial" w:hAnsi="Arial"/>
                <w:sz w:val="13"/>
                <w:szCs w:val="13"/>
                <w:color w:val="auto"/>
              </w:rPr>
              <w:t>6,273</w:t>
            </w:r>
          </w:p>
        </w:tc>
        <w:tc>
          <w:tcPr>
            <w:tcW w:w="220" w:type="dxa"/>
            <w:vAlign w:val="bottom"/>
          </w:tcPr>
          <w:p>
            <w:pPr>
              <w:spacing w:after="0"/>
              <w:rPr>
                <w:sz w:val="14"/>
                <w:szCs w:val="14"/>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8,750</w:t>
            </w:r>
          </w:p>
        </w:tc>
        <w:tc>
          <w:tcPr>
            <w:tcW w:w="200" w:type="dxa"/>
            <w:vAlign w:val="bottom"/>
          </w:tcPr>
          <w:p>
            <w:pPr>
              <w:spacing w:after="0"/>
              <w:rPr>
                <w:sz w:val="14"/>
                <w:szCs w:val="14"/>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123,598</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17"/>
        </w:trPr>
        <w:tc>
          <w:tcPr>
            <w:tcW w:w="3940" w:type="dxa"/>
            <w:vAlign w:val="bottom"/>
            <w:gridSpan w:val="2"/>
            <w:vMerge w:val="restart"/>
          </w:tcPr>
          <w:p>
            <w:pPr>
              <w:jc w:val="center"/>
              <w:ind w:right="100"/>
              <w:spacing w:after="0"/>
              <w:rPr>
                <w:sz w:val="20"/>
                <w:szCs w:val="20"/>
                <w:color w:val="auto"/>
              </w:rPr>
            </w:pPr>
            <w:r>
              <w:rPr>
                <w:rFonts w:ascii="Arial" w:cs="Arial" w:eastAsia="Arial" w:hAnsi="Arial"/>
                <w:sz w:val="13"/>
                <w:szCs w:val="13"/>
                <w:b w:val="1"/>
                <w:bCs w:val="1"/>
                <w:color w:val="auto"/>
                <w:w w:val="89"/>
              </w:rPr>
              <w:t>At December 31, 2017</w:t>
            </w:r>
          </w:p>
        </w:tc>
        <w:tc>
          <w:tcPr>
            <w:tcW w:w="1220" w:type="dxa"/>
            <w:vAlign w:val="bottom"/>
            <w:tcBorders>
              <w:top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Borders>
              <w:top w:val="single" w:sz="8" w:color="auto"/>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top w:val="single" w:sz="8" w:color="auto"/>
              <w:bottom w:val="single" w:sz="8" w:color="auto"/>
            </w:tcBorders>
          </w:tcPr>
          <w:p>
            <w:pPr>
              <w:jc w:val="center"/>
              <w:spacing w:after="0"/>
              <w:rPr>
                <w:sz w:val="20"/>
                <w:szCs w:val="20"/>
                <w:color w:val="auto"/>
              </w:rPr>
            </w:pPr>
            <w:r>
              <w:rPr>
                <w:rFonts w:ascii="Arial" w:cs="Arial" w:eastAsia="Arial" w:hAnsi="Arial"/>
                <w:sz w:val="13"/>
                <w:szCs w:val="13"/>
                <w:b w:val="1"/>
                <w:bCs w:val="1"/>
                <w:color w:val="auto"/>
                <w:w w:val="94"/>
              </w:rPr>
              <w:t>At fair value</w:t>
            </w:r>
          </w:p>
        </w:tc>
        <w:tc>
          <w:tcPr>
            <w:tcW w:w="220" w:type="dxa"/>
            <w:vAlign w:val="bottom"/>
            <w:tcBorders>
              <w:bottom w:val="single" w:sz="8" w:color="auto"/>
            </w:tcBorders>
          </w:tcPr>
          <w:p>
            <w:pPr>
              <w:spacing w:after="0"/>
              <w:rPr>
                <w:sz w:val="24"/>
                <w:szCs w:val="24"/>
                <w:color w:val="auto"/>
              </w:rPr>
            </w:pPr>
          </w:p>
        </w:tc>
        <w:tc>
          <w:tcPr>
            <w:tcW w:w="1200" w:type="dxa"/>
            <w:vAlign w:val="bottom"/>
            <w:tcBorders>
              <w:top w:val="single" w:sz="8" w:color="auto"/>
              <w:bottom w:val="single" w:sz="8" w:color="auto"/>
            </w:tcBorders>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Borders>
              <w:top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4"/>
        </w:trPr>
        <w:tc>
          <w:tcPr>
            <w:tcW w:w="3940" w:type="dxa"/>
            <w:vAlign w:val="bottom"/>
            <w:gridSpan w:val="2"/>
            <w:vMerge w:val="continue"/>
          </w:tcPr>
          <w:p>
            <w:pPr>
              <w:spacing w:after="0"/>
              <w:rPr>
                <w:sz w:val="13"/>
                <w:szCs w:val="13"/>
                <w:color w:val="auto"/>
              </w:rPr>
            </w:pPr>
          </w:p>
        </w:tc>
        <w:tc>
          <w:tcPr>
            <w:tcW w:w="12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820" w:type="dxa"/>
            <w:vAlign w:val="bottom"/>
            <w:gridSpan w:val="4"/>
          </w:tcPr>
          <w:p>
            <w:pPr>
              <w:ind w:left="60"/>
              <w:spacing w:after="0"/>
              <w:rPr>
                <w:sz w:val="20"/>
                <w:szCs w:val="20"/>
                <w:color w:val="auto"/>
              </w:rPr>
            </w:pPr>
            <w:r>
              <w:rPr>
                <w:rFonts w:ascii="Arial" w:cs="Arial" w:eastAsia="Arial" w:hAnsi="Arial"/>
                <w:sz w:val="13"/>
                <w:szCs w:val="13"/>
                <w:b w:val="1"/>
                <w:bCs w:val="1"/>
                <w:color w:val="auto"/>
                <w:w w:val="96"/>
              </w:rPr>
              <w:t>With changes in other comprehensive income</w:t>
            </w:r>
          </w:p>
        </w:tc>
        <w:tc>
          <w:tcPr>
            <w:tcW w:w="1200" w:type="dxa"/>
            <w:vAlign w:val="bottom"/>
          </w:tcPr>
          <w:p>
            <w:pPr>
              <w:jc w:val="center"/>
              <w:spacing w:after="0"/>
              <w:rPr>
                <w:sz w:val="20"/>
                <w:szCs w:val="20"/>
                <w:color w:val="auto"/>
              </w:rPr>
            </w:pPr>
            <w:r>
              <w:rPr>
                <w:rFonts w:ascii="Arial" w:cs="Arial" w:eastAsia="Arial" w:hAnsi="Arial"/>
                <w:sz w:val="13"/>
                <w:szCs w:val="13"/>
                <w:b w:val="1"/>
                <w:bCs w:val="1"/>
                <w:color w:val="auto"/>
                <w:w w:val="99"/>
              </w:rPr>
              <w:t>With</w:t>
            </w:r>
          </w:p>
        </w:tc>
        <w:tc>
          <w:tcPr>
            <w:tcW w:w="200" w:type="dxa"/>
            <w:vAlign w:val="bottom"/>
          </w:tcPr>
          <w:p>
            <w:pPr>
              <w:spacing w:after="0"/>
              <w:rPr>
                <w:sz w:val="13"/>
                <w:szCs w:val="13"/>
                <w:color w:val="auto"/>
              </w:rPr>
            </w:pPr>
          </w:p>
        </w:tc>
        <w:tc>
          <w:tcPr>
            <w:tcW w:w="130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8"/>
              </w:rPr>
              <w:t>Total securities and</w:t>
            </w:r>
          </w:p>
        </w:tc>
        <w:tc>
          <w:tcPr>
            <w:tcW w:w="0" w:type="dxa"/>
            <w:vAlign w:val="bottom"/>
          </w:tcPr>
          <w:p>
            <w:pPr>
              <w:spacing w:after="0"/>
              <w:rPr>
                <w:sz w:val="1"/>
                <w:szCs w:val="1"/>
                <w:color w:val="auto"/>
              </w:rPr>
            </w:pPr>
          </w:p>
        </w:tc>
      </w:tr>
      <w:tr>
        <w:trPr>
          <w:trHeight w:val="131"/>
        </w:trPr>
        <w:tc>
          <w:tcPr>
            <w:tcW w:w="38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420" w:type="dxa"/>
            <w:vAlign w:val="bottom"/>
            <w:tcBorders>
              <w:top w:val="single" w:sz="8" w:color="auto"/>
            </w:tcBorders>
            <w:gridSpan w:val="2"/>
          </w:tcPr>
          <w:p>
            <w:pPr>
              <w:ind w:left="60"/>
              <w:spacing w:after="0" w:line="131" w:lineRule="exact"/>
              <w:rPr>
                <w:sz w:val="20"/>
                <w:szCs w:val="20"/>
                <w:color w:val="auto"/>
              </w:rPr>
            </w:pPr>
            <w:r>
              <w:rPr>
                <w:rFonts w:ascii="Arial" w:cs="Arial" w:eastAsia="Arial" w:hAnsi="Arial"/>
                <w:sz w:val="13"/>
                <w:szCs w:val="13"/>
                <w:b w:val="1"/>
                <w:bCs w:val="1"/>
                <w:color w:val="auto"/>
              </w:rPr>
              <w:t>Recyclable to profit</w:t>
            </w:r>
          </w:p>
        </w:tc>
        <w:tc>
          <w:tcPr>
            <w:tcW w:w="1180" w:type="dxa"/>
            <w:vAlign w:val="bottom"/>
            <w:tcBorders>
              <w:top w:val="single" w:sz="8" w:color="auto"/>
            </w:tcBorders>
          </w:tcPr>
          <w:p>
            <w:pPr>
              <w:jc w:val="center"/>
              <w:spacing w:after="0" w:line="131" w:lineRule="exact"/>
              <w:rPr>
                <w:sz w:val="20"/>
                <w:szCs w:val="20"/>
                <w:color w:val="auto"/>
              </w:rPr>
            </w:pPr>
            <w:r>
              <w:rPr>
                <w:rFonts w:ascii="Arial" w:cs="Arial" w:eastAsia="Arial" w:hAnsi="Arial"/>
                <w:sz w:val="13"/>
                <w:szCs w:val="13"/>
                <w:b w:val="1"/>
                <w:bCs w:val="1"/>
                <w:color w:val="auto"/>
                <w:w w:val="89"/>
              </w:rPr>
              <w:t>Non-recyclable to</w:t>
            </w:r>
          </w:p>
        </w:tc>
        <w:tc>
          <w:tcPr>
            <w:tcW w:w="220" w:type="dxa"/>
            <w:vAlign w:val="bottom"/>
          </w:tcPr>
          <w:p>
            <w:pPr>
              <w:spacing w:after="0"/>
              <w:rPr>
                <w:sz w:val="11"/>
                <w:szCs w:val="11"/>
                <w:color w:val="auto"/>
              </w:rPr>
            </w:pPr>
          </w:p>
        </w:tc>
        <w:tc>
          <w:tcPr>
            <w:tcW w:w="1400" w:type="dxa"/>
            <w:vAlign w:val="bottom"/>
            <w:gridSpan w:val="2"/>
          </w:tcPr>
          <w:p>
            <w:pPr>
              <w:jc w:val="center"/>
              <w:ind w:right="220"/>
              <w:spacing w:after="0" w:line="131" w:lineRule="exact"/>
              <w:rPr>
                <w:sz w:val="20"/>
                <w:szCs w:val="20"/>
                <w:color w:val="auto"/>
              </w:rPr>
            </w:pPr>
            <w:r>
              <w:rPr>
                <w:rFonts w:ascii="Arial" w:cs="Arial" w:eastAsia="Arial" w:hAnsi="Arial"/>
                <w:sz w:val="13"/>
                <w:szCs w:val="13"/>
                <w:b w:val="1"/>
                <w:bCs w:val="1"/>
                <w:color w:val="auto"/>
                <w:w w:val="85"/>
              </w:rPr>
              <w:t>changes in</w:t>
            </w:r>
          </w:p>
        </w:tc>
        <w:tc>
          <w:tcPr>
            <w:tcW w:w="1300" w:type="dxa"/>
            <w:vAlign w:val="bottom"/>
            <w:gridSpan w:val="2"/>
          </w:tcPr>
          <w:p>
            <w:pPr>
              <w:jc w:val="center"/>
              <w:ind w:right="100"/>
              <w:spacing w:after="0" w:line="131" w:lineRule="exact"/>
              <w:rPr>
                <w:sz w:val="20"/>
                <w:szCs w:val="20"/>
                <w:color w:val="auto"/>
              </w:rPr>
            </w:pPr>
            <w:r>
              <w:rPr>
                <w:rFonts w:ascii="Arial" w:cs="Arial" w:eastAsia="Arial" w:hAnsi="Arial"/>
                <w:sz w:val="13"/>
                <w:szCs w:val="13"/>
                <w:b w:val="1"/>
                <w:bCs w:val="1"/>
                <w:color w:val="auto"/>
                <w:w w:val="89"/>
              </w:rPr>
              <w:t>other financial</w:t>
            </w:r>
          </w:p>
        </w:tc>
        <w:tc>
          <w:tcPr>
            <w:tcW w:w="0" w:type="dxa"/>
            <w:vAlign w:val="bottom"/>
          </w:tcPr>
          <w:p>
            <w:pPr>
              <w:spacing w:after="0"/>
              <w:rPr>
                <w:sz w:val="1"/>
                <w:szCs w:val="1"/>
                <w:color w:val="auto"/>
              </w:rPr>
            </w:pPr>
          </w:p>
        </w:tc>
      </w:tr>
      <w:tr>
        <w:trPr>
          <w:trHeight w:val="167"/>
        </w:trPr>
        <w:tc>
          <w:tcPr>
            <w:tcW w:w="394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90"/>
              </w:rPr>
              <w:t>Carring amount</w:t>
            </w:r>
          </w:p>
        </w:tc>
        <w:tc>
          <w:tcPr>
            <w:tcW w:w="1440" w:type="dxa"/>
            <w:vAlign w:val="bottom"/>
            <w:gridSpan w:val="2"/>
          </w:tcPr>
          <w:p>
            <w:pPr>
              <w:jc w:val="right"/>
              <w:ind w:right="420"/>
              <w:spacing w:after="0"/>
              <w:rPr>
                <w:sz w:val="20"/>
                <w:szCs w:val="20"/>
                <w:color w:val="auto"/>
              </w:rPr>
            </w:pPr>
            <w:r>
              <w:rPr>
                <w:rFonts w:ascii="Arial" w:cs="Arial" w:eastAsia="Arial" w:hAnsi="Arial"/>
                <w:sz w:val="13"/>
                <w:szCs w:val="13"/>
                <w:b w:val="1"/>
                <w:bCs w:val="1"/>
                <w:color w:val="auto"/>
              </w:rPr>
              <w:t>Amortized cost</w:t>
            </w:r>
          </w:p>
        </w:tc>
        <w:tc>
          <w:tcPr>
            <w:tcW w:w="1420" w:type="dxa"/>
            <w:vAlign w:val="bottom"/>
            <w:gridSpan w:val="2"/>
          </w:tcPr>
          <w:p>
            <w:pPr>
              <w:ind w:left="380"/>
              <w:spacing w:after="0"/>
              <w:rPr>
                <w:sz w:val="20"/>
                <w:szCs w:val="20"/>
                <w:color w:val="auto"/>
              </w:rPr>
            </w:pPr>
            <w:r>
              <w:rPr>
                <w:rFonts w:ascii="Arial" w:cs="Arial" w:eastAsia="Arial" w:hAnsi="Arial"/>
                <w:sz w:val="13"/>
                <w:szCs w:val="13"/>
                <w:b w:val="1"/>
                <w:bCs w:val="1"/>
                <w:color w:val="auto"/>
              </w:rPr>
              <w:t>and loss</w:t>
            </w:r>
          </w:p>
        </w:tc>
        <w:tc>
          <w:tcPr>
            <w:tcW w:w="14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7"/>
              </w:rPr>
              <w:t>profit and loss</w:t>
            </w:r>
          </w:p>
        </w:tc>
        <w:tc>
          <w:tcPr>
            <w:tcW w:w="14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8"/>
              </w:rPr>
              <w:t>profit or loss</w:t>
            </w:r>
          </w:p>
        </w:tc>
        <w:tc>
          <w:tcPr>
            <w:tcW w:w="130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3"/>
              </w:rPr>
              <w:t>assets, net</w:t>
            </w:r>
          </w:p>
        </w:tc>
        <w:tc>
          <w:tcPr>
            <w:tcW w:w="0" w:type="dxa"/>
            <w:vAlign w:val="bottom"/>
          </w:tcPr>
          <w:p>
            <w:pPr>
              <w:spacing w:after="0"/>
              <w:rPr>
                <w:sz w:val="1"/>
                <w:szCs w:val="1"/>
                <w:color w:val="auto"/>
              </w:rPr>
            </w:pPr>
          </w:p>
        </w:tc>
      </w:tr>
      <w:tr>
        <w:trPr>
          <w:trHeight w:val="144"/>
        </w:trPr>
        <w:tc>
          <w:tcPr>
            <w:tcW w:w="3820" w:type="dxa"/>
            <w:vAlign w:val="bottom"/>
            <w:tcBorders>
              <w:top w:val="single" w:sz="8" w:color="auto"/>
            </w:tcBorders>
            <w:shd w:val="clear" w:color="auto" w:fill="CCEEFF"/>
          </w:tcPr>
          <w:p>
            <w:pPr>
              <w:spacing w:after="0" w:line="144" w:lineRule="exact"/>
              <w:rPr>
                <w:sz w:val="20"/>
                <w:szCs w:val="20"/>
                <w:color w:val="auto"/>
              </w:rPr>
            </w:pPr>
            <w:r>
              <w:rPr>
                <w:rFonts w:ascii="Arial" w:cs="Arial" w:eastAsia="Arial" w:hAnsi="Arial"/>
                <w:sz w:val="13"/>
                <w:szCs w:val="13"/>
                <w:color w:val="auto"/>
              </w:rPr>
              <w:t>Principal</w:t>
            </w:r>
          </w:p>
        </w:tc>
        <w:tc>
          <w:tcPr>
            <w:tcW w:w="12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69,130</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16,733</w:t>
            </w: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8,402</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94,265</w:t>
            </w:r>
          </w:p>
        </w:tc>
        <w:tc>
          <w:tcPr>
            <w:tcW w:w="100" w:type="dxa"/>
            <w:vAlign w:val="bottom"/>
            <w:tcBorders>
              <w:top w:val="single" w:sz="8" w:color="CCEEFF"/>
              <w:left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3940" w:type="dxa"/>
            <w:vAlign w:val="bottom"/>
            <w:gridSpan w:val="2"/>
          </w:tcPr>
          <w:p>
            <w:pPr>
              <w:spacing w:after="0"/>
              <w:rPr>
                <w:sz w:val="20"/>
                <w:szCs w:val="20"/>
                <w:color w:val="auto"/>
              </w:rPr>
            </w:pPr>
            <w:r>
              <w:rPr>
                <w:rFonts w:ascii="Arial" w:cs="Arial" w:eastAsia="Arial" w:hAnsi="Arial"/>
                <w:sz w:val="13"/>
                <w:szCs w:val="13"/>
                <w:color w:val="auto"/>
              </w:rPr>
              <w:t>Interest receivable</w:t>
            </w:r>
          </w:p>
        </w:tc>
        <w:tc>
          <w:tcPr>
            <w:tcW w:w="1220" w:type="dxa"/>
            <w:vAlign w:val="bottom"/>
          </w:tcPr>
          <w:p>
            <w:pPr>
              <w:jc w:val="right"/>
              <w:spacing w:after="0"/>
              <w:rPr>
                <w:sz w:val="20"/>
                <w:szCs w:val="20"/>
                <w:color w:val="auto"/>
              </w:rPr>
            </w:pPr>
            <w:r>
              <w:rPr>
                <w:rFonts w:ascii="Arial" w:cs="Arial" w:eastAsia="Arial" w:hAnsi="Arial"/>
                <w:sz w:val="13"/>
                <w:szCs w:val="13"/>
                <w:color w:val="auto"/>
              </w:rPr>
              <w:t>1,040</w:t>
            </w:r>
          </w:p>
        </w:tc>
        <w:tc>
          <w:tcPr>
            <w:tcW w:w="220" w:type="dxa"/>
            <w:vAlign w:val="bottom"/>
          </w:tcPr>
          <w:p>
            <w:pPr>
              <w:spacing w:after="0"/>
              <w:rPr>
                <w:sz w:val="13"/>
                <w:szCs w:val="13"/>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375</w:t>
            </w:r>
          </w:p>
        </w:tc>
        <w:tc>
          <w:tcPr>
            <w:tcW w:w="11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1,415</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39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Reserves</w:t>
            </w:r>
          </w:p>
        </w:tc>
        <w:tc>
          <w:tcPr>
            <w:tcW w:w="144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(196)</w:t>
            </w: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4"/>
                <w:szCs w:val="14"/>
                <w:color w:val="auto"/>
              </w:rPr>
            </w:pPr>
          </w:p>
        </w:tc>
        <w:tc>
          <w:tcPr>
            <w:tcW w:w="13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(196)</w:t>
            </w:r>
          </w:p>
        </w:tc>
        <w:tc>
          <w:tcPr>
            <w:tcW w:w="0" w:type="dxa"/>
            <w:vAlign w:val="bottom"/>
          </w:tcPr>
          <w:p>
            <w:pPr>
              <w:spacing w:after="0"/>
              <w:rPr>
                <w:sz w:val="1"/>
                <w:szCs w:val="1"/>
                <w:color w:val="auto"/>
              </w:rPr>
            </w:pPr>
          </w:p>
        </w:tc>
      </w:tr>
      <w:tr>
        <w:trPr>
          <w:trHeight w:val="20"/>
        </w:trPr>
        <w:tc>
          <w:tcPr>
            <w:tcW w:w="38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3"/>
        </w:trPr>
        <w:tc>
          <w:tcPr>
            <w:tcW w:w="38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20" w:type="dxa"/>
            <w:vAlign w:val="bottom"/>
          </w:tcPr>
          <w:p>
            <w:pPr>
              <w:jc w:val="right"/>
              <w:spacing w:after="0"/>
              <w:rPr>
                <w:sz w:val="20"/>
                <w:szCs w:val="20"/>
                <w:color w:val="auto"/>
              </w:rPr>
            </w:pPr>
            <w:r>
              <w:rPr>
                <w:rFonts w:ascii="Arial" w:cs="Arial" w:eastAsia="Arial" w:hAnsi="Arial"/>
                <w:sz w:val="13"/>
                <w:szCs w:val="13"/>
                <w:color w:val="auto"/>
              </w:rPr>
              <w:t>69,974</w:t>
            </w:r>
          </w:p>
        </w:tc>
        <w:tc>
          <w:tcPr>
            <w:tcW w:w="220" w:type="dxa"/>
            <w:vAlign w:val="bottom"/>
          </w:tcPr>
          <w:p>
            <w:pPr>
              <w:spacing w:after="0"/>
              <w:rPr>
                <w:sz w:val="13"/>
                <w:szCs w:val="13"/>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17,108</w:t>
            </w:r>
          </w:p>
        </w:tc>
        <w:tc>
          <w:tcPr>
            <w:tcW w:w="1180" w:type="dxa"/>
            <w:vAlign w:val="bottom"/>
          </w:tcPr>
          <w:p>
            <w:pPr>
              <w:jc w:val="right"/>
              <w:spacing w:after="0"/>
              <w:rPr>
                <w:sz w:val="20"/>
                <w:szCs w:val="20"/>
                <w:color w:val="auto"/>
              </w:rPr>
            </w:pPr>
            <w:r>
              <w:rPr>
                <w:rFonts w:ascii="Arial" w:cs="Arial" w:eastAsia="Arial" w:hAnsi="Arial"/>
                <w:sz w:val="13"/>
                <w:szCs w:val="13"/>
                <w:color w:val="auto"/>
              </w:rPr>
              <w:t>8,402</w:t>
            </w:r>
          </w:p>
        </w:tc>
        <w:tc>
          <w:tcPr>
            <w:tcW w:w="220" w:type="dxa"/>
            <w:vAlign w:val="bottom"/>
          </w:tcPr>
          <w:p>
            <w:pPr>
              <w:spacing w:after="0"/>
              <w:rPr>
                <w:sz w:val="13"/>
                <w:szCs w:val="13"/>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95,484</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9"/>
        </w:trPr>
        <w:tc>
          <w:tcPr>
            <w:tcW w:w="3820" w:type="dxa"/>
            <w:vAlign w:val="bottom"/>
          </w:tcPr>
          <w:p>
            <w:pPr>
              <w:spacing w:after="0"/>
              <w:rPr>
                <w:sz w:val="2"/>
                <w:szCs w:val="2"/>
                <w:color w:val="auto"/>
              </w:rPr>
            </w:pPr>
          </w:p>
        </w:tc>
        <w:tc>
          <w:tcPr>
            <w:tcW w:w="120" w:type="dxa"/>
            <w:vAlign w:val="bottom"/>
          </w:tcPr>
          <w:p>
            <w:pPr>
              <w:spacing w:after="0"/>
              <w:rPr>
                <w:sz w:val="2"/>
                <w:szCs w:val="2"/>
                <w:color w:val="auto"/>
              </w:rPr>
            </w:pPr>
          </w:p>
        </w:tc>
        <w:tc>
          <w:tcPr>
            <w:tcW w:w="122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18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200" w:type="dxa"/>
            <w:vAlign w:val="bottom"/>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100" w:type="dxa"/>
            <w:vAlign w:val="bottom"/>
            <w:tcBorders>
              <w:left w:val="single" w:sz="8" w:color="auto"/>
            </w:tcBorders>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141" w:lineRule="exact"/>
        <w:rPr>
          <w:sz w:val="20"/>
          <w:szCs w:val="20"/>
          <w:color w:val="auto"/>
        </w:rPr>
      </w:pPr>
    </w:p>
    <w:p>
      <w:pPr>
        <w:ind w:left="223"/>
        <w:spacing w:after="0"/>
        <w:rPr>
          <w:sz w:val="20"/>
          <w:szCs w:val="20"/>
          <w:color w:val="auto"/>
        </w:rPr>
      </w:pPr>
      <w:r>
        <w:rPr>
          <w:rFonts w:ascii="Arial" w:cs="Arial" w:eastAsia="Arial" w:hAnsi="Arial"/>
          <w:sz w:val="13"/>
          <w:szCs w:val="13"/>
          <w:b w:val="1"/>
          <w:bCs w:val="1"/>
          <w:color w:val="auto"/>
        </w:rPr>
        <w:t>Securities at amortized cost</w:t>
      </w:r>
    </w:p>
    <w:p>
      <w:pPr>
        <w:spacing w:after="0" w:line="163" w:lineRule="exact"/>
        <w:rPr>
          <w:sz w:val="20"/>
          <w:szCs w:val="20"/>
          <w:color w:val="auto"/>
        </w:rPr>
      </w:pPr>
    </w:p>
    <w:p>
      <w:pPr>
        <w:ind w:left="223"/>
        <w:spacing w:after="0"/>
        <w:rPr>
          <w:sz w:val="20"/>
          <w:szCs w:val="20"/>
          <w:color w:val="auto"/>
        </w:rPr>
      </w:pPr>
      <w:r>
        <w:rPr>
          <w:rFonts w:ascii="Arial" w:cs="Arial" w:eastAsia="Arial" w:hAnsi="Arial"/>
          <w:sz w:val="13"/>
          <w:szCs w:val="13"/>
          <w:color w:val="auto"/>
        </w:rPr>
        <w:t>The amortized cost of these securities by country risk and type of debt, excluding the amounts of interest receivable and allowance for expected credit losses are as follows:</w:t>
      </w:r>
    </w:p>
    <w:p>
      <w:pPr>
        <w:spacing w:after="0" w:line="155" w:lineRule="exact"/>
        <w:rPr>
          <w:sz w:val="20"/>
          <w:szCs w:val="20"/>
          <w:color w:val="auto"/>
        </w:rPr>
      </w:pPr>
    </w:p>
    <w:tbl>
      <w:tblPr>
        <w:tblLayout w:type="fixed"/>
        <w:tblInd w:w="1143" w:type="dxa"/>
        <w:tblCellMar>
          <w:top w:w="0" w:type="dxa"/>
          <w:left w:w="0" w:type="dxa"/>
          <w:bottom w:w="0" w:type="dxa"/>
          <w:right w:w="0" w:type="dxa"/>
        </w:tblCellMar>
      </w:tblPr>
      <w:tr>
        <w:trPr>
          <w:trHeight w:val="154"/>
        </w:trPr>
        <w:tc>
          <w:tcPr>
            <w:tcW w:w="20" w:type="dxa"/>
            <w:vAlign w:val="bottom"/>
          </w:tcPr>
          <w:p>
            <w:pPr>
              <w:spacing w:after="0"/>
              <w:rPr>
                <w:sz w:val="13"/>
                <w:szCs w:val="13"/>
                <w:color w:val="auto"/>
              </w:rPr>
            </w:pPr>
          </w:p>
        </w:tc>
        <w:tc>
          <w:tcPr>
            <w:tcW w:w="6880" w:type="dxa"/>
            <w:vAlign w:val="bottom"/>
          </w:tcPr>
          <w:p>
            <w:pPr>
              <w:spacing w:after="0"/>
              <w:rPr>
                <w:sz w:val="13"/>
                <w:szCs w:val="13"/>
                <w:color w:val="auto"/>
              </w:rPr>
            </w:pPr>
          </w:p>
        </w:tc>
        <w:tc>
          <w:tcPr>
            <w:tcW w:w="1200" w:type="dxa"/>
            <w:vAlign w:val="bottom"/>
            <w:gridSpan w:val="2"/>
          </w:tcPr>
          <w:p>
            <w:pPr>
              <w:ind w:left="140"/>
              <w:spacing w:after="0"/>
              <w:rPr>
                <w:sz w:val="20"/>
                <w:szCs w:val="20"/>
                <w:color w:val="auto"/>
              </w:rPr>
            </w:pPr>
            <w:r>
              <w:rPr>
                <w:rFonts w:ascii="Arial" w:cs="Arial" w:eastAsia="Arial" w:hAnsi="Arial"/>
                <w:sz w:val="13"/>
                <w:szCs w:val="13"/>
                <w:b w:val="1"/>
                <w:bCs w:val="1"/>
                <w:color w:val="auto"/>
              </w:rPr>
              <w:t>December 31,</w:t>
            </w:r>
          </w:p>
        </w:tc>
        <w:tc>
          <w:tcPr>
            <w:tcW w:w="1080" w:type="dxa"/>
            <w:vAlign w:val="bottom"/>
            <w:gridSpan w:val="2"/>
          </w:tcPr>
          <w:p>
            <w:pPr>
              <w:ind w:left="120"/>
              <w:spacing w:after="0"/>
              <w:rPr>
                <w:sz w:val="20"/>
                <w:szCs w:val="20"/>
                <w:color w:val="auto"/>
              </w:rPr>
            </w:pPr>
            <w:r>
              <w:rPr>
                <w:rFonts w:ascii="Arial" w:cs="Arial" w:eastAsia="Arial" w:hAnsi="Arial"/>
                <w:sz w:val="13"/>
                <w:szCs w:val="13"/>
                <w:b w:val="1"/>
                <w:bCs w:val="1"/>
                <w:color w:val="auto"/>
              </w:rPr>
              <w:t>December 31,</w:t>
            </w: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6880" w:type="dxa"/>
            <w:vAlign w:val="bottom"/>
            <w:tcBorders>
              <w:bottom w:val="single" w:sz="8" w:color="CCEEFF"/>
            </w:tcBorders>
          </w:tcPr>
          <w:p>
            <w:pPr>
              <w:spacing w:after="0"/>
              <w:rPr>
                <w:sz w:val="14"/>
                <w:szCs w:val="14"/>
                <w:color w:val="auto"/>
              </w:rPr>
            </w:pPr>
          </w:p>
        </w:tc>
        <w:tc>
          <w:tcPr>
            <w:tcW w:w="1020" w:type="dxa"/>
            <w:vAlign w:val="bottom"/>
            <w:tcBorders>
              <w:bottom w:val="single" w:sz="8" w:color="auto"/>
            </w:tcBorders>
          </w:tcPr>
          <w:p>
            <w:pPr>
              <w:jc w:val="right"/>
              <w:ind w:right="316"/>
              <w:spacing w:after="0"/>
              <w:rPr>
                <w:sz w:val="20"/>
                <w:szCs w:val="20"/>
                <w:color w:val="auto"/>
              </w:rPr>
            </w:pPr>
            <w:r>
              <w:rPr>
                <w:rFonts w:ascii="Arial" w:cs="Arial" w:eastAsia="Arial" w:hAnsi="Arial"/>
                <w:sz w:val="13"/>
                <w:szCs w:val="13"/>
                <w:b w:val="1"/>
                <w:bCs w:val="1"/>
                <w:color w:val="auto"/>
              </w:rPr>
              <w:t>2018</w:t>
            </w:r>
          </w:p>
        </w:tc>
        <w:tc>
          <w:tcPr>
            <w:tcW w:w="180" w:type="dxa"/>
            <w:vAlign w:val="bottom"/>
            <w:tcBorders>
              <w:bottom w:val="single" w:sz="8" w:color="CCEEFF"/>
            </w:tcBorders>
          </w:tcPr>
          <w:p>
            <w:pPr>
              <w:spacing w:after="0"/>
              <w:rPr>
                <w:sz w:val="14"/>
                <w:szCs w:val="14"/>
                <w:color w:val="auto"/>
              </w:rPr>
            </w:pPr>
          </w:p>
        </w:tc>
        <w:tc>
          <w:tcPr>
            <w:tcW w:w="1000" w:type="dxa"/>
            <w:vAlign w:val="bottom"/>
            <w:tcBorders>
              <w:bottom w:val="single" w:sz="8" w:color="auto"/>
            </w:tcBorders>
          </w:tcPr>
          <w:p>
            <w:pPr>
              <w:jc w:val="right"/>
              <w:ind w:right="316"/>
              <w:spacing w:after="0"/>
              <w:rPr>
                <w:sz w:val="20"/>
                <w:szCs w:val="20"/>
                <w:color w:val="auto"/>
              </w:rPr>
            </w:pPr>
            <w:r>
              <w:rPr>
                <w:rFonts w:ascii="Arial" w:cs="Arial" w:eastAsia="Arial" w:hAnsi="Arial"/>
                <w:sz w:val="13"/>
                <w:szCs w:val="13"/>
                <w:b w:val="1"/>
                <w:bCs w:val="1"/>
                <w:color w:val="auto"/>
              </w:rPr>
              <w:t>2017</w:t>
            </w:r>
          </w:p>
        </w:tc>
        <w:tc>
          <w:tcPr>
            <w:tcW w:w="8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6880" w:type="dxa"/>
            <w:vAlign w:val="bottom"/>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Corporate debt:</w:t>
            </w:r>
          </w:p>
        </w:tc>
        <w:tc>
          <w:tcPr>
            <w:tcW w:w="10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880" w:type="dxa"/>
            <w:vAlign w:val="bottom"/>
          </w:tcPr>
          <w:p>
            <w:pPr>
              <w:ind w:left="100"/>
              <w:spacing w:after="0"/>
              <w:rPr>
                <w:sz w:val="20"/>
                <w:szCs w:val="20"/>
                <w:color w:val="auto"/>
              </w:rPr>
            </w:pPr>
            <w:r>
              <w:rPr>
                <w:rFonts w:ascii="Arial" w:cs="Arial" w:eastAsia="Arial" w:hAnsi="Arial"/>
                <w:sz w:val="13"/>
                <w:szCs w:val="13"/>
                <w:color w:val="auto"/>
              </w:rPr>
              <w:t>Brazil</w:t>
            </w:r>
          </w:p>
        </w:tc>
        <w:tc>
          <w:tcPr>
            <w:tcW w:w="1020" w:type="dxa"/>
            <w:vAlign w:val="bottom"/>
          </w:tcPr>
          <w:p>
            <w:pPr>
              <w:jc w:val="right"/>
              <w:spacing w:after="0"/>
              <w:rPr>
                <w:sz w:val="20"/>
                <w:szCs w:val="20"/>
                <w:color w:val="auto"/>
              </w:rPr>
            </w:pPr>
            <w:r>
              <w:rPr>
                <w:rFonts w:ascii="Arial" w:cs="Arial" w:eastAsia="Arial" w:hAnsi="Arial"/>
                <w:sz w:val="13"/>
                <w:szCs w:val="13"/>
                <w:color w:val="auto"/>
              </w:rPr>
              <w:t>1,491</w:t>
            </w:r>
          </w:p>
        </w:tc>
        <w:tc>
          <w:tcPr>
            <w:tcW w:w="180" w:type="dxa"/>
            <w:vAlign w:val="bottom"/>
          </w:tcPr>
          <w:p>
            <w:pPr>
              <w:spacing w:after="0"/>
              <w:rPr>
                <w:sz w:val="13"/>
                <w:szCs w:val="13"/>
                <w:color w:val="auto"/>
              </w:rPr>
            </w:pPr>
          </w:p>
        </w:tc>
        <w:tc>
          <w:tcPr>
            <w:tcW w:w="1000" w:type="dxa"/>
            <w:vAlign w:val="bottom"/>
          </w:tcPr>
          <w:p>
            <w:pPr>
              <w:jc w:val="right"/>
              <w:spacing w:after="0"/>
              <w:rPr>
                <w:sz w:val="20"/>
                <w:szCs w:val="20"/>
                <w:color w:val="auto"/>
              </w:rPr>
            </w:pPr>
            <w:r>
              <w:rPr>
                <w:rFonts w:ascii="Arial" w:cs="Arial" w:eastAsia="Arial" w:hAnsi="Arial"/>
                <w:sz w:val="13"/>
                <w:szCs w:val="13"/>
                <w:color w:val="auto"/>
              </w:rPr>
              <w:t>1,485</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8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Mexico</w:t>
            </w:r>
          </w:p>
        </w:tc>
        <w:tc>
          <w:tcPr>
            <w:tcW w:w="10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7,264</w:t>
            </w:r>
          </w:p>
        </w:tc>
        <w:tc>
          <w:tcPr>
            <w:tcW w:w="180" w:type="dxa"/>
            <w:vAlign w:val="bottom"/>
            <w:shd w:val="clear" w:color="auto" w:fill="CCEEFF"/>
          </w:tcPr>
          <w:p>
            <w:pPr>
              <w:spacing w:after="0"/>
              <w:rPr>
                <w:sz w:val="13"/>
                <w:szCs w:val="13"/>
                <w:color w:val="auto"/>
              </w:rPr>
            </w:pPr>
          </w:p>
        </w:tc>
        <w:tc>
          <w:tcPr>
            <w:tcW w:w="10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6880" w:type="dxa"/>
            <w:vAlign w:val="bottom"/>
            <w:tcBorders>
              <w:bottom w:val="single" w:sz="8" w:color="CCEEFF"/>
            </w:tcBorders>
          </w:tcPr>
          <w:p>
            <w:pPr>
              <w:ind w:left="100"/>
              <w:spacing w:after="0"/>
              <w:rPr>
                <w:sz w:val="20"/>
                <w:szCs w:val="20"/>
                <w:color w:val="auto"/>
              </w:rPr>
            </w:pPr>
            <w:r>
              <w:rPr>
                <w:rFonts w:ascii="Arial" w:cs="Arial" w:eastAsia="Arial" w:hAnsi="Arial"/>
                <w:sz w:val="13"/>
                <w:szCs w:val="13"/>
                <w:color w:val="auto"/>
              </w:rPr>
              <w:t>Panama</w:t>
            </w:r>
          </w:p>
        </w:tc>
        <w:tc>
          <w:tcPr>
            <w:tcW w:w="102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11,151</w:t>
            </w:r>
          </w:p>
        </w:tc>
        <w:tc>
          <w:tcPr>
            <w:tcW w:w="180" w:type="dxa"/>
            <w:vAlign w:val="bottom"/>
            <w:tcBorders>
              <w:bottom w:val="single" w:sz="8" w:color="CCEEFF"/>
            </w:tcBorders>
          </w:tcPr>
          <w:p>
            <w:pPr>
              <w:spacing w:after="0"/>
              <w:rPr>
                <w:sz w:val="14"/>
                <w:szCs w:val="14"/>
                <w:color w:val="auto"/>
              </w:rPr>
            </w:pPr>
          </w:p>
        </w:tc>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9,978</w:t>
            </w:r>
          </w:p>
        </w:tc>
        <w:tc>
          <w:tcPr>
            <w:tcW w:w="8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6880" w:type="dxa"/>
            <w:vAlign w:val="bottom"/>
            <w:shd w:val="clear" w:color="auto" w:fill="CCEEFF"/>
          </w:tcPr>
          <w:p>
            <w:pPr>
              <w:spacing w:after="0"/>
              <w:rPr>
                <w:sz w:val="12"/>
                <w:szCs w:val="12"/>
                <w:color w:val="auto"/>
              </w:rPr>
            </w:pPr>
          </w:p>
        </w:tc>
        <w:tc>
          <w:tcPr>
            <w:tcW w:w="1020" w:type="dxa"/>
            <w:vAlign w:val="bottom"/>
            <w:tcBorders>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19,906</w:t>
            </w:r>
          </w:p>
        </w:tc>
        <w:tc>
          <w:tcPr>
            <w:tcW w:w="180" w:type="dxa"/>
            <w:vAlign w:val="bottom"/>
            <w:shd w:val="clear" w:color="auto" w:fill="CCEEFF"/>
          </w:tcPr>
          <w:p>
            <w:pPr>
              <w:spacing w:after="0"/>
              <w:rPr>
                <w:sz w:val="12"/>
                <w:szCs w:val="12"/>
                <w:color w:val="auto"/>
              </w:rPr>
            </w:pPr>
          </w:p>
        </w:tc>
        <w:tc>
          <w:tcPr>
            <w:tcW w:w="1000" w:type="dxa"/>
            <w:vAlign w:val="bottom"/>
            <w:tcBorders>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11,463</w:t>
            </w: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688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88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Sovereign debt:</w:t>
            </w:r>
          </w:p>
        </w:tc>
        <w:tc>
          <w:tcPr>
            <w:tcW w:w="10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100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880" w:type="dxa"/>
            <w:vAlign w:val="bottom"/>
          </w:tcPr>
          <w:p>
            <w:pPr>
              <w:ind w:left="100"/>
              <w:spacing w:after="0"/>
              <w:rPr>
                <w:sz w:val="20"/>
                <w:szCs w:val="20"/>
                <w:color w:val="auto"/>
              </w:rPr>
            </w:pPr>
            <w:r>
              <w:rPr>
                <w:rFonts w:ascii="Arial" w:cs="Arial" w:eastAsia="Arial" w:hAnsi="Arial"/>
                <w:sz w:val="13"/>
                <w:szCs w:val="13"/>
                <w:color w:val="auto"/>
              </w:rPr>
              <w:t>Colombia</w:t>
            </w:r>
          </w:p>
        </w:tc>
        <w:tc>
          <w:tcPr>
            <w:tcW w:w="1020" w:type="dxa"/>
            <w:vAlign w:val="bottom"/>
          </w:tcPr>
          <w:p>
            <w:pPr>
              <w:jc w:val="right"/>
              <w:spacing w:after="0"/>
              <w:rPr>
                <w:sz w:val="20"/>
                <w:szCs w:val="20"/>
                <w:color w:val="auto"/>
              </w:rPr>
            </w:pPr>
            <w:r>
              <w:rPr>
                <w:rFonts w:ascii="Arial" w:cs="Arial" w:eastAsia="Arial" w:hAnsi="Arial"/>
                <w:sz w:val="13"/>
                <w:szCs w:val="13"/>
                <w:color w:val="auto"/>
              </w:rPr>
              <w:t>28,183</w:t>
            </w:r>
          </w:p>
        </w:tc>
        <w:tc>
          <w:tcPr>
            <w:tcW w:w="180" w:type="dxa"/>
            <w:vAlign w:val="bottom"/>
          </w:tcPr>
          <w:p>
            <w:pPr>
              <w:spacing w:after="0"/>
              <w:rPr>
                <w:sz w:val="13"/>
                <w:szCs w:val="13"/>
                <w:color w:val="auto"/>
              </w:rPr>
            </w:pPr>
          </w:p>
        </w:tc>
        <w:tc>
          <w:tcPr>
            <w:tcW w:w="1000" w:type="dxa"/>
            <w:vAlign w:val="bottom"/>
          </w:tcPr>
          <w:p>
            <w:pPr>
              <w:jc w:val="right"/>
              <w:spacing w:after="0"/>
              <w:rPr>
                <w:sz w:val="20"/>
                <w:szCs w:val="20"/>
                <w:color w:val="auto"/>
              </w:rPr>
            </w:pPr>
            <w:r>
              <w:rPr>
                <w:rFonts w:ascii="Arial" w:cs="Arial" w:eastAsia="Arial" w:hAnsi="Arial"/>
                <w:sz w:val="13"/>
                <w:szCs w:val="13"/>
                <w:color w:val="auto"/>
              </w:rPr>
              <w:t>29,006</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880" w:type="dxa"/>
            <w:vAlign w:val="bottom"/>
            <w:shd w:val="clear" w:color="auto" w:fill="CCEEFF"/>
          </w:tcPr>
          <w:p>
            <w:pPr>
              <w:ind w:left="100"/>
              <w:spacing w:after="0"/>
              <w:rPr>
                <w:sz w:val="20"/>
                <w:szCs w:val="20"/>
                <w:color w:val="auto"/>
              </w:rPr>
            </w:pPr>
            <w:r>
              <w:rPr>
                <w:rFonts w:ascii="Arial" w:cs="Arial" w:eastAsia="Arial" w:hAnsi="Arial"/>
                <w:sz w:val="13"/>
                <w:szCs w:val="13"/>
                <w:color w:val="auto"/>
              </w:rPr>
              <w:t>Mexico</w:t>
            </w:r>
          </w:p>
        </w:tc>
        <w:tc>
          <w:tcPr>
            <w:tcW w:w="10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19,859</w:t>
            </w:r>
          </w:p>
        </w:tc>
        <w:tc>
          <w:tcPr>
            <w:tcW w:w="180" w:type="dxa"/>
            <w:vAlign w:val="bottom"/>
            <w:shd w:val="clear" w:color="auto" w:fill="CCEEFF"/>
          </w:tcPr>
          <w:p>
            <w:pPr>
              <w:spacing w:after="0"/>
              <w:rPr>
                <w:sz w:val="13"/>
                <w:szCs w:val="13"/>
                <w:color w:val="auto"/>
              </w:rPr>
            </w:pPr>
          </w:p>
        </w:tc>
        <w:tc>
          <w:tcPr>
            <w:tcW w:w="10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20,203</w:t>
            </w: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6880" w:type="dxa"/>
            <w:vAlign w:val="bottom"/>
            <w:tcBorders>
              <w:bottom w:val="single" w:sz="8" w:color="CCEEFF"/>
            </w:tcBorders>
          </w:tcPr>
          <w:p>
            <w:pPr>
              <w:ind w:left="100"/>
              <w:spacing w:after="0"/>
              <w:rPr>
                <w:sz w:val="20"/>
                <w:szCs w:val="20"/>
                <w:color w:val="auto"/>
              </w:rPr>
            </w:pPr>
            <w:r>
              <w:rPr>
                <w:rFonts w:ascii="Arial" w:cs="Arial" w:eastAsia="Arial" w:hAnsi="Arial"/>
                <w:sz w:val="13"/>
                <w:szCs w:val="13"/>
                <w:color w:val="auto"/>
              </w:rPr>
              <w:t>Panama</w:t>
            </w:r>
          </w:p>
        </w:tc>
        <w:tc>
          <w:tcPr>
            <w:tcW w:w="102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17,378</w:t>
            </w:r>
          </w:p>
        </w:tc>
        <w:tc>
          <w:tcPr>
            <w:tcW w:w="180" w:type="dxa"/>
            <w:vAlign w:val="bottom"/>
            <w:tcBorders>
              <w:bottom w:val="single" w:sz="8" w:color="CCEEFF"/>
            </w:tcBorders>
          </w:tcPr>
          <w:p>
            <w:pPr>
              <w:spacing w:after="0"/>
              <w:rPr>
                <w:sz w:val="14"/>
                <w:szCs w:val="14"/>
                <w:color w:val="auto"/>
              </w:rPr>
            </w:pPr>
          </w:p>
        </w:tc>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8,458</w:t>
            </w:r>
          </w:p>
        </w:tc>
        <w:tc>
          <w:tcPr>
            <w:tcW w:w="8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6880" w:type="dxa"/>
            <w:vAlign w:val="bottom"/>
            <w:shd w:val="clear" w:color="auto" w:fill="CCEEFF"/>
          </w:tcPr>
          <w:p>
            <w:pPr>
              <w:spacing w:after="0"/>
              <w:rPr>
                <w:sz w:val="12"/>
                <w:szCs w:val="12"/>
                <w:color w:val="auto"/>
              </w:rPr>
            </w:pPr>
          </w:p>
        </w:tc>
        <w:tc>
          <w:tcPr>
            <w:tcW w:w="1020" w:type="dxa"/>
            <w:vAlign w:val="bottom"/>
            <w:tcBorders>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65,420</w:t>
            </w:r>
          </w:p>
        </w:tc>
        <w:tc>
          <w:tcPr>
            <w:tcW w:w="180" w:type="dxa"/>
            <w:vAlign w:val="bottom"/>
            <w:shd w:val="clear" w:color="auto" w:fill="CCEEFF"/>
          </w:tcPr>
          <w:p>
            <w:pPr>
              <w:spacing w:after="0"/>
              <w:rPr>
                <w:sz w:val="12"/>
                <w:szCs w:val="12"/>
                <w:color w:val="auto"/>
              </w:rPr>
            </w:pPr>
          </w:p>
        </w:tc>
        <w:tc>
          <w:tcPr>
            <w:tcW w:w="1000" w:type="dxa"/>
            <w:vAlign w:val="bottom"/>
            <w:tcBorders>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57,667</w:t>
            </w: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6880" w:type="dxa"/>
            <w:vAlign w:val="bottom"/>
          </w:tcPr>
          <w:p>
            <w:pPr>
              <w:spacing w:after="0"/>
              <w:rPr>
                <w:sz w:val="14"/>
                <w:szCs w:val="14"/>
                <w:color w:val="auto"/>
              </w:rPr>
            </w:pPr>
          </w:p>
        </w:tc>
        <w:tc>
          <w:tcPr>
            <w:tcW w:w="102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85,326</w:t>
            </w:r>
          </w:p>
        </w:tc>
        <w:tc>
          <w:tcPr>
            <w:tcW w:w="180" w:type="dxa"/>
            <w:vAlign w:val="bottom"/>
          </w:tcPr>
          <w:p>
            <w:pPr>
              <w:spacing w:after="0"/>
              <w:rPr>
                <w:sz w:val="14"/>
                <w:szCs w:val="14"/>
                <w:color w:val="auto"/>
              </w:rPr>
            </w:pPr>
          </w:p>
        </w:tc>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69,130</w:t>
            </w: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bl>
    <w:p>
      <w:pPr>
        <w:spacing w:after="0" w:line="145" w:lineRule="exact"/>
        <w:rPr>
          <w:sz w:val="20"/>
          <w:szCs w:val="20"/>
          <w:color w:val="auto"/>
        </w:rPr>
      </w:pPr>
    </w:p>
    <w:p>
      <w:pPr>
        <w:ind w:left="223"/>
        <w:spacing w:after="0"/>
        <w:rPr>
          <w:sz w:val="20"/>
          <w:szCs w:val="20"/>
          <w:color w:val="auto"/>
        </w:rPr>
      </w:pPr>
      <w:r>
        <w:rPr>
          <w:rFonts w:ascii="Arial" w:cs="Arial" w:eastAsia="Arial" w:hAnsi="Arial"/>
          <w:sz w:val="13"/>
          <w:szCs w:val="13"/>
          <w:color w:val="222222"/>
        </w:rPr>
        <w:t>As of December 31, 2018, and 2017, t</w:t>
      </w:r>
      <w:r>
        <w:rPr>
          <w:rFonts w:ascii="Arial" w:cs="Arial" w:eastAsia="Arial" w:hAnsi="Arial"/>
          <w:sz w:val="13"/>
          <w:szCs w:val="13"/>
          <w:color w:val="000000"/>
        </w:rPr>
        <w:t>he allowance for expected credit losses relating to securities at amortized cost amounted to $140 thousand and $196 thousand, respectively.</w:t>
      </w:r>
    </w:p>
    <w:p>
      <w:pPr>
        <w:spacing w:after="0" w:line="159" w:lineRule="exact"/>
        <w:rPr>
          <w:sz w:val="20"/>
          <w:szCs w:val="20"/>
          <w:color w:val="auto"/>
        </w:rPr>
      </w:pPr>
    </w:p>
    <w:p>
      <w:pPr>
        <w:ind w:left="223"/>
        <w:spacing w:after="0" w:line="267" w:lineRule="auto"/>
        <w:rPr>
          <w:sz w:val="20"/>
          <w:szCs w:val="20"/>
          <w:color w:val="auto"/>
        </w:rPr>
      </w:pPr>
      <w:r>
        <w:rPr>
          <w:rFonts w:ascii="Arial" w:cs="Arial" w:eastAsia="Arial" w:hAnsi="Arial"/>
          <w:sz w:val="13"/>
          <w:szCs w:val="13"/>
          <w:color w:val="222222"/>
        </w:rPr>
        <w:t xml:space="preserve">As of December 31, 2018, </w:t>
      </w:r>
      <w:r>
        <w:rPr>
          <w:rFonts w:ascii="Arial" w:cs="Arial" w:eastAsia="Arial" w:hAnsi="Arial"/>
          <w:sz w:val="13"/>
          <w:szCs w:val="13"/>
          <w:color w:val="000000"/>
        </w:rPr>
        <w:t>securities at amortized cost with a carrying value of $35.1 million, were pledged to secure repurchase transactions accounted for as secured financings.</w:t>
      </w:r>
      <w:r>
        <w:rPr>
          <w:rFonts w:ascii="Arial" w:cs="Arial" w:eastAsia="Arial" w:hAnsi="Arial"/>
          <w:sz w:val="13"/>
          <w:szCs w:val="13"/>
          <w:color w:val="222222"/>
        </w:rPr>
        <w:t xml:space="preserve"> As of December 31, 2017, there were no securities at amortized cost accounted for as secured financial liabilities.</w:t>
      </w:r>
    </w:p>
    <w:p>
      <w:pPr>
        <w:spacing w:after="0" w:line="283"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F-38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2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85" w:right="219" w:bottom="1440" w:gutter="0" w:footer="0" w:header="0"/>
        </w:sectPr>
      </w:pPr>
    </w:p>
    <w:bookmarkStart w:id="163" w:name="page164"/>
    <w:bookmarkEnd w:id="163"/>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22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tbl>
      <w:tblPr>
        <w:tblLayout w:type="fixed"/>
        <w:tblInd w:w="0" w:type="dxa"/>
        <w:tblCellMar>
          <w:top w:w="0" w:type="dxa"/>
          <w:left w:w="0" w:type="dxa"/>
          <w:bottom w:w="0" w:type="dxa"/>
          <w:right w:w="0" w:type="dxa"/>
        </w:tblCellMar>
      </w:tblPr>
      <w:tr>
        <w:trPr>
          <w:trHeight w:val="166"/>
        </w:trPr>
        <w:tc>
          <w:tcPr>
            <w:tcW w:w="5400" w:type="dxa"/>
            <w:vAlign w:val="bottom"/>
            <w:gridSpan w:val="2"/>
          </w:tcPr>
          <w:p>
            <w:pPr>
              <w:spacing w:after="0"/>
              <w:rPr>
                <w:sz w:val="20"/>
                <w:szCs w:val="20"/>
                <w:color w:val="auto"/>
              </w:rPr>
            </w:pPr>
            <w:r>
              <w:rPr>
                <w:rFonts w:ascii="Arial" w:cs="Arial" w:eastAsia="Arial" w:hAnsi="Arial"/>
                <w:sz w:val="13"/>
                <w:szCs w:val="13"/>
                <w:b w:val="1"/>
                <w:bCs w:val="1"/>
                <w:color w:val="auto"/>
              </w:rPr>
              <w:t>5.  Securities and other financial assets, net (continued)</w:t>
            </w:r>
          </w:p>
        </w:tc>
        <w:tc>
          <w:tcPr>
            <w:tcW w:w="260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1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08"/>
        </w:trPr>
        <w:tc>
          <w:tcPr>
            <w:tcW w:w="5400" w:type="dxa"/>
            <w:vAlign w:val="bottom"/>
            <w:gridSpan w:val="2"/>
          </w:tcPr>
          <w:p>
            <w:pPr>
              <w:ind w:left="220"/>
              <w:spacing w:after="0"/>
              <w:rPr>
                <w:sz w:val="20"/>
                <w:szCs w:val="20"/>
                <w:color w:val="auto"/>
              </w:rPr>
            </w:pPr>
            <w:r>
              <w:rPr>
                <w:rFonts w:ascii="Arial" w:cs="Arial" w:eastAsia="Arial" w:hAnsi="Arial"/>
                <w:sz w:val="13"/>
                <w:szCs w:val="13"/>
                <w:b w:val="1"/>
                <w:bCs w:val="1"/>
                <w:color w:val="auto"/>
              </w:rPr>
              <w:t>Securities at amortized cost (continued)</w:t>
            </w:r>
          </w:p>
        </w:tc>
        <w:tc>
          <w:tcPr>
            <w:tcW w:w="260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08"/>
        </w:trPr>
        <w:tc>
          <w:tcPr>
            <w:tcW w:w="5400" w:type="dxa"/>
            <w:vAlign w:val="bottom"/>
            <w:gridSpan w:val="2"/>
          </w:tcPr>
          <w:p>
            <w:pPr>
              <w:ind w:left="220"/>
              <w:spacing w:after="0"/>
              <w:rPr>
                <w:sz w:val="20"/>
                <w:szCs w:val="20"/>
                <w:color w:val="auto"/>
              </w:rPr>
            </w:pPr>
            <w:r>
              <w:rPr>
                <w:rFonts w:ascii="Arial" w:cs="Arial" w:eastAsia="Arial" w:hAnsi="Arial"/>
                <w:sz w:val="13"/>
                <w:szCs w:val="13"/>
                <w:color w:val="auto"/>
              </w:rPr>
              <w:t>Securities at amortized cost by contractual maturity are shown in the following tables:</w:t>
            </w:r>
          </w:p>
        </w:tc>
        <w:tc>
          <w:tcPr>
            <w:tcW w:w="260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96"/>
        </w:trPr>
        <w:tc>
          <w:tcPr>
            <w:tcW w:w="1160" w:type="dxa"/>
            <w:vAlign w:val="bottom"/>
          </w:tcPr>
          <w:p>
            <w:pPr>
              <w:spacing w:after="0"/>
              <w:rPr>
                <w:sz w:val="24"/>
                <w:szCs w:val="24"/>
                <w:color w:val="auto"/>
              </w:rPr>
            </w:pPr>
          </w:p>
        </w:tc>
        <w:tc>
          <w:tcPr>
            <w:tcW w:w="4240" w:type="dxa"/>
            <w:vAlign w:val="bottom"/>
          </w:tcPr>
          <w:p>
            <w:pPr>
              <w:spacing w:after="0"/>
              <w:rPr>
                <w:sz w:val="24"/>
                <w:szCs w:val="24"/>
                <w:color w:val="auto"/>
              </w:rPr>
            </w:pPr>
          </w:p>
        </w:tc>
        <w:tc>
          <w:tcPr>
            <w:tcW w:w="260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960" w:type="dxa"/>
            <w:vAlign w:val="bottom"/>
            <w:gridSpan w:val="2"/>
          </w:tcPr>
          <w:p>
            <w:pPr>
              <w:jc w:val="center"/>
              <w:ind w:right="60"/>
              <w:spacing w:after="0"/>
              <w:rPr>
                <w:sz w:val="20"/>
                <w:szCs w:val="20"/>
                <w:color w:val="auto"/>
              </w:rPr>
            </w:pPr>
            <w:r>
              <w:rPr>
                <w:rFonts w:ascii="Arial" w:cs="Arial" w:eastAsia="Arial" w:hAnsi="Arial"/>
                <w:sz w:val="13"/>
                <w:szCs w:val="13"/>
                <w:b w:val="1"/>
                <w:bCs w:val="1"/>
                <w:color w:val="auto"/>
                <w:w w:val="87"/>
              </w:rPr>
              <w:t>December 31,</w:t>
            </w:r>
          </w:p>
        </w:tc>
        <w:tc>
          <w:tcPr>
            <w:tcW w:w="1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08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7"/>
              </w:rPr>
              <w:t>December 31,</w:t>
            </w:r>
          </w:p>
        </w:tc>
        <w:tc>
          <w:tcPr>
            <w:tcW w:w="11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67"/>
        </w:trPr>
        <w:tc>
          <w:tcPr>
            <w:tcW w:w="1160" w:type="dxa"/>
            <w:vAlign w:val="bottom"/>
          </w:tcPr>
          <w:p>
            <w:pPr>
              <w:spacing w:after="0"/>
              <w:rPr>
                <w:sz w:val="14"/>
                <w:szCs w:val="14"/>
                <w:color w:val="auto"/>
              </w:rPr>
            </w:pPr>
          </w:p>
        </w:tc>
        <w:tc>
          <w:tcPr>
            <w:tcW w:w="4240" w:type="dxa"/>
            <w:vAlign w:val="bottom"/>
          </w:tcPr>
          <w:p>
            <w:pPr>
              <w:spacing w:after="0"/>
              <w:rPr>
                <w:sz w:val="14"/>
                <w:szCs w:val="14"/>
                <w:color w:val="auto"/>
              </w:rPr>
            </w:pPr>
          </w:p>
        </w:tc>
        <w:tc>
          <w:tcPr>
            <w:tcW w:w="3640" w:type="dxa"/>
            <w:vAlign w:val="bottom"/>
            <w:gridSpan w:val="4"/>
          </w:tcPr>
          <w:p>
            <w:pPr>
              <w:jc w:val="center"/>
              <w:ind w:left="2596"/>
              <w:spacing w:after="0"/>
              <w:rPr>
                <w:sz w:val="20"/>
                <w:szCs w:val="20"/>
                <w:color w:val="auto"/>
              </w:rPr>
            </w:pPr>
            <w:r>
              <w:rPr>
                <w:rFonts w:ascii="Arial" w:cs="Arial" w:eastAsia="Arial" w:hAnsi="Arial"/>
                <w:sz w:val="13"/>
                <w:szCs w:val="13"/>
                <w:b w:val="1"/>
                <w:bCs w:val="1"/>
                <w:color w:val="auto"/>
                <w:w w:val="89"/>
              </w:rPr>
              <w:t>2018</w:t>
            </w:r>
          </w:p>
        </w:tc>
        <w:tc>
          <w:tcPr>
            <w:tcW w:w="20" w:type="dxa"/>
            <w:vAlign w:val="bottom"/>
          </w:tcPr>
          <w:p>
            <w:pPr>
              <w:spacing w:after="0"/>
              <w:rPr>
                <w:sz w:val="14"/>
                <w:szCs w:val="14"/>
                <w:color w:val="auto"/>
              </w:rPr>
            </w:pPr>
          </w:p>
        </w:tc>
        <w:tc>
          <w:tcPr>
            <w:tcW w:w="1180" w:type="dxa"/>
            <w:vAlign w:val="bottom"/>
            <w:gridSpan w:val="3"/>
          </w:tcPr>
          <w:p>
            <w:pPr>
              <w:jc w:val="center"/>
              <w:ind w:left="96"/>
              <w:spacing w:after="0"/>
              <w:rPr>
                <w:sz w:val="20"/>
                <w:szCs w:val="20"/>
                <w:color w:val="auto"/>
              </w:rPr>
            </w:pPr>
            <w:r>
              <w:rPr>
                <w:rFonts w:ascii="Arial" w:cs="Arial" w:eastAsia="Arial" w:hAnsi="Arial"/>
                <w:sz w:val="13"/>
                <w:szCs w:val="13"/>
                <w:b w:val="1"/>
                <w:bCs w:val="1"/>
                <w:color w:val="auto"/>
                <w:w w:val="89"/>
              </w:rPr>
              <w:t>2017</w:t>
            </w:r>
          </w:p>
        </w:tc>
        <w:tc>
          <w:tcPr>
            <w:tcW w:w="80" w:type="dxa"/>
            <w:vAlign w:val="bottom"/>
          </w:tcPr>
          <w:p>
            <w:pPr>
              <w:spacing w:after="0"/>
              <w:rPr>
                <w:sz w:val="14"/>
                <w:szCs w:val="14"/>
                <w:color w:val="auto"/>
              </w:rPr>
            </w:pPr>
          </w:p>
        </w:tc>
        <w:tc>
          <w:tcPr>
            <w:tcW w:w="11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1160" w:type="dxa"/>
            <w:vAlign w:val="bottom"/>
            <w:vMerge w:val="restart"/>
          </w:tcPr>
          <w:p>
            <w:pPr>
              <w:spacing w:after="0"/>
              <w:rPr>
                <w:sz w:val="12"/>
                <w:szCs w:val="12"/>
                <w:color w:val="auto"/>
              </w:rPr>
            </w:pPr>
          </w:p>
        </w:tc>
        <w:tc>
          <w:tcPr>
            <w:tcW w:w="4240" w:type="dxa"/>
            <w:vAlign w:val="bottom"/>
          </w:tcPr>
          <w:p>
            <w:pPr>
              <w:spacing w:after="0"/>
              <w:rPr>
                <w:sz w:val="12"/>
                <w:szCs w:val="12"/>
                <w:color w:val="auto"/>
              </w:rPr>
            </w:pPr>
          </w:p>
        </w:tc>
        <w:tc>
          <w:tcPr>
            <w:tcW w:w="260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60" w:type="dxa"/>
            <w:vAlign w:val="bottom"/>
            <w:tcBorders>
              <w:top w:val="single" w:sz="8" w:color="auto"/>
            </w:tcBorders>
          </w:tcPr>
          <w:p>
            <w:pPr>
              <w:spacing w:after="0"/>
              <w:rPr>
                <w:sz w:val="12"/>
                <w:szCs w:val="12"/>
                <w:color w:val="auto"/>
              </w:rPr>
            </w:pPr>
          </w:p>
        </w:tc>
        <w:tc>
          <w:tcPr>
            <w:tcW w:w="940" w:type="dxa"/>
            <w:vAlign w:val="bottom"/>
            <w:tcBorders>
              <w:top w:val="single" w:sz="8" w:color="auto"/>
            </w:tcBorders>
          </w:tcPr>
          <w:p>
            <w:pPr>
              <w:spacing w:after="0"/>
              <w:rPr>
                <w:sz w:val="12"/>
                <w:szCs w:val="12"/>
                <w:color w:val="auto"/>
              </w:rPr>
            </w:pPr>
          </w:p>
        </w:tc>
        <w:tc>
          <w:tcPr>
            <w:tcW w:w="2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000" w:type="dxa"/>
            <w:vAlign w:val="bottom"/>
            <w:tcBorders>
              <w:top w:val="single" w:sz="8" w:color="auto"/>
            </w:tcBorders>
          </w:tcPr>
          <w:p>
            <w:pPr>
              <w:spacing w:after="0"/>
              <w:rPr>
                <w:sz w:val="12"/>
                <w:szCs w:val="12"/>
                <w:color w:val="auto"/>
              </w:rPr>
            </w:pPr>
          </w:p>
        </w:tc>
        <w:tc>
          <w:tcPr>
            <w:tcW w:w="80" w:type="dxa"/>
            <w:vAlign w:val="bottom"/>
          </w:tcPr>
          <w:p>
            <w:pPr>
              <w:spacing w:after="0"/>
              <w:rPr>
                <w:sz w:val="12"/>
                <w:szCs w:val="12"/>
                <w:color w:val="auto"/>
              </w:rPr>
            </w:pPr>
          </w:p>
        </w:tc>
        <w:tc>
          <w:tcPr>
            <w:tcW w:w="11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1160" w:type="dxa"/>
            <w:vAlign w:val="bottom"/>
            <w:vMerge w:val="continue"/>
          </w:tcPr>
          <w:p>
            <w:pPr>
              <w:spacing w:after="0"/>
              <w:rPr>
                <w:sz w:val="13"/>
                <w:szCs w:val="13"/>
                <w:color w:val="auto"/>
              </w:rPr>
            </w:pPr>
          </w:p>
        </w:tc>
        <w:tc>
          <w:tcPr>
            <w:tcW w:w="4240" w:type="dxa"/>
            <w:vAlign w:val="bottom"/>
            <w:shd w:val="clear" w:color="auto" w:fill="CCEEFF"/>
          </w:tcPr>
          <w:p>
            <w:pPr>
              <w:spacing w:after="0"/>
              <w:rPr>
                <w:sz w:val="20"/>
                <w:szCs w:val="20"/>
                <w:color w:val="auto"/>
              </w:rPr>
            </w:pPr>
            <w:r>
              <w:rPr>
                <w:rFonts w:ascii="Arial" w:cs="Arial" w:eastAsia="Arial" w:hAnsi="Arial"/>
                <w:sz w:val="13"/>
                <w:szCs w:val="13"/>
                <w:color w:val="auto"/>
              </w:rPr>
              <w:t>Due within 1 year</w:t>
            </w:r>
          </w:p>
        </w:tc>
        <w:tc>
          <w:tcPr>
            <w:tcW w:w="3660" w:type="dxa"/>
            <w:vAlign w:val="bottom"/>
            <w:gridSpan w:val="5"/>
            <w:shd w:val="clear" w:color="auto" w:fill="CCEEFF"/>
          </w:tcPr>
          <w:p>
            <w:pPr>
              <w:jc w:val="center"/>
              <w:ind w:left="3236"/>
              <w:spacing w:after="0"/>
              <w:rPr>
                <w:sz w:val="20"/>
                <w:szCs w:val="20"/>
                <w:color w:val="auto"/>
              </w:rPr>
            </w:pPr>
            <w:r>
              <w:rPr>
                <w:rFonts w:ascii="Arial" w:cs="Arial" w:eastAsia="Arial" w:hAnsi="Arial"/>
                <w:sz w:val="13"/>
                <w:szCs w:val="13"/>
                <w:color w:val="auto"/>
                <w:w w:val="90"/>
              </w:rPr>
              <w:t>28,551</w:t>
            </w:r>
          </w:p>
        </w:tc>
        <w:tc>
          <w:tcPr>
            <w:tcW w:w="1180" w:type="dxa"/>
            <w:vAlign w:val="bottom"/>
            <w:gridSpan w:val="3"/>
            <w:shd w:val="clear" w:color="auto" w:fill="CCEEFF"/>
          </w:tcPr>
          <w:p>
            <w:pPr>
              <w:jc w:val="right"/>
              <w:spacing w:after="0"/>
              <w:rPr>
                <w:sz w:val="20"/>
                <w:szCs w:val="20"/>
                <w:color w:val="auto"/>
              </w:rPr>
            </w:pPr>
            <w:r>
              <w:rPr>
                <w:rFonts w:ascii="Arial" w:cs="Arial" w:eastAsia="Arial" w:hAnsi="Arial"/>
                <w:sz w:val="13"/>
                <w:szCs w:val="13"/>
                <w:color w:val="auto"/>
              </w:rPr>
              <w:t>7,978</w:t>
            </w:r>
          </w:p>
        </w:tc>
        <w:tc>
          <w:tcPr>
            <w:tcW w:w="80" w:type="dxa"/>
            <w:vAlign w:val="bottom"/>
            <w:shd w:val="clear" w:color="auto" w:fill="CCEEFF"/>
          </w:tcPr>
          <w:p>
            <w:pPr>
              <w:spacing w:after="0"/>
              <w:rPr>
                <w:sz w:val="13"/>
                <w:szCs w:val="13"/>
                <w:color w:val="auto"/>
              </w:rPr>
            </w:pPr>
          </w:p>
        </w:tc>
        <w:tc>
          <w:tcPr>
            <w:tcW w:w="11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1160" w:type="dxa"/>
            <w:vAlign w:val="bottom"/>
          </w:tcPr>
          <w:p>
            <w:pPr>
              <w:spacing w:after="0"/>
              <w:rPr>
                <w:sz w:val="14"/>
                <w:szCs w:val="14"/>
                <w:color w:val="auto"/>
              </w:rPr>
            </w:pPr>
          </w:p>
        </w:tc>
        <w:tc>
          <w:tcPr>
            <w:tcW w:w="4240" w:type="dxa"/>
            <w:vAlign w:val="bottom"/>
          </w:tcPr>
          <w:p>
            <w:pPr>
              <w:spacing w:after="0"/>
              <w:rPr>
                <w:sz w:val="20"/>
                <w:szCs w:val="20"/>
                <w:color w:val="auto"/>
              </w:rPr>
            </w:pPr>
            <w:r>
              <w:rPr>
                <w:rFonts w:ascii="Arial" w:cs="Arial" w:eastAsia="Arial" w:hAnsi="Arial"/>
                <w:sz w:val="13"/>
                <w:szCs w:val="13"/>
                <w:color w:val="auto"/>
              </w:rPr>
              <w:t>After 1 year but within 5 years</w:t>
            </w:r>
          </w:p>
        </w:tc>
        <w:tc>
          <w:tcPr>
            <w:tcW w:w="3660" w:type="dxa"/>
            <w:vAlign w:val="bottom"/>
            <w:gridSpan w:val="5"/>
          </w:tcPr>
          <w:p>
            <w:pPr>
              <w:jc w:val="center"/>
              <w:ind w:left="3236"/>
              <w:spacing w:after="0"/>
              <w:rPr>
                <w:sz w:val="20"/>
                <w:szCs w:val="20"/>
                <w:color w:val="auto"/>
              </w:rPr>
            </w:pPr>
            <w:r>
              <w:rPr>
                <w:rFonts w:ascii="Arial" w:cs="Arial" w:eastAsia="Arial" w:hAnsi="Arial"/>
                <w:sz w:val="13"/>
                <w:szCs w:val="13"/>
                <w:color w:val="auto"/>
                <w:w w:val="90"/>
              </w:rPr>
              <w:t>56,775</w:t>
            </w:r>
          </w:p>
        </w:tc>
        <w:tc>
          <w:tcPr>
            <w:tcW w:w="1180" w:type="dxa"/>
            <w:vAlign w:val="bottom"/>
            <w:gridSpan w:val="3"/>
          </w:tcPr>
          <w:p>
            <w:pPr>
              <w:jc w:val="right"/>
              <w:spacing w:after="0"/>
              <w:rPr>
                <w:sz w:val="20"/>
                <w:szCs w:val="20"/>
                <w:color w:val="auto"/>
              </w:rPr>
            </w:pPr>
            <w:r>
              <w:rPr>
                <w:rFonts w:ascii="Arial" w:cs="Arial" w:eastAsia="Arial" w:hAnsi="Arial"/>
                <w:sz w:val="13"/>
                <w:szCs w:val="13"/>
                <w:color w:val="auto"/>
              </w:rPr>
              <w:t>61,152</w:t>
            </w:r>
          </w:p>
        </w:tc>
        <w:tc>
          <w:tcPr>
            <w:tcW w:w="80" w:type="dxa"/>
            <w:vAlign w:val="bottom"/>
          </w:tcPr>
          <w:p>
            <w:pPr>
              <w:spacing w:after="0"/>
              <w:rPr>
                <w:sz w:val="14"/>
                <w:szCs w:val="14"/>
                <w:color w:val="auto"/>
              </w:rPr>
            </w:pPr>
          </w:p>
        </w:tc>
        <w:tc>
          <w:tcPr>
            <w:tcW w:w="11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4"/>
        </w:trPr>
        <w:tc>
          <w:tcPr>
            <w:tcW w:w="1160" w:type="dxa"/>
            <w:vAlign w:val="bottom"/>
          </w:tcPr>
          <w:p>
            <w:pPr>
              <w:spacing w:after="0"/>
              <w:rPr>
                <w:sz w:val="15"/>
                <w:szCs w:val="15"/>
                <w:color w:val="auto"/>
              </w:rPr>
            </w:pPr>
          </w:p>
        </w:tc>
        <w:tc>
          <w:tcPr>
            <w:tcW w:w="4240" w:type="dxa"/>
            <w:vAlign w:val="bottom"/>
            <w:tcBorders>
              <w:top w:val="single" w:sz="8" w:color="CCEEFF"/>
              <w:bottom w:val="single" w:sz="8" w:color="CCEEFF"/>
            </w:tcBorders>
            <w:shd w:val="clear" w:color="auto" w:fill="CCEEFF"/>
          </w:tcPr>
          <w:p>
            <w:pPr>
              <w:spacing w:after="0"/>
              <w:rPr>
                <w:sz w:val="15"/>
                <w:szCs w:val="15"/>
                <w:color w:val="auto"/>
              </w:rPr>
            </w:pPr>
          </w:p>
        </w:tc>
        <w:tc>
          <w:tcPr>
            <w:tcW w:w="2600" w:type="dxa"/>
            <w:vAlign w:val="bottom"/>
            <w:tcBorders>
              <w:top w:val="single" w:sz="8" w:color="CCEEFF"/>
              <w:bottom w:val="single" w:sz="8" w:color="CCEEFF"/>
            </w:tcBorders>
            <w:shd w:val="clear" w:color="auto" w:fill="CCEEFF"/>
          </w:tcPr>
          <w:p>
            <w:pPr>
              <w:spacing w:after="0"/>
              <w:rPr>
                <w:sz w:val="15"/>
                <w:szCs w:val="15"/>
                <w:color w:val="auto"/>
              </w:rPr>
            </w:pPr>
          </w:p>
        </w:tc>
        <w:tc>
          <w:tcPr>
            <w:tcW w:w="40" w:type="dxa"/>
            <w:vAlign w:val="bottom"/>
            <w:tcBorders>
              <w:top w:val="single" w:sz="8" w:color="CCEEFF"/>
              <w:bottom w:val="single" w:sz="8" w:color="CCEEFF"/>
            </w:tcBorders>
            <w:shd w:val="clear" w:color="auto" w:fill="CCEEFF"/>
          </w:tcPr>
          <w:p>
            <w:pPr>
              <w:spacing w:after="0"/>
              <w:rPr>
                <w:sz w:val="15"/>
                <w:szCs w:val="15"/>
                <w:color w:val="auto"/>
              </w:rPr>
            </w:pPr>
          </w:p>
        </w:tc>
        <w:tc>
          <w:tcPr>
            <w:tcW w:w="1020" w:type="dxa"/>
            <w:vAlign w:val="bottom"/>
            <w:tcBorders>
              <w:top w:val="single" w:sz="8" w:color="auto"/>
              <w:bottom w:val="single" w:sz="8" w:color="auto"/>
            </w:tcBorders>
            <w:gridSpan w:val="3"/>
            <w:shd w:val="clear" w:color="auto" w:fill="CCEEFF"/>
          </w:tcPr>
          <w:p>
            <w:pPr>
              <w:jc w:val="center"/>
              <w:ind w:left="596"/>
              <w:spacing w:after="0"/>
              <w:rPr>
                <w:sz w:val="20"/>
                <w:szCs w:val="20"/>
                <w:color w:val="auto"/>
              </w:rPr>
            </w:pPr>
            <w:r>
              <w:rPr>
                <w:rFonts w:ascii="Arial" w:cs="Arial" w:eastAsia="Arial" w:hAnsi="Arial"/>
                <w:sz w:val="13"/>
                <w:szCs w:val="13"/>
                <w:b w:val="1"/>
                <w:bCs w:val="1"/>
                <w:color w:val="auto"/>
                <w:w w:val="90"/>
              </w:rPr>
              <w:t>85,326</w:t>
            </w:r>
          </w:p>
        </w:tc>
        <w:tc>
          <w:tcPr>
            <w:tcW w:w="140" w:type="dxa"/>
            <w:vAlign w:val="bottom"/>
            <w:tcBorders>
              <w:top w:val="single" w:sz="8" w:color="CCEEFF"/>
              <w:bottom w:val="single" w:sz="8" w:color="CCEEFF"/>
            </w:tcBorders>
            <w:shd w:val="clear" w:color="auto" w:fill="CCEEFF"/>
          </w:tcPr>
          <w:p>
            <w:pPr>
              <w:spacing w:after="0"/>
              <w:rPr>
                <w:sz w:val="15"/>
                <w:szCs w:val="15"/>
                <w:color w:val="auto"/>
              </w:rPr>
            </w:pPr>
          </w:p>
        </w:tc>
        <w:tc>
          <w:tcPr>
            <w:tcW w:w="40" w:type="dxa"/>
            <w:vAlign w:val="bottom"/>
            <w:tcBorders>
              <w:top w:val="single" w:sz="8" w:color="CCEEFF"/>
              <w:bottom w:val="single" w:sz="8" w:color="CCEEFF"/>
            </w:tcBorders>
            <w:shd w:val="clear" w:color="auto" w:fill="CCEEFF"/>
          </w:tcPr>
          <w:p>
            <w:pPr>
              <w:spacing w:after="0"/>
              <w:rPr>
                <w:sz w:val="15"/>
                <w:szCs w:val="15"/>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69,130</w:t>
            </w:r>
          </w:p>
        </w:tc>
        <w:tc>
          <w:tcPr>
            <w:tcW w:w="80" w:type="dxa"/>
            <w:vAlign w:val="bottom"/>
            <w:tcBorders>
              <w:top w:val="single" w:sz="8" w:color="CCEEFF"/>
              <w:bottom w:val="single" w:sz="8" w:color="CCEEFF"/>
            </w:tcBorders>
            <w:shd w:val="clear" w:color="auto" w:fill="CCEEFF"/>
          </w:tcPr>
          <w:p>
            <w:pPr>
              <w:spacing w:after="0"/>
              <w:rPr>
                <w:sz w:val="15"/>
                <w:szCs w:val="15"/>
                <w:color w:val="auto"/>
              </w:rPr>
            </w:pPr>
          </w:p>
        </w:tc>
        <w:tc>
          <w:tcPr>
            <w:tcW w:w="116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96"/>
        </w:trPr>
        <w:tc>
          <w:tcPr>
            <w:tcW w:w="5400" w:type="dxa"/>
            <w:vAlign w:val="bottom"/>
            <w:gridSpan w:val="2"/>
          </w:tcPr>
          <w:p>
            <w:pPr>
              <w:ind w:left="220"/>
              <w:spacing w:after="0"/>
              <w:rPr>
                <w:sz w:val="20"/>
                <w:szCs w:val="20"/>
                <w:color w:val="auto"/>
              </w:rPr>
            </w:pPr>
            <w:r>
              <w:rPr>
                <w:rFonts w:ascii="Arial" w:cs="Arial" w:eastAsia="Arial" w:hAnsi="Arial"/>
                <w:sz w:val="13"/>
                <w:szCs w:val="13"/>
                <w:color w:val="auto"/>
              </w:rPr>
              <w:t>Securities at amortized cost classified by issuer’s credit quality indicators are as follows:</w:t>
            </w:r>
          </w:p>
        </w:tc>
        <w:tc>
          <w:tcPr>
            <w:tcW w:w="260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05"/>
        </w:trPr>
        <w:tc>
          <w:tcPr>
            <w:tcW w:w="1160" w:type="dxa"/>
            <w:vAlign w:val="bottom"/>
          </w:tcPr>
          <w:p>
            <w:pPr>
              <w:spacing w:after="0"/>
              <w:rPr>
                <w:sz w:val="24"/>
                <w:szCs w:val="24"/>
                <w:color w:val="auto"/>
              </w:rPr>
            </w:pPr>
          </w:p>
        </w:tc>
        <w:tc>
          <w:tcPr>
            <w:tcW w:w="4240" w:type="dxa"/>
            <w:vAlign w:val="bottom"/>
            <w:vMerge w:val="restart"/>
          </w:tcPr>
          <w:p>
            <w:pPr>
              <w:jc w:val="center"/>
              <w:ind w:left="2476"/>
              <w:spacing w:after="0"/>
              <w:rPr>
                <w:sz w:val="20"/>
                <w:szCs w:val="20"/>
                <w:color w:val="auto"/>
              </w:rPr>
            </w:pPr>
            <w:r>
              <w:rPr>
                <w:rFonts w:ascii="Arial" w:cs="Arial" w:eastAsia="Arial" w:hAnsi="Arial"/>
                <w:sz w:val="13"/>
                <w:szCs w:val="13"/>
                <w:b w:val="1"/>
                <w:bCs w:val="1"/>
                <w:color w:val="auto"/>
                <w:w w:val="93"/>
              </w:rPr>
              <w:t>Rating</w:t>
            </w:r>
          </w:p>
        </w:tc>
        <w:tc>
          <w:tcPr>
            <w:tcW w:w="260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960" w:type="dxa"/>
            <w:vAlign w:val="bottom"/>
            <w:gridSpan w:val="2"/>
          </w:tcPr>
          <w:p>
            <w:pPr>
              <w:jc w:val="center"/>
              <w:ind w:right="60"/>
              <w:spacing w:after="0"/>
              <w:rPr>
                <w:sz w:val="20"/>
                <w:szCs w:val="20"/>
                <w:color w:val="auto"/>
              </w:rPr>
            </w:pPr>
            <w:r>
              <w:rPr>
                <w:rFonts w:ascii="Arial" w:cs="Arial" w:eastAsia="Arial" w:hAnsi="Arial"/>
                <w:sz w:val="13"/>
                <w:szCs w:val="13"/>
                <w:b w:val="1"/>
                <w:bCs w:val="1"/>
                <w:color w:val="auto"/>
                <w:w w:val="87"/>
              </w:rPr>
              <w:t>December 31,</w:t>
            </w:r>
          </w:p>
        </w:tc>
        <w:tc>
          <w:tcPr>
            <w:tcW w:w="1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08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7"/>
              </w:rPr>
              <w:t>December 31,</w:t>
            </w:r>
          </w:p>
        </w:tc>
        <w:tc>
          <w:tcPr>
            <w:tcW w:w="11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67"/>
        </w:trPr>
        <w:tc>
          <w:tcPr>
            <w:tcW w:w="1160" w:type="dxa"/>
            <w:vAlign w:val="bottom"/>
          </w:tcPr>
          <w:p>
            <w:pPr>
              <w:spacing w:after="0"/>
              <w:rPr>
                <w:sz w:val="14"/>
                <w:szCs w:val="14"/>
                <w:color w:val="auto"/>
              </w:rPr>
            </w:pPr>
          </w:p>
        </w:tc>
        <w:tc>
          <w:tcPr>
            <w:tcW w:w="4240" w:type="dxa"/>
            <w:vAlign w:val="bottom"/>
            <w:vMerge w:val="continue"/>
          </w:tcPr>
          <w:p>
            <w:pPr>
              <w:spacing w:after="0"/>
              <w:rPr>
                <w:sz w:val="14"/>
                <w:szCs w:val="14"/>
                <w:color w:val="auto"/>
              </w:rPr>
            </w:pPr>
          </w:p>
        </w:tc>
        <w:tc>
          <w:tcPr>
            <w:tcW w:w="3640" w:type="dxa"/>
            <w:vAlign w:val="bottom"/>
            <w:gridSpan w:val="4"/>
          </w:tcPr>
          <w:p>
            <w:pPr>
              <w:jc w:val="center"/>
              <w:ind w:left="2596"/>
              <w:spacing w:after="0"/>
              <w:rPr>
                <w:sz w:val="20"/>
                <w:szCs w:val="20"/>
                <w:color w:val="auto"/>
              </w:rPr>
            </w:pPr>
            <w:r>
              <w:rPr>
                <w:rFonts w:ascii="Arial" w:cs="Arial" w:eastAsia="Arial" w:hAnsi="Arial"/>
                <w:sz w:val="13"/>
                <w:szCs w:val="13"/>
                <w:b w:val="1"/>
                <w:bCs w:val="1"/>
                <w:color w:val="auto"/>
                <w:w w:val="89"/>
              </w:rPr>
              <w:t>2018</w:t>
            </w:r>
          </w:p>
        </w:tc>
        <w:tc>
          <w:tcPr>
            <w:tcW w:w="20" w:type="dxa"/>
            <w:vAlign w:val="bottom"/>
          </w:tcPr>
          <w:p>
            <w:pPr>
              <w:spacing w:after="0"/>
              <w:rPr>
                <w:sz w:val="14"/>
                <w:szCs w:val="14"/>
                <w:color w:val="auto"/>
              </w:rPr>
            </w:pPr>
          </w:p>
        </w:tc>
        <w:tc>
          <w:tcPr>
            <w:tcW w:w="1180" w:type="dxa"/>
            <w:vAlign w:val="bottom"/>
            <w:gridSpan w:val="3"/>
          </w:tcPr>
          <w:p>
            <w:pPr>
              <w:jc w:val="center"/>
              <w:ind w:left="96"/>
              <w:spacing w:after="0"/>
              <w:rPr>
                <w:sz w:val="20"/>
                <w:szCs w:val="20"/>
                <w:color w:val="auto"/>
              </w:rPr>
            </w:pPr>
            <w:r>
              <w:rPr>
                <w:rFonts w:ascii="Arial" w:cs="Arial" w:eastAsia="Arial" w:hAnsi="Arial"/>
                <w:sz w:val="13"/>
                <w:szCs w:val="13"/>
                <w:b w:val="1"/>
                <w:bCs w:val="1"/>
                <w:color w:val="auto"/>
                <w:w w:val="89"/>
              </w:rPr>
              <w:t>2017</w:t>
            </w:r>
          </w:p>
        </w:tc>
        <w:tc>
          <w:tcPr>
            <w:tcW w:w="80" w:type="dxa"/>
            <w:vAlign w:val="bottom"/>
          </w:tcPr>
          <w:p>
            <w:pPr>
              <w:spacing w:after="0"/>
              <w:rPr>
                <w:sz w:val="14"/>
                <w:szCs w:val="14"/>
                <w:color w:val="auto"/>
              </w:rPr>
            </w:pPr>
          </w:p>
        </w:tc>
        <w:tc>
          <w:tcPr>
            <w:tcW w:w="11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1160" w:type="dxa"/>
            <w:vAlign w:val="bottom"/>
          </w:tcPr>
          <w:p>
            <w:pPr>
              <w:spacing w:after="0"/>
              <w:rPr>
                <w:sz w:val="12"/>
                <w:szCs w:val="12"/>
                <w:color w:val="auto"/>
              </w:rPr>
            </w:pPr>
          </w:p>
        </w:tc>
        <w:tc>
          <w:tcPr>
            <w:tcW w:w="4240" w:type="dxa"/>
            <w:vAlign w:val="bottom"/>
            <w:tcBorders>
              <w:top w:val="single" w:sz="8" w:color="CCEEFF"/>
            </w:tcBorders>
            <w:shd w:val="clear" w:color="auto" w:fill="CCEEFF"/>
          </w:tcPr>
          <w:p>
            <w:pPr>
              <w:jc w:val="center"/>
              <w:ind w:left="2476"/>
              <w:spacing w:after="0" w:line="144" w:lineRule="exact"/>
              <w:rPr>
                <w:sz w:val="20"/>
                <w:szCs w:val="20"/>
                <w:color w:val="auto"/>
              </w:rPr>
            </w:pPr>
            <w:r>
              <w:rPr>
                <w:rFonts w:ascii="Arial" w:cs="Arial" w:eastAsia="Arial" w:hAnsi="Arial"/>
                <w:sz w:val="13"/>
                <w:szCs w:val="13"/>
                <w:color w:val="auto"/>
                <w:w w:val="82"/>
              </w:rPr>
              <w:t>2</w:t>
            </w:r>
          </w:p>
        </w:tc>
        <w:tc>
          <w:tcPr>
            <w:tcW w:w="260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020" w:type="dxa"/>
            <w:vAlign w:val="bottom"/>
            <w:tcBorders>
              <w:top w:val="single" w:sz="8" w:color="auto"/>
            </w:tcBorders>
            <w:gridSpan w:val="3"/>
            <w:shd w:val="clear" w:color="auto" w:fill="CCEEFF"/>
          </w:tcPr>
          <w:p>
            <w:pPr>
              <w:jc w:val="right"/>
              <w:spacing w:after="0" w:line="144" w:lineRule="exact"/>
              <w:rPr>
                <w:sz w:val="20"/>
                <w:szCs w:val="20"/>
                <w:color w:val="auto"/>
              </w:rPr>
            </w:pPr>
            <w:r>
              <w:rPr>
                <w:rFonts w:ascii="Arial" w:cs="Arial" w:eastAsia="Arial" w:hAnsi="Arial"/>
                <w:sz w:val="13"/>
                <w:szCs w:val="13"/>
                <w:color w:val="auto"/>
              </w:rPr>
              <w:t>5,181</w:t>
            </w:r>
          </w:p>
        </w:tc>
        <w:tc>
          <w:tcPr>
            <w:tcW w:w="14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5,236</w:t>
            </w:r>
          </w:p>
        </w:tc>
        <w:tc>
          <w:tcPr>
            <w:tcW w:w="80" w:type="dxa"/>
            <w:vAlign w:val="bottom"/>
            <w:tcBorders>
              <w:top w:val="single" w:sz="8" w:color="CCEEFF"/>
            </w:tcBorders>
            <w:shd w:val="clear" w:color="auto" w:fill="CCEEFF"/>
          </w:tcPr>
          <w:p>
            <w:pPr>
              <w:spacing w:after="0"/>
              <w:rPr>
                <w:sz w:val="12"/>
                <w:szCs w:val="12"/>
                <w:color w:val="auto"/>
              </w:rPr>
            </w:pPr>
          </w:p>
        </w:tc>
        <w:tc>
          <w:tcPr>
            <w:tcW w:w="11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1160" w:type="dxa"/>
            <w:vAlign w:val="bottom"/>
          </w:tcPr>
          <w:p>
            <w:pPr>
              <w:spacing w:after="0"/>
              <w:rPr>
                <w:sz w:val="13"/>
                <w:szCs w:val="13"/>
                <w:color w:val="auto"/>
              </w:rPr>
            </w:pPr>
          </w:p>
        </w:tc>
        <w:tc>
          <w:tcPr>
            <w:tcW w:w="4240" w:type="dxa"/>
            <w:vAlign w:val="bottom"/>
          </w:tcPr>
          <w:p>
            <w:pPr>
              <w:jc w:val="center"/>
              <w:ind w:left="2476"/>
              <w:spacing w:after="0"/>
              <w:rPr>
                <w:sz w:val="20"/>
                <w:szCs w:val="20"/>
                <w:color w:val="auto"/>
              </w:rPr>
            </w:pPr>
            <w:r>
              <w:rPr>
                <w:rFonts w:ascii="Arial" w:cs="Arial" w:eastAsia="Arial" w:hAnsi="Arial"/>
                <w:sz w:val="13"/>
                <w:szCs w:val="13"/>
                <w:color w:val="auto"/>
                <w:w w:val="82"/>
              </w:rPr>
              <w:t>3</w:t>
            </w:r>
          </w:p>
        </w:tc>
        <w:tc>
          <w:tcPr>
            <w:tcW w:w="3660" w:type="dxa"/>
            <w:vAlign w:val="bottom"/>
            <w:gridSpan w:val="5"/>
          </w:tcPr>
          <w:p>
            <w:pPr>
              <w:jc w:val="center"/>
              <w:ind w:left="3236"/>
              <w:spacing w:after="0"/>
              <w:rPr>
                <w:sz w:val="20"/>
                <w:szCs w:val="20"/>
                <w:color w:val="auto"/>
              </w:rPr>
            </w:pPr>
            <w:r>
              <w:rPr>
                <w:rFonts w:ascii="Arial" w:cs="Arial" w:eastAsia="Arial" w:hAnsi="Arial"/>
                <w:sz w:val="13"/>
                <w:szCs w:val="13"/>
                <w:color w:val="auto"/>
                <w:w w:val="90"/>
              </w:rPr>
              <w:t>44,858</w:t>
            </w:r>
          </w:p>
        </w:tc>
        <w:tc>
          <w:tcPr>
            <w:tcW w:w="1180" w:type="dxa"/>
            <w:vAlign w:val="bottom"/>
            <w:gridSpan w:val="3"/>
          </w:tcPr>
          <w:p>
            <w:pPr>
              <w:jc w:val="right"/>
              <w:spacing w:after="0"/>
              <w:rPr>
                <w:sz w:val="20"/>
                <w:szCs w:val="20"/>
                <w:color w:val="auto"/>
              </w:rPr>
            </w:pPr>
            <w:r>
              <w:rPr>
                <w:rFonts w:ascii="Arial" w:cs="Arial" w:eastAsia="Arial" w:hAnsi="Arial"/>
                <w:sz w:val="13"/>
                <w:szCs w:val="13"/>
                <w:color w:val="auto"/>
              </w:rPr>
              <w:t>43,973</w:t>
            </w:r>
          </w:p>
        </w:tc>
        <w:tc>
          <w:tcPr>
            <w:tcW w:w="8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1160" w:type="dxa"/>
            <w:vAlign w:val="bottom"/>
          </w:tcPr>
          <w:p>
            <w:pPr>
              <w:spacing w:after="0"/>
              <w:rPr>
                <w:sz w:val="13"/>
                <w:szCs w:val="13"/>
                <w:color w:val="auto"/>
              </w:rPr>
            </w:pPr>
          </w:p>
        </w:tc>
        <w:tc>
          <w:tcPr>
            <w:tcW w:w="4240" w:type="dxa"/>
            <w:vAlign w:val="bottom"/>
            <w:shd w:val="clear" w:color="auto" w:fill="CCEEFF"/>
          </w:tcPr>
          <w:p>
            <w:pPr>
              <w:jc w:val="center"/>
              <w:ind w:left="2476"/>
              <w:spacing w:after="0"/>
              <w:rPr>
                <w:sz w:val="20"/>
                <w:szCs w:val="20"/>
                <w:color w:val="auto"/>
              </w:rPr>
            </w:pPr>
            <w:r>
              <w:rPr>
                <w:rFonts w:ascii="Arial" w:cs="Arial" w:eastAsia="Arial" w:hAnsi="Arial"/>
                <w:sz w:val="13"/>
                <w:szCs w:val="13"/>
                <w:color w:val="auto"/>
                <w:w w:val="82"/>
              </w:rPr>
              <w:t>4</w:t>
            </w:r>
          </w:p>
        </w:tc>
        <w:tc>
          <w:tcPr>
            <w:tcW w:w="3660" w:type="dxa"/>
            <w:vAlign w:val="bottom"/>
            <w:gridSpan w:val="5"/>
            <w:shd w:val="clear" w:color="auto" w:fill="CCEEFF"/>
          </w:tcPr>
          <w:p>
            <w:pPr>
              <w:jc w:val="center"/>
              <w:ind w:left="3236"/>
              <w:spacing w:after="0"/>
              <w:rPr>
                <w:sz w:val="20"/>
                <w:szCs w:val="20"/>
                <w:color w:val="auto"/>
              </w:rPr>
            </w:pPr>
            <w:r>
              <w:rPr>
                <w:rFonts w:ascii="Arial" w:cs="Arial" w:eastAsia="Arial" w:hAnsi="Arial"/>
                <w:sz w:val="13"/>
                <w:szCs w:val="13"/>
                <w:color w:val="auto"/>
                <w:w w:val="90"/>
              </w:rPr>
              <w:t>33,796</w:t>
            </w:r>
          </w:p>
        </w:tc>
        <w:tc>
          <w:tcPr>
            <w:tcW w:w="1180" w:type="dxa"/>
            <w:vAlign w:val="bottom"/>
            <w:gridSpan w:val="3"/>
            <w:shd w:val="clear" w:color="auto" w:fill="CCEEFF"/>
          </w:tcPr>
          <w:p>
            <w:pPr>
              <w:jc w:val="right"/>
              <w:spacing w:after="0"/>
              <w:rPr>
                <w:sz w:val="20"/>
                <w:szCs w:val="20"/>
                <w:color w:val="auto"/>
              </w:rPr>
            </w:pPr>
            <w:r>
              <w:rPr>
                <w:rFonts w:ascii="Arial" w:cs="Arial" w:eastAsia="Arial" w:hAnsi="Arial"/>
                <w:sz w:val="13"/>
                <w:szCs w:val="13"/>
                <w:color w:val="auto"/>
              </w:rPr>
              <w:t>8,458</w:t>
            </w:r>
          </w:p>
        </w:tc>
        <w:tc>
          <w:tcPr>
            <w:tcW w:w="80" w:type="dxa"/>
            <w:vAlign w:val="bottom"/>
            <w:shd w:val="clear" w:color="auto" w:fill="CCEEFF"/>
          </w:tcPr>
          <w:p>
            <w:pPr>
              <w:spacing w:after="0"/>
              <w:rPr>
                <w:sz w:val="13"/>
                <w:szCs w:val="13"/>
                <w:color w:val="auto"/>
              </w:rPr>
            </w:pPr>
          </w:p>
        </w:tc>
        <w:tc>
          <w:tcPr>
            <w:tcW w:w="11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1160" w:type="dxa"/>
            <w:vAlign w:val="bottom"/>
          </w:tcPr>
          <w:p>
            <w:pPr>
              <w:spacing w:after="0"/>
              <w:rPr>
                <w:sz w:val="14"/>
                <w:szCs w:val="14"/>
                <w:color w:val="auto"/>
              </w:rPr>
            </w:pPr>
          </w:p>
        </w:tc>
        <w:tc>
          <w:tcPr>
            <w:tcW w:w="4240" w:type="dxa"/>
            <w:vAlign w:val="bottom"/>
          </w:tcPr>
          <w:p>
            <w:pPr>
              <w:jc w:val="center"/>
              <w:ind w:left="2476"/>
              <w:spacing w:after="0"/>
              <w:rPr>
                <w:sz w:val="20"/>
                <w:szCs w:val="20"/>
                <w:color w:val="auto"/>
              </w:rPr>
            </w:pPr>
            <w:r>
              <w:rPr>
                <w:rFonts w:ascii="Arial" w:cs="Arial" w:eastAsia="Arial" w:hAnsi="Arial"/>
                <w:sz w:val="13"/>
                <w:szCs w:val="13"/>
                <w:color w:val="auto"/>
                <w:w w:val="82"/>
              </w:rPr>
              <w:t>5</w:t>
            </w:r>
          </w:p>
        </w:tc>
        <w:tc>
          <w:tcPr>
            <w:tcW w:w="3660" w:type="dxa"/>
            <w:vAlign w:val="bottom"/>
            <w:gridSpan w:val="5"/>
          </w:tcPr>
          <w:p>
            <w:pPr>
              <w:jc w:val="right"/>
              <w:spacing w:after="0"/>
              <w:rPr>
                <w:sz w:val="20"/>
                <w:szCs w:val="20"/>
                <w:color w:val="auto"/>
              </w:rPr>
            </w:pPr>
            <w:r>
              <w:rPr>
                <w:rFonts w:ascii="Arial" w:cs="Arial" w:eastAsia="Arial" w:hAnsi="Arial"/>
                <w:sz w:val="13"/>
                <w:szCs w:val="13"/>
                <w:color w:val="auto"/>
              </w:rPr>
              <w:t>1,491</w:t>
            </w:r>
          </w:p>
        </w:tc>
        <w:tc>
          <w:tcPr>
            <w:tcW w:w="1180" w:type="dxa"/>
            <w:vAlign w:val="bottom"/>
            <w:gridSpan w:val="3"/>
          </w:tcPr>
          <w:p>
            <w:pPr>
              <w:jc w:val="right"/>
              <w:spacing w:after="0"/>
              <w:rPr>
                <w:sz w:val="20"/>
                <w:szCs w:val="20"/>
                <w:color w:val="auto"/>
              </w:rPr>
            </w:pPr>
            <w:r>
              <w:rPr>
                <w:rFonts w:ascii="Arial" w:cs="Arial" w:eastAsia="Arial" w:hAnsi="Arial"/>
                <w:sz w:val="13"/>
                <w:szCs w:val="13"/>
                <w:color w:val="auto"/>
              </w:rPr>
              <w:t>11,463</w:t>
            </w:r>
          </w:p>
        </w:tc>
        <w:tc>
          <w:tcPr>
            <w:tcW w:w="80" w:type="dxa"/>
            <w:vAlign w:val="bottom"/>
          </w:tcPr>
          <w:p>
            <w:pPr>
              <w:spacing w:after="0"/>
              <w:rPr>
                <w:sz w:val="14"/>
                <w:szCs w:val="14"/>
                <w:color w:val="auto"/>
              </w:rPr>
            </w:pPr>
          </w:p>
        </w:tc>
        <w:tc>
          <w:tcPr>
            <w:tcW w:w="11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4"/>
        </w:trPr>
        <w:tc>
          <w:tcPr>
            <w:tcW w:w="1160" w:type="dxa"/>
            <w:vAlign w:val="bottom"/>
          </w:tcPr>
          <w:p>
            <w:pPr>
              <w:spacing w:after="0"/>
              <w:rPr>
                <w:sz w:val="15"/>
                <w:szCs w:val="15"/>
                <w:color w:val="auto"/>
              </w:rPr>
            </w:pPr>
          </w:p>
        </w:tc>
        <w:tc>
          <w:tcPr>
            <w:tcW w:w="4240" w:type="dxa"/>
            <w:vAlign w:val="bottom"/>
            <w:tcBorders>
              <w:top w:val="single" w:sz="8" w:color="CCEEFF"/>
              <w:bottom w:val="single" w:sz="8" w:color="CCEEFF"/>
            </w:tcBorders>
            <w:shd w:val="clear" w:color="auto" w:fill="CCEEFF"/>
          </w:tcPr>
          <w:p>
            <w:pPr>
              <w:jc w:val="center"/>
              <w:ind w:left="2476"/>
              <w:spacing w:after="0" w:line="143" w:lineRule="exact"/>
              <w:rPr>
                <w:sz w:val="20"/>
                <w:szCs w:val="20"/>
                <w:color w:val="auto"/>
              </w:rPr>
            </w:pPr>
            <w:r>
              <w:rPr>
                <w:rFonts w:ascii="Arial" w:cs="Arial" w:eastAsia="Arial" w:hAnsi="Arial"/>
                <w:sz w:val="13"/>
                <w:szCs w:val="13"/>
                <w:color w:val="auto"/>
                <w:w w:val="89"/>
              </w:rPr>
              <w:t>Total</w:t>
            </w:r>
          </w:p>
        </w:tc>
        <w:tc>
          <w:tcPr>
            <w:tcW w:w="2600" w:type="dxa"/>
            <w:vAlign w:val="bottom"/>
            <w:tcBorders>
              <w:top w:val="single" w:sz="8" w:color="CCEEFF"/>
              <w:bottom w:val="single" w:sz="8" w:color="CCEEFF"/>
            </w:tcBorders>
            <w:shd w:val="clear" w:color="auto" w:fill="CCEEFF"/>
          </w:tcPr>
          <w:p>
            <w:pPr>
              <w:spacing w:after="0"/>
              <w:rPr>
                <w:sz w:val="15"/>
                <w:szCs w:val="15"/>
                <w:color w:val="auto"/>
              </w:rPr>
            </w:pPr>
          </w:p>
        </w:tc>
        <w:tc>
          <w:tcPr>
            <w:tcW w:w="40" w:type="dxa"/>
            <w:vAlign w:val="bottom"/>
            <w:tcBorders>
              <w:top w:val="single" w:sz="8" w:color="CCEEFF"/>
              <w:bottom w:val="single" w:sz="8" w:color="CCEEFF"/>
            </w:tcBorders>
            <w:shd w:val="clear" w:color="auto" w:fill="CCEEFF"/>
          </w:tcPr>
          <w:p>
            <w:pPr>
              <w:spacing w:after="0"/>
              <w:rPr>
                <w:sz w:val="15"/>
                <w:szCs w:val="15"/>
                <w:color w:val="auto"/>
              </w:rPr>
            </w:pPr>
          </w:p>
        </w:tc>
        <w:tc>
          <w:tcPr>
            <w:tcW w:w="1020" w:type="dxa"/>
            <w:vAlign w:val="bottom"/>
            <w:tcBorders>
              <w:top w:val="single" w:sz="8" w:color="auto"/>
              <w:bottom w:val="single" w:sz="8" w:color="auto"/>
            </w:tcBorders>
            <w:gridSpan w:val="3"/>
            <w:shd w:val="clear" w:color="auto" w:fill="CCEEFF"/>
          </w:tcPr>
          <w:p>
            <w:pPr>
              <w:jc w:val="center"/>
              <w:ind w:left="596"/>
              <w:spacing w:after="0"/>
              <w:rPr>
                <w:sz w:val="20"/>
                <w:szCs w:val="20"/>
                <w:color w:val="auto"/>
              </w:rPr>
            </w:pPr>
            <w:r>
              <w:rPr>
                <w:rFonts w:ascii="Arial" w:cs="Arial" w:eastAsia="Arial" w:hAnsi="Arial"/>
                <w:sz w:val="13"/>
                <w:szCs w:val="13"/>
                <w:b w:val="1"/>
                <w:bCs w:val="1"/>
                <w:color w:val="auto"/>
                <w:w w:val="90"/>
              </w:rPr>
              <w:t>85,326</w:t>
            </w:r>
          </w:p>
        </w:tc>
        <w:tc>
          <w:tcPr>
            <w:tcW w:w="140" w:type="dxa"/>
            <w:vAlign w:val="bottom"/>
            <w:tcBorders>
              <w:top w:val="single" w:sz="8" w:color="CCEEFF"/>
              <w:bottom w:val="single" w:sz="8" w:color="CCEEFF"/>
            </w:tcBorders>
            <w:shd w:val="clear" w:color="auto" w:fill="CCEEFF"/>
          </w:tcPr>
          <w:p>
            <w:pPr>
              <w:spacing w:after="0"/>
              <w:rPr>
                <w:sz w:val="15"/>
                <w:szCs w:val="15"/>
                <w:color w:val="auto"/>
              </w:rPr>
            </w:pPr>
          </w:p>
        </w:tc>
        <w:tc>
          <w:tcPr>
            <w:tcW w:w="40" w:type="dxa"/>
            <w:vAlign w:val="bottom"/>
            <w:tcBorders>
              <w:top w:val="single" w:sz="8" w:color="CCEEFF"/>
              <w:bottom w:val="single" w:sz="8" w:color="CCEEFF"/>
            </w:tcBorders>
            <w:shd w:val="clear" w:color="auto" w:fill="CCEEFF"/>
          </w:tcPr>
          <w:p>
            <w:pPr>
              <w:spacing w:after="0"/>
              <w:rPr>
                <w:sz w:val="15"/>
                <w:szCs w:val="15"/>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69,130</w:t>
            </w:r>
          </w:p>
        </w:tc>
        <w:tc>
          <w:tcPr>
            <w:tcW w:w="80" w:type="dxa"/>
            <w:vAlign w:val="bottom"/>
            <w:tcBorders>
              <w:top w:val="single" w:sz="8" w:color="CCEEFF"/>
              <w:bottom w:val="single" w:sz="8" w:color="CCEEFF"/>
            </w:tcBorders>
            <w:shd w:val="clear" w:color="auto" w:fill="CCEEFF"/>
          </w:tcPr>
          <w:p>
            <w:pPr>
              <w:spacing w:after="0"/>
              <w:rPr>
                <w:sz w:val="15"/>
                <w:szCs w:val="15"/>
                <w:color w:val="auto"/>
              </w:rPr>
            </w:pPr>
          </w:p>
        </w:tc>
        <w:tc>
          <w:tcPr>
            <w:tcW w:w="116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96"/>
        </w:trPr>
        <w:tc>
          <w:tcPr>
            <w:tcW w:w="5400" w:type="dxa"/>
            <w:vAlign w:val="bottom"/>
            <w:gridSpan w:val="2"/>
          </w:tcPr>
          <w:p>
            <w:pPr>
              <w:ind w:left="220"/>
              <w:spacing w:after="0"/>
              <w:rPr>
                <w:sz w:val="20"/>
                <w:szCs w:val="20"/>
                <w:color w:val="auto"/>
              </w:rPr>
            </w:pPr>
            <w:r>
              <w:rPr>
                <w:rFonts w:ascii="Arial" w:cs="Arial" w:eastAsia="Arial" w:hAnsi="Arial"/>
                <w:sz w:val="13"/>
                <w:szCs w:val="13"/>
                <w:b w:val="1"/>
                <w:bCs w:val="1"/>
                <w:color w:val="auto"/>
              </w:rPr>
              <w:t>Securities at fair value through other comprehensive income (FVOCI)</w:t>
            </w:r>
          </w:p>
        </w:tc>
        <w:tc>
          <w:tcPr>
            <w:tcW w:w="260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08"/>
        </w:trPr>
        <w:tc>
          <w:tcPr>
            <w:tcW w:w="5400" w:type="dxa"/>
            <w:vAlign w:val="bottom"/>
            <w:gridSpan w:val="2"/>
          </w:tcPr>
          <w:p>
            <w:pPr>
              <w:ind w:left="220"/>
              <w:spacing w:after="0"/>
              <w:rPr>
                <w:sz w:val="20"/>
                <w:szCs w:val="20"/>
                <w:color w:val="auto"/>
              </w:rPr>
            </w:pPr>
            <w:r>
              <w:rPr>
                <w:rFonts w:ascii="Arial" w:cs="Arial" w:eastAsia="Arial" w:hAnsi="Arial"/>
                <w:sz w:val="13"/>
                <w:szCs w:val="13"/>
                <w:color w:val="auto"/>
                <w:w w:val="94"/>
              </w:rPr>
              <w:t>The fair value of financial instruments at FVOCI by country risk and type of debt are as follows:</w:t>
            </w:r>
          </w:p>
        </w:tc>
        <w:tc>
          <w:tcPr>
            <w:tcW w:w="260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18"/>
        </w:trPr>
        <w:tc>
          <w:tcPr>
            <w:tcW w:w="1160" w:type="dxa"/>
            <w:vAlign w:val="bottom"/>
          </w:tcPr>
          <w:p>
            <w:pPr>
              <w:spacing w:after="0"/>
              <w:rPr>
                <w:sz w:val="24"/>
                <w:szCs w:val="24"/>
                <w:color w:val="auto"/>
              </w:rPr>
            </w:pPr>
          </w:p>
        </w:tc>
        <w:tc>
          <w:tcPr>
            <w:tcW w:w="4240" w:type="dxa"/>
            <w:vAlign w:val="bottom"/>
          </w:tcPr>
          <w:p>
            <w:pPr>
              <w:spacing w:after="0"/>
              <w:rPr>
                <w:sz w:val="24"/>
                <w:szCs w:val="24"/>
                <w:color w:val="auto"/>
              </w:rPr>
            </w:pPr>
          </w:p>
        </w:tc>
        <w:tc>
          <w:tcPr>
            <w:tcW w:w="3660" w:type="dxa"/>
            <w:vAlign w:val="bottom"/>
            <w:gridSpan w:val="5"/>
          </w:tcPr>
          <w:p>
            <w:pPr>
              <w:jc w:val="right"/>
              <w:ind w:right="20"/>
              <w:spacing w:after="0"/>
              <w:rPr>
                <w:sz w:val="20"/>
                <w:szCs w:val="20"/>
                <w:color w:val="auto"/>
              </w:rPr>
            </w:pPr>
            <w:r>
              <w:rPr>
                <w:rFonts w:ascii="Arial" w:cs="Arial" w:eastAsia="Arial" w:hAnsi="Arial"/>
                <w:sz w:val="13"/>
                <w:szCs w:val="13"/>
                <w:b w:val="1"/>
                <w:bCs w:val="1"/>
                <w:color w:val="auto"/>
              </w:rPr>
              <w:t>December 31, 2018</w:t>
            </w:r>
          </w:p>
        </w:tc>
        <w:tc>
          <w:tcPr>
            <w:tcW w:w="1260" w:type="dxa"/>
            <w:vAlign w:val="bottom"/>
            <w:gridSpan w:val="4"/>
          </w:tcPr>
          <w:p>
            <w:pPr>
              <w:jc w:val="center"/>
              <w:spacing w:after="0"/>
              <w:rPr>
                <w:sz w:val="20"/>
                <w:szCs w:val="20"/>
                <w:color w:val="auto"/>
              </w:rPr>
            </w:pPr>
            <w:r>
              <w:rPr>
                <w:rFonts w:ascii="Arial" w:cs="Arial" w:eastAsia="Arial" w:hAnsi="Arial"/>
                <w:sz w:val="13"/>
                <w:szCs w:val="13"/>
                <w:b w:val="1"/>
                <w:bCs w:val="1"/>
                <w:color w:val="auto"/>
                <w:w w:val="88"/>
              </w:rPr>
              <w:t>December 31, 2017</w:t>
            </w:r>
          </w:p>
        </w:tc>
        <w:tc>
          <w:tcPr>
            <w:tcW w:w="11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44"/>
        </w:trPr>
        <w:tc>
          <w:tcPr>
            <w:tcW w:w="1160" w:type="dxa"/>
            <w:vAlign w:val="bottom"/>
            <w:vMerge w:val="restart"/>
          </w:tcPr>
          <w:p>
            <w:pPr>
              <w:spacing w:after="0"/>
              <w:rPr>
                <w:sz w:val="12"/>
                <w:szCs w:val="12"/>
                <w:color w:val="auto"/>
              </w:rPr>
            </w:pPr>
          </w:p>
        </w:tc>
        <w:tc>
          <w:tcPr>
            <w:tcW w:w="4240" w:type="dxa"/>
            <w:vAlign w:val="bottom"/>
          </w:tcPr>
          <w:p>
            <w:pPr>
              <w:spacing w:after="0"/>
              <w:rPr>
                <w:sz w:val="12"/>
                <w:szCs w:val="12"/>
                <w:color w:val="auto"/>
              </w:rPr>
            </w:pPr>
          </w:p>
        </w:tc>
        <w:tc>
          <w:tcPr>
            <w:tcW w:w="2600" w:type="dxa"/>
            <w:vAlign w:val="bottom"/>
          </w:tcPr>
          <w:p>
            <w:pPr>
              <w:spacing w:after="0"/>
              <w:rPr>
                <w:sz w:val="12"/>
                <w:szCs w:val="12"/>
                <w:color w:val="auto"/>
              </w:rPr>
            </w:pPr>
          </w:p>
        </w:tc>
        <w:tc>
          <w:tcPr>
            <w:tcW w:w="40" w:type="dxa"/>
            <w:vAlign w:val="bottom"/>
            <w:tcBorders>
              <w:top w:val="single" w:sz="8" w:color="auto"/>
            </w:tcBorders>
          </w:tcPr>
          <w:p>
            <w:pPr>
              <w:spacing w:after="0"/>
              <w:rPr>
                <w:sz w:val="12"/>
                <w:szCs w:val="12"/>
                <w:color w:val="auto"/>
              </w:rPr>
            </w:pPr>
          </w:p>
        </w:tc>
        <w:tc>
          <w:tcPr>
            <w:tcW w:w="60" w:type="dxa"/>
            <w:vAlign w:val="bottom"/>
            <w:tcBorders>
              <w:top w:val="single" w:sz="8" w:color="auto"/>
            </w:tcBorders>
          </w:tcPr>
          <w:p>
            <w:pPr>
              <w:spacing w:after="0"/>
              <w:rPr>
                <w:sz w:val="12"/>
                <w:szCs w:val="12"/>
                <w:color w:val="auto"/>
              </w:rPr>
            </w:pPr>
          </w:p>
        </w:tc>
        <w:tc>
          <w:tcPr>
            <w:tcW w:w="940" w:type="dxa"/>
            <w:vAlign w:val="bottom"/>
            <w:tcBorders>
              <w:top w:val="single" w:sz="8" w:color="auto"/>
            </w:tcBorders>
          </w:tcPr>
          <w:p>
            <w:pPr>
              <w:spacing w:after="0"/>
              <w:rPr>
                <w:sz w:val="12"/>
                <w:szCs w:val="12"/>
                <w:color w:val="auto"/>
              </w:rPr>
            </w:pPr>
          </w:p>
        </w:tc>
        <w:tc>
          <w:tcPr>
            <w:tcW w:w="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40" w:type="dxa"/>
            <w:vAlign w:val="bottom"/>
            <w:tcBorders>
              <w:top w:val="single" w:sz="8" w:color="auto"/>
            </w:tcBorders>
          </w:tcPr>
          <w:p>
            <w:pPr>
              <w:spacing w:after="0"/>
              <w:rPr>
                <w:sz w:val="12"/>
                <w:szCs w:val="12"/>
                <w:color w:val="auto"/>
              </w:rPr>
            </w:pPr>
          </w:p>
        </w:tc>
        <w:tc>
          <w:tcPr>
            <w:tcW w:w="1000" w:type="dxa"/>
            <w:vAlign w:val="bottom"/>
            <w:tcBorders>
              <w:top w:val="single" w:sz="8" w:color="auto"/>
            </w:tcBorders>
          </w:tcPr>
          <w:p>
            <w:pPr>
              <w:spacing w:after="0"/>
              <w:rPr>
                <w:sz w:val="12"/>
                <w:szCs w:val="12"/>
                <w:color w:val="auto"/>
              </w:rPr>
            </w:pPr>
          </w:p>
        </w:tc>
        <w:tc>
          <w:tcPr>
            <w:tcW w:w="80" w:type="dxa"/>
            <w:vAlign w:val="bottom"/>
          </w:tcPr>
          <w:p>
            <w:pPr>
              <w:spacing w:after="0"/>
              <w:rPr>
                <w:sz w:val="12"/>
                <w:szCs w:val="12"/>
                <w:color w:val="auto"/>
              </w:rPr>
            </w:pPr>
          </w:p>
        </w:tc>
        <w:tc>
          <w:tcPr>
            <w:tcW w:w="11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1160" w:type="dxa"/>
            <w:vAlign w:val="bottom"/>
            <w:vMerge w:val="continue"/>
          </w:tcPr>
          <w:p>
            <w:pPr>
              <w:spacing w:after="0"/>
              <w:rPr>
                <w:sz w:val="13"/>
                <w:szCs w:val="13"/>
                <w:color w:val="auto"/>
              </w:rPr>
            </w:pPr>
          </w:p>
        </w:tc>
        <w:tc>
          <w:tcPr>
            <w:tcW w:w="424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Corporate debt:</w:t>
            </w:r>
          </w:p>
        </w:tc>
        <w:tc>
          <w:tcPr>
            <w:tcW w:w="2600" w:type="dxa"/>
            <w:vAlign w:val="bottom"/>
            <w:shd w:val="clear" w:color="auto" w:fill="CCEEFF"/>
          </w:tcPr>
          <w:p>
            <w:pPr>
              <w:spacing w:after="0"/>
              <w:rPr>
                <w:sz w:val="13"/>
                <w:szCs w:val="13"/>
                <w:color w:val="auto"/>
              </w:rPr>
            </w:pPr>
          </w:p>
        </w:tc>
        <w:tc>
          <w:tcPr>
            <w:tcW w:w="4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40" w:type="dxa"/>
            <w:vAlign w:val="bottom"/>
            <w:shd w:val="clear" w:color="auto" w:fill="CCEEFF"/>
          </w:tcPr>
          <w:p>
            <w:pPr>
              <w:spacing w:after="0"/>
              <w:rPr>
                <w:sz w:val="13"/>
                <w:szCs w:val="13"/>
                <w:color w:val="auto"/>
              </w:rPr>
            </w:pPr>
          </w:p>
        </w:tc>
        <w:tc>
          <w:tcPr>
            <w:tcW w:w="100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1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1160" w:type="dxa"/>
            <w:vAlign w:val="bottom"/>
          </w:tcPr>
          <w:p>
            <w:pPr>
              <w:spacing w:after="0"/>
              <w:rPr>
                <w:sz w:val="14"/>
                <w:szCs w:val="14"/>
                <w:color w:val="auto"/>
              </w:rPr>
            </w:pPr>
          </w:p>
        </w:tc>
        <w:tc>
          <w:tcPr>
            <w:tcW w:w="4240" w:type="dxa"/>
            <w:vAlign w:val="bottom"/>
          </w:tcPr>
          <w:p>
            <w:pPr>
              <w:ind w:left="100"/>
              <w:spacing w:after="0"/>
              <w:rPr>
                <w:sz w:val="20"/>
                <w:szCs w:val="20"/>
                <w:color w:val="auto"/>
              </w:rPr>
            </w:pPr>
            <w:r>
              <w:rPr>
                <w:rFonts w:ascii="Arial" w:cs="Arial" w:eastAsia="Arial" w:hAnsi="Arial"/>
                <w:sz w:val="13"/>
                <w:szCs w:val="13"/>
                <w:color w:val="auto"/>
              </w:rPr>
              <w:t>Panama</w:t>
            </w:r>
          </w:p>
        </w:tc>
        <w:tc>
          <w:tcPr>
            <w:tcW w:w="3640" w:type="dxa"/>
            <w:vAlign w:val="bottom"/>
            <w:gridSpan w:val="4"/>
          </w:tcPr>
          <w:p>
            <w:pPr>
              <w:jc w:val="center"/>
              <w:ind w:left="3276"/>
              <w:spacing w:after="0"/>
              <w:rPr>
                <w:sz w:val="20"/>
                <w:szCs w:val="20"/>
                <w:color w:val="auto"/>
              </w:rPr>
            </w:pPr>
            <w:r>
              <w:rPr>
                <w:rFonts w:ascii="Arial" w:cs="Arial" w:eastAsia="Arial" w:hAnsi="Arial"/>
                <w:sz w:val="13"/>
                <w:szCs w:val="13"/>
                <w:color w:val="auto"/>
                <w:w w:val="92"/>
              </w:rPr>
              <w:t>6,157</w:t>
            </w:r>
          </w:p>
        </w:tc>
        <w:tc>
          <w:tcPr>
            <w:tcW w:w="20" w:type="dxa"/>
            <w:vAlign w:val="bottom"/>
          </w:tcPr>
          <w:p>
            <w:pPr>
              <w:spacing w:after="0"/>
              <w:rPr>
                <w:sz w:val="14"/>
                <w:szCs w:val="14"/>
                <w:color w:val="auto"/>
              </w:rPr>
            </w:pPr>
          </w:p>
        </w:tc>
        <w:tc>
          <w:tcPr>
            <w:tcW w:w="1180" w:type="dxa"/>
            <w:vAlign w:val="bottom"/>
            <w:gridSpan w:val="3"/>
          </w:tcPr>
          <w:p>
            <w:pPr>
              <w:jc w:val="right"/>
              <w:spacing w:after="0"/>
              <w:rPr>
                <w:sz w:val="20"/>
                <w:szCs w:val="20"/>
                <w:color w:val="auto"/>
              </w:rPr>
            </w:pPr>
            <w:r>
              <w:rPr>
                <w:rFonts w:ascii="Arial" w:cs="Arial" w:eastAsia="Arial" w:hAnsi="Arial"/>
                <w:sz w:val="13"/>
                <w:szCs w:val="13"/>
                <w:color w:val="auto"/>
              </w:rPr>
              <w:t>-</w:t>
            </w:r>
          </w:p>
        </w:tc>
        <w:tc>
          <w:tcPr>
            <w:tcW w:w="80" w:type="dxa"/>
            <w:vAlign w:val="bottom"/>
          </w:tcPr>
          <w:p>
            <w:pPr>
              <w:spacing w:after="0"/>
              <w:rPr>
                <w:sz w:val="14"/>
                <w:szCs w:val="14"/>
                <w:color w:val="auto"/>
              </w:rPr>
            </w:pPr>
          </w:p>
        </w:tc>
        <w:tc>
          <w:tcPr>
            <w:tcW w:w="11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1160" w:type="dxa"/>
            <w:vAlign w:val="bottom"/>
          </w:tcPr>
          <w:p>
            <w:pPr>
              <w:spacing w:after="0"/>
              <w:rPr>
                <w:sz w:val="12"/>
                <w:szCs w:val="12"/>
                <w:color w:val="auto"/>
              </w:rPr>
            </w:pPr>
          </w:p>
        </w:tc>
        <w:tc>
          <w:tcPr>
            <w:tcW w:w="4240" w:type="dxa"/>
            <w:vAlign w:val="bottom"/>
            <w:tcBorders>
              <w:top w:val="single" w:sz="8" w:color="CCEEFF"/>
            </w:tcBorders>
            <w:shd w:val="clear" w:color="auto" w:fill="CCEEFF"/>
          </w:tcPr>
          <w:p>
            <w:pPr>
              <w:spacing w:after="0"/>
              <w:rPr>
                <w:sz w:val="12"/>
                <w:szCs w:val="12"/>
                <w:color w:val="auto"/>
              </w:rPr>
            </w:pPr>
          </w:p>
        </w:tc>
        <w:tc>
          <w:tcPr>
            <w:tcW w:w="26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gridSpan w:val="2"/>
            <w:shd w:val="clear" w:color="auto" w:fill="CCEEFF"/>
          </w:tcPr>
          <w:p>
            <w:pPr>
              <w:spacing w:after="0"/>
              <w:rPr>
                <w:sz w:val="12"/>
                <w:szCs w:val="12"/>
                <w:color w:val="auto"/>
              </w:rPr>
            </w:pPr>
          </w:p>
        </w:tc>
        <w:tc>
          <w:tcPr>
            <w:tcW w:w="940" w:type="dxa"/>
            <w:vAlign w:val="bottom"/>
            <w:tcBorders>
              <w:top w:val="single" w:sz="8" w:color="auto"/>
              <w:bottom w:val="single" w:sz="8" w:color="auto"/>
            </w:tcBorders>
            <w:shd w:val="clear" w:color="auto" w:fill="CCEEFF"/>
          </w:tcPr>
          <w:p>
            <w:pPr>
              <w:jc w:val="center"/>
              <w:ind w:left="576"/>
              <w:spacing w:after="0" w:line="144" w:lineRule="exact"/>
              <w:rPr>
                <w:sz w:val="20"/>
                <w:szCs w:val="20"/>
                <w:color w:val="auto"/>
              </w:rPr>
            </w:pPr>
            <w:r>
              <w:rPr>
                <w:rFonts w:ascii="Arial" w:cs="Arial" w:eastAsia="Arial" w:hAnsi="Arial"/>
                <w:sz w:val="13"/>
                <w:szCs w:val="13"/>
                <w:color w:val="auto"/>
                <w:w w:val="92"/>
              </w:rPr>
              <w:t>6,157</w:t>
            </w:r>
          </w:p>
        </w:tc>
        <w:tc>
          <w:tcPr>
            <w:tcW w:w="2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1040" w:type="dxa"/>
            <w:vAlign w:val="bottom"/>
            <w:tcBorders>
              <w:top w:val="single" w:sz="8" w:color="auto"/>
              <w:bottom w:val="single" w:sz="8" w:color="auto"/>
            </w:tcBorders>
            <w:gridSpan w:val="2"/>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80" w:type="dxa"/>
            <w:vAlign w:val="bottom"/>
            <w:tcBorders>
              <w:top w:val="single" w:sz="8" w:color="CCEEFF"/>
            </w:tcBorders>
            <w:shd w:val="clear" w:color="auto" w:fill="CCEEFF"/>
          </w:tcPr>
          <w:p>
            <w:pPr>
              <w:spacing w:after="0"/>
              <w:rPr>
                <w:sz w:val="12"/>
                <w:szCs w:val="12"/>
                <w:color w:val="auto"/>
              </w:rPr>
            </w:pPr>
          </w:p>
        </w:tc>
        <w:tc>
          <w:tcPr>
            <w:tcW w:w="11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1160" w:type="dxa"/>
            <w:vAlign w:val="bottom"/>
            <w:vMerge w:val="restart"/>
          </w:tcPr>
          <w:p>
            <w:pPr>
              <w:spacing w:after="0"/>
              <w:rPr>
                <w:sz w:val="12"/>
                <w:szCs w:val="12"/>
                <w:color w:val="auto"/>
              </w:rPr>
            </w:pPr>
          </w:p>
        </w:tc>
        <w:tc>
          <w:tcPr>
            <w:tcW w:w="4240" w:type="dxa"/>
            <w:vAlign w:val="bottom"/>
          </w:tcPr>
          <w:p>
            <w:pPr>
              <w:spacing w:after="0"/>
              <w:rPr>
                <w:sz w:val="12"/>
                <w:szCs w:val="12"/>
                <w:color w:val="auto"/>
              </w:rPr>
            </w:pPr>
          </w:p>
        </w:tc>
        <w:tc>
          <w:tcPr>
            <w:tcW w:w="260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1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1160" w:type="dxa"/>
            <w:vAlign w:val="bottom"/>
            <w:vMerge w:val="continue"/>
          </w:tcPr>
          <w:p>
            <w:pPr>
              <w:spacing w:after="0"/>
              <w:rPr>
                <w:sz w:val="13"/>
                <w:szCs w:val="13"/>
                <w:color w:val="auto"/>
              </w:rPr>
            </w:pPr>
          </w:p>
        </w:tc>
        <w:tc>
          <w:tcPr>
            <w:tcW w:w="424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Sovereign debt:</w:t>
            </w:r>
          </w:p>
        </w:tc>
        <w:tc>
          <w:tcPr>
            <w:tcW w:w="2600" w:type="dxa"/>
            <w:vAlign w:val="bottom"/>
            <w:shd w:val="clear" w:color="auto" w:fill="CCEEFF"/>
          </w:tcPr>
          <w:p>
            <w:pPr>
              <w:spacing w:after="0"/>
              <w:rPr>
                <w:sz w:val="13"/>
                <w:szCs w:val="13"/>
                <w:color w:val="auto"/>
              </w:rPr>
            </w:pPr>
          </w:p>
        </w:tc>
        <w:tc>
          <w:tcPr>
            <w:tcW w:w="4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40" w:type="dxa"/>
            <w:vAlign w:val="bottom"/>
            <w:shd w:val="clear" w:color="auto" w:fill="CCEEFF"/>
          </w:tcPr>
          <w:p>
            <w:pPr>
              <w:spacing w:after="0"/>
              <w:rPr>
                <w:sz w:val="13"/>
                <w:szCs w:val="13"/>
                <w:color w:val="auto"/>
              </w:rPr>
            </w:pPr>
          </w:p>
        </w:tc>
        <w:tc>
          <w:tcPr>
            <w:tcW w:w="40" w:type="dxa"/>
            <w:vAlign w:val="bottom"/>
            <w:shd w:val="clear" w:color="auto" w:fill="CCEEFF"/>
          </w:tcPr>
          <w:p>
            <w:pPr>
              <w:spacing w:after="0"/>
              <w:rPr>
                <w:sz w:val="13"/>
                <w:szCs w:val="13"/>
                <w:color w:val="auto"/>
              </w:rPr>
            </w:pPr>
          </w:p>
        </w:tc>
        <w:tc>
          <w:tcPr>
            <w:tcW w:w="100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1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1160" w:type="dxa"/>
            <w:vAlign w:val="bottom"/>
          </w:tcPr>
          <w:p>
            <w:pPr>
              <w:spacing w:after="0"/>
              <w:rPr>
                <w:sz w:val="13"/>
                <w:szCs w:val="13"/>
                <w:color w:val="auto"/>
              </w:rPr>
            </w:pPr>
          </w:p>
        </w:tc>
        <w:tc>
          <w:tcPr>
            <w:tcW w:w="4240" w:type="dxa"/>
            <w:vAlign w:val="bottom"/>
          </w:tcPr>
          <w:p>
            <w:pPr>
              <w:ind w:left="100"/>
              <w:spacing w:after="0"/>
              <w:rPr>
                <w:sz w:val="20"/>
                <w:szCs w:val="20"/>
                <w:color w:val="auto"/>
              </w:rPr>
            </w:pPr>
            <w:r>
              <w:rPr>
                <w:rFonts w:ascii="Arial" w:cs="Arial" w:eastAsia="Arial" w:hAnsi="Arial"/>
                <w:sz w:val="13"/>
                <w:szCs w:val="13"/>
                <w:color w:val="auto"/>
              </w:rPr>
              <w:t>Brazil</w:t>
            </w:r>
          </w:p>
        </w:tc>
        <w:tc>
          <w:tcPr>
            <w:tcW w:w="3640" w:type="dxa"/>
            <w:vAlign w:val="bottom"/>
            <w:gridSpan w:val="4"/>
          </w:tcPr>
          <w:p>
            <w:pPr>
              <w:jc w:val="center"/>
              <w:ind w:left="3276"/>
              <w:spacing w:after="0"/>
              <w:rPr>
                <w:sz w:val="20"/>
                <w:szCs w:val="20"/>
                <w:color w:val="auto"/>
              </w:rPr>
            </w:pPr>
            <w:r>
              <w:rPr>
                <w:rFonts w:ascii="Arial" w:cs="Arial" w:eastAsia="Arial" w:hAnsi="Arial"/>
                <w:sz w:val="13"/>
                <w:szCs w:val="13"/>
                <w:color w:val="auto"/>
                <w:w w:val="92"/>
              </w:rPr>
              <w:t>2,887</w:t>
            </w:r>
          </w:p>
        </w:tc>
        <w:tc>
          <w:tcPr>
            <w:tcW w:w="20" w:type="dxa"/>
            <w:vAlign w:val="bottom"/>
          </w:tcPr>
          <w:p>
            <w:pPr>
              <w:spacing w:after="0"/>
              <w:rPr>
                <w:sz w:val="13"/>
                <w:szCs w:val="13"/>
                <w:color w:val="auto"/>
              </w:rPr>
            </w:pPr>
          </w:p>
        </w:tc>
        <w:tc>
          <w:tcPr>
            <w:tcW w:w="1180" w:type="dxa"/>
            <w:vAlign w:val="bottom"/>
            <w:gridSpan w:val="3"/>
          </w:tcPr>
          <w:p>
            <w:pPr>
              <w:jc w:val="right"/>
              <w:spacing w:after="0"/>
              <w:rPr>
                <w:sz w:val="20"/>
                <w:szCs w:val="20"/>
                <w:color w:val="auto"/>
              </w:rPr>
            </w:pPr>
            <w:r>
              <w:rPr>
                <w:rFonts w:ascii="Arial" w:cs="Arial" w:eastAsia="Arial" w:hAnsi="Arial"/>
                <w:sz w:val="13"/>
                <w:szCs w:val="13"/>
                <w:color w:val="auto"/>
              </w:rPr>
              <w:t>2,954</w:t>
            </w:r>
          </w:p>
        </w:tc>
        <w:tc>
          <w:tcPr>
            <w:tcW w:w="8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1160" w:type="dxa"/>
            <w:vAlign w:val="bottom"/>
          </w:tcPr>
          <w:p>
            <w:pPr>
              <w:spacing w:after="0"/>
              <w:rPr>
                <w:sz w:val="13"/>
                <w:szCs w:val="13"/>
                <w:color w:val="auto"/>
              </w:rPr>
            </w:pPr>
          </w:p>
        </w:tc>
        <w:tc>
          <w:tcPr>
            <w:tcW w:w="4240" w:type="dxa"/>
            <w:vAlign w:val="bottom"/>
            <w:shd w:val="clear" w:color="auto" w:fill="CCEEFF"/>
          </w:tcPr>
          <w:p>
            <w:pPr>
              <w:ind w:left="100"/>
              <w:spacing w:after="0"/>
              <w:rPr>
                <w:sz w:val="20"/>
                <w:szCs w:val="20"/>
                <w:color w:val="auto"/>
              </w:rPr>
            </w:pPr>
            <w:r>
              <w:rPr>
                <w:rFonts w:ascii="Arial" w:cs="Arial" w:eastAsia="Arial" w:hAnsi="Arial"/>
                <w:sz w:val="13"/>
                <w:szCs w:val="13"/>
                <w:color w:val="auto"/>
              </w:rPr>
              <w:t>Chile</w:t>
            </w:r>
          </w:p>
        </w:tc>
        <w:tc>
          <w:tcPr>
            <w:tcW w:w="3640" w:type="dxa"/>
            <w:vAlign w:val="bottom"/>
            <w:gridSpan w:val="4"/>
            <w:shd w:val="clear" w:color="auto" w:fill="CCEEFF"/>
          </w:tcPr>
          <w:p>
            <w:pPr>
              <w:jc w:val="center"/>
              <w:ind w:left="3276"/>
              <w:spacing w:after="0"/>
              <w:rPr>
                <w:sz w:val="20"/>
                <w:szCs w:val="20"/>
                <w:color w:val="auto"/>
              </w:rPr>
            </w:pPr>
            <w:r>
              <w:rPr>
                <w:rFonts w:ascii="Arial" w:cs="Arial" w:eastAsia="Arial" w:hAnsi="Arial"/>
                <w:sz w:val="13"/>
                <w:szCs w:val="13"/>
                <w:color w:val="auto"/>
                <w:w w:val="92"/>
              </w:rPr>
              <w:t>5,011</w:t>
            </w:r>
          </w:p>
        </w:tc>
        <w:tc>
          <w:tcPr>
            <w:tcW w:w="20" w:type="dxa"/>
            <w:vAlign w:val="bottom"/>
            <w:shd w:val="clear" w:color="auto" w:fill="CCEEFF"/>
          </w:tcPr>
          <w:p>
            <w:pPr>
              <w:spacing w:after="0"/>
              <w:rPr>
                <w:sz w:val="13"/>
                <w:szCs w:val="13"/>
                <w:color w:val="auto"/>
              </w:rPr>
            </w:pPr>
          </w:p>
        </w:tc>
        <w:tc>
          <w:tcPr>
            <w:tcW w:w="1180" w:type="dxa"/>
            <w:vAlign w:val="bottom"/>
            <w:gridSpan w:val="3"/>
            <w:shd w:val="clear" w:color="auto" w:fill="CCEEFF"/>
          </w:tcPr>
          <w:p>
            <w:pPr>
              <w:jc w:val="right"/>
              <w:spacing w:after="0"/>
              <w:rPr>
                <w:sz w:val="20"/>
                <w:szCs w:val="20"/>
                <w:color w:val="auto"/>
              </w:rPr>
            </w:pPr>
            <w:r>
              <w:rPr>
                <w:rFonts w:ascii="Arial" w:cs="Arial" w:eastAsia="Arial" w:hAnsi="Arial"/>
                <w:sz w:val="13"/>
                <w:szCs w:val="13"/>
                <w:color w:val="auto"/>
              </w:rPr>
              <w:t>5,147</w:t>
            </w:r>
          </w:p>
        </w:tc>
        <w:tc>
          <w:tcPr>
            <w:tcW w:w="80" w:type="dxa"/>
            <w:vAlign w:val="bottom"/>
            <w:shd w:val="clear" w:color="auto" w:fill="CCEEFF"/>
          </w:tcPr>
          <w:p>
            <w:pPr>
              <w:spacing w:after="0"/>
              <w:rPr>
                <w:sz w:val="13"/>
                <w:szCs w:val="13"/>
                <w:color w:val="auto"/>
              </w:rPr>
            </w:pPr>
          </w:p>
        </w:tc>
        <w:tc>
          <w:tcPr>
            <w:tcW w:w="11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1160" w:type="dxa"/>
            <w:vAlign w:val="bottom"/>
          </w:tcPr>
          <w:p>
            <w:pPr>
              <w:spacing w:after="0"/>
              <w:rPr>
                <w:sz w:val="14"/>
                <w:szCs w:val="14"/>
                <w:color w:val="auto"/>
              </w:rPr>
            </w:pPr>
          </w:p>
        </w:tc>
        <w:tc>
          <w:tcPr>
            <w:tcW w:w="4240" w:type="dxa"/>
            <w:vAlign w:val="bottom"/>
          </w:tcPr>
          <w:p>
            <w:pPr>
              <w:ind w:left="100"/>
              <w:spacing w:after="0"/>
              <w:rPr>
                <w:sz w:val="20"/>
                <w:szCs w:val="20"/>
                <w:color w:val="auto"/>
              </w:rPr>
            </w:pPr>
            <w:r>
              <w:rPr>
                <w:rFonts w:ascii="Arial" w:cs="Arial" w:eastAsia="Arial" w:hAnsi="Arial"/>
                <w:sz w:val="13"/>
                <w:szCs w:val="13"/>
                <w:color w:val="auto"/>
              </w:rPr>
              <w:t>Trinidad and Tobago</w:t>
            </w:r>
          </w:p>
        </w:tc>
        <w:tc>
          <w:tcPr>
            <w:tcW w:w="3640" w:type="dxa"/>
            <w:vAlign w:val="bottom"/>
            <w:gridSpan w:val="4"/>
          </w:tcPr>
          <w:p>
            <w:pPr>
              <w:jc w:val="center"/>
              <w:ind w:left="3276"/>
              <w:spacing w:after="0"/>
              <w:rPr>
                <w:sz w:val="20"/>
                <w:szCs w:val="20"/>
                <w:color w:val="auto"/>
              </w:rPr>
            </w:pPr>
            <w:r>
              <w:rPr>
                <w:rFonts w:ascii="Arial" w:cs="Arial" w:eastAsia="Arial" w:hAnsi="Arial"/>
                <w:sz w:val="13"/>
                <w:szCs w:val="13"/>
                <w:color w:val="auto"/>
                <w:w w:val="92"/>
              </w:rPr>
              <w:t>7,743</w:t>
            </w:r>
          </w:p>
        </w:tc>
        <w:tc>
          <w:tcPr>
            <w:tcW w:w="20" w:type="dxa"/>
            <w:vAlign w:val="bottom"/>
          </w:tcPr>
          <w:p>
            <w:pPr>
              <w:spacing w:after="0"/>
              <w:rPr>
                <w:sz w:val="14"/>
                <w:szCs w:val="14"/>
                <w:color w:val="auto"/>
              </w:rPr>
            </w:pPr>
          </w:p>
        </w:tc>
        <w:tc>
          <w:tcPr>
            <w:tcW w:w="1180" w:type="dxa"/>
            <w:vAlign w:val="bottom"/>
            <w:gridSpan w:val="3"/>
          </w:tcPr>
          <w:p>
            <w:pPr>
              <w:jc w:val="right"/>
              <w:spacing w:after="0"/>
              <w:rPr>
                <w:sz w:val="20"/>
                <w:szCs w:val="20"/>
                <w:color w:val="auto"/>
              </w:rPr>
            </w:pPr>
            <w:r>
              <w:rPr>
                <w:rFonts w:ascii="Arial" w:cs="Arial" w:eastAsia="Arial" w:hAnsi="Arial"/>
                <w:sz w:val="13"/>
                <w:szCs w:val="13"/>
                <w:color w:val="auto"/>
              </w:rPr>
              <w:t>8,632</w:t>
            </w:r>
          </w:p>
        </w:tc>
        <w:tc>
          <w:tcPr>
            <w:tcW w:w="80" w:type="dxa"/>
            <w:vAlign w:val="bottom"/>
          </w:tcPr>
          <w:p>
            <w:pPr>
              <w:spacing w:after="0"/>
              <w:rPr>
                <w:sz w:val="14"/>
                <w:szCs w:val="14"/>
                <w:color w:val="auto"/>
              </w:rPr>
            </w:pPr>
          </w:p>
        </w:tc>
        <w:tc>
          <w:tcPr>
            <w:tcW w:w="11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1160" w:type="dxa"/>
            <w:vAlign w:val="bottom"/>
          </w:tcPr>
          <w:p>
            <w:pPr>
              <w:spacing w:after="0"/>
              <w:rPr>
                <w:sz w:val="12"/>
                <w:szCs w:val="12"/>
                <w:color w:val="auto"/>
              </w:rPr>
            </w:pPr>
          </w:p>
        </w:tc>
        <w:tc>
          <w:tcPr>
            <w:tcW w:w="4240" w:type="dxa"/>
            <w:vAlign w:val="bottom"/>
            <w:tcBorders>
              <w:top w:val="single" w:sz="8" w:color="CCEEFF"/>
            </w:tcBorders>
            <w:shd w:val="clear" w:color="auto" w:fill="CCEEFF"/>
          </w:tcPr>
          <w:p>
            <w:pPr>
              <w:spacing w:after="0"/>
              <w:rPr>
                <w:sz w:val="12"/>
                <w:szCs w:val="12"/>
                <w:color w:val="auto"/>
              </w:rPr>
            </w:pPr>
          </w:p>
        </w:tc>
        <w:tc>
          <w:tcPr>
            <w:tcW w:w="26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gridSpan w:val="2"/>
            <w:shd w:val="clear" w:color="auto" w:fill="CCEEFF"/>
          </w:tcPr>
          <w:p>
            <w:pPr>
              <w:spacing w:after="0"/>
              <w:rPr>
                <w:sz w:val="12"/>
                <w:szCs w:val="12"/>
                <w:color w:val="auto"/>
              </w:rPr>
            </w:pPr>
          </w:p>
        </w:tc>
        <w:tc>
          <w:tcPr>
            <w:tcW w:w="9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15,641</w:t>
            </w:r>
          </w:p>
        </w:tc>
        <w:tc>
          <w:tcPr>
            <w:tcW w:w="2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1040" w:type="dxa"/>
            <w:vAlign w:val="bottom"/>
            <w:tcBorders>
              <w:top w:val="single" w:sz="8" w:color="auto"/>
              <w:bottom w:val="single" w:sz="8" w:color="auto"/>
            </w:tcBorders>
            <w:gridSpan w:val="2"/>
            <w:shd w:val="clear" w:color="auto" w:fill="CCEEFF"/>
          </w:tcPr>
          <w:p>
            <w:pPr>
              <w:jc w:val="right"/>
              <w:spacing w:after="0" w:line="144" w:lineRule="exact"/>
              <w:rPr>
                <w:sz w:val="20"/>
                <w:szCs w:val="20"/>
                <w:color w:val="auto"/>
              </w:rPr>
            </w:pPr>
            <w:r>
              <w:rPr>
                <w:rFonts w:ascii="Arial" w:cs="Arial" w:eastAsia="Arial" w:hAnsi="Arial"/>
                <w:sz w:val="13"/>
                <w:szCs w:val="13"/>
                <w:color w:val="auto"/>
              </w:rPr>
              <w:t>16,733</w:t>
            </w:r>
          </w:p>
        </w:tc>
        <w:tc>
          <w:tcPr>
            <w:tcW w:w="80" w:type="dxa"/>
            <w:vAlign w:val="bottom"/>
            <w:tcBorders>
              <w:top w:val="single" w:sz="8" w:color="CCEEFF"/>
            </w:tcBorders>
            <w:shd w:val="clear" w:color="auto" w:fill="CCEEFF"/>
          </w:tcPr>
          <w:p>
            <w:pPr>
              <w:spacing w:after="0"/>
              <w:rPr>
                <w:sz w:val="12"/>
                <w:szCs w:val="12"/>
                <w:color w:val="auto"/>
              </w:rPr>
            </w:pPr>
          </w:p>
        </w:tc>
        <w:tc>
          <w:tcPr>
            <w:tcW w:w="11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1160" w:type="dxa"/>
            <w:vAlign w:val="bottom"/>
          </w:tcPr>
          <w:p>
            <w:pPr>
              <w:spacing w:after="0"/>
              <w:rPr>
                <w:sz w:val="14"/>
                <w:szCs w:val="14"/>
                <w:color w:val="auto"/>
              </w:rPr>
            </w:pPr>
          </w:p>
        </w:tc>
        <w:tc>
          <w:tcPr>
            <w:tcW w:w="4240" w:type="dxa"/>
            <w:vAlign w:val="bottom"/>
          </w:tcPr>
          <w:p>
            <w:pPr>
              <w:spacing w:after="0"/>
              <w:rPr>
                <w:sz w:val="14"/>
                <w:szCs w:val="14"/>
                <w:color w:val="auto"/>
              </w:rPr>
            </w:pPr>
          </w:p>
        </w:tc>
        <w:tc>
          <w:tcPr>
            <w:tcW w:w="2600" w:type="dxa"/>
            <w:vAlign w:val="bottom"/>
          </w:tcPr>
          <w:p>
            <w:pPr>
              <w:spacing w:after="0"/>
              <w:rPr>
                <w:sz w:val="14"/>
                <w:szCs w:val="14"/>
                <w:color w:val="auto"/>
              </w:rPr>
            </w:pPr>
          </w:p>
        </w:tc>
        <w:tc>
          <w:tcPr>
            <w:tcW w:w="100" w:type="dxa"/>
            <w:vAlign w:val="bottom"/>
            <w:gridSpan w:val="2"/>
          </w:tcPr>
          <w:p>
            <w:pPr>
              <w:spacing w:after="0"/>
              <w:rPr>
                <w:sz w:val="14"/>
                <w:szCs w:val="14"/>
                <w:color w:val="auto"/>
              </w:rPr>
            </w:pPr>
          </w:p>
        </w:tc>
        <w:tc>
          <w:tcPr>
            <w:tcW w:w="94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21,798</w:t>
            </w:r>
          </w:p>
        </w:tc>
        <w:tc>
          <w:tcPr>
            <w:tcW w:w="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040" w:type="dxa"/>
            <w:vAlign w:val="bottom"/>
            <w:tcBorders>
              <w:bottom w:val="single" w:sz="8" w:color="auto"/>
            </w:tcBorders>
            <w:gridSpan w:val="2"/>
          </w:tcPr>
          <w:p>
            <w:pPr>
              <w:jc w:val="right"/>
              <w:spacing w:after="0"/>
              <w:rPr>
                <w:sz w:val="20"/>
                <w:szCs w:val="20"/>
                <w:color w:val="auto"/>
              </w:rPr>
            </w:pPr>
            <w:r>
              <w:rPr>
                <w:rFonts w:ascii="Arial" w:cs="Arial" w:eastAsia="Arial" w:hAnsi="Arial"/>
                <w:sz w:val="13"/>
                <w:szCs w:val="13"/>
                <w:b w:val="1"/>
                <w:bCs w:val="1"/>
                <w:color w:val="auto"/>
              </w:rPr>
              <w:t>16,733</w:t>
            </w:r>
          </w:p>
        </w:tc>
        <w:tc>
          <w:tcPr>
            <w:tcW w:w="80" w:type="dxa"/>
            <w:vAlign w:val="bottom"/>
          </w:tcPr>
          <w:p>
            <w:pPr>
              <w:spacing w:after="0"/>
              <w:rPr>
                <w:sz w:val="14"/>
                <w:szCs w:val="14"/>
                <w:color w:val="auto"/>
              </w:rPr>
            </w:pPr>
          </w:p>
        </w:tc>
        <w:tc>
          <w:tcPr>
            <w:tcW w:w="11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467"/>
        </w:trPr>
        <w:tc>
          <w:tcPr>
            <w:tcW w:w="1160" w:type="dxa"/>
            <w:vAlign w:val="bottom"/>
            <w:tcBorders>
              <w:bottom w:val="single" w:sz="8" w:color="auto"/>
            </w:tcBorders>
          </w:tcPr>
          <w:p>
            <w:pPr>
              <w:spacing w:after="0"/>
              <w:rPr>
                <w:sz w:val="24"/>
                <w:szCs w:val="24"/>
                <w:color w:val="auto"/>
              </w:rPr>
            </w:pPr>
          </w:p>
        </w:tc>
        <w:tc>
          <w:tcPr>
            <w:tcW w:w="4240" w:type="dxa"/>
            <w:vAlign w:val="bottom"/>
            <w:tcBorders>
              <w:bottom w:val="single" w:sz="8" w:color="auto"/>
            </w:tcBorders>
          </w:tcPr>
          <w:p>
            <w:pPr>
              <w:spacing w:after="0"/>
              <w:rPr>
                <w:sz w:val="24"/>
                <w:szCs w:val="24"/>
                <w:color w:val="auto"/>
              </w:rPr>
            </w:pPr>
          </w:p>
        </w:tc>
        <w:tc>
          <w:tcPr>
            <w:tcW w:w="3660" w:type="dxa"/>
            <w:vAlign w:val="bottom"/>
            <w:tcBorders>
              <w:bottom w:val="single" w:sz="8" w:color="auto"/>
            </w:tcBorders>
            <w:gridSpan w:val="5"/>
          </w:tcPr>
          <w:p>
            <w:pPr>
              <w:jc w:val="right"/>
              <w:ind w:right="3200"/>
              <w:spacing w:after="0"/>
              <w:rPr>
                <w:sz w:val="20"/>
                <w:szCs w:val="20"/>
                <w:color w:val="auto"/>
              </w:rPr>
            </w:pPr>
            <w:r>
              <w:rPr>
                <w:rFonts w:ascii="Arial" w:cs="Arial" w:eastAsia="Arial" w:hAnsi="Arial"/>
                <w:sz w:val="13"/>
                <w:szCs w:val="13"/>
                <w:color w:val="auto"/>
              </w:rPr>
              <w:t>F-39</w:t>
            </w:r>
          </w:p>
        </w:tc>
        <w:tc>
          <w:tcPr>
            <w:tcW w:w="1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0"/>
          </w:cols>
          <w:pgMar w:left="220" w:top="685" w:right="199" w:bottom="1440" w:gutter="0" w:footer="0" w:header="0"/>
        </w:sectPr>
      </w:pPr>
    </w:p>
    <w:bookmarkStart w:id="164" w:name="page165"/>
    <w:bookmarkEnd w:id="164"/>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22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128"/>
        </w:numPr>
        <w:rPr>
          <w:rFonts w:ascii="Arial" w:cs="Arial" w:eastAsia="Arial" w:hAnsi="Arial"/>
          <w:sz w:val="13"/>
          <w:szCs w:val="13"/>
          <w:b w:val="1"/>
          <w:bCs w:val="1"/>
          <w:color w:val="auto"/>
        </w:rPr>
      </w:pPr>
      <w:r>
        <w:rPr>
          <w:rFonts w:ascii="Arial" w:cs="Arial" w:eastAsia="Arial" w:hAnsi="Arial"/>
          <w:sz w:val="13"/>
          <w:szCs w:val="13"/>
          <w:b w:val="1"/>
          <w:bCs w:val="1"/>
          <w:color w:val="auto"/>
        </w:rPr>
        <w:t>Securities and other financial assets</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Securities at fair value through other comprehensive income (FVOCI) (continued)</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2"/>
          <w:szCs w:val="12"/>
          <w:color w:val="222222"/>
        </w:rPr>
        <w:t>As of December 31, 2018, and 2017, t</w:t>
      </w:r>
      <w:r>
        <w:rPr>
          <w:rFonts w:ascii="Arial" w:cs="Arial" w:eastAsia="Arial" w:hAnsi="Arial"/>
          <w:sz w:val="12"/>
          <w:szCs w:val="12"/>
          <w:color w:val="000000"/>
        </w:rPr>
        <w:t>he allowance for expected credit losses relating to securities at fair value through other comprehensive income amounted to $172 thousand and $222 thousand, respectively.</w:t>
      </w:r>
    </w:p>
    <w:p>
      <w:pPr>
        <w:spacing w:after="0" w:line="170" w:lineRule="exact"/>
        <w:rPr>
          <w:rFonts w:ascii="Arial" w:cs="Arial" w:eastAsia="Arial" w:hAnsi="Arial"/>
          <w:sz w:val="13"/>
          <w:szCs w:val="13"/>
          <w:b w:val="1"/>
          <w:bCs w:val="1"/>
          <w:color w:val="auto"/>
        </w:rPr>
      </w:pP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As of December 31, 2018, securities at fair value through other comprehensive income with a carrying value of $4.6 million, were pledged to secure repurchase transactions accounted for as secured financings. As of December 31, 2017, there were no securities at fair value through other comprehensive income accounted for as secured financings.</w:t>
      </w:r>
    </w:p>
    <w:p>
      <w:pPr>
        <w:spacing w:after="0" w:line="129"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following table presents the realized gains or losses on sale of securities at fair value through other comprehensive income:</w:t>
      </w:r>
    </w:p>
    <w:p>
      <w:pPr>
        <w:spacing w:after="0" w:line="164" w:lineRule="exact"/>
        <w:rPr>
          <w:sz w:val="20"/>
          <w:szCs w:val="20"/>
          <w:color w:val="auto"/>
        </w:rPr>
      </w:pPr>
    </w:p>
    <w:p>
      <w:pPr>
        <w:ind w:left="8163"/>
        <w:spacing w:after="0"/>
        <w:rPr>
          <w:sz w:val="20"/>
          <w:szCs w:val="20"/>
          <w:color w:val="auto"/>
        </w:rPr>
      </w:pPr>
      <w:r>
        <w:rPr>
          <w:rFonts w:ascii="Arial" w:cs="Arial" w:eastAsia="Arial" w:hAnsi="Arial"/>
          <w:sz w:val="13"/>
          <w:szCs w:val="13"/>
          <w:b w:val="1"/>
          <w:bCs w:val="1"/>
          <w:color w:val="auto"/>
        </w:rPr>
        <w:t>Years ended December 31,</w:t>
      </w:r>
    </w:p>
    <w:p>
      <w:pPr>
        <w:spacing w:after="0" w:line="17" w:lineRule="exact"/>
        <w:rPr>
          <w:sz w:val="20"/>
          <w:szCs w:val="20"/>
          <w:color w:val="auto"/>
        </w:rPr>
      </w:pPr>
    </w:p>
    <w:tbl>
      <w:tblPr>
        <w:tblLayout w:type="fixed"/>
        <w:tblInd w:w="583" w:type="dxa"/>
        <w:tblCellMar>
          <w:top w:w="0" w:type="dxa"/>
          <w:left w:w="0" w:type="dxa"/>
          <w:bottom w:w="0" w:type="dxa"/>
          <w:right w:w="0" w:type="dxa"/>
        </w:tblCellMar>
      </w:tblPr>
      <w:tr>
        <w:trPr>
          <w:trHeight w:val="154"/>
        </w:trPr>
        <w:tc>
          <w:tcPr>
            <w:tcW w:w="6400" w:type="dxa"/>
            <w:vAlign w:val="bottom"/>
          </w:tcPr>
          <w:p>
            <w:pPr>
              <w:spacing w:after="0"/>
              <w:rPr>
                <w:sz w:val="13"/>
                <w:szCs w:val="13"/>
                <w:color w:val="auto"/>
              </w:rPr>
            </w:pPr>
          </w:p>
        </w:tc>
        <w:tc>
          <w:tcPr>
            <w:tcW w:w="820" w:type="dxa"/>
            <w:vAlign w:val="bottom"/>
            <w:tcBorders>
              <w:top w:val="single" w:sz="8" w:color="auto"/>
            </w:tcBorders>
          </w:tcPr>
          <w:p>
            <w:pPr>
              <w:jc w:val="right"/>
              <w:ind w:right="56"/>
              <w:spacing w:after="0"/>
              <w:rPr>
                <w:sz w:val="20"/>
                <w:szCs w:val="20"/>
                <w:color w:val="auto"/>
              </w:rPr>
            </w:pPr>
            <w:r>
              <w:rPr>
                <w:rFonts w:ascii="Arial" w:cs="Arial" w:eastAsia="Arial" w:hAnsi="Arial"/>
                <w:sz w:val="13"/>
                <w:szCs w:val="13"/>
                <w:b w:val="1"/>
                <w:bCs w:val="1"/>
                <w:color w:val="auto"/>
              </w:rPr>
              <w:t>2018</w:t>
            </w:r>
          </w:p>
        </w:tc>
        <w:tc>
          <w:tcPr>
            <w:tcW w:w="1340" w:type="dxa"/>
            <w:vAlign w:val="bottom"/>
            <w:tcBorders>
              <w:top w:val="single" w:sz="8" w:color="auto"/>
            </w:tcBorders>
            <w:gridSpan w:val="3"/>
          </w:tcPr>
          <w:p>
            <w:pPr>
              <w:jc w:val="right"/>
              <w:ind w:right="100"/>
              <w:spacing w:after="0"/>
              <w:rPr>
                <w:sz w:val="20"/>
                <w:szCs w:val="20"/>
                <w:color w:val="auto"/>
              </w:rPr>
            </w:pPr>
            <w:r>
              <w:rPr>
                <w:rFonts w:ascii="Arial" w:cs="Arial" w:eastAsia="Arial" w:hAnsi="Arial"/>
                <w:sz w:val="13"/>
                <w:szCs w:val="13"/>
                <w:b w:val="1"/>
                <w:bCs w:val="1"/>
                <w:color w:val="auto"/>
              </w:rPr>
              <w:t>2017</w:t>
            </w:r>
          </w:p>
        </w:tc>
        <w:tc>
          <w:tcPr>
            <w:tcW w:w="340" w:type="dxa"/>
            <w:vAlign w:val="bottom"/>
            <w:tcBorders>
              <w:top w:val="single" w:sz="8" w:color="auto"/>
            </w:tcBorders>
          </w:tcPr>
          <w:p>
            <w:pPr>
              <w:spacing w:after="0"/>
              <w:rPr>
                <w:sz w:val="13"/>
                <w:szCs w:val="13"/>
                <w:color w:val="auto"/>
              </w:rPr>
            </w:pPr>
          </w:p>
        </w:tc>
        <w:tc>
          <w:tcPr>
            <w:tcW w:w="200" w:type="dxa"/>
            <w:vAlign w:val="bottom"/>
            <w:tcBorders>
              <w:top w:val="single" w:sz="8" w:color="auto"/>
            </w:tcBorders>
          </w:tcPr>
          <w:p>
            <w:pPr>
              <w:spacing w:after="0"/>
              <w:rPr>
                <w:sz w:val="13"/>
                <w:szCs w:val="13"/>
                <w:color w:val="auto"/>
              </w:rPr>
            </w:pPr>
          </w:p>
        </w:tc>
        <w:tc>
          <w:tcPr>
            <w:tcW w:w="1120" w:type="dxa"/>
            <w:vAlign w:val="bottom"/>
            <w:tcBorders>
              <w:top w:val="single" w:sz="8" w:color="auto"/>
            </w:tcBorders>
          </w:tcPr>
          <w:p>
            <w:pPr>
              <w:jc w:val="right"/>
              <w:ind w:right="376"/>
              <w:spacing w:after="0"/>
              <w:rPr>
                <w:sz w:val="20"/>
                <w:szCs w:val="20"/>
                <w:color w:val="auto"/>
              </w:rPr>
            </w:pPr>
            <w:r>
              <w:rPr>
                <w:rFonts w:ascii="Arial" w:cs="Arial" w:eastAsia="Arial" w:hAnsi="Arial"/>
                <w:sz w:val="13"/>
                <w:szCs w:val="13"/>
                <w:b w:val="1"/>
                <w:bCs w:val="1"/>
                <w:color w:val="auto"/>
              </w:rPr>
              <w:t>2016</w:t>
            </w:r>
          </w:p>
        </w:tc>
        <w:tc>
          <w:tcPr>
            <w:tcW w:w="100" w:type="dxa"/>
            <w:vAlign w:val="bottom"/>
          </w:tcPr>
          <w:p>
            <w:pPr>
              <w:spacing w:after="0"/>
              <w:rPr>
                <w:sz w:val="13"/>
                <w:szCs w:val="13"/>
                <w:color w:val="auto"/>
              </w:rPr>
            </w:pPr>
          </w:p>
        </w:tc>
      </w:tr>
      <w:tr>
        <w:trPr>
          <w:trHeight w:val="144"/>
        </w:trPr>
        <w:tc>
          <w:tcPr>
            <w:tcW w:w="6400" w:type="dxa"/>
            <w:vAlign w:val="bottom"/>
            <w:tcBorders>
              <w:top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Realized gain on sale of securities</w:t>
            </w:r>
          </w:p>
        </w:tc>
        <w:tc>
          <w:tcPr>
            <w:tcW w:w="820" w:type="dxa"/>
            <w:vAlign w:val="bottom"/>
            <w:tcBorders>
              <w:top w:val="single" w:sz="8" w:color="auto"/>
            </w:tcBorders>
            <w:shd w:val="clear" w:color="auto" w:fill="CCEEFF"/>
          </w:tcPr>
          <w:p>
            <w:pPr>
              <w:spacing w:after="0"/>
              <w:rPr>
                <w:sz w:val="12"/>
                <w:szCs w:val="12"/>
                <w:color w:val="auto"/>
              </w:rPr>
            </w:pPr>
          </w:p>
        </w:tc>
        <w:tc>
          <w:tcPr>
            <w:tcW w:w="3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194</w:t>
            </w:r>
          </w:p>
        </w:tc>
        <w:tc>
          <w:tcPr>
            <w:tcW w:w="22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34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766</w:t>
            </w:r>
          </w:p>
        </w:tc>
        <w:tc>
          <w:tcPr>
            <w:tcW w:w="200" w:type="dxa"/>
            <w:vAlign w:val="bottom"/>
            <w:tcBorders>
              <w:top w:val="single" w:sz="8" w:color="CCEEFF"/>
            </w:tcBorders>
            <w:shd w:val="clear" w:color="auto" w:fill="CCEEFF"/>
          </w:tcPr>
          <w:p>
            <w:pPr>
              <w:spacing w:after="0"/>
              <w:rPr>
                <w:sz w:val="12"/>
                <w:szCs w:val="12"/>
                <w:color w:val="auto"/>
              </w:rPr>
            </w:pPr>
          </w:p>
        </w:tc>
        <w:tc>
          <w:tcPr>
            <w:tcW w:w="11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221</w:t>
            </w:r>
          </w:p>
        </w:tc>
        <w:tc>
          <w:tcPr>
            <w:tcW w:w="100" w:type="dxa"/>
            <w:vAlign w:val="bottom"/>
            <w:tcBorders>
              <w:top w:val="single" w:sz="8" w:color="CCEEFF"/>
            </w:tcBorders>
            <w:shd w:val="clear" w:color="auto" w:fill="CCEEFF"/>
          </w:tcPr>
          <w:p>
            <w:pPr>
              <w:spacing w:after="0"/>
              <w:rPr>
                <w:sz w:val="12"/>
                <w:szCs w:val="12"/>
                <w:color w:val="auto"/>
              </w:rPr>
            </w:pPr>
          </w:p>
        </w:tc>
      </w:tr>
      <w:tr>
        <w:trPr>
          <w:trHeight w:val="164"/>
        </w:trPr>
        <w:tc>
          <w:tcPr>
            <w:tcW w:w="7220" w:type="dxa"/>
            <w:vAlign w:val="bottom"/>
            <w:gridSpan w:val="2"/>
          </w:tcPr>
          <w:p>
            <w:pPr>
              <w:spacing w:after="0"/>
              <w:rPr>
                <w:sz w:val="20"/>
                <w:szCs w:val="20"/>
                <w:color w:val="auto"/>
              </w:rPr>
            </w:pPr>
            <w:r>
              <w:rPr>
                <w:rFonts w:ascii="Arial" w:cs="Arial" w:eastAsia="Arial" w:hAnsi="Arial"/>
                <w:sz w:val="13"/>
                <w:szCs w:val="13"/>
                <w:color w:val="auto"/>
              </w:rPr>
              <w:t>Realized loss on sale of securities</w:t>
            </w:r>
          </w:p>
        </w:tc>
        <w:tc>
          <w:tcPr>
            <w:tcW w:w="3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540" w:type="dxa"/>
            <w:vAlign w:val="bottom"/>
            <w:gridSpan w:val="2"/>
          </w:tcPr>
          <w:p>
            <w:pPr>
              <w:jc w:val="right"/>
              <w:ind w:right="160"/>
              <w:spacing w:after="0"/>
              <w:rPr>
                <w:sz w:val="20"/>
                <w:szCs w:val="20"/>
                <w:color w:val="auto"/>
              </w:rPr>
            </w:pPr>
            <w:r>
              <w:rPr>
                <w:rFonts w:ascii="Arial" w:cs="Arial" w:eastAsia="Arial" w:hAnsi="Arial"/>
                <w:sz w:val="13"/>
                <w:szCs w:val="13"/>
                <w:color w:val="auto"/>
              </w:rPr>
              <w:t>(517)</w:t>
            </w:r>
          </w:p>
        </w:tc>
        <w:tc>
          <w:tcPr>
            <w:tcW w:w="1220" w:type="dxa"/>
            <w:vAlign w:val="bottom"/>
            <w:gridSpan w:val="2"/>
          </w:tcPr>
          <w:p>
            <w:pPr>
              <w:jc w:val="right"/>
              <w:ind w:right="23"/>
              <w:spacing w:after="0"/>
              <w:rPr>
                <w:sz w:val="20"/>
                <w:szCs w:val="20"/>
                <w:color w:val="auto"/>
              </w:rPr>
            </w:pPr>
            <w:r>
              <w:rPr>
                <w:rFonts w:ascii="Arial" w:cs="Arial" w:eastAsia="Arial" w:hAnsi="Arial"/>
                <w:sz w:val="13"/>
                <w:szCs w:val="13"/>
                <w:color w:val="auto"/>
              </w:rPr>
              <w:t>(577)</w:t>
            </w:r>
          </w:p>
        </w:tc>
      </w:tr>
      <w:tr>
        <w:trPr>
          <w:trHeight w:val="162"/>
        </w:trPr>
        <w:tc>
          <w:tcPr>
            <w:tcW w:w="6400" w:type="dxa"/>
            <w:vAlign w:val="bottom"/>
            <w:tcBorders>
              <w:top w:val="single" w:sz="8" w:color="CCEEFF"/>
              <w:bottom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Net gain (loss) on sale of securities at FVOCI</w:t>
            </w:r>
          </w:p>
        </w:tc>
        <w:tc>
          <w:tcPr>
            <w:tcW w:w="820" w:type="dxa"/>
            <w:vAlign w:val="bottom"/>
            <w:tcBorders>
              <w:top w:val="single" w:sz="8" w:color="auto"/>
              <w:bottom w:val="single" w:sz="8" w:color="auto"/>
            </w:tcBorders>
            <w:shd w:val="clear" w:color="auto" w:fill="CCEEFF"/>
          </w:tcPr>
          <w:p>
            <w:pPr>
              <w:spacing w:after="0"/>
              <w:rPr>
                <w:sz w:val="14"/>
                <w:szCs w:val="14"/>
                <w:color w:val="auto"/>
              </w:rPr>
            </w:pPr>
          </w:p>
        </w:tc>
        <w:tc>
          <w:tcPr>
            <w:tcW w:w="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194</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800" w:type="dxa"/>
            <w:vAlign w:val="bottom"/>
            <w:tcBorders>
              <w:top w:val="single" w:sz="8" w:color="auto"/>
              <w:bottom w:val="single" w:sz="8" w:color="auto"/>
            </w:tcBorders>
            <w:shd w:val="clear" w:color="auto" w:fill="CCEEFF"/>
          </w:tcPr>
          <w:p>
            <w:pPr>
              <w:spacing w:after="0"/>
              <w:rPr>
                <w:sz w:val="14"/>
                <w:szCs w:val="14"/>
                <w:color w:val="auto"/>
              </w:rPr>
            </w:pPr>
          </w:p>
        </w:tc>
        <w:tc>
          <w:tcPr>
            <w:tcW w:w="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249</w:t>
            </w:r>
          </w:p>
        </w:tc>
        <w:tc>
          <w:tcPr>
            <w:tcW w:w="200" w:type="dxa"/>
            <w:vAlign w:val="bottom"/>
            <w:tcBorders>
              <w:top w:val="single" w:sz="8" w:color="CCEEFF"/>
              <w:bottom w:val="single" w:sz="8" w:color="CCEEFF"/>
            </w:tcBorders>
            <w:shd w:val="clear" w:color="auto" w:fill="CCEEFF"/>
          </w:tcPr>
          <w:p>
            <w:pPr>
              <w:spacing w:after="0"/>
              <w:rPr>
                <w:sz w:val="14"/>
                <w:szCs w:val="14"/>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(356</w:t>
            </w:r>
          </w:p>
        </w:tc>
        <w:tc>
          <w:tcPr>
            <w:tcW w:w="100" w:type="dxa"/>
            <w:vAlign w:val="bottom"/>
            <w:tcBorders>
              <w:top w:val="single" w:sz="8" w:color="CCEEFF"/>
              <w:bottom w:val="single" w:sz="8" w:color="CCEEFF"/>
            </w:tcBorders>
            <w:shd w:val="clear" w:color="auto" w:fill="CCEEFF"/>
          </w:tcPr>
          <w:p>
            <w:pPr>
              <w:jc w:val="right"/>
              <w:ind w:right="23"/>
              <w:spacing w:after="0"/>
              <w:rPr>
                <w:sz w:val="20"/>
                <w:szCs w:val="20"/>
                <w:color w:val="auto"/>
              </w:rPr>
            </w:pPr>
            <w:r>
              <w:rPr>
                <w:rFonts w:ascii="Arial" w:cs="Arial" w:eastAsia="Arial" w:hAnsi="Arial"/>
                <w:sz w:val="7"/>
                <w:szCs w:val="7"/>
                <w:b w:val="1"/>
                <w:bCs w:val="1"/>
                <w:color w:val="auto"/>
                <w:w w:val="83"/>
              </w:rPr>
              <w:t>)</w:t>
            </w:r>
          </w:p>
        </w:tc>
      </w:tr>
    </w:tbl>
    <w:p>
      <w:pPr>
        <w:spacing w:after="0" w:line="145" w:lineRule="exact"/>
        <w:rPr>
          <w:sz w:val="20"/>
          <w:szCs w:val="20"/>
          <w:color w:val="auto"/>
        </w:rPr>
      </w:pPr>
    </w:p>
    <w:p>
      <w:pPr>
        <w:sectPr>
          <w:pgSz w:w="11900" w:h="16838" w:orient="portrait"/>
          <w:cols w:equalWidth="0" w:num="1">
            <w:col w:w="11483"/>
          </w:cols>
          <w:pgMar w:left="217" w:top="685" w:right="199" w:bottom="1440" w:gutter="0" w:footer="0" w:header="0"/>
        </w:sectPr>
      </w:pPr>
    </w:p>
    <w:p>
      <w:pPr>
        <w:ind w:left="223"/>
        <w:spacing w:after="0"/>
        <w:rPr>
          <w:sz w:val="20"/>
          <w:szCs w:val="20"/>
          <w:color w:val="auto"/>
        </w:rPr>
      </w:pPr>
      <w:r>
        <w:rPr>
          <w:rFonts w:ascii="Arial" w:cs="Arial" w:eastAsia="Arial" w:hAnsi="Arial"/>
          <w:sz w:val="13"/>
          <w:szCs w:val="13"/>
          <w:color w:val="auto"/>
        </w:rPr>
        <w:t>Securities at FVOCI classified by issuer’s credit quality indicators are as follows:</w:t>
      </w:r>
    </w:p>
    <w:p>
      <w:pPr>
        <w:spacing w:after="0" w:line="299" w:lineRule="exact"/>
        <w:rPr>
          <w:sz w:val="20"/>
          <w:szCs w:val="20"/>
          <w:color w:val="auto"/>
        </w:rPr>
      </w:pPr>
    </w:p>
    <w:p>
      <w:pPr>
        <w:ind w:left="4363"/>
        <w:spacing w:after="0"/>
        <w:rPr>
          <w:sz w:val="20"/>
          <w:szCs w:val="20"/>
          <w:color w:val="auto"/>
        </w:rPr>
      </w:pPr>
      <w:r>
        <w:rPr>
          <w:rFonts w:ascii="Arial" w:cs="Arial" w:eastAsia="Arial" w:hAnsi="Arial"/>
          <w:sz w:val="13"/>
          <w:szCs w:val="13"/>
          <w:b w:val="1"/>
          <w:bCs w:val="1"/>
          <w:color w:val="auto"/>
        </w:rPr>
        <w:t>Rating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733425</wp:posOffset>
            </wp:positionH>
            <wp:positionV relativeFrom="paragraph">
              <wp:posOffset>17145</wp:posOffset>
            </wp:positionV>
            <wp:extent cx="5824855" cy="104140"/>
            <wp:wrapNone/>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226">
                      <a:extLst>
                        <a:ext uri="{28A0092B-C50C-407E-A947-70E740481C1C}"/>
                      </a:extLst>
                    </a:blip>
                    <a:srcRect/>
                    <a:stretch>
                      <a:fillRect/>
                    </a:stretch>
                  </pic:blipFill>
                  <pic:spPr bwMode="auto">
                    <a:xfrm>
                      <a:off x="0" y="0"/>
                      <a:ext cx="5824855" cy="104140"/>
                    </a:xfrm>
                    <a:prstGeom prst="rect">
                      <a:avLst/>
                    </a:prstGeom>
                    <a:noFill/>
                  </pic:spPr>
                </pic:pic>
              </a:graphicData>
            </a:graphic>
          </wp:anchor>
        </w:drawing>
      </w:r>
    </w:p>
    <w:p>
      <w:pPr>
        <w:spacing w:after="0" w:line="8" w:lineRule="exact"/>
        <w:rPr>
          <w:sz w:val="20"/>
          <w:szCs w:val="20"/>
          <w:color w:val="auto"/>
        </w:rPr>
      </w:pPr>
    </w:p>
    <w:p>
      <w:pPr>
        <w:ind w:left="4523"/>
        <w:spacing w:after="0"/>
        <w:rPr>
          <w:sz w:val="20"/>
          <w:szCs w:val="20"/>
          <w:color w:val="auto"/>
        </w:rPr>
      </w:pPr>
      <w:r>
        <w:rPr>
          <w:rFonts w:ascii="Arial" w:cs="Arial" w:eastAsia="Arial" w:hAnsi="Arial"/>
          <w:sz w:val="13"/>
          <w:szCs w:val="13"/>
          <w:color w:val="auto"/>
        </w:rPr>
        <w:t>1</w:t>
      </w:r>
    </w:p>
    <w:p>
      <w:pPr>
        <w:spacing w:after="0" w:line="13" w:lineRule="exact"/>
        <w:rPr>
          <w:sz w:val="20"/>
          <w:szCs w:val="20"/>
          <w:color w:val="auto"/>
        </w:rPr>
      </w:pPr>
    </w:p>
    <w:p>
      <w:pPr>
        <w:ind w:left="4523"/>
        <w:spacing w:after="0"/>
        <w:rPr>
          <w:sz w:val="20"/>
          <w:szCs w:val="20"/>
          <w:color w:val="auto"/>
        </w:rPr>
      </w:pPr>
      <w:r>
        <w:rPr>
          <w:rFonts w:ascii="Arial" w:cs="Arial" w:eastAsia="Arial" w:hAnsi="Arial"/>
          <w:sz w:val="13"/>
          <w:szCs w:val="13"/>
          <w:color w:val="auto"/>
        </w:rPr>
        <w:t>4</w:t>
      </w:r>
    </w:p>
    <w:p>
      <w:pPr>
        <w:spacing w:after="0" w:line="5" w:lineRule="exact"/>
        <w:rPr>
          <w:sz w:val="20"/>
          <w:szCs w:val="20"/>
          <w:color w:val="auto"/>
        </w:rPr>
      </w:pPr>
    </w:p>
    <w:p>
      <w:pPr>
        <w:ind w:left="4523"/>
        <w:spacing w:after="0"/>
        <w:rPr>
          <w:sz w:val="20"/>
          <w:szCs w:val="20"/>
          <w:color w:val="auto"/>
        </w:rPr>
      </w:pPr>
      <w:r>
        <w:rPr>
          <w:rFonts w:ascii="Arial" w:cs="Arial" w:eastAsia="Arial" w:hAnsi="Arial"/>
          <w:sz w:val="13"/>
          <w:szCs w:val="13"/>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733425</wp:posOffset>
            </wp:positionH>
            <wp:positionV relativeFrom="paragraph">
              <wp:posOffset>-93980</wp:posOffset>
            </wp:positionV>
            <wp:extent cx="5824855" cy="104140"/>
            <wp:wrapNone/>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227">
                      <a:extLst>
                        <a:ext uri="{28A0092B-C50C-407E-A947-70E740481C1C}"/>
                      </a:extLst>
                    </a:blip>
                    <a:srcRect/>
                    <a:stretch>
                      <a:fillRect/>
                    </a:stretch>
                  </pic:blipFill>
                  <pic:spPr bwMode="auto">
                    <a:xfrm>
                      <a:off x="0" y="0"/>
                      <a:ext cx="5824855" cy="104140"/>
                    </a:xfrm>
                    <a:prstGeom prst="rect">
                      <a:avLst/>
                    </a:prstGeom>
                    <a:noFill/>
                  </pic:spPr>
                </pic:pic>
              </a:graphicData>
            </a:graphic>
          </wp:anchor>
        </w:drawing>
      </w:r>
    </w:p>
    <w:p>
      <w:pPr>
        <w:ind w:left="4423"/>
        <w:spacing w:after="0"/>
        <w:rPr>
          <w:sz w:val="20"/>
          <w:szCs w:val="20"/>
          <w:color w:val="auto"/>
        </w:rPr>
      </w:pPr>
      <w:r>
        <w:rPr>
          <w:rFonts w:ascii="Arial" w:cs="Arial" w:eastAsia="Arial" w:hAnsi="Arial"/>
          <w:sz w:val="13"/>
          <w:szCs w:val="13"/>
          <w:color w:val="auto"/>
        </w:rPr>
        <w:t>Total</w:t>
      </w:r>
    </w:p>
    <w:p>
      <w:pPr>
        <w:spacing w:after="0" w:line="207" w:lineRule="exact"/>
        <w:rPr>
          <w:sz w:val="20"/>
          <w:szCs w:val="20"/>
          <w:color w:val="auto"/>
        </w:rPr>
      </w:pPr>
    </w:p>
    <w:p>
      <w:pPr>
        <w:ind w:left="223"/>
        <w:spacing w:after="0"/>
        <w:rPr>
          <w:sz w:val="20"/>
          <w:szCs w:val="20"/>
          <w:color w:val="auto"/>
        </w:rPr>
      </w:pPr>
      <w:r>
        <w:rPr>
          <w:rFonts w:ascii="Arial" w:cs="Arial" w:eastAsia="Arial" w:hAnsi="Arial"/>
          <w:sz w:val="11"/>
          <w:szCs w:val="11"/>
          <w:color w:val="auto"/>
        </w:rPr>
        <w:t>The amortized cost and fair value of securities at FVOCI by contractual maturity are shown in the following tables:</w:t>
      </w:r>
    </w:p>
    <w:p>
      <w:pPr>
        <w:spacing w:after="0" w:line="20" w:lineRule="exact"/>
        <w:rPr>
          <w:sz w:val="20"/>
          <w:szCs w:val="20"/>
          <w:color w:val="auto"/>
        </w:rPr>
      </w:pPr>
      <w:r>
        <w:rPr>
          <w:sz w:val="20"/>
          <w:szCs w:val="20"/>
          <w:color w:val="auto"/>
        </w:rPr>
        <w:br w:type="column"/>
      </w:r>
    </w:p>
    <w:p>
      <w:pPr>
        <w:spacing w:after="0" w:line="284"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54"/>
        </w:trPr>
        <w:tc>
          <w:tcPr>
            <w:tcW w:w="1200" w:type="dxa"/>
            <w:vAlign w:val="bottom"/>
            <w:gridSpan w:val="2"/>
          </w:tcPr>
          <w:p>
            <w:pPr>
              <w:ind w:left="120"/>
              <w:spacing w:after="0"/>
              <w:rPr>
                <w:sz w:val="20"/>
                <w:szCs w:val="20"/>
                <w:color w:val="auto"/>
              </w:rPr>
            </w:pPr>
            <w:r>
              <w:rPr>
                <w:rFonts w:ascii="Arial" w:cs="Arial" w:eastAsia="Arial" w:hAnsi="Arial"/>
                <w:sz w:val="13"/>
                <w:szCs w:val="13"/>
                <w:b w:val="1"/>
                <w:bCs w:val="1"/>
                <w:color w:val="auto"/>
              </w:rPr>
              <w:t>December 31,</w:t>
            </w:r>
          </w:p>
        </w:tc>
        <w:tc>
          <w:tcPr>
            <w:tcW w:w="1000" w:type="dxa"/>
            <w:vAlign w:val="bottom"/>
          </w:tcPr>
          <w:p>
            <w:pPr>
              <w:jc w:val="right"/>
              <w:ind w:right="76"/>
              <w:spacing w:after="0"/>
              <w:rPr>
                <w:sz w:val="20"/>
                <w:szCs w:val="20"/>
                <w:color w:val="auto"/>
              </w:rPr>
            </w:pPr>
            <w:r>
              <w:rPr>
                <w:rFonts w:ascii="Arial" w:cs="Arial" w:eastAsia="Arial" w:hAnsi="Arial"/>
                <w:sz w:val="13"/>
                <w:szCs w:val="13"/>
                <w:b w:val="1"/>
                <w:bCs w:val="1"/>
                <w:color w:val="auto"/>
                <w:w w:val="99"/>
              </w:rPr>
              <w:t>December 31,</w:t>
            </w:r>
          </w:p>
        </w:tc>
      </w:tr>
      <w:tr>
        <w:trPr>
          <w:trHeight w:val="167"/>
        </w:trPr>
        <w:tc>
          <w:tcPr>
            <w:tcW w:w="1020" w:type="dxa"/>
            <w:vAlign w:val="bottom"/>
            <w:tcBorders>
              <w:bottom w:val="single" w:sz="8" w:color="auto"/>
            </w:tcBorders>
          </w:tcPr>
          <w:p>
            <w:pPr>
              <w:jc w:val="right"/>
              <w:ind w:right="316"/>
              <w:spacing w:after="0"/>
              <w:rPr>
                <w:sz w:val="20"/>
                <w:szCs w:val="20"/>
                <w:color w:val="auto"/>
              </w:rPr>
            </w:pPr>
            <w:r>
              <w:rPr>
                <w:rFonts w:ascii="Arial" w:cs="Arial" w:eastAsia="Arial" w:hAnsi="Arial"/>
                <w:sz w:val="13"/>
                <w:szCs w:val="13"/>
                <w:b w:val="1"/>
                <w:bCs w:val="1"/>
                <w:color w:val="auto"/>
              </w:rPr>
              <w:t>2018</w:t>
            </w:r>
          </w:p>
        </w:tc>
        <w:tc>
          <w:tcPr>
            <w:tcW w:w="180" w:type="dxa"/>
            <w:vAlign w:val="bottom"/>
          </w:tcPr>
          <w:p>
            <w:pPr>
              <w:spacing w:after="0"/>
              <w:rPr>
                <w:sz w:val="14"/>
                <w:szCs w:val="14"/>
                <w:color w:val="auto"/>
              </w:rPr>
            </w:pPr>
          </w:p>
        </w:tc>
        <w:tc>
          <w:tcPr>
            <w:tcW w:w="1000" w:type="dxa"/>
            <w:vAlign w:val="bottom"/>
            <w:tcBorders>
              <w:bottom w:val="single" w:sz="8" w:color="auto"/>
            </w:tcBorders>
          </w:tcPr>
          <w:p>
            <w:pPr>
              <w:jc w:val="right"/>
              <w:ind w:right="316"/>
              <w:spacing w:after="0"/>
              <w:rPr>
                <w:sz w:val="20"/>
                <w:szCs w:val="20"/>
                <w:color w:val="auto"/>
              </w:rPr>
            </w:pPr>
            <w:r>
              <w:rPr>
                <w:rFonts w:ascii="Arial" w:cs="Arial" w:eastAsia="Arial" w:hAnsi="Arial"/>
                <w:sz w:val="13"/>
                <w:szCs w:val="13"/>
                <w:b w:val="1"/>
                <w:bCs w:val="1"/>
                <w:color w:val="auto"/>
              </w:rPr>
              <w:t>2017</w:t>
            </w:r>
          </w:p>
        </w:tc>
      </w:tr>
      <w:tr>
        <w:trPr>
          <w:trHeight w:val="135"/>
        </w:trPr>
        <w:tc>
          <w:tcPr>
            <w:tcW w:w="1020" w:type="dxa"/>
            <w:vAlign w:val="bottom"/>
          </w:tcPr>
          <w:p>
            <w:pPr>
              <w:jc w:val="right"/>
              <w:spacing w:after="0" w:line="135" w:lineRule="exact"/>
              <w:rPr>
                <w:sz w:val="20"/>
                <w:szCs w:val="20"/>
                <w:color w:val="auto"/>
              </w:rPr>
            </w:pPr>
            <w:r>
              <w:rPr>
                <w:rFonts w:ascii="Arial" w:cs="Arial" w:eastAsia="Arial" w:hAnsi="Arial"/>
                <w:sz w:val="13"/>
                <w:szCs w:val="13"/>
                <w:color w:val="auto"/>
              </w:rPr>
              <w:t>5,010</w:t>
            </w:r>
          </w:p>
        </w:tc>
        <w:tc>
          <w:tcPr>
            <w:tcW w:w="180" w:type="dxa"/>
            <w:vAlign w:val="bottom"/>
          </w:tcPr>
          <w:p>
            <w:pPr>
              <w:spacing w:after="0"/>
              <w:rPr>
                <w:sz w:val="11"/>
                <w:szCs w:val="11"/>
                <w:color w:val="auto"/>
              </w:rPr>
            </w:pPr>
          </w:p>
        </w:tc>
        <w:tc>
          <w:tcPr>
            <w:tcW w:w="1000" w:type="dxa"/>
            <w:vAlign w:val="bottom"/>
          </w:tcPr>
          <w:p>
            <w:pPr>
              <w:jc w:val="right"/>
              <w:spacing w:after="0" w:line="135" w:lineRule="exact"/>
              <w:rPr>
                <w:sz w:val="20"/>
                <w:szCs w:val="20"/>
                <w:color w:val="auto"/>
              </w:rPr>
            </w:pPr>
            <w:r>
              <w:rPr>
                <w:rFonts w:ascii="Arial" w:cs="Arial" w:eastAsia="Arial" w:hAnsi="Arial"/>
                <w:sz w:val="13"/>
                <w:szCs w:val="13"/>
                <w:color w:val="auto"/>
              </w:rPr>
              <w:t>5,147</w:t>
            </w:r>
          </w:p>
        </w:tc>
      </w:tr>
      <w:tr>
        <w:trPr>
          <w:trHeight w:val="162"/>
        </w:trPr>
        <w:tc>
          <w:tcPr>
            <w:tcW w:w="1020" w:type="dxa"/>
            <w:vAlign w:val="bottom"/>
          </w:tcPr>
          <w:p>
            <w:pPr>
              <w:jc w:val="right"/>
              <w:spacing w:after="0"/>
              <w:rPr>
                <w:sz w:val="20"/>
                <w:szCs w:val="20"/>
                <w:color w:val="auto"/>
              </w:rPr>
            </w:pPr>
            <w:r>
              <w:rPr>
                <w:rFonts w:ascii="Arial" w:cs="Arial" w:eastAsia="Arial" w:hAnsi="Arial"/>
                <w:sz w:val="13"/>
                <w:szCs w:val="13"/>
                <w:color w:val="auto"/>
              </w:rPr>
              <w:t>13,901</w:t>
            </w:r>
          </w:p>
        </w:tc>
        <w:tc>
          <w:tcPr>
            <w:tcW w:w="180" w:type="dxa"/>
            <w:vAlign w:val="bottom"/>
          </w:tcPr>
          <w:p>
            <w:pPr>
              <w:spacing w:after="0"/>
              <w:rPr>
                <w:sz w:val="14"/>
                <w:szCs w:val="14"/>
                <w:color w:val="auto"/>
              </w:rPr>
            </w:pPr>
          </w:p>
        </w:tc>
        <w:tc>
          <w:tcPr>
            <w:tcW w:w="1000" w:type="dxa"/>
            <w:vAlign w:val="bottom"/>
          </w:tcPr>
          <w:p>
            <w:pPr>
              <w:jc w:val="right"/>
              <w:spacing w:after="0"/>
              <w:rPr>
                <w:sz w:val="20"/>
                <w:szCs w:val="20"/>
                <w:color w:val="auto"/>
              </w:rPr>
            </w:pPr>
            <w:r>
              <w:rPr>
                <w:rFonts w:ascii="Arial" w:cs="Arial" w:eastAsia="Arial" w:hAnsi="Arial"/>
                <w:sz w:val="13"/>
                <w:szCs w:val="13"/>
                <w:color w:val="auto"/>
              </w:rPr>
              <w:t>11,586</w:t>
            </w:r>
          </w:p>
        </w:tc>
      </w:tr>
      <w:tr>
        <w:trPr>
          <w:trHeight w:val="164"/>
        </w:trPr>
        <w:tc>
          <w:tcPr>
            <w:tcW w:w="102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2,887</w:t>
            </w:r>
          </w:p>
        </w:tc>
        <w:tc>
          <w:tcPr>
            <w:tcW w:w="180" w:type="dxa"/>
            <w:vAlign w:val="bottom"/>
          </w:tcPr>
          <w:p>
            <w:pPr>
              <w:spacing w:after="0"/>
              <w:rPr>
                <w:sz w:val="14"/>
                <w:szCs w:val="14"/>
                <w:color w:val="auto"/>
              </w:rPr>
            </w:pPr>
          </w:p>
        </w:tc>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w:t>
            </w:r>
          </w:p>
        </w:tc>
      </w:tr>
      <w:tr>
        <w:trPr>
          <w:trHeight w:val="162"/>
        </w:trPr>
        <w:tc>
          <w:tcPr>
            <w:tcW w:w="102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21,798</w:t>
            </w:r>
          </w:p>
        </w:tc>
        <w:tc>
          <w:tcPr>
            <w:tcW w:w="180" w:type="dxa"/>
            <w:vAlign w:val="bottom"/>
          </w:tcPr>
          <w:p>
            <w:pPr>
              <w:spacing w:after="0"/>
              <w:rPr>
                <w:sz w:val="14"/>
                <w:szCs w:val="14"/>
                <w:color w:val="auto"/>
              </w:rPr>
            </w:pPr>
          </w:p>
        </w:tc>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16,733</w:t>
            </w:r>
          </w:p>
        </w:tc>
      </w:tr>
    </w:tbl>
    <w:p>
      <w:pPr>
        <w:spacing w:after="0" w:line="458" w:lineRule="exact"/>
        <w:rPr>
          <w:sz w:val="20"/>
          <w:szCs w:val="20"/>
          <w:color w:val="auto"/>
        </w:rPr>
      </w:pPr>
    </w:p>
    <w:p>
      <w:pPr>
        <w:sectPr>
          <w:pgSz w:w="11900" w:h="16838" w:orient="portrait"/>
          <w:cols w:equalWidth="0" w:num="2">
            <w:col w:w="7323" w:space="720"/>
            <w:col w:w="3440"/>
          </w:cols>
          <w:pgMar w:left="217" w:top="685" w:right="199" w:bottom="1440" w:gutter="0" w:footer="0" w:header="0"/>
          <w:type w:val="continuous"/>
        </w:sectPr>
      </w:pPr>
    </w:p>
    <w:tbl>
      <w:tblPr>
        <w:tblLayout w:type="fixed"/>
        <w:tblInd w:w="3" w:type="dxa"/>
        <w:tblCellMar>
          <w:top w:w="0" w:type="dxa"/>
          <w:left w:w="0" w:type="dxa"/>
          <w:bottom w:w="0" w:type="dxa"/>
          <w:right w:w="0" w:type="dxa"/>
        </w:tblCellMar>
      </w:tblPr>
      <w:tr>
        <w:trPr>
          <w:trHeight w:val="167"/>
        </w:trPr>
        <w:tc>
          <w:tcPr>
            <w:tcW w:w="220" w:type="dxa"/>
            <w:vAlign w:val="bottom"/>
          </w:tcPr>
          <w:p>
            <w:pPr>
              <w:spacing w:after="0"/>
              <w:rPr>
                <w:sz w:val="14"/>
                <w:szCs w:val="14"/>
                <w:color w:val="auto"/>
              </w:rPr>
            </w:pPr>
          </w:p>
        </w:tc>
        <w:tc>
          <w:tcPr>
            <w:tcW w:w="5360" w:type="dxa"/>
            <w:vAlign w:val="bottom"/>
          </w:tcPr>
          <w:p>
            <w:pPr>
              <w:spacing w:after="0"/>
              <w:rPr>
                <w:sz w:val="14"/>
                <w:szCs w:val="14"/>
                <w:color w:val="auto"/>
              </w:rPr>
            </w:pPr>
          </w:p>
        </w:tc>
        <w:tc>
          <w:tcPr>
            <w:tcW w:w="2840" w:type="dxa"/>
            <w:vAlign w:val="bottom"/>
            <w:gridSpan w:val="4"/>
          </w:tcPr>
          <w:p>
            <w:pPr>
              <w:ind w:left="800"/>
              <w:spacing w:after="0"/>
              <w:rPr>
                <w:sz w:val="20"/>
                <w:szCs w:val="20"/>
                <w:color w:val="auto"/>
              </w:rPr>
            </w:pPr>
            <w:r>
              <w:rPr>
                <w:rFonts w:ascii="Arial" w:cs="Arial" w:eastAsia="Arial" w:hAnsi="Arial"/>
                <w:sz w:val="13"/>
                <w:szCs w:val="13"/>
                <w:b w:val="1"/>
                <w:bCs w:val="1"/>
                <w:color w:val="auto"/>
              </w:rPr>
              <w:t>December 31, 2018</w:t>
            </w:r>
          </w:p>
        </w:tc>
        <w:tc>
          <w:tcPr>
            <w:tcW w:w="2700" w:type="dxa"/>
            <w:vAlign w:val="bottom"/>
            <w:gridSpan w:val="4"/>
          </w:tcPr>
          <w:p>
            <w:pPr>
              <w:ind w:left="780"/>
              <w:spacing w:after="0"/>
              <w:rPr>
                <w:sz w:val="20"/>
                <w:szCs w:val="20"/>
                <w:color w:val="auto"/>
              </w:rPr>
            </w:pPr>
            <w:r>
              <w:rPr>
                <w:rFonts w:ascii="Arial" w:cs="Arial" w:eastAsia="Arial" w:hAnsi="Arial"/>
                <w:sz w:val="13"/>
                <w:szCs w:val="13"/>
                <w:b w:val="1"/>
                <w:bCs w:val="1"/>
                <w:color w:val="auto"/>
              </w:rPr>
              <w:t>December 31, 2017</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1"/>
        </w:trPr>
        <w:tc>
          <w:tcPr>
            <w:tcW w:w="220" w:type="dxa"/>
            <w:vAlign w:val="bottom"/>
          </w:tcPr>
          <w:p>
            <w:pPr>
              <w:spacing w:after="0"/>
              <w:rPr>
                <w:sz w:val="12"/>
                <w:szCs w:val="12"/>
                <w:color w:val="auto"/>
              </w:rPr>
            </w:pPr>
          </w:p>
        </w:tc>
        <w:tc>
          <w:tcPr>
            <w:tcW w:w="5360" w:type="dxa"/>
            <w:vAlign w:val="bottom"/>
          </w:tcPr>
          <w:p>
            <w:pPr>
              <w:spacing w:after="0"/>
              <w:rPr>
                <w:sz w:val="12"/>
                <w:szCs w:val="12"/>
                <w:color w:val="auto"/>
              </w:rPr>
            </w:pPr>
          </w:p>
        </w:tc>
        <w:tc>
          <w:tcPr>
            <w:tcW w:w="1440" w:type="dxa"/>
            <w:vAlign w:val="bottom"/>
            <w:tcBorders>
              <w:top w:val="single" w:sz="8" w:color="auto"/>
            </w:tcBorders>
            <w:gridSpan w:val="2"/>
          </w:tcPr>
          <w:p>
            <w:pPr>
              <w:jc w:val="center"/>
              <w:ind w:right="220"/>
              <w:spacing w:after="0" w:line="141" w:lineRule="exact"/>
              <w:rPr>
                <w:sz w:val="20"/>
                <w:szCs w:val="20"/>
                <w:color w:val="auto"/>
              </w:rPr>
            </w:pPr>
            <w:r>
              <w:rPr>
                <w:rFonts w:ascii="Arial" w:cs="Arial" w:eastAsia="Arial" w:hAnsi="Arial"/>
                <w:sz w:val="13"/>
                <w:szCs w:val="13"/>
                <w:b w:val="1"/>
                <w:bCs w:val="1"/>
                <w:color w:val="auto"/>
                <w:w w:val="91"/>
              </w:rPr>
              <w:t>Amortized</w:t>
            </w:r>
          </w:p>
        </w:tc>
        <w:tc>
          <w:tcPr>
            <w:tcW w:w="11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400" w:type="dxa"/>
            <w:vAlign w:val="bottom"/>
            <w:tcBorders>
              <w:top w:val="single" w:sz="8" w:color="auto"/>
            </w:tcBorders>
            <w:gridSpan w:val="2"/>
          </w:tcPr>
          <w:p>
            <w:pPr>
              <w:jc w:val="center"/>
              <w:ind w:right="220"/>
              <w:spacing w:after="0" w:line="141" w:lineRule="exact"/>
              <w:rPr>
                <w:sz w:val="20"/>
                <w:szCs w:val="20"/>
                <w:color w:val="auto"/>
              </w:rPr>
            </w:pPr>
            <w:r>
              <w:rPr>
                <w:rFonts w:ascii="Arial" w:cs="Arial" w:eastAsia="Arial" w:hAnsi="Arial"/>
                <w:sz w:val="13"/>
                <w:szCs w:val="13"/>
                <w:b w:val="1"/>
                <w:bCs w:val="1"/>
                <w:color w:val="auto"/>
                <w:w w:val="91"/>
              </w:rPr>
              <w:t>Amortized</w:t>
            </w:r>
          </w:p>
        </w:tc>
        <w:tc>
          <w:tcPr>
            <w:tcW w:w="120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7"/>
        </w:trPr>
        <w:tc>
          <w:tcPr>
            <w:tcW w:w="220" w:type="dxa"/>
            <w:vAlign w:val="bottom"/>
          </w:tcPr>
          <w:p>
            <w:pPr>
              <w:spacing w:after="0"/>
              <w:rPr>
                <w:sz w:val="14"/>
                <w:szCs w:val="14"/>
                <w:color w:val="auto"/>
              </w:rPr>
            </w:pPr>
          </w:p>
        </w:tc>
        <w:tc>
          <w:tcPr>
            <w:tcW w:w="5360" w:type="dxa"/>
            <w:vAlign w:val="bottom"/>
          </w:tcPr>
          <w:p>
            <w:pPr>
              <w:spacing w:after="0"/>
              <w:rPr>
                <w:sz w:val="14"/>
                <w:szCs w:val="14"/>
                <w:color w:val="auto"/>
              </w:rPr>
            </w:pPr>
          </w:p>
        </w:tc>
        <w:tc>
          <w:tcPr>
            <w:tcW w:w="144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2"/>
              </w:rPr>
              <w:t>cost</w:t>
            </w:r>
          </w:p>
        </w:tc>
        <w:tc>
          <w:tcPr>
            <w:tcW w:w="1400" w:type="dxa"/>
            <w:vAlign w:val="bottom"/>
            <w:gridSpan w:val="2"/>
          </w:tcPr>
          <w:p>
            <w:pPr>
              <w:ind w:left="320"/>
              <w:spacing w:after="0"/>
              <w:rPr>
                <w:sz w:val="20"/>
                <w:szCs w:val="20"/>
                <w:color w:val="auto"/>
              </w:rPr>
            </w:pPr>
            <w:r>
              <w:rPr>
                <w:rFonts w:ascii="Arial" w:cs="Arial" w:eastAsia="Arial" w:hAnsi="Arial"/>
                <w:sz w:val="13"/>
                <w:szCs w:val="13"/>
                <w:b w:val="1"/>
                <w:bCs w:val="1"/>
                <w:color w:val="auto"/>
              </w:rPr>
              <w:t>Fair value</w:t>
            </w:r>
          </w:p>
        </w:tc>
        <w:tc>
          <w:tcPr>
            <w:tcW w:w="14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2"/>
              </w:rPr>
              <w:t>cost</w:t>
            </w:r>
          </w:p>
        </w:tc>
        <w:tc>
          <w:tcPr>
            <w:tcW w:w="1300" w:type="dxa"/>
            <w:vAlign w:val="bottom"/>
            <w:gridSpan w:val="2"/>
          </w:tcPr>
          <w:p>
            <w:pPr>
              <w:ind w:left="320"/>
              <w:spacing w:after="0"/>
              <w:rPr>
                <w:sz w:val="20"/>
                <w:szCs w:val="20"/>
                <w:color w:val="auto"/>
              </w:rPr>
            </w:pPr>
            <w:r>
              <w:rPr>
                <w:rFonts w:ascii="Arial" w:cs="Arial" w:eastAsia="Arial" w:hAnsi="Arial"/>
                <w:sz w:val="13"/>
                <w:szCs w:val="13"/>
                <w:b w:val="1"/>
                <w:bCs w:val="1"/>
                <w:color w:val="auto"/>
              </w:rPr>
              <w:t>Fair value</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vMerge w:val="restart"/>
          </w:tcPr>
          <w:p>
            <w:pPr>
              <w:spacing w:after="0"/>
              <w:rPr>
                <w:sz w:val="12"/>
                <w:szCs w:val="12"/>
                <w:color w:val="auto"/>
              </w:rPr>
            </w:pPr>
          </w:p>
        </w:tc>
        <w:tc>
          <w:tcPr>
            <w:tcW w:w="5360" w:type="dxa"/>
            <w:vAlign w:val="bottom"/>
          </w:tcPr>
          <w:p>
            <w:pPr>
              <w:spacing w:after="0"/>
              <w:rPr>
                <w:sz w:val="12"/>
                <w:szCs w:val="12"/>
                <w:color w:val="auto"/>
              </w:rPr>
            </w:pPr>
          </w:p>
        </w:tc>
        <w:tc>
          <w:tcPr>
            <w:tcW w:w="12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1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0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120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5360" w:type="dxa"/>
            <w:vAlign w:val="bottom"/>
            <w:shd w:val="clear" w:color="auto" w:fill="CCEEFF"/>
          </w:tcPr>
          <w:p>
            <w:pPr>
              <w:spacing w:after="0"/>
              <w:rPr>
                <w:sz w:val="20"/>
                <w:szCs w:val="20"/>
                <w:color w:val="auto"/>
              </w:rPr>
            </w:pPr>
            <w:r>
              <w:rPr>
                <w:rFonts w:ascii="Arial" w:cs="Arial" w:eastAsia="Arial" w:hAnsi="Arial"/>
                <w:sz w:val="13"/>
                <w:szCs w:val="13"/>
                <w:color w:val="auto"/>
              </w:rPr>
              <w:t>Due within 1 year</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8,386</w:t>
            </w:r>
          </w:p>
        </w:tc>
        <w:tc>
          <w:tcPr>
            <w:tcW w:w="220" w:type="dxa"/>
            <w:vAlign w:val="bottom"/>
            <w:shd w:val="clear" w:color="auto" w:fill="CCEEFF"/>
          </w:tcPr>
          <w:p>
            <w:pPr>
              <w:spacing w:after="0"/>
              <w:rPr>
                <w:sz w:val="13"/>
                <w:szCs w:val="13"/>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7,743</w:t>
            </w: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5360" w:type="dxa"/>
            <w:vAlign w:val="bottom"/>
          </w:tcPr>
          <w:p>
            <w:pPr>
              <w:spacing w:after="0"/>
              <w:rPr>
                <w:sz w:val="20"/>
                <w:szCs w:val="20"/>
                <w:color w:val="auto"/>
              </w:rPr>
            </w:pPr>
            <w:r>
              <w:rPr>
                <w:rFonts w:ascii="Arial" w:cs="Arial" w:eastAsia="Arial" w:hAnsi="Arial"/>
                <w:sz w:val="13"/>
                <w:szCs w:val="13"/>
                <w:color w:val="auto"/>
              </w:rPr>
              <w:t>After 1 year but within 5 years</w:t>
            </w:r>
          </w:p>
        </w:tc>
        <w:tc>
          <w:tcPr>
            <w:tcW w:w="1220" w:type="dxa"/>
            <w:vAlign w:val="bottom"/>
          </w:tcPr>
          <w:p>
            <w:pPr>
              <w:jc w:val="right"/>
              <w:spacing w:after="0"/>
              <w:rPr>
                <w:sz w:val="20"/>
                <w:szCs w:val="20"/>
                <w:color w:val="auto"/>
              </w:rPr>
            </w:pPr>
            <w:r>
              <w:rPr>
                <w:rFonts w:ascii="Arial" w:cs="Arial" w:eastAsia="Arial" w:hAnsi="Arial"/>
                <w:sz w:val="13"/>
                <w:szCs w:val="13"/>
                <w:color w:val="auto"/>
              </w:rPr>
              <w:t>8,084</w:t>
            </w:r>
          </w:p>
        </w:tc>
        <w:tc>
          <w:tcPr>
            <w:tcW w:w="220" w:type="dxa"/>
            <w:vAlign w:val="bottom"/>
          </w:tcPr>
          <w:p>
            <w:pPr>
              <w:spacing w:after="0"/>
              <w:rPr>
                <w:sz w:val="13"/>
                <w:szCs w:val="13"/>
                <w:color w:val="auto"/>
              </w:rPr>
            </w:pPr>
          </w:p>
        </w:tc>
        <w:tc>
          <w:tcPr>
            <w:tcW w:w="1180" w:type="dxa"/>
            <w:vAlign w:val="bottom"/>
          </w:tcPr>
          <w:p>
            <w:pPr>
              <w:jc w:val="right"/>
              <w:spacing w:after="0"/>
              <w:rPr>
                <w:sz w:val="20"/>
                <w:szCs w:val="20"/>
                <w:color w:val="auto"/>
              </w:rPr>
            </w:pPr>
            <w:r>
              <w:rPr>
                <w:rFonts w:ascii="Arial" w:cs="Arial" w:eastAsia="Arial" w:hAnsi="Arial"/>
                <w:sz w:val="13"/>
                <w:szCs w:val="13"/>
                <w:color w:val="auto"/>
              </w:rPr>
              <w:t>7,898</w:t>
            </w:r>
          </w:p>
        </w:tc>
        <w:tc>
          <w:tcPr>
            <w:tcW w:w="220" w:type="dxa"/>
            <w:vAlign w:val="bottom"/>
          </w:tcPr>
          <w:p>
            <w:pPr>
              <w:spacing w:after="0"/>
              <w:rPr>
                <w:sz w:val="13"/>
                <w:szCs w:val="13"/>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3"/>
                <w:szCs w:val="13"/>
                <w:color w:val="auto"/>
              </w:rPr>
              <w:t>16,962</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16,733</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5360" w:type="dxa"/>
            <w:vAlign w:val="bottom"/>
            <w:shd w:val="clear" w:color="auto" w:fill="CCEEFF"/>
          </w:tcPr>
          <w:p>
            <w:pPr>
              <w:spacing w:after="0"/>
              <w:rPr>
                <w:sz w:val="20"/>
                <w:szCs w:val="20"/>
                <w:color w:val="auto"/>
              </w:rPr>
            </w:pPr>
            <w:r>
              <w:rPr>
                <w:rFonts w:ascii="Arial" w:cs="Arial" w:eastAsia="Arial" w:hAnsi="Arial"/>
                <w:sz w:val="13"/>
                <w:szCs w:val="13"/>
                <w:color w:val="auto"/>
              </w:rPr>
              <w:t>After 5 years but within 10 years</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5,926</w:t>
            </w:r>
          </w:p>
        </w:tc>
        <w:tc>
          <w:tcPr>
            <w:tcW w:w="220" w:type="dxa"/>
            <w:vAlign w:val="bottom"/>
            <w:shd w:val="clear" w:color="auto" w:fill="CCEEFF"/>
          </w:tcPr>
          <w:p>
            <w:pPr>
              <w:spacing w:after="0"/>
              <w:rPr>
                <w:sz w:val="14"/>
                <w:szCs w:val="14"/>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6,157</w:t>
            </w:r>
          </w:p>
        </w:tc>
        <w:tc>
          <w:tcPr>
            <w:tcW w:w="220" w:type="dxa"/>
            <w:vAlign w:val="bottom"/>
            <w:shd w:val="clear" w:color="auto" w:fill="CCEEFF"/>
          </w:tcPr>
          <w:p>
            <w:pPr>
              <w:spacing w:after="0"/>
              <w:rPr>
                <w:sz w:val="14"/>
                <w:szCs w:val="14"/>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4"/>
                <w:szCs w:val="14"/>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5360" w:type="dxa"/>
            <w:vAlign w:val="bottom"/>
          </w:tcPr>
          <w:p>
            <w:pPr>
              <w:spacing w:after="0"/>
              <w:rPr>
                <w:sz w:val="14"/>
                <w:szCs w:val="14"/>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22,396</w:t>
            </w:r>
          </w:p>
        </w:tc>
        <w:tc>
          <w:tcPr>
            <w:tcW w:w="220" w:type="dxa"/>
            <w:vAlign w:val="bottom"/>
          </w:tcPr>
          <w:p>
            <w:pPr>
              <w:spacing w:after="0"/>
              <w:rPr>
                <w:sz w:val="14"/>
                <w:szCs w:val="14"/>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21,798</w:t>
            </w:r>
          </w:p>
        </w:tc>
        <w:tc>
          <w:tcPr>
            <w:tcW w:w="220" w:type="dxa"/>
            <w:vAlign w:val="bottom"/>
          </w:tcPr>
          <w:p>
            <w:pPr>
              <w:spacing w:after="0"/>
              <w:rPr>
                <w:sz w:val="14"/>
                <w:szCs w:val="14"/>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16,962</w:t>
            </w:r>
          </w:p>
        </w:tc>
        <w:tc>
          <w:tcPr>
            <w:tcW w:w="200" w:type="dxa"/>
            <w:vAlign w:val="bottom"/>
          </w:tcPr>
          <w:p>
            <w:pPr>
              <w:spacing w:after="0"/>
              <w:rPr>
                <w:sz w:val="14"/>
                <w:szCs w:val="14"/>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16,733</w:t>
            </w:r>
          </w:p>
        </w:tc>
        <w:tc>
          <w:tcPr>
            <w:tcW w:w="10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486"/>
        </w:trPr>
        <w:tc>
          <w:tcPr>
            <w:tcW w:w="220" w:type="dxa"/>
            <w:vAlign w:val="bottom"/>
            <w:tcBorders>
              <w:bottom w:val="single" w:sz="8" w:color="auto"/>
            </w:tcBorders>
          </w:tcPr>
          <w:p>
            <w:pPr>
              <w:spacing w:after="0"/>
              <w:rPr>
                <w:sz w:val="24"/>
                <w:szCs w:val="24"/>
                <w:color w:val="auto"/>
              </w:rPr>
            </w:pPr>
          </w:p>
        </w:tc>
        <w:tc>
          <w:tcPr>
            <w:tcW w:w="5360" w:type="dxa"/>
            <w:vAlign w:val="bottom"/>
            <w:tcBorders>
              <w:bottom w:val="single" w:sz="8" w:color="auto"/>
            </w:tcBorders>
          </w:tcPr>
          <w:p>
            <w:pPr>
              <w:spacing w:after="0"/>
              <w:rPr>
                <w:sz w:val="24"/>
                <w:szCs w:val="24"/>
                <w:color w:val="auto"/>
              </w:rPr>
            </w:pPr>
          </w:p>
        </w:tc>
        <w:tc>
          <w:tcPr>
            <w:tcW w:w="1440" w:type="dxa"/>
            <w:vAlign w:val="bottom"/>
            <w:tcBorders>
              <w:bottom w:val="single" w:sz="8" w:color="auto"/>
            </w:tcBorders>
            <w:gridSpan w:val="2"/>
          </w:tcPr>
          <w:p>
            <w:pPr>
              <w:ind w:left="40"/>
              <w:spacing w:after="0"/>
              <w:rPr>
                <w:sz w:val="20"/>
                <w:szCs w:val="20"/>
                <w:color w:val="auto"/>
              </w:rPr>
            </w:pPr>
            <w:r>
              <w:rPr>
                <w:rFonts w:ascii="Arial" w:cs="Arial" w:eastAsia="Arial" w:hAnsi="Arial"/>
                <w:sz w:val="13"/>
                <w:szCs w:val="13"/>
                <w:color w:val="auto"/>
              </w:rPr>
              <w:t>F-40</w:t>
            </w: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3"/>
          </w:cols>
          <w:pgMar w:left="217" w:top="685" w:right="199" w:bottom="1440" w:gutter="0" w:footer="0" w:header="0"/>
          <w:type w:val="continuous"/>
        </w:sectPr>
      </w:pPr>
    </w:p>
    <w:bookmarkStart w:id="165" w:name="page166"/>
    <w:bookmarkEnd w:id="165"/>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2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right="7399" w:hanging="223"/>
        <w:spacing w:after="0" w:line="497" w:lineRule="auto"/>
        <w:tabs>
          <w:tab w:leader="none" w:pos="223" w:val="left"/>
        </w:tabs>
        <w:numPr>
          <w:ilvl w:val="0"/>
          <w:numId w:val="129"/>
        </w:numPr>
        <w:rPr>
          <w:rFonts w:ascii="Arial" w:cs="Arial" w:eastAsia="Arial" w:hAnsi="Arial"/>
          <w:sz w:val="13"/>
          <w:szCs w:val="13"/>
          <w:b w:val="1"/>
          <w:bCs w:val="1"/>
          <w:color w:val="auto"/>
        </w:rPr>
      </w:pPr>
      <w:r>
        <w:rPr>
          <w:rFonts w:ascii="Arial" w:cs="Arial" w:eastAsia="Arial" w:hAnsi="Arial"/>
          <w:sz w:val="13"/>
          <w:szCs w:val="13"/>
          <w:b w:val="1"/>
          <w:bCs w:val="1"/>
          <w:color w:val="auto"/>
        </w:rPr>
        <w:t>Securities and other financial assets (continued) Equity instrument at FVOCI</w:t>
      </w:r>
    </w:p>
    <w:p>
      <w:pPr>
        <w:ind w:left="223"/>
        <w:spacing w:after="0"/>
        <w:rPr>
          <w:rFonts w:ascii="Arial" w:cs="Arial" w:eastAsia="Arial" w:hAnsi="Arial"/>
          <w:sz w:val="13"/>
          <w:szCs w:val="13"/>
          <w:b w:val="1"/>
          <w:bCs w:val="1"/>
          <w:color w:val="auto"/>
        </w:rPr>
      </w:pPr>
      <w:r>
        <w:rPr>
          <w:rFonts w:ascii="Arial" w:cs="Arial" w:eastAsia="Arial" w:hAnsi="Arial"/>
          <w:sz w:val="13"/>
          <w:szCs w:val="13"/>
          <w:color w:val="222222"/>
        </w:rPr>
        <w:t>The fair value of the equity instrument irrevocably measured at fair value through OCI</w:t>
      </w:r>
      <w:r>
        <w:rPr>
          <w:rFonts w:ascii="Arial" w:cs="Arial" w:eastAsia="Arial" w:hAnsi="Arial"/>
          <w:sz w:val="13"/>
          <w:szCs w:val="13"/>
          <w:color w:val="000000"/>
        </w:rPr>
        <w:t>:</w:t>
      </w:r>
    </w:p>
    <w:p>
      <w:pPr>
        <w:spacing w:after="0" w:line="164" w:lineRule="exact"/>
        <w:rPr>
          <w:sz w:val="20"/>
          <w:szCs w:val="20"/>
          <w:color w:val="auto"/>
        </w:rPr>
      </w:pPr>
    </w:p>
    <w:tbl>
      <w:tblPr>
        <w:tblLayout w:type="fixed"/>
        <w:tblInd w:w="1443" w:type="dxa"/>
        <w:tblCellMar>
          <w:top w:w="0" w:type="dxa"/>
          <w:left w:w="0" w:type="dxa"/>
          <w:bottom w:w="0" w:type="dxa"/>
          <w:right w:w="0" w:type="dxa"/>
        </w:tblCellMar>
      </w:tblPr>
      <w:tr>
        <w:trPr>
          <w:trHeight w:val="166"/>
        </w:trPr>
        <w:tc>
          <w:tcPr>
            <w:tcW w:w="6300" w:type="dxa"/>
            <w:vAlign w:val="bottom"/>
          </w:tcPr>
          <w:p>
            <w:pPr>
              <w:spacing w:after="0"/>
              <w:rPr>
                <w:sz w:val="14"/>
                <w:szCs w:val="14"/>
                <w:color w:val="auto"/>
              </w:rPr>
            </w:pPr>
          </w:p>
        </w:tc>
        <w:tc>
          <w:tcPr>
            <w:tcW w:w="1180" w:type="dxa"/>
            <w:vAlign w:val="bottom"/>
            <w:gridSpan w:val="2"/>
          </w:tcPr>
          <w:p>
            <w:pPr>
              <w:jc w:val="right"/>
              <w:ind w:right="140"/>
              <w:spacing w:after="0"/>
              <w:rPr>
                <w:sz w:val="20"/>
                <w:szCs w:val="20"/>
                <w:color w:val="auto"/>
              </w:rPr>
            </w:pPr>
            <w:r>
              <w:rPr>
                <w:rFonts w:ascii="Arial" w:cs="Arial" w:eastAsia="Arial" w:hAnsi="Arial"/>
                <w:sz w:val="13"/>
                <w:szCs w:val="13"/>
                <w:b w:val="1"/>
                <w:bCs w:val="1"/>
                <w:color w:val="auto"/>
                <w:w w:val="87"/>
              </w:rPr>
              <w:t>December 31, 2018</w:t>
            </w:r>
          </w:p>
        </w:tc>
        <w:tc>
          <w:tcPr>
            <w:tcW w:w="1120" w:type="dxa"/>
            <w:vAlign w:val="bottom"/>
            <w:gridSpan w:val="2"/>
          </w:tcPr>
          <w:p>
            <w:pPr>
              <w:jc w:val="right"/>
              <w:ind w:right="80"/>
              <w:spacing w:after="0"/>
              <w:rPr>
                <w:sz w:val="20"/>
                <w:szCs w:val="20"/>
                <w:color w:val="auto"/>
              </w:rPr>
            </w:pPr>
            <w:r>
              <w:rPr>
                <w:rFonts w:ascii="Arial" w:cs="Arial" w:eastAsia="Arial" w:hAnsi="Arial"/>
                <w:sz w:val="13"/>
                <w:szCs w:val="13"/>
                <w:b w:val="1"/>
                <w:bCs w:val="1"/>
                <w:color w:val="auto"/>
                <w:w w:val="87"/>
              </w:rPr>
              <w:t>December 31, 2017</w:t>
            </w:r>
          </w:p>
        </w:tc>
      </w:tr>
      <w:tr>
        <w:trPr>
          <w:trHeight w:val="163"/>
        </w:trPr>
        <w:tc>
          <w:tcPr>
            <w:tcW w:w="6300" w:type="dxa"/>
            <w:vAlign w:val="bottom"/>
            <w:tcBorders>
              <w:top w:val="single" w:sz="8" w:color="CCEEFF"/>
              <w:bottom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Equity Instrument at FVOCI</w:t>
            </w: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6,273</w:t>
            </w:r>
          </w:p>
        </w:tc>
        <w:tc>
          <w:tcPr>
            <w:tcW w:w="140" w:type="dxa"/>
            <w:vAlign w:val="bottom"/>
            <w:tcBorders>
              <w:top w:val="single" w:sz="8" w:color="CCEEFF"/>
              <w:bottom w:val="single" w:sz="8" w:color="CCEEFF"/>
            </w:tcBorders>
            <w:shd w:val="clear" w:color="auto" w:fill="CCEEFF"/>
          </w:tcPr>
          <w:p>
            <w:pPr>
              <w:spacing w:after="0"/>
              <w:rPr>
                <w:sz w:val="14"/>
                <w:szCs w:val="14"/>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8,402</w:t>
            </w:r>
          </w:p>
        </w:tc>
        <w:tc>
          <w:tcPr>
            <w:tcW w:w="80" w:type="dxa"/>
            <w:vAlign w:val="bottom"/>
            <w:tcBorders>
              <w:top w:val="single" w:sz="8" w:color="CCEEFF"/>
              <w:bottom w:val="single" w:sz="8" w:color="CCEEFF"/>
            </w:tcBorders>
            <w:shd w:val="clear" w:color="auto" w:fill="CCEEFF"/>
          </w:tcPr>
          <w:p>
            <w:pPr>
              <w:spacing w:after="0"/>
              <w:rPr>
                <w:sz w:val="14"/>
                <w:szCs w:val="14"/>
                <w:color w:val="auto"/>
              </w:rPr>
            </w:pPr>
          </w:p>
        </w:tc>
      </w:tr>
    </w:tbl>
    <w:p>
      <w:pPr>
        <w:spacing w:after="0" w:line="141" w:lineRule="exact"/>
        <w:rPr>
          <w:sz w:val="20"/>
          <w:szCs w:val="20"/>
          <w:color w:val="auto"/>
        </w:rPr>
      </w:pPr>
    </w:p>
    <w:p>
      <w:pPr>
        <w:ind w:left="223"/>
        <w:spacing w:after="0"/>
        <w:rPr>
          <w:sz w:val="20"/>
          <w:szCs w:val="20"/>
          <w:color w:val="auto"/>
        </w:rPr>
      </w:pPr>
      <w:r>
        <w:rPr>
          <w:rFonts w:ascii="Arial" w:cs="Arial" w:eastAsia="Arial" w:hAnsi="Arial"/>
          <w:sz w:val="13"/>
          <w:szCs w:val="13"/>
          <w:b w:val="1"/>
          <w:bCs w:val="1"/>
          <w:color w:val="auto"/>
        </w:rPr>
        <w:t>Financial instrument required to be measured at fair value through profit and loss</w:t>
      </w:r>
    </w:p>
    <w:p>
      <w:pPr>
        <w:spacing w:after="0" w:line="163" w:lineRule="exact"/>
        <w:rPr>
          <w:sz w:val="20"/>
          <w:szCs w:val="20"/>
          <w:color w:val="auto"/>
        </w:rPr>
      </w:pPr>
    </w:p>
    <w:p>
      <w:pPr>
        <w:ind w:left="223"/>
        <w:spacing w:after="0"/>
        <w:rPr>
          <w:sz w:val="20"/>
          <w:szCs w:val="20"/>
          <w:color w:val="auto"/>
        </w:rPr>
      </w:pPr>
      <w:r>
        <w:rPr>
          <w:rFonts w:ascii="Arial" w:cs="Arial" w:eastAsia="Arial" w:hAnsi="Arial"/>
          <w:sz w:val="12"/>
          <w:szCs w:val="12"/>
          <w:color w:val="222222"/>
        </w:rPr>
        <w:t>As of December 31, 2018, the Bank received a new financial asset (debentures) with a fair value of $8.8 million as part of a restructured loan with a book value of $35 million.</w:t>
      </w:r>
    </w:p>
    <w:p>
      <w:pPr>
        <w:spacing w:after="0" w:line="324" w:lineRule="exact"/>
        <w:rPr>
          <w:sz w:val="20"/>
          <w:szCs w:val="20"/>
          <w:color w:val="auto"/>
        </w:rPr>
      </w:pPr>
    </w:p>
    <w:p>
      <w:pPr>
        <w:ind w:left="5623"/>
        <w:spacing w:after="0"/>
        <w:rPr>
          <w:sz w:val="20"/>
          <w:szCs w:val="20"/>
          <w:color w:val="auto"/>
        </w:rPr>
      </w:pPr>
      <w:r>
        <w:rPr>
          <w:rFonts w:ascii="Arial" w:cs="Arial" w:eastAsia="Arial" w:hAnsi="Arial"/>
          <w:sz w:val="13"/>
          <w:szCs w:val="13"/>
          <w:color w:val="auto"/>
        </w:rPr>
        <w:t>F-41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2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0242"/>
          </w:cols>
          <w:pgMar w:left="217" w:top="685" w:right="1440" w:bottom="1440" w:gutter="0" w:footer="0" w:header="0"/>
        </w:sectPr>
      </w:pPr>
    </w:p>
    <w:bookmarkStart w:id="166" w:name="page167"/>
    <w:bookmarkEnd w:id="166"/>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23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130"/>
        </w:numPr>
        <w:rPr>
          <w:rFonts w:ascii="Arial" w:cs="Arial" w:eastAsia="Arial" w:hAnsi="Arial"/>
          <w:sz w:val="13"/>
          <w:szCs w:val="13"/>
          <w:b w:val="1"/>
          <w:bCs w:val="1"/>
          <w:color w:val="auto"/>
        </w:rPr>
      </w:pPr>
      <w:r>
        <w:rPr>
          <w:rFonts w:ascii="Arial" w:cs="Arial" w:eastAsia="Arial" w:hAnsi="Arial"/>
          <w:sz w:val="13"/>
          <w:szCs w:val="13"/>
          <w:b w:val="1"/>
          <w:bCs w:val="1"/>
          <w:color w:val="auto"/>
        </w:rPr>
        <w:t>Loans</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following table sets forth the details of the Bank’s gross loan portfolio:</w:t>
      </w:r>
    </w:p>
    <w:p>
      <w:pPr>
        <w:spacing w:after="0" w:line="155" w:lineRule="exact"/>
        <w:rPr>
          <w:sz w:val="20"/>
          <w:szCs w:val="20"/>
          <w:color w:val="auto"/>
        </w:rPr>
      </w:pPr>
    </w:p>
    <w:tbl>
      <w:tblPr>
        <w:tblLayout w:type="fixed"/>
        <w:tblInd w:w="3" w:type="dxa"/>
        <w:tblCellMar>
          <w:top w:w="0" w:type="dxa"/>
          <w:left w:w="0" w:type="dxa"/>
          <w:bottom w:w="0" w:type="dxa"/>
          <w:right w:w="0" w:type="dxa"/>
        </w:tblCellMar>
      </w:tblPr>
      <w:tr>
        <w:trPr>
          <w:trHeight w:val="164"/>
        </w:trPr>
        <w:tc>
          <w:tcPr>
            <w:tcW w:w="220" w:type="dxa"/>
            <w:vAlign w:val="bottom"/>
          </w:tcPr>
          <w:p>
            <w:pPr>
              <w:spacing w:after="0"/>
              <w:rPr>
                <w:sz w:val="14"/>
                <w:szCs w:val="14"/>
                <w:color w:val="auto"/>
              </w:rPr>
            </w:pPr>
          </w:p>
        </w:tc>
        <w:tc>
          <w:tcPr>
            <w:tcW w:w="4480" w:type="dxa"/>
            <w:vAlign w:val="bottom"/>
          </w:tcPr>
          <w:p>
            <w:pPr>
              <w:spacing w:after="0"/>
              <w:rPr>
                <w:sz w:val="14"/>
                <w:szCs w:val="14"/>
                <w:color w:val="auto"/>
              </w:rPr>
            </w:pPr>
          </w:p>
        </w:tc>
        <w:tc>
          <w:tcPr>
            <w:tcW w:w="3700" w:type="dxa"/>
            <w:vAlign w:val="bottom"/>
          </w:tcPr>
          <w:p>
            <w:pPr>
              <w:spacing w:after="0"/>
              <w:rPr>
                <w:sz w:val="14"/>
                <w:szCs w:val="14"/>
                <w:color w:val="auto"/>
              </w:rPr>
            </w:pPr>
          </w:p>
        </w:tc>
        <w:tc>
          <w:tcPr>
            <w:tcW w:w="142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7"/>
              </w:rPr>
              <w:t>December 31,</w:t>
            </w:r>
          </w:p>
        </w:tc>
        <w:tc>
          <w:tcPr>
            <w:tcW w:w="130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9"/>
              </w:rPr>
              <w:t>December 31,</w:t>
            </w:r>
          </w:p>
        </w:tc>
        <w:tc>
          <w:tcPr>
            <w:tcW w:w="360" w:type="dxa"/>
            <w:vAlign w:val="bottom"/>
          </w:tcPr>
          <w:p>
            <w:pPr>
              <w:spacing w:after="0"/>
              <w:rPr>
                <w:sz w:val="14"/>
                <w:szCs w:val="14"/>
                <w:color w:val="auto"/>
              </w:rPr>
            </w:pPr>
          </w:p>
        </w:tc>
      </w:tr>
      <w:tr>
        <w:trPr>
          <w:trHeight w:val="167"/>
        </w:trPr>
        <w:tc>
          <w:tcPr>
            <w:tcW w:w="220" w:type="dxa"/>
            <w:vAlign w:val="bottom"/>
          </w:tcPr>
          <w:p>
            <w:pPr>
              <w:spacing w:after="0"/>
              <w:rPr>
                <w:sz w:val="14"/>
                <w:szCs w:val="14"/>
                <w:color w:val="auto"/>
              </w:rPr>
            </w:pPr>
          </w:p>
        </w:tc>
        <w:tc>
          <w:tcPr>
            <w:tcW w:w="4480" w:type="dxa"/>
            <w:vAlign w:val="bottom"/>
          </w:tcPr>
          <w:p>
            <w:pPr>
              <w:spacing w:after="0"/>
              <w:rPr>
                <w:sz w:val="14"/>
                <w:szCs w:val="14"/>
                <w:color w:val="auto"/>
              </w:rPr>
            </w:pPr>
          </w:p>
        </w:tc>
        <w:tc>
          <w:tcPr>
            <w:tcW w:w="4920" w:type="dxa"/>
            <w:vAlign w:val="bottom"/>
            <w:gridSpan w:val="2"/>
          </w:tcPr>
          <w:p>
            <w:pPr>
              <w:jc w:val="center"/>
              <w:ind w:left="3636"/>
              <w:spacing w:after="0"/>
              <w:rPr>
                <w:sz w:val="20"/>
                <w:szCs w:val="20"/>
                <w:color w:val="auto"/>
              </w:rPr>
            </w:pPr>
            <w:r>
              <w:rPr>
                <w:rFonts w:ascii="Arial" w:cs="Arial" w:eastAsia="Arial" w:hAnsi="Arial"/>
                <w:sz w:val="13"/>
                <w:szCs w:val="13"/>
                <w:b w:val="1"/>
                <w:bCs w:val="1"/>
                <w:color w:val="auto"/>
                <w:w w:val="89"/>
              </w:rPr>
              <w:t>2018</w:t>
            </w:r>
          </w:p>
        </w:tc>
        <w:tc>
          <w:tcPr>
            <w:tcW w:w="200" w:type="dxa"/>
            <w:vAlign w:val="bottom"/>
          </w:tcPr>
          <w:p>
            <w:pPr>
              <w:spacing w:after="0"/>
              <w:rPr>
                <w:sz w:val="14"/>
                <w:szCs w:val="14"/>
                <w:color w:val="auto"/>
              </w:rPr>
            </w:pPr>
          </w:p>
        </w:tc>
        <w:tc>
          <w:tcPr>
            <w:tcW w:w="1200" w:type="dxa"/>
            <w:vAlign w:val="bottom"/>
          </w:tcPr>
          <w:p>
            <w:pPr>
              <w:jc w:val="center"/>
              <w:spacing w:after="0"/>
              <w:rPr>
                <w:sz w:val="20"/>
                <w:szCs w:val="20"/>
                <w:color w:val="auto"/>
              </w:rPr>
            </w:pPr>
            <w:r>
              <w:rPr>
                <w:rFonts w:ascii="Arial" w:cs="Arial" w:eastAsia="Arial" w:hAnsi="Arial"/>
                <w:sz w:val="13"/>
                <w:szCs w:val="13"/>
                <w:b w:val="1"/>
                <w:bCs w:val="1"/>
                <w:color w:val="auto"/>
                <w:w w:val="89"/>
              </w:rPr>
              <w:t>2017</w:t>
            </w:r>
          </w:p>
        </w:tc>
        <w:tc>
          <w:tcPr>
            <w:tcW w:w="100" w:type="dxa"/>
            <w:vAlign w:val="bottom"/>
          </w:tcPr>
          <w:p>
            <w:pPr>
              <w:spacing w:after="0"/>
              <w:rPr>
                <w:sz w:val="14"/>
                <w:szCs w:val="14"/>
                <w:color w:val="auto"/>
              </w:rPr>
            </w:pPr>
          </w:p>
        </w:tc>
        <w:tc>
          <w:tcPr>
            <w:tcW w:w="360" w:type="dxa"/>
            <w:vAlign w:val="bottom"/>
          </w:tcPr>
          <w:p>
            <w:pPr>
              <w:spacing w:after="0"/>
              <w:rPr>
                <w:sz w:val="14"/>
                <w:szCs w:val="14"/>
                <w:color w:val="auto"/>
              </w:rPr>
            </w:pPr>
          </w:p>
        </w:tc>
      </w:tr>
      <w:tr>
        <w:trPr>
          <w:trHeight w:val="144"/>
        </w:trPr>
        <w:tc>
          <w:tcPr>
            <w:tcW w:w="220" w:type="dxa"/>
            <w:vAlign w:val="bottom"/>
          </w:tcPr>
          <w:p>
            <w:pPr>
              <w:spacing w:after="0"/>
              <w:rPr>
                <w:sz w:val="12"/>
                <w:szCs w:val="12"/>
                <w:color w:val="auto"/>
              </w:rPr>
            </w:pPr>
          </w:p>
        </w:tc>
        <w:tc>
          <w:tcPr>
            <w:tcW w:w="448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color w:val="auto"/>
              </w:rPr>
              <w:t>Corporations:</w:t>
            </w:r>
          </w:p>
        </w:tc>
        <w:tc>
          <w:tcPr>
            <w:tcW w:w="370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360" w:type="dxa"/>
            <w:vAlign w:val="bottom"/>
          </w:tcPr>
          <w:p>
            <w:pPr>
              <w:spacing w:after="0"/>
              <w:rPr>
                <w:sz w:val="12"/>
                <w:szCs w:val="12"/>
                <w:color w:val="auto"/>
              </w:rPr>
            </w:pPr>
          </w:p>
        </w:tc>
      </w:tr>
      <w:tr>
        <w:trPr>
          <w:trHeight w:val="154"/>
        </w:trPr>
        <w:tc>
          <w:tcPr>
            <w:tcW w:w="220" w:type="dxa"/>
            <w:vAlign w:val="bottom"/>
          </w:tcPr>
          <w:p>
            <w:pPr>
              <w:spacing w:after="0"/>
              <w:rPr>
                <w:sz w:val="13"/>
                <w:szCs w:val="13"/>
                <w:color w:val="auto"/>
              </w:rPr>
            </w:pPr>
          </w:p>
        </w:tc>
        <w:tc>
          <w:tcPr>
            <w:tcW w:w="4480" w:type="dxa"/>
            <w:vAlign w:val="bottom"/>
          </w:tcPr>
          <w:p>
            <w:pPr>
              <w:ind w:left="120"/>
              <w:spacing w:after="0"/>
              <w:rPr>
                <w:sz w:val="20"/>
                <w:szCs w:val="20"/>
                <w:color w:val="auto"/>
              </w:rPr>
            </w:pPr>
            <w:r>
              <w:rPr>
                <w:rFonts w:ascii="Arial" w:cs="Arial" w:eastAsia="Arial" w:hAnsi="Arial"/>
                <w:sz w:val="13"/>
                <w:szCs w:val="13"/>
                <w:color w:val="auto"/>
              </w:rPr>
              <w:t>Private</w:t>
            </w:r>
          </w:p>
        </w:tc>
        <w:tc>
          <w:tcPr>
            <w:tcW w:w="4920" w:type="dxa"/>
            <w:vAlign w:val="bottom"/>
            <w:gridSpan w:val="2"/>
          </w:tcPr>
          <w:p>
            <w:pPr>
              <w:jc w:val="right"/>
              <w:spacing w:after="0"/>
              <w:rPr>
                <w:sz w:val="20"/>
                <w:szCs w:val="20"/>
                <w:color w:val="auto"/>
              </w:rPr>
            </w:pPr>
            <w:r>
              <w:rPr>
                <w:rFonts w:ascii="Arial" w:cs="Arial" w:eastAsia="Arial" w:hAnsi="Arial"/>
                <w:sz w:val="13"/>
                <w:szCs w:val="13"/>
                <w:color w:val="auto"/>
              </w:rPr>
              <w:t>1,893,696</w:t>
            </w:r>
          </w:p>
        </w:tc>
        <w:tc>
          <w:tcPr>
            <w:tcW w:w="200" w:type="dxa"/>
            <w:vAlign w:val="bottom"/>
          </w:tcPr>
          <w:p>
            <w:pPr>
              <w:spacing w:after="0"/>
              <w:rPr>
                <w:sz w:val="13"/>
                <w:szCs w:val="13"/>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2,124,947</w:t>
            </w:r>
          </w:p>
        </w:tc>
        <w:tc>
          <w:tcPr>
            <w:tcW w:w="36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4480" w:type="dxa"/>
            <w:vAlign w:val="bottom"/>
            <w:shd w:val="clear" w:color="auto" w:fill="CCEEFF"/>
          </w:tcPr>
          <w:p>
            <w:pPr>
              <w:ind w:left="120"/>
              <w:spacing w:after="0"/>
              <w:rPr>
                <w:sz w:val="20"/>
                <w:szCs w:val="20"/>
                <w:color w:val="auto"/>
              </w:rPr>
            </w:pPr>
            <w:r>
              <w:rPr>
                <w:rFonts w:ascii="Arial" w:cs="Arial" w:eastAsia="Arial" w:hAnsi="Arial"/>
                <w:sz w:val="13"/>
                <w:szCs w:val="13"/>
                <w:color w:val="auto"/>
              </w:rPr>
              <w:t>State-owned</w:t>
            </w:r>
          </w:p>
        </w:tc>
        <w:tc>
          <w:tcPr>
            <w:tcW w:w="492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801,938</w:t>
            </w:r>
          </w:p>
        </w:tc>
        <w:tc>
          <w:tcPr>
            <w:tcW w:w="20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723,267</w:t>
            </w:r>
          </w:p>
        </w:tc>
        <w:tc>
          <w:tcPr>
            <w:tcW w:w="36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4480" w:type="dxa"/>
            <w:vAlign w:val="bottom"/>
          </w:tcPr>
          <w:p>
            <w:pPr>
              <w:spacing w:after="0"/>
              <w:rPr>
                <w:sz w:val="20"/>
                <w:szCs w:val="20"/>
                <w:color w:val="auto"/>
              </w:rPr>
            </w:pPr>
            <w:r>
              <w:rPr>
                <w:rFonts w:ascii="Arial" w:cs="Arial" w:eastAsia="Arial" w:hAnsi="Arial"/>
                <w:sz w:val="13"/>
                <w:szCs w:val="13"/>
                <w:color w:val="auto"/>
              </w:rPr>
              <w:t>Financial institutions:</w:t>
            </w:r>
          </w:p>
        </w:tc>
        <w:tc>
          <w:tcPr>
            <w:tcW w:w="370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36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4480" w:type="dxa"/>
            <w:vAlign w:val="bottom"/>
            <w:shd w:val="clear" w:color="auto" w:fill="CCEEFF"/>
          </w:tcPr>
          <w:p>
            <w:pPr>
              <w:ind w:left="120"/>
              <w:spacing w:after="0"/>
              <w:rPr>
                <w:sz w:val="20"/>
                <w:szCs w:val="20"/>
                <w:color w:val="auto"/>
              </w:rPr>
            </w:pPr>
            <w:r>
              <w:rPr>
                <w:rFonts w:ascii="Arial" w:cs="Arial" w:eastAsia="Arial" w:hAnsi="Arial"/>
                <w:sz w:val="13"/>
                <w:szCs w:val="13"/>
                <w:color w:val="auto"/>
              </w:rPr>
              <w:t>Private</w:t>
            </w:r>
          </w:p>
        </w:tc>
        <w:tc>
          <w:tcPr>
            <w:tcW w:w="492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2,458,690</w:t>
            </w:r>
          </w:p>
        </w:tc>
        <w:tc>
          <w:tcPr>
            <w:tcW w:w="20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2,083,795</w:t>
            </w:r>
          </w:p>
        </w:tc>
        <w:tc>
          <w:tcPr>
            <w:tcW w:w="360" w:type="dxa"/>
            <w:vAlign w:val="bottom"/>
          </w:tcPr>
          <w:p>
            <w:pPr>
              <w:spacing w:after="0"/>
              <w:rPr>
                <w:sz w:val="13"/>
                <w:szCs w:val="13"/>
                <w:color w:val="auto"/>
              </w:rPr>
            </w:pPr>
          </w:p>
        </w:tc>
      </w:tr>
      <w:tr>
        <w:trPr>
          <w:trHeight w:val="163"/>
        </w:trPr>
        <w:tc>
          <w:tcPr>
            <w:tcW w:w="220" w:type="dxa"/>
            <w:vAlign w:val="bottom"/>
          </w:tcPr>
          <w:p>
            <w:pPr>
              <w:spacing w:after="0"/>
              <w:rPr>
                <w:sz w:val="14"/>
                <w:szCs w:val="14"/>
                <w:color w:val="auto"/>
              </w:rPr>
            </w:pPr>
          </w:p>
        </w:tc>
        <w:tc>
          <w:tcPr>
            <w:tcW w:w="4480" w:type="dxa"/>
            <w:vAlign w:val="bottom"/>
          </w:tcPr>
          <w:p>
            <w:pPr>
              <w:ind w:left="120"/>
              <w:spacing w:after="0"/>
              <w:rPr>
                <w:sz w:val="20"/>
                <w:szCs w:val="20"/>
                <w:color w:val="auto"/>
              </w:rPr>
            </w:pPr>
            <w:r>
              <w:rPr>
                <w:rFonts w:ascii="Arial" w:cs="Arial" w:eastAsia="Arial" w:hAnsi="Arial"/>
                <w:sz w:val="13"/>
                <w:szCs w:val="13"/>
                <w:color w:val="auto"/>
              </w:rPr>
              <w:t>State-owned</w:t>
            </w:r>
          </w:p>
        </w:tc>
        <w:tc>
          <w:tcPr>
            <w:tcW w:w="4920" w:type="dxa"/>
            <w:vAlign w:val="bottom"/>
            <w:gridSpan w:val="2"/>
          </w:tcPr>
          <w:p>
            <w:pPr>
              <w:jc w:val="right"/>
              <w:spacing w:after="0"/>
              <w:rPr>
                <w:sz w:val="20"/>
                <w:szCs w:val="20"/>
                <w:color w:val="auto"/>
              </w:rPr>
            </w:pPr>
            <w:r>
              <w:rPr>
                <w:rFonts w:ascii="Arial" w:cs="Arial" w:eastAsia="Arial" w:hAnsi="Arial"/>
                <w:sz w:val="13"/>
                <w:szCs w:val="13"/>
                <w:color w:val="auto"/>
              </w:rPr>
              <w:t>624,100</w:t>
            </w:r>
          </w:p>
        </w:tc>
        <w:tc>
          <w:tcPr>
            <w:tcW w:w="200" w:type="dxa"/>
            <w:vAlign w:val="bottom"/>
          </w:tcPr>
          <w:p>
            <w:pPr>
              <w:spacing w:after="0"/>
              <w:rPr>
                <w:sz w:val="14"/>
                <w:szCs w:val="14"/>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573,649</w:t>
            </w:r>
          </w:p>
        </w:tc>
        <w:tc>
          <w:tcPr>
            <w:tcW w:w="360" w:type="dxa"/>
            <w:vAlign w:val="bottom"/>
          </w:tcPr>
          <w:p>
            <w:pPr>
              <w:spacing w:after="0"/>
              <w:rPr>
                <w:sz w:val="14"/>
                <w:szCs w:val="14"/>
                <w:color w:val="auto"/>
              </w:rPr>
            </w:pPr>
          </w:p>
        </w:tc>
      </w:tr>
      <w:tr>
        <w:trPr>
          <w:trHeight w:val="174"/>
        </w:trPr>
        <w:tc>
          <w:tcPr>
            <w:tcW w:w="220" w:type="dxa"/>
            <w:vAlign w:val="bottom"/>
          </w:tcPr>
          <w:p>
            <w:pPr>
              <w:spacing w:after="0"/>
              <w:rPr>
                <w:sz w:val="15"/>
                <w:szCs w:val="15"/>
                <w:color w:val="auto"/>
              </w:rPr>
            </w:pPr>
          </w:p>
        </w:tc>
        <w:tc>
          <w:tcPr>
            <w:tcW w:w="4480" w:type="dxa"/>
            <w:vAlign w:val="bottom"/>
            <w:tcBorders>
              <w:top w:val="single" w:sz="8" w:color="CCEEFF"/>
              <w:bottom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Total</w:t>
            </w:r>
          </w:p>
        </w:tc>
        <w:tc>
          <w:tcPr>
            <w:tcW w:w="3700" w:type="dxa"/>
            <w:vAlign w:val="bottom"/>
            <w:tcBorders>
              <w:top w:val="single" w:sz="8" w:color="CCEEFF"/>
              <w:bottom w:val="single" w:sz="8" w:color="CCEEFF"/>
            </w:tcBorders>
            <w:shd w:val="clear" w:color="auto" w:fill="CCEEFF"/>
          </w:tcPr>
          <w:p>
            <w:pPr>
              <w:spacing w:after="0"/>
              <w:rPr>
                <w:sz w:val="15"/>
                <w:szCs w:val="15"/>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5,778,424</w:t>
            </w:r>
          </w:p>
        </w:tc>
        <w:tc>
          <w:tcPr>
            <w:tcW w:w="200" w:type="dxa"/>
            <w:vAlign w:val="bottom"/>
            <w:tcBorders>
              <w:top w:val="single" w:sz="8" w:color="CCEEFF"/>
              <w:bottom w:val="single" w:sz="8" w:color="CCEEFF"/>
            </w:tcBorders>
            <w:shd w:val="clear" w:color="auto" w:fill="CCEEFF"/>
          </w:tcPr>
          <w:p>
            <w:pPr>
              <w:spacing w:after="0"/>
              <w:rPr>
                <w:sz w:val="15"/>
                <w:szCs w:val="15"/>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5,505,658</w:t>
            </w:r>
          </w:p>
        </w:tc>
        <w:tc>
          <w:tcPr>
            <w:tcW w:w="100" w:type="dxa"/>
            <w:vAlign w:val="bottom"/>
            <w:tcBorders>
              <w:top w:val="single" w:sz="8" w:color="CCEEFF"/>
              <w:bottom w:val="single" w:sz="8" w:color="CCEEFF"/>
            </w:tcBorders>
            <w:shd w:val="clear" w:color="auto" w:fill="CCEEFF"/>
          </w:tcPr>
          <w:p>
            <w:pPr>
              <w:spacing w:after="0"/>
              <w:rPr>
                <w:sz w:val="15"/>
                <w:szCs w:val="15"/>
                <w:color w:val="auto"/>
              </w:rPr>
            </w:pPr>
          </w:p>
        </w:tc>
        <w:tc>
          <w:tcPr>
            <w:tcW w:w="360" w:type="dxa"/>
            <w:vAlign w:val="bottom"/>
          </w:tcPr>
          <w:p>
            <w:pPr>
              <w:spacing w:after="0"/>
              <w:rPr>
                <w:sz w:val="15"/>
                <w:szCs w:val="15"/>
                <w:color w:val="auto"/>
              </w:rPr>
            </w:pPr>
          </w:p>
        </w:tc>
      </w:tr>
      <w:tr>
        <w:trPr>
          <w:trHeight w:val="296"/>
        </w:trPr>
        <w:tc>
          <w:tcPr>
            <w:tcW w:w="4700" w:type="dxa"/>
            <w:vAlign w:val="bottom"/>
            <w:gridSpan w:val="2"/>
          </w:tcPr>
          <w:p>
            <w:pPr>
              <w:ind w:left="220"/>
              <w:spacing w:after="0"/>
              <w:rPr>
                <w:sz w:val="20"/>
                <w:szCs w:val="20"/>
                <w:color w:val="auto"/>
              </w:rPr>
            </w:pPr>
            <w:r>
              <w:rPr>
                <w:rFonts w:ascii="Arial" w:cs="Arial" w:eastAsia="Arial" w:hAnsi="Arial"/>
                <w:sz w:val="13"/>
                <w:szCs w:val="13"/>
                <w:color w:val="auto"/>
              </w:rPr>
              <w:t>The composition of the gross loan portfolio by industry is as follows:</w:t>
            </w:r>
          </w:p>
        </w:tc>
        <w:tc>
          <w:tcPr>
            <w:tcW w:w="370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60" w:type="dxa"/>
            <w:vAlign w:val="bottom"/>
          </w:tcPr>
          <w:p>
            <w:pPr>
              <w:spacing w:after="0"/>
              <w:rPr>
                <w:sz w:val="24"/>
                <w:szCs w:val="24"/>
                <w:color w:val="auto"/>
              </w:rPr>
            </w:pPr>
          </w:p>
        </w:tc>
      </w:tr>
      <w:tr>
        <w:trPr>
          <w:trHeight w:val="305"/>
        </w:trPr>
        <w:tc>
          <w:tcPr>
            <w:tcW w:w="220" w:type="dxa"/>
            <w:vAlign w:val="bottom"/>
          </w:tcPr>
          <w:p>
            <w:pPr>
              <w:spacing w:after="0"/>
              <w:rPr>
                <w:sz w:val="24"/>
                <w:szCs w:val="24"/>
                <w:color w:val="auto"/>
              </w:rPr>
            </w:pPr>
          </w:p>
        </w:tc>
        <w:tc>
          <w:tcPr>
            <w:tcW w:w="4480" w:type="dxa"/>
            <w:vAlign w:val="bottom"/>
          </w:tcPr>
          <w:p>
            <w:pPr>
              <w:spacing w:after="0"/>
              <w:rPr>
                <w:sz w:val="24"/>
                <w:szCs w:val="24"/>
                <w:color w:val="auto"/>
              </w:rPr>
            </w:pPr>
          </w:p>
        </w:tc>
        <w:tc>
          <w:tcPr>
            <w:tcW w:w="3700" w:type="dxa"/>
            <w:vAlign w:val="bottom"/>
          </w:tcPr>
          <w:p>
            <w:pPr>
              <w:spacing w:after="0"/>
              <w:rPr>
                <w:sz w:val="24"/>
                <w:szCs w:val="24"/>
                <w:color w:val="auto"/>
              </w:rPr>
            </w:pPr>
          </w:p>
        </w:tc>
        <w:tc>
          <w:tcPr>
            <w:tcW w:w="142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7"/>
              </w:rPr>
              <w:t>December 31,</w:t>
            </w:r>
          </w:p>
        </w:tc>
        <w:tc>
          <w:tcPr>
            <w:tcW w:w="130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9"/>
              </w:rPr>
              <w:t>December 31,</w:t>
            </w:r>
          </w:p>
        </w:tc>
        <w:tc>
          <w:tcPr>
            <w:tcW w:w="360" w:type="dxa"/>
            <w:vAlign w:val="bottom"/>
          </w:tcPr>
          <w:p>
            <w:pPr>
              <w:spacing w:after="0"/>
              <w:rPr>
                <w:sz w:val="24"/>
                <w:szCs w:val="24"/>
                <w:color w:val="auto"/>
              </w:rPr>
            </w:pPr>
          </w:p>
        </w:tc>
      </w:tr>
      <w:tr>
        <w:trPr>
          <w:trHeight w:val="167"/>
        </w:trPr>
        <w:tc>
          <w:tcPr>
            <w:tcW w:w="220" w:type="dxa"/>
            <w:vAlign w:val="bottom"/>
          </w:tcPr>
          <w:p>
            <w:pPr>
              <w:spacing w:after="0"/>
              <w:rPr>
                <w:sz w:val="14"/>
                <w:szCs w:val="14"/>
                <w:color w:val="auto"/>
              </w:rPr>
            </w:pPr>
          </w:p>
        </w:tc>
        <w:tc>
          <w:tcPr>
            <w:tcW w:w="4480" w:type="dxa"/>
            <w:vAlign w:val="bottom"/>
          </w:tcPr>
          <w:p>
            <w:pPr>
              <w:spacing w:after="0"/>
              <w:rPr>
                <w:sz w:val="14"/>
                <w:szCs w:val="14"/>
                <w:color w:val="auto"/>
              </w:rPr>
            </w:pPr>
          </w:p>
        </w:tc>
        <w:tc>
          <w:tcPr>
            <w:tcW w:w="4920" w:type="dxa"/>
            <w:vAlign w:val="bottom"/>
            <w:gridSpan w:val="2"/>
          </w:tcPr>
          <w:p>
            <w:pPr>
              <w:jc w:val="center"/>
              <w:ind w:left="3636"/>
              <w:spacing w:after="0"/>
              <w:rPr>
                <w:sz w:val="20"/>
                <w:szCs w:val="20"/>
                <w:color w:val="auto"/>
              </w:rPr>
            </w:pPr>
            <w:r>
              <w:rPr>
                <w:rFonts w:ascii="Arial" w:cs="Arial" w:eastAsia="Arial" w:hAnsi="Arial"/>
                <w:sz w:val="13"/>
                <w:szCs w:val="13"/>
                <w:b w:val="1"/>
                <w:bCs w:val="1"/>
                <w:color w:val="auto"/>
                <w:w w:val="89"/>
              </w:rPr>
              <w:t>2018</w:t>
            </w:r>
          </w:p>
        </w:tc>
        <w:tc>
          <w:tcPr>
            <w:tcW w:w="200" w:type="dxa"/>
            <w:vAlign w:val="bottom"/>
          </w:tcPr>
          <w:p>
            <w:pPr>
              <w:spacing w:after="0"/>
              <w:rPr>
                <w:sz w:val="14"/>
                <w:szCs w:val="14"/>
                <w:color w:val="auto"/>
              </w:rPr>
            </w:pPr>
          </w:p>
        </w:tc>
        <w:tc>
          <w:tcPr>
            <w:tcW w:w="1200" w:type="dxa"/>
            <w:vAlign w:val="bottom"/>
          </w:tcPr>
          <w:p>
            <w:pPr>
              <w:jc w:val="center"/>
              <w:spacing w:after="0"/>
              <w:rPr>
                <w:sz w:val="20"/>
                <w:szCs w:val="20"/>
                <w:color w:val="auto"/>
              </w:rPr>
            </w:pPr>
            <w:r>
              <w:rPr>
                <w:rFonts w:ascii="Arial" w:cs="Arial" w:eastAsia="Arial" w:hAnsi="Arial"/>
                <w:sz w:val="13"/>
                <w:szCs w:val="13"/>
                <w:b w:val="1"/>
                <w:bCs w:val="1"/>
                <w:color w:val="auto"/>
                <w:w w:val="89"/>
              </w:rPr>
              <w:t>2017</w:t>
            </w:r>
          </w:p>
        </w:tc>
        <w:tc>
          <w:tcPr>
            <w:tcW w:w="100" w:type="dxa"/>
            <w:vAlign w:val="bottom"/>
          </w:tcPr>
          <w:p>
            <w:pPr>
              <w:spacing w:after="0"/>
              <w:rPr>
                <w:sz w:val="14"/>
                <w:szCs w:val="14"/>
                <w:color w:val="auto"/>
              </w:rPr>
            </w:pPr>
          </w:p>
        </w:tc>
        <w:tc>
          <w:tcPr>
            <w:tcW w:w="360" w:type="dxa"/>
            <w:vAlign w:val="bottom"/>
          </w:tcPr>
          <w:p>
            <w:pPr>
              <w:spacing w:after="0"/>
              <w:rPr>
                <w:sz w:val="14"/>
                <w:szCs w:val="14"/>
                <w:color w:val="auto"/>
              </w:rPr>
            </w:pPr>
          </w:p>
        </w:tc>
      </w:tr>
      <w:tr>
        <w:trPr>
          <w:trHeight w:val="144"/>
        </w:trPr>
        <w:tc>
          <w:tcPr>
            <w:tcW w:w="220" w:type="dxa"/>
            <w:vAlign w:val="bottom"/>
          </w:tcPr>
          <w:p>
            <w:pPr>
              <w:spacing w:after="0"/>
              <w:rPr>
                <w:sz w:val="12"/>
                <w:szCs w:val="12"/>
                <w:color w:val="auto"/>
              </w:rPr>
            </w:pPr>
          </w:p>
        </w:tc>
        <w:tc>
          <w:tcPr>
            <w:tcW w:w="448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color w:val="auto"/>
              </w:rPr>
              <w:t>Financial institutions</w:t>
            </w:r>
          </w:p>
        </w:tc>
        <w:tc>
          <w:tcPr>
            <w:tcW w:w="370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3,082,790</w:t>
            </w: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2,657,444</w:t>
            </w:r>
          </w:p>
        </w:tc>
        <w:tc>
          <w:tcPr>
            <w:tcW w:w="100" w:type="dxa"/>
            <w:vAlign w:val="bottom"/>
            <w:tcBorders>
              <w:top w:val="single" w:sz="8" w:color="CCEEFF"/>
            </w:tcBorders>
            <w:shd w:val="clear" w:color="auto" w:fill="CCEEFF"/>
          </w:tcPr>
          <w:p>
            <w:pPr>
              <w:spacing w:after="0"/>
              <w:rPr>
                <w:sz w:val="12"/>
                <w:szCs w:val="12"/>
                <w:color w:val="auto"/>
              </w:rPr>
            </w:pPr>
          </w:p>
        </w:tc>
        <w:tc>
          <w:tcPr>
            <w:tcW w:w="360" w:type="dxa"/>
            <w:vAlign w:val="bottom"/>
          </w:tcPr>
          <w:p>
            <w:pPr>
              <w:spacing w:after="0"/>
              <w:rPr>
                <w:sz w:val="12"/>
                <w:szCs w:val="12"/>
                <w:color w:val="auto"/>
              </w:rPr>
            </w:pPr>
          </w:p>
        </w:tc>
      </w:tr>
      <w:tr>
        <w:trPr>
          <w:trHeight w:val="154"/>
        </w:trPr>
        <w:tc>
          <w:tcPr>
            <w:tcW w:w="220" w:type="dxa"/>
            <w:vAlign w:val="bottom"/>
          </w:tcPr>
          <w:p>
            <w:pPr>
              <w:spacing w:after="0"/>
              <w:rPr>
                <w:sz w:val="13"/>
                <w:szCs w:val="13"/>
                <w:color w:val="auto"/>
              </w:rPr>
            </w:pPr>
          </w:p>
        </w:tc>
        <w:tc>
          <w:tcPr>
            <w:tcW w:w="4480" w:type="dxa"/>
            <w:vAlign w:val="bottom"/>
          </w:tcPr>
          <w:p>
            <w:pPr>
              <w:spacing w:after="0"/>
              <w:rPr>
                <w:sz w:val="20"/>
                <w:szCs w:val="20"/>
                <w:color w:val="auto"/>
              </w:rPr>
            </w:pPr>
            <w:r>
              <w:rPr>
                <w:rFonts w:ascii="Arial" w:cs="Arial" w:eastAsia="Arial" w:hAnsi="Arial"/>
                <w:sz w:val="13"/>
                <w:szCs w:val="13"/>
                <w:color w:val="auto"/>
              </w:rPr>
              <w:t>Industrial</w:t>
            </w:r>
          </w:p>
        </w:tc>
        <w:tc>
          <w:tcPr>
            <w:tcW w:w="4920" w:type="dxa"/>
            <w:vAlign w:val="bottom"/>
            <w:gridSpan w:val="2"/>
          </w:tcPr>
          <w:p>
            <w:pPr>
              <w:jc w:val="right"/>
              <w:spacing w:after="0"/>
              <w:rPr>
                <w:sz w:val="20"/>
                <w:szCs w:val="20"/>
                <w:color w:val="auto"/>
              </w:rPr>
            </w:pPr>
            <w:r>
              <w:rPr>
                <w:rFonts w:ascii="Arial" w:cs="Arial" w:eastAsia="Arial" w:hAnsi="Arial"/>
                <w:sz w:val="13"/>
                <w:szCs w:val="13"/>
                <w:color w:val="auto"/>
              </w:rPr>
              <w:t>986,262</w:t>
            </w:r>
          </w:p>
        </w:tc>
        <w:tc>
          <w:tcPr>
            <w:tcW w:w="200" w:type="dxa"/>
            <w:vAlign w:val="bottom"/>
          </w:tcPr>
          <w:p>
            <w:pPr>
              <w:spacing w:after="0"/>
              <w:rPr>
                <w:sz w:val="13"/>
                <w:szCs w:val="13"/>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772,238</w:t>
            </w:r>
          </w:p>
        </w:tc>
        <w:tc>
          <w:tcPr>
            <w:tcW w:w="36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4480" w:type="dxa"/>
            <w:vAlign w:val="bottom"/>
            <w:shd w:val="clear" w:color="auto" w:fill="CCEEFF"/>
          </w:tcPr>
          <w:p>
            <w:pPr>
              <w:spacing w:after="0"/>
              <w:rPr>
                <w:sz w:val="20"/>
                <w:szCs w:val="20"/>
                <w:color w:val="auto"/>
              </w:rPr>
            </w:pPr>
            <w:r>
              <w:rPr>
                <w:rFonts w:ascii="Arial" w:cs="Arial" w:eastAsia="Arial" w:hAnsi="Arial"/>
                <w:sz w:val="13"/>
                <w:szCs w:val="13"/>
                <w:color w:val="auto"/>
              </w:rPr>
              <w:t>Oil and petroleum derived products</w:t>
            </w:r>
          </w:p>
        </w:tc>
        <w:tc>
          <w:tcPr>
            <w:tcW w:w="492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634,615</w:t>
            </w:r>
          </w:p>
        </w:tc>
        <w:tc>
          <w:tcPr>
            <w:tcW w:w="20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735,413</w:t>
            </w:r>
          </w:p>
        </w:tc>
        <w:tc>
          <w:tcPr>
            <w:tcW w:w="36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4480" w:type="dxa"/>
            <w:vAlign w:val="bottom"/>
          </w:tcPr>
          <w:p>
            <w:pPr>
              <w:spacing w:after="0"/>
              <w:rPr>
                <w:sz w:val="20"/>
                <w:szCs w:val="20"/>
                <w:color w:val="auto"/>
              </w:rPr>
            </w:pPr>
            <w:r>
              <w:rPr>
                <w:rFonts w:ascii="Arial" w:cs="Arial" w:eastAsia="Arial" w:hAnsi="Arial"/>
                <w:sz w:val="13"/>
                <w:szCs w:val="13"/>
                <w:color w:val="auto"/>
              </w:rPr>
              <w:t>Agricultural</w:t>
            </w:r>
          </w:p>
        </w:tc>
        <w:tc>
          <w:tcPr>
            <w:tcW w:w="4920" w:type="dxa"/>
            <w:vAlign w:val="bottom"/>
            <w:gridSpan w:val="2"/>
          </w:tcPr>
          <w:p>
            <w:pPr>
              <w:jc w:val="right"/>
              <w:spacing w:after="0"/>
              <w:rPr>
                <w:sz w:val="20"/>
                <w:szCs w:val="20"/>
                <w:color w:val="auto"/>
              </w:rPr>
            </w:pPr>
            <w:r>
              <w:rPr>
                <w:rFonts w:ascii="Arial" w:cs="Arial" w:eastAsia="Arial" w:hAnsi="Arial"/>
                <w:sz w:val="13"/>
                <w:szCs w:val="13"/>
                <w:color w:val="auto"/>
              </w:rPr>
              <w:t>446,960</w:t>
            </w:r>
          </w:p>
        </w:tc>
        <w:tc>
          <w:tcPr>
            <w:tcW w:w="200" w:type="dxa"/>
            <w:vAlign w:val="bottom"/>
          </w:tcPr>
          <w:p>
            <w:pPr>
              <w:spacing w:after="0"/>
              <w:rPr>
                <w:sz w:val="13"/>
                <w:szCs w:val="13"/>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501,241</w:t>
            </w:r>
          </w:p>
        </w:tc>
        <w:tc>
          <w:tcPr>
            <w:tcW w:w="36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4480" w:type="dxa"/>
            <w:vAlign w:val="bottom"/>
            <w:shd w:val="clear" w:color="auto" w:fill="CCEEFF"/>
          </w:tcPr>
          <w:p>
            <w:pPr>
              <w:spacing w:after="0"/>
              <w:rPr>
                <w:sz w:val="20"/>
                <w:szCs w:val="20"/>
                <w:color w:val="auto"/>
              </w:rPr>
            </w:pPr>
            <w:r>
              <w:rPr>
                <w:rFonts w:ascii="Arial" w:cs="Arial" w:eastAsia="Arial" w:hAnsi="Arial"/>
                <w:sz w:val="13"/>
                <w:szCs w:val="13"/>
                <w:color w:val="auto"/>
              </w:rPr>
              <w:t>Services</w:t>
            </w:r>
          </w:p>
        </w:tc>
        <w:tc>
          <w:tcPr>
            <w:tcW w:w="492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393,925</w:t>
            </w:r>
          </w:p>
        </w:tc>
        <w:tc>
          <w:tcPr>
            <w:tcW w:w="20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430,717</w:t>
            </w:r>
          </w:p>
        </w:tc>
        <w:tc>
          <w:tcPr>
            <w:tcW w:w="36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4480" w:type="dxa"/>
            <w:vAlign w:val="bottom"/>
          </w:tcPr>
          <w:p>
            <w:pPr>
              <w:spacing w:after="0"/>
              <w:rPr>
                <w:sz w:val="20"/>
                <w:szCs w:val="20"/>
                <w:color w:val="auto"/>
              </w:rPr>
            </w:pPr>
            <w:r>
              <w:rPr>
                <w:rFonts w:ascii="Arial" w:cs="Arial" w:eastAsia="Arial" w:hAnsi="Arial"/>
                <w:sz w:val="13"/>
                <w:szCs w:val="13"/>
                <w:color w:val="auto"/>
              </w:rPr>
              <w:t>Mining</w:t>
            </w:r>
          </w:p>
        </w:tc>
        <w:tc>
          <w:tcPr>
            <w:tcW w:w="5120" w:type="dxa"/>
            <w:vAlign w:val="bottom"/>
            <w:gridSpan w:val="3"/>
          </w:tcPr>
          <w:p>
            <w:pPr>
              <w:jc w:val="right"/>
              <w:ind w:right="200"/>
              <w:spacing w:after="0"/>
              <w:rPr>
                <w:sz w:val="20"/>
                <w:szCs w:val="20"/>
                <w:color w:val="auto"/>
              </w:rPr>
            </w:pPr>
            <w:r>
              <w:rPr>
                <w:rFonts w:ascii="Arial" w:cs="Arial" w:eastAsia="Arial" w:hAnsi="Arial"/>
                <w:sz w:val="13"/>
                <w:szCs w:val="13"/>
                <w:color w:val="auto"/>
              </w:rPr>
              <w:t>20,000</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231,687</w:t>
            </w:r>
          </w:p>
        </w:tc>
        <w:tc>
          <w:tcPr>
            <w:tcW w:w="36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4480" w:type="dxa"/>
            <w:vAlign w:val="bottom"/>
            <w:shd w:val="clear" w:color="auto" w:fill="CCEEFF"/>
          </w:tcPr>
          <w:p>
            <w:pPr>
              <w:spacing w:after="0"/>
              <w:rPr>
                <w:sz w:val="20"/>
                <w:szCs w:val="20"/>
                <w:color w:val="auto"/>
              </w:rPr>
            </w:pPr>
            <w:r>
              <w:rPr>
                <w:rFonts w:ascii="Arial" w:cs="Arial" w:eastAsia="Arial" w:hAnsi="Arial"/>
                <w:sz w:val="13"/>
                <w:szCs w:val="13"/>
                <w:color w:val="auto"/>
              </w:rPr>
              <w:t>Sovereign</w:t>
            </w:r>
          </w:p>
        </w:tc>
        <w:tc>
          <w:tcPr>
            <w:tcW w:w="5120" w:type="dxa"/>
            <w:vAlign w:val="bottom"/>
            <w:gridSpan w:val="3"/>
            <w:shd w:val="clear" w:color="auto" w:fill="CCEEFF"/>
          </w:tcPr>
          <w:p>
            <w:pPr>
              <w:jc w:val="right"/>
              <w:ind w:right="200"/>
              <w:spacing w:after="0"/>
              <w:rPr>
                <w:sz w:val="20"/>
                <w:szCs w:val="20"/>
                <w:color w:val="auto"/>
              </w:rPr>
            </w:pPr>
            <w:r>
              <w:rPr>
                <w:rFonts w:ascii="Arial" w:cs="Arial" w:eastAsia="Arial" w:hAnsi="Arial"/>
                <w:sz w:val="13"/>
                <w:szCs w:val="13"/>
                <w:color w:val="auto"/>
              </w:rPr>
              <w:t>59,026</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c>
          <w:tcPr>
            <w:tcW w:w="360" w:type="dxa"/>
            <w:vAlign w:val="bottom"/>
          </w:tcPr>
          <w:p>
            <w:pPr>
              <w:spacing w:after="0"/>
              <w:rPr>
                <w:sz w:val="13"/>
                <w:szCs w:val="13"/>
                <w:color w:val="auto"/>
              </w:rPr>
            </w:pPr>
          </w:p>
        </w:tc>
      </w:tr>
      <w:tr>
        <w:trPr>
          <w:trHeight w:val="163"/>
        </w:trPr>
        <w:tc>
          <w:tcPr>
            <w:tcW w:w="220" w:type="dxa"/>
            <w:vAlign w:val="bottom"/>
          </w:tcPr>
          <w:p>
            <w:pPr>
              <w:spacing w:after="0"/>
              <w:rPr>
                <w:sz w:val="14"/>
                <w:szCs w:val="14"/>
                <w:color w:val="auto"/>
              </w:rPr>
            </w:pPr>
          </w:p>
        </w:tc>
        <w:tc>
          <w:tcPr>
            <w:tcW w:w="4480" w:type="dxa"/>
            <w:vAlign w:val="bottom"/>
          </w:tcPr>
          <w:p>
            <w:pPr>
              <w:spacing w:after="0"/>
              <w:rPr>
                <w:sz w:val="20"/>
                <w:szCs w:val="20"/>
                <w:color w:val="auto"/>
              </w:rPr>
            </w:pPr>
            <w:r>
              <w:rPr>
                <w:rFonts w:ascii="Arial" w:cs="Arial" w:eastAsia="Arial" w:hAnsi="Arial"/>
                <w:sz w:val="13"/>
                <w:szCs w:val="13"/>
                <w:color w:val="auto"/>
              </w:rPr>
              <w:t>Other</w:t>
            </w:r>
          </w:p>
        </w:tc>
        <w:tc>
          <w:tcPr>
            <w:tcW w:w="4920" w:type="dxa"/>
            <w:vAlign w:val="bottom"/>
            <w:gridSpan w:val="2"/>
          </w:tcPr>
          <w:p>
            <w:pPr>
              <w:jc w:val="right"/>
              <w:spacing w:after="0"/>
              <w:rPr>
                <w:sz w:val="20"/>
                <w:szCs w:val="20"/>
                <w:color w:val="auto"/>
              </w:rPr>
            </w:pPr>
            <w:r>
              <w:rPr>
                <w:rFonts w:ascii="Arial" w:cs="Arial" w:eastAsia="Arial" w:hAnsi="Arial"/>
                <w:sz w:val="13"/>
                <w:szCs w:val="13"/>
                <w:color w:val="auto"/>
              </w:rPr>
              <w:t>154,846</w:t>
            </w:r>
          </w:p>
        </w:tc>
        <w:tc>
          <w:tcPr>
            <w:tcW w:w="200" w:type="dxa"/>
            <w:vAlign w:val="bottom"/>
          </w:tcPr>
          <w:p>
            <w:pPr>
              <w:spacing w:after="0"/>
              <w:rPr>
                <w:sz w:val="14"/>
                <w:szCs w:val="14"/>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176,918</w:t>
            </w:r>
          </w:p>
        </w:tc>
        <w:tc>
          <w:tcPr>
            <w:tcW w:w="360" w:type="dxa"/>
            <w:vAlign w:val="bottom"/>
          </w:tcPr>
          <w:p>
            <w:pPr>
              <w:spacing w:after="0"/>
              <w:rPr>
                <w:sz w:val="14"/>
                <w:szCs w:val="14"/>
                <w:color w:val="auto"/>
              </w:rPr>
            </w:pPr>
          </w:p>
        </w:tc>
      </w:tr>
      <w:tr>
        <w:trPr>
          <w:trHeight w:val="163"/>
        </w:trPr>
        <w:tc>
          <w:tcPr>
            <w:tcW w:w="220" w:type="dxa"/>
            <w:vAlign w:val="bottom"/>
          </w:tcPr>
          <w:p>
            <w:pPr>
              <w:spacing w:after="0"/>
              <w:rPr>
                <w:sz w:val="14"/>
                <w:szCs w:val="14"/>
                <w:color w:val="auto"/>
              </w:rPr>
            </w:pPr>
          </w:p>
        </w:tc>
        <w:tc>
          <w:tcPr>
            <w:tcW w:w="4480" w:type="dxa"/>
            <w:vAlign w:val="bottom"/>
            <w:tcBorders>
              <w:top w:val="single" w:sz="8" w:color="CCEEFF"/>
              <w:bottom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Total</w:t>
            </w:r>
          </w:p>
        </w:tc>
        <w:tc>
          <w:tcPr>
            <w:tcW w:w="3700" w:type="dxa"/>
            <w:vAlign w:val="bottom"/>
            <w:tcBorders>
              <w:top w:val="single" w:sz="8" w:color="CCEEFF"/>
              <w:bottom w:val="single" w:sz="8" w:color="CCEEFF"/>
            </w:tcBorders>
            <w:shd w:val="clear" w:color="auto" w:fill="CCEEFF"/>
          </w:tcPr>
          <w:p>
            <w:pPr>
              <w:spacing w:after="0"/>
              <w:rPr>
                <w:sz w:val="14"/>
                <w:szCs w:val="14"/>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5,778,424</w:t>
            </w:r>
          </w:p>
        </w:tc>
        <w:tc>
          <w:tcPr>
            <w:tcW w:w="200" w:type="dxa"/>
            <w:vAlign w:val="bottom"/>
            <w:tcBorders>
              <w:top w:val="single" w:sz="8" w:color="CCEEFF"/>
              <w:bottom w:val="single" w:sz="8" w:color="CCEEFF"/>
            </w:tcBorders>
            <w:shd w:val="clear" w:color="auto" w:fill="CCEEFF"/>
          </w:tcPr>
          <w:p>
            <w:pPr>
              <w:spacing w:after="0"/>
              <w:rPr>
                <w:sz w:val="14"/>
                <w:szCs w:val="14"/>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5,505,658</w:t>
            </w: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c>
          <w:tcPr>
            <w:tcW w:w="360" w:type="dxa"/>
            <w:vAlign w:val="bottom"/>
          </w:tcPr>
          <w:p>
            <w:pPr>
              <w:spacing w:after="0"/>
              <w:rPr>
                <w:sz w:val="14"/>
                <w:szCs w:val="14"/>
                <w:color w:val="auto"/>
              </w:rPr>
            </w:pPr>
          </w:p>
        </w:tc>
      </w:tr>
      <w:tr>
        <w:trPr>
          <w:trHeight w:val="467"/>
        </w:trPr>
        <w:tc>
          <w:tcPr>
            <w:tcW w:w="220" w:type="dxa"/>
            <w:vAlign w:val="bottom"/>
            <w:tcBorders>
              <w:bottom w:val="single" w:sz="8" w:color="auto"/>
            </w:tcBorders>
          </w:tcPr>
          <w:p>
            <w:pPr>
              <w:spacing w:after="0"/>
              <w:rPr>
                <w:sz w:val="24"/>
                <w:szCs w:val="24"/>
                <w:color w:val="auto"/>
              </w:rPr>
            </w:pPr>
          </w:p>
        </w:tc>
        <w:tc>
          <w:tcPr>
            <w:tcW w:w="4480" w:type="dxa"/>
            <w:vAlign w:val="bottom"/>
            <w:tcBorders>
              <w:bottom w:val="single" w:sz="8" w:color="auto"/>
            </w:tcBorders>
          </w:tcPr>
          <w:p>
            <w:pPr>
              <w:spacing w:after="0"/>
              <w:rPr>
                <w:sz w:val="24"/>
                <w:szCs w:val="24"/>
                <w:color w:val="auto"/>
              </w:rPr>
            </w:pPr>
          </w:p>
        </w:tc>
        <w:tc>
          <w:tcPr>
            <w:tcW w:w="5120" w:type="dxa"/>
            <w:vAlign w:val="bottom"/>
            <w:tcBorders>
              <w:bottom w:val="single" w:sz="8" w:color="auto"/>
            </w:tcBorders>
            <w:gridSpan w:val="3"/>
          </w:tcPr>
          <w:p>
            <w:pPr>
              <w:ind w:left="920"/>
              <w:spacing w:after="0"/>
              <w:rPr>
                <w:sz w:val="20"/>
                <w:szCs w:val="20"/>
                <w:color w:val="auto"/>
              </w:rPr>
            </w:pPr>
            <w:r>
              <w:rPr>
                <w:rFonts w:ascii="Arial" w:cs="Arial" w:eastAsia="Arial" w:hAnsi="Arial"/>
                <w:sz w:val="13"/>
                <w:szCs w:val="13"/>
                <w:color w:val="auto"/>
              </w:rPr>
              <w:t>F-42</w:t>
            </w: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r>
    </w:tbl>
    <w:p>
      <w:pPr>
        <w:sectPr>
          <w:pgSz w:w="11900" w:h="16838" w:orient="portrait"/>
          <w:cols w:equalWidth="0" w:num="1">
            <w:col w:w="11483"/>
          </w:cols>
          <w:pgMar w:left="217" w:top="685" w:right="199" w:bottom="1440" w:gutter="0" w:footer="0" w:header="0"/>
        </w:sectPr>
      </w:pPr>
    </w:p>
    <w:bookmarkStart w:id="167" w:name="page168"/>
    <w:bookmarkEnd w:id="167"/>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3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131"/>
        </w:numPr>
        <w:rPr>
          <w:rFonts w:ascii="Arial" w:cs="Arial" w:eastAsia="Arial" w:hAnsi="Arial"/>
          <w:sz w:val="13"/>
          <w:szCs w:val="13"/>
          <w:b w:val="1"/>
          <w:bCs w:val="1"/>
          <w:color w:val="auto"/>
        </w:rPr>
      </w:pPr>
      <w:r>
        <w:rPr>
          <w:rFonts w:ascii="Arial" w:cs="Arial" w:eastAsia="Arial" w:hAnsi="Arial"/>
          <w:sz w:val="13"/>
          <w:szCs w:val="13"/>
          <w:b w:val="1"/>
          <w:bCs w:val="1"/>
          <w:color w:val="auto"/>
        </w:rPr>
        <w:t>Loans (continued)</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Loans classified by borrower’s credit quality indicators are as follows:</w:t>
      </w:r>
    </w:p>
    <w:p>
      <w:pPr>
        <w:spacing w:after="0" w:line="164" w:lineRule="exact"/>
        <w:rPr>
          <w:sz w:val="20"/>
          <w:szCs w:val="20"/>
          <w:color w:val="auto"/>
        </w:rPr>
      </w:pPr>
    </w:p>
    <w:p>
      <w:pPr>
        <w:jc w:val="center"/>
        <w:ind w:right="237"/>
        <w:spacing w:after="0"/>
        <w:rPr>
          <w:sz w:val="20"/>
          <w:szCs w:val="20"/>
          <w:color w:val="auto"/>
        </w:rPr>
      </w:pPr>
      <w:r>
        <w:rPr>
          <w:rFonts w:ascii="Arial" w:cs="Arial" w:eastAsia="Arial" w:hAnsi="Arial"/>
          <w:sz w:val="13"/>
          <w:szCs w:val="13"/>
          <w:b w:val="1"/>
          <w:bCs w:val="1"/>
          <w:color w:val="auto"/>
        </w:rPr>
        <w:t>December 31, 2018</w:t>
      </w:r>
    </w:p>
    <w:p>
      <w:pPr>
        <w:spacing w:after="0" w:line="17" w:lineRule="exact"/>
        <w:rPr>
          <w:sz w:val="20"/>
          <w:szCs w:val="20"/>
          <w:color w:val="auto"/>
        </w:rPr>
      </w:pPr>
    </w:p>
    <w:tbl>
      <w:tblPr>
        <w:tblLayout w:type="fixed"/>
        <w:tblInd w:w="3" w:type="dxa"/>
        <w:tblCellMar>
          <w:top w:w="0" w:type="dxa"/>
          <w:left w:w="0" w:type="dxa"/>
          <w:bottom w:w="0" w:type="dxa"/>
          <w:right w:w="0" w:type="dxa"/>
        </w:tblCellMar>
      </w:tblPr>
      <w:tr>
        <w:trPr>
          <w:trHeight w:val="154"/>
        </w:trPr>
        <w:tc>
          <w:tcPr>
            <w:tcW w:w="220" w:type="dxa"/>
            <w:vAlign w:val="bottom"/>
          </w:tcPr>
          <w:p>
            <w:pPr>
              <w:spacing w:after="0"/>
              <w:rPr>
                <w:sz w:val="13"/>
                <w:szCs w:val="13"/>
                <w:color w:val="auto"/>
              </w:rPr>
            </w:pPr>
          </w:p>
        </w:tc>
        <w:tc>
          <w:tcPr>
            <w:tcW w:w="1660" w:type="dxa"/>
            <w:vAlign w:val="bottom"/>
            <w:tcBorders>
              <w:top w:val="single" w:sz="8" w:color="auto"/>
            </w:tcBorders>
          </w:tcPr>
          <w:p>
            <w:pPr>
              <w:spacing w:after="0"/>
              <w:rPr>
                <w:sz w:val="13"/>
                <w:szCs w:val="13"/>
                <w:color w:val="auto"/>
              </w:rPr>
            </w:pPr>
          </w:p>
        </w:tc>
        <w:tc>
          <w:tcPr>
            <w:tcW w:w="220" w:type="dxa"/>
            <w:vAlign w:val="bottom"/>
            <w:tcBorders>
              <w:top w:val="single" w:sz="8" w:color="auto"/>
            </w:tcBorders>
          </w:tcPr>
          <w:p>
            <w:pPr>
              <w:spacing w:after="0"/>
              <w:rPr>
                <w:sz w:val="13"/>
                <w:szCs w:val="13"/>
                <w:color w:val="auto"/>
              </w:rPr>
            </w:pPr>
          </w:p>
        </w:tc>
        <w:tc>
          <w:tcPr>
            <w:tcW w:w="2240" w:type="dxa"/>
            <w:vAlign w:val="bottom"/>
            <w:tcBorders>
              <w:top w:val="single" w:sz="8" w:color="auto"/>
              <w:bottom w:val="single" w:sz="8" w:color="auto"/>
            </w:tcBorders>
            <w:gridSpan w:val="3"/>
          </w:tcPr>
          <w:p>
            <w:pPr>
              <w:ind w:left="1380"/>
              <w:spacing w:after="0"/>
              <w:rPr>
                <w:sz w:val="20"/>
                <w:szCs w:val="20"/>
                <w:color w:val="auto"/>
              </w:rPr>
            </w:pPr>
            <w:r>
              <w:rPr>
                <w:rFonts w:ascii="Arial" w:cs="Arial" w:eastAsia="Arial" w:hAnsi="Arial"/>
                <w:sz w:val="13"/>
                <w:szCs w:val="13"/>
                <w:b w:val="1"/>
                <w:bCs w:val="1"/>
                <w:color w:val="auto"/>
              </w:rPr>
              <w:t>Corporations</w:t>
            </w:r>
          </w:p>
        </w:tc>
        <w:tc>
          <w:tcPr>
            <w:tcW w:w="1260" w:type="dxa"/>
            <w:vAlign w:val="bottom"/>
            <w:tcBorders>
              <w:top w:val="single" w:sz="8" w:color="auto"/>
              <w:bottom w:val="single" w:sz="8" w:color="auto"/>
            </w:tcBorders>
          </w:tcPr>
          <w:p>
            <w:pPr>
              <w:spacing w:after="0"/>
              <w:rPr>
                <w:sz w:val="13"/>
                <w:szCs w:val="13"/>
                <w:color w:val="auto"/>
              </w:rPr>
            </w:pPr>
          </w:p>
        </w:tc>
        <w:tc>
          <w:tcPr>
            <w:tcW w:w="220" w:type="dxa"/>
            <w:vAlign w:val="bottom"/>
            <w:tcBorders>
              <w:top w:val="single" w:sz="8" w:color="auto"/>
            </w:tcBorders>
          </w:tcPr>
          <w:p>
            <w:pPr>
              <w:spacing w:after="0"/>
              <w:rPr>
                <w:sz w:val="13"/>
                <w:szCs w:val="13"/>
                <w:color w:val="auto"/>
              </w:rPr>
            </w:pPr>
          </w:p>
        </w:tc>
        <w:tc>
          <w:tcPr>
            <w:tcW w:w="460" w:type="dxa"/>
            <w:vAlign w:val="bottom"/>
            <w:tcBorders>
              <w:top w:val="single" w:sz="8" w:color="auto"/>
              <w:bottom w:val="single" w:sz="8" w:color="auto"/>
            </w:tcBorders>
          </w:tcPr>
          <w:p>
            <w:pPr>
              <w:spacing w:after="0"/>
              <w:rPr>
                <w:sz w:val="13"/>
                <w:szCs w:val="13"/>
                <w:color w:val="auto"/>
              </w:rPr>
            </w:pPr>
          </w:p>
        </w:tc>
        <w:tc>
          <w:tcPr>
            <w:tcW w:w="1860" w:type="dxa"/>
            <w:vAlign w:val="bottom"/>
            <w:tcBorders>
              <w:top w:val="single" w:sz="8" w:color="auto"/>
              <w:bottom w:val="single" w:sz="8" w:color="auto"/>
            </w:tcBorders>
            <w:gridSpan w:val="3"/>
          </w:tcPr>
          <w:p>
            <w:pPr>
              <w:ind w:left="700"/>
              <w:spacing w:after="0"/>
              <w:rPr>
                <w:sz w:val="20"/>
                <w:szCs w:val="20"/>
                <w:color w:val="auto"/>
              </w:rPr>
            </w:pPr>
            <w:r>
              <w:rPr>
                <w:rFonts w:ascii="Arial" w:cs="Arial" w:eastAsia="Arial" w:hAnsi="Arial"/>
                <w:sz w:val="13"/>
                <w:szCs w:val="13"/>
                <w:b w:val="1"/>
                <w:bCs w:val="1"/>
                <w:color w:val="auto"/>
                <w:w w:val="87"/>
              </w:rPr>
              <w:t>Financial institutions</w:t>
            </w:r>
          </w:p>
        </w:tc>
        <w:tc>
          <w:tcPr>
            <w:tcW w:w="1140" w:type="dxa"/>
            <w:vAlign w:val="bottom"/>
            <w:tcBorders>
              <w:top w:val="single" w:sz="8" w:color="auto"/>
              <w:bottom w:val="single" w:sz="8" w:color="auto"/>
            </w:tcBorders>
          </w:tcPr>
          <w:p>
            <w:pPr>
              <w:spacing w:after="0"/>
              <w:rPr>
                <w:sz w:val="13"/>
                <w:szCs w:val="13"/>
                <w:color w:val="auto"/>
              </w:rPr>
            </w:pPr>
          </w:p>
        </w:tc>
        <w:tc>
          <w:tcPr>
            <w:tcW w:w="220" w:type="dxa"/>
            <w:vAlign w:val="bottom"/>
            <w:tcBorders>
              <w:top w:val="single" w:sz="8" w:color="auto"/>
            </w:tcBorders>
          </w:tcPr>
          <w:p>
            <w:pPr>
              <w:spacing w:after="0"/>
              <w:rPr>
                <w:sz w:val="13"/>
                <w:szCs w:val="13"/>
                <w:color w:val="auto"/>
              </w:rPr>
            </w:pPr>
          </w:p>
        </w:tc>
        <w:tc>
          <w:tcPr>
            <w:tcW w:w="1520" w:type="dxa"/>
            <w:vAlign w:val="bottom"/>
            <w:tcBorders>
              <w:top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360" w:type="dxa"/>
            <w:vAlign w:val="bottom"/>
          </w:tcPr>
          <w:p>
            <w:pPr>
              <w:spacing w:after="0"/>
              <w:rPr>
                <w:sz w:val="13"/>
                <w:szCs w:val="13"/>
                <w:color w:val="auto"/>
              </w:rPr>
            </w:pPr>
          </w:p>
        </w:tc>
      </w:tr>
      <w:tr>
        <w:trPr>
          <w:trHeight w:val="153"/>
        </w:trPr>
        <w:tc>
          <w:tcPr>
            <w:tcW w:w="220" w:type="dxa"/>
            <w:vAlign w:val="bottom"/>
          </w:tcPr>
          <w:p>
            <w:pPr>
              <w:spacing w:after="0"/>
              <w:rPr>
                <w:sz w:val="13"/>
                <w:szCs w:val="13"/>
                <w:color w:val="auto"/>
              </w:rPr>
            </w:pPr>
          </w:p>
        </w:tc>
        <w:tc>
          <w:tcPr>
            <w:tcW w:w="1880" w:type="dxa"/>
            <w:vAlign w:val="bottom"/>
            <w:gridSpan w:val="2"/>
          </w:tcPr>
          <w:p>
            <w:pPr>
              <w:ind w:left="640"/>
              <w:spacing w:after="0"/>
              <w:rPr>
                <w:sz w:val="20"/>
                <w:szCs w:val="20"/>
                <w:color w:val="auto"/>
              </w:rPr>
            </w:pPr>
            <w:r>
              <w:rPr>
                <w:rFonts w:ascii="Arial" w:cs="Arial" w:eastAsia="Arial" w:hAnsi="Arial"/>
                <w:sz w:val="13"/>
                <w:szCs w:val="13"/>
                <w:b w:val="1"/>
                <w:bCs w:val="1"/>
                <w:color w:val="auto"/>
              </w:rPr>
              <w:t>Rating</w:t>
            </w:r>
          </w:p>
        </w:tc>
        <w:tc>
          <w:tcPr>
            <w:tcW w:w="2240" w:type="dxa"/>
            <w:vAlign w:val="bottom"/>
            <w:gridSpan w:val="3"/>
          </w:tcPr>
          <w:p>
            <w:pPr>
              <w:ind w:left="620"/>
              <w:spacing w:after="0"/>
              <w:rPr>
                <w:sz w:val="20"/>
                <w:szCs w:val="20"/>
                <w:color w:val="auto"/>
              </w:rPr>
            </w:pPr>
            <w:r>
              <w:rPr>
                <w:rFonts w:ascii="Arial" w:cs="Arial" w:eastAsia="Arial" w:hAnsi="Arial"/>
                <w:sz w:val="13"/>
                <w:szCs w:val="13"/>
                <w:b w:val="1"/>
                <w:bCs w:val="1"/>
                <w:color w:val="auto"/>
              </w:rPr>
              <w:t>Private</w:t>
            </w:r>
          </w:p>
        </w:tc>
        <w:tc>
          <w:tcPr>
            <w:tcW w:w="1260" w:type="dxa"/>
            <w:vAlign w:val="bottom"/>
          </w:tcPr>
          <w:p>
            <w:pPr>
              <w:jc w:val="right"/>
              <w:ind w:right="396"/>
              <w:spacing w:after="0"/>
              <w:rPr>
                <w:sz w:val="20"/>
                <w:szCs w:val="20"/>
                <w:color w:val="auto"/>
              </w:rPr>
            </w:pPr>
            <w:r>
              <w:rPr>
                <w:rFonts w:ascii="Arial" w:cs="Arial" w:eastAsia="Arial" w:hAnsi="Arial"/>
                <w:sz w:val="13"/>
                <w:szCs w:val="13"/>
                <w:b w:val="1"/>
                <w:bCs w:val="1"/>
                <w:color w:val="auto"/>
              </w:rPr>
              <w:t>State-owned</w:t>
            </w:r>
          </w:p>
        </w:tc>
        <w:tc>
          <w:tcPr>
            <w:tcW w:w="220" w:type="dxa"/>
            <w:vAlign w:val="bottom"/>
          </w:tcPr>
          <w:p>
            <w:pPr>
              <w:spacing w:after="0"/>
              <w:rPr>
                <w:sz w:val="13"/>
                <w:szCs w:val="13"/>
                <w:color w:val="auto"/>
              </w:rPr>
            </w:pPr>
          </w:p>
        </w:tc>
        <w:tc>
          <w:tcPr>
            <w:tcW w:w="460" w:type="dxa"/>
            <w:vAlign w:val="bottom"/>
          </w:tcPr>
          <w:p>
            <w:pPr>
              <w:spacing w:after="0"/>
              <w:rPr>
                <w:sz w:val="13"/>
                <w:szCs w:val="13"/>
                <w:color w:val="auto"/>
              </w:rPr>
            </w:pPr>
          </w:p>
        </w:tc>
        <w:tc>
          <w:tcPr>
            <w:tcW w:w="1860" w:type="dxa"/>
            <w:vAlign w:val="bottom"/>
            <w:gridSpan w:val="3"/>
          </w:tcPr>
          <w:p>
            <w:pPr>
              <w:ind w:left="160"/>
              <w:spacing w:after="0"/>
              <w:rPr>
                <w:sz w:val="20"/>
                <w:szCs w:val="20"/>
                <w:color w:val="auto"/>
              </w:rPr>
            </w:pPr>
            <w:r>
              <w:rPr>
                <w:rFonts w:ascii="Arial" w:cs="Arial" w:eastAsia="Arial" w:hAnsi="Arial"/>
                <w:sz w:val="13"/>
                <w:szCs w:val="13"/>
                <w:b w:val="1"/>
                <w:bCs w:val="1"/>
                <w:color w:val="auto"/>
              </w:rPr>
              <w:t>Private</w:t>
            </w:r>
          </w:p>
        </w:tc>
        <w:tc>
          <w:tcPr>
            <w:tcW w:w="1140" w:type="dxa"/>
            <w:vAlign w:val="bottom"/>
          </w:tcPr>
          <w:p>
            <w:pPr>
              <w:jc w:val="right"/>
              <w:ind w:right="396"/>
              <w:spacing w:after="0"/>
              <w:rPr>
                <w:sz w:val="20"/>
                <w:szCs w:val="20"/>
                <w:color w:val="auto"/>
              </w:rPr>
            </w:pPr>
            <w:r>
              <w:rPr>
                <w:rFonts w:ascii="Arial" w:cs="Arial" w:eastAsia="Arial" w:hAnsi="Arial"/>
                <w:sz w:val="13"/>
                <w:szCs w:val="13"/>
                <w:b w:val="1"/>
                <w:bCs w:val="1"/>
                <w:color w:val="auto"/>
                <w:w w:val="85"/>
              </w:rPr>
              <w:t>State-owned</w:t>
            </w:r>
          </w:p>
        </w:tc>
        <w:tc>
          <w:tcPr>
            <w:tcW w:w="220" w:type="dxa"/>
            <w:vAlign w:val="bottom"/>
          </w:tcPr>
          <w:p>
            <w:pPr>
              <w:spacing w:after="0"/>
              <w:rPr>
                <w:sz w:val="13"/>
                <w:szCs w:val="13"/>
                <w:color w:val="auto"/>
              </w:rPr>
            </w:pPr>
          </w:p>
        </w:tc>
        <w:tc>
          <w:tcPr>
            <w:tcW w:w="1620" w:type="dxa"/>
            <w:vAlign w:val="bottom"/>
            <w:gridSpan w:val="2"/>
          </w:tcPr>
          <w:p>
            <w:pPr>
              <w:ind w:left="620"/>
              <w:spacing w:after="0"/>
              <w:rPr>
                <w:sz w:val="20"/>
                <w:szCs w:val="20"/>
                <w:color w:val="auto"/>
              </w:rPr>
            </w:pPr>
            <w:r>
              <w:rPr>
                <w:rFonts w:ascii="Arial" w:cs="Arial" w:eastAsia="Arial" w:hAnsi="Arial"/>
                <w:sz w:val="13"/>
                <w:szCs w:val="13"/>
                <w:b w:val="1"/>
                <w:bCs w:val="1"/>
                <w:color w:val="auto"/>
              </w:rPr>
              <w:t>Total</w:t>
            </w:r>
          </w:p>
        </w:tc>
        <w:tc>
          <w:tcPr>
            <w:tcW w:w="360" w:type="dxa"/>
            <w:vAlign w:val="bottom"/>
          </w:tcPr>
          <w:p>
            <w:pPr>
              <w:spacing w:after="0"/>
              <w:rPr>
                <w:sz w:val="13"/>
                <w:szCs w:val="13"/>
                <w:color w:val="auto"/>
              </w:rPr>
            </w:pPr>
          </w:p>
        </w:tc>
      </w:tr>
      <w:tr>
        <w:trPr>
          <w:trHeight w:val="144"/>
        </w:trPr>
        <w:tc>
          <w:tcPr>
            <w:tcW w:w="220" w:type="dxa"/>
            <w:vAlign w:val="bottom"/>
          </w:tcPr>
          <w:p>
            <w:pPr>
              <w:spacing w:after="0"/>
              <w:rPr>
                <w:sz w:val="12"/>
                <w:szCs w:val="12"/>
                <w:color w:val="auto"/>
              </w:rPr>
            </w:pPr>
          </w:p>
        </w:tc>
        <w:tc>
          <w:tcPr>
            <w:tcW w:w="1660" w:type="dxa"/>
            <w:vAlign w:val="bottom"/>
            <w:tcBorders>
              <w:top w:val="single" w:sz="8" w:color="auto"/>
            </w:tcBorders>
            <w:shd w:val="clear" w:color="auto" w:fill="CCEEFF"/>
          </w:tcPr>
          <w:p>
            <w:pPr>
              <w:jc w:val="center"/>
              <w:ind w:left="56"/>
              <w:spacing w:after="0" w:line="144" w:lineRule="exact"/>
              <w:rPr>
                <w:sz w:val="20"/>
                <w:szCs w:val="20"/>
                <w:color w:val="auto"/>
              </w:rPr>
            </w:pPr>
            <w:r>
              <w:rPr>
                <w:rFonts w:ascii="Arial" w:cs="Arial" w:eastAsia="Arial" w:hAnsi="Arial"/>
                <w:sz w:val="13"/>
                <w:szCs w:val="13"/>
                <w:color w:val="auto"/>
                <w:w w:val="95"/>
              </w:rPr>
              <w:t>1-4</w:t>
            </w:r>
          </w:p>
        </w:tc>
        <w:tc>
          <w:tcPr>
            <w:tcW w:w="220" w:type="dxa"/>
            <w:vAlign w:val="bottom"/>
            <w:tcBorders>
              <w:top w:val="single" w:sz="8" w:color="CCEEFF"/>
            </w:tcBorders>
            <w:shd w:val="clear" w:color="auto" w:fill="CCEEFF"/>
          </w:tcPr>
          <w:p>
            <w:pPr>
              <w:spacing w:after="0"/>
              <w:rPr>
                <w:sz w:val="12"/>
                <w:szCs w:val="12"/>
                <w:color w:val="auto"/>
              </w:rPr>
            </w:pPr>
          </w:p>
        </w:tc>
        <w:tc>
          <w:tcPr>
            <w:tcW w:w="16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975,588</w:t>
            </w:r>
          </w:p>
        </w:tc>
        <w:tc>
          <w:tcPr>
            <w:tcW w:w="220" w:type="dxa"/>
            <w:vAlign w:val="bottom"/>
            <w:tcBorders>
              <w:top w:val="single" w:sz="8" w:color="CCEEFF"/>
            </w:tcBorders>
            <w:shd w:val="clear" w:color="auto" w:fill="CCEEFF"/>
          </w:tcPr>
          <w:p>
            <w:pPr>
              <w:spacing w:after="0"/>
              <w:rPr>
                <w:sz w:val="12"/>
                <w:szCs w:val="12"/>
                <w:color w:val="auto"/>
              </w:rPr>
            </w:pPr>
          </w:p>
        </w:tc>
        <w:tc>
          <w:tcPr>
            <w:tcW w:w="360" w:type="dxa"/>
            <w:vAlign w:val="bottom"/>
            <w:tcBorders>
              <w:top w:val="single" w:sz="8" w:color="auto"/>
            </w:tcBorders>
            <w:shd w:val="clear" w:color="auto" w:fill="CCEEFF"/>
          </w:tcPr>
          <w:p>
            <w:pPr>
              <w:spacing w:after="0"/>
              <w:rPr>
                <w:sz w:val="12"/>
                <w:szCs w:val="12"/>
                <w:color w:val="auto"/>
              </w:rPr>
            </w:pPr>
          </w:p>
        </w:tc>
        <w:tc>
          <w:tcPr>
            <w:tcW w:w="12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388,773</w:t>
            </w:r>
          </w:p>
        </w:tc>
        <w:tc>
          <w:tcPr>
            <w:tcW w:w="220" w:type="dxa"/>
            <w:vAlign w:val="bottom"/>
            <w:tcBorders>
              <w:top w:val="single" w:sz="8" w:color="CCEEFF"/>
            </w:tcBorders>
            <w:shd w:val="clear" w:color="auto" w:fill="CCEEFF"/>
          </w:tcPr>
          <w:p>
            <w:pPr>
              <w:spacing w:after="0"/>
              <w:rPr>
                <w:sz w:val="12"/>
                <w:szCs w:val="12"/>
                <w:color w:val="auto"/>
              </w:rPr>
            </w:pPr>
          </w:p>
        </w:tc>
        <w:tc>
          <w:tcPr>
            <w:tcW w:w="460" w:type="dxa"/>
            <w:vAlign w:val="bottom"/>
            <w:tcBorders>
              <w:top w:val="single" w:sz="8" w:color="auto"/>
            </w:tcBorders>
            <w:shd w:val="clear" w:color="auto" w:fill="CCEEFF"/>
          </w:tcPr>
          <w:p>
            <w:pPr>
              <w:spacing w:after="0"/>
              <w:rPr>
                <w:sz w:val="12"/>
                <w:szCs w:val="12"/>
                <w:color w:val="auto"/>
              </w:rPr>
            </w:pPr>
          </w:p>
        </w:tc>
        <w:tc>
          <w:tcPr>
            <w:tcW w:w="11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797,439</w:t>
            </w:r>
          </w:p>
        </w:tc>
        <w:tc>
          <w:tcPr>
            <w:tcW w:w="220" w:type="dxa"/>
            <w:vAlign w:val="bottom"/>
            <w:tcBorders>
              <w:top w:val="single" w:sz="8" w:color="CCEEFF"/>
            </w:tcBorders>
            <w:shd w:val="clear" w:color="auto" w:fill="CCEEFF"/>
          </w:tcPr>
          <w:p>
            <w:pPr>
              <w:spacing w:after="0"/>
              <w:rPr>
                <w:sz w:val="12"/>
                <w:szCs w:val="12"/>
                <w:color w:val="auto"/>
              </w:rPr>
            </w:pPr>
          </w:p>
        </w:tc>
        <w:tc>
          <w:tcPr>
            <w:tcW w:w="480" w:type="dxa"/>
            <w:vAlign w:val="bottom"/>
            <w:tcBorders>
              <w:top w:val="single" w:sz="8" w:color="auto"/>
            </w:tcBorders>
            <w:shd w:val="clear" w:color="auto" w:fill="CCEEFF"/>
          </w:tcPr>
          <w:p>
            <w:pPr>
              <w:spacing w:after="0"/>
              <w:rPr>
                <w:sz w:val="12"/>
                <w:szCs w:val="12"/>
                <w:color w:val="auto"/>
              </w:rPr>
            </w:pPr>
          </w:p>
        </w:tc>
        <w:tc>
          <w:tcPr>
            <w:tcW w:w="114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54,000</w:t>
            </w:r>
          </w:p>
        </w:tc>
        <w:tc>
          <w:tcPr>
            <w:tcW w:w="220" w:type="dxa"/>
            <w:vAlign w:val="bottom"/>
            <w:tcBorders>
              <w:top w:val="single" w:sz="8" w:color="CCEEFF"/>
            </w:tcBorders>
            <w:shd w:val="clear" w:color="auto" w:fill="CCEEFF"/>
          </w:tcPr>
          <w:p>
            <w:pPr>
              <w:spacing w:after="0"/>
              <w:rPr>
                <w:sz w:val="12"/>
                <w:szCs w:val="12"/>
                <w:color w:val="auto"/>
              </w:rPr>
            </w:pPr>
          </w:p>
        </w:tc>
        <w:tc>
          <w:tcPr>
            <w:tcW w:w="15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2,215,800</w:t>
            </w:r>
          </w:p>
        </w:tc>
        <w:tc>
          <w:tcPr>
            <w:tcW w:w="100" w:type="dxa"/>
            <w:vAlign w:val="bottom"/>
            <w:tcBorders>
              <w:top w:val="single" w:sz="8" w:color="CCEEFF"/>
            </w:tcBorders>
            <w:shd w:val="clear" w:color="auto" w:fill="CCEEFF"/>
          </w:tcPr>
          <w:p>
            <w:pPr>
              <w:spacing w:after="0"/>
              <w:rPr>
                <w:sz w:val="12"/>
                <w:szCs w:val="12"/>
                <w:color w:val="auto"/>
              </w:rPr>
            </w:pPr>
          </w:p>
        </w:tc>
        <w:tc>
          <w:tcPr>
            <w:tcW w:w="360" w:type="dxa"/>
            <w:vAlign w:val="bottom"/>
          </w:tcPr>
          <w:p>
            <w:pPr>
              <w:spacing w:after="0"/>
              <w:rPr>
                <w:sz w:val="12"/>
                <w:szCs w:val="12"/>
                <w:color w:val="auto"/>
              </w:rPr>
            </w:pPr>
          </w:p>
        </w:tc>
      </w:tr>
      <w:tr>
        <w:trPr>
          <w:trHeight w:val="154"/>
        </w:trPr>
        <w:tc>
          <w:tcPr>
            <w:tcW w:w="220" w:type="dxa"/>
            <w:vAlign w:val="bottom"/>
          </w:tcPr>
          <w:p>
            <w:pPr>
              <w:spacing w:after="0"/>
              <w:rPr>
                <w:sz w:val="13"/>
                <w:szCs w:val="13"/>
                <w:color w:val="auto"/>
              </w:rPr>
            </w:pPr>
          </w:p>
        </w:tc>
        <w:tc>
          <w:tcPr>
            <w:tcW w:w="1660" w:type="dxa"/>
            <w:vAlign w:val="bottom"/>
          </w:tcPr>
          <w:p>
            <w:pPr>
              <w:jc w:val="center"/>
              <w:ind w:left="56"/>
              <w:spacing w:after="0"/>
              <w:rPr>
                <w:sz w:val="20"/>
                <w:szCs w:val="20"/>
                <w:color w:val="auto"/>
              </w:rPr>
            </w:pPr>
            <w:r>
              <w:rPr>
                <w:rFonts w:ascii="Arial" w:cs="Arial" w:eastAsia="Arial" w:hAnsi="Arial"/>
                <w:sz w:val="13"/>
                <w:szCs w:val="13"/>
                <w:color w:val="auto"/>
                <w:w w:val="95"/>
              </w:rPr>
              <w:t>5-6</w:t>
            </w:r>
          </w:p>
        </w:tc>
        <w:tc>
          <w:tcPr>
            <w:tcW w:w="220" w:type="dxa"/>
            <w:vAlign w:val="bottom"/>
          </w:tcPr>
          <w:p>
            <w:pPr>
              <w:spacing w:after="0"/>
              <w:rPr>
                <w:sz w:val="13"/>
                <w:szCs w:val="13"/>
                <w:color w:val="auto"/>
              </w:rPr>
            </w:pPr>
          </w:p>
        </w:tc>
        <w:tc>
          <w:tcPr>
            <w:tcW w:w="1880" w:type="dxa"/>
            <w:vAlign w:val="bottom"/>
            <w:gridSpan w:val="2"/>
          </w:tcPr>
          <w:p>
            <w:pPr>
              <w:jc w:val="right"/>
              <w:ind w:right="220"/>
              <w:spacing w:after="0"/>
              <w:rPr>
                <w:sz w:val="20"/>
                <w:szCs w:val="20"/>
                <w:color w:val="auto"/>
              </w:rPr>
            </w:pPr>
            <w:r>
              <w:rPr>
                <w:rFonts w:ascii="Arial" w:cs="Arial" w:eastAsia="Arial" w:hAnsi="Arial"/>
                <w:sz w:val="13"/>
                <w:szCs w:val="13"/>
                <w:color w:val="auto"/>
              </w:rPr>
              <w:t>795,399</w:t>
            </w:r>
          </w:p>
        </w:tc>
        <w:tc>
          <w:tcPr>
            <w:tcW w:w="360" w:type="dxa"/>
            <w:vAlign w:val="bottom"/>
          </w:tcPr>
          <w:p>
            <w:pPr>
              <w:spacing w:after="0"/>
              <w:rPr>
                <w:sz w:val="13"/>
                <w:szCs w:val="13"/>
                <w:color w:val="auto"/>
              </w:rPr>
            </w:pPr>
          </w:p>
        </w:tc>
        <w:tc>
          <w:tcPr>
            <w:tcW w:w="1480" w:type="dxa"/>
            <w:vAlign w:val="bottom"/>
            <w:gridSpan w:val="2"/>
          </w:tcPr>
          <w:p>
            <w:pPr>
              <w:jc w:val="right"/>
              <w:ind w:right="156"/>
              <w:spacing w:after="0"/>
              <w:rPr>
                <w:sz w:val="20"/>
                <w:szCs w:val="20"/>
                <w:color w:val="auto"/>
              </w:rPr>
            </w:pPr>
            <w:r>
              <w:rPr>
                <w:rFonts w:ascii="Arial" w:cs="Arial" w:eastAsia="Arial" w:hAnsi="Arial"/>
                <w:sz w:val="13"/>
                <w:szCs w:val="13"/>
                <w:color w:val="auto"/>
              </w:rPr>
              <w:t>391,438</w:t>
            </w:r>
          </w:p>
        </w:tc>
        <w:tc>
          <w:tcPr>
            <w:tcW w:w="460" w:type="dxa"/>
            <w:vAlign w:val="bottom"/>
          </w:tcPr>
          <w:p>
            <w:pPr>
              <w:spacing w:after="0"/>
              <w:rPr>
                <w:sz w:val="13"/>
                <w:szCs w:val="13"/>
                <w:color w:val="auto"/>
              </w:rPr>
            </w:pPr>
          </w:p>
        </w:tc>
        <w:tc>
          <w:tcPr>
            <w:tcW w:w="1380" w:type="dxa"/>
            <w:vAlign w:val="bottom"/>
            <w:gridSpan w:val="2"/>
          </w:tcPr>
          <w:p>
            <w:pPr>
              <w:jc w:val="right"/>
              <w:ind w:right="220"/>
              <w:spacing w:after="0"/>
              <w:rPr>
                <w:sz w:val="20"/>
                <w:szCs w:val="20"/>
                <w:color w:val="auto"/>
              </w:rPr>
            </w:pPr>
            <w:r>
              <w:rPr>
                <w:rFonts w:ascii="Arial" w:cs="Arial" w:eastAsia="Arial" w:hAnsi="Arial"/>
                <w:sz w:val="13"/>
                <w:szCs w:val="13"/>
                <w:color w:val="auto"/>
              </w:rPr>
              <w:t>1,476,861</w:t>
            </w:r>
          </w:p>
        </w:tc>
        <w:tc>
          <w:tcPr>
            <w:tcW w:w="480" w:type="dxa"/>
            <w:vAlign w:val="bottom"/>
          </w:tcPr>
          <w:p>
            <w:pPr>
              <w:spacing w:after="0"/>
              <w:rPr>
                <w:sz w:val="13"/>
                <w:szCs w:val="13"/>
                <w:color w:val="auto"/>
              </w:rPr>
            </w:pPr>
          </w:p>
        </w:tc>
        <w:tc>
          <w:tcPr>
            <w:tcW w:w="1360" w:type="dxa"/>
            <w:vAlign w:val="bottom"/>
            <w:gridSpan w:val="2"/>
          </w:tcPr>
          <w:p>
            <w:pPr>
              <w:jc w:val="right"/>
              <w:ind w:right="220"/>
              <w:spacing w:after="0"/>
              <w:rPr>
                <w:sz w:val="20"/>
                <w:szCs w:val="20"/>
                <w:color w:val="auto"/>
              </w:rPr>
            </w:pPr>
            <w:r>
              <w:rPr>
                <w:rFonts w:ascii="Arial" w:cs="Arial" w:eastAsia="Arial" w:hAnsi="Arial"/>
                <w:sz w:val="13"/>
                <w:szCs w:val="13"/>
                <w:color w:val="auto"/>
              </w:rPr>
              <w:t>464,800</w:t>
            </w:r>
          </w:p>
        </w:tc>
        <w:tc>
          <w:tcPr>
            <w:tcW w:w="1620" w:type="dxa"/>
            <w:vAlign w:val="bottom"/>
            <w:gridSpan w:val="2"/>
          </w:tcPr>
          <w:p>
            <w:pPr>
              <w:jc w:val="right"/>
              <w:ind w:right="100"/>
              <w:spacing w:after="0"/>
              <w:rPr>
                <w:sz w:val="20"/>
                <w:szCs w:val="20"/>
                <w:color w:val="auto"/>
              </w:rPr>
            </w:pPr>
            <w:r>
              <w:rPr>
                <w:rFonts w:ascii="Arial" w:cs="Arial" w:eastAsia="Arial" w:hAnsi="Arial"/>
                <w:sz w:val="13"/>
                <w:szCs w:val="13"/>
                <w:color w:val="auto"/>
              </w:rPr>
              <w:t>3,128,498</w:t>
            </w:r>
          </w:p>
        </w:tc>
        <w:tc>
          <w:tcPr>
            <w:tcW w:w="36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1660" w:type="dxa"/>
            <w:vAlign w:val="bottom"/>
            <w:shd w:val="clear" w:color="auto" w:fill="CCEEFF"/>
          </w:tcPr>
          <w:p>
            <w:pPr>
              <w:jc w:val="center"/>
              <w:ind w:left="56"/>
              <w:spacing w:after="0"/>
              <w:rPr>
                <w:sz w:val="20"/>
                <w:szCs w:val="20"/>
                <w:color w:val="auto"/>
              </w:rPr>
            </w:pPr>
            <w:r>
              <w:rPr>
                <w:rFonts w:ascii="Arial" w:cs="Arial" w:eastAsia="Arial" w:hAnsi="Arial"/>
                <w:sz w:val="13"/>
                <w:szCs w:val="13"/>
                <w:color w:val="auto"/>
                <w:w w:val="82"/>
              </w:rPr>
              <w:t>7</w:t>
            </w:r>
          </w:p>
        </w:tc>
        <w:tc>
          <w:tcPr>
            <w:tcW w:w="220" w:type="dxa"/>
            <w:vAlign w:val="bottom"/>
            <w:shd w:val="clear" w:color="auto" w:fill="CCEEFF"/>
          </w:tcPr>
          <w:p>
            <w:pPr>
              <w:spacing w:after="0"/>
              <w:rPr>
                <w:sz w:val="13"/>
                <w:szCs w:val="13"/>
                <w:color w:val="auto"/>
              </w:rPr>
            </w:pPr>
          </w:p>
        </w:tc>
        <w:tc>
          <w:tcPr>
            <w:tcW w:w="18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58,008</w:t>
            </w:r>
          </w:p>
        </w:tc>
        <w:tc>
          <w:tcPr>
            <w:tcW w:w="360" w:type="dxa"/>
            <w:vAlign w:val="bottom"/>
            <w:shd w:val="clear" w:color="auto" w:fill="CCEEFF"/>
          </w:tcPr>
          <w:p>
            <w:pPr>
              <w:spacing w:after="0"/>
              <w:rPr>
                <w:sz w:val="13"/>
                <w:szCs w:val="13"/>
                <w:color w:val="auto"/>
              </w:rPr>
            </w:pPr>
          </w:p>
        </w:tc>
        <w:tc>
          <w:tcPr>
            <w:tcW w:w="1480" w:type="dxa"/>
            <w:vAlign w:val="bottom"/>
            <w:gridSpan w:val="2"/>
            <w:shd w:val="clear" w:color="auto" w:fill="CCEEFF"/>
          </w:tcPr>
          <w:p>
            <w:pPr>
              <w:jc w:val="right"/>
              <w:ind w:right="156"/>
              <w:spacing w:after="0"/>
              <w:rPr>
                <w:sz w:val="20"/>
                <w:szCs w:val="20"/>
                <w:color w:val="auto"/>
              </w:rPr>
            </w:pPr>
            <w:r>
              <w:rPr>
                <w:rFonts w:ascii="Arial" w:cs="Arial" w:eastAsia="Arial" w:hAnsi="Arial"/>
                <w:sz w:val="13"/>
                <w:szCs w:val="13"/>
                <w:color w:val="auto"/>
              </w:rPr>
              <w:t>21,727</w:t>
            </w:r>
          </w:p>
        </w:tc>
        <w:tc>
          <w:tcPr>
            <w:tcW w:w="460" w:type="dxa"/>
            <w:vAlign w:val="bottom"/>
            <w:shd w:val="clear" w:color="auto" w:fill="CCEEFF"/>
          </w:tcPr>
          <w:p>
            <w:pPr>
              <w:spacing w:after="0"/>
              <w:rPr>
                <w:sz w:val="13"/>
                <w:szCs w:val="13"/>
                <w:color w:val="auto"/>
              </w:rPr>
            </w:pPr>
          </w:p>
        </w:tc>
        <w:tc>
          <w:tcPr>
            <w:tcW w:w="13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184,390</w:t>
            </w:r>
          </w:p>
        </w:tc>
        <w:tc>
          <w:tcPr>
            <w:tcW w:w="480" w:type="dxa"/>
            <w:vAlign w:val="bottom"/>
            <w:shd w:val="clear" w:color="auto" w:fill="CCEEFF"/>
          </w:tcPr>
          <w:p>
            <w:pPr>
              <w:spacing w:after="0"/>
              <w:rPr>
                <w:sz w:val="13"/>
                <w:szCs w:val="13"/>
                <w:color w:val="auto"/>
              </w:rPr>
            </w:pP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105,300</w:t>
            </w:r>
          </w:p>
        </w:tc>
        <w:tc>
          <w:tcPr>
            <w:tcW w:w="1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369,425</w:t>
            </w:r>
          </w:p>
        </w:tc>
        <w:tc>
          <w:tcPr>
            <w:tcW w:w="36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1660" w:type="dxa"/>
            <w:vAlign w:val="bottom"/>
          </w:tcPr>
          <w:p>
            <w:pPr>
              <w:jc w:val="center"/>
              <w:ind w:left="56"/>
              <w:spacing w:after="0"/>
              <w:rPr>
                <w:sz w:val="20"/>
                <w:szCs w:val="20"/>
                <w:color w:val="auto"/>
              </w:rPr>
            </w:pPr>
            <w:r>
              <w:rPr>
                <w:rFonts w:ascii="Arial" w:cs="Arial" w:eastAsia="Arial" w:hAnsi="Arial"/>
                <w:sz w:val="13"/>
                <w:szCs w:val="13"/>
                <w:color w:val="auto"/>
                <w:w w:val="82"/>
              </w:rPr>
              <w:t>8</w:t>
            </w:r>
          </w:p>
        </w:tc>
        <w:tc>
          <w:tcPr>
            <w:tcW w:w="220" w:type="dxa"/>
            <w:vAlign w:val="bottom"/>
          </w:tcPr>
          <w:p>
            <w:pPr>
              <w:spacing w:after="0"/>
              <w:rPr>
                <w:sz w:val="13"/>
                <w:szCs w:val="13"/>
                <w:color w:val="auto"/>
              </w:rPr>
            </w:pPr>
          </w:p>
        </w:tc>
        <w:tc>
          <w:tcPr>
            <w:tcW w:w="166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126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460" w:type="dxa"/>
            <w:vAlign w:val="bottom"/>
          </w:tcPr>
          <w:p>
            <w:pPr>
              <w:spacing w:after="0"/>
              <w:rPr>
                <w:sz w:val="13"/>
                <w:szCs w:val="13"/>
                <w:color w:val="auto"/>
              </w:rPr>
            </w:pPr>
          </w:p>
        </w:tc>
        <w:tc>
          <w:tcPr>
            <w:tcW w:w="138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480" w:type="dxa"/>
            <w:vAlign w:val="bottom"/>
          </w:tcPr>
          <w:p>
            <w:pPr>
              <w:spacing w:after="0"/>
              <w:rPr>
                <w:sz w:val="13"/>
                <w:szCs w:val="13"/>
                <w:color w:val="auto"/>
              </w:rPr>
            </w:pPr>
          </w:p>
        </w:tc>
        <w:tc>
          <w:tcPr>
            <w:tcW w:w="136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62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c>
          <w:tcPr>
            <w:tcW w:w="36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1660" w:type="dxa"/>
            <w:vAlign w:val="bottom"/>
            <w:shd w:val="clear" w:color="auto" w:fill="CCEEFF"/>
          </w:tcPr>
          <w:p>
            <w:pPr>
              <w:jc w:val="center"/>
              <w:ind w:left="56"/>
              <w:spacing w:after="0"/>
              <w:rPr>
                <w:sz w:val="20"/>
                <w:szCs w:val="20"/>
                <w:color w:val="auto"/>
              </w:rPr>
            </w:pPr>
            <w:r>
              <w:rPr>
                <w:rFonts w:ascii="Arial" w:cs="Arial" w:eastAsia="Arial" w:hAnsi="Arial"/>
                <w:sz w:val="13"/>
                <w:szCs w:val="13"/>
                <w:color w:val="auto"/>
                <w:w w:val="82"/>
              </w:rPr>
              <w:t>9</w:t>
            </w:r>
          </w:p>
        </w:tc>
        <w:tc>
          <w:tcPr>
            <w:tcW w:w="220" w:type="dxa"/>
            <w:vAlign w:val="bottom"/>
            <w:shd w:val="clear" w:color="auto" w:fill="CCEEFF"/>
          </w:tcPr>
          <w:p>
            <w:pPr>
              <w:spacing w:after="0"/>
              <w:rPr>
                <w:sz w:val="13"/>
                <w:szCs w:val="13"/>
                <w:color w:val="auto"/>
              </w:rPr>
            </w:pPr>
          </w:p>
        </w:tc>
        <w:tc>
          <w:tcPr>
            <w:tcW w:w="18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64,701</w:t>
            </w:r>
          </w:p>
        </w:tc>
        <w:tc>
          <w:tcPr>
            <w:tcW w:w="360" w:type="dxa"/>
            <w:vAlign w:val="bottom"/>
            <w:shd w:val="clear" w:color="auto" w:fill="CCEEFF"/>
          </w:tcPr>
          <w:p>
            <w:pPr>
              <w:spacing w:after="0"/>
              <w:rPr>
                <w:sz w:val="13"/>
                <w:szCs w:val="13"/>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460" w:type="dxa"/>
            <w:vAlign w:val="bottom"/>
            <w:shd w:val="clear" w:color="auto" w:fill="CCEEFF"/>
          </w:tcPr>
          <w:p>
            <w:pPr>
              <w:spacing w:after="0"/>
              <w:rPr>
                <w:sz w:val="13"/>
                <w:szCs w:val="13"/>
                <w:color w:val="auto"/>
              </w:rPr>
            </w:pPr>
          </w:p>
        </w:tc>
        <w:tc>
          <w:tcPr>
            <w:tcW w:w="13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480" w:type="dxa"/>
            <w:vAlign w:val="bottom"/>
            <w:shd w:val="clear" w:color="auto" w:fill="CCEEFF"/>
          </w:tcPr>
          <w:p>
            <w:pPr>
              <w:spacing w:after="0"/>
              <w:rPr>
                <w:sz w:val="13"/>
                <w:szCs w:val="13"/>
                <w:color w:val="auto"/>
              </w:rPr>
            </w:pP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64,701</w:t>
            </w:r>
          </w:p>
        </w:tc>
        <w:tc>
          <w:tcPr>
            <w:tcW w:w="360" w:type="dxa"/>
            <w:vAlign w:val="bottom"/>
          </w:tcPr>
          <w:p>
            <w:pPr>
              <w:spacing w:after="0"/>
              <w:rPr>
                <w:sz w:val="13"/>
                <w:szCs w:val="13"/>
                <w:color w:val="auto"/>
              </w:rPr>
            </w:pPr>
          </w:p>
        </w:tc>
      </w:tr>
      <w:tr>
        <w:trPr>
          <w:trHeight w:val="163"/>
        </w:trPr>
        <w:tc>
          <w:tcPr>
            <w:tcW w:w="220" w:type="dxa"/>
            <w:vAlign w:val="bottom"/>
          </w:tcPr>
          <w:p>
            <w:pPr>
              <w:spacing w:after="0"/>
              <w:rPr>
                <w:sz w:val="14"/>
                <w:szCs w:val="14"/>
                <w:color w:val="auto"/>
              </w:rPr>
            </w:pPr>
          </w:p>
        </w:tc>
        <w:tc>
          <w:tcPr>
            <w:tcW w:w="1660" w:type="dxa"/>
            <w:vAlign w:val="bottom"/>
          </w:tcPr>
          <w:p>
            <w:pPr>
              <w:jc w:val="center"/>
              <w:ind w:left="56"/>
              <w:spacing w:after="0"/>
              <w:rPr>
                <w:sz w:val="20"/>
                <w:szCs w:val="20"/>
                <w:color w:val="auto"/>
              </w:rPr>
            </w:pPr>
            <w:r>
              <w:rPr>
                <w:rFonts w:ascii="Arial" w:cs="Arial" w:eastAsia="Arial" w:hAnsi="Arial"/>
                <w:sz w:val="13"/>
                <w:szCs w:val="13"/>
                <w:color w:val="auto"/>
                <w:w w:val="96"/>
              </w:rPr>
              <w:t>10</w:t>
            </w:r>
          </w:p>
        </w:tc>
        <w:tc>
          <w:tcPr>
            <w:tcW w:w="220" w:type="dxa"/>
            <w:vAlign w:val="bottom"/>
          </w:tcPr>
          <w:p>
            <w:pPr>
              <w:spacing w:after="0"/>
              <w:rPr>
                <w:sz w:val="14"/>
                <w:szCs w:val="14"/>
                <w:color w:val="auto"/>
              </w:rPr>
            </w:pPr>
          </w:p>
        </w:tc>
        <w:tc>
          <w:tcPr>
            <w:tcW w:w="166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126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460" w:type="dxa"/>
            <w:vAlign w:val="bottom"/>
          </w:tcPr>
          <w:p>
            <w:pPr>
              <w:spacing w:after="0"/>
              <w:rPr>
                <w:sz w:val="14"/>
                <w:szCs w:val="14"/>
                <w:color w:val="auto"/>
              </w:rPr>
            </w:pPr>
          </w:p>
        </w:tc>
        <w:tc>
          <w:tcPr>
            <w:tcW w:w="138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480" w:type="dxa"/>
            <w:vAlign w:val="bottom"/>
          </w:tcPr>
          <w:p>
            <w:pPr>
              <w:spacing w:after="0"/>
              <w:rPr>
                <w:sz w:val="14"/>
                <w:szCs w:val="14"/>
                <w:color w:val="auto"/>
              </w:rPr>
            </w:pPr>
          </w:p>
        </w:tc>
        <w:tc>
          <w:tcPr>
            <w:tcW w:w="136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62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c>
          <w:tcPr>
            <w:tcW w:w="360" w:type="dxa"/>
            <w:vAlign w:val="bottom"/>
          </w:tcPr>
          <w:p>
            <w:pPr>
              <w:spacing w:after="0"/>
              <w:rPr>
                <w:sz w:val="14"/>
                <w:szCs w:val="14"/>
                <w:color w:val="auto"/>
              </w:rPr>
            </w:pPr>
          </w:p>
        </w:tc>
      </w:tr>
      <w:tr>
        <w:trPr>
          <w:trHeight w:val="163"/>
        </w:trPr>
        <w:tc>
          <w:tcPr>
            <w:tcW w:w="220" w:type="dxa"/>
            <w:vAlign w:val="bottom"/>
          </w:tcPr>
          <w:p>
            <w:pPr>
              <w:spacing w:after="0"/>
              <w:rPr>
                <w:sz w:val="14"/>
                <w:szCs w:val="14"/>
                <w:color w:val="auto"/>
              </w:rPr>
            </w:pPr>
          </w:p>
        </w:tc>
        <w:tc>
          <w:tcPr>
            <w:tcW w:w="1880" w:type="dxa"/>
            <w:vAlign w:val="bottom"/>
            <w:tcBorders>
              <w:top w:val="single" w:sz="8" w:color="CCEEFF"/>
              <w:bottom w:val="single" w:sz="8" w:color="CCEEFF"/>
            </w:tcBorders>
            <w:gridSpan w:val="2"/>
            <w:shd w:val="clear" w:color="auto" w:fill="CCEEFF"/>
          </w:tcPr>
          <w:p>
            <w:pPr>
              <w:spacing w:after="0" w:line="143" w:lineRule="exact"/>
              <w:rPr>
                <w:sz w:val="20"/>
                <w:szCs w:val="20"/>
                <w:color w:val="auto"/>
              </w:rPr>
            </w:pPr>
            <w:r>
              <w:rPr>
                <w:rFonts w:ascii="Arial" w:cs="Arial" w:eastAsia="Arial" w:hAnsi="Arial"/>
                <w:sz w:val="13"/>
                <w:szCs w:val="13"/>
                <w:color w:val="auto"/>
              </w:rPr>
              <w:t>Total</w:t>
            </w:r>
          </w:p>
        </w:tc>
        <w:tc>
          <w:tcPr>
            <w:tcW w:w="16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1,893,696</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360" w:type="dxa"/>
            <w:vAlign w:val="bottom"/>
            <w:tcBorders>
              <w:top w:val="single" w:sz="8" w:color="auto"/>
              <w:bottom w:val="single" w:sz="8" w:color="auto"/>
            </w:tcBorders>
            <w:shd w:val="clear" w:color="auto" w:fill="CCEEFF"/>
          </w:tcPr>
          <w:p>
            <w:pPr>
              <w:spacing w:after="0"/>
              <w:rPr>
                <w:sz w:val="14"/>
                <w:szCs w:val="14"/>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801,938</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460" w:type="dxa"/>
            <w:vAlign w:val="bottom"/>
            <w:tcBorders>
              <w:top w:val="single" w:sz="8" w:color="auto"/>
              <w:bottom w:val="single" w:sz="8" w:color="auto"/>
            </w:tcBorders>
            <w:shd w:val="clear" w:color="auto" w:fill="CCEEFF"/>
          </w:tcPr>
          <w:p>
            <w:pPr>
              <w:spacing w:after="0"/>
              <w:rPr>
                <w:sz w:val="14"/>
                <w:szCs w:val="14"/>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2,458,690</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480" w:type="dxa"/>
            <w:vAlign w:val="bottom"/>
            <w:tcBorders>
              <w:top w:val="single" w:sz="8" w:color="auto"/>
              <w:bottom w:val="single" w:sz="8" w:color="auto"/>
            </w:tcBorders>
            <w:shd w:val="clear" w:color="auto" w:fill="CCEEFF"/>
          </w:tcPr>
          <w:p>
            <w:pPr>
              <w:spacing w:after="0"/>
              <w:rPr>
                <w:sz w:val="14"/>
                <w:szCs w:val="14"/>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624,100</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5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5,778,424</w:t>
            </w: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c>
          <w:tcPr>
            <w:tcW w:w="360" w:type="dxa"/>
            <w:vAlign w:val="bottom"/>
          </w:tcPr>
          <w:p>
            <w:pPr>
              <w:spacing w:after="0"/>
              <w:rPr>
                <w:sz w:val="14"/>
                <w:szCs w:val="14"/>
                <w:color w:val="auto"/>
              </w:rPr>
            </w:pPr>
          </w:p>
        </w:tc>
      </w:tr>
      <w:tr>
        <w:trPr>
          <w:trHeight w:val="317"/>
        </w:trPr>
        <w:tc>
          <w:tcPr>
            <w:tcW w:w="220" w:type="dxa"/>
            <w:vAlign w:val="bottom"/>
          </w:tcPr>
          <w:p>
            <w:pPr>
              <w:spacing w:after="0"/>
              <w:rPr>
                <w:sz w:val="24"/>
                <w:szCs w:val="24"/>
                <w:color w:val="auto"/>
              </w:rPr>
            </w:pPr>
          </w:p>
        </w:tc>
        <w:tc>
          <w:tcPr>
            <w:tcW w:w="16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6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1940" w:type="dxa"/>
            <w:vAlign w:val="bottom"/>
            <w:tcBorders>
              <w:bottom w:val="single" w:sz="8" w:color="auto"/>
            </w:tcBorders>
            <w:gridSpan w:val="3"/>
          </w:tcPr>
          <w:p>
            <w:pPr>
              <w:ind w:left="760"/>
              <w:spacing w:after="0"/>
              <w:rPr>
                <w:sz w:val="20"/>
                <w:szCs w:val="20"/>
                <w:color w:val="auto"/>
              </w:rPr>
            </w:pPr>
            <w:r>
              <w:rPr>
                <w:rFonts w:ascii="Arial" w:cs="Arial" w:eastAsia="Arial" w:hAnsi="Arial"/>
                <w:sz w:val="13"/>
                <w:szCs w:val="13"/>
                <w:b w:val="1"/>
                <w:bCs w:val="1"/>
                <w:color w:val="auto"/>
                <w:w w:val="99"/>
              </w:rPr>
              <w:t>December 31, 2017</w:t>
            </w:r>
          </w:p>
        </w:tc>
        <w:tc>
          <w:tcPr>
            <w:tcW w:w="11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52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360" w:type="dxa"/>
            <w:vAlign w:val="bottom"/>
          </w:tcPr>
          <w:p>
            <w:pPr>
              <w:spacing w:after="0"/>
              <w:rPr>
                <w:sz w:val="24"/>
                <w:szCs w:val="24"/>
                <w:color w:val="auto"/>
              </w:rPr>
            </w:pPr>
          </w:p>
        </w:tc>
      </w:tr>
      <w:tr>
        <w:trPr>
          <w:trHeight w:val="154"/>
        </w:trPr>
        <w:tc>
          <w:tcPr>
            <w:tcW w:w="220" w:type="dxa"/>
            <w:vAlign w:val="bottom"/>
          </w:tcPr>
          <w:p>
            <w:pPr>
              <w:spacing w:after="0"/>
              <w:rPr>
                <w:sz w:val="13"/>
                <w:szCs w:val="13"/>
                <w:color w:val="auto"/>
              </w:rPr>
            </w:pPr>
          </w:p>
        </w:tc>
        <w:tc>
          <w:tcPr>
            <w:tcW w:w="16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240" w:type="dxa"/>
            <w:vAlign w:val="bottom"/>
            <w:tcBorders>
              <w:bottom w:val="single" w:sz="8" w:color="auto"/>
            </w:tcBorders>
            <w:gridSpan w:val="3"/>
          </w:tcPr>
          <w:p>
            <w:pPr>
              <w:ind w:left="1380"/>
              <w:spacing w:after="0"/>
              <w:rPr>
                <w:sz w:val="20"/>
                <w:szCs w:val="20"/>
                <w:color w:val="auto"/>
              </w:rPr>
            </w:pPr>
            <w:r>
              <w:rPr>
                <w:rFonts w:ascii="Arial" w:cs="Arial" w:eastAsia="Arial" w:hAnsi="Arial"/>
                <w:sz w:val="13"/>
                <w:szCs w:val="13"/>
                <w:b w:val="1"/>
                <w:bCs w:val="1"/>
                <w:color w:val="auto"/>
              </w:rPr>
              <w:t>Corporations</w:t>
            </w:r>
          </w:p>
        </w:tc>
        <w:tc>
          <w:tcPr>
            <w:tcW w:w="1260" w:type="dxa"/>
            <w:vAlign w:val="bottom"/>
            <w:tcBorders>
              <w:bottom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460" w:type="dxa"/>
            <w:vAlign w:val="bottom"/>
            <w:tcBorders>
              <w:bottom w:val="single" w:sz="8" w:color="auto"/>
            </w:tcBorders>
          </w:tcPr>
          <w:p>
            <w:pPr>
              <w:spacing w:after="0"/>
              <w:rPr>
                <w:sz w:val="13"/>
                <w:szCs w:val="13"/>
                <w:color w:val="auto"/>
              </w:rPr>
            </w:pPr>
          </w:p>
        </w:tc>
        <w:tc>
          <w:tcPr>
            <w:tcW w:w="1860" w:type="dxa"/>
            <w:vAlign w:val="bottom"/>
            <w:tcBorders>
              <w:bottom w:val="single" w:sz="8" w:color="auto"/>
            </w:tcBorders>
            <w:gridSpan w:val="3"/>
          </w:tcPr>
          <w:p>
            <w:pPr>
              <w:ind w:left="700"/>
              <w:spacing w:after="0"/>
              <w:rPr>
                <w:sz w:val="20"/>
                <w:szCs w:val="20"/>
                <w:color w:val="auto"/>
              </w:rPr>
            </w:pPr>
            <w:r>
              <w:rPr>
                <w:rFonts w:ascii="Arial" w:cs="Arial" w:eastAsia="Arial" w:hAnsi="Arial"/>
                <w:sz w:val="13"/>
                <w:szCs w:val="13"/>
                <w:b w:val="1"/>
                <w:bCs w:val="1"/>
                <w:color w:val="auto"/>
                <w:w w:val="87"/>
              </w:rPr>
              <w:t>Financial institutions</w:t>
            </w:r>
          </w:p>
        </w:tc>
        <w:tc>
          <w:tcPr>
            <w:tcW w:w="1140" w:type="dxa"/>
            <w:vAlign w:val="bottom"/>
            <w:tcBorders>
              <w:bottom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15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360" w:type="dxa"/>
            <w:vAlign w:val="bottom"/>
          </w:tcPr>
          <w:p>
            <w:pPr>
              <w:spacing w:after="0"/>
              <w:rPr>
                <w:sz w:val="13"/>
                <w:szCs w:val="13"/>
                <w:color w:val="auto"/>
              </w:rPr>
            </w:pPr>
          </w:p>
        </w:tc>
      </w:tr>
      <w:tr>
        <w:trPr>
          <w:trHeight w:val="153"/>
        </w:trPr>
        <w:tc>
          <w:tcPr>
            <w:tcW w:w="220" w:type="dxa"/>
            <w:vAlign w:val="bottom"/>
          </w:tcPr>
          <w:p>
            <w:pPr>
              <w:spacing w:after="0"/>
              <w:rPr>
                <w:sz w:val="13"/>
                <w:szCs w:val="13"/>
                <w:color w:val="auto"/>
              </w:rPr>
            </w:pPr>
          </w:p>
        </w:tc>
        <w:tc>
          <w:tcPr>
            <w:tcW w:w="1880" w:type="dxa"/>
            <w:vAlign w:val="bottom"/>
            <w:gridSpan w:val="2"/>
          </w:tcPr>
          <w:p>
            <w:pPr>
              <w:ind w:left="640"/>
              <w:spacing w:after="0"/>
              <w:rPr>
                <w:sz w:val="20"/>
                <w:szCs w:val="20"/>
                <w:color w:val="auto"/>
              </w:rPr>
            </w:pPr>
            <w:r>
              <w:rPr>
                <w:rFonts w:ascii="Arial" w:cs="Arial" w:eastAsia="Arial" w:hAnsi="Arial"/>
                <w:sz w:val="13"/>
                <w:szCs w:val="13"/>
                <w:b w:val="1"/>
                <w:bCs w:val="1"/>
                <w:color w:val="auto"/>
              </w:rPr>
              <w:t>Rating</w:t>
            </w:r>
          </w:p>
        </w:tc>
        <w:tc>
          <w:tcPr>
            <w:tcW w:w="2240" w:type="dxa"/>
            <w:vAlign w:val="bottom"/>
            <w:gridSpan w:val="3"/>
          </w:tcPr>
          <w:p>
            <w:pPr>
              <w:ind w:left="620"/>
              <w:spacing w:after="0"/>
              <w:rPr>
                <w:sz w:val="20"/>
                <w:szCs w:val="20"/>
                <w:color w:val="auto"/>
              </w:rPr>
            </w:pPr>
            <w:r>
              <w:rPr>
                <w:rFonts w:ascii="Arial" w:cs="Arial" w:eastAsia="Arial" w:hAnsi="Arial"/>
                <w:sz w:val="13"/>
                <w:szCs w:val="13"/>
                <w:b w:val="1"/>
                <w:bCs w:val="1"/>
                <w:color w:val="auto"/>
              </w:rPr>
              <w:t>Private</w:t>
            </w:r>
          </w:p>
        </w:tc>
        <w:tc>
          <w:tcPr>
            <w:tcW w:w="1260" w:type="dxa"/>
            <w:vAlign w:val="bottom"/>
          </w:tcPr>
          <w:p>
            <w:pPr>
              <w:jc w:val="right"/>
              <w:ind w:right="396"/>
              <w:spacing w:after="0"/>
              <w:rPr>
                <w:sz w:val="20"/>
                <w:szCs w:val="20"/>
                <w:color w:val="auto"/>
              </w:rPr>
            </w:pPr>
            <w:r>
              <w:rPr>
                <w:rFonts w:ascii="Arial" w:cs="Arial" w:eastAsia="Arial" w:hAnsi="Arial"/>
                <w:sz w:val="13"/>
                <w:szCs w:val="13"/>
                <w:b w:val="1"/>
                <w:bCs w:val="1"/>
                <w:color w:val="auto"/>
              </w:rPr>
              <w:t>State-owned</w:t>
            </w:r>
          </w:p>
        </w:tc>
        <w:tc>
          <w:tcPr>
            <w:tcW w:w="220" w:type="dxa"/>
            <w:vAlign w:val="bottom"/>
          </w:tcPr>
          <w:p>
            <w:pPr>
              <w:spacing w:after="0"/>
              <w:rPr>
                <w:sz w:val="13"/>
                <w:szCs w:val="13"/>
                <w:color w:val="auto"/>
              </w:rPr>
            </w:pPr>
          </w:p>
        </w:tc>
        <w:tc>
          <w:tcPr>
            <w:tcW w:w="460" w:type="dxa"/>
            <w:vAlign w:val="bottom"/>
          </w:tcPr>
          <w:p>
            <w:pPr>
              <w:spacing w:after="0"/>
              <w:rPr>
                <w:sz w:val="13"/>
                <w:szCs w:val="13"/>
                <w:color w:val="auto"/>
              </w:rPr>
            </w:pPr>
          </w:p>
        </w:tc>
        <w:tc>
          <w:tcPr>
            <w:tcW w:w="1860" w:type="dxa"/>
            <w:vAlign w:val="bottom"/>
            <w:gridSpan w:val="3"/>
          </w:tcPr>
          <w:p>
            <w:pPr>
              <w:ind w:left="160"/>
              <w:spacing w:after="0"/>
              <w:rPr>
                <w:sz w:val="20"/>
                <w:szCs w:val="20"/>
                <w:color w:val="auto"/>
              </w:rPr>
            </w:pPr>
            <w:r>
              <w:rPr>
                <w:rFonts w:ascii="Arial" w:cs="Arial" w:eastAsia="Arial" w:hAnsi="Arial"/>
                <w:sz w:val="13"/>
                <w:szCs w:val="13"/>
                <w:b w:val="1"/>
                <w:bCs w:val="1"/>
                <w:color w:val="auto"/>
              </w:rPr>
              <w:t>Private</w:t>
            </w:r>
          </w:p>
        </w:tc>
        <w:tc>
          <w:tcPr>
            <w:tcW w:w="1140" w:type="dxa"/>
            <w:vAlign w:val="bottom"/>
          </w:tcPr>
          <w:p>
            <w:pPr>
              <w:jc w:val="right"/>
              <w:ind w:right="396"/>
              <w:spacing w:after="0"/>
              <w:rPr>
                <w:sz w:val="20"/>
                <w:szCs w:val="20"/>
                <w:color w:val="auto"/>
              </w:rPr>
            </w:pPr>
            <w:r>
              <w:rPr>
                <w:rFonts w:ascii="Arial" w:cs="Arial" w:eastAsia="Arial" w:hAnsi="Arial"/>
                <w:sz w:val="13"/>
                <w:szCs w:val="13"/>
                <w:b w:val="1"/>
                <w:bCs w:val="1"/>
                <w:color w:val="auto"/>
                <w:w w:val="85"/>
              </w:rPr>
              <w:t>State-owned</w:t>
            </w:r>
          </w:p>
        </w:tc>
        <w:tc>
          <w:tcPr>
            <w:tcW w:w="220" w:type="dxa"/>
            <w:vAlign w:val="bottom"/>
          </w:tcPr>
          <w:p>
            <w:pPr>
              <w:spacing w:after="0"/>
              <w:rPr>
                <w:sz w:val="13"/>
                <w:szCs w:val="13"/>
                <w:color w:val="auto"/>
              </w:rPr>
            </w:pPr>
          </w:p>
        </w:tc>
        <w:tc>
          <w:tcPr>
            <w:tcW w:w="1620" w:type="dxa"/>
            <w:vAlign w:val="bottom"/>
            <w:gridSpan w:val="2"/>
          </w:tcPr>
          <w:p>
            <w:pPr>
              <w:ind w:left="620"/>
              <w:spacing w:after="0"/>
              <w:rPr>
                <w:sz w:val="20"/>
                <w:szCs w:val="20"/>
                <w:color w:val="auto"/>
              </w:rPr>
            </w:pPr>
            <w:r>
              <w:rPr>
                <w:rFonts w:ascii="Arial" w:cs="Arial" w:eastAsia="Arial" w:hAnsi="Arial"/>
                <w:sz w:val="13"/>
                <w:szCs w:val="13"/>
                <w:b w:val="1"/>
                <w:bCs w:val="1"/>
                <w:color w:val="auto"/>
              </w:rPr>
              <w:t>Total</w:t>
            </w:r>
          </w:p>
        </w:tc>
        <w:tc>
          <w:tcPr>
            <w:tcW w:w="360" w:type="dxa"/>
            <w:vAlign w:val="bottom"/>
          </w:tcPr>
          <w:p>
            <w:pPr>
              <w:spacing w:after="0"/>
              <w:rPr>
                <w:sz w:val="13"/>
                <w:szCs w:val="13"/>
                <w:color w:val="auto"/>
              </w:rPr>
            </w:pPr>
          </w:p>
        </w:tc>
      </w:tr>
      <w:tr>
        <w:trPr>
          <w:trHeight w:val="144"/>
        </w:trPr>
        <w:tc>
          <w:tcPr>
            <w:tcW w:w="220" w:type="dxa"/>
            <w:vAlign w:val="bottom"/>
          </w:tcPr>
          <w:p>
            <w:pPr>
              <w:spacing w:after="0"/>
              <w:rPr>
                <w:sz w:val="12"/>
                <w:szCs w:val="12"/>
                <w:color w:val="auto"/>
              </w:rPr>
            </w:pPr>
          </w:p>
        </w:tc>
        <w:tc>
          <w:tcPr>
            <w:tcW w:w="1660" w:type="dxa"/>
            <w:vAlign w:val="bottom"/>
            <w:tcBorders>
              <w:top w:val="single" w:sz="8" w:color="auto"/>
            </w:tcBorders>
            <w:shd w:val="clear" w:color="auto" w:fill="CCEEFF"/>
          </w:tcPr>
          <w:p>
            <w:pPr>
              <w:jc w:val="center"/>
              <w:ind w:left="56"/>
              <w:spacing w:after="0" w:line="144" w:lineRule="exact"/>
              <w:rPr>
                <w:sz w:val="20"/>
                <w:szCs w:val="20"/>
                <w:color w:val="auto"/>
              </w:rPr>
            </w:pPr>
            <w:r>
              <w:rPr>
                <w:rFonts w:ascii="Arial" w:cs="Arial" w:eastAsia="Arial" w:hAnsi="Arial"/>
                <w:sz w:val="13"/>
                <w:szCs w:val="13"/>
                <w:color w:val="auto"/>
                <w:w w:val="95"/>
              </w:rPr>
              <w:t>1-4</w:t>
            </w:r>
          </w:p>
        </w:tc>
        <w:tc>
          <w:tcPr>
            <w:tcW w:w="220" w:type="dxa"/>
            <w:vAlign w:val="bottom"/>
            <w:tcBorders>
              <w:top w:val="single" w:sz="8" w:color="CCEEFF"/>
            </w:tcBorders>
            <w:shd w:val="clear" w:color="auto" w:fill="CCEEFF"/>
          </w:tcPr>
          <w:p>
            <w:pPr>
              <w:spacing w:after="0"/>
              <w:rPr>
                <w:sz w:val="12"/>
                <w:szCs w:val="12"/>
                <w:color w:val="auto"/>
              </w:rPr>
            </w:pPr>
          </w:p>
        </w:tc>
        <w:tc>
          <w:tcPr>
            <w:tcW w:w="16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1,234,970</w:t>
            </w:r>
          </w:p>
        </w:tc>
        <w:tc>
          <w:tcPr>
            <w:tcW w:w="220" w:type="dxa"/>
            <w:vAlign w:val="bottom"/>
            <w:tcBorders>
              <w:top w:val="single" w:sz="8" w:color="CCEEFF"/>
            </w:tcBorders>
            <w:shd w:val="clear" w:color="auto" w:fill="CCEEFF"/>
          </w:tcPr>
          <w:p>
            <w:pPr>
              <w:spacing w:after="0"/>
              <w:rPr>
                <w:sz w:val="12"/>
                <w:szCs w:val="12"/>
                <w:color w:val="auto"/>
              </w:rPr>
            </w:pPr>
          </w:p>
        </w:tc>
        <w:tc>
          <w:tcPr>
            <w:tcW w:w="360" w:type="dxa"/>
            <w:vAlign w:val="bottom"/>
            <w:tcBorders>
              <w:top w:val="single" w:sz="8" w:color="auto"/>
            </w:tcBorders>
            <w:shd w:val="clear" w:color="auto" w:fill="CCEEFF"/>
          </w:tcPr>
          <w:p>
            <w:pPr>
              <w:spacing w:after="0"/>
              <w:rPr>
                <w:sz w:val="12"/>
                <w:szCs w:val="12"/>
                <w:color w:val="auto"/>
              </w:rPr>
            </w:pPr>
          </w:p>
        </w:tc>
        <w:tc>
          <w:tcPr>
            <w:tcW w:w="12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458,651</w:t>
            </w:r>
          </w:p>
        </w:tc>
        <w:tc>
          <w:tcPr>
            <w:tcW w:w="220" w:type="dxa"/>
            <w:vAlign w:val="bottom"/>
            <w:tcBorders>
              <w:top w:val="single" w:sz="8" w:color="CCEEFF"/>
            </w:tcBorders>
            <w:shd w:val="clear" w:color="auto" w:fill="CCEEFF"/>
          </w:tcPr>
          <w:p>
            <w:pPr>
              <w:spacing w:after="0"/>
              <w:rPr>
                <w:sz w:val="12"/>
                <w:szCs w:val="12"/>
                <w:color w:val="auto"/>
              </w:rPr>
            </w:pPr>
          </w:p>
        </w:tc>
        <w:tc>
          <w:tcPr>
            <w:tcW w:w="460" w:type="dxa"/>
            <w:vAlign w:val="bottom"/>
            <w:tcBorders>
              <w:top w:val="single" w:sz="8" w:color="auto"/>
            </w:tcBorders>
            <w:shd w:val="clear" w:color="auto" w:fill="CCEEFF"/>
          </w:tcPr>
          <w:p>
            <w:pPr>
              <w:spacing w:after="0"/>
              <w:rPr>
                <w:sz w:val="12"/>
                <w:szCs w:val="12"/>
                <w:color w:val="auto"/>
              </w:rPr>
            </w:pPr>
          </w:p>
        </w:tc>
        <w:tc>
          <w:tcPr>
            <w:tcW w:w="11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796,508</w:t>
            </w:r>
          </w:p>
        </w:tc>
        <w:tc>
          <w:tcPr>
            <w:tcW w:w="220" w:type="dxa"/>
            <w:vAlign w:val="bottom"/>
            <w:tcBorders>
              <w:top w:val="single" w:sz="8" w:color="CCEEFF"/>
            </w:tcBorders>
            <w:shd w:val="clear" w:color="auto" w:fill="CCEEFF"/>
          </w:tcPr>
          <w:p>
            <w:pPr>
              <w:spacing w:after="0"/>
              <w:rPr>
                <w:sz w:val="12"/>
                <w:szCs w:val="12"/>
                <w:color w:val="auto"/>
              </w:rPr>
            </w:pPr>
          </w:p>
        </w:tc>
        <w:tc>
          <w:tcPr>
            <w:tcW w:w="480" w:type="dxa"/>
            <w:vAlign w:val="bottom"/>
            <w:tcBorders>
              <w:top w:val="single" w:sz="8" w:color="auto"/>
            </w:tcBorders>
            <w:shd w:val="clear" w:color="auto" w:fill="CCEEFF"/>
          </w:tcPr>
          <w:p>
            <w:pPr>
              <w:spacing w:after="0"/>
              <w:rPr>
                <w:sz w:val="12"/>
                <w:szCs w:val="12"/>
                <w:color w:val="auto"/>
              </w:rPr>
            </w:pPr>
          </w:p>
        </w:tc>
        <w:tc>
          <w:tcPr>
            <w:tcW w:w="114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126,685</w:t>
            </w:r>
          </w:p>
        </w:tc>
        <w:tc>
          <w:tcPr>
            <w:tcW w:w="220" w:type="dxa"/>
            <w:vAlign w:val="bottom"/>
            <w:tcBorders>
              <w:top w:val="single" w:sz="8" w:color="CCEEFF"/>
            </w:tcBorders>
            <w:shd w:val="clear" w:color="auto" w:fill="CCEEFF"/>
          </w:tcPr>
          <w:p>
            <w:pPr>
              <w:spacing w:after="0"/>
              <w:rPr>
                <w:sz w:val="12"/>
                <w:szCs w:val="12"/>
                <w:color w:val="auto"/>
              </w:rPr>
            </w:pPr>
          </w:p>
        </w:tc>
        <w:tc>
          <w:tcPr>
            <w:tcW w:w="15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2,616,814</w:t>
            </w:r>
          </w:p>
        </w:tc>
        <w:tc>
          <w:tcPr>
            <w:tcW w:w="100" w:type="dxa"/>
            <w:vAlign w:val="bottom"/>
            <w:tcBorders>
              <w:top w:val="single" w:sz="8" w:color="CCEEFF"/>
            </w:tcBorders>
            <w:shd w:val="clear" w:color="auto" w:fill="CCEEFF"/>
          </w:tcPr>
          <w:p>
            <w:pPr>
              <w:spacing w:after="0"/>
              <w:rPr>
                <w:sz w:val="12"/>
                <w:szCs w:val="12"/>
                <w:color w:val="auto"/>
              </w:rPr>
            </w:pPr>
          </w:p>
        </w:tc>
        <w:tc>
          <w:tcPr>
            <w:tcW w:w="360" w:type="dxa"/>
            <w:vAlign w:val="bottom"/>
          </w:tcPr>
          <w:p>
            <w:pPr>
              <w:spacing w:after="0"/>
              <w:rPr>
                <w:sz w:val="12"/>
                <w:szCs w:val="12"/>
                <w:color w:val="auto"/>
              </w:rPr>
            </w:pPr>
          </w:p>
        </w:tc>
      </w:tr>
      <w:tr>
        <w:trPr>
          <w:trHeight w:val="154"/>
        </w:trPr>
        <w:tc>
          <w:tcPr>
            <w:tcW w:w="220" w:type="dxa"/>
            <w:vAlign w:val="bottom"/>
          </w:tcPr>
          <w:p>
            <w:pPr>
              <w:spacing w:after="0"/>
              <w:rPr>
                <w:sz w:val="13"/>
                <w:szCs w:val="13"/>
                <w:color w:val="auto"/>
              </w:rPr>
            </w:pPr>
          </w:p>
        </w:tc>
        <w:tc>
          <w:tcPr>
            <w:tcW w:w="1660" w:type="dxa"/>
            <w:vAlign w:val="bottom"/>
          </w:tcPr>
          <w:p>
            <w:pPr>
              <w:jc w:val="center"/>
              <w:ind w:left="56"/>
              <w:spacing w:after="0"/>
              <w:rPr>
                <w:sz w:val="20"/>
                <w:szCs w:val="20"/>
                <w:color w:val="auto"/>
              </w:rPr>
            </w:pPr>
            <w:r>
              <w:rPr>
                <w:rFonts w:ascii="Arial" w:cs="Arial" w:eastAsia="Arial" w:hAnsi="Arial"/>
                <w:sz w:val="13"/>
                <w:szCs w:val="13"/>
                <w:color w:val="auto"/>
                <w:w w:val="95"/>
              </w:rPr>
              <w:t>5-6</w:t>
            </w:r>
          </w:p>
        </w:tc>
        <w:tc>
          <w:tcPr>
            <w:tcW w:w="220" w:type="dxa"/>
            <w:vAlign w:val="bottom"/>
          </w:tcPr>
          <w:p>
            <w:pPr>
              <w:spacing w:after="0"/>
              <w:rPr>
                <w:sz w:val="13"/>
                <w:szCs w:val="13"/>
                <w:color w:val="auto"/>
              </w:rPr>
            </w:pPr>
          </w:p>
        </w:tc>
        <w:tc>
          <w:tcPr>
            <w:tcW w:w="1880" w:type="dxa"/>
            <w:vAlign w:val="bottom"/>
            <w:gridSpan w:val="2"/>
          </w:tcPr>
          <w:p>
            <w:pPr>
              <w:jc w:val="right"/>
              <w:ind w:right="220"/>
              <w:spacing w:after="0"/>
              <w:rPr>
                <w:sz w:val="20"/>
                <w:szCs w:val="20"/>
                <w:color w:val="auto"/>
              </w:rPr>
            </w:pPr>
            <w:r>
              <w:rPr>
                <w:rFonts w:ascii="Arial" w:cs="Arial" w:eastAsia="Arial" w:hAnsi="Arial"/>
                <w:sz w:val="13"/>
                <w:szCs w:val="13"/>
                <w:color w:val="auto"/>
              </w:rPr>
              <w:t>792,363</w:t>
            </w:r>
          </w:p>
        </w:tc>
        <w:tc>
          <w:tcPr>
            <w:tcW w:w="360" w:type="dxa"/>
            <w:vAlign w:val="bottom"/>
          </w:tcPr>
          <w:p>
            <w:pPr>
              <w:spacing w:after="0"/>
              <w:rPr>
                <w:sz w:val="13"/>
                <w:szCs w:val="13"/>
                <w:color w:val="auto"/>
              </w:rPr>
            </w:pPr>
          </w:p>
        </w:tc>
        <w:tc>
          <w:tcPr>
            <w:tcW w:w="1480" w:type="dxa"/>
            <w:vAlign w:val="bottom"/>
            <w:gridSpan w:val="2"/>
          </w:tcPr>
          <w:p>
            <w:pPr>
              <w:jc w:val="right"/>
              <w:ind w:right="156"/>
              <w:spacing w:after="0"/>
              <w:rPr>
                <w:sz w:val="20"/>
                <w:szCs w:val="20"/>
                <w:color w:val="auto"/>
              </w:rPr>
            </w:pPr>
            <w:r>
              <w:rPr>
                <w:rFonts w:ascii="Arial" w:cs="Arial" w:eastAsia="Arial" w:hAnsi="Arial"/>
                <w:sz w:val="13"/>
                <w:szCs w:val="13"/>
                <w:color w:val="auto"/>
              </w:rPr>
              <w:t>240,181</w:t>
            </w:r>
          </w:p>
        </w:tc>
        <w:tc>
          <w:tcPr>
            <w:tcW w:w="460" w:type="dxa"/>
            <w:vAlign w:val="bottom"/>
          </w:tcPr>
          <w:p>
            <w:pPr>
              <w:spacing w:after="0"/>
              <w:rPr>
                <w:sz w:val="13"/>
                <w:szCs w:val="13"/>
                <w:color w:val="auto"/>
              </w:rPr>
            </w:pPr>
          </w:p>
        </w:tc>
        <w:tc>
          <w:tcPr>
            <w:tcW w:w="1380" w:type="dxa"/>
            <w:vAlign w:val="bottom"/>
            <w:gridSpan w:val="2"/>
          </w:tcPr>
          <w:p>
            <w:pPr>
              <w:jc w:val="right"/>
              <w:ind w:right="220"/>
              <w:spacing w:after="0"/>
              <w:rPr>
                <w:sz w:val="20"/>
                <w:szCs w:val="20"/>
                <w:color w:val="auto"/>
              </w:rPr>
            </w:pPr>
            <w:r>
              <w:rPr>
                <w:rFonts w:ascii="Arial" w:cs="Arial" w:eastAsia="Arial" w:hAnsi="Arial"/>
                <w:sz w:val="13"/>
                <w:szCs w:val="13"/>
                <w:color w:val="auto"/>
              </w:rPr>
              <w:t>1,127,508</w:t>
            </w:r>
          </w:p>
        </w:tc>
        <w:tc>
          <w:tcPr>
            <w:tcW w:w="480" w:type="dxa"/>
            <w:vAlign w:val="bottom"/>
          </w:tcPr>
          <w:p>
            <w:pPr>
              <w:spacing w:after="0"/>
              <w:rPr>
                <w:sz w:val="13"/>
                <w:szCs w:val="13"/>
                <w:color w:val="auto"/>
              </w:rPr>
            </w:pPr>
          </w:p>
        </w:tc>
        <w:tc>
          <w:tcPr>
            <w:tcW w:w="1360" w:type="dxa"/>
            <w:vAlign w:val="bottom"/>
            <w:gridSpan w:val="2"/>
          </w:tcPr>
          <w:p>
            <w:pPr>
              <w:jc w:val="right"/>
              <w:ind w:right="220"/>
              <w:spacing w:after="0"/>
              <w:rPr>
                <w:sz w:val="20"/>
                <w:szCs w:val="20"/>
                <w:color w:val="auto"/>
              </w:rPr>
            </w:pPr>
            <w:r>
              <w:rPr>
                <w:rFonts w:ascii="Arial" w:cs="Arial" w:eastAsia="Arial" w:hAnsi="Arial"/>
                <w:sz w:val="13"/>
                <w:szCs w:val="13"/>
                <w:color w:val="auto"/>
              </w:rPr>
              <w:t>391,891</w:t>
            </w:r>
          </w:p>
        </w:tc>
        <w:tc>
          <w:tcPr>
            <w:tcW w:w="1620" w:type="dxa"/>
            <w:vAlign w:val="bottom"/>
            <w:gridSpan w:val="2"/>
          </w:tcPr>
          <w:p>
            <w:pPr>
              <w:jc w:val="right"/>
              <w:ind w:right="100"/>
              <w:spacing w:after="0"/>
              <w:rPr>
                <w:sz w:val="20"/>
                <w:szCs w:val="20"/>
                <w:color w:val="auto"/>
              </w:rPr>
            </w:pPr>
            <w:r>
              <w:rPr>
                <w:rFonts w:ascii="Arial" w:cs="Arial" w:eastAsia="Arial" w:hAnsi="Arial"/>
                <w:sz w:val="13"/>
                <w:szCs w:val="13"/>
                <w:color w:val="auto"/>
              </w:rPr>
              <w:t>2,551,943</w:t>
            </w:r>
          </w:p>
        </w:tc>
        <w:tc>
          <w:tcPr>
            <w:tcW w:w="36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1660" w:type="dxa"/>
            <w:vAlign w:val="bottom"/>
            <w:shd w:val="clear" w:color="auto" w:fill="CCEEFF"/>
          </w:tcPr>
          <w:p>
            <w:pPr>
              <w:jc w:val="center"/>
              <w:ind w:left="56"/>
              <w:spacing w:after="0"/>
              <w:rPr>
                <w:sz w:val="20"/>
                <w:szCs w:val="20"/>
                <w:color w:val="auto"/>
              </w:rPr>
            </w:pPr>
            <w:r>
              <w:rPr>
                <w:rFonts w:ascii="Arial" w:cs="Arial" w:eastAsia="Arial" w:hAnsi="Arial"/>
                <w:sz w:val="13"/>
                <w:szCs w:val="13"/>
                <w:color w:val="auto"/>
                <w:w w:val="82"/>
              </w:rPr>
              <w:t>7</w:t>
            </w:r>
          </w:p>
        </w:tc>
        <w:tc>
          <w:tcPr>
            <w:tcW w:w="220" w:type="dxa"/>
            <w:vAlign w:val="bottom"/>
            <w:shd w:val="clear" w:color="auto" w:fill="CCEEFF"/>
          </w:tcPr>
          <w:p>
            <w:pPr>
              <w:spacing w:after="0"/>
              <w:rPr>
                <w:sz w:val="13"/>
                <w:szCs w:val="13"/>
                <w:color w:val="auto"/>
              </w:rPr>
            </w:pPr>
          </w:p>
        </w:tc>
        <w:tc>
          <w:tcPr>
            <w:tcW w:w="18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58,130</w:t>
            </w:r>
          </w:p>
        </w:tc>
        <w:tc>
          <w:tcPr>
            <w:tcW w:w="360" w:type="dxa"/>
            <w:vAlign w:val="bottom"/>
            <w:shd w:val="clear" w:color="auto" w:fill="CCEEFF"/>
          </w:tcPr>
          <w:p>
            <w:pPr>
              <w:spacing w:after="0"/>
              <w:rPr>
                <w:sz w:val="13"/>
                <w:szCs w:val="13"/>
                <w:color w:val="auto"/>
              </w:rPr>
            </w:pPr>
          </w:p>
        </w:tc>
        <w:tc>
          <w:tcPr>
            <w:tcW w:w="1480" w:type="dxa"/>
            <w:vAlign w:val="bottom"/>
            <w:gridSpan w:val="2"/>
            <w:shd w:val="clear" w:color="auto" w:fill="CCEEFF"/>
          </w:tcPr>
          <w:p>
            <w:pPr>
              <w:jc w:val="right"/>
              <w:ind w:right="156"/>
              <w:spacing w:after="0"/>
              <w:rPr>
                <w:sz w:val="20"/>
                <w:szCs w:val="20"/>
                <w:color w:val="auto"/>
              </w:rPr>
            </w:pPr>
            <w:r>
              <w:rPr>
                <w:rFonts w:ascii="Arial" w:cs="Arial" w:eastAsia="Arial" w:hAnsi="Arial"/>
                <w:sz w:val="13"/>
                <w:szCs w:val="13"/>
                <w:color w:val="auto"/>
              </w:rPr>
              <w:t>24,435</w:t>
            </w:r>
          </w:p>
        </w:tc>
        <w:tc>
          <w:tcPr>
            <w:tcW w:w="460" w:type="dxa"/>
            <w:vAlign w:val="bottom"/>
            <w:shd w:val="clear" w:color="auto" w:fill="CCEEFF"/>
          </w:tcPr>
          <w:p>
            <w:pPr>
              <w:spacing w:after="0"/>
              <w:rPr>
                <w:sz w:val="13"/>
                <w:szCs w:val="13"/>
                <w:color w:val="auto"/>
              </w:rPr>
            </w:pPr>
          </w:p>
        </w:tc>
        <w:tc>
          <w:tcPr>
            <w:tcW w:w="13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159,779</w:t>
            </w:r>
          </w:p>
        </w:tc>
        <w:tc>
          <w:tcPr>
            <w:tcW w:w="480" w:type="dxa"/>
            <w:vAlign w:val="bottom"/>
            <w:shd w:val="clear" w:color="auto" w:fill="CCEEFF"/>
          </w:tcPr>
          <w:p>
            <w:pPr>
              <w:spacing w:after="0"/>
              <w:rPr>
                <w:sz w:val="13"/>
                <w:szCs w:val="13"/>
                <w:color w:val="auto"/>
              </w:rPr>
            </w:pP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55,073</w:t>
            </w:r>
          </w:p>
        </w:tc>
        <w:tc>
          <w:tcPr>
            <w:tcW w:w="1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297,417</w:t>
            </w:r>
          </w:p>
        </w:tc>
        <w:tc>
          <w:tcPr>
            <w:tcW w:w="36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1660" w:type="dxa"/>
            <w:vAlign w:val="bottom"/>
          </w:tcPr>
          <w:p>
            <w:pPr>
              <w:jc w:val="center"/>
              <w:ind w:left="56"/>
              <w:spacing w:after="0"/>
              <w:rPr>
                <w:sz w:val="20"/>
                <w:szCs w:val="20"/>
                <w:color w:val="auto"/>
              </w:rPr>
            </w:pPr>
            <w:r>
              <w:rPr>
                <w:rFonts w:ascii="Arial" w:cs="Arial" w:eastAsia="Arial" w:hAnsi="Arial"/>
                <w:sz w:val="13"/>
                <w:szCs w:val="13"/>
                <w:color w:val="auto"/>
                <w:w w:val="82"/>
              </w:rPr>
              <w:t>8</w:t>
            </w:r>
          </w:p>
        </w:tc>
        <w:tc>
          <w:tcPr>
            <w:tcW w:w="220" w:type="dxa"/>
            <w:vAlign w:val="bottom"/>
          </w:tcPr>
          <w:p>
            <w:pPr>
              <w:spacing w:after="0"/>
              <w:rPr>
                <w:sz w:val="13"/>
                <w:szCs w:val="13"/>
                <w:color w:val="auto"/>
              </w:rPr>
            </w:pPr>
          </w:p>
        </w:tc>
        <w:tc>
          <w:tcPr>
            <w:tcW w:w="1880" w:type="dxa"/>
            <w:vAlign w:val="bottom"/>
            <w:gridSpan w:val="2"/>
          </w:tcPr>
          <w:p>
            <w:pPr>
              <w:jc w:val="right"/>
              <w:ind w:right="220"/>
              <w:spacing w:after="0"/>
              <w:rPr>
                <w:sz w:val="20"/>
                <w:szCs w:val="20"/>
                <w:color w:val="auto"/>
              </w:rPr>
            </w:pPr>
            <w:r>
              <w:rPr>
                <w:rFonts w:ascii="Arial" w:cs="Arial" w:eastAsia="Arial" w:hAnsi="Arial"/>
                <w:sz w:val="13"/>
                <w:szCs w:val="13"/>
                <w:color w:val="auto"/>
              </w:rPr>
              <w:t>4,484</w:t>
            </w:r>
          </w:p>
        </w:tc>
        <w:tc>
          <w:tcPr>
            <w:tcW w:w="360" w:type="dxa"/>
            <w:vAlign w:val="bottom"/>
          </w:tcPr>
          <w:p>
            <w:pPr>
              <w:spacing w:after="0"/>
              <w:rPr>
                <w:sz w:val="13"/>
                <w:szCs w:val="13"/>
                <w:color w:val="auto"/>
              </w:rPr>
            </w:pPr>
          </w:p>
        </w:tc>
        <w:tc>
          <w:tcPr>
            <w:tcW w:w="126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460" w:type="dxa"/>
            <w:vAlign w:val="bottom"/>
          </w:tcPr>
          <w:p>
            <w:pPr>
              <w:spacing w:after="0"/>
              <w:rPr>
                <w:sz w:val="13"/>
                <w:szCs w:val="13"/>
                <w:color w:val="auto"/>
              </w:rPr>
            </w:pPr>
          </w:p>
        </w:tc>
        <w:tc>
          <w:tcPr>
            <w:tcW w:w="138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480" w:type="dxa"/>
            <w:vAlign w:val="bottom"/>
          </w:tcPr>
          <w:p>
            <w:pPr>
              <w:spacing w:after="0"/>
              <w:rPr>
                <w:sz w:val="13"/>
                <w:szCs w:val="13"/>
                <w:color w:val="auto"/>
              </w:rPr>
            </w:pPr>
          </w:p>
        </w:tc>
        <w:tc>
          <w:tcPr>
            <w:tcW w:w="136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620" w:type="dxa"/>
            <w:vAlign w:val="bottom"/>
            <w:gridSpan w:val="2"/>
          </w:tcPr>
          <w:p>
            <w:pPr>
              <w:jc w:val="right"/>
              <w:ind w:right="100"/>
              <w:spacing w:after="0"/>
              <w:rPr>
                <w:sz w:val="20"/>
                <w:szCs w:val="20"/>
                <w:color w:val="auto"/>
              </w:rPr>
            </w:pPr>
            <w:r>
              <w:rPr>
                <w:rFonts w:ascii="Arial" w:cs="Arial" w:eastAsia="Arial" w:hAnsi="Arial"/>
                <w:sz w:val="13"/>
                <w:szCs w:val="13"/>
                <w:color w:val="auto"/>
              </w:rPr>
              <w:t>4,484</w:t>
            </w:r>
          </w:p>
        </w:tc>
        <w:tc>
          <w:tcPr>
            <w:tcW w:w="36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1660" w:type="dxa"/>
            <w:vAlign w:val="bottom"/>
            <w:shd w:val="clear" w:color="auto" w:fill="CCEEFF"/>
          </w:tcPr>
          <w:p>
            <w:pPr>
              <w:jc w:val="center"/>
              <w:ind w:left="56"/>
              <w:spacing w:after="0"/>
              <w:rPr>
                <w:sz w:val="20"/>
                <w:szCs w:val="20"/>
                <w:color w:val="auto"/>
              </w:rPr>
            </w:pPr>
            <w:r>
              <w:rPr>
                <w:rFonts w:ascii="Arial" w:cs="Arial" w:eastAsia="Arial" w:hAnsi="Arial"/>
                <w:sz w:val="13"/>
                <w:szCs w:val="13"/>
                <w:color w:val="auto"/>
                <w:w w:val="82"/>
              </w:rPr>
              <w:t>9</w:t>
            </w:r>
          </w:p>
        </w:tc>
        <w:tc>
          <w:tcPr>
            <w:tcW w:w="220" w:type="dxa"/>
            <w:vAlign w:val="bottom"/>
            <w:shd w:val="clear" w:color="auto" w:fill="CCEEFF"/>
          </w:tcPr>
          <w:p>
            <w:pPr>
              <w:spacing w:after="0"/>
              <w:rPr>
                <w:sz w:val="13"/>
                <w:szCs w:val="13"/>
                <w:color w:val="auto"/>
              </w:rPr>
            </w:pPr>
          </w:p>
        </w:tc>
        <w:tc>
          <w:tcPr>
            <w:tcW w:w="16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460" w:type="dxa"/>
            <w:vAlign w:val="bottom"/>
            <w:shd w:val="clear" w:color="auto" w:fill="CCEEFF"/>
          </w:tcPr>
          <w:p>
            <w:pPr>
              <w:spacing w:after="0"/>
              <w:rPr>
                <w:sz w:val="13"/>
                <w:szCs w:val="13"/>
                <w:color w:val="auto"/>
              </w:rPr>
            </w:pPr>
          </w:p>
        </w:tc>
        <w:tc>
          <w:tcPr>
            <w:tcW w:w="13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480" w:type="dxa"/>
            <w:vAlign w:val="bottom"/>
            <w:shd w:val="clear" w:color="auto" w:fill="CCEEFF"/>
          </w:tcPr>
          <w:p>
            <w:pPr>
              <w:spacing w:after="0"/>
              <w:rPr>
                <w:sz w:val="13"/>
                <w:szCs w:val="13"/>
                <w:color w:val="auto"/>
              </w:rPr>
            </w:pP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c>
          <w:tcPr>
            <w:tcW w:w="360" w:type="dxa"/>
            <w:vAlign w:val="bottom"/>
          </w:tcPr>
          <w:p>
            <w:pPr>
              <w:spacing w:after="0"/>
              <w:rPr>
                <w:sz w:val="13"/>
                <w:szCs w:val="13"/>
                <w:color w:val="auto"/>
              </w:rPr>
            </w:pPr>
          </w:p>
        </w:tc>
      </w:tr>
      <w:tr>
        <w:trPr>
          <w:trHeight w:val="163"/>
        </w:trPr>
        <w:tc>
          <w:tcPr>
            <w:tcW w:w="220" w:type="dxa"/>
            <w:vAlign w:val="bottom"/>
          </w:tcPr>
          <w:p>
            <w:pPr>
              <w:spacing w:after="0"/>
              <w:rPr>
                <w:sz w:val="14"/>
                <w:szCs w:val="14"/>
                <w:color w:val="auto"/>
              </w:rPr>
            </w:pPr>
          </w:p>
        </w:tc>
        <w:tc>
          <w:tcPr>
            <w:tcW w:w="1660" w:type="dxa"/>
            <w:vAlign w:val="bottom"/>
          </w:tcPr>
          <w:p>
            <w:pPr>
              <w:jc w:val="center"/>
              <w:ind w:left="56"/>
              <w:spacing w:after="0"/>
              <w:rPr>
                <w:sz w:val="20"/>
                <w:szCs w:val="20"/>
                <w:color w:val="auto"/>
              </w:rPr>
            </w:pPr>
            <w:r>
              <w:rPr>
                <w:rFonts w:ascii="Arial" w:cs="Arial" w:eastAsia="Arial" w:hAnsi="Arial"/>
                <w:sz w:val="13"/>
                <w:szCs w:val="13"/>
                <w:color w:val="auto"/>
                <w:w w:val="96"/>
              </w:rPr>
              <w:t>10</w:t>
            </w:r>
          </w:p>
        </w:tc>
        <w:tc>
          <w:tcPr>
            <w:tcW w:w="220" w:type="dxa"/>
            <w:vAlign w:val="bottom"/>
          </w:tcPr>
          <w:p>
            <w:pPr>
              <w:spacing w:after="0"/>
              <w:rPr>
                <w:sz w:val="14"/>
                <w:szCs w:val="14"/>
                <w:color w:val="auto"/>
              </w:rPr>
            </w:pPr>
          </w:p>
        </w:tc>
        <w:tc>
          <w:tcPr>
            <w:tcW w:w="1880" w:type="dxa"/>
            <w:vAlign w:val="bottom"/>
            <w:gridSpan w:val="2"/>
          </w:tcPr>
          <w:p>
            <w:pPr>
              <w:jc w:val="right"/>
              <w:ind w:right="220"/>
              <w:spacing w:after="0"/>
              <w:rPr>
                <w:sz w:val="20"/>
                <w:szCs w:val="20"/>
                <w:color w:val="auto"/>
              </w:rPr>
            </w:pPr>
            <w:r>
              <w:rPr>
                <w:rFonts w:ascii="Arial" w:cs="Arial" w:eastAsia="Arial" w:hAnsi="Arial"/>
                <w:sz w:val="13"/>
                <w:szCs w:val="13"/>
                <w:color w:val="auto"/>
              </w:rPr>
              <w:t>35,000</w:t>
            </w:r>
          </w:p>
        </w:tc>
        <w:tc>
          <w:tcPr>
            <w:tcW w:w="360" w:type="dxa"/>
            <w:vAlign w:val="bottom"/>
          </w:tcPr>
          <w:p>
            <w:pPr>
              <w:spacing w:after="0"/>
              <w:rPr>
                <w:sz w:val="14"/>
                <w:szCs w:val="14"/>
                <w:color w:val="auto"/>
              </w:rPr>
            </w:pPr>
          </w:p>
        </w:tc>
        <w:tc>
          <w:tcPr>
            <w:tcW w:w="126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460" w:type="dxa"/>
            <w:vAlign w:val="bottom"/>
          </w:tcPr>
          <w:p>
            <w:pPr>
              <w:spacing w:after="0"/>
              <w:rPr>
                <w:sz w:val="14"/>
                <w:szCs w:val="14"/>
                <w:color w:val="auto"/>
              </w:rPr>
            </w:pPr>
          </w:p>
        </w:tc>
        <w:tc>
          <w:tcPr>
            <w:tcW w:w="138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480" w:type="dxa"/>
            <w:vAlign w:val="bottom"/>
          </w:tcPr>
          <w:p>
            <w:pPr>
              <w:spacing w:after="0"/>
              <w:rPr>
                <w:sz w:val="14"/>
                <w:szCs w:val="14"/>
                <w:color w:val="auto"/>
              </w:rPr>
            </w:pPr>
          </w:p>
        </w:tc>
        <w:tc>
          <w:tcPr>
            <w:tcW w:w="136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620" w:type="dxa"/>
            <w:vAlign w:val="bottom"/>
            <w:gridSpan w:val="2"/>
          </w:tcPr>
          <w:p>
            <w:pPr>
              <w:jc w:val="right"/>
              <w:ind w:right="100"/>
              <w:spacing w:after="0"/>
              <w:rPr>
                <w:sz w:val="20"/>
                <w:szCs w:val="20"/>
                <w:color w:val="auto"/>
              </w:rPr>
            </w:pPr>
            <w:r>
              <w:rPr>
                <w:rFonts w:ascii="Arial" w:cs="Arial" w:eastAsia="Arial" w:hAnsi="Arial"/>
                <w:sz w:val="13"/>
                <w:szCs w:val="13"/>
                <w:color w:val="auto"/>
              </w:rPr>
              <w:t>35,000</w:t>
            </w:r>
          </w:p>
        </w:tc>
        <w:tc>
          <w:tcPr>
            <w:tcW w:w="360" w:type="dxa"/>
            <w:vAlign w:val="bottom"/>
          </w:tcPr>
          <w:p>
            <w:pPr>
              <w:spacing w:after="0"/>
              <w:rPr>
                <w:sz w:val="14"/>
                <w:szCs w:val="14"/>
                <w:color w:val="auto"/>
              </w:rPr>
            </w:pPr>
          </w:p>
        </w:tc>
      </w:tr>
      <w:tr>
        <w:trPr>
          <w:trHeight w:val="163"/>
        </w:trPr>
        <w:tc>
          <w:tcPr>
            <w:tcW w:w="220" w:type="dxa"/>
            <w:vAlign w:val="bottom"/>
          </w:tcPr>
          <w:p>
            <w:pPr>
              <w:spacing w:after="0"/>
              <w:rPr>
                <w:sz w:val="14"/>
                <w:szCs w:val="14"/>
                <w:color w:val="auto"/>
              </w:rPr>
            </w:pPr>
          </w:p>
        </w:tc>
        <w:tc>
          <w:tcPr>
            <w:tcW w:w="1880" w:type="dxa"/>
            <w:vAlign w:val="bottom"/>
            <w:tcBorders>
              <w:top w:val="single" w:sz="8" w:color="CCEEFF"/>
              <w:bottom w:val="single" w:sz="8" w:color="CCEEFF"/>
            </w:tcBorders>
            <w:gridSpan w:val="2"/>
            <w:shd w:val="clear" w:color="auto" w:fill="CCEEFF"/>
          </w:tcPr>
          <w:p>
            <w:pPr>
              <w:spacing w:after="0" w:line="143" w:lineRule="exact"/>
              <w:rPr>
                <w:sz w:val="20"/>
                <w:szCs w:val="20"/>
                <w:color w:val="auto"/>
              </w:rPr>
            </w:pPr>
            <w:r>
              <w:rPr>
                <w:rFonts w:ascii="Arial" w:cs="Arial" w:eastAsia="Arial" w:hAnsi="Arial"/>
                <w:sz w:val="13"/>
                <w:szCs w:val="13"/>
                <w:color w:val="auto"/>
              </w:rPr>
              <w:t>Total</w:t>
            </w:r>
          </w:p>
        </w:tc>
        <w:tc>
          <w:tcPr>
            <w:tcW w:w="16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2,124,947</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360" w:type="dxa"/>
            <w:vAlign w:val="bottom"/>
            <w:tcBorders>
              <w:top w:val="single" w:sz="8" w:color="auto"/>
              <w:bottom w:val="single" w:sz="8" w:color="auto"/>
            </w:tcBorders>
            <w:shd w:val="clear" w:color="auto" w:fill="CCEEFF"/>
          </w:tcPr>
          <w:p>
            <w:pPr>
              <w:spacing w:after="0"/>
              <w:rPr>
                <w:sz w:val="14"/>
                <w:szCs w:val="14"/>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723,267</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460" w:type="dxa"/>
            <w:vAlign w:val="bottom"/>
            <w:tcBorders>
              <w:top w:val="single" w:sz="8" w:color="auto"/>
              <w:bottom w:val="single" w:sz="8" w:color="auto"/>
            </w:tcBorders>
            <w:shd w:val="clear" w:color="auto" w:fill="CCEEFF"/>
          </w:tcPr>
          <w:p>
            <w:pPr>
              <w:spacing w:after="0"/>
              <w:rPr>
                <w:sz w:val="14"/>
                <w:szCs w:val="14"/>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2,083,795</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480" w:type="dxa"/>
            <w:vAlign w:val="bottom"/>
            <w:tcBorders>
              <w:top w:val="single" w:sz="8" w:color="auto"/>
              <w:bottom w:val="single" w:sz="8" w:color="auto"/>
            </w:tcBorders>
            <w:shd w:val="clear" w:color="auto" w:fill="CCEEFF"/>
          </w:tcPr>
          <w:p>
            <w:pPr>
              <w:spacing w:after="0"/>
              <w:rPr>
                <w:sz w:val="14"/>
                <w:szCs w:val="14"/>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573,649</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5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5,505,658</w:t>
            </w: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c>
          <w:tcPr>
            <w:tcW w:w="360" w:type="dxa"/>
            <w:vAlign w:val="bottom"/>
          </w:tcPr>
          <w:p>
            <w:pPr>
              <w:spacing w:after="0"/>
              <w:rPr>
                <w:sz w:val="14"/>
                <w:szCs w:val="14"/>
                <w:color w:val="auto"/>
              </w:rPr>
            </w:pPr>
          </w:p>
        </w:tc>
      </w:tr>
      <w:tr>
        <w:trPr>
          <w:trHeight w:val="467"/>
        </w:trPr>
        <w:tc>
          <w:tcPr>
            <w:tcW w:w="220" w:type="dxa"/>
            <w:vAlign w:val="bottom"/>
            <w:tcBorders>
              <w:bottom w:val="single" w:sz="8" w:color="auto"/>
            </w:tcBorders>
          </w:tcPr>
          <w:p>
            <w:pPr>
              <w:spacing w:after="0"/>
              <w:rPr>
                <w:sz w:val="24"/>
                <w:szCs w:val="24"/>
                <w:color w:val="auto"/>
              </w:rPr>
            </w:pPr>
          </w:p>
        </w:tc>
        <w:tc>
          <w:tcPr>
            <w:tcW w:w="16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6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gridSpan w:val="2"/>
          </w:tcPr>
          <w:p>
            <w:pPr>
              <w:ind w:left="20"/>
              <w:spacing w:after="0"/>
              <w:rPr>
                <w:sz w:val="20"/>
                <w:szCs w:val="20"/>
                <w:color w:val="auto"/>
              </w:rPr>
            </w:pPr>
            <w:r>
              <w:rPr>
                <w:rFonts w:ascii="Arial" w:cs="Arial" w:eastAsia="Arial" w:hAnsi="Arial"/>
                <w:sz w:val="13"/>
                <w:szCs w:val="13"/>
                <w:color w:val="auto"/>
              </w:rPr>
              <w:t>F-43</w:t>
            </w:r>
          </w:p>
        </w:tc>
        <w:tc>
          <w:tcPr>
            <w:tcW w:w="11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5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r>
    </w:tbl>
    <w:p>
      <w:pPr>
        <w:sectPr>
          <w:pgSz w:w="11900" w:h="16838" w:orient="portrait"/>
          <w:cols w:equalWidth="0" w:num="1">
            <w:col w:w="11483"/>
          </w:cols>
          <w:pgMar w:left="217" w:top="685" w:right="199" w:bottom="1440" w:gutter="0" w:footer="0" w:header="0"/>
        </w:sectPr>
      </w:pPr>
    </w:p>
    <w:bookmarkStart w:id="168" w:name="page169"/>
    <w:bookmarkEnd w:id="168"/>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3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132"/>
        </w:numPr>
        <w:rPr>
          <w:rFonts w:ascii="Arial" w:cs="Arial" w:eastAsia="Arial" w:hAnsi="Arial"/>
          <w:sz w:val="13"/>
          <w:szCs w:val="13"/>
          <w:b w:val="1"/>
          <w:bCs w:val="1"/>
          <w:color w:val="auto"/>
        </w:rPr>
      </w:pPr>
      <w:r>
        <w:rPr>
          <w:rFonts w:ascii="Arial" w:cs="Arial" w:eastAsia="Arial" w:hAnsi="Arial"/>
          <w:sz w:val="13"/>
          <w:szCs w:val="13"/>
          <w:b w:val="1"/>
          <w:bCs w:val="1"/>
          <w:color w:val="auto"/>
        </w:rPr>
        <w:t>Loans (continued)</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following table provides a breakdown of loans classified by country risk:</w:t>
      </w:r>
    </w:p>
    <w:p>
      <w:pPr>
        <w:spacing w:after="0" w:line="155" w:lineRule="exact"/>
        <w:rPr>
          <w:sz w:val="20"/>
          <w:szCs w:val="20"/>
          <w:color w:val="auto"/>
        </w:rPr>
      </w:pPr>
    </w:p>
    <w:tbl>
      <w:tblPr>
        <w:tblLayout w:type="fixed"/>
        <w:tblInd w:w="3" w:type="dxa"/>
        <w:tblCellMar>
          <w:top w:w="0" w:type="dxa"/>
          <w:left w:w="0" w:type="dxa"/>
          <w:bottom w:w="0" w:type="dxa"/>
          <w:right w:w="0" w:type="dxa"/>
        </w:tblCellMar>
      </w:tblPr>
      <w:tr>
        <w:trPr>
          <w:trHeight w:val="164"/>
        </w:trPr>
        <w:tc>
          <w:tcPr>
            <w:tcW w:w="460" w:type="dxa"/>
            <w:vAlign w:val="bottom"/>
          </w:tcPr>
          <w:p>
            <w:pPr>
              <w:spacing w:after="0"/>
              <w:rPr>
                <w:sz w:val="14"/>
                <w:szCs w:val="14"/>
                <w:color w:val="auto"/>
              </w:rPr>
            </w:pPr>
          </w:p>
        </w:tc>
        <w:tc>
          <w:tcPr>
            <w:tcW w:w="3280" w:type="dxa"/>
            <w:vAlign w:val="bottom"/>
          </w:tcPr>
          <w:p>
            <w:pPr>
              <w:spacing w:after="0"/>
              <w:rPr>
                <w:sz w:val="14"/>
                <w:szCs w:val="14"/>
                <w:color w:val="auto"/>
              </w:rPr>
            </w:pPr>
          </w:p>
        </w:tc>
        <w:tc>
          <w:tcPr>
            <w:tcW w:w="4460" w:type="dxa"/>
            <w:vAlign w:val="bottom"/>
          </w:tcPr>
          <w:p>
            <w:pPr>
              <w:spacing w:after="0"/>
              <w:rPr>
                <w:sz w:val="14"/>
                <w:szCs w:val="14"/>
                <w:color w:val="auto"/>
              </w:rPr>
            </w:pPr>
          </w:p>
        </w:tc>
        <w:tc>
          <w:tcPr>
            <w:tcW w:w="1360" w:type="dxa"/>
            <w:vAlign w:val="bottom"/>
            <w:gridSpan w:val="2"/>
          </w:tcPr>
          <w:p>
            <w:pPr>
              <w:ind w:left="200"/>
              <w:spacing w:after="0"/>
              <w:rPr>
                <w:sz w:val="20"/>
                <w:szCs w:val="20"/>
                <w:color w:val="auto"/>
              </w:rPr>
            </w:pPr>
            <w:r>
              <w:rPr>
                <w:rFonts w:ascii="Arial" w:cs="Arial" w:eastAsia="Arial" w:hAnsi="Arial"/>
                <w:sz w:val="13"/>
                <w:szCs w:val="13"/>
                <w:b w:val="1"/>
                <w:bCs w:val="1"/>
                <w:color w:val="auto"/>
              </w:rPr>
              <w:t>December 31,</w:t>
            </w:r>
          </w:p>
        </w:tc>
        <w:tc>
          <w:tcPr>
            <w:tcW w:w="1220" w:type="dxa"/>
            <w:vAlign w:val="bottom"/>
            <w:gridSpan w:val="2"/>
          </w:tcPr>
          <w:p>
            <w:pPr>
              <w:jc w:val="right"/>
              <w:ind w:right="280"/>
              <w:spacing w:after="0"/>
              <w:rPr>
                <w:sz w:val="20"/>
                <w:szCs w:val="20"/>
                <w:color w:val="auto"/>
              </w:rPr>
            </w:pPr>
            <w:r>
              <w:rPr>
                <w:rFonts w:ascii="Arial" w:cs="Arial" w:eastAsia="Arial" w:hAnsi="Arial"/>
                <w:sz w:val="13"/>
                <w:szCs w:val="13"/>
                <w:b w:val="1"/>
                <w:bCs w:val="1"/>
                <w:color w:val="auto"/>
              </w:rPr>
              <w:t>December 31,</w:t>
            </w:r>
          </w:p>
        </w:tc>
        <w:tc>
          <w:tcPr>
            <w:tcW w:w="700" w:type="dxa"/>
            <w:vAlign w:val="bottom"/>
          </w:tcPr>
          <w:p>
            <w:pPr>
              <w:spacing w:after="0"/>
              <w:rPr>
                <w:sz w:val="14"/>
                <w:szCs w:val="14"/>
                <w:color w:val="auto"/>
              </w:rPr>
            </w:pPr>
          </w:p>
        </w:tc>
      </w:tr>
      <w:tr>
        <w:trPr>
          <w:trHeight w:val="166"/>
        </w:trPr>
        <w:tc>
          <w:tcPr>
            <w:tcW w:w="460" w:type="dxa"/>
            <w:vAlign w:val="bottom"/>
          </w:tcPr>
          <w:p>
            <w:pPr>
              <w:spacing w:after="0"/>
              <w:rPr>
                <w:sz w:val="14"/>
                <w:szCs w:val="14"/>
                <w:color w:val="auto"/>
              </w:rPr>
            </w:pPr>
          </w:p>
        </w:tc>
        <w:tc>
          <w:tcPr>
            <w:tcW w:w="3280" w:type="dxa"/>
            <w:vAlign w:val="bottom"/>
          </w:tcPr>
          <w:p>
            <w:pPr>
              <w:spacing w:after="0"/>
              <w:rPr>
                <w:sz w:val="14"/>
                <w:szCs w:val="14"/>
                <w:color w:val="auto"/>
              </w:rPr>
            </w:pPr>
          </w:p>
        </w:tc>
        <w:tc>
          <w:tcPr>
            <w:tcW w:w="5620" w:type="dxa"/>
            <w:vAlign w:val="bottom"/>
            <w:gridSpan w:val="2"/>
          </w:tcPr>
          <w:p>
            <w:pPr>
              <w:jc w:val="right"/>
              <w:ind w:right="396"/>
              <w:spacing w:after="0"/>
              <w:rPr>
                <w:sz w:val="20"/>
                <w:szCs w:val="20"/>
                <w:color w:val="auto"/>
              </w:rPr>
            </w:pPr>
            <w:r>
              <w:rPr>
                <w:rFonts w:ascii="Arial" w:cs="Arial" w:eastAsia="Arial" w:hAnsi="Arial"/>
                <w:sz w:val="13"/>
                <w:szCs w:val="13"/>
                <w:b w:val="1"/>
                <w:bCs w:val="1"/>
                <w:color w:val="auto"/>
              </w:rPr>
              <w:t>2018</w:t>
            </w:r>
          </w:p>
        </w:tc>
        <w:tc>
          <w:tcPr>
            <w:tcW w:w="200" w:type="dxa"/>
            <w:vAlign w:val="bottom"/>
          </w:tcPr>
          <w:p>
            <w:pPr>
              <w:spacing w:after="0"/>
              <w:rPr>
                <w:sz w:val="14"/>
                <w:szCs w:val="14"/>
                <w:color w:val="auto"/>
              </w:rPr>
            </w:pPr>
          </w:p>
        </w:tc>
        <w:tc>
          <w:tcPr>
            <w:tcW w:w="1120" w:type="dxa"/>
            <w:vAlign w:val="bottom"/>
          </w:tcPr>
          <w:p>
            <w:pPr>
              <w:jc w:val="right"/>
              <w:ind w:right="376"/>
              <w:spacing w:after="0"/>
              <w:rPr>
                <w:sz w:val="20"/>
                <w:szCs w:val="20"/>
                <w:color w:val="auto"/>
              </w:rPr>
            </w:pPr>
            <w:r>
              <w:rPr>
                <w:rFonts w:ascii="Arial" w:cs="Arial" w:eastAsia="Arial" w:hAnsi="Arial"/>
                <w:sz w:val="13"/>
                <w:szCs w:val="13"/>
                <w:b w:val="1"/>
                <w:bCs w:val="1"/>
                <w:color w:val="auto"/>
              </w:rPr>
              <w:t>2017</w:t>
            </w:r>
          </w:p>
        </w:tc>
        <w:tc>
          <w:tcPr>
            <w:tcW w:w="100" w:type="dxa"/>
            <w:vAlign w:val="bottom"/>
          </w:tcPr>
          <w:p>
            <w:pPr>
              <w:spacing w:after="0"/>
              <w:rPr>
                <w:sz w:val="14"/>
                <w:szCs w:val="14"/>
                <w:color w:val="auto"/>
              </w:rPr>
            </w:pPr>
          </w:p>
        </w:tc>
        <w:tc>
          <w:tcPr>
            <w:tcW w:w="700" w:type="dxa"/>
            <w:vAlign w:val="bottom"/>
          </w:tcPr>
          <w:p>
            <w:pPr>
              <w:spacing w:after="0"/>
              <w:rPr>
                <w:sz w:val="14"/>
                <w:szCs w:val="14"/>
                <w:color w:val="auto"/>
              </w:rPr>
            </w:pPr>
          </w:p>
        </w:tc>
      </w:tr>
      <w:tr>
        <w:trPr>
          <w:trHeight w:val="144"/>
        </w:trPr>
        <w:tc>
          <w:tcPr>
            <w:tcW w:w="460" w:type="dxa"/>
            <w:vAlign w:val="bottom"/>
          </w:tcPr>
          <w:p>
            <w:pPr>
              <w:spacing w:after="0"/>
              <w:rPr>
                <w:sz w:val="12"/>
                <w:szCs w:val="12"/>
                <w:color w:val="auto"/>
              </w:rPr>
            </w:pPr>
          </w:p>
        </w:tc>
        <w:tc>
          <w:tcPr>
            <w:tcW w:w="328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Country:</w:t>
            </w:r>
          </w:p>
        </w:tc>
        <w:tc>
          <w:tcPr>
            <w:tcW w:w="4460" w:type="dxa"/>
            <w:vAlign w:val="bottom"/>
            <w:tcBorders>
              <w:top w:val="single" w:sz="8" w:color="CCEEFF"/>
            </w:tcBorders>
            <w:shd w:val="clear" w:color="auto" w:fill="CCEEFF"/>
          </w:tcPr>
          <w:p>
            <w:pPr>
              <w:spacing w:after="0"/>
              <w:rPr>
                <w:sz w:val="12"/>
                <w:szCs w:val="12"/>
                <w:color w:val="auto"/>
              </w:rPr>
            </w:pPr>
          </w:p>
        </w:tc>
        <w:tc>
          <w:tcPr>
            <w:tcW w:w="116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12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700" w:type="dxa"/>
            <w:vAlign w:val="bottom"/>
          </w:tcPr>
          <w:p>
            <w:pPr>
              <w:spacing w:after="0"/>
              <w:rPr>
                <w:sz w:val="12"/>
                <w:szCs w:val="12"/>
                <w:color w:val="auto"/>
              </w:rPr>
            </w:pPr>
          </w:p>
        </w:tc>
      </w:tr>
      <w:tr>
        <w:trPr>
          <w:trHeight w:val="154"/>
        </w:trPr>
        <w:tc>
          <w:tcPr>
            <w:tcW w:w="460" w:type="dxa"/>
            <w:vAlign w:val="bottom"/>
          </w:tcPr>
          <w:p>
            <w:pPr>
              <w:spacing w:after="0"/>
              <w:rPr>
                <w:sz w:val="13"/>
                <w:szCs w:val="13"/>
                <w:color w:val="auto"/>
              </w:rPr>
            </w:pPr>
          </w:p>
        </w:tc>
        <w:tc>
          <w:tcPr>
            <w:tcW w:w="3280" w:type="dxa"/>
            <w:vAlign w:val="bottom"/>
          </w:tcPr>
          <w:p>
            <w:pPr>
              <w:ind w:left="120"/>
              <w:spacing w:after="0"/>
              <w:rPr>
                <w:sz w:val="20"/>
                <w:szCs w:val="20"/>
                <w:color w:val="auto"/>
              </w:rPr>
            </w:pPr>
            <w:r>
              <w:rPr>
                <w:rFonts w:ascii="Arial" w:cs="Arial" w:eastAsia="Arial" w:hAnsi="Arial"/>
                <w:sz w:val="13"/>
                <w:szCs w:val="13"/>
                <w:color w:val="auto"/>
              </w:rPr>
              <w:t>Brazil</w:t>
            </w:r>
          </w:p>
        </w:tc>
        <w:tc>
          <w:tcPr>
            <w:tcW w:w="5820" w:type="dxa"/>
            <w:vAlign w:val="bottom"/>
            <w:gridSpan w:val="3"/>
          </w:tcPr>
          <w:p>
            <w:pPr>
              <w:jc w:val="right"/>
              <w:ind w:right="200"/>
              <w:spacing w:after="0"/>
              <w:rPr>
                <w:sz w:val="20"/>
                <w:szCs w:val="20"/>
                <w:color w:val="auto"/>
              </w:rPr>
            </w:pPr>
            <w:r>
              <w:rPr>
                <w:rFonts w:ascii="Arial" w:cs="Arial" w:eastAsia="Arial" w:hAnsi="Arial"/>
                <w:sz w:val="13"/>
                <w:szCs w:val="13"/>
                <w:color w:val="auto"/>
              </w:rPr>
              <w:t>1,156,223</w:t>
            </w:r>
          </w:p>
        </w:tc>
        <w:tc>
          <w:tcPr>
            <w:tcW w:w="1120" w:type="dxa"/>
            <w:vAlign w:val="bottom"/>
          </w:tcPr>
          <w:p>
            <w:pPr>
              <w:jc w:val="right"/>
              <w:spacing w:after="0"/>
              <w:rPr>
                <w:sz w:val="20"/>
                <w:szCs w:val="20"/>
                <w:color w:val="auto"/>
              </w:rPr>
            </w:pPr>
            <w:r>
              <w:rPr>
                <w:rFonts w:ascii="Arial" w:cs="Arial" w:eastAsia="Arial" w:hAnsi="Arial"/>
                <w:sz w:val="13"/>
                <w:szCs w:val="13"/>
                <w:color w:val="auto"/>
              </w:rPr>
              <w:t>1,019,466</w:t>
            </w:r>
          </w:p>
        </w:tc>
        <w:tc>
          <w:tcPr>
            <w:tcW w:w="100" w:type="dxa"/>
            <w:vAlign w:val="bottom"/>
          </w:tcPr>
          <w:p>
            <w:pPr>
              <w:spacing w:after="0"/>
              <w:rPr>
                <w:sz w:val="13"/>
                <w:szCs w:val="13"/>
                <w:color w:val="auto"/>
              </w:rPr>
            </w:pPr>
          </w:p>
        </w:tc>
        <w:tc>
          <w:tcPr>
            <w:tcW w:w="700" w:type="dxa"/>
            <w:vAlign w:val="bottom"/>
          </w:tcPr>
          <w:p>
            <w:pPr>
              <w:spacing w:after="0"/>
              <w:rPr>
                <w:sz w:val="13"/>
                <w:szCs w:val="13"/>
                <w:color w:val="auto"/>
              </w:rPr>
            </w:pPr>
          </w:p>
        </w:tc>
      </w:tr>
      <w:tr>
        <w:trPr>
          <w:trHeight w:val="154"/>
        </w:trPr>
        <w:tc>
          <w:tcPr>
            <w:tcW w:w="460" w:type="dxa"/>
            <w:vAlign w:val="bottom"/>
          </w:tcPr>
          <w:p>
            <w:pPr>
              <w:spacing w:after="0"/>
              <w:rPr>
                <w:sz w:val="13"/>
                <w:szCs w:val="13"/>
                <w:color w:val="auto"/>
              </w:rPr>
            </w:pPr>
          </w:p>
        </w:tc>
        <w:tc>
          <w:tcPr>
            <w:tcW w:w="3280" w:type="dxa"/>
            <w:vAlign w:val="bottom"/>
            <w:shd w:val="clear" w:color="auto" w:fill="CCEEFF"/>
          </w:tcPr>
          <w:p>
            <w:pPr>
              <w:ind w:left="120"/>
              <w:spacing w:after="0"/>
              <w:rPr>
                <w:sz w:val="20"/>
                <w:szCs w:val="20"/>
                <w:color w:val="auto"/>
              </w:rPr>
            </w:pPr>
            <w:r>
              <w:rPr>
                <w:rFonts w:ascii="Arial" w:cs="Arial" w:eastAsia="Arial" w:hAnsi="Arial"/>
                <w:sz w:val="13"/>
                <w:szCs w:val="13"/>
                <w:color w:val="auto"/>
              </w:rPr>
              <w:t>Mexico</w:t>
            </w:r>
          </w:p>
        </w:tc>
        <w:tc>
          <w:tcPr>
            <w:tcW w:w="5820" w:type="dxa"/>
            <w:vAlign w:val="bottom"/>
            <w:gridSpan w:val="3"/>
            <w:shd w:val="clear" w:color="auto" w:fill="CCEEFF"/>
          </w:tcPr>
          <w:p>
            <w:pPr>
              <w:jc w:val="right"/>
              <w:ind w:right="200"/>
              <w:spacing w:after="0"/>
              <w:rPr>
                <w:sz w:val="20"/>
                <w:szCs w:val="20"/>
                <w:color w:val="auto"/>
              </w:rPr>
            </w:pPr>
            <w:r>
              <w:rPr>
                <w:rFonts w:ascii="Arial" w:cs="Arial" w:eastAsia="Arial" w:hAnsi="Arial"/>
                <w:sz w:val="13"/>
                <w:szCs w:val="13"/>
                <w:color w:val="auto"/>
              </w:rPr>
              <w:t>867,441</w:t>
            </w: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850,463</w:t>
            </w:r>
          </w:p>
        </w:tc>
        <w:tc>
          <w:tcPr>
            <w:tcW w:w="700" w:type="dxa"/>
            <w:vAlign w:val="bottom"/>
          </w:tcPr>
          <w:p>
            <w:pPr>
              <w:spacing w:after="0"/>
              <w:rPr>
                <w:sz w:val="13"/>
                <w:szCs w:val="13"/>
                <w:color w:val="auto"/>
              </w:rPr>
            </w:pPr>
          </w:p>
        </w:tc>
      </w:tr>
      <w:tr>
        <w:trPr>
          <w:trHeight w:val="154"/>
        </w:trPr>
        <w:tc>
          <w:tcPr>
            <w:tcW w:w="460" w:type="dxa"/>
            <w:vAlign w:val="bottom"/>
          </w:tcPr>
          <w:p>
            <w:pPr>
              <w:spacing w:after="0"/>
              <w:rPr>
                <w:sz w:val="13"/>
                <w:szCs w:val="13"/>
                <w:color w:val="auto"/>
              </w:rPr>
            </w:pPr>
          </w:p>
        </w:tc>
        <w:tc>
          <w:tcPr>
            <w:tcW w:w="3280" w:type="dxa"/>
            <w:vAlign w:val="bottom"/>
          </w:tcPr>
          <w:p>
            <w:pPr>
              <w:ind w:left="120"/>
              <w:spacing w:after="0"/>
              <w:rPr>
                <w:sz w:val="20"/>
                <w:szCs w:val="20"/>
                <w:color w:val="auto"/>
              </w:rPr>
            </w:pPr>
            <w:r>
              <w:rPr>
                <w:rFonts w:ascii="Arial" w:cs="Arial" w:eastAsia="Arial" w:hAnsi="Arial"/>
                <w:sz w:val="13"/>
                <w:szCs w:val="13"/>
                <w:color w:val="auto"/>
              </w:rPr>
              <w:t>Colombia</w:t>
            </w:r>
          </w:p>
        </w:tc>
        <w:tc>
          <w:tcPr>
            <w:tcW w:w="5820" w:type="dxa"/>
            <w:vAlign w:val="bottom"/>
            <w:gridSpan w:val="3"/>
          </w:tcPr>
          <w:p>
            <w:pPr>
              <w:jc w:val="right"/>
              <w:ind w:right="200"/>
              <w:spacing w:after="0"/>
              <w:rPr>
                <w:sz w:val="20"/>
                <w:szCs w:val="20"/>
                <w:color w:val="auto"/>
              </w:rPr>
            </w:pPr>
            <w:r>
              <w:rPr>
                <w:rFonts w:ascii="Arial" w:cs="Arial" w:eastAsia="Arial" w:hAnsi="Arial"/>
                <w:sz w:val="13"/>
                <w:szCs w:val="13"/>
                <w:color w:val="auto"/>
              </w:rPr>
              <w:t>625,932</w:t>
            </w:r>
          </w:p>
        </w:tc>
        <w:tc>
          <w:tcPr>
            <w:tcW w:w="1220" w:type="dxa"/>
            <w:vAlign w:val="bottom"/>
            <w:gridSpan w:val="2"/>
          </w:tcPr>
          <w:p>
            <w:pPr>
              <w:jc w:val="right"/>
              <w:ind w:right="100"/>
              <w:spacing w:after="0"/>
              <w:rPr>
                <w:sz w:val="20"/>
                <w:szCs w:val="20"/>
                <w:color w:val="auto"/>
              </w:rPr>
            </w:pPr>
            <w:r>
              <w:rPr>
                <w:rFonts w:ascii="Arial" w:cs="Arial" w:eastAsia="Arial" w:hAnsi="Arial"/>
                <w:sz w:val="13"/>
                <w:szCs w:val="13"/>
                <w:color w:val="auto"/>
              </w:rPr>
              <w:t>829,136</w:t>
            </w:r>
          </w:p>
        </w:tc>
        <w:tc>
          <w:tcPr>
            <w:tcW w:w="700" w:type="dxa"/>
            <w:vAlign w:val="bottom"/>
          </w:tcPr>
          <w:p>
            <w:pPr>
              <w:spacing w:after="0"/>
              <w:rPr>
                <w:sz w:val="13"/>
                <w:szCs w:val="13"/>
                <w:color w:val="auto"/>
              </w:rPr>
            </w:pPr>
          </w:p>
        </w:tc>
      </w:tr>
      <w:tr>
        <w:trPr>
          <w:trHeight w:val="154"/>
        </w:trPr>
        <w:tc>
          <w:tcPr>
            <w:tcW w:w="460" w:type="dxa"/>
            <w:vAlign w:val="bottom"/>
          </w:tcPr>
          <w:p>
            <w:pPr>
              <w:spacing w:after="0"/>
              <w:rPr>
                <w:sz w:val="13"/>
                <w:szCs w:val="13"/>
                <w:color w:val="auto"/>
              </w:rPr>
            </w:pPr>
          </w:p>
        </w:tc>
        <w:tc>
          <w:tcPr>
            <w:tcW w:w="3280" w:type="dxa"/>
            <w:vAlign w:val="bottom"/>
            <w:shd w:val="clear" w:color="auto" w:fill="CCEEFF"/>
          </w:tcPr>
          <w:p>
            <w:pPr>
              <w:ind w:left="120"/>
              <w:spacing w:after="0"/>
              <w:rPr>
                <w:sz w:val="20"/>
                <w:szCs w:val="20"/>
                <w:color w:val="auto"/>
              </w:rPr>
            </w:pPr>
            <w:r>
              <w:rPr>
                <w:rFonts w:ascii="Arial" w:cs="Arial" w:eastAsia="Arial" w:hAnsi="Arial"/>
                <w:sz w:val="13"/>
                <w:szCs w:val="13"/>
                <w:color w:val="auto"/>
              </w:rPr>
              <w:t>Argentina</w:t>
            </w:r>
          </w:p>
        </w:tc>
        <w:tc>
          <w:tcPr>
            <w:tcW w:w="5820" w:type="dxa"/>
            <w:vAlign w:val="bottom"/>
            <w:gridSpan w:val="3"/>
            <w:shd w:val="clear" w:color="auto" w:fill="CCEEFF"/>
          </w:tcPr>
          <w:p>
            <w:pPr>
              <w:jc w:val="right"/>
              <w:ind w:right="200"/>
              <w:spacing w:after="0"/>
              <w:rPr>
                <w:sz w:val="20"/>
                <w:szCs w:val="20"/>
                <w:color w:val="auto"/>
              </w:rPr>
            </w:pPr>
            <w:r>
              <w:rPr>
                <w:rFonts w:ascii="Arial" w:cs="Arial" w:eastAsia="Arial" w:hAnsi="Arial"/>
                <w:sz w:val="13"/>
                <w:szCs w:val="13"/>
                <w:color w:val="auto"/>
              </w:rPr>
              <w:t>604,112</w:t>
            </w: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294,613</w:t>
            </w:r>
          </w:p>
        </w:tc>
        <w:tc>
          <w:tcPr>
            <w:tcW w:w="700" w:type="dxa"/>
            <w:vAlign w:val="bottom"/>
          </w:tcPr>
          <w:p>
            <w:pPr>
              <w:spacing w:after="0"/>
              <w:rPr>
                <w:sz w:val="13"/>
                <w:szCs w:val="13"/>
                <w:color w:val="auto"/>
              </w:rPr>
            </w:pPr>
          </w:p>
        </w:tc>
      </w:tr>
      <w:tr>
        <w:trPr>
          <w:trHeight w:val="154"/>
        </w:trPr>
        <w:tc>
          <w:tcPr>
            <w:tcW w:w="460" w:type="dxa"/>
            <w:vAlign w:val="bottom"/>
          </w:tcPr>
          <w:p>
            <w:pPr>
              <w:spacing w:after="0"/>
              <w:rPr>
                <w:sz w:val="13"/>
                <w:szCs w:val="13"/>
                <w:color w:val="auto"/>
              </w:rPr>
            </w:pPr>
          </w:p>
        </w:tc>
        <w:tc>
          <w:tcPr>
            <w:tcW w:w="3280" w:type="dxa"/>
            <w:vAlign w:val="bottom"/>
          </w:tcPr>
          <w:p>
            <w:pPr>
              <w:ind w:left="120"/>
              <w:spacing w:after="0"/>
              <w:rPr>
                <w:sz w:val="20"/>
                <w:szCs w:val="20"/>
                <w:color w:val="auto"/>
              </w:rPr>
            </w:pPr>
            <w:r>
              <w:rPr>
                <w:rFonts w:ascii="Arial" w:cs="Arial" w:eastAsia="Arial" w:hAnsi="Arial"/>
                <w:sz w:val="13"/>
                <w:szCs w:val="13"/>
                <w:color w:val="auto"/>
              </w:rPr>
              <w:t>Panama</w:t>
            </w:r>
          </w:p>
        </w:tc>
        <w:tc>
          <w:tcPr>
            <w:tcW w:w="5820" w:type="dxa"/>
            <w:vAlign w:val="bottom"/>
            <w:gridSpan w:val="3"/>
          </w:tcPr>
          <w:p>
            <w:pPr>
              <w:jc w:val="right"/>
              <w:ind w:right="200"/>
              <w:spacing w:after="0"/>
              <w:rPr>
                <w:sz w:val="20"/>
                <w:szCs w:val="20"/>
                <w:color w:val="auto"/>
              </w:rPr>
            </w:pPr>
            <w:r>
              <w:rPr>
                <w:rFonts w:ascii="Arial" w:cs="Arial" w:eastAsia="Arial" w:hAnsi="Arial"/>
                <w:sz w:val="13"/>
                <w:szCs w:val="13"/>
                <w:color w:val="auto"/>
              </w:rPr>
              <w:t>485,546</w:t>
            </w:r>
          </w:p>
        </w:tc>
        <w:tc>
          <w:tcPr>
            <w:tcW w:w="1220" w:type="dxa"/>
            <w:vAlign w:val="bottom"/>
            <w:gridSpan w:val="2"/>
          </w:tcPr>
          <w:p>
            <w:pPr>
              <w:jc w:val="right"/>
              <w:ind w:right="100"/>
              <w:spacing w:after="0"/>
              <w:rPr>
                <w:sz w:val="20"/>
                <w:szCs w:val="20"/>
                <w:color w:val="auto"/>
              </w:rPr>
            </w:pPr>
            <w:r>
              <w:rPr>
                <w:rFonts w:ascii="Arial" w:cs="Arial" w:eastAsia="Arial" w:hAnsi="Arial"/>
                <w:sz w:val="13"/>
                <w:szCs w:val="13"/>
                <w:color w:val="auto"/>
              </w:rPr>
              <w:t>500,134</w:t>
            </w:r>
          </w:p>
        </w:tc>
        <w:tc>
          <w:tcPr>
            <w:tcW w:w="700" w:type="dxa"/>
            <w:vAlign w:val="bottom"/>
          </w:tcPr>
          <w:p>
            <w:pPr>
              <w:spacing w:after="0"/>
              <w:rPr>
                <w:sz w:val="13"/>
                <w:szCs w:val="13"/>
                <w:color w:val="auto"/>
              </w:rPr>
            </w:pPr>
          </w:p>
        </w:tc>
      </w:tr>
      <w:tr>
        <w:trPr>
          <w:trHeight w:val="154"/>
        </w:trPr>
        <w:tc>
          <w:tcPr>
            <w:tcW w:w="460" w:type="dxa"/>
            <w:vAlign w:val="bottom"/>
          </w:tcPr>
          <w:p>
            <w:pPr>
              <w:spacing w:after="0"/>
              <w:rPr>
                <w:sz w:val="13"/>
                <w:szCs w:val="13"/>
                <w:color w:val="auto"/>
              </w:rPr>
            </w:pPr>
          </w:p>
        </w:tc>
        <w:tc>
          <w:tcPr>
            <w:tcW w:w="3280" w:type="dxa"/>
            <w:vAlign w:val="bottom"/>
            <w:shd w:val="clear" w:color="auto" w:fill="CCEEFF"/>
          </w:tcPr>
          <w:p>
            <w:pPr>
              <w:ind w:left="120"/>
              <w:spacing w:after="0"/>
              <w:rPr>
                <w:sz w:val="20"/>
                <w:szCs w:val="20"/>
                <w:color w:val="auto"/>
              </w:rPr>
            </w:pPr>
            <w:r>
              <w:rPr>
                <w:rFonts w:ascii="Arial" w:cs="Arial" w:eastAsia="Arial" w:hAnsi="Arial"/>
                <w:sz w:val="13"/>
                <w:szCs w:val="13"/>
                <w:color w:val="auto"/>
              </w:rPr>
              <w:t>Costa Rica</w:t>
            </w:r>
          </w:p>
        </w:tc>
        <w:tc>
          <w:tcPr>
            <w:tcW w:w="5820" w:type="dxa"/>
            <w:vAlign w:val="bottom"/>
            <w:gridSpan w:val="3"/>
            <w:shd w:val="clear" w:color="auto" w:fill="CCEEFF"/>
          </w:tcPr>
          <w:p>
            <w:pPr>
              <w:jc w:val="right"/>
              <w:ind w:right="200"/>
              <w:spacing w:after="0"/>
              <w:rPr>
                <w:sz w:val="20"/>
                <w:szCs w:val="20"/>
                <w:color w:val="auto"/>
              </w:rPr>
            </w:pPr>
            <w:r>
              <w:rPr>
                <w:rFonts w:ascii="Arial" w:cs="Arial" w:eastAsia="Arial" w:hAnsi="Arial"/>
                <w:sz w:val="13"/>
                <w:szCs w:val="13"/>
                <w:color w:val="auto"/>
              </w:rPr>
              <w:t>370,087</w:t>
            </w: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356,459</w:t>
            </w:r>
          </w:p>
        </w:tc>
        <w:tc>
          <w:tcPr>
            <w:tcW w:w="700" w:type="dxa"/>
            <w:vAlign w:val="bottom"/>
          </w:tcPr>
          <w:p>
            <w:pPr>
              <w:spacing w:after="0"/>
              <w:rPr>
                <w:sz w:val="13"/>
                <w:szCs w:val="13"/>
                <w:color w:val="auto"/>
              </w:rPr>
            </w:pPr>
          </w:p>
        </w:tc>
      </w:tr>
      <w:tr>
        <w:trPr>
          <w:trHeight w:val="154"/>
        </w:trPr>
        <w:tc>
          <w:tcPr>
            <w:tcW w:w="460" w:type="dxa"/>
            <w:vAlign w:val="bottom"/>
          </w:tcPr>
          <w:p>
            <w:pPr>
              <w:spacing w:after="0"/>
              <w:rPr>
                <w:sz w:val="13"/>
                <w:szCs w:val="13"/>
                <w:color w:val="auto"/>
              </w:rPr>
            </w:pPr>
          </w:p>
        </w:tc>
        <w:tc>
          <w:tcPr>
            <w:tcW w:w="3280" w:type="dxa"/>
            <w:vAlign w:val="bottom"/>
          </w:tcPr>
          <w:p>
            <w:pPr>
              <w:ind w:left="120"/>
              <w:spacing w:after="0"/>
              <w:rPr>
                <w:sz w:val="20"/>
                <w:szCs w:val="20"/>
                <w:color w:val="auto"/>
              </w:rPr>
            </w:pPr>
            <w:r>
              <w:rPr>
                <w:rFonts w:ascii="Arial" w:cs="Arial" w:eastAsia="Arial" w:hAnsi="Arial"/>
                <w:sz w:val="13"/>
                <w:szCs w:val="13"/>
                <w:color w:val="auto"/>
              </w:rPr>
              <w:t>Guatemala</w:t>
            </w:r>
          </w:p>
        </w:tc>
        <w:tc>
          <w:tcPr>
            <w:tcW w:w="5820" w:type="dxa"/>
            <w:vAlign w:val="bottom"/>
            <w:gridSpan w:val="3"/>
          </w:tcPr>
          <w:p>
            <w:pPr>
              <w:jc w:val="right"/>
              <w:ind w:right="200"/>
              <w:spacing w:after="0"/>
              <w:rPr>
                <w:sz w:val="20"/>
                <w:szCs w:val="20"/>
                <w:color w:val="auto"/>
              </w:rPr>
            </w:pPr>
            <w:r>
              <w:rPr>
                <w:rFonts w:ascii="Arial" w:cs="Arial" w:eastAsia="Arial" w:hAnsi="Arial"/>
                <w:sz w:val="13"/>
                <w:szCs w:val="13"/>
                <w:color w:val="auto"/>
              </w:rPr>
              <w:t>328,830</w:t>
            </w:r>
          </w:p>
        </w:tc>
        <w:tc>
          <w:tcPr>
            <w:tcW w:w="1220" w:type="dxa"/>
            <w:vAlign w:val="bottom"/>
            <w:gridSpan w:val="2"/>
          </w:tcPr>
          <w:p>
            <w:pPr>
              <w:jc w:val="right"/>
              <w:ind w:right="100"/>
              <w:spacing w:after="0"/>
              <w:rPr>
                <w:sz w:val="20"/>
                <w:szCs w:val="20"/>
                <w:color w:val="auto"/>
              </w:rPr>
            </w:pPr>
            <w:r>
              <w:rPr>
                <w:rFonts w:ascii="Arial" w:cs="Arial" w:eastAsia="Arial" w:hAnsi="Arial"/>
                <w:sz w:val="13"/>
                <w:szCs w:val="13"/>
                <w:color w:val="auto"/>
              </w:rPr>
              <w:t>309,024</w:t>
            </w:r>
          </w:p>
        </w:tc>
        <w:tc>
          <w:tcPr>
            <w:tcW w:w="700" w:type="dxa"/>
            <w:vAlign w:val="bottom"/>
          </w:tcPr>
          <w:p>
            <w:pPr>
              <w:spacing w:after="0"/>
              <w:rPr>
                <w:sz w:val="13"/>
                <w:szCs w:val="13"/>
                <w:color w:val="auto"/>
              </w:rPr>
            </w:pPr>
          </w:p>
        </w:tc>
      </w:tr>
      <w:tr>
        <w:trPr>
          <w:trHeight w:val="154"/>
        </w:trPr>
        <w:tc>
          <w:tcPr>
            <w:tcW w:w="460" w:type="dxa"/>
            <w:vAlign w:val="bottom"/>
          </w:tcPr>
          <w:p>
            <w:pPr>
              <w:spacing w:after="0"/>
              <w:rPr>
                <w:sz w:val="13"/>
                <w:szCs w:val="13"/>
                <w:color w:val="auto"/>
              </w:rPr>
            </w:pPr>
          </w:p>
        </w:tc>
        <w:tc>
          <w:tcPr>
            <w:tcW w:w="3280" w:type="dxa"/>
            <w:vAlign w:val="bottom"/>
            <w:shd w:val="clear" w:color="auto" w:fill="CCEEFF"/>
          </w:tcPr>
          <w:p>
            <w:pPr>
              <w:ind w:left="120"/>
              <w:spacing w:after="0"/>
              <w:rPr>
                <w:sz w:val="20"/>
                <w:szCs w:val="20"/>
                <w:color w:val="auto"/>
              </w:rPr>
            </w:pPr>
            <w:r>
              <w:rPr>
                <w:rFonts w:ascii="Arial" w:cs="Arial" w:eastAsia="Arial" w:hAnsi="Arial"/>
                <w:sz w:val="13"/>
                <w:szCs w:val="13"/>
                <w:color w:val="auto"/>
              </w:rPr>
              <w:t>Dominican Republic</w:t>
            </w:r>
          </w:p>
        </w:tc>
        <w:tc>
          <w:tcPr>
            <w:tcW w:w="5820" w:type="dxa"/>
            <w:vAlign w:val="bottom"/>
            <w:gridSpan w:val="3"/>
            <w:shd w:val="clear" w:color="auto" w:fill="CCEEFF"/>
          </w:tcPr>
          <w:p>
            <w:pPr>
              <w:jc w:val="right"/>
              <w:ind w:right="200"/>
              <w:spacing w:after="0"/>
              <w:rPr>
                <w:sz w:val="20"/>
                <w:szCs w:val="20"/>
                <w:color w:val="auto"/>
              </w:rPr>
            </w:pPr>
            <w:r>
              <w:rPr>
                <w:rFonts w:ascii="Arial" w:cs="Arial" w:eastAsia="Arial" w:hAnsi="Arial"/>
                <w:sz w:val="13"/>
                <w:szCs w:val="13"/>
                <w:color w:val="auto"/>
              </w:rPr>
              <w:t>301,067</w:t>
            </w: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249,926</w:t>
            </w:r>
          </w:p>
        </w:tc>
        <w:tc>
          <w:tcPr>
            <w:tcW w:w="700" w:type="dxa"/>
            <w:vAlign w:val="bottom"/>
          </w:tcPr>
          <w:p>
            <w:pPr>
              <w:spacing w:after="0"/>
              <w:rPr>
                <w:sz w:val="13"/>
                <w:szCs w:val="13"/>
                <w:color w:val="auto"/>
              </w:rPr>
            </w:pPr>
          </w:p>
        </w:tc>
      </w:tr>
      <w:tr>
        <w:trPr>
          <w:trHeight w:val="154"/>
        </w:trPr>
        <w:tc>
          <w:tcPr>
            <w:tcW w:w="460" w:type="dxa"/>
            <w:vAlign w:val="bottom"/>
          </w:tcPr>
          <w:p>
            <w:pPr>
              <w:spacing w:after="0"/>
              <w:rPr>
                <w:sz w:val="13"/>
                <w:szCs w:val="13"/>
                <w:color w:val="auto"/>
              </w:rPr>
            </w:pPr>
          </w:p>
        </w:tc>
        <w:tc>
          <w:tcPr>
            <w:tcW w:w="3280" w:type="dxa"/>
            <w:vAlign w:val="bottom"/>
          </w:tcPr>
          <w:p>
            <w:pPr>
              <w:ind w:left="120"/>
              <w:spacing w:after="0"/>
              <w:rPr>
                <w:sz w:val="20"/>
                <w:szCs w:val="20"/>
                <w:color w:val="auto"/>
              </w:rPr>
            </w:pPr>
            <w:r>
              <w:rPr>
                <w:rFonts w:ascii="Arial" w:cs="Arial" w:eastAsia="Arial" w:hAnsi="Arial"/>
                <w:sz w:val="13"/>
                <w:szCs w:val="13"/>
                <w:color w:val="auto"/>
              </w:rPr>
              <w:t>Ecuador</w:t>
            </w:r>
          </w:p>
        </w:tc>
        <w:tc>
          <w:tcPr>
            <w:tcW w:w="5820" w:type="dxa"/>
            <w:vAlign w:val="bottom"/>
            <w:gridSpan w:val="3"/>
          </w:tcPr>
          <w:p>
            <w:pPr>
              <w:jc w:val="right"/>
              <w:ind w:right="200"/>
              <w:spacing w:after="0"/>
              <w:rPr>
                <w:sz w:val="20"/>
                <w:szCs w:val="20"/>
                <w:color w:val="auto"/>
              </w:rPr>
            </w:pPr>
            <w:r>
              <w:rPr>
                <w:rFonts w:ascii="Arial" w:cs="Arial" w:eastAsia="Arial" w:hAnsi="Arial"/>
                <w:sz w:val="13"/>
                <w:szCs w:val="13"/>
                <w:color w:val="auto"/>
              </w:rPr>
              <w:t>188,445</w:t>
            </w:r>
          </w:p>
        </w:tc>
        <w:tc>
          <w:tcPr>
            <w:tcW w:w="1220" w:type="dxa"/>
            <w:vAlign w:val="bottom"/>
            <w:gridSpan w:val="2"/>
          </w:tcPr>
          <w:p>
            <w:pPr>
              <w:jc w:val="right"/>
              <w:ind w:right="100"/>
              <w:spacing w:after="0"/>
              <w:rPr>
                <w:sz w:val="20"/>
                <w:szCs w:val="20"/>
                <w:color w:val="auto"/>
              </w:rPr>
            </w:pPr>
            <w:r>
              <w:rPr>
                <w:rFonts w:ascii="Arial" w:cs="Arial" w:eastAsia="Arial" w:hAnsi="Arial"/>
                <w:sz w:val="13"/>
                <w:szCs w:val="13"/>
                <w:color w:val="auto"/>
              </w:rPr>
              <w:t>94,315</w:t>
            </w:r>
          </w:p>
        </w:tc>
        <w:tc>
          <w:tcPr>
            <w:tcW w:w="700" w:type="dxa"/>
            <w:vAlign w:val="bottom"/>
          </w:tcPr>
          <w:p>
            <w:pPr>
              <w:spacing w:after="0"/>
              <w:rPr>
                <w:sz w:val="13"/>
                <w:szCs w:val="13"/>
                <w:color w:val="auto"/>
              </w:rPr>
            </w:pPr>
          </w:p>
        </w:tc>
      </w:tr>
      <w:tr>
        <w:trPr>
          <w:trHeight w:val="154"/>
        </w:trPr>
        <w:tc>
          <w:tcPr>
            <w:tcW w:w="460" w:type="dxa"/>
            <w:vAlign w:val="bottom"/>
          </w:tcPr>
          <w:p>
            <w:pPr>
              <w:spacing w:after="0"/>
              <w:rPr>
                <w:sz w:val="13"/>
                <w:szCs w:val="13"/>
                <w:color w:val="auto"/>
              </w:rPr>
            </w:pPr>
          </w:p>
        </w:tc>
        <w:tc>
          <w:tcPr>
            <w:tcW w:w="3280" w:type="dxa"/>
            <w:vAlign w:val="bottom"/>
            <w:shd w:val="clear" w:color="auto" w:fill="CCEEFF"/>
          </w:tcPr>
          <w:p>
            <w:pPr>
              <w:ind w:left="120"/>
              <w:spacing w:after="0"/>
              <w:rPr>
                <w:sz w:val="20"/>
                <w:szCs w:val="20"/>
                <w:color w:val="auto"/>
              </w:rPr>
            </w:pPr>
            <w:r>
              <w:rPr>
                <w:rFonts w:ascii="Arial" w:cs="Arial" w:eastAsia="Arial" w:hAnsi="Arial"/>
                <w:sz w:val="13"/>
                <w:szCs w:val="13"/>
                <w:color w:val="auto"/>
              </w:rPr>
              <w:t>Chile</w:t>
            </w:r>
          </w:p>
        </w:tc>
        <w:tc>
          <w:tcPr>
            <w:tcW w:w="5820" w:type="dxa"/>
            <w:vAlign w:val="bottom"/>
            <w:gridSpan w:val="3"/>
            <w:shd w:val="clear" w:color="auto" w:fill="CCEEFF"/>
          </w:tcPr>
          <w:p>
            <w:pPr>
              <w:jc w:val="right"/>
              <w:ind w:right="200"/>
              <w:spacing w:after="0"/>
              <w:rPr>
                <w:sz w:val="20"/>
                <w:szCs w:val="20"/>
                <w:color w:val="auto"/>
              </w:rPr>
            </w:pPr>
            <w:r>
              <w:rPr>
                <w:rFonts w:ascii="Arial" w:cs="Arial" w:eastAsia="Arial" w:hAnsi="Arial"/>
                <w:sz w:val="13"/>
                <w:szCs w:val="13"/>
                <w:color w:val="auto"/>
              </w:rPr>
              <w:t>176,976</w:t>
            </w: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170,827</w:t>
            </w:r>
          </w:p>
        </w:tc>
        <w:tc>
          <w:tcPr>
            <w:tcW w:w="700" w:type="dxa"/>
            <w:vAlign w:val="bottom"/>
          </w:tcPr>
          <w:p>
            <w:pPr>
              <w:spacing w:after="0"/>
              <w:rPr>
                <w:sz w:val="13"/>
                <w:szCs w:val="13"/>
                <w:color w:val="auto"/>
              </w:rPr>
            </w:pPr>
          </w:p>
        </w:tc>
      </w:tr>
      <w:tr>
        <w:trPr>
          <w:trHeight w:val="154"/>
        </w:trPr>
        <w:tc>
          <w:tcPr>
            <w:tcW w:w="460" w:type="dxa"/>
            <w:vAlign w:val="bottom"/>
          </w:tcPr>
          <w:p>
            <w:pPr>
              <w:spacing w:after="0"/>
              <w:rPr>
                <w:sz w:val="13"/>
                <w:szCs w:val="13"/>
                <w:color w:val="auto"/>
              </w:rPr>
            </w:pPr>
          </w:p>
        </w:tc>
        <w:tc>
          <w:tcPr>
            <w:tcW w:w="3280" w:type="dxa"/>
            <w:vAlign w:val="bottom"/>
          </w:tcPr>
          <w:p>
            <w:pPr>
              <w:ind w:left="120"/>
              <w:spacing w:after="0"/>
              <w:rPr>
                <w:sz w:val="20"/>
                <w:szCs w:val="20"/>
                <w:color w:val="auto"/>
              </w:rPr>
            </w:pPr>
            <w:r>
              <w:rPr>
                <w:rFonts w:ascii="Arial" w:cs="Arial" w:eastAsia="Arial" w:hAnsi="Arial"/>
                <w:sz w:val="13"/>
                <w:szCs w:val="13"/>
                <w:color w:val="auto"/>
              </w:rPr>
              <w:t>Paraguay</w:t>
            </w:r>
          </w:p>
        </w:tc>
        <w:tc>
          <w:tcPr>
            <w:tcW w:w="5820" w:type="dxa"/>
            <w:vAlign w:val="bottom"/>
            <w:gridSpan w:val="3"/>
          </w:tcPr>
          <w:p>
            <w:pPr>
              <w:jc w:val="right"/>
              <w:ind w:right="200"/>
              <w:spacing w:after="0"/>
              <w:rPr>
                <w:sz w:val="20"/>
                <w:szCs w:val="20"/>
                <w:color w:val="auto"/>
              </w:rPr>
            </w:pPr>
            <w:r>
              <w:rPr>
                <w:rFonts w:ascii="Arial" w:cs="Arial" w:eastAsia="Arial" w:hAnsi="Arial"/>
                <w:sz w:val="13"/>
                <w:szCs w:val="13"/>
                <w:color w:val="auto"/>
              </w:rPr>
              <w:t>158,685</w:t>
            </w:r>
          </w:p>
        </w:tc>
        <w:tc>
          <w:tcPr>
            <w:tcW w:w="1220" w:type="dxa"/>
            <w:vAlign w:val="bottom"/>
            <w:gridSpan w:val="2"/>
          </w:tcPr>
          <w:p>
            <w:pPr>
              <w:jc w:val="right"/>
              <w:ind w:right="100"/>
              <w:spacing w:after="0"/>
              <w:rPr>
                <w:sz w:val="20"/>
                <w:szCs w:val="20"/>
                <w:color w:val="auto"/>
              </w:rPr>
            </w:pPr>
            <w:r>
              <w:rPr>
                <w:rFonts w:ascii="Arial" w:cs="Arial" w:eastAsia="Arial" w:hAnsi="Arial"/>
                <w:sz w:val="13"/>
                <w:szCs w:val="13"/>
                <w:color w:val="auto"/>
              </w:rPr>
              <w:t>59,536</w:t>
            </w:r>
          </w:p>
        </w:tc>
        <w:tc>
          <w:tcPr>
            <w:tcW w:w="700" w:type="dxa"/>
            <w:vAlign w:val="bottom"/>
          </w:tcPr>
          <w:p>
            <w:pPr>
              <w:spacing w:after="0"/>
              <w:rPr>
                <w:sz w:val="13"/>
                <w:szCs w:val="13"/>
                <w:color w:val="auto"/>
              </w:rPr>
            </w:pPr>
          </w:p>
        </w:tc>
      </w:tr>
      <w:tr>
        <w:trPr>
          <w:trHeight w:val="154"/>
        </w:trPr>
        <w:tc>
          <w:tcPr>
            <w:tcW w:w="460" w:type="dxa"/>
            <w:vAlign w:val="bottom"/>
          </w:tcPr>
          <w:p>
            <w:pPr>
              <w:spacing w:after="0"/>
              <w:rPr>
                <w:sz w:val="13"/>
                <w:szCs w:val="13"/>
                <w:color w:val="auto"/>
              </w:rPr>
            </w:pPr>
          </w:p>
        </w:tc>
        <w:tc>
          <w:tcPr>
            <w:tcW w:w="3280" w:type="dxa"/>
            <w:vAlign w:val="bottom"/>
            <w:shd w:val="clear" w:color="auto" w:fill="CCEEFF"/>
          </w:tcPr>
          <w:p>
            <w:pPr>
              <w:ind w:left="120"/>
              <w:spacing w:after="0"/>
              <w:rPr>
                <w:sz w:val="20"/>
                <w:szCs w:val="20"/>
                <w:color w:val="auto"/>
              </w:rPr>
            </w:pPr>
            <w:r>
              <w:rPr>
                <w:rFonts w:ascii="Arial" w:cs="Arial" w:eastAsia="Arial" w:hAnsi="Arial"/>
                <w:sz w:val="13"/>
                <w:szCs w:val="13"/>
                <w:color w:val="auto"/>
              </w:rPr>
              <w:t>Trinidad and Tobago</w:t>
            </w:r>
          </w:p>
        </w:tc>
        <w:tc>
          <w:tcPr>
            <w:tcW w:w="5820" w:type="dxa"/>
            <w:vAlign w:val="bottom"/>
            <w:gridSpan w:val="3"/>
            <w:shd w:val="clear" w:color="auto" w:fill="CCEEFF"/>
          </w:tcPr>
          <w:p>
            <w:pPr>
              <w:jc w:val="right"/>
              <w:ind w:right="200"/>
              <w:spacing w:after="0"/>
              <w:rPr>
                <w:sz w:val="20"/>
                <w:szCs w:val="20"/>
                <w:color w:val="auto"/>
              </w:rPr>
            </w:pPr>
            <w:r>
              <w:rPr>
                <w:rFonts w:ascii="Arial" w:cs="Arial" w:eastAsia="Arial" w:hAnsi="Arial"/>
                <w:sz w:val="13"/>
                <w:szCs w:val="13"/>
                <w:color w:val="auto"/>
              </w:rPr>
              <w:t>144,874</w:t>
            </w: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175,000</w:t>
            </w:r>
          </w:p>
        </w:tc>
        <w:tc>
          <w:tcPr>
            <w:tcW w:w="700" w:type="dxa"/>
            <w:vAlign w:val="bottom"/>
          </w:tcPr>
          <w:p>
            <w:pPr>
              <w:spacing w:after="0"/>
              <w:rPr>
                <w:sz w:val="13"/>
                <w:szCs w:val="13"/>
                <w:color w:val="auto"/>
              </w:rPr>
            </w:pPr>
          </w:p>
        </w:tc>
      </w:tr>
      <w:tr>
        <w:trPr>
          <w:trHeight w:val="154"/>
        </w:trPr>
        <w:tc>
          <w:tcPr>
            <w:tcW w:w="460" w:type="dxa"/>
            <w:vAlign w:val="bottom"/>
          </w:tcPr>
          <w:p>
            <w:pPr>
              <w:spacing w:after="0"/>
              <w:rPr>
                <w:sz w:val="13"/>
                <w:szCs w:val="13"/>
                <w:color w:val="auto"/>
              </w:rPr>
            </w:pPr>
          </w:p>
        </w:tc>
        <w:tc>
          <w:tcPr>
            <w:tcW w:w="3280" w:type="dxa"/>
            <w:vAlign w:val="bottom"/>
          </w:tcPr>
          <w:p>
            <w:pPr>
              <w:ind w:left="120"/>
              <w:spacing w:after="0"/>
              <w:rPr>
                <w:sz w:val="20"/>
                <w:szCs w:val="20"/>
                <w:color w:val="auto"/>
              </w:rPr>
            </w:pPr>
            <w:r>
              <w:rPr>
                <w:rFonts w:ascii="Arial" w:cs="Arial" w:eastAsia="Arial" w:hAnsi="Arial"/>
                <w:sz w:val="13"/>
                <w:szCs w:val="13"/>
                <w:color w:val="auto"/>
              </w:rPr>
              <w:t>Honduras</w:t>
            </w:r>
          </w:p>
        </w:tc>
        <w:tc>
          <w:tcPr>
            <w:tcW w:w="5820" w:type="dxa"/>
            <w:vAlign w:val="bottom"/>
            <w:gridSpan w:val="3"/>
          </w:tcPr>
          <w:p>
            <w:pPr>
              <w:jc w:val="right"/>
              <w:ind w:right="200"/>
              <w:spacing w:after="0"/>
              <w:rPr>
                <w:sz w:val="20"/>
                <w:szCs w:val="20"/>
                <w:color w:val="auto"/>
              </w:rPr>
            </w:pPr>
            <w:r>
              <w:rPr>
                <w:rFonts w:ascii="Arial" w:cs="Arial" w:eastAsia="Arial" w:hAnsi="Arial"/>
                <w:sz w:val="13"/>
                <w:szCs w:val="13"/>
                <w:color w:val="auto"/>
              </w:rPr>
              <w:t>89,205</w:t>
            </w:r>
          </w:p>
        </w:tc>
        <w:tc>
          <w:tcPr>
            <w:tcW w:w="1220" w:type="dxa"/>
            <w:vAlign w:val="bottom"/>
            <w:gridSpan w:val="2"/>
          </w:tcPr>
          <w:p>
            <w:pPr>
              <w:jc w:val="right"/>
              <w:ind w:right="100"/>
              <w:spacing w:after="0"/>
              <w:rPr>
                <w:sz w:val="20"/>
                <w:szCs w:val="20"/>
                <w:color w:val="auto"/>
              </w:rPr>
            </w:pPr>
            <w:r>
              <w:rPr>
                <w:rFonts w:ascii="Arial" w:cs="Arial" w:eastAsia="Arial" w:hAnsi="Arial"/>
                <w:sz w:val="13"/>
                <w:szCs w:val="13"/>
                <w:color w:val="auto"/>
              </w:rPr>
              <w:t>74,476</w:t>
            </w:r>
          </w:p>
        </w:tc>
        <w:tc>
          <w:tcPr>
            <w:tcW w:w="700" w:type="dxa"/>
            <w:vAlign w:val="bottom"/>
          </w:tcPr>
          <w:p>
            <w:pPr>
              <w:spacing w:after="0"/>
              <w:rPr>
                <w:sz w:val="13"/>
                <w:szCs w:val="13"/>
                <w:color w:val="auto"/>
              </w:rPr>
            </w:pPr>
          </w:p>
        </w:tc>
      </w:tr>
      <w:tr>
        <w:trPr>
          <w:trHeight w:val="154"/>
        </w:trPr>
        <w:tc>
          <w:tcPr>
            <w:tcW w:w="460" w:type="dxa"/>
            <w:vAlign w:val="bottom"/>
          </w:tcPr>
          <w:p>
            <w:pPr>
              <w:spacing w:after="0"/>
              <w:rPr>
                <w:sz w:val="13"/>
                <w:szCs w:val="13"/>
                <w:color w:val="auto"/>
              </w:rPr>
            </w:pPr>
          </w:p>
        </w:tc>
        <w:tc>
          <w:tcPr>
            <w:tcW w:w="3280" w:type="dxa"/>
            <w:vAlign w:val="bottom"/>
            <w:shd w:val="clear" w:color="auto" w:fill="CCEEFF"/>
          </w:tcPr>
          <w:p>
            <w:pPr>
              <w:ind w:left="120"/>
              <w:spacing w:after="0"/>
              <w:rPr>
                <w:sz w:val="20"/>
                <w:szCs w:val="20"/>
                <w:color w:val="auto"/>
              </w:rPr>
            </w:pPr>
            <w:r>
              <w:rPr>
                <w:rFonts w:ascii="Arial" w:cs="Arial" w:eastAsia="Arial" w:hAnsi="Arial"/>
                <w:sz w:val="13"/>
                <w:szCs w:val="13"/>
                <w:color w:val="auto"/>
              </w:rPr>
              <w:t>Peru</w:t>
            </w:r>
          </w:p>
        </w:tc>
        <w:tc>
          <w:tcPr>
            <w:tcW w:w="5820" w:type="dxa"/>
            <w:vAlign w:val="bottom"/>
            <w:gridSpan w:val="3"/>
            <w:shd w:val="clear" w:color="auto" w:fill="CCEEFF"/>
          </w:tcPr>
          <w:p>
            <w:pPr>
              <w:jc w:val="right"/>
              <w:ind w:right="200"/>
              <w:spacing w:after="0"/>
              <w:rPr>
                <w:sz w:val="20"/>
                <w:szCs w:val="20"/>
                <w:color w:val="auto"/>
              </w:rPr>
            </w:pPr>
            <w:r>
              <w:rPr>
                <w:rFonts w:ascii="Arial" w:cs="Arial" w:eastAsia="Arial" w:hAnsi="Arial"/>
                <w:sz w:val="13"/>
                <w:szCs w:val="13"/>
                <w:color w:val="auto"/>
              </w:rPr>
              <w:t>78,191</w:t>
            </w: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211,846</w:t>
            </w:r>
          </w:p>
        </w:tc>
        <w:tc>
          <w:tcPr>
            <w:tcW w:w="700" w:type="dxa"/>
            <w:vAlign w:val="bottom"/>
          </w:tcPr>
          <w:p>
            <w:pPr>
              <w:spacing w:after="0"/>
              <w:rPr>
                <w:sz w:val="13"/>
                <w:szCs w:val="13"/>
                <w:color w:val="auto"/>
              </w:rPr>
            </w:pPr>
          </w:p>
        </w:tc>
      </w:tr>
      <w:tr>
        <w:trPr>
          <w:trHeight w:val="154"/>
        </w:trPr>
        <w:tc>
          <w:tcPr>
            <w:tcW w:w="460" w:type="dxa"/>
            <w:vAlign w:val="bottom"/>
          </w:tcPr>
          <w:p>
            <w:pPr>
              <w:spacing w:after="0"/>
              <w:rPr>
                <w:sz w:val="13"/>
                <w:szCs w:val="13"/>
                <w:color w:val="auto"/>
              </w:rPr>
            </w:pPr>
          </w:p>
        </w:tc>
        <w:tc>
          <w:tcPr>
            <w:tcW w:w="3280" w:type="dxa"/>
            <w:vAlign w:val="bottom"/>
          </w:tcPr>
          <w:p>
            <w:pPr>
              <w:ind w:left="120"/>
              <w:spacing w:after="0"/>
              <w:rPr>
                <w:sz w:val="20"/>
                <w:szCs w:val="20"/>
                <w:color w:val="auto"/>
              </w:rPr>
            </w:pPr>
            <w:r>
              <w:rPr>
                <w:rFonts w:ascii="Arial" w:cs="Arial" w:eastAsia="Arial" w:hAnsi="Arial"/>
                <w:sz w:val="13"/>
                <w:szCs w:val="13"/>
                <w:color w:val="auto"/>
              </w:rPr>
              <w:t>El Salvador</w:t>
            </w:r>
          </w:p>
        </w:tc>
        <w:tc>
          <w:tcPr>
            <w:tcW w:w="5820" w:type="dxa"/>
            <w:vAlign w:val="bottom"/>
            <w:gridSpan w:val="3"/>
          </w:tcPr>
          <w:p>
            <w:pPr>
              <w:jc w:val="right"/>
              <w:ind w:right="200"/>
              <w:spacing w:after="0"/>
              <w:rPr>
                <w:sz w:val="20"/>
                <w:szCs w:val="20"/>
                <w:color w:val="auto"/>
              </w:rPr>
            </w:pPr>
            <w:r>
              <w:rPr>
                <w:rFonts w:ascii="Arial" w:cs="Arial" w:eastAsia="Arial" w:hAnsi="Arial"/>
                <w:sz w:val="13"/>
                <w:szCs w:val="13"/>
                <w:color w:val="auto"/>
              </w:rPr>
              <w:t>70,048</w:t>
            </w:r>
          </w:p>
        </w:tc>
        <w:tc>
          <w:tcPr>
            <w:tcW w:w="1120" w:type="dxa"/>
            <w:vAlign w:val="bottom"/>
          </w:tcPr>
          <w:p>
            <w:pPr>
              <w:jc w:val="right"/>
              <w:spacing w:after="0"/>
              <w:rPr>
                <w:sz w:val="20"/>
                <w:szCs w:val="20"/>
                <w:color w:val="auto"/>
              </w:rPr>
            </w:pPr>
            <w:r>
              <w:rPr>
                <w:rFonts w:ascii="Arial" w:cs="Arial" w:eastAsia="Arial" w:hAnsi="Arial"/>
                <w:sz w:val="13"/>
                <w:szCs w:val="13"/>
                <w:color w:val="auto"/>
              </w:rPr>
              <w:t>55,110</w:t>
            </w:r>
          </w:p>
        </w:tc>
        <w:tc>
          <w:tcPr>
            <w:tcW w:w="100" w:type="dxa"/>
            <w:vAlign w:val="bottom"/>
          </w:tcPr>
          <w:p>
            <w:pPr>
              <w:spacing w:after="0"/>
              <w:rPr>
                <w:sz w:val="13"/>
                <w:szCs w:val="13"/>
                <w:color w:val="auto"/>
              </w:rPr>
            </w:pPr>
          </w:p>
        </w:tc>
        <w:tc>
          <w:tcPr>
            <w:tcW w:w="700" w:type="dxa"/>
            <w:vAlign w:val="bottom"/>
          </w:tcPr>
          <w:p>
            <w:pPr>
              <w:spacing w:after="0"/>
              <w:rPr>
                <w:sz w:val="13"/>
                <w:szCs w:val="13"/>
                <w:color w:val="auto"/>
              </w:rPr>
            </w:pPr>
          </w:p>
        </w:tc>
      </w:tr>
      <w:tr>
        <w:trPr>
          <w:trHeight w:val="154"/>
        </w:trPr>
        <w:tc>
          <w:tcPr>
            <w:tcW w:w="460" w:type="dxa"/>
            <w:vAlign w:val="bottom"/>
          </w:tcPr>
          <w:p>
            <w:pPr>
              <w:spacing w:after="0"/>
              <w:rPr>
                <w:sz w:val="13"/>
                <w:szCs w:val="13"/>
                <w:color w:val="auto"/>
              </w:rPr>
            </w:pPr>
          </w:p>
        </w:tc>
        <w:tc>
          <w:tcPr>
            <w:tcW w:w="3280" w:type="dxa"/>
            <w:vAlign w:val="bottom"/>
            <w:shd w:val="clear" w:color="auto" w:fill="CCEEFF"/>
          </w:tcPr>
          <w:p>
            <w:pPr>
              <w:ind w:left="120"/>
              <w:spacing w:after="0"/>
              <w:rPr>
                <w:sz w:val="20"/>
                <w:szCs w:val="20"/>
                <w:color w:val="auto"/>
              </w:rPr>
            </w:pPr>
            <w:r>
              <w:rPr>
                <w:rFonts w:ascii="Arial" w:cs="Arial" w:eastAsia="Arial" w:hAnsi="Arial"/>
                <w:sz w:val="13"/>
                <w:szCs w:val="13"/>
                <w:color w:val="auto"/>
              </w:rPr>
              <w:t>Singapore</w:t>
            </w:r>
          </w:p>
        </w:tc>
        <w:tc>
          <w:tcPr>
            <w:tcW w:w="5820" w:type="dxa"/>
            <w:vAlign w:val="bottom"/>
            <w:gridSpan w:val="3"/>
            <w:shd w:val="clear" w:color="auto" w:fill="CCEEFF"/>
          </w:tcPr>
          <w:p>
            <w:pPr>
              <w:jc w:val="right"/>
              <w:ind w:right="200"/>
              <w:spacing w:after="0"/>
              <w:rPr>
                <w:sz w:val="20"/>
                <w:szCs w:val="20"/>
                <w:color w:val="auto"/>
              </w:rPr>
            </w:pPr>
            <w:r>
              <w:rPr>
                <w:rFonts w:ascii="Arial" w:cs="Arial" w:eastAsia="Arial" w:hAnsi="Arial"/>
                <w:sz w:val="13"/>
                <w:szCs w:val="13"/>
                <w:color w:val="auto"/>
              </w:rPr>
              <w:t>38,500</w:t>
            </w: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54,500</w:t>
            </w:r>
          </w:p>
        </w:tc>
        <w:tc>
          <w:tcPr>
            <w:tcW w:w="700" w:type="dxa"/>
            <w:vAlign w:val="bottom"/>
          </w:tcPr>
          <w:p>
            <w:pPr>
              <w:spacing w:after="0"/>
              <w:rPr>
                <w:sz w:val="13"/>
                <w:szCs w:val="13"/>
                <w:color w:val="auto"/>
              </w:rPr>
            </w:pPr>
          </w:p>
        </w:tc>
      </w:tr>
      <w:tr>
        <w:trPr>
          <w:trHeight w:val="154"/>
        </w:trPr>
        <w:tc>
          <w:tcPr>
            <w:tcW w:w="460" w:type="dxa"/>
            <w:vAlign w:val="bottom"/>
          </w:tcPr>
          <w:p>
            <w:pPr>
              <w:spacing w:after="0"/>
              <w:rPr>
                <w:sz w:val="13"/>
                <w:szCs w:val="13"/>
                <w:color w:val="auto"/>
              </w:rPr>
            </w:pPr>
          </w:p>
        </w:tc>
        <w:tc>
          <w:tcPr>
            <w:tcW w:w="3280" w:type="dxa"/>
            <w:vAlign w:val="bottom"/>
          </w:tcPr>
          <w:p>
            <w:pPr>
              <w:ind w:left="120"/>
              <w:spacing w:after="0"/>
              <w:rPr>
                <w:sz w:val="20"/>
                <w:szCs w:val="20"/>
                <w:color w:val="auto"/>
              </w:rPr>
            </w:pPr>
            <w:r>
              <w:rPr>
                <w:rFonts w:ascii="Arial" w:cs="Arial" w:eastAsia="Arial" w:hAnsi="Arial"/>
                <w:sz w:val="13"/>
                <w:szCs w:val="13"/>
                <w:color w:val="auto"/>
              </w:rPr>
              <w:t>Jamaica</w:t>
            </w:r>
          </w:p>
        </w:tc>
        <w:tc>
          <w:tcPr>
            <w:tcW w:w="5820" w:type="dxa"/>
            <w:vAlign w:val="bottom"/>
            <w:gridSpan w:val="3"/>
          </w:tcPr>
          <w:p>
            <w:pPr>
              <w:jc w:val="right"/>
              <w:ind w:right="200"/>
              <w:spacing w:after="0"/>
              <w:rPr>
                <w:sz w:val="20"/>
                <w:szCs w:val="20"/>
                <w:color w:val="auto"/>
              </w:rPr>
            </w:pPr>
            <w:r>
              <w:rPr>
                <w:rFonts w:ascii="Arial" w:cs="Arial" w:eastAsia="Arial" w:hAnsi="Arial"/>
                <w:sz w:val="13"/>
                <w:szCs w:val="13"/>
                <w:color w:val="auto"/>
              </w:rPr>
              <w:t>21,727</w:t>
            </w:r>
          </w:p>
        </w:tc>
        <w:tc>
          <w:tcPr>
            <w:tcW w:w="1220" w:type="dxa"/>
            <w:vAlign w:val="bottom"/>
            <w:gridSpan w:val="2"/>
          </w:tcPr>
          <w:p>
            <w:pPr>
              <w:jc w:val="right"/>
              <w:ind w:right="100"/>
              <w:spacing w:after="0"/>
              <w:rPr>
                <w:sz w:val="20"/>
                <w:szCs w:val="20"/>
                <w:color w:val="auto"/>
              </w:rPr>
            </w:pPr>
            <w:r>
              <w:rPr>
                <w:rFonts w:ascii="Arial" w:cs="Arial" w:eastAsia="Arial" w:hAnsi="Arial"/>
                <w:sz w:val="13"/>
                <w:szCs w:val="13"/>
                <w:color w:val="auto"/>
              </w:rPr>
              <w:t>24,435</w:t>
            </w:r>
          </w:p>
        </w:tc>
        <w:tc>
          <w:tcPr>
            <w:tcW w:w="700" w:type="dxa"/>
            <w:vAlign w:val="bottom"/>
          </w:tcPr>
          <w:p>
            <w:pPr>
              <w:spacing w:after="0"/>
              <w:rPr>
                <w:sz w:val="13"/>
                <w:szCs w:val="13"/>
                <w:color w:val="auto"/>
              </w:rPr>
            </w:pPr>
          </w:p>
        </w:tc>
      </w:tr>
      <w:tr>
        <w:trPr>
          <w:trHeight w:val="154"/>
        </w:trPr>
        <w:tc>
          <w:tcPr>
            <w:tcW w:w="460" w:type="dxa"/>
            <w:vAlign w:val="bottom"/>
          </w:tcPr>
          <w:p>
            <w:pPr>
              <w:spacing w:after="0"/>
              <w:rPr>
                <w:sz w:val="13"/>
                <w:szCs w:val="13"/>
                <w:color w:val="auto"/>
              </w:rPr>
            </w:pPr>
          </w:p>
        </w:tc>
        <w:tc>
          <w:tcPr>
            <w:tcW w:w="3280" w:type="dxa"/>
            <w:vAlign w:val="bottom"/>
            <w:shd w:val="clear" w:color="auto" w:fill="CCEEFF"/>
          </w:tcPr>
          <w:p>
            <w:pPr>
              <w:ind w:left="120"/>
              <w:spacing w:after="0"/>
              <w:rPr>
                <w:sz w:val="20"/>
                <w:szCs w:val="20"/>
                <w:color w:val="auto"/>
              </w:rPr>
            </w:pPr>
            <w:r>
              <w:rPr>
                <w:rFonts w:ascii="Arial" w:cs="Arial" w:eastAsia="Arial" w:hAnsi="Arial"/>
                <w:sz w:val="13"/>
                <w:szCs w:val="13"/>
                <w:color w:val="auto"/>
              </w:rPr>
              <w:t>Luxembourg</w:t>
            </w:r>
          </w:p>
        </w:tc>
        <w:tc>
          <w:tcPr>
            <w:tcW w:w="5820" w:type="dxa"/>
            <w:vAlign w:val="bottom"/>
            <w:gridSpan w:val="3"/>
            <w:shd w:val="clear" w:color="auto" w:fill="CCEEFF"/>
          </w:tcPr>
          <w:p>
            <w:pPr>
              <w:jc w:val="right"/>
              <w:ind w:right="200"/>
              <w:spacing w:after="0"/>
              <w:rPr>
                <w:sz w:val="20"/>
                <w:szCs w:val="20"/>
                <w:color w:val="auto"/>
              </w:rPr>
            </w:pPr>
            <w:r>
              <w:rPr>
                <w:rFonts w:ascii="Arial" w:cs="Arial" w:eastAsia="Arial" w:hAnsi="Arial"/>
                <w:sz w:val="13"/>
                <w:szCs w:val="13"/>
                <w:color w:val="auto"/>
              </w:rPr>
              <w:t>17,664</w:t>
            </w: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19,924</w:t>
            </w:r>
          </w:p>
        </w:tc>
        <w:tc>
          <w:tcPr>
            <w:tcW w:w="700" w:type="dxa"/>
            <w:vAlign w:val="bottom"/>
          </w:tcPr>
          <w:p>
            <w:pPr>
              <w:spacing w:after="0"/>
              <w:rPr>
                <w:sz w:val="13"/>
                <w:szCs w:val="13"/>
                <w:color w:val="auto"/>
              </w:rPr>
            </w:pPr>
          </w:p>
        </w:tc>
      </w:tr>
      <w:tr>
        <w:trPr>
          <w:trHeight w:val="154"/>
        </w:trPr>
        <w:tc>
          <w:tcPr>
            <w:tcW w:w="460" w:type="dxa"/>
            <w:vAlign w:val="bottom"/>
          </w:tcPr>
          <w:p>
            <w:pPr>
              <w:spacing w:after="0"/>
              <w:rPr>
                <w:sz w:val="13"/>
                <w:szCs w:val="13"/>
                <w:color w:val="auto"/>
              </w:rPr>
            </w:pPr>
          </w:p>
        </w:tc>
        <w:tc>
          <w:tcPr>
            <w:tcW w:w="3280" w:type="dxa"/>
            <w:vAlign w:val="bottom"/>
          </w:tcPr>
          <w:p>
            <w:pPr>
              <w:ind w:left="120"/>
              <w:spacing w:after="0"/>
              <w:rPr>
                <w:sz w:val="20"/>
                <w:szCs w:val="20"/>
                <w:color w:val="auto"/>
              </w:rPr>
            </w:pPr>
            <w:r>
              <w:rPr>
                <w:rFonts w:ascii="Arial" w:cs="Arial" w:eastAsia="Arial" w:hAnsi="Arial"/>
                <w:sz w:val="13"/>
                <w:szCs w:val="13"/>
                <w:color w:val="auto"/>
              </w:rPr>
              <w:t>Germany</w:t>
            </w:r>
          </w:p>
        </w:tc>
        <w:tc>
          <w:tcPr>
            <w:tcW w:w="5820" w:type="dxa"/>
            <w:vAlign w:val="bottom"/>
            <w:gridSpan w:val="3"/>
          </w:tcPr>
          <w:p>
            <w:pPr>
              <w:jc w:val="right"/>
              <w:ind w:right="200"/>
              <w:spacing w:after="0"/>
              <w:rPr>
                <w:sz w:val="20"/>
                <w:szCs w:val="20"/>
                <w:color w:val="auto"/>
              </w:rPr>
            </w:pPr>
            <w:r>
              <w:rPr>
                <w:rFonts w:ascii="Arial" w:cs="Arial" w:eastAsia="Arial" w:hAnsi="Arial"/>
                <w:sz w:val="13"/>
                <w:szCs w:val="13"/>
                <w:color w:val="auto"/>
              </w:rPr>
              <w:t>17,500</w:t>
            </w:r>
          </w:p>
        </w:tc>
        <w:tc>
          <w:tcPr>
            <w:tcW w:w="1220" w:type="dxa"/>
            <w:vAlign w:val="bottom"/>
            <w:gridSpan w:val="2"/>
          </w:tcPr>
          <w:p>
            <w:pPr>
              <w:jc w:val="right"/>
              <w:ind w:right="100"/>
              <w:spacing w:after="0"/>
              <w:rPr>
                <w:sz w:val="20"/>
                <w:szCs w:val="20"/>
                <w:color w:val="auto"/>
              </w:rPr>
            </w:pPr>
            <w:r>
              <w:rPr>
                <w:rFonts w:ascii="Arial" w:cs="Arial" w:eastAsia="Arial" w:hAnsi="Arial"/>
                <w:sz w:val="13"/>
                <w:szCs w:val="13"/>
                <w:color w:val="auto"/>
              </w:rPr>
              <w:t>37,500</w:t>
            </w:r>
          </w:p>
        </w:tc>
        <w:tc>
          <w:tcPr>
            <w:tcW w:w="700" w:type="dxa"/>
            <w:vAlign w:val="bottom"/>
          </w:tcPr>
          <w:p>
            <w:pPr>
              <w:spacing w:after="0"/>
              <w:rPr>
                <w:sz w:val="13"/>
                <w:szCs w:val="13"/>
                <w:color w:val="auto"/>
              </w:rPr>
            </w:pPr>
          </w:p>
        </w:tc>
      </w:tr>
      <w:tr>
        <w:trPr>
          <w:trHeight w:val="154"/>
        </w:trPr>
        <w:tc>
          <w:tcPr>
            <w:tcW w:w="460" w:type="dxa"/>
            <w:vAlign w:val="bottom"/>
          </w:tcPr>
          <w:p>
            <w:pPr>
              <w:spacing w:after="0"/>
              <w:rPr>
                <w:sz w:val="13"/>
                <w:szCs w:val="13"/>
                <w:color w:val="auto"/>
              </w:rPr>
            </w:pPr>
          </w:p>
        </w:tc>
        <w:tc>
          <w:tcPr>
            <w:tcW w:w="3280" w:type="dxa"/>
            <w:vAlign w:val="bottom"/>
            <w:shd w:val="clear" w:color="auto" w:fill="CCEEFF"/>
          </w:tcPr>
          <w:p>
            <w:pPr>
              <w:ind w:left="120"/>
              <w:spacing w:after="0"/>
              <w:rPr>
                <w:sz w:val="20"/>
                <w:szCs w:val="20"/>
                <w:color w:val="auto"/>
              </w:rPr>
            </w:pPr>
            <w:r>
              <w:rPr>
                <w:rFonts w:ascii="Arial" w:cs="Arial" w:eastAsia="Arial" w:hAnsi="Arial"/>
                <w:sz w:val="13"/>
                <w:szCs w:val="13"/>
                <w:color w:val="auto"/>
              </w:rPr>
              <w:t>Bolivia</w:t>
            </w:r>
          </w:p>
        </w:tc>
        <w:tc>
          <w:tcPr>
            <w:tcW w:w="5820" w:type="dxa"/>
            <w:vAlign w:val="bottom"/>
            <w:gridSpan w:val="3"/>
            <w:shd w:val="clear" w:color="auto" w:fill="CCEEFF"/>
          </w:tcPr>
          <w:p>
            <w:pPr>
              <w:jc w:val="right"/>
              <w:ind w:right="200"/>
              <w:spacing w:after="0"/>
              <w:rPr>
                <w:sz w:val="20"/>
                <w:szCs w:val="20"/>
                <w:color w:val="auto"/>
              </w:rPr>
            </w:pPr>
            <w:r>
              <w:rPr>
                <w:rFonts w:ascii="Arial" w:cs="Arial" w:eastAsia="Arial" w:hAnsi="Arial"/>
                <w:sz w:val="13"/>
                <w:szCs w:val="13"/>
                <w:color w:val="auto"/>
              </w:rPr>
              <w:t>14,187</w:t>
            </w: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15,000</w:t>
            </w:r>
          </w:p>
        </w:tc>
        <w:tc>
          <w:tcPr>
            <w:tcW w:w="700" w:type="dxa"/>
            <w:vAlign w:val="bottom"/>
          </w:tcPr>
          <w:p>
            <w:pPr>
              <w:spacing w:after="0"/>
              <w:rPr>
                <w:sz w:val="13"/>
                <w:szCs w:val="13"/>
                <w:color w:val="auto"/>
              </w:rPr>
            </w:pPr>
          </w:p>
        </w:tc>
      </w:tr>
      <w:tr>
        <w:trPr>
          <w:trHeight w:val="154"/>
        </w:trPr>
        <w:tc>
          <w:tcPr>
            <w:tcW w:w="460" w:type="dxa"/>
            <w:vAlign w:val="bottom"/>
          </w:tcPr>
          <w:p>
            <w:pPr>
              <w:spacing w:after="0"/>
              <w:rPr>
                <w:sz w:val="13"/>
                <w:szCs w:val="13"/>
                <w:color w:val="auto"/>
              </w:rPr>
            </w:pPr>
          </w:p>
        </w:tc>
        <w:tc>
          <w:tcPr>
            <w:tcW w:w="3280" w:type="dxa"/>
            <w:vAlign w:val="bottom"/>
          </w:tcPr>
          <w:p>
            <w:pPr>
              <w:ind w:left="120"/>
              <w:spacing w:after="0"/>
              <w:rPr>
                <w:sz w:val="20"/>
                <w:szCs w:val="20"/>
                <w:color w:val="auto"/>
              </w:rPr>
            </w:pPr>
            <w:r>
              <w:rPr>
                <w:rFonts w:ascii="Arial" w:cs="Arial" w:eastAsia="Arial" w:hAnsi="Arial"/>
                <w:sz w:val="13"/>
                <w:szCs w:val="13"/>
                <w:color w:val="auto"/>
              </w:rPr>
              <w:t>Belgium</w:t>
            </w:r>
          </w:p>
        </w:tc>
        <w:tc>
          <w:tcPr>
            <w:tcW w:w="5820" w:type="dxa"/>
            <w:vAlign w:val="bottom"/>
            <w:gridSpan w:val="3"/>
          </w:tcPr>
          <w:p>
            <w:pPr>
              <w:jc w:val="right"/>
              <w:ind w:right="200"/>
              <w:spacing w:after="0"/>
              <w:rPr>
                <w:sz w:val="20"/>
                <w:szCs w:val="20"/>
                <w:color w:val="auto"/>
              </w:rPr>
            </w:pPr>
            <w:r>
              <w:rPr>
                <w:rFonts w:ascii="Arial" w:cs="Arial" w:eastAsia="Arial" w:hAnsi="Arial"/>
                <w:sz w:val="13"/>
                <w:szCs w:val="13"/>
                <w:color w:val="auto"/>
              </w:rPr>
              <w:t>13,278</w:t>
            </w:r>
          </w:p>
        </w:tc>
        <w:tc>
          <w:tcPr>
            <w:tcW w:w="1120" w:type="dxa"/>
            <w:vAlign w:val="bottom"/>
          </w:tcPr>
          <w:p>
            <w:pPr>
              <w:jc w:val="right"/>
              <w:spacing w:after="0"/>
              <w:rPr>
                <w:sz w:val="20"/>
                <w:szCs w:val="20"/>
                <w:color w:val="auto"/>
              </w:rPr>
            </w:pPr>
            <w:r>
              <w:rPr>
                <w:rFonts w:ascii="Arial" w:cs="Arial" w:eastAsia="Arial" w:hAnsi="Arial"/>
                <w:sz w:val="13"/>
                <w:szCs w:val="13"/>
                <w:color w:val="auto"/>
              </w:rPr>
              <w:t>11,368</w:t>
            </w:r>
          </w:p>
        </w:tc>
        <w:tc>
          <w:tcPr>
            <w:tcW w:w="100" w:type="dxa"/>
            <w:vAlign w:val="bottom"/>
          </w:tcPr>
          <w:p>
            <w:pPr>
              <w:spacing w:after="0"/>
              <w:rPr>
                <w:sz w:val="13"/>
                <w:szCs w:val="13"/>
                <w:color w:val="auto"/>
              </w:rPr>
            </w:pPr>
          </w:p>
        </w:tc>
        <w:tc>
          <w:tcPr>
            <w:tcW w:w="700" w:type="dxa"/>
            <w:vAlign w:val="bottom"/>
          </w:tcPr>
          <w:p>
            <w:pPr>
              <w:spacing w:after="0"/>
              <w:rPr>
                <w:sz w:val="13"/>
                <w:szCs w:val="13"/>
                <w:color w:val="auto"/>
              </w:rPr>
            </w:pPr>
          </w:p>
        </w:tc>
      </w:tr>
      <w:tr>
        <w:trPr>
          <w:trHeight w:val="154"/>
        </w:trPr>
        <w:tc>
          <w:tcPr>
            <w:tcW w:w="460" w:type="dxa"/>
            <w:vAlign w:val="bottom"/>
          </w:tcPr>
          <w:p>
            <w:pPr>
              <w:spacing w:after="0"/>
              <w:rPr>
                <w:sz w:val="13"/>
                <w:szCs w:val="13"/>
                <w:color w:val="auto"/>
              </w:rPr>
            </w:pPr>
          </w:p>
        </w:tc>
        <w:tc>
          <w:tcPr>
            <w:tcW w:w="3280" w:type="dxa"/>
            <w:vAlign w:val="bottom"/>
            <w:shd w:val="clear" w:color="auto" w:fill="CCEEFF"/>
          </w:tcPr>
          <w:p>
            <w:pPr>
              <w:ind w:left="120"/>
              <w:spacing w:after="0"/>
              <w:rPr>
                <w:sz w:val="20"/>
                <w:szCs w:val="20"/>
                <w:color w:val="auto"/>
              </w:rPr>
            </w:pPr>
            <w:r>
              <w:rPr>
                <w:rFonts w:ascii="Arial" w:cs="Arial" w:eastAsia="Arial" w:hAnsi="Arial"/>
                <w:sz w:val="13"/>
                <w:szCs w:val="13"/>
                <w:color w:val="auto"/>
              </w:rPr>
              <w:t>Uruguay</w:t>
            </w:r>
          </w:p>
        </w:tc>
        <w:tc>
          <w:tcPr>
            <w:tcW w:w="5820" w:type="dxa"/>
            <w:vAlign w:val="bottom"/>
            <w:gridSpan w:val="3"/>
            <w:shd w:val="clear" w:color="auto" w:fill="CCEEFF"/>
          </w:tcPr>
          <w:p>
            <w:pPr>
              <w:jc w:val="right"/>
              <w:ind w:right="200"/>
              <w:spacing w:after="0"/>
              <w:rPr>
                <w:sz w:val="20"/>
                <w:szCs w:val="20"/>
                <w:color w:val="auto"/>
              </w:rPr>
            </w:pPr>
            <w:r>
              <w:rPr>
                <w:rFonts w:ascii="Arial" w:cs="Arial" w:eastAsia="Arial" w:hAnsi="Arial"/>
                <w:sz w:val="13"/>
                <w:szCs w:val="13"/>
                <w:color w:val="auto"/>
              </w:rPr>
              <w:t>9,906</w:t>
            </w: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15,000</w:t>
            </w:r>
          </w:p>
        </w:tc>
        <w:tc>
          <w:tcPr>
            <w:tcW w:w="700" w:type="dxa"/>
            <w:vAlign w:val="bottom"/>
          </w:tcPr>
          <w:p>
            <w:pPr>
              <w:spacing w:after="0"/>
              <w:rPr>
                <w:sz w:val="13"/>
                <w:szCs w:val="13"/>
                <w:color w:val="auto"/>
              </w:rPr>
            </w:pPr>
          </w:p>
        </w:tc>
      </w:tr>
      <w:tr>
        <w:trPr>
          <w:trHeight w:val="154"/>
        </w:trPr>
        <w:tc>
          <w:tcPr>
            <w:tcW w:w="460" w:type="dxa"/>
            <w:vAlign w:val="bottom"/>
          </w:tcPr>
          <w:p>
            <w:pPr>
              <w:spacing w:after="0"/>
              <w:rPr>
                <w:sz w:val="13"/>
                <w:szCs w:val="13"/>
                <w:color w:val="auto"/>
              </w:rPr>
            </w:pPr>
          </w:p>
        </w:tc>
        <w:tc>
          <w:tcPr>
            <w:tcW w:w="3280" w:type="dxa"/>
            <w:vAlign w:val="bottom"/>
          </w:tcPr>
          <w:p>
            <w:pPr>
              <w:ind w:left="120"/>
              <w:spacing w:after="0"/>
              <w:rPr>
                <w:sz w:val="20"/>
                <w:szCs w:val="20"/>
                <w:color w:val="auto"/>
              </w:rPr>
            </w:pPr>
            <w:r>
              <w:rPr>
                <w:rFonts w:ascii="Arial" w:cs="Arial" w:eastAsia="Arial" w:hAnsi="Arial"/>
                <w:sz w:val="13"/>
                <w:szCs w:val="13"/>
                <w:color w:val="auto"/>
              </w:rPr>
              <w:t>Switzerland</w:t>
            </w:r>
          </w:p>
        </w:tc>
        <w:tc>
          <w:tcPr>
            <w:tcW w:w="5820" w:type="dxa"/>
            <w:vAlign w:val="bottom"/>
            <w:gridSpan w:val="3"/>
          </w:tcPr>
          <w:p>
            <w:pPr>
              <w:jc w:val="right"/>
              <w:ind w:right="200"/>
              <w:spacing w:after="0"/>
              <w:rPr>
                <w:sz w:val="20"/>
                <w:szCs w:val="20"/>
                <w:color w:val="auto"/>
              </w:rPr>
            </w:pPr>
            <w:r>
              <w:rPr>
                <w:rFonts w:ascii="Arial" w:cs="Arial" w:eastAsia="Arial" w:hAnsi="Arial"/>
                <w:sz w:val="13"/>
                <w:szCs w:val="13"/>
                <w:color w:val="auto"/>
              </w:rPr>
              <w:t>-</w:t>
            </w:r>
          </w:p>
        </w:tc>
        <w:tc>
          <w:tcPr>
            <w:tcW w:w="1220" w:type="dxa"/>
            <w:vAlign w:val="bottom"/>
            <w:gridSpan w:val="2"/>
          </w:tcPr>
          <w:p>
            <w:pPr>
              <w:jc w:val="right"/>
              <w:ind w:right="100"/>
              <w:spacing w:after="0"/>
              <w:rPr>
                <w:sz w:val="20"/>
                <w:szCs w:val="20"/>
                <w:color w:val="auto"/>
              </w:rPr>
            </w:pPr>
            <w:r>
              <w:rPr>
                <w:rFonts w:ascii="Arial" w:cs="Arial" w:eastAsia="Arial" w:hAnsi="Arial"/>
                <w:sz w:val="13"/>
                <w:szCs w:val="13"/>
                <w:color w:val="auto"/>
              </w:rPr>
              <w:t>3,687</w:t>
            </w:r>
          </w:p>
        </w:tc>
        <w:tc>
          <w:tcPr>
            <w:tcW w:w="700" w:type="dxa"/>
            <w:vAlign w:val="bottom"/>
          </w:tcPr>
          <w:p>
            <w:pPr>
              <w:spacing w:after="0"/>
              <w:rPr>
                <w:sz w:val="13"/>
                <w:szCs w:val="13"/>
                <w:color w:val="auto"/>
              </w:rPr>
            </w:pPr>
          </w:p>
        </w:tc>
      </w:tr>
      <w:tr>
        <w:trPr>
          <w:trHeight w:val="154"/>
        </w:trPr>
        <w:tc>
          <w:tcPr>
            <w:tcW w:w="460" w:type="dxa"/>
            <w:vAlign w:val="bottom"/>
          </w:tcPr>
          <w:p>
            <w:pPr>
              <w:spacing w:after="0"/>
              <w:rPr>
                <w:sz w:val="13"/>
                <w:szCs w:val="13"/>
                <w:color w:val="auto"/>
              </w:rPr>
            </w:pPr>
          </w:p>
        </w:tc>
        <w:tc>
          <w:tcPr>
            <w:tcW w:w="3280" w:type="dxa"/>
            <w:vAlign w:val="bottom"/>
            <w:shd w:val="clear" w:color="auto" w:fill="CCEEFF"/>
          </w:tcPr>
          <w:p>
            <w:pPr>
              <w:ind w:left="120"/>
              <w:spacing w:after="0"/>
              <w:rPr>
                <w:sz w:val="20"/>
                <w:szCs w:val="20"/>
                <w:color w:val="auto"/>
              </w:rPr>
            </w:pPr>
            <w:r>
              <w:rPr>
                <w:rFonts w:ascii="Arial" w:cs="Arial" w:eastAsia="Arial" w:hAnsi="Arial"/>
                <w:sz w:val="13"/>
                <w:szCs w:val="13"/>
                <w:color w:val="auto"/>
              </w:rPr>
              <w:t>Nicaragua</w:t>
            </w:r>
          </w:p>
        </w:tc>
        <w:tc>
          <w:tcPr>
            <w:tcW w:w="5820" w:type="dxa"/>
            <w:vAlign w:val="bottom"/>
            <w:gridSpan w:val="3"/>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29,804</w:t>
            </w:r>
          </w:p>
        </w:tc>
        <w:tc>
          <w:tcPr>
            <w:tcW w:w="700" w:type="dxa"/>
            <w:vAlign w:val="bottom"/>
          </w:tcPr>
          <w:p>
            <w:pPr>
              <w:spacing w:after="0"/>
              <w:rPr>
                <w:sz w:val="13"/>
                <w:szCs w:val="13"/>
                <w:color w:val="auto"/>
              </w:rPr>
            </w:pPr>
          </w:p>
        </w:tc>
      </w:tr>
      <w:tr>
        <w:trPr>
          <w:trHeight w:val="163"/>
        </w:trPr>
        <w:tc>
          <w:tcPr>
            <w:tcW w:w="460" w:type="dxa"/>
            <w:vAlign w:val="bottom"/>
          </w:tcPr>
          <w:p>
            <w:pPr>
              <w:spacing w:after="0"/>
              <w:rPr>
                <w:sz w:val="14"/>
                <w:szCs w:val="14"/>
                <w:color w:val="auto"/>
              </w:rPr>
            </w:pPr>
          </w:p>
        </w:tc>
        <w:tc>
          <w:tcPr>
            <w:tcW w:w="3280" w:type="dxa"/>
            <w:vAlign w:val="bottom"/>
          </w:tcPr>
          <w:p>
            <w:pPr>
              <w:ind w:left="120"/>
              <w:spacing w:after="0"/>
              <w:rPr>
                <w:sz w:val="20"/>
                <w:szCs w:val="20"/>
                <w:color w:val="auto"/>
              </w:rPr>
            </w:pPr>
            <w:r>
              <w:rPr>
                <w:rFonts w:ascii="Arial" w:cs="Arial" w:eastAsia="Arial" w:hAnsi="Arial"/>
                <w:sz w:val="13"/>
                <w:szCs w:val="13"/>
                <w:color w:val="auto"/>
              </w:rPr>
              <w:t>United States of America</w:t>
            </w:r>
          </w:p>
        </w:tc>
        <w:tc>
          <w:tcPr>
            <w:tcW w:w="5820" w:type="dxa"/>
            <w:vAlign w:val="bottom"/>
            <w:gridSpan w:val="3"/>
          </w:tcPr>
          <w:p>
            <w:pPr>
              <w:jc w:val="right"/>
              <w:ind w:right="200"/>
              <w:spacing w:after="0"/>
              <w:rPr>
                <w:sz w:val="20"/>
                <w:szCs w:val="20"/>
                <w:color w:val="auto"/>
              </w:rPr>
            </w:pPr>
            <w:r>
              <w:rPr>
                <w:rFonts w:ascii="Arial" w:cs="Arial" w:eastAsia="Arial" w:hAnsi="Arial"/>
                <w:sz w:val="13"/>
                <w:szCs w:val="13"/>
                <w:color w:val="auto"/>
              </w:rPr>
              <w:t>-</w:t>
            </w:r>
          </w:p>
        </w:tc>
        <w:tc>
          <w:tcPr>
            <w:tcW w:w="1220" w:type="dxa"/>
            <w:vAlign w:val="bottom"/>
            <w:gridSpan w:val="2"/>
          </w:tcPr>
          <w:p>
            <w:pPr>
              <w:jc w:val="right"/>
              <w:ind w:right="100"/>
              <w:spacing w:after="0"/>
              <w:rPr>
                <w:sz w:val="20"/>
                <w:szCs w:val="20"/>
                <w:color w:val="auto"/>
              </w:rPr>
            </w:pPr>
            <w:r>
              <w:rPr>
                <w:rFonts w:ascii="Arial" w:cs="Arial" w:eastAsia="Arial" w:hAnsi="Arial"/>
                <w:sz w:val="13"/>
                <w:szCs w:val="13"/>
                <w:color w:val="auto"/>
              </w:rPr>
              <w:t>44,109</w:t>
            </w:r>
          </w:p>
        </w:tc>
        <w:tc>
          <w:tcPr>
            <w:tcW w:w="700" w:type="dxa"/>
            <w:vAlign w:val="bottom"/>
          </w:tcPr>
          <w:p>
            <w:pPr>
              <w:spacing w:after="0"/>
              <w:rPr>
                <w:sz w:val="14"/>
                <w:szCs w:val="14"/>
                <w:color w:val="auto"/>
              </w:rPr>
            </w:pPr>
          </w:p>
        </w:tc>
      </w:tr>
      <w:tr>
        <w:trPr>
          <w:trHeight w:val="163"/>
        </w:trPr>
        <w:tc>
          <w:tcPr>
            <w:tcW w:w="460" w:type="dxa"/>
            <w:vAlign w:val="bottom"/>
          </w:tcPr>
          <w:p>
            <w:pPr>
              <w:spacing w:after="0"/>
              <w:rPr>
                <w:sz w:val="14"/>
                <w:szCs w:val="14"/>
                <w:color w:val="auto"/>
              </w:rPr>
            </w:pPr>
          </w:p>
        </w:tc>
        <w:tc>
          <w:tcPr>
            <w:tcW w:w="3280" w:type="dxa"/>
            <w:vAlign w:val="bottom"/>
            <w:tcBorders>
              <w:top w:val="single" w:sz="8" w:color="CCEEFF"/>
              <w:bottom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Total</w:t>
            </w:r>
          </w:p>
        </w:tc>
        <w:tc>
          <w:tcPr>
            <w:tcW w:w="4460" w:type="dxa"/>
            <w:vAlign w:val="bottom"/>
            <w:tcBorders>
              <w:top w:val="single" w:sz="8" w:color="CCEEFF"/>
              <w:bottom w:val="single" w:sz="8" w:color="CCEEFF"/>
            </w:tcBorders>
            <w:shd w:val="clear" w:color="auto" w:fill="CCEEFF"/>
          </w:tcPr>
          <w:p>
            <w:pPr>
              <w:spacing w:after="0"/>
              <w:rPr>
                <w:sz w:val="14"/>
                <w:szCs w:val="14"/>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5,778,424</w:t>
            </w:r>
          </w:p>
        </w:tc>
        <w:tc>
          <w:tcPr>
            <w:tcW w:w="200" w:type="dxa"/>
            <w:vAlign w:val="bottom"/>
            <w:tcBorders>
              <w:top w:val="single" w:sz="8" w:color="CCEEFF"/>
              <w:bottom w:val="single" w:sz="8" w:color="CCEEFF"/>
            </w:tcBorders>
            <w:shd w:val="clear" w:color="auto" w:fill="CCEEFF"/>
          </w:tcPr>
          <w:p>
            <w:pPr>
              <w:spacing w:after="0"/>
              <w:rPr>
                <w:sz w:val="14"/>
                <w:szCs w:val="14"/>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5,505,658</w:t>
            </w: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c>
          <w:tcPr>
            <w:tcW w:w="700" w:type="dxa"/>
            <w:vAlign w:val="bottom"/>
          </w:tcPr>
          <w:p>
            <w:pPr>
              <w:spacing w:after="0"/>
              <w:rPr>
                <w:sz w:val="14"/>
                <w:szCs w:val="14"/>
                <w:color w:val="auto"/>
              </w:rPr>
            </w:pPr>
          </w:p>
        </w:tc>
      </w:tr>
      <w:tr>
        <w:trPr>
          <w:trHeight w:val="467"/>
        </w:trPr>
        <w:tc>
          <w:tcPr>
            <w:tcW w:w="460" w:type="dxa"/>
            <w:vAlign w:val="bottom"/>
            <w:tcBorders>
              <w:bottom w:val="single" w:sz="8" w:color="auto"/>
            </w:tcBorders>
          </w:tcPr>
          <w:p>
            <w:pPr>
              <w:spacing w:after="0"/>
              <w:rPr>
                <w:sz w:val="24"/>
                <w:szCs w:val="24"/>
                <w:color w:val="auto"/>
              </w:rPr>
            </w:pPr>
          </w:p>
        </w:tc>
        <w:tc>
          <w:tcPr>
            <w:tcW w:w="3280" w:type="dxa"/>
            <w:vAlign w:val="bottom"/>
            <w:tcBorders>
              <w:bottom w:val="single" w:sz="8" w:color="auto"/>
            </w:tcBorders>
          </w:tcPr>
          <w:p>
            <w:pPr>
              <w:spacing w:after="0"/>
              <w:rPr>
                <w:sz w:val="24"/>
                <w:szCs w:val="24"/>
                <w:color w:val="auto"/>
              </w:rPr>
            </w:pPr>
          </w:p>
        </w:tc>
        <w:tc>
          <w:tcPr>
            <w:tcW w:w="5820" w:type="dxa"/>
            <w:vAlign w:val="bottom"/>
            <w:tcBorders>
              <w:bottom w:val="single" w:sz="8" w:color="auto"/>
            </w:tcBorders>
            <w:gridSpan w:val="3"/>
          </w:tcPr>
          <w:p>
            <w:pPr>
              <w:ind w:left="1880"/>
              <w:spacing w:after="0"/>
              <w:rPr>
                <w:sz w:val="20"/>
                <w:szCs w:val="20"/>
                <w:color w:val="auto"/>
              </w:rPr>
            </w:pPr>
            <w:r>
              <w:rPr>
                <w:rFonts w:ascii="Arial" w:cs="Arial" w:eastAsia="Arial" w:hAnsi="Arial"/>
                <w:sz w:val="13"/>
                <w:szCs w:val="13"/>
                <w:color w:val="auto"/>
              </w:rPr>
              <w:t>F-44</w:t>
            </w:r>
          </w:p>
        </w:tc>
        <w:tc>
          <w:tcPr>
            <w:tcW w:w="1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r>
    </w:tbl>
    <w:p>
      <w:pPr>
        <w:sectPr>
          <w:pgSz w:w="11900" w:h="16838" w:orient="portrait"/>
          <w:cols w:equalWidth="0" w:num="1">
            <w:col w:w="11483"/>
          </w:cols>
          <w:pgMar w:left="217" w:top="685" w:right="199" w:bottom="1440" w:gutter="0" w:footer="0" w:header="0"/>
        </w:sectPr>
      </w:pPr>
    </w:p>
    <w:bookmarkStart w:id="169" w:name="page170"/>
    <w:bookmarkEnd w:id="169"/>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3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tbl>
      <w:tblPr>
        <w:tblLayout w:type="fixed"/>
        <w:tblInd w:w="0" w:type="dxa"/>
        <w:tblCellMar>
          <w:top w:w="0" w:type="dxa"/>
          <w:left w:w="0" w:type="dxa"/>
          <w:bottom w:w="0" w:type="dxa"/>
          <w:right w:w="0" w:type="dxa"/>
        </w:tblCellMar>
      </w:tblPr>
      <w:tr>
        <w:trPr>
          <w:trHeight w:val="166"/>
        </w:trPr>
        <w:tc>
          <w:tcPr>
            <w:tcW w:w="8400" w:type="dxa"/>
            <w:vAlign w:val="bottom"/>
            <w:gridSpan w:val="2"/>
          </w:tcPr>
          <w:p>
            <w:pPr>
              <w:spacing w:after="0"/>
              <w:rPr>
                <w:sz w:val="20"/>
                <w:szCs w:val="20"/>
                <w:color w:val="auto"/>
              </w:rPr>
            </w:pPr>
            <w:r>
              <w:rPr>
                <w:rFonts w:ascii="Arial" w:cs="Arial" w:eastAsia="Arial" w:hAnsi="Arial"/>
                <w:sz w:val="13"/>
                <w:szCs w:val="13"/>
                <w:b w:val="1"/>
                <w:bCs w:val="1"/>
                <w:color w:val="auto"/>
              </w:rPr>
              <w:t>6.  Loans (continued)</w:t>
            </w:r>
          </w:p>
        </w:tc>
        <w:tc>
          <w:tcPr>
            <w:tcW w:w="12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08"/>
        </w:trPr>
        <w:tc>
          <w:tcPr>
            <w:tcW w:w="8400" w:type="dxa"/>
            <w:vAlign w:val="bottom"/>
            <w:gridSpan w:val="2"/>
          </w:tcPr>
          <w:p>
            <w:pPr>
              <w:ind w:left="220"/>
              <w:spacing w:after="0"/>
              <w:rPr>
                <w:sz w:val="20"/>
                <w:szCs w:val="20"/>
                <w:color w:val="auto"/>
              </w:rPr>
            </w:pPr>
            <w:r>
              <w:rPr>
                <w:rFonts w:ascii="Arial" w:cs="Arial" w:eastAsia="Arial" w:hAnsi="Arial"/>
                <w:sz w:val="13"/>
                <w:szCs w:val="13"/>
                <w:color w:val="auto"/>
              </w:rPr>
              <w:t>The remaining loan maturities are summarized as follows:</w:t>
            </w:r>
          </w:p>
        </w:tc>
        <w:tc>
          <w:tcPr>
            <w:tcW w:w="12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05"/>
        </w:trPr>
        <w:tc>
          <w:tcPr>
            <w:tcW w:w="220" w:type="dxa"/>
            <w:vAlign w:val="bottom"/>
          </w:tcPr>
          <w:p>
            <w:pPr>
              <w:spacing w:after="0"/>
              <w:rPr>
                <w:sz w:val="24"/>
                <w:szCs w:val="24"/>
                <w:color w:val="auto"/>
              </w:rPr>
            </w:pPr>
          </w:p>
        </w:tc>
        <w:tc>
          <w:tcPr>
            <w:tcW w:w="8180" w:type="dxa"/>
            <w:vAlign w:val="bottom"/>
          </w:tcPr>
          <w:p>
            <w:pPr>
              <w:spacing w:after="0"/>
              <w:rPr>
                <w:sz w:val="24"/>
                <w:szCs w:val="24"/>
                <w:color w:val="auto"/>
              </w:rPr>
            </w:pPr>
          </w:p>
        </w:tc>
        <w:tc>
          <w:tcPr>
            <w:tcW w:w="142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7"/>
              </w:rPr>
              <w:t>December 31,</w:t>
            </w:r>
          </w:p>
        </w:tc>
        <w:tc>
          <w:tcPr>
            <w:tcW w:w="130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9"/>
              </w:rPr>
              <w:t>December 31,</w:t>
            </w:r>
          </w:p>
        </w:tc>
        <w:tc>
          <w:tcPr>
            <w:tcW w:w="0" w:type="dxa"/>
            <w:vAlign w:val="bottom"/>
          </w:tcPr>
          <w:p>
            <w:pPr>
              <w:spacing w:after="0"/>
              <w:rPr>
                <w:sz w:val="1"/>
                <w:szCs w:val="1"/>
                <w:color w:val="auto"/>
              </w:rPr>
            </w:pPr>
          </w:p>
        </w:tc>
      </w:tr>
      <w:tr>
        <w:trPr>
          <w:trHeight w:val="166"/>
        </w:trPr>
        <w:tc>
          <w:tcPr>
            <w:tcW w:w="220" w:type="dxa"/>
            <w:vAlign w:val="bottom"/>
          </w:tcPr>
          <w:p>
            <w:pPr>
              <w:spacing w:after="0"/>
              <w:rPr>
                <w:sz w:val="14"/>
                <w:szCs w:val="14"/>
                <w:color w:val="auto"/>
              </w:rPr>
            </w:pPr>
          </w:p>
        </w:tc>
        <w:tc>
          <w:tcPr>
            <w:tcW w:w="8180" w:type="dxa"/>
            <w:vAlign w:val="bottom"/>
            <w:tcBorders>
              <w:bottom w:val="single" w:sz="8" w:color="CCEEFF"/>
            </w:tcBorders>
          </w:tcPr>
          <w:p>
            <w:pPr>
              <w:spacing w:after="0"/>
              <w:rPr>
                <w:sz w:val="14"/>
                <w:szCs w:val="14"/>
                <w:color w:val="auto"/>
              </w:rPr>
            </w:pPr>
          </w:p>
        </w:tc>
        <w:tc>
          <w:tcPr>
            <w:tcW w:w="122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9"/>
              </w:rPr>
              <w:t>2018</w:t>
            </w:r>
          </w:p>
        </w:tc>
        <w:tc>
          <w:tcPr>
            <w:tcW w:w="200" w:type="dxa"/>
            <w:vAlign w:val="bottom"/>
            <w:tcBorders>
              <w:bottom w:val="single" w:sz="8" w:color="CCEEFF"/>
            </w:tcBorders>
          </w:tcPr>
          <w:p>
            <w:pPr>
              <w:spacing w:after="0"/>
              <w:rPr>
                <w:sz w:val="14"/>
                <w:szCs w:val="14"/>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9"/>
              </w:rPr>
              <w:t>2017</w:t>
            </w:r>
          </w:p>
        </w:tc>
        <w:tc>
          <w:tcPr>
            <w:tcW w:w="10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8180" w:type="dxa"/>
            <w:vAlign w:val="bottom"/>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Current:</w:t>
            </w:r>
          </w:p>
        </w:tc>
        <w:tc>
          <w:tcPr>
            <w:tcW w:w="12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2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8180" w:type="dxa"/>
            <w:vAlign w:val="bottom"/>
          </w:tcPr>
          <w:p>
            <w:pPr>
              <w:ind w:left="120"/>
              <w:spacing w:after="0"/>
              <w:rPr>
                <w:sz w:val="20"/>
                <w:szCs w:val="20"/>
                <w:color w:val="auto"/>
              </w:rPr>
            </w:pPr>
            <w:r>
              <w:rPr>
                <w:rFonts w:ascii="Arial" w:cs="Arial" w:eastAsia="Arial" w:hAnsi="Arial"/>
                <w:sz w:val="13"/>
                <w:szCs w:val="13"/>
                <w:color w:val="auto"/>
              </w:rPr>
              <w:t>Up to 1 month</w:t>
            </w:r>
          </w:p>
        </w:tc>
        <w:tc>
          <w:tcPr>
            <w:tcW w:w="1220" w:type="dxa"/>
            <w:vAlign w:val="bottom"/>
          </w:tcPr>
          <w:p>
            <w:pPr>
              <w:jc w:val="right"/>
              <w:spacing w:after="0"/>
              <w:rPr>
                <w:sz w:val="20"/>
                <w:szCs w:val="20"/>
                <w:color w:val="auto"/>
              </w:rPr>
            </w:pPr>
            <w:r>
              <w:rPr>
                <w:rFonts w:ascii="Arial" w:cs="Arial" w:eastAsia="Arial" w:hAnsi="Arial"/>
                <w:sz w:val="13"/>
                <w:szCs w:val="13"/>
                <w:color w:val="auto"/>
              </w:rPr>
              <w:t>820,184</w:t>
            </w:r>
          </w:p>
        </w:tc>
        <w:tc>
          <w:tcPr>
            <w:tcW w:w="200" w:type="dxa"/>
            <w:vAlign w:val="bottom"/>
          </w:tcPr>
          <w:p>
            <w:pPr>
              <w:spacing w:after="0"/>
              <w:rPr>
                <w:sz w:val="13"/>
                <w:szCs w:val="13"/>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846,993</w:t>
            </w: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8180" w:type="dxa"/>
            <w:vAlign w:val="bottom"/>
            <w:shd w:val="clear" w:color="auto" w:fill="CCEEFF"/>
          </w:tcPr>
          <w:p>
            <w:pPr>
              <w:ind w:left="120"/>
              <w:spacing w:after="0"/>
              <w:rPr>
                <w:sz w:val="20"/>
                <w:szCs w:val="20"/>
                <w:color w:val="auto"/>
              </w:rPr>
            </w:pPr>
            <w:r>
              <w:rPr>
                <w:rFonts w:ascii="Arial" w:cs="Arial" w:eastAsia="Arial" w:hAnsi="Arial"/>
                <w:sz w:val="13"/>
                <w:szCs w:val="13"/>
                <w:color w:val="auto"/>
              </w:rPr>
              <w:t>From 1 month to 3 months</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966,210</w:t>
            </w:r>
          </w:p>
        </w:tc>
        <w:tc>
          <w:tcPr>
            <w:tcW w:w="20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1,079,793</w:t>
            </w: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8180" w:type="dxa"/>
            <w:vAlign w:val="bottom"/>
          </w:tcPr>
          <w:p>
            <w:pPr>
              <w:ind w:left="120"/>
              <w:spacing w:after="0"/>
              <w:rPr>
                <w:sz w:val="20"/>
                <w:szCs w:val="20"/>
                <w:color w:val="auto"/>
              </w:rPr>
            </w:pPr>
            <w:r>
              <w:rPr>
                <w:rFonts w:ascii="Arial" w:cs="Arial" w:eastAsia="Arial" w:hAnsi="Arial"/>
                <w:sz w:val="13"/>
                <w:szCs w:val="13"/>
                <w:color w:val="auto"/>
              </w:rPr>
              <w:t>From 3 months to 6 months</w:t>
            </w:r>
          </w:p>
        </w:tc>
        <w:tc>
          <w:tcPr>
            <w:tcW w:w="1220" w:type="dxa"/>
            <w:vAlign w:val="bottom"/>
          </w:tcPr>
          <w:p>
            <w:pPr>
              <w:jc w:val="right"/>
              <w:spacing w:after="0"/>
              <w:rPr>
                <w:sz w:val="20"/>
                <w:szCs w:val="20"/>
                <w:color w:val="auto"/>
              </w:rPr>
            </w:pPr>
            <w:r>
              <w:rPr>
                <w:rFonts w:ascii="Arial" w:cs="Arial" w:eastAsia="Arial" w:hAnsi="Arial"/>
                <w:sz w:val="13"/>
                <w:szCs w:val="13"/>
                <w:color w:val="auto"/>
              </w:rPr>
              <w:t>1,281,615</w:t>
            </w:r>
          </w:p>
        </w:tc>
        <w:tc>
          <w:tcPr>
            <w:tcW w:w="200" w:type="dxa"/>
            <w:vAlign w:val="bottom"/>
          </w:tcPr>
          <w:p>
            <w:pPr>
              <w:spacing w:after="0"/>
              <w:rPr>
                <w:sz w:val="13"/>
                <w:szCs w:val="13"/>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1,175,801</w:t>
            </w: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8180" w:type="dxa"/>
            <w:vAlign w:val="bottom"/>
            <w:shd w:val="clear" w:color="auto" w:fill="CCEEFF"/>
          </w:tcPr>
          <w:p>
            <w:pPr>
              <w:ind w:left="120"/>
              <w:spacing w:after="0"/>
              <w:rPr>
                <w:sz w:val="20"/>
                <w:szCs w:val="20"/>
                <w:color w:val="auto"/>
              </w:rPr>
            </w:pPr>
            <w:r>
              <w:rPr>
                <w:rFonts w:ascii="Arial" w:cs="Arial" w:eastAsia="Arial" w:hAnsi="Arial"/>
                <w:sz w:val="13"/>
                <w:szCs w:val="13"/>
                <w:color w:val="auto"/>
              </w:rPr>
              <w:t>From 6 months to 1 year</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769,280</w:t>
            </w:r>
          </w:p>
        </w:tc>
        <w:tc>
          <w:tcPr>
            <w:tcW w:w="20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922,711</w:t>
            </w: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8180" w:type="dxa"/>
            <w:vAlign w:val="bottom"/>
          </w:tcPr>
          <w:p>
            <w:pPr>
              <w:ind w:left="120"/>
              <w:spacing w:after="0"/>
              <w:rPr>
                <w:sz w:val="20"/>
                <w:szCs w:val="20"/>
                <w:color w:val="auto"/>
              </w:rPr>
            </w:pPr>
            <w:r>
              <w:rPr>
                <w:rFonts w:ascii="Arial" w:cs="Arial" w:eastAsia="Arial" w:hAnsi="Arial"/>
                <w:sz w:val="13"/>
                <w:szCs w:val="13"/>
                <w:color w:val="auto"/>
              </w:rPr>
              <w:t>From 1 year to 2 years</w:t>
            </w:r>
          </w:p>
        </w:tc>
        <w:tc>
          <w:tcPr>
            <w:tcW w:w="1220" w:type="dxa"/>
            <w:vAlign w:val="bottom"/>
          </w:tcPr>
          <w:p>
            <w:pPr>
              <w:jc w:val="right"/>
              <w:spacing w:after="0"/>
              <w:rPr>
                <w:sz w:val="20"/>
                <w:szCs w:val="20"/>
                <w:color w:val="auto"/>
              </w:rPr>
            </w:pPr>
            <w:r>
              <w:rPr>
                <w:rFonts w:ascii="Arial" w:cs="Arial" w:eastAsia="Arial" w:hAnsi="Arial"/>
                <w:sz w:val="13"/>
                <w:szCs w:val="13"/>
                <w:color w:val="auto"/>
              </w:rPr>
              <w:t>719,564</w:t>
            </w:r>
          </w:p>
        </w:tc>
        <w:tc>
          <w:tcPr>
            <w:tcW w:w="200" w:type="dxa"/>
            <w:vAlign w:val="bottom"/>
          </w:tcPr>
          <w:p>
            <w:pPr>
              <w:spacing w:after="0"/>
              <w:rPr>
                <w:sz w:val="13"/>
                <w:szCs w:val="13"/>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392,456</w:t>
            </w: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8180" w:type="dxa"/>
            <w:vAlign w:val="bottom"/>
            <w:shd w:val="clear" w:color="auto" w:fill="CCEEFF"/>
          </w:tcPr>
          <w:p>
            <w:pPr>
              <w:ind w:left="120"/>
              <w:spacing w:after="0"/>
              <w:rPr>
                <w:sz w:val="20"/>
                <w:szCs w:val="20"/>
                <w:color w:val="auto"/>
              </w:rPr>
            </w:pPr>
            <w:r>
              <w:rPr>
                <w:rFonts w:ascii="Arial" w:cs="Arial" w:eastAsia="Arial" w:hAnsi="Arial"/>
                <w:sz w:val="13"/>
                <w:szCs w:val="13"/>
                <w:color w:val="auto"/>
              </w:rPr>
              <w:t>From 2 years to 5 years</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1,110,489</w:t>
            </w:r>
          </w:p>
        </w:tc>
        <w:tc>
          <w:tcPr>
            <w:tcW w:w="20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989,222</w:t>
            </w: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8180" w:type="dxa"/>
            <w:vAlign w:val="bottom"/>
          </w:tcPr>
          <w:p>
            <w:pPr>
              <w:ind w:left="120"/>
              <w:spacing w:after="0"/>
              <w:rPr>
                <w:sz w:val="20"/>
                <w:szCs w:val="20"/>
                <w:color w:val="auto"/>
              </w:rPr>
            </w:pPr>
            <w:r>
              <w:rPr>
                <w:rFonts w:ascii="Arial" w:cs="Arial" w:eastAsia="Arial" w:hAnsi="Arial"/>
                <w:sz w:val="13"/>
                <w:szCs w:val="13"/>
                <w:color w:val="auto"/>
              </w:rPr>
              <w:t>More than 5 years</w:t>
            </w:r>
          </w:p>
        </w:tc>
        <w:tc>
          <w:tcPr>
            <w:tcW w:w="1420" w:type="dxa"/>
            <w:vAlign w:val="bottom"/>
            <w:gridSpan w:val="2"/>
          </w:tcPr>
          <w:p>
            <w:pPr>
              <w:jc w:val="right"/>
              <w:ind w:right="200"/>
              <w:spacing w:after="0"/>
              <w:rPr>
                <w:sz w:val="20"/>
                <w:szCs w:val="20"/>
                <w:color w:val="auto"/>
              </w:rPr>
            </w:pPr>
            <w:r>
              <w:rPr>
                <w:rFonts w:ascii="Arial" w:cs="Arial" w:eastAsia="Arial" w:hAnsi="Arial"/>
                <w:sz w:val="13"/>
                <w:szCs w:val="13"/>
                <w:color w:val="auto"/>
              </w:rPr>
              <w:t>46,381</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39,923</w:t>
            </w: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818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5,713,723</w:t>
            </w: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5,446,899</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818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vMerge w:val="continue"/>
          </w:tcPr>
          <w:p>
            <w:pPr>
              <w:spacing w:after="0"/>
              <w:rPr>
                <w:sz w:val="14"/>
                <w:szCs w:val="14"/>
                <w:color w:val="auto"/>
              </w:rPr>
            </w:pPr>
          </w:p>
        </w:tc>
        <w:tc>
          <w:tcPr>
            <w:tcW w:w="818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Impaired</w:t>
            </w: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64,701</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58,759</w:t>
            </w: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8180" w:type="dxa"/>
            <w:vAlign w:val="bottom"/>
          </w:tcPr>
          <w:p>
            <w:pPr>
              <w:spacing w:after="0" w:line="143" w:lineRule="exact"/>
              <w:rPr>
                <w:sz w:val="20"/>
                <w:szCs w:val="20"/>
                <w:color w:val="auto"/>
              </w:rPr>
            </w:pPr>
            <w:r>
              <w:rPr>
                <w:rFonts w:ascii="Arial" w:cs="Arial" w:eastAsia="Arial" w:hAnsi="Arial"/>
                <w:sz w:val="13"/>
                <w:szCs w:val="13"/>
                <w:color w:val="auto"/>
              </w:rPr>
              <w:t>Total</w:t>
            </w: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5,778,424</w:t>
            </w:r>
          </w:p>
        </w:tc>
        <w:tc>
          <w:tcPr>
            <w:tcW w:w="200" w:type="dxa"/>
            <w:vAlign w:val="bottom"/>
          </w:tcPr>
          <w:p>
            <w:pPr>
              <w:spacing w:after="0"/>
              <w:rPr>
                <w:sz w:val="14"/>
                <w:szCs w:val="14"/>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5,505,658</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08"/>
        </w:trPr>
        <w:tc>
          <w:tcPr>
            <w:tcW w:w="8400" w:type="dxa"/>
            <w:vAlign w:val="bottom"/>
            <w:gridSpan w:val="2"/>
          </w:tcPr>
          <w:p>
            <w:pPr>
              <w:ind w:left="220"/>
              <w:spacing w:after="0"/>
              <w:rPr>
                <w:sz w:val="20"/>
                <w:szCs w:val="20"/>
                <w:color w:val="auto"/>
              </w:rPr>
            </w:pPr>
            <w:r>
              <w:rPr>
                <w:rFonts w:ascii="Arial" w:cs="Arial" w:eastAsia="Arial" w:hAnsi="Arial"/>
                <w:sz w:val="13"/>
                <w:szCs w:val="13"/>
                <w:color w:val="auto"/>
                <w:w w:val="96"/>
              </w:rPr>
              <w:t>As of December 31, 2018, and December 31, 2017, the range of interest rates on loans fluctuates from 1.20% to 12.25% (2017: 1.35% to 11.52%).</w:t>
            </w:r>
          </w:p>
        </w:tc>
        <w:tc>
          <w:tcPr>
            <w:tcW w:w="12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08"/>
        </w:trPr>
        <w:tc>
          <w:tcPr>
            <w:tcW w:w="8400" w:type="dxa"/>
            <w:vAlign w:val="bottom"/>
            <w:gridSpan w:val="2"/>
          </w:tcPr>
          <w:p>
            <w:pPr>
              <w:ind w:left="220"/>
              <w:spacing w:after="0"/>
              <w:rPr>
                <w:sz w:val="20"/>
                <w:szCs w:val="20"/>
                <w:color w:val="auto"/>
              </w:rPr>
            </w:pPr>
            <w:r>
              <w:rPr>
                <w:rFonts w:ascii="Arial" w:cs="Arial" w:eastAsia="Arial" w:hAnsi="Arial"/>
                <w:sz w:val="13"/>
                <w:szCs w:val="13"/>
                <w:color w:val="auto"/>
              </w:rPr>
              <w:t>The fixed and floating interest rate distribution of the loan portfolio is as follows:</w:t>
            </w:r>
          </w:p>
        </w:tc>
        <w:tc>
          <w:tcPr>
            <w:tcW w:w="12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05"/>
        </w:trPr>
        <w:tc>
          <w:tcPr>
            <w:tcW w:w="220" w:type="dxa"/>
            <w:vAlign w:val="bottom"/>
          </w:tcPr>
          <w:p>
            <w:pPr>
              <w:spacing w:after="0"/>
              <w:rPr>
                <w:sz w:val="24"/>
                <w:szCs w:val="24"/>
                <w:color w:val="auto"/>
              </w:rPr>
            </w:pPr>
          </w:p>
        </w:tc>
        <w:tc>
          <w:tcPr>
            <w:tcW w:w="8180" w:type="dxa"/>
            <w:vAlign w:val="bottom"/>
          </w:tcPr>
          <w:p>
            <w:pPr>
              <w:spacing w:after="0"/>
              <w:rPr>
                <w:sz w:val="24"/>
                <w:szCs w:val="24"/>
                <w:color w:val="auto"/>
              </w:rPr>
            </w:pPr>
          </w:p>
        </w:tc>
        <w:tc>
          <w:tcPr>
            <w:tcW w:w="142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7"/>
              </w:rPr>
              <w:t>December 31,</w:t>
            </w:r>
          </w:p>
        </w:tc>
        <w:tc>
          <w:tcPr>
            <w:tcW w:w="130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9"/>
              </w:rPr>
              <w:t>December 31,</w:t>
            </w:r>
          </w:p>
        </w:tc>
        <w:tc>
          <w:tcPr>
            <w:tcW w:w="0" w:type="dxa"/>
            <w:vAlign w:val="bottom"/>
          </w:tcPr>
          <w:p>
            <w:pPr>
              <w:spacing w:after="0"/>
              <w:rPr>
                <w:sz w:val="1"/>
                <w:szCs w:val="1"/>
                <w:color w:val="auto"/>
              </w:rPr>
            </w:pPr>
          </w:p>
        </w:tc>
      </w:tr>
      <w:tr>
        <w:trPr>
          <w:trHeight w:val="167"/>
        </w:trPr>
        <w:tc>
          <w:tcPr>
            <w:tcW w:w="220" w:type="dxa"/>
            <w:vAlign w:val="bottom"/>
          </w:tcPr>
          <w:p>
            <w:pPr>
              <w:spacing w:after="0"/>
              <w:rPr>
                <w:sz w:val="14"/>
                <w:szCs w:val="14"/>
                <w:color w:val="auto"/>
              </w:rPr>
            </w:pPr>
          </w:p>
        </w:tc>
        <w:tc>
          <w:tcPr>
            <w:tcW w:w="8180" w:type="dxa"/>
            <w:vAlign w:val="bottom"/>
            <w:tcBorders>
              <w:bottom w:val="single" w:sz="8" w:color="CCEEFF"/>
            </w:tcBorders>
          </w:tcPr>
          <w:p>
            <w:pPr>
              <w:spacing w:after="0"/>
              <w:rPr>
                <w:sz w:val="14"/>
                <w:szCs w:val="14"/>
                <w:color w:val="auto"/>
              </w:rPr>
            </w:pPr>
          </w:p>
        </w:tc>
        <w:tc>
          <w:tcPr>
            <w:tcW w:w="122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9"/>
              </w:rPr>
              <w:t>2018</w:t>
            </w:r>
          </w:p>
        </w:tc>
        <w:tc>
          <w:tcPr>
            <w:tcW w:w="200" w:type="dxa"/>
            <w:vAlign w:val="bottom"/>
            <w:tcBorders>
              <w:bottom w:val="single" w:sz="8" w:color="CCEEFF"/>
            </w:tcBorders>
          </w:tcPr>
          <w:p>
            <w:pPr>
              <w:spacing w:after="0"/>
              <w:rPr>
                <w:sz w:val="14"/>
                <w:szCs w:val="14"/>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9"/>
              </w:rPr>
              <w:t>2017</w:t>
            </w:r>
          </w:p>
        </w:tc>
        <w:tc>
          <w:tcPr>
            <w:tcW w:w="10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8180" w:type="dxa"/>
            <w:vAlign w:val="bottom"/>
            <w:shd w:val="clear" w:color="auto" w:fill="CCEEFF"/>
          </w:tcPr>
          <w:p>
            <w:pPr>
              <w:spacing w:after="0" w:line="144" w:lineRule="exact"/>
              <w:rPr>
                <w:sz w:val="20"/>
                <w:szCs w:val="20"/>
                <w:color w:val="auto"/>
              </w:rPr>
            </w:pPr>
            <w:r>
              <w:rPr>
                <w:rFonts w:ascii="Arial" w:cs="Arial" w:eastAsia="Arial" w:hAnsi="Arial"/>
                <w:sz w:val="13"/>
                <w:szCs w:val="13"/>
                <w:color w:val="auto"/>
              </w:rPr>
              <w:t>Fixed interest rates</w:t>
            </w:r>
          </w:p>
        </w:tc>
        <w:tc>
          <w:tcPr>
            <w:tcW w:w="122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color w:val="auto"/>
              </w:rPr>
              <w:t>2,706,834</w:t>
            </w:r>
          </w:p>
        </w:tc>
        <w:tc>
          <w:tcPr>
            <w:tcW w:w="200" w:type="dxa"/>
            <w:vAlign w:val="bottom"/>
            <w:shd w:val="clear" w:color="auto" w:fill="CCEEFF"/>
          </w:tcPr>
          <w:p>
            <w:pPr>
              <w:spacing w:after="0"/>
              <w:rPr>
                <w:sz w:val="12"/>
                <w:szCs w:val="12"/>
                <w:color w:val="auto"/>
              </w:rPr>
            </w:pPr>
          </w:p>
        </w:tc>
        <w:tc>
          <w:tcPr>
            <w:tcW w:w="120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color w:val="auto"/>
              </w:rPr>
              <w:t>2,378,509</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8180" w:type="dxa"/>
            <w:vAlign w:val="bottom"/>
          </w:tcPr>
          <w:p>
            <w:pPr>
              <w:spacing w:after="0"/>
              <w:rPr>
                <w:sz w:val="20"/>
                <w:szCs w:val="20"/>
                <w:color w:val="auto"/>
              </w:rPr>
            </w:pPr>
            <w:r>
              <w:rPr>
                <w:rFonts w:ascii="Arial" w:cs="Arial" w:eastAsia="Arial" w:hAnsi="Arial"/>
                <w:sz w:val="13"/>
                <w:szCs w:val="13"/>
                <w:color w:val="auto"/>
              </w:rPr>
              <w:t>Floating interest rates</w:t>
            </w:r>
          </w:p>
        </w:tc>
        <w:tc>
          <w:tcPr>
            <w:tcW w:w="1220" w:type="dxa"/>
            <w:vAlign w:val="bottom"/>
          </w:tcPr>
          <w:p>
            <w:pPr>
              <w:jc w:val="right"/>
              <w:spacing w:after="0"/>
              <w:rPr>
                <w:sz w:val="20"/>
                <w:szCs w:val="20"/>
                <w:color w:val="auto"/>
              </w:rPr>
            </w:pPr>
            <w:r>
              <w:rPr>
                <w:rFonts w:ascii="Arial" w:cs="Arial" w:eastAsia="Arial" w:hAnsi="Arial"/>
                <w:sz w:val="13"/>
                <w:szCs w:val="13"/>
                <w:color w:val="auto"/>
              </w:rPr>
              <w:t>3,071,590</w:t>
            </w:r>
          </w:p>
        </w:tc>
        <w:tc>
          <w:tcPr>
            <w:tcW w:w="200" w:type="dxa"/>
            <w:vAlign w:val="bottom"/>
          </w:tcPr>
          <w:p>
            <w:pPr>
              <w:spacing w:after="0"/>
              <w:rPr>
                <w:sz w:val="14"/>
                <w:szCs w:val="14"/>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3,127,149</w:t>
            </w: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8180" w:type="dxa"/>
            <w:vAlign w:val="bottom"/>
            <w:tcBorders>
              <w:top w:val="single" w:sz="8" w:color="CCEEFF"/>
              <w:bottom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Total</w:t>
            </w: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5,778,424</w:t>
            </w:r>
          </w:p>
        </w:tc>
        <w:tc>
          <w:tcPr>
            <w:tcW w:w="200" w:type="dxa"/>
            <w:vAlign w:val="bottom"/>
            <w:tcBorders>
              <w:top w:val="single" w:sz="8" w:color="CCEEFF"/>
              <w:bottom w:val="single" w:sz="8" w:color="CCEEFF"/>
            </w:tcBorders>
            <w:shd w:val="clear" w:color="auto" w:fill="CCEEFF"/>
          </w:tcPr>
          <w:p>
            <w:pPr>
              <w:spacing w:after="0"/>
              <w:rPr>
                <w:sz w:val="14"/>
                <w:szCs w:val="14"/>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5,505,658</w:t>
            </w: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bl>
    <w:p>
      <w:pPr>
        <w:spacing w:after="0" w:line="145" w:lineRule="exact"/>
        <w:rPr>
          <w:sz w:val="20"/>
          <w:szCs w:val="20"/>
          <w:color w:val="auto"/>
        </w:rPr>
      </w:pPr>
    </w:p>
    <w:p>
      <w:pPr>
        <w:ind w:left="220"/>
        <w:spacing w:after="0"/>
        <w:rPr>
          <w:sz w:val="20"/>
          <w:szCs w:val="20"/>
          <w:color w:val="auto"/>
        </w:rPr>
      </w:pPr>
      <w:r>
        <w:rPr>
          <w:rFonts w:ascii="Arial" w:cs="Arial" w:eastAsia="Arial" w:hAnsi="Arial"/>
          <w:sz w:val="13"/>
          <w:szCs w:val="13"/>
          <w:color w:val="auto"/>
        </w:rPr>
        <w:t>As of December 31, 2018, and December 31, 2017, 82% and 85% of the loan portfolio at fixed interest rates has remaining maturities of less than 180 days.</w:t>
      </w:r>
    </w:p>
    <w:p>
      <w:pPr>
        <w:spacing w:after="0" w:line="313" w:lineRule="exact"/>
        <w:rPr>
          <w:sz w:val="20"/>
          <w:szCs w:val="20"/>
          <w:color w:val="auto"/>
        </w:rPr>
      </w:pPr>
    </w:p>
    <w:p>
      <w:pPr>
        <w:jc w:val="center"/>
        <w:ind w:right="-359"/>
        <w:spacing w:after="0"/>
        <w:rPr>
          <w:sz w:val="20"/>
          <w:szCs w:val="20"/>
          <w:color w:val="auto"/>
        </w:rPr>
      </w:pPr>
      <w:r>
        <w:rPr>
          <w:rFonts w:ascii="Arial" w:cs="Arial" w:eastAsia="Arial" w:hAnsi="Arial"/>
          <w:sz w:val="13"/>
          <w:szCs w:val="13"/>
          <w:color w:val="auto"/>
        </w:rPr>
        <w:t>F-45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14605</wp:posOffset>
            </wp:positionV>
            <wp:extent cx="7285990" cy="6350"/>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3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120"/>
          </w:cols>
          <w:pgMar w:left="220" w:top="685" w:right="559" w:bottom="1440" w:gutter="0" w:footer="0" w:header="0"/>
        </w:sectPr>
      </w:pPr>
    </w:p>
    <w:bookmarkStart w:id="170" w:name="page171"/>
    <w:bookmarkEnd w:id="170"/>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3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133"/>
        </w:numPr>
        <w:rPr>
          <w:rFonts w:ascii="Arial" w:cs="Arial" w:eastAsia="Arial" w:hAnsi="Arial"/>
          <w:sz w:val="13"/>
          <w:szCs w:val="13"/>
          <w:b w:val="1"/>
          <w:bCs w:val="1"/>
          <w:color w:val="auto"/>
        </w:rPr>
      </w:pPr>
      <w:r>
        <w:rPr>
          <w:rFonts w:ascii="Arial" w:cs="Arial" w:eastAsia="Arial" w:hAnsi="Arial"/>
          <w:sz w:val="13"/>
          <w:szCs w:val="13"/>
          <w:b w:val="1"/>
          <w:bCs w:val="1"/>
          <w:color w:val="auto"/>
        </w:rPr>
        <w:t>Loans (continued)</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following table presents an aging analysis of the loan portfolio by credit classification in stages 1, 2 and 3:</w:t>
      </w:r>
    </w:p>
    <w:p>
      <w:pPr>
        <w:spacing w:after="0" w:line="164" w:lineRule="exact"/>
        <w:rPr>
          <w:sz w:val="20"/>
          <w:szCs w:val="20"/>
          <w:color w:val="auto"/>
        </w:rPr>
      </w:pPr>
    </w:p>
    <w:tbl>
      <w:tblPr>
        <w:tblLayout w:type="fixed"/>
        <w:tblInd w:w="223" w:type="dxa"/>
        <w:tblCellMar>
          <w:top w:w="0" w:type="dxa"/>
          <w:left w:w="0" w:type="dxa"/>
          <w:bottom w:w="0" w:type="dxa"/>
          <w:right w:w="0" w:type="dxa"/>
        </w:tblCellMar>
      </w:tblPr>
      <w:tr>
        <w:trPr>
          <w:trHeight w:val="166"/>
        </w:trPr>
        <w:tc>
          <w:tcPr>
            <w:tcW w:w="5360" w:type="dxa"/>
            <w:vAlign w:val="bottom"/>
          </w:tcPr>
          <w:p>
            <w:pPr>
              <w:spacing w:after="0"/>
              <w:rPr>
                <w:sz w:val="14"/>
                <w:szCs w:val="14"/>
                <w:color w:val="auto"/>
              </w:rPr>
            </w:pPr>
          </w:p>
        </w:tc>
        <w:tc>
          <w:tcPr>
            <w:tcW w:w="122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18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9"/>
              </w:rPr>
              <w:t>2018</w:t>
            </w:r>
          </w:p>
        </w:tc>
        <w:tc>
          <w:tcPr>
            <w:tcW w:w="220" w:type="dxa"/>
            <w:vAlign w:val="bottom"/>
            <w:tcBorders>
              <w:bottom w:val="single" w:sz="8" w:color="auto"/>
            </w:tcBorders>
          </w:tcPr>
          <w:p>
            <w:pPr>
              <w:spacing w:after="0"/>
              <w:rPr>
                <w:sz w:val="14"/>
                <w:szCs w:val="14"/>
                <w:color w:val="auto"/>
              </w:rPr>
            </w:pPr>
          </w:p>
        </w:tc>
        <w:tc>
          <w:tcPr>
            <w:tcW w:w="1200" w:type="dxa"/>
            <w:vAlign w:val="bottom"/>
            <w:tcBorders>
              <w:bottom w:val="single" w:sz="8" w:color="auto"/>
            </w:tcBorders>
          </w:tcPr>
          <w:p>
            <w:pPr>
              <w:spacing w:after="0"/>
              <w:rPr>
                <w:sz w:val="14"/>
                <w:szCs w:val="14"/>
                <w:color w:val="auto"/>
              </w:rPr>
            </w:pPr>
          </w:p>
        </w:tc>
        <w:tc>
          <w:tcPr>
            <w:tcW w:w="20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r>
      <w:tr>
        <w:trPr>
          <w:trHeight w:val="154"/>
        </w:trPr>
        <w:tc>
          <w:tcPr>
            <w:tcW w:w="5360" w:type="dxa"/>
            <w:vAlign w:val="bottom"/>
          </w:tcPr>
          <w:p>
            <w:pPr>
              <w:spacing w:after="0"/>
              <w:rPr>
                <w:sz w:val="13"/>
                <w:szCs w:val="13"/>
                <w:color w:val="auto"/>
              </w:rPr>
            </w:pPr>
          </w:p>
        </w:tc>
        <w:tc>
          <w:tcPr>
            <w:tcW w:w="1440" w:type="dxa"/>
            <w:vAlign w:val="bottom"/>
            <w:gridSpan w:val="2"/>
          </w:tcPr>
          <w:p>
            <w:pPr>
              <w:ind w:left="400"/>
              <w:spacing w:after="0"/>
              <w:rPr>
                <w:sz w:val="20"/>
                <w:szCs w:val="20"/>
                <w:color w:val="auto"/>
              </w:rPr>
            </w:pPr>
            <w:r>
              <w:rPr>
                <w:rFonts w:ascii="Arial" w:cs="Arial" w:eastAsia="Arial" w:hAnsi="Arial"/>
                <w:sz w:val="13"/>
                <w:szCs w:val="13"/>
                <w:b w:val="1"/>
                <w:bCs w:val="1"/>
                <w:color w:val="auto"/>
              </w:rPr>
              <w:t>Stage 1</w:t>
            </w:r>
          </w:p>
        </w:tc>
        <w:tc>
          <w:tcPr>
            <w:tcW w:w="14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2"/>
              </w:rPr>
              <w:t>Stage 2</w:t>
            </w:r>
          </w:p>
        </w:tc>
        <w:tc>
          <w:tcPr>
            <w:tcW w:w="1200" w:type="dxa"/>
            <w:vAlign w:val="bottom"/>
          </w:tcPr>
          <w:p>
            <w:pPr>
              <w:jc w:val="right"/>
              <w:ind w:right="336"/>
              <w:spacing w:after="0"/>
              <w:rPr>
                <w:sz w:val="20"/>
                <w:szCs w:val="20"/>
                <w:color w:val="auto"/>
              </w:rPr>
            </w:pPr>
            <w:r>
              <w:rPr>
                <w:rFonts w:ascii="Arial" w:cs="Arial" w:eastAsia="Arial" w:hAnsi="Arial"/>
                <w:sz w:val="13"/>
                <w:szCs w:val="13"/>
                <w:b w:val="1"/>
                <w:bCs w:val="1"/>
                <w:color w:val="auto"/>
              </w:rPr>
              <w:t>Stage 3</w:t>
            </w:r>
          </w:p>
        </w:tc>
        <w:tc>
          <w:tcPr>
            <w:tcW w:w="200" w:type="dxa"/>
            <w:vAlign w:val="bottom"/>
          </w:tcPr>
          <w:p>
            <w:pPr>
              <w:spacing w:after="0"/>
              <w:rPr>
                <w:sz w:val="13"/>
                <w:szCs w:val="13"/>
                <w:color w:val="auto"/>
              </w:rPr>
            </w:pPr>
          </w:p>
        </w:tc>
        <w:tc>
          <w:tcPr>
            <w:tcW w:w="1300" w:type="dxa"/>
            <w:vAlign w:val="bottom"/>
            <w:gridSpan w:val="3"/>
          </w:tcPr>
          <w:p>
            <w:pPr>
              <w:ind w:left="460"/>
              <w:spacing w:after="0"/>
              <w:rPr>
                <w:sz w:val="20"/>
                <w:szCs w:val="20"/>
                <w:color w:val="auto"/>
              </w:rPr>
            </w:pPr>
            <w:r>
              <w:rPr>
                <w:rFonts w:ascii="Arial" w:cs="Arial" w:eastAsia="Arial" w:hAnsi="Arial"/>
                <w:sz w:val="13"/>
                <w:szCs w:val="13"/>
                <w:b w:val="1"/>
                <w:bCs w:val="1"/>
                <w:color w:val="auto"/>
              </w:rPr>
              <w:t>Total</w:t>
            </w:r>
          </w:p>
        </w:tc>
      </w:tr>
      <w:tr>
        <w:trPr>
          <w:trHeight w:val="144"/>
        </w:trPr>
        <w:tc>
          <w:tcPr>
            <w:tcW w:w="5360" w:type="dxa"/>
            <w:vAlign w:val="bottom"/>
            <w:tcBorders>
              <w:top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Gross carrying amount</w:t>
            </w:r>
          </w:p>
        </w:tc>
        <w:tc>
          <w:tcPr>
            <w:tcW w:w="12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r>
      <w:tr>
        <w:trPr>
          <w:trHeight w:val="154"/>
        </w:trPr>
        <w:tc>
          <w:tcPr>
            <w:tcW w:w="5360" w:type="dxa"/>
            <w:vAlign w:val="bottom"/>
          </w:tcPr>
          <w:p>
            <w:pPr>
              <w:ind w:left="140"/>
              <w:spacing w:after="0"/>
              <w:rPr>
                <w:sz w:val="20"/>
                <w:szCs w:val="20"/>
                <w:color w:val="auto"/>
              </w:rPr>
            </w:pPr>
            <w:r>
              <w:rPr>
                <w:rFonts w:ascii="Arial" w:cs="Arial" w:eastAsia="Arial" w:hAnsi="Arial"/>
                <w:sz w:val="13"/>
                <w:szCs w:val="13"/>
                <w:color w:val="auto"/>
              </w:rPr>
              <w:t>Current</w:t>
            </w:r>
          </w:p>
        </w:tc>
        <w:tc>
          <w:tcPr>
            <w:tcW w:w="1220" w:type="dxa"/>
            <w:vAlign w:val="bottom"/>
          </w:tcPr>
          <w:p>
            <w:pPr>
              <w:jc w:val="right"/>
              <w:spacing w:after="0"/>
              <w:rPr>
                <w:sz w:val="20"/>
                <w:szCs w:val="20"/>
                <w:color w:val="auto"/>
              </w:rPr>
            </w:pPr>
            <w:r>
              <w:rPr>
                <w:rFonts w:ascii="Arial" w:cs="Arial" w:eastAsia="Arial" w:hAnsi="Arial"/>
                <w:sz w:val="13"/>
                <w:szCs w:val="13"/>
                <w:color w:val="auto"/>
              </w:rPr>
              <w:t>5,340,751</w:t>
            </w:r>
          </w:p>
        </w:tc>
        <w:tc>
          <w:tcPr>
            <w:tcW w:w="220" w:type="dxa"/>
            <w:vAlign w:val="bottom"/>
          </w:tcPr>
          <w:p>
            <w:pPr>
              <w:spacing w:after="0"/>
              <w:rPr>
                <w:sz w:val="13"/>
                <w:szCs w:val="13"/>
                <w:color w:val="auto"/>
              </w:rPr>
            </w:pPr>
          </w:p>
        </w:tc>
        <w:tc>
          <w:tcPr>
            <w:tcW w:w="1180" w:type="dxa"/>
            <w:vAlign w:val="bottom"/>
          </w:tcPr>
          <w:p>
            <w:pPr>
              <w:jc w:val="right"/>
              <w:spacing w:after="0"/>
              <w:rPr>
                <w:sz w:val="20"/>
                <w:szCs w:val="20"/>
                <w:color w:val="auto"/>
              </w:rPr>
            </w:pPr>
            <w:r>
              <w:rPr>
                <w:rFonts w:ascii="Arial" w:cs="Arial" w:eastAsia="Arial" w:hAnsi="Arial"/>
                <w:sz w:val="13"/>
                <w:szCs w:val="13"/>
                <w:color w:val="auto"/>
              </w:rPr>
              <w:t>372,972</w:t>
            </w:r>
          </w:p>
        </w:tc>
        <w:tc>
          <w:tcPr>
            <w:tcW w:w="220" w:type="dxa"/>
            <w:vAlign w:val="bottom"/>
          </w:tcPr>
          <w:p>
            <w:pPr>
              <w:spacing w:after="0"/>
              <w:rPr>
                <w:sz w:val="13"/>
                <w:szCs w:val="13"/>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3"/>
                <w:szCs w:val="13"/>
                <w:color w:val="auto"/>
              </w:rPr>
              <w:t>57,025</w:t>
            </w:r>
          </w:p>
        </w:tc>
        <w:tc>
          <w:tcPr>
            <w:tcW w:w="1220" w:type="dxa"/>
            <w:vAlign w:val="bottom"/>
            <w:gridSpan w:val="2"/>
          </w:tcPr>
          <w:p>
            <w:pPr>
              <w:jc w:val="right"/>
              <w:ind w:right="20"/>
              <w:spacing w:after="0"/>
              <w:rPr>
                <w:sz w:val="20"/>
                <w:szCs w:val="20"/>
                <w:color w:val="auto"/>
              </w:rPr>
            </w:pPr>
            <w:r>
              <w:rPr>
                <w:rFonts w:ascii="Arial" w:cs="Arial" w:eastAsia="Arial" w:hAnsi="Arial"/>
                <w:sz w:val="13"/>
                <w:szCs w:val="13"/>
                <w:color w:val="auto"/>
              </w:rPr>
              <w:t>5,770,748</w:t>
            </w:r>
          </w:p>
        </w:tc>
        <w:tc>
          <w:tcPr>
            <w:tcW w:w="80" w:type="dxa"/>
            <w:vAlign w:val="bottom"/>
          </w:tcPr>
          <w:p>
            <w:pPr>
              <w:spacing w:after="0"/>
              <w:rPr>
                <w:sz w:val="13"/>
                <w:szCs w:val="13"/>
                <w:color w:val="auto"/>
              </w:rPr>
            </w:pPr>
          </w:p>
        </w:tc>
      </w:tr>
      <w:tr>
        <w:trPr>
          <w:trHeight w:val="154"/>
        </w:trPr>
        <w:tc>
          <w:tcPr>
            <w:tcW w:w="5360" w:type="dxa"/>
            <w:vAlign w:val="bottom"/>
            <w:shd w:val="clear" w:color="auto" w:fill="CCEEFF"/>
          </w:tcPr>
          <w:p>
            <w:pPr>
              <w:ind w:left="140"/>
              <w:spacing w:after="0"/>
              <w:rPr>
                <w:sz w:val="20"/>
                <w:szCs w:val="20"/>
                <w:color w:val="auto"/>
              </w:rPr>
            </w:pPr>
            <w:r>
              <w:rPr>
                <w:rFonts w:ascii="Arial" w:cs="Arial" w:eastAsia="Arial" w:hAnsi="Arial"/>
                <w:sz w:val="13"/>
                <w:szCs w:val="13"/>
                <w:color w:val="auto"/>
              </w:rPr>
              <w:t>Past due</w:t>
            </w:r>
          </w:p>
        </w:tc>
        <w:tc>
          <w:tcPr>
            <w:tcW w:w="12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1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r>
      <w:tr>
        <w:trPr>
          <w:trHeight w:val="154"/>
        </w:trPr>
        <w:tc>
          <w:tcPr>
            <w:tcW w:w="5360" w:type="dxa"/>
            <w:vAlign w:val="bottom"/>
          </w:tcPr>
          <w:p>
            <w:pPr>
              <w:ind w:left="260"/>
              <w:spacing w:after="0"/>
              <w:rPr>
                <w:sz w:val="20"/>
                <w:szCs w:val="20"/>
                <w:color w:val="auto"/>
              </w:rPr>
            </w:pPr>
            <w:r>
              <w:rPr>
                <w:rFonts w:ascii="Arial" w:cs="Arial" w:eastAsia="Arial" w:hAnsi="Arial"/>
                <w:sz w:val="13"/>
                <w:szCs w:val="13"/>
                <w:color w:val="auto"/>
              </w:rPr>
              <w:t>90-120 days</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1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2,410</w:t>
            </w:r>
          </w:p>
        </w:tc>
        <w:tc>
          <w:tcPr>
            <w:tcW w:w="200" w:type="dxa"/>
            <w:vAlign w:val="bottom"/>
          </w:tcPr>
          <w:p>
            <w:pPr>
              <w:spacing w:after="0"/>
              <w:rPr>
                <w:sz w:val="13"/>
                <w:szCs w:val="13"/>
                <w:color w:val="auto"/>
              </w:rPr>
            </w:pPr>
          </w:p>
        </w:tc>
        <w:tc>
          <w:tcPr>
            <w:tcW w:w="1220" w:type="dxa"/>
            <w:vAlign w:val="bottom"/>
            <w:gridSpan w:val="2"/>
          </w:tcPr>
          <w:p>
            <w:pPr>
              <w:jc w:val="right"/>
              <w:ind w:right="20"/>
              <w:spacing w:after="0"/>
              <w:rPr>
                <w:sz w:val="20"/>
                <w:szCs w:val="20"/>
                <w:color w:val="auto"/>
              </w:rPr>
            </w:pPr>
            <w:r>
              <w:rPr>
                <w:rFonts w:ascii="Arial" w:cs="Arial" w:eastAsia="Arial" w:hAnsi="Arial"/>
                <w:sz w:val="13"/>
                <w:szCs w:val="13"/>
                <w:color w:val="auto"/>
              </w:rPr>
              <w:t>2,410</w:t>
            </w:r>
          </w:p>
        </w:tc>
        <w:tc>
          <w:tcPr>
            <w:tcW w:w="80" w:type="dxa"/>
            <w:vAlign w:val="bottom"/>
          </w:tcPr>
          <w:p>
            <w:pPr>
              <w:spacing w:after="0"/>
              <w:rPr>
                <w:sz w:val="13"/>
                <w:szCs w:val="13"/>
                <w:color w:val="auto"/>
              </w:rPr>
            </w:pPr>
          </w:p>
        </w:tc>
      </w:tr>
      <w:tr>
        <w:trPr>
          <w:trHeight w:val="154"/>
        </w:trPr>
        <w:tc>
          <w:tcPr>
            <w:tcW w:w="5360" w:type="dxa"/>
            <w:vAlign w:val="bottom"/>
            <w:shd w:val="clear" w:color="auto" w:fill="CCEEFF"/>
          </w:tcPr>
          <w:p>
            <w:pPr>
              <w:ind w:left="260"/>
              <w:spacing w:after="0"/>
              <w:rPr>
                <w:sz w:val="20"/>
                <w:szCs w:val="20"/>
                <w:color w:val="auto"/>
              </w:rPr>
            </w:pPr>
            <w:r>
              <w:rPr>
                <w:rFonts w:ascii="Arial" w:cs="Arial" w:eastAsia="Arial" w:hAnsi="Arial"/>
                <w:sz w:val="13"/>
                <w:szCs w:val="13"/>
                <w:color w:val="auto"/>
              </w:rPr>
              <w:t>151-180 days</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2,857</w:t>
            </w:r>
          </w:p>
        </w:tc>
        <w:tc>
          <w:tcPr>
            <w:tcW w:w="20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2,857</w:t>
            </w:r>
          </w:p>
        </w:tc>
        <w:tc>
          <w:tcPr>
            <w:tcW w:w="80" w:type="dxa"/>
            <w:vAlign w:val="bottom"/>
            <w:shd w:val="clear" w:color="auto" w:fill="CCEEFF"/>
          </w:tcPr>
          <w:p>
            <w:pPr>
              <w:spacing w:after="0"/>
              <w:rPr>
                <w:sz w:val="13"/>
                <w:szCs w:val="13"/>
                <w:color w:val="auto"/>
              </w:rPr>
            </w:pPr>
          </w:p>
        </w:tc>
      </w:tr>
      <w:tr>
        <w:trPr>
          <w:trHeight w:val="163"/>
        </w:trPr>
        <w:tc>
          <w:tcPr>
            <w:tcW w:w="5360" w:type="dxa"/>
            <w:vAlign w:val="bottom"/>
          </w:tcPr>
          <w:p>
            <w:pPr>
              <w:ind w:left="260"/>
              <w:spacing w:after="0"/>
              <w:rPr>
                <w:sz w:val="20"/>
                <w:szCs w:val="20"/>
                <w:color w:val="auto"/>
              </w:rPr>
            </w:pPr>
            <w:r>
              <w:rPr>
                <w:rFonts w:ascii="Arial" w:cs="Arial" w:eastAsia="Arial" w:hAnsi="Arial"/>
                <w:sz w:val="13"/>
                <w:szCs w:val="13"/>
                <w:color w:val="auto"/>
              </w:rPr>
              <w:t>More than 180 days</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1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2,409</w:t>
            </w:r>
          </w:p>
        </w:tc>
        <w:tc>
          <w:tcPr>
            <w:tcW w:w="200" w:type="dxa"/>
            <w:vAlign w:val="bottom"/>
          </w:tcPr>
          <w:p>
            <w:pPr>
              <w:spacing w:after="0"/>
              <w:rPr>
                <w:sz w:val="14"/>
                <w:szCs w:val="14"/>
                <w:color w:val="auto"/>
              </w:rPr>
            </w:pPr>
          </w:p>
        </w:tc>
        <w:tc>
          <w:tcPr>
            <w:tcW w:w="1220" w:type="dxa"/>
            <w:vAlign w:val="bottom"/>
            <w:gridSpan w:val="2"/>
          </w:tcPr>
          <w:p>
            <w:pPr>
              <w:jc w:val="right"/>
              <w:ind w:right="20"/>
              <w:spacing w:after="0"/>
              <w:rPr>
                <w:sz w:val="20"/>
                <w:szCs w:val="20"/>
                <w:color w:val="auto"/>
              </w:rPr>
            </w:pPr>
            <w:r>
              <w:rPr>
                <w:rFonts w:ascii="Arial" w:cs="Arial" w:eastAsia="Arial" w:hAnsi="Arial"/>
                <w:sz w:val="13"/>
                <w:szCs w:val="13"/>
                <w:color w:val="auto"/>
              </w:rPr>
              <w:t>2,409</w:t>
            </w:r>
          </w:p>
        </w:tc>
        <w:tc>
          <w:tcPr>
            <w:tcW w:w="80" w:type="dxa"/>
            <w:vAlign w:val="bottom"/>
          </w:tcPr>
          <w:p>
            <w:pPr>
              <w:spacing w:after="0"/>
              <w:rPr>
                <w:sz w:val="14"/>
                <w:szCs w:val="14"/>
                <w:color w:val="auto"/>
              </w:rPr>
            </w:pPr>
          </w:p>
        </w:tc>
      </w:tr>
      <w:tr>
        <w:trPr>
          <w:trHeight w:val="144"/>
        </w:trPr>
        <w:tc>
          <w:tcPr>
            <w:tcW w:w="5360" w:type="dxa"/>
            <w:vAlign w:val="bottom"/>
            <w:tcBorders>
              <w:top w:val="single" w:sz="8" w:color="CCEEFF"/>
            </w:tcBorders>
            <w:shd w:val="clear" w:color="auto" w:fill="CCEEFF"/>
          </w:tcPr>
          <w:p>
            <w:pPr>
              <w:ind w:left="140"/>
              <w:spacing w:after="0" w:line="143" w:lineRule="exact"/>
              <w:rPr>
                <w:sz w:val="20"/>
                <w:szCs w:val="20"/>
                <w:color w:val="auto"/>
              </w:rPr>
            </w:pPr>
            <w:r>
              <w:rPr>
                <w:rFonts w:ascii="Arial" w:cs="Arial" w:eastAsia="Arial" w:hAnsi="Arial"/>
                <w:sz w:val="13"/>
                <w:szCs w:val="13"/>
                <w:color w:val="auto"/>
              </w:rPr>
              <w:t>Total past due</w:t>
            </w:r>
          </w:p>
        </w:tc>
        <w:tc>
          <w:tcPr>
            <w:tcW w:w="12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7,676</w:t>
            </w: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7,676</w:t>
            </w: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r>
      <w:tr>
        <w:trPr>
          <w:trHeight w:val="162"/>
        </w:trPr>
        <w:tc>
          <w:tcPr>
            <w:tcW w:w="5360" w:type="dxa"/>
            <w:vAlign w:val="bottom"/>
          </w:tcPr>
          <w:p>
            <w:pPr>
              <w:spacing w:after="0" w:line="146" w:lineRule="exact"/>
              <w:rPr>
                <w:sz w:val="20"/>
                <w:szCs w:val="20"/>
                <w:color w:val="auto"/>
              </w:rPr>
            </w:pPr>
            <w:r>
              <w:rPr>
                <w:rFonts w:ascii="Arial" w:cs="Arial" w:eastAsia="Arial" w:hAnsi="Arial"/>
                <w:sz w:val="13"/>
                <w:szCs w:val="13"/>
                <w:b w:val="1"/>
                <w:bCs w:val="1"/>
                <w:color w:val="auto"/>
              </w:rPr>
              <w:t>Total</w:t>
            </w: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5,340,751</w:t>
            </w:r>
          </w:p>
        </w:tc>
        <w:tc>
          <w:tcPr>
            <w:tcW w:w="220" w:type="dxa"/>
            <w:vAlign w:val="bottom"/>
          </w:tcPr>
          <w:p>
            <w:pPr>
              <w:spacing w:after="0"/>
              <w:rPr>
                <w:sz w:val="14"/>
                <w:szCs w:val="14"/>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372,972</w:t>
            </w:r>
          </w:p>
        </w:tc>
        <w:tc>
          <w:tcPr>
            <w:tcW w:w="220" w:type="dxa"/>
            <w:vAlign w:val="bottom"/>
          </w:tcPr>
          <w:p>
            <w:pPr>
              <w:spacing w:after="0"/>
              <w:rPr>
                <w:sz w:val="14"/>
                <w:szCs w:val="1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64,701</w:t>
            </w:r>
          </w:p>
        </w:tc>
        <w:tc>
          <w:tcPr>
            <w:tcW w:w="200" w:type="dxa"/>
            <w:vAlign w:val="bottom"/>
          </w:tcPr>
          <w:p>
            <w:pPr>
              <w:spacing w:after="0"/>
              <w:rPr>
                <w:sz w:val="14"/>
                <w:szCs w:val="1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5,778,424</w:t>
            </w: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r>
      <w:tr>
        <w:trPr>
          <w:trHeight w:val="317"/>
        </w:trPr>
        <w:tc>
          <w:tcPr>
            <w:tcW w:w="5360" w:type="dxa"/>
            <w:vAlign w:val="bottom"/>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9"/>
              </w:rPr>
              <w:t>2017</w:t>
            </w: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154"/>
        </w:trPr>
        <w:tc>
          <w:tcPr>
            <w:tcW w:w="5360" w:type="dxa"/>
            <w:vAlign w:val="bottom"/>
          </w:tcPr>
          <w:p>
            <w:pPr>
              <w:spacing w:after="0"/>
              <w:rPr>
                <w:sz w:val="13"/>
                <w:szCs w:val="13"/>
                <w:color w:val="auto"/>
              </w:rPr>
            </w:pPr>
          </w:p>
        </w:tc>
        <w:tc>
          <w:tcPr>
            <w:tcW w:w="1440" w:type="dxa"/>
            <w:vAlign w:val="bottom"/>
            <w:gridSpan w:val="2"/>
          </w:tcPr>
          <w:p>
            <w:pPr>
              <w:ind w:left="400"/>
              <w:spacing w:after="0"/>
              <w:rPr>
                <w:sz w:val="20"/>
                <w:szCs w:val="20"/>
                <w:color w:val="auto"/>
              </w:rPr>
            </w:pPr>
            <w:r>
              <w:rPr>
                <w:rFonts w:ascii="Arial" w:cs="Arial" w:eastAsia="Arial" w:hAnsi="Arial"/>
                <w:sz w:val="13"/>
                <w:szCs w:val="13"/>
                <w:b w:val="1"/>
                <w:bCs w:val="1"/>
                <w:color w:val="auto"/>
              </w:rPr>
              <w:t>Stage 1</w:t>
            </w:r>
          </w:p>
        </w:tc>
        <w:tc>
          <w:tcPr>
            <w:tcW w:w="14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2"/>
              </w:rPr>
              <w:t>Stage 2</w:t>
            </w:r>
          </w:p>
        </w:tc>
        <w:tc>
          <w:tcPr>
            <w:tcW w:w="1200" w:type="dxa"/>
            <w:vAlign w:val="bottom"/>
          </w:tcPr>
          <w:p>
            <w:pPr>
              <w:jc w:val="right"/>
              <w:ind w:right="336"/>
              <w:spacing w:after="0"/>
              <w:rPr>
                <w:sz w:val="20"/>
                <w:szCs w:val="20"/>
                <w:color w:val="auto"/>
              </w:rPr>
            </w:pPr>
            <w:r>
              <w:rPr>
                <w:rFonts w:ascii="Arial" w:cs="Arial" w:eastAsia="Arial" w:hAnsi="Arial"/>
                <w:sz w:val="13"/>
                <w:szCs w:val="13"/>
                <w:b w:val="1"/>
                <w:bCs w:val="1"/>
                <w:color w:val="auto"/>
              </w:rPr>
              <w:t>Stage 3</w:t>
            </w:r>
          </w:p>
        </w:tc>
        <w:tc>
          <w:tcPr>
            <w:tcW w:w="200" w:type="dxa"/>
            <w:vAlign w:val="bottom"/>
          </w:tcPr>
          <w:p>
            <w:pPr>
              <w:spacing w:after="0"/>
              <w:rPr>
                <w:sz w:val="13"/>
                <w:szCs w:val="13"/>
                <w:color w:val="auto"/>
              </w:rPr>
            </w:pPr>
          </w:p>
        </w:tc>
        <w:tc>
          <w:tcPr>
            <w:tcW w:w="1300" w:type="dxa"/>
            <w:vAlign w:val="bottom"/>
            <w:gridSpan w:val="3"/>
          </w:tcPr>
          <w:p>
            <w:pPr>
              <w:ind w:left="460"/>
              <w:spacing w:after="0"/>
              <w:rPr>
                <w:sz w:val="20"/>
                <w:szCs w:val="20"/>
                <w:color w:val="auto"/>
              </w:rPr>
            </w:pPr>
            <w:r>
              <w:rPr>
                <w:rFonts w:ascii="Arial" w:cs="Arial" w:eastAsia="Arial" w:hAnsi="Arial"/>
                <w:sz w:val="13"/>
                <w:szCs w:val="13"/>
                <w:b w:val="1"/>
                <w:bCs w:val="1"/>
                <w:color w:val="auto"/>
              </w:rPr>
              <w:t>Total</w:t>
            </w:r>
          </w:p>
        </w:tc>
      </w:tr>
      <w:tr>
        <w:trPr>
          <w:trHeight w:val="144"/>
        </w:trPr>
        <w:tc>
          <w:tcPr>
            <w:tcW w:w="5360" w:type="dxa"/>
            <w:vAlign w:val="bottom"/>
            <w:tcBorders>
              <w:top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Gross carrying amount</w:t>
            </w:r>
          </w:p>
        </w:tc>
        <w:tc>
          <w:tcPr>
            <w:tcW w:w="12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r>
      <w:tr>
        <w:trPr>
          <w:trHeight w:val="154"/>
        </w:trPr>
        <w:tc>
          <w:tcPr>
            <w:tcW w:w="5360" w:type="dxa"/>
            <w:vAlign w:val="bottom"/>
          </w:tcPr>
          <w:p>
            <w:pPr>
              <w:ind w:left="140"/>
              <w:spacing w:after="0"/>
              <w:rPr>
                <w:sz w:val="20"/>
                <w:szCs w:val="20"/>
                <w:color w:val="auto"/>
              </w:rPr>
            </w:pPr>
            <w:r>
              <w:rPr>
                <w:rFonts w:ascii="Arial" w:cs="Arial" w:eastAsia="Arial" w:hAnsi="Arial"/>
                <w:sz w:val="13"/>
                <w:szCs w:val="13"/>
                <w:color w:val="auto"/>
              </w:rPr>
              <w:t>Current</w:t>
            </w:r>
          </w:p>
        </w:tc>
        <w:tc>
          <w:tcPr>
            <w:tcW w:w="1220" w:type="dxa"/>
            <w:vAlign w:val="bottom"/>
          </w:tcPr>
          <w:p>
            <w:pPr>
              <w:jc w:val="right"/>
              <w:spacing w:after="0"/>
              <w:rPr>
                <w:sz w:val="20"/>
                <w:szCs w:val="20"/>
                <w:color w:val="auto"/>
              </w:rPr>
            </w:pPr>
            <w:r>
              <w:rPr>
                <w:rFonts w:ascii="Arial" w:cs="Arial" w:eastAsia="Arial" w:hAnsi="Arial"/>
                <w:sz w:val="13"/>
                <w:szCs w:val="13"/>
                <w:color w:val="auto"/>
              </w:rPr>
              <w:t>4,839,227</w:t>
            </w:r>
          </w:p>
        </w:tc>
        <w:tc>
          <w:tcPr>
            <w:tcW w:w="220" w:type="dxa"/>
            <w:vAlign w:val="bottom"/>
          </w:tcPr>
          <w:p>
            <w:pPr>
              <w:spacing w:after="0"/>
              <w:rPr>
                <w:sz w:val="13"/>
                <w:szCs w:val="13"/>
                <w:color w:val="auto"/>
              </w:rPr>
            </w:pPr>
          </w:p>
        </w:tc>
        <w:tc>
          <w:tcPr>
            <w:tcW w:w="1180" w:type="dxa"/>
            <w:vAlign w:val="bottom"/>
          </w:tcPr>
          <w:p>
            <w:pPr>
              <w:jc w:val="right"/>
              <w:spacing w:after="0"/>
              <w:rPr>
                <w:sz w:val="20"/>
                <w:szCs w:val="20"/>
                <w:color w:val="auto"/>
              </w:rPr>
            </w:pPr>
            <w:r>
              <w:rPr>
                <w:rFonts w:ascii="Arial" w:cs="Arial" w:eastAsia="Arial" w:hAnsi="Arial"/>
                <w:sz w:val="13"/>
                <w:szCs w:val="13"/>
                <w:color w:val="auto"/>
              </w:rPr>
              <w:t>607,672</w:t>
            </w:r>
          </w:p>
        </w:tc>
        <w:tc>
          <w:tcPr>
            <w:tcW w:w="220" w:type="dxa"/>
            <w:vAlign w:val="bottom"/>
          </w:tcPr>
          <w:p>
            <w:pPr>
              <w:spacing w:after="0"/>
              <w:rPr>
                <w:sz w:val="13"/>
                <w:szCs w:val="13"/>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3"/>
                <w:szCs w:val="13"/>
                <w:color w:val="auto"/>
              </w:rPr>
              <w:t>23,759</w:t>
            </w:r>
          </w:p>
        </w:tc>
        <w:tc>
          <w:tcPr>
            <w:tcW w:w="1220" w:type="dxa"/>
            <w:vAlign w:val="bottom"/>
            <w:gridSpan w:val="2"/>
          </w:tcPr>
          <w:p>
            <w:pPr>
              <w:jc w:val="right"/>
              <w:ind w:right="20"/>
              <w:spacing w:after="0"/>
              <w:rPr>
                <w:sz w:val="20"/>
                <w:szCs w:val="20"/>
                <w:color w:val="auto"/>
              </w:rPr>
            </w:pPr>
            <w:r>
              <w:rPr>
                <w:rFonts w:ascii="Arial" w:cs="Arial" w:eastAsia="Arial" w:hAnsi="Arial"/>
                <w:sz w:val="13"/>
                <w:szCs w:val="13"/>
                <w:color w:val="auto"/>
              </w:rPr>
              <w:t>5,470,658</w:t>
            </w:r>
          </w:p>
        </w:tc>
        <w:tc>
          <w:tcPr>
            <w:tcW w:w="80" w:type="dxa"/>
            <w:vAlign w:val="bottom"/>
          </w:tcPr>
          <w:p>
            <w:pPr>
              <w:spacing w:after="0"/>
              <w:rPr>
                <w:sz w:val="13"/>
                <w:szCs w:val="13"/>
                <w:color w:val="auto"/>
              </w:rPr>
            </w:pPr>
          </w:p>
        </w:tc>
      </w:tr>
      <w:tr>
        <w:trPr>
          <w:trHeight w:val="154"/>
        </w:trPr>
        <w:tc>
          <w:tcPr>
            <w:tcW w:w="5360" w:type="dxa"/>
            <w:vAlign w:val="bottom"/>
            <w:shd w:val="clear" w:color="auto" w:fill="CCEEFF"/>
          </w:tcPr>
          <w:p>
            <w:pPr>
              <w:ind w:left="140"/>
              <w:spacing w:after="0"/>
              <w:rPr>
                <w:sz w:val="20"/>
                <w:szCs w:val="20"/>
                <w:color w:val="auto"/>
              </w:rPr>
            </w:pPr>
            <w:r>
              <w:rPr>
                <w:rFonts w:ascii="Arial" w:cs="Arial" w:eastAsia="Arial" w:hAnsi="Arial"/>
                <w:sz w:val="13"/>
                <w:szCs w:val="13"/>
                <w:color w:val="auto"/>
              </w:rPr>
              <w:t>Past due</w:t>
            </w:r>
          </w:p>
        </w:tc>
        <w:tc>
          <w:tcPr>
            <w:tcW w:w="12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1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r>
      <w:tr>
        <w:trPr>
          <w:trHeight w:val="154"/>
        </w:trPr>
        <w:tc>
          <w:tcPr>
            <w:tcW w:w="5360" w:type="dxa"/>
            <w:vAlign w:val="bottom"/>
          </w:tcPr>
          <w:p>
            <w:pPr>
              <w:ind w:left="260"/>
              <w:spacing w:after="0"/>
              <w:rPr>
                <w:sz w:val="20"/>
                <w:szCs w:val="20"/>
                <w:color w:val="auto"/>
              </w:rPr>
            </w:pPr>
            <w:r>
              <w:rPr>
                <w:rFonts w:ascii="Arial" w:cs="Arial" w:eastAsia="Arial" w:hAnsi="Arial"/>
                <w:sz w:val="13"/>
                <w:szCs w:val="13"/>
                <w:color w:val="auto"/>
              </w:rPr>
              <w:t>90-120 days</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1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220" w:type="dxa"/>
            <w:vAlign w:val="bottom"/>
            <w:gridSpan w:val="2"/>
          </w:tcPr>
          <w:p>
            <w:pPr>
              <w:jc w:val="right"/>
              <w:ind w:right="20"/>
              <w:spacing w:after="0"/>
              <w:rPr>
                <w:sz w:val="20"/>
                <w:szCs w:val="20"/>
                <w:color w:val="auto"/>
              </w:rPr>
            </w:pPr>
            <w:r>
              <w:rPr>
                <w:rFonts w:ascii="Arial" w:cs="Arial" w:eastAsia="Arial" w:hAnsi="Arial"/>
                <w:sz w:val="13"/>
                <w:szCs w:val="13"/>
                <w:color w:val="auto"/>
              </w:rPr>
              <w:t>-</w:t>
            </w:r>
          </w:p>
        </w:tc>
        <w:tc>
          <w:tcPr>
            <w:tcW w:w="80" w:type="dxa"/>
            <w:vAlign w:val="bottom"/>
          </w:tcPr>
          <w:p>
            <w:pPr>
              <w:spacing w:after="0"/>
              <w:rPr>
                <w:sz w:val="13"/>
                <w:szCs w:val="13"/>
                <w:color w:val="auto"/>
              </w:rPr>
            </w:pPr>
          </w:p>
        </w:tc>
      </w:tr>
      <w:tr>
        <w:trPr>
          <w:trHeight w:val="154"/>
        </w:trPr>
        <w:tc>
          <w:tcPr>
            <w:tcW w:w="5360" w:type="dxa"/>
            <w:vAlign w:val="bottom"/>
            <w:shd w:val="clear" w:color="auto" w:fill="CCEEFF"/>
          </w:tcPr>
          <w:p>
            <w:pPr>
              <w:ind w:left="260"/>
              <w:spacing w:after="0"/>
              <w:rPr>
                <w:sz w:val="20"/>
                <w:szCs w:val="20"/>
                <w:color w:val="auto"/>
              </w:rPr>
            </w:pPr>
            <w:r>
              <w:rPr>
                <w:rFonts w:ascii="Arial" w:cs="Arial" w:eastAsia="Arial" w:hAnsi="Arial"/>
                <w:sz w:val="13"/>
                <w:szCs w:val="13"/>
                <w:color w:val="auto"/>
              </w:rPr>
              <w:t>151-180 days</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w:t>
            </w:r>
          </w:p>
        </w:tc>
        <w:tc>
          <w:tcPr>
            <w:tcW w:w="80" w:type="dxa"/>
            <w:vAlign w:val="bottom"/>
            <w:shd w:val="clear" w:color="auto" w:fill="CCEEFF"/>
          </w:tcPr>
          <w:p>
            <w:pPr>
              <w:spacing w:after="0"/>
              <w:rPr>
                <w:sz w:val="13"/>
                <w:szCs w:val="13"/>
                <w:color w:val="auto"/>
              </w:rPr>
            </w:pPr>
          </w:p>
        </w:tc>
      </w:tr>
      <w:tr>
        <w:trPr>
          <w:trHeight w:val="163"/>
        </w:trPr>
        <w:tc>
          <w:tcPr>
            <w:tcW w:w="5360" w:type="dxa"/>
            <w:vAlign w:val="bottom"/>
          </w:tcPr>
          <w:p>
            <w:pPr>
              <w:ind w:left="260"/>
              <w:spacing w:after="0"/>
              <w:rPr>
                <w:sz w:val="20"/>
                <w:szCs w:val="20"/>
                <w:color w:val="auto"/>
              </w:rPr>
            </w:pPr>
            <w:r>
              <w:rPr>
                <w:rFonts w:ascii="Arial" w:cs="Arial" w:eastAsia="Arial" w:hAnsi="Arial"/>
                <w:sz w:val="13"/>
                <w:szCs w:val="13"/>
                <w:color w:val="auto"/>
              </w:rPr>
              <w:t>More than 180 days</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1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3"/>
                <w:szCs w:val="13"/>
                <w:color w:val="auto"/>
              </w:rPr>
              <w:t>35,000</w:t>
            </w:r>
          </w:p>
        </w:tc>
        <w:tc>
          <w:tcPr>
            <w:tcW w:w="1300" w:type="dxa"/>
            <w:vAlign w:val="bottom"/>
            <w:gridSpan w:val="3"/>
          </w:tcPr>
          <w:p>
            <w:pPr>
              <w:jc w:val="right"/>
              <w:ind w:right="100"/>
              <w:spacing w:after="0"/>
              <w:rPr>
                <w:sz w:val="20"/>
                <w:szCs w:val="20"/>
                <w:color w:val="auto"/>
              </w:rPr>
            </w:pPr>
            <w:r>
              <w:rPr>
                <w:rFonts w:ascii="Arial" w:cs="Arial" w:eastAsia="Arial" w:hAnsi="Arial"/>
                <w:sz w:val="13"/>
                <w:szCs w:val="13"/>
                <w:color w:val="auto"/>
              </w:rPr>
              <w:t>35,000</w:t>
            </w:r>
          </w:p>
        </w:tc>
      </w:tr>
      <w:tr>
        <w:trPr>
          <w:trHeight w:val="144"/>
        </w:trPr>
        <w:tc>
          <w:tcPr>
            <w:tcW w:w="5360" w:type="dxa"/>
            <w:vAlign w:val="bottom"/>
            <w:tcBorders>
              <w:top w:val="single" w:sz="8" w:color="CCEEFF"/>
            </w:tcBorders>
            <w:shd w:val="clear" w:color="auto" w:fill="CCEEFF"/>
          </w:tcPr>
          <w:p>
            <w:pPr>
              <w:ind w:left="140"/>
              <w:spacing w:after="0" w:line="143" w:lineRule="exact"/>
              <w:rPr>
                <w:sz w:val="20"/>
                <w:szCs w:val="20"/>
                <w:color w:val="auto"/>
              </w:rPr>
            </w:pPr>
            <w:r>
              <w:rPr>
                <w:rFonts w:ascii="Arial" w:cs="Arial" w:eastAsia="Arial" w:hAnsi="Arial"/>
                <w:sz w:val="13"/>
                <w:szCs w:val="13"/>
                <w:color w:val="auto"/>
              </w:rPr>
              <w:t>Total past due</w:t>
            </w:r>
          </w:p>
        </w:tc>
        <w:tc>
          <w:tcPr>
            <w:tcW w:w="12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35,000</w:t>
            </w: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35,000</w:t>
            </w:r>
          </w:p>
        </w:tc>
        <w:tc>
          <w:tcPr>
            <w:tcW w:w="100" w:type="dxa"/>
            <w:vAlign w:val="bottom"/>
            <w:tcBorders>
              <w:top w:val="single" w:sz="8" w:color="CCEEFF"/>
            </w:tcBorders>
            <w:gridSpan w:val="2"/>
            <w:shd w:val="clear" w:color="auto" w:fill="CCEEFF"/>
          </w:tcPr>
          <w:p>
            <w:pPr>
              <w:spacing w:after="0"/>
              <w:rPr>
                <w:sz w:val="12"/>
                <w:szCs w:val="12"/>
                <w:color w:val="auto"/>
              </w:rPr>
            </w:pPr>
          </w:p>
        </w:tc>
      </w:tr>
      <w:tr>
        <w:trPr>
          <w:trHeight w:val="162"/>
        </w:trPr>
        <w:tc>
          <w:tcPr>
            <w:tcW w:w="5360" w:type="dxa"/>
            <w:vAlign w:val="bottom"/>
          </w:tcPr>
          <w:p>
            <w:pPr>
              <w:spacing w:after="0" w:line="146" w:lineRule="exact"/>
              <w:rPr>
                <w:sz w:val="20"/>
                <w:szCs w:val="20"/>
                <w:color w:val="auto"/>
              </w:rPr>
            </w:pPr>
            <w:r>
              <w:rPr>
                <w:rFonts w:ascii="Arial" w:cs="Arial" w:eastAsia="Arial" w:hAnsi="Arial"/>
                <w:sz w:val="13"/>
                <w:szCs w:val="13"/>
                <w:b w:val="1"/>
                <w:bCs w:val="1"/>
                <w:color w:val="auto"/>
              </w:rPr>
              <w:t>Total</w:t>
            </w: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4,839,227</w:t>
            </w:r>
          </w:p>
        </w:tc>
        <w:tc>
          <w:tcPr>
            <w:tcW w:w="220" w:type="dxa"/>
            <w:vAlign w:val="bottom"/>
          </w:tcPr>
          <w:p>
            <w:pPr>
              <w:spacing w:after="0"/>
              <w:rPr>
                <w:sz w:val="14"/>
                <w:szCs w:val="14"/>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607,672</w:t>
            </w:r>
          </w:p>
        </w:tc>
        <w:tc>
          <w:tcPr>
            <w:tcW w:w="220" w:type="dxa"/>
            <w:vAlign w:val="bottom"/>
          </w:tcPr>
          <w:p>
            <w:pPr>
              <w:spacing w:after="0"/>
              <w:rPr>
                <w:sz w:val="14"/>
                <w:szCs w:val="1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58,759</w:t>
            </w:r>
          </w:p>
        </w:tc>
        <w:tc>
          <w:tcPr>
            <w:tcW w:w="200" w:type="dxa"/>
            <w:vAlign w:val="bottom"/>
          </w:tcPr>
          <w:p>
            <w:pPr>
              <w:spacing w:after="0"/>
              <w:rPr>
                <w:sz w:val="14"/>
                <w:szCs w:val="1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5,505,658</w:t>
            </w:r>
          </w:p>
        </w:tc>
        <w:tc>
          <w:tcPr>
            <w:tcW w:w="20" w:type="dxa"/>
            <w:vAlign w:val="bottom"/>
            <w:tcBorders>
              <w:bottom w:val="single" w:sz="8" w:color="auto"/>
            </w:tcBorders>
          </w:tcPr>
          <w:p>
            <w:pPr>
              <w:spacing w:after="0"/>
              <w:rPr>
                <w:sz w:val="14"/>
                <w:szCs w:val="14"/>
                <w:color w:val="auto"/>
              </w:rPr>
            </w:pPr>
          </w:p>
        </w:tc>
        <w:tc>
          <w:tcPr>
            <w:tcW w:w="80" w:type="dxa"/>
            <w:vAlign w:val="bottom"/>
          </w:tcPr>
          <w:p>
            <w:pPr>
              <w:spacing w:after="0"/>
              <w:rPr>
                <w:sz w:val="14"/>
                <w:szCs w:val="14"/>
                <w:color w:val="auto"/>
              </w:rPr>
            </w:pPr>
          </w:p>
        </w:tc>
      </w:tr>
    </w:tbl>
    <w:p>
      <w:pPr>
        <w:spacing w:after="0" w:line="145" w:lineRule="exact"/>
        <w:rPr>
          <w:sz w:val="20"/>
          <w:szCs w:val="20"/>
          <w:color w:val="auto"/>
        </w:rPr>
      </w:pPr>
    </w:p>
    <w:p>
      <w:pPr>
        <w:jc w:val="both"/>
        <w:ind w:left="223"/>
        <w:spacing w:after="0" w:line="252" w:lineRule="auto"/>
        <w:rPr>
          <w:sz w:val="20"/>
          <w:szCs w:val="20"/>
          <w:color w:val="auto"/>
        </w:rPr>
      </w:pPr>
      <w:r>
        <w:rPr>
          <w:rFonts w:ascii="Arial" w:cs="Arial" w:eastAsia="Arial" w:hAnsi="Arial"/>
          <w:sz w:val="13"/>
          <w:szCs w:val="13"/>
          <w:color w:val="auto"/>
        </w:rPr>
        <w:t xml:space="preserve">As of December 31, 2018 and December 31, 2017, the Bank had credit transactions in the normal course of business with 17% and 21%, respectively, of its Class “A” and “B” stockholders. All transactions were made based on arm’s-length terms and subject to prevailing commercial criteria and market rates and were subject to all of the Bank’s Corporate Governance and control procedures. As of </w:t>
      </w:r>
      <w:r>
        <w:rPr>
          <w:rFonts w:ascii="Arial" w:cs="Arial" w:eastAsia="Arial" w:hAnsi="Arial"/>
          <w:sz w:val="13"/>
          <w:szCs w:val="13"/>
          <w:color w:val="222222"/>
        </w:rPr>
        <w:t>December 31</w:t>
      </w:r>
      <w:r>
        <w:rPr>
          <w:rFonts w:ascii="Arial" w:cs="Arial" w:eastAsia="Arial" w:hAnsi="Arial"/>
          <w:sz w:val="13"/>
          <w:szCs w:val="13"/>
          <w:color w:val="auto"/>
        </w:rPr>
        <w:t>, 2018 and December 31, 2017, approximately 9% and 14%, respectively, of the outstanding loan portfolio was placed with the Bank’s Class “A” and “B” stockholders and their related parties. As of December 31, 2018, the Bank was not directly or indirectly owned or controlled by another corporation or any foreign government, and no Class “A” or “B” shareholder was the registered owner of more than 3.5% of the total outstanding shares of the voting capital stock of the Bank.</w:t>
      </w:r>
    </w:p>
    <w:p>
      <w:pPr>
        <w:spacing w:after="0" w:line="293"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F-46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23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85" w:right="219" w:bottom="1440" w:gutter="0" w:footer="0" w:header="0"/>
        </w:sectPr>
      </w:pPr>
    </w:p>
    <w:bookmarkStart w:id="171" w:name="page172"/>
    <w:bookmarkEnd w:id="171"/>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3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right="9900" w:hanging="223"/>
        <w:spacing w:after="0" w:line="588" w:lineRule="auto"/>
        <w:tabs>
          <w:tab w:leader="none" w:pos="223" w:val="left"/>
        </w:tabs>
        <w:numPr>
          <w:ilvl w:val="0"/>
          <w:numId w:val="134"/>
        </w:numPr>
        <w:rPr>
          <w:rFonts w:ascii="Arial" w:cs="Arial" w:eastAsia="Arial" w:hAnsi="Arial"/>
          <w:sz w:val="11"/>
          <w:szCs w:val="11"/>
          <w:b w:val="1"/>
          <w:bCs w:val="1"/>
          <w:color w:val="auto"/>
        </w:rPr>
      </w:pPr>
      <w:r>
        <w:rPr>
          <w:rFonts w:ascii="Arial" w:cs="Arial" w:eastAsia="Arial" w:hAnsi="Arial"/>
          <w:sz w:val="11"/>
          <w:szCs w:val="11"/>
          <w:b w:val="1"/>
          <w:bCs w:val="1"/>
          <w:color w:val="auto"/>
        </w:rPr>
        <w:t>Loans (continued) Modified financial assets</w:t>
      </w:r>
    </w:p>
    <w:p>
      <w:pPr>
        <w:ind w:left="223"/>
        <w:spacing w:after="0"/>
        <w:rPr>
          <w:rFonts w:ascii="Arial" w:cs="Arial" w:eastAsia="Arial" w:hAnsi="Arial"/>
          <w:sz w:val="11"/>
          <w:szCs w:val="11"/>
          <w:b w:val="1"/>
          <w:bCs w:val="1"/>
          <w:color w:val="auto"/>
        </w:rPr>
      </w:pPr>
      <w:r>
        <w:rPr>
          <w:rFonts w:ascii="Arial" w:cs="Arial" w:eastAsia="Arial" w:hAnsi="Arial"/>
          <w:sz w:val="13"/>
          <w:szCs w:val="13"/>
          <w:color w:val="auto"/>
        </w:rPr>
        <w:t>The following table refers to modified financial assets during the year, where modification does not result in de-recognition:</w:t>
      </w:r>
    </w:p>
    <w:p>
      <w:pPr>
        <w:spacing w:after="0" w:line="155" w:lineRule="exact"/>
        <w:rPr>
          <w:sz w:val="20"/>
          <w:szCs w:val="20"/>
          <w:color w:val="auto"/>
        </w:rPr>
      </w:pPr>
    </w:p>
    <w:tbl>
      <w:tblPr>
        <w:tblLayout w:type="fixed"/>
        <w:tblInd w:w="223" w:type="dxa"/>
        <w:tblCellMar>
          <w:top w:w="0" w:type="dxa"/>
          <w:left w:w="0" w:type="dxa"/>
          <w:bottom w:w="0" w:type="dxa"/>
          <w:right w:w="0" w:type="dxa"/>
        </w:tblCellMar>
      </w:tblPr>
      <w:tr>
        <w:trPr>
          <w:trHeight w:val="154"/>
        </w:trPr>
        <w:tc>
          <w:tcPr>
            <w:tcW w:w="8180" w:type="dxa"/>
            <w:vAlign w:val="bottom"/>
            <w:gridSpan w:val="2"/>
          </w:tcPr>
          <w:p>
            <w:pPr>
              <w:spacing w:after="0"/>
              <w:rPr>
                <w:sz w:val="20"/>
                <w:szCs w:val="20"/>
                <w:color w:val="auto"/>
              </w:rPr>
            </w:pPr>
            <w:r>
              <w:rPr>
                <w:rFonts w:ascii="Arial" w:cs="Arial" w:eastAsia="Arial" w:hAnsi="Arial"/>
                <w:sz w:val="13"/>
                <w:szCs w:val="13"/>
                <w:b w:val="1"/>
                <w:bCs w:val="1"/>
                <w:color w:val="auto"/>
              </w:rPr>
              <w:t>Financial assets (with loss allowance based on lifetime</w:t>
            </w:r>
          </w:p>
        </w:tc>
        <w:tc>
          <w:tcPr>
            <w:tcW w:w="12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7"/>
        </w:trPr>
        <w:tc>
          <w:tcPr>
            <w:tcW w:w="8180" w:type="dxa"/>
            <w:vAlign w:val="bottom"/>
            <w:gridSpan w:val="2"/>
          </w:tcPr>
          <w:p>
            <w:pPr>
              <w:spacing w:after="0"/>
              <w:rPr>
                <w:sz w:val="20"/>
                <w:szCs w:val="20"/>
                <w:color w:val="auto"/>
              </w:rPr>
            </w:pPr>
            <w:r>
              <w:rPr>
                <w:rFonts w:ascii="Arial" w:cs="Arial" w:eastAsia="Arial" w:hAnsi="Arial"/>
                <w:sz w:val="13"/>
                <w:szCs w:val="13"/>
                <w:b w:val="1"/>
                <w:bCs w:val="1"/>
                <w:color w:val="auto"/>
              </w:rPr>
              <w:t>ECL) modified during the year</w:t>
            </w:r>
          </w:p>
        </w:tc>
        <w:tc>
          <w:tcPr>
            <w:tcW w:w="1420" w:type="dxa"/>
            <w:vAlign w:val="bottom"/>
            <w:gridSpan w:val="2"/>
          </w:tcPr>
          <w:p>
            <w:pPr>
              <w:ind w:left="100"/>
              <w:spacing w:after="0"/>
              <w:rPr>
                <w:sz w:val="20"/>
                <w:szCs w:val="20"/>
                <w:color w:val="auto"/>
              </w:rPr>
            </w:pPr>
            <w:r>
              <w:rPr>
                <w:rFonts w:ascii="Arial" w:cs="Arial" w:eastAsia="Arial" w:hAnsi="Arial"/>
                <w:sz w:val="13"/>
                <w:szCs w:val="13"/>
                <w:b w:val="1"/>
                <w:bCs w:val="1"/>
                <w:color w:val="auto"/>
              </w:rPr>
              <w:t>December 31, 2018</w:t>
            </w:r>
          </w:p>
        </w:tc>
        <w:tc>
          <w:tcPr>
            <w:tcW w:w="1300" w:type="dxa"/>
            <w:vAlign w:val="bottom"/>
            <w:gridSpan w:val="2"/>
          </w:tcPr>
          <w:p>
            <w:pPr>
              <w:jc w:val="right"/>
              <w:ind w:right="180"/>
              <w:spacing w:after="0"/>
              <w:rPr>
                <w:sz w:val="20"/>
                <w:szCs w:val="20"/>
                <w:color w:val="auto"/>
              </w:rPr>
            </w:pPr>
            <w:r>
              <w:rPr>
                <w:rFonts w:ascii="Arial" w:cs="Arial" w:eastAsia="Arial" w:hAnsi="Arial"/>
                <w:sz w:val="13"/>
                <w:szCs w:val="13"/>
                <w:b w:val="1"/>
                <w:bCs w:val="1"/>
                <w:color w:val="auto"/>
                <w:w w:val="93"/>
              </w:rPr>
              <w:t>December 31, 2017</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816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color w:val="auto"/>
              </w:rPr>
              <w:t>Gross carrying amount before modification</w:t>
            </w:r>
          </w:p>
        </w:tc>
        <w:tc>
          <w:tcPr>
            <w:tcW w:w="12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8,855</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8160" w:type="dxa"/>
            <w:vAlign w:val="bottom"/>
          </w:tcPr>
          <w:p>
            <w:pPr>
              <w:spacing w:after="0"/>
              <w:rPr>
                <w:sz w:val="20"/>
                <w:szCs w:val="20"/>
                <w:color w:val="auto"/>
              </w:rPr>
            </w:pPr>
            <w:r>
              <w:rPr>
                <w:rFonts w:ascii="Arial" w:cs="Arial" w:eastAsia="Arial" w:hAnsi="Arial"/>
                <w:sz w:val="13"/>
                <w:szCs w:val="13"/>
                <w:color w:val="auto"/>
              </w:rPr>
              <w:t>Allowance loss before modification</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4"/>
                <w:szCs w:val="14"/>
                <w:color w:val="auto"/>
              </w:rPr>
            </w:pPr>
          </w:p>
        </w:tc>
        <w:tc>
          <w:tcPr>
            <w:tcW w:w="1300" w:type="dxa"/>
            <w:vAlign w:val="bottom"/>
            <w:gridSpan w:val="2"/>
          </w:tcPr>
          <w:p>
            <w:pPr>
              <w:jc w:val="right"/>
              <w:ind w:right="60"/>
              <w:spacing w:after="0"/>
              <w:rPr>
                <w:sz w:val="20"/>
                <w:szCs w:val="20"/>
                <w:color w:val="auto"/>
              </w:rPr>
            </w:pPr>
            <w:r>
              <w:rPr>
                <w:rFonts w:ascii="Arial" w:cs="Arial" w:eastAsia="Arial" w:hAnsi="Arial"/>
                <w:sz w:val="13"/>
                <w:szCs w:val="13"/>
                <w:color w:val="auto"/>
              </w:rPr>
              <w:t>(3,344)</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8160" w:type="dxa"/>
            <w:vAlign w:val="bottom"/>
            <w:tcBorders>
              <w:top w:val="single" w:sz="8" w:color="CCEEFF"/>
              <w:bottom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Net amortized cost before modification</w:t>
            </w: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tcBorders>
              <w:top w:val="single" w:sz="8" w:color="CCEEFF"/>
              <w:bottom w:val="single" w:sz="8" w:color="CCEEFF"/>
            </w:tcBorders>
            <w:shd w:val="clear" w:color="auto" w:fill="CCEEFF"/>
          </w:tcPr>
          <w:p>
            <w:pPr>
              <w:spacing w:after="0"/>
              <w:rPr>
                <w:sz w:val="14"/>
                <w:szCs w:val="14"/>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5,511</w:t>
            </w: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816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8160" w:type="dxa"/>
            <w:vAlign w:val="bottom"/>
            <w:shd w:val="clear" w:color="auto" w:fill="CCEEFF"/>
          </w:tcPr>
          <w:p>
            <w:pPr>
              <w:spacing w:after="0"/>
              <w:rPr>
                <w:sz w:val="20"/>
                <w:szCs w:val="20"/>
                <w:color w:val="auto"/>
              </w:rPr>
            </w:pPr>
            <w:r>
              <w:rPr>
                <w:rFonts w:ascii="Arial" w:cs="Arial" w:eastAsia="Arial" w:hAnsi="Arial"/>
                <w:sz w:val="13"/>
                <w:szCs w:val="13"/>
                <w:color w:val="auto"/>
              </w:rPr>
              <w:t>Gross carrying amount after modification</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4,484</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8160" w:type="dxa"/>
            <w:vAlign w:val="bottom"/>
          </w:tcPr>
          <w:p>
            <w:pPr>
              <w:spacing w:after="0"/>
              <w:rPr>
                <w:sz w:val="20"/>
                <w:szCs w:val="20"/>
                <w:color w:val="auto"/>
              </w:rPr>
            </w:pPr>
            <w:r>
              <w:rPr>
                <w:rFonts w:ascii="Arial" w:cs="Arial" w:eastAsia="Arial" w:hAnsi="Arial"/>
                <w:sz w:val="13"/>
                <w:szCs w:val="13"/>
                <w:color w:val="auto"/>
              </w:rPr>
              <w:t>Allowance loss after modification</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4"/>
                <w:szCs w:val="14"/>
                <w:color w:val="auto"/>
              </w:rPr>
            </w:pPr>
          </w:p>
        </w:tc>
        <w:tc>
          <w:tcPr>
            <w:tcW w:w="1300" w:type="dxa"/>
            <w:vAlign w:val="bottom"/>
            <w:gridSpan w:val="2"/>
          </w:tcPr>
          <w:p>
            <w:pPr>
              <w:jc w:val="right"/>
              <w:ind w:right="60"/>
              <w:spacing w:after="0"/>
              <w:rPr>
                <w:sz w:val="20"/>
                <w:szCs w:val="20"/>
                <w:color w:val="auto"/>
              </w:rPr>
            </w:pPr>
            <w:r>
              <w:rPr>
                <w:rFonts w:ascii="Arial" w:cs="Arial" w:eastAsia="Arial" w:hAnsi="Arial"/>
                <w:sz w:val="13"/>
                <w:szCs w:val="13"/>
                <w:color w:val="auto"/>
              </w:rPr>
              <w:t>(4,484)</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8160" w:type="dxa"/>
            <w:vAlign w:val="bottom"/>
            <w:tcBorders>
              <w:top w:val="single" w:sz="8" w:color="CCEEFF"/>
              <w:bottom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Net amortized cost after modification</w:t>
            </w: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tcBorders>
              <w:top w:val="single" w:sz="8" w:color="CCEEFF"/>
              <w:bottom w:val="single" w:sz="8" w:color="CCEEFF"/>
            </w:tcBorders>
            <w:shd w:val="clear" w:color="auto" w:fill="CCEEFF"/>
          </w:tcPr>
          <w:p>
            <w:pPr>
              <w:spacing w:after="0"/>
              <w:rPr>
                <w:sz w:val="14"/>
                <w:szCs w:val="14"/>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w:t>
            </w: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bl>
    <w:p>
      <w:pPr>
        <w:spacing w:after="0" w:line="145" w:lineRule="exact"/>
        <w:rPr>
          <w:sz w:val="20"/>
          <w:szCs w:val="20"/>
          <w:color w:val="auto"/>
        </w:rPr>
      </w:pPr>
    </w:p>
    <w:p>
      <w:pPr>
        <w:ind w:left="223" w:right="240"/>
        <w:spacing w:after="0" w:line="267" w:lineRule="auto"/>
        <w:rPr>
          <w:sz w:val="20"/>
          <w:szCs w:val="20"/>
          <w:color w:val="auto"/>
        </w:rPr>
      </w:pPr>
      <w:r>
        <w:rPr>
          <w:rFonts w:ascii="Arial" w:cs="Arial" w:eastAsia="Arial" w:hAnsi="Arial"/>
          <w:sz w:val="13"/>
          <w:szCs w:val="13"/>
          <w:color w:val="222222"/>
        </w:rPr>
        <w:t>As of December 31, 2018, the Bank received a new financial asset (debentures) with a fair value of $8.8 million as part of a restructured loan with a book value of $35 million. The remaining balance was written off against allowance for loan losses.</w:t>
      </w:r>
    </w:p>
    <w:p>
      <w:pPr>
        <w:spacing w:after="0" w:line="125" w:lineRule="exact"/>
        <w:rPr>
          <w:sz w:val="20"/>
          <w:szCs w:val="20"/>
          <w:color w:val="auto"/>
        </w:rPr>
      </w:pPr>
    </w:p>
    <w:p>
      <w:pPr>
        <w:ind w:left="223"/>
        <w:spacing w:after="0"/>
        <w:rPr>
          <w:sz w:val="20"/>
          <w:szCs w:val="20"/>
          <w:color w:val="auto"/>
        </w:rPr>
      </w:pPr>
      <w:r>
        <w:rPr>
          <w:rFonts w:ascii="Arial" w:cs="Arial" w:eastAsia="Arial" w:hAnsi="Arial"/>
          <w:sz w:val="13"/>
          <w:szCs w:val="13"/>
          <w:b w:val="1"/>
          <w:bCs w:val="1"/>
          <w:color w:val="auto"/>
        </w:rPr>
        <w:t>Recognition and derecognition of financial assets</w:t>
      </w:r>
    </w:p>
    <w:p>
      <w:pPr>
        <w:spacing w:after="0" w:line="163" w:lineRule="exact"/>
        <w:rPr>
          <w:sz w:val="20"/>
          <w:szCs w:val="20"/>
          <w:color w:val="auto"/>
        </w:rPr>
      </w:pPr>
    </w:p>
    <w:p>
      <w:pPr>
        <w:ind w:left="223"/>
        <w:spacing w:after="0" w:line="267" w:lineRule="auto"/>
        <w:rPr>
          <w:sz w:val="20"/>
          <w:szCs w:val="20"/>
          <w:color w:val="auto"/>
        </w:rPr>
      </w:pPr>
      <w:r>
        <w:rPr>
          <w:rFonts w:ascii="Arial" w:cs="Arial" w:eastAsia="Arial" w:hAnsi="Arial"/>
          <w:sz w:val="13"/>
          <w:szCs w:val="13"/>
          <w:color w:val="auto"/>
        </w:rPr>
        <w:t xml:space="preserve">During the years ended </w:t>
      </w:r>
      <w:r>
        <w:rPr>
          <w:rFonts w:ascii="Arial" w:cs="Arial" w:eastAsia="Arial" w:hAnsi="Arial"/>
          <w:sz w:val="13"/>
          <w:szCs w:val="13"/>
          <w:color w:val="222222"/>
        </w:rPr>
        <w:t>December 31</w:t>
      </w:r>
      <w:r>
        <w:rPr>
          <w:rFonts w:ascii="Arial" w:cs="Arial" w:eastAsia="Arial" w:hAnsi="Arial"/>
          <w:sz w:val="13"/>
          <w:szCs w:val="13"/>
          <w:color w:val="auto"/>
        </w:rPr>
        <w:t>, 2018, 2017 and 2016, the Bank sold loans measured at amortized cost. These sales were made based on compliance with the Bank's strategy to optimize credit risk of its loan portfolio.</w:t>
      </w:r>
    </w:p>
    <w:p>
      <w:pPr>
        <w:spacing w:after="0" w:line="129" w:lineRule="exact"/>
        <w:rPr>
          <w:sz w:val="20"/>
          <w:szCs w:val="20"/>
          <w:color w:val="auto"/>
        </w:rPr>
      </w:pPr>
    </w:p>
    <w:p>
      <w:pPr>
        <w:ind w:left="223" w:right="20"/>
        <w:spacing w:after="0" w:line="267" w:lineRule="auto"/>
        <w:rPr>
          <w:sz w:val="20"/>
          <w:szCs w:val="20"/>
          <w:color w:val="auto"/>
        </w:rPr>
      </w:pPr>
      <w:r>
        <w:rPr>
          <w:rFonts w:ascii="Arial" w:cs="Arial" w:eastAsia="Arial" w:hAnsi="Arial"/>
          <w:sz w:val="13"/>
          <w:szCs w:val="13"/>
          <w:color w:val="auto"/>
        </w:rPr>
        <w:t>The carrying amounts and gains arising from the derecognition of these financial instruments are presented in the following table. These gains are presented within the line “Gain (loss) on financial instruments, net” in the consolidated statement of profit or loss.</w:t>
      </w:r>
    </w:p>
    <w:p>
      <w:pPr>
        <w:spacing w:after="0" w:line="125" w:lineRule="exact"/>
        <w:rPr>
          <w:sz w:val="20"/>
          <w:szCs w:val="20"/>
          <w:color w:val="auto"/>
        </w:rPr>
      </w:pPr>
    </w:p>
    <w:tbl>
      <w:tblPr>
        <w:tblLayout w:type="fixed"/>
        <w:tblInd w:w="223" w:type="dxa"/>
        <w:tblCellMar>
          <w:top w:w="0" w:type="dxa"/>
          <w:left w:w="0" w:type="dxa"/>
          <w:bottom w:w="0" w:type="dxa"/>
          <w:right w:w="0" w:type="dxa"/>
        </w:tblCellMar>
      </w:tblPr>
      <w:tr>
        <w:trPr>
          <w:trHeight w:val="154"/>
        </w:trPr>
        <w:tc>
          <w:tcPr>
            <w:tcW w:w="20" w:type="dxa"/>
            <w:vAlign w:val="bottom"/>
          </w:tcPr>
          <w:p>
            <w:pPr>
              <w:spacing w:after="0"/>
              <w:rPr>
                <w:sz w:val="13"/>
                <w:szCs w:val="13"/>
                <w:color w:val="auto"/>
              </w:rPr>
            </w:pPr>
          </w:p>
        </w:tc>
        <w:tc>
          <w:tcPr>
            <w:tcW w:w="8160" w:type="dxa"/>
            <w:vAlign w:val="bottom"/>
          </w:tcPr>
          <w:p>
            <w:pPr>
              <w:spacing w:after="0"/>
              <w:rPr>
                <w:sz w:val="13"/>
                <w:szCs w:val="13"/>
                <w:color w:val="auto"/>
              </w:rPr>
            </w:pPr>
          </w:p>
        </w:tc>
        <w:tc>
          <w:tcPr>
            <w:tcW w:w="142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6"/>
              </w:rPr>
              <w:t>Assignments and</w:t>
            </w:r>
          </w:p>
        </w:tc>
        <w:tc>
          <w:tcPr>
            <w:tcW w:w="1300" w:type="dxa"/>
            <w:vAlign w:val="bottom"/>
            <w:gridSpan w:val="2"/>
          </w:tcPr>
          <w:p>
            <w:pPr>
              <w:jc w:val="right"/>
              <w:ind w:right="540"/>
              <w:spacing w:after="0"/>
              <w:rPr>
                <w:sz w:val="20"/>
                <w:szCs w:val="20"/>
                <w:color w:val="auto"/>
              </w:rPr>
            </w:pPr>
            <w:r>
              <w:rPr>
                <w:rFonts w:ascii="Arial" w:cs="Arial" w:eastAsia="Arial" w:hAnsi="Arial"/>
                <w:sz w:val="13"/>
                <w:szCs w:val="13"/>
                <w:b w:val="1"/>
                <w:bCs w:val="1"/>
                <w:color w:val="auto"/>
              </w:rPr>
              <w:t>Gains</w:t>
            </w: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8160" w:type="dxa"/>
            <w:vAlign w:val="bottom"/>
          </w:tcPr>
          <w:p>
            <w:pPr>
              <w:spacing w:after="0"/>
              <w:rPr>
                <w:sz w:val="14"/>
                <w:szCs w:val="14"/>
                <w:color w:val="auto"/>
              </w:rPr>
            </w:pPr>
          </w:p>
        </w:tc>
        <w:tc>
          <w:tcPr>
            <w:tcW w:w="1420" w:type="dxa"/>
            <w:vAlign w:val="bottom"/>
            <w:gridSpan w:val="2"/>
          </w:tcPr>
          <w:p>
            <w:pPr>
              <w:jc w:val="center"/>
              <w:ind w:right="180"/>
              <w:spacing w:after="0"/>
              <w:rPr>
                <w:sz w:val="20"/>
                <w:szCs w:val="20"/>
                <w:color w:val="auto"/>
              </w:rPr>
            </w:pPr>
            <w:r>
              <w:rPr>
                <w:rFonts w:ascii="Arial" w:cs="Arial" w:eastAsia="Arial" w:hAnsi="Arial"/>
                <w:sz w:val="13"/>
                <w:szCs w:val="13"/>
                <w:b w:val="1"/>
                <w:bCs w:val="1"/>
                <w:color w:val="auto"/>
                <w:w w:val="89"/>
              </w:rPr>
              <w:t>participations</w:t>
            </w:r>
          </w:p>
        </w:tc>
        <w:tc>
          <w:tcPr>
            <w:tcW w:w="1300" w:type="dxa"/>
            <w:vAlign w:val="bottom"/>
            <w:gridSpan w:val="2"/>
          </w:tcPr>
          <w:p>
            <w:pPr>
              <w:jc w:val="right"/>
              <w:ind w:right="500"/>
              <w:spacing w:after="0"/>
              <w:rPr>
                <w:sz w:val="20"/>
                <w:szCs w:val="20"/>
                <w:color w:val="auto"/>
              </w:rPr>
            </w:pPr>
            <w:r>
              <w:rPr>
                <w:rFonts w:ascii="Arial" w:cs="Arial" w:eastAsia="Arial" w:hAnsi="Arial"/>
                <w:sz w:val="13"/>
                <w:szCs w:val="13"/>
                <w:b w:val="1"/>
                <w:bCs w:val="1"/>
                <w:color w:val="auto"/>
              </w:rPr>
              <w:t>(losses)</w:t>
            </w: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8160" w:type="dxa"/>
            <w:vAlign w:val="bottom"/>
          </w:tcPr>
          <w:p>
            <w:pPr>
              <w:spacing w:after="0"/>
              <w:rPr>
                <w:sz w:val="12"/>
                <w:szCs w:val="12"/>
                <w:color w:val="auto"/>
              </w:rPr>
            </w:pPr>
          </w:p>
        </w:tc>
        <w:tc>
          <w:tcPr>
            <w:tcW w:w="122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120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8160" w:type="dxa"/>
            <w:vAlign w:val="bottom"/>
            <w:shd w:val="clear" w:color="auto" w:fill="CCEEFF"/>
          </w:tcPr>
          <w:p>
            <w:pPr>
              <w:spacing w:after="0"/>
              <w:rPr>
                <w:sz w:val="20"/>
                <w:szCs w:val="20"/>
                <w:color w:val="auto"/>
              </w:rPr>
            </w:pPr>
            <w:r>
              <w:rPr>
                <w:rFonts w:ascii="Arial" w:cs="Arial" w:eastAsia="Arial" w:hAnsi="Arial"/>
                <w:sz w:val="13"/>
                <w:szCs w:val="13"/>
                <w:color w:val="auto"/>
              </w:rPr>
              <w:t>Carrying amount as of December 31, 2018</w:t>
            </w: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61,667</w:t>
            </w:r>
          </w:p>
        </w:tc>
        <w:tc>
          <w:tcPr>
            <w:tcW w:w="13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(625)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160" w:type="dxa"/>
            <w:vAlign w:val="bottom"/>
          </w:tcPr>
          <w:p>
            <w:pPr>
              <w:spacing w:after="0"/>
              <w:rPr>
                <w:sz w:val="20"/>
                <w:szCs w:val="20"/>
                <w:color w:val="auto"/>
              </w:rPr>
            </w:pPr>
            <w:r>
              <w:rPr>
                <w:rFonts w:ascii="Arial" w:cs="Arial" w:eastAsia="Arial" w:hAnsi="Arial"/>
                <w:sz w:val="13"/>
                <w:szCs w:val="13"/>
                <w:color w:val="auto"/>
              </w:rPr>
              <w:t>Carrying amount as of December 31, 2017</w:t>
            </w:r>
          </w:p>
        </w:tc>
        <w:tc>
          <w:tcPr>
            <w:tcW w:w="1420" w:type="dxa"/>
            <w:vAlign w:val="bottom"/>
            <w:gridSpan w:val="2"/>
          </w:tcPr>
          <w:p>
            <w:pPr>
              <w:jc w:val="right"/>
              <w:ind w:right="200"/>
              <w:spacing w:after="0"/>
              <w:rPr>
                <w:sz w:val="20"/>
                <w:szCs w:val="20"/>
                <w:color w:val="auto"/>
              </w:rPr>
            </w:pPr>
            <w:r>
              <w:rPr>
                <w:rFonts w:ascii="Arial" w:cs="Arial" w:eastAsia="Arial" w:hAnsi="Arial"/>
                <w:sz w:val="13"/>
                <w:szCs w:val="13"/>
                <w:color w:val="auto"/>
              </w:rPr>
              <w:t>77,400</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181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160" w:type="dxa"/>
            <w:vAlign w:val="bottom"/>
            <w:shd w:val="clear" w:color="auto" w:fill="CCEEFF"/>
          </w:tcPr>
          <w:p>
            <w:pPr>
              <w:spacing w:after="0"/>
              <w:rPr>
                <w:sz w:val="20"/>
                <w:szCs w:val="20"/>
                <w:color w:val="auto"/>
              </w:rPr>
            </w:pPr>
            <w:r>
              <w:rPr>
                <w:rFonts w:ascii="Arial" w:cs="Arial" w:eastAsia="Arial" w:hAnsi="Arial"/>
                <w:sz w:val="13"/>
                <w:szCs w:val="13"/>
                <w:color w:val="auto"/>
              </w:rPr>
              <w:t>Carrying amount as of December 31, 2016</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157,242</w:t>
            </w:r>
          </w:p>
        </w:tc>
        <w:tc>
          <w:tcPr>
            <w:tcW w:w="20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730</w:t>
            </w:r>
          </w:p>
        </w:tc>
        <w:tc>
          <w:tcPr>
            <w:tcW w:w="0" w:type="dxa"/>
            <w:vAlign w:val="bottom"/>
          </w:tcPr>
          <w:p>
            <w:pPr>
              <w:spacing w:after="0"/>
              <w:rPr>
                <w:sz w:val="1"/>
                <w:szCs w:val="1"/>
                <w:color w:val="auto"/>
              </w:rPr>
            </w:pPr>
          </w:p>
        </w:tc>
      </w:tr>
    </w:tbl>
    <w:p>
      <w:pPr>
        <w:spacing w:after="0" w:line="145" w:lineRule="exact"/>
        <w:rPr>
          <w:sz w:val="20"/>
          <w:szCs w:val="20"/>
          <w:color w:val="auto"/>
        </w:rPr>
      </w:pPr>
    </w:p>
    <w:p>
      <w:pPr>
        <w:ind w:left="223"/>
        <w:spacing w:after="0"/>
        <w:rPr>
          <w:sz w:val="20"/>
          <w:szCs w:val="20"/>
          <w:color w:val="auto"/>
        </w:rPr>
      </w:pPr>
      <w:r>
        <w:rPr>
          <w:rFonts w:ascii="Arial" w:cs="Arial" w:eastAsia="Arial" w:hAnsi="Arial"/>
          <w:sz w:val="13"/>
          <w:szCs w:val="13"/>
          <w:color w:val="auto"/>
        </w:rPr>
        <w:t>During 2016, the Bank entered into a master participation agreement with the International Finance Corporation. to sale participations in credit facilities which resulted in revenues of $76 thousand.</w:t>
      </w:r>
    </w:p>
    <w:p>
      <w:pPr>
        <w:spacing w:after="0" w:line="313"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F-47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3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172" w:name="page173"/>
    <w:bookmarkEnd w:id="172"/>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23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135"/>
        </w:numPr>
        <w:rPr>
          <w:rFonts w:ascii="Arial" w:cs="Arial" w:eastAsia="Arial" w:hAnsi="Arial"/>
          <w:sz w:val="13"/>
          <w:szCs w:val="13"/>
          <w:b w:val="1"/>
          <w:bCs w:val="1"/>
          <w:color w:val="auto"/>
        </w:rPr>
      </w:pPr>
      <w:r>
        <w:rPr>
          <w:rFonts w:ascii="Arial" w:cs="Arial" w:eastAsia="Arial" w:hAnsi="Arial"/>
          <w:sz w:val="13"/>
          <w:szCs w:val="13"/>
          <w:b w:val="1"/>
          <w:bCs w:val="1"/>
          <w:color w:val="auto"/>
        </w:rPr>
        <w:t>Loans (continued)</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allowance for expected credit losses relating to loans at amortized cost are as follows:</w:t>
      </w:r>
    </w:p>
    <w:p>
      <w:pPr>
        <w:spacing w:after="0" w:line="109" w:lineRule="exact"/>
        <w:rPr>
          <w:sz w:val="20"/>
          <w:szCs w:val="20"/>
          <w:color w:val="auto"/>
        </w:rPr>
      </w:pPr>
    </w:p>
    <w:tbl>
      <w:tblPr>
        <w:tblLayout w:type="fixed"/>
        <w:tblInd w:w="223" w:type="dxa"/>
        <w:tblCellMar>
          <w:top w:w="0" w:type="dxa"/>
          <w:left w:w="0" w:type="dxa"/>
          <w:bottom w:w="0" w:type="dxa"/>
          <w:right w:w="0" w:type="dxa"/>
        </w:tblCellMar>
      </w:tblPr>
      <w:tr>
        <w:trPr>
          <w:trHeight w:val="241"/>
        </w:trPr>
        <w:tc>
          <w:tcPr>
            <w:tcW w:w="5360" w:type="dxa"/>
            <w:vAlign w:val="bottom"/>
          </w:tcPr>
          <w:p>
            <w:pPr>
              <w:spacing w:after="0"/>
              <w:rPr>
                <w:sz w:val="21"/>
                <w:szCs w:val="21"/>
                <w:color w:val="auto"/>
              </w:rPr>
            </w:pPr>
          </w:p>
        </w:tc>
        <w:tc>
          <w:tcPr>
            <w:tcW w:w="1440" w:type="dxa"/>
            <w:vAlign w:val="bottom"/>
            <w:gridSpan w:val="2"/>
          </w:tcPr>
          <w:p>
            <w:pPr>
              <w:jc w:val="right"/>
              <w:ind w:right="560"/>
              <w:spacing w:after="0"/>
              <w:rPr>
                <w:sz w:val="20"/>
                <w:szCs w:val="20"/>
                <w:color w:val="auto"/>
              </w:rPr>
            </w:pPr>
            <w:r>
              <w:rPr>
                <w:rFonts w:ascii="Arial" w:cs="Arial" w:eastAsia="Arial" w:hAnsi="Arial"/>
                <w:sz w:val="13"/>
                <w:szCs w:val="13"/>
                <w:b w:val="1"/>
                <w:bCs w:val="1"/>
                <w:color w:val="auto"/>
              </w:rPr>
              <w:t xml:space="preserve">Stage 1 </w:t>
            </w:r>
            <w:r>
              <w:rPr>
                <w:rFonts w:ascii="Arial" w:cs="Arial" w:eastAsia="Arial" w:hAnsi="Arial"/>
                <w:sz w:val="21"/>
                <w:szCs w:val="21"/>
                <w:b w:val="1"/>
                <w:bCs w:val="1"/>
                <w:color w:val="auto"/>
                <w:vertAlign w:val="superscript"/>
              </w:rPr>
              <w:t>(1)</w:t>
            </w:r>
          </w:p>
        </w:tc>
        <w:tc>
          <w:tcPr>
            <w:tcW w:w="1400" w:type="dxa"/>
            <w:vAlign w:val="bottom"/>
            <w:gridSpan w:val="2"/>
          </w:tcPr>
          <w:p>
            <w:pPr>
              <w:jc w:val="right"/>
              <w:ind w:right="540"/>
              <w:spacing w:after="0"/>
              <w:rPr>
                <w:sz w:val="20"/>
                <w:szCs w:val="20"/>
                <w:color w:val="auto"/>
              </w:rPr>
            </w:pPr>
            <w:r>
              <w:rPr>
                <w:rFonts w:ascii="Arial" w:cs="Arial" w:eastAsia="Arial" w:hAnsi="Arial"/>
                <w:sz w:val="13"/>
                <w:szCs w:val="13"/>
                <w:b w:val="1"/>
                <w:bCs w:val="1"/>
                <w:color w:val="auto"/>
              </w:rPr>
              <w:t xml:space="preserve">Stage 2 </w:t>
            </w:r>
            <w:r>
              <w:rPr>
                <w:rFonts w:ascii="Arial" w:cs="Arial" w:eastAsia="Arial" w:hAnsi="Arial"/>
                <w:sz w:val="21"/>
                <w:szCs w:val="21"/>
                <w:b w:val="1"/>
                <w:bCs w:val="1"/>
                <w:color w:val="auto"/>
                <w:vertAlign w:val="superscript"/>
              </w:rPr>
              <w:t>(2)</w:t>
            </w:r>
          </w:p>
        </w:tc>
        <w:tc>
          <w:tcPr>
            <w:tcW w:w="1400" w:type="dxa"/>
            <w:vAlign w:val="bottom"/>
            <w:gridSpan w:val="2"/>
          </w:tcPr>
          <w:p>
            <w:pPr>
              <w:jc w:val="right"/>
              <w:ind w:right="520"/>
              <w:spacing w:after="0"/>
              <w:rPr>
                <w:sz w:val="20"/>
                <w:szCs w:val="20"/>
                <w:color w:val="auto"/>
              </w:rPr>
            </w:pPr>
            <w:r>
              <w:rPr>
                <w:rFonts w:ascii="Arial" w:cs="Arial" w:eastAsia="Arial" w:hAnsi="Arial"/>
                <w:sz w:val="13"/>
                <w:szCs w:val="13"/>
                <w:b w:val="1"/>
                <w:bCs w:val="1"/>
                <w:color w:val="auto"/>
              </w:rPr>
              <w:t xml:space="preserve">Stage 3 </w:t>
            </w:r>
            <w:r>
              <w:rPr>
                <w:rFonts w:ascii="Arial" w:cs="Arial" w:eastAsia="Arial" w:hAnsi="Arial"/>
                <w:sz w:val="21"/>
                <w:szCs w:val="21"/>
                <w:b w:val="1"/>
                <w:bCs w:val="1"/>
                <w:color w:val="auto"/>
                <w:vertAlign w:val="superscript"/>
              </w:rPr>
              <w:t>(3)</w:t>
            </w:r>
          </w:p>
        </w:tc>
        <w:tc>
          <w:tcPr>
            <w:tcW w:w="1300" w:type="dxa"/>
            <w:vAlign w:val="bottom"/>
            <w:gridSpan w:val="3"/>
          </w:tcPr>
          <w:p>
            <w:pPr>
              <w:jc w:val="right"/>
              <w:ind w:right="560"/>
              <w:spacing w:after="0"/>
              <w:rPr>
                <w:sz w:val="20"/>
                <w:szCs w:val="20"/>
                <w:color w:val="auto"/>
              </w:rPr>
            </w:pPr>
            <w:r>
              <w:rPr>
                <w:rFonts w:ascii="Arial" w:cs="Arial" w:eastAsia="Arial" w:hAnsi="Arial"/>
                <w:sz w:val="13"/>
                <w:szCs w:val="13"/>
                <w:b w:val="1"/>
                <w:bCs w:val="1"/>
                <w:color w:val="auto"/>
              </w:rPr>
              <w:t>Total</w:t>
            </w:r>
          </w:p>
        </w:tc>
      </w:tr>
      <w:tr>
        <w:trPr>
          <w:trHeight w:val="144"/>
        </w:trPr>
        <w:tc>
          <w:tcPr>
            <w:tcW w:w="536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Allowance for expected credit losses as of December 31, 2017</w:t>
            </w:r>
          </w:p>
        </w:tc>
        <w:tc>
          <w:tcPr>
            <w:tcW w:w="12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19,821</w:t>
            </w: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33,477</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27,996</w:t>
            </w: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81,294</w:t>
            </w: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r>
      <w:tr>
        <w:trPr>
          <w:trHeight w:val="144"/>
        </w:trPr>
        <w:tc>
          <w:tcPr>
            <w:tcW w:w="5360" w:type="dxa"/>
            <w:vAlign w:val="bottom"/>
          </w:tcPr>
          <w:p>
            <w:pPr>
              <w:spacing w:after="0" w:line="143" w:lineRule="exact"/>
              <w:rPr>
                <w:sz w:val="20"/>
                <w:szCs w:val="20"/>
                <w:color w:val="auto"/>
              </w:rPr>
            </w:pPr>
            <w:r>
              <w:rPr>
                <w:rFonts w:ascii="Arial" w:cs="Arial" w:eastAsia="Arial" w:hAnsi="Arial"/>
                <w:sz w:val="13"/>
                <w:szCs w:val="13"/>
                <w:color w:val="auto"/>
              </w:rPr>
              <w:t>Transfer to lifetime expected credit losses</w:t>
            </w:r>
          </w:p>
        </w:tc>
        <w:tc>
          <w:tcPr>
            <w:tcW w:w="1220" w:type="dxa"/>
            <w:vAlign w:val="bottom"/>
          </w:tcPr>
          <w:p>
            <w:pPr>
              <w:jc w:val="right"/>
              <w:spacing w:after="0" w:line="144" w:lineRule="exact"/>
              <w:rPr>
                <w:sz w:val="20"/>
                <w:szCs w:val="20"/>
                <w:color w:val="auto"/>
              </w:rPr>
            </w:pPr>
            <w:r>
              <w:rPr>
                <w:rFonts w:ascii="Arial" w:cs="Arial" w:eastAsia="Arial" w:hAnsi="Arial"/>
                <w:sz w:val="13"/>
                <w:szCs w:val="13"/>
                <w:color w:val="auto"/>
              </w:rPr>
              <w:t>(514)</w:t>
            </w:r>
          </w:p>
        </w:tc>
        <w:tc>
          <w:tcPr>
            <w:tcW w:w="220" w:type="dxa"/>
            <w:vAlign w:val="bottom"/>
          </w:tcPr>
          <w:p>
            <w:pPr>
              <w:spacing w:after="0"/>
              <w:rPr>
                <w:sz w:val="12"/>
                <w:szCs w:val="12"/>
                <w:color w:val="auto"/>
              </w:rPr>
            </w:pPr>
          </w:p>
        </w:tc>
        <w:tc>
          <w:tcPr>
            <w:tcW w:w="1180" w:type="dxa"/>
            <w:vAlign w:val="bottom"/>
          </w:tcPr>
          <w:p>
            <w:pPr>
              <w:jc w:val="right"/>
              <w:spacing w:after="0" w:line="144" w:lineRule="exact"/>
              <w:rPr>
                <w:sz w:val="20"/>
                <w:szCs w:val="20"/>
                <w:color w:val="auto"/>
              </w:rPr>
            </w:pPr>
            <w:r>
              <w:rPr>
                <w:rFonts w:ascii="Arial" w:cs="Arial" w:eastAsia="Arial" w:hAnsi="Arial"/>
                <w:sz w:val="13"/>
                <w:szCs w:val="13"/>
                <w:color w:val="auto"/>
              </w:rPr>
              <w:t>514</w:t>
            </w:r>
          </w:p>
        </w:tc>
        <w:tc>
          <w:tcPr>
            <w:tcW w:w="220" w:type="dxa"/>
            <w:vAlign w:val="bottom"/>
          </w:tcPr>
          <w:p>
            <w:pPr>
              <w:spacing w:after="0"/>
              <w:rPr>
                <w:sz w:val="12"/>
                <w:szCs w:val="12"/>
                <w:color w:val="auto"/>
              </w:rPr>
            </w:pPr>
          </w:p>
        </w:tc>
        <w:tc>
          <w:tcPr>
            <w:tcW w:w="1200" w:type="dxa"/>
            <w:vAlign w:val="bottom"/>
          </w:tcPr>
          <w:p>
            <w:pPr>
              <w:jc w:val="right"/>
              <w:spacing w:after="0" w:line="144" w:lineRule="exact"/>
              <w:rPr>
                <w:sz w:val="20"/>
                <w:szCs w:val="20"/>
                <w:color w:val="auto"/>
              </w:rPr>
            </w:pPr>
            <w:r>
              <w:rPr>
                <w:rFonts w:ascii="Arial" w:cs="Arial" w:eastAsia="Arial" w:hAnsi="Arial"/>
                <w:sz w:val="13"/>
                <w:szCs w:val="13"/>
                <w:color w:val="auto"/>
              </w:rPr>
              <w:t>-</w:t>
            </w:r>
          </w:p>
        </w:tc>
        <w:tc>
          <w:tcPr>
            <w:tcW w:w="200" w:type="dxa"/>
            <w:vAlign w:val="bottom"/>
          </w:tcPr>
          <w:p>
            <w:pPr>
              <w:spacing w:after="0"/>
              <w:rPr>
                <w:sz w:val="12"/>
                <w:szCs w:val="12"/>
                <w:color w:val="auto"/>
              </w:rPr>
            </w:pPr>
          </w:p>
        </w:tc>
        <w:tc>
          <w:tcPr>
            <w:tcW w:w="1200" w:type="dxa"/>
            <w:vAlign w:val="bottom"/>
          </w:tcPr>
          <w:p>
            <w:pPr>
              <w:jc w:val="right"/>
              <w:spacing w:after="0" w:line="144" w:lineRule="exact"/>
              <w:rPr>
                <w:sz w:val="20"/>
                <w:szCs w:val="20"/>
                <w:color w:val="auto"/>
              </w:rPr>
            </w:pPr>
            <w:r>
              <w:rPr>
                <w:rFonts w:ascii="Arial" w:cs="Arial" w:eastAsia="Arial" w:hAnsi="Arial"/>
                <w:sz w:val="13"/>
                <w:szCs w:val="13"/>
                <w:color w:val="auto"/>
              </w:rPr>
              <w:t>-</w:t>
            </w: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r>
      <w:tr>
        <w:trPr>
          <w:trHeight w:val="154"/>
        </w:trPr>
        <w:tc>
          <w:tcPr>
            <w:tcW w:w="5360" w:type="dxa"/>
            <w:vAlign w:val="bottom"/>
            <w:shd w:val="clear" w:color="auto" w:fill="CCEEFF"/>
          </w:tcPr>
          <w:p>
            <w:pPr>
              <w:spacing w:after="0"/>
              <w:rPr>
                <w:sz w:val="20"/>
                <w:szCs w:val="20"/>
                <w:color w:val="auto"/>
              </w:rPr>
            </w:pPr>
            <w:r>
              <w:rPr>
                <w:rFonts w:ascii="Arial" w:cs="Arial" w:eastAsia="Arial" w:hAnsi="Arial"/>
                <w:sz w:val="13"/>
                <w:szCs w:val="13"/>
                <w:color w:val="auto"/>
              </w:rPr>
              <w:t>Transfer to credit-impaired financial instruments</w:t>
            </w:r>
          </w:p>
        </w:tc>
        <w:tc>
          <w:tcPr>
            <w:tcW w:w="144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(111)</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(7,864)</w:t>
            </w: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7,975</w:t>
            </w:r>
          </w:p>
        </w:tc>
        <w:tc>
          <w:tcPr>
            <w:tcW w:w="20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w:t>
            </w:r>
          </w:p>
        </w:tc>
        <w:tc>
          <w:tcPr>
            <w:tcW w:w="80" w:type="dxa"/>
            <w:vAlign w:val="bottom"/>
            <w:shd w:val="clear" w:color="auto" w:fill="CCEEFF"/>
          </w:tcPr>
          <w:p>
            <w:pPr>
              <w:spacing w:after="0"/>
              <w:rPr>
                <w:sz w:val="13"/>
                <w:szCs w:val="13"/>
                <w:color w:val="auto"/>
              </w:rPr>
            </w:pPr>
          </w:p>
        </w:tc>
      </w:tr>
      <w:tr>
        <w:trPr>
          <w:trHeight w:val="154"/>
        </w:trPr>
        <w:tc>
          <w:tcPr>
            <w:tcW w:w="5360" w:type="dxa"/>
            <w:vAlign w:val="bottom"/>
          </w:tcPr>
          <w:p>
            <w:pPr>
              <w:spacing w:after="0"/>
              <w:rPr>
                <w:sz w:val="20"/>
                <w:szCs w:val="20"/>
                <w:color w:val="auto"/>
              </w:rPr>
            </w:pPr>
            <w:r>
              <w:rPr>
                <w:rFonts w:ascii="Arial" w:cs="Arial" w:eastAsia="Arial" w:hAnsi="Arial"/>
                <w:sz w:val="13"/>
                <w:szCs w:val="13"/>
                <w:color w:val="auto"/>
              </w:rPr>
              <w:t>Transfer to 12-month expected credit losses</w:t>
            </w:r>
          </w:p>
        </w:tc>
        <w:tc>
          <w:tcPr>
            <w:tcW w:w="1220" w:type="dxa"/>
            <w:vAlign w:val="bottom"/>
          </w:tcPr>
          <w:p>
            <w:pPr>
              <w:jc w:val="right"/>
              <w:spacing w:after="0"/>
              <w:rPr>
                <w:sz w:val="20"/>
                <w:szCs w:val="20"/>
                <w:color w:val="auto"/>
              </w:rPr>
            </w:pPr>
            <w:r>
              <w:rPr>
                <w:rFonts w:ascii="Arial" w:cs="Arial" w:eastAsia="Arial" w:hAnsi="Arial"/>
                <w:sz w:val="13"/>
                <w:szCs w:val="13"/>
                <w:color w:val="auto"/>
              </w:rPr>
              <w:t>4,471</w:t>
            </w:r>
          </w:p>
        </w:tc>
        <w:tc>
          <w:tcPr>
            <w:tcW w:w="220" w:type="dxa"/>
            <w:vAlign w:val="bottom"/>
          </w:tcPr>
          <w:p>
            <w:pPr>
              <w:spacing w:after="0"/>
              <w:rPr>
                <w:sz w:val="13"/>
                <w:szCs w:val="13"/>
                <w:color w:val="auto"/>
              </w:rPr>
            </w:pPr>
          </w:p>
        </w:tc>
        <w:tc>
          <w:tcPr>
            <w:tcW w:w="1400" w:type="dxa"/>
            <w:vAlign w:val="bottom"/>
            <w:gridSpan w:val="2"/>
          </w:tcPr>
          <w:p>
            <w:pPr>
              <w:jc w:val="right"/>
              <w:ind w:right="160"/>
              <w:spacing w:after="0"/>
              <w:rPr>
                <w:sz w:val="20"/>
                <w:szCs w:val="20"/>
                <w:color w:val="auto"/>
              </w:rPr>
            </w:pPr>
            <w:r>
              <w:rPr>
                <w:rFonts w:ascii="Arial" w:cs="Arial" w:eastAsia="Arial" w:hAnsi="Arial"/>
                <w:sz w:val="13"/>
                <w:szCs w:val="13"/>
                <w:color w:val="auto"/>
              </w:rPr>
              <w:t>(4,471)</w:t>
            </w: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220" w:type="dxa"/>
            <w:vAlign w:val="bottom"/>
            <w:gridSpan w:val="2"/>
          </w:tcPr>
          <w:p>
            <w:pPr>
              <w:jc w:val="right"/>
              <w:ind w:right="20"/>
              <w:spacing w:after="0"/>
              <w:rPr>
                <w:sz w:val="20"/>
                <w:szCs w:val="20"/>
                <w:color w:val="auto"/>
              </w:rPr>
            </w:pPr>
            <w:r>
              <w:rPr>
                <w:rFonts w:ascii="Arial" w:cs="Arial" w:eastAsia="Arial" w:hAnsi="Arial"/>
                <w:sz w:val="13"/>
                <w:szCs w:val="13"/>
                <w:color w:val="auto"/>
              </w:rPr>
              <w:t>-</w:t>
            </w:r>
          </w:p>
        </w:tc>
        <w:tc>
          <w:tcPr>
            <w:tcW w:w="80" w:type="dxa"/>
            <w:vAlign w:val="bottom"/>
          </w:tcPr>
          <w:p>
            <w:pPr>
              <w:spacing w:after="0"/>
              <w:rPr>
                <w:sz w:val="13"/>
                <w:szCs w:val="13"/>
                <w:color w:val="auto"/>
              </w:rPr>
            </w:pPr>
          </w:p>
        </w:tc>
      </w:tr>
      <w:tr>
        <w:trPr>
          <w:trHeight w:val="154"/>
        </w:trPr>
        <w:tc>
          <w:tcPr>
            <w:tcW w:w="5360" w:type="dxa"/>
            <w:vAlign w:val="bottom"/>
            <w:shd w:val="clear" w:color="auto" w:fill="CCEEFF"/>
          </w:tcPr>
          <w:p>
            <w:pPr>
              <w:spacing w:after="0"/>
              <w:rPr>
                <w:sz w:val="20"/>
                <w:szCs w:val="20"/>
                <w:color w:val="auto"/>
              </w:rPr>
            </w:pPr>
            <w:r>
              <w:rPr>
                <w:rFonts w:ascii="Arial" w:cs="Arial" w:eastAsia="Arial" w:hAnsi="Arial"/>
                <w:sz w:val="13"/>
                <w:szCs w:val="13"/>
                <w:color w:val="auto"/>
              </w:rPr>
              <w:t>Net effect of changes in allowance for expected credit losses</w:t>
            </w:r>
          </w:p>
        </w:tc>
        <w:tc>
          <w:tcPr>
            <w:tcW w:w="144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(4,665)</w:t>
            </w: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5,823</w:t>
            </w:r>
          </w:p>
        </w:tc>
        <w:tc>
          <w:tcPr>
            <w:tcW w:w="220" w:type="dxa"/>
            <w:vAlign w:val="bottom"/>
            <w:shd w:val="clear" w:color="auto" w:fill="CCEEFF"/>
          </w:tcPr>
          <w:p>
            <w:pPr>
              <w:spacing w:after="0"/>
              <w:rPr>
                <w:sz w:val="13"/>
                <w:szCs w:val="13"/>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55,153</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56,311</w:t>
            </w:r>
          </w:p>
        </w:tc>
        <w:tc>
          <w:tcPr>
            <w:tcW w:w="80" w:type="dxa"/>
            <w:vAlign w:val="bottom"/>
            <w:shd w:val="clear" w:color="auto" w:fill="CCEEFF"/>
          </w:tcPr>
          <w:p>
            <w:pPr>
              <w:spacing w:after="0"/>
              <w:rPr>
                <w:sz w:val="13"/>
                <w:szCs w:val="13"/>
                <w:color w:val="auto"/>
              </w:rPr>
            </w:pPr>
          </w:p>
        </w:tc>
      </w:tr>
      <w:tr>
        <w:trPr>
          <w:trHeight w:val="154"/>
        </w:trPr>
        <w:tc>
          <w:tcPr>
            <w:tcW w:w="5360" w:type="dxa"/>
            <w:vAlign w:val="bottom"/>
          </w:tcPr>
          <w:p>
            <w:pPr>
              <w:spacing w:after="0"/>
              <w:rPr>
                <w:sz w:val="20"/>
                <w:szCs w:val="20"/>
                <w:color w:val="auto"/>
              </w:rPr>
            </w:pPr>
            <w:r>
              <w:rPr>
                <w:rFonts w:ascii="Arial" w:cs="Arial" w:eastAsia="Arial" w:hAnsi="Arial"/>
                <w:sz w:val="13"/>
                <w:szCs w:val="13"/>
                <w:color w:val="auto"/>
              </w:rPr>
              <w:t>Financial instruments that have been derecognized during the year</w:t>
            </w:r>
          </w:p>
        </w:tc>
        <w:tc>
          <w:tcPr>
            <w:tcW w:w="1440" w:type="dxa"/>
            <w:vAlign w:val="bottom"/>
            <w:gridSpan w:val="2"/>
          </w:tcPr>
          <w:p>
            <w:pPr>
              <w:jc w:val="right"/>
              <w:ind w:right="180"/>
              <w:spacing w:after="0"/>
              <w:rPr>
                <w:sz w:val="20"/>
                <w:szCs w:val="20"/>
                <w:color w:val="auto"/>
              </w:rPr>
            </w:pPr>
            <w:r>
              <w:rPr>
                <w:rFonts w:ascii="Arial" w:cs="Arial" w:eastAsia="Arial" w:hAnsi="Arial"/>
                <w:sz w:val="13"/>
                <w:szCs w:val="13"/>
                <w:color w:val="auto"/>
              </w:rPr>
              <w:t>(16,400)</w:t>
            </w:r>
          </w:p>
        </w:tc>
        <w:tc>
          <w:tcPr>
            <w:tcW w:w="1400" w:type="dxa"/>
            <w:vAlign w:val="bottom"/>
            <w:gridSpan w:val="2"/>
          </w:tcPr>
          <w:p>
            <w:pPr>
              <w:jc w:val="right"/>
              <w:ind w:right="160"/>
              <w:spacing w:after="0"/>
              <w:rPr>
                <w:sz w:val="20"/>
                <w:szCs w:val="20"/>
                <w:color w:val="auto"/>
              </w:rPr>
            </w:pPr>
            <w:r>
              <w:rPr>
                <w:rFonts w:ascii="Arial" w:cs="Arial" w:eastAsia="Arial" w:hAnsi="Arial"/>
                <w:sz w:val="13"/>
                <w:szCs w:val="13"/>
                <w:color w:val="auto"/>
              </w:rPr>
              <w:t>(11,090)</w:t>
            </w: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300" w:type="dxa"/>
            <w:vAlign w:val="bottom"/>
            <w:gridSpan w:val="3"/>
          </w:tcPr>
          <w:p>
            <w:pPr>
              <w:jc w:val="right"/>
              <w:ind w:right="60"/>
              <w:spacing w:after="0"/>
              <w:rPr>
                <w:sz w:val="20"/>
                <w:szCs w:val="20"/>
                <w:color w:val="auto"/>
              </w:rPr>
            </w:pPr>
            <w:r>
              <w:rPr>
                <w:rFonts w:ascii="Arial" w:cs="Arial" w:eastAsia="Arial" w:hAnsi="Arial"/>
                <w:sz w:val="13"/>
                <w:szCs w:val="13"/>
                <w:color w:val="auto"/>
              </w:rPr>
              <w:t>(27,490)</w:t>
            </w:r>
          </w:p>
        </w:tc>
      </w:tr>
      <w:tr>
        <w:trPr>
          <w:trHeight w:val="154"/>
        </w:trPr>
        <w:tc>
          <w:tcPr>
            <w:tcW w:w="5360" w:type="dxa"/>
            <w:vAlign w:val="bottom"/>
            <w:shd w:val="clear" w:color="auto" w:fill="CCEEFF"/>
          </w:tcPr>
          <w:p>
            <w:pPr>
              <w:spacing w:after="0"/>
              <w:rPr>
                <w:sz w:val="20"/>
                <w:szCs w:val="20"/>
                <w:color w:val="auto"/>
              </w:rPr>
            </w:pPr>
            <w:r>
              <w:rPr>
                <w:rFonts w:ascii="Arial" w:cs="Arial" w:eastAsia="Arial" w:hAnsi="Arial"/>
                <w:sz w:val="13"/>
                <w:szCs w:val="13"/>
                <w:color w:val="auto"/>
              </w:rPr>
              <w:t>New financial assets originated or purchased</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32,355</w:t>
            </w: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32,355</w:t>
            </w:r>
          </w:p>
        </w:tc>
        <w:tc>
          <w:tcPr>
            <w:tcW w:w="80" w:type="dxa"/>
            <w:vAlign w:val="bottom"/>
            <w:shd w:val="clear" w:color="auto" w:fill="CCEEFF"/>
          </w:tcPr>
          <w:p>
            <w:pPr>
              <w:spacing w:after="0"/>
              <w:rPr>
                <w:sz w:val="13"/>
                <w:szCs w:val="13"/>
                <w:color w:val="auto"/>
              </w:rPr>
            </w:pPr>
          </w:p>
        </w:tc>
      </w:tr>
      <w:tr>
        <w:trPr>
          <w:trHeight w:val="154"/>
        </w:trPr>
        <w:tc>
          <w:tcPr>
            <w:tcW w:w="5360" w:type="dxa"/>
            <w:vAlign w:val="bottom"/>
          </w:tcPr>
          <w:p>
            <w:pPr>
              <w:spacing w:after="0"/>
              <w:rPr>
                <w:sz w:val="20"/>
                <w:szCs w:val="20"/>
                <w:color w:val="auto"/>
              </w:rPr>
            </w:pPr>
            <w:r>
              <w:rPr>
                <w:rFonts w:ascii="Arial" w:cs="Arial" w:eastAsia="Arial" w:hAnsi="Arial"/>
                <w:sz w:val="13"/>
                <w:szCs w:val="13"/>
                <w:color w:val="auto"/>
              </w:rPr>
              <w:t>Write-offs</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1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400" w:type="dxa"/>
            <w:vAlign w:val="bottom"/>
            <w:gridSpan w:val="2"/>
          </w:tcPr>
          <w:p>
            <w:pPr>
              <w:jc w:val="right"/>
              <w:ind w:right="160"/>
              <w:spacing w:after="0"/>
              <w:rPr>
                <w:sz w:val="20"/>
                <w:szCs w:val="20"/>
                <w:color w:val="auto"/>
              </w:rPr>
            </w:pPr>
            <w:r>
              <w:rPr>
                <w:rFonts w:ascii="Arial" w:cs="Arial" w:eastAsia="Arial" w:hAnsi="Arial"/>
                <w:sz w:val="13"/>
                <w:szCs w:val="13"/>
                <w:color w:val="auto"/>
              </w:rPr>
              <w:t>(41,686)</w:t>
            </w:r>
          </w:p>
        </w:tc>
        <w:tc>
          <w:tcPr>
            <w:tcW w:w="1300" w:type="dxa"/>
            <w:vAlign w:val="bottom"/>
            <w:gridSpan w:val="3"/>
          </w:tcPr>
          <w:p>
            <w:pPr>
              <w:jc w:val="right"/>
              <w:ind w:right="60"/>
              <w:spacing w:after="0"/>
              <w:rPr>
                <w:sz w:val="20"/>
                <w:szCs w:val="20"/>
                <w:color w:val="auto"/>
              </w:rPr>
            </w:pPr>
            <w:r>
              <w:rPr>
                <w:rFonts w:ascii="Arial" w:cs="Arial" w:eastAsia="Arial" w:hAnsi="Arial"/>
                <w:sz w:val="13"/>
                <w:szCs w:val="13"/>
                <w:color w:val="auto"/>
              </w:rPr>
              <w:t>(41,686)</w:t>
            </w:r>
          </w:p>
        </w:tc>
      </w:tr>
      <w:tr>
        <w:trPr>
          <w:trHeight w:val="164"/>
        </w:trPr>
        <w:tc>
          <w:tcPr>
            <w:tcW w:w="5360" w:type="dxa"/>
            <w:vAlign w:val="bottom"/>
            <w:shd w:val="clear" w:color="auto" w:fill="CCEEFF"/>
          </w:tcPr>
          <w:p>
            <w:pPr>
              <w:spacing w:after="0"/>
              <w:rPr>
                <w:sz w:val="20"/>
                <w:szCs w:val="20"/>
                <w:color w:val="auto"/>
              </w:rPr>
            </w:pPr>
            <w:r>
              <w:rPr>
                <w:rFonts w:ascii="Arial" w:cs="Arial" w:eastAsia="Arial" w:hAnsi="Arial"/>
                <w:sz w:val="13"/>
                <w:szCs w:val="13"/>
                <w:color w:val="auto"/>
              </w:rPr>
              <w:t>Recoveries of amounts previously written off</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w:t>
            </w:r>
          </w:p>
        </w:tc>
        <w:tc>
          <w:tcPr>
            <w:tcW w:w="200" w:type="dxa"/>
            <w:vAlign w:val="bottom"/>
            <w:shd w:val="clear" w:color="auto" w:fill="CCEEFF"/>
          </w:tcPr>
          <w:p>
            <w:pPr>
              <w:spacing w:after="0"/>
              <w:rPr>
                <w:sz w:val="14"/>
                <w:szCs w:val="14"/>
                <w:color w:val="auto"/>
              </w:rPr>
            </w:pP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w:t>
            </w:r>
          </w:p>
        </w:tc>
        <w:tc>
          <w:tcPr>
            <w:tcW w:w="80" w:type="dxa"/>
            <w:vAlign w:val="bottom"/>
            <w:shd w:val="clear" w:color="auto" w:fill="CCEEFF"/>
          </w:tcPr>
          <w:p>
            <w:pPr>
              <w:spacing w:after="0"/>
              <w:rPr>
                <w:sz w:val="14"/>
                <w:szCs w:val="14"/>
                <w:color w:val="auto"/>
              </w:rPr>
            </w:pPr>
          </w:p>
        </w:tc>
      </w:tr>
      <w:tr>
        <w:trPr>
          <w:trHeight w:val="162"/>
        </w:trPr>
        <w:tc>
          <w:tcPr>
            <w:tcW w:w="5360" w:type="dxa"/>
            <w:vAlign w:val="bottom"/>
          </w:tcPr>
          <w:p>
            <w:pPr>
              <w:spacing w:after="0"/>
              <w:rPr>
                <w:sz w:val="20"/>
                <w:szCs w:val="20"/>
                <w:color w:val="auto"/>
              </w:rPr>
            </w:pPr>
            <w:r>
              <w:rPr>
                <w:rFonts w:ascii="Arial" w:cs="Arial" w:eastAsia="Arial" w:hAnsi="Arial"/>
                <w:sz w:val="13"/>
                <w:szCs w:val="13"/>
                <w:b w:val="1"/>
                <w:bCs w:val="1"/>
                <w:color w:val="auto"/>
              </w:rPr>
              <w:t>Allowance for expected credit losses as of December 31, 2018</w:t>
            </w: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34,957</w:t>
            </w:r>
          </w:p>
        </w:tc>
        <w:tc>
          <w:tcPr>
            <w:tcW w:w="220" w:type="dxa"/>
            <w:vAlign w:val="bottom"/>
          </w:tcPr>
          <w:p>
            <w:pPr>
              <w:spacing w:after="0"/>
              <w:rPr>
                <w:sz w:val="14"/>
                <w:szCs w:val="14"/>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16,389</w:t>
            </w:r>
          </w:p>
        </w:tc>
        <w:tc>
          <w:tcPr>
            <w:tcW w:w="220" w:type="dxa"/>
            <w:vAlign w:val="bottom"/>
          </w:tcPr>
          <w:p>
            <w:pPr>
              <w:spacing w:after="0"/>
              <w:rPr>
                <w:sz w:val="14"/>
                <w:szCs w:val="14"/>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49,439</w:t>
            </w:r>
          </w:p>
        </w:tc>
        <w:tc>
          <w:tcPr>
            <w:tcW w:w="200" w:type="dxa"/>
            <w:vAlign w:val="bottom"/>
          </w:tcPr>
          <w:p>
            <w:pPr>
              <w:spacing w:after="0"/>
              <w:rPr>
                <w:sz w:val="14"/>
                <w:szCs w:val="14"/>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100,785</w:t>
            </w: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r>
      <w:tr>
        <w:trPr>
          <w:trHeight w:val="337"/>
        </w:trPr>
        <w:tc>
          <w:tcPr>
            <w:tcW w:w="5360" w:type="dxa"/>
            <w:vAlign w:val="bottom"/>
          </w:tcPr>
          <w:p>
            <w:pPr>
              <w:spacing w:after="0"/>
              <w:rPr>
                <w:sz w:val="24"/>
                <w:szCs w:val="24"/>
                <w:color w:val="auto"/>
              </w:rPr>
            </w:pPr>
          </w:p>
        </w:tc>
        <w:tc>
          <w:tcPr>
            <w:tcW w:w="1440" w:type="dxa"/>
            <w:vAlign w:val="bottom"/>
            <w:gridSpan w:val="2"/>
          </w:tcPr>
          <w:p>
            <w:pPr>
              <w:jc w:val="right"/>
              <w:ind w:right="560"/>
              <w:spacing w:after="0"/>
              <w:rPr>
                <w:sz w:val="20"/>
                <w:szCs w:val="20"/>
                <w:color w:val="auto"/>
              </w:rPr>
            </w:pPr>
            <w:r>
              <w:rPr>
                <w:rFonts w:ascii="Arial" w:cs="Arial" w:eastAsia="Arial" w:hAnsi="Arial"/>
                <w:sz w:val="13"/>
                <w:szCs w:val="13"/>
                <w:b w:val="1"/>
                <w:bCs w:val="1"/>
                <w:color w:val="auto"/>
              </w:rPr>
              <w:t xml:space="preserve">Stage 1 </w:t>
            </w:r>
            <w:r>
              <w:rPr>
                <w:rFonts w:ascii="Arial" w:cs="Arial" w:eastAsia="Arial" w:hAnsi="Arial"/>
                <w:sz w:val="21"/>
                <w:szCs w:val="21"/>
                <w:b w:val="1"/>
                <w:bCs w:val="1"/>
                <w:color w:val="auto"/>
                <w:vertAlign w:val="superscript"/>
              </w:rPr>
              <w:t>(1)</w:t>
            </w:r>
          </w:p>
        </w:tc>
        <w:tc>
          <w:tcPr>
            <w:tcW w:w="1400" w:type="dxa"/>
            <w:vAlign w:val="bottom"/>
            <w:gridSpan w:val="2"/>
          </w:tcPr>
          <w:p>
            <w:pPr>
              <w:jc w:val="right"/>
              <w:ind w:right="540"/>
              <w:spacing w:after="0"/>
              <w:rPr>
                <w:sz w:val="20"/>
                <w:szCs w:val="20"/>
                <w:color w:val="auto"/>
              </w:rPr>
            </w:pPr>
            <w:r>
              <w:rPr>
                <w:rFonts w:ascii="Arial" w:cs="Arial" w:eastAsia="Arial" w:hAnsi="Arial"/>
                <w:sz w:val="13"/>
                <w:szCs w:val="13"/>
                <w:b w:val="1"/>
                <w:bCs w:val="1"/>
                <w:color w:val="auto"/>
              </w:rPr>
              <w:t xml:space="preserve">Stage 2 </w:t>
            </w:r>
            <w:r>
              <w:rPr>
                <w:rFonts w:ascii="Arial" w:cs="Arial" w:eastAsia="Arial" w:hAnsi="Arial"/>
                <w:sz w:val="21"/>
                <w:szCs w:val="21"/>
                <w:b w:val="1"/>
                <w:bCs w:val="1"/>
                <w:color w:val="auto"/>
                <w:vertAlign w:val="superscript"/>
              </w:rPr>
              <w:t>(2)</w:t>
            </w:r>
          </w:p>
        </w:tc>
        <w:tc>
          <w:tcPr>
            <w:tcW w:w="1400" w:type="dxa"/>
            <w:vAlign w:val="bottom"/>
            <w:gridSpan w:val="2"/>
          </w:tcPr>
          <w:p>
            <w:pPr>
              <w:jc w:val="right"/>
              <w:ind w:right="520"/>
              <w:spacing w:after="0"/>
              <w:rPr>
                <w:sz w:val="20"/>
                <w:szCs w:val="20"/>
                <w:color w:val="auto"/>
              </w:rPr>
            </w:pPr>
            <w:r>
              <w:rPr>
                <w:rFonts w:ascii="Arial" w:cs="Arial" w:eastAsia="Arial" w:hAnsi="Arial"/>
                <w:sz w:val="13"/>
                <w:szCs w:val="13"/>
                <w:b w:val="1"/>
                <w:bCs w:val="1"/>
                <w:color w:val="auto"/>
              </w:rPr>
              <w:t xml:space="preserve">Stage 3 </w:t>
            </w:r>
            <w:r>
              <w:rPr>
                <w:rFonts w:ascii="Arial" w:cs="Arial" w:eastAsia="Arial" w:hAnsi="Arial"/>
                <w:sz w:val="21"/>
                <w:szCs w:val="21"/>
                <w:b w:val="1"/>
                <w:bCs w:val="1"/>
                <w:color w:val="auto"/>
                <w:vertAlign w:val="superscript"/>
              </w:rPr>
              <w:t>(3)</w:t>
            </w:r>
          </w:p>
        </w:tc>
        <w:tc>
          <w:tcPr>
            <w:tcW w:w="1300" w:type="dxa"/>
            <w:vAlign w:val="bottom"/>
            <w:gridSpan w:val="3"/>
          </w:tcPr>
          <w:p>
            <w:pPr>
              <w:jc w:val="right"/>
              <w:ind w:right="560"/>
              <w:spacing w:after="0"/>
              <w:rPr>
                <w:sz w:val="20"/>
                <w:szCs w:val="20"/>
                <w:color w:val="auto"/>
              </w:rPr>
            </w:pPr>
            <w:r>
              <w:rPr>
                <w:rFonts w:ascii="Arial" w:cs="Arial" w:eastAsia="Arial" w:hAnsi="Arial"/>
                <w:sz w:val="13"/>
                <w:szCs w:val="13"/>
                <w:b w:val="1"/>
                <w:bCs w:val="1"/>
                <w:color w:val="auto"/>
              </w:rPr>
              <w:t>Total</w:t>
            </w:r>
          </w:p>
        </w:tc>
      </w:tr>
      <w:tr>
        <w:trPr>
          <w:trHeight w:val="144"/>
        </w:trPr>
        <w:tc>
          <w:tcPr>
            <w:tcW w:w="536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Allowance for expected credit losses as of December 31, 2016</w:t>
            </w:r>
          </w:p>
        </w:tc>
        <w:tc>
          <w:tcPr>
            <w:tcW w:w="12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29,036</w:t>
            </w: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41,599</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35,353</w:t>
            </w: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105,988</w:t>
            </w: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r>
      <w:tr>
        <w:trPr>
          <w:trHeight w:val="144"/>
        </w:trPr>
        <w:tc>
          <w:tcPr>
            <w:tcW w:w="5360" w:type="dxa"/>
            <w:vAlign w:val="bottom"/>
          </w:tcPr>
          <w:p>
            <w:pPr>
              <w:spacing w:after="0" w:line="143" w:lineRule="exact"/>
              <w:rPr>
                <w:sz w:val="20"/>
                <w:szCs w:val="20"/>
                <w:color w:val="auto"/>
              </w:rPr>
            </w:pPr>
            <w:r>
              <w:rPr>
                <w:rFonts w:ascii="Arial" w:cs="Arial" w:eastAsia="Arial" w:hAnsi="Arial"/>
                <w:sz w:val="13"/>
                <w:szCs w:val="13"/>
                <w:color w:val="auto"/>
              </w:rPr>
              <w:t>Transfer to lifetime expected credit losses</w:t>
            </w:r>
          </w:p>
        </w:tc>
        <w:tc>
          <w:tcPr>
            <w:tcW w:w="1220" w:type="dxa"/>
            <w:vAlign w:val="bottom"/>
          </w:tcPr>
          <w:p>
            <w:pPr>
              <w:jc w:val="right"/>
              <w:spacing w:after="0" w:line="144" w:lineRule="exact"/>
              <w:rPr>
                <w:sz w:val="20"/>
                <w:szCs w:val="20"/>
                <w:color w:val="auto"/>
              </w:rPr>
            </w:pPr>
            <w:r>
              <w:rPr>
                <w:rFonts w:ascii="Arial" w:cs="Arial" w:eastAsia="Arial" w:hAnsi="Arial"/>
                <w:sz w:val="13"/>
                <w:szCs w:val="13"/>
                <w:color w:val="auto"/>
              </w:rPr>
              <w:t>(672)</w:t>
            </w:r>
          </w:p>
        </w:tc>
        <w:tc>
          <w:tcPr>
            <w:tcW w:w="220" w:type="dxa"/>
            <w:vAlign w:val="bottom"/>
          </w:tcPr>
          <w:p>
            <w:pPr>
              <w:spacing w:after="0"/>
              <w:rPr>
                <w:sz w:val="12"/>
                <w:szCs w:val="12"/>
                <w:color w:val="auto"/>
              </w:rPr>
            </w:pPr>
          </w:p>
        </w:tc>
        <w:tc>
          <w:tcPr>
            <w:tcW w:w="1180" w:type="dxa"/>
            <w:vAlign w:val="bottom"/>
          </w:tcPr>
          <w:p>
            <w:pPr>
              <w:jc w:val="right"/>
              <w:spacing w:after="0" w:line="144" w:lineRule="exact"/>
              <w:rPr>
                <w:sz w:val="20"/>
                <w:szCs w:val="20"/>
                <w:color w:val="auto"/>
              </w:rPr>
            </w:pPr>
            <w:r>
              <w:rPr>
                <w:rFonts w:ascii="Arial" w:cs="Arial" w:eastAsia="Arial" w:hAnsi="Arial"/>
                <w:sz w:val="13"/>
                <w:szCs w:val="13"/>
                <w:color w:val="auto"/>
              </w:rPr>
              <w:t>672</w:t>
            </w:r>
          </w:p>
        </w:tc>
        <w:tc>
          <w:tcPr>
            <w:tcW w:w="220" w:type="dxa"/>
            <w:vAlign w:val="bottom"/>
          </w:tcPr>
          <w:p>
            <w:pPr>
              <w:spacing w:after="0"/>
              <w:rPr>
                <w:sz w:val="12"/>
                <w:szCs w:val="12"/>
                <w:color w:val="auto"/>
              </w:rPr>
            </w:pPr>
          </w:p>
        </w:tc>
        <w:tc>
          <w:tcPr>
            <w:tcW w:w="1200" w:type="dxa"/>
            <w:vAlign w:val="bottom"/>
          </w:tcPr>
          <w:p>
            <w:pPr>
              <w:jc w:val="right"/>
              <w:spacing w:after="0" w:line="144" w:lineRule="exact"/>
              <w:rPr>
                <w:sz w:val="20"/>
                <w:szCs w:val="20"/>
                <w:color w:val="auto"/>
              </w:rPr>
            </w:pPr>
            <w:r>
              <w:rPr>
                <w:rFonts w:ascii="Arial" w:cs="Arial" w:eastAsia="Arial" w:hAnsi="Arial"/>
                <w:sz w:val="13"/>
                <w:szCs w:val="13"/>
                <w:color w:val="auto"/>
              </w:rPr>
              <w:t>-</w:t>
            </w:r>
          </w:p>
        </w:tc>
        <w:tc>
          <w:tcPr>
            <w:tcW w:w="200" w:type="dxa"/>
            <w:vAlign w:val="bottom"/>
          </w:tcPr>
          <w:p>
            <w:pPr>
              <w:spacing w:after="0"/>
              <w:rPr>
                <w:sz w:val="12"/>
                <w:szCs w:val="12"/>
                <w:color w:val="auto"/>
              </w:rPr>
            </w:pPr>
          </w:p>
        </w:tc>
        <w:tc>
          <w:tcPr>
            <w:tcW w:w="1200" w:type="dxa"/>
            <w:vAlign w:val="bottom"/>
          </w:tcPr>
          <w:p>
            <w:pPr>
              <w:jc w:val="right"/>
              <w:spacing w:after="0" w:line="144" w:lineRule="exact"/>
              <w:rPr>
                <w:sz w:val="20"/>
                <w:szCs w:val="20"/>
                <w:color w:val="auto"/>
              </w:rPr>
            </w:pPr>
            <w:r>
              <w:rPr>
                <w:rFonts w:ascii="Arial" w:cs="Arial" w:eastAsia="Arial" w:hAnsi="Arial"/>
                <w:sz w:val="13"/>
                <w:szCs w:val="13"/>
                <w:color w:val="auto"/>
              </w:rPr>
              <w:t>-</w:t>
            </w: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r>
      <w:tr>
        <w:trPr>
          <w:trHeight w:val="154"/>
        </w:trPr>
        <w:tc>
          <w:tcPr>
            <w:tcW w:w="5360" w:type="dxa"/>
            <w:vAlign w:val="bottom"/>
            <w:shd w:val="clear" w:color="auto" w:fill="CCEEFF"/>
          </w:tcPr>
          <w:p>
            <w:pPr>
              <w:spacing w:after="0"/>
              <w:rPr>
                <w:sz w:val="20"/>
                <w:szCs w:val="20"/>
                <w:color w:val="auto"/>
              </w:rPr>
            </w:pPr>
            <w:r>
              <w:rPr>
                <w:rFonts w:ascii="Arial" w:cs="Arial" w:eastAsia="Arial" w:hAnsi="Arial"/>
                <w:sz w:val="13"/>
                <w:szCs w:val="13"/>
                <w:color w:val="auto"/>
              </w:rPr>
              <w:t>Transfer to credit-impaired financial instruments</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(12,845)</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12,845</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w:t>
            </w:r>
          </w:p>
        </w:tc>
        <w:tc>
          <w:tcPr>
            <w:tcW w:w="80" w:type="dxa"/>
            <w:vAlign w:val="bottom"/>
            <w:shd w:val="clear" w:color="auto" w:fill="CCEEFF"/>
          </w:tcPr>
          <w:p>
            <w:pPr>
              <w:spacing w:after="0"/>
              <w:rPr>
                <w:sz w:val="13"/>
                <w:szCs w:val="13"/>
                <w:color w:val="auto"/>
              </w:rPr>
            </w:pPr>
          </w:p>
        </w:tc>
      </w:tr>
      <w:tr>
        <w:trPr>
          <w:trHeight w:val="154"/>
        </w:trPr>
        <w:tc>
          <w:tcPr>
            <w:tcW w:w="5360" w:type="dxa"/>
            <w:vAlign w:val="bottom"/>
          </w:tcPr>
          <w:p>
            <w:pPr>
              <w:spacing w:after="0"/>
              <w:rPr>
                <w:sz w:val="20"/>
                <w:szCs w:val="20"/>
                <w:color w:val="auto"/>
              </w:rPr>
            </w:pPr>
            <w:r>
              <w:rPr>
                <w:rFonts w:ascii="Arial" w:cs="Arial" w:eastAsia="Arial" w:hAnsi="Arial"/>
                <w:sz w:val="13"/>
                <w:szCs w:val="13"/>
                <w:color w:val="auto"/>
              </w:rPr>
              <w:t>Transfer to 12-month expected credit losses</w:t>
            </w:r>
          </w:p>
        </w:tc>
        <w:tc>
          <w:tcPr>
            <w:tcW w:w="1220" w:type="dxa"/>
            <w:vAlign w:val="bottom"/>
          </w:tcPr>
          <w:p>
            <w:pPr>
              <w:jc w:val="right"/>
              <w:spacing w:after="0"/>
              <w:rPr>
                <w:sz w:val="20"/>
                <w:szCs w:val="20"/>
                <w:color w:val="auto"/>
              </w:rPr>
            </w:pPr>
            <w:r>
              <w:rPr>
                <w:rFonts w:ascii="Arial" w:cs="Arial" w:eastAsia="Arial" w:hAnsi="Arial"/>
                <w:sz w:val="13"/>
                <w:szCs w:val="13"/>
                <w:color w:val="auto"/>
              </w:rPr>
              <w:t>1,428</w:t>
            </w:r>
          </w:p>
        </w:tc>
        <w:tc>
          <w:tcPr>
            <w:tcW w:w="220" w:type="dxa"/>
            <w:vAlign w:val="bottom"/>
          </w:tcPr>
          <w:p>
            <w:pPr>
              <w:spacing w:after="0"/>
              <w:rPr>
                <w:sz w:val="13"/>
                <w:szCs w:val="13"/>
                <w:color w:val="auto"/>
              </w:rPr>
            </w:pPr>
          </w:p>
        </w:tc>
        <w:tc>
          <w:tcPr>
            <w:tcW w:w="1400" w:type="dxa"/>
            <w:vAlign w:val="bottom"/>
            <w:gridSpan w:val="2"/>
          </w:tcPr>
          <w:p>
            <w:pPr>
              <w:jc w:val="right"/>
              <w:ind w:right="160"/>
              <w:spacing w:after="0"/>
              <w:rPr>
                <w:sz w:val="20"/>
                <w:szCs w:val="20"/>
                <w:color w:val="auto"/>
              </w:rPr>
            </w:pPr>
            <w:r>
              <w:rPr>
                <w:rFonts w:ascii="Arial" w:cs="Arial" w:eastAsia="Arial" w:hAnsi="Arial"/>
                <w:sz w:val="13"/>
                <w:szCs w:val="13"/>
                <w:color w:val="auto"/>
              </w:rPr>
              <w:t>(1,428)</w:t>
            </w: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220" w:type="dxa"/>
            <w:vAlign w:val="bottom"/>
            <w:gridSpan w:val="2"/>
          </w:tcPr>
          <w:p>
            <w:pPr>
              <w:jc w:val="right"/>
              <w:ind w:right="20"/>
              <w:spacing w:after="0"/>
              <w:rPr>
                <w:sz w:val="20"/>
                <w:szCs w:val="20"/>
                <w:color w:val="auto"/>
              </w:rPr>
            </w:pPr>
            <w:r>
              <w:rPr>
                <w:rFonts w:ascii="Arial" w:cs="Arial" w:eastAsia="Arial" w:hAnsi="Arial"/>
                <w:sz w:val="13"/>
                <w:szCs w:val="13"/>
                <w:color w:val="auto"/>
              </w:rPr>
              <w:t>-</w:t>
            </w:r>
          </w:p>
        </w:tc>
        <w:tc>
          <w:tcPr>
            <w:tcW w:w="80" w:type="dxa"/>
            <w:vAlign w:val="bottom"/>
          </w:tcPr>
          <w:p>
            <w:pPr>
              <w:spacing w:after="0"/>
              <w:rPr>
                <w:sz w:val="13"/>
                <w:szCs w:val="13"/>
                <w:color w:val="auto"/>
              </w:rPr>
            </w:pPr>
          </w:p>
        </w:tc>
      </w:tr>
      <w:tr>
        <w:trPr>
          <w:trHeight w:val="154"/>
        </w:trPr>
        <w:tc>
          <w:tcPr>
            <w:tcW w:w="5360" w:type="dxa"/>
            <w:vAlign w:val="bottom"/>
            <w:shd w:val="clear" w:color="auto" w:fill="CCEEFF"/>
          </w:tcPr>
          <w:p>
            <w:pPr>
              <w:spacing w:after="0"/>
              <w:rPr>
                <w:sz w:val="20"/>
                <w:szCs w:val="20"/>
                <w:color w:val="auto"/>
              </w:rPr>
            </w:pPr>
            <w:r>
              <w:rPr>
                <w:rFonts w:ascii="Arial" w:cs="Arial" w:eastAsia="Arial" w:hAnsi="Arial"/>
                <w:sz w:val="13"/>
                <w:szCs w:val="13"/>
                <w:color w:val="auto"/>
              </w:rPr>
              <w:t>Net effect of changes in reserve for expected credit losses</w:t>
            </w:r>
          </w:p>
        </w:tc>
        <w:tc>
          <w:tcPr>
            <w:tcW w:w="144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(2,900)</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18,227</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20,257</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35,584</w:t>
            </w:r>
          </w:p>
        </w:tc>
        <w:tc>
          <w:tcPr>
            <w:tcW w:w="80" w:type="dxa"/>
            <w:vAlign w:val="bottom"/>
            <w:shd w:val="clear" w:color="auto" w:fill="CCEEFF"/>
          </w:tcPr>
          <w:p>
            <w:pPr>
              <w:spacing w:after="0"/>
              <w:rPr>
                <w:sz w:val="13"/>
                <w:szCs w:val="13"/>
                <w:color w:val="auto"/>
              </w:rPr>
            </w:pPr>
          </w:p>
        </w:tc>
      </w:tr>
      <w:tr>
        <w:trPr>
          <w:trHeight w:val="154"/>
        </w:trPr>
        <w:tc>
          <w:tcPr>
            <w:tcW w:w="5360" w:type="dxa"/>
            <w:vAlign w:val="bottom"/>
          </w:tcPr>
          <w:p>
            <w:pPr>
              <w:spacing w:after="0"/>
              <w:rPr>
                <w:sz w:val="20"/>
                <w:szCs w:val="20"/>
                <w:color w:val="auto"/>
              </w:rPr>
            </w:pPr>
            <w:r>
              <w:rPr>
                <w:rFonts w:ascii="Arial" w:cs="Arial" w:eastAsia="Arial" w:hAnsi="Arial"/>
                <w:sz w:val="13"/>
                <w:szCs w:val="13"/>
                <w:color w:val="auto"/>
              </w:rPr>
              <w:t>Financial instruments that have been derecognized during the year</w:t>
            </w:r>
          </w:p>
        </w:tc>
        <w:tc>
          <w:tcPr>
            <w:tcW w:w="1440" w:type="dxa"/>
            <w:vAlign w:val="bottom"/>
            <w:gridSpan w:val="2"/>
          </w:tcPr>
          <w:p>
            <w:pPr>
              <w:jc w:val="right"/>
              <w:ind w:right="180"/>
              <w:spacing w:after="0"/>
              <w:rPr>
                <w:sz w:val="20"/>
                <w:szCs w:val="20"/>
                <w:color w:val="auto"/>
              </w:rPr>
            </w:pPr>
            <w:r>
              <w:rPr>
                <w:rFonts w:ascii="Arial" w:cs="Arial" w:eastAsia="Arial" w:hAnsi="Arial"/>
                <w:sz w:val="13"/>
                <w:szCs w:val="13"/>
                <w:color w:val="auto"/>
              </w:rPr>
              <w:t>(24,434)</w:t>
            </w:r>
          </w:p>
        </w:tc>
        <w:tc>
          <w:tcPr>
            <w:tcW w:w="1400" w:type="dxa"/>
            <w:vAlign w:val="bottom"/>
            <w:gridSpan w:val="2"/>
          </w:tcPr>
          <w:p>
            <w:pPr>
              <w:jc w:val="right"/>
              <w:ind w:right="160"/>
              <w:spacing w:after="0"/>
              <w:rPr>
                <w:sz w:val="20"/>
                <w:szCs w:val="20"/>
                <w:color w:val="auto"/>
              </w:rPr>
            </w:pPr>
            <w:r>
              <w:rPr>
                <w:rFonts w:ascii="Arial" w:cs="Arial" w:eastAsia="Arial" w:hAnsi="Arial"/>
                <w:sz w:val="13"/>
                <w:szCs w:val="13"/>
                <w:color w:val="auto"/>
              </w:rPr>
              <w:t>(11,321)</w:t>
            </w:r>
          </w:p>
        </w:tc>
        <w:tc>
          <w:tcPr>
            <w:tcW w:w="1400" w:type="dxa"/>
            <w:vAlign w:val="bottom"/>
            <w:gridSpan w:val="2"/>
          </w:tcPr>
          <w:p>
            <w:pPr>
              <w:jc w:val="right"/>
              <w:ind w:right="160"/>
              <w:spacing w:after="0"/>
              <w:rPr>
                <w:sz w:val="20"/>
                <w:szCs w:val="20"/>
                <w:color w:val="auto"/>
              </w:rPr>
            </w:pPr>
            <w:r>
              <w:rPr>
                <w:rFonts w:ascii="Arial" w:cs="Arial" w:eastAsia="Arial" w:hAnsi="Arial"/>
                <w:sz w:val="13"/>
                <w:szCs w:val="13"/>
                <w:color w:val="auto"/>
              </w:rPr>
              <w:t>(8,333)</w:t>
            </w:r>
          </w:p>
        </w:tc>
        <w:tc>
          <w:tcPr>
            <w:tcW w:w="1300" w:type="dxa"/>
            <w:vAlign w:val="bottom"/>
            <w:gridSpan w:val="3"/>
          </w:tcPr>
          <w:p>
            <w:pPr>
              <w:jc w:val="right"/>
              <w:ind w:right="60"/>
              <w:spacing w:after="0"/>
              <w:rPr>
                <w:sz w:val="20"/>
                <w:szCs w:val="20"/>
                <w:color w:val="auto"/>
              </w:rPr>
            </w:pPr>
            <w:r>
              <w:rPr>
                <w:rFonts w:ascii="Arial" w:cs="Arial" w:eastAsia="Arial" w:hAnsi="Arial"/>
                <w:sz w:val="13"/>
                <w:szCs w:val="13"/>
                <w:color w:val="auto"/>
              </w:rPr>
              <w:t>(44,088)</w:t>
            </w:r>
          </w:p>
        </w:tc>
      </w:tr>
      <w:tr>
        <w:trPr>
          <w:trHeight w:val="154"/>
        </w:trPr>
        <w:tc>
          <w:tcPr>
            <w:tcW w:w="5360" w:type="dxa"/>
            <w:vAlign w:val="bottom"/>
            <w:shd w:val="clear" w:color="auto" w:fill="CCEEFF"/>
          </w:tcPr>
          <w:p>
            <w:pPr>
              <w:spacing w:after="0"/>
              <w:rPr>
                <w:sz w:val="20"/>
                <w:szCs w:val="20"/>
                <w:color w:val="auto"/>
              </w:rPr>
            </w:pPr>
            <w:r>
              <w:rPr>
                <w:rFonts w:ascii="Arial" w:cs="Arial" w:eastAsia="Arial" w:hAnsi="Arial"/>
                <w:sz w:val="13"/>
                <w:szCs w:val="13"/>
                <w:color w:val="auto"/>
              </w:rPr>
              <w:t>New financial assets originated or purchased</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17,363</w:t>
            </w: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17,363</w:t>
            </w:r>
          </w:p>
        </w:tc>
        <w:tc>
          <w:tcPr>
            <w:tcW w:w="80" w:type="dxa"/>
            <w:vAlign w:val="bottom"/>
            <w:shd w:val="clear" w:color="auto" w:fill="CCEEFF"/>
          </w:tcPr>
          <w:p>
            <w:pPr>
              <w:spacing w:after="0"/>
              <w:rPr>
                <w:sz w:val="13"/>
                <w:szCs w:val="13"/>
                <w:color w:val="auto"/>
              </w:rPr>
            </w:pPr>
          </w:p>
        </w:tc>
      </w:tr>
      <w:tr>
        <w:trPr>
          <w:trHeight w:val="154"/>
        </w:trPr>
        <w:tc>
          <w:tcPr>
            <w:tcW w:w="5360" w:type="dxa"/>
            <w:vAlign w:val="bottom"/>
          </w:tcPr>
          <w:p>
            <w:pPr>
              <w:spacing w:after="0"/>
              <w:rPr>
                <w:sz w:val="20"/>
                <w:szCs w:val="20"/>
                <w:color w:val="auto"/>
              </w:rPr>
            </w:pPr>
            <w:r>
              <w:rPr>
                <w:rFonts w:ascii="Arial" w:cs="Arial" w:eastAsia="Arial" w:hAnsi="Arial"/>
                <w:sz w:val="13"/>
                <w:szCs w:val="13"/>
                <w:color w:val="auto"/>
              </w:rPr>
              <w:t>Write-offs</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400" w:type="dxa"/>
            <w:vAlign w:val="bottom"/>
            <w:gridSpan w:val="2"/>
          </w:tcPr>
          <w:p>
            <w:pPr>
              <w:jc w:val="right"/>
              <w:ind w:right="160"/>
              <w:spacing w:after="0"/>
              <w:rPr>
                <w:sz w:val="20"/>
                <w:szCs w:val="20"/>
                <w:color w:val="auto"/>
              </w:rPr>
            </w:pPr>
            <w:r>
              <w:rPr>
                <w:rFonts w:ascii="Arial" w:cs="Arial" w:eastAsia="Arial" w:hAnsi="Arial"/>
                <w:sz w:val="13"/>
                <w:szCs w:val="13"/>
                <w:color w:val="auto"/>
              </w:rPr>
              <w:t>(1,427)</w:t>
            </w:r>
          </w:p>
        </w:tc>
        <w:tc>
          <w:tcPr>
            <w:tcW w:w="1400" w:type="dxa"/>
            <w:vAlign w:val="bottom"/>
            <w:gridSpan w:val="2"/>
          </w:tcPr>
          <w:p>
            <w:pPr>
              <w:jc w:val="right"/>
              <w:ind w:right="160"/>
              <w:spacing w:after="0"/>
              <w:rPr>
                <w:sz w:val="20"/>
                <w:szCs w:val="20"/>
                <w:color w:val="auto"/>
              </w:rPr>
            </w:pPr>
            <w:r>
              <w:rPr>
                <w:rFonts w:ascii="Arial" w:cs="Arial" w:eastAsia="Arial" w:hAnsi="Arial"/>
                <w:sz w:val="13"/>
                <w:szCs w:val="13"/>
                <w:color w:val="auto"/>
              </w:rPr>
              <w:t>(32,126)</w:t>
            </w:r>
          </w:p>
        </w:tc>
        <w:tc>
          <w:tcPr>
            <w:tcW w:w="1300" w:type="dxa"/>
            <w:vAlign w:val="bottom"/>
            <w:gridSpan w:val="3"/>
          </w:tcPr>
          <w:p>
            <w:pPr>
              <w:jc w:val="right"/>
              <w:ind w:right="60"/>
              <w:spacing w:after="0"/>
              <w:rPr>
                <w:sz w:val="20"/>
                <w:szCs w:val="20"/>
                <w:color w:val="auto"/>
              </w:rPr>
            </w:pPr>
            <w:r>
              <w:rPr>
                <w:rFonts w:ascii="Arial" w:cs="Arial" w:eastAsia="Arial" w:hAnsi="Arial"/>
                <w:sz w:val="13"/>
                <w:szCs w:val="13"/>
                <w:color w:val="auto"/>
              </w:rPr>
              <w:t>(33,553)</w:t>
            </w:r>
          </w:p>
        </w:tc>
      </w:tr>
      <w:tr>
        <w:trPr>
          <w:trHeight w:val="164"/>
        </w:trPr>
        <w:tc>
          <w:tcPr>
            <w:tcW w:w="5360" w:type="dxa"/>
            <w:vAlign w:val="bottom"/>
            <w:shd w:val="clear" w:color="auto" w:fill="CCEEFF"/>
          </w:tcPr>
          <w:p>
            <w:pPr>
              <w:spacing w:after="0"/>
              <w:rPr>
                <w:sz w:val="20"/>
                <w:szCs w:val="20"/>
                <w:color w:val="auto"/>
              </w:rPr>
            </w:pPr>
            <w:r>
              <w:rPr>
                <w:rFonts w:ascii="Arial" w:cs="Arial" w:eastAsia="Arial" w:hAnsi="Arial"/>
                <w:sz w:val="13"/>
                <w:szCs w:val="13"/>
                <w:color w:val="auto"/>
              </w:rPr>
              <w:t>Recoveries of amounts previously written off</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4"/>
                <w:szCs w:val="14"/>
                <w:color w:val="auto"/>
              </w:rPr>
            </w:pP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w:t>
            </w:r>
          </w:p>
        </w:tc>
        <w:tc>
          <w:tcPr>
            <w:tcW w:w="80" w:type="dxa"/>
            <w:vAlign w:val="bottom"/>
            <w:shd w:val="clear" w:color="auto" w:fill="CCEEFF"/>
          </w:tcPr>
          <w:p>
            <w:pPr>
              <w:spacing w:after="0"/>
              <w:rPr>
                <w:sz w:val="14"/>
                <w:szCs w:val="14"/>
                <w:color w:val="auto"/>
              </w:rPr>
            </w:pPr>
          </w:p>
        </w:tc>
      </w:tr>
      <w:tr>
        <w:trPr>
          <w:trHeight w:val="162"/>
        </w:trPr>
        <w:tc>
          <w:tcPr>
            <w:tcW w:w="5360" w:type="dxa"/>
            <w:vAlign w:val="bottom"/>
          </w:tcPr>
          <w:p>
            <w:pPr>
              <w:spacing w:after="0" w:line="146" w:lineRule="exact"/>
              <w:rPr>
                <w:sz w:val="20"/>
                <w:szCs w:val="20"/>
                <w:color w:val="auto"/>
              </w:rPr>
            </w:pPr>
            <w:r>
              <w:rPr>
                <w:rFonts w:ascii="Arial" w:cs="Arial" w:eastAsia="Arial" w:hAnsi="Arial"/>
                <w:sz w:val="13"/>
                <w:szCs w:val="13"/>
                <w:b w:val="1"/>
                <w:bCs w:val="1"/>
                <w:color w:val="auto"/>
              </w:rPr>
              <w:t>Allowance for expected credit losses as of December 31, 2017</w:t>
            </w: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19,821</w:t>
            </w:r>
          </w:p>
        </w:tc>
        <w:tc>
          <w:tcPr>
            <w:tcW w:w="220" w:type="dxa"/>
            <w:vAlign w:val="bottom"/>
          </w:tcPr>
          <w:p>
            <w:pPr>
              <w:spacing w:after="0"/>
              <w:rPr>
                <w:sz w:val="14"/>
                <w:szCs w:val="14"/>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33,477</w:t>
            </w:r>
          </w:p>
        </w:tc>
        <w:tc>
          <w:tcPr>
            <w:tcW w:w="220" w:type="dxa"/>
            <w:vAlign w:val="bottom"/>
          </w:tcPr>
          <w:p>
            <w:pPr>
              <w:spacing w:after="0"/>
              <w:rPr>
                <w:sz w:val="14"/>
                <w:szCs w:val="14"/>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27,996</w:t>
            </w:r>
          </w:p>
        </w:tc>
        <w:tc>
          <w:tcPr>
            <w:tcW w:w="200" w:type="dxa"/>
            <w:vAlign w:val="bottom"/>
          </w:tcPr>
          <w:p>
            <w:pPr>
              <w:spacing w:after="0"/>
              <w:rPr>
                <w:sz w:val="14"/>
                <w:szCs w:val="14"/>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81,294</w:t>
            </w:r>
          </w:p>
        </w:tc>
        <w:tc>
          <w:tcPr>
            <w:tcW w:w="20" w:type="dxa"/>
            <w:vAlign w:val="bottom"/>
            <w:tcBorders>
              <w:bottom w:val="single" w:sz="8" w:color="auto"/>
            </w:tcBorders>
          </w:tcPr>
          <w:p>
            <w:pPr>
              <w:spacing w:after="0"/>
              <w:rPr>
                <w:sz w:val="14"/>
                <w:szCs w:val="14"/>
                <w:color w:val="auto"/>
              </w:rPr>
            </w:pPr>
          </w:p>
        </w:tc>
        <w:tc>
          <w:tcPr>
            <w:tcW w:w="80" w:type="dxa"/>
            <w:vAlign w:val="bottom"/>
          </w:tcPr>
          <w:p>
            <w:pPr>
              <w:spacing w:after="0"/>
              <w:rPr>
                <w:sz w:val="14"/>
                <w:szCs w:val="14"/>
                <w:color w:val="auto"/>
              </w:rPr>
            </w:pPr>
          </w:p>
        </w:tc>
      </w:tr>
    </w:tbl>
    <w:p>
      <w:pPr>
        <w:spacing w:after="0" w:line="66" w:lineRule="exact"/>
        <w:rPr>
          <w:sz w:val="20"/>
          <w:szCs w:val="20"/>
          <w:color w:val="auto"/>
        </w:rPr>
      </w:pPr>
    </w:p>
    <w:p>
      <w:pPr>
        <w:ind w:left="743" w:hanging="223"/>
        <w:spacing w:after="0"/>
        <w:tabs>
          <w:tab w:leader="none" w:pos="743" w:val="left"/>
        </w:tabs>
        <w:numPr>
          <w:ilvl w:val="0"/>
          <w:numId w:val="136"/>
        </w:numPr>
        <w:rPr>
          <w:rFonts w:ascii="Arial" w:cs="Arial" w:eastAsia="Arial" w:hAnsi="Arial"/>
          <w:sz w:val="21"/>
          <w:szCs w:val="21"/>
          <w:color w:val="auto"/>
          <w:vertAlign w:val="superscript"/>
        </w:rPr>
      </w:pPr>
      <w:r>
        <w:rPr>
          <w:rFonts w:ascii="Arial" w:cs="Arial" w:eastAsia="Arial" w:hAnsi="Arial"/>
          <w:sz w:val="13"/>
          <w:szCs w:val="13"/>
          <w:color w:val="auto"/>
        </w:rPr>
        <w:t>12-month expected credit losses.</w:t>
      </w:r>
    </w:p>
    <w:p>
      <w:pPr>
        <w:spacing w:after="0" w:line="1" w:lineRule="exact"/>
        <w:rPr>
          <w:rFonts w:ascii="Arial" w:cs="Arial" w:eastAsia="Arial" w:hAnsi="Arial"/>
          <w:sz w:val="21"/>
          <w:szCs w:val="21"/>
          <w:color w:val="auto"/>
          <w:vertAlign w:val="superscript"/>
        </w:rPr>
      </w:pPr>
    </w:p>
    <w:p>
      <w:pPr>
        <w:ind w:left="743" w:hanging="223"/>
        <w:spacing w:after="0" w:line="187" w:lineRule="auto"/>
        <w:tabs>
          <w:tab w:leader="none" w:pos="743" w:val="left"/>
        </w:tabs>
        <w:numPr>
          <w:ilvl w:val="0"/>
          <w:numId w:val="136"/>
        </w:numPr>
        <w:rPr>
          <w:rFonts w:ascii="Arial" w:cs="Arial" w:eastAsia="Arial" w:hAnsi="Arial"/>
          <w:sz w:val="17"/>
          <w:szCs w:val="17"/>
          <w:b w:val="1"/>
          <w:bCs w:val="1"/>
          <w:color w:val="auto"/>
          <w:vertAlign w:val="superscript"/>
        </w:rPr>
      </w:pPr>
      <w:r>
        <w:rPr>
          <w:rFonts w:ascii="Arial" w:cs="Arial" w:eastAsia="Arial" w:hAnsi="Arial"/>
          <w:sz w:val="11"/>
          <w:szCs w:val="11"/>
          <w:color w:val="auto"/>
        </w:rPr>
        <w:t>Lifetime expected credit losses.</w:t>
      </w:r>
    </w:p>
    <w:p>
      <w:pPr>
        <w:spacing w:after="0" w:line="1" w:lineRule="exact"/>
        <w:rPr>
          <w:rFonts w:ascii="Arial" w:cs="Arial" w:eastAsia="Arial" w:hAnsi="Arial"/>
          <w:sz w:val="17"/>
          <w:szCs w:val="17"/>
          <w:b w:val="1"/>
          <w:bCs w:val="1"/>
          <w:color w:val="auto"/>
          <w:vertAlign w:val="superscript"/>
        </w:rPr>
      </w:pPr>
    </w:p>
    <w:p>
      <w:pPr>
        <w:ind w:left="743" w:hanging="223"/>
        <w:spacing w:after="0" w:line="187" w:lineRule="auto"/>
        <w:tabs>
          <w:tab w:leader="none" w:pos="743" w:val="left"/>
        </w:tabs>
        <w:numPr>
          <w:ilvl w:val="0"/>
          <w:numId w:val="136"/>
        </w:numPr>
        <w:rPr>
          <w:rFonts w:ascii="Arial" w:cs="Arial" w:eastAsia="Arial" w:hAnsi="Arial"/>
          <w:sz w:val="17"/>
          <w:szCs w:val="17"/>
          <w:color w:val="auto"/>
          <w:vertAlign w:val="superscript"/>
        </w:rPr>
      </w:pPr>
      <w:r>
        <w:rPr>
          <w:rFonts w:ascii="Arial" w:cs="Arial" w:eastAsia="Arial" w:hAnsi="Arial"/>
          <w:sz w:val="11"/>
          <w:szCs w:val="11"/>
          <w:color w:val="auto"/>
        </w:rPr>
        <w:t>Credit-impaired financial assets (lifetime expected credit losses).</w:t>
      </w:r>
    </w:p>
    <w:p>
      <w:pPr>
        <w:spacing w:after="0" w:line="319" w:lineRule="exact"/>
        <w:rPr>
          <w:sz w:val="20"/>
          <w:szCs w:val="20"/>
          <w:color w:val="auto"/>
        </w:rPr>
      </w:pPr>
    </w:p>
    <w:p>
      <w:pPr>
        <w:jc w:val="center"/>
        <w:ind w:right="-362"/>
        <w:spacing w:after="0"/>
        <w:rPr>
          <w:sz w:val="20"/>
          <w:szCs w:val="20"/>
          <w:color w:val="auto"/>
        </w:rPr>
      </w:pPr>
      <w:r>
        <w:rPr>
          <w:rFonts w:ascii="Arial" w:cs="Arial" w:eastAsia="Arial" w:hAnsi="Arial"/>
          <w:sz w:val="13"/>
          <w:szCs w:val="13"/>
          <w:color w:val="auto"/>
        </w:rPr>
        <w:t>F-48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24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123"/>
          </w:cols>
          <w:pgMar w:left="217" w:top="685" w:right="559" w:bottom="1440" w:gutter="0" w:footer="0" w:header="0"/>
        </w:sectPr>
      </w:pPr>
    </w:p>
    <w:bookmarkStart w:id="173" w:name="page174"/>
    <w:bookmarkEnd w:id="173"/>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24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137"/>
        </w:numPr>
        <w:rPr>
          <w:rFonts w:ascii="Arial" w:cs="Arial" w:eastAsia="Arial" w:hAnsi="Arial"/>
          <w:sz w:val="13"/>
          <w:szCs w:val="13"/>
          <w:b w:val="1"/>
          <w:bCs w:val="1"/>
          <w:color w:val="auto"/>
        </w:rPr>
      </w:pPr>
      <w:r>
        <w:rPr>
          <w:rFonts w:ascii="Arial" w:cs="Arial" w:eastAsia="Arial" w:hAnsi="Arial"/>
          <w:sz w:val="13"/>
          <w:szCs w:val="13"/>
          <w:b w:val="1"/>
          <w:bCs w:val="1"/>
          <w:color w:val="auto"/>
        </w:rPr>
        <w:t>Loan commitments and financial guarantee contracts</w:t>
      </w:r>
    </w:p>
    <w:p>
      <w:pPr>
        <w:spacing w:after="0" w:line="162" w:lineRule="exact"/>
        <w:rPr>
          <w:rFonts w:ascii="Arial" w:cs="Arial" w:eastAsia="Arial" w:hAnsi="Arial"/>
          <w:sz w:val="13"/>
          <w:szCs w:val="13"/>
          <w:b w:val="1"/>
          <w:bCs w:val="1"/>
          <w:color w:val="auto"/>
        </w:rPr>
      </w:pPr>
    </w:p>
    <w:p>
      <w:pPr>
        <w:jc w:val="both"/>
        <w:ind w:left="223" w:right="20"/>
        <w:spacing w:after="0" w:line="257" w:lineRule="auto"/>
        <w:rPr>
          <w:rFonts w:ascii="Arial" w:cs="Arial" w:eastAsia="Arial" w:hAnsi="Arial"/>
          <w:sz w:val="13"/>
          <w:szCs w:val="13"/>
          <w:b w:val="1"/>
          <w:bCs w:val="1"/>
          <w:color w:val="auto"/>
        </w:rPr>
      </w:pPr>
      <w:r>
        <w:rPr>
          <w:rFonts w:ascii="Arial" w:cs="Arial" w:eastAsia="Arial" w:hAnsi="Arial"/>
          <w:sz w:val="13"/>
          <w:szCs w:val="13"/>
          <w:color w:val="auto"/>
        </w:rPr>
        <w:t>In the normal course of business, to meet the financing needs of its customers, the Bank is party to loan commitments and financial guarantee contracts. These instruments involve, to varying degrees, elements of credit and market risk in excess of the amount recognized in the consolidated statement of financial position. Credit risk represents the possibility of loss resulting from the failure of a customer to perform in accordance with the terms of a contract.</w:t>
      </w:r>
    </w:p>
    <w:p>
      <w:pPr>
        <w:sectPr>
          <w:pgSz w:w="11900" w:h="16838" w:orient="portrait"/>
          <w:cols w:equalWidth="0" w:num="1">
            <w:col w:w="11483"/>
          </w:cols>
          <w:pgMar w:left="217" w:top="685" w:right="199" w:bottom="1440" w:gutter="0" w:footer="0" w:header="0"/>
        </w:sectPr>
      </w:pPr>
    </w:p>
    <w:p>
      <w:pPr>
        <w:spacing w:after="0" w:line="136" w:lineRule="exact"/>
        <w:rPr>
          <w:sz w:val="20"/>
          <w:szCs w:val="20"/>
          <w:color w:val="auto"/>
        </w:rPr>
      </w:pPr>
    </w:p>
    <w:p>
      <w:pPr>
        <w:ind w:left="223"/>
        <w:spacing w:after="0"/>
        <w:rPr>
          <w:sz w:val="20"/>
          <w:szCs w:val="20"/>
          <w:color w:val="auto"/>
        </w:rPr>
      </w:pPr>
      <w:r>
        <w:rPr>
          <w:rFonts w:ascii="Arial" w:cs="Arial" w:eastAsia="Arial" w:hAnsi="Arial"/>
          <w:sz w:val="13"/>
          <w:szCs w:val="13"/>
          <w:color w:val="auto"/>
        </w:rPr>
        <w:t>The Bank’s outstanding loan commitments and financial guarantee contracts are as follows: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146685</wp:posOffset>
            </wp:positionH>
            <wp:positionV relativeFrom="paragraph">
              <wp:posOffset>307975</wp:posOffset>
            </wp:positionV>
            <wp:extent cx="6918960" cy="104140"/>
            <wp:wrapNone/>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242">
                      <a:extLst>
                        <a:ext uri="{28A0092B-C50C-407E-A947-70E740481C1C}"/>
                      </a:extLst>
                    </a:blip>
                    <a:srcRect/>
                    <a:stretch>
                      <a:fillRect/>
                    </a:stretch>
                  </pic:blipFill>
                  <pic:spPr bwMode="auto">
                    <a:xfrm>
                      <a:off x="0" y="0"/>
                      <a:ext cx="6918960" cy="104140"/>
                    </a:xfrm>
                    <a:prstGeom prst="rect">
                      <a:avLst/>
                    </a:prstGeom>
                    <a:noFill/>
                  </pic:spPr>
                </pic:pic>
              </a:graphicData>
            </a:graphic>
          </wp:anchor>
        </w:drawing>
      </w:r>
    </w:p>
    <w:p>
      <w:pPr>
        <w:spacing w:after="0" w:line="200" w:lineRule="exact"/>
        <w:rPr>
          <w:sz w:val="20"/>
          <w:szCs w:val="20"/>
          <w:color w:val="auto"/>
        </w:rPr>
      </w:pPr>
    </w:p>
    <w:p>
      <w:pPr>
        <w:spacing w:after="0" w:line="266" w:lineRule="exact"/>
        <w:rPr>
          <w:sz w:val="20"/>
          <w:szCs w:val="20"/>
          <w:color w:val="auto"/>
        </w:rPr>
      </w:pPr>
    </w:p>
    <w:p>
      <w:pPr>
        <w:ind w:left="223"/>
        <w:spacing w:after="0"/>
        <w:rPr>
          <w:sz w:val="20"/>
          <w:szCs w:val="20"/>
          <w:color w:val="auto"/>
        </w:rPr>
      </w:pPr>
      <w:r>
        <w:rPr>
          <w:rFonts w:ascii="Arial" w:cs="Arial" w:eastAsia="Arial" w:hAnsi="Arial"/>
          <w:sz w:val="13"/>
          <w:szCs w:val="13"/>
          <w:color w:val="auto"/>
        </w:rPr>
        <w:t>Documentary letters of credit</w:t>
      </w:r>
    </w:p>
    <w:p>
      <w:pPr>
        <w:spacing w:after="0" w:line="13" w:lineRule="exact"/>
        <w:rPr>
          <w:sz w:val="20"/>
          <w:szCs w:val="20"/>
          <w:color w:val="auto"/>
        </w:rPr>
      </w:pPr>
    </w:p>
    <w:p>
      <w:pPr>
        <w:ind w:left="223"/>
        <w:spacing w:after="0"/>
        <w:rPr>
          <w:sz w:val="20"/>
          <w:szCs w:val="20"/>
          <w:color w:val="auto"/>
        </w:rPr>
      </w:pPr>
      <w:r>
        <w:rPr>
          <w:rFonts w:ascii="Arial" w:cs="Arial" w:eastAsia="Arial" w:hAnsi="Arial"/>
          <w:sz w:val="13"/>
          <w:szCs w:val="13"/>
          <w:color w:val="auto"/>
        </w:rPr>
        <w:t>Stand-by letters of credit and guarantees - commercial risk</w:t>
      </w:r>
    </w:p>
    <w:p>
      <w:pPr>
        <w:spacing w:after="0" w:line="5" w:lineRule="exact"/>
        <w:rPr>
          <w:sz w:val="20"/>
          <w:szCs w:val="20"/>
          <w:color w:val="auto"/>
        </w:rPr>
      </w:pPr>
    </w:p>
    <w:p>
      <w:pPr>
        <w:ind w:left="223"/>
        <w:spacing w:after="0"/>
        <w:rPr>
          <w:sz w:val="20"/>
          <w:szCs w:val="20"/>
          <w:color w:val="auto"/>
        </w:rPr>
      </w:pPr>
      <w:r>
        <w:rPr>
          <w:rFonts w:ascii="Arial" w:cs="Arial" w:eastAsia="Arial" w:hAnsi="Arial"/>
          <w:sz w:val="13"/>
          <w:szCs w:val="13"/>
          <w:color w:val="auto"/>
        </w:rPr>
        <w:t>Credit commitments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146685</wp:posOffset>
            </wp:positionH>
            <wp:positionV relativeFrom="paragraph">
              <wp:posOffset>-93980</wp:posOffset>
            </wp:positionV>
            <wp:extent cx="6918960" cy="104140"/>
            <wp:wrapNone/>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243">
                      <a:extLst>
                        <a:ext uri="{28A0092B-C50C-407E-A947-70E740481C1C}"/>
                      </a:extLst>
                    </a:blip>
                    <a:srcRect/>
                    <a:stretch>
                      <a:fillRect/>
                    </a:stretch>
                  </pic:blipFill>
                  <pic:spPr bwMode="auto">
                    <a:xfrm>
                      <a:off x="0" y="0"/>
                      <a:ext cx="6918960" cy="104140"/>
                    </a:xfrm>
                    <a:prstGeom prst="rect">
                      <a:avLst/>
                    </a:prstGeom>
                    <a:noFill/>
                  </pic:spPr>
                </pic:pic>
              </a:graphicData>
            </a:graphic>
          </wp:anchor>
        </w:drawing>
      </w:r>
    </w:p>
    <w:p>
      <w:pPr>
        <w:ind w:left="223"/>
        <w:spacing w:after="0"/>
        <w:rPr>
          <w:sz w:val="20"/>
          <w:szCs w:val="20"/>
          <w:color w:val="auto"/>
        </w:rPr>
      </w:pPr>
      <w:r>
        <w:rPr>
          <w:rFonts w:ascii="Arial" w:cs="Arial" w:eastAsia="Arial" w:hAnsi="Arial"/>
          <w:sz w:val="13"/>
          <w:szCs w:val="13"/>
          <w:color w:val="auto"/>
        </w:rPr>
        <w:t>Total loans commitments and financial guarantee contracts</w:t>
      </w:r>
    </w:p>
    <w:p>
      <w:pPr>
        <w:spacing w:after="0" w:line="207" w:lineRule="exact"/>
        <w:rPr>
          <w:sz w:val="20"/>
          <w:szCs w:val="20"/>
          <w:color w:val="auto"/>
        </w:rPr>
      </w:pPr>
    </w:p>
    <w:p>
      <w:pPr>
        <w:ind w:left="223"/>
        <w:spacing w:after="0"/>
        <w:rPr>
          <w:sz w:val="20"/>
          <w:szCs w:val="20"/>
          <w:color w:val="auto"/>
        </w:rPr>
      </w:pPr>
      <w:r>
        <w:rPr>
          <w:rFonts w:ascii="Arial" w:cs="Arial" w:eastAsia="Arial" w:hAnsi="Arial"/>
          <w:sz w:val="11"/>
          <w:szCs w:val="11"/>
          <w:color w:val="auto"/>
        </w:rPr>
        <w:t>The remaining maturity profile of the Bank’s outstanding loan commitments and financial guarantee contracts is as follows:</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20"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64"/>
        </w:trPr>
        <w:tc>
          <w:tcPr>
            <w:tcW w:w="1420" w:type="dxa"/>
            <w:vAlign w:val="bottom"/>
            <w:gridSpan w:val="2"/>
          </w:tcPr>
          <w:p>
            <w:pPr>
              <w:ind w:left="240"/>
              <w:spacing w:after="0"/>
              <w:rPr>
                <w:sz w:val="20"/>
                <w:szCs w:val="20"/>
                <w:color w:val="auto"/>
              </w:rPr>
            </w:pPr>
            <w:r>
              <w:rPr>
                <w:rFonts w:ascii="Arial" w:cs="Arial" w:eastAsia="Arial" w:hAnsi="Arial"/>
                <w:sz w:val="13"/>
                <w:szCs w:val="13"/>
                <w:b w:val="1"/>
                <w:bCs w:val="1"/>
                <w:color w:val="auto"/>
              </w:rPr>
              <w:t>December 31,</w:t>
            </w:r>
          </w:p>
        </w:tc>
        <w:tc>
          <w:tcPr>
            <w:tcW w:w="1200" w:type="dxa"/>
            <w:vAlign w:val="bottom"/>
          </w:tcPr>
          <w:p>
            <w:pPr>
              <w:jc w:val="right"/>
              <w:ind w:right="156"/>
              <w:spacing w:after="0"/>
              <w:rPr>
                <w:sz w:val="20"/>
                <w:szCs w:val="20"/>
                <w:color w:val="auto"/>
              </w:rPr>
            </w:pPr>
            <w:r>
              <w:rPr>
                <w:rFonts w:ascii="Arial" w:cs="Arial" w:eastAsia="Arial" w:hAnsi="Arial"/>
                <w:sz w:val="13"/>
                <w:szCs w:val="13"/>
                <w:b w:val="1"/>
                <w:bCs w:val="1"/>
                <w:color w:val="auto"/>
              </w:rPr>
              <w:t>December 31,</w:t>
            </w:r>
          </w:p>
        </w:tc>
      </w:tr>
      <w:tr>
        <w:trPr>
          <w:trHeight w:val="167"/>
        </w:trPr>
        <w:tc>
          <w:tcPr>
            <w:tcW w:w="1220" w:type="dxa"/>
            <w:vAlign w:val="bottom"/>
            <w:tcBorders>
              <w:bottom w:val="single" w:sz="8" w:color="auto"/>
            </w:tcBorders>
          </w:tcPr>
          <w:p>
            <w:pPr>
              <w:jc w:val="right"/>
              <w:ind w:right="416"/>
              <w:spacing w:after="0"/>
              <w:rPr>
                <w:sz w:val="20"/>
                <w:szCs w:val="20"/>
                <w:color w:val="auto"/>
              </w:rPr>
            </w:pPr>
            <w:r>
              <w:rPr>
                <w:rFonts w:ascii="Arial" w:cs="Arial" w:eastAsia="Arial" w:hAnsi="Arial"/>
                <w:sz w:val="13"/>
                <w:szCs w:val="13"/>
                <w:b w:val="1"/>
                <w:bCs w:val="1"/>
                <w:color w:val="auto"/>
              </w:rPr>
              <w:t>2018</w:t>
            </w:r>
          </w:p>
        </w:tc>
        <w:tc>
          <w:tcPr>
            <w:tcW w:w="200" w:type="dxa"/>
            <w:vAlign w:val="bottom"/>
          </w:tcPr>
          <w:p>
            <w:pPr>
              <w:spacing w:after="0"/>
              <w:rPr>
                <w:sz w:val="14"/>
                <w:szCs w:val="14"/>
                <w:color w:val="auto"/>
              </w:rPr>
            </w:pPr>
          </w:p>
        </w:tc>
        <w:tc>
          <w:tcPr>
            <w:tcW w:w="1200" w:type="dxa"/>
            <w:vAlign w:val="bottom"/>
            <w:tcBorders>
              <w:bottom w:val="single" w:sz="8" w:color="auto"/>
            </w:tcBorders>
          </w:tcPr>
          <w:p>
            <w:pPr>
              <w:jc w:val="right"/>
              <w:ind w:right="396"/>
              <w:spacing w:after="0"/>
              <w:rPr>
                <w:sz w:val="20"/>
                <w:szCs w:val="20"/>
                <w:color w:val="auto"/>
              </w:rPr>
            </w:pPr>
            <w:r>
              <w:rPr>
                <w:rFonts w:ascii="Arial" w:cs="Arial" w:eastAsia="Arial" w:hAnsi="Arial"/>
                <w:sz w:val="13"/>
                <w:szCs w:val="13"/>
                <w:b w:val="1"/>
                <w:bCs w:val="1"/>
                <w:color w:val="auto"/>
              </w:rPr>
              <w:t>2017</w:t>
            </w:r>
          </w:p>
        </w:tc>
      </w:tr>
      <w:tr>
        <w:trPr>
          <w:trHeight w:val="135"/>
        </w:trPr>
        <w:tc>
          <w:tcPr>
            <w:tcW w:w="1220" w:type="dxa"/>
            <w:vAlign w:val="bottom"/>
          </w:tcPr>
          <w:p>
            <w:pPr>
              <w:jc w:val="right"/>
              <w:spacing w:after="0" w:line="135" w:lineRule="exact"/>
              <w:rPr>
                <w:sz w:val="20"/>
                <w:szCs w:val="20"/>
                <w:color w:val="auto"/>
              </w:rPr>
            </w:pPr>
            <w:r>
              <w:rPr>
                <w:rFonts w:ascii="Arial" w:cs="Arial" w:eastAsia="Arial" w:hAnsi="Arial"/>
                <w:sz w:val="13"/>
                <w:szCs w:val="13"/>
                <w:color w:val="auto"/>
              </w:rPr>
              <w:t>218,988</w:t>
            </w:r>
          </w:p>
        </w:tc>
        <w:tc>
          <w:tcPr>
            <w:tcW w:w="200" w:type="dxa"/>
            <w:vAlign w:val="bottom"/>
          </w:tcPr>
          <w:p>
            <w:pPr>
              <w:spacing w:after="0"/>
              <w:rPr>
                <w:sz w:val="11"/>
                <w:szCs w:val="11"/>
                <w:color w:val="auto"/>
              </w:rPr>
            </w:pPr>
          </w:p>
        </w:tc>
        <w:tc>
          <w:tcPr>
            <w:tcW w:w="1200" w:type="dxa"/>
            <w:vAlign w:val="bottom"/>
          </w:tcPr>
          <w:p>
            <w:pPr>
              <w:jc w:val="right"/>
              <w:spacing w:after="0" w:line="135" w:lineRule="exact"/>
              <w:rPr>
                <w:sz w:val="20"/>
                <w:szCs w:val="20"/>
                <w:color w:val="auto"/>
              </w:rPr>
            </w:pPr>
            <w:r>
              <w:rPr>
                <w:rFonts w:ascii="Arial" w:cs="Arial" w:eastAsia="Arial" w:hAnsi="Arial"/>
                <w:sz w:val="13"/>
                <w:szCs w:val="13"/>
                <w:color w:val="auto"/>
              </w:rPr>
              <w:t>273,449</w:t>
            </w:r>
          </w:p>
        </w:tc>
      </w:tr>
      <w:tr>
        <w:trPr>
          <w:trHeight w:val="162"/>
        </w:trPr>
        <w:tc>
          <w:tcPr>
            <w:tcW w:w="1220" w:type="dxa"/>
            <w:vAlign w:val="bottom"/>
          </w:tcPr>
          <w:p>
            <w:pPr>
              <w:jc w:val="right"/>
              <w:spacing w:after="0"/>
              <w:rPr>
                <w:sz w:val="20"/>
                <w:szCs w:val="20"/>
                <w:color w:val="auto"/>
              </w:rPr>
            </w:pPr>
            <w:r>
              <w:rPr>
                <w:rFonts w:ascii="Arial" w:cs="Arial" w:eastAsia="Arial" w:hAnsi="Arial"/>
                <w:sz w:val="13"/>
                <w:szCs w:val="13"/>
                <w:color w:val="auto"/>
              </w:rPr>
              <w:t>179,756</w:t>
            </w:r>
          </w:p>
        </w:tc>
        <w:tc>
          <w:tcPr>
            <w:tcW w:w="200" w:type="dxa"/>
            <w:vAlign w:val="bottom"/>
          </w:tcPr>
          <w:p>
            <w:pPr>
              <w:spacing w:after="0"/>
              <w:rPr>
                <w:sz w:val="14"/>
                <w:szCs w:val="14"/>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168,976</w:t>
            </w:r>
          </w:p>
        </w:tc>
      </w:tr>
      <w:tr>
        <w:trPr>
          <w:trHeight w:val="164"/>
        </w:trPr>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103,143</w:t>
            </w:r>
          </w:p>
        </w:tc>
        <w:tc>
          <w:tcPr>
            <w:tcW w:w="200" w:type="dxa"/>
            <w:vAlign w:val="bottom"/>
          </w:tcPr>
          <w:p>
            <w:pPr>
              <w:spacing w:after="0"/>
              <w:rPr>
                <w:sz w:val="14"/>
                <w:szCs w:val="1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45,578</w:t>
            </w:r>
          </w:p>
        </w:tc>
      </w:tr>
      <w:tr>
        <w:trPr>
          <w:trHeight w:val="162"/>
        </w:trPr>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501,887</w:t>
            </w:r>
          </w:p>
        </w:tc>
        <w:tc>
          <w:tcPr>
            <w:tcW w:w="200" w:type="dxa"/>
            <w:vAlign w:val="bottom"/>
          </w:tcPr>
          <w:p>
            <w:pPr>
              <w:spacing w:after="0"/>
              <w:rPr>
                <w:sz w:val="14"/>
                <w:szCs w:val="1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488,003</w:t>
            </w:r>
          </w:p>
        </w:tc>
      </w:tr>
    </w:tbl>
    <w:p>
      <w:pPr>
        <w:spacing w:after="0" w:line="449" w:lineRule="exact"/>
        <w:rPr>
          <w:sz w:val="20"/>
          <w:szCs w:val="20"/>
          <w:color w:val="auto"/>
        </w:rPr>
      </w:pPr>
    </w:p>
    <w:p>
      <w:pPr>
        <w:sectPr>
          <w:pgSz w:w="11900" w:h="16838" w:orient="portrait"/>
          <w:cols w:equalWidth="0" w:num="2">
            <w:col w:w="7683" w:space="720"/>
            <w:col w:w="3080"/>
          </w:cols>
          <w:pgMar w:left="217" w:top="685" w:right="199" w:bottom="1440" w:gutter="0" w:footer="0" w:header="0"/>
          <w:type w:val="continuous"/>
        </w:sectPr>
      </w:pPr>
    </w:p>
    <w:tbl>
      <w:tblPr>
        <w:tblLayout w:type="fixed"/>
        <w:tblInd w:w="3" w:type="dxa"/>
        <w:tblCellMar>
          <w:top w:w="0" w:type="dxa"/>
          <w:left w:w="0" w:type="dxa"/>
          <w:bottom w:w="0" w:type="dxa"/>
          <w:right w:w="0" w:type="dxa"/>
        </w:tblCellMar>
      </w:tblPr>
      <w:tr>
        <w:trPr>
          <w:trHeight w:val="164"/>
        </w:trPr>
        <w:tc>
          <w:tcPr>
            <w:tcW w:w="220" w:type="dxa"/>
            <w:vAlign w:val="bottom"/>
          </w:tcPr>
          <w:p>
            <w:pPr>
              <w:spacing w:after="0"/>
              <w:rPr>
                <w:sz w:val="14"/>
                <w:szCs w:val="14"/>
                <w:color w:val="auto"/>
              </w:rPr>
            </w:pPr>
          </w:p>
        </w:tc>
        <w:tc>
          <w:tcPr>
            <w:tcW w:w="646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4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420" w:type="dxa"/>
            <w:vAlign w:val="bottom"/>
            <w:gridSpan w:val="4"/>
          </w:tcPr>
          <w:p>
            <w:pPr>
              <w:ind w:left="240"/>
              <w:spacing w:after="0"/>
              <w:rPr>
                <w:sz w:val="20"/>
                <w:szCs w:val="20"/>
                <w:color w:val="auto"/>
              </w:rPr>
            </w:pPr>
            <w:r>
              <w:rPr>
                <w:rFonts w:ascii="Arial" w:cs="Arial" w:eastAsia="Arial" w:hAnsi="Arial"/>
                <w:sz w:val="13"/>
                <w:szCs w:val="13"/>
                <w:b w:val="1"/>
                <w:bCs w:val="1"/>
                <w:color w:val="auto"/>
              </w:rPr>
              <w:t>December 31,</w:t>
            </w:r>
          </w:p>
        </w:tc>
        <w:tc>
          <w:tcPr>
            <w:tcW w:w="1300" w:type="dxa"/>
            <w:vAlign w:val="bottom"/>
            <w:gridSpan w:val="2"/>
          </w:tcPr>
          <w:p>
            <w:pPr>
              <w:ind w:left="220"/>
              <w:spacing w:after="0"/>
              <w:rPr>
                <w:sz w:val="20"/>
                <w:szCs w:val="20"/>
                <w:color w:val="auto"/>
              </w:rPr>
            </w:pPr>
            <w:r>
              <w:rPr>
                <w:rFonts w:ascii="Arial" w:cs="Arial" w:eastAsia="Arial" w:hAnsi="Arial"/>
                <w:sz w:val="13"/>
                <w:szCs w:val="13"/>
                <w:b w:val="1"/>
                <w:bCs w:val="1"/>
                <w:color w:val="auto"/>
              </w:rPr>
              <w:t>December 31,</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7"/>
        </w:trPr>
        <w:tc>
          <w:tcPr>
            <w:tcW w:w="6680" w:type="dxa"/>
            <w:vAlign w:val="bottom"/>
            <w:gridSpan w:val="2"/>
          </w:tcPr>
          <w:p>
            <w:pPr>
              <w:ind w:left="220"/>
              <w:spacing w:after="0"/>
              <w:rPr>
                <w:sz w:val="20"/>
                <w:szCs w:val="20"/>
                <w:color w:val="auto"/>
              </w:rPr>
            </w:pPr>
            <w:r>
              <w:rPr>
                <w:rFonts w:ascii="Arial" w:cs="Arial" w:eastAsia="Arial" w:hAnsi="Arial"/>
                <w:sz w:val="13"/>
                <w:szCs w:val="13"/>
                <w:b w:val="1"/>
                <w:bCs w:val="1"/>
                <w:color w:val="auto"/>
              </w:rPr>
              <w:t>Maturities</w:t>
            </w:r>
          </w:p>
        </w:tc>
        <w:tc>
          <w:tcPr>
            <w:tcW w:w="9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800" w:type="dxa"/>
            <w:vAlign w:val="bottom"/>
            <w:gridSpan w:val="5"/>
          </w:tcPr>
          <w:p>
            <w:pPr>
              <w:jc w:val="right"/>
              <w:ind w:right="480"/>
              <w:spacing w:after="0"/>
              <w:rPr>
                <w:sz w:val="20"/>
                <w:szCs w:val="20"/>
                <w:color w:val="auto"/>
              </w:rPr>
            </w:pPr>
            <w:r>
              <w:rPr>
                <w:rFonts w:ascii="Arial" w:cs="Arial" w:eastAsia="Arial" w:hAnsi="Arial"/>
                <w:sz w:val="13"/>
                <w:szCs w:val="13"/>
                <w:b w:val="1"/>
                <w:bCs w:val="1"/>
                <w:color w:val="auto"/>
              </w:rPr>
              <w:t>2018</w:t>
            </w:r>
          </w:p>
        </w:tc>
        <w:tc>
          <w:tcPr>
            <w:tcW w:w="200" w:type="dxa"/>
            <w:vAlign w:val="bottom"/>
          </w:tcPr>
          <w:p>
            <w:pPr>
              <w:spacing w:after="0"/>
              <w:rPr>
                <w:sz w:val="14"/>
                <w:szCs w:val="14"/>
                <w:color w:val="auto"/>
              </w:rPr>
            </w:pPr>
          </w:p>
        </w:tc>
        <w:tc>
          <w:tcPr>
            <w:tcW w:w="1200" w:type="dxa"/>
            <w:vAlign w:val="bottom"/>
          </w:tcPr>
          <w:p>
            <w:pPr>
              <w:jc w:val="right"/>
              <w:ind w:right="396"/>
              <w:spacing w:after="0"/>
              <w:rPr>
                <w:sz w:val="20"/>
                <w:szCs w:val="20"/>
                <w:color w:val="auto"/>
              </w:rPr>
            </w:pPr>
            <w:r>
              <w:rPr>
                <w:rFonts w:ascii="Arial" w:cs="Arial" w:eastAsia="Arial" w:hAnsi="Arial"/>
                <w:sz w:val="13"/>
                <w:szCs w:val="13"/>
                <w:b w:val="1"/>
                <w:bCs w:val="1"/>
                <w:color w:val="auto"/>
              </w:rPr>
              <w:t>2017</w:t>
            </w:r>
          </w:p>
        </w:tc>
        <w:tc>
          <w:tcPr>
            <w:tcW w:w="10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6460" w:type="dxa"/>
            <w:vAlign w:val="bottom"/>
            <w:tcBorders>
              <w:top w:val="single" w:sz="8" w:color="auto"/>
            </w:tcBorders>
            <w:shd w:val="clear" w:color="auto" w:fill="CCEEFF"/>
          </w:tcPr>
          <w:p>
            <w:pPr>
              <w:spacing w:after="0" w:line="144" w:lineRule="exact"/>
              <w:rPr>
                <w:sz w:val="20"/>
                <w:szCs w:val="20"/>
                <w:color w:val="auto"/>
              </w:rPr>
            </w:pPr>
            <w:r>
              <w:rPr>
                <w:rFonts w:ascii="Arial" w:cs="Arial" w:eastAsia="Arial" w:hAnsi="Arial"/>
                <w:sz w:val="13"/>
                <w:szCs w:val="13"/>
                <w:color w:val="auto"/>
              </w:rPr>
              <w:t>Up to 1 year</w:t>
            </w:r>
          </w:p>
        </w:tc>
        <w:tc>
          <w:tcPr>
            <w:tcW w:w="96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48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tcBorders>
            <w:gridSpan w:val="3"/>
            <w:shd w:val="clear" w:color="auto" w:fill="CCEEFF"/>
          </w:tcPr>
          <w:p>
            <w:pPr>
              <w:jc w:val="right"/>
              <w:spacing w:after="0" w:line="144" w:lineRule="exact"/>
              <w:rPr>
                <w:sz w:val="20"/>
                <w:szCs w:val="20"/>
                <w:color w:val="auto"/>
              </w:rPr>
            </w:pPr>
            <w:r>
              <w:rPr>
                <w:rFonts w:ascii="Arial" w:cs="Arial" w:eastAsia="Arial" w:hAnsi="Arial"/>
                <w:sz w:val="13"/>
                <w:szCs w:val="13"/>
                <w:color w:val="auto"/>
              </w:rPr>
              <w:t>434,544</w:t>
            </w: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457,168</w:t>
            </w:r>
          </w:p>
        </w:tc>
        <w:tc>
          <w:tcPr>
            <w:tcW w:w="100" w:type="dxa"/>
            <w:vAlign w:val="bottom"/>
            <w:tcBorders>
              <w:top w:val="single" w:sz="8" w:color="CCEEFF"/>
            </w:tcBorders>
            <w:shd w:val="clear" w:color="auto" w:fill="CCEEFF"/>
          </w:tcPr>
          <w:p>
            <w:pPr>
              <w:spacing w:after="0"/>
              <w:rPr>
                <w:sz w:val="12"/>
                <w:szCs w:val="12"/>
                <w:color w:val="auto"/>
              </w:rPr>
            </w:pPr>
          </w:p>
        </w:tc>
        <w:tc>
          <w:tcPr>
            <w:tcW w:w="3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6460" w:type="dxa"/>
            <w:vAlign w:val="bottom"/>
          </w:tcPr>
          <w:p>
            <w:pPr>
              <w:spacing w:after="0"/>
              <w:rPr>
                <w:sz w:val="20"/>
                <w:szCs w:val="20"/>
                <w:color w:val="auto"/>
              </w:rPr>
            </w:pPr>
            <w:r>
              <w:rPr>
                <w:rFonts w:ascii="Arial" w:cs="Arial" w:eastAsia="Arial" w:hAnsi="Arial"/>
                <w:sz w:val="13"/>
                <w:szCs w:val="13"/>
                <w:color w:val="auto"/>
              </w:rPr>
              <w:t>From 1 to 2 years</w:t>
            </w:r>
          </w:p>
        </w:tc>
        <w:tc>
          <w:tcPr>
            <w:tcW w:w="96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800" w:type="dxa"/>
            <w:vAlign w:val="bottom"/>
            <w:gridSpan w:val="5"/>
          </w:tcPr>
          <w:p>
            <w:pPr>
              <w:jc w:val="right"/>
              <w:spacing w:after="0"/>
              <w:rPr>
                <w:sz w:val="20"/>
                <w:szCs w:val="20"/>
                <w:color w:val="auto"/>
              </w:rPr>
            </w:pPr>
            <w:r>
              <w:rPr>
                <w:rFonts w:ascii="Arial" w:cs="Arial" w:eastAsia="Arial" w:hAnsi="Arial"/>
                <w:sz w:val="13"/>
                <w:szCs w:val="13"/>
                <w:color w:val="auto"/>
              </w:rPr>
              <w:t>200</w:t>
            </w:r>
          </w:p>
        </w:tc>
        <w:tc>
          <w:tcPr>
            <w:tcW w:w="200" w:type="dxa"/>
            <w:vAlign w:val="bottom"/>
          </w:tcPr>
          <w:p>
            <w:pPr>
              <w:spacing w:after="0"/>
              <w:rPr>
                <w:sz w:val="13"/>
                <w:szCs w:val="13"/>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257</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6460" w:type="dxa"/>
            <w:vAlign w:val="bottom"/>
            <w:shd w:val="clear" w:color="auto" w:fill="CCEEFF"/>
          </w:tcPr>
          <w:p>
            <w:pPr>
              <w:spacing w:after="0"/>
              <w:rPr>
                <w:sz w:val="20"/>
                <w:szCs w:val="20"/>
                <w:color w:val="auto"/>
              </w:rPr>
            </w:pPr>
            <w:r>
              <w:rPr>
                <w:rFonts w:ascii="Arial" w:cs="Arial" w:eastAsia="Arial" w:hAnsi="Arial"/>
                <w:sz w:val="13"/>
                <w:szCs w:val="13"/>
                <w:color w:val="auto"/>
              </w:rPr>
              <w:t>From 2 to 5 years</w:t>
            </w:r>
          </w:p>
        </w:tc>
        <w:tc>
          <w:tcPr>
            <w:tcW w:w="96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2000" w:type="dxa"/>
            <w:vAlign w:val="bottom"/>
            <w:gridSpan w:val="6"/>
            <w:shd w:val="clear" w:color="auto" w:fill="CCEEFF"/>
          </w:tcPr>
          <w:p>
            <w:pPr>
              <w:jc w:val="right"/>
              <w:ind w:right="200"/>
              <w:spacing w:after="0"/>
              <w:rPr>
                <w:sz w:val="20"/>
                <w:szCs w:val="20"/>
                <w:color w:val="auto"/>
              </w:rPr>
            </w:pPr>
            <w:r>
              <w:rPr>
                <w:rFonts w:ascii="Arial" w:cs="Arial" w:eastAsia="Arial" w:hAnsi="Arial"/>
                <w:sz w:val="13"/>
                <w:szCs w:val="13"/>
                <w:color w:val="auto"/>
              </w:rPr>
              <w:t>67,143</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30,000</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6460" w:type="dxa"/>
            <w:vAlign w:val="bottom"/>
          </w:tcPr>
          <w:p>
            <w:pPr>
              <w:spacing w:after="0"/>
              <w:rPr>
                <w:sz w:val="20"/>
                <w:szCs w:val="20"/>
                <w:color w:val="auto"/>
              </w:rPr>
            </w:pPr>
            <w:r>
              <w:rPr>
                <w:rFonts w:ascii="Arial" w:cs="Arial" w:eastAsia="Arial" w:hAnsi="Arial"/>
                <w:sz w:val="13"/>
                <w:szCs w:val="13"/>
                <w:color w:val="auto"/>
              </w:rPr>
              <w:t>More than 5 years</w:t>
            </w:r>
          </w:p>
        </w:tc>
        <w:tc>
          <w:tcPr>
            <w:tcW w:w="9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800" w:type="dxa"/>
            <w:vAlign w:val="bottom"/>
            <w:gridSpan w:val="5"/>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4"/>
                <w:szCs w:val="14"/>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578</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4"/>
        </w:trPr>
        <w:tc>
          <w:tcPr>
            <w:tcW w:w="220" w:type="dxa"/>
            <w:vAlign w:val="bottom"/>
          </w:tcPr>
          <w:p>
            <w:pPr>
              <w:spacing w:after="0"/>
              <w:rPr>
                <w:sz w:val="15"/>
                <w:szCs w:val="15"/>
                <w:color w:val="auto"/>
              </w:rPr>
            </w:pPr>
          </w:p>
        </w:tc>
        <w:tc>
          <w:tcPr>
            <w:tcW w:w="6460" w:type="dxa"/>
            <w:vAlign w:val="bottom"/>
            <w:tcBorders>
              <w:top w:val="single" w:sz="8" w:color="CCEEFF"/>
              <w:bottom w:val="single" w:sz="8" w:color="CCEEFF"/>
            </w:tcBorders>
            <w:shd w:val="clear" w:color="auto" w:fill="CCEEFF"/>
          </w:tcPr>
          <w:p>
            <w:pPr>
              <w:ind w:left="60"/>
              <w:spacing w:after="0" w:line="143" w:lineRule="exact"/>
              <w:rPr>
                <w:sz w:val="20"/>
                <w:szCs w:val="20"/>
                <w:color w:val="auto"/>
              </w:rPr>
            </w:pPr>
            <w:r>
              <w:rPr>
                <w:rFonts w:ascii="Arial" w:cs="Arial" w:eastAsia="Arial" w:hAnsi="Arial"/>
                <w:sz w:val="13"/>
                <w:szCs w:val="13"/>
                <w:color w:val="auto"/>
              </w:rPr>
              <w:t>Total</w:t>
            </w:r>
          </w:p>
        </w:tc>
        <w:tc>
          <w:tcPr>
            <w:tcW w:w="960" w:type="dxa"/>
            <w:vAlign w:val="bottom"/>
            <w:tcBorders>
              <w:top w:val="single" w:sz="8" w:color="CCEEFF"/>
              <w:bottom w:val="single" w:sz="8" w:color="CCEEFF"/>
            </w:tcBorders>
            <w:shd w:val="clear" w:color="auto" w:fill="CCEEFF"/>
          </w:tcPr>
          <w:p>
            <w:pPr>
              <w:spacing w:after="0"/>
              <w:rPr>
                <w:sz w:val="15"/>
                <w:szCs w:val="15"/>
                <w:color w:val="auto"/>
              </w:rPr>
            </w:pPr>
          </w:p>
        </w:tc>
        <w:tc>
          <w:tcPr>
            <w:tcW w:w="180" w:type="dxa"/>
            <w:vAlign w:val="bottom"/>
            <w:tcBorders>
              <w:top w:val="single" w:sz="8" w:color="CCEEFF"/>
              <w:bottom w:val="single" w:sz="8" w:color="CCEEFF"/>
            </w:tcBorders>
            <w:shd w:val="clear" w:color="auto" w:fill="CCEEFF"/>
          </w:tcPr>
          <w:p>
            <w:pPr>
              <w:spacing w:after="0"/>
              <w:rPr>
                <w:sz w:val="15"/>
                <w:szCs w:val="15"/>
                <w:color w:val="auto"/>
              </w:rPr>
            </w:pPr>
          </w:p>
        </w:tc>
        <w:tc>
          <w:tcPr>
            <w:tcW w:w="480" w:type="dxa"/>
            <w:vAlign w:val="bottom"/>
            <w:tcBorders>
              <w:top w:val="single" w:sz="8" w:color="CCEEFF"/>
              <w:bottom w:val="single" w:sz="8" w:color="CCEEFF"/>
            </w:tcBorders>
            <w:shd w:val="clear" w:color="auto" w:fill="CCEEFF"/>
          </w:tcPr>
          <w:p>
            <w:pPr>
              <w:spacing w:after="0"/>
              <w:rPr>
                <w:sz w:val="15"/>
                <w:szCs w:val="15"/>
                <w:color w:val="auto"/>
              </w:rPr>
            </w:pPr>
          </w:p>
        </w:tc>
        <w:tc>
          <w:tcPr>
            <w:tcW w:w="100" w:type="dxa"/>
            <w:vAlign w:val="bottom"/>
            <w:tcBorders>
              <w:top w:val="single" w:sz="8" w:color="CCEEFF"/>
              <w:bottom w:val="single" w:sz="8" w:color="CCEEFF"/>
            </w:tcBorders>
            <w:shd w:val="clear" w:color="auto" w:fill="CCEEFF"/>
          </w:tcPr>
          <w:p>
            <w:pPr>
              <w:spacing w:after="0"/>
              <w:rPr>
                <w:sz w:val="15"/>
                <w:szCs w:val="15"/>
                <w:color w:val="auto"/>
              </w:rPr>
            </w:pPr>
          </w:p>
        </w:tc>
        <w:tc>
          <w:tcPr>
            <w:tcW w:w="1220" w:type="dxa"/>
            <w:vAlign w:val="bottom"/>
            <w:tcBorders>
              <w:top w:val="single" w:sz="8" w:color="auto"/>
              <w:bottom w:val="single" w:sz="8" w:color="auto"/>
            </w:tcBorders>
            <w:gridSpan w:val="3"/>
            <w:shd w:val="clear" w:color="auto" w:fill="CCEEFF"/>
          </w:tcPr>
          <w:p>
            <w:pPr>
              <w:jc w:val="right"/>
              <w:spacing w:after="0"/>
              <w:rPr>
                <w:sz w:val="20"/>
                <w:szCs w:val="20"/>
                <w:color w:val="auto"/>
              </w:rPr>
            </w:pPr>
            <w:r>
              <w:rPr>
                <w:rFonts w:ascii="Arial" w:cs="Arial" w:eastAsia="Arial" w:hAnsi="Arial"/>
                <w:sz w:val="13"/>
                <w:szCs w:val="13"/>
                <w:b w:val="1"/>
                <w:bCs w:val="1"/>
                <w:color w:val="auto"/>
              </w:rPr>
              <w:t>501,887</w:t>
            </w:r>
          </w:p>
        </w:tc>
        <w:tc>
          <w:tcPr>
            <w:tcW w:w="200" w:type="dxa"/>
            <w:vAlign w:val="bottom"/>
            <w:tcBorders>
              <w:top w:val="single" w:sz="8" w:color="CCEEFF"/>
              <w:bottom w:val="single" w:sz="8" w:color="CCEEFF"/>
            </w:tcBorders>
            <w:shd w:val="clear" w:color="auto" w:fill="CCEEFF"/>
          </w:tcPr>
          <w:p>
            <w:pPr>
              <w:spacing w:after="0"/>
              <w:rPr>
                <w:sz w:val="15"/>
                <w:szCs w:val="15"/>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488,003</w:t>
            </w:r>
          </w:p>
        </w:tc>
        <w:tc>
          <w:tcPr>
            <w:tcW w:w="100" w:type="dxa"/>
            <w:vAlign w:val="bottom"/>
            <w:tcBorders>
              <w:top w:val="single" w:sz="8" w:color="CCEEFF"/>
              <w:bottom w:val="single" w:sz="8" w:color="CCEEFF"/>
            </w:tcBorders>
            <w:shd w:val="clear" w:color="auto" w:fill="CCEEFF"/>
          </w:tcPr>
          <w:p>
            <w:pPr>
              <w:spacing w:after="0"/>
              <w:rPr>
                <w:sz w:val="15"/>
                <w:szCs w:val="15"/>
                <w:color w:val="auto"/>
              </w:rPr>
            </w:pPr>
          </w:p>
        </w:tc>
        <w:tc>
          <w:tcPr>
            <w:tcW w:w="36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96"/>
        </w:trPr>
        <w:tc>
          <w:tcPr>
            <w:tcW w:w="6680" w:type="dxa"/>
            <w:vAlign w:val="bottom"/>
            <w:gridSpan w:val="2"/>
          </w:tcPr>
          <w:p>
            <w:pPr>
              <w:ind w:left="220"/>
              <w:spacing w:after="0"/>
              <w:rPr>
                <w:sz w:val="20"/>
                <w:szCs w:val="20"/>
                <w:color w:val="auto"/>
              </w:rPr>
            </w:pPr>
            <w:r>
              <w:rPr>
                <w:rFonts w:ascii="Arial" w:cs="Arial" w:eastAsia="Arial" w:hAnsi="Arial"/>
                <w:sz w:val="13"/>
                <w:szCs w:val="13"/>
                <w:color w:val="auto"/>
                <w:w w:val="99"/>
              </w:rPr>
              <w:t>Loan commitments and financial guarantee contracts classified by issuer’s credit quality indicators are as follows:</w:t>
            </w:r>
          </w:p>
        </w:tc>
        <w:tc>
          <w:tcPr>
            <w:tcW w:w="9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05"/>
        </w:trPr>
        <w:tc>
          <w:tcPr>
            <w:tcW w:w="220" w:type="dxa"/>
            <w:vAlign w:val="bottom"/>
          </w:tcPr>
          <w:p>
            <w:pPr>
              <w:spacing w:after="0"/>
              <w:rPr>
                <w:sz w:val="24"/>
                <w:szCs w:val="24"/>
                <w:color w:val="auto"/>
              </w:rPr>
            </w:pPr>
          </w:p>
        </w:tc>
        <w:tc>
          <w:tcPr>
            <w:tcW w:w="6460" w:type="dxa"/>
            <w:vAlign w:val="bottom"/>
            <w:vMerge w:val="restart"/>
          </w:tcPr>
          <w:p>
            <w:pPr>
              <w:ind w:left="3000"/>
              <w:spacing w:after="0"/>
              <w:rPr>
                <w:sz w:val="20"/>
                <w:szCs w:val="20"/>
                <w:color w:val="auto"/>
              </w:rPr>
            </w:pPr>
            <w:r>
              <w:rPr>
                <w:rFonts w:ascii="Arial" w:cs="Arial" w:eastAsia="Arial" w:hAnsi="Arial"/>
                <w:sz w:val="13"/>
                <w:szCs w:val="13"/>
                <w:b w:val="1"/>
                <w:bCs w:val="1"/>
                <w:color w:val="auto"/>
              </w:rPr>
              <w:t>Rating</w:t>
            </w:r>
          </w:p>
        </w:tc>
        <w:tc>
          <w:tcPr>
            <w:tcW w:w="1140" w:type="dxa"/>
            <w:vAlign w:val="bottom"/>
            <w:gridSpan w:val="2"/>
          </w:tcPr>
          <w:p>
            <w:pPr>
              <w:jc w:val="right"/>
              <w:ind w:right="280"/>
              <w:spacing w:after="0"/>
              <w:rPr>
                <w:sz w:val="20"/>
                <w:szCs w:val="20"/>
                <w:color w:val="auto"/>
              </w:rPr>
            </w:pPr>
            <w:r>
              <w:rPr>
                <w:rFonts w:ascii="Arial" w:cs="Arial" w:eastAsia="Arial" w:hAnsi="Arial"/>
                <w:sz w:val="13"/>
                <w:szCs w:val="13"/>
                <w:b w:val="1"/>
                <w:bCs w:val="1"/>
                <w:color w:val="auto"/>
                <w:w w:val="99"/>
              </w:rPr>
              <w:t>December 31,</w:t>
            </w:r>
          </w:p>
        </w:tc>
        <w:tc>
          <w:tcPr>
            <w:tcW w:w="2000" w:type="dxa"/>
            <w:vAlign w:val="bottom"/>
            <w:gridSpan w:val="6"/>
          </w:tcPr>
          <w:p>
            <w:pPr>
              <w:ind w:left="100"/>
              <w:spacing w:after="0"/>
              <w:rPr>
                <w:sz w:val="20"/>
                <w:szCs w:val="20"/>
                <w:color w:val="auto"/>
              </w:rPr>
            </w:pPr>
            <w:r>
              <w:rPr>
                <w:rFonts w:ascii="Arial" w:cs="Arial" w:eastAsia="Arial" w:hAnsi="Arial"/>
                <w:sz w:val="13"/>
                <w:szCs w:val="13"/>
                <w:b w:val="1"/>
                <w:bCs w:val="1"/>
                <w:color w:val="auto"/>
              </w:rPr>
              <w:t>December 31,</w:t>
            </w: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67"/>
        </w:trPr>
        <w:tc>
          <w:tcPr>
            <w:tcW w:w="220" w:type="dxa"/>
            <w:vAlign w:val="bottom"/>
          </w:tcPr>
          <w:p>
            <w:pPr>
              <w:spacing w:after="0"/>
              <w:rPr>
                <w:sz w:val="14"/>
                <w:szCs w:val="14"/>
                <w:color w:val="auto"/>
              </w:rPr>
            </w:pPr>
          </w:p>
        </w:tc>
        <w:tc>
          <w:tcPr>
            <w:tcW w:w="6460" w:type="dxa"/>
            <w:vAlign w:val="bottom"/>
            <w:tcBorders>
              <w:bottom w:val="single" w:sz="8" w:color="CCEEFF"/>
            </w:tcBorders>
            <w:vMerge w:val="continue"/>
          </w:tcPr>
          <w:p>
            <w:pPr>
              <w:spacing w:after="0"/>
              <w:rPr>
                <w:sz w:val="14"/>
                <w:szCs w:val="14"/>
                <w:color w:val="auto"/>
              </w:rPr>
            </w:pPr>
          </w:p>
        </w:tc>
        <w:tc>
          <w:tcPr>
            <w:tcW w:w="960" w:type="dxa"/>
            <w:vAlign w:val="bottom"/>
            <w:tcBorders>
              <w:bottom w:val="single" w:sz="8" w:color="auto"/>
            </w:tcBorders>
          </w:tcPr>
          <w:p>
            <w:pPr>
              <w:jc w:val="right"/>
              <w:ind w:right="276"/>
              <w:spacing w:after="0"/>
              <w:rPr>
                <w:sz w:val="20"/>
                <w:szCs w:val="20"/>
                <w:color w:val="auto"/>
              </w:rPr>
            </w:pPr>
            <w:r>
              <w:rPr>
                <w:rFonts w:ascii="Arial" w:cs="Arial" w:eastAsia="Arial" w:hAnsi="Arial"/>
                <w:sz w:val="13"/>
                <w:szCs w:val="13"/>
                <w:b w:val="1"/>
                <w:bCs w:val="1"/>
                <w:color w:val="auto"/>
              </w:rPr>
              <w:t>2018</w:t>
            </w:r>
          </w:p>
        </w:tc>
        <w:tc>
          <w:tcPr>
            <w:tcW w:w="180" w:type="dxa"/>
            <w:vAlign w:val="bottom"/>
            <w:tcBorders>
              <w:bottom w:val="single" w:sz="8" w:color="CCEEFF"/>
            </w:tcBorders>
          </w:tcPr>
          <w:p>
            <w:pPr>
              <w:spacing w:after="0"/>
              <w:rPr>
                <w:sz w:val="14"/>
                <w:szCs w:val="14"/>
                <w:color w:val="auto"/>
              </w:rPr>
            </w:pPr>
          </w:p>
        </w:tc>
        <w:tc>
          <w:tcPr>
            <w:tcW w:w="940" w:type="dxa"/>
            <w:vAlign w:val="bottom"/>
            <w:tcBorders>
              <w:bottom w:val="single" w:sz="8" w:color="auto"/>
            </w:tcBorders>
            <w:gridSpan w:val="3"/>
          </w:tcPr>
          <w:p>
            <w:pPr>
              <w:jc w:val="right"/>
              <w:ind w:right="276"/>
              <w:spacing w:after="0"/>
              <w:rPr>
                <w:sz w:val="20"/>
                <w:szCs w:val="20"/>
                <w:color w:val="auto"/>
              </w:rPr>
            </w:pPr>
            <w:r>
              <w:rPr>
                <w:rFonts w:ascii="Arial" w:cs="Arial" w:eastAsia="Arial" w:hAnsi="Arial"/>
                <w:sz w:val="13"/>
                <w:szCs w:val="13"/>
                <w:b w:val="1"/>
                <w:bCs w:val="1"/>
                <w:color w:val="auto"/>
              </w:rPr>
              <w:t>2017</w:t>
            </w:r>
          </w:p>
        </w:tc>
        <w:tc>
          <w:tcPr>
            <w:tcW w:w="80" w:type="dxa"/>
            <w:vAlign w:val="bottom"/>
            <w:tcBorders>
              <w:bottom w:val="single" w:sz="8" w:color="CCEEFF"/>
            </w:tcBorders>
          </w:tcPr>
          <w:p>
            <w:pPr>
              <w:spacing w:after="0"/>
              <w:rPr>
                <w:sz w:val="14"/>
                <w:szCs w:val="14"/>
                <w:color w:val="auto"/>
              </w:rPr>
            </w:pPr>
          </w:p>
        </w:tc>
        <w:tc>
          <w:tcPr>
            <w:tcW w:w="7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6460" w:type="dxa"/>
            <w:vAlign w:val="bottom"/>
            <w:shd w:val="clear" w:color="auto" w:fill="CCEEFF"/>
          </w:tcPr>
          <w:p>
            <w:pPr>
              <w:jc w:val="center"/>
              <w:ind w:right="16"/>
              <w:spacing w:after="0" w:line="144" w:lineRule="exact"/>
              <w:rPr>
                <w:sz w:val="20"/>
                <w:szCs w:val="20"/>
                <w:color w:val="auto"/>
              </w:rPr>
            </w:pPr>
            <w:r>
              <w:rPr>
                <w:rFonts w:ascii="Arial" w:cs="Arial" w:eastAsia="Arial" w:hAnsi="Arial"/>
                <w:sz w:val="13"/>
                <w:szCs w:val="13"/>
                <w:color w:val="auto"/>
                <w:w w:val="95"/>
              </w:rPr>
              <w:t>1-4</w:t>
            </w:r>
          </w:p>
        </w:tc>
        <w:tc>
          <w:tcPr>
            <w:tcW w:w="96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color w:val="auto"/>
              </w:rPr>
              <w:t>94,724</w:t>
            </w:r>
          </w:p>
        </w:tc>
        <w:tc>
          <w:tcPr>
            <w:tcW w:w="180" w:type="dxa"/>
            <w:vAlign w:val="bottom"/>
            <w:shd w:val="clear" w:color="auto" w:fill="CCEEFF"/>
          </w:tcPr>
          <w:p>
            <w:pPr>
              <w:spacing w:after="0"/>
              <w:rPr>
                <w:sz w:val="12"/>
                <w:szCs w:val="12"/>
                <w:color w:val="auto"/>
              </w:rPr>
            </w:pPr>
          </w:p>
        </w:tc>
        <w:tc>
          <w:tcPr>
            <w:tcW w:w="940" w:type="dxa"/>
            <w:vAlign w:val="bottom"/>
            <w:gridSpan w:val="3"/>
            <w:shd w:val="clear" w:color="auto" w:fill="CCEEFF"/>
          </w:tcPr>
          <w:p>
            <w:pPr>
              <w:jc w:val="right"/>
              <w:spacing w:after="0" w:line="144" w:lineRule="exact"/>
              <w:rPr>
                <w:sz w:val="20"/>
                <w:szCs w:val="20"/>
                <w:color w:val="auto"/>
              </w:rPr>
            </w:pPr>
            <w:r>
              <w:rPr>
                <w:rFonts w:ascii="Arial" w:cs="Arial" w:eastAsia="Arial" w:hAnsi="Arial"/>
                <w:sz w:val="13"/>
                <w:szCs w:val="13"/>
                <w:color w:val="auto"/>
              </w:rPr>
              <w:t>120,275</w:t>
            </w:r>
          </w:p>
        </w:tc>
        <w:tc>
          <w:tcPr>
            <w:tcW w:w="80" w:type="dxa"/>
            <w:vAlign w:val="bottom"/>
            <w:shd w:val="clear" w:color="auto" w:fill="CCEEFF"/>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6460" w:type="dxa"/>
            <w:vAlign w:val="bottom"/>
          </w:tcPr>
          <w:p>
            <w:pPr>
              <w:jc w:val="center"/>
              <w:ind w:right="16"/>
              <w:spacing w:after="0"/>
              <w:rPr>
                <w:sz w:val="20"/>
                <w:szCs w:val="20"/>
                <w:color w:val="auto"/>
              </w:rPr>
            </w:pPr>
            <w:r>
              <w:rPr>
                <w:rFonts w:ascii="Arial" w:cs="Arial" w:eastAsia="Arial" w:hAnsi="Arial"/>
                <w:sz w:val="13"/>
                <w:szCs w:val="13"/>
                <w:color w:val="auto"/>
                <w:w w:val="95"/>
              </w:rPr>
              <w:t>5-6</w:t>
            </w:r>
          </w:p>
        </w:tc>
        <w:tc>
          <w:tcPr>
            <w:tcW w:w="1140" w:type="dxa"/>
            <w:vAlign w:val="bottom"/>
            <w:gridSpan w:val="2"/>
          </w:tcPr>
          <w:p>
            <w:pPr>
              <w:jc w:val="right"/>
              <w:ind w:right="180"/>
              <w:spacing w:after="0"/>
              <w:rPr>
                <w:sz w:val="20"/>
                <w:szCs w:val="20"/>
                <w:color w:val="auto"/>
              </w:rPr>
            </w:pPr>
            <w:r>
              <w:rPr>
                <w:rFonts w:ascii="Arial" w:cs="Arial" w:eastAsia="Arial" w:hAnsi="Arial"/>
                <w:sz w:val="13"/>
                <w:szCs w:val="13"/>
                <w:color w:val="auto"/>
              </w:rPr>
              <w:t>158,864</w:t>
            </w:r>
          </w:p>
        </w:tc>
        <w:tc>
          <w:tcPr>
            <w:tcW w:w="1020" w:type="dxa"/>
            <w:vAlign w:val="bottom"/>
            <w:gridSpan w:val="4"/>
          </w:tcPr>
          <w:p>
            <w:pPr>
              <w:jc w:val="right"/>
              <w:ind w:right="80"/>
              <w:spacing w:after="0"/>
              <w:rPr>
                <w:sz w:val="20"/>
                <w:szCs w:val="20"/>
                <w:color w:val="auto"/>
              </w:rPr>
            </w:pPr>
            <w:r>
              <w:rPr>
                <w:rFonts w:ascii="Arial" w:cs="Arial" w:eastAsia="Arial" w:hAnsi="Arial"/>
                <w:sz w:val="13"/>
                <w:szCs w:val="13"/>
                <w:color w:val="auto"/>
              </w:rPr>
              <w:t>113,271</w:t>
            </w:r>
          </w:p>
        </w:tc>
        <w:tc>
          <w:tcPr>
            <w:tcW w:w="7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6460" w:type="dxa"/>
            <w:vAlign w:val="bottom"/>
            <w:shd w:val="clear" w:color="auto" w:fill="CCEEFF"/>
          </w:tcPr>
          <w:p>
            <w:pPr>
              <w:jc w:val="center"/>
              <w:ind w:right="16"/>
              <w:spacing w:after="0"/>
              <w:rPr>
                <w:sz w:val="20"/>
                <w:szCs w:val="20"/>
                <w:color w:val="auto"/>
              </w:rPr>
            </w:pPr>
            <w:r>
              <w:rPr>
                <w:rFonts w:ascii="Arial" w:cs="Arial" w:eastAsia="Arial" w:hAnsi="Arial"/>
                <w:sz w:val="13"/>
                <w:szCs w:val="13"/>
                <w:color w:val="auto"/>
                <w:w w:val="82"/>
              </w:rPr>
              <w:t>7</w:t>
            </w:r>
          </w:p>
        </w:tc>
        <w:tc>
          <w:tcPr>
            <w:tcW w:w="114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248,299</w:t>
            </w:r>
          </w:p>
        </w:tc>
        <w:tc>
          <w:tcPr>
            <w:tcW w:w="1020" w:type="dxa"/>
            <w:vAlign w:val="bottom"/>
            <w:gridSpan w:val="4"/>
            <w:shd w:val="clear" w:color="auto" w:fill="CCEEFF"/>
          </w:tcPr>
          <w:p>
            <w:pPr>
              <w:jc w:val="right"/>
              <w:ind w:right="80"/>
              <w:spacing w:after="0"/>
              <w:rPr>
                <w:sz w:val="20"/>
                <w:szCs w:val="20"/>
                <w:color w:val="auto"/>
              </w:rPr>
            </w:pPr>
            <w:r>
              <w:rPr>
                <w:rFonts w:ascii="Arial" w:cs="Arial" w:eastAsia="Arial" w:hAnsi="Arial"/>
                <w:sz w:val="13"/>
                <w:szCs w:val="13"/>
                <w:color w:val="auto"/>
              </w:rPr>
              <w:t>254,457</w:t>
            </w:r>
          </w:p>
        </w:tc>
        <w:tc>
          <w:tcPr>
            <w:tcW w:w="7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6460" w:type="dxa"/>
            <w:vAlign w:val="bottom"/>
          </w:tcPr>
          <w:p>
            <w:pPr>
              <w:ind w:left="3060"/>
              <w:spacing w:after="0" w:line="143" w:lineRule="exact"/>
              <w:rPr>
                <w:sz w:val="20"/>
                <w:szCs w:val="20"/>
                <w:color w:val="auto"/>
              </w:rPr>
            </w:pPr>
            <w:r>
              <w:rPr>
                <w:rFonts w:ascii="Arial" w:cs="Arial" w:eastAsia="Arial" w:hAnsi="Arial"/>
                <w:sz w:val="13"/>
                <w:szCs w:val="13"/>
                <w:color w:val="auto"/>
              </w:rPr>
              <w:t>Total</w:t>
            </w: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501,887</w:t>
            </w:r>
          </w:p>
        </w:tc>
        <w:tc>
          <w:tcPr>
            <w:tcW w:w="180" w:type="dxa"/>
            <w:vAlign w:val="bottom"/>
          </w:tcPr>
          <w:p>
            <w:pPr>
              <w:spacing w:after="0"/>
              <w:rPr>
                <w:sz w:val="14"/>
                <w:szCs w:val="14"/>
                <w:color w:val="auto"/>
              </w:rPr>
            </w:pPr>
          </w:p>
        </w:tc>
        <w:tc>
          <w:tcPr>
            <w:tcW w:w="940" w:type="dxa"/>
            <w:vAlign w:val="bottom"/>
            <w:tcBorders>
              <w:top w:val="single" w:sz="8" w:color="auto"/>
              <w:bottom w:val="single" w:sz="8" w:color="auto"/>
            </w:tcBorders>
            <w:gridSpan w:val="3"/>
          </w:tcPr>
          <w:p>
            <w:pPr>
              <w:jc w:val="right"/>
              <w:spacing w:after="0"/>
              <w:rPr>
                <w:sz w:val="20"/>
                <w:szCs w:val="20"/>
                <w:color w:val="auto"/>
              </w:rPr>
            </w:pPr>
            <w:r>
              <w:rPr>
                <w:rFonts w:ascii="Arial" w:cs="Arial" w:eastAsia="Arial" w:hAnsi="Arial"/>
                <w:sz w:val="13"/>
                <w:szCs w:val="13"/>
                <w:b w:val="1"/>
                <w:bCs w:val="1"/>
                <w:color w:val="auto"/>
              </w:rPr>
              <w:t>488,003</w:t>
            </w:r>
          </w:p>
        </w:tc>
        <w:tc>
          <w:tcPr>
            <w:tcW w:w="8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467"/>
        </w:trPr>
        <w:tc>
          <w:tcPr>
            <w:tcW w:w="220" w:type="dxa"/>
            <w:vAlign w:val="bottom"/>
            <w:tcBorders>
              <w:bottom w:val="single" w:sz="8" w:color="auto"/>
            </w:tcBorders>
          </w:tcPr>
          <w:p>
            <w:pPr>
              <w:spacing w:after="0"/>
              <w:rPr>
                <w:sz w:val="24"/>
                <w:szCs w:val="24"/>
                <w:color w:val="auto"/>
              </w:rPr>
            </w:pPr>
          </w:p>
        </w:tc>
        <w:tc>
          <w:tcPr>
            <w:tcW w:w="6460" w:type="dxa"/>
            <w:vAlign w:val="bottom"/>
            <w:tcBorders>
              <w:bottom w:val="single" w:sz="8" w:color="auto"/>
            </w:tcBorders>
          </w:tcPr>
          <w:p>
            <w:pPr>
              <w:ind w:left="5400"/>
              <w:spacing w:after="0"/>
              <w:rPr>
                <w:sz w:val="20"/>
                <w:szCs w:val="20"/>
                <w:color w:val="auto"/>
              </w:rPr>
            </w:pPr>
            <w:r>
              <w:rPr>
                <w:rFonts w:ascii="Arial" w:cs="Arial" w:eastAsia="Arial" w:hAnsi="Arial"/>
                <w:sz w:val="13"/>
                <w:szCs w:val="13"/>
                <w:color w:val="auto"/>
              </w:rPr>
              <w:t>F-49</w:t>
            </w:r>
          </w:p>
        </w:tc>
        <w:tc>
          <w:tcPr>
            <w:tcW w:w="9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3"/>
          </w:cols>
          <w:pgMar w:left="217" w:top="685" w:right="199" w:bottom="1440" w:gutter="0" w:footer="0" w:header="0"/>
          <w:type w:val="continuous"/>
        </w:sectPr>
      </w:pPr>
    </w:p>
    <w:bookmarkStart w:id="174" w:name="page175"/>
    <w:bookmarkEnd w:id="174"/>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24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138"/>
        </w:numPr>
        <w:rPr>
          <w:rFonts w:ascii="Arial" w:cs="Arial" w:eastAsia="Arial" w:hAnsi="Arial"/>
          <w:sz w:val="13"/>
          <w:szCs w:val="13"/>
          <w:b w:val="1"/>
          <w:bCs w:val="1"/>
          <w:color w:val="auto"/>
        </w:rPr>
      </w:pPr>
      <w:r>
        <w:rPr>
          <w:rFonts w:ascii="Arial" w:cs="Arial" w:eastAsia="Arial" w:hAnsi="Arial"/>
          <w:sz w:val="13"/>
          <w:szCs w:val="13"/>
          <w:b w:val="1"/>
          <w:bCs w:val="1"/>
          <w:color w:val="auto"/>
        </w:rPr>
        <w:t>Loan commitments and financial guarantee contracts (continued)</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breakdown of the Bank’s loan commitments and financial guarantee contracts’ exposure by country risk is as follows:</w:t>
      </w:r>
    </w:p>
    <w:p>
      <w:pPr>
        <w:spacing w:after="0" w:line="155" w:lineRule="exact"/>
        <w:rPr>
          <w:sz w:val="20"/>
          <w:szCs w:val="20"/>
          <w:color w:val="auto"/>
        </w:rPr>
      </w:pPr>
    </w:p>
    <w:tbl>
      <w:tblPr>
        <w:tblLayout w:type="fixed"/>
        <w:tblInd w:w="223" w:type="dxa"/>
        <w:tblCellMar>
          <w:top w:w="0" w:type="dxa"/>
          <w:left w:w="0" w:type="dxa"/>
          <w:bottom w:w="0" w:type="dxa"/>
          <w:right w:w="0" w:type="dxa"/>
        </w:tblCellMar>
      </w:tblPr>
      <w:tr>
        <w:trPr>
          <w:trHeight w:val="164"/>
        </w:trPr>
        <w:tc>
          <w:tcPr>
            <w:tcW w:w="8180" w:type="dxa"/>
            <w:vAlign w:val="bottom"/>
          </w:tcPr>
          <w:p>
            <w:pPr>
              <w:spacing w:after="0"/>
              <w:rPr>
                <w:sz w:val="14"/>
                <w:szCs w:val="14"/>
                <w:color w:val="auto"/>
              </w:rPr>
            </w:pPr>
          </w:p>
        </w:tc>
        <w:tc>
          <w:tcPr>
            <w:tcW w:w="1420" w:type="dxa"/>
            <w:vAlign w:val="bottom"/>
            <w:gridSpan w:val="2"/>
          </w:tcPr>
          <w:p>
            <w:pPr>
              <w:ind w:left="240"/>
              <w:spacing w:after="0"/>
              <w:rPr>
                <w:sz w:val="20"/>
                <w:szCs w:val="20"/>
                <w:color w:val="auto"/>
              </w:rPr>
            </w:pPr>
            <w:r>
              <w:rPr>
                <w:rFonts w:ascii="Arial" w:cs="Arial" w:eastAsia="Arial" w:hAnsi="Arial"/>
                <w:sz w:val="13"/>
                <w:szCs w:val="13"/>
                <w:b w:val="1"/>
                <w:bCs w:val="1"/>
                <w:color w:val="auto"/>
              </w:rPr>
              <w:t>December 31,</w:t>
            </w:r>
          </w:p>
        </w:tc>
        <w:tc>
          <w:tcPr>
            <w:tcW w:w="1300" w:type="dxa"/>
            <w:vAlign w:val="bottom"/>
            <w:gridSpan w:val="3"/>
          </w:tcPr>
          <w:p>
            <w:pPr>
              <w:ind w:left="220"/>
              <w:spacing w:after="0"/>
              <w:rPr>
                <w:sz w:val="20"/>
                <w:szCs w:val="20"/>
                <w:color w:val="auto"/>
              </w:rPr>
            </w:pPr>
            <w:r>
              <w:rPr>
                <w:rFonts w:ascii="Arial" w:cs="Arial" w:eastAsia="Arial" w:hAnsi="Arial"/>
                <w:sz w:val="13"/>
                <w:szCs w:val="13"/>
                <w:b w:val="1"/>
                <w:bCs w:val="1"/>
                <w:color w:val="auto"/>
              </w:rPr>
              <w:t>December 31,</w:t>
            </w:r>
          </w:p>
        </w:tc>
      </w:tr>
      <w:tr>
        <w:trPr>
          <w:trHeight w:val="166"/>
        </w:trPr>
        <w:tc>
          <w:tcPr>
            <w:tcW w:w="8180" w:type="dxa"/>
            <w:vAlign w:val="bottom"/>
            <w:tcBorders>
              <w:bottom w:val="single" w:sz="8" w:color="CCEEFF"/>
            </w:tcBorders>
          </w:tcPr>
          <w:p>
            <w:pPr>
              <w:spacing w:after="0"/>
              <w:rPr>
                <w:sz w:val="14"/>
                <w:szCs w:val="14"/>
                <w:color w:val="auto"/>
              </w:rPr>
            </w:pPr>
          </w:p>
        </w:tc>
        <w:tc>
          <w:tcPr>
            <w:tcW w:w="1220" w:type="dxa"/>
            <w:vAlign w:val="bottom"/>
            <w:tcBorders>
              <w:bottom w:val="single" w:sz="8" w:color="auto"/>
            </w:tcBorders>
          </w:tcPr>
          <w:p>
            <w:pPr>
              <w:jc w:val="right"/>
              <w:ind w:right="416"/>
              <w:spacing w:after="0"/>
              <w:rPr>
                <w:sz w:val="20"/>
                <w:szCs w:val="20"/>
                <w:color w:val="auto"/>
              </w:rPr>
            </w:pPr>
            <w:r>
              <w:rPr>
                <w:rFonts w:ascii="Arial" w:cs="Arial" w:eastAsia="Arial" w:hAnsi="Arial"/>
                <w:sz w:val="13"/>
                <w:szCs w:val="13"/>
                <w:b w:val="1"/>
                <w:bCs w:val="1"/>
                <w:color w:val="auto"/>
              </w:rPr>
              <w:t>2018</w:t>
            </w:r>
          </w:p>
        </w:tc>
        <w:tc>
          <w:tcPr>
            <w:tcW w:w="200" w:type="dxa"/>
            <w:vAlign w:val="bottom"/>
            <w:tcBorders>
              <w:bottom w:val="single" w:sz="8" w:color="CCEEFF"/>
            </w:tcBorders>
          </w:tcPr>
          <w:p>
            <w:pPr>
              <w:spacing w:after="0"/>
              <w:rPr>
                <w:sz w:val="14"/>
                <w:szCs w:val="14"/>
                <w:color w:val="auto"/>
              </w:rPr>
            </w:pPr>
          </w:p>
        </w:tc>
        <w:tc>
          <w:tcPr>
            <w:tcW w:w="1200" w:type="dxa"/>
            <w:vAlign w:val="bottom"/>
            <w:tcBorders>
              <w:bottom w:val="single" w:sz="8" w:color="auto"/>
            </w:tcBorders>
          </w:tcPr>
          <w:p>
            <w:pPr>
              <w:jc w:val="right"/>
              <w:ind w:right="396"/>
              <w:spacing w:after="0"/>
              <w:rPr>
                <w:sz w:val="20"/>
                <w:szCs w:val="20"/>
                <w:color w:val="auto"/>
              </w:rPr>
            </w:pPr>
            <w:r>
              <w:rPr>
                <w:rFonts w:ascii="Arial" w:cs="Arial" w:eastAsia="Arial" w:hAnsi="Arial"/>
                <w:sz w:val="13"/>
                <w:szCs w:val="13"/>
                <w:b w:val="1"/>
                <w:bCs w:val="1"/>
                <w:color w:val="auto"/>
              </w:rPr>
              <w:t>2017</w:t>
            </w:r>
          </w:p>
        </w:tc>
        <w:tc>
          <w:tcPr>
            <w:tcW w:w="20" w:type="dxa"/>
            <w:vAlign w:val="bottom"/>
            <w:tcBorders>
              <w:bottom w:val="single" w:sz="8" w:color="CCEEFF"/>
            </w:tcBorders>
          </w:tcPr>
          <w:p>
            <w:pPr>
              <w:spacing w:after="0"/>
              <w:rPr>
                <w:sz w:val="14"/>
                <w:szCs w:val="14"/>
                <w:color w:val="auto"/>
              </w:rPr>
            </w:pPr>
          </w:p>
        </w:tc>
        <w:tc>
          <w:tcPr>
            <w:tcW w:w="80" w:type="dxa"/>
            <w:vAlign w:val="bottom"/>
            <w:tcBorders>
              <w:bottom w:val="single" w:sz="8" w:color="CCEEFF"/>
            </w:tcBorders>
          </w:tcPr>
          <w:p>
            <w:pPr>
              <w:spacing w:after="0"/>
              <w:rPr>
                <w:sz w:val="14"/>
                <w:szCs w:val="14"/>
                <w:color w:val="auto"/>
              </w:rPr>
            </w:pPr>
          </w:p>
        </w:tc>
      </w:tr>
      <w:tr>
        <w:trPr>
          <w:trHeight w:val="144"/>
        </w:trPr>
        <w:tc>
          <w:tcPr>
            <w:tcW w:w="8180" w:type="dxa"/>
            <w:vAlign w:val="bottom"/>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Country:</w:t>
            </w:r>
          </w:p>
        </w:tc>
        <w:tc>
          <w:tcPr>
            <w:tcW w:w="12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2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r>
      <w:tr>
        <w:trPr>
          <w:trHeight w:val="154"/>
        </w:trPr>
        <w:tc>
          <w:tcPr>
            <w:tcW w:w="8180" w:type="dxa"/>
            <w:vAlign w:val="bottom"/>
          </w:tcPr>
          <w:p>
            <w:pPr>
              <w:ind w:left="120"/>
              <w:spacing w:after="0"/>
              <w:rPr>
                <w:sz w:val="20"/>
                <w:szCs w:val="20"/>
                <w:color w:val="auto"/>
              </w:rPr>
            </w:pPr>
            <w:r>
              <w:rPr>
                <w:rFonts w:ascii="Arial" w:cs="Arial" w:eastAsia="Arial" w:hAnsi="Arial"/>
                <w:sz w:val="13"/>
                <w:szCs w:val="13"/>
                <w:color w:val="auto"/>
              </w:rPr>
              <w:t>Ecuador</w:t>
            </w:r>
          </w:p>
        </w:tc>
        <w:tc>
          <w:tcPr>
            <w:tcW w:w="1220" w:type="dxa"/>
            <w:vAlign w:val="bottom"/>
          </w:tcPr>
          <w:p>
            <w:pPr>
              <w:jc w:val="right"/>
              <w:spacing w:after="0"/>
              <w:rPr>
                <w:sz w:val="20"/>
                <w:szCs w:val="20"/>
                <w:color w:val="auto"/>
              </w:rPr>
            </w:pPr>
            <w:r>
              <w:rPr>
                <w:rFonts w:ascii="Arial" w:cs="Arial" w:eastAsia="Arial" w:hAnsi="Arial"/>
                <w:sz w:val="13"/>
                <w:szCs w:val="13"/>
                <w:color w:val="auto"/>
              </w:rPr>
              <w:t>247,225</w:t>
            </w:r>
          </w:p>
        </w:tc>
        <w:tc>
          <w:tcPr>
            <w:tcW w:w="200" w:type="dxa"/>
            <w:vAlign w:val="bottom"/>
          </w:tcPr>
          <w:p>
            <w:pPr>
              <w:spacing w:after="0"/>
              <w:rPr>
                <w:sz w:val="13"/>
                <w:szCs w:val="13"/>
                <w:color w:val="auto"/>
              </w:rPr>
            </w:pPr>
          </w:p>
        </w:tc>
        <w:tc>
          <w:tcPr>
            <w:tcW w:w="1220" w:type="dxa"/>
            <w:vAlign w:val="bottom"/>
            <w:gridSpan w:val="2"/>
          </w:tcPr>
          <w:p>
            <w:pPr>
              <w:jc w:val="right"/>
              <w:ind w:right="20"/>
              <w:spacing w:after="0"/>
              <w:rPr>
                <w:sz w:val="20"/>
                <w:szCs w:val="20"/>
                <w:color w:val="auto"/>
              </w:rPr>
            </w:pPr>
            <w:r>
              <w:rPr>
                <w:rFonts w:ascii="Arial" w:cs="Arial" w:eastAsia="Arial" w:hAnsi="Arial"/>
                <w:sz w:val="13"/>
                <w:szCs w:val="13"/>
                <w:color w:val="auto"/>
              </w:rPr>
              <w:t>252,800</w:t>
            </w:r>
          </w:p>
        </w:tc>
        <w:tc>
          <w:tcPr>
            <w:tcW w:w="80" w:type="dxa"/>
            <w:vAlign w:val="bottom"/>
          </w:tcPr>
          <w:p>
            <w:pPr>
              <w:spacing w:after="0"/>
              <w:rPr>
                <w:sz w:val="13"/>
                <w:szCs w:val="13"/>
                <w:color w:val="auto"/>
              </w:rPr>
            </w:pPr>
          </w:p>
        </w:tc>
      </w:tr>
      <w:tr>
        <w:trPr>
          <w:trHeight w:val="154"/>
        </w:trPr>
        <w:tc>
          <w:tcPr>
            <w:tcW w:w="8180" w:type="dxa"/>
            <w:vAlign w:val="bottom"/>
            <w:shd w:val="clear" w:color="auto" w:fill="CCEEFF"/>
          </w:tcPr>
          <w:p>
            <w:pPr>
              <w:ind w:left="120"/>
              <w:spacing w:after="0"/>
              <w:rPr>
                <w:sz w:val="20"/>
                <w:szCs w:val="20"/>
                <w:color w:val="auto"/>
              </w:rPr>
            </w:pPr>
            <w:r>
              <w:rPr>
                <w:rFonts w:ascii="Arial" w:cs="Arial" w:eastAsia="Arial" w:hAnsi="Arial"/>
                <w:sz w:val="13"/>
                <w:szCs w:val="13"/>
                <w:color w:val="auto"/>
              </w:rPr>
              <w:t>Colombia</w:t>
            </w: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52,000</w:t>
            </w:r>
          </w:p>
        </w:tc>
        <w:tc>
          <w:tcPr>
            <w:tcW w:w="1300" w:type="dxa"/>
            <w:vAlign w:val="bottom"/>
            <w:gridSpan w:val="3"/>
            <w:shd w:val="clear" w:color="auto" w:fill="CCEEFF"/>
          </w:tcPr>
          <w:p>
            <w:pPr>
              <w:jc w:val="right"/>
              <w:ind w:right="100"/>
              <w:spacing w:after="0"/>
              <w:rPr>
                <w:sz w:val="20"/>
                <w:szCs w:val="20"/>
                <w:color w:val="auto"/>
              </w:rPr>
            </w:pPr>
            <w:r>
              <w:rPr>
                <w:rFonts w:ascii="Arial" w:cs="Arial" w:eastAsia="Arial" w:hAnsi="Arial"/>
                <w:sz w:val="13"/>
                <w:szCs w:val="13"/>
                <w:color w:val="auto"/>
              </w:rPr>
              <w:t>91,020</w:t>
            </w:r>
          </w:p>
        </w:tc>
      </w:tr>
      <w:tr>
        <w:trPr>
          <w:trHeight w:val="154"/>
        </w:trPr>
        <w:tc>
          <w:tcPr>
            <w:tcW w:w="8180" w:type="dxa"/>
            <w:vAlign w:val="bottom"/>
          </w:tcPr>
          <w:p>
            <w:pPr>
              <w:ind w:left="120"/>
              <w:spacing w:after="0"/>
              <w:rPr>
                <w:sz w:val="20"/>
                <w:szCs w:val="20"/>
                <w:color w:val="auto"/>
              </w:rPr>
            </w:pPr>
            <w:r>
              <w:rPr>
                <w:rFonts w:ascii="Arial" w:cs="Arial" w:eastAsia="Arial" w:hAnsi="Arial"/>
                <w:sz w:val="13"/>
                <w:szCs w:val="13"/>
                <w:color w:val="auto"/>
              </w:rPr>
              <w:t>Brazil</w:t>
            </w:r>
          </w:p>
        </w:tc>
        <w:tc>
          <w:tcPr>
            <w:tcW w:w="1420" w:type="dxa"/>
            <w:vAlign w:val="bottom"/>
            <w:gridSpan w:val="2"/>
          </w:tcPr>
          <w:p>
            <w:pPr>
              <w:jc w:val="right"/>
              <w:ind w:right="200"/>
              <w:spacing w:after="0"/>
              <w:rPr>
                <w:sz w:val="20"/>
                <w:szCs w:val="20"/>
                <w:color w:val="auto"/>
              </w:rPr>
            </w:pPr>
            <w:r>
              <w:rPr>
                <w:rFonts w:ascii="Arial" w:cs="Arial" w:eastAsia="Arial" w:hAnsi="Arial"/>
                <w:sz w:val="13"/>
                <w:szCs w:val="13"/>
                <w:color w:val="auto"/>
              </w:rPr>
              <w:t>50,000</w:t>
            </w:r>
          </w:p>
        </w:tc>
        <w:tc>
          <w:tcPr>
            <w:tcW w:w="1220" w:type="dxa"/>
            <w:vAlign w:val="bottom"/>
            <w:gridSpan w:val="2"/>
          </w:tcPr>
          <w:p>
            <w:pPr>
              <w:jc w:val="right"/>
              <w:ind w:right="20"/>
              <w:spacing w:after="0"/>
              <w:rPr>
                <w:sz w:val="20"/>
                <w:szCs w:val="20"/>
                <w:color w:val="auto"/>
              </w:rPr>
            </w:pPr>
            <w:r>
              <w:rPr>
                <w:rFonts w:ascii="Arial" w:cs="Arial" w:eastAsia="Arial" w:hAnsi="Arial"/>
                <w:sz w:val="13"/>
                <w:szCs w:val="13"/>
                <w:color w:val="auto"/>
              </w:rPr>
              <w:t>-</w:t>
            </w:r>
          </w:p>
        </w:tc>
        <w:tc>
          <w:tcPr>
            <w:tcW w:w="80" w:type="dxa"/>
            <w:vAlign w:val="bottom"/>
          </w:tcPr>
          <w:p>
            <w:pPr>
              <w:spacing w:after="0"/>
              <w:rPr>
                <w:sz w:val="13"/>
                <w:szCs w:val="13"/>
                <w:color w:val="auto"/>
              </w:rPr>
            </w:pPr>
          </w:p>
        </w:tc>
      </w:tr>
      <w:tr>
        <w:trPr>
          <w:trHeight w:val="154"/>
        </w:trPr>
        <w:tc>
          <w:tcPr>
            <w:tcW w:w="8180" w:type="dxa"/>
            <w:vAlign w:val="bottom"/>
            <w:shd w:val="clear" w:color="auto" w:fill="CCEEFF"/>
          </w:tcPr>
          <w:p>
            <w:pPr>
              <w:ind w:left="120"/>
              <w:spacing w:after="0"/>
              <w:rPr>
                <w:sz w:val="20"/>
                <w:szCs w:val="20"/>
                <w:color w:val="auto"/>
              </w:rPr>
            </w:pPr>
            <w:r>
              <w:rPr>
                <w:rFonts w:ascii="Arial" w:cs="Arial" w:eastAsia="Arial" w:hAnsi="Arial"/>
                <w:sz w:val="13"/>
                <w:szCs w:val="13"/>
                <w:color w:val="auto"/>
              </w:rPr>
              <w:t>Costa Rica</w:t>
            </w: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38,598</w:t>
            </w:r>
          </w:p>
        </w:tc>
        <w:tc>
          <w:tcPr>
            <w:tcW w:w="1300" w:type="dxa"/>
            <w:vAlign w:val="bottom"/>
            <w:gridSpan w:val="3"/>
            <w:shd w:val="clear" w:color="auto" w:fill="CCEEFF"/>
          </w:tcPr>
          <w:p>
            <w:pPr>
              <w:jc w:val="right"/>
              <w:ind w:right="100"/>
              <w:spacing w:after="0"/>
              <w:rPr>
                <w:sz w:val="20"/>
                <w:szCs w:val="20"/>
                <w:color w:val="auto"/>
              </w:rPr>
            </w:pPr>
            <w:r>
              <w:rPr>
                <w:rFonts w:ascii="Arial" w:cs="Arial" w:eastAsia="Arial" w:hAnsi="Arial"/>
                <w:sz w:val="13"/>
                <w:szCs w:val="13"/>
                <w:color w:val="auto"/>
              </w:rPr>
              <w:t>19,848</w:t>
            </w:r>
          </w:p>
        </w:tc>
      </w:tr>
      <w:tr>
        <w:trPr>
          <w:trHeight w:val="154"/>
        </w:trPr>
        <w:tc>
          <w:tcPr>
            <w:tcW w:w="8180" w:type="dxa"/>
            <w:vAlign w:val="bottom"/>
          </w:tcPr>
          <w:p>
            <w:pPr>
              <w:ind w:left="120"/>
              <w:spacing w:after="0"/>
              <w:rPr>
                <w:sz w:val="20"/>
                <w:szCs w:val="20"/>
                <w:color w:val="auto"/>
              </w:rPr>
            </w:pPr>
            <w:r>
              <w:rPr>
                <w:rFonts w:ascii="Arial" w:cs="Arial" w:eastAsia="Arial" w:hAnsi="Arial"/>
                <w:sz w:val="13"/>
                <w:szCs w:val="13"/>
                <w:color w:val="auto"/>
              </w:rPr>
              <w:t>Panama</w:t>
            </w:r>
          </w:p>
        </w:tc>
        <w:tc>
          <w:tcPr>
            <w:tcW w:w="1420" w:type="dxa"/>
            <w:vAlign w:val="bottom"/>
            <w:gridSpan w:val="2"/>
          </w:tcPr>
          <w:p>
            <w:pPr>
              <w:jc w:val="right"/>
              <w:ind w:right="200"/>
              <w:spacing w:after="0"/>
              <w:rPr>
                <w:sz w:val="20"/>
                <w:szCs w:val="20"/>
                <w:color w:val="auto"/>
              </w:rPr>
            </w:pPr>
            <w:r>
              <w:rPr>
                <w:rFonts w:ascii="Arial" w:cs="Arial" w:eastAsia="Arial" w:hAnsi="Arial"/>
                <w:sz w:val="13"/>
                <w:szCs w:val="13"/>
                <w:color w:val="auto"/>
              </w:rPr>
              <w:t>29,175</w:t>
            </w:r>
          </w:p>
        </w:tc>
        <w:tc>
          <w:tcPr>
            <w:tcW w:w="1300" w:type="dxa"/>
            <w:vAlign w:val="bottom"/>
            <w:gridSpan w:val="3"/>
          </w:tcPr>
          <w:p>
            <w:pPr>
              <w:jc w:val="right"/>
              <w:ind w:right="100"/>
              <w:spacing w:after="0"/>
              <w:rPr>
                <w:sz w:val="20"/>
                <w:szCs w:val="20"/>
                <w:color w:val="auto"/>
              </w:rPr>
            </w:pPr>
            <w:r>
              <w:rPr>
                <w:rFonts w:ascii="Arial" w:cs="Arial" w:eastAsia="Arial" w:hAnsi="Arial"/>
                <w:sz w:val="13"/>
                <w:szCs w:val="13"/>
                <w:color w:val="auto"/>
              </w:rPr>
              <w:t>31,260</w:t>
            </w:r>
          </w:p>
        </w:tc>
      </w:tr>
      <w:tr>
        <w:trPr>
          <w:trHeight w:val="154"/>
        </w:trPr>
        <w:tc>
          <w:tcPr>
            <w:tcW w:w="8180" w:type="dxa"/>
            <w:vAlign w:val="bottom"/>
            <w:shd w:val="clear" w:color="auto" w:fill="CCEEFF"/>
          </w:tcPr>
          <w:p>
            <w:pPr>
              <w:ind w:left="120"/>
              <w:spacing w:after="0"/>
              <w:rPr>
                <w:sz w:val="20"/>
                <w:szCs w:val="20"/>
                <w:color w:val="auto"/>
              </w:rPr>
            </w:pPr>
            <w:r>
              <w:rPr>
                <w:rFonts w:ascii="Arial" w:cs="Arial" w:eastAsia="Arial" w:hAnsi="Arial"/>
                <w:sz w:val="13"/>
                <w:szCs w:val="13"/>
                <w:color w:val="auto"/>
              </w:rPr>
              <w:t>Mexico</w:t>
            </w: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22,731</w:t>
            </w:r>
          </w:p>
        </w:tc>
        <w:tc>
          <w:tcPr>
            <w:tcW w:w="1300" w:type="dxa"/>
            <w:vAlign w:val="bottom"/>
            <w:gridSpan w:val="3"/>
            <w:shd w:val="clear" w:color="auto" w:fill="CCEEFF"/>
          </w:tcPr>
          <w:p>
            <w:pPr>
              <w:jc w:val="right"/>
              <w:ind w:right="100"/>
              <w:spacing w:after="0"/>
              <w:rPr>
                <w:sz w:val="20"/>
                <w:szCs w:val="20"/>
                <w:color w:val="auto"/>
              </w:rPr>
            </w:pPr>
            <w:r>
              <w:rPr>
                <w:rFonts w:ascii="Arial" w:cs="Arial" w:eastAsia="Arial" w:hAnsi="Arial"/>
                <w:sz w:val="13"/>
                <w:szCs w:val="13"/>
                <w:color w:val="auto"/>
              </w:rPr>
              <w:t>35,643</w:t>
            </w:r>
          </w:p>
        </w:tc>
      </w:tr>
      <w:tr>
        <w:trPr>
          <w:trHeight w:val="154"/>
        </w:trPr>
        <w:tc>
          <w:tcPr>
            <w:tcW w:w="8180" w:type="dxa"/>
            <w:vAlign w:val="bottom"/>
          </w:tcPr>
          <w:p>
            <w:pPr>
              <w:ind w:left="120"/>
              <w:spacing w:after="0"/>
              <w:rPr>
                <w:sz w:val="20"/>
                <w:szCs w:val="20"/>
                <w:color w:val="auto"/>
              </w:rPr>
            </w:pPr>
            <w:r>
              <w:rPr>
                <w:rFonts w:ascii="Arial" w:cs="Arial" w:eastAsia="Arial" w:hAnsi="Arial"/>
                <w:sz w:val="13"/>
                <w:szCs w:val="13"/>
                <w:color w:val="auto"/>
              </w:rPr>
              <w:t>Germany</w:t>
            </w:r>
          </w:p>
        </w:tc>
        <w:tc>
          <w:tcPr>
            <w:tcW w:w="1420" w:type="dxa"/>
            <w:vAlign w:val="bottom"/>
            <w:gridSpan w:val="2"/>
          </w:tcPr>
          <w:p>
            <w:pPr>
              <w:jc w:val="right"/>
              <w:ind w:right="200"/>
              <w:spacing w:after="0"/>
              <w:rPr>
                <w:sz w:val="20"/>
                <w:szCs w:val="20"/>
                <w:color w:val="auto"/>
              </w:rPr>
            </w:pPr>
            <w:r>
              <w:rPr>
                <w:rFonts w:ascii="Arial" w:cs="Arial" w:eastAsia="Arial" w:hAnsi="Arial"/>
                <w:sz w:val="13"/>
                <w:szCs w:val="13"/>
                <w:color w:val="auto"/>
              </w:rPr>
              <w:t>18,000</w:t>
            </w:r>
          </w:p>
        </w:tc>
        <w:tc>
          <w:tcPr>
            <w:tcW w:w="1220" w:type="dxa"/>
            <w:vAlign w:val="bottom"/>
            <w:gridSpan w:val="2"/>
          </w:tcPr>
          <w:p>
            <w:pPr>
              <w:jc w:val="right"/>
              <w:ind w:right="20"/>
              <w:spacing w:after="0"/>
              <w:rPr>
                <w:sz w:val="20"/>
                <w:szCs w:val="20"/>
                <w:color w:val="auto"/>
              </w:rPr>
            </w:pPr>
            <w:r>
              <w:rPr>
                <w:rFonts w:ascii="Arial" w:cs="Arial" w:eastAsia="Arial" w:hAnsi="Arial"/>
                <w:sz w:val="13"/>
                <w:szCs w:val="13"/>
                <w:color w:val="auto"/>
              </w:rPr>
              <w:t>-</w:t>
            </w:r>
          </w:p>
        </w:tc>
        <w:tc>
          <w:tcPr>
            <w:tcW w:w="80" w:type="dxa"/>
            <w:vAlign w:val="bottom"/>
          </w:tcPr>
          <w:p>
            <w:pPr>
              <w:spacing w:after="0"/>
              <w:rPr>
                <w:sz w:val="13"/>
                <w:szCs w:val="13"/>
                <w:color w:val="auto"/>
              </w:rPr>
            </w:pPr>
          </w:p>
        </w:tc>
      </w:tr>
      <w:tr>
        <w:trPr>
          <w:trHeight w:val="154"/>
        </w:trPr>
        <w:tc>
          <w:tcPr>
            <w:tcW w:w="8180" w:type="dxa"/>
            <w:vAlign w:val="bottom"/>
            <w:shd w:val="clear" w:color="auto" w:fill="CCEEFF"/>
          </w:tcPr>
          <w:p>
            <w:pPr>
              <w:ind w:left="120"/>
              <w:spacing w:after="0"/>
              <w:rPr>
                <w:sz w:val="20"/>
                <w:szCs w:val="20"/>
                <w:color w:val="auto"/>
              </w:rPr>
            </w:pPr>
            <w:r>
              <w:rPr>
                <w:rFonts w:ascii="Arial" w:cs="Arial" w:eastAsia="Arial" w:hAnsi="Arial"/>
                <w:sz w:val="13"/>
                <w:szCs w:val="13"/>
                <w:color w:val="auto"/>
              </w:rPr>
              <w:t>Dominican Republic</w:t>
            </w: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16,500</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w:t>
            </w:r>
          </w:p>
        </w:tc>
        <w:tc>
          <w:tcPr>
            <w:tcW w:w="80" w:type="dxa"/>
            <w:vAlign w:val="bottom"/>
            <w:shd w:val="clear" w:color="auto" w:fill="CCEEFF"/>
          </w:tcPr>
          <w:p>
            <w:pPr>
              <w:spacing w:after="0"/>
              <w:rPr>
                <w:sz w:val="13"/>
                <w:szCs w:val="13"/>
                <w:color w:val="auto"/>
              </w:rPr>
            </w:pPr>
          </w:p>
        </w:tc>
      </w:tr>
      <w:tr>
        <w:trPr>
          <w:trHeight w:val="154"/>
        </w:trPr>
        <w:tc>
          <w:tcPr>
            <w:tcW w:w="8180" w:type="dxa"/>
            <w:vAlign w:val="bottom"/>
          </w:tcPr>
          <w:p>
            <w:pPr>
              <w:ind w:left="120"/>
              <w:spacing w:after="0"/>
              <w:rPr>
                <w:sz w:val="20"/>
                <w:szCs w:val="20"/>
                <w:color w:val="auto"/>
              </w:rPr>
            </w:pPr>
            <w:r>
              <w:rPr>
                <w:rFonts w:ascii="Arial" w:cs="Arial" w:eastAsia="Arial" w:hAnsi="Arial"/>
                <w:sz w:val="13"/>
                <w:szCs w:val="13"/>
                <w:color w:val="auto"/>
              </w:rPr>
              <w:t>Guatemala</w:t>
            </w:r>
          </w:p>
        </w:tc>
        <w:tc>
          <w:tcPr>
            <w:tcW w:w="1420" w:type="dxa"/>
            <w:vAlign w:val="bottom"/>
            <w:gridSpan w:val="2"/>
          </w:tcPr>
          <w:p>
            <w:pPr>
              <w:jc w:val="right"/>
              <w:ind w:right="200"/>
              <w:spacing w:after="0"/>
              <w:rPr>
                <w:sz w:val="20"/>
                <w:szCs w:val="20"/>
                <w:color w:val="auto"/>
              </w:rPr>
            </w:pPr>
            <w:r>
              <w:rPr>
                <w:rFonts w:ascii="Arial" w:cs="Arial" w:eastAsia="Arial" w:hAnsi="Arial"/>
                <w:sz w:val="13"/>
                <w:szCs w:val="13"/>
                <w:color w:val="auto"/>
              </w:rPr>
              <w:t>15,293</w:t>
            </w:r>
          </w:p>
        </w:tc>
        <w:tc>
          <w:tcPr>
            <w:tcW w:w="1220" w:type="dxa"/>
            <w:vAlign w:val="bottom"/>
            <w:gridSpan w:val="2"/>
          </w:tcPr>
          <w:p>
            <w:pPr>
              <w:jc w:val="right"/>
              <w:ind w:right="20"/>
              <w:spacing w:after="0"/>
              <w:rPr>
                <w:sz w:val="20"/>
                <w:szCs w:val="20"/>
                <w:color w:val="auto"/>
              </w:rPr>
            </w:pPr>
            <w:r>
              <w:rPr>
                <w:rFonts w:ascii="Arial" w:cs="Arial" w:eastAsia="Arial" w:hAnsi="Arial"/>
                <w:sz w:val="13"/>
                <w:szCs w:val="13"/>
                <w:color w:val="auto"/>
              </w:rPr>
              <w:t>11,788</w:t>
            </w:r>
          </w:p>
        </w:tc>
        <w:tc>
          <w:tcPr>
            <w:tcW w:w="80" w:type="dxa"/>
            <w:vAlign w:val="bottom"/>
          </w:tcPr>
          <w:p>
            <w:pPr>
              <w:spacing w:after="0"/>
              <w:rPr>
                <w:sz w:val="13"/>
                <w:szCs w:val="13"/>
                <w:color w:val="auto"/>
              </w:rPr>
            </w:pPr>
          </w:p>
        </w:tc>
      </w:tr>
      <w:tr>
        <w:trPr>
          <w:trHeight w:val="154"/>
        </w:trPr>
        <w:tc>
          <w:tcPr>
            <w:tcW w:w="8180" w:type="dxa"/>
            <w:vAlign w:val="bottom"/>
            <w:shd w:val="clear" w:color="auto" w:fill="CCEEFF"/>
          </w:tcPr>
          <w:p>
            <w:pPr>
              <w:ind w:left="120"/>
              <w:spacing w:after="0"/>
              <w:rPr>
                <w:sz w:val="20"/>
                <w:szCs w:val="20"/>
                <w:color w:val="auto"/>
              </w:rPr>
            </w:pPr>
            <w:r>
              <w:rPr>
                <w:rFonts w:ascii="Arial" w:cs="Arial" w:eastAsia="Arial" w:hAnsi="Arial"/>
                <w:sz w:val="13"/>
                <w:szCs w:val="13"/>
                <w:color w:val="auto"/>
              </w:rPr>
              <w:t>Argentina</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6,980</w:t>
            </w:r>
          </w:p>
        </w:tc>
        <w:tc>
          <w:tcPr>
            <w:tcW w:w="20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7,546</w:t>
            </w:r>
          </w:p>
        </w:tc>
        <w:tc>
          <w:tcPr>
            <w:tcW w:w="80" w:type="dxa"/>
            <w:vAlign w:val="bottom"/>
            <w:shd w:val="clear" w:color="auto" w:fill="CCEEFF"/>
          </w:tcPr>
          <w:p>
            <w:pPr>
              <w:spacing w:after="0"/>
              <w:rPr>
                <w:sz w:val="13"/>
                <w:szCs w:val="13"/>
                <w:color w:val="auto"/>
              </w:rPr>
            </w:pPr>
          </w:p>
        </w:tc>
      </w:tr>
      <w:tr>
        <w:trPr>
          <w:trHeight w:val="154"/>
        </w:trPr>
        <w:tc>
          <w:tcPr>
            <w:tcW w:w="8180" w:type="dxa"/>
            <w:vAlign w:val="bottom"/>
          </w:tcPr>
          <w:p>
            <w:pPr>
              <w:ind w:left="120"/>
              <w:spacing w:after="0"/>
              <w:rPr>
                <w:sz w:val="20"/>
                <w:szCs w:val="20"/>
                <w:color w:val="auto"/>
              </w:rPr>
            </w:pPr>
            <w:r>
              <w:rPr>
                <w:rFonts w:ascii="Arial" w:cs="Arial" w:eastAsia="Arial" w:hAnsi="Arial"/>
                <w:sz w:val="13"/>
                <w:szCs w:val="13"/>
                <w:color w:val="auto"/>
              </w:rPr>
              <w:t>Peru</w:t>
            </w:r>
          </w:p>
        </w:tc>
        <w:tc>
          <w:tcPr>
            <w:tcW w:w="1220" w:type="dxa"/>
            <w:vAlign w:val="bottom"/>
          </w:tcPr>
          <w:p>
            <w:pPr>
              <w:jc w:val="right"/>
              <w:spacing w:after="0"/>
              <w:rPr>
                <w:sz w:val="20"/>
                <w:szCs w:val="20"/>
                <w:color w:val="auto"/>
              </w:rPr>
            </w:pPr>
            <w:r>
              <w:rPr>
                <w:rFonts w:ascii="Arial" w:cs="Arial" w:eastAsia="Arial" w:hAnsi="Arial"/>
                <w:sz w:val="13"/>
                <w:szCs w:val="13"/>
                <w:color w:val="auto"/>
              </w:rPr>
              <w:t>2,846</w:t>
            </w:r>
          </w:p>
        </w:tc>
        <w:tc>
          <w:tcPr>
            <w:tcW w:w="200" w:type="dxa"/>
            <w:vAlign w:val="bottom"/>
          </w:tcPr>
          <w:p>
            <w:pPr>
              <w:spacing w:after="0"/>
              <w:rPr>
                <w:sz w:val="13"/>
                <w:szCs w:val="13"/>
                <w:color w:val="auto"/>
              </w:rPr>
            </w:pPr>
          </w:p>
        </w:tc>
        <w:tc>
          <w:tcPr>
            <w:tcW w:w="1300" w:type="dxa"/>
            <w:vAlign w:val="bottom"/>
            <w:gridSpan w:val="3"/>
          </w:tcPr>
          <w:p>
            <w:pPr>
              <w:jc w:val="right"/>
              <w:ind w:right="100"/>
              <w:spacing w:after="0"/>
              <w:rPr>
                <w:sz w:val="20"/>
                <w:szCs w:val="20"/>
                <w:color w:val="auto"/>
              </w:rPr>
            </w:pPr>
            <w:r>
              <w:rPr>
                <w:rFonts w:ascii="Arial" w:cs="Arial" w:eastAsia="Arial" w:hAnsi="Arial"/>
                <w:sz w:val="13"/>
                <w:szCs w:val="13"/>
                <w:color w:val="auto"/>
              </w:rPr>
              <w:t>17,618</w:t>
            </w:r>
          </w:p>
        </w:tc>
      </w:tr>
      <w:tr>
        <w:trPr>
          <w:trHeight w:val="154"/>
        </w:trPr>
        <w:tc>
          <w:tcPr>
            <w:tcW w:w="8180" w:type="dxa"/>
            <w:vAlign w:val="bottom"/>
            <w:shd w:val="clear" w:color="auto" w:fill="CCEEFF"/>
          </w:tcPr>
          <w:p>
            <w:pPr>
              <w:ind w:left="120"/>
              <w:spacing w:after="0"/>
              <w:rPr>
                <w:sz w:val="20"/>
                <w:szCs w:val="20"/>
                <w:color w:val="auto"/>
              </w:rPr>
            </w:pPr>
            <w:r>
              <w:rPr>
                <w:rFonts w:ascii="Arial" w:cs="Arial" w:eastAsia="Arial" w:hAnsi="Arial"/>
                <w:sz w:val="13"/>
                <w:szCs w:val="13"/>
                <w:color w:val="auto"/>
              </w:rPr>
              <w:t>El Salvador</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824</w:t>
            </w:r>
          </w:p>
        </w:tc>
        <w:tc>
          <w:tcPr>
            <w:tcW w:w="20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767</w:t>
            </w:r>
          </w:p>
        </w:tc>
        <w:tc>
          <w:tcPr>
            <w:tcW w:w="80" w:type="dxa"/>
            <w:vAlign w:val="bottom"/>
            <w:shd w:val="clear" w:color="auto" w:fill="CCEEFF"/>
          </w:tcPr>
          <w:p>
            <w:pPr>
              <w:spacing w:after="0"/>
              <w:rPr>
                <w:sz w:val="13"/>
                <w:szCs w:val="13"/>
                <w:color w:val="auto"/>
              </w:rPr>
            </w:pPr>
          </w:p>
        </w:tc>
      </w:tr>
      <w:tr>
        <w:trPr>
          <w:trHeight w:val="154"/>
        </w:trPr>
        <w:tc>
          <w:tcPr>
            <w:tcW w:w="8180" w:type="dxa"/>
            <w:vAlign w:val="bottom"/>
          </w:tcPr>
          <w:p>
            <w:pPr>
              <w:ind w:left="120"/>
              <w:spacing w:after="0"/>
              <w:rPr>
                <w:sz w:val="20"/>
                <w:szCs w:val="20"/>
                <w:color w:val="auto"/>
              </w:rPr>
            </w:pPr>
            <w:r>
              <w:rPr>
                <w:rFonts w:ascii="Arial" w:cs="Arial" w:eastAsia="Arial" w:hAnsi="Arial"/>
                <w:sz w:val="13"/>
                <w:szCs w:val="13"/>
                <w:color w:val="auto"/>
              </w:rPr>
              <w:t>Uruguay</w:t>
            </w:r>
          </w:p>
        </w:tc>
        <w:tc>
          <w:tcPr>
            <w:tcW w:w="1220" w:type="dxa"/>
            <w:vAlign w:val="bottom"/>
          </w:tcPr>
          <w:p>
            <w:pPr>
              <w:jc w:val="right"/>
              <w:spacing w:after="0"/>
              <w:rPr>
                <w:sz w:val="20"/>
                <w:szCs w:val="20"/>
                <w:color w:val="auto"/>
              </w:rPr>
            </w:pPr>
            <w:r>
              <w:rPr>
                <w:rFonts w:ascii="Arial" w:cs="Arial" w:eastAsia="Arial" w:hAnsi="Arial"/>
                <w:sz w:val="13"/>
                <w:szCs w:val="13"/>
                <w:color w:val="auto"/>
              </w:rPr>
              <w:t>750</w:t>
            </w:r>
          </w:p>
        </w:tc>
        <w:tc>
          <w:tcPr>
            <w:tcW w:w="200" w:type="dxa"/>
            <w:vAlign w:val="bottom"/>
          </w:tcPr>
          <w:p>
            <w:pPr>
              <w:spacing w:after="0"/>
              <w:rPr>
                <w:sz w:val="13"/>
                <w:szCs w:val="13"/>
                <w:color w:val="auto"/>
              </w:rPr>
            </w:pPr>
          </w:p>
        </w:tc>
        <w:tc>
          <w:tcPr>
            <w:tcW w:w="1220" w:type="dxa"/>
            <w:vAlign w:val="bottom"/>
            <w:gridSpan w:val="2"/>
          </w:tcPr>
          <w:p>
            <w:pPr>
              <w:jc w:val="right"/>
              <w:ind w:right="20"/>
              <w:spacing w:after="0"/>
              <w:rPr>
                <w:sz w:val="20"/>
                <w:szCs w:val="20"/>
                <w:color w:val="auto"/>
              </w:rPr>
            </w:pPr>
            <w:r>
              <w:rPr>
                <w:rFonts w:ascii="Arial" w:cs="Arial" w:eastAsia="Arial" w:hAnsi="Arial"/>
                <w:sz w:val="13"/>
                <w:szCs w:val="13"/>
                <w:color w:val="auto"/>
              </w:rPr>
              <w:t>3,176</w:t>
            </w:r>
          </w:p>
        </w:tc>
        <w:tc>
          <w:tcPr>
            <w:tcW w:w="80" w:type="dxa"/>
            <w:vAlign w:val="bottom"/>
          </w:tcPr>
          <w:p>
            <w:pPr>
              <w:spacing w:after="0"/>
              <w:rPr>
                <w:sz w:val="13"/>
                <w:szCs w:val="13"/>
                <w:color w:val="auto"/>
              </w:rPr>
            </w:pPr>
          </w:p>
        </w:tc>
      </w:tr>
      <w:tr>
        <w:trPr>
          <w:trHeight w:val="154"/>
        </w:trPr>
        <w:tc>
          <w:tcPr>
            <w:tcW w:w="8180" w:type="dxa"/>
            <w:vAlign w:val="bottom"/>
            <w:shd w:val="clear" w:color="auto" w:fill="CCEEFF"/>
          </w:tcPr>
          <w:p>
            <w:pPr>
              <w:ind w:left="120"/>
              <w:spacing w:after="0"/>
              <w:rPr>
                <w:sz w:val="20"/>
                <w:szCs w:val="20"/>
                <w:color w:val="auto"/>
              </w:rPr>
            </w:pPr>
            <w:r>
              <w:rPr>
                <w:rFonts w:ascii="Arial" w:cs="Arial" w:eastAsia="Arial" w:hAnsi="Arial"/>
                <w:sz w:val="13"/>
                <w:szCs w:val="13"/>
                <w:color w:val="auto"/>
              </w:rPr>
              <w:t>Canada</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422</w:t>
            </w:r>
          </w:p>
        </w:tc>
        <w:tc>
          <w:tcPr>
            <w:tcW w:w="20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425</w:t>
            </w:r>
          </w:p>
        </w:tc>
        <w:tc>
          <w:tcPr>
            <w:tcW w:w="80" w:type="dxa"/>
            <w:vAlign w:val="bottom"/>
            <w:shd w:val="clear" w:color="auto" w:fill="CCEEFF"/>
          </w:tcPr>
          <w:p>
            <w:pPr>
              <w:spacing w:after="0"/>
              <w:rPr>
                <w:sz w:val="13"/>
                <w:szCs w:val="13"/>
                <w:color w:val="auto"/>
              </w:rPr>
            </w:pPr>
          </w:p>
        </w:tc>
      </w:tr>
      <w:tr>
        <w:trPr>
          <w:trHeight w:val="154"/>
        </w:trPr>
        <w:tc>
          <w:tcPr>
            <w:tcW w:w="8180" w:type="dxa"/>
            <w:vAlign w:val="bottom"/>
          </w:tcPr>
          <w:p>
            <w:pPr>
              <w:ind w:left="120"/>
              <w:spacing w:after="0"/>
              <w:rPr>
                <w:sz w:val="20"/>
                <w:szCs w:val="20"/>
                <w:color w:val="auto"/>
              </w:rPr>
            </w:pPr>
            <w:r>
              <w:rPr>
                <w:rFonts w:ascii="Arial" w:cs="Arial" w:eastAsia="Arial" w:hAnsi="Arial"/>
                <w:sz w:val="13"/>
                <w:szCs w:val="13"/>
                <w:color w:val="auto"/>
              </w:rPr>
              <w:t>Bolivia</w:t>
            </w:r>
          </w:p>
        </w:tc>
        <w:tc>
          <w:tcPr>
            <w:tcW w:w="1220" w:type="dxa"/>
            <w:vAlign w:val="bottom"/>
          </w:tcPr>
          <w:p>
            <w:pPr>
              <w:jc w:val="right"/>
              <w:spacing w:after="0"/>
              <w:rPr>
                <w:sz w:val="20"/>
                <w:szCs w:val="20"/>
                <w:color w:val="auto"/>
              </w:rPr>
            </w:pPr>
            <w:r>
              <w:rPr>
                <w:rFonts w:ascii="Arial" w:cs="Arial" w:eastAsia="Arial" w:hAnsi="Arial"/>
                <w:sz w:val="13"/>
                <w:szCs w:val="13"/>
                <w:color w:val="auto"/>
              </w:rPr>
              <w:t>293</w:t>
            </w:r>
          </w:p>
        </w:tc>
        <w:tc>
          <w:tcPr>
            <w:tcW w:w="200" w:type="dxa"/>
            <w:vAlign w:val="bottom"/>
          </w:tcPr>
          <w:p>
            <w:pPr>
              <w:spacing w:after="0"/>
              <w:rPr>
                <w:sz w:val="13"/>
                <w:szCs w:val="13"/>
                <w:color w:val="auto"/>
              </w:rPr>
            </w:pPr>
          </w:p>
        </w:tc>
        <w:tc>
          <w:tcPr>
            <w:tcW w:w="1220" w:type="dxa"/>
            <w:vAlign w:val="bottom"/>
            <w:gridSpan w:val="2"/>
          </w:tcPr>
          <w:p>
            <w:pPr>
              <w:jc w:val="right"/>
              <w:ind w:right="20"/>
              <w:spacing w:after="0"/>
              <w:rPr>
                <w:sz w:val="20"/>
                <w:szCs w:val="20"/>
                <w:color w:val="auto"/>
              </w:rPr>
            </w:pPr>
            <w:r>
              <w:rPr>
                <w:rFonts w:ascii="Arial" w:cs="Arial" w:eastAsia="Arial" w:hAnsi="Arial"/>
                <w:sz w:val="13"/>
                <w:szCs w:val="13"/>
                <w:color w:val="auto"/>
              </w:rPr>
              <w:t>200</w:t>
            </w:r>
          </w:p>
        </w:tc>
        <w:tc>
          <w:tcPr>
            <w:tcW w:w="80" w:type="dxa"/>
            <w:vAlign w:val="bottom"/>
          </w:tcPr>
          <w:p>
            <w:pPr>
              <w:spacing w:after="0"/>
              <w:rPr>
                <w:sz w:val="13"/>
                <w:szCs w:val="13"/>
                <w:color w:val="auto"/>
              </w:rPr>
            </w:pPr>
          </w:p>
        </w:tc>
      </w:tr>
      <w:tr>
        <w:trPr>
          <w:trHeight w:val="154"/>
        </w:trPr>
        <w:tc>
          <w:tcPr>
            <w:tcW w:w="8180" w:type="dxa"/>
            <w:vAlign w:val="bottom"/>
            <w:shd w:val="clear" w:color="auto" w:fill="CCEEFF"/>
          </w:tcPr>
          <w:p>
            <w:pPr>
              <w:ind w:left="120"/>
              <w:spacing w:after="0"/>
              <w:rPr>
                <w:sz w:val="20"/>
                <w:szCs w:val="20"/>
                <w:color w:val="auto"/>
              </w:rPr>
            </w:pPr>
            <w:r>
              <w:rPr>
                <w:rFonts w:ascii="Arial" w:cs="Arial" w:eastAsia="Arial" w:hAnsi="Arial"/>
                <w:sz w:val="13"/>
                <w:szCs w:val="13"/>
                <w:color w:val="auto"/>
              </w:rPr>
              <w:t>Honduras</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250</w:t>
            </w:r>
          </w:p>
        </w:tc>
        <w:tc>
          <w:tcPr>
            <w:tcW w:w="20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890</w:t>
            </w:r>
          </w:p>
        </w:tc>
        <w:tc>
          <w:tcPr>
            <w:tcW w:w="80" w:type="dxa"/>
            <w:vAlign w:val="bottom"/>
            <w:shd w:val="clear" w:color="auto" w:fill="CCEEFF"/>
          </w:tcPr>
          <w:p>
            <w:pPr>
              <w:spacing w:after="0"/>
              <w:rPr>
                <w:sz w:val="13"/>
                <w:szCs w:val="13"/>
                <w:color w:val="auto"/>
              </w:rPr>
            </w:pPr>
          </w:p>
        </w:tc>
      </w:tr>
      <w:tr>
        <w:trPr>
          <w:trHeight w:val="154"/>
        </w:trPr>
        <w:tc>
          <w:tcPr>
            <w:tcW w:w="8180" w:type="dxa"/>
            <w:vAlign w:val="bottom"/>
          </w:tcPr>
          <w:p>
            <w:pPr>
              <w:ind w:left="120"/>
              <w:spacing w:after="0"/>
              <w:rPr>
                <w:sz w:val="20"/>
                <w:szCs w:val="20"/>
                <w:color w:val="auto"/>
              </w:rPr>
            </w:pPr>
            <w:r>
              <w:rPr>
                <w:rFonts w:ascii="Arial" w:cs="Arial" w:eastAsia="Arial" w:hAnsi="Arial"/>
                <w:sz w:val="13"/>
                <w:szCs w:val="13"/>
                <w:color w:val="auto"/>
              </w:rPr>
              <w:t>Chile</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300" w:type="dxa"/>
            <w:vAlign w:val="bottom"/>
            <w:gridSpan w:val="3"/>
          </w:tcPr>
          <w:p>
            <w:pPr>
              <w:jc w:val="right"/>
              <w:ind w:right="100"/>
              <w:spacing w:after="0"/>
              <w:rPr>
                <w:sz w:val="20"/>
                <w:szCs w:val="20"/>
                <w:color w:val="auto"/>
              </w:rPr>
            </w:pPr>
            <w:r>
              <w:rPr>
                <w:rFonts w:ascii="Arial" w:cs="Arial" w:eastAsia="Arial" w:hAnsi="Arial"/>
                <w:sz w:val="13"/>
                <w:szCs w:val="13"/>
                <w:color w:val="auto"/>
              </w:rPr>
              <w:t>15,000</w:t>
            </w:r>
          </w:p>
        </w:tc>
      </w:tr>
      <w:tr>
        <w:trPr>
          <w:trHeight w:val="164"/>
        </w:trPr>
        <w:tc>
          <w:tcPr>
            <w:tcW w:w="8180" w:type="dxa"/>
            <w:vAlign w:val="bottom"/>
            <w:shd w:val="clear" w:color="auto" w:fill="CCEEFF"/>
          </w:tcPr>
          <w:p>
            <w:pPr>
              <w:ind w:left="120"/>
              <w:spacing w:after="0"/>
              <w:rPr>
                <w:sz w:val="20"/>
                <w:szCs w:val="20"/>
                <w:color w:val="auto"/>
              </w:rPr>
            </w:pPr>
            <w:r>
              <w:rPr>
                <w:rFonts w:ascii="Arial" w:cs="Arial" w:eastAsia="Arial" w:hAnsi="Arial"/>
                <w:sz w:val="13"/>
                <w:szCs w:val="13"/>
                <w:color w:val="auto"/>
              </w:rPr>
              <w:t>Paraguay</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4"/>
                <w:szCs w:val="14"/>
                <w:color w:val="auto"/>
              </w:rPr>
            </w:pP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22</w:t>
            </w:r>
          </w:p>
        </w:tc>
        <w:tc>
          <w:tcPr>
            <w:tcW w:w="80" w:type="dxa"/>
            <w:vAlign w:val="bottom"/>
            <w:shd w:val="clear" w:color="auto" w:fill="CCEEFF"/>
          </w:tcPr>
          <w:p>
            <w:pPr>
              <w:spacing w:after="0"/>
              <w:rPr>
                <w:sz w:val="14"/>
                <w:szCs w:val="14"/>
                <w:color w:val="auto"/>
              </w:rPr>
            </w:pPr>
          </w:p>
        </w:tc>
      </w:tr>
      <w:tr>
        <w:trPr>
          <w:trHeight w:val="162"/>
        </w:trPr>
        <w:tc>
          <w:tcPr>
            <w:tcW w:w="8180" w:type="dxa"/>
            <w:vAlign w:val="bottom"/>
          </w:tcPr>
          <w:p>
            <w:pPr>
              <w:spacing w:after="0" w:line="143" w:lineRule="exact"/>
              <w:rPr>
                <w:sz w:val="20"/>
                <w:szCs w:val="20"/>
                <w:color w:val="auto"/>
              </w:rPr>
            </w:pPr>
            <w:r>
              <w:rPr>
                <w:rFonts w:ascii="Arial" w:cs="Arial" w:eastAsia="Arial" w:hAnsi="Arial"/>
                <w:sz w:val="13"/>
                <w:szCs w:val="13"/>
                <w:color w:val="auto"/>
              </w:rPr>
              <w:t>Total</w:t>
            </w: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501,887</w:t>
            </w:r>
          </w:p>
        </w:tc>
        <w:tc>
          <w:tcPr>
            <w:tcW w:w="200" w:type="dxa"/>
            <w:vAlign w:val="bottom"/>
          </w:tcPr>
          <w:p>
            <w:pPr>
              <w:spacing w:after="0"/>
              <w:rPr>
                <w:sz w:val="14"/>
                <w:szCs w:val="14"/>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488,003</w:t>
            </w:r>
          </w:p>
        </w:tc>
        <w:tc>
          <w:tcPr>
            <w:tcW w:w="20" w:type="dxa"/>
            <w:vAlign w:val="bottom"/>
            <w:tcBorders>
              <w:bottom w:val="single" w:sz="8" w:color="auto"/>
            </w:tcBorders>
          </w:tcPr>
          <w:p>
            <w:pPr>
              <w:spacing w:after="0"/>
              <w:rPr>
                <w:sz w:val="14"/>
                <w:szCs w:val="14"/>
                <w:color w:val="auto"/>
              </w:rPr>
            </w:pPr>
          </w:p>
        </w:tc>
        <w:tc>
          <w:tcPr>
            <w:tcW w:w="80" w:type="dxa"/>
            <w:vAlign w:val="bottom"/>
          </w:tcPr>
          <w:p>
            <w:pPr>
              <w:spacing w:after="0"/>
              <w:rPr>
                <w:sz w:val="14"/>
                <w:szCs w:val="14"/>
                <w:color w:val="auto"/>
              </w:rPr>
            </w:pPr>
          </w:p>
        </w:tc>
      </w:tr>
    </w:tbl>
    <w:p>
      <w:pPr>
        <w:spacing w:after="0" w:line="145" w:lineRule="exact"/>
        <w:rPr>
          <w:sz w:val="20"/>
          <w:szCs w:val="20"/>
          <w:color w:val="auto"/>
        </w:rPr>
      </w:pPr>
    </w:p>
    <w:p>
      <w:pPr>
        <w:ind w:left="223"/>
        <w:spacing w:after="0"/>
        <w:rPr>
          <w:sz w:val="20"/>
          <w:szCs w:val="20"/>
          <w:color w:val="auto"/>
        </w:rPr>
      </w:pPr>
      <w:r>
        <w:rPr>
          <w:rFonts w:ascii="Arial" w:cs="Arial" w:eastAsia="Arial" w:hAnsi="Arial"/>
          <w:sz w:val="13"/>
          <w:szCs w:val="13"/>
          <w:u w:val="single" w:color="auto"/>
          <w:color w:val="auto"/>
        </w:rPr>
        <w:t>Letters of credit, stand-by letters of credit and guarantees</w:t>
      </w:r>
    </w:p>
    <w:p>
      <w:pPr>
        <w:spacing w:after="0" w:line="159" w:lineRule="exact"/>
        <w:rPr>
          <w:sz w:val="20"/>
          <w:szCs w:val="20"/>
          <w:color w:val="auto"/>
        </w:rPr>
      </w:pPr>
    </w:p>
    <w:p>
      <w:pPr>
        <w:jc w:val="both"/>
        <w:ind w:left="223"/>
        <w:spacing w:after="0" w:line="281" w:lineRule="auto"/>
        <w:rPr>
          <w:sz w:val="20"/>
          <w:szCs w:val="20"/>
          <w:color w:val="auto"/>
        </w:rPr>
      </w:pPr>
      <w:r>
        <w:rPr>
          <w:rFonts w:ascii="Arial" w:cs="Arial" w:eastAsia="Arial" w:hAnsi="Arial"/>
          <w:sz w:val="12"/>
          <w:szCs w:val="12"/>
          <w:color w:val="auto"/>
        </w:rPr>
        <w:t>The Bank, on behalf of its client’s base, issues, confirms and advises letters of credit to facilitate foreign trade transactions. When issuing, confirming and advising letters of credit, the Bank adds its own unqualified assurance that the bank will pay upon presentation of complying documents as per the terms and conditions established in the letter of credit. The Bank also issues, confirms and advises stand-by letters of credit and guarantees, which are issued on behalf of institutional clients in connection with financing between its clients and third parties. The Bank applies the same credit policies used in its lending process, and once the commitment is issued, it becomes irrevocable and remains valid until its expiration upon the presentation of complying documents on or before the expiry date.</w:t>
      </w:r>
    </w:p>
    <w:p>
      <w:pPr>
        <w:spacing w:after="0" w:line="124" w:lineRule="exact"/>
        <w:rPr>
          <w:sz w:val="20"/>
          <w:szCs w:val="20"/>
          <w:color w:val="auto"/>
        </w:rPr>
      </w:pPr>
    </w:p>
    <w:p>
      <w:pPr>
        <w:ind w:left="223"/>
        <w:spacing w:after="0"/>
        <w:rPr>
          <w:sz w:val="20"/>
          <w:szCs w:val="20"/>
          <w:color w:val="auto"/>
        </w:rPr>
      </w:pPr>
      <w:r>
        <w:rPr>
          <w:rFonts w:ascii="Arial" w:cs="Arial" w:eastAsia="Arial" w:hAnsi="Arial"/>
          <w:sz w:val="13"/>
          <w:szCs w:val="13"/>
          <w:u w:val="single" w:color="auto"/>
          <w:color w:val="auto"/>
        </w:rPr>
        <w:t>Credit commitments</w:t>
      </w:r>
    </w:p>
    <w:p>
      <w:pPr>
        <w:spacing w:after="0" w:line="159" w:lineRule="exact"/>
        <w:rPr>
          <w:sz w:val="20"/>
          <w:szCs w:val="20"/>
          <w:color w:val="auto"/>
        </w:rPr>
      </w:pPr>
    </w:p>
    <w:p>
      <w:pPr>
        <w:jc w:val="both"/>
        <w:ind w:left="223"/>
        <w:spacing w:after="0" w:line="267" w:lineRule="auto"/>
        <w:rPr>
          <w:sz w:val="20"/>
          <w:szCs w:val="20"/>
          <w:color w:val="auto"/>
        </w:rPr>
      </w:pPr>
      <w:r>
        <w:rPr>
          <w:rFonts w:ascii="Arial" w:cs="Arial" w:eastAsia="Arial" w:hAnsi="Arial"/>
          <w:sz w:val="13"/>
          <w:szCs w:val="13"/>
          <w:color w:val="auto"/>
        </w:rPr>
        <w:t>Commitments to extend credit are binding legal agreements to lend to clients. Commitments generally have fixed expiration dates or other termination clauses and require payment of a fee to the Bank. As some commitments expire without being drawn on, the total commitment amounts do not necessarily represent future cash requirements.</w:t>
      </w:r>
    </w:p>
    <w:p>
      <w:pPr>
        <w:spacing w:after="0" w:line="283" w:lineRule="exact"/>
        <w:rPr>
          <w:sz w:val="20"/>
          <w:szCs w:val="20"/>
          <w:color w:val="auto"/>
        </w:rPr>
      </w:pPr>
    </w:p>
    <w:p>
      <w:pPr>
        <w:jc w:val="center"/>
        <w:ind w:right="-22"/>
        <w:spacing w:after="0"/>
        <w:rPr>
          <w:sz w:val="20"/>
          <w:szCs w:val="20"/>
          <w:color w:val="auto"/>
        </w:rPr>
      </w:pPr>
      <w:r>
        <w:rPr>
          <w:rFonts w:ascii="Arial" w:cs="Arial" w:eastAsia="Arial" w:hAnsi="Arial"/>
          <w:sz w:val="13"/>
          <w:szCs w:val="13"/>
          <w:color w:val="auto"/>
        </w:rPr>
        <w:t>F-50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24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85" w:right="219" w:bottom="1440" w:gutter="0" w:footer="0" w:header="0"/>
        </w:sectPr>
      </w:pPr>
    </w:p>
    <w:bookmarkStart w:id="175" w:name="page176"/>
    <w:bookmarkEnd w:id="175"/>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24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tbl>
      <w:tblPr>
        <w:tblLayout w:type="fixed"/>
        <w:tblInd w:w="0" w:type="dxa"/>
        <w:tblCellMar>
          <w:top w:w="0" w:type="dxa"/>
          <w:left w:w="0" w:type="dxa"/>
          <w:bottom w:w="0" w:type="dxa"/>
          <w:right w:w="0" w:type="dxa"/>
        </w:tblCellMar>
      </w:tblPr>
      <w:tr>
        <w:trPr>
          <w:trHeight w:val="166"/>
        </w:trPr>
        <w:tc>
          <w:tcPr>
            <w:tcW w:w="6460" w:type="dxa"/>
            <w:vAlign w:val="bottom"/>
            <w:gridSpan w:val="3"/>
          </w:tcPr>
          <w:p>
            <w:pPr>
              <w:spacing w:after="0"/>
              <w:rPr>
                <w:sz w:val="20"/>
                <w:szCs w:val="20"/>
                <w:color w:val="auto"/>
              </w:rPr>
            </w:pPr>
            <w:r>
              <w:rPr>
                <w:rFonts w:ascii="Arial" w:cs="Arial" w:eastAsia="Arial" w:hAnsi="Arial"/>
                <w:sz w:val="13"/>
                <w:szCs w:val="13"/>
                <w:b w:val="1"/>
                <w:bCs w:val="1"/>
                <w:color w:val="auto"/>
              </w:rPr>
              <w:t>7.  Loan commitments and financial guarantee contracts (continued)</w:t>
            </w:r>
          </w:p>
        </w:tc>
        <w:tc>
          <w:tcPr>
            <w:tcW w:w="3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88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r>
      <w:tr>
        <w:trPr>
          <w:trHeight w:val="308"/>
        </w:trPr>
        <w:tc>
          <w:tcPr>
            <w:tcW w:w="6460" w:type="dxa"/>
            <w:vAlign w:val="bottom"/>
            <w:gridSpan w:val="3"/>
          </w:tcPr>
          <w:p>
            <w:pPr>
              <w:ind w:left="220"/>
              <w:spacing w:after="0"/>
              <w:rPr>
                <w:sz w:val="20"/>
                <w:szCs w:val="20"/>
                <w:color w:val="auto"/>
              </w:rPr>
            </w:pPr>
            <w:r>
              <w:rPr>
                <w:rFonts w:ascii="Arial" w:cs="Arial" w:eastAsia="Arial" w:hAnsi="Arial"/>
                <w:sz w:val="13"/>
                <w:szCs w:val="13"/>
                <w:color w:val="auto"/>
                <w:w w:val="91"/>
              </w:rPr>
              <w:t>The allowance for expected credit losses relating to loan commitments and financial guarantee contracts is as follows:</w:t>
            </w:r>
          </w:p>
        </w:tc>
        <w:tc>
          <w:tcPr>
            <w:tcW w:w="3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337"/>
        </w:trPr>
        <w:tc>
          <w:tcPr>
            <w:tcW w:w="220" w:type="dxa"/>
            <w:vAlign w:val="bottom"/>
          </w:tcPr>
          <w:p>
            <w:pPr>
              <w:spacing w:after="0"/>
              <w:rPr>
                <w:sz w:val="24"/>
                <w:szCs w:val="24"/>
                <w:color w:val="auto"/>
              </w:rPr>
            </w:pPr>
          </w:p>
        </w:tc>
        <w:tc>
          <w:tcPr>
            <w:tcW w:w="5360" w:type="dxa"/>
            <w:vAlign w:val="bottom"/>
          </w:tcPr>
          <w:p>
            <w:pPr>
              <w:spacing w:after="0"/>
              <w:rPr>
                <w:sz w:val="24"/>
                <w:szCs w:val="24"/>
                <w:color w:val="auto"/>
              </w:rPr>
            </w:pPr>
          </w:p>
        </w:tc>
        <w:tc>
          <w:tcPr>
            <w:tcW w:w="880" w:type="dxa"/>
            <w:vAlign w:val="bottom"/>
          </w:tcPr>
          <w:p>
            <w:pPr>
              <w:ind w:left="340"/>
              <w:spacing w:after="0"/>
              <w:rPr>
                <w:sz w:val="20"/>
                <w:szCs w:val="20"/>
                <w:color w:val="auto"/>
              </w:rPr>
            </w:pPr>
            <w:r>
              <w:rPr>
                <w:rFonts w:ascii="Arial" w:cs="Arial" w:eastAsia="Arial" w:hAnsi="Arial"/>
                <w:sz w:val="13"/>
                <w:szCs w:val="13"/>
                <w:b w:val="1"/>
                <w:bCs w:val="1"/>
                <w:color w:val="auto"/>
                <w:w w:val="77"/>
              </w:rPr>
              <w:t xml:space="preserve">Stage 1 </w:t>
            </w:r>
            <w:r>
              <w:rPr>
                <w:rFonts w:ascii="Arial" w:cs="Arial" w:eastAsia="Arial" w:hAnsi="Arial"/>
                <w:sz w:val="21"/>
                <w:szCs w:val="21"/>
                <w:b w:val="1"/>
                <w:bCs w:val="1"/>
                <w:color w:val="auto"/>
                <w:w w:val="77"/>
                <w:vertAlign w:val="superscript"/>
              </w:rPr>
              <w:t>(1)</w:t>
            </w:r>
          </w:p>
        </w:tc>
        <w:tc>
          <w:tcPr>
            <w:tcW w:w="3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80" w:type="dxa"/>
            <w:vAlign w:val="bottom"/>
          </w:tcPr>
          <w:p>
            <w:pPr>
              <w:ind w:left="320"/>
              <w:spacing w:after="0"/>
              <w:rPr>
                <w:sz w:val="20"/>
                <w:szCs w:val="20"/>
                <w:color w:val="auto"/>
              </w:rPr>
            </w:pPr>
            <w:r>
              <w:rPr>
                <w:rFonts w:ascii="Arial" w:cs="Arial" w:eastAsia="Arial" w:hAnsi="Arial"/>
                <w:sz w:val="13"/>
                <w:szCs w:val="13"/>
                <w:b w:val="1"/>
                <w:bCs w:val="1"/>
                <w:color w:val="auto"/>
                <w:w w:val="80"/>
              </w:rPr>
              <w:t xml:space="preserve">Stage 2 </w:t>
            </w:r>
            <w:r>
              <w:rPr>
                <w:rFonts w:ascii="Arial" w:cs="Arial" w:eastAsia="Arial" w:hAnsi="Arial"/>
                <w:sz w:val="21"/>
                <w:szCs w:val="21"/>
                <w:b w:val="1"/>
                <w:bCs w:val="1"/>
                <w:color w:val="auto"/>
                <w:w w:val="80"/>
                <w:vertAlign w:val="superscript"/>
              </w:rPr>
              <w:t>(2)</w:t>
            </w:r>
          </w:p>
        </w:tc>
        <w:tc>
          <w:tcPr>
            <w:tcW w:w="3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20" w:type="dxa"/>
            <w:vAlign w:val="bottom"/>
          </w:tcPr>
          <w:p>
            <w:pPr>
              <w:ind w:left="320"/>
              <w:spacing w:after="0"/>
              <w:rPr>
                <w:sz w:val="20"/>
                <w:szCs w:val="20"/>
                <w:color w:val="auto"/>
              </w:rPr>
            </w:pPr>
            <w:r>
              <w:rPr>
                <w:rFonts w:ascii="Arial" w:cs="Arial" w:eastAsia="Arial" w:hAnsi="Arial"/>
                <w:sz w:val="13"/>
                <w:szCs w:val="13"/>
                <w:b w:val="1"/>
                <w:bCs w:val="1"/>
                <w:color w:val="auto"/>
              </w:rPr>
              <w:t xml:space="preserve">Stage 3 </w:t>
            </w:r>
            <w:r>
              <w:rPr>
                <w:rFonts w:ascii="Arial" w:cs="Arial" w:eastAsia="Arial" w:hAnsi="Arial"/>
                <w:sz w:val="21"/>
                <w:szCs w:val="21"/>
                <w:b w:val="1"/>
                <w:bCs w:val="1"/>
                <w:color w:val="auto"/>
                <w:vertAlign w:val="superscript"/>
              </w:rPr>
              <w:t>(3)</w:t>
            </w:r>
          </w:p>
        </w:tc>
        <w:tc>
          <w:tcPr>
            <w:tcW w:w="1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300" w:type="dxa"/>
            <w:vAlign w:val="bottom"/>
            <w:gridSpan w:val="3"/>
          </w:tcPr>
          <w:p>
            <w:pPr>
              <w:jc w:val="right"/>
              <w:ind w:right="560"/>
              <w:spacing w:after="0"/>
              <w:rPr>
                <w:sz w:val="20"/>
                <w:szCs w:val="20"/>
                <w:color w:val="auto"/>
              </w:rPr>
            </w:pPr>
            <w:r>
              <w:rPr>
                <w:rFonts w:ascii="Arial" w:cs="Arial" w:eastAsia="Arial" w:hAnsi="Arial"/>
                <w:sz w:val="13"/>
                <w:szCs w:val="13"/>
                <w:b w:val="1"/>
                <w:bCs w:val="1"/>
                <w:color w:val="auto"/>
              </w:rPr>
              <w:t>Total</w:t>
            </w:r>
          </w:p>
        </w:tc>
      </w:tr>
      <w:tr>
        <w:trPr>
          <w:trHeight w:val="144"/>
        </w:trPr>
        <w:tc>
          <w:tcPr>
            <w:tcW w:w="220" w:type="dxa"/>
            <w:vAlign w:val="bottom"/>
          </w:tcPr>
          <w:p>
            <w:pPr>
              <w:spacing w:after="0"/>
              <w:rPr>
                <w:sz w:val="12"/>
                <w:szCs w:val="12"/>
                <w:color w:val="auto"/>
              </w:rPr>
            </w:pPr>
          </w:p>
        </w:tc>
        <w:tc>
          <w:tcPr>
            <w:tcW w:w="536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Allowance for expected credit losses as of December 31, 2017</w:t>
            </w:r>
          </w:p>
        </w:tc>
        <w:tc>
          <w:tcPr>
            <w:tcW w:w="880" w:type="dxa"/>
            <w:vAlign w:val="bottom"/>
            <w:tcBorders>
              <w:top w:val="single" w:sz="8" w:color="auto"/>
              <w:bottom w:val="single" w:sz="8" w:color="auto"/>
            </w:tcBorders>
            <w:shd w:val="clear" w:color="auto" w:fill="CCEEFF"/>
          </w:tcPr>
          <w:p>
            <w:pPr>
              <w:spacing w:after="0"/>
              <w:rPr>
                <w:sz w:val="12"/>
                <w:szCs w:val="12"/>
                <w:color w:val="auto"/>
              </w:rPr>
            </w:pPr>
          </w:p>
        </w:tc>
        <w:tc>
          <w:tcPr>
            <w:tcW w:w="3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w w:val="98"/>
              </w:rPr>
              <w:t>1,358</w:t>
            </w:r>
          </w:p>
        </w:tc>
        <w:tc>
          <w:tcPr>
            <w:tcW w:w="22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bottom w:val="single" w:sz="8" w:color="auto"/>
            </w:tcBorders>
            <w:shd w:val="clear" w:color="auto" w:fill="CCEEFF"/>
          </w:tcPr>
          <w:p>
            <w:pPr>
              <w:spacing w:after="0"/>
              <w:rPr>
                <w:sz w:val="12"/>
                <w:szCs w:val="12"/>
                <w:color w:val="auto"/>
              </w:rPr>
            </w:pPr>
          </w:p>
        </w:tc>
        <w:tc>
          <w:tcPr>
            <w:tcW w:w="3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w w:val="85"/>
              </w:rPr>
              <w:t>5,487</w:t>
            </w:r>
          </w:p>
        </w:tc>
        <w:tc>
          <w:tcPr>
            <w:tcW w:w="220" w:type="dxa"/>
            <w:vAlign w:val="bottom"/>
            <w:tcBorders>
              <w:top w:val="single" w:sz="8" w:color="CCEEFF"/>
            </w:tcBorders>
            <w:shd w:val="clear" w:color="auto" w:fill="CCEEFF"/>
          </w:tcPr>
          <w:p>
            <w:pPr>
              <w:spacing w:after="0"/>
              <w:rPr>
                <w:sz w:val="12"/>
                <w:szCs w:val="12"/>
                <w:color w:val="auto"/>
              </w:rPr>
            </w:pPr>
          </w:p>
        </w:tc>
        <w:tc>
          <w:tcPr>
            <w:tcW w:w="1020" w:type="dxa"/>
            <w:vAlign w:val="bottom"/>
            <w:tcBorders>
              <w:top w:val="single" w:sz="8" w:color="auto"/>
              <w:bottom w:val="single" w:sz="8" w:color="auto"/>
            </w:tcBorders>
            <w:shd w:val="clear" w:color="auto" w:fill="CCEEFF"/>
          </w:tcPr>
          <w:p>
            <w:pPr>
              <w:spacing w:after="0"/>
              <w:rPr>
                <w:sz w:val="12"/>
                <w:szCs w:val="12"/>
                <w:color w:val="auto"/>
              </w:rPr>
            </w:pPr>
          </w:p>
        </w:tc>
        <w:tc>
          <w:tcPr>
            <w:tcW w:w="1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w:t>
            </w: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6,845</w:t>
            </w: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r>
      <w:tr>
        <w:trPr>
          <w:trHeight w:val="144"/>
        </w:trPr>
        <w:tc>
          <w:tcPr>
            <w:tcW w:w="5580" w:type="dxa"/>
            <w:vAlign w:val="bottom"/>
            <w:gridSpan w:val="2"/>
          </w:tcPr>
          <w:p>
            <w:pPr>
              <w:ind w:left="220"/>
              <w:spacing w:after="0" w:line="143" w:lineRule="exact"/>
              <w:rPr>
                <w:sz w:val="20"/>
                <w:szCs w:val="20"/>
                <w:color w:val="auto"/>
              </w:rPr>
            </w:pPr>
            <w:r>
              <w:rPr>
                <w:rFonts w:ascii="Arial" w:cs="Arial" w:eastAsia="Arial" w:hAnsi="Arial"/>
                <w:sz w:val="13"/>
                <w:szCs w:val="13"/>
                <w:color w:val="auto"/>
              </w:rPr>
              <w:t>Transfer to lifetime expected credit losses</w:t>
            </w:r>
          </w:p>
        </w:tc>
        <w:tc>
          <w:tcPr>
            <w:tcW w:w="880" w:type="dxa"/>
            <w:vAlign w:val="bottom"/>
          </w:tcPr>
          <w:p>
            <w:pPr>
              <w:spacing w:after="0"/>
              <w:rPr>
                <w:sz w:val="12"/>
                <w:szCs w:val="12"/>
                <w:color w:val="auto"/>
              </w:rPr>
            </w:pPr>
          </w:p>
        </w:tc>
        <w:tc>
          <w:tcPr>
            <w:tcW w:w="340" w:type="dxa"/>
            <w:vAlign w:val="bottom"/>
          </w:tcPr>
          <w:p>
            <w:pPr>
              <w:jc w:val="right"/>
              <w:spacing w:after="0" w:line="144" w:lineRule="exact"/>
              <w:rPr>
                <w:sz w:val="20"/>
                <w:szCs w:val="20"/>
                <w:color w:val="auto"/>
              </w:rPr>
            </w:pPr>
            <w:r>
              <w:rPr>
                <w:rFonts w:ascii="Arial" w:cs="Arial" w:eastAsia="Arial" w:hAnsi="Arial"/>
                <w:sz w:val="13"/>
                <w:szCs w:val="13"/>
                <w:color w:val="auto"/>
              </w:rPr>
              <w:t>(31)</w:t>
            </w:r>
          </w:p>
        </w:tc>
        <w:tc>
          <w:tcPr>
            <w:tcW w:w="2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300" w:type="dxa"/>
            <w:vAlign w:val="bottom"/>
          </w:tcPr>
          <w:p>
            <w:pPr>
              <w:jc w:val="right"/>
              <w:spacing w:after="0" w:line="144" w:lineRule="exact"/>
              <w:rPr>
                <w:sz w:val="20"/>
                <w:szCs w:val="20"/>
                <w:color w:val="auto"/>
              </w:rPr>
            </w:pPr>
            <w:r>
              <w:rPr>
                <w:rFonts w:ascii="Arial" w:cs="Arial" w:eastAsia="Arial" w:hAnsi="Arial"/>
                <w:sz w:val="13"/>
                <w:szCs w:val="13"/>
                <w:color w:val="auto"/>
              </w:rPr>
              <w:t>31</w:t>
            </w:r>
          </w:p>
        </w:tc>
        <w:tc>
          <w:tcPr>
            <w:tcW w:w="22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180" w:type="dxa"/>
            <w:vAlign w:val="bottom"/>
          </w:tcPr>
          <w:p>
            <w:pPr>
              <w:jc w:val="right"/>
              <w:spacing w:after="0" w:line="144" w:lineRule="exact"/>
              <w:rPr>
                <w:sz w:val="20"/>
                <w:szCs w:val="20"/>
                <w:color w:val="auto"/>
              </w:rPr>
            </w:pPr>
            <w:r>
              <w:rPr>
                <w:rFonts w:ascii="Arial" w:cs="Arial" w:eastAsia="Arial" w:hAnsi="Arial"/>
                <w:sz w:val="13"/>
                <w:szCs w:val="13"/>
                <w:color w:val="auto"/>
              </w:rPr>
              <w:t>-</w:t>
            </w:r>
          </w:p>
        </w:tc>
        <w:tc>
          <w:tcPr>
            <w:tcW w:w="200" w:type="dxa"/>
            <w:vAlign w:val="bottom"/>
          </w:tcPr>
          <w:p>
            <w:pPr>
              <w:spacing w:after="0"/>
              <w:rPr>
                <w:sz w:val="12"/>
                <w:szCs w:val="12"/>
                <w:color w:val="auto"/>
              </w:rPr>
            </w:pPr>
          </w:p>
        </w:tc>
        <w:tc>
          <w:tcPr>
            <w:tcW w:w="1200" w:type="dxa"/>
            <w:vAlign w:val="bottom"/>
          </w:tcPr>
          <w:p>
            <w:pPr>
              <w:jc w:val="right"/>
              <w:spacing w:after="0" w:line="144" w:lineRule="exact"/>
              <w:rPr>
                <w:sz w:val="20"/>
                <w:szCs w:val="20"/>
                <w:color w:val="auto"/>
              </w:rPr>
            </w:pPr>
            <w:r>
              <w:rPr>
                <w:rFonts w:ascii="Arial" w:cs="Arial" w:eastAsia="Arial" w:hAnsi="Arial"/>
                <w:sz w:val="13"/>
                <w:szCs w:val="13"/>
                <w:color w:val="auto"/>
              </w:rPr>
              <w:t>-</w:t>
            </w: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r>
      <w:tr>
        <w:trPr>
          <w:trHeight w:val="154"/>
        </w:trPr>
        <w:tc>
          <w:tcPr>
            <w:tcW w:w="220" w:type="dxa"/>
            <w:vAlign w:val="bottom"/>
          </w:tcPr>
          <w:p>
            <w:pPr>
              <w:spacing w:after="0"/>
              <w:rPr>
                <w:sz w:val="13"/>
                <w:szCs w:val="13"/>
                <w:color w:val="auto"/>
              </w:rPr>
            </w:pPr>
          </w:p>
        </w:tc>
        <w:tc>
          <w:tcPr>
            <w:tcW w:w="62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Transfer to credit-impaired financial instruments</w:t>
            </w:r>
          </w:p>
        </w:tc>
        <w:tc>
          <w:tcPr>
            <w:tcW w:w="3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880" w:type="dxa"/>
            <w:vAlign w:val="bottom"/>
            <w:shd w:val="clear" w:color="auto" w:fill="CCEEFF"/>
          </w:tcPr>
          <w:p>
            <w:pPr>
              <w:spacing w:after="0"/>
              <w:rPr>
                <w:sz w:val="13"/>
                <w:szCs w:val="13"/>
                <w:color w:val="auto"/>
              </w:rPr>
            </w:pPr>
          </w:p>
        </w:tc>
        <w:tc>
          <w:tcPr>
            <w:tcW w:w="3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020" w:type="dxa"/>
            <w:vAlign w:val="bottom"/>
            <w:shd w:val="clear" w:color="auto" w:fill="CCEEFF"/>
          </w:tcPr>
          <w:p>
            <w:pPr>
              <w:spacing w:after="0"/>
              <w:rPr>
                <w:sz w:val="13"/>
                <w:szCs w:val="13"/>
                <w:color w:val="auto"/>
              </w:rPr>
            </w:pPr>
          </w:p>
        </w:tc>
        <w:tc>
          <w:tcPr>
            <w:tcW w:w="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w:t>
            </w:r>
          </w:p>
        </w:tc>
        <w:tc>
          <w:tcPr>
            <w:tcW w:w="80" w:type="dxa"/>
            <w:vAlign w:val="bottom"/>
            <w:shd w:val="clear" w:color="auto" w:fill="CCEEFF"/>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6240" w:type="dxa"/>
            <w:vAlign w:val="bottom"/>
            <w:gridSpan w:val="2"/>
          </w:tcPr>
          <w:p>
            <w:pPr>
              <w:spacing w:after="0"/>
              <w:rPr>
                <w:sz w:val="20"/>
                <w:szCs w:val="20"/>
                <w:color w:val="auto"/>
              </w:rPr>
            </w:pPr>
            <w:r>
              <w:rPr>
                <w:rFonts w:ascii="Arial" w:cs="Arial" w:eastAsia="Arial" w:hAnsi="Arial"/>
                <w:sz w:val="13"/>
                <w:szCs w:val="13"/>
                <w:color w:val="auto"/>
              </w:rPr>
              <w:t>Transfer to 12-month expected credit losses</w:t>
            </w:r>
          </w:p>
        </w:tc>
        <w:tc>
          <w:tcPr>
            <w:tcW w:w="34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30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18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220" w:type="dxa"/>
            <w:vAlign w:val="bottom"/>
            <w:gridSpan w:val="2"/>
          </w:tcPr>
          <w:p>
            <w:pPr>
              <w:jc w:val="right"/>
              <w:ind w:right="20"/>
              <w:spacing w:after="0"/>
              <w:rPr>
                <w:sz w:val="20"/>
                <w:szCs w:val="20"/>
                <w:color w:val="auto"/>
              </w:rPr>
            </w:pPr>
            <w:r>
              <w:rPr>
                <w:rFonts w:ascii="Arial" w:cs="Arial" w:eastAsia="Arial" w:hAnsi="Arial"/>
                <w:sz w:val="13"/>
                <w:szCs w:val="13"/>
                <w:color w:val="auto"/>
              </w:rPr>
              <w:t>-</w:t>
            </w:r>
          </w:p>
        </w:tc>
        <w:tc>
          <w:tcPr>
            <w:tcW w:w="8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62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Net effect of changes in reserve for expected credit loss</w:t>
            </w:r>
          </w:p>
        </w:tc>
        <w:tc>
          <w:tcPr>
            <w:tcW w:w="3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13</w:t>
            </w:r>
          </w:p>
        </w:tc>
        <w:tc>
          <w:tcPr>
            <w:tcW w:w="220" w:type="dxa"/>
            <w:vAlign w:val="bottom"/>
            <w:shd w:val="clear" w:color="auto" w:fill="CCEEFF"/>
          </w:tcPr>
          <w:p>
            <w:pPr>
              <w:spacing w:after="0"/>
              <w:rPr>
                <w:sz w:val="13"/>
                <w:szCs w:val="13"/>
                <w:color w:val="auto"/>
              </w:rPr>
            </w:pPr>
          </w:p>
        </w:tc>
        <w:tc>
          <w:tcPr>
            <w:tcW w:w="880" w:type="dxa"/>
            <w:vAlign w:val="bottom"/>
            <w:shd w:val="clear" w:color="auto" w:fill="CCEEFF"/>
          </w:tcPr>
          <w:p>
            <w:pPr>
              <w:spacing w:after="0"/>
              <w:rPr>
                <w:sz w:val="13"/>
                <w:szCs w:val="13"/>
                <w:color w:val="auto"/>
              </w:rPr>
            </w:pP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169</w:t>
            </w:r>
          </w:p>
        </w:tc>
        <w:tc>
          <w:tcPr>
            <w:tcW w:w="1020" w:type="dxa"/>
            <w:vAlign w:val="bottom"/>
            <w:shd w:val="clear" w:color="auto" w:fill="CCEEFF"/>
          </w:tcPr>
          <w:p>
            <w:pPr>
              <w:spacing w:after="0"/>
              <w:rPr>
                <w:sz w:val="13"/>
                <w:szCs w:val="13"/>
                <w:color w:val="auto"/>
              </w:rPr>
            </w:pPr>
          </w:p>
        </w:tc>
        <w:tc>
          <w:tcPr>
            <w:tcW w:w="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182</w:t>
            </w:r>
          </w:p>
        </w:tc>
        <w:tc>
          <w:tcPr>
            <w:tcW w:w="80" w:type="dxa"/>
            <w:vAlign w:val="bottom"/>
            <w:shd w:val="clear" w:color="auto" w:fill="CCEEFF"/>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6240" w:type="dxa"/>
            <w:vAlign w:val="bottom"/>
            <w:gridSpan w:val="2"/>
          </w:tcPr>
          <w:p>
            <w:pPr>
              <w:spacing w:after="0"/>
              <w:rPr>
                <w:sz w:val="20"/>
                <w:szCs w:val="20"/>
                <w:color w:val="auto"/>
              </w:rPr>
            </w:pPr>
            <w:r>
              <w:rPr>
                <w:rFonts w:ascii="Arial" w:cs="Arial" w:eastAsia="Arial" w:hAnsi="Arial"/>
                <w:sz w:val="13"/>
                <w:szCs w:val="13"/>
                <w:color w:val="auto"/>
              </w:rPr>
              <w:t>Financial instruments that have been derecognized during the year</w:t>
            </w:r>
          </w:p>
        </w:tc>
        <w:tc>
          <w:tcPr>
            <w:tcW w:w="560" w:type="dxa"/>
            <w:vAlign w:val="bottom"/>
            <w:gridSpan w:val="2"/>
          </w:tcPr>
          <w:p>
            <w:pPr>
              <w:jc w:val="right"/>
              <w:ind w:right="180"/>
              <w:spacing w:after="0"/>
              <w:rPr>
                <w:sz w:val="20"/>
                <w:szCs w:val="20"/>
                <w:color w:val="auto"/>
              </w:rPr>
            </w:pPr>
            <w:r>
              <w:rPr>
                <w:rFonts w:ascii="Arial" w:cs="Arial" w:eastAsia="Arial" w:hAnsi="Arial"/>
                <w:sz w:val="13"/>
                <w:szCs w:val="13"/>
                <w:color w:val="auto"/>
                <w:w w:val="87"/>
              </w:rPr>
              <w:t>(1,179)</w:t>
            </w:r>
          </w:p>
        </w:tc>
        <w:tc>
          <w:tcPr>
            <w:tcW w:w="1400" w:type="dxa"/>
            <w:vAlign w:val="bottom"/>
            <w:gridSpan w:val="3"/>
          </w:tcPr>
          <w:p>
            <w:pPr>
              <w:jc w:val="right"/>
              <w:ind w:right="160"/>
              <w:spacing w:after="0"/>
              <w:rPr>
                <w:sz w:val="20"/>
                <w:szCs w:val="20"/>
                <w:color w:val="auto"/>
              </w:rPr>
            </w:pPr>
            <w:r>
              <w:rPr>
                <w:rFonts w:ascii="Arial" w:cs="Arial" w:eastAsia="Arial" w:hAnsi="Arial"/>
                <w:sz w:val="13"/>
                <w:szCs w:val="13"/>
                <w:color w:val="auto"/>
              </w:rPr>
              <w:t>(5,487)</w:t>
            </w:r>
          </w:p>
        </w:tc>
        <w:tc>
          <w:tcPr>
            <w:tcW w:w="1020" w:type="dxa"/>
            <w:vAlign w:val="bottom"/>
          </w:tcPr>
          <w:p>
            <w:pPr>
              <w:spacing w:after="0"/>
              <w:rPr>
                <w:sz w:val="13"/>
                <w:szCs w:val="13"/>
                <w:color w:val="auto"/>
              </w:rPr>
            </w:pPr>
          </w:p>
        </w:tc>
        <w:tc>
          <w:tcPr>
            <w:tcW w:w="18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300" w:type="dxa"/>
            <w:vAlign w:val="bottom"/>
            <w:gridSpan w:val="3"/>
          </w:tcPr>
          <w:p>
            <w:pPr>
              <w:jc w:val="right"/>
              <w:ind w:right="60"/>
              <w:spacing w:after="0"/>
              <w:rPr>
                <w:sz w:val="20"/>
                <w:szCs w:val="20"/>
                <w:color w:val="auto"/>
              </w:rPr>
            </w:pPr>
            <w:r>
              <w:rPr>
                <w:rFonts w:ascii="Arial" w:cs="Arial" w:eastAsia="Arial" w:hAnsi="Arial"/>
                <w:sz w:val="13"/>
                <w:szCs w:val="13"/>
                <w:color w:val="auto"/>
              </w:rPr>
              <w:t>(6,666)</w:t>
            </w:r>
          </w:p>
        </w:tc>
      </w:tr>
      <w:tr>
        <w:trPr>
          <w:trHeight w:val="164"/>
        </w:trPr>
        <w:tc>
          <w:tcPr>
            <w:tcW w:w="220" w:type="dxa"/>
            <w:vAlign w:val="bottom"/>
          </w:tcPr>
          <w:p>
            <w:pPr>
              <w:spacing w:after="0"/>
              <w:rPr>
                <w:sz w:val="14"/>
                <w:szCs w:val="14"/>
                <w:color w:val="auto"/>
              </w:rPr>
            </w:pPr>
          </w:p>
        </w:tc>
        <w:tc>
          <w:tcPr>
            <w:tcW w:w="62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New instruments originated or purchased</w:t>
            </w:r>
          </w:p>
        </w:tc>
        <w:tc>
          <w:tcPr>
            <w:tcW w:w="340" w:type="dxa"/>
            <w:vAlign w:val="bottom"/>
            <w:shd w:val="clear" w:color="auto" w:fill="CCEEFF"/>
          </w:tcPr>
          <w:p>
            <w:pPr>
              <w:jc w:val="right"/>
              <w:spacing w:after="0"/>
              <w:rPr>
                <w:sz w:val="20"/>
                <w:szCs w:val="20"/>
                <w:color w:val="auto"/>
              </w:rPr>
            </w:pPr>
            <w:r>
              <w:rPr>
                <w:rFonts w:ascii="Arial" w:cs="Arial" w:eastAsia="Arial" w:hAnsi="Arial"/>
                <w:sz w:val="13"/>
                <w:szCs w:val="13"/>
                <w:color w:val="auto"/>
                <w:w w:val="98"/>
              </w:rPr>
              <w:t>2,928</w:t>
            </w:r>
          </w:p>
        </w:tc>
        <w:tc>
          <w:tcPr>
            <w:tcW w:w="220" w:type="dxa"/>
            <w:vAlign w:val="bottom"/>
            <w:shd w:val="clear" w:color="auto" w:fill="CCEEFF"/>
          </w:tcPr>
          <w:p>
            <w:pPr>
              <w:spacing w:after="0"/>
              <w:rPr>
                <w:sz w:val="14"/>
                <w:szCs w:val="14"/>
                <w:color w:val="auto"/>
              </w:rPr>
            </w:pPr>
          </w:p>
        </w:tc>
        <w:tc>
          <w:tcPr>
            <w:tcW w:w="880" w:type="dxa"/>
            <w:vAlign w:val="bottom"/>
            <w:shd w:val="clear" w:color="auto" w:fill="CCEEFF"/>
          </w:tcPr>
          <w:p>
            <w:pPr>
              <w:spacing w:after="0"/>
              <w:rPr>
                <w:sz w:val="14"/>
                <w:szCs w:val="14"/>
                <w:color w:val="auto"/>
              </w:rPr>
            </w:pPr>
          </w:p>
        </w:tc>
        <w:tc>
          <w:tcPr>
            <w:tcW w:w="3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1020" w:type="dxa"/>
            <w:vAlign w:val="bottom"/>
            <w:shd w:val="clear" w:color="auto" w:fill="CCEEFF"/>
          </w:tcPr>
          <w:p>
            <w:pPr>
              <w:spacing w:after="0"/>
              <w:rPr>
                <w:sz w:val="14"/>
                <w:szCs w:val="14"/>
                <w:color w:val="auto"/>
              </w:rPr>
            </w:pPr>
          </w:p>
        </w:tc>
        <w:tc>
          <w:tcPr>
            <w:tcW w:w="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4"/>
                <w:szCs w:val="14"/>
                <w:color w:val="auto"/>
              </w:rPr>
            </w:pP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2,928</w:t>
            </w:r>
          </w:p>
        </w:tc>
        <w:tc>
          <w:tcPr>
            <w:tcW w:w="80" w:type="dxa"/>
            <w:vAlign w:val="bottom"/>
            <w:shd w:val="clear" w:color="auto" w:fill="CCEEFF"/>
          </w:tcPr>
          <w:p>
            <w:pPr>
              <w:spacing w:after="0"/>
              <w:rPr>
                <w:sz w:val="14"/>
                <w:szCs w:val="14"/>
                <w:color w:val="auto"/>
              </w:rPr>
            </w:pPr>
          </w:p>
        </w:tc>
      </w:tr>
      <w:tr>
        <w:trPr>
          <w:trHeight w:val="162"/>
        </w:trPr>
        <w:tc>
          <w:tcPr>
            <w:tcW w:w="220" w:type="dxa"/>
            <w:vAlign w:val="bottom"/>
          </w:tcPr>
          <w:p>
            <w:pPr>
              <w:spacing w:after="0"/>
              <w:rPr>
                <w:sz w:val="14"/>
                <w:szCs w:val="14"/>
                <w:color w:val="auto"/>
              </w:rPr>
            </w:pPr>
          </w:p>
        </w:tc>
        <w:tc>
          <w:tcPr>
            <w:tcW w:w="5360" w:type="dxa"/>
            <w:vAlign w:val="bottom"/>
          </w:tcPr>
          <w:p>
            <w:pPr>
              <w:spacing w:after="0" w:line="146" w:lineRule="exact"/>
              <w:rPr>
                <w:sz w:val="20"/>
                <w:szCs w:val="20"/>
                <w:color w:val="auto"/>
              </w:rPr>
            </w:pPr>
            <w:r>
              <w:rPr>
                <w:rFonts w:ascii="Arial" w:cs="Arial" w:eastAsia="Arial" w:hAnsi="Arial"/>
                <w:sz w:val="13"/>
                <w:szCs w:val="13"/>
                <w:b w:val="1"/>
                <w:bCs w:val="1"/>
                <w:color w:val="auto"/>
              </w:rPr>
              <w:t>Allowance for expected credit losses as of December 31, 2018</w:t>
            </w:r>
          </w:p>
        </w:tc>
        <w:tc>
          <w:tcPr>
            <w:tcW w:w="880" w:type="dxa"/>
            <w:vAlign w:val="bottom"/>
            <w:tcBorders>
              <w:top w:val="single" w:sz="8" w:color="auto"/>
              <w:bottom w:val="single" w:sz="8" w:color="auto"/>
            </w:tcBorders>
          </w:tcPr>
          <w:p>
            <w:pPr>
              <w:spacing w:after="0"/>
              <w:rPr>
                <w:sz w:val="14"/>
                <w:szCs w:val="14"/>
                <w:color w:val="auto"/>
              </w:rPr>
            </w:pPr>
          </w:p>
        </w:tc>
        <w:tc>
          <w:tcPr>
            <w:tcW w:w="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w w:val="98"/>
              </w:rPr>
              <w:t>3,089</w:t>
            </w:r>
          </w:p>
        </w:tc>
        <w:tc>
          <w:tcPr>
            <w:tcW w:w="220" w:type="dxa"/>
            <w:vAlign w:val="bottom"/>
          </w:tcPr>
          <w:p>
            <w:pPr>
              <w:spacing w:after="0"/>
              <w:rPr>
                <w:sz w:val="14"/>
                <w:szCs w:val="14"/>
                <w:color w:val="auto"/>
              </w:rPr>
            </w:pPr>
          </w:p>
        </w:tc>
        <w:tc>
          <w:tcPr>
            <w:tcW w:w="880" w:type="dxa"/>
            <w:vAlign w:val="bottom"/>
            <w:tcBorders>
              <w:top w:val="single" w:sz="8" w:color="auto"/>
              <w:bottom w:val="single" w:sz="8" w:color="auto"/>
            </w:tcBorders>
          </w:tcPr>
          <w:p>
            <w:pPr>
              <w:spacing w:after="0"/>
              <w:rPr>
                <w:sz w:val="14"/>
                <w:szCs w:val="14"/>
                <w:color w:val="auto"/>
              </w:rPr>
            </w:pPr>
          </w:p>
        </w:tc>
        <w:tc>
          <w:tcPr>
            <w:tcW w:w="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200</w:t>
            </w:r>
          </w:p>
        </w:tc>
        <w:tc>
          <w:tcPr>
            <w:tcW w:w="220" w:type="dxa"/>
            <w:vAlign w:val="bottom"/>
          </w:tcPr>
          <w:p>
            <w:pPr>
              <w:spacing w:after="0"/>
              <w:rPr>
                <w:sz w:val="14"/>
                <w:szCs w:val="14"/>
                <w:color w:val="auto"/>
              </w:rPr>
            </w:pPr>
          </w:p>
        </w:tc>
        <w:tc>
          <w:tcPr>
            <w:tcW w:w="1020" w:type="dxa"/>
            <w:vAlign w:val="bottom"/>
            <w:tcBorders>
              <w:top w:val="single" w:sz="8" w:color="auto"/>
              <w:bottom w:val="single" w:sz="8" w:color="auto"/>
            </w:tcBorders>
          </w:tcPr>
          <w:p>
            <w:pPr>
              <w:spacing w:after="0"/>
              <w:rPr>
                <w:sz w:val="14"/>
                <w:szCs w:val="14"/>
                <w:color w:val="auto"/>
              </w:rPr>
            </w:pPr>
          </w:p>
        </w:tc>
        <w:tc>
          <w:tcPr>
            <w:tcW w:w="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w:t>
            </w:r>
          </w:p>
        </w:tc>
        <w:tc>
          <w:tcPr>
            <w:tcW w:w="200" w:type="dxa"/>
            <w:vAlign w:val="bottom"/>
          </w:tcPr>
          <w:p>
            <w:pPr>
              <w:spacing w:after="0"/>
              <w:rPr>
                <w:sz w:val="14"/>
                <w:szCs w:val="14"/>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3,289</w:t>
            </w: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r>
      <w:tr>
        <w:trPr>
          <w:trHeight w:val="337"/>
        </w:trPr>
        <w:tc>
          <w:tcPr>
            <w:tcW w:w="220" w:type="dxa"/>
            <w:vAlign w:val="bottom"/>
          </w:tcPr>
          <w:p>
            <w:pPr>
              <w:spacing w:after="0"/>
              <w:rPr>
                <w:sz w:val="24"/>
                <w:szCs w:val="24"/>
                <w:color w:val="auto"/>
              </w:rPr>
            </w:pPr>
          </w:p>
        </w:tc>
        <w:tc>
          <w:tcPr>
            <w:tcW w:w="5360" w:type="dxa"/>
            <w:vAlign w:val="bottom"/>
          </w:tcPr>
          <w:p>
            <w:pPr>
              <w:spacing w:after="0"/>
              <w:rPr>
                <w:sz w:val="24"/>
                <w:szCs w:val="24"/>
                <w:color w:val="auto"/>
              </w:rPr>
            </w:pPr>
          </w:p>
        </w:tc>
        <w:tc>
          <w:tcPr>
            <w:tcW w:w="880" w:type="dxa"/>
            <w:vAlign w:val="bottom"/>
          </w:tcPr>
          <w:p>
            <w:pPr>
              <w:ind w:left="340"/>
              <w:spacing w:after="0"/>
              <w:rPr>
                <w:sz w:val="20"/>
                <w:szCs w:val="20"/>
                <w:color w:val="auto"/>
              </w:rPr>
            </w:pPr>
            <w:r>
              <w:rPr>
                <w:rFonts w:ascii="Arial" w:cs="Arial" w:eastAsia="Arial" w:hAnsi="Arial"/>
                <w:sz w:val="13"/>
                <w:szCs w:val="13"/>
                <w:b w:val="1"/>
                <w:bCs w:val="1"/>
                <w:color w:val="auto"/>
                <w:w w:val="77"/>
              </w:rPr>
              <w:t xml:space="preserve">Stage 1 </w:t>
            </w:r>
            <w:r>
              <w:rPr>
                <w:rFonts w:ascii="Arial" w:cs="Arial" w:eastAsia="Arial" w:hAnsi="Arial"/>
                <w:sz w:val="21"/>
                <w:szCs w:val="21"/>
                <w:b w:val="1"/>
                <w:bCs w:val="1"/>
                <w:color w:val="auto"/>
                <w:w w:val="77"/>
                <w:vertAlign w:val="superscript"/>
              </w:rPr>
              <w:t>(1)</w:t>
            </w:r>
          </w:p>
        </w:tc>
        <w:tc>
          <w:tcPr>
            <w:tcW w:w="3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80" w:type="dxa"/>
            <w:vAlign w:val="bottom"/>
          </w:tcPr>
          <w:p>
            <w:pPr>
              <w:ind w:left="320"/>
              <w:spacing w:after="0"/>
              <w:rPr>
                <w:sz w:val="20"/>
                <w:szCs w:val="20"/>
                <w:color w:val="auto"/>
              </w:rPr>
            </w:pPr>
            <w:r>
              <w:rPr>
                <w:rFonts w:ascii="Arial" w:cs="Arial" w:eastAsia="Arial" w:hAnsi="Arial"/>
                <w:sz w:val="13"/>
                <w:szCs w:val="13"/>
                <w:b w:val="1"/>
                <w:bCs w:val="1"/>
                <w:color w:val="auto"/>
                <w:w w:val="80"/>
              </w:rPr>
              <w:t xml:space="preserve">Stage 2 </w:t>
            </w:r>
            <w:r>
              <w:rPr>
                <w:rFonts w:ascii="Arial" w:cs="Arial" w:eastAsia="Arial" w:hAnsi="Arial"/>
                <w:sz w:val="21"/>
                <w:szCs w:val="21"/>
                <w:b w:val="1"/>
                <w:bCs w:val="1"/>
                <w:color w:val="auto"/>
                <w:w w:val="80"/>
                <w:vertAlign w:val="superscript"/>
              </w:rPr>
              <w:t>(2)</w:t>
            </w:r>
          </w:p>
        </w:tc>
        <w:tc>
          <w:tcPr>
            <w:tcW w:w="3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20" w:type="dxa"/>
            <w:vAlign w:val="bottom"/>
          </w:tcPr>
          <w:p>
            <w:pPr>
              <w:ind w:left="320"/>
              <w:spacing w:after="0"/>
              <w:rPr>
                <w:sz w:val="20"/>
                <w:szCs w:val="20"/>
                <w:color w:val="auto"/>
              </w:rPr>
            </w:pPr>
            <w:r>
              <w:rPr>
                <w:rFonts w:ascii="Arial" w:cs="Arial" w:eastAsia="Arial" w:hAnsi="Arial"/>
                <w:sz w:val="13"/>
                <w:szCs w:val="13"/>
                <w:b w:val="1"/>
                <w:bCs w:val="1"/>
                <w:color w:val="auto"/>
              </w:rPr>
              <w:t xml:space="preserve">Stage 3 </w:t>
            </w:r>
            <w:r>
              <w:rPr>
                <w:rFonts w:ascii="Arial" w:cs="Arial" w:eastAsia="Arial" w:hAnsi="Arial"/>
                <w:sz w:val="21"/>
                <w:szCs w:val="21"/>
                <w:b w:val="1"/>
                <w:bCs w:val="1"/>
                <w:color w:val="auto"/>
                <w:vertAlign w:val="superscript"/>
              </w:rPr>
              <w:t>(3)</w:t>
            </w:r>
          </w:p>
        </w:tc>
        <w:tc>
          <w:tcPr>
            <w:tcW w:w="1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300" w:type="dxa"/>
            <w:vAlign w:val="bottom"/>
            <w:gridSpan w:val="3"/>
          </w:tcPr>
          <w:p>
            <w:pPr>
              <w:jc w:val="right"/>
              <w:ind w:right="560"/>
              <w:spacing w:after="0"/>
              <w:rPr>
                <w:sz w:val="20"/>
                <w:szCs w:val="20"/>
                <w:color w:val="auto"/>
              </w:rPr>
            </w:pPr>
            <w:r>
              <w:rPr>
                <w:rFonts w:ascii="Arial" w:cs="Arial" w:eastAsia="Arial" w:hAnsi="Arial"/>
                <w:sz w:val="13"/>
                <w:szCs w:val="13"/>
                <w:b w:val="1"/>
                <w:bCs w:val="1"/>
                <w:color w:val="auto"/>
              </w:rPr>
              <w:t>Total</w:t>
            </w:r>
          </w:p>
        </w:tc>
      </w:tr>
      <w:tr>
        <w:trPr>
          <w:trHeight w:val="144"/>
        </w:trPr>
        <w:tc>
          <w:tcPr>
            <w:tcW w:w="220" w:type="dxa"/>
            <w:vAlign w:val="bottom"/>
          </w:tcPr>
          <w:p>
            <w:pPr>
              <w:spacing w:after="0"/>
              <w:rPr>
                <w:sz w:val="12"/>
                <w:szCs w:val="12"/>
                <w:color w:val="auto"/>
              </w:rPr>
            </w:pPr>
          </w:p>
        </w:tc>
        <w:tc>
          <w:tcPr>
            <w:tcW w:w="536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Allowance for expected credit losses as of December 31, 2016</w:t>
            </w:r>
          </w:p>
        </w:tc>
        <w:tc>
          <w:tcPr>
            <w:tcW w:w="880" w:type="dxa"/>
            <w:vAlign w:val="bottom"/>
            <w:tcBorders>
              <w:top w:val="single" w:sz="8" w:color="auto"/>
              <w:bottom w:val="single" w:sz="8" w:color="auto"/>
            </w:tcBorders>
            <w:shd w:val="clear" w:color="auto" w:fill="CCEEFF"/>
          </w:tcPr>
          <w:p>
            <w:pPr>
              <w:spacing w:after="0"/>
              <w:rPr>
                <w:sz w:val="12"/>
                <w:szCs w:val="12"/>
                <w:color w:val="auto"/>
              </w:rPr>
            </w:pPr>
          </w:p>
        </w:tc>
        <w:tc>
          <w:tcPr>
            <w:tcW w:w="3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w w:val="98"/>
              </w:rPr>
              <w:t>1,143</w:t>
            </w:r>
          </w:p>
        </w:tc>
        <w:tc>
          <w:tcPr>
            <w:tcW w:w="22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bottom w:val="single" w:sz="8" w:color="auto"/>
            </w:tcBorders>
            <w:shd w:val="clear" w:color="auto" w:fill="CCEEFF"/>
          </w:tcPr>
          <w:p>
            <w:pPr>
              <w:spacing w:after="0"/>
              <w:rPr>
                <w:sz w:val="12"/>
                <w:szCs w:val="12"/>
                <w:color w:val="auto"/>
              </w:rPr>
            </w:pPr>
          </w:p>
        </w:tc>
        <w:tc>
          <w:tcPr>
            <w:tcW w:w="3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w w:val="85"/>
              </w:rPr>
              <w:t>4,633</w:t>
            </w:r>
          </w:p>
        </w:tc>
        <w:tc>
          <w:tcPr>
            <w:tcW w:w="220" w:type="dxa"/>
            <w:vAlign w:val="bottom"/>
            <w:tcBorders>
              <w:top w:val="single" w:sz="8" w:color="CCEEFF"/>
            </w:tcBorders>
            <w:shd w:val="clear" w:color="auto" w:fill="CCEEFF"/>
          </w:tcPr>
          <w:p>
            <w:pPr>
              <w:spacing w:after="0"/>
              <w:rPr>
                <w:sz w:val="12"/>
                <w:szCs w:val="12"/>
                <w:color w:val="auto"/>
              </w:rPr>
            </w:pPr>
          </w:p>
        </w:tc>
        <w:tc>
          <w:tcPr>
            <w:tcW w:w="1020" w:type="dxa"/>
            <w:vAlign w:val="bottom"/>
            <w:tcBorders>
              <w:top w:val="single" w:sz="8" w:color="auto"/>
              <w:bottom w:val="single" w:sz="8" w:color="auto"/>
            </w:tcBorders>
            <w:shd w:val="clear" w:color="auto" w:fill="CCEEFF"/>
          </w:tcPr>
          <w:p>
            <w:pPr>
              <w:spacing w:after="0"/>
              <w:rPr>
                <w:sz w:val="12"/>
                <w:szCs w:val="12"/>
                <w:color w:val="auto"/>
              </w:rPr>
            </w:pPr>
          </w:p>
        </w:tc>
        <w:tc>
          <w:tcPr>
            <w:tcW w:w="1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w:t>
            </w: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5,776</w:t>
            </w: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r>
      <w:tr>
        <w:trPr>
          <w:trHeight w:val="144"/>
        </w:trPr>
        <w:tc>
          <w:tcPr>
            <w:tcW w:w="5580" w:type="dxa"/>
            <w:vAlign w:val="bottom"/>
            <w:gridSpan w:val="2"/>
          </w:tcPr>
          <w:p>
            <w:pPr>
              <w:ind w:left="220"/>
              <w:spacing w:after="0" w:line="143" w:lineRule="exact"/>
              <w:rPr>
                <w:sz w:val="20"/>
                <w:szCs w:val="20"/>
                <w:color w:val="auto"/>
              </w:rPr>
            </w:pPr>
            <w:r>
              <w:rPr>
                <w:rFonts w:ascii="Arial" w:cs="Arial" w:eastAsia="Arial" w:hAnsi="Arial"/>
                <w:sz w:val="13"/>
                <w:szCs w:val="13"/>
                <w:color w:val="auto"/>
              </w:rPr>
              <w:t>Transfer to lifetime expected credit losses</w:t>
            </w:r>
          </w:p>
        </w:tc>
        <w:tc>
          <w:tcPr>
            <w:tcW w:w="880" w:type="dxa"/>
            <w:vAlign w:val="bottom"/>
          </w:tcPr>
          <w:p>
            <w:pPr>
              <w:spacing w:after="0"/>
              <w:rPr>
                <w:sz w:val="12"/>
                <w:szCs w:val="12"/>
                <w:color w:val="auto"/>
              </w:rPr>
            </w:pPr>
          </w:p>
        </w:tc>
        <w:tc>
          <w:tcPr>
            <w:tcW w:w="560" w:type="dxa"/>
            <w:vAlign w:val="bottom"/>
            <w:gridSpan w:val="2"/>
          </w:tcPr>
          <w:p>
            <w:pPr>
              <w:jc w:val="right"/>
              <w:ind w:right="180"/>
              <w:spacing w:after="0" w:line="144" w:lineRule="exact"/>
              <w:rPr>
                <w:sz w:val="20"/>
                <w:szCs w:val="20"/>
                <w:color w:val="auto"/>
              </w:rPr>
            </w:pPr>
            <w:r>
              <w:rPr>
                <w:rFonts w:ascii="Arial" w:cs="Arial" w:eastAsia="Arial" w:hAnsi="Arial"/>
                <w:sz w:val="13"/>
                <w:szCs w:val="13"/>
                <w:color w:val="auto"/>
              </w:rPr>
              <w:t>(1)</w:t>
            </w:r>
          </w:p>
        </w:tc>
        <w:tc>
          <w:tcPr>
            <w:tcW w:w="880" w:type="dxa"/>
            <w:vAlign w:val="bottom"/>
          </w:tcPr>
          <w:p>
            <w:pPr>
              <w:spacing w:after="0"/>
              <w:rPr>
                <w:sz w:val="12"/>
                <w:szCs w:val="12"/>
                <w:color w:val="auto"/>
              </w:rPr>
            </w:pPr>
          </w:p>
        </w:tc>
        <w:tc>
          <w:tcPr>
            <w:tcW w:w="300" w:type="dxa"/>
            <w:vAlign w:val="bottom"/>
          </w:tcPr>
          <w:p>
            <w:pPr>
              <w:jc w:val="right"/>
              <w:spacing w:after="0" w:line="144" w:lineRule="exact"/>
              <w:rPr>
                <w:sz w:val="20"/>
                <w:szCs w:val="20"/>
                <w:color w:val="auto"/>
              </w:rPr>
            </w:pPr>
            <w:r>
              <w:rPr>
                <w:rFonts w:ascii="Arial" w:cs="Arial" w:eastAsia="Arial" w:hAnsi="Arial"/>
                <w:sz w:val="13"/>
                <w:szCs w:val="13"/>
                <w:color w:val="auto"/>
              </w:rPr>
              <w:t>1</w:t>
            </w:r>
          </w:p>
        </w:tc>
        <w:tc>
          <w:tcPr>
            <w:tcW w:w="22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180" w:type="dxa"/>
            <w:vAlign w:val="bottom"/>
          </w:tcPr>
          <w:p>
            <w:pPr>
              <w:jc w:val="right"/>
              <w:spacing w:after="0" w:line="144" w:lineRule="exact"/>
              <w:rPr>
                <w:sz w:val="20"/>
                <w:szCs w:val="20"/>
                <w:color w:val="auto"/>
              </w:rPr>
            </w:pPr>
            <w:r>
              <w:rPr>
                <w:rFonts w:ascii="Arial" w:cs="Arial" w:eastAsia="Arial" w:hAnsi="Arial"/>
                <w:sz w:val="13"/>
                <w:szCs w:val="13"/>
                <w:color w:val="auto"/>
              </w:rPr>
              <w:t>-</w:t>
            </w:r>
          </w:p>
        </w:tc>
        <w:tc>
          <w:tcPr>
            <w:tcW w:w="200" w:type="dxa"/>
            <w:vAlign w:val="bottom"/>
          </w:tcPr>
          <w:p>
            <w:pPr>
              <w:spacing w:after="0"/>
              <w:rPr>
                <w:sz w:val="12"/>
                <w:szCs w:val="12"/>
                <w:color w:val="auto"/>
              </w:rPr>
            </w:pPr>
          </w:p>
        </w:tc>
        <w:tc>
          <w:tcPr>
            <w:tcW w:w="1200" w:type="dxa"/>
            <w:vAlign w:val="bottom"/>
          </w:tcPr>
          <w:p>
            <w:pPr>
              <w:jc w:val="right"/>
              <w:spacing w:after="0" w:line="144" w:lineRule="exact"/>
              <w:rPr>
                <w:sz w:val="20"/>
                <w:szCs w:val="20"/>
                <w:color w:val="auto"/>
              </w:rPr>
            </w:pPr>
            <w:r>
              <w:rPr>
                <w:rFonts w:ascii="Arial" w:cs="Arial" w:eastAsia="Arial" w:hAnsi="Arial"/>
                <w:sz w:val="13"/>
                <w:szCs w:val="13"/>
                <w:color w:val="auto"/>
              </w:rPr>
              <w:t>-</w:t>
            </w: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r>
      <w:tr>
        <w:trPr>
          <w:trHeight w:val="154"/>
        </w:trPr>
        <w:tc>
          <w:tcPr>
            <w:tcW w:w="220" w:type="dxa"/>
            <w:vAlign w:val="bottom"/>
          </w:tcPr>
          <w:p>
            <w:pPr>
              <w:spacing w:after="0"/>
              <w:rPr>
                <w:sz w:val="13"/>
                <w:szCs w:val="13"/>
                <w:color w:val="auto"/>
              </w:rPr>
            </w:pPr>
          </w:p>
        </w:tc>
        <w:tc>
          <w:tcPr>
            <w:tcW w:w="62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Transfer to credit-impaired financial instruments</w:t>
            </w:r>
          </w:p>
        </w:tc>
        <w:tc>
          <w:tcPr>
            <w:tcW w:w="3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880" w:type="dxa"/>
            <w:vAlign w:val="bottom"/>
            <w:shd w:val="clear" w:color="auto" w:fill="CCEEFF"/>
          </w:tcPr>
          <w:p>
            <w:pPr>
              <w:spacing w:after="0"/>
              <w:rPr>
                <w:sz w:val="13"/>
                <w:szCs w:val="13"/>
                <w:color w:val="auto"/>
              </w:rPr>
            </w:pPr>
          </w:p>
        </w:tc>
        <w:tc>
          <w:tcPr>
            <w:tcW w:w="3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020" w:type="dxa"/>
            <w:vAlign w:val="bottom"/>
            <w:shd w:val="clear" w:color="auto" w:fill="CCEEFF"/>
          </w:tcPr>
          <w:p>
            <w:pPr>
              <w:spacing w:after="0"/>
              <w:rPr>
                <w:sz w:val="13"/>
                <w:szCs w:val="13"/>
                <w:color w:val="auto"/>
              </w:rPr>
            </w:pPr>
          </w:p>
        </w:tc>
        <w:tc>
          <w:tcPr>
            <w:tcW w:w="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w:t>
            </w:r>
          </w:p>
        </w:tc>
        <w:tc>
          <w:tcPr>
            <w:tcW w:w="80" w:type="dxa"/>
            <w:vAlign w:val="bottom"/>
            <w:shd w:val="clear" w:color="auto" w:fill="CCEEFF"/>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6240" w:type="dxa"/>
            <w:vAlign w:val="bottom"/>
            <w:gridSpan w:val="2"/>
          </w:tcPr>
          <w:p>
            <w:pPr>
              <w:spacing w:after="0"/>
              <w:rPr>
                <w:sz w:val="20"/>
                <w:szCs w:val="20"/>
                <w:color w:val="auto"/>
              </w:rPr>
            </w:pPr>
            <w:r>
              <w:rPr>
                <w:rFonts w:ascii="Arial" w:cs="Arial" w:eastAsia="Arial" w:hAnsi="Arial"/>
                <w:sz w:val="13"/>
                <w:szCs w:val="13"/>
                <w:color w:val="auto"/>
              </w:rPr>
              <w:t>Transfer to 12-month expected credit losses</w:t>
            </w:r>
          </w:p>
        </w:tc>
        <w:tc>
          <w:tcPr>
            <w:tcW w:w="34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30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18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220" w:type="dxa"/>
            <w:vAlign w:val="bottom"/>
            <w:gridSpan w:val="2"/>
          </w:tcPr>
          <w:p>
            <w:pPr>
              <w:jc w:val="right"/>
              <w:ind w:right="20"/>
              <w:spacing w:after="0"/>
              <w:rPr>
                <w:sz w:val="20"/>
                <w:szCs w:val="20"/>
                <w:color w:val="auto"/>
              </w:rPr>
            </w:pPr>
            <w:r>
              <w:rPr>
                <w:rFonts w:ascii="Arial" w:cs="Arial" w:eastAsia="Arial" w:hAnsi="Arial"/>
                <w:sz w:val="13"/>
                <w:szCs w:val="13"/>
                <w:color w:val="auto"/>
              </w:rPr>
              <w:t>-</w:t>
            </w:r>
          </w:p>
        </w:tc>
        <w:tc>
          <w:tcPr>
            <w:tcW w:w="8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62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Net effect of changes in reserve for expected credit loss</w:t>
            </w:r>
          </w:p>
        </w:tc>
        <w:tc>
          <w:tcPr>
            <w:tcW w:w="56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(54)</w:t>
            </w:r>
          </w:p>
        </w:tc>
        <w:tc>
          <w:tcPr>
            <w:tcW w:w="880" w:type="dxa"/>
            <w:vAlign w:val="bottom"/>
            <w:shd w:val="clear" w:color="auto" w:fill="CCEEFF"/>
          </w:tcPr>
          <w:p>
            <w:pPr>
              <w:spacing w:after="0"/>
              <w:rPr>
                <w:sz w:val="13"/>
                <w:szCs w:val="13"/>
                <w:color w:val="auto"/>
              </w:rPr>
            </w:pPr>
          </w:p>
        </w:tc>
        <w:tc>
          <w:tcPr>
            <w:tcW w:w="5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853</w:t>
            </w:r>
          </w:p>
        </w:tc>
        <w:tc>
          <w:tcPr>
            <w:tcW w:w="1020" w:type="dxa"/>
            <w:vAlign w:val="bottom"/>
            <w:shd w:val="clear" w:color="auto" w:fill="CCEEFF"/>
          </w:tcPr>
          <w:p>
            <w:pPr>
              <w:spacing w:after="0"/>
              <w:rPr>
                <w:sz w:val="13"/>
                <w:szCs w:val="13"/>
                <w:color w:val="auto"/>
              </w:rPr>
            </w:pPr>
          </w:p>
        </w:tc>
        <w:tc>
          <w:tcPr>
            <w:tcW w:w="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799</w:t>
            </w:r>
          </w:p>
        </w:tc>
        <w:tc>
          <w:tcPr>
            <w:tcW w:w="80" w:type="dxa"/>
            <w:vAlign w:val="bottom"/>
            <w:shd w:val="clear" w:color="auto" w:fill="CCEEFF"/>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6240" w:type="dxa"/>
            <w:vAlign w:val="bottom"/>
            <w:gridSpan w:val="2"/>
          </w:tcPr>
          <w:p>
            <w:pPr>
              <w:spacing w:after="0"/>
              <w:rPr>
                <w:sz w:val="20"/>
                <w:szCs w:val="20"/>
                <w:color w:val="auto"/>
              </w:rPr>
            </w:pPr>
            <w:r>
              <w:rPr>
                <w:rFonts w:ascii="Arial" w:cs="Arial" w:eastAsia="Arial" w:hAnsi="Arial"/>
                <w:sz w:val="13"/>
                <w:szCs w:val="13"/>
                <w:color w:val="auto"/>
              </w:rPr>
              <w:t>Financial instruments that have been derecognized during the year</w:t>
            </w:r>
          </w:p>
        </w:tc>
        <w:tc>
          <w:tcPr>
            <w:tcW w:w="560" w:type="dxa"/>
            <w:vAlign w:val="bottom"/>
            <w:gridSpan w:val="2"/>
          </w:tcPr>
          <w:p>
            <w:pPr>
              <w:jc w:val="right"/>
              <w:ind w:right="180"/>
              <w:spacing w:after="0"/>
              <w:rPr>
                <w:sz w:val="20"/>
                <w:szCs w:val="20"/>
                <w:color w:val="auto"/>
              </w:rPr>
            </w:pPr>
            <w:r>
              <w:rPr>
                <w:rFonts w:ascii="Arial" w:cs="Arial" w:eastAsia="Arial" w:hAnsi="Arial"/>
                <w:sz w:val="13"/>
                <w:szCs w:val="13"/>
                <w:color w:val="auto"/>
              </w:rPr>
              <w:t>(971)</w:t>
            </w:r>
          </w:p>
        </w:tc>
        <w:tc>
          <w:tcPr>
            <w:tcW w:w="880" w:type="dxa"/>
            <w:vAlign w:val="bottom"/>
          </w:tcPr>
          <w:p>
            <w:pPr>
              <w:spacing w:after="0"/>
              <w:rPr>
                <w:sz w:val="13"/>
                <w:szCs w:val="13"/>
                <w:color w:val="auto"/>
              </w:rPr>
            </w:pPr>
          </w:p>
        </w:tc>
        <w:tc>
          <w:tcPr>
            <w:tcW w:w="30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18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300" w:type="dxa"/>
            <w:vAlign w:val="bottom"/>
            <w:gridSpan w:val="3"/>
          </w:tcPr>
          <w:p>
            <w:pPr>
              <w:jc w:val="right"/>
              <w:ind w:right="60"/>
              <w:spacing w:after="0"/>
              <w:rPr>
                <w:sz w:val="20"/>
                <w:szCs w:val="20"/>
                <w:color w:val="auto"/>
              </w:rPr>
            </w:pPr>
            <w:r>
              <w:rPr>
                <w:rFonts w:ascii="Arial" w:cs="Arial" w:eastAsia="Arial" w:hAnsi="Arial"/>
                <w:sz w:val="13"/>
                <w:szCs w:val="13"/>
                <w:color w:val="auto"/>
              </w:rPr>
              <w:t>(971)</w:t>
            </w:r>
          </w:p>
        </w:tc>
      </w:tr>
      <w:tr>
        <w:trPr>
          <w:trHeight w:val="164"/>
        </w:trPr>
        <w:tc>
          <w:tcPr>
            <w:tcW w:w="220" w:type="dxa"/>
            <w:vAlign w:val="bottom"/>
          </w:tcPr>
          <w:p>
            <w:pPr>
              <w:spacing w:after="0"/>
              <w:rPr>
                <w:sz w:val="14"/>
                <w:szCs w:val="14"/>
                <w:color w:val="auto"/>
              </w:rPr>
            </w:pPr>
          </w:p>
        </w:tc>
        <w:tc>
          <w:tcPr>
            <w:tcW w:w="62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New instruments originated or purchased</w:t>
            </w:r>
          </w:p>
        </w:tc>
        <w:tc>
          <w:tcPr>
            <w:tcW w:w="340" w:type="dxa"/>
            <w:vAlign w:val="bottom"/>
            <w:shd w:val="clear" w:color="auto" w:fill="CCEEFF"/>
          </w:tcPr>
          <w:p>
            <w:pPr>
              <w:jc w:val="right"/>
              <w:spacing w:after="0"/>
              <w:rPr>
                <w:sz w:val="20"/>
                <w:szCs w:val="20"/>
                <w:color w:val="auto"/>
              </w:rPr>
            </w:pPr>
            <w:r>
              <w:rPr>
                <w:rFonts w:ascii="Arial" w:cs="Arial" w:eastAsia="Arial" w:hAnsi="Arial"/>
                <w:sz w:val="13"/>
                <w:szCs w:val="13"/>
                <w:color w:val="auto"/>
                <w:w w:val="98"/>
              </w:rPr>
              <w:t>1,241</w:t>
            </w:r>
          </w:p>
        </w:tc>
        <w:tc>
          <w:tcPr>
            <w:tcW w:w="220" w:type="dxa"/>
            <w:vAlign w:val="bottom"/>
            <w:shd w:val="clear" w:color="auto" w:fill="CCEEFF"/>
          </w:tcPr>
          <w:p>
            <w:pPr>
              <w:spacing w:after="0"/>
              <w:rPr>
                <w:sz w:val="14"/>
                <w:szCs w:val="14"/>
                <w:color w:val="auto"/>
              </w:rPr>
            </w:pPr>
          </w:p>
        </w:tc>
        <w:tc>
          <w:tcPr>
            <w:tcW w:w="880" w:type="dxa"/>
            <w:vAlign w:val="bottom"/>
            <w:shd w:val="clear" w:color="auto" w:fill="CCEEFF"/>
          </w:tcPr>
          <w:p>
            <w:pPr>
              <w:spacing w:after="0"/>
              <w:rPr>
                <w:sz w:val="14"/>
                <w:szCs w:val="14"/>
                <w:color w:val="auto"/>
              </w:rPr>
            </w:pPr>
          </w:p>
        </w:tc>
        <w:tc>
          <w:tcPr>
            <w:tcW w:w="3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1020" w:type="dxa"/>
            <w:vAlign w:val="bottom"/>
            <w:shd w:val="clear" w:color="auto" w:fill="CCEEFF"/>
          </w:tcPr>
          <w:p>
            <w:pPr>
              <w:spacing w:after="0"/>
              <w:rPr>
                <w:sz w:val="14"/>
                <w:szCs w:val="14"/>
                <w:color w:val="auto"/>
              </w:rPr>
            </w:pPr>
          </w:p>
        </w:tc>
        <w:tc>
          <w:tcPr>
            <w:tcW w:w="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4"/>
                <w:szCs w:val="14"/>
                <w:color w:val="auto"/>
              </w:rPr>
            </w:pP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1,241</w:t>
            </w:r>
          </w:p>
        </w:tc>
        <w:tc>
          <w:tcPr>
            <w:tcW w:w="80" w:type="dxa"/>
            <w:vAlign w:val="bottom"/>
            <w:shd w:val="clear" w:color="auto" w:fill="CCEEFF"/>
          </w:tcPr>
          <w:p>
            <w:pPr>
              <w:spacing w:after="0"/>
              <w:rPr>
                <w:sz w:val="14"/>
                <w:szCs w:val="14"/>
                <w:color w:val="auto"/>
              </w:rPr>
            </w:pPr>
          </w:p>
        </w:tc>
      </w:tr>
      <w:tr>
        <w:trPr>
          <w:trHeight w:val="162"/>
        </w:trPr>
        <w:tc>
          <w:tcPr>
            <w:tcW w:w="220" w:type="dxa"/>
            <w:vAlign w:val="bottom"/>
          </w:tcPr>
          <w:p>
            <w:pPr>
              <w:spacing w:after="0"/>
              <w:rPr>
                <w:sz w:val="14"/>
                <w:szCs w:val="14"/>
                <w:color w:val="auto"/>
              </w:rPr>
            </w:pPr>
          </w:p>
        </w:tc>
        <w:tc>
          <w:tcPr>
            <w:tcW w:w="5360" w:type="dxa"/>
            <w:vAlign w:val="bottom"/>
          </w:tcPr>
          <w:p>
            <w:pPr>
              <w:spacing w:after="0" w:line="146" w:lineRule="exact"/>
              <w:rPr>
                <w:sz w:val="20"/>
                <w:szCs w:val="20"/>
                <w:color w:val="auto"/>
              </w:rPr>
            </w:pPr>
            <w:r>
              <w:rPr>
                <w:rFonts w:ascii="Arial" w:cs="Arial" w:eastAsia="Arial" w:hAnsi="Arial"/>
                <w:sz w:val="13"/>
                <w:szCs w:val="13"/>
                <w:b w:val="1"/>
                <w:bCs w:val="1"/>
                <w:color w:val="auto"/>
              </w:rPr>
              <w:t>Allowance for expected credit losses as of December 31, 2017</w:t>
            </w:r>
          </w:p>
        </w:tc>
        <w:tc>
          <w:tcPr>
            <w:tcW w:w="880" w:type="dxa"/>
            <w:vAlign w:val="bottom"/>
            <w:tcBorders>
              <w:top w:val="single" w:sz="8" w:color="auto"/>
              <w:bottom w:val="single" w:sz="8" w:color="auto"/>
            </w:tcBorders>
          </w:tcPr>
          <w:p>
            <w:pPr>
              <w:spacing w:after="0"/>
              <w:rPr>
                <w:sz w:val="14"/>
                <w:szCs w:val="14"/>
                <w:color w:val="auto"/>
              </w:rPr>
            </w:pPr>
          </w:p>
        </w:tc>
        <w:tc>
          <w:tcPr>
            <w:tcW w:w="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w w:val="98"/>
              </w:rPr>
              <w:t>1,358</w:t>
            </w:r>
          </w:p>
        </w:tc>
        <w:tc>
          <w:tcPr>
            <w:tcW w:w="220" w:type="dxa"/>
            <w:vAlign w:val="bottom"/>
          </w:tcPr>
          <w:p>
            <w:pPr>
              <w:spacing w:after="0"/>
              <w:rPr>
                <w:sz w:val="14"/>
                <w:szCs w:val="14"/>
                <w:color w:val="auto"/>
              </w:rPr>
            </w:pPr>
          </w:p>
        </w:tc>
        <w:tc>
          <w:tcPr>
            <w:tcW w:w="880" w:type="dxa"/>
            <w:vAlign w:val="bottom"/>
            <w:tcBorders>
              <w:top w:val="single" w:sz="8" w:color="auto"/>
              <w:bottom w:val="single" w:sz="8" w:color="auto"/>
            </w:tcBorders>
          </w:tcPr>
          <w:p>
            <w:pPr>
              <w:spacing w:after="0"/>
              <w:rPr>
                <w:sz w:val="14"/>
                <w:szCs w:val="14"/>
                <w:color w:val="auto"/>
              </w:rPr>
            </w:pPr>
          </w:p>
        </w:tc>
        <w:tc>
          <w:tcPr>
            <w:tcW w:w="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w w:val="85"/>
              </w:rPr>
              <w:t>5,487</w:t>
            </w:r>
          </w:p>
        </w:tc>
        <w:tc>
          <w:tcPr>
            <w:tcW w:w="220" w:type="dxa"/>
            <w:vAlign w:val="bottom"/>
          </w:tcPr>
          <w:p>
            <w:pPr>
              <w:spacing w:after="0"/>
              <w:rPr>
                <w:sz w:val="14"/>
                <w:szCs w:val="14"/>
                <w:color w:val="auto"/>
              </w:rPr>
            </w:pPr>
          </w:p>
        </w:tc>
        <w:tc>
          <w:tcPr>
            <w:tcW w:w="1020" w:type="dxa"/>
            <w:vAlign w:val="bottom"/>
            <w:tcBorders>
              <w:top w:val="single" w:sz="8" w:color="auto"/>
              <w:bottom w:val="single" w:sz="8" w:color="auto"/>
            </w:tcBorders>
          </w:tcPr>
          <w:p>
            <w:pPr>
              <w:spacing w:after="0"/>
              <w:rPr>
                <w:sz w:val="14"/>
                <w:szCs w:val="14"/>
                <w:color w:val="auto"/>
              </w:rPr>
            </w:pPr>
          </w:p>
        </w:tc>
        <w:tc>
          <w:tcPr>
            <w:tcW w:w="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w:t>
            </w:r>
          </w:p>
        </w:tc>
        <w:tc>
          <w:tcPr>
            <w:tcW w:w="200" w:type="dxa"/>
            <w:vAlign w:val="bottom"/>
          </w:tcPr>
          <w:p>
            <w:pPr>
              <w:spacing w:after="0"/>
              <w:rPr>
                <w:sz w:val="14"/>
                <w:szCs w:val="14"/>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6,845</w:t>
            </w:r>
          </w:p>
        </w:tc>
        <w:tc>
          <w:tcPr>
            <w:tcW w:w="20" w:type="dxa"/>
            <w:vAlign w:val="bottom"/>
            <w:tcBorders>
              <w:bottom w:val="single" w:sz="8" w:color="auto"/>
            </w:tcBorders>
          </w:tcPr>
          <w:p>
            <w:pPr>
              <w:spacing w:after="0"/>
              <w:rPr>
                <w:sz w:val="14"/>
                <w:szCs w:val="14"/>
                <w:color w:val="auto"/>
              </w:rPr>
            </w:pPr>
          </w:p>
        </w:tc>
        <w:tc>
          <w:tcPr>
            <w:tcW w:w="80" w:type="dxa"/>
            <w:vAlign w:val="bottom"/>
          </w:tcPr>
          <w:p>
            <w:pPr>
              <w:spacing w:after="0"/>
              <w:rPr>
                <w:sz w:val="14"/>
                <w:szCs w:val="14"/>
                <w:color w:val="auto"/>
              </w:rPr>
            </w:pPr>
          </w:p>
        </w:tc>
      </w:tr>
    </w:tbl>
    <w:p>
      <w:pPr>
        <w:spacing w:after="0" w:line="66" w:lineRule="exact"/>
        <w:rPr>
          <w:sz w:val="20"/>
          <w:szCs w:val="20"/>
          <w:color w:val="auto"/>
        </w:rPr>
      </w:pPr>
    </w:p>
    <w:p>
      <w:pPr>
        <w:ind w:left="520"/>
        <w:spacing w:after="0"/>
        <w:tabs>
          <w:tab w:leader="none" w:pos="720" w:val="left"/>
        </w:tabs>
        <w:rPr>
          <w:sz w:val="20"/>
          <w:szCs w:val="20"/>
          <w:color w:val="auto"/>
        </w:rPr>
      </w:pPr>
      <w:r>
        <w:rPr>
          <w:rFonts w:ascii="Arial" w:cs="Arial" w:eastAsia="Arial" w:hAnsi="Arial"/>
          <w:sz w:val="21"/>
          <w:szCs w:val="21"/>
          <w:color w:val="auto"/>
          <w:vertAlign w:val="superscript"/>
        </w:rPr>
        <w:t>(1)</w:t>
      </w:r>
      <w:r>
        <w:rPr>
          <w:sz w:val="20"/>
          <w:szCs w:val="20"/>
          <w:color w:val="auto"/>
        </w:rPr>
        <w:tab/>
      </w:r>
      <w:r>
        <w:rPr>
          <w:rFonts w:ascii="Arial" w:cs="Arial" w:eastAsia="Arial" w:hAnsi="Arial"/>
          <w:sz w:val="11"/>
          <w:szCs w:val="11"/>
          <w:color w:val="auto"/>
        </w:rPr>
        <w:t>12-month expected credit losses.</w:t>
      </w:r>
    </w:p>
    <w:p>
      <w:pPr>
        <w:ind w:left="520"/>
        <w:spacing w:after="0"/>
        <w:tabs>
          <w:tab w:leader="none" w:pos="720" w:val="left"/>
        </w:tabs>
        <w:rPr>
          <w:sz w:val="20"/>
          <w:szCs w:val="20"/>
          <w:color w:val="auto"/>
        </w:rPr>
      </w:pPr>
      <w:r>
        <w:rPr>
          <w:rFonts w:ascii="Arial" w:cs="Arial" w:eastAsia="Arial" w:hAnsi="Arial"/>
          <w:sz w:val="18"/>
          <w:szCs w:val="18"/>
          <w:b w:val="1"/>
          <w:bCs w:val="1"/>
          <w:color w:val="auto"/>
          <w:vertAlign w:val="superscript"/>
        </w:rPr>
        <w:t>(2)</w:t>
      </w:r>
      <w:r>
        <w:rPr>
          <w:sz w:val="20"/>
          <w:szCs w:val="20"/>
          <w:color w:val="auto"/>
        </w:rPr>
        <w:tab/>
      </w:r>
      <w:r>
        <w:rPr>
          <w:rFonts w:ascii="Arial" w:cs="Arial" w:eastAsia="Arial" w:hAnsi="Arial"/>
          <w:sz w:val="11"/>
          <w:szCs w:val="11"/>
          <w:color w:val="auto"/>
        </w:rPr>
        <w:t>Lifetime expected credit losses.</w:t>
      </w:r>
    </w:p>
    <w:p>
      <w:pPr>
        <w:spacing w:after="0" w:line="1" w:lineRule="exact"/>
        <w:rPr>
          <w:sz w:val="20"/>
          <w:szCs w:val="20"/>
          <w:color w:val="auto"/>
        </w:rPr>
      </w:pPr>
    </w:p>
    <w:p>
      <w:pPr>
        <w:ind w:left="520"/>
        <w:spacing w:after="0"/>
        <w:tabs>
          <w:tab w:leader="none" w:pos="720" w:val="left"/>
        </w:tabs>
        <w:rPr>
          <w:sz w:val="20"/>
          <w:szCs w:val="20"/>
          <w:color w:val="auto"/>
        </w:rPr>
      </w:pPr>
      <w:r>
        <w:rPr>
          <w:rFonts w:ascii="Arial" w:cs="Arial" w:eastAsia="Arial" w:hAnsi="Arial"/>
          <w:sz w:val="21"/>
          <w:szCs w:val="21"/>
          <w:color w:val="auto"/>
          <w:vertAlign w:val="superscript"/>
        </w:rPr>
        <w:t>(3)</w:t>
      </w:r>
      <w:r>
        <w:rPr>
          <w:sz w:val="20"/>
          <w:szCs w:val="20"/>
          <w:color w:val="auto"/>
        </w:rPr>
        <w:tab/>
      </w:r>
      <w:r>
        <w:rPr>
          <w:rFonts w:ascii="Arial" w:cs="Arial" w:eastAsia="Arial" w:hAnsi="Arial"/>
          <w:sz w:val="11"/>
          <w:szCs w:val="11"/>
          <w:color w:val="auto"/>
        </w:rPr>
        <w:t>Credit-impaired financial assets (lifetime expected credit losses).</w:t>
      </w:r>
    </w:p>
    <w:p>
      <w:pPr>
        <w:spacing w:after="0" w:line="57" w:lineRule="exact"/>
        <w:rPr>
          <w:sz w:val="20"/>
          <w:szCs w:val="20"/>
          <w:color w:val="auto"/>
        </w:rPr>
      </w:pPr>
    </w:p>
    <w:p>
      <w:pPr>
        <w:ind w:left="220"/>
        <w:spacing w:after="0" w:line="267" w:lineRule="auto"/>
        <w:rPr>
          <w:sz w:val="20"/>
          <w:szCs w:val="20"/>
          <w:color w:val="auto"/>
        </w:rPr>
      </w:pPr>
      <w:r>
        <w:rPr>
          <w:rFonts w:ascii="Arial" w:cs="Arial" w:eastAsia="Arial" w:hAnsi="Arial"/>
          <w:sz w:val="13"/>
          <w:szCs w:val="13"/>
          <w:color w:val="auto"/>
        </w:rPr>
        <w:t>The allowance for expected credit losses on loan commitments and financial guarantee contracts reflects the Bank’s management estimate of expected credit losses items such as: confirmed letters of credit, stand-by letters of credit, guarantees and credit commitments.</w:t>
      </w:r>
    </w:p>
    <w:p>
      <w:pPr>
        <w:spacing w:after="0" w:line="283"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F-51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14605</wp:posOffset>
            </wp:positionV>
            <wp:extent cx="7285990" cy="6350"/>
            <wp:wrapNone/>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24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85" w:right="219" w:bottom="1440" w:gutter="0" w:footer="0" w:header="0"/>
        </w:sectPr>
      </w:pPr>
    </w:p>
    <w:bookmarkStart w:id="176" w:name="page177"/>
    <w:bookmarkEnd w:id="176"/>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24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139"/>
        </w:numPr>
        <w:rPr>
          <w:rFonts w:ascii="Arial" w:cs="Arial" w:eastAsia="Arial" w:hAnsi="Arial"/>
          <w:sz w:val="13"/>
          <w:szCs w:val="13"/>
          <w:b w:val="1"/>
          <w:bCs w:val="1"/>
          <w:color w:val="auto"/>
        </w:rPr>
      </w:pPr>
      <w:r>
        <w:rPr>
          <w:rFonts w:ascii="Arial" w:cs="Arial" w:eastAsia="Arial" w:hAnsi="Arial"/>
          <w:sz w:val="13"/>
          <w:szCs w:val="13"/>
          <w:b w:val="1"/>
          <w:bCs w:val="1"/>
          <w:color w:val="auto"/>
        </w:rPr>
        <w:t>Impairment loss on financial instruments, net</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following table sets forth the details for the loss on financial instrument recognized in the consolidated statements of profit or loss:</w:t>
      </w:r>
    </w:p>
    <w:p>
      <w:pPr>
        <w:spacing w:after="0" w:line="164" w:lineRule="exact"/>
        <w:rPr>
          <w:sz w:val="20"/>
          <w:szCs w:val="20"/>
          <w:color w:val="auto"/>
        </w:rPr>
      </w:pPr>
    </w:p>
    <w:tbl>
      <w:tblPr>
        <w:tblLayout w:type="fixed"/>
        <w:tblInd w:w="223" w:type="dxa"/>
        <w:tblCellMar>
          <w:top w:w="0" w:type="dxa"/>
          <w:left w:w="0" w:type="dxa"/>
          <w:bottom w:w="0" w:type="dxa"/>
          <w:right w:w="0" w:type="dxa"/>
        </w:tblCellMar>
      </w:tblPr>
      <w:tr>
        <w:trPr>
          <w:trHeight w:val="167"/>
        </w:trPr>
        <w:tc>
          <w:tcPr>
            <w:tcW w:w="6780" w:type="dxa"/>
            <w:vAlign w:val="bottom"/>
          </w:tcPr>
          <w:p>
            <w:pPr>
              <w:spacing w:after="0"/>
              <w:rPr>
                <w:sz w:val="14"/>
                <w:szCs w:val="14"/>
                <w:color w:val="auto"/>
              </w:rPr>
            </w:pPr>
          </w:p>
        </w:tc>
        <w:tc>
          <w:tcPr>
            <w:tcW w:w="12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400" w:type="dxa"/>
            <w:vAlign w:val="bottom"/>
            <w:tcBorders>
              <w:bottom w:val="single" w:sz="8" w:color="auto"/>
            </w:tcBorders>
            <w:gridSpan w:val="2"/>
          </w:tcPr>
          <w:p>
            <w:pPr>
              <w:jc w:val="right"/>
              <w:ind w:right="423"/>
              <w:spacing w:after="0"/>
              <w:rPr>
                <w:sz w:val="20"/>
                <w:szCs w:val="20"/>
                <w:color w:val="auto"/>
              </w:rPr>
            </w:pPr>
            <w:r>
              <w:rPr>
                <w:rFonts w:ascii="Arial" w:cs="Arial" w:eastAsia="Arial" w:hAnsi="Arial"/>
                <w:sz w:val="13"/>
                <w:szCs w:val="13"/>
                <w:b w:val="1"/>
                <w:bCs w:val="1"/>
                <w:color w:val="auto"/>
              </w:rPr>
              <w:t>December 31</w:t>
            </w:r>
          </w:p>
        </w:tc>
        <w:tc>
          <w:tcPr>
            <w:tcW w:w="120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r>
        <w:trPr>
          <w:trHeight w:val="154"/>
        </w:trPr>
        <w:tc>
          <w:tcPr>
            <w:tcW w:w="6780" w:type="dxa"/>
            <w:vAlign w:val="bottom"/>
            <w:tcBorders>
              <w:bottom w:val="single" w:sz="8" w:color="CCEEFF"/>
            </w:tcBorders>
          </w:tcPr>
          <w:p>
            <w:pPr>
              <w:spacing w:after="0"/>
              <w:rPr>
                <w:sz w:val="13"/>
                <w:szCs w:val="13"/>
                <w:color w:val="auto"/>
              </w:rPr>
            </w:pPr>
          </w:p>
        </w:tc>
        <w:tc>
          <w:tcPr>
            <w:tcW w:w="1200" w:type="dxa"/>
            <w:vAlign w:val="bottom"/>
            <w:tcBorders>
              <w:bottom w:val="single" w:sz="8" w:color="auto"/>
            </w:tcBorders>
          </w:tcPr>
          <w:p>
            <w:pPr>
              <w:jc w:val="right"/>
              <w:ind w:right="416"/>
              <w:spacing w:after="0"/>
              <w:rPr>
                <w:sz w:val="20"/>
                <w:szCs w:val="20"/>
                <w:color w:val="auto"/>
              </w:rPr>
            </w:pPr>
            <w:r>
              <w:rPr>
                <w:rFonts w:ascii="Arial" w:cs="Arial" w:eastAsia="Arial" w:hAnsi="Arial"/>
                <w:sz w:val="13"/>
                <w:szCs w:val="13"/>
                <w:b w:val="1"/>
                <w:bCs w:val="1"/>
                <w:color w:val="auto"/>
              </w:rPr>
              <w:t>2018</w:t>
            </w:r>
          </w:p>
        </w:tc>
        <w:tc>
          <w:tcPr>
            <w:tcW w:w="220" w:type="dxa"/>
            <w:vAlign w:val="bottom"/>
            <w:tcBorders>
              <w:bottom w:val="single" w:sz="8" w:color="CCEEFF"/>
            </w:tcBorders>
          </w:tcPr>
          <w:p>
            <w:pPr>
              <w:spacing w:after="0"/>
              <w:rPr>
                <w:sz w:val="13"/>
                <w:szCs w:val="13"/>
                <w:color w:val="auto"/>
              </w:rPr>
            </w:pPr>
          </w:p>
        </w:tc>
        <w:tc>
          <w:tcPr>
            <w:tcW w:w="1200" w:type="dxa"/>
            <w:vAlign w:val="bottom"/>
            <w:tcBorders>
              <w:bottom w:val="single" w:sz="8" w:color="auto"/>
            </w:tcBorders>
          </w:tcPr>
          <w:p>
            <w:pPr>
              <w:jc w:val="right"/>
              <w:ind w:right="416"/>
              <w:spacing w:after="0"/>
              <w:rPr>
                <w:sz w:val="20"/>
                <w:szCs w:val="20"/>
                <w:color w:val="auto"/>
              </w:rPr>
            </w:pPr>
            <w:r>
              <w:rPr>
                <w:rFonts w:ascii="Arial" w:cs="Arial" w:eastAsia="Arial" w:hAnsi="Arial"/>
                <w:sz w:val="13"/>
                <w:szCs w:val="13"/>
                <w:b w:val="1"/>
                <w:bCs w:val="1"/>
                <w:color w:val="auto"/>
              </w:rPr>
              <w:t>2017</w:t>
            </w:r>
          </w:p>
        </w:tc>
        <w:tc>
          <w:tcPr>
            <w:tcW w:w="200" w:type="dxa"/>
            <w:vAlign w:val="bottom"/>
            <w:tcBorders>
              <w:bottom w:val="single" w:sz="8" w:color="CCEEFF"/>
            </w:tcBorders>
          </w:tcPr>
          <w:p>
            <w:pPr>
              <w:spacing w:after="0"/>
              <w:rPr>
                <w:sz w:val="13"/>
                <w:szCs w:val="13"/>
                <w:color w:val="auto"/>
              </w:rPr>
            </w:pPr>
          </w:p>
        </w:tc>
        <w:tc>
          <w:tcPr>
            <w:tcW w:w="1200" w:type="dxa"/>
            <w:vAlign w:val="bottom"/>
            <w:tcBorders>
              <w:bottom w:val="single" w:sz="8" w:color="auto"/>
            </w:tcBorders>
          </w:tcPr>
          <w:p>
            <w:pPr>
              <w:jc w:val="right"/>
              <w:ind w:right="396"/>
              <w:spacing w:after="0"/>
              <w:rPr>
                <w:sz w:val="20"/>
                <w:szCs w:val="20"/>
                <w:color w:val="auto"/>
              </w:rPr>
            </w:pPr>
            <w:r>
              <w:rPr>
                <w:rFonts w:ascii="Arial" w:cs="Arial" w:eastAsia="Arial" w:hAnsi="Arial"/>
                <w:sz w:val="13"/>
                <w:szCs w:val="13"/>
                <w:b w:val="1"/>
                <w:bCs w:val="1"/>
                <w:color w:val="auto"/>
              </w:rPr>
              <w:t>2016</w:t>
            </w:r>
          </w:p>
        </w:tc>
        <w:tc>
          <w:tcPr>
            <w:tcW w:w="100" w:type="dxa"/>
            <w:vAlign w:val="bottom"/>
            <w:tcBorders>
              <w:bottom w:val="single" w:sz="8" w:color="CCEEFF"/>
            </w:tcBorders>
          </w:tcPr>
          <w:p>
            <w:pPr>
              <w:spacing w:after="0"/>
              <w:rPr>
                <w:sz w:val="13"/>
                <w:szCs w:val="13"/>
                <w:color w:val="auto"/>
              </w:rPr>
            </w:pPr>
          </w:p>
        </w:tc>
      </w:tr>
      <w:tr>
        <w:trPr>
          <w:trHeight w:val="144"/>
        </w:trPr>
        <w:tc>
          <w:tcPr>
            <w:tcW w:w="6780" w:type="dxa"/>
            <w:vAlign w:val="bottom"/>
            <w:shd w:val="clear" w:color="auto" w:fill="CCEEFF"/>
          </w:tcPr>
          <w:p>
            <w:pPr>
              <w:spacing w:after="0" w:line="143" w:lineRule="exact"/>
              <w:rPr>
                <w:sz w:val="20"/>
                <w:szCs w:val="20"/>
                <w:color w:val="auto"/>
              </w:rPr>
            </w:pPr>
            <w:r>
              <w:rPr>
                <w:rFonts w:ascii="Arial" w:cs="Arial" w:eastAsia="Arial" w:hAnsi="Arial"/>
                <w:sz w:val="13"/>
                <w:szCs w:val="13"/>
                <w:color w:val="auto"/>
              </w:rPr>
              <w:t>Loss in derivative financial instruments and changes in foreign currency, net</w:t>
            </w:r>
          </w:p>
        </w:tc>
        <w:tc>
          <w:tcPr>
            <w:tcW w:w="120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color w:val="auto"/>
              </w:rPr>
              <w:t>(1,226)</w:t>
            </w:r>
          </w:p>
        </w:tc>
        <w:tc>
          <w:tcPr>
            <w:tcW w:w="220" w:type="dxa"/>
            <w:vAlign w:val="bottom"/>
            <w:shd w:val="clear" w:color="auto" w:fill="CCEEFF"/>
          </w:tcPr>
          <w:p>
            <w:pPr>
              <w:spacing w:after="0"/>
              <w:rPr>
                <w:sz w:val="12"/>
                <w:szCs w:val="12"/>
                <w:color w:val="auto"/>
              </w:rPr>
            </w:pPr>
          </w:p>
        </w:tc>
        <w:tc>
          <w:tcPr>
            <w:tcW w:w="120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color w:val="auto"/>
              </w:rPr>
              <w:t>(437)</w:t>
            </w:r>
          </w:p>
        </w:tc>
        <w:tc>
          <w:tcPr>
            <w:tcW w:w="200" w:type="dxa"/>
            <w:vAlign w:val="bottom"/>
            <w:shd w:val="clear" w:color="auto" w:fill="CCEEFF"/>
          </w:tcPr>
          <w:p>
            <w:pPr>
              <w:spacing w:after="0"/>
              <w:rPr>
                <w:sz w:val="12"/>
                <w:szCs w:val="12"/>
                <w:color w:val="auto"/>
              </w:rPr>
            </w:pPr>
          </w:p>
        </w:tc>
        <w:tc>
          <w:tcPr>
            <w:tcW w:w="120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color w:val="auto"/>
              </w:rPr>
              <w:t>(486)</w:t>
            </w:r>
          </w:p>
        </w:tc>
        <w:tc>
          <w:tcPr>
            <w:tcW w:w="100" w:type="dxa"/>
            <w:vAlign w:val="bottom"/>
            <w:shd w:val="clear" w:color="auto" w:fill="CCEEFF"/>
          </w:tcPr>
          <w:p>
            <w:pPr>
              <w:spacing w:after="0"/>
              <w:rPr>
                <w:sz w:val="12"/>
                <w:szCs w:val="12"/>
                <w:color w:val="auto"/>
              </w:rPr>
            </w:pPr>
          </w:p>
        </w:tc>
      </w:tr>
      <w:tr>
        <w:trPr>
          <w:trHeight w:val="154"/>
        </w:trPr>
        <w:tc>
          <w:tcPr>
            <w:tcW w:w="6780" w:type="dxa"/>
            <w:vAlign w:val="bottom"/>
          </w:tcPr>
          <w:p>
            <w:pPr>
              <w:spacing w:after="0"/>
              <w:rPr>
                <w:sz w:val="20"/>
                <w:szCs w:val="20"/>
                <w:color w:val="auto"/>
              </w:rPr>
            </w:pPr>
            <w:r>
              <w:rPr>
                <w:rFonts w:ascii="Arial" w:cs="Arial" w:eastAsia="Arial" w:hAnsi="Arial"/>
                <w:sz w:val="13"/>
                <w:szCs w:val="13"/>
                <w:color w:val="auto"/>
              </w:rPr>
              <w:t>Gain (loss) in financial instruments at fair value through profit or loss</w:t>
            </w:r>
          </w:p>
        </w:tc>
        <w:tc>
          <w:tcPr>
            <w:tcW w:w="1420" w:type="dxa"/>
            <w:vAlign w:val="bottom"/>
            <w:gridSpan w:val="2"/>
          </w:tcPr>
          <w:p>
            <w:pPr>
              <w:jc w:val="right"/>
              <w:ind w:right="156"/>
              <w:spacing w:after="0"/>
              <w:rPr>
                <w:sz w:val="20"/>
                <w:szCs w:val="20"/>
                <w:color w:val="auto"/>
              </w:rPr>
            </w:pPr>
            <w:r>
              <w:rPr>
                <w:rFonts w:ascii="Arial" w:cs="Arial" w:eastAsia="Arial" w:hAnsi="Arial"/>
                <w:sz w:val="13"/>
                <w:szCs w:val="13"/>
                <w:color w:val="auto"/>
              </w:rPr>
              <w:t>648</w:t>
            </w:r>
          </w:p>
        </w:tc>
        <w:tc>
          <w:tcPr>
            <w:tcW w:w="1400" w:type="dxa"/>
            <w:vAlign w:val="bottom"/>
            <w:gridSpan w:val="2"/>
          </w:tcPr>
          <w:p>
            <w:pPr>
              <w:jc w:val="right"/>
              <w:ind w:right="123"/>
              <w:spacing w:after="0"/>
              <w:rPr>
                <w:sz w:val="20"/>
                <w:szCs w:val="20"/>
                <w:color w:val="auto"/>
              </w:rPr>
            </w:pPr>
            <w:r>
              <w:rPr>
                <w:rFonts w:ascii="Arial" w:cs="Arial" w:eastAsia="Arial" w:hAnsi="Arial"/>
                <w:sz w:val="13"/>
                <w:szCs w:val="13"/>
                <w:color w:val="auto"/>
              </w:rPr>
              <w:t>(732)</w:t>
            </w:r>
          </w:p>
        </w:tc>
        <w:tc>
          <w:tcPr>
            <w:tcW w:w="1300" w:type="dxa"/>
            <w:vAlign w:val="bottom"/>
            <w:gridSpan w:val="2"/>
          </w:tcPr>
          <w:p>
            <w:pPr>
              <w:jc w:val="right"/>
              <w:ind w:right="23"/>
              <w:spacing w:after="0"/>
              <w:rPr>
                <w:sz w:val="20"/>
                <w:szCs w:val="20"/>
                <w:color w:val="auto"/>
              </w:rPr>
            </w:pPr>
            <w:r>
              <w:rPr>
                <w:rFonts w:ascii="Arial" w:cs="Arial" w:eastAsia="Arial" w:hAnsi="Arial"/>
                <w:sz w:val="13"/>
                <w:szCs w:val="13"/>
                <w:color w:val="auto"/>
              </w:rPr>
              <w:t>(2,883)</w:t>
            </w:r>
          </w:p>
        </w:tc>
      </w:tr>
      <w:tr>
        <w:trPr>
          <w:trHeight w:val="154"/>
        </w:trPr>
        <w:tc>
          <w:tcPr>
            <w:tcW w:w="6780" w:type="dxa"/>
            <w:vAlign w:val="bottom"/>
            <w:shd w:val="clear" w:color="auto" w:fill="CCEEFF"/>
          </w:tcPr>
          <w:p>
            <w:pPr>
              <w:spacing w:after="0"/>
              <w:rPr>
                <w:sz w:val="20"/>
                <w:szCs w:val="20"/>
                <w:color w:val="auto"/>
              </w:rPr>
            </w:pPr>
            <w:r>
              <w:rPr>
                <w:rFonts w:ascii="Arial" w:cs="Arial" w:eastAsia="Arial" w:hAnsi="Arial"/>
                <w:sz w:val="13"/>
                <w:szCs w:val="13"/>
                <w:color w:val="auto"/>
              </w:rPr>
              <w:t>Gain (loss) realized in financial instruments at fair value with changes in other comprehensive income</w:t>
            </w:r>
          </w:p>
        </w:tc>
        <w:tc>
          <w:tcPr>
            <w:tcW w:w="1420" w:type="dxa"/>
            <w:vAlign w:val="bottom"/>
            <w:gridSpan w:val="2"/>
            <w:shd w:val="clear" w:color="auto" w:fill="CCEEFF"/>
          </w:tcPr>
          <w:p>
            <w:pPr>
              <w:jc w:val="right"/>
              <w:ind w:right="156"/>
              <w:spacing w:after="0"/>
              <w:rPr>
                <w:sz w:val="20"/>
                <w:szCs w:val="20"/>
                <w:color w:val="auto"/>
              </w:rPr>
            </w:pPr>
            <w:r>
              <w:rPr>
                <w:rFonts w:ascii="Arial" w:cs="Arial" w:eastAsia="Arial" w:hAnsi="Arial"/>
                <w:sz w:val="13"/>
                <w:szCs w:val="13"/>
                <w:color w:val="auto"/>
              </w:rPr>
              <w:t>194</w:t>
            </w: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249</w:t>
            </w:r>
          </w:p>
        </w:tc>
        <w:tc>
          <w:tcPr>
            <w:tcW w:w="20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23"/>
              <w:spacing w:after="0"/>
              <w:rPr>
                <w:sz w:val="20"/>
                <w:szCs w:val="20"/>
                <w:color w:val="auto"/>
              </w:rPr>
            </w:pPr>
            <w:r>
              <w:rPr>
                <w:rFonts w:ascii="Arial" w:cs="Arial" w:eastAsia="Arial" w:hAnsi="Arial"/>
                <w:sz w:val="13"/>
                <w:szCs w:val="13"/>
                <w:color w:val="auto"/>
              </w:rPr>
              <w:t>(356)</w:t>
            </w:r>
          </w:p>
        </w:tc>
      </w:tr>
      <w:tr>
        <w:trPr>
          <w:trHeight w:val="164"/>
        </w:trPr>
        <w:tc>
          <w:tcPr>
            <w:tcW w:w="6780" w:type="dxa"/>
            <w:vAlign w:val="bottom"/>
          </w:tcPr>
          <w:p>
            <w:pPr>
              <w:spacing w:after="0"/>
              <w:rPr>
                <w:sz w:val="20"/>
                <w:szCs w:val="20"/>
                <w:color w:val="auto"/>
              </w:rPr>
            </w:pPr>
            <w:r>
              <w:rPr>
                <w:rFonts w:ascii="Arial" w:cs="Arial" w:eastAsia="Arial" w:hAnsi="Arial"/>
                <w:sz w:val="13"/>
                <w:szCs w:val="13"/>
                <w:color w:val="auto"/>
              </w:rPr>
              <w:t>(Loss) gain on sale of loans</w:t>
            </w:r>
          </w:p>
        </w:tc>
        <w:tc>
          <w:tcPr>
            <w:tcW w:w="1420" w:type="dxa"/>
            <w:vAlign w:val="bottom"/>
            <w:gridSpan w:val="2"/>
          </w:tcPr>
          <w:p>
            <w:pPr>
              <w:jc w:val="right"/>
              <w:ind w:right="96"/>
              <w:spacing w:after="0"/>
              <w:rPr>
                <w:sz w:val="20"/>
                <w:szCs w:val="20"/>
                <w:color w:val="auto"/>
              </w:rPr>
            </w:pPr>
            <w:r>
              <w:rPr>
                <w:rFonts w:ascii="Arial" w:cs="Arial" w:eastAsia="Arial" w:hAnsi="Arial"/>
                <w:sz w:val="13"/>
                <w:szCs w:val="13"/>
                <w:color w:val="auto"/>
              </w:rPr>
              <w:t>(625)</w:t>
            </w:r>
          </w:p>
        </w:tc>
        <w:tc>
          <w:tcPr>
            <w:tcW w:w="1200" w:type="dxa"/>
            <w:vAlign w:val="bottom"/>
          </w:tcPr>
          <w:p>
            <w:pPr>
              <w:jc w:val="right"/>
              <w:spacing w:after="0"/>
              <w:rPr>
                <w:sz w:val="20"/>
                <w:szCs w:val="20"/>
                <w:color w:val="auto"/>
              </w:rPr>
            </w:pPr>
            <w:r>
              <w:rPr>
                <w:rFonts w:ascii="Arial" w:cs="Arial" w:eastAsia="Arial" w:hAnsi="Arial"/>
                <w:sz w:val="13"/>
                <w:szCs w:val="13"/>
                <w:color w:val="auto"/>
              </w:rPr>
              <w:t>181</w:t>
            </w:r>
          </w:p>
        </w:tc>
        <w:tc>
          <w:tcPr>
            <w:tcW w:w="200" w:type="dxa"/>
            <w:vAlign w:val="bottom"/>
          </w:tcPr>
          <w:p>
            <w:pPr>
              <w:spacing w:after="0"/>
              <w:rPr>
                <w:sz w:val="14"/>
                <w:szCs w:val="14"/>
                <w:color w:val="auto"/>
              </w:rPr>
            </w:pPr>
          </w:p>
        </w:tc>
        <w:tc>
          <w:tcPr>
            <w:tcW w:w="1300" w:type="dxa"/>
            <w:vAlign w:val="bottom"/>
            <w:gridSpan w:val="2"/>
          </w:tcPr>
          <w:p>
            <w:pPr>
              <w:jc w:val="right"/>
              <w:ind w:right="63"/>
              <w:spacing w:after="0"/>
              <w:rPr>
                <w:sz w:val="20"/>
                <w:szCs w:val="20"/>
                <w:color w:val="auto"/>
              </w:rPr>
            </w:pPr>
            <w:r>
              <w:rPr>
                <w:rFonts w:ascii="Arial" w:cs="Arial" w:eastAsia="Arial" w:hAnsi="Arial"/>
                <w:sz w:val="13"/>
                <w:szCs w:val="13"/>
                <w:color w:val="auto"/>
              </w:rPr>
              <w:t>806</w:t>
            </w:r>
          </w:p>
        </w:tc>
      </w:tr>
      <w:tr>
        <w:trPr>
          <w:trHeight w:val="162"/>
        </w:trPr>
        <w:tc>
          <w:tcPr>
            <w:tcW w:w="6780" w:type="dxa"/>
            <w:vAlign w:val="bottom"/>
            <w:tcBorders>
              <w:top w:val="single" w:sz="8" w:color="CCEEFF"/>
              <w:bottom w:val="single" w:sz="8" w:color="CCEEFF"/>
            </w:tcBorders>
            <w:shd w:val="clear" w:color="auto" w:fill="CCEEFF"/>
          </w:tcPr>
          <w:p>
            <w:pPr>
              <w:spacing w:after="0"/>
              <w:rPr>
                <w:sz w:val="14"/>
                <w:szCs w:val="14"/>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(1,009</w:t>
            </w:r>
          </w:p>
        </w:tc>
        <w:tc>
          <w:tcPr>
            <w:tcW w:w="220" w:type="dxa"/>
            <w:vAlign w:val="bottom"/>
            <w:tcBorders>
              <w:top w:val="single" w:sz="8" w:color="CCEEFF"/>
              <w:bottom w:val="single" w:sz="8" w:color="CCEEFF"/>
            </w:tcBorders>
            <w:shd w:val="clear" w:color="auto" w:fill="CCEEFF"/>
          </w:tcPr>
          <w:p>
            <w:pPr>
              <w:jc w:val="right"/>
              <w:ind w:right="96"/>
              <w:spacing w:after="0" w:line="146" w:lineRule="exact"/>
              <w:rPr>
                <w:sz w:val="20"/>
                <w:szCs w:val="20"/>
                <w:color w:val="auto"/>
              </w:rPr>
            </w:pPr>
            <w:r>
              <w:rPr>
                <w:rFonts w:ascii="Arial" w:cs="Arial" w:eastAsia="Arial" w:hAnsi="Arial"/>
                <w:sz w:val="13"/>
                <w:szCs w:val="13"/>
                <w:b w:val="1"/>
                <w:bCs w:val="1"/>
                <w:color w:val="auto"/>
                <w:w w:val="91"/>
              </w:rPr>
              <w:t>)</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(739</w:t>
            </w:r>
          </w:p>
        </w:tc>
        <w:tc>
          <w:tcPr>
            <w:tcW w:w="200" w:type="dxa"/>
            <w:vAlign w:val="bottom"/>
            <w:tcBorders>
              <w:top w:val="single" w:sz="8" w:color="CCEEFF"/>
              <w:bottom w:val="single" w:sz="8" w:color="CCEEFF"/>
            </w:tcBorders>
            <w:shd w:val="clear" w:color="auto" w:fill="CCEEFF"/>
          </w:tcPr>
          <w:p>
            <w:pPr>
              <w:jc w:val="right"/>
              <w:ind w:right="123"/>
              <w:spacing w:after="0"/>
              <w:rPr>
                <w:sz w:val="20"/>
                <w:szCs w:val="20"/>
                <w:color w:val="auto"/>
              </w:rPr>
            </w:pPr>
            <w:r>
              <w:rPr>
                <w:rFonts w:ascii="Arial" w:cs="Arial" w:eastAsia="Arial" w:hAnsi="Arial"/>
                <w:sz w:val="7"/>
                <w:szCs w:val="7"/>
                <w:b w:val="1"/>
                <w:bCs w:val="1"/>
                <w:color w:val="auto"/>
                <w:w w:val="83"/>
              </w:rPr>
              <w:t>)</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(2,919</w:t>
            </w:r>
          </w:p>
        </w:tc>
        <w:tc>
          <w:tcPr>
            <w:tcW w:w="100" w:type="dxa"/>
            <w:vAlign w:val="bottom"/>
            <w:tcBorders>
              <w:top w:val="single" w:sz="8" w:color="CCEEFF"/>
              <w:bottom w:val="single" w:sz="8" w:color="CCEEFF"/>
            </w:tcBorders>
            <w:shd w:val="clear" w:color="auto" w:fill="CCEEFF"/>
          </w:tcPr>
          <w:p>
            <w:pPr>
              <w:jc w:val="right"/>
              <w:ind w:right="23"/>
              <w:spacing w:after="0"/>
              <w:rPr>
                <w:sz w:val="20"/>
                <w:szCs w:val="20"/>
                <w:color w:val="auto"/>
              </w:rPr>
            </w:pPr>
            <w:r>
              <w:rPr>
                <w:rFonts w:ascii="Arial" w:cs="Arial" w:eastAsia="Arial" w:hAnsi="Arial"/>
                <w:sz w:val="7"/>
                <w:szCs w:val="7"/>
                <w:b w:val="1"/>
                <w:bCs w:val="1"/>
                <w:color w:val="auto"/>
                <w:w w:val="83"/>
              </w:rPr>
              <w:t>)</w:t>
            </w:r>
          </w:p>
        </w:tc>
      </w:tr>
    </w:tbl>
    <w:p>
      <w:pPr>
        <w:spacing w:after="0" w:line="141" w:lineRule="exact"/>
        <w:rPr>
          <w:sz w:val="20"/>
          <w:szCs w:val="20"/>
          <w:color w:val="auto"/>
        </w:rPr>
      </w:pPr>
    </w:p>
    <w:tbl>
      <w:tblPr>
        <w:tblLayout w:type="fixed"/>
        <w:tblInd w:w="3" w:type="dxa"/>
        <w:tblCellMar>
          <w:top w:w="0" w:type="dxa"/>
          <w:left w:w="0" w:type="dxa"/>
          <w:bottom w:w="0" w:type="dxa"/>
          <w:right w:w="0" w:type="dxa"/>
        </w:tblCellMar>
      </w:tblPr>
      <w:tr>
        <w:trPr>
          <w:trHeight w:val="166"/>
        </w:trPr>
        <w:tc>
          <w:tcPr>
            <w:tcW w:w="5580" w:type="dxa"/>
            <w:vAlign w:val="bottom"/>
            <w:gridSpan w:val="2"/>
          </w:tcPr>
          <w:p>
            <w:pPr>
              <w:spacing w:after="0"/>
              <w:rPr>
                <w:sz w:val="20"/>
                <w:szCs w:val="20"/>
                <w:color w:val="auto"/>
              </w:rPr>
            </w:pPr>
            <w:r>
              <w:rPr>
                <w:rFonts w:ascii="Arial" w:cs="Arial" w:eastAsia="Arial" w:hAnsi="Arial"/>
                <w:sz w:val="13"/>
                <w:szCs w:val="13"/>
                <w:b w:val="1"/>
                <w:bCs w:val="1"/>
                <w:color w:val="auto"/>
              </w:rPr>
              <w:t>9.  Derivative financial instruments</w:t>
            </w:r>
          </w:p>
        </w:tc>
        <w:tc>
          <w:tcPr>
            <w:tcW w:w="12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1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08"/>
        </w:trPr>
        <w:tc>
          <w:tcPr>
            <w:tcW w:w="5580" w:type="dxa"/>
            <w:vAlign w:val="bottom"/>
            <w:gridSpan w:val="2"/>
          </w:tcPr>
          <w:p>
            <w:pPr>
              <w:ind w:left="220"/>
              <w:spacing w:after="0"/>
              <w:rPr>
                <w:sz w:val="20"/>
                <w:szCs w:val="20"/>
                <w:color w:val="auto"/>
              </w:rPr>
            </w:pPr>
            <w:r>
              <w:rPr>
                <w:rFonts w:ascii="Arial" w:cs="Arial" w:eastAsia="Arial" w:hAnsi="Arial"/>
                <w:sz w:val="13"/>
                <w:szCs w:val="13"/>
                <w:color w:val="auto"/>
              </w:rPr>
              <w:t>Quantitative information on derivative financial instruments is as follows:</w:t>
            </w:r>
          </w:p>
        </w:tc>
        <w:tc>
          <w:tcPr>
            <w:tcW w:w="12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18"/>
        </w:trPr>
        <w:tc>
          <w:tcPr>
            <w:tcW w:w="220" w:type="dxa"/>
            <w:vAlign w:val="bottom"/>
          </w:tcPr>
          <w:p>
            <w:pPr>
              <w:spacing w:after="0"/>
              <w:rPr>
                <w:sz w:val="24"/>
                <w:szCs w:val="24"/>
                <w:color w:val="auto"/>
              </w:rPr>
            </w:pPr>
          </w:p>
        </w:tc>
        <w:tc>
          <w:tcPr>
            <w:tcW w:w="5360" w:type="dxa"/>
            <w:vAlign w:val="bottom"/>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800" w:type="dxa"/>
            <w:vAlign w:val="bottom"/>
            <w:tcBorders>
              <w:bottom w:val="single" w:sz="8" w:color="auto"/>
            </w:tcBorders>
            <w:gridSpan w:val="4"/>
          </w:tcPr>
          <w:p>
            <w:pPr>
              <w:jc w:val="center"/>
              <w:ind w:right="203"/>
              <w:spacing w:after="0"/>
              <w:rPr>
                <w:sz w:val="20"/>
                <w:szCs w:val="20"/>
                <w:color w:val="auto"/>
              </w:rPr>
            </w:pPr>
            <w:r>
              <w:rPr>
                <w:rFonts w:ascii="Arial" w:cs="Arial" w:eastAsia="Arial" w:hAnsi="Arial"/>
                <w:sz w:val="13"/>
                <w:szCs w:val="13"/>
                <w:b w:val="1"/>
                <w:bCs w:val="1"/>
                <w:color w:val="auto"/>
                <w:w w:val="88"/>
              </w:rPr>
              <w:t>December 31, 2018</w:t>
            </w:r>
          </w:p>
        </w:tc>
        <w:tc>
          <w:tcPr>
            <w:tcW w:w="120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31"/>
        </w:trPr>
        <w:tc>
          <w:tcPr>
            <w:tcW w:w="220" w:type="dxa"/>
            <w:vAlign w:val="bottom"/>
          </w:tcPr>
          <w:p>
            <w:pPr>
              <w:spacing w:after="0"/>
              <w:rPr>
                <w:sz w:val="11"/>
                <w:szCs w:val="11"/>
                <w:color w:val="auto"/>
              </w:rPr>
            </w:pPr>
          </w:p>
        </w:tc>
        <w:tc>
          <w:tcPr>
            <w:tcW w:w="5360" w:type="dxa"/>
            <w:vAlign w:val="bottom"/>
          </w:tcPr>
          <w:p>
            <w:pPr>
              <w:spacing w:after="0"/>
              <w:rPr>
                <w:sz w:val="11"/>
                <w:szCs w:val="11"/>
                <w:color w:val="auto"/>
              </w:rPr>
            </w:pPr>
          </w:p>
        </w:tc>
        <w:tc>
          <w:tcPr>
            <w:tcW w:w="12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800" w:type="dxa"/>
            <w:vAlign w:val="bottom"/>
            <w:gridSpan w:val="4"/>
          </w:tcPr>
          <w:p>
            <w:pPr>
              <w:jc w:val="center"/>
              <w:ind w:right="223"/>
              <w:spacing w:after="0" w:line="131" w:lineRule="exact"/>
              <w:rPr>
                <w:sz w:val="20"/>
                <w:szCs w:val="20"/>
                <w:color w:val="auto"/>
              </w:rPr>
            </w:pPr>
            <w:r>
              <w:rPr>
                <w:rFonts w:ascii="Arial" w:cs="Arial" w:eastAsia="Arial" w:hAnsi="Arial"/>
                <w:sz w:val="13"/>
                <w:szCs w:val="13"/>
                <w:b w:val="1"/>
                <w:bCs w:val="1"/>
                <w:color w:val="auto"/>
                <w:w w:val="90"/>
              </w:rPr>
              <w:t>Carrying amount of the</w:t>
            </w:r>
          </w:p>
        </w:tc>
        <w:tc>
          <w:tcPr>
            <w:tcW w:w="12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20" w:type="dxa"/>
            <w:vAlign w:val="bottom"/>
          </w:tcPr>
          <w:p>
            <w:pPr>
              <w:spacing w:after="0"/>
              <w:rPr>
                <w:sz w:val="14"/>
                <w:szCs w:val="14"/>
                <w:color w:val="auto"/>
              </w:rPr>
            </w:pPr>
          </w:p>
        </w:tc>
        <w:tc>
          <w:tcPr>
            <w:tcW w:w="5360" w:type="dxa"/>
            <w:vAlign w:val="bottom"/>
          </w:tcPr>
          <w:p>
            <w:pPr>
              <w:spacing w:after="0"/>
              <w:rPr>
                <w:sz w:val="14"/>
                <w:szCs w:val="14"/>
                <w:color w:val="auto"/>
              </w:rPr>
            </w:pPr>
          </w:p>
        </w:tc>
        <w:tc>
          <w:tcPr>
            <w:tcW w:w="12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800" w:type="dxa"/>
            <w:vAlign w:val="bottom"/>
            <w:gridSpan w:val="4"/>
          </w:tcPr>
          <w:p>
            <w:pPr>
              <w:jc w:val="center"/>
              <w:ind w:right="163"/>
              <w:spacing w:after="0"/>
              <w:rPr>
                <w:sz w:val="20"/>
                <w:szCs w:val="20"/>
                <w:color w:val="auto"/>
              </w:rPr>
            </w:pPr>
            <w:r>
              <w:rPr>
                <w:rFonts w:ascii="Arial" w:cs="Arial" w:eastAsia="Arial" w:hAnsi="Arial"/>
                <w:sz w:val="13"/>
                <w:szCs w:val="13"/>
                <w:b w:val="1"/>
                <w:bCs w:val="1"/>
                <w:color w:val="auto"/>
                <w:w w:val="88"/>
              </w:rPr>
              <w:t>hedging instrument</w:t>
            </w:r>
          </w:p>
        </w:tc>
        <w:tc>
          <w:tcPr>
            <w:tcW w:w="1300" w:type="dxa"/>
            <w:vAlign w:val="bottom"/>
            <w:gridSpan w:val="2"/>
            <w:vMerge w:val="restart"/>
          </w:tcPr>
          <w:p>
            <w:pPr>
              <w:jc w:val="center"/>
              <w:ind w:right="103"/>
              <w:spacing w:after="0"/>
              <w:rPr>
                <w:sz w:val="20"/>
                <w:szCs w:val="20"/>
                <w:color w:val="auto"/>
              </w:rPr>
            </w:pPr>
            <w:r>
              <w:rPr>
                <w:rFonts w:ascii="Arial" w:cs="Arial" w:eastAsia="Arial" w:hAnsi="Arial"/>
                <w:sz w:val="13"/>
                <w:szCs w:val="13"/>
                <w:b w:val="1"/>
                <w:bCs w:val="1"/>
                <w:color w:val="auto"/>
                <w:w w:val="89"/>
              </w:rPr>
              <w:t>Changes in fair</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21"/>
        </w:trPr>
        <w:tc>
          <w:tcPr>
            <w:tcW w:w="220" w:type="dxa"/>
            <w:vAlign w:val="bottom"/>
          </w:tcPr>
          <w:p>
            <w:pPr>
              <w:spacing w:after="0"/>
              <w:rPr>
                <w:sz w:val="10"/>
                <w:szCs w:val="10"/>
                <w:color w:val="auto"/>
              </w:rPr>
            </w:pPr>
          </w:p>
        </w:tc>
        <w:tc>
          <w:tcPr>
            <w:tcW w:w="5360" w:type="dxa"/>
            <w:vAlign w:val="bottom"/>
          </w:tcPr>
          <w:p>
            <w:pPr>
              <w:spacing w:after="0"/>
              <w:rPr>
                <w:sz w:val="10"/>
                <w:szCs w:val="10"/>
                <w:color w:val="auto"/>
              </w:rPr>
            </w:pPr>
          </w:p>
        </w:tc>
        <w:tc>
          <w:tcPr>
            <w:tcW w:w="12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180" w:type="dxa"/>
            <w:vAlign w:val="bottom"/>
            <w:tcBorders>
              <w:top w:val="single" w:sz="8" w:color="auto"/>
            </w:tcBorders>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1200" w:type="dxa"/>
            <w:vAlign w:val="bottom"/>
            <w:tcBorders>
              <w:top w:val="single" w:sz="8" w:color="auto"/>
            </w:tcBorders>
          </w:tcPr>
          <w:p>
            <w:pPr>
              <w:spacing w:after="0"/>
              <w:rPr>
                <w:sz w:val="10"/>
                <w:szCs w:val="10"/>
                <w:color w:val="auto"/>
              </w:rPr>
            </w:pPr>
          </w:p>
        </w:tc>
        <w:tc>
          <w:tcPr>
            <w:tcW w:w="200" w:type="dxa"/>
            <w:vAlign w:val="bottom"/>
          </w:tcPr>
          <w:p>
            <w:pPr>
              <w:spacing w:after="0"/>
              <w:rPr>
                <w:sz w:val="10"/>
                <w:szCs w:val="10"/>
                <w:color w:val="auto"/>
              </w:rPr>
            </w:pPr>
          </w:p>
        </w:tc>
        <w:tc>
          <w:tcPr>
            <w:tcW w:w="1300" w:type="dxa"/>
            <w:vAlign w:val="bottom"/>
            <w:gridSpan w:val="2"/>
            <w:vMerge w:val="continue"/>
          </w:tcPr>
          <w:p>
            <w:pPr>
              <w:spacing w:after="0"/>
              <w:rPr>
                <w:sz w:val="10"/>
                <w:szCs w:val="10"/>
                <w:color w:val="auto"/>
              </w:rPr>
            </w:pPr>
          </w:p>
        </w:tc>
        <w:tc>
          <w:tcPr>
            <w:tcW w:w="36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536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300" w:type="dxa"/>
            <w:vAlign w:val="bottom"/>
            <w:gridSpan w:val="2"/>
          </w:tcPr>
          <w:p>
            <w:pPr>
              <w:jc w:val="center"/>
              <w:ind w:right="63"/>
              <w:spacing w:after="0"/>
              <w:rPr>
                <w:sz w:val="20"/>
                <w:szCs w:val="20"/>
                <w:color w:val="auto"/>
              </w:rPr>
            </w:pPr>
            <w:r>
              <w:rPr>
                <w:rFonts w:ascii="Arial" w:cs="Arial" w:eastAsia="Arial" w:hAnsi="Arial"/>
                <w:sz w:val="13"/>
                <w:szCs w:val="13"/>
                <w:b w:val="1"/>
                <w:bCs w:val="1"/>
                <w:color w:val="auto"/>
                <w:w w:val="86"/>
              </w:rPr>
              <w:t>value used for</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5360" w:type="dxa"/>
            <w:vAlign w:val="bottom"/>
          </w:tcPr>
          <w:p>
            <w:pPr>
              <w:spacing w:after="0"/>
              <w:rPr>
                <w:sz w:val="13"/>
                <w:szCs w:val="13"/>
                <w:color w:val="auto"/>
              </w:rPr>
            </w:pPr>
          </w:p>
        </w:tc>
        <w:tc>
          <w:tcPr>
            <w:tcW w:w="1440" w:type="dxa"/>
            <w:vAlign w:val="bottom"/>
            <w:gridSpan w:val="2"/>
          </w:tcPr>
          <w:p>
            <w:pPr>
              <w:jc w:val="right"/>
              <w:ind w:right="620"/>
              <w:spacing w:after="0"/>
              <w:rPr>
                <w:sz w:val="20"/>
                <w:szCs w:val="20"/>
                <w:color w:val="auto"/>
              </w:rPr>
            </w:pPr>
            <w:r>
              <w:rPr>
                <w:rFonts w:ascii="Arial" w:cs="Arial" w:eastAsia="Arial" w:hAnsi="Arial"/>
                <w:sz w:val="13"/>
                <w:szCs w:val="13"/>
                <w:b w:val="1"/>
                <w:bCs w:val="1"/>
                <w:color w:val="auto"/>
              </w:rPr>
              <w:t>Nominal</w:t>
            </w:r>
          </w:p>
        </w:tc>
        <w:tc>
          <w:tcPr>
            <w:tcW w:w="11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300" w:type="dxa"/>
            <w:vAlign w:val="bottom"/>
            <w:gridSpan w:val="2"/>
          </w:tcPr>
          <w:p>
            <w:pPr>
              <w:jc w:val="center"/>
              <w:ind w:right="63"/>
              <w:spacing w:after="0"/>
              <w:rPr>
                <w:sz w:val="20"/>
                <w:szCs w:val="20"/>
                <w:color w:val="auto"/>
              </w:rPr>
            </w:pPr>
            <w:r>
              <w:rPr>
                <w:rFonts w:ascii="Arial" w:cs="Arial" w:eastAsia="Arial" w:hAnsi="Arial"/>
                <w:sz w:val="13"/>
                <w:szCs w:val="13"/>
                <w:b w:val="1"/>
                <w:bCs w:val="1"/>
                <w:color w:val="auto"/>
                <w:w w:val="87"/>
              </w:rPr>
              <w:t>calculating hedge</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6"/>
        </w:trPr>
        <w:tc>
          <w:tcPr>
            <w:tcW w:w="220" w:type="dxa"/>
            <w:vAlign w:val="bottom"/>
          </w:tcPr>
          <w:p>
            <w:pPr>
              <w:spacing w:after="0"/>
              <w:rPr>
                <w:sz w:val="14"/>
                <w:szCs w:val="14"/>
                <w:color w:val="auto"/>
              </w:rPr>
            </w:pPr>
          </w:p>
        </w:tc>
        <w:tc>
          <w:tcPr>
            <w:tcW w:w="5360" w:type="dxa"/>
            <w:vAlign w:val="bottom"/>
          </w:tcPr>
          <w:p>
            <w:pPr>
              <w:spacing w:after="0"/>
              <w:rPr>
                <w:sz w:val="14"/>
                <w:szCs w:val="14"/>
                <w:color w:val="auto"/>
              </w:rPr>
            </w:pPr>
          </w:p>
        </w:tc>
        <w:tc>
          <w:tcPr>
            <w:tcW w:w="1440" w:type="dxa"/>
            <w:vAlign w:val="bottom"/>
            <w:gridSpan w:val="2"/>
          </w:tcPr>
          <w:p>
            <w:pPr>
              <w:jc w:val="right"/>
              <w:ind w:right="600"/>
              <w:spacing w:after="0"/>
              <w:rPr>
                <w:sz w:val="20"/>
                <w:szCs w:val="20"/>
                <w:color w:val="auto"/>
              </w:rPr>
            </w:pPr>
            <w:r>
              <w:rPr>
                <w:rFonts w:ascii="Arial" w:cs="Arial" w:eastAsia="Arial" w:hAnsi="Arial"/>
                <w:sz w:val="13"/>
                <w:szCs w:val="13"/>
                <w:b w:val="1"/>
                <w:bCs w:val="1"/>
                <w:color w:val="auto"/>
              </w:rPr>
              <w:t>Amount</w:t>
            </w:r>
          </w:p>
        </w:tc>
        <w:tc>
          <w:tcPr>
            <w:tcW w:w="1400" w:type="dxa"/>
            <w:vAlign w:val="bottom"/>
            <w:gridSpan w:val="2"/>
          </w:tcPr>
          <w:p>
            <w:pPr>
              <w:jc w:val="right"/>
              <w:ind w:right="660"/>
              <w:spacing w:after="0"/>
              <w:rPr>
                <w:sz w:val="20"/>
                <w:szCs w:val="20"/>
                <w:color w:val="auto"/>
              </w:rPr>
            </w:pPr>
            <w:r>
              <w:rPr>
                <w:rFonts w:ascii="Arial" w:cs="Arial" w:eastAsia="Arial" w:hAnsi="Arial"/>
                <w:sz w:val="13"/>
                <w:szCs w:val="13"/>
                <w:b w:val="1"/>
                <w:bCs w:val="1"/>
                <w:color w:val="auto"/>
              </w:rPr>
              <w:t>Asset</w:t>
            </w:r>
          </w:p>
        </w:tc>
        <w:tc>
          <w:tcPr>
            <w:tcW w:w="1400" w:type="dxa"/>
            <w:vAlign w:val="bottom"/>
            <w:gridSpan w:val="2"/>
          </w:tcPr>
          <w:p>
            <w:pPr>
              <w:jc w:val="right"/>
              <w:ind w:right="523"/>
              <w:spacing w:after="0"/>
              <w:rPr>
                <w:sz w:val="20"/>
                <w:szCs w:val="20"/>
                <w:color w:val="auto"/>
              </w:rPr>
            </w:pPr>
            <w:r>
              <w:rPr>
                <w:rFonts w:ascii="Arial" w:cs="Arial" w:eastAsia="Arial" w:hAnsi="Arial"/>
                <w:sz w:val="13"/>
                <w:szCs w:val="13"/>
                <w:b w:val="1"/>
                <w:bCs w:val="1"/>
                <w:color w:val="auto"/>
              </w:rPr>
              <w:t>Liability</w:t>
            </w:r>
          </w:p>
        </w:tc>
        <w:tc>
          <w:tcPr>
            <w:tcW w:w="1300" w:type="dxa"/>
            <w:vAlign w:val="bottom"/>
            <w:gridSpan w:val="2"/>
          </w:tcPr>
          <w:p>
            <w:pPr>
              <w:jc w:val="center"/>
              <w:ind w:right="63"/>
              <w:spacing w:after="0"/>
              <w:rPr>
                <w:sz w:val="20"/>
                <w:szCs w:val="20"/>
                <w:color w:val="auto"/>
              </w:rPr>
            </w:pPr>
            <w:r>
              <w:rPr>
                <w:rFonts w:ascii="Arial" w:cs="Arial" w:eastAsia="Arial" w:hAnsi="Arial"/>
                <w:sz w:val="13"/>
                <w:szCs w:val="13"/>
                <w:b w:val="1"/>
                <w:bCs w:val="1"/>
                <w:color w:val="auto"/>
                <w:w w:val="85"/>
              </w:rPr>
              <w:t>ineffectiveness</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536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Fair value hedges:</w:t>
            </w:r>
          </w:p>
        </w:tc>
        <w:tc>
          <w:tcPr>
            <w:tcW w:w="12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3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5360" w:type="dxa"/>
            <w:vAlign w:val="bottom"/>
          </w:tcPr>
          <w:p>
            <w:pPr>
              <w:ind w:left="120"/>
              <w:spacing w:after="0"/>
              <w:rPr>
                <w:sz w:val="20"/>
                <w:szCs w:val="20"/>
                <w:color w:val="auto"/>
              </w:rPr>
            </w:pPr>
            <w:r>
              <w:rPr>
                <w:rFonts w:ascii="Arial" w:cs="Arial" w:eastAsia="Arial" w:hAnsi="Arial"/>
                <w:sz w:val="13"/>
                <w:szCs w:val="13"/>
                <w:color w:val="auto"/>
              </w:rPr>
              <w:t>Interest rate swaps</w:t>
            </w:r>
          </w:p>
        </w:tc>
        <w:tc>
          <w:tcPr>
            <w:tcW w:w="1220" w:type="dxa"/>
            <w:vAlign w:val="bottom"/>
          </w:tcPr>
          <w:p>
            <w:pPr>
              <w:jc w:val="right"/>
              <w:spacing w:after="0"/>
              <w:rPr>
                <w:sz w:val="20"/>
                <w:szCs w:val="20"/>
                <w:color w:val="auto"/>
              </w:rPr>
            </w:pPr>
            <w:r>
              <w:rPr>
                <w:rFonts w:ascii="Arial" w:cs="Arial" w:eastAsia="Arial" w:hAnsi="Arial"/>
                <w:sz w:val="13"/>
                <w:szCs w:val="13"/>
                <w:color w:val="auto"/>
              </w:rPr>
              <w:t>433,500</w:t>
            </w:r>
          </w:p>
        </w:tc>
        <w:tc>
          <w:tcPr>
            <w:tcW w:w="220" w:type="dxa"/>
            <w:vAlign w:val="bottom"/>
          </w:tcPr>
          <w:p>
            <w:pPr>
              <w:spacing w:after="0"/>
              <w:rPr>
                <w:sz w:val="13"/>
                <w:szCs w:val="13"/>
                <w:color w:val="auto"/>
              </w:rPr>
            </w:pPr>
          </w:p>
        </w:tc>
        <w:tc>
          <w:tcPr>
            <w:tcW w:w="1400" w:type="dxa"/>
            <w:vAlign w:val="bottom"/>
            <w:gridSpan w:val="2"/>
          </w:tcPr>
          <w:p>
            <w:pPr>
              <w:jc w:val="right"/>
              <w:ind w:right="220"/>
              <w:spacing w:after="0"/>
              <w:rPr>
                <w:sz w:val="20"/>
                <w:szCs w:val="20"/>
                <w:color w:val="auto"/>
              </w:rPr>
            </w:pPr>
            <w:r>
              <w:rPr>
                <w:rFonts w:ascii="Arial" w:cs="Arial" w:eastAsia="Arial" w:hAnsi="Arial"/>
                <w:sz w:val="13"/>
                <w:szCs w:val="13"/>
                <w:color w:val="auto"/>
              </w:rPr>
              <w:t>108</w:t>
            </w:r>
          </w:p>
        </w:tc>
        <w:tc>
          <w:tcPr>
            <w:tcW w:w="1400" w:type="dxa"/>
            <w:vAlign w:val="bottom"/>
            <w:gridSpan w:val="2"/>
          </w:tcPr>
          <w:p>
            <w:pPr>
              <w:jc w:val="right"/>
              <w:ind w:right="123"/>
              <w:spacing w:after="0"/>
              <w:rPr>
                <w:sz w:val="20"/>
                <w:szCs w:val="20"/>
                <w:color w:val="auto"/>
              </w:rPr>
            </w:pPr>
            <w:r>
              <w:rPr>
                <w:rFonts w:ascii="Arial" w:cs="Arial" w:eastAsia="Arial" w:hAnsi="Arial"/>
                <w:sz w:val="13"/>
                <w:szCs w:val="13"/>
                <w:color w:val="auto"/>
              </w:rPr>
              <w:t>(6,134)</w:t>
            </w:r>
          </w:p>
        </w:tc>
        <w:tc>
          <w:tcPr>
            <w:tcW w:w="1300" w:type="dxa"/>
            <w:vAlign w:val="bottom"/>
            <w:gridSpan w:val="2"/>
          </w:tcPr>
          <w:p>
            <w:pPr>
              <w:jc w:val="right"/>
              <w:ind w:right="23"/>
              <w:spacing w:after="0"/>
              <w:rPr>
                <w:sz w:val="20"/>
                <w:szCs w:val="20"/>
                <w:color w:val="auto"/>
              </w:rPr>
            </w:pPr>
            <w:r>
              <w:rPr>
                <w:rFonts w:ascii="Arial" w:cs="Arial" w:eastAsia="Arial" w:hAnsi="Arial"/>
                <w:sz w:val="13"/>
                <w:szCs w:val="13"/>
                <w:color w:val="auto"/>
              </w:rPr>
              <w:t>(1,666)</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5360" w:type="dxa"/>
            <w:vAlign w:val="bottom"/>
            <w:shd w:val="clear" w:color="auto" w:fill="CCEEFF"/>
          </w:tcPr>
          <w:p>
            <w:pPr>
              <w:ind w:left="120"/>
              <w:spacing w:after="0"/>
              <w:rPr>
                <w:sz w:val="20"/>
                <w:szCs w:val="20"/>
                <w:color w:val="auto"/>
              </w:rPr>
            </w:pPr>
            <w:r>
              <w:rPr>
                <w:rFonts w:ascii="Arial" w:cs="Arial" w:eastAsia="Arial" w:hAnsi="Arial"/>
                <w:sz w:val="13"/>
                <w:szCs w:val="13"/>
                <w:color w:val="auto"/>
              </w:rPr>
              <w:t>Cross-currency swaps</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226,756</w:t>
            </w:r>
          </w:p>
        </w:tc>
        <w:tc>
          <w:tcPr>
            <w:tcW w:w="220" w:type="dxa"/>
            <w:vAlign w:val="bottom"/>
            <w:shd w:val="clear" w:color="auto" w:fill="CCEEFF"/>
          </w:tcPr>
          <w:p>
            <w:pPr>
              <w:spacing w:after="0"/>
              <w:rPr>
                <w:sz w:val="13"/>
                <w:szCs w:val="13"/>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1,134</w:t>
            </w:r>
          </w:p>
        </w:tc>
        <w:tc>
          <w:tcPr>
            <w:tcW w:w="220" w:type="dxa"/>
            <w:vAlign w:val="bottom"/>
            <w:shd w:val="clear" w:color="auto" w:fill="CCEEFF"/>
          </w:tcPr>
          <w:p>
            <w:pPr>
              <w:spacing w:after="0"/>
              <w:rPr>
                <w:sz w:val="13"/>
                <w:szCs w:val="13"/>
                <w:color w:val="auto"/>
              </w:rPr>
            </w:pPr>
          </w:p>
        </w:tc>
        <w:tc>
          <w:tcPr>
            <w:tcW w:w="1400" w:type="dxa"/>
            <w:vAlign w:val="bottom"/>
            <w:gridSpan w:val="2"/>
            <w:shd w:val="clear" w:color="auto" w:fill="CCEEFF"/>
          </w:tcPr>
          <w:p>
            <w:pPr>
              <w:jc w:val="right"/>
              <w:ind w:right="123"/>
              <w:spacing w:after="0"/>
              <w:rPr>
                <w:sz w:val="20"/>
                <w:szCs w:val="20"/>
                <w:color w:val="auto"/>
              </w:rPr>
            </w:pPr>
            <w:r>
              <w:rPr>
                <w:rFonts w:ascii="Arial" w:cs="Arial" w:eastAsia="Arial" w:hAnsi="Arial"/>
                <w:sz w:val="13"/>
                <w:szCs w:val="13"/>
                <w:color w:val="auto"/>
              </w:rPr>
              <w:t>(15,994)</w:t>
            </w:r>
          </w:p>
        </w:tc>
        <w:tc>
          <w:tcPr>
            <w:tcW w:w="1300" w:type="dxa"/>
            <w:vAlign w:val="bottom"/>
            <w:gridSpan w:val="2"/>
            <w:shd w:val="clear" w:color="auto" w:fill="CCEEFF"/>
          </w:tcPr>
          <w:p>
            <w:pPr>
              <w:jc w:val="right"/>
              <w:ind w:right="63"/>
              <w:spacing w:after="0"/>
              <w:rPr>
                <w:sz w:val="20"/>
                <w:szCs w:val="20"/>
                <w:color w:val="auto"/>
              </w:rPr>
            </w:pPr>
            <w:r>
              <w:rPr>
                <w:rFonts w:ascii="Arial" w:cs="Arial" w:eastAsia="Arial" w:hAnsi="Arial"/>
                <w:sz w:val="13"/>
                <w:szCs w:val="13"/>
                <w:color w:val="auto"/>
              </w:rPr>
              <w:t>11,676</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5360" w:type="dxa"/>
            <w:vAlign w:val="bottom"/>
          </w:tcPr>
          <w:p>
            <w:pPr>
              <w:spacing w:after="0"/>
              <w:rPr>
                <w:sz w:val="20"/>
                <w:szCs w:val="20"/>
                <w:color w:val="auto"/>
              </w:rPr>
            </w:pPr>
            <w:r>
              <w:rPr>
                <w:rFonts w:ascii="Arial" w:cs="Arial" w:eastAsia="Arial" w:hAnsi="Arial"/>
                <w:sz w:val="13"/>
                <w:szCs w:val="13"/>
                <w:b w:val="1"/>
                <w:bCs w:val="1"/>
                <w:color w:val="auto"/>
              </w:rPr>
              <w:t>Cash flow hedges:</w:t>
            </w:r>
          </w:p>
        </w:tc>
        <w:tc>
          <w:tcPr>
            <w:tcW w:w="12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5360" w:type="dxa"/>
            <w:vAlign w:val="bottom"/>
            <w:shd w:val="clear" w:color="auto" w:fill="CCEEFF"/>
          </w:tcPr>
          <w:p>
            <w:pPr>
              <w:ind w:left="120"/>
              <w:spacing w:after="0"/>
              <w:rPr>
                <w:sz w:val="20"/>
                <w:szCs w:val="20"/>
                <w:color w:val="auto"/>
              </w:rPr>
            </w:pPr>
            <w:r>
              <w:rPr>
                <w:rFonts w:ascii="Arial" w:cs="Arial" w:eastAsia="Arial" w:hAnsi="Arial"/>
                <w:sz w:val="13"/>
                <w:szCs w:val="13"/>
                <w:color w:val="auto"/>
              </w:rPr>
              <w:t>Interest rate swaps</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460,000</w:t>
            </w:r>
          </w:p>
        </w:tc>
        <w:tc>
          <w:tcPr>
            <w:tcW w:w="220" w:type="dxa"/>
            <w:vAlign w:val="bottom"/>
            <w:shd w:val="clear" w:color="auto" w:fill="CCEEFF"/>
          </w:tcPr>
          <w:p>
            <w:pPr>
              <w:spacing w:after="0"/>
              <w:rPr>
                <w:sz w:val="13"/>
                <w:szCs w:val="13"/>
                <w:color w:val="auto"/>
              </w:rPr>
            </w:pP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513</w:t>
            </w:r>
          </w:p>
        </w:tc>
        <w:tc>
          <w:tcPr>
            <w:tcW w:w="1400" w:type="dxa"/>
            <w:vAlign w:val="bottom"/>
            <w:gridSpan w:val="2"/>
            <w:shd w:val="clear" w:color="auto" w:fill="CCEEFF"/>
          </w:tcPr>
          <w:p>
            <w:pPr>
              <w:jc w:val="right"/>
              <w:ind w:right="123"/>
              <w:spacing w:after="0"/>
              <w:rPr>
                <w:sz w:val="20"/>
                <w:szCs w:val="20"/>
                <w:color w:val="auto"/>
              </w:rPr>
            </w:pPr>
            <w:r>
              <w:rPr>
                <w:rFonts w:ascii="Arial" w:cs="Arial" w:eastAsia="Arial" w:hAnsi="Arial"/>
                <w:sz w:val="13"/>
                <w:szCs w:val="13"/>
                <w:color w:val="auto"/>
              </w:rPr>
              <w:t>(3,276)</w:t>
            </w:r>
          </w:p>
        </w:tc>
        <w:tc>
          <w:tcPr>
            <w:tcW w:w="1300" w:type="dxa"/>
            <w:vAlign w:val="bottom"/>
            <w:gridSpan w:val="2"/>
            <w:shd w:val="clear" w:color="auto" w:fill="CCEEFF"/>
          </w:tcPr>
          <w:p>
            <w:pPr>
              <w:jc w:val="right"/>
              <w:ind w:right="23"/>
              <w:spacing w:after="0"/>
              <w:rPr>
                <w:sz w:val="20"/>
                <w:szCs w:val="20"/>
                <w:color w:val="auto"/>
              </w:rPr>
            </w:pPr>
            <w:r>
              <w:rPr>
                <w:rFonts w:ascii="Arial" w:cs="Arial" w:eastAsia="Arial" w:hAnsi="Arial"/>
                <w:sz w:val="13"/>
                <w:szCs w:val="13"/>
                <w:color w:val="auto"/>
              </w:rPr>
              <w:t>(2,462)</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5360" w:type="dxa"/>
            <w:vAlign w:val="bottom"/>
          </w:tcPr>
          <w:p>
            <w:pPr>
              <w:ind w:left="120"/>
              <w:spacing w:after="0"/>
              <w:rPr>
                <w:sz w:val="20"/>
                <w:szCs w:val="20"/>
                <w:color w:val="auto"/>
              </w:rPr>
            </w:pPr>
            <w:r>
              <w:rPr>
                <w:rFonts w:ascii="Arial" w:cs="Arial" w:eastAsia="Arial" w:hAnsi="Arial"/>
                <w:sz w:val="13"/>
                <w:szCs w:val="13"/>
                <w:color w:val="auto"/>
              </w:rPr>
              <w:t>Cross-currency swaps</w:t>
            </w:r>
          </w:p>
        </w:tc>
        <w:tc>
          <w:tcPr>
            <w:tcW w:w="1440" w:type="dxa"/>
            <w:vAlign w:val="bottom"/>
            <w:gridSpan w:val="2"/>
          </w:tcPr>
          <w:p>
            <w:pPr>
              <w:jc w:val="right"/>
              <w:ind w:right="220"/>
              <w:spacing w:after="0"/>
              <w:rPr>
                <w:sz w:val="20"/>
                <w:szCs w:val="20"/>
                <w:color w:val="auto"/>
              </w:rPr>
            </w:pPr>
            <w:r>
              <w:rPr>
                <w:rFonts w:ascii="Arial" w:cs="Arial" w:eastAsia="Arial" w:hAnsi="Arial"/>
                <w:sz w:val="13"/>
                <w:szCs w:val="13"/>
                <w:color w:val="auto"/>
              </w:rPr>
              <w:t>23,025</w:t>
            </w:r>
          </w:p>
        </w:tc>
        <w:tc>
          <w:tcPr>
            <w:tcW w:w="11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400" w:type="dxa"/>
            <w:vAlign w:val="bottom"/>
            <w:gridSpan w:val="2"/>
          </w:tcPr>
          <w:p>
            <w:pPr>
              <w:jc w:val="right"/>
              <w:ind w:right="123"/>
              <w:spacing w:after="0"/>
              <w:rPr>
                <w:sz w:val="20"/>
                <w:szCs w:val="20"/>
                <w:color w:val="auto"/>
              </w:rPr>
            </w:pPr>
            <w:r>
              <w:rPr>
                <w:rFonts w:ascii="Arial" w:cs="Arial" w:eastAsia="Arial" w:hAnsi="Arial"/>
                <w:sz w:val="13"/>
                <w:szCs w:val="13"/>
                <w:color w:val="auto"/>
              </w:rPr>
              <w:t>(1,384)</w:t>
            </w:r>
          </w:p>
        </w:tc>
        <w:tc>
          <w:tcPr>
            <w:tcW w:w="1300" w:type="dxa"/>
            <w:vAlign w:val="bottom"/>
            <w:gridSpan w:val="2"/>
          </w:tcPr>
          <w:p>
            <w:pPr>
              <w:jc w:val="right"/>
              <w:ind w:right="23"/>
              <w:spacing w:after="0"/>
              <w:rPr>
                <w:sz w:val="20"/>
                <w:szCs w:val="20"/>
                <w:color w:val="auto"/>
              </w:rPr>
            </w:pPr>
            <w:r>
              <w:rPr>
                <w:rFonts w:ascii="Arial" w:cs="Arial" w:eastAsia="Arial" w:hAnsi="Arial"/>
                <w:sz w:val="13"/>
                <w:szCs w:val="13"/>
                <w:color w:val="auto"/>
              </w:rPr>
              <w:t>(2,263)</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5360" w:type="dxa"/>
            <w:vAlign w:val="bottom"/>
            <w:shd w:val="clear" w:color="auto" w:fill="CCEEFF"/>
          </w:tcPr>
          <w:p>
            <w:pPr>
              <w:ind w:left="120"/>
              <w:spacing w:after="0"/>
              <w:rPr>
                <w:sz w:val="20"/>
                <w:szCs w:val="20"/>
                <w:color w:val="auto"/>
              </w:rPr>
            </w:pPr>
            <w:r>
              <w:rPr>
                <w:rFonts w:ascii="Arial" w:cs="Arial" w:eastAsia="Arial" w:hAnsi="Arial"/>
                <w:sz w:val="13"/>
                <w:szCs w:val="13"/>
                <w:color w:val="auto"/>
              </w:rPr>
              <w:t>Foreign exchange forwards</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176,311</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933</w:t>
            </w:r>
          </w:p>
        </w:tc>
        <w:tc>
          <w:tcPr>
            <w:tcW w:w="1400" w:type="dxa"/>
            <w:vAlign w:val="bottom"/>
            <w:gridSpan w:val="2"/>
            <w:shd w:val="clear" w:color="auto" w:fill="CCEEFF"/>
          </w:tcPr>
          <w:p>
            <w:pPr>
              <w:jc w:val="right"/>
              <w:ind w:right="123"/>
              <w:spacing w:after="0"/>
              <w:rPr>
                <w:sz w:val="20"/>
                <w:szCs w:val="20"/>
                <w:color w:val="auto"/>
              </w:rPr>
            </w:pPr>
            <w:r>
              <w:rPr>
                <w:rFonts w:ascii="Arial" w:cs="Arial" w:eastAsia="Arial" w:hAnsi="Arial"/>
                <w:sz w:val="13"/>
                <w:szCs w:val="13"/>
                <w:color w:val="auto"/>
              </w:rPr>
              <w:t>(7,177)</w:t>
            </w:r>
          </w:p>
        </w:tc>
        <w:tc>
          <w:tcPr>
            <w:tcW w:w="1300" w:type="dxa"/>
            <w:vAlign w:val="bottom"/>
            <w:gridSpan w:val="2"/>
            <w:shd w:val="clear" w:color="auto" w:fill="CCEEFF"/>
          </w:tcPr>
          <w:p>
            <w:pPr>
              <w:jc w:val="right"/>
              <w:ind w:right="23"/>
              <w:spacing w:after="0"/>
              <w:rPr>
                <w:sz w:val="20"/>
                <w:szCs w:val="20"/>
                <w:color w:val="auto"/>
              </w:rPr>
            </w:pPr>
            <w:r>
              <w:rPr>
                <w:rFonts w:ascii="Arial" w:cs="Arial" w:eastAsia="Arial" w:hAnsi="Arial"/>
                <w:sz w:val="13"/>
                <w:szCs w:val="13"/>
                <w:color w:val="auto"/>
              </w:rPr>
              <w:t>(14,854)</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5360" w:type="dxa"/>
            <w:vAlign w:val="bottom"/>
          </w:tcPr>
          <w:p>
            <w:pPr>
              <w:spacing w:after="0"/>
              <w:rPr>
                <w:sz w:val="20"/>
                <w:szCs w:val="20"/>
                <w:color w:val="auto"/>
              </w:rPr>
            </w:pPr>
            <w:r>
              <w:rPr>
                <w:rFonts w:ascii="Arial" w:cs="Arial" w:eastAsia="Arial" w:hAnsi="Arial"/>
                <w:sz w:val="13"/>
                <w:szCs w:val="13"/>
                <w:b w:val="1"/>
                <w:bCs w:val="1"/>
                <w:color w:val="auto"/>
              </w:rPr>
              <w:t>Net investment hedges:</w:t>
            </w:r>
          </w:p>
        </w:tc>
        <w:tc>
          <w:tcPr>
            <w:tcW w:w="12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5360" w:type="dxa"/>
            <w:vAlign w:val="bottom"/>
            <w:shd w:val="clear" w:color="auto" w:fill="CCEEFF"/>
          </w:tcPr>
          <w:p>
            <w:pPr>
              <w:ind w:left="120"/>
              <w:spacing w:after="0"/>
              <w:rPr>
                <w:sz w:val="20"/>
                <w:szCs w:val="20"/>
                <w:color w:val="auto"/>
              </w:rPr>
            </w:pPr>
            <w:r>
              <w:rPr>
                <w:rFonts w:ascii="Arial" w:cs="Arial" w:eastAsia="Arial" w:hAnsi="Arial"/>
                <w:sz w:val="13"/>
                <w:szCs w:val="13"/>
                <w:color w:val="auto"/>
              </w:rPr>
              <w:t>Foreign exchange forwards</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6,183</w:t>
            </w:r>
          </w:p>
        </w:tc>
        <w:tc>
          <w:tcPr>
            <w:tcW w:w="220" w:type="dxa"/>
            <w:vAlign w:val="bottom"/>
            <w:shd w:val="clear" w:color="auto" w:fill="CCEEFF"/>
          </w:tcPr>
          <w:p>
            <w:pPr>
              <w:spacing w:after="0"/>
              <w:rPr>
                <w:sz w:val="14"/>
                <w:szCs w:val="14"/>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1400" w:type="dxa"/>
            <w:vAlign w:val="bottom"/>
            <w:gridSpan w:val="2"/>
            <w:shd w:val="clear" w:color="auto" w:fill="CCEEFF"/>
          </w:tcPr>
          <w:p>
            <w:pPr>
              <w:jc w:val="right"/>
              <w:ind w:right="123"/>
              <w:spacing w:after="0"/>
              <w:rPr>
                <w:sz w:val="20"/>
                <w:szCs w:val="20"/>
                <w:color w:val="auto"/>
              </w:rPr>
            </w:pPr>
            <w:r>
              <w:rPr>
                <w:rFonts w:ascii="Arial" w:cs="Arial" w:eastAsia="Arial" w:hAnsi="Arial"/>
                <w:sz w:val="13"/>
                <w:szCs w:val="13"/>
                <w:color w:val="auto"/>
              </w:rPr>
              <w:t>(78)</w:t>
            </w:r>
          </w:p>
        </w:tc>
        <w:tc>
          <w:tcPr>
            <w:tcW w:w="1300" w:type="dxa"/>
            <w:vAlign w:val="bottom"/>
            <w:gridSpan w:val="2"/>
            <w:shd w:val="clear" w:color="auto" w:fill="CCEEFF"/>
          </w:tcPr>
          <w:p>
            <w:pPr>
              <w:jc w:val="right"/>
              <w:ind w:right="23"/>
              <w:spacing w:after="0"/>
              <w:rPr>
                <w:sz w:val="20"/>
                <w:szCs w:val="20"/>
                <w:color w:val="auto"/>
              </w:rPr>
            </w:pPr>
            <w:r>
              <w:rPr>
                <w:rFonts w:ascii="Arial" w:cs="Arial" w:eastAsia="Arial" w:hAnsi="Arial"/>
                <w:sz w:val="13"/>
                <w:szCs w:val="13"/>
                <w:color w:val="auto"/>
              </w:rPr>
              <w:t>(128)</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5360" w:type="dxa"/>
            <w:vAlign w:val="bottom"/>
          </w:tcPr>
          <w:p>
            <w:pPr>
              <w:spacing w:after="0" w:line="146" w:lineRule="exact"/>
              <w:rPr>
                <w:sz w:val="20"/>
                <w:szCs w:val="20"/>
                <w:color w:val="auto"/>
              </w:rPr>
            </w:pPr>
            <w:r>
              <w:rPr>
                <w:rFonts w:ascii="Arial" w:cs="Arial" w:eastAsia="Arial" w:hAnsi="Arial"/>
                <w:sz w:val="13"/>
                <w:szCs w:val="13"/>
                <w:b w:val="1"/>
                <w:bCs w:val="1"/>
                <w:color w:val="auto"/>
              </w:rPr>
              <w:t>Total</w:t>
            </w: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1,325,775</w:t>
            </w:r>
          </w:p>
        </w:tc>
        <w:tc>
          <w:tcPr>
            <w:tcW w:w="220" w:type="dxa"/>
            <w:vAlign w:val="bottom"/>
          </w:tcPr>
          <w:p>
            <w:pPr>
              <w:spacing w:after="0"/>
              <w:rPr>
                <w:sz w:val="14"/>
                <w:szCs w:val="14"/>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2,688</w:t>
            </w:r>
          </w:p>
        </w:tc>
        <w:tc>
          <w:tcPr>
            <w:tcW w:w="220" w:type="dxa"/>
            <w:vAlign w:val="bottom"/>
          </w:tcPr>
          <w:p>
            <w:pPr>
              <w:spacing w:after="0"/>
              <w:rPr>
                <w:sz w:val="14"/>
                <w:szCs w:val="14"/>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(34,043</w:t>
            </w:r>
          </w:p>
        </w:tc>
        <w:tc>
          <w:tcPr>
            <w:tcW w:w="200" w:type="dxa"/>
            <w:vAlign w:val="bottom"/>
          </w:tcPr>
          <w:p>
            <w:pPr>
              <w:jc w:val="right"/>
              <w:ind w:right="123"/>
              <w:spacing w:after="0"/>
              <w:rPr>
                <w:sz w:val="20"/>
                <w:szCs w:val="20"/>
                <w:color w:val="auto"/>
              </w:rPr>
            </w:pPr>
            <w:r>
              <w:rPr>
                <w:rFonts w:ascii="Arial" w:cs="Arial" w:eastAsia="Arial" w:hAnsi="Arial"/>
                <w:sz w:val="7"/>
                <w:szCs w:val="7"/>
                <w:b w:val="1"/>
                <w:bCs w:val="1"/>
                <w:color w:val="auto"/>
                <w:w w:val="83"/>
              </w:rPr>
              <w:t>)</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(9,697</w:t>
            </w:r>
          </w:p>
        </w:tc>
        <w:tc>
          <w:tcPr>
            <w:tcW w:w="100" w:type="dxa"/>
            <w:vAlign w:val="bottom"/>
          </w:tcPr>
          <w:p>
            <w:pPr>
              <w:jc w:val="right"/>
              <w:ind w:right="23"/>
              <w:spacing w:after="0"/>
              <w:rPr>
                <w:sz w:val="20"/>
                <w:szCs w:val="20"/>
                <w:color w:val="auto"/>
              </w:rPr>
            </w:pPr>
            <w:r>
              <w:rPr>
                <w:rFonts w:ascii="Arial" w:cs="Arial" w:eastAsia="Arial" w:hAnsi="Arial"/>
                <w:sz w:val="7"/>
                <w:szCs w:val="7"/>
                <w:b w:val="1"/>
                <w:bCs w:val="1"/>
                <w:color w:val="auto"/>
                <w:w w:val="83"/>
              </w:rPr>
              <w:t>)</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467"/>
        </w:trPr>
        <w:tc>
          <w:tcPr>
            <w:tcW w:w="220" w:type="dxa"/>
            <w:vAlign w:val="bottom"/>
            <w:tcBorders>
              <w:bottom w:val="single" w:sz="8" w:color="auto"/>
            </w:tcBorders>
          </w:tcPr>
          <w:p>
            <w:pPr>
              <w:spacing w:after="0"/>
              <w:rPr>
                <w:sz w:val="24"/>
                <w:szCs w:val="24"/>
                <w:color w:val="auto"/>
              </w:rPr>
            </w:pPr>
          </w:p>
        </w:tc>
        <w:tc>
          <w:tcPr>
            <w:tcW w:w="5360" w:type="dxa"/>
            <w:vAlign w:val="bottom"/>
            <w:tcBorders>
              <w:bottom w:val="single" w:sz="8" w:color="auto"/>
            </w:tcBorders>
          </w:tcPr>
          <w:p>
            <w:pPr>
              <w:spacing w:after="0"/>
              <w:rPr>
                <w:sz w:val="24"/>
                <w:szCs w:val="24"/>
                <w:color w:val="auto"/>
              </w:rPr>
            </w:pPr>
          </w:p>
        </w:tc>
        <w:tc>
          <w:tcPr>
            <w:tcW w:w="1440" w:type="dxa"/>
            <w:vAlign w:val="bottom"/>
            <w:tcBorders>
              <w:bottom w:val="single" w:sz="8" w:color="auto"/>
            </w:tcBorders>
            <w:gridSpan w:val="2"/>
          </w:tcPr>
          <w:p>
            <w:pPr>
              <w:ind w:left="40"/>
              <w:spacing w:after="0"/>
              <w:rPr>
                <w:sz w:val="20"/>
                <w:szCs w:val="20"/>
                <w:color w:val="auto"/>
              </w:rPr>
            </w:pPr>
            <w:r>
              <w:rPr>
                <w:rFonts w:ascii="Arial" w:cs="Arial" w:eastAsia="Arial" w:hAnsi="Arial"/>
                <w:sz w:val="13"/>
                <w:szCs w:val="13"/>
                <w:color w:val="auto"/>
              </w:rPr>
              <w:t>F-52</w:t>
            </w: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3"/>
          </w:cols>
          <w:pgMar w:left="217" w:top="685" w:right="199" w:bottom="1440" w:gutter="0" w:footer="0" w:header="0"/>
        </w:sectPr>
      </w:pPr>
    </w:p>
    <w:bookmarkStart w:id="177" w:name="page178"/>
    <w:bookmarkEnd w:id="177"/>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24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140"/>
        </w:numPr>
        <w:rPr>
          <w:rFonts w:ascii="Arial" w:cs="Arial" w:eastAsia="Arial" w:hAnsi="Arial"/>
          <w:sz w:val="13"/>
          <w:szCs w:val="13"/>
          <w:b w:val="1"/>
          <w:bCs w:val="1"/>
          <w:color w:val="auto"/>
        </w:rPr>
      </w:pPr>
      <w:r>
        <w:rPr>
          <w:rFonts w:ascii="Arial" w:cs="Arial" w:eastAsia="Arial" w:hAnsi="Arial"/>
          <w:sz w:val="13"/>
          <w:szCs w:val="13"/>
          <w:b w:val="1"/>
          <w:bCs w:val="1"/>
          <w:color w:val="auto"/>
        </w:rPr>
        <w:t>Derivative financial instruments (continued)</w:t>
      </w:r>
    </w:p>
    <w:p>
      <w:pPr>
        <w:spacing w:after="0" w:line="168" w:lineRule="exact"/>
        <w:rPr>
          <w:sz w:val="20"/>
          <w:szCs w:val="20"/>
          <w:color w:val="auto"/>
        </w:rPr>
      </w:pPr>
    </w:p>
    <w:tbl>
      <w:tblPr>
        <w:tblLayout w:type="fixed"/>
        <w:tblInd w:w="223" w:type="dxa"/>
        <w:tblCellMar>
          <w:top w:w="0" w:type="dxa"/>
          <w:left w:w="0" w:type="dxa"/>
          <w:bottom w:w="0" w:type="dxa"/>
          <w:right w:w="0" w:type="dxa"/>
        </w:tblCellMar>
      </w:tblPr>
      <w:tr>
        <w:trPr>
          <w:trHeight w:val="167"/>
        </w:trPr>
        <w:tc>
          <w:tcPr>
            <w:tcW w:w="5360" w:type="dxa"/>
            <w:vAlign w:val="bottom"/>
          </w:tcPr>
          <w:p>
            <w:pPr>
              <w:spacing w:after="0"/>
              <w:rPr>
                <w:sz w:val="14"/>
                <w:szCs w:val="14"/>
                <w:color w:val="auto"/>
              </w:rPr>
            </w:pPr>
          </w:p>
        </w:tc>
        <w:tc>
          <w:tcPr>
            <w:tcW w:w="122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2800" w:type="dxa"/>
            <w:vAlign w:val="bottom"/>
            <w:tcBorders>
              <w:bottom w:val="single" w:sz="8" w:color="auto"/>
            </w:tcBorders>
            <w:gridSpan w:val="4"/>
          </w:tcPr>
          <w:p>
            <w:pPr>
              <w:jc w:val="center"/>
              <w:ind w:right="203"/>
              <w:spacing w:after="0"/>
              <w:rPr>
                <w:sz w:val="20"/>
                <w:szCs w:val="20"/>
                <w:color w:val="auto"/>
              </w:rPr>
            </w:pPr>
            <w:r>
              <w:rPr>
                <w:rFonts w:ascii="Arial" w:cs="Arial" w:eastAsia="Arial" w:hAnsi="Arial"/>
                <w:sz w:val="13"/>
                <w:szCs w:val="13"/>
                <w:b w:val="1"/>
                <w:bCs w:val="1"/>
                <w:color w:val="auto"/>
                <w:w w:val="88"/>
              </w:rPr>
              <w:t>December 31, 2017</w:t>
            </w:r>
          </w:p>
        </w:tc>
        <w:tc>
          <w:tcPr>
            <w:tcW w:w="120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1"/>
        </w:trPr>
        <w:tc>
          <w:tcPr>
            <w:tcW w:w="5360" w:type="dxa"/>
            <w:vAlign w:val="bottom"/>
          </w:tcPr>
          <w:p>
            <w:pPr>
              <w:spacing w:after="0"/>
              <w:rPr>
                <w:sz w:val="11"/>
                <w:szCs w:val="11"/>
                <w:color w:val="auto"/>
              </w:rPr>
            </w:pPr>
          </w:p>
        </w:tc>
        <w:tc>
          <w:tcPr>
            <w:tcW w:w="12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800" w:type="dxa"/>
            <w:vAlign w:val="bottom"/>
            <w:gridSpan w:val="4"/>
          </w:tcPr>
          <w:p>
            <w:pPr>
              <w:jc w:val="center"/>
              <w:ind w:right="223"/>
              <w:spacing w:after="0" w:line="131" w:lineRule="exact"/>
              <w:rPr>
                <w:sz w:val="20"/>
                <w:szCs w:val="20"/>
                <w:color w:val="auto"/>
              </w:rPr>
            </w:pPr>
            <w:r>
              <w:rPr>
                <w:rFonts w:ascii="Arial" w:cs="Arial" w:eastAsia="Arial" w:hAnsi="Arial"/>
                <w:sz w:val="13"/>
                <w:szCs w:val="13"/>
                <w:b w:val="1"/>
                <w:bCs w:val="1"/>
                <w:color w:val="auto"/>
                <w:w w:val="90"/>
              </w:rPr>
              <w:t>Carrying amount of the</w:t>
            </w:r>
          </w:p>
        </w:tc>
        <w:tc>
          <w:tcPr>
            <w:tcW w:w="120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5360" w:type="dxa"/>
            <w:vAlign w:val="bottom"/>
          </w:tcPr>
          <w:p>
            <w:pPr>
              <w:spacing w:after="0"/>
              <w:rPr>
                <w:sz w:val="14"/>
                <w:szCs w:val="14"/>
                <w:color w:val="auto"/>
              </w:rPr>
            </w:pPr>
          </w:p>
        </w:tc>
        <w:tc>
          <w:tcPr>
            <w:tcW w:w="12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800" w:type="dxa"/>
            <w:vAlign w:val="bottom"/>
            <w:gridSpan w:val="4"/>
          </w:tcPr>
          <w:p>
            <w:pPr>
              <w:jc w:val="center"/>
              <w:ind w:right="163"/>
              <w:spacing w:after="0"/>
              <w:rPr>
                <w:sz w:val="20"/>
                <w:szCs w:val="20"/>
                <w:color w:val="auto"/>
              </w:rPr>
            </w:pPr>
            <w:r>
              <w:rPr>
                <w:rFonts w:ascii="Arial" w:cs="Arial" w:eastAsia="Arial" w:hAnsi="Arial"/>
                <w:sz w:val="13"/>
                <w:szCs w:val="13"/>
                <w:b w:val="1"/>
                <w:bCs w:val="1"/>
                <w:color w:val="auto"/>
                <w:w w:val="88"/>
              </w:rPr>
              <w:t>hedging instrument</w:t>
            </w:r>
          </w:p>
        </w:tc>
        <w:tc>
          <w:tcPr>
            <w:tcW w:w="1300" w:type="dxa"/>
            <w:vAlign w:val="bottom"/>
            <w:gridSpan w:val="3"/>
            <w:vMerge w:val="restart"/>
          </w:tcPr>
          <w:p>
            <w:pPr>
              <w:jc w:val="center"/>
              <w:ind w:right="140"/>
              <w:spacing w:after="0"/>
              <w:rPr>
                <w:sz w:val="20"/>
                <w:szCs w:val="20"/>
                <w:color w:val="auto"/>
              </w:rPr>
            </w:pPr>
            <w:r>
              <w:rPr>
                <w:rFonts w:ascii="Arial" w:cs="Arial" w:eastAsia="Arial" w:hAnsi="Arial"/>
                <w:sz w:val="13"/>
                <w:szCs w:val="13"/>
                <w:b w:val="1"/>
                <w:bCs w:val="1"/>
                <w:color w:val="auto"/>
                <w:w w:val="89"/>
              </w:rPr>
              <w:t>Changes in fair</w:t>
            </w:r>
          </w:p>
        </w:tc>
        <w:tc>
          <w:tcPr>
            <w:tcW w:w="0" w:type="dxa"/>
            <w:vAlign w:val="bottom"/>
          </w:tcPr>
          <w:p>
            <w:pPr>
              <w:spacing w:after="0"/>
              <w:rPr>
                <w:sz w:val="1"/>
                <w:szCs w:val="1"/>
                <w:color w:val="auto"/>
              </w:rPr>
            </w:pPr>
          </w:p>
        </w:tc>
      </w:tr>
      <w:tr>
        <w:trPr>
          <w:trHeight w:val="121"/>
        </w:trPr>
        <w:tc>
          <w:tcPr>
            <w:tcW w:w="5360" w:type="dxa"/>
            <w:vAlign w:val="bottom"/>
          </w:tcPr>
          <w:p>
            <w:pPr>
              <w:spacing w:after="0"/>
              <w:rPr>
                <w:sz w:val="10"/>
                <w:szCs w:val="10"/>
                <w:color w:val="auto"/>
              </w:rPr>
            </w:pPr>
          </w:p>
        </w:tc>
        <w:tc>
          <w:tcPr>
            <w:tcW w:w="12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180" w:type="dxa"/>
            <w:vAlign w:val="bottom"/>
            <w:tcBorders>
              <w:top w:val="single" w:sz="8" w:color="auto"/>
            </w:tcBorders>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1200" w:type="dxa"/>
            <w:vAlign w:val="bottom"/>
            <w:tcBorders>
              <w:top w:val="single" w:sz="8" w:color="auto"/>
            </w:tcBorders>
          </w:tcPr>
          <w:p>
            <w:pPr>
              <w:spacing w:after="0"/>
              <w:rPr>
                <w:sz w:val="10"/>
                <w:szCs w:val="10"/>
                <w:color w:val="auto"/>
              </w:rPr>
            </w:pPr>
          </w:p>
        </w:tc>
        <w:tc>
          <w:tcPr>
            <w:tcW w:w="200" w:type="dxa"/>
            <w:vAlign w:val="bottom"/>
          </w:tcPr>
          <w:p>
            <w:pPr>
              <w:spacing w:after="0"/>
              <w:rPr>
                <w:sz w:val="10"/>
                <w:szCs w:val="10"/>
                <w:color w:val="auto"/>
              </w:rPr>
            </w:pPr>
          </w:p>
        </w:tc>
        <w:tc>
          <w:tcPr>
            <w:tcW w:w="1300" w:type="dxa"/>
            <w:vAlign w:val="bottom"/>
            <w:gridSpan w:val="3"/>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154"/>
        </w:trPr>
        <w:tc>
          <w:tcPr>
            <w:tcW w:w="536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300" w:type="dxa"/>
            <w:vAlign w:val="bottom"/>
            <w:gridSpan w:val="3"/>
          </w:tcPr>
          <w:p>
            <w:pPr>
              <w:jc w:val="center"/>
              <w:ind w:right="100"/>
              <w:spacing w:after="0"/>
              <w:rPr>
                <w:sz w:val="20"/>
                <w:szCs w:val="20"/>
                <w:color w:val="auto"/>
              </w:rPr>
            </w:pPr>
            <w:r>
              <w:rPr>
                <w:rFonts w:ascii="Arial" w:cs="Arial" w:eastAsia="Arial" w:hAnsi="Arial"/>
                <w:sz w:val="13"/>
                <w:szCs w:val="13"/>
                <w:b w:val="1"/>
                <w:bCs w:val="1"/>
                <w:color w:val="auto"/>
                <w:w w:val="86"/>
              </w:rPr>
              <w:t>value used for</w:t>
            </w:r>
          </w:p>
        </w:tc>
        <w:tc>
          <w:tcPr>
            <w:tcW w:w="0" w:type="dxa"/>
            <w:vAlign w:val="bottom"/>
          </w:tcPr>
          <w:p>
            <w:pPr>
              <w:spacing w:after="0"/>
              <w:rPr>
                <w:sz w:val="1"/>
                <w:szCs w:val="1"/>
                <w:color w:val="auto"/>
              </w:rPr>
            </w:pPr>
          </w:p>
        </w:tc>
      </w:tr>
      <w:tr>
        <w:trPr>
          <w:trHeight w:val="154"/>
        </w:trPr>
        <w:tc>
          <w:tcPr>
            <w:tcW w:w="536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300" w:type="dxa"/>
            <w:vAlign w:val="bottom"/>
            <w:gridSpan w:val="3"/>
          </w:tcPr>
          <w:p>
            <w:pPr>
              <w:jc w:val="center"/>
              <w:ind w:right="100"/>
              <w:spacing w:after="0"/>
              <w:rPr>
                <w:sz w:val="20"/>
                <w:szCs w:val="20"/>
                <w:color w:val="auto"/>
              </w:rPr>
            </w:pPr>
            <w:r>
              <w:rPr>
                <w:rFonts w:ascii="Arial" w:cs="Arial" w:eastAsia="Arial" w:hAnsi="Arial"/>
                <w:sz w:val="13"/>
                <w:szCs w:val="13"/>
                <w:b w:val="1"/>
                <w:bCs w:val="1"/>
                <w:color w:val="auto"/>
                <w:w w:val="88"/>
              </w:rPr>
              <w:t>calculating</w:t>
            </w:r>
          </w:p>
        </w:tc>
        <w:tc>
          <w:tcPr>
            <w:tcW w:w="0" w:type="dxa"/>
            <w:vAlign w:val="bottom"/>
          </w:tcPr>
          <w:p>
            <w:pPr>
              <w:spacing w:after="0"/>
              <w:rPr>
                <w:sz w:val="1"/>
                <w:szCs w:val="1"/>
                <w:color w:val="auto"/>
              </w:rPr>
            </w:pPr>
          </w:p>
        </w:tc>
      </w:tr>
      <w:tr>
        <w:trPr>
          <w:trHeight w:val="154"/>
        </w:trPr>
        <w:tc>
          <w:tcPr>
            <w:tcW w:w="5360" w:type="dxa"/>
            <w:vAlign w:val="bottom"/>
          </w:tcPr>
          <w:p>
            <w:pPr>
              <w:spacing w:after="0"/>
              <w:rPr>
                <w:sz w:val="13"/>
                <w:szCs w:val="13"/>
                <w:color w:val="auto"/>
              </w:rPr>
            </w:pPr>
          </w:p>
        </w:tc>
        <w:tc>
          <w:tcPr>
            <w:tcW w:w="1440" w:type="dxa"/>
            <w:vAlign w:val="bottom"/>
            <w:gridSpan w:val="2"/>
          </w:tcPr>
          <w:p>
            <w:pPr>
              <w:ind w:left="380"/>
              <w:spacing w:after="0"/>
              <w:rPr>
                <w:sz w:val="20"/>
                <w:szCs w:val="20"/>
                <w:color w:val="auto"/>
              </w:rPr>
            </w:pPr>
            <w:r>
              <w:rPr>
                <w:rFonts w:ascii="Arial" w:cs="Arial" w:eastAsia="Arial" w:hAnsi="Arial"/>
                <w:sz w:val="13"/>
                <w:szCs w:val="13"/>
                <w:b w:val="1"/>
                <w:bCs w:val="1"/>
                <w:color w:val="auto"/>
              </w:rPr>
              <w:t>Nominal</w:t>
            </w:r>
          </w:p>
        </w:tc>
        <w:tc>
          <w:tcPr>
            <w:tcW w:w="11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300" w:type="dxa"/>
            <w:vAlign w:val="bottom"/>
            <w:gridSpan w:val="3"/>
          </w:tcPr>
          <w:p>
            <w:pPr>
              <w:jc w:val="center"/>
              <w:ind w:right="100"/>
              <w:spacing w:after="0"/>
              <w:rPr>
                <w:sz w:val="20"/>
                <w:szCs w:val="20"/>
                <w:color w:val="auto"/>
              </w:rPr>
            </w:pPr>
            <w:r>
              <w:rPr>
                <w:rFonts w:ascii="Arial" w:cs="Arial" w:eastAsia="Arial" w:hAnsi="Arial"/>
                <w:sz w:val="13"/>
                <w:szCs w:val="13"/>
                <w:b w:val="1"/>
                <w:bCs w:val="1"/>
                <w:color w:val="auto"/>
                <w:w w:val="83"/>
              </w:rPr>
              <w:t>hedge</w:t>
            </w:r>
          </w:p>
        </w:tc>
        <w:tc>
          <w:tcPr>
            <w:tcW w:w="0" w:type="dxa"/>
            <w:vAlign w:val="bottom"/>
          </w:tcPr>
          <w:p>
            <w:pPr>
              <w:spacing w:after="0"/>
              <w:rPr>
                <w:sz w:val="1"/>
                <w:szCs w:val="1"/>
                <w:color w:val="auto"/>
              </w:rPr>
            </w:pPr>
          </w:p>
        </w:tc>
      </w:tr>
      <w:tr>
        <w:trPr>
          <w:trHeight w:val="166"/>
        </w:trPr>
        <w:tc>
          <w:tcPr>
            <w:tcW w:w="5360" w:type="dxa"/>
            <w:vAlign w:val="bottom"/>
          </w:tcPr>
          <w:p>
            <w:pPr>
              <w:spacing w:after="0"/>
              <w:rPr>
                <w:sz w:val="14"/>
                <w:szCs w:val="14"/>
                <w:color w:val="auto"/>
              </w:rPr>
            </w:pPr>
          </w:p>
        </w:tc>
        <w:tc>
          <w:tcPr>
            <w:tcW w:w="1440" w:type="dxa"/>
            <w:vAlign w:val="bottom"/>
            <w:gridSpan w:val="2"/>
          </w:tcPr>
          <w:p>
            <w:pPr>
              <w:ind w:left="380"/>
              <w:spacing w:after="0"/>
              <w:rPr>
                <w:sz w:val="20"/>
                <w:szCs w:val="20"/>
                <w:color w:val="auto"/>
              </w:rPr>
            </w:pPr>
            <w:r>
              <w:rPr>
                <w:rFonts w:ascii="Arial" w:cs="Arial" w:eastAsia="Arial" w:hAnsi="Arial"/>
                <w:sz w:val="13"/>
                <w:szCs w:val="13"/>
                <w:b w:val="1"/>
                <w:bCs w:val="1"/>
                <w:color w:val="auto"/>
              </w:rPr>
              <w:t>Amount</w:t>
            </w:r>
          </w:p>
        </w:tc>
        <w:tc>
          <w:tcPr>
            <w:tcW w:w="1400" w:type="dxa"/>
            <w:vAlign w:val="bottom"/>
            <w:gridSpan w:val="2"/>
          </w:tcPr>
          <w:p>
            <w:pPr>
              <w:jc w:val="right"/>
              <w:ind w:right="660"/>
              <w:spacing w:after="0"/>
              <w:rPr>
                <w:sz w:val="20"/>
                <w:szCs w:val="20"/>
                <w:color w:val="auto"/>
              </w:rPr>
            </w:pPr>
            <w:r>
              <w:rPr>
                <w:rFonts w:ascii="Arial" w:cs="Arial" w:eastAsia="Arial" w:hAnsi="Arial"/>
                <w:sz w:val="13"/>
                <w:szCs w:val="13"/>
                <w:b w:val="1"/>
                <w:bCs w:val="1"/>
                <w:color w:val="auto"/>
              </w:rPr>
              <w:t>Asset</w:t>
            </w:r>
          </w:p>
        </w:tc>
        <w:tc>
          <w:tcPr>
            <w:tcW w:w="1400" w:type="dxa"/>
            <w:vAlign w:val="bottom"/>
            <w:gridSpan w:val="2"/>
          </w:tcPr>
          <w:p>
            <w:pPr>
              <w:jc w:val="right"/>
              <w:ind w:right="523"/>
              <w:spacing w:after="0"/>
              <w:rPr>
                <w:sz w:val="20"/>
                <w:szCs w:val="20"/>
                <w:color w:val="auto"/>
              </w:rPr>
            </w:pPr>
            <w:r>
              <w:rPr>
                <w:rFonts w:ascii="Arial" w:cs="Arial" w:eastAsia="Arial" w:hAnsi="Arial"/>
                <w:sz w:val="13"/>
                <w:szCs w:val="13"/>
                <w:b w:val="1"/>
                <w:bCs w:val="1"/>
                <w:color w:val="auto"/>
              </w:rPr>
              <w:t>Liability</w:t>
            </w:r>
          </w:p>
        </w:tc>
        <w:tc>
          <w:tcPr>
            <w:tcW w:w="1300" w:type="dxa"/>
            <w:vAlign w:val="bottom"/>
            <w:gridSpan w:val="3"/>
          </w:tcPr>
          <w:p>
            <w:pPr>
              <w:jc w:val="center"/>
              <w:ind w:right="100"/>
              <w:spacing w:after="0"/>
              <w:rPr>
                <w:sz w:val="20"/>
                <w:szCs w:val="20"/>
                <w:color w:val="auto"/>
              </w:rPr>
            </w:pPr>
            <w:r>
              <w:rPr>
                <w:rFonts w:ascii="Arial" w:cs="Arial" w:eastAsia="Arial" w:hAnsi="Arial"/>
                <w:sz w:val="13"/>
                <w:szCs w:val="13"/>
                <w:b w:val="1"/>
                <w:bCs w:val="1"/>
                <w:color w:val="auto"/>
                <w:w w:val="85"/>
              </w:rPr>
              <w:t>ineffectiveness</w:t>
            </w:r>
          </w:p>
        </w:tc>
        <w:tc>
          <w:tcPr>
            <w:tcW w:w="0" w:type="dxa"/>
            <w:vAlign w:val="bottom"/>
          </w:tcPr>
          <w:p>
            <w:pPr>
              <w:spacing w:after="0"/>
              <w:rPr>
                <w:sz w:val="1"/>
                <w:szCs w:val="1"/>
                <w:color w:val="auto"/>
              </w:rPr>
            </w:pPr>
          </w:p>
        </w:tc>
      </w:tr>
      <w:tr>
        <w:trPr>
          <w:trHeight w:val="144"/>
        </w:trPr>
        <w:tc>
          <w:tcPr>
            <w:tcW w:w="536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Fair value hedges:</w:t>
            </w:r>
          </w:p>
        </w:tc>
        <w:tc>
          <w:tcPr>
            <w:tcW w:w="12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5360" w:type="dxa"/>
            <w:vAlign w:val="bottom"/>
          </w:tcPr>
          <w:p>
            <w:pPr>
              <w:ind w:left="120"/>
              <w:spacing w:after="0"/>
              <w:rPr>
                <w:sz w:val="20"/>
                <w:szCs w:val="20"/>
                <w:color w:val="auto"/>
              </w:rPr>
            </w:pPr>
            <w:r>
              <w:rPr>
                <w:rFonts w:ascii="Arial" w:cs="Arial" w:eastAsia="Arial" w:hAnsi="Arial"/>
                <w:sz w:val="13"/>
                <w:szCs w:val="13"/>
                <w:color w:val="auto"/>
              </w:rPr>
              <w:t>Interest rate swaps</w:t>
            </w:r>
          </w:p>
        </w:tc>
        <w:tc>
          <w:tcPr>
            <w:tcW w:w="1220" w:type="dxa"/>
            <w:vAlign w:val="bottom"/>
          </w:tcPr>
          <w:p>
            <w:pPr>
              <w:jc w:val="right"/>
              <w:spacing w:after="0"/>
              <w:rPr>
                <w:sz w:val="20"/>
                <w:szCs w:val="20"/>
                <w:color w:val="auto"/>
              </w:rPr>
            </w:pPr>
            <w:r>
              <w:rPr>
                <w:rFonts w:ascii="Arial" w:cs="Arial" w:eastAsia="Arial" w:hAnsi="Arial"/>
                <w:sz w:val="13"/>
                <w:szCs w:val="13"/>
                <w:color w:val="auto"/>
              </w:rPr>
              <w:t>367,500</w:t>
            </w:r>
          </w:p>
        </w:tc>
        <w:tc>
          <w:tcPr>
            <w:tcW w:w="220" w:type="dxa"/>
            <w:vAlign w:val="bottom"/>
          </w:tcPr>
          <w:p>
            <w:pPr>
              <w:spacing w:after="0"/>
              <w:rPr>
                <w:sz w:val="13"/>
                <w:szCs w:val="13"/>
                <w:color w:val="auto"/>
              </w:rPr>
            </w:pPr>
          </w:p>
        </w:tc>
        <w:tc>
          <w:tcPr>
            <w:tcW w:w="11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400" w:type="dxa"/>
            <w:vAlign w:val="bottom"/>
            <w:gridSpan w:val="2"/>
          </w:tcPr>
          <w:p>
            <w:pPr>
              <w:jc w:val="right"/>
              <w:ind w:right="123"/>
              <w:spacing w:after="0"/>
              <w:rPr>
                <w:sz w:val="20"/>
                <w:szCs w:val="20"/>
                <w:color w:val="auto"/>
              </w:rPr>
            </w:pPr>
            <w:r>
              <w:rPr>
                <w:rFonts w:ascii="Arial" w:cs="Arial" w:eastAsia="Arial" w:hAnsi="Arial"/>
                <w:sz w:val="13"/>
                <w:szCs w:val="13"/>
                <w:color w:val="auto"/>
              </w:rPr>
              <w:t>(4,361)</w:t>
            </w:r>
          </w:p>
        </w:tc>
        <w:tc>
          <w:tcPr>
            <w:tcW w:w="1300" w:type="dxa"/>
            <w:vAlign w:val="bottom"/>
            <w:gridSpan w:val="3"/>
          </w:tcPr>
          <w:p>
            <w:pPr>
              <w:jc w:val="right"/>
              <w:ind w:right="60"/>
              <w:spacing w:after="0"/>
              <w:rPr>
                <w:sz w:val="20"/>
                <w:szCs w:val="20"/>
                <w:color w:val="auto"/>
              </w:rPr>
            </w:pPr>
            <w:r>
              <w:rPr>
                <w:rFonts w:ascii="Arial" w:cs="Arial" w:eastAsia="Arial" w:hAnsi="Arial"/>
                <w:sz w:val="13"/>
                <w:szCs w:val="13"/>
                <w:color w:val="auto"/>
              </w:rPr>
              <w:t>(2,394)</w:t>
            </w:r>
          </w:p>
        </w:tc>
        <w:tc>
          <w:tcPr>
            <w:tcW w:w="0" w:type="dxa"/>
            <w:vAlign w:val="bottom"/>
          </w:tcPr>
          <w:p>
            <w:pPr>
              <w:spacing w:after="0"/>
              <w:rPr>
                <w:sz w:val="1"/>
                <w:szCs w:val="1"/>
                <w:color w:val="auto"/>
              </w:rPr>
            </w:pPr>
          </w:p>
        </w:tc>
      </w:tr>
      <w:tr>
        <w:trPr>
          <w:trHeight w:val="154"/>
        </w:trPr>
        <w:tc>
          <w:tcPr>
            <w:tcW w:w="5360" w:type="dxa"/>
            <w:vAlign w:val="bottom"/>
            <w:shd w:val="clear" w:color="auto" w:fill="CCEEFF"/>
          </w:tcPr>
          <w:p>
            <w:pPr>
              <w:ind w:left="120"/>
              <w:spacing w:after="0"/>
              <w:rPr>
                <w:sz w:val="20"/>
                <w:szCs w:val="20"/>
                <w:color w:val="auto"/>
              </w:rPr>
            </w:pPr>
            <w:r>
              <w:rPr>
                <w:rFonts w:ascii="Arial" w:cs="Arial" w:eastAsia="Arial" w:hAnsi="Arial"/>
                <w:sz w:val="13"/>
                <w:szCs w:val="13"/>
                <w:color w:val="auto"/>
              </w:rPr>
              <w:t>Cross-currency swaps</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306,961</w:t>
            </w:r>
          </w:p>
        </w:tc>
        <w:tc>
          <w:tcPr>
            <w:tcW w:w="220" w:type="dxa"/>
            <w:vAlign w:val="bottom"/>
            <w:shd w:val="clear" w:color="auto" w:fill="CCEEFF"/>
          </w:tcPr>
          <w:p>
            <w:pPr>
              <w:spacing w:after="0"/>
              <w:rPr>
                <w:sz w:val="13"/>
                <w:szCs w:val="13"/>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3,672</w:t>
            </w:r>
          </w:p>
        </w:tc>
        <w:tc>
          <w:tcPr>
            <w:tcW w:w="220" w:type="dxa"/>
            <w:vAlign w:val="bottom"/>
            <w:shd w:val="clear" w:color="auto" w:fill="CCEEFF"/>
          </w:tcPr>
          <w:p>
            <w:pPr>
              <w:spacing w:after="0"/>
              <w:rPr>
                <w:sz w:val="13"/>
                <w:szCs w:val="13"/>
                <w:color w:val="auto"/>
              </w:rPr>
            </w:pPr>
          </w:p>
        </w:tc>
        <w:tc>
          <w:tcPr>
            <w:tcW w:w="1400" w:type="dxa"/>
            <w:vAlign w:val="bottom"/>
            <w:gridSpan w:val="2"/>
            <w:shd w:val="clear" w:color="auto" w:fill="CCEEFF"/>
          </w:tcPr>
          <w:p>
            <w:pPr>
              <w:jc w:val="right"/>
              <w:ind w:right="123"/>
              <w:spacing w:after="0"/>
              <w:rPr>
                <w:sz w:val="20"/>
                <w:szCs w:val="20"/>
                <w:color w:val="auto"/>
              </w:rPr>
            </w:pPr>
            <w:r>
              <w:rPr>
                <w:rFonts w:ascii="Arial" w:cs="Arial" w:eastAsia="Arial" w:hAnsi="Arial"/>
                <w:sz w:val="13"/>
                <w:szCs w:val="13"/>
                <w:color w:val="auto"/>
              </w:rPr>
              <w:t>(30,154)</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15,900</w:t>
            </w: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5360" w:type="dxa"/>
            <w:vAlign w:val="bottom"/>
          </w:tcPr>
          <w:p>
            <w:pPr>
              <w:spacing w:after="0"/>
              <w:rPr>
                <w:sz w:val="20"/>
                <w:szCs w:val="20"/>
                <w:color w:val="auto"/>
              </w:rPr>
            </w:pPr>
            <w:r>
              <w:rPr>
                <w:rFonts w:ascii="Arial" w:cs="Arial" w:eastAsia="Arial" w:hAnsi="Arial"/>
                <w:sz w:val="13"/>
                <w:szCs w:val="13"/>
                <w:b w:val="1"/>
                <w:bCs w:val="1"/>
                <w:color w:val="auto"/>
              </w:rPr>
              <w:t>Cash flow hedges:</w:t>
            </w:r>
          </w:p>
        </w:tc>
        <w:tc>
          <w:tcPr>
            <w:tcW w:w="12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5360" w:type="dxa"/>
            <w:vAlign w:val="bottom"/>
            <w:shd w:val="clear" w:color="auto" w:fill="CCEEFF"/>
          </w:tcPr>
          <w:p>
            <w:pPr>
              <w:ind w:left="120"/>
              <w:spacing w:after="0"/>
              <w:rPr>
                <w:sz w:val="20"/>
                <w:szCs w:val="20"/>
                <w:color w:val="auto"/>
              </w:rPr>
            </w:pPr>
            <w:r>
              <w:rPr>
                <w:rFonts w:ascii="Arial" w:cs="Arial" w:eastAsia="Arial" w:hAnsi="Arial"/>
                <w:sz w:val="13"/>
                <w:szCs w:val="13"/>
                <w:color w:val="auto"/>
              </w:rPr>
              <w:t>Interest rate swaps</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595,000</w:t>
            </w:r>
          </w:p>
        </w:tc>
        <w:tc>
          <w:tcPr>
            <w:tcW w:w="220" w:type="dxa"/>
            <w:vAlign w:val="bottom"/>
            <w:shd w:val="clear" w:color="auto" w:fill="CCEEFF"/>
          </w:tcPr>
          <w:p>
            <w:pPr>
              <w:spacing w:after="0"/>
              <w:rPr>
                <w:sz w:val="13"/>
                <w:szCs w:val="13"/>
                <w:color w:val="auto"/>
              </w:rPr>
            </w:pP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127</w:t>
            </w:r>
          </w:p>
        </w:tc>
        <w:tc>
          <w:tcPr>
            <w:tcW w:w="1400" w:type="dxa"/>
            <w:vAlign w:val="bottom"/>
            <w:gridSpan w:val="2"/>
            <w:shd w:val="clear" w:color="auto" w:fill="CCEEFF"/>
          </w:tcPr>
          <w:p>
            <w:pPr>
              <w:jc w:val="right"/>
              <w:ind w:right="123"/>
              <w:spacing w:after="0"/>
              <w:rPr>
                <w:sz w:val="20"/>
                <w:szCs w:val="20"/>
                <w:color w:val="auto"/>
              </w:rPr>
            </w:pPr>
            <w:r>
              <w:rPr>
                <w:rFonts w:ascii="Arial" w:cs="Arial" w:eastAsia="Arial" w:hAnsi="Arial"/>
                <w:sz w:val="13"/>
                <w:szCs w:val="13"/>
                <w:color w:val="auto"/>
              </w:rPr>
              <w:t>(428)</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995</w:t>
            </w: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5360" w:type="dxa"/>
            <w:vAlign w:val="bottom"/>
          </w:tcPr>
          <w:p>
            <w:pPr>
              <w:ind w:left="120"/>
              <w:spacing w:after="0"/>
              <w:rPr>
                <w:sz w:val="20"/>
                <w:szCs w:val="20"/>
                <w:color w:val="auto"/>
              </w:rPr>
            </w:pPr>
            <w:r>
              <w:rPr>
                <w:rFonts w:ascii="Arial" w:cs="Arial" w:eastAsia="Arial" w:hAnsi="Arial"/>
                <w:sz w:val="13"/>
                <w:szCs w:val="13"/>
                <w:color w:val="auto"/>
              </w:rPr>
              <w:t>Cross-currency swaps</w:t>
            </w:r>
          </w:p>
        </w:tc>
        <w:tc>
          <w:tcPr>
            <w:tcW w:w="1440" w:type="dxa"/>
            <w:vAlign w:val="bottom"/>
            <w:gridSpan w:val="2"/>
          </w:tcPr>
          <w:p>
            <w:pPr>
              <w:jc w:val="right"/>
              <w:ind w:right="220"/>
              <w:spacing w:after="0"/>
              <w:rPr>
                <w:sz w:val="20"/>
                <w:szCs w:val="20"/>
                <w:color w:val="auto"/>
              </w:rPr>
            </w:pPr>
            <w:r>
              <w:rPr>
                <w:rFonts w:ascii="Arial" w:cs="Arial" w:eastAsia="Arial" w:hAnsi="Arial"/>
                <w:sz w:val="13"/>
                <w:szCs w:val="13"/>
                <w:color w:val="auto"/>
              </w:rPr>
              <w:t>23,025</w:t>
            </w:r>
          </w:p>
        </w:tc>
        <w:tc>
          <w:tcPr>
            <w:tcW w:w="1400" w:type="dxa"/>
            <w:vAlign w:val="bottom"/>
            <w:gridSpan w:val="2"/>
          </w:tcPr>
          <w:p>
            <w:pPr>
              <w:jc w:val="right"/>
              <w:ind w:right="220"/>
              <w:spacing w:after="0"/>
              <w:rPr>
                <w:sz w:val="20"/>
                <w:szCs w:val="20"/>
                <w:color w:val="auto"/>
              </w:rPr>
            </w:pPr>
            <w:r>
              <w:rPr>
                <w:rFonts w:ascii="Arial" w:cs="Arial" w:eastAsia="Arial" w:hAnsi="Arial"/>
                <w:sz w:val="13"/>
                <w:szCs w:val="13"/>
                <w:color w:val="auto"/>
              </w:rPr>
              <w:t>879</w:t>
            </w: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220" w:type="dxa"/>
            <w:vAlign w:val="bottom"/>
            <w:gridSpan w:val="2"/>
          </w:tcPr>
          <w:p>
            <w:pPr>
              <w:jc w:val="right"/>
              <w:ind w:right="20"/>
              <w:spacing w:after="0"/>
              <w:rPr>
                <w:sz w:val="20"/>
                <w:szCs w:val="20"/>
                <w:color w:val="auto"/>
              </w:rPr>
            </w:pPr>
            <w:r>
              <w:rPr>
                <w:rFonts w:ascii="Arial" w:cs="Arial" w:eastAsia="Arial" w:hAnsi="Arial"/>
                <w:sz w:val="13"/>
                <w:szCs w:val="13"/>
                <w:color w:val="auto"/>
              </w:rPr>
              <w:t>2,132</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5360" w:type="dxa"/>
            <w:vAlign w:val="bottom"/>
            <w:shd w:val="clear" w:color="auto" w:fill="CCEEFF"/>
          </w:tcPr>
          <w:p>
            <w:pPr>
              <w:ind w:left="120"/>
              <w:spacing w:after="0"/>
              <w:rPr>
                <w:sz w:val="20"/>
                <w:szCs w:val="20"/>
                <w:color w:val="auto"/>
              </w:rPr>
            </w:pPr>
            <w:r>
              <w:rPr>
                <w:rFonts w:ascii="Arial" w:cs="Arial" w:eastAsia="Arial" w:hAnsi="Arial"/>
                <w:sz w:val="13"/>
                <w:szCs w:val="13"/>
                <w:color w:val="auto"/>
              </w:rPr>
              <w:t>Foreign exchange forwards</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225,388</w:t>
            </w:r>
          </w:p>
        </w:tc>
        <w:tc>
          <w:tcPr>
            <w:tcW w:w="220" w:type="dxa"/>
            <w:vAlign w:val="bottom"/>
            <w:shd w:val="clear" w:color="auto" w:fill="CCEEFF"/>
          </w:tcPr>
          <w:p>
            <w:pPr>
              <w:spacing w:after="0"/>
              <w:rPr>
                <w:sz w:val="13"/>
                <w:szCs w:val="13"/>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8,610</w:t>
            </w: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11,835</w:t>
            </w: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5360" w:type="dxa"/>
            <w:vAlign w:val="bottom"/>
          </w:tcPr>
          <w:p>
            <w:pPr>
              <w:spacing w:after="0"/>
              <w:rPr>
                <w:sz w:val="20"/>
                <w:szCs w:val="20"/>
                <w:color w:val="auto"/>
              </w:rPr>
            </w:pPr>
            <w:r>
              <w:rPr>
                <w:rFonts w:ascii="Arial" w:cs="Arial" w:eastAsia="Arial" w:hAnsi="Arial"/>
                <w:sz w:val="13"/>
                <w:szCs w:val="13"/>
                <w:b w:val="1"/>
                <w:bCs w:val="1"/>
                <w:color w:val="auto"/>
              </w:rPr>
              <w:t>Net investment hedges:</w:t>
            </w:r>
          </w:p>
        </w:tc>
        <w:tc>
          <w:tcPr>
            <w:tcW w:w="12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5360" w:type="dxa"/>
            <w:vAlign w:val="bottom"/>
            <w:shd w:val="clear" w:color="auto" w:fill="CCEEFF"/>
          </w:tcPr>
          <w:p>
            <w:pPr>
              <w:ind w:left="120"/>
              <w:spacing w:after="0"/>
              <w:rPr>
                <w:sz w:val="20"/>
                <w:szCs w:val="20"/>
                <w:color w:val="auto"/>
              </w:rPr>
            </w:pPr>
            <w:r>
              <w:rPr>
                <w:rFonts w:ascii="Arial" w:cs="Arial" w:eastAsia="Arial" w:hAnsi="Arial"/>
                <w:sz w:val="13"/>
                <w:szCs w:val="13"/>
                <w:color w:val="auto"/>
              </w:rPr>
              <w:t>Foreign exchange forwards</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9,243</w:t>
            </w:r>
          </w:p>
        </w:tc>
        <w:tc>
          <w:tcPr>
            <w:tcW w:w="220" w:type="dxa"/>
            <w:vAlign w:val="bottom"/>
            <w:shd w:val="clear" w:color="auto" w:fill="CCEEFF"/>
          </w:tcPr>
          <w:p>
            <w:pPr>
              <w:spacing w:after="0"/>
              <w:rPr>
                <w:sz w:val="14"/>
                <w:szCs w:val="14"/>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50</w:t>
            </w:r>
          </w:p>
        </w:tc>
        <w:tc>
          <w:tcPr>
            <w:tcW w:w="220" w:type="dxa"/>
            <w:vAlign w:val="bottom"/>
            <w:shd w:val="clear" w:color="auto" w:fill="CCEEFF"/>
          </w:tcPr>
          <w:p>
            <w:pPr>
              <w:spacing w:after="0"/>
              <w:rPr>
                <w:sz w:val="14"/>
                <w:szCs w:val="14"/>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4"/>
                <w:szCs w:val="14"/>
                <w:color w:val="auto"/>
              </w:rPr>
            </w:pP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181</w:t>
            </w:r>
          </w:p>
        </w:tc>
        <w:tc>
          <w:tcPr>
            <w:tcW w:w="8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5360" w:type="dxa"/>
            <w:vAlign w:val="bottom"/>
          </w:tcPr>
          <w:p>
            <w:pPr>
              <w:spacing w:after="0" w:line="146" w:lineRule="exact"/>
              <w:rPr>
                <w:sz w:val="20"/>
                <w:szCs w:val="20"/>
                <w:color w:val="auto"/>
              </w:rPr>
            </w:pPr>
            <w:r>
              <w:rPr>
                <w:rFonts w:ascii="Arial" w:cs="Arial" w:eastAsia="Arial" w:hAnsi="Arial"/>
                <w:sz w:val="13"/>
                <w:szCs w:val="13"/>
                <w:b w:val="1"/>
                <w:bCs w:val="1"/>
                <w:color w:val="auto"/>
              </w:rPr>
              <w:t>Total</w:t>
            </w: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1,527,117</w:t>
            </w:r>
          </w:p>
        </w:tc>
        <w:tc>
          <w:tcPr>
            <w:tcW w:w="220" w:type="dxa"/>
            <w:vAlign w:val="bottom"/>
          </w:tcPr>
          <w:p>
            <w:pPr>
              <w:spacing w:after="0"/>
              <w:rPr>
                <w:sz w:val="14"/>
                <w:szCs w:val="14"/>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13,338</w:t>
            </w:r>
          </w:p>
        </w:tc>
        <w:tc>
          <w:tcPr>
            <w:tcW w:w="220" w:type="dxa"/>
            <w:vAlign w:val="bottom"/>
          </w:tcPr>
          <w:p>
            <w:pPr>
              <w:spacing w:after="0"/>
              <w:rPr>
                <w:sz w:val="14"/>
                <w:szCs w:val="14"/>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(34,943</w:t>
            </w:r>
          </w:p>
        </w:tc>
        <w:tc>
          <w:tcPr>
            <w:tcW w:w="200" w:type="dxa"/>
            <w:vAlign w:val="bottom"/>
          </w:tcPr>
          <w:p>
            <w:pPr>
              <w:jc w:val="right"/>
              <w:ind w:right="123"/>
              <w:spacing w:after="0"/>
              <w:rPr>
                <w:sz w:val="20"/>
                <w:szCs w:val="20"/>
                <w:color w:val="auto"/>
              </w:rPr>
            </w:pPr>
            <w:r>
              <w:rPr>
                <w:rFonts w:ascii="Arial" w:cs="Arial" w:eastAsia="Arial" w:hAnsi="Arial"/>
                <w:sz w:val="7"/>
                <w:szCs w:val="7"/>
                <w:b w:val="1"/>
                <w:bCs w:val="1"/>
                <w:color w:val="auto"/>
                <w:w w:val="83"/>
              </w:rPr>
              <w:t>)</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28,649</w:t>
            </w:r>
          </w:p>
        </w:tc>
        <w:tc>
          <w:tcPr>
            <w:tcW w:w="20" w:type="dxa"/>
            <w:vAlign w:val="bottom"/>
            <w:tcBorders>
              <w:bottom w:val="single" w:sz="8" w:color="auto"/>
            </w:tcBorders>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bl>
    <w:p>
      <w:pPr>
        <w:spacing w:after="0" w:line="145" w:lineRule="exact"/>
        <w:rPr>
          <w:sz w:val="20"/>
          <w:szCs w:val="20"/>
          <w:color w:val="auto"/>
        </w:rPr>
      </w:pPr>
    </w:p>
    <w:p>
      <w:pPr>
        <w:ind w:left="223"/>
        <w:spacing w:after="0"/>
        <w:rPr>
          <w:sz w:val="20"/>
          <w:szCs w:val="20"/>
          <w:color w:val="auto"/>
        </w:rPr>
      </w:pPr>
      <w:r>
        <w:rPr>
          <w:rFonts w:ascii="Arial" w:cs="Arial" w:eastAsia="Arial" w:hAnsi="Arial"/>
          <w:sz w:val="11"/>
          <w:szCs w:val="11"/>
          <w:color w:val="auto"/>
        </w:rPr>
        <w:t>The hedging instruments detailed in the tables above are presented in the consolidated statement of financial position as derivative financial instruments - assets or derivative financial instruments - liabilities.</w:t>
      </w:r>
    </w:p>
    <w:p>
      <w:pPr>
        <w:spacing w:after="0" w:line="336" w:lineRule="exact"/>
        <w:rPr>
          <w:sz w:val="20"/>
          <w:szCs w:val="20"/>
          <w:color w:val="auto"/>
        </w:rPr>
      </w:pPr>
    </w:p>
    <w:p>
      <w:pPr>
        <w:jc w:val="center"/>
        <w:ind w:right="-362"/>
        <w:spacing w:after="0"/>
        <w:rPr>
          <w:sz w:val="20"/>
          <w:szCs w:val="20"/>
          <w:color w:val="auto"/>
        </w:rPr>
      </w:pPr>
      <w:r>
        <w:rPr>
          <w:rFonts w:ascii="Arial" w:cs="Arial" w:eastAsia="Arial" w:hAnsi="Arial"/>
          <w:sz w:val="13"/>
          <w:szCs w:val="13"/>
          <w:color w:val="auto"/>
        </w:rPr>
        <w:t>F-53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25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123"/>
          </w:cols>
          <w:pgMar w:left="217" w:top="685" w:right="559" w:bottom="1440" w:gutter="0" w:footer="0" w:header="0"/>
        </w:sectPr>
      </w:pPr>
    </w:p>
    <w:bookmarkStart w:id="178" w:name="page179"/>
    <w:bookmarkEnd w:id="178"/>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25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141"/>
        </w:numPr>
        <w:rPr>
          <w:rFonts w:ascii="Arial" w:cs="Arial" w:eastAsia="Arial" w:hAnsi="Arial"/>
          <w:sz w:val="13"/>
          <w:szCs w:val="13"/>
          <w:b w:val="1"/>
          <w:bCs w:val="1"/>
          <w:color w:val="auto"/>
        </w:rPr>
      </w:pPr>
      <w:r>
        <w:rPr>
          <w:rFonts w:ascii="Arial" w:cs="Arial" w:eastAsia="Arial" w:hAnsi="Arial"/>
          <w:sz w:val="13"/>
          <w:szCs w:val="13"/>
          <w:b w:val="1"/>
          <w:bCs w:val="1"/>
          <w:color w:val="auto"/>
        </w:rPr>
        <w:t>Derivative financial instruments (continued)</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1"/>
          <w:szCs w:val="11"/>
          <w:color w:val="auto"/>
        </w:rPr>
        <w:t>The gains and losses resulting from activities of hedging derivative financial instruments recognized in the consolidated statements of profit or loss are presented below:</w:t>
      </w:r>
    </w:p>
    <w:p>
      <w:pPr>
        <w:sectPr>
          <w:pgSz w:w="11900" w:h="16838" w:orient="portrait"/>
          <w:cols w:equalWidth="0" w:num="1">
            <w:col w:w="11063"/>
          </w:cols>
          <w:pgMar w:left="217" w:top="685" w:right="61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ind w:left="243"/>
        <w:spacing w:after="0"/>
        <w:rPr>
          <w:sz w:val="20"/>
          <w:szCs w:val="20"/>
          <w:color w:val="auto"/>
        </w:rPr>
      </w:pPr>
      <w:r>
        <w:rPr>
          <w:rFonts w:ascii="Arial" w:cs="Arial" w:eastAsia="Arial" w:hAnsi="Arial"/>
          <w:sz w:val="12"/>
          <w:szCs w:val="12"/>
          <w:b w:val="1"/>
          <w:bCs w:val="1"/>
          <w:color w:val="auto"/>
        </w:rPr>
        <w:t>Derivatives – cash flow hedges</w:t>
      </w:r>
    </w:p>
    <w:p>
      <w:pPr>
        <w:spacing w:after="0" w:line="28" w:lineRule="exact"/>
        <w:rPr>
          <w:sz w:val="20"/>
          <w:szCs w:val="20"/>
          <w:color w:val="auto"/>
        </w:rPr>
      </w:pPr>
    </w:p>
    <w:p>
      <w:pPr>
        <w:ind w:left="223"/>
        <w:spacing w:after="0"/>
        <w:rPr>
          <w:sz w:val="20"/>
          <w:szCs w:val="20"/>
          <w:color w:val="auto"/>
        </w:rPr>
      </w:pPr>
      <w:r>
        <w:rPr>
          <w:rFonts w:ascii="Arial" w:cs="Arial" w:eastAsia="Arial" w:hAnsi="Arial"/>
          <w:sz w:val="13"/>
          <w:szCs w:val="13"/>
          <w:color w:val="auto"/>
        </w:rPr>
        <w:t>Interest rate swaps</w:t>
      </w:r>
    </w:p>
    <w:p>
      <w:pPr>
        <w:spacing w:after="0" w:line="5" w:lineRule="exact"/>
        <w:rPr>
          <w:sz w:val="20"/>
          <w:szCs w:val="20"/>
          <w:color w:val="auto"/>
        </w:rPr>
      </w:pPr>
    </w:p>
    <w:p>
      <w:pPr>
        <w:ind w:left="223"/>
        <w:spacing w:after="0"/>
        <w:rPr>
          <w:sz w:val="20"/>
          <w:szCs w:val="20"/>
          <w:color w:val="auto"/>
        </w:rPr>
      </w:pPr>
      <w:r>
        <w:rPr>
          <w:rFonts w:ascii="Arial" w:cs="Arial" w:eastAsia="Arial" w:hAnsi="Arial"/>
          <w:sz w:val="13"/>
          <w:szCs w:val="13"/>
          <w:color w:val="auto"/>
        </w:rPr>
        <w:t>Cross-currency swaps</w:t>
      </w:r>
    </w:p>
    <w:p>
      <w:pPr>
        <w:spacing w:after="0" w:line="150" w:lineRule="exact"/>
        <w:rPr>
          <w:sz w:val="20"/>
          <w:szCs w:val="20"/>
          <w:color w:val="auto"/>
        </w:rPr>
      </w:pPr>
    </w:p>
    <w:p>
      <w:pPr>
        <w:ind w:left="223"/>
        <w:spacing w:after="0"/>
        <w:rPr>
          <w:sz w:val="20"/>
          <w:szCs w:val="20"/>
          <w:color w:val="auto"/>
        </w:rPr>
      </w:pPr>
      <w:r>
        <w:rPr>
          <w:rFonts w:ascii="Arial" w:cs="Arial" w:eastAsia="Arial" w:hAnsi="Arial"/>
          <w:sz w:val="13"/>
          <w:szCs w:val="13"/>
          <w:color w:val="auto"/>
        </w:rPr>
        <w:t>Foreign exchange forwards</w:t>
      </w:r>
    </w:p>
    <w:p>
      <w:pPr>
        <w:spacing w:after="0" w:line="200" w:lineRule="exact"/>
        <w:rPr>
          <w:sz w:val="20"/>
          <w:szCs w:val="20"/>
          <w:color w:val="auto"/>
        </w:rPr>
      </w:pPr>
    </w:p>
    <w:p>
      <w:pPr>
        <w:spacing w:after="0" w:line="272" w:lineRule="exact"/>
        <w:rPr>
          <w:sz w:val="20"/>
          <w:szCs w:val="20"/>
          <w:color w:val="auto"/>
        </w:rPr>
      </w:pPr>
    </w:p>
    <w:p>
      <w:pPr>
        <w:ind w:left="243"/>
        <w:spacing w:after="0"/>
        <w:rPr>
          <w:sz w:val="20"/>
          <w:szCs w:val="20"/>
          <w:color w:val="auto"/>
        </w:rPr>
      </w:pPr>
      <w:r>
        <w:rPr>
          <w:rFonts w:ascii="Arial" w:cs="Arial" w:eastAsia="Arial" w:hAnsi="Arial"/>
          <w:sz w:val="13"/>
          <w:szCs w:val="13"/>
          <w:b w:val="1"/>
          <w:bCs w:val="1"/>
          <w:color w:val="auto"/>
        </w:rPr>
        <w:t>Total</w:t>
      </w:r>
    </w:p>
    <w:p>
      <w:pPr>
        <w:spacing w:after="0" w:line="207" w:lineRule="exact"/>
        <w:rPr>
          <w:sz w:val="20"/>
          <w:szCs w:val="20"/>
          <w:color w:val="auto"/>
        </w:rPr>
      </w:pPr>
    </w:p>
    <w:p>
      <w:pPr>
        <w:ind w:left="243"/>
        <w:spacing w:after="0"/>
        <w:rPr>
          <w:sz w:val="20"/>
          <w:szCs w:val="20"/>
          <w:color w:val="auto"/>
        </w:rPr>
      </w:pPr>
      <w:r>
        <w:rPr>
          <w:rFonts w:ascii="Arial" w:cs="Arial" w:eastAsia="Arial" w:hAnsi="Arial"/>
          <w:sz w:val="11"/>
          <w:szCs w:val="11"/>
          <w:b w:val="1"/>
          <w:bCs w:val="1"/>
          <w:color w:val="auto"/>
        </w:rPr>
        <w:t>Derivatives – net investment hedge</w:t>
      </w:r>
    </w:p>
    <w:p>
      <w:pPr>
        <w:spacing w:after="0" w:line="40" w:lineRule="exact"/>
        <w:rPr>
          <w:sz w:val="20"/>
          <w:szCs w:val="20"/>
          <w:color w:val="auto"/>
        </w:rPr>
      </w:pPr>
    </w:p>
    <w:p>
      <w:pPr>
        <w:ind w:left="243"/>
        <w:spacing w:after="0"/>
        <w:rPr>
          <w:sz w:val="20"/>
          <w:szCs w:val="20"/>
          <w:color w:val="auto"/>
        </w:rPr>
      </w:pPr>
      <w:r>
        <w:rPr>
          <w:rFonts w:ascii="Arial" w:cs="Arial" w:eastAsia="Arial" w:hAnsi="Arial"/>
          <w:sz w:val="13"/>
          <w:szCs w:val="13"/>
          <w:color w:val="auto"/>
        </w:rPr>
        <w:t>Foreign exchange forwards</w:t>
      </w:r>
    </w:p>
    <w:p>
      <w:pPr>
        <w:spacing w:after="0" w:line="5" w:lineRule="exact"/>
        <w:rPr>
          <w:sz w:val="20"/>
          <w:szCs w:val="20"/>
          <w:color w:val="auto"/>
        </w:rPr>
      </w:pPr>
    </w:p>
    <w:p>
      <w:pPr>
        <w:ind w:left="243"/>
        <w:spacing w:after="0"/>
        <w:rPr>
          <w:sz w:val="20"/>
          <w:szCs w:val="20"/>
          <w:color w:val="auto"/>
        </w:rPr>
      </w:pPr>
      <w:r>
        <w:rPr>
          <w:rFonts w:ascii="Arial" w:cs="Arial" w:eastAsia="Arial" w:hAnsi="Arial"/>
          <w:sz w:val="13"/>
          <w:szCs w:val="13"/>
          <w:b w:val="1"/>
          <w:bCs w:val="1"/>
          <w:color w:val="auto"/>
        </w:rPr>
        <w:t>Total</w:t>
      </w:r>
    </w:p>
    <w:p>
      <w:pPr>
        <w:spacing w:after="0" w:line="20" w:lineRule="exact"/>
        <w:rPr>
          <w:sz w:val="20"/>
          <w:szCs w:val="20"/>
          <w:color w:val="auto"/>
        </w:rPr>
      </w:pPr>
      <w:r>
        <w:rPr>
          <w:sz w:val="20"/>
          <w:szCs w:val="20"/>
          <w:color w:val="auto"/>
        </w:rPr>
        <w:br w:type="column"/>
      </w:r>
    </w:p>
    <w:p>
      <w:pPr>
        <w:spacing w:after="0" w:line="167" w:lineRule="exact"/>
        <w:rPr>
          <w:sz w:val="20"/>
          <w:szCs w:val="20"/>
          <w:color w:val="auto"/>
        </w:rPr>
      </w:pPr>
    </w:p>
    <w:p>
      <w:pPr>
        <w:ind w:left="2920"/>
        <w:spacing w:after="0"/>
        <w:rPr>
          <w:sz w:val="20"/>
          <w:szCs w:val="20"/>
          <w:color w:val="auto"/>
        </w:rPr>
      </w:pPr>
      <w:r>
        <w:rPr>
          <w:rFonts w:ascii="Arial" w:cs="Arial" w:eastAsia="Arial" w:hAnsi="Arial"/>
          <w:sz w:val="13"/>
          <w:szCs w:val="13"/>
          <w:b w:val="1"/>
          <w:bCs w:val="1"/>
          <w:color w:val="auto"/>
        </w:rPr>
        <w:t>December 31, 2018</w:t>
      </w:r>
    </w:p>
    <w:p>
      <w:pPr>
        <w:spacing w:after="0" w:line="17" w:lineRule="exact"/>
        <w:rPr>
          <w:sz w:val="20"/>
          <w:szCs w:val="20"/>
          <w:color w:val="auto"/>
        </w:rPr>
      </w:pPr>
    </w:p>
    <w:tbl>
      <w:tblPr>
        <w:tblLayout w:type="fixed"/>
        <w:tblInd w:w="0" w:type="dxa"/>
        <w:tblCellMar>
          <w:top w:w="0" w:type="dxa"/>
          <w:left w:w="0" w:type="dxa"/>
          <w:bottom w:w="0" w:type="dxa"/>
          <w:right w:w="0" w:type="dxa"/>
        </w:tblCellMar>
      </w:tblPr>
      <w:tr>
        <w:trPr>
          <w:trHeight w:val="131"/>
        </w:trPr>
        <w:tc>
          <w:tcPr>
            <w:tcW w:w="1000" w:type="dxa"/>
            <w:vAlign w:val="bottom"/>
            <w:tcBorders>
              <w:top w:val="single" w:sz="8" w:color="auto"/>
            </w:tcBorders>
          </w:tcPr>
          <w:p>
            <w:pPr>
              <w:spacing w:after="0"/>
              <w:rPr>
                <w:sz w:val="11"/>
                <w:szCs w:val="11"/>
                <w:color w:val="auto"/>
              </w:rPr>
            </w:pPr>
          </w:p>
        </w:tc>
        <w:tc>
          <w:tcPr>
            <w:tcW w:w="20" w:type="dxa"/>
            <w:vAlign w:val="bottom"/>
            <w:tcBorders>
              <w:top w:val="single" w:sz="8" w:color="auto"/>
            </w:tcBorders>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3160" w:type="dxa"/>
            <w:vAlign w:val="bottom"/>
            <w:tcBorders>
              <w:top w:val="single" w:sz="8" w:color="auto"/>
            </w:tcBorders>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980" w:type="dxa"/>
            <w:vAlign w:val="bottom"/>
            <w:tcBorders>
              <w:top w:val="single" w:sz="8" w:color="auto"/>
            </w:tcBorders>
          </w:tcPr>
          <w:p>
            <w:pPr>
              <w:spacing w:after="0"/>
              <w:rPr>
                <w:sz w:val="11"/>
                <w:szCs w:val="11"/>
                <w:color w:val="auto"/>
              </w:rPr>
            </w:pPr>
          </w:p>
        </w:tc>
        <w:tc>
          <w:tcPr>
            <w:tcW w:w="200" w:type="dxa"/>
            <w:vAlign w:val="bottom"/>
            <w:tcBorders>
              <w:top w:val="single" w:sz="8" w:color="auto"/>
            </w:tcBorders>
          </w:tcPr>
          <w:p>
            <w:pPr>
              <w:spacing w:after="0"/>
              <w:rPr>
                <w:sz w:val="11"/>
                <w:szCs w:val="11"/>
                <w:color w:val="auto"/>
              </w:rPr>
            </w:pPr>
          </w:p>
        </w:tc>
        <w:tc>
          <w:tcPr>
            <w:tcW w:w="1200" w:type="dxa"/>
            <w:vAlign w:val="bottom"/>
            <w:tcBorders>
              <w:top w:val="single" w:sz="8" w:color="auto"/>
            </w:tcBorders>
          </w:tcPr>
          <w:p>
            <w:pPr>
              <w:jc w:val="center"/>
              <w:spacing w:after="0" w:line="131" w:lineRule="exact"/>
              <w:rPr>
                <w:sz w:val="20"/>
                <w:szCs w:val="20"/>
                <w:color w:val="auto"/>
              </w:rPr>
            </w:pPr>
            <w:r>
              <w:rPr>
                <w:rFonts w:ascii="Arial" w:cs="Arial" w:eastAsia="Arial" w:hAnsi="Arial"/>
                <w:sz w:val="13"/>
                <w:szCs w:val="13"/>
                <w:b w:val="1"/>
                <w:bCs w:val="1"/>
                <w:color w:val="auto"/>
                <w:w w:val="89"/>
              </w:rPr>
              <w:t>Gain (loss)</w:t>
            </w:r>
          </w:p>
        </w:tc>
        <w:tc>
          <w:tcPr>
            <w:tcW w:w="40" w:type="dxa"/>
            <w:vAlign w:val="bottom"/>
            <w:gridSpan w:val="2"/>
          </w:tcPr>
          <w:p>
            <w:pPr>
              <w:spacing w:after="0"/>
              <w:rPr>
                <w:sz w:val="11"/>
                <w:szCs w:val="11"/>
                <w:color w:val="auto"/>
              </w:rPr>
            </w:pPr>
          </w:p>
        </w:tc>
      </w:tr>
      <w:tr>
        <w:trPr>
          <w:trHeight w:val="154"/>
        </w:trPr>
        <w:tc>
          <w:tcPr>
            <w:tcW w:w="1120" w:type="dxa"/>
            <w:vAlign w:val="bottom"/>
            <w:gridSpan w:val="3"/>
          </w:tcPr>
          <w:p>
            <w:pPr>
              <w:jc w:val="right"/>
              <w:ind w:right="335"/>
              <w:spacing w:after="0"/>
              <w:rPr>
                <w:sz w:val="20"/>
                <w:szCs w:val="20"/>
                <w:color w:val="auto"/>
              </w:rPr>
            </w:pPr>
            <w:r>
              <w:rPr>
                <w:rFonts w:ascii="Arial" w:cs="Arial" w:eastAsia="Arial" w:hAnsi="Arial"/>
                <w:sz w:val="13"/>
                <w:szCs w:val="13"/>
                <w:b w:val="1"/>
                <w:bCs w:val="1"/>
                <w:color w:val="auto"/>
              </w:rPr>
              <w:t>Gain (loss)</w:t>
            </w:r>
          </w:p>
        </w:tc>
        <w:tc>
          <w:tcPr>
            <w:tcW w:w="100" w:type="dxa"/>
            <w:vAlign w:val="bottom"/>
          </w:tcPr>
          <w:p>
            <w:pPr>
              <w:spacing w:after="0"/>
              <w:rPr>
                <w:sz w:val="13"/>
                <w:szCs w:val="13"/>
                <w:color w:val="auto"/>
              </w:rPr>
            </w:pPr>
          </w:p>
        </w:tc>
        <w:tc>
          <w:tcPr>
            <w:tcW w:w="31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180" w:type="dxa"/>
            <w:vAlign w:val="bottom"/>
            <w:gridSpan w:val="2"/>
          </w:tcPr>
          <w:p>
            <w:pPr>
              <w:jc w:val="right"/>
              <w:ind w:right="383"/>
              <w:spacing w:after="0"/>
              <w:rPr>
                <w:sz w:val="20"/>
                <w:szCs w:val="20"/>
                <w:color w:val="auto"/>
              </w:rPr>
            </w:pPr>
            <w:r>
              <w:rPr>
                <w:rFonts w:ascii="Arial" w:cs="Arial" w:eastAsia="Arial" w:hAnsi="Arial"/>
                <w:sz w:val="13"/>
                <w:szCs w:val="13"/>
                <w:b w:val="1"/>
                <w:bCs w:val="1"/>
                <w:color w:val="auto"/>
              </w:rPr>
              <w:t>Gain (loss)</w:t>
            </w:r>
          </w:p>
        </w:tc>
        <w:tc>
          <w:tcPr>
            <w:tcW w:w="1240" w:type="dxa"/>
            <w:vAlign w:val="bottom"/>
            <w:gridSpan w:val="3"/>
          </w:tcPr>
          <w:p>
            <w:pPr>
              <w:jc w:val="right"/>
              <w:ind w:right="275"/>
              <w:spacing w:after="0"/>
              <w:rPr>
                <w:sz w:val="20"/>
                <w:szCs w:val="20"/>
                <w:color w:val="auto"/>
              </w:rPr>
            </w:pPr>
            <w:r>
              <w:rPr>
                <w:rFonts w:ascii="Arial" w:cs="Arial" w:eastAsia="Arial" w:hAnsi="Arial"/>
                <w:sz w:val="13"/>
                <w:szCs w:val="13"/>
                <w:b w:val="1"/>
                <w:bCs w:val="1"/>
                <w:color w:val="auto"/>
              </w:rPr>
              <w:t>recognized on</w:t>
            </w:r>
          </w:p>
        </w:tc>
      </w:tr>
      <w:tr>
        <w:trPr>
          <w:trHeight w:val="154"/>
        </w:trPr>
        <w:tc>
          <w:tcPr>
            <w:tcW w:w="1120" w:type="dxa"/>
            <w:vAlign w:val="bottom"/>
            <w:gridSpan w:val="3"/>
          </w:tcPr>
          <w:p>
            <w:pPr>
              <w:jc w:val="center"/>
              <w:ind w:right="115"/>
              <w:spacing w:after="0"/>
              <w:rPr>
                <w:sz w:val="20"/>
                <w:szCs w:val="20"/>
                <w:color w:val="auto"/>
              </w:rPr>
            </w:pPr>
            <w:r>
              <w:rPr>
                <w:rFonts w:ascii="Arial" w:cs="Arial" w:eastAsia="Arial" w:hAnsi="Arial"/>
                <w:sz w:val="13"/>
                <w:szCs w:val="13"/>
                <w:b w:val="1"/>
                <w:bCs w:val="1"/>
                <w:color w:val="auto"/>
                <w:w w:val="85"/>
              </w:rPr>
              <w:t>recognized in</w:t>
            </w:r>
          </w:p>
        </w:tc>
        <w:tc>
          <w:tcPr>
            <w:tcW w:w="100" w:type="dxa"/>
            <w:vAlign w:val="bottom"/>
          </w:tcPr>
          <w:p>
            <w:pPr>
              <w:spacing w:after="0"/>
              <w:rPr>
                <w:sz w:val="13"/>
                <w:szCs w:val="13"/>
                <w:color w:val="auto"/>
              </w:rPr>
            </w:pPr>
          </w:p>
        </w:tc>
        <w:tc>
          <w:tcPr>
            <w:tcW w:w="31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180" w:type="dxa"/>
            <w:vAlign w:val="bottom"/>
            <w:gridSpan w:val="2"/>
          </w:tcPr>
          <w:p>
            <w:pPr>
              <w:jc w:val="center"/>
              <w:ind w:right="163"/>
              <w:spacing w:after="0"/>
              <w:rPr>
                <w:sz w:val="20"/>
                <w:szCs w:val="20"/>
                <w:color w:val="auto"/>
              </w:rPr>
            </w:pPr>
            <w:r>
              <w:rPr>
                <w:rFonts w:ascii="Arial" w:cs="Arial" w:eastAsia="Arial" w:hAnsi="Arial"/>
                <w:sz w:val="13"/>
                <w:szCs w:val="13"/>
                <w:b w:val="1"/>
                <w:bCs w:val="1"/>
                <w:color w:val="auto"/>
                <w:w w:val="86"/>
              </w:rPr>
              <w:t>reclassified from</w:t>
            </w:r>
          </w:p>
        </w:tc>
        <w:tc>
          <w:tcPr>
            <w:tcW w:w="1240" w:type="dxa"/>
            <w:vAlign w:val="bottom"/>
            <w:gridSpan w:val="3"/>
          </w:tcPr>
          <w:p>
            <w:pPr>
              <w:jc w:val="center"/>
              <w:ind w:right="35"/>
              <w:spacing w:after="0"/>
              <w:rPr>
                <w:sz w:val="20"/>
                <w:szCs w:val="20"/>
                <w:color w:val="auto"/>
              </w:rPr>
            </w:pPr>
            <w:r>
              <w:rPr>
                <w:rFonts w:ascii="Arial" w:cs="Arial" w:eastAsia="Arial" w:hAnsi="Arial"/>
                <w:sz w:val="13"/>
                <w:szCs w:val="13"/>
                <w:b w:val="1"/>
                <w:bCs w:val="1"/>
                <w:color w:val="auto"/>
                <w:w w:val="88"/>
              </w:rPr>
              <w:t>derivatives</w:t>
            </w:r>
          </w:p>
        </w:tc>
      </w:tr>
      <w:tr>
        <w:trPr>
          <w:trHeight w:val="154"/>
        </w:trPr>
        <w:tc>
          <w:tcPr>
            <w:tcW w:w="1120" w:type="dxa"/>
            <w:vAlign w:val="bottom"/>
            <w:gridSpan w:val="3"/>
          </w:tcPr>
          <w:p>
            <w:pPr>
              <w:jc w:val="center"/>
              <w:ind w:right="115"/>
              <w:spacing w:after="0"/>
              <w:rPr>
                <w:sz w:val="20"/>
                <w:szCs w:val="20"/>
                <w:color w:val="auto"/>
              </w:rPr>
            </w:pPr>
            <w:r>
              <w:rPr>
                <w:rFonts w:ascii="Arial" w:cs="Arial" w:eastAsia="Arial" w:hAnsi="Arial"/>
                <w:sz w:val="13"/>
                <w:szCs w:val="13"/>
                <w:b w:val="1"/>
                <w:bCs w:val="1"/>
                <w:color w:val="auto"/>
                <w:w w:val="90"/>
              </w:rPr>
              <w:t>OCI (effective</w:t>
            </w:r>
          </w:p>
        </w:tc>
        <w:tc>
          <w:tcPr>
            <w:tcW w:w="100" w:type="dxa"/>
            <w:vAlign w:val="bottom"/>
          </w:tcPr>
          <w:p>
            <w:pPr>
              <w:spacing w:after="0"/>
              <w:rPr>
                <w:sz w:val="13"/>
                <w:szCs w:val="13"/>
                <w:color w:val="auto"/>
              </w:rPr>
            </w:pPr>
          </w:p>
        </w:tc>
        <w:tc>
          <w:tcPr>
            <w:tcW w:w="326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8"/>
              </w:rPr>
              <w:t>Classification of gain</w:t>
            </w:r>
          </w:p>
        </w:tc>
        <w:tc>
          <w:tcPr>
            <w:tcW w:w="1180" w:type="dxa"/>
            <w:vAlign w:val="bottom"/>
            <w:gridSpan w:val="2"/>
          </w:tcPr>
          <w:p>
            <w:pPr>
              <w:jc w:val="center"/>
              <w:ind w:right="163"/>
              <w:spacing w:after="0"/>
              <w:rPr>
                <w:sz w:val="20"/>
                <w:szCs w:val="20"/>
                <w:color w:val="auto"/>
              </w:rPr>
            </w:pPr>
            <w:r>
              <w:rPr>
                <w:rFonts w:ascii="Arial" w:cs="Arial" w:eastAsia="Arial" w:hAnsi="Arial"/>
                <w:sz w:val="13"/>
                <w:szCs w:val="13"/>
                <w:b w:val="1"/>
                <w:bCs w:val="1"/>
                <w:color w:val="auto"/>
                <w:w w:val="97"/>
              </w:rPr>
              <w:t>OCI to</w:t>
            </w:r>
          </w:p>
        </w:tc>
        <w:tc>
          <w:tcPr>
            <w:tcW w:w="1240" w:type="dxa"/>
            <w:vAlign w:val="bottom"/>
            <w:gridSpan w:val="3"/>
          </w:tcPr>
          <w:p>
            <w:pPr>
              <w:jc w:val="center"/>
              <w:ind w:right="35"/>
              <w:spacing w:after="0"/>
              <w:rPr>
                <w:sz w:val="20"/>
                <w:szCs w:val="20"/>
                <w:color w:val="auto"/>
              </w:rPr>
            </w:pPr>
            <w:r>
              <w:rPr>
                <w:rFonts w:ascii="Arial" w:cs="Arial" w:eastAsia="Arial" w:hAnsi="Arial"/>
                <w:sz w:val="13"/>
                <w:szCs w:val="13"/>
                <w:b w:val="1"/>
                <w:bCs w:val="1"/>
                <w:color w:val="auto"/>
                <w:w w:val="87"/>
              </w:rPr>
              <w:t>(ineffective</w:t>
            </w:r>
          </w:p>
        </w:tc>
      </w:tr>
      <w:tr>
        <w:trPr>
          <w:trHeight w:val="167"/>
        </w:trPr>
        <w:tc>
          <w:tcPr>
            <w:tcW w:w="100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9"/>
              </w:rPr>
              <w:t>portion)</w:t>
            </w:r>
          </w:p>
        </w:tc>
        <w:tc>
          <w:tcPr>
            <w:tcW w:w="120" w:type="dxa"/>
            <w:vAlign w:val="bottom"/>
            <w:gridSpan w:val="2"/>
          </w:tcPr>
          <w:p>
            <w:pPr>
              <w:spacing w:after="0"/>
              <w:rPr>
                <w:sz w:val="14"/>
                <w:szCs w:val="14"/>
                <w:color w:val="auto"/>
              </w:rPr>
            </w:pPr>
          </w:p>
        </w:tc>
        <w:tc>
          <w:tcPr>
            <w:tcW w:w="100" w:type="dxa"/>
            <w:vAlign w:val="bottom"/>
          </w:tcPr>
          <w:p>
            <w:pPr>
              <w:spacing w:after="0"/>
              <w:rPr>
                <w:sz w:val="14"/>
                <w:szCs w:val="14"/>
                <w:color w:val="auto"/>
              </w:rPr>
            </w:pPr>
          </w:p>
        </w:tc>
        <w:tc>
          <w:tcPr>
            <w:tcW w:w="316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0"/>
              </w:rPr>
              <w:t>(loss)</w:t>
            </w:r>
          </w:p>
        </w:tc>
        <w:tc>
          <w:tcPr>
            <w:tcW w:w="100" w:type="dxa"/>
            <w:vAlign w:val="bottom"/>
          </w:tcPr>
          <w:p>
            <w:pPr>
              <w:spacing w:after="0"/>
              <w:rPr>
                <w:sz w:val="14"/>
                <w:szCs w:val="14"/>
                <w:color w:val="auto"/>
              </w:rPr>
            </w:pPr>
          </w:p>
        </w:tc>
        <w:tc>
          <w:tcPr>
            <w:tcW w:w="98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8"/>
              </w:rPr>
              <w:t>profit or loss</w:t>
            </w:r>
          </w:p>
        </w:tc>
        <w:tc>
          <w:tcPr>
            <w:tcW w:w="200" w:type="dxa"/>
            <w:vAlign w:val="bottom"/>
          </w:tcPr>
          <w:p>
            <w:pPr>
              <w:spacing w:after="0"/>
              <w:rPr>
                <w:sz w:val="14"/>
                <w:szCs w:val="14"/>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9"/>
              </w:rPr>
              <w:t>portion)</w:t>
            </w:r>
          </w:p>
        </w:tc>
        <w:tc>
          <w:tcPr>
            <w:tcW w:w="40" w:type="dxa"/>
            <w:vAlign w:val="bottom"/>
            <w:gridSpan w:val="2"/>
          </w:tcPr>
          <w:p>
            <w:pPr>
              <w:spacing w:after="0"/>
              <w:rPr>
                <w:sz w:val="14"/>
                <w:szCs w:val="14"/>
                <w:color w:val="auto"/>
              </w:rPr>
            </w:pPr>
          </w:p>
        </w:tc>
      </w:tr>
      <w:tr>
        <w:trPr>
          <w:trHeight w:val="289"/>
        </w:trPr>
        <w:tc>
          <w:tcPr>
            <w:tcW w:w="1120" w:type="dxa"/>
            <w:vAlign w:val="bottom"/>
            <w:gridSpan w:val="3"/>
          </w:tcPr>
          <w:p>
            <w:pPr>
              <w:jc w:val="right"/>
              <w:ind w:right="75"/>
              <w:spacing w:after="0"/>
              <w:rPr>
                <w:sz w:val="20"/>
                <w:szCs w:val="20"/>
                <w:color w:val="auto"/>
              </w:rPr>
            </w:pPr>
            <w:r>
              <w:rPr>
                <w:rFonts w:ascii="Arial" w:cs="Arial" w:eastAsia="Arial" w:hAnsi="Arial"/>
                <w:sz w:val="13"/>
                <w:szCs w:val="13"/>
                <w:color w:val="auto"/>
              </w:rPr>
              <w:t>(593)</w:t>
            </w:r>
          </w:p>
        </w:tc>
        <w:tc>
          <w:tcPr>
            <w:tcW w:w="3360" w:type="dxa"/>
            <w:vAlign w:val="bottom"/>
            <w:gridSpan w:val="3"/>
          </w:tcPr>
          <w:p>
            <w:pPr>
              <w:ind w:left="100"/>
              <w:spacing w:after="0"/>
              <w:rPr>
                <w:sz w:val="20"/>
                <w:szCs w:val="20"/>
                <w:color w:val="auto"/>
              </w:rPr>
            </w:pPr>
            <w:r>
              <w:rPr>
                <w:rFonts w:ascii="Arial" w:cs="Arial" w:eastAsia="Arial" w:hAnsi="Arial"/>
                <w:sz w:val="13"/>
                <w:szCs w:val="13"/>
                <w:color w:val="auto"/>
              </w:rPr>
              <w:t>Gain (loss) on interest rate swaps</w:t>
            </w:r>
          </w:p>
        </w:tc>
        <w:tc>
          <w:tcPr>
            <w:tcW w:w="98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24"/>
                <w:szCs w:val="24"/>
                <w:color w:val="auto"/>
              </w:rPr>
            </w:pPr>
          </w:p>
        </w:tc>
        <w:tc>
          <w:tcPr>
            <w:tcW w:w="1240" w:type="dxa"/>
            <w:vAlign w:val="bottom"/>
            <w:gridSpan w:val="3"/>
          </w:tcPr>
          <w:p>
            <w:pPr>
              <w:jc w:val="right"/>
              <w:spacing w:after="0"/>
              <w:rPr>
                <w:sz w:val="20"/>
                <w:szCs w:val="20"/>
                <w:color w:val="auto"/>
              </w:rPr>
            </w:pPr>
            <w:r>
              <w:rPr>
                <w:rFonts w:ascii="Arial" w:cs="Arial" w:eastAsia="Arial" w:hAnsi="Arial"/>
                <w:sz w:val="13"/>
                <w:szCs w:val="13"/>
                <w:color w:val="auto"/>
              </w:rPr>
              <w:t>(3)</w:t>
            </w:r>
          </w:p>
        </w:tc>
      </w:tr>
      <w:tr>
        <w:trPr>
          <w:trHeight w:val="154"/>
        </w:trPr>
        <w:tc>
          <w:tcPr>
            <w:tcW w:w="1000" w:type="dxa"/>
            <w:vAlign w:val="bottom"/>
          </w:tcPr>
          <w:p>
            <w:pPr>
              <w:jc w:val="right"/>
              <w:spacing w:after="0"/>
              <w:rPr>
                <w:sz w:val="20"/>
                <w:szCs w:val="20"/>
                <w:color w:val="auto"/>
              </w:rPr>
            </w:pPr>
            <w:r>
              <w:rPr>
                <w:rFonts w:ascii="Arial" w:cs="Arial" w:eastAsia="Arial" w:hAnsi="Arial"/>
                <w:sz w:val="13"/>
                <w:szCs w:val="13"/>
                <w:color w:val="auto"/>
              </w:rPr>
              <w:t>2,246</w:t>
            </w: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3360" w:type="dxa"/>
            <w:vAlign w:val="bottom"/>
            <w:gridSpan w:val="3"/>
          </w:tcPr>
          <w:p>
            <w:pPr>
              <w:ind w:left="100"/>
              <w:spacing w:after="0"/>
              <w:rPr>
                <w:sz w:val="20"/>
                <w:szCs w:val="20"/>
                <w:color w:val="auto"/>
              </w:rPr>
            </w:pPr>
            <w:r>
              <w:rPr>
                <w:rFonts w:ascii="Arial" w:cs="Arial" w:eastAsia="Arial" w:hAnsi="Arial"/>
                <w:sz w:val="13"/>
                <w:szCs w:val="13"/>
                <w:color w:val="auto"/>
              </w:rPr>
              <w:t>Gain (loss) on foreign currency exchange</w:t>
            </w:r>
          </w:p>
        </w:tc>
        <w:tc>
          <w:tcPr>
            <w:tcW w:w="98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240" w:type="dxa"/>
            <w:vAlign w:val="bottom"/>
            <w:gridSpan w:val="3"/>
          </w:tcPr>
          <w:p>
            <w:pPr>
              <w:jc w:val="right"/>
              <w:spacing w:after="0"/>
              <w:rPr>
                <w:sz w:val="20"/>
                <w:szCs w:val="20"/>
                <w:color w:val="auto"/>
              </w:rPr>
            </w:pPr>
            <w:r>
              <w:rPr>
                <w:rFonts w:ascii="Arial" w:cs="Arial" w:eastAsia="Arial" w:hAnsi="Arial"/>
                <w:sz w:val="13"/>
                <w:szCs w:val="13"/>
                <w:color w:val="auto"/>
              </w:rPr>
              <w:t>(3)</w:t>
            </w:r>
          </w:p>
        </w:tc>
      </w:tr>
      <w:tr>
        <w:trPr>
          <w:trHeight w:val="154"/>
        </w:trPr>
        <w:tc>
          <w:tcPr>
            <w:tcW w:w="10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3360" w:type="dxa"/>
            <w:vAlign w:val="bottom"/>
            <w:gridSpan w:val="3"/>
          </w:tcPr>
          <w:p>
            <w:pPr>
              <w:ind w:left="100"/>
              <w:spacing w:after="0"/>
              <w:rPr>
                <w:sz w:val="20"/>
                <w:szCs w:val="20"/>
                <w:color w:val="auto"/>
              </w:rPr>
            </w:pPr>
            <w:r>
              <w:rPr>
                <w:rFonts w:ascii="Arial" w:cs="Arial" w:eastAsia="Arial" w:hAnsi="Arial"/>
                <w:sz w:val="13"/>
                <w:szCs w:val="13"/>
                <w:color w:val="auto"/>
              </w:rPr>
              <w:t>Interest income – loans</w:t>
            </w:r>
          </w:p>
        </w:tc>
        <w:tc>
          <w:tcPr>
            <w:tcW w:w="980" w:type="dxa"/>
            <w:vAlign w:val="bottom"/>
          </w:tcPr>
          <w:p>
            <w:pPr>
              <w:jc w:val="right"/>
              <w:spacing w:after="0"/>
              <w:rPr>
                <w:sz w:val="20"/>
                <w:szCs w:val="20"/>
                <w:color w:val="auto"/>
              </w:rPr>
            </w:pPr>
            <w:r>
              <w:rPr>
                <w:rFonts w:ascii="Arial" w:cs="Arial" w:eastAsia="Arial" w:hAnsi="Arial"/>
                <w:sz w:val="13"/>
                <w:szCs w:val="13"/>
                <w:color w:val="auto"/>
              </w:rPr>
              <w:t>1,756</w:t>
            </w:r>
          </w:p>
        </w:tc>
        <w:tc>
          <w:tcPr>
            <w:tcW w:w="200" w:type="dxa"/>
            <w:vAlign w:val="bottom"/>
          </w:tcPr>
          <w:p>
            <w:pPr>
              <w:spacing w:after="0"/>
              <w:rPr>
                <w:sz w:val="13"/>
                <w:szCs w:val="13"/>
                <w:color w:val="auto"/>
              </w:rPr>
            </w:pPr>
          </w:p>
        </w:tc>
        <w:tc>
          <w:tcPr>
            <w:tcW w:w="1220" w:type="dxa"/>
            <w:vAlign w:val="bottom"/>
            <w:gridSpan w:val="2"/>
          </w:tcPr>
          <w:p>
            <w:pPr>
              <w:jc w:val="right"/>
              <w:ind w:right="20"/>
              <w:spacing w:after="0"/>
              <w:rPr>
                <w:sz w:val="20"/>
                <w:szCs w:val="20"/>
                <w:color w:val="auto"/>
              </w:rPr>
            </w:pPr>
            <w:r>
              <w:rPr>
                <w:rFonts w:ascii="Arial" w:cs="Arial" w:eastAsia="Arial" w:hAnsi="Arial"/>
                <w:sz w:val="13"/>
                <w:szCs w:val="13"/>
                <w:color w:val="auto"/>
              </w:rPr>
              <w:t>-</w:t>
            </w:r>
          </w:p>
        </w:tc>
        <w:tc>
          <w:tcPr>
            <w:tcW w:w="20" w:type="dxa"/>
            <w:vAlign w:val="bottom"/>
          </w:tcPr>
          <w:p>
            <w:pPr>
              <w:spacing w:after="0"/>
              <w:rPr>
                <w:sz w:val="13"/>
                <w:szCs w:val="13"/>
                <w:color w:val="auto"/>
              </w:rPr>
            </w:pPr>
          </w:p>
        </w:tc>
      </w:tr>
      <w:tr>
        <w:trPr>
          <w:trHeight w:val="154"/>
        </w:trPr>
        <w:tc>
          <w:tcPr>
            <w:tcW w:w="1020" w:type="dxa"/>
            <w:vAlign w:val="bottom"/>
            <w:gridSpan w:val="2"/>
          </w:tcPr>
          <w:p>
            <w:pPr>
              <w:jc w:val="right"/>
              <w:ind w:right="20"/>
              <w:spacing w:after="0"/>
              <w:rPr>
                <w:sz w:val="20"/>
                <w:szCs w:val="20"/>
                <w:color w:val="auto"/>
              </w:rPr>
            </w:pPr>
            <w:r>
              <w:rPr>
                <w:rFonts w:ascii="Arial" w:cs="Arial" w:eastAsia="Arial" w:hAnsi="Arial"/>
                <w:sz w:val="13"/>
                <w:szCs w:val="13"/>
                <w:color w:val="auto"/>
              </w:rPr>
              <w:t>12,453</w:t>
            </w:r>
          </w:p>
        </w:tc>
        <w:tc>
          <w:tcPr>
            <w:tcW w:w="100" w:type="dxa"/>
            <w:vAlign w:val="bottom"/>
          </w:tcPr>
          <w:p>
            <w:pPr>
              <w:spacing w:after="0"/>
              <w:rPr>
                <w:sz w:val="13"/>
                <w:szCs w:val="13"/>
                <w:color w:val="auto"/>
              </w:rPr>
            </w:pPr>
          </w:p>
        </w:tc>
        <w:tc>
          <w:tcPr>
            <w:tcW w:w="3360" w:type="dxa"/>
            <w:vAlign w:val="bottom"/>
            <w:gridSpan w:val="3"/>
          </w:tcPr>
          <w:p>
            <w:pPr>
              <w:ind w:left="100"/>
              <w:spacing w:after="0"/>
              <w:rPr>
                <w:sz w:val="20"/>
                <w:szCs w:val="20"/>
                <w:color w:val="auto"/>
              </w:rPr>
            </w:pPr>
            <w:r>
              <w:rPr>
                <w:rFonts w:ascii="Arial" w:cs="Arial" w:eastAsia="Arial" w:hAnsi="Arial"/>
                <w:sz w:val="13"/>
                <w:szCs w:val="13"/>
                <w:color w:val="auto"/>
              </w:rPr>
              <w:t>Interest income – securities at FVOCI</w:t>
            </w:r>
          </w:p>
        </w:tc>
        <w:tc>
          <w:tcPr>
            <w:tcW w:w="98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220" w:type="dxa"/>
            <w:vAlign w:val="bottom"/>
            <w:gridSpan w:val="2"/>
          </w:tcPr>
          <w:p>
            <w:pPr>
              <w:jc w:val="right"/>
              <w:ind w:right="20"/>
              <w:spacing w:after="0"/>
              <w:rPr>
                <w:sz w:val="20"/>
                <w:szCs w:val="20"/>
                <w:color w:val="auto"/>
              </w:rPr>
            </w:pPr>
            <w:r>
              <w:rPr>
                <w:rFonts w:ascii="Arial" w:cs="Arial" w:eastAsia="Arial" w:hAnsi="Arial"/>
                <w:sz w:val="13"/>
                <w:szCs w:val="13"/>
                <w:color w:val="auto"/>
              </w:rPr>
              <w:t>-</w:t>
            </w:r>
          </w:p>
        </w:tc>
        <w:tc>
          <w:tcPr>
            <w:tcW w:w="20" w:type="dxa"/>
            <w:vAlign w:val="bottom"/>
          </w:tcPr>
          <w:p>
            <w:pPr>
              <w:spacing w:after="0"/>
              <w:rPr>
                <w:sz w:val="13"/>
                <w:szCs w:val="13"/>
                <w:color w:val="auto"/>
              </w:rPr>
            </w:pPr>
          </w:p>
        </w:tc>
      </w:tr>
      <w:tr>
        <w:trPr>
          <w:trHeight w:val="154"/>
        </w:trPr>
        <w:tc>
          <w:tcPr>
            <w:tcW w:w="10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3360" w:type="dxa"/>
            <w:vAlign w:val="bottom"/>
            <w:gridSpan w:val="3"/>
          </w:tcPr>
          <w:p>
            <w:pPr>
              <w:ind w:left="100"/>
              <w:spacing w:after="0"/>
              <w:rPr>
                <w:sz w:val="20"/>
                <w:szCs w:val="20"/>
                <w:color w:val="auto"/>
              </w:rPr>
            </w:pPr>
            <w:r>
              <w:rPr>
                <w:rFonts w:ascii="Arial" w:cs="Arial" w:eastAsia="Arial" w:hAnsi="Arial"/>
                <w:sz w:val="13"/>
                <w:szCs w:val="13"/>
                <w:color w:val="auto"/>
              </w:rPr>
              <w:t>Interest expenses – deposits</w:t>
            </w:r>
          </w:p>
        </w:tc>
        <w:tc>
          <w:tcPr>
            <w:tcW w:w="980" w:type="dxa"/>
            <w:vAlign w:val="bottom"/>
          </w:tcPr>
          <w:p>
            <w:pPr>
              <w:jc w:val="right"/>
              <w:spacing w:after="0"/>
              <w:rPr>
                <w:sz w:val="20"/>
                <w:szCs w:val="20"/>
                <w:color w:val="auto"/>
              </w:rPr>
            </w:pPr>
            <w:r>
              <w:rPr>
                <w:rFonts w:ascii="Arial" w:cs="Arial" w:eastAsia="Arial" w:hAnsi="Arial"/>
                <w:sz w:val="13"/>
                <w:szCs w:val="13"/>
                <w:color w:val="auto"/>
              </w:rPr>
              <w:t>4,049</w:t>
            </w:r>
          </w:p>
        </w:tc>
        <w:tc>
          <w:tcPr>
            <w:tcW w:w="200" w:type="dxa"/>
            <w:vAlign w:val="bottom"/>
          </w:tcPr>
          <w:p>
            <w:pPr>
              <w:spacing w:after="0"/>
              <w:rPr>
                <w:sz w:val="13"/>
                <w:szCs w:val="13"/>
                <w:color w:val="auto"/>
              </w:rPr>
            </w:pPr>
          </w:p>
        </w:tc>
        <w:tc>
          <w:tcPr>
            <w:tcW w:w="1220" w:type="dxa"/>
            <w:vAlign w:val="bottom"/>
            <w:gridSpan w:val="2"/>
          </w:tcPr>
          <w:p>
            <w:pPr>
              <w:jc w:val="right"/>
              <w:ind w:right="20"/>
              <w:spacing w:after="0"/>
              <w:rPr>
                <w:sz w:val="20"/>
                <w:szCs w:val="20"/>
                <w:color w:val="auto"/>
              </w:rPr>
            </w:pPr>
            <w:r>
              <w:rPr>
                <w:rFonts w:ascii="Arial" w:cs="Arial" w:eastAsia="Arial" w:hAnsi="Arial"/>
                <w:sz w:val="13"/>
                <w:szCs w:val="13"/>
                <w:color w:val="auto"/>
              </w:rPr>
              <w:t>-</w:t>
            </w:r>
          </w:p>
        </w:tc>
        <w:tc>
          <w:tcPr>
            <w:tcW w:w="20" w:type="dxa"/>
            <w:vAlign w:val="bottom"/>
          </w:tcPr>
          <w:p>
            <w:pPr>
              <w:spacing w:after="0"/>
              <w:rPr>
                <w:sz w:val="13"/>
                <w:szCs w:val="13"/>
                <w:color w:val="auto"/>
              </w:rPr>
            </w:pPr>
          </w:p>
        </w:tc>
      </w:tr>
      <w:tr>
        <w:trPr>
          <w:trHeight w:val="154"/>
        </w:trPr>
        <w:tc>
          <w:tcPr>
            <w:tcW w:w="10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3360" w:type="dxa"/>
            <w:vAlign w:val="bottom"/>
            <w:gridSpan w:val="3"/>
          </w:tcPr>
          <w:p>
            <w:pPr>
              <w:ind w:left="100"/>
              <w:spacing w:after="0"/>
              <w:rPr>
                <w:sz w:val="20"/>
                <w:szCs w:val="20"/>
                <w:color w:val="auto"/>
              </w:rPr>
            </w:pPr>
            <w:r>
              <w:rPr>
                <w:rFonts w:ascii="Arial" w:cs="Arial" w:eastAsia="Arial" w:hAnsi="Arial"/>
                <w:sz w:val="13"/>
                <w:szCs w:val="13"/>
                <w:color w:val="auto"/>
              </w:rPr>
              <w:t>Interest expense – borrowings and debt</w:t>
            </w:r>
          </w:p>
        </w:tc>
        <w:tc>
          <w:tcPr>
            <w:tcW w:w="98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220" w:type="dxa"/>
            <w:vAlign w:val="bottom"/>
            <w:gridSpan w:val="2"/>
          </w:tcPr>
          <w:p>
            <w:pPr>
              <w:jc w:val="right"/>
              <w:ind w:right="20"/>
              <w:spacing w:after="0"/>
              <w:rPr>
                <w:sz w:val="20"/>
                <w:szCs w:val="20"/>
                <w:color w:val="auto"/>
              </w:rPr>
            </w:pPr>
            <w:r>
              <w:rPr>
                <w:rFonts w:ascii="Arial" w:cs="Arial" w:eastAsia="Arial" w:hAnsi="Arial"/>
                <w:sz w:val="13"/>
                <w:szCs w:val="13"/>
                <w:color w:val="auto"/>
              </w:rPr>
              <w:t>-</w:t>
            </w:r>
          </w:p>
        </w:tc>
        <w:tc>
          <w:tcPr>
            <w:tcW w:w="20" w:type="dxa"/>
            <w:vAlign w:val="bottom"/>
          </w:tcPr>
          <w:p>
            <w:pPr>
              <w:spacing w:after="0"/>
              <w:rPr>
                <w:sz w:val="13"/>
                <w:szCs w:val="13"/>
                <w:color w:val="auto"/>
              </w:rPr>
            </w:pPr>
          </w:p>
        </w:tc>
      </w:tr>
      <w:tr>
        <w:trPr>
          <w:trHeight w:val="172"/>
        </w:trPr>
        <w:tc>
          <w:tcPr>
            <w:tcW w:w="100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3360" w:type="dxa"/>
            <w:vAlign w:val="bottom"/>
            <w:gridSpan w:val="3"/>
          </w:tcPr>
          <w:p>
            <w:pPr>
              <w:ind w:left="100"/>
              <w:spacing w:after="0"/>
              <w:rPr>
                <w:sz w:val="20"/>
                <w:szCs w:val="20"/>
                <w:color w:val="auto"/>
              </w:rPr>
            </w:pPr>
            <w:r>
              <w:rPr>
                <w:rFonts w:ascii="Arial" w:cs="Arial" w:eastAsia="Arial" w:hAnsi="Arial"/>
                <w:sz w:val="13"/>
                <w:szCs w:val="13"/>
                <w:color w:val="auto"/>
              </w:rPr>
              <w:t>Gain (loss) on foreign currency exchange</w:t>
            </w:r>
          </w:p>
        </w:tc>
        <w:tc>
          <w:tcPr>
            <w:tcW w:w="1180" w:type="dxa"/>
            <w:vAlign w:val="bottom"/>
            <w:gridSpan w:val="2"/>
          </w:tcPr>
          <w:p>
            <w:pPr>
              <w:jc w:val="right"/>
              <w:ind w:right="123"/>
              <w:spacing w:after="0"/>
              <w:rPr>
                <w:sz w:val="20"/>
                <w:szCs w:val="20"/>
                <w:color w:val="auto"/>
              </w:rPr>
            </w:pPr>
            <w:r>
              <w:rPr>
                <w:rFonts w:ascii="Arial" w:cs="Arial" w:eastAsia="Arial" w:hAnsi="Arial"/>
                <w:sz w:val="13"/>
                <w:szCs w:val="13"/>
                <w:color w:val="auto"/>
              </w:rPr>
              <w:t>(7,001)</w:t>
            </w:r>
          </w:p>
        </w:tc>
        <w:tc>
          <w:tcPr>
            <w:tcW w:w="1220" w:type="dxa"/>
            <w:vAlign w:val="bottom"/>
            <w:gridSpan w:val="2"/>
          </w:tcPr>
          <w:p>
            <w:pPr>
              <w:jc w:val="right"/>
              <w:ind w:right="20"/>
              <w:spacing w:after="0"/>
              <w:rPr>
                <w:sz w:val="20"/>
                <w:szCs w:val="20"/>
                <w:color w:val="auto"/>
              </w:rPr>
            </w:pPr>
            <w:r>
              <w:rPr>
                <w:rFonts w:ascii="Arial" w:cs="Arial" w:eastAsia="Arial" w:hAnsi="Arial"/>
                <w:sz w:val="13"/>
                <w:szCs w:val="13"/>
                <w:color w:val="auto"/>
              </w:rPr>
              <w:t>-</w:t>
            </w:r>
          </w:p>
        </w:tc>
        <w:tc>
          <w:tcPr>
            <w:tcW w:w="20" w:type="dxa"/>
            <w:vAlign w:val="bottom"/>
          </w:tcPr>
          <w:p>
            <w:pPr>
              <w:spacing w:after="0"/>
              <w:rPr>
                <w:sz w:val="14"/>
                <w:szCs w:val="14"/>
                <w:color w:val="auto"/>
              </w:rPr>
            </w:pPr>
          </w:p>
        </w:tc>
      </w:tr>
      <w:tr>
        <w:trPr>
          <w:trHeight w:val="163"/>
        </w:trPr>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14,106</w:t>
            </w: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31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(1,196</w:t>
            </w:r>
          </w:p>
        </w:tc>
        <w:tc>
          <w:tcPr>
            <w:tcW w:w="200" w:type="dxa"/>
            <w:vAlign w:val="bottom"/>
          </w:tcPr>
          <w:p>
            <w:pPr>
              <w:jc w:val="right"/>
              <w:ind w:right="123"/>
              <w:spacing w:after="0"/>
              <w:rPr>
                <w:sz w:val="20"/>
                <w:szCs w:val="20"/>
                <w:color w:val="auto"/>
              </w:rPr>
            </w:pPr>
            <w:r>
              <w:rPr>
                <w:rFonts w:ascii="Arial" w:cs="Arial" w:eastAsia="Arial" w:hAnsi="Arial"/>
                <w:sz w:val="7"/>
                <w:szCs w:val="7"/>
                <w:b w:val="1"/>
                <w:bCs w:val="1"/>
                <w:color w:val="auto"/>
                <w:w w:val="83"/>
              </w:rPr>
              <w:t>)</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(6</w:t>
            </w:r>
          </w:p>
        </w:tc>
        <w:tc>
          <w:tcPr>
            <w:tcW w:w="20" w:type="dxa"/>
            <w:vAlign w:val="bottom"/>
            <w:tcBorders>
              <w:top w:val="single" w:sz="8" w:color="auto"/>
            </w:tcBorders>
          </w:tcPr>
          <w:p>
            <w:pPr>
              <w:spacing w:after="0"/>
              <w:rPr>
                <w:sz w:val="14"/>
                <w:szCs w:val="14"/>
                <w:color w:val="auto"/>
              </w:rPr>
            </w:pPr>
          </w:p>
        </w:tc>
        <w:tc>
          <w:tcPr>
            <w:tcW w:w="20" w:type="dxa"/>
            <w:vAlign w:val="bottom"/>
          </w:tcPr>
          <w:p>
            <w:pPr>
              <w:jc w:val="right"/>
              <w:spacing w:after="0"/>
              <w:rPr>
                <w:sz w:val="20"/>
                <w:szCs w:val="20"/>
                <w:color w:val="auto"/>
              </w:rPr>
            </w:pPr>
            <w:r>
              <w:rPr>
                <w:rFonts w:ascii="Arial" w:cs="Arial" w:eastAsia="Arial" w:hAnsi="Arial"/>
                <w:sz w:val="1"/>
                <w:szCs w:val="1"/>
                <w:b w:val="1"/>
                <w:bCs w:val="1"/>
                <w:color w:val="auto"/>
                <w:w w:val="4294967281"/>
              </w:rPr>
              <w:t>)</w:t>
            </w:r>
          </w:p>
        </w:tc>
      </w:tr>
      <w:tr>
        <w:trPr>
          <w:trHeight w:val="471"/>
        </w:trPr>
        <w:tc>
          <w:tcPr>
            <w:tcW w:w="1120" w:type="dxa"/>
            <w:vAlign w:val="bottom"/>
            <w:gridSpan w:val="3"/>
          </w:tcPr>
          <w:p>
            <w:pPr>
              <w:jc w:val="right"/>
              <w:ind w:right="75"/>
              <w:spacing w:after="0"/>
              <w:rPr>
                <w:sz w:val="20"/>
                <w:szCs w:val="20"/>
                <w:color w:val="auto"/>
              </w:rPr>
            </w:pPr>
            <w:r>
              <w:rPr>
                <w:rFonts w:ascii="Arial" w:cs="Arial" w:eastAsia="Arial" w:hAnsi="Arial"/>
                <w:sz w:val="13"/>
                <w:szCs w:val="13"/>
                <w:color w:val="auto"/>
              </w:rPr>
              <w:t>(909)</w:t>
            </w:r>
          </w:p>
        </w:tc>
        <w:tc>
          <w:tcPr>
            <w:tcW w:w="100" w:type="dxa"/>
            <w:vAlign w:val="bottom"/>
          </w:tcPr>
          <w:p>
            <w:pPr>
              <w:spacing w:after="0"/>
              <w:rPr>
                <w:sz w:val="24"/>
                <w:szCs w:val="24"/>
                <w:color w:val="auto"/>
              </w:rPr>
            </w:pPr>
          </w:p>
        </w:tc>
        <w:tc>
          <w:tcPr>
            <w:tcW w:w="31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 w:type="dxa"/>
            <w:vAlign w:val="bottom"/>
          </w:tcPr>
          <w:p>
            <w:pPr>
              <w:spacing w:after="0"/>
              <w:rPr>
                <w:sz w:val="24"/>
                <w:szCs w:val="24"/>
                <w:color w:val="auto"/>
              </w:rPr>
            </w:pPr>
          </w:p>
        </w:tc>
      </w:tr>
      <w:tr>
        <w:trPr>
          <w:trHeight w:val="163"/>
        </w:trPr>
        <w:tc>
          <w:tcPr>
            <w:tcW w:w="102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3"/>
                <w:szCs w:val="13"/>
                <w:b w:val="1"/>
                <w:bCs w:val="1"/>
                <w:color w:val="auto"/>
              </w:rPr>
              <w:t>(909</w:t>
            </w:r>
          </w:p>
        </w:tc>
        <w:tc>
          <w:tcPr>
            <w:tcW w:w="100" w:type="dxa"/>
            <w:vAlign w:val="bottom"/>
          </w:tcPr>
          <w:p>
            <w:pPr>
              <w:jc w:val="right"/>
              <w:ind w:right="75"/>
              <w:spacing w:after="0"/>
              <w:rPr>
                <w:sz w:val="20"/>
                <w:szCs w:val="20"/>
                <w:color w:val="auto"/>
              </w:rPr>
            </w:pPr>
            <w:r>
              <w:rPr>
                <w:rFonts w:ascii="Arial" w:cs="Arial" w:eastAsia="Arial" w:hAnsi="Arial"/>
                <w:sz w:val="1"/>
                <w:szCs w:val="1"/>
                <w:b w:val="1"/>
                <w:bCs w:val="1"/>
                <w:color w:val="auto"/>
                <w:w w:val="4294967281"/>
              </w:rPr>
              <w:t>)</w:t>
            </w:r>
          </w:p>
        </w:tc>
        <w:tc>
          <w:tcPr>
            <w:tcW w:w="100" w:type="dxa"/>
            <w:vAlign w:val="bottom"/>
          </w:tcPr>
          <w:p>
            <w:pPr>
              <w:spacing w:after="0"/>
              <w:rPr>
                <w:sz w:val="14"/>
                <w:szCs w:val="14"/>
                <w:color w:val="auto"/>
              </w:rPr>
            </w:pPr>
          </w:p>
        </w:tc>
        <w:tc>
          <w:tcPr>
            <w:tcW w:w="31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20" w:type="dxa"/>
            <w:vAlign w:val="bottom"/>
          </w:tcPr>
          <w:p>
            <w:pPr>
              <w:spacing w:after="0"/>
              <w:rPr>
                <w:sz w:val="14"/>
                <w:szCs w:val="14"/>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-2496185</wp:posOffset>
            </wp:positionH>
            <wp:positionV relativeFrom="paragraph">
              <wp:posOffset>-1350010</wp:posOffset>
            </wp:positionV>
            <wp:extent cx="6918960" cy="104140"/>
            <wp:wrapNone/>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252">
                      <a:extLst>
                        <a:ext uri="{28A0092B-C50C-407E-A947-70E740481C1C}"/>
                      </a:extLst>
                    </a:blip>
                    <a:srcRect/>
                    <a:stretch>
                      <a:fillRect/>
                    </a:stretch>
                  </pic:blipFill>
                  <pic:spPr bwMode="auto">
                    <a:xfrm>
                      <a:off x="0" y="0"/>
                      <a:ext cx="6918960" cy="104140"/>
                    </a:xfrm>
                    <a:prstGeom prst="rect">
                      <a:avLst/>
                    </a:prstGeom>
                    <a:noFill/>
                  </pic:spPr>
                </pic:pic>
              </a:graphicData>
            </a:graphic>
          </wp:anchor>
        </w:drawing>
        <w:drawing>
          <wp:anchor simplePos="0" relativeHeight="251657728" behindDoc="1" locked="0" layoutInCell="0" allowOverlap="1">
            <wp:simplePos x="0" y="0"/>
            <wp:positionH relativeFrom="column">
              <wp:posOffset>-2496185</wp:posOffset>
            </wp:positionH>
            <wp:positionV relativeFrom="paragraph">
              <wp:posOffset>-1148715</wp:posOffset>
            </wp:positionV>
            <wp:extent cx="6918960" cy="97790"/>
            <wp:wrapNone/>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253">
                      <a:extLst>
                        <a:ext uri="{28A0092B-C50C-407E-A947-70E740481C1C}"/>
                      </a:extLst>
                    </a:blip>
                    <a:srcRect/>
                    <a:stretch>
                      <a:fillRect/>
                    </a:stretch>
                  </pic:blipFill>
                  <pic:spPr bwMode="auto">
                    <a:xfrm>
                      <a:off x="0" y="0"/>
                      <a:ext cx="6918960" cy="97790"/>
                    </a:xfrm>
                    <a:prstGeom prst="rect">
                      <a:avLst/>
                    </a:prstGeom>
                    <a:noFill/>
                  </pic:spPr>
                </pic:pic>
              </a:graphicData>
            </a:graphic>
          </wp:anchor>
        </w:drawing>
        <w:drawing>
          <wp:anchor simplePos="0" relativeHeight="251657728" behindDoc="1" locked="0" layoutInCell="0" allowOverlap="1">
            <wp:simplePos x="0" y="0"/>
            <wp:positionH relativeFrom="column">
              <wp:posOffset>-2496185</wp:posOffset>
            </wp:positionH>
            <wp:positionV relativeFrom="paragraph">
              <wp:posOffset>-953135</wp:posOffset>
            </wp:positionV>
            <wp:extent cx="6918960" cy="97790"/>
            <wp:wrapNone/>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54">
                      <a:extLst>
                        <a:ext uri="{28A0092B-C50C-407E-A947-70E740481C1C}"/>
                      </a:extLst>
                    </a:blip>
                    <a:srcRect/>
                    <a:stretch>
                      <a:fillRect/>
                    </a:stretch>
                  </pic:blipFill>
                  <pic:spPr bwMode="auto">
                    <a:xfrm>
                      <a:off x="0" y="0"/>
                      <a:ext cx="6918960" cy="97790"/>
                    </a:xfrm>
                    <a:prstGeom prst="rect">
                      <a:avLst/>
                    </a:prstGeom>
                    <a:noFill/>
                  </pic:spPr>
                </pic:pic>
              </a:graphicData>
            </a:graphic>
          </wp:anchor>
        </w:drawing>
        <w:drawing>
          <wp:anchor simplePos="0" relativeHeight="251657728" behindDoc="1" locked="0" layoutInCell="0" allowOverlap="1">
            <wp:simplePos x="0" y="0"/>
            <wp:positionH relativeFrom="column">
              <wp:posOffset>-2496185</wp:posOffset>
            </wp:positionH>
            <wp:positionV relativeFrom="paragraph">
              <wp:posOffset>-757555</wp:posOffset>
            </wp:positionV>
            <wp:extent cx="6918960" cy="97790"/>
            <wp:wrapNone/>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55">
                      <a:extLst>
                        <a:ext uri="{28A0092B-C50C-407E-A947-70E740481C1C}"/>
                      </a:extLst>
                    </a:blip>
                    <a:srcRect/>
                    <a:stretch>
                      <a:fillRect/>
                    </a:stretch>
                  </pic:blipFill>
                  <pic:spPr bwMode="auto">
                    <a:xfrm>
                      <a:off x="0" y="0"/>
                      <a:ext cx="6918960" cy="97790"/>
                    </a:xfrm>
                    <a:prstGeom prst="rect">
                      <a:avLst/>
                    </a:prstGeom>
                    <a:noFill/>
                  </pic:spPr>
                </pic:pic>
              </a:graphicData>
            </a:graphic>
          </wp:anchor>
        </w:drawing>
        <w:drawing>
          <wp:anchor simplePos="0" relativeHeight="251657728" behindDoc="1" locked="0" layoutInCell="0" allowOverlap="1">
            <wp:simplePos x="0" y="0"/>
            <wp:positionH relativeFrom="column">
              <wp:posOffset>-2496185</wp:posOffset>
            </wp:positionH>
            <wp:positionV relativeFrom="paragraph">
              <wp:posOffset>-555625</wp:posOffset>
            </wp:positionV>
            <wp:extent cx="6918960" cy="116205"/>
            <wp:wrapNone/>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56">
                      <a:extLst>
                        <a:ext uri="{28A0092B-C50C-407E-A947-70E740481C1C}"/>
                      </a:extLst>
                    </a:blip>
                    <a:srcRect/>
                    <a:stretch>
                      <a:fillRect/>
                    </a:stretch>
                  </pic:blipFill>
                  <pic:spPr bwMode="auto">
                    <a:xfrm>
                      <a:off x="0" y="0"/>
                      <a:ext cx="6918960" cy="116205"/>
                    </a:xfrm>
                    <a:prstGeom prst="rect">
                      <a:avLst/>
                    </a:prstGeom>
                    <a:noFill/>
                  </pic:spPr>
                </pic:pic>
              </a:graphicData>
            </a:graphic>
          </wp:anchor>
        </w:drawing>
        <w:drawing>
          <wp:anchor simplePos="0" relativeHeight="251657728" behindDoc="1" locked="0" layoutInCell="0" allowOverlap="1">
            <wp:simplePos x="0" y="0"/>
            <wp:positionH relativeFrom="column">
              <wp:posOffset>-2496185</wp:posOffset>
            </wp:positionH>
            <wp:positionV relativeFrom="paragraph">
              <wp:posOffset>-329565</wp:posOffset>
            </wp:positionV>
            <wp:extent cx="6918960" cy="977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57">
                      <a:extLst>
                        <a:ext uri="{28A0092B-C50C-407E-A947-70E740481C1C}"/>
                      </a:extLst>
                    </a:blip>
                    <a:srcRect/>
                    <a:stretch>
                      <a:fillRect/>
                    </a:stretch>
                  </pic:blipFill>
                  <pic:spPr bwMode="auto">
                    <a:xfrm>
                      <a:off x="0" y="0"/>
                      <a:ext cx="6918960" cy="97790"/>
                    </a:xfrm>
                    <a:prstGeom prst="rect">
                      <a:avLst/>
                    </a:prstGeom>
                    <a:noFill/>
                  </pic:spPr>
                </pic:pic>
              </a:graphicData>
            </a:graphic>
          </wp:anchor>
        </w:drawing>
        <w:drawing>
          <wp:anchor simplePos="0" relativeHeight="251657728" behindDoc="1" locked="0" layoutInCell="0" allowOverlap="1">
            <wp:simplePos x="0" y="0"/>
            <wp:positionH relativeFrom="column">
              <wp:posOffset>-2496185</wp:posOffset>
            </wp:positionH>
            <wp:positionV relativeFrom="paragraph">
              <wp:posOffset>-127635</wp:posOffset>
            </wp:positionV>
            <wp:extent cx="6918960" cy="116205"/>
            <wp:wrapNone/>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58">
                      <a:extLst>
                        <a:ext uri="{28A0092B-C50C-407E-A947-70E740481C1C}"/>
                      </a:extLst>
                    </a:blip>
                    <a:srcRect/>
                    <a:stretch>
                      <a:fillRect/>
                    </a:stretch>
                  </pic:blipFill>
                  <pic:spPr bwMode="auto">
                    <a:xfrm>
                      <a:off x="0" y="0"/>
                      <a:ext cx="6918960" cy="11620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3443" w:space="720"/>
            <w:col w:w="6900"/>
          </w:cols>
          <w:pgMar w:left="217" w:top="685" w:right="619" w:bottom="1440" w:gutter="0" w:footer="0" w:header="0"/>
          <w:type w:val="continuous"/>
        </w:sectPr>
      </w:pPr>
    </w:p>
    <w:p>
      <w:pPr>
        <w:spacing w:after="0" w:line="99" w:lineRule="exact"/>
        <w:rPr>
          <w:sz w:val="20"/>
          <w:szCs w:val="20"/>
          <w:color w:val="auto"/>
        </w:rPr>
      </w:pPr>
    </w:p>
    <w:p>
      <w:pPr>
        <w:jc w:val="center"/>
        <w:ind w:right="-422"/>
        <w:spacing w:after="0"/>
        <w:rPr>
          <w:sz w:val="20"/>
          <w:szCs w:val="20"/>
          <w:color w:val="auto"/>
        </w:rPr>
      </w:pPr>
      <w:r>
        <w:rPr>
          <w:rFonts w:ascii="Arial" w:cs="Arial" w:eastAsia="Arial" w:hAnsi="Arial"/>
          <w:sz w:val="11"/>
          <w:szCs w:val="11"/>
          <w:color w:val="auto"/>
        </w:rPr>
        <w:t>F-54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29210</wp:posOffset>
            </wp:positionV>
            <wp:extent cx="7285990" cy="6350"/>
            <wp:wrapNone/>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25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063"/>
          </w:cols>
          <w:pgMar w:left="217" w:top="685" w:right="619" w:bottom="1440" w:gutter="0" w:footer="0" w:header="0"/>
          <w:type w:val="continuous"/>
        </w:sectPr>
      </w:pPr>
    </w:p>
    <w:bookmarkStart w:id="179" w:name="page180"/>
    <w:bookmarkEnd w:id="179"/>
    <w:p>
      <w:pPr>
        <w:ind w:left="3"/>
        <w:spacing w:after="0"/>
        <w:rPr>
          <w:sz w:val="20"/>
          <w:szCs w:val="20"/>
          <w:color w:val="auto"/>
        </w:rPr>
      </w:pPr>
      <w:r>
        <w:rPr>
          <w:rFonts w:ascii="Arial" w:cs="Arial" w:eastAsia="Arial" w:hAnsi="Arial"/>
          <w:sz w:val="12"/>
          <w:szCs w:val="12"/>
          <w:b w:val="1"/>
          <w:bCs w:val="1"/>
          <w:color w:val="auto"/>
        </w:rPr>
        <w:t>Banco Latinoamericano de Comercio Exterior, S. A. and Subsidiaries</w:t>
      </w:r>
    </w:p>
    <w:p>
      <w:pPr>
        <w:spacing w:after="0" w:line="28"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1"/>
          <w:szCs w:val="11"/>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17780</wp:posOffset>
            </wp:positionV>
            <wp:extent cx="7285990" cy="6350"/>
            <wp:wrapNone/>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26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123"/>
          </w:cols>
          <w:pgMar w:left="217" w:top="685" w:right="559" w:bottom="1440" w:gutter="0" w:footer="0" w:header="0"/>
        </w:sectPr>
      </w:pPr>
    </w:p>
    <w:p>
      <w:pPr>
        <w:spacing w:after="0" w:line="179" w:lineRule="exact"/>
        <w:rPr>
          <w:sz w:val="20"/>
          <w:szCs w:val="20"/>
          <w:color w:val="auto"/>
        </w:rPr>
      </w:pPr>
    </w:p>
    <w:p>
      <w:pPr>
        <w:ind w:left="223" w:hanging="223"/>
        <w:spacing w:after="0"/>
        <w:tabs>
          <w:tab w:leader="none" w:pos="223" w:val="left"/>
        </w:tabs>
        <w:numPr>
          <w:ilvl w:val="0"/>
          <w:numId w:val="142"/>
        </w:numPr>
        <w:rPr>
          <w:rFonts w:ascii="Arial" w:cs="Arial" w:eastAsia="Arial" w:hAnsi="Arial"/>
          <w:sz w:val="11"/>
          <w:szCs w:val="11"/>
          <w:b w:val="1"/>
          <w:bCs w:val="1"/>
          <w:color w:val="auto"/>
        </w:rPr>
      </w:pPr>
      <w:r>
        <w:rPr>
          <w:rFonts w:ascii="Arial" w:cs="Arial" w:eastAsia="Arial" w:hAnsi="Arial"/>
          <w:sz w:val="11"/>
          <w:szCs w:val="11"/>
          <w:b w:val="1"/>
          <w:bCs w:val="1"/>
          <w:color w:val="auto"/>
        </w:rPr>
        <w:t>Derivative financial instruments (continued)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ind w:left="223"/>
        <w:spacing w:after="0"/>
        <w:rPr>
          <w:sz w:val="20"/>
          <w:szCs w:val="20"/>
          <w:color w:val="auto"/>
        </w:rPr>
      </w:pPr>
      <w:r>
        <w:rPr>
          <w:rFonts w:ascii="Arial" w:cs="Arial" w:eastAsia="Arial" w:hAnsi="Arial"/>
          <w:sz w:val="13"/>
          <w:szCs w:val="13"/>
          <w:b w:val="1"/>
          <w:bCs w:val="1"/>
          <w:color w:val="auto"/>
        </w:rPr>
        <w:t>Derivatives – cash flow hedge</w:t>
      </w:r>
    </w:p>
    <w:p>
      <w:pPr>
        <w:spacing w:after="0" w:line="17" w:lineRule="exact"/>
        <w:rPr>
          <w:sz w:val="20"/>
          <w:szCs w:val="20"/>
          <w:color w:val="auto"/>
        </w:rPr>
      </w:pPr>
    </w:p>
    <w:p>
      <w:pPr>
        <w:ind w:left="223"/>
        <w:spacing w:after="0"/>
        <w:rPr>
          <w:sz w:val="20"/>
          <w:szCs w:val="20"/>
          <w:color w:val="auto"/>
        </w:rPr>
      </w:pPr>
      <w:r>
        <w:rPr>
          <w:rFonts w:ascii="Arial" w:cs="Arial" w:eastAsia="Arial" w:hAnsi="Arial"/>
          <w:sz w:val="13"/>
          <w:szCs w:val="13"/>
          <w:color w:val="auto"/>
        </w:rPr>
        <w:t>Interest rate swaps</w:t>
      </w:r>
    </w:p>
    <w:p>
      <w:pPr>
        <w:spacing w:after="0" w:line="5" w:lineRule="exact"/>
        <w:rPr>
          <w:sz w:val="20"/>
          <w:szCs w:val="20"/>
          <w:color w:val="auto"/>
        </w:rPr>
      </w:pPr>
    </w:p>
    <w:p>
      <w:pPr>
        <w:ind w:left="223"/>
        <w:spacing w:after="0"/>
        <w:rPr>
          <w:sz w:val="20"/>
          <w:szCs w:val="20"/>
          <w:color w:val="auto"/>
        </w:rPr>
      </w:pPr>
      <w:r>
        <w:rPr>
          <w:rFonts w:ascii="Arial" w:cs="Arial" w:eastAsia="Arial" w:hAnsi="Arial"/>
          <w:sz w:val="13"/>
          <w:szCs w:val="13"/>
          <w:color w:val="auto"/>
        </w:rPr>
        <w:t>Cross-currency swaps</w:t>
      </w:r>
    </w:p>
    <w:p>
      <w:pPr>
        <w:spacing w:after="0" w:line="150" w:lineRule="exact"/>
        <w:rPr>
          <w:sz w:val="20"/>
          <w:szCs w:val="20"/>
          <w:color w:val="auto"/>
        </w:rPr>
      </w:pPr>
    </w:p>
    <w:p>
      <w:pPr>
        <w:ind w:left="223"/>
        <w:spacing w:after="0"/>
        <w:rPr>
          <w:sz w:val="20"/>
          <w:szCs w:val="20"/>
          <w:color w:val="auto"/>
        </w:rPr>
      </w:pPr>
      <w:r>
        <w:rPr>
          <w:rFonts w:ascii="Arial" w:cs="Arial" w:eastAsia="Arial" w:hAnsi="Arial"/>
          <w:sz w:val="13"/>
          <w:szCs w:val="13"/>
          <w:color w:val="auto"/>
        </w:rPr>
        <w:t>Foreign exchange forwards</w:t>
      </w:r>
    </w:p>
    <w:p>
      <w:pPr>
        <w:spacing w:after="0" w:line="200" w:lineRule="exact"/>
        <w:rPr>
          <w:sz w:val="20"/>
          <w:szCs w:val="20"/>
          <w:color w:val="auto"/>
        </w:rPr>
      </w:pPr>
    </w:p>
    <w:p>
      <w:pPr>
        <w:spacing w:after="0" w:line="272" w:lineRule="exact"/>
        <w:rPr>
          <w:sz w:val="20"/>
          <w:szCs w:val="20"/>
          <w:color w:val="auto"/>
        </w:rPr>
      </w:pPr>
    </w:p>
    <w:p>
      <w:pPr>
        <w:ind w:left="223"/>
        <w:spacing w:after="0"/>
        <w:rPr>
          <w:sz w:val="20"/>
          <w:szCs w:val="20"/>
          <w:color w:val="auto"/>
        </w:rPr>
      </w:pPr>
      <w:r>
        <w:rPr>
          <w:rFonts w:ascii="Arial" w:cs="Arial" w:eastAsia="Arial" w:hAnsi="Arial"/>
          <w:sz w:val="13"/>
          <w:szCs w:val="13"/>
          <w:b w:val="1"/>
          <w:bCs w:val="1"/>
          <w:color w:val="auto"/>
        </w:rPr>
        <w:t>Total</w:t>
      </w:r>
    </w:p>
    <w:p>
      <w:pPr>
        <w:spacing w:after="0" w:line="361" w:lineRule="exact"/>
        <w:rPr>
          <w:sz w:val="20"/>
          <w:szCs w:val="20"/>
          <w:color w:val="auto"/>
        </w:rPr>
      </w:pPr>
    </w:p>
    <w:p>
      <w:pPr>
        <w:ind w:left="223" w:right="520"/>
        <w:spacing w:after="0" w:line="278" w:lineRule="auto"/>
        <w:rPr>
          <w:sz w:val="20"/>
          <w:szCs w:val="20"/>
          <w:color w:val="auto"/>
        </w:rPr>
      </w:pPr>
      <w:r>
        <w:rPr>
          <w:rFonts w:ascii="Arial" w:cs="Arial" w:eastAsia="Arial" w:hAnsi="Arial"/>
          <w:sz w:val="12"/>
          <w:szCs w:val="12"/>
          <w:b w:val="1"/>
          <w:bCs w:val="1"/>
          <w:color w:val="auto"/>
        </w:rPr>
        <w:t xml:space="preserve">Derivatives – net investment hedge </w:t>
      </w:r>
      <w:r>
        <w:rPr>
          <w:rFonts w:ascii="Arial" w:cs="Arial" w:eastAsia="Arial" w:hAnsi="Arial"/>
          <w:sz w:val="12"/>
          <w:szCs w:val="12"/>
          <w:color w:val="auto"/>
        </w:rPr>
        <w:t>Foreign exchange forwards</w:t>
      </w:r>
    </w:p>
    <w:p>
      <w:pPr>
        <w:spacing w:after="0" w:line="1" w:lineRule="exact"/>
        <w:rPr>
          <w:sz w:val="20"/>
          <w:szCs w:val="20"/>
          <w:color w:val="auto"/>
        </w:rPr>
      </w:pPr>
    </w:p>
    <w:p>
      <w:pPr>
        <w:ind w:left="223"/>
        <w:spacing w:after="0"/>
        <w:rPr>
          <w:sz w:val="20"/>
          <w:szCs w:val="20"/>
          <w:color w:val="auto"/>
        </w:rPr>
      </w:pPr>
      <w:r>
        <w:rPr>
          <w:rFonts w:ascii="Arial" w:cs="Arial" w:eastAsia="Arial" w:hAnsi="Arial"/>
          <w:sz w:val="13"/>
          <w:szCs w:val="13"/>
          <w:b w:val="1"/>
          <w:bCs w:val="1"/>
          <w:color w:val="auto"/>
        </w:rPr>
        <w:t>Total</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77" w:lineRule="exact"/>
        <w:rPr>
          <w:sz w:val="20"/>
          <w:szCs w:val="20"/>
          <w:color w:val="auto"/>
        </w:rPr>
      </w:pPr>
    </w:p>
    <w:p>
      <w:pPr>
        <w:ind w:left="3880"/>
        <w:spacing w:after="0"/>
        <w:rPr>
          <w:sz w:val="20"/>
          <w:szCs w:val="20"/>
          <w:color w:val="auto"/>
        </w:rPr>
      </w:pPr>
      <w:r>
        <w:rPr>
          <w:rFonts w:ascii="Arial" w:cs="Arial" w:eastAsia="Arial" w:hAnsi="Arial"/>
          <w:sz w:val="13"/>
          <w:szCs w:val="13"/>
          <w:b w:val="1"/>
          <w:bCs w:val="1"/>
          <w:color w:val="auto"/>
        </w:rPr>
        <w:t>31-Dec-17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-1734185</wp:posOffset>
            </wp:positionH>
            <wp:positionV relativeFrom="paragraph">
              <wp:posOffset>-92075</wp:posOffset>
            </wp:positionV>
            <wp:extent cx="6918960" cy="709295"/>
            <wp:wrapNone/>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261">
                      <a:extLst>
                        <a:ext uri="{28A0092B-C50C-407E-A947-70E740481C1C}"/>
                      </a:extLst>
                    </a:blip>
                    <a:srcRect/>
                    <a:stretch>
                      <a:fillRect/>
                    </a:stretch>
                  </pic:blipFill>
                  <pic:spPr bwMode="auto">
                    <a:xfrm>
                      <a:off x="0" y="0"/>
                      <a:ext cx="6918960" cy="709295"/>
                    </a:xfrm>
                    <a:prstGeom prst="rect">
                      <a:avLst/>
                    </a:prstGeom>
                    <a:noFill/>
                  </pic:spPr>
                </pic:pic>
              </a:graphicData>
            </a:graphic>
          </wp:anchor>
        </w:drawing>
      </w:r>
    </w:p>
    <w:tbl>
      <w:tblPr>
        <w:tblLayout w:type="fixed"/>
        <w:tblInd w:w="0" w:type="dxa"/>
        <w:tblCellMar>
          <w:top w:w="0" w:type="dxa"/>
          <w:left w:w="0" w:type="dxa"/>
          <w:bottom w:w="0" w:type="dxa"/>
          <w:right w:w="0" w:type="dxa"/>
        </w:tblCellMar>
      </w:tblPr>
      <w:tr>
        <w:trPr>
          <w:trHeight w:val="131"/>
        </w:trPr>
        <w:tc>
          <w:tcPr>
            <w:tcW w:w="120" w:type="dxa"/>
            <w:vAlign w:val="bottom"/>
          </w:tcPr>
          <w:p>
            <w:pPr>
              <w:spacing w:after="0"/>
              <w:rPr>
                <w:sz w:val="11"/>
                <w:szCs w:val="11"/>
                <w:color w:val="auto"/>
              </w:rPr>
            </w:pPr>
          </w:p>
        </w:tc>
        <w:tc>
          <w:tcPr>
            <w:tcW w:w="1740" w:type="dxa"/>
            <w:vAlign w:val="bottom"/>
            <w:tcBorders>
              <w:top w:val="single" w:sz="8" w:color="auto"/>
            </w:tcBorders>
          </w:tcPr>
          <w:p>
            <w:pPr>
              <w:spacing w:after="0"/>
              <w:rPr>
                <w:sz w:val="11"/>
                <w:szCs w:val="11"/>
                <w:color w:val="auto"/>
              </w:rPr>
            </w:pPr>
          </w:p>
        </w:tc>
        <w:tc>
          <w:tcPr>
            <w:tcW w:w="2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3260" w:type="dxa"/>
            <w:vAlign w:val="bottom"/>
            <w:tcBorders>
              <w:top w:val="single" w:sz="8" w:color="auto"/>
            </w:tcBorders>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1200" w:type="dxa"/>
            <w:vAlign w:val="bottom"/>
            <w:tcBorders>
              <w:top w:val="single" w:sz="8" w:color="auto"/>
            </w:tcBorders>
          </w:tcPr>
          <w:p>
            <w:pPr>
              <w:spacing w:after="0"/>
              <w:rPr>
                <w:sz w:val="11"/>
                <w:szCs w:val="11"/>
                <w:color w:val="auto"/>
              </w:rPr>
            </w:pPr>
          </w:p>
        </w:tc>
        <w:tc>
          <w:tcPr>
            <w:tcW w:w="200" w:type="dxa"/>
            <w:vAlign w:val="bottom"/>
            <w:tcBorders>
              <w:top w:val="single" w:sz="8" w:color="auto"/>
            </w:tcBorders>
          </w:tcPr>
          <w:p>
            <w:pPr>
              <w:spacing w:after="0"/>
              <w:rPr>
                <w:sz w:val="11"/>
                <w:szCs w:val="11"/>
                <w:color w:val="auto"/>
              </w:rPr>
            </w:pPr>
          </w:p>
        </w:tc>
        <w:tc>
          <w:tcPr>
            <w:tcW w:w="1200" w:type="dxa"/>
            <w:vAlign w:val="bottom"/>
            <w:tcBorders>
              <w:top w:val="single" w:sz="8" w:color="auto"/>
            </w:tcBorders>
          </w:tcPr>
          <w:p>
            <w:pPr>
              <w:jc w:val="center"/>
              <w:ind w:left="36"/>
              <w:spacing w:after="0" w:line="131" w:lineRule="exact"/>
              <w:rPr>
                <w:sz w:val="20"/>
                <w:szCs w:val="20"/>
                <w:color w:val="auto"/>
              </w:rPr>
            </w:pPr>
            <w:r>
              <w:rPr>
                <w:rFonts w:ascii="Arial" w:cs="Arial" w:eastAsia="Arial" w:hAnsi="Arial"/>
                <w:sz w:val="13"/>
                <w:szCs w:val="13"/>
                <w:b w:val="1"/>
                <w:bCs w:val="1"/>
                <w:color w:val="auto"/>
                <w:w w:val="86"/>
              </w:rPr>
              <w:t>Gain (loss)</w:t>
            </w: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120" w:type="dxa"/>
            <w:vAlign w:val="bottom"/>
          </w:tcPr>
          <w:p>
            <w:pPr>
              <w:spacing w:after="0"/>
              <w:rPr>
                <w:sz w:val="13"/>
                <w:szCs w:val="13"/>
                <w:color w:val="auto"/>
              </w:rPr>
            </w:pPr>
          </w:p>
        </w:tc>
        <w:tc>
          <w:tcPr>
            <w:tcW w:w="1980" w:type="dxa"/>
            <w:vAlign w:val="bottom"/>
            <w:gridSpan w:val="3"/>
          </w:tcPr>
          <w:p>
            <w:pPr>
              <w:jc w:val="right"/>
              <w:ind w:right="743"/>
              <w:spacing w:after="0"/>
              <w:rPr>
                <w:sz w:val="20"/>
                <w:szCs w:val="20"/>
                <w:color w:val="auto"/>
              </w:rPr>
            </w:pPr>
            <w:r>
              <w:rPr>
                <w:rFonts w:ascii="Arial" w:cs="Arial" w:eastAsia="Arial" w:hAnsi="Arial"/>
                <w:sz w:val="13"/>
                <w:szCs w:val="13"/>
                <w:b w:val="1"/>
                <w:bCs w:val="1"/>
                <w:color w:val="auto"/>
              </w:rPr>
              <w:t>Gain (loss)</w:t>
            </w:r>
          </w:p>
        </w:tc>
        <w:tc>
          <w:tcPr>
            <w:tcW w:w="32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400" w:type="dxa"/>
            <w:vAlign w:val="bottom"/>
            <w:gridSpan w:val="2"/>
          </w:tcPr>
          <w:p>
            <w:pPr>
              <w:ind w:left="360"/>
              <w:spacing w:after="0"/>
              <w:rPr>
                <w:sz w:val="20"/>
                <w:szCs w:val="20"/>
                <w:color w:val="auto"/>
              </w:rPr>
            </w:pPr>
            <w:r>
              <w:rPr>
                <w:rFonts w:ascii="Arial" w:cs="Arial" w:eastAsia="Arial" w:hAnsi="Arial"/>
                <w:sz w:val="13"/>
                <w:szCs w:val="13"/>
                <w:b w:val="1"/>
                <w:bCs w:val="1"/>
                <w:color w:val="auto"/>
              </w:rPr>
              <w:t>Gain (loss)</w:t>
            </w:r>
          </w:p>
        </w:tc>
        <w:tc>
          <w:tcPr>
            <w:tcW w:w="1300" w:type="dxa"/>
            <w:vAlign w:val="bottom"/>
            <w:gridSpan w:val="2"/>
          </w:tcPr>
          <w:p>
            <w:pPr>
              <w:jc w:val="center"/>
              <w:ind w:right="20"/>
              <w:spacing w:after="0"/>
              <w:rPr>
                <w:sz w:val="20"/>
                <w:szCs w:val="20"/>
                <w:color w:val="auto"/>
              </w:rPr>
            </w:pPr>
            <w:r>
              <w:rPr>
                <w:rFonts w:ascii="Arial" w:cs="Arial" w:eastAsia="Arial" w:hAnsi="Arial"/>
                <w:sz w:val="13"/>
                <w:szCs w:val="13"/>
                <w:b w:val="1"/>
                <w:bCs w:val="1"/>
                <w:color w:val="auto"/>
                <w:w w:val="87"/>
              </w:rPr>
              <w:t>recognized</w:t>
            </w:r>
          </w:p>
        </w:tc>
        <w:tc>
          <w:tcPr>
            <w:tcW w:w="0" w:type="dxa"/>
            <w:vAlign w:val="bottom"/>
          </w:tcPr>
          <w:p>
            <w:pPr>
              <w:spacing w:after="0"/>
              <w:rPr>
                <w:sz w:val="1"/>
                <w:szCs w:val="1"/>
                <w:color w:val="auto"/>
              </w:rPr>
            </w:pPr>
          </w:p>
        </w:tc>
      </w:tr>
      <w:tr>
        <w:trPr>
          <w:trHeight w:val="164"/>
        </w:trPr>
        <w:tc>
          <w:tcPr>
            <w:tcW w:w="120" w:type="dxa"/>
            <w:vAlign w:val="bottom"/>
          </w:tcPr>
          <w:p>
            <w:pPr>
              <w:spacing w:after="0"/>
              <w:rPr>
                <w:sz w:val="14"/>
                <w:szCs w:val="14"/>
                <w:color w:val="auto"/>
              </w:rPr>
            </w:pPr>
          </w:p>
        </w:tc>
        <w:tc>
          <w:tcPr>
            <w:tcW w:w="1980" w:type="dxa"/>
            <w:vAlign w:val="bottom"/>
            <w:gridSpan w:val="3"/>
          </w:tcPr>
          <w:p>
            <w:pPr>
              <w:jc w:val="center"/>
              <w:ind w:right="83"/>
              <w:spacing w:after="0"/>
              <w:rPr>
                <w:sz w:val="20"/>
                <w:szCs w:val="20"/>
                <w:color w:val="auto"/>
              </w:rPr>
            </w:pPr>
            <w:r>
              <w:rPr>
                <w:rFonts w:ascii="Arial" w:cs="Arial" w:eastAsia="Arial" w:hAnsi="Arial"/>
                <w:sz w:val="13"/>
                <w:szCs w:val="13"/>
                <w:b w:val="1"/>
                <w:bCs w:val="1"/>
                <w:color w:val="auto"/>
                <w:w w:val="84"/>
              </w:rPr>
              <w:t>recognized</w:t>
            </w:r>
          </w:p>
        </w:tc>
        <w:tc>
          <w:tcPr>
            <w:tcW w:w="3360" w:type="dxa"/>
            <w:vAlign w:val="bottom"/>
            <w:gridSpan w:val="2"/>
            <w:vMerge w:val="restart"/>
          </w:tcPr>
          <w:p>
            <w:pPr>
              <w:ind w:left="1260"/>
              <w:spacing w:after="0"/>
              <w:rPr>
                <w:sz w:val="20"/>
                <w:szCs w:val="20"/>
                <w:color w:val="auto"/>
              </w:rPr>
            </w:pPr>
            <w:r>
              <w:rPr>
                <w:rFonts w:ascii="Arial" w:cs="Arial" w:eastAsia="Arial" w:hAnsi="Arial"/>
                <w:sz w:val="13"/>
                <w:szCs w:val="13"/>
                <w:b w:val="1"/>
                <w:bCs w:val="1"/>
                <w:color w:val="auto"/>
              </w:rPr>
              <w:t>Classification</w:t>
            </w:r>
          </w:p>
        </w:tc>
        <w:tc>
          <w:tcPr>
            <w:tcW w:w="1400" w:type="dxa"/>
            <w:vAlign w:val="bottom"/>
            <w:gridSpan w:val="2"/>
          </w:tcPr>
          <w:p>
            <w:pPr>
              <w:ind w:left="320"/>
              <w:spacing w:after="0"/>
              <w:rPr>
                <w:sz w:val="20"/>
                <w:szCs w:val="20"/>
                <w:color w:val="auto"/>
              </w:rPr>
            </w:pPr>
            <w:r>
              <w:rPr>
                <w:rFonts w:ascii="Arial" w:cs="Arial" w:eastAsia="Arial" w:hAnsi="Arial"/>
                <w:sz w:val="13"/>
                <w:szCs w:val="13"/>
                <w:b w:val="1"/>
                <w:bCs w:val="1"/>
                <w:color w:val="auto"/>
              </w:rPr>
              <w:t>reclassified</w:t>
            </w:r>
          </w:p>
        </w:tc>
        <w:tc>
          <w:tcPr>
            <w:tcW w:w="1300" w:type="dxa"/>
            <w:vAlign w:val="bottom"/>
            <w:gridSpan w:val="2"/>
          </w:tcPr>
          <w:p>
            <w:pPr>
              <w:jc w:val="center"/>
              <w:spacing w:after="0"/>
              <w:rPr>
                <w:sz w:val="20"/>
                <w:szCs w:val="20"/>
                <w:color w:val="auto"/>
              </w:rPr>
            </w:pPr>
            <w:r>
              <w:rPr>
                <w:rFonts w:ascii="Arial" w:cs="Arial" w:eastAsia="Arial" w:hAnsi="Arial"/>
                <w:sz w:val="13"/>
                <w:szCs w:val="13"/>
                <w:b w:val="1"/>
                <w:bCs w:val="1"/>
                <w:color w:val="auto"/>
                <w:w w:val="86"/>
              </w:rPr>
              <w:t>on derivatives</w:t>
            </w:r>
          </w:p>
        </w:tc>
        <w:tc>
          <w:tcPr>
            <w:tcW w:w="0" w:type="dxa"/>
            <w:vAlign w:val="bottom"/>
          </w:tcPr>
          <w:p>
            <w:pPr>
              <w:spacing w:after="0"/>
              <w:rPr>
                <w:sz w:val="1"/>
                <w:szCs w:val="1"/>
                <w:color w:val="auto"/>
              </w:rPr>
            </w:pPr>
          </w:p>
        </w:tc>
      </w:tr>
      <w:tr>
        <w:trPr>
          <w:trHeight w:val="144"/>
        </w:trPr>
        <w:tc>
          <w:tcPr>
            <w:tcW w:w="120" w:type="dxa"/>
            <w:vAlign w:val="bottom"/>
          </w:tcPr>
          <w:p>
            <w:pPr>
              <w:spacing w:after="0"/>
              <w:rPr>
                <w:sz w:val="12"/>
                <w:szCs w:val="12"/>
                <w:color w:val="auto"/>
              </w:rPr>
            </w:pPr>
          </w:p>
        </w:tc>
        <w:tc>
          <w:tcPr>
            <w:tcW w:w="1980" w:type="dxa"/>
            <w:vAlign w:val="bottom"/>
            <w:gridSpan w:val="3"/>
          </w:tcPr>
          <w:p>
            <w:pPr>
              <w:jc w:val="center"/>
              <w:ind w:right="83"/>
              <w:spacing w:after="0" w:line="144" w:lineRule="exact"/>
              <w:rPr>
                <w:sz w:val="20"/>
                <w:szCs w:val="20"/>
                <w:color w:val="auto"/>
              </w:rPr>
            </w:pPr>
            <w:r>
              <w:rPr>
                <w:rFonts w:ascii="Arial" w:cs="Arial" w:eastAsia="Arial" w:hAnsi="Arial"/>
                <w:sz w:val="13"/>
                <w:szCs w:val="13"/>
                <w:b w:val="1"/>
                <w:bCs w:val="1"/>
                <w:color w:val="auto"/>
                <w:w w:val="99"/>
              </w:rPr>
              <w:t>in OCI</w:t>
            </w:r>
          </w:p>
        </w:tc>
        <w:tc>
          <w:tcPr>
            <w:tcW w:w="3360" w:type="dxa"/>
            <w:vAlign w:val="bottom"/>
            <w:gridSpan w:val="2"/>
            <w:vMerge w:val="continue"/>
          </w:tcPr>
          <w:p>
            <w:pPr>
              <w:spacing w:after="0"/>
              <w:rPr>
                <w:sz w:val="12"/>
                <w:szCs w:val="12"/>
                <w:color w:val="auto"/>
              </w:rPr>
            </w:pPr>
          </w:p>
        </w:tc>
        <w:tc>
          <w:tcPr>
            <w:tcW w:w="1400" w:type="dxa"/>
            <w:vAlign w:val="bottom"/>
            <w:gridSpan w:val="2"/>
          </w:tcPr>
          <w:p>
            <w:pPr>
              <w:ind w:left="300"/>
              <w:spacing w:after="0" w:line="144" w:lineRule="exact"/>
              <w:rPr>
                <w:sz w:val="20"/>
                <w:szCs w:val="20"/>
                <w:color w:val="auto"/>
              </w:rPr>
            </w:pPr>
            <w:r>
              <w:rPr>
                <w:rFonts w:ascii="Arial" w:cs="Arial" w:eastAsia="Arial" w:hAnsi="Arial"/>
                <w:sz w:val="13"/>
                <w:szCs w:val="13"/>
                <w:b w:val="1"/>
                <w:bCs w:val="1"/>
                <w:color w:val="auto"/>
              </w:rPr>
              <w:t>from OCI to</w:t>
            </w:r>
          </w:p>
        </w:tc>
        <w:tc>
          <w:tcPr>
            <w:tcW w:w="1300" w:type="dxa"/>
            <w:vAlign w:val="bottom"/>
            <w:gridSpan w:val="2"/>
          </w:tcPr>
          <w:p>
            <w:pPr>
              <w:jc w:val="center"/>
              <w:spacing w:after="0" w:line="144" w:lineRule="exact"/>
              <w:rPr>
                <w:sz w:val="20"/>
                <w:szCs w:val="20"/>
                <w:color w:val="auto"/>
              </w:rPr>
            </w:pPr>
            <w:r>
              <w:rPr>
                <w:rFonts w:ascii="Arial" w:cs="Arial" w:eastAsia="Arial" w:hAnsi="Arial"/>
                <w:sz w:val="13"/>
                <w:szCs w:val="13"/>
                <w:b w:val="1"/>
                <w:bCs w:val="1"/>
                <w:color w:val="auto"/>
                <w:w w:val="87"/>
              </w:rPr>
              <w:t>(ineffective</w:t>
            </w:r>
          </w:p>
        </w:tc>
        <w:tc>
          <w:tcPr>
            <w:tcW w:w="0" w:type="dxa"/>
            <w:vAlign w:val="bottom"/>
          </w:tcPr>
          <w:p>
            <w:pPr>
              <w:spacing w:after="0"/>
              <w:rPr>
                <w:sz w:val="1"/>
                <w:szCs w:val="1"/>
                <w:color w:val="auto"/>
              </w:rPr>
            </w:pPr>
          </w:p>
        </w:tc>
      </w:tr>
      <w:tr>
        <w:trPr>
          <w:trHeight w:val="176"/>
        </w:trPr>
        <w:tc>
          <w:tcPr>
            <w:tcW w:w="120" w:type="dxa"/>
            <w:vAlign w:val="bottom"/>
          </w:tcPr>
          <w:p>
            <w:pPr>
              <w:spacing w:after="0"/>
              <w:rPr>
                <w:sz w:val="15"/>
                <w:szCs w:val="15"/>
                <w:color w:val="auto"/>
              </w:rPr>
            </w:pPr>
          </w:p>
        </w:tc>
        <w:tc>
          <w:tcPr>
            <w:tcW w:w="1980" w:type="dxa"/>
            <w:vAlign w:val="bottom"/>
            <w:gridSpan w:val="3"/>
          </w:tcPr>
          <w:p>
            <w:pPr>
              <w:jc w:val="center"/>
              <w:ind w:right="83"/>
              <w:spacing w:after="0"/>
              <w:rPr>
                <w:sz w:val="20"/>
                <w:szCs w:val="20"/>
                <w:color w:val="auto"/>
              </w:rPr>
            </w:pPr>
            <w:r>
              <w:rPr>
                <w:rFonts w:ascii="Arial" w:cs="Arial" w:eastAsia="Arial" w:hAnsi="Arial"/>
                <w:sz w:val="13"/>
                <w:szCs w:val="13"/>
                <w:b w:val="1"/>
                <w:bCs w:val="1"/>
                <w:color w:val="auto"/>
                <w:w w:val="89"/>
              </w:rPr>
              <w:t>(effective portion)</w:t>
            </w:r>
          </w:p>
        </w:tc>
        <w:tc>
          <w:tcPr>
            <w:tcW w:w="3360" w:type="dxa"/>
            <w:vAlign w:val="bottom"/>
            <w:gridSpan w:val="2"/>
          </w:tcPr>
          <w:p>
            <w:pPr>
              <w:ind w:left="1280"/>
              <w:spacing w:after="0"/>
              <w:rPr>
                <w:sz w:val="20"/>
                <w:szCs w:val="20"/>
                <w:color w:val="auto"/>
              </w:rPr>
            </w:pPr>
            <w:r>
              <w:rPr>
                <w:rFonts w:ascii="Arial" w:cs="Arial" w:eastAsia="Arial" w:hAnsi="Arial"/>
                <w:sz w:val="13"/>
                <w:szCs w:val="13"/>
                <w:b w:val="1"/>
                <w:bCs w:val="1"/>
                <w:color w:val="auto"/>
              </w:rPr>
              <w:t>of gain (loss)</w:t>
            </w:r>
          </w:p>
        </w:tc>
        <w:tc>
          <w:tcPr>
            <w:tcW w:w="1400" w:type="dxa"/>
            <w:vAlign w:val="bottom"/>
            <w:gridSpan w:val="2"/>
          </w:tcPr>
          <w:p>
            <w:pPr>
              <w:ind w:left="300"/>
              <w:spacing w:after="0"/>
              <w:rPr>
                <w:sz w:val="20"/>
                <w:szCs w:val="20"/>
                <w:color w:val="auto"/>
              </w:rPr>
            </w:pPr>
            <w:r>
              <w:rPr>
                <w:rFonts w:ascii="Arial" w:cs="Arial" w:eastAsia="Arial" w:hAnsi="Arial"/>
                <w:sz w:val="13"/>
                <w:szCs w:val="13"/>
                <w:b w:val="1"/>
                <w:bCs w:val="1"/>
                <w:color w:val="auto"/>
              </w:rPr>
              <w:t>profit or loss</w:t>
            </w:r>
          </w:p>
        </w:tc>
        <w:tc>
          <w:tcPr>
            <w:tcW w:w="1300" w:type="dxa"/>
            <w:vAlign w:val="bottom"/>
            <w:gridSpan w:val="2"/>
          </w:tcPr>
          <w:p>
            <w:pPr>
              <w:jc w:val="center"/>
              <w:spacing w:after="0"/>
              <w:rPr>
                <w:sz w:val="20"/>
                <w:szCs w:val="20"/>
                <w:color w:val="auto"/>
              </w:rPr>
            </w:pPr>
            <w:r>
              <w:rPr>
                <w:rFonts w:ascii="Arial" w:cs="Arial" w:eastAsia="Arial" w:hAnsi="Arial"/>
                <w:sz w:val="13"/>
                <w:szCs w:val="13"/>
                <w:b w:val="1"/>
                <w:bCs w:val="1"/>
                <w:color w:val="auto"/>
                <w:w w:val="89"/>
              </w:rPr>
              <w:t>portion)</w:t>
            </w:r>
          </w:p>
        </w:tc>
        <w:tc>
          <w:tcPr>
            <w:tcW w:w="0" w:type="dxa"/>
            <w:vAlign w:val="bottom"/>
          </w:tcPr>
          <w:p>
            <w:pPr>
              <w:spacing w:after="0"/>
              <w:rPr>
                <w:sz w:val="1"/>
                <w:szCs w:val="1"/>
                <w:color w:val="auto"/>
              </w:rPr>
            </w:pPr>
          </w:p>
        </w:tc>
      </w:tr>
      <w:tr>
        <w:trPr>
          <w:trHeight w:val="144"/>
        </w:trPr>
        <w:tc>
          <w:tcPr>
            <w:tcW w:w="120" w:type="dxa"/>
            <w:vAlign w:val="bottom"/>
            <w:tcBorders>
              <w:top w:val="single" w:sz="8" w:color="CCEEFF"/>
            </w:tcBorders>
            <w:shd w:val="clear" w:color="auto" w:fill="CCEEFF"/>
          </w:tcPr>
          <w:p>
            <w:pPr>
              <w:spacing w:after="0"/>
              <w:rPr>
                <w:sz w:val="12"/>
                <w:szCs w:val="12"/>
                <w:color w:val="auto"/>
              </w:rPr>
            </w:pPr>
          </w:p>
        </w:tc>
        <w:tc>
          <w:tcPr>
            <w:tcW w:w="174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326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5"/>
        </w:trPr>
        <w:tc>
          <w:tcPr>
            <w:tcW w:w="2100" w:type="dxa"/>
            <w:vAlign w:val="bottom"/>
            <w:gridSpan w:val="4"/>
          </w:tcPr>
          <w:p>
            <w:pPr>
              <w:jc w:val="right"/>
              <w:ind w:right="143"/>
              <w:spacing w:after="0" w:line="146" w:lineRule="exact"/>
              <w:rPr>
                <w:sz w:val="20"/>
                <w:szCs w:val="20"/>
                <w:color w:val="auto"/>
              </w:rPr>
            </w:pPr>
            <w:r>
              <w:rPr>
                <w:rFonts w:ascii="Arial" w:cs="Arial" w:eastAsia="Arial" w:hAnsi="Arial"/>
                <w:sz w:val="13"/>
                <w:szCs w:val="13"/>
                <w:color w:val="auto"/>
              </w:rPr>
              <w:t>(834)</w:t>
            </w:r>
          </w:p>
        </w:tc>
        <w:tc>
          <w:tcPr>
            <w:tcW w:w="3360" w:type="dxa"/>
            <w:vAlign w:val="bottom"/>
            <w:gridSpan w:val="2"/>
          </w:tcPr>
          <w:p>
            <w:pPr>
              <w:spacing w:after="0" w:line="146" w:lineRule="exact"/>
              <w:rPr>
                <w:sz w:val="20"/>
                <w:szCs w:val="20"/>
                <w:color w:val="auto"/>
              </w:rPr>
            </w:pPr>
            <w:r>
              <w:rPr>
                <w:rFonts w:ascii="Arial" w:cs="Arial" w:eastAsia="Arial" w:hAnsi="Arial"/>
                <w:sz w:val="13"/>
                <w:szCs w:val="13"/>
                <w:color w:val="auto"/>
              </w:rPr>
              <w:t>Gain (loss) on interest rate swaps</w:t>
            </w:r>
          </w:p>
        </w:tc>
        <w:tc>
          <w:tcPr>
            <w:tcW w:w="1200" w:type="dxa"/>
            <w:vAlign w:val="bottom"/>
          </w:tcPr>
          <w:p>
            <w:pPr>
              <w:jc w:val="right"/>
              <w:spacing w:after="0" w:line="146" w:lineRule="exact"/>
              <w:rPr>
                <w:sz w:val="20"/>
                <w:szCs w:val="20"/>
                <w:color w:val="auto"/>
              </w:rPr>
            </w:pPr>
            <w:r>
              <w:rPr>
                <w:rFonts w:ascii="Arial" w:cs="Arial" w:eastAsia="Arial" w:hAnsi="Arial"/>
                <w:sz w:val="13"/>
                <w:szCs w:val="13"/>
                <w:color w:val="auto"/>
              </w:rPr>
              <w:t>-</w:t>
            </w:r>
          </w:p>
        </w:tc>
        <w:tc>
          <w:tcPr>
            <w:tcW w:w="200" w:type="dxa"/>
            <w:vAlign w:val="bottom"/>
          </w:tcPr>
          <w:p>
            <w:pPr>
              <w:spacing w:after="0"/>
              <w:rPr>
                <w:sz w:val="12"/>
                <w:szCs w:val="12"/>
                <w:color w:val="auto"/>
              </w:rPr>
            </w:pPr>
          </w:p>
        </w:tc>
        <w:tc>
          <w:tcPr>
            <w:tcW w:w="1200" w:type="dxa"/>
            <w:vAlign w:val="bottom"/>
          </w:tcPr>
          <w:p>
            <w:pPr>
              <w:jc w:val="right"/>
              <w:spacing w:after="0" w:line="146" w:lineRule="exact"/>
              <w:rPr>
                <w:sz w:val="20"/>
                <w:szCs w:val="20"/>
                <w:color w:val="auto"/>
              </w:rPr>
            </w:pPr>
            <w:r>
              <w:rPr>
                <w:rFonts w:ascii="Arial" w:cs="Arial" w:eastAsia="Arial" w:hAnsi="Arial"/>
                <w:sz w:val="13"/>
                <w:szCs w:val="13"/>
                <w:color w:val="auto"/>
              </w:rPr>
              <w:t>242</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100" w:type="dxa"/>
            <w:vAlign w:val="bottom"/>
            <w:gridSpan w:val="4"/>
          </w:tcPr>
          <w:p>
            <w:pPr>
              <w:jc w:val="right"/>
              <w:ind w:right="143"/>
              <w:spacing w:after="0"/>
              <w:rPr>
                <w:sz w:val="20"/>
                <w:szCs w:val="20"/>
                <w:color w:val="auto"/>
              </w:rPr>
            </w:pPr>
            <w:r>
              <w:rPr>
                <w:rFonts w:ascii="Arial" w:cs="Arial" w:eastAsia="Arial" w:hAnsi="Arial"/>
                <w:sz w:val="13"/>
                <w:szCs w:val="13"/>
                <w:color w:val="auto"/>
              </w:rPr>
              <w:t>(1,924)</w:t>
            </w:r>
          </w:p>
        </w:tc>
        <w:tc>
          <w:tcPr>
            <w:tcW w:w="3360" w:type="dxa"/>
            <w:vAlign w:val="bottom"/>
            <w:gridSpan w:val="2"/>
          </w:tcPr>
          <w:p>
            <w:pPr>
              <w:spacing w:after="0"/>
              <w:rPr>
                <w:sz w:val="20"/>
                <w:szCs w:val="20"/>
                <w:color w:val="auto"/>
              </w:rPr>
            </w:pPr>
            <w:r>
              <w:rPr>
                <w:rFonts w:ascii="Arial" w:cs="Arial" w:eastAsia="Arial" w:hAnsi="Arial"/>
                <w:sz w:val="13"/>
                <w:szCs w:val="13"/>
                <w:color w:val="auto"/>
              </w:rPr>
              <w:t>Gain (loss) on foreign currency exchange</w:t>
            </w: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26</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120" w:type="dxa"/>
            <w:vAlign w:val="bottom"/>
          </w:tcPr>
          <w:p>
            <w:pPr>
              <w:spacing w:after="0"/>
              <w:rPr>
                <w:sz w:val="13"/>
                <w:szCs w:val="13"/>
                <w:color w:val="auto"/>
              </w:rPr>
            </w:pPr>
          </w:p>
        </w:tc>
        <w:tc>
          <w:tcPr>
            <w:tcW w:w="174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3360" w:type="dxa"/>
            <w:vAlign w:val="bottom"/>
            <w:gridSpan w:val="2"/>
          </w:tcPr>
          <w:p>
            <w:pPr>
              <w:spacing w:after="0"/>
              <w:rPr>
                <w:sz w:val="20"/>
                <w:szCs w:val="20"/>
                <w:color w:val="auto"/>
              </w:rPr>
            </w:pPr>
            <w:r>
              <w:rPr>
                <w:rFonts w:ascii="Arial" w:cs="Arial" w:eastAsia="Arial" w:hAnsi="Arial"/>
                <w:sz w:val="13"/>
                <w:szCs w:val="13"/>
                <w:color w:val="auto"/>
              </w:rPr>
              <w:t>Interest income – loans</w:t>
            </w:r>
          </w:p>
        </w:tc>
        <w:tc>
          <w:tcPr>
            <w:tcW w:w="1400" w:type="dxa"/>
            <w:vAlign w:val="bottom"/>
            <w:gridSpan w:val="2"/>
          </w:tcPr>
          <w:p>
            <w:pPr>
              <w:jc w:val="right"/>
              <w:ind w:right="200"/>
              <w:spacing w:after="0"/>
              <w:rPr>
                <w:sz w:val="20"/>
                <w:szCs w:val="20"/>
                <w:color w:val="auto"/>
              </w:rPr>
            </w:pPr>
            <w:r>
              <w:rPr>
                <w:rFonts w:ascii="Arial" w:cs="Arial" w:eastAsia="Arial" w:hAnsi="Arial"/>
                <w:sz w:val="13"/>
                <w:szCs w:val="13"/>
                <w:color w:val="auto"/>
              </w:rPr>
              <w:t>7,611</w:t>
            </w: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100" w:type="dxa"/>
            <w:vAlign w:val="bottom"/>
            <w:gridSpan w:val="4"/>
          </w:tcPr>
          <w:p>
            <w:pPr>
              <w:jc w:val="right"/>
              <w:ind w:right="143"/>
              <w:spacing w:after="0"/>
              <w:rPr>
                <w:sz w:val="20"/>
                <w:szCs w:val="20"/>
                <w:color w:val="auto"/>
              </w:rPr>
            </w:pPr>
            <w:r>
              <w:rPr>
                <w:rFonts w:ascii="Arial" w:cs="Arial" w:eastAsia="Arial" w:hAnsi="Arial"/>
                <w:sz w:val="13"/>
                <w:szCs w:val="13"/>
                <w:color w:val="auto"/>
              </w:rPr>
              <w:t>(2,708)</w:t>
            </w:r>
          </w:p>
        </w:tc>
        <w:tc>
          <w:tcPr>
            <w:tcW w:w="3360" w:type="dxa"/>
            <w:vAlign w:val="bottom"/>
            <w:gridSpan w:val="2"/>
          </w:tcPr>
          <w:p>
            <w:pPr>
              <w:spacing w:after="0"/>
              <w:rPr>
                <w:sz w:val="20"/>
                <w:szCs w:val="20"/>
                <w:color w:val="auto"/>
              </w:rPr>
            </w:pPr>
            <w:r>
              <w:rPr>
                <w:rFonts w:ascii="Arial" w:cs="Arial" w:eastAsia="Arial" w:hAnsi="Arial"/>
                <w:sz w:val="13"/>
                <w:szCs w:val="13"/>
                <w:color w:val="auto"/>
              </w:rPr>
              <w:t>Interest income – securities at FVOCI</w:t>
            </w: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120" w:type="dxa"/>
            <w:vAlign w:val="bottom"/>
          </w:tcPr>
          <w:p>
            <w:pPr>
              <w:spacing w:after="0"/>
              <w:rPr>
                <w:sz w:val="13"/>
                <w:szCs w:val="13"/>
                <w:color w:val="auto"/>
              </w:rPr>
            </w:pPr>
          </w:p>
        </w:tc>
        <w:tc>
          <w:tcPr>
            <w:tcW w:w="174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3360" w:type="dxa"/>
            <w:vAlign w:val="bottom"/>
            <w:gridSpan w:val="2"/>
          </w:tcPr>
          <w:p>
            <w:pPr>
              <w:spacing w:after="0"/>
              <w:rPr>
                <w:sz w:val="20"/>
                <w:szCs w:val="20"/>
                <w:color w:val="auto"/>
              </w:rPr>
            </w:pPr>
            <w:r>
              <w:rPr>
                <w:rFonts w:ascii="Arial" w:cs="Arial" w:eastAsia="Arial" w:hAnsi="Arial"/>
                <w:sz w:val="13"/>
                <w:szCs w:val="13"/>
                <w:color w:val="auto"/>
              </w:rPr>
              <w:t>Interest expenses – deposits</w:t>
            </w:r>
          </w:p>
        </w:tc>
        <w:tc>
          <w:tcPr>
            <w:tcW w:w="1200" w:type="dxa"/>
            <w:vAlign w:val="bottom"/>
          </w:tcPr>
          <w:p>
            <w:pPr>
              <w:jc w:val="right"/>
              <w:spacing w:after="0"/>
              <w:rPr>
                <w:sz w:val="20"/>
                <w:szCs w:val="20"/>
                <w:color w:val="auto"/>
              </w:rPr>
            </w:pPr>
            <w:r>
              <w:rPr>
                <w:rFonts w:ascii="Arial" w:cs="Arial" w:eastAsia="Arial" w:hAnsi="Arial"/>
                <w:sz w:val="13"/>
                <w:szCs w:val="13"/>
                <w:color w:val="auto"/>
              </w:rPr>
              <w:t>3,991</w:t>
            </w:r>
          </w:p>
        </w:tc>
        <w:tc>
          <w:tcPr>
            <w:tcW w:w="200" w:type="dxa"/>
            <w:vAlign w:val="bottom"/>
          </w:tcPr>
          <w:p>
            <w:pPr>
              <w:spacing w:after="0"/>
              <w:rPr>
                <w:sz w:val="13"/>
                <w:szCs w:val="13"/>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120" w:type="dxa"/>
            <w:vAlign w:val="bottom"/>
          </w:tcPr>
          <w:p>
            <w:pPr>
              <w:spacing w:after="0"/>
              <w:rPr>
                <w:sz w:val="13"/>
                <w:szCs w:val="13"/>
                <w:color w:val="auto"/>
              </w:rPr>
            </w:pPr>
          </w:p>
        </w:tc>
        <w:tc>
          <w:tcPr>
            <w:tcW w:w="174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3360" w:type="dxa"/>
            <w:vAlign w:val="bottom"/>
            <w:gridSpan w:val="2"/>
          </w:tcPr>
          <w:p>
            <w:pPr>
              <w:spacing w:after="0"/>
              <w:rPr>
                <w:sz w:val="20"/>
                <w:szCs w:val="20"/>
                <w:color w:val="auto"/>
              </w:rPr>
            </w:pPr>
            <w:r>
              <w:rPr>
                <w:rFonts w:ascii="Arial" w:cs="Arial" w:eastAsia="Arial" w:hAnsi="Arial"/>
                <w:sz w:val="13"/>
                <w:szCs w:val="13"/>
                <w:color w:val="auto"/>
              </w:rPr>
              <w:t>Interest expense – borrowings and debt</w:t>
            </w: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72"/>
        </w:trPr>
        <w:tc>
          <w:tcPr>
            <w:tcW w:w="120" w:type="dxa"/>
            <w:vAlign w:val="bottom"/>
          </w:tcPr>
          <w:p>
            <w:pPr>
              <w:spacing w:after="0"/>
              <w:rPr>
                <w:sz w:val="14"/>
                <w:szCs w:val="14"/>
                <w:color w:val="auto"/>
              </w:rPr>
            </w:pPr>
          </w:p>
        </w:tc>
        <w:tc>
          <w:tcPr>
            <w:tcW w:w="1740" w:type="dxa"/>
            <w:vAlign w:val="bottom"/>
          </w:tcPr>
          <w:p>
            <w:pPr>
              <w:spacing w:after="0"/>
              <w:rPr>
                <w:sz w:val="14"/>
                <w:szCs w:val="14"/>
                <w:color w:val="auto"/>
              </w:rPr>
            </w:pPr>
          </w:p>
        </w:tc>
        <w:tc>
          <w:tcPr>
            <w:tcW w:w="240" w:type="dxa"/>
            <w:vAlign w:val="bottom"/>
            <w:gridSpan w:val="2"/>
            <w:vMerge w:val="restart"/>
          </w:tcPr>
          <w:p>
            <w:pPr>
              <w:jc w:val="right"/>
              <w:ind w:right="143"/>
              <w:spacing w:after="0"/>
              <w:rPr>
                <w:sz w:val="20"/>
                <w:szCs w:val="20"/>
                <w:color w:val="auto"/>
              </w:rPr>
            </w:pPr>
            <w:r>
              <w:rPr>
                <w:rFonts w:ascii="Arial" w:cs="Arial" w:eastAsia="Arial" w:hAnsi="Arial"/>
                <w:sz w:val="13"/>
                <w:szCs w:val="13"/>
                <w:b w:val="1"/>
                <w:bCs w:val="1"/>
                <w:color w:val="auto"/>
                <w:w w:val="91"/>
              </w:rPr>
              <w:t>)</w:t>
            </w:r>
          </w:p>
        </w:tc>
        <w:tc>
          <w:tcPr>
            <w:tcW w:w="3360" w:type="dxa"/>
            <w:vAlign w:val="bottom"/>
            <w:gridSpan w:val="2"/>
          </w:tcPr>
          <w:p>
            <w:pPr>
              <w:spacing w:after="0"/>
              <w:rPr>
                <w:sz w:val="20"/>
                <w:szCs w:val="20"/>
                <w:color w:val="auto"/>
              </w:rPr>
            </w:pPr>
            <w:r>
              <w:rPr>
                <w:rFonts w:ascii="Arial" w:cs="Arial" w:eastAsia="Arial" w:hAnsi="Arial"/>
                <w:sz w:val="13"/>
                <w:szCs w:val="13"/>
                <w:color w:val="auto"/>
              </w:rPr>
              <w:t>Gain (loss) on foreign currency exchange</w:t>
            </w:r>
          </w:p>
        </w:tc>
        <w:tc>
          <w:tcPr>
            <w:tcW w:w="1400" w:type="dxa"/>
            <w:vAlign w:val="bottom"/>
            <w:gridSpan w:val="2"/>
          </w:tcPr>
          <w:p>
            <w:pPr>
              <w:jc w:val="right"/>
              <w:ind w:right="160"/>
              <w:spacing w:after="0"/>
              <w:rPr>
                <w:sz w:val="20"/>
                <w:szCs w:val="20"/>
                <w:color w:val="auto"/>
              </w:rPr>
            </w:pPr>
            <w:r>
              <w:rPr>
                <w:rFonts w:ascii="Arial" w:cs="Arial" w:eastAsia="Arial" w:hAnsi="Arial"/>
                <w:sz w:val="13"/>
                <w:szCs w:val="13"/>
                <w:color w:val="auto"/>
              </w:rPr>
              <w:t>(190)</w:t>
            </w: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3"/>
        </w:trPr>
        <w:tc>
          <w:tcPr>
            <w:tcW w:w="120" w:type="dxa"/>
            <w:vAlign w:val="bottom"/>
          </w:tcPr>
          <w:p>
            <w:pPr>
              <w:spacing w:after="0"/>
              <w:rPr>
                <w:sz w:val="14"/>
                <w:szCs w:val="14"/>
                <w:color w:val="auto"/>
              </w:rPr>
            </w:pPr>
          </w:p>
        </w:tc>
        <w:tc>
          <w:tcPr>
            <w:tcW w:w="1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(5,466</w:t>
            </w:r>
          </w:p>
        </w:tc>
        <w:tc>
          <w:tcPr>
            <w:tcW w:w="240" w:type="dxa"/>
            <w:vAlign w:val="bottom"/>
            <w:gridSpan w:val="2"/>
            <w:vMerge w:val="continue"/>
          </w:tcPr>
          <w:p>
            <w:pPr>
              <w:spacing w:after="0"/>
              <w:rPr>
                <w:sz w:val="14"/>
                <w:szCs w:val="14"/>
                <w:color w:val="auto"/>
              </w:rPr>
            </w:pPr>
          </w:p>
        </w:tc>
        <w:tc>
          <w:tcPr>
            <w:tcW w:w="32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11,412</w:t>
            </w:r>
          </w:p>
        </w:tc>
        <w:tc>
          <w:tcPr>
            <w:tcW w:w="200" w:type="dxa"/>
            <w:vAlign w:val="bottom"/>
          </w:tcPr>
          <w:p>
            <w:pPr>
              <w:spacing w:after="0"/>
              <w:rPr>
                <w:sz w:val="14"/>
                <w:szCs w:val="14"/>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268</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625"/>
        </w:trPr>
        <w:tc>
          <w:tcPr>
            <w:tcW w:w="2100" w:type="dxa"/>
            <w:vAlign w:val="bottom"/>
            <w:gridSpan w:val="4"/>
          </w:tcPr>
          <w:p>
            <w:pPr>
              <w:jc w:val="right"/>
              <w:ind w:right="143"/>
              <w:spacing w:after="0"/>
              <w:rPr>
                <w:sz w:val="20"/>
                <w:szCs w:val="20"/>
                <w:color w:val="auto"/>
              </w:rPr>
            </w:pPr>
            <w:r>
              <w:rPr>
                <w:rFonts w:ascii="Arial" w:cs="Arial" w:eastAsia="Arial" w:hAnsi="Arial"/>
                <w:sz w:val="13"/>
                <w:szCs w:val="13"/>
                <w:color w:val="auto"/>
              </w:rPr>
              <w:t>(277)</w:t>
            </w:r>
          </w:p>
        </w:tc>
        <w:tc>
          <w:tcPr>
            <w:tcW w:w="32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63"/>
        </w:trPr>
        <w:tc>
          <w:tcPr>
            <w:tcW w:w="120" w:type="dxa"/>
            <w:vAlign w:val="bottom"/>
          </w:tcPr>
          <w:p>
            <w:pPr>
              <w:spacing w:after="0"/>
              <w:rPr>
                <w:sz w:val="14"/>
                <w:szCs w:val="14"/>
                <w:color w:val="auto"/>
              </w:rPr>
            </w:pPr>
          </w:p>
        </w:tc>
        <w:tc>
          <w:tcPr>
            <w:tcW w:w="176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3"/>
                <w:szCs w:val="13"/>
                <w:b w:val="1"/>
                <w:bCs w:val="1"/>
                <w:color w:val="auto"/>
              </w:rPr>
              <w:t>(277</w:t>
            </w:r>
          </w:p>
        </w:tc>
        <w:tc>
          <w:tcPr>
            <w:tcW w:w="220" w:type="dxa"/>
            <w:vAlign w:val="bottom"/>
          </w:tcPr>
          <w:p>
            <w:pPr>
              <w:jc w:val="right"/>
              <w:ind w:right="143"/>
              <w:spacing w:after="0"/>
              <w:rPr>
                <w:sz w:val="20"/>
                <w:szCs w:val="20"/>
                <w:color w:val="auto"/>
              </w:rPr>
            </w:pPr>
            <w:r>
              <w:rPr>
                <w:rFonts w:ascii="Arial" w:cs="Arial" w:eastAsia="Arial" w:hAnsi="Arial"/>
                <w:sz w:val="7"/>
                <w:szCs w:val="7"/>
                <w:b w:val="1"/>
                <w:bCs w:val="1"/>
                <w:color w:val="auto"/>
                <w:w w:val="83"/>
              </w:rPr>
              <w:t>)</w:t>
            </w:r>
          </w:p>
        </w:tc>
        <w:tc>
          <w:tcPr>
            <w:tcW w:w="32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-1734185</wp:posOffset>
            </wp:positionH>
            <wp:positionV relativeFrom="paragraph">
              <wp:posOffset>-1246505</wp:posOffset>
            </wp:positionV>
            <wp:extent cx="6918960" cy="97790"/>
            <wp:wrapNone/>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262">
                      <a:extLst>
                        <a:ext uri="{28A0092B-C50C-407E-A947-70E740481C1C}"/>
                      </a:extLst>
                    </a:blip>
                    <a:srcRect/>
                    <a:stretch>
                      <a:fillRect/>
                    </a:stretch>
                  </pic:blipFill>
                  <pic:spPr bwMode="auto">
                    <a:xfrm>
                      <a:off x="0" y="0"/>
                      <a:ext cx="6918960" cy="97790"/>
                    </a:xfrm>
                    <a:prstGeom prst="rect">
                      <a:avLst/>
                    </a:prstGeom>
                    <a:noFill/>
                  </pic:spPr>
                </pic:pic>
              </a:graphicData>
            </a:graphic>
          </wp:anchor>
        </w:drawing>
        <w:drawing>
          <wp:anchor simplePos="0" relativeHeight="251657728" behindDoc="1" locked="0" layoutInCell="0" allowOverlap="1">
            <wp:simplePos x="0" y="0"/>
            <wp:positionH relativeFrom="column">
              <wp:posOffset>-1734185</wp:posOffset>
            </wp:positionH>
            <wp:positionV relativeFrom="paragraph">
              <wp:posOffset>-1050925</wp:posOffset>
            </wp:positionV>
            <wp:extent cx="6918960" cy="97790"/>
            <wp:wrapNone/>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263">
                      <a:extLst>
                        <a:ext uri="{28A0092B-C50C-407E-A947-70E740481C1C}"/>
                      </a:extLst>
                    </a:blip>
                    <a:srcRect/>
                    <a:stretch>
                      <a:fillRect/>
                    </a:stretch>
                  </pic:blipFill>
                  <pic:spPr bwMode="auto">
                    <a:xfrm>
                      <a:off x="0" y="0"/>
                      <a:ext cx="6918960" cy="97790"/>
                    </a:xfrm>
                    <a:prstGeom prst="rect">
                      <a:avLst/>
                    </a:prstGeom>
                    <a:noFill/>
                  </pic:spPr>
                </pic:pic>
              </a:graphicData>
            </a:graphic>
          </wp:anchor>
        </w:drawing>
        <w:drawing>
          <wp:anchor simplePos="0" relativeHeight="251657728" behindDoc="1" locked="0" layoutInCell="0" allowOverlap="1">
            <wp:simplePos x="0" y="0"/>
            <wp:positionH relativeFrom="column">
              <wp:posOffset>-1734185</wp:posOffset>
            </wp:positionH>
            <wp:positionV relativeFrom="paragraph">
              <wp:posOffset>-855345</wp:posOffset>
            </wp:positionV>
            <wp:extent cx="6918960" cy="97790"/>
            <wp:wrapNone/>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264">
                      <a:extLst>
                        <a:ext uri="{28A0092B-C50C-407E-A947-70E740481C1C}"/>
                      </a:extLst>
                    </a:blip>
                    <a:srcRect/>
                    <a:stretch>
                      <a:fillRect/>
                    </a:stretch>
                  </pic:blipFill>
                  <pic:spPr bwMode="auto">
                    <a:xfrm>
                      <a:off x="0" y="0"/>
                      <a:ext cx="6918960" cy="97790"/>
                    </a:xfrm>
                    <a:prstGeom prst="rect">
                      <a:avLst/>
                    </a:prstGeom>
                    <a:noFill/>
                  </pic:spPr>
                </pic:pic>
              </a:graphicData>
            </a:graphic>
          </wp:anchor>
        </w:drawing>
        <w:drawing>
          <wp:anchor simplePos="0" relativeHeight="251657728" behindDoc="1" locked="0" layoutInCell="0" allowOverlap="1">
            <wp:simplePos x="0" y="0"/>
            <wp:positionH relativeFrom="column">
              <wp:posOffset>-1734185</wp:posOffset>
            </wp:positionH>
            <wp:positionV relativeFrom="paragraph">
              <wp:posOffset>-653415</wp:posOffset>
            </wp:positionV>
            <wp:extent cx="6918960" cy="116205"/>
            <wp:wrapNone/>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65">
                      <a:extLst>
                        <a:ext uri="{28A0092B-C50C-407E-A947-70E740481C1C}"/>
                      </a:extLst>
                    </a:blip>
                    <a:srcRect/>
                    <a:stretch>
                      <a:fillRect/>
                    </a:stretch>
                  </pic:blipFill>
                  <pic:spPr bwMode="auto">
                    <a:xfrm>
                      <a:off x="0" y="0"/>
                      <a:ext cx="6918960" cy="116205"/>
                    </a:xfrm>
                    <a:prstGeom prst="rect">
                      <a:avLst/>
                    </a:prstGeom>
                    <a:noFill/>
                  </pic:spPr>
                </pic:pic>
              </a:graphicData>
            </a:graphic>
          </wp:anchor>
        </w:drawing>
        <w:drawing>
          <wp:anchor simplePos="0" relativeHeight="251657728" behindDoc="1" locked="0" layoutInCell="0" allowOverlap="1">
            <wp:simplePos x="0" y="0"/>
            <wp:positionH relativeFrom="column">
              <wp:posOffset>-1734185</wp:posOffset>
            </wp:positionH>
            <wp:positionV relativeFrom="paragraph">
              <wp:posOffset>-427355</wp:posOffset>
            </wp:positionV>
            <wp:extent cx="6918960" cy="97790"/>
            <wp:wrapNone/>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266">
                      <a:extLst>
                        <a:ext uri="{28A0092B-C50C-407E-A947-70E740481C1C}"/>
                      </a:extLst>
                    </a:blip>
                    <a:srcRect/>
                    <a:stretch>
                      <a:fillRect/>
                    </a:stretch>
                  </pic:blipFill>
                  <pic:spPr bwMode="auto">
                    <a:xfrm>
                      <a:off x="0" y="0"/>
                      <a:ext cx="6918960" cy="97790"/>
                    </a:xfrm>
                    <a:prstGeom prst="rect">
                      <a:avLst/>
                    </a:prstGeom>
                    <a:noFill/>
                  </pic:spPr>
                </pic:pic>
              </a:graphicData>
            </a:graphic>
          </wp:anchor>
        </w:drawing>
        <w:drawing>
          <wp:anchor simplePos="0" relativeHeight="251657728" behindDoc="1" locked="0" layoutInCell="0" allowOverlap="1">
            <wp:simplePos x="0" y="0"/>
            <wp:positionH relativeFrom="column">
              <wp:posOffset>-1734185</wp:posOffset>
            </wp:positionH>
            <wp:positionV relativeFrom="paragraph">
              <wp:posOffset>-231775</wp:posOffset>
            </wp:positionV>
            <wp:extent cx="6918960" cy="104140"/>
            <wp:wrapNone/>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267">
                      <a:extLst>
                        <a:ext uri="{28A0092B-C50C-407E-A947-70E740481C1C}"/>
                      </a:extLst>
                    </a:blip>
                    <a:srcRect/>
                    <a:stretch>
                      <a:fillRect/>
                    </a:stretch>
                  </pic:blipFill>
                  <pic:spPr bwMode="auto">
                    <a:xfrm>
                      <a:off x="0" y="0"/>
                      <a:ext cx="6918960" cy="10414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2663" w:space="300"/>
            <w:col w:w="8160"/>
          </w:cols>
          <w:pgMar w:left="217" w:top="685" w:right="559" w:bottom="1440" w:gutter="0" w:footer="0" w:header="0"/>
          <w:type w:val="continuous"/>
        </w:sectPr>
      </w:pPr>
    </w:p>
    <w:p>
      <w:pPr>
        <w:spacing w:after="0" w:line="99" w:lineRule="exact"/>
        <w:rPr>
          <w:sz w:val="20"/>
          <w:szCs w:val="20"/>
          <w:color w:val="auto"/>
        </w:rPr>
      </w:pPr>
    </w:p>
    <w:p>
      <w:pPr>
        <w:jc w:val="center"/>
        <w:ind w:right="-362"/>
        <w:spacing w:after="0"/>
        <w:rPr>
          <w:sz w:val="20"/>
          <w:szCs w:val="20"/>
          <w:color w:val="auto"/>
        </w:rPr>
      </w:pPr>
      <w:r>
        <w:rPr>
          <w:rFonts w:ascii="Arial" w:cs="Arial" w:eastAsia="Arial" w:hAnsi="Arial"/>
          <w:sz w:val="11"/>
          <w:szCs w:val="11"/>
          <w:color w:val="auto"/>
        </w:rPr>
        <w:t>F-55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29210</wp:posOffset>
            </wp:positionV>
            <wp:extent cx="7285990" cy="6350"/>
            <wp:wrapNone/>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26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123"/>
          </w:cols>
          <w:pgMar w:left="217" w:top="685" w:right="559" w:bottom="1440" w:gutter="0" w:footer="0" w:header="0"/>
          <w:type w:val="continuous"/>
        </w:sectPr>
      </w:pPr>
    </w:p>
    <w:bookmarkStart w:id="180" w:name="page181"/>
    <w:bookmarkEnd w:id="180"/>
    <w:p>
      <w:pPr>
        <w:ind w:left="3"/>
        <w:spacing w:after="0"/>
        <w:rPr>
          <w:sz w:val="20"/>
          <w:szCs w:val="20"/>
          <w:color w:val="auto"/>
        </w:rPr>
      </w:pPr>
      <w:r>
        <w:rPr>
          <w:rFonts w:ascii="Arial" w:cs="Arial" w:eastAsia="Arial" w:hAnsi="Arial"/>
          <w:sz w:val="12"/>
          <w:szCs w:val="12"/>
          <w:b w:val="1"/>
          <w:bCs w:val="1"/>
          <w:color w:val="auto"/>
        </w:rPr>
        <w:t>Banco Latinoamericano de Comercio Exterior, S. A. and Subsidiaries</w:t>
      </w:r>
    </w:p>
    <w:p>
      <w:pPr>
        <w:spacing w:after="0" w:line="28"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1"/>
          <w:szCs w:val="11"/>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17780</wp:posOffset>
            </wp:positionV>
            <wp:extent cx="7285990" cy="6350"/>
            <wp:wrapNone/>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6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063"/>
          </w:cols>
          <w:pgMar w:left="217" w:top="685" w:right="619" w:bottom="1440" w:gutter="0" w:footer="0" w:header="0"/>
        </w:sectPr>
      </w:pPr>
    </w:p>
    <w:p>
      <w:pPr>
        <w:spacing w:after="0" w:line="179" w:lineRule="exact"/>
        <w:rPr>
          <w:sz w:val="20"/>
          <w:szCs w:val="20"/>
          <w:color w:val="auto"/>
        </w:rPr>
      </w:pPr>
    </w:p>
    <w:p>
      <w:pPr>
        <w:ind w:left="223" w:hanging="223"/>
        <w:spacing w:after="0"/>
        <w:tabs>
          <w:tab w:leader="none" w:pos="223" w:val="left"/>
        </w:tabs>
        <w:numPr>
          <w:ilvl w:val="0"/>
          <w:numId w:val="143"/>
        </w:numPr>
        <w:rPr>
          <w:rFonts w:ascii="Arial" w:cs="Arial" w:eastAsia="Arial" w:hAnsi="Arial"/>
          <w:sz w:val="11"/>
          <w:szCs w:val="11"/>
          <w:b w:val="1"/>
          <w:bCs w:val="1"/>
          <w:color w:val="auto"/>
        </w:rPr>
      </w:pPr>
      <w:r>
        <w:rPr>
          <w:rFonts w:ascii="Arial" w:cs="Arial" w:eastAsia="Arial" w:hAnsi="Arial"/>
          <w:sz w:val="11"/>
          <w:szCs w:val="11"/>
          <w:b w:val="1"/>
          <w:bCs w:val="1"/>
          <w:color w:val="auto"/>
        </w:rPr>
        <w:t>Derivative financial instruments (continued)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ind w:left="243"/>
        <w:spacing w:after="0"/>
        <w:rPr>
          <w:sz w:val="20"/>
          <w:szCs w:val="20"/>
          <w:color w:val="auto"/>
        </w:rPr>
      </w:pPr>
      <w:r>
        <w:rPr>
          <w:rFonts w:ascii="Arial" w:cs="Arial" w:eastAsia="Arial" w:hAnsi="Arial"/>
          <w:sz w:val="13"/>
          <w:szCs w:val="13"/>
          <w:b w:val="1"/>
          <w:bCs w:val="1"/>
          <w:color w:val="auto"/>
        </w:rPr>
        <w:t>Derivatives – cash flow hedge</w:t>
      </w:r>
    </w:p>
    <w:p>
      <w:pPr>
        <w:spacing w:after="0" w:line="17" w:lineRule="exact"/>
        <w:rPr>
          <w:sz w:val="20"/>
          <w:szCs w:val="20"/>
          <w:color w:val="auto"/>
        </w:rPr>
      </w:pPr>
    </w:p>
    <w:p>
      <w:pPr>
        <w:ind w:left="223"/>
        <w:spacing w:after="0"/>
        <w:rPr>
          <w:sz w:val="20"/>
          <w:szCs w:val="20"/>
          <w:color w:val="auto"/>
        </w:rPr>
      </w:pPr>
      <w:r>
        <w:rPr>
          <w:rFonts w:ascii="Arial" w:cs="Arial" w:eastAsia="Arial" w:hAnsi="Arial"/>
          <w:sz w:val="13"/>
          <w:szCs w:val="13"/>
          <w:color w:val="auto"/>
        </w:rPr>
        <w:t>Interest rate swaps</w:t>
      </w:r>
    </w:p>
    <w:p>
      <w:pPr>
        <w:spacing w:after="0" w:line="5" w:lineRule="exact"/>
        <w:rPr>
          <w:sz w:val="20"/>
          <w:szCs w:val="20"/>
          <w:color w:val="auto"/>
        </w:rPr>
      </w:pPr>
    </w:p>
    <w:p>
      <w:pPr>
        <w:ind w:left="223"/>
        <w:spacing w:after="0"/>
        <w:rPr>
          <w:sz w:val="20"/>
          <w:szCs w:val="20"/>
          <w:color w:val="auto"/>
        </w:rPr>
      </w:pPr>
      <w:r>
        <w:rPr>
          <w:rFonts w:ascii="Arial" w:cs="Arial" w:eastAsia="Arial" w:hAnsi="Arial"/>
          <w:sz w:val="13"/>
          <w:szCs w:val="13"/>
          <w:color w:val="auto"/>
        </w:rPr>
        <w:t>Cross-currency swaps</w:t>
      </w:r>
    </w:p>
    <w:p>
      <w:pPr>
        <w:spacing w:after="0" w:line="150" w:lineRule="exact"/>
        <w:rPr>
          <w:sz w:val="20"/>
          <w:szCs w:val="20"/>
          <w:color w:val="auto"/>
        </w:rPr>
      </w:pPr>
    </w:p>
    <w:p>
      <w:pPr>
        <w:ind w:left="223"/>
        <w:spacing w:after="0"/>
        <w:rPr>
          <w:sz w:val="20"/>
          <w:szCs w:val="20"/>
          <w:color w:val="auto"/>
        </w:rPr>
      </w:pPr>
      <w:r>
        <w:rPr>
          <w:rFonts w:ascii="Arial" w:cs="Arial" w:eastAsia="Arial" w:hAnsi="Arial"/>
          <w:sz w:val="13"/>
          <w:szCs w:val="13"/>
          <w:color w:val="auto"/>
        </w:rPr>
        <w:t>Foreign exchange forwards</w:t>
      </w: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ind w:left="243"/>
        <w:spacing w:after="0"/>
        <w:rPr>
          <w:sz w:val="20"/>
          <w:szCs w:val="20"/>
          <w:color w:val="auto"/>
        </w:rPr>
      </w:pPr>
      <w:r>
        <w:rPr>
          <w:rFonts w:ascii="Arial" w:cs="Arial" w:eastAsia="Arial" w:hAnsi="Arial"/>
          <w:sz w:val="13"/>
          <w:szCs w:val="13"/>
          <w:b w:val="1"/>
          <w:bCs w:val="1"/>
          <w:color w:val="auto"/>
        </w:rPr>
        <w:t>Total</w:t>
      </w:r>
    </w:p>
    <w:p>
      <w:pPr>
        <w:spacing w:after="0" w:line="207" w:lineRule="exact"/>
        <w:rPr>
          <w:sz w:val="20"/>
          <w:szCs w:val="20"/>
          <w:color w:val="auto"/>
        </w:rPr>
      </w:pPr>
    </w:p>
    <w:p>
      <w:pPr>
        <w:ind w:left="243"/>
        <w:spacing w:after="0"/>
        <w:rPr>
          <w:sz w:val="20"/>
          <w:szCs w:val="20"/>
          <w:color w:val="auto"/>
        </w:rPr>
      </w:pPr>
      <w:r>
        <w:rPr>
          <w:rFonts w:ascii="Arial" w:cs="Arial" w:eastAsia="Arial" w:hAnsi="Arial"/>
          <w:sz w:val="13"/>
          <w:szCs w:val="13"/>
          <w:b w:val="1"/>
          <w:bCs w:val="1"/>
          <w:color w:val="auto"/>
        </w:rPr>
        <w:t>Derivatives – net investment hedge</w:t>
      </w:r>
    </w:p>
    <w:p>
      <w:pPr>
        <w:spacing w:after="0" w:line="17" w:lineRule="exact"/>
        <w:rPr>
          <w:sz w:val="20"/>
          <w:szCs w:val="20"/>
          <w:color w:val="auto"/>
        </w:rPr>
      </w:pPr>
    </w:p>
    <w:p>
      <w:pPr>
        <w:ind w:left="243"/>
        <w:spacing w:after="0"/>
        <w:rPr>
          <w:sz w:val="20"/>
          <w:szCs w:val="20"/>
          <w:color w:val="auto"/>
        </w:rPr>
      </w:pPr>
      <w:r>
        <w:rPr>
          <w:rFonts w:ascii="Arial" w:cs="Arial" w:eastAsia="Arial" w:hAnsi="Arial"/>
          <w:sz w:val="13"/>
          <w:szCs w:val="13"/>
          <w:color w:val="auto"/>
        </w:rPr>
        <w:t>Foreign exchange forwards</w:t>
      </w:r>
    </w:p>
    <w:p>
      <w:pPr>
        <w:spacing w:after="0" w:line="5" w:lineRule="exact"/>
        <w:rPr>
          <w:sz w:val="20"/>
          <w:szCs w:val="20"/>
          <w:color w:val="auto"/>
        </w:rPr>
      </w:pPr>
    </w:p>
    <w:p>
      <w:pPr>
        <w:ind w:left="243"/>
        <w:spacing w:after="0"/>
        <w:rPr>
          <w:sz w:val="20"/>
          <w:szCs w:val="20"/>
          <w:color w:val="auto"/>
        </w:rPr>
      </w:pPr>
      <w:r>
        <w:rPr>
          <w:rFonts w:ascii="Arial" w:cs="Arial" w:eastAsia="Arial" w:hAnsi="Arial"/>
          <w:sz w:val="13"/>
          <w:szCs w:val="13"/>
          <w:b w:val="1"/>
          <w:bCs w:val="1"/>
          <w:color w:val="auto"/>
        </w:rPr>
        <w:t>Total</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77" w:lineRule="exact"/>
        <w:rPr>
          <w:sz w:val="20"/>
          <w:szCs w:val="20"/>
          <w:color w:val="auto"/>
        </w:rPr>
      </w:pPr>
    </w:p>
    <w:p>
      <w:pPr>
        <w:ind w:left="2920"/>
        <w:spacing w:after="0"/>
        <w:rPr>
          <w:sz w:val="20"/>
          <w:szCs w:val="20"/>
          <w:color w:val="auto"/>
        </w:rPr>
      </w:pPr>
      <w:r>
        <w:rPr>
          <w:rFonts w:ascii="Arial" w:cs="Arial" w:eastAsia="Arial" w:hAnsi="Arial"/>
          <w:sz w:val="13"/>
          <w:szCs w:val="13"/>
          <w:b w:val="1"/>
          <w:bCs w:val="1"/>
          <w:color w:val="auto"/>
        </w:rPr>
        <w:t>December 31, 2016</w:t>
      </w:r>
    </w:p>
    <w:p>
      <w:pPr>
        <w:spacing w:after="0" w:line="17" w:lineRule="exact"/>
        <w:rPr>
          <w:sz w:val="20"/>
          <w:szCs w:val="20"/>
          <w:color w:val="auto"/>
        </w:rPr>
      </w:pPr>
    </w:p>
    <w:tbl>
      <w:tblPr>
        <w:tblLayout w:type="fixed"/>
        <w:tblInd w:w="0" w:type="dxa"/>
        <w:tblCellMar>
          <w:top w:w="0" w:type="dxa"/>
          <w:left w:w="0" w:type="dxa"/>
          <w:bottom w:w="0" w:type="dxa"/>
          <w:right w:w="0" w:type="dxa"/>
        </w:tblCellMar>
      </w:tblPr>
      <w:tr>
        <w:trPr>
          <w:trHeight w:val="131"/>
        </w:trPr>
        <w:tc>
          <w:tcPr>
            <w:tcW w:w="1000" w:type="dxa"/>
            <w:vAlign w:val="bottom"/>
            <w:tcBorders>
              <w:top w:val="single" w:sz="8" w:color="auto"/>
            </w:tcBorders>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3160" w:type="dxa"/>
            <w:vAlign w:val="bottom"/>
            <w:tcBorders>
              <w:top w:val="single" w:sz="8" w:color="auto"/>
            </w:tcBorders>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980" w:type="dxa"/>
            <w:vAlign w:val="bottom"/>
            <w:tcBorders>
              <w:top w:val="single" w:sz="8" w:color="auto"/>
            </w:tcBorders>
          </w:tcPr>
          <w:p>
            <w:pPr>
              <w:spacing w:after="0"/>
              <w:rPr>
                <w:sz w:val="11"/>
                <w:szCs w:val="11"/>
                <w:color w:val="auto"/>
              </w:rPr>
            </w:pPr>
          </w:p>
        </w:tc>
        <w:tc>
          <w:tcPr>
            <w:tcW w:w="200" w:type="dxa"/>
            <w:vAlign w:val="bottom"/>
            <w:tcBorders>
              <w:top w:val="single" w:sz="8" w:color="auto"/>
            </w:tcBorders>
          </w:tcPr>
          <w:p>
            <w:pPr>
              <w:spacing w:after="0"/>
              <w:rPr>
                <w:sz w:val="11"/>
                <w:szCs w:val="11"/>
                <w:color w:val="auto"/>
              </w:rPr>
            </w:pPr>
          </w:p>
        </w:tc>
        <w:tc>
          <w:tcPr>
            <w:tcW w:w="1200" w:type="dxa"/>
            <w:vAlign w:val="bottom"/>
            <w:tcBorders>
              <w:top w:val="single" w:sz="8" w:color="auto"/>
            </w:tcBorders>
          </w:tcPr>
          <w:p>
            <w:pPr>
              <w:jc w:val="center"/>
              <w:spacing w:after="0" w:line="131" w:lineRule="exact"/>
              <w:rPr>
                <w:sz w:val="20"/>
                <w:szCs w:val="20"/>
                <w:color w:val="auto"/>
              </w:rPr>
            </w:pPr>
            <w:r>
              <w:rPr>
                <w:rFonts w:ascii="Arial" w:cs="Arial" w:eastAsia="Arial" w:hAnsi="Arial"/>
                <w:sz w:val="13"/>
                <w:szCs w:val="13"/>
                <w:b w:val="1"/>
                <w:bCs w:val="1"/>
                <w:color w:val="auto"/>
                <w:w w:val="86"/>
              </w:rPr>
              <w:t>Gain (loss)</w:t>
            </w:r>
          </w:p>
        </w:tc>
        <w:tc>
          <w:tcPr>
            <w:tcW w:w="40" w:type="dxa"/>
            <w:vAlign w:val="bottom"/>
            <w:gridSpan w:val="2"/>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1120" w:type="dxa"/>
            <w:vAlign w:val="bottom"/>
            <w:gridSpan w:val="2"/>
          </w:tcPr>
          <w:p>
            <w:pPr>
              <w:ind w:left="200"/>
              <w:spacing w:after="0"/>
              <w:rPr>
                <w:sz w:val="20"/>
                <w:szCs w:val="20"/>
                <w:color w:val="auto"/>
              </w:rPr>
            </w:pPr>
            <w:r>
              <w:rPr>
                <w:rFonts w:ascii="Arial" w:cs="Arial" w:eastAsia="Arial" w:hAnsi="Arial"/>
                <w:sz w:val="13"/>
                <w:szCs w:val="13"/>
                <w:b w:val="1"/>
                <w:bCs w:val="1"/>
                <w:color w:val="auto"/>
              </w:rPr>
              <w:t>Gain (loss)</w:t>
            </w:r>
          </w:p>
        </w:tc>
        <w:tc>
          <w:tcPr>
            <w:tcW w:w="100" w:type="dxa"/>
            <w:vAlign w:val="bottom"/>
          </w:tcPr>
          <w:p>
            <w:pPr>
              <w:spacing w:after="0"/>
              <w:rPr>
                <w:sz w:val="13"/>
                <w:szCs w:val="13"/>
                <w:color w:val="auto"/>
              </w:rPr>
            </w:pPr>
          </w:p>
        </w:tc>
        <w:tc>
          <w:tcPr>
            <w:tcW w:w="31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180" w:type="dxa"/>
            <w:vAlign w:val="bottom"/>
            <w:gridSpan w:val="2"/>
          </w:tcPr>
          <w:p>
            <w:pPr>
              <w:jc w:val="right"/>
              <w:ind w:right="420"/>
              <w:spacing w:after="0"/>
              <w:rPr>
                <w:sz w:val="20"/>
                <w:szCs w:val="20"/>
                <w:color w:val="auto"/>
              </w:rPr>
            </w:pPr>
            <w:r>
              <w:rPr>
                <w:rFonts w:ascii="Arial" w:cs="Arial" w:eastAsia="Arial" w:hAnsi="Arial"/>
                <w:sz w:val="13"/>
                <w:szCs w:val="13"/>
                <w:b w:val="1"/>
                <w:bCs w:val="1"/>
                <w:color w:val="auto"/>
              </w:rPr>
              <w:t>Gain (loss)</w:t>
            </w:r>
          </w:p>
        </w:tc>
        <w:tc>
          <w:tcPr>
            <w:tcW w:w="1240" w:type="dxa"/>
            <w:vAlign w:val="bottom"/>
            <w:gridSpan w:val="3"/>
          </w:tcPr>
          <w:p>
            <w:pPr>
              <w:jc w:val="right"/>
              <w:ind w:right="255"/>
              <w:spacing w:after="0"/>
              <w:rPr>
                <w:sz w:val="20"/>
                <w:szCs w:val="20"/>
                <w:color w:val="auto"/>
              </w:rPr>
            </w:pPr>
            <w:r>
              <w:rPr>
                <w:rFonts w:ascii="Arial" w:cs="Arial" w:eastAsia="Arial" w:hAnsi="Arial"/>
                <w:sz w:val="13"/>
                <w:szCs w:val="13"/>
                <w:b w:val="1"/>
                <w:bCs w:val="1"/>
                <w:color w:val="auto"/>
              </w:rPr>
              <w:t>recognized on</w:t>
            </w:r>
          </w:p>
        </w:tc>
        <w:tc>
          <w:tcPr>
            <w:tcW w:w="0" w:type="dxa"/>
            <w:vAlign w:val="bottom"/>
          </w:tcPr>
          <w:p>
            <w:pPr>
              <w:spacing w:after="0"/>
              <w:rPr>
                <w:sz w:val="1"/>
                <w:szCs w:val="1"/>
                <w:color w:val="auto"/>
              </w:rPr>
            </w:pPr>
          </w:p>
        </w:tc>
      </w:tr>
      <w:tr>
        <w:trPr>
          <w:trHeight w:val="154"/>
        </w:trPr>
        <w:tc>
          <w:tcPr>
            <w:tcW w:w="1120" w:type="dxa"/>
            <w:vAlign w:val="bottom"/>
            <w:gridSpan w:val="2"/>
          </w:tcPr>
          <w:p>
            <w:pPr>
              <w:ind w:left="120"/>
              <w:spacing w:after="0"/>
              <w:rPr>
                <w:sz w:val="20"/>
                <w:szCs w:val="20"/>
                <w:color w:val="auto"/>
              </w:rPr>
            </w:pPr>
            <w:r>
              <w:rPr>
                <w:rFonts w:ascii="Arial" w:cs="Arial" w:eastAsia="Arial" w:hAnsi="Arial"/>
                <w:sz w:val="13"/>
                <w:szCs w:val="13"/>
                <w:b w:val="1"/>
                <w:bCs w:val="1"/>
                <w:color w:val="auto"/>
              </w:rPr>
              <w:t>recognized in</w:t>
            </w:r>
          </w:p>
        </w:tc>
        <w:tc>
          <w:tcPr>
            <w:tcW w:w="100" w:type="dxa"/>
            <w:vAlign w:val="bottom"/>
          </w:tcPr>
          <w:p>
            <w:pPr>
              <w:spacing w:after="0"/>
              <w:rPr>
                <w:sz w:val="13"/>
                <w:szCs w:val="13"/>
                <w:color w:val="auto"/>
              </w:rPr>
            </w:pPr>
          </w:p>
        </w:tc>
        <w:tc>
          <w:tcPr>
            <w:tcW w:w="31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180" w:type="dxa"/>
            <w:vAlign w:val="bottom"/>
            <w:gridSpan w:val="2"/>
          </w:tcPr>
          <w:p>
            <w:pPr>
              <w:jc w:val="right"/>
              <w:ind w:right="260"/>
              <w:spacing w:after="0"/>
              <w:rPr>
                <w:sz w:val="20"/>
                <w:szCs w:val="20"/>
                <w:color w:val="auto"/>
              </w:rPr>
            </w:pPr>
            <w:r>
              <w:rPr>
                <w:rFonts w:ascii="Arial" w:cs="Arial" w:eastAsia="Arial" w:hAnsi="Arial"/>
                <w:sz w:val="13"/>
                <w:szCs w:val="13"/>
                <w:b w:val="1"/>
                <w:bCs w:val="1"/>
                <w:color w:val="auto"/>
                <w:w w:val="86"/>
              </w:rPr>
              <w:t>reclassified from</w:t>
            </w:r>
          </w:p>
        </w:tc>
        <w:tc>
          <w:tcPr>
            <w:tcW w:w="1240" w:type="dxa"/>
            <w:vAlign w:val="bottom"/>
            <w:gridSpan w:val="3"/>
          </w:tcPr>
          <w:p>
            <w:pPr>
              <w:jc w:val="center"/>
              <w:ind w:right="35"/>
              <w:spacing w:after="0"/>
              <w:rPr>
                <w:sz w:val="20"/>
                <w:szCs w:val="20"/>
                <w:color w:val="auto"/>
              </w:rPr>
            </w:pPr>
            <w:r>
              <w:rPr>
                <w:rFonts w:ascii="Arial" w:cs="Arial" w:eastAsia="Arial" w:hAnsi="Arial"/>
                <w:sz w:val="13"/>
                <w:szCs w:val="13"/>
                <w:b w:val="1"/>
                <w:bCs w:val="1"/>
                <w:color w:val="auto"/>
                <w:w w:val="88"/>
              </w:rPr>
              <w:t>derivatives</w:t>
            </w:r>
          </w:p>
        </w:tc>
        <w:tc>
          <w:tcPr>
            <w:tcW w:w="0" w:type="dxa"/>
            <w:vAlign w:val="bottom"/>
          </w:tcPr>
          <w:p>
            <w:pPr>
              <w:spacing w:after="0"/>
              <w:rPr>
                <w:sz w:val="1"/>
                <w:szCs w:val="1"/>
                <w:color w:val="auto"/>
              </w:rPr>
            </w:pPr>
          </w:p>
        </w:tc>
      </w:tr>
      <w:tr>
        <w:trPr>
          <w:trHeight w:val="154"/>
        </w:trPr>
        <w:tc>
          <w:tcPr>
            <w:tcW w:w="1120" w:type="dxa"/>
            <w:vAlign w:val="bottom"/>
            <w:gridSpan w:val="2"/>
          </w:tcPr>
          <w:p>
            <w:pPr>
              <w:ind w:left="120"/>
              <w:spacing w:after="0"/>
              <w:rPr>
                <w:sz w:val="20"/>
                <w:szCs w:val="20"/>
                <w:color w:val="auto"/>
              </w:rPr>
            </w:pPr>
            <w:r>
              <w:rPr>
                <w:rFonts w:ascii="Arial" w:cs="Arial" w:eastAsia="Arial" w:hAnsi="Arial"/>
                <w:sz w:val="13"/>
                <w:szCs w:val="13"/>
                <w:b w:val="1"/>
                <w:bCs w:val="1"/>
                <w:color w:val="auto"/>
              </w:rPr>
              <w:t>OCI (effective</w:t>
            </w:r>
          </w:p>
        </w:tc>
        <w:tc>
          <w:tcPr>
            <w:tcW w:w="100" w:type="dxa"/>
            <w:vAlign w:val="bottom"/>
          </w:tcPr>
          <w:p>
            <w:pPr>
              <w:spacing w:after="0"/>
              <w:rPr>
                <w:sz w:val="13"/>
                <w:szCs w:val="13"/>
                <w:color w:val="auto"/>
              </w:rPr>
            </w:pPr>
          </w:p>
        </w:tc>
        <w:tc>
          <w:tcPr>
            <w:tcW w:w="326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8"/>
              </w:rPr>
              <w:t>Classification of gain</w:t>
            </w:r>
          </w:p>
        </w:tc>
        <w:tc>
          <w:tcPr>
            <w:tcW w:w="1180" w:type="dxa"/>
            <w:vAlign w:val="bottom"/>
            <w:gridSpan w:val="2"/>
          </w:tcPr>
          <w:p>
            <w:pPr>
              <w:jc w:val="right"/>
              <w:ind w:right="500"/>
              <w:spacing w:after="0"/>
              <w:rPr>
                <w:sz w:val="20"/>
                <w:szCs w:val="20"/>
                <w:color w:val="auto"/>
              </w:rPr>
            </w:pPr>
            <w:r>
              <w:rPr>
                <w:rFonts w:ascii="Arial" w:cs="Arial" w:eastAsia="Arial" w:hAnsi="Arial"/>
                <w:sz w:val="13"/>
                <w:szCs w:val="13"/>
                <w:b w:val="1"/>
                <w:bCs w:val="1"/>
                <w:color w:val="auto"/>
              </w:rPr>
              <w:t>OCI to</w:t>
            </w:r>
          </w:p>
        </w:tc>
        <w:tc>
          <w:tcPr>
            <w:tcW w:w="1240" w:type="dxa"/>
            <w:vAlign w:val="bottom"/>
            <w:gridSpan w:val="3"/>
          </w:tcPr>
          <w:p>
            <w:pPr>
              <w:jc w:val="center"/>
              <w:ind w:right="35"/>
              <w:spacing w:after="0"/>
              <w:rPr>
                <w:sz w:val="20"/>
                <w:szCs w:val="20"/>
                <w:color w:val="auto"/>
              </w:rPr>
            </w:pPr>
            <w:r>
              <w:rPr>
                <w:rFonts w:ascii="Arial" w:cs="Arial" w:eastAsia="Arial" w:hAnsi="Arial"/>
                <w:sz w:val="13"/>
                <w:szCs w:val="13"/>
                <w:b w:val="1"/>
                <w:bCs w:val="1"/>
                <w:color w:val="auto"/>
                <w:w w:val="87"/>
              </w:rPr>
              <w:t>(ineffective</w:t>
            </w:r>
          </w:p>
        </w:tc>
        <w:tc>
          <w:tcPr>
            <w:tcW w:w="0" w:type="dxa"/>
            <w:vAlign w:val="bottom"/>
          </w:tcPr>
          <w:p>
            <w:pPr>
              <w:spacing w:after="0"/>
              <w:rPr>
                <w:sz w:val="1"/>
                <w:szCs w:val="1"/>
                <w:color w:val="auto"/>
              </w:rPr>
            </w:pPr>
          </w:p>
        </w:tc>
      </w:tr>
      <w:tr>
        <w:trPr>
          <w:trHeight w:val="167"/>
        </w:trPr>
        <w:tc>
          <w:tcPr>
            <w:tcW w:w="1000" w:type="dxa"/>
            <w:vAlign w:val="bottom"/>
            <w:tcBorders>
              <w:bottom w:val="single" w:sz="8" w:color="auto"/>
            </w:tcBorders>
          </w:tcPr>
          <w:p>
            <w:pPr>
              <w:jc w:val="right"/>
              <w:ind w:right="216"/>
              <w:spacing w:after="0"/>
              <w:rPr>
                <w:sz w:val="20"/>
                <w:szCs w:val="20"/>
                <w:color w:val="auto"/>
              </w:rPr>
            </w:pPr>
            <w:r>
              <w:rPr>
                <w:rFonts w:ascii="Arial" w:cs="Arial" w:eastAsia="Arial" w:hAnsi="Arial"/>
                <w:sz w:val="13"/>
                <w:szCs w:val="13"/>
                <w:b w:val="1"/>
                <w:bCs w:val="1"/>
                <w:color w:val="auto"/>
              </w:rPr>
              <w:t>portion)</w:t>
            </w:r>
          </w:p>
        </w:tc>
        <w:tc>
          <w:tcPr>
            <w:tcW w:w="1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316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0"/>
              </w:rPr>
              <w:t>(loss)</w:t>
            </w:r>
          </w:p>
        </w:tc>
        <w:tc>
          <w:tcPr>
            <w:tcW w:w="100" w:type="dxa"/>
            <w:vAlign w:val="bottom"/>
          </w:tcPr>
          <w:p>
            <w:pPr>
              <w:spacing w:after="0"/>
              <w:rPr>
                <w:sz w:val="14"/>
                <w:szCs w:val="14"/>
                <w:color w:val="auto"/>
              </w:rPr>
            </w:pPr>
          </w:p>
        </w:tc>
        <w:tc>
          <w:tcPr>
            <w:tcW w:w="980" w:type="dxa"/>
            <w:vAlign w:val="bottom"/>
            <w:tcBorders>
              <w:bottom w:val="single" w:sz="8" w:color="auto"/>
            </w:tcBorders>
          </w:tcPr>
          <w:p>
            <w:pPr>
              <w:jc w:val="right"/>
              <w:ind w:right="76"/>
              <w:spacing w:after="0"/>
              <w:rPr>
                <w:sz w:val="20"/>
                <w:szCs w:val="20"/>
                <w:color w:val="auto"/>
              </w:rPr>
            </w:pPr>
            <w:r>
              <w:rPr>
                <w:rFonts w:ascii="Arial" w:cs="Arial" w:eastAsia="Arial" w:hAnsi="Arial"/>
                <w:sz w:val="13"/>
                <w:szCs w:val="13"/>
                <w:b w:val="1"/>
                <w:bCs w:val="1"/>
                <w:color w:val="auto"/>
              </w:rPr>
              <w:t>profit or loss</w:t>
            </w:r>
          </w:p>
        </w:tc>
        <w:tc>
          <w:tcPr>
            <w:tcW w:w="200" w:type="dxa"/>
            <w:vAlign w:val="bottom"/>
          </w:tcPr>
          <w:p>
            <w:pPr>
              <w:spacing w:after="0"/>
              <w:rPr>
                <w:sz w:val="14"/>
                <w:szCs w:val="14"/>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9"/>
              </w:rPr>
              <w:t>portion)</w:t>
            </w:r>
          </w:p>
        </w:tc>
        <w:tc>
          <w:tcPr>
            <w:tcW w:w="40" w:type="dxa"/>
            <w:vAlign w:val="bottom"/>
            <w:gridSpan w:val="2"/>
          </w:tcPr>
          <w:p>
            <w:pPr>
              <w:spacing w:after="0"/>
              <w:rPr>
                <w:sz w:val="14"/>
                <w:szCs w:val="14"/>
                <w:color w:val="auto"/>
              </w:rPr>
            </w:pPr>
          </w:p>
        </w:tc>
        <w:tc>
          <w:tcPr>
            <w:tcW w:w="0" w:type="dxa"/>
            <w:vAlign w:val="bottom"/>
          </w:tcPr>
          <w:p>
            <w:pPr>
              <w:spacing w:after="0"/>
              <w:rPr>
                <w:sz w:val="1"/>
                <w:szCs w:val="1"/>
                <w:color w:val="auto"/>
              </w:rPr>
            </w:pPr>
          </w:p>
        </w:tc>
      </w:tr>
      <w:tr>
        <w:trPr>
          <w:trHeight w:val="289"/>
        </w:trPr>
        <w:tc>
          <w:tcPr>
            <w:tcW w:w="1120" w:type="dxa"/>
            <w:vAlign w:val="bottom"/>
            <w:gridSpan w:val="2"/>
          </w:tcPr>
          <w:p>
            <w:pPr>
              <w:jc w:val="right"/>
              <w:ind w:right="83"/>
              <w:spacing w:after="0"/>
              <w:rPr>
                <w:sz w:val="20"/>
                <w:szCs w:val="20"/>
                <w:color w:val="auto"/>
              </w:rPr>
            </w:pPr>
            <w:r>
              <w:rPr>
                <w:rFonts w:ascii="Arial" w:cs="Arial" w:eastAsia="Arial" w:hAnsi="Arial"/>
                <w:sz w:val="13"/>
                <w:szCs w:val="13"/>
                <w:color w:val="auto"/>
              </w:rPr>
              <w:t>627</w:t>
            </w:r>
          </w:p>
        </w:tc>
        <w:tc>
          <w:tcPr>
            <w:tcW w:w="3360" w:type="dxa"/>
            <w:vAlign w:val="bottom"/>
            <w:gridSpan w:val="3"/>
          </w:tcPr>
          <w:p>
            <w:pPr>
              <w:ind w:left="100"/>
              <w:spacing w:after="0"/>
              <w:rPr>
                <w:sz w:val="20"/>
                <w:szCs w:val="20"/>
                <w:color w:val="auto"/>
              </w:rPr>
            </w:pPr>
            <w:r>
              <w:rPr>
                <w:rFonts w:ascii="Arial" w:cs="Arial" w:eastAsia="Arial" w:hAnsi="Arial"/>
                <w:sz w:val="13"/>
                <w:szCs w:val="13"/>
                <w:color w:val="auto"/>
              </w:rPr>
              <w:t>Gain (loss) on interest rate swaps</w:t>
            </w:r>
          </w:p>
        </w:tc>
        <w:tc>
          <w:tcPr>
            <w:tcW w:w="98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24"/>
                <w:szCs w:val="24"/>
                <w:color w:val="auto"/>
              </w:rPr>
            </w:pPr>
          </w:p>
        </w:tc>
        <w:tc>
          <w:tcPr>
            <w:tcW w:w="1240" w:type="dxa"/>
            <w:vAlign w:val="bottom"/>
            <w:gridSpan w:val="3"/>
          </w:tcPr>
          <w:p>
            <w:pPr>
              <w:jc w:val="right"/>
              <w:spacing w:after="0"/>
              <w:rPr>
                <w:sz w:val="20"/>
                <w:szCs w:val="20"/>
                <w:color w:val="auto"/>
              </w:rPr>
            </w:pPr>
            <w:r>
              <w:rPr>
                <w:rFonts w:ascii="Arial" w:cs="Arial" w:eastAsia="Arial" w:hAnsi="Arial"/>
                <w:sz w:val="13"/>
                <w:szCs w:val="13"/>
                <w:color w:val="auto"/>
              </w:rPr>
              <w:t>(1,258)</w:t>
            </w:r>
          </w:p>
        </w:tc>
        <w:tc>
          <w:tcPr>
            <w:tcW w:w="0" w:type="dxa"/>
            <w:vAlign w:val="bottom"/>
          </w:tcPr>
          <w:p>
            <w:pPr>
              <w:spacing w:after="0"/>
              <w:rPr>
                <w:sz w:val="1"/>
                <w:szCs w:val="1"/>
                <w:color w:val="auto"/>
              </w:rPr>
            </w:pPr>
          </w:p>
        </w:tc>
      </w:tr>
      <w:tr>
        <w:trPr>
          <w:trHeight w:val="154"/>
        </w:trPr>
        <w:tc>
          <w:tcPr>
            <w:tcW w:w="1120" w:type="dxa"/>
            <w:vAlign w:val="bottom"/>
            <w:gridSpan w:val="2"/>
          </w:tcPr>
          <w:p>
            <w:pPr>
              <w:jc w:val="right"/>
              <w:ind w:right="43"/>
              <w:spacing w:after="0"/>
              <w:rPr>
                <w:sz w:val="20"/>
                <w:szCs w:val="20"/>
                <w:color w:val="auto"/>
              </w:rPr>
            </w:pPr>
            <w:r>
              <w:rPr>
                <w:rFonts w:ascii="Arial" w:cs="Arial" w:eastAsia="Arial" w:hAnsi="Arial"/>
                <w:sz w:val="13"/>
                <w:szCs w:val="13"/>
                <w:color w:val="auto"/>
              </w:rPr>
              <w:t>(1,299)</w:t>
            </w:r>
          </w:p>
        </w:tc>
        <w:tc>
          <w:tcPr>
            <w:tcW w:w="3360" w:type="dxa"/>
            <w:vAlign w:val="bottom"/>
            <w:gridSpan w:val="3"/>
          </w:tcPr>
          <w:p>
            <w:pPr>
              <w:ind w:left="100"/>
              <w:spacing w:after="0"/>
              <w:rPr>
                <w:sz w:val="20"/>
                <w:szCs w:val="20"/>
                <w:color w:val="auto"/>
              </w:rPr>
            </w:pPr>
            <w:r>
              <w:rPr>
                <w:rFonts w:ascii="Arial" w:cs="Arial" w:eastAsia="Arial" w:hAnsi="Arial"/>
                <w:sz w:val="13"/>
                <w:szCs w:val="13"/>
                <w:color w:val="auto"/>
              </w:rPr>
              <w:t>Gain (loss) on foreign currency exchange</w:t>
            </w:r>
          </w:p>
        </w:tc>
        <w:tc>
          <w:tcPr>
            <w:tcW w:w="98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220" w:type="dxa"/>
            <w:vAlign w:val="bottom"/>
            <w:gridSpan w:val="2"/>
          </w:tcPr>
          <w:p>
            <w:pPr>
              <w:jc w:val="right"/>
              <w:ind w:right="20"/>
              <w:spacing w:after="0"/>
              <w:rPr>
                <w:sz w:val="20"/>
                <w:szCs w:val="20"/>
                <w:color w:val="auto"/>
              </w:rPr>
            </w:pPr>
            <w:r>
              <w:rPr>
                <w:rFonts w:ascii="Arial" w:cs="Arial" w:eastAsia="Arial" w:hAnsi="Arial"/>
                <w:sz w:val="13"/>
                <w:szCs w:val="13"/>
                <w:color w:val="auto"/>
              </w:rPr>
              <w:t>16</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10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3360" w:type="dxa"/>
            <w:vAlign w:val="bottom"/>
            <w:gridSpan w:val="3"/>
          </w:tcPr>
          <w:p>
            <w:pPr>
              <w:ind w:left="100"/>
              <w:spacing w:after="0"/>
              <w:rPr>
                <w:sz w:val="20"/>
                <w:szCs w:val="20"/>
                <w:color w:val="auto"/>
              </w:rPr>
            </w:pPr>
            <w:r>
              <w:rPr>
                <w:rFonts w:ascii="Arial" w:cs="Arial" w:eastAsia="Arial" w:hAnsi="Arial"/>
                <w:sz w:val="13"/>
                <w:szCs w:val="13"/>
                <w:color w:val="auto"/>
              </w:rPr>
              <w:t>Interest income – loans</w:t>
            </w:r>
          </w:p>
        </w:tc>
        <w:tc>
          <w:tcPr>
            <w:tcW w:w="98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240" w:type="dxa"/>
            <w:vAlign w:val="bottom"/>
            <w:gridSpan w:val="3"/>
          </w:tcPr>
          <w:p>
            <w:pPr>
              <w:jc w:val="right"/>
              <w:spacing w:after="0"/>
              <w:rPr>
                <w:sz w:val="20"/>
                <w:szCs w:val="20"/>
                <w:color w:val="auto"/>
              </w:rPr>
            </w:pPr>
            <w:r>
              <w:rPr>
                <w:rFonts w:ascii="Arial" w:cs="Arial" w:eastAsia="Arial" w:hAnsi="Arial"/>
                <w:sz w:val="13"/>
                <w:szCs w:val="13"/>
                <w:color w:val="auto"/>
              </w:rPr>
              <w:t>(110)</w:t>
            </w:r>
          </w:p>
        </w:tc>
        <w:tc>
          <w:tcPr>
            <w:tcW w:w="0" w:type="dxa"/>
            <w:vAlign w:val="bottom"/>
          </w:tcPr>
          <w:p>
            <w:pPr>
              <w:spacing w:after="0"/>
              <w:rPr>
                <w:sz w:val="1"/>
                <w:szCs w:val="1"/>
                <w:color w:val="auto"/>
              </w:rPr>
            </w:pPr>
          </w:p>
        </w:tc>
      </w:tr>
      <w:tr>
        <w:trPr>
          <w:trHeight w:val="154"/>
        </w:trPr>
        <w:tc>
          <w:tcPr>
            <w:tcW w:w="1120" w:type="dxa"/>
            <w:vAlign w:val="bottom"/>
            <w:gridSpan w:val="2"/>
          </w:tcPr>
          <w:p>
            <w:pPr>
              <w:jc w:val="right"/>
              <w:ind w:right="83"/>
              <w:spacing w:after="0"/>
              <w:rPr>
                <w:sz w:val="20"/>
                <w:szCs w:val="20"/>
                <w:color w:val="auto"/>
              </w:rPr>
            </w:pPr>
            <w:r>
              <w:rPr>
                <w:rFonts w:ascii="Arial" w:cs="Arial" w:eastAsia="Arial" w:hAnsi="Arial"/>
                <w:sz w:val="13"/>
                <w:szCs w:val="13"/>
                <w:color w:val="auto"/>
              </w:rPr>
              <w:t>233</w:t>
            </w:r>
          </w:p>
        </w:tc>
        <w:tc>
          <w:tcPr>
            <w:tcW w:w="3360" w:type="dxa"/>
            <w:vAlign w:val="bottom"/>
            <w:gridSpan w:val="3"/>
          </w:tcPr>
          <w:p>
            <w:pPr>
              <w:ind w:left="100"/>
              <w:spacing w:after="0"/>
              <w:rPr>
                <w:sz w:val="20"/>
                <w:szCs w:val="20"/>
                <w:color w:val="auto"/>
              </w:rPr>
            </w:pPr>
            <w:r>
              <w:rPr>
                <w:rFonts w:ascii="Arial" w:cs="Arial" w:eastAsia="Arial" w:hAnsi="Arial"/>
                <w:sz w:val="13"/>
                <w:szCs w:val="13"/>
                <w:color w:val="auto"/>
              </w:rPr>
              <w:t>Interest income – securities at FVOCI</w:t>
            </w:r>
          </w:p>
        </w:tc>
        <w:tc>
          <w:tcPr>
            <w:tcW w:w="98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220" w:type="dxa"/>
            <w:vAlign w:val="bottom"/>
            <w:gridSpan w:val="2"/>
          </w:tcPr>
          <w:p>
            <w:pPr>
              <w:jc w:val="right"/>
              <w:ind w:right="20"/>
              <w:spacing w:after="0"/>
              <w:rPr>
                <w:sz w:val="20"/>
                <w:szCs w:val="20"/>
                <w:color w:val="auto"/>
              </w:rPr>
            </w:pPr>
            <w:r>
              <w:rPr>
                <w:rFonts w:ascii="Arial" w:cs="Arial" w:eastAsia="Arial" w:hAnsi="Arial"/>
                <w:sz w:val="13"/>
                <w:szCs w:val="13"/>
                <w:color w:val="auto"/>
              </w:rPr>
              <w:t>-</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10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3360" w:type="dxa"/>
            <w:vAlign w:val="bottom"/>
            <w:gridSpan w:val="3"/>
          </w:tcPr>
          <w:p>
            <w:pPr>
              <w:ind w:left="100"/>
              <w:spacing w:after="0"/>
              <w:rPr>
                <w:sz w:val="20"/>
                <w:szCs w:val="20"/>
                <w:color w:val="auto"/>
              </w:rPr>
            </w:pPr>
            <w:r>
              <w:rPr>
                <w:rFonts w:ascii="Arial" w:cs="Arial" w:eastAsia="Arial" w:hAnsi="Arial"/>
                <w:sz w:val="13"/>
                <w:szCs w:val="13"/>
                <w:color w:val="auto"/>
              </w:rPr>
              <w:t>Interest income – loans</w:t>
            </w:r>
          </w:p>
        </w:tc>
        <w:tc>
          <w:tcPr>
            <w:tcW w:w="1180" w:type="dxa"/>
            <w:vAlign w:val="bottom"/>
            <w:gridSpan w:val="2"/>
          </w:tcPr>
          <w:p>
            <w:pPr>
              <w:jc w:val="right"/>
              <w:ind w:right="160"/>
              <w:spacing w:after="0"/>
              <w:rPr>
                <w:sz w:val="20"/>
                <w:szCs w:val="20"/>
                <w:color w:val="auto"/>
              </w:rPr>
            </w:pPr>
            <w:r>
              <w:rPr>
                <w:rFonts w:ascii="Arial" w:cs="Arial" w:eastAsia="Arial" w:hAnsi="Arial"/>
                <w:sz w:val="13"/>
                <w:szCs w:val="13"/>
                <w:color w:val="auto"/>
              </w:rPr>
              <w:t>(4,751)</w:t>
            </w:r>
          </w:p>
        </w:tc>
        <w:tc>
          <w:tcPr>
            <w:tcW w:w="1220" w:type="dxa"/>
            <w:vAlign w:val="bottom"/>
            <w:gridSpan w:val="2"/>
          </w:tcPr>
          <w:p>
            <w:pPr>
              <w:jc w:val="right"/>
              <w:ind w:right="20"/>
              <w:spacing w:after="0"/>
              <w:rPr>
                <w:sz w:val="20"/>
                <w:szCs w:val="20"/>
                <w:color w:val="auto"/>
              </w:rPr>
            </w:pPr>
            <w:r>
              <w:rPr>
                <w:rFonts w:ascii="Arial" w:cs="Arial" w:eastAsia="Arial" w:hAnsi="Arial"/>
                <w:sz w:val="13"/>
                <w:szCs w:val="13"/>
                <w:color w:val="auto"/>
              </w:rPr>
              <w:t>-</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10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3360" w:type="dxa"/>
            <w:vAlign w:val="bottom"/>
            <w:gridSpan w:val="3"/>
          </w:tcPr>
          <w:p>
            <w:pPr>
              <w:ind w:left="100"/>
              <w:spacing w:after="0"/>
              <w:rPr>
                <w:sz w:val="20"/>
                <w:szCs w:val="20"/>
                <w:color w:val="auto"/>
              </w:rPr>
            </w:pPr>
            <w:r>
              <w:rPr>
                <w:rFonts w:ascii="Arial" w:cs="Arial" w:eastAsia="Arial" w:hAnsi="Arial"/>
                <w:sz w:val="13"/>
                <w:szCs w:val="13"/>
                <w:color w:val="auto"/>
              </w:rPr>
              <w:t>Interest expense – borrowings and debt</w:t>
            </w:r>
          </w:p>
        </w:tc>
        <w:tc>
          <w:tcPr>
            <w:tcW w:w="98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220" w:type="dxa"/>
            <w:vAlign w:val="bottom"/>
            <w:gridSpan w:val="2"/>
          </w:tcPr>
          <w:p>
            <w:pPr>
              <w:jc w:val="right"/>
              <w:ind w:right="20"/>
              <w:spacing w:after="0"/>
              <w:rPr>
                <w:sz w:val="20"/>
                <w:szCs w:val="20"/>
                <w:color w:val="auto"/>
              </w:rPr>
            </w:pPr>
            <w:r>
              <w:rPr>
                <w:rFonts w:ascii="Arial" w:cs="Arial" w:eastAsia="Arial" w:hAnsi="Arial"/>
                <w:sz w:val="13"/>
                <w:szCs w:val="13"/>
                <w:color w:val="auto"/>
              </w:rPr>
              <w:t>-</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10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3360" w:type="dxa"/>
            <w:vAlign w:val="bottom"/>
            <w:gridSpan w:val="3"/>
          </w:tcPr>
          <w:p>
            <w:pPr>
              <w:ind w:left="100"/>
              <w:spacing w:after="0"/>
              <w:rPr>
                <w:sz w:val="20"/>
                <w:szCs w:val="20"/>
                <w:color w:val="auto"/>
              </w:rPr>
            </w:pPr>
            <w:r>
              <w:rPr>
                <w:rFonts w:ascii="Arial" w:cs="Arial" w:eastAsia="Arial" w:hAnsi="Arial"/>
                <w:sz w:val="13"/>
                <w:szCs w:val="13"/>
                <w:color w:val="auto"/>
              </w:rPr>
              <w:t>Interest expenses – deposits</w:t>
            </w:r>
          </w:p>
        </w:tc>
        <w:tc>
          <w:tcPr>
            <w:tcW w:w="980" w:type="dxa"/>
            <w:vAlign w:val="bottom"/>
          </w:tcPr>
          <w:p>
            <w:pPr>
              <w:jc w:val="right"/>
              <w:spacing w:after="0"/>
              <w:rPr>
                <w:sz w:val="20"/>
                <w:szCs w:val="20"/>
                <w:color w:val="auto"/>
              </w:rPr>
            </w:pPr>
            <w:r>
              <w:rPr>
                <w:rFonts w:ascii="Arial" w:cs="Arial" w:eastAsia="Arial" w:hAnsi="Arial"/>
                <w:sz w:val="13"/>
                <w:szCs w:val="13"/>
                <w:color w:val="auto"/>
              </w:rPr>
              <w:t>1,672</w:t>
            </w:r>
          </w:p>
        </w:tc>
        <w:tc>
          <w:tcPr>
            <w:tcW w:w="200" w:type="dxa"/>
            <w:vAlign w:val="bottom"/>
          </w:tcPr>
          <w:p>
            <w:pPr>
              <w:spacing w:after="0"/>
              <w:rPr>
                <w:sz w:val="13"/>
                <w:szCs w:val="13"/>
                <w:color w:val="auto"/>
              </w:rPr>
            </w:pPr>
          </w:p>
        </w:tc>
        <w:tc>
          <w:tcPr>
            <w:tcW w:w="1220" w:type="dxa"/>
            <w:vAlign w:val="bottom"/>
            <w:gridSpan w:val="2"/>
          </w:tcPr>
          <w:p>
            <w:pPr>
              <w:jc w:val="right"/>
              <w:ind w:right="20"/>
              <w:spacing w:after="0"/>
              <w:rPr>
                <w:sz w:val="20"/>
                <w:szCs w:val="20"/>
                <w:color w:val="auto"/>
              </w:rPr>
            </w:pPr>
            <w:r>
              <w:rPr>
                <w:rFonts w:ascii="Arial" w:cs="Arial" w:eastAsia="Arial" w:hAnsi="Arial"/>
                <w:sz w:val="13"/>
                <w:szCs w:val="13"/>
                <w:color w:val="auto"/>
              </w:rPr>
              <w:t>-</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72"/>
        </w:trPr>
        <w:tc>
          <w:tcPr>
            <w:tcW w:w="1000" w:type="dxa"/>
            <w:vAlign w:val="bottom"/>
            <w:tcBorders>
              <w:bottom w:val="single" w:sz="8" w:color="auto"/>
            </w:tcBorders>
          </w:tcPr>
          <w:p>
            <w:pPr>
              <w:spacing w:after="0"/>
              <w:rPr>
                <w:sz w:val="14"/>
                <w:szCs w:val="14"/>
                <w:color w:val="auto"/>
              </w:rPr>
            </w:pPr>
          </w:p>
        </w:tc>
        <w:tc>
          <w:tcPr>
            <w:tcW w:w="120" w:type="dxa"/>
            <w:vAlign w:val="bottom"/>
            <w:vMerge w:val="restart"/>
          </w:tcPr>
          <w:p>
            <w:pPr>
              <w:jc w:val="right"/>
              <w:ind w:right="43"/>
              <w:spacing w:after="0"/>
              <w:rPr>
                <w:sz w:val="20"/>
                <w:szCs w:val="20"/>
                <w:color w:val="auto"/>
              </w:rPr>
            </w:pPr>
            <w:r>
              <w:rPr>
                <w:rFonts w:ascii="Arial" w:cs="Arial" w:eastAsia="Arial" w:hAnsi="Arial"/>
                <w:sz w:val="7"/>
                <w:szCs w:val="7"/>
                <w:b w:val="1"/>
                <w:bCs w:val="1"/>
                <w:color w:val="auto"/>
                <w:w w:val="83"/>
              </w:rPr>
              <w:t>)</w:t>
            </w:r>
          </w:p>
        </w:tc>
        <w:tc>
          <w:tcPr>
            <w:tcW w:w="3360" w:type="dxa"/>
            <w:vAlign w:val="bottom"/>
            <w:gridSpan w:val="3"/>
          </w:tcPr>
          <w:p>
            <w:pPr>
              <w:ind w:left="100"/>
              <w:spacing w:after="0"/>
              <w:rPr>
                <w:sz w:val="20"/>
                <w:szCs w:val="20"/>
                <w:color w:val="auto"/>
              </w:rPr>
            </w:pPr>
            <w:r>
              <w:rPr>
                <w:rFonts w:ascii="Arial" w:cs="Arial" w:eastAsia="Arial" w:hAnsi="Arial"/>
                <w:sz w:val="13"/>
                <w:szCs w:val="13"/>
                <w:color w:val="auto"/>
              </w:rPr>
              <w:t>Gain (loss) on foreign currency exchange</w:t>
            </w:r>
          </w:p>
        </w:tc>
        <w:tc>
          <w:tcPr>
            <w:tcW w:w="98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9,097</w:t>
            </w:r>
          </w:p>
        </w:tc>
        <w:tc>
          <w:tcPr>
            <w:tcW w:w="200" w:type="dxa"/>
            <w:vAlign w:val="bottom"/>
          </w:tcPr>
          <w:p>
            <w:pPr>
              <w:spacing w:after="0"/>
              <w:rPr>
                <w:sz w:val="14"/>
                <w:szCs w:val="14"/>
                <w:color w:val="auto"/>
              </w:rPr>
            </w:pPr>
          </w:p>
        </w:tc>
        <w:tc>
          <w:tcPr>
            <w:tcW w:w="1220" w:type="dxa"/>
            <w:vAlign w:val="bottom"/>
            <w:tcBorders>
              <w:bottom w:val="single" w:sz="8" w:color="auto"/>
            </w:tcBorders>
            <w:gridSpan w:val="2"/>
          </w:tcPr>
          <w:p>
            <w:pPr>
              <w:jc w:val="right"/>
              <w:ind w:right="20"/>
              <w:spacing w:after="0"/>
              <w:rPr>
                <w:sz w:val="20"/>
                <w:szCs w:val="20"/>
                <w:color w:val="auto"/>
              </w:rPr>
            </w:pPr>
            <w:r>
              <w:rPr>
                <w:rFonts w:ascii="Arial" w:cs="Arial" w:eastAsia="Arial" w:hAnsi="Arial"/>
                <w:sz w:val="13"/>
                <w:szCs w:val="13"/>
                <w:color w:val="auto"/>
              </w:rPr>
              <w:t>-</w:t>
            </w:r>
          </w:p>
        </w:tc>
        <w:tc>
          <w:tcPr>
            <w:tcW w:w="20" w:type="dxa"/>
            <w:vAlign w:val="bottom"/>
            <w:vMerge w:val="restart"/>
          </w:tcPr>
          <w:p>
            <w:pPr>
              <w:jc w:val="right"/>
              <w:spacing w:after="0"/>
              <w:rPr>
                <w:sz w:val="20"/>
                <w:szCs w:val="20"/>
                <w:color w:val="auto"/>
              </w:rPr>
            </w:pPr>
            <w:r>
              <w:rPr>
                <w:rFonts w:ascii="Arial" w:cs="Arial" w:eastAsia="Arial" w:hAnsi="Arial"/>
                <w:sz w:val="1"/>
                <w:szCs w:val="1"/>
                <w:b w:val="1"/>
                <w:bCs w:val="1"/>
                <w:color w:val="auto"/>
                <w:w w:val="4294967281"/>
              </w:rPr>
              <w:t>)</w:t>
            </w:r>
          </w:p>
        </w:tc>
        <w:tc>
          <w:tcPr>
            <w:tcW w:w="0" w:type="dxa"/>
            <w:vAlign w:val="bottom"/>
          </w:tcPr>
          <w:p>
            <w:pPr>
              <w:spacing w:after="0"/>
              <w:rPr>
                <w:sz w:val="1"/>
                <w:szCs w:val="1"/>
                <w:color w:val="auto"/>
              </w:rPr>
            </w:pPr>
          </w:p>
        </w:tc>
      </w:tr>
      <w:tr>
        <w:trPr>
          <w:trHeight w:val="162"/>
        </w:trPr>
        <w:tc>
          <w:tcPr>
            <w:tcW w:w="1000" w:type="dxa"/>
            <w:vAlign w:val="bottom"/>
          </w:tcPr>
          <w:p>
            <w:pPr>
              <w:jc w:val="right"/>
              <w:spacing w:after="0"/>
              <w:rPr>
                <w:sz w:val="20"/>
                <w:szCs w:val="20"/>
                <w:color w:val="auto"/>
              </w:rPr>
            </w:pPr>
            <w:r>
              <w:rPr>
                <w:rFonts w:ascii="Arial" w:cs="Arial" w:eastAsia="Arial" w:hAnsi="Arial"/>
                <w:sz w:val="13"/>
                <w:szCs w:val="13"/>
                <w:b w:val="1"/>
                <w:bCs w:val="1"/>
                <w:color w:val="auto"/>
              </w:rPr>
              <w:t>(439</w:t>
            </w:r>
          </w:p>
        </w:tc>
        <w:tc>
          <w:tcPr>
            <w:tcW w:w="120" w:type="dxa"/>
            <w:vAlign w:val="bottom"/>
            <w:vMerge w:val="continue"/>
          </w:tcPr>
          <w:p>
            <w:pPr>
              <w:spacing w:after="0"/>
              <w:rPr>
                <w:sz w:val="14"/>
                <w:szCs w:val="14"/>
                <w:color w:val="auto"/>
              </w:rPr>
            </w:pPr>
          </w:p>
        </w:tc>
        <w:tc>
          <w:tcPr>
            <w:tcW w:w="100" w:type="dxa"/>
            <w:vAlign w:val="bottom"/>
          </w:tcPr>
          <w:p>
            <w:pPr>
              <w:spacing w:after="0"/>
              <w:rPr>
                <w:sz w:val="14"/>
                <w:szCs w:val="14"/>
                <w:color w:val="auto"/>
              </w:rPr>
            </w:pPr>
          </w:p>
        </w:tc>
        <w:tc>
          <w:tcPr>
            <w:tcW w:w="31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80" w:type="dxa"/>
            <w:vAlign w:val="bottom"/>
          </w:tcPr>
          <w:p>
            <w:pPr>
              <w:jc w:val="right"/>
              <w:spacing w:after="0"/>
              <w:rPr>
                <w:sz w:val="20"/>
                <w:szCs w:val="20"/>
                <w:color w:val="auto"/>
              </w:rPr>
            </w:pPr>
            <w:r>
              <w:rPr>
                <w:rFonts w:ascii="Arial" w:cs="Arial" w:eastAsia="Arial" w:hAnsi="Arial"/>
                <w:sz w:val="13"/>
                <w:szCs w:val="13"/>
                <w:b w:val="1"/>
                <w:bCs w:val="1"/>
                <w:color w:val="auto"/>
              </w:rPr>
              <w:t>6,018</w:t>
            </w:r>
          </w:p>
        </w:tc>
        <w:tc>
          <w:tcPr>
            <w:tcW w:w="200" w:type="dxa"/>
            <w:vAlign w:val="bottom"/>
          </w:tcPr>
          <w:p>
            <w:pPr>
              <w:spacing w:after="0"/>
              <w:rPr>
                <w:sz w:val="14"/>
                <w:szCs w:val="14"/>
                <w:color w:val="auto"/>
              </w:rPr>
            </w:pPr>
          </w:p>
        </w:tc>
        <w:tc>
          <w:tcPr>
            <w:tcW w:w="1220" w:type="dxa"/>
            <w:vAlign w:val="bottom"/>
            <w:gridSpan w:val="2"/>
          </w:tcPr>
          <w:p>
            <w:pPr>
              <w:jc w:val="right"/>
              <w:ind w:right="20"/>
              <w:spacing w:after="0"/>
              <w:rPr>
                <w:sz w:val="20"/>
                <w:szCs w:val="20"/>
                <w:color w:val="auto"/>
              </w:rPr>
            </w:pPr>
            <w:r>
              <w:rPr>
                <w:rFonts w:ascii="Arial" w:cs="Arial" w:eastAsia="Arial" w:hAnsi="Arial"/>
                <w:sz w:val="13"/>
                <w:szCs w:val="13"/>
                <w:b w:val="1"/>
                <w:bCs w:val="1"/>
                <w:color w:val="auto"/>
              </w:rPr>
              <w:t>(1,352</w:t>
            </w:r>
          </w:p>
        </w:tc>
        <w:tc>
          <w:tcPr>
            <w:tcW w:w="20" w:type="dxa"/>
            <w:vAlign w:val="bottom"/>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471"/>
        </w:trPr>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color w:val="auto"/>
              </w:rPr>
              <w:t>-</w:t>
            </w: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1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980" w:type="dxa"/>
            <w:vAlign w:val="bottom"/>
            <w:tcBorders>
              <w:top w:val="single" w:sz="8" w:color="auto"/>
            </w:tcBorders>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Borders>
              <w:top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62"/>
        </w:trPr>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w:t>
            </w:r>
          </w:p>
        </w:tc>
        <w:tc>
          <w:tcPr>
            <w:tcW w:w="1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31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-2496185</wp:posOffset>
            </wp:positionH>
            <wp:positionV relativeFrom="paragraph">
              <wp:posOffset>-1447800</wp:posOffset>
            </wp:positionV>
            <wp:extent cx="6918960" cy="104140"/>
            <wp:wrapNone/>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270">
                      <a:extLst>
                        <a:ext uri="{28A0092B-C50C-407E-A947-70E740481C1C}"/>
                      </a:extLst>
                    </a:blip>
                    <a:srcRect/>
                    <a:stretch>
                      <a:fillRect/>
                    </a:stretch>
                  </pic:blipFill>
                  <pic:spPr bwMode="auto">
                    <a:xfrm>
                      <a:off x="0" y="0"/>
                      <a:ext cx="6918960" cy="104140"/>
                    </a:xfrm>
                    <a:prstGeom prst="rect">
                      <a:avLst/>
                    </a:prstGeom>
                    <a:noFill/>
                  </pic:spPr>
                </pic:pic>
              </a:graphicData>
            </a:graphic>
          </wp:anchor>
        </w:drawing>
        <w:drawing>
          <wp:anchor simplePos="0" relativeHeight="251657728" behindDoc="1" locked="0" layoutInCell="0" allowOverlap="1">
            <wp:simplePos x="0" y="0"/>
            <wp:positionH relativeFrom="column">
              <wp:posOffset>-2496185</wp:posOffset>
            </wp:positionH>
            <wp:positionV relativeFrom="paragraph">
              <wp:posOffset>-1246505</wp:posOffset>
            </wp:positionV>
            <wp:extent cx="6918960" cy="97790"/>
            <wp:wrapNone/>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271">
                      <a:extLst>
                        <a:ext uri="{28A0092B-C50C-407E-A947-70E740481C1C}"/>
                      </a:extLst>
                    </a:blip>
                    <a:srcRect/>
                    <a:stretch>
                      <a:fillRect/>
                    </a:stretch>
                  </pic:blipFill>
                  <pic:spPr bwMode="auto">
                    <a:xfrm>
                      <a:off x="0" y="0"/>
                      <a:ext cx="6918960" cy="97790"/>
                    </a:xfrm>
                    <a:prstGeom prst="rect">
                      <a:avLst/>
                    </a:prstGeom>
                    <a:noFill/>
                  </pic:spPr>
                </pic:pic>
              </a:graphicData>
            </a:graphic>
          </wp:anchor>
        </w:drawing>
        <w:drawing>
          <wp:anchor simplePos="0" relativeHeight="251657728" behindDoc="1" locked="0" layoutInCell="0" allowOverlap="1">
            <wp:simplePos x="0" y="0"/>
            <wp:positionH relativeFrom="column">
              <wp:posOffset>-2496185</wp:posOffset>
            </wp:positionH>
            <wp:positionV relativeFrom="paragraph">
              <wp:posOffset>-1050925</wp:posOffset>
            </wp:positionV>
            <wp:extent cx="6918960" cy="97790"/>
            <wp:wrapNone/>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272">
                      <a:extLst>
                        <a:ext uri="{28A0092B-C50C-407E-A947-70E740481C1C}"/>
                      </a:extLst>
                    </a:blip>
                    <a:srcRect/>
                    <a:stretch>
                      <a:fillRect/>
                    </a:stretch>
                  </pic:blipFill>
                  <pic:spPr bwMode="auto">
                    <a:xfrm>
                      <a:off x="0" y="0"/>
                      <a:ext cx="6918960" cy="97790"/>
                    </a:xfrm>
                    <a:prstGeom prst="rect">
                      <a:avLst/>
                    </a:prstGeom>
                    <a:noFill/>
                  </pic:spPr>
                </pic:pic>
              </a:graphicData>
            </a:graphic>
          </wp:anchor>
        </w:drawing>
        <w:drawing>
          <wp:anchor simplePos="0" relativeHeight="251657728" behindDoc="1" locked="0" layoutInCell="0" allowOverlap="1">
            <wp:simplePos x="0" y="0"/>
            <wp:positionH relativeFrom="column">
              <wp:posOffset>-2496185</wp:posOffset>
            </wp:positionH>
            <wp:positionV relativeFrom="paragraph">
              <wp:posOffset>-855345</wp:posOffset>
            </wp:positionV>
            <wp:extent cx="6918960" cy="97790"/>
            <wp:wrapNone/>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273">
                      <a:extLst>
                        <a:ext uri="{28A0092B-C50C-407E-A947-70E740481C1C}"/>
                      </a:extLst>
                    </a:blip>
                    <a:srcRect/>
                    <a:stretch>
                      <a:fillRect/>
                    </a:stretch>
                  </pic:blipFill>
                  <pic:spPr bwMode="auto">
                    <a:xfrm>
                      <a:off x="0" y="0"/>
                      <a:ext cx="6918960" cy="97790"/>
                    </a:xfrm>
                    <a:prstGeom prst="rect">
                      <a:avLst/>
                    </a:prstGeom>
                    <a:noFill/>
                  </pic:spPr>
                </pic:pic>
              </a:graphicData>
            </a:graphic>
          </wp:anchor>
        </w:drawing>
        <w:drawing>
          <wp:anchor simplePos="0" relativeHeight="251657728" behindDoc="1" locked="0" layoutInCell="0" allowOverlap="1">
            <wp:simplePos x="0" y="0"/>
            <wp:positionH relativeFrom="column">
              <wp:posOffset>-2496185</wp:posOffset>
            </wp:positionH>
            <wp:positionV relativeFrom="paragraph">
              <wp:posOffset>-659765</wp:posOffset>
            </wp:positionV>
            <wp:extent cx="6918960" cy="104140"/>
            <wp:wrapNone/>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274">
                      <a:extLst>
                        <a:ext uri="{28A0092B-C50C-407E-A947-70E740481C1C}"/>
                      </a:extLst>
                    </a:blip>
                    <a:srcRect/>
                    <a:stretch>
                      <a:fillRect/>
                    </a:stretch>
                  </pic:blipFill>
                  <pic:spPr bwMode="auto">
                    <a:xfrm>
                      <a:off x="0" y="0"/>
                      <a:ext cx="6918960" cy="104140"/>
                    </a:xfrm>
                    <a:prstGeom prst="rect">
                      <a:avLst/>
                    </a:prstGeom>
                    <a:noFill/>
                  </pic:spPr>
                </pic:pic>
              </a:graphicData>
            </a:graphic>
          </wp:anchor>
        </w:drawing>
        <w:drawing>
          <wp:anchor simplePos="0" relativeHeight="251657728" behindDoc="1" locked="0" layoutInCell="0" allowOverlap="1">
            <wp:simplePos x="0" y="0"/>
            <wp:positionH relativeFrom="column">
              <wp:posOffset>-2496185</wp:posOffset>
            </wp:positionH>
            <wp:positionV relativeFrom="paragraph">
              <wp:posOffset>-439420</wp:posOffset>
            </wp:positionV>
            <wp:extent cx="6918960" cy="109855"/>
            <wp:wrapNone/>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275">
                      <a:extLst>
                        <a:ext uri="{28A0092B-C50C-407E-A947-70E740481C1C}"/>
                      </a:extLst>
                    </a:blip>
                    <a:srcRect/>
                    <a:stretch>
                      <a:fillRect/>
                    </a:stretch>
                  </pic:blipFill>
                  <pic:spPr bwMode="auto">
                    <a:xfrm>
                      <a:off x="0" y="0"/>
                      <a:ext cx="6918960" cy="109855"/>
                    </a:xfrm>
                    <a:prstGeom prst="rect">
                      <a:avLst/>
                    </a:prstGeom>
                    <a:noFill/>
                  </pic:spPr>
                </pic:pic>
              </a:graphicData>
            </a:graphic>
          </wp:anchor>
        </w:drawing>
        <w:drawing>
          <wp:anchor simplePos="0" relativeHeight="251657728" behindDoc="1" locked="0" layoutInCell="0" allowOverlap="1">
            <wp:simplePos x="0" y="0"/>
            <wp:positionH relativeFrom="column">
              <wp:posOffset>-2496185</wp:posOffset>
            </wp:positionH>
            <wp:positionV relativeFrom="paragraph">
              <wp:posOffset>-231775</wp:posOffset>
            </wp:positionV>
            <wp:extent cx="6918960" cy="104140"/>
            <wp:wrapNone/>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276">
                      <a:extLst>
                        <a:ext uri="{28A0092B-C50C-407E-A947-70E740481C1C}"/>
                      </a:extLst>
                    </a:blip>
                    <a:srcRect/>
                    <a:stretch>
                      <a:fillRect/>
                    </a:stretch>
                  </pic:blipFill>
                  <pic:spPr bwMode="auto">
                    <a:xfrm>
                      <a:off x="0" y="0"/>
                      <a:ext cx="6918960" cy="10414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3443" w:space="720"/>
            <w:col w:w="6900"/>
          </w:cols>
          <w:pgMar w:left="217" w:top="685" w:right="619" w:bottom="1440" w:gutter="0" w:footer="0" w:header="0"/>
          <w:type w:val="continuous"/>
        </w:sectPr>
      </w:pPr>
    </w:p>
    <w:p>
      <w:pPr>
        <w:spacing w:after="0" w:line="99" w:lineRule="exact"/>
        <w:rPr>
          <w:sz w:val="20"/>
          <w:szCs w:val="20"/>
          <w:color w:val="auto"/>
        </w:rPr>
      </w:pPr>
    </w:p>
    <w:p>
      <w:pPr>
        <w:jc w:val="center"/>
        <w:ind w:right="-422"/>
        <w:spacing w:after="0"/>
        <w:rPr>
          <w:sz w:val="20"/>
          <w:szCs w:val="20"/>
          <w:color w:val="auto"/>
        </w:rPr>
      </w:pPr>
      <w:r>
        <w:rPr>
          <w:rFonts w:ascii="Arial" w:cs="Arial" w:eastAsia="Arial" w:hAnsi="Arial"/>
          <w:sz w:val="11"/>
          <w:szCs w:val="11"/>
          <w:color w:val="auto"/>
        </w:rPr>
        <w:t>F-56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29210</wp:posOffset>
            </wp:positionV>
            <wp:extent cx="7285990" cy="6350"/>
            <wp:wrapNone/>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7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063"/>
          </w:cols>
          <w:pgMar w:left="217" w:top="685" w:right="619" w:bottom="1440" w:gutter="0" w:footer="0" w:header="0"/>
          <w:type w:val="continuous"/>
        </w:sectPr>
      </w:pPr>
    </w:p>
    <w:bookmarkStart w:id="181" w:name="page182"/>
    <w:bookmarkEnd w:id="181"/>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27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144"/>
        </w:numPr>
        <w:rPr>
          <w:rFonts w:ascii="Arial" w:cs="Arial" w:eastAsia="Arial" w:hAnsi="Arial"/>
          <w:sz w:val="13"/>
          <w:szCs w:val="13"/>
          <w:b w:val="1"/>
          <w:bCs w:val="1"/>
          <w:color w:val="auto"/>
        </w:rPr>
      </w:pPr>
      <w:r>
        <w:rPr>
          <w:rFonts w:ascii="Arial" w:cs="Arial" w:eastAsia="Arial" w:hAnsi="Arial"/>
          <w:sz w:val="13"/>
          <w:szCs w:val="13"/>
          <w:b w:val="1"/>
          <w:bCs w:val="1"/>
          <w:color w:val="auto"/>
        </w:rPr>
        <w:t>Derivative financial instruments (continued)</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2"/>
          <w:szCs w:val="12"/>
          <w:color w:val="auto"/>
        </w:rPr>
        <w:t>For the agreements qualifying as fair value hedge, the Bank recognized the gain or loss on the derivative financial instruments and the gain or loss of the hedged asset or liability in profit or loss as follows:</w:t>
      </w:r>
    </w:p>
    <w:p>
      <w:pPr>
        <w:spacing w:after="0" w:line="176" w:lineRule="exact"/>
        <w:rPr>
          <w:sz w:val="20"/>
          <w:szCs w:val="20"/>
          <w:color w:val="auto"/>
        </w:rPr>
      </w:pPr>
    </w:p>
    <w:tbl>
      <w:tblPr>
        <w:tblLayout w:type="fixed"/>
        <w:tblInd w:w="3" w:type="dxa"/>
        <w:tblCellMar>
          <w:top w:w="0" w:type="dxa"/>
          <w:left w:w="0" w:type="dxa"/>
          <w:bottom w:w="0" w:type="dxa"/>
          <w:right w:w="0" w:type="dxa"/>
        </w:tblCellMar>
      </w:tblPr>
      <w:tr>
        <w:trPr>
          <w:trHeight w:val="167"/>
        </w:trPr>
        <w:tc>
          <w:tcPr>
            <w:tcW w:w="220" w:type="dxa"/>
            <w:vAlign w:val="bottom"/>
          </w:tcPr>
          <w:p>
            <w:pPr>
              <w:spacing w:after="0"/>
              <w:rPr>
                <w:sz w:val="14"/>
                <w:szCs w:val="14"/>
                <w:color w:val="auto"/>
              </w:rPr>
            </w:pPr>
          </w:p>
        </w:tc>
        <w:tc>
          <w:tcPr>
            <w:tcW w:w="3940" w:type="dxa"/>
            <w:vAlign w:val="bottom"/>
          </w:tcPr>
          <w:p>
            <w:pPr>
              <w:spacing w:after="0"/>
              <w:rPr>
                <w:sz w:val="14"/>
                <w:szCs w:val="14"/>
                <w:color w:val="auto"/>
              </w:rPr>
            </w:pPr>
          </w:p>
        </w:tc>
        <w:tc>
          <w:tcPr>
            <w:tcW w:w="274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400" w:type="dxa"/>
            <w:vAlign w:val="bottom"/>
            <w:tcBorders>
              <w:bottom w:val="single" w:sz="8" w:color="auto"/>
            </w:tcBorders>
            <w:gridSpan w:val="2"/>
          </w:tcPr>
          <w:p>
            <w:pPr>
              <w:jc w:val="right"/>
              <w:ind w:right="196"/>
              <w:spacing w:after="0"/>
              <w:rPr>
                <w:sz w:val="20"/>
                <w:szCs w:val="20"/>
                <w:color w:val="auto"/>
              </w:rPr>
            </w:pPr>
            <w:r>
              <w:rPr>
                <w:rFonts w:ascii="Arial" w:cs="Arial" w:eastAsia="Arial" w:hAnsi="Arial"/>
                <w:sz w:val="13"/>
                <w:szCs w:val="13"/>
                <w:b w:val="1"/>
                <w:bCs w:val="1"/>
                <w:color w:val="auto"/>
                <w:w w:val="95"/>
              </w:rPr>
              <w:t>December 31, 2018</w:t>
            </w:r>
          </w:p>
        </w:tc>
        <w:tc>
          <w:tcPr>
            <w:tcW w:w="120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20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360" w:type="dxa"/>
            <w:vAlign w:val="bottom"/>
          </w:tcPr>
          <w:p>
            <w:pPr>
              <w:spacing w:after="0"/>
              <w:rPr>
                <w:sz w:val="14"/>
                <w:szCs w:val="14"/>
                <w:color w:val="auto"/>
              </w:rPr>
            </w:pPr>
          </w:p>
        </w:tc>
      </w:tr>
      <w:tr>
        <w:trPr>
          <w:trHeight w:val="131"/>
        </w:trPr>
        <w:tc>
          <w:tcPr>
            <w:tcW w:w="220" w:type="dxa"/>
            <w:vAlign w:val="bottom"/>
          </w:tcPr>
          <w:p>
            <w:pPr>
              <w:spacing w:after="0"/>
              <w:rPr>
                <w:sz w:val="11"/>
                <w:szCs w:val="11"/>
                <w:color w:val="auto"/>
              </w:rPr>
            </w:pPr>
          </w:p>
        </w:tc>
        <w:tc>
          <w:tcPr>
            <w:tcW w:w="3940" w:type="dxa"/>
            <w:vAlign w:val="bottom"/>
          </w:tcPr>
          <w:p>
            <w:pPr>
              <w:spacing w:after="0"/>
              <w:rPr>
                <w:sz w:val="11"/>
                <w:szCs w:val="11"/>
                <w:color w:val="auto"/>
              </w:rPr>
            </w:pPr>
          </w:p>
        </w:tc>
        <w:tc>
          <w:tcPr>
            <w:tcW w:w="2860" w:type="dxa"/>
            <w:vAlign w:val="bottom"/>
            <w:gridSpan w:val="2"/>
          </w:tcPr>
          <w:p>
            <w:pPr>
              <w:jc w:val="center"/>
              <w:ind w:right="100"/>
              <w:spacing w:after="0" w:line="131" w:lineRule="exact"/>
              <w:rPr>
                <w:sz w:val="20"/>
                <w:szCs w:val="20"/>
                <w:color w:val="auto"/>
              </w:rPr>
            </w:pPr>
            <w:r>
              <w:rPr>
                <w:rFonts w:ascii="Arial" w:cs="Arial" w:eastAsia="Arial" w:hAnsi="Arial"/>
                <w:sz w:val="13"/>
                <w:szCs w:val="13"/>
                <w:b w:val="1"/>
                <w:bCs w:val="1"/>
                <w:color w:val="auto"/>
                <w:w w:val="87"/>
              </w:rPr>
              <w:t>Classification in consolidated</w:t>
            </w:r>
          </w:p>
        </w:tc>
        <w:tc>
          <w:tcPr>
            <w:tcW w:w="1400" w:type="dxa"/>
            <w:vAlign w:val="bottom"/>
            <w:gridSpan w:val="2"/>
          </w:tcPr>
          <w:p>
            <w:pPr>
              <w:jc w:val="right"/>
              <w:ind w:right="376"/>
              <w:spacing w:after="0" w:line="131" w:lineRule="exact"/>
              <w:rPr>
                <w:sz w:val="20"/>
                <w:szCs w:val="20"/>
                <w:color w:val="auto"/>
              </w:rPr>
            </w:pPr>
            <w:r>
              <w:rPr>
                <w:rFonts w:ascii="Arial" w:cs="Arial" w:eastAsia="Arial" w:hAnsi="Arial"/>
                <w:sz w:val="13"/>
                <w:szCs w:val="13"/>
                <w:b w:val="1"/>
                <w:bCs w:val="1"/>
                <w:color w:val="auto"/>
              </w:rPr>
              <w:t>Gain (loss) on</w:t>
            </w:r>
          </w:p>
        </w:tc>
        <w:tc>
          <w:tcPr>
            <w:tcW w:w="1400" w:type="dxa"/>
            <w:vAlign w:val="bottom"/>
            <w:gridSpan w:val="2"/>
          </w:tcPr>
          <w:p>
            <w:pPr>
              <w:jc w:val="right"/>
              <w:ind w:right="403"/>
              <w:spacing w:after="0" w:line="131" w:lineRule="exact"/>
              <w:rPr>
                <w:sz w:val="20"/>
                <w:szCs w:val="20"/>
                <w:color w:val="auto"/>
              </w:rPr>
            </w:pPr>
            <w:r>
              <w:rPr>
                <w:rFonts w:ascii="Arial" w:cs="Arial" w:eastAsia="Arial" w:hAnsi="Arial"/>
                <w:sz w:val="13"/>
                <w:szCs w:val="13"/>
                <w:b w:val="1"/>
                <w:bCs w:val="1"/>
                <w:color w:val="auto"/>
              </w:rPr>
              <w:t>Gain (loss) on</w:t>
            </w:r>
          </w:p>
        </w:tc>
        <w:tc>
          <w:tcPr>
            <w:tcW w:w="12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60" w:type="dxa"/>
            <w:vAlign w:val="bottom"/>
          </w:tcPr>
          <w:p>
            <w:pPr>
              <w:spacing w:after="0"/>
              <w:rPr>
                <w:sz w:val="11"/>
                <w:szCs w:val="11"/>
                <w:color w:val="auto"/>
              </w:rPr>
            </w:pPr>
          </w:p>
        </w:tc>
      </w:tr>
      <w:tr>
        <w:trPr>
          <w:trHeight w:val="167"/>
        </w:trPr>
        <w:tc>
          <w:tcPr>
            <w:tcW w:w="220" w:type="dxa"/>
            <w:vAlign w:val="bottom"/>
          </w:tcPr>
          <w:p>
            <w:pPr>
              <w:spacing w:after="0"/>
              <w:rPr>
                <w:sz w:val="14"/>
                <w:szCs w:val="14"/>
                <w:color w:val="auto"/>
              </w:rPr>
            </w:pPr>
          </w:p>
        </w:tc>
        <w:tc>
          <w:tcPr>
            <w:tcW w:w="3940" w:type="dxa"/>
            <w:vAlign w:val="bottom"/>
          </w:tcPr>
          <w:p>
            <w:pPr>
              <w:spacing w:after="0"/>
              <w:rPr>
                <w:sz w:val="14"/>
                <w:szCs w:val="14"/>
                <w:color w:val="auto"/>
              </w:rPr>
            </w:pPr>
          </w:p>
        </w:tc>
        <w:tc>
          <w:tcPr>
            <w:tcW w:w="286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7"/>
              </w:rPr>
              <w:t>statement of profit or loss</w:t>
            </w:r>
          </w:p>
        </w:tc>
        <w:tc>
          <w:tcPr>
            <w:tcW w:w="1400" w:type="dxa"/>
            <w:vAlign w:val="bottom"/>
            <w:gridSpan w:val="2"/>
          </w:tcPr>
          <w:p>
            <w:pPr>
              <w:jc w:val="center"/>
              <w:ind w:right="136"/>
              <w:spacing w:after="0"/>
              <w:rPr>
                <w:sz w:val="20"/>
                <w:szCs w:val="20"/>
                <w:color w:val="auto"/>
              </w:rPr>
            </w:pPr>
            <w:r>
              <w:rPr>
                <w:rFonts w:ascii="Arial" w:cs="Arial" w:eastAsia="Arial" w:hAnsi="Arial"/>
                <w:sz w:val="13"/>
                <w:szCs w:val="13"/>
                <w:b w:val="1"/>
                <w:bCs w:val="1"/>
                <w:color w:val="auto"/>
                <w:w w:val="88"/>
              </w:rPr>
              <w:t>derivatives</w:t>
            </w:r>
          </w:p>
        </w:tc>
        <w:tc>
          <w:tcPr>
            <w:tcW w:w="1400" w:type="dxa"/>
            <w:vAlign w:val="bottom"/>
            <w:gridSpan w:val="2"/>
          </w:tcPr>
          <w:p>
            <w:pPr>
              <w:jc w:val="right"/>
              <w:ind w:right="443"/>
              <w:spacing w:after="0"/>
              <w:rPr>
                <w:sz w:val="20"/>
                <w:szCs w:val="20"/>
                <w:color w:val="auto"/>
              </w:rPr>
            </w:pPr>
            <w:r>
              <w:rPr>
                <w:rFonts w:ascii="Arial" w:cs="Arial" w:eastAsia="Arial" w:hAnsi="Arial"/>
                <w:sz w:val="13"/>
                <w:szCs w:val="13"/>
                <w:b w:val="1"/>
                <w:bCs w:val="1"/>
                <w:color w:val="auto"/>
              </w:rPr>
              <w:t>hedged item</w:t>
            </w:r>
          </w:p>
        </w:tc>
        <w:tc>
          <w:tcPr>
            <w:tcW w:w="1300" w:type="dxa"/>
            <w:vAlign w:val="bottom"/>
            <w:gridSpan w:val="2"/>
          </w:tcPr>
          <w:p>
            <w:pPr>
              <w:jc w:val="right"/>
              <w:ind w:right="263"/>
              <w:spacing w:after="0"/>
              <w:rPr>
                <w:sz w:val="20"/>
                <w:szCs w:val="20"/>
                <w:color w:val="auto"/>
              </w:rPr>
            </w:pPr>
            <w:r>
              <w:rPr>
                <w:rFonts w:ascii="Arial" w:cs="Arial" w:eastAsia="Arial" w:hAnsi="Arial"/>
                <w:sz w:val="13"/>
                <w:szCs w:val="13"/>
                <w:b w:val="1"/>
                <w:bCs w:val="1"/>
                <w:color w:val="auto"/>
              </w:rPr>
              <w:t>Net gain (loss)</w:t>
            </w:r>
          </w:p>
        </w:tc>
        <w:tc>
          <w:tcPr>
            <w:tcW w:w="360" w:type="dxa"/>
            <w:vAlign w:val="bottom"/>
          </w:tcPr>
          <w:p>
            <w:pPr>
              <w:spacing w:after="0"/>
              <w:rPr>
                <w:sz w:val="14"/>
                <w:szCs w:val="14"/>
                <w:color w:val="auto"/>
              </w:rPr>
            </w:pPr>
          </w:p>
        </w:tc>
      </w:tr>
      <w:tr>
        <w:trPr>
          <w:trHeight w:val="144"/>
        </w:trPr>
        <w:tc>
          <w:tcPr>
            <w:tcW w:w="220" w:type="dxa"/>
            <w:vAlign w:val="bottom"/>
          </w:tcPr>
          <w:p>
            <w:pPr>
              <w:spacing w:after="0"/>
              <w:rPr>
                <w:sz w:val="12"/>
                <w:szCs w:val="12"/>
                <w:color w:val="auto"/>
              </w:rPr>
            </w:pPr>
          </w:p>
        </w:tc>
        <w:tc>
          <w:tcPr>
            <w:tcW w:w="3940" w:type="dxa"/>
            <w:vAlign w:val="bottom"/>
            <w:tcBorders>
              <w:top w:val="single" w:sz="8" w:color="CCEEFF"/>
            </w:tcBorders>
            <w:shd w:val="clear" w:color="auto" w:fill="CCEEFF"/>
          </w:tcPr>
          <w:p>
            <w:pPr>
              <w:ind w:left="20"/>
              <w:spacing w:after="0" w:line="144" w:lineRule="exact"/>
              <w:rPr>
                <w:sz w:val="20"/>
                <w:szCs w:val="20"/>
                <w:color w:val="auto"/>
              </w:rPr>
            </w:pPr>
            <w:r>
              <w:rPr>
                <w:rFonts w:ascii="Arial" w:cs="Arial" w:eastAsia="Arial" w:hAnsi="Arial"/>
                <w:sz w:val="13"/>
                <w:szCs w:val="13"/>
                <w:b w:val="1"/>
                <w:bCs w:val="1"/>
                <w:color w:val="auto"/>
              </w:rPr>
              <w:t>Derivatives – fair value hedge</w:t>
            </w:r>
          </w:p>
        </w:tc>
        <w:tc>
          <w:tcPr>
            <w:tcW w:w="274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360" w:type="dxa"/>
            <w:vAlign w:val="bottom"/>
          </w:tcPr>
          <w:p>
            <w:pPr>
              <w:spacing w:after="0"/>
              <w:rPr>
                <w:sz w:val="12"/>
                <w:szCs w:val="12"/>
                <w:color w:val="auto"/>
              </w:rPr>
            </w:pPr>
          </w:p>
        </w:tc>
      </w:tr>
      <w:tr>
        <w:trPr>
          <w:trHeight w:val="154"/>
        </w:trPr>
        <w:tc>
          <w:tcPr>
            <w:tcW w:w="220" w:type="dxa"/>
            <w:vAlign w:val="bottom"/>
          </w:tcPr>
          <w:p>
            <w:pPr>
              <w:spacing w:after="0"/>
              <w:rPr>
                <w:sz w:val="13"/>
                <w:szCs w:val="13"/>
                <w:color w:val="auto"/>
              </w:rPr>
            </w:pPr>
          </w:p>
        </w:tc>
        <w:tc>
          <w:tcPr>
            <w:tcW w:w="3940" w:type="dxa"/>
            <w:vAlign w:val="bottom"/>
          </w:tcPr>
          <w:p>
            <w:pPr>
              <w:spacing w:after="0"/>
              <w:rPr>
                <w:sz w:val="20"/>
                <w:szCs w:val="20"/>
                <w:color w:val="auto"/>
              </w:rPr>
            </w:pPr>
            <w:r>
              <w:rPr>
                <w:rFonts w:ascii="Arial" w:cs="Arial" w:eastAsia="Arial" w:hAnsi="Arial"/>
                <w:sz w:val="13"/>
                <w:szCs w:val="13"/>
                <w:color w:val="auto"/>
              </w:rPr>
              <w:t>Interest rate swaps</w:t>
            </w:r>
          </w:p>
        </w:tc>
        <w:tc>
          <w:tcPr>
            <w:tcW w:w="2860" w:type="dxa"/>
            <w:vAlign w:val="bottom"/>
            <w:gridSpan w:val="2"/>
          </w:tcPr>
          <w:p>
            <w:pPr>
              <w:spacing w:after="0"/>
              <w:rPr>
                <w:sz w:val="20"/>
                <w:szCs w:val="20"/>
                <w:color w:val="auto"/>
              </w:rPr>
            </w:pPr>
            <w:r>
              <w:rPr>
                <w:rFonts w:ascii="Arial" w:cs="Arial" w:eastAsia="Arial" w:hAnsi="Arial"/>
                <w:sz w:val="13"/>
                <w:szCs w:val="13"/>
                <w:color w:val="auto"/>
              </w:rPr>
              <w:t>Interest income – securities FVOCI</w:t>
            </w:r>
          </w:p>
        </w:tc>
        <w:tc>
          <w:tcPr>
            <w:tcW w:w="1400" w:type="dxa"/>
            <w:vAlign w:val="bottom"/>
            <w:gridSpan w:val="2"/>
          </w:tcPr>
          <w:p>
            <w:pPr>
              <w:jc w:val="right"/>
              <w:ind w:right="96"/>
              <w:spacing w:after="0"/>
              <w:rPr>
                <w:sz w:val="20"/>
                <w:szCs w:val="20"/>
                <w:color w:val="auto"/>
              </w:rPr>
            </w:pPr>
            <w:r>
              <w:rPr>
                <w:rFonts w:ascii="Arial" w:cs="Arial" w:eastAsia="Arial" w:hAnsi="Arial"/>
                <w:sz w:val="13"/>
                <w:szCs w:val="13"/>
                <w:color w:val="auto"/>
              </w:rPr>
              <w:t>(4)</w:t>
            </w:r>
          </w:p>
        </w:tc>
        <w:tc>
          <w:tcPr>
            <w:tcW w:w="1200" w:type="dxa"/>
            <w:vAlign w:val="bottom"/>
          </w:tcPr>
          <w:p>
            <w:pPr>
              <w:jc w:val="right"/>
              <w:spacing w:after="0"/>
              <w:rPr>
                <w:sz w:val="20"/>
                <w:szCs w:val="20"/>
                <w:color w:val="auto"/>
              </w:rPr>
            </w:pPr>
            <w:r>
              <w:rPr>
                <w:rFonts w:ascii="Arial" w:cs="Arial" w:eastAsia="Arial" w:hAnsi="Arial"/>
                <w:sz w:val="13"/>
                <w:szCs w:val="13"/>
                <w:color w:val="auto"/>
              </w:rPr>
              <w:t>388</w:t>
            </w:r>
          </w:p>
        </w:tc>
        <w:tc>
          <w:tcPr>
            <w:tcW w:w="200" w:type="dxa"/>
            <w:vAlign w:val="bottom"/>
          </w:tcPr>
          <w:p>
            <w:pPr>
              <w:spacing w:after="0"/>
              <w:rPr>
                <w:sz w:val="13"/>
                <w:szCs w:val="13"/>
                <w:color w:val="auto"/>
              </w:rPr>
            </w:pPr>
          </w:p>
        </w:tc>
        <w:tc>
          <w:tcPr>
            <w:tcW w:w="1300" w:type="dxa"/>
            <w:vAlign w:val="bottom"/>
            <w:gridSpan w:val="2"/>
          </w:tcPr>
          <w:p>
            <w:pPr>
              <w:jc w:val="right"/>
              <w:ind w:right="63"/>
              <w:spacing w:after="0"/>
              <w:rPr>
                <w:sz w:val="20"/>
                <w:szCs w:val="20"/>
                <w:color w:val="auto"/>
              </w:rPr>
            </w:pPr>
            <w:r>
              <w:rPr>
                <w:rFonts w:ascii="Arial" w:cs="Arial" w:eastAsia="Arial" w:hAnsi="Arial"/>
                <w:sz w:val="13"/>
                <w:szCs w:val="13"/>
                <w:color w:val="auto"/>
              </w:rPr>
              <w:t>384</w:t>
            </w:r>
          </w:p>
        </w:tc>
        <w:tc>
          <w:tcPr>
            <w:tcW w:w="36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3940" w:type="dxa"/>
            <w:vAlign w:val="bottom"/>
            <w:shd w:val="clear" w:color="auto" w:fill="CCEEFF"/>
          </w:tcPr>
          <w:p>
            <w:pPr>
              <w:spacing w:after="0"/>
              <w:rPr>
                <w:sz w:val="13"/>
                <w:szCs w:val="13"/>
                <w:color w:val="auto"/>
              </w:rPr>
            </w:pPr>
          </w:p>
        </w:tc>
        <w:tc>
          <w:tcPr>
            <w:tcW w:w="286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Interest income – loans</w:t>
            </w:r>
          </w:p>
        </w:tc>
        <w:tc>
          <w:tcPr>
            <w:tcW w:w="1400" w:type="dxa"/>
            <w:vAlign w:val="bottom"/>
            <w:gridSpan w:val="2"/>
            <w:shd w:val="clear" w:color="auto" w:fill="CCEEFF"/>
          </w:tcPr>
          <w:p>
            <w:pPr>
              <w:jc w:val="right"/>
              <w:ind w:right="96"/>
              <w:spacing w:after="0"/>
              <w:rPr>
                <w:sz w:val="20"/>
                <w:szCs w:val="20"/>
                <w:color w:val="auto"/>
              </w:rPr>
            </w:pPr>
            <w:r>
              <w:rPr>
                <w:rFonts w:ascii="Arial" w:cs="Arial" w:eastAsia="Arial" w:hAnsi="Arial"/>
                <w:sz w:val="13"/>
                <w:szCs w:val="13"/>
                <w:color w:val="auto"/>
              </w:rPr>
              <w:t>(134)</w:t>
            </w: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1,899</w:t>
            </w:r>
          </w:p>
        </w:tc>
        <w:tc>
          <w:tcPr>
            <w:tcW w:w="20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63"/>
              <w:spacing w:after="0"/>
              <w:rPr>
                <w:sz w:val="20"/>
                <w:szCs w:val="20"/>
                <w:color w:val="auto"/>
              </w:rPr>
            </w:pPr>
            <w:r>
              <w:rPr>
                <w:rFonts w:ascii="Arial" w:cs="Arial" w:eastAsia="Arial" w:hAnsi="Arial"/>
                <w:sz w:val="13"/>
                <w:szCs w:val="13"/>
                <w:color w:val="auto"/>
              </w:rPr>
              <w:t>1,765</w:t>
            </w:r>
          </w:p>
        </w:tc>
        <w:tc>
          <w:tcPr>
            <w:tcW w:w="36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3940" w:type="dxa"/>
            <w:vAlign w:val="bottom"/>
          </w:tcPr>
          <w:p>
            <w:pPr>
              <w:spacing w:after="0"/>
              <w:rPr>
                <w:sz w:val="13"/>
                <w:szCs w:val="13"/>
                <w:color w:val="auto"/>
              </w:rPr>
            </w:pPr>
          </w:p>
        </w:tc>
        <w:tc>
          <w:tcPr>
            <w:tcW w:w="2860" w:type="dxa"/>
            <w:vAlign w:val="bottom"/>
            <w:gridSpan w:val="2"/>
          </w:tcPr>
          <w:p>
            <w:pPr>
              <w:spacing w:after="0"/>
              <w:rPr>
                <w:sz w:val="20"/>
                <w:szCs w:val="20"/>
                <w:color w:val="auto"/>
              </w:rPr>
            </w:pPr>
            <w:r>
              <w:rPr>
                <w:rFonts w:ascii="Arial" w:cs="Arial" w:eastAsia="Arial" w:hAnsi="Arial"/>
                <w:sz w:val="13"/>
                <w:szCs w:val="13"/>
                <w:color w:val="auto"/>
              </w:rPr>
              <w:t>Interest expenses – borrowings and debt</w:t>
            </w:r>
          </w:p>
        </w:tc>
        <w:tc>
          <w:tcPr>
            <w:tcW w:w="1400" w:type="dxa"/>
            <w:vAlign w:val="bottom"/>
            <w:gridSpan w:val="2"/>
          </w:tcPr>
          <w:p>
            <w:pPr>
              <w:jc w:val="right"/>
              <w:ind w:right="96"/>
              <w:spacing w:after="0"/>
              <w:rPr>
                <w:sz w:val="20"/>
                <w:szCs w:val="20"/>
                <w:color w:val="auto"/>
              </w:rPr>
            </w:pPr>
            <w:r>
              <w:rPr>
                <w:rFonts w:ascii="Arial" w:cs="Arial" w:eastAsia="Arial" w:hAnsi="Arial"/>
                <w:sz w:val="13"/>
                <w:szCs w:val="13"/>
                <w:color w:val="auto"/>
              </w:rPr>
              <w:t>(2,192)</w:t>
            </w:r>
          </w:p>
        </w:tc>
        <w:tc>
          <w:tcPr>
            <w:tcW w:w="1400" w:type="dxa"/>
            <w:vAlign w:val="bottom"/>
            <w:gridSpan w:val="2"/>
          </w:tcPr>
          <w:p>
            <w:pPr>
              <w:jc w:val="right"/>
              <w:ind w:right="123"/>
              <w:spacing w:after="0"/>
              <w:rPr>
                <w:sz w:val="20"/>
                <w:szCs w:val="20"/>
                <w:color w:val="auto"/>
              </w:rPr>
            </w:pPr>
            <w:r>
              <w:rPr>
                <w:rFonts w:ascii="Arial" w:cs="Arial" w:eastAsia="Arial" w:hAnsi="Arial"/>
                <w:sz w:val="13"/>
                <w:szCs w:val="13"/>
                <w:color w:val="auto"/>
              </w:rPr>
              <w:t>(12,201)</w:t>
            </w:r>
          </w:p>
        </w:tc>
        <w:tc>
          <w:tcPr>
            <w:tcW w:w="1300" w:type="dxa"/>
            <w:vAlign w:val="bottom"/>
            <w:gridSpan w:val="2"/>
          </w:tcPr>
          <w:p>
            <w:pPr>
              <w:jc w:val="right"/>
              <w:ind w:right="23"/>
              <w:spacing w:after="0"/>
              <w:rPr>
                <w:sz w:val="20"/>
                <w:szCs w:val="20"/>
                <w:color w:val="auto"/>
              </w:rPr>
            </w:pPr>
            <w:r>
              <w:rPr>
                <w:rFonts w:ascii="Arial" w:cs="Arial" w:eastAsia="Arial" w:hAnsi="Arial"/>
                <w:sz w:val="13"/>
                <w:szCs w:val="13"/>
                <w:color w:val="auto"/>
              </w:rPr>
              <w:t>(14,393)</w:t>
            </w:r>
          </w:p>
        </w:tc>
        <w:tc>
          <w:tcPr>
            <w:tcW w:w="36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3940" w:type="dxa"/>
            <w:vAlign w:val="bottom"/>
            <w:shd w:val="clear" w:color="auto" w:fill="CCEEFF"/>
          </w:tcPr>
          <w:p>
            <w:pPr>
              <w:spacing w:after="0"/>
              <w:rPr>
                <w:sz w:val="13"/>
                <w:szCs w:val="13"/>
                <w:color w:val="auto"/>
              </w:rPr>
            </w:pPr>
          </w:p>
        </w:tc>
        <w:tc>
          <w:tcPr>
            <w:tcW w:w="286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Derivative financial instruments</w:t>
            </w:r>
          </w:p>
        </w:tc>
        <w:tc>
          <w:tcPr>
            <w:tcW w:w="1400" w:type="dxa"/>
            <w:vAlign w:val="bottom"/>
            <w:gridSpan w:val="2"/>
            <w:shd w:val="clear" w:color="auto" w:fill="CCEEFF"/>
          </w:tcPr>
          <w:p>
            <w:pPr>
              <w:jc w:val="right"/>
              <w:ind w:right="96"/>
              <w:spacing w:after="0"/>
              <w:rPr>
                <w:sz w:val="20"/>
                <w:szCs w:val="20"/>
                <w:color w:val="auto"/>
              </w:rPr>
            </w:pPr>
            <w:r>
              <w:rPr>
                <w:rFonts w:ascii="Arial" w:cs="Arial" w:eastAsia="Arial" w:hAnsi="Arial"/>
                <w:sz w:val="13"/>
                <w:szCs w:val="13"/>
                <w:color w:val="auto"/>
              </w:rPr>
              <w:t>(5,291)</w:t>
            </w: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5,363</w:t>
            </w:r>
          </w:p>
        </w:tc>
        <w:tc>
          <w:tcPr>
            <w:tcW w:w="20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63"/>
              <w:spacing w:after="0"/>
              <w:rPr>
                <w:sz w:val="20"/>
                <w:szCs w:val="20"/>
                <w:color w:val="auto"/>
              </w:rPr>
            </w:pPr>
            <w:r>
              <w:rPr>
                <w:rFonts w:ascii="Arial" w:cs="Arial" w:eastAsia="Arial" w:hAnsi="Arial"/>
                <w:sz w:val="13"/>
                <w:szCs w:val="13"/>
                <w:color w:val="auto"/>
              </w:rPr>
              <w:t>72</w:t>
            </w:r>
          </w:p>
        </w:tc>
        <w:tc>
          <w:tcPr>
            <w:tcW w:w="36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3940" w:type="dxa"/>
            <w:vAlign w:val="bottom"/>
          </w:tcPr>
          <w:p>
            <w:pPr>
              <w:spacing w:after="0"/>
              <w:rPr>
                <w:sz w:val="20"/>
                <w:szCs w:val="20"/>
                <w:color w:val="auto"/>
              </w:rPr>
            </w:pPr>
            <w:r>
              <w:rPr>
                <w:rFonts w:ascii="Arial" w:cs="Arial" w:eastAsia="Arial" w:hAnsi="Arial"/>
                <w:sz w:val="13"/>
                <w:szCs w:val="13"/>
                <w:color w:val="auto"/>
              </w:rPr>
              <w:t>Cross-currency swaps</w:t>
            </w:r>
          </w:p>
        </w:tc>
        <w:tc>
          <w:tcPr>
            <w:tcW w:w="2860" w:type="dxa"/>
            <w:vAlign w:val="bottom"/>
            <w:gridSpan w:val="2"/>
          </w:tcPr>
          <w:p>
            <w:pPr>
              <w:spacing w:after="0"/>
              <w:rPr>
                <w:sz w:val="20"/>
                <w:szCs w:val="20"/>
                <w:color w:val="auto"/>
              </w:rPr>
            </w:pPr>
            <w:r>
              <w:rPr>
                <w:rFonts w:ascii="Arial" w:cs="Arial" w:eastAsia="Arial" w:hAnsi="Arial"/>
                <w:sz w:val="13"/>
                <w:szCs w:val="13"/>
                <w:color w:val="auto"/>
              </w:rPr>
              <w:t>Interest income – loans</w:t>
            </w:r>
          </w:p>
        </w:tc>
        <w:tc>
          <w:tcPr>
            <w:tcW w:w="1400" w:type="dxa"/>
            <w:vAlign w:val="bottom"/>
            <w:gridSpan w:val="2"/>
          </w:tcPr>
          <w:p>
            <w:pPr>
              <w:jc w:val="right"/>
              <w:ind w:right="96"/>
              <w:spacing w:after="0"/>
              <w:rPr>
                <w:sz w:val="20"/>
                <w:szCs w:val="20"/>
                <w:color w:val="auto"/>
              </w:rPr>
            </w:pPr>
            <w:r>
              <w:rPr>
                <w:rFonts w:ascii="Arial" w:cs="Arial" w:eastAsia="Arial" w:hAnsi="Arial"/>
                <w:sz w:val="13"/>
                <w:szCs w:val="13"/>
                <w:color w:val="auto"/>
              </w:rPr>
              <w:t>(765)</w:t>
            </w:r>
          </w:p>
        </w:tc>
        <w:tc>
          <w:tcPr>
            <w:tcW w:w="1200" w:type="dxa"/>
            <w:vAlign w:val="bottom"/>
          </w:tcPr>
          <w:p>
            <w:pPr>
              <w:jc w:val="right"/>
              <w:spacing w:after="0"/>
              <w:rPr>
                <w:sz w:val="20"/>
                <w:szCs w:val="20"/>
                <w:color w:val="auto"/>
              </w:rPr>
            </w:pPr>
            <w:r>
              <w:rPr>
                <w:rFonts w:ascii="Arial" w:cs="Arial" w:eastAsia="Arial" w:hAnsi="Arial"/>
                <w:sz w:val="13"/>
                <w:szCs w:val="13"/>
                <w:color w:val="auto"/>
              </w:rPr>
              <w:t>1,598</w:t>
            </w:r>
          </w:p>
        </w:tc>
        <w:tc>
          <w:tcPr>
            <w:tcW w:w="200" w:type="dxa"/>
            <w:vAlign w:val="bottom"/>
          </w:tcPr>
          <w:p>
            <w:pPr>
              <w:spacing w:after="0"/>
              <w:rPr>
                <w:sz w:val="13"/>
                <w:szCs w:val="13"/>
                <w:color w:val="auto"/>
              </w:rPr>
            </w:pPr>
          </w:p>
        </w:tc>
        <w:tc>
          <w:tcPr>
            <w:tcW w:w="1300" w:type="dxa"/>
            <w:vAlign w:val="bottom"/>
            <w:gridSpan w:val="2"/>
          </w:tcPr>
          <w:p>
            <w:pPr>
              <w:jc w:val="right"/>
              <w:ind w:right="63"/>
              <w:spacing w:after="0"/>
              <w:rPr>
                <w:sz w:val="20"/>
                <w:szCs w:val="20"/>
                <w:color w:val="auto"/>
              </w:rPr>
            </w:pPr>
            <w:r>
              <w:rPr>
                <w:rFonts w:ascii="Arial" w:cs="Arial" w:eastAsia="Arial" w:hAnsi="Arial"/>
                <w:sz w:val="13"/>
                <w:szCs w:val="13"/>
                <w:color w:val="auto"/>
              </w:rPr>
              <w:t>833</w:t>
            </w:r>
          </w:p>
        </w:tc>
        <w:tc>
          <w:tcPr>
            <w:tcW w:w="36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3940" w:type="dxa"/>
            <w:vAlign w:val="bottom"/>
            <w:shd w:val="clear" w:color="auto" w:fill="CCEEFF"/>
          </w:tcPr>
          <w:p>
            <w:pPr>
              <w:spacing w:after="0"/>
              <w:rPr>
                <w:sz w:val="13"/>
                <w:szCs w:val="13"/>
                <w:color w:val="auto"/>
              </w:rPr>
            </w:pPr>
          </w:p>
        </w:tc>
        <w:tc>
          <w:tcPr>
            <w:tcW w:w="286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Interest expenses – borrowings and debt</w:t>
            </w:r>
          </w:p>
        </w:tc>
        <w:tc>
          <w:tcPr>
            <w:tcW w:w="1400" w:type="dxa"/>
            <w:vAlign w:val="bottom"/>
            <w:gridSpan w:val="2"/>
            <w:shd w:val="clear" w:color="auto" w:fill="CCEEFF"/>
          </w:tcPr>
          <w:p>
            <w:pPr>
              <w:jc w:val="right"/>
              <w:ind w:right="96"/>
              <w:spacing w:after="0"/>
              <w:rPr>
                <w:sz w:val="20"/>
                <w:szCs w:val="20"/>
                <w:color w:val="auto"/>
              </w:rPr>
            </w:pPr>
            <w:r>
              <w:rPr>
                <w:rFonts w:ascii="Arial" w:cs="Arial" w:eastAsia="Arial" w:hAnsi="Arial"/>
                <w:sz w:val="13"/>
                <w:szCs w:val="13"/>
                <w:color w:val="auto"/>
              </w:rPr>
              <w:t>(241)</w:t>
            </w:r>
          </w:p>
        </w:tc>
        <w:tc>
          <w:tcPr>
            <w:tcW w:w="1400" w:type="dxa"/>
            <w:vAlign w:val="bottom"/>
            <w:gridSpan w:val="2"/>
            <w:shd w:val="clear" w:color="auto" w:fill="CCEEFF"/>
          </w:tcPr>
          <w:p>
            <w:pPr>
              <w:jc w:val="right"/>
              <w:ind w:right="123"/>
              <w:spacing w:after="0"/>
              <w:rPr>
                <w:sz w:val="20"/>
                <w:szCs w:val="20"/>
                <w:color w:val="auto"/>
              </w:rPr>
            </w:pPr>
            <w:r>
              <w:rPr>
                <w:rFonts w:ascii="Arial" w:cs="Arial" w:eastAsia="Arial" w:hAnsi="Arial"/>
                <w:sz w:val="13"/>
                <w:szCs w:val="13"/>
                <w:color w:val="auto"/>
              </w:rPr>
              <w:t>(9,367)</w:t>
            </w:r>
          </w:p>
        </w:tc>
        <w:tc>
          <w:tcPr>
            <w:tcW w:w="1300" w:type="dxa"/>
            <w:vAlign w:val="bottom"/>
            <w:gridSpan w:val="2"/>
            <w:shd w:val="clear" w:color="auto" w:fill="CCEEFF"/>
          </w:tcPr>
          <w:p>
            <w:pPr>
              <w:jc w:val="right"/>
              <w:ind w:right="23"/>
              <w:spacing w:after="0"/>
              <w:rPr>
                <w:sz w:val="20"/>
                <w:szCs w:val="20"/>
                <w:color w:val="auto"/>
              </w:rPr>
            </w:pPr>
            <w:r>
              <w:rPr>
                <w:rFonts w:ascii="Arial" w:cs="Arial" w:eastAsia="Arial" w:hAnsi="Arial"/>
                <w:sz w:val="13"/>
                <w:szCs w:val="13"/>
                <w:color w:val="auto"/>
              </w:rPr>
              <w:t>(9,608)</w:t>
            </w:r>
          </w:p>
        </w:tc>
        <w:tc>
          <w:tcPr>
            <w:tcW w:w="360" w:type="dxa"/>
            <w:vAlign w:val="bottom"/>
          </w:tcPr>
          <w:p>
            <w:pPr>
              <w:spacing w:after="0"/>
              <w:rPr>
                <w:sz w:val="13"/>
                <w:szCs w:val="13"/>
                <w:color w:val="auto"/>
              </w:rPr>
            </w:pPr>
          </w:p>
        </w:tc>
      </w:tr>
      <w:tr>
        <w:trPr>
          <w:trHeight w:val="164"/>
        </w:trPr>
        <w:tc>
          <w:tcPr>
            <w:tcW w:w="220" w:type="dxa"/>
            <w:vAlign w:val="bottom"/>
          </w:tcPr>
          <w:p>
            <w:pPr>
              <w:spacing w:after="0"/>
              <w:rPr>
                <w:sz w:val="14"/>
                <w:szCs w:val="14"/>
                <w:color w:val="auto"/>
              </w:rPr>
            </w:pPr>
          </w:p>
        </w:tc>
        <w:tc>
          <w:tcPr>
            <w:tcW w:w="3940" w:type="dxa"/>
            <w:vAlign w:val="bottom"/>
          </w:tcPr>
          <w:p>
            <w:pPr>
              <w:spacing w:after="0"/>
              <w:rPr>
                <w:sz w:val="14"/>
                <w:szCs w:val="14"/>
                <w:color w:val="auto"/>
              </w:rPr>
            </w:pPr>
          </w:p>
        </w:tc>
        <w:tc>
          <w:tcPr>
            <w:tcW w:w="2860" w:type="dxa"/>
            <w:vAlign w:val="bottom"/>
            <w:gridSpan w:val="2"/>
          </w:tcPr>
          <w:p>
            <w:pPr>
              <w:spacing w:after="0"/>
              <w:rPr>
                <w:sz w:val="20"/>
                <w:szCs w:val="20"/>
                <w:color w:val="auto"/>
              </w:rPr>
            </w:pPr>
            <w:r>
              <w:rPr>
                <w:rFonts w:ascii="Arial" w:cs="Arial" w:eastAsia="Arial" w:hAnsi="Arial"/>
                <w:sz w:val="13"/>
                <w:szCs w:val="13"/>
                <w:color w:val="auto"/>
              </w:rPr>
              <w:t>Derivative financial instruments</w:t>
            </w:r>
          </w:p>
        </w:tc>
        <w:tc>
          <w:tcPr>
            <w:tcW w:w="1400" w:type="dxa"/>
            <w:vAlign w:val="bottom"/>
            <w:gridSpan w:val="2"/>
          </w:tcPr>
          <w:p>
            <w:pPr>
              <w:jc w:val="right"/>
              <w:ind w:right="96"/>
              <w:spacing w:after="0"/>
              <w:rPr>
                <w:sz w:val="20"/>
                <w:szCs w:val="20"/>
                <w:color w:val="auto"/>
              </w:rPr>
            </w:pPr>
            <w:r>
              <w:rPr>
                <w:rFonts w:ascii="Arial" w:cs="Arial" w:eastAsia="Arial" w:hAnsi="Arial"/>
                <w:sz w:val="13"/>
                <w:szCs w:val="13"/>
                <w:color w:val="auto"/>
              </w:rPr>
              <w:t>(15,840)</w:t>
            </w:r>
          </w:p>
        </w:tc>
        <w:tc>
          <w:tcPr>
            <w:tcW w:w="1400" w:type="dxa"/>
            <w:vAlign w:val="bottom"/>
            <w:gridSpan w:val="2"/>
          </w:tcPr>
          <w:p>
            <w:pPr>
              <w:jc w:val="right"/>
              <w:ind w:right="163"/>
              <w:spacing w:after="0"/>
              <w:rPr>
                <w:sz w:val="20"/>
                <w:szCs w:val="20"/>
                <w:color w:val="auto"/>
              </w:rPr>
            </w:pPr>
            <w:r>
              <w:rPr>
                <w:rFonts w:ascii="Arial" w:cs="Arial" w:eastAsia="Arial" w:hAnsi="Arial"/>
                <w:sz w:val="13"/>
                <w:szCs w:val="13"/>
                <w:color w:val="auto"/>
              </w:rPr>
              <w:t>13,927</w:t>
            </w:r>
          </w:p>
        </w:tc>
        <w:tc>
          <w:tcPr>
            <w:tcW w:w="1300" w:type="dxa"/>
            <w:vAlign w:val="bottom"/>
            <w:gridSpan w:val="2"/>
          </w:tcPr>
          <w:p>
            <w:pPr>
              <w:jc w:val="right"/>
              <w:ind w:right="23"/>
              <w:spacing w:after="0"/>
              <w:rPr>
                <w:sz w:val="20"/>
                <w:szCs w:val="20"/>
                <w:color w:val="auto"/>
              </w:rPr>
            </w:pPr>
            <w:r>
              <w:rPr>
                <w:rFonts w:ascii="Arial" w:cs="Arial" w:eastAsia="Arial" w:hAnsi="Arial"/>
                <w:sz w:val="13"/>
                <w:szCs w:val="13"/>
                <w:color w:val="auto"/>
              </w:rPr>
              <w:t>(1,913)</w:t>
            </w:r>
          </w:p>
        </w:tc>
        <w:tc>
          <w:tcPr>
            <w:tcW w:w="360" w:type="dxa"/>
            <w:vAlign w:val="bottom"/>
          </w:tcPr>
          <w:p>
            <w:pPr>
              <w:spacing w:after="0"/>
              <w:rPr>
                <w:sz w:val="14"/>
                <w:szCs w:val="14"/>
                <w:color w:val="auto"/>
              </w:rPr>
            </w:pPr>
          </w:p>
        </w:tc>
      </w:tr>
      <w:tr>
        <w:trPr>
          <w:trHeight w:val="162"/>
        </w:trPr>
        <w:tc>
          <w:tcPr>
            <w:tcW w:w="220" w:type="dxa"/>
            <w:vAlign w:val="bottom"/>
          </w:tcPr>
          <w:p>
            <w:pPr>
              <w:spacing w:after="0"/>
              <w:rPr>
                <w:sz w:val="14"/>
                <w:szCs w:val="14"/>
                <w:color w:val="auto"/>
              </w:rPr>
            </w:pPr>
          </w:p>
        </w:tc>
        <w:tc>
          <w:tcPr>
            <w:tcW w:w="3940" w:type="dxa"/>
            <w:vAlign w:val="bottom"/>
            <w:tcBorders>
              <w:top w:val="single" w:sz="8" w:color="CCEEFF"/>
              <w:bottom w:val="single" w:sz="8" w:color="CCEEFF"/>
            </w:tcBorders>
            <w:shd w:val="clear" w:color="auto" w:fill="CCEEFF"/>
          </w:tcPr>
          <w:p>
            <w:pPr>
              <w:ind w:left="20"/>
              <w:spacing w:after="0" w:line="146" w:lineRule="exact"/>
              <w:rPr>
                <w:sz w:val="20"/>
                <w:szCs w:val="20"/>
                <w:color w:val="auto"/>
              </w:rPr>
            </w:pPr>
            <w:r>
              <w:rPr>
                <w:rFonts w:ascii="Arial" w:cs="Arial" w:eastAsia="Arial" w:hAnsi="Arial"/>
                <w:sz w:val="13"/>
                <w:szCs w:val="13"/>
                <w:b w:val="1"/>
                <w:bCs w:val="1"/>
                <w:color w:val="auto"/>
              </w:rPr>
              <w:t>Total</w:t>
            </w:r>
          </w:p>
        </w:tc>
        <w:tc>
          <w:tcPr>
            <w:tcW w:w="2740" w:type="dxa"/>
            <w:vAlign w:val="bottom"/>
            <w:tcBorders>
              <w:top w:val="single" w:sz="8" w:color="CCEEFF"/>
              <w:bottom w:val="single" w:sz="8" w:color="CCEEFF"/>
            </w:tcBorders>
            <w:shd w:val="clear" w:color="auto" w:fill="CCEEFF"/>
          </w:tcPr>
          <w:p>
            <w:pPr>
              <w:spacing w:after="0"/>
              <w:rPr>
                <w:sz w:val="14"/>
                <w:szCs w:val="14"/>
                <w:color w:val="auto"/>
              </w:rPr>
            </w:pPr>
          </w:p>
        </w:tc>
        <w:tc>
          <w:tcPr>
            <w:tcW w:w="120" w:type="dxa"/>
            <w:vAlign w:val="bottom"/>
            <w:tcBorders>
              <w:top w:val="single" w:sz="8" w:color="CCEEFF"/>
              <w:bottom w:val="single" w:sz="8" w:color="CCEEFF"/>
            </w:tcBorders>
            <w:shd w:val="clear" w:color="auto" w:fill="CCEEFF"/>
          </w:tcPr>
          <w:p>
            <w:pPr>
              <w:spacing w:after="0"/>
              <w:rPr>
                <w:sz w:val="14"/>
                <w:szCs w:val="14"/>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(24,467</w:t>
            </w:r>
          </w:p>
        </w:tc>
        <w:tc>
          <w:tcPr>
            <w:tcW w:w="220" w:type="dxa"/>
            <w:vAlign w:val="bottom"/>
            <w:tcBorders>
              <w:top w:val="single" w:sz="8" w:color="CCEEFF"/>
              <w:bottom w:val="single" w:sz="8" w:color="CCEEFF"/>
            </w:tcBorders>
            <w:shd w:val="clear" w:color="auto" w:fill="CCEEFF"/>
          </w:tcPr>
          <w:p>
            <w:pPr>
              <w:jc w:val="right"/>
              <w:ind w:right="96"/>
              <w:spacing w:after="0" w:line="146" w:lineRule="exact"/>
              <w:rPr>
                <w:sz w:val="20"/>
                <w:szCs w:val="20"/>
                <w:color w:val="auto"/>
              </w:rPr>
            </w:pPr>
            <w:r>
              <w:rPr>
                <w:rFonts w:ascii="Arial" w:cs="Arial" w:eastAsia="Arial" w:hAnsi="Arial"/>
                <w:sz w:val="13"/>
                <w:szCs w:val="13"/>
                <w:b w:val="1"/>
                <w:bCs w:val="1"/>
                <w:color w:val="auto"/>
                <w:w w:val="91"/>
              </w:rPr>
              <w:t>)</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1,607</w:t>
            </w:r>
          </w:p>
        </w:tc>
        <w:tc>
          <w:tcPr>
            <w:tcW w:w="200" w:type="dxa"/>
            <w:vAlign w:val="bottom"/>
            <w:tcBorders>
              <w:top w:val="single" w:sz="8" w:color="CCEEFF"/>
              <w:bottom w:val="single" w:sz="8" w:color="CCEEFF"/>
            </w:tcBorders>
            <w:shd w:val="clear" w:color="auto" w:fill="CCEEFF"/>
          </w:tcPr>
          <w:p>
            <w:pPr>
              <w:spacing w:after="0"/>
              <w:rPr>
                <w:sz w:val="14"/>
                <w:szCs w:val="14"/>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(22,860</w:t>
            </w:r>
          </w:p>
        </w:tc>
        <w:tc>
          <w:tcPr>
            <w:tcW w:w="100" w:type="dxa"/>
            <w:vAlign w:val="bottom"/>
            <w:tcBorders>
              <w:top w:val="single" w:sz="8" w:color="CCEEFF"/>
              <w:bottom w:val="single" w:sz="8" w:color="CCEEFF"/>
            </w:tcBorders>
            <w:shd w:val="clear" w:color="auto" w:fill="CCEEFF"/>
          </w:tcPr>
          <w:p>
            <w:pPr>
              <w:jc w:val="right"/>
              <w:ind w:right="23"/>
              <w:spacing w:after="0"/>
              <w:rPr>
                <w:sz w:val="20"/>
                <w:szCs w:val="20"/>
                <w:color w:val="auto"/>
              </w:rPr>
            </w:pPr>
            <w:r>
              <w:rPr>
                <w:rFonts w:ascii="Arial" w:cs="Arial" w:eastAsia="Arial" w:hAnsi="Arial"/>
                <w:sz w:val="7"/>
                <w:szCs w:val="7"/>
                <w:b w:val="1"/>
                <w:bCs w:val="1"/>
                <w:color w:val="auto"/>
                <w:w w:val="83"/>
              </w:rPr>
              <w:t>)</w:t>
            </w:r>
          </w:p>
        </w:tc>
        <w:tc>
          <w:tcPr>
            <w:tcW w:w="360" w:type="dxa"/>
            <w:vAlign w:val="bottom"/>
          </w:tcPr>
          <w:p>
            <w:pPr>
              <w:spacing w:after="0"/>
              <w:rPr>
                <w:sz w:val="14"/>
                <w:szCs w:val="14"/>
                <w:color w:val="auto"/>
              </w:rPr>
            </w:pPr>
          </w:p>
        </w:tc>
      </w:tr>
      <w:tr>
        <w:trPr>
          <w:trHeight w:val="317"/>
        </w:trPr>
        <w:tc>
          <w:tcPr>
            <w:tcW w:w="220" w:type="dxa"/>
            <w:vAlign w:val="bottom"/>
          </w:tcPr>
          <w:p>
            <w:pPr>
              <w:spacing w:after="0"/>
              <w:rPr>
                <w:sz w:val="24"/>
                <w:szCs w:val="24"/>
                <w:color w:val="auto"/>
              </w:rPr>
            </w:pPr>
          </w:p>
        </w:tc>
        <w:tc>
          <w:tcPr>
            <w:tcW w:w="3940" w:type="dxa"/>
            <w:vAlign w:val="bottom"/>
          </w:tcPr>
          <w:p>
            <w:pPr>
              <w:spacing w:after="0"/>
              <w:rPr>
                <w:sz w:val="24"/>
                <w:szCs w:val="24"/>
                <w:color w:val="auto"/>
              </w:rPr>
            </w:pPr>
          </w:p>
        </w:tc>
        <w:tc>
          <w:tcPr>
            <w:tcW w:w="27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gridSpan w:val="2"/>
          </w:tcPr>
          <w:p>
            <w:pPr>
              <w:jc w:val="right"/>
              <w:ind w:right="196"/>
              <w:spacing w:after="0"/>
              <w:rPr>
                <w:sz w:val="20"/>
                <w:szCs w:val="20"/>
                <w:color w:val="auto"/>
              </w:rPr>
            </w:pPr>
            <w:r>
              <w:rPr>
                <w:rFonts w:ascii="Arial" w:cs="Arial" w:eastAsia="Arial" w:hAnsi="Arial"/>
                <w:sz w:val="13"/>
                <w:szCs w:val="13"/>
                <w:b w:val="1"/>
                <w:bCs w:val="1"/>
                <w:color w:val="auto"/>
                <w:w w:val="95"/>
              </w:rPr>
              <w:t>December 31, 2017</w:t>
            </w: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60" w:type="dxa"/>
            <w:vAlign w:val="bottom"/>
          </w:tcPr>
          <w:p>
            <w:pPr>
              <w:spacing w:after="0"/>
              <w:rPr>
                <w:sz w:val="24"/>
                <w:szCs w:val="24"/>
                <w:color w:val="auto"/>
              </w:rPr>
            </w:pPr>
          </w:p>
        </w:tc>
      </w:tr>
      <w:tr>
        <w:trPr>
          <w:trHeight w:val="131"/>
        </w:trPr>
        <w:tc>
          <w:tcPr>
            <w:tcW w:w="220" w:type="dxa"/>
            <w:vAlign w:val="bottom"/>
          </w:tcPr>
          <w:p>
            <w:pPr>
              <w:spacing w:after="0"/>
              <w:rPr>
                <w:sz w:val="11"/>
                <w:szCs w:val="11"/>
                <w:color w:val="auto"/>
              </w:rPr>
            </w:pPr>
          </w:p>
        </w:tc>
        <w:tc>
          <w:tcPr>
            <w:tcW w:w="3940" w:type="dxa"/>
            <w:vAlign w:val="bottom"/>
          </w:tcPr>
          <w:p>
            <w:pPr>
              <w:spacing w:after="0"/>
              <w:rPr>
                <w:sz w:val="11"/>
                <w:szCs w:val="11"/>
                <w:color w:val="auto"/>
              </w:rPr>
            </w:pPr>
          </w:p>
        </w:tc>
        <w:tc>
          <w:tcPr>
            <w:tcW w:w="27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400" w:type="dxa"/>
            <w:vAlign w:val="bottom"/>
            <w:gridSpan w:val="2"/>
          </w:tcPr>
          <w:p>
            <w:pPr>
              <w:jc w:val="center"/>
              <w:ind w:right="156"/>
              <w:spacing w:after="0" w:line="131" w:lineRule="exact"/>
              <w:rPr>
                <w:sz w:val="20"/>
                <w:szCs w:val="20"/>
                <w:color w:val="auto"/>
              </w:rPr>
            </w:pPr>
            <w:r>
              <w:rPr>
                <w:rFonts w:ascii="Arial" w:cs="Arial" w:eastAsia="Arial" w:hAnsi="Arial"/>
                <w:sz w:val="13"/>
                <w:szCs w:val="13"/>
                <w:b w:val="1"/>
                <w:bCs w:val="1"/>
                <w:color w:val="auto"/>
                <w:w w:val="86"/>
              </w:rPr>
              <w:t>Gain (loss)</w:t>
            </w:r>
          </w:p>
        </w:tc>
        <w:tc>
          <w:tcPr>
            <w:tcW w:w="12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2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60" w:type="dxa"/>
            <w:vAlign w:val="bottom"/>
          </w:tcPr>
          <w:p>
            <w:pPr>
              <w:spacing w:after="0"/>
              <w:rPr>
                <w:sz w:val="11"/>
                <w:szCs w:val="11"/>
                <w:color w:val="auto"/>
              </w:rPr>
            </w:pPr>
          </w:p>
        </w:tc>
      </w:tr>
      <w:tr>
        <w:trPr>
          <w:trHeight w:val="154"/>
        </w:trPr>
        <w:tc>
          <w:tcPr>
            <w:tcW w:w="220" w:type="dxa"/>
            <w:vAlign w:val="bottom"/>
          </w:tcPr>
          <w:p>
            <w:pPr>
              <w:spacing w:after="0"/>
              <w:rPr>
                <w:sz w:val="13"/>
                <w:szCs w:val="13"/>
                <w:color w:val="auto"/>
              </w:rPr>
            </w:pPr>
          </w:p>
        </w:tc>
        <w:tc>
          <w:tcPr>
            <w:tcW w:w="3940" w:type="dxa"/>
            <w:vAlign w:val="bottom"/>
          </w:tcPr>
          <w:p>
            <w:pPr>
              <w:spacing w:after="0"/>
              <w:rPr>
                <w:sz w:val="13"/>
                <w:szCs w:val="13"/>
                <w:color w:val="auto"/>
              </w:rPr>
            </w:pPr>
          </w:p>
        </w:tc>
        <w:tc>
          <w:tcPr>
            <w:tcW w:w="286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7"/>
              </w:rPr>
              <w:t>Classification in consolidated</w:t>
            </w:r>
          </w:p>
        </w:tc>
        <w:tc>
          <w:tcPr>
            <w:tcW w:w="1400" w:type="dxa"/>
            <w:vAlign w:val="bottom"/>
            <w:gridSpan w:val="2"/>
          </w:tcPr>
          <w:p>
            <w:pPr>
              <w:jc w:val="center"/>
              <w:ind w:right="156"/>
              <w:spacing w:after="0"/>
              <w:rPr>
                <w:sz w:val="20"/>
                <w:szCs w:val="20"/>
                <w:color w:val="auto"/>
              </w:rPr>
            </w:pPr>
            <w:r>
              <w:rPr>
                <w:rFonts w:ascii="Arial" w:cs="Arial" w:eastAsia="Arial" w:hAnsi="Arial"/>
                <w:sz w:val="13"/>
                <w:szCs w:val="13"/>
                <w:b w:val="1"/>
                <w:bCs w:val="1"/>
                <w:color w:val="auto"/>
                <w:w w:val="87"/>
              </w:rPr>
              <w:t>on</w:t>
            </w:r>
          </w:p>
        </w:tc>
        <w:tc>
          <w:tcPr>
            <w:tcW w:w="1400" w:type="dxa"/>
            <w:vAlign w:val="bottom"/>
            <w:gridSpan w:val="2"/>
          </w:tcPr>
          <w:p>
            <w:pPr>
              <w:jc w:val="right"/>
              <w:ind w:right="403"/>
              <w:spacing w:after="0"/>
              <w:rPr>
                <w:sz w:val="20"/>
                <w:szCs w:val="20"/>
                <w:color w:val="auto"/>
              </w:rPr>
            </w:pPr>
            <w:r>
              <w:rPr>
                <w:rFonts w:ascii="Arial" w:cs="Arial" w:eastAsia="Arial" w:hAnsi="Arial"/>
                <w:sz w:val="13"/>
                <w:szCs w:val="13"/>
                <w:b w:val="1"/>
                <w:bCs w:val="1"/>
                <w:color w:val="auto"/>
              </w:rPr>
              <w:t>Gain (loss) on</w:t>
            </w: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360" w:type="dxa"/>
            <w:vAlign w:val="bottom"/>
          </w:tcPr>
          <w:p>
            <w:pPr>
              <w:spacing w:after="0"/>
              <w:rPr>
                <w:sz w:val="13"/>
                <w:szCs w:val="13"/>
                <w:color w:val="auto"/>
              </w:rPr>
            </w:pPr>
          </w:p>
        </w:tc>
      </w:tr>
      <w:tr>
        <w:trPr>
          <w:trHeight w:val="167"/>
        </w:trPr>
        <w:tc>
          <w:tcPr>
            <w:tcW w:w="220" w:type="dxa"/>
            <w:vAlign w:val="bottom"/>
          </w:tcPr>
          <w:p>
            <w:pPr>
              <w:spacing w:after="0"/>
              <w:rPr>
                <w:sz w:val="14"/>
                <w:szCs w:val="14"/>
                <w:color w:val="auto"/>
              </w:rPr>
            </w:pPr>
          </w:p>
        </w:tc>
        <w:tc>
          <w:tcPr>
            <w:tcW w:w="3940" w:type="dxa"/>
            <w:vAlign w:val="bottom"/>
          </w:tcPr>
          <w:p>
            <w:pPr>
              <w:spacing w:after="0"/>
              <w:rPr>
                <w:sz w:val="14"/>
                <w:szCs w:val="14"/>
                <w:color w:val="auto"/>
              </w:rPr>
            </w:pPr>
          </w:p>
        </w:tc>
        <w:tc>
          <w:tcPr>
            <w:tcW w:w="286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7"/>
              </w:rPr>
              <w:t>statement of profit or loss</w:t>
            </w:r>
          </w:p>
        </w:tc>
        <w:tc>
          <w:tcPr>
            <w:tcW w:w="1400" w:type="dxa"/>
            <w:vAlign w:val="bottom"/>
            <w:gridSpan w:val="2"/>
          </w:tcPr>
          <w:p>
            <w:pPr>
              <w:jc w:val="center"/>
              <w:ind w:right="136"/>
              <w:spacing w:after="0"/>
              <w:rPr>
                <w:sz w:val="20"/>
                <w:szCs w:val="20"/>
                <w:color w:val="auto"/>
              </w:rPr>
            </w:pPr>
            <w:r>
              <w:rPr>
                <w:rFonts w:ascii="Arial" w:cs="Arial" w:eastAsia="Arial" w:hAnsi="Arial"/>
                <w:sz w:val="13"/>
                <w:szCs w:val="13"/>
                <w:b w:val="1"/>
                <w:bCs w:val="1"/>
                <w:color w:val="auto"/>
                <w:w w:val="88"/>
              </w:rPr>
              <w:t>derivatives</w:t>
            </w:r>
          </w:p>
        </w:tc>
        <w:tc>
          <w:tcPr>
            <w:tcW w:w="1400" w:type="dxa"/>
            <w:vAlign w:val="bottom"/>
            <w:gridSpan w:val="2"/>
          </w:tcPr>
          <w:p>
            <w:pPr>
              <w:jc w:val="right"/>
              <w:ind w:right="443"/>
              <w:spacing w:after="0"/>
              <w:rPr>
                <w:sz w:val="20"/>
                <w:szCs w:val="20"/>
                <w:color w:val="auto"/>
              </w:rPr>
            </w:pPr>
            <w:r>
              <w:rPr>
                <w:rFonts w:ascii="Arial" w:cs="Arial" w:eastAsia="Arial" w:hAnsi="Arial"/>
                <w:sz w:val="13"/>
                <w:szCs w:val="13"/>
                <w:b w:val="1"/>
                <w:bCs w:val="1"/>
                <w:color w:val="auto"/>
              </w:rPr>
              <w:t>hedged item</w:t>
            </w:r>
          </w:p>
        </w:tc>
        <w:tc>
          <w:tcPr>
            <w:tcW w:w="1300" w:type="dxa"/>
            <w:vAlign w:val="bottom"/>
            <w:gridSpan w:val="2"/>
          </w:tcPr>
          <w:p>
            <w:pPr>
              <w:jc w:val="right"/>
              <w:ind w:right="263"/>
              <w:spacing w:after="0"/>
              <w:rPr>
                <w:sz w:val="20"/>
                <w:szCs w:val="20"/>
                <w:color w:val="auto"/>
              </w:rPr>
            </w:pPr>
            <w:r>
              <w:rPr>
                <w:rFonts w:ascii="Arial" w:cs="Arial" w:eastAsia="Arial" w:hAnsi="Arial"/>
                <w:sz w:val="13"/>
                <w:szCs w:val="13"/>
                <w:b w:val="1"/>
                <w:bCs w:val="1"/>
                <w:color w:val="auto"/>
              </w:rPr>
              <w:t>Net gain (loss)</w:t>
            </w:r>
          </w:p>
        </w:tc>
        <w:tc>
          <w:tcPr>
            <w:tcW w:w="360" w:type="dxa"/>
            <w:vAlign w:val="bottom"/>
          </w:tcPr>
          <w:p>
            <w:pPr>
              <w:spacing w:after="0"/>
              <w:rPr>
                <w:sz w:val="14"/>
                <w:szCs w:val="14"/>
                <w:color w:val="auto"/>
              </w:rPr>
            </w:pPr>
          </w:p>
        </w:tc>
      </w:tr>
      <w:tr>
        <w:trPr>
          <w:trHeight w:val="144"/>
        </w:trPr>
        <w:tc>
          <w:tcPr>
            <w:tcW w:w="220" w:type="dxa"/>
            <w:vAlign w:val="bottom"/>
          </w:tcPr>
          <w:p>
            <w:pPr>
              <w:spacing w:after="0"/>
              <w:rPr>
                <w:sz w:val="12"/>
                <w:szCs w:val="12"/>
                <w:color w:val="auto"/>
              </w:rPr>
            </w:pPr>
          </w:p>
        </w:tc>
        <w:tc>
          <w:tcPr>
            <w:tcW w:w="3940" w:type="dxa"/>
            <w:vAlign w:val="bottom"/>
            <w:tcBorders>
              <w:top w:val="single" w:sz="8" w:color="CCEEFF"/>
            </w:tcBorders>
            <w:shd w:val="clear" w:color="auto" w:fill="CCEEFF"/>
          </w:tcPr>
          <w:p>
            <w:pPr>
              <w:ind w:left="20"/>
              <w:spacing w:after="0" w:line="144" w:lineRule="exact"/>
              <w:rPr>
                <w:sz w:val="20"/>
                <w:szCs w:val="20"/>
                <w:color w:val="auto"/>
              </w:rPr>
            </w:pPr>
            <w:r>
              <w:rPr>
                <w:rFonts w:ascii="Arial" w:cs="Arial" w:eastAsia="Arial" w:hAnsi="Arial"/>
                <w:sz w:val="13"/>
                <w:szCs w:val="13"/>
                <w:b w:val="1"/>
                <w:bCs w:val="1"/>
                <w:color w:val="auto"/>
              </w:rPr>
              <w:t>Derivatives – fair value hedge</w:t>
            </w:r>
          </w:p>
        </w:tc>
        <w:tc>
          <w:tcPr>
            <w:tcW w:w="274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360" w:type="dxa"/>
            <w:vAlign w:val="bottom"/>
          </w:tcPr>
          <w:p>
            <w:pPr>
              <w:spacing w:after="0"/>
              <w:rPr>
                <w:sz w:val="12"/>
                <w:szCs w:val="12"/>
                <w:color w:val="auto"/>
              </w:rPr>
            </w:pPr>
          </w:p>
        </w:tc>
      </w:tr>
      <w:tr>
        <w:trPr>
          <w:trHeight w:val="154"/>
        </w:trPr>
        <w:tc>
          <w:tcPr>
            <w:tcW w:w="220" w:type="dxa"/>
            <w:vAlign w:val="bottom"/>
          </w:tcPr>
          <w:p>
            <w:pPr>
              <w:spacing w:after="0"/>
              <w:rPr>
                <w:sz w:val="13"/>
                <w:szCs w:val="13"/>
                <w:color w:val="auto"/>
              </w:rPr>
            </w:pPr>
          </w:p>
        </w:tc>
        <w:tc>
          <w:tcPr>
            <w:tcW w:w="3940" w:type="dxa"/>
            <w:vAlign w:val="bottom"/>
          </w:tcPr>
          <w:p>
            <w:pPr>
              <w:spacing w:after="0"/>
              <w:rPr>
                <w:sz w:val="20"/>
                <w:szCs w:val="20"/>
                <w:color w:val="auto"/>
              </w:rPr>
            </w:pPr>
            <w:r>
              <w:rPr>
                <w:rFonts w:ascii="Arial" w:cs="Arial" w:eastAsia="Arial" w:hAnsi="Arial"/>
                <w:sz w:val="13"/>
                <w:szCs w:val="13"/>
                <w:color w:val="auto"/>
              </w:rPr>
              <w:t>Interest rate swaps</w:t>
            </w:r>
          </w:p>
        </w:tc>
        <w:tc>
          <w:tcPr>
            <w:tcW w:w="2860" w:type="dxa"/>
            <w:vAlign w:val="bottom"/>
            <w:gridSpan w:val="2"/>
          </w:tcPr>
          <w:p>
            <w:pPr>
              <w:spacing w:after="0"/>
              <w:rPr>
                <w:sz w:val="20"/>
                <w:szCs w:val="20"/>
                <w:color w:val="auto"/>
              </w:rPr>
            </w:pPr>
            <w:r>
              <w:rPr>
                <w:rFonts w:ascii="Arial" w:cs="Arial" w:eastAsia="Arial" w:hAnsi="Arial"/>
                <w:sz w:val="13"/>
                <w:szCs w:val="13"/>
                <w:color w:val="auto"/>
              </w:rPr>
              <w:t>Interest income – securities FVOCI</w:t>
            </w:r>
          </w:p>
        </w:tc>
        <w:tc>
          <w:tcPr>
            <w:tcW w:w="1400" w:type="dxa"/>
            <w:vAlign w:val="bottom"/>
            <w:gridSpan w:val="2"/>
          </w:tcPr>
          <w:p>
            <w:pPr>
              <w:jc w:val="right"/>
              <w:ind w:right="96"/>
              <w:spacing w:after="0"/>
              <w:rPr>
                <w:sz w:val="20"/>
                <w:szCs w:val="20"/>
                <w:color w:val="auto"/>
              </w:rPr>
            </w:pPr>
            <w:r>
              <w:rPr>
                <w:rFonts w:ascii="Arial" w:cs="Arial" w:eastAsia="Arial" w:hAnsi="Arial"/>
                <w:sz w:val="13"/>
                <w:szCs w:val="13"/>
                <w:color w:val="auto"/>
              </w:rPr>
              <w:t>(126)</w:t>
            </w:r>
          </w:p>
        </w:tc>
        <w:tc>
          <w:tcPr>
            <w:tcW w:w="1200" w:type="dxa"/>
            <w:vAlign w:val="bottom"/>
          </w:tcPr>
          <w:p>
            <w:pPr>
              <w:jc w:val="right"/>
              <w:spacing w:after="0"/>
              <w:rPr>
                <w:sz w:val="20"/>
                <w:szCs w:val="20"/>
                <w:color w:val="auto"/>
              </w:rPr>
            </w:pPr>
            <w:r>
              <w:rPr>
                <w:rFonts w:ascii="Arial" w:cs="Arial" w:eastAsia="Arial" w:hAnsi="Arial"/>
                <w:sz w:val="13"/>
                <w:szCs w:val="13"/>
                <w:color w:val="auto"/>
              </w:rPr>
              <w:t>476</w:t>
            </w:r>
          </w:p>
        </w:tc>
        <w:tc>
          <w:tcPr>
            <w:tcW w:w="200" w:type="dxa"/>
            <w:vAlign w:val="bottom"/>
          </w:tcPr>
          <w:p>
            <w:pPr>
              <w:spacing w:after="0"/>
              <w:rPr>
                <w:sz w:val="13"/>
                <w:szCs w:val="13"/>
                <w:color w:val="auto"/>
              </w:rPr>
            </w:pPr>
          </w:p>
        </w:tc>
        <w:tc>
          <w:tcPr>
            <w:tcW w:w="1300" w:type="dxa"/>
            <w:vAlign w:val="bottom"/>
            <w:gridSpan w:val="2"/>
          </w:tcPr>
          <w:p>
            <w:pPr>
              <w:jc w:val="right"/>
              <w:ind w:right="63"/>
              <w:spacing w:after="0"/>
              <w:rPr>
                <w:sz w:val="20"/>
                <w:szCs w:val="20"/>
                <w:color w:val="auto"/>
              </w:rPr>
            </w:pPr>
            <w:r>
              <w:rPr>
                <w:rFonts w:ascii="Arial" w:cs="Arial" w:eastAsia="Arial" w:hAnsi="Arial"/>
                <w:sz w:val="13"/>
                <w:szCs w:val="13"/>
                <w:color w:val="auto"/>
              </w:rPr>
              <w:t>350</w:t>
            </w:r>
          </w:p>
        </w:tc>
        <w:tc>
          <w:tcPr>
            <w:tcW w:w="36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3940" w:type="dxa"/>
            <w:vAlign w:val="bottom"/>
            <w:shd w:val="clear" w:color="auto" w:fill="CCEEFF"/>
          </w:tcPr>
          <w:p>
            <w:pPr>
              <w:spacing w:after="0"/>
              <w:rPr>
                <w:sz w:val="13"/>
                <w:szCs w:val="13"/>
                <w:color w:val="auto"/>
              </w:rPr>
            </w:pPr>
          </w:p>
        </w:tc>
        <w:tc>
          <w:tcPr>
            <w:tcW w:w="286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Interest income – loans</w:t>
            </w:r>
          </w:p>
        </w:tc>
        <w:tc>
          <w:tcPr>
            <w:tcW w:w="1400" w:type="dxa"/>
            <w:vAlign w:val="bottom"/>
            <w:gridSpan w:val="2"/>
            <w:shd w:val="clear" w:color="auto" w:fill="CCEEFF"/>
          </w:tcPr>
          <w:p>
            <w:pPr>
              <w:jc w:val="right"/>
              <w:ind w:right="96"/>
              <w:spacing w:after="0"/>
              <w:rPr>
                <w:sz w:val="20"/>
                <w:szCs w:val="20"/>
                <w:color w:val="auto"/>
              </w:rPr>
            </w:pPr>
            <w:r>
              <w:rPr>
                <w:rFonts w:ascii="Arial" w:cs="Arial" w:eastAsia="Arial" w:hAnsi="Arial"/>
                <w:sz w:val="13"/>
                <w:szCs w:val="13"/>
                <w:color w:val="auto"/>
              </w:rPr>
              <w:t>(12)</w:t>
            </w: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160</w:t>
            </w:r>
          </w:p>
        </w:tc>
        <w:tc>
          <w:tcPr>
            <w:tcW w:w="20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63"/>
              <w:spacing w:after="0"/>
              <w:rPr>
                <w:sz w:val="20"/>
                <w:szCs w:val="20"/>
                <w:color w:val="auto"/>
              </w:rPr>
            </w:pPr>
            <w:r>
              <w:rPr>
                <w:rFonts w:ascii="Arial" w:cs="Arial" w:eastAsia="Arial" w:hAnsi="Arial"/>
                <w:sz w:val="13"/>
                <w:szCs w:val="13"/>
                <w:color w:val="auto"/>
              </w:rPr>
              <w:t>148</w:t>
            </w:r>
          </w:p>
        </w:tc>
        <w:tc>
          <w:tcPr>
            <w:tcW w:w="36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3940" w:type="dxa"/>
            <w:vAlign w:val="bottom"/>
          </w:tcPr>
          <w:p>
            <w:pPr>
              <w:spacing w:after="0"/>
              <w:rPr>
                <w:sz w:val="13"/>
                <w:szCs w:val="13"/>
                <w:color w:val="auto"/>
              </w:rPr>
            </w:pPr>
          </w:p>
        </w:tc>
        <w:tc>
          <w:tcPr>
            <w:tcW w:w="2860" w:type="dxa"/>
            <w:vAlign w:val="bottom"/>
            <w:gridSpan w:val="2"/>
          </w:tcPr>
          <w:p>
            <w:pPr>
              <w:spacing w:after="0"/>
              <w:rPr>
                <w:sz w:val="20"/>
                <w:szCs w:val="20"/>
                <w:color w:val="auto"/>
              </w:rPr>
            </w:pPr>
            <w:r>
              <w:rPr>
                <w:rFonts w:ascii="Arial" w:cs="Arial" w:eastAsia="Arial" w:hAnsi="Arial"/>
                <w:sz w:val="13"/>
                <w:szCs w:val="13"/>
                <w:color w:val="auto"/>
              </w:rPr>
              <w:t>Interest expenses – borrowings and debt</w:t>
            </w:r>
          </w:p>
        </w:tc>
        <w:tc>
          <w:tcPr>
            <w:tcW w:w="1180" w:type="dxa"/>
            <w:vAlign w:val="bottom"/>
          </w:tcPr>
          <w:p>
            <w:pPr>
              <w:jc w:val="right"/>
              <w:spacing w:after="0"/>
              <w:rPr>
                <w:sz w:val="20"/>
                <w:szCs w:val="20"/>
                <w:color w:val="auto"/>
              </w:rPr>
            </w:pPr>
            <w:r>
              <w:rPr>
                <w:rFonts w:ascii="Arial" w:cs="Arial" w:eastAsia="Arial" w:hAnsi="Arial"/>
                <w:sz w:val="13"/>
                <w:szCs w:val="13"/>
                <w:color w:val="auto"/>
              </w:rPr>
              <w:t>1,387</w:t>
            </w:r>
          </w:p>
        </w:tc>
        <w:tc>
          <w:tcPr>
            <w:tcW w:w="220" w:type="dxa"/>
            <w:vAlign w:val="bottom"/>
          </w:tcPr>
          <w:p>
            <w:pPr>
              <w:spacing w:after="0"/>
              <w:rPr>
                <w:sz w:val="13"/>
                <w:szCs w:val="13"/>
                <w:color w:val="auto"/>
              </w:rPr>
            </w:pPr>
          </w:p>
        </w:tc>
        <w:tc>
          <w:tcPr>
            <w:tcW w:w="1400" w:type="dxa"/>
            <w:vAlign w:val="bottom"/>
            <w:gridSpan w:val="2"/>
          </w:tcPr>
          <w:p>
            <w:pPr>
              <w:jc w:val="right"/>
              <w:ind w:right="123"/>
              <w:spacing w:after="0"/>
              <w:rPr>
                <w:sz w:val="20"/>
                <w:szCs w:val="20"/>
                <w:color w:val="auto"/>
              </w:rPr>
            </w:pPr>
            <w:r>
              <w:rPr>
                <w:rFonts w:ascii="Arial" w:cs="Arial" w:eastAsia="Arial" w:hAnsi="Arial"/>
                <w:sz w:val="13"/>
                <w:szCs w:val="13"/>
                <w:color w:val="auto"/>
              </w:rPr>
              <w:t>(16,233)</w:t>
            </w:r>
          </w:p>
        </w:tc>
        <w:tc>
          <w:tcPr>
            <w:tcW w:w="1300" w:type="dxa"/>
            <w:vAlign w:val="bottom"/>
            <w:gridSpan w:val="2"/>
          </w:tcPr>
          <w:p>
            <w:pPr>
              <w:jc w:val="right"/>
              <w:ind w:right="23"/>
              <w:spacing w:after="0"/>
              <w:rPr>
                <w:sz w:val="20"/>
                <w:szCs w:val="20"/>
                <w:color w:val="auto"/>
              </w:rPr>
            </w:pPr>
            <w:r>
              <w:rPr>
                <w:rFonts w:ascii="Arial" w:cs="Arial" w:eastAsia="Arial" w:hAnsi="Arial"/>
                <w:sz w:val="13"/>
                <w:szCs w:val="13"/>
                <w:color w:val="auto"/>
              </w:rPr>
              <w:t>(14,846)</w:t>
            </w:r>
          </w:p>
        </w:tc>
        <w:tc>
          <w:tcPr>
            <w:tcW w:w="36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3940" w:type="dxa"/>
            <w:vAlign w:val="bottom"/>
            <w:shd w:val="clear" w:color="auto" w:fill="CCEEFF"/>
          </w:tcPr>
          <w:p>
            <w:pPr>
              <w:spacing w:after="0"/>
              <w:rPr>
                <w:sz w:val="13"/>
                <w:szCs w:val="13"/>
                <w:color w:val="auto"/>
              </w:rPr>
            </w:pPr>
          </w:p>
        </w:tc>
        <w:tc>
          <w:tcPr>
            <w:tcW w:w="286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Derivative financial instruments</w:t>
            </w:r>
          </w:p>
        </w:tc>
        <w:tc>
          <w:tcPr>
            <w:tcW w:w="1400" w:type="dxa"/>
            <w:vAlign w:val="bottom"/>
            <w:gridSpan w:val="2"/>
            <w:shd w:val="clear" w:color="auto" w:fill="CCEEFF"/>
          </w:tcPr>
          <w:p>
            <w:pPr>
              <w:jc w:val="right"/>
              <w:ind w:right="96"/>
              <w:spacing w:after="0"/>
              <w:rPr>
                <w:sz w:val="20"/>
                <w:szCs w:val="20"/>
                <w:color w:val="auto"/>
              </w:rPr>
            </w:pPr>
            <w:r>
              <w:rPr>
                <w:rFonts w:ascii="Arial" w:cs="Arial" w:eastAsia="Arial" w:hAnsi="Arial"/>
                <w:sz w:val="13"/>
                <w:szCs w:val="13"/>
                <w:color w:val="auto"/>
              </w:rPr>
              <w:t>(2,270)</w:t>
            </w: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2,371</w:t>
            </w:r>
          </w:p>
        </w:tc>
        <w:tc>
          <w:tcPr>
            <w:tcW w:w="20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63"/>
              <w:spacing w:after="0"/>
              <w:rPr>
                <w:sz w:val="20"/>
                <w:szCs w:val="20"/>
                <w:color w:val="auto"/>
              </w:rPr>
            </w:pPr>
            <w:r>
              <w:rPr>
                <w:rFonts w:ascii="Arial" w:cs="Arial" w:eastAsia="Arial" w:hAnsi="Arial"/>
                <w:sz w:val="13"/>
                <w:szCs w:val="13"/>
                <w:color w:val="auto"/>
              </w:rPr>
              <w:t>101</w:t>
            </w:r>
          </w:p>
        </w:tc>
        <w:tc>
          <w:tcPr>
            <w:tcW w:w="36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3940" w:type="dxa"/>
            <w:vAlign w:val="bottom"/>
          </w:tcPr>
          <w:p>
            <w:pPr>
              <w:spacing w:after="0"/>
              <w:rPr>
                <w:sz w:val="20"/>
                <w:szCs w:val="20"/>
                <w:color w:val="auto"/>
              </w:rPr>
            </w:pPr>
            <w:r>
              <w:rPr>
                <w:rFonts w:ascii="Arial" w:cs="Arial" w:eastAsia="Arial" w:hAnsi="Arial"/>
                <w:sz w:val="13"/>
                <w:szCs w:val="13"/>
                <w:color w:val="auto"/>
              </w:rPr>
              <w:t>Cross-currency swaps</w:t>
            </w:r>
          </w:p>
        </w:tc>
        <w:tc>
          <w:tcPr>
            <w:tcW w:w="2860" w:type="dxa"/>
            <w:vAlign w:val="bottom"/>
            <w:gridSpan w:val="2"/>
          </w:tcPr>
          <w:p>
            <w:pPr>
              <w:spacing w:after="0"/>
              <w:rPr>
                <w:sz w:val="20"/>
                <w:szCs w:val="20"/>
                <w:color w:val="auto"/>
              </w:rPr>
            </w:pPr>
            <w:r>
              <w:rPr>
                <w:rFonts w:ascii="Arial" w:cs="Arial" w:eastAsia="Arial" w:hAnsi="Arial"/>
                <w:sz w:val="13"/>
                <w:szCs w:val="13"/>
                <w:color w:val="auto"/>
              </w:rPr>
              <w:t>Interest income – loans</w:t>
            </w:r>
          </w:p>
        </w:tc>
        <w:tc>
          <w:tcPr>
            <w:tcW w:w="1400" w:type="dxa"/>
            <w:vAlign w:val="bottom"/>
            <w:gridSpan w:val="2"/>
          </w:tcPr>
          <w:p>
            <w:pPr>
              <w:jc w:val="right"/>
              <w:ind w:right="96"/>
              <w:spacing w:after="0"/>
              <w:rPr>
                <w:sz w:val="20"/>
                <w:szCs w:val="20"/>
                <w:color w:val="auto"/>
              </w:rPr>
            </w:pPr>
            <w:r>
              <w:rPr>
                <w:rFonts w:ascii="Arial" w:cs="Arial" w:eastAsia="Arial" w:hAnsi="Arial"/>
                <w:sz w:val="13"/>
                <w:szCs w:val="13"/>
                <w:color w:val="auto"/>
              </w:rPr>
              <w:t>(1,496)</w:t>
            </w:r>
          </w:p>
        </w:tc>
        <w:tc>
          <w:tcPr>
            <w:tcW w:w="1200" w:type="dxa"/>
            <w:vAlign w:val="bottom"/>
          </w:tcPr>
          <w:p>
            <w:pPr>
              <w:jc w:val="right"/>
              <w:spacing w:after="0"/>
              <w:rPr>
                <w:sz w:val="20"/>
                <w:szCs w:val="20"/>
                <w:color w:val="auto"/>
              </w:rPr>
            </w:pPr>
            <w:r>
              <w:rPr>
                <w:rFonts w:ascii="Arial" w:cs="Arial" w:eastAsia="Arial" w:hAnsi="Arial"/>
                <w:sz w:val="13"/>
                <w:szCs w:val="13"/>
                <w:color w:val="auto"/>
              </w:rPr>
              <w:t>2,442</w:t>
            </w:r>
          </w:p>
        </w:tc>
        <w:tc>
          <w:tcPr>
            <w:tcW w:w="200" w:type="dxa"/>
            <w:vAlign w:val="bottom"/>
          </w:tcPr>
          <w:p>
            <w:pPr>
              <w:spacing w:after="0"/>
              <w:rPr>
                <w:sz w:val="13"/>
                <w:szCs w:val="13"/>
                <w:color w:val="auto"/>
              </w:rPr>
            </w:pPr>
          </w:p>
        </w:tc>
        <w:tc>
          <w:tcPr>
            <w:tcW w:w="1300" w:type="dxa"/>
            <w:vAlign w:val="bottom"/>
            <w:gridSpan w:val="2"/>
          </w:tcPr>
          <w:p>
            <w:pPr>
              <w:jc w:val="right"/>
              <w:ind w:right="63"/>
              <w:spacing w:after="0"/>
              <w:rPr>
                <w:sz w:val="20"/>
                <w:szCs w:val="20"/>
                <w:color w:val="auto"/>
              </w:rPr>
            </w:pPr>
            <w:r>
              <w:rPr>
                <w:rFonts w:ascii="Arial" w:cs="Arial" w:eastAsia="Arial" w:hAnsi="Arial"/>
                <w:sz w:val="13"/>
                <w:szCs w:val="13"/>
                <w:color w:val="auto"/>
              </w:rPr>
              <w:t>946</w:t>
            </w:r>
          </w:p>
        </w:tc>
        <w:tc>
          <w:tcPr>
            <w:tcW w:w="36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3940" w:type="dxa"/>
            <w:vAlign w:val="bottom"/>
            <w:shd w:val="clear" w:color="auto" w:fill="CCEEFF"/>
          </w:tcPr>
          <w:p>
            <w:pPr>
              <w:spacing w:after="0"/>
              <w:rPr>
                <w:sz w:val="13"/>
                <w:szCs w:val="13"/>
                <w:color w:val="auto"/>
              </w:rPr>
            </w:pPr>
          </w:p>
        </w:tc>
        <w:tc>
          <w:tcPr>
            <w:tcW w:w="286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Interest expenses – borrowings and debt</w:t>
            </w: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1,848</w:t>
            </w:r>
          </w:p>
        </w:tc>
        <w:tc>
          <w:tcPr>
            <w:tcW w:w="220" w:type="dxa"/>
            <w:vAlign w:val="bottom"/>
            <w:shd w:val="clear" w:color="auto" w:fill="CCEEFF"/>
          </w:tcPr>
          <w:p>
            <w:pPr>
              <w:spacing w:after="0"/>
              <w:rPr>
                <w:sz w:val="13"/>
                <w:szCs w:val="13"/>
                <w:color w:val="auto"/>
              </w:rPr>
            </w:pPr>
          </w:p>
        </w:tc>
        <w:tc>
          <w:tcPr>
            <w:tcW w:w="1400" w:type="dxa"/>
            <w:vAlign w:val="bottom"/>
            <w:gridSpan w:val="2"/>
            <w:shd w:val="clear" w:color="auto" w:fill="CCEEFF"/>
          </w:tcPr>
          <w:p>
            <w:pPr>
              <w:jc w:val="right"/>
              <w:ind w:right="123"/>
              <w:spacing w:after="0"/>
              <w:rPr>
                <w:sz w:val="20"/>
                <w:szCs w:val="20"/>
                <w:color w:val="auto"/>
              </w:rPr>
            </w:pPr>
            <w:r>
              <w:rPr>
                <w:rFonts w:ascii="Arial" w:cs="Arial" w:eastAsia="Arial" w:hAnsi="Arial"/>
                <w:sz w:val="13"/>
                <w:szCs w:val="13"/>
                <w:color w:val="auto"/>
              </w:rPr>
              <w:t>(10,265)</w:t>
            </w:r>
          </w:p>
        </w:tc>
        <w:tc>
          <w:tcPr>
            <w:tcW w:w="1300" w:type="dxa"/>
            <w:vAlign w:val="bottom"/>
            <w:gridSpan w:val="2"/>
            <w:shd w:val="clear" w:color="auto" w:fill="CCEEFF"/>
          </w:tcPr>
          <w:p>
            <w:pPr>
              <w:jc w:val="right"/>
              <w:ind w:right="23"/>
              <w:spacing w:after="0"/>
              <w:rPr>
                <w:sz w:val="20"/>
                <w:szCs w:val="20"/>
                <w:color w:val="auto"/>
              </w:rPr>
            </w:pPr>
            <w:r>
              <w:rPr>
                <w:rFonts w:ascii="Arial" w:cs="Arial" w:eastAsia="Arial" w:hAnsi="Arial"/>
                <w:sz w:val="13"/>
                <w:szCs w:val="13"/>
                <w:color w:val="auto"/>
              </w:rPr>
              <w:t>(8,417)</w:t>
            </w:r>
          </w:p>
        </w:tc>
        <w:tc>
          <w:tcPr>
            <w:tcW w:w="360" w:type="dxa"/>
            <w:vAlign w:val="bottom"/>
          </w:tcPr>
          <w:p>
            <w:pPr>
              <w:spacing w:after="0"/>
              <w:rPr>
                <w:sz w:val="13"/>
                <w:szCs w:val="13"/>
                <w:color w:val="auto"/>
              </w:rPr>
            </w:pPr>
          </w:p>
        </w:tc>
      </w:tr>
      <w:tr>
        <w:trPr>
          <w:trHeight w:val="164"/>
        </w:trPr>
        <w:tc>
          <w:tcPr>
            <w:tcW w:w="220" w:type="dxa"/>
            <w:vAlign w:val="bottom"/>
          </w:tcPr>
          <w:p>
            <w:pPr>
              <w:spacing w:after="0"/>
              <w:rPr>
                <w:sz w:val="14"/>
                <w:szCs w:val="14"/>
                <w:color w:val="auto"/>
              </w:rPr>
            </w:pPr>
          </w:p>
        </w:tc>
        <w:tc>
          <w:tcPr>
            <w:tcW w:w="3940" w:type="dxa"/>
            <w:vAlign w:val="bottom"/>
          </w:tcPr>
          <w:p>
            <w:pPr>
              <w:spacing w:after="0"/>
              <w:rPr>
                <w:sz w:val="14"/>
                <w:szCs w:val="14"/>
                <w:color w:val="auto"/>
              </w:rPr>
            </w:pPr>
          </w:p>
        </w:tc>
        <w:tc>
          <w:tcPr>
            <w:tcW w:w="2860" w:type="dxa"/>
            <w:vAlign w:val="bottom"/>
            <w:gridSpan w:val="2"/>
          </w:tcPr>
          <w:p>
            <w:pPr>
              <w:spacing w:after="0"/>
              <w:rPr>
                <w:sz w:val="20"/>
                <w:szCs w:val="20"/>
                <w:color w:val="auto"/>
              </w:rPr>
            </w:pPr>
            <w:r>
              <w:rPr>
                <w:rFonts w:ascii="Arial" w:cs="Arial" w:eastAsia="Arial" w:hAnsi="Arial"/>
                <w:sz w:val="13"/>
                <w:szCs w:val="13"/>
                <w:color w:val="auto"/>
              </w:rPr>
              <w:t>Derivative financial instruments</w:t>
            </w:r>
          </w:p>
        </w:tc>
        <w:tc>
          <w:tcPr>
            <w:tcW w:w="1400" w:type="dxa"/>
            <w:vAlign w:val="bottom"/>
            <w:gridSpan w:val="2"/>
          </w:tcPr>
          <w:p>
            <w:pPr>
              <w:jc w:val="right"/>
              <w:ind w:right="156"/>
              <w:spacing w:after="0"/>
              <w:rPr>
                <w:sz w:val="20"/>
                <w:szCs w:val="20"/>
                <w:color w:val="auto"/>
              </w:rPr>
            </w:pPr>
            <w:r>
              <w:rPr>
                <w:rFonts w:ascii="Arial" w:cs="Arial" w:eastAsia="Arial" w:hAnsi="Arial"/>
                <w:sz w:val="13"/>
                <w:szCs w:val="13"/>
                <w:color w:val="auto"/>
              </w:rPr>
              <w:t>14,950</w:t>
            </w:r>
          </w:p>
        </w:tc>
        <w:tc>
          <w:tcPr>
            <w:tcW w:w="1400" w:type="dxa"/>
            <w:vAlign w:val="bottom"/>
            <w:gridSpan w:val="2"/>
          </w:tcPr>
          <w:p>
            <w:pPr>
              <w:jc w:val="right"/>
              <w:ind w:right="123"/>
              <w:spacing w:after="0"/>
              <w:rPr>
                <w:sz w:val="20"/>
                <w:szCs w:val="20"/>
                <w:color w:val="auto"/>
              </w:rPr>
            </w:pPr>
            <w:r>
              <w:rPr>
                <w:rFonts w:ascii="Arial" w:cs="Arial" w:eastAsia="Arial" w:hAnsi="Arial"/>
                <w:sz w:val="13"/>
                <w:szCs w:val="13"/>
                <w:color w:val="auto"/>
              </w:rPr>
              <w:t>(16,709)</w:t>
            </w:r>
          </w:p>
        </w:tc>
        <w:tc>
          <w:tcPr>
            <w:tcW w:w="1300" w:type="dxa"/>
            <w:vAlign w:val="bottom"/>
            <w:gridSpan w:val="2"/>
          </w:tcPr>
          <w:p>
            <w:pPr>
              <w:jc w:val="right"/>
              <w:ind w:right="23"/>
              <w:spacing w:after="0"/>
              <w:rPr>
                <w:sz w:val="20"/>
                <w:szCs w:val="20"/>
                <w:color w:val="auto"/>
              </w:rPr>
            </w:pPr>
            <w:r>
              <w:rPr>
                <w:rFonts w:ascii="Arial" w:cs="Arial" w:eastAsia="Arial" w:hAnsi="Arial"/>
                <w:sz w:val="13"/>
                <w:szCs w:val="13"/>
                <w:color w:val="auto"/>
              </w:rPr>
              <w:t>(1,759)</w:t>
            </w:r>
          </w:p>
        </w:tc>
        <w:tc>
          <w:tcPr>
            <w:tcW w:w="360" w:type="dxa"/>
            <w:vAlign w:val="bottom"/>
          </w:tcPr>
          <w:p>
            <w:pPr>
              <w:spacing w:after="0"/>
              <w:rPr>
                <w:sz w:val="14"/>
                <w:szCs w:val="14"/>
                <w:color w:val="auto"/>
              </w:rPr>
            </w:pPr>
          </w:p>
        </w:tc>
      </w:tr>
      <w:tr>
        <w:trPr>
          <w:trHeight w:val="173"/>
        </w:trPr>
        <w:tc>
          <w:tcPr>
            <w:tcW w:w="220" w:type="dxa"/>
            <w:vAlign w:val="bottom"/>
          </w:tcPr>
          <w:p>
            <w:pPr>
              <w:spacing w:after="0"/>
              <w:rPr>
                <w:sz w:val="15"/>
                <w:szCs w:val="15"/>
                <w:color w:val="auto"/>
              </w:rPr>
            </w:pPr>
          </w:p>
        </w:tc>
        <w:tc>
          <w:tcPr>
            <w:tcW w:w="3940" w:type="dxa"/>
            <w:vAlign w:val="bottom"/>
            <w:tcBorders>
              <w:top w:val="single" w:sz="8" w:color="CCEEFF"/>
              <w:bottom w:val="single" w:sz="8" w:color="CCEEFF"/>
            </w:tcBorders>
            <w:shd w:val="clear" w:color="auto" w:fill="CCEEFF"/>
          </w:tcPr>
          <w:p>
            <w:pPr>
              <w:ind w:left="20"/>
              <w:spacing w:after="0" w:line="146" w:lineRule="exact"/>
              <w:rPr>
                <w:sz w:val="20"/>
                <w:szCs w:val="20"/>
                <w:color w:val="auto"/>
              </w:rPr>
            </w:pPr>
            <w:r>
              <w:rPr>
                <w:rFonts w:ascii="Arial" w:cs="Arial" w:eastAsia="Arial" w:hAnsi="Arial"/>
                <w:sz w:val="13"/>
                <w:szCs w:val="13"/>
                <w:b w:val="1"/>
                <w:bCs w:val="1"/>
                <w:color w:val="auto"/>
              </w:rPr>
              <w:t>Total</w:t>
            </w:r>
          </w:p>
        </w:tc>
        <w:tc>
          <w:tcPr>
            <w:tcW w:w="2740" w:type="dxa"/>
            <w:vAlign w:val="bottom"/>
            <w:tcBorders>
              <w:top w:val="single" w:sz="8" w:color="CCEEFF"/>
              <w:bottom w:val="single" w:sz="8" w:color="CCEEFF"/>
            </w:tcBorders>
            <w:shd w:val="clear" w:color="auto" w:fill="CCEEFF"/>
          </w:tcPr>
          <w:p>
            <w:pPr>
              <w:spacing w:after="0"/>
              <w:rPr>
                <w:sz w:val="15"/>
                <w:szCs w:val="15"/>
                <w:color w:val="auto"/>
              </w:rPr>
            </w:pPr>
          </w:p>
        </w:tc>
        <w:tc>
          <w:tcPr>
            <w:tcW w:w="120" w:type="dxa"/>
            <w:vAlign w:val="bottom"/>
            <w:tcBorders>
              <w:top w:val="single" w:sz="8" w:color="CCEEFF"/>
              <w:bottom w:val="single" w:sz="8" w:color="CCEEFF"/>
            </w:tcBorders>
            <w:shd w:val="clear" w:color="auto" w:fill="CCEEFF"/>
          </w:tcPr>
          <w:p>
            <w:pPr>
              <w:spacing w:after="0"/>
              <w:rPr>
                <w:sz w:val="15"/>
                <w:szCs w:val="15"/>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14,281</w:t>
            </w:r>
          </w:p>
        </w:tc>
        <w:tc>
          <w:tcPr>
            <w:tcW w:w="220" w:type="dxa"/>
            <w:vAlign w:val="bottom"/>
            <w:tcBorders>
              <w:top w:val="single" w:sz="8" w:color="CCEEFF"/>
              <w:bottom w:val="single" w:sz="8" w:color="CCEEFF"/>
            </w:tcBorders>
            <w:shd w:val="clear" w:color="auto" w:fill="CCEEFF"/>
          </w:tcPr>
          <w:p>
            <w:pPr>
              <w:spacing w:after="0"/>
              <w:rPr>
                <w:sz w:val="15"/>
                <w:szCs w:val="15"/>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(37,758</w:t>
            </w:r>
          </w:p>
        </w:tc>
        <w:tc>
          <w:tcPr>
            <w:tcW w:w="200" w:type="dxa"/>
            <w:vAlign w:val="bottom"/>
            <w:tcBorders>
              <w:top w:val="single" w:sz="8" w:color="CCEEFF"/>
              <w:bottom w:val="single" w:sz="8" w:color="CCEEFF"/>
            </w:tcBorders>
            <w:shd w:val="clear" w:color="auto" w:fill="CCEEFF"/>
          </w:tcPr>
          <w:p>
            <w:pPr>
              <w:jc w:val="right"/>
              <w:ind w:right="123"/>
              <w:spacing w:after="0"/>
              <w:rPr>
                <w:sz w:val="20"/>
                <w:szCs w:val="20"/>
                <w:color w:val="auto"/>
              </w:rPr>
            </w:pPr>
            <w:r>
              <w:rPr>
                <w:rFonts w:ascii="Arial" w:cs="Arial" w:eastAsia="Arial" w:hAnsi="Arial"/>
                <w:sz w:val="7"/>
                <w:szCs w:val="7"/>
                <w:b w:val="1"/>
                <w:bCs w:val="1"/>
                <w:color w:val="auto"/>
                <w:w w:val="83"/>
              </w:rPr>
              <w:t>)</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(23,477</w:t>
            </w:r>
          </w:p>
        </w:tc>
        <w:tc>
          <w:tcPr>
            <w:tcW w:w="100" w:type="dxa"/>
            <w:vAlign w:val="bottom"/>
            <w:tcBorders>
              <w:top w:val="single" w:sz="8" w:color="CCEEFF"/>
              <w:bottom w:val="single" w:sz="8" w:color="CCEEFF"/>
            </w:tcBorders>
            <w:shd w:val="clear" w:color="auto" w:fill="CCEEFF"/>
          </w:tcPr>
          <w:p>
            <w:pPr>
              <w:jc w:val="right"/>
              <w:ind w:right="23"/>
              <w:spacing w:after="0"/>
              <w:rPr>
                <w:sz w:val="20"/>
                <w:szCs w:val="20"/>
                <w:color w:val="auto"/>
              </w:rPr>
            </w:pPr>
            <w:r>
              <w:rPr>
                <w:rFonts w:ascii="Arial" w:cs="Arial" w:eastAsia="Arial" w:hAnsi="Arial"/>
                <w:sz w:val="7"/>
                <w:szCs w:val="7"/>
                <w:b w:val="1"/>
                <w:bCs w:val="1"/>
                <w:color w:val="auto"/>
                <w:w w:val="83"/>
              </w:rPr>
              <w:t>)</w:t>
            </w:r>
          </w:p>
        </w:tc>
        <w:tc>
          <w:tcPr>
            <w:tcW w:w="360" w:type="dxa"/>
            <w:vAlign w:val="bottom"/>
          </w:tcPr>
          <w:p>
            <w:pPr>
              <w:spacing w:after="0"/>
              <w:rPr>
                <w:sz w:val="15"/>
                <w:szCs w:val="15"/>
                <w:color w:val="auto"/>
              </w:rPr>
            </w:pPr>
          </w:p>
        </w:tc>
      </w:tr>
      <w:tr>
        <w:trPr>
          <w:trHeight w:val="455"/>
        </w:trPr>
        <w:tc>
          <w:tcPr>
            <w:tcW w:w="220" w:type="dxa"/>
            <w:vAlign w:val="bottom"/>
            <w:tcBorders>
              <w:bottom w:val="single" w:sz="8" w:color="auto"/>
            </w:tcBorders>
          </w:tcPr>
          <w:p>
            <w:pPr>
              <w:spacing w:after="0"/>
              <w:rPr>
                <w:sz w:val="24"/>
                <w:szCs w:val="24"/>
                <w:color w:val="auto"/>
              </w:rPr>
            </w:pPr>
          </w:p>
        </w:tc>
        <w:tc>
          <w:tcPr>
            <w:tcW w:w="3940" w:type="dxa"/>
            <w:vAlign w:val="bottom"/>
            <w:tcBorders>
              <w:bottom w:val="single" w:sz="8" w:color="auto"/>
            </w:tcBorders>
          </w:tcPr>
          <w:p>
            <w:pPr>
              <w:spacing w:after="0"/>
              <w:rPr>
                <w:sz w:val="24"/>
                <w:szCs w:val="24"/>
                <w:color w:val="auto"/>
              </w:rPr>
            </w:pPr>
          </w:p>
        </w:tc>
        <w:tc>
          <w:tcPr>
            <w:tcW w:w="2860" w:type="dxa"/>
            <w:vAlign w:val="bottom"/>
            <w:tcBorders>
              <w:bottom w:val="single" w:sz="8" w:color="auto"/>
            </w:tcBorders>
            <w:gridSpan w:val="2"/>
          </w:tcPr>
          <w:p>
            <w:pPr>
              <w:ind w:left="1460"/>
              <w:spacing w:after="0"/>
              <w:rPr>
                <w:sz w:val="20"/>
                <w:szCs w:val="20"/>
                <w:color w:val="auto"/>
              </w:rPr>
            </w:pPr>
            <w:r>
              <w:rPr>
                <w:rFonts w:ascii="Arial" w:cs="Arial" w:eastAsia="Arial" w:hAnsi="Arial"/>
                <w:sz w:val="13"/>
                <w:szCs w:val="13"/>
                <w:color w:val="auto"/>
              </w:rPr>
              <w:t>F-57</w:t>
            </w: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r>
    </w:tbl>
    <w:p>
      <w:pPr>
        <w:sectPr>
          <w:pgSz w:w="11900" w:h="16838" w:orient="portrait"/>
          <w:cols w:equalWidth="0" w:num="1">
            <w:col w:w="11483"/>
          </w:cols>
          <w:pgMar w:left="217" w:top="685" w:right="199" w:bottom="1440" w:gutter="0" w:footer="0" w:header="0"/>
        </w:sectPr>
      </w:pPr>
    </w:p>
    <w:bookmarkStart w:id="182" w:name="page183"/>
    <w:bookmarkEnd w:id="182"/>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27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145"/>
        </w:numPr>
        <w:rPr>
          <w:rFonts w:ascii="Arial" w:cs="Arial" w:eastAsia="Arial" w:hAnsi="Arial"/>
          <w:sz w:val="13"/>
          <w:szCs w:val="13"/>
          <w:b w:val="1"/>
          <w:bCs w:val="1"/>
          <w:color w:val="auto"/>
        </w:rPr>
      </w:pPr>
      <w:r>
        <w:rPr>
          <w:rFonts w:ascii="Arial" w:cs="Arial" w:eastAsia="Arial" w:hAnsi="Arial"/>
          <w:sz w:val="13"/>
          <w:szCs w:val="13"/>
          <w:b w:val="1"/>
          <w:bCs w:val="1"/>
          <w:color w:val="auto"/>
        </w:rPr>
        <w:t>Derivative financial instruments (continued)</w:t>
      </w:r>
    </w:p>
    <w:p>
      <w:pPr>
        <w:spacing w:after="0" w:line="168" w:lineRule="exact"/>
        <w:rPr>
          <w:sz w:val="20"/>
          <w:szCs w:val="20"/>
          <w:color w:val="auto"/>
        </w:rPr>
      </w:pPr>
    </w:p>
    <w:tbl>
      <w:tblPr>
        <w:tblLayout w:type="fixed"/>
        <w:tblInd w:w="223" w:type="dxa"/>
        <w:tblCellMar>
          <w:top w:w="0" w:type="dxa"/>
          <w:left w:w="0" w:type="dxa"/>
          <w:bottom w:w="0" w:type="dxa"/>
          <w:right w:w="0" w:type="dxa"/>
        </w:tblCellMar>
      </w:tblPr>
      <w:tr>
        <w:trPr>
          <w:trHeight w:val="167"/>
        </w:trPr>
        <w:tc>
          <w:tcPr>
            <w:tcW w:w="3940" w:type="dxa"/>
            <w:vAlign w:val="bottom"/>
          </w:tcPr>
          <w:p>
            <w:pPr>
              <w:spacing w:after="0"/>
              <w:rPr>
                <w:sz w:val="14"/>
                <w:szCs w:val="14"/>
                <w:color w:val="auto"/>
              </w:rPr>
            </w:pPr>
          </w:p>
        </w:tc>
        <w:tc>
          <w:tcPr>
            <w:tcW w:w="274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400" w:type="dxa"/>
            <w:vAlign w:val="bottom"/>
            <w:tcBorders>
              <w:bottom w:val="single" w:sz="8" w:color="auto"/>
            </w:tcBorders>
            <w:gridSpan w:val="2"/>
          </w:tcPr>
          <w:p>
            <w:pPr>
              <w:jc w:val="right"/>
              <w:ind w:right="260"/>
              <w:spacing w:after="0"/>
              <w:rPr>
                <w:sz w:val="20"/>
                <w:szCs w:val="20"/>
                <w:color w:val="auto"/>
              </w:rPr>
            </w:pPr>
            <w:r>
              <w:rPr>
                <w:rFonts w:ascii="Arial" w:cs="Arial" w:eastAsia="Arial" w:hAnsi="Arial"/>
                <w:sz w:val="13"/>
                <w:szCs w:val="13"/>
                <w:b w:val="1"/>
                <w:bCs w:val="1"/>
                <w:color w:val="auto"/>
                <w:w w:val="95"/>
              </w:rPr>
              <w:t>December 31, 2016</w:t>
            </w:r>
          </w:p>
        </w:tc>
        <w:tc>
          <w:tcPr>
            <w:tcW w:w="120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20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r>
      <w:tr>
        <w:trPr>
          <w:trHeight w:val="131"/>
        </w:trPr>
        <w:tc>
          <w:tcPr>
            <w:tcW w:w="3940" w:type="dxa"/>
            <w:vAlign w:val="bottom"/>
          </w:tcPr>
          <w:p>
            <w:pPr>
              <w:spacing w:after="0"/>
              <w:rPr>
                <w:sz w:val="11"/>
                <w:szCs w:val="11"/>
                <w:color w:val="auto"/>
              </w:rPr>
            </w:pPr>
          </w:p>
        </w:tc>
        <w:tc>
          <w:tcPr>
            <w:tcW w:w="27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400" w:type="dxa"/>
            <w:vAlign w:val="bottom"/>
            <w:gridSpan w:val="2"/>
          </w:tcPr>
          <w:p>
            <w:pPr>
              <w:jc w:val="center"/>
              <w:ind w:right="220"/>
              <w:spacing w:after="0" w:line="131" w:lineRule="exact"/>
              <w:rPr>
                <w:sz w:val="20"/>
                <w:szCs w:val="20"/>
                <w:color w:val="auto"/>
              </w:rPr>
            </w:pPr>
            <w:r>
              <w:rPr>
                <w:rFonts w:ascii="Arial" w:cs="Arial" w:eastAsia="Arial" w:hAnsi="Arial"/>
                <w:sz w:val="13"/>
                <w:szCs w:val="13"/>
                <w:b w:val="1"/>
                <w:bCs w:val="1"/>
                <w:color w:val="auto"/>
                <w:w w:val="86"/>
              </w:rPr>
              <w:t>Gain (loss)</w:t>
            </w:r>
          </w:p>
        </w:tc>
        <w:tc>
          <w:tcPr>
            <w:tcW w:w="12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20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54"/>
        </w:trPr>
        <w:tc>
          <w:tcPr>
            <w:tcW w:w="3940" w:type="dxa"/>
            <w:vAlign w:val="bottom"/>
          </w:tcPr>
          <w:p>
            <w:pPr>
              <w:spacing w:after="0"/>
              <w:rPr>
                <w:sz w:val="13"/>
                <w:szCs w:val="13"/>
                <w:color w:val="auto"/>
              </w:rPr>
            </w:pPr>
          </w:p>
        </w:tc>
        <w:tc>
          <w:tcPr>
            <w:tcW w:w="2860" w:type="dxa"/>
            <w:vAlign w:val="bottom"/>
            <w:gridSpan w:val="2"/>
          </w:tcPr>
          <w:p>
            <w:pPr>
              <w:ind w:left="560"/>
              <w:spacing w:after="0"/>
              <w:rPr>
                <w:sz w:val="20"/>
                <w:szCs w:val="20"/>
                <w:color w:val="auto"/>
              </w:rPr>
            </w:pPr>
            <w:r>
              <w:rPr>
                <w:rFonts w:ascii="Arial" w:cs="Arial" w:eastAsia="Arial" w:hAnsi="Arial"/>
                <w:sz w:val="13"/>
                <w:szCs w:val="13"/>
                <w:b w:val="1"/>
                <w:bCs w:val="1"/>
                <w:color w:val="auto"/>
              </w:rPr>
              <w:t>Classification in consolidated</w:t>
            </w:r>
          </w:p>
        </w:tc>
        <w:tc>
          <w:tcPr>
            <w:tcW w:w="14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7"/>
              </w:rPr>
              <w:t>on</w:t>
            </w:r>
          </w:p>
        </w:tc>
        <w:tc>
          <w:tcPr>
            <w:tcW w:w="1400" w:type="dxa"/>
            <w:vAlign w:val="bottom"/>
            <w:gridSpan w:val="2"/>
          </w:tcPr>
          <w:p>
            <w:pPr>
              <w:jc w:val="right"/>
              <w:ind w:right="383"/>
              <w:spacing w:after="0"/>
              <w:rPr>
                <w:sz w:val="20"/>
                <w:szCs w:val="20"/>
                <w:color w:val="auto"/>
              </w:rPr>
            </w:pPr>
            <w:r>
              <w:rPr>
                <w:rFonts w:ascii="Arial" w:cs="Arial" w:eastAsia="Arial" w:hAnsi="Arial"/>
                <w:sz w:val="13"/>
                <w:szCs w:val="13"/>
                <w:b w:val="1"/>
                <w:bCs w:val="1"/>
                <w:color w:val="auto"/>
              </w:rPr>
              <w:t>Gain (loss) on</w:t>
            </w: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67"/>
        </w:trPr>
        <w:tc>
          <w:tcPr>
            <w:tcW w:w="3940" w:type="dxa"/>
            <w:vAlign w:val="bottom"/>
          </w:tcPr>
          <w:p>
            <w:pPr>
              <w:spacing w:after="0"/>
              <w:rPr>
                <w:sz w:val="14"/>
                <w:szCs w:val="14"/>
                <w:color w:val="auto"/>
              </w:rPr>
            </w:pPr>
          </w:p>
        </w:tc>
        <w:tc>
          <w:tcPr>
            <w:tcW w:w="2860" w:type="dxa"/>
            <w:vAlign w:val="bottom"/>
            <w:gridSpan w:val="2"/>
          </w:tcPr>
          <w:p>
            <w:pPr>
              <w:ind w:left="680"/>
              <w:spacing w:after="0"/>
              <w:rPr>
                <w:sz w:val="20"/>
                <w:szCs w:val="20"/>
                <w:color w:val="auto"/>
              </w:rPr>
            </w:pPr>
            <w:r>
              <w:rPr>
                <w:rFonts w:ascii="Arial" w:cs="Arial" w:eastAsia="Arial" w:hAnsi="Arial"/>
                <w:sz w:val="13"/>
                <w:szCs w:val="13"/>
                <w:b w:val="1"/>
                <w:bCs w:val="1"/>
                <w:color w:val="auto"/>
              </w:rPr>
              <w:t>statement of profit or loss</w:t>
            </w:r>
          </w:p>
        </w:tc>
        <w:tc>
          <w:tcPr>
            <w:tcW w:w="140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8"/>
              </w:rPr>
              <w:t>derivatives</w:t>
            </w:r>
          </w:p>
        </w:tc>
        <w:tc>
          <w:tcPr>
            <w:tcW w:w="1400" w:type="dxa"/>
            <w:vAlign w:val="bottom"/>
            <w:gridSpan w:val="2"/>
          </w:tcPr>
          <w:p>
            <w:pPr>
              <w:jc w:val="right"/>
              <w:ind w:right="443"/>
              <w:spacing w:after="0"/>
              <w:rPr>
                <w:sz w:val="20"/>
                <w:szCs w:val="20"/>
                <w:color w:val="auto"/>
              </w:rPr>
            </w:pPr>
            <w:r>
              <w:rPr>
                <w:rFonts w:ascii="Arial" w:cs="Arial" w:eastAsia="Arial" w:hAnsi="Arial"/>
                <w:sz w:val="13"/>
                <w:szCs w:val="13"/>
                <w:b w:val="1"/>
                <w:bCs w:val="1"/>
                <w:color w:val="auto"/>
              </w:rPr>
              <w:t>hedged item</w:t>
            </w:r>
          </w:p>
        </w:tc>
        <w:tc>
          <w:tcPr>
            <w:tcW w:w="1300" w:type="dxa"/>
            <w:vAlign w:val="bottom"/>
            <w:gridSpan w:val="2"/>
          </w:tcPr>
          <w:p>
            <w:pPr>
              <w:jc w:val="right"/>
              <w:ind w:right="263"/>
              <w:spacing w:after="0"/>
              <w:rPr>
                <w:sz w:val="20"/>
                <w:szCs w:val="20"/>
                <w:color w:val="auto"/>
              </w:rPr>
            </w:pPr>
            <w:r>
              <w:rPr>
                <w:rFonts w:ascii="Arial" w:cs="Arial" w:eastAsia="Arial" w:hAnsi="Arial"/>
                <w:sz w:val="13"/>
                <w:szCs w:val="13"/>
                <w:b w:val="1"/>
                <w:bCs w:val="1"/>
                <w:color w:val="auto"/>
              </w:rPr>
              <w:t>Net gain (loss)</w:t>
            </w:r>
          </w:p>
        </w:tc>
      </w:tr>
      <w:tr>
        <w:trPr>
          <w:trHeight w:val="144"/>
        </w:trPr>
        <w:tc>
          <w:tcPr>
            <w:tcW w:w="3940" w:type="dxa"/>
            <w:vAlign w:val="bottom"/>
            <w:tcBorders>
              <w:top w:val="single" w:sz="8" w:color="CCEEFF"/>
            </w:tcBorders>
            <w:shd w:val="clear" w:color="auto" w:fill="CCEEFF"/>
          </w:tcPr>
          <w:p>
            <w:pPr>
              <w:ind w:left="20"/>
              <w:spacing w:after="0" w:line="144" w:lineRule="exact"/>
              <w:rPr>
                <w:sz w:val="20"/>
                <w:szCs w:val="20"/>
                <w:color w:val="auto"/>
              </w:rPr>
            </w:pPr>
            <w:r>
              <w:rPr>
                <w:rFonts w:ascii="Arial" w:cs="Arial" w:eastAsia="Arial" w:hAnsi="Arial"/>
                <w:sz w:val="13"/>
                <w:szCs w:val="13"/>
                <w:b w:val="1"/>
                <w:bCs w:val="1"/>
                <w:color w:val="auto"/>
              </w:rPr>
              <w:t>Derivatives – fair value hedge</w:t>
            </w:r>
          </w:p>
        </w:tc>
        <w:tc>
          <w:tcPr>
            <w:tcW w:w="274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r>
      <w:tr>
        <w:trPr>
          <w:trHeight w:val="154"/>
        </w:trPr>
        <w:tc>
          <w:tcPr>
            <w:tcW w:w="3940" w:type="dxa"/>
            <w:vAlign w:val="bottom"/>
          </w:tcPr>
          <w:p>
            <w:pPr>
              <w:spacing w:after="0"/>
              <w:rPr>
                <w:sz w:val="20"/>
                <w:szCs w:val="20"/>
                <w:color w:val="auto"/>
              </w:rPr>
            </w:pPr>
            <w:r>
              <w:rPr>
                <w:rFonts w:ascii="Arial" w:cs="Arial" w:eastAsia="Arial" w:hAnsi="Arial"/>
                <w:sz w:val="13"/>
                <w:szCs w:val="13"/>
                <w:color w:val="auto"/>
              </w:rPr>
              <w:t>Interest rate swaps</w:t>
            </w:r>
          </w:p>
        </w:tc>
        <w:tc>
          <w:tcPr>
            <w:tcW w:w="2860" w:type="dxa"/>
            <w:vAlign w:val="bottom"/>
            <w:gridSpan w:val="2"/>
          </w:tcPr>
          <w:p>
            <w:pPr>
              <w:spacing w:after="0"/>
              <w:rPr>
                <w:sz w:val="20"/>
                <w:szCs w:val="20"/>
                <w:color w:val="auto"/>
              </w:rPr>
            </w:pPr>
            <w:r>
              <w:rPr>
                <w:rFonts w:ascii="Arial" w:cs="Arial" w:eastAsia="Arial" w:hAnsi="Arial"/>
                <w:sz w:val="13"/>
                <w:szCs w:val="13"/>
                <w:color w:val="auto"/>
              </w:rPr>
              <w:t>Interest income – securities FVOCI</w:t>
            </w:r>
          </w:p>
        </w:tc>
        <w:tc>
          <w:tcPr>
            <w:tcW w:w="1400" w:type="dxa"/>
            <w:vAlign w:val="bottom"/>
            <w:gridSpan w:val="2"/>
          </w:tcPr>
          <w:p>
            <w:pPr>
              <w:jc w:val="right"/>
              <w:ind w:right="160"/>
              <w:spacing w:after="0"/>
              <w:rPr>
                <w:sz w:val="20"/>
                <w:szCs w:val="20"/>
                <w:color w:val="auto"/>
              </w:rPr>
            </w:pPr>
            <w:r>
              <w:rPr>
                <w:rFonts w:ascii="Arial" w:cs="Arial" w:eastAsia="Arial" w:hAnsi="Arial"/>
                <w:sz w:val="13"/>
                <w:szCs w:val="13"/>
                <w:color w:val="auto"/>
              </w:rPr>
              <w:t>(617)</w:t>
            </w:r>
          </w:p>
        </w:tc>
        <w:tc>
          <w:tcPr>
            <w:tcW w:w="1200" w:type="dxa"/>
            <w:vAlign w:val="bottom"/>
          </w:tcPr>
          <w:p>
            <w:pPr>
              <w:jc w:val="right"/>
              <w:spacing w:after="0"/>
              <w:rPr>
                <w:sz w:val="20"/>
                <w:szCs w:val="20"/>
                <w:color w:val="auto"/>
              </w:rPr>
            </w:pPr>
            <w:r>
              <w:rPr>
                <w:rFonts w:ascii="Arial" w:cs="Arial" w:eastAsia="Arial" w:hAnsi="Arial"/>
                <w:sz w:val="13"/>
                <w:szCs w:val="13"/>
                <w:color w:val="auto"/>
              </w:rPr>
              <w:t>1,593</w:t>
            </w:r>
          </w:p>
        </w:tc>
        <w:tc>
          <w:tcPr>
            <w:tcW w:w="200" w:type="dxa"/>
            <w:vAlign w:val="bottom"/>
          </w:tcPr>
          <w:p>
            <w:pPr>
              <w:spacing w:after="0"/>
              <w:rPr>
                <w:sz w:val="13"/>
                <w:szCs w:val="13"/>
                <w:color w:val="auto"/>
              </w:rPr>
            </w:pPr>
          </w:p>
        </w:tc>
        <w:tc>
          <w:tcPr>
            <w:tcW w:w="1300" w:type="dxa"/>
            <w:vAlign w:val="bottom"/>
            <w:gridSpan w:val="2"/>
          </w:tcPr>
          <w:p>
            <w:pPr>
              <w:jc w:val="right"/>
              <w:ind w:right="63"/>
              <w:spacing w:after="0"/>
              <w:rPr>
                <w:sz w:val="20"/>
                <w:szCs w:val="20"/>
                <w:color w:val="auto"/>
              </w:rPr>
            </w:pPr>
            <w:r>
              <w:rPr>
                <w:rFonts w:ascii="Arial" w:cs="Arial" w:eastAsia="Arial" w:hAnsi="Arial"/>
                <w:sz w:val="13"/>
                <w:szCs w:val="13"/>
                <w:color w:val="auto"/>
              </w:rPr>
              <w:t>976</w:t>
            </w:r>
          </w:p>
        </w:tc>
      </w:tr>
      <w:tr>
        <w:trPr>
          <w:trHeight w:val="154"/>
        </w:trPr>
        <w:tc>
          <w:tcPr>
            <w:tcW w:w="3940" w:type="dxa"/>
            <w:vAlign w:val="bottom"/>
            <w:shd w:val="clear" w:color="auto" w:fill="CCEEFF"/>
          </w:tcPr>
          <w:p>
            <w:pPr>
              <w:spacing w:after="0"/>
              <w:rPr>
                <w:sz w:val="13"/>
                <w:szCs w:val="13"/>
                <w:color w:val="auto"/>
              </w:rPr>
            </w:pPr>
          </w:p>
        </w:tc>
        <w:tc>
          <w:tcPr>
            <w:tcW w:w="286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Interest income – loans</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(25)</w:t>
            </w: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2,023</w:t>
            </w:r>
          </w:p>
        </w:tc>
        <w:tc>
          <w:tcPr>
            <w:tcW w:w="20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63"/>
              <w:spacing w:after="0"/>
              <w:rPr>
                <w:sz w:val="20"/>
                <w:szCs w:val="20"/>
                <w:color w:val="auto"/>
              </w:rPr>
            </w:pPr>
            <w:r>
              <w:rPr>
                <w:rFonts w:ascii="Arial" w:cs="Arial" w:eastAsia="Arial" w:hAnsi="Arial"/>
                <w:sz w:val="13"/>
                <w:szCs w:val="13"/>
                <w:color w:val="auto"/>
              </w:rPr>
              <w:t>1,998</w:t>
            </w:r>
          </w:p>
        </w:tc>
      </w:tr>
      <w:tr>
        <w:trPr>
          <w:trHeight w:val="154"/>
        </w:trPr>
        <w:tc>
          <w:tcPr>
            <w:tcW w:w="3940" w:type="dxa"/>
            <w:vAlign w:val="bottom"/>
          </w:tcPr>
          <w:p>
            <w:pPr>
              <w:spacing w:after="0"/>
              <w:rPr>
                <w:sz w:val="13"/>
                <w:szCs w:val="13"/>
                <w:color w:val="auto"/>
              </w:rPr>
            </w:pPr>
          </w:p>
        </w:tc>
        <w:tc>
          <w:tcPr>
            <w:tcW w:w="2860" w:type="dxa"/>
            <w:vAlign w:val="bottom"/>
            <w:gridSpan w:val="2"/>
          </w:tcPr>
          <w:p>
            <w:pPr>
              <w:spacing w:after="0"/>
              <w:rPr>
                <w:sz w:val="20"/>
                <w:szCs w:val="20"/>
                <w:color w:val="auto"/>
              </w:rPr>
            </w:pPr>
            <w:r>
              <w:rPr>
                <w:rFonts w:ascii="Arial" w:cs="Arial" w:eastAsia="Arial" w:hAnsi="Arial"/>
                <w:sz w:val="13"/>
                <w:szCs w:val="13"/>
                <w:color w:val="auto"/>
              </w:rPr>
              <w:t>Interest expenses – borrowings and debt</w:t>
            </w:r>
          </w:p>
        </w:tc>
        <w:tc>
          <w:tcPr>
            <w:tcW w:w="1180" w:type="dxa"/>
            <w:vAlign w:val="bottom"/>
          </w:tcPr>
          <w:p>
            <w:pPr>
              <w:jc w:val="right"/>
              <w:spacing w:after="0"/>
              <w:rPr>
                <w:sz w:val="20"/>
                <w:szCs w:val="20"/>
                <w:color w:val="auto"/>
              </w:rPr>
            </w:pPr>
            <w:r>
              <w:rPr>
                <w:rFonts w:ascii="Arial" w:cs="Arial" w:eastAsia="Arial" w:hAnsi="Arial"/>
                <w:sz w:val="13"/>
                <w:szCs w:val="13"/>
                <w:color w:val="auto"/>
              </w:rPr>
              <w:t>4,558</w:t>
            </w:r>
          </w:p>
        </w:tc>
        <w:tc>
          <w:tcPr>
            <w:tcW w:w="220" w:type="dxa"/>
            <w:vAlign w:val="bottom"/>
          </w:tcPr>
          <w:p>
            <w:pPr>
              <w:spacing w:after="0"/>
              <w:rPr>
                <w:sz w:val="13"/>
                <w:szCs w:val="13"/>
                <w:color w:val="auto"/>
              </w:rPr>
            </w:pPr>
          </w:p>
        </w:tc>
        <w:tc>
          <w:tcPr>
            <w:tcW w:w="1400" w:type="dxa"/>
            <w:vAlign w:val="bottom"/>
            <w:gridSpan w:val="2"/>
          </w:tcPr>
          <w:p>
            <w:pPr>
              <w:jc w:val="right"/>
              <w:ind w:right="123"/>
              <w:spacing w:after="0"/>
              <w:rPr>
                <w:sz w:val="20"/>
                <w:szCs w:val="20"/>
                <w:color w:val="auto"/>
              </w:rPr>
            </w:pPr>
            <w:r>
              <w:rPr>
                <w:rFonts w:ascii="Arial" w:cs="Arial" w:eastAsia="Arial" w:hAnsi="Arial"/>
                <w:sz w:val="13"/>
                <w:szCs w:val="13"/>
                <w:color w:val="auto"/>
              </w:rPr>
              <w:t>(28,261)</w:t>
            </w:r>
          </w:p>
        </w:tc>
        <w:tc>
          <w:tcPr>
            <w:tcW w:w="1300" w:type="dxa"/>
            <w:vAlign w:val="bottom"/>
            <w:gridSpan w:val="2"/>
          </w:tcPr>
          <w:p>
            <w:pPr>
              <w:jc w:val="right"/>
              <w:ind w:right="23"/>
              <w:spacing w:after="0"/>
              <w:rPr>
                <w:sz w:val="20"/>
                <w:szCs w:val="20"/>
                <w:color w:val="auto"/>
              </w:rPr>
            </w:pPr>
            <w:r>
              <w:rPr>
                <w:rFonts w:ascii="Arial" w:cs="Arial" w:eastAsia="Arial" w:hAnsi="Arial"/>
                <w:sz w:val="13"/>
                <w:szCs w:val="13"/>
                <w:color w:val="auto"/>
              </w:rPr>
              <w:t>(23,703)</w:t>
            </w:r>
          </w:p>
        </w:tc>
      </w:tr>
      <w:tr>
        <w:trPr>
          <w:trHeight w:val="154"/>
        </w:trPr>
        <w:tc>
          <w:tcPr>
            <w:tcW w:w="3940" w:type="dxa"/>
            <w:vAlign w:val="bottom"/>
            <w:shd w:val="clear" w:color="auto" w:fill="CCEEFF"/>
          </w:tcPr>
          <w:p>
            <w:pPr>
              <w:spacing w:after="0"/>
              <w:rPr>
                <w:sz w:val="13"/>
                <w:szCs w:val="13"/>
                <w:color w:val="auto"/>
              </w:rPr>
            </w:pPr>
          </w:p>
        </w:tc>
        <w:tc>
          <w:tcPr>
            <w:tcW w:w="286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Derivative financial instruments</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(2,077)</w:t>
            </w: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2,178</w:t>
            </w:r>
          </w:p>
        </w:tc>
        <w:tc>
          <w:tcPr>
            <w:tcW w:w="20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63"/>
              <w:spacing w:after="0"/>
              <w:rPr>
                <w:sz w:val="20"/>
                <w:szCs w:val="20"/>
                <w:color w:val="auto"/>
              </w:rPr>
            </w:pPr>
            <w:r>
              <w:rPr>
                <w:rFonts w:ascii="Arial" w:cs="Arial" w:eastAsia="Arial" w:hAnsi="Arial"/>
                <w:sz w:val="13"/>
                <w:szCs w:val="13"/>
                <w:color w:val="auto"/>
              </w:rPr>
              <w:t>101</w:t>
            </w:r>
          </w:p>
        </w:tc>
      </w:tr>
      <w:tr>
        <w:trPr>
          <w:trHeight w:val="154"/>
        </w:trPr>
        <w:tc>
          <w:tcPr>
            <w:tcW w:w="3940" w:type="dxa"/>
            <w:vAlign w:val="bottom"/>
          </w:tcPr>
          <w:p>
            <w:pPr>
              <w:spacing w:after="0"/>
              <w:rPr>
                <w:sz w:val="20"/>
                <w:szCs w:val="20"/>
                <w:color w:val="auto"/>
              </w:rPr>
            </w:pPr>
            <w:r>
              <w:rPr>
                <w:rFonts w:ascii="Arial" w:cs="Arial" w:eastAsia="Arial" w:hAnsi="Arial"/>
                <w:sz w:val="13"/>
                <w:szCs w:val="13"/>
                <w:color w:val="auto"/>
              </w:rPr>
              <w:t>Cross-currency swaps</w:t>
            </w:r>
          </w:p>
        </w:tc>
        <w:tc>
          <w:tcPr>
            <w:tcW w:w="2860" w:type="dxa"/>
            <w:vAlign w:val="bottom"/>
            <w:gridSpan w:val="2"/>
          </w:tcPr>
          <w:p>
            <w:pPr>
              <w:spacing w:after="0"/>
              <w:rPr>
                <w:sz w:val="20"/>
                <w:szCs w:val="20"/>
                <w:color w:val="auto"/>
              </w:rPr>
            </w:pPr>
            <w:r>
              <w:rPr>
                <w:rFonts w:ascii="Arial" w:cs="Arial" w:eastAsia="Arial" w:hAnsi="Arial"/>
                <w:sz w:val="13"/>
                <w:szCs w:val="13"/>
                <w:color w:val="auto"/>
              </w:rPr>
              <w:t>Interest income – loans</w:t>
            </w:r>
          </w:p>
        </w:tc>
        <w:tc>
          <w:tcPr>
            <w:tcW w:w="1400" w:type="dxa"/>
            <w:vAlign w:val="bottom"/>
            <w:gridSpan w:val="2"/>
          </w:tcPr>
          <w:p>
            <w:pPr>
              <w:jc w:val="right"/>
              <w:ind w:right="160"/>
              <w:spacing w:after="0"/>
              <w:rPr>
                <w:sz w:val="20"/>
                <w:szCs w:val="20"/>
                <w:color w:val="auto"/>
              </w:rPr>
            </w:pPr>
            <w:r>
              <w:rPr>
                <w:rFonts w:ascii="Arial" w:cs="Arial" w:eastAsia="Arial" w:hAnsi="Arial"/>
                <w:sz w:val="13"/>
                <w:szCs w:val="13"/>
                <w:color w:val="auto"/>
              </w:rPr>
              <w:t>(372)</w:t>
            </w:r>
          </w:p>
        </w:tc>
        <w:tc>
          <w:tcPr>
            <w:tcW w:w="1200" w:type="dxa"/>
            <w:vAlign w:val="bottom"/>
          </w:tcPr>
          <w:p>
            <w:pPr>
              <w:jc w:val="right"/>
              <w:spacing w:after="0"/>
              <w:rPr>
                <w:sz w:val="20"/>
                <w:szCs w:val="20"/>
                <w:color w:val="auto"/>
              </w:rPr>
            </w:pPr>
            <w:r>
              <w:rPr>
                <w:rFonts w:ascii="Arial" w:cs="Arial" w:eastAsia="Arial" w:hAnsi="Arial"/>
                <w:sz w:val="13"/>
                <w:szCs w:val="13"/>
                <w:color w:val="auto"/>
              </w:rPr>
              <w:t>928</w:t>
            </w:r>
          </w:p>
        </w:tc>
        <w:tc>
          <w:tcPr>
            <w:tcW w:w="200" w:type="dxa"/>
            <w:vAlign w:val="bottom"/>
          </w:tcPr>
          <w:p>
            <w:pPr>
              <w:spacing w:after="0"/>
              <w:rPr>
                <w:sz w:val="13"/>
                <w:szCs w:val="13"/>
                <w:color w:val="auto"/>
              </w:rPr>
            </w:pPr>
          </w:p>
        </w:tc>
        <w:tc>
          <w:tcPr>
            <w:tcW w:w="1300" w:type="dxa"/>
            <w:vAlign w:val="bottom"/>
            <w:gridSpan w:val="2"/>
          </w:tcPr>
          <w:p>
            <w:pPr>
              <w:jc w:val="right"/>
              <w:ind w:right="63"/>
              <w:spacing w:after="0"/>
              <w:rPr>
                <w:sz w:val="20"/>
                <w:szCs w:val="20"/>
                <w:color w:val="auto"/>
              </w:rPr>
            </w:pPr>
            <w:r>
              <w:rPr>
                <w:rFonts w:ascii="Arial" w:cs="Arial" w:eastAsia="Arial" w:hAnsi="Arial"/>
                <w:sz w:val="13"/>
                <w:szCs w:val="13"/>
                <w:color w:val="auto"/>
              </w:rPr>
              <w:t>556</w:t>
            </w:r>
          </w:p>
        </w:tc>
      </w:tr>
      <w:tr>
        <w:trPr>
          <w:trHeight w:val="154"/>
        </w:trPr>
        <w:tc>
          <w:tcPr>
            <w:tcW w:w="3940" w:type="dxa"/>
            <w:vAlign w:val="bottom"/>
            <w:shd w:val="clear" w:color="auto" w:fill="CCEEFF"/>
          </w:tcPr>
          <w:p>
            <w:pPr>
              <w:spacing w:after="0"/>
              <w:rPr>
                <w:sz w:val="13"/>
                <w:szCs w:val="13"/>
                <w:color w:val="auto"/>
              </w:rPr>
            </w:pPr>
          </w:p>
        </w:tc>
        <w:tc>
          <w:tcPr>
            <w:tcW w:w="286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Interest expenses – borrowings and debt</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195</w:t>
            </w:r>
          </w:p>
        </w:tc>
        <w:tc>
          <w:tcPr>
            <w:tcW w:w="1400" w:type="dxa"/>
            <w:vAlign w:val="bottom"/>
            <w:gridSpan w:val="2"/>
            <w:shd w:val="clear" w:color="auto" w:fill="CCEEFF"/>
          </w:tcPr>
          <w:p>
            <w:pPr>
              <w:jc w:val="right"/>
              <w:ind w:right="123"/>
              <w:spacing w:after="0"/>
              <w:rPr>
                <w:sz w:val="20"/>
                <w:szCs w:val="20"/>
                <w:color w:val="auto"/>
              </w:rPr>
            </w:pPr>
            <w:r>
              <w:rPr>
                <w:rFonts w:ascii="Arial" w:cs="Arial" w:eastAsia="Arial" w:hAnsi="Arial"/>
                <w:sz w:val="13"/>
                <w:szCs w:val="13"/>
                <w:color w:val="auto"/>
              </w:rPr>
              <w:t>(6,183)</w:t>
            </w:r>
          </w:p>
        </w:tc>
        <w:tc>
          <w:tcPr>
            <w:tcW w:w="1300" w:type="dxa"/>
            <w:vAlign w:val="bottom"/>
            <w:gridSpan w:val="2"/>
            <w:shd w:val="clear" w:color="auto" w:fill="CCEEFF"/>
          </w:tcPr>
          <w:p>
            <w:pPr>
              <w:jc w:val="right"/>
              <w:ind w:right="23"/>
              <w:spacing w:after="0"/>
              <w:rPr>
                <w:sz w:val="20"/>
                <w:szCs w:val="20"/>
                <w:color w:val="auto"/>
              </w:rPr>
            </w:pPr>
            <w:r>
              <w:rPr>
                <w:rFonts w:ascii="Arial" w:cs="Arial" w:eastAsia="Arial" w:hAnsi="Arial"/>
                <w:sz w:val="13"/>
                <w:szCs w:val="13"/>
                <w:color w:val="auto"/>
              </w:rPr>
              <w:t>(5,988)</w:t>
            </w:r>
          </w:p>
        </w:tc>
      </w:tr>
      <w:tr>
        <w:trPr>
          <w:trHeight w:val="164"/>
        </w:trPr>
        <w:tc>
          <w:tcPr>
            <w:tcW w:w="3940" w:type="dxa"/>
            <w:vAlign w:val="bottom"/>
          </w:tcPr>
          <w:p>
            <w:pPr>
              <w:spacing w:after="0"/>
              <w:rPr>
                <w:sz w:val="14"/>
                <w:szCs w:val="14"/>
                <w:color w:val="auto"/>
              </w:rPr>
            </w:pPr>
          </w:p>
        </w:tc>
        <w:tc>
          <w:tcPr>
            <w:tcW w:w="2860" w:type="dxa"/>
            <w:vAlign w:val="bottom"/>
            <w:gridSpan w:val="2"/>
          </w:tcPr>
          <w:p>
            <w:pPr>
              <w:spacing w:after="0"/>
              <w:rPr>
                <w:sz w:val="20"/>
                <w:szCs w:val="20"/>
                <w:color w:val="auto"/>
              </w:rPr>
            </w:pPr>
            <w:r>
              <w:rPr>
                <w:rFonts w:ascii="Arial" w:cs="Arial" w:eastAsia="Arial" w:hAnsi="Arial"/>
                <w:sz w:val="13"/>
                <w:szCs w:val="13"/>
                <w:color w:val="auto"/>
              </w:rPr>
              <w:t>Derivative financial instruments</w:t>
            </w:r>
          </w:p>
        </w:tc>
        <w:tc>
          <w:tcPr>
            <w:tcW w:w="1400" w:type="dxa"/>
            <w:vAlign w:val="bottom"/>
            <w:gridSpan w:val="2"/>
          </w:tcPr>
          <w:p>
            <w:pPr>
              <w:jc w:val="right"/>
              <w:ind w:right="220"/>
              <w:spacing w:after="0"/>
              <w:rPr>
                <w:sz w:val="20"/>
                <w:szCs w:val="20"/>
                <w:color w:val="auto"/>
              </w:rPr>
            </w:pPr>
            <w:r>
              <w:rPr>
                <w:rFonts w:ascii="Arial" w:cs="Arial" w:eastAsia="Arial" w:hAnsi="Arial"/>
                <w:sz w:val="13"/>
                <w:szCs w:val="13"/>
                <w:color w:val="auto"/>
              </w:rPr>
              <w:t>17,673</w:t>
            </w:r>
          </w:p>
        </w:tc>
        <w:tc>
          <w:tcPr>
            <w:tcW w:w="1400" w:type="dxa"/>
            <w:vAlign w:val="bottom"/>
            <w:gridSpan w:val="2"/>
          </w:tcPr>
          <w:p>
            <w:pPr>
              <w:jc w:val="right"/>
              <w:ind w:right="123"/>
              <w:spacing w:after="0"/>
              <w:rPr>
                <w:sz w:val="20"/>
                <w:szCs w:val="20"/>
                <w:color w:val="auto"/>
              </w:rPr>
            </w:pPr>
            <w:r>
              <w:rPr>
                <w:rFonts w:ascii="Arial" w:cs="Arial" w:eastAsia="Arial" w:hAnsi="Arial"/>
                <w:sz w:val="13"/>
                <w:szCs w:val="13"/>
                <w:color w:val="auto"/>
              </w:rPr>
              <w:t>(16,752)</w:t>
            </w:r>
          </w:p>
        </w:tc>
        <w:tc>
          <w:tcPr>
            <w:tcW w:w="1300" w:type="dxa"/>
            <w:vAlign w:val="bottom"/>
            <w:gridSpan w:val="2"/>
          </w:tcPr>
          <w:p>
            <w:pPr>
              <w:jc w:val="right"/>
              <w:ind w:right="63"/>
              <w:spacing w:after="0"/>
              <w:rPr>
                <w:sz w:val="20"/>
                <w:szCs w:val="20"/>
                <w:color w:val="auto"/>
              </w:rPr>
            </w:pPr>
            <w:r>
              <w:rPr>
                <w:rFonts w:ascii="Arial" w:cs="Arial" w:eastAsia="Arial" w:hAnsi="Arial"/>
                <w:sz w:val="13"/>
                <w:szCs w:val="13"/>
                <w:color w:val="auto"/>
              </w:rPr>
              <w:t>921</w:t>
            </w:r>
          </w:p>
        </w:tc>
      </w:tr>
      <w:tr>
        <w:trPr>
          <w:trHeight w:val="162"/>
        </w:trPr>
        <w:tc>
          <w:tcPr>
            <w:tcW w:w="3940" w:type="dxa"/>
            <w:vAlign w:val="bottom"/>
            <w:tcBorders>
              <w:top w:val="single" w:sz="8" w:color="CCEEFF"/>
              <w:bottom w:val="single" w:sz="8" w:color="CCEEFF"/>
            </w:tcBorders>
            <w:shd w:val="clear" w:color="auto" w:fill="CCEEFF"/>
          </w:tcPr>
          <w:p>
            <w:pPr>
              <w:ind w:left="20"/>
              <w:spacing w:after="0" w:line="146" w:lineRule="exact"/>
              <w:rPr>
                <w:sz w:val="20"/>
                <w:szCs w:val="20"/>
                <w:color w:val="auto"/>
              </w:rPr>
            </w:pPr>
            <w:r>
              <w:rPr>
                <w:rFonts w:ascii="Arial" w:cs="Arial" w:eastAsia="Arial" w:hAnsi="Arial"/>
                <w:sz w:val="13"/>
                <w:szCs w:val="13"/>
                <w:b w:val="1"/>
                <w:bCs w:val="1"/>
                <w:color w:val="auto"/>
              </w:rPr>
              <w:t>Total</w:t>
            </w:r>
          </w:p>
        </w:tc>
        <w:tc>
          <w:tcPr>
            <w:tcW w:w="2740" w:type="dxa"/>
            <w:vAlign w:val="bottom"/>
            <w:tcBorders>
              <w:top w:val="single" w:sz="8" w:color="CCEEFF"/>
              <w:bottom w:val="single" w:sz="8" w:color="CCEEFF"/>
            </w:tcBorders>
            <w:shd w:val="clear" w:color="auto" w:fill="CCEEFF"/>
          </w:tcPr>
          <w:p>
            <w:pPr>
              <w:spacing w:after="0"/>
              <w:rPr>
                <w:sz w:val="14"/>
                <w:szCs w:val="14"/>
                <w:color w:val="auto"/>
              </w:rPr>
            </w:pPr>
          </w:p>
        </w:tc>
        <w:tc>
          <w:tcPr>
            <w:tcW w:w="120" w:type="dxa"/>
            <w:vAlign w:val="bottom"/>
            <w:tcBorders>
              <w:top w:val="single" w:sz="8" w:color="CCEEFF"/>
              <w:bottom w:val="single" w:sz="8" w:color="CCEEFF"/>
            </w:tcBorders>
            <w:shd w:val="clear" w:color="auto" w:fill="CCEEFF"/>
          </w:tcPr>
          <w:p>
            <w:pPr>
              <w:spacing w:after="0"/>
              <w:rPr>
                <w:sz w:val="14"/>
                <w:szCs w:val="14"/>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19,335</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(44,474</w:t>
            </w:r>
          </w:p>
        </w:tc>
        <w:tc>
          <w:tcPr>
            <w:tcW w:w="200" w:type="dxa"/>
            <w:vAlign w:val="bottom"/>
            <w:tcBorders>
              <w:top w:val="single" w:sz="8" w:color="CCEEFF"/>
              <w:bottom w:val="single" w:sz="8" w:color="CCEEFF"/>
            </w:tcBorders>
            <w:shd w:val="clear" w:color="auto" w:fill="CCEEFF"/>
          </w:tcPr>
          <w:p>
            <w:pPr>
              <w:jc w:val="right"/>
              <w:ind w:right="123"/>
              <w:spacing w:after="0"/>
              <w:rPr>
                <w:sz w:val="20"/>
                <w:szCs w:val="20"/>
                <w:color w:val="auto"/>
              </w:rPr>
            </w:pPr>
            <w:r>
              <w:rPr>
                <w:rFonts w:ascii="Arial" w:cs="Arial" w:eastAsia="Arial" w:hAnsi="Arial"/>
                <w:sz w:val="7"/>
                <w:szCs w:val="7"/>
                <w:b w:val="1"/>
                <w:bCs w:val="1"/>
                <w:color w:val="auto"/>
                <w:w w:val="83"/>
              </w:rPr>
              <w:t>)</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(25,139</w:t>
            </w:r>
          </w:p>
        </w:tc>
        <w:tc>
          <w:tcPr>
            <w:tcW w:w="100" w:type="dxa"/>
            <w:vAlign w:val="bottom"/>
            <w:tcBorders>
              <w:top w:val="single" w:sz="8" w:color="CCEEFF"/>
              <w:bottom w:val="single" w:sz="8" w:color="CCEEFF"/>
            </w:tcBorders>
            <w:shd w:val="clear" w:color="auto" w:fill="CCEEFF"/>
          </w:tcPr>
          <w:p>
            <w:pPr>
              <w:jc w:val="right"/>
              <w:ind w:right="23"/>
              <w:spacing w:after="0"/>
              <w:rPr>
                <w:sz w:val="20"/>
                <w:szCs w:val="20"/>
                <w:color w:val="auto"/>
              </w:rPr>
            </w:pPr>
            <w:r>
              <w:rPr>
                <w:rFonts w:ascii="Arial" w:cs="Arial" w:eastAsia="Arial" w:hAnsi="Arial"/>
                <w:sz w:val="7"/>
                <w:szCs w:val="7"/>
                <w:b w:val="1"/>
                <w:bCs w:val="1"/>
                <w:color w:val="auto"/>
                <w:w w:val="83"/>
              </w:rPr>
              <w:t>)</w:t>
            </w:r>
          </w:p>
        </w:tc>
      </w:tr>
    </w:tbl>
    <w:p>
      <w:pPr>
        <w:spacing w:after="0" w:line="145" w:lineRule="exact"/>
        <w:rPr>
          <w:sz w:val="20"/>
          <w:szCs w:val="20"/>
          <w:color w:val="auto"/>
        </w:rPr>
      </w:pPr>
    </w:p>
    <w:p>
      <w:pPr>
        <w:ind w:left="223"/>
        <w:spacing w:after="0"/>
        <w:rPr>
          <w:sz w:val="20"/>
          <w:szCs w:val="20"/>
          <w:color w:val="auto"/>
        </w:rPr>
      </w:pPr>
      <w:r>
        <w:rPr>
          <w:rFonts w:ascii="Arial" w:cs="Arial" w:eastAsia="Arial" w:hAnsi="Arial"/>
          <w:sz w:val="13"/>
          <w:szCs w:val="13"/>
          <w:u w:val="single" w:color="auto"/>
          <w:color w:val="auto"/>
        </w:rPr>
        <w:t>Derivatives financial position and performance</w:t>
      </w:r>
    </w:p>
    <w:p>
      <w:pPr>
        <w:spacing w:after="0" w:line="159" w:lineRule="exact"/>
        <w:rPr>
          <w:sz w:val="20"/>
          <w:szCs w:val="20"/>
          <w:color w:val="auto"/>
        </w:rPr>
      </w:pPr>
    </w:p>
    <w:p>
      <w:pPr>
        <w:ind w:left="223"/>
        <w:spacing w:after="0"/>
        <w:rPr>
          <w:sz w:val="20"/>
          <w:szCs w:val="20"/>
          <w:color w:val="auto"/>
        </w:rPr>
      </w:pPr>
      <w:r>
        <w:rPr>
          <w:rFonts w:ascii="Arial" w:cs="Arial" w:eastAsia="Arial" w:hAnsi="Arial"/>
          <w:sz w:val="13"/>
          <w:szCs w:val="13"/>
          <w:color w:val="auto"/>
        </w:rPr>
        <w:t>The following tables detail the changes of fair value of the underlying item in the consolidated statement of financial position related to fair value hedges:</w:t>
      </w:r>
    </w:p>
    <w:p>
      <w:pPr>
        <w:spacing w:after="0" w:line="164" w:lineRule="exact"/>
        <w:rPr>
          <w:sz w:val="20"/>
          <w:szCs w:val="20"/>
          <w:color w:val="auto"/>
        </w:rPr>
      </w:pPr>
    </w:p>
    <w:tbl>
      <w:tblPr>
        <w:tblLayout w:type="fixed"/>
        <w:tblInd w:w="3" w:type="dxa"/>
        <w:tblCellMar>
          <w:top w:w="0" w:type="dxa"/>
          <w:left w:w="0" w:type="dxa"/>
          <w:bottom w:w="0" w:type="dxa"/>
          <w:right w:w="0" w:type="dxa"/>
        </w:tblCellMar>
      </w:tblPr>
      <w:tr>
        <w:trPr>
          <w:trHeight w:val="167"/>
        </w:trPr>
        <w:tc>
          <w:tcPr>
            <w:tcW w:w="220" w:type="dxa"/>
            <w:vAlign w:val="bottom"/>
          </w:tcPr>
          <w:p>
            <w:pPr>
              <w:spacing w:after="0"/>
              <w:rPr>
                <w:sz w:val="14"/>
                <w:szCs w:val="14"/>
                <w:color w:val="auto"/>
              </w:rPr>
            </w:pPr>
          </w:p>
        </w:tc>
        <w:tc>
          <w:tcPr>
            <w:tcW w:w="3940" w:type="dxa"/>
            <w:vAlign w:val="bottom"/>
          </w:tcPr>
          <w:p>
            <w:pPr>
              <w:spacing w:after="0"/>
              <w:rPr>
                <w:sz w:val="14"/>
                <w:szCs w:val="14"/>
                <w:color w:val="auto"/>
              </w:rPr>
            </w:pPr>
          </w:p>
        </w:tc>
        <w:tc>
          <w:tcPr>
            <w:tcW w:w="17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1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3740" w:type="dxa"/>
            <w:vAlign w:val="bottom"/>
            <w:tcBorders>
              <w:bottom w:val="single" w:sz="8" w:color="auto"/>
            </w:tcBorders>
            <w:gridSpan w:val="3"/>
          </w:tcPr>
          <w:p>
            <w:pPr>
              <w:ind w:left="660"/>
              <w:spacing w:after="0"/>
              <w:rPr>
                <w:sz w:val="20"/>
                <w:szCs w:val="20"/>
                <w:color w:val="auto"/>
              </w:rPr>
            </w:pPr>
            <w:r>
              <w:rPr>
                <w:rFonts w:ascii="Arial" w:cs="Arial" w:eastAsia="Arial" w:hAnsi="Arial"/>
                <w:sz w:val="13"/>
                <w:szCs w:val="13"/>
                <w:b w:val="1"/>
                <w:bCs w:val="1"/>
                <w:color w:val="auto"/>
              </w:rPr>
              <w:t>December 31, 2018</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1"/>
        </w:trPr>
        <w:tc>
          <w:tcPr>
            <w:tcW w:w="220" w:type="dxa"/>
            <w:vAlign w:val="bottom"/>
          </w:tcPr>
          <w:p>
            <w:pPr>
              <w:spacing w:after="0"/>
              <w:rPr>
                <w:sz w:val="11"/>
                <w:szCs w:val="11"/>
                <w:color w:val="auto"/>
              </w:rPr>
            </w:pPr>
          </w:p>
        </w:tc>
        <w:tc>
          <w:tcPr>
            <w:tcW w:w="3940" w:type="dxa"/>
            <w:vAlign w:val="bottom"/>
          </w:tcPr>
          <w:p>
            <w:pPr>
              <w:spacing w:after="0"/>
              <w:rPr>
                <w:sz w:val="11"/>
                <w:szCs w:val="11"/>
                <w:color w:val="auto"/>
              </w:rPr>
            </w:pPr>
          </w:p>
        </w:tc>
        <w:tc>
          <w:tcPr>
            <w:tcW w:w="17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1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380" w:type="dxa"/>
            <w:vAlign w:val="bottom"/>
            <w:gridSpan w:val="2"/>
          </w:tcPr>
          <w:p>
            <w:pPr>
              <w:jc w:val="right"/>
              <w:ind w:right="460"/>
              <w:spacing w:after="0" w:line="131" w:lineRule="exact"/>
              <w:rPr>
                <w:sz w:val="20"/>
                <w:szCs w:val="20"/>
                <w:color w:val="auto"/>
              </w:rPr>
            </w:pPr>
            <w:r>
              <w:rPr>
                <w:rFonts w:ascii="Arial" w:cs="Arial" w:eastAsia="Arial" w:hAnsi="Arial"/>
                <w:sz w:val="13"/>
                <w:szCs w:val="13"/>
                <w:b w:val="1"/>
                <w:bCs w:val="1"/>
                <w:color w:val="auto"/>
              </w:rPr>
              <w:t>Accumulated</w:t>
            </w:r>
          </w:p>
        </w:tc>
        <w:tc>
          <w:tcPr>
            <w:tcW w:w="236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940" w:type="dxa"/>
            <w:vAlign w:val="bottom"/>
          </w:tcPr>
          <w:p>
            <w:pPr>
              <w:spacing w:after="0"/>
              <w:rPr>
                <w:sz w:val="13"/>
                <w:szCs w:val="13"/>
                <w:color w:val="auto"/>
              </w:rPr>
            </w:pPr>
          </w:p>
        </w:tc>
        <w:tc>
          <w:tcPr>
            <w:tcW w:w="17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3"/>
              </w:rPr>
              <w:t>Carrying</w:t>
            </w:r>
          </w:p>
        </w:tc>
        <w:tc>
          <w:tcPr>
            <w:tcW w:w="1380" w:type="dxa"/>
            <w:vAlign w:val="bottom"/>
            <w:gridSpan w:val="2"/>
          </w:tcPr>
          <w:p>
            <w:pPr>
              <w:jc w:val="right"/>
              <w:ind w:right="540"/>
              <w:spacing w:after="0"/>
              <w:rPr>
                <w:sz w:val="20"/>
                <w:szCs w:val="20"/>
                <w:color w:val="auto"/>
              </w:rPr>
            </w:pPr>
            <w:r>
              <w:rPr>
                <w:rFonts w:ascii="Arial" w:cs="Arial" w:eastAsia="Arial" w:hAnsi="Arial"/>
                <w:sz w:val="13"/>
                <w:szCs w:val="13"/>
                <w:b w:val="1"/>
                <w:bCs w:val="1"/>
                <w:color w:val="auto"/>
              </w:rPr>
              <w:t>fair value</w:t>
            </w:r>
          </w:p>
        </w:tc>
        <w:tc>
          <w:tcPr>
            <w:tcW w:w="2360" w:type="dxa"/>
            <w:vAlign w:val="bottom"/>
          </w:tcPr>
          <w:p>
            <w:pPr>
              <w:ind w:left="20"/>
              <w:spacing w:after="0"/>
              <w:rPr>
                <w:sz w:val="20"/>
                <w:szCs w:val="20"/>
                <w:color w:val="auto"/>
              </w:rPr>
            </w:pPr>
            <w:r>
              <w:rPr>
                <w:rFonts w:ascii="Arial" w:cs="Arial" w:eastAsia="Arial" w:hAnsi="Arial"/>
                <w:sz w:val="13"/>
                <w:szCs w:val="13"/>
                <w:b w:val="1"/>
                <w:bCs w:val="1"/>
                <w:color w:val="auto"/>
                <w:w w:val="89"/>
              </w:rPr>
              <w:t>Line item in the consolidated statement of</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7"/>
        </w:trPr>
        <w:tc>
          <w:tcPr>
            <w:tcW w:w="4160" w:type="dxa"/>
            <w:vAlign w:val="bottom"/>
            <w:gridSpan w:val="2"/>
          </w:tcPr>
          <w:p>
            <w:pPr>
              <w:ind w:left="220"/>
              <w:spacing w:after="0"/>
              <w:rPr>
                <w:sz w:val="20"/>
                <w:szCs w:val="20"/>
                <w:color w:val="auto"/>
              </w:rPr>
            </w:pPr>
            <w:r>
              <w:rPr>
                <w:rFonts w:ascii="Arial" w:cs="Arial" w:eastAsia="Arial" w:hAnsi="Arial"/>
                <w:sz w:val="13"/>
                <w:szCs w:val="13"/>
                <w:b w:val="1"/>
                <w:bCs w:val="1"/>
                <w:color w:val="auto"/>
              </w:rPr>
              <w:t>Fair value hedges</w:t>
            </w:r>
          </w:p>
        </w:tc>
        <w:tc>
          <w:tcPr>
            <w:tcW w:w="17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9"/>
              </w:rPr>
              <w:t>amount</w:t>
            </w:r>
          </w:p>
        </w:tc>
        <w:tc>
          <w:tcPr>
            <w:tcW w:w="1380" w:type="dxa"/>
            <w:vAlign w:val="bottom"/>
            <w:gridSpan w:val="2"/>
          </w:tcPr>
          <w:p>
            <w:pPr>
              <w:jc w:val="right"/>
              <w:ind w:right="460"/>
              <w:spacing w:after="0"/>
              <w:rPr>
                <w:sz w:val="20"/>
                <w:szCs w:val="20"/>
                <w:color w:val="auto"/>
              </w:rPr>
            </w:pPr>
            <w:r>
              <w:rPr>
                <w:rFonts w:ascii="Arial" w:cs="Arial" w:eastAsia="Arial" w:hAnsi="Arial"/>
                <w:sz w:val="13"/>
                <w:szCs w:val="13"/>
                <w:b w:val="1"/>
                <w:bCs w:val="1"/>
                <w:color w:val="auto"/>
              </w:rPr>
              <w:t>adjustments</w:t>
            </w:r>
          </w:p>
        </w:tc>
        <w:tc>
          <w:tcPr>
            <w:tcW w:w="2360" w:type="dxa"/>
            <w:vAlign w:val="bottom"/>
          </w:tcPr>
          <w:p>
            <w:pPr>
              <w:ind w:left="720"/>
              <w:spacing w:after="0"/>
              <w:rPr>
                <w:sz w:val="20"/>
                <w:szCs w:val="20"/>
                <w:color w:val="auto"/>
              </w:rPr>
            </w:pPr>
            <w:r>
              <w:rPr>
                <w:rFonts w:ascii="Arial" w:cs="Arial" w:eastAsia="Arial" w:hAnsi="Arial"/>
                <w:sz w:val="13"/>
                <w:szCs w:val="13"/>
                <w:b w:val="1"/>
                <w:bCs w:val="1"/>
                <w:color w:val="auto"/>
              </w:rPr>
              <w:t>financial position</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3940" w:type="dxa"/>
            <w:vAlign w:val="bottom"/>
            <w:tcBorders>
              <w:top w:val="single" w:sz="8" w:color="auto"/>
            </w:tcBorders>
            <w:shd w:val="clear" w:color="auto" w:fill="CCEEFF"/>
          </w:tcPr>
          <w:p>
            <w:pPr>
              <w:spacing w:after="0" w:line="144" w:lineRule="exact"/>
              <w:rPr>
                <w:sz w:val="20"/>
                <w:szCs w:val="20"/>
                <w:color w:val="auto"/>
              </w:rPr>
            </w:pPr>
            <w:r>
              <w:rPr>
                <w:rFonts w:ascii="Arial" w:cs="Arial" w:eastAsia="Arial" w:hAnsi="Arial"/>
                <w:sz w:val="13"/>
                <w:szCs w:val="13"/>
                <w:color w:val="auto"/>
              </w:rPr>
              <w:t>Interest rate risk</w:t>
            </w:r>
          </w:p>
        </w:tc>
        <w:tc>
          <w:tcPr>
            <w:tcW w:w="172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2360" w:type="dxa"/>
            <w:vAlign w:val="bottom"/>
            <w:tcBorders>
              <w:top w:val="single" w:sz="8" w:color="auto"/>
            </w:tcBorders>
            <w:shd w:val="clear" w:color="auto" w:fill="CCEEFF"/>
          </w:tcPr>
          <w:p>
            <w:pPr>
              <w:spacing w:after="0"/>
              <w:rPr>
                <w:sz w:val="12"/>
                <w:szCs w:val="12"/>
                <w:color w:val="auto"/>
              </w:rPr>
            </w:pPr>
          </w:p>
        </w:tc>
        <w:tc>
          <w:tcPr>
            <w:tcW w:w="3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940" w:type="dxa"/>
            <w:vAlign w:val="bottom"/>
          </w:tcPr>
          <w:p>
            <w:pPr>
              <w:ind w:left="60"/>
              <w:spacing w:after="0"/>
              <w:rPr>
                <w:sz w:val="20"/>
                <w:szCs w:val="20"/>
                <w:color w:val="auto"/>
              </w:rPr>
            </w:pPr>
            <w:r>
              <w:rPr>
                <w:rFonts w:ascii="Arial" w:cs="Arial" w:eastAsia="Arial" w:hAnsi="Arial"/>
                <w:sz w:val="13"/>
                <w:szCs w:val="13"/>
                <w:color w:val="auto"/>
              </w:rPr>
              <w:t>Loans</w:t>
            </w:r>
          </w:p>
        </w:tc>
        <w:tc>
          <w:tcPr>
            <w:tcW w:w="3220" w:type="dxa"/>
            <w:vAlign w:val="bottom"/>
            <w:gridSpan w:val="4"/>
          </w:tcPr>
          <w:p>
            <w:pPr>
              <w:jc w:val="right"/>
              <w:ind w:right="220"/>
              <w:spacing w:after="0"/>
              <w:rPr>
                <w:sz w:val="20"/>
                <w:szCs w:val="20"/>
                <w:color w:val="auto"/>
              </w:rPr>
            </w:pPr>
            <w:r>
              <w:rPr>
                <w:rFonts w:ascii="Arial" w:cs="Arial" w:eastAsia="Arial" w:hAnsi="Arial"/>
                <w:sz w:val="13"/>
                <w:szCs w:val="13"/>
                <w:color w:val="auto"/>
              </w:rPr>
              <w:t>66,091</w:t>
            </w:r>
          </w:p>
        </w:tc>
        <w:tc>
          <w:tcPr>
            <w:tcW w:w="1380" w:type="dxa"/>
            <w:vAlign w:val="bottom"/>
            <w:gridSpan w:val="2"/>
          </w:tcPr>
          <w:p>
            <w:pPr>
              <w:jc w:val="right"/>
              <w:ind w:right="200"/>
              <w:spacing w:after="0"/>
              <w:rPr>
                <w:sz w:val="20"/>
                <w:szCs w:val="20"/>
                <w:color w:val="auto"/>
              </w:rPr>
            </w:pPr>
            <w:r>
              <w:rPr>
                <w:rFonts w:ascii="Arial" w:cs="Arial" w:eastAsia="Arial" w:hAnsi="Arial"/>
                <w:sz w:val="13"/>
                <w:szCs w:val="13"/>
                <w:color w:val="auto"/>
              </w:rPr>
              <w:t>97</w:t>
            </w:r>
          </w:p>
        </w:tc>
        <w:tc>
          <w:tcPr>
            <w:tcW w:w="2360" w:type="dxa"/>
            <w:vAlign w:val="bottom"/>
          </w:tcPr>
          <w:p>
            <w:pPr>
              <w:spacing w:after="0"/>
              <w:rPr>
                <w:sz w:val="20"/>
                <w:szCs w:val="20"/>
                <w:color w:val="auto"/>
              </w:rPr>
            </w:pPr>
            <w:r>
              <w:rPr>
                <w:rFonts w:ascii="Arial" w:cs="Arial" w:eastAsia="Arial" w:hAnsi="Arial"/>
                <w:sz w:val="13"/>
                <w:szCs w:val="13"/>
                <w:color w:val="auto"/>
              </w:rPr>
              <w:t>Loans</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940" w:type="dxa"/>
            <w:vAlign w:val="bottom"/>
            <w:shd w:val="clear" w:color="auto" w:fill="CCEEFF"/>
          </w:tcPr>
          <w:p>
            <w:pPr>
              <w:ind w:left="60"/>
              <w:spacing w:after="0"/>
              <w:rPr>
                <w:sz w:val="20"/>
                <w:szCs w:val="20"/>
                <w:color w:val="auto"/>
              </w:rPr>
            </w:pPr>
            <w:r>
              <w:rPr>
                <w:rFonts w:ascii="Arial" w:cs="Arial" w:eastAsia="Arial" w:hAnsi="Arial"/>
                <w:sz w:val="13"/>
                <w:szCs w:val="13"/>
                <w:color w:val="auto"/>
              </w:rPr>
              <w:t>Issuances</w:t>
            </w:r>
          </w:p>
        </w:tc>
        <w:tc>
          <w:tcPr>
            <w:tcW w:w="3000" w:type="dxa"/>
            <w:vAlign w:val="bottom"/>
            <w:gridSpan w:val="3"/>
            <w:shd w:val="clear" w:color="auto" w:fill="CCEEFF"/>
          </w:tcPr>
          <w:p>
            <w:pPr>
              <w:jc w:val="right"/>
              <w:spacing w:after="0"/>
              <w:rPr>
                <w:sz w:val="20"/>
                <w:szCs w:val="20"/>
                <w:color w:val="auto"/>
              </w:rPr>
            </w:pPr>
            <w:r>
              <w:rPr>
                <w:rFonts w:ascii="Arial" w:cs="Arial" w:eastAsia="Arial" w:hAnsi="Arial"/>
                <w:sz w:val="13"/>
                <w:szCs w:val="13"/>
                <w:color w:val="auto"/>
              </w:rPr>
              <w:t>349,428</w:t>
            </w:r>
          </w:p>
        </w:tc>
        <w:tc>
          <w:tcPr>
            <w:tcW w:w="220" w:type="dxa"/>
            <w:vAlign w:val="bottom"/>
            <w:shd w:val="clear" w:color="auto" w:fill="CCEEFF"/>
          </w:tcPr>
          <w:p>
            <w:pPr>
              <w:spacing w:after="0"/>
              <w:rPr>
                <w:sz w:val="13"/>
                <w:szCs w:val="13"/>
                <w:color w:val="auto"/>
              </w:rPr>
            </w:pPr>
          </w:p>
        </w:tc>
        <w:tc>
          <w:tcPr>
            <w:tcW w:w="138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5,266</w:t>
            </w:r>
          </w:p>
        </w:tc>
        <w:tc>
          <w:tcPr>
            <w:tcW w:w="2360" w:type="dxa"/>
            <w:vAlign w:val="bottom"/>
            <w:shd w:val="clear" w:color="auto" w:fill="CCEEFF"/>
          </w:tcPr>
          <w:p>
            <w:pPr>
              <w:spacing w:after="0"/>
              <w:rPr>
                <w:sz w:val="20"/>
                <w:szCs w:val="20"/>
                <w:color w:val="auto"/>
              </w:rPr>
            </w:pPr>
            <w:r>
              <w:rPr>
                <w:rFonts w:ascii="Arial" w:cs="Arial" w:eastAsia="Arial" w:hAnsi="Arial"/>
                <w:sz w:val="13"/>
                <w:szCs w:val="13"/>
                <w:color w:val="auto"/>
              </w:rPr>
              <w:t>Borrowings and debt, net</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3940" w:type="dxa"/>
            <w:vAlign w:val="bottom"/>
          </w:tcPr>
          <w:p>
            <w:pPr>
              <w:spacing w:after="0"/>
              <w:rPr>
                <w:sz w:val="13"/>
                <w:szCs w:val="13"/>
                <w:color w:val="auto"/>
              </w:rPr>
            </w:pPr>
          </w:p>
        </w:tc>
        <w:tc>
          <w:tcPr>
            <w:tcW w:w="17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236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3940" w:type="dxa"/>
            <w:vAlign w:val="bottom"/>
            <w:shd w:val="clear" w:color="auto" w:fill="CCEEFF"/>
          </w:tcPr>
          <w:p>
            <w:pPr>
              <w:spacing w:after="0"/>
              <w:rPr>
                <w:sz w:val="20"/>
                <w:szCs w:val="20"/>
                <w:color w:val="auto"/>
              </w:rPr>
            </w:pPr>
            <w:r>
              <w:rPr>
                <w:rFonts w:ascii="Arial" w:cs="Arial" w:eastAsia="Arial" w:hAnsi="Arial"/>
                <w:sz w:val="13"/>
                <w:szCs w:val="13"/>
                <w:color w:val="auto"/>
              </w:rPr>
              <w:t>Foreign exchange rate risk and interest rate risk:</w:t>
            </w:r>
          </w:p>
        </w:tc>
        <w:tc>
          <w:tcPr>
            <w:tcW w:w="17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1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18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2360" w:type="dxa"/>
            <w:vAlign w:val="bottom"/>
            <w:shd w:val="clear" w:color="auto" w:fill="CCEEFF"/>
          </w:tcPr>
          <w:p>
            <w:pPr>
              <w:spacing w:after="0"/>
              <w:rPr>
                <w:sz w:val="13"/>
                <w:szCs w:val="13"/>
                <w:color w:val="auto"/>
              </w:rPr>
            </w:pP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940" w:type="dxa"/>
            <w:vAlign w:val="bottom"/>
          </w:tcPr>
          <w:p>
            <w:pPr>
              <w:ind w:left="60"/>
              <w:spacing w:after="0"/>
              <w:rPr>
                <w:sz w:val="20"/>
                <w:szCs w:val="20"/>
                <w:color w:val="auto"/>
              </w:rPr>
            </w:pPr>
            <w:r>
              <w:rPr>
                <w:rFonts w:ascii="Arial" w:cs="Arial" w:eastAsia="Arial" w:hAnsi="Arial"/>
                <w:sz w:val="13"/>
                <w:szCs w:val="13"/>
                <w:color w:val="auto"/>
              </w:rPr>
              <w:t>Securities at FVOCI</w:t>
            </w:r>
          </w:p>
        </w:tc>
        <w:tc>
          <w:tcPr>
            <w:tcW w:w="3220" w:type="dxa"/>
            <w:vAlign w:val="bottom"/>
            <w:gridSpan w:val="4"/>
          </w:tcPr>
          <w:p>
            <w:pPr>
              <w:jc w:val="right"/>
              <w:ind w:right="220"/>
              <w:spacing w:after="0"/>
              <w:rPr>
                <w:sz w:val="20"/>
                <w:szCs w:val="20"/>
                <w:color w:val="auto"/>
              </w:rPr>
            </w:pPr>
            <w:r>
              <w:rPr>
                <w:rFonts w:ascii="Arial" w:cs="Arial" w:eastAsia="Arial" w:hAnsi="Arial"/>
                <w:sz w:val="13"/>
                <w:szCs w:val="13"/>
                <w:color w:val="auto"/>
              </w:rPr>
              <w:t>12,221</w:t>
            </w:r>
          </w:p>
        </w:tc>
        <w:tc>
          <w:tcPr>
            <w:tcW w:w="1380" w:type="dxa"/>
            <w:vAlign w:val="bottom"/>
            <w:gridSpan w:val="2"/>
          </w:tcPr>
          <w:p>
            <w:pPr>
              <w:jc w:val="right"/>
              <w:ind w:right="160"/>
              <w:spacing w:after="0"/>
              <w:rPr>
                <w:sz w:val="20"/>
                <w:szCs w:val="20"/>
                <w:color w:val="auto"/>
              </w:rPr>
            </w:pPr>
            <w:r>
              <w:rPr>
                <w:rFonts w:ascii="Arial" w:cs="Arial" w:eastAsia="Arial" w:hAnsi="Arial"/>
                <w:sz w:val="13"/>
                <w:szCs w:val="13"/>
                <w:color w:val="auto"/>
              </w:rPr>
              <w:t>(527)</w:t>
            </w:r>
          </w:p>
        </w:tc>
        <w:tc>
          <w:tcPr>
            <w:tcW w:w="2360" w:type="dxa"/>
            <w:vAlign w:val="bottom"/>
          </w:tcPr>
          <w:p>
            <w:pPr>
              <w:spacing w:after="0"/>
              <w:rPr>
                <w:sz w:val="20"/>
                <w:szCs w:val="20"/>
                <w:color w:val="auto"/>
              </w:rPr>
            </w:pPr>
            <w:r>
              <w:rPr>
                <w:rFonts w:ascii="Arial" w:cs="Arial" w:eastAsia="Arial" w:hAnsi="Arial"/>
                <w:sz w:val="13"/>
                <w:szCs w:val="13"/>
                <w:color w:val="auto"/>
                <w:w w:val="88"/>
              </w:rPr>
              <w:t>Securities and other financial instruments, net</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940" w:type="dxa"/>
            <w:vAlign w:val="bottom"/>
            <w:shd w:val="clear" w:color="auto" w:fill="CCEEFF"/>
          </w:tcPr>
          <w:p>
            <w:pPr>
              <w:ind w:left="60"/>
              <w:spacing w:after="0"/>
              <w:rPr>
                <w:sz w:val="20"/>
                <w:szCs w:val="20"/>
                <w:color w:val="auto"/>
              </w:rPr>
            </w:pPr>
            <w:r>
              <w:rPr>
                <w:rFonts w:ascii="Arial" w:cs="Arial" w:eastAsia="Arial" w:hAnsi="Arial"/>
                <w:sz w:val="13"/>
                <w:szCs w:val="13"/>
                <w:color w:val="auto"/>
              </w:rPr>
              <w:t>Loans</w:t>
            </w:r>
          </w:p>
        </w:tc>
        <w:tc>
          <w:tcPr>
            <w:tcW w:w="3220" w:type="dxa"/>
            <w:vAlign w:val="bottom"/>
            <w:gridSpan w:val="4"/>
            <w:shd w:val="clear" w:color="auto" w:fill="CCEEFF"/>
          </w:tcPr>
          <w:p>
            <w:pPr>
              <w:jc w:val="right"/>
              <w:ind w:right="220"/>
              <w:spacing w:after="0"/>
              <w:rPr>
                <w:sz w:val="20"/>
                <w:szCs w:val="20"/>
                <w:color w:val="auto"/>
              </w:rPr>
            </w:pPr>
            <w:r>
              <w:rPr>
                <w:rFonts w:ascii="Arial" w:cs="Arial" w:eastAsia="Arial" w:hAnsi="Arial"/>
                <w:sz w:val="13"/>
                <w:szCs w:val="13"/>
                <w:color w:val="auto"/>
              </w:rPr>
              <w:t>10,581</w:t>
            </w:r>
          </w:p>
        </w:tc>
        <w:tc>
          <w:tcPr>
            <w:tcW w:w="138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(1,097)</w:t>
            </w:r>
          </w:p>
        </w:tc>
        <w:tc>
          <w:tcPr>
            <w:tcW w:w="2360" w:type="dxa"/>
            <w:vAlign w:val="bottom"/>
            <w:shd w:val="clear" w:color="auto" w:fill="CCEEFF"/>
          </w:tcPr>
          <w:p>
            <w:pPr>
              <w:spacing w:after="0"/>
              <w:rPr>
                <w:sz w:val="20"/>
                <w:szCs w:val="20"/>
                <w:color w:val="auto"/>
              </w:rPr>
            </w:pPr>
            <w:r>
              <w:rPr>
                <w:rFonts w:ascii="Arial" w:cs="Arial" w:eastAsia="Arial" w:hAnsi="Arial"/>
                <w:sz w:val="13"/>
                <w:szCs w:val="13"/>
                <w:color w:val="auto"/>
              </w:rPr>
              <w:t>Loans</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3940" w:type="dxa"/>
            <w:vAlign w:val="bottom"/>
          </w:tcPr>
          <w:p>
            <w:pPr>
              <w:ind w:left="60"/>
              <w:spacing w:after="0"/>
              <w:rPr>
                <w:sz w:val="20"/>
                <w:szCs w:val="20"/>
                <w:color w:val="auto"/>
              </w:rPr>
            </w:pPr>
            <w:r>
              <w:rPr>
                <w:rFonts w:ascii="Arial" w:cs="Arial" w:eastAsia="Arial" w:hAnsi="Arial"/>
                <w:sz w:val="13"/>
                <w:szCs w:val="13"/>
                <w:color w:val="auto"/>
              </w:rPr>
              <w:t>Issuances</w:t>
            </w:r>
          </w:p>
        </w:tc>
        <w:tc>
          <w:tcPr>
            <w:tcW w:w="3000" w:type="dxa"/>
            <w:vAlign w:val="bottom"/>
            <w:gridSpan w:val="3"/>
          </w:tcPr>
          <w:p>
            <w:pPr>
              <w:jc w:val="right"/>
              <w:spacing w:after="0"/>
              <w:rPr>
                <w:sz w:val="20"/>
                <w:szCs w:val="20"/>
                <w:color w:val="auto"/>
              </w:rPr>
            </w:pPr>
            <w:r>
              <w:rPr>
                <w:rFonts w:ascii="Arial" w:cs="Arial" w:eastAsia="Arial" w:hAnsi="Arial"/>
                <w:sz w:val="13"/>
                <w:szCs w:val="13"/>
                <w:color w:val="auto"/>
              </w:rPr>
              <w:t>199,356</w:t>
            </w:r>
          </w:p>
        </w:tc>
        <w:tc>
          <w:tcPr>
            <w:tcW w:w="220" w:type="dxa"/>
            <w:vAlign w:val="bottom"/>
          </w:tcPr>
          <w:p>
            <w:pPr>
              <w:spacing w:after="0"/>
              <w:rPr>
                <w:sz w:val="14"/>
                <w:szCs w:val="14"/>
                <w:color w:val="auto"/>
              </w:rPr>
            </w:pPr>
          </w:p>
        </w:tc>
        <w:tc>
          <w:tcPr>
            <w:tcW w:w="1380" w:type="dxa"/>
            <w:vAlign w:val="bottom"/>
            <w:gridSpan w:val="2"/>
          </w:tcPr>
          <w:p>
            <w:pPr>
              <w:jc w:val="right"/>
              <w:ind w:right="200"/>
              <w:spacing w:after="0"/>
              <w:rPr>
                <w:sz w:val="20"/>
                <w:szCs w:val="20"/>
                <w:color w:val="auto"/>
              </w:rPr>
            </w:pPr>
            <w:r>
              <w:rPr>
                <w:rFonts w:ascii="Arial" w:cs="Arial" w:eastAsia="Arial" w:hAnsi="Arial"/>
                <w:sz w:val="13"/>
                <w:szCs w:val="13"/>
                <w:color w:val="auto"/>
              </w:rPr>
              <w:t>15,024</w:t>
            </w:r>
          </w:p>
        </w:tc>
        <w:tc>
          <w:tcPr>
            <w:tcW w:w="2360" w:type="dxa"/>
            <w:vAlign w:val="bottom"/>
          </w:tcPr>
          <w:p>
            <w:pPr>
              <w:spacing w:after="0"/>
              <w:rPr>
                <w:sz w:val="20"/>
                <w:szCs w:val="20"/>
                <w:color w:val="auto"/>
              </w:rPr>
            </w:pPr>
            <w:r>
              <w:rPr>
                <w:rFonts w:ascii="Arial" w:cs="Arial" w:eastAsia="Arial" w:hAnsi="Arial"/>
                <w:sz w:val="13"/>
                <w:szCs w:val="13"/>
                <w:color w:val="auto"/>
              </w:rPr>
              <w:t>Borrowings and debt, net</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458"/>
        </w:trPr>
        <w:tc>
          <w:tcPr>
            <w:tcW w:w="220" w:type="dxa"/>
            <w:vAlign w:val="bottom"/>
            <w:tcBorders>
              <w:bottom w:val="single" w:sz="8" w:color="auto"/>
            </w:tcBorders>
          </w:tcPr>
          <w:p>
            <w:pPr>
              <w:spacing w:after="0"/>
              <w:rPr>
                <w:sz w:val="24"/>
                <w:szCs w:val="24"/>
                <w:color w:val="auto"/>
              </w:rPr>
            </w:pPr>
          </w:p>
        </w:tc>
        <w:tc>
          <w:tcPr>
            <w:tcW w:w="3940" w:type="dxa"/>
            <w:vAlign w:val="bottom"/>
            <w:tcBorders>
              <w:bottom w:val="single" w:sz="8" w:color="auto"/>
            </w:tcBorders>
          </w:tcPr>
          <w:p>
            <w:pPr>
              <w:spacing w:after="0"/>
              <w:rPr>
                <w:sz w:val="24"/>
                <w:szCs w:val="24"/>
                <w:color w:val="auto"/>
              </w:rPr>
            </w:pPr>
          </w:p>
        </w:tc>
        <w:tc>
          <w:tcPr>
            <w:tcW w:w="3220" w:type="dxa"/>
            <w:vAlign w:val="bottom"/>
            <w:tcBorders>
              <w:bottom w:val="single" w:sz="8" w:color="auto"/>
            </w:tcBorders>
            <w:gridSpan w:val="4"/>
          </w:tcPr>
          <w:p>
            <w:pPr>
              <w:ind w:left="1460"/>
              <w:spacing w:after="0"/>
              <w:rPr>
                <w:sz w:val="20"/>
                <w:szCs w:val="20"/>
                <w:color w:val="auto"/>
              </w:rPr>
            </w:pPr>
            <w:r>
              <w:rPr>
                <w:rFonts w:ascii="Arial" w:cs="Arial" w:eastAsia="Arial" w:hAnsi="Arial"/>
                <w:sz w:val="13"/>
                <w:szCs w:val="13"/>
                <w:color w:val="auto"/>
              </w:rPr>
              <w:t>F-58</w:t>
            </w:r>
          </w:p>
        </w:tc>
        <w:tc>
          <w:tcPr>
            <w:tcW w:w="11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36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3"/>
          </w:cols>
          <w:pgMar w:left="217" w:top="685" w:right="199" w:bottom="1440" w:gutter="0" w:footer="0" w:header="0"/>
        </w:sectPr>
      </w:pPr>
    </w:p>
    <w:bookmarkStart w:id="183" w:name="page184"/>
    <w:bookmarkEnd w:id="183"/>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28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right="8220" w:hanging="223"/>
        <w:spacing w:after="0" w:line="593" w:lineRule="auto"/>
        <w:tabs>
          <w:tab w:leader="none" w:pos="223" w:val="left"/>
        </w:tabs>
        <w:numPr>
          <w:ilvl w:val="0"/>
          <w:numId w:val="146"/>
        </w:numPr>
        <w:rPr>
          <w:rFonts w:ascii="Arial" w:cs="Arial" w:eastAsia="Arial" w:hAnsi="Arial"/>
          <w:sz w:val="11"/>
          <w:szCs w:val="11"/>
          <w:b w:val="1"/>
          <w:bCs w:val="1"/>
          <w:color w:val="auto"/>
        </w:rPr>
      </w:pPr>
      <w:r>
        <w:rPr>
          <w:rFonts w:ascii="Arial" w:cs="Arial" w:eastAsia="Arial" w:hAnsi="Arial"/>
          <w:sz w:val="11"/>
          <w:szCs w:val="11"/>
          <w:b w:val="1"/>
          <w:bCs w:val="1"/>
          <w:color w:val="auto"/>
        </w:rPr>
        <w:t xml:space="preserve">Derivative financial instruments (continued) </w:t>
      </w:r>
      <w:r>
        <w:rPr>
          <w:rFonts w:ascii="Arial" w:cs="Arial" w:eastAsia="Arial" w:hAnsi="Arial"/>
          <w:sz w:val="11"/>
          <w:szCs w:val="11"/>
          <w:u w:val="single" w:color="auto"/>
          <w:color w:val="auto"/>
        </w:rPr>
        <w:t>Derivatives financial position and performance (continued)</w:t>
      </w:r>
    </w:p>
    <w:p>
      <w:pPr>
        <w:spacing w:after="0" w:line="1" w:lineRule="exact"/>
        <w:rPr>
          <w:sz w:val="20"/>
          <w:szCs w:val="20"/>
          <w:color w:val="auto"/>
        </w:rPr>
      </w:pPr>
    </w:p>
    <w:tbl>
      <w:tblPr>
        <w:tblLayout w:type="fixed"/>
        <w:tblInd w:w="223"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56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1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3740" w:type="dxa"/>
            <w:vAlign w:val="bottom"/>
            <w:tcBorders>
              <w:bottom w:val="single" w:sz="8" w:color="auto"/>
            </w:tcBorders>
            <w:gridSpan w:val="3"/>
          </w:tcPr>
          <w:p>
            <w:pPr>
              <w:ind w:left="660"/>
              <w:spacing w:after="0"/>
              <w:rPr>
                <w:sz w:val="20"/>
                <w:szCs w:val="20"/>
                <w:color w:val="auto"/>
              </w:rPr>
            </w:pPr>
            <w:r>
              <w:rPr>
                <w:rFonts w:ascii="Arial" w:cs="Arial" w:eastAsia="Arial" w:hAnsi="Arial"/>
                <w:sz w:val="13"/>
                <w:szCs w:val="13"/>
                <w:b w:val="1"/>
                <w:bCs w:val="1"/>
                <w:color w:val="auto"/>
              </w:rPr>
              <w:t>December 31, 2017</w:t>
            </w:r>
          </w:p>
        </w:tc>
        <w:tc>
          <w:tcPr>
            <w:tcW w:w="0" w:type="dxa"/>
            <w:vAlign w:val="bottom"/>
          </w:tcPr>
          <w:p>
            <w:pPr>
              <w:spacing w:after="0"/>
              <w:rPr>
                <w:sz w:val="1"/>
                <w:szCs w:val="1"/>
                <w:color w:val="auto"/>
              </w:rPr>
            </w:pPr>
          </w:p>
        </w:tc>
      </w:tr>
      <w:tr>
        <w:trPr>
          <w:trHeight w:val="131"/>
        </w:trPr>
        <w:tc>
          <w:tcPr>
            <w:tcW w:w="20" w:type="dxa"/>
            <w:vAlign w:val="bottom"/>
          </w:tcPr>
          <w:p>
            <w:pPr>
              <w:spacing w:after="0"/>
              <w:rPr>
                <w:sz w:val="11"/>
                <w:szCs w:val="11"/>
                <w:color w:val="auto"/>
              </w:rPr>
            </w:pPr>
          </w:p>
        </w:tc>
        <w:tc>
          <w:tcPr>
            <w:tcW w:w="56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1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380" w:type="dxa"/>
            <w:vAlign w:val="bottom"/>
            <w:gridSpan w:val="2"/>
          </w:tcPr>
          <w:p>
            <w:pPr>
              <w:jc w:val="right"/>
              <w:ind w:right="460"/>
              <w:spacing w:after="0" w:line="131" w:lineRule="exact"/>
              <w:rPr>
                <w:sz w:val="20"/>
                <w:szCs w:val="20"/>
                <w:color w:val="auto"/>
              </w:rPr>
            </w:pPr>
            <w:r>
              <w:rPr>
                <w:rFonts w:ascii="Arial" w:cs="Arial" w:eastAsia="Arial" w:hAnsi="Arial"/>
                <w:sz w:val="13"/>
                <w:szCs w:val="13"/>
                <w:b w:val="1"/>
                <w:bCs w:val="1"/>
                <w:color w:val="auto"/>
              </w:rPr>
              <w:t>Accumulated</w:t>
            </w:r>
          </w:p>
        </w:tc>
        <w:tc>
          <w:tcPr>
            <w:tcW w:w="23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6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3"/>
              </w:rPr>
              <w:t>Carrying</w:t>
            </w:r>
          </w:p>
        </w:tc>
        <w:tc>
          <w:tcPr>
            <w:tcW w:w="1380" w:type="dxa"/>
            <w:vAlign w:val="bottom"/>
            <w:gridSpan w:val="2"/>
          </w:tcPr>
          <w:p>
            <w:pPr>
              <w:jc w:val="right"/>
              <w:ind w:right="540"/>
              <w:spacing w:after="0"/>
              <w:rPr>
                <w:sz w:val="20"/>
                <w:szCs w:val="20"/>
                <w:color w:val="auto"/>
              </w:rPr>
            </w:pPr>
            <w:r>
              <w:rPr>
                <w:rFonts w:ascii="Arial" w:cs="Arial" w:eastAsia="Arial" w:hAnsi="Arial"/>
                <w:sz w:val="13"/>
                <w:szCs w:val="13"/>
                <w:b w:val="1"/>
                <w:bCs w:val="1"/>
                <w:color w:val="auto"/>
              </w:rPr>
              <w:t>fair value</w:t>
            </w:r>
          </w:p>
        </w:tc>
        <w:tc>
          <w:tcPr>
            <w:tcW w:w="2360" w:type="dxa"/>
            <w:vAlign w:val="bottom"/>
          </w:tcPr>
          <w:p>
            <w:pPr>
              <w:ind w:left="20"/>
              <w:spacing w:after="0"/>
              <w:rPr>
                <w:sz w:val="20"/>
                <w:szCs w:val="20"/>
                <w:color w:val="auto"/>
              </w:rPr>
            </w:pPr>
            <w:r>
              <w:rPr>
                <w:rFonts w:ascii="Arial" w:cs="Arial" w:eastAsia="Arial" w:hAnsi="Arial"/>
                <w:sz w:val="13"/>
                <w:szCs w:val="13"/>
                <w:b w:val="1"/>
                <w:bCs w:val="1"/>
                <w:color w:val="auto"/>
                <w:w w:val="89"/>
              </w:rPr>
              <w:t>Line item in the consolidated statement of</w:t>
            </w:r>
          </w:p>
        </w:tc>
        <w:tc>
          <w:tcPr>
            <w:tcW w:w="0" w:type="dxa"/>
            <w:vAlign w:val="bottom"/>
          </w:tcPr>
          <w:p>
            <w:pPr>
              <w:spacing w:after="0"/>
              <w:rPr>
                <w:sz w:val="1"/>
                <w:szCs w:val="1"/>
                <w:color w:val="auto"/>
              </w:rPr>
            </w:pPr>
          </w:p>
        </w:tc>
      </w:tr>
      <w:tr>
        <w:trPr>
          <w:trHeight w:val="167"/>
        </w:trPr>
        <w:tc>
          <w:tcPr>
            <w:tcW w:w="5760" w:type="dxa"/>
            <w:vAlign w:val="bottom"/>
            <w:gridSpan w:val="3"/>
          </w:tcPr>
          <w:p>
            <w:pPr>
              <w:spacing w:after="0"/>
              <w:rPr>
                <w:sz w:val="20"/>
                <w:szCs w:val="20"/>
                <w:color w:val="auto"/>
              </w:rPr>
            </w:pPr>
            <w:r>
              <w:rPr>
                <w:rFonts w:ascii="Arial" w:cs="Arial" w:eastAsia="Arial" w:hAnsi="Arial"/>
                <w:sz w:val="13"/>
                <w:szCs w:val="13"/>
                <w:b w:val="1"/>
                <w:bCs w:val="1"/>
                <w:color w:val="auto"/>
              </w:rPr>
              <w:t>Fair value hedges</w:t>
            </w:r>
          </w:p>
        </w:tc>
        <w:tc>
          <w:tcPr>
            <w:tcW w:w="14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9"/>
              </w:rPr>
              <w:t>amount</w:t>
            </w:r>
          </w:p>
        </w:tc>
        <w:tc>
          <w:tcPr>
            <w:tcW w:w="1380" w:type="dxa"/>
            <w:vAlign w:val="bottom"/>
            <w:gridSpan w:val="2"/>
          </w:tcPr>
          <w:p>
            <w:pPr>
              <w:jc w:val="right"/>
              <w:ind w:right="460"/>
              <w:spacing w:after="0"/>
              <w:rPr>
                <w:sz w:val="20"/>
                <w:szCs w:val="20"/>
                <w:color w:val="auto"/>
              </w:rPr>
            </w:pPr>
            <w:r>
              <w:rPr>
                <w:rFonts w:ascii="Arial" w:cs="Arial" w:eastAsia="Arial" w:hAnsi="Arial"/>
                <w:sz w:val="13"/>
                <w:szCs w:val="13"/>
                <w:b w:val="1"/>
                <w:bCs w:val="1"/>
                <w:color w:val="auto"/>
              </w:rPr>
              <w:t>adjustments</w:t>
            </w:r>
          </w:p>
        </w:tc>
        <w:tc>
          <w:tcPr>
            <w:tcW w:w="2360" w:type="dxa"/>
            <w:vAlign w:val="bottom"/>
          </w:tcPr>
          <w:p>
            <w:pPr>
              <w:ind w:left="720"/>
              <w:spacing w:after="0"/>
              <w:rPr>
                <w:sz w:val="20"/>
                <w:szCs w:val="20"/>
                <w:color w:val="auto"/>
              </w:rPr>
            </w:pPr>
            <w:r>
              <w:rPr>
                <w:rFonts w:ascii="Arial" w:cs="Arial" w:eastAsia="Arial" w:hAnsi="Arial"/>
                <w:sz w:val="13"/>
                <w:szCs w:val="13"/>
                <w:b w:val="1"/>
                <w:bCs w:val="1"/>
                <w:color w:val="auto"/>
              </w:rPr>
              <w:t>financial position</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640" w:type="dxa"/>
            <w:vAlign w:val="bottom"/>
            <w:tcBorders>
              <w:top w:val="single" w:sz="8" w:color="auto"/>
            </w:tcBorders>
            <w:shd w:val="clear" w:color="auto" w:fill="CCEEFF"/>
          </w:tcPr>
          <w:p>
            <w:pPr>
              <w:spacing w:after="0" w:line="144" w:lineRule="exact"/>
              <w:rPr>
                <w:sz w:val="20"/>
                <w:szCs w:val="20"/>
                <w:color w:val="auto"/>
              </w:rPr>
            </w:pPr>
            <w:r>
              <w:rPr>
                <w:rFonts w:ascii="Arial" w:cs="Arial" w:eastAsia="Arial" w:hAnsi="Arial"/>
                <w:sz w:val="13"/>
                <w:szCs w:val="13"/>
                <w:color w:val="auto"/>
              </w:rPr>
              <w:t>Interest rate risk</w:t>
            </w:r>
          </w:p>
        </w:tc>
        <w:tc>
          <w:tcPr>
            <w:tcW w:w="10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2360" w:type="dxa"/>
            <w:vAlign w:val="bottom"/>
            <w:tcBorders>
              <w:top w:val="single" w:sz="8" w:color="auto"/>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740" w:type="dxa"/>
            <w:vAlign w:val="bottom"/>
            <w:gridSpan w:val="2"/>
          </w:tcPr>
          <w:p>
            <w:pPr>
              <w:ind w:left="40"/>
              <w:spacing w:after="0"/>
              <w:rPr>
                <w:sz w:val="20"/>
                <w:szCs w:val="20"/>
                <w:color w:val="auto"/>
              </w:rPr>
            </w:pPr>
            <w:r>
              <w:rPr>
                <w:rFonts w:ascii="Arial" w:cs="Arial" w:eastAsia="Arial" w:hAnsi="Arial"/>
                <w:sz w:val="13"/>
                <w:szCs w:val="13"/>
                <w:color w:val="auto"/>
              </w:rPr>
              <w:t>Loans</w:t>
            </w:r>
          </w:p>
        </w:tc>
        <w:tc>
          <w:tcPr>
            <w:tcW w:w="11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38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2360" w:type="dxa"/>
            <w:vAlign w:val="bottom"/>
          </w:tcPr>
          <w:p>
            <w:pPr>
              <w:spacing w:after="0"/>
              <w:rPr>
                <w:sz w:val="20"/>
                <w:szCs w:val="20"/>
                <w:color w:val="auto"/>
              </w:rPr>
            </w:pPr>
            <w:r>
              <w:rPr>
                <w:rFonts w:ascii="Arial" w:cs="Arial" w:eastAsia="Arial" w:hAnsi="Arial"/>
                <w:sz w:val="13"/>
                <w:szCs w:val="13"/>
                <w:color w:val="auto"/>
              </w:rPr>
              <w:t>Loans</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740" w:type="dxa"/>
            <w:vAlign w:val="bottom"/>
            <w:gridSpan w:val="2"/>
            <w:shd w:val="clear" w:color="auto" w:fill="CCEEFF"/>
          </w:tcPr>
          <w:p>
            <w:pPr>
              <w:ind w:left="40"/>
              <w:spacing w:after="0"/>
              <w:rPr>
                <w:sz w:val="20"/>
                <w:szCs w:val="20"/>
                <w:color w:val="auto"/>
              </w:rPr>
            </w:pPr>
            <w:r>
              <w:rPr>
                <w:rFonts w:ascii="Arial" w:cs="Arial" w:eastAsia="Arial" w:hAnsi="Arial"/>
                <w:sz w:val="13"/>
                <w:szCs w:val="13"/>
                <w:color w:val="auto"/>
              </w:rPr>
              <w:t>Issuances</w:t>
            </w: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355,000</w:t>
            </w:r>
          </w:p>
        </w:tc>
        <w:tc>
          <w:tcPr>
            <w:tcW w:w="220" w:type="dxa"/>
            <w:vAlign w:val="bottom"/>
            <w:shd w:val="clear" w:color="auto" w:fill="CCEEFF"/>
          </w:tcPr>
          <w:p>
            <w:pPr>
              <w:spacing w:after="0"/>
              <w:rPr>
                <w:sz w:val="13"/>
                <w:szCs w:val="13"/>
                <w:color w:val="auto"/>
              </w:rPr>
            </w:pPr>
          </w:p>
        </w:tc>
        <w:tc>
          <w:tcPr>
            <w:tcW w:w="138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(4,411)</w:t>
            </w:r>
          </w:p>
        </w:tc>
        <w:tc>
          <w:tcPr>
            <w:tcW w:w="2360" w:type="dxa"/>
            <w:vAlign w:val="bottom"/>
            <w:shd w:val="clear" w:color="auto" w:fill="CCEEFF"/>
          </w:tcPr>
          <w:p>
            <w:pPr>
              <w:spacing w:after="0"/>
              <w:rPr>
                <w:sz w:val="20"/>
                <w:szCs w:val="20"/>
                <w:color w:val="auto"/>
              </w:rPr>
            </w:pPr>
            <w:r>
              <w:rPr>
                <w:rFonts w:ascii="Arial" w:cs="Arial" w:eastAsia="Arial" w:hAnsi="Arial"/>
                <w:sz w:val="13"/>
                <w:szCs w:val="13"/>
                <w:color w:val="auto"/>
              </w:rPr>
              <w:t>Borrowings and debt, net</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6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2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7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Foreign exchange rate risk and interest rate risk:</w:t>
            </w:r>
          </w:p>
        </w:tc>
        <w:tc>
          <w:tcPr>
            <w:tcW w:w="11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18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236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740" w:type="dxa"/>
            <w:vAlign w:val="bottom"/>
            <w:gridSpan w:val="2"/>
          </w:tcPr>
          <w:p>
            <w:pPr>
              <w:ind w:left="40"/>
              <w:spacing w:after="0"/>
              <w:rPr>
                <w:sz w:val="20"/>
                <w:szCs w:val="20"/>
                <w:color w:val="auto"/>
              </w:rPr>
            </w:pPr>
            <w:r>
              <w:rPr>
                <w:rFonts w:ascii="Arial" w:cs="Arial" w:eastAsia="Arial" w:hAnsi="Arial"/>
                <w:sz w:val="13"/>
                <w:szCs w:val="13"/>
                <w:color w:val="auto"/>
              </w:rPr>
              <w:t>Securities at FVOCI</w:t>
            </w:r>
          </w:p>
        </w:tc>
        <w:tc>
          <w:tcPr>
            <w:tcW w:w="1400" w:type="dxa"/>
            <w:vAlign w:val="bottom"/>
            <w:gridSpan w:val="2"/>
          </w:tcPr>
          <w:p>
            <w:pPr>
              <w:jc w:val="right"/>
              <w:ind w:right="220"/>
              <w:spacing w:after="0"/>
              <w:rPr>
                <w:sz w:val="20"/>
                <w:szCs w:val="20"/>
                <w:color w:val="auto"/>
              </w:rPr>
            </w:pPr>
            <w:r>
              <w:rPr>
                <w:rFonts w:ascii="Arial" w:cs="Arial" w:eastAsia="Arial" w:hAnsi="Arial"/>
                <w:sz w:val="13"/>
                <w:szCs w:val="13"/>
                <w:color w:val="auto"/>
              </w:rPr>
              <w:t>12,369</w:t>
            </w:r>
          </w:p>
        </w:tc>
        <w:tc>
          <w:tcPr>
            <w:tcW w:w="1380" w:type="dxa"/>
            <w:vAlign w:val="bottom"/>
            <w:gridSpan w:val="2"/>
          </w:tcPr>
          <w:p>
            <w:pPr>
              <w:jc w:val="right"/>
              <w:ind w:right="160"/>
              <w:spacing w:after="0"/>
              <w:rPr>
                <w:sz w:val="20"/>
                <w:szCs w:val="20"/>
                <w:color w:val="auto"/>
              </w:rPr>
            </w:pPr>
            <w:r>
              <w:rPr>
                <w:rFonts w:ascii="Arial" w:cs="Arial" w:eastAsia="Arial" w:hAnsi="Arial"/>
                <w:sz w:val="13"/>
                <w:szCs w:val="13"/>
                <w:color w:val="auto"/>
              </w:rPr>
              <w:t>(32)</w:t>
            </w:r>
          </w:p>
        </w:tc>
        <w:tc>
          <w:tcPr>
            <w:tcW w:w="2360" w:type="dxa"/>
            <w:vAlign w:val="bottom"/>
          </w:tcPr>
          <w:p>
            <w:pPr>
              <w:spacing w:after="0"/>
              <w:rPr>
                <w:sz w:val="20"/>
                <w:szCs w:val="20"/>
                <w:color w:val="auto"/>
              </w:rPr>
            </w:pPr>
            <w:r>
              <w:rPr>
                <w:rFonts w:ascii="Arial" w:cs="Arial" w:eastAsia="Arial" w:hAnsi="Arial"/>
                <w:sz w:val="13"/>
                <w:szCs w:val="13"/>
                <w:color w:val="auto"/>
                <w:w w:val="88"/>
              </w:rPr>
              <w:t>Securities and other financial instruments, net</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740" w:type="dxa"/>
            <w:vAlign w:val="bottom"/>
            <w:gridSpan w:val="2"/>
            <w:shd w:val="clear" w:color="auto" w:fill="CCEEFF"/>
          </w:tcPr>
          <w:p>
            <w:pPr>
              <w:ind w:left="40"/>
              <w:spacing w:after="0"/>
              <w:rPr>
                <w:sz w:val="20"/>
                <w:szCs w:val="20"/>
                <w:color w:val="auto"/>
              </w:rPr>
            </w:pPr>
            <w:r>
              <w:rPr>
                <w:rFonts w:ascii="Arial" w:cs="Arial" w:eastAsia="Arial" w:hAnsi="Arial"/>
                <w:sz w:val="13"/>
                <w:szCs w:val="13"/>
                <w:color w:val="auto"/>
              </w:rPr>
              <w:t>Loans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25,027</w:t>
            </w:r>
          </w:p>
        </w:tc>
        <w:tc>
          <w:tcPr>
            <w:tcW w:w="138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744</w:t>
            </w:r>
          </w:p>
        </w:tc>
        <w:tc>
          <w:tcPr>
            <w:tcW w:w="2360" w:type="dxa"/>
            <w:vAlign w:val="bottom"/>
            <w:shd w:val="clear" w:color="auto" w:fill="CCEEFF"/>
          </w:tcPr>
          <w:p>
            <w:pPr>
              <w:spacing w:after="0"/>
              <w:rPr>
                <w:sz w:val="20"/>
                <w:szCs w:val="20"/>
                <w:color w:val="auto"/>
              </w:rPr>
            </w:pPr>
            <w:r>
              <w:rPr>
                <w:rFonts w:ascii="Arial" w:cs="Arial" w:eastAsia="Arial" w:hAnsi="Arial"/>
                <w:sz w:val="13"/>
                <w:szCs w:val="13"/>
                <w:color w:val="auto"/>
              </w:rPr>
              <w:t>Loans</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5740" w:type="dxa"/>
            <w:vAlign w:val="bottom"/>
            <w:gridSpan w:val="2"/>
          </w:tcPr>
          <w:p>
            <w:pPr>
              <w:ind w:left="40"/>
              <w:spacing w:after="0"/>
              <w:rPr>
                <w:sz w:val="20"/>
                <w:szCs w:val="20"/>
                <w:color w:val="auto"/>
              </w:rPr>
            </w:pPr>
            <w:r>
              <w:rPr>
                <w:rFonts w:ascii="Arial" w:cs="Arial" w:eastAsia="Arial" w:hAnsi="Arial"/>
                <w:sz w:val="13"/>
                <w:szCs w:val="13"/>
                <w:color w:val="auto"/>
              </w:rPr>
              <w:t>Issuances</w:t>
            </w:r>
          </w:p>
        </w:tc>
        <w:tc>
          <w:tcPr>
            <w:tcW w:w="1180" w:type="dxa"/>
            <w:vAlign w:val="bottom"/>
          </w:tcPr>
          <w:p>
            <w:pPr>
              <w:jc w:val="right"/>
              <w:spacing w:after="0"/>
              <w:rPr>
                <w:sz w:val="20"/>
                <w:szCs w:val="20"/>
                <w:color w:val="auto"/>
              </w:rPr>
            </w:pPr>
            <w:r>
              <w:rPr>
                <w:rFonts w:ascii="Arial" w:cs="Arial" w:eastAsia="Arial" w:hAnsi="Arial"/>
                <w:sz w:val="13"/>
                <w:szCs w:val="13"/>
                <w:color w:val="auto"/>
              </w:rPr>
              <w:t>249,328</w:t>
            </w:r>
          </w:p>
        </w:tc>
        <w:tc>
          <w:tcPr>
            <w:tcW w:w="220" w:type="dxa"/>
            <w:vAlign w:val="bottom"/>
          </w:tcPr>
          <w:p>
            <w:pPr>
              <w:spacing w:after="0"/>
              <w:rPr>
                <w:sz w:val="14"/>
                <w:szCs w:val="14"/>
                <w:color w:val="auto"/>
              </w:rPr>
            </w:pPr>
          </w:p>
        </w:tc>
        <w:tc>
          <w:tcPr>
            <w:tcW w:w="1380" w:type="dxa"/>
            <w:vAlign w:val="bottom"/>
            <w:gridSpan w:val="2"/>
          </w:tcPr>
          <w:p>
            <w:pPr>
              <w:jc w:val="right"/>
              <w:ind w:right="160"/>
              <w:spacing w:after="0"/>
              <w:rPr>
                <w:sz w:val="20"/>
                <w:szCs w:val="20"/>
                <w:color w:val="auto"/>
              </w:rPr>
            </w:pPr>
            <w:r>
              <w:rPr>
                <w:rFonts w:ascii="Arial" w:cs="Arial" w:eastAsia="Arial" w:hAnsi="Arial"/>
                <w:sz w:val="13"/>
                <w:szCs w:val="13"/>
                <w:color w:val="auto"/>
              </w:rPr>
              <w:t>(2,301)</w:t>
            </w:r>
          </w:p>
        </w:tc>
        <w:tc>
          <w:tcPr>
            <w:tcW w:w="2360" w:type="dxa"/>
            <w:vAlign w:val="bottom"/>
          </w:tcPr>
          <w:p>
            <w:pPr>
              <w:spacing w:after="0"/>
              <w:rPr>
                <w:sz w:val="20"/>
                <w:szCs w:val="20"/>
                <w:color w:val="auto"/>
              </w:rPr>
            </w:pPr>
            <w:r>
              <w:rPr>
                <w:rFonts w:ascii="Arial" w:cs="Arial" w:eastAsia="Arial" w:hAnsi="Arial"/>
                <w:sz w:val="13"/>
                <w:szCs w:val="13"/>
                <w:color w:val="auto"/>
              </w:rPr>
              <w:t>Borrowings and debt, net</w:t>
            </w:r>
          </w:p>
        </w:tc>
        <w:tc>
          <w:tcPr>
            <w:tcW w:w="0" w:type="dxa"/>
            <w:vAlign w:val="bottom"/>
          </w:tcPr>
          <w:p>
            <w:pPr>
              <w:spacing w:after="0"/>
              <w:rPr>
                <w:sz w:val="1"/>
                <w:szCs w:val="1"/>
                <w:color w:val="auto"/>
              </w:rPr>
            </w:pPr>
          </w:p>
        </w:tc>
      </w:tr>
    </w:tbl>
    <w:p>
      <w:pPr>
        <w:spacing w:after="0" w:line="137" w:lineRule="exact"/>
        <w:rPr>
          <w:sz w:val="20"/>
          <w:szCs w:val="20"/>
          <w:color w:val="auto"/>
        </w:rPr>
      </w:pPr>
    </w:p>
    <w:p>
      <w:pPr>
        <w:ind w:left="223"/>
        <w:spacing w:after="0"/>
        <w:rPr>
          <w:sz w:val="20"/>
          <w:szCs w:val="20"/>
          <w:color w:val="auto"/>
        </w:rPr>
      </w:pPr>
      <w:r>
        <w:rPr>
          <w:rFonts w:ascii="Arial" w:cs="Arial" w:eastAsia="Arial" w:hAnsi="Arial"/>
          <w:sz w:val="13"/>
          <w:szCs w:val="13"/>
          <w:color w:val="auto"/>
        </w:rPr>
        <w:t>The following tables detail the maturity profile of the timing of the nominal amounts of the hedging instruments, by type of risk covered:</w:t>
      </w:r>
    </w:p>
    <w:p>
      <w:pPr>
        <w:spacing w:after="0" w:line="164" w:lineRule="exact"/>
        <w:rPr>
          <w:sz w:val="20"/>
          <w:szCs w:val="20"/>
          <w:color w:val="auto"/>
        </w:rPr>
      </w:pPr>
    </w:p>
    <w:tbl>
      <w:tblPr>
        <w:tblLayout w:type="fixed"/>
        <w:tblInd w:w="3" w:type="dxa"/>
        <w:tblCellMar>
          <w:top w:w="0" w:type="dxa"/>
          <w:left w:w="0" w:type="dxa"/>
          <w:bottom w:w="0" w:type="dxa"/>
          <w:right w:w="0" w:type="dxa"/>
        </w:tblCellMar>
      </w:tblPr>
      <w:tr>
        <w:trPr>
          <w:trHeight w:val="167"/>
        </w:trPr>
        <w:tc>
          <w:tcPr>
            <w:tcW w:w="220" w:type="dxa"/>
            <w:vAlign w:val="bottom"/>
          </w:tcPr>
          <w:p>
            <w:pPr>
              <w:spacing w:after="0"/>
              <w:rPr>
                <w:sz w:val="14"/>
                <w:szCs w:val="14"/>
                <w:color w:val="auto"/>
              </w:rPr>
            </w:pPr>
          </w:p>
        </w:tc>
        <w:tc>
          <w:tcPr>
            <w:tcW w:w="52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22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2800" w:type="dxa"/>
            <w:vAlign w:val="bottom"/>
            <w:tcBorders>
              <w:bottom w:val="single" w:sz="8" w:color="auto"/>
            </w:tcBorders>
            <w:gridSpan w:val="4"/>
          </w:tcPr>
          <w:p>
            <w:pPr>
              <w:ind w:left="760"/>
              <w:spacing w:after="0"/>
              <w:rPr>
                <w:sz w:val="20"/>
                <w:szCs w:val="20"/>
                <w:color w:val="auto"/>
              </w:rPr>
            </w:pPr>
            <w:r>
              <w:rPr>
                <w:rFonts w:ascii="Arial" w:cs="Arial" w:eastAsia="Arial" w:hAnsi="Arial"/>
                <w:sz w:val="13"/>
                <w:szCs w:val="13"/>
                <w:b w:val="1"/>
                <w:bCs w:val="1"/>
                <w:color w:val="auto"/>
              </w:rPr>
              <w:t>December 31, 2018</w:t>
            </w:r>
          </w:p>
        </w:tc>
        <w:tc>
          <w:tcPr>
            <w:tcW w:w="120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360" w:type="dxa"/>
            <w:vAlign w:val="bottom"/>
          </w:tcPr>
          <w:p>
            <w:pPr>
              <w:spacing w:after="0"/>
              <w:rPr>
                <w:sz w:val="14"/>
                <w:szCs w:val="14"/>
                <w:color w:val="auto"/>
              </w:rPr>
            </w:pPr>
          </w:p>
        </w:tc>
      </w:tr>
      <w:tr>
        <w:trPr>
          <w:trHeight w:val="131"/>
        </w:trPr>
        <w:tc>
          <w:tcPr>
            <w:tcW w:w="220" w:type="dxa"/>
            <w:vAlign w:val="bottom"/>
          </w:tcPr>
          <w:p>
            <w:pPr>
              <w:spacing w:after="0"/>
              <w:rPr>
                <w:sz w:val="11"/>
                <w:szCs w:val="11"/>
                <w:color w:val="auto"/>
              </w:rPr>
            </w:pPr>
          </w:p>
        </w:tc>
        <w:tc>
          <w:tcPr>
            <w:tcW w:w="5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1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400" w:type="dxa"/>
            <w:vAlign w:val="bottom"/>
            <w:gridSpan w:val="2"/>
          </w:tcPr>
          <w:p>
            <w:pPr>
              <w:jc w:val="center"/>
              <w:ind w:right="200"/>
              <w:spacing w:after="0" w:line="131" w:lineRule="exact"/>
              <w:rPr>
                <w:sz w:val="20"/>
                <w:szCs w:val="20"/>
                <w:color w:val="auto"/>
              </w:rPr>
            </w:pPr>
            <w:r>
              <w:rPr>
                <w:rFonts w:ascii="Arial" w:cs="Arial" w:eastAsia="Arial" w:hAnsi="Arial"/>
                <w:sz w:val="13"/>
                <w:szCs w:val="13"/>
                <w:b w:val="1"/>
                <w:bCs w:val="1"/>
                <w:color w:val="auto"/>
                <w:w w:val="86"/>
              </w:rPr>
              <w:t>Foreign exchange</w:t>
            </w:r>
          </w:p>
        </w:tc>
        <w:tc>
          <w:tcPr>
            <w:tcW w:w="12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60" w:type="dxa"/>
            <w:vAlign w:val="bottom"/>
          </w:tcPr>
          <w:p>
            <w:pPr>
              <w:spacing w:after="0"/>
              <w:rPr>
                <w:sz w:val="11"/>
                <w:szCs w:val="11"/>
                <w:color w:val="auto"/>
              </w:rPr>
            </w:pPr>
          </w:p>
        </w:tc>
      </w:tr>
      <w:tr>
        <w:trPr>
          <w:trHeight w:val="154"/>
        </w:trPr>
        <w:tc>
          <w:tcPr>
            <w:tcW w:w="220" w:type="dxa"/>
            <w:vAlign w:val="bottom"/>
          </w:tcPr>
          <w:p>
            <w:pPr>
              <w:spacing w:after="0"/>
              <w:rPr>
                <w:sz w:val="13"/>
                <w:szCs w:val="13"/>
                <w:color w:val="auto"/>
              </w:rPr>
            </w:pPr>
          </w:p>
        </w:tc>
        <w:tc>
          <w:tcPr>
            <w:tcW w:w="5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40" w:type="dxa"/>
            <w:vAlign w:val="bottom"/>
            <w:gridSpan w:val="2"/>
          </w:tcPr>
          <w:p>
            <w:pPr>
              <w:jc w:val="center"/>
              <w:ind w:right="260"/>
              <w:spacing w:after="0"/>
              <w:rPr>
                <w:sz w:val="20"/>
                <w:szCs w:val="20"/>
                <w:color w:val="auto"/>
              </w:rPr>
            </w:pPr>
            <w:r>
              <w:rPr>
                <w:rFonts w:ascii="Arial" w:cs="Arial" w:eastAsia="Arial" w:hAnsi="Arial"/>
                <w:sz w:val="13"/>
                <w:szCs w:val="13"/>
                <w:b w:val="1"/>
                <w:bCs w:val="1"/>
                <w:color w:val="auto"/>
                <w:w w:val="88"/>
              </w:rPr>
              <w:t>Foreign</w:t>
            </w:r>
          </w:p>
        </w:tc>
        <w:tc>
          <w:tcPr>
            <w:tcW w:w="1400" w:type="dxa"/>
            <w:vAlign w:val="bottom"/>
            <w:gridSpan w:val="2"/>
          </w:tcPr>
          <w:p>
            <w:pPr>
              <w:jc w:val="right"/>
              <w:ind w:right="460"/>
              <w:spacing w:after="0"/>
              <w:rPr>
                <w:sz w:val="20"/>
                <w:szCs w:val="20"/>
                <w:color w:val="auto"/>
              </w:rPr>
            </w:pPr>
            <w:r>
              <w:rPr>
                <w:rFonts w:ascii="Arial" w:cs="Arial" w:eastAsia="Arial" w:hAnsi="Arial"/>
                <w:sz w:val="13"/>
                <w:szCs w:val="13"/>
                <w:b w:val="1"/>
                <w:bCs w:val="1"/>
                <w:color w:val="auto"/>
              </w:rPr>
              <w:t>Interest rate</w:t>
            </w:r>
          </w:p>
        </w:tc>
        <w:tc>
          <w:tcPr>
            <w:tcW w:w="140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6"/>
              </w:rPr>
              <w:t>and interest</w:t>
            </w: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360" w:type="dxa"/>
            <w:vAlign w:val="bottom"/>
          </w:tcPr>
          <w:p>
            <w:pPr>
              <w:spacing w:after="0"/>
              <w:rPr>
                <w:sz w:val="13"/>
                <w:szCs w:val="13"/>
                <w:color w:val="auto"/>
              </w:rPr>
            </w:pPr>
          </w:p>
        </w:tc>
      </w:tr>
      <w:tr>
        <w:trPr>
          <w:trHeight w:val="167"/>
        </w:trPr>
        <w:tc>
          <w:tcPr>
            <w:tcW w:w="5580" w:type="dxa"/>
            <w:vAlign w:val="bottom"/>
            <w:gridSpan w:val="3"/>
          </w:tcPr>
          <w:p>
            <w:pPr>
              <w:ind w:left="220"/>
              <w:spacing w:after="0"/>
              <w:rPr>
                <w:sz w:val="20"/>
                <w:szCs w:val="20"/>
                <w:color w:val="auto"/>
              </w:rPr>
            </w:pPr>
            <w:r>
              <w:rPr>
                <w:rFonts w:ascii="Arial" w:cs="Arial" w:eastAsia="Arial" w:hAnsi="Arial"/>
                <w:sz w:val="13"/>
                <w:szCs w:val="13"/>
                <w:b w:val="1"/>
                <w:bCs w:val="1"/>
                <w:color w:val="auto"/>
              </w:rPr>
              <w:t>Risk type</w:t>
            </w:r>
          </w:p>
        </w:tc>
        <w:tc>
          <w:tcPr>
            <w:tcW w:w="144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5"/>
              </w:rPr>
              <w:t>exchange risk</w:t>
            </w:r>
          </w:p>
        </w:tc>
        <w:tc>
          <w:tcPr>
            <w:tcW w:w="1400" w:type="dxa"/>
            <w:vAlign w:val="bottom"/>
            <w:gridSpan w:val="2"/>
          </w:tcPr>
          <w:p>
            <w:pPr>
              <w:jc w:val="right"/>
              <w:ind w:right="700"/>
              <w:spacing w:after="0"/>
              <w:rPr>
                <w:sz w:val="20"/>
                <w:szCs w:val="20"/>
                <w:color w:val="auto"/>
              </w:rPr>
            </w:pPr>
            <w:r>
              <w:rPr>
                <w:rFonts w:ascii="Arial" w:cs="Arial" w:eastAsia="Arial" w:hAnsi="Arial"/>
                <w:sz w:val="13"/>
                <w:szCs w:val="13"/>
                <w:b w:val="1"/>
                <w:bCs w:val="1"/>
                <w:color w:val="auto"/>
              </w:rPr>
              <w:t>risk</w:t>
            </w:r>
          </w:p>
        </w:tc>
        <w:tc>
          <w:tcPr>
            <w:tcW w:w="140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9"/>
              </w:rPr>
              <w:t>rate risks</w:t>
            </w:r>
          </w:p>
        </w:tc>
        <w:tc>
          <w:tcPr>
            <w:tcW w:w="1300" w:type="dxa"/>
            <w:vAlign w:val="bottom"/>
            <w:gridSpan w:val="2"/>
          </w:tcPr>
          <w:p>
            <w:pPr>
              <w:ind w:left="460"/>
              <w:spacing w:after="0"/>
              <w:rPr>
                <w:sz w:val="20"/>
                <w:szCs w:val="20"/>
                <w:color w:val="auto"/>
              </w:rPr>
            </w:pPr>
            <w:r>
              <w:rPr>
                <w:rFonts w:ascii="Arial" w:cs="Arial" w:eastAsia="Arial" w:hAnsi="Arial"/>
                <w:sz w:val="13"/>
                <w:szCs w:val="13"/>
                <w:b w:val="1"/>
                <w:bCs w:val="1"/>
                <w:color w:val="auto"/>
              </w:rPr>
              <w:t>Total</w:t>
            </w:r>
          </w:p>
        </w:tc>
        <w:tc>
          <w:tcPr>
            <w:tcW w:w="360" w:type="dxa"/>
            <w:vAlign w:val="bottom"/>
          </w:tcPr>
          <w:p>
            <w:pPr>
              <w:spacing w:after="0"/>
              <w:rPr>
                <w:sz w:val="14"/>
                <w:szCs w:val="14"/>
                <w:color w:val="auto"/>
              </w:rPr>
            </w:pPr>
          </w:p>
        </w:tc>
      </w:tr>
      <w:tr>
        <w:trPr>
          <w:trHeight w:val="144"/>
        </w:trPr>
        <w:tc>
          <w:tcPr>
            <w:tcW w:w="220" w:type="dxa"/>
            <w:vAlign w:val="bottom"/>
          </w:tcPr>
          <w:p>
            <w:pPr>
              <w:spacing w:after="0"/>
              <w:rPr>
                <w:sz w:val="12"/>
                <w:szCs w:val="12"/>
                <w:color w:val="auto"/>
              </w:rPr>
            </w:pPr>
          </w:p>
        </w:tc>
        <w:tc>
          <w:tcPr>
            <w:tcW w:w="5240" w:type="dxa"/>
            <w:vAlign w:val="bottom"/>
            <w:tcBorders>
              <w:top w:val="single" w:sz="8" w:color="auto"/>
            </w:tcBorders>
            <w:shd w:val="clear" w:color="auto" w:fill="CCEEFF"/>
          </w:tcPr>
          <w:p>
            <w:pPr>
              <w:spacing w:after="0" w:line="144" w:lineRule="exact"/>
              <w:rPr>
                <w:sz w:val="20"/>
                <w:szCs w:val="20"/>
                <w:color w:val="auto"/>
              </w:rPr>
            </w:pPr>
            <w:r>
              <w:rPr>
                <w:rFonts w:ascii="Arial" w:cs="Arial" w:eastAsia="Arial" w:hAnsi="Arial"/>
                <w:sz w:val="13"/>
                <w:szCs w:val="13"/>
                <w:color w:val="auto"/>
              </w:rPr>
              <w:t>Up to 1 month</w:t>
            </w:r>
          </w:p>
        </w:tc>
        <w:tc>
          <w:tcPr>
            <w:tcW w:w="12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27,458</w:t>
            </w: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27,458</w:t>
            </w:r>
          </w:p>
        </w:tc>
        <w:tc>
          <w:tcPr>
            <w:tcW w:w="100" w:type="dxa"/>
            <w:vAlign w:val="bottom"/>
            <w:tcBorders>
              <w:top w:val="single" w:sz="8" w:color="CCEEFF"/>
            </w:tcBorders>
            <w:shd w:val="clear" w:color="auto" w:fill="CCEEFF"/>
          </w:tcPr>
          <w:p>
            <w:pPr>
              <w:spacing w:after="0"/>
              <w:rPr>
                <w:sz w:val="12"/>
                <w:szCs w:val="12"/>
                <w:color w:val="auto"/>
              </w:rPr>
            </w:pPr>
          </w:p>
        </w:tc>
        <w:tc>
          <w:tcPr>
            <w:tcW w:w="360" w:type="dxa"/>
            <w:vAlign w:val="bottom"/>
          </w:tcPr>
          <w:p>
            <w:pPr>
              <w:spacing w:after="0"/>
              <w:rPr>
                <w:sz w:val="12"/>
                <w:szCs w:val="12"/>
                <w:color w:val="auto"/>
              </w:rPr>
            </w:pPr>
          </w:p>
        </w:tc>
      </w:tr>
      <w:tr>
        <w:trPr>
          <w:trHeight w:val="154"/>
        </w:trPr>
        <w:tc>
          <w:tcPr>
            <w:tcW w:w="220" w:type="dxa"/>
            <w:vAlign w:val="bottom"/>
          </w:tcPr>
          <w:p>
            <w:pPr>
              <w:spacing w:after="0"/>
              <w:rPr>
                <w:sz w:val="13"/>
                <w:szCs w:val="13"/>
                <w:color w:val="auto"/>
              </w:rPr>
            </w:pPr>
          </w:p>
        </w:tc>
        <w:tc>
          <w:tcPr>
            <w:tcW w:w="5360" w:type="dxa"/>
            <w:vAlign w:val="bottom"/>
            <w:gridSpan w:val="2"/>
          </w:tcPr>
          <w:p>
            <w:pPr>
              <w:spacing w:after="0"/>
              <w:rPr>
                <w:sz w:val="20"/>
                <w:szCs w:val="20"/>
                <w:color w:val="auto"/>
              </w:rPr>
            </w:pPr>
            <w:r>
              <w:rPr>
                <w:rFonts w:ascii="Arial" w:cs="Arial" w:eastAsia="Arial" w:hAnsi="Arial"/>
                <w:sz w:val="13"/>
                <w:szCs w:val="13"/>
                <w:color w:val="auto"/>
              </w:rPr>
              <w:t>31 to 60 days</w:t>
            </w:r>
          </w:p>
        </w:tc>
        <w:tc>
          <w:tcPr>
            <w:tcW w:w="1440" w:type="dxa"/>
            <w:vAlign w:val="bottom"/>
            <w:gridSpan w:val="2"/>
          </w:tcPr>
          <w:p>
            <w:pPr>
              <w:jc w:val="right"/>
              <w:ind w:right="220"/>
              <w:spacing w:after="0"/>
              <w:rPr>
                <w:sz w:val="20"/>
                <w:szCs w:val="20"/>
                <w:color w:val="auto"/>
              </w:rPr>
            </w:pPr>
            <w:r>
              <w:rPr>
                <w:rFonts w:ascii="Arial" w:cs="Arial" w:eastAsia="Arial" w:hAnsi="Arial"/>
                <w:sz w:val="13"/>
                <w:szCs w:val="13"/>
                <w:color w:val="auto"/>
              </w:rPr>
              <w:t>16,977</w:t>
            </w:r>
          </w:p>
        </w:tc>
        <w:tc>
          <w:tcPr>
            <w:tcW w:w="1400" w:type="dxa"/>
            <w:vAlign w:val="bottom"/>
            <w:gridSpan w:val="2"/>
          </w:tcPr>
          <w:p>
            <w:pPr>
              <w:jc w:val="right"/>
              <w:ind w:right="220"/>
              <w:spacing w:after="0"/>
              <w:rPr>
                <w:sz w:val="20"/>
                <w:szCs w:val="20"/>
                <w:color w:val="auto"/>
              </w:rPr>
            </w:pPr>
            <w:r>
              <w:rPr>
                <w:rFonts w:ascii="Arial" w:cs="Arial" w:eastAsia="Arial" w:hAnsi="Arial"/>
                <w:sz w:val="13"/>
                <w:szCs w:val="13"/>
                <w:color w:val="auto"/>
              </w:rPr>
              <w:t>115,000</w:t>
            </w: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131,977</w:t>
            </w:r>
          </w:p>
        </w:tc>
        <w:tc>
          <w:tcPr>
            <w:tcW w:w="36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536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61 to 90 days</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6,908</w:t>
            </w:r>
          </w:p>
        </w:tc>
        <w:tc>
          <w:tcPr>
            <w:tcW w:w="220" w:type="dxa"/>
            <w:vAlign w:val="bottom"/>
            <w:shd w:val="clear" w:color="auto" w:fill="CCEEFF"/>
          </w:tcPr>
          <w:p>
            <w:pPr>
              <w:spacing w:after="0"/>
              <w:rPr>
                <w:sz w:val="13"/>
                <w:szCs w:val="13"/>
                <w:color w:val="auto"/>
              </w:rPr>
            </w:pP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50,000</w:t>
            </w: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56,908</w:t>
            </w:r>
          </w:p>
        </w:tc>
        <w:tc>
          <w:tcPr>
            <w:tcW w:w="36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5360" w:type="dxa"/>
            <w:vAlign w:val="bottom"/>
            <w:gridSpan w:val="2"/>
          </w:tcPr>
          <w:p>
            <w:pPr>
              <w:spacing w:after="0"/>
              <w:rPr>
                <w:sz w:val="20"/>
                <w:szCs w:val="20"/>
                <w:color w:val="auto"/>
              </w:rPr>
            </w:pPr>
            <w:r>
              <w:rPr>
                <w:rFonts w:ascii="Arial" w:cs="Arial" w:eastAsia="Arial" w:hAnsi="Arial"/>
                <w:sz w:val="13"/>
                <w:szCs w:val="13"/>
                <w:color w:val="auto"/>
              </w:rPr>
              <w:t>91 to 180 days</w:t>
            </w:r>
          </w:p>
        </w:tc>
        <w:tc>
          <w:tcPr>
            <w:tcW w:w="1220" w:type="dxa"/>
            <w:vAlign w:val="bottom"/>
          </w:tcPr>
          <w:p>
            <w:pPr>
              <w:jc w:val="right"/>
              <w:spacing w:after="0"/>
              <w:rPr>
                <w:sz w:val="20"/>
                <w:szCs w:val="20"/>
                <w:color w:val="auto"/>
              </w:rPr>
            </w:pPr>
            <w:r>
              <w:rPr>
                <w:rFonts w:ascii="Arial" w:cs="Arial" w:eastAsia="Arial" w:hAnsi="Arial"/>
                <w:sz w:val="13"/>
                <w:szCs w:val="13"/>
                <w:color w:val="auto"/>
              </w:rPr>
              <w:t>100,489</w:t>
            </w:r>
          </w:p>
        </w:tc>
        <w:tc>
          <w:tcPr>
            <w:tcW w:w="220" w:type="dxa"/>
            <w:vAlign w:val="bottom"/>
          </w:tcPr>
          <w:p>
            <w:pPr>
              <w:spacing w:after="0"/>
              <w:rPr>
                <w:sz w:val="13"/>
                <w:szCs w:val="13"/>
                <w:color w:val="auto"/>
              </w:rPr>
            </w:pPr>
          </w:p>
        </w:tc>
        <w:tc>
          <w:tcPr>
            <w:tcW w:w="1400" w:type="dxa"/>
            <w:vAlign w:val="bottom"/>
            <w:gridSpan w:val="2"/>
          </w:tcPr>
          <w:p>
            <w:pPr>
              <w:jc w:val="right"/>
              <w:ind w:right="220"/>
              <w:spacing w:after="0"/>
              <w:rPr>
                <w:sz w:val="20"/>
                <w:szCs w:val="20"/>
                <w:color w:val="auto"/>
              </w:rPr>
            </w:pPr>
            <w:r>
              <w:rPr>
                <w:rFonts w:ascii="Arial" w:cs="Arial" w:eastAsia="Arial" w:hAnsi="Arial"/>
                <w:sz w:val="13"/>
                <w:szCs w:val="13"/>
                <w:color w:val="auto"/>
              </w:rPr>
              <w:t>17,000</w:t>
            </w:r>
          </w:p>
        </w:tc>
        <w:tc>
          <w:tcPr>
            <w:tcW w:w="1400" w:type="dxa"/>
            <w:vAlign w:val="bottom"/>
            <w:gridSpan w:val="2"/>
          </w:tcPr>
          <w:p>
            <w:pPr>
              <w:jc w:val="right"/>
              <w:ind w:right="200"/>
              <w:spacing w:after="0"/>
              <w:rPr>
                <w:sz w:val="20"/>
                <w:szCs w:val="20"/>
                <w:color w:val="auto"/>
              </w:rPr>
            </w:pPr>
            <w:r>
              <w:rPr>
                <w:rFonts w:ascii="Arial" w:cs="Arial" w:eastAsia="Arial" w:hAnsi="Arial"/>
                <w:sz w:val="13"/>
                <w:szCs w:val="13"/>
                <w:color w:val="auto"/>
              </w:rPr>
              <w:t>73,193</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190,682</w:t>
            </w:r>
          </w:p>
        </w:tc>
        <w:tc>
          <w:tcPr>
            <w:tcW w:w="36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536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181 to 365 days</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98,813</w:t>
            </w: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159,500</w:t>
            </w: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258,313</w:t>
            </w:r>
          </w:p>
        </w:tc>
        <w:tc>
          <w:tcPr>
            <w:tcW w:w="36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5360" w:type="dxa"/>
            <w:vAlign w:val="bottom"/>
            <w:gridSpan w:val="2"/>
          </w:tcPr>
          <w:p>
            <w:pPr>
              <w:spacing w:after="0"/>
              <w:rPr>
                <w:sz w:val="20"/>
                <w:szCs w:val="20"/>
                <w:color w:val="auto"/>
              </w:rPr>
            </w:pPr>
            <w:r>
              <w:rPr>
                <w:rFonts w:ascii="Arial" w:cs="Arial" w:eastAsia="Arial" w:hAnsi="Arial"/>
                <w:sz w:val="13"/>
                <w:szCs w:val="13"/>
                <w:color w:val="auto"/>
              </w:rPr>
              <w:t>1 to 2 years</w:t>
            </w:r>
          </w:p>
        </w:tc>
        <w:tc>
          <w:tcPr>
            <w:tcW w:w="1220" w:type="dxa"/>
            <w:vAlign w:val="bottom"/>
          </w:tcPr>
          <w:p>
            <w:pPr>
              <w:jc w:val="right"/>
              <w:spacing w:after="0"/>
              <w:rPr>
                <w:sz w:val="20"/>
                <w:szCs w:val="20"/>
                <w:color w:val="auto"/>
              </w:rPr>
            </w:pPr>
            <w:r>
              <w:rPr>
                <w:rFonts w:ascii="Arial" w:cs="Arial" w:eastAsia="Arial" w:hAnsi="Arial"/>
                <w:sz w:val="13"/>
                <w:szCs w:val="13"/>
                <w:color w:val="auto"/>
              </w:rPr>
              <w:t>5,161</w:t>
            </w:r>
          </w:p>
        </w:tc>
        <w:tc>
          <w:tcPr>
            <w:tcW w:w="220" w:type="dxa"/>
            <w:vAlign w:val="bottom"/>
          </w:tcPr>
          <w:p>
            <w:pPr>
              <w:spacing w:after="0"/>
              <w:rPr>
                <w:sz w:val="13"/>
                <w:szCs w:val="13"/>
                <w:color w:val="auto"/>
              </w:rPr>
            </w:pPr>
          </w:p>
        </w:tc>
        <w:tc>
          <w:tcPr>
            <w:tcW w:w="1180" w:type="dxa"/>
            <w:vAlign w:val="bottom"/>
          </w:tcPr>
          <w:p>
            <w:pPr>
              <w:jc w:val="right"/>
              <w:spacing w:after="0"/>
              <w:rPr>
                <w:sz w:val="20"/>
                <w:szCs w:val="20"/>
                <w:color w:val="auto"/>
              </w:rPr>
            </w:pPr>
            <w:r>
              <w:rPr>
                <w:rFonts w:ascii="Arial" w:cs="Arial" w:eastAsia="Arial" w:hAnsi="Arial"/>
                <w:sz w:val="13"/>
                <w:szCs w:val="13"/>
                <w:color w:val="auto"/>
              </w:rPr>
              <w:t>463,000</w:t>
            </w:r>
          </w:p>
        </w:tc>
        <w:tc>
          <w:tcPr>
            <w:tcW w:w="220" w:type="dxa"/>
            <w:vAlign w:val="bottom"/>
          </w:tcPr>
          <w:p>
            <w:pPr>
              <w:spacing w:after="0"/>
              <w:rPr>
                <w:sz w:val="13"/>
                <w:szCs w:val="13"/>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3"/>
                <w:szCs w:val="13"/>
                <w:color w:val="auto"/>
              </w:rPr>
              <w:t>23,025</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491,186</w:t>
            </w:r>
          </w:p>
        </w:tc>
        <w:tc>
          <w:tcPr>
            <w:tcW w:w="36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536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2 to 5 years</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3,704</w:t>
            </w:r>
          </w:p>
        </w:tc>
        <w:tc>
          <w:tcPr>
            <w:tcW w:w="220" w:type="dxa"/>
            <w:vAlign w:val="bottom"/>
            <w:shd w:val="clear" w:color="auto" w:fill="CCEEFF"/>
          </w:tcPr>
          <w:p>
            <w:pPr>
              <w:spacing w:after="0"/>
              <w:rPr>
                <w:sz w:val="13"/>
                <w:szCs w:val="13"/>
                <w:color w:val="auto"/>
              </w:rPr>
            </w:pP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89,000</w:t>
            </w: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7,779</w:t>
            </w:r>
          </w:p>
        </w:tc>
        <w:tc>
          <w:tcPr>
            <w:tcW w:w="20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100,483</w:t>
            </w:r>
          </w:p>
        </w:tc>
        <w:tc>
          <w:tcPr>
            <w:tcW w:w="360" w:type="dxa"/>
            <w:vAlign w:val="bottom"/>
          </w:tcPr>
          <w:p>
            <w:pPr>
              <w:spacing w:after="0"/>
              <w:rPr>
                <w:sz w:val="13"/>
                <w:szCs w:val="13"/>
                <w:color w:val="auto"/>
              </w:rPr>
            </w:pPr>
          </w:p>
        </w:tc>
      </w:tr>
      <w:tr>
        <w:trPr>
          <w:trHeight w:val="163"/>
        </w:trPr>
        <w:tc>
          <w:tcPr>
            <w:tcW w:w="220" w:type="dxa"/>
            <w:vAlign w:val="bottom"/>
          </w:tcPr>
          <w:p>
            <w:pPr>
              <w:spacing w:after="0"/>
              <w:rPr>
                <w:sz w:val="14"/>
                <w:szCs w:val="14"/>
                <w:color w:val="auto"/>
              </w:rPr>
            </w:pPr>
          </w:p>
        </w:tc>
        <w:tc>
          <w:tcPr>
            <w:tcW w:w="5360" w:type="dxa"/>
            <w:vAlign w:val="bottom"/>
            <w:gridSpan w:val="2"/>
          </w:tcPr>
          <w:p>
            <w:pPr>
              <w:spacing w:after="0"/>
              <w:rPr>
                <w:sz w:val="20"/>
                <w:szCs w:val="20"/>
                <w:color w:val="auto"/>
              </w:rPr>
            </w:pPr>
            <w:r>
              <w:rPr>
                <w:rFonts w:ascii="Arial" w:cs="Arial" w:eastAsia="Arial" w:hAnsi="Arial"/>
                <w:sz w:val="13"/>
                <w:szCs w:val="13"/>
                <w:color w:val="auto"/>
              </w:rPr>
              <w:t>More than 5 years</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1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3"/>
                <w:szCs w:val="13"/>
                <w:color w:val="auto"/>
              </w:rPr>
              <w:t>68,768</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68,768</w:t>
            </w:r>
          </w:p>
        </w:tc>
        <w:tc>
          <w:tcPr>
            <w:tcW w:w="360" w:type="dxa"/>
            <w:vAlign w:val="bottom"/>
          </w:tcPr>
          <w:p>
            <w:pPr>
              <w:spacing w:after="0"/>
              <w:rPr>
                <w:sz w:val="14"/>
                <w:szCs w:val="14"/>
                <w:color w:val="auto"/>
              </w:rPr>
            </w:pPr>
          </w:p>
        </w:tc>
      </w:tr>
      <w:tr>
        <w:trPr>
          <w:trHeight w:val="163"/>
        </w:trPr>
        <w:tc>
          <w:tcPr>
            <w:tcW w:w="220" w:type="dxa"/>
            <w:vAlign w:val="bottom"/>
          </w:tcPr>
          <w:p>
            <w:pPr>
              <w:spacing w:after="0"/>
              <w:rPr>
                <w:sz w:val="14"/>
                <w:szCs w:val="14"/>
                <w:color w:val="auto"/>
              </w:rPr>
            </w:pPr>
          </w:p>
        </w:tc>
        <w:tc>
          <w:tcPr>
            <w:tcW w:w="5360" w:type="dxa"/>
            <w:vAlign w:val="bottom"/>
            <w:tcBorders>
              <w:top w:val="single" w:sz="8" w:color="CCEEFF"/>
              <w:bottom w:val="single" w:sz="8" w:color="CCEEFF"/>
            </w:tcBorders>
            <w:gridSpan w:val="2"/>
            <w:shd w:val="clear" w:color="auto" w:fill="CCEEFF"/>
          </w:tcPr>
          <w:p>
            <w:pPr>
              <w:spacing w:after="0" w:line="143" w:lineRule="exact"/>
              <w:rPr>
                <w:sz w:val="20"/>
                <w:szCs w:val="20"/>
                <w:color w:val="auto"/>
              </w:rPr>
            </w:pPr>
            <w:r>
              <w:rPr>
                <w:rFonts w:ascii="Arial" w:cs="Arial" w:eastAsia="Arial" w:hAnsi="Arial"/>
                <w:sz w:val="13"/>
                <w:szCs w:val="13"/>
                <w:color w:val="auto"/>
              </w:rPr>
              <w:t>Total</w:t>
            </w: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259,510</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893,500</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172,765</w:t>
            </w:r>
          </w:p>
        </w:tc>
        <w:tc>
          <w:tcPr>
            <w:tcW w:w="200" w:type="dxa"/>
            <w:vAlign w:val="bottom"/>
            <w:tcBorders>
              <w:top w:val="single" w:sz="8" w:color="CCEEFF"/>
              <w:bottom w:val="single" w:sz="8" w:color="CCEEFF"/>
            </w:tcBorders>
            <w:shd w:val="clear" w:color="auto" w:fill="CCEEFF"/>
          </w:tcPr>
          <w:p>
            <w:pPr>
              <w:spacing w:after="0"/>
              <w:rPr>
                <w:sz w:val="14"/>
                <w:szCs w:val="14"/>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1,325,775</w:t>
            </w: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c>
          <w:tcPr>
            <w:tcW w:w="360" w:type="dxa"/>
            <w:vAlign w:val="bottom"/>
          </w:tcPr>
          <w:p>
            <w:pPr>
              <w:spacing w:after="0"/>
              <w:rPr>
                <w:sz w:val="14"/>
                <w:szCs w:val="14"/>
                <w:color w:val="auto"/>
              </w:rPr>
            </w:pPr>
          </w:p>
        </w:tc>
      </w:tr>
      <w:tr>
        <w:trPr>
          <w:trHeight w:val="467"/>
        </w:trPr>
        <w:tc>
          <w:tcPr>
            <w:tcW w:w="220" w:type="dxa"/>
            <w:vAlign w:val="bottom"/>
            <w:tcBorders>
              <w:bottom w:val="single" w:sz="8" w:color="auto"/>
            </w:tcBorders>
          </w:tcPr>
          <w:p>
            <w:pPr>
              <w:spacing w:after="0"/>
              <w:rPr>
                <w:sz w:val="24"/>
                <w:szCs w:val="24"/>
                <w:color w:val="auto"/>
              </w:rPr>
            </w:pPr>
          </w:p>
        </w:tc>
        <w:tc>
          <w:tcPr>
            <w:tcW w:w="52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440" w:type="dxa"/>
            <w:vAlign w:val="bottom"/>
            <w:tcBorders>
              <w:bottom w:val="single" w:sz="8" w:color="auto"/>
            </w:tcBorders>
            <w:gridSpan w:val="2"/>
          </w:tcPr>
          <w:p>
            <w:pPr>
              <w:ind w:left="40"/>
              <w:spacing w:after="0"/>
              <w:rPr>
                <w:sz w:val="20"/>
                <w:szCs w:val="20"/>
                <w:color w:val="auto"/>
              </w:rPr>
            </w:pPr>
            <w:r>
              <w:rPr>
                <w:rFonts w:ascii="Arial" w:cs="Arial" w:eastAsia="Arial" w:hAnsi="Arial"/>
                <w:sz w:val="13"/>
                <w:szCs w:val="13"/>
                <w:color w:val="auto"/>
              </w:rPr>
              <w:t>F-59</w:t>
            </w: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r>
    </w:tbl>
    <w:p>
      <w:pPr>
        <w:sectPr>
          <w:pgSz w:w="11900" w:h="16838" w:orient="portrait"/>
          <w:cols w:equalWidth="0" w:num="1">
            <w:col w:w="11483"/>
          </w:cols>
          <w:pgMar w:left="217" w:top="685" w:right="199" w:bottom="1440" w:gutter="0" w:footer="0" w:header="0"/>
        </w:sectPr>
      </w:pPr>
    </w:p>
    <w:bookmarkStart w:id="184" w:name="page185"/>
    <w:bookmarkEnd w:id="184"/>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28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right="8200" w:hanging="223"/>
        <w:spacing w:after="0" w:line="593" w:lineRule="auto"/>
        <w:tabs>
          <w:tab w:leader="none" w:pos="223" w:val="left"/>
        </w:tabs>
        <w:numPr>
          <w:ilvl w:val="0"/>
          <w:numId w:val="147"/>
        </w:numPr>
        <w:rPr>
          <w:rFonts w:ascii="Arial" w:cs="Arial" w:eastAsia="Arial" w:hAnsi="Arial"/>
          <w:sz w:val="11"/>
          <w:szCs w:val="11"/>
          <w:b w:val="1"/>
          <w:bCs w:val="1"/>
          <w:color w:val="auto"/>
        </w:rPr>
      </w:pPr>
      <w:r>
        <w:rPr>
          <w:rFonts w:ascii="Arial" w:cs="Arial" w:eastAsia="Arial" w:hAnsi="Arial"/>
          <w:sz w:val="11"/>
          <w:szCs w:val="11"/>
          <w:b w:val="1"/>
          <w:bCs w:val="1"/>
          <w:color w:val="auto"/>
        </w:rPr>
        <w:t xml:space="preserve">Derivative financial instruments (continued) </w:t>
      </w:r>
      <w:r>
        <w:rPr>
          <w:rFonts w:ascii="Arial" w:cs="Arial" w:eastAsia="Arial" w:hAnsi="Arial"/>
          <w:sz w:val="11"/>
          <w:szCs w:val="11"/>
          <w:u w:val="single" w:color="auto"/>
          <w:color w:val="auto"/>
        </w:rPr>
        <w:t>Derivatives financial position and performance (continued)</w:t>
      </w:r>
    </w:p>
    <w:p>
      <w:pPr>
        <w:spacing w:after="0" w:line="1" w:lineRule="exact"/>
        <w:rPr>
          <w:sz w:val="20"/>
          <w:szCs w:val="20"/>
          <w:color w:val="auto"/>
        </w:rPr>
      </w:pPr>
    </w:p>
    <w:tbl>
      <w:tblPr>
        <w:tblLayout w:type="fixed"/>
        <w:tblInd w:w="223" w:type="dxa"/>
        <w:tblCellMar>
          <w:top w:w="0" w:type="dxa"/>
          <w:left w:w="0" w:type="dxa"/>
          <w:bottom w:w="0" w:type="dxa"/>
          <w:right w:w="0" w:type="dxa"/>
        </w:tblCellMar>
      </w:tblPr>
      <w:tr>
        <w:trPr>
          <w:trHeight w:val="167"/>
        </w:trPr>
        <w:tc>
          <w:tcPr>
            <w:tcW w:w="52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22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2800" w:type="dxa"/>
            <w:vAlign w:val="bottom"/>
            <w:tcBorders>
              <w:bottom w:val="single" w:sz="8" w:color="auto"/>
            </w:tcBorders>
            <w:gridSpan w:val="4"/>
          </w:tcPr>
          <w:p>
            <w:pPr>
              <w:ind w:left="760"/>
              <w:spacing w:after="0"/>
              <w:rPr>
                <w:sz w:val="20"/>
                <w:szCs w:val="20"/>
                <w:color w:val="auto"/>
              </w:rPr>
            </w:pPr>
            <w:r>
              <w:rPr>
                <w:rFonts w:ascii="Arial" w:cs="Arial" w:eastAsia="Arial" w:hAnsi="Arial"/>
                <w:sz w:val="13"/>
                <w:szCs w:val="13"/>
                <w:b w:val="1"/>
                <w:bCs w:val="1"/>
                <w:color w:val="auto"/>
              </w:rPr>
              <w:t>December 31, 2017</w:t>
            </w:r>
          </w:p>
        </w:tc>
        <w:tc>
          <w:tcPr>
            <w:tcW w:w="120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r>
        <w:trPr>
          <w:trHeight w:val="131"/>
        </w:trPr>
        <w:tc>
          <w:tcPr>
            <w:tcW w:w="5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1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400" w:type="dxa"/>
            <w:vAlign w:val="bottom"/>
            <w:gridSpan w:val="2"/>
          </w:tcPr>
          <w:p>
            <w:pPr>
              <w:jc w:val="center"/>
              <w:ind w:right="200"/>
              <w:spacing w:after="0" w:line="131" w:lineRule="exact"/>
              <w:rPr>
                <w:sz w:val="20"/>
                <w:szCs w:val="20"/>
                <w:color w:val="auto"/>
              </w:rPr>
            </w:pPr>
            <w:r>
              <w:rPr>
                <w:rFonts w:ascii="Arial" w:cs="Arial" w:eastAsia="Arial" w:hAnsi="Arial"/>
                <w:sz w:val="13"/>
                <w:szCs w:val="13"/>
                <w:b w:val="1"/>
                <w:bCs w:val="1"/>
                <w:color w:val="auto"/>
                <w:w w:val="86"/>
              </w:rPr>
              <w:t>Foreign exchange</w:t>
            </w:r>
          </w:p>
        </w:tc>
        <w:tc>
          <w:tcPr>
            <w:tcW w:w="120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54"/>
        </w:trPr>
        <w:tc>
          <w:tcPr>
            <w:tcW w:w="5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40" w:type="dxa"/>
            <w:vAlign w:val="bottom"/>
            <w:gridSpan w:val="2"/>
          </w:tcPr>
          <w:p>
            <w:pPr>
              <w:jc w:val="center"/>
              <w:ind w:right="260"/>
              <w:spacing w:after="0"/>
              <w:rPr>
                <w:sz w:val="20"/>
                <w:szCs w:val="20"/>
                <w:color w:val="auto"/>
              </w:rPr>
            </w:pPr>
            <w:r>
              <w:rPr>
                <w:rFonts w:ascii="Arial" w:cs="Arial" w:eastAsia="Arial" w:hAnsi="Arial"/>
                <w:sz w:val="13"/>
                <w:szCs w:val="13"/>
                <w:b w:val="1"/>
                <w:bCs w:val="1"/>
                <w:color w:val="auto"/>
                <w:w w:val="88"/>
              </w:rPr>
              <w:t>Foreign</w:t>
            </w:r>
          </w:p>
        </w:tc>
        <w:tc>
          <w:tcPr>
            <w:tcW w:w="140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91"/>
              </w:rPr>
              <w:t>Interest rate</w:t>
            </w:r>
          </w:p>
        </w:tc>
        <w:tc>
          <w:tcPr>
            <w:tcW w:w="140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6"/>
              </w:rPr>
              <w:t>and interest</w:t>
            </w: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67"/>
        </w:trPr>
        <w:tc>
          <w:tcPr>
            <w:tcW w:w="5360" w:type="dxa"/>
            <w:vAlign w:val="bottom"/>
            <w:gridSpan w:val="2"/>
          </w:tcPr>
          <w:p>
            <w:pPr>
              <w:spacing w:after="0"/>
              <w:rPr>
                <w:sz w:val="20"/>
                <w:szCs w:val="20"/>
                <w:color w:val="auto"/>
              </w:rPr>
            </w:pPr>
            <w:r>
              <w:rPr>
                <w:rFonts w:ascii="Arial" w:cs="Arial" w:eastAsia="Arial" w:hAnsi="Arial"/>
                <w:sz w:val="13"/>
                <w:szCs w:val="13"/>
                <w:b w:val="1"/>
                <w:bCs w:val="1"/>
                <w:color w:val="auto"/>
              </w:rPr>
              <w:t>Risk type</w:t>
            </w:r>
          </w:p>
        </w:tc>
        <w:tc>
          <w:tcPr>
            <w:tcW w:w="144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5"/>
              </w:rPr>
              <w:t>exchange risk</w:t>
            </w:r>
          </w:p>
        </w:tc>
        <w:tc>
          <w:tcPr>
            <w:tcW w:w="14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4"/>
              </w:rPr>
              <w:t>risk</w:t>
            </w:r>
          </w:p>
        </w:tc>
        <w:tc>
          <w:tcPr>
            <w:tcW w:w="140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9"/>
              </w:rPr>
              <w:t>rate risks</w:t>
            </w:r>
          </w:p>
        </w:tc>
        <w:tc>
          <w:tcPr>
            <w:tcW w:w="1300" w:type="dxa"/>
            <w:vAlign w:val="bottom"/>
            <w:gridSpan w:val="2"/>
          </w:tcPr>
          <w:p>
            <w:pPr>
              <w:ind w:left="460"/>
              <w:spacing w:after="0"/>
              <w:rPr>
                <w:sz w:val="20"/>
                <w:szCs w:val="20"/>
                <w:color w:val="auto"/>
              </w:rPr>
            </w:pPr>
            <w:r>
              <w:rPr>
                <w:rFonts w:ascii="Arial" w:cs="Arial" w:eastAsia="Arial" w:hAnsi="Arial"/>
                <w:sz w:val="13"/>
                <w:szCs w:val="13"/>
                <w:b w:val="1"/>
                <w:bCs w:val="1"/>
                <w:color w:val="auto"/>
              </w:rPr>
              <w:t>Total</w:t>
            </w:r>
          </w:p>
        </w:tc>
      </w:tr>
      <w:tr>
        <w:trPr>
          <w:trHeight w:val="144"/>
        </w:trPr>
        <w:tc>
          <w:tcPr>
            <w:tcW w:w="5240" w:type="dxa"/>
            <w:vAlign w:val="bottom"/>
            <w:tcBorders>
              <w:top w:val="single" w:sz="8" w:color="auto"/>
            </w:tcBorders>
            <w:shd w:val="clear" w:color="auto" w:fill="CCEEFF"/>
          </w:tcPr>
          <w:p>
            <w:pPr>
              <w:spacing w:after="0" w:line="144" w:lineRule="exact"/>
              <w:rPr>
                <w:sz w:val="20"/>
                <w:szCs w:val="20"/>
                <w:color w:val="auto"/>
              </w:rPr>
            </w:pPr>
            <w:r>
              <w:rPr>
                <w:rFonts w:ascii="Arial" w:cs="Arial" w:eastAsia="Arial" w:hAnsi="Arial"/>
                <w:sz w:val="13"/>
                <w:szCs w:val="13"/>
                <w:color w:val="auto"/>
              </w:rPr>
              <w:t>Up to 1 month</w:t>
            </w:r>
          </w:p>
        </w:tc>
        <w:tc>
          <w:tcPr>
            <w:tcW w:w="12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69,459</w:t>
            </w: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69,459</w:t>
            </w:r>
          </w:p>
        </w:tc>
        <w:tc>
          <w:tcPr>
            <w:tcW w:w="100" w:type="dxa"/>
            <w:vAlign w:val="bottom"/>
            <w:tcBorders>
              <w:top w:val="single" w:sz="8" w:color="CCEEFF"/>
            </w:tcBorders>
            <w:shd w:val="clear" w:color="auto" w:fill="CCEEFF"/>
          </w:tcPr>
          <w:p>
            <w:pPr>
              <w:spacing w:after="0"/>
              <w:rPr>
                <w:sz w:val="12"/>
                <w:szCs w:val="12"/>
                <w:color w:val="auto"/>
              </w:rPr>
            </w:pPr>
          </w:p>
        </w:tc>
      </w:tr>
      <w:tr>
        <w:trPr>
          <w:trHeight w:val="154"/>
        </w:trPr>
        <w:tc>
          <w:tcPr>
            <w:tcW w:w="5360" w:type="dxa"/>
            <w:vAlign w:val="bottom"/>
            <w:gridSpan w:val="2"/>
          </w:tcPr>
          <w:p>
            <w:pPr>
              <w:spacing w:after="0"/>
              <w:rPr>
                <w:sz w:val="20"/>
                <w:szCs w:val="20"/>
                <w:color w:val="auto"/>
              </w:rPr>
            </w:pPr>
            <w:r>
              <w:rPr>
                <w:rFonts w:ascii="Arial" w:cs="Arial" w:eastAsia="Arial" w:hAnsi="Arial"/>
                <w:sz w:val="13"/>
                <w:szCs w:val="13"/>
                <w:color w:val="auto"/>
              </w:rPr>
              <w:t>31 to 60 days</w:t>
            </w:r>
          </w:p>
        </w:tc>
        <w:tc>
          <w:tcPr>
            <w:tcW w:w="1440" w:type="dxa"/>
            <w:vAlign w:val="bottom"/>
            <w:gridSpan w:val="2"/>
          </w:tcPr>
          <w:p>
            <w:pPr>
              <w:jc w:val="right"/>
              <w:ind w:right="220"/>
              <w:spacing w:after="0"/>
              <w:rPr>
                <w:sz w:val="20"/>
                <w:szCs w:val="20"/>
                <w:color w:val="auto"/>
              </w:rPr>
            </w:pPr>
            <w:r>
              <w:rPr>
                <w:rFonts w:ascii="Arial" w:cs="Arial" w:eastAsia="Arial" w:hAnsi="Arial"/>
                <w:sz w:val="13"/>
                <w:szCs w:val="13"/>
                <w:color w:val="auto"/>
              </w:rPr>
              <w:t>26,104</w:t>
            </w:r>
          </w:p>
        </w:tc>
        <w:tc>
          <w:tcPr>
            <w:tcW w:w="11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26,104</w:t>
            </w:r>
          </w:p>
        </w:tc>
      </w:tr>
      <w:tr>
        <w:trPr>
          <w:trHeight w:val="154"/>
        </w:trPr>
        <w:tc>
          <w:tcPr>
            <w:tcW w:w="536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61 to 90 days</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1,729</w:t>
            </w:r>
          </w:p>
        </w:tc>
        <w:tc>
          <w:tcPr>
            <w:tcW w:w="220" w:type="dxa"/>
            <w:vAlign w:val="bottom"/>
            <w:shd w:val="clear" w:color="auto" w:fill="CCEEFF"/>
          </w:tcPr>
          <w:p>
            <w:pPr>
              <w:spacing w:after="0"/>
              <w:rPr>
                <w:sz w:val="13"/>
                <w:szCs w:val="13"/>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185,000</w:t>
            </w:r>
          </w:p>
        </w:tc>
        <w:tc>
          <w:tcPr>
            <w:tcW w:w="220" w:type="dxa"/>
            <w:vAlign w:val="bottom"/>
            <w:shd w:val="clear" w:color="auto" w:fill="CCEEFF"/>
          </w:tcPr>
          <w:p>
            <w:pPr>
              <w:spacing w:after="0"/>
              <w:rPr>
                <w:sz w:val="13"/>
                <w:szCs w:val="13"/>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16,821</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203,550</w:t>
            </w:r>
          </w:p>
        </w:tc>
      </w:tr>
      <w:tr>
        <w:trPr>
          <w:trHeight w:val="154"/>
        </w:trPr>
        <w:tc>
          <w:tcPr>
            <w:tcW w:w="5360" w:type="dxa"/>
            <w:vAlign w:val="bottom"/>
            <w:gridSpan w:val="2"/>
          </w:tcPr>
          <w:p>
            <w:pPr>
              <w:spacing w:after="0"/>
              <w:rPr>
                <w:sz w:val="20"/>
                <w:szCs w:val="20"/>
                <w:color w:val="auto"/>
              </w:rPr>
            </w:pPr>
            <w:r>
              <w:rPr>
                <w:rFonts w:ascii="Arial" w:cs="Arial" w:eastAsia="Arial" w:hAnsi="Arial"/>
                <w:sz w:val="13"/>
                <w:szCs w:val="13"/>
                <w:color w:val="auto"/>
              </w:rPr>
              <w:t>91 to 180 days</w:t>
            </w:r>
          </w:p>
        </w:tc>
        <w:tc>
          <w:tcPr>
            <w:tcW w:w="1440" w:type="dxa"/>
            <w:vAlign w:val="bottom"/>
            <w:gridSpan w:val="2"/>
          </w:tcPr>
          <w:p>
            <w:pPr>
              <w:jc w:val="right"/>
              <w:ind w:right="220"/>
              <w:spacing w:after="0"/>
              <w:rPr>
                <w:sz w:val="20"/>
                <w:szCs w:val="20"/>
                <w:color w:val="auto"/>
              </w:rPr>
            </w:pPr>
            <w:r>
              <w:rPr>
                <w:rFonts w:ascii="Arial" w:cs="Arial" w:eastAsia="Arial" w:hAnsi="Arial"/>
                <w:sz w:val="13"/>
                <w:szCs w:val="13"/>
                <w:color w:val="auto"/>
              </w:rPr>
              <w:t>16,567</w:t>
            </w:r>
          </w:p>
        </w:tc>
        <w:tc>
          <w:tcPr>
            <w:tcW w:w="1180" w:type="dxa"/>
            <w:vAlign w:val="bottom"/>
          </w:tcPr>
          <w:p>
            <w:pPr>
              <w:jc w:val="right"/>
              <w:spacing w:after="0"/>
              <w:rPr>
                <w:sz w:val="20"/>
                <w:szCs w:val="20"/>
                <w:color w:val="auto"/>
              </w:rPr>
            </w:pPr>
            <w:r>
              <w:rPr>
                <w:rFonts w:ascii="Arial" w:cs="Arial" w:eastAsia="Arial" w:hAnsi="Arial"/>
                <w:sz w:val="13"/>
                <w:szCs w:val="13"/>
                <w:color w:val="auto"/>
              </w:rPr>
              <w:t>137,500</w:t>
            </w:r>
          </w:p>
        </w:tc>
        <w:tc>
          <w:tcPr>
            <w:tcW w:w="220" w:type="dxa"/>
            <w:vAlign w:val="bottom"/>
          </w:tcPr>
          <w:p>
            <w:pPr>
              <w:spacing w:after="0"/>
              <w:rPr>
                <w:sz w:val="13"/>
                <w:szCs w:val="13"/>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154,067</w:t>
            </w:r>
          </w:p>
        </w:tc>
      </w:tr>
      <w:tr>
        <w:trPr>
          <w:trHeight w:val="154"/>
        </w:trPr>
        <w:tc>
          <w:tcPr>
            <w:tcW w:w="536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181 to 365 days</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68,952</w:t>
            </w: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202,500</w:t>
            </w: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8,127</w:t>
            </w:r>
          </w:p>
        </w:tc>
        <w:tc>
          <w:tcPr>
            <w:tcW w:w="20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279,579</w:t>
            </w:r>
          </w:p>
        </w:tc>
      </w:tr>
      <w:tr>
        <w:trPr>
          <w:trHeight w:val="154"/>
        </w:trPr>
        <w:tc>
          <w:tcPr>
            <w:tcW w:w="5360" w:type="dxa"/>
            <w:vAlign w:val="bottom"/>
            <w:gridSpan w:val="2"/>
          </w:tcPr>
          <w:p>
            <w:pPr>
              <w:spacing w:after="0"/>
              <w:rPr>
                <w:sz w:val="20"/>
                <w:szCs w:val="20"/>
                <w:color w:val="auto"/>
              </w:rPr>
            </w:pPr>
            <w:r>
              <w:rPr>
                <w:rFonts w:ascii="Arial" w:cs="Arial" w:eastAsia="Arial" w:hAnsi="Arial"/>
                <w:sz w:val="13"/>
                <w:szCs w:val="13"/>
                <w:color w:val="auto"/>
              </w:rPr>
              <w:t>1 to 2 years</w:t>
            </w:r>
          </w:p>
        </w:tc>
        <w:tc>
          <w:tcPr>
            <w:tcW w:w="1220" w:type="dxa"/>
            <w:vAlign w:val="bottom"/>
          </w:tcPr>
          <w:p>
            <w:pPr>
              <w:jc w:val="right"/>
              <w:spacing w:after="0"/>
              <w:rPr>
                <w:sz w:val="20"/>
                <w:szCs w:val="20"/>
                <w:color w:val="auto"/>
              </w:rPr>
            </w:pPr>
            <w:r>
              <w:rPr>
                <w:rFonts w:ascii="Arial" w:cs="Arial" w:eastAsia="Arial" w:hAnsi="Arial"/>
                <w:sz w:val="13"/>
                <w:szCs w:val="13"/>
                <w:color w:val="auto"/>
              </w:rPr>
              <w:t>178,331</w:t>
            </w:r>
          </w:p>
        </w:tc>
        <w:tc>
          <w:tcPr>
            <w:tcW w:w="220" w:type="dxa"/>
            <w:vAlign w:val="bottom"/>
          </w:tcPr>
          <w:p>
            <w:pPr>
              <w:spacing w:after="0"/>
              <w:rPr>
                <w:sz w:val="13"/>
                <w:szCs w:val="13"/>
                <w:color w:val="auto"/>
              </w:rPr>
            </w:pPr>
          </w:p>
        </w:tc>
        <w:tc>
          <w:tcPr>
            <w:tcW w:w="1400" w:type="dxa"/>
            <w:vAlign w:val="bottom"/>
            <w:gridSpan w:val="2"/>
          </w:tcPr>
          <w:p>
            <w:pPr>
              <w:jc w:val="right"/>
              <w:ind w:right="220"/>
              <w:spacing w:after="0"/>
              <w:rPr>
                <w:sz w:val="20"/>
                <w:szCs w:val="20"/>
                <w:color w:val="auto"/>
              </w:rPr>
            </w:pPr>
            <w:r>
              <w:rPr>
                <w:rFonts w:ascii="Arial" w:cs="Arial" w:eastAsia="Arial" w:hAnsi="Arial"/>
                <w:sz w:val="13"/>
                <w:szCs w:val="13"/>
                <w:color w:val="auto"/>
              </w:rPr>
              <w:t>21,500</w:t>
            </w:r>
          </w:p>
        </w:tc>
        <w:tc>
          <w:tcPr>
            <w:tcW w:w="1400" w:type="dxa"/>
            <w:vAlign w:val="bottom"/>
            <w:gridSpan w:val="2"/>
          </w:tcPr>
          <w:p>
            <w:pPr>
              <w:jc w:val="right"/>
              <w:ind w:right="200"/>
              <w:spacing w:after="0"/>
              <w:rPr>
                <w:sz w:val="20"/>
                <w:szCs w:val="20"/>
                <w:color w:val="auto"/>
              </w:rPr>
            </w:pPr>
            <w:r>
              <w:rPr>
                <w:rFonts w:ascii="Arial" w:cs="Arial" w:eastAsia="Arial" w:hAnsi="Arial"/>
                <w:sz w:val="13"/>
                <w:szCs w:val="13"/>
                <w:color w:val="auto"/>
              </w:rPr>
              <w:t>73,193</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273,024</w:t>
            </w:r>
          </w:p>
        </w:tc>
      </w:tr>
      <w:tr>
        <w:trPr>
          <w:trHeight w:val="154"/>
        </w:trPr>
        <w:tc>
          <w:tcPr>
            <w:tcW w:w="536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2 to 5 years</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4,413</w:t>
            </w:r>
          </w:p>
        </w:tc>
        <w:tc>
          <w:tcPr>
            <w:tcW w:w="220" w:type="dxa"/>
            <w:vAlign w:val="bottom"/>
            <w:shd w:val="clear" w:color="auto" w:fill="CCEEFF"/>
          </w:tcPr>
          <w:p>
            <w:pPr>
              <w:spacing w:after="0"/>
              <w:rPr>
                <w:sz w:val="13"/>
                <w:szCs w:val="13"/>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416,000</w:t>
            </w:r>
          </w:p>
        </w:tc>
        <w:tc>
          <w:tcPr>
            <w:tcW w:w="220" w:type="dxa"/>
            <w:vAlign w:val="bottom"/>
            <w:shd w:val="clear" w:color="auto" w:fill="CCEEFF"/>
          </w:tcPr>
          <w:p>
            <w:pPr>
              <w:spacing w:after="0"/>
              <w:rPr>
                <w:sz w:val="13"/>
                <w:szCs w:val="13"/>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24,872</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445,285</w:t>
            </w:r>
          </w:p>
        </w:tc>
      </w:tr>
      <w:tr>
        <w:trPr>
          <w:trHeight w:val="163"/>
        </w:trPr>
        <w:tc>
          <w:tcPr>
            <w:tcW w:w="5360" w:type="dxa"/>
            <w:vAlign w:val="bottom"/>
            <w:gridSpan w:val="2"/>
          </w:tcPr>
          <w:p>
            <w:pPr>
              <w:spacing w:after="0"/>
              <w:rPr>
                <w:sz w:val="20"/>
                <w:szCs w:val="20"/>
                <w:color w:val="auto"/>
              </w:rPr>
            </w:pPr>
            <w:r>
              <w:rPr>
                <w:rFonts w:ascii="Arial" w:cs="Arial" w:eastAsia="Arial" w:hAnsi="Arial"/>
                <w:sz w:val="13"/>
                <w:szCs w:val="13"/>
                <w:color w:val="auto"/>
              </w:rPr>
              <w:t>More than 5 years</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1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3"/>
                <w:szCs w:val="13"/>
                <w:color w:val="auto"/>
              </w:rPr>
              <w:t>76,049</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76,049</w:t>
            </w:r>
          </w:p>
        </w:tc>
      </w:tr>
      <w:tr>
        <w:trPr>
          <w:trHeight w:val="163"/>
        </w:trPr>
        <w:tc>
          <w:tcPr>
            <w:tcW w:w="5360" w:type="dxa"/>
            <w:vAlign w:val="bottom"/>
            <w:tcBorders>
              <w:top w:val="single" w:sz="8" w:color="CCEEFF"/>
              <w:bottom w:val="single" w:sz="8" w:color="CCEEFF"/>
            </w:tcBorders>
            <w:gridSpan w:val="2"/>
            <w:shd w:val="clear" w:color="auto" w:fill="CCEEFF"/>
          </w:tcPr>
          <w:p>
            <w:pPr>
              <w:spacing w:after="0" w:line="143" w:lineRule="exact"/>
              <w:rPr>
                <w:sz w:val="20"/>
                <w:szCs w:val="20"/>
                <w:color w:val="auto"/>
              </w:rPr>
            </w:pPr>
            <w:r>
              <w:rPr>
                <w:rFonts w:ascii="Arial" w:cs="Arial" w:eastAsia="Arial" w:hAnsi="Arial"/>
                <w:sz w:val="13"/>
                <w:szCs w:val="13"/>
                <w:color w:val="auto"/>
              </w:rPr>
              <w:t>Total</w:t>
            </w: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365,555</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962,500</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199,062</w:t>
            </w:r>
          </w:p>
        </w:tc>
        <w:tc>
          <w:tcPr>
            <w:tcW w:w="200" w:type="dxa"/>
            <w:vAlign w:val="bottom"/>
            <w:tcBorders>
              <w:top w:val="single" w:sz="8" w:color="CCEEFF"/>
              <w:bottom w:val="single" w:sz="8" w:color="CCEEFF"/>
            </w:tcBorders>
            <w:shd w:val="clear" w:color="auto" w:fill="CCEEFF"/>
          </w:tcPr>
          <w:p>
            <w:pPr>
              <w:spacing w:after="0"/>
              <w:rPr>
                <w:sz w:val="14"/>
                <w:szCs w:val="14"/>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1,527,117</w:t>
            </w: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r>
    </w:tbl>
    <w:p>
      <w:pPr>
        <w:spacing w:after="0" w:line="141" w:lineRule="exact"/>
        <w:rPr>
          <w:sz w:val="20"/>
          <w:szCs w:val="20"/>
          <w:color w:val="auto"/>
        </w:rPr>
      </w:pPr>
    </w:p>
    <w:p>
      <w:pPr>
        <w:ind w:left="223"/>
        <w:spacing w:after="0"/>
        <w:rPr>
          <w:sz w:val="20"/>
          <w:szCs w:val="20"/>
          <w:color w:val="auto"/>
        </w:rPr>
      </w:pPr>
      <w:r>
        <w:rPr>
          <w:rFonts w:ascii="Arial" w:cs="Arial" w:eastAsia="Arial" w:hAnsi="Arial"/>
          <w:sz w:val="13"/>
          <w:szCs w:val="13"/>
          <w:b w:val="1"/>
          <w:bCs w:val="1"/>
          <w:color w:val="auto"/>
        </w:rPr>
        <w:t>Assessment of the sources of ineffectiveness</w:t>
      </w:r>
    </w:p>
    <w:p>
      <w:pPr>
        <w:spacing w:after="0" w:line="163" w:lineRule="exact"/>
        <w:rPr>
          <w:sz w:val="20"/>
          <w:szCs w:val="20"/>
          <w:color w:val="auto"/>
        </w:rPr>
      </w:pPr>
    </w:p>
    <w:p>
      <w:pPr>
        <w:ind w:left="223"/>
        <w:spacing w:after="0"/>
        <w:rPr>
          <w:sz w:val="20"/>
          <w:szCs w:val="20"/>
          <w:color w:val="auto"/>
        </w:rPr>
      </w:pPr>
      <w:r>
        <w:rPr>
          <w:rFonts w:ascii="Arial" w:cs="Arial" w:eastAsia="Arial" w:hAnsi="Arial"/>
          <w:sz w:val="13"/>
          <w:szCs w:val="13"/>
          <w:color w:val="auto"/>
        </w:rPr>
        <w:t>As part of its hedging operations and according to the type of hedge, the Bank is exposed to the following ineffectiveness factors:</w:t>
      </w:r>
    </w:p>
    <w:p>
      <w:pPr>
        <w:spacing w:after="0" w:line="159" w:lineRule="exact"/>
        <w:rPr>
          <w:sz w:val="20"/>
          <w:szCs w:val="20"/>
          <w:color w:val="auto"/>
        </w:rPr>
      </w:pPr>
    </w:p>
    <w:p>
      <w:pPr>
        <w:ind w:left="703" w:hanging="241"/>
        <w:spacing w:after="0" w:line="267" w:lineRule="auto"/>
        <w:tabs>
          <w:tab w:leader="none" w:pos="703" w:val="left"/>
        </w:tabs>
        <w:numPr>
          <w:ilvl w:val="0"/>
          <w:numId w:val="148"/>
        </w:numPr>
        <w:rPr>
          <w:rFonts w:ascii="Arial" w:cs="Arial" w:eastAsia="Arial" w:hAnsi="Arial"/>
          <w:sz w:val="13"/>
          <w:szCs w:val="13"/>
          <w:color w:val="auto"/>
        </w:rPr>
      </w:pPr>
      <w:r>
        <w:rPr>
          <w:rFonts w:ascii="Arial" w:cs="Arial" w:eastAsia="Arial" w:hAnsi="Arial"/>
          <w:sz w:val="13"/>
          <w:szCs w:val="13"/>
          <w:i w:val="1"/>
          <w:iCs w:val="1"/>
          <w:u w:val="single" w:color="auto"/>
          <w:color w:val="auto"/>
        </w:rPr>
        <w:t>Cash flow hedges:</w:t>
      </w:r>
      <w:r>
        <w:rPr>
          <w:rFonts w:ascii="Arial" w:cs="Arial" w:eastAsia="Arial" w:hAnsi="Arial"/>
          <w:sz w:val="13"/>
          <w:szCs w:val="13"/>
          <w:i w:val="1"/>
          <w:iCs w:val="1"/>
          <w:color w:val="auto"/>
        </w:rPr>
        <w:t xml:space="preserve"> </w:t>
      </w:r>
      <w:r>
        <w:rPr>
          <w:rFonts w:ascii="Arial" w:cs="Arial" w:eastAsia="Arial" w:hAnsi="Arial"/>
          <w:sz w:val="13"/>
          <w:szCs w:val="13"/>
          <w:color w:val="auto"/>
        </w:rPr>
        <w:t>Type of hedge used to mitigate the risk of changes in foreign exchange currency rates, as well of changes in interest rate risk that could include volatility in the projected cash flows. The</w:t>
      </w:r>
      <w:r>
        <w:rPr>
          <w:rFonts w:ascii="Arial" w:cs="Arial" w:eastAsia="Arial" w:hAnsi="Arial"/>
          <w:sz w:val="13"/>
          <w:szCs w:val="13"/>
          <w:i w:val="1"/>
          <w:iCs w:val="1"/>
          <w:color w:val="auto"/>
        </w:rPr>
        <w:t xml:space="preserve"> </w:t>
      </w:r>
      <w:r>
        <w:rPr>
          <w:rFonts w:ascii="Arial" w:cs="Arial" w:eastAsia="Arial" w:hAnsi="Arial"/>
          <w:sz w:val="13"/>
          <w:szCs w:val="13"/>
          <w:color w:val="auto"/>
        </w:rPr>
        <w:t>sources of ineffectiveness arise mainly because of the differences in discount rates (OIS - Overnight Index Swap).</w:t>
      </w:r>
    </w:p>
    <w:p>
      <w:pPr>
        <w:spacing w:after="0" w:line="129" w:lineRule="exact"/>
        <w:rPr>
          <w:rFonts w:ascii="Arial" w:cs="Arial" w:eastAsia="Arial" w:hAnsi="Arial"/>
          <w:sz w:val="13"/>
          <w:szCs w:val="13"/>
          <w:color w:val="auto"/>
        </w:rPr>
      </w:pPr>
    </w:p>
    <w:p>
      <w:pPr>
        <w:ind w:left="703" w:hanging="241"/>
        <w:spacing w:after="0" w:line="267" w:lineRule="auto"/>
        <w:tabs>
          <w:tab w:leader="none" w:pos="703" w:val="left"/>
        </w:tabs>
        <w:numPr>
          <w:ilvl w:val="0"/>
          <w:numId w:val="148"/>
        </w:numPr>
        <w:rPr>
          <w:rFonts w:ascii="Arial" w:cs="Arial" w:eastAsia="Arial" w:hAnsi="Arial"/>
          <w:sz w:val="13"/>
          <w:szCs w:val="13"/>
          <w:color w:val="auto"/>
        </w:rPr>
      </w:pPr>
      <w:r>
        <w:rPr>
          <w:rFonts w:ascii="Arial" w:cs="Arial" w:eastAsia="Arial" w:hAnsi="Arial"/>
          <w:sz w:val="13"/>
          <w:szCs w:val="13"/>
          <w:i w:val="1"/>
          <w:iCs w:val="1"/>
          <w:u w:val="single" w:color="auto"/>
          <w:color w:val="auto"/>
        </w:rPr>
        <w:t>Cross currency swaps:</w:t>
      </w:r>
      <w:r>
        <w:rPr>
          <w:rFonts w:ascii="Arial" w:cs="Arial" w:eastAsia="Arial" w:hAnsi="Arial"/>
          <w:sz w:val="13"/>
          <w:szCs w:val="13"/>
          <w:i w:val="1"/>
          <w:iCs w:val="1"/>
          <w:color w:val="auto"/>
        </w:rPr>
        <w:t xml:space="preserve"> </w:t>
      </w:r>
      <w:r>
        <w:rPr>
          <w:rFonts w:ascii="Arial" w:cs="Arial" w:eastAsia="Arial" w:hAnsi="Arial"/>
          <w:sz w:val="13"/>
          <w:szCs w:val="13"/>
          <w:color w:val="auto"/>
        </w:rPr>
        <w:t>Type of hedge used to mitigate both interest rate risk and foreign currency risk. The sources of ineffectiveness come mainly from forward rates, discount rates and cross currency basis</w:t>
      </w:r>
      <w:r>
        <w:rPr>
          <w:rFonts w:ascii="Arial" w:cs="Arial" w:eastAsia="Arial" w:hAnsi="Arial"/>
          <w:sz w:val="13"/>
          <w:szCs w:val="13"/>
          <w:i w:val="1"/>
          <w:iCs w:val="1"/>
          <w:color w:val="auto"/>
        </w:rPr>
        <w:t xml:space="preserve"> </w:t>
      </w:r>
      <w:r>
        <w:rPr>
          <w:rFonts w:ascii="Arial" w:cs="Arial" w:eastAsia="Arial" w:hAnsi="Arial"/>
          <w:sz w:val="13"/>
          <w:szCs w:val="13"/>
          <w:color w:val="auto"/>
        </w:rPr>
        <w:t>(cost of the operation).</w:t>
      </w:r>
    </w:p>
    <w:p>
      <w:pPr>
        <w:spacing w:after="0" w:line="283" w:lineRule="exact"/>
        <w:rPr>
          <w:sz w:val="20"/>
          <w:szCs w:val="20"/>
          <w:color w:val="auto"/>
        </w:rPr>
      </w:pPr>
    </w:p>
    <w:p>
      <w:pPr>
        <w:jc w:val="center"/>
        <w:ind w:right="-22"/>
        <w:spacing w:after="0"/>
        <w:rPr>
          <w:sz w:val="20"/>
          <w:szCs w:val="20"/>
          <w:color w:val="auto"/>
        </w:rPr>
      </w:pPr>
      <w:r>
        <w:rPr>
          <w:rFonts w:ascii="Arial" w:cs="Arial" w:eastAsia="Arial" w:hAnsi="Arial"/>
          <w:sz w:val="13"/>
          <w:szCs w:val="13"/>
          <w:color w:val="auto"/>
        </w:rPr>
        <w:t>F-60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28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85" w:right="219" w:bottom="1440" w:gutter="0" w:footer="0" w:header="0"/>
        </w:sectPr>
      </w:pPr>
    </w:p>
    <w:bookmarkStart w:id="185" w:name="page186"/>
    <w:bookmarkEnd w:id="185"/>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28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149"/>
        </w:numPr>
        <w:rPr>
          <w:rFonts w:ascii="Arial" w:cs="Arial" w:eastAsia="Arial" w:hAnsi="Arial"/>
          <w:sz w:val="13"/>
          <w:szCs w:val="13"/>
          <w:b w:val="1"/>
          <w:bCs w:val="1"/>
          <w:color w:val="auto"/>
        </w:rPr>
      </w:pPr>
      <w:r>
        <w:rPr>
          <w:rFonts w:ascii="Arial" w:cs="Arial" w:eastAsia="Arial" w:hAnsi="Arial"/>
          <w:sz w:val="13"/>
          <w:szCs w:val="13"/>
          <w:b w:val="1"/>
          <w:bCs w:val="1"/>
          <w:color w:val="auto"/>
        </w:rPr>
        <w:t>Derivative financial instruments (continued)</w:t>
      </w:r>
    </w:p>
    <w:p>
      <w:pPr>
        <w:spacing w:after="0" w:line="162" w:lineRule="exact"/>
        <w:rPr>
          <w:rFonts w:ascii="Arial" w:cs="Arial" w:eastAsia="Arial" w:hAnsi="Arial"/>
          <w:sz w:val="13"/>
          <w:szCs w:val="13"/>
          <w:b w:val="1"/>
          <w:bCs w:val="1"/>
          <w:color w:val="auto"/>
        </w:rPr>
      </w:pPr>
    </w:p>
    <w:p>
      <w:pPr>
        <w:jc w:val="both"/>
        <w:ind w:left="223" w:right="20"/>
        <w:spacing w:after="0" w:line="257" w:lineRule="auto"/>
        <w:rPr>
          <w:rFonts w:ascii="Arial" w:cs="Arial" w:eastAsia="Arial" w:hAnsi="Arial"/>
          <w:sz w:val="13"/>
          <w:szCs w:val="13"/>
          <w:b w:val="1"/>
          <w:bCs w:val="1"/>
          <w:color w:val="auto"/>
        </w:rPr>
      </w:pPr>
      <w:r>
        <w:rPr>
          <w:rFonts w:ascii="Arial" w:cs="Arial" w:eastAsia="Arial" w:hAnsi="Arial"/>
          <w:sz w:val="13"/>
          <w:szCs w:val="13"/>
          <w:color w:val="auto"/>
        </w:rPr>
        <w:t>For control purposes, derivative instruments are recorded at their nominal amount in memoranda accounts. Interest rate swaps are made either in a single currency or cross currency for a prescribed period to exchange a series of interest rate flows, which involve fixed for floating interest payments, and vice versa. The Bank also engages in certain foreign exchange forward contracts to serve customers’ transaction needs and to manage foreign currency risk. All such positions are hedged with an offsetting contract for the same currency.</w:t>
      </w:r>
    </w:p>
    <w:p>
      <w:pPr>
        <w:spacing w:after="0" w:line="135" w:lineRule="exact"/>
        <w:rPr>
          <w:rFonts w:ascii="Arial" w:cs="Arial" w:eastAsia="Arial" w:hAnsi="Arial"/>
          <w:sz w:val="13"/>
          <w:szCs w:val="13"/>
          <w:b w:val="1"/>
          <w:bCs w:val="1"/>
          <w:color w:val="auto"/>
        </w:rPr>
      </w:pPr>
    </w:p>
    <w:p>
      <w:pPr>
        <w:jc w:val="both"/>
        <w:ind w:left="223" w:right="20"/>
        <w:spacing w:after="0" w:line="254" w:lineRule="auto"/>
        <w:rPr>
          <w:rFonts w:ascii="Arial" w:cs="Arial" w:eastAsia="Arial" w:hAnsi="Arial"/>
          <w:sz w:val="13"/>
          <w:szCs w:val="13"/>
          <w:b w:val="1"/>
          <w:bCs w:val="1"/>
          <w:color w:val="auto"/>
        </w:rPr>
      </w:pPr>
      <w:r>
        <w:rPr>
          <w:rFonts w:ascii="Arial" w:cs="Arial" w:eastAsia="Arial" w:hAnsi="Arial"/>
          <w:sz w:val="13"/>
          <w:szCs w:val="13"/>
          <w:color w:val="auto"/>
        </w:rPr>
        <w:t>The Bank manages and controls the risks on these foreign exchange trades by establishing counterparty credit limits by customer and by adopting policies that do not allow for open positions in the loan and investment portfolio. The Bank also uses foreign exchange forward contracts to hedge the foreign exchange risk associated with the Bank’s equity investment in a non-U.S. dollar functional currency foreign entity. Derivative and foreign exchange forward instruments negotiated by the Bank are executed mainly over-the-counter (OTC). These contracts are executed between two counterparties that negotiate specific agreement terms, including notional amount, exercise price and maturity.</w:t>
      </w:r>
    </w:p>
    <w:p>
      <w:pPr>
        <w:spacing w:after="0" w:line="137"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maximum length of time over which the Bank has hedged its exposure to the variability in future cash flows on forecasted transactions is 5.2 years (2017: 6.2 years).</w:t>
      </w:r>
    </w:p>
    <w:p>
      <w:pPr>
        <w:spacing w:after="0" w:line="158" w:lineRule="exact"/>
        <w:rPr>
          <w:rFonts w:ascii="Arial" w:cs="Arial" w:eastAsia="Arial" w:hAnsi="Arial"/>
          <w:sz w:val="13"/>
          <w:szCs w:val="13"/>
          <w:b w:val="1"/>
          <w:bCs w:val="1"/>
          <w:color w:val="auto"/>
        </w:rPr>
      </w:pPr>
    </w:p>
    <w:p>
      <w:pPr>
        <w:ind w:left="223" w:right="20"/>
        <w:spacing w:after="0" w:line="310" w:lineRule="auto"/>
        <w:rPr>
          <w:rFonts w:ascii="Arial" w:cs="Arial" w:eastAsia="Arial" w:hAnsi="Arial"/>
          <w:sz w:val="13"/>
          <w:szCs w:val="13"/>
          <w:b w:val="1"/>
          <w:bCs w:val="1"/>
          <w:color w:val="auto"/>
        </w:rPr>
      </w:pPr>
      <w:r>
        <w:rPr>
          <w:rFonts w:ascii="Arial" w:cs="Arial" w:eastAsia="Arial" w:hAnsi="Arial"/>
          <w:sz w:val="12"/>
          <w:szCs w:val="12"/>
          <w:color w:val="auto"/>
        </w:rPr>
        <w:t xml:space="preserve">The Bank recognized the lifetime associated cost of the foreign exchange forward contracts into interest income, in profit or loss, as an adjustment to the yield on hedged items creating an accumulated reserve in OCI, reclassified to profit or loss at their maturity. The Bank estimates that approximately $365 thousand are expected to be reclassified into profit or loss during the twelve-month year ending </w:t>
      </w:r>
      <w:r>
        <w:rPr>
          <w:rFonts w:ascii="Arial" w:cs="Arial" w:eastAsia="Arial" w:hAnsi="Arial"/>
          <w:sz w:val="12"/>
          <w:szCs w:val="12"/>
          <w:color w:val="222222"/>
        </w:rPr>
        <w:t>December 31</w:t>
      </w:r>
      <w:r>
        <w:rPr>
          <w:rFonts w:ascii="Arial" w:cs="Arial" w:eastAsia="Arial" w:hAnsi="Arial"/>
          <w:sz w:val="12"/>
          <w:szCs w:val="12"/>
          <w:color w:val="auto"/>
        </w:rPr>
        <w:t>, 2019.</w:t>
      </w:r>
    </w:p>
    <w:p>
      <w:pPr>
        <w:spacing w:after="0" w:line="105" w:lineRule="exact"/>
        <w:rPr>
          <w:rFonts w:ascii="Arial" w:cs="Arial" w:eastAsia="Arial" w:hAnsi="Arial"/>
          <w:sz w:val="13"/>
          <w:szCs w:val="13"/>
          <w:b w:val="1"/>
          <w:bCs w:val="1"/>
          <w:color w:val="auto"/>
        </w:rPr>
      </w:pPr>
    </w:p>
    <w:p>
      <w:pPr>
        <w:ind w:left="223"/>
        <w:spacing w:after="0" w:line="310" w:lineRule="auto"/>
        <w:rPr>
          <w:rFonts w:ascii="Arial" w:cs="Arial" w:eastAsia="Arial" w:hAnsi="Arial"/>
          <w:sz w:val="13"/>
          <w:szCs w:val="13"/>
          <w:b w:val="1"/>
          <w:bCs w:val="1"/>
          <w:color w:val="auto"/>
        </w:rPr>
      </w:pPr>
      <w:r>
        <w:rPr>
          <w:rFonts w:ascii="Arial" w:cs="Arial" w:eastAsia="Arial" w:hAnsi="Arial"/>
          <w:sz w:val="12"/>
          <w:szCs w:val="12"/>
          <w:color w:val="auto"/>
        </w:rPr>
        <w:t xml:space="preserve">The Bank recognized the lifetime associated cost of the foreign exchange forward contracts into interest expense, in profit or loss, as an adjustment to the yield on hedge items creating an accumulated reserve in OCI, reclassified to profit or loss at their maturity. The Bank estimates that approximately $3.1 million are expected to be reclassified into profit or loss during the twelve-month year ending </w:t>
      </w:r>
      <w:r>
        <w:rPr>
          <w:rFonts w:ascii="Arial" w:cs="Arial" w:eastAsia="Arial" w:hAnsi="Arial"/>
          <w:sz w:val="12"/>
          <w:szCs w:val="12"/>
          <w:color w:val="222222"/>
        </w:rPr>
        <w:t>December 31</w:t>
      </w:r>
      <w:r>
        <w:rPr>
          <w:rFonts w:ascii="Arial" w:cs="Arial" w:eastAsia="Arial" w:hAnsi="Arial"/>
          <w:sz w:val="12"/>
          <w:szCs w:val="12"/>
          <w:color w:val="auto"/>
        </w:rPr>
        <w:t>, 2019.</w:t>
      </w:r>
    </w:p>
    <w:p>
      <w:pPr>
        <w:spacing w:after="0" w:line="105"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u w:val="single" w:color="auto"/>
          <w:color w:val="auto"/>
        </w:rPr>
        <w:t>Types of Derivatives and Foreign Exchange Instruments</w:t>
      </w:r>
    </w:p>
    <w:p>
      <w:pPr>
        <w:spacing w:after="0" w:line="158" w:lineRule="exact"/>
        <w:rPr>
          <w:rFonts w:ascii="Arial" w:cs="Arial" w:eastAsia="Arial" w:hAnsi="Arial"/>
          <w:sz w:val="13"/>
          <w:szCs w:val="13"/>
          <w:b w:val="1"/>
          <w:bCs w:val="1"/>
          <w:color w:val="auto"/>
        </w:rPr>
      </w:pPr>
    </w:p>
    <w:p>
      <w:pPr>
        <w:jc w:val="both"/>
        <w:ind w:left="223"/>
        <w:spacing w:after="0" w:line="281" w:lineRule="auto"/>
        <w:rPr>
          <w:rFonts w:ascii="Arial" w:cs="Arial" w:eastAsia="Arial" w:hAnsi="Arial"/>
          <w:sz w:val="13"/>
          <w:szCs w:val="13"/>
          <w:b w:val="1"/>
          <w:bCs w:val="1"/>
          <w:color w:val="auto"/>
        </w:rPr>
      </w:pPr>
      <w:r>
        <w:rPr>
          <w:rFonts w:ascii="Arial" w:cs="Arial" w:eastAsia="Arial" w:hAnsi="Arial"/>
          <w:sz w:val="12"/>
          <w:szCs w:val="12"/>
          <w:color w:val="auto"/>
        </w:rPr>
        <w:t>Interest rate swaps are contracts in which a series of interest rate flows in a single currency are exchanged over a prescribed period. The Bank has designated a portion of these derivative instruments as fair value hedges and another portion as cash flow hedges. Cross currency swaps are contracts that generally involve the exchange of both interest and principal amounts in two different currencies. The Bank has designated a portion of these derivative instruments as fair value hedges and another portion as cash flow hedges. Foreign exchange forward contracts represent an agreement to purchase or sell foreign currency at a future date at agreed-upon terms. The Bank has designated these derivative instruments as cash flow hedges and net investment hedges.</w:t>
      </w:r>
    </w:p>
    <w:p>
      <w:pPr>
        <w:spacing w:after="0" w:line="123"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u w:val="single" w:color="auto"/>
          <w:color w:val="auto"/>
        </w:rPr>
        <w:t>Offsetting of financial assets and liabilities</w:t>
      </w:r>
    </w:p>
    <w:p>
      <w:pPr>
        <w:spacing w:after="0" w:line="158" w:lineRule="exact"/>
        <w:rPr>
          <w:rFonts w:ascii="Arial" w:cs="Arial" w:eastAsia="Arial" w:hAnsi="Arial"/>
          <w:sz w:val="13"/>
          <w:szCs w:val="13"/>
          <w:b w:val="1"/>
          <w:bCs w:val="1"/>
          <w:color w:val="auto"/>
        </w:rPr>
      </w:pPr>
    </w:p>
    <w:p>
      <w:pPr>
        <w:jc w:val="both"/>
        <w:ind w:left="223"/>
        <w:spacing w:after="0" w:line="254" w:lineRule="auto"/>
        <w:rPr>
          <w:rFonts w:ascii="Arial" w:cs="Arial" w:eastAsia="Arial" w:hAnsi="Arial"/>
          <w:sz w:val="13"/>
          <w:szCs w:val="13"/>
          <w:b w:val="1"/>
          <w:bCs w:val="1"/>
          <w:color w:val="auto"/>
        </w:rPr>
      </w:pPr>
      <w:r>
        <w:rPr>
          <w:rFonts w:ascii="Arial" w:cs="Arial" w:eastAsia="Arial" w:hAnsi="Arial"/>
          <w:sz w:val="13"/>
          <w:szCs w:val="13"/>
          <w:color w:val="auto"/>
        </w:rPr>
        <w:t>In the ordinary course of business, the Bank enters into derivative financial instrument transactions and securities sold under repurchase agreements under industry standards agreements. Depending on the collateral requirements stated in the contracts, the Bank and counterparties can receive or deliver collateral based on the fair value of the financial instruments transacted between parties. Collateral typically consists of pledged cash deposits and securities. The master netting agreements include clauses that, in the event of default, provide for close-out netting, which allows all positions with the defaulting counterparty to be terminated and net settled with a single payment amount.</w:t>
      </w:r>
    </w:p>
    <w:p>
      <w:pPr>
        <w:spacing w:after="0" w:line="137" w:lineRule="exact"/>
        <w:rPr>
          <w:rFonts w:ascii="Arial" w:cs="Arial" w:eastAsia="Arial" w:hAnsi="Arial"/>
          <w:sz w:val="13"/>
          <w:szCs w:val="13"/>
          <w:b w:val="1"/>
          <w:bCs w:val="1"/>
          <w:color w:val="auto"/>
        </w:rPr>
      </w:pPr>
    </w:p>
    <w:p>
      <w:pPr>
        <w:jc w:val="both"/>
        <w:ind w:left="223" w:right="20"/>
        <w:spacing w:after="0" w:line="257" w:lineRule="auto"/>
        <w:rPr>
          <w:rFonts w:ascii="Arial" w:cs="Arial" w:eastAsia="Arial" w:hAnsi="Arial"/>
          <w:sz w:val="13"/>
          <w:szCs w:val="13"/>
          <w:b w:val="1"/>
          <w:bCs w:val="1"/>
          <w:color w:val="auto"/>
        </w:rPr>
      </w:pPr>
      <w:r>
        <w:rPr>
          <w:rFonts w:ascii="Arial" w:cs="Arial" w:eastAsia="Arial" w:hAnsi="Arial"/>
          <w:sz w:val="13"/>
          <w:szCs w:val="13"/>
          <w:color w:val="auto"/>
        </w:rPr>
        <w:t>The International Swaps and Derivatives Association master agreement (“ISDA”) and similar master netting arrangements do not meet the criteria for offsetting in the consolidated statement of financial position. This is because they create for the parties to the agreement a right of set-off of recognized amounts that is enforceable only following an event of default, insolvency or bankruptcy of the Bank or the counterparties or following other predetermined events.</w:t>
      </w:r>
    </w:p>
    <w:p>
      <w:pPr>
        <w:spacing w:after="0" w:line="290"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F-61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28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186" w:name="page187"/>
    <w:bookmarkEnd w:id="186"/>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28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right="8440" w:hanging="223"/>
        <w:spacing w:after="0" w:line="588" w:lineRule="auto"/>
        <w:tabs>
          <w:tab w:leader="none" w:pos="223" w:val="left"/>
        </w:tabs>
        <w:numPr>
          <w:ilvl w:val="0"/>
          <w:numId w:val="150"/>
        </w:numPr>
        <w:rPr>
          <w:rFonts w:ascii="Arial" w:cs="Arial" w:eastAsia="Arial" w:hAnsi="Arial"/>
          <w:sz w:val="11"/>
          <w:szCs w:val="11"/>
          <w:b w:val="1"/>
          <w:bCs w:val="1"/>
          <w:color w:val="auto"/>
        </w:rPr>
      </w:pPr>
      <w:r>
        <w:rPr>
          <w:rFonts w:ascii="Arial" w:cs="Arial" w:eastAsia="Arial" w:hAnsi="Arial"/>
          <w:sz w:val="11"/>
          <w:szCs w:val="11"/>
          <w:b w:val="1"/>
          <w:bCs w:val="1"/>
          <w:color w:val="auto"/>
        </w:rPr>
        <w:t xml:space="preserve">Derivative financial instruments (continued) </w:t>
      </w:r>
      <w:r>
        <w:rPr>
          <w:rFonts w:ascii="Arial" w:cs="Arial" w:eastAsia="Arial" w:hAnsi="Arial"/>
          <w:sz w:val="11"/>
          <w:szCs w:val="11"/>
          <w:u w:val="single" w:color="auto"/>
          <w:color w:val="auto"/>
        </w:rPr>
        <w:t>Offsetting of financial assets and liabilities (continued)</w:t>
      </w:r>
    </w:p>
    <w:p>
      <w:pPr>
        <w:ind w:left="223"/>
        <w:spacing w:after="0"/>
        <w:rPr>
          <w:rFonts w:ascii="Arial" w:cs="Arial" w:eastAsia="Arial" w:hAnsi="Arial"/>
          <w:sz w:val="11"/>
          <w:szCs w:val="11"/>
          <w:b w:val="1"/>
          <w:bCs w:val="1"/>
          <w:color w:val="auto"/>
        </w:rPr>
      </w:pPr>
      <w:r>
        <w:rPr>
          <w:rFonts w:ascii="Arial" w:cs="Arial" w:eastAsia="Arial" w:hAnsi="Arial"/>
          <w:sz w:val="13"/>
          <w:szCs w:val="13"/>
          <w:color w:val="auto"/>
        </w:rPr>
        <w:t>The following tables summarize financial assets and liabilities that have been offset in the consolidated statement of financial position or are subject to master netting agreements:</w:t>
      </w:r>
    </w:p>
    <w:p>
      <w:pPr>
        <w:spacing w:after="0" w:line="158" w:lineRule="exact"/>
        <w:rPr>
          <w:rFonts w:ascii="Arial" w:cs="Arial" w:eastAsia="Arial" w:hAnsi="Arial"/>
          <w:sz w:val="11"/>
          <w:szCs w:val="11"/>
          <w:b w:val="1"/>
          <w:bCs w:val="1"/>
          <w:color w:val="auto"/>
        </w:rPr>
      </w:pPr>
    </w:p>
    <w:p>
      <w:pPr>
        <w:ind w:left="703" w:hanging="241"/>
        <w:spacing w:after="0"/>
        <w:tabs>
          <w:tab w:leader="none" w:pos="703" w:val="left"/>
        </w:tabs>
        <w:numPr>
          <w:ilvl w:val="1"/>
          <w:numId w:val="150"/>
        </w:numPr>
        <w:rPr>
          <w:rFonts w:ascii="Arial" w:cs="Arial" w:eastAsia="Arial" w:hAnsi="Arial"/>
          <w:sz w:val="13"/>
          <w:szCs w:val="13"/>
          <w:color w:val="auto"/>
        </w:rPr>
      </w:pPr>
      <w:r>
        <w:rPr>
          <w:rFonts w:ascii="Arial" w:cs="Arial" w:eastAsia="Arial" w:hAnsi="Arial"/>
          <w:sz w:val="13"/>
          <w:szCs w:val="13"/>
          <w:u w:val="single" w:color="auto"/>
          <w:color w:val="auto"/>
        </w:rPr>
        <w:t>Derivative financial instruments – assets</w:t>
      </w:r>
    </w:p>
    <w:p>
      <w:pPr>
        <w:spacing w:after="0" w:line="155" w:lineRule="exact"/>
        <w:rPr>
          <w:sz w:val="20"/>
          <w:szCs w:val="20"/>
          <w:color w:val="auto"/>
        </w:rPr>
      </w:pPr>
    </w:p>
    <w:p>
      <w:pPr>
        <w:jc w:val="center"/>
        <w:ind w:right="-102"/>
        <w:spacing w:after="0"/>
        <w:rPr>
          <w:sz w:val="20"/>
          <w:szCs w:val="20"/>
          <w:color w:val="auto"/>
        </w:rPr>
      </w:pPr>
      <w:r>
        <w:rPr>
          <w:rFonts w:ascii="Arial" w:cs="Arial" w:eastAsia="Arial" w:hAnsi="Arial"/>
          <w:sz w:val="13"/>
          <w:szCs w:val="13"/>
          <w:b w:val="1"/>
          <w:bCs w:val="1"/>
          <w:color w:val="auto"/>
        </w:rPr>
        <w:t>December 31, 2018</w:t>
      </w:r>
    </w:p>
    <w:p>
      <w:pPr>
        <w:spacing w:after="0" w:line="17" w:lineRule="exact"/>
        <w:rPr>
          <w:sz w:val="20"/>
          <w:szCs w:val="20"/>
          <w:color w:val="auto"/>
        </w:rPr>
      </w:pPr>
    </w:p>
    <w:tbl>
      <w:tblPr>
        <w:tblLayout w:type="fixed"/>
        <w:tblInd w:w="3" w:type="dxa"/>
        <w:tblCellMar>
          <w:top w:w="0" w:type="dxa"/>
          <w:left w:w="0" w:type="dxa"/>
          <w:bottom w:w="0" w:type="dxa"/>
          <w:right w:w="0" w:type="dxa"/>
        </w:tblCellMar>
      </w:tblPr>
      <w:tr>
        <w:trPr>
          <w:trHeight w:val="131"/>
        </w:trPr>
        <w:tc>
          <w:tcPr>
            <w:tcW w:w="220" w:type="dxa"/>
            <w:vAlign w:val="bottom"/>
          </w:tcPr>
          <w:p>
            <w:pPr>
              <w:spacing w:after="0"/>
              <w:rPr>
                <w:sz w:val="11"/>
                <w:szCs w:val="11"/>
                <w:color w:val="auto"/>
              </w:rPr>
            </w:pPr>
          </w:p>
        </w:tc>
        <w:tc>
          <w:tcPr>
            <w:tcW w:w="2580" w:type="dxa"/>
            <w:vAlign w:val="bottom"/>
            <w:tcBorders>
              <w:top w:val="single" w:sz="8" w:color="auto"/>
            </w:tcBorders>
          </w:tcPr>
          <w:p>
            <w:pPr>
              <w:spacing w:after="0"/>
              <w:rPr>
                <w:sz w:val="11"/>
                <w:szCs w:val="11"/>
                <w:color w:val="auto"/>
              </w:rPr>
            </w:pPr>
          </w:p>
        </w:tc>
        <w:tc>
          <w:tcPr>
            <w:tcW w:w="1220" w:type="dxa"/>
            <w:vAlign w:val="bottom"/>
            <w:tcBorders>
              <w:top w:val="single" w:sz="8" w:color="auto"/>
            </w:tcBorders>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1000" w:type="dxa"/>
            <w:vAlign w:val="bottom"/>
            <w:tcBorders>
              <w:top w:val="single" w:sz="8" w:color="auto"/>
            </w:tcBorders>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160" w:type="dxa"/>
            <w:vAlign w:val="bottom"/>
            <w:tcBorders>
              <w:top w:val="single" w:sz="8" w:color="auto"/>
            </w:tcBorders>
          </w:tcPr>
          <w:p>
            <w:pPr>
              <w:spacing w:after="0"/>
              <w:rPr>
                <w:sz w:val="11"/>
                <w:szCs w:val="11"/>
                <w:color w:val="auto"/>
              </w:rPr>
            </w:pPr>
          </w:p>
        </w:tc>
        <w:tc>
          <w:tcPr>
            <w:tcW w:w="1000" w:type="dxa"/>
            <w:vAlign w:val="bottom"/>
            <w:tcBorders>
              <w:top w:val="single" w:sz="8" w:color="auto"/>
            </w:tcBorders>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1240" w:type="dxa"/>
            <w:vAlign w:val="bottom"/>
            <w:tcBorders>
              <w:top w:val="single" w:sz="8" w:color="auto"/>
            </w:tcBorders>
            <w:gridSpan w:val="2"/>
          </w:tcPr>
          <w:p>
            <w:pPr>
              <w:jc w:val="center"/>
              <w:ind w:right="240"/>
              <w:spacing w:after="0" w:line="131" w:lineRule="exact"/>
              <w:rPr>
                <w:sz w:val="20"/>
                <w:szCs w:val="20"/>
                <w:color w:val="auto"/>
              </w:rPr>
            </w:pPr>
            <w:r>
              <w:rPr>
                <w:rFonts w:ascii="Arial" w:cs="Arial" w:eastAsia="Arial" w:hAnsi="Arial"/>
                <w:sz w:val="13"/>
                <w:szCs w:val="13"/>
                <w:b w:val="1"/>
                <w:bCs w:val="1"/>
                <w:color w:val="auto"/>
                <w:w w:val="89"/>
              </w:rPr>
              <w:t>Net amount</w:t>
            </w:r>
          </w:p>
        </w:tc>
        <w:tc>
          <w:tcPr>
            <w:tcW w:w="98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98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980" w:type="dxa"/>
            <w:vAlign w:val="bottom"/>
            <w:tcBorders>
              <w:top w:val="single" w:sz="8" w:color="auto"/>
            </w:tcBorders>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120" w:type="dxa"/>
            <w:vAlign w:val="bottom"/>
          </w:tcPr>
          <w:p>
            <w:pPr>
              <w:spacing w:after="0"/>
              <w:rPr>
                <w:sz w:val="11"/>
                <w:szCs w:val="11"/>
                <w:color w:val="auto"/>
              </w:rPr>
            </w:pPr>
          </w:p>
        </w:tc>
      </w:tr>
      <w:tr>
        <w:trPr>
          <w:trHeight w:val="154"/>
        </w:trPr>
        <w:tc>
          <w:tcPr>
            <w:tcW w:w="220" w:type="dxa"/>
            <w:vAlign w:val="bottom"/>
          </w:tcPr>
          <w:p>
            <w:pPr>
              <w:spacing w:after="0"/>
              <w:rPr>
                <w:sz w:val="13"/>
                <w:szCs w:val="13"/>
                <w:color w:val="auto"/>
              </w:rPr>
            </w:pPr>
          </w:p>
        </w:tc>
        <w:tc>
          <w:tcPr>
            <w:tcW w:w="258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24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5"/>
              </w:rPr>
              <w:t>Gross</w:t>
            </w:r>
          </w:p>
        </w:tc>
        <w:tc>
          <w:tcPr>
            <w:tcW w:w="124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1"/>
              </w:rPr>
              <w:t>of assets</w:t>
            </w:r>
          </w:p>
        </w:tc>
        <w:tc>
          <w:tcPr>
            <w:tcW w:w="2400" w:type="dxa"/>
            <w:vAlign w:val="bottom"/>
            <w:gridSpan w:val="4"/>
          </w:tcPr>
          <w:p>
            <w:pPr>
              <w:jc w:val="center"/>
              <w:ind w:right="183"/>
              <w:spacing w:after="0"/>
              <w:rPr>
                <w:sz w:val="20"/>
                <w:szCs w:val="20"/>
                <w:color w:val="auto"/>
              </w:rPr>
            </w:pPr>
            <w:r>
              <w:rPr>
                <w:rFonts w:ascii="Arial" w:cs="Arial" w:eastAsia="Arial" w:hAnsi="Arial"/>
                <w:sz w:val="13"/>
                <w:szCs w:val="13"/>
                <w:b w:val="1"/>
                <w:bCs w:val="1"/>
                <w:color w:val="auto"/>
                <w:w w:val="86"/>
              </w:rPr>
              <w:t>Gross amounts not offset in</w:t>
            </w:r>
          </w:p>
        </w:tc>
        <w:tc>
          <w:tcPr>
            <w:tcW w:w="9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258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24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8"/>
              </w:rPr>
              <w:t>amounts</w:t>
            </w:r>
          </w:p>
        </w:tc>
        <w:tc>
          <w:tcPr>
            <w:tcW w:w="124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3"/>
              </w:rPr>
              <w:t>presented</w:t>
            </w:r>
          </w:p>
        </w:tc>
        <w:tc>
          <w:tcPr>
            <w:tcW w:w="2400" w:type="dxa"/>
            <w:vAlign w:val="bottom"/>
            <w:gridSpan w:val="4"/>
          </w:tcPr>
          <w:p>
            <w:pPr>
              <w:jc w:val="center"/>
              <w:ind w:right="183"/>
              <w:spacing w:after="0"/>
              <w:rPr>
                <w:sz w:val="20"/>
                <w:szCs w:val="20"/>
                <w:color w:val="auto"/>
              </w:rPr>
            </w:pPr>
            <w:r>
              <w:rPr>
                <w:rFonts w:ascii="Arial" w:cs="Arial" w:eastAsia="Arial" w:hAnsi="Arial"/>
                <w:sz w:val="13"/>
                <w:szCs w:val="13"/>
                <w:b w:val="1"/>
                <w:bCs w:val="1"/>
                <w:color w:val="auto"/>
                <w:w w:val="85"/>
              </w:rPr>
              <w:t>the consolidated statement of</w:t>
            </w:r>
          </w:p>
        </w:tc>
        <w:tc>
          <w:tcPr>
            <w:tcW w:w="9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66"/>
        </w:trPr>
        <w:tc>
          <w:tcPr>
            <w:tcW w:w="220" w:type="dxa"/>
            <w:vAlign w:val="bottom"/>
          </w:tcPr>
          <w:p>
            <w:pPr>
              <w:spacing w:after="0"/>
              <w:rPr>
                <w:sz w:val="14"/>
                <w:szCs w:val="14"/>
                <w:color w:val="auto"/>
              </w:rPr>
            </w:pPr>
          </w:p>
        </w:tc>
        <w:tc>
          <w:tcPr>
            <w:tcW w:w="2580" w:type="dxa"/>
            <w:vAlign w:val="bottom"/>
          </w:tcPr>
          <w:p>
            <w:pPr>
              <w:spacing w:after="0"/>
              <w:rPr>
                <w:sz w:val="14"/>
                <w:szCs w:val="14"/>
                <w:color w:val="auto"/>
              </w:rPr>
            </w:pPr>
          </w:p>
        </w:tc>
        <w:tc>
          <w:tcPr>
            <w:tcW w:w="12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24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6"/>
              </w:rPr>
              <w:t>offset in the</w:t>
            </w:r>
          </w:p>
        </w:tc>
        <w:tc>
          <w:tcPr>
            <w:tcW w:w="124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2"/>
              </w:rPr>
              <w:t>in the</w:t>
            </w:r>
          </w:p>
        </w:tc>
        <w:tc>
          <w:tcPr>
            <w:tcW w:w="2400" w:type="dxa"/>
            <w:vAlign w:val="bottom"/>
            <w:gridSpan w:val="4"/>
          </w:tcPr>
          <w:p>
            <w:pPr>
              <w:jc w:val="center"/>
              <w:ind w:right="183"/>
              <w:spacing w:after="0"/>
              <w:rPr>
                <w:sz w:val="20"/>
                <w:szCs w:val="20"/>
                <w:color w:val="auto"/>
              </w:rPr>
            </w:pPr>
            <w:r>
              <w:rPr>
                <w:rFonts w:ascii="Arial" w:cs="Arial" w:eastAsia="Arial" w:hAnsi="Arial"/>
                <w:sz w:val="13"/>
                <w:szCs w:val="13"/>
                <w:b w:val="1"/>
                <w:bCs w:val="1"/>
                <w:color w:val="auto"/>
                <w:w w:val="87"/>
              </w:rPr>
              <w:t>financial position</w:t>
            </w:r>
          </w:p>
        </w:tc>
        <w:tc>
          <w:tcPr>
            <w:tcW w:w="9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20" w:type="dxa"/>
            <w:vAlign w:val="bottom"/>
          </w:tcPr>
          <w:p>
            <w:pPr>
              <w:spacing w:after="0"/>
              <w:rPr>
                <w:sz w:val="14"/>
                <w:szCs w:val="14"/>
                <w:color w:val="auto"/>
              </w:rPr>
            </w:pPr>
          </w:p>
        </w:tc>
      </w:tr>
      <w:tr>
        <w:trPr>
          <w:trHeight w:val="122"/>
        </w:trPr>
        <w:tc>
          <w:tcPr>
            <w:tcW w:w="220" w:type="dxa"/>
            <w:vAlign w:val="bottom"/>
          </w:tcPr>
          <w:p>
            <w:pPr>
              <w:spacing w:after="0"/>
              <w:rPr>
                <w:sz w:val="10"/>
                <w:szCs w:val="10"/>
                <w:color w:val="auto"/>
              </w:rPr>
            </w:pPr>
          </w:p>
        </w:tc>
        <w:tc>
          <w:tcPr>
            <w:tcW w:w="2580" w:type="dxa"/>
            <w:vAlign w:val="bottom"/>
          </w:tcPr>
          <w:p>
            <w:pPr>
              <w:spacing w:after="0"/>
              <w:rPr>
                <w:sz w:val="10"/>
                <w:szCs w:val="10"/>
                <w:color w:val="auto"/>
              </w:rPr>
            </w:pPr>
          </w:p>
        </w:tc>
        <w:tc>
          <w:tcPr>
            <w:tcW w:w="12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0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1240" w:type="dxa"/>
            <w:vAlign w:val="bottom"/>
            <w:gridSpan w:val="2"/>
          </w:tcPr>
          <w:p>
            <w:pPr>
              <w:jc w:val="center"/>
              <w:ind w:right="240"/>
              <w:spacing w:after="0" w:line="122" w:lineRule="exact"/>
              <w:rPr>
                <w:sz w:val="20"/>
                <w:szCs w:val="20"/>
                <w:color w:val="auto"/>
              </w:rPr>
            </w:pPr>
            <w:r>
              <w:rPr>
                <w:rFonts w:ascii="Arial" w:cs="Arial" w:eastAsia="Arial" w:hAnsi="Arial"/>
                <w:sz w:val="13"/>
                <w:szCs w:val="13"/>
                <w:b w:val="1"/>
                <w:bCs w:val="1"/>
                <w:color w:val="auto"/>
                <w:w w:val="84"/>
              </w:rPr>
              <w:t>consolidated</w:t>
            </w:r>
          </w:p>
        </w:tc>
        <w:tc>
          <w:tcPr>
            <w:tcW w:w="1240" w:type="dxa"/>
            <w:vAlign w:val="bottom"/>
            <w:gridSpan w:val="2"/>
          </w:tcPr>
          <w:p>
            <w:pPr>
              <w:jc w:val="center"/>
              <w:ind w:right="240"/>
              <w:spacing w:after="0" w:line="122" w:lineRule="exact"/>
              <w:rPr>
                <w:sz w:val="20"/>
                <w:szCs w:val="20"/>
                <w:color w:val="auto"/>
              </w:rPr>
            </w:pPr>
            <w:r>
              <w:rPr>
                <w:rFonts w:ascii="Arial" w:cs="Arial" w:eastAsia="Arial" w:hAnsi="Arial"/>
                <w:sz w:val="13"/>
                <w:szCs w:val="13"/>
                <w:b w:val="1"/>
                <w:bCs w:val="1"/>
                <w:color w:val="auto"/>
                <w:w w:val="84"/>
              </w:rPr>
              <w:t>consolidated</w:t>
            </w:r>
          </w:p>
        </w:tc>
        <w:tc>
          <w:tcPr>
            <w:tcW w:w="980" w:type="dxa"/>
            <w:vAlign w:val="bottom"/>
            <w:tcBorders>
              <w:top w:val="single" w:sz="8" w:color="auto"/>
            </w:tcBorders>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980" w:type="dxa"/>
            <w:vAlign w:val="bottom"/>
            <w:tcBorders>
              <w:top w:val="single" w:sz="8" w:color="auto"/>
            </w:tcBorders>
          </w:tcPr>
          <w:p>
            <w:pPr>
              <w:spacing w:after="0"/>
              <w:rPr>
                <w:sz w:val="10"/>
                <w:szCs w:val="10"/>
                <w:color w:val="auto"/>
              </w:rPr>
            </w:pPr>
          </w:p>
        </w:tc>
        <w:tc>
          <w:tcPr>
            <w:tcW w:w="220" w:type="dxa"/>
            <w:vAlign w:val="bottom"/>
          </w:tcPr>
          <w:p>
            <w:pPr>
              <w:spacing w:after="0"/>
              <w:rPr>
                <w:sz w:val="10"/>
                <w:szCs w:val="10"/>
                <w:color w:val="auto"/>
              </w:rPr>
            </w:pPr>
          </w:p>
        </w:tc>
        <w:tc>
          <w:tcPr>
            <w:tcW w:w="9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20" w:type="dxa"/>
            <w:vAlign w:val="bottom"/>
          </w:tcPr>
          <w:p>
            <w:pPr>
              <w:spacing w:after="0"/>
              <w:rPr>
                <w:sz w:val="10"/>
                <w:szCs w:val="10"/>
                <w:color w:val="auto"/>
              </w:rPr>
            </w:pPr>
          </w:p>
        </w:tc>
      </w:tr>
      <w:tr>
        <w:trPr>
          <w:trHeight w:val="154"/>
        </w:trPr>
        <w:tc>
          <w:tcPr>
            <w:tcW w:w="220" w:type="dxa"/>
            <w:vAlign w:val="bottom"/>
          </w:tcPr>
          <w:p>
            <w:pPr>
              <w:spacing w:after="0"/>
              <w:rPr>
                <w:sz w:val="13"/>
                <w:szCs w:val="13"/>
                <w:color w:val="auto"/>
              </w:rPr>
            </w:pPr>
          </w:p>
        </w:tc>
        <w:tc>
          <w:tcPr>
            <w:tcW w:w="258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80" w:type="dxa"/>
            <w:vAlign w:val="bottom"/>
            <w:gridSpan w:val="2"/>
          </w:tcPr>
          <w:p>
            <w:pPr>
              <w:jc w:val="center"/>
              <w:ind w:right="80"/>
              <w:spacing w:after="0"/>
              <w:rPr>
                <w:sz w:val="20"/>
                <w:szCs w:val="20"/>
                <w:color w:val="auto"/>
              </w:rPr>
            </w:pPr>
            <w:r>
              <w:rPr>
                <w:rFonts w:ascii="Arial" w:cs="Arial" w:eastAsia="Arial" w:hAnsi="Arial"/>
                <w:sz w:val="13"/>
                <w:szCs w:val="13"/>
                <w:b w:val="1"/>
                <w:bCs w:val="1"/>
                <w:color w:val="auto"/>
                <w:w w:val="85"/>
              </w:rPr>
              <w:t>Gross</w:t>
            </w:r>
          </w:p>
        </w:tc>
        <w:tc>
          <w:tcPr>
            <w:tcW w:w="160" w:type="dxa"/>
            <w:vAlign w:val="bottom"/>
          </w:tcPr>
          <w:p>
            <w:pPr>
              <w:spacing w:after="0"/>
              <w:rPr>
                <w:sz w:val="13"/>
                <w:szCs w:val="13"/>
                <w:color w:val="auto"/>
              </w:rPr>
            </w:pPr>
          </w:p>
        </w:tc>
        <w:tc>
          <w:tcPr>
            <w:tcW w:w="124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7"/>
              </w:rPr>
              <w:t>statement of</w:t>
            </w:r>
          </w:p>
        </w:tc>
        <w:tc>
          <w:tcPr>
            <w:tcW w:w="124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7"/>
              </w:rPr>
              <w:t>statement of</w:t>
            </w:r>
          </w:p>
        </w:tc>
        <w:tc>
          <w:tcPr>
            <w:tcW w:w="9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gridSpan w:val="2"/>
          </w:tcPr>
          <w:p>
            <w:pPr>
              <w:jc w:val="center"/>
              <w:ind w:right="183"/>
              <w:spacing w:after="0"/>
              <w:rPr>
                <w:sz w:val="20"/>
                <w:szCs w:val="20"/>
                <w:color w:val="auto"/>
              </w:rPr>
            </w:pPr>
            <w:r>
              <w:rPr>
                <w:rFonts w:ascii="Arial" w:cs="Arial" w:eastAsia="Arial" w:hAnsi="Arial"/>
                <w:sz w:val="13"/>
                <w:szCs w:val="13"/>
                <w:b w:val="1"/>
                <w:bCs w:val="1"/>
                <w:color w:val="auto"/>
                <w:w w:val="81"/>
              </w:rPr>
              <w:t>Cash</w:t>
            </w:r>
          </w:p>
        </w:tc>
        <w:tc>
          <w:tcPr>
            <w:tcW w:w="9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258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80" w:type="dxa"/>
            <w:vAlign w:val="bottom"/>
            <w:gridSpan w:val="2"/>
          </w:tcPr>
          <w:p>
            <w:pPr>
              <w:jc w:val="center"/>
              <w:ind w:right="80"/>
              <w:spacing w:after="0"/>
              <w:rPr>
                <w:sz w:val="20"/>
                <w:szCs w:val="20"/>
                <w:color w:val="auto"/>
              </w:rPr>
            </w:pPr>
            <w:r>
              <w:rPr>
                <w:rFonts w:ascii="Arial" w:cs="Arial" w:eastAsia="Arial" w:hAnsi="Arial"/>
                <w:sz w:val="13"/>
                <w:szCs w:val="13"/>
                <w:b w:val="1"/>
                <w:bCs w:val="1"/>
                <w:color w:val="auto"/>
                <w:w w:val="85"/>
              </w:rPr>
              <w:t>amounts of</w:t>
            </w:r>
          </w:p>
        </w:tc>
        <w:tc>
          <w:tcPr>
            <w:tcW w:w="160" w:type="dxa"/>
            <w:vAlign w:val="bottom"/>
          </w:tcPr>
          <w:p>
            <w:pPr>
              <w:spacing w:after="0"/>
              <w:rPr>
                <w:sz w:val="13"/>
                <w:szCs w:val="13"/>
                <w:color w:val="auto"/>
              </w:rPr>
            </w:pPr>
          </w:p>
        </w:tc>
        <w:tc>
          <w:tcPr>
            <w:tcW w:w="124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0"/>
              </w:rPr>
              <w:t>financial</w:t>
            </w:r>
          </w:p>
        </w:tc>
        <w:tc>
          <w:tcPr>
            <w:tcW w:w="124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0"/>
              </w:rPr>
              <w:t>financial</w:t>
            </w:r>
          </w:p>
        </w:tc>
        <w:tc>
          <w:tcPr>
            <w:tcW w:w="12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8"/>
              </w:rPr>
              <w:t>Financial</w:t>
            </w:r>
          </w:p>
        </w:tc>
        <w:tc>
          <w:tcPr>
            <w:tcW w:w="1200" w:type="dxa"/>
            <w:vAlign w:val="bottom"/>
            <w:gridSpan w:val="2"/>
          </w:tcPr>
          <w:p>
            <w:pPr>
              <w:jc w:val="center"/>
              <w:ind w:right="183"/>
              <w:spacing w:after="0"/>
              <w:rPr>
                <w:sz w:val="20"/>
                <w:szCs w:val="20"/>
                <w:color w:val="auto"/>
              </w:rPr>
            </w:pPr>
            <w:r>
              <w:rPr>
                <w:rFonts w:ascii="Arial" w:cs="Arial" w:eastAsia="Arial" w:hAnsi="Arial"/>
                <w:sz w:val="13"/>
                <w:szCs w:val="13"/>
                <w:b w:val="1"/>
                <w:bCs w:val="1"/>
                <w:color w:val="auto"/>
                <w:w w:val="87"/>
              </w:rPr>
              <w:t>collateral</w:t>
            </w:r>
          </w:p>
        </w:tc>
        <w:tc>
          <w:tcPr>
            <w:tcW w:w="9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67"/>
        </w:trPr>
        <w:tc>
          <w:tcPr>
            <w:tcW w:w="220" w:type="dxa"/>
            <w:vAlign w:val="bottom"/>
          </w:tcPr>
          <w:p>
            <w:pPr>
              <w:spacing w:after="0"/>
              <w:rPr>
                <w:sz w:val="14"/>
                <w:szCs w:val="14"/>
                <w:color w:val="auto"/>
              </w:rPr>
            </w:pPr>
          </w:p>
        </w:tc>
        <w:tc>
          <w:tcPr>
            <w:tcW w:w="2580" w:type="dxa"/>
            <w:vAlign w:val="bottom"/>
            <w:tcBorders>
              <w:bottom w:val="single" w:sz="8" w:color="auto"/>
            </w:tcBorders>
          </w:tcPr>
          <w:p>
            <w:pPr>
              <w:spacing w:after="0"/>
              <w:rPr>
                <w:sz w:val="20"/>
                <w:szCs w:val="20"/>
                <w:color w:val="auto"/>
              </w:rPr>
            </w:pPr>
            <w:r>
              <w:rPr>
                <w:rFonts w:ascii="Arial" w:cs="Arial" w:eastAsia="Arial" w:hAnsi="Arial"/>
                <w:sz w:val="13"/>
                <w:szCs w:val="13"/>
                <w:b w:val="1"/>
                <w:bCs w:val="1"/>
                <w:color w:val="auto"/>
              </w:rPr>
              <w:t>Description</w:t>
            </w:r>
          </w:p>
        </w:tc>
        <w:tc>
          <w:tcPr>
            <w:tcW w:w="1220" w:type="dxa"/>
            <w:vAlign w:val="bottom"/>
            <w:tcBorders>
              <w:bottom w:val="single" w:sz="8" w:color="auto"/>
            </w:tcBorders>
          </w:tcPr>
          <w:p>
            <w:pPr>
              <w:spacing w:after="0"/>
              <w:rPr>
                <w:sz w:val="14"/>
                <w:szCs w:val="14"/>
                <w:color w:val="auto"/>
              </w:rPr>
            </w:pPr>
          </w:p>
        </w:tc>
        <w:tc>
          <w:tcPr>
            <w:tcW w:w="120" w:type="dxa"/>
            <w:vAlign w:val="bottom"/>
            <w:tcBorders>
              <w:bottom w:val="single" w:sz="8" w:color="CCEEFF"/>
            </w:tcBorders>
          </w:tcPr>
          <w:p>
            <w:pPr>
              <w:spacing w:after="0"/>
              <w:rPr>
                <w:sz w:val="14"/>
                <w:szCs w:val="14"/>
                <w:color w:val="auto"/>
              </w:rPr>
            </w:pPr>
          </w:p>
        </w:tc>
        <w:tc>
          <w:tcPr>
            <w:tcW w:w="100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78"/>
              </w:rPr>
              <w:t>assets</w:t>
            </w:r>
          </w:p>
        </w:tc>
        <w:tc>
          <w:tcPr>
            <w:tcW w:w="80" w:type="dxa"/>
            <w:vAlign w:val="bottom"/>
            <w:tcBorders>
              <w:bottom w:val="single" w:sz="8" w:color="CCEEFF"/>
            </w:tcBorders>
          </w:tcPr>
          <w:p>
            <w:pPr>
              <w:spacing w:after="0"/>
              <w:rPr>
                <w:sz w:val="14"/>
                <w:szCs w:val="14"/>
                <w:color w:val="auto"/>
              </w:rPr>
            </w:pPr>
          </w:p>
        </w:tc>
        <w:tc>
          <w:tcPr>
            <w:tcW w:w="160" w:type="dxa"/>
            <w:vAlign w:val="bottom"/>
            <w:tcBorders>
              <w:bottom w:val="single" w:sz="8" w:color="CCEEFF"/>
            </w:tcBorders>
          </w:tcPr>
          <w:p>
            <w:pPr>
              <w:spacing w:after="0"/>
              <w:rPr>
                <w:sz w:val="14"/>
                <w:szCs w:val="14"/>
                <w:color w:val="auto"/>
              </w:rPr>
            </w:pPr>
          </w:p>
        </w:tc>
        <w:tc>
          <w:tcPr>
            <w:tcW w:w="100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6"/>
              </w:rPr>
              <w:t>position</w:t>
            </w:r>
          </w:p>
        </w:tc>
        <w:tc>
          <w:tcPr>
            <w:tcW w:w="240" w:type="dxa"/>
            <w:vAlign w:val="bottom"/>
            <w:tcBorders>
              <w:bottom w:val="single" w:sz="8" w:color="CCEEFF"/>
            </w:tcBorders>
          </w:tcPr>
          <w:p>
            <w:pPr>
              <w:spacing w:after="0"/>
              <w:rPr>
                <w:sz w:val="14"/>
                <w:szCs w:val="14"/>
                <w:color w:val="auto"/>
              </w:rPr>
            </w:pPr>
          </w:p>
        </w:tc>
        <w:tc>
          <w:tcPr>
            <w:tcW w:w="102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6"/>
              </w:rPr>
              <w:t>position</w:t>
            </w:r>
          </w:p>
        </w:tc>
        <w:tc>
          <w:tcPr>
            <w:tcW w:w="220" w:type="dxa"/>
            <w:vAlign w:val="bottom"/>
            <w:tcBorders>
              <w:bottom w:val="single" w:sz="8" w:color="CCEEFF"/>
            </w:tcBorders>
          </w:tcPr>
          <w:p>
            <w:pPr>
              <w:spacing w:after="0"/>
              <w:rPr>
                <w:sz w:val="14"/>
                <w:szCs w:val="14"/>
                <w:color w:val="auto"/>
              </w:rPr>
            </w:pPr>
          </w:p>
        </w:tc>
        <w:tc>
          <w:tcPr>
            <w:tcW w:w="98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8"/>
              </w:rPr>
              <w:t>instruments</w:t>
            </w:r>
          </w:p>
        </w:tc>
        <w:tc>
          <w:tcPr>
            <w:tcW w:w="220" w:type="dxa"/>
            <w:vAlign w:val="bottom"/>
            <w:tcBorders>
              <w:bottom w:val="single" w:sz="8" w:color="CCEEFF"/>
            </w:tcBorders>
          </w:tcPr>
          <w:p>
            <w:pPr>
              <w:spacing w:after="0"/>
              <w:rPr>
                <w:sz w:val="14"/>
                <w:szCs w:val="14"/>
                <w:color w:val="auto"/>
              </w:rPr>
            </w:pPr>
          </w:p>
        </w:tc>
        <w:tc>
          <w:tcPr>
            <w:tcW w:w="98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7"/>
              </w:rPr>
              <w:t>received</w:t>
            </w:r>
          </w:p>
        </w:tc>
        <w:tc>
          <w:tcPr>
            <w:tcW w:w="220" w:type="dxa"/>
            <w:vAlign w:val="bottom"/>
            <w:tcBorders>
              <w:bottom w:val="single" w:sz="8" w:color="CCEEFF"/>
            </w:tcBorders>
          </w:tcPr>
          <w:p>
            <w:pPr>
              <w:spacing w:after="0"/>
              <w:rPr>
                <w:sz w:val="14"/>
                <w:szCs w:val="14"/>
                <w:color w:val="auto"/>
              </w:rPr>
            </w:pPr>
          </w:p>
        </w:tc>
        <w:tc>
          <w:tcPr>
            <w:tcW w:w="980" w:type="dxa"/>
            <w:vAlign w:val="bottom"/>
            <w:tcBorders>
              <w:bottom w:val="single" w:sz="8" w:color="auto"/>
            </w:tcBorders>
          </w:tcPr>
          <w:p>
            <w:pPr>
              <w:jc w:val="right"/>
              <w:ind w:right="76"/>
              <w:spacing w:after="0"/>
              <w:rPr>
                <w:sz w:val="20"/>
                <w:szCs w:val="20"/>
                <w:color w:val="auto"/>
              </w:rPr>
            </w:pPr>
            <w:r>
              <w:rPr>
                <w:rFonts w:ascii="Arial" w:cs="Arial" w:eastAsia="Arial" w:hAnsi="Arial"/>
                <w:sz w:val="13"/>
                <w:szCs w:val="13"/>
                <w:b w:val="1"/>
                <w:bCs w:val="1"/>
                <w:color w:val="auto"/>
              </w:rPr>
              <w:t>Net Amount</w:t>
            </w:r>
          </w:p>
        </w:tc>
        <w:tc>
          <w:tcPr>
            <w:tcW w:w="120" w:type="dxa"/>
            <w:vAlign w:val="bottom"/>
            <w:tcBorders>
              <w:bottom w:val="single" w:sz="8" w:color="CCEEFF"/>
            </w:tcBorders>
          </w:tcPr>
          <w:p>
            <w:pPr>
              <w:spacing w:after="0"/>
              <w:rPr>
                <w:sz w:val="14"/>
                <w:szCs w:val="14"/>
                <w:color w:val="auto"/>
              </w:rPr>
            </w:pPr>
          </w:p>
        </w:tc>
        <w:tc>
          <w:tcPr>
            <w:tcW w:w="120" w:type="dxa"/>
            <w:vAlign w:val="bottom"/>
          </w:tcPr>
          <w:p>
            <w:pPr>
              <w:spacing w:after="0"/>
              <w:rPr>
                <w:sz w:val="14"/>
                <w:szCs w:val="14"/>
                <w:color w:val="auto"/>
              </w:rPr>
            </w:pPr>
          </w:p>
        </w:tc>
      </w:tr>
      <w:tr>
        <w:trPr>
          <w:trHeight w:val="154"/>
        </w:trPr>
        <w:tc>
          <w:tcPr>
            <w:tcW w:w="220" w:type="dxa"/>
            <w:vAlign w:val="bottom"/>
          </w:tcPr>
          <w:p>
            <w:pPr>
              <w:spacing w:after="0"/>
              <w:rPr>
                <w:sz w:val="13"/>
                <w:szCs w:val="13"/>
                <w:color w:val="auto"/>
              </w:rPr>
            </w:pPr>
          </w:p>
        </w:tc>
        <w:tc>
          <w:tcPr>
            <w:tcW w:w="2580" w:type="dxa"/>
            <w:vAlign w:val="bottom"/>
            <w:shd w:val="clear" w:color="auto" w:fill="CCEEFF"/>
          </w:tcPr>
          <w:p>
            <w:pPr>
              <w:spacing w:after="0"/>
              <w:rPr>
                <w:sz w:val="20"/>
                <w:szCs w:val="20"/>
                <w:color w:val="auto"/>
              </w:rPr>
            </w:pPr>
            <w:r>
              <w:rPr>
                <w:rFonts w:ascii="Arial" w:cs="Arial" w:eastAsia="Arial" w:hAnsi="Arial"/>
                <w:sz w:val="13"/>
                <w:szCs w:val="13"/>
                <w:color w:val="auto"/>
                <w:w w:val="91"/>
              </w:rPr>
              <w:t>Derivative financial instruments used for hedging</w:t>
            </w:r>
          </w:p>
        </w:tc>
        <w:tc>
          <w:tcPr>
            <w:tcW w:w="1220" w:type="dxa"/>
            <w:vAlign w:val="bottom"/>
            <w:shd w:val="clear" w:color="auto" w:fill="CCEEFF"/>
          </w:tcPr>
          <w:p>
            <w:pPr>
              <w:ind w:left="40"/>
              <w:spacing w:after="0"/>
              <w:rPr>
                <w:sz w:val="20"/>
                <w:szCs w:val="20"/>
                <w:color w:val="auto"/>
              </w:rPr>
            </w:pPr>
            <w:r>
              <w:rPr>
                <w:rFonts w:ascii="Arial" w:cs="Arial" w:eastAsia="Arial" w:hAnsi="Arial"/>
                <w:sz w:val="13"/>
                <w:szCs w:val="13"/>
                <w:color w:val="auto"/>
              </w:rPr>
              <w:t>at fair value</w:t>
            </w:r>
          </w:p>
        </w:tc>
        <w:tc>
          <w:tcPr>
            <w:tcW w:w="120" w:type="dxa"/>
            <w:vAlign w:val="bottom"/>
            <w:shd w:val="clear" w:color="auto" w:fill="CCEEFF"/>
          </w:tcPr>
          <w:p>
            <w:pPr>
              <w:spacing w:after="0"/>
              <w:rPr>
                <w:sz w:val="13"/>
                <w:szCs w:val="13"/>
                <w:color w:val="auto"/>
              </w:rPr>
            </w:pPr>
          </w:p>
        </w:tc>
        <w:tc>
          <w:tcPr>
            <w:tcW w:w="10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2,688</w:t>
            </w:r>
          </w:p>
        </w:tc>
        <w:tc>
          <w:tcPr>
            <w:tcW w:w="80" w:type="dxa"/>
            <w:vAlign w:val="bottom"/>
            <w:shd w:val="clear" w:color="auto" w:fill="CCEEFF"/>
          </w:tcPr>
          <w:p>
            <w:pPr>
              <w:spacing w:after="0"/>
              <w:rPr>
                <w:sz w:val="13"/>
                <w:szCs w:val="13"/>
                <w:color w:val="auto"/>
              </w:rPr>
            </w:pPr>
          </w:p>
        </w:tc>
        <w:tc>
          <w:tcPr>
            <w:tcW w:w="1400" w:type="dxa"/>
            <w:vAlign w:val="bottom"/>
            <w:gridSpan w:val="3"/>
            <w:shd w:val="clear" w:color="auto" w:fill="CCEEFF"/>
          </w:tcPr>
          <w:p>
            <w:pPr>
              <w:ind w:left="1120"/>
              <w:spacing w:after="0"/>
              <w:rPr>
                <w:sz w:val="20"/>
                <w:szCs w:val="20"/>
                <w:color w:val="auto"/>
              </w:rPr>
            </w:pPr>
            <w:r>
              <w:rPr>
                <w:rFonts w:ascii="Arial" w:cs="Arial" w:eastAsia="Arial" w:hAnsi="Arial"/>
                <w:sz w:val="13"/>
                <w:szCs w:val="13"/>
                <w:color w:val="auto"/>
              </w:rPr>
              <w:t>-</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2,688</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(1,496)</w:t>
            </w:r>
          </w:p>
        </w:tc>
        <w:tc>
          <w:tcPr>
            <w:tcW w:w="22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right"/>
              <w:ind w:right="56"/>
              <w:spacing w:after="0"/>
              <w:rPr>
                <w:sz w:val="20"/>
                <w:szCs w:val="20"/>
                <w:color w:val="auto"/>
              </w:rPr>
            </w:pPr>
            <w:r>
              <w:rPr>
                <w:rFonts w:ascii="Arial" w:cs="Arial" w:eastAsia="Arial" w:hAnsi="Arial"/>
                <w:sz w:val="13"/>
                <w:szCs w:val="13"/>
                <w:color w:val="auto"/>
              </w:rPr>
              <w:t>1,192</w:t>
            </w:r>
          </w:p>
        </w:tc>
        <w:tc>
          <w:tcPr>
            <w:tcW w:w="120" w:type="dxa"/>
            <w:vAlign w:val="bottom"/>
          </w:tcPr>
          <w:p>
            <w:pPr>
              <w:spacing w:after="0"/>
              <w:rPr>
                <w:sz w:val="13"/>
                <w:szCs w:val="13"/>
                <w:color w:val="auto"/>
              </w:rPr>
            </w:pPr>
          </w:p>
        </w:tc>
      </w:tr>
      <w:tr>
        <w:trPr>
          <w:trHeight w:val="162"/>
        </w:trPr>
        <w:tc>
          <w:tcPr>
            <w:tcW w:w="220" w:type="dxa"/>
            <w:vAlign w:val="bottom"/>
          </w:tcPr>
          <w:p>
            <w:pPr>
              <w:spacing w:after="0"/>
              <w:rPr>
                <w:sz w:val="14"/>
                <w:szCs w:val="14"/>
                <w:color w:val="auto"/>
              </w:rPr>
            </w:pPr>
          </w:p>
        </w:tc>
        <w:tc>
          <w:tcPr>
            <w:tcW w:w="2580" w:type="dxa"/>
            <w:vAlign w:val="bottom"/>
          </w:tcPr>
          <w:p>
            <w:pPr>
              <w:spacing w:after="0" w:line="143" w:lineRule="exact"/>
              <w:rPr>
                <w:sz w:val="20"/>
                <w:szCs w:val="20"/>
                <w:color w:val="auto"/>
              </w:rPr>
            </w:pPr>
            <w:r>
              <w:rPr>
                <w:rFonts w:ascii="Arial" w:cs="Arial" w:eastAsia="Arial" w:hAnsi="Arial"/>
                <w:sz w:val="13"/>
                <w:szCs w:val="13"/>
                <w:color w:val="auto"/>
              </w:rPr>
              <w:t>Total</w:t>
            </w:r>
          </w:p>
        </w:tc>
        <w:tc>
          <w:tcPr>
            <w:tcW w:w="12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2,688</w:t>
            </w:r>
          </w:p>
        </w:tc>
        <w:tc>
          <w:tcPr>
            <w:tcW w:w="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000" w:type="dxa"/>
            <w:vAlign w:val="bottom"/>
            <w:tcBorders>
              <w:top w:val="single" w:sz="8" w:color="auto"/>
              <w:bottom w:val="single" w:sz="8" w:color="auto"/>
            </w:tcBorders>
          </w:tcPr>
          <w:p>
            <w:pPr>
              <w:ind w:left="960"/>
              <w:spacing w:after="0"/>
              <w:rPr>
                <w:sz w:val="20"/>
                <w:szCs w:val="20"/>
                <w:color w:val="auto"/>
              </w:rPr>
            </w:pPr>
            <w:r>
              <w:rPr>
                <w:rFonts w:ascii="Arial" w:cs="Arial" w:eastAsia="Arial" w:hAnsi="Arial"/>
                <w:sz w:val="7"/>
                <w:szCs w:val="7"/>
                <w:b w:val="1"/>
                <w:bCs w:val="1"/>
                <w:color w:val="auto"/>
                <w:w w:val="83"/>
              </w:rPr>
              <w:t>-</w:t>
            </w:r>
          </w:p>
        </w:tc>
        <w:tc>
          <w:tcPr>
            <w:tcW w:w="240" w:type="dxa"/>
            <w:vAlign w:val="bottom"/>
          </w:tcPr>
          <w:p>
            <w:pPr>
              <w:spacing w:after="0"/>
              <w:rPr>
                <w:sz w:val="14"/>
                <w:szCs w:val="14"/>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2,688</w:t>
            </w:r>
          </w:p>
        </w:tc>
        <w:tc>
          <w:tcPr>
            <w:tcW w:w="220" w:type="dxa"/>
            <w:vAlign w:val="bottom"/>
          </w:tcPr>
          <w:p>
            <w:pPr>
              <w:spacing w:after="0"/>
              <w:rPr>
                <w:sz w:val="14"/>
                <w:szCs w:val="14"/>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w:t>
            </w:r>
          </w:p>
        </w:tc>
        <w:tc>
          <w:tcPr>
            <w:tcW w:w="220" w:type="dxa"/>
            <w:vAlign w:val="bottom"/>
          </w:tcPr>
          <w:p>
            <w:pPr>
              <w:spacing w:after="0"/>
              <w:rPr>
                <w:sz w:val="14"/>
                <w:szCs w:val="14"/>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(1,496</w:t>
            </w:r>
          </w:p>
        </w:tc>
        <w:tc>
          <w:tcPr>
            <w:tcW w:w="220" w:type="dxa"/>
            <w:vAlign w:val="bottom"/>
          </w:tcPr>
          <w:p>
            <w:pPr>
              <w:jc w:val="right"/>
              <w:ind w:right="143"/>
              <w:spacing w:after="0"/>
              <w:rPr>
                <w:sz w:val="20"/>
                <w:szCs w:val="20"/>
                <w:color w:val="auto"/>
              </w:rPr>
            </w:pPr>
            <w:r>
              <w:rPr>
                <w:rFonts w:ascii="Arial" w:cs="Arial" w:eastAsia="Arial" w:hAnsi="Arial"/>
                <w:sz w:val="7"/>
                <w:szCs w:val="7"/>
                <w:b w:val="1"/>
                <w:bCs w:val="1"/>
                <w:color w:val="auto"/>
                <w:w w:val="83"/>
              </w:rPr>
              <w:t>)</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1,192</w:t>
            </w:r>
          </w:p>
        </w:tc>
        <w:tc>
          <w:tcPr>
            <w:tcW w:w="120" w:type="dxa"/>
            <w:vAlign w:val="bottom"/>
          </w:tcPr>
          <w:p>
            <w:pPr>
              <w:spacing w:after="0"/>
              <w:rPr>
                <w:sz w:val="14"/>
                <w:szCs w:val="14"/>
                <w:color w:val="auto"/>
              </w:rPr>
            </w:pPr>
          </w:p>
        </w:tc>
        <w:tc>
          <w:tcPr>
            <w:tcW w:w="120" w:type="dxa"/>
            <w:vAlign w:val="bottom"/>
          </w:tcPr>
          <w:p>
            <w:pPr>
              <w:spacing w:after="0"/>
              <w:rPr>
                <w:sz w:val="14"/>
                <w:szCs w:val="14"/>
                <w:color w:val="auto"/>
              </w:rPr>
            </w:pPr>
          </w:p>
        </w:tc>
      </w:tr>
      <w:tr>
        <w:trPr>
          <w:trHeight w:val="308"/>
        </w:trPr>
        <w:tc>
          <w:tcPr>
            <w:tcW w:w="220" w:type="dxa"/>
            <w:vAlign w:val="bottom"/>
          </w:tcPr>
          <w:p>
            <w:pPr>
              <w:spacing w:after="0"/>
              <w:rPr>
                <w:sz w:val="24"/>
                <w:szCs w:val="24"/>
                <w:color w:val="auto"/>
              </w:rPr>
            </w:pPr>
          </w:p>
        </w:tc>
        <w:tc>
          <w:tcPr>
            <w:tcW w:w="258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gridSpan w:val="3"/>
          </w:tcPr>
          <w:p>
            <w:pPr>
              <w:ind w:left="60"/>
              <w:spacing w:after="0"/>
              <w:rPr>
                <w:sz w:val="20"/>
                <w:szCs w:val="20"/>
                <w:color w:val="auto"/>
              </w:rPr>
            </w:pPr>
            <w:r>
              <w:rPr>
                <w:rFonts w:ascii="Arial" w:cs="Arial" w:eastAsia="Arial" w:hAnsi="Arial"/>
                <w:sz w:val="13"/>
                <w:szCs w:val="13"/>
                <w:b w:val="1"/>
                <w:bCs w:val="1"/>
                <w:color w:val="auto"/>
              </w:rPr>
              <w:t>December 31, 2017</w:t>
            </w:r>
          </w:p>
        </w:tc>
        <w:tc>
          <w:tcPr>
            <w:tcW w:w="10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r>
      <w:tr>
        <w:trPr>
          <w:trHeight w:val="131"/>
        </w:trPr>
        <w:tc>
          <w:tcPr>
            <w:tcW w:w="220" w:type="dxa"/>
            <w:vAlign w:val="bottom"/>
          </w:tcPr>
          <w:p>
            <w:pPr>
              <w:spacing w:after="0"/>
              <w:rPr>
                <w:sz w:val="11"/>
                <w:szCs w:val="11"/>
                <w:color w:val="auto"/>
              </w:rPr>
            </w:pPr>
          </w:p>
        </w:tc>
        <w:tc>
          <w:tcPr>
            <w:tcW w:w="2580" w:type="dxa"/>
            <w:vAlign w:val="bottom"/>
          </w:tcPr>
          <w:p>
            <w:pPr>
              <w:spacing w:after="0"/>
              <w:rPr>
                <w:sz w:val="11"/>
                <w:szCs w:val="11"/>
                <w:color w:val="auto"/>
              </w:rPr>
            </w:pPr>
          </w:p>
        </w:tc>
        <w:tc>
          <w:tcPr>
            <w:tcW w:w="1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40" w:type="dxa"/>
            <w:vAlign w:val="bottom"/>
            <w:gridSpan w:val="2"/>
          </w:tcPr>
          <w:p>
            <w:pPr>
              <w:jc w:val="center"/>
              <w:ind w:right="260"/>
              <w:spacing w:after="0" w:line="131" w:lineRule="exact"/>
              <w:rPr>
                <w:sz w:val="20"/>
                <w:szCs w:val="20"/>
                <w:color w:val="auto"/>
              </w:rPr>
            </w:pPr>
            <w:r>
              <w:rPr>
                <w:rFonts w:ascii="Arial" w:cs="Arial" w:eastAsia="Arial" w:hAnsi="Arial"/>
                <w:sz w:val="13"/>
                <w:szCs w:val="13"/>
                <w:b w:val="1"/>
                <w:bCs w:val="1"/>
                <w:color w:val="auto"/>
                <w:w w:val="92"/>
              </w:rPr>
              <w:t>Net amount</w:t>
            </w:r>
          </w:p>
        </w:tc>
        <w:tc>
          <w:tcPr>
            <w:tcW w:w="9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r>
      <w:tr>
        <w:trPr>
          <w:trHeight w:val="154"/>
        </w:trPr>
        <w:tc>
          <w:tcPr>
            <w:tcW w:w="220" w:type="dxa"/>
            <w:vAlign w:val="bottom"/>
          </w:tcPr>
          <w:p>
            <w:pPr>
              <w:spacing w:after="0"/>
              <w:rPr>
                <w:sz w:val="13"/>
                <w:szCs w:val="13"/>
                <w:color w:val="auto"/>
              </w:rPr>
            </w:pPr>
          </w:p>
        </w:tc>
        <w:tc>
          <w:tcPr>
            <w:tcW w:w="258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240" w:type="dxa"/>
            <w:vAlign w:val="bottom"/>
            <w:gridSpan w:val="2"/>
          </w:tcPr>
          <w:p>
            <w:pPr>
              <w:jc w:val="center"/>
              <w:ind w:right="280"/>
              <w:spacing w:after="0"/>
              <w:rPr>
                <w:sz w:val="20"/>
                <w:szCs w:val="20"/>
                <w:color w:val="auto"/>
              </w:rPr>
            </w:pPr>
            <w:r>
              <w:rPr>
                <w:rFonts w:ascii="Arial" w:cs="Arial" w:eastAsia="Arial" w:hAnsi="Arial"/>
                <w:sz w:val="13"/>
                <w:szCs w:val="13"/>
                <w:b w:val="1"/>
                <w:bCs w:val="1"/>
                <w:color w:val="auto"/>
                <w:w w:val="85"/>
              </w:rPr>
              <w:t>Gross</w:t>
            </w:r>
          </w:p>
        </w:tc>
        <w:tc>
          <w:tcPr>
            <w:tcW w:w="124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1"/>
              </w:rPr>
              <w:t>of assets</w:t>
            </w:r>
          </w:p>
        </w:tc>
        <w:tc>
          <w:tcPr>
            <w:tcW w:w="2400" w:type="dxa"/>
            <w:vAlign w:val="bottom"/>
            <w:gridSpan w:val="4"/>
          </w:tcPr>
          <w:p>
            <w:pPr>
              <w:jc w:val="center"/>
              <w:ind w:right="183"/>
              <w:spacing w:after="0"/>
              <w:rPr>
                <w:sz w:val="20"/>
                <w:szCs w:val="20"/>
                <w:color w:val="auto"/>
              </w:rPr>
            </w:pPr>
            <w:r>
              <w:rPr>
                <w:rFonts w:ascii="Arial" w:cs="Arial" w:eastAsia="Arial" w:hAnsi="Arial"/>
                <w:sz w:val="13"/>
                <w:szCs w:val="13"/>
                <w:b w:val="1"/>
                <w:bCs w:val="1"/>
                <w:color w:val="auto"/>
                <w:w w:val="86"/>
              </w:rPr>
              <w:t>Gross amounts not offset in</w:t>
            </w:r>
          </w:p>
        </w:tc>
        <w:tc>
          <w:tcPr>
            <w:tcW w:w="9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258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24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8"/>
              </w:rPr>
              <w:t>amounts</w:t>
            </w:r>
          </w:p>
        </w:tc>
        <w:tc>
          <w:tcPr>
            <w:tcW w:w="1240" w:type="dxa"/>
            <w:vAlign w:val="bottom"/>
            <w:gridSpan w:val="2"/>
          </w:tcPr>
          <w:p>
            <w:pPr>
              <w:jc w:val="center"/>
              <w:ind w:right="260"/>
              <w:spacing w:after="0"/>
              <w:rPr>
                <w:sz w:val="20"/>
                <w:szCs w:val="20"/>
                <w:color w:val="auto"/>
              </w:rPr>
            </w:pPr>
            <w:r>
              <w:rPr>
                <w:rFonts w:ascii="Arial" w:cs="Arial" w:eastAsia="Arial" w:hAnsi="Arial"/>
                <w:sz w:val="13"/>
                <w:szCs w:val="13"/>
                <w:b w:val="1"/>
                <w:bCs w:val="1"/>
                <w:color w:val="auto"/>
                <w:w w:val="86"/>
              </w:rPr>
              <w:t>presented</w:t>
            </w:r>
          </w:p>
        </w:tc>
        <w:tc>
          <w:tcPr>
            <w:tcW w:w="2400" w:type="dxa"/>
            <w:vAlign w:val="bottom"/>
            <w:gridSpan w:val="4"/>
          </w:tcPr>
          <w:p>
            <w:pPr>
              <w:jc w:val="center"/>
              <w:ind w:right="223"/>
              <w:spacing w:after="0"/>
              <w:rPr>
                <w:sz w:val="20"/>
                <w:szCs w:val="20"/>
                <w:color w:val="auto"/>
              </w:rPr>
            </w:pPr>
            <w:r>
              <w:rPr>
                <w:rFonts w:ascii="Arial" w:cs="Arial" w:eastAsia="Arial" w:hAnsi="Arial"/>
                <w:sz w:val="13"/>
                <w:szCs w:val="13"/>
                <w:b w:val="1"/>
                <w:bCs w:val="1"/>
                <w:color w:val="auto"/>
                <w:w w:val="85"/>
              </w:rPr>
              <w:t>the consolidated statement of</w:t>
            </w:r>
          </w:p>
        </w:tc>
        <w:tc>
          <w:tcPr>
            <w:tcW w:w="9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66"/>
        </w:trPr>
        <w:tc>
          <w:tcPr>
            <w:tcW w:w="220" w:type="dxa"/>
            <w:vAlign w:val="bottom"/>
          </w:tcPr>
          <w:p>
            <w:pPr>
              <w:spacing w:after="0"/>
              <w:rPr>
                <w:sz w:val="14"/>
                <w:szCs w:val="14"/>
                <w:color w:val="auto"/>
              </w:rPr>
            </w:pPr>
          </w:p>
        </w:tc>
        <w:tc>
          <w:tcPr>
            <w:tcW w:w="2580" w:type="dxa"/>
            <w:vAlign w:val="bottom"/>
          </w:tcPr>
          <w:p>
            <w:pPr>
              <w:spacing w:after="0"/>
              <w:rPr>
                <w:sz w:val="14"/>
                <w:szCs w:val="14"/>
                <w:color w:val="auto"/>
              </w:rPr>
            </w:pPr>
          </w:p>
        </w:tc>
        <w:tc>
          <w:tcPr>
            <w:tcW w:w="12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24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6"/>
              </w:rPr>
              <w:t>offset in the</w:t>
            </w:r>
          </w:p>
        </w:tc>
        <w:tc>
          <w:tcPr>
            <w:tcW w:w="124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2"/>
              </w:rPr>
              <w:t>in the</w:t>
            </w:r>
          </w:p>
        </w:tc>
        <w:tc>
          <w:tcPr>
            <w:tcW w:w="2400" w:type="dxa"/>
            <w:vAlign w:val="bottom"/>
            <w:gridSpan w:val="4"/>
          </w:tcPr>
          <w:p>
            <w:pPr>
              <w:jc w:val="center"/>
              <w:ind w:right="183"/>
              <w:spacing w:after="0"/>
              <w:rPr>
                <w:sz w:val="20"/>
                <w:szCs w:val="20"/>
                <w:color w:val="auto"/>
              </w:rPr>
            </w:pPr>
            <w:r>
              <w:rPr>
                <w:rFonts w:ascii="Arial" w:cs="Arial" w:eastAsia="Arial" w:hAnsi="Arial"/>
                <w:sz w:val="13"/>
                <w:szCs w:val="13"/>
                <w:b w:val="1"/>
                <w:bCs w:val="1"/>
                <w:color w:val="auto"/>
                <w:w w:val="87"/>
              </w:rPr>
              <w:t>financial position</w:t>
            </w:r>
          </w:p>
        </w:tc>
        <w:tc>
          <w:tcPr>
            <w:tcW w:w="9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20" w:type="dxa"/>
            <w:vAlign w:val="bottom"/>
          </w:tcPr>
          <w:p>
            <w:pPr>
              <w:spacing w:after="0"/>
              <w:rPr>
                <w:sz w:val="14"/>
                <w:szCs w:val="14"/>
                <w:color w:val="auto"/>
              </w:rPr>
            </w:pPr>
          </w:p>
        </w:tc>
      </w:tr>
      <w:tr>
        <w:trPr>
          <w:trHeight w:val="122"/>
        </w:trPr>
        <w:tc>
          <w:tcPr>
            <w:tcW w:w="220" w:type="dxa"/>
            <w:vAlign w:val="bottom"/>
          </w:tcPr>
          <w:p>
            <w:pPr>
              <w:spacing w:after="0"/>
              <w:rPr>
                <w:sz w:val="10"/>
                <w:szCs w:val="10"/>
                <w:color w:val="auto"/>
              </w:rPr>
            </w:pPr>
          </w:p>
        </w:tc>
        <w:tc>
          <w:tcPr>
            <w:tcW w:w="2580" w:type="dxa"/>
            <w:vAlign w:val="bottom"/>
          </w:tcPr>
          <w:p>
            <w:pPr>
              <w:spacing w:after="0"/>
              <w:rPr>
                <w:sz w:val="10"/>
                <w:szCs w:val="10"/>
                <w:color w:val="auto"/>
              </w:rPr>
            </w:pPr>
          </w:p>
        </w:tc>
        <w:tc>
          <w:tcPr>
            <w:tcW w:w="12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0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1240" w:type="dxa"/>
            <w:vAlign w:val="bottom"/>
            <w:gridSpan w:val="2"/>
          </w:tcPr>
          <w:p>
            <w:pPr>
              <w:jc w:val="center"/>
              <w:ind w:right="240"/>
              <w:spacing w:after="0" w:line="122" w:lineRule="exact"/>
              <w:rPr>
                <w:sz w:val="20"/>
                <w:szCs w:val="20"/>
                <w:color w:val="auto"/>
              </w:rPr>
            </w:pPr>
            <w:r>
              <w:rPr>
                <w:rFonts w:ascii="Arial" w:cs="Arial" w:eastAsia="Arial" w:hAnsi="Arial"/>
                <w:sz w:val="13"/>
                <w:szCs w:val="13"/>
                <w:b w:val="1"/>
                <w:bCs w:val="1"/>
                <w:color w:val="auto"/>
                <w:w w:val="84"/>
              </w:rPr>
              <w:t>consolidated</w:t>
            </w:r>
          </w:p>
        </w:tc>
        <w:tc>
          <w:tcPr>
            <w:tcW w:w="1240" w:type="dxa"/>
            <w:vAlign w:val="bottom"/>
            <w:gridSpan w:val="2"/>
          </w:tcPr>
          <w:p>
            <w:pPr>
              <w:jc w:val="center"/>
              <w:ind w:right="260"/>
              <w:spacing w:after="0" w:line="122" w:lineRule="exact"/>
              <w:rPr>
                <w:sz w:val="20"/>
                <w:szCs w:val="20"/>
                <w:color w:val="auto"/>
              </w:rPr>
            </w:pPr>
            <w:r>
              <w:rPr>
                <w:rFonts w:ascii="Arial" w:cs="Arial" w:eastAsia="Arial" w:hAnsi="Arial"/>
                <w:sz w:val="13"/>
                <w:szCs w:val="13"/>
                <w:b w:val="1"/>
                <w:bCs w:val="1"/>
                <w:color w:val="auto"/>
                <w:w w:val="87"/>
              </w:rPr>
              <w:t>consolidated</w:t>
            </w:r>
          </w:p>
        </w:tc>
        <w:tc>
          <w:tcPr>
            <w:tcW w:w="980" w:type="dxa"/>
            <w:vAlign w:val="bottom"/>
            <w:tcBorders>
              <w:top w:val="single" w:sz="8" w:color="auto"/>
            </w:tcBorders>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980" w:type="dxa"/>
            <w:vAlign w:val="bottom"/>
            <w:tcBorders>
              <w:top w:val="single" w:sz="8" w:color="auto"/>
            </w:tcBorders>
          </w:tcPr>
          <w:p>
            <w:pPr>
              <w:spacing w:after="0"/>
              <w:rPr>
                <w:sz w:val="10"/>
                <w:szCs w:val="10"/>
                <w:color w:val="auto"/>
              </w:rPr>
            </w:pPr>
          </w:p>
        </w:tc>
        <w:tc>
          <w:tcPr>
            <w:tcW w:w="220" w:type="dxa"/>
            <w:vAlign w:val="bottom"/>
          </w:tcPr>
          <w:p>
            <w:pPr>
              <w:spacing w:after="0"/>
              <w:rPr>
                <w:sz w:val="10"/>
                <w:szCs w:val="10"/>
                <w:color w:val="auto"/>
              </w:rPr>
            </w:pPr>
          </w:p>
        </w:tc>
        <w:tc>
          <w:tcPr>
            <w:tcW w:w="9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20" w:type="dxa"/>
            <w:vAlign w:val="bottom"/>
          </w:tcPr>
          <w:p>
            <w:pPr>
              <w:spacing w:after="0"/>
              <w:rPr>
                <w:sz w:val="10"/>
                <w:szCs w:val="10"/>
                <w:color w:val="auto"/>
              </w:rPr>
            </w:pPr>
          </w:p>
        </w:tc>
      </w:tr>
      <w:tr>
        <w:trPr>
          <w:trHeight w:val="154"/>
        </w:trPr>
        <w:tc>
          <w:tcPr>
            <w:tcW w:w="220" w:type="dxa"/>
            <w:vAlign w:val="bottom"/>
          </w:tcPr>
          <w:p>
            <w:pPr>
              <w:spacing w:after="0"/>
              <w:rPr>
                <w:sz w:val="13"/>
                <w:szCs w:val="13"/>
                <w:color w:val="auto"/>
              </w:rPr>
            </w:pPr>
          </w:p>
        </w:tc>
        <w:tc>
          <w:tcPr>
            <w:tcW w:w="258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80" w:type="dxa"/>
            <w:vAlign w:val="bottom"/>
            <w:gridSpan w:val="2"/>
          </w:tcPr>
          <w:p>
            <w:pPr>
              <w:jc w:val="center"/>
              <w:ind w:right="120"/>
              <w:spacing w:after="0"/>
              <w:rPr>
                <w:sz w:val="20"/>
                <w:szCs w:val="20"/>
                <w:color w:val="auto"/>
              </w:rPr>
            </w:pPr>
            <w:r>
              <w:rPr>
                <w:rFonts w:ascii="Arial" w:cs="Arial" w:eastAsia="Arial" w:hAnsi="Arial"/>
                <w:sz w:val="13"/>
                <w:szCs w:val="13"/>
                <w:b w:val="1"/>
                <w:bCs w:val="1"/>
                <w:color w:val="auto"/>
                <w:w w:val="85"/>
              </w:rPr>
              <w:t>Gross</w:t>
            </w:r>
          </w:p>
        </w:tc>
        <w:tc>
          <w:tcPr>
            <w:tcW w:w="160" w:type="dxa"/>
            <w:vAlign w:val="bottom"/>
          </w:tcPr>
          <w:p>
            <w:pPr>
              <w:spacing w:after="0"/>
              <w:rPr>
                <w:sz w:val="13"/>
                <w:szCs w:val="13"/>
                <w:color w:val="auto"/>
              </w:rPr>
            </w:pPr>
          </w:p>
        </w:tc>
        <w:tc>
          <w:tcPr>
            <w:tcW w:w="124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7"/>
              </w:rPr>
              <w:t>statement of</w:t>
            </w:r>
          </w:p>
        </w:tc>
        <w:tc>
          <w:tcPr>
            <w:tcW w:w="1240" w:type="dxa"/>
            <w:vAlign w:val="bottom"/>
            <w:gridSpan w:val="2"/>
          </w:tcPr>
          <w:p>
            <w:pPr>
              <w:jc w:val="center"/>
              <w:ind w:right="260"/>
              <w:spacing w:after="0"/>
              <w:rPr>
                <w:sz w:val="20"/>
                <w:szCs w:val="20"/>
                <w:color w:val="auto"/>
              </w:rPr>
            </w:pPr>
            <w:r>
              <w:rPr>
                <w:rFonts w:ascii="Arial" w:cs="Arial" w:eastAsia="Arial" w:hAnsi="Arial"/>
                <w:sz w:val="13"/>
                <w:szCs w:val="13"/>
                <w:b w:val="1"/>
                <w:bCs w:val="1"/>
                <w:color w:val="auto"/>
                <w:w w:val="85"/>
              </w:rPr>
              <w:t>statement of</w:t>
            </w:r>
          </w:p>
        </w:tc>
        <w:tc>
          <w:tcPr>
            <w:tcW w:w="9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gridSpan w:val="2"/>
          </w:tcPr>
          <w:p>
            <w:pPr>
              <w:jc w:val="center"/>
              <w:ind w:right="203"/>
              <w:spacing w:after="0"/>
              <w:rPr>
                <w:sz w:val="20"/>
                <w:szCs w:val="20"/>
                <w:color w:val="auto"/>
              </w:rPr>
            </w:pPr>
            <w:r>
              <w:rPr>
                <w:rFonts w:ascii="Arial" w:cs="Arial" w:eastAsia="Arial" w:hAnsi="Arial"/>
                <w:sz w:val="13"/>
                <w:szCs w:val="13"/>
                <w:b w:val="1"/>
                <w:bCs w:val="1"/>
                <w:color w:val="auto"/>
                <w:w w:val="87"/>
              </w:rPr>
              <w:t>Cash</w:t>
            </w:r>
          </w:p>
        </w:tc>
        <w:tc>
          <w:tcPr>
            <w:tcW w:w="9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258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80" w:type="dxa"/>
            <w:vAlign w:val="bottom"/>
            <w:gridSpan w:val="2"/>
          </w:tcPr>
          <w:p>
            <w:pPr>
              <w:jc w:val="center"/>
              <w:ind w:right="80"/>
              <w:spacing w:after="0"/>
              <w:rPr>
                <w:sz w:val="20"/>
                <w:szCs w:val="20"/>
                <w:color w:val="auto"/>
              </w:rPr>
            </w:pPr>
            <w:r>
              <w:rPr>
                <w:rFonts w:ascii="Arial" w:cs="Arial" w:eastAsia="Arial" w:hAnsi="Arial"/>
                <w:sz w:val="13"/>
                <w:szCs w:val="13"/>
                <w:b w:val="1"/>
                <w:bCs w:val="1"/>
                <w:color w:val="auto"/>
                <w:w w:val="85"/>
              </w:rPr>
              <w:t>amounts of</w:t>
            </w:r>
          </w:p>
        </w:tc>
        <w:tc>
          <w:tcPr>
            <w:tcW w:w="160" w:type="dxa"/>
            <w:vAlign w:val="bottom"/>
          </w:tcPr>
          <w:p>
            <w:pPr>
              <w:spacing w:after="0"/>
              <w:rPr>
                <w:sz w:val="13"/>
                <w:szCs w:val="13"/>
                <w:color w:val="auto"/>
              </w:rPr>
            </w:pPr>
          </w:p>
        </w:tc>
        <w:tc>
          <w:tcPr>
            <w:tcW w:w="124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0"/>
              </w:rPr>
              <w:t>financial</w:t>
            </w:r>
          </w:p>
        </w:tc>
        <w:tc>
          <w:tcPr>
            <w:tcW w:w="124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0"/>
              </w:rPr>
              <w:t>financial</w:t>
            </w:r>
          </w:p>
        </w:tc>
        <w:tc>
          <w:tcPr>
            <w:tcW w:w="12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8"/>
              </w:rPr>
              <w:t>Financial</w:t>
            </w:r>
          </w:p>
        </w:tc>
        <w:tc>
          <w:tcPr>
            <w:tcW w:w="1200" w:type="dxa"/>
            <w:vAlign w:val="bottom"/>
            <w:gridSpan w:val="2"/>
          </w:tcPr>
          <w:p>
            <w:pPr>
              <w:jc w:val="center"/>
              <w:ind w:right="183"/>
              <w:spacing w:after="0"/>
              <w:rPr>
                <w:sz w:val="20"/>
                <w:szCs w:val="20"/>
                <w:color w:val="auto"/>
              </w:rPr>
            </w:pPr>
            <w:r>
              <w:rPr>
                <w:rFonts w:ascii="Arial" w:cs="Arial" w:eastAsia="Arial" w:hAnsi="Arial"/>
                <w:sz w:val="13"/>
                <w:szCs w:val="13"/>
                <w:b w:val="1"/>
                <w:bCs w:val="1"/>
                <w:color w:val="auto"/>
                <w:w w:val="87"/>
              </w:rPr>
              <w:t>collateral</w:t>
            </w:r>
          </w:p>
        </w:tc>
        <w:tc>
          <w:tcPr>
            <w:tcW w:w="9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67"/>
        </w:trPr>
        <w:tc>
          <w:tcPr>
            <w:tcW w:w="220" w:type="dxa"/>
            <w:vAlign w:val="bottom"/>
          </w:tcPr>
          <w:p>
            <w:pPr>
              <w:spacing w:after="0"/>
              <w:rPr>
                <w:sz w:val="14"/>
                <w:szCs w:val="14"/>
                <w:color w:val="auto"/>
              </w:rPr>
            </w:pPr>
          </w:p>
        </w:tc>
        <w:tc>
          <w:tcPr>
            <w:tcW w:w="2580" w:type="dxa"/>
            <w:vAlign w:val="bottom"/>
            <w:tcBorders>
              <w:bottom w:val="single" w:sz="8" w:color="auto"/>
            </w:tcBorders>
          </w:tcPr>
          <w:p>
            <w:pPr>
              <w:spacing w:after="0"/>
              <w:rPr>
                <w:sz w:val="20"/>
                <w:szCs w:val="20"/>
                <w:color w:val="auto"/>
              </w:rPr>
            </w:pPr>
            <w:r>
              <w:rPr>
                <w:rFonts w:ascii="Arial" w:cs="Arial" w:eastAsia="Arial" w:hAnsi="Arial"/>
                <w:sz w:val="13"/>
                <w:szCs w:val="13"/>
                <w:b w:val="1"/>
                <w:bCs w:val="1"/>
                <w:color w:val="auto"/>
              </w:rPr>
              <w:t>Description</w:t>
            </w:r>
          </w:p>
        </w:tc>
        <w:tc>
          <w:tcPr>
            <w:tcW w:w="1220" w:type="dxa"/>
            <w:vAlign w:val="bottom"/>
            <w:tcBorders>
              <w:bottom w:val="single" w:sz="8" w:color="auto"/>
            </w:tcBorders>
          </w:tcPr>
          <w:p>
            <w:pPr>
              <w:spacing w:after="0"/>
              <w:rPr>
                <w:sz w:val="14"/>
                <w:szCs w:val="14"/>
                <w:color w:val="auto"/>
              </w:rPr>
            </w:pPr>
          </w:p>
        </w:tc>
        <w:tc>
          <w:tcPr>
            <w:tcW w:w="120" w:type="dxa"/>
            <w:vAlign w:val="bottom"/>
            <w:tcBorders>
              <w:bottom w:val="single" w:sz="8" w:color="CCEEFF"/>
            </w:tcBorders>
          </w:tcPr>
          <w:p>
            <w:pPr>
              <w:spacing w:after="0"/>
              <w:rPr>
                <w:sz w:val="14"/>
                <w:szCs w:val="14"/>
                <w:color w:val="auto"/>
              </w:rPr>
            </w:pPr>
          </w:p>
        </w:tc>
        <w:tc>
          <w:tcPr>
            <w:tcW w:w="100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78"/>
              </w:rPr>
              <w:t>assets</w:t>
            </w:r>
          </w:p>
        </w:tc>
        <w:tc>
          <w:tcPr>
            <w:tcW w:w="80" w:type="dxa"/>
            <w:vAlign w:val="bottom"/>
            <w:tcBorders>
              <w:bottom w:val="single" w:sz="8" w:color="CCEEFF"/>
            </w:tcBorders>
          </w:tcPr>
          <w:p>
            <w:pPr>
              <w:spacing w:after="0"/>
              <w:rPr>
                <w:sz w:val="14"/>
                <w:szCs w:val="14"/>
                <w:color w:val="auto"/>
              </w:rPr>
            </w:pPr>
          </w:p>
        </w:tc>
        <w:tc>
          <w:tcPr>
            <w:tcW w:w="160" w:type="dxa"/>
            <w:vAlign w:val="bottom"/>
            <w:tcBorders>
              <w:bottom w:val="single" w:sz="8" w:color="CCEEFF"/>
            </w:tcBorders>
          </w:tcPr>
          <w:p>
            <w:pPr>
              <w:spacing w:after="0"/>
              <w:rPr>
                <w:sz w:val="14"/>
                <w:szCs w:val="14"/>
                <w:color w:val="auto"/>
              </w:rPr>
            </w:pPr>
          </w:p>
        </w:tc>
        <w:tc>
          <w:tcPr>
            <w:tcW w:w="100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6"/>
              </w:rPr>
              <w:t>position</w:t>
            </w:r>
          </w:p>
        </w:tc>
        <w:tc>
          <w:tcPr>
            <w:tcW w:w="240" w:type="dxa"/>
            <w:vAlign w:val="bottom"/>
            <w:tcBorders>
              <w:bottom w:val="single" w:sz="8" w:color="CCEEFF"/>
            </w:tcBorders>
          </w:tcPr>
          <w:p>
            <w:pPr>
              <w:spacing w:after="0"/>
              <w:rPr>
                <w:sz w:val="14"/>
                <w:szCs w:val="14"/>
                <w:color w:val="auto"/>
              </w:rPr>
            </w:pPr>
          </w:p>
        </w:tc>
        <w:tc>
          <w:tcPr>
            <w:tcW w:w="102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6"/>
              </w:rPr>
              <w:t>position</w:t>
            </w:r>
          </w:p>
        </w:tc>
        <w:tc>
          <w:tcPr>
            <w:tcW w:w="220" w:type="dxa"/>
            <w:vAlign w:val="bottom"/>
            <w:tcBorders>
              <w:bottom w:val="single" w:sz="8" w:color="CCEEFF"/>
            </w:tcBorders>
          </w:tcPr>
          <w:p>
            <w:pPr>
              <w:spacing w:after="0"/>
              <w:rPr>
                <w:sz w:val="14"/>
                <w:szCs w:val="14"/>
                <w:color w:val="auto"/>
              </w:rPr>
            </w:pPr>
          </w:p>
        </w:tc>
        <w:tc>
          <w:tcPr>
            <w:tcW w:w="98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8"/>
              </w:rPr>
              <w:t>instruments</w:t>
            </w:r>
          </w:p>
        </w:tc>
        <w:tc>
          <w:tcPr>
            <w:tcW w:w="220" w:type="dxa"/>
            <w:vAlign w:val="bottom"/>
            <w:tcBorders>
              <w:bottom w:val="single" w:sz="8" w:color="CCEEFF"/>
            </w:tcBorders>
          </w:tcPr>
          <w:p>
            <w:pPr>
              <w:spacing w:after="0"/>
              <w:rPr>
                <w:sz w:val="14"/>
                <w:szCs w:val="14"/>
                <w:color w:val="auto"/>
              </w:rPr>
            </w:pPr>
          </w:p>
        </w:tc>
        <w:tc>
          <w:tcPr>
            <w:tcW w:w="98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7"/>
              </w:rPr>
              <w:t>received</w:t>
            </w:r>
          </w:p>
        </w:tc>
        <w:tc>
          <w:tcPr>
            <w:tcW w:w="220" w:type="dxa"/>
            <w:vAlign w:val="bottom"/>
            <w:tcBorders>
              <w:bottom w:val="single" w:sz="8" w:color="CCEEFF"/>
            </w:tcBorders>
          </w:tcPr>
          <w:p>
            <w:pPr>
              <w:spacing w:after="0"/>
              <w:rPr>
                <w:sz w:val="14"/>
                <w:szCs w:val="14"/>
                <w:color w:val="auto"/>
              </w:rPr>
            </w:pPr>
          </w:p>
        </w:tc>
        <w:tc>
          <w:tcPr>
            <w:tcW w:w="980" w:type="dxa"/>
            <w:vAlign w:val="bottom"/>
            <w:tcBorders>
              <w:bottom w:val="single" w:sz="8" w:color="auto"/>
            </w:tcBorders>
          </w:tcPr>
          <w:p>
            <w:pPr>
              <w:jc w:val="right"/>
              <w:ind w:right="76"/>
              <w:spacing w:after="0"/>
              <w:rPr>
                <w:sz w:val="20"/>
                <w:szCs w:val="20"/>
                <w:color w:val="auto"/>
              </w:rPr>
            </w:pPr>
            <w:r>
              <w:rPr>
                <w:rFonts w:ascii="Arial" w:cs="Arial" w:eastAsia="Arial" w:hAnsi="Arial"/>
                <w:sz w:val="13"/>
                <w:szCs w:val="13"/>
                <w:b w:val="1"/>
                <w:bCs w:val="1"/>
                <w:color w:val="auto"/>
              </w:rPr>
              <w:t>Net Amount</w:t>
            </w:r>
          </w:p>
        </w:tc>
        <w:tc>
          <w:tcPr>
            <w:tcW w:w="120" w:type="dxa"/>
            <w:vAlign w:val="bottom"/>
            <w:tcBorders>
              <w:bottom w:val="single" w:sz="8" w:color="CCEEFF"/>
            </w:tcBorders>
          </w:tcPr>
          <w:p>
            <w:pPr>
              <w:spacing w:after="0"/>
              <w:rPr>
                <w:sz w:val="14"/>
                <w:szCs w:val="14"/>
                <w:color w:val="auto"/>
              </w:rPr>
            </w:pPr>
          </w:p>
        </w:tc>
        <w:tc>
          <w:tcPr>
            <w:tcW w:w="120" w:type="dxa"/>
            <w:vAlign w:val="bottom"/>
          </w:tcPr>
          <w:p>
            <w:pPr>
              <w:spacing w:after="0"/>
              <w:rPr>
                <w:sz w:val="14"/>
                <w:szCs w:val="14"/>
                <w:color w:val="auto"/>
              </w:rPr>
            </w:pPr>
          </w:p>
        </w:tc>
      </w:tr>
      <w:tr>
        <w:trPr>
          <w:trHeight w:val="154"/>
        </w:trPr>
        <w:tc>
          <w:tcPr>
            <w:tcW w:w="220" w:type="dxa"/>
            <w:vAlign w:val="bottom"/>
          </w:tcPr>
          <w:p>
            <w:pPr>
              <w:spacing w:after="0"/>
              <w:rPr>
                <w:sz w:val="13"/>
                <w:szCs w:val="13"/>
                <w:color w:val="auto"/>
              </w:rPr>
            </w:pPr>
          </w:p>
        </w:tc>
        <w:tc>
          <w:tcPr>
            <w:tcW w:w="2580" w:type="dxa"/>
            <w:vAlign w:val="bottom"/>
            <w:shd w:val="clear" w:color="auto" w:fill="CCEEFF"/>
          </w:tcPr>
          <w:p>
            <w:pPr>
              <w:spacing w:after="0"/>
              <w:rPr>
                <w:sz w:val="20"/>
                <w:szCs w:val="20"/>
                <w:color w:val="auto"/>
              </w:rPr>
            </w:pPr>
            <w:r>
              <w:rPr>
                <w:rFonts w:ascii="Arial" w:cs="Arial" w:eastAsia="Arial" w:hAnsi="Arial"/>
                <w:sz w:val="13"/>
                <w:szCs w:val="13"/>
                <w:color w:val="auto"/>
                <w:w w:val="91"/>
              </w:rPr>
              <w:t>Derivative financial instruments used for hedging</w:t>
            </w:r>
          </w:p>
        </w:tc>
        <w:tc>
          <w:tcPr>
            <w:tcW w:w="1220" w:type="dxa"/>
            <w:vAlign w:val="bottom"/>
            <w:shd w:val="clear" w:color="auto" w:fill="CCEEFF"/>
          </w:tcPr>
          <w:p>
            <w:pPr>
              <w:ind w:left="40"/>
              <w:spacing w:after="0"/>
              <w:rPr>
                <w:sz w:val="20"/>
                <w:szCs w:val="20"/>
                <w:color w:val="auto"/>
              </w:rPr>
            </w:pPr>
            <w:r>
              <w:rPr>
                <w:rFonts w:ascii="Arial" w:cs="Arial" w:eastAsia="Arial" w:hAnsi="Arial"/>
                <w:sz w:val="13"/>
                <w:szCs w:val="13"/>
                <w:color w:val="auto"/>
              </w:rPr>
              <w:t>at fair value</w:t>
            </w:r>
          </w:p>
        </w:tc>
        <w:tc>
          <w:tcPr>
            <w:tcW w:w="12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13,338</w:t>
            </w:r>
          </w:p>
        </w:tc>
        <w:tc>
          <w:tcPr>
            <w:tcW w:w="1400" w:type="dxa"/>
            <w:vAlign w:val="bottom"/>
            <w:gridSpan w:val="3"/>
            <w:shd w:val="clear" w:color="auto" w:fill="CCEEFF"/>
          </w:tcPr>
          <w:p>
            <w:pPr>
              <w:ind w:left="1120"/>
              <w:spacing w:after="0"/>
              <w:rPr>
                <w:sz w:val="20"/>
                <w:szCs w:val="20"/>
                <w:color w:val="auto"/>
              </w:rPr>
            </w:pPr>
            <w:r>
              <w:rPr>
                <w:rFonts w:ascii="Arial" w:cs="Arial" w:eastAsia="Arial" w:hAnsi="Arial"/>
                <w:sz w:val="13"/>
                <w:szCs w:val="13"/>
                <w:color w:val="auto"/>
              </w:rPr>
              <w:t>-</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13,338</w:t>
            </w: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b w:val="1"/>
                <w:bCs w:val="1"/>
                <w:color w:val="auto"/>
              </w:rPr>
              <w:t>-</w:t>
            </w:r>
          </w:p>
        </w:tc>
        <w:tc>
          <w:tcPr>
            <w:tcW w:w="220" w:type="dxa"/>
            <w:vAlign w:val="bottom"/>
            <w:shd w:val="clear" w:color="auto" w:fill="CCEEFF"/>
          </w:tcPr>
          <w:p>
            <w:pPr>
              <w:spacing w:after="0"/>
              <w:rPr>
                <w:sz w:val="13"/>
                <w:szCs w:val="13"/>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(22,304)</w:t>
            </w:r>
          </w:p>
        </w:tc>
        <w:tc>
          <w:tcPr>
            <w:tcW w:w="220" w:type="dxa"/>
            <w:vAlign w:val="bottom"/>
            <w:shd w:val="clear" w:color="auto" w:fill="CCEEFF"/>
          </w:tcPr>
          <w:p>
            <w:pPr>
              <w:spacing w:after="0"/>
              <w:rPr>
                <w:sz w:val="13"/>
                <w:szCs w:val="13"/>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(8,966)</w:t>
            </w:r>
          </w:p>
        </w:tc>
        <w:tc>
          <w:tcPr>
            <w:tcW w:w="120" w:type="dxa"/>
            <w:vAlign w:val="bottom"/>
            <w:shd w:val="clear" w:color="auto" w:fill="CCEEFF"/>
          </w:tcPr>
          <w:p>
            <w:pPr>
              <w:spacing w:after="0"/>
              <w:rPr>
                <w:sz w:val="13"/>
                <w:szCs w:val="13"/>
                <w:color w:val="auto"/>
              </w:rPr>
            </w:pPr>
          </w:p>
        </w:tc>
        <w:tc>
          <w:tcPr>
            <w:tcW w:w="120" w:type="dxa"/>
            <w:vAlign w:val="bottom"/>
          </w:tcPr>
          <w:p>
            <w:pPr>
              <w:spacing w:after="0"/>
              <w:rPr>
                <w:sz w:val="13"/>
                <w:szCs w:val="13"/>
                <w:color w:val="auto"/>
              </w:rPr>
            </w:pPr>
          </w:p>
        </w:tc>
      </w:tr>
      <w:tr>
        <w:trPr>
          <w:trHeight w:val="162"/>
        </w:trPr>
        <w:tc>
          <w:tcPr>
            <w:tcW w:w="220" w:type="dxa"/>
            <w:vAlign w:val="bottom"/>
          </w:tcPr>
          <w:p>
            <w:pPr>
              <w:spacing w:after="0"/>
              <w:rPr>
                <w:sz w:val="14"/>
                <w:szCs w:val="14"/>
                <w:color w:val="auto"/>
              </w:rPr>
            </w:pPr>
          </w:p>
        </w:tc>
        <w:tc>
          <w:tcPr>
            <w:tcW w:w="2580" w:type="dxa"/>
            <w:vAlign w:val="bottom"/>
          </w:tcPr>
          <w:p>
            <w:pPr>
              <w:spacing w:after="0" w:line="143" w:lineRule="exact"/>
              <w:rPr>
                <w:sz w:val="20"/>
                <w:szCs w:val="20"/>
                <w:color w:val="auto"/>
              </w:rPr>
            </w:pPr>
            <w:r>
              <w:rPr>
                <w:rFonts w:ascii="Arial" w:cs="Arial" w:eastAsia="Arial" w:hAnsi="Arial"/>
                <w:sz w:val="13"/>
                <w:szCs w:val="13"/>
                <w:color w:val="auto"/>
              </w:rPr>
              <w:t>Total</w:t>
            </w:r>
          </w:p>
        </w:tc>
        <w:tc>
          <w:tcPr>
            <w:tcW w:w="12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13,338</w:t>
            </w:r>
          </w:p>
        </w:tc>
        <w:tc>
          <w:tcPr>
            <w:tcW w:w="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000" w:type="dxa"/>
            <w:vAlign w:val="bottom"/>
            <w:tcBorders>
              <w:top w:val="single" w:sz="8" w:color="auto"/>
              <w:bottom w:val="single" w:sz="8" w:color="auto"/>
            </w:tcBorders>
          </w:tcPr>
          <w:p>
            <w:pPr>
              <w:ind w:left="960"/>
              <w:spacing w:after="0"/>
              <w:rPr>
                <w:sz w:val="20"/>
                <w:szCs w:val="20"/>
                <w:color w:val="auto"/>
              </w:rPr>
            </w:pPr>
            <w:r>
              <w:rPr>
                <w:rFonts w:ascii="Arial" w:cs="Arial" w:eastAsia="Arial" w:hAnsi="Arial"/>
                <w:sz w:val="7"/>
                <w:szCs w:val="7"/>
                <w:b w:val="1"/>
                <w:bCs w:val="1"/>
                <w:color w:val="auto"/>
                <w:w w:val="83"/>
              </w:rPr>
              <w:t>-</w:t>
            </w:r>
          </w:p>
        </w:tc>
        <w:tc>
          <w:tcPr>
            <w:tcW w:w="240" w:type="dxa"/>
            <w:vAlign w:val="bottom"/>
          </w:tcPr>
          <w:p>
            <w:pPr>
              <w:spacing w:after="0"/>
              <w:rPr>
                <w:sz w:val="14"/>
                <w:szCs w:val="14"/>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13,338</w:t>
            </w:r>
          </w:p>
        </w:tc>
        <w:tc>
          <w:tcPr>
            <w:tcW w:w="220" w:type="dxa"/>
            <w:vAlign w:val="bottom"/>
          </w:tcPr>
          <w:p>
            <w:pPr>
              <w:spacing w:after="0"/>
              <w:rPr>
                <w:sz w:val="14"/>
                <w:szCs w:val="14"/>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w:t>
            </w:r>
          </w:p>
        </w:tc>
        <w:tc>
          <w:tcPr>
            <w:tcW w:w="220" w:type="dxa"/>
            <w:vAlign w:val="bottom"/>
          </w:tcPr>
          <w:p>
            <w:pPr>
              <w:spacing w:after="0"/>
              <w:rPr>
                <w:sz w:val="14"/>
                <w:szCs w:val="14"/>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(22,304</w:t>
            </w:r>
          </w:p>
        </w:tc>
        <w:tc>
          <w:tcPr>
            <w:tcW w:w="220" w:type="dxa"/>
            <w:vAlign w:val="bottom"/>
          </w:tcPr>
          <w:p>
            <w:pPr>
              <w:jc w:val="right"/>
              <w:ind w:right="143"/>
              <w:spacing w:after="0"/>
              <w:rPr>
                <w:sz w:val="20"/>
                <w:szCs w:val="20"/>
                <w:color w:val="auto"/>
              </w:rPr>
            </w:pPr>
            <w:r>
              <w:rPr>
                <w:rFonts w:ascii="Arial" w:cs="Arial" w:eastAsia="Arial" w:hAnsi="Arial"/>
                <w:sz w:val="7"/>
                <w:szCs w:val="7"/>
                <w:b w:val="1"/>
                <w:bCs w:val="1"/>
                <w:color w:val="auto"/>
                <w:w w:val="83"/>
              </w:rPr>
              <w:t>)</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(8,966</w:t>
            </w:r>
          </w:p>
        </w:tc>
        <w:tc>
          <w:tcPr>
            <w:tcW w:w="120" w:type="dxa"/>
            <w:vAlign w:val="bottom"/>
          </w:tcPr>
          <w:p>
            <w:pPr>
              <w:jc w:val="right"/>
              <w:spacing w:after="0" w:line="146" w:lineRule="exact"/>
              <w:rPr>
                <w:sz w:val="20"/>
                <w:szCs w:val="20"/>
                <w:color w:val="auto"/>
              </w:rPr>
            </w:pPr>
            <w:r>
              <w:rPr>
                <w:rFonts w:ascii="Arial" w:cs="Arial" w:eastAsia="Arial" w:hAnsi="Arial"/>
                <w:sz w:val="13"/>
                <w:szCs w:val="13"/>
                <w:b w:val="1"/>
                <w:bCs w:val="1"/>
                <w:color w:val="auto"/>
                <w:w w:val="91"/>
              </w:rPr>
              <w:t>)</w:t>
            </w:r>
          </w:p>
        </w:tc>
        <w:tc>
          <w:tcPr>
            <w:tcW w:w="120" w:type="dxa"/>
            <w:vAlign w:val="bottom"/>
          </w:tcPr>
          <w:p>
            <w:pPr>
              <w:spacing w:after="0"/>
              <w:rPr>
                <w:sz w:val="14"/>
                <w:szCs w:val="14"/>
                <w:color w:val="auto"/>
              </w:rPr>
            </w:pPr>
          </w:p>
        </w:tc>
      </w:tr>
      <w:tr>
        <w:trPr>
          <w:trHeight w:val="467"/>
        </w:trPr>
        <w:tc>
          <w:tcPr>
            <w:tcW w:w="220" w:type="dxa"/>
            <w:vAlign w:val="bottom"/>
            <w:tcBorders>
              <w:bottom w:val="single" w:sz="8" w:color="auto"/>
            </w:tcBorders>
          </w:tcPr>
          <w:p>
            <w:pPr>
              <w:spacing w:after="0"/>
              <w:rPr>
                <w:sz w:val="24"/>
                <w:szCs w:val="24"/>
                <w:color w:val="auto"/>
              </w:rPr>
            </w:pPr>
          </w:p>
        </w:tc>
        <w:tc>
          <w:tcPr>
            <w:tcW w:w="258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gridSpan w:val="2"/>
          </w:tcPr>
          <w:p>
            <w:pPr>
              <w:ind w:left="240"/>
              <w:spacing w:after="0"/>
              <w:rPr>
                <w:sz w:val="20"/>
                <w:szCs w:val="20"/>
                <w:color w:val="auto"/>
              </w:rPr>
            </w:pPr>
            <w:r>
              <w:rPr>
                <w:rFonts w:ascii="Arial" w:cs="Arial" w:eastAsia="Arial" w:hAnsi="Arial"/>
                <w:sz w:val="13"/>
                <w:szCs w:val="13"/>
                <w:color w:val="auto"/>
              </w:rPr>
              <w:t>F-62</w:t>
            </w:r>
          </w:p>
        </w:tc>
        <w:tc>
          <w:tcPr>
            <w:tcW w:w="10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r>
    </w:tbl>
    <w:p>
      <w:pPr>
        <w:sectPr>
          <w:pgSz w:w="11900" w:h="16838" w:orient="portrait"/>
          <w:cols w:equalWidth="0" w:num="1">
            <w:col w:w="11483"/>
          </w:cols>
          <w:pgMar w:left="217" w:top="685" w:right="199" w:bottom="1440" w:gutter="0" w:footer="0" w:header="0"/>
        </w:sectPr>
      </w:pPr>
    </w:p>
    <w:bookmarkStart w:id="187" w:name="page188"/>
    <w:bookmarkEnd w:id="187"/>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28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right="8440" w:hanging="223"/>
        <w:spacing w:after="0" w:line="588" w:lineRule="auto"/>
        <w:tabs>
          <w:tab w:leader="none" w:pos="223" w:val="left"/>
        </w:tabs>
        <w:numPr>
          <w:ilvl w:val="0"/>
          <w:numId w:val="151"/>
        </w:numPr>
        <w:rPr>
          <w:rFonts w:ascii="Arial" w:cs="Arial" w:eastAsia="Arial" w:hAnsi="Arial"/>
          <w:sz w:val="11"/>
          <w:szCs w:val="11"/>
          <w:b w:val="1"/>
          <w:bCs w:val="1"/>
          <w:color w:val="auto"/>
        </w:rPr>
      </w:pPr>
      <w:r>
        <w:rPr>
          <w:rFonts w:ascii="Arial" w:cs="Arial" w:eastAsia="Arial" w:hAnsi="Arial"/>
          <w:sz w:val="11"/>
          <w:szCs w:val="11"/>
          <w:b w:val="1"/>
          <w:bCs w:val="1"/>
          <w:color w:val="auto"/>
        </w:rPr>
        <w:t xml:space="preserve">Derivative financial instruments (continued) </w:t>
      </w:r>
      <w:r>
        <w:rPr>
          <w:rFonts w:ascii="Arial" w:cs="Arial" w:eastAsia="Arial" w:hAnsi="Arial"/>
          <w:sz w:val="11"/>
          <w:szCs w:val="11"/>
          <w:u w:val="single" w:color="auto"/>
          <w:color w:val="auto"/>
        </w:rPr>
        <w:t>Offsetting of financial assets and liabilities (continued)</w:t>
      </w:r>
    </w:p>
    <w:p>
      <w:pPr>
        <w:ind w:left="703" w:hanging="241"/>
        <w:spacing w:after="0"/>
        <w:tabs>
          <w:tab w:leader="none" w:pos="703" w:val="left"/>
        </w:tabs>
        <w:numPr>
          <w:ilvl w:val="1"/>
          <w:numId w:val="151"/>
        </w:numPr>
        <w:rPr>
          <w:rFonts w:ascii="Arial" w:cs="Arial" w:eastAsia="Arial" w:hAnsi="Arial"/>
          <w:sz w:val="13"/>
          <w:szCs w:val="13"/>
          <w:color w:val="auto"/>
        </w:rPr>
      </w:pPr>
      <w:r>
        <w:rPr>
          <w:rFonts w:ascii="Arial" w:cs="Arial" w:eastAsia="Arial" w:hAnsi="Arial"/>
          <w:sz w:val="13"/>
          <w:szCs w:val="13"/>
          <w:u w:val="single" w:color="auto"/>
          <w:color w:val="auto"/>
        </w:rPr>
        <w:t>Financial liabilities and derivative financial instruments – liabilities</w:t>
      </w:r>
    </w:p>
    <w:p>
      <w:pPr>
        <w:spacing w:after="0" w:line="155" w:lineRule="exact"/>
        <w:rPr>
          <w:sz w:val="20"/>
          <w:szCs w:val="20"/>
          <w:color w:val="auto"/>
        </w:rPr>
      </w:pPr>
    </w:p>
    <w:p>
      <w:pPr>
        <w:jc w:val="center"/>
        <w:ind w:right="-102"/>
        <w:spacing w:after="0"/>
        <w:rPr>
          <w:sz w:val="20"/>
          <w:szCs w:val="20"/>
          <w:color w:val="auto"/>
        </w:rPr>
      </w:pPr>
      <w:r>
        <w:rPr>
          <w:rFonts w:ascii="Arial" w:cs="Arial" w:eastAsia="Arial" w:hAnsi="Arial"/>
          <w:sz w:val="13"/>
          <w:szCs w:val="13"/>
          <w:b w:val="1"/>
          <w:bCs w:val="1"/>
          <w:color w:val="auto"/>
        </w:rPr>
        <w:t>December 31, 2018</w:t>
      </w:r>
    </w:p>
    <w:p>
      <w:pPr>
        <w:spacing w:after="0" w:line="17" w:lineRule="exact"/>
        <w:rPr>
          <w:sz w:val="20"/>
          <w:szCs w:val="20"/>
          <w:color w:val="auto"/>
        </w:rPr>
      </w:pPr>
    </w:p>
    <w:tbl>
      <w:tblPr>
        <w:tblLayout w:type="fixed"/>
        <w:tblInd w:w="3" w:type="dxa"/>
        <w:tblCellMar>
          <w:top w:w="0" w:type="dxa"/>
          <w:left w:w="0" w:type="dxa"/>
          <w:bottom w:w="0" w:type="dxa"/>
          <w:right w:w="0" w:type="dxa"/>
        </w:tblCellMar>
      </w:tblPr>
      <w:tr>
        <w:trPr>
          <w:trHeight w:val="131"/>
        </w:trPr>
        <w:tc>
          <w:tcPr>
            <w:tcW w:w="220" w:type="dxa"/>
            <w:vAlign w:val="bottom"/>
          </w:tcPr>
          <w:p>
            <w:pPr>
              <w:spacing w:after="0"/>
              <w:rPr>
                <w:sz w:val="11"/>
                <w:szCs w:val="11"/>
                <w:color w:val="auto"/>
              </w:rPr>
            </w:pPr>
          </w:p>
        </w:tc>
        <w:tc>
          <w:tcPr>
            <w:tcW w:w="3800" w:type="dxa"/>
            <w:vAlign w:val="bottom"/>
            <w:tcBorders>
              <w:top w:val="single" w:sz="8" w:color="auto"/>
            </w:tcBorders>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1000" w:type="dxa"/>
            <w:vAlign w:val="bottom"/>
            <w:tcBorders>
              <w:top w:val="single" w:sz="8" w:color="auto"/>
            </w:tcBorders>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160" w:type="dxa"/>
            <w:vAlign w:val="bottom"/>
            <w:tcBorders>
              <w:top w:val="single" w:sz="8" w:color="auto"/>
            </w:tcBorders>
          </w:tcPr>
          <w:p>
            <w:pPr>
              <w:spacing w:after="0"/>
              <w:rPr>
                <w:sz w:val="11"/>
                <w:szCs w:val="11"/>
                <w:color w:val="auto"/>
              </w:rPr>
            </w:pPr>
          </w:p>
        </w:tc>
        <w:tc>
          <w:tcPr>
            <w:tcW w:w="1000" w:type="dxa"/>
            <w:vAlign w:val="bottom"/>
            <w:tcBorders>
              <w:top w:val="single" w:sz="8" w:color="auto"/>
            </w:tcBorders>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1240" w:type="dxa"/>
            <w:vAlign w:val="bottom"/>
            <w:tcBorders>
              <w:top w:val="single" w:sz="8" w:color="auto"/>
            </w:tcBorders>
            <w:gridSpan w:val="2"/>
          </w:tcPr>
          <w:p>
            <w:pPr>
              <w:ind w:left="100"/>
              <w:spacing w:after="0" w:line="131" w:lineRule="exact"/>
              <w:rPr>
                <w:sz w:val="20"/>
                <w:szCs w:val="20"/>
                <w:color w:val="auto"/>
              </w:rPr>
            </w:pPr>
            <w:r>
              <w:rPr>
                <w:rFonts w:ascii="Arial" w:cs="Arial" w:eastAsia="Arial" w:hAnsi="Arial"/>
                <w:sz w:val="13"/>
                <w:szCs w:val="13"/>
                <w:b w:val="1"/>
                <w:bCs w:val="1"/>
                <w:color w:val="auto"/>
              </w:rPr>
              <w:t>Net amount of</w:t>
            </w:r>
          </w:p>
        </w:tc>
        <w:tc>
          <w:tcPr>
            <w:tcW w:w="98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98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980" w:type="dxa"/>
            <w:vAlign w:val="bottom"/>
            <w:tcBorders>
              <w:top w:val="single" w:sz="8" w:color="auto"/>
            </w:tcBorders>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8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24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5"/>
              </w:rPr>
              <w:t>Gross</w:t>
            </w:r>
          </w:p>
        </w:tc>
        <w:tc>
          <w:tcPr>
            <w:tcW w:w="124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9"/>
              </w:rPr>
              <w:t>liabilities</w:t>
            </w:r>
          </w:p>
        </w:tc>
        <w:tc>
          <w:tcPr>
            <w:tcW w:w="2400" w:type="dxa"/>
            <w:vAlign w:val="bottom"/>
            <w:gridSpan w:val="4"/>
          </w:tcPr>
          <w:p>
            <w:pPr>
              <w:jc w:val="center"/>
              <w:ind w:right="183"/>
              <w:spacing w:after="0"/>
              <w:rPr>
                <w:sz w:val="20"/>
                <w:szCs w:val="20"/>
                <w:color w:val="auto"/>
              </w:rPr>
            </w:pPr>
            <w:r>
              <w:rPr>
                <w:rFonts w:ascii="Arial" w:cs="Arial" w:eastAsia="Arial" w:hAnsi="Arial"/>
                <w:sz w:val="13"/>
                <w:szCs w:val="13"/>
                <w:b w:val="1"/>
                <w:bCs w:val="1"/>
                <w:color w:val="auto"/>
                <w:w w:val="86"/>
              </w:rPr>
              <w:t>Gross amounts not offset in the</w:t>
            </w:r>
          </w:p>
        </w:tc>
        <w:tc>
          <w:tcPr>
            <w:tcW w:w="9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8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24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8"/>
              </w:rPr>
              <w:t>amounts</w:t>
            </w:r>
          </w:p>
        </w:tc>
        <w:tc>
          <w:tcPr>
            <w:tcW w:w="124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6"/>
              </w:rPr>
              <w:t>presented</w:t>
            </w:r>
          </w:p>
        </w:tc>
        <w:tc>
          <w:tcPr>
            <w:tcW w:w="2400" w:type="dxa"/>
            <w:vAlign w:val="bottom"/>
            <w:gridSpan w:val="4"/>
          </w:tcPr>
          <w:p>
            <w:pPr>
              <w:jc w:val="center"/>
              <w:ind w:right="223"/>
              <w:spacing w:after="0"/>
              <w:rPr>
                <w:sz w:val="20"/>
                <w:szCs w:val="20"/>
                <w:color w:val="auto"/>
              </w:rPr>
            </w:pPr>
            <w:r>
              <w:rPr>
                <w:rFonts w:ascii="Arial" w:cs="Arial" w:eastAsia="Arial" w:hAnsi="Arial"/>
                <w:sz w:val="13"/>
                <w:szCs w:val="13"/>
                <w:b w:val="1"/>
                <w:bCs w:val="1"/>
                <w:color w:val="auto"/>
                <w:w w:val="85"/>
              </w:rPr>
              <w:t>consolidated statement of</w:t>
            </w:r>
          </w:p>
        </w:tc>
        <w:tc>
          <w:tcPr>
            <w:tcW w:w="9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6"/>
        </w:trPr>
        <w:tc>
          <w:tcPr>
            <w:tcW w:w="220" w:type="dxa"/>
            <w:vAlign w:val="bottom"/>
          </w:tcPr>
          <w:p>
            <w:pPr>
              <w:spacing w:after="0"/>
              <w:rPr>
                <w:sz w:val="14"/>
                <w:szCs w:val="14"/>
                <w:color w:val="auto"/>
              </w:rPr>
            </w:pPr>
          </w:p>
        </w:tc>
        <w:tc>
          <w:tcPr>
            <w:tcW w:w="38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24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6"/>
              </w:rPr>
              <w:t>offset in the</w:t>
            </w:r>
          </w:p>
        </w:tc>
        <w:tc>
          <w:tcPr>
            <w:tcW w:w="124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2"/>
              </w:rPr>
              <w:t>in the</w:t>
            </w:r>
          </w:p>
        </w:tc>
        <w:tc>
          <w:tcPr>
            <w:tcW w:w="2400" w:type="dxa"/>
            <w:vAlign w:val="bottom"/>
            <w:gridSpan w:val="4"/>
          </w:tcPr>
          <w:p>
            <w:pPr>
              <w:jc w:val="center"/>
              <w:ind w:right="183"/>
              <w:spacing w:after="0"/>
              <w:rPr>
                <w:sz w:val="20"/>
                <w:szCs w:val="20"/>
                <w:color w:val="auto"/>
              </w:rPr>
            </w:pPr>
            <w:r>
              <w:rPr>
                <w:rFonts w:ascii="Arial" w:cs="Arial" w:eastAsia="Arial" w:hAnsi="Arial"/>
                <w:sz w:val="13"/>
                <w:szCs w:val="13"/>
                <w:b w:val="1"/>
                <w:bCs w:val="1"/>
                <w:color w:val="auto"/>
                <w:w w:val="87"/>
              </w:rPr>
              <w:t>financial position</w:t>
            </w:r>
          </w:p>
        </w:tc>
        <w:tc>
          <w:tcPr>
            <w:tcW w:w="9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22"/>
        </w:trPr>
        <w:tc>
          <w:tcPr>
            <w:tcW w:w="220" w:type="dxa"/>
            <w:vAlign w:val="bottom"/>
          </w:tcPr>
          <w:p>
            <w:pPr>
              <w:spacing w:after="0"/>
              <w:rPr>
                <w:sz w:val="10"/>
                <w:szCs w:val="10"/>
                <w:color w:val="auto"/>
              </w:rPr>
            </w:pPr>
          </w:p>
        </w:tc>
        <w:tc>
          <w:tcPr>
            <w:tcW w:w="38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0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1240" w:type="dxa"/>
            <w:vAlign w:val="bottom"/>
            <w:gridSpan w:val="2"/>
          </w:tcPr>
          <w:p>
            <w:pPr>
              <w:jc w:val="center"/>
              <w:ind w:right="280"/>
              <w:spacing w:after="0" w:line="122" w:lineRule="exact"/>
              <w:rPr>
                <w:sz w:val="20"/>
                <w:szCs w:val="20"/>
                <w:color w:val="auto"/>
              </w:rPr>
            </w:pPr>
            <w:r>
              <w:rPr>
                <w:rFonts w:ascii="Arial" w:cs="Arial" w:eastAsia="Arial" w:hAnsi="Arial"/>
                <w:sz w:val="13"/>
                <w:szCs w:val="13"/>
                <w:b w:val="1"/>
                <w:bCs w:val="1"/>
                <w:color w:val="auto"/>
                <w:w w:val="84"/>
              </w:rPr>
              <w:t>consolidated</w:t>
            </w:r>
          </w:p>
        </w:tc>
        <w:tc>
          <w:tcPr>
            <w:tcW w:w="1240" w:type="dxa"/>
            <w:vAlign w:val="bottom"/>
            <w:gridSpan w:val="2"/>
          </w:tcPr>
          <w:p>
            <w:pPr>
              <w:jc w:val="center"/>
              <w:ind w:right="240"/>
              <w:spacing w:after="0" w:line="122" w:lineRule="exact"/>
              <w:rPr>
                <w:sz w:val="20"/>
                <w:szCs w:val="20"/>
                <w:color w:val="auto"/>
              </w:rPr>
            </w:pPr>
            <w:r>
              <w:rPr>
                <w:rFonts w:ascii="Arial" w:cs="Arial" w:eastAsia="Arial" w:hAnsi="Arial"/>
                <w:sz w:val="13"/>
                <w:szCs w:val="13"/>
                <w:b w:val="1"/>
                <w:bCs w:val="1"/>
                <w:color w:val="auto"/>
                <w:w w:val="84"/>
              </w:rPr>
              <w:t>consolidated</w:t>
            </w:r>
          </w:p>
        </w:tc>
        <w:tc>
          <w:tcPr>
            <w:tcW w:w="980" w:type="dxa"/>
            <w:vAlign w:val="bottom"/>
            <w:tcBorders>
              <w:top w:val="single" w:sz="8" w:color="auto"/>
            </w:tcBorders>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980" w:type="dxa"/>
            <w:vAlign w:val="bottom"/>
            <w:tcBorders>
              <w:top w:val="single" w:sz="8" w:color="auto"/>
            </w:tcBorders>
          </w:tcPr>
          <w:p>
            <w:pPr>
              <w:spacing w:after="0"/>
              <w:rPr>
                <w:sz w:val="10"/>
                <w:szCs w:val="10"/>
                <w:color w:val="auto"/>
              </w:rPr>
            </w:pPr>
          </w:p>
        </w:tc>
        <w:tc>
          <w:tcPr>
            <w:tcW w:w="220" w:type="dxa"/>
            <w:vAlign w:val="bottom"/>
          </w:tcPr>
          <w:p>
            <w:pPr>
              <w:spacing w:after="0"/>
              <w:rPr>
                <w:sz w:val="10"/>
                <w:szCs w:val="10"/>
                <w:color w:val="auto"/>
              </w:rPr>
            </w:pPr>
          </w:p>
        </w:tc>
        <w:tc>
          <w:tcPr>
            <w:tcW w:w="9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8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24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7"/>
              </w:rPr>
              <w:t>statement of</w:t>
            </w:r>
          </w:p>
        </w:tc>
        <w:tc>
          <w:tcPr>
            <w:tcW w:w="124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7"/>
              </w:rPr>
              <w:t>statement of</w:t>
            </w:r>
          </w:p>
        </w:tc>
        <w:tc>
          <w:tcPr>
            <w:tcW w:w="9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gridSpan w:val="2"/>
          </w:tcPr>
          <w:p>
            <w:pPr>
              <w:jc w:val="center"/>
              <w:ind w:right="203"/>
              <w:spacing w:after="0"/>
              <w:rPr>
                <w:sz w:val="20"/>
                <w:szCs w:val="20"/>
                <w:color w:val="auto"/>
              </w:rPr>
            </w:pPr>
            <w:r>
              <w:rPr>
                <w:rFonts w:ascii="Arial" w:cs="Arial" w:eastAsia="Arial" w:hAnsi="Arial"/>
                <w:sz w:val="13"/>
                <w:szCs w:val="13"/>
                <w:b w:val="1"/>
                <w:bCs w:val="1"/>
                <w:color w:val="auto"/>
                <w:w w:val="87"/>
              </w:rPr>
              <w:t>Cash</w:t>
            </w:r>
          </w:p>
        </w:tc>
        <w:tc>
          <w:tcPr>
            <w:tcW w:w="9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8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80" w:type="dxa"/>
            <w:vAlign w:val="bottom"/>
            <w:gridSpan w:val="2"/>
          </w:tcPr>
          <w:p>
            <w:pPr>
              <w:jc w:val="center"/>
              <w:ind w:right="60"/>
              <w:spacing w:after="0"/>
              <w:rPr>
                <w:sz w:val="20"/>
                <w:szCs w:val="20"/>
                <w:color w:val="auto"/>
              </w:rPr>
            </w:pPr>
            <w:r>
              <w:rPr>
                <w:rFonts w:ascii="Arial" w:cs="Arial" w:eastAsia="Arial" w:hAnsi="Arial"/>
                <w:sz w:val="13"/>
                <w:szCs w:val="13"/>
                <w:b w:val="1"/>
                <w:bCs w:val="1"/>
                <w:color w:val="auto"/>
                <w:w w:val="85"/>
              </w:rPr>
              <w:t>Gross amounts</w:t>
            </w:r>
          </w:p>
        </w:tc>
        <w:tc>
          <w:tcPr>
            <w:tcW w:w="160" w:type="dxa"/>
            <w:vAlign w:val="bottom"/>
          </w:tcPr>
          <w:p>
            <w:pPr>
              <w:spacing w:after="0"/>
              <w:rPr>
                <w:sz w:val="13"/>
                <w:szCs w:val="13"/>
                <w:color w:val="auto"/>
              </w:rPr>
            </w:pPr>
          </w:p>
        </w:tc>
        <w:tc>
          <w:tcPr>
            <w:tcW w:w="124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0"/>
              </w:rPr>
              <w:t>financial</w:t>
            </w:r>
          </w:p>
        </w:tc>
        <w:tc>
          <w:tcPr>
            <w:tcW w:w="124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0"/>
              </w:rPr>
              <w:t>financial</w:t>
            </w:r>
          </w:p>
        </w:tc>
        <w:tc>
          <w:tcPr>
            <w:tcW w:w="12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8"/>
              </w:rPr>
              <w:t>Financial</w:t>
            </w:r>
          </w:p>
        </w:tc>
        <w:tc>
          <w:tcPr>
            <w:tcW w:w="1200" w:type="dxa"/>
            <w:vAlign w:val="bottom"/>
            <w:gridSpan w:val="2"/>
          </w:tcPr>
          <w:p>
            <w:pPr>
              <w:jc w:val="center"/>
              <w:ind w:right="203"/>
              <w:spacing w:after="0"/>
              <w:rPr>
                <w:sz w:val="20"/>
                <w:szCs w:val="20"/>
                <w:color w:val="auto"/>
              </w:rPr>
            </w:pPr>
            <w:r>
              <w:rPr>
                <w:rFonts w:ascii="Arial" w:cs="Arial" w:eastAsia="Arial" w:hAnsi="Arial"/>
                <w:sz w:val="13"/>
                <w:szCs w:val="13"/>
                <w:b w:val="1"/>
                <w:bCs w:val="1"/>
                <w:color w:val="auto"/>
                <w:w w:val="91"/>
              </w:rPr>
              <w:t>collateral</w:t>
            </w:r>
          </w:p>
        </w:tc>
        <w:tc>
          <w:tcPr>
            <w:tcW w:w="9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7"/>
        </w:trPr>
        <w:tc>
          <w:tcPr>
            <w:tcW w:w="220" w:type="dxa"/>
            <w:vAlign w:val="bottom"/>
          </w:tcPr>
          <w:p>
            <w:pPr>
              <w:spacing w:after="0"/>
              <w:rPr>
                <w:sz w:val="14"/>
                <w:szCs w:val="14"/>
                <w:color w:val="auto"/>
              </w:rPr>
            </w:pPr>
          </w:p>
        </w:tc>
        <w:tc>
          <w:tcPr>
            <w:tcW w:w="3800" w:type="dxa"/>
            <w:vAlign w:val="bottom"/>
            <w:tcBorders>
              <w:bottom w:val="single" w:sz="8" w:color="auto"/>
            </w:tcBorders>
          </w:tcPr>
          <w:p>
            <w:pPr>
              <w:ind w:left="1580"/>
              <w:spacing w:after="0"/>
              <w:rPr>
                <w:sz w:val="20"/>
                <w:szCs w:val="20"/>
                <w:color w:val="auto"/>
              </w:rPr>
            </w:pPr>
            <w:r>
              <w:rPr>
                <w:rFonts w:ascii="Arial" w:cs="Arial" w:eastAsia="Arial" w:hAnsi="Arial"/>
                <w:sz w:val="13"/>
                <w:szCs w:val="13"/>
                <w:b w:val="1"/>
                <w:bCs w:val="1"/>
                <w:color w:val="auto"/>
              </w:rPr>
              <w:t>Description</w:t>
            </w:r>
          </w:p>
        </w:tc>
        <w:tc>
          <w:tcPr>
            <w:tcW w:w="120" w:type="dxa"/>
            <w:vAlign w:val="bottom"/>
            <w:tcBorders>
              <w:bottom w:val="single" w:sz="8" w:color="CCEEFF"/>
            </w:tcBorders>
          </w:tcPr>
          <w:p>
            <w:pPr>
              <w:spacing w:after="0"/>
              <w:rPr>
                <w:sz w:val="14"/>
                <w:szCs w:val="14"/>
                <w:color w:val="auto"/>
              </w:rPr>
            </w:pPr>
          </w:p>
        </w:tc>
        <w:tc>
          <w:tcPr>
            <w:tcW w:w="100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9"/>
              </w:rPr>
              <w:t>of liabilities</w:t>
            </w:r>
          </w:p>
        </w:tc>
        <w:tc>
          <w:tcPr>
            <w:tcW w:w="80" w:type="dxa"/>
            <w:vAlign w:val="bottom"/>
            <w:tcBorders>
              <w:bottom w:val="single" w:sz="8" w:color="CCEEFF"/>
            </w:tcBorders>
          </w:tcPr>
          <w:p>
            <w:pPr>
              <w:spacing w:after="0"/>
              <w:rPr>
                <w:sz w:val="14"/>
                <w:szCs w:val="14"/>
                <w:color w:val="auto"/>
              </w:rPr>
            </w:pPr>
          </w:p>
        </w:tc>
        <w:tc>
          <w:tcPr>
            <w:tcW w:w="160" w:type="dxa"/>
            <w:vAlign w:val="bottom"/>
            <w:tcBorders>
              <w:bottom w:val="single" w:sz="8" w:color="CCEEFF"/>
            </w:tcBorders>
          </w:tcPr>
          <w:p>
            <w:pPr>
              <w:spacing w:after="0"/>
              <w:rPr>
                <w:sz w:val="14"/>
                <w:szCs w:val="14"/>
                <w:color w:val="auto"/>
              </w:rPr>
            </w:pPr>
          </w:p>
        </w:tc>
        <w:tc>
          <w:tcPr>
            <w:tcW w:w="100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6"/>
              </w:rPr>
              <w:t>position</w:t>
            </w:r>
          </w:p>
        </w:tc>
        <w:tc>
          <w:tcPr>
            <w:tcW w:w="240" w:type="dxa"/>
            <w:vAlign w:val="bottom"/>
            <w:tcBorders>
              <w:bottom w:val="single" w:sz="8" w:color="CCEEFF"/>
            </w:tcBorders>
          </w:tcPr>
          <w:p>
            <w:pPr>
              <w:spacing w:after="0"/>
              <w:rPr>
                <w:sz w:val="14"/>
                <w:szCs w:val="14"/>
                <w:color w:val="auto"/>
              </w:rPr>
            </w:pPr>
          </w:p>
        </w:tc>
        <w:tc>
          <w:tcPr>
            <w:tcW w:w="102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6"/>
              </w:rPr>
              <w:t>position</w:t>
            </w:r>
          </w:p>
        </w:tc>
        <w:tc>
          <w:tcPr>
            <w:tcW w:w="220" w:type="dxa"/>
            <w:vAlign w:val="bottom"/>
            <w:tcBorders>
              <w:bottom w:val="single" w:sz="8" w:color="CCEEFF"/>
            </w:tcBorders>
          </w:tcPr>
          <w:p>
            <w:pPr>
              <w:spacing w:after="0"/>
              <w:rPr>
                <w:sz w:val="14"/>
                <w:szCs w:val="14"/>
                <w:color w:val="auto"/>
              </w:rPr>
            </w:pPr>
          </w:p>
        </w:tc>
        <w:tc>
          <w:tcPr>
            <w:tcW w:w="98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8"/>
              </w:rPr>
              <w:t>instruments</w:t>
            </w:r>
          </w:p>
        </w:tc>
        <w:tc>
          <w:tcPr>
            <w:tcW w:w="220" w:type="dxa"/>
            <w:vAlign w:val="bottom"/>
            <w:tcBorders>
              <w:bottom w:val="single" w:sz="8" w:color="CCEEFF"/>
            </w:tcBorders>
          </w:tcPr>
          <w:p>
            <w:pPr>
              <w:spacing w:after="0"/>
              <w:rPr>
                <w:sz w:val="14"/>
                <w:szCs w:val="14"/>
                <w:color w:val="auto"/>
              </w:rPr>
            </w:pPr>
          </w:p>
        </w:tc>
        <w:tc>
          <w:tcPr>
            <w:tcW w:w="98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4"/>
              </w:rPr>
              <w:t>pledged</w:t>
            </w:r>
          </w:p>
        </w:tc>
        <w:tc>
          <w:tcPr>
            <w:tcW w:w="220" w:type="dxa"/>
            <w:vAlign w:val="bottom"/>
            <w:tcBorders>
              <w:bottom w:val="single" w:sz="8" w:color="CCEEFF"/>
            </w:tcBorders>
          </w:tcPr>
          <w:p>
            <w:pPr>
              <w:spacing w:after="0"/>
              <w:rPr>
                <w:sz w:val="14"/>
                <w:szCs w:val="14"/>
                <w:color w:val="auto"/>
              </w:rPr>
            </w:pPr>
          </w:p>
        </w:tc>
        <w:tc>
          <w:tcPr>
            <w:tcW w:w="980" w:type="dxa"/>
            <w:vAlign w:val="bottom"/>
            <w:tcBorders>
              <w:bottom w:val="single" w:sz="8" w:color="auto"/>
            </w:tcBorders>
          </w:tcPr>
          <w:p>
            <w:pPr>
              <w:jc w:val="right"/>
              <w:ind w:right="76"/>
              <w:spacing w:after="0"/>
              <w:rPr>
                <w:sz w:val="20"/>
                <w:szCs w:val="20"/>
                <w:color w:val="auto"/>
              </w:rPr>
            </w:pPr>
            <w:r>
              <w:rPr>
                <w:rFonts w:ascii="Arial" w:cs="Arial" w:eastAsia="Arial" w:hAnsi="Arial"/>
                <w:sz w:val="13"/>
                <w:szCs w:val="13"/>
                <w:b w:val="1"/>
                <w:bCs w:val="1"/>
                <w:color w:val="auto"/>
              </w:rPr>
              <w:t>Net Amount</w:t>
            </w:r>
          </w:p>
        </w:tc>
        <w:tc>
          <w:tcPr>
            <w:tcW w:w="120" w:type="dxa"/>
            <w:vAlign w:val="bottom"/>
            <w:tcBorders>
              <w:bottom w:val="single" w:sz="8" w:color="CCEEFF"/>
            </w:tcBorders>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800" w:type="dxa"/>
            <w:vAlign w:val="bottom"/>
            <w:shd w:val="clear" w:color="auto" w:fill="CCEEFF"/>
          </w:tcPr>
          <w:p>
            <w:pPr>
              <w:spacing w:after="0"/>
              <w:rPr>
                <w:sz w:val="20"/>
                <w:szCs w:val="20"/>
                <w:color w:val="auto"/>
              </w:rPr>
            </w:pPr>
            <w:r>
              <w:rPr>
                <w:rFonts w:ascii="Arial" w:cs="Arial" w:eastAsia="Arial" w:hAnsi="Arial"/>
                <w:sz w:val="13"/>
                <w:szCs w:val="13"/>
                <w:color w:val="auto"/>
              </w:rPr>
              <w:t>Derivative financial instruments used for hedging at fair value</w:t>
            </w:r>
          </w:p>
        </w:tc>
        <w:tc>
          <w:tcPr>
            <w:tcW w:w="12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ind w:left="660"/>
              <w:spacing w:after="0"/>
              <w:rPr>
                <w:sz w:val="20"/>
                <w:szCs w:val="20"/>
                <w:color w:val="auto"/>
              </w:rPr>
            </w:pPr>
            <w:r>
              <w:rPr>
                <w:rFonts w:ascii="Arial" w:cs="Arial" w:eastAsia="Arial" w:hAnsi="Arial"/>
                <w:sz w:val="13"/>
                <w:szCs w:val="13"/>
                <w:color w:val="auto"/>
              </w:rPr>
              <w:t>34,043</w:t>
            </w:r>
          </w:p>
        </w:tc>
        <w:tc>
          <w:tcPr>
            <w:tcW w:w="1400" w:type="dxa"/>
            <w:vAlign w:val="bottom"/>
            <w:gridSpan w:val="3"/>
            <w:shd w:val="clear" w:color="auto" w:fill="CCEEFF"/>
          </w:tcPr>
          <w:p>
            <w:pPr>
              <w:ind w:left="1120"/>
              <w:spacing w:after="0"/>
              <w:rPr>
                <w:sz w:val="20"/>
                <w:szCs w:val="20"/>
                <w:color w:val="auto"/>
              </w:rPr>
            </w:pPr>
            <w:r>
              <w:rPr>
                <w:rFonts w:ascii="Arial" w:cs="Arial" w:eastAsia="Arial" w:hAnsi="Arial"/>
                <w:sz w:val="13"/>
                <w:szCs w:val="13"/>
                <w:color w:val="auto"/>
              </w:rPr>
              <w:t>-</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34,043</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980" w:type="dxa"/>
            <w:vAlign w:val="bottom"/>
            <w:shd w:val="clear" w:color="auto" w:fill="CCEEFF"/>
          </w:tcPr>
          <w:p>
            <w:pPr>
              <w:ind w:left="600"/>
              <w:spacing w:after="0"/>
              <w:rPr>
                <w:sz w:val="20"/>
                <w:szCs w:val="20"/>
                <w:color w:val="auto"/>
              </w:rPr>
            </w:pPr>
            <w:r>
              <w:rPr>
                <w:rFonts w:ascii="Arial" w:cs="Arial" w:eastAsia="Arial" w:hAnsi="Arial"/>
                <w:sz w:val="13"/>
                <w:szCs w:val="13"/>
                <w:color w:val="auto"/>
                <w:w w:val="74"/>
              </w:rPr>
              <w:t>(35,960)</w:t>
            </w:r>
          </w:p>
        </w:tc>
        <w:tc>
          <w:tcPr>
            <w:tcW w:w="220" w:type="dxa"/>
            <w:vAlign w:val="bottom"/>
            <w:shd w:val="clear" w:color="auto" w:fill="CCEEFF"/>
          </w:tcPr>
          <w:p>
            <w:pPr>
              <w:spacing w:after="0"/>
              <w:rPr>
                <w:sz w:val="13"/>
                <w:szCs w:val="13"/>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(1,917)</w:t>
            </w:r>
          </w:p>
        </w:tc>
        <w:tc>
          <w:tcPr>
            <w:tcW w:w="120" w:type="dxa"/>
            <w:vAlign w:val="bottom"/>
            <w:shd w:val="clear" w:color="auto" w:fill="CCEEFF"/>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3920" w:type="dxa"/>
            <w:vAlign w:val="bottom"/>
            <w:gridSpan w:val="2"/>
          </w:tcPr>
          <w:p>
            <w:pPr>
              <w:spacing w:after="0" w:line="143" w:lineRule="exact"/>
              <w:rPr>
                <w:sz w:val="20"/>
                <w:szCs w:val="20"/>
                <w:color w:val="auto"/>
              </w:rPr>
            </w:pPr>
            <w:r>
              <w:rPr>
                <w:rFonts w:ascii="Arial" w:cs="Arial" w:eastAsia="Arial" w:hAnsi="Arial"/>
                <w:sz w:val="13"/>
                <w:szCs w:val="13"/>
                <w:color w:val="auto"/>
              </w:rPr>
              <w:t>Total</w:t>
            </w:r>
          </w:p>
        </w:tc>
        <w:tc>
          <w:tcPr>
            <w:tcW w:w="1000" w:type="dxa"/>
            <w:vAlign w:val="bottom"/>
            <w:tcBorders>
              <w:top w:val="single" w:sz="8" w:color="auto"/>
              <w:bottom w:val="single" w:sz="8" w:color="auto"/>
            </w:tcBorders>
          </w:tcPr>
          <w:p>
            <w:pPr>
              <w:ind w:left="660"/>
              <w:spacing w:after="0"/>
              <w:rPr>
                <w:sz w:val="20"/>
                <w:szCs w:val="20"/>
                <w:color w:val="auto"/>
              </w:rPr>
            </w:pPr>
            <w:r>
              <w:rPr>
                <w:rFonts w:ascii="Arial" w:cs="Arial" w:eastAsia="Arial" w:hAnsi="Arial"/>
                <w:sz w:val="13"/>
                <w:szCs w:val="13"/>
                <w:b w:val="1"/>
                <w:bCs w:val="1"/>
                <w:color w:val="auto"/>
                <w:w w:val="80"/>
              </w:rPr>
              <w:t>34,043</w:t>
            </w:r>
          </w:p>
        </w:tc>
        <w:tc>
          <w:tcPr>
            <w:tcW w:w="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000" w:type="dxa"/>
            <w:vAlign w:val="bottom"/>
            <w:tcBorders>
              <w:top w:val="single" w:sz="8" w:color="auto"/>
              <w:bottom w:val="single" w:sz="8" w:color="auto"/>
            </w:tcBorders>
          </w:tcPr>
          <w:p>
            <w:pPr>
              <w:ind w:left="960"/>
              <w:spacing w:after="0"/>
              <w:rPr>
                <w:sz w:val="20"/>
                <w:szCs w:val="20"/>
                <w:color w:val="auto"/>
              </w:rPr>
            </w:pPr>
            <w:r>
              <w:rPr>
                <w:rFonts w:ascii="Arial" w:cs="Arial" w:eastAsia="Arial" w:hAnsi="Arial"/>
                <w:sz w:val="7"/>
                <w:szCs w:val="7"/>
                <w:b w:val="1"/>
                <w:bCs w:val="1"/>
                <w:color w:val="auto"/>
                <w:w w:val="83"/>
              </w:rPr>
              <w:t>-</w:t>
            </w:r>
          </w:p>
        </w:tc>
        <w:tc>
          <w:tcPr>
            <w:tcW w:w="240" w:type="dxa"/>
            <w:vAlign w:val="bottom"/>
          </w:tcPr>
          <w:p>
            <w:pPr>
              <w:spacing w:after="0"/>
              <w:rPr>
                <w:sz w:val="14"/>
                <w:szCs w:val="14"/>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34,043</w:t>
            </w:r>
          </w:p>
        </w:tc>
        <w:tc>
          <w:tcPr>
            <w:tcW w:w="220" w:type="dxa"/>
            <w:vAlign w:val="bottom"/>
          </w:tcPr>
          <w:p>
            <w:pPr>
              <w:spacing w:after="0"/>
              <w:rPr>
                <w:sz w:val="14"/>
                <w:szCs w:val="14"/>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w:t>
            </w:r>
          </w:p>
        </w:tc>
        <w:tc>
          <w:tcPr>
            <w:tcW w:w="220" w:type="dxa"/>
            <w:vAlign w:val="bottom"/>
          </w:tcPr>
          <w:p>
            <w:pPr>
              <w:spacing w:after="0"/>
              <w:rPr>
                <w:sz w:val="14"/>
                <w:szCs w:val="14"/>
                <w:color w:val="auto"/>
              </w:rPr>
            </w:pPr>
          </w:p>
        </w:tc>
        <w:tc>
          <w:tcPr>
            <w:tcW w:w="980" w:type="dxa"/>
            <w:vAlign w:val="bottom"/>
            <w:tcBorders>
              <w:top w:val="single" w:sz="8" w:color="auto"/>
              <w:bottom w:val="single" w:sz="8" w:color="auto"/>
            </w:tcBorders>
          </w:tcPr>
          <w:p>
            <w:pPr>
              <w:ind w:left="600"/>
              <w:spacing w:after="0"/>
              <w:rPr>
                <w:sz w:val="20"/>
                <w:szCs w:val="20"/>
                <w:color w:val="auto"/>
              </w:rPr>
            </w:pPr>
            <w:r>
              <w:rPr>
                <w:rFonts w:ascii="Arial" w:cs="Arial" w:eastAsia="Arial" w:hAnsi="Arial"/>
                <w:sz w:val="13"/>
                <w:szCs w:val="13"/>
                <w:b w:val="1"/>
                <w:bCs w:val="1"/>
                <w:color w:val="auto"/>
                <w:w w:val="81"/>
              </w:rPr>
              <w:t>(35,960</w:t>
            </w:r>
          </w:p>
        </w:tc>
        <w:tc>
          <w:tcPr>
            <w:tcW w:w="220" w:type="dxa"/>
            <w:vAlign w:val="bottom"/>
          </w:tcPr>
          <w:p>
            <w:pPr>
              <w:jc w:val="right"/>
              <w:ind w:right="143"/>
              <w:spacing w:after="0"/>
              <w:rPr>
                <w:sz w:val="20"/>
                <w:szCs w:val="20"/>
                <w:color w:val="auto"/>
              </w:rPr>
            </w:pPr>
            <w:r>
              <w:rPr>
                <w:rFonts w:ascii="Arial" w:cs="Arial" w:eastAsia="Arial" w:hAnsi="Arial"/>
                <w:sz w:val="7"/>
                <w:szCs w:val="7"/>
                <w:b w:val="1"/>
                <w:bCs w:val="1"/>
                <w:color w:val="auto"/>
                <w:w w:val="83"/>
              </w:rPr>
              <w:t>)</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(1,917</w:t>
            </w:r>
          </w:p>
        </w:tc>
        <w:tc>
          <w:tcPr>
            <w:tcW w:w="120" w:type="dxa"/>
            <w:vAlign w:val="bottom"/>
          </w:tcPr>
          <w:p>
            <w:pPr>
              <w:jc w:val="right"/>
              <w:spacing w:after="0" w:line="146" w:lineRule="exact"/>
              <w:rPr>
                <w:sz w:val="20"/>
                <w:szCs w:val="20"/>
                <w:color w:val="auto"/>
              </w:rPr>
            </w:pPr>
            <w:r>
              <w:rPr>
                <w:rFonts w:ascii="Arial" w:cs="Arial" w:eastAsia="Arial" w:hAnsi="Arial"/>
                <w:sz w:val="13"/>
                <w:szCs w:val="13"/>
                <w:b w:val="1"/>
                <w:bCs w:val="1"/>
                <w:color w:val="auto"/>
                <w:w w:val="91"/>
              </w:rPr>
              <w:t>)</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08"/>
        </w:trPr>
        <w:tc>
          <w:tcPr>
            <w:tcW w:w="220" w:type="dxa"/>
            <w:vAlign w:val="bottom"/>
          </w:tcPr>
          <w:p>
            <w:pPr>
              <w:spacing w:after="0"/>
              <w:rPr>
                <w:sz w:val="24"/>
                <w:szCs w:val="24"/>
                <w:color w:val="auto"/>
              </w:rPr>
            </w:pPr>
          </w:p>
        </w:tc>
        <w:tc>
          <w:tcPr>
            <w:tcW w:w="38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gridSpan w:val="3"/>
          </w:tcPr>
          <w:p>
            <w:pPr>
              <w:ind w:left="60"/>
              <w:spacing w:after="0"/>
              <w:rPr>
                <w:sz w:val="20"/>
                <w:szCs w:val="20"/>
                <w:color w:val="auto"/>
              </w:rPr>
            </w:pPr>
            <w:r>
              <w:rPr>
                <w:rFonts w:ascii="Arial" w:cs="Arial" w:eastAsia="Arial" w:hAnsi="Arial"/>
                <w:sz w:val="13"/>
                <w:szCs w:val="13"/>
                <w:b w:val="1"/>
                <w:bCs w:val="1"/>
                <w:color w:val="auto"/>
              </w:rPr>
              <w:t>December 31, 2017</w:t>
            </w:r>
          </w:p>
        </w:tc>
        <w:tc>
          <w:tcPr>
            <w:tcW w:w="10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31"/>
        </w:trPr>
        <w:tc>
          <w:tcPr>
            <w:tcW w:w="220" w:type="dxa"/>
            <w:vAlign w:val="bottom"/>
          </w:tcPr>
          <w:p>
            <w:pPr>
              <w:spacing w:after="0"/>
              <w:rPr>
                <w:sz w:val="11"/>
                <w:szCs w:val="11"/>
                <w:color w:val="auto"/>
              </w:rPr>
            </w:pPr>
          </w:p>
        </w:tc>
        <w:tc>
          <w:tcPr>
            <w:tcW w:w="38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40" w:type="dxa"/>
            <w:vAlign w:val="bottom"/>
            <w:gridSpan w:val="2"/>
          </w:tcPr>
          <w:p>
            <w:pPr>
              <w:jc w:val="center"/>
              <w:ind w:right="220"/>
              <w:spacing w:after="0" w:line="131" w:lineRule="exact"/>
              <w:rPr>
                <w:sz w:val="20"/>
                <w:szCs w:val="20"/>
                <w:color w:val="auto"/>
              </w:rPr>
            </w:pPr>
            <w:r>
              <w:rPr>
                <w:rFonts w:ascii="Arial" w:cs="Arial" w:eastAsia="Arial" w:hAnsi="Arial"/>
                <w:sz w:val="13"/>
                <w:szCs w:val="13"/>
                <w:b w:val="1"/>
                <w:bCs w:val="1"/>
                <w:color w:val="auto"/>
                <w:w w:val="89"/>
              </w:rPr>
              <w:t>Net amount of</w:t>
            </w:r>
          </w:p>
        </w:tc>
        <w:tc>
          <w:tcPr>
            <w:tcW w:w="9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8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240" w:type="dxa"/>
            <w:vAlign w:val="bottom"/>
            <w:gridSpan w:val="2"/>
          </w:tcPr>
          <w:p>
            <w:pPr>
              <w:jc w:val="center"/>
              <w:ind w:right="280"/>
              <w:spacing w:after="0"/>
              <w:rPr>
                <w:sz w:val="20"/>
                <w:szCs w:val="20"/>
                <w:color w:val="auto"/>
              </w:rPr>
            </w:pPr>
            <w:r>
              <w:rPr>
                <w:rFonts w:ascii="Arial" w:cs="Arial" w:eastAsia="Arial" w:hAnsi="Arial"/>
                <w:sz w:val="13"/>
                <w:szCs w:val="13"/>
                <w:b w:val="1"/>
                <w:bCs w:val="1"/>
                <w:color w:val="auto"/>
                <w:w w:val="85"/>
              </w:rPr>
              <w:t>Gross</w:t>
            </w:r>
          </w:p>
        </w:tc>
        <w:tc>
          <w:tcPr>
            <w:tcW w:w="124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9"/>
              </w:rPr>
              <w:t>liabilities</w:t>
            </w:r>
          </w:p>
        </w:tc>
        <w:tc>
          <w:tcPr>
            <w:tcW w:w="2400" w:type="dxa"/>
            <w:vAlign w:val="bottom"/>
            <w:gridSpan w:val="4"/>
          </w:tcPr>
          <w:p>
            <w:pPr>
              <w:jc w:val="center"/>
              <w:ind w:right="223"/>
              <w:spacing w:after="0"/>
              <w:rPr>
                <w:sz w:val="20"/>
                <w:szCs w:val="20"/>
                <w:color w:val="auto"/>
              </w:rPr>
            </w:pPr>
            <w:r>
              <w:rPr>
                <w:rFonts w:ascii="Arial" w:cs="Arial" w:eastAsia="Arial" w:hAnsi="Arial"/>
                <w:sz w:val="13"/>
                <w:szCs w:val="13"/>
                <w:b w:val="1"/>
                <w:bCs w:val="1"/>
                <w:color w:val="auto"/>
                <w:w w:val="86"/>
              </w:rPr>
              <w:t>Gross amounts not offset in the</w:t>
            </w:r>
          </w:p>
        </w:tc>
        <w:tc>
          <w:tcPr>
            <w:tcW w:w="9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8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240" w:type="dxa"/>
            <w:vAlign w:val="bottom"/>
            <w:gridSpan w:val="2"/>
          </w:tcPr>
          <w:p>
            <w:pPr>
              <w:jc w:val="center"/>
              <w:ind w:right="260"/>
              <w:spacing w:after="0"/>
              <w:rPr>
                <w:sz w:val="20"/>
                <w:szCs w:val="20"/>
                <w:color w:val="auto"/>
              </w:rPr>
            </w:pPr>
            <w:r>
              <w:rPr>
                <w:rFonts w:ascii="Arial" w:cs="Arial" w:eastAsia="Arial" w:hAnsi="Arial"/>
                <w:sz w:val="13"/>
                <w:szCs w:val="13"/>
                <w:b w:val="1"/>
                <w:bCs w:val="1"/>
                <w:color w:val="auto"/>
                <w:w w:val="84"/>
              </w:rPr>
              <w:t>amounts</w:t>
            </w:r>
          </w:p>
        </w:tc>
        <w:tc>
          <w:tcPr>
            <w:tcW w:w="124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6"/>
              </w:rPr>
              <w:t>presented</w:t>
            </w:r>
          </w:p>
        </w:tc>
        <w:tc>
          <w:tcPr>
            <w:tcW w:w="2400" w:type="dxa"/>
            <w:vAlign w:val="bottom"/>
            <w:gridSpan w:val="4"/>
          </w:tcPr>
          <w:p>
            <w:pPr>
              <w:jc w:val="center"/>
              <w:ind w:right="223"/>
              <w:spacing w:after="0"/>
              <w:rPr>
                <w:sz w:val="20"/>
                <w:szCs w:val="20"/>
                <w:color w:val="auto"/>
              </w:rPr>
            </w:pPr>
            <w:r>
              <w:rPr>
                <w:rFonts w:ascii="Arial" w:cs="Arial" w:eastAsia="Arial" w:hAnsi="Arial"/>
                <w:sz w:val="13"/>
                <w:szCs w:val="13"/>
                <w:b w:val="1"/>
                <w:bCs w:val="1"/>
                <w:color w:val="auto"/>
                <w:w w:val="85"/>
              </w:rPr>
              <w:t>consolidated statement of</w:t>
            </w:r>
          </w:p>
        </w:tc>
        <w:tc>
          <w:tcPr>
            <w:tcW w:w="9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6"/>
        </w:trPr>
        <w:tc>
          <w:tcPr>
            <w:tcW w:w="220" w:type="dxa"/>
            <w:vAlign w:val="bottom"/>
          </w:tcPr>
          <w:p>
            <w:pPr>
              <w:spacing w:after="0"/>
              <w:rPr>
                <w:sz w:val="14"/>
                <w:szCs w:val="14"/>
                <w:color w:val="auto"/>
              </w:rPr>
            </w:pPr>
          </w:p>
        </w:tc>
        <w:tc>
          <w:tcPr>
            <w:tcW w:w="38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24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6"/>
              </w:rPr>
              <w:t>offset in the</w:t>
            </w:r>
          </w:p>
        </w:tc>
        <w:tc>
          <w:tcPr>
            <w:tcW w:w="124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2"/>
              </w:rPr>
              <w:t>in the</w:t>
            </w:r>
          </w:p>
        </w:tc>
        <w:tc>
          <w:tcPr>
            <w:tcW w:w="2400" w:type="dxa"/>
            <w:vAlign w:val="bottom"/>
            <w:gridSpan w:val="4"/>
          </w:tcPr>
          <w:p>
            <w:pPr>
              <w:jc w:val="center"/>
              <w:ind w:right="183"/>
              <w:spacing w:after="0"/>
              <w:rPr>
                <w:sz w:val="20"/>
                <w:szCs w:val="20"/>
                <w:color w:val="auto"/>
              </w:rPr>
            </w:pPr>
            <w:r>
              <w:rPr>
                <w:rFonts w:ascii="Arial" w:cs="Arial" w:eastAsia="Arial" w:hAnsi="Arial"/>
                <w:sz w:val="13"/>
                <w:szCs w:val="13"/>
                <w:b w:val="1"/>
                <w:bCs w:val="1"/>
                <w:color w:val="auto"/>
                <w:w w:val="87"/>
              </w:rPr>
              <w:t>financial position</w:t>
            </w:r>
          </w:p>
        </w:tc>
        <w:tc>
          <w:tcPr>
            <w:tcW w:w="9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22"/>
        </w:trPr>
        <w:tc>
          <w:tcPr>
            <w:tcW w:w="220" w:type="dxa"/>
            <w:vAlign w:val="bottom"/>
          </w:tcPr>
          <w:p>
            <w:pPr>
              <w:spacing w:after="0"/>
              <w:rPr>
                <w:sz w:val="10"/>
                <w:szCs w:val="10"/>
                <w:color w:val="auto"/>
              </w:rPr>
            </w:pPr>
          </w:p>
        </w:tc>
        <w:tc>
          <w:tcPr>
            <w:tcW w:w="38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0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1240" w:type="dxa"/>
            <w:vAlign w:val="bottom"/>
            <w:gridSpan w:val="2"/>
          </w:tcPr>
          <w:p>
            <w:pPr>
              <w:jc w:val="center"/>
              <w:ind w:right="280"/>
              <w:spacing w:after="0" w:line="122" w:lineRule="exact"/>
              <w:rPr>
                <w:sz w:val="20"/>
                <w:szCs w:val="20"/>
                <w:color w:val="auto"/>
              </w:rPr>
            </w:pPr>
            <w:r>
              <w:rPr>
                <w:rFonts w:ascii="Arial" w:cs="Arial" w:eastAsia="Arial" w:hAnsi="Arial"/>
                <w:sz w:val="13"/>
                <w:szCs w:val="13"/>
                <w:b w:val="1"/>
                <w:bCs w:val="1"/>
                <w:color w:val="auto"/>
                <w:w w:val="84"/>
              </w:rPr>
              <w:t>consolidated</w:t>
            </w:r>
          </w:p>
        </w:tc>
        <w:tc>
          <w:tcPr>
            <w:tcW w:w="1240" w:type="dxa"/>
            <w:vAlign w:val="bottom"/>
            <w:gridSpan w:val="2"/>
          </w:tcPr>
          <w:p>
            <w:pPr>
              <w:jc w:val="center"/>
              <w:ind w:right="240"/>
              <w:spacing w:after="0" w:line="122" w:lineRule="exact"/>
              <w:rPr>
                <w:sz w:val="20"/>
                <w:szCs w:val="20"/>
                <w:color w:val="auto"/>
              </w:rPr>
            </w:pPr>
            <w:r>
              <w:rPr>
                <w:rFonts w:ascii="Arial" w:cs="Arial" w:eastAsia="Arial" w:hAnsi="Arial"/>
                <w:sz w:val="13"/>
                <w:szCs w:val="13"/>
                <w:b w:val="1"/>
                <w:bCs w:val="1"/>
                <w:color w:val="auto"/>
                <w:w w:val="84"/>
              </w:rPr>
              <w:t>consolidated</w:t>
            </w:r>
          </w:p>
        </w:tc>
        <w:tc>
          <w:tcPr>
            <w:tcW w:w="980" w:type="dxa"/>
            <w:vAlign w:val="bottom"/>
            <w:tcBorders>
              <w:top w:val="single" w:sz="8" w:color="auto"/>
            </w:tcBorders>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980" w:type="dxa"/>
            <w:vAlign w:val="bottom"/>
            <w:tcBorders>
              <w:top w:val="single" w:sz="8" w:color="auto"/>
            </w:tcBorders>
          </w:tcPr>
          <w:p>
            <w:pPr>
              <w:spacing w:after="0"/>
              <w:rPr>
                <w:sz w:val="10"/>
                <w:szCs w:val="10"/>
                <w:color w:val="auto"/>
              </w:rPr>
            </w:pPr>
          </w:p>
        </w:tc>
        <w:tc>
          <w:tcPr>
            <w:tcW w:w="220" w:type="dxa"/>
            <w:vAlign w:val="bottom"/>
          </w:tcPr>
          <w:p>
            <w:pPr>
              <w:spacing w:after="0"/>
              <w:rPr>
                <w:sz w:val="10"/>
                <w:szCs w:val="10"/>
                <w:color w:val="auto"/>
              </w:rPr>
            </w:pPr>
          </w:p>
        </w:tc>
        <w:tc>
          <w:tcPr>
            <w:tcW w:w="9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8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240" w:type="dxa"/>
            <w:vAlign w:val="bottom"/>
            <w:gridSpan w:val="2"/>
          </w:tcPr>
          <w:p>
            <w:pPr>
              <w:jc w:val="center"/>
              <w:ind w:right="260"/>
              <w:spacing w:after="0"/>
              <w:rPr>
                <w:sz w:val="20"/>
                <w:szCs w:val="20"/>
                <w:color w:val="auto"/>
              </w:rPr>
            </w:pPr>
            <w:r>
              <w:rPr>
                <w:rFonts w:ascii="Arial" w:cs="Arial" w:eastAsia="Arial" w:hAnsi="Arial"/>
                <w:sz w:val="13"/>
                <w:szCs w:val="13"/>
                <w:b w:val="1"/>
                <w:bCs w:val="1"/>
                <w:color w:val="auto"/>
                <w:w w:val="85"/>
              </w:rPr>
              <w:t>statement of</w:t>
            </w:r>
          </w:p>
        </w:tc>
        <w:tc>
          <w:tcPr>
            <w:tcW w:w="1240" w:type="dxa"/>
            <w:vAlign w:val="bottom"/>
            <w:gridSpan w:val="2"/>
          </w:tcPr>
          <w:p>
            <w:pPr>
              <w:jc w:val="center"/>
              <w:ind w:right="260"/>
              <w:spacing w:after="0"/>
              <w:rPr>
                <w:sz w:val="20"/>
                <w:szCs w:val="20"/>
                <w:color w:val="auto"/>
              </w:rPr>
            </w:pPr>
            <w:r>
              <w:rPr>
                <w:rFonts w:ascii="Arial" w:cs="Arial" w:eastAsia="Arial" w:hAnsi="Arial"/>
                <w:sz w:val="13"/>
                <w:szCs w:val="13"/>
                <w:b w:val="1"/>
                <w:bCs w:val="1"/>
                <w:color w:val="auto"/>
                <w:w w:val="85"/>
              </w:rPr>
              <w:t>statement of</w:t>
            </w:r>
          </w:p>
        </w:tc>
        <w:tc>
          <w:tcPr>
            <w:tcW w:w="9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gridSpan w:val="2"/>
          </w:tcPr>
          <w:p>
            <w:pPr>
              <w:jc w:val="center"/>
              <w:ind w:right="203"/>
              <w:spacing w:after="0"/>
              <w:rPr>
                <w:sz w:val="20"/>
                <w:szCs w:val="20"/>
                <w:color w:val="auto"/>
              </w:rPr>
            </w:pPr>
            <w:r>
              <w:rPr>
                <w:rFonts w:ascii="Arial" w:cs="Arial" w:eastAsia="Arial" w:hAnsi="Arial"/>
                <w:sz w:val="13"/>
                <w:szCs w:val="13"/>
                <w:b w:val="1"/>
                <w:bCs w:val="1"/>
                <w:color w:val="auto"/>
                <w:w w:val="87"/>
              </w:rPr>
              <w:t>Cash</w:t>
            </w:r>
          </w:p>
        </w:tc>
        <w:tc>
          <w:tcPr>
            <w:tcW w:w="9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8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80" w:type="dxa"/>
            <w:vAlign w:val="bottom"/>
            <w:gridSpan w:val="2"/>
          </w:tcPr>
          <w:p>
            <w:pPr>
              <w:jc w:val="center"/>
              <w:ind w:right="60"/>
              <w:spacing w:after="0"/>
              <w:rPr>
                <w:sz w:val="20"/>
                <w:szCs w:val="20"/>
                <w:color w:val="auto"/>
              </w:rPr>
            </w:pPr>
            <w:r>
              <w:rPr>
                <w:rFonts w:ascii="Arial" w:cs="Arial" w:eastAsia="Arial" w:hAnsi="Arial"/>
                <w:sz w:val="13"/>
                <w:szCs w:val="13"/>
                <w:b w:val="1"/>
                <w:bCs w:val="1"/>
                <w:color w:val="auto"/>
                <w:w w:val="85"/>
              </w:rPr>
              <w:t>Gross amounts</w:t>
            </w:r>
          </w:p>
        </w:tc>
        <w:tc>
          <w:tcPr>
            <w:tcW w:w="160" w:type="dxa"/>
            <w:vAlign w:val="bottom"/>
          </w:tcPr>
          <w:p>
            <w:pPr>
              <w:spacing w:after="0"/>
              <w:rPr>
                <w:sz w:val="13"/>
                <w:szCs w:val="13"/>
                <w:color w:val="auto"/>
              </w:rPr>
            </w:pPr>
          </w:p>
        </w:tc>
        <w:tc>
          <w:tcPr>
            <w:tcW w:w="124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0"/>
              </w:rPr>
              <w:t>financial</w:t>
            </w:r>
          </w:p>
        </w:tc>
        <w:tc>
          <w:tcPr>
            <w:tcW w:w="124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0"/>
              </w:rPr>
              <w:t>financial</w:t>
            </w:r>
          </w:p>
        </w:tc>
        <w:tc>
          <w:tcPr>
            <w:tcW w:w="12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8"/>
              </w:rPr>
              <w:t>Financial</w:t>
            </w:r>
          </w:p>
        </w:tc>
        <w:tc>
          <w:tcPr>
            <w:tcW w:w="1200" w:type="dxa"/>
            <w:vAlign w:val="bottom"/>
            <w:gridSpan w:val="2"/>
          </w:tcPr>
          <w:p>
            <w:pPr>
              <w:ind w:left="240"/>
              <w:spacing w:after="0"/>
              <w:rPr>
                <w:sz w:val="20"/>
                <w:szCs w:val="20"/>
                <w:color w:val="auto"/>
              </w:rPr>
            </w:pPr>
            <w:r>
              <w:rPr>
                <w:rFonts w:ascii="Arial" w:cs="Arial" w:eastAsia="Arial" w:hAnsi="Arial"/>
                <w:sz w:val="13"/>
                <w:szCs w:val="13"/>
                <w:b w:val="1"/>
                <w:bCs w:val="1"/>
                <w:color w:val="auto"/>
              </w:rPr>
              <w:t>collateral</w:t>
            </w:r>
          </w:p>
        </w:tc>
        <w:tc>
          <w:tcPr>
            <w:tcW w:w="9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7"/>
        </w:trPr>
        <w:tc>
          <w:tcPr>
            <w:tcW w:w="220" w:type="dxa"/>
            <w:vAlign w:val="bottom"/>
          </w:tcPr>
          <w:p>
            <w:pPr>
              <w:spacing w:after="0"/>
              <w:rPr>
                <w:sz w:val="14"/>
                <w:szCs w:val="14"/>
                <w:color w:val="auto"/>
              </w:rPr>
            </w:pPr>
          </w:p>
        </w:tc>
        <w:tc>
          <w:tcPr>
            <w:tcW w:w="3920" w:type="dxa"/>
            <w:vAlign w:val="bottom"/>
            <w:gridSpan w:val="2"/>
          </w:tcPr>
          <w:p>
            <w:pPr>
              <w:ind w:left="1580"/>
              <w:spacing w:after="0"/>
              <w:rPr>
                <w:sz w:val="20"/>
                <w:szCs w:val="20"/>
                <w:color w:val="auto"/>
              </w:rPr>
            </w:pPr>
            <w:r>
              <w:rPr>
                <w:rFonts w:ascii="Arial" w:cs="Arial" w:eastAsia="Arial" w:hAnsi="Arial"/>
                <w:sz w:val="13"/>
                <w:szCs w:val="13"/>
                <w:b w:val="1"/>
                <w:bCs w:val="1"/>
                <w:color w:val="auto"/>
              </w:rPr>
              <w:t>Description</w:t>
            </w:r>
          </w:p>
        </w:tc>
        <w:tc>
          <w:tcPr>
            <w:tcW w:w="1080" w:type="dxa"/>
            <w:vAlign w:val="bottom"/>
            <w:gridSpan w:val="2"/>
          </w:tcPr>
          <w:p>
            <w:pPr>
              <w:jc w:val="center"/>
              <w:ind w:right="80"/>
              <w:spacing w:after="0"/>
              <w:rPr>
                <w:sz w:val="20"/>
                <w:szCs w:val="20"/>
                <w:color w:val="auto"/>
              </w:rPr>
            </w:pPr>
            <w:r>
              <w:rPr>
                <w:rFonts w:ascii="Arial" w:cs="Arial" w:eastAsia="Arial" w:hAnsi="Arial"/>
                <w:sz w:val="13"/>
                <w:szCs w:val="13"/>
                <w:b w:val="1"/>
                <w:bCs w:val="1"/>
                <w:color w:val="auto"/>
                <w:w w:val="89"/>
              </w:rPr>
              <w:t>of liabilities</w:t>
            </w:r>
          </w:p>
        </w:tc>
        <w:tc>
          <w:tcPr>
            <w:tcW w:w="160" w:type="dxa"/>
            <w:vAlign w:val="bottom"/>
          </w:tcPr>
          <w:p>
            <w:pPr>
              <w:spacing w:after="0"/>
              <w:rPr>
                <w:sz w:val="14"/>
                <w:szCs w:val="14"/>
                <w:color w:val="auto"/>
              </w:rPr>
            </w:pPr>
          </w:p>
        </w:tc>
        <w:tc>
          <w:tcPr>
            <w:tcW w:w="124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6"/>
              </w:rPr>
              <w:t>position</w:t>
            </w:r>
          </w:p>
        </w:tc>
        <w:tc>
          <w:tcPr>
            <w:tcW w:w="124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6"/>
              </w:rPr>
              <w:t>position</w:t>
            </w:r>
          </w:p>
        </w:tc>
        <w:tc>
          <w:tcPr>
            <w:tcW w:w="12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8"/>
              </w:rPr>
              <w:t>instruments</w:t>
            </w:r>
          </w:p>
        </w:tc>
        <w:tc>
          <w:tcPr>
            <w:tcW w:w="1200" w:type="dxa"/>
            <w:vAlign w:val="bottom"/>
            <w:gridSpan w:val="2"/>
          </w:tcPr>
          <w:p>
            <w:pPr>
              <w:jc w:val="center"/>
              <w:ind w:right="183"/>
              <w:spacing w:after="0"/>
              <w:rPr>
                <w:sz w:val="20"/>
                <w:szCs w:val="20"/>
                <w:color w:val="auto"/>
              </w:rPr>
            </w:pPr>
            <w:r>
              <w:rPr>
                <w:rFonts w:ascii="Arial" w:cs="Arial" w:eastAsia="Arial" w:hAnsi="Arial"/>
                <w:sz w:val="13"/>
                <w:szCs w:val="13"/>
                <w:b w:val="1"/>
                <w:bCs w:val="1"/>
                <w:color w:val="auto"/>
                <w:w w:val="84"/>
              </w:rPr>
              <w:t>pledged</w:t>
            </w:r>
          </w:p>
        </w:tc>
        <w:tc>
          <w:tcPr>
            <w:tcW w:w="1100" w:type="dxa"/>
            <w:vAlign w:val="bottom"/>
            <w:gridSpan w:val="2"/>
          </w:tcPr>
          <w:p>
            <w:pPr>
              <w:jc w:val="right"/>
              <w:ind w:right="196"/>
              <w:spacing w:after="0"/>
              <w:rPr>
                <w:sz w:val="20"/>
                <w:szCs w:val="20"/>
                <w:color w:val="auto"/>
              </w:rPr>
            </w:pPr>
            <w:r>
              <w:rPr>
                <w:rFonts w:ascii="Arial" w:cs="Arial" w:eastAsia="Arial" w:hAnsi="Arial"/>
                <w:sz w:val="13"/>
                <w:szCs w:val="13"/>
                <w:b w:val="1"/>
                <w:bCs w:val="1"/>
                <w:color w:val="auto"/>
              </w:rPr>
              <w:t>Net Amount</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vMerge w:val="restart"/>
          </w:tcPr>
          <w:p>
            <w:pPr>
              <w:spacing w:after="0"/>
              <w:rPr>
                <w:sz w:val="12"/>
                <w:szCs w:val="12"/>
                <w:color w:val="auto"/>
              </w:rPr>
            </w:pPr>
          </w:p>
        </w:tc>
        <w:tc>
          <w:tcPr>
            <w:tcW w:w="380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000" w:type="dxa"/>
            <w:vAlign w:val="bottom"/>
            <w:tcBorders>
              <w:top w:val="single" w:sz="8" w:color="auto"/>
            </w:tcBorders>
          </w:tcPr>
          <w:p>
            <w:pPr>
              <w:spacing w:after="0"/>
              <w:rPr>
                <w:sz w:val="12"/>
                <w:szCs w:val="12"/>
                <w:color w:val="auto"/>
              </w:rPr>
            </w:pPr>
          </w:p>
        </w:tc>
        <w:tc>
          <w:tcPr>
            <w:tcW w:w="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00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0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9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9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9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4"/>
        </w:trPr>
        <w:tc>
          <w:tcPr>
            <w:tcW w:w="220" w:type="dxa"/>
            <w:vAlign w:val="bottom"/>
            <w:vMerge w:val="continue"/>
          </w:tcPr>
          <w:p>
            <w:pPr>
              <w:spacing w:after="0"/>
              <w:rPr>
                <w:sz w:val="14"/>
                <w:szCs w:val="14"/>
                <w:color w:val="auto"/>
              </w:rPr>
            </w:pPr>
          </w:p>
        </w:tc>
        <w:tc>
          <w:tcPr>
            <w:tcW w:w="392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Derivative financial instruments used for hedging at fair value</w:t>
            </w:r>
          </w:p>
        </w:tc>
        <w:tc>
          <w:tcPr>
            <w:tcW w:w="1080" w:type="dxa"/>
            <w:vAlign w:val="bottom"/>
            <w:gridSpan w:val="2"/>
            <w:shd w:val="clear" w:color="auto" w:fill="CCEEFF"/>
          </w:tcPr>
          <w:p>
            <w:pPr>
              <w:ind w:left="660"/>
              <w:spacing w:after="0"/>
              <w:rPr>
                <w:sz w:val="20"/>
                <w:szCs w:val="20"/>
                <w:color w:val="auto"/>
              </w:rPr>
            </w:pPr>
            <w:r>
              <w:rPr>
                <w:rFonts w:ascii="Arial" w:cs="Arial" w:eastAsia="Arial" w:hAnsi="Arial"/>
                <w:sz w:val="13"/>
                <w:szCs w:val="13"/>
                <w:color w:val="auto"/>
              </w:rPr>
              <w:t>34,943</w:t>
            </w:r>
          </w:p>
        </w:tc>
        <w:tc>
          <w:tcPr>
            <w:tcW w:w="1400" w:type="dxa"/>
            <w:vAlign w:val="bottom"/>
            <w:gridSpan w:val="3"/>
            <w:shd w:val="clear" w:color="auto" w:fill="CCEEFF"/>
          </w:tcPr>
          <w:p>
            <w:pPr>
              <w:ind w:left="1120"/>
              <w:spacing w:after="0"/>
              <w:rPr>
                <w:sz w:val="20"/>
                <w:szCs w:val="20"/>
                <w:color w:val="auto"/>
              </w:rPr>
            </w:pPr>
            <w:r>
              <w:rPr>
                <w:rFonts w:ascii="Arial" w:cs="Arial" w:eastAsia="Arial" w:hAnsi="Arial"/>
                <w:sz w:val="13"/>
                <w:szCs w:val="13"/>
                <w:color w:val="auto"/>
              </w:rPr>
              <w:t>-</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34,943</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200" w:type="dxa"/>
            <w:vAlign w:val="bottom"/>
            <w:gridSpan w:val="2"/>
            <w:shd w:val="clear" w:color="auto" w:fill="CCEEFF"/>
          </w:tcPr>
          <w:p>
            <w:pPr>
              <w:ind w:left="600"/>
              <w:spacing w:after="0"/>
              <w:rPr>
                <w:sz w:val="20"/>
                <w:szCs w:val="20"/>
                <w:color w:val="auto"/>
              </w:rPr>
            </w:pPr>
            <w:r>
              <w:rPr>
                <w:rFonts w:ascii="Arial" w:cs="Arial" w:eastAsia="Arial" w:hAnsi="Arial"/>
                <w:sz w:val="13"/>
                <w:szCs w:val="13"/>
                <w:color w:val="auto"/>
              </w:rPr>
              <w:t>(50,241)</w:t>
            </w:r>
          </w:p>
        </w:tc>
        <w:tc>
          <w:tcPr>
            <w:tcW w:w="110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(15,298)</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3920" w:type="dxa"/>
            <w:vAlign w:val="bottom"/>
            <w:gridSpan w:val="2"/>
          </w:tcPr>
          <w:p>
            <w:pPr>
              <w:spacing w:after="0" w:line="143" w:lineRule="exact"/>
              <w:rPr>
                <w:sz w:val="20"/>
                <w:szCs w:val="20"/>
                <w:color w:val="auto"/>
              </w:rPr>
            </w:pPr>
            <w:r>
              <w:rPr>
                <w:rFonts w:ascii="Arial" w:cs="Arial" w:eastAsia="Arial" w:hAnsi="Arial"/>
                <w:sz w:val="13"/>
                <w:szCs w:val="13"/>
                <w:color w:val="auto"/>
              </w:rPr>
              <w:t>Total</w:t>
            </w:r>
          </w:p>
        </w:tc>
        <w:tc>
          <w:tcPr>
            <w:tcW w:w="1000" w:type="dxa"/>
            <w:vAlign w:val="bottom"/>
            <w:tcBorders>
              <w:top w:val="single" w:sz="8" w:color="auto"/>
              <w:bottom w:val="single" w:sz="8" w:color="auto"/>
            </w:tcBorders>
          </w:tcPr>
          <w:p>
            <w:pPr>
              <w:ind w:left="660"/>
              <w:spacing w:after="0"/>
              <w:rPr>
                <w:sz w:val="20"/>
                <w:szCs w:val="20"/>
                <w:color w:val="auto"/>
              </w:rPr>
            </w:pPr>
            <w:r>
              <w:rPr>
                <w:rFonts w:ascii="Arial" w:cs="Arial" w:eastAsia="Arial" w:hAnsi="Arial"/>
                <w:sz w:val="13"/>
                <w:szCs w:val="13"/>
                <w:b w:val="1"/>
                <w:bCs w:val="1"/>
                <w:color w:val="auto"/>
                <w:w w:val="80"/>
              </w:rPr>
              <w:t>34,943</w:t>
            </w:r>
          </w:p>
        </w:tc>
        <w:tc>
          <w:tcPr>
            <w:tcW w:w="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000" w:type="dxa"/>
            <w:vAlign w:val="bottom"/>
            <w:tcBorders>
              <w:top w:val="single" w:sz="8" w:color="auto"/>
              <w:bottom w:val="single" w:sz="8" w:color="auto"/>
            </w:tcBorders>
          </w:tcPr>
          <w:p>
            <w:pPr>
              <w:ind w:left="960"/>
              <w:spacing w:after="0"/>
              <w:rPr>
                <w:sz w:val="20"/>
                <w:szCs w:val="20"/>
                <w:color w:val="auto"/>
              </w:rPr>
            </w:pPr>
            <w:r>
              <w:rPr>
                <w:rFonts w:ascii="Arial" w:cs="Arial" w:eastAsia="Arial" w:hAnsi="Arial"/>
                <w:sz w:val="7"/>
                <w:szCs w:val="7"/>
                <w:b w:val="1"/>
                <w:bCs w:val="1"/>
                <w:color w:val="auto"/>
                <w:w w:val="83"/>
              </w:rPr>
              <w:t>-</w:t>
            </w:r>
          </w:p>
        </w:tc>
        <w:tc>
          <w:tcPr>
            <w:tcW w:w="240" w:type="dxa"/>
            <w:vAlign w:val="bottom"/>
          </w:tcPr>
          <w:p>
            <w:pPr>
              <w:spacing w:after="0"/>
              <w:rPr>
                <w:sz w:val="14"/>
                <w:szCs w:val="14"/>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34,943</w:t>
            </w:r>
          </w:p>
        </w:tc>
        <w:tc>
          <w:tcPr>
            <w:tcW w:w="220" w:type="dxa"/>
            <w:vAlign w:val="bottom"/>
          </w:tcPr>
          <w:p>
            <w:pPr>
              <w:spacing w:after="0"/>
              <w:rPr>
                <w:sz w:val="14"/>
                <w:szCs w:val="14"/>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w:t>
            </w:r>
          </w:p>
        </w:tc>
        <w:tc>
          <w:tcPr>
            <w:tcW w:w="220" w:type="dxa"/>
            <w:vAlign w:val="bottom"/>
          </w:tcPr>
          <w:p>
            <w:pPr>
              <w:spacing w:after="0"/>
              <w:rPr>
                <w:sz w:val="14"/>
                <w:szCs w:val="14"/>
                <w:color w:val="auto"/>
              </w:rPr>
            </w:pPr>
          </w:p>
        </w:tc>
        <w:tc>
          <w:tcPr>
            <w:tcW w:w="980" w:type="dxa"/>
            <w:vAlign w:val="bottom"/>
            <w:tcBorders>
              <w:top w:val="single" w:sz="8" w:color="auto"/>
              <w:bottom w:val="single" w:sz="8" w:color="auto"/>
            </w:tcBorders>
          </w:tcPr>
          <w:p>
            <w:pPr>
              <w:ind w:left="600"/>
              <w:spacing w:after="0"/>
              <w:rPr>
                <w:sz w:val="20"/>
                <w:szCs w:val="20"/>
                <w:color w:val="auto"/>
              </w:rPr>
            </w:pPr>
            <w:r>
              <w:rPr>
                <w:rFonts w:ascii="Arial" w:cs="Arial" w:eastAsia="Arial" w:hAnsi="Arial"/>
                <w:sz w:val="13"/>
                <w:szCs w:val="13"/>
                <w:b w:val="1"/>
                <w:bCs w:val="1"/>
                <w:color w:val="auto"/>
                <w:w w:val="81"/>
              </w:rPr>
              <w:t>(50,241</w:t>
            </w:r>
          </w:p>
        </w:tc>
        <w:tc>
          <w:tcPr>
            <w:tcW w:w="220" w:type="dxa"/>
            <w:vAlign w:val="bottom"/>
          </w:tcPr>
          <w:p>
            <w:pPr>
              <w:jc w:val="right"/>
              <w:ind w:right="143"/>
              <w:spacing w:after="0"/>
              <w:rPr>
                <w:sz w:val="20"/>
                <w:szCs w:val="20"/>
                <w:color w:val="auto"/>
              </w:rPr>
            </w:pPr>
            <w:r>
              <w:rPr>
                <w:rFonts w:ascii="Arial" w:cs="Arial" w:eastAsia="Arial" w:hAnsi="Arial"/>
                <w:sz w:val="7"/>
                <w:szCs w:val="7"/>
                <w:b w:val="1"/>
                <w:bCs w:val="1"/>
                <w:color w:val="auto"/>
                <w:w w:val="83"/>
              </w:rPr>
              <w:t>)</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(15,298</w:t>
            </w:r>
          </w:p>
        </w:tc>
        <w:tc>
          <w:tcPr>
            <w:tcW w:w="120" w:type="dxa"/>
            <w:vAlign w:val="bottom"/>
          </w:tcPr>
          <w:p>
            <w:pPr>
              <w:jc w:val="right"/>
              <w:spacing w:after="0" w:line="146" w:lineRule="exact"/>
              <w:rPr>
                <w:sz w:val="20"/>
                <w:szCs w:val="20"/>
                <w:color w:val="auto"/>
              </w:rPr>
            </w:pPr>
            <w:r>
              <w:rPr>
                <w:rFonts w:ascii="Arial" w:cs="Arial" w:eastAsia="Arial" w:hAnsi="Arial"/>
                <w:sz w:val="13"/>
                <w:szCs w:val="13"/>
                <w:b w:val="1"/>
                <w:bCs w:val="1"/>
                <w:color w:val="auto"/>
                <w:w w:val="91"/>
              </w:rPr>
              <w:t>)</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467"/>
        </w:trPr>
        <w:tc>
          <w:tcPr>
            <w:tcW w:w="220" w:type="dxa"/>
            <w:vAlign w:val="bottom"/>
            <w:tcBorders>
              <w:bottom w:val="single" w:sz="8" w:color="auto"/>
            </w:tcBorders>
          </w:tcPr>
          <w:p>
            <w:pPr>
              <w:spacing w:after="0"/>
              <w:rPr>
                <w:sz w:val="24"/>
                <w:szCs w:val="24"/>
                <w:color w:val="auto"/>
              </w:rPr>
            </w:pPr>
          </w:p>
        </w:tc>
        <w:tc>
          <w:tcPr>
            <w:tcW w:w="38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gridSpan w:val="2"/>
          </w:tcPr>
          <w:p>
            <w:pPr>
              <w:ind w:left="240"/>
              <w:spacing w:after="0"/>
              <w:rPr>
                <w:sz w:val="20"/>
                <w:szCs w:val="20"/>
                <w:color w:val="auto"/>
              </w:rPr>
            </w:pPr>
            <w:r>
              <w:rPr>
                <w:rFonts w:ascii="Arial" w:cs="Arial" w:eastAsia="Arial" w:hAnsi="Arial"/>
                <w:sz w:val="13"/>
                <w:szCs w:val="13"/>
                <w:color w:val="auto"/>
              </w:rPr>
              <w:t>F-63</w:t>
            </w:r>
          </w:p>
        </w:tc>
        <w:tc>
          <w:tcPr>
            <w:tcW w:w="10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3"/>
          </w:cols>
          <w:pgMar w:left="217" w:top="685" w:right="199" w:bottom="1440" w:gutter="0" w:footer="0" w:header="0"/>
        </w:sectPr>
      </w:pPr>
    </w:p>
    <w:bookmarkStart w:id="188" w:name="page189"/>
    <w:bookmarkEnd w:id="188"/>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28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152"/>
        </w:numPr>
        <w:rPr>
          <w:rFonts w:ascii="Arial" w:cs="Arial" w:eastAsia="Arial" w:hAnsi="Arial"/>
          <w:sz w:val="13"/>
          <w:szCs w:val="13"/>
          <w:b w:val="1"/>
          <w:bCs w:val="1"/>
          <w:color w:val="auto"/>
        </w:rPr>
      </w:pPr>
      <w:r>
        <w:rPr>
          <w:rFonts w:ascii="Arial" w:cs="Arial" w:eastAsia="Arial" w:hAnsi="Arial"/>
          <w:sz w:val="13"/>
          <w:szCs w:val="13"/>
          <w:b w:val="1"/>
          <w:bCs w:val="1"/>
          <w:color w:val="auto"/>
        </w:rPr>
        <w:t>Impairment loss on non - financial assets</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Impairment losses on non-financial assets are as follows:</w:t>
      </w:r>
    </w:p>
    <w:p>
      <w:pPr>
        <w:spacing w:after="0" w:line="164" w:lineRule="exact"/>
        <w:rPr>
          <w:sz w:val="20"/>
          <w:szCs w:val="20"/>
          <w:color w:val="auto"/>
        </w:rPr>
      </w:pPr>
    </w:p>
    <w:tbl>
      <w:tblPr>
        <w:tblLayout w:type="fixed"/>
        <w:tblInd w:w="223" w:type="dxa"/>
        <w:tblCellMar>
          <w:top w:w="0" w:type="dxa"/>
          <w:left w:w="0" w:type="dxa"/>
          <w:bottom w:w="0" w:type="dxa"/>
          <w:right w:w="0" w:type="dxa"/>
        </w:tblCellMar>
      </w:tblPr>
      <w:tr>
        <w:trPr>
          <w:trHeight w:val="166"/>
        </w:trPr>
        <w:tc>
          <w:tcPr>
            <w:tcW w:w="66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2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400" w:type="dxa"/>
            <w:vAlign w:val="bottom"/>
            <w:tcBorders>
              <w:bottom w:val="single" w:sz="8" w:color="auto"/>
            </w:tcBorders>
            <w:gridSpan w:val="2"/>
          </w:tcPr>
          <w:p>
            <w:pPr>
              <w:ind w:left="220"/>
              <w:spacing w:after="0"/>
              <w:rPr>
                <w:sz w:val="20"/>
                <w:szCs w:val="20"/>
                <w:color w:val="auto"/>
              </w:rPr>
            </w:pPr>
            <w:r>
              <w:rPr>
                <w:rFonts w:ascii="Arial" w:cs="Arial" w:eastAsia="Arial" w:hAnsi="Arial"/>
                <w:sz w:val="13"/>
                <w:szCs w:val="13"/>
                <w:b w:val="1"/>
                <w:bCs w:val="1"/>
                <w:color w:val="auto"/>
              </w:rPr>
              <w:t>December 31,</w:t>
            </w:r>
          </w:p>
        </w:tc>
        <w:tc>
          <w:tcPr>
            <w:tcW w:w="120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r>
      <w:tr>
        <w:trPr>
          <w:trHeight w:val="154"/>
        </w:trPr>
        <w:tc>
          <w:tcPr>
            <w:tcW w:w="6780" w:type="dxa"/>
            <w:vAlign w:val="bottom"/>
            <w:gridSpan w:val="2"/>
          </w:tcPr>
          <w:p>
            <w:pPr>
              <w:spacing w:after="0"/>
              <w:rPr>
                <w:sz w:val="20"/>
                <w:szCs w:val="20"/>
                <w:color w:val="auto"/>
              </w:rPr>
            </w:pPr>
            <w:r>
              <w:rPr>
                <w:rFonts w:ascii="Arial" w:cs="Arial" w:eastAsia="Arial" w:hAnsi="Arial"/>
                <w:sz w:val="13"/>
                <w:szCs w:val="13"/>
                <w:b w:val="1"/>
                <w:bCs w:val="1"/>
                <w:color w:val="auto"/>
              </w:rPr>
              <w:t>Losses for:</w:t>
            </w:r>
          </w:p>
        </w:tc>
        <w:tc>
          <w:tcPr>
            <w:tcW w:w="1200" w:type="dxa"/>
            <w:vAlign w:val="bottom"/>
          </w:tcPr>
          <w:p>
            <w:pPr>
              <w:jc w:val="right"/>
              <w:ind w:right="416"/>
              <w:spacing w:after="0"/>
              <w:rPr>
                <w:sz w:val="20"/>
                <w:szCs w:val="20"/>
                <w:color w:val="auto"/>
              </w:rPr>
            </w:pPr>
            <w:r>
              <w:rPr>
                <w:rFonts w:ascii="Arial" w:cs="Arial" w:eastAsia="Arial" w:hAnsi="Arial"/>
                <w:sz w:val="13"/>
                <w:szCs w:val="13"/>
                <w:b w:val="1"/>
                <w:bCs w:val="1"/>
                <w:color w:val="auto"/>
              </w:rPr>
              <w:t>2018</w:t>
            </w:r>
          </w:p>
        </w:tc>
        <w:tc>
          <w:tcPr>
            <w:tcW w:w="220" w:type="dxa"/>
            <w:vAlign w:val="bottom"/>
          </w:tcPr>
          <w:p>
            <w:pPr>
              <w:spacing w:after="0"/>
              <w:rPr>
                <w:sz w:val="13"/>
                <w:szCs w:val="13"/>
                <w:color w:val="auto"/>
              </w:rPr>
            </w:pPr>
          </w:p>
        </w:tc>
        <w:tc>
          <w:tcPr>
            <w:tcW w:w="1200" w:type="dxa"/>
            <w:vAlign w:val="bottom"/>
          </w:tcPr>
          <w:p>
            <w:pPr>
              <w:jc w:val="right"/>
              <w:ind w:right="416"/>
              <w:spacing w:after="0"/>
              <w:rPr>
                <w:sz w:val="20"/>
                <w:szCs w:val="20"/>
                <w:color w:val="auto"/>
              </w:rPr>
            </w:pPr>
            <w:r>
              <w:rPr>
                <w:rFonts w:ascii="Arial" w:cs="Arial" w:eastAsia="Arial" w:hAnsi="Arial"/>
                <w:sz w:val="13"/>
                <w:szCs w:val="13"/>
                <w:b w:val="1"/>
                <w:bCs w:val="1"/>
                <w:color w:val="auto"/>
              </w:rPr>
              <w:t>2017</w:t>
            </w:r>
          </w:p>
        </w:tc>
        <w:tc>
          <w:tcPr>
            <w:tcW w:w="200" w:type="dxa"/>
            <w:vAlign w:val="bottom"/>
          </w:tcPr>
          <w:p>
            <w:pPr>
              <w:spacing w:after="0"/>
              <w:rPr>
                <w:sz w:val="13"/>
                <w:szCs w:val="13"/>
                <w:color w:val="auto"/>
              </w:rPr>
            </w:pPr>
          </w:p>
        </w:tc>
        <w:tc>
          <w:tcPr>
            <w:tcW w:w="1200" w:type="dxa"/>
            <w:vAlign w:val="bottom"/>
          </w:tcPr>
          <w:p>
            <w:pPr>
              <w:jc w:val="right"/>
              <w:ind w:right="396"/>
              <w:spacing w:after="0"/>
              <w:rPr>
                <w:sz w:val="20"/>
                <w:szCs w:val="20"/>
                <w:color w:val="auto"/>
              </w:rPr>
            </w:pPr>
            <w:r>
              <w:rPr>
                <w:rFonts w:ascii="Arial" w:cs="Arial" w:eastAsia="Arial" w:hAnsi="Arial"/>
                <w:sz w:val="13"/>
                <w:szCs w:val="13"/>
                <w:b w:val="1"/>
                <w:bCs w:val="1"/>
                <w:color w:val="auto"/>
              </w:rPr>
              <w:t>2016</w:t>
            </w: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r>
      <w:tr>
        <w:trPr>
          <w:trHeight w:val="144"/>
        </w:trPr>
        <w:tc>
          <w:tcPr>
            <w:tcW w:w="6660" w:type="dxa"/>
            <w:vAlign w:val="bottom"/>
            <w:tcBorders>
              <w:top w:val="single" w:sz="8" w:color="auto"/>
            </w:tcBorders>
            <w:shd w:val="clear" w:color="auto" w:fill="CCEEFF"/>
          </w:tcPr>
          <w:p>
            <w:pPr>
              <w:spacing w:after="0" w:line="144" w:lineRule="exact"/>
              <w:rPr>
                <w:sz w:val="20"/>
                <w:szCs w:val="20"/>
                <w:color w:val="auto"/>
              </w:rPr>
            </w:pPr>
            <w:r>
              <w:rPr>
                <w:rFonts w:ascii="Arial" w:cs="Arial" w:eastAsia="Arial" w:hAnsi="Arial"/>
                <w:sz w:val="13"/>
                <w:szCs w:val="13"/>
                <w:color w:val="auto"/>
              </w:rPr>
              <w:t>Impairment loss on other assets</w:t>
            </w:r>
          </w:p>
        </w:tc>
        <w:tc>
          <w:tcPr>
            <w:tcW w:w="1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(3,464)</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r>
      <w:tr>
        <w:trPr>
          <w:trHeight w:val="154"/>
        </w:trPr>
        <w:tc>
          <w:tcPr>
            <w:tcW w:w="6780" w:type="dxa"/>
            <w:vAlign w:val="bottom"/>
            <w:gridSpan w:val="2"/>
          </w:tcPr>
          <w:p>
            <w:pPr>
              <w:spacing w:after="0"/>
              <w:rPr>
                <w:sz w:val="20"/>
                <w:szCs w:val="20"/>
                <w:color w:val="auto"/>
              </w:rPr>
            </w:pPr>
            <w:r>
              <w:rPr>
                <w:rFonts w:ascii="Arial" w:cs="Arial" w:eastAsia="Arial" w:hAnsi="Arial"/>
                <w:sz w:val="13"/>
                <w:szCs w:val="13"/>
                <w:color w:val="auto"/>
              </w:rPr>
              <w:t>Impairment loss on investment properties</w:t>
            </w:r>
          </w:p>
        </w:tc>
        <w:tc>
          <w:tcPr>
            <w:tcW w:w="1420" w:type="dxa"/>
            <w:vAlign w:val="bottom"/>
            <w:gridSpan w:val="2"/>
          </w:tcPr>
          <w:p>
            <w:pPr>
              <w:jc w:val="right"/>
              <w:ind w:right="96"/>
              <w:spacing w:after="0"/>
              <w:rPr>
                <w:sz w:val="20"/>
                <w:szCs w:val="20"/>
                <w:color w:val="auto"/>
              </w:rPr>
            </w:pPr>
            <w:r>
              <w:rPr>
                <w:rFonts w:ascii="Arial" w:cs="Arial" w:eastAsia="Arial" w:hAnsi="Arial"/>
                <w:sz w:val="13"/>
                <w:szCs w:val="13"/>
                <w:color w:val="auto"/>
              </w:rPr>
              <w:t>(3,849)</w:t>
            </w: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220" w:type="dxa"/>
            <w:vAlign w:val="bottom"/>
            <w:gridSpan w:val="2"/>
          </w:tcPr>
          <w:p>
            <w:pPr>
              <w:jc w:val="right"/>
              <w:ind w:right="20"/>
              <w:spacing w:after="0"/>
              <w:rPr>
                <w:sz w:val="20"/>
                <w:szCs w:val="20"/>
                <w:color w:val="auto"/>
              </w:rPr>
            </w:pPr>
            <w:r>
              <w:rPr>
                <w:rFonts w:ascii="Arial" w:cs="Arial" w:eastAsia="Arial" w:hAnsi="Arial"/>
                <w:sz w:val="13"/>
                <w:szCs w:val="13"/>
                <w:color w:val="auto"/>
              </w:rPr>
              <w:t>-</w:t>
            </w:r>
          </w:p>
        </w:tc>
        <w:tc>
          <w:tcPr>
            <w:tcW w:w="80" w:type="dxa"/>
            <w:vAlign w:val="bottom"/>
          </w:tcPr>
          <w:p>
            <w:pPr>
              <w:spacing w:after="0"/>
              <w:rPr>
                <w:sz w:val="13"/>
                <w:szCs w:val="13"/>
                <w:color w:val="auto"/>
              </w:rPr>
            </w:pPr>
          </w:p>
        </w:tc>
      </w:tr>
      <w:tr>
        <w:trPr>
          <w:trHeight w:val="164"/>
        </w:trPr>
        <w:tc>
          <w:tcPr>
            <w:tcW w:w="678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Write off on intangible assets</w:t>
            </w:r>
          </w:p>
        </w:tc>
        <w:tc>
          <w:tcPr>
            <w:tcW w:w="1420" w:type="dxa"/>
            <w:vAlign w:val="bottom"/>
            <w:gridSpan w:val="2"/>
            <w:shd w:val="clear" w:color="auto" w:fill="CCEEFF"/>
          </w:tcPr>
          <w:p>
            <w:pPr>
              <w:jc w:val="right"/>
              <w:ind w:right="96"/>
              <w:spacing w:after="0"/>
              <w:rPr>
                <w:sz w:val="20"/>
                <w:szCs w:val="20"/>
                <w:color w:val="auto"/>
              </w:rPr>
            </w:pPr>
            <w:r>
              <w:rPr>
                <w:rFonts w:ascii="Arial" w:cs="Arial" w:eastAsia="Arial" w:hAnsi="Arial"/>
                <w:sz w:val="13"/>
                <w:szCs w:val="13"/>
                <w:color w:val="auto"/>
              </w:rPr>
              <w:t>(2,705)</w:t>
            </w: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4"/>
                <w:szCs w:val="14"/>
                <w:color w:val="auto"/>
              </w:rPr>
            </w:pP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w:t>
            </w:r>
          </w:p>
        </w:tc>
        <w:tc>
          <w:tcPr>
            <w:tcW w:w="80" w:type="dxa"/>
            <w:vAlign w:val="bottom"/>
            <w:shd w:val="clear" w:color="auto" w:fill="CCEEFF"/>
          </w:tcPr>
          <w:p>
            <w:pPr>
              <w:spacing w:after="0"/>
              <w:rPr>
                <w:sz w:val="14"/>
                <w:szCs w:val="14"/>
                <w:color w:val="auto"/>
              </w:rPr>
            </w:pPr>
          </w:p>
        </w:tc>
      </w:tr>
      <w:tr>
        <w:trPr>
          <w:trHeight w:val="162"/>
        </w:trPr>
        <w:tc>
          <w:tcPr>
            <w:tcW w:w="66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(10,018</w:t>
            </w:r>
          </w:p>
        </w:tc>
        <w:tc>
          <w:tcPr>
            <w:tcW w:w="220" w:type="dxa"/>
            <w:vAlign w:val="bottom"/>
          </w:tcPr>
          <w:p>
            <w:pPr>
              <w:jc w:val="right"/>
              <w:ind w:right="96"/>
              <w:spacing w:after="0" w:line="146" w:lineRule="exact"/>
              <w:rPr>
                <w:sz w:val="20"/>
                <w:szCs w:val="20"/>
                <w:color w:val="auto"/>
              </w:rPr>
            </w:pPr>
            <w:r>
              <w:rPr>
                <w:rFonts w:ascii="Arial" w:cs="Arial" w:eastAsia="Arial" w:hAnsi="Arial"/>
                <w:sz w:val="13"/>
                <w:szCs w:val="13"/>
                <w:b w:val="1"/>
                <w:bCs w:val="1"/>
                <w:color w:val="auto"/>
                <w:w w:val="91"/>
              </w:rPr>
              <w:t>)</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4"/>
                <w:szCs w:val="14"/>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color w:val="auto"/>
              </w:rPr>
              <w:t>-</w:t>
            </w:r>
          </w:p>
        </w:tc>
        <w:tc>
          <w:tcPr>
            <w:tcW w:w="20" w:type="dxa"/>
            <w:vAlign w:val="bottom"/>
            <w:tcBorders>
              <w:bottom w:val="single" w:sz="8" w:color="auto"/>
            </w:tcBorders>
          </w:tcPr>
          <w:p>
            <w:pPr>
              <w:spacing w:after="0"/>
              <w:rPr>
                <w:sz w:val="14"/>
                <w:szCs w:val="14"/>
                <w:color w:val="auto"/>
              </w:rPr>
            </w:pPr>
          </w:p>
        </w:tc>
        <w:tc>
          <w:tcPr>
            <w:tcW w:w="80" w:type="dxa"/>
            <w:vAlign w:val="bottom"/>
          </w:tcPr>
          <w:p>
            <w:pPr>
              <w:spacing w:after="0"/>
              <w:rPr>
                <w:sz w:val="14"/>
                <w:szCs w:val="14"/>
                <w:color w:val="auto"/>
              </w:rPr>
            </w:pPr>
          </w:p>
        </w:tc>
      </w:tr>
    </w:tbl>
    <w:p>
      <w:pPr>
        <w:spacing w:after="0" w:line="145" w:lineRule="exact"/>
        <w:rPr>
          <w:sz w:val="20"/>
          <w:szCs w:val="20"/>
          <w:color w:val="auto"/>
        </w:rPr>
      </w:pPr>
    </w:p>
    <w:p>
      <w:pPr>
        <w:jc w:val="both"/>
        <w:ind w:left="223"/>
        <w:spacing w:after="0" w:line="257" w:lineRule="auto"/>
        <w:rPr>
          <w:sz w:val="20"/>
          <w:szCs w:val="20"/>
          <w:color w:val="auto"/>
        </w:rPr>
      </w:pPr>
      <w:r>
        <w:rPr>
          <w:rFonts w:ascii="Arial" w:cs="Arial" w:eastAsia="Arial" w:hAnsi="Arial"/>
          <w:sz w:val="13"/>
          <w:szCs w:val="13"/>
          <w:color w:val="auto"/>
        </w:rPr>
        <w:t>As of December 31, 2018, the Bank made write offs corresponding mainly to technological projects classified as intangible assets by $2.7 million and other assets under development with a book value of $1.3 million. In addition, the storage silos received as payment for a restructured loan operation that were recorded as investment properties with a carrying amount of $3.8 million and other assets under development of the deed with a carrying amount of $1.7 million, were assessed by the Bank, determining a fair value of zero.</w:t>
      </w:r>
    </w:p>
    <w:p>
      <w:pPr>
        <w:spacing w:after="0" w:line="319" w:lineRule="exact"/>
        <w:rPr>
          <w:sz w:val="20"/>
          <w:szCs w:val="20"/>
          <w:color w:val="auto"/>
        </w:rPr>
      </w:pPr>
    </w:p>
    <w:p>
      <w:pPr>
        <w:jc w:val="center"/>
        <w:ind w:right="-22"/>
        <w:spacing w:after="0"/>
        <w:rPr>
          <w:sz w:val="20"/>
          <w:szCs w:val="20"/>
          <w:color w:val="auto"/>
        </w:rPr>
      </w:pPr>
      <w:r>
        <w:rPr>
          <w:rFonts w:ascii="Arial" w:cs="Arial" w:eastAsia="Arial" w:hAnsi="Arial"/>
          <w:sz w:val="13"/>
          <w:szCs w:val="13"/>
          <w:color w:val="auto"/>
        </w:rPr>
        <w:t>F-64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28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85" w:right="219" w:bottom="1440" w:gutter="0" w:footer="0" w:header="0"/>
        </w:sectPr>
      </w:pPr>
    </w:p>
    <w:bookmarkStart w:id="189" w:name="page190"/>
    <w:bookmarkEnd w:id="189"/>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28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153"/>
        </w:numPr>
        <w:rPr>
          <w:rFonts w:ascii="Arial" w:cs="Arial" w:eastAsia="Arial" w:hAnsi="Arial"/>
          <w:sz w:val="13"/>
          <w:szCs w:val="13"/>
          <w:b w:val="1"/>
          <w:bCs w:val="1"/>
          <w:color w:val="auto"/>
        </w:rPr>
      </w:pPr>
      <w:r>
        <w:rPr>
          <w:rFonts w:ascii="Arial" w:cs="Arial" w:eastAsia="Arial" w:hAnsi="Arial"/>
          <w:sz w:val="13"/>
          <w:szCs w:val="13"/>
          <w:b w:val="1"/>
          <w:bCs w:val="1"/>
          <w:color w:val="auto"/>
        </w:rPr>
        <w:t>Equipment and leasehold improvements</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A breakdown of cost, accumulated depreciation, additions and disposals of equipment and leasehold improvements is as follows:</w:t>
      </w:r>
    </w:p>
    <w:p>
      <w:pPr>
        <w:spacing w:after="0" w:line="155" w:lineRule="exact"/>
        <w:rPr>
          <w:sz w:val="20"/>
          <w:szCs w:val="20"/>
          <w:color w:val="auto"/>
        </w:rPr>
      </w:pPr>
    </w:p>
    <w:tbl>
      <w:tblPr>
        <w:tblLayout w:type="fixed"/>
        <w:tblInd w:w="3" w:type="dxa"/>
        <w:tblCellMar>
          <w:top w:w="0" w:type="dxa"/>
          <w:left w:w="0" w:type="dxa"/>
          <w:bottom w:w="0" w:type="dxa"/>
          <w:right w:w="0" w:type="dxa"/>
        </w:tblCellMar>
      </w:tblPr>
      <w:tr>
        <w:trPr>
          <w:trHeight w:val="154"/>
        </w:trPr>
        <w:tc>
          <w:tcPr>
            <w:tcW w:w="220" w:type="dxa"/>
            <w:vAlign w:val="bottom"/>
          </w:tcPr>
          <w:p>
            <w:pPr>
              <w:spacing w:after="0"/>
              <w:rPr>
                <w:sz w:val="13"/>
                <w:szCs w:val="13"/>
                <w:color w:val="auto"/>
              </w:rPr>
            </w:pPr>
          </w:p>
        </w:tc>
        <w:tc>
          <w:tcPr>
            <w:tcW w:w="394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20" w:type="dxa"/>
            <w:vAlign w:val="bottom"/>
            <w:gridSpan w:val="2"/>
          </w:tcPr>
          <w:p>
            <w:pPr>
              <w:jc w:val="right"/>
              <w:ind w:right="440"/>
              <w:spacing w:after="0"/>
              <w:rPr>
                <w:sz w:val="20"/>
                <w:szCs w:val="20"/>
                <w:color w:val="auto"/>
              </w:rPr>
            </w:pPr>
            <w:r>
              <w:rPr>
                <w:rFonts w:ascii="Arial" w:cs="Arial" w:eastAsia="Arial" w:hAnsi="Arial"/>
                <w:sz w:val="13"/>
                <w:szCs w:val="13"/>
                <w:b w:val="1"/>
                <w:bCs w:val="1"/>
                <w:color w:val="auto"/>
              </w:rPr>
              <w:t>Furniture and</w:t>
            </w:r>
          </w:p>
        </w:tc>
        <w:tc>
          <w:tcPr>
            <w:tcW w:w="1400" w:type="dxa"/>
            <w:vAlign w:val="bottom"/>
            <w:gridSpan w:val="2"/>
          </w:tcPr>
          <w:p>
            <w:pPr>
              <w:jc w:val="right"/>
              <w:ind w:right="540"/>
              <w:spacing w:after="0"/>
              <w:rPr>
                <w:sz w:val="20"/>
                <w:szCs w:val="20"/>
                <w:color w:val="auto"/>
              </w:rPr>
            </w:pPr>
            <w:r>
              <w:rPr>
                <w:rFonts w:ascii="Arial" w:cs="Arial" w:eastAsia="Arial" w:hAnsi="Arial"/>
                <w:sz w:val="13"/>
                <w:szCs w:val="13"/>
                <w:b w:val="1"/>
                <w:bCs w:val="1"/>
                <w:color w:val="auto"/>
              </w:rPr>
              <w:t>Leasehold</w:t>
            </w:r>
          </w:p>
        </w:tc>
        <w:tc>
          <w:tcPr>
            <w:tcW w:w="1400" w:type="dxa"/>
            <w:vAlign w:val="bottom"/>
            <w:gridSpan w:val="2"/>
          </w:tcPr>
          <w:p>
            <w:pPr>
              <w:jc w:val="right"/>
              <w:ind w:right="640"/>
              <w:spacing w:after="0"/>
              <w:rPr>
                <w:sz w:val="20"/>
                <w:szCs w:val="20"/>
                <w:color w:val="auto"/>
              </w:rPr>
            </w:pPr>
            <w:r>
              <w:rPr>
                <w:rFonts w:ascii="Arial" w:cs="Arial" w:eastAsia="Arial" w:hAnsi="Arial"/>
                <w:sz w:val="13"/>
                <w:szCs w:val="13"/>
                <w:b w:val="1"/>
                <w:bCs w:val="1"/>
                <w:color w:val="auto"/>
              </w:rPr>
              <w:t>Other</w:t>
            </w: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6"/>
        </w:trPr>
        <w:tc>
          <w:tcPr>
            <w:tcW w:w="220" w:type="dxa"/>
            <w:vAlign w:val="bottom"/>
          </w:tcPr>
          <w:p>
            <w:pPr>
              <w:spacing w:after="0"/>
              <w:rPr>
                <w:sz w:val="14"/>
                <w:szCs w:val="14"/>
                <w:color w:val="auto"/>
              </w:rPr>
            </w:pPr>
          </w:p>
        </w:tc>
        <w:tc>
          <w:tcPr>
            <w:tcW w:w="3940" w:type="dxa"/>
            <w:vAlign w:val="bottom"/>
          </w:tcPr>
          <w:p>
            <w:pPr>
              <w:spacing w:after="0"/>
              <w:rPr>
                <w:sz w:val="14"/>
                <w:szCs w:val="14"/>
                <w:color w:val="auto"/>
              </w:rPr>
            </w:pPr>
          </w:p>
        </w:tc>
        <w:tc>
          <w:tcPr>
            <w:tcW w:w="1440" w:type="dxa"/>
            <w:vAlign w:val="bottom"/>
            <w:gridSpan w:val="2"/>
          </w:tcPr>
          <w:p>
            <w:pPr>
              <w:jc w:val="right"/>
              <w:ind w:right="460"/>
              <w:spacing w:after="0"/>
              <w:rPr>
                <w:sz w:val="20"/>
                <w:szCs w:val="20"/>
                <w:color w:val="auto"/>
              </w:rPr>
            </w:pPr>
            <w:r>
              <w:rPr>
                <w:rFonts w:ascii="Arial" w:cs="Arial" w:eastAsia="Arial" w:hAnsi="Arial"/>
                <w:sz w:val="13"/>
                <w:szCs w:val="13"/>
                <w:b w:val="1"/>
                <w:bCs w:val="1"/>
                <w:color w:val="auto"/>
              </w:rPr>
              <w:t>IT equipment</w:t>
            </w:r>
          </w:p>
        </w:tc>
        <w:tc>
          <w:tcPr>
            <w:tcW w:w="1420" w:type="dxa"/>
            <w:vAlign w:val="bottom"/>
            <w:gridSpan w:val="2"/>
          </w:tcPr>
          <w:p>
            <w:pPr>
              <w:jc w:val="right"/>
              <w:ind w:right="580"/>
              <w:spacing w:after="0"/>
              <w:rPr>
                <w:sz w:val="20"/>
                <w:szCs w:val="20"/>
                <w:color w:val="auto"/>
              </w:rPr>
            </w:pPr>
            <w:r>
              <w:rPr>
                <w:rFonts w:ascii="Arial" w:cs="Arial" w:eastAsia="Arial" w:hAnsi="Arial"/>
                <w:sz w:val="13"/>
                <w:szCs w:val="13"/>
                <w:b w:val="1"/>
                <w:bCs w:val="1"/>
                <w:color w:val="auto"/>
              </w:rPr>
              <w:t>fixtures</w:t>
            </w:r>
          </w:p>
        </w:tc>
        <w:tc>
          <w:tcPr>
            <w:tcW w:w="1400" w:type="dxa"/>
            <w:vAlign w:val="bottom"/>
            <w:gridSpan w:val="2"/>
          </w:tcPr>
          <w:p>
            <w:pPr>
              <w:jc w:val="right"/>
              <w:ind w:right="440"/>
              <w:spacing w:after="0"/>
              <w:rPr>
                <w:sz w:val="20"/>
                <w:szCs w:val="20"/>
                <w:color w:val="auto"/>
              </w:rPr>
            </w:pPr>
            <w:r>
              <w:rPr>
                <w:rFonts w:ascii="Arial" w:cs="Arial" w:eastAsia="Arial" w:hAnsi="Arial"/>
                <w:sz w:val="13"/>
                <w:szCs w:val="13"/>
                <w:b w:val="1"/>
                <w:bCs w:val="1"/>
                <w:color w:val="auto"/>
              </w:rPr>
              <w:t>improvement</w:t>
            </w:r>
          </w:p>
        </w:tc>
        <w:tc>
          <w:tcPr>
            <w:tcW w:w="1400" w:type="dxa"/>
            <w:vAlign w:val="bottom"/>
            <w:gridSpan w:val="2"/>
          </w:tcPr>
          <w:p>
            <w:pPr>
              <w:jc w:val="right"/>
              <w:ind w:right="520"/>
              <w:spacing w:after="0"/>
              <w:rPr>
                <w:sz w:val="20"/>
                <w:szCs w:val="20"/>
                <w:color w:val="auto"/>
              </w:rPr>
            </w:pPr>
            <w:r>
              <w:rPr>
                <w:rFonts w:ascii="Arial" w:cs="Arial" w:eastAsia="Arial" w:hAnsi="Arial"/>
                <w:sz w:val="13"/>
                <w:szCs w:val="13"/>
                <w:b w:val="1"/>
                <w:bCs w:val="1"/>
                <w:color w:val="auto"/>
              </w:rPr>
              <w:t>equipment</w:t>
            </w:r>
          </w:p>
        </w:tc>
        <w:tc>
          <w:tcPr>
            <w:tcW w:w="1300" w:type="dxa"/>
            <w:vAlign w:val="bottom"/>
            <w:gridSpan w:val="2"/>
          </w:tcPr>
          <w:p>
            <w:pPr>
              <w:jc w:val="right"/>
              <w:ind w:right="560"/>
              <w:spacing w:after="0"/>
              <w:rPr>
                <w:sz w:val="20"/>
                <w:szCs w:val="20"/>
                <w:color w:val="auto"/>
              </w:rPr>
            </w:pPr>
            <w:r>
              <w:rPr>
                <w:rFonts w:ascii="Arial" w:cs="Arial" w:eastAsia="Arial" w:hAnsi="Arial"/>
                <w:sz w:val="13"/>
                <w:szCs w:val="13"/>
                <w:b w:val="1"/>
                <w:bCs w:val="1"/>
                <w:color w:val="auto"/>
              </w:rPr>
              <w:t>Total</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394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Cost:</w:t>
            </w:r>
          </w:p>
        </w:tc>
        <w:tc>
          <w:tcPr>
            <w:tcW w:w="12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3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940" w:type="dxa"/>
            <w:vAlign w:val="bottom"/>
          </w:tcPr>
          <w:p>
            <w:pPr>
              <w:spacing w:after="0"/>
              <w:rPr>
                <w:sz w:val="20"/>
                <w:szCs w:val="20"/>
                <w:color w:val="auto"/>
              </w:rPr>
            </w:pPr>
            <w:r>
              <w:rPr>
                <w:rFonts w:ascii="Arial" w:cs="Arial" w:eastAsia="Arial" w:hAnsi="Arial"/>
                <w:sz w:val="13"/>
                <w:szCs w:val="13"/>
                <w:b w:val="1"/>
                <w:bCs w:val="1"/>
                <w:color w:val="auto"/>
              </w:rPr>
              <w:t>Balance as of January 1, 2016</w:t>
            </w:r>
          </w:p>
        </w:tc>
        <w:tc>
          <w:tcPr>
            <w:tcW w:w="1220" w:type="dxa"/>
            <w:vAlign w:val="bottom"/>
          </w:tcPr>
          <w:p>
            <w:pPr>
              <w:jc w:val="right"/>
              <w:spacing w:after="0"/>
              <w:rPr>
                <w:sz w:val="20"/>
                <w:szCs w:val="20"/>
                <w:color w:val="auto"/>
              </w:rPr>
            </w:pPr>
            <w:r>
              <w:rPr>
                <w:rFonts w:ascii="Arial" w:cs="Arial" w:eastAsia="Arial" w:hAnsi="Arial"/>
                <w:sz w:val="13"/>
                <w:szCs w:val="13"/>
                <w:color w:val="auto"/>
              </w:rPr>
              <w:t>3,366</w:t>
            </w:r>
          </w:p>
        </w:tc>
        <w:tc>
          <w:tcPr>
            <w:tcW w:w="220" w:type="dxa"/>
            <w:vAlign w:val="bottom"/>
          </w:tcPr>
          <w:p>
            <w:pPr>
              <w:spacing w:after="0"/>
              <w:rPr>
                <w:sz w:val="13"/>
                <w:szCs w:val="13"/>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2,002</w:t>
            </w:r>
          </w:p>
        </w:tc>
        <w:tc>
          <w:tcPr>
            <w:tcW w:w="1180" w:type="dxa"/>
            <w:vAlign w:val="bottom"/>
          </w:tcPr>
          <w:p>
            <w:pPr>
              <w:jc w:val="right"/>
              <w:spacing w:after="0"/>
              <w:rPr>
                <w:sz w:val="20"/>
                <w:szCs w:val="20"/>
                <w:color w:val="auto"/>
              </w:rPr>
            </w:pPr>
            <w:r>
              <w:rPr>
                <w:rFonts w:ascii="Arial" w:cs="Arial" w:eastAsia="Arial" w:hAnsi="Arial"/>
                <w:sz w:val="13"/>
                <w:szCs w:val="13"/>
                <w:color w:val="auto"/>
              </w:rPr>
              <w:t>7,412</w:t>
            </w:r>
          </w:p>
        </w:tc>
        <w:tc>
          <w:tcPr>
            <w:tcW w:w="220" w:type="dxa"/>
            <w:vAlign w:val="bottom"/>
          </w:tcPr>
          <w:p>
            <w:pPr>
              <w:spacing w:after="0"/>
              <w:rPr>
                <w:sz w:val="13"/>
                <w:szCs w:val="13"/>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457</w:t>
            </w:r>
          </w:p>
        </w:tc>
        <w:tc>
          <w:tcPr>
            <w:tcW w:w="200" w:type="dxa"/>
            <w:vAlign w:val="bottom"/>
          </w:tcPr>
          <w:p>
            <w:pPr>
              <w:spacing w:after="0"/>
              <w:rPr>
                <w:sz w:val="13"/>
                <w:szCs w:val="13"/>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13,237</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940" w:type="dxa"/>
            <w:vAlign w:val="bottom"/>
            <w:shd w:val="clear" w:color="auto" w:fill="CCEEFF"/>
          </w:tcPr>
          <w:p>
            <w:pPr>
              <w:spacing w:after="0"/>
              <w:rPr>
                <w:sz w:val="20"/>
                <w:szCs w:val="20"/>
                <w:color w:val="auto"/>
              </w:rPr>
            </w:pPr>
            <w:r>
              <w:rPr>
                <w:rFonts w:ascii="Arial" w:cs="Arial" w:eastAsia="Arial" w:hAnsi="Arial"/>
                <w:sz w:val="13"/>
                <w:szCs w:val="13"/>
                <w:color w:val="auto"/>
              </w:rPr>
              <w:t>Additions</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1,436</w:t>
            </w:r>
          </w:p>
        </w:tc>
        <w:tc>
          <w:tcPr>
            <w:tcW w:w="22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2,137</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239</w:t>
            </w: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161</w:t>
            </w:r>
          </w:p>
        </w:tc>
        <w:tc>
          <w:tcPr>
            <w:tcW w:w="20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3,973</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3940" w:type="dxa"/>
            <w:vAlign w:val="bottom"/>
          </w:tcPr>
          <w:p>
            <w:pPr>
              <w:spacing w:after="0"/>
              <w:rPr>
                <w:sz w:val="20"/>
                <w:szCs w:val="20"/>
                <w:color w:val="auto"/>
              </w:rPr>
            </w:pPr>
            <w:r>
              <w:rPr>
                <w:rFonts w:ascii="Arial" w:cs="Arial" w:eastAsia="Arial" w:hAnsi="Arial"/>
                <w:sz w:val="13"/>
                <w:szCs w:val="13"/>
                <w:color w:val="auto"/>
              </w:rPr>
              <w:t>Disposals</w:t>
            </w:r>
          </w:p>
        </w:tc>
        <w:tc>
          <w:tcPr>
            <w:tcW w:w="1440" w:type="dxa"/>
            <w:vAlign w:val="bottom"/>
            <w:gridSpan w:val="2"/>
          </w:tcPr>
          <w:p>
            <w:pPr>
              <w:jc w:val="right"/>
              <w:ind w:right="180"/>
              <w:spacing w:after="0"/>
              <w:rPr>
                <w:sz w:val="20"/>
                <w:szCs w:val="20"/>
                <w:color w:val="auto"/>
              </w:rPr>
            </w:pPr>
            <w:r>
              <w:rPr>
                <w:rFonts w:ascii="Arial" w:cs="Arial" w:eastAsia="Arial" w:hAnsi="Arial"/>
                <w:sz w:val="13"/>
                <w:szCs w:val="13"/>
                <w:color w:val="auto"/>
              </w:rPr>
              <w:t>(416)</w:t>
            </w:r>
          </w:p>
        </w:tc>
        <w:tc>
          <w:tcPr>
            <w:tcW w:w="1420" w:type="dxa"/>
            <w:vAlign w:val="bottom"/>
            <w:gridSpan w:val="2"/>
          </w:tcPr>
          <w:p>
            <w:pPr>
              <w:jc w:val="right"/>
              <w:ind w:right="180"/>
              <w:spacing w:after="0"/>
              <w:rPr>
                <w:sz w:val="20"/>
                <w:szCs w:val="20"/>
                <w:color w:val="auto"/>
              </w:rPr>
            </w:pPr>
            <w:r>
              <w:rPr>
                <w:rFonts w:ascii="Arial" w:cs="Arial" w:eastAsia="Arial" w:hAnsi="Arial"/>
                <w:sz w:val="13"/>
                <w:szCs w:val="13"/>
                <w:color w:val="auto"/>
              </w:rPr>
              <w:t>(361)</w:t>
            </w:r>
          </w:p>
        </w:tc>
        <w:tc>
          <w:tcPr>
            <w:tcW w:w="1400" w:type="dxa"/>
            <w:vAlign w:val="bottom"/>
            <w:gridSpan w:val="2"/>
          </w:tcPr>
          <w:p>
            <w:pPr>
              <w:jc w:val="right"/>
              <w:ind w:right="160"/>
              <w:spacing w:after="0"/>
              <w:rPr>
                <w:sz w:val="20"/>
                <w:szCs w:val="20"/>
                <w:color w:val="auto"/>
              </w:rPr>
            </w:pPr>
            <w:r>
              <w:rPr>
                <w:rFonts w:ascii="Arial" w:cs="Arial" w:eastAsia="Arial" w:hAnsi="Arial"/>
                <w:sz w:val="13"/>
                <w:szCs w:val="13"/>
                <w:color w:val="auto"/>
              </w:rPr>
              <w:t>(880)</w:t>
            </w: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4"/>
                <w:szCs w:val="14"/>
                <w:color w:val="auto"/>
              </w:rPr>
            </w:pPr>
          </w:p>
        </w:tc>
        <w:tc>
          <w:tcPr>
            <w:tcW w:w="1300" w:type="dxa"/>
            <w:vAlign w:val="bottom"/>
            <w:gridSpan w:val="2"/>
          </w:tcPr>
          <w:p>
            <w:pPr>
              <w:jc w:val="right"/>
              <w:ind w:right="60"/>
              <w:spacing w:after="0"/>
              <w:rPr>
                <w:sz w:val="20"/>
                <w:szCs w:val="20"/>
                <w:color w:val="auto"/>
              </w:rPr>
            </w:pPr>
            <w:r>
              <w:rPr>
                <w:rFonts w:ascii="Arial" w:cs="Arial" w:eastAsia="Arial" w:hAnsi="Arial"/>
                <w:sz w:val="13"/>
                <w:szCs w:val="13"/>
                <w:color w:val="auto"/>
              </w:rPr>
              <w:t>(1,657)</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394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Balance as of December 31, 2016</w:t>
            </w:r>
          </w:p>
        </w:tc>
        <w:tc>
          <w:tcPr>
            <w:tcW w:w="12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4,386</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3,778</w:t>
            </w: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6,771</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618</w:t>
            </w: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15,553</w:t>
            </w:r>
          </w:p>
        </w:tc>
        <w:tc>
          <w:tcPr>
            <w:tcW w:w="100" w:type="dxa"/>
            <w:vAlign w:val="bottom"/>
            <w:tcBorders>
              <w:top w:val="single" w:sz="8" w:color="CCEEFF"/>
            </w:tcBorders>
            <w:shd w:val="clear" w:color="auto" w:fill="CCEEFF"/>
          </w:tcPr>
          <w:p>
            <w:pPr>
              <w:spacing w:after="0"/>
              <w:rPr>
                <w:sz w:val="12"/>
                <w:szCs w:val="12"/>
                <w:color w:val="auto"/>
              </w:rPr>
            </w:pPr>
          </w:p>
        </w:tc>
        <w:tc>
          <w:tcPr>
            <w:tcW w:w="3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940" w:type="dxa"/>
            <w:vAlign w:val="bottom"/>
          </w:tcPr>
          <w:p>
            <w:pPr>
              <w:spacing w:after="0"/>
              <w:rPr>
                <w:sz w:val="20"/>
                <w:szCs w:val="20"/>
                <w:color w:val="auto"/>
              </w:rPr>
            </w:pPr>
            <w:r>
              <w:rPr>
                <w:rFonts w:ascii="Arial" w:cs="Arial" w:eastAsia="Arial" w:hAnsi="Arial"/>
                <w:sz w:val="13"/>
                <w:szCs w:val="13"/>
                <w:color w:val="auto"/>
              </w:rPr>
              <w:t>Additions</w:t>
            </w:r>
          </w:p>
        </w:tc>
        <w:tc>
          <w:tcPr>
            <w:tcW w:w="1440" w:type="dxa"/>
            <w:vAlign w:val="bottom"/>
            <w:gridSpan w:val="2"/>
          </w:tcPr>
          <w:p>
            <w:pPr>
              <w:jc w:val="right"/>
              <w:ind w:right="220"/>
              <w:spacing w:after="0"/>
              <w:rPr>
                <w:sz w:val="20"/>
                <w:szCs w:val="20"/>
                <w:color w:val="auto"/>
              </w:rPr>
            </w:pPr>
            <w:r>
              <w:rPr>
                <w:rFonts w:ascii="Arial" w:cs="Arial" w:eastAsia="Arial" w:hAnsi="Arial"/>
                <w:sz w:val="13"/>
                <w:szCs w:val="13"/>
                <w:color w:val="auto"/>
              </w:rPr>
              <w:t>246</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461</w:t>
            </w:r>
          </w:p>
        </w:tc>
        <w:tc>
          <w:tcPr>
            <w:tcW w:w="1180" w:type="dxa"/>
            <w:vAlign w:val="bottom"/>
          </w:tcPr>
          <w:p>
            <w:pPr>
              <w:jc w:val="right"/>
              <w:spacing w:after="0"/>
              <w:rPr>
                <w:sz w:val="20"/>
                <w:szCs w:val="20"/>
                <w:color w:val="auto"/>
              </w:rPr>
            </w:pPr>
            <w:r>
              <w:rPr>
                <w:rFonts w:ascii="Arial" w:cs="Arial" w:eastAsia="Arial" w:hAnsi="Arial"/>
                <w:sz w:val="13"/>
                <w:szCs w:val="13"/>
                <w:color w:val="auto"/>
              </w:rPr>
              <w:t>39</w:t>
            </w:r>
          </w:p>
        </w:tc>
        <w:tc>
          <w:tcPr>
            <w:tcW w:w="220" w:type="dxa"/>
            <w:vAlign w:val="bottom"/>
          </w:tcPr>
          <w:p>
            <w:pPr>
              <w:spacing w:after="0"/>
              <w:rPr>
                <w:sz w:val="13"/>
                <w:szCs w:val="13"/>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1,908</w:t>
            </w:r>
          </w:p>
        </w:tc>
        <w:tc>
          <w:tcPr>
            <w:tcW w:w="200" w:type="dxa"/>
            <w:vAlign w:val="bottom"/>
          </w:tcPr>
          <w:p>
            <w:pPr>
              <w:spacing w:after="0"/>
              <w:rPr>
                <w:sz w:val="13"/>
                <w:szCs w:val="13"/>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2,654</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3940" w:type="dxa"/>
            <w:vAlign w:val="bottom"/>
            <w:shd w:val="clear" w:color="auto" w:fill="CCEEFF"/>
          </w:tcPr>
          <w:p>
            <w:pPr>
              <w:spacing w:after="0"/>
              <w:rPr>
                <w:sz w:val="20"/>
                <w:szCs w:val="20"/>
                <w:color w:val="auto"/>
              </w:rPr>
            </w:pPr>
            <w:r>
              <w:rPr>
                <w:rFonts w:ascii="Arial" w:cs="Arial" w:eastAsia="Arial" w:hAnsi="Arial"/>
                <w:sz w:val="13"/>
                <w:szCs w:val="13"/>
                <w:color w:val="auto"/>
              </w:rPr>
              <w:t>Disposals</w:t>
            </w:r>
          </w:p>
        </w:tc>
        <w:tc>
          <w:tcPr>
            <w:tcW w:w="144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(462)</w:t>
            </w:r>
          </w:p>
        </w:tc>
        <w:tc>
          <w:tcPr>
            <w:tcW w:w="14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(2,255)</w:t>
            </w: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(21)</w:t>
            </w:r>
          </w:p>
        </w:tc>
        <w:tc>
          <w:tcPr>
            <w:tcW w:w="13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(2,738)</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3940" w:type="dxa"/>
            <w:vAlign w:val="bottom"/>
          </w:tcPr>
          <w:p>
            <w:pPr>
              <w:spacing w:after="0" w:line="144" w:lineRule="exact"/>
              <w:rPr>
                <w:sz w:val="20"/>
                <w:szCs w:val="20"/>
                <w:color w:val="auto"/>
              </w:rPr>
            </w:pPr>
            <w:r>
              <w:rPr>
                <w:rFonts w:ascii="Arial" w:cs="Arial" w:eastAsia="Arial" w:hAnsi="Arial"/>
                <w:sz w:val="13"/>
                <w:szCs w:val="13"/>
                <w:b w:val="1"/>
                <w:bCs w:val="1"/>
                <w:color w:val="auto"/>
              </w:rPr>
              <w:t>Balance as of December 31, 2017</w:t>
            </w:r>
          </w:p>
        </w:tc>
        <w:tc>
          <w:tcPr>
            <w:tcW w:w="122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4,170</w:t>
            </w:r>
          </w:p>
        </w:tc>
        <w:tc>
          <w:tcPr>
            <w:tcW w:w="22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1,984</w:t>
            </w:r>
          </w:p>
        </w:tc>
        <w:tc>
          <w:tcPr>
            <w:tcW w:w="220" w:type="dxa"/>
            <w:vAlign w:val="bottom"/>
          </w:tcPr>
          <w:p>
            <w:pPr>
              <w:spacing w:after="0"/>
              <w:rPr>
                <w:sz w:val="12"/>
                <w:szCs w:val="12"/>
                <w:color w:val="auto"/>
              </w:rPr>
            </w:pPr>
          </w:p>
        </w:tc>
        <w:tc>
          <w:tcPr>
            <w:tcW w:w="118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6,810</w:t>
            </w:r>
          </w:p>
        </w:tc>
        <w:tc>
          <w:tcPr>
            <w:tcW w:w="22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2,505</w:t>
            </w:r>
          </w:p>
        </w:tc>
        <w:tc>
          <w:tcPr>
            <w:tcW w:w="20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15,469</w:t>
            </w:r>
          </w:p>
        </w:tc>
        <w:tc>
          <w:tcPr>
            <w:tcW w:w="10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940" w:type="dxa"/>
            <w:vAlign w:val="bottom"/>
            <w:shd w:val="clear" w:color="auto" w:fill="CCEEFF"/>
          </w:tcPr>
          <w:p>
            <w:pPr>
              <w:spacing w:after="0"/>
              <w:rPr>
                <w:sz w:val="20"/>
                <w:szCs w:val="20"/>
                <w:color w:val="auto"/>
              </w:rPr>
            </w:pPr>
            <w:r>
              <w:rPr>
                <w:rFonts w:ascii="Arial" w:cs="Arial" w:eastAsia="Arial" w:hAnsi="Arial"/>
                <w:sz w:val="13"/>
                <w:szCs w:val="13"/>
                <w:color w:val="auto"/>
              </w:rPr>
              <w:t>Additions</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411</w:t>
            </w: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12</w:t>
            </w:r>
          </w:p>
        </w:tc>
        <w:tc>
          <w:tcPr>
            <w:tcW w:w="220" w:type="dxa"/>
            <w:vAlign w:val="bottom"/>
            <w:shd w:val="clear" w:color="auto" w:fill="CCEEFF"/>
          </w:tcPr>
          <w:p>
            <w:pPr>
              <w:spacing w:after="0"/>
              <w:rPr>
                <w:sz w:val="13"/>
                <w:szCs w:val="13"/>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111</w:t>
            </w: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69</w:t>
            </w:r>
          </w:p>
        </w:tc>
        <w:tc>
          <w:tcPr>
            <w:tcW w:w="20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603</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940" w:type="dxa"/>
            <w:vAlign w:val="bottom"/>
          </w:tcPr>
          <w:p>
            <w:pPr>
              <w:spacing w:after="0"/>
              <w:rPr>
                <w:sz w:val="20"/>
                <w:szCs w:val="20"/>
                <w:color w:val="auto"/>
              </w:rPr>
            </w:pPr>
            <w:r>
              <w:rPr>
                <w:rFonts w:ascii="Arial" w:cs="Arial" w:eastAsia="Arial" w:hAnsi="Arial"/>
                <w:sz w:val="13"/>
                <w:szCs w:val="13"/>
                <w:color w:val="auto"/>
              </w:rPr>
              <w:t>Disposals</w:t>
            </w:r>
          </w:p>
        </w:tc>
        <w:tc>
          <w:tcPr>
            <w:tcW w:w="1440" w:type="dxa"/>
            <w:vAlign w:val="bottom"/>
            <w:gridSpan w:val="2"/>
          </w:tcPr>
          <w:p>
            <w:pPr>
              <w:jc w:val="right"/>
              <w:ind w:right="180"/>
              <w:spacing w:after="0"/>
              <w:rPr>
                <w:sz w:val="20"/>
                <w:szCs w:val="20"/>
                <w:color w:val="auto"/>
              </w:rPr>
            </w:pPr>
            <w:r>
              <w:rPr>
                <w:rFonts w:ascii="Arial" w:cs="Arial" w:eastAsia="Arial" w:hAnsi="Arial"/>
                <w:sz w:val="13"/>
                <w:szCs w:val="13"/>
                <w:color w:val="auto"/>
              </w:rPr>
              <w:t>(253)</w:t>
            </w:r>
          </w:p>
        </w:tc>
        <w:tc>
          <w:tcPr>
            <w:tcW w:w="1420" w:type="dxa"/>
            <w:vAlign w:val="bottom"/>
            <w:gridSpan w:val="2"/>
          </w:tcPr>
          <w:p>
            <w:pPr>
              <w:jc w:val="right"/>
              <w:ind w:right="180"/>
              <w:spacing w:after="0"/>
              <w:rPr>
                <w:sz w:val="20"/>
                <w:szCs w:val="20"/>
                <w:color w:val="auto"/>
              </w:rPr>
            </w:pPr>
            <w:r>
              <w:rPr>
                <w:rFonts w:ascii="Arial" w:cs="Arial" w:eastAsia="Arial" w:hAnsi="Arial"/>
                <w:sz w:val="13"/>
                <w:szCs w:val="13"/>
                <w:color w:val="auto"/>
              </w:rPr>
              <w:t>(97)</w:t>
            </w:r>
          </w:p>
        </w:tc>
        <w:tc>
          <w:tcPr>
            <w:tcW w:w="1400" w:type="dxa"/>
            <w:vAlign w:val="bottom"/>
            <w:gridSpan w:val="2"/>
          </w:tcPr>
          <w:p>
            <w:pPr>
              <w:jc w:val="right"/>
              <w:ind w:right="160"/>
              <w:spacing w:after="0"/>
              <w:rPr>
                <w:sz w:val="20"/>
                <w:szCs w:val="20"/>
                <w:color w:val="auto"/>
              </w:rPr>
            </w:pPr>
            <w:r>
              <w:rPr>
                <w:rFonts w:ascii="Arial" w:cs="Arial" w:eastAsia="Arial" w:hAnsi="Arial"/>
                <w:sz w:val="13"/>
                <w:szCs w:val="13"/>
                <w:color w:val="auto"/>
              </w:rPr>
              <w:t>(80)</w:t>
            </w:r>
          </w:p>
        </w:tc>
        <w:tc>
          <w:tcPr>
            <w:tcW w:w="1400" w:type="dxa"/>
            <w:vAlign w:val="bottom"/>
            <w:gridSpan w:val="2"/>
          </w:tcPr>
          <w:p>
            <w:pPr>
              <w:jc w:val="right"/>
              <w:ind w:right="160"/>
              <w:spacing w:after="0"/>
              <w:rPr>
                <w:sz w:val="20"/>
                <w:szCs w:val="20"/>
                <w:color w:val="auto"/>
              </w:rPr>
            </w:pPr>
            <w:r>
              <w:rPr>
                <w:rFonts w:ascii="Arial" w:cs="Arial" w:eastAsia="Arial" w:hAnsi="Arial"/>
                <w:sz w:val="13"/>
                <w:szCs w:val="13"/>
                <w:color w:val="auto"/>
              </w:rPr>
              <w:t>(62)</w:t>
            </w:r>
          </w:p>
        </w:tc>
        <w:tc>
          <w:tcPr>
            <w:tcW w:w="1300" w:type="dxa"/>
            <w:vAlign w:val="bottom"/>
            <w:gridSpan w:val="2"/>
          </w:tcPr>
          <w:p>
            <w:pPr>
              <w:jc w:val="right"/>
              <w:ind w:right="60"/>
              <w:spacing w:after="0"/>
              <w:rPr>
                <w:sz w:val="20"/>
                <w:szCs w:val="20"/>
                <w:color w:val="auto"/>
              </w:rPr>
            </w:pPr>
            <w:r>
              <w:rPr>
                <w:rFonts w:ascii="Arial" w:cs="Arial" w:eastAsia="Arial" w:hAnsi="Arial"/>
                <w:sz w:val="13"/>
                <w:szCs w:val="13"/>
                <w:color w:val="auto"/>
              </w:rPr>
              <w:t>(492)</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3940" w:type="dxa"/>
            <w:vAlign w:val="bottom"/>
            <w:shd w:val="clear" w:color="auto" w:fill="CCEEFF"/>
          </w:tcPr>
          <w:p>
            <w:pPr>
              <w:spacing w:after="0"/>
              <w:rPr>
                <w:sz w:val="20"/>
                <w:szCs w:val="20"/>
                <w:color w:val="auto"/>
              </w:rPr>
            </w:pPr>
            <w:r>
              <w:rPr>
                <w:rFonts w:ascii="Arial" w:cs="Arial" w:eastAsia="Arial" w:hAnsi="Arial"/>
                <w:sz w:val="13"/>
                <w:szCs w:val="13"/>
                <w:color w:val="auto"/>
              </w:rPr>
              <w:t>Reclassifications</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10</w:t>
            </w:r>
          </w:p>
        </w:tc>
        <w:tc>
          <w:tcPr>
            <w:tcW w:w="220" w:type="dxa"/>
            <w:vAlign w:val="bottom"/>
            <w:shd w:val="clear" w:color="auto" w:fill="CCEEFF"/>
          </w:tcPr>
          <w:p>
            <w:pPr>
              <w:spacing w:after="0"/>
              <w:rPr>
                <w:sz w:val="14"/>
                <w:szCs w:val="14"/>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4"/>
                <w:szCs w:val="14"/>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10</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3940" w:type="dxa"/>
            <w:vAlign w:val="bottom"/>
            <w:tcBorders>
              <w:bottom w:val="single" w:sz="8" w:color="CCEEFF"/>
            </w:tcBorders>
          </w:tcPr>
          <w:p>
            <w:pPr>
              <w:spacing w:after="0" w:line="146" w:lineRule="exact"/>
              <w:rPr>
                <w:sz w:val="20"/>
                <w:szCs w:val="20"/>
                <w:color w:val="auto"/>
              </w:rPr>
            </w:pPr>
            <w:r>
              <w:rPr>
                <w:rFonts w:ascii="Arial" w:cs="Arial" w:eastAsia="Arial" w:hAnsi="Arial"/>
                <w:sz w:val="13"/>
                <w:szCs w:val="13"/>
                <w:b w:val="1"/>
                <w:bCs w:val="1"/>
                <w:color w:val="auto"/>
              </w:rPr>
              <w:t>Balance as of December 31, 2018</w:t>
            </w: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4,338</w:t>
            </w:r>
          </w:p>
        </w:tc>
        <w:tc>
          <w:tcPr>
            <w:tcW w:w="220" w:type="dxa"/>
            <w:vAlign w:val="bottom"/>
            <w:tcBorders>
              <w:bottom w:val="single" w:sz="8" w:color="CCEEFF"/>
            </w:tcBorders>
          </w:tcPr>
          <w:p>
            <w:pPr>
              <w:spacing w:after="0"/>
              <w:rPr>
                <w:sz w:val="14"/>
                <w:szCs w:val="14"/>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1,899</w:t>
            </w:r>
          </w:p>
        </w:tc>
        <w:tc>
          <w:tcPr>
            <w:tcW w:w="220" w:type="dxa"/>
            <w:vAlign w:val="bottom"/>
            <w:tcBorders>
              <w:bottom w:val="single" w:sz="8" w:color="CCEEFF"/>
            </w:tcBorders>
          </w:tcPr>
          <w:p>
            <w:pPr>
              <w:spacing w:after="0"/>
              <w:rPr>
                <w:sz w:val="14"/>
                <w:szCs w:val="14"/>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6,841</w:t>
            </w:r>
          </w:p>
        </w:tc>
        <w:tc>
          <w:tcPr>
            <w:tcW w:w="220" w:type="dxa"/>
            <w:vAlign w:val="bottom"/>
            <w:tcBorders>
              <w:bottom w:val="single" w:sz="8" w:color="CCEEFF"/>
            </w:tcBorders>
          </w:tcPr>
          <w:p>
            <w:pPr>
              <w:spacing w:after="0"/>
              <w:rPr>
                <w:sz w:val="14"/>
                <w:szCs w:val="14"/>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2,512</w:t>
            </w:r>
          </w:p>
        </w:tc>
        <w:tc>
          <w:tcPr>
            <w:tcW w:w="200" w:type="dxa"/>
            <w:vAlign w:val="bottom"/>
            <w:tcBorders>
              <w:bottom w:val="single" w:sz="8" w:color="CCEEFF"/>
            </w:tcBorders>
          </w:tcPr>
          <w:p>
            <w:pPr>
              <w:spacing w:after="0"/>
              <w:rPr>
                <w:sz w:val="14"/>
                <w:szCs w:val="14"/>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15,590</w:t>
            </w:r>
          </w:p>
        </w:tc>
        <w:tc>
          <w:tcPr>
            <w:tcW w:w="100" w:type="dxa"/>
            <w:vAlign w:val="bottom"/>
            <w:tcBorders>
              <w:bottom w:val="single" w:sz="8" w:color="CCEEFF"/>
            </w:tcBorders>
          </w:tcPr>
          <w:p>
            <w:pPr>
              <w:spacing w:after="0"/>
              <w:rPr>
                <w:sz w:val="14"/>
                <w:szCs w:val="14"/>
                <w:color w:val="auto"/>
              </w:rPr>
            </w:pP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3940" w:type="dxa"/>
            <w:vAlign w:val="bottom"/>
            <w:shd w:val="clear" w:color="auto" w:fill="CCEEFF"/>
          </w:tcPr>
          <w:p>
            <w:pPr>
              <w:spacing w:after="0"/>
              <w:rPr>
                <w:sz w:val="13"/>
                <w:szCs w:val="13"/>
                <w:color w:val="auto"/>
              </w:rPr>
            </w:pPr>
          </w:p>
        </w:tc>
        <w:tc>
          <w:tcPr>
            <w:tcW w:w="12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1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3940" w:type="dxa"/>
            <w:vAlign w:val="bottom"/>
          </w:tcPr>
          <w:p>
            <w:pPr>
              <w:spacing w:after="0"/>
              <w:rPr>
                <w:sz w:val="20"/>
                <w:szCs w:val="20"/>
                <w:color w:val="auto"/>
              </w:rPr>
            </w:pPr>
            <w:r>
              <w:rPr>
                <w:rFonts w:ascii="Arial" w:cs="Arial" w:eastAsia="Arial" w:hAnsi="Arial"/>
                <w:sz w:val="13"/>
                <w:szCs w:val="13"/>
                <w:b w:val="1"/>
                <w:bCs w:val="1"/>
                <w:color w:val="auto"/>
              </w:rPr>
              <w:t>Accumulated depreciation:</w:t>
            </w:r>
          </w:p>
        </w:tc>
        <w:tc>
          <w:tcPr>
            <w:tcW w:w="12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94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Balance as of January 1, 2016</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2,671</w:t>
            </w:r>
          </w:p>
        </w:tc>
        <w:tc>
          <w:tcPr>
            <w:tcW w:w="22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1,491</w:t>
            </w: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2,536</w:t>
            </w: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366</w:t>
            </w:r>
          </w:p>
        </w:tc>
        <w:tc>
          <w:tcPr>
            <w:tcW w:w="20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7,064</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940" w:type="dxa"/>
            <w:vAlign w:val="bottom"/>
          </w:tcPr>
          <w:p>
            <w:pPr>
              <w:spacing w:after="0"/>
              <w:rPr>
                <w:sz w:val="20"/>
                <w:szCs w:val="20"/>
                <w:color w:val="auto"/>
              </w:rPr>
            </w:pPr>
            <w:r>
              <w:rPr>
                <w:rFonts w:ascii="Arial" w:cs="Arial" w:eastAsia="Arial" w:hAnsi="Arial"/>
                <w:sz w:val="13"/>
                <w:szCs w:val="13"/>
                <w:color w:val="auto"/>
              </w:rPr>
              <w:t>Amortisation for the year</w:t>
            </w:r>
          </w:p>
        </w:tc>
        <w:tc>
          <w:tcPr>
            <w:tcW w:w="1440" w:type="dxa"/>
            <w:vAlign w:val="bottom"/>
            <w:gridSpan w:val="2"/>
          </w:tcPr>
          <w:p>
            <w:pPr>
              <w:jc w:val="right"/>
              <w:ind w:right="220"/>
              <w:spacing w:after="0"/>
              <w:rPr>
                <w:sz w:val="20"/>
                <w:szCs w:val="20"/>
                <w:color w:val="auto"/>
              </w:rPr>
            </w:pPr>
            <w:r>
              <w:rPr>
                <w:rFonts w:ascii="Arial" w:cs="Arial" w:eastAsia="Arial" w:hAnsi="Arial"/>
                <w:sz w:val="13"/>
                <w:szCs w:val="13"/>
                <w:color w:val="auto"/>
              </w:rPr>
              <w:t>483</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384</w:t>
            </w:r>
          </w:p>
        </w:tc>
        <w:tc>
          <w:tcPr>
            <w:tcW w:w="1400" w:type="dxa"/>
            <w:vAlign w:val="bottom"/>
            <w:gridSpan w:val="2"/>
          </w:tcPr>
          <w:p>
            <w:pPr>
              <w:jc w:val="right"/>
              <w:ind w:right="220"/>
              <w:spacing w:after="0"/>
              <w:rPr>
                <w:sz w:val="20"/>
                <w:szCs w:val="20"/>
                <w:color w:val="auto"/>
              </w:rPr>
            </w:pPr>
            <w:r>
              <w:rPr>
                <w:rFonts w:ascii="Arial" w:cs="Arial" w:eastAsia="Arial" w:hAnsi="Arial"/>
                <w:sz w:val="13"/>
                <w:szCs w:val="13"/>
                <w:color w:val="auto"/>
              </w:rPr>
              <w:t>513</w:t>
            </w:r>
          </w:p>
        </w:tc>
        <w:tc>
          <w:tcPr>
            <w:tcW w:w="1200" w:type="dxa"/>
            <w:vAlign w:val="bottom"/>
          </w:tcPr>
          <w:p>
            <w:pPr>
              <w:jc w:val="right"/>
              <w:spacing w:after="0"/>
              <w:rPr>
                <w:sz w:val="20"/>
                <w:szCs w:val="20"/>
                <w:color w:val="auto"/>
              </w:rPr>
            </w:pPr>
            <w:r>
              <w:rPr>
                <w:rFonts w:ascii="Arial" w:cs="Arial" w:eastAsia="Arial" w:hAnsi="Arial"/>
                <w:sz w:val="13"/>
                <w:szCs w:val="13"/>
                <w:color w:val="auto"/>
              </w:rPr>
              <w:t>77</w:t>
            </w:r>
          </w:p>
        </w:tc>
        <w:tc>
          <w:tcPr>
            <w:tcW w:w="200" w:type="dxa"/>
            <w:vAlign w:val="bottom"/>
          </w:tcPr>
          <w:p>
            <w:pPr>
              <w:spacing w:after="0"/>
              <w:rPr>
                <w:sz w:val="13"/>
                <w:szCs w:val="13"/>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1,457</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3940" w:type="dxa"/>
            <w:vAlign w:val="bottom"/>
            <w:shd w:val="clear" w:color="auto" w:fill="CCEEFF"/>
          </w:tcPr>
          <w:p>
            <w:pPr>
              <w:spacing w:after="0"/>
              <w:rPr>
                <w:sz w:val="20"/>
                <w:szCs w:val="20"/>
                <w:color w:val="auto"/>
              </w:rPr>
            </w:pPr>
            <w:r>
              <w:rPr>
                <w:rFonts w:ascii="Arial" w:cs="Arial" w:eastAsia="Arial" w:hAnsi="Arial"/>
                <w:sz w:val="13"/>
                <w:szCs w:val="13"/>
                <w:color w:val="auto"/>
              </w:rPr>
              <w:t>Disposals</w:t>
            </w:r>
          </w:p>
        </w:tc>
        <w:tc>
          <w:tcPr>
            <w:tcW w:w="144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(412)</w:t>
            </w:r>
          </w:p>
        </w:tc>
        <w:tc>
          <w:tcPr>
            <w:tcW w:w="14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(230)</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(875)</w:t>
            </w: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4"/>
                <w:szCs w:val="14"/>
                <w:color w:val="auto"/>
              </w:rPr>
            </w:pPr>
          </w:p>
        </w:tc>
        <w:tc>
          <w:tcPr>
            <w:tcW w:w="13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(1,517)</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3940" w:type="dxa"/>
            <w:vAlign w:val="bottom"/>
          </w:tcPr>
          <w:p>
            <w:pPr>
              <w:spacing w:after="0" w:line="144" w:lineRule="exact"/>
              <w:rPr>
                <w:sz w:val="20"/>
                <w:szCs w:val="20"/>
                <w:color w:val="auto"/>
              </w:rPr>
            </w:pPr>
            <w:r>
              <w:rPr>
                <w:rFonts w:ascii="Arial" w:cs="Arial" w:eastAsia="Arial" w:hAnsi="Arial"/>
                <w:sz w:val="13"/>
                <w:szCs w:val="13"/>
                <w:b w:val="1"/>
                <w:bCs w:val="1"/>
                <w:color w:val="auto"/>
              </w:rPr>
              <w:t>Balance as of December 31, 2016</w:t>
            </w:r>
          </w:p>
        </w:tc>
        <w:tc>
          <w:tcPr>
            <w:tcW w:w="122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2,742</w:t>
            </w:r>
          </w:p>
        </w:tc>
        <w:tc>
          <w:tcPr>
            <w:tcW w:w="22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1,645</w:t>
            </w:r>
          </w:p>
        </w:tc>
        <w:tc>
          <w:tcPr>
            <w:tcW w:w="220" w:type="dxa"/>
            <w:vAlign w:val="bottom"/>
          </w:tcPr>
          <w:p>
            <w:pPr>
              <w:spacing w:after="0"/>
              <w:rPr>
                <w:sz w:val="12"/>
                <w:szCs w:val="12"/>
                <w:color w:val="auto"/>
              </w:rPr>
            </w:pPr>
          </w:p>
        </w:tc>
        <w:tc>
          <w:tcPr>
            <w:tcW w:w="118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2,174</w:t>
            </w:r>
          </w:p>
        </w:tc>
        <w:tc>
          <w:tcPr>
            <w:tcW w:w="22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443</w:t>
            </w:r>
          </w:p>
        </w:tc>
        <w:tc>
          <w:tcPr>
            <w:tcW w:w="20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7,004</w:t>
            </w:r>
          </w:p>
        </w:tc>
        <w:tc>
          <w:tcPr>
            <w:tcW w:w="10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940" w:type="dxa"/>
            <w:vAlign w:val="bottom"/>
            <w:shd w:val="clear" w:color="auto" w:fill="CCEEFF"/>
          </w:tcPr>
          <w:p>
            <w:pPr>
              <w:spacing w:after="0"/>
              <w:rPr>
                <w:sz w:val="20"/>
                <w:szCs w:val="20"/>
                <w:color w:val="auto"/>
              </w:rPr>
            </w:pPr>
            <w:r>
              <w:rPr>
                <w:rFonts w:ascii="Arial" w:cs="Arial" w:eastAsia="Arial" w:hAnsi="Arial"/>
                <w:sz w:val="13"/>
                <w:szCs w:val="13"/>
                <w:color w:val="auto"/>
              </w:rPr>
              <w:t>Amortisation for the year</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587</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149</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474</w:t>
            </w: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368</w:t>
            </w:r>
          </w:p>
        </w:tc>
        <w:tc>
          <w:tcPr>
            <w:tcW w:w="200" w:type="dxa"/>
            <w:vAlign w:val="bottom"/>
            <w:shd w:val="clear" w:color="auto" w:fill="CCEEFF"/>
          </w:tcPr>
          <w:p>
            <w:pPr>
              <w:spacing w:after="0"/>
              <w:rPr>
                <w:sz w:val="13"/>
                <w:szCs w:val="13"/>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1,578</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3940" w:type="dxa"/>
            <w:vAlign w:val="bottom"/>
          </w:tcPr>
          <w:p>
            <w:pPr>
              <w:spacing w:after="0"/>
              <w:rPr>
                <w:sz w:val="20"/>
                <w:szCs w:val="20"/>
                <w:color w:val="auto"/>
              </w:rPr>
            </w:pPr>
            <w:r>
              <w:rPr>
                <w:rFonts w:ascii="Arial" w:cs="Arial" w:eastAsia="Arial" w:hAnsi="Arial"/>
                <w:sz w:val="13"/>
                <w:szCs w:val="13"/>
                <w:color w:val="auto"/>
              </w:rPr>
              <w:t>Disposals</w:t>
            </w:r>
          </w:p>
        </w:tc>
        <w:tc>
          <w:tcPr>
            <w:tcW w:w="1440" w:type="dxa"/>
            <w:vAlign w:val="bottom"/>
            <w:gridSpan w:val="2"/>
          </w:tcPr>
          <w:p>
            <w:pPr>
              <w:jc w:val="right"/>
              <w:ind w:right="180"/>
              <w:spacing w:after="0"/>
              <w:rPr>
                <w:sz w:val="20"/>
                <w:szCs w:val="20"/>
                <w:color w:val="auto"/>
              </w:rPr>
            </w:pPr>
            <w:r>
              <w:rPr>
                <w:rFonts w:ascii="Arial" w:cs="Arial" w:eastAsia="Arial" w:hAnsi="Arial"/>
                <w:sz w:val="13"/>
                <w:szCs w:val="13"/>
                <w:color w:val="auto"/>
              </w:rPr>
              <w:t>(459)</w:t>
            </w:r>
          </w:p>
        </w:tc>
        <w:tc>
          <w:tcPr>
            <w:tcW w:w="1420" w:type="dxa"/>
            <w:vAlign w:val="bottom"/>
            <w:gridSpan w:val="2"/>
          </w:tcPr>
          <w:p>
            <w:pPr>
              <w:jc w:val="right"/>
              <w:ind w:right="180"/>
              <w:spacing w:after="0"/>
              <w:rPr>
                <w:sz w:val="20"/>
                <w:szCs w:val="20"/>
                <w:color w:val="auto"/>
              </w:rPr>
            </w:pPr>
            <w:r>
              <w:rPr>
                <w:rFonts w:ascii="Arial" w:cs="Arial" w:eastAsia="Arial" w:hAnsi="Arial"/>
                <w:sz w:val="13"/>
                <w:szCs w:val="13"/>
                <w:color w:val="auto"/>
              </w:rPr>
              <w:t>(54)</w:t>
            </w:r>
          </w:p>
        </w:tc>
        <w:tc>
          <w:tcPr>
            <w:tcW w:w="11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400" w:type="dxa"/>
            <w:vAlign w:val="bottom"/>
            <w:gridSpan w:val="2"/>
          </w:tcPr>
          <w:p>
            <w:pPr>
              <w:jc w:val="right"/>
              <w:ind w:right="160"/>
              <w:spacing w:after="0"/>
              <w:rPr>
                <w:sz w:val="20"/>
                <w:szCs w:val="20"/>
                <w:color w:val="auto"/>
              </w:rPr>
            </w:pPr>
            <w:r>
              <w:rPr>
                <w:rFonts w:ascii="Arial" w:cs="Arial" w:eastAsia="Arial" w:hAnsi="Arial"/>
                <w:sz w:val="13"/>
                <w:szCs w:val="13"/>
                <w:color w:val="auto"/>
              </w:rPr>
              <w:t>(20)</w:t>
            </w:r>
          </w:p>
        </w:tc>
        <w:tc>
          <w:tcPr>
            <w:tcW w:w="1300" w:type="dxa"/>
            <w:vAlign w:val="bottom"/>
            <w:gridSpan w:val="2"/>
          </w:tcPr>
          <w:p>
            <w:pPr>
              <w:jc w:val="right"/>
              <w:ind w:right="60"/>
              <w:spacing w:after="0"/>
              <w:rPr>
                <w:sz w:val="20"/>
                <w:szCs w:val="20"/>
                <w:color w:val="auto"/>
              </w:rPr>
            </w:pPr>
            <w:r>
              <w:rPr>
                <w:rFonts w:ascii="Arial" w:cs="Arial" w:eastAsia="Arial" w:hAnsi="Arial"/>
                <w:sz w:val="13"/>
                <w:szCs w:val="13"/>
                <w:color w:val="auto"/>
              </w:rPr>
              <w:t>(533)</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394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Balance as of December 31, 2017</w:t>
            </w:r>
          </w:p>
        </w:tc>
        <w:tc>
          <w:tcPr>
            <w:tcW w:w="12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2,870</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1,740</w:t>
            </w: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2,648</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791</w:t>
            </w:r>
          </w:p>
        </w:tc>
        <w:tc>
          <w:tcPr>
            <w:tcW w:w="20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8,049</w:t>
            </w:r>
          </w:p>
        </w:tc>
        <w:tc>
          <w:tcPr>
            <w:tcW w:w="100" w:type="dxa"/>
            <w:vAlign w:val="bottom"/>
            <w:tcBorders>
              <w:top w:val="single" w:sz="8" w:color="CCEEFF"/>
            </w:tcBorders>
            <w:shd w:val="clear" w:color="auto" w:fill="CCEEFF"/>
          </w:tcPr>
          <w:p>
            <w:pPr>
              <w:spacing w:after="0"/>
              <w:rPr>
                <w:sz w:val="12"/>
                <w:szCs w:val="12"/>
                <w:color w:val="auto"/>
              </w:rPr>
            </w:pPr>
          </w:p>
        </w:tc>
        <w:tc>
          <w:tcPr>
            <w:tcW w:w="3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940" w:type="dxa"/>
            <w:vAlign w:val="bottom"/>
          </w:tcPr>
          <w:p>
            <w:pPr>
              <w:spacing w:after="0"/>
              <w:rPr>
                <w:sz w:val="20"/>
                <w:szCs w:val="20"/>
                <w:color w:val="auto"/>
              </w:rPr>
            </w:pPr>
            <w:r>
              <w:rPr>
                <w:rFonts w:ascii="Arial" w:cs="Arial" w:eastAsia="Arial" w:hAnsi="Arial"/>
                <w:sz w:val="13"/>
                <w:szCs w:val="13"/>
                <w:color w:val="auto"/>
              </w:rPr>
              <w:t>Amortisation for the year</w:t>
            </w:r>
          </w:p>
        </w:tc>
        <w:tc>
          <w:tcPr>
            <w:tcW w:w="1440" w:type="dxa"/>
            <w:vAlign w:val="bottom"/>
            <w:gridSpan w:val="2"/>
          </w:tcPr>
          <w:p>
            <w:pPr>
              <w:jc w:val="right"/>
              <w:ind w:right="220"/>
              <w:spacing w:after="0"/>
              <w:rPr>
                <w:sz w:val="20"/>
                <w:szCs w:val="20"/>
                <w:color w:val="auto"/>
              </w:rPr>
            </w:pPr>
            <w:r>
              <w:rPr>
                <w:rFonts w:ascii="Arial" w:cs="Arial" w:eastAsia="Arial" w:hAnsi="Arial"/>
                <w:sz w:val="13"/>
                <w:szCs w:val="13"/>
                <w:color w:val="auto"/>
              </w:rPr>
              <w:t>516</w:t>
            </w:r>
          </w:p>
        </w:tc>
        <w:tc>
          <w:tcPr>
            <w:tcW w:w="1200" w:type="dxa"/>
            <w:vAlign w:val="bottom"/>
          </w:tcPr>
          <w:p>
            <w:pPr>
              <w:jc w:val="right"/>
              <w:spacing w:after="0"/>
              <w:rPr>
                <w:sz w:val="20"/>
                <w:szCs w:val="20"/>
                <w:color w:val="auto"/>
              </w:rPr>
            </w:pPr>
            <w:r>
              <w:rPr>
                <w:rFonts w:ascii="Arial" w:cs="Arial" w:eastAsia="Arial" w:hAnsi="Arial"/>
                <w:sz w:val="13"/>
                <w:szCs w:val="13"/>
                <w:color w:val="auto"/>
              </w:rPr>
              <w:t>64</w:t>
            </w:r>
          </w:p>
        </w:tc>
        <w:tc>
          <w:tcPr>
            <w:tcW w:w="220" w:type="dxa"/>
            <w:vAlign w:val="bottom"/>
          </w:tcPr>
          <w:p>
            <w:pPr>
              <w:spacing w:after="0"/>
              <w:rPr>
                <w:sz w:val="13"/>
                <w:szCs w:val="13"/>
                <w:color w:val="auto"/>
              </w:rPr>
            </w:pPr>
          </w:p>
        </w:tc>
        <w:tc>
          <w:tcPr>
            <w:tcW w:w="1400" w:type="dxa"/>
            <w:vAlign w:val="bottom"/>
            <w:gridSpan w:val="2"/>
          </w:tcPr>
          <w:p>
            <w:pPr>
              <w:jc w:val="right"/>
              <w:ind w:right="220"/>
              <w:spacing w:after="0"/>
              <w:rPr>
                <w:sz w:val="20"/>
                <w:szCs w:val="20"/>
                <w:color w:val="auto"/>
              </w:rPr>
            </w:pPr>
            <w:r>
              <w:rPr>
                <w:rFonts w:ascii="Arial" w:cs="Arial" w:eastAsia="Arial" w:hAnsi="Arial"/>
                <w:sz w:val="13"/>
                <w:szCs w:val="13"/>
                <w:color w:val="auto"/>
              </w:rPr>
              <w:t>480</w:t>
            </w:r>
          </w:p>
        </w:tc>
        <w:tc>
          <w:tcPr>
            <w:tcW w:w="1200" w:type="dxa"/>
            <w:vAlign w:val="bottom"/>
          </w:tcPr>
          <w:p>
            <w:pPr>
              <w:jc w:val="right"/>
              <w:spacing w:after="0"/>
              <w:rPr>
                <w:sz w:val="20"/>
                <w:szCs w:val="20"/>
                <w:color w:val="auto"/>
              </w:rPr>
            </w:pPr>
            <w:r>
              <w:rPr>
                <w:rFonts w:ascii="Arial" w:cs="Arial" w:eastAsia="Arial" w:hAnsi="Arial"/>
                <w:sz w:val="13"/>
                <w:szCs w:val="13"/>
                <w:color w:val="auto"/>
              </w:rPr>
              <w:t>222</w:t>
            </w:r>
          </w:p>
        </w:tc>
        <w:tc>
          <w:tcPr>
            <w:tcW w:w="200" w:type="dxa"/>
            <w:vAlign w:val="bottom"/>
          </w:tcPr>
          <w:p>
            <w:pPr>
              <w:spacing w:after="0"/>
              <w:rPr>
                <w:sz w:val="13"/>
                <w:szCs w:val="13"/>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1,282</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940" w:type="dxa"/>
            <w:vAlign w:val="bottom"/>
            <w:shd w:val="clear" w:color="auto" w:fill="CCEEFF"/>
          </w:tcPr>
          <w:p>
            <w:pPr>
              <w:spacing w:after="0"/>
              <w:rPr>
                <w:sz w:val="20"/>
                <w:szCs w:val="20"/>
                <w:color w:val="auto"/>
              </w:rPr>
            </w:pPr>
            <w:r>
              <w:rPr>
                <w:rFonts w:ascii="Arial" w:cs="Arial" w:eastAsia="Arial" w:hAnsi="Arial"/>
                <w:sz w:val="13"/>
                <w:szCs w:val="13"/>
                <w:color w:val="auto"/>
              </w:rPr>
              <w:t>Disposals</w:t>
            </w:r>
          </w:p>
        </w:tc>
        <w:tc>
          <w:tcPr>
            <w:tcW w:w="144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(159)</w:t>
            </w:r>
          </w:p>
        </w:tc>
        <w:tc>
          <w:tcPr>
            <w:tcW w:w="14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(89)</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(127)</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(94)</w:t>
            </w:r>
          </w:p>
        </w:tc>
        <w:tc>
          <w:tcPr>
            <w:tcW w:w="13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(469)</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3940" w:type="dxa"/>
            <w:vAlign w:val="bottom"/>
          </w:tcPr>
          <w:p>
            <w:pPr>
              <w:spacing w:after="0"/>
              <w:rPr>
                <w:sz w:val="20"/>
                <w:szCs w:val="20"/>
                <w:color w:val="auto"/>
              </w:rPr>
            </w:pPr>
            <w:r>
              <w:rPr>
                <w:rFonts w:ascii="Arial" w:cs="Arial" w:eastAsia="Arial" w:hAnsi="Arial"/>
                <w:sz w:val="13"/>
                <w:szCs w:val="13"/>
                <w:color w:val="auto"/>
              </w:rPr>
              <w:t>Reclassifications</w:t>
            </w:r>
          </w:p>
        </w:tc>
        <w:tc>
          <w:tcPr>
            <w:tcW w:w="1220" w:type="dxa"/>
            <w:vAlign w:val="bottom"/>
          </w:tcPr>
          <w:p>
            <w:pPr>
              <w:jc w:val="right"/>
              <w:spacing w:after="0"/>
              <w:rPr>
                <w:sz w:val="20"/>
                <w:szCs w:val="20"/>
                <w:color w:val="auto"/>
              </w:rPr>
            </w:pPr>
            <w:r>
              <w:rPr>
                <w:rFonts w:ascii="Arial" w:cs="Arial" w:eastAsia="Arial" w:hAnsi="Arial"/>
                <w:sz w:val="13"/>
                <w:szCs w:val="13"/>
                <w:color w:val="auto"/>
              </w:rPr>
              <w:t>42</w:t>
            </w:r>
          </w:p>
        </w:tc>
        <w:tc>
          <w:tcPr>
            <w:tcW w:w="220" w:type="dxa"/>
            <w:vAlign w:val="bottom"/>
          </w:tcPr>
          <w:p>
            <w:pPr>
              <w:spacing w:after="0"/>
              <w:rPr>
                <w:sz w:val="14"/>
                <w:szCs w:val="14"/>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1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4"/>
                <w:szCs w:val="14"/>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42</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3940" w:type="dxa"/>
            <w:vAlign w:val="bottom"/>
            <w:tcBorders>
              <w:top w:val="single" w:sz="8" w:color="CCEEFF"/>
              <w:bottom w:val="single" w:sz="8" w:color="CCEEFF"/>
            </w:tcBorders>
            <w:shd w:val="clear" w:color="auto" w:fill="CCEEFF"/>
          </w:tcPr>
          <w:p>
            <w:pPr>
              <w:spacing w:after="0" w:line="147" w:lineRule="exact"/>
              <w:rPr>
                <w:sz w:val="20"/>
                <w:szCs w:val="20"/>
                <w:color w:val="auto"/>
              </w:rPr>
            </w:pPr>
            <w:r>
              <w:rPr>
                <w:rFonts w:ascii="Arial" w:cs="Arial" w:eastAsia="Arial" w:hAnsi="Arial"/>
                <w:sz w:val="13"/>
                <w:szCs w:val="13"/>
                <w:b w:val="1"/>
                <w:bCs w:val="1"/>
                <w:color w:val="auto"/>
              </w:rPr>
              <w:t>Balance as of December 31, 2018</w:t>
            </w: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3,269</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1,715</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3,001</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919</w:t>
            </w:r>
          </w:p>
        </w:tc>
        <w:tc>
          <w:tcPr>
            <w:tcW w:w="200" w:type="dxa"/>
            <w:vAlign w:val="bottom"/>
            <w:tcBorders>
              <w:top w:val="single" w:sz="8" w:color="CCEEFF"/>
              <w:bottom w:val="single" w:sz="8" w:color="CCEEFF"/>
            </w:tcBorders>
            <w:shd w:val="clear" w:color="auto" w:fill="CCEEFF"/>
          </w:tcPr>
          <w:p>
            <w:pPr>
              <w:spacing w:after="0"/>
              <w:rPr>
                <w:sz w:val="14"/>
                <w:szCs w:val="14"/>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8,904</w:t>
            </w: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394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394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Carrying amounts as of:</w:t>
            </w:r>
          </w:p>
        </w:tc>
        <w:tc>
          <w:tcPr>
            <w:tcW w:w="12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1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82"/>
        </w:trPr>
        <w:tc>
          <w:tcPr>
            <w:tcW w:w="220" w:type="dxa"/>
            <w:vAlign w:val="bottom"/>
          </w:tcPr>
          <w:p>
            <w:pPr>
              <w:spacing w:after="0"/>
              <w:rPr>
                <w:sz w:val="15"/>
                <w:szCs w:val="15"/>
                <w:color w:val="auto"/>
              </w:rPr>
            </w:pPr>
          </w:p>
        </w:tc>
        <w:tc>
          <w:tcPr>
            <w:tcW w:w="3940" w:type="dxa"/>
            <w:vAlign w:val="bottom"/>
          </w:tcPr>
          <w:p>
            <w:pPr>
              <w:spacing w:after="0"/>
              <w:rPr>
                <w:sz w:val="20"/>
                <w:szCs w:val="20"/>
                <w:color w:val="auto"/>
              </w:rPr>
            </w:pPr>
            <w:r>
              <w:rPr>
                <w:rFonts w:ascii="Arial" w:cs="Arial" w:eastAsia="Arial" w:hAnsi="Arial"/>
                <w:sz w:val="13"/>
                <w:szCs w:val="13"/>
                <w:color w:val="auto"/>
              </w:rPr>
              <w:t>December 31, 2018</w:t>
            </w:r>
          </w:p>
        </w:tc>
        <w:tc>
          <w:tcPr>
            <w:tcW w:w="1220" w:type="dxa"/>
            <w:vAlign w:val="bottom"/>
          </w:tcPr>
          <w:p>
            <w:pPr>
              <w:jc w:val="right"/>
              <w:spacing w:after="0"/>
              <w:rPr>
                <w:sz w:val="20"/>
                <w:szCs w:val="20"/>
                <w:color w:val="auto"/>
              </w:rPr>
            </w:pPr>
            <w:r>
              <w:rPr>
                <w:rFonts w:ascii="Arial" w:cs="Arial" w:eastAsia="Arial" w:hAnsi="Arial"/>
                <w:sz w:val="13"/>
                <w:szCs w:val="13"/>
                <w:b w:val="1"/>
                <w:bCs w:val="1"/>
                <w:color w:val="auto"/>
              </w:rPr>
              <w:t>1,069</w:t>
            </w:r>
          </w:p>
        </w:tc>
        <w:tc>
          <w:tcPr>
            <w:tcW w:w="220" w:type="dxa"/>
            <w:vAlign w:val="bottom"/>
          </w:tcPr>
          <w:p>
            <w:pPr>
              <w:spacing w:after="0"/>
              <w:rPr>
                <w:sz w:val="15"/>
                <w:szCs w:val="15"/>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b w:val="1"/>
                <w:bCs w:val="1"/>
                <w:color w:val="auto"/>
              </w:rPr>
              <w:t>184</w:t>
            </w:r>
          </w:p>
        </w:tc>
        <w:tc>
          <w:tcPr>
            <w:tcW w:w="1180" w:type="dxa"/>
            <w:vAlign w:val="bottom"/>
          </w:tcPr>
          <w:p>
            <w:pPr>
              <w:jc w:val="right"/>
              <w:spacing w:after="0"/>
              <w:rPr>
                <w:sz w:val="20"/>
                <w:szCs w:val="20"/>
                <w:color w:val="auto"/>
              </w:rPr>
            </w:pPr>
            <w:r>
              <w:rPr>
                <w:rFonts w:ascii="Arial" w:cs="Arial" w:eastAsia="Arial" w:hAnsi="Arial"/>
                <w:sz w:val="13"/>
                <w:szCs w:val="13"/>
                <w:b w:val="1"/>
                <w:bCs w:val="1"/>
                <w:color w:val="auto"/>
              </w:rPr>
              <w:t>3,840</w:t>
            </w:r>
          </w:p>
        </w:tc>
        <w:tc>
          <w:tcPr>
            <w:tcW w:w="220" w:type="dxa"/>
            <w:vAlign w:val="bottom"/>
          </w:tcPr>
          <w:p>
            <w:pPr>
              <w:spacing w:after="0"/>
              <w:rPr>
                <w:sz w:val="15"/>
                <w:szCs w:val="15"/>
                <w:color w:val="auto"/>
              </w:rPr>
            </w:pPr>
          </w:p>
        </w:tc>
        <w:tc>
          <w:tcPr>
            <w:tcW w:w="1200" w:type="dxa"/>
            <w:vAlign w:val="bottom"/>
          </w:tcPr>
          <w:p>
            <w:pPr>
              <w:jc w:val="right"/>
              <w:spacing w:after="0"/>
              <w:rPr>
                <w:sz w:val="20"/>
                <w:szCs w:val="20"/>
                <w:color w:val="auto"/>
              </w:rPr>
            </w:pPr>
            <w:r>
              <w:rPr>
                <w:rFonts w:ascii="Arial" w:cs="Arial" w:eastAsia="Arial" w:hAnsi="Arial"/>
                <w:sz w:val="13"/>
                <w:szCs w:val="13"/>
                <w:b w:val="1"/>
                <w:bCs w:val="1"/>
                <w:color w:val="auto"/>
              </w:rPr>
              <w:t>1,593</w:t>
            </w:r>
          </w:p>
        </w:tc>
        <w:tc>
          <w:tcPr>
            <w:tcW w:w="200" w:type="dxa"/>
            <w:vAlign w:val="bottom"/>
          </w:tcPr>
          <w:p>
            <w:pPr>
              <w:spacing w:after="0"/>
              <w:rPr>
                <w:sz w:val="15"/>
                <w:szCs w:val="15"/>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3"/>
                <w:szCs w:val="13"/>
                <w:b w:val="1"/>
                <w:bCs w:val="1"/>
                <w:color w:val="auto"/>
              </w:rPr>
              <w:t>6,686</w:t>
            </w:r>
          </w:p>
        </w:tc>
        <w:tc>
          <w:tcPr>
            <w:tcW w:w="36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4"/>
        </w:trPr>
        <w:tc>
          <w:tcPr>
            <w:tcW w:w="220" w:type="dxa"/>
            <w:vAlign w:val="bottom"/>
          </w:tcPr>
          <w:p>
            <w:pPr>
              <w:spacing w:after="0"/>
              <w:rPr>
                <w:sz w:val="15"/>
                <w:szCs w:val="15"/>
                <w:color w:val="auto"/>
              </w:rPr>
            </w:pPr>
          </w:p>
        </w:tc>
        <w:tc>
          <w:tcPr>
            <w:tcW w:w="3940" w:type="dxa"/>
            <w:vAlign w:val="bottom"/>
            <w:tcBorders>
              <w:top w:val="single" w:sz="8" w:color="CCEEFF"/>
              <w:bottom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December 31, 2017</w:t>
            </w: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1,300</w:t>
            </w:r>
          </w:p>
        </w:tc>
        <w:tc>
          <w:tcPr>
            <w:tcW w:w="220" w:type="dxa"/>
            <w:vAlign w:val="bottom"/>
            <w:tcBorders>
              <w:top w:val="single" w:sz="8" w:color="CCEEFF"/>
              <w:bottom w:val="single" w:sz="8" w:color="CCEEFF"/>
            </w:tcBorders>
            <w:shd w:val="clear" w:color="auto" w:fill="CCEEFF"/>
          </w:tcPr>
          <w:p>
            <w:pPr>
              <w:spacing w:after="0"/>
              <w:rPr>
                <w:sz w:val="15"/>
                <w:szCs w:val="15"/>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244</w:t>
            </w:r>
          </w:p>
        </w:tc>
        <w:tc>
          <w:tcPr>
            <w:tcW w:w="220" w:type="dxa"/>
            <w:vAlign w:val="bottom"/>
            <w:tcBorders>
              <w:top w:val="single" w:sz="8" w:color="CCEEFF"/>
              <w:bottom w:val="single" w:sz="8" w:color="CCEEFF"/>
            </w:tcBorders>
            <w:shd w:val="clear" w:color="auto" w:fill="CCEEFF"/>
          </w:tcPr>
          <w:p>
            <w:pPr>
              <w:spacing w:after="0"/>
              <w:rPr>
                <w:sz w:val="15"/>
                <w:szCs w:val="15"/>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4,162</w:t>
            </w:r>
          </w:p>
        </w:tc>
        <w:tc>
          <w:tcPr>
            <w:tcW w:w="220" w:type="dxa"/>
            <w:vAlign w:val="bottom"/>
            <w:tcBorders>
              <w:top w:val="single" w:sz="8" w:color="CCEEFF"/>
              <w:bottom w:val="single" w:sz="8" w:color="CCEEFF"/>
            </w:tcBorders>
            <w:shd w:val="clear" w:color="auto" w:fill="CCEEFF"/>
          </w:tcPr>
          <w:p>
            <w:pPr>
              <w:spacing w:after="0"/>
              <w:rPr>
                <w:sz w:val="15"/>
                <w:szCs w:val="15"/>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1,714</w:t>
            </w:r>
          </w:p>
        </w:tc>
        <w:tc>
          <w:tcPr>
            <w:tcW w:w="200" w:type="dxa"/>
            <w:vAlign w:val="bottom"/>
            <w:tcBorders>
              <w:top w:val="single" w:sz="8" w:color="CCEEFF"/>
              <w:bottom w:val="single" w:sz="8" w:color="CCEEFF"/>
            </w:tcBorders>
            <w:shd w:val="clear" w:color="auto" w:fill="CCEEFF"/>
          </w:tcPr>
          <w:p>
            <w:pPr>
              <w:spacing w:after="0"/>
              <w:rPr>
                <w:sz w:val="15"/>
                <w:szCs w:val="15"/>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7,420</w:t>
            </w:r>
          </w:p>
        </w:tc>
        <w:tc>
          <w:tcPr>
            <w:tcW w:w="100" w:type="dxa"/>
            <w:vAlign w:val="bottom"/>
            <w:tcBorders>
              <w:top w:val="single" w:sz="8" w:color="CCEEFF"/>
              <w:bottom w:val="single" w:sz="8" w:color="CCEEFF"/>
            </w:tcBorders>
            <w:shd w:val="clear" w:color="auto" w:fill="CCEEFF"/>
          </w:tcPr>
          <w:p>
            <w:pPr>
              <w:spacing w:after="0"/>
              <w:rPr>
                <w:sz w:val="15"/>
                <w:szCs w:val="15"/>
                <w:color w:val="auto"/>
              </w:rPr>
            </w:pPr>
          </w:p>
        </w:tc>
        <w:tc>
          <w:tcPr>
            <w:tcW w:w="36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52"/>
        </w:trPr>
        <w:tc>
          <w:tcPr>
            <w:tcW w:w="220" w:type="dxa"/>
            <w:vAlign w:val="bottom"/>
          </w:tcPr>
          <w:p>
            <w:pPr>
              <w:spacing w:after="0"/>
              <w:rPr>
                <w:sz w:val="13"/>
                <w:szCs w:val="13"/>
                <w:color w:val="auto"/>
              </w:rPr>
            </w:pPr>
          </w:p>
        </w:tc>
        <w:tc>
          <w:tcPr>
            <w:tcW w:w="3940" w:type="dxa"/>
            <w:vAlign w:val="bottom"/>
          </w:tcPr>
          <w:p>
            <w:pPr>
              <w:spacing w:after="0" w:line="143" w:lineRule="exact"/>
              <w:rPr>
                <w:sz w:val="20"/>
                <w:szCs w:val="20"/>
                <w:color w:val="auto"/>
              </w:rPr>
            </w:pPr>
            <w:r>
              <w:rPr>
                <w:rFonts w:ascii="Arial" w:cs="Arial" w:eastAsia="Arial" w:hAnsi="Arial"/>
                <w:sz w:val="13"/>
                <w:szCs w:val="13"/>
                <w:color w:val="auto"/>
              </w:rPr>
              <w:t>December 31, 2016</w:t>
            </w:r>
          </w:p>
        </w:tc>
        <w:tc>
          <w:tcPr>
            <w:tcW w:w="122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b w:val="1"/>
                <w:bCs w:val="1"/>
                <w:color w:val="auto"/>
              </w:rPr>
              <w:t>1,644</w:t>
            </w:r>
          </w:p>
        </w:tc>
        <w:tc>
          <w:tcPr>
            <w:tcW w:w="220" w:type="dxa"/>
            <w:vAlign w:val="bottom"/>
          </w:tcPr>
          <w:p>
            <w:pPr>
              <w:spacing w:after="0"/>
              <w:rPr>
                <w:sz w:val="13"/>
                <w:szCs w:val="13"/>
                <w:color w:val="auto"/>
              </w:rPr>
            </w:pPr>
          </w:p>
        </w:tc>
        <w:tc>
          <w:tcPr>
            <w:tcW w:w="120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b w:val="1"/>
                <w:bCs w:val="1"/>
                <w:color w:val="auto"/>
              </w:rPr>
              <w:t>2,133</w:t>
            </w:r>
          </w:p>
        </w:tc>
        <w:tc>
          <w:tcPr>
            <w:tcW w:w="220" w:type="dxa"/>
            <w:vAlign w:val="bottom"/>
          </w:tcPr>
          <w:p>
            <w:pPr>
              <w:spacing w:after="0"/>
              <w:rPr>
                <w:sz w:val="13"/>
                <w:szCs w:val="13"/>
                <w:color w:val="auto"/>
              </w:rPr>
            </w:pPr>
          </w:p>
        </w:tc>
        <w:tc>
          <w:tcPr>
            <w:tcW w:w="118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b w:val="1"/>
                <w:bCs w:val="1"/>
                <w:color w:val="auto"/>
              </w:rPr>
              <w:t>4,597</w:t>
            </w:r>
          </w:p>
        </w:tc>
        <w:tc>
          <w:tcPr>
            <w:tcW w:w="220" w:type="dxa"/>
            <w:vAlign w:val="bottom"/>
          </w:tcPr>
          <w:p>
            <w:pPr>
              <w:spacing w:after="0"/>
              <w:rPr>
                <w:sz w:val="13"/>
                <w:szCs w:val="13"/>
                <w:color w:val="auto"/>
              </w:rPr>
            </w:pPr>
          </w:p>
        </w:tc>
        <w:tc>
          <w:tcPr>
            <w:tcW w:w="120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b w:val="1"/>
                <w:bCs w:val="1"/>
                <w:color w:val="auto"/>
              </w:rPr>
              <w:t>175</w:t>
            </w:r>
          </w:p>
        </w:tc>
        <w:tc>
          <w:tcPr>
            <w:tcW w:w="200" w:type="dxa"/>
            <w:vAlign w:val="bottom"/>
          </w:tcPr>
          <w:p>
            <w:pPr>
              <w:spacing w:after="0"/>
              <w:rPr>
                <w:sz w:val="13"/>
                <w:szCs w:val="13"/>
                <w:color w:val="auto"/>
              </w:rPr>
            </w:pPr>
          </w:p>
        </w:tc>
        <w:tc>
          <w:tcPr>
            <w:tcW w:w="120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b w:val="1"/>
                <w:bCs w:val="1"/>
                <w:color w:val="auto"/>
              </w:rPr>
              <w:t>8,549</w:t>
            </w:r>
          </w:p>
        </w:tc>
        <w:tc>
          <w:tcPr>
            <w:tcW w:w="1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467"/>
        </w:trPr>
        <w:tc>
          <w:tcPr>
            <w:tcW w:w="220" w:type="dxa"/>
            <w:vAlign w:val="bottom"/>
            <w:tcBorders>
              <w:bottom w:val="single" w:sz="8" w:color="auto"/>
            </w:tcBorders>
          </w:tcPr>
          <w:p>
            <w:pPr>
              <w:spacing w:after="0"/>
              <w:rPr>
                <w:sz w:val="24"/>
                <w:szCs w:val="24"/>
                <w:color w:val="auto"/>
              </w:rPr>
            </w:pPr>
          </w:p>
        </w:tc>
        <w:tc>
          <w:tcPr>
            <w:tcW w:w="394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gridSpan w:val="2"/>
          </w:tcPr>
          <w:p>
            <w:pPr>
              <w:jc w:val="right"/>
              <w:ind w:right="1160"/>
              <w:spacing w:after="0"/>
              <w:rPr>
                <w:sz w:val="20"/>
                <w:szCs w:val="20"/>
                <w:color w:val="auto"/>
              </w:rPr>
            </w:pPr>
            <w:r>
              <w:rPr>
                <w:rFonts w:ascii="Arial" w:cs="Arial" w:eastAsia="Arial" w:hAnsi="Arial"/>
                <w:sz w:val="13"/>
                <w:szCs w:val="13"/>
                <w:color w:val="auto"/>
                <w:w w:val="89"/>
              </w:rPr>
              <w:t>F-65</w:t>
            </w: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3"/>
          </w:cols>
          <w:pgMar w:left="217" w:top="685" w:right="199" w:bottom="1440" w:gutter="0" w:footer="0" w:header="0"/>
        </w:sectPr>
      </w:pPr>
    </w:p>
    <w:bookmarkStart w:id="190" w:name="page191"/>
    <w:bookmarkEnd w:id="190"/>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29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154"/>
        </w:numPr>
        <w:rPr>
          <w:rFonts w:ascii="Arial" w:cs="Arial" w:eastAsia="Arial" w:hAnsi="Arial"/>
          <w:sz w:val="13"/>
          <w:szCs w:val="13"/>
          <w:b w:val="1"/>
          <w:bCs w:val="1"/>
          <w:color w:val="auto"/>
        </w:rPr>
      </w:pPr>
      <w:r>
        <w:rPr>
          <w:rFonts w:ascii="Arial" w:cs="Arial" w:eastAsia="Arial" w:hAnsi="Arial"/>
          <w:sz w:val="13"/>
          <w:szCs w:val="13"/>
          <w:b w:val="1"/>
          <w:bCs w:val="1"/>
          <w:color w:val="auto"/>
        </w:rPr>
        <w:t>Intangible assets</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1"/>
          <w:szCs w:val="11"/>
          <w:color w:val="auto"/>
        </w:rPr>
        <w:t>A breakdown of software cost, accumulated amortization, additions, sales and disposals for intangible assets is as follows:</w:t>
      </w:r>
    </w:p>
    <w:p>
      <w:pPr>
        <w:spacing w:after="0" w:line="177"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Costs:</w:t>
      </w:r>
    </w:p>
    <w:p>
      <w:pPr>
        <w:spacing w:after="0" w:line="16" w:lineRule="exact"/>
        <w:rPr>
          <w:rFonts w:ascii="Arial" w:cs="Arial" w:eastAsia="Arial" w:hAnsi="Arial"/>
          <w:sz w:val="13"/>
          <w:szCs w:val="13"/>
          <w:b w:val="1"/>
          <w:bCs w:val="1"/>
          <w:color w:val="auto"/>
        </w:rPr>
      </w:pPr>
    </w:p>
    <w:p>
      <w:pPr>
        <w:ind w:left="223" w:right="7520"/>
        <w:spacing w:after="0" w:line="247" w:lineRule="auto"/>
        <w:rPr>
          <w:rFonts w:ascii="Arial" w:cs="Arial" w:eastAsia="Arial" w:hAnsi="Arial"/>
          <w:sz w:val="13"/>
          <w:szCs w:val="13"/>
          <w:b w:val="1"/>
          <w:bCs w:val="1"/>
          <w:color w:val="auto"/>
        </w:rPr>
      </w:pPr>
      <w:r>
        <w:rPr>
          <w:rFonts w:ascii="Arial" w:cs="Arial" w:eastAsia="Arial" w:hAnsi="Arial"/>
          <w:sz w:val="13"/>
          <w:szCs w:val="13"/>
          <w:b w:val="1"/>
          <w:bCs w:val="1"/>
          <w:color w:val="auto"/>
        </w:rPr>
        <w:t xml:space="preserve">Balance as of January 1, 2016 </w:t>
      </w:r>
      <w:r>
        <w:rPr>
          <w:rFonts w:ascii="Arial" w:cs="Arial" w:eastAsia="Arial" w:hAnsi="Arial"/>
          <w:sz w:val="13"/>
          <w:szCs w:val="13"/>
          <w:color w:val="auto"/>
        </w:rPr>
        <w:t>Additions</w:t>
      </w: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Disposals</w:t>
      </w:r>
    </w:p>
    <w:p>
      <w:pPr>
        <w:spacing w:after="0" w:line="11" w:lineRule="exact"/>
        <w:rPr>
          <w:rFonts w:ascii="Arial" w:cs="Arial" w:eastAsia="Arial" w:hAnsi="Arial"/>
          <w:sz w:val="13"/>
          <w:szCs w:val="13"/>
          <w:b w:val="1"/>
          <w:bCs w:val="1"/>
          <w:color w:val="auto"/>
        </w:rPr>
      </w:pPr>
    </w:p>
    <w:p>
      <w:pPr>
        <w:ind w:left="223" w:right="7360"/>
        <w:spacing w:after="0" w:line="257" w:lineRule="auto"/>
        <w:rPr>
          <w:rFonts w:ascii="Arial" w:cs="Arial" w:eastAsia="Arial" w:hAnsi="Arial"/>
          <w:sz w:val="13"/>
          <w:szCs w:val="13"/>
          <w:b w:val="1"/>
          <w:bCs w:val="1"/>
          <w:color w:val="auto"/>
        </w:rPr>
      </w:pPr>
      <w:r>
        <w:rPr>
          <w:rFonts w:ascii="Arial" w:cs="Arial" w:eastAsia="Arial" w:hAnsi="Arial"/>
          <w:sz w:val="13"/>
          <w:szCs w:val="13"/>
          <w:b w:val="1"/>
          <w:bCs w:val="1"/>
          <w:color w:val="auto"/>
        </w:rPr>
        <w:t xml:space="preserve">Balance as of December 31, 2016 </w:t>
      </w:r>
      <w:r>
        <w:rPr>
          <w:rFonts w:ascii="Arial" w:cs="Arial" w:eastAsia="Arial" w:hAnsi="Arial"/>
          <w:sz w:val="13"/>
          <w:szCs w:val="13"/>
          <w:color w:val="auto"/>
        </w:rPr>
        <w:t>Additions</w:t>
      </w: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Disposals</w:t>
      </w:r>
    </w:p>
    <w:p>
      <w:pPr>
        <w:spacing w:after="0" w:line="11" w:lineRule="exact"/>
        <w:rPr>
          <w:rFonts w:ascii="Arial" w:cs="Arial" w:eastAsia="Arial" w:hAnsi="Arial"/>
          <w:sz w:val="13"/>
          <w:szCs w:val="13"/>
          <w:b w:val="1"/>
          <w:bCs w:val="1"/>
          <w:color w:val="auto"/>
        </w:rPr>
      </w:pPr>
    </w:p>
    <w:p>
      <w:pPr>
        <w:ind w:left="223" w:right="7360"/>
        <w:spacing w:after="0" w:line="257" w:lineRule="auto"/>
        <w:rPr>
          <w:rFonts w:ascii="Arial" w:cs="Arial" w:eastAsia="Arial" w:hAnsi="Arial"/>
          <w:sz w:val="13"/>
          <w:szCs w:val="13"/>
          <w:b w:val="1"/>
          <w:bCs w:val="1"/>
          <w:color w:val="auto"/>
        </w:rPr>
      </w:pPr>
      <w:r>
        <w:rPr>
          <w:rFonts w:ascii="Arial" w:cs="Arial" w:eastAsia="Arial" w:hAnsi="Arial"/>
          <w:sz w:val="13"/>
          <w:szCs w:val="13"/>
          <w:b w:val="1"/>
          <w:bCs w:val="1"/>
          <w:color w:val="auto"/>
        </w:rPr>
        <w:t xml:space="preserve">Balance as of December 31, 2017 </w:t>
      </w:r>
      <w:r>
        <w:rPr>
          <w:rFonts w:ascii="Arial" w:cs="Arial" w:eastAsia="Arial" w:hAnsi="Arial"/>
          <w:sz w:val="13"/>
          <w:szCs w:val="13"/>
          <w:color w:val="auto"/>
        </w:rPr>
        <w:t>Additions</w:t>
      </w:r>
    </w:p>
    <w:p>
      <w:pPr>
        <w:ind w:left="223" w:right="8280"/>
        <w:spacing w:after="0" w:line="292" w:lineRule="auto"/>
        <w:rPr>
          <w:rFonts w:ascii="Arial" w:cs="Arial" w:eastAsia="Arial" w:hAnsi="Arial"/>
          <w:sz w:val="13"/>
          <w:szCs w:val="13"/>
          <w:b w:val="1"/>
          <w:bCs w:val="1"/>
          <w:color w:val="auto"/>
        </w:rPr>
      </w:pPr>
      <w:r>
        <w:rPr>
          <w:rFonts w:ascii="Arial" w:cs="Arial" w:eastAsia="Arial" w:hAnsi="Arial"/>
          <w:sz w:val="11"/>
          <w:szCs w:val="11"/>
          <w:color w:val="auto"/>
        </w:rPr>
        <w:t>Disposals Reclassifications</w:t>
      </w: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Balance as of December 31, 2018</w:t>
      </w:r>
    </w:p>
    <w:p>
      <w:pPr>
        <w:spacing w:after="0" w:line="203" w:lineRule="exact"/>
        <w:rPr>
          <w:rFonts w:ascii="Arial" w:cs="Arial" w:eastAsia="Arial" w:hAnsi="Arial"/>
          <w:sz w:val="13"/>
          <w:szCs w:val="13"/>
          <w:b w:val="1"/>
          <w:bCs w:val="1"/>
          <w:color w:val="auto"/>
        </w:rPr>
      </w:pPr>
    </w:p>
    <w:p>
      <w:pPr>
        <w:ind w:left="223" w:right="7520"/>
        <w:spacing w:after="0" w:line="276" w:lineRule="auto"/>
        <w:rPr>
          <w:rFonts w:ascii="Arial" w:cs="Arial" w:eastAsia="Arial" w:hAnsi="Arial"/>
          <w:sz w:val="13"/>
          <w:szCs w:val="13"/>
          <w:b w:val="1"/>
          <w:bCs w:val="1"/>
          <w:color w:val="auto"/>
        </w:rPr>
      </w:pPr>
      <w:r>
        <w:rPr>
          <w:rFonts w:ascii="Arial" w:cs="Arial" w:eastAsia="Arial" w:hAnsi="Arial"/>
          <w:sz w:val="12"/>
          <w:szCs w:val="12"/>
          <w:b w:val="1"/>
          <w:bCs w:val="1"/>
          <w:color w:val="auto"/>
        </w:rPr>
        <w:t xml:space="preserve">Accumulated amortization: Balance as of January 1, 2016 </w:t>
      </w:r>
      <w:r>
        <w:rPr>
          <w:rFonts w:ascii="Arial" w:cs="Arial" w:eastAsia="Arial" w:hAnsi="Arial"/>
          <w:sz w:val="12"/>
          <w:szCs w:val="12"/>
          <w:color w:val="auto"/>
        </w:rPr>
        <w:t>Amortisation for the year Disposals</w:t>
      </w:r>
    </w:p>
    <w:p>
      <w:pPr>
        <w:ind w:left="223" w:right="7360"/>
        <w:spacing w:after="0" w:line="257" w:lineRule="auto"/>
        <w:rPr>
          <w:rFonts w:ascii="Arial" w:cs="Arial" w:eastAsia="Arial" w:hAnsi="Arial"/>
          <w:sz w:val="13"/>
          <w:szCs w:val="13"/>
          <w:b w:val="1"/>
          <w:bCs w:val="1"/>
          <w:color w:val="auto"/>
        </w:rPr>
      </w:pPr>
      <w:r>
        <w:rPr>
          <w:rFonts w:ascii="Arial" w:cs="Arial" w:eastAsia="Arial" w:hAnsi="Arial"/>
          <w:sz w:val="13"/>
          <w:szCs w:val="13"/>
          <w:b w:val="1"/>
          <w:bCs w:val="1"/>
          <w:color w:val="auto"/>
        </w:rPr>
        <w:t xml:space="preserve">Balance as of December 31, 2016 </w:t>
      </w:r>
      <w:r>
        <w:rPr>
          <w:rFonts w:ascii="Arial" w:cs="Arial" w:eastAsia="Arial" w:hAnsi="Arial"/>
          <w:sz w:val="13"/>
          <w:szCs w:val="13"/>
          <w:color w:val="auto"/>
        </w:rPr>
        <w:t>Amortisation for the year Disposals</w:t>
      </w:r>
    </w:p>
    <w:p>
      <w:pPr>
        <w:spacing w:after="0" w:line="1" w:lineRule="exact"/>
        <w:rPr>
          <w:rFonts w:ascii="Arial" w:cs="Arial" w:eastAsia="Arial" w:hAnsi="Arial"/>
          <w:sz w:val="13"/>
          <w:szCs w:val="13"/>
          <w:b w:val="1"/>
          <w:bCs w:val="1"/>
          <w:color w:val="auto"/>
        </w:rPr>
      </w:pPr>
    </w:p>
    <w:p>
      <w:pPr>
        <w:ind w:left="223" w:right="7360"/>
        <w:spacing w:after="0" w:line="253" w:lineRule="auto"/>
        <w:rPr>
          <w:rFonts w:ascii="Arial" w:cs="Arial" w:eastAsia="Arial" w:hAnsi="Arial"/>
          <w:sz w:val="13"/>
          <w:szCs w:val="13"/>
          <w:b w:val="1"/>
          <w:bCs w:val="1"/>
          <w:color w:val="auto"/>
        </w:rPr>
      </w:pPr>
      <w:r>
        <w:rPr>
          <w:rFonts w:ascii="Arial" w:cs="Arial" w:eastAsia="Arial" w:hAnsi="Arial"/>
          <w:sz w:val="13"/>
          <w:szCs w:val="13"/>
          <w:b w:val="1"/>
          <w:bCs w:val="1"/>
          <w:color w:val="auto"/>
        </w:rPr>
        <w:t xml:space="preserve">Balance as of December 31, 2017 </w:t>
      </w:r>
      <w:r>
        <w:rPr>
          <w:rFonts w:ascii="Arial" w:cs="Arial" w:eastAsia="Arial" w:hAnsi="Arial"/>
          <w:sz w:val="13"/>
          <w:szCs w:val="13"/>
          <w:color w:val="auto"/>
        </w:rPr>
        <w:t>Amortisation for the year Disposals</w:t>
      </w:r>
    </w:p>
    <w:p>
      <w:pPr>
        <w:spacing w:after="0" w:line="1"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Reclassifications</w:t>
      </w:r>
    </w:p>
    <w:p>
      <w:pPr>
        <w:spacing w:after="0" w:line="4"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Balance as of December 31, 2018</w:t>
      </w:r>
    </w:p>
    <w:p>
      <w:pPr>
        <w:spacing w:after="0" w:line="203" w:lineRule="exact"/>
        <w:rPr>
          <w:rFonts w:ascii="Arial" w:cs="Arial" w:eastAsia="Arial" w:hAnsi="Arial"/>
          <w:sz w:val="13"/>
          <w:szCs w:val="13"/>
          <w:b w:val="1"/>
          <w:bCs w:val="1"/>
          <w:color w:val="auto"/>
        </w:rPr>
      </w:pPr>
    </w:p>
    <w:p>
      <w:pPr>
        <w:ind w:left="223" w:right="7820"/>
        <w:spacing w:after="0" w:line="317" w:lineRule="auto"/>
        <w:rPr>
          <w:rFonts w:ascii="Arial" w:cs="Arial" w:eastAsia="Arial" w:hAnsi="Arial"/>
          <w:sz w:val="13"/>
          <w:szCs w:val="13"/>
          <w:b w:val="1"/>
          <w:bCs w:val="1"/>
          <w:color w:val="auto"/>
        </w:rPr>
      </w:pPr>
      <w:r>
        <w:rPr>
          <w:rFonts w:ascii="Arial" w:cs="Arial" w:eastAsia="Arial" w:hAnsi="Arial"/>
          <w:sz w:val="12"/>
          <w:szCs w:val="12"/>
          <w:b w:val="1"/>
          <w:bCs w:val="1"/>
          <w:color w:val="auto"/>
        </w:rPr>
        <w:t xml:space="preserve">Carrying amounts as of: </w:t>
      </w:r>
      <w:r>
        <w:rPr>
          <w:rFonts w:ascii="Arial" w:cs="Arial" w:eastAsia="Arial" w:hAnsi="Arial"/>
          <w:sz w:val="12"/>
          <w:szCs w:val="12"/>
          <w:color w:val="auto"/>
        </w:rPr>
        <w:t>December 31, 2018 December 31, 2017 December 31, 2016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146685</wp:posOffset>
            </wp:positionH>
            <wp:positionV relativeFrom="paragraph">
              <wp:posOffset>-3119120</wp:posOffset>
            </wp:positionV>
            <wp:extent cx="6552565" cy="97790"/>
            <wp:wrapNone/>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291">
                      <a:extLst>
                        <a:ext uri="{28A0092B-C50C-407E-A947-70E740481C1C}"/>
                      </a:extLst>
                    </a:blip>
                    <a:srcRect/>
                    <a:stretch>
                      <a:fillRect/>
                    </a:stretch>
                  </pic:blipFill>
                  <pic:spPr bwMode="auto">
                    <a:xfrm>
                      <a:off x="0" y="0"/>
                      <a:ext cx="6552565" cy="97790"/>
                    </a:xfrm>
                    <a:prstGeom prst="rect">
                      <a:avLst/>
                    </a:prstGeom>
                    <a:noFill/>
                  </pic:spPr>
                </pic:pic>
              </a:graphicData>
            </a:graphic>
          </wp:anchor>
        </w:drawing>
        <w:drawing>
          <wp:anchor simplePos="0" relativeHeight="251657728" behindDoc="1" locked="0" layoutInCell="0" allowOverlap="1">
            <wp:simplePos x="0" y="0"/>
            <wp:positionH relativeFrom="column">
              <wp:posOffset>146685</wp:posOffset>
            </wp:positionH>
            <wp:positionV relativeFrom="paragraph">
              <wp:posOffset>-2923540</wp:posOffset>
            </wp:positionV>
            <wp:extent cx="6552565" cy="97790"/>
            <wp:wrapNone/>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292">
                      <a:extLst>
                        <a:ext uri="{28A0092B-C50C-407E-A947-70E740481C1C}"/>
                      </a:extLst>
                    </a:blip>
                    <a:srcRect/>
                    <a:stretch>
                      <a:fillRect/>
                    </a:stretch>
                  </pic:blipFill>
                  <pic:spPr bwMode="auto">
                    <a:xfrm>
                      <a:off x="0" y="0"/>
                      <a:ext cx="6552565" cy="97790"/>
                    </a:xfrm>
                    <a:prstGeom prst="rect">
                      <a:avLst/>
                    </a:prstGeom>
                    <a:noFill/>
                  </pic:spPr>
                </pic:pic>
              </a:graphicData>
            </a:graphic>
          </wp:anchor>
        </w:drawing>
        <w:drawing>
          <wp:anchor simplePos="0" relativeHeight="251657728" behindDoc="1" locked="0" layoutInCell="0" allowOverlap="1">
            <wp:simplePos x="0" y="0"/>
            <wp:positionH relativeFrom="column">
              <wp:posOffset>146685</wp:posOffset>
            </wp:positionH>
            <wp:positionV relativeFrom="paragraph">
              <wp:posOffset>-2520315</wp:posOffset>
            </wp:positionV>
            <wp:extent cx="6552565" cy="104140"/>
            <wp:wrapNone/>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293">
                      <a:extLst>
                        <a:ext uri="{28A0092B-C50C-407E-A947-70E740481C1C}"/>
                      </a:extLst>
                    </a:blip>
                    <a:srcRect/>
                    <a:stretch>
                      <a:fillRect/>
                    </a:stretch>
                  </pic:blipFill>
                  <pic:spPr bwMode="auto">
                    <a:xfrm>
                      <a:off x="0" y="0"/>
                      <a:ext cx="6552565" cy="104140"/>
                    </a:xfrm>
                    <a:prstGeom prst="rect">
                      <a:avLst/>
                    </a:prstGeom>
                    <a:noFill/>
                  </pic:spPr>
                </pic:pic>
              </a:graphicData>
            </a:graphic>
          </wp:anchor>
        </w:drawing>
        <w:drawing>
          <wp:anchor simplePos="0" relativeHeight="251657728" behindDoc="1" locked="0" layoutInCell="0" allowOverlap="1">
            <wp:simplePos x="0" y="0"/>
            <wp:positionH relativeFrom="column">
              <wp:posOffset>146685</wp:posOffset>
            </wp:positionH>
            <wp:positionV relativeFrom="paragraph">
              <wp:posOffset>-2312035</wp:posOffset>
            </wp:positionV>
            <wp:extent cx="6552565" cy="97790"/>
            <wp:wrapNone/>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294">
                      <a:extLst>
                        <a:ext uri="{28A0092B-C50C-407E-A947-70E740481C1C}"/>
                      </a:extLst>
                    </a:blip>
                    <a:srcRect/>
                    <a:stretch>
                      <a:fillRect/>
                    </a:stretch>
                  </pic:blipFill>
                  <pic:spPr bwMode="auto">
                    <a:xfrm>
                      <a:off x="0" y="0"/>
                      <a:ext cx="6552565" cy="97790"/>
                    </a:xfrm>
                    <a:prstGeom prst="rect">
                      <a:avLst/>
                    </a:prstGeom>
                    <a:noFill/>
                  </pic:spPr>
                </pic:pic>
              </a:graphicData>
            </a:graphic>
          </wp:anchor>
        </w:drawing>
        <w:drawing>
          <wp:anchor simplePos="0" relativeHeight="251657728" behindDoc="1" locked="0" layoutInCell="0" allowOverlap="1">
            <wp:simplePos x="0" y="0"/>
            <wp:positionH relativeFrom="column">
              <wp:posOffset>146685</wp:posOffset>
            </wp:positionH>
            <wp:positionV relativeFrom="paragraph">
              <wp:posOffset>-2116455</wp:posOffset>
            </wp:positionV>
            <wp:extent cx="6552565" cy="104140"/>
            <wp:wrapNone/>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295">
                      <a:extLst>
                        <a:ext uri="{28A0092B-C50C-407E-A947-70E740481C1C}"/>
                      </a:extLst>
                    </a:blip>
                    <a:srcRect/>
                    <a:stretch>
                      <a:fillRect/>
                    </a:stretch>
                  </pic:blipFill>
                  <pic:spPr bwMode="auto">
                    <a:xfrm>
                      <a:off x="0" y="0"/>
                      <a:ext cx="6552565" cy="104140"/>
                    </a:xfrm>
                    <a:prstGeom prst="rect">
                      <a:avLst/>
                    </a:prstGeom>
                    <a:noFill/>
                  </pic:spPr>
                </pic:pic>
              </a:graphicData>
            </a:graphic>
          </wp:anchor>
        </w:drawing>
        <w:drawing>
          <wp:anchor simplePos="0" relativeHeight="251657728" behindDoc="1" locked="0" layoutInCell="0" allowOverlap="1">
            <wp:simplePos x="0" y="0"/>
            <wp:positionH relativeFrom="column">
              <wp:posOffset>146685</wp:posOffset>
            </wp:positionH>
            <wp:positionV relativeFrom="paragraph">
              <wp:posOffset>-1689100</wp:posOffset>
            </wp:positionV>
            <wp:extent cx="6552565" cy="97790"/>
            <wp:wrapNone/>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296">
                      <a:extLst>
                        <a:ext uri="{28A0092B-C50C-407E-A947-70E740481C1C}"/>
                      </a:extLst>
                    </a:blip>
                    <a:srcRect/>
                    <a:stretch>
                      <a:fillRect/>
                    </a:stretch>
                  </pic:blipFill>
                  <pic:spPr bwMode="auto">
                    <a:xfrm>
                      <a:off x="0" y="0"/>
                      <a:ext cx="6552565" cy="97790"/>
                    </a:xfrm>
                    <a:prstGeom prst="rect">
                      <a:avLst/>
                    </a:prstGeom>
                    <a:noFill/>
                  </pic:spPr>
                </pic:pic>
              </a:graphicData>
            </a:graphic>
          </wp:anchor>
        </w:drawing>
        <w:drawing>
          <wp:anchor simplePos="0" relativeHeight="251657728" behindDoc="1" locked="0" layoutInCell="0" allowOverlap="1">
            <wp:simplePos x="0" y="0"/>
            <wp:positionH relativeFrom="column">
              <wp:posOffset>146685</wp:posOffset>
            </wp:positionH>
            <wp:positionV relativeFrom="paragraph">
              <wp:posOffset>-1493520</wp:posOffset>
            </wp:positionV>
            <wp:extent cx="6552565" cy="104140"/>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297">
                      <a:extLst>
                        <a:ext uri="{28A0092B-C50C-407E-A947-70E740481C1C}"/>
                      </a:extLst>
                    </a:blip>
                    <a:srcRect/>
                    <a:stretch>
                      <a:fillRect/>
                    </a:stretch>
                  </pic:blipFill>
                  <pic:spPr bwMode="auto">
                    <a:xfrm>
                      <a:off x="0" y="0"/>
                      <a:ext cx="6552565" cy="104140"/>
                    </a:xfrm>
                    <a:prstGeom prst="rect">
                      <a:avLst/>
                    </a:prstGeom>
                    <a:noFill/>
                  </pic:spPr>
                </pic:pic>
              </a:graphicData>
            </a:graphic>
          </wp:anchor>
        </w:drawing>
        <w:drawing>
          <wp:anchor simplePos="0" relativeHeight="251657728" behindDoc="1" locked="0" layoutInCell="0" allowOverlap="1">
            <wp:simplePos x="0" y="0"/>
            <wp:positionH relativeFrom="column">
              <wp:posOffset>146685</wp:posOffset>
            </wp:positionH>
            <wp:positionV relativeFrom="paragraph">
              <wp:posOffset>-1285240</wp:posOffset>
            </wp:positionV>
            <wp:extent cx="6552565" cy="97790"/>
            <wp:wrapNone/>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298">
                      <a:extLst>
                        <a:ext uri="{28A0092B-C50C-407E-A947-70E740481C1C}"/>
                      </a:extLst>
                    </a:blip>
                    <a:srcRect/>
                    <a:stretch>
                      <a:fillRect/>
                    </a:stretch>
                  </pic:blipFill>
                  <pic:spPr bwMode="auto">
                    <a:xfrm>
                      <a:off x="0" y="0"/>
                      <a:ext cx="6552565" cy="97790"/>
                    </a:xfrm>
                    <a:prstGeom prst="rect">
                      <a:avLst/>
                    </a:prstGeom>
                    <a:noFill/>
                  </pic:spPr>
                </pic:pic>
              </a:graphicData>
            </a:graphic>
          </wp:anchor>
        </w:drawing>
        <w:drawing>
          <wp:anchor simplePos="0" relativeHeight="251657728" behindDoc="1" locked="0" layoutInCell="0" allowOverlap="1">
            <wp:simplePos x="0" y="0"/>
            <wp:positionH relativeFrom="column">
              <wp:posOffset>146685</wp:posOffset>
            </wp:positionH>
            <wp:positionV relativeFrom="paragraph">
              <wp:posOffset>-882015</wp:posOffset>
            </wp:positionV>
            <wp:extent cx="6552565" cy="97790"/>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299">
                      <a:extLst>
                        <a:ext uri="{28A0092B-C50C-407E-A947-70E740481C1C}"/>
                      </a:extLst>
                    </a:blip>
                    <a:srcRect/>
                    <a:stretch>
                      <a:fillRect/>
                    </a:stretch>
                  </pic:blipFill>
                  <pic:spPr bwMode="auto">
                    <a:xfrm>
                      <a:off x="0" y="0"/>
                      <a:ext cx="6552565" cy="97790"/>
                    </a:xfrm>
                    <a:prstGeom prst="rect">
                      <a:avLst/>
                    </a:prstGeom>
                    <a:noFill/>
                  </pic:spPr>
                </pic:pic>
              </a:graphicData>
            </a:graphic>
          </wp:anchor>
        </w:drawing>
        <w:drawing>
          <wp:anchor simplePos="0" relativeHeight="251657728" behindDoc="1" locked="0" layoutInCell="0" allowOverlap="1">
            <wp:simplePos x="0" y="0"/>
            <wp:positionH relativeFrom="column">
              <wp:posOffset>146685</wp:posOffset>
            </wp:positionH>
            <wp:positionV relativeFrom="paragraph">
              <wp:posOffset>-454025</wp:posOffset>
            </wp:positionV>
            <wp:extent cx="6552565" cy="97790"/>
            <wp:wrapNone/>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300">
                      <a:extLst>
                        <a:ext uri="{28A0092B-C50C-407E-A947-70E740481C1C}"/>
                      </a:extLst>
                    </a:blip>
                    <a:srcRect/>
                    <a:stretch>
                      <a:fillRect/>
                    </a:stretch>
                  </pic:blipFill>
                  <pic:spPr bwMode="auto">
                    <a:xfrm>
                      <a:off x="0" y="0"/>
                      <a:ext cx="6552565" cy="97790"/>
                    </a:xfrm>
                    <a:prstGeom prst="rect">
                      <a:avLst/>
                    </a:prstGeom>
                    <a:noFill/>
                  </pic:spPr>
                </pic:pic>
              </a:graphicData>
            </a:graphic>
          </wp:anchor>
        </w:drawing>
        <w:drawing>
          <wp:anchor simplePos="0" relativeHeight="251657728" behindDoc="1" locked="0" layoutInCell="0" allowOverlap="1">
            <wp:simplePos x="0" y="0"/>
            <wp:positionH relativeFrom="column">
              <wp:posOffset>146685</wp:posOffset>
            </wp:positionH>
            <wp:positionV relativeFrom="paragraph">
              <wp:posOffset>-240030</wp:posOffset>
            </wp:positionV>
            <wp:extent cx="6552565" cy="116205"/>
            <wp:wrapNone/>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301">
                      <a:extLst>
                        <a:ext uri="{28A0092B-C50C-407E-A947-70E740481C1C}"/>
                      </a:extLst>
                    </a:blip>
                    <a:srcRect/>
                    <a:stretch>
                      <a:fillRect/>
                    </a:stretch>
                  </pic:blipFill>
                  <pic:spPr bwMode="auto">
                    <a:xfrm>
                      <a:off x="0" y="0"/>
                      <a:ext cx="6552565" cy="116205"/>
                    </a:xfrm>
                    <a:prstGeom prst="rect">
                      <a:avLst/>
                    </a:prstGeom>
                    <a:noFill/>
                  </pic:spPr>
                </pic:pic>
              </a:graphicData>
            </a:graphic>
          </wp:anchor>
        </w:drawing>
        <w:drawing>
          <wp:anchor simplePos="0" relativeHeight="251657728" behindDoc="1" locked="0" layoutInCell="0" allowOverlap="1">
            <wp:simplePos x="0" y="0"/>
            <wp:positionH relativeFrom="column">
              <wp:posOffset>146685</wp:posOffset>
            </wp:positionH>
            <wp:positionV relativeFrom="paragraph">
              <wp:posOffset>-680085</wp:posOffset>
            </wp:positionV>
            <wp:extent cx="6552565" cy="116205"/>
            <wp:wrapNone/>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302">
                      <a:extLst>
                        <a:ext uri="{28A0092B-C50C-407E-A947-70E740481C1C}"/>
                      </a:extLst>
                    </a:blip>
                    <a:srcRect/>
                    <a:stretch>
                      <a:fillRect/>
                    </a:stretch>
                  </pic:blipFill>
                  <pic:spPr bwMode="auto">
                    <a:xfrm>
                      <a:off x="0" y="0"/>
                      <a:ext cx="6552565" cy="116205"/>
                    </a:xfrm>
                    <a:prstGeom prst="rect">
                      <a:avLst/>
                    </a:prstGeom>
                    <a:noFill/>
                  </pic:spPr>
                </pic:pic>
              </a:graphicData>
            </a:graphic>
          </wp:anchor>
        </w:drawing>
        <w:drawing>
          <wp:anchor simplePos="0" relativeHeight="251657728" behindDoc="1" locked="0" layoutInCell="0" allowOverlap="1">
            <wp:simplePos x="0" y="0"/>
            <wp:positionH relativeFrom="column">
              <wp:posOffset>146685</wp:posOffset>
            </wp:positionH>
            <wp:positionV relativeFrom="paragraph">
              <wp:posOffset>-1083945</wp:posOffset>
            </wp:positionV>
            <wp:extent cx="6552565" cy="104140"/>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303">
                      <a:extLst>
                        <a:ext uri="{28A0092B-C50C-407E-A947-70E740481C1C}"/>
                      </a:extLst>
                    </a:blip>
                    <a:srcRect/>
                    <a:stretch>
                      <a:fillRect/>
                    </a:stretch>
                  </pic:blipFill>
                  <pic:spPr bwMode="auto">
                    <a:xfrm>
                      <a:off x="0" y="0"/>
                      <a:ext cx="6552565" cy="104140"/>
                    </a:xfrm>
                    <a:prstGeom prst="rect">
                      <a:avLst/>
                    </a:prstGeom>
                    <a:noFill/>
                  </pic:spPr>
                </pic:pic>
              </a:graphicData>
            </a:graphic>
          </wp:anchor>
        </w:drawing>
        <w:drawing>
          <wp:anchor simplePos="0" relativeHeight="251657728" behindDoc="1" locked="0" layoutInCell="0" allowOverlap="1">
            <wp:simplePos x="0" y="0"/>
            <wp:positionH relativeFrom="column">
              <wp:posOffset>146685</wp:posOffset>
            </wp:positionH>
            <wp:positionV relativeFrom="paragraph">
              <wp:posOffset>-1896745</wp:posOffset>
            </wp:positionV>
            <wp:extent cx="6552565" cy="109855"/>
            <wp:wrapNone/>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304">
                      <a:extLst>
                        <a:ext uri="{28A0092B-C50C-407E-A947-70E740481C1C}"/>
                      </a:extLst>
                    </a:blip>
                    <a:srcRect/>
                    <a:stretch>
                      <a:fillRect/>
                    </a:stretch>
                  </pic:blipFill>
                  <pic:spPr bwMode="auto">
                    <a:xfrm>
                      <a:off x="0" y="0"/>
                      <a:ext cx="6552565" cy="109855"/>
                    </a:xfrm>
                    <a:prstGeom prst="rect">
                      <a:avLst/>
                    </a:prstGeom>
                    <a:noFill/>
                  </pic:spPr>
                </pic:pic>
              </a:graphicData>
            </a:graphic>
          </wp:anchor>
        </w:drawing>
        <w:drawing>
          <wp:anchor simplePos="0" relativeHeight="251657728" behindDoc="1" locked="0" layoutInCell="0" allowOverlap="1">
            <wp:simplePos x="0" y="0"/>
            <wp:positionH relativeFrom="column">
              <wp:posOffset>146685</wp:posOffset>
            </wp:positionH>
            <wp:positionV relativeFrom="paragraph">
              <wp:posOffset>-2721610</wp:posOffset>
            </wp:positionV>
            <wp:extent cx="6552565" cy="104140"/>
            <wp:wrapNone/>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305">
                      <a:extLst>
                        <a:ext uri="{28A0092B-C50C-407E-A947-70E740481C1C}"/>
                      </a:extLst>
                    </a:blip>
                    <a:srcRect/>
                    <a:stretch>
                      <a:fillRect/>
                    </a:stretch>
                  </pic:blipFill>
                  <pic:spPr bwMode="auto">
                    <a:xfrm>
                      <a:off x="0" y="0"/>
                      <a:ext cx="6552565" cy="104140"/>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0" w:lineRule="exact"/>
        <w:rPr>
          <w:sz w:val="20"/>
          <w:szCs w:val="20"/>
          <w:color w:val="auto"/>
        </w:rPr>
      </w:pPr>
    </w:p>
    <w:p>
      <w:pPr>
        <w:jc w:val="right"/>
        <w:ind w:right="1000"/>
        <w:spacing w:after="0"/>
        <w:rPr>
          <w:sz w:val="20"/>
          <w:szCs w:val="20"/>
          <w:color w:val="auto"/>
        </w:rPr>
      </w:pPr>
      <w:r>
        <w:rPr>
          <w:rFonts w:ascii="Arial" w:cs="Arial" w:eastAsia="Arial" w:hAnsi="Arial"/>
          <w:sz w:val="11"/>
          <w:szCs w:val="11"/>
          <w:color w:val="auto"/>
        </w:rPr>
        <w:t>10,776</w:t>
      </w:r>
    </w:p>
    <w:p>
      <w:pPr>
        <w:spacing w:after="0" w:line="36" w:lineRule="exact"/>
        <w:rPr>
          <w:sz w:val="20"/>
          <w:szCs w:val="20"/>
          <w:color w:val="auto"/>
        </w:rPr>
      </w:pPr>
    </w:p>
    <w:p>
      <w:pPr>
        <w:jc w:val="right"/>
        <w:ind w:right="1000"/>
        <w:spacing w:after="0"/>
        <w:rPr>
          <w:sz w:val="20"/>
          <w:szCs w:val="20"/>
          <w:color w:val="auto"/>
        </w:rPr>
      </w:pPr>
      <w:r>
        <w:rPr>
          <w:rFonts w:ascii="Arial" w:cs="Arial" w:eastAsia="Arial" w:hAnsi="Arial"/>
          <w:sz w:val="13"/>
          <w:szCs w:val="13"/>
          <w:color w:val="auto"/>
        </w:rPr>
        <w:t>3,111</w:t>
      </w:r>
    </w:p>
    <w:p>
      <w:pPr>
        <w:spacing w:after="0" w:line="5" w:lineRule="exact"/>
        <w:rPr>
          <w:sz w:val="20"/>
          <w:szCs w:val="20"/>
          <w:color w:val="auto"/>
        </w:rPr>
      </w:pPr>
    </w:p>
    <w:p>
      <w:pPr>
        <w:jc w:val="right"/>
        <w:ind w:right="960"/>
        <w:spacing w:after="0"/>
        <w:rPr>
          <w:sz w:val="20"/>
          <w:szCs w:val="20"/>
          <w:color w:val="auto"/>
        </w:rPr>
      </w:pPr>
      <w:r>
        <w:rPr>
          <w:rFonts w:ascii="Arial" w:cs="Arial" w:eastAsia="Arial" w:hAnsi="Arial"/>
          <w:sz w:val="13"/>
          <w:szCs w:val="13"/>
          <w:color w:val="auto"/>
        </w:rPr>
        <w:t>(4)</w:t>
      </w:r>
    </w:p>
    <w:p>
      <w:pPr>
        <w:spacing w:after="0" w:line="15" w:lineRule="exact"/>
        <w:rPr>
          <w:sz w:val="20"/>
          <w:szCs w:val="20"/>
          <w:color w:val="auto"/>
        </w:rPr>
      </w:pPr>
    </w:p>
    <w:p>
      <w:pPr>
        <w:spacing w:after="0"/>
        <w:rPr>
          <w:sz w:val="20"/>
          <w:szCs w:val="20"/>
          <w:color w:val="auto"/>
        </w:rPr>
      </w:pPr>
      <w:r>
        <w:rPr>
          <w:rFonts w:ascii="Arial" w:cs="Arial" w:eastAsia="Arial" w:hAnsi="Arial"/>
          <w:sz w:val="13"/>
          <w:szCs w:val="13"/>
          <w:color w:val="auto"/>
        </w:rPr>
        <w:t>13,883</w:t>
      </w:r>
    </w:p>
    <w:p>
      <w:pPr>
        <w:spacing w:after="0" w:line="13" w:lineRule="exact"/>
        <w:rPr>
          <w:sz w:val="20"/>
          <w:szCs w:val="20"/>
          <w:color w:val="auto"/>
        </w:rPr>
      </w:pPr>
    </w:p>
    <w:p>
      <w:pPr>
        <w:ind w:left="60"/>
        <w:spacing w:after="0"/>
        <w:rPr>
          <w:sz w:val="20"/>
          <w:szCs w:val="20"/>
          <w:color w:val="auto"/>
        </w:rPr>
      </w:pPr>
      <w:r>
        <w:rPr>
          <w:rFonts w:ascii="Arial" w:cs="Arial" w:eastAsia="Arial" w:hAnsi="Arial"/>
          <w:sz w:val="13"/>
          <w:szCs w:val="13"/>
          <w:color w:val="auto"/>
        </w:rPr>
        <w:t>3,370</w:t>
      </w:r>
    </w:p>
    <w:p>
      <w:pPr>
        <w:spacing w:after="0" w:line="5" w:lineRule="exact"/>
        <w:rPr>
          <w:sz w:val="20"/>
          <w:szCs w:val="20"/>
          <w:color w:val="auto"/>
        </w:rPr>
      </w:pPr>
    </w:p>
    <w:p>
      <w:pPr>
        <w:jc w:val="right"/>
        <w:ind w:right="960"/>
        <w:spacing w:after="0"/>
        <w:rPr>
          <w:sz w:val="20"/>
          <w:szCs w:val="20"/>
          <w:color w:val="auto"/>
        </w:rPr>
      </w:pPr>
      <w:r>
        <w:rPr>
          <w:rFonts w:ascii="Arial" w:cs="Arial" w:eastAsia="Arial" w:hAnsi="Arial"/>
          <w:sz w:val="13"/>
          <w:szCs w:val="13"/>
          <w:color w:val="auto"/>
        </w:rPr>
        <w:t>(81)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-497840</wp:posOffset>
            </wp:positionH>
            <wp:positionV relativeFrom="paragraph">
              <wp:posOffset>9525</wp:posOffset>
            </wp:positionV>
            <wp:extent cx="721360" cy="6350"/>
            <wp:wrapNone/>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306">
                      <a:extLst>
                        <a:ext uri="{28A0092B-C50C-407E-A947-70E740481C1C}"/>
                      </a:extLst>
                    </a:blip>
                    <a:srcRect/>
                    <a:stretch>
                      <a:fillRect/>
                    </a:stretch>
                  </pic:blipFill>
                  <pic:spPr bwMode="auto">
                    <a:xfrm>
                      <a:off x="0" y="0"/>
                      <a:ext cx="721360" cy="6350"/>
                    </a:xfrm>
                    <a:prstGeom prst="rect">
                      <a:avLst/>
                    </a:prstGeom>
                    <a:noFill/>
                  </pic:spPr>
                </pic:pic>
              </a:graphicData>
            </a:graphic>
          </wp:anchor>
        </w:drawing>
      </w:r>
    </w:p>
    <w:p>
      <w:pPr>
        <w:spacing w:after="0"/>
        <w:rPr>
          <w:sz w:val="20"/>
          <w:szCs w:val="20"/>
          <w:color w:val="auto"/>
        </w:rPr>
      </w:pPr>
      <w:r>
        <w:rPr>
          <w:rFonts w:ascii="Arial" w:cs="Arial" w:eastAsia="Arial" w:hAnsi="Arial"/>
          <w:sz w:val="13"/>
          <w:szCs w:val="13"/>
          <w:color w:val="auto"/>
        </w:rPr>
        <w:t>17,172</w:t>
      </w:r>
    </w:p>
    <w:p>
      <w:pPr>
        <w:spacing w:after="0" w:line="13" w:lineRule="exact"/>
        <w:rPr>
          <w:sz w:val="20"/>
          <w:szCs w:val="20"/>
          <w:color w:val="auto"/>
        </w:rPr>
      </w:pPr>
    </w:p>
    <w:p>
      <w:pPr>
        <w:jc w:val="right"/>
        <w:ind w:right="1000"/>
        <w:spacing w:after="0"/>
        <w:rPr>
          <w:sz w:val="20"/>
          <w:szCs w:val="20"/>
          <w:color w:val="auto"/>
        </w:rPr>
      </w:pPr>
      <w:r>
        <w:rPr>
          <w:rFonts w:ascii="Arial" w:cs="Arial" w:eastAsia="Arial" w:hAnsi="Arial"/>
          <w:sz w:val="13"/>
          <w:szCs w:val="13"/>
          <w:color w:val="auto"/>
        </w:rPr>
        <w:t>58</w:t>
      </w:r>
    </w:p>
    <w:p>
      <w:pPr>
        <w:spacing w:after="0" w:line="5" w:lineRule="exact"/>
        <w:rPr>
          <w:sz w:val="20"/>
          <w:szCs w:val="20"/>
          <w:color w:val="auto"/>
        </w:rPr>
      </w:pPr>
    </w:p>
    <w:p>
      <w:pPr>
        <w:jc w:val="right"/>
        <w:ind w:right="960"/>
        <w:spacing w:after="0"/>
        <w:rPr>
          <w:sz w:val="20"/>
          <w:szCs w:val="20"/>
          <w:color w:val="auto"/>
        </w:rPr>
      </w:pPr>
      <w:r>
        <w:rPr>
          <w:rFonts w:ascii="Arial" w:cs="Arial" w:eastAsia="Arial" w:hAnsi="Arial"/>
          <w:sz w:val="12"/>
          <w:szCs w:val="12"/>
          <w:color w:val="auto"/>
        </w:rPr>
        <w:t>(3,315)</w:t>
      </w:r>
    </w:p>
    <w:p>
      <w:pPr>
        <w:spacing w:after="0" w:line="16" w:lineRule="exact"/>
        <w:rPr>
          <w:sz w:val="20"/>
          <w:szCs w:val="20"/>
          <w:color w:val="auto"/>
        </w:rPr>
      </w:pPr>
    </w:p>
    <w:p>
      <w:pPr>
        <w:jc w:val="right"/>
        <w:ind w:right="960"/>
        <w:spacing w:after="0"/>
        <w:rPr>
          <w:sz w:val="20"/>
          <w:szCs w:val="20"/>
          <w:color w:val="auto"/>
        </w:rPr>
      </w:pPr>
      <w:r>
        <w:rPr>
          <w:rFonts w:ascii="Arial" w:cs="Arial" w:eastAsia="Arial" w:hAnsi="Arial"/>
          <w:sz w:val="13"/>
          <w:szCs w:val="13"/>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-497840</wp:posOffset>
            </wp:positionH>
            <wp:positionV relativeFrom="paragraph">
              <wp:posOffset>9525</wp:posOffset>
            </wp:positionV>
            <wp:extent cx="721360" cy="6350"/>
            <wp:wrapNone/>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307">
                      <a:extLst>
                        <a:ext uri="{28A0092B-C50C-407E-A947-70E740481C1C}"/>
                      </a:extLst>
                    </a:blip>
                    <a:srcRect/>
                    <a:stretch>
                      <a:fillRect/>
                    </a:stretch>
                  </pic:blipFill>
                  <pic:spPr bwMode="auto">
                    <a:xfrm>
                      <a:off x="0" y="0"/>
                      <a:ext cx="721360" cy="6350"/>
                    </a:xfrm>
                    <a:prstGeom prst="rect">
                      <a:avLst/>
                    </a:prstGeom>
                    <a:noFill/>
                  </pic:spPr>
                </pic:pic>
              </a:graphicData>
            </a:graphic>
          </wp:anchor>
        </w:drawing>
      </w:r>
    </w:p>
    <w:p>
      <w:pPr>
        <w:spacing w:after="0" w:line="1"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13,905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-497840</wp:posOffset>
            </wp:positionH>
            <wp:positionV relativeFrom="paragraph">
              <wp:posOffset>10795</wp:posOffset>
            </wp:positionV>
            <wp:extent cx="721360" cy="6350"/>
            <wp:wrapNone/>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308">
                      <a:extLst>
                        <a:ext uri="{28A0092B-C50C-407E-A947-70E740481C1C}"/>
                      </a:extLst>
                    </a:blip>
                    <a:srcRect/>
                    <a:stretch>
                      <a:fillRect/>
                    </a:stretch>
                  </pic:blipFill>
                  <pic:spPr bwMode="auto">
                    <a:xfrm>
                      <a:off x="0" y="0"/>
                      <a:ext cx="721360" cy="6350"/>
                    </a:xfrm>
                    <a:prstGeom prst="rect">
                      <a:avLst/>
                    </a:prstGeom>
                    <a:noFill/>
                  </pic:spPr>
                </pic:pic>
              </a:graphicData>
            </a:graphic>
          </wp:anchor>
        </w:drawing>
      </w:r>
    </w:p>
    <w:p>
      <w:pPr>
        <w:spacing w:after="0" w:line="325" w:lineRule="exact"/>
        <w:rPr>
          <w:sz w:val="20"/>
          <w:szCs w:val="20"/>
          <w:color w:val="auto"/>
        </w:rPr>
      </w:pPr>
    </w:p>
    <w:p>
      <w:pPr>
        <w:jc w:val="right"/>
        <w:ind w:right="1000"/>
        <w:spacing w:after="0"/>
        <w:rPr>
          <w:sz w:val="20"/>
          <w:szCs w:val="20"/>
          <w:color w:val="auto"/>
        </w:rPr>
      </w:pPr>
      <w:r>
        <w:rPr>
          <w:rFonts w:ascii="Arial" w:cs="Arial" w:eastAsia="Arial" w:hAnsi="Arial"/>
          <w:sz w:val="11"/>
          <w:szCs w:val="11"/>
          <w:color w:val="auto"/>
        </w:rPr>
        <w:t>10,349</w:t>
      </w:r>
    </w:p>
    <w:p>
      <w:pPr>
        <w:spacing w:after="0" w:line="36" w:lineRule="exact"/>
        <w:rPr>
          <w:sz w:val="20"/>
          <w:szCs w:val="20"/>
          <w:color w:val="auto"/>
        </w:rPr>
      </w:pPr>
    </w:p>
    <w:p>
      <w:pPr>
        <w:jc w:val="right"/>
        <w:ind w:right="1000"/>
        <w:spacing w:after="0"/>
        <w:rPr>
          <w:sz w:val="20"/>
          <w:szCs w:val="20"/>
          <w:color w:val="auto"/>
        </w:rPr>
      </w:pPr>
      <w:r>
        <w:rPr>
          <w:rFonts w:ascii="Arial" w:cs="Arial" w:eastAsia="Arial" w:hAnsi="Arial"/>
          <w:sz w:val="13"/>
          <w:szCs w:val="13"/>
          <w:color w:val="auto"/>
        </w:rPr>
        <w:t>629</w:t>
      </w:r>
    </w:p>
    <w:p>
      <w:pPr>
        <w:spacing w:after="0" w:line="5" w:lineRule="exact"/>
        <w:rPr>
          <w:sz w:val="20"/>
          <w:szCs w:val="20"/>
          <w:color w:val="auto"/>
        </w:rPr>
      </w:pPr>
    </w:p>
    <w:p>
      <w:pPr>
        <w:jc w:val="right"/>
        <w:ind w:right="960"/>
        <w:spacing w:after="0"/>
        <w:rPr>
          <w:sz w:val="20"/>
          <w:szCs w:val="20"/>
          <w:color w:val="auto"/>
        </w:rPr>
      </w:pPr>
      <w:r>
        <w:rPr>
          <w:rFonts w:ascii="Arial" w:cs="Arial" w:eastAsia="Arial" w:hAnsi="Arial"/>
          <w:sz w:val="13"/>
          <w:szCs w:val="13"/>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-497840</wp:posOffset>
            </wp:positionH>
            <wp:positionV relativeFrom="paragraph">
              <wp:posOffset>9525</wp:posOffset>
            </wp:positionV>
            <wp:extent cx="721360" cy="6350"/>
            <wp:wrapNone/>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309">
                      <a:extLst>
                        <a:ext uri="{28A0092B-C50C-407E-A947-70E740481C1C}"/>
                      </a:extLst>
                    </a:blip>
                    <a:srcRect/>
                    <a:stretch>
                      <a:fillRect/>
                    </a:stretch>
                  </pic:blipFill>
                  <pic:spPr bwMode="auto">
                    <a:xfrm>
                      <a:off x="0" y="0"/>
                      <a:ext cx="721360" cy="6350"/>
                    </a:xfrm>
                    <a:prstGeom prst="rect">
                      <a:avLst/>
                    </a:prstGeom>
                    <a:noFill/>
                  </pic:spPr>
                </pic:pic>
              </a:graphicData>
            </a:graphic>
          </wp:anchor>
        </w:drawing>
      </w:r>
    </w:p>
    <w:p>
      <w:pPr>
        <w:spacing w:after="0"/>
        <w:rPr>
          <w:sz w:val="20"/>
          <w:szCs w:val="20"/>
          <w:color w:val="auto"/>
        </w:rPr>
      </w:pPr>
      <w:r>
        <w:rPr>
          <w:rFonts w:ascii="Arial" w:cs="Arial" w:eastAsia="Arial" w:hAnsi="Arial"/>
          <w:sz w:val="13"/>
          <w:szCs w:val="13"/>
          <w:color w:val="auto"/>
        </w:rPr>
        <w:t>10,974</w:t>
      </w:r>
    </w:p>
    <w:p>
      <w:pPr>
        <w:spacing w:after="0" w:line="13" w:lineRule="exact"/>
        <w:rPr>
          <w:sz w:val="20"/>
          <w:szCs w:val="20"/>
          <w:color w:val="auto"/>
        </w:rPr>
      </w:pPr>
    </w:p>
    <w:p>
      <w:pPr>
        <w:ind w:left="160"/>
        <w:spacing w:after="0"/>
        <w:rPr>
          <w:sz w:val="20"/>
          <w:szCs w:val="20"/>
          <w:color w:val="auto"/>
        </w:rPr>
      </w:pPr>
      <w:r>
        <w:rPr>
          <w:rFonts w:ascii="Arial" w:cs="Arial" w:eastAsia="Arial" w:hAnsi="Arial"/>
          <w:sz w:val="13"/>
          <w:szCs w:val="13"/>
          <w:color w:val="auto"/>
        </w:rPr>
        <w:t>838</w:t>
      </w:r>
    </w:p>
    <w:p>
      <w:pPr>
        <w:spacing w:after="0" w:line="5" w:lineRule="exact"/>
        <w:rPr>
          <w:sz w:val="20"/>
          <w:szCs w:val="20"/>
          <w:color w:val="auto"/>
        </w:rPr>
      </w:pPr>
    </w:p>
    <w:p>
      <w:pPr>
        <w:jc w:val="right"/>
        <w:ind w:right="960"/>
        <w:spacing w:after="0"/>
        <w:rPr>
          <w:sz w:val="20"/>
          <w:szCs w:val="20"/>
          <w:color w:val="auto"/>
        </w:rPr>
      </w:pPr>
      <w:r>
        <w:rPr>
          <w:rFonts w:ascii="Arial" w:cs="Arial" w:eastAsia="Arial" w:hAnsi="Arial"/>
          <w:sz w:val="13"/>
          <w:szCs w:val="13"/>
          <w:color w:val="auto"/>
        </w:rPr>
        <w:t>(65)</w:t>
      </w:r>
    </w:p>
    <w:p>
      <w:pPr>
        <w:spacing w:after="0" w:line="15" w:lineRule="exact"/>
        <w:rPr>
          <w:sz w:val="20"/>
          <w:szCs w:val="20"/>
          <w:color w:val="auto"/>
        </w:rPr>
      </w:pPr>
    </w:p>
    <w:p>
      <w:pPr>
        <w:spacing w:after="0"/>
        <w:rPr>
          <w:sz w:val="20"/>
          <w:szCs w:val="20"/>
          <w:color w:val="auto"/>
        </w:rPr>
      </w:pPr>
      <w:r>
        <w:rPr>
          <w:rFonts w:ascii="Arial" w:cs="Arial" w:eastAsia="Arial" w:hAnsi="Arial"/>
          <w:sz w:val="13"/>
          <w:szCs w:val="13"/>
          <w:color w:val="auto"/>
        </w:rPr>
        <w:t>11,747</w:t>
      </w:r>
    </w:p>
    <w:p>
      <w:pPr>
        <w:spacing w:after="0" w:line="13" w:lineRule="exact"/>
        <w:rPr>
          <w:sz w:val="20"/>
          <w:szCs w:val="20"/>
          <w:color w:val="auto"/>
        </w:rPr>
      </w:pPr>
    </w:p>
    <w:p>
      <w:pPr>
        <w:jc w:val="right"/>
        <w:ind w:right="1000"/>
        <w:spacing w:after="0"/>
        <w:rPr>
          <w:sz w:val="20"/>
          <w:szCs w:val="20"/>
          <w:color w:val="auto"/>
        </w:rPr>
      </w:pPr>
      <w:r>
        <w:rPr>
          <w:rFonts w:ascii="Arial" w:cs="Arial" w:eastAsia="Arial" w:hAnsi="Arial"/>
          <w:sz w:val="13"/>
          <w:szCs w:val="13"/>
          <w:color w:val="auto"/>
        </w:rPr>
        <w:t>1,176</w:t>
      </w:r>
    </w:p>
    <w:p>
      <w:pPr>
        <w:spacing w:after="0" w:line="5" w:lineRule="exact"/>
        <w:rPr>
          <w:sz w:val="20"/>
          <w:szCs w:val="20"/>
          <w:color w:val="auto"/>
        </w:rPr>
      </w:pPr>
    </w:p>
    <w:p>
      <w:pPr>
        <w:jc w:val="right"/>
        <w:ind w:right="960"/>
        <w:spacing w:after="0"/>
        <w:rPr>
          <w:sz w:val="20"/>
          <w:szCs w:val="20"/>
          <w:color w:val="auto"/>
        </w:rPr>
      </w:pPr>
      <w:r>
        <w:rPr>
          <w:rFonts w:ascii="Arial" w:cs="Arial" w:eastAsia="Arial" w:hAnsi="Arial"/>
          <w:sz w:val="13"/>
          <w:szCs w:val="13"/>
          <w:color w:val="auto"/>
        </w:rPr>
        <w:t>(609)</w:t>
      </w:r>
    </w:p>
    <w:p>
      <w:pPr>
        <w:spacing w:after="0" w:line="5" w:lineRule="exact"/>
        <w:rPr>
          <w:sz w:val="20"/>
          <w:szCs w:val="20"/>
          <w:color w:val="auto"/>
        </w:rPr>
      </w:pPr>
    </w:p>
    <w:p>
      <w:pPr>
        <w:jc w:val="right"/>
        <w:ind w:right="960"/>
        <w:spacing w:after="0"/>
        <w:rPr>
          <w:sz w:val="20"/>
          <w:szCs w:val="20"/>
          <w:color w:val="auto"/>
        </w:rPr>
      </w:pPr>
      <w:r>
        <w:rPr>
          <w:rFonts w:ascii="Arial" w:cs="Arial" w:eastAsia="Arial" w:hAnsi="Arial"/>
          <w:sz w:val="13"/>
          <w:szCs w:val="13"/>
          <w:color w:val="auto"/>
        </w:rPr>
        <w:t>(42)</w:t>
      </w:r>
    </w:p>
    <w:p>
      <w:pPr>
        <w:spacing w:after="0" w:line="21"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12,272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-497840</wp:posOffset>
            </wp:positionH>
            <wp:positionV relativeFrom="paragraph">
              <wp:posOffset>23495</wp:posOffset>
            </wp:positionV>
            <wp:extent cx="721360" cy="6350"/>
            <wp:wrapNone/>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310">
                      <a:extLst>
                        <a:ext uri="{28A0092B-C50C-407E-A947-70E740481C1C}"/>
                      </a:extLst>
                    </a:blip>
                    <a:srcRect/>
                    <a:stretch>
                      <a:fillRect/>
                    </a:stretch>
                  </pic:blipFill>
                  <pic:spPr bwMode="auto">
                    <a:xfrm>
                      <a:off x="0" y="0"/>
                      <a:ext cx="721360" cy="6350"/>
                    </a:xfrm>
                    <a:prstGeom prst="rect">
                      <a:avLst/>
                    </a:prstGeom>
                    <a:noFill/>
                  </pic:spPr>
                </pic:pic>
              </a:graphicData>
            </a:graphic>
          </wp:anchor>
        </w:drawing>
      </w:r>
    </w:p>
    <w:p>
      <w:pPr>
        <w:spacing w:after="0" w:line="341" w:lineRule="exact"/>
        <w:rPr>
          <w:sz w:val="20"/>
          <w:szCs w:val="20"/>
          <w:color w:val="auto"/>
        </w:rPr>
      </w:pPr>
    </w:p>
    <w:p>
      <w:pPr>
        <w:ind w:left="60"/>
        <w:spacing w:after="0"/>
        <w:rPr>
          <w:sz w:val="20"/>
          <w:szCs w:val="20"/>
          <w:color w:val="auto"/>
        </w:rPr>
      </w:pPr>
      <w:r>
        <w:rPr>
          <w:rFonts w:ascii="Arial" w:cs="Arial" w:eastAsia="Arial" w:hAnsi="Arial"/>
          <w:sz w:val="13"/>
          <w:szCs w:val="13"/>
          <w:b w:val="1"/>
          <w:bCs w:val="1"/>
          <w:color w:val="auto"/>
        </w:rPr>
        <w:t>1,633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-497840</wp:posOffset>
            </wp:positionH>
            <wp:positionV relativeFrom="paragraph">
              <wp:posOffset>10795</wp:posOffset>
            </wp:positionV>
            <wp:extent cx="721360" cy="6350"/>
            <wp:wrapNone/>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311">
                      <a:extLst>
                        <a:ext uri="{28A0092B-C50C-407E-A947-70E740481C1C}"/>
                      </a:extLst>
                    </a:blip>
                    <a:srcRect/>
                    <a:stretch>
                      <a:fillRect/>
                    </a:stretch>
                  </pic:blipFill>
                  <pic:spPr bwMode="auto">
                    <a:xfrm>
                      <a:off x="0" y="0"/>
                      <a:ext cx="721360" cy="6350"/>
                    </a:xfrm>
                    <a:prstGeom prst="rect">
                      <a:avLst/>
                    </a:prstGeom>
                    <a:noFill/>
                  </pic:spPr>
                </pic:pic>
              </a:graphicData>
            </a:graphic>
          </wp:anchor>
        </w:drawing>
      </w:r>
    </w:p>
    <w:p>
      <w:pPr>
        <w:spacing w:after="0" w:line="13" w:lineRule="exact"/>
        <w:rPr>
          <w:sz w:val="20"/>
          <w:szCs w:val="20"/>
          <w:color w:val="auto"/>
        </w:rPr>
      </w:pPr>
    </w:p>
    <w:p>
      <w:pPr>
        <w:ind w:left="60"/>
        <w:spacing w:after="0"/>
        <w:rPr>
          <w:sz w:val="20"/>
          <w:szCs w:val="20"/>
          <w:color w:val="auto"/>
        </w:rPr>
      </w:pPr>
      <w:r>
        <w:rPr>
          <w:rFonts w:ascii="Arial" w:cs="Arial" w:eastAsia="Arial" w:hAnsi="Arial"/>
          <w:sz w:val="13"/>
          <w:szCs w:val="13"/>
          <w:b w:val="1"/>
          <w:bCs w:val="1"/>
          <w:color w:val="auto"/>
        </w:rPr>
        <w:t>5,425</w:t>
      </w:r>
    </w:p>
    <w:p>
      <w:pPr>
        <w:spacing w:after="0" w:line="33" w:lineRule="exact"/>
        <w:rPr>
          <w:sz w:val="20"/>
          <w:szCs w:val="20"/>
          <w:color w:val="auto"/>
        </w:rPr>
      </w:pPr>
    </w:p>
    <w:p>
      <w:pPr>
        <w:ind w:left="60"/>
        <w:spacing w:after="0"/>
        <w:rPr>
          <w:sz w:val="20"/>
          <w:szCs w:val="20"/>
          <w:color w:val="auto"/>
        </w:rPr>
      </w:pPr>
      <w:r>
        <w:rPr>
          <w:rFonts w:ascii="Arial" w:cs="Arial" w:eastAsia="Arial" w:hAnsi="Arial"/>
          <w:sz w:val="13"/>
          <w:szCs w:val="13"/>
          <w:b w:val="1"/>
          <w:bCs w:val="1"/>
          <w:color w:val="auto"/>
        </w:rPr>
        <w:t>2,909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-497840</wp:posOffset>
            </wp:positionH>
            <wp:positionV relativeFrom="paragraph">
              <wp:posOffset>10795</wp:posOffset>
            </wp:positionV>
            <wp:extent cx="721360" cy="6350"/>
            <wp:wrapNone/>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312">
                      <a:extLst>
                        <a:ext uri="{28A0092B-C50C-407E-A947-70E740481C1C}"/>
                      </a:extLst>
                    </a:blip>
                    <a:srcRect/>
                    <a:stretch>
                      <a:fillRect/>
                    </a:stretch>
                  </pic:blipFill>
                  <pic:spPr bwMode="auto">
                    <a:xfrm>
                      <a:off x="0" y="0"/>
                      <a:ext cx="721360" cy="6350"/>
                    </a:xfrm>
                    <a:prstGeom prst="rect">
                      <a:avLst/>
                    </a:prstGeom>
                    <a:noFill/>
                  </pic:spPr>
                </pic:pic>
              </a:graphicData>
            </a:graphic>
          </wp:anchor>
        </w:drawing>
        <w:drawing>
          <wp:anchor simplePos="0" relativeHeight="251657728" behindDoc="1" locked="0" layoutInCell="0" allowOverlap="1">
            <wp:simplePos x="0" y="0"/>
            <wp:positionH relativeFrom="column">
              <wp:posOffset>-497840</wp:posOffset>
            </wp:positionH>
            <wp:positionV relativeFrom="paragraph">
              <wp:posOffset>23495</wp:posOffset>
            </wp:positionV>
            <wp:extent cx="721360" cy="6350"/>
            <wp:wrapNone/>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313">
                      <a:extLst>
                        <a:ext uri="{28A0092B-C50C-407E-A947-70E740481C1C}"/>
                      </a:extLst>
                    </a:blip>
                    <a:srcRect/>
                    <a:stretch>
                      <a:fillRect/>
                    </a:stretch>
                  </pic:blipFill>
                  <pic:spPr bwMode="auto">
                    <a:xfrm>
                      <a:off x="0" y="0"/>
                      <a:ext cx="721360" cy="6350"/>
                    </a:xfrm>
                    <a:prstGeom prst="rect">
                      <a:avLst/>
                    </a:prstGeom>
                    <a:noFill/>
                  </pic:spPr>
                </pic:pic>
              </a:graphicData>
            </a:graphic>
          </wp:anchor>
        </w:drawing>
        <w:drawing>
          <wp:anchor simplePos="0" relativeHeight="251657728" behindDoc="1" locked="0" layoutInCell="0" allowOverlap="1">
            <wp:simplePos x="0" y="0"/>
            <wp:positionH relativeFrom="column">
              <wp:posOffset>-497840</wp:posOffset>
            </wp:positionH>
            <wp:positionV relativeFrom="paragraph">
              <wp:posOffset>-92075</wp:posOffset>
            </wp:positionV>
            <wp:extent cx="721360" cy="6350"/>
            <wp:wrapNone/>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314">
                      <a:extLst>
                        <a:ext uri="{28A0092B-C50C-407E-A947-70E740481C1C}"/>
                      </a:extLst>
                    </a:blip>
                    <a:srcRect/>
                    <a:stretch>
                      <a:fillRect/>
                    </a:stretch>
                  </pic:blipFill>
                  <pic:spPr bwMode="auto">
                    <a:xfrm>
                      <a:off x="0" y="0"/>
                      <a:ext cx="721360" cy="6350"/>
                    </a:xfrm>
                    <a:prstGeom prst="rect">
                      <a:avLst/>
                    </a:prstGeom>
                    <a:noFill/>
                  </pic:spPr>
                </pic:pic>
              </a:graphicData>
            </a:graphic>
          </wp:anchor>
        </w:drawing>
      </w:r>
    </w:p>
    <w:p>
      <w:pPr>
        <w:spacing w:after="0" w:line="191" w:lineRule="exact"/>
        <w:rPr>
          <w:sz w:val="20"/>
          <w:szCs w:val="20"/>
          <w:color w:val="auto"/>
        </w:rPr>
      </w:pPr>
    </w:p>
    <w:p>
      <w:pPr>
        <w:sectPr>
          <w:pgSz w:w="11900" w:h="16838" w:orient="portrait"/>
          <w:cols w:equalWidth="0" w:num="2">
            <w:col w:w="9383" w:space="720"/>
            <w:col w:w="1360"/>
          </w:cols>
          <w:pgMar w:left="217" w:top="685" w:right="219" w:bottom="1440" w:gutter="0" w:footer="0" w:header="0"/>
        </w:sectPr>
      </w:pPr>
    </w:p>
    <w:p>
      <w:pPr>
        <w:ind w:left="223"/>
        <w:spacing w:after="0" w:line="267" w:lineRule="auto"/>
        <w:rPr>
          <w:sz w:val="20"/>
          <w:szCs w:val="20"/>
          <w:color w:val="auto"/>
        </w:rPr>
      </w:pPr>
      <w:r>
        <w:rPr>
          <w:rFonts w:ascii="Arial" w:cs="Arial" w:eastAsia="Arial" w:hAnsi="Arial"/>
          <w:sz w:val="13"/>
          <w:szCs w:val="13"/>
          <w:color w:val="auto"/>
        </w:rPr>
        <w:t>Expenses related to the amortization of intangible assets are presented as part of amortization of intangible assets in the consolidated statement of profit or loss. Disposals during 2018 correspond to technological projects.</w:t>
      </w:r>
    </w:p>
    <w:p>
      <w:pPr>
        <w:spacing w:after="0" w:line="283"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F-66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31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85" w:right="219" w:bottom="1440" w:gutter="0" w:footer="0" w:header="0"/>
          <w:type w:val="continuous"/>
        </w:sectPr>
      </w:pPr>
    </w:p>
    <w:bookmarkStart w:id="191" w:name="page192"/>
    <w:bookmarkEnd w:id="191"/>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31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155"/>
        </w:numPr>
        <w:rPr>
          <w:rFonts w:ascii="Arial" w:cs="Arial" w:eastAsia="Arial" w:hAnsi="Arial"/>
          <w:sz w:val="13"/>
          <w:szCs w:val="13"/>
          <w:b w:val="1"/>
          <w:bCs w:val="1"/>
          <w:color w:val="auto"/>
        </w:rPr>
      </w:pPr>
      <w:r>
        <w:rPr>
          <w:rFonts w:ascii="Arial" w:cs="Arial" w:eastAsia="Arial" w:hAnsi="Arial"/>
          <w:sz w:val="13"/>
          <w:szCs w:val="13"/>
          <w:b w:val="1"/>
          <w:bCs w:val="1"/>
          <w:color w:val="auto"/>
        </w:rPr>
        <w:t>Investment properties</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Investment properties are measured at fair value through profit or loss. The gains and losses resulting from fair value adjustments are recognized in profit or loss. A summary is as follows:</w:t>
      </w:r>
    </w:p>
    <w:p>
      <w:pPr>
        <w:spacing w:after="0" w:line="167" w:lineRule="exact"/>
        <w:rPr>
          <w:sz w:val="20"/>
          <w:szCs w:val="20"/>
          <w:color w:val="auto"/>
        </w:rPr>
      </w:pPr>
    </w:p>
    <w:tbl>
      <w:tblPr>
        <w:tblLayout w:type="fixed"/>
        <w:tblInd w:w="223" w:type="dxa"/>
        <w:tblCellMar>
          <w:top w:w="0" w:type="dxa"/>
          <w:left w:w="0" w:type="dxa"/>
          <w:bottom w:w="0" w:type="dxa"/>
          <w:right w:w="0" w:type="dxa"/>
        </w:tblCellMar>
      </w:tblPr>
      <w:tr>
        <w:trPr>
          <w:trHeight w:val="154"/>
        </w:trPr>
        <w:tc>
          <w:tcPr>
            <w:tcW w:w="708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Balance at January 1, 2017</w:t>
            </w:r>
          </w:p>
        </w:tc>
        <w:tc>
          <w:tcPr>
            <w:tcW w:w="90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w:t>
            </w:r>
          </w:p>
        </w:tc>
        <w:tc>
          <w:tcPr>
            <w:tcW w:w="60" w:type="dxa"/>
            <w:vAlign w:val="bottom"/>
            <w:shd w:val="clear" w:color="auto" w:fill="CCEEFF"/>
          </w:tcPr>
          <w:p>
            <w:pPr>
              <w:spacing w:after="0"/>
              <w:rPr>
                <w:sz w:val="13"/>
                <w:szCs w:val="13"/>
                <w:color w:val="auto"/>
              </w:rPr>
            </w:pPr>
          </w:p>
        </w:tc>
      </w:tr>
      <w:tr>
        <w:trPr>
          <w:trHeight w:val="163"/>
        </w:trPr>
        <w:tc>
          <w:tcPr>
            <w:tcW w:w="7080" w:type="dxa"/>
            <w:vAlign w:val="bottom"/>
          </w:tcPr>
          <w:p>
            <w:pPr>
              <w:spacing w:after="0"/>
              <w:rPr>
                <w:sz w:val="20"/>
                <w:szCs w:val="20"/>
                <w:color w:val="auto"/>
              </w:rPr>
            </w:pPr>
            <w:r>
              <w:rPr>
                <w:rFonts w:ascii="Arial" w:cs="Arial" w:eastAsia="Arial" w:hAnsi="Arial"/>
                <w:sz w:val="13"/>
                <w:szCs w:val="13"/>
                <w:color w:val="auto"/>
              </w:rPr>
              <w:t>Additions</w:t>
            </w:r>
          </w:p>
        </w:tc>
        <w:tc>
          <w:tcPr>
            <w:tcW w:w="900" w:type="dxa"/>
            <w:vAlign w:val="bottom"/>
            <w:gridSpan w:val="2"/>
          </w:tcPr>
          <w:p>
            <w:pPr>
              <w:jc w:val="right"/>
              <w:ind w:right="20"/>
              <w:spacing w:after="0"/>
              <w:rPr>
                <w:sz w:val="20"/>
                <w:szCs w:val="20"/>
                <w:color w:val="auto"/>
              </w:rPr>
            </w:pPr>
            <w:r>
              <w:rPr>
                <w:rFonts w:ascii="Arial" w:cs="Arial" w:eastAsia="Arial" w:hAnsi="Arial"/>
                <w:sz w:val="13"/>
                <w:szCs w:val="13"/>
                <w:color w:val="auto"/>
              </w:rPr>
              <w:t>5,119</w:t>
            </w:r>
          </w:p>
        </w:tc>
        <w:tc>
          <w:tcPr>
            <w:tcW w:w="60" w:type="dxa"/>
            <w:vAlign w:val="bottom"/>
          </w:tcPr>
          <w:p>
            <w:pPr>
              <w:spacing w:after="0"/>
              <w:rPr>
                <w:sz w:val="14"/>
                <w:szCs w:val="14"/>
                <w:color w:val="auto"/>
              </w:rPr>
            </w:pPr>
          </w:p>
        </w:tc>
      </w:tr>
      <w:tr>
        <w:trPr>
          <w:trHeight w:val="144"/>
        </w:trPr>
        <w:tc>
          <w:tcPr>
            <w:tcW w:w="708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Balance at December 31, 2017</w:t>
            </w:r>
          </w:p>
        </w:tc>
        <w:tc>
          <w:tcPr>
            <w:tcW w:w="8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5,119</w:t>
            </w:r>
          </w:p>
        </w:tc>
        <w:tc>
          <w:tcPr>
            <w:tcW w:w="2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r>
      <w:tr>
        <w:trPr>
          <w:trHeight w:val="154"/>
        </w:trPr>
        <w:tc>
          <w:tcPr>
            <w:tcW w:w="7080" w:type="dxa"/>
            <w:vAlign w:val="bottom"/>
          </w:tcPr>
          <w:p>
            <w:pPr>
              <w:spacing w:after="0"/>
              <w:rPr>
                <w:sz w:val="20"/>
                <w:szCs w:val="20"/>
                <w:color w:val="auto"/>
              </w:rPr>
            </w:pPr>
            <w:r>
              <w:rPr>
                <w:rFonts w:ascii="Arial" w:cs="Arial" w:eastAsia="Arial" w:hAnsi="Arial"/>
                <w:sz w:val="13"/>
                <w:szCs w:val="13"/>
                <w:color w:val="auto"/>
              </w:rPr>
              <w:t>Sale of investment properties</w:t>
            </w:r>
          </w:p>
        </w:tc>
        <w:tc>
          <w:tcPr>
            <w:tcW w:w="960" w:type="dxa"/>
            <w:vAlign w:val="bottom"/>
            <w:gridSpan w:val="3"/>
          </w:tcPr>
          <w:p>
            <w:pPr>
              <w:jc w:val="right"/>
              <w:ind w:right="40"/>
              <w:spacing w:after="0"/>
              <w:rPr>
                <w:sz w:val="20"/>
                <w:szCs w:val="20"/>
                <w:color w:val="auto"/>
              </w:rPr>
            </w:pPr>
            <w:r>
              <w:rPr>
                <w:rFonts w:ascii="Arial" w:cs="Arial" w:eastAsia="Arial" w:hAnsi="Arial"/>
                <w:sz w:val="13"/>
                <w:szCs w:val="13"/>
                <w:color w:val="auto"/>
              </w:rPr>
              <w:t>(1,270)</w:t>
            </w:r>
          </w:p>
        </w:tc>
      </w:tr>
      <w:tr>
        <w:trPr>
          <w:trHeight w:val="164"/>
        </w:trPr>
        <w:tc>
          <w:tcPr>
            <w:tcW w:w="7080" w:type="dxa"/>
            <w:vAlign w:val="bottom"/>
            <w:shd w:val="clear" w:color="auto" w:fill="CCEEFF"/>
          </w:tcPr>
          <w:p>
            <w:pPr>
              <w:spacing w:after="0"/>
              <w:rPr>
                <w:sz w:val="20"/>
                <w:szCs w:val="20"/>
                <w:color w:val="auto"/>
              </w:rPr>
            </w:pPr>
            <w:r>
              <w:rPr>
                <w:rFonts w:ascii="Arial" w:cs="Arial" w:eastAsia="Arial" w:hAnsi="Arial"/>
                <w:sz w:val="13"/>
                <w:szCs w:val="13"/>
                <w:color w:val="auto"/>
              </w:rPr>
              <w:t>Net change in fair value</w:t>
            </w:r>
          </w:p>
        </w:tc>
        <w:tc>
          <w:tcPr>
            <w:tcW w:w="960" w:type="dxa"/>
            <w:vAlign w:val="bottom"/>
            <w:gridSpan w:val="3"/>
            <w:shd w:val="clear" w:color="auto" w:fill="CCEEFF"/>
          </w:tcPr>
          <w:p>
            <w:pPr>
              <w:jc w:val="right"/>
              <w:ind w:right="40"/>
              <w:spacing w:after="0"/>
              <w:rPr>
                <w:sz w:val="20"/>
                <w:szCs w:val="20"/>
                <w:color w:val="auto"/>
              </w:rPr>
            </w:pPr>
            <w:r>
              <w:rPr>
                <w:rFonts w:ascii="Arial" w:cs="Arial" w:eastAsia="Arial" w:hAnsi="Arial"/>
                <w:sz w:val="13"/>
                <w:szCs w:val="13"/>
                <w:color w:val="auto"/>
              </w:rPr>
              <w:t>(3,849)</w:t>
            </w:r>
          </w:p>
        </w:tc>
      </w:tr>
      <w:tr>
        <w:trPr>
          <w:trHeight w:val="162"/>
        </w:trPr>
        <w:tc>
          <w:tcPr>
            <w:tcW w:w="7080" w:type="dxa"/>
            <w:vAlign w:val="bottom"/>
          </w:tcPr>
          <w:p>
            <w:pPr>
              <w:spacing w:after="0" w:line="146" w:lineRule="exact"/>
              <w:rPr>
                <w:sz w:val="20"/>
                <w:szCs w:val="20"/>
                <w:color w:val="auto"/>
              </w:rPr>
            </w:pPr>
            <w:r>
              <w:rPr>
                <w:rFonts w:ascii="Arial" w:cs="Arial" w:eastAsia="Arial" w:hAnsi="Arial"/>
                <w:sz w:val="13"/>
                <w:szCs w:val="13"/>
                <w:b w:val="1"/>
                <w:bCs w:val="1"/>
                <w:color w:val="auto"/>
              </w:rPr>
              <w:t>Balance at December 31, 2018</w:t>
            </w: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w:t>
            </w:r>
          </w:p>
        </w:tc>
        <w:tc>
          <w:tcPr>
            <w:tcW w:w="20" w:type="dxa"/>
            <w:vAlign w:val="bottom"/>
            <w:tcBorders>
              <w:bottom w:val="single" w:sz="8" w:color="auto"/>
            </w:tcBorders>
          </w:tcPr>
          <w:p>
            <w:pPr>
              <w:spacing w:after="0"/>
              <w:rPr>
                <w:sz w:val="14"/>
                <w:szCs w:val="14"/>
                <w:color w:val="auto"/>
              </w:rPr>
            </w:pPr>
          </w:p>
        </w:tc>
        <w:tc>
          <w:tcPr>
            <w:tcW w:w="60" w:type="dxa"/>
            <w:vAlign w:val="bottom"/>
          </w:tcPr>
          <w:p>
            <w:pPr>
              <w:spacing w:after="0"/>
              <w:rPr>
                <w:sz w:val="14"/>
                <w:szCs w:val="14"/>
                <w:color w:val="auto"/>
              </w:rPr>
            </w:pPr>
          </w:p>
        </w:tc>
      </w:tr>
    </w:tbl>
    <w:p>
      <w:pPr>
        <w:spacing w:after="0" w:line="136" w:lineRule="exact"/>
        <w:rPr>
          <w:sz w:val="20"/>
          <w:szCs w:val="20"/>
          <w:color w:val="auto"/>
        </w:rPr>
      </w:pPr>
    </w:p>
    <w:p>
      <w:pPr>
        <w:ind w:left="223"/>
        <w:spacing w:after="0" w:line="267" w:lineRule="auto"/>
        <w:rPr>
          <w:sz w:val="20"/>
          <w:szCs w:val="20"/>
          <w:color w:val="auto"/>
        </w:rPr>
      </w:pPr>
      <w:r>
        <w:rPr>
          <w:rFonts w:ascii="Arial" w:cs="Arial" w:eastAsia="Arial" w:hAnsi="Arial"/>
          <w:sz w:val="13"/>
          <w:szCs w:val="13"/>
          <w:color w:val="auto"/>
        </w:rPr>
        <w:t>The Bank determines the fair value for its investment properties based on discounted expected cash flows on reliable estimates for the operating leases or existing contracts. The Bank applied the fair value hierarchy level 3, in absence of a comparable active market. As of December, 31 2018, such estimates results in zero value.</w:t>
      </w:r>
    </w:p>
    <w:p>
      <w:pPr>
        <w:spacing w:after="0" w:line="129" w:lineRule="exact"/>
        <w:rPr>
          <w:sz w:val="20"/>
          <w:szCs w:val="20"/>
          <w:color w:val="auto"/>
        </w:rPr>
      </w:pPr>
    </w:p>
    <w:tbl>
      <w:tblPr>
        <w:tblLayout w:type="fixed"/>
        <w:tblInd w:w="3" w:type="dxa"/>
        <w:tblCellMar>
          <w:top w:w="0" w:type="dxa"/>
          <w:left w:w="0" w:type="dxa"/>
          <w:bottom w:w="0" w:type="dxa"/>
          <w:right w:w="0" w:type="dxa"/>
        </w:tblCellMar>
      </w:tblPr>
      <w:tr>
        <w:trPr>
          <w:trHeight w:val="162"/>
        </w:trPr>
        <w:tc>
          <w:tcPr>
            <w:tcW w:w="3180" w:type="dxa"/>
            <w:vAlign w:val="bottom"/>
            <w:gridSpan w:val="4"/>
          </w:tcPr>
          <w:p>
            <w:pPr>
              <w:ind w:left="220"/>
              <w:spacing w:after="0"/>
              <w:rPr>
                <w:sz w:val="20"/>
                <w:szCs w:val="20"/>
                <w:color w:val="auto"/>
              </w:rPr>
            </w:pPr>
            <w:r>
              <w:rPr>
                <w:rFonts w:ascii="Arial" w:cs="Arial" w:eastAsia="Arial" w:hAnsi="Arial"/>
                <w:sz w:val="13"/>
                <w:szCs w:val="13"/>
                <w:color w:val="auto"/>
                <w:w w:val="90"/>
              </w:rPr>
              <w:t>Unobservable inputs used in the fair value measurement</w:t>
            </w:r>
          </w:p>
        </w:tc>
        <w:tc>
          <w:tcPr>
            <w:tcW w:w="132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5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3260" w:type="dxa"/>
            <w:vAlign w:val="bottom"/>
          </w:tcPr>
          <w:p>
            <w:pPr>
              <w:spacing w:after="0"/>
              <w:rPr>
                <w:sz w:val="14"/>
                <w:szCs w:val="14"/>
                <w:color w:val="auto"/>
              </w:rPr>
            </w:pPr>
          </w:p>
        </w:tc>
      </w:tr>
      <w:tr>
        <w:trPr>
          <w:trHeight w:val="296"/>
        </w:trPr>
        <w:tc>
          <w:tcPr>
            <w:tcW w:w="220" w:type="dxa"/>
            <w:vAlign w:val="bottom"/>
          </w:tcPr>
          <w:p>
            <w:pPr>
              <w:spacing w:after="0"/>
              <w:rPr>
                <w:sz w:val="24"/>
                <w:szCs w:val="24"/>
                <w:color w:val="auto"/>
              </w:rPr>
            </w:pPr>
          </w:p>
        </w:tc>
        <w:tc>
          <w:tcPr>
            <w:tcW w:w="23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1320" w:type="dxa"/>
            <w:vAlign w:val="bottom"/>
          </w:tcPr>
          <w:p>
            <w:pPr>
              <w:jc w:val="center"/>
              <w:ind w:right="136"/>
              <w:spacing w:after="0"/>
              <w:rPr>
                <w:sz w:val="20"/>
                <w:szCs w:val="20"/>
                <w:color w:val="auto"/>
              </w:rPr>
            </w:pPr>
            <w:r>
              <w:rPr>
                <w:rFonts w:ascii="Arial" w:cs="Arial" w:eastAsia="Arial" w:hAnsi="Arial"/>
                <w:sz w:val="13"/>
                <w:szCs w:val="13"/>
                <w:b w:val="1"/>
                <w:bCs w:val="1"/>
                <w:color w:val="auto"/>
                <w:w w:val="92"/>
              </w:rPr>
              <w:t>Fair value</w:t>
            </w:r>
          </w:p>
        </w:tc>
        <w:tc>
          <w:tcPr>
            <w:tcW w:w="2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5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3260" w:type="dxa"/>
            <w:vAlign w:val="bottom"/>
          </w:tcPr>
          <w:p>
            <w:pPr>
              <w:spacing w:after="0"/>
              <w:rPr>
                <w:sz w:val="24"/>
                <w:szCs w:val="24"/>
                <w:color w:val="auto"/>
              </w:rPr>
            </w:pPr>
          </w:p>
        </w:tc>
      </w:tr>
      <w:tr>
        <w:trPr>
          <w:trHeight w:val="167"/>
        </w:trPr>
        <w:tc>
          <w:tcPr>
            <w:tcW w:w="220" w:type="dxa"/>
            <w:vAlign w:val="bottom"/>
          </w:tcPr>
          <w:p>
            <w:pPr>
              <w:spacing w:after="0"/>
              <w:rPr>
                <w:sz w:val="14"/>
                <w:szCs w:val="14"/>
                <w:color w:val="auto"/>
              </w:rPr>
            </w:pPr>
          </w:p>
        </w:tc>
        <w:tc>
          <w:tcPr>
            <w:tcW w:w="2960" w:type="dxa"/>
            <w:vAlign w:val="bottom"/>
            <w:gridSpan w:val="3"/>
          </w:tcPr>
          <w:p>
            <w:pPr>
              <w:ind w:left="820"/>
              <w:spacing w:after="0"/>
              <w:rPr>
                <w:sz w:val="20"/>
                <w:szCs w:val="20"/>
                <w:color w:val="auto"/>
              </w:rPr>
            </w:pPr>
            <w:r>
              <w:rPr>
                <w:rFonts w:ascii="Arial" w:cs="Arial" w:eastAsia="Arial" w:hAnsi="Arial"/>
                <w:sz w:val="13"/>
                <w:szCs w:val="13"/>
                <w:b w:val="1"/>
                <w:bCs w:val="1"/>
                <w:color w:val="auto"/>
              </w:rPr>
              <w:t>Type of asset</w:t>
            </w:r>
          </w:p>
        </w:tc>
        <w:tc>
          <w:tcPr>
            <w:tcW w:w="1320" w:type="dxa"/>
            <w:vAlign w:val="bottom"/>
          </w:tcPr>
          <w:p>
            <w:pPr>
              <w:jc w:val="center"/>
              <w:ind w:right="96"/>
              <w:spacing w:after="0"/>
              <w:rPr>
                <w:sz w:val="20"/>
                <w:szCs w:val="20"/>
                <w:color w:val="auto"/>
              </w:rPr>
            </w:pPr>
            <w:r>
              <w:rPr>
                <w:rFonts w:ascii="Arial" w:cs="Arial" w:eastAsia="Arial" w:hAnsi="Arial"/>
                <w:sz w:val="13"/>
                <w:szCs w:val="13"/>
                <w:b w:val="1"/>
                <w:bCs w:val="1"/>
                <w:color w:val="auto"/>
                <w:w w:val="88"/>
              </w:rPr>
              <w:t>December 31, 2018</w:t>
            </w:r>
          </w:p>
        </w:tc>
        <w:tc>
          <w:tcPr>
            <w:tcW w:w="2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740" w:type="dxa"/>
            <w:vAlign w:val="bottom"/>
            <w:gridSpan w:val="2"/>
          </w:tcPr>
          <w:p>
            <w:pPr>
              <w:ind w:left="580"/>
              <w:spacing w:after="0"/>
              <w:rPr>
                <w:sz w:val="20"/>
                <w:szCs w:val="20"/>
                <w:color w:val="auto"/>
              </w:rPr>
            </w:pPr>
            <w:r>
              <w:rPr>
                <w:rFonts w:ascii="Arial" w:cs="Arial" w:eastAsia="Arial" w:hAnsi="Arial"/>
                <w:sz w:val="13"/>
                <w:szCs w:val="13"/>
                <w:b w:val="1"/>
                <w:bCs w:val="1"/>
                <w:color w:val="auto"/>
              </w:rPr>
              <w:t>Measurement techniques</w:t>
            </w:r>
          </w:p>
        </w:tc>
        <w:tc>
          <w:tcPr>
            <w:tcW w:w="260" w:type="dxa"/>
            <w:vAlign w:val="bottom"/>
          </w:tcPr>
          <w:p>
            <w:pPr>
              <w:spacing w:after="0"/>
              <w:rPr>
                <w:sz w:val="14"/>
                <w:szCs w:val="14"/>
                <w:color w:val="auto"/>
              </w:rPr>
            </w:pPr>
          </w:p>
        </w:tc>
        <w:tc>
          <w:tcPr>
            <w:tcW w:w="3260" w:type="dxa"/>
            <w:vAlign w:val="bottom"/>
          </w:tcPr>
          <w:p>
            <w:pPr>
              <w:ind w:left="640"/>
              <w:spacing w:after="0"/>
              <w:rPr>
                <w:sz w:val="20"/>
                <w:szCs w:val="20"/>
                <w:color w:val="auto"/>
              </w:rPr>
            </w:pPr>
            <w:r>
              <w:rPr>
                <w:rFonts w:ascii="Arial" w:cs="Arial" w:eastAsia="Arial" w:hAnsi="Arial"/>
                <w:sz w:val="13"/>
                <w:szCs w:val="13"/>
                <w:b w:val="1"/>
                <w:bCs w:val="1"/>
                <w:color w:val="auto"/>
              </w:rPr>
              <w:t>Significant unobservable inputs</w:t>
            </w:r>
          </w:p>
        </w:tc>
      </w:tr>
      <w:tr>
        <w:trPr>
          <w:trHeight w:val="135"/>
        </w:trPr>
        <w:tc>
          <w:tcPr>
            <w:tcW w:w="220" w:type="dxa"/>
            <w:vAlign w:val="bottom"/>
          </w:tcPr>
          <w:p>
            <w:pPr>
              <w:spacing w:after="0"/>
              <w:rPr>
                <w:sz w:val="11"/>
                <w:szCs w:val="11"/>
                <w:color w:val="auto"/>
              </w:rPr>
            </w:pPr>
          </w:p>
        </w:tc>
        <w:tc>
          <w:tcPr>
            <w:tcW w:w="2320" w:type="dxa"/>
            <w:vAlign w:val="bottom"/>
            <w:tcBorders>
              <w:top w:val="single" w:sz="8" w:color="auto"/>
            </w:tcBorders>
          </w:tcPr>
          <w:p>
            <w:pPr>
              <w:spacing w:after="0" w:line="135" w:lineRule="exact"/>
              <w:rPr>
                <w:sz w:val="20"/>
                <w:szCs w:val="20"/>
                <w:color w:val="auto"/>
              </w:rPr>
            </w:pPr>
            <w:r>
              <w:rPr>
                <w:rFonts w:ascii="Arial" w:cs="Arial" w:eastAsia="Arial" w:hAnsi="Arial"/>
                <w:sz w:val="13"/>
                <w:szCs w:val="13"/>
                <w:color w:val="auto"/>
              </w:rPr>
              <w:t>Investment properties at FVPL</w:t>
            </w:r>
          </w:p>
        </w:tc>
        <w:tc>
          <w:tcPr>
            <w:tcW w:w="220" w:type="dxa"/>
            <w:vAlign w:val="bottom"/>
          </w:tcPr>
          <w:p>
            <w:pPr>
              <w:spacing w:after="0"/>
              <w:rPr>
                <w:sz w:val="11"/>
                <w:szCs w:val="11"/>
                <w:color w:val="auto"/>
              </w:rPr>
            </w:pPr>
          </w:p>
        </w:tc>
        <w:tc>
          <w:tcPr>
            <w:tcW w:w="420" w:type="dxa"/>
            <w:vAlign w:val="bottom"/>
            <w:tcBorders>
              <w:top w:val="single" w:sz="8" w:color="auto"/>
            </w:tcBorders>
          </w:tcPr>
          <w:p>
            <w:pPr>
              <w:spacing w:after="0"/>
              <w:rPr>
                <w:sz w:val="11"/>
                <w:szCs w:val="11"/>
                <w:color w:val="auto"/>
              </w:rPr>
            </w:pPr>
          </w:p>
        </w:tc>
        <w:tc>
          <w:tcPr>
            <w:tcW w:w="1320" w:type="dxa"/>
            <w:vAlign w:val="bottom"/>
            <w:tcBorders>
              <w:top w:val="single" w:sz="8" w:color="auto"/>
            </w:tcBorders>
          </w:tcPr>
          <w:p>
            <w:pPr>
              <w:spacing w:after="0"/>
              <w:rPr>
                <w:sz w:val="11"/>
                <w:szCs w:val="11"/>
                <w:color w:val="auto"/>
              </w:rPr>
            </w:pPr>
          </w:p>
        </w:tc>
        <w:tc>
          <w:tcPr>
            <w:tcW w:w="260" w:type="dxa"/>
            <w:vAlign w:val="bottom"/>
            <w:tcBorders>
              <w:top w:val="single" w:sz="8" w:color="auto"/>
            </w:tcBorders>
          </w:tcPr>
          <w:p>
            <w:pPr>
              <w:jc w:val="right"/>
              <w:spacing w:after="0" w:line="135" w:lineRule="exact"/>
              <w:rPr>
                <w:sz w:val="20"/>
                <w:szCs w:val="20"/>
                <w:color w:val="auto"/>
              </w:rPr>
            </w:pPr>
            <w:r>
              <w:rPr>
                <w:rFonts w:ascii="Arial" w:cs="Arial" w:eastAsia="Arial" w:hAnsi="Arial"/>
                <w:sz w:val="13"/>
                <w:szCs w:val="13"/>
                <w:color w:val="auto"/>
              </w:rPr>
              <w:t>-</w:t>
            </w:r>
          </w:p>
        </w:tc>
        <w:tc>
          <w:tcPr>
            <w:tcW w:w="220" w:type="dxa"/>
            <w:vAlign w:val="bottom"/>
          </w:tcPr>
          <w:p>
            <w:pPr>
              <w:spacing w:after="0"/>
              <w:rPr>
                <w:sz w:val="11"/>
                <w:szCs w:val="11"/>
                <w:color w:val="auto"/>
              </w:rPr>
            </w:pPr>
          </w:p>
        </w:tc>
        <w:tc>
          <w:tcPr>
            <w:tcW w:w="2520" w:type="dxa"/>
            <w:vAlign w:val="bottom"/>
            <w:tcBorders>
              <w:top w:val="single" w:sz="8" w:color="auto"/>
            </w:tcBorders>
          </w:tcPr>
          <w:p>
            <w:pPr>
              <w:spacing w:after="0" w:line="135" w:lineRule="exact"/>
              <w:rPr>
                <w:sz w:val="20"/>
                <w:szCs w:val="20"/>
                <w:color w:val="auto"/>
              </w:rPr>
            </w:pPr>
            <w:r>
              <w:rPr>
                <w:rFonts w:ascii="Arial" w:cs="Arial" w:eastAsia="Arial" w:hAnsi="Arial"/>
                <w:sz w:val="13"/>
                <w:szCs w:val="13"/>
                <w:color w:val="auto"/>
              </w:rPr>
              <w:t>Discounted cash flows</w:t>
            </w:r>
          </w:p>
        </w:tc>
        <w:tc>
          <w:tcPr>
            <w:tcW w:w="220" w:type="dxa"/>
            <w:vAlign w:val="bottom"/>
          </w:tcPr>
          <w:p>
            <w:pPr>
              <w:spacing w:after="0"/>
              <w:rPr>
                <w:sz w:val="11"/>
                <w:szCs w:val="11"/>
                <w:color w:val="auto"/>
              </w:rPr>
            </w:pPr>
          </w:p>
        </w:tc>
        <w:tc>
          <w:tcPr>
            <w:tcW w:w="260" w:type="dxa"/>
            <w:vAlign w:val="bottom"/>
            <w:tcBorders>
              <w:top w:val="single" w:sz="8" w:color="auto"/>
            </w:tcBorders>
          </w:tcPr>
          <w:p>
            <w:pPr>
              <w:jc w:val="right"/>
              <w:ind w:right="56"/>
              <w:spacing w:after="0" w:line="135" w:lineRule="exact"/>
              <w:rPr>
                <w:sz w:val="20"/>
                <w:szCs w:val="20"/>
                <w:color w:val="auto"/>
              </w:rPr>
            </w:pPr>
            <w:r>
              <w:rPr>
                <w:rFonts w:ascii="Arial" w:cs="Arial" w:eastAsia="Arial" w:hAnsi="Arial"/>
                <w:sz w:val="13"/>
                <w:szCs w:val="13"/>
                <w:color w:val="auto"/>
              </w:rPr>
              <w:t>-</w:t>
            </w:r>
          </w:p>
        </w:tc>
        <w:tc>
          <w:tcPr>
            <w:tcW w:w="3260" w:type="dxa"/>
            <w:vAlign w:val="bottom"/>
            <w:tcBorders>
              <w:top w:val="single" w:sz="8" w:color="auto"/>
            </w:tcBorders>
          </w:tcPr>
          <w:p>
            <w:pPr>
              <w:ind w:left="100"/>
              <w:spacing w:after="0" w:line="135" w:lineRule="exact"/>
              <w:rPr>
                <w:sz w:val="20"/>
                <w:szCs w:val="20"/>
                <w:color w:val="auto"/>
              </w:rPr>
            </w:pPr>
            <w:r>
              <w:rPr>
                <w:rFonts w:ascii="Arial" w:cs="Arial" w:eastAsia="Arial" w:hAnsi="Arial"/>
                <w:sz w:val="13"/>
                <w:szCs w:val="13"/>
                <w:color w:val="auto"/>
              </w:rPr>
              <w:t>Existing leasing contracts</w:t>
            </w:r>
          </w:p>
        </w:tc>
      </w:tr>
      <w:tr>
        <w:trPr>
          <w:trHeight w:val="154"/>
        </w:trPr>
        <w:tc>
          <w:tcPr>
            <w:tcW w:w="220" w:type="dxa"/>
            <w:vAlign w:val="bottom"/>
          </w:tcPr>
          <w:p>
            <w:pPr>
              <w:spacing w:after="0"/>
              <w:rPr>
                <w:sz w:val="13"/>
                <w:szCs w:val="13"/>
                <w:color w:val="auto"/>
              </w:rPr>
            </w:pPr>
          </w:p>
        </w:tc>
        <w:tc>
          <w:tcPr>
            <w:tcW w:w="23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132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5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60" w:type="dxa"/>
            <w:vAlign w:val="bottom"/>
          </w:tcPr>
          <w:p>
            <w:pPr>
              <w:jc w:val="right"/>
              <w:ind w:right="56"/>
              <w:spacing w:after="0"/>
              <w:rPr>
                <w:sz w:val="20"/>
                <w:szCs w:val="20"/>
                <w:color w:val="auto"/>
              </w:rPr>
            </w:pPr>
            <w:r>
              <w:rPr>
                <w:rFonts w:ascii="Arial" w:cs="Arial" w:eastAsia="Arial" w:hAnsi="Arial"/>
                <w:sz w:val="13"/>
                <w:szCs w:val="13"/>
                <w:color w:val="auto"/>
              </w:rPr>
              <w:t>-</w:t>
            </w:r>
          </w:p>
        </w:tc>
        <w:tc>
          <w:tcPr>
            <w:tcW w:w="3260" w:type="dxa"/>
            <w:vAlign w:val="bottom"/>
          </w:tcPr>
          <w:p>
            <w:pPr>
              <w:ind w:left="100"/>
              <w:spacing w:after="0"/>
              <w:rPr>
                <w:sz w:val="20"/>
                <w:szCs w:val="20"/>
                <w:color w:val="auto"/>
              </w:rPr>
            </w:pPr>
            <w:r>
              <w:rPr>
                <w:rFonts w:ascii="Arial" w:cs="Arial" w:eastAsia="Arial" w:hAnsi="Arial"/>
                <w:sz w:val="13"/>
                <w:szCs w:val="13"/>
                <w:color w:val="auto"/>
              </w:rPr>
              <w:t>Investments made to operate</w:t>
            </w:r>
          </w:p>
        </w:tc>
      </w:tr>
      <w:tr>
        <w:trPr>
          <w:trHeight w:val="154"/>
        </w:trPr>
        <w:tc>
          <w:tcPr>
            <w:tcW w:w="220" w:type="dxa"/>
            <w:vAlign w:val="bottom"/>
          </w:tcPr>
          <w:p>
            <w:pPr>
              <w:spacing w:after="0"/>
              <w:rPr>
                <w:sz w:val="13"/>
                <w:szCs w:val="13"/>
                <w:color w:val="auto"/>
              </w:rPr>
            </w:pPr>
          </w:p>
        </w:tc>
        <w:tc>
          <w:tcPr>
            <w:tcW w:w="23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132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5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60" w:type="dxa"/>
            <w:vAlign w:val="bottom"/>
          </w:tcPr>
          <w:p>
            <w:pPr>
              <w:jc w:val="right"/>
              <w:ind w:right="56"/>
              <w:spacing w:after="0"/>
              <w:rPr>
                <w:sz w:val="20"/>
                <w:szCs w:val="20"/>
                <w:color w:val="auto"/>
              </w:rPr>
            </w:pPr>
            <w:r>
              <w:rPr>
                <w:rFonts w:ascii="Arial" w:cs="Arial" w:eastAsia="Arial" w:hAnsi="Arial"/>
                <w:sz w:val="13"/>
                <w:szCs w:val="13"/>
                <w:color w:val="auto"/>
              </w:rPr>
              <w:t>-</w:t>
            </w:r>
          </w:p>
        </w:tc>
        <w:tc>
          <w:tcPr>
            <w:tcW w:w="3260" w:type="dxa"/>
            <w:vAlign w:val="bottom"/>
          </w:tcPr>
          <w:p>
            <w:pPr>
              <w:ind w:left="100"/>
              <w:spacing w:after="0"/>
              <w:rPr>
                <w:sz w:val="20"/>
                <w:szCs w:val="20"/>
                <w:color w:val="auto"/>
              </w:rPr>
            </w:pPr>
            <w:r>
              <w:rPr>
                <w:rFonts w:ascii="Arial" w:cs="Arial" w:eastAsia="Arial" w:hAnsi="Arial"/>
                <w:sz w:val="13"/>
                <w:szCs w:val="13"/>
                <w:color w:val="auto"/>
              </w:rPr>
              <w:t>Current operating expenses</w:t>
            </w:r>
          </w:p>
        </w:tc>
      </w:tr>
      <w:tr>
        <w:trPr>
          <w:trHeight w:val="162"/>
        </w:trPr>
        <w:tc>
          <w:tcPr>
            <w:tcW w:w="220" w:type="dxa"/>
            <w:vAlign w:val="bottom"/>
          </w:tcPr>
          <w:p>
            <w:pPr>
              <w:spacing w:after="0"/>
              <w:rPr>
                <w:sz w:val="14"/>
                <w:szCs w:val="14"/>
                <w:color w:val="auto"/>
              </w:rPr>
            </w:pPr>
          </w:p>
        </w:tc>
        <w:tc>
          <w:tcPr>
            <w:tcW w:w="23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20" w:type="dxa"/>
            <w:vAlign w:val="bottom"/>
          </w:tcPr>
          <w:p>
            <w:pPr>
              <w:spacing w:after="0"/>
              <w:rPr>
                <w:sz w:val="14"/>
                <w:szCs w:val="14"/>
                <w:color w:val="auto"/>
              </w:rPr>
            </w:pPr>
          </w:p>
        </w:tc>
        <w:tc>
          <w:tcPr>
            <w:tcW w:w="132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5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60" w:type="dxa"/>
            <w:vAlign w:val="bottom"/>
          </w:tcPr>
          <w:p>
            <w:pPr>
              <w:jc w:val="right"/>
              <w:ind w:right="56"/>
              <w:spacing w:after="0"/>
              <w:rPr>
                <w:sz w:val="20"/>
                <w:szCs w:val="20"/>
                <w:color w:val="auto"/>
              </w:rPr>
            </w:pPr>
            <w:r>
              <w:rPr>
                <w:rFonts w:ascii="Arial" w:cs="Arial" w:eastAsia="Arial" w:hAnsi="Arial"/>
                <w:sz w:val="13"/>
                <w:szCs w:val="13"/>
                <w:color w:val="auto"/>
              </w:rPr>
              <w:t>-</w:t>
            </w:r>
          </w:p>
        </w:tc>
        <w:tc>
          <w:tcPr>
            <w:tcW w:w="3260" w:type="dxa"/>
            <w:vAlign w:val="bottom"/>
          </w:tcPr>
          <w:p>
            <w:pPr>
              <w:ind w:left="100"/>
              <w:spacing w:after="0"/>
              <w:rPr>
                <w:sz w:val="20"/>
                <w:szCs w:val="20"/>
                <w:color w:val="auto"/>
              </w:rPr>
            </w:pPr>
            <w:r>
              <w:rPr>
                <w:rFonts w:ascii="Arial" w:cs="Arial" w:eastAsia="Arial" w:hAnsi="Arial"/>
                <w:sz w:val="13"/>
                <w:szCs w:val="13"/>
                <w:color w:val="auto"/>
              </w:rPr>
              <w:t>Weighted average cost of capital WACC</w:t>
            </w:r>
          </w:p>
        </w:tc>
      </w:tr>
      <w:tr>
        <w:trPr>
          <w:trHeight w:val="308"/>
        </w:trPr>
        <w:tc>
          <w:tcPr>
            <w:tcW w:w="3180" w:type="dxa"/>
            <w:vAlign w:val="bottom"/>
            <w:gridSpan w:val="4"/>
          </w:tcPr>
          <w:p>
            <w:pPr>
              <w:spacing w:after="0"/>
              <w:rPr>
                <w:sz w:val="20"/>
                <w:szCs w:val="20"/>
                <w:color w:val="auto"/>
              </w:rPr>
            </w:pPr>
            <w:r>
              <w:rPr>
                <w:rFonts w:ascii="Arial" w:cs="Arial" w:eastAsia="Arial" w:hAnsi="Arial"/>
                <w:sz w:val="13"/>
                <w:szCs w:val="13"/>
                <w:b w:val="1"/>
                <w:bCs w:val="1"/>
                <w:color w:val="auto"/>
              </w:rPr>
              <w:t>14. Other assets</w:t>
            </w:r>
          </w:p>
        </w:tc>
        <w:tc>
          <w:tcPr>
            <w:tcW w:w="132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5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3260" w:type="dxa"/>
            <w:vAlign w:val="bottom"/>
          </w:tcPr>
          <w:p>
            <w:pPr>
              <w:spacing w:after="0"/>
              <w:rPr>
                <w:sz w:val="24"/>
                <w:szCs w:val="24"/>
                <w:color w:val="auto"/>
              </w:rPr>
            </w:pPr>
          </w:p>
        </w:tc>
      </w:tr>
      <w:tr>
        <w:trPr>
          <w:trHeight w:val="308"/>
        </w:trPr>
        <w:tc>
          <w:tcPr>
            <w:tcW w:w="3180" w:type="dxa"/>
            <w:vAlign w:val="bottom"/>
            <w:gridSpan w:val="4"/>
          </w:tcPr>
          <w:p>
            <w:pPr>
              <w:ind w:left="220"/>
              <w:spacing w:after="0"/>
              <w:rPr>
                <w:sz w:val="20"/>
                <w:szCs w:val="20"/>
                <w:color w:val="auto"/>
              </w:rPr>
            </w:pPr>
            <w:r>
              <w:rPr>
                <w:rFonts w:ascii="Arial" w:cs="Arial" w:eastAsia="Arial" w:hAnsi="Arial"/>
                <w:sz w:val="13"/>
                <w:szCs w:val="13"/>
                <w:color w:val="auto"/>
              </w:rPr>
              <w:t>Following is a summary of other assets:</w:t>
            </w:r>
          </w:p>
        </w:tc>
        <w:tc>
          <w:tcPr>
            <w:tcW w:w="132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5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3260" w:type="dxa"/>
            <w:vAlign w:val="bottom"/>
          </w:tcPr>
          <w:p>
            <w:pPr>
              <w:spacing w:after="0"/>
              <w:rPr>
                <w:sz w:val="24"/>
                <w:szCs w:val="24"/>
                <w:color w:val="auto"/>
              </w:rPr>
            </w:pPr>
          </w:p>
        </w:tc>
      </w:tr>
    </w:tbl>
    <w:p>
      <w:pPr>
        <w:spacing w:after="0" w:line="142" w:lineRule="exact"/>
        <w:rPr>
          <w:sz w:val="20"/>
          <w:szCs w:val="20"/>
          <w:color w:val="auto"/>
        </w:rPr>
      </w:pPr>
    </w:p>
    <w:tbl>
      <w:tblPr>
        <w:tblLayout w:type="fixed"/>
        <w:tblInd w:w="1443" w:type="dxa"/>
        <w:tblCellMar>
          <w:top w:w="0" w:type="dxa"/>
          <w:left w:w="0" w:type="dxa"/>
          <w:bottom w:w="0" w:type="dxa"/>
          <w:right w:w="0" w:type="dxa"/>
        </w:tblCellMar>
      </w:tblPr>
      <w:tr>
        <w:trPr>
          <w:trHeight w:val="164"/>
        </w:trPr>
        <w:tc>
          <w:tcPr>
            <w:tcW w:w="6460" w:type="dxa"/>
            <w:vAlign w:val="bottom"/>
          </w:tcPr>
          <w:p>
            <w:pPr>
              <w:spacing w:after="0"/>
              <w:rPr>
                <w:sz w:val="14"/>
                <w:szCs w:val="14"/>
                <w:color w:val="auto"/>
              </w:rPr>
            </w:pPr>
          </w:p>
        </w:tc>
        <w:tc>
          <w:tcPr>
            <w:tcW w:w="1120" w:type="dxa"/>
            <w:vAlign w:val="bottom"/>
            <w:gridSpan w:val="2"/>
          </w:tcPr>
          <w:p>
            <w:pPr>
              <w:jc w:val="right"/>
              <w:ind w:right="280"/>
              <w:spacing w:after="0"/>
              <w:rPr>
                <w:sz w:val="20"/>
                <w:szCs w:val="20"/>
                <w:color w:val="auto"/>
              </w:rPr>
            </w:pPr>
            <w:r>
              <w:rPr>
                <w:rFonts w:ascii="Arial" w:cs="Arial" w:eastAsia="Arial" w:hAnsi="Arial"/>
                <w:sz w:val="13"/>
                <w:szCs w:val="13"/>
                <w:b w:val="1"/>
                <w:bCs w:val="1"/>
                <w:color w:val="auto"/>
                <w:w w:val="96"/>
              </w:rPr>
              <w:t>December 31,</w:t>
            </w:r>
          </w:p>
        </w:tc>
        <w:tc>
          <w:tcPr>
            <w:tcW w:w="1020" w:type="dxa"/>
            <w:vAlign w:val="bottom"/>
            <w:gridSpan w:val="2"/>
          </w:tcPr>
          <w:p>
            <w:pPr>
              <w:ind w:left="100"/>
              <w:spacing w:after="0"/>
              <w:rPr>
                <w:sz w:val="20"/>
                <w:szCs w:val="20"/>
                <w:color w:val="auto"/>
              </w:rPr>
            </w:pPr>
            <w:r>
              <w:rPr>
                <w:rFonts w:ascii="Arial" w:cs="Arial" w:eastAsia="Arial" w:hAnsi="Arial"/>
                <w:sz w:val="13"/>
                <w:szCs w:val="13"/>
                <w:b w:val="1"/>
                <w:bCs w:val="1"/>
                <w:color w:val="auto"/>
              </w:rPr>
              <w:t>December 31,</w:t>
            </w:r>
          </w:p>
        </w:tc>
      </w:tr>
      <w:tr>
        <w:trPr>
          <w:trHeight w:val="166"/>
        </w:trPr>
        <w:tc>
          <w:tcPr>
            <w:tcW w:w="6460" w:type="dxa"/>
            <w:vAlign w:val="bottom"/>
            <w:tcBorders>
              <w:bottom w:val="single" w:sz="8" w:color="CCEEFF"/>
            </w:tcBorders>
          </w:tcPr>
          <w:p>
            <w:pPr>
              <w:spacing w:after="0"/>
              <w:rPr>
                <w:sz w:val="14"/>
                <w:szCs w:val="14"/>
                <w:color w:val="auto"/>
              </w:rPr>
            </w:pPr>
          </w:p>
        </w:tc>
        <w:tc>
          <w:tcPr>
            <w:tcW w:w="940" w:type="dxa"/>
            <w:vAlign w:val="bottom"/>
            <w:tcBorders>
              <w:bottom w:val="single" w:sz="8" w:color="auto"/>
            </w:tcBorders>
          </w:tcPr>
          <w:p>
            <w:pPr>
              <w:jc w:val="right"/>
              <w:ind w:right="276"/>
              <w:spacing w:after="0"/>
              <w:rPr>
                <w:sz w:val="20"/>
                <w:szCs w:val="20"/>
                <w:color w:val="auto"/>
              </w:rPr>
            </w:pPr>
            <w:r>
              <w:rPr>
                <w:rFonts w:ascii="Arial" w:cs="Arial" w:eastAsia="Arial" w:hAnsi="Arial"/>
                <w:sz w:val="13"/>
                <w:szCs w:val="13"/>
                <w:b w:val="1"/>
                <w:bCs w:val="1"/>
                <w:color w:val="auto"/>
              </w:rPr>
              <w:t>2018</w:t>
            </w:r>
          </w:p>
        </w:tc>
        <w:tc>
          <w:tcPr>
            <w:tcW w:w="180" w:type="dxa"/>
            <w:vAlign w:val="bottom"/>
            <w:tcBorders>
              <w:bottom w:val="single" w:sz="8" w:color="CCEEFF"/>
            </w:tcBorders>
          </w:tcPr>
          <w:p>
            <w:pPr>
              <w:spacing w:after="0"/>
              <w:rPr>
                <w:sz w:val="14"/>
                <w:szCs w:val="14"/>
                <w:color w:val="auto"/>
              </w:rPr>
            </w:pPr>
          </w:p>
        </w:tc>
        <w:tc>
          <w:tcPr>
            <w:tcW w:w="940" w:type="dxa"/>
            <w:vAlign w:val="bottom"/>
            <w:tcBorders>
              <w:bottom w:val="single" w:sz="8" w:color="auto"/>
            </w:tcBorders>
          </w:tcPr>
          <w:p>
            <w:pPr>
              <w:jc w:val="right"/>
              <w:ind w:right="276"/>
              <w:spacing w:after="0"/>
              <w:rPr>
                <w:sz w:val="20"/>
                <w:szCs w:val="20"/>
                <w:color w:val="auto"/>
              </w:rPr>
            </w:pPr>
            <w:r>
              <w:rPr>
                <w:rFonts w:ascii="Arial" w:cs="Arial" w:eastAsia="Arial" w:hAnsi="Arial"/>
                <w:sz w:val="13"/>
                <w:szCs w:val="13"/>
                <w:b w:val="1"/>
                <w:bCs w:val="1"/>
                <w:color w:val="auto"/>
              </w:rPr>
              <w:t>2017</w:t>
            </w:r>
          </w:p>
        </w:tc>
        <w:tc>
          <w:tcPr>
            <w:tcW w:w="80" w:type="dxa"/>
            <w:vAlign w:val="bottom"/>
            <w:tcBorders>
              <w:bottom w:val="single" w:sz="8" w:color="CCEEFF"/>
            </w:tcBorders>
          </w:tcPr>
          <w:p>
            <w:pPr>
              <w:spacing w:after="0"/>
              <w:rPr>
                <w:sz w:val="14"/>
                <w:szCs w:val="14"/>
                <w:color w:val="auto"/>
              </w:rPr>
            </w:pPr>
          </w:p>
        </w:tc>
      </w:tr>
      <w:tr>
        <w:trPr>
          <w:trHeight w:val="163"/>
        </w:trPr>
        <w:tc>
          <w:tcPr>
            <w:tcW w:w="6460" w:type="dxa"/>
            <w:vAlign w:val="bottom"/>
            <w:shd w:val="clear" w:color="auto" w:fill="CCEEFF"/>
          </w:tcPr>
          <w:p>
            <w:pPr>
              <w:spacing w:after="0" w:line="164" w:lineRule="exact"/>
              <w:rPr>
                <w:sz w:val="20"/>
                <w:szCs w:val="20"/>
                <w:color w:val="auto"/>
              </w:rPr>
            </w:pPr>
            <w:r>
              <w:rPr>
                <w:rFonts w:ascii="Arial" w:cs="Arial" w:eastAsia="Arial" w:hAnsi="Arial"/>
                <w:sz w:val="11"/>
                <w:szCs w:val="11"/>
                <w:color w:val="auto"/>
              </w:rPr>
              <w:t xml:space="preserve">Accounts receivable </w:t>
            </w:r>
            <w:r>
              <w:rPr>
                <w:rFonts w:ascii="Arial" w:cs="Arial" w:eastAsia="Arial" w:hAnsi="Arial"/>
                <w:sz w:val="18"/>
                <w:szCs w:val="18"/>
                <w:color w:val="auto"/>
                <w:vertAlign w:val="superscript"/>
              </w:rPr>
              <w:t>(1)</w:t>
            </w:r>
          </w:p>
        </w:tc>
        <w:tc>
          <w:tcPr>
            <w:tcW w:w="11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13,333</w:t>
            </w:r>
          </w:p>
        </w:tc>
        <w:tc>
          <w:tcPr>
            <w:tcW w:w="10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6,793</w:t>
            </w:r>
          </w:p>
        </w:tc>
      </w:tr>
      <w:tr>
        <w:trPr>
          <w:trHeight w:val="154"/>
        </w:trPr>
        <w:tc>
          <w:tcPr>
            <w:tcW w:w="6460" w:type="dxa"/>
            <w:vAlign w:val="bottom"/>
          </w:tcPr>
          <w:p>
            <w:pPr>
              <w:spacing w:after="0"/>
              <w:rPr>
                <w:sz w:val="20"/>
                <w:szCs w:val="20"/>
                <w:color w:val="auto"/>
              </w:rPr>
            </w:pPr>
            <w:r>
              <w:rPr>
                <w:rFonts w:ascii="Arial" w:cs="Arial" w:eastAsia="Arial" w:hAnsi="Arial"/>
                <w:sz w:val="13"/>
                <w:szCs w:val="13"/>
                <w:color w:val="auto"/>
              </w:rPr>
              <w:t>Interest receivable - deposits</w:t>
            </w:r>
          </w:p>
        </w:tc>
        <w:tc>
          <w:tcPr>
            <w:tcW w:w="1120" w:type="dxa"/>
            <w:vAlign w:val="bottom"/>
            <w:gridSpan w:val="2"/>
          </w:tcPr>
          <w:p>
            <w:pPr>
              <w:jc w:val="right"/>
              <w:ind w:right="180"/>
              <w:spacing w:after="0"/>
              <w:rPr>
                <w:sz w:val="20"/>
                <w:szCs w:val="20"/>
                <w:color w:val="auto"/>
              </w:rPr>
            </w:pPr>
            <w:r>
              <w:rPr>
                <w:rFonts w:ascii="Arial" w:cs="Arial" w:eastAsia="Arial" w:hAnsi="Arial"/>
                <w:sz w:val="13"/>
                <w:szCs w:val="13"/>
                <w:color w:val="auto"/>
              </w:rPr>
              <w:t>281</w:t>
            </w:r>
          </w:p>
        </w:tc>
        <w:tc>
          <w:tcPr>
            <w:tcW w:w="1020" w:type="dxa"/>
            <w:vAlign w:val="bottom"/>
            <w:gridSpan w:val="2"/>
          </w:tcPr>
          <w:p>
            <w:pPr>
              <w:jc w:val="right"/>
              <w:ind w:right="80"/>
              <w:spacing w:after="0"/>
              <w:rPr>
                <w:sz w:val="20"/>
                <w:szCs w:val="20"/>
                <w:color w:val="auto"/>
              </w:rPr>
            </w:pPr>
            <w:r>
              <w:rPr>
                <w:rFonts w:ascii="Arial" w:cs="Arial" w:eastAsia="Arial" w:hAnsi="Arial"/>
                <w:sz w:val="13"/>
                <w:szCs w:val="13"/>
                <w:color w:val="auto"/>
              </w:rPr>
              <w:t>48</w:t>
            </w:r>
          </w:p>
        </w:tc>
      </w:tr>
      <w:tr>
        <w:trPr>
          <w:trHeight w:val="183"/>
        </w:trPr>
        <w:tc>
          <w:tcPr>
            <w:tcW w:w="6460" w:type="dxa"/>
            <w:vAlign w:val="bottom"/>
            <w:shd w:val="clear" w:color="auto" w:fill="CCEEFF"/>
          </w:tcPr>
          <w:p>
            <w:pPr>
              <w:spacing w:after="0" w:line="183" w:lineRule="exact"/>
              <w:rPr>
                <w:sz w:val="20"/>
                <w:szCs w:val="20"/>
                <w:color w:val="auto"/>
              </w:rPr>
            </w:pPr>
            <w:r>
              <w:rPr>
                <w:rFonts w:ascii="Arial" w:cs="Arial" w:eastAsia="Arial" w:hAnsi="Arial"/>
                <w:sz w:val="13"/>
                <w:szCs w:val="13"/>
                <w:color w:val="auto"/>
              </w:rPr>
              <w:t xml:space="preserve">IT projects under development </w:t>
            </w:r>
            <w:r>
              <w:rPr>
                <w:rFonts w:ascii="Arial" w:cs="Arial" w:eastAsia="Arial" w:hAnsi="Arial"/>
                <w:sz w:val="21"/>
                <w:szCs w:val="21"/>
                <w:color w:val="auto"/>
                <w:vertAlign w:val="superscript"/>
              </w:rPr>
              <w:t>(2)</w:t>
            </w:r>
          </w:p>
        </w:tc>
        <w:tc>
          <w:tcPr>
            <w:tcW w:w="11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357</w:t>
            </w:r>
          </w:p>
        </w:tc>
        <w:tc>
          <w:tcPr>
            <w:tcW w:w="10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1,405</w:t>
            </w:r>
          </w:p>
        </w:tc>
      </w:tr>
      <w:tr>
        <w:trPr>
          <w:trHeight w:val="193"/>
        </w:trPr>
        <w:tc>
          <w:tcPr>
            <w:tcW w:w="6460" w:type="dxa"/>
            <w:vAlign w:val="bottom"/>
          </w:tcPr>
          <w:p>
            <w:pPr>
              <w:spacing w:after="0" w:line="193" w:lineRule="exact"/>
              <w:rPr>
                <w:sz w:val="20"/>
                <w:szCs w:val="20"/>
                <w:color w:val="auto"/>
              </w:rPr>
            </w:pPr>
            <w:r>
              <w:rPr>
                <w:rFonts w:ascii="Arial" w:cs="Arial" w:eastAsia="Arial" w:hAnsi="Arial"/>
                <w:sz w:val="13"/>
                <w:szCs w:val="13"/>
                <w:color w:val="auto"/>
              </w:rPr>
              <w:t xml:space="preserve">Other </w:t>
            </w:r>
            <w:r>
              <w:rPr>
                <w:rFonts w:ascii="Arial" w:cs="Arial" w:eastAsia="Arial" w:hAnsi="Arial"/>
                <w:sz w:val="21"/>
                <w:szCs w:val="21"/>
                <w:color w:val="auto"/>
                <w:vertAlign w:val="superscript"/>
              </w:rPr>
              <w:t>(3)</w:t>
            </w:r>
          </w:p>
        </w:tc>
        <w:tc>
          <w:tcPr>
            <w:tcW w:w="1120" w:type="dxa"/>
            <w:vAlign w:val="bottom"/>
            <w:gridSpan w:val="2"/>
          </w:tcPr>
          <w:p>
            <w:pPr>
              <w:jc w:val="right"/>
              <w:ind w:right="180"/>
              <w:spacing w:after="0"/>
              <w:rPr>
                <w:sz w:val="20"/>
                <w:szCs w:val="20"/>
                <w:color w:val="auto"/>
              </w:rPr>
            </w:pPr>
            <w:r>
              <w:rPr>
                <w:rFonts w:ascii="Arial" w:cs="Arial" w:eastAsia="Arial" w:hAnsi="Arial"/>
                <w:sz w:val="13"/>
                <w:szCs w:val="13"/>
                <w:color w:val="auto"/>
              </w:rPr>
              <w:t>3,003</w:t>
            </w:r>
          </w:p>
        </w:tc>
        <w:tc>
          <w:tcPr>
            <w:tcW w:w="1020" w:type="dxa"/>
            <w:vAlign w:val="bottom"/>
            <w:gridSpan w:val="2"/>
          </w:tcPr>
          <w:p>
            <w:pPr>
              <w:jc w:val="right"/>
              <w:ind w:right="80"/>
              <w:spacing w:after="0"/>
              <w:rPr>
                <w:sz w:val="20"/>
                <w:szCs w:val="20"/>
                <w:color w:val="auto"/>
              </w:rPr>
            </w:pPr>
            <w:r>
              <w:rPr>
                <w:rFonts w:ascii="Arial" w:cs="Arial" w:eastAsia="Arial" w:hAnsi="Arial"/>
                <w:sz w:val="13"/>
                <w:szCs w:val="13"/>
                <w:color w:val="auto"/>
              </w:rPr>
              <w:t>5,510</w:t>
            </w:r>
          </w:p>
        </w:tc>
      </w:tr>
      <w:tr>
        <w:trPr>
          <w:trHeight w:val="162"/>
        </w:trPr>
        <w:tc>
          <w:tcPr>
            <w:tcW w:w="6460" w:type="dxa"/>
            <w:vAlign w:val="bottom"/>
            <w:tcBorders>
              <w:top w:val="single" w:sz="8" w:color="CCEEFF"/>
              <w:bottom w:val="single" w:sz="8" w:color="CCEEFF"/>
            </w:tcBorders>
            <w:shd w:val="clear" w:color="auto" w:fill="CCEEFF"/>
          </w:tcPr>
          <w:p>
            <w:pPr>
              <w:spacing w:after="0"/>
              <w:rPr>
                <w:sz w:val="14"/>
                <w:szCs w:val="14"/>
                <w:color w:val="auto"/>
              </w:rPr>
            </w:pP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16,974</w:t>
            </w:r>
          </w:p>
        </w:tc>
        <w:tc>
          <w:tcPr>
            <w:tcW w:w="180" w:type="dxa"/>
            <w:vAlign w:val="bottom"/>
            <w:tcBorders>
              <w:top w:val="single" w:sz="8" w:color="CCEEFF"/>
              <w:bottom w:val="single" w:sz="8" w:color="CCEEFF"/>
            </w:tcBorders>
            <w:shd w:val="clear" w:color="auto" w:fill="CCEEFF"/>
          </w:tcPr>
          <w:p>
            <w:pPr>
              <w:spacing w:after="0"/>
              <w:rPr>
                <w:sz w:val="14"/>
                <w:szCs w:val="14"/>
                <w:color w:val="auto"/>
              </w:rPr>
            </w:pP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13,756</w:t>
            </w:r>
          </w:p>
        </w:tc>
        <w:tc>
          <w:tcPr>
            <w:tcW w:w="80" w:type="dxa"/>
            <w:vAlign w:val="bottom"/>
            <w:tcBorders>
              <w:top w:val="single" w:sz="8" w:color="CCEEFF"/>
              <w:bottom w:val="single" w:sz="8" w:color="CCEEFF"/>
            </w:tcBorders>
            <w:shd w:val="clear" w:color="auto" w:fill="CCEEFF"/>
          </w:tcPr>
          <w:p>
            <w:pPr>
              <w:spacing w:after="0"/>
              <w:rPr>
                <w:sz w:val="14"/>
                <w:szCs w:val="14"/>
                <w:color w:val="auto"/>
              </w:rPr>
            </w:pPr>
          </w:p>
        </w:tc>
      </w:tr>
    </w:tbl>
    <w:p>
      <w:pPr>
        <w:spacing w:after="0" w:line="141" w:lineRule="exact"/>
        <w:rPr>
          <w:sz w:val="20"/>
          <w:szCs w:val="20"/>
          <w:color w:val="auto"/>
        </w:rPr>
      </w:pPr>
    </w:p>
    <w:p>
      <w:pPr>
        <w:ind w:left="403" w:hanging="146"/>
        <w:spacing w:after="0"/>
        <w:tabs>
          <w:tab w:leader="none" w:pos="403" w:val="left"/>
        </w:tabs>
        <w:numPr>
          <w:ilvl w:val="0"/>
          <w:numId w:val="156"/>
        </w:numPr>
        <w:rPr>
          <w:rFonts w:ascii="Arial" w:cs="Arial" w:eastAsia="Arial" w:hAnsi="Arial"/>
          <w:sz w:val="17"/>
          <w:szCs w:val="17"/>
          <w:color w:val="auto"/>
          <w:vertAlign w:val="superscript"/>
        </w:rPr>
      </w:pPr>
      <w:r>
        <w:rPr>
          <w:rFonts w:ascii="Arial" w:cs="Arial" w:eastAsia="Arial" w:hAnsi="Arial"/>
          <w:sz w:val="11"/>
          <w:szCs w:val="11"/>
          <w:color w:val="auto"/>
        </w:rPr>
        <w:t>As of December 31, 2018, the sale of financial assets was executed for $ 12.4 million and related payment was received in January 2019.</w:t>
      </w:r>
    </w:p>
    <w:p>
      <w:pPr>
        <w:spacing w:after="0" w:line="174" w:lineRule="exact"/>
        <w:rPr>
          <w:rFonts w:ascii="Arial" w:cs="Arial" w:eastAsia="Arial" w:hAnsi="Arial"/>
          <w:sz w:val="17"/>
          <w:szCs w:val="17"/>
          <w:color w:val="auto"/>
          <w:vertAlign w:val="superscript"/>
        </w:rPr>
      </w:pPr>
    </w:p>
    <w:p>
      <w:pPr>
        <w:ind w:left="523" w:right="120" w:hanging="266"/>
        <w:spacing w:after="0" w:line="206" w:lineRule="auto"/>
        <w:tabs>
          <w:tab w:leader="none" w:pos="423" w:val="left"/>
        </w:tabs>
        <w:numPr>
          <w:ilvl w:val="0"/>
          <w:numId w:val="156"/>
        </w:numPr>
        <w:rPr>
          <w:rFonts w:ascii="Arial" w:cs="Arial" w:eastAsia="Arial" w:hAnsi="Arial"/>
          <w:sz w:val="20"/>
          <w:szCs w:val="20"/>
          <w:color w:val="auto"/>
          <w:vertAlign w:val="superscript"/>
        </w:rPr>
      </w:pPr>
      <w:r>
        <w:rPr>
          <w:rFonts w:ascii="Arial" w:cs="Arial" w:eastAsia="Arial" w:hAnsi="Arial"/>
          <w:sz w:val="12"/>
          <w:szCs w:val="12"/>
          <w:color w:val="auto"/>
        </w:rPr>
        <w:t>As of December 31, 2018, the Bank derecognized the amount of $0.8 million related to IT projects under development, outstanding as of December 31, 2017, in the consolidated financial statement of profit or loss as an impairment loss on non-financial assets.</w:t>
      </w:r>
    </w:p>
    <w:p>
      <w:pPr>
        <w:spacing w:after="0" w:line="175" w:lineRule="exact"/>
        <w:rPr>
          <w:rFonts w:ascii="Arial" w:cs="Arial" w:eastAsia="Arial" w:hAnsi="Arial"/>
          <w:sz w:val="20"/>
          <w:szCs w:val="20"/>
          <w:color w:val="auto"/>
          <w:vertAlign w:val="superscript"/>
        </w:rPr>
      </w:pPr>
    </w:p>
    <w:p>
      <w:pPr>
        <w:ind w:left="523" w:right="80" w:hanging="266"/>
        <w:spacing w:after="0" w:line="206" w:lineRule="auto"/>
        <w:tabs>
          <w:tab w:leader="none" w:pos="423" w:val="left"/>
        </w:tabs>
        <w:numPr>
          <w:ilvl w:val="0"/>
          <w:numId w:val="156"/>
        </w:numPr>
        <w:rPr>
          <w:rFonts w:ascii="Arial" w:cs="Arial" w:eastAsia="Arial" w:hAnsi="Arial"/>
          <w:sz w:val="20"/>
          <w:szCs w:val="20"/>
          <w:color w:val="auto"/>
          <w:vertAlign w:val="superscript"/>
        </w:rPr>
      </w:pPr>
      <w:r>
        <w:rPr>
          <w:rFonts w:ascii="Arial" w:cs="Arial" w:eastAsia="Arial" w:hAnsi="Arial"/>
          <w:sz w:val="12"/>
          <w:szCs w:val="12"/>
          <w:color w:val="auto"/>
        </w:rPr>
        <w:t>As of December 31, 2018, the Bank derecognized the amount of $1.7 million related to a leasing under development, outstanding as of December 31, 2017, in the consolidated financial statement of profit or loss as an impairment loss on non-financial assets.</w:t>
      </w:r>
    </w:p>
    <w:p>
      <w:pPr>
        <w:spacing w:after="0" w:line="300" w:lineRule="exact"/>
        <w:rPr>
          <w:sz w:val="20"/>
          <w:szCs w:val="20"/>
          <w:color w:val="auto"/>
        </w:rPr>
      </w:pPr>
    </w:p>
    <w:p>
      <w:pPr>
        <w:jc w:val="center"/>
        <w:ind w:right="-22"/>
        <w:spacing w:after="0"/>
        <w:rPr>
          <w:sz w:val="20"/>
          <w:szCs w:val="20"/>
          <w:color w:val="auto"/>
        </w:rPr>
      </w:pPr>
      <w:r>
        <w:rPr>
          <w:rFonts w:ascii="Arial" w:cs="Arial" w:eastAsia="Arial" w:hAnsi="Arial"/>
          <w:sz w:val="13"/>
          <w:szCs w:val="13"/>
          <w:color w:val="auto"/>
        </w:rPr>
        <w:t>F-67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31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85" w:right="219" w:bottom="1440" w:gutter="0" w:footer="0" w:header="0"/>
        </w:sectPr>
      </w:pPr>
    </w:p>
    <w:bookmarkStart w:id="192" w:name="page193"/>
    <w:bookmarkEnd w:id="192"/>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31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157"/>
        </w:numPr>
        <w:rPr>
          <w:rFonts w:ascii="Arial" w:cs="Arial" w:eastAsia="Arial" w:hAnsi="Arial"/>
          <w:sz w:val="13"/>
          <w:szCs w:val="13"/>
          <w:b w:val="1"/>
          <w:bCs w:val="1"/>
          <w:color w:val="auto"/>
        </w:rPr>
      </w:pPr>
      <w:r>
        <w:rPr>
          <w:rFonts w:ascii="Arial" w:cs="Arial" w:eastAsia="Arial" w:hAnsi="Arial"/>
          <w:sz w:val="13"/>
          <w:szCs w:val="13"/>
          <w:b w:val="1"/>
          <w:bCs w:val="1"/>
          <w:color w:val="auto"/>
        </w:rPr>
        <w:t>Deposits</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maturity profile of the Bank’s deposits, excluding interest payable, is as follows:</w:t>
      </w:r>
    </w:p>
    <w:p>
      <w:pPr>
        <w:spacing w:after="0" w:line="155" w:lineRule="exact"/>
        <w:rPr>
          <w:sz w:val="20"/>
          <w:szCs w:val="20"/>
          <w:color w:val="auto"/>
        </w:rPr>
      </w:pPr>
    </w:p>
    <w:tbl>
      <w:tblPr>
        <w:tblLayout w:type="fixed"/>
        <w:tblInd w:w="223" w:type="dxa"/>
        <w:tblCellMar>
          <w:top w:w="0" w:type="dxa"/>
          <w:left w:w="0" w:type="dxa"/>
          <w:bottom w:w="0" w:type="dxa"/>
          <w:right w:w="0" w:type="dxa"/>
        </w:tblCellMar>
      </w:tblPr>
      <w:tr>
        <w:trPr>
          <w:trHeight w:val="164"/>
        </w:trPr>
        <w:tc>
          <w:tcPr>
            <w:tcW w:w="6840" w:type="dxa"/>
            <w:vAlign w:val="bottom"/>
          </w:tcPr>
          <w:p>
            <w:pPr>
              <w:spacing w:after="0"/>
              <w:rPr>
                <w:sz w:val="14"/>
                <w:szCs w:val="14"/>
                <w:color w:val="auto"/>
              </w:rPr>
            </w:pPr>
          </w:p>
        </w:tc>
        <w:tc>
          <w:tcPr>
            <w:tcW w:w="12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4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7"/>
              </w:rPr>
              <w:t>December 31,</w:t>
            </w:r>
          </w:p>
        </w:tc>
        <w:tc>
          <w:tcPr>
            <w:tcW w:w="1300" w:type="dxa"/>
            <w:vAlign w:val="bottom"/>
            <w:gridSpan w:val="2"/>
          </w:tcPr>
          <w:p>
            <w:pPr>
              <w:jc w:val="center"/>
              <w:ind w:right="120"/>
              <w:spacing w:after="0"/>
              <w:rPr>
                <w:sz w:val="20"/>
                <w:szCs w:val="20"/>
                <w:color w:val="auto"/>
              </w:rPr>
            </w:pPr>
            <w:r>
              <w:rPr>
                <w:rFonts w:ascii="Arial" w:cs="Arial" w:eastAsia="Arial" w:hAnsi="Arial"/>
                <w:sz w:val="13"/>
                <w:szCs w:val="13"/>
                <w:b w:val="1"/>
                <w:bCs w:val="1"/>
                <w:color w:val="auto"/>
                <w:w w:val="87"/>
              </w:rPr>
              <w:t>December 31,</w:t>
            </w:r>
          </w:p>
        </w:tc>
      </w:tr>
      <w:tr>
        <w:trPr>
          <w:trHeight w:val="167"/>
        </w:trPr>
        <w:tc>
          <w:tcPr>
            <w:tcW w:w="6840" w:type="dxa"/>
            <w:vAlign w:val="bottom"/>
          </w:tcPr>
          <w:p>
            <w:pPr>
              <w:spacing w:after="0"/>
              <w:rPr>
                <w:sz w:val="14"/>
                <w:szCs w:val="14"/>
                <w:color w:val="auto"/>
              </w:rPr>
            </w:pPr>
          </w:p>
        </w:tc>
        <w:tc>
          <w:tcPr>
            <w:tcW w:w="1220" w:type="dxa"/>
            <w:vAlign w:val="bottom"/>
          </w:tcPr>
          <w:p>
            <w:pPr>
              <w:spacing w:after="0"/>
              <w:rPr>
                <w:sz w:val="14"/>
                <w:szCs w:val="14"/>
                <w:color w:val="auto"/>
              </w:rPr>
            </w:pPr>
          </w:p>
        </w:tc>
        <w:tc>
          <w:tcPr>
            <w:tcW w:w="1440" w:type="dxa"/>
            <w:vAlign w:val="bottom"/>
            <w:gridSpan w:val="3"/>
          </w:tcPr>
          <w:p>
            <w:pPr>
              <w:jc w:val="center"/>
              <w:ind w:left="156"/>
              <w:spacing w:after="0"/>
              <w:rPr>
                <w:sz w:val="20"/>
                <w:szCs w:val="20"/>
                <w:color w:val="auto"/>
              </w:rPr>
            </w:pPr>
            <w:r>
              <w:rPr>
                <w:rFonts w:ascii="Arial" w:cs="Arial" w:eastAsia="Arial" w:hAnsi="Arial"/>
                <w:sz w:val="13"/>
                <w:szCs w:val="13"/>
                <w:b w:val="1"/>
                <w:bCs w:val="1"/>
                <w:color w:val="auto"/>
                <w:w w:val="89"/>
              </w:rPr>
              <w:t>2018</w:t>
            </w:r>
          </w:p>
        </w:tc>
        <w:tc>
          <w:tcPr>
            <w:tcW w:w="220" w:type="dxa"/>
            <w:vAlign w:val="bottom"/>
          </w:tcPr>
          <w:p>
            <w:pPr>
              <w:spacing w:after="0"/>
              <w:rPr>
                <w:sz w:val="14"/>
                <w:szCs w:val="14"/>
                <w:color w:val="auto"/>
              </w:rPr>
            </w:pPr>
          </w:p>
        </w:tc>
        <w:tc>
          <w:tcPr>
            <w:tcW w:w="1200" w:type="dxa"/>
            <w:vAlign w:val="bottom"/>
          </w:tcPr>
          <w:p>
            <w:pPr>
              <w:jc w:val="center"/>
              <w:spacing w:after="0"/>
              <w:rPr>
                <w:sz w:val="20"/>
                <w:szCs w:val="20"/>
                <w:color w:val="auto"/>
              </w:rPr>
            </w:pPr>
            <w:r>
              <w:rPr>
                <w:rFonts w:ascii="Arial" w:cs="Arial" w:eastAsia="Arial" w:hAnsi="Arial"/>
                <w:sz w:val="13"/>
                <w:szCs w:val="13"/>
                <w:b w:val="1"/>
                <w:bCs w:val="1"/>
                <w:color w:val="auto"/>
                <w:w w:val="89"/>
              </w:rPr>
              <w:t>2017</w:t>
            </w:r>
          </w:p>
        </w:tc>
        <w:tc>
          <w:tcPr>
            <w:tcW w:w="100" w:type="dxa"/>
            <w:vAlign w:val="bottom"/>
          </w:tcPr>
          <w:p>
            <w:pPr>
              <w:spacing w:after="0"/>
              <w:rPr>
                <w:sz w:val="14"/>
                <w:szCs w:val="14"/>
                <w:color w:val="auto"/>
              </w:rPr>
            </w:pPr>
          </w:p>
        </w:tc>
      </w:tr>
      <w:tr>
        <w:trPr>
          <w:trHeight w:val="144"/>
        </w:trPr>
        <w:tc>
          <w:tcPr>
            <w:tcW w:w="684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color w:val="auto"/>
              </w:rPr>
              <w:t>Demand</w:t>
            </w:r>
          </w:p>
        </w:tc>
        <w:tc>
          <w:tcPr>
            <w:tcW w:w="122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tcBorders>
            <w:gridSpan w:val="2"/>
            <w:shd w:val="clear" w:color="auto" w:fill="CCEEFF"/>
          </w:tcPr>
          <w:p>
            <w:pPr>
              <w:jc w:val="right"/>
              <w:spacing w:after="0" w:line="144" w:lineRule="exact"/>
              <w:rPr>
                <w:sz w:val="20"/>
                <w:szCs w:val="20"/>
                <w:color w:val="auto"/>
              </w:rPr>
            </w:pPr>
            <w:r>
              <w:rPr>
                <w:rFonts w:ascii="Arial" w:cs="Arial" w:eastAsia="Arial" w:hAnsi="Arial"/>
                <w:sz w:val="13"/>
                <w:szCs w:val="13"/>
                <w:color w:val="auto"/>
              </w:rPr>
              <w:t>211,381</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82,064</w:t>
            </w:r>
          </w:p>
        </w:tc>
        <w:tc>
          <w:tcPr>
            <w:tcW w:w="100" w:type="dxa"/>
            <w:vAlign w:val="bottom"/>
            <w:tcBorders>
              <w:top w:val="single" w:sz="8" w:color="CCEEFF"/>
            </w:tcBorders>
            <w:shd w:val="clear" w:color="auto" w:fill="CCEEFF"/>
          </w:tcPr>
          <w:p>
            <w:pPr>
              <w:spacing w:after="0"/>
              <w:rPr>
                <w:sz w:val="12"/>
                <w:szCs w:val="12"/>
                <w:color w:val="auto"/>
              </w:rPr>
            </w:pPr>
          </w:p>
        </w:tc>
      </w:tr>
      <w:tr>
        <w:trPr>
          <w:trHeight w:val="154"/>
        </w:trPr>
        <w:tc>
          <w:tcPr>
            <w:tcW w:w="6840" w:type="dxa"/>
            <w:vAlign w:val="bottom"/>
          </w:tcPr>
          <w:p>
            <w:pPr>
              <w:spacing w:after="0"/>
              <w:rPr>
                <w:sz w:val="20"/>
                <w:szCs w:val="20"/>
                <w:color w:val="auto"/>
              </w:rPr>
            </w:pPr>
            <w:r>
              <w:rPr>
                <w:rFonts w:ascii="Arial" w:cs="Arial" w:eastAsia="Arial" w:hAnsi="Arial"/>
                <w:sz w:val="13"/>
                <w:szCs w:val="13"/>
                <w:color w:val="auto"/>
              </w:rPr>
              <w:t>Up to 1 month</w:t>
            </w:r>
          </w:p>
        </w:tc>
        <w:tc>
          <w:tcPr>
            <w:tcW w:w="1220" w:type="dxa"/>
            <w:vAlign w:val="bottom"/>
          </w:tcPr>
          <w:p>
            <w:pPr>
              <w:spacing w:after="0"/>
              <w:rPr>
                <w:sz w:val="13"/>
                <w:szCs w:val="13"/>
                <w:color w:val="auto"/>
              </w:rPr>
            </w:pPr>
          </w:p>
        </w:tc>
        <w:tc>
          <w:tcPr>
            <w:tcW w:w="1660" w:type="dxa"/>
            <w:vAlign w:val="bottom"/>
            <w:gridSpan w:val="4"/>
          </w:tcPr>
          <w:p>
            <w:pPr>
              <w:jc w:val="right"/>
              <w:ind w:right="220"/>
              <w:spacing w:after="0"/>
              <w:rPr>
                <w:sz w:val="20"/>
                <w:szCs w:val="20"/>
                <w:color w:val="auto"/>
              </w:rPr>
            </w:pPr>
            <w:r>
              <w:rPr>
                <w:rFonts w:ascii="Arial" w:cs="Arial" w:eastAsia="Arial" w:hAnsi="Arial"/>
                <w:sz w:val="13"/>
                <w:szCs w:val="13"/>
                <w:color w:val="auto"/>
              </w:rPr>
              <w:t>1,192,252</w:t>
            </w:r>
          </w:p>
        </w:tc>
        <w:tc>
          <w:tcPr>
            <w:tcW w:w="1200" w:type="dxa"/>
            <w:vAlign w:val="bottom"/>
          </w:tcPr>
          <w:p>
            <w:pPr>
              <w:jc w:val="right"/>
              <w:spacing w:after="0"/>
              <w:rPr>
                <w:sz w:val="20"/>
                <w:szCs w:val="20"/>
                <w:color w:val="auto"/>
              </w:rPr>
            </w:pPr>
            <w:r>
              <w:rPr>
                <w:rFonts w:ascii="Arial" w:cs="Arial" w:eastAsia="Arial" w:hAnsi="Arial"/>
                <w:sz w:val="13"/>
                <w:szCs w:val="13"/>
                <w:color w:val="auto"/>
              </w:rPr>
              <w:t>1,147,772</w:t>
            </w:r>
          </w:p>
        </w:tc>
        <w:tc>
          <w:tcPr>
            <w:tcW w:w="100" w:type="dxa"/>
            <w:vAlign w:val="bottom"/>
          </w:tcPr>
          <w:p>
            <w:pPr>
              <w:spacing w:after="0"/>
              <w:rPr>
                <w:sz w:val="13"/>
                <w:szCs w:val="13"/>
                <w:color w:val="auto"/>
              </w:rPr>
            </w:pPr>
          </w:p>
        </w:tc>
      </w:tr>
      <w:tr>
        <w:trPr>
          <w:trHeight w:val="154"/>
        </w:trPr>
        <w:tc>
          <w:tcPr>
            <w:tcW w:w="6840" w:type="dxa"/>
            <w:vAlign w:val="bottom"/>
            <w:shd w:val="clear" w:color="auto" w:fill="CCEEFF"/>
          </w:tcPr>
          <w:p>
            <w:pPr>
              <w:spacing w:after="0"/>
              <w:rPr>
                <w:sz w:val="20"/>
                <w:szCs w:val="20"/>
                <w:color w:val="auto"/>
              </w:rPr>
            </w:pPr>
            <w:r>
              <w:rPr>
                <w:rFonts w:ascii="Arial" w:cs="Arial" w:eastAsia="Arial" w:hAnsi="Arial"/>
                <w:sz w:val="13"/>
                <w:szCs w:val="13"/>
                <w:color w:val="auto"/>
              </w:rPr>
              <w:t>From 1 month to 3 months</w:t>
            </w:r>
          </w:p>
        </w:tc>
        <w:tc>
          <w:tcPr>
            <w:tcW w:w="1220" w:type="dxa"/>
            <w:vAlign w:val="bottom"/>
            <w:shd w:val="clear" w:color="auto" w:fill="CCEEFF"/>
          </w:tcPr>
          <w:p>
            <w:pPr>
              <w:spacing w:after="0"/>
              <w:rPr>
                <w:sz w:val="13"/>
                <w:szCs w:val="13"/>
                <w:color w:val="auto"/>
              </w:rPr>
            </w:pPr>
          </w:p>
        </w:tc>
        <w:tc>
          <w:tcPr>
            <w:tcW w:w="1660" w:type="dxa"/>
            <w:vAlign w:val="bottom"/>
            <w:gridSpan w:val="4"/>
            <w:shd w:val="clear" w:color="auto" w:fill="CCEEFF"/>
          </w:tcPr>
          <w:p>
            <w:pPr>
              <w:jc w:val="right"/>
              <w:ind w:right="220"/>
              <w:spacing w:after="0"/>
              <w:rPr>
                <w:sz w:val="20"/>
                <w:szCs w:val="20"/>
                <w:color w:val="auto"/>
              </w:rPr>
            </w:pPr>
            <w:r>
              <w:rPr>
                <w:rFonts w:ascii="Arial" w:cs="Arial" w:eastAsia="Arial" w:hAnsi="Arial"/>
                <w:sz w:val="13"/>
                <w:szCs w:val="13"/>
                <w:color w:val="auto"/>
              </w:rPr>
              <w:t>412,638</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492,205</w:t>
            </w:r>
          </w:p>
        </w:tc>
      </w:tr>
      <w:tr>
        <w:trPr>
          <w:trHeight w:val="154"/>
        </w:trPr>
        <w:tc>
          <w:tcPr>
            <w:tcW w:w="6840" w:type="dxa"/>
            <w:vAlign w:val="bottom"/>
          </w:tcPr>
          <w:p>
            <w:pPr>
              <w:spacing w:after="0"/>
              <w:rPr>
                <w:sz w:val="20"/>
                <w:szCs w:val="20"/>
                <w:color w:val="auto"/>
              </w:rPr>
            </w:pPr>
            <w:r>
              <w:rPr>
                <w:rFonts w:ascii="Arial" w:cs="Arial" w:eastAsia="Arial" w:hAnsi="Arial"/>
                <w:sz w:val="13"/>
                <w:szCs w:val="13"/>
                <w:color w:val="auto"/>
              </w:rPr>
              <w:t>From 3 months to 6 months</w:t>
            </w:r>
          </w:p>
        </w:tc>
        <w:tc>
          <w:tcPr>
            <w:tcW w:w="1220" w:type="dxa"/>
            <w:vAlign w:val="bottom"/>
          </w:tcPr>
          <w:p>
            <w:pPr>
              <w:spacing w:after="0"/>
              <w:rPr>
                <w:sz w:val="13"/>
                <w:szCs w:val="13"/>
                <w:color w:val="auto"/>
              </w:rPr>
            </w:pPr>
          </w:p>
        </w:tc>
        <w:tc>
          <w:tcPr>
            <w:tcW w:w="1660" w:type="dxa"/>
            <w:vAlign w:val="bottom"/>
            <w:gridSpan w:val="4"/>
          </w:tcPr>
          <w:p>
            <w:pPr>
              <w:jc w:val="right"/>
              <w:ind w:right="220"/>
              <w:spacing w:after="0"/>
              <w:rPr>
                <w:sz w:val="20"/>
                <w:szCs w:val="20"/>
                <w:color w:val="auto"/>
              </w:rPr>
            </w:pPr>
            <w:r>
              <w:rPr>
                <w:rFonts w:ascii="Arial" w:cs="Arial" w:eastAsia="Arial" w:hAnsi="Arial"/>
                <w:sz w:val="13"/>
                <w:szCs w:val="13"/>
                <w:color w:val="auto"/>
              </w:rPr>
              <w:t>533,135</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411,159</w:t>
            </w:r>
          </w:p>
        </w:tc>
      </w:tr>
      <w:tr>
        <w:trPr>
          <w:trHeight w:val="154"/>
        </w:trPr>
        <w:tc>
          <w:tcPr>
            <w:tcW w:w="6840" w:type="dxa"/>
            <w:vAlign w:val="bottom"/>
            <w:shd w:val="clear" w:color="auto" w:fill="CCEEFF"/>
          </w:tcPr>
          <w:p>
            <w:pPr>
              <w:spacing w:after="0"/>
              <w:rPr>
                <w:sz w:val="20"/>
                <w:szCs w:val="20"/>
                <w:color w:val="auto"/>
              </w:rPr>
            </w:pPr>
            <w:r>
              <w:rPr>
                <w:rFonts w:ascii="Arial" w:cs="Arial" w:eastAsia="Arial" w:hAnsi="Arial"/>
                <w:sz w:val="13"/>
                <w:szCs w:val="13"/>
                <w:color w:val="auto"/>
              </w:rPr>
              <w:t>From 6 months to 1 year</w:t>
            </w:r>
          </w:p>
        </w:tc>
        <w:tc>
          <w:tcPr>
            <w:tcW w:w="1220" w:type="dxa"/>
            <w:vAlign w:val="bottom"/>
            <w:shd w:val="clear" w:color="auto" w:fill="CCEEFF"/>
          </w:tcPr>
          <w:p>
            <w:pPr>
              <w:spacing w:after="0"/>
              <w:rPr>
                <w:sz w:val="13"/>
                <w:szCs w:val="13"/>
                <w:color w:val="auto"/>
              </w:rPr>
            </w:pPr>
          </w:p>
        </w:tc>
        <w:tc>
          <w:tcPr>
            <w:tcW w:w="1660" w:type="dxa"/>
            <w:vAlign w:val="bottom"/>
            <w:gridSpan w:val="4"/>
            <w:shd w:val="clear" w:color="auto" w:fill="CCEEFF"/>
          </w:tcPr>
          <w:p>
            <w:pPr>
              <w:jc w:val="right"/>
              <w:ind w:right="220"/>
              <w:spacing w:after="0"/>
              <w:rPr>
                <w:sz w:val="20"/>
                <w:szCs w:val="20"/>
                <w:color w:val="auto"/>
              </w:rPr>
            </w:pPr>
            <w:r>
              <w:rPr>
                <w:rFonts w:ascii="Arial" w:cs="Arial" w:eastAsia="Arial" w:hAnsi="Arial"/>
                <w:sz w:val="13"/>
                <w:szCs w:val="13"/>
                <w:color w:val="auto"/>
              </w:rPr>
              <w:t>462,156</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571,500</w:t>
            </w:r>
          </w:p>
        </w:tc>
      </w:tr>
      <w:tr>
        <w:trPr>
          <w:trHeight w:val="154"/>
        </w:trPr>
        <w:tc>
          <w:tcPr>
            <w:tcW w:w="6840" w:type="dxa"/>
            <w:vAlign w:val="bottom"/>
          </w:tcPr>
          <w:p>
            <w:pPr>
              <w:spacing w:after="0"/>
              <w:rPr>
                <w:sz w:val="20"/>
                <w:szCs w:val="20"/>
                <w:color w:val="auto"/>
              </w:rPr>
            </w:pPr>
            <w:r>
              <w:rPr>
                <w:rFonts w:ascii="Arial" w:cs="Arial" w:eastAsia="Arial" w:hAnsi="Arial"/>
                <w:sz w:val="13"/>
                <w:szCs w:val="13"/>
                <w:color w:val="auto"/>
              </w:rPr>
              <w:t>From 1 year to 2 years</w:t>
            </w:r>
          </w:p>
        </w:tc>
        <w:tc>
          <w:tcPr>
            <w:tcW w:w="1220" w:type="dxa"/>
            <w:vAlign w:val="bottom"/>
          </w:tcPr>
          <w:p>
            <w:pPr>
              <w:spacing w:after="0"/>
              <w:rPr>
                <w:sz w:val="13"/>
                <w:szCs w:val="13"/>
                <w:color w:val="auto"/>
              </w:rPr>
            </w:pPr>
          </w:p>
        </w:tc>
        <w:tc>
          <w:tcPr>
            <w:tcW w:w="1660" w:type="dxa"/>
            <w:vAlign w:val="bottom"/>
            <w:gridSpan w:val="4"/>
          </w:tcPr>
          <w:p>
            <w:pPr>
              <w:jc w:val="right"/>
              <w:ind w:right="220"/>
              <w:spacing w:after="0"/>
              <w:rPr>
                <w:sz w:val="20"/>
                <w:szCs w:val="20"/>
                <w:color w:val="auto"/>
              </w:rPr>
            </w:pPr>
            <w:r>
              <w:rPr>
                <w:rFonts w:ascii="Arial" w:cs="Arial" w:eastAsia="Arial" w:hAnsi="Arial"/>
                <w:sz w:val="13"/>
                <w:szCs w:val="13"/>
                <w:color w:val="auto"/>
              </w:rPr>
              <w:t>70,047</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76,422</w:t>
            </w:r>
          </w:p>
        </w:tc>
      </w:tr>
      <w:tr>
        <w:trPr>
          <w:trHeight w:val="164"/>
        </w:trPr>
        <w:tc>
          <w:tcPr>
            <w:tcW w:w="6840" w:type="dxa"/>
            <w:vAlign w:val="bottom"/>
            <w:shd w:val="clear" w:color="auto" w:fill="CCEEFF"/>
          </w:tcPr>
          <w:p>
            <w:pPr>
              <w:spacing w:after="0"/>
              <w:rPr>
                <w:sz w:val="20"/>
                <w:szCs w:val="20"/>
                <w:color w:val="auto"/>
              </w:rPr>
            </w:pPr>
            <w:r>
              <w:rPr>
                <w:rFonts w:ascii="Arial" w:cs="Arial" w:eastAsia="Arial" w:hAnsi="Arial"/>
                <w:sz w:val="13"/>
                <w:szCs w:val="13"/>
                <w:color w:val="auto"/>
              </w:rPr>
              <w:t>From 2 years to 5 years</w:t>
            </w:r>
          </w:p>
        </w:tc>
        <w:tc>
          <w:tcPr>
            <w:tcW w:w="1220" w:type="dxa"/>
            <w:vAlign w:val="bottom"/>
            <w:shd w:val="clear" w:color="auto" w:fill="CCEEFF"/>
          </w:tcPr>
          <w:p>
            <w:pPr>
              <w:spacing w:after="0"/>
              <w:rPr>
                <w:sz w:val="14"/>
                <w:szCs w:val="14"/>
                <w:color w:val="auto"/>
              </w:rPr>
            </w:pPr>
          </w:p>
        </w:tc>
        <w:tc>
          <w:tcPr>
            <w:tcW w:w="1660" w:type="dxa"/>
            <w:vAlign w:val="bottom"/>
            <w:gridSpan w:val="4"/>
            <w:shd w:val="clear" w:color="auto" w:fill="CCEEFF"/>
          </w:tcPr>
          <w:p>
            <w:pPr>
              <w:jc w:val="right"/>
              <w:ind w:right="220"/>
              <w:spacing w:after="0"/>
              <w:rPr>
                <w:sz w:val="20"/>
                <w:szCs w:val="20"/>
                <w:color w:val="auto"/>
              </w:rPr>
            </w:pPr>
            <w:r>
              <w:rPr>
                <w:rFonts w:ascii="Arial" w:cs="Arial" w:eastAsia="Arial" w:hAnsi="Arial"/>
                <w:sz w:val="13"/>
                <w:szCs w:val="13"/>
                <w:color w:val="auto"/>
              </w:rPr>
              <w:t>89,213</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147,722</w:t>
            </w:r>
          </w:p>
        </w:tc>
      </w:tr>
      <w:tr>
        <w:trPr>
          <w:trHeight w:val="162"/>
        </w:trPr>
        <w:tc>
          <w:tcPr>
            <w:tcW w:w="6840" w:type="dxa"/>
            <w:vAlign w:val="bottom"/>
          </w:tcPr>
          <w:p>
            <w:pPr>
              <w:spacing w:after="0"/>
              <w:rPr>
                <w:sz w:val="14"/>
                <w:szCs w:val="14"/>
                <w:color w:val="auto"/>
              </w:rPr>
            </w:pPr>
          </w:p>
        </w:tc>
        <w:tc>
          <w:tcPr>
            <w:tcW w:w="12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2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3"/>
                <w:szCs w:val="13"/>
                <w:b w:val="1"/>
                <w:bCs w:val="1"/>
                <w:color w:val="auto"/>
              </w:rPr>
              <w:t>2,970,822</w:t>
            </w:r>
          </w:p>
        </w:tc>
        <w:tc>
          <w:tcPr>
            <w:tcW w:w="220" w:type="dxa"/>
            <w:vAlign w:val="bottom"/>
          </w:tcPr>
          <w:p>
            <w:pPr>
              <w:spacing w:after="0"/>
              <w:rPr>
                <w:sz w:val="14"/>
                <w:szCs w:val="14"/>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2,928,844</w:t>
            </w:r>
          </w:p>
        </w:tc>
        <w:tc>
          <w:tcPr>
            <w:tcW w:w="100" w:type="dxa"/>
            <w:vAlign w:val="bottom"/>
          </w:tcPr>
          <w:p>
            <w:pPr>
              <w:spacing w:after="0"/>
              <w:rPr>
                <w:sz w:val="14"/>
                <w:szCs w:val="14"/>
                <w:color w:val="auto"/>
              </w:rPr>
            </w:pPr>
          </w:p>
        </w:tc>
      </w:tr>
      <w:tr>
        <w:trPr>
          <w:trHeight w:val="308"/>
        </w:trPr>
        <w:tc>
          <w:tcPr>
            <w:tcW w:w="6840" w:type="dxa"/>
            <w:vAlign w:val="bottom"/>
          </w:tcPr>
          <w:p>
            <w:pPr>
              <w:spacing w:after="0"/>
              <w:rPr>
                <w:sz w:val="20"/>
                <w:szCs w:val="20"/>
                <w:color w:val="auto"/>
              </w:rPr>
            </w:pPr>
            <w:r>
              <w:rPr>
                <w:rFonts w:ascii="Arial" w:cs="Arial" w:eastAsia="Arial" w:hAnsi="Arial"/>
                <w:sz w:val="13"/>
                <w:szCs w:val="13"/>
                <w:color w:val="auto"/>
              </w:rPr>
              <w:t>The following table presents additional information regarding the Bank’s deposits</w:t>
            </w:r>
          </w:p>
        </w:tc>
        <w:tc>
          <w:tcPr>
            <w:tcW w:w="12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305"/>
        </w:trPr>
        <w:tc>
          <w:tcPr>
            <w:tcW w:w="684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4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7"/>
              </w:rPr>
              <w:t>December 31,</w:t>
            </w:r>
          </w:p>
        </w:tc>
        <w:tc>
          <w:tcPr>
            <w:tcW w:w="1300" w:type="dxa"/>
            <w:vAlign w:val="bottom"/>
            <w:gridSpan w:val="2"/>
          </w:tcPr>
          <w:p>
            <w:pPr>
              <w:jc w:val="center"/>
              <w:ind w:right="120"/>
              <w:spacing w:after="0"/>
              <w:rPr>
                <w:sz w:val="20"/>
                <w:szCs w:val="20"/>
                <w:color w:val="auto"/>
              </w:rPr>
            </w:pPr>
            <w:r>
              <w:rPr>
                <w:rFonts w:ascii="Arial" w:cs="Arial" w:eastAsia="Arial" w:hAnsi="Arial"/>
                <w:sz w:val="13"/>
                <w:szCs w:val="13"/>
                <w:b w:val="1"/>
                <w:bCs w:val="1"/>
                <w:color w:val="auto"/>
                <w:w w:val="87"/>
              </w:rPr>
              <w:t>December 31,</w:t>
            </w:r>
          </w:p>
        </w:tc>
      </w:tr>
      <w:tr>
        <w:trPr>
          <w:trHeight w:val="166"/>
        </w:trPr>
        <w:tc>
          <w:tcPr>
            <w:tcW w:w="6840" w:type="dxa"/>
            <w:vAlign w:val="bottom"/>
            <w:tcBorders>
              <w:bottom w:val="single" w:sz="8" w:color="CCEEFF"/>
            </w:tcBorders>
          </w:tcPr>
          <w:p>
            <w:pPr>
              <w:spacing w:after="0"/>
              <w:rPr>
                <w:sz w:val="14"/>
                <w:szCs w:val="14"/>
                <w:color w:val="auto"/>
              </w:rPr>
            </w:pPr>
          </w:p>
        </w:tc>
        <w:tc>
          <w:tcPr>
            <w:tcW w:w="1220" w:type="dxa"/>
            <w:vAlign w:val="bottom"/>
            <w:tcBorders>
              <w:bottom w:val="single" w:sz="8" w:color="CCEEFF"/>
            </w:tcBorders>
          </w:tcPr>
          <w:p>
            <w:pPr>
              <w:spacing w:after="0"/>
              <w:rPr>
                <w:sz w:val="14"/>
                <w:szCs w:val="14"/>
                <w:color w:val="auto"/>
              </w:rPr>
            </w:pPr>
          </w:p>
        </w:tc>
        <w:tc>
          <w:tcPr>
            <w:tcW w:w="220" w:type="dxa"/>
            <w:vAlign w:val="bottom"/>
            <w:tcBorders>
              <w:bottom w:val="single" w:sz="8" w:color="CCEEFF"/>
            </w:tcBorders>
          </w:tcPr>
          <w:p>
            <w:pPr>
              <w:spacing w:after="0"/>
              <w:rPr>
                <w:sz w:val="14"/>
                <w:szCs w:val="14"/>
                <w:color w:val="auto"/>
              </w:rPr>
            </w:pPr>
          </w:p>
        </w:tc>
        <w:tc>
          <w:tcPr>
            <w:tcW w:w="1220" w:type="dxa"/>
            <w:vAlign w:val="bottom"/>
            <w:tcBorders>
              <w:bottom w:val="single" w:sz="8" w:color="auto"/>
            </w:tcBorders>
            <w:gridSpan w:val="2"/>
          </w:tcPr>
          <w:p>
            <w:pPr>
              <w:jc w:val="center"/>
              <w:spacing w:after="0"/>
              <w:rPr>
                <w:sz w:val="20"/>
                <w:szCs w:val="20"/>
                <w:color w:val="auto"/>
              </w:rPr>
            </w:pPr>
            <w:r>
              <w:rPr>
                <w:rFonts w:ascii="Arial" w:cs="Arial" w:eastAsia="Arial" w:hAnsi="Arial"/>
                <w:sz w:val="13"/>
                <w:szCs w:val="13"/>
                <w:b w:val="1"/>
                <w:bCs w:val="1"/>
                <w:color w:val="auto"/>
                <w:w w:val="89"/>
              </w:rPr>
              <w:t>2018</w:t>
            </w:r>
          </w:p>
        </w:tc>
        <w:tc>
          <w:tcPr>
            <w:tcW w:w="220" w:type="dxa"/>
            <w:vAlign w:val="bottom"/>
            <w:tcBorders>
              <w:bottom w:val="single" w:sz="8" w:color="CCEEFF"/>
            </w:tcBorders>
          </w:tcPr>
          <w:p>
            <w:pPr>
              <w:spacing w:after="0"/>
              <w:rPr>
                <w:sz w:val="14"/>
                <w:szCs w:val="14"/>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9"/>
              </w:rPr>
              <w:t>2017</w:t>
            </w:r>
          </w:p>
        </w:tc>
        <w:tc>
          <w:tcPr>
            <w:tcW w:w="100" w:type="dxa"/>
            <w:vAlign w:val="bottom"/>
            <w:tcBorders>
              <w:bottom w:val="single" w:sz="8" w:color="CCEEFF"/>
            </w:tcBorders>
          </w:tcPr>
          <w:p>
            <w:pPr>
              <w:spacing w:after="0"/>
              <w:rPr>
                <w:sz w:val="14"/>
                <w:szCs w:val="14"/>
                <w:color w:val="auto"/>
              </w:rPr>
            </w:pPr>
          </w:p>
        </w:tc>
      </w:tr>
      <w:tr>
        <w:trPr>
          <w:trHeight w:val="174"/>
        </w:trPr>
        <w:tc>
          <w:tcPr>
            <w:tcW w:w="6840" w:type="dxa"/>
            <w:vAlign w:val="bottom"/>
            <w:shd w:val="clear" w:color="auto" w:fill="CCEEFF"/>
          </w:tcPr>
          <w:p>
            <w:pPr>
              <w:spacing w:after="0" w:line="143" w:lineRule="exact"/>
              <w:rPr>
                <w:sz w:val="20"/>
                <w:szCs w:val="20"/>
                <w:color w:val="auto"/>
              </w:rPr>
            </w:pPr>
            <w:r>
              <w:rPr>
                <w:rFonts w:ascii="Arial" w:cs="Arial" w:eastAsia="Arial" w:hAnsi="Arial"/>
                <w:sz w:val="13"/>
                <w:szCs w:val="13"/>
                <w:color w:val="auto"/>
              </w:rPr>
              <w:t>Aggregate amounts of $100,000 or more</w:t>
            </w:r>
          </w:p>
        </w:tc>
        <w:tc>
          <w:tcPr>
            <w:tcW w:w="1220" w:type="dxa"/>
            <w:vAlign w:val="bottom"/>
            <w:shd w:val="clear" w:color="auto" w:fill="CCEEFF"/>
          </w:tcPr>
          <w:p>
            <w:pPr>
              <w:spacing w:after="0"/>
              <w:rPr>
                <w:sz w:val="15"/>
                <w:szCs w:val="15"/>
                <w:color w:val="auto"/>
              </w:rPr>
            </w:pPr>
          </w:p>
        </w:tc>
        <w:tc>
          <w:tcPr>
            <w:tcW w:w="1660" w:type="dxa"/>
            <w:vAlign w:val="bottom"/>
            <w:gridSpan w:val="4"/>
            <w:shd w:val="clear" w:color="auto" w:fill="CCEEFF"/>
          </w:tcPr>
          <w:p>
            <w:pPr>
              <w:jc w:val="right"/>
              <w:ind w:right="220"/>
              <w:spacing w:after="0"/>
              <w:rPr>
                <w:sz w:val="20"/>
                <w:szCs w:val="20"/>
                <w:color w:val="auto"/>
              </w:rPr>
            </w:pPr>
            <w:r>
              <w:rPr>
                <w:rFonts w:ascii="Arial" w:cs="Arial" w:eastAsia="Arial" w:hAnsi="Arial"/>
                <w:sz w:val="13"/>
                <w:szCs w:val="13"/>
                <w:color w:val="auto"/>
              </w:rPr>
              <w:t>2,970,438</w:t>
            </w: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2,928,425</w:t>
            </w:r>
          </w:p>
        </w:tc>
        <w:tc>
          <w:tcPr>
            <w:tcW w:w="100" w:type="dxa"/>
            <w:vAlign w:val="bottom"/>
            <w:shd w:val="clear" w:color="auto" w:fill="CCEEFF"/>
          </w:tcPr>
          <w:p>
            <w:pPr>
              <w:spacing w:after="0"/>
              <w:rPr>
                <w:sz w:val="15"/>
                <w:szCs w:val="15"/>
                <w:color w:val="auto"/>
              </w:rPr>
            </w:pPr>
          </w:p>
        </w:tc>
      </w:tr>
      <w:tr>
        <w:trPr>
          <w:trHeight w:val="152"/>
        </w:trPr>
        <w:tc>
          <w:tcPr>
            <w:tcW w:w="6840" w:type="dxa"/>
            <w:vAlign w:val="bottom"/>
            <w:tcBorders>
              <w:top w:val="single" w:sz="8" w:color="CCEEFF"/>
            </w:tcBorders>
          </w:tcPr>
          <w:p>
            <w:pPr>
              <w:spacing w:after="0" w:line="143" w:lineRule="exact"/>
              <w:rPr>
                <w:sz w:val="20"/>
                <w:szCs w:val="20"/>
                <w:color w:val="auto"/>
              </w:rPr>
            </w:pPr>
            <w:r>
              <w:rPr>
                <w:rFonts w:ascii="Arial" w:cs="Arial" w:eastAsia="Arial" w:hAnsi="Arial"/>
                <w:sz w:val="13"/>
                <w:szCs w:val="13"/>
                <w:color w:val="auto"/>
              </w:rPr>
              <w:t>Aggregate amounts of deposits in the New York Agency</w:t>
            </w:r>
          </w:p>
        </w:tc>
        <w:tc>
          <w:tcPr>
            <w:tcW w:w="1220" w:type="dxa"/>
            <w:vAlign w:val="bottom"/>
            <w:tcBorders>
              <w:top w:val="single" w:sz="8" w:color="CCEEFF"/>
            </w:tcBorders>
          </w:tcPr>
          <w:p>
            <w:pPr>
              <w:spacing w:after="0"/>
              <w:rPr>
                <w:sz w:val="13"/>
                <w:szCs w:val="13"/>
                <w:color w:val="auto"/>
              </w:rPr>
            </w:pPr>
          </w:p>
        </w:tc>
        <w:tc>
          <w:tcPr>
            <w:tcW w:w="220" w:type="dxa"/>
            <w:vAlign w:val="bottom"/>
            <w:tcBorders>
              <w:top w:val="single" w:sz="8" w:color="CCEEFF"/>
            </w:tcBorders>
          </w:tcPr>
          <w:p>
            <w:pPr>
              <w:spacing w:after="0"/>
              <w:rPr>
                <w:sz w:val="13"/>
                <w:szCs w:val="13"/>
                <w:color w:val="auto"/>
              </w:rPr>
            </w:pPr>
          </w:p>
        </w:tc>
        <w:tc>
          <w:tcPr>
            <w:tcW w:w="1220" w:type="dxa"/>
            <w:vAlign w:val="bottom"/>
            <w:tcBorders>
              <w:top w:val="single" w:sz="8" w:color="auto"/>
              <w:bottom w:val="single" w:sz="8" w:color="auto"/>
            </w:tcBorders>
            <w:gridSpan w:val="2"/>
          </w:tcPr>
          <w:p>
            <w:pPr>
              <w:jc w:val="right"/>
              <w:spacing w:after="0" w:line="143" w:lineRule="exact"/>
              <w:rPr>
                <w:sz w:val="20"/>
                <w:szCs w:val="20"/>
                <w:color w:val="auto"/>
              </w:rPr>
            </w:pPr>
            <w:r>
              <w:rPr>
                <w:rFonts w:ascii="Arial" w:cs="Arial" w:eastAsia="Arial" w:hAnsi="Arial"/>
                <w:sz w:val="13"/>
                <w:szCs w:val="13"/>
                <w:color w:val="auto"/>
              </w:rPr>
              <w:t>265,349</w:t>
            </w:r>
          </w:p>
        </w:tc>
        <w:tc>
          <w:tcPr>
            <w:tcW w:w="220" w:type="dxa"/>
            <w:vAlign w:val="bottom"/>
            <w:tcBorders>
              <w:top w:val="single" w:sz="8" w:color="CCEEFF"/>
            </w:tcBorders>
          </w:tcPr>
          <w:p>
            <w:pPr>
              <w:spacing w:after="0"/>
              <w:rPr>
                <w:sz w:val="13"/>
                <w:szCs w:val="13"/>
                <w:color w:val="auto"/>
              </w:rPr>
            </w:pPr>
          </w:p>
        </w:tc>
        <w:tc>
          <w:tcPr>
            <w:tcW w:w="120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266,158</w:t>
            </w:r>
          </w:p>
        </w:tc>
        <w:tc>
          <w:tcPr>
            <w:tcW w:w="100" w:type="dxa"/>
            <w:vAlign w:val="bottom"/>
            <w:tcBorders>
              <w:top w:val="single" w:sz="8" w:color="CCEEFF"/>
            </w:tcBorders>
          </w:tcPr>
          <w:p>
            <w:pPr>
              <w:spacing w:after="0"/>
              <w:rPr>
                <w:sz w:val="13"/>
                <w:szCs w:val="13"/>
                <w:color w:val="auto"/>
              </w:rPr>
            </w:pPr>
          </w:p>
        </w:tc>
      </w:tr>
      <w:tr>
        <w:trPr>
          <w:trHeight w:val="317"/>
        </w:trPr>
        <w:tc>
          <w:tcPr>
            <w:tcW w:w="6840" w:type="dxa"/>
            <w:vAlign w:val="bottom"/>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1660" w:type="dxa"/>
            <w:vAlign w:val="bottom"/>
            <w:tcBorders>
              <w:bottom w:val="single" w:sz="8" w:color="auto"/>
            </w:tcBorders>
            <w:gridSpan w:val="4"/>
          </w:tcPr>
          <w:p>
            <w:pPr>
              <w:jc w:val="center"/>
              <w:ind w:right="20"/>
              <w:spacing w:after="0"/>
              <w:rPr>
                <w:sz w:val="20"/>
                <w:szCs w:val="20"/>
                <w:color w:val="auto"/>
              </w:rPr>
            </w:pPr>
            <w:r>
              <w:rPr>
                <w:rFonts w:ascii="Arial" w:cs="Arial" w:eastAsia="Arial" w:hAnsi="Arial"/>
                <w:sz w:val="13"/>
                <w:szCs w:val="13"/>
                <w:b w:val="1"/>
                <w:bCs w:val="1"/>
                <w:color w:val="auto"/>
                <w:w w:val="88"/>
              </w:rPr>
              <w:t>Year ended December 31,</w:t>
            </w:r>
          </w:p>
        </w:tc>
        <w:tc>
          <w:tcPr>
            <w:tcW w:w="120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r>
      <w:tr>
        <w:trPr>
          <w:trHeight w:val="154"/>
        </w:trPr>
        <w:tc>
          <w:tcPr>
            <w:tcW w:w="6840" w:type="dxa"/>
            <w:vAlign w:val="bottom"/>
            <w:tcBorders>
              <w:bottom w:val="single" w:sz="8" w:color="CCEEFF"/>
            </w:tcBorders>
          </w:tcPr>
          <w:p>
            <w:pPr>
              <w:spacing w:after="0"/>
              <w:rPr>
                <w:sz w:val="13"/>
                <w:szCs w:val="13"/>
                <w:color w:val="auto"/>
              </w:rPr>
            </w:pPr>
          </w:p>
        </w:tc>
        <w:tc>
          <w:tcPr>
            <w:tcW w:w="1220" w:type="dxa"/>
            <w:vAlign w:val="bottom"/>
            <w:tcBorders>
              <w:bottom w:val="single" w:sz="8" w:color="auto"/>
            </w:tcBorders>
          </w:tcPr>
          <w:p>
            <w:pPr>
              <w:jc w:val="right"/>
              <w:ind w:right="416"/>
              <w:spacing w:after="0"/>
              <w:rPr>
                <w:sz w:val="20"/>
                <w:szCs w:val="20"/>
                <w:color w:val="auto"/>
              </w:rPr>
            </w:pPr>
            <w:r>
              <w:rPr>
                <w:rFonts w:ascii="Arial" w:cs="Arial" w:eastAsia="Arial" w:hAnsi="Arial"/>
                <w:sz w:val="13"/>
                <w:szCs w:val="13"/>
                <w:b w:val="1"/>
                <w:bCs w:val="1"/>
                <w:color w:val="auto"/>
              </w:rPr>
              <w:t>2018</w:t>
            </w:r>
          </w:p>
        </w:tc>
        <w:tc>
          <w:tcPr>
            <w:tcW w:w="240" w:type="dxa"/>
            <w:vAlign w:val="bottom"/>
            <w:tcBorders>
              <w:bottom w:val="single" w:sz="8" w:color="CCEEFF"/>
            </w:tcBorders>
            <w:gridSpan w:val="2"/>
          </w:tcPr>
          <w:p>
            <w:pPr>
              <w:spacing w:after="0"/>
              <w:rPr>
                <w:sz w:val="13"/>
                <w:szCs w:val="13"/>
                <w:color w:val="auto"/>
              </w:rPr>
            </w:pPr>
          </w:p>
        </w:tc>
        <w:tc>
          <w:tcPr>
            <w:tcW w:w="1200" w:type="dxa"/>
            <w:vAlign w:val="bottom"/>
            <w:tcBorders>
              <w:bottom w:val="single" w:sz="8" w:color="auto"/>
            </w:tcBorders>
          </w:tcPr>
          <w:p>
            <w:pPr>
              <w:jc w:val="right"/>
              <w:ind w:right="416"/>
              <w:spacing w:after="0"/>
              <w:rPr>
                <w:sz w:val="20"/>
                <w:szCs w:val="20"/>
                <w:color w:val="auto"/>
              </w:rPr>
            </w:pPr>
            <w:r>
              <w:rPr>
                <w:rFonts w:ascii="Arial" w:cs="Arial" w:eastAsia="Arial" w:hAnsi="Arial"/>
                <w:sz w:val="13"/>
                <w:szCs w:val="13"/>
                <w:b w:val="1"/>
                <w:bCs w:val="1"/>
                <w:color w:val="auto"/>
              </w:rPr>
              <w:t>2017</w:t>
            </w:r>
          </w:p>
        </w:tc>
        <w:tc>
          <w:tcPr>
            <w:tcW w:w="220" w:type="dxa"/>
            <w:vAlign w:val="bottom"/>
            <w:tcBorders>
              <w:bottom w:val="single" w:sz="8" w:color="CCEEFF"/>
            </w:tcBorders>
          </w:tcPr>
          <w:p>
            <w:pPr>
              <w:spacing w:after="0"/>
              <w:rPr>
                <w:sz w:val="13"/>
                <w:szCs w:val="13"/>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9"/>
              </w:rPr>
              <w:t>2016</w:t>
            </w:r>
          </w:p>
        </w:tc>
        <w:tc>
          <w:tcPr>
            <w:tcW w:w="100" w:type="dxa"/>
            <w:vAlign w:val="bottom"/>
            <w:tcBorders>
              <w:bottom w:val="single" w:sz="8" w:color="CCEEFF"/>
            </w:tcBorders>
          </w:tcPr>
          <w:p>
            <w:pPr>
              <w:spacing w:after="0"/>
              <w:rPr>
                <w:sz w:val="13"/>
                <w:szCs w:val="13"/>
                <w:color w:val="auto"/>
              </w:rPr>
            </w:pPr>
          </w:p>
        </w:tc>
      </w:tr>
      <w:tr>
        <w:trPr>
          <w:trHeight w:val="162"/>
        </w:trPr>
        <w:tc>
          <w:tcPr>
            <w:tcW w:w="6840" w:type="dxa"/>
            <w:vAlign w:val="bottom"/>
            <w:tcBorders>
              <w:bottom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Interest expense on deposits made in the New York Agency</w:t>
            </w: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5,937</w:t>
            </w:r>
          </w:p>
        </w:tc>
        <w:tc>
          <w:tcPr>
            <w:tcW w:w="240" w:type="dxa"/>
            <w:vAlign w:val="bottom"/>
            <w:tcBorders>
              <w:bottom w:val="single" w:sz="8" w:color="CCEEFF"/>
            </w:tcBorders>
            <w:gridSpan w:val="2"/>
            <w:shd w:val="clear" w:color="auto" w:fill="CCEEFF"/>
          </w:tcPr>
          <w:p>
            <w:pPr>
              <w:spacing w:after="0"/>
              <w:rPr>
                <w:sz w:val="14"/>
                <w:szCs w:val="14"/>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2,524</w:t>
            </w:r>
          </w:p>
        </w:tc>
        <w:tc>
          <w:tcPr>
            <w:tcW w:w="220" w:type="dxa"/>
            <w:vAlign w:val="bottom"/>
            <w:tcBorders>
              <w:bottom w:val="single" w:sz="8" w:color="CCEEFF"/>
            </w:tcBorders>
            <w:shd w:val="clear" w:color="auto" w:fill="CCEEFF"/>
          </w:tcPr>
          <w:p>
            <w:pPr>
              <w:spacing w:after="0"/>
              <w:rPr>
                <w:sz w:val="14"/>
                <w:szCs w:val="14"/>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1,429</w:t>
            </w:r>
          </w:p>
        </w:tc>
        <w:tc>
          <w:tcPr>
            <w:tcW w:w="100" w:type="dxa"/>
            <w:vAlign w:val="bottom"/>
            <w:tcBorders>
              <w:bottom w:val="single" w:sz="8" w:color="CCEEFF"/>
            </w:tcBorders>
            <w:shd w:val="clear" w:color="auto" w:fill="CCEEFF"/>
          </w:tcPr>
          <w:p>
            <w:pPr>
              <w:spacing w:after="0"/>
              <w:rPr>
                <w:sz w:val="14"/>
                <w:szCs w:val="14"/>
                <w:color w:val="auto"/>
              </w:rPr>
            </w:pPr>
          </w:p>
        </w:tc>
      </w:tr>
    </w:tbl>
    <w:p>
      <w:pPr>
        <w:spacing w:after="0" w:line="141" w:lineRule="exact"/>
        <w:rPr>
          <w:sz w:val="20"/>
          <w:szCs w:val="20"/>
          <w:color w:val="auto"/>
        </w:rPr>
      </w:pPr>
    </w:p>
    <w:p>
      <w:pPr>
        <w:ind w:left="223" w:hanging="223"/>
        <w:spacing w:after="0"/>
        <w:tabs>
          <w:tab w:leader="none" w:pos="223" w:val="left"/>
        </w:tabs>
        <w:numPr>
          <w:ilvl w:val="0"/>
          <w:numId w:val="158"/>
        </w:numPr>
        <w:rPr>
          <w:rFonts w:ascii="Arial" w:cs="Arial" w:eastAsia="Arial" w:hAnsi="Arial"/>
          <w:sz w:val="13"/>
          <w:szCs w:val="13"/>
          <w:b w:val="1"/>
          <w:bCs w:val="1"/>
          <w:color w:val="auto"/>
        </w:rPr>
      </w:pPr>
      <w:r>
        <w:rPr>
          <w:rFonts w:ascii="Arial" w:cs="Arial" w:eastAsia="Arial" w:hAnsi="Arial"/>
          <w:sz w:val="13"/>
          <w:szCs w:val="13"/>
          <w:b w:val="1"/>
          <w:bCs w:val="1"/>
          <w:color w:val="auto"/>
        </w:rPr>
        <w:t>Securities sold under repurchase agreements</w:t>
      </w:r>
    </w:p>
    <w:p>
      <w:pPr>
        <w:spacing w:after="0" w:line="162" w:lineRule="exact"/>
        <w:rPr>
          <w:rFonts w:ascii="Arial" w:cs="Arial" w:eastAsia="Arial" w:hAnsi="Arial"/>
          <w:sz w:val="13"/>
          <w:szCs w:val="13"/>
          <w:b w:val="1"/>
          <w:bCs w:val="1"/>
          <w:color w:val="auto"/>
        </w:rPr>
      </w:pPr>
    </w:p>
    <w:p>
      <w:pPr>
        <w:ind w:left="223" w:right="5580"/>
        <w:spacing w:after="0" w:line="584" w:lineRule="auto"/>
        <w:rPr>
          <w:rFonts w:ascii="Arial" w:cs="Arial" w:eastAsia="Arial" w:hAnsi="Arial"/>
          <w:sz w:val="13"/>
          <w:szCs w:val="13"/>
          <w:b w:val="1"/>
          <w:bCs w:val="1"/>
          <w:color w:val="auto"/>
        </w:rPr>
      </w:pPr>
      <w:r>
        <w:rPr>
          <w:rFonts w:ascii="Arial" w:cs="Arial" w:eastAsia="Arial" w:hAnsi="Arial"/>
          <w:sz w:val="11"/>
          <w:szCs w:val="11"/>
          <w:color w:val="auto"/>
        </w:rPr>
        <w:t>As of December 31, 2018, the Bank has financing transactions under repurchase agreements for $39.8 million. As of December 31, 2017, the Bank does not have financing transactions under repurchase agreements.</w:t>
      </w:r>
    </w:p>
    <w:p>
      <w:pPr>
        <w:jc w:val="both"/>
        <w:ind w:left="223"/>
        <w:spacing w:after="0" w:line="257" w:lineRule="auto"/>
        <w:rPr>
          <w:rFonts w:ascii="Arial" w:cs="Arial" w:eastAsia="Arial" w:hAnsi="Arial"/>
          <w:sz w:val="13"/>
          <w:szCs w:val="13"/>
          <w:b w:val="1"/>
          <w:bCs w:val="1"/>
          <w:color w:val="auto"/>
        </w:rPr>
      </w:pPr>
      <w:r>
        <w:rPr>
          <w:rFonts w:ascii="Arial" w:cs="Arial" w:eastAsia="Arial" w:hAnsi="Arial"/>
          <w:sz w:val="13"/>
          <w:szCs w:val="13"/>
          <w:color w:val="auto"/>
        </w:rPr>
        <w:t>During the year ended December 31, 2018, $635 thousand was recorded corresponding to interest expenses generated by financing agreements under repurchase agreements. These expenses are included as interest expense – borrowings and debt line in the consolidated statement of profit or loss. As of December 31, 2017, the Bank did not incur in any interest expense generated by financing agreements under repurchase agreements.</w:t>
      </w:r>
    </w:p>
    <w:p>
      <w:pPr>
        <w:spacing w:after="0" w:line="290"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F-68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31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193" w:name="page194"/>
    <w:bookmarkEnd w:id="193"/>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32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159"/>
        </w:numPr>
        <w:rPr>
          <w:rFonts w:ascii="Arial" w:cs="Arial" w:eastAsia="Arial" w:hAnsi="Arial"/>
          <w:sz w:val="13"/>
          <w:szCs w:val="13"/>
          <w:b w:val="1"/>
          <w:bCs w:val="1"/>
          <w:color w:val="auto"/>
        </w:rPr>
      </w:pPr>
      <w:r>
        <w:rPr>
          <w:rFonts w:ascii="Arial" w:cs="Arial" w:eastAsia="Arial" w:hAnsi="Arial"/>
          <w:sz w:val="13"/>
          <w:szCs w:val="13"/>
          <w:b w:val="1"/>
          <w:bCs w:val="1"/>
          <w:color w:val="auto"/>
        </w:rPr>
        <w:t>Borrowings and debt</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Borrowings and debt are detailed as follows:</w:t>
      </w:r>
    </w:p>
    <w:p>
      <w:pPr>
        <w:spacing w:after="0" w:line="164" w:lineRule="exact"/>
        <w:rPr>
          <w:sz w:val="20"/>
          <w:szCs w:val="20"/>
          <w:color w:val="auto"/>
        </w:rPr>
      </w:pPr>
    </w:p>
    <w:tbl>
      <w:tblPr>
        <w:tblLayout w:type="fixed"/>
        <w:tblInd w:w="223" w:type="dxa"/>
        <w:tblCellMar>
          <w:top w:w="0" w:type="dxa"/>
          <w:left w:w="0" w:type="dxa"/>
          <w:bottom w:w="0" w:type="dxa"/>
          <w:right w:w="0" w:type="dxa"/>
        </w:tblCellMar>
      </w:tblPr>
      <w:tr>
        <w:trPr>
          <w:trHeight w:val="167"/>
        </w:trPr>
        <w:tc>
          <w:tcPr>
            <w:tcW w:w="3980" w:type="dxa"/>
            <w:vAlign w:val="bottom"/>
          </w:tcPr>
          <w:p>
            <w:pPr>
              <w:spacing w:after="0"/>
              <w:rPr>
                <w:sz w:val="14"/>
                <w:szCs w:val="14"/>
                <w:color w:val="auto"/>
              </w:rPr>
            </w:pPr>
          </w:p>
        </w:tc>
        <w:tc>
          <w:tcPr>
            <w:tcW w:w="122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340" w:type="dxa"/>
            <w:vAlign w:val="bottom"/>
            <w:tcBorders>
              <w:bottom w:val="single" w:sz="8" w:color="auto"/>
            </w:tcBorders>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420" w:type="dxa"/>
            <w:vAlign w:val="bottom"/>
            <w:tcBorders>
              <w:bottom w:val="single" w:sz="8" w:color="auto"/>
            </w:tcBorders>
            <w:gridSpan w:val="2"/>
          </w:tcPr>
          <w:p>
            <w:pPr>
              <w:jc w:val="right"/>
              <w:ind w:right="340"/>
              <w:spacing w:after="0"/>
              <w:rPr>
                <w:sz w:val="20"/>
                <w:szCs w:val="20"/>
                <w:color w:val="auto"/>
              </w:rPr>
            </w:pPr>
            <w:r>
              <w:rPr>
                <w:rFonts w:ascii="Arial" w:cs="Arial" w:eastAsia="Arial" w:hAnsi="Arial"/>
                <w:sz w:val="13"/>
                <w:szCs w:val="13"/>
                <w:b w:val="1"/>
                <w:bCs w:val="1"/>
                <w:color w:val="auto"/>
                <w:w w:val="90"/>
              </w:rPr>
              <w:t>December 31, 2018</w:t>
            </w:r>
          </w:p>
        </w:tc>
        <w:tc>
          <w:tcPr>
            <w:tcW w:w="12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20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3980" w:type="dxa"/>
            <w:vAlign w:val="bottom"/>
            <w:vMerge w:val="restart"/>
          </w:tcPr>
          <w:p>
            <w:pPr>
              <w:spacing w:after="0"/>
              <w:rPr>
                <w:sz w:val="20"/>
                <w:szCs w:val="20"/>
                <w:color w:val="auto"/>
              </w:rPr>
            </w:pPr>
            <w:r>
              <w:rPr>
                <w:rFonts w:ascii="Arial" w:cs="Arial" w:eastAsia="Arial" w:hAnsi="Arial"/>
                <w:sz w:val="13"/>
                <w:szCs w:val="13"/>
                <w:b w:val="1"/>
                <w:bCs w:val="1"/>
                <w:color w:val="auto"/>
              </w:rPr>
              <w:t>Carring amount</w:t>
            </w:r>
          </w:p>
        </w:tc>
        <w:tc>
          <w:tcPr>
            <w:tcW w:w="1800" w:type="dxa"/>
            <w:vAlign w:val="bottom"/>
            <w:tcBorders>
              <w:bottom w:val="single" w:sz="8" w:color="auto"/>
            </w:tcBorders>
            <w:gridSpan w:val="3"/>
          </w:tcPr>
          <w:p>
            <w:pPr>
              <w:ind w:left="1020"/>
              <w:spacing w:after="0"/>
              <w:rPr>
                <w:sz w:val="20"/>
                <w:szCs w:val="20"/>
                <w:color w:val="auto"/>
              </w:rPr>
            </w:pPr>
            <w:r>
              <w:rPr>
                <w:rFonts w:ascii="Arial" w:cs="Arial" w:eastAsia="Arial" w:hAnsi="Arial"/>
                <w:sz w:val="13"/>
                <w:szCs w:val="13"/>
                <w:b w:val="1"/>
                <w:bCs w:val="1"/>
                <w:color w:val="auto"/>
              </w:rPr>
              <w:t>Short-Term</w:t>
            </w:r>
          </w:p>
        </w:tc>
        <w:tc>
          <w:tcPr>
            <w:tcW w:w="880" w:type="dxa"/>
            <w:vAlign w:val="bottom"/>
            <w:tcBorders>
              <w:bottom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420" w:type="dxa"/>
            <w:vAlign w:val="bottom"/>
            <w:tcBorders>
              <w:bottom w:val="single" w:sz="8" w:color="auto"/>
            </w:tcBorders>
            <w:gridSpan w:val="2"/>
          </w:tcPr>
          <w:p>
            <w:pPr>
              <w:jc w:val="center"/>
              <w:ind w:right="220"/>
              <w:spacing w:after="0"/>
              <w:rPr>
                <w:sz w:val="20"/>
                <w:szCs w:val="20"/>
                <w:color w:val="auto"/>
              </w:rPr>
            </w:pPr>
            <w:r>
              <w:rPr>
                <w:rFonts w:ascii="Arial" w:cs="Arial" w:eastAsia="Arial" w:hAnsi="Arial"/>
                <w:sz w:val="13"/>
                <w:szCs w:val="13"/>
                <w:b w:val="1"/>
                <w:bCs w:val="1"/>
                <w:color w:val="auto"/>
                <w:w w:val="93"/>
              </w:rPr>
              <w:t>Long-term</w:t>
            </w:r>
          </w:p>
        </w:tc>
        <w:tc>
          <w:tcPr>
            <w:tcW w:w="120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3"/>
        </w:trPr>
        <w:tc>
          <w:tcPr>
            <w:tcW w:w="3980" w:type="dxa"/>
            <w:vAlign w:val="bottom"/>
            <w:vMerge w:val="continue"/>
          </w:tcPr>
          <w:p>
            <w:pPr>
              <w:spacing w:after="0"/>
              <w:rPr>
                <w:sz w:val="13"/>
                <w:szCs w:val="13"/>
                <w:color w:val="auto"/>
              </w:rPr>
            </w:pPr>
          </w:p>
        </w:tc>
        <w:tc>
          <w:tcPr>
            <w:tcW w:w="1800" w:type="dxa"/>
            <w:vAlign w:val="bottom"/>
            <w:gridSpan w:val="3"/>
          </w:tcPr>
          <w:p>
            <w:pPr>
              <w:ind w:left="300"/>
              <w:spacing w:after="0"/>
              <w:rPr>
                <w:sz w:val="20"/>
                <w:szCs w:val="20"/>
                <w:color w:val="auto"/>
              </w:rPr>
            </w:pPr>
            <w:r>
              <w:rPr>
                <w:rFonts w:ascii="Arial" w:cs="Arial" w:eastAsia="Arial" w:hAnsi="Arial"/>
                <w:sz w:val="13"/>
                <w:szCs w:val="13"/>
                <w:b w:val="1"/>
                <w:bCs w:val="1"/>
                <w:color w:val="auto"/>
              </w:rPr>
              <w:t>Borrowings</w:t>
            </w:r>
          </w:p>
        </w:tc>
        <w:tc>
          <w:tcPr>
            <w:tcW w:w="880" w:type="dxa"/>
            <w:vAlign w:val="bottom"/>
          </w:tcPr>
          <w:p>
            <w:pPr>
              <w:jc w:val="right"/>
              <w:ind w:right="416"/>
              <w:spacing w:after="0"/>
              <w:rPr>
                <w:sz w:val="20"/>
                <w:szCs w:val="20"/>
                <w:color w:val="auto"/>
              </w:rPr>
            </w:pPr>
            <w:r>
              <w:rPr>
                <w:rFonts w:ascii="Arial" w:cs="Arial" w:eastAsia="Arial" w:hAnsi="Arial"/>
                <w:sz w:val="13"/>
                <w:szCs w:val="13"/>
                <w:b w:val="1"/>
                <w:bCs w:val="1"/>
                <w:color w:val="auto"/>
              </w:rPr>
              <w:t>Debt</w:t>
            </w:r>
          </w:p>
        </w:tc>
        <w:tc>
          <w:tcPr>
            <w:tcW w:w="220" w:type="dxa"/>
            <w:vAlign w:val="bottom"/>
          </w:tcPr>
          <w:p>
            <w:pPr>
              <w:spacing w:after="0"/>
              <w:rPr>
                <w:sz w:val="13"/>
                <w:szCs w:val="13"/>
                <w:color w:val="auto"/>
              </w:rPr>
            </w:pPr>
          </w:p>
        </w:tc>
        <w:tc>
          <w:tcPr>
            <w:tcW w:w="1420" w:type="dxa"/>
            <w:vAlign w:val="bottom"/>
            <w:gridSpan w:val="2"/>
          </w:tcPr>
          <w:p>
            <w:pPr>
              <w:jc w:val="right"/>
              <w:ind w:right="500"/>
              <w:spacing w:after="0"/>
              <w:rPr>
                <w:sz w:val="20"/>
                <w:szCs w:val="20"/>
                <w:color w:val="auto"/>
              </w:rPr>
            </w:pPr>
            <w:r>
              <w:rPr>
                <w:rFonts w:ascii="Arial" w:cs="Arial" w:eastAsia="Arial" w:hAnsi="Arial"/>
                <w:sz w:val="13"/>
                <w:szCs w:val="13"/>
                <w:b w:val="1"/>
                <w:bCs w:val="1"/>
                <w:color w:val="auto"/>
              </w:rPr>
              <w:t>Borrowings</w:t>
            </w:r>
          </w:p>
        </w:tc>
        <w:tc>
          <w:tcPr>
            <w:tcW w:w="14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9"/>
              </w:rPr>
              <w:t>Debt</w:t>
            </w:r>
          </w:p>
        </w:tc>
        <w:tc>
          <w:tcPr>
            <w:tcW w:w="1200" w:type="dxa"/>
            <w:vAlign w:val="bottom"/>
          </w:tcPr>
          <w:p>
            <w:pPr>
              <w:jc w:val="right"/>
              <w:ind w:right="396"/>
              <w:spacing w:after="0"/>
              <w:rPr>
                <w:sz w:val="20"/>
                <w:szCs w:val="20"/>
                <w:color w:val="auto"/>
              </w:rPr>
            </w:pPr>
            <w:r>
              <w:rPr>
                <w:rFonts w:ascii="Arial" w:cs="Arial" w:eastAsia="Arial" w:hAnsi="Arial"/>
                <w:sz w:val="13"/>
                <w:szCs w:val="13"/>
                <w:b w:val="1"/>
                <w:bCs w:val="1"/>
                <w:color w:val="auto"/>
              </w:rPr>
              <w:t>Total</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3980" w:type="dxa"/>
            <w:vAlign w:val="bottom"/>
            <w:tcBorders>
              <w:top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Principal</w:t>
            </w:r>
          </w:p>
        </w:tc>
        <w:tc>
          <w:tcPr>
            <w:tcW w:w="12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1,975,174</w:t>
            </w:r>
          </w:p>
        </w:tc>
        <w:tc>
          <w:tcPr>
            <w:tcW w:w="240" w:type="dxa"/>
            <w:vAlign w:val="bottom"/>
            <w:tcBorders>
              <w:top w:val="single" w:sz="8" w:color="CCEEFF"/>
            </w:tcBorders>
            <w:shd w:val="clear" w:color="auto" w:fill="CCEEFF"/>
          </w:tcPr>
          <w:p>
            <w:pPr>
              <w:spacing w:after="0"/>
              <w:rPr>
                <w:sz w:val="12"/>
                <w:szCs w:val="12"/>
                <w:color w:val="auto"/>
              </w:rPr>
            </w:pPr>
          </w:p>
        </w:tc>
        <w:tc>
          <w:tcPr>
            <w:tcW w:w="340" w:type="dxa"/>
            <w:vAlign w:val="bottom"/>
            <w:tcBorders>
              <w:top w:val="single" w:sz="8" w:color="auto"/>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45,930</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886,384</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614,505</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3,521,993</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4"/>
        </w:trPr>
        <w:tc>
          <w:tcPr>
            <w:tcW w:w="3980" w:type="dxa"/>
            <w:vAlign w:val="bottom"/>
          </w:tcPr>
          <w:p>
            <w:pPr>
              <w:spacing w:after="0"/>
              <w:rPr>
                <w:sz w:val="20"/>
                <w:szCs w:val="20"/>
                <w:color w:val="auto"/>
              </w:rPr>
            </w:pPr>
            <w:r>
              <w:rPr>
                <w:rFonts w:ascii="Arial" w:cs="Arial" w:eastAsia="Arial" w:hAnsi="Arial"/>
                <w:sz w:val="13"/>
                <w:szCs w:val="13"/>
                <w:color w:val="auto"/>
              </w:rPr>
              <w:t>Prepaid commissions</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340" w:type="dxa"/>
            <w:vAlign w:val="bottom"/>
          </w:tcPr>
          <w:p>
            <w:pPr>
              <w:spacing w:after="0"/>
              <w:rPr>
                <w:sz w:val="14"/>
                <w:szCs w:val="14"/>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420" w:type="dxa"/>
            <w:vAlign w:val="bottom"/>
            <w:gridSpan w:val="2"/>
          </w:tcPr>
          <w:p>
            <w:pPr>
              <w:jc w:val="right"/>
              <w:ind w:right="180"/>
              <w:spacing w:after="0"/>
              <w:rPr>
                <w:sz w:val="20"/>
                <w:szCs w:val="20"/>
                <w:color w:val="auto"/>
              </w:rPr>
            </w:pPr>
            <w:r>
              <w:rPr>
                <w:rFonts w:ascii="Arial" w:cs="Arial" w:eastAsia="Arial" w:hAnsi="Arial"/>
                <w:sz w:val="13"/>
                <w:szCs w:val="13"/>
                <w:color w:val="auto"/>
              </w:rPr>
              <w:t>(2,790)</w:t>
            </w:r>
          </w:p>
        </w:tc>
        <w:tc>
          <w:tcPr>
            <w:tcW w:w="1420" w:type="dxa"/>
            <w:vAlign w:val="bottom"/>
            <w:gridSpan w:val="2"/>
          </w:tcPr>
          <w:p>
            <w:pPr>
              <w:jc w:val="right"/>
              <w:ind w:right="180"/>
              <w:spacing w:after="0"/>
              <w:rPr>
                <w:sz w:val="20"/>
                <w:szCs w:val="20"/>
                <w:color w:val="auto"/>
              </w:rPr>
            </w:pPr>
            <w:r>
              <w:rPr>
                <w:rFonts w:ascii="Arial" w:cs="Arial" w:eastAsia="Arial" w:hAnsi="Arial"/>
                <w:sz w:val="13"/>
                <w:szCs w:val="13"/>
                <w:color w:val="auto"/>
              </w:rPr>
              <w:t>(757)</w:t>
            </w:r>
          </w:p>
        </w:tc>
        <w:tc>
          <w:tcPr>
            <w:tcW w:w="1300" w:type="dxa"/>
            <w:vAlign w:val="bottom"/>
            <w:gridSpan w:val="2"/>
          </w:tcPr>
          <w:p>
            <w:pPr>
              <w:jc w:val="right"/>
              <w:ind w:right="60"/>
              <w:spacing w:after="0"/>
              <w:rPr>
                <w:sz w:val="20"/>
                <w:szCs w:val="20"/>
                <w:color w:val="auto"/>
              </w:rPr>
            </w:pPr>
            <w:r>
              <w:rPr>
                <w:rFonts w:ascii="Arial" w:cs="Arial" w:eastAsia="Arial" w:hAnsi="Arial"/>
                <w:sz w:val="13"/>
                <w:szCs w:val="13"/>
                <w:color w:val="auto"/>
              </w:rPr>
              <w:t>(3,547)</w:t>
            </w:r>
          </w:p>
        </w:tc>
        <w:tc>
          <w:tcPr>
            <w:tcW w:w="0" w:type="dxa"/>
            <w:vAlign w:val="bottom"/>
          </w:tcPr>
          <w:p>
            <w:pPr>
              <w:spacing w:after="0"/>
              <w:rPr>
                <w:sz w:val="1"/>
                <w:szCs w:val="1"/>
                <w:color w:val="auto"/>
              </w:rPr>
            </w:pPr>
          </w:p>
        </w:tc>
      </w:tr>
      <w:tr>
        <w:trPr>
          <w:trHeight w:val="162"/>
        </w:trPr>
        <w:tc>
          <w:tcPr>
            <w:tcW w:w="3980" w:type="dxa"/>
            <w:vAlign w:val="bottom"/>
            <w:tcBorders>
              <w:top w:val="single" w:sz="8" w:color="CCEEFF"/>
              <w:bottom w:val="single" w:sz="8" w:color="CCEEFF"/>
            </w:tcBorders>
            <w:shd w:val="clear" w:color="auto" w:fill="CCEEFF"/>
          </w:tcPr>
          <w:p>
            <w:pPr>
              <w:spacing w:after="0"/>
              <w:rPr>
                <w:sz w:val="14"/>
                <w:szCs w:val="14"/>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1,975,174</w:t>
            </w: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340" w:type="dxa"/>
            <w:vAlign w:val="bottom"/>
            <w:tcBorders>
              <w:top w:val="single" w:sz="8" w:color="auto"/>
              <w:bottom w:val="single" w:sz="8" w:color="auto"/>
            </w:tcBorders>
            <w:shd w:val="clear" w:color="auto" w:fill="CCEEFF"/>
          </w:tcPr>
          <w:p>
            <w:pPr>
              <w:spacing w:after="0"/>
              <w:rPr>
                <w:sz w:val="14"/>
                <w:szCs w:val="14"/>
                <w:color w:val="auto"/>
              </w:rPr>
            </w:pP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45,930</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883,594</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613,748</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3,518,446</w:t>
            </w: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317"/>
        </w:trPr>
        <w:tc>
          <w:tcPr>
            <w:tcW w:w="3980" w:type="dxa"/>
            <w:vAlign w:val="bottom"/>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gridSpan w:val="2"/>
          </w:tcPr>
          <w:p>
            <w:pPr>
              <w:jc w:val="right"/>
              <w:ind w:right="340"/>
              <w:spacing w:after="0"/>
              <w:rPr>
                <w:sz w:val="20"/>
                <w:szCs w:val="20"/>
                <w:color w:val="auto"/>
              </w:rPr>
            </w:pPr>
            <w:r>
              <w:rPr>
                <w:rFonts w:ascii="Arial" w:cs="Arial" w:eastAsia="Arial" w:hAnsi="Arial"/>
                <w:sz w:val="13"/>
                <w:szCs w:val="13"/>
                <w:b w:val="1"/>
                <w:bCs w:val="1"/>
                <w:color w:val="auto"/>
                <w:w w:val="90"/>
              </w:rPr>
              <w:t>December 31, 2017</w:t>
            </w: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4"/>
        </w:trPr>
        <w:tc>
          <w:tcPr>
            <w:tcW w:w="3980" w:type="dxa"/>
            <w:vAlign w:val="bottom"/>
            <w:vMerge w:val="restart"/>
          </w:tcPr>
          <w:p>
            <w:pPr>
              <w:spacing w:after="0"/>
              <w:rPr>
                <w:sz w:val="20"/>
                <w:szCs w:val="20"/>
                <w:color w:val="auto"/>
              </w:rPr>
            </w:pPr>
            <w:r>
              <w:rPr>
                <w:rFonts w:ascii="Arial" w:cs="Arial" w:eastAsia="Arial" w:hAnsi="Arial"/>
                <w:sz w:val="13"/>
                <w:szCs w:val="13"/>
                <w:b w:val="1"/>
                <w:bCs w:val="1"/>
                <w:color w:val="auto"/>
              </w:rPr>
              <w:t>Carring amount</w:t>
            </w:r>
          </w:p>
        </w:tc>
        <w:tc>
          <w:tcPr>
            <w:tcW w:w="1800" w:type="dxa"/>
            <w:vAlign w:val="bottom"/>
            <w:tcBorders>
              <w:bottom w:val="single" w:sz="8" w:color="auto"/>
            </w:tcBorders>
            <w:gridSpan w:val="3"/>
          </w:tcPr>
          <w:p>
            <w:pPr>
              <w:ind w:left="1020"/>
              <w:spacing w:after="0"/>
              <w:rPr>
                <w:sz w:val="20"/>
                <w:szCs w:val="20"/>
                <w:color w:val="auto"/>
              </w:rPr>
            </w:pPr>
            <w:r>
              <w:rPr>
                <w:rFonts w:ascii="Arial" w:cs="Arial" w:eastAsia="Arial" w:hAnsi="Arial"/>
                <w:sz w:val="13"/>
                <w:szCs w:val="13"/>
                <w:b w:val="1"/>
                <w:bCs w:val="1"/>
                <w:color w:val="auto"/>
              </w:rPr>
              <w:t>Short-Term</w:t>
            </w:r>
          </w:p>
        </w:tc>
        <w:tc>
          <w:tcPr>
            <w:tcW w:w="880" w:type="dxa"/>
            <w:vAlign w:val="bottom"/>
            <w:tcBorders>
              <w:bottom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420" w:type="dxa"/>
            <w:vAlign w:val="bottom"/>
            <w:tcBorders>
              <w:bottom w:val="single" w:sz="8" w:color="auto"/>
            </w:tcBorders>
            <w:gridSpan w:val="2"/>
          </w:tcPr>
          <w:p>
            <w:pPr>
              <w:jc w:val="center"/>
              <w:ind w:right="220"/>
              <w:spacing w:after="0"/>
              <w:rPr>
                <w:sz w:val="20"/>
                <w:szCs w:val="20"/>
                <w:color w:val="auto"/>
              </w:rPr>
            </w:pPr>
            <w:r>
              <w:rPr>
                <w:rFonts w:ascii="Arial" w:cs="Arial" w:eastAsia="Arial" w:hAnsi="Arial"/>
                <w:sz w:val="13"/>
                <w:szCs w:val="13"/>
                <w:b w:val="1"/>
                <w:bCs w:val="1"/>
                <w:color w:val="auto"/>
                <w:w w:val="93"/>
              </w:rPr>
              <w:t>Long-term</w:t>
            </w:r>
          </w:p>
        </w:tc>
        <w:tc>
          <w:tcPr>
            <w:tcW w:w="120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3"/>
        </w:trPr>
        <w:tc>
          <w:tcPr>
            <w:tcW w:w="3980" w:type="dxa"/>
            <w:vAlign w:val="bottom"/>
            <w:vMerge w:val="continue"/>
          </w:tcPr>
          <w:p>
            <w:pPr>
              <w:spacing w:after="0"/>
              <w:rPr>
                <w:sz w:val="13"/>
                <w:szCs w:val="13"/>
                <w:color w:val="auto"/>
              </w:rPr>
            </w:pPr>
          </w:p>
        </w:tc>
        <w:tc>
          <w:tcPr>
            <w:tcW w:w="1800" w:type="dxa"/>
            <w:vAlign w:val="bottom"/>
            <w:gridSpan w:val="3"/>
          </w:tcPr>
          <w:p>
            <w:pPr>
              <w:ind w:left="300"/>
              <w:spacing w:after="0"/>
              <w:rPr>
                <w:sz w:val="20"/>
                <w:szCs w:val="20"/>
                <w:color w:val="auto"/>
              </w:rPr>
            </w:pPr>
            <w:r>
              <w:rPr>
                <w:rFonts w:ascii="Arial" w:cs="Arial" w:eastAsia="Arial" w:hAnsi="Arial"/>
                <w:sz w:val="13"/>
                <w:szCs w:val="13"/>
                <w:b w:val="1"/>
                <w:bCs w:val="1"/>
                <w:color w:val="auto"/>
              </w:rPr>
              <w:t>Borrowings</w:t>
            </w:r>
          </w:p>
        </w:tc>
        <w:tc>
          <w:tcPr>
            <w:tcW w:w="880" w:type="dxa"/>
            <w:vAlign w:val="bottom"/>
          </w:tcPr>
          <w:p>
            <w:pPr>
              <w:jc w:val="right"/>
              <w:ind w:right="416"/>
              <w:spacing w:after="0"/>
              <w:rPr>
                <w:sz w:val="20"/>
                <w:szCs w:val="20"/>
                <w:color w:val="auto"/>
              </w:rPr>
            </w:pPr>
            <w:r>
              <w:rPr>
                <w:rFonts w:ascii="Arial" w:cs="Arial" w:eastAsia="Arial" w:hAnsi="Arial"/>
                <w:sz w:val="13"/>
                <w:szCs w:val="13"/>
                <w:b w:val="1"/>
                <w:bCs w:val="1"/>
                <w:color w:val="auto"/>
              </w:rPr>
              <w:t>Debt</w:t>
            </w:r>
          </w:p>
        </w:tc>
        <w:tc>
          <w:tcPr>
            <w:tcW w:w="220" w:type="dxa"/>
            <w:vAlign w:val="bottom"/>
          </w:tcPr>
          <w:p>
            <w:pPr>
              <w:spacing w:after="0"/>
              <w:rPr>
                <w:sz w:val="13"/>
                <w:szCs w:val="13"/>
                <w:color w:val="auto"/>
              </w:rPr>
            </w:pPr>
          </w:p>
        </w:tc>
        <w:tc>
          <w:tcPr>
            <w:tcW w:w="1420" w:type="dxa"/>
            <w:vAlign w:val="bottom"/>
            <w:gridSpan w:val="2"/>
          </w:tcPr>
          <w:p>
            <w:pPr>
              <w:jc w:val="right"/>
              <w:ind w:right="500"/>
              <w:spacing w:after="0"/>
              <w:rPr>
                <w:sz w:val="20"/>
                <w:szCs w:val="20"/>
                <w:color w:val="auto"/>
              </w:rPr>
            </w:pPr>
            <w:r>
              <w:rPr>
                <w:rFonts w:ascii="Arial" w:cs="Arial" w:eastAsia="Arial" w:hAnsi="Arial"/>
                <w:sz w:val="13"/>
                <w:szCs w:val="13"/>
                <w:b w:val="1"/>
                <w:bCs w:val="1"/>
                <w:color w:val="auto"/>
              </w:rPr>
              <w:t>Borrowings</w:t>
            </w:r>
          </w:p>
        </w:tc>
        <w:tc>
          <w:tcPr>
            <w:tcW w:w="14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9"/>
              </w:rPr>
              <w:t>Debt</w:t>
            </w:r>
          </w:p>
        </w:tc>
        <w:tc>
          <w:tcPr>
            <w:tcW w:w="1200" w:type="dxa"/>
            <w:vAlign w:val="bottom"/>
          </w:tcPr>
          <w:p>
            <w:pPr>
              <w:jc w:val="right"/>
              <w:ind w:right="396"/>
              <w:spacing w:after="0"/>
              <w:rPr>
                <w:sz w:val="20"/>
                <w:szCs w:val="20"/>
                <w:color w:val="auto"/>
              </w:rPr>
            </w:pPr>
            <w:r>
              <w:rPr>
                <w:rFonts w:ascii="Arial" w:cs="Arial" w:eastAsia="Arial" w:hAnsi="Arial"/>
                <w:sz w:val="13"/>
                <w:szCs w:val="13"/>
                <w:b w:val="1"/>
                <w:bCs w:val="1"/>
                <w:color w:val="auto"/>
              </w:rPr>
              <w:t>Total</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3980" w:type="dxa"/>
            <w:vAlign w:val="bottom"/>
            <w:tcBorders>
              <w:top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Principal</w:t>
            </w:r>
          </w:p>
        </w:tc>
        <w:tc>
          <w:tcPr>
            <w:tcW w:w="12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1,062,223</w:t>
            </w:r>
          </w:p>
        </w:tc>
        <w:tc>
          <w:tcPr>
            <w:tcW w:w="240" w:type="dxa"/>
            <w:vAlign w:val="bottom"/>
            <w:tcBorders>
              <w:top w:val="single" w:sz="8" w:color="CCEEFF"/>
            </w:tcBorders>
            <w:shd w:val="clear" w:color="auto" w:fill="CCEEFF"/>
          </w:tcPr>
          <w:p>
            <w:pPr>
              <w:spacing w:after="0"/>
              <w:rPr>
                <w:sz w:val="12"/>
                <w:szCs w:val="12"/>
                <w:color w:val="auto"/>
              </w:rPr>
            </w:pPr>
          </w:p>
        </w:tc>
        <w:tc>
          <w:tcPr>
            <w:tcW w:w="340" w:type="dxa"/>
            <w:vAlign w:val="bottom"/>
            <w:tcBorders>
              <w:top w:val="single" w:sz="8" w:color="auto"/>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10,500</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423,011</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720,044</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2,215,778</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4"/>
        </w:trPr>
        <w:tc>
          <w:tcPr>
            <w:tcW w:w="3980" w:type="dxa"/>
            <w:vAlign w:val="bottom"/>
          </w:tcPr>
          <w:p>
            <w:pPr>
              <w:spacing w:after="0"/>
              <w:rPr>
                <w:sz w:val="20"/>
                <w:szCs w:val="20"/>
                <w:color w:val="auto"/>
              </w:rPr>
            </w:pPr>
            <w:r>
              <w:rPr>
                <w:rFonts w:ascii="Arial" w:cs="Arial" w:eastAsia="Arial" w:hAnsi="Arial"/>
                <w:sz w:val="13"/>
                <w:szCs w:val="13"/>
                <w:color w:val="auto"/>
              </w:rPr>
              <w:t>Prepaid commissions</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340" w:type="dxa"/>
            <w:vAlign w:val="bottom"/>
          </w:tcPr>
          <w:p>
            <w:pPr>
              <w:spacing w:after="0"/>
              <w:rPr>
                <w:sz w:val="14"/>
                <w:szCs w:val="14"/>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420" w:type="dxa"/>
            <w:vAlign w:val="bottom"/>
            <w:gridSpan w:val="2"/>
          </w:tcPr>
          <w:p>
            <w:pPr>
              <w:jc w:val="right"/>
              <w:ind w:right="180"/>
              <w:spacing w:after="0"/>
              <w:rPr>
                <w:sz w:val="20"/>
                <w:szCs w:val="20"/>
                <w:color w:val="auto"/>
              </w:rPr>
            </w:pPr>
            <w:r>
              <w:rPr>
                <w:rFonts w:ascii="Arial" w:cs="Arial" w:eastAsia="Arial" w:hAnsi="Arial"/>
                <w:sz w:val="13"/>
                <w:szCs w:val="13"/>
                <w:color w:val="auto"/>
              </w:rPr>
              <w:t>(2,790)</w:t>
            </w:r>
          </w:p>
        </w:tc>
        <w:tc>
          <w:tcPr>
            <w:tcW w:w="1420" w:type="dxa"/>
            <w:vAlign w:val="bottom"/>
            <w:gridSpan w:val="2"/>
          </w:tcPr>
          <w:p>
            <w:pPr>
              <w:jc w:val="right"/>
              <w:ind w:right="180"/>
              <w:spacing w:after="0"/>
              <w:rPr>
                <w:sz w:val="20"/>
                <w:szCs w:val="20"/>
                <w:color w:val="auto"/>
              </w:rPr>
            </w:pPr>
            <w:r>
              <w:rPr>
                <w:rFonts w:ascii="Arial" w:cs="Arial" w:eastAsia="Arial" w:hAnsi="Arial"/>
                <w:sz w:val="13"/>
                <w:szCs w:val="13"/>
                <w:color w:val="auto"/>
              </w:rPr>
              <w:t>(1,421)</w:t>
            </w:r>
          </w:p>
        </w:tc>
        <w:tc>
          <w:tcPr>
            <w:tcW w:w="1300" w:type="dxa"/>
            <w:vAlign w:val="bottom"/>
            <w:gridSpan w:val="2"/>
          </w:tcPr>
          <w:p>
            <w:pPr>
              <w:jc w:val="right"/>
              <w:ind w:right="60"/>
              <w:spacing w:after="0"/>
              <w:rPr>
                <w:sz w:val="20"/>
                <w:szCs w:val="20"/>
                <w:color w:val="auto"/>
              </w:rPr>
            </w:pPr>
            <w:r>
              <w:rPr>
                <w:rFonts w:ascii="Arial" w:cs="Arial" w:eastAsia="Arial" w:hAnsi="Arial"/>
                <w:sz w:val="13"/>
                <w:szCs w:val="13"/>
                <w:color w:val="auto"/>
              </w:rPr>
              <w:t>(4,211)</w:t>
            </w:r>
          </w:p>
        </w:tc>
        <w:tc>
          <w:tcPr>
            <w:tcW w:w="0" w:type="dxa"/>
            <w:vAlign w:val="bottom"/>
          </w:tcPr>
          <w:p>
            <w:pPr>
              <w:spacing w:after="0"/>
              <w:rPr>
                <w:sz w:val="1"/>
                <w:szCs w:val="1"/>
                <w:color w:val="auto"/>
              </w:rPr>
            </w:pPr>
          </w:p>
        </w:tc>
      </w:tr>
      <w:tr>
        <w:trPr>
          <w:trHeight w:val="162"/>
        </w:trPr>
        <w:tc>
          <w:tcPr>
            <w:tcW w:w="3980" w:type="dxa"/>
            <w:vAlign w:val="bottom"/>
            <w:tcBorders>
              <w:top w:val="single" w:sz="8" w:color="CCEEFF"/>
              <w:bottom w:val="single" w:sz="8" w:color="CCEEFF"/>
            </w:tcBorders>
            <w:shd w:val="clear" w:color="auto" w:fill="CCEEFF"/>
          </w:tcPr>
          <w:p>
            <w:pPr>
              <w:spacing w:after="0"/>
              <w:rPr>
                <w:sz w:val="14"/>
                <w:szCs w:val="14"/>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1,062,223</w:t>
            </w: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340" w:type="dxa"/>
            <w:vAlign w:val="bottom"/>
            <w:tcBorders>
              <w:top w:val="single" w:sz="8" w:color="auto"/>
              <w:bottom w:val="single" w:sz="8" w:color="auto"/>
            </w:tcBorders>
            <w:shd w:val="clear" w:color="auto" w:fill="CCEEFF"/>
          </w:tcPr>
          <w:p>
            <w:pPr>
              <w:spacing w:after="0"/>
              <w:rPr>
                <w:sz w:val="14"/>
                <w:szCs w:val="14"/>
                <w:color w:val="auto"/>
              </w:rPr>
            </w:pP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10,500</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420,221</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718,623</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2,211,567</w:t>
            </w: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bl>
    <w:p>
      <w:pPr>
        <w:spacing w:after="0" w:line="141" w:lineRule="exact"/>
        <w:rPr>
          <w:sz w:val="20"/>
          <w:szCs w:val="20"/>
          <w:color w:val="auto"/>
        </w:rPr>
      </w:pPr>
    </w:p>
    <w:p>
      <w:pPr>
        <w:ind w:left="223"/>
        <w:spacing w:after="0"/>
        <w:rPr>
          <w:sz w:val="20"/>
          <w:szCs w:val="20"/>
          <w:color w:val="auto"/>
        </w:rPr>
      </w:pPr>
      <w:r>
        <w:rPr>
          <w:rFonts w:ascii="Arial" w:cs="Arial" w:eastAsia="Arial" w:hAnsi="Arial"/>
          <w:sz w:val="13"/>
          <w:szCs w:val="13"/>
          <w:b w:val="1"/>
          <w:bCs w:val="1"/>
          <w:color w:val="auto"/>
        </w:rPr>
        <w:t>Short-term borrowings and debt</w:t>
      </w:r>
    </w:p>
    <w:p>
      <w:pPr>
        <w:spacing w:after="0" w:line="163" w:lineRule="exact"/>
        <w:rPr>
          <w:sz w:val="20"/>
          <w:szCs w:val="20"/>
          <w:color w:val="auto"/>
        </w:rPr>
      </w:pPr>
    </w:p>
    <w:p>
      <w:pPr>
        <w:ind w:left="223"/>
        <w:spacing w:after="0"/>
        <w:rPr>
          <w:sz w:val="20"/>
          <w:szCs w:val="20"/>
          <w:color w:val="auto"/>
        </w:rPr>
      </w:pPr>
      <w:r>
        <w:rPr>
          <w:rFonts w:ascii="Arial" w:cs="Arial" w:eastAsia="Arial" w:hAnsi="Arial"/>
          <w:sz w:val="13"/>
          <w:szCs w:val="13"/>
          <w:color w:val="auto"/>
        </w:rPr>
        <w:t>The breakdown of short-term (original maturity of less than one year) borrowings and debt, along with contractual interest rates, is as follows:</w:t>
      </w:r>
    </w:p>
    <w:p>
      <w:pPr>
        <w:spacing w:after="0" w:line="155" w:lineRule="exact"/>
        <w:rPr>
          <w:sz w:val="20"/>
          <w:szCs w:val="20"/>
          <w:color w:val="auto"/>
        </w:rPr>
      </w:pPr>
    </w:p>
    <w:tbl>
      <w:tblPr>
        <w:tblLayout w:type="fixed"/>
        <w:tblInd w:w="3" w:type="dxa"/>
        <w:tblCellMar>
          <w:top w:w="0" w:type="dxa"/>
          <w:left w:w="0" w:type="dxa"/>
          <w:bottom w:w="0" w:type="dxa"/>
          <w:right w:w="0" w:type="dxa"/>
        </w:tblCellMar>
      </w:tblPr>
      <w:tr>
        <w:trPr>
          <w:trHeight w:val="164"/>
        </w:trPr>
        <w:tc>
          <w:tcPr>
            <w:tcW w:w="220" w:type="dxa"/>
            <w:vAlign w:val="bottom"/>
          </w:tcPr>
          <w:p>
            <w:pPr>
              <w:spacing w:after="0"/>
              <w:rPr>
                <w:sz w:val="14"/>
                <w:szCs w:val="14"/>
                <w:color w:val="auto"/>
              </w:rPr>
            </w:pPr>
          </w:p>
        </w:tc>
        <w:tc>
          <w:tcPr>
            <w:tcW w:w="4440" w:type="dxa"/>
            <w:vAlign w:val="bottom"/>
          </w:tcPr>
          <w:p>
            <w:pPr>
              <w:spacing w:after="0"/>
              <w:rPr>
                <w:sz w:val="14"/>
                <w:szCs w:val="14"/>
                <w:color w:val="auto"/>
              </w:rPr>
            </w:pPr>
          </w:p>
        </w:tc>
        <w:tc>
          <w:tcPr>
            <w:tcW w:w="3400" w:type="dxa"/>
            <w:vAlign w:val="bottom"/>
          </w:tcPr>
          <w:p>
            <w:pPr>
              <w:spacing w:after="0"/>
              <w:rPr>
                <w:sz w:val="14"/>
                <w:szCs w:val="14"/>
                <w:color w:val="auto"/>
              </w:rPr>
            </w:pPr>
          </w:p>
        </w:tc>
        <w:tc>
          <w:tcPr>
            <w:tcW w:w="1640" w:type="dxa"/>
            <w:vAlign w:val="bottom"/>
            <w:gridSpan w:val="2"/>
          </w:tcPr>
          <w:p>
            <w:pPr>
              <w:ind w:left="340"/>
              <w:spacing w:after="0"/>
              <w:rPr>
                <w:sz w:val="20"/>
                <w:szCs w:val="20"/>
                <w:color w:val="auto"/>
              </w:rPr>
            </w:pPr>
            <w:r>
              <w:rPr>
                <w:rFonts w:ascii="Arial" w:cs="Arial" w:eastAsia="Arial" w:hAnsi="Arial"/>
                <w:sz w:val="13"/>
                <w:szCs w:val="13"/>
                <w:b w:val="1"/>
                <w:bCs w:val="1"/>
                <w:color w:val="auto"/>
              </w:rPr>
              <w:t>December 31,</w:t>
            </w:r>
          </w:p>
        </w:tc>
        <w:tc>
          <w:tcPr>
            <w:tcW w:w="1540" w:type="dxa"/>
            <w:vAlign w:val="bottom"/>
            <w:gridSpan w:val="2"/>
          </w:tcPr>
          <w:p>
            <w:pPr>
              <w:ind w:left="340"/>
              <w:spacing w:after="0"/>
              <w:rPr>
                <w:sz w:val="20"/>
                <w:szCs w:val="20"/>
                <w:color w:val="auto"/>
              </w:rPr>
            </w:pPr>
            <w:r>
              <w:rPr>
                <w:rFonts w:ascii="Arial" w:cs="Arial" w:eastAsia="Arial" w:hAnsi="Arial"/>
                <w:sz w:val="13"/>
                <w:szCs w:val="13"/>
                <w:b w:val="1"/>
                <w:bCs w:val="1"/>
                <w:color w:val="auto"/>
              </w:rPr>
              <w:t>December 31,</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6"/>
        </w:trPr>
        <w:tc>
          <w:tcPr>
            <w:tcW w:w="220" w:type="dxa"/>
            <w:vAlign w:val="bottom"/>
          </w:tcPr>
          <w:p>
            <w:pPr>
              <w:spacing w:after="0"/>
              <w:rPr>
                <w:sz w:val="14"/>
                <w:szCs w:val="14"/>
                <w:color w:val="auto"/>
              </w:rPr>
            </w:pPr>
          </w:p>
        </w:tc>
        <w:tc>
          <w:tcPr>
            <w:tcW w:w="4440" w:type="dxa"/>
            <w:vAlign w:val="bottom"/>
          </w:tcPr>
          <w:p>
            <w:pPr>
              <w:spacing w:after="0"/>
              <w:rPr>
                <w:sz w:val="14"/>
                <w:szCs w:val="14"/>
                <w:color w:val="auto"/>
              </w:rPr>
            </w:pPr>
          </w:p>
        </w:tc>
        <w:tc>
          <w:tcPr>
            <w:tcW w:w="4840" w:type="dxa"/>
            <w:vAlign w:val="bottom"/>
            <w:gridSpan w:val="2"/>
          </w:tcPr>
          <w:p>
            <w:pPr>
              <w:jc w:val="right"/>
              <w:ind w:right="536"/>
              <w:spacing w:after="0"/>
              <w:rPr>
                <w:sz w:val="20"/>
                <w:szCs w:val="20"/>
                <w:color w:val="auto"/>
              </w:rPr>
            </w:pPr>
            <w:r>
              <w:rPr>
                <w:rFonts w:ascii="Arial" w:cs="Arial" w:eastAsia="Arial" w:hAnsi="Arial"/>
                <w:sz w:val="13"/>
                <w:szCs w:val="13"/>
                <w:b w:val="1"/>
                <w:bCs w:val="1"/>
                <w:color w:val="auto"/>
              </w:rPr>
              <w:t>2018</w:t>
            </w:r>
          </w:p>
        </w:tc>
        <w:tc>
          <w:tcPr>
            <w:tcW w:w="200" w:type="dxa"/>
            <w:vAlign w:val="bottom"/>
          </w:tcPr>
          <w:p>
            <w:pPr>
              <w:spacing w:after="0"/>
              <w:rPr>
                <w:sz w:val="14"/>
                <w:szCs w:val="14"/>
                <w:color w:val="auto"/>
              </w:rPr>
            </w:pPr>
          </w:p>
        </w:tc>
        <w:tc>
          <w:tcPr>
            <w:tcW w:w="1440" w:type="dxa"/>
            <w:vAlign w:val="bottom"/>
          </w:tcPr>
          <w:p>
            <w:pPr>
              <w:ind w:left="600"/>
              <w:spacing w:after="0"/>
              <w:rPr>
                <w:sz w:val="20"/>
                <w:szCs w:val="20"/>
                <w:color w:val="auto"/>
              </w:rPr>
            </w:pPr>
            <w:r>
              <w:rPr>
                <w:rFonts w:ascii="Arial" w:cs="Arial" w:eastAsia="Arial" w:hAnsi="Arial"/>
                <w:sz w:val="13"/>
                <w:szCs w:val="13"/>
                <w:b w:val="1"/>
                <w:bCs w:val="1"/>
                <w:color w:val="auto"/>
              </w:rPr>
              <w:t>2017</w:t>
            </w:r>
          </w:p>
        </w:tc>
        <w:tc>
          <w:tcPr>
            <w:tcW w:w="1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44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Short-term borrowings:</w:t>
            </w:r>
          </w:p>
        </w:tc>
        <w:tc>
          <w:tcPr>
            <w:tcW w:w="3400" w:type="dxa"/>
            <w:vAlign w:val="bottom"/>
            <w:tcBorders>
              <w:top w:val="single" w:sz="8" w:color="CCEEFF"/>
            </w:tcBorders>
            <w:shd w:val="clear" w:color="auto" w:fill="CCEEFF"/>
          </w:tcPr>
          <w:p>
            <w:pPr>
              <w:spacing w:after="0"/>
              <w:rPr>
                <w:sz w:val="12"/>
                <w:szCs w:val="12"/>
                <w:color w:val="auto"/>
              </w:rPr>
            </w:pPr>
          </w:p>
        </w:tc>
        <w:tc>
          <w:tcPr>
            <w:tcW w:w="144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44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40" w:type="dxa"/>
            <w:vAlign w:val="bottom"/>
          </w:tcPr>
          <w:p>
            <w:pPr>
              <w:spacing w:after="0"/>
              <w:rPr>
                <w:sz w:val="20"/>
                <w:szCs w:val="20"/>
                <w:color w:val="auto"/>
              </w:rPr>
            </w:pPr>
            <w:r>
              <w:rPr>
                <w:rFonts w:ascii="Arial" w:cs="Arial" w:eastAsia="Arial" w:hAnsi="Arial"/>
                <w:sz w:val="13"/>
                <w:szCs w:val="13"/>
                <w:color w:val="auto"/>
              </w:rPr>
              <w:t>At fixed interest rates</w:t>
            </w:r>
          </w:p>
        </w:tc>
        <w:tc>
          <w:tcPr>
            <w:tcW w:w="5040" w:type="dxa"/>
            <w:vAlign w:val="bottom"/>
            <w:gridSpan w:val="3"/>
          </w:tcPr>
          <w:p>
            <w:pPr>
              <w:jc w:val="right"/>
              <w:ind w:right="200"/>
              <w:spacing w:after="0"/>
              <w:rPr>
                <w:sz w:val="20"/>
                <w:szCs w:val="20"/>
                <w:color w:val="auto"/>
              </w:rPr>
            </w:pPr>
            <w:r>
              <w:rPr>
                <w:rFonts w:ascii="Arial" w:cs="Arial" w:eastAsia="Arial" w:hAnsi="Arial"/>
                <w:sz w:val="13"/>
                <w:szCs w:val="13"/>
                <w:color w:val="auto"/>
              </w:rPr>
              <w:t>695,500</w:t>
            </w:r>
          </w:p>
        </w:tc>
        <w:tc>
          <w:tcPr>
            <w:tcW w:w="1540" w:type="dxa"/>
            <w:vAlign w:val="bottom"/>
            <w:gridSpan w:val="2"/>
          </w:tcPr>
          <w:p>
            <w:pPr>
              <w:jc w:val="right"/>
              <w:ind w:right="100"/>
              <w:spacing w:after="0"/>
              <w:rPr>
                <w:sz w:val="20"/>
                <w:szCs w:val="20"/>
                <w:color w:val="auto"/>
              </w:rPr>
            </w:pPr>
            <w:r>
              <w:rPr>
                <w:rFonts w:ascii="Arial" w:cs="Arial" w:eastAsia="Arial" w:hAnsi="Arial"/>
                <w:sz w:val="13"/>
                <w:szCs w:val="13"/>
                <w:color w:val="auto"/>
              </w:rPr>
              <w:t>429,069</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440" w:type="dxa"/>
            <w:vAlign w:val="bottom"/>
            <w:shd w:val="clear" w:color="auto" w:fill="CCEEFF"/>
          </w:tcPr>
          <w:p>
            <w:pPr>
              <w:spacing w:after="0"/>
              <w:rPr>
                <w:sz w:val="20"/>
                <w:szCs w:val="20"/>
                <w:color w:val="auto"/>
              </w:rPr>
            </w:pPr>
            <w:r>
              <w:rPr>
                <w:rFonts w:ascii="Arial" w:cs="Arial" w:eastAsia="Arial" w:hAnsi="Arial"/>
                <w:sz w:val="13"/>
                <w:szCs w:val="13"/>
                <w:color w:val="auto"/>
              </w:rPr>
              <w:t>At floating interest rates</w:t>
            </w:r>
          </w:p>
        </w:tc>
        <w:tc>
          <w:tcPr>
            <w:tcW w:w="5040" w:type="dxa"/>
            <w:vAlign w:val="bottom"/>
            <w:gridSpan w:val="3"/>
            <w:shd w:val="clear" w:color="auto" w:fill="CCEEFF"/>
          </w:tcPr>
          <w:p>
            <w:pPr>
              <w:jc w:val="right"/>
              <w:ind w:right="200"/>
              <w:spacing w:after="0"/>
              <w:rPr>
                <w:sz w:val="20"/>
                <w:szCs w:val="20"/>
                <w:color w:val="auto"/>
              </w:rPr>
            </w:pPr>
            <w:r>
              <w:rPr>
                <w:rFonts w:ascii="Arial" w:cs="Arial" w:eastAsia="Arial" w:hAnsi="Arial"/>
                <w:sz w:val="13"/>
                <w:szCs w:val="13"/>
                <w:color w:val="auto"/>
              </w:rPr>
              <w:t>1,279,674</w:t>
            </w:r>
          </w:p>
        </w:tc>
        <w:tc>
          <w:tcPr>
            <w:tcW w:w="15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633,154</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440" w:type="dxa"/>
            <w:vAlign w:val="bottom"/>
            <w:tcBorders>
              <w:bottom w:val="single" w:sz="8" w:color="CCEEFF"/>
            </w:tcBorders>
          </w:tcPr>
          <w:p>
            <w:pPr>
              <w:spacing w:after="0" w:line="143" w:lineRule="exact"/>
              <w:rPr>
                <w:sz w:val="20"/>
                <w:szCs w:val="20"/>
                <w:color w:val="auto"/>
              </w:rPr>
            </w:pPr>
            <w:r>
              <w:rPr>
                <w:rFonts w:ascii="Arial" w:cs="Arial" w:eastAsia="Arial" w:hAnsi="Arial"/>
                <w:sz w:val="13"/>
                <w:szCs w:val="13"/>
                <w:color w:val="auto"/>
              </w:rPr>
              <w:t>Total borrowings</w:t>
            </w:r>
          </w:p>
        </w:tc>
        <w:tc>
          <w:tcPr>
            <w:tcW w:w="3400" w:type="dxa"/>
            <w:vAlign w:val="bottom"/>
            <w:tcBorders>
              <w:bottom w:val="single" w:sz="8" w:color="CCEEFF"/>
            </w:tcBorders>
          </w:tcPr>
          <w:p>
            <w:pPr>
              <w:spacing w:after="0"/>
              <w:rPr>
                <w:sz w:val="12"/>
                <w:szCs w:val="12"/>
                <w:color w:val="auto"/>
              </w:rPr>
            </w:pPr>
          </w:p>
        </w:tc>
        <w:tc>
          <w:tcPr>
            <w:tcW w:w="14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1,975,174</w:t>
            </w:r>
          </w:p>
        </w:tc>
        <w:tc>
          <w:tcPr>
            <w:tcW w:w="200" w:type="dxa"/>
            <w:vAlign w:val="bottom"/>
            <w:tcBorders>
              <w:bottom w:val="single" w:sz="8" w:color="CCEEFF"/>
            </w:tcBorders>
          </w:tcPr>
          <w:p>
            <w:pPr>
              <w:spacing w:after="0"/>
              <w:rPr>
                <w:sz w:val="12"/>
                <w:szCs w:val="12"/>
                <w:color w:val="auto"/>
              </w:rPr>
            </w:pPr>
          </w:p>
        </w:tc>
        <w:tc>
          <w:tcPr>
            <w:tcW w:w="14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1,062,223</w:t>
            </w:r>
          </w:p>
        </w:tc>
        <w:tc>
          <w:tcPr>
            <w:tcW w:w="100" w:type="dxa"/>
            <w:vAlign w:val="bottom"/>
            <w:tcBorders>
              <w:bottom w:val="single" w:sz="8" w:color="CCEEFF"/>
            </w:tcBorders>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440" w:type="dxa"/>
            <w:vAlign w:val="bottom"/>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Short-term debt:</w:t>
            </w:r>
          </w:p>
        </w:tc>
        <w:tc>
          <w:tcPr>
            <w:tcW w:w="3400" w:type="dxa"/>
            <w:vAlign w:val="bottom"/>
            <w:shd w:val="clear" w:color="auto" w:fill="CCEEFF"/>
          </w:tcPr>
          <w:p>
            <w:pPr>
              <w:spacing w:after="0"/>
              <w:rPr>
                <w:sz w:val="12"/>
                <w:szCs w:val="12"/>
                <w:color w:val="auto"/>
              </w:rPr>
            </w:pPr>
          </w:p>
        </w:tc>
        <w:tc>
          <w:tcPr>
            <w:tcW w:w="14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4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40" w:type="dxa"/>
            <w:vAlign w:val="bottom"/>
          </w:tcPr>
          <w:p>
            <w:pPr>
              <w:spacing w:after="0"/>
              <w:rPr>
                <w:sz w:val="20"/>
                <w:szCs w:val="20"/>
                <w:color w:val="auto"/>
              </w:rPr>
            </w:pPr>
            <w:r>
              <w:rPr>
                <w:rFonts w:ascii="Arial" w:cs="Arial" w:eastAsia="Arial" w:hAnsi="Arial"/>
                <w:sz w:val="13"/>
                <w:szCs w:val="13"/>
                <w:color w:val="auto"/>
              </w:rPr>
              <w:t>At fixed interest rates</w:t>
            </w:r>
          </w:p>
        </w:tc>
        <w:tc>
          <w:tcPr>
            <w:tcW w:w="5040" w:type="dxa"/>
            <w:vAlign w:val="bottom"/>
            <w:gridSpan w:val="3"/>
          </w:tcPr>
          <w:p>
            <w:pPr>
              <w:jc w:val="right"/>
              <w:ind w:right="200"/>
              <w:spacing w:after="0"/>
              <w:rPr>
                <w:sz w:val="20"/>
                <w:szCs w:val="20"/>
                <w:color w:val="auto"/>
              </w:rPr>
            </w:pPr>
            <w:r>
              <w:rPr>
                <w:rFonts w:ascii="Arial" w:cs="Arial" w:eastAsia="Arial" w:hAnsi="Arial"/>
                <w:sz w:val="13"/>
                <w:szCs w:val="13"/>
                <w:color w:val="auto"/>
              </w:rPr>
              <w:t>2,700</w:t>
            </w:r>
          </w:p>
        </w:tc>
        <w:tc>
          <w:tcPr>
            <w:tcW w:w="1540" w:type="dxa"/>
            <w:vAlign w:val="bottom"/>
            <w:gridSpan w:val="2"/>
          </w:tcPr>
          <w:p>
            <w:pPr>
              <w:jc w:val="right"/>
              <w:ind w:right="100"/>
              <w:spacing w:after="0"/>
              <w:rPr>
                <w:sz w:val="20"/>
                <w:szCs w:val="20"/>
                <w:color w:val="auto"/>
              </w:rPr>
            </w:pPr>
            <w:r>
              <w:rPr>
                <w:rFonts w:ascii="Arial" w:cs="Arial" w:eastAsia="Arial" w:hAnsi="Arial"/>
                <w:sz w:val="13"/>
                <w:szCs w:val="13"/>
                <w:color w:val="auto"/>
              </w:rPr>
              <w:t>10,500</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440" w:type="dxa"/>
            <w:vAlign w:val="bottom"/>
            <w:shd w:val="clear" w:color="auto" w:fill="CCEEFF"/>
          </w:tcPr>
          <w:p>
            <w:pPr>
              <w:spacing w:after="0"/>
              <w:rPr>
                <w:sz w:val="20"/>
                <w:szCs w:val="20"/>
                <w:color w:val="auto"/>
              </w:rPr>
            </w:pPr>
            <w:r>
              <w:rPr>
                <w:rFonts w:ascii="Arial" w:cs="Arial" w:eastAsia="Arial" w:hAnsi="Arial"/>
                <w:sz w:val="13"/>
                <w:szCs w:val="13"/>
                <w:color w:val="auto"/>
              </w:rPr>
              <w:t>At floating interest rates</w:t>
            </w:r>
          </w:p>
        </w:tc>
        <w:tc>
          <w:tcPr>
            <w:tcW w:w="5040" w:type="dxa"/>
            <w:vAlign w:val="bottom"/>
            <w:gridSpan w:val="3"/>
            <w:shd w:val="clear" w:color="auto" w:fill="CCEEFF"/>
          </w:tcPr>
          <w:p>
            <w:pPr>
              <w:jc w:val="right"/>
              <w:ind w:right="200"/>
              <w:spacing w:after="0"/>
              <w:rPr>
                <w:sz w:val="20"/>
                <w:szCs w:val="20"/>
                <w:color w:val="auto"/>
              </w:rPr>
            </w:pPr>
            <w:r>
              <w:rPr>
                <w:rFonts w:ascii="Arial" w:cs="Arial" w:eastAsia="Arial" w:hAnsi="Arial"/>
                <w:sz w:val="13"/>
                <w:szCs w:val="13"/>
                <w:color w:val="auto"/>
              </w:rPr>
              <w:t>43,230</w:t>
            </w:r>
          </w:p>
        </w:tc>
        <w:tc>
          <w:tcPr>
            <w:tcW w:w="15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440" w:type="dxa"/>
            <w:vAlign w:val="bottom"/>
            <w:tcBorders>
              <w:bottom w:val="single" w:sz="8" w:color="CCEEFF"/>
            </w:tcBorders>
          </w:tcPr>
          <w:p>
            <w:pPr>
              <w:spacing w:after="0" w:line="143" w:lineRule="exact"/>
              <w:rPr>
                <w:sz w:val="20"/>
                <w:szCs w:val="20"/>
                <w:color w:val="auto"/>
              </w:rPr>
            </w:pPr>
            <w:r>
              <w:rPr>
                <w:rFonts w:ascii="Arial" w:cs="Arial" w:eastAsia="Arial" w:hAnsi="Arial"/>
                <w:sz w:val="13"/>
                <w:szCs w:val="13"/>
                <w:color w:val="auto"/>
              </w:rPr>
              <w:t>Total debt</w:t>
            </w:r>
          </w:p>
        </w:tc>
        <w:tc>
          <w:tcPr>
            <w:tcW w:w="3400" w:type="dxa"/>
            <w:vAlign w:val="bottom"/>
            <w:tcBorders>
              <w:bottom w:val="single" w:sz="8" w:color="CCEEFF"/>
            </w:tcBorders>
          </w:tcPr>
          <w:p>
            <w:pPr>
              <w:spacing w:after="0"/>
              <w:rPr>
                <w:sz w:val="12"/>
                <w:szCs w:val="12"/>
                <w:color w:val="auto"/>
              </w:rPr>
            </w:pPr>
          </w:p>
        </w:tc>
        <w:tc>
          <w:tcPr>
            <w:tcW w:w="14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45,930</w:t>
            </w:r>
          </w:p>
        </w:tc>
        <w:tc>
          <w:tcPr>
            <w:tcW w:w="200" w:type="dxa"/>
            <w:vAlign w:val="bottom"/>
            <w:tcBorders>
              <w:bottom w:val="single" w:sz="8" w:color="CCEEFF"/>
            </w:tcBorders>
          </w:tcPr>
          <w:p>
            <w:pPr>
              <w:spacing w:after="0"/>
              <w:rPr>
                <w:sz w:val="12"/>
                <w:szCs w:val="12"/>
                <w:color w:val="auto"/>
              </w:rPr>
            </w:pPr>
          </w:p>
        </w:tc>
        <w:tc>
          <w:tcPr>
            <w:tcW w:w="14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10,500</w:t>
            </w:r>
          </w:p>
        </w:tc>
        <w:tc>
          <w:tcPr>
            <w:tcW w:w="100" w:type="dxa"/>
            <w:vAlign w:val="bottom"/>
            <w:tcBorders>
              <w:bottom w:val="single" w:sz="8" w:color="CCEEFF"/>
            </w:tcBorders>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4440" w:type="dxa"/>
            <w:vAlign w:val="bottom"/>
            <w:tcBorders>
              <w:bottom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Total short-term borrowings and debt</w:t>
            </w:r>
          </w:p>
        </w:tc>
        <w:tc>
          <w:tcPr>
            <w:tcW w:w="3400" w:type="dxa"/>
            <w:vAlign w:val="bottom"/>
            <w:tcBorders>
              <w:bottom w:val="single" w:sz="8" w:color="CCEEFF"/>
            </w:tcBorders>
            <w:shd w:val="clear" w:color="auto" w:fill="CCEEFF"/>
          </w:tcPr>
          <w:p>
            <w:pPr>
              <w:spacing w:after="0"/>
              <w:rPr>
                <w:sz w:val="14"/>
                <w:szCs w:val="14"/>
                <w:color w:val="auto"/>
              </w:rPr>
            </w:pPr>
          </w:p>
        </w:tc>
        <w:tc>
          <w:tcPr>
            <w:tcW w:w="14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2,021,104</w:t>
            </w:r>
          </w:p>
        </w:tc>
        <w:tc>
          <w:tcPr>
            <w:tcW w:w="200" w:type="dxa"/>
            <w:vAlign w:val="bottom"/>
            <w:tcBorders>
              <w:bottom w:val="single" w:sz="8" w:color="CCEEFF"/>
            </w:tcBorders>
            <w:shd w:val="clear" w:color="auto" w:fill="CCEEFF"/>
          </w:tcPr>
          <w:p>
            <w:pPr>
              <w:spacing w:after="0"/>
              <w:rPr>
                <w:sz w:val="14"/>
                <w:szCs w:val="14"/>
                <w:color w:val="auto"/>
              </w:rPr>
            </w:pPr>
          </w:p>
        </w:tc>
        <w:tc>
          <w:tcPr>
            <w:tcW w:w="14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1,072,723</w:t>
            </w:r>
          </w:p>
        </w:tc>
        <w:tc>
          <w:tcPr>
            <w:tcW w:w="100" w:type="dxa"/>
            <w:vAlign w:val="bottom"/>
            <w:tcBorders>
              <w:bottom w:val="single" w:sz="8" w:color="CCEEFF"/>
            </w:tcBorders>
            <w:shd w:val="clear" w:color="auto" w:fill="CCEEFF"/>
          </w:tcPr>
          <w:p>
            <w:pPr>
              <w:spacing w:after="0"/>
              <w:rPr>
                <w:sz w:val="14"/>
                <w:szCs w:val="14"/>
                <w:color w:val="auto"/>
              </w:rPr>
            </w:pP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4440" w:type="dxa"/>
            <w:vAlign w:val="bottom"/>
          </w:tcPr>
          <w:p>
            <w:pPr>
              <w:spacing w:after="0"/>
              <w:rPr>
                <w:sz w:val="13"/>
                <w:szCs w:val="13"/>
                <w:color w:val="auto"/>
              </w:rPr>
            </w:pPr>
          </w:p>
        </w:tc>
        <w:tc>
          <w:tcPr>
            <w:tcW w:w="3400" w:type="dxa"/>
            <w:vAlign w:val="bottom"/>
          </w:tcPr>
          <w:p>
            <w:pPr>
              <w:spacing w:after="0"/>
              <w:rPr>
                <w:sz w:val="13"/>
                <w:szCs w:val="13"/>
                <w:color w:val="auto"/>
              </w:rPr>
            </w:pPr>
          </w:p>
        </w:tc>
        <w:tc>
          <w:tcPr>
            <w:tcW w:w="14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4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93"/>
        </w:trPr>
        <w:tc>
          <w:tcPr>
            <w:tcW w:w="220" w:type="dxa"/>
            <w:vAlign w:val="bottom"/>
            <w:vMerge w:val="continue"/>
          </w:tcPr>
          <w:p>
            <w:pPr>
              <w:spacing w:after="0"/>
              <w:rPr>
                <w:sz w:val="16"/>
                <w:szCs w:val="16"/>
                <w:color w:val="auto"/>
              </w:rPr>
            </w:pPr>
          </w:p>
        </w:tc>
        <w:tc>
          <w:tcPr>
            <w:tcW w:w="4440" w:type="dxa"/>
            <w:vAlign w:val="bottom"/>
            <w:shd w:val="clear" w:color="auto" w:fill="CCEEFF"/>
          </w:tcPr>
          <w:p>
            <w:pPr>
              <w:spacing w:after="0"/>
              <w:rPr>
                <w:sz w:val="20"/>
                <w:szCs w:val="20"/>
                <w:color w:val="auto"/>
              </w:rPr>
            </w:pPr>
            <w:r>
              <w:rPr>
                <w:rFonts w:ascii="Arial" w:cs="Arial" w:eastAsia="Arial" w:hAnsi="Arial"/>
                <w:sz w:val="13"/>
                <w:szCs w:val="13"/>
                <w:color w:val="auto"/>
              </w:rPr>
              <w:t>Average outstanding balance during the year</w:t>
            </w:r>
          </w:p>
        </w:tc>
        <w:tc>
          <w:tcPr>
            <w:tcW w:w="5040" w:type="dxa"/>
            <w:vAlign w:val="bottom"/>
            <w:gridSpan w:val="3"/>
            <w:shd w:val="clear" w:color="auto" w:fill="CCEEFF"/>
          </w:tcPr>
          <w:p>
            <w:pPr>
              <w:jc w:val="right"/>
              <w:ind w:right="200"/>
              <w:spacing w:after="0"/>
              <w:rPr>
                <w:sz w:val="20"/>
                <w:szCs w:val="20"/>
                <w:color w:val="auto"/>
              </w:rPr>
            </w:pPr>
            <w:r>
              <w:rPr>
                <w:rFonts w:ascii="Arial" w:cs="Arial" w:eastAsia="Arial" w:hAnsi="Arial"/>
                <w:sz w:val="13"/>
                <w:szCs w:val="13"/>
                <w:color w:val="auto"/>
              </w:rPr>
              <w:t>1,095,530</w:t>
            </w:r>
          </w:p>
        </w:tc>
        <w:tc>
          <w:tcPr>
            <w:tcW w:w="15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710,021</w:t>
            </w:r>
          </w:p>
        </w:tc>
        <w:tc>
          <w:tcPr>
            <w:tcW w:w="2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52"/>
        </w:trPr>
        <w:tc>
          <w:tcPr>
            <w:tcW w:w="220" w:type="dxa"/>
            <w:vAlign w:val="bottom"/>
          </w:tcPr>
          <w:p>
            <w:pPr>
              <w:spacing w:after="0"/>
              <w:rPr>
                <w:sz w:val="13"/>
                <w:szCs w:val="13"/>
                <w:color w:val="auto"/>
              </w:rPr>
            </w:pPr>
          </w:p>
        </w:tc>
        <w:tc>
          <w:tcPr>
            <w:tcW w:w="4440" w:type="dxa"/>
            <w:vAlign w:val="bottom"/>
            <w:tcBorders>
              <w:top w:val="single" w:sz="8" w:color="CCEEFF"/>
              <w:bottom w:val="single" w:sz="8" w:color="CCEEFF"/>
            </w:tcBorders>
          </w:tcPr>
          <w:p>
            <w:pPr>
              <w:spacing w:after="0" w:line="143" w:lineRule="exact"/>
              <w:rPr>
                <w:sz w:val="20"/>
                <w:szCs w:val="20"/>
                <w:color w:val="auto"/>
              </w:rPr>
            </w:pPr>
            <w:r>
              <w:rPr>
                <w:rFonts w:ascii="Arial" w:cs="Arial" w:eastAsia="Arial" w:hAnsi="Arial"/>
                <w:sz w:val="13"/>
                <w:szCs w:val="13"/>
                <w:color w:val="auto"/>
              </w:rPr>
              <w:t>Maximum balance at any month-end</w:t>
            </w:r>
          </w:p>
        </w:tc>
        <w:tc>
          <w:tcPr>
            <w:tcW w:w="3400" w:type="dxa"/>
            <w:vAlign w:val="bottom"/>
            <w:tcBorders>
              <w:top w:val="single" w:sz="8" w:color="CCEEFF"/>
              <w:bottom w:val="single" w:sz="8" w:color="CCEEFF"/>
            </w:tcBorders>
          </w:tcPr>
          <w:p>
            <w:pPr>
              <w:spacing w:after="0"/>
              <w:rPr>
                <w:sz w:val="13"/>
                <w:szCs w:val="13"/>
                <w:color w:val="auto"/>
              </w:rPr>
            </w:pPr>
          </w:p>
        </w:tc>
        <w:tc>
          <w:tcPr>
            <w:tcW w:w="144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2,021,104</w:t>
            </w:r>
          </w:p>
        </w:tc>
        <w:tc>
          <w:tcPr>
            <w:tcW w:w="200" w:type="dxa"/>
            <w:vAlign w:val="bottom"/>
            <w:tcBorders>
              <w:top w:val="single" w:sz="8" w:color="CCEEFF"/>
              <w:bottom w:val="single" w:sz="8" w:color="CCEEFF"/>
            </w:tcBorders>
          </w:tcPr>
          <w:p>
            <w:pPr>
              <w:spacing w:after="0"/>
              <w:rPr>
                <w:sz w:val="13"/>
                <w:szCs w:val="13"/>
                <w:color w:val="auto"/>
              </w:rPr>
            </w:pPr>
          </w:p>
        </w:tc>
        <w:tc>
          <w:tcPr>
            <w:tcW w:w="144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1,072,723</w:t>
            </w:r>
          </w:p>
        </w:tc>
        <w:tc>
          <w:tcPr>
            <w:tcW w:w="100" w:type="dxa"/>
            <w:vAlign w:val="bottom"/>
            <w:tcBorders>
              <w:top w:val="single" w:sz="8" w:color="CCEEFF"/>
              <w:bottom w:val="single" w:sz="8" w:color="CCEEFF"/>
            </w:tcBorders>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74"/>
        </w:trPr>
        <w:tc>
          <w:tcPr>
            <w:tcW w:w="220" w:type="dxa"/>
            <w:vAlign w:val="bottom"/>
          </w:tcPr>
          <w:p>
            <w:pPr>
              <w:spacing w:after="0"/>
              <w:rPr>
                <w:sz w:val="15"/>
                <w:szCs w:val="15"/>
                <w:color w:val="auto"/>
              </w:rPr>
            </w:pPr>
          </w:p>
        </w:tc>
        <w:tc>
          <w:tcPr>
            <w:tcW w:w="4440" w:type="dxa"/>
            <w:vAlign w:val="bottom"/>
            <w:tcBorders>
              <w:bottom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Range of fixed interest rates on borrowings and debt in U.S. dollars</w:t>
            </w:r>
          </w:p>
        </w:tc>
        <w:tc>
          <w:tcPr>
            <w:tcW w:w="3400" w:type="dxa"/>
            <w:vAlign w:val="bottom"/>
            <w:tcBorders>
              <w:bottom w:val="single" w:sz="8" w:color="CCEEFF"/>
            </w:tcBorders>
            <w:shd w:val="clear" w:color="auto" w:fill="CCEEFF"/>
          </w:tcPr>
          <w:p>
            <w:pPr>
              <w:spacing w:after="0"/>
              <w:rPr>
                <w:sz w:val="15"/>
                <w:szCs w:val="15"/>
                <w:color w:val="auto"/>
              </w:rPr>
            </w:pPr>
          </w:p>
        </w:tc>
        <w:tc>
          <w:tcPr>
            <w:tcW w:w="14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2.74% to 3.30%</w:t>
            </w:r>
          </w:p>
        </w:tc>
        <w:tc>
          <w:tcPr>
            <w:tcW w:w="200" w:type="dxa"/>
            <w:vAlign w:val="bottom"/>
            <w:tcBorders>
              <w:bottom w:val="single" w:sz="8" w:color="CCEEFF"/>
            </w:tcBorders>
            <w:shd w:val="clear" w:color="auto" w:fill="CCEEFF"/>
          </w:tcPr>
          <w:p>
            <w:pPr>
              <w:spacing w:after="0"/>
              <w:rPr>
                <w:sz w:val="15"/>
                <w:szCs w:val="15"/>
                <w:color w:val="auto"/>
              </w:rPr>
            </w:pPr>
          </w:p>
        </w:tc>
        <w:tc>
          <w:tcPr>
            <w:tcW w:w="1440" w:type="dxa"/>
            <w:vAlign w:val="bottom"/>
            <w:tcBorders>
              <w:bottom w:val="single" w:sz="8" w:color="auto"/>
            </w:tcBorders>
            <w:shd w:val="clear" w:color="auto" w:fill="CCEEFF"/>
          </w:tcPr>
          <w:p>
            <w:pPr>
              <w:ind w:left="600"/>
              <w:spacing w:after="0"/>
              <w:rPr>
                <w:sz w:val="20"/>
                <w:szCs w:val="20"/>
                <w:color w:val="auto"/>
              </w:rPr>
            </w:pPr>
            <w:r>
              <w:rPr>
                <w:rFonts w:ascii="Arial" w:cs="Arial" w:eastAsia="Arial" w:hAnsi="Arial"/>
                <w:sz w:val="13"/>
                <w:szCs w:val="13"/>
                <w:color w:val="auto"/>
                <w:w w:val="89"/>
              </w:rPr>
              <w:t>1.60% to 1.95%</w:t>
            </w:r>
          </w:p>
        </w:tc>
        <w:tc>
          <w:tcPr>
            <w:tcW w:w="100" w:type="dxa"/>
            <w:vAlign w:val="bottom"/>
            <w:tcBorders>
              <w:bottom w:val="single" w:sz="8" w:color="CCEEFF"/>
            </w:tcBorders>
            <w:shd w:val="clear" w:color="auto" w:fill="CCEEFF"/>
          </w:tcPr>
          <w:p>
            <w:pPr>
              <w:spacing w:after="0"/>
              <w:rPr>
                <w:sz w:val="15"/>
                <w:szCs w:val="15"/>
                <w:color w:val="auto"/>
              </w:rPr>
            </w:pPr>
          </w:p>
        </w:tc>
        <w:tc>
          <w:tcPr>
            <w:tcW w:w="2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52"/>
        </w:trPr>
        <w:tc>
          <w:tcPr>
            <w:tcW w:w="220" w:type="dxa"/>
            <w:vAlign w:val="bottom"/>
          </w:tcPr>
          <w:p>
            <w:pPr>
              <w:spacing w:after="0"/>
              <w:rPr>
                <w:sz w:val="13"/>
                <w:szCs w:val="13"/>
                <w:color w:val="auto"/>
              </w:rPr>
            </w:pPr>
          </w:p>
        </w:tc>
        <w:tc>
          <w:tcPr>
            <w:tcW w:w="4440" w:type="dxa"/>
            <w:vAlign w:val="bottom"/>
            <w:tcBorders>
              <w:bottom w:val="single" w:sz="8" w:color="CCEEFF"/>
            </w:tcBorders>
          </w:tcPr>
          <w:p>
            <w:pPr>
              <w:spacing w:after="0" w:line="143" w:lineRule="exact"/>
              <w:rPr>
                <w:sz w:val="20"/>
                <w:szCs w:val="20"/>
                <w:color w:val="auto"/>
              </w:rPr>
            </w:pPr>
            <w:r>
              <w:rPr>
                <w:rFonts w:ascii="Arial" w:cs="Arial" w:eastAsia="Arial" w:hAnsi="Arial"/>
                <w:sz w:val="13"/>
                <w:szCs w:val="13"/>
                <w:color w:val="auto"/>
              </w:rPr>
              <w:t>Range of floating interest rates on borrowings in U.S. dollars</w:t>
            </w:r>
          </w:p>
        </w:tc>
        <w:tc>
          <w:tcPr>
            <w:tcW w:w="3400" w:type="dxa"/>
            <w:vAlign w:val="bottom"/>
            <w:tcBorders>
              <w:bottom w:val="single" w:sz="8" w:color="CCEEFF"/>
            </w:tcBorders>
          </w:tcPr>
          <w:p>
            <w:pPr>
              <w:spacing w:after="0"/>
              <w:rPr>
                <w:sz w:val="13"/>
                <w:szCs w:val="13"/>
                <w:color w:val="auto"/>
              </w:rPr>
            </w:pPr>
          </w:p>
        </w:tc>
        <w:tc>
          <w:tcPr>
            <w:tcW w:w="144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2.72% to 3.41%</w:t>
            </w:r>
          </w:p>
        </w:tc>
        <w:tc>
          <w:tcPr>
            <w:tcW w:w="200" w:type="dxa"/>
            <w:vAlign w:val="bottom"/>
            <w:tcBorders>
              <w:bottom w:val="single" w:sz="8" w:color="CCEEFF"/>
            </w:tcBorders>
          </w:tcPr>
          <w:p>
            <w:pPr>
              <w:spacing w:after="0"/>
              <w:rPr>
                <w:sz w:val="13"/>
                <w:szCs w:val="13"/>
                <w:color w:val="auto"/>
              </w:rPr>
            </w:pPr>
          </w:p>
        </w:tc>
        <w:tc>
          <w:tcPr>
            <w:tcW w:w="1440" w:type="dxa"/>
            <w:vAlign w:val="bottom"/>
            <w:tcBorders>
              <w:bottom w:val="single" w:sz="8" w:color="auto"/>
            </w:tcBorders>
          </w:tcPr>
          <w:p>
            <w:pPr>
              <w:ind w:left="600"/>
              <w:spacing w:after="0" w:line="143" w:lineRule="exact"/>
              <w:rPr>
                <w:sz w:val="20"/>
                <w:szCs w:val="20"/>
                <w:color w:val="auto"/>
              </w:rPr>
            </w:pPr>
            <w:r>
              <w:rPr>
                <w:rFonts w:ascii="Arial" w:cs="Arial" w:eastAsia="Arial" w:hAnsi="Arial"/>
                <w:sz w:val="13"/>
                <w:szCs w:val="13"/>
                <w:color w:val="auto"/>
                <w:w w:val="89"/>
              </w:rPr>
              <w:t>1.77% to 2.08%</w:t>
            </w:r>
          </w:p>
        </w:tc>
        <w:tc>
          <w:tcPr>
            <w:tcW w:w="100" w:type="dxa"/>
            <w:vAlign w:val="bottom"/>
            <w:tcBorders>
              <w:bottom w:val="single" w:sz="8" w:color="CCEEFF"/>
            </w:tcBorders>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74"/>
        </w:trPr>
        <w:tc>
          <w:tcPr>
            <w:tcW w:w="220" w:type="dxa"/>
            <w:vAlign w:val="bottom"/>
          </w:tcPr>
          <w:p>
            <w:pPr>
              <w:spacing w:after="0"/>
              <w:rPr>
                <w:sz w:val="15"/>
                <w:szCs w:val="15"/>
                <w:color w:val="auto"/>
              </w:rPr>
            </w:pPr>
          </w:p>
        </w:tc>
        <w:tc>
          <w:tcPr>
            <w:tcW w:w="4440" w:type="dxa"/>
            <w:vAlign w:val="bottom"/>
            <w:tcBorders>
              <w:bottom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Range of fixed interest rates on borrowings in Mexican pesos</w:t>
            </w:r>
          </w:p>
        </w:tc>
        <w:tc>
          <w:tcPr>
            <w:tcW w:w="3400" w:type="dxa"/>
            <w:vAlign w:val="bottom"/>
            <w:tcBorders>
              <w:bottom w:val="single" w:sz="8" w:color="CCEEFF"/>
            </w:tcBorders>
            <w:shd w:val="clear" w:color="auto" w:fill="CCEEFF"/>
          </w:tcPr>
          <w:p>
            <w:pPr>
              <w:spacing w:after="0"/>
              <w:rPr>
                <w:sz w:val="15"/>
                <w:szCs w:val="15"/>
                <w:color w:val="auto"/>
              </w:rPr>
            </w:pPr>
          </w:p>
        </w:tc>
        <w:tc>
          <w:tcPr>
            <w:tcW w:w="14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tcBorders>
              <w:bottom w:val="single" w:sz="8" w:color="CCEEFF"/>
            </w:tcBorders>
            <w:shd w:val="clear" w:color="auto" w:fill="CCEEFF"/>
          </w:tcPr>
          <w:p>
            <w:pPr>
              <w:spacing w:after="0"/>
              <w:rPr>
                <w:sz w:val="15"/>
                <w:szCs w:val="15"/>
                <w:color w:val="auto"/>
              </w:rPr>
            </w:pPr>
          </w:p>
        </w:tc>
        <w:tc>
          <w:tcPr>
            <w:tcW w:w="14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7.92%</w:t>
            </w:r>
          </w:p>
        </w:tc>
        <w:tc>
          <w:tcPr>
            <w:tcW w:w="100" w:type="dxa"/>
            <w:vAlign w:val="bottom"/>
            <w:tcBorders>
              <w:bottom w:val="single" w:sz="8" w:color="CCEEFF"/>
            </w:tcBorders>
            <w:shd w:val="clear" w:color="auto" w:fill="CCEEFF"/>
          </w:tcPr>
          <w:p>
            <w:pPr>
              <w:spacing w:after="0"/>
              <w:rPr>
                <w:sz w:val="15"/>
                <w:szCs w:val="15"/>
                <w:color w:val="auto"/>
              </w:rPr>
            </w:pPr>
          </w:p>
        </w:tc>
        <w:tc>
          <w:tcPr>
            <w:tcW w:w="2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52"/>
        </w:trPr>
        <w:tc>
          <w:tcPr>
            <w:tcW w:w="220" w:type="dxa"/>
            <w:vAlign w:val="bottom"/>
          </w:tcPr>
          <w:p>
            <w:pPr>
              <w:spacing w:after="0"/>
              <w:rPr>
                <w:sz w:val="13"/>
                <w:szCs w:val="13"/>
                <w:color w:val="auto"/>
              </w:rPr>
            </w:pPr>
          </w:p>
        </w:tc>
        <w:tc>
          <w:tcPr>
            <w:tcW w:w="4440" w:type="dxa"/>
            <w:vAlign w:val="bottom"/>
            <w:tcBorders>
              <w:bottom w:val="single" w:sz="8" w:color="CCEEFF"/>
            </w:tcBorders>
          </w:tcPr>
          <w:p>
            <w:pPr>
              <w:spacing w:after="0" w:line="143" w:lineRule="exact"/>
              <w:rPr>
                <w:sz w:val="20"/>
                <w:szCs w:val="20"/>
                <w:color w:val="auto"/>
              </w:rPr>
            </w:pPr>
            <w:r>
              <w:rPr>
                <w:rFonts w:ascii="Arial" w:cs="Arial" w:eastAsia="Arial" w:hAnsi="Arial"/>
                <w:sz w:val="13"/>
                <w:szCs w:val="13"/>
                <w:color w:val="auto"/>
              </w:rPr>
              <w:t>Range of floating interest rate on borrowings in Mexican pesos</w:t>
            </w:r>
          </w:p>
        </w:tc>
        <w:tc>
          <w:tcPr>
            <w:tcW w:w="3400" w:type="dxa"/>
            <w:vAlign w:val="bottom"/>
            <w:tcBorders>
              <w:bottom w:val="single" w:sz="8" w:color="CCEEFF"/>
            </w:tcBorders>
          </w:tcPr>
          <w:p>
            <w:pPr>
              <w:spacing w:after="0"/>
              <w:rPr>
                <w:sz w:val="13"/>
                <w:szCs w:val="13"/>
                <w:color w:val="auto"/>
              </w:rPr>
            </w:pPr>
          </w:p>
        </w:tc>
        <w:tc>
          <w:tcPr>
            <w:tcW w:w="144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8.49% to 9.39%</w:t>
            </w:r>
          </w:p>
        </w:tc>
        <w:tc>
          <w:tcPr>
            <w:tcW w:w="200" w:type="dxa"/>
            <w:vAlign w:val="bottom"/>
            <w:tcBorders>
              <w:bottom w:val="single" w:sz="8" w:color="CCEEFF"/>
            </w:tcBorders>
          </w:tcPr>
          <w:p>
            <w:pPr>
              <w:spacing w:after="0"/>
              <w:rPr>
                <w:sz w:val="13"/>
                <w:szCs w:val="13"/>
                <w:color w:val="auto"/>
              </w:rPr>
            </w:pPr>
          </w:p>
        </w:tc>
        <w:tc>
          <w:tcPr>
            <w:tcW w:w="1440" w:type="dxa"/>
            <w:vAlign w:val="bottom"/>
            <w:tcBorders>
              <w:bottom w:val="single" w:sz="8" w:color="auto"/>
            </w:tcBorders>
          </w:tcPr>
          <w:p>
            <w:pPr>
              <w:ind w:left="600"/>
              <w:spacing w:after="0" w:line="143" w:lineRule="exact"/>
              <w:rPr>
                <w:sz w:val="20"/>
                <w:szCs w:val="20"/>
                <w:color w:val="auto"/>
              </w:rPr>
            </w:pPr>
            <w:r>
              <w:rPr>
                <w:rFonts w:ascii="Arial" w:cs="Arial" w:eastAsia="Arial" w:hAnsi="Arial"/>
                <w:sz w:val="13"/>
                <w:szCs w:val="13"/>
                <w:color w:val="auto"/>
                <w:w w:val="89"/>
              </w:rPr>
              <w:t>7.68% to 7.89%</w:t>
            </w:r>
          </w:p>
        </w:tc>
        <w:tc>
          <w:tcPr>
            <w:tcW w:w="100" w:type="dxa"/>
            <w:vAlign w:val="bottom"/>
            <w:tcBorders>
              <w:bottom w:val="single" w:sz="8" w:color="CCEEFF"/>
            </w:tcBorders>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74"/>
        </w:trPr>
        <w:tc>
          <w:tcPr>
            <w:tcW w:w="220" w:type="dxa"/>
            <w:vAlign w:val="bottom"/>
          </w:tcPr>
          <w:p>
            <w:pPr>
              <w:spacing w:after="0"/>
              <w:rPr>
                <w:sz w:val="15"/>
                <w:szCs w:val="15"/>
                <w:color w:val="auto"/>
              </w:rPr>
            </w:pPr>
          </w:p>
        </w:tc>
        <w:tc>
          <w:tcPr>
            <w:tcW w:w="4440" w:type="dxa"/>
            <w:vAlign w:val="bottom"/>
            <w:tcBorders>
              <w:bottom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Weighted average interest rate at end of the year</w:t>
            </w:r>
          </w:p>
        </w:tc>
        <w:tc>
          <w:tcPr>
            <w:tcW w:w="3400" w:type="dxa"/>
            <w:vAlign w:val="bottom"/>
            <w:tcBorders>
              <w:bottom w:val="single" w:sz="8" w:color="CCEEFF"/>
            </w:tcBorders>
            <w:shd w:val="clear" w:color="auto" w:fill="CCEEFF"/>
          </w:tcPr>
          <w:p>
            <w:pPr>
              <w:spacing w:after="0"/>
              <w:rPr>
                <w:sz w:val="15"/>
                <w:szCs w:val="15"/>
                <w:color w:val="auto"/>
              </w:rPr>
            </w:pPr>
          </w:p>
        </w:tc>
        <w:tc>
          <w:tcPr>
            <w:tcW w:w="14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3.18%</w:t>
            </w:r>
          </w:p>
        </w:tc>
        <w:tc>
          <w:tcPr>
            <w:tcW w:w="200" w:type="dxa"/>
            <w:vAlign w:val="bottom"/>
            <w:tcBorders>
              <w:bottom w:val="single" w:sz="8" w:color="CCEEFF"/>
            </w:tcBorders>
            <w:shd w:val="clear" w:color="auto" w:fill="CCEEFF"/>
          </w:tcPr>
          <w:p>
            <w:pPr>
              <w:spacing w:after="0"/>
              <w:rPr>
                <w:sz w:val="15"/>
                <w:szCs w:val="15"/>
                <w:color w:val="auto"/>
              </w:rPr>
            </w:pPr>
          </w:p>
        </w:tc>
        <w:tc>
          <w:tcPr>
            <w:tcW w:w="14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2.16%</w:t>
            </w:r>
          </w:p>
        </w:tc>
        <w:tc>
          <w:tcPr>
            <w:tcW w:w="100" w:type="dxa"/>
            <w:vAlign w:val="bottom"/>
            <w:tcBorders>
              <w:bottom w:val="single" w:sz="8" w:color="CCEEFF"/>
            </w:tcBorders>
            <w:shd w:val="clear" w:color="auto" w:fill="CCEEFF"/>
          </w:tcPr>
          <w:p>
            <w:pPr>
              <w:spacing w:after="0"/>
              <w:rPr>
                <w:sz w:val="15"/>
                <w:szCs w:val="15"/>
                <w:color w:val="auto"/>
              </w:rPr>
            </w:pPr>
          </w:p>
        </w:tc>
        <w:tc>
          <w:tcPr>
            <w:tcW w:w="2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52"/>
        </w:trPr>
        <w:tc>
          <w:tcPr>
            <w:tcW w:w="220" w:type="dxa"/>
            <w:vAlign w:val="bottom"/>
          </w:tcPr>
          <w:p>
            <w:pPr>
              <w:spacing w:after="0"/>
              <w:rPr>
                <w:sz w:val="13"/>
                <w:szCs w:val="13"/>
                <w:color w:val="auto"/>
              </w:rPr>
            </w:pPr>
          </w:p>
        </w:tc>
        <w:tc>
          <w:tcPr>
            <w:tcW w:w="4440" w:type="dxa"/>
            <w:vAlign w:val="bottom"/>
          </w:tcPr>
          <w:p>
            <w:pPr>
              <w:spacing w:after="0" w:line="143" w:lineRule="exact"/>
              <w:rPr>
                <w:sz w:val="20"/>
                <w:szCs w:val="20"/>
                <w:color w:val="auto"/>
              </w:rPr>
            </w:pPr>
            <w:r>
              <w:rPr>
                <w:rFonts w:ascii="Arial" w:cs="Arial" w:eastAsia="Arial" w:hAnsi="Arial"/>
                <w:sz w:val="13"/>
                <w:szCs w:val="13"/>
                <w:color w:val="auto"/>
              </w:rPr>
              <w:t>Weighted average interest rate during the year</w:t>
            </w:r>
          </w:p>
        </w:tc>
        <w:tc>
          <w:tcPr>
            <w:tcW w:w="3400" w:type="dxa"/>
            <w:vAlign w:val="bottom"/>
          </w:tcPr>
          <w:p>
            <w:pPr>
              <w:spacing w:after="0"/>
              <w:rPr>
                <w:sz w:val="13"/>
                <w:szCs w:val="13"/>
                <w:color w:val="auto"/>
              </w:rPr>
            </w:pPr>
          </w:p>
        </w:tc>
        <w:tc>
          <w:tcPr>
            <w:tcW w:w="144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3.00%</w:t>
            </w:r>
          </w:p>
        </w:tc>
        <w:tc>
          <w:tcPr>
            <w:tcW w:w="200" w:type="dxa"/>
            <w:vAlign w:val="bottom"/>
          </w:tcPr>
          <w:p>
            <w:pPr>
              <w:spacing w:after="0"/>
              <w:rPr>
                <w:sz w:val="13"/>
                <w:szCs w:val="13"/>
                <w:color w:val="auto"/>
              </w:rPr>
            </w:pPr>
          </w:p>
        </w:tc>
        <w:tc>
          <w:tcPr>
            <w:tcW w:w="144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1.66%</w:t>
            </w: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467"/>
        </w:trPr>
        <w:tc>
          <w:tcPr>
            <w:tcW w:w="220" w:type="dxa"/>
            <w:vAlign w:val="bottom"/>
            <w:tcBorders>
              <w:bottom w:val="single" w:sz="8" w:color="auto"/>
            </w:tcBorders>
          </w:tcPr>
          <w:p>
            <w:pPr>
              <w:spacing w:after="0"/>
              <w:rPr>
                <w:sz w:val="24"/>
                <w:szCs w:val="24"/>
                <w:color w:val="auto"/>
              </w:rPr>
            </w:pPr>
          </w:p>
        </w:tc>
        <w:tc>
          <w:tcPr>
            <w:tcW w:w="4440" w:type="dxa"/>
            <w:vAlign w:val="bottom"/>
            <w:tcBorders>
              <w:bottom w:val="single" w:sz="8" w:color="auto"/>
            </w:tcBorders>
          </w:tcPr>
          <w:p>
            <w:pPr>
              <w:spacing w:after="0"/>
              <w:rPr>
                <w:sz w:val="24"/>
                <w:szCs w:val="24"/>
                <w:color w:val="auto"/>
              </w:rPr>
            </w:pPr>
          </w:p>
        </w:tc>
        <w:tc>
          <w:tcPr>
            <w:tcW w:w="5040" w:type="dxa"/>
            <w:vAlign w:val="bottom"/>
            <w:tcBorders>
              <w:bottom w:val="single" w:sz="8" w:color="auto"/>
            </w:tcBorders>
            <w:gridSpan w:val="3"/>
          </w:tcPr>
          <w:p>
            <w:pPr>
              <w:ind w:left="960"/>
              <w:spacing w:after="0"/>
              <w:rPr>
                <w:sz w:val="20"/>
                <w:szCs w:val="20"/>
                <w:color w:val="auto"/>
              </w:rPr>
            </w:pPr>
            <w:r>
              <w:rPr>
                <w:rFonts w:ascii="Arial" w:cs="Arial" w:eastAsia="Arial" w:hAnsi="Arial"/>
                <w:sz w:val="13"/>
                <w:szCs w:val="13"/>
                <w:color w:val="auto"/>
              </w:rPr>
              <w:t>F-69</w:t>
            </w:r>
          </w:p>
        </w:tc>
        <w:tc>
          <w:tcPr>
            <w:tcW w:w="14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3"/>
          </w:cols>
          <w:pgMar w:left="217" w:top="685" w:right="199" w:bottom="1440" w:gutter="0" w:footer="0" w:header="0"/>
        </w:sectPr>
      </w:pPr>
    </w:p>
    <w:bookmarkStart w:id="194" w:name="page195"/>
    <w:bookmarkEnd w:id="194"/>
    <w:p>
      <w:pPr>
        <w:ind w:left="3"/>
        <w:spacing w:after="0"/>
        <w:rPr>
          <w:sz w:val="20"/>
          <w:szCs w:val="20"/>
          <w:color w:val="auto"/>
        </w:rPr>
      </w:pPr>
      <w:r>
        <w:rPr>
          <w:rFonts w:ascii="Arial" w:cs="Arial" w:eastAsia="Arial" w:hAnsi="Arial"/>
          <w:sz w:val="12"/>
          <w:szCs w:val="12"/>
          <w:b w:val="1"/>
          <w:bCs w:val="1"/>
          <w:color w:val="auto"/>
        </w:rPr>
        <w:t>Banco Latinoamericano de Comercio Exterior, S. A. and Subsidiaries</w:t>
      </w:r>
    </w:p>
    <w:p>
      <w:pPr>
        <w:spacing w:after="0" w:line="28"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1"/>
          <w:szCs w:val="11"/>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17780</wp:posOffset>
            </wp:positionV>
            <wp:extent cx="7285990" cy="6350"/>
            <wp:wrapNone/>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32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p>
      <w:pPr>
        <w:spacing w:after="0" w:line="179" w:lineRule="exact"/>
        <w:rPr>
          <w:sz w:val="20"/>
          <w:szCs w:val="20"/>
          <w:color w:val="auto"/>
        </w:rPr>
      </w:pPr>
    </w:p>
    <w:p>
      <w:pPr>
        <w:ind w:left="223" w:right="4640" w:hanging="223"/>
        <w:spacing w:after="0" w:line="539" w:lineRule="auto"/>
        <w:tabs>
          <w:tab w:leader="none" w:pos="223" w:val="left"/>
        </w:tabs>
        <w:numPr>
          <w:ilvl w:val="0"/>
          <w:numId w:val="160"/>
        </w:numPr>
        <w:rPr>
          <w:rFonts w:ascii="Arial" w:cs="Arial" w:eastAsia="Arial" w:hAnsi="Arial"/>
          <w:sz w:val="12"/>
          <w:szCs w:val="12"/>
          <w:b w:val="1"/>
          <w:bCs w:val="1"/>
          <w:color w:val="auto"/>
        </w:rPr>
      </w:pPr>
      <w:r>
        <w:rPr>
          <w:rFonts w:ascii="Arial" w:cs="Arial" w:eastAsia="Arial" w:hAnsi="Arial"/>
          <w:sz w:val="12"/>
          <w:szCs w:val="12"/>
          <w:b w:val="1"/>
          <w:bCs w:val="1"/>
          <w:color w:val="auto"/>
        </w:rPr>
        <w:t>Borrowings and debt (continued) Short-term borrowings and debt (continued)</w:t>
      </w:r>
    </w:p>
    <w:p>
      <w:pPr>
        <w:ind w:left="223"/>
        <w:spacing w:after="0"/>
        <w:rPr>
          <w:rFonts w:ascii="Arial" w:cs="Arial" w:eastAsia="Arial" w:hAnsi="Arial"/>
          <w:sz w:val="12"/>
          <w:szCs w:val="12"/>
          <w:b w:val="1"/>
          <w:bCs w:val="1"/>
          <w:color w:val="auto"/>
        </w:rPr>
      </w:pPr>
      <w:r>
        <w:rPr>
          <w:rFonts w:ascii="Arial" w:cs="Arial" w:eastAsia="Arial" w:hAnsi="Arial"/>
          <w:sz w:val="11"/>
          <w:szCs w:val="11"/>
          <w:color w:val="auto"/>
        </w:rPr>
        <w:t>The outstanding balances of short-term borrowings and debt by currency, are as follows:</w:t>
      </w:r>
    </w:p>
    <w:p>
      <w:pPr>
        <w:spacing w:after="0" w:line="200" w:lineRule="exact"/>
        <w:rPr>
          <w:sz w:val="20"/>
          <w:szCs w:val="20"/>
          <w:color w:val="auto"/>
        </w:rPr>
      </w:pPr>
    </w:p>
    <w:p>
      <w:pPr>
        <w:spacing w:after="0" w:line="305" w:lineRule="exact"/>
        <w:rPr>
          <w:sz w:val="20"/>
          <w:szCs w:val="20"/>
          <w:color w:val="auto"/>
        </w:rPr>
      </w:pPr>
    </w:p>
    <w:p>
      <w:pPr>
        <w:ind w:left="463"/>
        <w:spacing w:after="0"/>
        <w:rPr>
          <w:sz w:val="20"/>
          <w:szCs w:val="20"/>
          <w:color w:val="auto"/>
        </w:rPr>
      </w:pPr>
      <w:r>
        <w:rPr>
          <w:rFonts w:ascii="Arial" w:cs="Arial" w:eastAsia="Arial" w:hAnsi="Arial"/>
          <w:sz w:val="13"/>
          <w:szCs w:val="13"/>
          <w:b w:val="1"/>
          <w:bCs w:val="1"/>
          <w:color w:val="auto"/>
        </w:rPr>
        <w:t>Currency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293370</wp:posOffset>
            </wp:positionH>
            <wp:positionV relativeFrom="paragraph">
              <wp:posOffset>-92075</wp:posOffset>
            </wp:positionV>
            <wp:extent cx="6772275" cy="104140"/>
            <wp:wrapNone/>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322">
                      <a:extLst>
                        <a:ext uri="{28A0092B-C50C-407E-A947-70E740481C1C}"/>
                      </a:extLst>
                    </a:blip>
                    <a:srcRect/>
                    <a:stretch>
                      <a:fillRect/>
                    </a:stretch>
                  </pic:blipFill>
                  <pic:spPr bwMode="auto">
                    <a:xfrm>
                      <a:off x="0" y="0"/>
                      <a:ext cx="6772275" cy="104140"/>
                    </a:xfrm>
                    <a:prstGeom prst="rect">
                      <a:avLst/>
                    </a:prstGeom>
                    <a:noFill/>
                  </pic:spPr>
                </pic:pic>
              </a:graphicData>
            </a:graphic>
          </wp:anchor>
        </w:drawing>
      </w:r>
    </w:p>
    <w:p>
      <w:pPr>
        <w:ind w:left="463"/>
        <w:spacing w:after="0"/>
        <w:rPr>
          <w:sz w:val="20"/>
          <w:szCs w:val="20"/>
          <w:color w:val="auto"/>
        </w:rPr>
      </w:pPr>
      <w:r>
        <w:rPr>
          <w:rFonts w:ascii="Arial" w:cs="Arial" w:eastAsia="Arial" w:hAnsi="Arial"/>
          <w:sz w:val="13"/>
          <w:szCs w:val="13"/>
          <w:color w:val="auto"/>
        </w:rPr>
        <w:t>US dollar</w:t>
      </w:r>
    </w:p>
    <w:p>
      <w:pPr>
        <w:spacing w:after="0" w:line="5" w:lineRule="exact"/>
        <w:rPr>
          <w:sz w:val="20"/>
          <w:szCs w:val="20"/>
          <w:color w:val="auto"/>
        </w:rPr>
      </w:pPr>
    </w:p>
    <w:p>
      <w:pPr>
        <w:ind w:left="463"/>
        <w:spacing w:after="0"/>
        <w:rPr>
          <w:sz w:val="20"/>
          <w:szCs w:val="20"/>
          <w:color w:val="auto"/>
        </w:rPr>
      </w:pPr>
      <w:r>
        <w:rPr>
          <w:rFonts w:ascii="Arial" w:cs="Arial" w:eastAsia="Arial" w:hAnsi="Arial"/>
          <w:sz w:val="13"/>
          <w:szCs w:val="13"/>
          <w:color w:val="auto"/>
        </w:rPr>
        <w:t>Mexican peso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293370</wp:posOffset>
            </wp:positionH>
            <wp:positionV relativeFrom="paragraph">
              <wp:posOffset>-93980</wp:posOffset>
            </wp:positionV>
            <wp:extent cx="6772275" cy="104140"/>
            <wp:wrapNone/>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323">
                      <a:extLst>
                        <a:ext uri="{28A0092B-C50C-407E-A947-70E740481C1C}"/>
                      </a:extLst>
                    </a:blip>
                    <a:srcRect/>
                    <a:stretch>
                      <a:fillRect/>
                    </a:stretch>
                  </pic:blipFill>
                  <pic:spPr bwMode="auto">
                    <a:xfrm>
                      <a:off x="0" y="0"/>
                      <a:ext cx="6772275" cy="104140"/>
                    </a:xfrm>
                    <a:prstGeom prst="rect">
                      <a:avLst/>
                    </a:prstGeom>
                    <a:noFill/>
                  </pic:spPr>
                </pic:pic>
              </a:graphicData>
            </a:graphic>
          </wp:anchor>
        </w:drawing>
      </w:r>
    </w:p>
    <w:p>
      <w:pPr>
        <w:ind w:left="463"/>
        <w:spacing w:after="0"/>
        <w:rPr>
          <w:sz w:val="20"/>
          <w:szCs w:val="20"/>
          <w:color w:val="auto"/>
        </w:rPr>
      </w:pPr>
      <w:r>
        <w:rPr>
          <w:rFonts w:ascii="Arial" w:cs="Arial" w:eastAsia="Arial" w:hAnsi="Arial"/>
          <w:sz w:val="13"/>
          <w:szCs w:val="13"/>
          <w:color w:val="auto"/>
        </w:rPr>
        <w:t>Total</w:t>
      </w:r>
    </w:p>
    <w:p>
      <w:pPr>
        <w:spacing w:after="0" w:line="203" w:lineRule="exact"/>
        <w:rPr>
          <w:sz w:val="20"/>
          <w:szCs w:val="20"/>
          <w:color w:val="auto"/>
        </w:rPr>
      </w:pPr>
    </w:p>
    <w:p>
      <w:pPr>
        <w:ind w:left="223"/>
        <w:spacing w:after="0"/>
        <w:rPr>
          <w:sz w:val="20"/>
          <w:szCs w:val="20"/>
          <w:color w:val="auto"/>
        </w:rPr>
      </w:pPr>
      <w:r>
        <w:rPr>
          <w:rFonts w:ascii="Arial" w:cs="Arial" w:eastAsia="Arial" w:hAnsi="Arial"/>
          <w:sz w:val="13"/>
          <w:szCs w:val="13"/>
          <w:b w:val="1"/>
          <w:bCs w:val="1"/>
          <w:color w:val="auto"/>
        </w:rPr>
        <w:t>Long-term borrowings and debt</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64"/>
        </w:trPr>
        <w:tc>
          <w:tcPr>
            <w:tcW w:w="1600" w:type="dxa"/>
            <w:vAlign w:val="bottom"/>
            <w:gridSpan w:val="2"/>
          </w:tcPr>
          <w:p>
            <w:pPr>
              <w:ind w:left="320"/>
              <w:spacing w:after="0"/>
              <w:rPr>
                <w:sz w:val="20"/>
                <w:szCs w:val="20"/>
                <w:color w:val="auto"/>
              </w:rPr>
            </w:pPr>
            <w:r>
              <w:rPr>
                <w:rFonts w:ascii="Arial" w:cs="Arial" w:eastAsia="Arial" w:hAnsi="Arial"/>
                <w:sz w:val="13"/>
                <w:szCs w:val="13"/>
                <w:b w:val="1"/>
                <w:bCs w:val="1"/>
                <w:color w:val="auto"/>
              </w:rPr>
              <w:t>December 31,</w:t>
            </w:r>
          </w:p>
        </w:tc>
        <w:tc>
          <w:tcPr>
            <w:tcW w:w="1380" w:type="dxa"/>
            <w:vAlign w:val="bottom"/>
          </w:tcPr>
          <w:p>
            <w:pPr>
              <w:jc w:val="right"/>
              <w:ind w:right="256"/>
              <w:spacing w:after="0"/>
              <w:rPr>
                <w:sz w:val="20"/>
                <w:szCs w:val="20"/>
                <w:color w:val="auto"/>
              </w:rPr>
            </w:pPr>
            <w:r>
              <w:rPr>
                <w:rFonts w:ascii="Arial" w:cs="Arial" w:eastAsia="Arial" w:hAnsi="Arial"/>
                <w:sz w:val="13"/>
                <w:szCs w:val="13"/>
                <w:b w:val="1"/>
                <w:bCs w:val="1"/>
                <w:color w:val="auto"/>
              </w:rPr>
              <w:t>December 31,</w:t>
            </w:r>
          </w:p>
        </w:tc>
      </w:tr>
      <w:tr>
        <w:trPr>
          <w:trHeight w:val="167"/>
        </w:trPr>
        <w:tc>
          <w:tcPr>
            <w:tcW w:w="1400" w:type="dxa"/>
            <w:vAlign w:val="bottom"/>
            <w:tcBorders>
              <w:bottom w:val="single" w:sz="8" w:color="auto"/>
            </w:tcBorders>
          </w:tcPr>
          <w:p>
            <w:pPr>
              <w:jc w:val="right"/>
              <w:ind w:right="516"/>
              <w:spacing w:after="0"/>
              <w:rPr>
                <w:sz w:val="20"/>
                <w:szCs w:val="20"/>
                <w:color w:val="auto"/>
              </w:rPr>
            </w:pPr>
            <w:r>
              <w:rPr>
                <w:rFonts w:ascii="Arial" w:cs="Arial" w:eastAsia="Arial" w:hAnsi="Arial"/>
                <w:sz w:val="13"/>
                <w:szCs w:val="13"/>
                <w:b w:val="1"/>
                <w:bCs w:val="1"/>
                <w:color w:val="auto"/>
              </w:rPr>
              <w:t>2018</w:t>
            </w:r>
          </w:p>
        </w:tc>
        <w:tc>
          <w:tcPr>
            <w:tcW w:w="200" w:type="dxa"/>
            <w:vAlign w:val="bottom"/>
          </w:tcPr>
          <w:p>
            <w:pPr>
              <w:spacing w:after="0"/>
              <w:rPr>
                <w:sz w:val="14"/>
                <w:szCs w:val="14"/>
                <w:color w:val="auto"/>
              </w:rPr>
            </w:pPr>
          </w:p>
        </w:tc>
        <w:tc>
          <w:tcPr>
            <w:tcW w:w="1380" w:type="dxa"/>
            <w:vAlign w:val="bottom"/>
            <w:tcBorders>
              <w:bottom w:val="single" w:sz="8" w:color="auto"/>
            </w:tcBorders>
          </w:tcPr>
          <w:p>
            <w:pPr>
              <w:jc w:val="right"/>
              <w:ind w:right="496"/>
              <w:spacing w:after="0"/>
              <w:rPr>
                <w:sz w:val="20"/>
                <w:szCs w:val="20"/>
                <w:color w:val="auto"/>
              </w:rPr>
            </w:pPr>
            <w:r>
              <w:rPr>
                <w:rFonts w:ascii="Arial" w:cs="Arial" w:eastAsia="Arial" w:hAnsi="Arial"/>
                <w:sz w:val="13"/>
                <w:szCs w:val="13"/>
                <w:b w:val="1"/>
                <w:bCs w:val="1"/>
                <w:color w:val="auto"/>
              </w:rPr>
              <w:t>2017</w:t>
            </w:r>
          </w:p>
        </w:tc>
      </w:tr>
      <w:tr>
        <w:trPr>
          <w:trHeight w:val="297"/>
        </w:trPr>
        <w:tc>
          <w:tcPr>
            <w:tcW w:w="1600" w:type="dxa"/>
            <w:vAlign w:val="bottom"/>
            <w:gridSpan w:val="2"/>
          </w:tcPr>
          <w:p>
            <w:pPr>
              <w:jc w:val="right"/>
              <w:ind w:right="200"/>
              <w:spacing w:after="0"/>
              <w:rPr>
                <w:sz w:val="20"/>
                <w:szCs w:val="20"/>
                <w:color w:val="auto"/>
              </w:rPr>
            </w:pPr>
            <w:r>
              <w:rPr>
                <w:rFonts w:ascii="Arial" w:cs="Arial" w:eastAsia="Arial" w:hAnsi="Arial"/>
                <w:sz w:val="13"/>
                <w:szCs w:val="13"/>
                <w:color w:val="auto"/>
              </w:rPr>
              <w:t>1,926,000</w:t>
            </w:r>
          </w:p>
        </w:tc>
        <w:tc>
          <w:tcPr>
            <w:tcW w:w="1380" w:type="dxa"/>
            <w:vAlign w:val="bottom"/>
          </w:tcPr>
          <w:p>
            <w:pPr>
              <w:jc w:val="right"/>
              <w:spacing w:after="0"/>
              <w:rPr>
                <w:sz w:val="20"/>
                <w:szCs w:val="20"/>
                <w:color w:val="auto"/>
              </w:rPr>
            </w:pPr>
            <w:r>
              <w:rPr>
                <w:rFonts w:ascii="Arial" w:cs="Arial" w:eastAsia="Arial" w:hAnsi="Arial"/>
                <w:sz w:val="13"/>
                <w:szCs w:val="13"/>
                <w:color w:val="auto"/>
              </w:rPr>
              <w:t>1,044,500</w:t>
            </w:r>
          </w:p>
        </w:tc>
      </w:tr>
      <w:tr>
        <w:trPr>
          <w:trHeight w:val="164"/>
        </w:trPr>
        <w:tc>
          <w:tcPr>
            <w:tcW w:w="1600" w:type="dxa"/>
            <w:vAlign w:val="bottom"/>
            <w:gridSpan w:val="2"/>
          </w:tcPr>
          <w:p>
            <w:pPr>
              <w:jc w:val="right"/>
              <w:ind w:right="200"/>
              <w:spacing w:after="0"/>
              <w:rPr>
                <w:sz w:val="20"/>
                <w:szCs w:val="20"/>
                <w:color w:val="auto"/>
              </w:rPr>
            </w:pPr>
            <w:r>
              <w:rPr>
                <w:rFonts w:ascii="Arial" w:cs="Arial" w:eastAsia="Arial" w:hAnsi="Arial"/>
                <w:sz w:val="13"/>
                <w:szCs w:val="13"/>
                <w:color w:val="auto"/>
              </w:rPr>
              <w:t>95,104</w:t>
            </w:r>
          </w:p>
        </w:tc>
        <w:tc>
          <w:tcPr>
            <w:tcW w:w="1380" w:type="dxa"/>
            <w:vAlign w:val="bottom"/>
          </w:tcPr>
          <w:p>
            <w:pPr>
              <w:jc w:val="right"/>
              <w:spacing w:after="0"/>
              <w:rPr>
                <w:sz w:val="20"/>
                <w:szCs w:val="20"/>
                <w:color w:val="auto"/>
              </w:rPr>
            </w:pPr>
            <w:r>
              <w:rPr>
                <w:rFonts w:ascii="Arial" w:cs="Arial" w:eastAsia="Arial" w:hAnsi="Arial"/>
                <w:sz w:val="13"/>
                <w:szCs w:val="13"/>
                <w:color w:val="auto"/>
              </w:rPr>
              <w:t>28,223</w:t>
            </w:r>
          </w:p>
        </w:tc>
      </w:tr>
      <w:tr>
        <w:trPr>
          <w:trHeight w:val="162"/>
        </w:trPr>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2,021,104</w:t>
            </w:r>
          </w:p>
        </w:tc>
        <w:tc>
          <w:tcPr>
            <w:tcW w:w="200" w:type="dxa"/>
            <w:vAlign w:val="bottom"/>
          </w:tcPr>
          <w:p>
            <w:pPr>
              <w:spacing w:after="0"/>
              <w:rPr>
                <w:sz w:val="14"/>
                <w:szCs w:val="14"/>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1,072,723</w:t>
            </w:r>
          </w:p>
        </w:tc>
      </w:tr>
    </w:tbl>
    <w:p>
      <w:pPr>
        <w:spacing w:after="0" w:line="453" w:lineRule="exact"/>
        <w:rPr>
          <w:sz w:val="20"/>
          <w:szCs w:val="20"/>
          <w:color w:val="auto"/>
        </w:rPr>
      </w:pPr>
    </w:p>
    <w:p>
      <w:pPr>
        <w:sectPr>
          <w:pgSz w:w="11900" w:h="16838" w:orient="portrait"/>
          <w:cols w:equalWidth="0" w:num="2">
            <w:col w:w="7323" w:space="720"/>
            <w:col w:w="3440"/>
          </w:cols>
          <w:pgMar w:left="217" w:top="685" w:right="199" w:bottom="1440" w:gutter="0" w:footer="0" w:header="0"/>
          <w:type w:val="continuous"/>
        </w:sectPr>
      </w:pPr>
    </w:p>
    <w:p>
      <w:pPr>
        <w:jc w:val="both"/>
        <w:ind w:left="223" w:right="20"/>
        <w:spacing w:after="0" w:line="257" w:lineRule="auto"/>
        <w:rPr>
          <w:sz w:val="20"/>
          <w:szCs w:val="20"/>
          <w:color w:val="auto"/>
        </w:rPr>
      </w:pPr>
      <w:r>
        <w:rPr>
          <w:rFonts w:ascii="Arial" w:cs="Arial" w:eastAsia="Arial" w:hAnsi="Arial"/>
          <w:sz w:val="13"/>
          <w:szCs w:val="13"/>
          <w:color w:val="auto"/>
        </w:rPr>
        <w:t>Borrowings consist of long-term and syndicated loans obtained from international banks. Debt instruments consist of public and private issuances under the Bank's Euro Medium Term Notes Program (“EMTN”) as well as public issuances in the Mexican and Japanese markets. The breakdown of borrowings and long-term debt (original maturity of more than one year), along with contractual interest rates, plus prepaid commissions of $3.5 million and $4.2 million as of December 31, 2018 and December 31, 2017, respectively, are as follows:</w:t>
      </w:r>
    </w:p>
    <w:p>
      <w:pPr>
        <w:spacing w:after="0" w:line="132" w:lineRule="exact"/>
        <w:rPr>
          <w:sz w:val="20"/>
          <w:szCs w:val="20"/>
          <w:color w:val="auto"/>
        </w:rPr>
      </w:pPr>
    </w:p>
    <w:tbl>
      <w:tblPr>
        <w:tblLayout w:type="fixed"/>
        <w:tblInd w:w="3" w:type="dxa"/>
        <w:tblCellMar>
          <w:top w:w="0" w:type="dxa"/>
          <w:left w:w="0" w:type="dxa"/>
          <w:bottom w:w="0" w:type="dxa"/>
          <w:right w:w="0" w:type="dxa"/>
        </w:tblCellMar>
      </w:tblPr>
      <w:tr>
        <w:trPr>
          <w:trHeight w:val="164"/>
        </w:trPr>
        <w:tc>
          <w:tcPr>
            <w:tcW w:w="220" w:type="dxa"/>
            <w:vAlign w:val="bottom"/>
          </w:tcPr>
          <w:p>
            <w:pPr>
              <w:spacing w:after="0"/>
              <w:rPr>
                <w:sz w:val="14"/>
                <w:szCs w:val="14"/>
                <w:color w:val="auto"/>
              </w:rPr>
            </w:pPr>
          </w:p>
        </w:tc>
        <w:tc>
          <w:tcPr>
            <w:tcW w:w="4600" w:type="dxa"/>
            <w:vAlign w:val="bottom"/>
          </w:tcPr>
          <w:p>
            <w:pPr>
              <w:spacing w:after="0"/>
              <w:rPr>
                <w:sz w:val="14"/>
                <w:szCs w:val="14"/>
                <w:color w:val="auto"/>
              </w:rPr>
            </w:pPr>
          </w:p>
        </w:tc>
        <w:tc>
          <w:tcPr>
            <w:tcW w:w="3240" w:type="dxa"/>
            <w:vAlign w:val="bottom"/>
          </w:tcPr>
          <w:p>
            <w:pPr>
              <w:spacing w:after="0"/>
              <w:rPr>
                <w:sz w:val="14"/>
                <w:szCs w:val="14"/>
                <w:color w:val="auto"/>
              </w:rPr>
            </w:pPr>
          </w:p>
        </w:tc>
        <w:tc>
          <w:tcPr>
            <w:tcW w:w="1640" w:type="dxa"/>
            <w:vAlign w:val="bottom"/>
            <w:gridSpan w:val="2"/>
          </w:tcPr>
          <w:p>
            <w:pPr>
              <w:jc w:val="right"/>
              <w:ind w:right="560"/>
              <w:spacing w:after="0"/>
              <w:rPr>
                <w:sz w:val="20"/>
                <w:szCs w:val="20"/>
                <w:color w:val="auto"/>
              </w:rPr>
            </w:pPr>
            <w:r>
              <w:rPr>
                <w:rFonts w:ascii="Arial" w:cs="Arial" w:eastAsia="Arial" w:hAnsi="Arial"/>
                <w:sz w:val="13"/>
                <w:szCs w:val="13"/>
                <w:b w:val="1"/>
                <w:bCs w:val="1"/>
                <w:color w:val="auto"/>
              </w:rPr>
              <w:t>December 31,</w:t>
            </w:r>
          </w:p>
        </w:tc>
        <w:tc>
          <w:tcPr>
            <w:tcW w:w="1540" w:type="dxa"/>
            <w:vAlign w:val="bottom"/>
            <w:gridSpan w:val="2"/>
          </w:tcPr>
          <w:p>
            <w:pPr>
              <w:ind w:left="340"/>
              <w:spacing w:after="0"/>
              <w:rPr>
                <w:sz w:val="20"/>
                <w:szCs w:val="20"/>
                <w:color w:val="auto"/>
              </w:rPr>
            </w:pPr>
            <w:r>
              <w:rPr>
                <w:rFonts w:ascii="Arial" w:cs="Arial" w:eastAsia="Arial" w:hAnsi="Arial"/>
                <w:sz w:val="13"/>
                <w:szCs w:val="13"/>
                <w:b w:val="1"/>
                <w:bCs w:val="1"/>
                <w:color w:val="auto"/>
              </w:rPr>
              <w:t>December 31,</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6"/>
        </w:trPr>
        <w:tc>
          <w:tcPr>
            <w:tcW w:w="220" w:type="dxa"/>
            <w:vAlign w:val="bottom"/>
          </w:tcPr>
          <w:p>
            <w:pPr>
              <w:spacing w:after="0"/>
              <w:rPr>
                <w:sz w:val="14"/>
                <w:szCs w:val="14"/>
                <w:color w:val="auto"/>
              </w:rPr>
            </w:pPr>
          </w:p>
        </w:tc>
        <w:tc>
          <w:tcPr>
            <w:tcW w:w="4600" w:type="dxa"/>
            <w:vAlign w:val="bottom"/>
          </w:tcPr>
          <w:p>
            <w:pPr>
              <w:spacing w:after="0"/>
              <w:rPr>
                <w:sz w:val="14"/>
                <w:szCs w:val="14"/>
                <w:color w:val="auto"/>
              </w:rPr>
            </w:pPr>
          </w:p>
        </w:tc>
        <w:tc>
          <w:tcPr>
            <w:tcW w:w="4680" w:type="dxa"/>
            <w:vAlign w:val="bottom"/>
            <w:gridSpan w:val="2"/>
          </w:tcPr>
          <w:p>
            <w:pPr>
              <w:jc w:val="right"/>
              <w:ind w:right="536"/>
              <w:spacing w:after="0"/>
              <w:rPr>
                <w:sz w:val="20"/>
                <w:szCs w:val="20"/>
                <w:color w:val="auto"/>
              </w:rPr>
            </w:pPr>
            <w:r>
              <w:rPr>
                <w:rFonts w:ascii="Arial" w:cs="Arial" w:eastAsia="Arial" w:hAnsi="Arial"/>
                <w:sz w:val="13"/>
                <w:szCs w:val="13"/>
                <w:b w:val="1"/>
                <w:bCs w:val="1"/>
                <w:color w:val="auto"/>
              </w:rPr>
              <w:t>2018</w:t>
            </w:r>
          </w:p>
        </w:tc>
        <w:tc>
          <w:tcPr>
            <w:tcW w:w="200" w:type="dxa"/>
            <w:vAlign w:val="bottom"/>
          </w:tcPr>
          <w:p>
            <w:pPr>
              <w:spacing w:after="0"/>
              <w:rPr>
                <w:sz w:val="14"/>
                <w:szCs w:val="14"/>
                <w:color w:val="auto"/>
              </w:rPr>
            </w:pPr>
          </w:p>
        </w:tc>
        <w:tc>
          <w:tcPr>
            <w:tcW w:w="1440" w:type="dxa"/>
            <w:vAlign w:val="bottom"/>
          </w:tcPr>
          <w:p>
            <w:pPr>
              <w:ind w:left="600"/>
              <w:spacing w:after="0"/>
              <w:rPr>
                <w:sz w:val="20"/>
                <w:szCs w:val="20"/>
                <w:color w:val="auto"/>
              </w:rPr>
            </w:pPr>
            <w:r>
              <w:rPr>
                <w:rFonts w:ascii="Arial" w:cs="Arial" w:eastAsia="Arial" w:hAnsi="Arial"/>
                <w:sz w:val="13"/>
                <w:szCs w:val="13"/>
                <w:b w:val="1"/>
                <w:bCs w:val="1"/>
                <w:color w:val="auto"/>
              </w:rPr>
              <w:t>2017</w:t>
            </w:r>
          </w:p>
        </w:tc>
        <w:tc>
          <w:tcPr>
            <w:tcW w:w="1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60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Long-term borrowings:</w:t>
            </w:r>
          </w:p>
        </w:tc>
        <w:tc>
          <w:tcPr>
            <w:tcW w:w="3240" w:type="dxa"/>
            <w:vAlign w:val="bottom"/>
            <w:tcBorders>
              <w:top w:val="single" w:sz="8" w:color="CCEEFF"/>
            </w:tcBorders>
            <w:shd w:val="clear" w:color="auto" w:fill="CCEEFF"/>
          </w:tcPr>
          <w:p>
            <w:pPr>
              <w:spacing w:after="0"/>
              <w:rPr>
                <w:sz w:val="12"/>
                <w:szCs w:val="12"/>
                <w:color w:val="auto"/>
              </w:rPr>
            </w:pPr>
          </w:p>
        </w:tc>
        <w:tc>
          <w:tcPr>
            <w:tcW w:w="144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44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600" w:type="dxa"/>
            <w:vAlign w:val="bottom"/>
          </w:tcPr>
          <w:p>
            <w:pPr>
              <w:spacing w:after="0"/>
              <w:rPr>
                <w:sz w:val="20"/>
                <w:szCs w:val="20"/>
                <w:color w:val="auto"/>
              </w:rPr>
            </w:pPr>
            <w:r>
              <w:rPr>
                <w:rFonts w:ascii="Arial" w:cs="Arial" w:eastAsia="Arial" w:hAnsi="Arial"/>
                <w:sz w:val="13"/>
                <w:szCs w:val="13"/>
                <w:color w:val="auto"/>
              </w:rPr>
              <w:t>At fixed interest rates with due dates from January 2019 to February 2022</w:t>
            </w:r>
          </w:p>
        </w:tc>
        <w:tc>
          <w:tcPr>
            <w:tcW w:w="4880" w:type="dxa"/>
            <w:vAlign w:val="bottom"/>
            <w:gridSpan w:val="3"/>
          </w:tcPr>
          <w:p>
            <w:pPr>
              <w:jc w:val="right"/>
              <w:ind w:right="200"/>
              <w:spacing w:after="0"/>
              <w:rPr>
                <w:sz w:val="20"/>
                <w:szCs w:val="20"/>
                <w:color w:val="auto"/>
              </w:rPr>
            </w:pPr>
            <w:r>
              <w:rPr>
                <w:rFonts w:ascii="Arial" w:cs="Arial" w:eastAsia="Arial" w:hAnsi="Arial"/>
                <w:sz w:val="13"/>
                <w:szCs w:val="13"/>
                <w:color w:val="auto"/>
              </w:rPr>
              <w:t>63,367</w:t>
            </w:r>
          </w:p>
        </w:tc>
        <w:tc>
          <w:tcPr>
            <w:tcW w:w="1540" w:type="dxa"/>
            <w:vAlign w:val="bottom"/>
            <w:gridSpan w:val="2"/>
          </w:tcPr>
          <w:p>
            <w:pPr>
              <w:jc w:val="right"/>
              <w:ind w:right="100"/>
              <w:spacing w:after="0"/>
              <w:rPr>
                <w:sz w:val="20"/>
                <w:szCs w:val="20"/>
                <w:color w:val="auto"/>
              </w:rPr>
            </w:pPr>
            <w:r>
              <w:rPr>
                <w:rFonts w:ascii="Arial" w:cs="Arial" w:eastAsia="Arial" w:hAnsi="Arial"/>
                <w:sz w:val="13"/>
                <w:szCs w:val="13"/>
                <w:color w:val="auto"/>
              </w:rPr>
              <w:t>44,011</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600" w:type="dxa"/>
            <w:vAlign w:val="bottom"/>
            <w:shd w:val="clear" w:color="auto" w:fill="CCEEFF"/>
          </w:tcPr>
          <w:p>
            <w:pPr>
              <w:spacing w:after="0"/>
              <w:rPr>
                <w:sz w:val="20"/>
                <w:szCs w:val="20"/>
                <w:color w:val="auto"/>
              </w:rPr>
            </w:pPr>
            <w:r>
              <w:rPr>
                <w:rFonts w:ascii="Arial" w:cs="Arial" w:eastAsia="Arial" w:hAnsi="Arial"/>
                <w:sz w:val="13"/>
                <w:szCs w:val="13"/>
                <w:color w:val="auto"/>
              </w:rPr>
              <w:t>At floating interest rates with due dates from August 2019 to August 2023</w:t>
            </w:r>
          </w:p>
        </w:tc>
        <w:tc>
          <w:tcPr>
            <w:tcW w:w="4880" w:type="dxa"/>
            <w:vAlign w:val="bottom"/>
            <w:gridSpan w:val="3"/>
            <w:shd w:val="clear" w:color="auto" w:fill="CCEEFF"/>
          </w:tcPr>
          <w:p>
            <w:pPr>
              <w:jc w:val="right"/>
              <w:ind w:right="200"/>
              <w:spacing w:after="0"/>
              <w:rPr>
                <w:sz w:val="20"/>
                <w:szCs w:val="20"/>
                <w:color w:val="auto"/>
              </w:rPr>
            </w:pPr>
            <w:r>
              <w:rPr>
                <w:rFonts w:ascii="Arial" w:cs="Arial" w:eastAsia="Arial" w:hAnsi="Arial"/>
                <w:sz w:val="13"/>
                <w:szCs w:val="13"/>
                <w:color w:val="auto"/>
              </w:rPr>
              <w:t>823,017</w:t>
            </w:r>
          </w:p>
        </w:tc>
        <w:tc>
          <w:tcPr>
            <w:tcW w:w="15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379,000</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600" w:type="dxa"/>
            <w:vAlign w:val="bottom"/>
            <w:tcBorders>
              <w:bottom w:val="single" w:sz="8" w:color="CCEEFF"/>
            </w:tcBorders>
          </w:tcPr>
          <w:p>
            <w:pPr>
              <w:spacing w:after="0" w:line="143" w:lineRule="exact"/>
              <w:rPr>
                <w:sz w:val="20"/>
                <w:szCs w:val="20"/>
                <w:color w:val="auto"/>
              </w:rPr>
            </w:pPr>
            <w:r>
              <w:rPr>
                <w:rFonts w:ascii="Arial" w:cs="Arial" w:eastAsia="Arial" w:hAnsi="Arial"/>
                <w:sz w:val="13"/>
                <w:szCs w:val="13"/>
                <w:color w:val="auto"/>
              </w:rPr>
              <w:t>Total borrowings</w:t>
            </w:r>
          </w:p>
        </w:tc>
        <w:tc>
          <w:tcPr>
            <w:tcW w:w="3240" w:type="dxa"/>
            <w:vAlign w:val="bottom"/>
            <w:tcBorders>
              <w:bottom w:val="single" w:sz="8" w:color="CCEEFF"/>
            </w:tcBorders>
          </w:tcPr>
          <w:p>
            <w:pPr>
              <w:spacing w:after="0"/>
              <w:rPr>
                <w:sz w:val="12"/>
                <w:szCs w:val="12"/>
                <w:color w:val="auto"/>
              </w:rPr>
            </w:pPr>
          </w:p>
        </w:tc>
        <w:tc>
          <w:tcPr>
            <w:tcW w:w="14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886,384</w:t>
            </w:r>
          </w:p>
        </w:tc>
        <w:tc>
          <w:tcPr>
            <w:tcW w:w="200" w:type="dxa"/>
            <w:vAlign w:val="bottom"/>
            <w:tcBorders>
              <w:bottom w:val="single" w:sz="8" w:color="CCEEFF"/>
            </w:tcBorders>
          </w:tcPr>
          <w:p>
            <w:pPr>
              <w:spacing w:after="0"/>
              <w:rPr>
                <w:sz w:val="12"/>
                <w:szCs w:val="12"/>
                <w:color w:val="auto"/>
              </w:rPr>
            </w:pPr>
          </w:p>
        </w:tc>
        <w:tc>
          <w:tcPr>
            <w:tcW w:w="14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423,011</w:t>
            </w:r>
          </w:p>
        </w:tc>
        <w:tc>
          <w:tcPr>
            <w:tcW w:w="100" w:type="dxa"/>
            <w:vAlign w:val="bottom"/>
            <w:tcBorders>
              <w:bottom w:val="single" w:sz="8" w:color="CCEEFF"/>
            </w:tcBorders>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600" w:type="dxa"/>
            <w:vAlign w:val="bottom"/>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Long-term debt:</w:t>
            </w:r>
          </w:p>
        </w:tc>
        <w:tc>
          <w:tcPr>
            <w:tcW w:w="3240" w:type="dxa"/>
            <w:vAlign w:val="bottom"/>
            <w:shd w:val="clear" w:color="auto" w:fill="CCEEFF"/>
          </w:tcPr>
          <w:p>
            <w:pPr>
              <w:spacing w:after="0"/>
              <w:rPr>
                <w:sz w:val="12"/>
                <w:szCs w:val="12"/>
                <w:color w:val="auto"/>
              </w:rPr>
            </w:pPr>
          </w:p>
        </w:tc>
        <w:tc>
          <w:tcPr>
            <w:tcW w:w="14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4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600" w:type="dxa"/>
            <w:vAlign w:val="bottom"/>
          </w:tcPr>
          <w:p>
            <w:pPr>
              <w:spacing w:after="0"/>
              <w:rPr>
                <w:sz w:val="20"/>
                <w:szCs w:val="20"/>
                <w:color w:val="auto"/>
              </w:rPr>
            </w:pPr>
            <w:r>
              <w:rPr>
                <w:rFonts w:ascii="Arial" w:cs="Arial" w:eastAsia="Arial" w:hAnsi="Arial"/>
                <w:sz w:val="13"/>
                <w:szCs w:val="13"/>
                <w:color w:val="auto"/>
              </w:rPr>
              <w:t>At fixed interest rates with due dates from June 2019 to March 2024</w:t>
            </w:r>
          </w:p>
        </w:tc>
        <w:tc>
          <w:tcPr>
            <w:tcW w:w="4880" w:type="dxa"/>
            <w:vAlign w:val="bottom"/>
            <w:gridSpan w:val="3"/>
          </w:tcPr>
          <w:p>
            <w:pPr>
              <w:jc w:val="right"/>
              <w:ind w:right="200"/>
              <w:spacing w:after="0"/>
              <w:rPr>
                <w:sz w:val="20"/>
                <w:szCs w:val="20"/>
                <w:color w:val="auto"/>
              </w:rPr>
            </w:pPr>
            <w:r>
              <w:rPr>
                <w:rFonts w:ascii="Arial" w:cs="Arial" w:eastAsia="Arial" w:hAnsi="Arial"/>
                <w:sz w:val="13"/>
                <w:szCs w:val="13"/>
                <w:color w:val="auto"/>
              </w:rPr>
              <w:t>503,229</w:t>
            </w:r>
          </w:p>
        </w:tc>
        <w:tc>
          <w:tcPr>
            <w:tcW w:w="1540" w:type="dxa"/>
            <w:vAlign w:val="bottom"/>
            <w:gridSpan w:val="2"/>
          </w:tcPr>
          <w:p>
            <w:pPr>
              <w:jc w:val="right"/>
              <w:ind w:right="100"/>
              <w:spacing w:after="0"/>
              <w:rPr>
                <w:sz w:val="20"/>
                <w:szCs w:val="20"/>
                <w:color w:val="auto"/>
              </w:rPr>
            </w:pPr>
            <w:r>
              <w:rPr>
                <w:rFonts w:ascii="Arial" w:cs="Arial" w:eastAsia="Arial" w:hAnsi="Arial"/>
                <w:sz w:val="13"/>
                <w:szCs w:val="13"/>
                <w:color w:val="auto"/>
              </w:rPr>
              <w:t>532,305</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600" w:type="dxa"/>
            <w:vAlign w:val="bottom"/>
            <w:shd w:val="clear" w:color="auto" w:fill="CCEEFF"/>
          </w:tcPr>
          <w:p>
            <w:pPr>
              <w:spacing w:after="0"/>
              <w:rPr>
                <w:sz w:val="20"/>
                <w:szCs w:val="20"/>
                <w:color w:val="auto"/>
              </w:rPr>
            </w:pPr>
            <w:r>
              <w:rPr>
                <w:rFonts w:ascii="Arial" w:cs="Arial" w:eastAsia="Arial" w:hAnsi="Arial"/>
                <w:sz w:val="13"/>
                <w:szCs w:val="13"/>
                <w:color w:val="auto"/>
              </w:rPr>
              <w:t>At floating interest rates with due dates from April 2019 to June 2023</w:t>
            </w:r>
          </w:p>
        </w:tc>
        <w:tc>
          <w:tcPr>
            <w:tcW w:w="4880" w:type="dxa"/>
            <w:vAlign w:val="bottom"/>
            <w:gridSpan w:val="3"/>
            <w:shd w:val="clear" w:color="auto" w:fill="CCEEFF"/>
          </w:tcPr>
          <w:p>
            <w:pPr>
              <w:jc w:val="right"/>
              <w:ind w:right="200"/>
              <w:spacing w:after="0"/>
              <w:rPr>
                <w:sz w:val="20"/>
                <w:szCs w:val="20"/>
                <w:color w:val="auto"/>
              </w:rPr>
            </w:pPr>
            <w:r>
              <w:rPr>
                <w:rFonts w:ascii="Arial" w:cs="Arial" w:eastAsia="Arial" w:hAnsi="Arial"/>
                <w:sz w:val="13"/>
                <w:szCs w:val="13"/>
                <w:color w:val="auto"/>
              </w:rPr>
              <w:t>111,276</w:t>
            </w:r>
          </w:p>
        </w:tc>
        <w:tc>
          <w:tcPr>
            <w:tcW w:w="15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187,739</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600" w:type="dxa"/>
            <w:vAlign w:val="bottom"/>
            <w:tcBorders>
              <w:bottom w:val="single" w:sz="8" w:color="CCEEFF"/>
            </w:tcBorders>
          </w:tcPr>
          <w:p>
            <w:pPr>
              <w:spacing w:after="0" w:line="143" w:lineRule="exact"/>
              <w:rPr>
                <w:sz w:val="20"/>
                <w:szCs w:val="20"/>
                <w:color w:val="auto"/>
              </w:rPr>
            </w:pPr>
            <w:r>
              <w:rPr>
                <w:rFonts w:ascii="Arial" w:cs="Arial" w:eastAsia="Arial" w:hAnsi="Arial"/>
                <w:sz w:val="13"/>
                <w:szCs w:val="13"/>
                <w:color w:val="auto"/>
              </w:rPr>
              <w:t>Total long-term debt</w:t>
            </w:r>
          </w:p>
        </w:tc>
        <w:tc>
          <w:tcPr>
            <w:tcW w:w="3240" w:type="dxa"/>
            <w:vAlign w:val="bottom"/>
            <w:tcBorders>
              <w:bottom w:val="single" w:sz="8" w:color="CCEEFF"/>
            </w:tcBorders>
          </w:tcPr>
          <w:p>
            <w:pPr>
              <w:spacing w:after="0"/>
              <w:rPr>
                <w:sz w:val="12"/>
                <w:szCs w:val="12"/>
                <w:color w:val="auto"/>
              </w:rPr>
            </w:pPr>
          </w:p>
        </w:tc>
        <w:tc>
          <w:tcPr>
            <w:tcW w:w="14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614,505</w:t>
            </w:r>
          </w:p>
        </w:tc>
        <w:tc>
          <w:tcPr>
            <w:tcW w:w="200" w:type="dxa"/>
            <w:vAlign w:val="bottom"/>
            <w:tcBorders>
              <w:bottom w:val="single" w:sz="8" w:color="CCEEFF"/>
            </w:tcBorders>
          </w:tcPr>
          <w:p>
            <w:pPr>
              <w:spacing w:after="0"/>
              <w:rPr>
                <w:sz w:val="12"/>
                <w:szCs w:val="12"/>
                <w:color w:val="auto"/>
              </w:rPr>
            </w:pPr>
          </w:p>
        </w:tc>
        <w:tc>
          <w:tcPr>
            <w:tcW w:w="14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720,044</w:t>
            </w:r>
          </w:p>
        </w:tc>
        <w:tc>
          <w:tcPr>
            <w:tcW w:w="100" w:type="dxa"/>
            <w:vAlign w:val="bottom"/>
            <w:tcBorders>
              <w:bottom w:val="single" w:sz="8" w:color="CCEEFF"/>
            </w:tcBorders>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600" w:type="dxa"/>
            <w:vAlign w:val="bottom"/>
            <w:shd w:val="clear" w:color="auto" w:fill="CCEEFF"/>
          </w:tcPr>
          <w:p>
            <w:pPr>
              <w:spacing w:after="0" w:line="143" w:lineRule="exact"/>
              <w:rPr>
                <w:sz w:val="20"/>
                <w:szCs w:val="20"/>
                <w:color w:val="auto"/>
              </w:rPr>
            </w:pPr>
            <w:r>
              <w:rPr>
                <w:rFonts w:ascii="Arial" w:cs="Arial" w:eastAsia="Arial" w:hAnsi="Arial"/>
                <w:sz w:val="13"/>
                <w:szCs w:val="13"/>
                <w:color w:val="auto"/>
              </w:rPr>
              <w:t>Total long-term borrowings and debt</w:t>
            </w:r>
          </w:p>
        </w:tc>
        <w:tc>
          <w:tcPr>
            <w:tcW w:w="3240" w:type="dxa"/>
            <w:vAlign w:val="bottom"/>
            <w:shd w:val="clear" w:color="auto" w:fill="CCEEFF"/>
          </w:tcPr>
          <w:p>
            <w:pPr>
              <w:spacing w:after="0"/>
              <w:rPr>
                <w:sz w:val="12"/>
                <w:szCs w:val="12"/>
                <w:color w:val="auto"/>
              </w:rPr>
            </w:pPr>
          </w:p>
        </w:tc>
        <w:tc>
          <w:tcPr>
            <w:tcW w:w="144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color w:val="auto"/>
              </w:rPr>
              <w:t>1,500,889</w:t>
            </w:r>
          </w:p>
        </w:tc>
        <w:tc>
          <w:tcPr>
            <w:tcW w:w="200" w:type="dxa"/>
            <w:vAlign w:val="bottom"/>
            <w:shd w:val="clear" w:color="auto" w:fill="CCEEFF"/>
          </w:tcPr>
          <w:p>
            <w:pPr>
              <w:spacing w:after="0"/>
              <w:rPr>
                <w:sz w:val="12"/>
                <w:szCs w:val="12"/>
                <w:color w:val="auto"/>
              </w:rPr>
            </w:pPr>
          </w:p>
        </w:tc>
        <w:tc>
          <w:tcPr>
            <w:tcW w:w="144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color w:val="auto"/>
              </w:rPr>
              <w:t>1,143,055</w:t>
            </w:r>
          </w:p>
        </w:tc>
        <w:tc>
          <w:tcPr>
            <w:tcW w:w="100" w:type="dxa"/>
            <w:vAlign w:val="bottom"/>
            <w:shd w:val="clear" w:color="auto" w:fill="CCEEFF"/>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600" w:type="dxa"/>
            <w:vAlign w:val="bottom"/>
          </w:tcPr>
          <w:p>
            <w:pPr>
              <w:spacing w:after="0"/>
              <w:rPr>
                <w:sz w:val="20"/>
                <w:szCs w:val="20"/>
                <w:color w:val="auto"/>
              </w:rPr>
            </w:pPr>
            <w:r>
              <w:rPr>
                <w:rFonts w:ascii="Arial" w:cs="Arial" w:eastAsia="Arial" w:hAnsi="Arial"/>
                <w:sz w:val="13"/>
                <w:szCs w:val="13"/>
                <w:color w:val="auto"/>
              </w:rPr>
              <w:t>Less: Prepaid commissions</w:t>
            </w:r>
          </w:p>
        </w:tc>
        <w:tc>
          <w:tcPr>
            <w:tcW w:w="4880" w:type="dxa"/>
            <w:vAlign w:val="bottom"/>
            <w:gridSpan w:val="3"/>
          </w:tcPr>
          <w:p>
            <w:pPr>
              <w:jc w:val="right"/>
              <w:ind w:right="160"/>
              <w:spacing w:after="0"/>
              <w:rPr>
                <w:sz w:val="20"/>
                <w:szCs w:val="20"/>
                <w:color w:val="auto"/>
              </w:rPr>
            </w:pPr>
            <w:r>
              <w:rPr>
                <w:rFonts w:ascii="Arial" w:cs="Arial" w:eastAsia="Arial" w:hAnsi="Arial"/>
                <w:sz w:val="13"/>
                <w:szCs w:val="13"/>
                <w:color w:val="auto"/>
              </w:rPr>
              <w:t>(3,547)</w:t>
            </w:r>
          </w:p>
        </w:tc>
        <w:tc>
          <w:tcPr>
            <w:tcW w:w="1540" w:type="dxa"/>
            <w:vAlign w:val="bottom"/>
            <w:gridSpan w:val="2"/>
          </w:tcPr>
          <w:p>
            <w:pPr>
              <w:jc w:val="right"/>
              <w:ind w:right="60"/>
              <w:spacing w:after="0"/>
              <w:rPr>
                <w:sz w:val="20"/>
                <w:szCs w:val="20"/>
                <w:color w:val="auto"/>
              </w:rPr>
            </w:pPr>
            <w:r>
              <w:rPr>
                <w:rFonts w:ascii="Arial" w:cs="Arial" w:eastAsia="Arial" w:hAnsi="Arial"/>
                <w:sz w:val="13"/>
                <w:szCs w:val="13"/>
                <w:color w:val="auto"/>
              </w:rPr>
              <w:t>(4,211)</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4600" w:type="dxa"/>
            <w:vAlign w:val="bottom"/>
            <w:tcBorders>
              <w:top w:val="single" w:sz="8" w:color="CCEEFF"/>
              <w:bottom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Total long-term borrowings and debt, net</w:t>
            </w:r>
          </w:p>
        </w:tc>
        <w:tc>
          <w:tcPr>
            <w:tcW w:w="3240" w:type="dxa"/>
            <w:vAlign w:val="bottom"/>
            <w:tcBorders>
              <w:top w:val="single" w:sz="8" w:color="CCEEFF"/>
              <w:bottom w:val="single" w:sz="8" w:color="CCEEFF"/>
            </w:tcBorders>
            <w:shd w:val="clear" w:color="auto" w:fill="CCEEFF"/>
          </w:tcPr>
          <w:p>
            <w:pPr>
              <w:spacing w:after="0"/>
              <w:rPr>
                <w:sz w:val="14"/>
                <w:szCs w:val="14"/>
                <w:color w:val="auto"/>
              </w:rPr>
            </w:pPr>
          </w:p>
        </w:tc>
        <w:tc>
          <w:tcPr>
            <w:tcW w:w="14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1,497,342</w:t>
            </w:r>
          </w:p>
        </w:tc>
        <w:tc>
          <w:tcPr>
            <w:tcW w:w="200" w:type="dxa"/>
            <w:vAlign w:val="bottom"/>
            <w:tcBorders>
              <w:top w:val="single" w:sz="8" w:color="CCEEFF"/>
              <w:bottom w:val="single" w:sz="8" w:color="CCEEFF"/>
            </w:tcBorders>
            <w:shd w:val="clear" w:color="auto" w:fill="CCEEFF"/>
          </w:tcPr>
          <w:p>
            <w:pPr>
              <w:spacing w:after="0"/>
              <w:rPr>
                <w:sz w:val="14"/>
                <w:szCs w:val="14"/>
                <w:color w:val="auto"/>
              </w:rPr>
            </w:pPr>
          </w:p>
        </w:tc>
        <w:tc>
          <w:tcPr>
            <w:tcW w:w="14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1,138,844</w:t>
            </w: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4600" w:type="dxa"/>
            <w:vAlign w:val="bottom"/>
          </w:tcPr>
          <w:p>
            <w:pPr>
              <w:spacing w:after="0"/>
              <w:rPr>
                <w:sz w:val="13"/>
                <w:szCs w:val="13"/>
                <w:color w:val="auto"/>
              </w:rPr>
            </w:pPr>
          </w:p>
        </w:tc>
        <w:tc>
          <w:tcPr>
            <w:tcW w:w="3240" w:type="dxa"/>
            <w:vAlign w:val="bottom"/>
          </w:tcPr>
          <w:p>
            <w:pPr>
              <w:spacing w:after="0"/>
              <w:rPr>
                <w:sz w:val="13"/>
                <w:szCs w:val="13"/>
                <w:color w:val="auto"/>
              </w:rPr>
            </w:pPr>
          </w:p>
        </w:tc>
        <w:tc>
          <w:tcPr>
            <w:tcW w:w="14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4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93"/>
        </w:trPr>
        <w:tc>
          <w:tcPr>
            <w:tcW w:w="220" w:type="dxa"/>
            <w:vAlign w:val="bottom"/>
            <w:vMerge w:val="continue"/>
          </w:tcPr>
          <w:p>
            <w:pPr>
              <w:spacing w:after="0"/>
              <w:rPr>
                <w:sz w:val="16"/>
                <w:szCs w:val="16"/>
                <w:color w:val="auto"/>
              </w:rPr>
            </w:pPr>
          </w:p>
        </w:tc>
        <w:tc>
          <w:tcPr>
            <w:tcW w:w="4600" w:type="dxa"/>
            <w:vAlign w:val="bottom"/>
            <w:shd w:val="clear" w:color="auto" w:fill="CCEEFF"/>
          </w:tcPr>
          <w:p>
            <w:pPr>
              <w:spacing w:after="0"/>
              <w:rPr>
                <w:sz w:val="20"/>
                <w:szCs w:val="20"/>
                <w:color w:val="auto"/>
              </w:rPr>
            </w:pPr>
            <w:r>
              <w:rPr>
                <w:rFonts w:ascii="Arial" w:cs="Arial" w:eastAsia="Arial" w:hAnsi="Arial"/>
                <w:sz w:val="13"/>
                <w:szCs w:val="13"/>
                <w:color w:val="auto"/>
              </w:rPr>
              <w:t>Net average outstanding balance during the year</w:t>
            </w:r>
          </w:p>
        </w:tc>
        <w:tc>
          <w:tcPr>
            <w:tcW w:w="4880" w:type="dxa"/>
            <w:vAlign w:val="bottom"/>
            <w:gridSpan w:val="3"/>
            <w:shd w:val="clear" w:color="auto" w:fill="CCEEFF"/>
          </w:tcPr>
          <w:p>
            <w:pPr>
              <w:jc w:val="right"/>
              <w:ind w:right="200"/>
              <w:spacing w:after="0"/>
              <w:rPr>
                <w:sz w:val="20"/>
                <w:szCs w:val="20"/>
                <w:color w:val="auto"/>
              </w:rPr>
            </w:pPr>
            <w:r>
              <w:rPr>
                <w:rFonts w:ascii="Arial" w:cs="Arial" w:eastAsia="Arial" w:hAnsi="Arial"/>
                <w:sz w:val="13"/>
                <w:szCs w:val="13"/>
                <w:color w:val="auto"/>
              </w:rPr>
              <w:t>1,244,619</w:t>
            </w:r>
          </w:p>
        </w:tc>
        <w:tc>
          <w:tcPr>
            <w:tcW w:w="1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1,477,788</w:t>
            </w:r>
          </w:p>
        </w:tc>
        <w:tc>
          <w:tcPr>
            <w:tcW w:w="100" w:type="dxa"/>
            <w:vAlign w:val="bottom"/>
            <w:shd w:val="clear" w:color="auto" w:fill="CCEEFF"/>
          </w:tcPr>
          <w:p>
            <w:pPr>
              <w:spacing w:after="0"/>
              <w:rPr>
                <w:sz w:val="16"/>
                <w:szCs w:val="16"/>
                <w:color w:val="auto"/>
              </w:rPr>
            </w:pPr>
          </w:p>
        </w:tc>
        <w:tc>
          <w:tcPr>
            <w:tcW w:w="2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52"/>
        </w:trPr>
        <w:tc>
          <w:tcPr>
            <w:tcW w:w="220" w:type="dxa"/>
            <w:vAlign w:val="bottom"/>
          </w:tcPr>
          <w:p>
            <w:pPr>
              <w:spacing w:after="0"/>
              <w:rPr>
                <w:sz w:val="13"/>
                <w:szCs w:val="13"/>
                <w:color w:val="auto"/>
              </w:rPr>
            </w:pPr>
          </w:p>
        </w:tc>
        <w:tc>
          <w:tcPr>
            <w:tcW w:w="4600" w:type="dxa"/>
            <w:vAlign w:val="bottom"/>
            <w:tcBorders>
              <w:top w:val="single" w:sz="8" w:color="CCEEFF"/>
              <w:bottom w:val="single" w:sz="8" w:color="CCEEFF"/>
            </w:tcBorders>
          </w:tcPr>
          <w:p>
            <w:pPr>
              <w:spacing w:after="0" w:line="143" w:lineRule="exact"/>
              <w:rPr>
                <w:sz w:val="20"/>
                <w:szCs w:val="20"/>
                <w:color w:val="auto"/>
              </w:rPr>
            </w:pPr>
            <w:r>
              <w:rPr>
                <w:rFonts w:ascii="Arial" w:cs="Arial" w:eastAsia="Arial" w:hAnsi="Arial"/>
                <w:sz w:val="13"/>
                <w:szCs w:val="13"/>
                <w:color w:val="auto"/>
              </w:rPr>
              <w:t>Maximum outstanding balance at any month – end</w:t>
            </w:r>
          </w:p>
        </w:tc>
        <w:tc>
          <w:tcPr>
            <w:tcW w:w="3240" w:type="dxa"/>
            <w:vAlign w:val="bottom"/>
            <w:tcBorders>
              <w:top w:val="single" w:sz="8" w:color="CCEEFF"/>
              <w:bottom w:val="single" w:sz="8" w:color="CCEEFF"/>
            </w:tcBorders>
          </w:tcPr>
          <w:p>
            <w:pPr>
              <w:spacing w:after="0"/>
              <w:rPr>
                <w:sz w:val="13"/>
                <w:szCs w:val="13"/>
                <w:color w:val="auto"/>
              </w:rPr>
            </w:pPr>
          </w:p>
        </w:tc>
        <w:tc>
          <w:tcPr>
            <w:tcW w:w="144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1,500,889</w:t>
            </w:r>
          </w:p>
        </w:tc>
        <w:tc>
          <w:tcPr>
            <w:tcW w:w="200" w:type="dxa"/>
            <w:vAlign w:val="bottom"/>
            <w:tcBorders>
              <w:top w:val="single" w:sz="8" w:color="CCEEFF"/>
              <w:bottom w:val="single" w:sz="8" w:color="CCEEFF"/>
            </w:tcBorders>
          </w:tcPr>
          <w:p>
            <w:pPr>
              <w:spacing w:after="0"/>
              <w:rPr>
                <w:sz w:val="13"/>
                <w:szCs w:val="13"/>
                <w:color w:val="auto"/>
              </w:rPr>
            </w:pPr>
          </w:p>
        </w:tc>
        <w:tc>
          <w:tcPr>
            <w:tcW w:w="144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2,010,078</w:t>
            </w:r>
          </w:p>
        </w:tc>
        <w:tc>
          <w:tcPr>
            <w:tcW w:w="100" w:type="dxa"/>
            <w:vAlign w:val="bottom"/>
            <w:tcBorders>
              <w:top w:val="single" w:sz="8" w:color="CCEEFF"/>
              <w:bottom w:val="single" w:sz="8" w:color="CCEEFF"/>
            </w:tcBorders>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74"/>
        </w:trPr>
        <w:tc>
          <w:tcPr>
            <w:tcW w:w="220" w:type="dxa"/>
            <w:vAlign w:val="bottom"/>
          </w:tcPr>
          <w:p>
            <w:pPr>
              <w:spacing w:after="0"/>
              <w:rPr>
                <w:sz w:val="15"/>
                <w:szCs w:val="15"/>
                <w:color w:val="auto"/>
              </w:rPr>
            </w:pPr>
          </w:p>
        </w:tc>
        <w:tc>
          <w:tcPr>
            <w:tcW w:w="4600" w:type="dxa"/>
            <w:vAlign w:val="bottom"/>
            <w:tcBorders>
              <w:bottom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Range of fixed interest rates on borrowings and debt in U.S. dollars</w:t>
            </w:r>
          </w:p>
        </w:tc>
        <w:tc>
          <w:tcPr>
            <w:tcW w:w="3240" w:type="dxa"/>
            <w:vAlign w:val="bottom"/>
            <w:tcBorders>
              <w:bottom w:val="single" w:sz="8" w:color="CCEEFF"/>
            </w:tcBorders>
            <w:shd w:val="clear" w:color="auto" w:fill="CCEEFF"/>
          </w:tcPr>
          <w:p>
            <w:pPr>
              <w:spacing w:after="0"/>
              <w:rPr>
                <w:sz w:val="15"/>
                <w:szCs w:val="15"/>
                <w:color w:val="auto"/>
              </w:rPr>
            </w:pPr>
          </w:p>
        </w:tc>
        <w:tc>
          <w:tcPr>
            <w:tcW w:w="14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2.25% to 3.25%</w:t>
            </w:r>
          </w:p>
        </w:tc>
        <w:tc>
          <w:tcPr>
            <w:tcW w:w="200" w:type="dxa"/>
            <w:vAlign w:val="bottom"/>
            <w:tcBorders>
              <w:bottom w:val="single" w:sz="8" w:color="CCEEFF"/>
            </w:tcBorders>
            <w:shd w:val="clear" w:color="auto" w:fill="CCEEFF"/>
          </w:tcPr>
          <w:p>
            <w:pPr>
              <w:spacing w:after="0"/>
              <w:rPr>
                <w:sz w:val="15"/>
                <w:szCs w:val="15"/>
                <w:color w:val="auto"/>
              </w:rPr>
            </w:pPr>
          </w:p>
        </w:tc>
        <w:tc>
          <w:tcPr>
            <w:tcW w:w="1440" w:type="dxa"/>
            <w:vAlign w:val="bottom"/>
            <w:tcBorders>
              <w:bottom w:val="single" w:sz="8" w:color="auto"/>
            </w:tcBorders>
            <w:shd w:val="clear" w:color="auto" w:fill="CCEEFF"/>
          </w:tcPr>
          <w:p>
            <w:pPr>
              <w:ind w:left="600"/>
              <w:spacing w:after="0"/>
              <w:rPr>
                <w:sz w:val="20"/>
                <w:szCs w:val="20"/>
                <w:color w:val="auto"/>
              </w:rPr>
            </w:pPr>
            <w:r>
              <w:rPr>
                <w:rFonts w:ascii="Arial" w:cs="Arial" w:eastAsia="Arial" w:hAnsi="Arial"/>
                <w:sz w:val="13"/>
                <w:szCs w:val="13"/>
                <w:color w:val="auto"/>
                <w:w w:val="89"/>
              </w:rPr>
              <w:t>1.35% to 3.25%</w:t>
            </w:r>
          </w:p>
        </w:tc>
        <w:tc>
          <w:tcPr>
            <w:tcW w:w="100" w:type="dxa"/>
            <w:vAlign w:val="bottom"/>
            <w:tcBorders>
              <w:bottom w:val="single" w:sz="8" w:color="CCEEFF"/>
            </w:tcBorders>
            <w:shd w:val="clear" w:color="auto" w:fill="CCEEFF"/>
          </w:tcPr>
          <w:p>
            <w:pPr>
              <w:spacing w:after="0"/>
              <w:rPr>
                <w:sz w:val="15"/>
                <w:szCs w:val="15"/>
                <w:color w:val="auto"/>
              </w:rPr>
            </w:pPr>
          </w:p>
        </w:tc>
        <w:tc>
          <w:tcPr>
            <w:tcW w:w="2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52"/>
        </w:trPr>
        <w:tc>
          <w:tcPr>
            <w:tcW w:w="220" w:type="dxa"/>
            <w:vAlign w:val="bottom"/>
          </w:tcPr>
          <w:p>
            <w:pPr>
              <w:spacing w:after="0"/>
              <w:rPr>
                <w:sz w:val="13"/>
                <w:szCs w:val="13"/>
                <w:color w:val="auto"/>
              </w:rPr>
            </w:pPr>
          </w:p>
        </w:tc>
        <w:tc>
          <w:tcPr>
            <w:tcW w:w="4600" w:type="dxa"/>
            <w:vAlign w:val="bottom"/>
            <w:tcBorders>
              <w:bottom w:val="single" w:sz="8" w:color="CCEEFF"/>
            </w:tcBorders>
          </w:tcPr>
          <w:p>
            <w:pPr>
              <w:spacing w:after="0" w:line="143" w:lineRule="exact"/>
              <w:rPr>
                <w:sz w:val="20"/>
                <w:szCs w:val="20"/>
                <w:color w:val="auto"/>
              </w:rPr>
            </w:pPr>
            <w:r>
              <w:rPr>
                <w:rFonts w:ascii="Arial" w:cs="Arial" w:eastAsia="Arial" w:hAnsi="Arial"/>
                <w:sz w:val="13"/>
                <w:szCs w:val="13"/>
                <w:color w:val="auto"/>
              </w:rPr>
              <w:t>Range of floating interest rates on borrowings and debt in U.S. dollars</w:t>
            </w:r>
          </w:p>
        </w:tc>
        <w:tc>
          <w:tcPr>
            <w:tcW w:w="3240" w:type="dxa"/>
            <w:vAlign w:val="bottom"/>
            <w:tcBorders>
              <w:bottom w:val="single" w:sz="8" w:color="CCEEFF"/>
            </w:tcBorders>
          </w:tcPr>
          <w:p>
            <w:pPr>
              <w:spacing w:after="0"/>
              <w:rPr>
                <w:sz w:val="13"/>
                <w:szCs w:val="13"/>
                <w:color w:val="auto"/>
              </w:rPr>
            </w:pPr>
          </w:p>
        </w:tc>
        <w:tc>
          <w:tcPr>
            <w:tcW w:w="144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3.26% to 4.46%</w:t>
            </w:r>
          </w:p>
        </w:tc>
        <w:tc>
          <w:tcPr>
            <w:tcW w:w="200" w:type="dxa"/>
            <w:vAlign w:val="bottom"/>
            <w:tcBorders>
              <w:bottom w:val="single" w:sz="8" w:color="CCEEFF"/>
            </w:tcBorders>
          </w:tcPr>
          <w:p>
            <w:pPr>
              <w:spacing w:after="0"/>
              <w:rPr>
                <w:sz w:val="13"/>
                <w:szCs w:val="13"/>
                <w:color w:val="auto"/>
              </w:rPr>
            </w:pPr>
          </w:p>
        </w:tc>
        <w:tc>
          <w:tcPr>
            <w:tcW w:w="1440" w:type="dxa"/>
            <w:vAlign w:val="bottom"/>
            <w:tcBorders>
              <w:bottom w:val="single" w:sz="8" w:color="auto"/>
            </w:tcBorders>
          </w:tcPr>
          <w:p>
            <w:pPr>
              <w:ind w:left="600"/>
              <w:spacing w:after="0" w:line="143" w:lineRule="exact"/>
              <w:rPr>
                <w:sz w:val="20"/>
                <w:szCs w:val="20"/>
                <w:color w:val="auto"/>
              </w:rPr>
            </w:pPr>
            <w:r>
              <w:rPr>
                <w:rFonts w:ascii="Arial" w:cs="Arial" w:eastAsia="Arial" w:hAnsi="Arial"/>
                <w:sz w:val="13"/>
                <w:szCs w:val="13"/>
                <w:color w:val="auto"/>
                <w:w w:val="89"/>
              </w:rPr>
              <w:t>2.61% to 3.01%</w:t>
            </w:r>
          </w:p>
        </w:tc>
        <w:tc>
          <w:tcPr>
            <w:tcW w:w="100" w:type="dxa"/>
            <w:vAlign w:val="bottom"/>
            <w:tcBorders>
              <w:bottom w:val="single" w:sz="8" w:color="CCEEFF"/>
            </w:tcBorders>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74"/>
        </w:trPr>
        <w:tc>
          <w:tcPr>
            <w:tcW w:w="220" w:type="dxa"/>
            <w:vAlign w:val="bottom"/>
          </w:tcPr>
          <w:p>
            <w:pPr>
              <w:spacing w:after="0"/>
              <w:rPr>
                <w:sz w:val="15"/>
                <w:szCs w:val="15"/>
                <w:color w:val="auto"/>
              </w:rPr>
            </w:pPr>
          </w:p>
        </w:tc>
        <w:tc>
          <w:tcPr>
            <w:tcW w:w="4600" w:type="dxa"/>
            <w:vAlign w:val="bottom"/>
            <w:tcBorders>
              <w:bottom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Range of fixed interest rates on borrowings in Mexican pesos</w:t>
            </w:r>
          </w:p>
        </w:tc>
        <w:tc>
          <w:tcPr>
            <w:tcW w:w="3240" w:type="dxa"/>
            <w:vAlign w:val="bottom"/>
            <w:tcBorders>
              <w:bottom w:val="single" w:sz="8" w:color="CCEEFF"/>
            </w:tcBorders>
            <w:shd w:val="clear" w:color="auto" w:fill="CCEEFF"/>
          </w:tcPr>
          <w:p>
            <w:pPr>
              <w:spacing w:after="0"/>
              <w:rPr>
                <w:sz w:val="15"/>
                <w:szCs w:val="15"/>
                <w:color w:val="auto"/>
              </w:rPr>
            </w:pPr>
          </w:p>
        </w:tc>
        <w:tc>
          <w:tcPr>
            <w:tcW w:w="14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5.25% to 9.09%</w:t>
            </w:r>
          </w:p>
        </w:tc>
        <w:tc>
          <w:tcPr>
            <w:tcW w:w="200" w:type="dxa"/>
            <w:vAlign w:val="bottom"/>
            <w:tcBorders>
              <w:bottom w:val="single" w:sz="8" w:color="CCEEFF"/>
            </w:tcBorders>
            <w:shd w:val="clear" w:color="auto" w:fill="CCEEFF"/>
          </w:tcPr>
          <w:p>
            <w:pPr>
              <w:spacing w:after="0"/>
              <w:rPr>
                <w:sz w:val="15"/>
                <w:szCs w:val="15"/>
                <w:color w:val="auto"/>
              </w:rPr>
            </w:pPr>
          </w:p>
        </w:tc>
        <w:tc>
          <w:tcPr>
            <w:tcW w:w="1440" w:type="dxa"/>
            <w:vAlign w:val="bottom"/>
            <w:tcBorders>
              <w:bottom w:val="single" w:sz="8" w:color="auto"/>
            </w:tcBorders>
            <w:shd w:val="clear" w:color="auto" w:fill="CCEEFF"/>
          </w:tcPr>
          <w:p>
            <w:pPr>
              <w:ind w:left="600"/>
              <w:spacing w:after="0"/>
              <w:rPr>
                <w:sz w:val="20"/>
                <w:szCs w:val="20"/>
                <w:color w:val="auto"/>
              </w:rPr>
            </w:pPr>
            <w:r>
              <w:rPr>
                <w:rFonts w:ascii="Arial" w:cs="Arial" w:eastAsia="Arial" w:hAnsi="Arial"/>
                <w:sz w:val="13"/>
                <w:szCs w:val="13"/>
                <w:color w:val="auto"/>
                <w:w w:val="89"/>
              </w:rPr>
              <w:t>4.89% to 9.09%</w:t>
            </w:r>
          </w:p>
        </w:tc>
        <w:tc>
          <w:tcPr>
            <w:tcW w:w="100" w:type="dxa"/>
            <w:vAlign w:val="bottom"/>
            <w:tcBorders>
              <w:bottom w:val="single" w:sz="8" w:color="CCEEFF"/>
            </w:tcBorders>
            <w:shd w:val="clear" w:color="auto" w:fill="CCEEFF"/>
          </w:tcPr>
          <w:p>
            <w:pPr>
              <w:spacing w:after="0"/>
              <w:rPr>
                <w:sz w:val="15"/>
                <w:szCs w:val="15"/>
                <w:color w:val="auto"/>
              </w:rPr>
            </w:pPr>
          </w:p>
        </w:tc>
        <w:tc>
          <w:tcPr>
            <w:tcW w:w="2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52"/>
        </w:trPr>
        <w:tc>
          <w:tcPr>
            <w:tcW w:w="220" w:type="dxa"/>
            <w:vAlign w:val="bottom"/>
          </w:tcPr>
          <w:p>
            <w:pPr>
              <w:spacing w:after="0"/>
              <w:rPr>
                <w:sz w:val="13"/>
                <w:szCs w:val="13"/>
                <w:color w:val="auto"/>
              </w:rPr>
            </w:pPr>
          </w:p>
        </w:tc>
        <w:tc>
          <w:tcPr>
            <w:tcW w:w="4600" w:type="dxa"/>
            <w:vAlign w:val="bottom"/>
            <w:tcBorders>
              <w:bottom w:val="single" w:sz="8" w:color="CCEEFF"/>
            </w:tcBorders>
          </w:tcPr>
          <w:p>
            <w:pPr>
              <w:spacing w:after="0" w:line="143" w:lineRule="exact"/>
              <w:rPr>
                <w:sz w:val="20"/>
                <w:szCs w:val="20"/>
                <w:color w:val="auto"/>
              </w:rPr>
            </w:pPr>
            <w:r>
              <w:rPr>
                <w:rFonts w:ascii="Arial" w:cs="Arial" w:eastAsia="Arial" w:hAnsi="Arial"/>
                <w:sz w:val="13"/>
                <w:szCs w:val="13"/>
                <w:color w:val="auto"/>
              </w:rPr>
              <w:t>Range of floating interest rates on borrowings and debt in Mexican pesos</w:t>
            </w:r>
          </w:p>
        </w:tc>
        <w:tc>
          <w:tcPr>
            <w:tcW w:w="3240" w:type="dxa"/>
            <w:vAlign w:val="bottom"/>
            <w:tcBorders>
              <w:bottom w:val="single" w:sz="8" w:color="CCEEFF"/>
            </w:tcBorders>
          </w:tcPr>
          <w:p>
            <w:pPr>
              <w:spacing w:after="0"/>
              <w:rPr>
                <w:sz w:val="13"/>
                <w:szCs w:val="13"/>
                <w:color w:val="auto"/>
              </w:rPr>
            </w:pPr>
          </w:p>
        </w:tc>
        <w:tc>
          <w:tcPr>
            <w:tcW w:w="144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9.19% to 9.71%</w:t>
            </w:r>
          </w:p>
        </w:tc>
        <w:tc>
          <w:tcPr>
            <w:tcW w:w="200" w:type="dxa"/>
            <w:vAlign w:val="bottom"/>
            <w:tcBorders>
              <w:bottom w:val="single" w:sz="8" w:color="CCEEFF"/>
            </w:tcBorders>
          </w:tcPr>
          <w:p>
            <w:pPr>
              <w:spacing w:after="0"/>
              <w:rPr>
                <w:sz w:val="13"/>
                <w:szCs w:val="13"/>
                <w:color w:val="auto"/>
              </w:rPr>
            </w:pPr>
          </w:p>
        </w:tc>
        <w:tc>
          <w:tcPr>
            <w:tcW w:w="1440" w:type="dxa"/>
            <w:vAlign w:val="bottom"/>
            <w:tcBorders>
              <w:bottom w:val="single" w:sz="8" w:color="auto"/>
            </w:tcBorders>
          </w:tcPr>
          <w:p>
            <w:pPr>
              <w:ind w:left="600"/>
              <w:spacing w:after="0" w:line="143" w:lineRule="exact"/>
              <w:rPr>
                <w:sz w:val="20"/>
                <w:szCs w:val="20"/>
                <w:color w:val="auto"/>
              </w:rPr>
            </w:pPr>
            <w:r>
              <w:rPr>
                <w:rFonts w:ascii="Arial" w:cs="Arial" w:eastAsia="Arial" w:hAnsi="Arial"/>
                <w:sz w:val="13"/>
                <w:szCs w:val="13"/>
                <w:color w:val="auto"/>
                <w:w w:val="89"/>
              </w:rPr>
              <w:t>7.99% to 8.00%</w:t>
            </w:r>
          </w:p>
        </w:tc>
        <w:tc>
          <w:tcPr>
            <w:tcW w:w="100" w:type="dxa"/>
            <w:vAlign w:val="bottom"/>
            <w:tcBorders>
              <w:bottom w:val="single" w:sz="8" w:color="CCEEFF"/>
            </w:tcBorders>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74"/>
        </w:trPr>
        <w:tc>
          <w:tcPr>
            <w:tcW w:w="220" w:type="dxa"/>
            <w:vAlign w:val="bottom"/>
          </w:tcPr>
          <w:p>
            <w:pPr>
              <w:spacing w:after="0"/>
              <w:rPr>
                <w:sz w:val="15"/>
                <w:szCs w:val="15"/>
                <w:color w:val="auto"/>
              </w:rPr>
            </w:pPr>
          </w:p>
        </w:tc>
        <w:tc>
          <w:tcPr>
            <w:tcW w:w="4600" w:type="dxa"/>
            <w:vAlign w:val="bottom"/>
            <w:tcBorders>
              <w:bottom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Range of fixed interest rates on debt in Japanese yens</w:t>
            </w:r>
          </w:p>
        </w:tc>
        <w:tc>
          <w:tcPr>
            <w:tcW w:w="3240" w:type="dxa"/>
            <w:vAlign w:val="bottom"/>
            <w:tcBorders>
              <w:bottom w:val="single" w:sz="8" w:color="CCEEFF"/>
            </w:tcBorders>
            <w:shd w:val="clear" w:color="auto" w:fill="CCEEFF"/>
          </w:tcPr>
          <w:p>
            <w:pPr>
              <w:spacing w:after="0"/>
              <w:rPr>
                <w:sz w:val="15"/>
                <w:szCs w:val="15"/>
                <w:color w:val="auto"/>
              </w:rPr>
            </w:pPr>
          </w:p>
        </w:tc>
        <w:tc>
          <w:tcPr>
            <w:tcW w:w="14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0.46%</w:t>
            </w:r>
          </w:p>
        </w:tc>
        <w:tc>
          <w:tcPr>
            <w:tcW w:w="200" w:type="dxa"/>
            <w:vAlign w:val="bottom"/>
            <w:tcBorders>
              <w:bottom w:val="single" w:sz="8" w:color="CCEEFF"/>
            </w:tcBorders>
            <w:shd w:val="clear" w:color="auto" w:fill="CCEEFF"/>
          </w:tcPr>
          <w:p>
            <w:pPr>
              <w:spacing w:after="0"/>
              <w:rPr>
                <w:sz w:val="15"/>
                <w:szCs w:val="15"/>
                <w:color w:val="auto"/>
              </w:rPr>
            </w:pPr>
          </w:p>
        </w:tc>
        <w:tc>
          <w:tcPr>
            <w:tcW w:w="1440" w:type="dxa"/>
            <w:vAlign w:val="bottom"/>
            <w:tcBorders>
              <w:bottom w:val="single" w:sz="8" w:color="auto"/>
            </w:tcBorders>
            <w:shd w:val="clear" w:color="auto" w:fill="CCEEFF"/>
          </w:tcPr>
          <w:p>
            <w:pPr>
              <w:ind w:left="600"/>
              <w:spacing w:after="0"/>
              <w:rPr>
                <w:sz w:val="20"/>
                <w:szCs w:val="20"/>
                <w:color w:val="auto"/>
              </w:rPr>
            </w:pPr>
            <w:r>
              <w:rPr>
                <w:rFonts w:ascii="Arial" w:cs="Arial" w:eastAsia="Arial" w:hAnsi="Arial"/>
                <w:sz w:val="13"/>
                <w:szCs w:val="13"/>
                <w:color w:val="auto"/>
                <w:w w:val="89"/>
              </w:rPr>
              <w:t>0.46% to 0.81%</w:t>
            </w:r>
          </w:p>
        </w:tc>
        <w:tc>
          <w:tcPr>
            <w:tcW w:w="100" w:type="dxa"/>
            <w:vAlign w:val="bottom"/>
            <w:tcBorders>
              <w:bottom w:val="single" w:sz="8" w:color="CCEEFF"/>
            </w:tcBorders>
            <w:shd w:val="clear" w:color="auto" w:fill="CCEEFF"/>
          </w:tcPr>
          <w:p>
            <w:pPr>
              <w:spacing w:after="0"/>
              <w:rPr>
                <w:sz w:val="15"/>
                <w:szCs w:val="15"/>
                <w:color w:val="auto"/>
              </w:rPr>
            </w:pPr>
          </w:p>
        </w:tc>
        <w:tc>
          <w:tcPr>
            <w:tcW w:w="2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52"/>
        </w:trPr>
        <w:tc>
          <w:tcPr>
            <w:tcW w:w="220" w:type="dxa"/>
            <w:vAlign w:val="bottom"/>
          </w:tcPr>
          <w:p>
            <w:pPr>
              <w:spacing w:after="0"/>
              <w:rPr>
                <w:sz w:val="13"/>
                <w:szCs w:val="13"/>
                <w:color w:val="auto"/>
              </w:rPr>
            </w:pPr>
          </w:p>
        </w:tc>
        <w:tc>
          <w:tcPr>
            <w:tcW w:w="4600" w:type="dxa"/>
            <w:vAlign w:val="bottom"/>
            <w:tcBorders>
              <w:bottom w:val="single" w:sz="8" w:color="CCEEFF"/>
            </w:tcBorders>
          </w:tcPr>
          <w:p>
            <w:pPr>
              <w:spacing w:after="0" w:line="143" w:lineRule="exact"/>
              <w:rPr>
                <w:sz w:val="20"/>
                <w:szCs w:val="20"/>
                <w:color w:val="auto"/>
              </w:rPr>
            </w:pPr>
            <w:r>
              <w:rPr>
                <w:rFonts w:ascii="Arial" w:cs="Arial" w:eastAsia="Arial" w:hAnsi="Arial"/>
                <w:sz w:val="13"/>
                <w:szCs w:val="13"/>
                <w:color w:val="auto"/>
              </w:rPr>
              <w:t>Range of fixed interest rates on debt in Euros</w:t>
            </w:r>
          </w:p>
        </w:tc>
        <w:tc>
          <w:tcPr>
            <w:tcW w:w="3240" w:type="dxa"/>
            <w:vAlign w:val="bottom"/>
            <w:tcBorders>
              <w:bottom w:val="single" w:sz="8" w:color="CCEEFF"/>
            </w:tcBorders>
          </w:tcPr>
          <w:p>
            <w:pPr>
              <w:spacing w:after="0"/>
              <w:rPr>
                <w:sz w:val="13"/>
                <w:szCs w:val="13"/>
                <w:color w:val="auto"/>
              </w:rPr>
            </w:pPr>
          </w:p>
        </w:tc>
        <w:tc>
          <w:tcPr>
            <w:tcW w:w="144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3.75%</w:t>
            </w:r>
          </w:p>
        </w:tc>
        <w:tc>
          <w:tcPr>
            <w:tcW w:w="200" w:type="dxa"/>
            <w:vAlign w:val="bottom"/>
            <w:tcBorders>
              <w:bottom w:val="single" w:sz="8" w:color="CCEEFF"/>
            </w:tcBorders>
          </w:tcPr>
          <w:p>
            <w:pPr>
              <w:spacing w:after="0"/>
              <w:rPr>
                <w:sz w:val="13"/>
                <w:szCs w:val="13"/>
                <w:color w:val="auto"/>
              </w:rPr>
            </w:pPr>
          </w:p>
        </w:tc>
        <w:tc>
          <w:tcPr>
            <w:tcW w:w="144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3.75%</w:t>
            </w:r>
          </w:p>
        </w:tc>
        <w:tc>
          <w:tcPr>
            <w:tcW w:w="100" w:type="dxa"/>
            <w:vAlign w:val="bottom"/>
            <w:tcBorders>
              <w:bottom w:val="single" w:sz="8" w:color="CCEEFF"/>
            </w:tcBorders>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74"/>
        </w:trPr>
        <w:tc>
          <w:tcPr>
            <w:tcW w:w="220" w:type="dxa"/>
            <w:vAlign w:val="bottom"/>
          </w:tcPr>
          <w:p>
            <w:pPr>
              <w:spacing w:after="0"/>
              <w:rPr>
                <w:sz w:val="15"/>
                <w:szCs w:val="15"/>
                <w:color w:val="auto"/>
              </w:rPr>
            </w:pPr>
          </w:p>
        </w:tc>
        <w:tc>
          <w:tcPr>
            <w:tcW w:w="4600" w:type="dxa"/>
            <w:vAlign w:val="bottom"/>
            <w:tcBorders>
              <w:bottom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Range of fixed interest rates on debt in Australian dollars</w:t>
            </w:r>
          </w:p>
        </w:tc>
        <w:tc>
          <w:tcPr>
            <w:tcW w:w="3240" w:type="dxa"/>
            <w:vAlign w:val="bottom"/>
            <w:tcBorders>
              <w:bottom w:val="single" w:sz="8" w:color="CCEEFF"/>
            </w:tcBorders>
            <w:shd w:val="clear" w:color="auto" w:fill="CCEEFF"/>
          </w:tcPr>
          <w:p>
            <w:pPr>
              <w:spacing w:after="0"/>
              <w:rPr>
                <w:sz w:val="15"/>
                <w:szCs w:val="15"/>
                <w:color w:val="auto"/>
              </w:rPr>
            </w:pPr>
          </w:p>
        </w:tc>
        <w:tc>
          <w:tcPr>
            <w:tcW w:w="14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3.33%</w:t>
            </w:r>
          </w:p>
        </w:tc>
        <w:tc>
          <w:tcPr>
            <w:tcW w:w="200" w:type="dxa"/>
            <w:vAlign w:val="bottom"/>
            <w:tcBorders>
              <w:bottom w:val="single" w:sz="8" w:color="CCEEFF"/>
            </w:tcBorders>
            <w:shd w:val="clear" w:color="auto" w:fill="CCEEFF"/>
          </w:tcPr>
          <w:p>
            <w:pPr>
              <w:spacing w:after="0"/>
              <w:rPr>
                <w:sz w:val="15"/>
                <w:szCs w:val="15"/>
                <w:color w:val="auto"/>
              </w:rPr>
            </w:pPr>
          </w:p>
        </w:tc>
        <w:tc>
          <w:tcPr>
            <w:tcW w:w="14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3.33%</w:t>
            </w:r>
          </w:p>
        </w:tc>
        <w:tc>
          <w:tcPr>
            <w:tcW w:w="100" w:type="dxa"/>
            <w:vAlign w:val="bottom"/>
            <w:tcBorders>
              <w:bottom w:val="single" w:sz="8" w:color="CCEEFF"/>
            </w:tcBorders>
            <w:shd w:val="clear" w:color="auto" w:fill="CCEEFF"/>
          </w:tcPr>
          <w:p>
            <w:pPr>
              <w:spacing w:after="0"/>
              <w:rPr>
                <w:sz w:val="15"/>
                <w:szCs w:val="15"/>
                <w:color w:val="auto"/>
              </w:rPr>
            </w:pPr>
          </w:p>
        </w:tc>
        <w:tc>
          <w:tcPr>
            <w:tcW w:w="2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52"/>
        </w:trPr>
        <w:tc>
          <w:tcPr>
            <w:tcW w:w="220" w:type="dxa"/>
            <w:vAlign w:val="bottom"/>
          </w:tcPr>
          <w:p>
            <w:pPr>
              <w:spacing w:after="0"/>
              <w:rPr>
                <w:sz w:val="13"/>
                <w:szCs w:val="13"/>
                <w:color w:val="auto"/>
              </w:rPr>
            </w:pPr>
          </w:p>
        </w:tc>
        <w:tc>
          <w:tcPr>
            <w:tcW w:w="4600" w:type="dxa"/>
            <w:vAlign w:val="bottom"/>
            <w:tcBorders>
              <w:bottom w:val="single" w:sz="8" w:color="CCEEFF"/>
            </w:tcBorders>
          </w:tcPr>
          <w:p>
            <w:pPr>
              <w:spacing w:after="0" w:line="143" w:lineRule="exact"/>
              <w:rPr>
                <w:sz w:val="20"/>
                <w:szCs w:val="20"/>
                <w:color w:val="auto"/>
              </w:rPr>
            </w:pPr>
            <w:r>
              <w:rPr>
                <w:rFonts w:ascii="Arial" w:cs="Arial" w:eastAsia="Arial" w:hAnsi="Arial"/>
                <w:sz w:val="13"/>
                <w:szCs w:val="13"/>
                <w:color w:val="auto"/>
              </w:rPr>
              <w:t>Weighted average interest rate at the end of the year</w:t>
            </w:r>
          </w:p>
        </w:tc>
        <w:tc>
          <w:tcPr>
            <w:tcW w:w="3240" w:type="dxa"/>
            <w:vAlign w:val="bottom"/>
            <w:tcBorders>
              <w:bottom w:val="single" w:sz="8" w:color="CCEEFF"/>
            </w:tcBorders>
          </w:tcPr>
          <w:p>
            <w:pPr>
              <w:spacing w:after="0"/>
              <w:rPr>
                <w:sz w:val="13"/>
                <w:szCs w:val="13"/>
                <w:color w:val="auto"/>
              </w:rPr>
            </w:pPr>
          </w:p>
        </w:tc>
        <w:tc>
          <w:tcPr>
            <w:tcW w:w="144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4.35%</w:t>
            </w:r>
          </w:p>
        </w:tc>
        <w:tc>
          <w:tcPr>
            <w:tcW w:w="200" w:type="dxa"/>
            <w:vAlign w:val="bottom"/>
            <w:tcBorders>
              <w:bottom w:val="single" w:sz="8" w:color="CCEEFF"/>
            </w:tcBorders>
          </w:tcPr>
          <w:p>
            <w:pPr>
              <w:spacing w:after="0"/>
              <w:rPr>
                <w:sz w:val="13"/>
                <w:szCs w:val="13"/>
                <w:color w:val="auto"/>
              </w:rPr>
            </w:pPr>
          </w:p>
        </w:tc>
        <w:tc>
          <w:tcPr>
            <w:tcW w:w="144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3.60%</w:t>
            </w:r>
          </w:p>
        </w:tc>
        <w:tc>
          <w:tcPr>
            <w:tcW w:w="100" w:type="dxa"/>
            <w:vAlign w:val="bottom"/>
            <w:tcBorders>
              <w:bottom w:val="single" w:sz="8" w:color="CCEEFF"/>
            </w:tcBorders>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4600" w:type="dxa"/>
            <w:vAlign w:val="bottom"/>
            <w:tcBorders>
              <w:bottom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Weighted average interest rate during the year</w:t>
            </w:r>
          </w:p>
        </w:tc>
        <w:tc>
          <w:tcPr>
            <w:tcW w:w="3240" w:type="dxa"/>
            <w:vAlign w:val="bottom"/>
            <w:tcBorders>
              <w:bottom w:val="single" w:sz="8" w:color="CCEEFF"/>
            </w:tcBorders>
            <w:shd w:val="clear" w:color="auto" w:fill="CCEEFF"/>
          </w:tcPr>
          <w:p>
            <w:pPr>
              <w:spacing w:after="0"/>
              <w:rPr>
                <w:sz w:val="14"/>
                <w:szCs w:val="14"/>
                <w:color w:val="auto"/>
              </w:rPr>
            </w:pPr>
          </w:p>
        </w:tc>
        <w:tc>
          <w:tcPr>
            <w:tcW w:w="14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4.09%</w:t>
            </w:r>
          </w:p>
        </w:tc>
        <w:tc>
          <w:tcPr>
            <w:tcW w:w="200" w:type="dxa"/>
            <w:vAlign w:val="bottom"/>
            <w:tcBorders>
              <w:bottom w:val="single" w:sz="8" w:color="CCEEFF"/>
            </w:tcBorders>
            <w:shd w:val="clear" w:color="auto" w:fill="CCEEFF"/>
          </w:tcPr>
          <w:p>
            <w:pPr>
              <w:spacing w:after="0"/>
              <w:rPr>
                <w:sz w:val="14"/>
                <w:szCs w:val="14"/>
                <w:color w:val="auto"/>
              </w:rPr>
            </w:pPr>
          </w:p>
        </w:tc>
        <w:tc>
          <w:tcPr>
            <w:tcW w:w="14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3.43%</w:t>
            </w:r>
          </w:p>
        </w:tc>
        <w:tc>
          <w:tcPr>
            <w:tcW w:w="100" w:type="dxa"/>
            <w:vAlign w:val="bottom"/>
            <w:tcBorders>
              <w:bottom w:val="single" w:sz="8" w:color="CCEEFF"/>
            </w:tcBorders>
            <w:shd w:val="clear" w:color="auto" w:fill="CCEEFF"/>
          </w:tcPr>
          <w:p>
            <w:pPr>
              <w:spacing w:after="0"/>
              <w:rPr>
                <w:sz w:val="14"/>
                <w:szCs w:val="14"/>
                <w:color w:val="auto"/>
              </w:rPr>
            </w:pP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467"/>
        </w:trPr>
        <w:tc>
          <w:tcPr>
            <w:tcW w:w="220" w:type="dxa"/>
            <w:vAlign w:val="bottom"/>
            <w:tcBorders>
              <w:bottom w:val="single" w:sz="8" w:color="auto"/>
            </w:tcBorders>
          </w:tcPr>
          <w:p>
            <w:pPr>
              <w:spacing w:after="0"/>
              <w:rPr>
                <w:sz w:val="24"/>
                <w:szCs w:val="24"/>
                <w:color w:val="auto"/>
              </w:rPr>
            </w:pPr>
          </w:p>
        </w:tc>
        <w:tc>
          <w:tcPr>
            <w:tcW w:w="4600" w:type="dxa"/>
            <w:vAlign w:val="bottom"/>
            <w:tcBorders>
              <w:bottom w:val="single" w:sz="8" w:color="auto"/>
            </w:tcBorders>
          </w:tcPr>
          <w:p>
            <w:pPr>
              <w:spacing w:after="0"/>
              <w:rPr>
                <w:sz w:val="24"/>
                <w:szCs w:val="24"/>
                <w:color w:val="auto"/>
              </w:rPr>
            </w:pPr>
          </w:p>
        </w:tc>
        <w:tc>
          <w:tcPr>
            <w:tcW w:w="4880" w:type="dxa"/>
            <w:vAlign w:val="bottom"/>
            <w:tcBorders>
              <w:bottom w:val="single" w:sz="8" w:color="auto"/>
            </w:tcBorders>
            <w:gridSpan w:val="3"/>
          </w:tcPr>
          <w:p>
            <w:pPr>
              <w:jc w:val="right"/>
              <w:ind w:right="3840"/>
              <w:spacing w:after="0"/>
              <w:rPr>
                <w:sz w:val="20"/>
                <w:szCs w:val="20"/>
                <w:color w:val="auto"/>
              </w:rPr>
            </w:pPr>
            <w:r>
              <w:rPr>
                <w:rFonts w:ascii="Arial" w:cs="Arial" w:eastAsia="Arial" w:hAnsi="Arial"/>
                <w:sz w:val="13"/>
                <w:szCs w:val="13"/>
                <w:color w:val="auto"/>
              </w:rPr>
              <w:t>F-70</w:t>
            </w:r>
          </w:p>
        </w:tc>
        <w:tc>
          <w:tcPr>
            <w:tcW w:w="14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3"/>
          </w:cols>
          <w:pgMar w:left="217" w:top="685" w:right="199" w:bottom="1440" w:gutter="0" w:footer="0" w:header="0"/>
          <w:type w:val="continuous"/>
        </w:sectPr>
      </w:pPr>
    </w:p>
    <w:bookmarkStart w:id="195" w:name="page196"/>
    <w:bookmarkEnd w:id="195"/>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32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right="8840" w:hanging="223"/>
        <w:spacing w:after="0" w:line="539" w:lineRule="auto"/>
        <w:tabs>
          <w:tab w:leader="none" w:pos="223" w:val="left"/>
        </w:tabs>
        <w:numPr>
          <w:ilvl w:val="0"/>
          <w:numId w:val="161"/>
        </w:numPr>
        <w:rPr>
          <w:rFonts w:ascii="Arial" w:cs="Arial" w:eastAsia="Arial" w:hAnsi="Arial"/>
          <w:sz w:val="12"/>
          <w:szCs w:val="12"/>
          <w:b w:val="1"/>
          <w:bCs w:val="1"/>
          <w:color w:val="auto"/>
        </w:rPr>
      </w:pPr>
      <w:r>
        <w:rPr>
          <w:rFonts w:ascii="Arial" w:cs="Arial" w:eastAsia="Arial" w:hAnsi="Arial"/>
          <w:sz w:val="12"/>
          <w:szCs w:val="12"/>
          <w:b w:val="1"/>
          <w:bCs w:val="1"/>
          <w:color w:val="auto"/>
        </w:rPr>
        <w:t>Borrowings and debt (continued) Long-term borrowings and debt (continued)</w:t>
      </w:r>
    </w:p>
    <w:p>
      <w:pPr>
        <w:ind w:left="223"/>
        <w:spacing w:after="0"/>
        <w:rPr>
          <w:rFonts w:ascii="Arial" w:cs="Arial" w:eastAsia="Arial" w:hAnsi="Arial"/>
          <w:sz w:val="12"/>
          <w:szCs w:val="12"/>
          <w:b w:val="1"/>
          <w:bCs w:val="1"/>
          <w:color w:val="auto"/>
        </w:rPr>
      </w:pPr>
      <w:r>
        <w:rPr>
          <w:rFonts w:ascii="Arial" w:cs="Arial" w:eastAsia="Arial" w:hAnsi="Arial"/>
          <w:sz w:val="13"/>
          <w:szCs w:val="13"/>
          <w:color w:val="auto"/>
        </w:rPr>
        <w:t>The balances of long-term borrowings and debt by currency, excluding prepaid commissions, are as follows:</w:t>
      </w:r>
    </w:p>
    <w:p>
      <w:pPr>
        <w:spacing w:after="0" w:line="155" w:lineRule="exact"/>
        <w:rPr>
          <w:sz w:val="20"/>
          <w:szCs w:val="20"/>
          <w:color w:val="auto"/>
        </w:rPr>
      </w:pPr>
    </w:p>
    <w:tbl>
      <w:tblPr>
        <w:tblLayout w:type="fixed"/>
        <w:tblInd w:w="463" w:type="dxa"/>
        <w:tblCellMar>
          <w:top w:w="0" w:type="dxa"/>
          <w:left w:w="0" w:type="dxa"/>
          <w:bottom w:w="0" w:type="dxa"/>
          <w:right w:w="0" w:type="dxa"/>
        </w:tblCellMar>
      </w:tblPr>
      <w:tr>
        <w:trPr>
          <w:trHeight w:val="164"/>
        </w:trPr>
        <w:tc>
          <w:tcPr>
            <w:tcW w:w="8000" w:type="dxa"/>
            <w:vAlign w:val="bottom"/>
          </w:tcPr>
          <w:p>
            <w:pPr>
              <w:spacing w:after="0"/>
              <w:rPr>
                <w:sz w:val="14"/>
                <w:szCs w:val="14"/>
                <w:color w:val="auto"/>
              </w:rPr>
            </w:pPr>
          </w:p>
        </w:tc>
        <w:tc>
          <w:tcPr>
            <w:tcW w:w="1400" w:type="dxa"/>
            <w:vAlign w:val="bottom"/>
            <w:gridSpan w:val="2"/>
          </w:tcPr>
          <w:p>
            <w:pPr>
              <w:jc w:val="right"/>
              <w:ind w:right="440"/>
              <w:spacing w:after="0"/>
              <w:rPr>
                <w:sz w:val="20"/>
                <w:szCs w:val="20"/>
                <w:color w:val="auto"/>
              </w:rPr>
            </w:pPr>
            <w:r>
              <w:rPr>
                <w:rFonts w:ascii="Arial" w:cs="Arial" w:eastAsia="Arial" w:hAnsi="Arial"/>
                <w:sz w:val="13"/>
                <w:szCs w:val="13"/>
                <w:b w:val="1"/>
                <w:bCs w:val="1"/>
                <w:color w:val="auto"/>
              </w:rPr>
              <w:t>December 31,</w:t>
            </w:r>
          </w:p>
        </w:tc>
        <w:tc>
          <w:tcPr>
            <w:tcW w:w="1260" w:type="dxa"/>
            <w:vAlign w:val="bottom"/>
            <w:gridSpan w:val="2"/>
          </w:tcPr>
          <w:p>
            <w:pPr>
              <w:ind w:left="200"/>
              <w:spacing w:after="0"/>
              <w:rPr>
                <w:sz w:val="20"/>
                <w:szCs w:val="20"/>
                <w:color w:val="auto"/>
              </w:rPr>
            </w:pPr>
            <w:r>
              <w:rPr>
                <w:rFonts w:ascii="Arial" w:cs="Arial" w:eastAsia="Arial" w:hAnsi="Arial"/>
                <w:sz w:val="13"/>
                <w:szCs w:val="13"/>
                <w:b w:val="1"/>
                <w:bCs w:val="1"/>
                <w:color w:val="auto"/>
              </w:rPr>
              <w:t>December 31,</w:t>
            </w:r>
          </w:p>
        </w:tc>
      </w:tr>
      <w:tr>
        <w:trPr>
          <w:trHeight w:val="166"/>
        </w:trPr>
        <w:tc>
          <w:tcPr>
            <w:tcW w:w="8000" w:type="dxa"/>
            <w:vAlign w:val="bottom"/>
            <w:tcBorders>
              <w:bottom w:val="single" w:sz="8" w:color="CCEEFF"/>
            </w:tcBorders>
          </w:tcPr>
          <w:p>
            <w:pPr>
              <w:spacing w:after="0"/>
              <w:rPr>
                <w:sz w:val="14"/>
                <w:szCs w:val="14"/>
                <w:color w:val="auto"/>
              </w:rPr>
            </w:pPr>
          </w:p>
        </w:tc>
        <w:tc>
          <w:tcPr>
            <w:tcW w:w="1180" w:type="dxa"/>
            <w:vAlign w:val="bottom"/>
            <w:tcBorders>
              <w:bottom w:val="single" w:sz="8" w:color="auto"/>
            </w:tcBorders>
          </w:tcPr>
          <w:p>
            <w:pPr>
              <w:jc w:val="right"/>
              <w:ind w:right="396"/>
              <w:spacing w:after="0"/>
              <w:rPr>
                <w:sz w:val="20"/>
                <w:szCs w:val="20"/>
                <w:color w:val="auto"/>
              </w:rPr>
            </w:pPr>
            <w:r>
              <w:rPr>
                <w:rFonts w:ascii="Arial" w:cs="Arial" w:eastAsia="Arial" w:hAnsi="Arial"/>
                <w:sz w:val="13"/>
                <w:szCs w:val="13"/>
                <w:b w:val="1"/>
                <w:bCs w:val="1"/>
                <w:color w:val="auto"/>
              </w:rPr>
              <w:t>2018</w:t>
            </w:r>
          </w:p>
        </w:tc>
        <w:tc>
          <w:tcPr>
            <w:tcW w:w="220" w:type="dxa"/>
            <w:vAlign w:val="bottom"/>
            <w:tcBorders>
              <w:bottom w:val="single" w:sz="8" w:color="CCEEFF"/>
            </w:tcBorders>
          </w:tcPr>
          <w:p>
            <w:pPr>
              <w:spacing w:after="0"/>
              <w:rPr>
                <w:sz w:val="14"/>
                <w:szCs w:val="14"/>
                <w:color w:val="auto"/>
              </w:rPr>
            </w:pPr>
          </w:p>
        </w:tc>
        <w:tc>
          <w:tcPr>
            <w:tcW w:w="1160" w:type="dxa"/>
            <w:vAlign w:val="bottom"/>
            <w:tcBorders>
              <w:bottom w:val="single" w:sz="8" w:color="auto"/>
            </w:tcBorders>
          </w:tcPr>
          <w:p>
            <w:pPr>
              <w:jc w:val="right"/>
              <w:ind w:right="396"/>
              <w:spacing w:after="0"/>
              <w:rPr>
                <w:sz w:val="20"/>
                <w:szCs w:val="20"/>
                <w:color w:val="auto"/>
              </w:rPr>
            </w:pPr>
            <w:r>
              <w:rPr>
                <w:rFonts w:ascii="Arial" w:cs="Arial" w:eastAsia="Arial" w:hAnsi="Arial"/>
                <w:sz w:val="13"/>
                <w:szCs w:val="13"/>
                <w:b w:val="1"/>
                <w:bCs w:val="1"/>
                <w:color w:val="auto"/>
              </w:rPr>
              <w:t>2017</w:t>
            </w:r>
          </w:p>
        </w:tc>
        <w:tc>
          <w:tcPr>
            <w:tcW w:w="100" w:type="dxa"/>
            <w:vAlign w:val="bottom"/>
            <w:tcBorders>
              <w:bottom w:val="single" w:sz="8" w:color="CCEEFF"/>
            </w:tcBorders>
          </w:tcPr>
          <w:p>
            <w:pPr>
              <w:spacing w:after="0"/>
              <w:rPr>
                <w:sz w:val="14"/>
                <w:szCs w:val="14"/>
                <w:color w:val="auto"/>
              </w:rPr>
            </w:pPr>
          </w:p>
        </w:tc>
      </w:tr>
      <w:tr>
        <w:trPr>
          <w:trHeight w:val="144"/>
        </w:trPr>
        <w:tc>
          <w:tcPr>
            <w:tcW w:w="8000" w:type="dxa"/>
            <w:vAlign w:val="bottom"/>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Currency</w:t>
            </w:r>
          </w:p>
        </w:tc>
        <w:tc>
          <w:tcPr>
            <w:tcW w:w="11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1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r>
      <w:tr>
        <w:trPr>
          <w:trHeight w:val="154"/>
        </w:trPr>
        <w:tc>
          <w:tcPr>
            <w:tcW w:w="8000" w:type="dxa"/>
            <w:vAlign w:val="bottom"/>
          </w:tcPr>
          <w:p>
            <w:pPr>
              <w:spacing w:after="0"/>
              <w:rPr>
                <w:sz w:val="20"/>
                <w:szCs w:val="20"/>
                <w:color w:val="auto"/>
              </w:rPr>
            </w:pPr>
            <w:r>
              <w:rPr>
                <w:rFonts w:ascii="Arial" w:cs="Arial" w:eastAsia="Arial" w:hAnsi="Arial"/>
                <w:sz w:val="13"/>
                <w:szCs w:val="13"/>
                <w:color w:val="auto"/>
              </w:rPr>
              <w:t>US dollar</w:t>
            </w:r>
          </w:p>
        </w:tc>
        <w:tc>
          <w:tcPr>
            <w:tcW w:w="1180" w:type="dxa"/>
            <w:vAlign w:val="bottom"/>
          </w:tcPr>
          <w:p>
            <w:pPr>
              <w:jc w:val="right"/>
              <w:spacing w:after="0"/>
              <w:rPr>
                <w:sz w:val="20"/>
                <w:szCs w:val="20"/>
                <w:color w:val="auto"/>
              </w:rPr>
            </w:pPr>
            <w:r>
              <w:rPr>
                <w:rFonts w:ascii="Arial" w:cs="Arial" w:eastAsia="Arial" w:hAnsi="Arial"/>
                <w:sz w:val="13"/>
                <w:szCs w:val="13"/>
                <w:color w:val="auto"/>
              </w:rPr>
              <w:t>1,203,101</w:t>
            </w:r>
          </w:p>
        </w:tc>
        <w:tc>
          <w:tcPr>
            <w:tcW w:w="220" w:type="dxa"/>
            <w:vAlign w:val="bottom"/>
          </w:tcPr>
          <w:p>
            <w:pPr>
              <w:spacing w:after="0"/>
              <w:rPr>
                <w:sz w:val="13"/>
                <w:szCs w:val="13"/>
                <w:color w:val="auto"/>
              </w:rPr>
            </w:pPr>
          </w:p>
        </w:tc>
        <w:tc>
          <w:tcPr>
            <w:tcW w:w="1260" w:type="dxa"/>
            <w:vAlign w:val="bottom"/>
            <w:gridSpan w:val="2"/>
          </w:tcPr>
          <w:p>
            <w:pPr>
              <w:jc w:val="right"/>
              <w:ind w:right="100"/>
              <w:spacing w:after="0"/>
              <w:rPr>
                <w:sz w:val="20"/>
                <w:szCs w:val="20"/>
                <w:color w:val="auto"/>
              </w:rPr>
            </w:pPr>
            <w:r>
              <w:rPr>
                <w:rFonts w:ascii="Arial" w:cs="Arial" w:eastAsia="Arial" w:hAnsi="Arial"/>
                <w:sz w:val="13"/>
                <w:szCs w:val="13"/>
                <w:color w:val="auto"/>
              </w:rPr>
              <w:t>753,981</w:t>
            </w:r>
          </w:p>
        </w:tc>
      </w:tr>
      <w:tr>
        <w:trPr>
          <w:trHeight w:val="154"/>
        </w:trPr>
        <w:tc>
          <w:tcPr>
            <w:tcW w:w="8000" w:type="dxa"/>
            <w:vAlign w:val="bottom"/>
            <w:shd w:val="clear" w:color="auto" w:fill="CCEEFF"/>
          </w:tcPr>
          <w:p>
            <w:pPr>
              <w:spacing w:after="0"/>
              <w:rPr>
                <w:sz w:val="20"/>
                <w:szCs w:val="20"/>
                <w:color w:val="auto"/>
              </w:rPr>
            </w:pPr>
            <w:r>
              <w:rPr>
                <w:rFonts w:ascii="Arial" w:cs="Arial" w:eastAsia="Arial" w:hAnsi="Arial"/>
                <w:sz w:val="13"/>
                <w:szCs w:val="13"/>
                <w:color w:val="auto"/>
              </w:rPr>
              <w:t>Mexican peso</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143,661</w:t>
            </w: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206,750</w:t>
            </w:r>
          </w:p>
        </w:tc>
      </w:tr>
      <w:tr>
        <w:trPr>
          <w:trHeight w:val="154"/>
        </w:trPr>
        <w:tc>
          <w:tcPr>
            <w:tcW w:w="8000" w:type="dxa"/>
            <w:vAlign w:val="bottom"/>
          </w:tcPr>
          <w:p>
            <w:pPr>
              <w:spacing w:after="0"/>
              <w:rPr>
                <w:sz w:val="20"/>
                <w:szCs w:val="20"/>
                <w:color w:val="auto"/>
              </w:rPr>
            </w:pPr>
            <w:r>
              <w:rPr>
                <w:rFonts w:ascii="Arial" w:cs="Arial" w:eastAsia="Arial" w:hAnsi="Arial"/>
                <w:sz w:val="13"/>
                <w:szCs w:val="13"/>
                <w:color w:val="auto"/>
              </w:rPr>
              <w:t>Japanese yen</w:t>
            </w:r>
          </w:p>
        </w:tc>
        <w:tc>
          <w:tcPr>
            <w:tcW w:w="1400" w:type="dxa"/>
            <w:vAlign w:val="bottom"/>
            <w:gridSpan w:val="2"/>
          </w:tcPr>
          <w:p>
            <w:pPr>
              <w:jc w:val="right"/>
              <w:ind w:right="220"/>
              <w:spacing w:after="0"/>
              <w:rPr>
                <w:sz w:val="20"/>
                <w:szCs w:val="20"/>
                <w:color w:val="auto"/>
              </w:rPr>
            </w:pPr>
            <w:r>
              <w:rPr>
                <w:rFonts w:ascii="Arial" w:cs="Arial" w:eastAsia="Arial" w:hAnsi="Arial"/>
                <w:sz w:val="13"/>
                <w:szCs w:val="13"/>
                <w:color w:val="auto"/>
              </w:rPr>
              <w:t>72,670</w:t>
            </w:r>
          </w:p>
        </w:tc>
        <w:tc>
          <w:tcPr>
            <w:tcW w:w="1260" w:type="dxa"/>
            <w:vAlign w:val="bottom"/>
            <w:gridSpan w:val="2"/>
          </w:tcPr>
          <w:p>
            <w:pPr>
              <w:jc w:val="right"/>
              <w:ind w:right="100"/>
              <w:spacing w:after="0"/>
              <w:rPr>
                <w:sz w:val="20"/>
                <w:szCs w:val="20"/>
                <w:color w:val="auto"/>
              </w:rPr>
            </w:pPr>
            <w:r>
              <w:rPr>
                <w:rFonts w:ascii="Arial" w:cs="Arial" w:eastAsia="Arial" w:hAnsi="Arial"/>
                <w:sz w:val="13"/>
                <w:szCs w:val="13"/>
                <w:color w:val="auto"/>
              </w:rPr>
              <w:t>98,711</w:t>
            </w:r>
          </w:p>
        </w:tc>
      </w:tr>
      <w:tr>
        <w:trPr>
          <w:trHeight w:val="154"/>
        </w:trPr>
        <w:tc>
          <w:tcPr>
            <w:tcW w:w="8000" w:type="dxa"/>
            <w:vAlign w:val="bottom"/>
            <w:shd w:val="clear" w:color="auto" w:fill="CCEEFF"/>
          </w:tcPr>
          <w:p>
            <w:pPr>
              <w:spacing w:after="0"/>
              <w:rPr>
                <w:sz w:val="20"/>
                <w:szCs w:val="20"/>
                <w:color w:val="auto"/>
              </w:rPr>
            </w:pPr>
            <w:r>
              <w:rPr>
                <w:rFonts w:ascii="Arial" w:cs="Arial" w:eastAsia="Arial" w:hAnsi="Arial"/>
                <w:sz w:val="13"/>
                <w:szCs w:val="13"/>
                <w:color w:val="auto"/>
              </w:rPr>
              <w:t>Euro</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60,315</w:t>
            </w: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60,178</w:t>
            </w:r>
          </w:p>
        </w:tc>
      </w:tr>
      <w:tr>
        <w:trPr>
          <w:trHeight w:val="163"/>
        </w:trPr>
        <w:tc>
          <w:tcPr>
            <w:tcW w:w="8000" w:type="dxa"/>
            <w:vAlign w:val="bottom"/>
          </w:tcPr>
          <w:p>
            <w:pPr>
              <w:spacing w:after="0"/>
              <w:rPr>
                <w:sz w:val="20"/>
                <w:szCs w:val="20"/>
                <w:color w:val="auto"/>
              </w:rPr>
            </w:pPr>
            <w:r>
              <w:rPr>
                <w:rFonts w:ascii="Arial" w:cs="Arial" w:eastAsia="Arial" w:hAnsi="Arial"/>
                <w:sz w:val="13"/>
                <w:szCs w:val="13"/>
                <w:color w:val="auto"/>
              </w:rPr>
              <w:t>Australian dollar</w:t>
            </w:r>
          </w:p>
        </w:tc>
        <w:tc>
          <w:tcPr>
            <w:tcW w:w="1400" w:type="dxa"/>
            <w:vAlign w:val="bottom"/>
            <w:gridSpan w:val="2"/>
          </w:tcPr>
          <w:p>
            <w:pPr>
              <w:jc w:val="right"/>
              <w:ind w:right="220"/>
              <w:spacing w:after="0"/>
              <w:rPr>
                <w:sz w:val="20"/>
                <w:szCs w:val="20"/>
                <w:color w:val="auto"/>
              </w:rPr>
            </w:pPr>
            <w:r>
              <w:rPr>
                <w:rFonts w:ascii="Arial" w:cs="Arial" w:eastAsia="Arial" w:hAnsi="Arial"/>
                <w:sz w:val="13"/>
                <w:szCs w:val="13"/>
                <w:color w:val="auto"/>
              </w:rPr>
              <w:t>21,142</w:t>
            </w:r>
          </w:p>
        </w:tc>
        <w:tc>
          <w:tcPr>
            <w:tcW w:w="1260" w:type="dxa"/>
            <w:vAlign w:val="bottom"/>
            <w:gridSpan w:val="2"/>
          </w:tcPr>
          <w:p>
            <w:pPr>
              <w:jc w:val="right"/>
              <w:ind w:right="100"/>
              <w:spacing w:after="0"/>
              <w:rPr>
                <w:sz w:val="20"/>
                <w:szCs w:val="20"/>
                <w:color w:val="auto"/>
              </w:rPr>
            </w:pPr>
            <w:r>
              <w:rPr>
                <w:rFonts w:ascii="Arial" w:cs="Arial" w:eastAsia="Arial" w:hAnsi="Arial"/>
                <w:sz w:val="13"/>
                <w:szCs w:val="13"/>
                <w:color w:val="auto"/>
              </w:rPr>
              <w:t>23,435</w:t>
            </w:r>
          </w:p>
        </w:tc>
      </w:tr>
      <w:tr>
        <w:trPr>
          <w:trHeight w:val="163"/>
        </w:trPr>
        <w:tc>
          <w:tcPr>
            <w:tcW w:w="8000" w:type="dxa"/>
            <w:vAlign w:val="bottom"/>
            <w:tcBorders>
              <w:top w:val="single" w:sz="8" w:color="CCEEFF"/>
              <w:bottom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Total</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1,500,889</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1,143,055</w:t>
            </w: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r>
    </w:tbl>
    <w:p>
      <w:pPr>
        <w:spacing w:after="0" w:line="145" w:lineRule="exact"/>
        <w:rPr>
          <w:sz w:val="20"/>
          <w:szCs w:val="20"/>
          <w:color w:val="auto"/>
        </w:rPr>
      </w:pPr>
    </w:p>
    <w:p>
      <w:pPr>
        <w:jc w:val="both"/>
        <w:ind w:left="223" w:right="20"/>
        <w:spacing w:after="0" w:line="254" w:lineRule="auto"/>
        <w:rPr>
          <w:sz w:val="20"/>
          <w:szCs w:val="20"/>
          <w:color w:val="auto"/>
        </w:rPr>
      </w:pPr>
      <w:r>
        <w:rPr>
          <w:rFonts w:ascii="Arial" w:cs="Arial" w:eastAsia="Arial" w:hAnsi="Arial"/>
          <w:sz w:val="13"/>
          <w:szCs w:val="13"/>
          <w:color w:val="auto"/>
        </w:rPr>
        <w:t>The Bank's funding activities include: (i) EMTN, which may be used to issue notes for up to $2.3 billion, with maturities from 7 days up to a maximum of 30 years, at fixed or floating interest rates, or at discount, and in various currencies. The notes are generally issued in bearer or registered form through one or more authorized financial institutions; (ii) Short-and Long-Term Notes (“Certificados Bursatiles”) Program (the “Mexican Program”) in the Mexican local market, registered with the Mexican National Registry of Securities administered by the National Banking and Securities Commission in Mexico (“CNBV”, for its acronym in Spanish), for an authorized aggregate principal amount of 10 billion Mexican pesos with maturities from one day to 30 years.</w:t>
      </w:r>
    </w:p>
    <w:p>
      <w:pPr>
        <w:spacing w:after="0" w:line="137" w:lineRule="exact"/>
        <w:rPr>
          <w:sz w:val="20"/>
          <w:szCs w:val="20"/>
          <w:color w:val="auto"/>
        </w:rPr>
      </w:pPr>
    </w:p>
    <w:p>
      <w:pPr>
        <w:jc w:val="both"/>
        <w:ind w:left="223" w:right="20"/>
        <w:spacing w:after="0" w:line="267" w:lineRule="auto"/>
        <w:rPr>
          <w:sz w:val="20"/>
          <w:szCs w:val="20"/>
          <w:color w:val="auto"/>
        </w:rPr>
      </w:pPr>
      <w:r>
        <w:rPr>
          <w:rFonts w:ascii="Arial" w:cs="Arial" w:eastAsia="Arial" w:hAnsi="Arial"/>
          <w:sz w:val="13"/>
          <w:szCs w:val="13"/>
          <w:color w:val="auto"/>
        </w:rPr>
        <w:t>Some borrowing agreements include various events of default and covenants related to minimum capital adequacy ratios, incurrence of additional liens, and asset sales, as well as other customary covenants, representations and warranties. As of December 31, 2018, the Bank was in compliance with all those covenants.</w:t>
      </w:r>
    </w:p>
    <w:p>
      <w:pPr>
        <w:spacing w:after="0" w:line="129" w:lineRule="exact"/>
        <w:rPr>
          <w:sz w:val="20"/>
          <w:szCs w:val="20"/>
          <w:color w:val="auto"/>
        </w:rPr>
      </w:pPr>
    </w:p>
    <w:p>
      <w:pPr>
        <w:ind w:left="223"/>
        <w:spacing w:after="0"/>
        <w:rPr>
          <w:sz w:val="20"/>
          <w:szCs w:val="20"/>
          <w:color w:val="auto"/>
        </w:rPr>
      </w:pPr>
      <w:r>
        <w:rPr>
          <w:rFonts w:ascii="Arial" w:cs="Arial" w:eastAsia="Arial" w:hAnsi="Arial"/>
          <w:sz w:val="13"/>
          <w:szCs w:val="13"/>
          <w:color w:val="auto"/>
        </w:rPr>
        <w:t>The future payments of long-term borrowings and debt outstanding as of December 31, 2018, are as follows:</w:t>
      </w:r>
    </w:p>
    <w:p>
      <w:pPr>
        <w:spacing w:after="0" w:line="155" w:lineRule="exact"/>
        <w:rPr>
          <w:sz w:val="20"/>
          <w:szCs w:val="20"/>
          <w:color w:val="auto"/>
        </w:rPr>
      </w:pPr>
    </w:p>
    <w:tbl>
      <w:tblPr>
        <w:tblLayout w:type="fixed"/>
        <w:tblInd w:w="3" w:type="dxa"/>
        <w:tblCellMar>
          <w:top w:w="0" w:type="dxa"/>
          <w:left w:w="0" w:type="dxa"/>
          <w:bottom w:w="0" w:type="dxa"/>
          <w:right w:w="0" w:type="dxa"/>
        </w:tblCellMar>
      </w:tblPr>
      <w:tr>
        <w:trPr>
          <w:trHeight w:val="176"/>
        </w:trPr>
        <w:tc>
          <w:tcPr>
            <w:tcW w:w="1720" w:type="dxa"/>
            <w:vAlign w:val="bottom"/>
          </w:tcPr>
          <w:p>
            <w:pPr>
              <w:spacing w:after="0"/>
              <w:rPr>
                <w:sz w:val="15"/>
                <w:szCs w:val="15"/>
                <w:color w:val="auto"/>
              </w:rPr>
            </w:pPr>
          </w:p>
        </w:tc>
        <w:tc>
          <w:tcPr>
            <w:tcW w:w="3720" w:type="dxa"/>
            <w:vAlign w:val="bottom"/>
          </w:tcPr>
          <w:p>
            <w:pPr>
              <w:jc w:val="center"/>
              <w:ind w:left="2796"/>
              <w:spacing w:after="0"/>
              <w:rPr>
                <w:sz w:val="20"/>
                <w:szCs w:val="20"/>
                <w:color w:val="auto"/>
              </w:rPr>
            </w:pPr>
            <w:r>
              <w:rPr>
                <w:rFonts w:ascii="Arial" w:cs="Arial" w:eastAsia="Arial" w:hAnsi="Arial"/>
                <w:sz w:val="13"/>
                <w:szCs w:val="13"/>
                <w:b w:val="1"/>
                <w:bCs w:val="1"/>
                <w:color w:val="auto"/>
                <w:w w:val="87"/>
              </w:rPr>
              <w:t>Payments</w:t>
            </w:r>
          </w:p>
        </w:tc>
        <w:tc>
          <w:tcPr>
            <w:tcW w:w="2960" w:type="dxa"/>
            <w:vAlign w:val="bottom"/>
          </w:tcPr>
          <w:p>
            <w:pPr>
              <w:spacing w:after="0"/>
              <w:rPr>
                <w:sz w:val="15"/>
                <w:szCs w:val="15"/>
                <w:color w:val="auto"/>
              </w:rPr>
            </w:pPr>
          </w:p>
        </w:tc>
        <w:tc>
          <w:tcPr>
            <w:tcW w:w="1340" w:type="dxa"/>
            <w:vAlign w:val="bottom"/>
          </w:tcPr>
          <w:p>
            <w:pPr>
              <w:jc w:val="right"/>
              <w:ind w:right="296"/>
              <w:spacing w:after="0"/>
              <w:rPr>
                <w:sz w:val="20"/>
                <w:szCs w:val="20"/>
                <w:color w:val="auto"/>
              </w:rPr>
            </w:pPr>
            <w:r>
              <w:rPr>
                <w:rFonts w:ascii="Arial" w:cs="Arial" w:eastAsia="Arial" w:hAnsi="Arial"/>
                <w:sz w:val="13"/>
                <w:szCs w:val="13"/>
                <w:b w:val="1"/>
                <w:bCs w:val="1"/>
                <w:color w:val="auto"/>
              </w:rPr>
              <w:t>Outstanding</w:t>
            </w:r>
          </w:p>
        </w:tc>
        <w:tc>
          <w:tcPr>
            <w:tcW w:w="1740" w:type="dxa"/>
            <w:vAlign w:val="bottom"/>
          </w:tcPr>
          <w:p>
            <w:pPr>
              <w:spacing w:after="0"/>
              <w:rPr>
                <w:sz w:val="15"/>
                <w:szCs w:val="15"/>
                <w:color w:val="auto"/>
              </w:rPr>
            </w:pPr>
          </w:p>
        </w:tc>
      </w:tr>
      <w:tr>
        <w:trPr>
          <w:trHeight w:val="144"/>
        </w:trPr>
        <w:tc>
          <w:tcPr>
            <w:tcW w:w="1720" w:type="dxa"/>
            <w:vAlign w:val="bottom"/>
          </w:tcPr>
          <w:p>
            <w:pPr>
              <w:spacing w:after="0"/>
              <w:rPr>
                <w:sz w:val="12"/>
                <w:szCs w:val="12"/>
                <w:color w:val="auto"/>
              </w:rPr>
            </w:pPr>
          </w:p>
        </w:tc>
        <w:tc>
          <w:tcPr>
            <w:tcW w:w="3720" w:type="dxa"/>
            <w:vAlign w:val="bottom"/>
          </w:tcPr>
          <w:p>
            <w:pPr>
              <w:spacing w:after="0"/>
              <w:rPr>
                <w:sz w:val="12"/>
                <w:szCs w:val="12"/>
                <w:color w:val="auto"/>
              </w:rPr>
            </w:pPr>
          </w:p>
        </w:tc>
        <w:tc>
          <w:tcPr>
            <w:tcW w:w="2960" w:type="dxa"/>
            <w:vAlign w:val="bottom"/>
          </w:tcPr>
          <w:p>
            <w:pPr>
              <w:spacing w:after="0"/>
              <w:rPr>
                <w:sz w:val="12"/>
                <w:szCs w:val="12"/>
                <w:color w:val="auto"/>
              </w:rPr>
            </w:pPr>
          </w:p>
        </w:tc>
        <w:tc>
          <w:tcPr>
            <w:tcW w:w="1340" w:type="dxa"/>
            <w:vAlign w:val="bottom"/>
            <w:tcBorders>
              <w:top w:val="single" w:sz="8" w:color="auto"/>
            </w:tcBorders>
          </w:tcPr>
          <w:p>
            <w:pPr>
              <w:spacing w:after="0"/>
              <w:rPr>
                <w:sz w:val="12"/>
                <w:szCs w:val="12"/>
                <w:color w:val="auto"/>
              </w:rPr>
            </w:pPr>
          </w:p>
        </w:tc>
        <w:tc>
          <w:tcPr>
            <w:tcW w:w="1740" w:type="dxa"/>
            <w:vAlign w:val="bottom"/>
          </w:tcPr>
          <w:p>
            <w:pPr>
              <w:spacing w:after="0"/>
              <w:rPr>
                <w:sz w:val="12"/>
                <w:szCs w:val="12"/>
                <w:color w:val="auto"/>
              </w:rPr>
            </w:pPr>
          </w:p>
        </w:tc>
      </w:tr>
      <w:tr>
        <w:trPr>
          <w:trHeight w:val="154"/>
        </w:trPr>
        <w:tc>
          <w:tcPr>
            <w:tcW w:w="1720" w:type="dxa"/>
            <w:vAlign w:val="bottom"/>
          </w:tcPr>
          <w:p>
            <w:pPr>
              <w:spacing w:after="0"/>
              <w:rPr>
                <w:sz w:val="13"/>
                <w:szCs w:val="13"/>
                <w:color w:val="auto"/>
              </w:rPr>
            </w:pPr>
          </w:p>
        </w:tc>
        <w:tc>
          <w:tcPr>
            <w:tcW w:w="3720" w:type="dxa"/>
            <w:vAlign w:val="bottom"/>
            <w:shd w:val="clear" w:color="auto" w:fill="CCEEFF"/>
          </w:tcPr>
          <w:p>
            <w:pPr>
              <w:jc w:val="center"/>
              <w:ind w:left="2796"/>
              <w:spacing w:after="0"/>
              <w:rPr>
                <w:sz w:val="20"/>
                <w:szCs w:val="20"/>
                <w:color w:val="auto"/>
              </w:rPr>
            </w:pPr>
            <w:r>
              <w:rPr>
                <w:rFonts w:ascii="Arial" w:cs="Arial" w:eastAsia="Arial" w:hAnsi="Arial"/>
                <w:sz w:val="13"/>
                <w:szCs w:val="13"/>
                <w:color w:val="auto"/>
                <w:w w:val="89"/>
              </w:rPr>
              <w:t>2019</w:t>
            </w:r>
          </w:p>
        </w:tc>
        <w:tc>
          <w:tcPr>
            <w:tcW w:w="4300" w:type="dxa"/>
            <w:vAlign w:val="bottom"/>
            <w:tcBorders>
              <w:right w:val="single" w:sz="8" w:color="CCEEFF"/>
            </w:tcBorders>
            <w:gridSpan w:val="2"/>
            <w:shd w:val="clear" w:color="auto" w:fill="CCEEFF"/>
          </w:tcPr>
          <w:p>
            <w:pPr>
              <w:jc w:val="right"/>
              <w:spacing w:after="0"/>
              <w:rPr>
                <w:sz w:val="20"/>
                <w:szCs w:val="20"/>
                <w:color w:val="auto"/>
              </w:rPr>
            </w:pPr>
            <w:r>
              <w:rPr>
                <w:rFonts w:ascii="Arial" w:cs="Arial" w:eastAsia="Arial" w:hAnsi="Arial"/>
                <w:sz w:val="13"/>
                <w:szCs w:val="13"/>
                <w:color w:val="auto"/>
              </w:rPr>
              <w:t>257,393</w:t>
            </w:r>
          </w:p>
        </w:tc>
        <w:tc>
          <w:tcPr>
            <w:tcW w:w="1740" w:type="dxa"/>
            <w:vAlign w:val="bottom"/>
          </w:tcPr>
          <w:p>
            <w:pPr>
              <w:spacing w:after="0"/>
              <w:rPr>
                <w:sz w:val="13"/>
                <w:szCs w:val="13"/>
                <w:color w:val="auto"/>
              </w:rPr>
            </w:pPr>
          </w:p>
        </w:tc>
      </w:tr>
      <w:tr>
        <w:trPr>
          <w:trHeight w:val="154"/>
        </w:trPr>
        <w:tc>
          <w:tcPr>
            <w:tcW w:w="1720" w:type="dxa"/>
            <w:vAlign w:val="bottom"/>
          </w:tcPr>
          <w:p>
            <w:pPr>
              <w:spacing w:after="0"/>
              <w:rPr>
                <w:sz w:val="13"/>
                <w:szCs w:val="13"/>
                <w:color w:val="auto"/>
              </w:rPr>
            </w:pPr>
          </w:p>
        </w:tc>
        <w:tc>
          <w:tcPr>
            <w:tcW w:w="3720" w:type="dxa"/>
            <w:vAlign w:val="bottom"/>
          </w:tcPr>
          <w:p>
            <w:pPr>
              <w:jc w:val="center"/>
              <w:ind w:left="2796"/>
              <w:spacing w:after="0"/>
              <w:rPr>
                <w:sz w:val="20"/>
                <w:szCs w:val="20"/>
                <w:color w:val="auto"/>
              </w:rPr>
            </w:pPr>
            <w:r>
              <w:rPr>
                <w:rFonts w:ascii="Arial" w:cs="Arial" w:eastAsia="Arial" w:hAnsi="Arial"/>
                <w:sz w:val="13"/>
                <w:szCs w:val="13"/>
                <w:color w:val="auto"/>
                <w:w w:val="89"/>
              </w:rPr>
              <w:t>2020</w:t>
            </w:r>
          </w:p>
        </w:tc>
        <w:tc>
          <w:tcPr>
            <w:tcW w:w="4300" w:type="dxa"/>
            <w:vAlign w:val="bottom"/>
            <w:gridSpan w:val="2"/>
          </w:tcPr>
          <w:p>
            <w:pPr>
              <w:jc w:val="right"/>
              <w:spacing w:after="0"/>
              <w:rPr>
                <w:sz w:val="20"/>
                <w:szCs w:val="20"/>
                <w:color w:val="auto"/>
              </w:rPr>
            </w:pPr>
            <w:r>
              <w:rPr>
                <w:rFonts w:ascii="Arial" w:cs="Arial" w:eastAsia="Arial" w:hAnsi="Arial"/>
                <w:sz w:val="13"/>
                <w:szCs w:val="13"/>
                <w:color w:val="auto"/>
              </w:rPr>
              <w:t>488,237</w:t>
            </w:r>
          </w:p>
        </w:tc>
        <w:tc>
          <w:tcPr>
            <w:tcW w:w="1740" w:type="dxa"/>
            <w:vAlign w:val="bottom"/>
          </w:tcPr>
          <w:p>
            <w:pPr>
              <w:spacing w:after="0"/>
              <w:rPr>
                <w:sz w:val="13"/>
                <w:szCs w:val="13"/>
                <w:color w:val="auto"/>
              </w:rPr>
            </w:pPr>
          </w:p>
        </w:tc>
      </w:tr>
      <w:tr>
        <w:trPr>
          <w:trHeight w:val="154"/>
        </w:trPr>
        <w:tc>
          <w:tcPr>
            <w:tcW w:w="1720" w:type="dxa"/>
            <w:vAlign w:val="bottom"/>
          </w:tcPr>
          <w:p>
            <w:pPr>
              <w:spacing w:after="0"/>
              <w:rPr>
                <w:sz w:val="13"/>
                <w:szCs w:val="13"/>
                <w:color w:val="auto"/>
              </w:rPr>
            </w:pPr>
          </w:p>
        </w:tc>
        <w:tc>
          <w:tcPr>
            <w:tcW w:w="3720" w:type="dxa"/>
            <w:vAlign w:val="bottom"/>
            <w:shd w:val="clear" w:color="auto" w:fill="CCEEFF"/>
          </w:tcPr>
          <w:p>
            <w:pPr>
              <w:jc w:val="center"/>
              <w:ind w:left="2796"/>
              <w:spacing w:after="0"/>
              <w:rPr>
                <w:sz w:val="20"/>
                <w:szCs w:val="20"/>
                <w:color w:val="auto"/>
              </w:rPr>
            </w:pPr>
            <w:r>
              <w:rPr>
                <w:rFonts w:ascii="Arial" w:cs="Arial" w:eastAsia="Arial" w:hAnsi="Arial"/>
                <w:sz w:val="13"/>
                <w:szCs w:val="13"/>
                <w:color w:val="auto"/>
                <w:w w:val="89"/>
              </w:rPr>
              <w:t>2021</w:t>
            </w:r>
          </w:p>
        </w:tc>
        <w:tc>
          <w:tcPr>
            <w:tcW w:w="4300" w:type="dxa"/>
            <w:vAlign w:val="bottom"/>
            <w:tcBorders>
              <w:right w:val="single" w:sz="8" w:color="CCEEFF"/>
            </w:tcBorders>
            <w:gridSpan w:val="2"/>
            <w:shd w:val="clear" w:color="auto" w:fill="CCEEFF"/>
          </w:tcPr>
          <w:p>
            <w:pPr>
              <w:jc w:val="right"/>
              <w:spacing w:after="0"/>
              <w:rPr>
                <w:sz w:val="20"/>
                <w:szCs w:val="20"/>
                <w:color w:val="auto"/>
              </w:rPr>
            </w:pPr>
            <w:r>
              <w:rPr>
                <w:rFonts w:ascii="Arial" w:cs="Arial" w:eastAsia="Arial" w:hAnsi="Arial"/>
                <w:sz w:val="13"/>
                <w:szCs w:val="13"/>
                <w:color w:val="auto"/>
              </w:rPr>
              <w:t>558,265</w:t>
            </w:r>
          </w:p>
        </w:tc>
        <w:tc>
          <w:tcPr>
            <w:tcW w:w="1740" w:type="dxa"/>
            <w:vAlign w:val="bottom"/>
          </w:tcPr>
          <w:p>
            <w:pPr>
              <w:spacing w:after="0"/>
              <w:rPr>
                <w:sz w:val="13"/>
                <w:szCs w:val="13"/>
                <w:color w:val="auto"/>
              </w:rPr>
            </w:pPr>
          </w:p>
        </w:tc>
      </w:tr>
      <w:tr>
        <w:trPr>
          <w:trHeight w:val="154"/>
        </w:trPr>
        <w:tc>
          <w:tcPr>
            <w:tcW w:w="1720" w:type="dxa"/>
            <w:vAlign w:val="bottom"/>
          </w:tcPr>
          <w:p>
            <w:pPr>
              <w:spacing w:after="0"/>
              <w:rPr>
                <w:sz w:val="13"/>
                <w:szCs w:val="13"/>
                <w:color w:val="auto"/>
              </w:rPr>
            </w:pPr>
          </w:p>
        </w:tc>
        <w:tc>
          <w:tcPr>
            <w:tcW w:w="3720" w:type="dxa"/>
            <w:vAlign w:val="bottom"/>
          </w:tcPr>
          <w:p>
            <w:pPr>
              <w:jc w:val="center"/>
              <w:ind w:left="2796"/>
              <w:spacing w:after="0"/>
              <w:rPr>
                <w:sz w:val="20"/>
                <w:szCs w:val="20"/>
                <w:color w:val="auto"/>
              </w:rPr>
            </w:pPr>
            <w:r>
              <w:rPr>
                <w:rFonts w:ascii="Arial" w:cs="Arial" w:eastAsia="Arial" w:hAnsi="Arial"/>
                <w:sz w:val="13"/>
                <w:szCs w:val="13"/>
                <w:color w:val="auto"/>
                <w:w w:val="89"/>
              </w:rPr>
              <w:t>2022</w:t>
            </w:r>
          </w:p>
        </w:tc>
        <w:tc>
          <w:tcPr>
            <w:tcW w:w="4300" w:type="dxa"/>
            <w:vAlign w:val="bottom"/>
            <w:gridSpan w:val="2"/>
          </w:tcPr>
          <w:p>
            <w:pPr>
              <w:jc w:val="right"/>
              <w:spacing w:after="0"/>
              <w:rPr>
                <w:sz w:val="20"/>
                <w:szCs w:val="20"/>
                <w:color w:val="auto"/>
              </w:rPr>
            </w:pPr>
            <w:r>
              <w:rPr>
                <w:rFonts w:ascii="Arial" w:cs="Arial" w:eastAsia="Arial" w:hAnsi="Arial"/>
                <w:sz w:val="13"/>
                <w:szCs w:val="13"/>
                <w:color w:val="auto"/>
              </w:rPr>
              <w:t>74,179</w:t>
            </w:r>
          </w:p>
        </w:tc>
        <w:tc>
          <w:tcPr>
            <w:tcW w:w="1740" w:type="dxa"/>
            <w:vAlign w:val="bottom"/>
          </w:tcPr>
          <w:p>
            <w:pPr>
              <w:spacing w:after="0"/>
              <w:rPr>
                <w:sz w:val="13"/>
                <w:szCs w:val="13"/>
                <w:color w:val="auto"/>
              </w:rPr>
            </w:pPr>
          </w:p>
        </w:tc>
      </w:tr>
      <w:tr>
        <w:trPr>
          <w:trHeight w:val="154"/>
        </w:trPr>
        <w:tc>
          <w:tcPr>
            <w:tcW w:w="1720" w:type="dxa"/>
            <w:vAlign w:val="bottom"/>
          </w:tcPr>
          <w:p>
            <w:pPr>
              <w:spacing w:after="0"/>
              <w:rPr>
                <w:sz w:val="13"/>
                <w:szCs w:val="13"/>
                <w:color w:val="auto"/>
              </w:rPr>
            </w:pPr>
          </w:p>
        </w:tc>
        <w:tc>
          <w:tcPr>
            <w:tcW w:w="3720" w:type="dxa"/>
            <w:vAlign w:val="bottom"/>
            <w:shd w:val="clear" w:color="auto" w:fill="CCEEFF"/>
          </w:tcPr>
          <w:p>
            <w:pPr>
              <w:jc w:val="center"/>
              <w:ind w:left="2796"/>
              <w:spacing w:after="0"/>
              <w:rPr>
                <w:sz w:val="20"/>
                <w:szCs w:val="20"/>
                <w:color w:val="auto"/>
              </w:rPr>
            </w:pPr>
            <w:r>
              <w:rPr>
                <w:rFonts w:ascii="Arial" w:cs="Arial" w:eastAsia="Arial" w:hAnsi="Arial"/>
                <w:sz w:val="13"/>
                <w:szCs w:val="13"/>
                <w:color w:val="auto"/>
                <w:w w:val="89"/>
              </w:rPr>
              <w:t>2023</w:t>
            </w:r>
          </w:p>
        </w:tc>
        <w:tc>
          <w:tcPr>
            <w:tcW w:w="4300" w:type="dxa"/>
            <w:vAlign w:val="bottom"/>
            <w:tcBorders>
              <w:right w:val="single" w:sz="8" w:color="CCEEFF"/>
            </w:tcBorders>
            <w:gridSpan w:val="2"/>
            <w:shd w:val="clear" w:color="auto" w:fill="CCEEFF"/>
          </w:tcPr>
          <w:p>
            <w:pPr>
              <w:jc w:val="right"/>
              <w:spacing w:after="0"/>
              <w:rPr>
                <w:sz w:val="20"/>
                <w:szCs w:val="20"/>
                <w:color w:val="auto"/>
              </w:rPr>
            </w:pPr>
            <w:r>
              <w:rPr>
                <w:rFonts w:ascii="Arial" w:cs="Arial" w:eastAsia="Arial" w:hAnsi="Arial"/>
                <w:sz w:val="13"/>
                <w:szCs w:val="13"/>
                <w:color w:val="auto"/>
              </w:rPr>
              <w:t>62,500</w:t>
            </w:r>
          </w:p>
        </w:tc>
        <w:tc>
          <w:tcPr>
            <w:tcW w:w="1740" w:type="dxa"/>
            <w:vAlign w:val="bottom"/>
          </w:tcPr>
          <w:p>
            <w:pPr>
              <w:spacing w:after="0"/>
              <w:rPr>
                <w:sz w:val="13"/>
                <w:szCs w:val="13"/>
                <w:color w:val="auto"/>
              </w:rPr>
            </w:pPr>
          </w:p>
        </w:tc>
      </w:tr>
      <w:tr>
        <w:trPr>
          <w:trHeight w:val="163"/>
        </w:trPr>
        <w:tc>
          <w:tcPr>
            <w:tcW w:w="1720" w:type="dxa"/>
            <w:vAlign w:val="bottom"/>
          </w:tcPr>
          <w:p>
            <w:pPr>
              <w:spacing w:after="0"/>
              <w:rPr>
                <w:sz w:val="14"/>
                <w:szCs w:val="14"/>
                <w:color w:val="auto"/>
              </w:rPr>
            </w:pPr>
          </w:p>
        </w:tc>
        <w:tc>
          <w:tcPr>
            <w:tcW w:w="3720" w:type="dxa"/>
            <w:vAlign w:val="bottom"/>
          </w:tcPr>
          <w:p>
            <w:pPr>
              <w:jc w:val="center"/>
              <w:ind w:left="2796"/>
              <w:spacing w:after="0"/>
              <w:rPr>
                <w:sz w:val="20"/>
                <w:szCs w:val="20"/>
                <w:color w:val="auto"/>
              </w:rPr>
            </w:pPr>
            <w:r>
              <w:rPr>
                <w:rFonts w:ascii="Arial" w:cs="Arial" w:eastAsia="Arial" w:hAnsi="Arial"/>
                <w:sz w:val="13"/>
                <w:szCs w:val="13"/>
                <w:color w:val="auto"/>
                <w:w w:val="89"/>
              </w:rPr>
              <w:t>2024</w:t>
            </w:r>
          </w:p>
        </w:tc>
        <w:tc>
          <w:tcPr>
            <w:tcW w:w="4300" w:type="dxa"/>
            <w:vAlign w:val="bottom"/>
            <w:gridSpan w:val="2"/>
          </w:tcPr>
          <w:p>
            <w:pPr>
              <w:jc w:val="right"/>
              <w:spacing w:after="0"/>
              <w:rPr>
                <w:sz w:val="20"/>
                <w:szCs w:val="20"/>
                <w:color w:val="auto"/>
              </w:rPr>
            </w:pPr>
            <w:r>
              <w:rPr>
                <w:rFonts w:ascii="Arial" w:cs="Arial" w:eastAsia="Arial" w:hAnsi="Arial"/>
                <w:sz w:val="13"/>
                <w:szCs w:val="13"/>
                <w:color w:val="auto"/>
              </w:rPr>
              <w:t>60,315</w:t>
            </w:r>
          </w:p>
        </w:tc>
        <w:tc>
          <w:tcPr>
            <w:tcW w:w="1740" w:type="dxa"/>
            <w:vAlign w:val="bottom"/>
          </w:tcPr>
          <w:p>
            <w:pPr>
              <w:spacing w:after="0"/>
              <w:rPr>
                <w:sz w:val="14"/>
                <w:szCs w:val="14"/>
                <w:color w:val="auto"/>
              </w:rPr>
            </w:pPr>
          </w:p>
        </w:tc>
      </w:tr>
      <w:tr>
        <w:trPr>
          <w:trHeight w:val="163"/>
        </w:trPr>
        <w:tc>
          <w:tcPr>
            <w:tcW w:w="1720" w:type="dxa"/>
            <w:vAlign w:val="bottom"/>
          </w:tcPr>
          <w:p>
            <w:pPr>
              <w:spacing w:after="0"/>
              <w:rPr>
                <w:sz w:val="14"/>
                <w:szCs w:val="14"/>
                <w:color w:val="auto"/>
              </w:rPr>
            </w:pPr>
          </w:p>
        </w:tc>
        <w:tc>
          <w:tcPr>
            <w:tcW w:w="3720" w:type="dxa"/>
            <w:vAlign w:val="bottom"/>
            <w:tcBorders>
              <w:top w:val="single" w:sz="8" w:color="CCEEFF"/>
            </w:tcBorders>
            <w:shd w:val="clear" w:color="auto" w:fill="CCEEFF"/>
          </w:tcPr>
          <w:p>
            <w:pPr>
              <w:spacing w:after="0"/>
              <w:rPr>
                <w:sz w:val="14"/>
                <w:szCs w:val="14"/>
                <w:color w:val="auto"/>
              </w:rPr>
            </w:pPr>
          </w:p>
        </w:tc>
        <w:tc>
          <w:tcPr>
            <w:tcW w:w="2960" w:type="dxa"/>
            <w:vAlign w:val="bottom"/>
            <w:tcBorders>
              <w:top w:val="single" w:sz="8" w:color="CCEEFF"/>
            </w:tcBorders>
            <w:shd w:val="clear" w:color="auto" w:fill="CCEEFF"/>
          </w:tcPr>
          <w:p>
            <w:pPr>
              <w:spacing w:after="0"/>
              <w:rPr>
                <w:sz w:val="14"/>
                <w:szCs w:val="14"/>
                <w:color w:val="auto"/>
              </w:rPr>
            </w:pPr>
          </w:p>
        </w:tc>
        <w:tc>
          <w:tcPr>
            <w:tcW w:w="1340" w:type="dxa"/>
            <w:vAlign w:val="bottom"/>
            <w:tcBorders>
              <w:top w:val="single" w:sz="8" w:color="auto"/>
              <w:bottom w:val="single" w:sz="8" w:color="auto"/>
              <w:right w:val="single" w:sz="8" w:color="CCEEFF"/>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1,500,889</w:t>
            </w:r>
          </w:p>
        </w:tc>
        <w:tc>
          <w:tcPr>
            <w:tcW w:w="1740" w:type="dxa"/>
            <w:vAlign w:val="bottom"/>
          </w:tcPr>
          <w:p>
            <w:pPr>
              <w:spacing w:after="0"/>
              <w:rPr>
                <w:sz w:val="14"/>
                <w:szCs w:val="14"/>
                <w:color w:val="auto"/>
              </w:rPr>
            </w:pPr>
          </w:p>
        </w:tc>
      </w:tr>
      <w:tr>
        <w:trPr>
          <w:trHeight w:val="485"/>
        </w:trPr>
        <w:tc>
          <w:tcPr>
            <w:tcW w:w="1720" w:type="dxa"/>
            <w:vAlign w:val="bottom"/>
            <w:tcBorders>
              <w:bottom w:val="single" w:sz="8" w:color="auto"/>
            </w:tcBorders>
          </w:tcPr>
          <w:p>
            <w:pPr>
              <w:spacing w:after="0"/>
              <w:rPr>
                <w:sz w:val="24"/>
                <w:szCs w:val="24"/>
                <w:color w:val="auto"/>
              </w:rPr>
            </w:pPr>
          </w:p>
        </w:tc>
        <w:tc>
          <w:tcPr>
            <w:tcW w:w="3720" w:type="dxa"/>
            <w:vAlign w:val="bottom"/>
            <w:tcBorders>
              <w:bottom w:val="single" w:sz="8" w:color="auto"/>
            </w:tcBorders>
          </w:tcPr>
          <w:p>
            <w:pPr>
              <w:spacing w:after="0"/>
              <w:rPr>
                <w:sz w:val="24"/>
                <w:szCs w:val="24"/>
                <w:color w:val="auto"/>
              </w:rPr>
            </w:pPr>
          </w:p>
        </w:tc>
        <w:tc>
          <w:tcPr>
            <w:tcW w:w="4300" w:type="dxa"/>
            <w:vAlign w:val="bottom"/>
            <w:tcBorders>
              <w:bottom w:val="single" w:sz="8" w:color="auto"/>
            </w:tcBorders>
            <w:gridSpan w:val="2"/>
          </w:tcPr>
          <w:p>
            <w:pPr>
              <w:jc w:val="right"/>
              <w:ind w:right="3816"/>
              <w:spacing w:after="0"/>
              <w:rPr>
                <w:sz w:val="20"/>
                <w:szCs w:val="20"/>
                <w:color w:val="auto"/>
              </w:rPr>
            </w:pPr>
            <w:r>
              <w:rPr>
                <w:rFonts w:ascii="Arial" w:cs="Arial" w:eastAsia="Arial" w:hAnsi="Arial"/>
                <w:sz w:val="13"/>
                <w:szCs w:val="13"/>
                <w:color w:val="auto"/>
              </w:rPr>
              <w:t>F-71</w:t>
            </w:r>
          </w:p>
        </w:tc>
        <w:tc>
          <w:tcPr>
            <w:tcW w:w="1740" w:type="dxa"/>
            <w:vAlign w:val="bottom"/>
            <w:tcBorders>
              <w:bottom w:val="single" w:sz="8" w:color="auto"/>
            </w:tcBorders>
          </w:tcPr>
          <w:p>
            <w:pPr>
              <w:spacing w:after="0"/>
              <w:rPr>
                <w:sz w:val="24"/>
                <w:szCs w:val="24"/>
                <w:color w:val="auto"/>
              </w:rPr>
            </w:pPr>
          </w:p>
        </w:tc>
      </w:tr>
    </w:tbl>
    <w:p>
      <w:pPr>
        <w:sectPr>
          <w:pgSz w:w="11900" w:h="16838" w:orient="portrait"/>
          <w:cols w:equalWidth="0" w:num="1">
            <w:col w:w="11483"/>
          </w:cols>
          <w:pgMar w:left="217" w:top="685" w:right="199" w:bottom="1440" w:gutter="0" w:footer="0" w:header="0"/>
        </w:sectPr>
      </w:pPr>
    </w:p>
    <w:bookmarkStart w:id="196" w:name="page197"/>
    <w:bookmarkEnd w:id="196"/>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32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162"/>
        </w:numPr>
        <w:rPr>
          <w:rFonts w:ascii="Arial" w:cs="Arial" w:eastAsia="Arial" w:hAnsi="Arial"/>
          <w:sz w:val="13"/>
          <w:szCs w:val="13"/>
          <w:b w:val="1"/>
          <w:bCs w:val="1"/>
          <w:color w:val="auto"/>
        </w:rPr>
      </w:pPr>
      <w:r>
        <w:rPr>
          <w:rFonts w:ascii="Arial" w:cs="Arial" w:eastAsia="Arial" w:hAnsi="Arial"/>
          <w:sz w:val="13"/>
          <w:szCs w:val="13"/>
          <w:b w:val="1"/>
          <w:bCs w:val="1"/>
          <w:color w:val="auto"/>
        </w:rPr>
        <w:t>Borrowings and debt (continued)</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u w:val="single" w:color="auto"/>
          <w:color w:val="auto"/>
        </w:rPr>
        <w:t>Reconciliation of movements of borrowings and debt arising from financing activities of consolidated statements of cash flows</w:t>
      </w:r>
      <w:r>
        <w:rPr>
          <w:rFonts w:ascii="Arial" w:cs="Arial" w:eastAsia="Arial" w:hAnsi="Arial"/>
          <w:sz w:val="13"/>
          <w:szCs w:val="13"/>
          <w:color w:val="auto"/>
        </w:rPr>
        <w:t>:</w:t>
      </w:r>
    </w:p>
    <w:p>
      <w:pPr>
        <w:spacing w:after="0" w:line="164" w:lineRule="exact"/>
        <w:rPr>
          <w:sz w:val="20"/>
          <w:szCs w:val="20"/>
          <w:color w:val="auto"/>
        </w:rPr>
      </w:pPr>
    </w:p>
    <w:tbl>
      <w:tblPr>
        <w:tblLayout w:type="fixed"/>
        <w:tblInd w:w="3" w:type="dxa"/>
        <w:tblCellMar>
          <w:top w:w="0" w:type="dxa"/>
          <w:left w:w="0" w:type="dxa"/>
          <w:bottom w:w="0" w:type="dxa"/>
          <w:right w:w="0" w:type="dxa"/>
        </w:tblCellMar>
      </w:tblPr>
      <w:tr>
        <w:trPr>
          <w:trHeight w:val="166"/>
        </w:trPr>
        <w:tc>
          <w:tcPr>
            <w:tcW w:w="20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6840" w:type="dxa"/>
            <w:vAlign w:val="bottom"/>
          </w:tcPr>
          <w:p>
            <w:pPr>
              <w:spacing w:after="0"/>
              <w:rPr>
                <w:sz w:val="14"/>
                <w:szCs w:val="14"/>
                <w:color w:val="auto"/>
              </w:rPr>
            </w:pPr>
          </w:p>
        </w:tc>
        <w:tc>
          <w:tcPr>
            <w:tcW w:w="1080" w:type="dxa"/>
            <w:vAlign w:val="bottom"/>
            <w:gridSpan w:val="2"/>
          </w:tcPr>
          <w:p>
            <w:pPr>
              <w:jc w:val="right"/>
              <w:ind w:right="276"/>
              <w:spacing w:after="0"/>
              <w:rPr>
                <w:sz w:val="20"/>
                <w:szCs w:val="20"/>
                <w:color w:val="auto"/>
              </w:rPr>
            </w:pPr>
            <w:r>
              <w:rPr>
                <w:rFonts w:ascii="Arial" w:cs="Arial" w:eastAsia="Arial" w:hAnsi="Arial"/>
                <w:sz w:val="13"/>
                <w:szCs w:val="13"/>
                <w:b w:val="1"/>
                <w:bCs w:val="1"/>
                <w:color w:val="auto"/>
              </w:rPr>
              <w:t>2018</w:t>
            </w:r>
          </w:p>
        </w:tc>
        <w:tc>
          <w:tcPr>
            <w:tcW w:w="1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940" w:type="dxa"/>
            <w:vAlign w:val="bottom"/>
            <w:gridSpan w:val="2"/>
          </w:tcPr>
          <w:p>
            <w:pPr>
              <w:jc w:val="right"/>
              <w:ind w:right="16"/>
              <w:spacing w:after="0"/>
              <w:rPr>
                <w:sz w:val="20"/>
                <w:szCs w:val="20"/>
                <w:color w:val="auto"/>
              </w:rPr>
            </w:pPr>
            <w:r>
              <w:rPr>
                <w:rFonts w:ascii="Arial" w:cs="Arial" w:eastAsia="Arial" w:hAnsi="Arial"/>
                <w:sz w:val="13"/>
                <w:szCs w:val="13"/>
                <w:b w:val="1"/>
                <w:bCs w:val="1"/>
                <w:color w:val="auto"/>
              </w:rPr>
              <w:t>2017</w:t>
            </w:r>
          </w:p>
        </w:tc>
        <w:tc>
          <w:tcPr>
            <w:tcW w:w="8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00" w:type="dxa"/>
            <w:vAlign w:val="bottom"/>
          </w:tcPr>
          <w:p>
            <w:pPr>
              <w:jc w:val="right"/>
              <w:ind w:right="416"/>
              <w:spacing w:after="0"/>
              <w:rPr>
                <w:sz w:val="20"/>
                <w:szCs w:val="20"/>
                <w:color w:val="auto"/>
              </w:rPr>
            </w:pPr>
            <w:r>
              <w:rPr>
                <w:rFonts w:ascii="Arial" w:cs="Arial" w:eastAsia="Arial" w:hAnsi="Arial"/>
                <w:sz w:val="13"/>
                <w:szCs w:val="13"/>
                <w:b w:val="1"/>
                <w:bCs w:val="1"/>
                <w:color w:val="auto"/>
              </w:rPr>
              <w:t>2016</w:t>
            </w:r>
          </w:p>
        </w:tc>
        <w:tc>
          <w:tcPr>
            <w:tcW w:w="100" w:type="dxa"/>
            <w:vAlign w:val="bottom"/>
          </w:tcPr>
          <w:p>
            <w:pPr>
              <w:spacing w:after="0"/>
              <w:rPr>
                <w:sz w:val="14"/>
                <w:szCs w:val="14"/>
                <w:color w:val="auto"/>
              </w:rPr>
            </w:pPr>
          </w:p>
        </w:tc>
      </w:tr>
      <w:tr>
        <w:trPr>
          <w:trHeight w:val="144"/>
        </w:trPr>
        <w:tc>
          <w:tcPr>
            <w:tcW w:w="2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684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Balance as of January 1,</w:t>
            </w:r>
          </w:p>
        </w:tc>
        <w:tc>
          <w:tcPr>
            <w:tcW w:w="1220" w:type="dxa"/>
            <w:vAlign w:val="bottom"/>
            <w:tcBorders>
              <w:top w:val="single" w:sz="8" w:color="auto"/>
            </w:tcBorders>
            <w:gridSpan w:val="3"/>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2,211,567</w:t>
            </w:r>
          </w:p>
        </w:tc>
        <w:tc>
          <w:tcPr>
            <w:tcW w:w="4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gridSpan w:val="3"/>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3,246,813</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4,312,170</w:t>
            </w:r>
          </w:p>
        </w:tc>
        <w:tc>
          <w:tcPr>
            <w:tcW w:w="100" w:type="dxa"/>
            <w:vAlign w:val="bottom"/>
            <w:tcBorders>
              <w:top w:val="single" w:sz="8" w:color="CCEEFF"/>
            </w:tcBorders>
            <w:shd w:val="clear" w:color="auto" w:fill="CCEEFF"/>
          </w:tcPr>
          <w:p>
            <w:pPr>
              <w:spacing w:after="0"/>
              <w:rPr>
                <w:sz w:val="12"/>
                <w:szCs w:val="12"/>
                <w:color w:val="auto"/>
              </w:rPr>
            </w:pPr>
          </w:p>
        </w:tc>
      </w:tr>
      <w:tr>
        <w:trPr>
          <w:trHeight w:val="154"/>
        </w:trPr>
        <w:tc>
          <w:tcPr>
            <w:tcW w:w="2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6840" w:type="dxa"/>
            <w:vAlign w:val="bottom"/>
          </w:tcPr>
          <w:p>
            <w:pPr>
              <w:spacing w:after="0"/>
              <w:rPr>
                <w:sz w:val="20"/>
                <w:szCs w:val="20"/>
                <w:color w:val="auto"/>
              </w:rPr>
            </w:pPr>
            <w:r>
              <w:rPr>
                <w:rFonts w:ascii="Arial" w:cs="Arial" w:eastAsia="Arial" w:hAnsi="Arial"/>
                <w:sz w:val="13"/>
                <w:szCs w:val="13"/>
                <w:color w:val="auto"/>
              </w:rPr>
              <w:t>Net increase (decrease) in short-term borrowings and debt</w:t>
            </w:r>
          </w:p>
        </w:tc>
        <w:tc>
          <w:tcPr>
            <w:tcW w:w="1220" w:type="dxa"/>
            <w:vAlign w:val="bottom"/>
            <w:gridSpan w:val="3"/>
          </w:tcPr>
          <w:p>
            <w:pPr>
              <w:jc w:val="right"/>
              <w:spacing w:after="0"/>
              <w:rPr>
                <w:sz w:val="20"/>
                <w:szCs w:val="20"/>
                <w:color w:val="auto"/>
              </w:rPr>
            </w:pPr>
            <w:r>
              <w:rPr>
                <w:rFonts w:ascii="Arial" w:cs="Arial" w:eastAsia="Arial" w:hAnsi="Arial"/>
                <w:sz w:val="13"/>
                <w:szCs w:val="13"/>
                <w:color w:val="auto"/>
              </w:rPr>
              <w:t>950,259</w:t>
            </w:r>
          </w:p>
        </w:tc>
        <w:tc>
          <w:tcPr>
            <w:tcW w:w="4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560" w:type="dxa"/>
            <w:vAlign w:val="bottom"/>
            <w:gridSpan w:val="5"/>
          </w:tcPr>
          <w:p>
            <w:pPr>
              <w:jc w:val="right"/>
              <w:ind w:right="180"/>
              <w:spacing w:after="0"/>
              <w:rPr>
                <w:sz w:val="20"/>
                <w:szCs w:val="20"/>
                <w:color w:val="auto"/>
              </w:rPr>
            </w:pPr>
            <w:r>
              <w:rPr>
                <w:rFonts w:ascii="Arial" w:cs="Arial" w:eastAsia="Arial" w:hAnsi="Arial"/>
                <w:sz w:val="13"/>
                <w:szCs w:val="13"/>
                <w:color w:val="auto"/>
              </w:rPr>
              <w:t>(396,205)</w:t>
            </w:r>
          </w:p>
        </w:tc>
        <w:tc>
          <w:tcPr>
            <w:tcW w:w="1300" w:type="dxa"/>
            <w:vAlign w:val="bottom"/>
            <w:gridSpan w:val="2"/>
          </w:tcPr>
          <w:p>
            <w:pPr>
              <w:jc w:val="right"/>
              <w:ind w:right="60"/>
              <w:spacing w:after="0"/>
              <w:rPr>
                <w:sz w:val="20"/>
                <w:szCs w:val="20"/>
                <w:color w:val="auto"/>
              </w:rPr>
            </w:pPr>
            <w:r>
              <w:rPr>
                <w:rFonts w:ascii="Arial" w:cs="Arial" w:eastAsia="Arial" w:hAnsi="Arial"/>
                <w:sz w:val="13"/>
                <w:szCs w:val="13"/>
                <w:color w:val="auto"/>
              </w:rPr>
              <w:t>(961,095)</w:t>
            </w:r>
          </w:p>
        </w:tc>
      </w:tr>
      <w:tr>
        <w:trPr>
          <w:trHeight w:val="154"/>
        </w:trPr>
        <w:tc>
          <w:tcPr>
            <w:tcW w:w="2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6840" w:type="dxa"/>
            <w:vAlign w:val="bottom"/>
            <w:shd w:val="clear" w:color="auto" w:fill="CCEEFF"/>
          </w:tcPr>
          <w:p>
            <w:pPr>
              <w:spacing w:after="0"/>
              <w:rPr>
                <w:sz w:val="20"/>
                <w:szCs w:val="20"/>
                <w:color w:val="auto"/>
              </w:rPr>
            </w:pPr>
            <w:r>
              <w:rPr>
                <w:rFonts w:ascii="Arial" w:cs="Arial" w:eastAsia="Arial" w:hAnsi="Arial"/>
                <w:sz w:val="13"/>
                <w:szCs w:val="13"/>
                <w:color w:val="auto"/>
              </w:rPr>
              <w:t>Proceeds from long-term borrowings and debt</w:t>
            </w:r>
          </w:p>
        </w:tc>
        <w:tc>
          <w:tcPr>
            <w:tcW w:w="1220" w:type="dxa"/>
            <w:vAlign w:val="bottom"/>
            <w:gridSpan w:val="3"/>
            <w:shd w:val="clear" w:color="auto" w:fill="CCEEFF"/>
          </w:tcPr>
          <w:p>
            <w:pPr>
              <w:jc w:val="right"/>
              <w:spacing w:after="0"/>
              <w:rPr>
                <w:sz w:val="20"/>
                <w:szCs w:val="20"/>
                <w:color w:val="auto"/>
              </w:rPr>
            </w:pPr>
            <w:r>
              <w:rPr>
                <w:rFonts w:ascii="Arial" w:cs="Arial" w:eastAsia="Arial" w:hAnsi="Arial"/>
                <w:sz w:val="13"/>
                <w:szCs w:val="13"/>
                <w:color w:val="auto"/>
              </w:rPr>
              <w:t>609,017</w:t>
            </w:r>
          </w:p>
        </w:tc>
        <w:tc>
          <w:tcPr>
            <w:tcW w:w="4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1560" w:type="dxa"/>
            <w:vAlign w:val="bottom"/>
            <w:gridSpan w:val="5"/>
            <w:shd w:val="clear" w:color="auto" w:fill="CCEEFF"/>
          </w:tcPr>
          <w:p>
            <w:pPr>
              <w:jc w:val="right"/>
              <w:ind w:right="220"/>
              <w:spacing w:after="0"/>
              <w:rPr>
                <w:sz w:val="20"/>
                <w:szCs w:val="20"/>
                <w:color w:val="auto"/>
              </w:rPr>
            </w:pPr>
            <w:r>
              <w:rPr>
                <w:rFonts w:ascii="Arial" w:cs="Arial" w:eastAsia="Arial" w:hAnsi="Arial"/>
                <w:sz w:val="13"/>
                <w:szCs w:val="13"/>
                <w:color w:val="auto"/>
              </w:rPr>
              <w:t>219,905</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406,149</w:t>
            </w:r>
          </w:p>
        </w:tc>
      </w:tr>
      <w:tr>
        <w:trPr>
          <w:trHeight w:val="154"/>
        </w:trPr>
        <w:tc>
          <w:tcPr>
            <w:tcW w:w="2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6840" w:type="dxa"/>
            <w:vAlign w:val="bottom"/>
          </w:tcPr>
          <w:p>
            <w:pPr>
              <w:spacing w:after="0"/>
              <w:rPr>
                <w:sz w:val="20"/>
                <w:szCs w:val="20"/>
                <w:color w:val="auto"/>
              </w:rPr>
            </w:pPr>
            <w:r>
              <w:rPr>
                <w:rFonts w:ascii="Arial" w:cs="Arial" w:eastAsia="Arial" w:hAnsi="Arial"/>
                <w:sz w:val="13"/>
                <w:szCs w:val="13"/>
                <w:color w:val="auto"/>
              </w:rPr>
              <w:t>Repayments of long-term borrowings and debt</w:t>
            </w:r>
          </w:p>
        </w:tc>
        <w:tc>
          <w:tcPr>
            <w:tcW w:w="1320" w:type="dxa"/>
            <w:vAlign w:val="bottom"/>
            <w:gridSpan w:val="5"/>
          </w:tcPr>
          <w:p>
            <w:pPr>
              <w:jc w:val="right"/>
              <w:ind w:right="60"/>
              <w:spacing w:after="0"/>
              <w:rPr>
                <w:sz w:val="20"/>
                <w:szCs w:val="20"/>
                <w:color w:val="auto"/>
              </w:rPr>
            </w:pPr>
            <w:r>
              <w:rPr>
                <w:rFonts w:ascii="Arial" w:cs="Arial" w:eastAsia="Arial" w:hAnsi="Arial"/>
                <w:sz w:val="13"/>
                <w:szCs w:val="13"/>
                <w:color w:val="auto"/>
              </w:rPr>
              <w:t>(256,173)</w:t>
            </w:r>
          </w:p>
        </w:tc>
        <w:tc>
          <w:tcPr>
            <w:tcW w:w="1560" w:type="dxa"/>
            <w:vAlign w:val="bottom"/>
            <w:gridSpan w:val="5"/>
          </w:tcPr>
          <w:p>
            <w:pPr>
              <w:jc w:val="right"/>
              <w:ind w:right="180"/>
              <w:spacing w:after="0"/>
              <w:rPr>
                <w:sz w:val="20"/>
                <w:szCs w:val="20"/>
                <w:color w:val="auto"/>
              </w:rPr>
            </w:pPr>
            <w:r>
              <w:rPr>
                <w:rFonts w:ascii="Arial" w:cs="Arial" w:eastAsia="Arial" w:hAnsi="Arial"/>
                <w:sz w:val="13"/>
                <w:szCs w:val="13"/>
                <w:color w:val="auto"/>
              </w:rPr>
              <w:t>(883,476)</w:t>
            </w:r>
          </w:p>
        </w:tc>
        <w:tc>
          <w:tcPr>
            <w:tcW w:w="1300" w:type="dxa"/>
            <w:vAlign w:val="bottom"/>
            <w:gridSpan w:val="2"/>
          </w:tcPr>
          <w:p>
            <w:pPr>
              <w:jc w:val="right"/>
              <w:ind w:right="60"/>
              <w:spacing w:after="0"/>
              <w:rPr>
                <w:sz w:val="20"/>
                <w:szCs w:val="20"/>
                <w:color w:val="auto"/>
              </w:rPr>
            </w:pPr>
            <w:r>
              <w:rPr>
                <w:rFonts w:ascii="Arial" w:cs="Arial" w:eastAsia="Arial" w:hAnsi="Arial"/>
                <w:sz w:val="13"/>
                <w:szCs w:val="13"/>
                <w:color w:val="auto"/>
              </w:rPr>
              <w:t>(464,242)</w:t>
            </w:r>
          </w:p>
        </w:tc>
      </w:tr>
      <w:tr>
        <w:trPr>
          <w:trHeight w:val="154"/>
        </w:trPr>
        <w:tc>
          <w:tcPr>
            <w:tcW w:w="2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6840" w:type="dxa"/>
            <w:vAlign w:val="bottom"/>
            <w:shd w:val="clear" w:color="auto" w:fill="CCEEFF"/>
          </w:tcPr>
          <w:p>
            <w:pPr>
              <w:spacing w:after="0"/>
              <w:rPr>
                <w:sz w:val="20"/>
                <w:szCs w:val="20"/>
                <w:color w:val="auto"/>
              </w:rPr>
            </w:pPr>
            <w:r>
              <w:rPr>
                <w:rFonts w:ascii="Arial" w:cs="Arial" w:eastAsia="Arial" w:hAnsi="Arial"/>
                <w:sz w:val="13"/>
                <w:szCs w:val="13"/>
                <w:color w:val="auto"/>
              </w:rPr>
              <w:t>Change in foreign currency</w:t>
            </w:r>
          </w:p>
        </w:tc>
        <w:tc>
          <w:tcPr>
            <w:tcW w:w="1220" w:type="dxa"/>
            <w:vAlign w:val="bottom"/>
            <w:gridSpan w:val="3"/>
            <w:shd w:val="clear" w:color="auto" w:fill="CCEEFF"/>
          </w:tcPr>
          <w:p>
            <w:pPr>
              <w:jc w:val="right"/>
              <w:spacing w:after="0"/>
              <w:rPr>
                <w:sz w:val="20"/>
                <w:szCs w:val="20"/>
                <w:color w:val="auto"/>
              </w:rPr>
            </w:pPr>
            <w:r>
              <w:rPr>
                <w:rFonts w:ascii="Arial" w:cs="Arial" w:eastAsia="Arial" w:hAnsi="Arial"/>
                <w:sz w:val="13"/>
                <w:szCs w:val="13"/>
                <w:color w:val="auto"/>
              </w:rPr>
              <w:t>1,903</w:t>
            </w:r>
          </w:p>
        </w:tc>
        <w:tc>
          <w:tcPr>
            <w:tcW w:w="4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1560" w:type="dxa"/>
            <w:vAlign w:val="bottom"/>
            <w:gridSpan w:val="5"/>
            <w:shd w:val="clear" w:color="auto" w:fill="CCEEFF"/>
          </w:tcPr>
          <w:p>
            <w:pPr>
              <w:jc w:val="right"/>
              <w:ind w:right="220"/>
              <w:spacing w:after="0"/>
              <w:rPr>
                <w:sz w:val="20"/>
                <w:szCs w:val="20"/>
                <w:color w:val="auto"/>
              </w:rPr>
            </w:pPr>
            <w:r>
              <w:rPr>
                <w:rFonts w:ascii="Arial" w:cs="Arial" w:eastAsia="Arial" w:hAnsi="Arial"/>
                <w:sz w:val="13"/>
                <w:szCs w:val="13"/>
                <w:color w:val="auto"/>
              </w:rPr>
              <w:t>23,487</w:t>
            </w:r>
          </w:p>
        </w:tc>
        <w:tc>
          <w:tcPr>
            <w:tcW w:w="13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(43,010)</w:t>
            </w:r>
          </w:p>
        </w:tc>
      </w:tr>
      <w:tr>
        <w:trPr>
          <w:trHeight w:val="154"/>
        </w:trPr>
        <w:tc>
          <w:tcPr>
            <w:tcW w:w="2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6840" w:type="dxa"/>
            <w:vAlign w:val="bottom"/>
          </w:tcPr>
          <w:p>
            <w:pPr>
              <w:spacing w:after="0"/>
              <w:rPr>
                <w:sz w:val="20"/>
                <w:szCs w:val="20"/>
                <w:color w:val="auto"/>
              </w:rPr>
            </w:pPr>
            <w:r>
              <w:rPr>
                <w:rFonts w:ascii="Arial" w:cs="Arial" w:eastAsia="Arial" w:hAnsi="Arial"/>
                <w:sz w:val="13"/>
                <w:szCs w:val="13"/>
                <w:color w:val="auto"/>
              </w:rPr>
              <w:t>Adjustment of fair value for hedge accounting relationship</w:t>
            </w:r>
          </w:p>
        </w:tc>
        <w:tc>
          <w:tcPr>
            <w:tcW w:w="1260" w:type="dxa"/>
            <w:vAlign w:val="bottom"/>
            <w:gridSpan w:val="4"/>
          </w:tcPr>
          <w:p>
            <w:pPr>
              <w:jc w:val="right"/>
              <w:ind w:right="40"/>
              <w:spacing w:after="0"/>
              <w:rPr>
                <w:sz w:val="20"/>
                <w:szCs w:val="20"/>
                <w:color w:val="auto"/>
              </w:rPr>
            </w:pPr>
            <w:r>
              <w:rPr>
                <w:rFonts w:ascii="Arial" w:cs="Arial" w:eastAsia="Arial" w:hAnsi="Arial"/>
                <w:sz w:val="13"/>
                <w:szCs w:val="13"/>
                <w:color w:val="auto"/>
              </w:rPr>
              <w:t>753</w:t>
            </w:r>
          </w:p>
        </w:tc>
        <w:tc>
          <w:tcPr>
            <w:tcW w:w="60" w:type="dxa"/>
            <w:vAlign w:val="bottom"/>
          </w:tcPr>
          <w:p>
            <w:pPr>
              <w:spacing w:after="0"/>
              <w:rPr>
                <w:sz w:val="13"/>
                <w:szCs w:val="13"/>
                <w:color w:val="auto"/>
              </w:rPr>
            </w:pPr>
          </w:p>
        </w:tc>
        <w:tc>
          <w:tcPr>
            <w:tcW w:w="1560" w:type="dxa"/>
            <w:vAlign w:val="bottom"/>
            <w:gridSpan w:val="5"/>
          </w:tcPr>
          <w:p>
            <w:pPr>
              <w:jc w:val="right"/>
              <w:ind w:right="180"/>
              <w:spacing w:after="0"/>
              <w:rPr>
                <w:sz w:val="20"/>
                <w:szCs w:val="20"/>
                <w:color w:val="auto"/>
              </w:rPr>
            </w:pPr>
            <w:r>
              <w:rPr>
                <w:rFonts w:ascii="Arial" w:cs="Arial" w:eastAsia="Arial" w:hAnsi="Arial"/>
                <w:sz w:val="13"/>
                <w:szCs w:val="13"/>
                <w:color w:val="auto"/>
              </w:rPr>
              <w:t>(483)</w:t>
            </w:r>
          </w:p>
        </w:tc>
        <w:tc>
          <w:tcPr>
            <w:tcW w:w="1300" w:type="dxa"/>
            <w:vAlign w:val="bottom"/>
            <w:gridSpan w:val="2"/>
          </w:tcPr>
          <w:p>
            <w:pPr>
              <w:jc w:val="right"/>
              <w:ind w:right="60"/>
              <w:spacing w:after="0"/>
              <w:rPr>
                <w:sz w:val="20"/>
                <w:szCs w:val="20"/>
                <w:color w:val="auto"/>
              </w:rPr>
            </w:pPr>
            <w:r>
              <w:rPr>
                <w:rFonts w:ascii="Arial" w:cs="Arial" w:eastAsia="Arial" w:hAnsi="Arial"/>
                <w:sz w:val="13"/>
                <w:szCs w:val="13"/>
                <w:color w:val="auto"/>
              </w:rPr>
              <w:t>(5,945)</w:t>
            </w:r>
          </w:p>
        </w:tc>
      </w:tr>
      <w:tr>
        <w:trPr>
          <w:trHeight w:val="164"/>
        </w:trPr>
        <w:tc>
          <w:tcPr>
            <w:tcW w:w="20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6840" w:type="dxa"/>
            <w:vAlign w:val="bottom"/>
            <w:shd w:val="clear" w:color="auto" w:fill="CCEEFF"/>
          </w:tcPr>
          <w:p>
            <w:pPr>
              <w:spacing w:after="0"/>
              <w:rPr>
                <w:sz w:val="20"/>
                <w:szCs w:val="20"/>
                <w:color w:val="auto"/>
              </w:rPr>
            </w:pPr>
            <w:r>
              <w:rPr>
                <w:rFonts w:ascii="Arial" w:cs="Arial" w:eastAsia="Arial" w:hAnsi="Arial"/>
                <w:sz w:val="13"/>
                <w:szCs w:val="13"/>
                <w:color w:val="auto"/>
              </w:rPr>
              <w:t>Other adjustments</w:t>
            </w:r>
          </w:p>
        </w:tc>
        <w:tc>
          <w:tcPr>
            <w:tcW w:w="1220" w:type="dxa"/>
            <w:vAlign w:val="bottom"/>
            <w:gridSpan w:val="3"/>
            <w:shd w:val="clear" w:color="auto" w:fill="CCEEFF"/>
          </w:tcPr>
          <w:p>
            <w:pPr>
              <w:jc w:val="right"/>
              <w:spacing w:after="0"/>
              <w:rPr>
                <w:sz w:val="20"/>
                <w:szCs w:val="20"/>
                <w:color w:val="auto"/>
              </w:rPr>
            </w:pPr>
            <w:r>
              <w:rPr>
                <w:rFonts w:ascii="Arial" w:cs="Arial" w:eastAsia="Arial" w:hAnsi="Arial"/>
                <w:sz w:val="13"/>
                <w:szCs w:val="13"/>
                <w:color w:val="auto"/>
              </w:rPr>
              <w:t>1,120</w:t>
            </w:r>
          </w:p>
        </w:tc>
        <w:tc>
          <w:tcPr>
            <w:tcW w:w="4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560" w:type="dxa"/>
            <w:vAlign w:val="bottom"/>
            <w:gridSpan w:val="5"/>
            <w:shd w:val="clear" w:color="auto" w:fill="CCEEFF"/>
          </w:tcPr>
          <w:p>
            <w:pPr>
              <w:jc w:val="right"/>
              <w:ind w:right="220"/>
              <w:spacing w:after="0"/>
              <w:rPr>
                <w:sz w:val="20"/>
                <w:szCs w:val="20"/>
                <w:color w:val="auto"/>
              </w:rPr>
            </w:pPr>
            <w:r>
              <w:rPr>
                <w:rFonts w:ascii="Arial" w:cs="Arial" w:eastAsia="Arial" w:hAnsi="Arial"/>
                <w:sz w:val="13"/>
                <w:szCs w:val="13"/>
                <w:color w:val="auto"/>
              </w:rPr>
              <w:t>1,525</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2,786</w:t>
            </w:r>
          </w:p>
        </w:tc>
      </w:tr>
      <w:tr>
        <w:trPr>
          <w:trHeight w:val="162"/>
        </w:trPr>
        <w:tc>
          <w:tcPr>
            <w:tcW w:w="20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6840" w:type="dxa"/>
            <w:vAlign w:val="bottom"/>
          </w:tcPr>
          <w:p>
            <w:pPr>
              <w:spacing w:after="0" w:line="146" w:lineRule="exact"/>
              <w:rPr>
                <w:sz w:val="20"/>
                <w:szCs w:val="20"/>
                <w:color w:val="auto"/>
              </w:rPr>
            </w:pPr>
            <w:r>
              <w:rPr>
                <w:rFonts w:ascii="Arial" w:cs="Arial" w:eastAsia="Arial" w:hAnsi="Arial"/>
                <w:sz w:val="13"/>
                <w:szCs w:val="13"/>
                <w:b w:val="1"/>
                <w:bCs w:val="1"/>
                <w:color w:val="auto"/>
              </w:rPr>
              <w:t>Balance as of December 31,</w:t>
            </w:r>
          </w:p>
        </w:tc>
        <w:tc>
          <w:tcPr>
            <w:tcW w:w="1220" w:type="dxa"/>
            <w:vAlign w:val="bottom"/>
            <w:tcBorders>
              <w:top w:val="single" w:sz="8" w:color="auto"/>
              <w:bottom w:val="single" w:sz="8" w:color="auto"/>
            </w:tcBorders>
            <w:gridSpan w:val="3"/>
          </w:tcPr>
          <w:p>
            <w:pPr>
              <w:jc w:val="right"/>
              <w:spacing w:after="0"/>
              <w:rPr>
                <w:sz w:val="20"/>
                <w:szCs w:val="20"/>
                <w:color w:val="auto"/>
              </w:rPr>
            </w:pPr>
            <w:r>
              <w:rPr>
                <w:rFonts w:ascii="Arial" w:cs="Arial" w:eastAsia="Arial" w:hAnsi="Arial"/>
                <w:sz w:val="13"/>
                <w:szCs w:val="13"/>
                <w:b w:val="1"/>
                <w:bCs w:val="1"/>
                <w:color w:val="auto"/>
              </w:rPr>
              <w:t>3,518,446</w:t>
            </w:r>
          </w:p>
        </w:tc>
        <w:tc>
          <w:tcPr>
            <w:tcW w:w="4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200" w:type="dxa"/>
            <w:vAlign w:val="bottom"/>
            <w:tcBorders>
              <w:top w:val="single" w:sz="8" w:color="auto"/>
              <w:bottom w:val="single" w:sz="8" w:color="auto"/>
            </w:tcBorders>
            <w:gridSpan w:val="3"/>
          </w:tcPr>
          <w:p>
            <w:pPr>
              <w:jc w:val="right"/>
              <w:spacing w:after="0"/>
              <w:rPr>
                <w:sz w:val="20"/>
                <w:szCs w:val="20"/>
                <w:color w:val="auto"/>
              </w:rPr>
            </w:pPr>
            <w:r>
              <w:rPr>
                <w:rFonts w:ascii="Arial" w:cs="Arial" w:eastAsia="Arial" w:hAnsi="Arial"/>
                <w:sz w:val="13"/>
                <w:szCs w:val="13"/>
                <w:b w:val="1"/>
                <w:bCs w:val="1"/>
                <w:color w:val="auto"/>
              </w:rPr>
              <w:t>2,211,567</w:t>
            </w:r>
          </w:p>
        </w:tc>
        <w:tc>
          <w:tcPr>
            <w:tcW w:w="220" w:type="dxa"/>
            <w:vAlign w:val="bottom"/>
          </w:tcPr>
          <w:p>
            <w:pPr>
              <w:spacing w:after="0"/>
              <w:rPr>
                <w:sz w:val="14"/>
                <w:szCs w:val="14"/>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3,246,813</w:t>
            </w:r>
          </w:p>
        </w:tc>
        <w:tc>
          <w:tcPr>
            <w:tcW w:w="100" w:type="dxa"/>
            <w:vAlign w:val="bottom"/>
          </w:tcPr>
          <w:p>
            <w:pPr>
              <w:spacing w:after="0"/>
              <w:rPr>
                <w:sz w:val="14"/>
                <w:szCs w:val="14"/>
                <w:color w:val="auto"/>
              </w:rPr>
            </w:pPr>
          </w:p>
        </w:tc>
      </w:tr>
      <w:tr>
        <w:trPr>
          <w:trHeight w:val="308"/>
        </w:trPr>
        <w:tc>
          <w:tcPr>
            <w:tcW w:w="200" w:type="dxa"/>
            <w:vAlign w:val="bottom"/>
          </w:tcPr>
          <w:p>
            <w:pPr>
              <w:jc w:val="right"/>
              <w:spacing w:after="0"/>
              <w:rPr>
                <w:sz w:val="20"/>
                <w:szCs w:val="20"/>
                <w:color w:val="auto"/>
              </w:rPr>
            </w:pPr>
            <w:r>
              <w:rPr>
                <w:rFonts w:ascii="Arial" w:cs="Arial" w:eastAsia="Arial" w:hAnsi="Arial"/>
                <w:sz w:val="13"/>
                <w:szCs w:val="13"/>
                <w:b w:val="1"/>
                <w:bCs w:val="1"/>
                <w:color w:val="auto"/>
                <w:w w:val="77"/>
              </w:rPr>
              <w:t>18.</w:t>
            </w:r>
          </w:p>
        </w:tc>
        <w:tc>
          <w:tcPr>
            <w:tcW w:w="6860" w:type="dxa"/>
            <w:vAlign w:val="bottom"/>
            <w:gridSpan w:val="2"/>
          </w:tcPr>
          <w:p>
            <w:pPr>
              <w:ind w:left="20"/>
              <w:spacing w:after="0"/>
              <w:rPr>
                <w:sz w:val="20"/>
                <w:szCs w:val="20"/>
                <w:color w:val="auto"/>
              </w:rPr>
            </w:pPr>
            <w:r>
              <w:rPr>
                <w:rFonts w:ascii="Arial" w:cs="Arial" w:eastAsia="Arial" w:hAnsi="Arial"/>
                <w:sz w:val="13"/>
                <w:szCs w:val="13"/>
                <w:b w:val="1"/>
                <w:bCs w:val="1"/>
                <w:color w:val="auto"/>
              </w:rPr>
              <w:t>Other liabilities</w:t>
            </w:r>
          </w:p>
        </w:tc>
        <w:tc>
          <w:tcPr>
            <w:tcW w:w="6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308"/>
        </w:trPr>
        <w:tc>
          <w:tcPr>
            <w:tcW w:w="2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6840" w:type="dxa"/>
            <w:vAlign w:val="bottom"/>
          </w:tcPr>
          <w:p>
            <w:pPr>
              <w:ind w:left="60"/>
              <w:spacing w:after="0"/>
              <w:rPr>
                <w:sz w:val="20"/>
                <w:szCs w:val="20"/>
                <w:color w:val="auto"/>
              </w:rPr>
            </w:pPr>
            <w:r>
              <w:rPr>
                <w:rFonts w:ascii="Arial" w:cs="Arial" w:eastAsia="Arial" w:hAnsi="Arial"/>
                <w:sz w:val="13"/>
                <w:szCs w:val="13"/>
                <w:color w:val="auto"/>
              </w:rPr>
              <w:t>Following is a summary of other liabilities:</w:t>
            </w:r>
          </w:p>
        </w:tc>
        <w:tc>
          <w:tcPr>
            <w:tcW w:w="6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305"/>
        </w:trPr>
        <w:tc>
          <w:tcPr>
            <w:tcW w:w="2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68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260" w:type="dxa"/>
            <w:vAlign w:val="bottom"/>
            <w:gridSpan w:val="4"/>
          </w:tcPr>
          <w:p>
            <w:pPr>
              <w:jc w:val="right"/>
              <w:ind w:right="380"/>
              <w:spacing w:after="0"/>
              <w:rPr>
                <w:sz w:val="20"/>
                <w:szCs w:val="20"/>
                <w:color w:val="auto"/>
              </w:rPr>
            </w:pPr>
            <w:r>
              <w:rPr>
                <w:rFonts w:ascii="Arial" w:cs="Arial" w:eastAsia="Arial" w:hAnsi="Arial"/>
                <w:sz w:val="13"/>
                <w:szCs w:val="13"/>
                <w:b w:val="1"/>
                <w:bCs w:val="1"/>
                <w:color w:val="auto"/>
              </w:rPr>
              <w:t>December 31,</w:t>
            </w:r>
          </w:p>
        </w:tc>
        <w:tc>
          <w:tcPr>
            <w:tcW w:w="1560" w:type="dxa"/>
            <w:vAlign w:val="bottom"/>
            <w:gridSpan w:val="5"/>
          </w:tcPr>
          <w:p>
            <w:pPr>
              <w:jc w:val="right"/>
              <w:ind w:right="760"/>
              <w:spacing w:after="0"/>
              <w:rPr>
                <w:sz w:val="20"/>
                <w:szCs w:val="20"/>
                <w:color w:val="auto"/>
              </w:rPr>
            </w:pPr>
            <w:r>
              <w:rPr>
                <w:rFonts w:ascii="Arial" w:cs="Arial" w:eastAsia="Arial" w:hAnsi="Arial"/>
                <w:sz w:val="13"/>
                <w:szCs w:val="13"/>
                <w:b w:val="1"/>
                <w:bCs w:val="1"/>
                <w:color w:val="auto"/>
                <w:w w:val="92"/>
              </w:rPr>
              <w:t>December 31,</w:t>
            </w: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167"/>
        </w:trPr>
        <w:tc>
          <w:tcPr>
            <w:tcW w:w="20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6840" w:type="dxa"/>
            <w:vAlign w:val="bottom"/>
          </w:tcPr>
          <w:p>
            <w:pPr>
              <w:spacing w:after="0"/>
              <w:rPr>
                <w:sz w:val="14"/>
                <w:szCs w:val="14"/>
                <w:color w:val="auto"/>
              </w:rPr>
            </w:pPr>
          </w:p>
        </w:tc>
        <w:tc>
          <w:tcPr>
            <w:tcW w:w="1080" w:type="dxa"/>
            <w:vAlign w:val="bottom"/>
            <w:gridSpan w:val="2"/>
          </w:tcPr>
          <w:p>
            <w:pPr>
              <w:jc w:val="right"/>
              <w:ind w:right="316"/>
              <w:spacing w:after="0"/>
              <w:rPr>
                <w:sz w:val="20"/>
                <w:szCs w:val="20"/>
                <w:color w:val="auto"/>
              </w:rPr>
            </w:pPr>
            <w:r>
              <w:rPr>
                <w:rFonts w:ascii="Arial" w:cs="Arial" w:eastAsia="Arial" w:hAnsi="Arial"/>
                <w:sz w:val="13"/>
                <w:szCs w:val="13"/>
                <w:b w:val="1"/>
                <w:bCs w:val="1"/>
                <w:color w:val="auto"/>
              </w:rPr>
              <w:t>2018</w:t>
            </w:r>
          </w:p>
        </w:tc>
        <w:tc>
          <w:tcPr>
            <w:tcW w:w="1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940" w:type="dxa"/>
            <w:vAlign w:val="bottom"/>
            <w:gridSpan w:val="2"/>
          </w:tcPr>
          <w:p>
            <w:pPr>
              <w:jc w:val="right"/>
              <w:ind w:right="316"/>
              <w:spacing w:after="0"/>
              <w:rPr>
                <w:sz w:val="20"/>
                <w:szCs w:val="20"/>
                <w:color w:val="auto"/>
              </w:rPr>
            </w:pPr>
            <w:r>
              <w:rPr>
                <w:rFonts w:ascii="Arial" w:cs="Arial" w:eastAsia="Arial" w:hAnsi="Arial"/>
                <w:sz w:val="13"/>
                <w:szCs w:val="13"/>
                <w:b w:val="1"/>
                <w:bCs w:val="1"/>
                <w:color w:val="auto"/>
              </w:rPr>
              <w:t>2017</w:t>
            </w:r>
          </w:p>
        </w:tc>
        <w:tc>
          <w:tcPr>
            <w:tcW w:w="8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144"/>
        </w:trPr>
        <w:tc>
          <w:tcPr>
            <w:tcW w:w="2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684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color w:val="auto"/>
              </w:rPr>
              <w:t>Accruals and other accumulated expenses</w:t>
            </w:r>
          </w:p>
        </w:tc>
        <w:tc>
          <w:tcPr>
            <w:tcW w:w="60" w:type="dxa"/>
            <w:vAlign w:val="bottom"/>
            <w:tcBorders>
              <w:top w:val="single" w:sz="8" w:color="CCEEFF"/>
            </w:tcBorders>
            <w:shd w:val="clear" w:color="auto" w:fill="CCEEFF"/>
          </w:tcPr>
          <w:p>
            <w:pPr>
              <w:spacing w:after="0"/>
              <w:rPr>
                <w:sz w:val="12"/>
                <w:szCs w:val="12"/>
                <w:color w:val="auto"/>
              </w:rPr>
            </w:pPr>
          </w:p>
        </w:tc>
        <w:tc>
          <w:tcPr>
            <w:tcW w:w="10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8,602</w:t>
            </w:r>
          </w:p>
        </w:tc>
        <w:tc>
          <w:tcPr>
            <w:tcW w:w="14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auto"/>
            </w:tcBorders>
            <w:shd w:val="clear" w:color="auto" w:fill="CCEEFF"/>
          </w:tcPr>
          <w:p>
            <w:pPr>
              <w:spacing w:after="0"/>
              <w:rPr>
                <w:sz w:val="12"/>
                <w:szCs w:val="12"/>
                <w:color w:val="auto"/>
              </w:rPr>
            </w:pPr>
          </w:p>
        </w:tc>
        <w:tc>
          <w:tcPr>
            <w:tcW w:w="940" w:type="dxa"/>
            <w:vAlign w:val="bottom"/>
            <w:tcBorders>
              <w:top w:val="single" w:sz="8" w:color="auto"/>
            </w:tcBorders>
            <w:gridSpan w:val="2"/>
            <w:shd w:val="clear" w:color="auto" w:fill="CCEEFF"/>
          </w:tcPr>
          <w:p>
            <w:pPr>
              <w:jc w:val="right"/>
              <w:spacing w:after="0" w:line="144" w:lineRule="exact"/>
              <w:rPr>
                <w:sz w:val="20"/>
                <w:szCs w:val="20"/>
                <w:color w:val="auto"/>
              </w:rPr>
            </w:pPr>
            <w:r>
              <w:rPr>
                <w:rFonts w:ascii="Arial" w:cs="Arial" w:eastAsia="Arial" w:hAnsi="Arial"/>
                <w:sz w:val="13"/>
                <w:szCs w:val="13"/>
                <w:color w:val="auto"/>
              </w:rPr>
              <w:t>8,018</w:t>
            </w:r>
          </w:p>
        </w:tc>
        <w:tc>
          <w:tcPr>
            <w:tcW w:w="80" w:type="dxa"/>
            <w:vAlign w:val="bottom"/>
            <w:tcBorders>
              <w:top w:val="single" w:sz="8" w:color="CCEEFF"/>
            </w:tcBorders>
            <w:shd w:val="clear" w:color="auto" w:fill="CCEEFF"/>
          </w:tcPr>
          <w:p>
            <w:pPr>
              <w:spacing w:after="0"/>
              <w:rPr>
                <w:sz w:val="12"/>
                <w:szCs w:val="12"/>
                <w:color w:val="auto"/>
              </w:rPr>
            </w:pPr>
          </w:p>
        </w:tc>
        <w:tc>
          <w:tcPr>
            <w:tcW w:w="3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2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6840" w:type="dxa"/>
            <w:vAlign w:val="bottom"/>
          </w:tcPr>
          <w:p>
            <w:pPr>
              <w:spacing w:after="0"/>
              <w:rPr>
                <w:sz w:val="20"/>
                <w:szCs w:val="20"/>
                <w:color w:val="auto"/>
              </w:rPr>
            </w:pPr>
            <w:r>
              <w:rPr>
                <w:rFonts w:ascii="Arial" w:cs="Arial" w:eastAsia="Arial" w:hAnsi="Arial"/>
                <w:sz w:val="13"/>
                <w:szCs w:val="13"/>
                <w:color w:val="auto"/>
              </w:rPr>
              <w:t>Accounts payable</w:t>
            </w:r>
          </w:p>
        </w:tc>
        <w:tc>
          <w:tcPr>
            <w:tcW w:w="1220" w:type="dxa"/>
            <w:vAlign w:val="bottom"/>
            <w:gridSpan w:val="3"/>
          </w:tcPr>
          <w:p>
            <w:pPr>
              <w:jc w:val="right"/>
              <w:ind w:right="140"/>
              <w:spacing w:after="0"/>
              <w:rPr>
                <w:sz w:val="20"/>
                <w:szCs w:val="20"/>
                <w:color w:val="auto"/>
              </w:rPr>
            </w:pPr>
            <w:r>
              <w:rPr>
                <w:rFonts w:ascii="Arial" w:cs="Arial" w:eastAsia="Arial" w:hAnsi="Arial"/>
                <w:sz w:val="13"/>
                <w:szCs w:val="13"/>
                <w:color w:val="auto"/>
              </w:rPr>
              <w:t>453</w:t>
            </w:r>
          </w:p>
        </w:tc>
        <w:tc>
          <w:tcPr>
            <w:tcW w:w="4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940" w:type="dxa"/>
            <w:vAlign w:val="bottom"/>
            <w:gridSpan w:val="2"/>
          </w:tcPr>
          <w:p>
            <w:pPr>
              <w:jc w:val="right"/>
              <w:spacing w:after="0"/>
              <w:rPr>
                <w:sz w:val="20"/>
                <w:szCs w:val="20"/>
                <w:color w:val="auto"/>
              </w:rPr>
            </w:pPr>
            <w:r>
              <w:rPr>
                <w:rFonts w:ascii="Arial" w:cs="Arial" w:eastAsia="Arial" w:hAnsi="Arial"/>
                <w:sz w:val="13"/>
                <w:szCs w:val="13"/>
                <w:color w:val="auto"/>
              </w:rPr>
              <w:t>9,307</w:t>
            </w:r>
          </w:p>
        </w:tc>
        <w:tc>
          <w:tcPr>
            <w:tcW w:w="8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64"/>
        </w:trPr>
        <w:tc>
          <w:tcPr>
            <w:tcW w:w="20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6840" w:type="dxa"/>
            <w:vAlign w:val="bottom"/>
            <w:shd w:val="clear" w:color="auto" w:fill="CCEEFF"/>
          </w:tcPr>
          <w:p>
            <w:pPr>
              <w:spacing w:after="0"/>
              <w:rPr>
                <w:sz w:val="20"/>
                <w:szCs w:val="20"/>
                <w:color w:val="auto"/>
              </w:rPr>
            </w:pPr>
            <w:r>
              <w:rPr>
                <w:rFonts w:ascii="Arial" w:cs="Arial" w:eastAsia="Arial" w:hAnsi="Arial"/>
                <w:sz w:val="13"/>
                <w:szCs w:val="13"/>
                <w:color w:val="auto"/>
              </w:rPr>
              <w:t>Others</w:t>
            </w:r>
          </w:p>
        </w:tc>
        <w:tc>
          <w:tcPr>
            <w:tcW w:w="1220" w:type="dxa"/>
            <w:vAlign w:val="bottom"/>
            <w:gridSpan w:val="3"/>
            <w:shd w:val="clear" w:color="auto" w:fill="CCEEFF"/>
          </w:tcPr>
          <w:p>
            <w:pPr>
              <w:jc w:val="right"/>
              <w:ind w:right="140"/>
              <w:spacing w:after="0"/>
              <w:rPr>
                <w:sz w:val="20"/>
                <w:szCs w:val="20"/>
                <w:color w:val="auto"/>
              </w:rPr>
            </w:pPr>
            <w:r>
              <w:rPr>
                <w:rFonts w:ascii="Arial" w:cs="Arial" w:eastAsia="Arial" w:hAnsi="Arial"/>
                <w:sz w:val="13"/>
                <w:szCs w:val="13"/>
                <w:color w:val="auto"/>
              </w:rPr>
              <w:t>4,560</w:t>
            </w:r>
          </w:p>
        </w:tc>
        <w:tc>
          <w:tcPr>
            <w:tcW w:w="4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3,226</w:t>
            </w:r>
          </w:p>
        </w:tc>
        <w:tc>
          <w:tcPr>
            <w:tcW w:w="80" w:type="dxa"/>
            <w:vAlign w:val="bottom"/>
            <w:shd w:val="clear" w:color="auto" w:fill="CCEEFF"/>
          </w:tcPr>
          <w:p>
            <w:pPr>
              <w:spacing w:after="0"/>
              <w:rPr>
                <w:sz w:val="14"/>
                <w:szCs w:val="14"/>
                <w:color w:val="auto"/>
              </w:rPr>
            </w:pPr>
          </w:p>
        </w:tc>
        <w:tc>
          <w:tcPr>
            <w:tcW w:w="3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162"/>
        </w:trPr>
        <w:tc>
          <w:tcPr>
            <w:tcW w:w="20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684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13,615</w:t>
            </w:r>
          </w:p>
        </w:tc>
        <w:tc>
          <w:tcPr>
            <w:tcW w:w="1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60" w:type="dxa"/>
            <w:vAlign w:val="bottom"/>
            <w:tcBorders>
              <w:top w:val="single" w:sz="8" w:color="auto"/>
              <w:bottom w:val="single" w:sz="8" w:color="auto"/>
            </w:tcBorders>
          </w:tcPr>
          <w:p>
            <w:pPr>
              <w:spacing w:after="0"/>
              <w:rPr>
                <w:sz w:val="14"/>
                <w:szCs w:val="14"/>
                <w:color w:val="auto"/>
              </w:rPr>
            </w:pPr>
          </w:p>
        </w:tc>
        <w:tc>
          <w:tcPr>
            <w:tcW w:w="94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3"/>
                <w:szCs w:val="13"/>
                <w:b w:val="1"/>
                <w:bCs w:val="1"/>
                <w:color w:val="auto"/>
              </w:rPr>
              <w:t>20,551</w:t>
            </w:r>
          </w:p>
        </w:tc>
        <w:tc>
          <w:tcPr>
            <w:tcW w:w="8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308"/>
        </w:trPr>
        <w:tc>
          <w:tcPr>
            <w:tcW w:w="200" w:type="dxa"/>
            <w:vAlign w:val="bottom"/>
          </w:tcPr>
          <w:p>
            <w:pPr>
              <w:jc w:val="right"/>
              <w:spacing w:after="0"/>
              <w:rPr>
                <w:sz w:val="20"/>
                <w:szCs w:val="20"/>
                <w:color w:val="auto"/>
              </w:rPr>
            </w:pPr>
            <w:r>
              <w:rPr>
                <w:rFonts w:ascii="Arial" w:cs="Arial" w:eastAsia="Arial" w:hAnsi="Arial"/>
                <w:sz w:val="13"/>
                <w:szCs w:val="13"/>
                <w:b w:val="1"/>
                <w:bCs w:val="1"/>
                <w:color w:val="auto"/>
                <w:w w:val="77"/>
              </w:rPr>
              <w:t>19.</w:t>
            </w:r>
          </w:p>
        </w:tc>
        <w:tc>
          <w:tcPr>
            <w:tcW w:w="6860" w:type="dxa"/>
            <w:vAlign w:val="bottom"/>
            <w:gridSpan w:val="2"/>
          </w:tcPr>
          <w:p>
            <w:pPr>
              <w:ind w:left="20"/>
              <w:spacing w:after="0"/>
              <w:rPr>
                <w:sz w:val="20"/>
                <w:szCs w:val="20"/>
                <w:color w:val="auto"/>
              </w:rPr>
            </w:pPr>
            <w:r>
              <w:rPr>
                <w:rFonts w:ascii="Arial" w:cs="Arial" w:eastAsia="Arial" w:hAnsi="Arial"/>
                <w:sz w:val="13"/>
                <w:szCs w:val="13"/>
                <w:b w:val="1"/>
                <w:bCs w:val="1"/>
                <w:color w:val="auto"/>
              </w:rPr>
              <w:t>Earnings per share</w:t>
            </w:r>
          </w:p>
        </w:tc>
        <w:tc>
          <w:tcPr>
            <w:tcW w:w="6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r>
    </w:tbl>
    <w:p>
      <w:pPr>
        <w:spacing w:after="0" w:line="146" w:lineRule="exact"/>
        <w:rPr>
          <w:sz w:val="20"/>
          <w:szCs w:val="20"/>
          <w:color w:val="auto"/>
        </w:rPr>
      </w:pPr>
    </w:p>
    <w:p>
      <w:pPr>
        <w:ind w:left="283"/>
        <w:spacing w:after="0"/>
        <w:rPr>
          <w:sz w:val="20"/>
          <w:szCs w:val="20"/>
          <w:color w:val="auto"/>
        </w:rPr>
      </w:pPr>
      <w:r>
        <w:rPr>
          <w:rFonts w:ascii="Arial" w:cs="Arial" w:eastAsia="Arial" w:hAnsi="Arial"/>
          <w:sz w:val="13"/>
          <w:szCs w:val="13"/>
          <w:color w:val="auto"/>
        </w:rPr>
        <w:t>The following table presents a reconciliation of profit and share data used in the basic and diluted earnings per share (“EPS”) computations for the dates indicated:</w:t>
      </w:r>
    </w:p>
    <w:p>
      <w:pPr>
        <w:spacing w:after="0" w:line="155" w:lineRule="exact"/>
        <w:rPr>
          <w:sz w:val="20"/>
          <w:szCs w:val="20"/>
          <w:color w:val="auto"/>
        </w:rPr>
      </w:pPr>
    </w:p>
    <w:tbl>
      <w:tblPr>
        <w:tblLayout w:type="fixed"/>
        <w:tblInd w:w="3" w:type="dxa"/>
        <w:tblCellMar>
          <w:top w:w="0" w:type="dxa"/>
          <w:left w:w="0" w:type="dxa"/>
          <w:bottom w:w="0" w:type="dxa"/>
          <w:right w:w="0" w:type="dxa"/>
        </w:tblCellMar>
      </w:tblPr>
      <w:tr>
        <w:trPr>
          <w:trHeight w:val="164"/>
        </w:trPr>
        <w:tc>
          <w:tcPr>
            <w:tcW w:w="220" w:type="dxa"/>
            <w:vAlign w:val="bottom"/>
          </w:tcPr>
          <w:p>
            <w:pPr>
              <w:spacing w:after="0"/>
              <w:rPr>
                <w:sz w:val="14"/>
                <w:szCs w:val="14"/>
                <w:color w:val="auto"/>
              </w:rPr>
            </w:pPr>
          </w:p>
        </w:tc>
        <w:tc>
          <w:tcPr>
            <w:tcW w:w="4860" w:type="dxa"/>
            <w:vAlign w:val="bottom"/>
          </w:tcPr>
          <w:p>
            <w:pPr>
              <w:spacing w:after="0"/>
              <w:rPr>
                <w:sz w:val="14"/>
                <w:szCs w:val="14"/>
                <w:color w:val="auto"/>
              </w:rPr>
            </w:pPr>
          </w:p>
        </w:tc>
        <w:tc>
          <w:tcPr>
            <w:tcW w:w="1780" w:type="dxa"/>
            <w:vAlign w:val="bottom"/>
          </w:tcPr>
          <w:p>
            <w:pPr>
              <w:spacing w:after="0"/>
              <w:rPr>
                <w:sz w:val="14"/>
                <w:szCs w:val="14"/>
                <w:color w:val="auto"/>
              </w:rPr>
            </w:pPr>
          </w:p>
        </w:tc>
        <w:tc>
          <w:tcPr>
            <w:tcW w:w="1380" w:type="dxa"/>
            <w:vAlign w:val="bottom"/>
            <w:gridSpan w:val="2"/>
          </w:tcPr>
          <w:p>
            <w:pPr>
              <w:ind w:left="200"/>
              <w:spacing w:after="0"/>
              <w:rPr>
                <w:sz w:val="20"/>
                <w:szCs w:val="20"/>
                <w:color w:val="auto"/>
              </w:rPr>
            </w:pPr>
            <w:r>
              <w:rPr>
                <w:rFonts w:ascii="Arial" w:cs="Arial" w:eastAsia="Arial" w:hAnsi="Arial"/>
                <w:sz w:val="13"/>
                <w:szCs w:val="13"/>
                <w:b w:val="1"/>
                <w:bCs w:val="1"/>
                <w:color w:val="auto"/>
              </w:rPr>
              <w:t>December 31,</w:t>
            </w:r>
          </w:p>
        </w:tc>
        <w:tc>
          <w:tcPr>
            <w:tcW w:w="1380" w:type="dxa"/>
            <w:vAlign w:val="bottom"/>
            <w:gridSpan w:val="2"/>
          </w:tcPr>
          <w:p>
            <w:pPr>
              <w:ind w:left="220"/>
              <w:spacing w:after="0"/>
              <w:rPr>
                <w:sz w:val="20"/>
                <w:szCs w:val="20"/>
                <w:color w:val="auto"/>
              </w:rPr>
            </w:pPr>
            <w:r>
              <w:rPr>
                <w:rFonts w:ascii="Arial" w:cs="Arial" w:eastAsia="Arial" w:hAnsi="Arial"/>
                <w:sz w:val="13"/>
                <w:szCs w:val="13"/>
                <w:b w:val="1"/>
                <w:bCs w:val="1"/>
                <w:color w:val="auto"/>
              </w:rPr>
              <w:t>December 31,</w:t>
            </w:r>
          </w:p>
        </w:tc>
        <w:tc>
          <w:tcPr>
            <w:tcW w:w="128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7"/>
              </w:rPr>
              <w:t>December 31,</w:t>
            </w:r>
          </w:p>
        </w:tc>
        <w:tc>
          <w:tcPr>
            <w:tcW w:w="5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7"/>
        </w:trPr>
        <w:tc>
          <w:tcPr>
            <w:tcW w:w="220" w:type="dxa"/>
            <w:vAlign w:val="bottom"/>
          </w:tcPr>
          <w:p>
            <w:pPr>
              <w:spacing w:after="0"/>
              <w:rPr>
                <w:sz w:val="14"/>
                <w:szCs w:val="14"/>
                <w:color w:val="auto"/>
              </w:rPr>
            </w:pPr>
          </w:p>
        </w:tc>
        <w:tc>
          <w:tcPr>
            <w:tcW w:w="4860" w:type="dxa"/>
            <w:vAlign w:val="bottom"/>
          </w:tcPr>
          <w:p>
            <w:pPr>
              <w:spacing w:after="0"/>
              <w:rPr>
                <w:sz w:val="14"/>
                <w:szCs w:val="14"/>
                <w:color w:val="auto"/>
              </w:rPr>
            </w:pPr>
          </w:p>
        </w:tc>
        <w:tc>
          <w:tcPr>
            <w:tcW w:w="2960" w:type="dxa"/>
            <w:vAlign w:val="bottom"/>
            <w:gridSpan w:val="2"/>
          </w:tcPr>
          <w:p>
            <w:pPr>
              <w:jc w:val="right"/>
              <w:ind w:right="396"/>
              <w:spacing w:after="0"/>
              <w:rPr>
                <w:sz w:val="20"/>
                <w:szCs w:val="20"/>
                <w:color w:val="auto"/>
              </w:rPr>
            </w:pPr>
            <w:r>
              <w:rPr>
                <w:rFonts w:ascii="Arial" w:cs="Arial" w:eastAsia="Arial" w:hAnsi="Arial"/>
                <w:sz w:val="13"/>
                <w:szCs w:val="13"/>
                <w:b w:val="1"/>
                <w:bCs w:val="1"/>
                <w:color w:val="auto"/>
              </w:rPr>
              <w:t>2018</w:t>
            </w:r>
          </w:p>
        </w:tc>
        <w:tc>
          <w:tcPr>
            <w:tcW w:w="200" w:type="dxa"/>
            <w:vAlign w:val="bottom"/>
          </w:tcPr>
          <w:p>
            <w:pPr>
              <w:spacing w:after="0"/>
              <w:rPr>
                <w:sz w:val="14"/>
                <w:szCs w:val="14"/>
                <w:color w:val="auto"/>
              </w:rPr>
            </w:pPr>
          </w:p>
        </w:tc>
        <w:tc>
          <w:tcPr>
            <w:tcW w:w="1180" w:type="dxa"/>
            <w:vAlign w:val="bottom"/>
          </w:tcPr>
          <w:p>
            <w:pPr>
              <w:jc w:val="right"/>
              <w:ind w:right="396"/>
              <w:spacing w:after="0"/>
              <w:rPr>
                <w:sz w:val="20"/>
                <w:szCs w:val="20"/>
                <w:color w:val="auto"/>
              </w:rPr>
            </w:pPr>
            <w:r>
              <w:rPr>
                <w:rFonts w:ascii="Arial" w:cs="Arial" w:eastAsia="Arial" w:hAnsi="Arial"/>
                <w:sz w:val="13"/>
                <w:szCs w:val="13"/>
                <w:b w:val="1"/>
                <w:bCs w:val="1"/>
                <w:color w:val="auto"/>
              </w:rPr>
              <w:t>2017</w:t>
            </w:r>
          </w:p>
        </w:tc>
        <w:tc>
          <w:tcPr>
            <w:tcW w:w="200" w:type="dxa"/>
            <w:vAlign w:val="bottom"/>
          </w:tcPr>
          <w:p>
            <w:pPr>
              <w:spacing w:after="0"/>
              <w:rPr>
                <w:sz w:val="14"/>
                <w:szCs w:val="14"/>
                <w:color w:val="auto"/>
              </w:rPr>
            </w:pPr>
          </w:p>
        </w:tc>
        <w:tc>
          <w:tcPr>
            <w:tcW w:w="1160" w:type="dxa"/>
            <w:vAlign w:val="bottom"/>
          </w:tcPr>
          <w:p>
            <w:pPr>
              <w:jc w:val="right"/>
              <w:ind w:right="376"/>
              <w:spacing w:after="0"/>
              <w:rPr>
                <w:sz w:val="20"/>
                <w:szCs w:val="20"/>
                <w:color w:val="auto"/>
              </w:rPr>
            </w:pPr>
            <w:r>
              <w:rPr>
                <w:rFonts w:ascii="Arial" w:cs="Arial" w:eastAsia="Arial" w:hAnsi="Arial"/>
                <w:sz w:val="13"/>
                <w:szCs w:val="13"/>
                <w:b w:val="1"/>
                <w:bCs w:val="1"/>
                <w:color w:val="auto"/>
              </w:rPr>
              <w:t>2016</w:t>
            </w:r>
          </w:p>
        </w:tc>
        <w:tc>
          <w:tcPr>
            <w:tcW w:w="120" w:type="dxa"/>
            <w:vAlign w:val="bottom"/>
          </w:tcPr>
          <w:p>
            <w:pPr>
              <w:spacing w:after="0"/>
              <w:rPr>
                <w:sz w:val="14"/>
                <w:szCs w:val="14"/>
                <w:color w:val="auto"/>
              </w:rPr>
            </w:pPr>
          </w:p>
        </w:tc>
        <w:tc>
          <w:tcPr>
            <w:tcW w:w="5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86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i w:val="1"/>
                <w:iCs w:val="1"/>
                <w:color w:val="auto"/>
              </w:rPr>
              <w:t>(Thousands of U.S. dollars)</w:t>
            </w:r>
          </w:p>
        </w:tc>
        <w:tc>
          <w:tcPr>
            <w:tcW w:w="178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16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5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4860" w:type="dxa"/>
            <w:vAlign w:val="bottom"/>
          </w:tcPr>
          <w:p>
            <w:pPr>
              <w:spacing w:after="0"/>
              <w:rPr>
                <w:sz w:val="20"/>
                <w:szCs w:val="20"/>
                <w:color w:val="auto"/>
              </w:rPr>
            </w:pPr>
            <w:r>
              <w:rPr>
                <w:rFonts w:ascii="Arial" w:cs="Arial" w:eastAsia="Arial" w:hAnsi="Arial"/>
                <w:sz w:val="13"/>
                <w:szCs w:val="13"/>
                <w:color w:val="auto"/>
              </w:rPr>
              <w:t>Profit for the year</w:t>
            </w:r>
          </w:p>
        </w:tc>
        <w:tc>
          <w:tcPr>
            <w:tcW w:w="3160" w:type="dxa"/>
            <w:vAlign w:val="bottom"/>
            <w:gridSpan w:val="3"/>
          </w:tcPr>
          <w:p>
            <w:pPr>
              <w:jc w:val="right"/>
              <w:ind w:right="200"/>
              <w:spacing w:after="0"/>
              <w:rPr>
                <w:sz w:val="20"/>
                <w:szCs w:val="20"/>
                <w:color w:val="auto"/>
              </w:rPr>
            </w:pPr>
            <w:r>
              <w:rPr>
                <w:rFonts w:ascii="Arial" w:cs="Arial" w:eastAsia="Arial" w:hAnsi="Arial"/>
                <w:sz w:val="13"/>
                <w:szCs w:val="13"/>
                <w:color w:val="auto"/>
              </w:rPr>
              <w:t>11,138</w:t>
            </w:r>
          </w:p>
        </w:tc>
        <w:tc>
          <w:tcPr>
            <w:tcW w:w="1380" w:type="dxa"/>
            <w:vAlign w:val="bottom"/>
            <w:gridSpan w:val="2"/>
          </w:tcPr>
          <w:p>
            <w:pPr>
              <w:jc w:val="right"/>
              <w:ind w:right="200"/>
              <w:spacing w:after="0"/>
              <w:rPr>
                <w:sz w:val="20"/>
                <w:szCs w:val="20"/>
                <w:color w:val="auto"/>
              </w:rPr>
            </w:pPr>
            <w:r>
              <w:rPr>
                <w:rFonts w:ascii="Arial" w:cs="Arial" w:eastAsia="Arial" w:hAnsi="Arial"/>
                <w:sz w:val="13"/>
                <w:szCs w:val="13"/>
                <w:color w:val="auto"/>
              </w:rPr>
              <w:t>81,999</w:t>
            </w:r>
          </w:p>
        </w:tc>
        <w:tc>
          <w:tcPr>
            <w:tcW w:w="1280" w:type="dxa"/>
            <w:vAlign w:val="bottom"/>
            <w:gridSpan w:val="2"/>
          </w:tcPr>
          <w:p>
            <w:pPr>
              <w:jc w:val="right"/>
              <w:ind w:right="120"/>
              <w:spacing w:after="0"/>
              <w:rPr>
                <w:sz w:val="20"/>
                <w:szCs w:val="20"/>
                <w:color w:val="auto"/>
              </w:rPr>
            </w:pPr>
            <w:r>
              <w:rPr>
                <w:rFonts w:ascii="Arial" w:cs="Arial" w:eastAsia="Arial" w:hAnsi="Arial"/>
                <w:sz w:val="13"/>
                <w:szCs w:val="13"/>
                <w:color w:val="auto"/>
              </w:rPr>
              <w:t>87,045</w:t>
            </w:r>
          </w:p>
        </w:tc>
        <w:tc>
          <w:tcPr>
            <w:tcW w:w="5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vMerge w:val="restart"/>
          </w:tcPr>
          <w:p>
            <w:pPr>
              <w:spacing w:after="0"/>
              <w:rPr>
                <w:sz w:val="12"/>
                <w:szCs w:val="12"/>
                <w:color w:val="auto"/>
              </w:rPr>
            </w:pPr>
          </w:p>
        </w:tc>
        <w:tc>
          <w:tcPr>
            <w:tcW w:w="4860" w:type="dxa"/>
            <w:vAlign w:val="bottom"/>
            <w:tcBorders>
              <w:top w:val="single" w:sz="8" w:color="CCEEFF"/>
            </w:tcBorders>
            <w:shd w:val="clear" w:color="auto" w:fill="CCEEFF"/>
          </w:tcPr>
          <w:p>
            <w:pPr>
              <w:spacing w:after="0"/>
              <w:rPr>
                <w:sz w:val="12"/>
                <w:szCs w:val="12"/>
                <w:color w:val="auto"/>
              </w:rPr>
            </w:pPr>
          </w:p>
        </w:tc>
        <w:tc>
          <w:tcPr>
            <w:tcW w:w="178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16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5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4860" w:type="dxa"/>
            <w:vAlign w:val="bottom"/>
          </w:tcPr>
          <w:p>
            <w:pPr>
              <w:spacing w:after="0"/>
              <w:rPr>
                <w:sz w:val="20"/>
                <w:szCs w:val="20"/>
                <w:color w:val="auto"/>
              </w:rPr>
            </w:pPr>
            <w:r>
              <w:rPr>
                <w:rFonts w:ascii="Arial" w:cs="Arial" w:eastAsia="Arial" w:hAnsi="Arial"/>
                <w:sz w:val="13"/>
                <w:szCs w:val="13"/>
                <w:i w:val="1"/>
                <w:iCs w:val="1"/>
                <w:color w:val="auto"/>
              </w:rPr>
              <w:t>(U.S. dollars)</w:t>
            </w:r>
          </w:p>
        </w:tc>
        <w:tc>
          <w:tcPr>
            <w:tcW w:w="178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5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860" w:type="dxa"/>
            <w:vAlign w:val="bottom"/>
            <w:shd w:val="clear" w:color="auto" w:fill="CCEEFF"/>
          </w:tcPr>
          <w:p>
            <w:pPr>
              <w:spacing w:after="0"/>
              <w:rPr>
                <w:sz w:val="20"/>
                <w:szCs w:val="20"/>
                <w:color w:val="auto"/>
              </w:rPr>
            </w:pPr>
            <w:r>
              <w:rPr>
                <w:rFonts w:ascii="Arial" w:cs="Arial" w:eastAsia="Arial" w:hAnsi="Arial"/>
                <w:sz w:val="13"/>
                <w:szCs w:val="13"/>
                <w:color w:val="auto"/>
              </w:rPr>
              <w:t>Basic earnings per share</w:t>
            </w:r>
          </w:p>
        </w:tc>
        <w:tc>
          <w:tcPr>
            <w:tcW w:w="3160" w:type="dxa"/>
            <w:vAlign w:val="bottom"/>
            <w:gridSpan w:val="3"/>
            <w:shd w:val="clear" w:color="auto" w:fill="CCEEFF"/>
          </w:tcPr>
          <w:p>
            <w:pPr>
              <w:jc w:val="right"/>
              <w:ind w:right="200"/>
              <w:spacing w:after="0"/>
              <w:rPr>
                <w:sz w:val="20"/>
                <w:szCs w:val="20"/>
                <w:color w:val="auto"/>
              </w:rPr>
            </w:pPr>
            <w:r>
              <w:rPr>
                <w:rFonts w:ascii="Arial" w:cs="Arial" w:eastAsia="Arial" w:hAnsi="Arial"/>
                <w:sz w:val="13"/>
                <w:szCs w:val="13"/>
                <w:color w:val="auto"/>
              </w:rPr>
              <w:t>0.28</w:t>
            </w:r>
          </w:p>
        </w:tc>
        <w:tc>
          <w:tcPr>
            <w:tcW w:w="138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2.09</w:t>
            </w:r>
          </w:p>
        </w:tc>
        <w:tc>
          <w:tcPr>
            <w:tcW w:w="12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2.23</w:t>
            </w:r>
          </w:p>
        </w:tc>
        <w:tc>
          <w:tcPr>
            <w:tcW w:w="5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860" w:type="dxa"/>
            <w:vAlign w:val="bottom"/>
            <w:tcBorders>
              <w:bottom w:val="single" w:sz="8" w:color="CCEEFF"/>
            </w:tcBorders>
          </w:tcPr>
          <w:p>
            <w:pPr>
              <w:spacing w:after="0" w:line="143" w:lineRule="exact"/>
              <w:rPr>
                <w:sz w:val="20"/>
                <w:szCs w:val="20"/>
                <w:color w:val="auto"/>
              </w:rPr>
            </w:pPr>
            <w:r>
              <w:rPr>
                <w:rFonts w:ascii="Arial" w:cs="Arial" w:eastAsia="Arial" w:hAnsi="Arial"/>
                <w:sz w:val="13"/>
                <w:szCs w:val="13"/>
                <w:color w:val="auto"/>
              </w:rPr>
              <w:t>Diluted earnings per share</w:t>
            </w:r>
          </w:p>
        </w:tc>
        <w:tc>
          <w:tcPr>
            <w:tcW w:w="1780" w:type="dxa"/>
            <w:vAlign w:val="bottom"/>
            <w:tcBorders>
              <w:bottom w:val="single" w:sz="8" w:color="CCEEFF"/>
            </w:tcBorders>
          </w:tcPr>
          <w:p>
            <w:pPr>
              <w:spacing w:after="0"/>
              <w:rPr>
                <w:sz w:val="12"/>
                <w:szCs w:val="12"/>
                <w:color w:val="auto"/>
              </w:rPr>
            </w:pPr>
          </w:p>
        </w:tc>
        <w:tc>
          <w:tcPr>
            <w:tcW w:w="11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0.28</w:t>
            </w:r>
          </w:p>
        </w:tc>
        <w:tc>
          <w:tcPr>
            <w:tcW w:w="200" w:type="dxa"/>
            <w:vAlign w:val="bottom"/>
            <w:tcBorders>
              <w:bottom w:val="single" w:sz="8" w:color="CCEEFF"/>
            </w:tcBorders>
          </w:tcPr>
          <w:p>
            <w:pPr>
              <w:spacing w:after="0"/>
              <w:rPr>
                <w:sz w:val="12"/>
                <w:szCs w:val="12"/>
                <w:color w:val="auto"/>
              </w:rPr>
            </w:pPr>
          </w:p>
        </w:tc>
        <w:tc>
          <w:tcPr>
            <w:tcW w:w="11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2.08</w:t>
            </w:r>
          </w:p>
        </w:tc>
        <w:tc>
          <w:tcPr>
            <w:tcW w:w="200" w:type="dxa"/>
            <w:vAlign w:val="bottom"/>
            <w:tcBorders>
              <w:bottom w:val="single" w:sz="8" w:color="CCEEFF"/>
            </w:tcBorders>
          </w:tcPr>
          <w:p>
            <w:pPr>
              <w:spacing w:after="0"/>
              <w:rPr>
                <w:sz w:val="12"/>
                <w:szCs w:val="12"/>
                <w:color w:val="auto"/>
              </w:rPr>
            </w:pPr>
          </w:p>
        </w:tc>
        <w:tc>
          <w:tcPr>
            <w:tcW w:w="116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2.22</w:t>
            </w:r>
          </w:p>
        </w:tc>
        <w:tc>
          <w:tcPr>
            <w:tcW w:w="120" w:type="dxa"/>
            <w:vAlign w:val="bottom"/>
            <w:tcBorders>
              <w:bottom w:val="single" w:sz="8" w:color="CCEEFF"/>
            </w:tcBorders>
          </w:tcPr>
          <w:p>
            <w:pPr>
              <w:spacing w:after="0"/>
              <w:rPr>
                <w:sz w:val="12"/>
                <w:szCs w:val="12"/>
                <w:color w:val="auto"/>
              </w:rPr>
            </w:pPr>
          </w:p>
        </w:tc>
        <w:tc>
          <w:tcPr>
            <w:tcW w:w="5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20" w:type="dxa"/>
            <w:vAlign w:val="bottom"/>
            <w:vMerge w:val="restart"/>
          </w:tcPr>
          <w:p>
            <w:pPr>
              <w:spacing w:after="0"/>
              <w:rPr>
                <w:sz w:val="12"/>
                <w:szCs w:val="12"/>
                <w:color w:val="auto"/>
              </w:rPr>
            </w:pPr>
          </w:p>
        </w:tc>
        <w:tc>
          <w:tcPr>
            <w:tcW w:w="4860" w:type="dxa"/>
            <w:vAlign w:val="bottom"/>
            <w:shd w:val="clear" w:color="auto" w:fill="CCEEFF"/>
          </w:tcPr>
          <w:p>
            <w:pPr>
              <w:spacing w:after="0"/>
              <w:rPr>
                <w:sz w:val="12"/>
                <w:szCs w:val="12"/>
                <w:color w:val="auto"/>
              </w:rPr>
            </w:pPr>
          </w:p>
        </w:tc>
        <w:tc>
          <w:tcPr>
            <w:tcW w:w="1780" w:type="dxa"/>
            <w:vAlign w:val="bottom"/>
            <w:shd w:val="clear" w:color="auto" w:fill="CCEEFF"/>
          </w:tcPr>
          <w:p>
            <w:pPr>
              <w:spacing w:after="0"/>
              <w:rPr>
                <w:sz w:val="12"/>
                <w:szCs w:val="12"/>
                <w:color w:val="auto"/>
              </w:rPr>
            </w:pPr>
          </w:p>
        </w:tc>
        <w:tc>
          <w:tcPr>
            <w:tcW w:w="11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1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5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4860" w:type="dxa"/>
            <w:vAlign w:val="bottom"/>
          </w:tcPr>
          <w:p>
            <w:pPr>
              <w:spacing w:after="0"/>
              <w:rPr>
                <w:sz w:val="20"/>
                <w:szCs w:val="20"/>
                <w:color w:val="auto"/>
              </w:rPr>
            </w:pPr>
            <w:r>
              <w:rPr>
                <w:rFonts w:ascii="Arial" w:cs="Arial" w:eastAsia="Arial" w:hAnsi="Arial"/>
                <w:sz w:val="13"/>
                <w:szCs w:val="13"/>
                <w:i w:val="1"/>
                <w:iCs w:val="1"/>
                <w:color w:val="auto"/>
              </w:rPr>
              <w:t>(Thousands of shares)</w:t>
            </w:r>
          </w:p>
        </w:tc>
        <w:tc>
          <w:tcPr>
            <w:tcW w:w="178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5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860" w:type="dxa"/>
            <w:vAlign w:val="bottom"/>
            <w:shd w:val="clear" w:color="auto" w:fill="CCEEFF"/>
          </w:tcPr>
          <w:p>
            <w:pPr>
              <w:spacing w:after="0"/>
              <w:rPr>
                <w:sz w:val="20"/>
                <w:szCs w:val="20"/>
                <w:color w:val="auto"/>
              </w:rPr>
            </w:pPr>
            <w:r>
              <w:rPr>
                <w:rFonts w:ascii="Arial" w:cs="Arial" w:eastAsia="Arial" w:hAnsi="Arial"/>
                <w:sz w:val="13"/>
                <w:szCs w:val="13"/>
                <w:color w:val="auto"/>
              </w:rPr>
              <w:t>Weighted average of common shares outstanding - applicable to basic EPS</w:t>
            </w:r>
          </w:p>
        </w:tc>
        <w:tc>
          <w:tcPr>
            <w:tcW w:w="3160" w:type="dxa"/>
            <w:vAlign w:val="bottom"/>
            <w:gridSpan w:val="3"/>
            <w:shd w:val="clear" w:color="auto" w:fill="CCEEFF"/>
          </w:tcPr>
          <w:p>
            <w:pPr>
              <w:jc w:val="right"/>
              <w:ind w:right="200"/>
              <w:spacing w:after="0"/>
              <w:rPr>
                <w:sz w:val="20"/>
                <w:szCs w:val="20"/>
                <w:color w:val="auto"/>
              </w:rPr>
            </w:pPr>
            <w:r>
              <w:rPr>
                <w:rFonts w:ascii="Arial" w:cs="Arial" w:eastAsia="Arial" w:hAnsi="Arial"/>
                <w:sz w:val="13"/>
                <w:szCs w:val="13"/>
                <w:color w:val="auto"/>
              </w:rPr>
              <w:t>39,543</w:t>
            </w:r>
          </w:p>
        </w:tc>
        <w:tc>
          <w:tcPr>
            <w:tcW w:w="11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39,311</w:t>
            </w:r>
          </w:p>
        </w:tc>
        <w:tc>
          <w:tcPr>
            <w:tcW w:w="200" w:type="dxa"/>
            <w:vAlign w:val="bottom"/>
            <w:shd w:val="clear" w:color="auto" w:fill="CCEEFF"/>
          </w:tcPr>
          <w:p>
            <w:pPr>
              <w:spacing w:after="0"/>
              <w:rPr>
                <w:sz w:val="13"/>
                <w:szCs w:val="13"/>
                <w:color w:val="auto"/>
              </w:rPr>
            </w:pPr>
          </w:p>
        </w:tc>
        <w:tc>
          <w:tcPr>
            <w:tcW w:w="12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39,085</w:t>
            </w:r>
          </w:p>
        </w:tc>
        <w:tc>
          <w:tcPr>
            <w:tcW w:w="5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4860" w:type="dxa"/>
            <w:vAlign w:val="bottom"/>
          </w:tcPr>
          <w:p>
            <w:pPr>
              <w:spacing w:after="0"/>
              <w:rPr>
                <w:sz w:val="13"/>
                <w:szCs w:val="13"/>
                <w:color w:val="auto"/>
              </w:rPr>
            </w:pPr>
          </w:p>
        </w:tc>
        <w:tc>
          <w:tcPr>
            <w:tcW w:w="178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5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4860" w:type="dxa"/>
            <w:vAlign w:val="bottom"/>
            <w:shd w:val="clear" w:color="auto" w:fill="CCEEFF"/>
          </w:tcPr>
          <w:p>
            <w:pPr>
              <w:spacing w:after="0"/>
              <w:rPr>
                <w:sz w:val="20"/>
                <w:szCs w:val="20"/>
                <w:color w:val="auto"/>
              </w:rPr>
            </w:pPr>
            <w:r>
              <w:rPr>
                <w:rFonts w:ascii="Arial" w:cs="Arial" w:eastAsia="Arial" w:hAnsi="Arial"/>
                <w:sz w:val="13"/>
                <w:szCs w:val="13"/>
                <w:color w:val="auto"/>
              </w:rPr>
              <w:t>Effect of diluted securities:</w:t>
            </w:r>
          </w:p>
        </w:tc>
        <w:tc>
          <w:tcPr>
            <w:tcW w:w="1780" w:type="dxa"/>
            <w:vAlign w:val="bottom"/>
            <w:shd w:val="clear" w:color="auto" w:fill="CCEEFF"/>
          </w:tcPr>
          <w:p>
            <w:pPr>
              <w:spacing w:after="0"/>
              <w:rPr>
                <w:sz w:val="13"/>
                <w:szCs w:val="13"/>
                <w:color w:val="auto"/>
              </w:rPr>
            </w:pPr>
          </w:p>
        </w:tc>
        <w:tc>
          <w:tcPr>
            <w:tcW w:w="118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18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16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5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4860" w:type="dxa"/>
            <w:vAlign w:val="bottom"/>
          </w:tcPr>
          <w:p>
            <w:pPr>
              <w:ind w:left="120"/>
              <w:spacing w:after="0"/>
              <w:rPr>
                <w:sz w:val="20"/>
                <w:szCs w:val="20"/>
                <w:color w:val="auto"/>
              </w:rPr>
            </w:pPr>
            <w:r>
              <w:rPr>
                <w:rFonts w:ascii="Arial" w:cs="Arial" w:eastAsia="Arial" w:hAnsi="Arial"/>
                <w:sz w:val="13"/>
                <w:szCs w:val="13"/>
                <w:color w:val="auto"/>
              </w:rPr>
              <w:t>Stock options and restricted stock units plan</w:t>
            </w:r>
          </w:p>
        </w:tc>
        <w:tc>
          <w:tcPr>
            <w:tcW w:w="3160" w:type="dxa"/>
            <w:vAlign w:val="bottom"/>
            <w:gridSpan w:val="3"/>
          </w:tcPr>
          <w:p>
            <w:pPr>
              <w:jc w:val="right"/>
              <w:ind w:right="200"/>
              <w:spacing w:after="0"/>
              <w:rPr>
                <w:sz w:val="20"/>
                <w:szCs w:val="20"/>
                <w:color w:val="auto"/>
              </w:rPr>
            </w:pPr>
            <w:r>
              <w:rPr>
                <w:rFonts w:ascii="Arial" w:cs="Arial" w:eastAsia="Arial" w:hAnsi="Arial"/>
                <w:sz w:val="13"/>
                <w:szCs w:val="13"/>
                <w:color w:val="auto"/>
              </w:rPr>
              <w:t>-</w:t>
            </w:r>
          </w:p>
        </w:tc>
        <w:tc>
          <w:tcPr>
            <w:tcW w:w="1180" w:type="dxa"/>
            <w:vAlign w:val="bottom"/>
          </w:tcPr>
          <w:p>
            <w:pPr>
              <w:jc w:val="right"/>
              <w:spacing w:after="0"/>
              <w:rPr>
                <w:sz w:val="20"/>
                <w:szCs w:val="20"/>
                <w:color w:val="auto"/>
              </w:rPr>
            </w:pPr>
            <w:r>
              <w:rPr>
                <w:rFonts w:ascii="Arial" w:cs="Arial" w:eastAsia="Arial" w:hAnsi="Arial"/>
                <w:sz w:val="13"/>
                <w:szCs w:val="13"/>
                <w:color w:val="auto"/>
              </w:rPr>
              <w:t>18</w:t>
            </w:r>
          </w:p>
        </w:tc>
        <w:tc>
          <w:tcPr>
            <w:tcW w:w="200" w:type="dxa"/>
            <w:vAlign w:val="bottom"/>
          </w:tcPr>
          <w:p>
            <w:pPr>
              <w:spacing w:after="0"/>
              <w:rPr>
                <w:sz w:val="14"/>
                <w:szCs w:val="14"/>
                <w:color w:val="auto"/>
              </w:rPr>
            </w:pPr>
          </w:p>
        </w:tc>
        <w:tc>
          <w:tcPr>
            <w:tcW w:w="1280" w:type="dxa"/>
            <w:vAlign w:val="bottom"/>
            <w:gridSpan w:val="2"/>
          </w:tcPr>
          <w:p>
            <w:pPr>
              <w:jc w:val="right"/>
              <w:ind w:right="120"/>
              <w:spacing w:after="0"/>
              <w:rPr>
                <w:sz w:val="20"/>
                <w:szCs w:val="20"/>
                <w:color w:val="auto"/>
              </w:rPr>
            </w:pPr>
            <w:r>
              <w:rPr>
                <w:rFonts w:ascii="Arial" w:cs="Arial" w:eastAsia="Arial" w:hAnsi="Arial"/>
                <w:sz w:val="13"/>
                <w:szCs w:val="13"/>
                <w:color w:val="auto"/>
              </w:rPr>
              <w:t>125</w:t>
            </w:r>
          </w:p>
        </w:tc>
        <w:tc>
          <w:tcPr>
            <w:tcW w:w="5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vMerge w:val="restart"/>
          </w:tcPr>
          <w:p>
            <w:pPr>
              <w:spacing w:after="0"/>
              <w:rPr>
                <w:sz w:val="12"/>
                <w:szCs w:val="12"/>
                <w:color w:val="auto"/>
              </w:rPr>
            </w:pPr>
          </w:p>
        </w:tc>
        <w:tc>
          <w:tcPr>
            <w:tcW w:w="4860" w:type="dxa"/>
            <w:vAlign w:val="bottom"/>
            <w:tcBorders>
              <w:top w:val="single" w:sz="8" w:color="CCEEFF"/>
            </w:tcBorders>
            <w:shd w:val="clear" w:color="auto" w:fill="CCEEFF"/>
          </w:tcPr>
          <w:p>
            <w:pPr>
              <w:spacing w:after="0"/>
              <w:rPr>
                <w:sz w:val="12"/>
                <w:szCs w:val="12"/>
                <w:color w:val="auto"/>
              </w:rPr>
            </w:pPr>
          </w:p>
        </w:tc>
        <w:tc>
          <w:tcPr>
            <w:tcW w:w="178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16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5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82"/>
        </w:trPr>
        <w:tc>
          <w:tcPr>
            <w:tcW w:w="220" w:type="dxa"/>
            <w:vAlign w:val="bottom"/>
            <w:vMerge w:val="continue"/>
          </w:tcPr>
          <w:p>
            <w:pPr>
              <w:spacing w:after="0"/>
              <w:rPr>
                <w:sz w:val="15"/>
                <w:szCs w:val="15"/>
                <w:color w:val="auto"/>
              </w:rPr>
            </w:pPr>
          </w:p>
        </w:tc>
        <w:tc>
          <w:tcPr>
            <w:tcW w:w="4860" w:type="dxa"/>
            <w:vAlign w:val="bottom"/>
          </w:tcPr>
          <w:p>
            <w:pPr>
              <w:spacing w:after="0"/>
              <w:rPr>
                <w:sz w:val="20"/>
                <w:szCs w:val="20"/>
                <w:color w:val="auto"/>
              </w:rPr>
            </w:pPr>
            <w:r>
              <w:rPr>
                <w:rFonts w:ascii="Arial" w:cs="Arial" w:eastAsia="Arial" w:hAnsi="Arial"/>
                <w:sz w:val="13"/>
                <w:szCs w:val="13"/>
                <w:color w:val="auto"/>
                <w:w w:val="99"/>
              </w:rPr>
              <w:t>Adjusted weighted average of common shares outstanding applicable to diluted EPS</w:t>
            </w:r>
          </w:p>
        </w:tc>
        <w:tc>
          <w:tcPr>
            <w:tcW w:w="1780" w:type="dxa"/>
            <w:vAlign w:val="bottom"/>
          </w:tcPr>
          <w:p>
            <w:pPr>
              <w:spacing w:after="0"/>
              <w:rPr>
                <w:sz w:val="15"/>
                <w:szCs w:val="15"/>
                <w:color w:val="auto"/>
              </w:rPr>
            </w:pPr>
          </w:p>
        </w:tc>
        <w:tc>
          <w:tcPr>
            <w:tcW w:w="1180" w:type="dxa"/>
            <w:vAlign w:val="bottom"/>
          </w:tcPr>
          <w:p>
            <w:pPr>
              <w:jc w:val="right"/>
              <w:spacing w:after="0"/>
              <w:rPr>
                <w:sz w:val="20"/>
                <w:szCs w:val="20"/>
                <w:color w:val="auto"/>
              </w:rPr>
            </w:pPr>
            <w:r>
              <w:rPr>
                <w:rFonts w:ascii="Arial" w:cs="Arial" w:eastAsia="Arial" w:hAnsi="Arial"/>
                <w:sz w:val="13"/>
                <w:szCs w:val="13"/>
                <w:b w:val="1"/>
                <w:bCs w:val="1"/>
                <w:color w:val="auto"/>
              </w:rPr>
              <w:t>39,543</w:t>
            </w:r>
          </w:p>
        </w:tc>
        <w:tc>
          <w:tcPr>
            <w:tcW w:w="200" w:type="dxa"/>
            <w:vAlign w:val="bottom"/>
          </w:tcPr>
          <w:p>
            <w:pPr>
              <w:spacing w:after="0"/>
              <w:rPr>
                <w:sz w:val="15"/>
                <w:szCs w:val="15"/>
                <w:color w:val="auto"/>
              </w:rPr>
            </w:pPr>
          </w:p>
        </w:tc>
        <w:tc>
          <w:tcPr>
            <w:tcW w:w="1180" w:type="dxa"/>
            <w:vAlign w:val="bottom"/>
          </w:tcPr>
          <w:p>
            <w:pPr>
              <w:jc w:val="right"/>
              <w:spacing w:after="0"/>
              <w:rPr>
                <w:sz w:val="20"/>
                <w:szCs w:val="20"/>
                <w:color w:val="auto"/>
              </w:rPr>
            </w:pPr>
            <w:r>
              <w:rPr>
                <w:rFonts w:ascii="Arial" w:cs="Arial" w:eastAsia="Arial" w:hAnsi="Arial"/>
                <w:sz w:val="13"/>
                <w:szCs w:val="13"/>
                <w:b w:val="1"/>
                <w:bCs w:val="1"/>
                <w:color w:val="auto"/>
              </w:rPr>
              <w:t>39,329</w:t>
            </w:r>
          </w:p>
        </w:tc>
        <w:tc>
          <w:tcPr>
            <w:tcW w:w="200" w:type="dxa"/>
            <w:vAlign w:val="bottom"/>
          </w:tcPr>
          <w:p>
            <w:pPr>
              <w:spacing w:after="0"/>
              <w:rPr>
                <w:sz w:val="15"/>
                <w:szCs w:val="15"/>
                <w:color w:val="auto"/>
              </w:rPr>
            </w:pPr>
          </w:p>
        </w:tc>
        <w:tc>
          <w:tcPr>
            <w:tcW w:w="1280" w:type="dxa"/>
            <w:vAlign w:val="bottom"/>
            <w:gridSpan w:val="2"/>
          </w:tcPr>
          <w:p>
            <w:pPr>
              <w:jc w:val="right"/>
              <w:ind w:right="120"/>
              <w:spacing w:after="0"/>
              <w:rPr>
                <w:sz w:val="20"/>
                <w:szCs w:val="20"/>
                <w:color w:val="auto"/>
              </w:rPr>
            </w:pPr>
            <w:r>
              <w:rPr>
                <w:rFonts w:ascii="Arial" w:cs="Arial" w:eastAsia="Arial" w:hAnsi="Arial"/>
                <w:sz w:val="13"/>
                <w:szCs w:val="13"/>
                <w:b w:val="1"/>
                <w:bCs w:val="1"/>
                <w:color w:val="auto"/>
              </w:rPr>
              <w:t>39,210</w:t>
            </w:r>
          </w:p>
        </w:tc>
        <w:tc>
          <w:tcPr>
            <w:tcW w:w="5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467"/>
        </w:trPr>
        <w:tc>
          <w:tcPr>
            <w:tcW w:w="220" w:type="dxa"/>
            <w:vAlign w:val="bottom"/>
            <w:tcBorders>
              <w:bottom w:val="single" w:sz="8" w:color="auto"/>
            </w:tcBorders>
          </w:tcPr>
          <w:p>
            <w:pPr>
              <w:spacing w:after="0"/>
              <w:rPr>
                <w:sz w:val="24"/>
                <w:szCs w:val="24"/>
                <w:color w:val="auto"/>
              </w:rPr>
            </w:pPr>
          </w:p>
        </w:tc>
        <w:tc>
          <w:tcPr>
            <w:tcW w:w="4860" w:type="dxa"/>
            <w:vAlign w:val="bottom"/>
            <w:tcBorders>
              <w:bottom w:val="single" w:sz="8" w:color="auto"/>
            </w:tcBorders>
          </w:tcPr>
          <w:p>
            <w:pPr>
              <w:spacing w:after="0"/>
              <w:rPr>
                <w:sz w:val="24"/>
                <w:szCs w:val="24"/>
                <w:color w:val="auto"/>
              </w:rPr>
            </w:pPr>
          </w:p>
        </w:tc>
        <w:tc>
          <w:tcPr>
            <w:tcW w:w="1780" w:type="dxa"/>
            <w:vAlign w:val="bottom"/>
            <w:tcBorders>
              <w:bottom w:val="single" w:sz="8" w:color="auto"/>
            </w:tcBorders>
          </w:tcPr>
          <w:p>
            <w:pPr>
              <w:ind w:left="540"/>
              <w:spacing w:after="0"/>
              <w:rPr>
                <w:sz w:val="20"/>
                <w:szCs w:val="20"/>
                <w:color w:val="auto"/>
              </w:rPr>
            </w:pPr>
            <w:r>
              <w:rPr>
                <w:rFonts w:ascii="Arial" w:cs="Arial" w:eastAsia="Arial" w:hAnsi="Arial"/>
                <w:sz w:val="13"/>
                <w:szCs w:val="13"/>
                <w:color w:val="auto"/>
              </w:rPr>
              <w:t>F-72</w:t>
            </w:r>
          </w:p>
        </w:tc>
        <w:tc>
          <w:tcPr>
            <w:tcW w:w="1180" w:type="dxa"/>
            <w:vAlign w:val="bottom"/>
            <w:tcBorders>
              <w:top w:val="single" w:sz="8" w:color="auto"/>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180" w:type="dxa"/>
            <w:vAlign w:val="bottom"/>
            <w:tcBorders>
              <w:top w:val="single" w:sz="8" w:color="auto"/>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160" w:type="dxa"/>
            <w:vAlign w:val="bottom"/>
            <w:tcBorders>
              <w:top w:val="single" w:sz="8" w:color="auto"/>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3"/>
          </w:cols>
          <w:pgMar w:left="217" w:top="685" w:right="199" w:bottom="1440" w:gutter="0" w:footer="0" w:header="0"/>
        </w:sectPr>
      </w:pPr>
    </w:p>
    <w:bookmarkStart w:id="197" w:name="page198"/>
    <w:bookmarkEnd w:id="197"/>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32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right="9200" w:hanging="223"/>
        <w:spacing w:after="0" w:line="497" w:lineRule="auto"/>
        <w:tabs>
          <w:tab w:leader="none" w:pos="223" w:val="left"/>
        </w:tabs>
        <w:numPr>
          <w:ilvl w:val="0"/>
          <w:numId w:val="163"/>
        </w:numPr>
        <w:rPr>
          <w:rFonts w:ascii="Arial" w:cs="Arial" w:eastAsia="Arial" w:hAnsi="Arial"/>
          <w:sz w:val="13"/>
          <w:szCs w:val="13"/>
          <w:b w:val="1"/>
          <w:bCs w:val="1"/>
          <w:color w:val="222222"/>
        </w:rPr>
      </w:pPr>
      <w:r>
        <w:rPr>
          <w:rFonts w:ascii="Arial" w:cs="Arial" w:eastAsia="Arial" w:hAnsi="Arial"/>
          <w:sz w:val="13"/>
          <w:szCs w:val="13"/>
          <w:b w:val="1"/>
          <w:bCs w:val="1"/>
          <w:color w:val="auto"/>
        </w:rPr>
        <w:t xml:space="preserve">Capital and additional paid-in capital </w:t>
      </w:r>
      <w:r>
        <w:rPr>
          <w:rFonts w:ascii="Arial" w:cs="Arial" w:eastAsia="Arial" w:hAnsi="Arial"/>
          <w:sz w:val="13"/>
          <w:szCs w:val="13"/>
          <w:u w:val="single" w:color="auto"/>
          <w:color w:val="auto"/>
        </w:rPr>
        <w:t>Common stock</w:t>
      </w:r>
    </w:p>
    <w:p>
      <w:pPr>
        <w:ind w:left="243"/>
        <w:spacing w:after="0"/>
        <w:rPr>
          <w:rFonts w:ascii="Arial" w:cs="Arial" w:eastAsia="Arial" w:hAnsi="Arial"/>
          <w:sz w:val="13"/>
          <w:szCs w:val="13"/>
          <w:b w:val="1"/>
          <w:bCs w:val="1"/>
          <w:color w:val="222222"/>
        </w:rPr>
      </w:pPr>
      <w:r>
        <w:rPr>
          <w:rFonts w:ascii="Arial" w:cs="Arial" w:eastAsia="Arial" w:hAnsi="Arial"/>
          <w:sz w:val="13"/>
          <w:szCs w:val="13"/>
          <w:color w:val="auto"/>
        </w:rPr>
        <w:t>The Bank’s common stock is divided into four categories:</w:t>
      </w:r>
    </w:p>
    <w:p>
      <w:pPr>
        <w:spacing w:after="0" w:line="158" w:lineRule="exact"/>
        <w:rPr>
          <w:rFonts w:ascii="Arial" w:cs="Arial" w:eastAsia="Arial" w:hAnsi="Arial"/>
          <w:sz w:val="13"/>
          <w:szCs w:val="13"/>
          <w:b w:val="1"/>
          <w:bCs w:val="1"/>
          <w:color w:val="222222"/>
        </w:rPr>
      </w:pPr>
    </w:p>
    <w:p>
      <w:pPr>
        <w:ind w:left="703" w:hanging="241"/>
        <w:spacing w:after="0"/>
        <w:tabs>
          <w:tab w:leader="none" w:pos="703" w:val="left"/>
        </w:tabs>
        <w:numPr>
          <w:ilvl w:val="1"/>
          <w:numId w:val="163"/>
        </w:numPr>
        <w:rPr>
          <w:rFonts w:ascii="Arial" w:cs="Arial" w:eastAsia="Arial" w:hAnsi="Arial"/>
          <w:sz w:val="13"/>
          <w:szCs w:val="13"/>
          <w:color w:val="auto"/>
        </w:rPr>
      </w:pPr>
      <w:r>
        <w:rPr>
          <w:rFonts w:ascii="Arial" w:cs="Arial" w:eastAsia="Arial" w:hAnsi="Arial"/>
          <w:sz w:val="13"/>
          <w:szCs w:val="13"/>
          <w:color w:val="auto"/>
        </w:rPr>
        <w:t>“Class A”; shares may only be issued to Latin American Central Banks or banks in which the state or other government agency is the majority shareholder.</w:t>
      </w:r>
    </w:p>
    <w:p>
      <w:pPr>
        <w:spacing w:after="0" w:line="12" w:lineRule="exact"/>
        <w:rPr>
          <w:rFonts w:ascii="Arial" w:cs="Arial" w:eastAsia="Arial" w:hAnsi="Arial"/>
          <w:sz w:val="13"/>
          <w:szCs w:val="13"/>
          <w:color w:val="auto"/>
        </w:rPr>
      </w:pPr>
    </w:p>
    <w:p>
      <w:pPr>
        <w:ind w:left="703" w:hanging="241"/>
        <w:spacing w:after="0"/>
        <w:tabs>
          <w:tab w:leader="none" w:pos="703" w:val="left"/>
        </w:tabs>
        <w:numPr>
          <w:ilvl w:val="1"/>
          <w:numId w:val="163"/>
        </w:numPr>
        <w:rPr>
          <w:rFonts w:ascii="Arial" w:cs="Arial" w:eastAsia="Arial" w:hAnsi="Arial"/>
          <w:sz w:val="13"/>
          <w:szCs w:val="13"/>
          <w:color w:val="auto"/>
        </w:rPr>
      </w:pPr>
      <w:r>
        <w:rPr>
          <w:rFonts w:ascii="Arial" w:cs="Arial" w:eastAsia="Arial" w:hAnsi="Arial"/>
          <w:sz w:val="13"/>
          <w:szCs w:val="13"/>
          <w:color w:val="auto"/>
        </w:rPr>
        <w:t>“Class B”; shares may only be issued to banks or financial institutions.</w:t>
      </w:r>
    </w:p>
    <w:p>
      <w:pPr>
        <w:spacing w:after="0" w:line="4" w:lineRule="exact"/>
        <w:rPr>
          <w:rFonts w:ascii="Arial" w:cs="Arial" w:eastAsia="Arial" w:hAnsi="Arial"/>
          <w:sz w:val="13"/>
          <w:szCs w:val="13"/>
          <w:color w:val="auto"/>
        </w:rPr>
      </w:pPr>
    </w:p>
    <w:p>
      <w:pPr>
        <w:ind w:left="703" w:hanging="241"/>
        <w:spacing w:after="0"/>
        <w:tabs>
          <w:tab w:leader="none" w:pos="703" w:val="left"/>
        </w:tabs>
        <w:numPr>
          <w:ilvl w:val="1"/>
          <w:numId w:val="163"/>
        </w:numPr>
        <w:rPr>
          <w:rFonts w:ascii="Arial" w:cs="Arial" w:eastAsia="Arial" w:hAnsi="Arial"/>
          <w:sz w:val="13"/>
          <w:szCs w:val="13"/>
          <w:color w:val="auto"/>
        </w:rPr>
      </w:pPr>
      <w:r>
        <w:rPr>
          <w:rFonts w:ascii="Arial" w:cs="Arial" w:eastAsia="Arial" w:hAnsi="Arial"/>
          <w:sz w:val="13"/>
          <w:szCs w:val="13"/>
          <w:color w:val="auto"/>
        </w:rPr>
        <w:t>“Class E”; shares may be issued to any person whether a natural person or a legal entity.</w:t>
      </w:r>
    </w:p>
    <w:p>
      <w:pPr>
        <w:spacing w:after="0" w:line="4" w:lineRule="exact"/>
        <w:rPr>
          <w:rFonts w:ascii="Arial" w:cs="Arial" w:eastAsia="Arial" w:hAnsi="Arial"/>
          <w:sz w:val="13"/>
          <w:szCs w:val="13"/>
          <w:color w:val="auto"/>
        </w:rPr>
      </w:pPr>
    </w:p>
    <w:p>
      <w:pPr>
        <w:ind w:left="703" w:hanging="241"/>
        <w:spacing w:after="0" w:line="254" w:lineRule="auto"/>
        <w:tabs>
          <w:tab w:leader="none" w:pos="703" w:val="left"/>
        </w:tabs>
        <w:numPr>
          <w:ilvl w:val="1"/>
          <w:numId w:val="163"/>
        </w:numPr>
        <w:rPr>
          <w:rFonts w:ascii="Arial" w:cs="Arial" w:eastAsia="Arial" w:hAnsi="Arial"/>
          <w:sz w:val="13"/>
          <w:szCs w:val="13"/>
          <w:color w:val="auto"/>
        </w:rPr>
      </w:pPr>
      <w:r>
        <w:rPr>
          <w:rFonts w:ascii="Arial" w:cs="Arial" w:eastAsia="Arial" w:hAnsi="Arial"/>
          <w:sz w:val="13"/>
          <w:szCs w:val="13"/>
          <w:color w:val="auto"/>
        </w:rPr>
        <w:t>“Class F”; may only be issued to state entities and agencies of non-Latin American countries, including, among others, central banks and majority state-owned banks in those countries, and multilateral financial institutions either international or regional institutions.</w:t>
      </w:r>
    </w:p>
    <w:p>
      <w:pPr>
        <w:spacing w:after="0" w:line="137" w:lineRule="exact"/>
        <w:rPr>
          <w:sz w:val="20"/>
          <w:szCs w:val="20"/>
          <w:color w:val="auto"/>
        </w:rPr>
      </w:pPr>
    </w:p>
    <w:p>
      <w:pPr>
        <w:ind w:left="223"/>
        <w:spacing w:after="0"/>
        <w:rPr>
          <w:sz w:val="20"/>
          <w:szCs w:val="20"/>
          <w:color w:val="auto"/>
        </w:rPr>
      </w:pPr>
      <w:r>
        <w:rPr>
          <w:rFonts w:ascii="Arial" w:cs="Arial" w:eastAsia="Arial" w:hAnsi="Arial"/>
          <w:sz w:val="13"/>
          <w:szCs w:val="13"/>
          <w:color w:val="auto"/>
        </w:rPr>
        <w:t>The holders of “Class B” shares have the right to convert or exchange their “Class B” shares, at any time, and without restriction, for “Class E” shares, exchanging one share for another share.</w:t>
      </w:r>
    </w:p>
    <w:p>
      <w:pPr>
        <w:spacing w:after="0" w:line="159" w:lineRule="exact"/>
        <w:rPr>
          <w:sz w:val="20"/>
          <w:szCs w:val="20"/>
          <w:color w:val="auto"/>
        </w:rPr>
      </w:pPr>
    </w:p>
    <w:p>
      <w:pPr>
        <w:ind w:left="223"/>
        <w:spacing w:after="0"/>
        <w:rPr>
          <w:sz w:val="20"/>
          <w:szCs w:val="20"/>
          <w:color w:val="auto"/>
        </w:rPr>
      </w:pPr>
      <w:r>
        <w:rPr>
          <w:rFonts w:ascii="Arial" w:cs="Arial" w:eastAsia="Arial" w:hAnsi="Arial"/>
          <w:sz w:val="13"/>
          <w:szCs w:val="13"/>
          <w:color w:val="auto"/>
        </w:rPr>
        <w:t>The following table provides detailed information on the movement of the shares by class for each of the years ended December 31, 2018, 2017 and 2016:</w:t>
      </w:r>
    </w:p>
    <w:p>
      <w:pPr>
        <w:spacing w:after="0" w:line="155" w:lineRule="exact"/>
        <w:rPr>
          <w:sz w:val="20"/>
          <w:szCs w:val="20"/>
          <w:color w:val="auto"/>
        </w:rPr>
      </w:pPr>
    </w:p>
    <w:tbl>
      <w:tblPr>
        <w:tblLayout w:type="fixed"/>
        <w:tblInd w:w="223" w:type="dxa"/>
        <w:tblCellMar>
          <w:top w:w="0" w:type="dxa"/>
          <w:left w:w="0" w:type="dxa"/>
          <w:bottom w:w="0" w:type="dxa"/>
          <w:right w:w="0" w:type="dxa"/>
        </w:tblCellMar>
      </w:tblPr>
      <w:tr>
        <w:trPr>
          <w:trHeight w:val="176"/>
        </w:trPr>
        <w:tc>
          <w:tcPr>
            <w:tcW w:w="3980" w:type="dxa"/>
            <w:vAlign w:val="bottom"/>
            <w:gridSpan w:val="2"/>
          </w:tcPr>
          <w:p>
            <w:pPr>
              <w:spacing w:after="0"/>
              <w:rPr>
                <w:sz w:val="20"/>
                <w:szCs w:val="20"/>
                <w:color w:val="auto"/>
              </w:rPr>
            </w:pPr>
            <w:r>
              <w:rPr>
                <w:rFonts w:ascii="Arial" w:cs="Arial" w:eastAsia="Arial" w:hAnsi="Arial"/>
                <w:sz w:val="13"/>
                <w:szCs w:val="13"/>
                <w:b w:val="1"/>
                <w:bCs w:val="1"/>
                <w:color w:val="auto"/>
              </w:rPr>
              <w:t>(Share units)</w:t>
            </w:r>
          </w:p>
        </w:tc>
        <w:tc>
          <w:tcPr>
            <w:tcW w:w="1460" w:type="dxa"/>
            <w:vAlign w:val="bottom"/>
            <w:gridSpan w:val="2"/>
          </w:tcPr>
          <w:p>
            <w:pPr>
              <w:jc w:val="right"/>
              <w:ind w:right="580"/>
              <w:spacing w:after="0"/>
              <w:rPr>
                <w:sz w:val="20"/>
                <w:szCs w:val="20"/>
                <w:color w:val="auto"/>
              </w:rPr>
            </w:pPr>
            <w:r>
              <w:rPr>
                <w:rFonts w:ascii="Arial" w:cs="Arial" w:eastAsia="Arial" w:hAnsi="Arial"/>
                <w:sz w:val="13"/>
                <w:szCs w:val="13"/>
                <w:b w:val="1"/>
                <w:bCs w:val="1"/>
                <w:color w:val="auto"/>
              </w:rPr>
              <w:t>“Class A”</w:t>
            </w:r>
          </w:p>
        </w:tc>
        <w:tc>
          <w:tcPr>
            <w:tcW w:w="1440" w:type="dxa"/>
            <w:vAlign w:val="bottom"/>
            <w:gridSpan w:val="2"/>
          </w:tcPr>
          <w:p>
            <w:pPr>
              <w:jc w:val="right"/>
              <w:ind w:right="560"/>
              <w:spacing w:after="0"/>
              <w:rPr>
                <w:sz w:val="20"/>
                <w:szCs w:val="20"/>
                <w:color w:val="auto"/>
              </w:rPr>
            </w:pPr>
            <w:r>
              <w:rPr>
                <w:rFonts w:ascii="Arial" w:cs="Arial" w:eastAsia="Arial" w:hAnsi="Arial"/>
                <w:sz w:val="13"/>
                <w:szCs w:val="13"/>
                <w:b w:val="1"/>
                <w:bCs w:val="1"/>
                <w:color w:val="auto"/>
              </w:rPr>
              <w:t>“Class B”</w:t>
            </w:r>
          </w:p>
        </w:tc>
        <w:tc>
          <w:tcPr>
            <w:tcW w:w="1420" w:type="dxa"/>
            <w:vAlign w:val="bottom"/>
            <w:gridSpan w:val="2"/>
          </w:tcPr>
          <w:p>
            <w:pPr>
              <w:jc w:val="right"/>
              <w:ind w:right="540"/>
              <w:spacing w:after="0"/>
              <w:rPr>
                <w:sz w:val="20"/>
                <w:szCs w:val="20"/>
                <w:color w:val="auto"/>
              </w:rPr>
            </w:pPr>
            <w:r>
              <w:rPr>
                <w:rFonts w:ascii="Arial" w:cs="Arial" w:eastAsia="Arial" w:hAnsi="Arial"/>
                <w:sz w:val="13"/>
                <w:szCs w:val="13"/>
                <w:b w:val="1"/>
                <w:bCs w:val="1"/>
                <w:color w:val="auto"/>
              </w:rPr>
              <w:t>“Class E”</w:t>
            </w:r>
          </w:p>
        </w:tc>
        <w:tc>
          <w:tcPr>
            <w:tcW w:w="1420" w:type="dxa"/>
            <w:vAlign w:val="bottom"/>
            <w:gridSpan w:val="2"/>
          </w:tcPr>
          <w:p>
            <w:pPr>
              <w:ind w:left="340"/>
              <w:spacing w:after="0"/>
              <w:rPr>
                <w:sz w:val="20"/>
                <w:szCs w:val="20"/>
                <w:color w:val="auto"/>
              </w:rPr>
            </w:pPr>
            <w:r>
              <w:rPr>
                <w:rFonts w:ascii="Arial" w:cs="Arial" w:eastAsia="Arial" w:hAnsi="Arial"/>
                <w:sz w:val="13"/>
                <w:szCs w:val="13"/>
                <w:b w:val="1"/>
                <w:bCs w:val="1"/>
                <w:color w:val="auto"/>
              </w:rPr>
              <w:t>“Class F”</w:t>
            </w:r>
          </w:p>
        </w:tc>
        <w:tc>
          <w:tcPr>
            <w:tcW w:w="1300" w:type="dxa"/>
            <w:vAlign w:val="bottom"/>
            <w:gridSpan w:val="3"/>
          </w:tcPr>
          <w:p>
            <w:pPr>
              <w:jc w:val="right"/>
              <w:ind w:right="560"/>
              <w:spacing w:after="0"/>
              <w:rPr>
                <w:sz w:val="20"/>
                <w:szCs w:val="20"/>
                <w:color w:val="auto"/>
              </w:rPr>
            </w:pPr>
            <w:r>
              <w:rPr>
                <w:rFonts w:ascii="Arial" w:cs="Arial" w:eastAsia="Arial" w:hAnsi="Arial"/>
                <w:sz w:val="13"/>
                <w:szCs w:val="13"/>
                <w:b w:val="1"/>
                <w:bCs w:val="1"/>
                <w:color w:val="auto"/>
              </w:rPr>
              <w:t>Total</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396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color w:val="auto"/>
              </w:rPr>
              <w:t>Authorized</w:t>
            </w:r>
          </w:p>
        </w:tc>
        <w:tc>
          <w:tcPr>
            <w:tcW w:w="12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40,000,000</w:t>
            </w:r>
          </w:p>
        </w:tc>
        <w:tc>
          <w:tcPr>
            <w:tcW w:w="24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40,000,000</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100,000,000</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100,000,000</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280,000,000</w:t>
            </w: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396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396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Outstanding at January 1, 2016</w:t>
            </w: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6,342,189</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2,474,469</w:t>
            </w:r>
          </w:p>
        </w:tc>
        <w:tc>
          <w:tcPr>
            <w:tcW w:w="22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30,152,247</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38,968,905</w:t>
            </w: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960" w:type="dxa"/>
            <w:vAlign w:val="bottom"/>
          </w:tcPr>
          <w:p>
            <w:pPr>
              <w:spacing w:after="0"/>
              <w:rPr>
                <w:sz w:val="20"/>
                <w:szCs w:val="20"/>
                <w:color w:val="auto"/>
              </w:rPr>
            </w:pPr>
            <w:r>
              <w:rPr>
                <w:rFonts w:ascii="Arial" w:cs="Arial" w:eastAsia="Arial" w:hAnsi="Arial"/>
                <w:sz w:val="13"/>
                <w:szCs w:val="13"/>
                <w:color w:val="auto"/>
              </w:rPr>
              <w:t>Conversions</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220" w:type="dxa"/>
            <w:vAlign w:val="bottom"/>
            <w:gridSpan w:val="2"/>
          </w:tcPr>
          <w:p>
            <w:pPr>
              <w:jc w:val="right"/>
              <w:ind w:right="20"/>
              <w:spacing w:after="0"/>
              <w:rPr>
                <w:sz w:val="20"/>
                <w:szCs w:val="20"/>
                <w:color w:val="auto"/>
              </w:rPr>
            </w:pPr>
            <w:r>
              <w:rPr>
                <w:rFonts w:ascii="Arial" w:cs="Arial" w:eastAsia="Arial" w:hAnsi="Arial"/>
                <w:sz w:val="13"/>
                <w:szCs w:val="13"/>
                <w:color w:val="auto"/>
              </w:rPr>
              <w:t>-</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960" w:type="dxa"/>
            <w:vAlign w:val="bottom"/>
            <w:shd w:val="clear" w:color="auto" w:fill="CCEEFF"/>
          </w:tcPr>
          <w:p>
            <w:pPr>
              <w:spacing w:after="0"/>
              <w:rPr>
                <w:sz w:val="20"/>
                <w:szCs w:val="20"/>
                <w:color w:val="auto"/>
              </w:rPr>
            </w:pPr>
            <w:r>
              <w:rPr>
                <w:rFonts w:ascii="Arial" w:cs="Arial" w:eastAsia="Arial" w:hAnsi="Arial"/>
                <w:sz w:val="13"/>
                <w:szCs w:val="13"/>
                <w:color w:val="auto"/>
              </w:rPr>
              <w:t>Restricted stock issued – directors</w:t>
            </w: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57,000</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57,000</w:t>
            </w: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960" w:type="dxa"/>
            <w:vAlign w:val="bottom"/>
          </w:tcPr>
          <w:p>
            <w:pPr>
              <w:spacing w:after="0"/>
              <w:rPr>
                <w:sz w:val="20"/>
                <w:szCs w:val="20"/>
                <w:color w:val="auto"/>
              </w:rPr>
            </w:pPr>
            <w:r>
              <w:rPr>
                <w:rFonts w:ascii="Arial" w:cs="Arial" w:eastAsia="Arial" w:hAnsi="Arial"/>
                <w:sz w:val="13"/>
                <w:szCs w:val="13"/>
                <w:color w:val="auto"/>
              </w:rPr>
              <w:t>Exercised stock options - compensation plans</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68,785</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220" w:type="dxa"/>
            <w:vAlign w:val="bottom"/>
            <w:gridSpan w:val="2"/>
          </w:tcPr>
          <w:p>
            <w:pPr>
              <w:jc w:val="right"/>
              <w:ind w:right="20"/>
              <w:spacing w:after="0"/>
              <w:rPr>
                <w:sz w:val="20"/>
                <w:szCs w:val="20"/>
                <w:color w:val="auto"/>
              </w:rPr>
            </w:pPr>
            <w:r>
              <w:rPr>
                <w:rFonts w:ascii="Arial" w:cs="Arial" w:eastAsia="Arial" w:hAnsi="Arial"/>
                <w:sz w:val="13"/>
                <w:szCs w:val="13"/>
                <w:color w:val="auto"/>
              </w:rPr>
              <w:t>68,785</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3960" w:type="dxa"/>
            <w:vAlign w:val="bottom"/>
            <w:shd w:val="clear" w:color="auto" w:fill="CCEEFF"/>
          </w:tcPr>
          <w:p>
            <w:pPr>
              <w:spacing w:after="0"/>
              <w:rPr>
                <w:sz w:val="20"/>
                <w:szCs w:val="20"/>
                <w:color w:val="auto"/>
              </w:rPr>
            </w:pPr>
            <w:r>
              <w:rPr>
                <w:rFonts w:ascii="Arial" w:cs="Arial" w:eastAsia="Arial" w:hAnsi="Arial"/>
                <w:sz w:val="13"/>
                <w:szCs w:val="13"/>
                <w:color w:val="auto"/>
              </w:rPr>
              <w:t>Restricted stock units – vested</w:t>
            </w: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65,358</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65,358</w:t>
            </w:r>
          </w:p>
        </w:tc>
        <w:tc>
          <w:tcPr>
            <w:tcW w:w="8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3960" w:type="dxa"/>
            <w:vAlign w:val="bottom"/>
          </w:tcPr>
          <w:p>
            <w:pPr>
              <w:spacing w:after="0" w:line="144" w:lineRule="exact"/>
              <w:rPr>
                <w:sz w:val="20"/>
                <w:szCs w:val="20"/>
                <w:color w:val="auto"/>
              </w:rPr>
            </w:pPr>
            <w:r>
              <w:rPr>
                <w:rFonts w:ascii="Arial" w:cs="Arial" w:eastAsia="Arial" w:hAnsi="Arial"/>
                <w:sz w:val="13"/>
                <w:szCs w:val="13"/>
                <w:b w:val="1"/>
                <w:bCs w:val="1"/>
                <w:color w:val="auto"/>
              </w:rPr>
              <w:t>Outstanding at December 31, 2016</w:t>
            </w:r>
          </w:p>
        </w:tc>
        <w:tc>
          <w:tcPr>
            <w:tcW w:w="122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6,342,189</w:t>
            </w:r>
          </w:p>
        </w:tc>
        <w:tc>
          <w:tcPr>
            <w:tcW w:w="240" w:type="dxa"/>
            <w:vAlign w:val="bottom"/>
          </w:tcPr>
          <w:p>
            <w:pPr>
              <w:spacing w:after="0"/>
              <w:rPr>
                <w:sz w:val="12"/>
                <w:szCs w:val="12"/>
                <w:color w:val="auto"/>
              </w:rPr>
            </w:pPr>
          </w:p>
        </w:tc>
        <w:tc>
          <w:tcPr>
            <w:tcW w:w="122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2,474,469</w:t>
            </w:r>
          </w:p>
        </w:tc>
        <w:tc>
          <w:tcPr>
            <w:tcW w:w="22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30,343,390</w:t>
            </w:r>
          </w:p>
        </w:tc>
        <w:tc>
          <w:tcPr>
            <w:tcW w:w="22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w:t>
            </w:r>
          </w:p>
        </w:tc>
        <w:tc>
          <w:tcPr>
            <w:tcW w:w="22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39,160,048</w:t>
            </w: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3960" w:type="dxa"/>
            <w:vAlign w:val="bottom"/>
            <w:shd w:val="clear" w:color="auto" w:fill="CCEEFF"/>
          </w:tcPr>
          <w:p>
            <w:pPr>
              <w:spacing w:after="0"/>
              <w:rPr>
                <w:sz w:val="13"/>
                <w:szCs w:val="13"/>
                <w:color w:val="auto"/>
              </w:rPr>
            </w:pPr>
          </w:p>
        </w:tc>
        <w:tc>
          <w:tcPr>
            <w:tcW w:w="12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2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3960" w:type="dxa"/>
            <w:vAlign w:val="bottom"/>
          </w:tcPr>
          <w:p>
            <w:pPr>
              <w:spacing w:after="0"/>
              <w:rPr>
                <w:sz w:val="20"/>
                <w:szCs w:val="20"/>
                <w:color w:val="auto"/>
              </w:rPr>
            </w:pPr>
            <w:r>
              <w:rPr>
                <w:rFonts w:ascii="Arial" w:cs="Arial" w:eastAsia="Arial" w:hAnsi="Arial"/>
                <w:sz w:val="13"/>
                <w:szCs w:val="13"/>
                <w:color w:val="auto"/>
              </w:rPr>
              <w:t>Conversions</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440" w:type="dxa"/>
            <w:vAlign w:val="bottom"/>
            <w:gridSpan w:val="2"/>
          </w:tcPr>
          <w:p>
            <w:pPr>
              <w:jc w:val="right"/>
              <w:ind w:right="180"/>
              <w:spacing w:after="0"/>
              <w:rPr>
                <w:sz w:val="20"/>
                <w:szCs w:val="20"/>
                <w:color w:val="auto"/>
              </w:rPr>
            </w:pPr>
            <w:r>
              <w:rPr>
                <w:rFonts w:ascii="Arial" w:cs="Arial" w:eastAsia="Arial" w:hAnsi="Arial"/>
                <w:sz w:val="13"/>
                <w:szCs w:val="13"/>
                <w:color w:val="auto"/>
              </w:rPr>
              <w:t>(64,663)</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64,663</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220" w:type="dxa"/>
            <w:vAlign w:val="bottom"/>
            <w:gridSpan w:val="2"/>
          </w:tcPr>
          <w:p>
            <w:pPr>
              <w:jc w:val="right"/>
              <w:ind w:right="20"/>
              <w:spacing w:after="0"/>
              <w:rPr>
                <w:sz w:val="20"/>
                <w:szCs w:val="20"/>
                <w:color w:val="auto"/>
              </w:rPr>
            </w:pPr>
            <w:r>
              <w:rPr>
                <w:rFonts w:ascii="Arial" w:cs="Arial" w:eastAsia="Arial" w:hAnsi="Arial"/>
                <w:sz w:val="13"/>
                <w:szCs w:val="13"/>
                <w:color w:val="auto"/>
              </w:rPr>
              <w:t>-</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960" w:type="dxa"/>
            <w:vAlign w:val="bottom"/>
            <w:shd w:val="clear" w:color="auto" w:fill="CCEEFF"/>
          </w:tcPr>
          <w:p>
            <w:pPr>
              <w:spacing w:after="0"/>
              <w:rPr>
                <w:sz w:val="20"/>
                <w:szCs w:val="20"/>
                <w:color w:val="auto"/>
              </w:rPr>
            </w:pPr>
            <w:r>
              <w:rPr>
                <w:rFonts w:ascii="Arial" w:cs="Arial" w:eastAsia="Arial" w:hAnsi="Arial"/>
                <w:sz w:val="13"/>
                <w:szCs w:val="13"/>
                <w:color w:val="auto"/>
              </w:rPr>
              <w:t>Repurchased common stock</w:t>
            </w: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44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(1,000)</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(1,000)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960" w:type="dxa"/>
            <w:vAlign w:val="bottom"/>
          </w:tcPr>
          <w:p>
            <w:pPr>
              <w:spacing w:after="0"/>
              <w:rPr>
                <w:sz w:val="20"/>
                <w:szCs w:val="20"/>
                <w:color w:val="auto"/>
              </w:rPr>
            </w:pPr>
            <w:r>
              <w:rPr>
                <w:rFonts w:ascii="Arial" w:cs="Arial" w:eastAsia="Arial" w:hAnsi="Arial"/>
                <w:sz w:val="13"/>
                <w:szCs w:val="13"/>
                <w:color w:val="auto"/>
              </w:rPr>
              <w:t>Restricted stock issued – directors</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57,000</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220" w:type="dxa"/>
            <w:vAlign w:val="bottom"/>
            <w:gridSpan w:val="2"/>
          </w:tcPr>
          <w:p>
            <w:pPr>
              <w:jc w:val="right"/>
              <w:ind w:right="20"/>
              <w:spacing w:after="0"/>
              <w:rPr>
                <w:sz w:val="20"/>
                <w:szCs w:val="20"/>
                <w:color w:val="auto"/>
              </w:rPr>
            </w:pPr>
            <w:r>
              <w:rPr>
                <w:rFonts w:ascii="Arial" w:cs="Arial" w:eastAsia="Arial" w:hAnsi="Arial"/>
                <w:sz w:val="13"/>
                <w:szCs w:val="13"/>
                <w:color w:val="auto"/>
              </w:rPr>
              <w:t>57,000</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960" w:type="dxa"/>
            <w:vAlign w:val="bottom"/>
            <w:shd w:val="clear" w:color="auto" w:fill="CCEEFF"/>
          </w:tcPr>
          <w:p>
            <w:pPr>
              <w:spacing w:after="0"/>
              <w:rPr>
                <w:sz w:val="20"/>
                <w:szCs w:val="20"/>
                <w:color w:val="auto"/>
              </w:rPr>
            </w:pPr>
            <w:r>
              <w:rPr>
                <w:rFonts w:ascii="Arial" w:cs="Arial" w:eastAsia="Arial" w:hAnsi="Arial"/>
                <w:sz w:val="13"/>
                <w:szCs w:val="13"/>
                <w:color w:val="auto"/>
              </w:rPr>
              <w:t>Exercised stock options - compensation plans</w:t>
            </w: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142,268</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142,268</w:t>
            </w: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3960" w:type="dxa"/>
            <w:vAlign w:val="bottom"/>
          </w:tcPr>
          <w:p>
            <w:pPr>
              <w:spacing w:after="0"/>
              <w:rPr>
                <w:sz w:val="20"/>
                <w:szCs w:val="20"/>
                <w:color w:val="auto"/>
              </w:rPr>
            </w:pPr>
            <w:r>
              <w:rPr>
                <w:rFonts w:ascii="Arial" w:cs="Arial" w:eastAsia="Arial" w:hAnsi="Arial"/>
                <w:sz w:val="13"/>
                <w:szCs w:val="13"/>
                <w:color w:val="auto"/>
              </w:rPr>
              <w:t>Restricted stock units – vested</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70,519</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220" w:type="dxa"/>
            <w:vAlign w:val="bottom"/>
            <w:gridSpan w:val="2"/>
          </w:tcPr>
          <w:p>
            <w:pPr>
              <w:jc w:val="right"/>
              <w:ind w:right="20"/>
              <w:spacing w:after="0"/>
              <w:rPr>
                <w:sz w:val="20"/>
                <w:szCs w:val="20"/>
                <w:color w:val="auto"/>
              </w:rPr>
            </w:pPr>
            <w:r>
              <w:rPr>
                <w:rFonts w:ascii="Arial" w:cs="Arial" w:eastAsia="Arial" w:hAnsi="Arial"/>
                <w:sz w:val="13"/>
                <w:szCs w:val="13"/>
                <w:color w:val="auto"/>
              </w:rPr>
              <w:t>70,519</w:t>
            </w: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396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Outstanding at December 31, 2017</w:t>
            </w:r>
          </w:p>
        </w:tc>
        <w:tc>
          <w:tcPr>
            <w:tcW w:w="12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6,342,189</w:t>
            </w:r>
          </w:p>
        </w:tc>
        <w:tc>
          <w:tcPr>
            <w:tcW w:w="24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2,408,806</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30,677,840</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39,428,835</w:t>
            </w: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396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3960" w:type="dxa"/>
            <w:vAlign w:val="bottom"/>
            <w:shd w:val="clear" w:color="auto" w:fill="CCEEFF"/>
          </w:tcPr>
          <w:p>
            <w:pPr>
              <w:spacing w:after="0"/>
              <w:rPr>
                <w:sz w:val="20"/>
                <w:szCs w:val="20"/>
                <w:color w:val="auto"/>
              </w:rPr>
            </w:pPr>
            <w:r>
              <w:rPr>
                <w:rFonts w:ascii="Arial" w:cs="Arial" w:eastAsia="Arial" w:hAnsi="Arial"/>
                <w:sz w:val="13"/>
                <w:szCs w:val="13"/>
                <w:color w:val="auto"/>
              </w:rPr>
              <w:t>Conversions</w:t>
            </w: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44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(64,386)</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64,386</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w:t>
            </w: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960" w:type="dxa"/>
            <w:vAlign w:val="bottom"/>
          </w:tcPr>
          <w:p>
            <w:pPr>
              <w:spacing w:after="0"/>
              <w:rPr>
                <w:sz w:val="20"/>
                <w:szCs w:val="20"/>
                <w:color w:val="auto"/>
              </w:rPr>
            </w:pPr>
            <w:r>
              <w:rPr>
                <w:rFonts w:ascii="Arial" w:cs="Arial" w:eastAsia="Arial" w:hAnsi="Arial"/>
                <w:sz w:val="13"/>
                <w:szCs w:val="13"/>
                <w:color w:val="auto"/>
              </w:rPr>
              <w:t>Repurchased common stock</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440" w:type="dxa"/>
            <w:vAlign w:val="bottom"/>
            <w:gridSpan w:val="2"/>
          </w:tcPr>
          <w:p>
            <w:pPr>
              <w:jc w:val="right"/>
              <w:ind w:right="180"/>
              <w:spacing w:after="0"/>
              <w:rPr>
                <w:sz w:val="20"/>
                <w:szCs w:val="20"/>
                <w:color w:val="auto"/>
              </w:rPr>
            </w:pPr>
            <w:r>
              <w:rPr>
                <w:rFonts w:ascii="Arial" w:cs="Arial" w:eastAsia="Arial" w:hAnsi="Arial"/>
                <w:sz w:val="13"/>
                <w:szCs w:val="13"/>
                <w:color w:val="auto"/>
              </w:rPr>
              <w:t>(99,193)</w:t>
            </w:r>
          </w:p>
        </w:tc>
        <w:tc>
          <w:tcPr>
            <w:tcW w:w="1420" w:type="dxa"/>
            <w:vAlign w:val="bottom"/>
            <w:gridSpan w:val="2"/>
          </w:tcPr>
          <w:p>
            <w:pPr>
              <w:jc w:val="right"/>
              <w:ind w:right="180"/>
              <w:spacing w:after="0"/>
              <w:rPr>
                <w:sz w:val="20"/>
                <w:szCs w:val="20"/>
                <w:color w:val="auto"/>
              </w:rPr>
            </w:pPr>
            <w:r>
              <w:rPr>
                <w:rFonts w:ascii="Arial" w:cs="Arial" w:eastAsia="Arial" w:hAnsi="Arial"/>
                <w:sz w:val="13"/>
                <w:szCs w:val="13"/>
                <w:color w:val="auto"/>
              </w:rPr>
              <w:t>(64)</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3"/>
          </w:tcPr>
          <w:p>
            <w:pPr>
              <w:jc w:val="right"/>
              <w:ind w:right="60"/>
              <w:spacing w:after="0"/>
              <w:rPr>
                <w:sz w:val="20"/>
                <w:szCs w:val="20"/>
                <w:color w:val="auto"/>
              </w:rPr>
            </w:pPr>
            <w:r>
              <w:rPr>
                <w:rFonts w:ascii="Arial" w:cs="Arial" w:eastAsia="Arial" w:hAnsi="Arial"/>
                <w:sz w:val="13"/>
                <w:szCs w:val="13"/>
                <w:color w:val="auto"/>
              </w:rPr>
              <w:t>(99,257)</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960" w:type="dxa"/>
            <w:vAlign w:val="bottom"/>
            <w:shd w:val="clear" w:color="auto" w:fill="CCEEFF"/>
          </w:tcPr>
          <w:p>
            <w:pPr>
              <w:spacing w:after="0"/>
              <w:rPr>
                <w:sz w:val="20"/>
                <w:szCs w:val="20"/>
                <w:color w:val="auto"/>
              </w:rPr>
            </w:pPr>
            <w:r>
              <w:rPr>
                <w:rFonts w:ascii="Arial" w:cs="Arial" w:eastAsia="Arial" w:hAnsi="Arial"/>
                <w:sz w:val="13"/>
                <w:szCs w:val="13"/>
                <w:color w:val="auto"/>
              </w:rPr>
              <w:t>Restricted stock issued – directors</w:t>
            </w: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57,000</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57,000</w:t>
            </w: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960" w:type="dxa"/>
            <w:vAlign w:val="bottom"/>
          </w:tcPr>
          <w:p>
            <w:pPr>
              <w:spacing w:after="0"/>
              <w:rPr>
                <w:sz w:val="20"/>
                <w:szCs w:val="20"/>
                <w:color w:val="auto"/>
              </w:rPr>
            </w:pPr>
            <w:r>
              <w:rPr>
                <w:rFonts w:ascii="Arial" w:cs="Arial" w:eastAsia="Arial" w:hAnsi="Arial"/>
                <w:sz w:val="13"/>
                <w:szCs w:val="13"/>
                <w:color w:val="auto"/>
              </w:rPr>
              <w:t>Exercised stock options - compensation plans</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102,918</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220" w:type="dxa"/>
            <w:vAlign w:val="bottom"/>
            <w:gridSpan w:val="2"/>
          </w:tcPr>
          <w:p>
            <w:pPr>
              <w:jc w:val="right"/>
              <w:ind w:right="20"/>
              <w:spacing w:after="0"/>
              <w:rPr>
                <w:sz w:val="20"/>
                <w:szCs w:val="20"/>
                <w:color w:val="auto"/>
              </w:rPr>
            </w:pPr>
            <w:r>
              <w:rPr>
                <w:rFonts w:ascii="Arial" w:cs="Arial" w:eastAsia="Arial" w:hAnsi="Arial"/>
                <w:sz w:val="13"/>
                <w:szCs w:val="13"/>
                <w:color w:val="auto"/>
              </w:rPr>
              <w:t>102,918</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3960" w:type="dxa"/>
            <w:vAlign w:val="bottom"/>
            <w:shd w:val="clear" w:color="auto" w:fill="CCEEFF"/>
          </w:tcPr>
          <w:p>
            <w:pPr>
              <w:spacing w:after="0"/>
              <w:rPr>
                <w:sz w:val="20"/>
                <w:szCs w:val="20"/>
                <w:color w:val="auto"/>
              </w:rPr>
            </w:pPr>
            <w:r>
              <w:rPr>
                <w:rFonts w:ascii="Arial" w:cs="Arial" w:eastAsia="Arial" w:hAnsi="Arial"/>
                <w:sz w:val="13"/>
                <w:szCs w:val="13"/>
                <w:color w:val="auto"/>
              </w:rPr>
              <w:t>Restricted stock units – vested</w:t>
            </w: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49,055</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49,055</w:t>
            </w:r>
          </w:p>
        </w:tc>
        <w:tc>
          <w:tcPr>
            <w:tcW w:w="8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960" w:type="dxa"/>
            <w:vAlign w:val="bottom"/>
          </w:tcPr>
          <w:p>
            <w:pPr>
              <w:spacing w:after="0" w:line="146" w:lineRule="exact"/>
              <w:rPr>
                <w:sz w:val="20"/>
                <w:szCs w:val="20"/>
                <w:color w:val="auto"/>
              </w:rPr>
            </w:pPr>
            <w:r>
              <w:rPr>
                <w:rFonts w:ascii="Arial" w:cs="Arial" w:eastAsia="Arial" w:hAnsi="Arial"/>
                <w:sz w:val="13"/>
                <w:szCs w:val="13"/>
                <w:b w:val="1"/>
                <w:bCs w:val="1"/>
                <w:color w:val="auto"/>
              </w:rPr>
              <w:t>Outstanding at December 31, 2018</w:t>
            </w: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6,342,189</w:t>
            </w:r>
          </w:p>
        </w:tc>
        <w:tc>
          <w:tcPr>
            <w:tcW w:w="240" w:type="dxa"/>
            <w:vAlign w:val="bottom"/>
          </w:tcPr>
          <w:p>
            <w:pPr>
              <w:spacing w:after="0"/>
              <w:rPr>
                <w:sz w:val="14"/>
                <w:szCs w:val="14"/>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2,245,227</w:t>
            </w:r>
          </w:p>
        </w:tc>
        <w:tc>
          <w:tcPr>
            <w:tcW w:w="220" w:type="dxa"/>
            <w:vAlign w:val="bottom"/>
          </w:tcPr>
          <w:p>
            <w:pPr>
              <w:spacing w:after="0"/>
              <w:rPr>
                <w:sz w:val="14"/>
                <w:szCs w:val="14"/>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30,951,135</w:t>
            </w:r>
          </w:p>
        </w:tc>
        <w:tc>
          <w:tcPr>
            <w:tcW w:w="220" w:type="dxa"/>
            <w:vAlign w:val="bottom"/>
          </w:tcPr>
          <w:p>
            <w:pPr>
              <w:spacing w:after="0"/>
              <w:rPr>
                <w:sz w:val="14"/>
                <w:szCs w:val="14"/>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w:t>
            </w:r>
          </w:p>
        </w:tc>
        <w:tc>
          <w:tcPr>
            <w:tcW w:w="220" w:type="dxa"/>
            <w:vAlign w:val="bottom"/>
          </w:tcPr>
          <w:p>
            <w:pPr>
              <w:spacing w:after="0"/>
              <w:rPr>
                <w:sz w:val="14"/>
                <w:szCs w:val="14"/>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39,538,551</w:t>
            </w:r>
          </w:p>
        </w:tc>
        <w:tc>
          <w:tcPr>
            <w:tcW w:w="20" w:type="dxa"/>
            <w:vAlign w:val="bottom"/>
            <w:tcBorders>
              <w:bottom w:val="single" w:sz="8" w:color="auto"/>
            </w:tcBorders>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bl>
    <w:p>
      <w:pPr>
        <w:spacing w:after="0" w:line="145" w:lineRule="exact"/>
        <w:rPr>
          <w:sz w:val="20"/>
          <w:szCs w:val="20"/>
          <w:color w:val="auto"/>
        </w:rPr>
      </w:pPr>
    </w:p>
    <w:p>
      <w:pPr>
        <w:ind w:left="223"/>
        <w:spacing w:after="0"/>
        <w:rPr>
          <w:sz w:val="20"/>
          <w:szCs w:val="20"/>
          <w:color w:val="auto"/>
        </w:rPr>
      </w:pPr>
      <w:r>
        <w:rPr>
          <w:rFonts w:ascii="Arial" w:cs="Arial" w:eastAsia="Arial" w:hAnsi="Arial"/>
          <w:sz w:val="13"/>
          <w:szCs w:val="13"/>
          <w:u w:val="single" w:color="auto"/>
          <w:color w:val="auto"/>
        </w:rPr>
        <w:t>Additional paid-in capital</w:t>
      </w:r>
    </w:p>
    <w:p>
      <w:pPr>
        <w:spacing w:after="0" w:line="159" w:lineRule="exact"/>
        <w:rPr>
          <w:sz w:val="20"/>
          <w:szCs w:val="20"/>
          <w:color w:val="auto"/>
        </w:rPr>
      </w:pPr>
    </w:p>
    <w:p>
      <w:pPr>
        <w:ind w:left="223"/>
        <w:spacing w:after="0"/>
        <w:rPr>
          <w:sz w:val="20"/>
          <w:szCs w:val="20"/>
          <w:color w:val="auto"/>
        </w:rPr>
      </w:pPr>
      <w:r>
        <w:rPr>
          <w:rFonts w:ascii="Arial" w:cs="Arial" w:eastAsia="Arial" w:hAnsi="Arial"/>
          <w:sz w:val="13"/>
          <w:szCs w:val="13"/>
          <w:color w:val="auto"/>
        </w:rPr>
        <w:t>As of December 31, 2018, and 2017, the additional paid-in capital consists of additional cash contributions to the common capital paid by shareholders.</w:t>
      </w:r>
    </w:p>
    <w:p>
      <w:pPr>
        <w:spacing w:after="0" w:line="313"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F-73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32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198" w:name="page199"/>
    <w:bookmarkEnd w:id="198"/>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32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164"/>
        </w:numPr>
        <w:rPr>
          <w:rFonts w:ascii="Arial" w:cs="Arial" w:eastAsia="Arial" w:hAnsi="Arial"/>
          <w:sz w:val="13"/>
          <w:szCs w:val="13"/>
          <w:b w:val="1"/>
          <w:bCs w:val="1"/>
          <w:color w:val="auto"/>
        </w:rPr>
      </w:pPr>
      <w:r>
        <w:rPr>
          <w:rFonts w:ascii="Arial" w:cs="Arial" w:eastAsia="Arial" w:hAnsi="Arial"/>
          <w:sz w:val="13"/>
          <w:szCs w:val="13"/>
          <w:b w:val="1"/>
          <w:bCs w:val="1"/>
          <w:color w:val="auto"/>
        </w:rPr>
        <w:t>Treasury stock</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following table presents information regarding shares repurchased but not retired by the Bank and accordingly classified as treasury stock:</w:t>
      </w:r>
    </w:p>
    <w:p>
      <w:pPr>
        <w:spacing w:after="0" w:line="160" w:lineRule="exact"/>
        <w:rPr>
          <w:sz w:val="20"/>
          <w:szCs w:val="20"/>
          <w:color w:val="auto"/>
        </w:rPr>
      </w:pPr>
    </w:p>
    <w:tbl>
      <w:tblPr>
        <w:tblLayout w:type="fixed"/>
        <w:tblInd w:w="223" w:type="dxa"/>
        <w:tblCellMar>
          <w:top w:w="0" w:type="dxa"/>
          <w:left w:w="0" w:type="dxa"/>
          <w:bottom w:w="0" w:type="dxa"/>
          <w:right w:w="0" w:type="dxa"/>
        </w:tblCellMar>
      </w:tblPr>
      <w:tr>
        <w:trPr>
          <w:trHeight w:val="123"/>
        </w:trPr>
        <w:tc>
          <w:tcPr>
            <w:tcW w:w="20" w:type="dxa"/>
            <w:vAlign w:val="bottom"/>
          </w:tcPr>
          <w:p>
            <w:pPr>
              <w:spacing w:after="0"/>
              <w:rPr>
                <w:sz w:val="10"/>
                <w:szCs w:val="10"/>
                <w:color w:val="auto"/>
              </w:rPr>
            </w:pPr>
          </w:p>
        </w:tc>
        <w:tc>
          <w:tcPr>
            <w:tcW w:w="2340" w:type="dxa"/>
            <w:vAlign w:val="bottom"/>
          </w:tcPr>
          <w:p>
            <w:pPr>
              <w:spacing w:after="0"/>
              <w:rPr>
                <w:sz w:val="10"/>
                <w:szCs w:val="10"/>
                <w:color w:val="auto"/>
              </w:rPr>
            </w:pPr>
          </w:p>
        </w:tc>
        <w:tc>
          <w:tcPr>
            <w:tcW w:w="1300" w:type="dxa"/>
            <w:vAlign w:val="bottom"/>
            <w:tcBorders>
              <w:bottom w:val="single" w:sz="8" w:color="auto"/>
            </w:tcBorders>
            <w:gridSpan w:val="3"/>
          </w:tcPr>
          <w:p>
            <w:pPr>
              <w:ind w:left="780"/>
              <w:spacing w:after="0"/>
              <w:rPr>
                <w:sz w:val="20"/>
                <w:szCs w:val="20"/>
                <w:color w:val="auto"/>
              </w:rPr>
            </w:pPr>
            <w:r>
              <w:rPr>
                <w:rFonts w:ascii="Arial" w:cs="Arial" w:eastAsia="Arial" w:hAnsi="Arial"/>
                <w:sz w:val="10"/>
                <w:szCs w:val="10"/>
                <w:b w:val="1"/>
                <w:bCs w:val="1"/>
                <w:color w:val="auto"/>
              </w:rPr>
              <w:t>“Class A”</w:t>
            </w:r>
          </w:p>
        </w:tc>
        <w:tc>
          <w:tcPr>
            <w:tcW w:w="720" w:type="dxa"/>
            <w:vAlign w:val="bottom"/>
            <w:tcBorders>
              <w:bottom w:val="single" w:sz="8" w:color="auto"/>
            </w:tcBorders>
          </w:tcPr>
          <w:p>
            <w:pPr>
              <w:spacing w:after="0"/>
              <w:rPr>
                <w:sz w:val="10"/>
                <w:szCs w:val="10"/>
                <w:color w:val="auto"/>
              </w:rPr>
            </w:pPr>
          </w:p>
        </w:tc>
        <w:tc>
          <w:tcPr>
            <w:tcW w:w="220" w:type="dxa"/>
            <w:vAlign w:val="bottom"/>
          </w:tcPr>
          <w:p>
            <w:pPr>
              <w:spacing w:after="0"/>
              <w:rPr>
                <w:sz w:val="10"/>
                <w:szCs w:val="10"/>
                <w:color w:val="auto"/>
              </w:rPr>
            </w:pPr>
          </w:p>
        </w:tc>
        <w:tc>
          <w:tcPr>
            <w:tcW w:w="1320" w:type="dxa"/>
            <w:vAlign w:val="bottom"/>
            <w:tcBorders>
              <w:bottom w:val="single" w:sz="8" w:color="auto"/>
            </w:tcBorders>
            <w:gridSpan w:val="3"/>
          </w:tcPr>
          <w:p>
            <w:pPr>
              <w:ind w:left="800"/>
              <w:spacing w:after="0"/>
              <w:rPr>
                <w:sz w:val="20"/>
                <w:szCs w:val="20"/>
                <w:color w:val="auto"/>
              </w:rPr>
            </w:pPr>
            <w:r>
              <w:rPr>
                <w:rFonts w:ascii="Arial" w:cs="Arial" w:eastAsia="Arial" w:hAnsi="Arial"/>
                <w:sz w:val="10"/>
                <w:szCs w:val="10"/>
                <w:b w:val="1"/>
                <w:bCs w:val="1"/>
                <w:color w:val="auto"/>
              </w:rPr>
              <w:t>“Class B”</w:t>
            </w:r>
          </w:p>
        </w:tc>
        <w:tc>
          <w:tcPr>
            <w:tcW w:w="720" w:type="dxa"/>
            <w:vAlign w:val="bottom"/>
            <w:tcBorders>
              <w:bottom w:val="single" w:sz="8" w:color="auto"/>
            </w:tcBorders>
          </w:tcPr>
          <w:p>
            <w:pPr>
              <w:spacing w:after="0"/>
              <w:rPr>
                <w:sz w:val="10"/>
                <w:szCs w:val="10"/>
                <w:color w:val="auto"/>
              </w:rPr>
            </w:pPr>
          </w:p>
        </w:tc>
        <w:tc>
          <w:tcPr>
            <w:tcW w:w="220" w:type="dxa"/>
            <w:vAlign w:val="bottom"/>
          </w:tcPr>
          <w:p>
            <w:pPr>
              <w:spacing w:after="0"/>
              <w:rPr>
                <w:sz w:val="10"/>
                <w:szCs w:val="10"/>
                <w:color w:val="auto"/>
              </w:rPr>
            </w:pPr>
          </w:p>
        </w:tc>
        <w:tc>
          <w:tcPr>
            <w:tcW w:w="1300" w:type="dxa"/>
            <w:vAlign w:val="bottom"/>
            <w:tcBorders>
              <w:bottom w:val="single" w:sz="8" w:color="auto"/>
            </w:tcBorders>
            <w:gridSpan w:val="3"/>
          </w:tcPr>
          <w:p>
            <w:pPr>
              <w:ind w:left="780"/>
              <w:spacing w:after="0"/>
              <w:rPr>
                <w:sz w:val="20"/>
                <w:szCs w:val="20"/>
                <w:color w:val="auto"/>
              </w:rPr>
            </w:pPr>
            <w:r>
              <w:rPr>
                <w:rFonts w:ascii="Arial" w:cs="Arial" w:eastAsia="Arial" w:hAnsi="Arial"/>
                <w:sz w:val="10"/>
                <w:szCs w:val="10"/>
                <w:b w:val="1"/>
                <w:bCs w:val="1"/>
                <w:color w:val="auto"/>
              </w:rPr>
              <w:t>“Class E”</w:t>
            </w:r>
          </w:p>
        </w:tc>
        <w:tc>
          <w:tcPr>
            <w:tcW w:w="700" w:type="dxa"/>
            <w:vAlign w:val="bottom"/>
            <w:tcBorders>
              <w:bottom w:val="single" w:sz="8" w:color="auto"/>
            </w:tcBorders>
          </w:tcPr>
          <w:p>
            <w:pPr>
              <w:spacing w:after="0"/>
              <w:rPr>
                <w:sz w:val="10"/>
                <w:szCs w:val="10"/>
                <w:color w:val="auto"/>
              </w:rPr>
            </w:pPr>
          </w:p>
        </w:tc>
        <w:tc>
          <w:tcPr>
            <w:tcW w:w="200" w:type="dxa"/>
            <w:vAlign w:val="bottom"/>
          </w:tcPr>
          <w:p>
            <w:pPr>
              <w:spacing w:after="0"/>
              <w:rPr>
                <w:sz w:val="10"/>
                <w:szCs w:val="10"/>
                <w:color w:val="auto"/>
              </w:rPr>
            </w:pPr>
          </w:p>
        </w:tc>
        <w:tc>
          <w:tcPr>
            <w:tcW w:w="1220" w:type="dxa"/>
            <w:vAlign w:val="bottom"/>
            <w:tcBorders>
              <w:bottom w:val="single" w:sz="8" w:color="auto"/>
            </w:tcBorders>
            <w:gridSpan w:val="3"/>
          </w:tcPr>
          <w:p>
            <w:pPr>
              <w:ind w:left="880"/>
              <w:spacing w:after="0"/>
              <w:rPr>
                <w:sz w:val="20"/>
                <w:szCs w:val="20"/>
                <w:color w:val="auto"/>
              </w:rPr>
            </w:pPr>
            <w:r>
              <w:rPr>
                <w:rFonts w:ascii="Arial" w:cs="Arial" w:eastAsia="Arial" w:hAnsi="Arial"/>
                <w:sz w:val="10"/>
                <w:szCs w:val="10"/>
                <w:b w:val="1"/>
                <w:bCs w:val="1"/>
                <w:color w:val="auto"/>
              </w:rPr>
              <w:t>Total</w:t>
            </w:r>
          </w:p>
        </w:tc>
        <w:tc>
          <w:tcPr>
            <w:tcW w:w="740" w:type="dxa"/>
            <w:vAlign w:val="bottom"/>
            <w:tcBorders>
              <w:bottom w:val="single" w:sz="8" w:color="auto"/>
            </w:tcBorders>
          </w:tcPr>
          <w:p>
            <w:pPr>
              <w:spacing w:after="0"/>
              <w:rPr>
                <w:sz w:val="10"/>
                <w:szCs w:val="10"/>
                <w:color w:val="auto"/>
              </w:rPr>
            </w:pPr>
          </w:p>
        </w:tc>
        <w:tc>
          <w:tcPr>
            <w:tcW w:w="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05"/>
        </w:trPr>
        <w:tc>
          <w:tcPr>
            <w:tcW w:w="20" w:type="dxa"/>
            <w:vAlign w:val="bottom"/>
          </w:tcPr>
          <w:p>
            <w:pPr>
              <w:spacing w:after="0"/>
              <w:rPr>
                <w:sz w:val="9"/>
                <w:szCs w:val="9"/>
                <w:color w:val="auto"/>
              </w:rPr>
            </w:pPr>
          </w:p>
        </w:tc>
        <w:tc>
          <w:tcPr>
            <w:tcW w:w="2340" w:type="dxa"/>
            <w:vAlign w:val="bottom"/>
          </w:tcPr>
          <w:p>
            <w:pPr>
              <w:spacing w:after="0"/>
              <w:rPr>
                <w:sz w:val="9"/>
                <w:szCs w:val="9"/>
                <w:color w:val="auto"/>
              </w:rPr>
            </w:pPr>
          </w:p>
        </w:tc>
        <w:tc>
          <w:tcPr>
            <w:tcW w:w="1300" w:type="dxa"/>
            <w:vAlign w:val="bottom"/>
            <w:gridSpan w:val="3"/>
          </w:tcPr>
          <w:p>
            <w:pPr>
              <w:ind w:left="300"/>
              <w:spacing w:after="0" w:line="105" w:lineRule="exact"/>
              <w:rPr>
                <w:sz w:val="20"/>
                <w:szCs w:val="20"/>
                <w:color w:val="auto"/>
              </w:rPr>
            </w:pPr>
            <w:r>
              <w:rPr>
                <w:rFonts w:ascii="Arial" w:cs="Arial" w:eastAsia="Arial" w:hAnsi="Arial"/>
                <w:sz w:val="10"/>
                <w:szCs w:val="10"/>
                <w:b w:val="1"/>
                <w:bCs w:val="1"/>
                <w:color w:val="auto"/>
              </w:rPr>
              <w:t>Shares</w:t>
            </w:r>
          </w:p>
        </w:tc>
        <w:tc>
          <w:tcPr>
            <w:tcW w:w="720" w:type="dxa"/>
            <w:vAlign w:val="bottom"/>
          </w:tcPr>
          <w:p>
            <w:pPr>
              <w:jc w:val="right"/>
              <w:ind w:right="209"/>
              <w:spacing w:after="0" w:line="105" w:lineRule="exact"/>
              <w:rPr>
                <w:sz w:val="20"/>
                <w:szCs w:val="20"/>
                <w:color w:val="auto"/>
              </w:rPr>
            </w:pPr>
            <w:r>
              <w:rPr>
                <w:rFonts w:ascii="Arial" w:cs="Arial" w:eastAsia="Arial" w:hAnsi="Arial"/>
                <w:sz w:val="10"/>
                <w:szCs w:val="10"/>
                <w:b w:val="1"/>
                <w:bCs w:val="1"/>
                <w:color w:val="auto"/>
              </w:rPr>
              <w:t>Amount</w:t>
            </w:r>
          </w:p>
        </w:tc>
        <w:tc>
          <w:tcPr>
            <w:tcW w:w="220" w:type="dxa"/>
            <w:vAlign w:val="bottom"/>
          </w:tcPr>
          <w:p>
            <w:pPr>
              <w:spacing w:after="0"/>
              <w:rPr>
                <w:sz w:val="9"/>
                <w:szCs w:val="9"/>
                <w:color w:val="auto"/>
              </w:rPr>
            </w:pPr>
          </w:p>
        </w:tc>
        <w:tc>
          <w:tcPr>
            <w:tcW w:w="1320" w:type="dxa"/>
            <w:vAlign w:val="bottom"/>
            <w:gridSpan w:val="3"/>
          </w:tcPr>
          <w:p>
            <w:pPr>
              <w:ind w:left="300"/>
              <w:spacing w:after="0" w:line="105" w:lineRule="exact"/>
              <w:rPr>
                <w:sz w:val="20"/>
                <w:szCs w:val="20"/>
                <w:color w:val="auto"/>
              </w:rPr>
            </w:pPr>
            <w:r>
              <w:rPr>
                <w:rFonts w:ascii="Arial" w:cs="Arial" w:eastAsia="Arial" w:hAnsi="Arial"/>
                <w:sz w:val="10"/>
                <w:szCs w:val="10"/>
                <w:b w:val="1"/>
                <w:bCs w:val="1"/>
                <w:color w:val="auto"/>
              </w:rPr>
              <w:t>Shares</w:t>
            </w:r>
          </w:p>
        </w:tc>
        <w:tc>
          <w:tcPr>
            <w:tcW w:w="720" w:type="dxa"/>
            <w:vAlign w:val="bottom"/>
          </w:tcPr>
          <w:p>
            <w:pPr>
              <w:jc w:val="right"/>
              <w:ind w:right="229"/>
              <w:spacing w:after="0" w:line="105" w:lineRule="exact"/>
              <w:rPr>
                <w:sz w:val="20"/>
                <w:szCs w:val="20"/>
                <w:color w:val="auto"/>
              </w:rPr>
            </w:pPr>
            <w:r>
              <w:rPr>
                <w:rFonts w:ascii="Arial" w:cs="Arial" w:eastAsia="Arial" w:hAnsi="Arial"/>
                <w:sz w:val="10"/>
                <w:szCs w:val="10"/>
                <w:b w:val="1"/>
                <w:bCs w:val="1"/>
                <w:color w:val="auto"/>
              </w:rPr>
              <w:t>Amount</w:t>
            </w:r>
          </w:p>
        </w:tc>
        <w:tc>
          <w:tcPr>
            <w:tcW w:w="220" w:type="dxa"/>
            <w:vAlign w:val="bottom"/>
          </w:tcPr>
          <w:p>
            <w:pPr>
              <w:spacing w:after="0"/>
              <w:rPr>
                <w:sz w:val="9"/>
                <w:szCs w:val="9"/>
                <w:color w:val="auto"/>
              </w:rPr>
            </w:pPr>
          </w:p>
        </w:tc>
        <w:tc>
          <w:tcPr>
            <w:tcW w:w="1300" w:type="dxa"/>
            <w:vAlign w:val="bottom"/>
            <w:gridSpan w:val="3"/>
          </w:tcPr>
          <w:p>
            <w:pPr>
              <w:ind w:left="300"/>
              <w:spacing w:after="0" w:line="105" w:lineRule="exact"/>
              <w:rPr>
                <w:sz w:val="20"/>
                <w:szCs w:val="20"/>
                <w:color w:val="auto"/>
              </w:rPr>
            </w:pPr>
            <w:r>
              <w:rPr>
                <w:rFonts w:ascii="Arial" w:cs="Arial" w:eastAsia="Arial" w:hAnsi="Arial"/>
                <w:sz w:val="10"/>
                <w:szCs w:val="10"/>
                <w:b w:val="1"/>
                <w:bCs w:val="1"/>
                <w:color w:val="auto"/>
              </w:rPr>
              <w:t>Shares</w:t>
            </w:r>
          </w:p>
        </w:tc>
        <w:tc>
          <w:tcPr>
            <w:tcW w:w="700" w:type="dxa"/>
            <w:vAlign w:val="bottom"/>
          </w:tcPr>
          <w:p>
            <w:pPr>
              <w:jc w:val="right"/>
              <w:ind w:right="209"/>
              <w:spacing w:after="0" w:line="105" w:lineRule="exact"/>
              <w:rPr>
                <w:sz w:val="20"/>
                <w:szCs w:val="20"/>
                <w:color w:val="auto"/>
              </w:rPr>
            </w:pPr>
            <w:r>
              <w:rPr>
                <w:rFonts w:ascii="Arial" w:cs="Arial" w:eastAsia="Arial" w:hAnsi="Arial"/>
                <w:sz w:val="10"/>
                <w:szCs w:val="10"/>
                <w:b w:val="1"/>
                <w:bCs w:val="1"/>
                <w:color w:val="auto"/>
              </w:rPr>
              <w:t>Amount</w:t>
            </w:r>
          </w:p>
        </w:tc>
        <w:tc>
          <w:tcPr>
            <w:tcW w:w="200" w:type="dxa"/>
            <w:vAlign w:val="bottom"/>
          </w:tcPr>
          <w:p>
            <w:pPr>
              <w:spacing w:after="0"/>
              <w:rPr>
                <w:sz w:val="9"/>
                <w:szCs w:val="9"/>
                <w:color w:val="auto"/>
              </w:rPr>
            </w:pPr>
          </w:p>
        </w:tc>
        <w:tc>
          <w:tcPr>
            <w:tcW w:w="1220" w:type="dxa"/>
            <w:vAlign w:val="bottom"/>
            <w:gridSpan w:val="3"/>
          </w:tcPr>
          <w:p>
            <w:pPr>
              <w:ind w:left="300"/>
              <w:spacing w:after="0" w:line="105" w:lineRule="exact"/>
              <w:rPr>
                <w:sz w:val="20"/>
                <w:szCs w:val="20"/>
                <w:color w:val="auto"/>
              </w:rPr>
            </w:pPr>
            <w:r>
              <w:rPr>
                <w:rFonts w:ascii="Arial" w:cs="Arial" w:eastAsia="Arial" w:hAnsi="Arial"/>
                <w:sz w:val="10"/>
                <w:szCs w:val="10"/>
                <w:b w:val="1"/>
                <w:bCs w:val="1"/>
                <w:color w:val="auto"/>
              </w:rPr>
              <w:t>Shares</w:t>
            </w:r>
          </w:p>
        </w:tc>
        <w:tc>
          <w:tcPr>
            <w:tcW w:w="740" w:type="dxa"/>
            <w:vAlign w:val="bottom"/>
          </w:tcPr>
          <w:p>
            <w:pPr>
              <w:jc w:val="right"/>
              <w:ind w:right="189"/>
              <w:spacing w:after="0" w:line="105" w:lineRule="exact"/>
              <w:rPr>
                <w:sz w:val="20"/>
                <w:szCs w:val="20"/>
                <w:color w:val="auto"/>
              </w:rPr>
            </w:pPr>
            <w:r>
              <w:rPr>
                <w:rFonts w:ascii="Arial" w:cs="Arial" w:eastAsia="Arial" w:hAnsi="Arial"/>
                <w:sz w:val="10"/>
                <w:szCs w:val="10"/>
                <w:b w:val="1"/>
                <w:bCs w:val="1"/>
                <w:color w:val="auto"/>
              </w:rPr>
              <w:t>Amount</w:t>
            </w:r>
          </w:p>
        </w:tc>
        <w:tc>
          <w:tcPr>
            <w:tcW w:w="120" w:type="dxa"/>
            <w:vAlign w:val="bottom"/>
            <w:gridSpan w:val="2"/>
          </w:tcPr>
          <w:p>
            <w:pPr>
              <w:spacing w:after="0"/>
              <w:rPr>
                <w:sz w:val="9"/>
                <w:szCs w:val="9"/>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2340" w:type="dxa"/>
            <w:vAlign w:val="bottom"/>
            <w:tcBorders>
              <w:top w:val="single" w:sz="8" w:color="CCEEFF"/>
            </w:tcBorders>
            <w:shd w:val="clear" w:color="auto" w:fill="CCEEFF"/>
          </w:tcPr>
          <w:p>
            <w:pPr>
              <w:spacing w:after="0" w:line="96" w:lineRule="exact"/>
              <w:rPr>
                <w:sz w:val="20"/>
                <w:szCs w:val="20"/>
                <w:color w:val="auto"/>
              </w:rPr>
            </w:pPr>
            <w:r>
              <w:rPr>
                <w:rFonts w:ascii="Arial" w:cs="Arial" w:eastAsia="Arial" w:hAnsi="Arial"/>
                <w:sz w:val="10"/>
                <w:szCs w:val="10"/>
                <w:b w:val="1"/>
                <w:bCs w:val="1"/>
                <w:color w:val="auto"/>
              </w:rPr>
              <w:t>Outstanding at January 1, 2016</w:t>
            </w:r>
          </w:p>
        </w:tc>
        <w:tc>
          <w:tcPr>
            <w:tcW w:w="900" w:type="dxa"/>
            <w:vAlign w:val="bottom"/>
            <w:tcBorders>
              <w:top w:val="single" w:sz="8" w:color="auto"/>
            </w:tcBorders>
            <w:shd w:val="clear" w:color="auto" w:fill="CCEEFF"/>
          </w:tcPr>
          <w:p>
            <w:pPr>
              <w:jc w:val="right"/>
              <w:spacing w:after="0" w:line="96" w:lineRule="exact"/>
              <w:rPr>
                <w:sz w:val="20"/>
                <w:szCs w:val="20"/>
                <w:color w:val="auto"/>
              </w:rPr>
            </w:pPr>
            <w:r>
              <w:rPr>
                <w:rFonts w:ascii="Arial" w:cs="Arial" w:eastAsia="Arial" w:hAnsi="Arial"/>
                <w:sz w:val="10"/>
                <w:szCs w:val="10"/>
                <w:color w:val="auto"/>
              </w:rPr>
              <w:t>318,140</w:t>
            </w:r>
          </w:p>
        </w:tc>
        <w:tc>
          <w:tcPr>
            <w:tcW w:w="220" w:type="dxa"/>
            <w:vAlign w:val="bottom"/>
            <w:tcBorders>
              <w:top w:val="single" w:sz="8" w:color="CCEEFF"/>
            </w:tcBorders>
            <w:shd w:val="clear" w:color="auto" w:fill="CCEEFF"/>
          </w:tcPr>
          <w:p>
            <w:pPr>
              <w:spacing w:after="0"/>
              <w:rPr>
                <w:sz w:val="8"/>
                <w:szCs w:val="8"/>
                <w:color w:val="auto"/>
              </w:rPr>
            </w:pPr>
          </w:p>
        </w:tc>
        <w:tc>
          <w:tcPr>
            <w:tcW w:w="180" w:type="dxa"/>
            <w:vAlign w:val="bottom"/>
            <w:tcBorders>
              <w:top w:val="single" w:sz="8" w:color="auto"/>
            </w:tcBorders>
            <w:shd w:val="clear" w:color="auto" w:fill="CCEEFF"/>
          </w:tcPr>
          <w:p>
            <w:pPr>
              <w:spacing w:after="0"/>
              <w:rPr>
                <w:sz w:val="8"/>
                <w:szCs w:val="8"/>
                <w:color w:val="auto"/>
              </w:rPr>
            </w:pPr>
          </w:p>
        </w:tc>
        <w:tc>
          <w:tcPr>
            <w:tcW w:w="720" w:type="dxa"/>
            <w:vAlign w:val="bottom"/>
            <w:tcBorders>
              <w:top w:val="single" w:sz="8" w:color="auto"/>
            </w:tcBorders>
            <w:shd w:val="clear" w:color="auto" w:fill="CCEEFF"/>
          </w:tcPr>
          <w:p>
            <w:pPr>
              <w:jc w:val="right"/>
              <w:spacing w:after="0" w:line="96" w:lineRule="exact"/>
              <w:rPr>
                <w:sz w:val="20"/>
                <w:szCs w:val="20"/>
                <w:color w:val="auto"/>
              </w:rPr>
            </w:pPr>
            <w:r>
              <w:rPr>
                <w:rFonts w:ascii="Arial" w:cs="Arial" w:eastAsia="Arial" w:hAnsi="Arial"/>
                <w:sz w:val="10"/>
                <w:szCs w:val="10"/>
                <w:color w:val="auto"/>
              </w:rPr>
              <w:t>10,708</w:t>
            </w:r>
          </w:p>
        </w:tc>
        <w:tc>
          <w:tcPr>
            <w:tcW w:w="220" w:type="dxa"/>
            <w:vAlign w:val="bottom"/>
            <w:tcBorders>
              <w:top w:val="single" w:sz="8" w:color="CCEEFF"/>
            </w:tcBorders>
            <w:shd w:val="clear" w:color="auto" w:fill="CCEEFF"/>
          </w:tcPr>
          <w:p>
            <w:pPr>
              <w:spacing w:after="0"/>
              <w:rPr>
                <w:sz w:val="8"/>
                <w:szCs w:val="8"/>
                <w:color w:val="auto"/>
              </w:rPr>
            </w:pPr>
          </w:p>
        </w:tc>
        <w:tc>
          <w:tcPr>
            <w:tcW w:w="900" w:type="dxa"/>
            <w:vAlign w:val="bottom"/>
            <w:tcBorders>
              <w:top w:val="single" w:sz="8" w:color="auto"/>
            </w:tcBorders>
            <w:shd w:val="clear" w:color="auto" w:fill="CCEEFF"/>
          </w:tcPr>
          <w:p>
            <w:pPr>
              <w:jc w:val="right"/>
              <w:spacing w:after="0" w:line="96" w:lineRule="exact"/>
              <w:rPr>
                <w:sz w:val="20"/>
                <w:szCs w:val="20"/>
                <w:color w:val="auto"/>
              </w:rPr>
            </w:pPr>
            <w:r>
              <w:rPr>
                <w:rFonts w:ascii="Arial" w:cs="Arial" w:eastAsia="Arial" w:hAnsi="Arial"/>
                <w:sz w:val="10"/>
                <w:szCs w:val="10"/>
                <w:color w:val="auto"/>
              </w:rPr>
              <w:t>589,174</w:t>
            </w:r>
          </w:p>
        </w:tc>
        <w:tc>
          <w:tcPr>
            <w:tcW w:w="240" w:type="dxa"/>
            <w:vAlign w:val="bottom"/>
            <w:tcBorders>
              <w:top w:val="single" w:sz="8" w:color="CCEEFF"/>
            </w:tcBorders>
            <w:shd w:val="clear" w:color="auto" w:fill="CCEEFF"/>
          </w:tcPr>
          <w:p>
            <w:pPr>
              <w:spacing w:after="0"/>
              <w:rPr>
                <w:sz w:val="8"/>
                <w:szCs w:val="8"/>
                <w:color w:val="auto"/>
              </w:rPr>
            </w:pPr>
          </w:p>
        </w:tc>
        <w:tc>
          <w:tcPr>
            <w:tcW w:w="180" w:type="dxa"/>
            <w:vAlign w:val="bottom"/>
            <w:tcBorders>
              <w:top w:val="single" w:sz="8" w:color="auto"/>
            </w:tcBorders>
            <w:shd w:val="clear" w:color="auto" w:fill="CCEEFF"/>
          </w:tcPr>
          <w:p>
            <w:pPr>
              <w:spacing w:after="0"/>
              <w:rPr>
                <w:sz w:val="8"/>
                <w:szCs w:val="8"/>
                <w:color w:val="auto"/>
              </w:rPr>
            </w:pPr>
          </w:p>
        </w:tc>
        <w:tc>
          <w:tcPr>
            <w:tcW w:w="720" w:type="dxa"/>
            <w:vAlign w:val="bottom"/>
            <w:tcBorders>
              <w:top w:val="single" w:sz="8" w:color="auto"/>
            </w:tcBorders>
            <w:shd w:val="clear" w:color="auto" w:fill="CCEEFF"/>
          </w:tcPr>
          <w:p>
            <w:pPr>
              <w:jc w:val="right"/>
              <w:spacing w:after="0" w:line="96" w:lineRule="exact"/>
              <w:rPr>
                <w:sz w:val="20"/>
                <w:szCs w:val="20"/>
                <w:color w:val="auto"/>
              </w:rPr>
            </w:pPr>
            <w:r>
              <w:rPr>
                <w:rFonts w:ascii="Arial" w:cs="Arial" w:eastAsia="Arial" w:hAnsi="Arial"/>
                <w:sz w:val="10"/>
                <w:szCs w:val="10"/>
                <w:color w:val="auto"/>
              </w:rPr>
              <w:t>16,242</w:t>
            </w:r>
          </w:p>
        </w:tc>
        <w:tc>
          <w:tcPr>
            <w:tcW w:w="220" w:type="dxa"/>
            <w:vAlign w:val="bottom"/>
            <w:tcBorders>
              <w:top w:val="single" w:sz="8" w:color="CCEEFF"/>
            </w:tcBorders>
            <w:shd w:val="clear" w:color="auto" w:fill="CCEEFF"/>
          </w:tcPr>
          <w:p>
            <w:pPr>
              <w:spacing w:after="0"/>
              <w:rPr>
                <w:sz w:val="8"/>
                <w:szCs w:val="8"/>
                <w:color w:val="auto"/>
              </w:rPr>
            </w:pPr>
          </w:p>
        </w:tc>
        <w:tc>
          <w:tcPr>
            <w:tcW w:w="900" w:type="dxa"/>
            <w:vAlign w:val="bottom"/>
            <w:tcBorders>
              <w:top w:val="single" w:sz="8" w:color="auto"/>
            </w:tcBorders>
            <w:shd w:val="clear" w:color="auto" w:fill="CCEEFF"/>
          </w:tcPr>
          <w:p>
            <w:pPr>
              <w:jc w:val="right"/>
              <w:spacing w:after="0" w:line="96" w:lineRule="exact"/>
              <w:rPr>
                <w:sz w:val="20"/>
                <w:szCs w:val="20"/>
                <w:color w:val="auto"/>
              </w:rPr>
            </w:pPr>
            <w:r>
              <w:rPr>
                <w:rFonts w:ascii="Arial" w:cs="Arial" w:eastAsia="Arial" w:hAnsi="Arial"/>
                <w:sz w:val="10"/>
                <w:szCs w:val="10"/>
                <w:color w:val="auto"/>
              </w:rPr>
              <w:t>2,103,620</w:t>
            </w:r>
          </w:p>
        </w:tc>
        <w:tc>
          <w:tcPr>
            <w:tcW w:w="220" w:type="dxa"/>
            <w:vAlign w:val="bottom"/>
            <w:tcBorders>
              <w:top w:val="single" w:sz="8" w:color="CCEEFF"/>
            </w:tcBorders>
            <w:shd w:val="clear" w:color="auto" w:fill="CCEEFF"/>
          </w:tcPr>
          <w:p>
            <w:pPr>
              <w:spacing w:after="0"/>
              <w:rPr>
                <w:sz w:val="8"/>
                <w:szCs w:val="8"/>
                <w:color w:val="auto"/>
              </w:rPr>
            </w:pPr>
          </w:p>
        </w:tc>
        <w:tc>
          <w:tcPr>
            <w:tcW w:w="180" w:type="dxa"/>
            <w:vAlign w:val="bottom"/>
            <w:tcBorders>
              <w:top w:val="single" w:sz="8" w:color="auto"/>
            </w:tcBorders>
            <w:shd w:val="clear" w:color="auto" w:fill="CCEEFF"/>
          </w:tcPr>
          <w:p>
            <w:pPr>
              <w:spacing w:after="0"/>
              <w:rPr>
                <w:sz w:val="8"/>
                <w:szCs w:val="8"/>
                <w:color w:val="auto"/>
              </w:rPr>
            </w:pPr>
          </w:p>
        </w:tc>
        <w:tc>
          <w:tcPr>
            <w:tcW w:w="700" w:type="dxa"/>
            <w:vAlign w:val="bottom"/>
            <w:tcBorders>
              <w:top w:val="single" w:sz="8" w:color="auto"/>
            </w:tcBorders>
            <w:shd w:val="clear" w:color="auto" w:fill="CCEEFF"/>
          </w:tcPr>
          <w:p>
            <w:pPr>
              <w:jc w:val="right"/>
              <w:spacing w:after="0" w:line="96" w:lineRule="exact"/>
              <w:rPr>
                <w:sz w:val="20"/>
                <w:szCs w:val="20"/>
                <w:color w:val="auto"/>
              </w:rPr>
            </w:pPr>
            <w:r>
              <w:rPr>
                <w:rFonts w:ascii="Arial" w:cs="Arial" w:eastAsia="Arial" w:hAnsi="Arial"/>
                <w:sz w:val="10"/>
                <w:szCs w:val="10"/>
                <w:color w:val="auto"/>
              </w:rPr>
              <w:t>46,447</w:t>
            </w:r>
          </w:p>
        </w:tc>
        <w:tc>
          <w:tcPr>
            <w:tcW w:w="200" w:type="dxa"/>
            <w:vAlign w:val="bottom"/>
            <w:tcBorders>
              <w:top w:val="single" w:sz="8" w:color="CCEEFF"/>
            </w:tcBorders>
            <w:shd w:val="clear" w:color="auto" w:fill="CCEEFF"/>
          </w:tcPr>
          <w:p>
            <w:pPr>
              <w:spacing w:after="0"/>
              <w:rPr>
                <w:sz w:val="8"/>
                <w:szCs w:val="8"/>
                <w:color w:val="auto"/>
              </w:rPr>
            </w:pPr>
          </w:p>
        </w:tc>
        <w:tc>
          <w:tcPr>
            <w:tcW w:w="880" w:type="dxa"/>
            <w:vAlign w:val="bottom"/>
            <w:tcBorders>
              <w:top w:val="single" w:sz="8" w:color="auto"/>
            </w:tcBorders>
            <w:shd w:val="clear" w:color="auto" w:fill="CCEEFF"/>
          </w:tcPr>
          <w:p>
            <w:pPr>
              <w:jc w:val="right"/>
              <w:spacing w:after="0" w:line="96" w:lineRule="exact"/>
              <w:rPr>
                <w:sz w:val="20"/>
                <w:szCs w:val="20"/>
                <w:color w:val="auto"/>
              </w:rPr>
            </w:pPr>
            <w:r>
              <w:rPr>
                <w:rFonts w:ascii="Arial" w:cs="Arial" w:eastAsia="Arial" w:hAnsi="Arial"/>
                <w:sz w:val="10"/>
                <w:szCs w:val="10"/>
                <w:color w:val="auto"/>
              </w:rPr>
              <w:t>3,010,934</w:t>
            </w:r>
          </w:p>
        </w:tc>
        <w:tc>
          <w:tcPr>
            <w:tcW w:w="220" w:type="dxa"/>
            <w:vAlign w:val="bottom"/>
            <w:tcBorders>
              <w:top w:val="single" w:sz="8" w:color="CCEEFF"/>
            </w:tcBorders>
            <w:shd w:val="clear" w:color="auto" w:fill="CCEEFF"/>
          </w:tcPr>
          <w:p>
            <w:pPr>
              <w:spacing w:after="0"/>
              <w:rPr>
                <w:sz w:val="8"/>
                <w:szCs w:val="8"/>
                <w:color w:val="auto"/>
              </w:rPr>
            </w:pPr>
          </w:p>
        </w:tc>
        <w:tc>
          <w:tcPr>
            <w:tcW w:w="120" w:type="dxa"/>
            <w:vAlign w:val="bottom"/>
            <w:tcBorders>
              <w:top w:val="single" w:sz="8" w:color="auto"/>
            </w:tcBorders>
            <w:shd w:val="clear" w:color="auto" w:fill="CCEEFF"/>
          </w:tcPr>
          <w:p>
            <w:pPr>
              <w:spacing w:after="0"/>
              <w:rPr>
                <w:sz w:val="8"/>
                <w:szCs w:val="8"/>
                <w:color w:val="auto"/>
              </w:rPr>
            </w:pPr>
          </w:p>
        </w:tc>
        <w:tc>
          <w:tcPr>
            <w:tcW w:w="740" w:type="dxa"/>
            <w:vAlign w:val="bottom"/>
            <w:tcBorders>
              <w:top w:val="single" w:sz="8" w:color="auto"/>
            </w:tcBorders>
            <w:shd w:val="clear" w:color="auto" w:fill="CCEEFF"/>
          </w:tcPr>
          <w:p>
            <w:pPr>
              <w:jc w:val="right"/>
              <w:spacing w:after="0" w:line="96" w:lineRule="exact"/>
              <w:rPr>
                <w:sz w:val="20"/>
                <w:szCs w:val="20"/>
                <w:color w:val="auto"/>
              </w:rPr>
            </w:pPr>
            <w:r>
              <w:rPr>
                <w:rFonts w:ascii="Arial" w:cs="Arial" w:eastAsia="Arial" w:hAnsi="Arial"/>
                <w:sz w:val="10"/>
                <w:szCs w:val="10"/>
                <w:color w:val="auto"/>
              </w:rPr>
              <w:t>73,397</w:t>
            </w:r>
          </w:p>
        </w:tc>
        <w:tc>
          <w:tcPr>
            <w:tcW w:w="20" w:type="dxa"/>
            <w:vAlign w:val="bottom"/>
            <w:tcBorders>
              <w:top w:val="single" w:sz="8" w:color="CCEEFF"/>
            </w:tcBorders>
            <w:shd w:val="clear" w:color="auto" w:fill="CCEEFF"/>
          </w:tcPr>
          <w:p>
            <w:pPr>
              <w:spacing w:after="0"/>
              <w:rPr>
                <w:sz w:val="8"/>
                <w:szCs w:val="8"/>
                <w:color w:val="auto"/>
              </w:rPr>
            </w:pPr>
          </w:p>
        </w:tc>
        <w:tc>
          <w:tcPr>
            <w:tcW w:w="100" w:type="dxa"/>
            <w:vAlign w:val="bottom"/>
            <w:tcBorders>
              <w:top w:val="single" w:sz="8" w:color="CCEEFF"/>
            </w:tcBorders>
            <w:shd w:val="clear" w:color="auto" w:fill="CCEEFF"/>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2340" w:type="dxa"/>
            <w:vAlign w:val="bottom"/>
          </w:tcPr>
          <w:p>
            <w:pPr>
              <w:spacing w:after="0" w:line="106" w:lineRule="exact"/>
              <w:rPr>
                <w:sz w:val="20"/>
                <w:szCs w:val="20"/>
                <w:color w:val="auto"/>
              </w:rPr>
            </w:pPr>
            <w:r>
              <w:rPr>
                <w:rFonts w:ascii="Arial" w:cs="Arial" w:eastAsia="Arial" w:hAnsi="Arial"/>
                <w:sz w:val="10"/>
                <w:szCs w:val="10"/>
                <w:color w:val="auto"/>
              </w:rPr>
              <w:t>Repurchase of common stock</w:t>
            </w:r>
          </w:p>
        </w:tc>
        <w:tc>
          <w:tcPr>
            <w:tcW w:w="11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80" w:type="dxa"/>
            <w:vAlign w:val="bottom"/>
          </w:tcPr>
          <w:p>
            <w:pPr>
              <w:spacing w:after="0"/>
              <w:rPr>
                <w:sz w:val="9"/>
                <w:szCs w:val="9"/>
                <w:color w:val="auto"/>
              </w:rPr>
            </w:pPr>
          </w:p>
        </w:tc>
        <w:tc>
          <w:tcPr>
            <w:tcW w:w="9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1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180" w:type="dxa"/>
            <w:vAlign w:val="bottom"/>
          </w:tcPr>
          <w:p>
            <w:pPr>
              <w:spacing w:after="0"/>
              <w:rPr>
                <w:sz w:val="9"/>
                <w:szCs w:val="9"/>
                <w:color w:val="auto"/>
              </w:rPr>
            </w:pPr>
          </w:p>
        </w:tc>
        <w:tc>
          <w:tcPr>
            <w:tcW w:w="9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0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180" w:type="dxa"/>
            <w:vAlign w:val="bottom"/>
          </w:tcPr>
          <w:p>
            <w:pPr>
              <w:spacing w:after="0"/>
              <w:rPr>
                <w:sz w:val="9"/>
                <w:szCs w:val="9"/>
                <w:color w:val="auto"/>
              </w:rPr>
            </w:pPr>
          </w:p>
        </w:tc>
        <w:tc>
          <w:tcPr>
            <w:tcW w:w="900" w:type="dxa"/>
            <w:vAlign w:val="bottom"/>
            <w:gridSpan w:val="2"/>
          </w:tcPr>
          <w:p>
            <w:pPr>
              <w:jc w:val="right"/>
              <w:ind w:right="200"/>
              <w:spacing w:after="0" w:line="106" w:lineRule="exact"/>
              <w:rPr>
                <w:sz w:val="20"/>
                <w:szCs w:val="20"/>
                <w:color w:val="auto"/>
              </w:rPr>
            </w:pPr>
            <w:r>
              <w:rPr>
                <w:rFonts w:ascii="Arial" w:cs="Arial" w:eastAsia="Arial" w:hAnsi="Arial"/>
                <w:sz w:val="10"/>
                <w:szCs w:val="10"/>
                <w:color w:val="auto"/>
              </w:rPr>
              <w:t>-</w:t>
            </w:r>
          </w:p>
        </w:tc>
        <w:tc>
          <w:tcPr>
            <w:tcW w:w="110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20" w:type="dxa"/>
            <w:vAlign w:val="bottom"/>
          </w:tcPr>
          <w:p>
            <w:pPr>
              <w:spacing w:after="0"/>
              <w:rPr>
                <w:sz w:val="9"/>
                <w:szCs w:val="9"/>
                <w:color w:val="auto"/>
              </w:rPr>
            </w:pPr>
          </w:p>
        </w:tc>
        <w:tc>
          <w:tcPr>
            <w:tcW w:w="76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w:t>
            </w: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2340" w:type="dxa"/>
            <w:vAlign w:val="bottom"/>
            <w:shd w:val="clear" w:color="auto" w:fill="CCEEFF"/>
          </w:tcPr>
          <w:p>
            <w:pPr>
              <w:spacing w:after="0" w:line="106" w:lineRule="exact"/>
              <w:rPr>
                <w:sz w:val="20"/>
                <w:szCs w:val="20"/>
                <w:color w:val="auto"/>
              </w:rPr>
            </w:pPr>
            <w:r>
              <w:rPr>
                <w:rFonts w:ascii="Arial" w:cs="Arial" w:eastAsia="Arial" w:hAnsi="Arial"/>
                <w:sz w:val="10"/>
                <w:szCs w:val="10"/>
                <w:color w:val="auto"/>
              </w:rPr>
              <w:t>Restricted stock issued – directors</w:t>
            </w:r>
          </w:p>
        </w:tc>
        <w:tc>
          <w:tcPr>
            <w:tcW w:w="112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80" w:type="dxa"/>
            <w:vAlign w:val="bottom"/>
            <w:shd w:val="clear" w:color="auto" w:fill="CCEEFF"/>
          </w:tcPr>
          <w:p>
            <w:pPr>
              <w:spacing w:after="0"/>
              <w:rPr>
                <w:sz w:val="9"/>
                <w:szCs w:val="9"/>
                <w:color w:val="auto"/>
              </w:rPr>
            </w:pPr>
          </w:p>
        </w:tc>
        <w:tc>
          <w:tcPr>
            <w:tcW w:w="94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140" w:type="dxa"/>
            <w:vAlign w:val="bottom"/>
            <w:gridSpan w:val="2"/>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180" w:type="dxa"/>
            <w:vAlign w:val="bottom"/>
            <w:shd w:val="clear" w:color="auto" w:fill="CCEEFF"/>
          </w:tcPr>
          <w:p>
            <w:pPr>
              <w:spacing w:after="0"/>
              <w:rPr>
                <w:sz w:val="9"/>
                <w:szCs w:val="9"/>
                <w:color w:val="auto"/>
              </w:rPr>
            </w:pPr>
          </w:p>
        </w:tc>
        <w:tc>
          <w:tcPr>
            <w:tcW w:w="94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120" w:type="dxa"/>
            <w:vAlign w:val="bottom"/>
            <w:gridSpan w:val="2"/>
            <w:shd w:val="clear" w:color="auto" w:fill="CCEEFF"/>
          </w:tcPr>
          <w:p>
            <w:pPr>
              <w:jc w:val="right"/>
              <w:ind w:right="180"/>
              <w:spacing w:after="0" w:line="106" w:lineRule="exact"/>
              <w:rPr>
                <w:sz w:val="20"/>
                <w:szCs w:val="20"/>
                <w:color w:val="auto"/>
              </w:rPr>
            </w:pPr>
            <w:r>
              <w:rPr>
                <w:rFonts w:ascii="Arial" w:cs="Arial" w:eastAsia="Arial" w:hAnsi="Arial"/>
                <w:sz w:val="10"/>
                <w:szCs w:val="10"/>
                <w:color w:val="auto"/>
              </w:rPr>
              <w:t>(57,000)</w:t>
            </w:r>
          </w:p>
        </w:tc>
        <w:tc>
          <w:tcPr>
            <w:tcW w:w="180" w:type="dxa"/>
            <w:vAlign w:val="bottom"/>
            <w:shd w:val="clear" w:color="auto" w:fill="CCEEFF"/>
          </w:tcPr>
          <w:p>
            <w:pPr>
              <w:spacing w:after="0"/>
              <w:rPr>
                <w:sz w:val="9"/>
                <w:szCs w:val="9"/>
                <w:color w:val="auto"/>
              </w:rPr>
            </w:pPr>
          </w:p>
        </w:tc>
        <w:tc>
          <w:tcPr>
            <w:tcW w:w="900" w:type="dxa"/>
            <w:vAlign w:val="bottom"/>
            <w:gridSpan w:val="2"/>
            <w:shd w:val="clear" w:color="auto" w:fill="CCEEFF"/>
          </w:tcPr>
          <w:p>
            <w:pPr>
              <w:jc w:val="right"/>
              <w:ind w:right="180"/>
              <w:spacing w:after="0" w:line="106" w:lineRule="exact"/>
              <w:rPr>
                <w:sz w:val="20"/>
                <w:szCs w:val="20"/>
                <w:color w:val="auto"/>
              </w:rPr>
            </w:pPr>
            <w:r>
              <w:rPr>
                <w:rFonts w:ascii="Arial" w:cs="Arial" w:eastAsia="Arial" w:hAnsi="Arial"/>
                <w:sz w:val="10"/>
                <w:szCs w:val="10"/>
                <w:color w:val="auto"/>
              </w:rPr>
              <w:t>(1,259)</w:t>
            </w:r>
          </w:p>
        </w:tc>
        <w:tc>
          <w:tcPr>
            <w:tcW w:w="1100" w:type="dxa"/>
            <w:vAlign w:val="bottom"/>
            <w:gridSpan w:val="2"/>
            <w:shd w:val="clear" w:color="auto" w:fill="CCEEFF"/>
          </w:tcPr>
          <w:p>
            <w:pPr>
              <w:jc w:val="right"/>
              <w:ind w:right="180"/>
              <w:spacing w:after="0" w:line="106" w:lineRule="exact"/>
              <w:rPr>
                <w:sz w:val="20"/>
                <w:szCs w:val="20"/>
                <w:color w:val="auto"/>
              </w:rPr>
            </w:pPr>
            <w:r>
              <w:rPr>
                <w:rFonts w:ascii="Arial" w:cs="Arial" w:eastAsia="Arial" w:hAnsi="Arial"/>
                <w:sz w:val="10"/>
                <w:szCs w:val="10"/>
                <w:color w:val="auto"/>
              </w:rPr>
              <w:t>(57,000)</w:t>
            </w:r>
          </w:p>
        </w:tc>
        <w:tc>
          <w:tcPr>
            <w:tcW w:w="120" w:type="dxa"/>
            <w:vAlign w:val="bottom"/>
            <w:shd w:val="clear" w:color="auto" w:fill="CCEEFF"/>
          </w:tcPr>
          <w:p>
            <w:pPr>
              <w:spacing w:after="0"/>
              <w:rPr>
                <w:sz w:val="9"/>
                <w:szCs w:val="9"/>
                <w:color w:val="auto"/>
              </w:rPr>
            </w:pPr>
          </w:p>
        </w:tc>
        <w:tc>
          <w:tcPr>
            <w:tcW w:w="860" w:type="dxa"/>
            <w:vAlign w:val="bottom"/>
            <w:gridSpan w:val="3"/>
            <w:shd w:val="clear" w:color="auto" w:fill="CCEEFF"/>
          </w:tcPr>
          <w:p>
            <w:pPr>
              <w:jc w:val="right"/>
              <w:ind w:right="80"/>
              <w:spacing w:after="0" w:line="106" w:lineRule="exact"/>
              <w:rPr>
                <w:sz w:val="20"/>
                <w:szCs w:val="20"/>
                <w:color w:val="auto"/>
              </w:rPr>
            </w:pPr>
            <w:r>
              <w:rPr>
                <w:rFonts w:ascii="Arial" w:cs="Arial" w:eastAsia="Arial" w:hAnsi="Arial"/>
                <w:sz w:val="10"/>
                <w:szCs w:val="10"/>
                <w:color w:val="auto"/>
              </w:rPr>
              <w:t>(1,259)</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2340" w:type="dxa"/>
            <w:vAlign w:val="bottom"/>
          </w:tcPr>
          <w:p>
            <w:pPr>
              <w:spacing w:after="0" w:line="106" w:lineRule="exact"/>
              <w:rPr>
                <w:sz w:val="20"/>
                <w:szCs w:val="20"/>
                <w:color w:val="auto"/>
              </w:rPr>
            </w:pPr>
            <w:r>
              <w:rPr>
                <w:rFonts w:ascii="Arial" w:cs="Arial" w:eastAsia="Arial" w:hAnsi="Arial"/>
                <w:sz w:val="10"/>
                <w:szCs w:val="10"/>
                <w:color w:val="auto"/>
              </w:rPr>
              <w:t>Exercised stock options - compensation plans</w:t>
            </w:r>
          </w:p>
        </w:tc>
        <w:tc>
          <w:tcPr>
            <w:tcW w:w="11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80" w:type="dxa"/>
            <w:vAlign w:val="bottom"/>
          </w:tcPr>
          <w:p>
            <w:pPr>
              <w:spacing w:after="0"/>
              <w:rPr>
                <w:sz w:val="9"/>
                <w:szCs w:val="9"/>
                <w:color w:val="auto"/>
              </w:rPr>
            </w:pPr>
          </w:p>
        </w:tc>
        <w:tc>
          <w:tcPr>
            <w:tcW w:w="9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1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180" w:type="dxa"/>
            <w:vAlign w:val="bottom"/>
          </w:tcPr>
          <w:p>
            <w:pPr>
              <w:spacing w:after="0"/>
              <w:rPr>
                <w:sz w:val="9"/>
                <w:szCs w:val="9"/>
                <w:color w:val="auto"/>
              </w:rPr>
            </w:pPr>
          </w:p>
        </w:tc>
        <w:tc>
          <w:tcPr>
            <w:tcW w:w="9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120" w:type="dxa"/>
            <w:vAlign w:val="bottom"/>
            <w:gridSpan w:val="2"/>
          </w:tcPr>
          <w:p>
            <w:pPr>
              <w:jc w:val="right"/>
              <w:ind w:right="180"/>
              <w:spacing w:after="0" w:line="106" w:lineRule="exact"/>
              <w:rPr>
                <w:sz w:val="20"/>
                <w:szCs w:val="20"/>
                <w:color w:val="auto"/>
              </w:rPr>
            </w:pPr>
            <w:r>
              <w:rPr>
                <w:rFonts w:ascii="Arial" w:cs="Arial" w:eastAsia="Arial" w:hAnsi="Arial"/>
                <w:sz w:val="10"/>
                <w:szCs w:val="10"/>
                <w:color w:val="auto"/>
              </w:rPr>
              <w:t>(68,785)</w:t>
            </w:r>
          </w:p>
        </w:tc>
        <w:tc>
          <w:tcPr>
            <w:tcW w:w="180" w:type="dxa"/>
            <w:vAlign w:val="bottom"/>
          </w:tcPr>
          <w:p>
            <w:pPr>
              <w:spacing w:after="0"/>
              <w:rPr>
                <w:sz w:val="9"/>
                <w:szCs w:val="9"/>
                <w:color w:val="auto"/>
              </w:rPr>
            </w:pPr>
          </w:p>
        </w:tc>
        <w:tc>
          <w:tcPr>
            <w:tcW w:w="900" w:type="dxa"/>
            <w:vAlign w:val="bottom"/>
            <w:gridSpan w:val="2"/>
          </w:tcPr>
          <w:p>
            <w:pPr>
              <w:jc w:val="right"/>
              <w:ind w:right="180"/>
              <w:spacing w:after="0" w:line="106" w:lineRule="exact"/>
              <w:rPr>
                <w:sz w:val="20"/>
                <w:szCs w:val="20"/>
                <w:color w:val="auto"/>
              </w:rPr>
            </w:pPr>
            <w:r>
              <w:rPr>
                <w:rFonts w:ascii="Arial" w:cs="Arial" w:eastAsia="Arial" w:hAnsi="Arial"/>
                <w:sz w:val="10"/>
                <w:szCs w:val="10"/>
                <w:color w:val="auto"/>
              </w:rPr>
              <w:t>(1,519)</w:t>
            </w:r>
          </w:p>
        </w:tc>
        <w:tc>
          <w:tcPr>
            <w:tcW w:w="1100" w:type="dxa"/>
            <w:vAlign w:val="bottom"/>
            <w:gridSpan w:val="2"/>
          </w:tcPr>
          <w:p>
            <w:pPr>
              <w:jc w:val="right"/>
              <w:ind w:right="180"/>
              <w:spacing w:after="0" w:line="106" w:lineRule="exact"/>
              <w:rPr>
                <w:sz w:val="20"/>
                <w:szCs w:val="20"/>
                <w:color w:val="auto"/>
              </w:rPr>
            </w:pPr>
            <w:r>
              <w:rPr>
                <w:rFonts w:ascii="Arial" w:cs="Arial" w:eastAsia="Arial" w:hAnsi="Arial"/>
                <w:sz w:val="10"/>
                <w:szCs w:val="10"/>
                <w:color w:val="auto"/>
              </w:rPr>
              <w:t>(68,785)</w:t>
            </w:r>
          </w:p>
        </w:tc>
        <w:tc>
          <w:tcPr>
            <w:tcW w:w="120" w:type="dxa"/>
            <w:vAlign w:val="bottom"/>
          </w:tcPr>
          <w:p>
            <w:pPr>
              <w:spacing w:after="0"/>
              <w:rPr>
                <w:sz w:val="9"/>
                <w:szCs w:val="9"/>
                <w:color w:val="auto"/>
              </w:rPr>
            </w:pPr>
          </w:p>
        </w:tc>
        <w:tc>
          <w:tcPr>
            <w:tcW w:w="860" w:type="dxa"/>
            <w:vAlign w:val="bottom"/>
            <w:gridSpan w:val="3"/>
          </w:tcPr>
          <w:p>
            <w:pPr>
              <w:jc w:val="right"/>
              <w:ind w:right="80"/>
              <w:spacing w:after="0" w:line="106" w:lineRule="exact"/>
              <w:rPr>
                <w:sz w:val="20"/>
                <w:szCs w:val="20"/>
                <w:color w:val="auto"/>
              </w:rPr>
            </w:pPr>
            <w:r>
              <w:rPr>
                <w:rFonts w:ascii="Arial" w:cs="Arial" w:eastAsia="Arial" w:hAnsi="Arial"/>
                <w:sz w:val="10"/>
                <w:szCs w:val="10"/>
                <w:color w:val="auto"/>
              </w:rPr>
              <w:t>(1,519)</w:t>
            </w:r>
          </w:p>
        </w:tc>
        <w:tc>
          <w:tcPr>
            <w:tcW w:w="0" w:type="dxa"/>
            <w:vAlign w:val="bottom"/>
          </w:tcPr>
          <w:p>
            <w:pPr>
              <w:spacing w:after="0"/>
              <w:rPr>
                <w:sz w:val="1"/>
                <w:szCs w:val="1"/>
                <w:color w:val="auto"/>
              </w:rPr>
            </w:pPr>
          </w:p>
        </w:tc>
      </w:tr>
      <w:tr>
        <w:trPr>
          <w:trHeight w:val="116"/>
        </w:trPr>
        <w:tc>
          <w:tcPr>
            <w:tcW w:w="20" w:type="dxa"/>
            <w:vAlign w:val="bottom"/>
          </w:tcPr>
          <w:p>
            <w:pPr>
              <w:spacing w:after="0"/>
              <w:rPr>
                <w:sz w:val="10"/>
                <w:szCs w:val="10"/>
                <w:color w:val="auto"/>
              </w:rPr>
            </w:pPr>
          </w:p>
        </w:tc>
        <w:tc>
          <w:tcPr>
            <w:tcW w:w="2340" w:type="dxa"/>
            <w:vAlign w:val="bottom"/>
            <w:shd w:val="clear" w:color="auto" w:fill="CCEEFF"/>
          </w:tcPr>
          <w:p>
            <w:pPr>
              <w:spacing w:after="0"/>
              <w:rPr>
                <w:sz w:val="20"/>
                <w:szCs w:val="20"/>
                <w:color w:val="auto"/>
              </w:rPr>
            </w:pPr>
            <w:r>
              <w:rPr>
                <w:rFonts w:ascii="Arial" w:cs="Arial" w:eastAsia="Arial" w:hAnsi="Arial"/>
                <w:sz w:val="10"/>
                <w:szCs w:val="10"/>
                <w:color w:val="auto"/>
              </w:rPr>
              <w:t>Restricted stock units – vested</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0"/>
                <w:szCs w:val="10"/>
                <w:color w:val="auto"/>
              </w:rPr>
              <w:t>-</w:t>
            </w:r>
          </w:p>
        </w:tc>
        <w:tc>
          <w:tcPr>
            <w:tcW w:w="180" w:type="dxa"/>
            <w:vAlign w:val="bottom"/>
            <w:shd w:val="clear" w:color="auto" w:fill="CCEEFF"/>
          </w:tcPr>
          <w:p>
            <w:pPr>
              <w:spacing w:after="0"/>
              <w:rPr>
                <w:sz w:val="10"/>
                <w:szCs w:val="10"/>
                <w:color w:val="auto"/>
              </w:rPr>
            </w:pP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0"/>
                <w:szCs w:val="10"/>
                <w:color w:val="auto"/>
              </w:rPr>
              <w:t>-</w:t>
            </w: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0"/>
                <w:szCs w:val="10"/>
                <w:color w:val="auto"/>
              </w:rPr>
              <w:t>-</w:t>
            </w:r>
          </w:p>
        </w:tc>
        <w:tc>
          <w:tcPr>
            <w:tcW w:w="180" w:type="dxa"/>
            <w:vAlign w:val="bottom"/>
            <w:shd w:val="clear" w:color="auto" w:fill="CCEEFF"/>
          </w:tcPr>
          <w:p>
            <w:pPr>
              <w:spacing w:after="0"/>
              <w:rPr>
                <w:sz w:val="10"/>
                <w:szCs w:val="10"/>
                <w:color w:val="auto"/>
              </w:rPr>
            </w:pP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0"/>
                <w:szCs w:val="10"/>
                <w:color w:val="auto"/>
              </w:rPr>
              <w:t>-</w:t>
            </w:r>
          </w:p>
        </w:tc>
        <w:tc>
          <w:tcPr>
            <w:tcW w:w="1120" w:type="dxa"/>
            <w:vAlign w:val="bottom"/>
            <w:gridSpan w:val="2"/>
            <w:shd w:val="clear" w:color="auto" w:fill="CCEEFF"/>
          </w:tcPr>
          <w:p>
            <w:pPr>
              <w:jc w:val="right"/>
              <w:ind w:right="180"/>
              <w:spacing w:after="0"/>
              <w:rPr>
                <w:sz w:val="20"/>
                <w:szCs w:val="20"/>
                <w:color w:val="auto"/>
              </w:rPr>
            </w:pPr>
            <w:r>
              <w:rPr>
                <w:rFonts w:ascii="Arial" w:cs="Arial" w:eastAsia="Arial" w:hAnsi="Arial"/>
                <w:sz w:val="10"/>
                <w:szCs w:val="10"/>
                <w:color w:val="auto"/>
              </w:rPr>
              <w:t>(65,358)</w:t>
            </w:r>
          </w:p>
        </w:tc>
        <w:tc>
          <w:tcPr>
            <w:tcW w:w="180" w:type="dxa"/>
            <w:vAlign w:val="bottom"/>
            <w:shd w:val="clear" w:color="auto" w:fill="CCEEFF"/>
          </w:tcPr>
          <w:p>
            <w:pPr>
              <w:spacing w:after="0"/>
              <w:rPr>
                <w:sz w:val="10"/>
                <w:szCs w:val="10"/>
                <w:color w:val="auto"/>
              </w:rPr>
            </w:pPr>
          </w:p>
        </w:tc>
        <w:tc>
          <w:tcPr>
            <w:tcW w:w="900" w:type="dxa"/>
            <w:vAlign w:val="bottom"/>
            <w:gridSpan w:val="2"/>
            <w:shd w:val="clear" w:color="auto" w:fill="CCEEFF"/>
          </w:tcPr>
          <w:p>
            <w:pPr>
              <w:jc w:val="right"/>
              <w:ind w:right="180"/>
              <w:spacing w:after="0"/>
              <w:rPr>
                <w:sz w:val="20"/>
                <w:szCs w:val="20"/>
                <w:color w:val="auto"/>
              </w:rPr>
            </w:pPr>
            <w:r>
              <w:rPr>
                <w:rFonts w:ascii="Arial" w:cs="Arial" w:eastAsia="Arial" w:hAnsi="Arial"/>
                <w:sz w:val="10"/>
                <w:szCs w:val="10"/>
                <w:color w:val="auto"/>
              </w:rPr>
              <w:t>(1,443)</w:t>
            </w:r>
          </w:p>
        </w:tc>
        <w:tc>
          <w:tcPr>
            <w:tcW w:w="1100" w:type="dxa"/>
            <w:vAlign w:val="bottom"/>
            <w:gridSpan w:val="2"/>
            <w:shd w:val="clear" w:color="auto" w:fill="CCEEFF"/>
          </w:tcPr>
          <w:p>
            <w:pPr>
              <w:jc w:val="right"/>
              <w:ind w:right="180"/>
              <w:spacing w:after="0"/>
              <w:rPr>
                <w:sz w:val="20"/>
                <w:szCs w:val="20"/>
                <w:color w:val="auto"/>
              </w:rPr>
            </w:pPr>
            <w:r>
              <w:rPr>
                <w:rFonts w:ascii="Arial" w:cs="Arial" w:eastAsia="Arial" w:hAnsi="Arial"/>
                <w:sz w:val="10"/>
                <w:szCs w:val="10"/>
                <w:color w:val="auto"/>
              </w:rPr>
              <w:t>(65,358)</w:t>
            </w:r>
          </w:p>
        </w:tc>
        <w:tc>
          <w:tcPr>
            <w:tcW w:w="120" w:type="dxa"/>
            <w:vAlign w:val="bottom"/>
            <w:shd w:val="clear" w:color="auto" w:fill="CCEEFF"/>
          </w:tcPr>
          <w:p>
            <w:pPr>
              <w:spacing w:after="0"/>
              <w:rPr>
                <w:sz w:val="10"/>
                <w:szCs w:val="10"/>
                <w:color w:val="auto"/>
              </w:rPr>
            </w:pPr>
          </w:p>
        </w:tc>
        <w:tc>
          <w:tcPr>
            <w:tcW w:w="860" w:type="dxa"/>
            <w:vAlign w:val="bottom"/>
            <w:gridSpan w:val="3"/>
            <w:shd w:val="clear" w:color="auto" w:fill="CCEEFF"/>
          </w:tcPr>
          <w:p>
            <w:pPr>
              <w:jc w:val="right"/>
              <w:ind w:right="80"/>
              <w:spacing w:after="0"/>
              <w:rPr>
                <w:sz w:val="20"/>
                <w:szCs w:val="20"/>
                <w:color w:val="auto"/>
              </w:rPr>
            </w:pPr>
            <w:r>
              <w:rPr>
                <w:rFonts w:ascii="Arial" w:cs="Arial" w:eastAsia="Arial" w:hAnsi="Arial"/>
                <w:sz w:val="10"/>
                <w:szCs w:val="10"/>
                <w:color w:val="auto"/>
              </w:rPr>
              <w:t>(1,443)</w:t>
            </w: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2340" w:type="dxa"/>
            <w:vAlign w:val="bottom"/>
            <w:tcBorders>
              <w:bottom w:val="single" w:sz="8" w:color="CCEEFF"/>
            </w:tcBorders>
          </w:tcPr>
          <w:p>
            <w:pPr>
              <w:spacing w:after="0" w:line="96" w:lineRule="exact"/>
              <w:rPr>
                <w:sz w:val="20"/>
                <w:szCs w:val="20"/>
                <w:color w:val="auto"/>
              </w:rPr>
            </w:pPr>
            <w:r>
              <w:rPr>
                <w:rFonts w:ascii="Arial" w:cs="Arial" w:eastAsia="Arial" w:hAnsi="Arial"/>
                <w:sz w:val="10"/>
                <w:szCs w:val="10"/>
                <w:b w:val="1"/>
                <w:bCs w:val="1"/>
                <w:color w:val="auto"/>
              </w:rPr>
              <w:t>Outstanding at December 31, 2016</w:t>
            </w:r>
          </w:p>
        </w:tc>
        <w:tc>
          <w:tcPr>
            <w:tcW w:w="900" w:type="dxa"/>
            <w:vAlign w:val="bottom"/>
            <w:tcBorders>
              <w:top w:val="single" w:sz="8" w:color="auto"/>
              <w:bottom w:val="single" w:sz="8" w:color="auto"/>
            </w:tcBorders>
          </w:tcPr>
          <w:p>
            <w:pPr>
              <w:jc w:val="right"/>
              <w:spacing w:after="0" w:line="96" w:lineRule="exact"/>
              <w:rPr>
                <w:sz w:val="20"/>
                <w:szCs w:val="20"/>
                <w:color w:val="auto"/>
              </w:rPr>
            </w:pPr>
            <w:r>
              <w:rPr>
                <w:rFonts w:ascii="Arial" w:cs="Arial" w:eastAsia="Arial" w:hAnsi="Arial"/>
                <w:sz w:val="10"/>
                <w:szCs w:val="10"/>
                <w:b w:val="1"/>
                <w:bCs w:val="1"/>
                <w:color w:val="auto"/>
              </w:rPr>
              <w:t>318,140</w:t>
            </w:r>
          </w:p>
        </w:tc>
        <w:tc>
          <w:tcPr>
            <w:tcW w:w="220" w:type="dxa"/>
            <w:vAlign w:val="bottom"/>
            <w:tcBorders>
              <w:bottom w:val="single" w:sz="8" w:color="CCEEFF"/>
            </w:tcBorders>
          </w:tcPr>
          <w:p>
            <w:pPr>
              <w:spacing w:after="0"/>
              <w:rPr>
                <w:sz w:val="8"/>
                <w:szCs w:val="8"/>
                <w:color w:val="auto"/>
              </w:rPr>
            </w:pPr>
          </w:p>
        </w:tc>
        <w:tc>
          <w:tcPr>
            <w:tcW w:w="180" w:type="dxa"/>
            <w:vAlign w:val="bottom"/>
            <w:tcBorders>
              <w:top w:val="single" w:sz="8" w:color="auto"/>
              <w:bottom w:val="single" w:sz="8" w:color="auto"/>
            </w:tcBorders>
          </w:tcPr>
          <w:p>
            <w:pPr>
              <w:spacing w:after="0"/>
              <w:rPr>
                <w:sz w:val="8"/>
                <w:szCs w:val="8"/>
                <w:color w:val="auto"/>
              </w:rPr>
            </w:pPr>
          </w:p>
        </w:tc>
        <w:tc>
          <w:tcPr>
            <w:tcW w:w="720" w:type="dxa"/>
            <w:vAlign w:val="bottom"/>
            <w:tcBorders>
              <w:top w:val="single" w:sz="8" w:color="auto"/>
              <w:bottom w:val="single" w:sz="8" w:color="auto"/>
            </w:tcBorders>
          </w:tcPr>
          <w:p>
            <w:pPr>
              <w:jc w:val="right"/>
              <w:spacing w:after="0" w:line="96" w:lineRule="exact"/>
              <w:rPr>
                <w:sz w:val="20"/>
                <w:szCs w:val="20"/>
                <w:color w:val="auto"/>
              </w:rPr>
            </w:pPr>
            <w:r>
              <w:rPr>
                <w:rFonts w:ascii="Arial" w:cs="Arial" w:eastAsia="Arial" w:hAnsi="Arial"/>
                <w:sz w:val="10"/>
                <w:szCs w:val="10"/>
                <w:b w:val="1"/>
                <w:bCs w:val="1"/>
                <w:color w:val="auto"/>
              </w:rPr>
              <w:t>10,708</w:t>
            </w:r>
          </w:p>
        </w:tc>
        <w:tc>
          <w:tcPr>
            <w:tcW w:w="220" w:type="dxa"/>
            <w:vAlign w:val="bottom"/>
            <w:tcBorders>
              <w:bottom w:val="single" w:sz="8" w:color="CCEEFF"/>
            </w:tcBorders>
          </w:tcPr>
          <w:p>
            <w:pPr>
              <w:spacing w:after="0"/>
              <w:rPr>
                <w:sz w:val="8"/>
                <w:szCs w:val="8"/>
                <w:color w:val="auto"/>
              </w:rPr>
            </w:pPr>
          </w:p>
        </w:tc>
        <w:tc>
          <w:tcPr>
            <w:tcW w:w="900" w:type="dxa"/>
            <w:vAlign w:val="bottom"/>
            <w:tcBorders>
              <w:top w:val="single" w:sz="8" w:color="auto"/>
              <w:bottom w:val="single" w:sz="8" w:color="auto"/>
            </w:tcBorders>
          </w:tcPr>
          <w:p>
            <w:pPr>
              <w:jc w:val="right"/>
              <w:spacing w:after="0" w:line="96" w:lineRule="exact"/>
              <w:rPr>
                <w:sz w:val="20"/>
                <w:szCs w:val="20"/>
                <w:color w:val="auto"/>
              </w:rPr>
            </w:pPr>
            <w:r>
              <w:rPr>
                <w:rFonts w:ascii="Arial" w:cs="Arial" w:eastAsia="Arial" w:hAnsi="Arial"/>
                <w:sz w:val="10"/>
                <w:szCs w:val="10"/>
                <w:b w:val="1"/>
                <w:bCs w:val="1"/>
                <w:color w:val="auto"/>
              </w:rPr>
              <w:t>589,174</w:t>
            </w:r>
          </w:p>
        </w:tc>
        <w:tc>
          <w:tcPr>
            <w:tcW w:w="240" w:type="dxa"/>
            <w:vAlign w:val="bottom"/>
            <w:tcBorders>
              <w:bottom w:val="single" w:sz="8" w:color="CCEEFF"/>
            </w:tcBorders>
          </w:tcPr>
          <w:p>
            <w:pPr>
              <w:spacing w:after="0"/>
              <w:rPr>
                <w:sz w:val="8"/>
                <w:szCs w:val="8"/>
                <w:color w:val="auto"/>
              </w:rPr>
            </w:pPr>
          </w:p>
        </w:tc>
        <w:tc>
          <w:tcPr>
            <w:tcW w:w="180" w:type="dxa"/>
            <w:vAlign w:val="bottom"/>
            <w:tcBorders>
              <w:top w:val="single" w:sz="8" w:color="auto"/>
              <w:bottom w:val="single" w:sz="8" w:color="auto"/>
            </w:tcBorders>
          </w:tcPr>
          <w:p>
            <w:pPr>
              <w:spacing w:after="0"/>
              <w:rPr>
                <w:sz w:val="8"/>
                <w:szCs w:val="8"/>
                <w:color w:val="auto"/>
              </w:rPr>
            </w:pPr>
          </w:p>
        </w:tc>
        <w:tc>
          <w:tcPr>
            <w:tcW w:w="720" w:type="dxa"/>
            <w:vAlign w:val="bottom"/>
            <w:tcBorders>
              <w:top w:val="single" w:sz="8" w:color="auto"/>
              <w:bottom w:val="single" w:sz="8" w:color="auto"/>
            </w:tcBorders>
          </w:tcPr>
          <w:p>
            <w:pPr>
              <w:jc w:val="right"/>
              <w:spacing w:after="0" w:line="96" w:lineRule="exact"/>
              <w:rPr>
                <w:sz w:val="20"/>
                <w:szCs w:val="20"/>
                <w:color w:val="auto"/>
              </w:rPr>
            </w:pPr>
            <w:r>
              <w:rPr>
                <w:rFonts w:ascii="Arial" w:cs="Arial" w:eastAsia="Arial" w:hAnsi="Arial"/>
                <w:sz w:val="10"/>
                <w:szCs w:val="10"/>
                <w:b w:val="1"/>
                <w:bCs w:val="1"/>
                <w:color w:val="auto"/>
              </w:rPr>
              <w:t>16,242</w:t>
            </w:r>
          </w:p>
        </w:tc>
        <w:tc>
          <w:tcPr>
            <w:tcW w:w="220" w:type="dxa"/>
            <w:vAlign w:val="bottom"/>
            <w:tcBorders>
              <w:bottom w:val="single" w:sz="8" w:color="CCEEFF"/>
            </w:tcBorders>
          </w:tcPr>
          <w:p>
            <w:pPr>
              <w:spacing w:after="0"/>
              <w:rPr>
                <w:sz w:val="8"/>
                <w:szCs w:val="8"/>
                <w:color w:val="auto"/>
              </w:rPr>
            </w:pPr>
          </w:p>
        </w:tc>
        <w:tc>
          <w:tcPr>
            <w:tcW w:w="900" w:type="dxa"/>
            <w:vAlign w:val="bottom"/>
            <w:tcBorders>
              <w:top w:val="single" w:sz="8" w:color="auto"/>
              <w:bottom w:val="single" w:sz="8" w:color="auto"/>
            </w:tcBorders>
          </w:tcPr>
          <w:p>
            <w:pPr>
              <w:jc w:val="right"/>
              <w:spacing w:after="0" w:line="96" w:lineRule="exact"/>
              <w:rPr>
                <w:sz w:val="20"/>
                <w:szCs w:val="20"/>
                <w:color w:val="auto"/>
              </w:rPr>
            </w:pPr>
            <w:r>
              <w:rPr>
                <w:rFonts w:ascii="Arial" w:cs="Arial" w:eastAsia="Arial" w:hAnsi="Arial"/>
                <w:sz w:val="10"/>
                <w:szCs w:val="10"/>
                <w:b w:val="1"/>
                <w:bCs w:val="1"/>
                <w:color w:val="auto"/>
              </w:rPr>
              <w:t>1,912,477</w:t>
            </w:r>
          </w:p>
        </w:tc>
        <w:tc>
          <w:tcPr>
            <w:tcW w:w="220" w:type="dxa"/>
            <w:vAlign w:val="bottom"/>
            <w:tcBorders>
              <w:bottom w:val="single" w:sz="8" w:color="CCEEFF"/>
            </w:tcBorders>
          </w:tcPr>
          <w:p>
            <w:pPr>
              <w:spacing w:after="0"/>
              <w:rPr>
                <w:sz w:val="8"/>
                <w:szCs w:val="8"/>
                <w:color w:val="auto"/>
              </w:rPr>
            </w:pPr>
          </w:p>
        </w:tc>
        <w:tc>
          <w:tcPr>
            <w:tcW w:w="180" w:type="dxa"/>
            <w:vAlign w:val="bottom"/>
            <w:tcBorders>
              <w:top w:val="single" w:sz="8" w:color="auto"/>
              <w:bottom w:val="single" w:sz="8" w:color="auto"/>
            </w:tcBorders>
          </w:tcPr>
          <w:p>
            <w:pPr>
              <w:spacing w:after="0"/>
              <w:rPr>
                <w:sz w:val="8"/>
                <w:szCs w:val="8"/>
                <w:color w:val="auto"/>
              </w:rPr>
            </w:pPr>
          </w:p>
        </w:tc>
        <w:tc>
          <w:tcPr>
            <w:tcW w:w="700" w:type="dxa"/>
            <w:vAlign w:val="bottom"/>
            <w:tcBorders>
              <w:top w:val="single" w:sz="8" w:color="auto"/>
              <w:bottom w:val="single" w:sz="8" w:color="auto"/>
            </w:tcBorders>
          </w:tcPr>
          <w:p>
            <w:pPr>
              <w:jc w:val="right"/>
              <w:spacing w:after="0" w:line="96" w:lineRule="exact"/>
              <w:rPr>
                <w:sz w:val="20"/>
                <w:szCs w:val="20"/>
                <w:color w:val="auto"/>
              </w:rPr>
            </w:pPr>
            <w:r>
              <w:rPr>
                <w:rFonts w:ascii="Arial" w:cs="Arial" w:eastAsia="Arial" w:hAnsi="Arial"/>
                <w:sz w:val="10"/>
                <w:szCs w:val="10"/>
                <w:b w:val="1"/>
                <w:bCs w:val="1"/>
                <w:color w:val="auto"/>
              </w:rPr>
              <w:t>42,226</w:t>
            </w:r>
          </w:p>
        </w:tc>
        <w:tc>
          <w:tcPr>
            <w:tcW w:w="200" w:type="dxa"/>
            <w:vAlign w:val="bottom"/>
            <w:tcBorders>
              <w:bottom w:val="single" w:sz="8" w:color="CCEEFF"/>
            </w:tcBorders>
          </w:tcPr>
          <w:p>
            <w:pPr>
              <w:spacing w:after="0"/>
              <w:rPr>
                <w:sz w:val="8"/>
                <w:szCs w:val="8"/>
                <w:color w:val="auto"/>
              </w:rPr>
            </w:pPr>
          </w:p>
        </w:tc>
        <w:tc>
          <w:tcPr>
            <w:tcW w:w="880" w:type="dxa"/>
            <w:vAlign w:val="bottom"/>
            <w:tcBorders>
              <w:top w:val="single" w:sz="8" w:color="auto"/>
              <w:bottom w:val="single" w:sz="8" w:color="auto"/>
            </w:tcBorders>
          </w:tcPr>
          <w:p>
            <w:pPr>
              <w:jc w:val="right"/>
              <w:spacing w:after="0" w:line="96" w:lineRule="exact"/>
              <w:rPr>
                <w:sz w:val="20"/>
                <w:szCs w:val="20"/>
                <w:color w:val="auto"/>
              </w:rPr>
            </w:pPr>
            <w:r>
              <w:rPr>
                <w:rFonts w:ascii="Arial" w:cs="Arial" w:eastAsia="Arial" w:hAnsi="Arial"/>
                <w:sz w:val="10"/>
                <w:szCs w:val="10"/>
                <w:b w:val="1"/>
                <w:bCs w:val="1"/>
                <w:color w:val="auto"/>
              </w:rPr>
              <w:t>2,819,791</w:t>
            </w:r>
          </w:p>
        </w:tc>
        <w:tc>
          <w:tcPr>
            <w:tcW w:w="220" w:type="dxa"/>
            <w:vAlign w:val="bottom"/>
            <w:tcBorders>
              <w:bottom w:val="single" w:sz="8" w:color="CCEEFF"/>
            </w:tcBorders>
          </w:tcPr>
          <w:p>
            <w:pPr>
              <w:spacing w:after="0"/>
              <w:rPr>
                <w:sz w:val="8"/>
                <w:szCs w:val="8"/>
                <w:color w:val="auto"/>
              </w:rPr>
            </w:pPr>
          </w:p>
        </w:tc>
        <w:tc>
          <w:tcPr>
            <w:tcW w:w="120" w:type="dxa"/>
            <w:vAlign w:val="bottom"/>
            <w:tcBorders>
              <w:top w:val="single" w:sz="8" w:color="auto"/>
              <w:bottom w:val="single" w:sz="8" w:color="auto"/>
            </w:tcBorders>
          </w:tcPr>
          <w:p>
            <w:pPr>
              <w:spacing w:after="0"/>
              <w:rPr>
                <w:sz w:val="8"/>
                <w:szCs w:val="8"/>
                <w:color w:val="auto"/>
              </w:rPr>
            </w:pPr>
          </w:p>
        </w:tc>
        <w:tc>
          <w:tcPr>
            <w:tcW w:w="740" w:type="dxa"/>
            <w:vAlign w:val="bottom"/>
            <w:tcBorders>
              <w:top w:val="single" w:sz="8" w:color="auto"/>
              <w:bottom w:val="single" w:sz="8" w:color="auto"/>
            </w:tcBorders>
          </w:tcPr>
          <w:p>
            <w:pPr>
              <w:jc w:val="right"/>
              <w:spacing w:after="0" w:line="96" w:lineRule="exact"/>
              <w:rPr>
                <w:sz w:val="20"/>
                <w:szCs w:val="20"/>
                <w:color w:val="auto"/>
              </w:rPr>
            </w:pPr>
            <w:r>
              <w:rPr>
                <w:rFonts w:ascii="Arial" w:cs="Arial" w:eastAsia="Arial" w:hAnsi="Arial"/>
                <w:sz w:val="10"/>
                <w:szCs w:val="10"/>
                <w:b w:val="1"/>
                <w:bCs w:val="1"/>
                <w:color w:val="auto"/>
              </w:rPr>
              <w:t>69,176</w:t>
            </w:r>
          </w:p>
        </w:tc>
        <w:tc>
          <w:tcPr>
            <w:tcW w:w="20" w:type="dxa"/>
            <w:vAlign w:val="bottom"/>
            <w:tcBorders>
              <w:bottom w:val="single" w:sz="8" w:color="CCEEFF"/>
            </w:tcBorders>
          </w:tcPr>
          <w:p>
            <w:pPr>
              <w:spacing w:after="0"/>
              <w:rPr>
                <w:sz w:val="8"/>
                <w:szCs w:val="8"/>
                <w:color w:val="auto"/>
              </w:rPr>
            </w:pPr>
          </w:p>
        </w:tc>
        <w:tc>
          <w:tcPr>
            <w:tcW w:w="100" w:type="dxa"/>
            <w:vAlign w:val="bottom"/>
            <w:tcBorders>
              <w:bottom w:val="single" w:sz="8" w:color="CCEEFF"/>
            </w:tcBorders>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20" w:type="dxa"/>
            <w:vAlign w:val="bottom"/>
            <w:vMerge w:val="restart"/>
          </w:tcPr>
          <w:p>
            <w:pPr>
              <w:spacing w:after="0"/>
              <w:rPr>
                <w:sz w:val="8"/>
                <w:szCs w:val="8"/>
                <w:color w:val="auto"/>
              </w:rPr>
            </w:pPr>
          </w:p>
        </w:tc>
        <w:tc>
          <w:tcPr>
            <w:tcW w:w="2340" w:type="dxa"/>
            <w:vAlign w:val="bottom"/>
            <w:shd w:val="clear" w:color="auto" w:fill="CCEEFF"/>
          </w:tcPr>
          <w:p>
            <w:pPr>
              <w:spacing w:after="0"/>
              <w:rPr>
                <w:sz w:val="8"/>
                <w:szCs w:val="8"/>
                <w:color w:val="auto"/>
              </w:rPr>
            </w:pPr>
          </w:p>
        </w:tc>
        <w:tc>
          <w:tcPr>
            <w:tcW w:w="90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180" w:type="dxa"/>
            <w:vAlign w:val="bottom"/>
            <w:shd w:val="clear" w:color="auto" w:fill="CCEEFF"/>
          </w:tcPr>
          <w:p>
            <w:pPr>
              <w:spacing w:after="0"/>
              <w:rPr>
                <w:sz w:val="8"/>
                <w:szCs w:val="8"/>
                <w:color w:val="auto"/>
              </w:rPr>
            </w:pPr>
          </w:p>
        </w:tc>
        <w:tc>
          <w:tcPr>
            <w:tcW w:w="72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900" w:type="dxa"/>
            <w:vAlign w:val="bottom"/>
            <w:shd w:val="clear" w:color="auto" w:fill="CCEEFF"/>
          </w:tcPr>
          <w:p>
            <w:pPr>
              <w:spacing w:after="0"/>
              <w:rPr>
                <w:sz w:val="8"/>
                <w:szCs w:val="8"/>
                <w:color w:val="auto"/>
              </w:rPr>
            </w:pPr>
          </w:p>
        </w:tc>
        <w:tc>
          <w:tcPr>
            <w:tcW w:w="240" w:type="dxa"/>
            <w:vAlign w:val="bottom"/>
            <w:shd w:val="clear" w:color="auto" w:fill="CCEEFF"/>
          </w:tcPr>
          <w:p>
            <w:pPr>
              <w:spacing w:after="0"/>
              <w:rPr>
                <w:sz w:val="8"/>
                <w:szCs w:val="8"/>
                <w:color w:val="auto"/>
              </w:rPr>
            </w:pPr>
          </w:p>
        </w:tc>
        <w:tc>
          <w:tcPr>
            <w:tcW w:w="180" w:type="dxa"/>
            <w:vAlign w:val="bottom"/>
            <w:shd w:val="clear" w:color="auto" w:fill="CCEEFF"/>
          </w:tcPr>
          <w:p>
            <w:pPr>
              <w:spacing w:after="0"/>
              <w:rPr>
                <w:sz w:val="8"/>
                <w:szCs w:val="8"/>
                <w:color w:val="auto"/>
              </w:rPr>
            </w:pPr>
          </w:p>
        </w:tc>
        <w:tc>
          <w:tcPr>
            <w:tcW w:w="72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90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180" w:type="dxa"/>
            <w:vAlign w:val="bottom"/>
            <w:shd w:val="clear" w:color="auto" w:fill="CCEEFF"/>
          </w:tcPr>
          <w:p>
            <w:pPr>
              <w:spacing w:after="0"/>
              <w:rPr>
                <w:sz w:val="8"/>
                <w:szCs w:val="8"/>
                <w:color w:val="auto"/>
              </w:rPr>
            </w:pPr>
          </w:p>
        </w:tc>
        <w:tc>
          <w:tcPr>
            <w:tcW w:w="700" w:type="dxa"/>
            <w:vAlign w:val="bottom"/>
            <w:shd w:val="clear" w:color="auto" w:fill="CCEEFF"/>
          </w:tcPr>
          <w:p>
            <w:pPr>
              <w:spacing w:after="0"/>
              <w:rPr>
                <w:sz w:val="8"/>
                <w:szCs w:val="8"/>
                <w:color w:val="auto"/>
              </w:rPr>
            </w:pPr>
          </w:p>
        </w:tc>
        <w:tc>
          <w:tcPr>
            <w:tcW w:w="200" w:type="dxa"/>
            <w:vAlign w:val="bottom"/>
            <w:shd w:val="clear" w:color="auto" w:fill="CCEEFF"/>
          </w:tcPr>
          <w:p>
            <w:pPr>
              <w:spacing w:after="0"/>
              <w:rPr>
                <w:sz w:val="8"/>
                <w:szCs w:val="8"/>
                <w:color w:val="auto"/>
              </w:rPr>
            </w:pPr>
          </w:p>
        </w:tc>
        <w:tc>
          <w:tcPr>
            <w:tcW w:w="88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120" w:type="dxa"/>
            <w:vAlign w:val="bottom"/>
            <w:shd w:val="clear" w:color="auto" w:fill="CCEEFF"/>
          </w:tcPr>
          <w:p>
            <w:pPr>
              <w:spacing w:after="0"/>
              <w:rPr>
                <w:sz w:val="8"/>
                <w:szCs w:val="8"/>
                <w:color w:val="auto"/>
              </w:rPr>
            </w:pPr>
          </w:p>
        </w:tc>
        <w:tc>
          <w:tcPr>
            <w:tcW w:w="740" w:type="dxa"/>
            <w:vAlign w:val="bottom"/>
            <w:shd w:val="clear" w:color="auto" w:fill="CCEEFF"/>
          </w:tcPr>
          <w:p>
            <w:pPr>
              <w:spacing w:after="0"/>
              <w:rPr>
                <w:sz w:val="8"/>
                <w:szCs w:val="8"/>
                <w:color w:val="auto"/>
              </w:rPr>
            </w:pPr>
          </w:p>
        </w:tc>
        <w:tc>
          <w:tcPr>
            <w:tcW w:w="20" w:type="dxa"/>
            <w:vAlign w:val="bottom"/>
            <w:shd w:val="clear" w:color="auto" w:fill="CCEEFF"/>
          </w:tcPr>
          <w:p>
            <w:pPr>
              <w:spacing w:after="0"/>
              <w:rPr>
                <w:sz w:val="8"/>
                <w:szCs w:val="8"/>
                <w:color w:val="auto"/>
              </w:rPr>
            </w:pPr>
          </w:p>
        </w:tc>
        <w:tc>
          <w:tcPr>
            <w:tcW w:w="100" w:type="dxa"/>
            <w:vAlign w:val="bottom"/>
            <w:shd w:val="clear" w:color="auto" w:fill="CCEEFF"/>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20" w:type="dxa"/>
            <w:vAlign w:val="bottom"/>
            <w:vMerge w:val="continue"/>
          </w:tcPr>
          <w:p>
            <w:pPr>
              <w:spacing w:after="0"/>
              <w:rPr>
                <w:sz w:val="9"/>
                <w:szCs w:val="9"/>
                <w:color w:val="auto"/>
              </w:rPr>
            </w:pPr>
          </w:p>
        </w:tc>
        <w:tc>
          <w:tcPr>
            <w:tcW w:w="2340" w:type="dxa"/>
            <w:vAlign w:val="bottom"/>
          </w:tcPr>
          <w:p>
            <w:pPr>
              <w:spacing w:after="0" w:line="106" w:lineRule="exact"/>
              <w:rPr>
                <w:sz w:val="20"/>
                <w:szCs w:val="20"/>
                <w:color w:val="auto"/>
              </w:rPr>
            </w:pPr>
            <w:r>
              <w:rPr>
                <w:rFonts w:ascii="Arial" w:cs="Arial" w:eastAsia="Arial" w:hAnsi="Arial"/>
                <w:sz w:val="10"/>
                <w:szCs w:val="10"/>
                <w:color w:val="auto"/>
              </w:rPr>
              <w:t>Repurchase of common stock</w:t>
            </w:r>
          </w:p>
        </w:tc>
        <w:tc>
          <w:tcPr>
            <w:tcW w:w="11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80" w:type="dxa"/>
            <w:vAlign w:val="bottom"/>
          </w:tcPr>
          <w:p>
            <w:pPr>
              <w:spacing w:after="0"/>
              <w:rPr>
                <w:sz w:val="9"/>
                <w:szCs w:val="9"/>
                <w:color w:val="auto"/>
              </w:rPr>
            </w:pPr>
          </w:p>
        </w:tc>
        <w:tc>
          <w:tcPr>
            <w:tcW w:w="9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1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1,000</w:t>
            </w:r>
          </w:p>
        </w:tc>
        <w:tc>
          <w:tcPr>
            <w:tcW w:w="180" w:type="dxa"/>
            <w:vAlign w:val="bottom"/>
          </w:tcPr>
          <w:p>
            <w:pPr>
              <w:spacing w:after="0"/>
              <w:rPr>
                <w:sz w:val="9"/>
                <w:szCs w:val="9"/>
                <w:color w:val="auto"/>
              </w:rPr>
            </w:pPr>
          </w:p>
        </w:tc>
        <w:tc>
          <w:tcPr>
            <w:tcW w:w="9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28</w:t>
            </w:r>
          </w:p>
        </w:tc>
        <w:tc>
          <w:tcPr>
            <w:tcW w:w="90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180" w:type="dxa"/>
            <w:vAlign w:val="bottom"/>
          </w:tcPr>
          <w:p>
            <w:pPr>
              <w:spacing w:after="0"/>
              <w:rPr>
                <w:sz w:val="9"/>
                <w:szCs w:val="9"/>
                <w:color w:val="auto"/>
              </w:rPr>
            </w:pPr>
          </w:p>
        </w:tc>
        <w:tc>
          <w:tcPr>
            <w:tcW w:w="900" w:type="dxa"/>
            <w:vAlign w:val="bottom"/>
            <w:gridSpan w:val="2"/>
          </w:tcPr>
          <w:p>
            <w:pPr>
              <w:jc w:val="right"/>
              <w:ind w:right="200"/>
              <w:spacing w:after="0" w:line="106" w:lineRule="exact"/>
              <w:rPr>
                <w:sz w:val="20"/>
                <w:szCs w:val="20"/>
                <w:color w:val="auto"/>
              </w:rPr>
            </w:pPr>
            <w:r>
              <w:rPr>
                <w:rFonts w:ascii="Arial" w:cs="Arial" w:eastAsia="Arial" w:hAnsi="Arial"/>
                <w:sz w:val="10"/>
                <w:szCs w:val="10"/>
                <w:color w:val="auto"/>
              </w:rPr>
              <w:t>-</w:t>
            </w:r>
          </w:p>
        </w:tc>
        <w:tc>
          <w:tcPr>
            <w:tcW w:w="110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1,000</w:t>
            </w:r>
          </w:p>
        </w:tc>
        <w:tc>
          <w:tcPr>
            <w:tcW w:w="120" w:type="dxa"/>
            <w:vAlign w:val="bottom"/>
          </w:tcPr>
          <w:p>
            <w:pPr>
              <w:spacing w:after="0"/>
              <w:rPr>
                <w:sz w:val="9"/>
                <w:szCs w:val="9"/>
                <w:color w:val="auto"/>
              </w:rPr>
            </w:pPr>
          </w:p>
        </w:tc>
        <w:tc>
          <w:tcPr>
            <w:tcW w:w="76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28</w:t>
            </w: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2340" w:type="dxa"/>
            <w:vAlign w:val="bottom"/>
            <w:shd w:val="clear" w:color="auto" w:fill="CCEEFF"/>
          </w:tcPr>
          <w:p>
            <w:pPr>
              <w:spacing w:after="0" w:line="106" w:lineRule="exact"/>
              <w:rPr>
                <w:sz w:val="20"/>
                <w:szCs w:val="20"/>
                <w:color w:val="auto"/>
              </w:rPr>
            </w:pPr>
            <w:r>
              <w:rPr>
                <w:rFonts w:ascii="Arial" w:cs="Arial" w:eastAsia="Arial" w:hAnsi="Arial"/>
                <w:sz w:val="10"/>
                <w:szCs w:val="10"/>
                <w:color w:val="auto"/>
              </w:rPr>
              <w:t>Restricted stock issued – directors</w:t>
            </w:r>
          </w:p>
        </w:tc>
        <w:tc>
          <w:tcPr>
            <w:tcW w:w="112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80" w:type="dxa"/>
            <w:vAlign w:val="bottom"/>
            <w:shd w:val="clear" w:color="auto" w:fill="CCEEFF"/>
          </w:tcPr>
          <w:p>
            <w:pPr>
              <w:spacing w:after="0"/>
              <w:rPr>
                <w:sz w:val="9"/>
                <w:szCs w:val="9"/>
                <w:color w:val="auto"/>
              </w:rPr>
            </w:pPr>
          </w:p>
        </w:tc>
        <w:tc>
          <w:tcPr>
            <w:tcW w:w="94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140" w:type="dxa"/>
            <w:vAlign w:val="bottom"/>
            <w:gridSpan w:val="2"/>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180" w:type="dxa"/>
            <w:vAlign w:val="bottom"/>
            <w:shd w:val="clear" w:color="auto" w:fill="CCEEFF"/>
          </w:tcPr>
          <w:p>
            <w:pPr>
              <w:spacing w:after="0"/>
              <w:rPr>
                <w:sz w:val="9"/>
                <w:szCs w:val="9"/>
                <w:color w:val="auto"/>
              </w:rPr>
            </w:pPr>
          </w:p>
        </w:tc>
        <w:tc>
          <w:tcPr>
            <w:tcW w:w="94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120" w:type="dxa"/>
            <w:vAlign w:val="bottom"/>
            <w:gridSpan w:val="2"/>
            <w:shd w:val="clear" w:color="auto" w:fill="CCEEFF"/>
          </w:tcPr>
          <w:p>
            <w:pPr>
              <w:jc w:val="right"/>
              <w:ind w:right="180"/>
              <w:spacing w:after="0" w:line="106" w:lineRule="exact"/>
              <w:rPr>
                <w:sz w:val="20"/>
                <w:szCs w:val="20"/>
                <w:color w:val="auto"/>
              </w:rPr>
            </w:pPr>
            <w:r>
              <w:rPr>
                <w:rFonts w:ascii="Arial" w:cs="Arial" w:eastAsia="Arial" w:hAnsi="Arial"/>
                <w:sz w:val="10"/>
                <w:szCs w:val="10"/>
                <w:color w:val="auto"/>
              </w:rPr>
              <w:t>(57,000)</w:t>
            </w:r>
          </w:p>
        </w:tc>
        <w:tc>
          <w:tcPr>
            <w:tcW w:w="180" w:type="dxa"/>
            <w:vAlign w:val="bottom"/>
            <w:shd w:val="clear" w:color="auto" w:fill="CCEEFF"/>
          </w:tcPr>
          <w:p>
            <w:pPr>
              <w:spacing w:after="0"/>
              <w:rPr>
                <w:sz w:val="9"/>
                <w:szCs w:val="9"/>
                <w:color w:val="auto"/>
              </w:rPr>
            </w:pPr>
          </w:p>
        </w:tc>
        <w:tc>
          <w:tcPr>
            <w:tcW w:w="900" w:type="dxa"/>
            <w:vAlign w:val="bottom"/>
            <w:gridSpan w:val="2"/>
            <w:shd w:val="clear" w:color="auto" w:fill="CCEEFF"/>
          </w:tcPr>
          <w:p>
            <w:pPr>
              <w:jc w:val="right"/>
              <w:ind w:right="180"/>
              <w:spacing w:after="0" w:line="106" w:lineRule="exact"/>
              <w:rPr>
                <w:sz w:val="20"/>
                <w:szCs w:val="20"/>
                <w:color w:val="auto"/>
              </w:rPr>
            </w:pPr>
            <w:r>
              <w:rPr>
                <w:rFonts w:ascii="Arial" w:cs="Arial" w:eastAsia="Arial" w:hAnsi="Arial"/>
                <w:sz w:val="10"/>
                <w:szCs w:val="10"/>
                <w:color w:val="auto"/>
              </w:rPr>
              <w:t>(1,259)</w:t>
            </w:r>
          </w:p>
        </w:tc>
        <w:tc>
          <w:tcPr>
            <w:tcW w:w="1100" w:type="dxa"/>
            <w:vAlign w:val="bottom"/>
            <w:gridSpan w:val="2"/>
            <w:shd w:val="clear" w:color="auto" w:fill="CCEEFF"/>
          </w:tcPr>
          <w:p>
            <w:pPr>
              <w:jc w:val="right"/>
              <w:ind w:right="180"/>
              <w:spacing w:after="0" w:line="106" w:lineRule="exact"/>
              <w:rPr>
                <w:sz w:val="20"/>
                <w:szCs w:val="20"/>
                <w:color w:val="auto"/>
              </w:rPr>
            </w:pPr>
            <w:r>
              <w:rPr>
                <w:rFonts w:ascii="Arial" w:cs="Arial" w:eastAsia="Arial" w:hAnsi="Arial"/>
                <w:sz w:val="10"/>
                <w:szCs w:val="10"/>
                <w:color w:val="auto"/>
              </w:rPr>
              <w:t>(57,000)</w:t>
            </w:r>
          </w:p>
        </w:tc>
        <w:tc>
          <w:tcPr>
            <w:tcW w:w="120" w:type="dxa"/>
            <w:vAlign w:val="bottom"/>
            <w:shd w:val="clear" w:color="auto" w:fill="CCEEFF"/>
          </w:tcPr>
          <w:p>
            <w:pPr>
              <w:spacing w:after="0"/>
              <w:rPr>
                <w:sz w:val="9"/>
                <w:szCs w:val="9"/>
                <w:color w:val="auto"/>
              </w:rPr>
            </w:pPr>
          </w:p>
        </w:tc>
        <w:tc>
          <w:tcPr>
            <w:tcW w:w="860" w:type="dxa"/>
            <w:vAlign w:val="bottom"/>
            <w:gridSpan w:val="3"/>
            <w:shd w:val="clear" w:color="auto" w:fill="CCEEFF"/>
          </w:tcPr>
          <w:p>
            <w:pPr>
              <w:jc w:val="right"/>
              <w:ind w:right="80"/>
              <w:spacing w:after="0" w:line="106" w:lineRule="exact"/>
              <w:rPr>
                <w:sz w:val="20"/>
                <w:szCs w:val="20"/>
                <w:color w:val="auto"/>
              </w:rPr>
            </w:pPr>
            <w:r>
              <w:rPr>
                <w:rFonts w:ascii="Arial" w:cs="Arial" w:eastAsia="Arial" w:hAnsi="Arial"/>
                <w:sz w:val="10"/>
                <w:szCs w:val="10"/>
                <w:color w:val="auto"/>
              </w:rPr>
              <w:t>(1,259)</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2340" w:type="dxa"/>
            <w:vAlign w:val="bottom"/>
          </w:tcPr>
          <w:p>
            <w:pPr>
              <w:spacing w:after="0" w:line="106" w:lineRule="exact"/>
              <w:rPr>
                <w:sz w:val="20"/>
                <w:szCs w:val="20"/>
                <w:color w:val="auto"/>
              </w:rPr>
            </w:pPr>
            <w:r>
              <w:rPr>
                <w:rFonts w:ascii="Arial" w:cs="Arial" w:eastAsia="Arial" w:hAnsi="Arial"/>
                <w:sz w:val="10"/>
                <w:szCs w:val="10"/>
                <w:color w:val="auto"/>
              </w:rPr>
              <w:t>Exercised stock options - compensation plans</w:t>
            </w:r>
          </w:p>
        </w:tc>
        <w:tc>
          <w:tcPr>
            <w:tcW w:w="11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80" w:type="dxa"/>
            <w:vAlign w:val="bottom"/>
          </w:tcPr>
          <w:p>
            <w:pPr>
              <w:spacing w:after="0"/>
              <w:rPr>
                <w:sz w:val="9"/>
                <w:szCs w:val="9"/>
                <w:color w:val="auto"/>
              </w:rPr>
            </w:pPr>
          </w:p>
        </w:tc>
        <w:tc>
          <w:tcPr>
            <w:tcW w:w="9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1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180" w:type="dxa"/>
            <w:vAlign w:val="bottom"/>
          </w:tcPr>
          <w:p>
            <w:pPr>
              <w:spacing w:after="0"/>
              <w:rPr>
                <w:sz w:val="9"/>
                <w:szCs w:val="9"/>
                <w:color w:val="auto"/>
              </w:rPr>
            </w:pPr>
          </w:p>
        </w:tc>
        <w:tc>
          <w:tcPr>
            <w:tcW w:w="9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120" w:type="dxa"/>
            <w:vAlign w:val="bottom"/>
            <w:gridSpan w:val="2"/>
          </w:tcPr>
          <w:p>
            <w:pPr>
              <w:jc w:val="right"/>
              <w:ind w:right="180"/>
              <w:spacing w:after="0" w:line="106" w:lineRule="exact"/>
              <w:rPr>
                <w:sz w:val="20"/>
                <w:szCs w:val="20"/>
                <w:color w:val="auto"/>
              </w:rPr>
            </w:pPr>
            <w:r>
              <w:rPr>
                <w:rFonts w:ascii="Arial" w:cs="Arial" w:eastAsia="Arial" w:hAnsi="Arial"/>
                <w:sz w:val="10"/>
                <w:szCs w:val="10"/>
                <w:color w:val="auto"/>
              </w:rPr>
              <w:t>(142,268)</w:t>
            </w:r>
          </w:p>
        </w:tc>
        <w:tc>
          <w:tcPr>
            <w:tcW w:w="180" w:type="dxa"/>
            <w:vAlign w:val="bottom"/>
          </w:tcPr>
          <w:p>
            <w:pPr>
              <w:spacing w:after="0"/>
              <w:rPr>
                <w:sz w:val="9"/>
                <w:szCs w:val="9"/>
                <w:color w:val="auto"/>
              </w:rPr>
            </w:pPr>
          </w:p>
        </w:tc>
        <w:tc>
          <w:tcPr>
            <w:tcW w:w="900" w:type="dxa"/>
            <w:vAlign w:val="bottom"/>
            <w:gridSpan w:val="2"/>
          </w:tcPr>
          <w:p>
            <w:pPr>
              <w:jc w:val="right"/>
              <w:ind w:right="180"/>
              <w:spacing w:after="0" w:line="106" w:lineRule="exact"/>
              <w:rPr>
                <w:sz w:val="20"/>
                <w:szCs w:val="20"/>
                <w:color w:val="auto"/>
              </w:rPr>
            </w:pPr>
            <w:r>
              <w:rPr>
                <w:rFonts w:ascii="Arial" w:cs="Arial" w:eastAsia="Arial" w:hAnsi="Arial"/>
                <w:sz w:val="10"/>
                <w:szCs w:val="10"/>
                <w:color w:val="auto"/>
              </w:rPr>
              <w:t>(3,140)</w:t>
            </w:r>
          </w:p>
        </w:tc>
        <w:tc>
          <w:tcPr>
            <w:tcW w:w="1100" w:type="dxa"/>
            <w:vAlign w:val="bottom"/>
            <w:gridSpan w:val="2"/>
          </w:tcPr>
          <w:p>
            <w:pPr>
              <w:jc w:val="right"/>
              <w:ind w:right="180"/>
              <w:spacing w:after="0" w:line="106" w:lineRule="exact"/>
              <w:rPr>
                <w:sz w:val="20"/>
                <w:szCs w:val="20"/>
                <w:color w:val="auto"/>
              </w:rPr>
            </w:pPr>
            <w:r>
              <w:rPr>
                <w:rFonts w:ascii="Arial" w:cs="Arial" w:eastAsia="Arial" w:hAnsi="Arial"/>
                <w:sz w:val="10"/>
                <w:szCs w:val="10"/>
                <w:color w:val="auto"/>
              </w:rPr>
              <w:t>(142,268)</w:t>
            </w:r>
          </w:p>
        </w:tc>
        <w:tc>
          <w:tcPr>
            <w:tcW w:w="120" w:type="dxa"/>
            <w:vAlign w:val="bottom"/>
          </w:tcPr>
          <w:p>
            <w:pPr>
              <w:spacing w:after="0"/>
              <w:rPr>
                <w:sz w:val="9"/>
                <w:szCs w:val="9"/>
                <w:color w:val="auto"/>
              </w:rPr>
            </w:pPr>
          </w:p>
        </w:tc>
        <w:tc>
          <w:tcPr>
            <w:tcW w:w="860" w:type="dxa"/>
            <w:vAlign w:val="bottom"/>
            <w:gridSpan w:val="3"/>
          </w:tcPr>
          <w:p>
            <w:pPr>
              <w:jc w:val="right"/>
              <w:ind w:right="80"/>
              <w:spacing w:after="0" w:line="106" w:lineRule="exact"/>
              <w:rPr>
                <w:sz w:val="20"/>
                <w:szCs w:val="20"/>
                <w:color w:val="auto"/>
              </w:rPr>
            </w:pPr>
            <w:r>
              <w:rPr>
                <w:rFonts w:ascii="Arial" w:cs="Arial" w:eastAsia="Arial" w:hAnsi="Arial"/>
                <w:sz w:val="10"/>
                <w:szCs w:val="10"/>
                <w:color w:val="auto"/>
              </w:rPr>
              <w:t>(3,140)</w:t>
            </w:r>
          </w:p>
        </w:tc>
        <w:tc>
          <w:tcPr>
            <w:tcW w:w="0" w:type="dxa"/>
            <w:vAlign w:val="bottom"/>
          </w:tcPr>
          <w:p>
            <w:pPr>
              <w:spacing w:after="0"/>
              <w:rPr>
                <w:sz w:val="1"/>
                <w:szCs w:val="1"/>
                <w:color w:val="auto"/>
              </w:rPr>
            </w:pPr>
          </w:p>
        </w:tc>
      </w:tr>
      <w:tr>
        <w:trPr>
          <w:trHeight w:val="116"/>
        </w:trPr>
        <w:tc>
          <w:tcPr>
            <w:tcW w:w="20" w:type="dxa"/>
            <w:vAlign w:val="bottom"/>
          </w:tcPr>
          <w:p>
            <w:pPr>
              <w:spacing w:after="0"/>
              <w:rPr>
                <w:sz w:val="10"/>
                <w:szCs w:val="10"/>
                <w:color w:val="auto"/>
              </w:rPr>
            </w:pPr>
          </w:p>
        </w:tc>
        <w:tc>
          <w:tcPr>
            <w:tcW w:w="2340" w:type="dxa"/>
            <w:vAlign w:val="bottom"/>
            <w:shd w:val="clear" w:color="auto" w:fill="CCEEFF"/>
          </w:tcPr>
          <w:p>
            <w:pPr>
              <w:spacing w:after="0"/>
              <w:rPr>
                <w:sz w:val="20"/>
                <w:szCs w:val="20"/>
                <w:color w:val="auto"/>
              </w:rPr>
            </w:pPr>
            <w:r>
              <w:rPr>
                <w:rFonts w:ascii="Arial" w:cs="Arial" w:eastAsia="Arial" w:hAnsi="Arial"/>
                <w:sz w:val="10"/>
                <w:szCs w:val="10"/>
                <w:color w:val="auto"/>
              </w:rPr>
              <w:t>Restricted stock units – vested</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0"/>
                <w:szCs w:val="10"/>
                <w:color w:val="auto"/>
              </w:rPr>
              <w:t>-</w:t>
            </w:r>
          </w:p>
        </w:tc>
        <w:tc>
          <w:tcPr>
            <w:tcW w:w="180" w:type="dxa"/>
            <w:vAlign w:val="bottom"/>
            <w:shd w:val="clear" w:color="auto" w:fill="CCEEFF"/>
          </w:tcPr>
          <w:p>
            <w:pPr>
              <w:spacing w:after="0"/>
              <w:rPr>
                <w:sz w:val="10"/>
                <w:szCs w:val="10"/>
                <w:color w:val="auto"/>
              </w:rPr>
            </w:pP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0"/>
                <w:szCs w:val="10"/>
                <w:color w:val="auto"/>
              </w:rPr>
              <w:t>-</w:t>
            </w: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0"/>
                <w:szCs w:val="10"/>
                <w:color w:val="auto"/>
              </w:rPr>
              <w:t>-</w:t>
            </w:r>
          </w:p>
        </w:tc>
        <w:tc>
          <w:tcPr>
            <w:tcW w:w="180" w:type="dxa"/>
            <w:vAlign w:val="bottom"/>
            <w:shd w:val="clear" w:color="auto" w:fill="CCEEFF"/>
          </w:tcPr>
          <w:p>
            <w:pPr>
              <w:spacing w:after="0"/>
              <w:rPr>
                <w:sz w:val="10"/>
                <w:szCs w:val="10"/>
                <w:color w:val="auto"/>
              </w:rPr>
            </w:pP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0"/>
                <w:szCs w:val="10"/>
                <w:color w:val="auto"/>
              </w:rPr>
              <w:t>-</w:t>
            </w:r>
          </w:p>
        </w:tc>
        <w:tc>
          <w:tcPr>
            <w:tcW w:w="1120" w:type="dxa"/>
            <w:vAlign w:val="bottom"/>
            <w:gridSpan w:val="2"/>
            <w:shd w:val="clear" w:color="auto" w:fill="CCEEFF"/>
          </w:tcPr>
          <w:p>
            <w:pPr>
              <w:jc w:val="right"/>
              <w:ind w:right="180"/>
              <w:spacing w:after="0"/>
              <w:rPr>
                <w:sz w:val="20"/>
                <w:szCs w:val="20"/>
                <w:color w:val="auto"/>
              </w:rPr>
            </w:pPr>
            <w:r>
              <w:rPr>
                <w:rFonts w:ascii="Arial" w:cs="Arial" w:eastAsia="Arial" w:hAnsi="Arial"/>
                <w:sz w:val="10"/>
                <w:szCs w:val="10"/>
                <w:color w:val="auto"/>
              </w:rPr>
              <w:t>(70,519)</w:t>
            </w:r>
          </w:p>
        </w:tc>
        <w:tc>
          <w:tcPr>
            <w:tcW w:w="180" w:type="dxa"/>
            <w:vAlign w:val="bottom"/>
            <w:shd w:val="clear" w:color="auto" w:fill="CCEEFF"/>
          </w:tcPr>
          <w:p>
            <w:pPr>
              <w:spacing w:after="0"/>
              <w:rPr>
                <w:sz w:val="10"/>
                <w:szCs w:val="10"/>
                <w:color w:val="auto"/>
              </w:rPr>
            </w:pPr>
          </w:p>
        </w:tc>
        <w:tc>
          <w:tcPr>
            <w:tcW w:w="900" w:type="dxa"/>
            <w:vAlign w:val="bottom"/>
            <w:gridSpan w:val="2"/>
            <w:shd w:val="clear" w:color="auto" w:fill="CCEEFF"/>
          </w:tcPr>
          <w:p>
            <w:pPr>
              <w:jc w:val="right"/>
              <w:ind w:right="180"/>
              <w:spacing w:after="0"/>
              <w:rPr>
                <w:sz w:val="20"/>
                <w:szCs w:val="20"/>
                <w:color w:val="auto"/>
              </w:rPr>
            </w:pPr>
            <w:r>
              <w:rPr>
                <w:rFonts w:ascii="Arial" w:cs="Arial" w:eastAsia="Arial" w:hAnsi="Arial"/>
                <w:sz w:val="10"/>
                <w:szCs w:val="10"/>
                <w:color w:val="auto"/>
              </w:rPr>
              <w:t>(1,557)</w:t>
            </w:r>
          </w:p>
        </w:tc>
        <w:tc>
          <w:tcPr>
            <w:tcW w:w="1100" w:type="dxa"/>
            <w:vAlign w:val="bottom"/>
            <w:gridSpan w:val="2"/>
            <w:shd w:val="clear" w:color="auto" w:fill="CCEEFF"/>
          </w:tcPr>
          <w:p>
            <w:pPr>
              <w:jc w:val="right"/>
              <w:ind w:right="180"/>
              <w:spacing w:after="0"/>
              <w:rPr>
                <w:sz w:val="20"/>
                <w:szCs w:val="20"/>
                <w:color w:val="auto"/>
              </w:rPr>
            </w:pPr>
            <w:r>
              <w:rPr>
                <w:rFonts w:ascii="Arial" w:cs="Arial" w:eastAsia="Arial" w:hAnsi="Arial"/>
                <w:sz w:val="10"/>
                <w:szCs w:val="10"/>
                <w:color w:val="auto"/>
              </w:rPr>
              <w:t>(70,519)</w:t>
            </w:r>
          </w:p>
        </w:tc>
        <w:tc>
          <w:tcPr>
            <w:tcW w:w="120" w:type="dxa"/>
            <w:vAlign w:val="bottom"/>
            <w:shd w:val="clear" w:color="auto" w:fill="CCEEFF"/>
          </w:tcPr>
          <w:p>
            <w:pPr>
              <w:spacing w:after="0"/>
              <w:rPr>
                <w:sz w:val="10"/>
                <w:szCs w:val="10"/>
                <w:color w:val="auto"/>
              </w:rPr>
            </w:pPr>
          </w:p>
        </w:tc>
        <w:tc>
          <w:tcPr>
            <w:tcW w:w="860" w:type="dxa"/>
            <w:vAlign w:val="bottom"/>
            <w:gridSpan w:val="3"/>
            <w:shd w:val="clear" w:color="auto" w:fill="CCEEFF"/>
          </w:tcPr>
          <w:p>
            <w:pPr>
              <w:jc w:val="right"/>
              <w:ind w:right="80"/>
              <w:spacing w:after="0"/>
              <w:rPr>
                <w:sz w:val="20"/>
                <w:szCs w:val="20"/>
                <w:color w:val="auto"/>
              </w:rPr>
            </w:pPr>
            <w:r>
              <w:rPr>
                <w:rFonts w:ascii="Arial" w:cs="Arial" w:eastAsia="Arial" w:hAnsi="Arial"/>
                <w:sz w:val="10"/>
                <w:szCs w:val="10"/>
                <w:color w:val="auto"/>
              </w:rPr>
              <w:t>(1,557)</w:t>
            </w: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2340" w:type="dxa"/>
            <w:vAlign w:val="bottom"/>
            <w:tcBorders>
              <w:bottom w:val="single" w:sz="8" w:color="CCEEFF"/>
            </w:tcBorders>
          </w:tcPr>
          <w:p>
            <w:pPr>
              <w:spacing w:after="0" w:line="96" w:lineRule="exact"/>
              <w:rPr>
                <w:sz w:val="20"/>
                <w:szCs w:val="20"/>
                <w:color w:val="auto"/>
              </w:rPr>
            </w:pPr>
            <w:r>
              <w:rPr>
                <w:rFonts w:ascii="Arial" w:cs="Arial" w:eastAsia="Arial" w:hAnsi="Arial"/>
                <w:sz w:val="10"/>
                <w:szCs w:val="10"/>
                <w:b w:val="1"/>
                <w:bCs w:val="1"/>
                <w:color w:val="auto"/>
              </w:rPr>
              <w:t>Outstanding at December 31, 2017</w:t>
            </w:r>
          </w:p>
        </w:tc>
        <w:tc>
          <w:tcPr>
            <w:tcW w:w="900" w:type="dxa"/>
            <w:vAlign w:val="bottom"/>
            <w:tcBorders>
              <w:top w:val="single" w:sz="8" w:color="auto"/>
              <w:bottom w:val="single" w:sz="8" w:color="auto"/>
            </w:tcBorders>
          </w:tcPr>
          <w:p>
            <w:pPr>
              <w:jc w:val="right"/>
              <w:spacing w:after="0" w:line="96" w:lineRule="exact"/>
              <w:rPr>
                <w:sz w:val="20"/>
                <w:szCs w:val="20"/>
                <w:color w:val="auto"/>
              </w:rPr>
            </w:pPr>
            <w:r>
              <w:rPr>
                <w:rFonts w:ascii="Arial" w:cs="Arial" w:eastAsia="Arial" w:hAnsi="Arial"/>
                <w:sz w:val="10"/>
                <w:szCs w:val="10"/>
                <w:b w:val="1"/>
                <w:bCs w:val="1"/>
                <w:color w:val="auto"/>
              </w:rPr>
              <w:t>318,140</w:t>
            </w:r>
          </w:p>
        </w:tc>
        <w:tc>
          <w:tcPr>
            <w:tcW w:w="220" w:type="dxa"/>
            <w:vAlign w:val="bottom"/>
            <w:tcBorders>
              <w:bottom w:val="single" w:sz="8" w:color="CCEEFF"/>
            </w:tcBorders>
          </w:tcPr>
          <w:p>
            <w:pPr>
              <w:spacing w:after="0"/>
              <w:rPr>
                <w:sz w:val="8"/>
                <w:szCs w:val="8"/>
                <w:color w:val="auto"/>
              </w:rPr>
            </w:pPr>
          </w:p>
        </w:tc>
        <w:tc>
          <w:tcPr>
            <w:tcW w:w="180" w:type="dxa"/>
            <w:vAlign w:val="bottom"/>
            <w:tcBorders>
              <w:top w:val="single" w:sz="8" w:color="auto"/>
              <w:bottom w:val="single" w:sz="8" w:color="auto"/>
            </w:tcBorders>
          </w:tcPr>
          <w:p>
            <w:pPr>
              <w:spacing w:after="0"/>
              <w:rPr>
                <w:sz w:val="8"/>
                <w:szCs w:val="8"/>
                <w:color w:val="auto"/>
              </w:rPr>
            </w:pPr>
          </w:p>
        </w:tc>
        <w:tc>
          <w:tcPr>
            <w:tcW w:w="720" w:type="dxa"/>
            <w:vAlign w:val="bottom"/>
            <w:tcBorders>
              <w:top w:val="single" w:sz="8" w:color="auto"/>
              <w:bottom w:val="single" w:sz="8" w:color="auto"/>
            </w:tcBorders>
          </w:tcPr>
          <w:p>
            <w:pPr>
              <w:jc w:val="right"/>
              <w:spacing w:after="0" w:line="96" w:lineRule="exact"/>
              <w:rPr>
                <w:sz w:val="20"/>
                <w:szCs w:val="20"/>
                <w:color w:val="auto"/>
              </w:rPr>
            </w:pPr>
            <w:r>
              <w:rPr>
                <w:rFonts w:ascii="Arial" w:cs="Arial" w:eastAsia="Arial" w:hAnsi="Arial"/>
                <w:sz w:val="10"/>
                <w:szCs w:val="10"/>
                <w:b w:val="1"/>
                <w:bCs w:val="1"/>
                <w:color w:val="auto"/>
              </w:rPr>
              <w:t>10,708</w:t>
            </w:r>
          </w:p>
        </w:tc>
        <w:tc>
          <w:tcPr>
            <w:tcW w:w="220" w:type="dxa"/>
            <w:vAlign w:val="bottom"/>
            <w:tcBorders>
              <w:bottom w:val="single" w:sz="8" w:color="CCEEFF"/>
            </w:tcBorders>
          </w:tcPr>
          <w:p>
            <w:pPr>
              <w:spacing w:after="0"/>
              <w:rPr>
                <w:sz w:val="8"/>
                <w:szCs w:val="8"/>
                <w:color w:val="auto"/>
              </w:rPr>
            </w:pPr>
          </w:p>
        </w:tc>
        <w:tc>
          <w:tcPr>
            <w:tcW w:w="900" w:type="dxa"/>
            <w:vAlign w:val="bottom"/>
            <w:tcBorders>
              <w:top w:val="single" w:sz="8" w:color="auto"/>
              <w:bottom w:val="single" w:sz="8" w:color="auto"/>
            </w:tcBorders>
          </w:tcPr>
          <w:p>
            <w:pPr>
              <w:jc w:val="right"/>
              <w:spacing w:after="0" w:line="96" w:lineRule="exact"/>
              <w:rPr>
                <w:sz w:val="20"/>
                <w:szCs w:val="20"/>
                <w:color w:val="auto"/>
              </w:rPr>
            </w:pPr>
            <w:r>
              <w:rPr>
                <w:rFonts w:ascii="Arial" w:cs="Arial" w:eastAsia="Arial" w:hAnsi="Arial"/>
                <w:sz w:val="10"/>
                <w:szCs w:val="10"/>
                <w:b w:val="1"/>
                <w:bCs w:val="1"/>
                <w:color w:val="auto"/>
              </w:rPr>
              <w:t>590,174</w:t>
            </w:r>
          </w:p>
        </w:tc>
        <w:tc>
          <w:tcPr>
            <w:tcW w:w="240" w:type="dxa"/>
            <w:vAlign w:val="bottom"/>
            <w:tcBorders>
              <w:bottom w:val="single" w:sz="8" w:color="CCEEFF"/>
            </w:tcBorders>
          </w:tcPr>
          <w:p>
            <w:pPr>
              <w:spacing w:after="0"/>
              <w:rPr>
                <w:sz w:val="8"/>
                <w:szCs w:val="8"/>
                <w:color w:val="auto"/>
              </w:rPr>
            </w:pPr>
          </w:p>
        </w:tc>
        <w:tc>
          <w:tcPr>
            <w:tcW w:w="180" w:type="dxa"/>
            <w:vAlign w:val="bottom"/>
            <w:tcBorders>
              <w:top w:val="single" w:sz="8" w:color="auto"/>
              <w:bottom w:val="single" w:sz="8" w:color="auto"/>
            </w:tcBorders>
          </w:tcPr>
          <w:p>
            <w:pPr>
              <w:spacing w:after="0"/>
              <w:rPr>
                <w:sz w:val="8"/>
                <w:szCs w:val="8"/>
                <w:color w:val="auto"/>
              </w:rPr>
            </w:pPr>
          </w:p>
        </w:tc>
        <w:tc>
          <w:tcPr>
            <w:tcW w:w="720" w:type="dxa"/>
            <w:vAlign w:val="bottom"/>
            <w:tcBorders>
              <w:top w:val="single" w:sz="8" w:color="auto"/>
              <w:bottom w:val="single" w:sz="8" w:color="auto"/>
            </w:tcBorders>
          </w:tcPr>
          <w:p>
            <w:pPr>
              <w:jc w:val="right"/>
              <w:spacing w:after="0" w:line="96" w:lineRule="exact"/>
              <w:rPr>
                <w:sz w:val="20"/>
                <w:szCs w:val="20"/>
                <w:color w:val="auto"/>
              </w:rPr>
            </w:pPr>
            <w:r>
              <w:rPr>
                <w:rFonts w:ascii="Arial" w:cs="Arial" w:eastAsia="Arial" w:hAnsi="Arial"/>
                <w:sz w:val="10"/>
                <w:szCs w:val="10"/>
                <w:b w:val="1"/>
                <w:bCs w:val="1"/>
                <w:color w:val="auto"/>
              </w:rPr>
              <w:t>16,270</w:t>
            </w:r>
          </w:p>
        </w:tc>
        <w:tc>
          <w:tcPr>
            <w:tcW w:w="220" w:type="dxa"/>
            <w:vAlign w:val="bottom"/>
            <w:tcBorders>
              <w:bottom w:val="single" w:sz="8" w:color="CCEEFF"/>
            </w:tcBorders>
          </w:tcPr>
          <w:p>
            <w:pPr>
              <w:spacing w:after="0"/>
              <w:rPr>
                <w:sz w:val="8"/>
                <w:szCs w:val="8"/>
                <w:color w:val="auto"/>
              </w:rPr>
            </w:pPr>
          </w:p>
        </w:tc>
        <w:tc>
          <w:tcPr>
            <w:tcW w:w="900" w:type="dxa"/>
            <w:vAlign w:val="bottom"/>
            <w:tcBorders>
              <w:top w:val="single" w:sz="8" w:color="auto"/>
              <w:bottom w:val="single" w:sz="8" w:color="auto"/>
            </w:tcBorders>
          </w:tcPr>
          <w:p>
            <w:pPr>
              <w:jc w:val="right"/>
              <w:spacing w:after="0" w:line="96" w:lineRule="exact"/>
              <w:rPr>
                <w:sz w:val="20"/>
                <w:szCs w:val="20"/>
                <w:color w:val="auto"/>
              </w:rPr>
            </w:pPr>
            <w:r>
              <w:rPr>
                <w:rFonts w:ascii="Arial" w:cs="Arial" w:eastAsia="Arial" w:hAnsi="Arial"/>
                <w:sz w:val="10"/>
                <w:szCs w:val="10"/>
                <w:b w:val="1"/>
                <w:bCs w:val="1"/>
                <w:color w:val="auto"/>
              </w:rPr>
              <w:t>1,642,690</w:t>
            </w:r>
          </w:p>
        </w:tc>
        <w:tc>
          <w:tcPr>
            <w:tcW w:w="220" w:type="dxa"/>
            <w:vAlign w:val="bottom"/>
            <w:tcBorders>
              <w:bottom w:val="single" w:sz="8" w:color="CCEEFF"/>
            </w:tcBorders>
          </w:tcPr>
          <w:p>
            <w:pPr>
              <w:spacing w:after="0"/>
              <w:rPr>
                <w:sz w:val="8"/>
                <w:szCs w:val="8"/>
                <w:color w:val="auto"/>
              </w:rPr>
            </w:pPr>
          </w:p>
        </w:tc>
        <w:tc>
          <w:tcPr>
            <w:tcW w:w="180" w:type="dxa"/>
            <w:vAlign w:val="bottom"/>
            <w:tcBorders>
              <w:top w:val="single" w:sz="8" w:color="auto"/>
              <w:bottom w:val="single" w:sz="8" w:color="auto"/>
            </w:tcBorders>
          </w:tcPr>
          <w:p>
            <w:pPr>
              <w:spacing w:after="0"/>
              <w:rPr>
                <w:sz w:val="8"/>
                <w:szCs w:val="8"/>
                <w:color w:val="auto"/>
              </w:rPr>
            </w:pPr>
          </w:p>
        </w:tc>
        <w:tc>
          <w:tcPr>
            <w:tcW w:w="700" w:type="dxa"/>
            <w:vAlign w:val="bottom"/>
            <w:tcBorders>
              <w:top w:val="single" w:sz="8" w:color="auto"/>
              <w:bottom w:val="single" w:sz="8" w:color="auto"/>
            </w:tcBorders>
          </w:tcPr>
          <w:p>
            <w:pPr>
              <w:jc w:val="right"/>
              <w:spacing w:after="0" w:line="96" w:lineRule="exact"/>
              <w:rPr>
                <w:sz w:val="20"/>
                <w:szCs w:val="20"/>
                <w:color w:val="auto"/>
              </w:rPr>
            </w:pPr>
            <w:r>
              <w:rPr>
                <w:rFonts w:ascii="Arial" w:cs="Arial" w:eastAsia="Arial" w:hAnsi="Arial"/>
                <w:sz w:val="10"/>
                <w:szCs w:val="10"/>
                <w:b w:val="1"/>
                <w:bCs w:val="1"/>
                <w:color w:val="auto"/>
              </w:rPr>
              <w:t>36,270</w:t>
            </w:r>
          </w:p>
        </w:tc>
        <w:tc>
          <w:tcPr>
            <w:tcW w:w="200" w:type="dxa"/>
            <w:vAlign w:val="bottom"/>
            <w:tcBorders>
              <w:bottom w:val="single" w:sz="8" w:color="CCEEFF"/>
            </w:tcBorders>
          </w:tcPr>
          <w:p>
            <w:pPr>
              <w:spacing w:after="0"/>
              <w:rPr>
                <w:sz w:val="8"/>
                <w:szCs w:val="8"/>
                <w:color w:val="auto"/>
              </w:rPr>
            </w:pPr>
          </w:p>
        </w:tc>
        <w:tc>
          <w:tcPr>
            <w:tcW w:w="880" w:type="dxa"/>
            <w:vAlign w:val="bottom"/>
            <w:tcBorders>
              <w:top w:val="single" w:sz="8" w:color="auto"/>
              <w:bottom w:val="single" w:sz="8" w:color="auto"/>
            </w:tcBorders>
          </w:tcPr>
          <w:p>
            <w:pPr>
              <w:jc w:val="right"/>
              <w:spacing w:after="0" w:line="96" w:lineRule="exact"/>
              <w:rPr>
                <w:sz w:val="20"/>
                <w:szCs w:val="20"/>
                <w:color w:val="auto"/>
              </w:rPr>
            </w:pPr>
            <w:r>
              <w:rPr>
                <w:rFonts w:ascii="Arial" w:cs="Arial" w:eastAsia="Arial" w:hAnsi="Arial"/>
                <w:sz w:val="10"/>
                <w:szCs w:val="10"/>
                <w:b w:val="1"/>
                <w:bCs w:val="1"/>
                <w:color w:val="auto"/>
              </w:rPr>
              <w:t>2,551,004</w:t>
            </w:r>
          </w:p>
        </w:tc>
        <w:tc>
          <w:tcPr>
            <w:tcW w:w="220" w:type="dxa"/>
            <w:vAlign w:val="bottom"/>
            <w:tcBorders>
              <w:bottom w:val="single" w:sz="8" w:color="CCEEFF"/>
            </w:tcBorders>
          </w:tcPr>
          <w:p>
            <w:pPr>
              <w:spacing w:after="0"/>
              <w:rPr>
                <w:sz w:val="8"/>
                <w:szCs w:val="8"/>
                <w:color w:val="auto"/>
              </w:rPr>
            </w:pPr>
          </w:p>
        </w:tc>
        <w:tc>
          <w:tcPr>
            <w:tcW w:w="120" w:type="dxa"/>
            <w:vAlign w:val="bottom"/>
            <w:tcBorders>
              <w:top w:val="single" w:sz="8" w:color="auto"/>
              <w:bottom w:val="single" w:sz="8" w:color="auto"/>
            </w:tcBorders>
          </w:tcPr>
          <w:p>
            <w:pPr>
              <w:spacing w:after="0"/>
              <w:rPr>
                <w:sz w:val="8"/>
                <w:szCs w:val="8"/>
                <w:color w:val="auto"/>
              </w:rPr>
            </w:pPr>
          </w:p>
        </w:tc>
        <w:tc>
          <w:tcPr>
            <w:tcW w:w="740" w:type="dxa"/>
            <w:vAlign w:val="bottom"/>
            <w:tcBorders>
              <w:top w:val="single" w:sz="8" w:color="auto"/>
              <w:bottom w:val="single" w:sz="8" w:color="auto"/>
            </w:tcBorders>
          </w:tcPr>
          <w:p>
            <w:pPr>
              <w:jc w:val="right"/>
              <w:spacing w:after="0" w:line="96" w:lineRule="exact"/>
              <w:rPr>
                <w:sz w:val="20"/>
                <w:szCs w:val="20"/>
                <w:color w:val="auto"/>
              </w:rPr>
            </w:pPr>
            <w:r>
              <w:rPr>
                <w:rFonts w:ascii="Arial" w:cs="Arial" w:eastAsia="Arial" w:hAnsi="Arial"/>
                <w:sz w:val="10"/>
                <w:szCs w:val="10"/>
                <w:b w:val="1"/>
                <w:bCs w:val="1"/>
                <w:color w:val="auto"/>
              </w:rPr>
              <w:t>63,248</w:t>
            </w:r>
          </w:p>
        </w:tc>
        <w:tc>
          <w:tcPr>
            <w:tcW w:w="20" w:type="dxa"/>
            <w:vAlign w:val="bottom"/>
            <w:tcBorders>
              <w:bottom w:val="single" w:sz="8" w:color="CCEEFF"/>
            </w:tcBorders>
          </w:tcPr>
          <w:p>
            <w:pPr>
              <w:spacing w:after="0"/>
              <w:rPr>
                <w:sz w:val="8"/>
                <w:szCs w:val="8"/>
                <w:color w:val="auto"/>
              </w:rPr>
            </w:pPr>
          </w:p>
        </w:tc>
        <w:tc>
          <w:tcPr>
            <w:tcW w:w="100" w:type="dxa"/>
            <w:vAlign w:val="bottom"/>
            <w:tcBorders>
              <w:bottom w:val="single" w:sz="8" w:color="CCEEFF"/>
            </w:tcBorders>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20" w:type="dxa"/>
            <w:vAlign w:val="bottom"/>
            <w:vMerge w:val="restart"/>
          </w:tcPr>
          <w:p>
            <w:pPr>
              <w:spacing w:after="0"/>
              <w:rPr>
                <w:sz w:val="8"/>
                <w:szCs w:val="8"/>
                <w:color w:val="auto"/>
              </w:rPr>
            </w:pPr>
          </w:p>
        </w:tc>
        <w:tc>
          <w:tcPr>
            <w:tcW w:w="2340" w:type="dxa"/>
            <w:vAlign w:val="bottom"/>
            <w:shd w:val="clear" w:color="auto" w:fill="CCEEFF"/>
          </w:tcPr>
          <w:p>
            <w:pPr>
              <w:spacing w:after="0"/>
              <w:rPr>
                <w:sz w:val="8"/>
                <w:szCs w:val="8"/>
                <w:color w:val="auto"/>
              </w:rPr>
            </w:pPr>
          </w:p>
        </w:tc>
        <w:tc>
          <w:tcPr>
            <w:tcW w:w="90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180" w:type="dxa"/>
            <w:vAlign w:val="bottom"/>
            <w:shd w:val="clear" w:color="auto" w:fill="CCEEFF"/>
          </w:tcPr>
          <w:p>
            <w:pPr>
              <w:spacing w:after="0"/>
              <w:rPr>
                <w:sz w:val="8"/>
                <w:szCs w:val="8"/>
                <w:color w:val="auto"/>
              </w:rPr>
            </w:pPr>
          </w:p>
        </w:tc>
        <w:tc>
          <w:tcPr>
            <w:tcW w:w="72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900" w:type="dxa"/>
            <w:vAlign w:val="bottom"/>
            <w:shd w:val="clear" w:color="auto" w:fill="CCEEFF"/>
          </w:tcPr>
          <w:p>
            <w:pPr>
              <w:spacing w:after="0"/>
              <w:rPr>
                <w:sz w:val="8"/>
                <w:szCs w:val="8"/>
                <w:color w:val="auto"/>
              </w:rPr>
            </w:pPr>
          </w:p>
        </w:tc>
        <w:tc>
          <w:tcPr>
            <w:tcW w:w="240" w:type="dxa"/>
            <w:vAlign w:val="bottom"/>
            <w:shd w:val="clear" w:color="auto" w:fill="CCEEFF"/>
          </w:tcPr>
          <w:p>
            <w:pPr>
              <w:spacing w:after="0"/>
              <w:rPr>
                <w:sz w:val="8"/>
                <w:szCs w:val="8"/>
                <w:color w:val="auto"/>
              </w:rPr>
            </w:pPr>
          </w:p>
        </w:tc>
        <w:tc>
          <w:tcPr>
            <w:tcW w:w="180" w:type="dxa"/>
            <w:vAlign w:val="bottom"/>
            <w:shd w:val="clear" w:color="auto" w:fill="CCEEFF"/>
          </w:tcPr>
          <w:p>
            <w:pPr>
              <w:spacing w:after="0"/>
              <w:rPr>
                <w:sz w:val="8"/>
                <w:szCs w:val="8"/>
                <w:color w:val="auto"/>
              </w:rPr>
            </w:pPr>
          </w:p>
        </w:tc>
        <w:tc>
          <w:tcPr>
            <w:tcW w:w="72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90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180" w:type="dxa"/>
            <w:vAlign w:val="bottom"/>
            <w:shd w:val="clear" w:color="auto" w:fill="CCEEFF"/>
          </w:tcPr>
          <w:p>
            <w:pPr>
              <w:spacing w:after="0"/>
              <w:rPr>
                <w:sz w:val="8"/>
                <w:szCs w:val="8"/>
                <w:color w:val="auto"/>
              </w:rPr>
            </w:pPr>
          </w:p>
        </w:tc>
        <w:tc>
          <w:tcPr>
            <w:tcW w:w="700" w:type="dxa"/>
            <w:vAlign w:val="bottom"/>
            <w:shd w:val="clear" w:color="auto" w:fill="CCEEFF"/>
          </w:tcPr>
          <w:p>
            <w:pPr>
              <w:spacing w:after="0"/>
              <w:rPr>
                <w:sz w:val="8"/>
                <w:szCs w:val="8"/>
                <w:color w:val="auto"/>
              </w:rPr>
            </w:pPr>
          </w:p>
        </w:tc>
        <w:tc>
          <w:tcPr>
            <w:tcW w:w="200" w:type="dxa"/>
            <w:vAlign w:val="bottom"/>
            <w:shd w:val="clear" w:color="auto" w:fill="CCEEFF"/>
          </w:tcPr>
          <w:p>
            <w:pPr>
              <w:spacing w:after="0"/>
              <w:rPr>
                <w:sz w:val="8"/>
                <w:szCs w:val="8"/>
                <w:color w:val="auto"/>
              </w:rPr>
            </w:pPr>
          </w:p>
        </w:tc>
        <w:tc>
          <w:tcPr>
            <w:tcW w:w="88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120" w:type="dxa"/>
            <w:vAlign w:val="bottom"/>
            <w:shd w:val="clear" w:color="auto" w:fill="CCEEFF"/>
          </w:tcPr>
          <w:p>
            <w:pPr>
              <w:spacing w:after="0"/>
              <w:rPr>
                <w:sz w:val="8"/>
                <w:szCs w:val="8"/>
                <w:color w:val="auto"/>
              </w:rPr>
            </w:pPr>
          </w:p>
        </w:tc>
        <w:tc>
          <w:tcPr>
            <w:tcW w:w="740" w:type="dxa"/>
            <w:vAlign w:val="bottom"/>
            <w:shd w:val="clear" w:color="auto" w:fill="CCEEFF"/>
          </w:tcPr>
          <w:p>
            <w:pPr>
              <w:spacing w:after="0"/>
              <w:rPr>
                <w:sz w:val="8"/>
                <w:szCs w:val="8"/>
                <w:color w:val="auto"/>
              </w:rPr>
            </w:pPr>
          </w:p>
        </w:tc>
        <w:tc>
          <w:tcPr>
            <w:tcW w:w="20" w:type="dxa"/>
            <w:vAlign w:val="bottom"/>
            <w:shd w:val="clear" w:color="auto" w:fill="CCEEFF"/>
          </w:tcPr>
          <w:p>
            <w:pPr>
              <w:spacing w:after="0"/>
              <w:rPr>
                <w:sz w:val="8"/>
                <w:szCs w:val="8"/>
                <w:color w:val="auto"/>
              </w:rPr>
            </w:pPr>
          </w:p>
        </w:tc>
        <w:tc>
          <w:tcPr>
            <w:tcW w:w="100" w:type="dxa"/>
            <w:vAlign w:val="bottom"/>
            <w:shd w:val="clear" w:color="auto" w:fill="CCEEFF"/>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20" w:type="dxa"/>
            <w:vAlign w:val="bottom"/>
            <w:vMerge w:val="continue"/>
          </w:tcPr>
          <w:p>
            <w:pPr>
              <w:spacing w:after="0"/>
              <w:rPr>
                <w:sz w:val="9"/>
                <w:szCs w:val="9"/>
                <w:color w:val="auto"/>
              </w:rPr>
            </w:pPr>
          </w:p>
        </w:tc>
        <w:tc>
          <w:tcPr>
            <w:tcW w:w="2340" w:type="dxa"/>
            <w:vAlign w:val="bottom"/>
          </w:tcPr>
          <w:p>
            <w:pPr>
              <w:spacing w:after="0" w:line="106" w:lineRule="exact"/>
              <w:rPr>
                <w:sz w:val="20"/>
                <w:szCs w:val="20"/>
                <w:color w:val="auto"/>
              </w:rPr>
            </w:pPr>
            <w:r>
              <w:rPr>
                <w:rFonts w:ascii="Arial" w:cs="Arial" w:eastAsia="Arial" w:hAnsi="Arial"/>
                <w:sz w:val="10"/>
                <w:szCs w:val="10"/>
                <w:color w:val="auto"/>
              </w:rPr>
              <w:t>Repurchase of common stock</w:t>
            </w:r>
          </w:p>
        </w:tc>
        <w:tc>
          <w:tcPr>
            <w:tcW w:w="11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80" w:type="dxa"/>
            <w:vAlign w:val="bottom"/>
          </w:tcPr>
          <w:p>
            <w:pPr>
              <w:spacing w:after="0"/>
              <w:rPr>
                <w:sz w:val="9"/>
                <w:szCs w:val="9"/>
                <w:color w:val="auto"/>
              </w:rPr>
            </w:pPr>
          </w:p>
        </w:tc>
        <w:tc>
          <w:tcPr>
            <w:tcW w:w="9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1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99,193</w:t>
            </w:r>
          </w:p>
        </w:tc>
        <w:tc>
          <w:tcPr>
            <w:tcW w:w="180" w:type="dxa"/>
            <w:vAlign w:val="bottom"/>
          </w:tcPr>
          <w:p>
            <w:pPr>
              <w:spacing w:after="0"/>
              <w:rPr>
                <w:sz w:val="9"/>
                <w:szCs w:val="9"/>
                <w:color w:val="auto"/>
              </w:rPr>
            </w:pPr>
          </w:p>
        </w:tc>
        <w:tc>
          <w:tcPr>
            <w:tcW w:w="9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2,441</w:t>
            </w:r>
          </w:p>
        </w:tc>
        <w:tc>
          <w:tcPr>
            <w:tcW w:w="900" w:type="dxa"/>
            <w:vAlign w:val="bottom"/>
          </w:tcPr>
          <w:p>
            <w:pPr>
              <w:jc w:val="right"/>
              <w:spacing w:after="0" w:line="106" w:lineRule="exact"/>
              <w:rPr>
                <w:sz w:val="20"/>
                <w:szCs w:val="20"/>
                <w:color w:val="auto"/>
              </w:rPr>
            </w:pPr>
            <w:r>
              <w:rPr>
                <w:rFonts w:ascii="Arial" w:cs="Arial" w:eastAsia="Arial" w:hAnsi="Arial"/>
                <w:sz w:val="10"/>
                <w:szCs w:val="10"/>
                <w:color w:val="auto"/>
              </w:rPr>
              <w:t>64</w:t>
            </w:r>
          </w:p>
        </w:tc>
        <w:tc>
          <w:tcPr>
            <w:tcW w:w="220" w:type="dxa"/>
            <w:vAlign w:val="bottom"/>
          </w:tcPr>
          <w:p>
            <w:pPr>
              <w:spacing w:after="0"/>
              <w:rPr>
                <w:sz w:val="9"/>
                <w:szCs w:val="9"/>
                <w:color w:val="auto"/>
              </w:rPr>
            </w:pPr>
          </w:p>
        </w:tc>
        <w:tc>
          <w:tcPr>
            <w:tcW w:w="180" w:type="dxa"/>
            <w:vAlign w:val="bottom"/>
          </w:tcPr>
          <w:p>
            <w:pPr>
              <w:spacing w:after="0"/>
              <w:rPr>
                <w:sz w:val="9"/>
                <w:szCs w:val="9"/>
                <w:color w:val="auto"/>
              </w:rPr>
            </w:pPr>
          </w:p>
        </w:tc>
        <w:tc>
          <w:tcPr>
            <w:tcW w:w="900" w:type="dxa"/>
            <w:vAlign w:val="bottom"/>
            <w:gridSpan w:val="2"/>
          </w:tcPr>
          <w:p>
            <w:pPr>
              <w:jc w:val="right"/>
              <w:ind w:right="200"/>
              <w:spacing w:after="0" w:line="106" w:lineRule="exact"/>
              <w:rPr>
                <w:sz w:val="20"/>
                <w:szCs w:val="20"/>
                <w:color w:val="auto"/>
              </w:rPr>
            </w:pPr>
            <w:r>
              <w:rPr>
                <w:rFonts w:ascii="Arial" w:cs="Arial" w:eastAsia="Arial" w:hAnsi="Arial"/>
                <w:sz w:val="10"/>
                <w:szCs w:val="10"/>
                <w:color w:val="auto"/>
              </w:rPr>
              <w:t>1</w:t>
            </w:r>
          </w:p>
        </w:tc>
        <w:tc>
          <w:tcPr>
            <w:tcW w:w="110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99,257</w:t>
            </w:r>
          </w:p>
        </w:tc>
        <w:tc>
          <w:tcPr>
            <w:tcW w:w="120" w:type="dxa"/>
            <w:vAlign w:val="bottom"/>
          </w:tcPr>
          <w:p>
            <w:pPr>
              <w:spacing w:after="0"/>
              <w:rPr>
                <w:sz w:val="9"/>
                <w:szCs w:val="9"/>
                <w:color w:val="auto"/>
              </w:rPr>
            </w:pPr>
          </w:p>
        </w:tc>
        <w:tc>
          <w:tcPr>
            <w:tcW w:w="76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2,442</w:t>
            </w: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2340" w:type="dxa"/>
            <w:vAlign w:val="bottom"/>
            <w:shd w:val="clear" w:color="auto" w:fill="CCEEFF"/>
          </w:tcPr>
          <w:p>
            <w:pPr>
              <w:spacing w:after="0" w:line="106" w:lineRule="exact"/>
              <w:rPr>
                <w:sz w:val="20"/>
                <w:szCs w:val="20"/>
                <w:color w:val="auto"/>
              </w:rPr>
            </w:pPr>
            <w:r>
              <w:rPr>
                <w:rFonts w:ascii="Arial" w:cs="Arial" w:eastAsia="Arial" w:hAnsi="Arial"/>
                <w:sz w:val="10"/>
                <w:szCs w:val="10"/>
                <w:color w:val="auto"/>
              </w:rPr>
              <w:t>Restricted stock issued - directors</w:t>
            </w:r>
          </w:p>
        </w:tc>
        <w:tc>
          <w:tcPr>
            <w:tcW w:w="112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80" w:type="dxa"/>
            <w:vAlign w:val="bottom"/>
            <w:shd w:val="clear" w:color="auto" w:fill="CCEEFF"/>
          </w:tcPr>
          <w:p>
            <w:pPr>
              <w:spacing w:after="0"/>
              <w:rPr>
                <w:sz w:val="9"/>
                <w:szCs w:val="9"/>
                <w:color w:val="auto"/>
              </w:rPr>
            </w:pPr>
          </w:p>
        </w:tc>
        <w:tc>
          <w:tcPr>
            <w:tcW w:w="94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140" w:type="dxa"/>
            <w:vAlign w:val="bottom"/>
            <w:gridSpan w:val="2"/>
            <w:shd w:val="clear" w:color="auto" w:fill="CCEEFF"/>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180" w:type="dxa"/>
            <w:vAlign w:val="bottom"/>
            <w:shd w:val="clear" w:color="auto" w:fill="CCEEFF"/>
          </w:tcPr>
          <w:p>
            <w:pPr>
              <w:spacing w:after="0"/>
              <w:rPr>
                <w:sz w:val="9"/>
                <w:szCs w:val="9"/>
                <w:color w:val="auto"/>
              </w:rPr>
            </w:pPr>
          </w:p>
        </w:tc>
        <w:tc>
          <w:tcPr>
            <w:tcW w:w="940" w:type="dxa"/>
            <w:vAlign w:val="bottom"/>
            <w:gridSpan w:val="2"/>
            <w:shd w:val="clear" w:color="auto" w:fill="CCEEFF"/>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120" w:type="dxa"/>
            <w:vAlign w:val="bottom"/>
            <w:gridSpan w:val="2"/>
            <w:shd w:val="clear" w:color="auto" w:fill="CCEEFF"/>
          </w:tcPr>
          <w:p>
            <w:pPr>
              <w:jc w:val="right"/>
              <w:ind w:right="180"/>
              <w:spacing w:after="0" w:line="106" w:lineRule="exact"/>
              <w:rPr>
                <w:sz w:val="20"/>
                <w:szCs w:val="20"/>
                <w:color w:val="auto"/>
              </w:rPr>
            </w:pPr>
            <w:r>
              <w:rPr>
                <w:rFonts w:ascii="Arial" w:cs="Arial" w:eastAsia="Arial" w:hAnsi="Arial"/>
                <w:sz w:val="10"/>
                <w:szCs w:val="10"/>
                <w:color w:val="auto"/>
              </w:rPr>
              <w:t>(57,000)</w:t>
            </w:r>
          </w:p>
        </w:tc>
        <w:tc>
          <w:tcPr>
            <w:tcW w:w="180" w:type="dxa"/>
            <w:vAlign w:val="bottom"/>
            <w:shd w:val="clear" w:color="auto" w:fill="CCEEFF"/>
          </w:tcPr>
          <w:p>
            <w:pPr>
              <w:spacing w:after="0"/>
              <w:rPr>
                <w:sz w:val="9"/>
                <w:szCs w:val="9"/>
                <w:color w:val="auto"/>
              </w:rPr>
            </w:pPr>
          </w:p>
        </w:tc>
        <w:tc>
          <w:tcPr>
            <w:tcW w:w="900" w:type="dxa"/>
            <w:vAlign w:val="bottom"/>
            <w:gridSpan w:val="2"/>
            <w:shd w:val="clear" w:color="auto" w:fill="CCEEFF"/>
          </w:tcPr>
          <w:p>
            <w:pPr>
              <w:jc w:val="right"/>
              <w:ind w:right="180"/>
              <w:spacing w:after="0" w:line="106" w:lineRule="exact"/>
              <w:rPr>
                <w:sz w:val="20"/>
                <w:szCs w:val="20"/>
                <w:color w:val="auto"/>
              </w:rPr>
            </w:pPr>
            <w:r>
              <w:rPr>
                <w:rFonts w:ascii="Arial" w:cs="Arial" w:eastAsia="Arial" w:hAnsi="Arial"/>
                <w:sz w:val="10"/>
                <w:szCs w:val="10"/>
                <w:color w:val="auto"/>
              </w:rPr>
              <w:t>(1,259)</w:t>
            </w:r>
          </w:p>
        </w:tc>
        <w:tc>
          <w:tcPr>
            <w:tcW w:w="1100" w:type="dxa"/>
            <w:vAlign w:val="bottom"/>
            <w:gridSpan w:val="2"/>
            <w:shd w:val="clear" w:color="auto" w:fill="CCEEFF"/>
          </w:tcPr>
          <w:p>
            <w:pPr>
              <w:jc w:val="right"/>
              <w:ind w:right="180"/>
              <w:spacing w:after="0" w:line="106" w:lineRule="exact"/>
              <w:rPr>
                <w:sz w:val="20"/>
                <w:szCs w:val="20"/>
                <w:color w:val="auto"/>
              </w:rPr>
            </w:pPr>
            <w:r>
              <w:rPr>
                <w:rFonts w:ascii="Arial" w:cs="Arial" w:eastAsia="Arial" w:hAnsi="Arial"/>
                <w:sz w:val="10"/>
                <w:szCs w:val="10"/>
                <w:color w:val="auto"/>
              </w:rPr>
              <w:t>(57,000)</w:t>
            </w:r>
          </w:p>
        </w:tc>
        <w:tc>
          <w:tcPr>
            <w:tcW w:w="120" w:type="dxa"/>
            <w:vAlign w:val="bottom"/>
            <w:shd w:val="clear" w:color="auto" w:fill="CCEEFF"/>
          </w:tcPr>
          <w:p>
            <w:pPr>
              <w:spacing w:after="0"/>
              <w:rPr>
                <w:sz w:val="9"/>
                <w:szCs w:val="9"/>
                <w:color w:val="auto"/>
              </w:rPr>
            </w:pPr>
          </w:p>
        </w:tc>
        <w:tc>
          <w:tcPr>
            <w:tcW w:w="860" w:type="dxa"/>
            <w:vAlign w:val="bottom"/>
            <w:gridSpan w:val="3"/>
            <w:shd w:val="clear" w:color="auto" w:fill="CCEEFF"/>
          </w:tcPr>
          <w:p>
            <w:pPr>
              <w:jc w:val="right"/>
              <w:ind w:right="80"/>
              <w:spacing w:after="0" w:line="106" w:lineRule="exact"/>
              <w:rPr>
                <w:sz w:val="20"/>
                <w:szCs w:val="20"/>
                <w:color w:val="auto"/>
              </w:rPr>
            </w:pPr>
            <w:r>
              <w:rPr>
                <w:rFonts w:ascii="Arial" w:cs="Arial" w:eastAsia="Arial" w:hAnsi="Arial"/>
                <w:sz w:val="10"/>
                <w:szCs w:val="10"/>
                <w:color w:val="auto"/>
              </w:rPr>
              <w:t>(1,259)</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2340" w:type="dxa"/>
            <w:vAlign w:val="bottom"/>
          </w:tcPr>
          <w:p>
            <w:pPr>
              <w:spacing w:after="0" w:line="106" w:lineRule="exact"/>
              <w:rPr>
                <w:sz w:val="20"/>
                <w:szCs w:val="20"/>
                <w:color w:val="auto"/>
              </w:rPr>
            </w:pPr>
            <w:r>
              <w:rPr>
                <w:rFonts w:ascii="Arial" w:cs="Arial" w:eastAsia="Arial" w:hAnsi="Arial"/>
                <w:sz w:val="10"/>
                <w:szCs w:val="10"/>
                <w:color w:val="auto"/>
              </w:rPr>
              <w:t>Exercised stock options - compensation plans</w:t>
            </w:r>
          </w:p>
        </w:tc>
        <w:tc>
          <w:tcPr>
            <w:tcW w:w="11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80" w:type="dxa"/>
            <w:vAlign w:val="bottom"/>
          </w:tcPr>
          <w:p>
            <w:pPr>
              <w:spacing w:after="0"/>
              <w:rPr>
                <w:sz w:val="9"/>
                <w:szCs w:val="9"/>
                <w:color w:val="auto"/>
              </w:rPr>
            </w:pPr>
          </w:p>
        </w:tc>
        <w:tc>
          <w:tcPr>
            <w:tcW w:w="9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1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180" w:type="dxa"/>
            <w:vAlign w:val="bottom"/>
          </w:tcPr>
          <w:p>
            <w:pPr>
              <w:spacing w:after="0"/>
              <w:rPr>
                <w:sz w:val="9"/>
                <w:szCs w:val="9"/>
                <w:color w:val="auto"/>
              </w:rPr>
            </w:pPr>
          </w:p>
        </w:tc>
        <w:tc>
          <w:tcPr>
            <w:tcW w:w="9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120" w:type="dxa"/>
            <w:vAlign w:val="bottom"/>
            <w:gridSpan w:val="2"/>
          </w:tcPr>
          <w:p>
            <w:pPr>
              <w:jc w:val="right"/>
              <w:ind w:right="180"/>
              <w:spacing w:after="0" w:line="106" w:lineRule="exact"/>
              <w:rPr>
                <w:sz w:val="20"/>
                <w:szCs w:val="20"/>
                <w:color w:val="auto"/>
              </w:rPr>
            </w:pPr>
            <w:r>
              <w:rPr>
                <w:rFonts w:ascii="Arial" w:cs="Arial" w:eastAsia="Arial" w:hAnsi="Arial"/>
                <w:sz w:val="10"/>
                <w:szCs w:val="10"/>
                <w:color w:val="auto"/>
              </w:rPr>
              <w:t>(102,918)</w:t>
            </w:r>
          </w:p>
        </w:tc>
        <w:tc>
          <w:tcPr>
            <w:tcW w:w="180" w:type="dxa"/>
            <w:vAlign w:val="bottom"/>
          </w:tcPr>
          <w:p>
            <w:pPr>
              <w:spacing w:after="0"/>
              <w:rPr>
                <w:sz w:val="9"/>
                <w:szCs w:val="9"/>
                <w:color w:val="auto"/>
              </w:rPr>
            </w:pPr>
          </w:p>
        </w:tc>
        <w:tc>
          <w:tcPr>
            <w:tcW w:w="900" w:type="dxa"/>
            <w:vAlign w:val="bottom"/>
            <w:gridSpan w:val="2"/>
          </w:tcPr>
          <w:p>
            <w:pPr>
              <w:jc w:val="right"/>
              <w:ind w:right="180"/>
              <w:spacing w:after="0" w:line="106" w:lineRule="exact"/>
              <w:rPr>
                <w:sz w:val="20"/>
                <w:szCs w:val="20"/>
                <w:color w:val="auto"/>
              </w:rPr>
            </w:pPr>
            <w:r>
              <w:rPr>
                <w:rFonts w:ascii="Arial" w:cs="Arial" w:eastAsia="Arial" w:hAnsi="Arial"/>
                <w:sz w:val="10"/>
                <w:szCs w:val="10"/>
                <w:color w:val="auto"/>
              </w:rPr>
              <w:t>(2,272)</w:t>
            </w:r>
          </w:p>
        </w:tc>
        <w:tc>
          <w:tcPr>
            <w:tcW w:w="1100" w:type="dxa"/>
            <w:vAlign w:val="bottom"/>
            <w:gridSpan w:val="2"/>
          </w:tcPr>
          <w:p>
            <w:pPr>
              <w:jc w:val="right"/>
              <w:ind w:right="180"/>
              <w:spacing w:after="0" w:line="106" w:lineRule="exact"/>
              <w:rPr>
                <w:sz w:val="20"/>
                <w:szCs w:val="20"/>
                <w:color w:val="auto"/>
              </w:rPr>
            </w:pPr>
            <w:r>
              <w:rPr>
                <w:rFonts w:ascii="Arial" w:cs="Arial" w:eastAsia="Arial" w:hAnsi="Arial"/>
                <w:sz w:val="10"/>
                <w:szCs w:val="10"/>
                <w:color w:val="auto"/>
              </w:rPr>
              <w:t>(102,918)</w:t>
            </w:r>
          </w:p>
        </w:tc>
        <w:tc>
          <w:tcPr>
            <w:tcW w:w="120" w:type="dxa"/>
            <w:vAlign w:val="bottom"/>
          </w:tcPr>
          <w:p>
            <w:pPr>
              <w:spacing w:after="0"/>
              <w:rPr>
                <w:sz w:val="9"/>
                <w:szCs w:val="9"/>
                <w:color w:val="auto"/>
              </w:rPr>
            </w:pPr>
          </w:p>
        </w:tc>
        <w:tc>
          <w:tcPr>
            <w:tcW w:w="860" w:type="dxa"/>
            <w:vAlign w:val="bottom"/>
            <w:gridSpan w:val="3"/>
          </w:tcPr>
          <w:p>
            <w:pPr>
              <w:jc w:val="right"/>
              <w:ind w:right="80"/>
              <w:spacing w:after="0" w:line="106" w:lineRule="exact"/>
              <w:rPr>
                <w:sz w:val="20"/>
                <w:szCs w:val="20"/>
                <w:color w:val="auto"/>
              </w:rPr>
            </w:pPr>
            <w:r>
              <w:rPr>
                <w:rFonts w:ascii="Arial" w:cs="Arial" w:eastAsia="Arial" w:hAnsi="Arial"/>
                <w:sz w:val="10"/>
                <w:szCs w:val="10"/>
                <w:color w:val="auto"/>
              </w:rPr>
              <w:t>(2,272)</w:t>
            </w:r>
          </w:p>
        </w:tc>
        <w:tc>
          <w:tcPr>
            <w:tcW w:w="0" w:type="dxa"/>
            <w:vAlign w:val="bottom"/>
          </w:tcPr>
          <w:p>
            <w:pPr>
              <w:spacing w:after="0"/>
              <w:rPr>
                <w:sz w:val="1"/>
                <w:szCs w:val="1"/>
                <w:color w:val="auto"/>
              </w:rPr>
            </w:pPr>
          </w:p>
        </w:tc>
      </w:tr>
      <w:tr>
        <w:trPr>
          <w:trHeight w:val="116"/>
        </w:trPr>
        <w:tc>
          <w:tcPr>
            <w:tcW w:w="20" w:type="dxa"/>
            <w:vAlign w:val="bottom"/>
          </w:tcPr>
          <w:p>
            <w:pPr>
              <w:spacing w:after="0"/>
              <w:rPr>
                <w:sz w:val="10"/>
                <w:szCs w:val="10"/>
                <w:color w:val="auto"/>
              </w:rPr>
            </w:pPr>
          </w:p>
        </w:tc>
        <w:tc>
          <w:tcPr>
            <w:tcW w:w="2340" w:type="dxa"/>
            <w:vAlign w:val="bottom"/>
            <w:shd w:val="clear" w:color="auto" w:fill="CCEEFF"/>
          </w:tcPr>
          <w:p>
            <w:pPr>
              <w:spacing w:after="0"/>
              <w:rPr>
                <w:sz w:val="20"/>
                <w:szCs w:val="20"/>
                <w:color w:val="auto"/>
              </w:rPr>
            </w:pPr>
            <w:r>
              <w:rPr>
                <w:rFonts w:ascii="Arial" w:cs="Arial" w:eastAsia="Arial" w:hAnsi="Arial"/>
                <w:sz w:val="10"/>
                <w:szCs w:val="10"/>
                <w:color w:val="auto"/>
              </w:rPr>
              <w:t>Restricted stock units - vested</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0"/>
                <w:szCs w:val="10"/>
                <w:color w:val="auto"/>
              </w:rPr>
              <w:t>-</w:t>
            </w:r>
          </w:p>
        </w:tc>
        <w:tc>
          <w:tcPr>
            <w:tcW w:w="180" w:type="dxa"/>
            <w:vAlign w:val="bottom"/>
            <w:shd w:val="clear" w:color="auto" w:fill="CCEEFF"/>
          </w:tcPr>
          <w:p>
            <w:pPr>
              <w:spacing w:after="0"/>
              <w:rPr>
                <w:sz w:val="10"/>
                <w:szCs w:val="10"/>
                <w:color w:val="auto"/>
              </w:rPr>
            </w:pP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0"/>
                <w:szCs w:val="10"/>
                <w:color w:val="auto"/>
              </w:rPr>
              <w:t>-</w:t>
            </w: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0"/>
                <w:szCs w:val="10"/>
                <w:color w:val="auto"/>
              </w:rPr>
              <w:t>-</w:t>
            </w:r>
          </w:p>
        </w:tc>
        <w:tc>
          <w:tcPr>
            <w:tcW w:w="180" w:type="dxa"/>
            <w:vAlign w:val="bottom"/>
            <w:shd w:val="clear" w:color="auto" w:fill="CCEEFF"/>
          </w:tcPr>
          <w:p>
            <w:pPr>
              <w:spacing w:after="0"/>
              <w:rPr>
                <w:sz w:val="10"/>
                <w:szCs w:val="10"/>
                <w:color w:val="auto"/>
              </w:rPr>
            </w:pP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0"/>
                <w:szCs w:val="10"/>
                <w:color w:val="auto"/>
              </w:rPr>
              <w:t>-</w:t>
            </w:r>
          </w:p>
        </w:tc>
        <w:tc>
          <w:tcPr>
            <w:tcW w:w="1120" w:type="dxa"/>
            <w:vAlign w:val="bottom"/>
            <w:gridSpan w:val="2"/>
            <w:shd w:val="clear" w:color="auto" w:fill="CCEEFF"/>
          </w:tcPr>
          <w:p>
            <w:pPr>
              <w:jc w:val="right"/>
              <w:ind w:right="180"/>
              <w:spacing w:after="0"/>
              <w:rPr>
                <w:sz w:val="20"/>
                <w:szCs w:val="20"/>
                <w:color w:val="auto"/>
              </w:rPr>
            </w:pPr>
            <w:r>
              <w:rPr>
                <w:rFonts w:ascii="Arial" w:cs="Arial" w:eastAsia="Arial" w:hAnsi="Arial"/>
                <w:sz w:val="10"/>
                <w:szCs w:val="10"/>
                <w:color w:val="auto"/>
              </w:rPr>
              <w:t>(49,055)</w:t>
            </w:r>
          </w:p>
        </w:tc>
        <w:tc>
          <w:tcPr>
            <w:tcW w:w="180" w:type="dxa"/>
            <w:vAlign w:val="bottom"/>
            <w:shd w:val="clear" w:color="auto" w:fill="CCEEFF"/>
          </w:tcPr>
          <w:p>
            <w:pPr>
              <w:spacing w:after="0"/>
              <w:rPr>
                <w:sz w:val="10"/>
                <w:szCs w:val="10"/>
                <w:color w:val="auto"/>
              </w:rPr>
            </w:pPr>
          </w:p>
        </w:tc>
        <w:tc>
          <w:tcPr>
            <w:tcW w:w="900" w:type="dxa"/>
            <w:vAlign w:val="bottom"/>
            <w:gridSpan w:val="2"/>
            <w:shd w:val="clear" w:color="auto" w:fill="CCEEFF"/>
          </w:tcPr>
          <w:p>
            <w:pPr>
              <w:jc w:val="right"/>
              <w:ind w:right="180"/>
              <w:spacing w:after="0"/>
              <w:rPr>
                <w:sz w:val="20"/>
                <w:szCs w:val="20"/>
                <w:color w:val="auto"/>
              </w:rPr>
            </w:pPr>
            <w:r>
              <w:rPr>
                <w:rFonts w:ascii="Arial" w:cs="Arial" w:eastAsia="Arial" w:hAnsi="Arial"/>
                <w:sz w:val="10"/>
                <w:szCs w:val="10"/>
                <w:color w:val="auto"/>
              </w:rPr>
              <w:t>(1,083)</w:t>
            </w:r>
          </w:p>
        </w:tc>
        <w:tc>
          <w:tcPr>
            <w:tcW w:w="1100" w:type="dxa"/>
            <w:vAlign w:val="bottom"/>
            <w:gridSpan w:val="2"/>
            <w:shd w:val="clear" w:color="auto" w:fill="CCEEFF"/>
          </w:tcPr>
          <w:p>
            <w:pPr>
              <w:jc w:val="right"/>
              <w:ind w:right="180"/>
              <w:spacing w:after="0"/>
              <w:rPr>
                <w:sz w:val="20"/>
                <w:szCs w:val="20"/>
                <w:color w:val="auto"/>
              </w:rPr>
            </w:pPr>
            <w:r>
              <w:rPr>
                <w:rFonts w:ascii="Arial" w:cs="Arial" w:eastAsia="Arial" w:hAnsi="Arial"/>
                <w:sz w:val="10"/>
                <w:szCs w:val="10"/>
                <w:color w:val="auto"/>
              </w:rPr>
              <w:t>(49,055)</w:t>
            </w:r>
          </w:p>
        </w:tc>
        <w:tc>
          <w:tcPr>
            <w:tcW w:w="120" w:type="dxa"/>
            <w:vAlign w:val="bottom"/>
            <w:shd w:val="clear" w:color="auto" w:fill="CCEEFF"/>
          </w:tcPr>
          <w:p>
            <w:pPr>
              <w:spacing w:after="0"/>
              <w:rPr>
                <w:sz w:val="10"/>
                <w:szCs w:val="10"/>
                <w:color w:val="auto"/>
              </w:rPr>
            </w:pPr>
          </w:p>
        </w:tc>
        <w:tc>
          <w:tcPr>
            <w:tcW w:w="860" w:type="dxa"/>
            <w:vAlign w:val="bottom"/>
            <w:gridSpan w:val="3"/>
            <w:shd w:val="clear" w:color="auto" w:fill="CCEEFF"/>
          </w:tcPr>
          <w:p>
            <w:pPr>
              <w:jc w:val="right"/>
              <w:ind w:right="80"/>
              <w:spacing w:after="0"/>
              <w:rPr>
                <w:sz w:val="20"/>
                <w:szCs w:val="20"/>
                <w:color w:val="auto"/>
              </w:rPr>
            </w:pPr>
            <w:r>
              <w:rPr>
                <w:rFonts w:ascii="Arial" w:cs="Arial" w:eastAsia="Arial" w:hAnsi="Arial"/>
                <w:sz w:val="10"/>
                <w:szCs w:val="10"/>
                <w:color w:val="auto"/>
              </w:rPr>
              <w:t>(1,083)</w:t>
            </w:r>
          </w:p>
        </w:tc>
        <w:tc>
          <w:tcPr>
            <w:tcW w:w="0" w:type="dxa"/>
            <w:vAlign w:val="bottom"/>
          </w:tcPr>
          <w:p>
            <w:pPr>
              <w:spacing w:after="0"/>
              <w:rPr>
                <w:sz w:val="1"/>
                <w:szCs w:val="1"/>
                <w:color w:val="auto"/>
              </w:rPr>
            </w:pPr>
          </w:p>
        </w:tc>
      </w:tr>
      <w:tr>
        <w:trPr>
          <w:trHeight w:val="114"/>
        </w:trPr>
        <w:tc>
          <w:tcPr>
            <w:tcW w:w="20" w:type="dxa"/>
            <w:vAlign w:val="bottom"/>
          </w:tcPr>
          <w:p>
            <w:pPr>
              <w:spacing w:after="0"/>
              <w:rPr>
                <w:sz w:val="9"/>
                <w:szCs w:val="9"/>
                <w:color w:val="auto"/>
              </w:rPr>
            </w:pPr>
          </w:p>
        </w:tc>
        <w:tc>
          <w:tcPr>
            <w:tcW w:w="2340" w:type="dxa"/>
            <w:vAlign w:val="bottom"/>
          </w:tcPr>
          <w:p>
            <w:pPr>
              <w:spacing w:after="0" w:line="105" w:lineRule="exact"/>
              <w:rPr>
                <w:sz w:val="20"/>
                <w:szCs w:val="20"/>
                <w:color w:val="auto"/>
              </w:rPr>
            </w:pPr>
            <w:r>
              <w:rPr>
                <w:rFonts w:ascii="Arial" w:cs="Arial" w:eastAsia="Arial" w:hAnsi="Arial"/>
                <w:sz w:val="10"/>
                <w:szCs w:val="10"/>
                <w:b w:val="1"/>
                <w:bCs w:val="1"/>
                <w:color w:val="auto"/>
              </w:rPr>
              <w:t>Outstanding at December 31, 2018</w:t>
            </w:r>
          </w:p>
        </w:tc>
        <w:tc>
          <w:tcPr>
            <w:tcW w:w="90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b w:val="1"/>
                <w:bCs w:val="1"/>
                <w:color w:val="auto"/>
              </w:rPr>
              <w:t>318,140</w:t>
            </w:r>
          </w:p>
        </w:tc>
        <w:tc>
          <w:tcPr>
            <w:tcW w:w="220" w:type="dxa"/>
            <w:vAlign w:val="bottom"/>
          </w:tcPr>
          <w:p>
            <w:pPr>
              <w:spacing w:after="0"/>
              <w:rPr>
                <w:sz w:val="9"/>
                <w:szCs w:val="9"/>
                <w:color w:val="auto"/>
              </w:rPr>
            </w:pPr>
          </w:p>
        </w:tc>
        <w:tc>
          <w:tcPr>
            <w:tcW w:w="180" w:type="dxa"/>
            <w:vAlign w:val="bottom"/>
            <w:tcBorders>
              <w:top w:val="single" w:sz="8" w:color="auto"/>
              <w:bottom w:val="single" w:sz="8" w:color="auto"/>
            </w:tcBorders>
          </w:tcPr>
          <w:p>
            <w:pPr>
              <w:spacing w:after="0"/>
              <w:rPr>
                <w:sz w:val="9"/>
                <w:szCs w:val="9"/>
                <w:color w:val="auto"/>
              </w:rPr>
            </w:pPr>
          </w:p>
        </w:tc>
        <w:tc>
          <w:tcPr>
            <w:tcW w:w="72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b w:val="1"/>
                <w:bCs w:val="1"/>
                <w:color w:val="auto"/>
              </w:rPr>
              <w:t>10,708</w:t>
            </w:r>
          </w:p>
        </w:tc>
        <w:tc>
          <w:tcPr>
            <w:tcW w:w="220" w:type="dxa"/>
            <w:vAlign w:val="bottom"/>
          </w:tcPr>
          <w:p>
            <w:pPr>
              <w:spacing w:after="0"/>
              <w:rPr>
                <w:sz w:val="9"/>
                <w:szCs w:val="9"/>
                <w:color w:val="auto"/>
              </w:rPr>
            </w:pPr>
          </w:p>
        </w:tc>
        <w:tc>
          <w:tcPr>
            <w:tcW w:w="90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b w:val="1"/>
                <w:bCs w:val="1"/>
                <w:color w:val="auto"/>
              </w:rPr>
              <w:t>689,367</w:t>
            </w:r>
          </w:p>
        </w:tc>
        <w:tc>
          <w:tcPr>
            <w:tcW w:w="240" w:type="dxa"/>
            <w:vAlign w:val="bottom"/>
          </w:tcPr>
          <w:p>
            <w:pPr>
              <w:spacing w:after="0"/>
              <w:rPr>
                <w:sz w:val="9"/>
                <w:szCs w:val="9"/>
                <w:color w:val="auto"/>
              </w:rPr>
            </w:pPr>
          </w:p>
        </w:tc>
        <w:tc>
          <w:tcPr>
            <w:tcW w:w="180" w:type="dxa"/>
            <w:vAlign w:val="bottom"/>
            <w:tcBorders>
              <w:top w:val="single" w:sz="8" w:color="auto"/>
              <w:bottom w:val="single" w:sz="8" w:color="auto"/>
            </w:tcBorders>
          </w:tcPr>
          <w:p>
            <w:pPr>
              <w:spacing w:after="0"/>
              <w:rPr>
                <w:sz w:val="9"/>
                <w:szCs w:val="9"/>
                <w:color w:val="auto"/>
              </w:rPr>
            </w:pPr>
          </w:p>
        </w:tc>
        <w:tc>
          <w:tcPr>
            <w:tcW w:w="72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b w:val="1"/>
                <w:bCs w:val="1"/>
                <w:color w:val="auto"/>
              </w:rPr>
              <w:t>18,711</w:t>
            </w:r>
          </w:p>
        </w:tc>
        <w:tc>
          <w:tcPr>
            <w:tcW w:w="220" w:type="dxa"/>
            <w:vAlign w:val="bottom"/>
          </w:tcPr>
          <w:p>
            <w:pPr>
              <w:spacing w:after="0"/>
              <w:rPr>
                <w:sz w:val="9"/>
                <w:szCs w:val="9"/>
                <w:color w:val="auto"/>
              </w:rPr>
            </w:pPr>
          </w:p>
        </w:tc>
        <w:tc>
          <w:tcPr>
            <w:tcW w:w="90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b w:val="1"/>
                <w:bCs w:val="1"/>
                <w:color w:val="auto"/>
              </w:rPr>
              <w:t>1,433,781</w:t>
            </w:r>
          </w:p>
        </w:tc>
        <w:tc>
          <w:tcPr>
            <w:tcW w:w="220" w:type="dxa"/>
            <w:vAlign w:val="bottom"/>
          </w:tcPr>
          <w:p>
            <w:pPr>
              <w:spacing w:after="0"/>
              <w:rPr>
                <w:sz w:val="9"/>
                <w:szCs w:val="9"/>
                <w:color w:val="auto"/>
              </w:rPr>
            </w:pPr>
          </w:p>
        </w:tc>
        <w:tc>
          <w:tcPr>
            <w:tcW w:w="180" w:type="dxa"/>
            <w:vAlign w:val="bottom"/>
            <w:tcBorders>
              <w:top w:val="single" w:sz="8" w:color="auto"/>
              <w:bottom w:val="single" w:sz="8" w:color="auto"/>
            </w:tcBorders>
          </w:tcPr>
          <w:p>
            <w:pPr>
              <w:spacing w:after="0"/>
              <w:rPr>
                <w:sz w:val="9"/>
                <w:szCs w:val="9"/>
                <w:color w:val="auto"/>
              </w:rPr>
            </w:pPr>
          </w:p>
        </w:tc>
        <w:tc>
          <w:tcPr>
            <w:tcW w:w="70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b w:val="1"/>
                <w:bCs w:val="1"/>
                <w:color w:val="auto"/>
              </w:rPr>
              <w:t>31,657</w:t>
            </w:r>
          </w:p>
        </w:tc>
        <w:tc>
          <w:tcPr>
            <w:tcW w:w="200" w:type="dxa"/>
            <w:vAlign w:val="bottom"/>
          </w:tcPr>
          <w:p>
            <w:pPr>
              <w:spacing w:after="0"/>
              <w:rPr>
                <w:sz w:val="9"/>
                <w:szCs w:val="9"/>
                <w:color w:val="auto"/>
              </w:rPr>
            </w:pPr>
          </w:p>
        </w:tc>
        <w:tc>
          <w:tcPr>
            <w:tcW w:w="88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b w:val="1"/>
                <w:bCs w:val="1"/>
                <w:color w:val="auto"/>
              </w:rPr>
              <w:t>2,441,288</w:t>
            </w:r>
          </w:p>
        </w:tc>
        <w:tc>
          <w:tcPr>
            <w:tcW w:w="220" w:type="dxa"/>
            <w:vAlign w:val="bottom"/>
          </w:tcPr>
          <w:p>
            <w:pPr>
              <w:spacing w:after="0"/>
              <w:rPr>
                <w:sz w:val="9"/>
                <w:szCs w:val="9"/>
                <w:color w:val="auto"/>
              </w:rPr>
            </w:pPr>
          </w:p>
        </w:tc>
        <w:tc>
          <w:tcPr>
            <w:tcW w:w="120" w:type="dxa"/>
            <w:vAlign w:val="bottom"/>
            <w:tcBorders>
              <w:top w:val="single" w:sz="8" w:color="auto"/>
              <w:bottom w:val="single" w:sz="8" w:color="auto"/>
            </w:tcBorders>
          </w:tcPr>
          <w:p>
            <w:pPr>
              <w:spacing w:after="0"/>
              <w:rPr>
                <w:sz w:val="9"/>
                <w:szCs w:val="9"/>
                <w:color w:val="auto"/>
              </w:rPr>
            </w:pPr>
          </w:p>
        </w:tc>
        <w:tc>
          <w:tcPr>
            <w:tcW w:w="74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b w:val="1"/>
                <w:bCs w:val="1"/>
                <w:color w:val="auto"/>
              </w:rPr>
              <w:t>61,076</w:t>
            </w:r>
          </w:p>
        </w:tc>
        <w:tc>
          <w:tcPr>
            <w:tcW w:w="20" w:type="dxa"/>
            <w:vAlign w:val="bottom"/>
            <w:tcBorders>
              <w:bottom w:val="single" w:sz="8" w:color="auto"/>
            </w:tcBorders>
          </w:tcPr>
          <w:p>
            <w:pPr>
              <w:spacing w:after="0"/>
              <w:rPr>
                <w:sz w:val="9"/>
                <w:szCs w:val="9"/>
                <w:color w:val="auto"/>
              </w:rPr>
            </w:pP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bl>
    <w:p>
      <w:pPr>
        <w:spacing w:after="0" w:line="299" w:lineRule="exact"/>
        <w:rPr>
          <w:sz w:val="20"/>
          <w:szCs w:val="20"/>
          <w:color w:val="auto"/>
        </w:rPr>
      </w:pPr>
    </w:p>
    <w:p>
      <w:pPr>
        <w:jc w:val="center"/>
        <w:ind w:right="-122"/>
        <w:spacing w:after="0"/>
        <w:rPr>
          <w:sz w:val="20"/>
          <w:szCs w:val="20"/>
          <w:color w:val="auto"/>
        </w:rPr>
      </w:pPr>
      <w:r>
        <w:rPr>
          <w:rFonts w:ascii="Arial" w:cs="Arial" w:eastAsia="Arial" w:hAnsi="Arial"/>
          <w:sz w:val="13"/>
          <w:szCs w:val="13"/>
          <w:color w:val="auto"/>
        </w:rPr>
        <w:t>F-74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32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363"/>
          </w:cols>
          <w:pgMar w:left="217" w:top="685" w:right="319" w:bottom="1440" w:gutter="0" w:footer="0" w:header="0"/>
        </w:sectPr>
      </w:pPr>
    </w:p>
    <w:bookmarkStart w:id="199" w:name="page200"/>
    <w:bookmarkEnd w:id="199"/>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33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165"/>
        </w:numPr>
        <w:rPr>
          <w:rFonts w:ascii="Arial" w:cs="Arial" w:eastAsia="Arial" w:hAnsi="Arial"/>
          <w:sz w:val="13"/>
          <w:szCs w:val="13"/>
          <w:b w:val="1"/>
          <w:bCs w:val="1"/>
          <w:color w:val="auto"/>
        </w:rPr>
      </w:pPr>
      <w:r>
        <w:rPr>
          <w:rFonts w:ascii="Arial" w:cs="Arial" w:eastAsia="Arial" w:hAnsi="Arial"/>
          <w:sz w:val="13"/>
          <w:szCs w:val="13"/>
          <w:b w:val="1"/>
          <w:bCs w:val="1"/>
          <w:color w:val="auto"/>
        </w:rPr>
        <w:t>Other comprehensive income</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breakdown of other comprehensive income (loss) relating to financial instruments at FVOCI, derivative financial instruments, and foreign currency translation is as follows:</w:t>
      </w:r>
    </w:p>
    <w:p>
      <w:pPr>
        <w:spacing w:after="0" w:line="155" w:lineRule="exact"/>
        <w:rPr>
          <w:sz w:val="20"/>
          <w:szCs w:val="20"/>
          <w:color w:val="auto"/>
        </w:rPr>
      </w:pPr>
    </w:p>
    <w:tbl>
      <w:tblPr>
        <w:tblLayout w:type="fixed"/>
        <w:tblInd w:w="223" w:type="dxa"/>
        <w:tblCellMar>
          <w:top w:w="0" w:type="dxa"/>
          <w:left w:w="0" w:type="dxa"/>
          <w:bottom w:w="0" w:type="dxa"/>
          <w:right w:w="0" w:type="dxa"/>
        </w:tblCellMar>
      </w:tblPr>
      <w:tr>
        <w:trPr>
          <w:trHeight w:val="154"/>
        </w:trPr>
        <w:tc>
          <w:tcPr>
            <w:tcW w:w="20" w:type="dxa"/>
            <w:vAlign w:val="bottom"/>
          </w:tcPr>
          <w:p>
            <w:pPr>
              <w:spacing w:after="0"/>
              <w:rPr>
                <w:sz w:val="13"/>
                <w:szCs w:val="13"/>
                <w:color w:val="auto"/>
              </w:rPr>
            </w:pPr>
          </w:p>
        </w:tc>
        <w:tc>
          <w:tcPr>
            <w:tcW w:w="544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2"/>
              </w:rPr>
              <w:t>Foreign</w:t>
            </w:r>
          </w:p>
        </w:tc>
        <w:tc>
          <w:tcPr>
            <w:tcW w:w="12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440" w:type="dxa"/>
            <w:vAlign w:val="bottom"/>
          </w:tcPr>
          <w:p>
            <w:pPr>
              <w:spacing w:after="0"/>
              <w:rPr>
                <w:sz w:val="13"/>
                <w:szCs w:val="13"/>
                <w:color w:val="auto"/>
              </w:rPr>
            </w:pPr>
          </w:p>
        </w:tc>
        <w:tc>
          <w:tcPr>
            <w:tcW w:w="1460" w:type="dxa"/>
            <w:vAlign w:val="bottom"/>
            <w:gridSpan w:val="2"/>
          </w:tcPr>
          <w:p>
            <w:pPr>
              <w:jc w:val="center"/>
              <w:ind w:right="183"/>
              <w:spacing w:after="0"/>
              <w:rPr>
                <w:sz w:val="20"/>
                <w:szCs w:val="20"/>
                <w:color w:val="auto"/>
              </w:rPr>
            </w:pPr>
            <w:r>
              <w:rPr>
                <w:rFonts w:ascii="Arial" w:cs="Arial" w:eastAsia="Arial" w:hAnsi="Arial"/>
                <w:sz w:val="13"/>
                <w:szCs w:val="13"/>
                <w:b w:val="1"/>
                <w:bCs w:val="1"/>
                <w:color w:val="auto"/>
                <w:w w:val="92"/>
              </w:rPr>
              <w:t>Financial</w:t>
            </w:r>
          </w:p>
        </w:tc>
        <w:tc>
          <w:tcPr>
            <w:tcW w:w="148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3"/>
              </w:rPr>
              <w:t>Derivative</w:t>
            </w:r>
          </w:p>
        </w:tc>
        <w:tc>
          <w:tcPr>
            <w:tcW w:w="14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7"/>
              </w:rPr>
              <w:t>currency</w:t>
            </w:r>
          </w:p>
        </w:tc>
        <w:tc>
          <w:tcPr>
            <w:tcW w:w="12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440" w:type="dxa"/>
            <w:vAlign w:val="bottom"/>
          </w:tcPr>
          <w:p>
            <w:pPr>
              <w:spacing w:after="0"/>
              <w:rPr>
                <w:sz w:val="13"/>
                <w:szCs w:val="13"/>
                <w:color w:val="auto"/>
              </w:rPr>
            </w:pPr>
          </w:p>
        </w:tc>
        <w:tc>
          <w:tcPr>
            <w:tcW w:w="1460" w:type="dxa"/>
            <w:vAlign w:val="bottom"/>
            <w:gridSpan w:val="2"/>
          </w:tcPr>
          <w:p>
            <w:pPr>
              <w:jc w:val="center"/>
              <w:ind w:right="183"/>
              <w:spacing w:after="0"/>
              <w:rPr>
                <w:sz w:val="20"/>
                <w:szCs w:val="20"/>
                <w:color w:val="auto"/>
              </w:rPr>
            </w:pPr>
            <w:r>
              <w:rPr>
                <w:rFonts w:ascii="Arial" w:cs="Arial" w:eastAsia="Arial" w:hAnsi="Arial"/>
                <w:sz w:val="13"/>
                <w:szCs w:val="13"/>
                <w:b w:val="1"/>
                <w:bCs w:val="1"/>
                <w:color w:val="auto"/>
                <w:w w:val="85"/>
              </w:rPr>
              <w:t>instruments</w:t>
            </w:r>
          </w:p>
        </w:tc>
        <w:tc>
          <w:tcPr>
            <w:tcW w:w="148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0"/>
              </w:rPr>
              <w:t>financial</w:t>
            </w:r>
          </w:p>
        </w:tc>
        <w:tc>
          <w:tcPr>
            <w:tcW w:w="14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0"/>
              </w:rPr>
              <w:t>translation</w:t>
            </w:r>
          </w:p>
        </w:tc>
        <w:tc>
          <w:tcPr>
            <w:tcW w:w="12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5440" w:type="dxa"/>
            <w:vAlign w:val="bottom"/>
          </w:tcPr>
          <w:p>
            <w:pPr>
              <w:spacing w:after="0"/>
              <w:rPr>
                <w:sz w:val="14"/>
                <w:szCs w:val="14"/>
                <w:color w:val="auto"/>
              </w:rPr>
            </w:pPr>
          </w:p>
        </w:tc>
        <w:tc>
          <w:tcPr>
            <w:tcW w:w="1460" w:type="dxa"/>
            <w:vAlign w:val="bottom"/>
            <w:gridSpan w:val="2"/>
          </w:tcPr>
          <w:p>
            <w:pPr>
              <w:jc w:val="center"/>
              <w:ind w:right="183"/>
              <w:spacing w:after="0"/>
              <w:rPr>
                <w:sz w:val="20"/>
                <w:szCs w:val="20"/>
                <w:color w:val="auto"/>
              </w:rPr>
            </w:pPr>
            <w:r>
              <w:rPr>
                <w:rFonts w:ascii="Arial" w:cs="Arial" w:eastAsia="Arial" w:hAnsi="Arial"/>
                <w:sz w:val="13"/>
                <w:szCs w:val="13"/>
                <w:b w:val="1"/>
                <w:bCs w:val="1"/>
                <w:color w:val="auto"/>
              </w:rPr>
              <w:t>at FVOCI</w:t>
            </w:r>
          </w:p>
        </w:tc>
        <w:tc>
          <w:tcPr>
            <w:tcW w:w="148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8"/>
              </w:rPr>
              <w:t>instruments</w:t>
            </w:r>
          </w:p>
        </w:tc>
        <w:tc>
          <w:tcPr>
            <w:tcW w:w="14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9"/>
              </w:rPr>
              <w:t>adjustment</w:t>
            </w:r>
          </w:p>
        </w:tc>
        <w:tc>
          <w:tcPr>
            <w:tcW w:w="1320" w:type="dxa"/>
            <w:vAlign w:val="bottom"/>
            <w:gridSpan w:val="3"/>
          </w:tcPr>
          <w:p>
            <w:pPr>
              <w:jc w:val="right"/>
              <w:ind w:right="580"/>
              <w:spacing w:after="0"/>
              <w:rPr>
                <w:sz w:val="20"/>
                <w:szCs w:val="20"/>
                <w:color w:val="auto"/>
              </w:rPr>
            </w:pPr>
            <w:r>
              <w:rPr>
                <w:rFonts w:ascii="Arial" w:cs="Arial" w:eastAsia="Arial" w:hAnsi="Arial"/>
                <w:sz w:val="13"/>
                <w:szCs w:val="13"/>
                <w:b w:val="1"/>
                <w:bCs w:val="1"/>
                <w:color w:val="auto"/>
              </w:rPr>
              <w:t>Total</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44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Balance as of January 1, 2016</w:t>
            </w:r>
          </w:p>
        </w:tc>
        <w:tc>
          <w:tcPr>
            <w:tcW w:w="12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(8,931)</w:t>
            </w: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(1,750)</w:t>
            </w:r>
          </w:p>
        </w:tc>
        <w:tc>
          <w:tcPr>
            <w:tcW w:w="24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(10,681)</w:t>
            </w:r>
          </w:p>
        </w:tc>
        <w:tc>
          <w:tcPr>
            <w:tcW w:w="120" w:type="dxa"/>
            <w:vAlign w:val="bottom"/>
            <w:tcBorders>
              <w:top w:val="single" w:sz="8" w:color="CCEEFF"/>
            </w:tcBorders>
            <w:gridSpan w:val="2"/>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544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440" w:type="dxa"/>
            <w:vAlign w:val="bottom"/>
            <w:shd w:val="clear" w:color="auto" w:fill="CCEEFF"/>
          </w:tcPr>
          <w:p>
            <w:pPr>
              <w:spacing w:after="0"/>
              <w:rPr>
                <w:sz w:val="20"/>
                <w:szCs w:val="20"/>
                <w:color w:val="auto"/>
              </w:rPr>
            </w:pPr>
            <w:r>
              <w:rPr>
                <w:rFonts w:ascii="Arial" w:cs="Arial" w:eastAsia="Arial" w:hAnsi="Arial"/>
                <w:sz w:val="13"/>
                <w:szCs w:val="13"/>
                <w:color w:val="auto"/>
              </w:rPr>
              <w:t>Change in fair value of debt instruments, net of hedging</w:t>
            </w:r>
          </w:p>
        </w:tc>
        <w:tc>
          <w:tcPr>
            <w:tcW w:w="1460" w:type="dxa"/>
            <w:vAlign w:val="bottom"/>
            <w:gridSpan w:val="2"/>
            <w:shd w:val="clear" w:color="auto" w:fill="CCEEFF"/>
          </w:tcPr>
          <w:p>
            <w:pPr>
              <w:jc w:val="right"/>
              <w:ind w:right="183"/>
              <w:spacing w:after="0"/>
              <w:rPr>
                <w:sz w:val="20"/>
                <w:szCs w:val="20"/>
                <w:color w:val="auto"/>
              </w:rPr>
            </w:pPr>
            <w:r>
              <w:rPr>
                <w:rFonts w:ascii="Arial" w:cs="Arial" w:eastAsia="Arial" w:hAnsi="Arial"/>
                <w:sz w:val="13"/>
                <w:szCs w:val="13"/>
                <w:color w:val="auto"/>
              </w:rPr>
              <w:t>7,048</w:t>
            </w:r>
          </w:p>
        </w:tc>
        <w:tc>
          <w:tcPr>
            <w:tcW w:w="14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4,383</w:t>
            </w:r>
          </w:p>
        </w:tc>
        <w:tc>
          <w:tcPr>
            <w:tcW w:w="12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11,431</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93"/>
        </w:trPr>
        <w:tc>
          <w:tcPr>
            <w:tcW w:w="20" w:type="dxa"/>
            <w:vAlign w:val="bottom"/>
          </w:tcPr>
          <w:p>
            <w:pPr>
              <w:spacing w:after="0"/>
              <w:rPr>
                <w:sz w:val="16"/>
                <w:szCs w:val="16"/>
                <w:color w:val="auto"/>
              </w:rPr>
            </w:pPr>
          </w:p>
        </w:tc>
        <w:tc>
          <w:tcPr>
            <w:tcW w:w="5440" w:type="dxa"/>
            <w:vAlign w:val="bottom"/>
          </w:tcPr>
          <w:p>
            <w:pPr>
              <w:spacing w:after="0" w:line="193" w:lineRule="exact"/>
              <w:rPr>
                <w:sz w:val="20"/>
                <w:szCs w:val="20"/>
                <w:color w:val="auto"/>
              </w:rPr>
            </w:pPr>
            <w:r>
              <w:rPr>
                <w:rFonts w:ascii="Arial" w:cs="Arial" w:eastAsia="Arial" w:hAnsi="Arial"/>
                <w:sz w:val="13"/>
                <w:szCs w:val="13"/>
                <w:color w:val="auto"/>
              </w:rPr>
              <w:t xml:space="preserve">Reclassification of gains (losses) on financial instruments included in profit or loss </w:t>
            </w:r>
            <w:r>
              <w:rPr>
                <w:rFonts w:ascii="Arial" w:cs="Arial" w:eastAsia="Arial" w:hAnsi="Arial"/>
                <w:sz w:val="21"/>
                <w:szCs w:val="21"/>
                <w:color w:val="auto"/>
                <w:vertAlign w:val="superscript"/>
              </w:rPr>
              <w:t>(1)</w:t>
            </w:r>
          </w:p>
        </w:tc>
        <w:tc>
          <w:tcPr>
            <w:tcW w:w="1460" w:type="dxa"/>
            <w:vAlign w:val="bottom"/>
            <w:gridSpan w:val="2"/>
          </w:tcPr>
          <w:p>
            <w:pPr>
              <w:jc w:val="right"/>
              <w:ind w:right="183"/>
              <w:spacing w:after="0"/>
              <w:rPr>
                <w:sz w:val="20"/>
                <w:szCs w:val="20"/>
                <w:color w:val="auto"/>
              </w:rPr>
            </w:pPr>
            <w:r>
              <w:rPr>
                <w:rFonts w:ascii="Arial" w:cs="Arial" w:eastAsia="Arial" w:hAnsi="Arial"/>
                <w:sz w:val="13"/>
                <w:szCs w:val="13"/>
                <w:color w:val="auto"/>
              </w:rPr>
              <w:t>1,030</w:t>
            </w:r>
          </w:p>
        </w:tc>
        <w:tc>
          <w:tcPr>
            <w:tcW w:w="1480" w:type="dxa"/>
            <w:vAlign w:val="bottom"/>
            <w:gridSpan w:val="2"/>
          </w:tcPr>
          <w:p>
            <w:pPr>
              <w:jc w:val="right"/>
              <w:ind w:right="200"/>
              <w:spacing w:after="0"/>
              <w:rPr>
                <w:sz w:val="20"/>
                <w:szCs w:val="20"/>
                <w:color w:val="auto"/>
              </w:rPr>
            </w:pPr>
            <w:r>
              <w:rPr>
                <w:rFonts w:ascii="Arial" w:cs="Arial" w:eastAsia="Arial" w:hAnsi="Arial"/>
                <w:sz w:val="13"/>
                <w:szCs w:val="13"/>
                <w:color w:val="auto"/>
              </w:rPr>
              <w:t>(4,581)</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320" w:type="dxa"/>
            <w:vAlign w:val="bottom"/>
            <w:gridSpan w:val="3"/>
          </w:tcPr>
          <w:p>
            <w:pPr>
              <w:jc w:val="right"/>
              <w:ind w:right="60"/>
              <w:spacing w:after="0"/>
              <w:rPr>
                <w:sz w:val="20"/>
                <w:szCs w:val="20"/>
                <w:color w:val="auto"/>
              </w:rPr>
            </w:pPr>
            <w:r>
              <w:rPr>
                <w:rFonts w:ascii="Arial" w:cs="Arial" w:eastAsia="Arial" w:hAnsi="Arial"/>
                <w:sz w:val="13"/>
                <w:szCs w:val="13"/>
                <w:color w:val="auto"/>
              </w:rPr>
              <w:t>(3,551)</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440" w:type="dxa"/>
            <w:vAlign w:val="bottom"/>
            <w:tcBorders>
              <w:top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Other comprehensive income (loss) for the year</w:t>
            </w:r>
          </w:p>
        </w:tc>
        <w:tc>
          <w:tcPr>
            <w:tcW w:w="12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8,078</w:t>
            </w: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(198)</w:t>
            </w:r>
          </w:p>
        </w:tc>
        <w:tc>
          <w:tcPr>
            <w:tcW w:w="24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7,880</w:t>
            </w:r>
          </w:p>
        </w:tc>
        <w:tc>
          <w:tcPr>
            <w:tcW w:w="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440" w:type="dxa"/>
            <w:vAlign w:val="bottom"/>
          </w:tcPr>
          <w:p>
            <w:pPr>
              <w:spacing w:after="0" w:line="144" w:lineRule="exact"/>
              <w:rPr>
                <w:sz w:val="20"/>
                <w:szCs w:val="20"/>
                <w:color w:val="auto"/>
              </w:rPr>
            </w:pPr>
            <w:r>
              <w:rPr>
                <w:rFonts w:ascii="Arial" w:cs="Arial" w:eastAsia="Arial" w:hAnsi="Arial"/>
                <w:sz w:val="13"/>
                <w:szCs w:val="13"/>
                <w:b w:val="1"/>
                <w:bCs w:val="1"/>
                <w:color w:val="auto"/>
              </w:rPr>
              <w:t>Balance as of December 31, 2016</w:t>
            </w:r>
          </w:p>
        </w:tc>
        <w:tc>
          <w:tcPr>
            <w:tcW w:w="1240" w:type="dxa"/>
            <w:vAlign w:val="bottom"/>
          </w:tcPr>
          <w:p>
            <w:pPr>
              <w:jc w:val="right"/>
              <w:spacing w:after="0" w:line="144" w:lineRule="exact"/>
              <w:rPr>
                <w:sz w:val="20"/>
                <w:szCs w:val="20"/>
                <w:color w:val="auto"/>
              </w:rPr>
            </w:pPr>
            <w:r>
              <w:rPr>
                <w:rFonts w:ascii="Arial" w:cs="Arial" w:eastAsia="Arial" w:hAnsi="Arial"/>
                <w:sz w:val="13"/>
                <w:szCs w:val="13"/>
                <w:b w:val="1"/>
                <w:bCs w:val="1"/>
                <w:color w:val="auto"/>
              </w:rPr>
              <w:t>(853)</w:t>
            </w:r>
          </w:p>
        </w:tc>
        <w:tc>
          <w:tcPr>
            <w:tcW w:w="220" w:type="dxa"/>
            <w:vAlign w:val="bottom"/>
          </w:tcPr>
          <w:p>
            <w:pPr>
              <w:spacing w:after="0"/>
              <w:rPr>
                <w:sz w:val="12"/>
                <w:szCs w:val="12"/>
                <w:color w:val="auto"/>
              </w:rPr>
            </w:pPr>
          </w:p>
        </w:tc>
        <w:tc>
          <w:tcPr>
            <w:tcW w:w="1240" w:type="dxa"/>
            <w:vAlign w:val="bottom"/>
          </w:tcPr>
          <w:p>
            <w:pPr>
              <w:jc w:val="right"/>
              <w:spacing w:after="0" w:line="144" w:lineRule="exact"/>
              <w:rPr>
                <w:sz w:val="20"/>
                <w:szCs w:val="20"/>
                <w:color w:val="auto"/>
              </w:rPr>
            </w:pPr>
            <w:r>
              <w:rPr>
                <w:rFonts w:ascii="Arial" w:cs="Arial" w:eastAsia="Arial" w:hAnsi="Arial"/>
                <w:sz w:val="13"/>
                <w:szCs w:val="13"/>
                <w:b w:val="1"/>
                <w:bCs w:val="1"/>
                <w:color w:val="auto"/>
              </w:rPr>
              <w:t>(1,948)</w:t>
            </w:r>
          </w:p>
        </w:tc>
        <w:tc>
          <w:tcPr>
            <w:tcW w:w="240" w:type="dxa"/>
            <w:vAlign w:val="bottom"/>
          </w:tcPr>
          <w:p>
            <w:pPr>
              <w:spacing w:after="0"/>
              <w:rPr>
                <w:sz w:val="12"/>
                <w:szCs w:val="12"/>
                <w:color w:val="auto"/>
              </w:rPr>
            </w:pPr>
          </w:p>
        </w:tc>
        <w:tc>
          <w:tcPr>
            <w:tcW w:w="1200" w:type="dxa"/>
            <w:vAlign w:val="bottom"/>
          </w:tcPr>
          <w:p>
            <w:pPr>
              <w:jc w:val="right"/>
              <w:spacing w:after="0" w:line="144" w:lineRule="exact"/>
              <w:rPr>
                <w:sz w:val="20"/>
                <w:szCs w:val="20"/>
                <w:color w:val="auto"/>
              </w:rPr>
            </w:pPr>
            <w:r>
              <w:rPr>
                <w:rFonts w:ascii="Arial" w:cs="Arial" w:eastAsia="Arial" w:hAnsi="Arial"/>
                <w:sz w:val="13"/>
                <w:szCs w:val="13"/>
                <w:b w:val="1"/>
                <w:bCs w:val="1"/>
                <w:color w:val="auto"/>
              </w:rPr>
              <w:t>-</w:t>
            </w:r>
          </w:p>
        </w:tc>
        <w:tc>
          <w:tcPr>
            <w:tcW w:w="220" w:type="dxa"/>
            <w:vAlign w:val="bottom"/>
          </w:tcPr>
          <w:p>
            <w:pPr>
              <w:spacing w:after="0"/>
              <w:rPr>
                <w:sz w:val="12"/>
                <w:szCs w:val="12"/>
                <w:color w:val="auto"/>
              </w:rPr>
            </w:pPr>
          </w:p>
        </w:tc>
        <w:tc>
          <w:tcPr>
            <w:tcW w:w="1200" w:type="dxa"/>
            <w:vAlign w:val="bottom"/>
          </w:tcPr>
          <w:p>
            <w:pPr>
              <w:jc w:val="right"/>
              <w:spacing w:after="0" w:line="144" w:lineRule="exact"/>
              <w:rPr>
                <w:sz w:val="20"/>
                <w:szCs w:val="20"/>
                <w:color w:val="auto"/>
              </w:rPr>
            </w:pPr>
            <w:r>
              <w:rPr>
                <w:rFonts w:ascii="Arial" w:cs="Arial" w:eastAsia="Arial" w:hAnsi="Arial"/>
                <w:sz w:val="13"/>
                <w:szCs w:val="13"/>
                <w:b w:val="1"/>
                <w:bCs w:val="1"/>
                <w:color w:val="auto"/>
              </w:rPr>
              <w:t>(2,801)</w:t>
            </w:r>
          </w:p>
        </w:tc>
        <w:tc>
          <w:tcPr>
            <w:tcW w:w="120" w:type="dxa"/>
            <w:vAlign w:val="bottom"/>
            <w:gridSpan w:val="2"/>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44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440" w:type="dxa"/>
            <w:vAlign w:val="bottom"/>
          </w:tcPr>
          <w:p>
            <w:pPr>
              <w:spacing w:after="0"/>
              <w:rPr>
                <w:sz w:val="20"/>
                <w:szCs w:val="20"/>
                <w:color w:val="auto"/>
              </w:rPr>
            </w:pPr>
            <w:r>
              <w:rPr>
                <w:rFonts w:ascii="Arial" w:cs="Arial" w:eastAsia="Arial" w:hAnsi="Arial"/>
                <w:sz w:val="13"/>
                <w:szCs w:val="13"/>
                <w:color w:val="auto"/>
              </w:rPr>
              <w:t>Change in fair value of debt instruments, net of hedging</w:t>
            </w:r>
          </w:p>
        </w:tc>
        <w:tc>
          <w:tcPr>
            <w:tcW w:w="1460" w:type="dxa"/>
            <w:vAlign w:val="bottom"/>
            <w:gridSpan w:val="2"/>
          </w:tcPr>
          <w:p>
            <w:pPr>
              <w:jc w:val="right"/>
              <w:ind w:right="183"/>
              <w:spacing w:after="0"/>
              <w:rPr>
                <w:sz w:val="20"/>
                <w:szCs w:val="20"/>
                <w:color w:val="auto"/>
              </w:rPr>
            </w:pPr>
            <w:r>
              <w:rPr>
                <w:rFonts w:ascii="Arial" w:cs="Arial" w:eastAsia="Arial" w:hAnsi="Arial"/>
                <w:sz w:val="13"/>
                <w:szCs w:val="13"/>
                <w:color w:val="auto"/>
              </w:rPr>
              <w:t>612</w:t>
            </w:r>
          </w:p>
        </w:tc>
        <w:tc>
          <w:tcPr>
            <w:tcW w:w="1480" w:type="dxa"/>
            <w:vAlign w:val="bottom"/>
            <w:gridSpan w:val="2"/>
          </w:tcPr>
          <w:p>
            <w:pPr>
              <w:jc w:val="right"/>
              <w:ind w:right="200"/>
              <w:spacing w:after="0"/>
              <w:rPr>
                <w:sz w:val="20"/>
                <w:szCs w:val="20"/>
                <w:color w:val="auto"/>
              </w:rPr>
            </w:pPr>
            <w:r>
              <w:rPr>
                <w:rFonts w:ascii="Arial" w:cs="Arial" w:eastAsia="Arial" w:hAnsi="Arial"/>
                <w:sz w:val="13"/>
                <w:szCs w:val="13"/>
                <w:color w:val="auto"/>
              </w:rPr>
              <w:t>(8)</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220" w:type="dxa"/>
            <w:vAlign w:val="bottom"/>
            <w:gridSpan w:val="2"/>
          </w:tcPr>
          <w:p>
            <w:pPr>
              <w:jc w:val="right"/>
              <w:ind w:right="20"/>
              <w:spacing w:after="0"/>
              <w:rPr>
                <w:sz w:val="20"/>
                <w:szCs w:val="20"/>
                <w:color w:val="auto"/>
              </w:rPr>
            </w:pPr>
            <w:r>
              <w:rPr>
                <w:rFonts w:ascii="Arial" w:cs="Arial" w:eastAsia="Arial" w:hAnsi="Arial"/>
                <w:sz w:val="13"/>
                <w:szCs w:val="13"/>
                <w:color w:val="auto"/>
              </w:rPr>
              <w:t>604</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440" w:type="dxa"/>
            <w:vAlign w:val="bottom"/>
            <w:shd w:val="clear" w:color="auto" w:fill="CCEEFF"/>
          </w:tcPr>
          <w:p>
            <w:pPr>
              <w:spacing w:after="0"/>
              <w:rPr>
                <w:sz w:val="20"/>
                <w:szCs w:val="20"/>
                <w:color w:val="auto"/>
              </w:rPr>
            </w:pPr>
            <w:r>
              <w:rPr>
                <w:rFonts w:ascii="Arial" w:cs="Arial" w:eastAsia="Arial" w:hAnsi="Arial"/>
                <w:sz w:val="13"/>
                <w:szCs w:val="13"/>
                <w:color w:val="auto"/>
              </w:rPr>
              <w:t>Change in fair value of equity instruments at FVOCI, net of hedging</w:t>
            </w:r>
          </w:p>
        </w:tc>
        <w:tc>
          <w:tcPr>
            <w:tcW w:w="1460" w:type="dxa"/>
            <w:vAlign w:val="bottom"/>
            <w:gridSpan w:val="2"/>
            <w:shd w:val="clear" w:color="auto" w:fill="CCEEFF"/>
          </w:tcPr>
          <w:p>
            <w:pPr>
              <w:jc w:val="right"/>
              <w:ind w:right="143"/>
              <w:spacing w:after="0"/>
              <w:rPr>
                <w:sz w:val="20"/>
                <w:szCs w:val="20"/>
                <w:color w:val="auto"/>
              </w:rPr>
            </w:pPr>
            <w:r>
              <w:rPr>
                <w:rFonts w:ascii="Arial" w:cs="Arial" w:eastAsia="Arial" w:hAnsi="Arial"/>
                <w:sz w:val="13"/>
                <w:szCs w:val="13"/>
                <w:color w:val="auto"/>
              </w:rPr>
              <w:t>(228)</w:t>
            </w:r>
          </w:p>
        </w:tc>
        <w:tc>
          <w:tcPr>
            <w:tcW w:w="14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415</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187</w:t>
            </w: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83"/>
        </w:trPr>
        <w:tc>
          <w:tcPr>
            <w:tcW w:w="20" w:type="dxa"/>
            <w:vAlign w:val="bottom"/>
          </w:tcPr>
          <w:p>
            <w:pPr>
              <w:spacing w:after="0"/>
              <w:rPr>
                <w:sz w:val="15"/>
                <w:szCs w:val="15"/>
                <w:color w:val="auto"/>
              </w:rPr>
            </w:pPr>
          </w:p>
        </w:tc>
        <w:tc>
          <w:tcPr>
            <w:tcW w:w="5440" w:type="dxa"/>
            <w:vAlign w:val="bottom"/>
          </w:tcPr>
          <w:p>
            <w:pPr>
              <w:spacing w:after="0" w:line="183" w:lineRule="exact"/>
              <w:rPr>
                <w:sz w:val="20"/>
                <w:szCs w:val="20"/>
                <w:color w:val="auto"/>
              </w:rPr>
            </w:pPr>
            <w:r>
              <w:rPr>
                <w:rFonts w:ascii="Arial" w:cs="Arial" w:eastAsia="Arial" w:hAnsi="Arial"/>
                <w:sz w:val="13"/>
                <w:szCs w:val="13"/>
                <w:color w:val="auto"/>
              </w:rPr>
              <w:t xml:space="preserve">Reclassification of gains (losses) on financial instruments included in profit or loss </w:t>
            </w:r>
            <w:r>
              <w:rPr>
                <w:rFonts w:ascii="Arial" w:cs="Arial" w:eastAsia="Arial" w:hAnsi="Arial"/>
                <w:sz w:val="21"/>
                <w:szCs w:val="21"/>
                <w:color w:val="auto"/>
                <w:vertAlign w:val="superscript"/>
              </w:rPr>
              <w:t>(1)</w:t>
            </w:r>
          </w:p>
        </w:tc>
        <w:tc>
          <w:tcPr>
            <w:tcW w:w="1460" w:type="dxa"/>
            <w:vAlign w:val="bottom"/>
            <w:gridSpan w:val="2"/>
          </w:tcPr>
          <w:p>
            <w:pPr>
              <w:jc w:val="right"/>
              <w:ind w:right="183"/>
              <w:spacing w:after="0"/>
              <w:rPr>
                <w:sz w:val="20"/>
                <w:szCs w:val="20"/>
                <w:color w:val="auto"/>
              </w:rPr>
            </w:pPr>
            <w:r>
              <w:rPr>
                <w:rFonts w:ascii="Arial" w:cs="Arial" w:eastAsia="Arial" w:hAnsi="Arial"/>
                <w:sz w:val="13"/>
                <w:szCs w:val="13"/>
                <w:color w:val="auto"/>
              </w:rPr>
              <w:t>84</w:t>
            </w:r>
          </w:p>
        </w:tc>
        <w:tc>
          <w:tcPr>
            <w:tcW w:w="1480" w:type="dxa"/>
            <w:vAlign w:val="bottom"/>
            <w:gridSpan w:val="2"/>
          </w:tcPr>
          <w:p>
            <w:pPr>
              <w:jc w:val="right"/>
              <w:ind w:right="240"/>
              <w:spacing w:after="0"/>
              <w:rPr>
                <w:sz w:val="20"/>
                <w:szCs w:val="20"/>
                <w:color w:val="auto"/>
              </w:rPr>
            </w:pPr>
            <w:r>
              <w:rPr>
                <w:rFonts w:ascii="Arial" w:cs="Arial" w:eastAsia="Arial" w:hAnsi="Arial"/>
                <w:sz w:val="13"/>
                <w:szCs w:val="13"/>
                <w:color w:val="auto"/>
              </w:rPr>
              <w:t>2,399</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220" w:type="dxa"/>
            <w:vAlign w:val="bottom"/>
            <w:gridSpan w:val="2"/>
          </w:tcPr>
          <w:p>
            <w:pPr>
              <w:jc w:val="right"/>
              <w:ind w:right="20"/>
              <w:spacing w:after="0"/>
              <w:rPr>
                <w:sz w:val="20"/>
                <w:szCs w:val="20"/>
                <w:color w:val="auto"/>
              </w:rPr>
            </w:pPr>
            <w:r>
              <w:rPr>
                <w:rFonts w:ascii="Arial" w:cs="Arial" w:eastAsia="Arial" w:hAnsi="Arial"/>
                <w:sz w:val="13"/>
                <w:szCs w:val="13"/>
                <w:color w:val="auto"/>
              </w:rPr>
              <w:t>2,483</w:t>
            </w: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440" w:type="dxa"/>
            <w:vAlign w:val="bottom"/>
            <w:shd w:val="clear" w:color="auto" w:fill="CCEEFF"/>
          </w:tcPr>
          <w:p>
            <w:pPr>
              <w:spacing w:after="0"/>
              <w:rPr>
                <w:sz w:val="20"/>
                <w:szCs w:val="20"/>
                <w:color w:val="auto"/>
              </w:rPr>
            </w:pPr>
            <w:r>
              <w:rPr>
                <w:rFonts w:ascii="Arial" w:cs="Arial" w:eastAsia="Arial" w:hAnsi="Arial"/>
                <w:sz w:val="13"/>
                <w:szCs w:val="13"/>
                <w:color w:val="auto"/>
              </w:rPr>
              <w:t>Exchange difference in conversion of foreign operating currency</w:t>
            </w:r>
          </w:p>
        </w:tc>
        <w:tc>
          <w:tcPr>
            <w:tcW w:w="1460" w:type="dxa"/>
            <w:vAlign w:val="bottom"/>
            <w:gridSpan w:val="2"/>
            <w:shd w:val="clear" w:color="auto" w:fill="CCEEFF"/>
          </w:tcPr>
          <w:p>
            <w:pPr>
              <w:jc w:val="right"/>
              <w:ind w:right="183"/>
              <w:spacing w:after="0"/>
              <w:rPr>
                <w:sz w:val="20"/>
                <w:szCs w:val="20"/>
                <w:color w:val="auto"/>
              </w:rPr>
            </w:pPr>
            <w:r>
              <w:rPr>
                <w:rFonts w:ascii="Arial" w:cs="Arial" w:eastAsia="Arial" w:hAnsi="Arial"/>
                <w:sz w:val="13"/>
                <w:szCs w:val="13"/>
                <w:color w:val="auto"/>
              </w:rPr>
              <w:t>-</w:t>
            </w:r>
          </w:p>
        </w:tc>
        <w:tc>
          <w:tcPr>
            <w:tcW w:w="14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1,490</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1,490</w:t>
            </w:r>
          </w:p>
        </w:tc>
        <w:tc>
          <w:tcPr>
            <w:tcW w:w="1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440" w:type="dxa"/>
            <w:vAlign w:val="bottom"/>
            <w:tcBorders>
              <w:bottom w:val="single" w:sz="8" w:color="CCEEFF"/>
            </w:tcBorders>
          </w:tcPr>
          <w:p>
            <w:pPr>
              <w:spacing w:after="0" w:line="143" w:lineRule="exact"/>
              <w:rPr>
                <w:sz w:val="20"/>
                <w:szCs w:val="20"/>
                <w:color w:val="auto"/>
              </w:rPr>
            </w:pPr>
            <w:r>
              <w:rPr>
                <w:rFonts w:ascii="Arial" w:cs="Arial" w:eastAsia="Arial" w:hAnsi="Arial"/>
                <w:sz w:val="13"/>
                <w:szCs w:val="13"/>
                <w:color w:val="auto"/>
              </w:rPr>
              <w:t>Other comprehensive income (loss) for the year</w:t>
            </w:r>
          </w:p>
        </w:tc>
        <w:tc>
          <w:tcPr>
            <w:tcW w:w="12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468</w:t>
            </w:r>
          </w:p>
        </w:tc>
        <w:tc>
          <w:tcPr>
            <w:tcW w:w="220" w:type="dxa"/>
            <w:vAlign w:val="bottom"/>
            <w:tcBorders>
              <w:bottom w:val="single" w:sz="8" w:color="CCEEFF"/>
            </w:tcBorders>
          </w:tcPr>
          <w:p>
            <w:pPr>
              <w:spacing w:after="0"/>
              <w:rPr>
                <w:sz w:val="12"/>
                <w:szCs w:val="12"/>
                <w:color w:val="auto"/>
              </w:rPr>
            </w:pPr>
          </w:p>
        </w:tc>
        <w:tc>
          <w:tcPr>
            <w:tcW w:w="12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2,806</w:t>
            </w:r>
          </w:p>
        </w:tc>
        <w:tc>
          <w:tcPr>
            <w:tcW w:w="240" w:type="dxa"/>
            <w:vAlign w:val="bottom"/>
            <w:tcBorders>
              <w:bottom w:val="single" w:sz="8" w:color="CCEEFF"/>
            </w:tcBorders>
          </w:tcPr>
          <w:p>
            <w:pPr>
              <w:spacing w:after="0"/>
              <w:rPr>
                <w:sz w:val="12"/>
                <w:szCs w:val="12"/>
                <w:color w:val="auto"/>
              </w:rPr>
            </w:pPr>
          </w:p>
        </w:tc>
        <w:tc>
          <w:tcPr>
            <w:tcW w:w="120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1,490</w:t>
            </w:r>
          </w:p>
        </w:tc>
        <w:tc>
          <w:tcPr>
            <w:tcW w:w="220" w:type="dxa"/>
            <w:vAlign w:val="bottom"/>
            <w:tcBorders>
              <w:bottom w:val="single" w:sz="8" w:color="CCEEFF"/>
            </w:tcBorders>
          </w:tcPr>
          <w:p>
            <w:pPr>
              <w:spacing w:after="0"/>
              <w:rPr>
                <w:sz w:val="12"/>
                <w:szCs w:val="12"/>
                <w:color w:val="auto"/>
              </w:rPr>
            </w:pPr>
          </w:p>
        </w:tc>
        <w:tc>
          <w:tcPr>
            <w:tcW w:w="120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4,764</w:t>
            </w:r>
          </w:p>
        </w:tc>
        <w:tc>
          <w:tcPr>
            <w:tcW w:w="20" w:type="dxa"/>
            <w:vAlign w:val="bottom"/>
            <w:tcBorders>
              <w:bottom w:val="single" w:sz="8" w:color="CCEEFF"/>
            </w:tcBorders>
          </w:tcPr>
          <w:p>
            <w:pPr>
              <w:spacing w:after="0"/>
              <w:rPr>
                <w:sz w:val="12"/>
                <w:szCs w:val="12"/>
                <w:color w:val="auto"/>
              </w:rPr>
            </w:pPr>
          </w:p>
        </w:tc>
        <w:tc>
          <w:tcPr>
            <w:tcW w:w="100" w:type="dxa"/>
            <w:vAlign w:val="bottom"/>
            <w:tcBorders>
              <w:bottom w:val="single" w:sz="8" w:color="CCEEFF"/>
            </w:tcBorders>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440" w:type="dxa"/>
            <w:vAlign w:val="bottom"/>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Balance as of December 31, 2017</w:t>
            </w:r>
          </w:p>
        </w:tc>
        <w:tc>
          <w:tcPr>
            <w:tcW w:w="124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(385)</w:t>
            </w:r>
          </w:p>
        </w:tc>
        <w:tc>
          <w:tcPr>
            <w:tcW w:w="220" w:type="dxa"/>
            <w:vAlign w:val="bottom"/>
            <w:shd w:val="clear" w:color="auto" w:fill="CCEEFF"/>
          </w:tcPr>
          <w:p>
            <w:pPr>
              <w:spacing w:after="0"/>
              <w:rPr>
                <w:sz w:val="12"/>
                <w:szCs w:val="12"/>
                <w:color w:val="auto"/>
              </w:rPr>
            </w:pPr>
          </w:p>
        </w:tc>
        <w:tc>
          <w:tcPr>
            <w:tcW w:w="124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858</w:t>
            </w:r>
          </w:p>
        </w:tc>
        <w:tc>
          <w:tcPr>
            <w:tcW w:w="240" w:type="dxa"/>
            <w:vAlign w:val="bottom"/>
            <w:shd w:val="clear" w:color="auto" w:fill="CCEEFF"/>
          </w:tcPr>
          <w:p>
            <w:pPr>
              <w:spacing w:after="0"/>
              <w:rPr>
                <w:sz w:val="12"/>
                <w:szCs w:val="12"/>
                <w:color w:val="auto"/>
              </w:rPr>
            </w:pPr>
          </w:p>
        </w:tc>
        <w:tc>
          <w:tcPr>
            <w:tcW w:w="120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1,490</w:t>
            </w:r>
          </w:p>
        </w:tc>
        <w:tc>
          <w:tcPr>
            <w:tcW w:w="220" w:type="dxa"/>
            <w:vAlign w:val="bottom"/>
            <w:shd w:val="clear" w:color="auto" w:fill="CCEEFF"/>
          </w:tcPr>
          <w:p>
            <w:pPr>
              <w:spacing w:after="0"/>
              <w:rPr>
                <w:sz w:val="12"/>
                <w:szCs w:val="12"/>
                <w:color w:val="auto"/>
              </w:rPr>
            </w:pPr>
          </w:p>
        </w:tc>
        <w:tc>
          <w:tcPr>
            <w:tcW w:w="120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1,963</w:t>
            </w: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44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440" w:type="dxa"/>
            <w:vAlign w:val="bottom"/>
            <w:shd w:val="clear" w:color="auto" w:fill="CCEEFF"/>
          </w:tcPr>
          <w:p>
            <w:pPr>
              <w:spacing w:after="0"/>
              <w:rPr>
                <w:sz w:val="20"/>
                <w:szCs w:val="20"/>
                <w:color w:val="auto"/>
              </w:rPr>
            </w:pPr>
            <w:r>
              <w:rPr>
                <w:rFonts w:ascii="Arial" w:cs="Arial" w:eastAsia="Arial" w:hAnsi="Arial"/>
                <w:sz w:val="13"/>
                <w:szCs w:val="13"/>
                <w:color w:val="auto"/>
              </w:rPr>
              <w:t>Change in fair value of debt instruments, net of hedging</w:t>
            </w:r>
          </w:p>
        </w:tc>
        <w:tc>
          <w:tcPr>
            <w:tcW w:w="1460" w:type="dxa"/>
            <w:vAlign w:val="bottom"/>
            <w:gridSpan w:val="2"/>
            <w:shd w:val="clear" w:color="auto" w:fill="CCEEFF"/>
          </w:tcPr>
          <w:p>
            <w:pPr>
              <w:jc w:val="right"/>
              <w:ind w:right="143"/>
              <w:spacing w:after="0"/>
              <w:rPr>
                <w:sz w:val="20"/>
                <w:szCs w:val="20"/>
                <w:color w:val="auto"/>
              </w:rPr>
            </w:pPr>
            <w:r>
              <w:rPr>
                <w:rFonts w:ascii="Arial" w:cs="Arial" w:eastAsia="Arial" w:hAnsi="Arial"/>
                <w:sz w:val="13"/>
                <w:szCs w:val="13"/>
                <w:color w:val="auto"/>
              </w:rPr>
              <w:t>(254)</w:t>
            </w:r>
          </w:p>
        </w:tc>
        <w:tc>
          <w:tcPr>
            <w:tcW w:w="148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(4,375)</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32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(4,629)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440" w:type="dxa"/>
            <w:vAlign w:val="bottom"/>
          </w:tcPr>
          <w:p>
            <w:pPr>
              <w:spacing w:after="0"/>
              <w:rPr>
                <w:sz w:val="20"/>
                <w:szCs w:val="20"/>
                <w:color w:val="auto"/>
              </w:rPr>
            </w:pPr>
            <w:r>
              <w:rPr>
                <w:rFonts w:ascii="Arial" w:cs="Arial" w:eastAsia="Arial" w:hAnsi="Arial"/>
                <w:sz w:val="13"/>
                <w:szCs w:val="13"/>
                <w:color w:val="auto"/>
              </w:rPr>
              <w:t>Change in fair value of equity instruments at FVOCI, net of hedging</w:t>
            </w:r>
          </w:p>
        </w:tc>
        <w:tc>
          <w:tcPr>
            <w:tcW w:w="1460" w:type="dxa"/>
            <w:vAlign w:val="bottom"/>
            <w:gridSpan w:val="2"/>
          </w:tcPr>
          <w:p>
            <w:pPr>
              <w:jc w:val="right"/>
              <w:ind w:right="143"/>
              <w:spacing w:after="0"/>
              <w:rPr>
                <w:sz w:val="20"/>
                <w:szCs w:val="20"/>
                <w:color w:val="auto"/>
              </w:rPr>
            </w:pPr>
            <w:r>
              <w:rPr>
                <w:rFonts w:ascii="Arial" w:cs="Arial" w:eastAsia="Arial" w:hAnsi="Arial"/>
                <w:sz w:val="13"/>
                <w:szCs w:val="13"/>
                <w:color w:val="auto"/>
              </w:rPr>
              <w:t>(2,074)</w:t>
            </w:r>
          </w:p>
        </w:tc>
        <w:tc>
          <w:tcPr>
            <w:tcW w:w="1480" w:type="dxa"/>
            <w:vAlign w:val="bottom"/>
            <w:gridSpan w:val="2"/>
          </w:tcPr>
          <w:p>
            <w:pPr>
              <w:jc w:val="right"/>
              <w:ind w:right="240"/>
              <w:spacing w:after="0"/>
              <w:rPr>
                <w:sz w:val="20"/>
                <w:szCs w:val="20"/>
                <w:color w:val="auto"/>
              </w:rPr>
            </w:pPr>
            <w:r>
              <w:rPr>
                <w:rFonts w:ascii="Arial" w:cs="Arial" w:eastAsia="Arial" w:hAnsi="Arial"/>
                <w:sz w:val="13"/>
                <w:szCs w:val="13"/>
                <w:color w:val="auto"/>
              </w:rPr>
              <w:t>850</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320" w:type="dxa"/>
            <w:vAlign w:val="bottom"/>
            <w:gridSpan w:val="3"/>
          </w:tcPr>
          <w:p>
            <w:pPr>
              <w:jc w:val="right"/>
              <w:ind w:right="60"/>
              <w:spacing w:after="0"/>
              <w:rPr>
                <w:sz w:val="20"/>
                <w:szCs w:val="20"/>
                <w:color w:val="auto"/>
              </w:rPr>
            </w:pPr>
            <w:r>
              <w:rPr>
                <w:rFonts w:ascii="Arial" w:cs="Arial" w:eastAsia="Arial" w:hAnsi="Arial"/>
                <w:sz w:val="13"/>
                <w:szCs w:val="13"/>
                <w:color w:val="auto"/>
              </w:rPr>
              <w:t>(1,224)</w:t>
            </w:r>
          </w:p>
        </w:tc>
        <w:tc>
          <w:tcPr>
            <w:tcW w:w="0" w:type="dxa"/>
            <w:vAlign w:val="bottom"/>
          </w:tcPr>
          <w:p>
            <w:pPr>
              <w:spacing w:after="0"/>
              <w:rPr>
                <w:sz w:val="1"/>
                <w:szCs w:val="1"/>
                <w:color w:val="auto"/>
              </w:rPr>
            </w:pPr>
          </w:p>
        </w:tc>
      </w:tr>
      <w:tr>
        <w:trPr>
          <w:trHeight w:val="183"/>
        </w:trPr>
        <w:tc>
          <w:tcPr>
            <w:tcW w:w="20" w:type="dxa"/>
            <w:vAlign w:val="bottom"/>
          </w:tcPr>
          <w:p>
            <w:pPr>
              <w:spacing w:after="0"/>
              <w:rPr>
                <w:sz w:val="15"/>
                <w:szCs w:val="15"/>
                <w:color w:val="auto"/>
              </w:rPr>
            </w:pPr>
          </w:p>
        </w:tc>
        <w:tc>
          <w:tcPr>
            <w:tcW w:w="5440" w:type="dxa"/>
            <w:vAlign w:val="bottom"/>
            <w:shd w:val="clear" w:color="auto" w:fill="CCEEFF"/>
          </w:tcPr>
          <w:p>
            <w:pPr>
              <w:spacing w:after="0" w:line="183" w:lineRule="exact"/>
              <w:rPr>
                <w:sz w:val="20"/>
                <w:szCs w:val="20"/>
                <w:color w:val="auto"/>
              </w:rPr>
            </w:pPr>
            <w:r>
              <w:rPr>
                <w:rFonts w:ascii="Arial" w:cs="Arial" w:eastAsia="Arial" w:hAnsi="Arial"/>
                <w:sz w:val="13"/>
                <w:szCs w:val="13"/>
                <w:color w:val="auto"/>
              </w:rPr>
              <w:t xml:space="preserve">Reclassification of gains (losses) on financial instruments included in profit or loss </w:t>
            </w:r>
            <w:r>
              <w:rPr>
                <w:rFonts w:ascii="Arial" w:cs="Arial" w:eastAsia="Arial" w:hAnsi="Arial"/>
                <w:sz w:val="21"/>
                <w:szCs w:val="21"/>
                <w:color w:val="auto"/>
                <w:vertAlign w:val="superscript"/>
              </w:rPr>
              <w:t>(1)</w:t>
            </w:r>
          </w:p>
        </w:tc>
        <w:tc>
          <w:tcPr>
            <w:tcW w:w="1460" w:type="dxa"/>
            <w:vAlign w:val="bottom"/>
            <w:gridSpan w:val="2"/>
            <w:shd w:val="clear" w:color="auto" w:fill="CCEEFF"/>
          </w:tcPr>
          <w:p>
            <w:pPr>
              <w:jc w:val="right"/>
              <w:ind w:right="143"/>
              <w:spacing w:after="0"/>
              <w:rPr>
                <w:sz w:val="20"/>
                <w:szCs w:val="20"/>
                <w:color w:val="auto"/>
              </w:rPr>
            </w:pPr>
            <w:r>
              <w:rPr>
                <w:rFonts w:ascii="Arial" w:cs="Arial" w:eastAsia="Arial" w:hAnsi="Arial"/>
                <w:sz w:val="13"/>
                <w:szCs w:val="13"/>
                <w:color w:val="auto"/>
              </w:rPr>
              <w:t>(87)</w:t>
            </w:r>
          </w:p>
        </w:tc>
        <w:tc>
          <w:tcPr>
            <w:tcW w:w="148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5,678</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5,591</w:t>
            </w:r>
          </w:p>
        </w:tc>
        <w:tc>
          <w:tcPr>
            <w:tcW w:w="10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440" w:type="dxa"/>
            <w:vAlign w:val="bottom"/>
          </w:tcPr>
          <w:p>
            <w:pPr>
              <w:spacing w:after="0"/>
              <w:rPr>
                <w:sz w:val="20"/>
                <w:szCs w:val="20"/>
                <w:color w:val="auto"/>
              </w:rPr>
            </w:pPr>
            <w:r>
              <w:rPr>
                <w:rFonts w:ascii="Arial" w:cs="Arial" w:eastAsia="Arial" w:hAnsi="Arial"/>
                <w:sz w:val="13"/>
                <w:szCs w:val="13"/>
                <w:color w:val="auto"/>
              </w:rPr>
              <w:t>Exchange difference in conversion of foreign operating currency</w:t>
            </w:r>
          </w:p>
        </w:tc>
        <w:tc>
          <w:tcPr>
            <w:tcW w:w="1460" w:type="dxa"/>
            <w:vAlign w:val="bottom"/>
            <w:gridSpan w:val="2"/>
          </w:tcPr>
          <w:p>
            <w:pPr>
              <w:jc w:val="right"/>
              <w:ind w:right="183"/>
              <w:spacing w:after="0"/>
              <w:rPr>
                <w:sz w:val="20"/>
                <w:szCs w:val="20"/>
                <w:color w:val="auto"/>
              </w:rPr>
            </w:pPr>
            <w:r>
              <w:rPr>
                <w:rFonts w:ascii="Arial" w:cs="Arial" w:eastAsia="Arial" w:hAnsi="Arial"/>
                <w:sz w:val="13"/>
                <w:szCs w:val="13"/>
                <w:color w:val="auto"/>
              </w:rPr>
              <w:t>-</w:t>
            </w:r>
          </w:p>
        </w:tc>
        <w:tc>
          <w:tcPr>
            <w:tcW w:w="148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420" w:type="dxa"/>
            <w:vAlign w:val="bottom"/>
            <w:gridSpan w:val="2"/>
          </w:tcPr>
          <w:p>
            <w:pPr>
              <w:jc w:val="right"/>
              <w:ind w:right="180"/>
              <w:spacing w:after="0"/>
              <w:rPr>
                <w:sz w:val="20"/>
                <w:szCs w:val="20"/>
                <w:color w:val="auto"/>
              </w:rPr>
            </w:pPr>
            <w:r>
              <w:rPr>
                <w:rFonts w:ascii="Arial" w:cs="Arial" w:eastAsia="Arial" w:hAnsi="Arial"/>
                <w:sz w:val="13"/>
                <w:szCs w:val="13"/>
                <w:color w:val="auto"/>
              </w:rPr>
              <w:t>(1,281)</w:t>
            </w:r>
          </w:p>
        </w:tc>
        <w:tc>
          <w:tcPr>
            <w:tcW w:w="1320" w:type="dxa"/>
            <w:vAlign w:val="bottom"/>
            <w:gridSpan w:val="3"/>
          </w:tcPr>
          <w:p>
            <w:pPr>
              <w:jc w:val="right"/>
              <w:ind w:right="60"/>
              <w:spacing w:after="0"/>
              <w:rPr>
                <w:sz w:val="20"/>
                <w:szCs w:val="20"/>
                <w:color w:val="auto"/>
              </w:rPr>
            </w:pPr>
            <w:r>
              <w:rPr>
                <w:rFonts w:ascii="Arial" w:cs="Arial" w:eastAsia="Arial" w:hAnsi="Arial"/>
                <w:sz w:val="13"/>
                <w:szCs w:val="13"/>
                <w:color w:val="auto"/>
              </w:rPr>
              <w:t>(1,281)</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440" w:type="dxa"/>
            <w:vAlign w:val="bottom"/>
            <w:tcBorders>
              <w:top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Other comprehensive income (loss) for the year</w:t>
            </w:r>
          </w:p>
        </w:tc>
        <w:tc>
          <w:tcPr>
            <w:tcW w:w="12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(2,415)</w:t>
            </w: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2,153</w:t>
            </w:r>
          </w:p>
        </w:tc>
        <w:tc>
          <w:tcPr>
            <w:tcW w:w="24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(1,281)</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(1,543)</w:t>
            </w:r>
          </w:p>
        </w:tc>
        <w:tc>
          <w:tcPr>
            <w:tcW w:w="120" w:type="dxa"/>
            <w:vAlign w:val="bottom"/>
            <w:tcBorders>
              <w:top w:val="single" w:sz="8" w:color="CCEEFF"/>
            </w:tcBorders>
            <w:gridSpan w:val="2"/>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5440" w:type="dxa"/>
            <w:vAlign w:val="bottom"/>
          </w:tcPr>
          <w:p>
            <w:pPr>
              <w:spacing w:after="0" w:line="146" w:lineRule="exact"/>
              <w:rPr>
                <w:sz w:val="20"/>
                <w:szCs w:val="20"/>
                <w:color w:val="auto"/>
              </w:rPr>
            </w:pPr>
            <w:r>
              <w:rPr>
                <w:rFonts w:ascii="Arial" w:cs="Arial" w:eastAsia="Arial" w:hAnsi="Arial"/>
                <w:sz w:val="13"/>
                <w:szCs w:val="13"/>
                <w:b w:val="1"/>
                <w:bCs w:val="1"/>
                <w:color w:val="auto"/>
              </w:rPr>
              <w:t>Balance as of December 31, 2018</w:t>
            </w: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(2,800</w:t>
            </w:r>
          </w:p>
        </w:tc>
        <w:tc>
          <w:tcPr>
            <w:tcW w:w="220" w:type="dxa"/>
            <w:vAlign w:val="bottom"/>
          </w:tcPr>
          <w:p>
            <w:pPr>
              <w:jc w:val="right"/>
              <w:ind w:right="143"/>
              <w:spacing w:after="0"/>
              <w:rPr>
                <w:sz w:val="20"/>
                <w:szCs w:val="20"/>
                <w:color w:val="auto"/>
              </w:rPr>
            </w:pPr>
            <w:r>
              <w:rPr>
                <w:rFonts w:ascii="Arial" w:cs="Arial" w:eastAsia="Arial" w:hAnsi="Arial"/>
                <w:sz w:val="7"/>
                <w:szCs w:val="7"/>
                <w:b w:val="1"/>
                <w:bCs w:val="1"/>
                <w:color w:val="auto"/>
                <w:w w:val="83"/>
              </w:rPr>
              <w:t>)</w:t>
            </w: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3,011</w:t>
            </w:r>
          </w:p>
        </w:tc>
        <w:tc>
          <w:tcPr>
            <w:tcW w:w="240" w:type="dxa"/>
            <w:vAlign w:val="bottom"/>
          </w:tcPr>
          <w:p>
            <w:pPr>
              <w:spacing w:after="0"/>
              <w:rPr>
                <w:sz w:val="14"/>
                <w:szCs w:val="1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209</w:t>
            </w:r>
          </w:p>
        </w:tc>
        <w:tc>
          <w:tcPr>
            <w:tcW w:w="220" w:type="dxa"/>
            <w:vAlign w:val="bottom"/>
          </w:tcPr>
          <w:p>
            <w:pPr>
              <w:spacing w:after="0"/>
              <w:rPr>
                <w:sz w:val="14"/>
                <w:szCs w:val="1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420</w:t>
            </w:r>
          </w:p>
        </w:tc>
        <w:tc>
          <w:tcPr>
            <w:tcW w:w="2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bl>
    <w:p>
      <w:pPr>
        <w:spacing w:after="0" w:line="136" w:lineRule="exact"/>
        <w:rPr>
          <w:sz w:val="20"/>
          <w:szCs w:val="20"/>
          <w:color w:val="auto"/>
        </w:rPr>
      </w:pPr>
    </w:p>
    <w:p>
      <w:pPr>
        <w:ind w:left="5623" w:right="2580" w:hanging="5392"/>
        <w:spacing w:after="0" w:line="645" w:lineRule="auto"/>
        <w:tabs>
          <w:tab w:leader="none" w:pos="464" w:val="left"/>
        </w:tabs>
        <w:numPr>
          <w:ilvl w:val="0"/>
          <w:numId w:val="166"/>
        </w:numPr>
        <w:rPr>
          <w:rFonts w:ascii="Arial" w:cs="Arial" w:eastAsia="Arial" w:hAnsi="Arial"/>
          <w:sz w:val="21"/>
          <w:szCs w:val="21"/>
          <w:color w:val="auto"/>
          <w:vertAlign w:val="superscript"/>
        </w:rPr>
      </w:pPr>
      <w:r>
        <w:rPr>
          <w:rFonts w:ascii="Arial" w:cs="Arial" w:eastAsia="Arial" w:hAnsi="Arial"/>
          <w:sz w:val="13"/>
          <w:szCs w:val="13"/>
          <w:color w:val="auto"/>
        </w:rPr>
        <w:t>Reclassification adjustments include amounts recognized in profit or loss of the year that had been part of other comprehensive income in this and previous years. F-75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-251460</wp:posOffset>
            </wp:positionV>
            <wp:extent cx="7285990" cy="6350"/>
            <wp:wrapNone/>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33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363"/>
          </w:cols>
          <w:pgMar w:left="217" w:top="685" w:right="319" w:bottom="1440" w:gutter="0" w:footer="0" w:header="0"/>
        </w:sectPr>
      </w:pPr>
    </w:p>
    <w:bookmarkStart w:id="200" w:name="page201"/>
    <w:bookmarkEnd w:id="200"/>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33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167"/>
        </w:numPr>
        <w:rPr>
          <w:rFonts w:ascii="Arial" w:cs="Arial" w:eastAsia="Arial" w:hAnsi="Arial"/>
          <w:sz w:val="13"/>
          <w:szCs w:val="13"/>
          <w:b w:val="1"/>
          <w:bCs w:val="1"/>
          <w:color w:val="auto"/>
        </w:rPr>
      </w:pPr>
      <w:r>
        <w:rPr>
          <w:rFonts w:ascii="Arial" w:cs="Arial" w:eastAsia="Arial" w:hAnsi="Arial"/>
          <w:sz w:val="13"/>
          <w:szCs w:val="13"/>
          <w:b w:val="1"/>
          <w:bCs w:val="1"/>
          <w:color w:val="auto"/>
        </w:rPr>
        <w:t>Other comprehensive income (continued)</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following table presents amounts reclassified from other comprehensive income to profit or loss:</w:t>
      </w:r>
    </w:p>
    <w:p>
      <w:pPr>
        <w:spacing w:after="0" w:line="155" w:lineRule="exact"/>
        <w:rPr>
          <w:sz w:val="20"/>
          <w:szCs w:val="20"/>
          <w:color w:val="auto"/>
        </w:rPr>
      </w:pPr>
    </w:p>
    <w:p>
      <w:pPr>
        <w:jc w:val="center"/>
        <w:ind w:right="-2"/>
        <w:spacing w:after="0"/>
        <w:rPr>
          <w:sz w:val="20"/>
          <w:szCs w:val="20"/>
          <w:color w:val="auto"/>
        </w:rPr>
      </w:pPr>
      <w:r>
        <w:rPr>
          <w:rFonts w:ascii="Arial" w:cs="Arial" w:eastAsia="Arial" w:hAnsi="Arial"/>
          <w:sz w:val="13"/>
          <w:szCs w:val="13"/>
          <w:b w:val="1"/>
          <w:bCs w:val="1"/>
          <w:color w:val="auto"/>
        </w:rPr>
        <w:t>December 31, 2018</w:t>
      </w:r>
    </w:p>
    <w:p>
      <w:pPr>
        <w:spacing w:after="0" w:line="17" w:lineRule="exact"/>
        <w:rPr>
          <w:sz w:val="20"/>
          <w:szCs w:val="20"/>
          <w:color w:val="auto"/>
        </w:rPr>
      </w:pPr>
    </w:p>
    <w:tbl>
      <w:tblPr>
        <w:tblLayout w:type="fixed"/>
        <w:tblInd w:w="3" w:type="dxa"/>
        <w:tblCellMar>
          <w:top w:w="0" w:type="dxa"/>
          <w:left w:w="0" w:type="dxa"/>
          <w:bottom w:w="0" w:type="dxa"/>
          <w:right w:w="0" w:type="dxa"/>
        </w:tblCellMar>
      </w:tblPr>
      <w:tr>
        <w:trPr>
          <w:trHeight w:val="131"/>
        </w:trPr>
        <w:tc>
          <w:tcPr>
            <w:tcW w:w="220" w:type="dxa"/>
            <w:vAlign w:val="bottom"/>
          </w:tcPr>
          <w:p>
            <w:pPr>
              <w:spacing w:after="0"/>
              <w:rPr>
                <w:sz w:val="11"/>
                <w:szCs w:val="11"/>
                <w:color w:val="auto"/>
              </w:rPr>
            </w:pPr>
          </w:p>
        </w:tc>
        <w:tc>
          <w:tcPr>
            <w:tcW w:w="4660" w:type="dxa"/>
            <w:vAlign w:val="bottom"/>
            <w:tcBorders>
              <w:top w:val="single" w:sz="8" w:color="auto"/>
            </w:tcBorders>
          </w:tcPr>
          <w:p>
            <w:pPr>
              <w:spacing w:after="0"/>
              <w:rPr>
                <w:sz w:val="11"/>
                <w:szCs w:val="11"/>
                <w:color w:val="auto"/>
              </w:rPr>
            </w:pPr>
          </w:p>
        </w:tc>
        <w:tc>
          <w:tcPr>
            <w:tcW w:w="2060" w:type="dxa"/>
            <w:vAlign w:val="bottom"/>
            <w:tcBorders>
              <w:top w:val="single" w:sz="8" w:color="auto"/>
            </w:tcBorders>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1440" w:type="dxa"/>
            <w:vAlign w:val="bottom"/>
            <w:tcBorders>
              <w:top w:val="single" w:sz="8" w:color="auto"/>
            </w:tcBorders>
            <w:gridSpan w:val="2"/>
          </w:tcPr>
          <w:p>
            <w:pPr>
              <w:jc w:val="center"/>
              <w:ind w:right="163"/>
              <w:spacing w:after="0" w:line="131" w:lineRule="exact"/>
              <w:rPr>
                <w:sz w:val="20"/>
                <w:szCs w:val="20"/>
                <w:color w:val="auto"/>
              </w:rPr>
            </w:pPr>
            <w:r>
              <w:rPr>
                <w:rFonts w:ascii="Arial" w:cs="Arial" w:eastAsia="Arial" w:hAnsi="Arial"/>
                <w:sz w:val="13"/>
                <w:szCs w:val="13"/>
                <w:b w:val="1"/>
                <w:bCs w:val="1"/>
                <w:color w:val="auto"/>
                <w:w w:val="86"/>
              </w:rPr>
              <w:t>Amount reclassified</w:t>
            </w:r>
          </w:p>
        </w:tc>
        <w:tc>
          <w:tcPr>
            <w:tcW w:w="2760" w:type="dxa"/>
            <w:vAlign w:val="bottom"/>
            <w:tcBorders>
              <w:top w:val="single" w:sz="8" w:color="auto"/>
            </w:tcBorders>
          </w:tcPr>
          <w:p>
            <w:pPr>
              <w:spacing w:after="0"/>
              <w:rPr>
                <w:sz w:val="11"/>
                <w:szCs w:val="11"/>
                <w:color w:val="auto"/>
              </w:rPr>
            </w:pPr>
          </w:p>
        </w:tc>
        <w:tc>
          <w:tcPr>
            <w:tcW w:w="2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660" w:type="dxa"/>
            <w:vAlign w:val="bottom"/>
          </w:tcPr>
          <w:p>
            <w:pPr>
              <w:jc w:val="center"/>
              <w:ind w:left="2016"/>
              <w:spacing w:after="0"/>
              <w:rPr>
                <w:sz w:val="20"/>
                <w:szCs w:val="20"/>
                <w:color w:val="auto"/>
              </w:rPr>
            </w:pPr>
            <w:r>
              <w:rPr>
                <w:rFonts w:ascii="Arial" w:cs="Arial" w:eastAsia="Arial" w:hAnsi="Arial"/>
                <w:sz w:val="13"/>
                <w:szCs w:val="13"/>
                <w:b w:val="1"/>
                <w:bCs w:val="1"/>
                <w:color w:val="auto"/>
                <w:w w:val="87"/>
              </w:rPr>
              <w:t>Details about other comprehensive</w:t>
            </w:r>
          </w:p>
        </w:tc>
        <w:tc>
          <w:tcPr>
            <w:tcW w:w="20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440" w:type="dxa"/>
            <w:vAlign w:val="bottom"/>
            <w:gridSpan w:val="2"/>
          </w:tcPr>
          <w:p>
            <w:pPr>
              <w:jc w:val="center"/>
              <w:ind w:right="163"/>
              <w:spacing w:after="0"/>
              <w:rPr>
                <w:sz w:val="20"/>
                <w:szCs w:val="20"/>
                <w:color w:val="auto"/>
              </w:rPr>
            </w:pPr>
            <w:r>
              <w:rPr>
                <w:rFonts w:ascii="Arial" w:cs="Arial" w:eastAsia="Arial" w:hAnsi="Arial"/>
                <w:sz w:val="13"/>
                <w:szCs w:val="13"/>
                <w:b w:val="1"/>
                <w:bCs w:val="1"/>
                <w:color w:val="auto"/>
                <w:w w:val="92"/>
              </w:rPr>
              <w:t>from other</w:t>
            </w:r>
          </w:p>
        </w:tc>
        <w:tc>
          <w:tcPr>
            <w:tcW w:w="2760" w:type="dxa"/>
            <w:vAlign w:val="bottom"/>
          </w:tcPr>
          <w:p>
            <w:pPr>
              <w:ind w:left="20"/>
              <w:spacing w:after="0"/>
              <w:rPr>
                <w:sz w:val="20"/>
                <w:szCs w:val="20"/>
                <w:color w:val="auto"/>
              </w:rPr>
            </w:pPr>
            <w:r>
              <w:rPr>
                <w:rFonts w:ascii="Arial" w:cs="Arial" w:eastAsia="Arial" w:hAnsi="Arial"/>
                <w:sz w:val="13"/>
                <w:szCs w:val="13"/>
                <w:b w:val="1"/>
                <w:bCs w:val="1"/>
                <w:color w:val="auto"/>
                <w:w w:val="87"/>
              </w:rPr>
              <w:t>Affected line item in the consolidated statement of</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7"/>
        </w:trPr>
        <w:tc>
          <w:tcPr>
            <w:tcW w:w="220" w:type="dxa"/>
            <w:vAlign w:val="bottom"/>
          </w:tcPr>
          <w:p>
            <w:pPr>
              <w:spacing w:after="0"/>
              <w:rPr>
                <w:sz w:val="14"/>
                <w:szCs w:val="14"/>
                <w:color w:val="auto"/>
              </w:rPr>
            </w:pPr>
          </w:p>
        </w:tc>
        <w:tc>
          <w:tcPr>
            <w:tcW w:w="4660" w:type="dxa"/>
            <w:vAlign w:val="bottom"/>
          </w:tcPr>
          <w:p>
            <w:pPr>
              <w:jc w:val="center"/>
              <w:ind w:left="1996"/>
              <w:spacing w:after="0"/>
              <w:rPr>
                <w:sz w:val="20"/>
                <w:szCs w:val="20"/>
                <w:color w:val="auto"/>
              </w:rPr>
            </w:pPr>
            <w:r>
              <w:rPr>
                <w:rFonts w:ascii="Arial" w:cs="Arial" w:eastAsia="Arial" w:hAnsi="Arial"/>
                <w:sz w:val="13"/>
                <w:szCs w:val="13"/>
                <w:b w:val="1"/>
                <w:bCs w:val="1"/>
                <w:color w:val="auto"/>
                <w:w w:val="85"/>
              </w:rPr>
              <w:t>income components</w:t>
            </w:r>
          </w:p>
        </w:tc>
        <w:tc>
          <w:tcPr>
            <w:tcW w:w="20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440" w:type="dxa"/>
            <w:vAlign w:val="bottom"/>
            <w:gridSpan w:val="2"/>
          </w:tcPr>
          <w:p>
            <w:pPr>
              <w:jc w:val="center"/>
              <w:ind w:right="163"/>
              <w:spacing w:after="0"/>
              <w:rPr>
                <w:sz w:val="20"/>
                <w:szCs w:val="20"/>
                <w:color w:val="auto"/>
              </w:rPr>
            </w:pPr>
            <w:r>
              <w:rPr>
                <w:rFonts w:ascii="Arial" w:cs="Arial" w:eastAsia="Arial" w:hAnsi="Arial"/>
                <w:sz w:val="13"/>
                <w:szCs w:val="13"/>
                <w:b w:val="1"/>
                <w:bCs w:val="1"/>
                <w:color w:val="auto"/>
                <w:w w:val="85"/>
              </w:rPr>
              <w:t>comprehensive income</w:t>
            </w:r>
          </w:p>
        </w:tc>
        <w:tc>
          <w:tcPr>
            <w:tcW w:w="2760" w:type="dxa"/>
            <w:vAlign w:val="bottom"/>
          </w:tcPr>
          <w:p>
            <w:pPr>
              <w:ind w:left="1040"/>
              <w:spacing w:after="0"/>
              <w:rPr>
                <w:sz w:val="20"/>
                <w:szCs w:val="20"/>
                <w:color w:val="auto"/>
              </w:rPr>
            </w:pPr>
            <w:r>
              <w:rPr>
                <w:rFonts w:ascii="Arial" w:cs="Arial" w:eastAsia="Arial" w:hAnsi="Arial"/>
                <w:sz w:val="13"/>
                <w:szCs w:val="13"/>
                <w:b w:val="1"/>
                <w:bCs w:val="1"/>
                <w:color w:val="auto"/>
              </w:rPr>
              <w:t>profit or loss</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660" w:type="dxa"/>
            <w:vAlign w:val="bottom"/>
            <w:tcBorders>
              <w:top w:val="single" w:sz="8" w:color="auto"/>
            </w:tcBorders>
            <w:shd w:val="clear" w:color="auto" w:fill="CCEEFF"/>
          </w:tcPr>
          <w:p>
            <w:pPr>
              <w:spacing w:after="0" w:line="144" w:lineRule="exact"/>
              <w:rPr>
                <w:sz w:val="20"/>
                <w:szCs w:val="20"/>
                <w:color w:val="auto"/>
              </w:rPr>
            </w:pPr>
            <w:r>
              <w:rPr>
                <w:rFonts w:ascii="Arial" w:cs="Arial" w:eastAsia="Arial" w:hAnsi="Arial"/>
                <w:sz w:val="13"/>
                <w:szCs w:val="13"/>
                <w:color w:val="auto"/>
              </w:rPr>
              <w:t>Realized gains (losses) on securities at FVOCI:</w:t>
            </w:r>
          </w:p>
        </w:tc>
        <w:tc>
          <w:tcPr>
            <w:tcW w:w="206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00" w:type="dxa"/>
            <w:vAlign w:val="bottom"/>
            <w:tcBorders>
              <w:top w:val="single" w:sz="8" w:color="CCEEFF"/>
            </w:tcBorders>
            <w:shd w:val="clear" w:color="auto" w:fill="CCEEFF"/>
          </w:tcPr>
          <w:p>
            <w:pPr>
              <w:spacing w:after="0"/>
              <w:rPr>
                <w:sz w:val="12"/>
                <w:szCs w:val="12"/>
                <w:color w:val="auto"/>
              </w:rPr>
            </w:pPr>
          </w:p>
        </w:tc>
        <w:tc>
          <w:tcPr>
            <w:tcW w:w="2760" w:type="dxa"/>
            <w:vAlign w:val="bottom"/>
            <w:tcBorders>
              <w:top w:val="single" w:sz="8" w:color="auto"/>
            </w:tcBorders>
            <w:shd w:val="clear" w:color="auto" w:fill="CCEEFF"/>
          </w:tcPr>
          <w:p>
            <w:pPr>
              <w:spacing w:after="0" w:line="144" w:lineRule="exact"/>
              <w:rPr>
                <w:sz w:val="20"/>
                <w:szCs w:val="20"/>
                <w:color w:val="auto"/>
              </w:rPr>
            </w:pPr>
            <w:r>
              <w:rPr>
                <w:rFonts w:ascii="Arial" w:cs="Arial" w:eastAsia="Arial" w:hAnsi="Arial"/>
                <w:sz w:val="13"/>
                <w:szCs w:val="13"/>
                <w:color w:val="auto"/>
              </w:rPr>
              <w:t>Interest income – securities at FVOCI</w:t>
            </w: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660" w:type="dxa"/>
            <w:vAlign w:val="bottom"/>
          </w:tcPr>
          <w:p>
            <w:pPr>
              <w:spacing w:after="0"/>
              <w:rPr>
                <w:sz w:val="13"/>
                <w:szCs w:val="13"/>
                <w:color w:val="auto"/>
              </w:rPr>
            </w:pPr>
          </w:p>
        </w:tc>
        <w:tc>
          <w:tcPr>
            <w:tcW w:w="3400" w:type="dxa"/>
            <w:vAlign w:val="bottom"/>
            <w:gridSpan w:val="3"/>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2760" w:type="dxa"/>
            <w:vAlign w:val="bottom"/>
          </w:tcPr>
          <w:p>
            <w:pPr>
              <w:spacing w:after="0"/>
              <w:rPr>
                <w:sz w:val="20"/>
                <w:szCs w:val="20"/>
                <w:color w:val="auto"/>
              </w:rPr>
            </w:pPr>
            <w:r>
              <w:rPr>
                <w:rFonts w:ascii="Arial" w:cs="Arial" w:eastAsia="Arial" w:hAnsi="Arial"/>
                <w:sz w:val="13"/>
                <w:szCs w:val="13"/>
                <w:color w:val="auto"/>
              </w:rPr>
              <w:t>Net gain on sale of securities at FVOCI</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5"/>
        </w:trPr>
        <w:tc>
          <w:tcPr>
            <w:tcW w:w="220" w:type="dxa"/>
            <w:vAlign w:val="bottom"/>
          </w:tcPr>
          <w:p>
            <w:pPr>
              <w:spacing w:after="0"/>
              <w:rPr>
                <w:sz w:val="12"/>
                <w:szCs w:val="12"/>
                <w:color w:val="auto"/>
              </w:rPr>
            </w:pPr>
          </w:p>
        </w:tc>
        <w:tc>
          <w:tcPr>
            <w:tcW w:w="4660" w:type="dxa"/>
            <w:vAlign w:val="bottom"/>
            <w:shd w:val="clear" w:color="auto" w:fill="CCEEFF"/>
          </w:tcPr>
          <w:p>
            <w:pPr>
              <w:spacing w:after="0"/>
              <w:rPr>
                <w:sz w:val="12"/>
                <w:szCs w:val="12"/>
                <w:color w:val="auto"/>
              </w:rPr>
            </w:pPr>
          </w:p>
        </w:tc>
        <w:tc>
          <w:tcPr>
            <w:tcW w:w="20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2760" w:type="dxa"/>
            <w:vAlign w:val="bottom"/>
            <w:shd w:val="clear" w:color="auto" w:fill="CCEEFF"/>
          </w:tcPr>
          <w:p>
            <w:pPr>
              <w:spacing w:after="0" w:line="146" w:lineRule="exact"/>
              <w:rPr>
                <w:sz w:val="20"/>
                <w:szCs w:val="20"/>
                <w:color w:val="auto"/>
              </w:rPr>
            </w:pPr>
            <w:r>
              <w:rPr>
                <w:rFonts w:ascii="Arial" w:cs="Arial" w:eastAsia="Arial" w:hAnsi="Arial"/>
                <w:sz w:val="13"/>
                <w:szCs w:val="13"/>
                <w:color w:val="auto"/>
                <w:w w:val="91"/>
              </w:rPr>
              <w:t>Derivative financial instruments and impairment loss</w:t>
            </w: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72"/>
        </w:trPr>
        <w:tc>
          <w:tcPr>
            <w:tcW w:w="220" w:type="dxa"/>
            <w:vAlign w:val="bottom"/>
          </w:tcPr>
          <w:p>
            <w:pPr>
              <w:spacing w:after="0"/>
              <w:rPr>
                <w:sz w:val="14"/>
                <w:szCs w:val="14"/>
                <w:color w:val="auto"/>
              </w:rPr>
            </w:pPr>
          </w:p>
        </w:tc>
        <w:tc>
          <w:tcPr>
            <w:tcW w:w="4660" w:type="dxa"/>
            <w:vAlign w:val="bottom"/>
            <w:shd w:val="clear" w:color="auto" w:fill="CCEEFF"/>
          </w:tcPr>
          <w:p>
            <w:pPr>
              <w:spacing w:after="0"/>
              <w:rPr>
                <w:sz w:val="14"/>
                <w:szCs w:val="14"/>
                <w:color w:val="auto"/>
              </w:rPr>
            </w:pPr>
          </w:p>
        </w:tc>
        <w:tc>
          <w:tcPr>
            <w:tcW w:w="3400" w:type="dxa"/>
            <w:vAlign w:val="bottom"/>
            <w:gridSpan w:val="3"/>
            <w:shd w:val="clear" w:color="auto" w:fill="CCEEFF"/>
          </w:tcPr>
          <w:p>
            <w:pPr>
              <w:jc w:val="right"/>
              <w:spacing w:after="0"/>
              <w:rPr>
                <w:sz w:val="20"/>
                <w:szCs w:val="20"/>
                <w:color w:val="auto"/>
              </w:rPr>
            </w:pPr>
            <w:r>
              <w:rPr>
                <w:rFonts w:ascii="Arial" w:cs="Arial" w:eastAsia="Arial" w:hAnsi="Arial"/>
                <w:sz w:val="13"/>
                <w:szCs w:val="13"/>
                <w:color w:val="auto"/>
              </w:rPr>
              <w:t>87</w:t>
            </w:r>
          </w:p>
        </w:tc>
        <w:tc>
          <w:tcPr>
            <w:tcW w:w="200" w:type="dxa"/>
            <w:vAlign w:val="bottom"/>
            <w:shd w:val="clear" w:color="auto" w:fill="CCEEFF"/>
          </w:tcPr>
          <w:p>
            <w:pPr>
              <w:spacing w:after="0"/>
              <w:rPr>
                <w:sz w:val="14"/>
                <w:szCs w:val="14"/>
                <w:color w:val="auto"/>
              </w:rPr>
            </w:pPr>
          </w:p>
        </w:tc>
        <w:tc>
          <w:tcPr>
            <w:tcW w:w="2760" w:type="dxa"/>
            <w:vAlign w:val="bottom"/>
            <w:shd w:val="clear" w:color="auto" w:fill="CCEEFF"/>
          </w:tcPr>
          <w:p>
            <w:pPr>
              <w:spacing w:after="0"/>
              <w:rPr>
                <w:sz w:val="20"/>
                <w:szCs w:val="20"/>
                <w:color w:val="auto"/>
              </w:rPr>
            </w:pPr>
            <w:r>
              <w:rPr>
                <w:rFonts w:ascii="Arial" w:cs="Arial" w:eastAsia="Arial" w:hAnsi="Arial"/>
                <w:sz w:val="13"/>
                <w:szCs w:val="13"/>
                <w:color w:val="auto"/>
              </w:rPr>
              <w:t>on financial instruments at FVOCI</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4660" w:type="dxa"/>
            <w:vAlign w:val="bottom"/>
            <w:tcBorders>
              <w:bottom w:val="single" w:sz="8" w:color="CCEEFF"/>
            </w:tcBorders>
          </w:tcPr>
          <w:p>
            <w:pPr>
              <w:spacing w:after="0"/>
              <w:rPr>
                <w:sz w:val="14"/>
                <w:szCs w:val="14"/>
                <w:color w:val="auto"/>
              </w:rPr>
            </w:pPr>
          </w:p>
        </w:tc>
        <w:tc>
          <w:tcPr>
            <w:tcW w:w="2060" w:type="dxa"/>
            <w:vAlign w:val="bottom"/>
            <w:tcBorders>
              <w:bottom w:val="single" w:sz="8" w:color="CCEEFF"/>
            </w:tcBorders>
          </w:tcPr>
          <w:p>
            <w:pPr>
              <w:spacing w:after="0"/>
              <w:rPr>
                <w:sz w:val="14"/>
                <w:szCs w:val="14"/>
                <w:color w:val="auto"/>
              </w:rPr>
            </w:pPr>
          </w:p>
        </w:tc>
        <w:tc>
          <w:tcPr>
            <w:tcW w:w="100" w:type="dxa"/>
            <w:vAlign w:val="bottom"/>
            <w:tcBorders>
              <w:bottom w:val="single" w:sz="8" w:color="CCEEFF"/>
            </w:tcBorders>
          </w:tcPr>
          <w:p>
            <w:pPr>
              <w:spacing w:after="0"/>
              <w:rPr>
                <w:sz w:val="14"/>
                <w:szCs w:val="14"/>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87</w:t>
            </w:r>
          </w:p>
        </w:tc>
        <w:tc>
          <w:tcPr>
            <w:tcW w:w="200" w:type="dxa"/>
            <w:vAlign w:val="bottom"/>
            <w:tcBorders>
              <w:bottom w:val="single" w:sz="8" w:color="CCEEFF"/>
            </w:tcBorders>
          </w:tcPr>
          <w:p>
            <w:pPr>
              <w:spacing w:after="0"/>
              <w:rPr>
                <w:sz w:val="14"/>
                <w:szCs w:val="14"/>
                <w:color w:val="auto"/>
              </w:rPr>
            </w:pPr>
          </w:p>
        </w:tc>
        <w:tc>
          <w:tcPr>
            <w:tcW w:w="2760" w:type="dxa"/>
            <w:vAlign w:val="bottom"/>
            <w:tcBorders>
              <w:bottom w:val="single" w:sz="8" w:color="CCEEFF"/>
            </w:tcBorders>
          </w:tcPr>
          <w:p>
            <w:pPr>
              <w:spacing w:after="0"/>
              <w:rPr>
                <w:sz w:val="14"/>
                <w:szCs w:val="14"/>
                <w:color w:val="auto"/>
              </w:rPr>
            </w:pP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4660" w:type="dxa"/>
            <w:vAlign w:val="bottom"/>
            <w:shd w:val="clear" w:color="auto" w:fill="CCEEFF"/>
          </w:tcPr>
          <w:p>
            <w:pPr>
              <w:spacing w:after="0"/>
              <w:rPr>
                <w:sz w:val="13"/>
                <w:szCs w:val="13"/>
                <w:color w:val="auto"/>
              </w:rPr>
            </w:pPr>
          </w:p>
        </w:tc>
        <w:tc>
          <w:tcPr>
            <w:tcW w:w="20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2760" w:type="dxa"/>
            <w:vAlign w:val="bottom"/>
            <w:shd w:val="clear" w:color="auto" w:fill="CCEEFF"/>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4660" w:type="dxa"/>
            <w:vAlign w:val="bottom"/>
          </w:tcPr>
          <w:p>
            <w:pPr>
              <w:spacing w:after="0"/>
              <w:rPr>
                <w:sz w:val="20"/>
                <w:szCs w:val="20"/>
                <w:color w:val="auto"/>
              </w:rPr>
            </w:pPr>
            <w:r>
              <w:rPr>
                <w:rFonts w:ascii="Arial" w:cs="Arial" w:eastAsia="Arial" w:hAnsi="Arial"/>
                <w:sz w:val="13"/>
                <w:szCs w:val="13"/>
                <w:color w:val="auto"/>
              </w:rPr>
              <w:t>Gains (losses) on derivative financial instruments:</w:t>
            </w:r>
          </w:p>
        </w:tc>
        <w:tc>
          <w:tcPr>
            <w:tcW w:w="20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27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660" w:type="dxa"/>
            <w:vAlign w:val="bottom"/>
            <w:shd w:val="clear" w:color="auto" w:fill="CCEEFF"/>
          </w:tcPr>
          <w:p>
            <w:pPr>
              <w:spacing w:after="0"/>
              <w:rPr>
                <w:sz w:val="20"/>
                <w:szCs w:val="20"/>
                <w:color w:val="auto"/>
              </w:rPr>
            </w:pPr>
            <w:r>
              <w:rPr>
                <w:rFonts w:ascii="Arial" w:cs="Arial" w:eastAsia="Arial" w:hAnsi="Arial"/>
                <w:sz w:val="13"/>
                <w:szCs w:val="13"/>
                <w:color w:val="auto"/>
              </w:rPr>
              <w:t>Foreign exchange forwards</w:t>
            </w:r>
          </w:p>
        </w:tc>
        <w:tc>
          <w:tcPr>
            <w:tcW w:w="3600" w:type="dxa"/>
            <w:vAlign w:val="bottom"/>
            <w:gridSpan w:val="4"/>
            <w:shd w:val="clear" w:color="auto" w:fill="CCEEFF"/>
          </w:tcPr>
          <w:p>
            <w:pPr>
              <w:jc w:val="right"/>
              <w:ind w:right="123"/>
              <w:spacing w:after="0"/>
              <w:rPr>
                <w:sz w:val="20"/>
                <w:szCs w:val="20"/>
                <w:color w:val="auto"/>
              </w:rPr>
            </w:pPr>
            <w:r>
              <w:rPr>
                <w:rFonts w:ascii="Arial" w:cs="Arial" w:eastAsia="Arial" w:hAnsi="Arial"/>
                <w:sz w:val="13"/>
                <w:szCs w:val="13"/>
                <w:color w:val="auto"/>
              </w:rPr>
              <w:t>(2,502)</w:t>
            </w:r>
          </w:p>
        </w:tc>
        <w:tc>
          <w:tcPr>
            <w:tcW w:w="2760" w:type="dxa"/>
            <w:vAlign w:val="bottom"/>
            <w:shd w:val="clear" w:color="auto" w:fill="CCEEFF"/>
          </w:tcPr>
          <w:p>
            <w:pPr>
              <w:spacing w:after="0"/>
              <w:rPr>
                <w:sz w:val="20"/>
                <w:szCs w:val="20"/>
                <w:color w:val="auto"/>
              </w:rPr>
            </w:pPr>
            <w:r>
              <w:rPr>
                <w:rFonts w:ascii="Arial" w:cs="Arial" w:eastAsia="Arial" w:hAnsi="Arial"/>
                <w:sz w:val="13"/>
                <w:szCs w:val="13"/>
                <w:color w:val="auto"/>
              </w:rPr>
              <w:t>Interest income – loans</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660" w:type="dxa"/>
            <w:vAlign w:val="bottom"/>
          </w:tcPr>
          <w:p>
            <w:pPr>
              <w:spacing w:after="0"/>
              <w:rPr>
                <w:sz w:val="13"/>
                <w:szCs w:val="13"/>
                <w:color w:val="auto"/>
              </w:rPr>
            </w:pPr>
          </w:p>
        </w:tc>
        <w:tc>
          <w:tcPr>
            <w:tcW w:w="3600" w:type="dxa"/>
            <w:vAlign w:val="bottom"/>
            <w:gridSpan w:val="4"/>
          </w:tcPr>
          <w:p>
            <w:pPr>
              <w:jc w:val="right"/>
              <w:ind w:right="123"/>
              <w:spacing w:after="0"/>
              <w:rPr>
                <w:sz w:val="20"/>
                <w:szCs w:val="20"/>
                <w:color w:val="auto"/>
              </w:rPr>
            </w:pPr>
            <w:r>
              <w:rPr>
                <w:rFonts w:ascii="Arial" w:cs="Arial" w:eastAsia="Arial" w:hAnsi="Arial"/>
                <w:sz w:val="13"/>
                <w:szCs w:val="13"/>
                <w:color w:val="auto"/>
              </w:rPr>
              <w:t>(1,650)</w:t>
            </w:r>
          </w:p>
        </w:tc>
        <w:tc>
          <w:tcPr>
            <w:tcW w:w="2760" w:type="dxa"/>
            <w:vAlign w:val="bottom"/>
          </w:tcPr>
          <w:p>
            <w:pPr>
              <w:spacing w:after="0"/>
              <w:rPr>
                <w:sz w:val="20"/>
                <w:szCs w:val="20"/>
                <w:color w:val="auto"/>
              </w:rPr>
            </w:pPr>
            <w:r>
              <w:rPr>
                <w:rFonts w:ascii="Arial" w:cs="Arial" w:eastAsia="Arial" w:hAnsi="Arial"/>
                <w:sz w:val="13"/>
                <w:szCs w:val="13"/>
                <w:color w:val="auto"/>
              </w:rPr>
              <w:t>Interest expense – borrowings and deposits</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660" w:type="dxa"/>
            <w:vAlign w:val="bottom"/>
            <w:shd w:val="clear" w:color="auto" w:fill="CCEEFF"/>
          </w:tcPr>
          <w:p>
            <w:pPr>
              <w:spacing w:after="0"/>
              <w:rPr>
                <w:sz w:val="13"/>
                <w:szCs w:val="13"/>
                <w:color w:val="auto"/>
              </w:rPr>
            </w:pPr>
          </w:p>
        </w:tc>
        <w:tc>
          <w:tcPr>
            <w:tcW w:w="3600" w:type="dxa"/>
            <w:vAlign w:val="bottom"/>
            <w:gridSpan w:val="4"/>
            <w:shd w:val="clear" w:color="auto" w:fill="CCEEFF"/>
          </w:tcPr>
          <w:p>
            <w:pPr>
              <w:jc w:val="right"/>
              <w:ind w:right="123"/>
              <w:spacing w:after="0"/>
              <w:rPr>
                <w:sz w:val="20"/>
                <w:szCs w:val="20"/>
                <w:color w:val="auto"/>
              </w:rPr>
            </w:pPr>
            <w:r>
              <w:rPr>
                <w:rFonts w:ascii="Arial" w:cs="Arial" w:eastAsia="Arial" w:hAnsi="Arial"/>
                <w:sz w:val="13"/>
                <w:szCs w:val="13"/>
                <w:color w:val="auto"/>
              </w:rPr>
              <w:t>(1,530)</w:t>
            </w:r>
          </w:p>
        </w:tc>
        <w:tc>
          <w:tcPr>
            <w:tcW w:w="2760" w:type="dxa"/>
            <w:vAlign w:val="bottom"/>
            <w:shd w:val="clear" w:color="auto" w:fill="CCEEFF"/>
          </w:tcPr>
          <w:p>
            <w:pPr>
              <w:spacing w:after="0"/>
              <w:rPr>
                <w:sz w:val="20"/>
                <w:szCs w:val="20"/>
                <w:color w:val="auto"/>
              </w:rPr>
            </w:pPr>
            <w:r>
              <w:rPr>
                <w:rFonts w:ascii="Arial" w:cs="Arial" w:eastAsia="Arial" w:hAnsi="Arial"/>
                <w:sz w:val="13"/>
                <w:szCs w:val="13"/>
                <w:color w:val="auto"/>
              </w:rPr>
              <w:t>Net gain (loss) on foreign currency exchange</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660" w:type="dxa"/>
            <w:vAlign w:val="bottom"/>
          </w:tcPr>
          <w:p>
            <w:pPr>
              <w:spacing w:after="0"/>
              <w:rPr>
                <w:sz w:val="20"/>
                <w:szCs w:val="20"/>
                <w:color w:val="auto"/>
              </w:rPr>
            </w:pPr>
            <w:r>
              <w:rPr>
                <w:rFonts w:ascii="Arial" w:cs="Arial" w:eastAsia="Arial" w:hAnsi="Arial"/>
                <w:sz w:val="13"/>
                <w:szCs w:val="13"/>
                <w:color w:val="auto"/>
              </w:rPr>
              <w:t>Interest rate swaps</w:t>
            </w:r>
          </w:p>
        </w:tc>
        <w:tc>
          <w:tcPr>
            <w:tcW w:w="3600" w:type="dxa"/>
            <w:vAlign w:val="bottom"/>
            <w:gridSpan w:val="4"/>
          </w:tcPr>
          <w:p>
            <w:pPr>
              <w:jc w:val="right"/>
              <w:ind w:right="163"/>
              <w:spacing w:after="0"/>
              <w:rPr>
                <w:sz w:val="20"/>
                <w:szCs w:val="20"/>
                <w:color w:val="auto"/>
              </w:rPr>
            </w:pPr>
            <w:r>
              <w:rPr>
                <w:rFonts w:ascii="Arial" w:cs="Arial" w:eastAsia="Arial" w:hAnsi="Arial"/>
                <w:sz w:val="13"/>
                <w:szCs w:val="13"/>
                <w:color w:val="auto"/>
              </w:rPr>
              <w:t>4</w:t>
            </w:r>
          </w:p>
        </w:tc>
        <w:tc>
          <w:tcPr>
            <w:tcW w:w="2760" w:type="dxa"/>
            <w:vAlign w:val="bottom"/>
          </w:tcPr>
          <w:p>
            <w:pPr>
              <w:spacing w:after="0"/>
              <w:rPr>
                <w:sz w:val="20"/>
                <w:szCs w:val="20"/>
                <w:color w:val="auto"/>
              </w:rPr>
            </w:pPr>
            <w:r>
              <w:rPr>
                <w:rFonts w:ascii="Arial" w:cs="Arial" w:eastAsia="Arial" w:hAnsi="Arial"/>
                <w:sz w:val="13"/>
                <w:szCs w:val="13"/>
                <w:color w:val="auto"/>
              </w:rPr>
              <w:t>Net gain (loss) on interest rate swaps</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660" w:type="dxa"/>
            <w:vAlign w:val="bottom"/>
            <w:shd w:val="clear" w:color="auto" w:fill="CCEEFF"/>
          </w:tcPr>
          <w:p>
            <w:pPr>
              <w:spacing w:after="0"/>
              <w:rPr>
                <w:sz w:val="20"/>
                <w:szCs w:val="20"/>
                <w:color w:val="auto"/>
              </w:rPr>
            </w:pPr>
            <w:r>
              <w:rPr>
                <w:rFonts w:ascii="Arial" w:cs="Arial" w:eastAsia="Arial" w:hAnsi="Arial"/>
                <w:sz w:val="13"/>
                <w:szCs w:val="13"/>
                <w:color w:val="auto"/>
              </w:rPr>
              <w:t>Cross-currency swaps</w:t>
            </w:r>
          </w:p>
        </w:tc>
        <w:tc>
          <w:tcPr>
            <w:tcW w:w="3400" w:type="dxa"/>
            <w:vAlign w:val="bottom"/>
            <w:gridSpan w:val="3"/>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4"/>
                <w:szCs w:val="14"/>
                <w:color w:val="auto"/>
              </w:rPr>
            </w:pPr>
          </w:p>
        </w:tc>
        <w:tc>
          <w:tcPr>
            <w:tcW w:w="2760" w:type="dxa"/>
            <w:vAlign w:val="bottom"/>
            <w:shd w:val="clear" w:color="auto" w:fill="CCEEFF"/>
          </w:tcPr>
          <w:p>
            <w:pPr>
              <w:spacing w:after="0"/>
              <w:rPr>
                <w:sz w:val="20"/>
                <w:szCs w:val="20"/>
                <w:color w:val="auto"/>
              </w:rPr>
            </w:pPr>
            <w:r>
              <w:rPr>
                <w:rFonts w:ascii="Arial" w:cs="Arial" w:eastAsia="Arial" w:hAnsi="Arial"/>
                <w:sz w:val="13"/>
                <w:szCs w:val="13"/>
                <w:color w:val="auto"/>
              </w:rPr>
              <w:t>Net gain (loss) on cross-currency swaps</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4660" w:type="dxa"/>
            <w:vAlign w:val="bottom"/>
          </w:tcPr>
          <w:p>
            <w:pPr>
              <w:spacing w:after="0"/>
              <w:rPr>
                <w:sz w:val="14"/>
                <w:szCs w:val="14"/>
                <w:color w:val="auto"/>
              </w:rPr>
            </w:pPr>
          </w:p>
        </w:tc>
        <w:tc>
          <w:tcPr>
            <w:tcW w:w="20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(5,678</w:t>
            </w:r>
          </w:p>
        </w:tc>
        <w:tc>
          <w:tcPr>
            <w:tcW w:w="200" w:type="dxa"/>
            <w:vAlign w:val="bottom"/>
          </w:tcPr>
          <w:p>
            <w:pPr>
              <w:jc w:val="right"/>
              <w:ind w:right="123"/>
              <w:spacing w:after="0"/>
              <w:rPr>
                <w:sz w:val="20"/>
                <w:szCs w:val="20"/>
                <w:color w:val="auto"/>
              </w:rPr>
            </w:pPr>
            <w:r>
              <w:rPr>
                <w:rFonts w:ascii="Arial" w:cs="Arial" w:eastAsia="Arial" w:hAnsi="Arial"/>
                <w:sz w:val="7"/>
                <w:szCs w:val="7"/>
                <w:b w:val="1"/>
                <w:bCs w:val="1"/>
                <w:color w:val="auto"/>
                <w:w w:val="83"/>
              </w:rPr>
              <w:t>)</w:t>
            </w:r>
          </w:p>
        </w:tc>
        <w:tc>
          <w:tcPr>
            <w:tcW w:w="276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07"/>
        </w:trPr>
        <w:tc>
          <w:tcPr>
            <w:tcW w:w="220" w:type="dxa"/>
            <w:vAlign w:val="bottom"/>
          </w:tcPr>
          <w:p>
            <w:pPr>
              <w:spacing w:after="0"/>
              <w:rPr>
                <w:sz w:val="24"/>
                <w:szCs w:val="24"/>
                <w:color w:val="auto"/>
              </w:rPr>
            </w:pPr>
          </w:p>
        </w:tc>
        <w:tc>
          <w:tcPr>
            <w:tcW w:w="4660" w:type="dxa"/>
            <w:vAlign w:val="bottom"/>
            <w:tcBorders>
              <w:bottom w:val="single" w:sz="8" w:color="auto"/>
            </w:tcBorders>
          </w:tcPr>
          <w:p>
            <w:pPr>
              <w:spacing w:after="0"/>
              <w:rPr>
                <w:sz w:val="24"/>
                <w:szCs w:val="24"/>
                <w:color w:val="auto"/>
              </w:rPr>
            </w:pPr>
          </w:p>
        </w:tc>
        <w:tc>
          <w:tcPr>
            <w:tcW w:w="3600" w:type="dxa"/>
            <w:vAlign w:val="bottom"/>
            <w:tcBorders>
              <w:bottom w:val="single" w:sz="8" w:color="auto"/>
            </w:tcBorders>
            <w:gridSpan w:val="4"/>
          </w:tcPr>
          <w:p>
            <w:pPr>
              <w:jc w:val="right"/>
              <w:ind w:right="2183"/>
              <w:spacing w:after="0"/>
              <w:rPr>
                <w:sz w:val="20"/>
                <w:szCs w:val="20"/>
                <w:color w:val="auto"/>
              </w:rPr>
            </w:pPr>
            <w:r>
              <w:rPr>
                <w:rFonts w:ascii="Arial" w:cs="Arial" w:eastAsia="Arial" w:hAnsi="Arial"/>
                <w:sz w:val="13"/>
                <w:szCs w:val="13"/>
                <w:b w:val="1"/>
                <w:bCs w:val="1"/>
                <w:color w:val="auto"/>
              </w:rPr>
              <w:t>December 31, 2017</w:t>
            </w:r>
          </w:p>
        </w:tc>
        <w:tc>
          <w:tcPr>
            <w:tcW w:w="2760" w:type="dxa"/>
            <w:vAlign w:val="bottom"/>
            <w:tcBorders>
              <w:bottom w:val="single" w:sz="8" w:color="auto"/>
            </w:tcBorders>
          </w:tcPr>
          <w:p>
            <w:pPr>
              <w:spacing w:after="0"/>
              <w:rPr>
                <w:sz w:val="24"/>
                <w:szCs w:val="24"/>
                <w:color w:val="auto"/>
              </w:rPr>
            </w:pP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31"/>
        </w:trPr>
        <w:tc>
          <w:tcPr>
            <w:tcW w:w="220" w:type="dxa"/>
            <w:vAlign w:val="bottom"/>
          </w:tcPr>
          <w:p>
            <w:pPr>
              <w:spacing w:after="0"/>
              <w:rPr>
                <w:sz w:val="11"/>
                <w:szCs w:val="11"/>
                <w:color w:val="auto"/>
              </w:rPr>
            </w:pPr>
          </w:p>
        </w:tc>
        <w:tc>
          <w:tcPr>
            <w:tcW w:w="4660" w:type="dxa"/>
            <w:vAlign w:val="bottom"/>
          </w:tcPr>
          <w:p>
            <w:pPr>
              <w:spacing w:after="0"/>
              <w:rPr>
                <w:sz w:val="11"/>
                <w:szCs w:val="11"/>
                <w:color w:val="auto"/>
              </w:rPr>
            </w:pPr>
          </w:p>
        </w:tc>
        <w:tc>
          <w:tcPr>
            <w:tcW w:w="20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440" w:type="dxa"/>
            <w:vAlign w:val="bottom"/>
            <w:gridSpan w:val="2"/>
          </w:tcPr>
          <w:p>
            <w:pPr>
              <w:jc w:val="center"/>
              <w:ind w:right="163"/>
              <w:spacing w:after="0" w:line="131" w:lineRule="exact"/>
              <w:rPr>
                <w:sz w:val="20"/>
                <w:szCs w:val="20"/>
                <w:color w:val="auto"/>
              </w:rPr>
            </w:pPr>
            <w:r>
              <w:rPr>
                <w:rFonts w:ascii="Arial" w:cs="Arial" w:eastAsia="Arial" w:hAnsi="Arial"/>
                <w:sz w:val="13"/>
                <w:szCs w:val="13"/>
                <w:b w:val="1"/>
                <w:bCs w:val="1"/>
                <w:color w:val="auto"/>
                <w:w w:val="86"/>
              </w:rPr>
              <w:t>Amount reclassified</w:t>
            </w:r>
          </w:p>
        </w:tc>
        <w:tc>
          <w:tcPr>
            <w:tcW w:w="27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660" w:type="dxa"/>
            <w:vAlign w:val="bottom"/>
          </w:tcPr>
          <w:p>
            <w:pPr>
              <w:jc w:val="center"/>
              <w:ind w:left="2016"/>
              <w:spacing w:after="0"/>
              <w:rPr>
                <w:sz w:val="20"/>
                <w:szCs w:val="20"/>
                <w:color w:val="auto"/>
              </w:rPr>
            </w:pPr>
            <w:r>
              <w:rPr>
                <w:rFonts w:ascii="Arial" w:cs="Arial" w:eastAsia="Arial" w:hAnsi="Arial"/>
                <w:sz w:val="13"/>
                <w:szCs w:val="13"/>
                <w:b w:val="1"/>
                <w:bCs w:val="1"/>
                <w:color w:val="auto"/>
                <w:w w:val="87"/>
              </w:rPr>
              <w:t>Details about other comprehensive</w:t>
            </w:r>
          </w:p>
        </w:tc>
        <w:tc>
          <w:tcPr>
            <w:tcW w:w="20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440" w:type="dxa"/>
            <w:vAlign w:val="bottom"/>
            <w:gridSpan w:val="2"/>
          </w:tcPr>
          <w:p>
            <w:pPr>
              <w:jc w:val="center"/>
              <w:ind w:right="163"/>
              <w:spacing w:after="0"/>
              <w:rPr>
                <w:sz w:val="20"/>
                <w:szCs w:val="20"/>
                <w:color w:val="auto"/>
              </w:rPr>
            </w:pPr>
            <w:r>
              <w:rPr>
                <w:rFonts w:ascii="Arial" w:cs="Arial" w:eastAsia="Arial" w:hAnsi="Arial"/>
                <w:sz w:val="13"/>
                <w:szCs w:val="13"/>
                <w:b w:val="1"/>
                <w:bCs w:val="1"/>
                <w:color w:val="auto"/>
                <w:w w:val="92"/>
              </w:rPr>
              <w:t>from other</w:t>
            </w:r>
          </w:p>
        </w:tc>
        <w:tc>
          <w:tcPr>
            <w:tcW w:w="2760" w:type="dxa"/>
            <w:vAlign w:val="bottom"/>
          </w:tcPr>
          <w:p>
            <w:pPr>
              <w:ind w:left="20"/>
              <w:spacing w:after="0"/>
              <w:rPr>
                <w:sz w:val="20"/>
                <w:szCs w:val="20"/>
                <w:color w:val="auto"/>
              </w:rPr>
            </w:pPr>
            <w:r>
              <w:rPr>
                <w:rFonts w:ascii="Arial" w:cs="Arial" w:eastAsia="Arial" w:hAnsi="Arial"/>
                <w:sz w:val="13"/>
                <w:szCs w:val="13"/>
                <w:b w:val="1"/>
                <w:bCs w:val="1"/>
                <w:color w:val="auto"/>
                <w:w w:val="87"/>
              </w:rPr>
              <w:t>Affected line item in the consolidated statement of</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7"/>
        </w:trPr>
        <w:tc>
          <w:tcPr>
            <w:tcW w:w="220" w:type="dxa"/>
            <w:vAlign w:val="bottom"/>
          </w:tcPr>
          <w:p>
            <w:pPr>
              <w:spacing w:after="0"/>
              <w:rPr>
                <w:sz w:val="14"/>
                <w:szCs w:val="14"/>
                <w:color w:val="auto"/>
              </w:rPr>
            </w:pPr>
          </w:p>
        </w:tc>
        <w:tc>
          <w:tcPr>
            <w:tcW w:w="4660" w:type="dxa"/>
            <w:vAlign w:val="bottom"/>
          </w:tcPr>
          <w:p>
            <w:pPr>
              <w:jc w:val="center"/>
              <w:ind w:left="1996"/>
              <w:spacing w:after="0"/>
              <w:rPr>
                <w:sz w:val="20"/>
                <w:szCs w:val="20"/>
                <w:color w:val="auto"/>
              </w:rPr>
            </w:pPr>
            <w:r>
              <w:rPr>
                <w:rFonts w:ascii="Arial" w:cs="Arial" w:eastAsia="Arial" w:hAnsi="Arial"/>
                <w:sz w:val="13"/>
                <w:szCs w:val="13"/>
                <w:b w:val="1"/>
                <w:bCs w:val="1"/>
                <w:color w:val="auto"/>
                <w:w w:val="85"/>
              </w:rPr>
              <w:t>income components</w:t>
            </w:r>
          </w:p>
        </w:tc>
        <w:tc>
          <w:tcPr>
            <w:tcW w:w="20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440" w:type="dxa"/>
            <w:vAlign w:val="bottom"/>
            <w:gridSpan w:val="2"/>
          </w:tcPr>
          <w:p>
            <w:pPr>
              <w:jc w:val="center"/>
              <w:ind w:right="163"/>
              <w:spacing w:after="0"/>
              <w:rPr>
                <w:sz w:val="20"/>
                <w:szCs w:val="20"/>
                <w:color w:val="auto"/>
              </w:rPr>
            </w:pPr>
            <w:r>
              <w:rPr>
                <w:rFonts w:ascii="Arial" w:cs="Arial" w:eastAsia="Arial" w:hAnsi="Arial"/>
                <w:sz w:val="13"/>
                <w:szCs w:val="13"/>
                <w:b w:val="1"/>
                <w:bCs w:val="1"/>
                <w:color w:val="auto"/>
                <w:w w:val="85"/>
              </w:rPr>
              <w:t>comprehensive income</w:t>
            </w:r>
          </w:p>
        </w:tc>
        <w:tc>
          <w:tcPr>
            <w:tcW w:w="2760" w:type="dxa"/>
            <w:vAlign w:val="bottom"/>
          </w:tcPr>
          <w:p>
            <w:pPr>
              <w:ind w:left="1040"/>
              <w:spacing w:after="0"/>
              <w:rPr>
                <w:sz w:val="20"/>
                <w:szCs w:val="20"/>
                <w:color w:val="auto"/>
              </w:rPr>
            </w:pPr>
            <w:r>
              <w:rPr>
                <w:rFonts w:ascii="Arial" w:cs="Arial" w:eastAsia="Arial" w:hAnsi="Arial"/>
                <w:sz w:val="13"/>
                <w:szCs w:val="13"/>
                <w:b w:val="1"/>
                <w:bCs w:val="1"/>
                <w:color w:val="auto"/>
              </w:rPr>
              <w:t>profit or loss</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660" w:type="dxa"/>
            <w:vAlign w:val="bottom"/>
            <w:tcBorders>
              <w:top w:val="single" w:sz="8" w:color="auto"/>
            </w:tcBorders>
            <w:shd w:val="clear" w:color="auto" w:fill="CCEEFF"/>
          </w:tcPr>
          <w:p>
            <w:pPr>
              <w:spacing w:after="0" w:line="144" w:lineRule="exact"/>
              <w:rPr>
                <w:sz w:val="20"/>
                <w:szCs w:val="20"/>
                <w:color w:val="auto"/>
              </w:rPr>
            </w:pPr>
            <w:r>
              <w:rPr>
                <w:rFonts w:ascii="Arial" w:cs="Arial" w:eastAsia="Arial" w:hAnsi="Arial"/>
                <w:sz w:val="13"/>
                <w:szCs w:val="13"/>
                <w:color w:val="auto"/>
              </w:rPr>
              <w:t>Realized gains (losses) on securities at FVOCI:</w:t>
            </w:r>
          </w:p>
        </w:tc>
        <w:tc>
          <w:tcPr>
            <w:tcW w:w="206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00" w:type="dxa"/>
            <w:vAlign w:val="bottom"/>
            <w:tcBorders>
              <w:top w:val="single" w:sz="8" w:color="CCEEFF"/>
            </w:tcBorders>
            <w:shd w:val="clear" w:color="auto" w:fill="CCEEFF"/>
          </w:tcPr>
          <w:p>
            <w:pPr>
              <w:spacing w:after="0"/>
              <w:rPr>
                <w:sz w:val="12"/>
                <w:szCs w:val="12"/>
                <w:color w:val="auto"/>
              </w:rPr>
            </w:pPr>
          </w:p>
        </w:tc>
        <w:tc>
          <w:tcPr>
            <w:tcW w:w="2760" w:type="dxa"/>
            <w:vAlign w:val="bottom"/>
            <w:tcBorders>
              <w:top w:val="single" w:sz="8" w:color="auto"/>
            </w:tcBorders>
            <w:shd w:val="clear" w:color="auto" w:fill="CCEEFF"/>
          </w:tcPr>
          <w:p>
            <w:pPr>
              <w:spacing w:after="0" w:line="144" w:lineRule="exact"/>
              <w:rPr>
                <w:sz w:val="20"/>
                <w:szCs w:val="20"/>
                <w:color w:val="auto"/>
              </w:rPr>
            </w:pPr>
            <w:r>
              <w:rPr>
                <w:rFonts w:ascii="Arial" w:cs="Arial" w:eastAsia="Arial" w:hAnsi="Arial"/>
                <w:sz w:val="13"/>
                <w:szCs w:val="13"/>
                <w:color w:val="auto"/>
              </w:rPr>
              <w:t>Interest income – securities at FVOCI</w:t>
            </w: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660" w:type="dxa"/>
            <w:vAlign w:val="bottom"/>
          </w:tcPr>
          <w:p>
            <w:pPr>
              <w:spacing w:after="0"/>
              <w:rPr>
                <w:sz w:val="13"/>
                <w:szCs w:val="13"/>
                <w:color w:val="auto"/>
              </w:rPr>
            </w:pPr>
          </w:p>
        </w:tc>
        <w:tc>
          <w:tcPr>
            <w:tcW w:w="3400" w:type="dxa"/>
            <w:vAlign w:val="bottom"/>
            <w:gridSpan w:val="3"/>
          </w:tcPr>
          <w:p>
            <w:pPr>
              <w:jc w:val="right"/>
              <w:spacing w:after="0"/>
              <w:rPr>
                <w:sz w:val="20"/>
                <w:szCs w:val="20"/>
                <w:color w:val="auto"/>
              </w:rPr>
            </w:pPr>
            <w:r>
              <w:rPr>
                <w:rFonts w:ascii="Arial" w:cs="Arial" w:eastAsia="Arial" w:hAnsi="Arial"/>
                <w:sz w:val="13"/>
                <w:szCs w:val="13"/>
                <w:color w:val="auto"/>
              </w:rPr>
              <w:t>24</w:t>
            </w:r>
          </w:p>
        </w:tc>
        <w:tc>
          <w:tcPr>
            <w:tcW w:w="200" w:type="dxa"/>
            <w:vAlign w:val="bottom"/>
          </w:tcPr>
          <w:p>
            <w:pPr>
              <w:spacing w:after="0"/>
              <w:rPr>
                <w:sz w:val="13"/>
                <w:szCs w:val="13"/>
                <w:color w:val="auto"/>
              </w:rPr>
            </w:pPr>
          </w:p>
        </w:tc>
        <w:tc>
          <w:tcPr>
            <w:tcW w:w="2760" w:type="dxa"/>
            <w:vAlign w:val="bottom"/>
          </w:tcPr>
          <w:p>
            <w:pPr>
              <w:spacing w:after="0"/>
              <w:rPr>
                <w:sz w:val="20"/>
                <w:szCs w:val="20"/>
                <w:color w:val="auto"/>
              </w:rPr>
            </w:pPr>
            <w:r>
              <w:rPr>
                <w:rFonts w:ascii="Arial" w:cs="Arial" w:eastAsia="Arial" w:hAnsi="Arial"/>
                <w:sz w:val="13"/>
                <w:szCs w:val="13"/>
                <w:color w:val="auto"/>
              </w:rPr>
              <w:t>Net gain on sale of securities at FVOCI</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5"/>
        </w:trPr>
        <w:tc>
          <w:tcPr>
            <w:tcW w:w="220" w:type="dxa"/>
            <w:vAlign w:val="bottom"/>
          </w:tcPr>
          <w:p>
            <w:pPr>
              <w:spacing w:after="0"/>
              <w:rPr>
                <w:sz w:val="12"/>
                <w:szCs w:val="12"/>
                <w:color w:val="auto"/>
              </w:rPr>
            </w:pPr>
          </w:p>
        </w:tc>
        <w:tc>
          <w:tcPr>
            <w:tcW w:w="4660" w:type="dxa"/>
            <w:vAlign w:val="bottom"/>
            <w:shd w:val="clear" w:color="auto" w:fill="CCEEFF"/>
          </w:tcPr>
          <w:p>
            <w:pPr>
              <w:spacing w:after="0"/>
              <w:rPr>
                <w:sz w:val="12"/>
                <w:szCs w:val="12"/>
                <w:color w:val="auto"/>
              </w:rPr>
            </w:pPr>
          </w:p>
        </w:tc>
        <w:tc>
          <w:tcPr>
            <w:tcW w:w="20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2760" w:type="dxa"/>
            <w:vAlign w:val="bottom"/>
            <w:shd w:val="clear" w:color="auto" w:fill="CCEEFF"/>
          </w:tcPr>
          <w:p>
            <w:pPr>
              <w:spacing w:after="0" w:line="146" w:lineRule="exact"/>
              <w:rPr>
                <w:sz w:val="20"/>
                <w:szCs w:val="20"/>
                <w:color w:val="auto"/>
              </w:rPr>
            </w:pPr>
            <w:r>
              <w:rPr>
                <w:rFonts w:ascii="Arial" w:cs="Arial" w:eastAsia="Arial" w:hAnsi="Arial"/>
                <w:sz w:val="13"/>
                <w:szCs w:val="13"/>
                <w:color w:val="auto"/>
                <w:w w:val="91"/>
              </w:rPr>
              <w:t>Derivative financial instruments and impairment loss</w:t>
            </w: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72"/>
        </w:trPr>
        <w:tc>
          <w:tcPr>
            <w:tcW w:w="220" w:type="dxa"/>
            <w:vAlign w:val="bottom"/>
          </w:tcPr>
          <w:p>
            <w:pPr>
              <w:spacing w:after="0"/>
              <w:rPr>
                <w:sz w:val="14"/>
                <w:szCs w:val="14"/>
                <w:color w:val="auto"/>
              </w:rPr>
            </w:pPr>
          </w:p>
        </w:tc>
        <w:tc>
          <w:tcPr>
            <w:tcW w:w="4660" w:type="dxa"/>
            <w:vAlign w:val="bottom"/>
            <w:shd w:val="clear" w:color="auto" w:fill="CCEEFF"/>
          </w:tcPr>
          <w:p>
            <w:pPr>
              <w:spacing w:after="0"/>
              <w:rPr>
                <w:sz w:val="14"/>
                <w:szCs w:val="14"/>
                <w:color w:val="auto"/>
              </w:rPr>
            </w:pPr>
          </w:p>
        </w:tc>
        <w:tc>
          <w:tcPr>
            <w:tcW w:w="3600" w:type="dxa"/>
            <w:vAlign w:val="bottom"/>
            <w:gridSpan w:val="4"/>
            <w:shd w:val="clear" w:color="auto" w:fill="CCEEFF"/>
          </w:tcPr>
          <w:p>
            <w:pPr>
              <w:jc w:val="right"/>
              <w:ind w:right="123"/>
              <w:spacing w:after="0"/>
              <w:rPr>
                <w:sz w:val="20"/>
                <w:szCs w:val="20"/>
                <w:color w:val="auto"/>
              </w:rPr>
            </w:pPr>
            <w:r>
              <w:rPr>
                <w:rFonts w:ascii="Arial" w:cs="Arial" w:eastAsia="Arial" w:hAnsi="Arial"/>
                <w:sz w:val="13"/>
                <w:szCs w:val="13"/>
                <w:color w:val="auto"/>
              </w:rPr>
              <w:t>(108)</w:t>
            </w:r>
          </w:p>
        </w:tc>
        <w:tc>
          <w:tcPr>
            <w:tcW w:w="2760" w:type="dxa"/>
            <w:vAlign w:val="bottom"/>
            <w:shd w:val="clear" w:color="auto" w:fill="CCEEFF"/>
          </w:tcPr>
          <w:p>
            <w:pPr>
              <w:spacing w:after="0"/>
              <w:rPr>
                <w:sz w:val="20"/>
                <w:szCs w:val="20"/>
                <w:color w:val="auto"/>
              </w:rPr>
            </w:pPr>
            <w:r>
              <w:rPr>
                <w:rFonts w:ascii="Arial" w:cs="Arial" w:eastAsia="Arial" w:hAnsi="Arial"/>
                <w:sz w:val="13"/>
                <w:szCs w:val="13"/>
                <w:color w:val="auto"/>
              </w:rPr>
              <w:t>on financial instruments at FVOCI</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4660" w:type="dxa"/>
            <w:vAlign w:val="bottom"/>
            <w:tcBorders>
              <w:bottom w:val="single" w:sz="8" w:color="CCEEFF"/>
            </w:tcBorders>
          </w:tcPr>
          <w:p>
            <w:pPr>
              <w:spacing w:after="0"/>
              <w:rPr>
                <w:sz w:val="14"/>
                <w:szCs w:val="14"/>
                <w:color w:val="auto"/>
              </w:rPr>
            </w:pPr>
          </w:p>
        </w:tc>
        <w:tc>
          <w:tcPr>
            <w:tcW w:w="2160" w:type="dxa"/>
            <w:vAlign w:val="bottom"/>
            <w:tcBorders>
              <w:bottom w:val="single" w:sz="8" w:color="CCEEFF"/>
            </w:tcBorders>
            <w:gridSpan w:val="2"/>
          </w:tcPr>
          <w:p>
            <w:pPr>
              <w:spacing w:after="0"/>
              <w:rPr>
                <w:sz w:val="14"/>
                <w:szCs w:val="14"/>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(84</w:t>
            </w:r>
          </w:p>
        </w:tc>
        <w:tc>
          <w:tcPr>
            <w:tcW w:w="200" w:type="dxa"/>
            <w:vAlign w:val="bottom"/>
            <w:tcBorders>
              <w:bottom w:val="single" w:sz="8" w:color="CCEEFF"/>
            </w:tcBorders>
          </w:tcPr>
          <w:p>
            <w:pPr>
              <w:jc w:val="right"/>
              <w:ind w:right="123"/>
              <w:spacing w:after="0"/>
              <w:rPr>
                <w:sz w:val="20"/>
                <w:szCs w:val="20"/>
                <w:color w:val="auto"/>
              </w:rPr>
            </w:pPr>
            <w:r>
              <w:rPr>
                <w:rFonts w:ascii="Arial" w:cs="Arial" w:eastAsia="Arial" w:hAnsi="Arial"/>
                <w:sz w:val="7"/>
                <w:szCs w:val="7"/>
                <w:b w:val="1"/>
                <w:bCs w:val="1"/>
                <w:color w:val="auto"/>
                <w:w w:val="83"/>
              </w:rPr>
              <w:t>)</w:t>
            </w:r>
          </w:p>
        </w:tc>
        <w:tc>
          <w:tcPr>
            <w:tcW w:w="2760" w:type="dxa"/>
            <w:vAlign w:val="bottom"/>
            <w:tcBorders>
              <w:bottom w:val="single" w:sz="8" w:color="CCEEFF"/>
            </w:tcBorders>
          </w:tcPr>
          <w:p>
            <w:pPr>
              <w:spacing w:after="0"/>
              <w:rPr>
                <w:sz w:val="14"/>
                <w:szCs w:val="14"/>
                <w:color w:val="auto"/>
              </w:rPr>
            </w:pP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4660" w:type="dxa"/>
            <w:vAlign w:val="bottom"/>
            <w:shd w:val="clear" w:color="auto" w:fill="CCEEFF"/>
          </w:tcPr>
          <w:p>
            <w:pPr>
              <w:spacing w:after="0"/>
              <w:rPr>
                <w:sz w:val="13"/>
                <w:szCs w:val="13"/>
                <w:color w:val="auto"/>
              </w:rPr>
            </w:pPr>
          </w:p>
        </w:tc>
        <w:tc>
          <w:tcPr>
            <w:tcW w:w="20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2760" w:type="dxa"/>
            <w:vAlign w:val="bottom"/>
            <w:shd w:val="clear" w:color="auto" w:fill="CCEEFF"/>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4660" w:type="dxa"/>
            <w:vAlign w:val="bottom"/>
          </w:tcPr>
          <w:p>
            <w:pPr>
              <w:spacing w:after="0"/>
              <w:rPr>
                <w:sz w:val="20"/>
                <w:szCs w:val="20"/>
                <w:color w:val="auto"/>
              </w:rPr>
            </w:pPr>
            <w:r>
              <w:rPr>
                <w:rFonts w:ascii="Arial" w:cs="Arial" w:eastAsia="Arial" w:hAnsi="Arial"/>
                <w:sz w:val="13"/>
                <w:szCs w:val="13"/>
                <w:color w:val="auto"/>
              </w:rPr>
              <w:t>Gains (losses) on derivative financial instruments:</w:t>
            </w:r>
          </w:p>
        </w:tc>
        <w:tc>
          <w:tcPr>
            <w:tcW w:w="20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27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660" w:type="dxa"/>
            <w:vAlign w:val="bottom"/>
            <w:shd w:val="clear" w:color="auto" w:fill="CCEEFF"/>
          </w:tcPr>
          <w:p>
            <w:pPr>
              <w:spacing w:after="0"/>
              <w:rPr>
                <w:sz w:val="20"/>
                <w:szCs w:val="20"/>
                <w:color w:val="auto"/>
              </w:rPr>
            </w:pPr>
            <w:r>
              <w:rPr>
                <w:rFonts w:ascii="Arial" w:cs="Arial" w:eastAsia="Arial" w:hAnsi="Arial"/>
                <w:sz w:val="13"/>
                <w:szCs w:val="13"/>
                <w:color w:val="auto"/>
              </w:rPr>
              <w:t>Foreign exchange forwards</w:t>
            </w:r>
          </w:p>
        </w:tc>
        <w:tc>
          <w:tcPr>
            <w:tcW w:w="3600" w:type="dxa"/>
            <w:vAlign w:val="bottom"/>
            <w:gridSpan w:val="4"/>
            <w:shd w:val="clear" w:color="auto" w:fill="CCEEFF"/>
          </w:tcPr>
          <w:p>
            <w:pPr>
              <w:jc w:val="right"/>
              <w:ind w:right="123"/>
              <w:spacing w:after="0"/>
              <w:rPr>
                <w:sz w:val="20"/>
                <w:szCs w:val="20"/>
                <w:color w:val="auto"/>
              </w:rPr>
            </w:pPr>
            <w:r>
              <w:rPr>
                <w:rFonts w:ascii="Arial" w:cs="Arial" w:eastAsia="Arial" w:hAnsi="Arial"/>
                <w:sz w:val="13"/>
                <w:szCs w:val="13"/>
                <w:color w:val="auto"/>
              </w:rPr>
              <w:t>(7,611)</w:t>
            </w:r>
          </w:p>
        </w:tc>
        <w:tc>
          <w:tcPr>
            <w:tcW w:w="2760" w:type="dxa"/>
            <w:vAlign w:val="bottom"/>
            <w:shd w:val="clear" w:color="auto" w:fill="CCEEFF"/>
          </w:tcPr>
          <w:p>
            <w:pPr>
              <w:spacing w:after="0"/>
              <w:rPr>
                <w:sz w:val="20"/>
                <w:szCs w:val="20"/>
                <w:color w:val="auto"/>
              </w:rPr>
            </w:pPr>
            <w:r>
              <w:rPr>
                <w:rFonts w:ascii="Arial" w:cs="Arial" w:eastAsia="Arial" w:hAnsi="Arial"/>
                <w:sz w:val="13"/>
                <w:szCs w:val="13"/>
                <w:color w:val="auto"/>
              </w:rPr>
              <w:t>Interest income – loans</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660" w:type="dxa"/>
            <w:vAlign w:val="bottom"/>
          </w:tcPr>
          <w:p>
            <w:pPr>
              <w:spacing w:after="0"/>
              <w:rPr>
                <w:sz w:val="13"/>
                <w:szCs w:val="13"/>
                <w:color w:val="auto"/>
              </w:rPr>
            </w:pPr>
          </w:p>
        </w:tc>
        <w:tc>
          <w:tcPr>
            <w:tcW w:w="3600" w:type="dxa"/>
            <w:vAlign w:val="bottom"/>
            <w:gridSpan w:val="4"/>
          </w:tcPr>
          <w:p>
            <w:pPr>
              <w:jc w:val="right"/>
              <w:ind w:right="123"/>
              <w:spacing w:after="0"/>
              <w:rPr>
                <w:sz w:val="20"/>
                <w:szCs w:val="20"/>
                <w:color w:val="auto"/>
              </w:rPr>
            </w:pPr>
            <w:r>
              <w:rPr>
                <w:rFonts w:ascii="Arial" w:cs="Arial" w:eastAsia="Arial" w:hAnsi="Arial"/>
                <w:sz w:val="13"/>
                <w:szCs w:val="13"/>
                <w:color w:val="auto"/>
              </w:rPr>
              <w:t>(2,102)</w:t>
            </w:r>
          </w:p>
        </w:tc>
        <w:tc>
          <w:tcPr>
            <w:tcW w:w="2760" w:type="dxa"/>
            <w:vAlign w:val="bottom"/>
          </w:tcPr>
          <w:p>
            <w:pPr>
              <w:spacing w:after="0"/>
              <w:rPr>
                <w:sz w:val="20"/>
                <w:szCs w:val="20"/>
                <w:color w:val="auto"/>
              </w:rPr>
            </w:pPr>
            <w:r>
              <w:rPr>
                <w:rFonts w:ascii="Arial" w:cs="Arial" w:eastAsia="Arial" w:hAnsi="Arial"/>
                <w:sz w:val="13"/>
                <w:szCs w:val="13"/>
                <w:color w:val="auto"/>
              </w:rPr>
              <w:t>Interest expense – borrowings and deposits</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660" w:type="dxa"/>
            <w:vAlign w:val="bottom"/>
            <w:shd w:val="clear" w:color="auto" w:fill="CCEEFF"/>
          </w:tcPr>
          <w:p>
            <w:pPr>
              <w:spacing w:after="0"/>
              <w:rPr>
                <w:sz w:val="13"/>
                <w:szCs w:val="13"/>
                <w:color w:val="auto"/>
              </w:rPr>
            </w:pPr>
          </w:p>
        </w:tc>
        <w:tc>
          <w:tcPr>
            <w:tcW w:w="3400" w:type="dxa"/>
            <w:vAlign w:val="bottom"/>
            <w:gridSpan w:val="3"/>
            <w:shd w:val="clear" w:color="auto" w:fill="CCEEFF"/>
          </w:tcPr>
          <w:p>
            <w:pPr>
              <w:jc w:val="right"/>
              <w:spacing w:after="0"/>
              <w:rPr>
                <w:sz w:val="20"/>
                <w:szCs w:val="20"/>
                <w:color w:val="auto"/>
              </w:rPr>
            </w:pPr>
            <w:r>
              <w:rPr>
                <w:rFonts w:ascii="Arial" w:cs="Arial" w:eastAsia="Arial" w:hAnsi="Arial"/>
                <w:sz w:val="13"/>
                <w:szCs w:val="13"/>
                <w:color w:val="auto"/>
              </w:rPr>
              <w:t>7,216</w:t>
            </w:r>
          </w:p>
        </w:tc>
        <w:tc>
          <w:tcPr>
            <w:tcW w:w="200" w:type="dxa"/>
            <w:vAlign w:val="bottom"/>
            <w:shd w:val="clear" w:color="auto" w:fill="CCEEFF"/>
          </w:tcPr>
          <w:p>
            <w:pPr>
              <w:spacing w:after="0"/>
              <w:rPr>
                <w:sz w:val="13"/>
                <w:szCs w:val="13"/>
                <w:color w:val="auto"/>
              </w:rPr>
            </w:pPr>
          </w:p>
        </w:tc>
        <w:tc>
          <w:tcPr>
            <w:tcW w:w="2760" w:type="dxa"/>
            <w:vAlign w:val="bottom"/>
            <w:shd w:val="clear" w:color="auto" w:fill="CCEEFF"/>
          </w:tcPr>
          <w:p>
            <w:pPr>
              <w:spacing w:after="0"/>
              <w:rPr>
                <w:sz w:val="20"/>
                <w:szCs w:val="20"/>
                <w:color w:val="auto"/>
              </w:rPr>
            </w:pPr>
            <w:r>
              <w:rPr>
                <w:rFonts w:ascii="Arial" w:cs="Arial" w:eastAsia="Arial" w:hAnsi="Arial"/>
                <w:sz w:val="13"/>
                <w:szCs w:val="13"/>
                <w:color w:val="auto"/>
              </w:rPr>
              <w:t>Net gain (loss) on foreign currency exchange</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660" w:type="dxa"/>
            <w:vAlign w:val="bottom"/>
          </w:tcPr>
          <w:p>
            <w:pPr>
              <w:spacing w:after="0"/>
              <w:rPr>
                <w:sz w:val="20"/>
                <w:szCs w:val="20"/>
                <w:color w:val="auto"/>
              </w:rPr>
            </w:pPr>
            <w:r>
              <w:rPr>
                <w:rFonts w:ascii="Arial" w:cs="Arial" w:eastAsia="Arial" w:hAnsi="Arial"/>
                <w:sz w:val="13"/>
                <w:szCs w:val="13"/>
                <w:color w:val="auto"/>
              </w:rPr>
              <w:t>Interest rate swaps</w:t>
            </w:r>
          </w:p>
        </w:tc>
        <w:tc>
          <w:tcPr>
            <w:tcW w:w="3400" w:type="dxa"/>
            <w:vAlign w:val="bottom"/>
            <w:gridSpan w:val="3"/>
          </w:tcPr>
          <w:p>
            <w:pPr>
              <w:jc w:val="right"/>
              <w:spacing w:after="0"/>
              <w:rPr>
                <w:sz w:val="20"/>
                <w:szCs w:val="20"/>
                <w:color w:val="auto"/>
              </w:rPr>
            </w:pPr>
            <w:r>
              <w:rPr>
                <w:rFonts w:ascii="Arial" w:cs="Arial" w:eastAsia="Arial" w:hAnsi="Arial"/>
                <w:sz w:val="13"/>
                <w:szCs w:val="13"/>
                <w:color w:val="auto"/>
              </w:rPr>
              <w:t>86</w:t>
            </w:r>
          </w:p>
        </w:tc>
        <w:tc>
          <w:tcPr>
            <w:tcW w:w="200" w:type="dxa"/>
            <w:vAlign w:val="bottom"/>
          </w:tcPr>
          <w:p>
            <w:pPr>
              <w:spacing w:after="0"/>
              <w:rPr>
                <w:sz w:val="13"/>
                <w:szCs w:val="13"/>
                <w:color w:val="auto"/>
              </w:rPr>
            </w:pPr>
          </w:p>
        </w:tc>
        <w:tc>
          <w:tcPr>
            <w:tcW w:w="2760" w:type="dxa"/>
            <w:vAlign w:val="bottom"/>
          </w:tcPr>
          <w:p>
            <w:pPr>
              <w:spacing w:after="0"/>
              <w:rPr>
                <w:sz w:val="20"/>
                <w:szCs w:val="20"/>
                <w:color w:val="auto"/>
              </w:rPr>
            </w:pPr>
            <w:r>
              <w:rPr>
                <w:rFonts w:ascii="Arial" w:cs="Arial" w:eastAsia="Arial" w:hAnsi="Arial"/>
                <w:sz w:val="13"/>
                <w:szCs w:val="13"/>
                <w:color w:val="auto"/>
              </w:rPr>
              <w:t>Net gain (loss) on interest rate swaps</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660" w:type="dxa"/>
            <w:vAlign w:val="bottom"/>
            <w:shd w:val="clear" w:color="auto" w:fill="CCEEFF"/>
          </w:tcPr>
          <w:p>
            <w:pPr>
              <w:spacing w:after="0"/>
              <w:rPr>
                <w:sz w:val="20"/>
                <w:szCs w:val="20"/>
                <w:color w:val="auto"/>
              </w:rPr>
            </w:pPr>
            <w:r>
              <w:rPr>
                <w:rFonts w:ascii="Arial" w:cs="Arial" w:eastAsia="Arial" w:hAnsi="Arial"/>
                <w:sz w:val="13"/>
                <w:szCs w:val="13"/>
                <w:color w:val="auto"/>
              </w:rPr>
              <w:t>Cross-currency swaps</w:t>
            </w:r>
          </w:p>
        </w:tc>
        <w:tc>
          <w:tcPr>
            <w:tcW w:w="3400" w:type="dxa"/>
            <w:vAlign w:val="bottom"/>
            <w:gridSpan w:val="3"/>
            <w:shd w:val="clear" w:color="auto" w:fill="CCEEFF"/>
          </w:tcPr>
          <w:p>
            <w:pPr>
              <w:jc w:val="right"/>
              <w:spacing w:after="0"/>
              <w:rPr>
                <w:sz w:val="20"/>
                <w:szCs w:val="20"/>
                <w:color w:val="auto"/>
              </w:rPr>
            </w:pPr>
            <w:r>
              <w:rPr>
                <w:rFonts w:ascii="Arial" w:cs="Arial" w:eastAsia="Arial" w:hAnsi="Arial"/>
                <w:sz w:val="13"/>
                <w:szCs w:val="13"/>
                <w:color w:val="auto"/>
              </w:rPr>
              <w:t>12</w:t>
            </w:r>
          </w:p>
        </w:tc>
        <w:tc>
          <w:tcPr>
            <w:tcW w:w="200" w:type="dxa"/>
            <w:vAlign w:val="bottom"/>
            <w:shd w:val="clear" w:color="auto" w:fill="CCEEFF"/>
          </w:tcPr>
          <w:p>
            <w:pPr>
              <w:spacing w:after="0"/>
              <w:rPr>
                <w:sz w:val="14"/>
                <w:szCs w:val="14"/>
                <w:color w:val="auto"/>
              </w:rPr>
            </w:pPr>
          </w:p>
        </w:tc>
        <w:tc>
          <w:tcPr>
            <w:tcW w:w="2760" w:type="dxa"/>
            <w:vAlign w:val="bottom"/>
            <w:shd w:val="clear" w:color="auto" w:fill="CCEEFF"/>
          </w:tcPr>
          <w:p>
            <w:pPr>
              <w:spacing w:after="0"/>
              <w:rPr>
                <w:sz w:val="20"/>
                <w:szCs w:val="20"/>
                <w:color w:val="auto"/>
              </w:rPr>
            </w:pPr>
            <w:r>
              <w:rPr>
                <w:rFonts w:ascii="Arial" w:cs="Arial" w:eastAsia="Arial" w:hAnsi="Arial"/>
                <w:sz w:val="13"/>
                <w:szCs w:val="13"/>
                <w:color w:val="auto"/>
              </w:rPr>
              <w:t>Net gain (loss) on cross-currency swaps</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4660" w:type="dxa"/>
            <w:vAlign w:val="bottom"/>
          </w:tcPr>
          <w:p>
            <w:pPr>
              <w:spacing w:after="0"/>
              <w:rPr>
                <w:sz w:val="14"/>
                <w:szCs w:val="14"/>
                <w:color w:val="auto"/>
              </w:rPr>
            </w:pPr>
          </w:p>
        </w:tc>
        <w:tc>
          <w:tcPr>
            <w:tcW w:w="2160" w:type="dxa"/>
            <w:vAlign w:val="bottom"/>
            <w:gridSpan w:val="2"/>
          </w:tcPr>
          <w:p>
            <w:pPr>
              <w:spacing w:after="0"/>
              <w:rPr>
                <w:sz w:val="14"/>
                <w:szCs w:val="14"/>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(2,399</w:t>
            </w:r>
          </w:p>
        </w:tc>
        <w:tc>
          <w:tcPr>
            <w:tcW w:w="200" w:type="dxa"/>
            <w:vAlign w:val="bottom"/>
          </w:tcPr>
          <w:p>
            <w:pPr>
              <w:jc w:val="right"/>
              <w:ind w:right="123"/>
              <w:spacing w:after="0"/>
              <w:rPr>
                <w:sz w:val="20"/>
                <w:szCs w:val="20"/>
                <w:color w:val="auto"/>
              </w:rPr>
            </w:pPr>
            <w:r>
              <w:rPr>
                <w:rFonts w:ascii="Arial" w:cs="Arial" w:eastAsia="Arial" w:hAnsi="Arial"/>
                <w:sz w:val="7"/>
                <w:szCs w:val="7"/>
                <w:b w:val="1"/>
                <w:bCs w:val="1"/>
                <w:color w:val="auto"/>
                <w:w w:val="83"/>
              </w:rPr>
              <w:t>)</w:t>
            </w:r>
          </w:p>
        </w:tc>
        <w:tc>
          <w:tcPr>
            <w:tcW w:w="276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466"/>
        </w:trPr>
        <w:tc>
          <w:tcPr>
            <w:tcW w:w="220" w:type="dxa"/>
            <w:vAlign w:val="bottom"/>
            <w:tcBorders>
              <w:bottom w:val="single" w:sz="8" w:color="auto"/>
            </w:tcBorders>
          </w:tcPr>
          <w:p>
            <w:pPr>
              <w:spacing w:after="0"/>
              <w:rPr>
                <w:sz w:val="24"/>
                <w:szCs w:val="24"/>
                <w:color w:val="auto"/>
              </w:rPr>
            </w:pPr>
          </w:p>
        </w:tc>
        <w:tc>
          <w:tcPr>
            <w:tcW w:w="4660" w:type="dxa"/>
            <w:vAlign w:val="bottom"/>
            <w:tcBorders>
              <w:bottom w:val="single" w:sz="8" w:color="auto"/>
            </w:tcBorders>
          </w:tcPr>
          <w:p>
            <w:pPr>
              <w:spacing w:after="0"/>
              <w:rPr>
                <w:sz w:val="24"/>
                <w:szCs w:val="24"/>
                <w:color w:val="auto"/>
              </w:rPr>
            </w:pPr>
          </w:p>
        </w:tc>
        <w:tc>
          <w:tcPr>
            <w:tcW w:w="3600" w:type="dxa"/>
            <w:vAlign w:val="bottom"/>
            <w:tcBorders>
              <w:bottom w:val="single" w:sz="8" w:color="auto"/>
            </w:tcBorders>
            <w:gridSpan w:val="4"/>
          </w:tcPr>
          <w:p>
            <w:pPr>
              <w:jc w:val="right"/>
              <w:ind w:right="2583"/>
              <w:spacing w:after="0"/>
              <w:rPr>
                <w:sz w:val="20"/>
                <w:szCs w:val="20"/>
                <w:color w:val="auto"/>
              </w:rPr>
            </w:pPr>
            <w:r>
              <w:rPr>
                <w:rFonts w:ascii="Arial" w:cs="Arial" w:eastAsia="Arial" w:hAnsi="Arial"/>
                <w:sz w:val="13"/>
                <w:szCs w:val="13"/>
                <w:color w:val="auto"/>
              </w:rPr>
              <w:t>F-76</w:t>
            </w:r>
          </w:p>
        </w:tc>
        <w:tc>
          <w:tcPr>
            <w:tcW w:w="276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3"/>
          </w:cols>
          <w:pgMar w:left="217" w:top="685" w:right="199" w:bottom="1440" w:gutter="0" w:footer="0" w:header="0"/>
        </w:sectPr>
      </w:pPr>
    </w:p>
    <w:bookmarkStart w:id="201" w:name="page202"/>
    <w:bookmarkEnd w:id="201"/>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33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22. Other comprehensive income (continued)</w:t>
      </w:r>
    </w:p>
    <w:p>
      <w:pPr>
        <w:spacing w:after="0" w:line="159" w:lineRule="exact"/>
        <w:rPr>
          <w:sz w:val="20"/>
          <w:szCs w:val="20"/>
          <w:color w:val="auto"/>
        </w:rPr>
      </w:pPr>
    </w:p>
    <w:p>
      <w:pPr>
        <w:jc w:val="center"/>
        <w:ind w:right="17"/>
        <w:spacing w:after="0"/>
        <w:rPr>
          <w:sz w:val="20"/>
          <w:szCs w:val="20"/>
          <w:color w:val="auto"/>
        </w:rPr>
      </w:pPr>
      <w:r>
        <w:rPr>
          <w:rFonts w:ascii="Arial" w:cs="Arial" w:eastAsia="Arial" w:hAnsi="Arial"/>
          <w:sz w:val="13"/>
          <w:szCs w:val="13"/>
          <w:b w:val="1"/>
          <w:bCs w:val="1"/>
          <w:color w:val="auto"/>
        </w:rPr>
        <w:t>December 31, 2016</w:t>
      </w:r>
    </w:p>
    <w:p>
      <w:pPr>
        <w:spacing w:after="0" w:line="17" w:lineRule="exact"/>
        <w:rPr>
          <w:sz w:val="20"/>
          <w:szCs w:val="20"/>
          <w:color w:val="auto"/>
        </w:rPr>
      </w:pPr>
    </w:p>
    <w:tbl>
      <w:tblPr>
        <w:tblLayout w:type="fixed"/>
        <w:tblInd w:w="223" w:type="dxa"/>
        <w:tblCellMar>
          <w:top w:w="0" w:type="dxa"/>
          <w:left w:w="0" w:type="dxa"/>
          <w:bottom w:w="0" w:type="dxa"/>
          <w:right w:w="0" w:type="dxa"/>
        </w:tblCellMar>
      </w:tblPr>
      <w:tr>
        <w:trPr>
          <w:trHeight w:val="131"/>
        </w:trPr>
        <w:tc>
          <w:tcPr>
            <w:tcW w:w="5560" w:type="dxa"/>
            <w:vAlign w:val="bottom"/>
            <w:tcBorders>
              <w:top w:val="single" w:sz="8" w:color="auto"/>
            </w:tcBorders>
          </w:tcPr>
          <w:p>
            <w:pPr>
              <w:spacing w:after="0"/>
              <w:rPr>
                <w:sz w:val="11"/>
                <w:szCs w:val="11"/>
                <w:color w:val="auto"/>
              </w:rPr>
            </w:pPr>
          </w:p>
        </w:tc>
        <w:tc>
          <w:tcPr>
            <w:tcW w:w="2620" w:type="dxa"/>
            <w:vAlign w:val="bottom"/>
            <w:tcBorders>
              <w:top w:val="single" w:sz="8" w:color="auto"/>
            </w:tcBorders>
          </w:tcPr>
          <w:p>
            <w:pPr>
              <w:jc w:val="center"/>
              <w:ind w:left="1076"/>
              <w:spacing w:after="0" w:line="131" w:lineRule="exact"/>
              <w:rPr>
                <w:sz w:val="20"/>
                <w:szCs w:val="20"/>
                <w:color w:val="auto"/>
              </w:rPr>
            </w:pPr>
            <w:r>
              <w:rPr>
                <w:rFonts w:ascii="Arial" w:cs="Arial" w:eastAsia="Arial" w:hAnsi="Arial"/>
                <w:sz w:val="13"/>
                <w:szCs w:val="13"/>
                <w:b w:val="1"/>
                <w:bCs w:val="1"/>
                <w:color w:val="auto"/>
                <w:w w:val="86"/>
              </w:rPr>
              <w:t>Amount reclassified</w:t>
            </w:r>
          </w:p>
        </w:tc>
        <w:tc>
          <w:tcPr>
            <w:tcW w:w="2840" w:type="dxa"/>
            <w:vAlign w:val="bottom"/>
            <w:tcBorders>
              <w:top w:val="single" w:sz="8" w:color="auto"/>
            </w:tcBorders>
          </w:tcPr>
          <w:p>
            <w:pPr>
              <w:spacing w:after="0"/>
              <w:rPr>
                <w:sz w:val="11"/>
                <w:szCs w:val="11"/>
                <w:color w:val="auto"/>
              </w:rPr>
            </w:pPr>
          </w:p>
        </w:tc>
      </w:tr>
      <w:tr>
        <w:trPr>
          <w:trHeight w:val="154"/>
        </w:trPr>
        <w:tc>
          <w:tcPr>
            <w:tcW w:w="5560" w:type="dxa"/>
            <w:vAlign w:val="bottom"/>
          </w:tcPr>
          <w:p>
            <w:pPr>
              <w:jc w:val="center"/>
              <w:ind w:left="1116"/>
              <w:spacing w:after="0"/>
              <w:rPr>
                <w:sz w:val="20"/>
                <w:szCs w:val="20"/>
                <w:color w:val="auto"/>
              </w:rPr>
            </w:pPr>
            <w:r>
              <w:rPr>
                <w:rFonts w:ascii="Arial" w:cs="Arial" w:eastAsia="Arial" w:hAnsi="Arial"/>
                <w:sz w:val="13"/>
                <w:szCs w:val="13"/>
                <w:b w:val="1"/>
                <w:bCs w:val="1"/>
                <w:color w:val="auto"/>
                <w:w w:val="87"/>
              </w:rPr>
              <w:t>Details about other comprehensive</w:t>
            </w:r>
          </w:p>
        </w:tc>
        <w:tc>
          <w:tcPr>
            <w:tcW w:w="2620" w:type="dxa"/>
            <w:vAlign w:val="bottom"/>
          </w:tcPr>
          <w:p>
            <w:pPr>
              <w:jc w:val="center"/>
              <w:ind w:left="1076"/>
              <w:spacing w:after="0"/>
              <w:rPr>
                <w:sz w:val="20"/>
                <w:szCs w:val="20"/>
                <w:color w:val="auto"/>
              </w:rPr>
            </w:pPr>
            <w:r>
              <w:rPr>
                <w:rFonts w:ascii="Arial" w:cs="Arial" w:eastAsia="Arial" w:hAnsi="Arial"/>
                <w:sz w:val="13"/>
                <w:szCs w:val="13"/>
                <w:b w:val="1"/>
                <w:bCs w:val="1"/>
                <w:color w:val="auto"/>
                <w:w w:val="92"/>
              </w:rPr>
              <w:t>from other</w:t>
            </w:r>
          </w:p>
        </w:tc>
        <w:tc>
          <w:tcPr>
            <w:tcW w:w="2840" w:type="dxa"/>
            <w:vAlign w:val="bottom"/>
          </w:tcPr>
          <w:p>
            <w:pPr>
              <w:jc w:val="center"/>
              <w:ind w:left="36"/>
              <w:spacing w:after="0"/>
              <w:rPr>
                <w:sz w:val="20"/>
                <w:szCs w:val="20"/>
                <w:color w:val="auto"/>
              </w:rPr>
            </w:pPr>
            <w:r>
              <w:rPr>
                <w:rFonts w:ascii="Arial" w:cs="Arial" w:eastAsia="Arial" w:hAnsi="Arial"/>
                <w:sz w:val="13"/>
                <w:szCs w:val="13"/>
                <w:b w:val="1"/>
                <w:bCs w:val="1"/>
                <w:color w:val="auto"/>
                <w:w w:val="87"/>
              </w:rPr>
              <w:t>Affected line item in the consolidated statement of</w:t>
            </w:r>
          </w:p>
        </w:tc>
      </w:tr>
      <w:tr>
        <w:trPr>
          <w:trHeight w:val="166"/>
        </w:trPr>
        <w:tc>
          <w:tcPr>
            <w:tcW w:w="5560" w:type="dxa"/>
            <w:vAlign w:val="bottom"/>
          </w:tcPr>
          <w:p>
            <w:pPr>
              <w:jc w:val="center"/>
              <w:ind w:left="1096"/>
              <w:spacing w:after="0"/>
              <w:rPr>
                <w:sz w:val="20"/>
                <w:szCs w:val="20"/>
                <w:color w:val="auto"/>
              </w:rPr>
            </w:pPr>
            <w:r>
              <w:rPr>
                <w:rFonts w:ascii="Arial" w:cs="Arial" w:eastAsia="Arial" w:hAnsi="Arial"/>
                <w:sz w:val="13"/>
                <w:szCs w:val="13"/>
                <w:b w:val="1"/>
                <w:bCs w:val="1"/>
                <w:color w:val="auto"/>
                <w:w w:val="85"/>
              </w:rPr>
              <w:t>income components</w:t>
            </w:r>
          </w:p>
        </w:tc>
        <w:tc>
          <w:tcPr>
            <w:tcW w:w="2620" w:type="dxa"/>
            <w:vAlign w:val="bottom"/>
          </w:tcPr>
          <w:p>
            <w:pPr>
              <w:jc w:val="center"/>
              <w:ind w:left="1076"/>
              <w:spacing w:after="0"/>
              <w:rPr>
                <w:sz w:val="20"/>
                <w:szCs w:val="20"/>
                <w:color w:val="auto"/>
              </w:rPr>
            </w:pPr>
            <w:r>
              <w:rPr>
                <w:rFonts w:ascii="Arial" w:cs="Arial" w:eastAsia="Arial" w:hAnsi="Arial"/>
                <w:sz w:val="13"/>
                <w:szCs w:val="13"/>
                <w:b w:val="1"/>
                <w:bCs w:val="1"/>
                <w:u w:val="single" w:color="auto"/>
                <w:color w:val="auto"/>
                <w:w w:val="85"/>
              </w:rPr>
              <w:t>comprehensive income</w:t>
            </w:r>
          </w:p>
        </w:tc>
        <w:tc>
          <w:tcPr>
            <w:tcW w:w="2840" w:type="dxa"/>
            <w:vAlign w:val="bottom"/>
          </w:tcPr>
          <w:p>
            <w:pPr>
              <w:jc w:val="center"/>
              <w:ind w:left="56"/>
              <w:spacing w:after="0"/>
              <w:rPr>
                <w:sz w:val="20"/>
                <w:szCs w:val="20"/>
                <w:color w:val="auto"/>
              </w:rPr>
            </w:pPr>
            <w:r>
              <w:rPr>
                <w:rFonts w:ascii="Arial" w:cs="Arial" w:eastAsia="Arial" w:hAnsi="Arial"/>
                <w:sz w:val="13"/>
                <w:szCs w:val="13"/>
                <w:b w:val="1"/>
                <w:bCs w:val="1"/>
                <w:color w:val="auto"/>
                <w:w w:val="85"/>
              </w:rPr>
              <w:t>profit or loss</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146685</wp:posOffset>
            </wp:positionH>
            <wp:positionV relativeFrom="paragraph">
              <wp:posOffset>635</wp:posOffset>
            </wp:positionV>
            <wp:extent cx="6992620" cy="104140"/>
            <wp:wrapNone/>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334">
                      <a:extLst>
                        <a:ext uri="{28A0092B-C50C-407E-A947-70E740481C1C}"/>
                      </a:extLst>
                    </a:blip>
                    <a:srcRect/>
                    <a:stretch>
                      <a:fillRect/>
                    </a:stretch>
                  </pic:blipFill>
                  <pic:spPr bwMode="auto">
                    <a:xfrm>
                      <a:off x="0" y="0"/>
                      <a:ext cx="6992620" cy="10414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p>
      <w:pPr>
        <w:spacing w:after="0" w:line="1" w:lineRule="exact"/>
        <w:rPr>
          <w:sz w:val="20"/>
          <w:szCs w:val="20"/>
          <w:color w:val="auto"/>
        </w:rPr>
      </w:pPr>
    </w:p>
    <w:p>
      <w:pPr>
        <w:ind w:left="223"/>
        <w:spacing w:after="0"/>
        <w:rPr>
          <w:sz w:val="20"/>
          <w:szCs w:val="20"/>
          <w:color w:val="auto"/>
        </w:rPr>
      </w:pPr>
      <w:r>
        <w:rPr>
          <w:rFonts w:ascii="Arial" w:cs="Arial" w:eastAsia="Arial" w:hAnsi="Arial"/>
          <w:sz w:val="11"/>
          <w:szCs w:val="11"/>
          <w:color w:val="auto"/>
        </w:rPr>
        <w:t>Realized gains (losses) on securities at FVOCI:</w:t>
      </w:r>
    </w:p>
    <w:p>
      <w:pPr>
        <w:spacing w:after="0" w:line="20" w:lineRule="exact"/>
        <w:rPr>
          <w:sz w:val="20"/>
          <w:szCs w:val="20"/>
          <w:color w:val="auto"/>
        </w:rPr>
      </w:pPr>
      <w:r>
        <w:rPr>
          <w:sz w:val="20"/>
          <w:szCs w:val="20"/>
          <w:color w:val="auto"/>
        </w:rPr>
        <w:br w:type="column"/>
      </w:r>
    </w:p>
    <w:p>
      <w:pPr>
        <w:ind w:left="540" w:hanging="247"/>
        <w:spacing w:after="0"/>
        <w:tabs>
          <w:tab w:leader="none" w:pos="540" w:val="left"/>
        </w:tabs>
        <w:numPr>
          <w:ilvl w:val="0"/>
          <w:numId w:val="168"/>
        </w:numPr>
        <w:rPr>
          <w:rFonts w:ascii="Arial" w:cs="Arial" w:eastAsia="Arial" w:hAnsi="Arial"/>
          <w:sz w:val="13"/>
          <w:szCs w:val="13"/>
          <w:color w:val="auto"/>
        </w:rPr>
      </w:pPr>
      <w:r>
        <w:rPr>
          <w:rFonts w:ascii="Arial" w:cs="Arial" w:eastAsia="Arial" w:hAnsi="Arial"/>
          <w:sz w:val="13"/>
          <w:szCs w:val="13"/>
          <w:color w:val="auto"/>
        </w:rPr>
        <w:t>Interest income – securities at FVOCI</w:t>
      </w:r>
    </w:p>
    <w:p>
      <w:pPr>
        <w:spacing w:after="0" w:line="12" w:lineRule="exact"/>
        <w:rPr>
          <w:rFonts w:ascii="Arial" w:cs="Arial" w:eastAsia="Arial" w:hAnsi="Arial"/>
          <w:sz w:val="13"/>
          <w:szCs w:val="13"/>
          <w:color w:val="auto"/>
        </w:rPr>
      </w:pPr>
    </w:p>
    <w:p>
      <w:pPr>
        <w:ind w:left="540" w:right="260" w:hanging="543"/>
        <w:spacing w:after="0" w:line="267" w:lineRule="auto"/>
        <w:rPr>
          <w:rFonts w:ascii="Arial" w:cs="Arial" w:eastAsia="Arial" w:hAnsi="Arial"/>
          <w:sz w:val="13"/>
          <w:szCs w:val="13"/>
          <w:color w:val="auto"/>
        </w:rPr>
      </w:pPr>
      <w:r>
        <w:rPr>
          <w:rFonts w:ascii="Arial" w:cs="Arial" w:eastAsia="Arial" w:hAnsi="Arial"/>
          <w:sz w:val="12"/>
          <w:szCs w:val="12"/>
          <w:color w:val="auto"/>
        </w:rPr>
        <w:t>(7,243) Net gain on sale of securities at FVOCI Derivative financial instruments and impairment loss</w:t>
      </w:r>
    </w:p>
    <w:p>
      <w:pPr>
        <w:ind w:left="40"/>
        <w:spacing w:after="0"/>
        <w:rPr>
          <w:rFonts w:ascii="Arial" w:cs="Arial" w:eastAsia="Arial" w:hAnsi="Arial"/>
          <w:sz w:val="13"/>
          <w:szCs w:val="13"/>
          <w:color w:val="auto"/>
        </w:rPr>
      </w:pPr>
      <w:r>
        <w:rPr>
          <w:rFonts w:ascii="Arial" w:cs="Arial" w:eastAsia="Arial" w:hAnsi="Arial"/>
          <w:sz w:val="13"/>
          <w:szCs w:val="13"/>
          <w:color w:val="auto"/>
        </w:rPr>
        <w:t>6,213    on financial instruments at FVOCI</w:t>
      </w:r>
    </w:p>
    <w:p>
      <w:pPr>
        <w:spacing w:after="0" w:line="14" w:lineRule="exact"/>
        <w:rPr>
          <w:rFonts w:ascii="Arial" w:cs="Arial" w:eastAsia="Arial" w:hAnsi="Arial"/>
          <w:sz w:val="13"/>
          <w:szCs w:val="13"/>
          <w:color w:val="auto"/>
        </w:rPr>
      </w:pPr>
    </w:p>
    <w:p>
      <w:pPr>
        <w:spacing w:after="0"/>
        <w:rPr>
          <w:rFonts w:ascii="Arial" w:cs="Arial" w:eastAsia="Arial" w:hAnsi="Arial"/>
          <w:sz w:val="13"/>
          <w:szCs w:val="13"/>
          <w:color w:val="auto"/>
        </w:rPr>
      </w:pPr>
      <w:r>
        <w:rPr>
          <w:rFonts w:ascii="Arial" w:cs="Arial" w:eastAsia="Arial" w:hAnsi="Arial"/>
          <w:sz w:val="13"/>
          <w:szCs w:val="13"/>
          <w:b w:val="1"/>
          <w:bCs w:val="1"/>
          <w:color w:val="auto"/>
        </w:rPr>
        <w:t>(1,030)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-4896485</wp:posOffset>
            </wp:positionH>
            <wp:positionV relativeFrom="paragraph">
              <wp:posOffset>-295910</wp:posOffset>
            </wp:positionV>
            <wp:extent cx="6992620" cy="207645"/>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335">
                      <a:extLst>
                        <a:ext uri="{28A0092B-C50C-407E-A947-70E740481C1C}"/>
                      </a:extLst>
                    </a:blip>
                    <a:srcRect/>
                    <a:stretch>
                      <a:fillRect/>
                    </a:stretch>
                  </pic:blipFill>
                  <pic:spPr bwMode="auto">
                    <a:xfrm>
                      <a:off x="0" y="0"/>
                      <a:ext cx="6992620" cy="207645"/>
                    </a:xfrm>
                    <a:prstGeom prst="rect">
                      <a:avLst/>
                    </a:prstGeom>
                    <a:noFill/>
                  </pic:spPr>
                </pic:pic>
              </a:graphicData>
            </a:graphic>
          </wp:anchor>
        </w:drawing>
      </w:r>
    </w:p>
    <w:p>
      <w:pPr>
        <w:spacing w:after="0" w:line="24" w:lineRule="exact"/>
        <w:rPr>
          <w:sz w:val="20"/>
          <w:szCs w:val="20"/>
          <w:color w:val="auto"/>
        </w:rPr>
      </w:pPr>
    </w:p>
    <w:p>
      <w:pPr>
        <w:sectPr>
          <w:pgSz w:w="11900" w:h="16838" w:orient="portrait"/>
          <w:cols w:equalWidth="0" w:num="2">
            <w:col w:w="7223" w:space="720"/>
            <w:col w:w="3540"/>
          </w:cols>
          <w:pgMar w:left="217" w:top="685" w:right="199" w:bottom="1440" w:gutter="0" w:footer="0" w:header="0"/>
          <w:type w:val="continuous"/>
        </w:sectPr>
      </w:pPr>
    </w:p>
    <w:tbl>
      <w:tblPr>
        <w:tblLayout w:type="fixed"/>
        <w:tblInd w:w="223" w:type="dxa"/>
        <w:tblCellMar>
          <w:top w:w="0" w:type="dxa"/>
          <w:left w:w="0" w:type="dxa"/>
          <w:bottom w:w="0" w:type="dxa"/>
          <w:right w:w="0" w:type="dxa"/>
        </w:tblCellMar>
      </w:tblPr>
      <w:tr>
        <w:trPr>
          <w:trHeight w:val="163"/>
        </w:trPr>
        <w:tc>
          <w:tcPr>
            <w:tcW w:w="6820" w:type="dxa"/>
            <w:vAlign w:val="bottom"/>
            <w:tcBorders>
              <w:top w:val="single" w:sz="8" w:color="CCEEFF"/>
            </w:tcBorders>
            <w:shd w:val="clear" w:color="auto" w:fill="CCEEFF"/>
          </w:tcPr>
          <w:p>
            <w:pPr>
              <w:spacing w:after="0"/>
              <w:rPr>
                <w:sz w:val="14"/>
                <w:szCs w:val="14"/>
                <w:color w:val="auto"/>
              </w:rPr>
            </w:pPr>
          </w:p>
        </w:tc>
        <w:tc>
          <w:tcPr>
            <w:tcW w:w="1240" w:type="dxa"/>
            <w:vAlign w:val="bottom"/>
            <w:tcBorders>
              <w:top w:val="single" w:sz="8" w:color="auto"/>
            </w:tcBorders>
            <w:shd w:val="clear" w:color="auto" w:fill="CCEEFF"/>
          </w:tcPr>
          <w:p>
            <w:pPr>
              <w:spacing w:after="0"/>
              <w:rPr>
                <w:sz w:val="14"/>
                <w:szCs w:val="14"/>
                <w:color w:val="auto"/>
              </w:rPr>
            </w:pPr>
          </w:p>
        </w:tc>
        <w:tc>
          <w:tcPr>
            <w:tcW w:w="120" w:type="dxa"/>
            <w:vAlign w:val="bottom"/>
            <w:tcBorders>
              <w:top w:val="single" w:sz="8" w:color="CCEEFF"/>
            </w:tcBorders>
            <w:shd w:val="clear" w:color="auto" w:fill="CCEEFF"/>
          </w:tcPr>
          <w:p>
            <w:pPr>
              <w:spacing w:after="0"/>
              <w:rPr>
                <w:sz w:val="14"/>
                <w:szCs w:val="14"/>
                <w:color w:val="auto"/>
              </w:rPr>
            </w:pPr>
          </w:p>
        </w:tc>
        <w:tc>
          <w:tcPr>
            <w:tcW w:w="2840" w:type="dxa"/>
            <w:vAlign w:val="bottom"/>
            <w:tcBorders>
              <w:top w:val="single" w:sz="8" w:color="CCEEFF"/>
            </w:tcBorders>
            <w:shd w:val="clear" w:color="auto" w:fill="CCEEFF"/>
          </w:tcPr>
          <w:p>
            <w:pPr>
              <w:spacing w:after="0"/>
              <w:rPr>
                <w:sz w:val="14"/>
                <w:szCs w:val="14"/>
                <w:color w:val="auto"/>
              </w:rPr>
            </w:pPr>
          </w:p>
        </w:tc>
      </w:tr>
      <w:tr>
        <w:trPr>
          <w:trHeight w:val="154"/>
        </w:trPr>
        <w:tc>
          <w:tcPr>
            <w:tcW w:w="6820" w:type="dxa"/>
            <w:vAlign w:val="bottom"/>
          </w:tcPr>
          <w:p>
            <w:pPr>
              <w:spacing w:after="0"/>
              <w:rPr>
                <w:sz w:val="20"/>
                <w:szCs w:val="20"/>
                <w:color w:val="auto"/>
              </w:rPr>
            </w:pPr>
            <w:r>
              <w:rPr>
                <w:rFonts w:ascii="Arial" w:cs="Arial" w:eastAsia="Arial" w:hAnsi="Arial"/>
                <w:sz w:val="13"/>
                <w:szCs w:val="13"/>
                <w:color w:val="auto"/>
              </w:rPr>
              <w:t>Gains (losses) on derivative financial instruments:</w:t>
            </w: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2840" w:type="dxa"/>
            <w:vAlign w:val="bottom"/>
          </w:tcPr>
          <w:p>
            <w:pPr>
              <w:spacing w:after="0"/>
              <w:rPr>
                <w:sz w:val="13"/>
                <w:szCs w:val="13"/>
                <w:color w:val="auto"/>
              </w:rPr>
            </w:pPr>
          </w:p>
        </w:tc>
      </w:tr>
      <w:tr>
        <w:trPr>
          <w:trHeight w:val="154"/>
        </w:trPr>
        <w:tc>
          <w:tcPr>
            <w:tcW w:w="6820" w:type="dxa"/>
            <w:vAlign w:val="bottom"/>
            <w:shd w:val="clear" w:color="auto" w:fill="CCEEFF"/>
          </w:tcPr>
          <w:p>
            <w:pPr>
              <w:spacing w:after="0"/>
              <w:rPr>
                <w:sz w:val="20"/>
                <w:szCs w:val="20"/>
                <w:color w:val="auto"/>
              </w:rPr>
            </w:pPr>
            <w:r>
              <w:rPr>
                <w:rFonts w:ascii="Arial" w:cs="Arial" w:eastAsia="Arial" w:hAnsi="Arial"/>
                <w:sz w:val="13"/>
                <w:szCs w:val="13"/>
                <w:color w:val="auto"/>
              </w:rPr>
              <w:t>Foreign exchange forwards</w:t>
            </w:r>
          </w:p>
        </w:tc>
        <w:tc>
          <w:tcPr>
            <w:tcW w:w="13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(4,750)</w:t>
            </w:r>
          </w:p>
        </w:tc>
        <w:tc>
          <w:tcPr>
            <w:tcW w:w="2840" w:type="dxa"/>
            <w:vAlign w:val="bottom"/>
            <w:shd w:val="clear" w:color="auto" w:fill="CCEEFF"/>
          </w:tcPr>
          <w:p>
            <w:pPr>
              <w:ind w:left="80"/>
              <w:spacing w:after="0"/>
              <w:rPr>
                <w:sz w:val="20"/>
                <w:szCs w:val="20"/>
                <w:color w:val="auto"/>
              </w:rPr>
            </w:pPr>
            <w:r>
              <w:rPr>
                <w:rFonts w:ascii="Arial" w:cs="Arial" w:eastAsia="Arial" w:hAnsi="Arial"/>
                <w:sz w:val="13"/>
                <w:szCs w:val="13"/>
                <w:color w:val="auto"/>
              </w:rPr>
              <w:t>Interest income – loans</w:t>
            </w:r>
          </w:p>
        </w:tc>
      </w:tr>
      <w:tr>
        <w:trPr>
          <w:trHeight w:val="154"/>
        </w:trPr>
        <w:tc>
          <w:tcPr>
            <w:tcW w:w="6820" w:type="dxa"/>
            <w:vAlign w:val="bottom"/>
          </w:tcPr>
          <w:p>
            <w:pPr>
              <w:spacing w:after="0"/>
              <w:rPr>
                <w:sz w:val="13"/>
                <w:szCs w:val="13"/>
                <w:color w:val="auto"/>
              </w:rPr>
            </w:pPr>
          </w:p>
        </w:tc>
        <w:tc>
          <w:tcPr>
            <w:tcW w:w="1240" w:type="dxa"/>
            <w:vAlign w:val="bottom"/>
          </w:tcPr>
          <w:p>
            <w:pPr>
              <w:jc w:val="right"/>
              <w:spacing w:after="0"/>
              <w:rPr>
                <w:sz w:val="20"/>
                <w:szCs w:val="20"/>
                <w:color w:val="auto"/>
              </w:rPr>
            </w:pPr>
            <w:r>
              <w:rPr>
                <w:rFonts w:ascii="Arial" w:cs="Arial" w:eastAsia="Arial" w:hAnsi="Arial"/>
                <w:sz w:val="13"/>
                <w:szCs w:val="13"/>
                <w:color w:val="auto"/>
              </w:rPr>
              <w:t>1,679</w:t>
            </w:r>
          </w:p>
        </w:tc>
        <w:tc>
          <w:tcPr>
            <w:tcW w:w="120" w:type="dxa"/>
            <w:vAlign w:val="bottom"/>
          </w:tcPr>
          <w:p>
            <w:pPr>
              <w:spacing w:after="0"/>
              <w:rPr>
                <w:sz w:val="13"/>
                <w:szCs w:val="13"/>
                <w:color w:val="auto"/>
              </w:rPr>
            </w:pPr>
          </w:p>
        </w:tc>
        <w:tc>
          <w:tcPr>
            <w:tcW w:w="2840" w:type="dxa"/>
            <w:vAlign w:val="bottom"/>
          </w:tcPr>
          <w:p>
            <w:pPr>
              <w:ind w:left="80"/>
              <w:spacing w:after="0"/>
              <w:rPr>
                <w:sz w:val="20"/>
                <w:szCs w:val="20"/>
                <w:color w:val="auto"/>
              </w:rPr>
            </w:pPr>
            <w:r>
              <w:rPr>
                <w:rFonts w:ascii="Arial" w:cs="Arial" w:eastAsia="Arial" w:hAnsi="Arial"/>
                <w:sz w:val="13"/>
                <w:szCs w:val="13"/>
                <w:color w:val="auto"/>
              </w:rPr>
              <w:t>Interest expense – borrowings and deposits</w:t>
            </w:r>
          </w:p>
        </w:tc>
      </w:tr>
      <w:tr>
        <w:trPr>
          <w:trHeight w:val="154"/>
        </w:trPr>
        <w:tc>
          <w:tcPr>
            <w:tcW w:w="6820" w:type="dxa"/>
            <w:vAlign w:val="bottom"/>
            <w:shd w:val="clear" w:color="auto" w:fill="CCEEFF"/>
          </w:tcPr>
          <w:p>
            <w:pPr>
              <w:spacing w:after="0"/>
              <w:rPr>
                <w:sz w:val="13"/>
                <w:szCs w:val="13"/>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6,060</w:t>
            </w:r>
          </w:p>
        </w:tc>
        <w:tc>
          <w:tcPr>
            <w:tcW w:w="120" w:type="dxa"/>
            <w:vAlign w:val="bottom"/>
            <w:shd w:val="clear" w:color="auto" w:fill="CCEEFF"/>
          </w:tcPr>
          <w:p>
            <w:pPr>
              <w:spacing w:after="0"/>
              <w:rPr>
                <w:sz w:val="13"/>
                <w:szCs w:val="13"/>
                <w:color w:val="auto"/>
              </w:rPr>
            </w:pPr>
          </w:p>
        </w:tc>
        <w:tc>
          <w:tcPr>
            <w:tcW w:w="2840" w:type="dxa"/>
            <w:vAlign w:val="bottom"/>
            <w:shd w:val="clear" w:color="auto" w:fill="CCEEFF"/>
          </w:tcPr>
          <w:p>
            <w:pPr>
              <w:ind w:left="80"/>
              <w:spacing w:after="0"/>
              <w:rPr>
                <w:sz w:val="20"/>
                <w:szCs w:val="20"/>
                <w:color w:val="auto"/>
              </w:rPr>
            </w:pPr>
            <w:r>
              <w:rPr>
                <w:rFonts w:ascii="Arial" w:cs="Arial" w:eastAsia="Arial" w:hAnsi="Arial"/>
                <w:sz w:val="13"/>
                <w:szCs w:val="13"/>
                <w:color w:val="auto"/>
              </w:rPr>
              <w:t>Net gain (loss) on foreign currency exchange</w:t>
            </w:r>
          </w:p>
        </w:tc>
      </w:tr>
      <w:tr>
        <w:trPr>
          <w:trHeight w:val="154"/>
        </w:trPr>
        <w:tc>
          <w:tcPr>
            <w:tcW w:w="6820" w:type="dxa"/>
            <w:vAlign w:val="bottom"/>
          </w:tcPr>
          <w:p>
            <w:pPr>
              <w:spacing w:after="0"/>
              <w:rPr>
                <w:sz w:val="20"/>
                <w:szCs w:val="20"/>
                <w:color w:val="auto"/>
              </w:rPr>
            </w:pPr>
            <w:r>
              <w:rPr>
                <w:rFonts w:ascii="Arial" w:cs="Arial" w:eastAsia="Arial" w:hAnsi="Arial"/>
                <w:sz w:val="13"/>
                <w:szCs w:val="13"/>
                <w:color w:val="auto"/>
              </w:rPr>
              <w:t>Interest rate swaps</w:t>
            </w:r>
          </w:p>
        </w:tc>
        <w:tc>
          <w:tcPr>
            <w:tcW w:w="1240" w:type="dxa"/>
            <w:vAlign w:val="bottom"/>
          </w:tcPr>
          <w:p>
            <w:pPr>
              <w:jc w:val="right"/>
              <w:spacing w:after="0"/>
              <w:rPr>
                <w:sz w:val="20"/>
                <w:szCs w:val="20"/>
                <w:color w:val="auto"/>
              </w:rPr>
            </w:pPr>
            <w:r>
              <w:rPr>
                <w:rFonts w:ascii="Arial" w:cs="Arial" w:eastAsia="Arial" w:hAnsi="Arial"/>
                <w:sz w:val="13"/>
                <w:szCs w:val="13"/>
                <w:color w:val="auto"/>
              </w:rPr>
              <w:t>1,104</w:t>
            </w:r>
          </w:p>
        </w:tc>
        <w:tc>
          <w:tcPr>
            <w:tcW w:w="120" w:type="dxa"/>
            <w:vAlign w:val="bottom"/>
          </w:tcPr>
          <w:p>
            <w:pPr>
              <w:spacing w:after="0"/>
              <w:rPr>
                <w:sz w:val="13"/>
                <w:szCs w:val="13"/>
                <w:color w:val="auto"/>
              </w:rPr>
            </w:pPr>
          </w:p>
        </w:tc>
        <w:tc>
          <w:tcPr>
            <w:tcW w:w="2840" w:type="dxa"/>
            <w:vAlign w:val="bottom"/>
          </w:tcPr>
          <w:p>
            <w:pPr>
              <w:ind w:left="80"/>
              <w:spacing w:after="0"/>
              <w:rPr>
                <w:sz w:val="20"/>
                <w:szCs w:val="20"/>
                <w:color w:val="auto"/>
              </w:rPr>
            </w:pPr>
            <w:r>
              <w:rPr>
                <w:rFonts w:ascii="Arial" w:cs="Arial" w:eastAsia="Arial" w:hAnsi="Arial"/>
                <w:sz w:val="13"/>
                <w:szCs w:val="13"/>
                <w:color w:val="auto"/>
              </w:rPr>
              <w:t>Net gain (loss) on interest rate swaps</w:t>
            </w:r>
          </w:p>
        </w:tc>
      </w:tr>
      <w:tr>
        <w:trPr>
          <w:trHeight w:val="163"/>
        </w:trPr>
        <w:tc>
          <w:tcPr>
            <w:tcW w:w="6820" w:type="dxa"/>
            <w:vAlign w:val="bottom"/>
            <w:shd w:val="clear" w:color="auto" w:fill="CCEEFF"/>
          </w:tcPr>
          <w:p>
            <w:pPr>
              <w:spacing w:after="0"/>
              <w:rPr>
                <w:sz w:val="20"/>
                <w:szCs w:val="20"/>
                <w:color w:val="auto"/>
              </w:rPr>
            </w:pPr>
            <w:r>
              <w:rPr>
                <w:rFonts w:ascii="Arial" w:cs="Arial" w:eastAsia="Arial" w:hAnsi="Arial"/>
                <w:sz w:val="13"/>
                <w:szCs w:val="13"/>
                <w:color w:val="auto"/>
              </w:rPr>
              <w:t>Cross-currency swaps</w:t>
            </w: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488</w:t>
            </w:r>
          </w:p>
        </w:tc>
        <w:tc>
          <w:tcPr>
            <w:tcW w:w="2840" w:type="dxa"/>
            <w:vAlign w:val="bottom"/>
            <w:shd w:val="clear" w:color="auto" w:fill="CCEEFF"/>
          </w:tcPr>
          <w:p>
            <w:pPr>
              <w:ind w:left="80"/>
              <w:spacing w:after="0"/>
              <w:rPr>
                <w:sz w:val="20"/>
                <w:szCs w:val="20"/>
                <w:color w:val="auto"/>
              </w:rPr>
            </w:pPr>
            <w:r>
              <w:rPr>
                <w:rFonts w:ascii="Arial" w:cs="Arial" w:eastAsia="Arial" w:hAnsi="Arial"/>
                <w:sz w:val="13"/>
                <w:szCs w:val="13"/>
                <w:color w:val="auto"/>
              </w:rPr>
              <w:t>Net gain (loss) on cross-currency swaps</w:t>
            </w:r>
          </w:p>
        </w:tc>
      </w:tr>
      <w:tr>
        <w:trPr>
          <w:trHeight w:val="162"/>
        </w:trPr>
        <w:tc>
          <w:tcPr>
            <w:tcW w:w="6820" w:type="dxa"/>
            <w:vAlign w:val="bottom"/>
          </w:tcPr>
          <w:p>
            <w:pPr>
              <w:spacing w:after="0"/>
              <w:rPr>
                <w:sz w:val="14"/>
                <w:szCs w:val="14"/>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4,581</w:t>
            </w:r>
          </w:p>
        </w:tc>
        <w:tc>
          <w:tcPr>
            <w:tcW w:w="120" w:type="dxa"/>
            <w:vAlign w:val="bottom"/>
          </w:tcPr>
          <w:p>
            <w:pPr>
              <w:spacing w:after="0"/>
              <w:rPr>
                <w:sz w:val="14"/>
                <w:szCs w:val="14"/>
                <w:color w:val="auto"/>
              </w:rPr>
            </w:pPr>
          </w:p>
        </w:tc>
        <w:tc>
          <w:tcPr>
            <w:tcW w:w="2840" w:type="dxa"/>
            <w:vAlign w:val="bottom"/>
          </w:tcPr>
          <w:p>
            <w:pPr>
              <w:spacing w:after="0"/>
              <w:rPr>
                <w:sz w:val="14"/>
                <w:szCs w:val="14"/>
                <w:color w:val="auto"/>
              </w:rPr>
            </w:pPr>
          </w:p>
        </w:tc>
      </w:tr>
    </w:tbl>
    <w:p>
      <w:pPr>
        <w:spacing w:after="0" w:line="141" w:lineRule="exact"/>
        <w:rPr>
          <w:sz w:val="20"/>
          <w:szCs w:val="20"/>
          <w:color w:val="auto"/>
        </w:rPr>
      </w:pPr>
    </w:p>
    <w:p>
      <w:pPr>
        <w:ind w:left="223" w:hanging="223"/>
        <w:spacing w:after="0"/>
        <w:tabs>
          <w:tab w:leader="none" w:pos="223" w:val="left"/>
        </w:tabs>
        <w:numPr>
          <w:ilvl w:val="0"/>
          <w:numId w:val="169"/>
        </w:numPr>
        <w:rPr>
          <w:rFonts w:ascii="Arial" w:cs="Arial" w:eastAsia="Arial" w:hAnsi="Arial"/>
          <w:sz w:val="13"/>
          <w:szCs w:val="13"/>
          <w:b w:val="1"/>
          <w:bCs w:val="1"/>
          <w:color w:val="auto"/>
        </w:rPr>
      </w:pPr>
      <w:r>
        <w:rPr>
          <w:rFonts w:ascii="Arial" w:cs="Arial" w:eastAsia="Arial" w:hAnsi="Arial"/>
          <w:sz w:val="13"/>
          <w:szCs w:val="13"/>
          <w:b w:val="1"/>
          <w:bCs w:val="1"/>
          <w:color w:val="auto"/>
        </w:rPr>
        <w:t>Cash and stock-based compensation plans</w:t>
      </w:r>
    </w:p>
    <w:p>
      <w:pPr>
        <w:spacing w:after="0" w:line="162" w:lineRule="exact"/>
        <w:rPr>
          <w:rFonts w:ascii="Arial" w:cs="Arial" w:eastAsia="Arial" w:hAnsi="Arial"/>
          <w:sz w:val="13"/>
          <w:szCs w:val="13"/>
          <w:b w:val="1"/>
          <w:bCs w:val="1"/>
          <w:color w:val="auto"/>
        </w:rPr>
      </w:pPr>
    </w:p>
    <w:p>
      <w:pPr>
        <w:ind w:left="223" w:right="20"/>
        <w:spacing w:after="0" w:line="310" w:lineRule="auto"/>
        <w:rPr>
          <w:rFonts w:ascii="Arial" w:cs="Arial" w:eastAsia="Arial" w:hAnsi="Arial"/>
          <w:sz w:val="13"/>
          <w:szCs w:val="13"/>
          <w:b w:val="1"/>
          <w:bCs w:val="1"/>
          <w:color w:val="auto"/>
        </w:rPr>
      </w:pPr>
      <w:r>
        <w:rPr>
          <w:rFonts w:ascii="Arial" w:cs="Arial" w:eastAsia="Arial" w:hAnsi="Arial"/>
          <w:sz w:val="12"/>
          <w:szCs w:val="12"/>
          <w:color w:val="auto"/>
        </w:rPr>
        <w:t>The Bank has established equity compensation plans under which it manages restricted stock, restricted stock units and stock purchase option plans to attract, retain and motivate directors and top employees and compensate them for their contributions to the growth and profitability of the Bank. Vesting conditions for each of the Bank’s plans are only comprised of specified requisite service periods.</w:t>
      </w:r>
    </w:p>
    <w:p>
      <w:pPr>
        <w:spacing w:after="0" w:line="105"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 xml:space="preserve">A. </w:t>
      </w:r>
      <w:r>
        <w:rPr>
          <w:rFonts w:ascii="Arial" w:cs="Arial" w:eastAsia="Arial" w:hAnsi="Arial"/>
          <w:sz w:val="13"/>
          <w:szCs w:val="13"/>
          <w:u w:val="single" w:color="auto"/>
          <w:color w:val="auto"/>
        </w:rPr>
        <w:t>2015 Stock Incentive Plan – Directors and Executives</w:t>
      </w:r>
    </w:p>
    <w:p>
      <w:pPr>
        <w:spacing w:after="0" w:line="159" w:lineRule="exact"/>
        <w:rPr>
          <w:sz w:val="20"/>
          <w:szCs w:val="20"/>
          <w:color w:val="auto"/>
        </w:rPr>
      </w:pPr>
    </w:p>
    <w:p>
      <w:pPr>
        <w:jc w:val="both"/>
        <w:ind w:left="223" w:right="20"/>
        <w:spacing w:after="0" w:line="281" w:lineRule="auto"/>
        <w:rPr>
          <w:sz w:val="20"/>
          <w:szCs w:val="20"/>
          <w:color w:val="auto"/>
        </w:rPr>
      </w:pPr>
      <w:r>
        <w:rPr>
          <w:rFonts w:ascii="Arial" w:cs="Arial" w:eastAsia="Arial" w:hAnsi="Arial"/>
          <w:sz w:val="12"/>
          <w:szCs w:val="12"/>
          <w:color w:val="auto"/>
        </w:rPr>
        <w:t>In February 2008, the Board of Directors of the Bank approved an incentive plan for directors and executives allowing the Bank to grant restricted stock, restricted stock units, stock purchase options, and/or other similar compensation instruments. The maximum aggregate number of shares which may be granted under this plan is three million “Class E” common shares. The 2008 Stock Incentive Plan is administered by the Board of Directors which has the authority in its discretion to select the directors and executives to whom the awards may be granted; to determine whether and to what extent awards are granted, and to amend the terms of any outstanding award under this plan. This plan was updated in October 2015, modified and renamed as “2015 Stock Incentive Plan”</w:t>
      </w:r>
    </w:p>
    <w:p>
      <w:pPr>
        <w:spacing w:after="0" w:line="124" w:lineRule="exact"/>
        <w:rPr>
          <w:sz w:val="20"/>
          <w:szCs w:val="20"/>
          <w:color w:val="auto"/>
        </w:rPr>
      </w:pPr>
    </w:p>
    <w:p>
      <w:pPr>
        <w:jc w:val="both"/>
        <w:ind w:left="223" w:right="20"/>
        <w:spacing w:after="0" w:line="360" w:lineRule="auto"/>
        <w:rPr>
          <w:sz w:val="20"/>
          <w:szCs w:val="20"/>
          <w:color w:val="auto"/>
        </w:rPr>
      </w:pPr>
      <w:r>
        <w:rPr>
          <w:rFonts w:ascii="Arial" w:cs="Arial" w:eastAsia="Arial" w:hAnsi="Arial"/>
          <w:sz w:val="11"/>
          <w:szCs w:val="11"/>
          <w:color w:val="auto"/>
        </w:rPr>
        <w:t>Restricted stocks are issued at the grant date but are withheld by the Bank until the vesting date. Restricted stock is entitled to receive dividends. A restricted stock unit is a grant valued in terms of the Bank’s stock, but no stock is issued at the grant date. Restricted stock units are not entitled to dividends. The Bank issues or disposes of treasury stocks,and delivers common stock at the vesting date of the restricted stock units.</w:t>
      </w:r>
    </w:p>
    <w:p>
      <w:pPr>
        <w:spacing w:after="0" w:line="83" w:lineRule="exact"/>
        <w:rPr>
          <w:sz w:val="20"/>
          <w:szCs w:val="20"/>
          <w:color w:val="auto"/>
        </w:rPr>
      </w:pPr>
    </w:p>
    <w:p>
      <w:pPr>
        <w:ind w:left="223"/>
        <w:spacing w:after="0"/>
        <w:rPr>
          <w:sz w:val="20"/>
          <w:szCs w:val="20"/>
          <w:color w:val="auto"/>
        </w:rPr>
      </w:pPr>
      <w:r>
        <w:rPr>
          <w:rFonts w:ascii="Arial" w:cs="Arial" w:eastAsia="Arial" w:hAnsi="Arial"/>
          <w:sz w:val="13"/>
          <w:szCs w:val="13"/>
          <w:color w:val="auto"/>
        </w:rPr>
        <w:t>During 2018 and 2017, the Board of Directors approved the grant of restricted stock to directors and stock options and restricted stock units to certain executives of the Bank, as follows:</w:t>
      </w:r>
    </w:p>
    <w:p>
      <w:pPr>
        <w:spacing w:after="0" w:line="159" w:lineRule="exact"/>
        <w:rPr>
          <w:sz w:val="20"/>
          <w:szCs w:val="20"/>
          <w:color w:val="auto"/>
        </w:rPr>
      </w:pPr>
    </w:p>
    <w:p>
      <w:pPr>
        <w:ind w:left="223"/>
        <w:spacing w:after="0"/>
        <w:rPr>
          <w:sz w:val="20"/>
          <w:szCs w:val="20"/>
          <w:color w:val="auto"/>
        </w:rPr>
      </w:pPr>
      <w:r>
        <w:rPr>
          <w:rFonts w:ascii="Arial" w:cs="Arial" w:eastAsia="Arial" w:hAnsi="Arial"/>
          <w:sz w:val="13"/>
          <w:szCs w:val="13"/>
          <w:i w:val="1"/>
          <w:iCs w:val="1"/>
          <w:u w:val="single" w:color="auto"/>
          <w:color w:val="auto"/>
        </w:rPr>
        <w:t>Restricted stock – Directors</w:t>
      </w:r>
    </w:p>
    <w:p>
      <w:pPr>
        <w:spacing w:after="0" w:line="159" w:lineRule="exact"/>
        <w:rPr>
          <w:sz w:val="20"/>
          <w:szCs w:val="20"/>
          <w:color w:val="auto"/>
        </w:rPr>
      </w:pPr>
    </w:p>
    <w:p>
      <w:pPr>
        <w:jc w:val="both"/>
        <w:ind w:left="223"/>
        <w:spacing w:after="0" w:line="257" w:lineRule="auto"/>
        <w:rPr>
          <w:sz w:val="20"/>
          <w:szCs w:val="20"/>
          <w:color w:val="auto"/>
        </w:rPr>
      </w:pPr>
      <w:r>
        <w:rPr>
          <w:rFonts w:ascii="Arial" w:cs="Arial" w:eastAsia="Arial" w:hAnsi="Arial"/>
          <w:sz w:val="13"/>
          <w:szCs w:val="13"/>
          <w:color w:val="auto"/>
        </w:rPr>
        <w:t>During the years 2018, 2017 and 2016, the Board of Directors granted 57,000, each year, of “Class E” common shares. The fair value of restricted stock granted was based on the stock closing price in the New York Stock Exchange of the “Class E” shares on April 11, 2018, April 19, 2017 and April 13, 2016. The fair value of restricted stock granted totaled $1.6 million in 2018, $1.6 million in 2017, and $1.4 million in 2016, of which $739 thousand, $788 thousand and $617 thousand were recognized in profit or loss during 2018, 2017 and 2016, respectively.</w:t>
      </w:r>
    </w:p>
    <w:p>
      <w:pPr>
        <w:spacing w:after="0" w:line="290"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F-77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33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type w:val="continuous"/>
        </w:sectPr>
      </w:pPr>
    </w:p>
    <w:bookmarkStart w:id="202" w:name="page203"/>
    <w:bookmarkEnd w:id="202"/>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33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23. Cash and stock-based compensation plan</w:t>
      </w:r>
    </w:p>
    <w:p>
      <w:pPr>
        <w:spacing w:after="0" w:line="163" w:lineRule="exact"/>
        <w:rPr>
          <w:sz w:val="20"/>
          <w:szCs w:val="20"/>
          <w:color w:val="auto"/>
        </w:rPr>
      </w:pPr>
    </w:p>
    <w:p>
      <w:pPr>
        <w:ind w:left="220"/>
        <w:spacing w:after="0"/>
        <w:rPr>
          <w:sz w:val="20"/>
          <w:szCs w:val="20"/>
          <w:color w:val="auto"/>
        </w:rPr>
      </w:pPr>
      <w:r>
        <w:rPr>
          <w:rFonts w:ascii="Arial" w:cs="Arial" w:eastAsia="Arial" w:hAnsi="Arial"/>
          <w:sz w:val="13"/>
          <w:szCs w:val="13"/>
          <w:color w:val="auto"/>
        </w:rPr>
        <w:t xml:space="preserve">A. </w:t>
      </w:r>
      <w:r>
        <w:rPr>
          <w:rFonts w:ascii="Arial" w:cs="Arial" w:eastAsia="Arial" w:hAnsi="Arial"/>
          <w:sz w:val="13"/>
          <w:szCs w:val="13"/>
          <w:u w:val="single" w:color="auto"/>
          <w:color w:val="auto"/>
        </w:rPr>
        <w:t>2015 Stock Incentive Plan – Directors and Executives (continued)</w:t>
      </w:r>
    </w:p>
    <w:p>
      <w:pPr>
        <w:spacing w:after="0" w:line="159" w:lineRule="exact"/>
        <w:rPr>
          <w:sz w:val="20"/>
          <w:szCs w:val="20"/>
          <w:color w:val="auto"/>
        </w:rPr>
      </w:pPr>
    </w:p>
    <w:p>
      <w:pPr>
        <w:ind w:left="220"/>
        <w:spacing w:after="0" w:line="267" w:lineRule="auto"/>
        <w:rPr>
          <w:sz w:val="20"/>
          <w:szCs w:val="20"/>
          <w:color w:val="auto"/>
        </w:rPr>
      </w:pPr>
      <w:r>
        <w:rPr>
          <w:rFonts w:ascii="Arial" w:cs="Arial" w:eastAsia="Arial" w:hAnsi="Arial"/>
          <w:sz w:val="13"/>
          <w:szCs w:val="13"/>
          <w:color w:val="auto"/>
        </w:rPr>
        <w:t>The total expense recognized in profit or loss during 2018, 2017 and 2016 of restricted stock – directors amounted $1.5 million, $1.7 million and $1.6 million, respectively. The remaining cost pending amortization of $1.2 million at December 31, 2018 will be amortized over 2.3 years.</w:t>
      </w:r>
    </w:p>
    <w:p>
      <w:pPr>
        <w:spacing w:after="0" w:line="129" w:lineRule="exact"/>
        <w:rPr>
          <w:sz w:val="20"/>
          <w:szCs w:val="20"/>
          <w:color w:val="auto"/>
        </w:rPr>
      </w:pPr>
    </w:p>
    <w:tbl>
      <w:tblPr>
        <w:tblLayout w:type="fixed"/>
        <w:tblInd w:w="220" w:type="dxa"/>
        <w:tblCellMar>
          <w:top w:w="0" w:type="dxa"/>
          <w:left w:w="0" w:type="dxa"/>
          <w:bottom w:w="0" w:type="dxa"/>
          <w:right w:w="0" w:type="dxa"/>
        </w:tblCellMar>
      </w:tblPr>
      <w:tr>
        <w:trPr>
          <w:trHeight w:val="162"/>
        </w:trPr>
        <w:tc>
          <w:tcPr>
            <w:tcW w:w="9080" w:type="dxa"/>
            <w:vAlign w:val="bottom"/>
            <w:gridSpan w:val="2"/>
          </w:tcPr>
          <w:p>
            <w:pPr>
              <w:spacing w:after="0"/>
              <w:rPr>
                <w:sz w:val="20"/>
                <w:szCs w:val="20"/>
                <w:color w:val="auto"/>
              </w:rPr>
            </w:pPr>
            <w:r>
              <w:rPr>
                <w:rFonts w:ascii="Arial" w:cs="Arial" w:eastAsia="Arial" w:hAnsi="Arial"/>
                <w:sz w:val="13"/>
                <w:szCs w:val="13"/>
                <w:color w:val="auto"/>
              </w:rPr>
              <w:t>Restricted stock lose their restriction from the year following the anniversary date, as follows: 35% in the first and second year, and 30% in the third year.</w:t>
            </w:r>
          </w:p>
        </w:tc>
        <w:tc>
          <w:tcPr>
            <w:tcW w:w="4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308"/>
        </w:trPr>
        <w:tc>
          <w:tcPr>
            <w:tcW w:w="9080" w:type="dxa"/>
            <w:vAlign w:val="bottom"/>
            <w:gridSpan w:val="2"/>
          </w:tcPr>
          <w:p>
            <w:pPr>
              <w:spacing w:after="0"/>
              <w:rPr>
                <w:sz w:val="20"/>
                <w:szCs w:val="20"/>
                <w:color w:val="auto"/>
              </w:rPr>
            </w:pPr>
            <w:r>
              <w:rPr>
                <w:rFonts w:ascii="Arial" w:cs="Arial" w:eastAsia="Arial" w:hAnsi="Arial"/>
                <w:sz w:val="13"/>
                <w:szCs w:val="13"/>
                <w:color w:val="auto"/>
              </w:rPr>
              <w:t>A summary of restricted stock granted to Directors is presented below:</w:t>
            </w:r>
          </w:p>
        </w:tc>
        <w:tc>
          <w:tcPr>
            <w:tcW w:w="4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296"/>
        </w:trPr>
        <w:tc>
          <w:tcPr>
            <w:tcW w:w="828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00" w:type="dxa"/>
            <w:vAlign w:val="bottom"/>
            <w:gridSpan w:val="2"/>
          </w:tcPr>
          <w:p>
            <w:pPr>
              <w:jc w:val="center"/>
              <w:ind w:right="120"/>
              <w:spacing w:after="0"/>
              <w:rPr>
                <w:sz w:val="20"/>
                <w:szCs w:val="20"/>
                <w:color w:val="auto"/>
              </w:rPr>
            </w:pPr>
            <w:r>
              <w:rPr>
                <w:rFonts w:ascii="Arial" w:cs="Arial" w:eastAsia="Arial" w:hAnsi="Arial"/>
                <w:sz w:val="13"/>
                <w:szCs w:val="13"/>
                <w:b w:val="1"/>
                <w:bCs w:val="1"/>
                <w:color w:val="auto"/>
                <w:w w:val="88"/>
              </w:rPr>
              <w:t>Weighted average</w:t>
            </w:r>
          </w:p>
        </w:tc>
      </w:tr>
      <w:tr>
        <w:trPr>
          <w:trHeight w:val="167"/>
        </w:trPr>
        <w:tc>
          <w:tcPr>
            <w:tcW w:w="8280" w:type="dxa"/>
            <w:vAlign w:val="bottom"/>
          </w:tcPr>
          <w:p>
            <w:pPr>
              <w:spacing w:after="0"/>
              <w:rPr>
                <w:sz w:val="14"/>
                <w:szCs w:val="14"/>
                <w:color w:val="auto"/>
              </w:rPr>
            </w:pPr>
          </w:p>
        </w:tc>
        <w:tc>
          <w:tcPr>
            <w:tcW w:w="800" w:type="dxa"/>
            <w:vAlign w:val="bottom"/>
          </w:tcPr>
          <w:p>
            <w:pPr>
              <w:ind w:left="420"/>
              <w:spacing w:after="0"/>
              <w:rPr>
                <w:sz w:val="20"/>
                <w:szCs w:val="20"/>
                <w:color w:val="auto"/>
              </w:rPr>
            </w:pPr>
            <w:r>
              <w:rPr>
                <w:rFonts w:ascii="Arial" w:cs="Arial" w:eastAsia="Arial" w:hAnsi="Arial"/>
                <w:sz w:val="13"/>
                <w:szCs w:val="13"/>
                <w:b w:val="1"/>
                <w:bCs w:val="1"/>
                <w:color w:val="auto"/>
                <w:w w:val="82"/>
              </w:rPr>
              <w:t>Shares</w:t>
            </w:r>
          </w:p>
        </w:tc>
        <w:tc>
          <w:tcPr>
            <w:tcW w:w="4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30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90"/>
              </w:rPr>
              <w:t>grant date fair value</w:t>
            </w:r>
          </w:p>
        </w:tc>
      </w:tr>
      <w:tr>
        <w:trPr>
          <w:trHeight w:val="144"/>
        </w:trPr>
        <w:tc>
          <w:tcPr>
            <w:tcW w:w="828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color w:val="auto"/>
              </w:rPr>
              <w:t>Outstanding at January 1, 2016</w:t>
            </w:r>
          </w:p>
        </w:tc>
        <w:tc>
          <w:tcPr>
            <w:tcW w:w="800" w:type="dxa"/>
            <w:vAlign w:val="bottom"/>
            <w:tcBorders>
              <w:top w:val="single" w:sz="8" w:color="auto"/>
            </w:tcBorders>
            <w:shd w:val="clear" w:color="auto" w:fill="CCEEFF"/>
          </w:tcPr>
          <w:p>
            <w:pPr>
              <w:spacing w:after="0"/>
              <w:rPr>
                <w:sz w:val="12"/>
                <w:szCs w:val="12"/>
                <w:color w:val="auto"/>
              </w:rPr>
            </w:pPr>
          </w:p>
        </w:tc>
        <w:tc>
          <w:tcPr>
            <w:tcW w:w="4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96,321</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30.62</w:t>
            </w:r>
          </w:p>
        </w:tc>
        <w:tc>
          <w:tcPr>
            <w:tcW w:w="100" w:type="dxa"/>
            <w:vAlign w:val="bottom"/>
            <w:tcBorders>
              <w:top w:val="single" w:sz="8" w:color="CCEEFF"/>
            </w:tcBorders>
            <w:shd w:val="clear" w:color="auto" w:fill="CCEEFF"/>
          </w:tcPr>
          <w:p>
            <w:pPr>
              <w:spacing w:after="0"/>
              <w:rPr>
                <w:sz w:val="12"/>
                <w:szCs w:val="12"/>
                <w:color w:val="auto"/>
              </w:rPr>
            </w:pPr>
          </w:p>
        </w:tc>
      </w:tr>
      <w:tr>
        <w:trPr>
          <w:trHeight w:val="154"/>
        </w:trPr>
        <w:tc>
          <w:tcPr>
            <w:tcW w:w="9080" w:type="dxa"/>
            <w:vAlign w:val="bottom"/>
            <w:gridSpan w:val="2"/>
          </w:tcPr>
          <w:p>
            <w:pPr>
              <w:spacing w:after="0"/>
              <w:rPr>
                <w:sz w:val="20"/>
                <w:szCs w:val="20"/>
                <w:color w:val="auto"/>
              </w:rPr>
            </w:pPr>
            <w:r>
              <w:rPr>
                <w:rFonts w:ascii="Arial" w:cs="Arial" w:eastAsia="Arial" w:hAnsi="Arial"/>
                <w:sz w:val="13"/>
                <w:szCs w:val="13"/>
                <w:color w:val="auto"/>
              </w:rPr>
              <w:t>Granted</w:t>
            </w:r>
          </w:p>
        </w:tc>
        <w:tc>
          <w:tcPr>
            <w:tcW w:w="640" w:type="dxa"/>
            <w:vAlign w:val="bottom"/>
            <w:gridSpan w:val="2"/>
          </w:tcPr>
          <w:p>
            <w:pPr>
              <w:jc w:val="right"/>
              <w:ind w:right="220"/>
              <w:spacing w:after="0"/>
              <w:rPr>
                <w:sz w:val="20"/>
                <w:szCs w:val="20"/>
                <w:color w:val="auto"/>
              </w:rPr>
            </w:pPr>
            <w:r>
              <w:rPr>
                <w:rFonts w:ascii="Arial" w:cs="Arial" w:eastAsia="Arial" w:hAnsi="Arial"/>
                <w:sz w:val="13"/>
                <w:szCs w:val="13"/>
                <w:color w:val="auto"/>
              </w:rPr>
              <w:t>57,000</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24.14</w:t>
            </w:r>
          </w:p>
        </w:tc>
      </w:tr>
      <w:tr>
        <w:trPr>
          <w:trHeight w:val="164"/>
        </w:trPr>
        <w:tc>
          <w:tcPr>
            <w:tcW w:w="908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Vested</w:t>
            </w:r>
          </w:p>
        </w:tc>
        <w:tc>
          <w:tcPr>
            <w:tcW w:w="64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w w:val="90"/>
              </w:rPr>
              <w:t>(56,421)</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28.80</w:t>
            </w:r>
          </w:p>
        </w:tc>
      </w:tr>
      <w:tr>
        <w:trPr>
          <w:trHeight w:val="144"/>
        </w:trPr>
        <w:tc>
          <w:tcPr>
            <w:tcW w:w="8280" w:type="dxa"/>
            <w:vAlign w:val="bottom"/>
          </w:tcPr>
          <w:p>
            <w:pPr>
              <w:spacing w:after="0" w:line="143" w:lineRule="exact"/>
              <w:rPr>
                <w:sz w:val="20"/>
                <w:szCs w:val="20"/>
                <w:color w:val="auto"/>
              </w:rPr>
            </w:pPr>
            <w:r>
              <w:rPr>
                <w:rFonts w:ascii="Arial" w:cs="Arial" w:eastAsia="Arial" w:hAnsi="Arial"/>
                <w:sz w:val="13"/>
                <w:szCs w:val="13"/>
                <w:color w:val="auto"/>
              </w:rPr>
              <w:t>Outstanding at December 31, 2016</w:t>
            </w:r>
          </w:p>
        </w:tc>
        <w:tc>
          <w:tcPr>
            <w:tcW w:w="800" w:type="dxa"/>
            <w:vAlign w:val="bottom"/>
            <w:tcBorders>
              <w:top w:val="single" w:sz="8" w:color="auto"/>
            </w:tcBorders>
          </w:tcPr>
          <w:p>
            <w:pPr>
              <w:spacing w:after="0"/>
              <w:rPr>
                <w:sz w:val="12"/>
                <w:szCs w:val="12"/>
                <w:color w:val="auto"/>
              </w:rPr>
            </w:pPr>
          </w:p>
        </w:tc>
        <w:tc>
          <w:tcPr>
            <w:tcW w:w="42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96,900</w:t>
            </w:r>
          </w:p>
        </w:tc>
        <w:tc>
          <w:tcPr>
            <w:tcW w:w="220" w:type="dxa"/>
            <w:vAlign w:val="bottom"/>
          </w:tcPr>
          <w:p>
            <w:pPr>
              <w:spacing w:after="0"/>
              <w:rPr>
                <w:sz w:val="12"/>
                <w:szCs w:val="12"/>
                <w:color w:val="auto"/>
              </w:rPr>
            </w:pPr>
          </w:p>
        </w:tc>
        <w:tc>
          <w:tcPr>
            <w:tcW w:w="1300" w:type="dxa"/>
            <w:vAlign w:val="bottom"/>
            <w:gridSpan w:val="2"/>
          </w:tcPr>
          <w:p>
            <w:pPr>
              <w:jc w:val="right"/>
              <w:ind w:right="100"/>
              <w:spacing w:after="0" w:line="143" w:lineRule="exact"/>
              <w:rPr>
                <w:sz w:val="20"/>
                <w:szCs w:val="20"/>
                <w:color w:val="auto"/>
              </w:rPr>
            </w:pPr>
            <w:r>
              <w:rPr>
                <w:rFonts w:ascii="Arial" w:cs="Arial" w:eastAsia="Arial" w:hAnsi="Arial"/>
                <w:sz w:val="13"/>
                <w:szCs w:val="13"/>
                <w:color w:val="auto"/>
              </w:rPr>
              <w:t>27.86</w:t>
            </w:r>
          </w:p>
        </w:tc>
      </w:tr>
      <w:tr>
        <w:trPr>
          <w:trHeight w:val="154"/>
        </w:trPr>
        <w:tc>
          <w:tcPr>
            <w:tcW w:w="908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Granted</w:t>
            </w:r>
          </w:p>
        </w:tc>
        <w:tc>
          <w:tcPr>
            <w:tcW w:w="6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57,000</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27.80</w:t>
            </w:r>
          </w:p>
        </w:tc>
      </w:tr>
      <w:tr>
        <w:trPr>
          <w:trHeight w:val="164"/>
        </w:trPr>
        <w:tc>
          <w:tcPr>
            <w:tcW w:w="9080" w:type="dxa"/>
            <w:vAlign w:val="bottom"/>
            <w:gridSpan w:val="2"/>
          </w:tcPr>
          <w:p>
            <w:pPr>
              <w:spacing w:after="0"/>
              <w:rPr>
                <w:sz w:val="20"/>
                <w:szCs w:val="20"/>
                <w:color w:val="auto"/>
              </w:rPr>
            </w:pPr>
            <w:r>
              <w:rPr>
                <w:rFonts w:ascii="Arial" w:cs="Arial" w:eastAsia="Arial" w:hAnsi="Arial"/>
                <w:sz w:val="13"/>
                <w:szCs w:val="13"/>
                <w:color w:val="auto"/>
              </w:rPr>
              <w:t>Vested</w:t>
            </w:r>
          </w:p>
        </w:tc>
        <w:tc>
          <w:tcPr>
            <w:tcW w:w="640" w:type="dxa"/>
            <w:vAlign w:val="bottom"/>
            <w:gridSpan w:val="2"/>
          </w:tcPr>
          <w:p>
            <w:pPr>
              <w:jc w:val="right"/>
              <w:ind w:right="180"/>
              <w:spacing w:after="0"/>
              <w:rPr>
                <w:sz w:val="20"/>
                <w:szCs w:val="20"/>
                <w:color w:val="auto"/>
              </w:rPr>
            </w:pPr>
            <w:r>
              <w:rPr>
                <w:rFonts w:ascii="Arial" w:cs="Arial" w:eastAsia="Arial" w:hAnsi="Arial"/>
                <w:sz w:val="13"/>
                <w:szCs w:val="13"/>
                <w:color w:val="auto"/>
                <w:w w:val="90"/>
              </w:rPr>
              <w:t>(61,950)</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28.50</w:t>
            </w:r>
          </w:p>
        </w:tc>
      </w:tr>
      <w:tr>
        <w:trPr>
          <w:trHeight w:val="144"/>
        </w:trPr>
        <w:tc>
          <w:tcPr>
            <w:tcW w:w="8280" w:type="dxa"/>
            <w:vAlign w:val="bottom"/>
            <w:tcBorders>
              <w:top w:val="single" w:sz="8" w:color="CCEEFF"/>
            </w:tcBorders>
            <w:shd w:val="clear" w:color="auto" w:fill="CCEEFF"/>
          </w:tcPr>
          <w:p>
            <w:pPr>
              <w:ind w:left="40"/>
              <w:spacing w:after="0" w:line="143" w:lineRule="exact"/>
              <w:rPr>
                <w:sz w:val="20"/>
                <w:szCs w:val="20"/>
                <w:color w:val="auto"/>
              </w:rPr>
            </w:pPr>
            <w:r>
              <w:rPr>
                <w:rFonts w:ascii="Arial" w:cs="Arial" w:eastAsia="Arial" w:hAnsi="Arial"/>
                <w:sz w:val="13"/>
                <w:szCs w:val="13"/>
                <w:color w:val="auto"/>
              </w:rPr>
              <w:t>Outstanding at December 31, 2017</w:t>
            </w:r>
          </w:p>
        </w:tc>
        <w:tc>
          <w:tcPr>
            <w:tcW w:w="800" w:type="dxa"/>
            <w:vAlign w:val="bottom"/>
            <w:tcBorders>
              <w:top w:val="single" w:sz="8" w:color="auto"/>
            </w:tcBorders>
            <w:shd w:val="clear" w:color="auto" w:fill="CCEEFF"/>
          </w:tcPr>
          <w:p>
            <w:pPr>
              <w:spacing w:after="0"/>
              <w:rPr>
                <w:sz w:val="12"/>
                <w:szCs w:val="12"/>
                <w:color w:val="auto"/>
              </w:rPr>
            </w:pPr>
          </w:p>
        </w:tc>
        <w:tc>
          <w:tcPr>
            <w:tcW w:w="4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91,950</w:t>
            </w:r>
          </w:p>
        </w:tc>
        <w:tc>
          <w:tcPr>
            <w:tcW w:w="220" w:type="dxa"/>
            <w:vAlign w:val="bottom"/>
            <w:tcBorders>
              <w:top w:val="single" w:sz="8" w:color="CCEEFF"/>
            </w:tcBorders>
            <w:shd w:val="clear" w:color="auto" w:fill="CCEEFF"/>
          </w:tcPr>
          <w:p>
            <w:pPr>
              <w:spacing w:after="0"/>
              <w:rPr>
                <w:sz w:val="12"/>
                <w:szCs w:val="12"/>
                <w:color w:val="auto"/>
              </w:rPr>
            </w:pPr>
          </w:p>
        </w:tc>
        <w:tc>
          <w:tcPr>
            <w:tcW w:w="1300" w:type="dxa"/>
            <w:vAlign w:val="bottom"/>
            <w:tcBorders>
              <w:top w:val="single" w:sz="8" w:color="CCEEFF"/>
            </w:tcBorders>
            <w:gridSpan w:val="2"/>
            <w:shd w:val="clear" w:color="auto" w:fill="CCEEFF"/>
          </w:tcPr>
          <w:p>
            <w:pPr>
              <w:jc w:val="right"/>
              <w:ind w:right="100"/>
              <w:spacing w:after="0" w:line="143" w:lineRule="exact"/>
              <w:rPr>
                <w:sz w:val="20"/>
                <w:szCs w:val="20"/>
                <w:color w:val="auto"/>
              </w:rPr>
            </w:pPr>
            <w:r>
              <w:rPr>
                <w:rFonts w:ascii="Arial" w:cs="Arial" w:eastAsia="Arial" w:hAnsi="Arial"/>
                <w:sz w:val="13"/>
                <w:szCs w:val="13"/>
                <w:color w:val="auto"/>
              </w:rPr>
              <w:t>27.40</w:t>
            </w:r>
          </w:p>
        </w:tc>
      </w:tr>
      <w:tr>
        <w:trPr>
          <w:trHeight w:val="154"/>
        </w:trPr>
        <w:tc>
          <w:tcPr>
            <w:tcW w:w="9080" w:type="dxa"/>
            <w:vAlign w:val="bottom"/>
            <w:gridSpan w:val="2"/>
          </w:tcPr>
          <w:p>
            <w:pPr>
              <w:ind w:left="40"/>
              <w:spacing w:after="0"/>
              <w:rPr>
                <w:sz w:val="20"/>
                <w:szCs w:val="20"/>
                <w:color w:val="auto"/>
              </w:rPr>
            </w:pPr>
            <w:r>
              <w:rPr>
                <w:rFonts w:ascii="Arial" w:cs="Arial" w:eastAsia="Arial" w:hAnsi="Arial"/>
                <w:sz w:val="13"/>
                <w:szCs w:val="13"/>
                <w:color w:val="auto"/>
              </w:rPr>
              <w:t>Granted</w:t>
            </w:r>
          </w:p>
        </w:tc>
        <w:tc>
          <w:tcPr>
            <w:tcW w:w="640" w:type="dxa"/>
            <w:vAlign w:val="bottom"/>
            <w:gridSpan w:val="2"/>
          </w:tcPr>
          <w:p>
            <w:pPr>
              <w:jc w:val="right"/>
              <w:ind w:right="220"/>
              <w:spacing w:after="0"/>
              <w:rPr>
                <w:sz w:val="20"/>
                <w:szCs w:val="20"/>
                <w:color w:val="auto"/>
              </w:rPr>
            </w:pPr>
            <w:r>
              <w:rPr>
                <w:rFonts w:ascii="Arial" w:cs="Arial" w:eastAsia="Arial" w:hAnsi="Arial"/>
                <w:sz w:val="13"/>
                <w:szCs w:val="13"/>
                <w:color w:val="auto"/>
              </w:rPr>
              <w:t>57,000</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28.70</w:t>
            </w:r>
          </w:p>
        </w:tc>
      </w:tr>
      <w:tr>
        <w:trPr>
          <w:trHeight w:val="164"/>
        </w:trPr>
        <w:tc>
          <w:tcPr>
            <w:tcW w:w="8280" w:type="dxa"/>
            <w:vAlign w:val="bottom"/>
            <w:shd w:val="clear" w:color="auto" w:fill="CCEEFF"/>
          </w:tcPr>
          <w:p>
            <w:pPr>
              <w:ind w:left="40"/>
              <w:spacing w:after="0"/>
              <w:rPr>
                <w:sz w:val="20"/>
                <w:szCs w:val="20"/>
                <w:color w:val="auto"/>
              </w:rPr>
            </w:pPr>
            <w:r>
              <w:rPr>
                <w:rFonts w:ascii="Arial" w:cs="Arial" w:eastAsia="Arial" w:hAnsi="Arial"/>
                <w:sz w:val="13"/>
                <w:szCs w:val="13"/>
                <w:color w:val="auto"/>
              </w:rPr>
              <w:t>Vested</w:t>
            </w:r>
          </w:p>
        </w:tc>
        <w:tc>
          <w:tcPr>
            <w:tcW w:w="800" w:type="dxa"/>
            <w:vAlign w:val="bottom"/>
            <w:shd w:val="clear" w:color="auto" w:fill="CCEEFF"/>
          </w:tcPr>
          <w:p>
            <w:pPr>
              <w:spacing w:after="0"/>
              <w:rPr>
                <w:sz w:val="14"/>
                <w:szCs w:val="14"/>
                <w:color w:val="auto"/>
              </w:rPr>
            </w:pPr>
          </w:p>
        </w:tc>
        <w:tc>
          <w:tcPr>
            <w:tcW w:w="64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w w:val="90"/>
              </w:rPr>
              <w:t>(45,300)</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28.07</w:t>
            </w:r>
          </w:p>
        </w:tc>
      </w:tr>
      <w:tr>
        <w:trPr>
          <w:trHeight w:val="162"/>
        </w:trPr>
        <w:tc>
          <w:tcPr>
            <w:tcW w:w="8280" w:type="dxa"/>
            <w:vAlign w:val="bottom"/>
            <w:tcBorders>
              <w:bottom w:val="single" w:sz="8" w:color="CCEEFF"/>
            </w:tcBorders>
          </w:tcPr>
          <w:p>
            <w:pPr>
              <w:ind w:left="40"/>
              <w:spacing w:after="0" w:line="143" w:lineRule="exact"/>
              <w:rPr>
                <w:sz w:val="20"/>
                <w:szCs w:val="20"/>
                <w:color w:val="auto"/>
              </w:rPr>
            </w:pPr>
            <w:r>
              <w:rPr>
                <w:rFonts w:ascii="Arial" w:cs="Arial" w:eastAsia="Arial" w:hAnsi="Arial"/>
                <w:sz w:val="13"/>
                <w:szCs w:val="13"/>
                <w:color w:val="auto"/>
              </w:rPr>
              <w:t>Outstanding at December 31, 2018</w:t>
            </w:r>
          </w:p>
        </w:tc>
        <w:tc>
          <w:tcPr>
            <w:tcW w:w="800" w:type="dxa"/>
            <w:vAlign w:val="bottom"/>
            <w:tcBorders>
              <w:top w:val="single" w:sz="8" w:color="auto"/>
              <w:bottom w:val="single" w:sz="8" w:color="auto"/>
            </w:tcBorders>
          </w:tcPr>
          <w:p>
            <w:pPr>
              <w:spacing w:after="0"/>
              <w:rPr>
                <w:sz w:val="14"/>
                <w:szCs w:val="14"/>
                <w:color w:val="auto"/>
              </w:rPr>
            </w:pPr>
          </w:p>
        </w:tc>
        <w:tc>
          <w:tcPr>
            <w:tcW w:w="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color w:val="auto"/>
                <w:w w:val="85"/>
              </w:rPr>
              <w:t>103,650</w:t>
            </w:r>
          </w:p>
        </w:tc>
        <w:tc>
          <w:tcPr>
            <w:tcW w:w="220" w:type="dxa"/>
            <w:vAlign w:val="bottom"/>
            <w:tcBorders>
              <w:bottom w:val="single" w:sz="8" w:color="CCEEFF"/>
            </w:tcBorders>
          </w:tcPr>
          <w:p>
            <w:pPr>
              <w:spacing w:after="0"/>
              <w:rPr>
                <w:sz w:val="14"/>
                <w:szCs w:val="14"/>
                <w:color w:val="auto"/>
              </w:rPr>
            </w:pPr>
          </w:p>
        </w:tc>
        <w:tc>
          <w:tcPr>
            <w:tcW w:w="1300" w:type="dxa"/>
            <w:vAlign w:val="bottom"/>
            <w:tcBorders>
              <w:bottom w:val="single" w:sz="8" w:color="CCEEFF"/>
            </w:tcBorders>
            <w:gridSpan w:val="2"/>
          </w:tcPr>
          <w:p>
            <w:pPr>
              <w:jc w:val="right"/>
              <w:ind w:right="100"/>
              <w:spacing w:after="0" w:line="143" w:lineRule="exact"/>
              <w:rPr>
                <w:sz w:val="20"/>
                <w:szCs w:val="20"/>
                <w:color w:val="auto"/>
              </w:rPr>
            </w:pPr>
            <w:r>
              <w:rPr>
                <w:rFonts w:ascii="Arial" w:cs="Arial" w:eastAsia="Arial" w:hAnsi="Arial"/>
                <w:sz w:val="13"/>
                <w:szCs w:val="13"/>
                <w:color w:val="auto"/>
              </w:rPr>
              <w:t>27.82</w:t>
            </w:r>
          </w:p>
        </w:tc>
      </w:tr>
      <w:tr>
        <w:trPr>
          <w:trHeight w:val="163"/>
        </w:trPr>
        <w:tc>
          <w:tcPr>
            <w:tcW w:w="8280" w:type="dxa"/>
            <w:vAlign w:val="bottom"/>
            <w:tcBorders>
              <w:bottom w:val="single" w:sz="8" w:color="CCEEFF"/>
            </w:tcBorders>
            <w:shd w:val="clear" w:color="auto" w:fill="CCEEFF"/>
          </w:tcPr>
          <w:p>
            <w:pPr>
              <w:ind w:left="40"/>
              <w:spacing w:after="0" w:line="143" w:lineRule="exact"/>
              <w:rPr>
                <w:sz w:val="20"/>
                <w:szCs w:val="20"/>
                <w:color w:val="auto"/>
              </w:rPr>
            </w:pPr>
            <w:r>
              <w:rPr>
                <w:rFonts w:ascii="Arial" w:cs="Arial" w:eastAsia="Arial" w:hAnsi="Arial"/>
                <w:sz w:val="13"/>
                <w:szCs w:val="13"/>
                <w:color w:val="auto"/>
              </w:rPr>
              <w:t>Expected to vest</w:t>
            </w:r>
          </w:p>
        </w:tc>
        <w:tc>
          <w:tcPr>
            <w:tcW w:w="800" w:type="dxa"/>
            <w:vAlign w:val="bottom"/>
            <w:tcBorders>
              <w:bottom w:val="single" w:sz="8" w:color="auto"/>
            </w:tcBorders>
            <w:shd w:val="clear" w:color="auto" w:fill="CCEEFF"/>
          </w:tcPr>
          <w:p>
            <w:pPr>
              <w:spacing w:after="0"/>
              <w:rPr>
                <w:sz w:val="14"/>
                <w:szCs w:val="14"/>
                <w:color w:val="auto"/>
              </w:rPr>
            </w:pPr>
          </w:p>
        </w:tc>
        <w:tc>
          <w:tcPr>
            <w:tcW w:w="4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w w:val="85"/>
              </w:rPr>
              <w:t>103,650</w:t>
            </w:r>
          </w:p>
        </w:tc>
        <w:tc>
          <w:tcPr>
            <w:tcW w:w="220" w:type="dxa"/>
            <w:vAlign w:val="bottom"/>
            <w:tcBorders>
              <w:bottom w:val="single" w:sz="8" w:color="CCEEFF"/>
            </w:tcBorders>
            <w:shd w:val="clear" w:color="auto" w:fill="CCEEFF"/>
          </w:tcPr>
          <w:p>
            <w:pPr>
              <w:spacing w:after="0"/>
              <w:rPr>
                <w:sz w:val="14"/>
                <w:szCs w:val="14"/>
                <w:color w:val="auto"/>
              </w:rPr>
            </w:pPr>
          </w:p>
        </w:tc>
        <w:tc>
          <w:tcPr>
            <w:tcW w:w="1200" w:type="dxa"/>
            <w:vAlign w:val="bottom"/>
            <w:tcBorders>
              <w:bottom w:val="single" w:sz="8" w:color="CCEEFF"/>
            </w:tcBorders>
            <w:shd w:val="clear" w:color="auto" w:fill="CCEEFF"/>
          </w:tcPr>
          <w:p>
            <w:pPr>
              <w:spacing w:after="0"/>
              <w:rPr>
                <w:sz w:val="14"/>
                <w:szCs w:val="14"/>
                <w:color w:val="auto"/>
              </w:rPr>
            </w:pPr>
          </w:p>
        </w:tc>
        <w:tc>
          <w:tcPr>
            <w:tcW w:w="100" w:type="dxa"/>
            <w:vAlign w:val="bottom"/>
            <w:tcBorders>
              <w:bottom w:val="single" w:sz="8" w:color="CCEEFF"/>
            </w:tcBorders>
            <w:shd w:val="clear" w:color="auto" w:fill="CCEEFF"/>
          </w:tcPr>
          <w:p>
            <w:pPr>
              <w:spacing w:after="0"/>
              <w:rPr>
                <w:sz w:val="14"/>
                <w:szCs w:val="14"/>
                <w:color w:val="auto"/>
              </w:rPr>
            </w:pPr>
          </w:p>
        </w:tc>
      </w:tr>
    </w:tbl>
    <w:p>
      <w:pPr>
        <w:spacing w:after="0" w:line="145" w:lineRule="exact"/>
        <w:rPr>
          <w:sz w:val="20"/>
          <w:szCs w:val="20"/>
          <w:color w:val="auto"/>
        </w:rPr>
      </w:pPr>
    </w:p>
    <w:p>
      <w:pPr>
        <w:ind w:left="220"/>
        <w:spacing w:after="0"/>
        <w:rPr>
          <w:sz w:val="20"/>
          <w:szCs w:val="20"/>
          <w:color w:val="auto"/>
        </w:rPr>
      </w:pPr>
      <w:r>
        <w:rPr>
          <w:rFonts w:ascii="Arial" w:cs="Arial" w:eastAsia="Arial" w:hAnsi="Arial"/>
          <w:sz w:val="13"/>
          <w:szCs w:val="13"/>
          <w:color w:val="auto"/>
        </w:rPr>
        <w:t>The fair value of vested stock during the years 2018 and 2017 was $1.3 million and $1.8 million, respectively.</w:t>
      </w:r>
    </w:p>
    <w:p>
      <w:pPr>
        <w:spacing w:after="0" w:line="159" w:lineRule="exact"/>
        <w:rPr>
          <w:sz w:val="20"/>
          <w:szCs w:val="20"/>
          <w:color w:val="auto"/>
        </w:rPr>
      </w:pPr>
    </w:p>
    <w:p>
      <w:pPr>
        <w:ind w:left="220"/>
        <w:spacing w:after="0"/>
        <w:rPr>
          <w:sz w:val="20"/>
          <w:szCs w:val="20"/>
          <w:color w:val="auto"/>
        </w:rPr>
      </w:pPr>
      <w:r>
        <w:rPr>
          <w:rFonts w:ascii="Arial" w:cs="Arial" w:eastAsia="Arial" w:hAnsi="Arial"/>
          <w:sz w:val="13"/>
          <w:szCs w:val="13"/>
          <w:i w:val="1"/>
          <w:iCs w:val="1"/>
          <w:u w:val="single" w:color="auto"/>
          <w:color w:val="auto"/>
        </w:rPr>
        <w:t>Restricted Stock Units and Stock Purchase Options granted to certain Executives</w:t>
      </w:r>
    </w:p>
    <w:p>
      <w:pPr>
        <w:spacing w:after="0" w:line="159" w:lineRule="exact"/>
        <w:rPr>
          <w:sz w:val="20"/>
          <w:szCs w:val="20"/>
          <w:color w:val="auto"/>
        </w:rPr>
      </w:pPr>
    </w:p>
    <w:p>
      <w:pPr>
        <w:ind w:left="220"/>
        <w:spacing w:after="0" w:line="267" w:lineRule="auto"/>
        <w:rPr>
          <w:sz w:val="20"/>
          <w:szCs w:val="20"/>
          <w:color w:val="auto"/>
        </w:rPr>
      </w:pPr>
      <w:r>
        <w:rPr>
          <w:rFonts w:ascii="Arial" w:cs="Arial" w:eastAsia="Arial" w:hAnsi="Arial"/>
          <w:sz w:val="13"/>
          <w:szCs w:val="13"/>
          <w:color w:val="auto"/>
        </w:rPr>
        <w:t>The Board of Directors approved the grant of stock purchase options and restricted stock units to certain executives of the Bank with a grant date fair value of $581 thousand in 2018 and $650 thousand in 2017. The distribution of the fair value was in restricted stock units.</w:t>
      </w:r>
    </w:p>
    <w:p>
      <w:pPr>
        <w:spacing w:after="0" w:line="129" w:lineRule="exact"/>
        <w:rPr>
          <w:sz w:val="20"/>
          <w:szCs w:val="20"/>
          <w:color w:val="auto"/>
        </w:rPr>
      </w:pPr>
    </w:p>
    <w:p>
      <w:pPr>
        <w:ind w:left="220"/>
        <w:spacing w:after="0"/>
        <w:rPr>
          <w:sz w:val="20"/>
          <w:szCs w:val="20"/>
          <w:color w:val="auto"/>
        </w:rPr>
      </w:pPr>
      <w:r>
        <w:rPr>
          <w:rFonts w:ascii="Arial" w:cs="Arial" w:eastAsia="Arial" w:hAnsi="Arial"/>
          <w:sz w:val="13"/>
          <w:szCs w:val="13"/>
          <w:i w:val="1"/>
          <w:iCs w:val="1"/>
          <w:color w:val="auto"/>
        </w:rPr>
        <w:t>Restricted stock units</w:t>
      </w:r>
    </w:p>
    <w:p>
      <w:pPr>
        <w:spacing w:after="0" w:line="159" w:lineRule="exact"/>
        <w:rPr>
          <w:sz w:val="20"/>
          <w:szCs w:val="20"/>
          <w:color w:val="auto"/>
        </w:rPr>
      </w:pPr>
    </w:p>
    <w:p>
      <w:pPr>
        <w:ind w:left="220"/>
        <w:spacing w:after="0" w:line="267" w:lineRule="auto"/>
        <w:rPr>
          <w:sz w:val="20"/>
          <w:szCs w:val="20"/>
          <w:color w:val="auto"/>
        </w:rPr>
      </w:pPr>
      <w:r>
        <w:rPr>
          <w:rFonts w:ascii="Arial" w:cs="Arial" w:eastAsia="Arial" w:hAnsi="Arial"/>
          <w:sz w:val="13"/>
          <w:szCs w:val="13"/>
          <w:color w:val="auto"/>
        </w:rPr>
        <w:t xml:space="preserve">The fair value of the restricted stock units was based on the “Class E” stock closing price in the New York Stock Exchange on the grant date. These stock units vest 25% each year on the grant date’s anniversary. </w:t>
      </w:r>
      <w:r>
        <w:rPr>
          <w:rFonts w:ascii="Arial" w:cs="Arial" w:eastAsia="Arial" w:hAnsi="Arial"/>
          <w:sz w:val="13"/>
          <w:szCs w:val="13"/>
          <w:color w:val="222222"/>
        </w:rPr>
        <w:t>The</w:t>
      </w:r>
      <w:r>
        <w:rPr>
          <w:rFonts w:ascii="Arial" w:cs="Arial" w:eastAsia="Arial" w:hAnsi="Arial"/>
          <w:sz w:val="13"/>
          <w:szCs w:val="13"/>
          <w:color w:val="auto"/>
        </w:rPr>
        <w:t xml:space="preserve"> </w:t>
      </w:r>
      <w:r>
        <w:rPr>
          <w:rFonts w:ascii="Arial" w:cs="Arial" w:eastAsia="Arial" w:hAnsi="Arial"/>
          <w:sz w:val="13"/>
          <w:szCs w:val="13"/>
          <w:color w:val="222222"/>
        </w:rPr>
        <w:t>restricted stock units are exchanged at a ratio of 1: 1 for common shares "Class E".</w:t>
      </w:r>
    </w:p>
    <w:p>
      <w:pPr>
        <w:spacing w:after="0" w:line="129" w:lineRule="exact"/>
        <w:rPr>
          <w:sz w:val="20"/>
          <w:szCs w:val="20"/>
          <w:color w:val="auto"/>
        </w:rPr>
      </w:pPr>
    </w:p>
    <w:p>
      <w:pPr>
        <w:ind w:left="220"/>
        <w:spacing w:after="0" w:line="310" w:lineRule="auto"/>
        <w:rPr>
          <w:sz w:val="20"/>
          <w:szCs w:val="20"/>
          <w:color w:val="auto"/>
        </w:rPr>
      </w:pPr>
      <w:r>
        <w:rPr>
          <w:rFonts w:ascii="Arial" w:cs="Arial" w:eastAsia="Arial" w:hAnsi="Arial"/>
          <w:sz w:val="12"/>
          <w:szCs w:val="12"/>
          <w:color w:val="auto"/>
        </w:rPr>
        <w:t>Compensation costs of the restricted stock units are amortized during the period of restriction by the accelerated method. Costs recognized in profit or loss during 2018, 2017 and 2016 due to the amortization of these grants totaled $503 thousand, $811 thousand and $1.3 million, respectively. The remaining compensation cost pending amortization of $324 thousand in 2018 will be amortized over 3.1 years.</w:t>
      </w:r>
    </w:p>
    <w:p>
      <w:pPr>
        <w:spacing w:after="0" w:line="260"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F-78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14605</wp:posOffset>
            </wp:positionV>
            <wp:extent cx="7285990" cy="6350"/>
            <wp:wrapNone/>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33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85" w:right="219" w:bottom="1440" w:gutter="0" w:footer="0" w:header="0"/>
        </w:sectPr>
      </w:pPr>
    </w:p>
    <w:bookmarkStart w:id="203" w:name="page204"/>
    <w:bookmarkEnd w:id="203"/>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33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tbl>
      <w:tblPr>
        <w:tblLayout w:type="fixed"/>
        <w:tblInd w:w="0" w:type="dxa"/>
        <w:tblCellMar>
          <w:top w:w="0" w:type="dxa"/>
          <w:left w:w="0" w:type="dxa"/>
          <w:bottom w:w="0" w:type="dxa"/>
          <w:right w:w="0" w:type="dxa"/>
        </w:tblCellMar>
      </w:tblPr>
      <w:tr>
        <w:trPr>
          <w:trHeight w:val="166"/>
        </w:trPr>
        <w:tc>
          <w:tcPr>
            <w:tcW w:w="6440" w:type="dxa"/>
            <w:vAlign w:val="bottom"/>
            <w:gridSpan w:val="6"/>
          </w:tcPr>
          <w:p>
            <w:pPr>
              <w:spacing w:after="0"/>
              <w:rPr>
                <w:sz w:val="20"/>
                <w:szCs w:val="20"/>
                <w:color w:val="auto"/>
              </w:rPr>
            </w:pPr>
            <w:r>
              <w:rPr>
                <w:rFonts w:ascii="Arial" w:cs="Arial" w:eastAsia="Arial" w:hAnsi="Arial"/>
                <w:sz w:val="13"/>
                <w:szCs w:val="13"/>
                <w:b w:val="1"/>
                <w:bCs w:val="1"/>
                <w:color w:val="auto"/>
              </w:rPr>
              <w:t>23. Cash and stock-based compensation plans (continued)</w:t>
            </w:r>
          </w:p>
        </w:tc>
        <w:tc>
          <w:tcPr>
            <w:tcW w:w="4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88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80"/>
        </w:trPr>
        <w:tc>
          <w:tcPr>
            <w:tcW w:w="220" w:type="dxa"/>
            <w:vAlign w:val="bottom"/>
          </w:tcPr>
          <w:p>
            <w:pPr>
              <w:spacing w:after="0"/>
              <w:rPr>
                <w:sz w:val="24"/>
                <w:szCs w:val="24"/>
                <w:color w:val="auto"/>
              </w:rPr>
            </w:pPr>
          </w:p>
        </w:tc>
        <w:tc>
          <w:tcPr>
            <w:tcW w:w="6220" w:type="dxa"/>
            <w:vAlign w:val="bottom"/>
            <w:gridSpan w:val="5"/>
          </w:tcPr>
          <w:p>
            <w:pPr>
              <w:spacing w:after="0"/>
              <w:rPr>
                <w:sz w:val="20"/>
                <w:szCs w:val="20"/>
                <w:color w:val="auto"/>
              </w:rPr>
            </w:pPr>
            <w:r>
              <w:rPr>
                <w:rFonts w:ascii="Arial" w:cs="Arial" w:eastAsia="Arial" w:hAnsi="Arial"/>
                <w:sz w:val="13"/>
                <w:szCs w:val="13"/>
                <w:color w:val="auto"/>
              </w:rPr>
              <w:t>A. 2015 Stock Incentive Plan – Directors and Executives (continued)</w:t>
            </w:r>
          </w:p>
        </w:tc>
        <w:tc>
          <w:tcPr>
            <w:tcW w:w="42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
        </w:trPr>
        <w:tc>
          <w:tcPr>
            <w:tcW w:w="22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3400" w:type="dxa"/>
            <w:vAlign w:val="bottom"/>
            <w:shd w:val="clear" w:color="auto" w:fill="000000"/>
          </w:tcPr>
          <w:p>
            <w:pPr>
              <w:spacing w:after="0" w:line="20" w:lineRule="exact"/>
              <w:rPr>
                <w:sz w:val="1"/>
                <w:szCs w:val="1"/>
                <w:color w:val="auto"/>
              </w:rPr>
            </w:pPr>
          </w:p>
        </w:tc>
        <w:tc>
          <w:tcPr>
            <w:tcW w:w="1240" w:type="dxa"/>
            <w:vAlign w:val="bottom"/>
          </w:tcPr>
          <w:p>
            <w:pPr>
              <w:spacing w:after="0" w:line="20" w:lineRule="exact"/>
              <w:rPr>
                <w:sz w:val="1"/>
                <w:szCs w:val="1"/>
                <w:color w:val="auto"/>
              </w:rPr>
            </w:pPr>
          </w:p>
        </w:tc>
        <w:tc>
          <w:tcPr>
            <w:tcW w:w="1420" w:type="dxa"/>
            <w:vAlign w:val="bottom"/>
            <w:gridSpan w:val="2"/>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88"/>
        </w:trPr>
        <w:tc>
          <w:tcPr>
            <w:tcW w:w="220" w:type="dxa"/>
            <w:vAlign w:val="bottom"/>
          </w:tcPr>
          <w:p>
            <w:pPr>
              <w:spacing w:after="0"/>
              <w:rPr>
                <w:sz w:val="24"/>
                <w:szCs w:val="24"/>
                <w:color w:val="auto"/>
              </w:rPr>
            </w:pPr>
          </w:p>
        </w:tc>
        <w:tc>
          <w:tcPr>
            <w:tcW w:w="4800" w:type="dxa"/>
            <w:vAlign w:val="bottom"/>
            <w:tcBorders>
              <w:bottom w:val="single" w:sz="8" w:color="auto"/>
            </w:tcBorders>
            <w:gridSpan w:val="3"/>
          </w:tcPr>
          <w:p>
            <w:pPr>
              <w:spacing w:after="0"/>
              <w:rPr>
                <w:sz w:val="20"/>
                <w:szCs w:val="20"/>
                <w:color w:val="auto"/>
              </w:rPr>
            </w:pPr>
            <w:r>
              <w:rPr>
                <w:rFonts w:ascii="Arial" w:cs="Arial" w:eastAsia="Arial" w:hAnsi="Arial"/>
                <w:sz w:val="13"/>
                <w:szCs w:val="13"/>
                <w:i w:val="1"/>
                <w:iCs w:val="1"/>
                <w:color w:val="auto"/>
                <w:w w:val="89"/>
              </w:rPr>
              <w:t>Restricted Stock Units and Stock Purchase Options granted to certain Executives (continued)</w:t>
            </w:r>
          </w:p>
        </w:tc>
        <w:tc>
          <w:tcPr>
            <w:tcW w:w="1420" w:type="dxa"/>
            <w:vAlign w:val="bottom"/>
            <w:gridSpan w:val="2"/>
          </w:tcPr>
          <w:p>
            <w:pPr>
              <w:spacing w:after="0"/>
              <w:rPr>
                <w:sz w:val="24"/>
                <w:szCs w:val="24"/>
                <w:color w:val="auto"/>
              </w:rPr>
            </w:pPr>
          </w:p>
        </w:tc>
        <w:tc>
          <w:tcPr>
            <w:tcW w:w="42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16"/>
        </w:trPr>
        <w:tc>
          <w:tcPr>
            <w:tcW w:w="220" w:type="dxa"/>
            <w:vAlign w:val="bottom"/>
          </w:tcPr>
          <w:p>
            <w:pPr>
              <w:spacing w:after="0"/>
              <w:rPr>
                <w:sz w:val="24"/>
                <w:szCs w:val="24"/>
                <w:color w:val="auto"/>
              </w:rPr>
            </w:pPr>
          </w:p>
        </w:tc>
        <w:tc>
          <w:tcPr>
            <w:tcW w:w="6220" w:type="dxa"/>
            <w:vAlign w:val="bottom"/>
            <w:gridSpan w:val="5"/>
          </w:tcPr>
          <w:p>
            <w:pPr>
              <w:spacing w:after="0"/>
              <w:rPr>
                <w:sz w:val="20"/>
                <w:szCs w:val="20"/>
                <w:color w:val="auto"/>
              </w:rPr>
            </w:pPr>
            <w:r>
              <w:rPr>
                <w:rFonts w:ascii="Arial" w:cs="Arial" w:eastAsia="Arial" w:hAnsi="Arial"/>
                <w:sz w:val="13"/>
                <w:szCs w:val="13"/>
                <w:i w:val="1"/>
                <w:iCs w:val="1"/>
                <w:color w:val="auto"/>
              </w:rPr>
              <w:t>Restricted stock units (continued)</w:t>
            </w:r>
          </w:p>
        </w:tc>
        <w:tc>
          <w:tcPr>
            <w:tcW w:w="42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08"/>
        </w:trPr>
        <w:tc>
          <w:tcPr>
            <w:tcW w:w="220" w:type="dxa"/>
            <w:vAlign w:val="bottom"/>
          </w:tcPr>
          <w:p>
            <w:pPr>
              <w:spacing w:after="0"/>
              <w:rPr>
                <w:sz w:val="24"/>
                <w:szCs w:val="24"/>
                <w:color w:val="auto"/>
              </w:rPr>
            </w:pPr>
          </w:p>
        </w:tc>
        <w:tc>
          <w:tcPr>
            <w:tcW w:w="6220" w:type="dxa"/>
            <w:vAlign w:val="bottom"/>
            <w:gridSpan w:val="5"/>
          </w:tcPr>
          <w:p>
            <w:pPr>
              <w:spacing w:after="0"/>
              <w:rPr>
                <w:sz w:val="20"/>
                <w:szCs w:val="20"/>
                <w:color w:val="auto"/>
              </w:rPr>
            </w:pPr>
            <w:r>
              <w:rPr>
                <w:rFonts w:ascii="Arial" w:cs="Arial" w:eastAsia="Arial" w:hAnsi="Arial"/>
                <w:sz w:val="13"/>
                <w:szCs w:val="13"/>
                <w:color w:val="auto"/>
              </w:rPr>
              <w:t>A summary of the restricted stock units granted to certain executives is presented below:</w:t>
            </w:r>
          </w:p>
        </w:tc>
        <w:tc>
          <w:tcPr>
            <w:tcW w:w="42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96"/>
        </w:trPr>
        <w:tc>
          <w:tcPr>
            <w:tcW w:w="22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340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62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8"/>
              </w:rPr>
              <w:t>Weighted</w:t>
            </w:r>
          </w:p>
        </w:tc>
        <w:tc>
          <w:tcPr>
            <w:tcW w:w="2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340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62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9"/>
              </w:rPr>
              <w:t>average</w:t>
            </w:r>
          </w:p>
        </w:tc>
        <w:tc>
          <w:tcPr>
            <w:tcW w:w="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340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62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80" w:type="dxa"/>
            <w:vAlign w:val="bottom"/>
          </w:tcPr>
          <w:p>
            <w:pPr>
              <w:jc w:val="center"/>
              <w:ind w:left="256"/>
              <w:spacing w:after="0"/>
              <w:rPr>
                <w:sz w:val="20"/>
                <w:szCs w:val="20"/>
                <w:color w:val="auto"/>
              </w:rPr>
            </w:pPr>
            <w:r>
              <w:rPr>
                <w:rFonts w:ascii="Arial" w:cs="Arial" w:eastAsia="Arial" w:hAnsi="Arial"/>
                <w:sz w:val="13"/>
                <w:szCs w:val="13"/>
                <w:b w:val="1"/>
                <w:bCs w:val="1"/>
                <w:color w:val="auto"/>
                <w:w w:val="88"/>
              </w:rPr>
              <w:t>Weighted</w:t>
            </w:r>
          </w:p>
        </w:tc>
        <w:tc>
          <w:tcPr>
            <w:tcW w:w="3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0"/>
              </w:rPr>
              <w:t>remaining</w:t>
            </w:r>
          </w:p>
        </w:tc>
        <w:tc>
          <w:tcPr>
            <w:tcW w:w="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120" w:type="dxa"/>
            <w:vAlign w:val="bottom"/>
            <w:gridSpan w:val="3"/>
          </w:tcPr>
          <w:p>
            <w:pPr>
              <w:jc w:val="center"/>
              <w:ind w:right="280"/>
              <w:spacing w:after="0"/>
              <w:rPr>
                <w:sz w:val="20"/>
                <w:szCs w:val="20"/>
                <w:color w:val="auto"/>
              </w:rPr>
            </w:pPr>
            <w:r>
              <w:rPr>
                <w:rFonts w:ascii="Arial" w:cs="Arial" w:eastAsia="Arial" w:hAnsi="Arial"/>
                <w:sz w:val="13"/>
                <w:szCs w:val="13"/>
                <w:b w:val="1"/>
                <w:bCs w:val="1"/>
                <w:color w:val="auto"/>
                <w:w w:val="87"/>
              </w:rPr>
              <w:t>Aggregate</w:t>
            </w: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340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62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420" w:type="dxa"/>
            <w:vAlign w:val="bottom"/>
            <w:gridSpan w:val="3"/>
          </w:tcPr>
          <w:p>
            <w:pPr>
              <w:jc w:val="center"/>
              <w:ind w:right="220"/>
              <w:spacing w:after="0"/>
              <w:rPr>
                <w:sz w:val="20"/>
                <w:szCs w:val="20"/>
                <w:color w:val="auto"/>
              </w:rPr>
            </w:pPr>
            <w:r>
              <w:rPr>
                <w:rFonts w:ascii="Arial" w:cs="Arial" w:eastAsia="Arial" w:hAnsi="Arial"/>
                <w:sz w:val="13"/>
                <w:szCs w:val="13"/>
                <w:b w:val="1"/>
                <w:bCs w:val="1"/>
                <w:color w:val="auto"/>
                <w:w w:val="89"/>
              </w:rPr>
              <w:t>average grant</w:t>
            </w:r>
          </w:p>
        </w:tc>
        <w:tc>
          <w:tcPr>
            <w:tcW w:w="1420" w:type="dxa"/>
            <w:vAlign w:val="bottom"/>
            <w:gridSpan w:val="2"/>
          </w:tcPr>
          <w:p>
            <w:pPr>
              <w:ind w:left="300"/>
              <w:spacing w:after="0"/>
              <w:rPr>
                <w:sz w:val="20"/>
                <w:szCs w:val="20"/>
                <w:color w:val="auto"/>
              </w:rPr>
            </w:pPr>
            <w:r>
              <w:rPr>
                <w:rFonts w:ascii="Arial" w:cs="Arial" w:eastAsia="Arial" w:hAnsi="Arial"/>
                <w:sz w:val="13"/>
                <w:szCs w:val="13"/>
                <w:b w:val="1"/>
                <w:bCs w:val="1"/>
                <w:color w:val="auto"/>
              </w:rPr>
              <w:t>contractual</w:t>
            </w:r>
          </w:p>
        </w:tc>
        <w:tc>
          <w:tcPr>
            <w:tcW w:w="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120" w:type="dxa"/>
            <w:vAlign w:val="bottom"/>
            <w:gridSpan w:val="3"/>
          </w:tcPr>
          <w:p>
            <w:pPr>
              <w:jc w:val="center"/>
              <w:ind w:right="300"/>
              <w:spacing w:after="0"/>
              <w:rPr>
                <w:sz w:val="20"/>
                <w:szCs w:val="20"/>
                <w:color w:val="auto"/>
              </w:rPr>
            </w:pPr>
            <w:r>
              <w:rPr>
                <w:rFonts w:ascii="Arial" w:cs="Arial" w:eastAsia="Arial" w:hAnsi="Arial"/>
                <w:sz w:val="13"/>
                <w:szCs w:val="13"/>
                <w:b w:val="1"/>
                <w:bCs w:val="1"/>
                <w:color w:val="auto"/>
                <w:w w:val="90"/>
              </w:rPr>
              <w:t>intrinsic</w:t>
            </w:r>
          </w:p>
        </w:tc>
        <w:tc>
          <w:tcPr>
            <w:tcW w:w="0" w:type="dxa"/>
            <w:vAlign w:val="bottom"/>
          </w:tcPr>
          <w:p>
            <w:pPr>
              <w:spacing w:after="0"/>
              <w:rPr>
                <w:sz w:val="1"/>
                <w:szCs w:val="1"/>
                <w:color w:val="auto"/>
              </w:rPr>
            </w:pPr>
          </w:p>
        </w:tc>
      </w:tr>
      <w:tr>
        <w:trPr>
          <w:trHeight w:val="167"/>
        </w:trPr>
        <w:tc>
          <w:tcPr>
            <w:tcW w:w="2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3400" w:type="dxa"/>
            <w:vAlign w:val="bottom"/>
          </w:tcPr>
          <w:p>
            <w:pPr>
              <w:spacing w:after="0"/>
              <w:rPr>
                <w:sz w:val="14"/>
                <w:szCs w:val="14"/>
                <w:color w:val="auto"/>
              </w:rPr>
            </w:pPr>
          </w:p>
        </w:tc>
        <w:tc>
          <w:tcPr>
            <w:tcW w:w="1240" w:type="dxa"/>
            <w:vAlign w:val="bottom"/>
          </w:tcPr>
          <w:p>
            <w:pPr>
              <w:spacing w:after="0"/>
              <w:rPr>
                <w:sz w:val="14"/>
                <w:szCs w:val="14"/>
                <w:color w:val="auto"/>
              </w:rPr>
            </w:pPr>
          </w:p>
        </w:tc>
        <w:tc>
          <w:tcPr>
            <w:tcW w:w="620" w:type="dxa"/>
            <w:vAlign w:val="bottom"/>
          </w:tcPr>
          <w:p>
            <w:pPr>
              <w:spacing w:after="0"/>
              <w:rPr>
                <w:sz w:val="14"/>
                <w:szCs w:val="14"/>
                <w:color w:val="auto"/>
              </w:rPr>
            </w:pPr>
          </w:p>
        </w:tc>
        <w:tc>
          <w:tcPr>
            <w:tcW w:w="800" w:type="dxa"/>
            <w:vAlign w:val="bottom"/>
          </w:tcPr>
          <w:p>
            <w:pPr>
              <w:ind w:left="420"/>
              <w:spacing w:after="0"/>
              <w:rPr>
                <w:sz w:val="20"/>
                <w:szCs w:val="20"/>
                <w:color w:val="auto"/>
              </w:rPr>
            </w:pPr>
            <w:r>
              <w:rPr>
                <w:rFonts w:ascii="Arial" w:cs="Arial" w:eastAsia="Arial" w:hAnsi="Arial"/>
                <w:sz w:val="13"/>
                <w:szCs w:val="13"/>
                <w:b w:val="1"/>
                <w:bCs w:val="1"/>
                <w:color w:val="auto"/>
                <w:w w:val="82"/>
              </w:rPr>
              <w:t>Shares</w:t>
            </w:r>
          </w:p>
        </w:tc>
        <w:tc>
          <w:tcPr>
            <w:tcW w:w="4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420" w:type="dxa"/>
            <w:vAlign w:val="bottom"/>
            <w:gridSpan w:val="3"/>
          </w:tcPr>
          <w:p>
            <w:pPr>
              <w:jc w:val="center"/>
              <w:ind w:right="220"/>
              <w:spacing w:after="0"/>
              <w:rPr>
                <w:sz w:val="20"/>
                <w:szCs w:val="20"/>
                <w:color w:val="auto"/>
              </w:rPr>
            </w:pPr>
            <w:r>
              <w:rPr>
                <w:rFonts w:ascii="Arial" w:cs="Arial" w:eastAsia="Arial" w:hAnsi="Arial"/>
                <w:sz w:val="13"/>
                <w:szCs w:val="13"/>
                <w:b w:val="1"/>
                <w:bCs w:val="1"/>
                <w:color w:val="auto"/>
                <w:w w:val="91"/>
              </w:rPr>
              <w:t>date fair value</w:t>
            </w:r>
          </w:p>
        </w:tc>
        <w:tc>
          <w:tcPr>
            <w:tcW w:w="14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2"/>
              </w:rPr>
              <w:t>term</w:t>
            </w:r>
          </w:p>
        </w:tc>
        <w:tc>
          <w:tcPr>
            <w:tcW w:w="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120" w:type="dxa"/>
            <w:vAlign w:val="bottom"/>
            <w:gridSpan w:val="3"/>
          </w:tcPr>
          <w:p>
            <w:pPr>
              <w:jc w:val="center"/>
              <w:ind w:right="300"/>
              <w:spacing w:after="0"/>
              <w:rPr>
                <w:sz w:val="20"/>
                <w:szCs w:val="20"/>
                <w:color w:val="auto"/>
              </w:rPr>
            </w:pPr>
            <w:r>
              <w:rPr>
                <w:rFonts w:ascii="Arial" w:cs="Arial" w:eastAsia="Arial" w:hAnsi="Arial"/>
                <w:sz w:val="13"/>
                <w:szCs w:val="13"/>
                <w:b w:val="1"/>
                <w:bCs w:val="1"/>
                <w:color w:val="auto"/>
                <w:w w:val="90"/>
              </w:rPr>
              <w:t>value</w:t>
            </w: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5420" w:type="dxa"/>
            <w:vAlign w:val="bottom"/>
            <w:tcBorders>
              <w:top w:val="single" w:sz="8" w:color="CCEEFF"/>
            </w:tcBorders>
            <w:gridSpan w:val="4"/>
            <w:shd w:val="clear" w:color="auto" w:fill="CCEEFF"/>
          </w:tcPr>
          <w:p>
            <w:pPr>
              <w:spacing w:after="0" w:line="144" w:lineRule="exact"/>
              <w:rPr>
                <w:sz w:val="20"/>
                <w:szCs w:val="20"/>
                <w:color w:val="auto"/>
              </w:rPr>
            </w:pPr>
            <w:r>
              <w:rPr>
                <w:rFonts w:ascii="Arial" w:cs="Arial" w:eastAsia="Arial" w:hAnsi="Arial"/>
                <w:sz w:val="13"/>
                <w:szCs w:val="13"/>
                <w:color w:val="auto"/>
              </w:rPr>
              <w:t>Outstanding at January 1, 2016</w:t>
            </w:r>
          </w:p>
        </w:tc>
        <w:tc>
          <w:tcPr>
            <w:tcW w:w="800" w:type="dxa"/>
            <w:vAlign w:val="bottom"/>
            <w:tcBorders>
              <w:top w:val="single" w:sz="8" w:color="auto"/>
            </w:tcBorders>
            <w:shd w:val="clear" w:color="auto" w:fill="CCEEFF"/>
          </w:tcPr>
          <w:p>
            <w:pPr>
              <w:spacing w:after="0"/>
              <w:rPr>
                <w:sz w:val="12"/>
                <w:szCs w:val="12"/>
                <w:color w:val="auto"/>
              </w:rPr>
            </w:pPr>
          </w:p>
        </w:tc>
        <w:tc>
          <w:tcPr>
            <w:tcW w:w="4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w w:val="85"/>
              </w:rPr>
              <w:t>162,748</w:t>
            </w:r>
          </w:p>
        </w:tc>
        <w:tc>
          <w:tcPr>
            <w:tcW w:w="24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3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w w:val="92"/>
              </w:rPr>
              <w:t>19.74</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102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6220" w:type="dxa"/>
            <w:vAlign w:val="bottom"/>
            <w:gridSpan w:val="5"/>
          </w:tcPr>
          <w:p>
            <w:pPr>
              <w:spacing w:after="0"/>
              <w:rPr>
                <w:sz w:val="20"/>
                <w:szCs w:val="20"/>
                <w:color w:val="auto"/>
              </w:rPr>
            </w:pPr>
            <w:r>
              <w:rPr>
                <w:rFonts w:ascii="Arial" w:cs="Arial" w:eastAsia="Arial" w:hAnsi="Arial"/>
                <w:sz w:val="13"/>
                <w:szCs w:val="13"/>
                <w:color w:val="auto"/>
              </w:rPr>
              <w:t>Granted</w:t>
            </w:r>
          </w:p>
        </w:tc>
        <w:tc>
          <w:tcPr>
            <w:tcW w:w="660" w:type="dxa"/>
            <w:vAlign w:val="bottom"/>
            <w:gridSpan w:val="2"/>
          </w:tcPr>
          <w:p>
            <w:pPr>
              <w:jc w:val="right"/>
              <w:ind w:right="240"/>
              <w:spacing w:after="0"/>
              <w:rPr>
                <w:sz w:val="20"/>
                <w:szCs w:val="20"/>
                <w:color w:val="auto"/>
              </w:rPr>
            </w:pPr>
            <w:r>
              <w:rPr>
                <w:rFonts w:ascii="Arial" w:cs="Arial" w:eastAsia="Arial" w:hAnsi="Arial"/>
                <w:sz w:val="13"/>
                <w:szCs w:val="13"/>
                <w:color w:val="auto"/>
              </w:rPr>
              <w:t>91,454</w:t>
            </w:r>
          </w:p>
        </w:tc>
        <w:tc>
          <w:tcPr>
            <w:tcW w:w="880" w:type="dxa"/>
            <w:vAlign w:val="bottom"/>
          </w:tcPr>
          <w:p>
            <w:pPr>
              <w:spacing w:after="0"/>
              <w:rPr>
                <w:sz w:val="13"/>
                <w:szCs w:val="13"/>
                <w:color w:val="auto"/>
              </w:rPr>
            </w:pPr>
          </w:p>
        </w:tc>
        <w:tc>
          <w:tcPr>
            <w:tcW w:w="540" w:type="dxa"/>
            <w:vAlign w:val="bottom"/>
            <w:gridSpan w:val="2"/>
          </w:tcPr>
          <w:p>
            <w:pPr>
              <w:jc w:val="right"/>
              <w:ind w:right="220"/>
              <w:spacing w:after="0"/>
              <w:rPr>
                <w:sz w:val="20"/>
                <w:szCs w:val="20"/>
                <w:color w:val="auto"/>
              </w:rPr>
            </w:pPr>
            <w:r>
              <w:rPr>
                <w:rFonts w:ascii="Arial" w:cs="Arial" w:eastAsia="Arial" w:hAnsi="Arial"/>
                <w:sz w:val="13"/>
                <w:szCs w:val="13"/>
                <w:color w:val="auto"/>
                <w:w w:val="92"/>
              </w:rPr>
              <w:t>18.26</w:t>
            </w: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6220" w:type="dxa"/>
            <w:vAlign w:val="bottom"/>
            <w:gridSpan w:val="5"/>
            <w:shd w:val="clear" w:color="auto" w:fill="CCEEFF"/>
          </w:tcPr>
          <w:p>
            <w:pPr>
              <w:spacing w:after="0"/>
              <w:rPr>
                <w:sz w:val="20"/>
                <w:szCs w:val="20"/>
                <w:color w:val="auto"/>
              </w:rPr>
            </w:pPr>
            <w:r>
              <w:rPr>
                <w:rFonts w:ascii="Arial" w:cs="Arial" w:eastAsia="Arial" w:hAnsi="Arial"/>
                <w:sz w:val="13"/>
                <w:szCs w:val="13"/>
                <w:color w:val="auto"/>
              </w:rPr>
              <w:t>Forfeited</w:t>
            </w:r>
          </w:p>
        </w:tc>
        <w:tc>
          <w:tcPr>
            <w:tcW w:w="6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w w:val="90"/>
              </w:rPr>
              <w:t>(21,408)</w:t>
            </w:r>
          </w:p>
        </w:tc>
        <w:tc>
          <w:tcPr>
            <w:tcW w:w="880" w:type="dxa"/>
            <w:vAlign w:val="bottom"/>
            <w:shd w:val="clear" w:color="auto" w:fill="CCEEFF"/>
          </w:tcPr>
          <w:p>
            <w:pPr>
              <w:spacing w:after="0"/>
              <w:rPr>
                <w:sz w:val="13"/>
                <w:szCs w:val="13"/>
                <w:color w:val="auto"/>
              </w:rPr>
            </w:pPr>
          </w:p>
        </w:tc>
        <w:tc>
          <w:tcPr>
            <w:tcW w:w="5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w w:val="92"/>
              </w:rPr>
              <w:t>17.69</w:t>
            </w:r>
          </w:p>
        </w:tc>
        <w:tc>
          <w:tcPr>
            <w:tcW w:w="12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102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6220" w:type="dxa"/>
            <w:vAlign w:val="bottom"/>
            <w:gridSpan w:val="5"/>
          </w:tcPr>
          <w:p>
            <w:pPr>
              <w:spacing w:after="0"/>
              <w:rPr>
                <w:sz w:val="20"/>
                <w:szCs w:val="20"/>
                <w:color w:val="auto"/>
              </w:rPr>
            </w:pPr>
            <w:r>
              <w:rPr>
                <w:rFonts w:ascii="Arial" w:cs="Arial" w:eastAsia="Arial" w:hAnsi="Arial"/>
                <w:sz w:val="13"/>
                <w:szCs w:val="13"/>
                <w:color w:val="auto"/>
              </w:rPr>
              <w:t>Vested</w:t>
            </w:r>
          </w:p>
        </w:tc>
        <w:tc>
          <w:tcPr>
            <w:tcW w:w="660" w:type="dxa"/>
            <w:vAlign w:val="bottom"/>
            <w:gridSpan w:val="2"/>
          </w:tcPr>
          <w:p>
            <w:pPr>
              <w:jc w:val="right"/>
              <w:ind w:right="200"/>
              <w:spacing w:after="0"/>
              <w:rPr>
                <w:sz w:val="20"/>
                <w:szCs w:val="20"/>
                <w:color w:val="auto"/>
              </w:rPr>
            </w:pPr>
            <w:r>
              <w:rPr>
                <w:rFonts w:ascii="Arial" w:cs="Arial" w:eastAsia="Arial" w:hAnsi="Arial"/>
                <w:sz w:val="13"/>
                <w:szCs w:val="13"/>
                <w:color w:val="auto"/>
                <w:w w:val="90"/>
              </w:rPr>
              <w:t>(65,358)</w:t>
            </w:r>
          </w:p>
        </w:tc>
        <w:tc>
          <w:tcPr>
            <w:tcW w:w="880" w:type="dxa"/>
            <w:vAlign w:val="bottom"/>
          </w:tcPr>
          <w:p>
            <w:pPr>
              <w:spacing w:after="0"/>
              <w:rPr>
                <w:sz w:val="14"/>
                <w:szCs w:val="14"/>
                <w:color w:val="auto"/>
              </w:rPr>
            </w:pPr>
          </w:p>
        </w:tc>
        <w:tc>
          <w:tcPr>
            <w:tcW w:w="540" w:type="dxa"/>
            <w:vAlign w:val="bottom"/>
            <w:gridSpan w:val="2"/>
          </w:tcPr>
          <w:p>
            <w:pPr>
              <w:jc w:val="right"/>
              <w:ind w:right="220"/>
              <w:spacing w:after="0"/>
              <w:rPr>
                <w:sz w:val="20"/>
                <w:szCs w:val="20"/>
                <w:color w:val="auto"/>
              </w:rPr>
            </w:pPr>
            <w:r>
              <w:rPr>
                <w:rFonts w:ascii="Arial" w:cs="Arial" w:eastAsia="Arial" w:hAnsi="Arial"/>
                <w:sz w:val="13"/>
                <w:szCs w:val="13"/>
                <w:color w:val="auto"/>
                <w:w w:val="92"/>
              </w:rPr>
              <w:t>18.83</w:t>
            </w:r>
          </w:p>
        </w:tc>
        <w:tc>
          <w:tcPr>
            <w:tcW w:w="12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5420" w:type="dxa"/>
            <w:vAlign w:val="bottom"/>
            <w:tcBorders>
              <w:top w:val="single" w:sz="8" w:color="CCEEFF"/>
            </w:tcBorders>
            <w:gridSpan w:val="4"/>
            <w:shd w:val="clear" w:color="auto" w:fill="CCEEFF"/>
          </w:tcPr>
          <w:p>
            <w:pPr>
              <w:spacing w:after="0" w:line="143" w:lineRule="exact"/>
              <w:rPr>
                <w:sz w:val="20"/>
                <w:szCs w:val="20"/>
                <w:color w:val="auto"/>
              </w:rPr>
            </w:pPr>
            <w:r>
              <w:rPr>
                <w:rFonts w:ascii="Arial" w:cs="Arial" w:eastAsia="Arial" w:hAnsi="Arial"/>
                <w:sz w:val="13"/>
                <w:szCs w:val="13"/>
                <w:color w:val="auto"/>
              </w:rPr>
              <w:t>Outstanding at December 31, 2016</w:t>
            </w:r>
          </w:p>
        </w:tc>
        <w:tc>
          <w:tcPr>
            <w:tcW w:w="800" w:type="dxa"/>
            <w:vAlign w:val="bottom"/>
            <w:tcBorders>
              <w:top w:val="single" w:sz="8" w:color="auto"/>
            </w:tcBorders>
            <w:shd w:val="clear" w:color="auto" w:fill="CCEEFF"/>
          </w:tcPr>
          <w:p>
            <w:pPr>
              <w:spacing w:after="0"/>
              <w:rPr>
                <w:sz w:val="12"/>
                <w:szCs w:val="12"/>
                <w:color w:val="auto"/>
              </w:rPr>
            </w:pPr>
          </w:p>
        </w:tc>
        <w:tc>
          <w:tcPr>
            <w:tcW w:w="4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w w:val="85"/>
              </w:rPr>
              <w:t>167,436</w:t>
            </w:r>
          </w:p>
        </w:tc>
        <w:tc>
          <w:tcPr>
            <w:tcW w:w="24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CCEEFF"/>
            </w:tcBorders>
            <w:shd w:val="clear" w:color="auto" w:fill="CCEEFF"/>
          </w:tcPr>
          <w:p>
            <w:pPr>
              <w:spacing w:after="0"/>
              <w:rPr>
                <w:sz w:val="12"/>
                <w:szCs w:val="12"/>
                <w:color w:val="auto"/>
              </w:rPr>
            </w:pPr>
          </w:p>
        </w:tc>
        <w:tc>
          <w:tcPr>
            <w:tcW w:w="540" w:type="dxa"/>
            <w:vAlign w:val="bottom"/>
            <w:tcBorders>
              <w:top w:val="single" w:sz="8" w:color="CCEEFF"/>
            </w:tcBorders>
            <w:gridSpan w:val="2"/>
            <w:shd w:val="clear" w:color="auto" w:fill="CCEEFF"/>
          </w:tcPr>
          <w:p>
            <w:pPr>
              <w:jc w:val="right"/>
              <w:ind w:right="220"/>
              <w:spacing w:after="0" w:line="143" w:lineRule="exact"/>
              <w:rPr>
                <w:sz w:val="20"/>
                <w:szCs w:val="20"/>
                <w:color w:val="auto"/>
              </w:rPr>
            </w:pPr>
            <w:r>
              <w:rPr>
                <w:rFonts w:ascii="Arial" w:cs="Arial" w:eastAsia="Arial" w:hAnsi="Arial"/>
                <w:sz w:val="13"/>
                <w:szCs w:val="13"/>
                <w:color w:val="auto"/>
                <w:w w:val="92"/>
              </w:rPr>
              <w:t>19.35</w:t>
            </w:r>
          </w:p>
        </w:tc>
        <w:tc>
          <w:tcPr>
            <w:tcW w:w="120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1020" w:type="dxa"/>
            <w:vAlign w:val="bottom"/>
            <w:tcBorders>
              <w:top w:val="single" w:sz="8" w:color="CCEEFF"/>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6220" w:type="dxa"/>
            <w:vAlign w:val="bottom"/>
            <w:gridSpan w:val="5"/>
          </w:tcPr>
          <w:p>
            <w:pPr>
              <w:spacing w:after="0"/>
              <w:rPr>
                <w:sz w:val="20"/>
                <w:szCs w:val="20"/>
                <w:color w:val="auto"/>
              </w:rPr>
            </w:pPr>
            <w:r>
              <w:rPr>
                <w:rFonts w:ascii="Arial" w:cs="Arial" w:eastAsia="Arial" w:hAnsi="Arial"/>
                <w:sz w:val="13"/>
                <w:szCs w:val="13"/>
                <w:color w:val="auto"/>
              </w:rPr>
              <w:t>Granted</w:t>
            </w:r>
          </w:p>
        </w:tc>
        <w:tc>
          <w:tcPr>
            <w:tcW w:w="660" w:type="dxa"/>
            <w:vAlign w:val="bottom"/>
            <w:gridSpan w:val="2"/>
          </w:tcPr>
          <w:p>
            <w:pPr>
              <w:jc w:val="right"/>
              <w:ind w:right="240"/>
              <w:spacing w:after="0"/>
              <w:rPr>
                <w:sz w:val="20"/>
                <w:szCs w:val="20"/>
                <w:color w:val="auto"/>
              </w:rPr>
            </w:pPr>
            <w:r>
              <w:rPr>
                <w:rFonts w:ascii="Arial" w:cs="Arial" w:eastAsia="Arial" w:hAnsi="Arial"/>
                <w:sz w:val="13"/>
                <w:szCs w:val="13"/>
                <w:color w:val="auto"/>
              </w:rPr>
              <w:t>25,289</w:t>
            </w:r>
          </w:p>
        </w:tc>
        <w:tc>
          <w:tcPr>
            <w:tcW w:w="880" w:type="dxa"/>
            <w:vAlign w:val="bottom"/>
          </w:tcPr>
          <w:p>
            <w:pPr>
              <w:spacing w:after="0"/>
              <w:rPr>
                <w:sz w:val="13"/>
                <w:szCs w:val="13"/>
                <w:color w:val="auto"/>
              </w:rPr>
            </w:pPr>
          </w:p>
        </w:tc>
        <w:tc>
          <w:tcPr>
            <w:tcW w:w="540" w:type="dxa"/>
            <w:vAlign w:val="bottom"/>
            <w:gridSpan w:val="2"/>
          </w:tcPr>
          <w:p>
            <w:pPr>
              <w:jc w:val="right"/>
              <w:ind w:right="220"/>
              <w:spacing w:after="0"/>
              <w:rPr>
                <w:sz w:val="20"/>
                <w:szCs w:val="20"/>
                <w:color w:val="auto"/>
              </w:rPr>
            </w:pPr>
            <w:r>
              <w:rPr>
                <w:rFonts w:ascii="Arial" w:cs="Arial" w:eastAsia="Arial" w:hAnsi="Arial"/>
                <w:sz w:val="13"/>
                <w:szCs w:val="13"/>
                <w:color w:val="auto"/>
                <w:w w:val="92"/>
              </w:rPr>
              <w:t>25.70</w:t>
            </w: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6220" w:type="dxa"/>
            <w:vAlign w:val="bottom"/>
            <w:gridSpan w:val="5"/>
            <w:shd w:val="clear" w:color="auto" w:fill="CCEEFF"/>
          </w:tcPr>
          <w:p>
            <w:pPr>
              <w:spacing w:after="0"/>
              <w:rPr>
                <w:sz w:val="20"/>
                <w:szCs w:val="20"/>
                <w:color w:val="auto"/>
              </w:rPr>
            </w:pPr>
            <w:r>
              <w:rPr>
                <w:rFonts w:ascii="Arial" w:cs="Arial" w:eastAsia="Arial" w:hAnsi="Arial"/>
                <w:sz w:val="13"/>
                <w:szCs w:val="13"/>
                <w:color w:val="auto"/>
              </w:rPr>
              <w:t>Forfeited</w:t>
            </w:r>
          </w:p>
        </w:tc>
        <w:tc>
          <w:tcPr>
            <w:tcW w:w="6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w w:val="90"/>
              </w:rPr>
              <w:t>(71,401)</w:t>
            </w:r>
          </w:p>
        </w:tc>
        <w:tc>
          <w:tcPr>
            <w:tcW w:w="880" w:type="dxa"/>
            <w:vAlign w:val="bottom"/>
            <w:shd w:val="clear" w:color="auto" w:fill="CCEEFF"/>
          </w:tcPr>
          <w:p>
            <w:pPr>
              <w:spacing w:after="0"/>
              <w:rPr>
                <w:sz w:val="13"/>
                <w:szCs w:val="13"/>
                <w:color w:val="auto"/>
              </w:rPr>
            </w:pPr>
          </w:p>
        </w:tc>
        <w:tc>
          <w:tcPr>
            <w:tcW w:w="5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w w:val="92"/>
              </w:rPr>
              <w:t>18.61</w:t>
            </w:r>
          </w:p>
        </w:tc>
        <w:tc>
          <w:tcPr>
            <w:tcW w:w="12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102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6220" w:type="dxa"/>
            <w:vAlign w:val="bottom"/>
            <w:gridSpan w:val="5"/>
          </w:tcPr>
          <w:p>
            <w:pPr>
              <w:spacing w:after="0"/>
              <w:rPr>
                <w:sz w:val="20"/>
                <w:szCs w:val="20"/>
                <w:color w:val="auto"/>
              </w:rPr>
            </w:pPr>
            <w:r>
              <w:rPr>
                <w:rFonts w:ascii="Arial" w:cs="Arial" w:eastAsia="Arial" w:hAnsi="Arial"/>
                <w:sz w:val="13"/>
                <w:szCs w:val="13"/>
                <w:color w:val="auto"/>
              </w:rPr>
              <w:t>Vested</w:t>
            </w:r>
          </w:p>
        </w:tc>
        <w:tc>
          <w:tcPr>
            <w:tcW w:w="660" w:type="dxa"/>
            <w:vAlign w:val="bottom"/>
            <w:gridSpan w:val="2"/>
          </w:tcPr>
          <w:p>
            <w:pPr>
              <w:jc w:val="right"/>
              <w:ind w:right="200"/>
              <w:spacing w:after="0"/>
              <w:rPr>
                <w:sz w:val="20"/>
                <w:szCs w:val="20"/>
                <w:color w:val="auto"/>
              </w:rPr>
            </w:pPr>
            <w:r>
              <w:rPr>
                <w:rFonts w:ascii="Arial" w:cs="Arial" w:eastAsia="Arial" w:hAnsi="Arial"/>
                <w:sz w:val="13"/>
                <w:szCs w:val="13"/>
                <w:color w:val="auto"/>
                <w:w w:val="90"/>
              </w:rPr>
              <w:t>(70,519)</w:t>
            </w:r>
          </w:p>
        </w:tc>
        <w:tc>
          <w:tcPr>
            <w:tcW w:w="880" w:type="dxa"/>
            <w:vAlign w:val="bottom"/>
          </w:tcPr>
          <w:p>
            <w:pPr>
              <w:spacing w:after="0"/>
              <w:rPr>
                <w:sz w:val="14"/>
                <w:szCs w:val="14"/>
                <w:color w:val="auto"/>
              </w:rPr>
            </w:pPr>
          </w:p>
        </w:tc>
        <w:tc>
          <w:tcPr>
            <w:tcW w:w="540" w:type="dxa"/>
            <w:vAlign w:val="bottom"/>
            <w:gridSpan w:val="2"/>
          </w:tcPr>
          <w:p>
            <w:pPr>
              <w:jc w:val="right"/>
              <w:ind w:right="220"/>
              <w:spacing w:after="0"/>
              <w:rPr>
                <w:sz w:val="20"/>
                <w:szCs w:val="20"/>
                <w:color w:val="auto"/>
              </w:rPr>
            </w:pPr>
            <w:r>
              <w:rPr>
                <w:rFonts w:ascii="Arial" w:cs="Arial" w:eastAsia="Arial" w:hAnsi="Arial"/>
                <w:sz w:val="13"/>
                <w:szCs w:val="13"/>
                <w:color w:val="auto"/>
                <w:w w:val="92"/>
              </w:rPr>
              <w:t>19.76</w:t>
            </w:r>
          </w:p>
        </w:tc>
        <w:tc>
          <w:tcPr>
            <w:tcW w:w="12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5420" w:type="dxa"/>
            <w:vAlign w:val="bottom"/>
            <w:tcBorders>
              <w:top w:val="single" w:sz="8" w:color="CCEEFF"/>
            </w:tcBorders>
            <w:gridSpan w:val="4"/>
            <w:shd w:val="clear" w:color="auto" w:fill="CCEEFF"/>
          </w:tcPr>
          <w:p>
            <w:pPr>
              <w:spacing w:after="0" w:line="143" w:lineRule="exact"/>
              <w:rPr>
                <w:sz w:val="20"/>
                <w:szCs w:val="20"/>
                <w:color w:val="auto"/>
              </w:rPr>
            </w:pPr>
            <w:r>
              <w:rPr>
                <w:rFonts w:ascii="Arial" w:cs="Arial" w:eastAsia="Arial" w:hAnsi="Arial"/>
                <w:sz w:val="13"/>
                <w:szCs w:val="13"/>
                <w:color w:val="auto"/>
              </w:rPr>
              <w:t>Outstanding at December 31, 2017</w:t>
            </w:r>
          </w:p>
        </w:tc>
        <w:tc>
          <w:tcPr>
            <w:tcW w:w="800" w:type="dxa"/>
            <w:vAlign w:val="bottom"/>
            <w:tcBorders>
              <w:top w:val="single" w:sz="8" w:color="auto"/>
            </w:tcBorders>
            <w:shd w:val="clear" w:color="auto" w:fill="CCEEFF"/>
          </w:tcPr>
          <w:p>
            <w:pPr>
              <w:spacing w:after="0"/>
              <w:rPr>
                <w:sz w:val="12"/>
                <w:szCs w:val="12"/>
                <w:color w:val="auto"/>
              </w:rPr>
            </w:pPr>
          </w:p>
        </w:tc>
        <w:tc>
          <w:tcPr>
            <w:tcW w:w="4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50,805</w:t>
            </w:r>
          </w:p>
        </w:tc>
        <w:tc>
          <w:tcPr>
            <w:tcW w:w="24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CCEEFF"/>
            </w:tcBorders>
            <w:shd w:val="clear" w:color="auto" w:fill="CCEEFF"/>
          </w:tcPr>
          <w:p>
            <w:pPr>
              <w:spacing w:after="0"/>
              <w:rPr>
                <w:sz w:val="12"/>
                <w:szCs w:val="12"/>
                <w:color w:val="auto"/>
              </w:rPr>
            </w:pPr>
          </w:p>
        </w:tc>
        <w:tc>
          <w:tcPr>
            <w:tcW w:w="540" w:type="dxa"/>
            <w:vAlign w:val="bottom"/>
            <w:tcBorders>
              <w:top w:val="single" w:sz="8" w:color="CCEEFF"/>
            </w:tcBorders>
            <w:gridSpan w:val="2"/>
            <w:shd w:val="clear" w:color="auto" w:fill="CCEEFF"/>
          </w:tcPr>
          <w:p>
            <w:pPr>
              <w:jc w:val="right"/>
              <w:ind w:right="220"/>
              <w:spacing w:after="0" w:line="143" w:lineRule="exact"/>
              <w:rPr>
                <w:sz w:val="20"/>
                <w:szCs w:val="20"/>
                <w:color w:val="auto"/>
              </w:rPr>
            </w:pPr>
            <w:r>
              <w:rPr>
                <w:rFonts w:ascii="Arial" w:cs="Arial" w:eastAsia="Arial" w:hAnsi="Arial"/>
                <w:sz w:val="13"/>
                <w:szCs w:val="13"/>
                <w:color w:val="auto"/>
                <w:w w:val="92"/>
              </w:rPr>
              <w:t>21.07</w:t>
            </w:r>
          </w:p>
        </w:tc>
        <w:tc>
          <w:tcPr>
            <w:tcW w:w="120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1020" w:type="dxa"/>
            <w:vAlign w:val="bottom"/>
            <w:tcBorders>
              <w:top w:val="single" w:sz="8" w:color="CCEEFF"/>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6220" w:type="dxa"/>
            <w:vAlign w:val="bottom"/>
            <w:gridSpan w:val="5"/>
          </w:tcPr>
          <w:p>
            <w:pPr>
              <w:spacing w:after="0"/>
              <w:rPr>
                <w:sz w:val="20"/>
                <w:szCs w:val="20"/>
                <w:color w:val="auto"/>
              </w:rPr>
            </w:pPr>
            <w:r>
              <w:rPr>
                <w:rFonts w:ascii="Arial" w:cs="Arial" w:eastAsia="Arial" w:hAnsi="Arial"/>
                <w:sz w:val="13"/>
                <w:szCs w:val="13"/>
                <w:color w:val="auto"/>
              </w:rPr>
              <w:t>Granted</w:t>
            </w:r>
          </w:p>
        </w:tc>
        <w:tc>
          <w:tcPr>
            <w:tcW w:w="660" w:type="dxa"/>
            <w:vAlign w:val="bottom"/>
            <w:gridSpan w:val="2"/>
          </w:tcPr>
          <w:p>
            <w:pPr>
              <w:jc w:val="right"/>
              <w:ind w:right="240"/>
              <w:spacing w:after="0"/>
              <w:rPr>
                <w:sz w:val="20"/>
                <w:szCs w:val="20"/>
                <w:color w:val="auto"/>
              </w:rPr>
            </w:pPr>
            <w:r>
              <w:rPr>
                <w:rFonts w:ascii="Arial" w:cs="Arial" w:eastAsia="Arial" w:hAnsi="Arial"/>
                <w:sz w:val="13"/>
                <w:szCs w:val="13"/>
                <w:color w:val="auto"/>
              </w:rPr>
              <w:t>23,412</w:t>
            </w:r>
          </w:p>
        </w:tc>
        <w:tc>
          <w:tcPr>
            <w:tcW w:w="880" w:type="dxa"/>
            <w:vAlign w:val="bottom"/>
          </w:tcPr>
          <w:p>
            <w:pPr>
              <w:spacing w:after="0"/>
              <w:rPr>
                <w:sz w:val="13"/>
                <w:szCs w:val="13"/>
                <w:color w:val="auto"/>
              </w:rPr>
            </w:pPr>
          </w:p>
        </w:tc>
        <w:tc>
          <w:tcPr>
            <w:tcW w:w="540" w:type="dxa"/>
            <w:vAlign w:val="bottom"/>
            <w:gridSpan w:val="2"/>
          </w:tcPr>
          <w:p>
            <w:pPr>
              <w:jc w:val="right"/>
              <w:ind w:right="220"/>
              <w:spacing w:after="0"/>
              <w:rPr>
                <w:sz w:val="20"/>
                <w:szCs w:val="20"/>
                <w:color w:val="auto"/>
              </w:rPr>
            </w:pPr>
            <w:r>
              <w:rPr>
                <w:rFonts w:ascii="Arial" w:cs="Arial" w:eastAsia="Arial" w:hAnsi="Arial"/>
                <w:sz w:val="13"/>
                <w:szCs w:val="13"/>
                <w:color w:val="auto"/>
                <w:w w:val="92"/>
              </w:rPr>
              <w:t>24.80</w:t>
            </w: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6220" w:type="dxa"/>
            <w:vAlign w:val="bottom"/>
            <w:gridSpan w:val="5"/>
            <w:shd w:val="clear" w:color="auto" w:fill="CCEEFF"/>
          </w:tcPr>
          <w:p>
            <w:pPr>
              <w:spacing w:after="0"/>
              <w:rPr>
                <w:sz w:val="20"/>
                <w:szCs w:val="20"/>
                <w:color w:val="auto"/>
              </w:rPr>
            </w:pPr>
            <w:r>
              <w:rPr>
                <w:rFonts w:ascii="Arial" w:cs="Arial" w:eastAsia="Arial" w:hAnsi="Arial"/>
                <w:sz w:val="13"/>
                <w:szCs w:val="13"/>
                <w:color w:val="auto"/>
              </w:rPr>
              <w:t>Forfeited</w:t>
            </w:r>
          </w:p>
        </w:tc>
        <w:tc>
          <w:tcPr>
            <w:tcW w:w="4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880" w:type="dxa"/>
            <w:vAlign w:val="bottom"/>
            <w:shd w:val="clear" w:color="auto" w:fill="CCEEFF"/>
          </w:tcPr>
          <w:p>
            <w:pPr>
              <w:spacing w:after="0"/>
              <w:rPr>
                <w:sz w:val="13"/>
                <w:szCs w:val="13"/>
                <w:color w:val="auto"/>
              </w:rPr>
            </w:pPr>
          </w:p>
        </w:tc>
        <w:tc>
          <w:tcPr>
            <w:tcW w:w="5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2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102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5420" w:type="dxa"/>
            <w:vAlign w:val="bottom"/>
            <w:gridSpan w:val="4"/>
          </w:tcPr>
          <w:p>
            <w:pPr>
              <w:spacing w:after="0"/>
              <w:rPr>
                <w:sz w:val="20"/>
                <w:szCs w:val="20"/>
                <w:color w:val="auto"/>
              </w:rPr>
            </w:pPr>
            <w:r>
              <w:rPr>
                <w:rFonts w:ascii="Arial" w:cs="Arial" w:eastAsia="Arial" w:hAnsi="Arial"/>
                <w:sz w:val="13"/>
                <w:szCs w:val="13"/>
                <w:color w:val="auto"/>
              </w:rPr>
              <w:t>Vested</w:t>
            </w:r>
          </w:p>
        </w:tc>
        <w:tc>
          <w:tcPr>
            <w:tcW w:w="800" w:type="dxa"/>
            <w:vAlign w:val="bottom"/>
          </w:tcPr>
          <w:p>
            <w:pPr>
              <w:spacing w:after="0"/>
              <w:rPr>
                <w:sz w:val="14"/>
                <w:szCs w:val="14"/>
                <w:color w:val="auto"/>
              </w:rPr>
            </w:pPr>
          </w:p>
        </w:tc>
        <w:tc>
          <w:tcPr>
            <w:tcW w:w="660" w:type="dxa"/>
            <w:vAlign w:val="bottom"/>
            <w:gridSpan w:val="2"/>
          </w:tcPr>
          <w:p>
            <w:pPr>
              <w:jc w:val="right"/>
              <w:ind w:right="200"/>
              <w:spacing w:after="0"/>
              <w:rPr>
                <w:sz w:val="20"/>
                <w:szCs w:val="20"/>
                <w:color w:val="auto"/>
              </w:rPr>
            </w:pPr>
            <w:r>
              <w:rPr>
                <w:rFonts w:ascii="Arial" w:cs="Arial" w:eastAsia="Arial" w:hAnsi="Arial"/>
                <w:sz w:val="13"/>
                <w:szCs w:val="13"/>
                <w:color w:val="auto"/>
                <w:w w:val="90"/>
              </w:rPr>
              <w:t>(49,055)</w:t>
            </w:r>
          </w:p>
        </w:tc>
        <w:tc>
          <w:tcPr>
            <w:tcW w:w="880" w:type="dxa"/>
            <w:vAlign w:val="bottom"/>
          </w:tcPr>
          <w:p>
            <w:pPr>
              <w:spacing w:after="0"/>
              <w:rPr>
                <w:sz w:val="14"/>
                <w:szCs w:val="14"/>
                <w:color w:val="auto"/>
              </w:rPr>
            </w:pPr>
          </w:p>
        </w:tc>
        <w:tc>
          <w:tcPr>
            <w:tcW w:w="540" w:type="dxa"/>
            <w:vAlign w:val="bottom"/>
            <w:gridSpan w:val="2"/>
          </w:tcPr>
          <w:p>
            <w:pPr>
              <w:jc w:val="right"/>
              <w:ind w:right="220"/>
              <w:spacing w:after="0"/>
              <w:rPr>
                <w:sz w:val="20"/>
                <w:szCs w:val="20"/>
                <w:color w:val="auto"/>
              </w:rPr>
            </w:pPr>
            <w:r>
              <w:rPr>
                <w:rFonts w:ascii="Arial" w:cs="Arial" w:eastAsia="Arial" w:hAnsi="Arial"/>
                <w:sz w:val="13"/>
                <w:szCs w:val="13"/>
                <w:color w:val="auto"/>
                <w:w w:val="92"/>
              </w:rPr>
              <w:t>20.90</w:t>
            </w:r>
          </w:p>
        </w:tc>
        <w:tc>
          <w:tcPr>
            <w:tcW w:w="12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220" w:type="dxa"/>
            <w:vAlign w:val="bottom"/>
          </w:tcPr>
          <w:p>
            <w:pPr>
              <w:spacing w:after="0" w:line="20" w:lineRule="exact"/>
              <w:rPr>
                <w:sz w:val="1"/>
                <w:szCs w:val="1"/>
                <w:color w:val="auto"/>
              </w:rPr>
            </w:pPr>
          </w:p>
        </w:tc>
        <w:tc>
          <w:tcPr>
            <w:tcW w:w="5420" w:type="dxa"/>
            <w:vAlign w:val="bottom"/>
            <w:gridSpan w:val="4"/>
            <w:vMerge w:val="restart"/>
            <w:shd w:val="clear" w:color="auto" w:fill="CCEEFF"/>
          </w:tcPr>
          <w:p>
            <w:pPr>
              <w:spacing w:after="0"/>
              <w:rPr>
                <w:sz w:val="20"/>
                <w:szCs w:val="20"/>
                <w:color w:val="auto"/>
              </w:rPr>
            </w:pPr>
            <w:r>
              <w:rPr>
                <w:rFonts w:ascii="Arial" w:cs="Arial" w:eastAsia="Arial" w:hAnsi="Arial"/>
                <w:sz w:val="13"/>
                <w:szCs w:val="13"/>
                <w:color w:val="auto"/>
              </w:rPr>
              <w:t>Outstanding at December 31, 2018</w:t>
            </w:r>
          </w:p>
        </w:tc>
        <w:tc>
          <w:tcPr>
            <w:tcW w:w="800" w:type="dxa"/>
            <w:vAlign w:val="bottom"/>
            <w:shd w:val="clear" w:color="auto" w:fill="000000"/>
          </w:tcPr>
          <w:p>
            <w:pPr>
              <w:spacing w:after="0" w:line="20" w:lineRule="exact"/>
              <w:rPr>
                <w:sz w:val="1"/>
                <w:szCs w:val="1"/>
                <w:color w:val="auto"/>
              </w:rPr>
            </w:pPr>
          </w:p>
        </w:tc>
        <w:tc>
          <w:tcPr>
            <w:tcW w:w="420" w:type="dxa"/>
            <w:vAlign w:val="bottom"/>
            <w:shd w:val="clear" w:color="auto" w:fill="000000"/>
          </w:tcPr>
          <w:p>
            <w:pPr>
              <w:spacing w:after="0" w:line="20" w:lineRule="exact"/>
              <w:rPr>
                <w:sz w:val="1"/>
                <w:szCs w:val="1"/>
                <w:color w:val="auto"/>
              </w:rPr>
            </w:pPr>
          </w:p>
        </w:tc>
        <w:tc>
          <w:tcPr>
            <w:tcW w:w="240" w:type="dxa"/>
            <w:vAlign w:val="bottom"/>
            <w:shd w:val="clear" w:color="auto" w:fill="CCEEFF"/>
          </w:tcPr>
          <w:p>
            <w:pPr>
              <w:spacing w:after="0" w:line="20" w:lineRule="exact"/>
              <w:rPr>
                <w:sz w:val="1"/>
                <w:szCs w:val="1"/>
                <w:color w:val="auto"/>
              </w:rPr>
            </w:pPr>
          </w:p>
        </w:tc>
        <w:tc>
          <w:tcPr>
            <w:tcW w:w="880" w:type="dxa"/>
            <w:vAlign w:val="bottom"/>
            <w:shd w:val="clear" w:color="auto" w:fill="CCEEFF"/>
          </w:tcPr>
          <w:p>
            <w:pPr>
              <w:spacing w:after="0" w:line="20" w:lineRule="exact"/>
              <w:rPr>
                <w:sz w:val="1"/>
                <w:szCs w:val="1"/>
                <w:color w:val="auto"/>
              </w:rPr>
            </w:pPr>
          </w:p>
        </w:tc>
        <w:tc>
          <w:tcPr>
            <w:tcW w:w="540" w:type="dxa"/>
            <w:vAlign w:val="bottom"/>
            <w:gridSpan w:val="2"/>
            <w:vMerge w:val="restart"/>
            <w:shd w:val="clear" w:color="auto" w:fill="CCEEFF"/>
          </w:tcPr>
          <w:p>
            <w:pPr>
              <w:jc w:val="right"/>
              <w:ind w:right="220"/>
              <w:spacing w:after="0"/>
              <w:rPr>
                <w:sz w:val="20"/>
                <w:szCs w:val="20"/>
                <w:color w:val="auto"/>
              </w:rPr>
            </w:pPr>
            <w:r>
              <w:rPr>
                <w:rFonts w:ascii="Arial" w:cs="Arial" w:eastAsia="Arial" w:hAnsi="Arial"/>
                <w:sz w:val="13"/>
                <w:szCs w:val="13"/>
                <w:color w:val="auto"/>
                <w:w w:val="92"/>
              </w:rPr>
              <w:t>24.86</w:t>
            </w:r>
          </w:p>
        </w:tc>
        <w:tc>
          <w:tcPr>
            <w:tcW w:w="1420" w:type="dxa"/>
            <w:vAlign w:val="bottom"/>
            <w:gridSpan w:val="2"/>
            <w:vMerge w:val="restart"/>
            <w:shd w:val="clear" w:color="auto" w:fill="CCEEFF"/>
          </w:tcPr>
          <w:p>
            <w:pPr>
              <w:ind w:left="680"/>
              <w:spacing w:after="0"/>
              <w:rPr>
                <w:sz w:val="20"/>
                <w:szCs w:val="20"/>
                <w:color w:val="auto"/>
              </w:rPr>
            </w:pPr>
            <w:r>
              <w:rPr>
                <w:rFonts w:ascii="Arial" w:cs="Arial" w:eastAsia="Arial" w:hAnsi="Arial"/>
                <w:sz w:val="13"/>
                <w:szCs w:val="13"/>
                <w:color w:val="auto"/>
              </w:rPr>
              <w:t>2.99 years</w:t>
            </w:r>
          </w:p>
        </w:tc>
        <w:tc>
          <w:tcPr>
            <w:tcW w:w="180" w:type="dxa"/>
            <w:vAlign w:val="bottom"/>
            <w:gridSpan w:val="2"/>
            <w:vMerge w:val="restart"/>
            <w:shd w:val="clear" w:color="auto" w:fill="CCEEFF"/>
          </w:tcPr>
          <w:p>
            <w:pPr>
              <w:jc w:val="right"/>
              <w:ind w:right="93"/>
              <w:spacing w:after="0"/>
              <w:rPr>
                <w:sz w:val="20"/>
                <w:szCs w:val="20"/>
                <w:color w:val="auto"/>
              </w:rPr>
            </w:pPr>
            <w:r>
              <w:rPr>
                <w:rFonts w:ascii="Arial" w:cs="Arial" w:eastAsia="Arial" w:hAnsi="Arial"/>
                <w:sz w:val="10"/>
                <w:szCs w:val="10"/>
                <w:color w:val="auto"/>
                <w:w w:val="71"/>
              </w:rPr>
              <w:t>$</w:t>
            </w:r>
          </w:p>
        </w:tc>
        <w:tc>
          <w:tcPr>
            <w:tcW w:w="1040" w:type="dxa"/>
            <w:vAlign w:val="bottom"/>
            <w:gridSpan w:val="2"/>
            <w:vMerge w:val="restart"/>
            <w:shd w:val="clear" w:color="auto" w:fill="CCEEFF"/>
          </w:tcPr>
          <w:p>
            <w:pPr>
              <w:jc w:val="right"/>
              <w:ind w:right="20"/>
              <w:spacing w:after="0"/>
              <w:rPr>
                <w:sz w:val="20"/>
                <w:szCs w:val="20"/>
                <w:color w:val="auto"/>
              </w:rPr>
            </w:pPr>
            <w:r>
              <w:rPr>
                <w:rFonts w:ascii="Arial" w:cs="Arial" w:eastAsia="Arial" w:hAnsi="Arial"/>
                <w:sz w:val="13"/>
                <w:szCs w:val="13"/>
                <w:color w:val="auto"/>
              </w:rPr>
              <w:t>0</w:t>
            </w:r>
          </w:p>
        </w:tc>
        <w:tc>
          <w:tcPr>
            <w:tcW w:w="8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3"/>
        </w:trPr>
        <w:tc>
          <w:tcPr>
            <w:tcW w:w="220" w:type="dxa"/>
            <w:vAlign w:val="bottom"/>
          </w:tcPr>
          <w:p>
            <w:pPr>
              <w:spacing w:after="0"/>
              <w:rPr>
                <w:sz w:val="15"/>
                <w:szCs w:val="15"/>
                <w:color w:val="auto"/>
              </w:rPr>
            </w:pPr>
          </w:p>
        </w:tc>
        <w:tc>
          <w:tcPr>
            <w:tcW w:w="5420" w:type="dxa"/>
            <w:vAlign w:val="bottom"/>
            <w:gridSpan w:val="4"/>
            <w:vMerge w:val="continue"/>
            <w:shd w:val="clear" w:color="auto" w:fill="CCEEFF"/>
          </w:tcPr>
          <w:p>
            <w:pPr>
              <w:spacing w:after="0"/>
              <w:rPr>
                <w:sz w:val="15"/>
                <w:szCs w:val="15"/>
                <w:color w:val="auto"/>
              </w:rPr>
            </w:pPr>
          </w:p>
        </w:tc>
        <w:tc>
          <w:tcPr>
            <w:tcW w:w="800" w:type="dxa"/>
            <w:vAlign w:val="bottom"/>
            <w:shd w:val="clear" w:color="auto" w:fill="CCEEFF"/>
          </w:tcPr>
          <w:p>
            <w:pPr>
              <w:spacing w:after="0"/>
              <w:rPr>
                <w:sz w:val="15"/>
                <w:szCs w:val="15"/>
                <w:color w:val="auto"/>
              </w:rPr>
            </w:pPr>
          </w:p>
        </w:tc>
        <w:tc>
          <w:tcPr>
            <w:tcW w:w="6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25,162</w:t>
            </w:r>
          </w:p>
        </w:tc>
        <w:tc>
          <w:tcPr>
            <w:tcW w:w="880" w:type="dxa"/>
            <w:vAlign w:val="bottom"/>
            <w:shd w:val="clear" w:color="auto" w:fill="CCEEFF"/>
          </w:tcPr>
          <w:p>
            <w:pPr>
              <w:spacing w:after="0"/>
              <w:rPr>
                <w:sz w:val="15"/>
                <w:szCs w:val="15"/>
                <w:color w:val="auto"/>
              </w:rPr>
            </w:pPr>
          </w:p>
        </w:tc>
        <w:tc>
          <w:tcPr>
            <w:tcW w:w="540" w:type="dxa"/>
            <w:vAlign w:val="bottom"/>
            <w:gridSpan w:val="2"/>
            <w:vMerge w:val="continue"/>
            <w:shd w:val="clear" w:color="auto" w:fill="CCEEFF"/>
          </w:tcPr>
          <w:p>
            <w:pPr>
              <w:spacing w:after="0"/>
              <w:rPr>
                <w:sz w:val="15"/>
                <w:szCs w:val="15"/>
                <w:color w:val="auto"/>
              </w:rPr>
            </w:pPr>
          </w:p>
        </w:tc>
        <w:tc>
          <w:tcPr>
            <w:tcW w:w="1420" w:type="dxa"/>
            <w:vAlign w:val="bottom"/>
            <w:gridSpan w:val="2"/>
            <w:vMerge w:val="continue"/>
            <w:shd w:val="clear" w:color="auto" w:fill="CCEEFF"/>
          </w:tcPr>
          <w:p>
            <w:pPr>
              <w:spacing w:after="0"/>
              <w:rPr>
                <w:sz w:val="15"/>
                <w:szCs w:val="15"/>
                <w:color w:val="auto"/>
              </w:rPr>
            </w:pPr>
          </w:p>
        </w:tc>
        <w:tc>
          <w:tcPr>
            <w:tcW w:w="180" w:type="dxa"/>
            <w:vAlign w:val="bottom"/>
            <w:gridSpan w:val="2"/>
            <w:vMerge w:val="continue"/>
            <w:shd w:val="clear" w:color="auto" w:fill="CCEEFF"/>
          </w:tcPr>
          <w:p>
            <w:pPr>
              <w:spacing w:after="0"/>
              <w:rPr>
                <w:sz w:val="15"/>
                <w:szCs w:val="15"/>
                <w:color w:val="auto"/>
              </w:rPr>
            </w:pPr>
          </w:p>
        </w:tc>
        <w:tc>
          <w:tcPr>
            <w:tcW w:w="1040" w:type="dxa"/>
            <w:vAlign w:val="bottom"/>
            <w:gridSpan w:val="2"/>
            <w:vMerge w:val="continue"/>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52"/>
        </w:trPr>
        <w:tc>
          <w:tcPr>
            <w:tcW w:w="220" w:type="dxa"/>
            <w:vAlign w:val="bottom"/>
          </w:tcPr>
          <w:p>
            <w:pPr>
              <w:spacing w:after="0"/>
              <w:rPr>
                <w:sz w:val="13"/>
                <w:szCs w:val="13"/>
                <w:color w:val="auto"/>
              </w:rPr>
            </w:pPr>
          </w:p>
        </w:tc>
        <w:tc>
          <w:tcPr>
            <w:tcW w:w="5420" w:type="dxa"/>
            <w:vAlign w:val="bottom"/>
            <w:tcBorders>
              <w:top w:val="single" w:sz="8" w:color="CCEEFF"/>
            </w:tcBorders>
            <w:gridSpan w:val="4"/>
          </w:tcPr>
          <w:p>
            <w:pPr>
              <w:spacing w:after="0" w:line="143" w:lineRule="exact"/>
              <w:rPr>
                <w:sz w:val="20"/>
                <w:szCs w:val="20"/>
                <w:color w:val="auto"/>
              </w:rPr>
            </w:pPr>
            <w:r>
              <w:rPr>
                <w:rFonts w:ascii="Arial" w:cs="Arial" w:eastAsia="Arial" w:hAnsi="Arial"/>
                <w:sz w:val="13"/>
                <w:szCs w:val="13"/>
                <w:color w:val="auto"/>
              </w:rPr>
              <w:t>Expected to vest</w:t>
            </w:r>
          </w:p>
        </w:tc>
        <w:tc>
          <w:tcPr>
            <w:tcW w:w="800" w:type="dxa"/>
            <w:vAlign w:val="bottom"/>
            <w:tcBorders>
              <w:top w:val="single" w:sz="8" w:color="auto"/>
              <w:bottom w:val="single" w:sz="8" w:color="auto"/>
            </w:tcBorders>
          </w:tcPr>
          <w:p>
            <w:pPr>
              <w:spacing w:after="0"/>
              <w:rPr>
                <w:sz w:val="13"/>
                <w:szCs w:val="13"/>
                <w:color w:val="auto"/>
              </w:rPr>
            </w:pPr>
          </w:p>
        </w:tc>
        <w:tc>
          <w:tcPr>
            <w:tcW w:w="42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25,162</w:t>
            </w:r>
          </w:p>
        </w:tc>
        <w:tc>
          <w:tcPr>
            <w:tcW w:w="240" w:type="dxa"/>
            <w:vAlign w:val="bottom"/>
            <w:tcBorders>
              <w:top w:val="single" w:sz="8" w:color="CCEEFF"/>
            </w:tcBorders>
          </w:tcPr>
          <w:p>
            <w:pPr>
              <w:spacing w:after="0"/>
              <w:rPr>
                <w:sz w:val="13"/>
                <w:szCs w:val="13"/>
                <w:color w:val="auto"/>
              </w:rPr>
            </w:pPr>
          </w:p>
        </w:tc>
        <w:tc>
          <w:tcPr>
            <w:tcW w:w="880" w:type="dxa"/>
            <w:vAlign w:val="bottom"/>
            <w:tcBorders>
              <w:top w:val="single" w:sz="8" w:color="auto"/>
              <w:bottom w:val="single" w:sz="8" w:color="auto"/>
            </w:tcBorders>
          </w:tcPr>
          <w:p>
            <w:pPr>
              <w:spacing w:after="0"/>
              <w:rPr>
                <w:sz w:val="13"/>
                <w:szCs w:val="13"/>
                <w:color w:val="auto"/>
              </w:rPr>
            </w:pPr>
          </w:p>
        </w:tc>
        <w:tc>
          <w:tcPr>
            <w:tcW w:w="32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w w:val="92"/>
              </w:rPr>
              <w:t>24.86</w:t>
            </w:r>
          </w:p>
        </w:tc>
        <w:tc>
          <w:tcPr>
            <w:tcW w:w="220" w:type="dxa"/>
            <w:vAlign w:val="bottom"/>
            <w:tcBorders>
              <w:top w:val="single" w:sz="8" w:color="CCEEFF"/>
            </w:tcBorders>
          </w:tcPr>
          <w:p>
            <w:pPr>
              <w:spacing w:after="0"/>
              <w:rPr>
                <w:sz w:val="13"/>
                <w:szCs w:val="13"/>
                <w:color w:val="auto"/>
              </w:rPr>
            </w:pPr>
          </w:p>
        </w:tc>
        <w:tc>
          <w:tcPr>
            <w:tcW w:w="1420" w:type="dxa"/>
            <w:vAlign w:val="bottom"/>
            <w:tcBorders>
              <w:top w:val="single" w:sz="8" w:color="CCEEFF"/>
            </w:tcBorders>
            <w:gridSpan w:val="2"/>
          </w:tcPr>
          <w:p>
            <w:pPr>
              <w:ind w:left="680"/>
              <w:spacing w:after="0" w:line="143" w:lineRule="exact"/>
              <w:rPr>
                <w:sz w:val="20"/>
                <w:szCs w:val="20"/>
                <w:color w:val="auto"/>
              </w:rPr>
            </w:pPr>
            <w:r>
              <w:rPr>
                <w:rFonts w:ascii="Arial" w:cs="Arial" w:eastAsia="Arial" w:hAnsi="Arial"/>
                <w:sz w:val="13"/>
                <w:szCs w:val="13"/>
                <w:color w:val="auto"/>
              </w:rPr>
              <w:t>2.99 years</w:t>
            </w:r>
          </w:p>
        </w:tc>
        <w:tc>
          <w:tcPr>
            <w:tcW w:w="20" w:type="dxa"/>
            <w:vAlign w:val="bottom"/>
            <w:tcBorders>
              <w:top w:val="single" w:sz="8" w:color="CCEEFF"/>
              <w:bottom w:val="single" w:sz="8" w:color="auto"/>
            </w:tcBorders>
          </w:tcPr>
          <w:p>
            <w:pPr>
              <w:spacing w:after="0"/>
              <w:rPr>
                <w:sz w:val="13"/>
                <w:szCs w:val="13"/>
                <w:color w:val="auto"/>
              </w:rPr>
            </w:pPr>
          </w:p>
        </w:tc>
        <w:tc>
          <w:tcPr>
            <w:tcW w:w="160" w:type="dxa"/>
            <w:vAlign w:val="bottom"/>
            <w:tcBorders>
              <w:top w:val="single" w:sz="8" w:color="auto"/>
              <w:bottom w:val="single" w:sz="8" w:color="auto"/>
            </w:tcBorders>
          </w:tcPr>
          <w:p>
            <w:pPr>
              <w:jc w:val="right"/>
              <w:ind w:right="93"/>
              <w:spacing w:after="0"/>
              <w:rPr>
                <w:sz w:val="20"/>
                <w:szCs w:val="20"/>
                <w:color w:val="auto"/>
              </w:rPr>
            </w:pPr>
            <w:r>
              <w:rPr>
                <w:rFonts w:ascii="Arial" w:cs="Arial" w:eastAsia="Arial" w:hAnsi="Arial"/>
                <w:sz w:val="5"/>
                <w:szCs w:val="5"/>
                <w:color w:val="auto"/>
                <w:w w:val="70"/>
              </w:rPr>
              <w:t>$</w:t>
            </w:r>
          </w:p>
        </w:tc>
        <w:tc>
          <w:tcPr>
            <w:tcW w:w="102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0</w:t>
            </w:r>
          </w:p>
        </w:tc>
        <w:tc>
          <w:tcPr>
            <w:tcW w:w="20" w:type="dxa"/>
            <w:vAlign w:val="bottom"/>
            <w:tcBorders>
              <w:top w:val="single" w:sz="8" w:color="CCEEFF"/>
              <w:bottom w:val="single" w:sz="8" w:color="auto"/>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0" w:type="dxa"/>
            <w:vAlign w:val="bottom"/>
          </w:tcPr>
          <w:p>
            <w:pPr>
              <w:spacing w:after="0"/>
              <w:rPr>
                <w:sz w:val="1"/>
                <w:szCs w:val="1"/>
                <w:color w:val="auto"/>
              </w:rPr>
            </w:pPr>
          </w:p>
        </w:tc>
      </w:tr>
    </w:tbl>
    <w:p>
      <w:pPr>
        <w:spacing w:after="0" w:line="145" w:lineRule="exact"/>
        <w:rPr>
          <w:sz w:val="20"/>
          <w:szCs w:val="20"/>
          <w:color w:val="auto"/>
        </w:rPr>
      </w:pPr>
    </w:p>
    <w:p>
      <w:pPr>
        <w:ind w:left="220"/>
        <w:spacing w:after="0"/>
        <w:rPr>
          <w:sz w:val="20"/>
          <w:szCs w:val="20"/>
          <w:color w:val="auto"/>
        </w:rPr>
      </w:pPr>
      <w:r>
        <w:rPr>
          <w:rFonts w:ascii="Arial" w:cs="Arial" w:eastAsia="Arial" w:hAnsi="Arial"/>
          <w:sz w:val="13"/>
          <w:szCs w:val="13"/>
          <w:color w:val="auto"/>
        </w:rPr>
        <w:t>The fair value of vested stock during the years 2018 and 2017 is $1.0 million, and $1.4 million, respectively.</w:t>
      </w:r>
    </w:p>
    <w:p>
      <w:pPr>
        <w:spacing w:after="0" w:line="159" w:lineRule="exact"/>
        <w:rPr>
          <w:sz w:val="20"/>
          <w:szCs w:val="20"/>
          <w:color w:val="auto"/>
        </w:rPr>
      </w:pPr>
    </w:p>
    <w:p>
      <w:pPr>
        <w:ind w:left="220"/>
        <w:spacing w:after="0"/>
        <w:rPr>
          <w:sz w:val="20"/>
          <w:szCs w:val="20"/>
          <w:color w:val="auto"/>
        </w:rPr>
      </w:pPr>
      <w:r>
        <w:rPr>
          <w:rFonts w:ascii="Arial" w:cs="Arial" w:eastAsia="Arial" w:hAnsi="Arial"/>
          <w:sz w:val="13"/>
          <w:szCs w:val="13"/>
          <w:i w:val="1"/>
          <w:iCs w:val="1"/>
          <w:color w:val="auto"/>
        </w:rPr>
        <w:t>Stock purchase options</w:t>
      </w:r>
    </w:p>
    <w:p>
      <w:pPr>
        <w:spacing w:after="0" w:line="159" w:lineRule="exact"/>
        <w:rPr>
          <w:sz w:val="20"/>
          <w:szCs w:val="20"/>
          <w:color w:val="auto"/>
        </w:rPr>
      </w:pPr>
    </w:p>
    <w:p>
      <w:pPr>
        <w:ind w:left="220"/>
        <w:spacing w:after="0"/>
        <w:rPr>
          <w:sz w:val="20"/>
          <w:szCs w:val="20"/>
          <w:color w:val="auto"/>
        </w:rPr>
      </w:pPr>
      <w:r>
        <w:rPr>
          <w:rFonts w:ascii="Arial" w:cs="Arial" w:eastAsia="Arial" w:hAnsi="Arial"/>
          <w:sz w:val="13"/>
          <w:szCs w:val="13"/>
          <w:color w:val="auto"/>
        </w:rPr>
        <w:t>The Bank´s policy indicates that options expire seven years after the grant date and are exercisable at a rate of 25% each year on the grant date’s anniversary.</w:t>
      </w:r>
    </w:p>
    <w:p>
      <w:pPr>
        <w:spacing w:after="0" w:line="313" w:lineRule="exact"/>
        <w:rPr>
          <w:sz w:val="20"/>
          <w:szCs w:val="20"/>
          <w:color w:val="auto"/>
        </w:rPr>
      </w:pPr>
    </w:p>
    <w:p>
      <w:pPr>
        <w:jc w:val="center"/>
        <w:ind w:right="-239"/>
        <w:spacing w:after="0"/>
        <w:rPr>
          <w:sz w:val="20"/>
          <w:szCs w:val="20"/>
          <w:color w:val="auto"/>
        </w:rPr>
      </w:pPr>
      <w:r>
        <w:rPr>
          <w:rFonts w:ascii="Arial" w:cs="Arial" w:eastAsia="Arial" w:hAnsi="Arial"/>
          <w:sz w:val="13"/>
          <w:szCs w:val="13"/>
          <w:color w:val="auto"/>
        </w:rPr>
        <w:t>F-79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14605</wp:posOffset>
            </wp:positionV>
            <wp:extent cx="7285990" cy="6350"/>
            <wp:wrapNone/>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34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240"/>
          </w:cols>
          <w:pgMar w:left="220" w:top="685" w:right="439" w:bottom="1440" w:gutter="0" w:footer="0" w:header="0"/>
        </w:sectPr>
      </w:pPr>
    </w:p>
    <w:bookmarkStart w:id="204" w:name="page205"/>
    <w:bookmarkEnd w:id="204"/>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34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23. Cash and stock-based compensation plans (continued)</w:t>
      </w:r>
    </w:p>
    <w:p>
      <w:pPr>
        <w:spacing w:after="0" w:line="163" w:lineRule="exact"/>
        <w:rPr>
          <w:sz w:val="20"/>
          <w:szCs w:val="20"/>
          <w:color w:val="auto"/>
        </w:rPr>
      </w:pPr>
    </w:p>
    <w:p>
      <w:pPr>
        <w:ind w:left="220"/>
        <w:spacing w:after="0"/>
        <w:rPr>
          <w:sz w:val="20"/>
          <w:szCs w:val="20"/>
          <w:color w:val="auto"/>
        </w:rPr>
      </w:pPr>
      <w:r>
        <w:rPr>
          <w:rFonts w:ascii="Arial" w:cs="Arial" w:eastAsia="Arial" w:hAnsi="Arial"/>
          <w:sz w:val="13"/>
          <w:szCs w:val="13"/>
          <w:color w:val="auto"/>
        </w:rPr>
        <w:t xml:space="preserve">A. </w:t>
      </w:r>
      <w:r>
        <w:rPr>
          <w:rFonts w:ascii="Arial" w:cs="Arial" w:eastAsia="Arial" w:hAnsi="Arial"/>
          <w:sz w:val="13"/>
          <w:szCs w:val="13"/>
          <w:u w:val="single" w:color="auto"/>
          <w:color w:val="auto"/>
        </w:rPr>
        <w:t>2015 Stock Incentive Plan – Directors and Executives (continued)</w:t>
      </w:r>
    </w:p>
    <w:p>
      <w:pPr>
        <w:spacing w:after="0" w:line="159" w:lineRule="exact"/>
        <w:rPr>
          <w:sz w:val="20"/>
          <w:szCs w:val="20"/>
          <w:color w:val="auto"/>
        </w:rPr>
      </w:pPr>
    </w:p>
    <w:p>
      <w:pPr>
        <w:ind w:left="220"/>
        <w:spacing w:after="0"/>
        <w:rPr>
          <w:sz w:val="20"/>
          <w:szCs w:val="20"/>
          <w:color w:val="auto"/>
        </w:rPr>
      </w:pPr>
      <w:r>
        <w:rPr>
          <w:rFonts w:ascii="Arial" w:cs="Arial" w:eastAsia="Arial" w:hAnsi="Arial"/>
          <w:sz w:val="13"/>
          <w:szCs w:val="13"/>
          <w:i w:val="1"/>
          <w:iCs w:val="1"/>
          <w:u w:val="single" w:color="auto"/>
          <w:color w:val="auto"/>
        </w:rPr>
        <w:t>Restricted Stock Units and Stock Purchase Options granted to certain Executives (continued)</w:t>
      </w:r>
    </w:p>
    <w:p>
      <w:pPr>
        <w:spacing w:after="0" w:line="159" w:lineRule="exact"/>
        <w:rPr>
          <w:sz w:val="20"/>
          <w:szCs w:val="20"/>
          <w:color w:val="auto"/>
        </w:rPr>
      </w:pPr>
    </w:p>
    <w:p>
      <w:pPr>
        <w:ind w:left="220"/>
        <w:spacing w:after="0"/>
        <w:rPr>
          <w:sz w:val="20"/>
          <w:szCs w:val="20"/>
          <w:color w:val="auto"/>
        </w:rPr>
      </w:pPr>
      <w:r>
        <w:rPr>
          <w:rFonts w:ascii="Arial" w:cs="Arial" w:eastAsia="Arial" w:hAnsi="Arial"/>
          <w:sz w:val="13"/>
          <w:szCs w:val="13"/>
          <w:color w:val="auto"/>
        </w:rPr>
        <w:t>Stock purchase options (continued)</w:t>
      </w:r>
    </w:p>
    <w:p>
      <w:pPr>
        <w:spacing w:after="0" w:line="159" w:lineRule="exact"/>
        <w:rPr>
          <w:sz w:val="20"/>
          <w:szCs w:val="20"/>
          <w:color w:val="auto"/>
        </w:rPr>
      </w:pPr>
    </w:p>
    <w:p>
      <w:pPr>
        <w:jc w:val="both"/>
        <w:ind w:left="220"/>
        <w:spacing w:after="0" w:line="267" w:lineRule="auto"/>
        <w:rPr>
          <w:sz w:val="20"/>
          <w:szCs w:val="20"/>
          <w:color w:val="auto"/>
        </w:rPr>
      </w:pPr>
      <w:r>
        <w:rPr>
          <w:rFonts w:ascii="Arial" w:cs="Arial" w:eastAsia="Arial" w:hAnsi="Arial"/>
          <w:sz w:val="13"/>
          <w:szCs w:val="13"/>
          <w:color w:val="auto"/>
        </w:rPr>
        <w:t>Related cost recognized in profit or loss during 2018, 2017 and 2016 as a result of the amortization of these plans that amounted to $14 thousand, $118 thousand and $251 thousand, respectively. The remaining compensation cost pending amortization of $16 thousand in 2018 will be amortized over a period of 0.11 years.</w:t>
      </w:r>
    </w:p>
    <w:p>
      <w:pPr>
        <w:spacing w:after="0" w:line="129" w:lineRule="exact"/>
        <w:rPr>
          <w:sz w:val="20"/>
          <w:szCs w:val="20"/>
          <w:color w:val="auto"/>
        </w:rPr>
      </w:pPr>
    </w:p>
    <w:tbl>
      <w:tblPr>
        <w:tblLayout w:type="fixed"/>
        <w:tblInd w:w="220" w:type="dxa"/>
        <w:tblCellMar>
          <w:top w:w="0" w:type="dxa"/>
          <w:left w:w="0" w:type="dxa"/>
          <w:bottom w:w="0" w:type="dxa"/>
          <w:right w:w="0" w:type="dxa"/>
        </w:tblCellMar>
      </w:tblPr>
      <w:tr>
        <w:trPr>
          <w:trHeight w:val="162"/>
        </w:trPr>
        <w:tc>
          <w:tcPr>
            <w:tcW w:w="5420" w:type="dxa"/>
            <w:vAlign w:val="bottom"/>
          </w:tcPr>
          <w:p>
            <w:pPr>
              <w:spacing w:after="0"/>
              <w:rPr>
                <w:sz w:val="20"/>
                <w:szCs w:val="20"/>
                <w:color w:val="auto"/>
              </w:rPr>
            </w:pPr>
            <w:r>
              <w:rPr>
                <w:rFonts w:ascii="Arial" w:cs="Arial" w:eastAsia="Arial" w:hAnsi="Arial"/>
                <w:sz w:val="13"/>
                <w:szCs w:val="13"/>
                <w:color w:val="auto"/>
              </w:rPr>
              <w:t>A summary of stock options granted is presented below:</w:t>
            </w:r>
          </w:p>
        </w:tc>
        <w:tc>
          <w:tcPr>
            <w:tcW w:w="12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296"/>
        </w:trPr>
        <w:tc>
          <w:tcPr>
            <w:tcW w:w="542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jc w:val="center"/>
              <w:spacing w:after="0"/>
              <w:rPr>
                <w:sz w:val="20"/>
                <w:szCs w:val="20"/>
                <w:color w:val="auto"/>
              </w:rPr>
            </w:pPr>
            <w:r>
              <w:rPr>
                <w:rFonts w:ascii="Arial" w:cs="Arial" w:eastAsia="Arial" w:hAnsi="Arial"/>
                <w:sz w:val="13"/>
                <w:szCs w:val="13"/>
                <w:b w:val="1"/>
                <w:bCs w:val="1"/>
                <w:color w:val="auto"/>
                <w:w w:val="88"/>
              </w:rPr>
              <w:t>Weighted average</w:t>
            </w:r>
          </w:p>
        </w:tc>
        <w:tc>
          <w:tcPr>
            <w:tcW w:w="2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120" w:type="dxa"/>
            <w:vAlign w:val="bottom"/>
            <w:gridSpan w:val="2"/>
          </w:tcPr>
          <w:p>
            <w:pPr>
              <w:jc w:val="center"/>
              <w:ind w:right="320"/>
              <w:spacing w:after="0"/>
              <w:rPr>
                <w:sz w:val="20"/>
                <w:szCs w:val="20"/>
                <w:color w:val="auto"/>
              </w:rPr>
            </w:pPr>
            <w:r>
              <w:rPr>
                <w:rFonts w:ascii="Arial" w:cs="Arial" w:eastAsia="Arial" w:hAnsi="Arial"/>
                <w:sz w:val="13"/>
                <w:szCs w:val="13"/>
                <w:b w:val="1"/>
                <w:bCs w:val="1"/>
                <w:color w:val="auto"/>
                <w:w w:val="87"/>
              </w:rPr>
              <w:t>Aggregate</w:t>
            </w:r>
          </w:p>
        </w:tc>
      </w:tr>
      <w:tr>
        <w:trPr>
          <w:trHeight w:val="154"/>
        </w:trPr>
        <w:tc>
          <w:tcPr>
            <w:tcW w:w="542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420" w:type="dxa"/>
            <w:vAlign w:val="bottom"/>
            <w:gridSpan w:val="2"/>
          </w:tcPr>
          <w:p>
            <w:pPr>
              <w:jc w:val="right"/>
              <w:ind w:right="340"/>
              <w:spacing w:after="0"/>
              <w:rPr>
                <w:sz w:val="20"/>
                <w:szCs w:val="20"/>
                <w:color w:val="auto"/>
              </w:rPr>
            </w:pPr>
            <w:r>
              <w:rPr>
                <w:rFonts w:ascii="Arial" w:cs="Arial" w:eastAsia="Arial" w:hAnsi="Arial"/>
                <w:sz w:val="13"/>
                <w:szCs w:val="13"/>
                <w:b w:val="1"/>
                <w:bCs w:val="1"/>
                <w:color w:val="auto"/>
                <w:w w:val="95"/>
              </w:rPr>
              <w:t>Weighted average</w:t>
            </w:r>
          </w:p>
        </w:tc>
        <w:tc>
          <w:tcPr>
            <w:tcW w:w="1200" w:type="dxa"/>
            <w:vAlign w:val="bottom"/>
          </w:tcPr>
          <w:p>
            <w:pPr>
              <w:jc w:val="center"/>
              <w:spacing w:after="0"/>
              <w:rPr>
                <w:sz w:val="20"/>
                <w:szCs w:val="20"/>
                <w:color w:val="auto"/>
              </w:rPr>
            </w:pPr>
            <w:r>
              <w:rPr>
                <w:rFonts w:ascii="Arial" w:cs="Arial" w:eastAsia="Arial" w:hAnsi="Arial"/>
                <w:sz w:val="13"/>
                <w:szCs w:val="13"/>
                <w:b w:val="1"/>
                <w:bCs w:val="1"/>
                <w:color w:val="auto"/>
                <w:w w:val="90"/>
              </w:rPr>
              <w:t>remaining</w:t>
            </w:r>
          </w:p>
        </w:tc>
        <w:tc>
          <w:tcPr>
            <w:tcW w:w="2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120" w:type="dxa"/>
            <w:vAlign w:val="bottom"/>
            <w:gridSpan w:val="2"/>
          </w:tcPr>
          <w:p>
            <w:pPr>
              <w:jc w:val="center"/>
              <w:ind w:right="340"/>
              <w:spacing w:after="0"/>
              <w:rPr>
                <w:sz w:val="20"/>
                <w:szCs w:val="20"/>
                <w:color w:val="auto"/>
              </w:rPr>
            </w:pPr>
            <w:r>
              <w:rPr>
                <w:rFonts w:ascii="Arial" w:cs="Arial" w:eastAsia="Arial" w:hAnsi="Arial"/>
                <w:sz w:val="13"/>
                <w:szCs w:val="13"/>
                <w:b w:val="1"/>
                <w:bCs w:val="1"/>
                <w:color w:val="auto"/>
                <w:w w:val="90"/>
              </w:rPr>
              <w:t>intrinsic</w:t>
            </w:r>
          </w:p>
        </w:tc>
      </w:tr>
      <w:tr>
        <w:trPr>
          <w:trHeight w:val="167"/>
        </w:trPr>
        <w:tc>
          <w:tcPr>
            <w:tcW w:w="5420" w:type="dxa"/>
            <w:vAlign w:val="bottom"/>
          </w:tcPr>
          <w:p>
            <w:pPr>
              <w:spacing w:after="0"/>
              <w:rPr>
                <w:sz w:val="14"/>
                <w:szCs w:val="14"/>
                <w:color w:val="auto"/>
              </w:rPr>
            </w:pPr>
          </w:p>
        </w:tc>
        <w:tc>
          <w:tcPr>
            <w:tcW w:w="1460" w:type="dxa"/>
            <w:vAlign w:val="bottom"/>
            <w:gridSpan w:val="2"/>
          </w:tcPr>
          <w:p>
            <w:pPr>
              <w:jc w:val="right"/>
              <w:ind w:right="640"/>
              <w:spacing w:after="0"/>
              <w:rPr>
                <w:sz w:val="20"/>
                <w:szCs w:val="20"/>
                <w:color w:val="auto"/>
              </w:rPr>
            </w:pPr>
            <w:r>
              <w:rPr>
                <w:rFonts w:ascii="Arial" w:cs="Arial" w:eastAsia="Arial" w:hAnsi="Arial"/>
                <w:sz w:val="13"/>
                <w:szCs w:val="13"/>
                <w:b w:val="1"/>
                <w:bCs w:val="1"/>
                <w:color w:val="auto"/>
              </w:rPr>
              <w:t>Options</w:t>
            </w:r>
          </w:p>
        </w:tc>
        <w:tc>
          <w:tcPr>
            <w:tcW w:w="1420" w:type="dxa"/>
            <w:vAlign w:val="bottom"/>
            <w:gridSpan w:val="2"/>
          </w:tcPr>
          <w:p>
            <w:pPr>
              <w:jc w:val="right"/>
              <w:ind w:right="460"/>
              <w:spacing w:after="0"/>
              <w:rPr>
                <w:sz w:val="20"/>
                <w:szCs w:val="20"/>
                <w:color w:val="auto"/>
              </w:rPr>
            </w:pPr>
            <w:r>
              <w:rPr>
                <w:rFonts w:ascii="Arial" w:cs="Arial" w:eastAsia="Arial" w:hAnsi="Arial"/>
                <w:sz w:val="13"/>
                <w:szCs w:val="13"/>
                <w:b w:val="1"/>
                <w:bCs w:val="1"/>
                <w:color w:val="auto"/>
              </w:rPr>
              <w:t>exercise price</w:t>
            </w:r>
          </w:p>
        </w:tc>
        <w:tc>
          <w:tcPr>
            <w:tcW w:w="1200" w:type="dxa"/>
            <w:vAlign w:val="bottom"/>
          </w:tcPr>
          <w:p>
            <w:pPr>
              <w:jc w:val="center"/>
              <w:spacing w:after="0"/>
              <w:rPr>
                <w:sz w:val="20"/>
                <w:szCs w:val="20"/>
                <w:color w:val="auto"/>
              </w:rPr>
            </w:pPr>
            <w:r>
              <w:rPr>
                <w:rFonts w:ascii="Arial" w:cs="Arial" w:eastAsia="Arial" w:hAnsi="Arial"/>
                <w:sz w:val="13"/>
                <w:szCs w:val="13"/>
                <w:b w:val="1"/>
                <w:bCs w:val="1"/>
                <w:color w:val="auto"/>
                <w:w w:val="90"/>
              </w:rPr>
              <w:t>contractual term</w:t>
            </w:r>
          </w:p>
        </w:tc>
        <w:tc>
          <w:tcPr>
            <w:tcW w:w="2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120" w:type="dxa"/>
            <w:vAlign w:val="bottom"/>
            <w:gridSpan w:val="2"/>
          </w:tcPr>
          <w:p>
            <w:pPr>
              <w:ind w:left="260"/>
              <w:spacing w:after="0"/>
              <w:rPr>
                <w:sz w:val="20"/>
                <w:szCs w:val="20"/>
                <w:color w:val="auto"/>
              </w:rPr>
            </w:pPr>
            <w:r>
              <w:rPr>
                <w:rFonts w:ascii="Arial" w:cs="Arial" w:eastAsia="Arial" w:hAnsi="Arial"/>
                <w:sz w:val="13"/>
                <w:szCs w:val="13"/>
                <w:b w:val="1"/>
                <w:bCs w:val="1"/>
                <w:color w:val="auto"/>
              </w:rPr>
              <w:t>value</w:t>
            </w:r>
          </w:p>
        </w:tc>
      </w:tr>
      <w:tr>
        <w:trPr>
          <w:trHeight w:val="144"/>
        </w:trPr>
        <w:tc>
          <w:tcPr>
            <w:tcW w:w="542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color w:val="auto"/>
              </w:rPr>
              <w:t>Outstanding at January 1, 2016</w:t>
            </w:r>
          </w:p>
        </w:tc>
        <w:tc>
          <w:tcPr>
            <w:tcW w:w="12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554,756</w:t>
            </w:r>
          </w:p>
        </w:tc>
        <w:tc>
          <w:tcPr>
            <w:tcW w:w="24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26.36</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102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r>
      <w:tr>
        <w:trPr>
          <w:trHeight w:val="154"/>
        </w:trPr>
        <w:tc>
          <w:tcPr>
            <w:tcW w:w="5420" w:type="dxa"/>
            <w:vAlign w:val="bottom"/>
          </w:tcPr>
          <w:p>
            <w:pPr>
              <w:spacing w:after="0"/>
              <w:rPr>
                <w:sz w:val="20"/>
                <w:szCs w:val="20"/>
                <w:color w:val="auto"/>
              </w:rPr>
            </w:pPr>
            <w:r>
              <w:rPr>
                <w:rFonts w:ascii="Arial" w:cs="Arial" w:eastAsia="Arial" w:hAnsi="Arial"/>
                <w:sz w:val="13"/>
                <w:szCs w:val="13"/>
                <w:color w:val="auto"/>
              </w:rPr>
              <w:t>Granted</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5420" w:type="dxa"/>
            <w:vAlign w:val="bottom"/>
            <w:shd w:val="clear" w:color="auto" w:fill="CCEEFF"/>
          </w:tcPr>
          <w:p>
            <w:pPr>
              <w:spacing w:after="0"/>
              <w:rPr>
                <w:sz w:val="20"/>
                <w:szCs w:val="20"/>
                <w:color w:val="auto"/>
              </w:rPr>
            </w:pPr>
            <w:r>
              <w:rPr>
                <w:rFonts w:ascii="Arial" w:cs="Arial" w:eastAsia="Arial" w:hAnsi="Arial"/>
                <w:sz w:val="13"/>
                <w:szCs w:val="13"/>
                <w:color w:val="auto"/>
              </w:rPr>
              <w:t>Forfeited</w:t>
            </w: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(126)</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18.93</w:t>
            </w:r>
          </w:p>
        </w:tc>
        <w:tc>
          <w:tcPr>
            <w:tcW w:w="12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10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r>
      <w:tr>
        <w:trPr>
          <w:trHeight w:val="164"/>
        </w:trPr>
        <w:tc>
          <w:tcPr>
            <w:tcW w:w="5420" w:type="dxa"/>
            <w:vAlign w:val="bottom"/>
          </w:tcPr>
          <w:p>
            <w:pPr>
              <w:spacing w:after="0"/>
              <w:rPr>
                <w:sz w:val="20"/>
                <w:szCs w:val="20"/>
                <w:color w:val="auto"/>
              </w:rPr>
            </w:pPr>
            <w:r>
              <w:rPr>
                <w:rFonts w:ascii="Arial" w:cs="Arial" w:eastAsia="Arial" w:hAnsi="Arial"/>
                <w:sz w:val="13"/>
                <w:szCs w:val="13"/>
                <w:color w:val="auto"/>
              </w:rPr>
              <w:t>Exercised</w:t>
            </w:r>
          </w:p>
        </w:tc>
        <w:tc>
          <w:tcPr>
            <w:tcW w:w="1460" w:type="dxa"/>
            <w:vAlign w:val="bottom"/>
            <w:gridSpan w:val="2"/>
          </w:tcPr>
          <w:p>
            <w:pPr>
              <w:jc w:val="right"/>
              <w:ind w:right="200"/>
              <w:spacing w:after="0"/>
              <w:rPr>
                <w:sz w:val="20"/>
                <w:szCs w:val="20"/>
                <w:color w:val="auto"/>
              </w:rPr>
            </w:pPr>
            <w:r>
              <w:rPr>
                <w:rFonts w:ascii="Arial" w:cs="Arial" w:eastAsia="Arial" w:hAnsi="Arial"/>
                <w:sz w:val="13"/>
                <w:szCs w:val="13"/>
                <w:color w:val="auto"/>
              </w:rPr>
              <w:t>(68,785)</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22.78</w:t>
            </w:r>
          </w:p>
        </w:tc>
        <w:tc>
          <w:tcPr>
            <w:tcW w:w="12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144"/>
        </w:trPr>
        <w:tc>
          <w:tcPr>
            <w:tcW w:w="5420" w:type="dxa"/>
            <w:vAlign w:val="bottom"/>
            <w:tcBorders>
              <w:top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Outstanding at December 31, 2016</w:t>
            </w:r>
          </w:p>
        </w:tc>
        <w:tc>
          <w:tcPr>
            <w:tcW w:w="12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485,845</w:t>
            </w:r>
          </w:p>
        </w:tc>
        <w:tc>
          <w:tcPr>
            <w:tcW w:w="240" w:type="dxa"/>
            <w:vAlign w:val="bottom"/>
            <w:tcBorders>
              <w:top w:val="single" w:sz="8" w:color="CCEEFF"/>
            </w:tcBorders>
            <w:shd w:val="clear" w:color="auto" w:fill="CCEEFF"/>
          </w:tcPr>
          <w:p>
            <w:pPr>
              <w:spacing w:after="0"/>
              <w:rPr>
                <w:sz w:val="12"/>
                <w:szCs w:val="12"/>
                <w:color w:val="auto"/>
              </w:rPr>
            </w:pPr>
          </w:p>
        </w:tc>
        <w:tc>
          <w:tcPr>
            <w:tcW w:w="1420" w:type="dxa"/>
            <w:vAlign w:val="bottom"/>
            <w:tcBorders>
              <w:top w:val="single" w:sz="8" w:color="CCEEFF"/>
            </w:tcBorders>
            <w:gridSpan w:val="2"/>
            <w:shd w:val="clear" w:color="auto" w:fill="CCEEFF"/>
          </w:tcPr>
          <w:p>
            <w:pPr>
              <w:jc w:val="right"/>
              <w:ind w:right="220"/>
              <w:spacing w:after="0" w:line="143" w:lineRule="exact"/>
              <w:rPr>
                <w:sz w:val="20"/>
                <w:szCs w:val="20"/>
                <w:color w:val="auto"/>
              </w:rPr>
            </w:pPr>
            <w:r>
              <w:rPr>
                <w:rFonts w:ascii="Arial" w:cs="Arial" w:eastAsia="Arial" w:hAnsi="Arial"/>
                <w:sz w:val="13"/>
                <w:szCs w:val="13"/>
                <w:color w:val="auto"/>
              </w:rPr>
              <w:t>26.87</w:t>
            </w:r>
          </w:p>
        </w:tc>
        <w:tc>
          <w:tcPr>
            <w:tcW w:w="120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10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r>
      <w:tr>
        <w:trPr>
          <w:trHeight w:val="154"/>
        </w:trPr>
        <w:tc>
          <w:tcPr>
            <w:tcW w:w="5420" w:type="dxa"/>
            <w:vAlign w:val="bottom"/>
          </w:tcPr>
          <w:p>
            <w:pPr>
              <w:spacing w:after="0"/>
              <w:rPr>
                <w:sz w:val="20"/>
                <w:szCs w:val="20"/>
                <w:color w:val="auto"/>
              </w:rPr>
            </w:pPr>
            <w:r>
              <w:rPr>
                <w:rFonts w:ascii="Arial" w:cs="Arial" w:eastAsia="Arial" w:hAnsi="Arial"/>
                <w:sz w:val="13"/>
                <w:szCs w:val="13"/>
                <w:color w:val="auto"/>
              </w:rPr>
              <w:t>Granted</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5420" w:type="dxa"/>
            <w:vAlign w:val="bottom"/>
            <w:shd w:val="clear" w:color="auto" w:fill="CCEEFF"/>
          </w:tcPr>
          <w:p>
            <w:pPr>
              <w:spacing w:after="0"/>
              <w:rPr>
                <w:sz w:val="20"/>
                <w:szCs w:val="20"/>
                <w:color w:val="auto"/>
              </w:rPr>
            </w:pPr>
            <w:r>
              <w:rPr>
                <w:rFonts w:ascii="Arial" w:cs="Arial" w:eastAsia="Arial" w:hAnsi="Arial"/>
                <w:sz w:val="13"/>
                <w:szCs w:val="13"/>
                <w:color w:val="auto"/>
              </w:rPr>
              <w:t>Forfeited</w:t>
            </w: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(69,934)</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28.63</w:t>
            </w:r>
          </w:p>
        </w:tc>
        <w:tc>
          <w:tcPr>
            <w:tcW w:w="12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10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r>
      <w:tr>
        <w:trPr>
          <w:trHeight w:val="164"/>
        </w:trPr>
        <w:tc>
          <w:tcPr>
            <w:tcW w:w="5420" w:type="dxa"/>
            <w:vAlign w:val="bottom"/>
          </w:tcPr>
          <w:p>
            <w:pPr>
              <w:spacing w:after="0"/>
              <w:rPr>
                <w:sz w:val="20"/>
                <w:szCs w:val="20"/>
                <w:color w:val="auto"/>
              </w:rPr>
            </w:pPr>
            <w:r>
              <w:rPr>
                <w:rFonts w:ascii="Arial" w:cs="Arial" w:eastAsia="Arial" w:hAnsi="Arial"/>
                <w:sz w:val="13"/>
                <w:szCs w:val="13"/>
                <w:color w:val="auto"/>
              </w:rPr>
              <w:t>Exercised</w:t>
            </w:r>
          </w:p>
        </w:tc>
        <w:tc>
          <w:tcPr>
            <w:tcW w:w="1460" w:type="dxa"/>
            <w:vAlign w:val="bottom"/>
            <w:gridSpan w:val="2"/>
          </w:tcPr>
          <w:p>
            <w:pPr>
              <w:jc w:val="right"/>
              <w:ind w:right="200"/>
              <w:spacing w:after="0"/>
              <w:rPr>
                <w:sz w:val="20"/>
                <w:szCs w:val="20"/>
                <w:color w:val="auto"/>
              </w:rPr>
            </w:pPr>
            <w:r>
              <w:rPr>
                <w:rFonts w:ascii="Arial" w:cs="Arial" w:eastAsia="Arial" w:hAnsi="Arial"/>
                <w:sz w:val="13"/>
                <w:szCs w:val="13"/>
                <w:color w:val="auto"/>
              </w:rPr>
              <w:t>(142,268)</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24.84</w:t>
            </w:r>
          </w:p>
        </w:tc>
        <w:tc>
          <w:tcPr>
            <w:tcW w:w="12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144"/>
        </w:trPr>
        <w:tc>
          <w:tcPr>
            <w:tcW w:w="5420" w:type="dxa"/>
            <w:vAlign w:val="bottom"/>
            <w:tcBorders>
              <w:top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Outstanding at December 31, 2017</w:t>
            </w:r>
          </w:p>
        </w:tc>
        <w:tc>
          <w:tcPr>
            <w:tcW w:w="12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273,643</w:t>
            </w:r>
          </w:p>
        </w:tc>
        <w:tc>
          <w:tcPr>
            <w:tcW w:w="240" w:type="dxa"/>
            <w:vAlign w:val="bottom"/>
            <w:tcBorders>
              <w:top w:val="single" w:sz="8" w:color="CCEEFF"/>
            </w:tcBorders>
            <w:shd w:val="clear" w:color="auto" w:fill="CCEEFF"/>
          </w:tcPr>
          <w:p>
            <w:pPr>
              <w:spacing w:after="0"/>
              <w:rPr>
                <w:sz w:val="12"/>
                <w:szCs w:val="12"/>
                <w:color w:val="auto"/>
              </w:rPr>
            </w:pPr>
          </w:p>
        </w:tc>
        <w:tc>
          <w:tcPr>
            <w:tcW w:w="1420" w:type="dxa"/>
            <w:vAlign w:val="bottom"/>
            <w:tcBorders>
              <w:top w:val="single" w:sz="8" w:color="CCEEFF"/>
            </w:tcBorders>
            <w:gridSpan w:val="2"/>
            <w:shd w:val="clear" w:color="auto" w:fill="CCEEFF"/>
          </w:tcPr>
          <w:p>
            <w:pPr>
              <w:jc w:val="right"/>
              <w:ind w:right="220"/>
              <w:spacing w:after="0" w:line="143" w:lineRule="exact"/>
              <w:rPr>
                <w:sz w:val="20"/>
                <w:szCs w:val="20"/>
                <w:color w:val="auto"/>
              </w:rPr>
            </w:pPr>
            <w:r>
              <w:rPr>
                <w:rFonts w:ascii="Arial" w:cs="Arial" w:eastAsia="Arial" w:hAnsi="Arial"/>
                <w:sz w:val="13"/>
                <w:szCs w:val="13"/>
                <w:color w:val="auto"/>
              </w:rPr>
              <w:t>27.48</w:t>
            </w:r>
          </w:p>
        </w:tc>
        <w:tc>
          <w:tcPr>
            <w:tcW w:w="120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10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r>
      <w:tr>
        <w:trPr>
          <w:trHeight w:val="154"/>
        </w:trPr>
        <w:tc>
          <w:tcPr>
            <w:tcW w:w="5420" w:type="dxa"/>
            <w:vAlign w:val="bottom"/>
          </w:tcPr>
          <w:p>
            <w:pPr>
              <w:spacing w:after="0"/>
              <w:rPr>
                <w:sz w:val="20"/>
                <w:szCs w:val="20"/>
                <w:color w:val="auto"/>
              </w:rPr>
            </w:pPr>
            <w:r>
              <w:rPr>
                <w:rFonts w:ascii="Arial" w:cs="Arial" w:eastAsia="Arial" w:hAnsi="Arial"/>
                <w:sz w:val="13"/>
                <w:szCs w:val="13"/>
                <w:color w:val="auto"/>
              </w:rPr>
              <w:t>Granted</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5420" w:type="dxa"/>
            <w:vAlign w:val="bottom"/>
            <w:shd w:val="clear" w:color="auto" w:fill="CCEEFF"/>
          </w:tcPr>
          <w:p>
            <w:pPr>
              <w:spacing w:after="0"/>
              <w:rPr>
                <w:sz w:val="20"/>
                <w:szCs w:val="20"/>
                <w:color w:val="auto"/>
              </w:rPr>
            </w:pPr>
            <w:r>
              <w:rPr>
                <w:rFonts w:ascii="Arial" w:cs="Arial" w:eastAsia="Arial" w:hAnsi="Arial"/>
                <w:sz w:val="13"/>
                <w:szCs w:val="13"/>
                <w:color w:val="auto"/>
              </w:rPr>
              <w:t>Forfeited</w:t>
            </w: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(28,315)</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29.25</w:t>
            </w:r>
          </w:p>
        </w:tc>
        <w:tc>
          <w:tcPr>
            <w:tcW w:w="12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10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r>
      <w:tr>
        <w:trPr>
          <w:trHeight w:val="164"/>
        </w:trPr>
        <w:tc>
          <w:tcPr>
            <w:tcW w:w="5420" w:type="dxa"/>
            <w:vAlign w:val="bottom"/>
          </w:tcPr>
          <w:p>
            <w:pPr>
              <w:spacing w:after="0"/>
              <w:rPr>
                <w:sz w:val="20"/>
                <w:szCs w:val="20"/>
                <w:color w:val="auto"/>
              </w:rPr>
            </w:pPr>
            <w:r>
              <w:rPr>
                <w:rFonts w:ascii="Arial" w:cs="Arial" w:eastAsia="Arial" w:hAnsi="Arial"/>
                <w:sz w:val="13"/>
                <w:szCs w:val="13"/>
                <w:color w:val="auto"/>
              </w:rPr>
              <w:t>Exercised</w:t>
            </w:r>
          </w:p>
        </w:tc>
        <w:tc>
          <w:tcPr>
            <w:tcW w:w="1460" w:type="dxa"/>
            <w:vAlign w:val="bottom"/>
            <w:gridSpan w:val="2"/>
          </w:tcPr>
          <w:p>
            <w:pPr>
              <w:jc w:val="right"/>
              <w:ind w:right="200"/>
              <w:spacing w:after="0"/>
              <w:rPr>
                <w:sz w:val="20"/>
                <w:szCs w:val="20"/>
                <w:color w:val="auto"/>
              </w:rPr>
            </w:pPr>
            <w:r>
              <w:rPr>
                <w:rFonts w:ascii="Arial" w:cs="Arial" w:eastAsia="Arial" w:hAnsi="Arial"/>
                <w:sz w:val="13"/>
                <w:szCs w:val="13"/>
                <w:color w:val="auto"/>
              </w:rPr>
              <w:t>(102,918)</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24.55</w:t>
            </w:r>
          </w:p>
        </w:tc>
        <w:tc>
          <w:tcPr>
            <w:tcW w:w="12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173"/>
        </w:trPr>
        <w:tc>
          <w:tcPr>
            <w:tcW w:w="5420" w:type="dxa"/>
            <w:vAlign w:val="bottom"/>
            <w:tcBorders>
              <w:top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Outstanding at December 31, 2018</w:t>
            </w: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142,410</w:t>
            </w:r>
          </w:p>
        </w:tc>
        <w:tc>
          <w:tcPr>
            <w:tcW w:w="240" w:type="dxa"/>
            <w:vAlign w:val="bottom"/>
            <w:tcBorders>
              <w:top w:val="single" w:sz="8" w:color="CCEEFF"/>
            </w:tcBorders>
            <w:shd w:val="clear" w:color="auto" w:fill="CCEEFF"/>
          </w:tcPr>
          <w:p>
            <w:pPr>
              <w:spacing w:after="0"/>
              <w:rPr>
                <w:sz w:val="15"/>
                <w:szCs w:val="15"/>
                <w:color w:val="auto"/>
              </w:rPr>
            </w:pPr>
          </w:p>
        </w:tc>
        <w:tc>
          <w:tcPr>
            <w:tcW w:w="1420" w:type="dxa"/>
            <w:vAlign w:val="bottom"/>
            <w:tcBorders>
              <w:top w:val="single" w:sz="8" w:color="CCEEFF"/>
            </w:tcBorders>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29.25</w:t>
            </w:r>
          </w:p>
        </w:tc>
        <w:tc>
          <w:tcPr>
            <w:tcW w:w="1200" w:type="dxa"/>
            <w:vAlign w:val="bottom"/>
            <w:tcBorders>
              <w:top w:val="single" w:sz="8" w:color="CCEEFF"/>
            </w:tcBorders>
            <w:shd w:val="clear" w:color="auto" w:fill="CCEEFF"/>
          </w:tcPr>
          <w:p>
            <w:pPr>
              <w:ind w:left="680"/>
              <w:spacing w:after="0"/>
              <w:rPr>
                <w:sz w:val="20"/>
                <w:szCs w:val="20"/>
                <w:color w:val="auto"/>
              </w:rPr>
            </w:pPr>
            <w:r>
              <w:rPr>
                <w:rFonts w:ascii="Arial" w:cs="Arial" w:eastAsia="Arial" w:hAnsi="Arial"/>
                <w:sz w:val="13"/>
                <w:szCs w:val="13"/>
                <w:color w:val="auto"/>
                <w:w w:val="82"/>
              </w:rPr>
              <w:t>3.11 years</w:t>
            </w:r>
          </w:p>
        </w:tc>
        <w:tc>
          <w:tcPr>
            <w:tcW w:w="400" w:type="dxa"/>
            <w:vAlign w:val="bottom"/>
            <w:tcBorders>
              <w:top w:val="single" w:sz="8" w:color="CCEEFF"/>
            </w:tcBorders>
            <w:gridSpan w:val="2"/>
            <w:shd w:val="clear" w:color="auto" w:fill="CCEEFF"/>
          </w:tcPr>
          <w:p>
            <w:pPr>
              <w:jc w:val="right"/>
              <w:ind w:right="72"/>
              <w:spacing w:after="0"/>
              <w:rPr>
                <w:sz w:val="20"/>
                <w:szCs w:val="20"/>
                <w:color w:val="auto"/>
              </w:rPr>
            </w:pPr>
            <w:r>
              <w:rPr>
                <w:rFonts w:ascii="Arial" w:cs="Arial" w:eastAsia="Arial" w:hAnsi="Arial"/>
                <w:sz w:val="13"/>
                <w:szCs w:val="13"/>
                <w:color w:val="auto"/>
              </w:rPr>
              <w:t>$</w:t>
            </w:r>
          </w:p>
        </w:tc>
        <w:tc>
          <w:tcPr>
            <w:tcW w:w="1120" w:type="dxa"/>
            <w:vAlign w:val="bottom"/>
            <w:tcBorders>
              <w:top w:val="single" w:sz="8" w:color="CCEEFF"/>
            </w:tcBorders>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w:t>
            </w:r>
          </w:p>
        </w:tc>
      </w:tr>
      <w:tr>
        <w:trPr>
          <w:trHeight w:val="152"/>
        </w:trPr>
        <w:tc>
          <w:tcPr>
            <w:tcW w:w="5420" w:type="dxa"/>
            <w:vAlign w:val="bottom"/>
            <w:tcBorders>
              <w:top w:val="single" w:sz="8" w:color="CCEEFF"/>
              <w:bottom w:val="single" w:sz="8" w:color="CCEEFF"/>
            </w:tcBorders>
          </w:tcPr>
          <w:p>
            <w:pPr>
              <w:spacing w:after="0" w:line="143" w:lineRule="exact"/>
              <w:rPr>
                <w:sz w:val="20"/>
                <w:szCs w:val="20"/>
                <w:color w:val="auto"/>
              </w:rPr>
            </w:pPr>
            <w:r>
              <w:rPr>
                <w:rFonts w:ascii="Arial" w:cs="Arial" w:eastAsia="Arial" w:hAnsi="Arial"/>
                <w:sz w:val="13"/>
                <w:szCs w:val="13"/>
                <w:color w:val="auto"/>
              </w:rPr>
              <w:t>Exercisable</w:t>
            </w:r>
          </w:p>
        </w:tc>
        <w:tc>
          <w:tcPr>
            <w:tcW w:w="122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142,410</w:t>
            </w:r>
          </w:p>
        </w:tc>
        <w:tc>
          <w:tcPr>
            <w:tcW w:w="240" w:type="dxa"/>
            <w:vAlign w:val="bottom"/>
            <w:tcBorders>
              <w:top w:val="single" w:sz="8" w:color="CCEEFF"/>
              <w:bottom w:val="single" w:sz="8" w:color="CCEEFF"/>
            </w:tcBorders>
          </w:tcPr>
          <w:p>
            <w:pPr>
              <w:spacing w:after="0"/>
              <w:rPr>
                <w:sz w:val="13"/>
                <w:szCs w:val="13"/>
                <w:color w:val="auto"/>
              </w:rPr>
            </w:pPr>
          </w:p>
        </w:tc>
        <w:tc>
          <w:tcPr>
            <w:tcW w:w="120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29.25</w:t>
            </w:r>
          </w:p>
        </w:tc>
        <w:tc>
          <w:tcPr>
            <w:tcW w:w="220" w:type="dxa"/>
            <w:vAlign w:val="bottom"/>
            <w:tcBorders>
              <w:top w:val="single" w:sz="8" w:color="CCEEFF"/>
              <w:bottom w:val="single" w:sz="8" w:color="CCEEFF"/>
            </w:tcBorders>
          </w:tcPr>
          <w:p>
            <w:pPr>
              <w:spacing w:after="0"/>
              <w:rPr>
                <w:sz w:val="13"/>
                <w:szCs w:val="13"/>
                <w:color w:val="auto"/>
              </w:rPr>
            </w:pPr>
          </w:p>
        </w:tc>
        <w:tc>
          <w:tcPr>
            <w:tcW w:w="1200" w:type="dxa"/>
            <w:vAlign w:val="bottom"/>
            <w:tcBorders>
              <w:top w:val="single" w:sz="8" w:color="CCEEFF"/>
              <w:bottom w:val="single" w:sz="8" w:color="CCEEFF"/>
            </w:tcBorders>
          </w:tcPr>
          <w:p>
            <w:pPr>
              <w:ind w:left="680"/>
              <w:spacing w:after="0" w:line="143" w:lineRule="exact"/>
              <w:rPr>
                <w:sz w:val="20"/>
                <w:szCs w:val="20"/>
                <w:color w:val="auto"/>
              </w:rPr>
            </w:pPr>
            <w:r>
              <w:rPr>
                <w:rFonts w:ascii="Arial" w:cs="Arial" w:eastAsia="Arial" w:hAnsi="Arial"/>
                <w:sz w:val="13"/>
                <w:szCs w:val="13"/>
                <w:color w:val="auto"/>
                <w:w w:val="82"/>
              </w:rPr>
              <w:t>3.11 years</w:t>
            </w:r>
          </w:p>
        </w:tc>
        <w:tc>
          <w:tcPr>
            <w:tcW w:w="220" w:type="dxa"/>
            <w:vAlign w:val="bottom"/>
            <w:tcBorders>
              <w:top w:val="single" w:sz="8" w:color="CCEEFF"/>
              <w:bottom w:val="single" w:sz="8" w:color="CCEEFF"/>
            </w:tcBorders>
          </w:tcPr>
          <w:p>
            <w:pPr>
              <w:spacing w:after="0"/>
              <w:rPr>
                <w:sz w:val="13"/>
                <w:szCs w:val="13"/>
                <w:color w:val="auto"/>
              </w:rPr>
            </w:pPr>
          </w:p>
        </w:tc>
        <w:tc>
          <w:tcPr>
            <w:tcW w:w="180" w:type="dxa"/>
            <w:vAlign w:val="bottom"/>
            <w:tcBorders>
              <w:top w:val="single" w:sz="8" w:color="auto"/>
              <w:bottom w:val="single" w:sz="8" w:color="auto"/>
            </w:tcBorders>
          </w:tcPr>
          <w:p>
            <w:pPr>
              <w:jc w:val="right"/>
              <w:ind w:right="72"/>
              <w:spacing w:after="0"/>
              <w:rPr>
                <w:sz w:val="20"/>
                <w:szCs w:val="20"/>
                <w:color w:val="auto"/>
              </w:rPr>
            </w:pPr>
            <w:r>
              <w:rPr>
                <w:rFonts w:ascii="Arial" w:cs="Arial" w:eastAsia="Arial" w:hAnsi="Arial"/>
                <w:sz w:val="10"/>
                <w:szCs w:val="10"/>
                <w:color w:val="auto"/>
                <w:w w:val="71"/>
              </w:rPr>
              <w:t>$</w:t>
            </w:r>
          </w:p>
        </w:tc>
        <w:tc>
          <w:tcPr>
            <w:tcW w:w="102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0</w:t>
            </w:r>
          </w:p>
        </w:tc>
        <w:tc>
          <w:tcPr>
            <w:tcW w:w="100" w:type="dxa"/>
            <w:vAlign w:val="bottom"/>
            <w:tcBorders>
              <w:top w:val="single" w:sz="8" w:color="CCEEFF"/>
              <w:bottom w:val="single" w:sz="8" w:color="CCEEFF"/>
            </w:tcBorders>
          </w:tcPr>
          <w:p>
            <w:pPr>
              <w:spacing w:after="0"/>
              <w:rPr>
                <w:sz w:val="13"/>
                <w:szCs w:val="13"/>
                <w:color w:val="auto"/>
              </w:rPr>
            </w:pPr>
          </w:p>
        </w:tc>
      </w:tr>
      <w:tr>
        <w:trPr>
          <w:trHeight w:val="163"/>
        </w:trPr>
        <w:tc>
          <w:tcPr>
            <w:tcW w:w="5420" w:type="dxa"/>
            <w:vAlign w:val="bottom"/>
            <w:tcBorders>
              <w:bottom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Expected to vest</w:t>
            </w: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142,410</w:t>
            </w:r>
          </w:p>
        </w:tc>
        <w:tc>
          <w:tcPr>
            <w:tcW w:w="240" w:type="dxa"/>
            <w:vAlign w:val="bottom"/>
            <w:tcBorders>
              <w:bottom w:val="single" w:sz="8" w:color="CCEEFF"/>
            </w:tcBorders>
            <w:shd w:val="clear" w:color="auto" w:fill="CCEEFF"/>
          </w:tcPr>
          <w:p>
            <w:pPr>
              <w:spacing w:after="0"/>
              <w:rPr>
                <w:sz w:val="14"/>
                <w:szCs w:val="14"/>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29.25</w:t>
            </w:r>
          </w:p>
        </w:tc>
        <w:tc>
          <w:tcPr>
            <w:tcW w:w="220" w:type="dxa"/>
            <w:vAlign w:val="bottom"/>
            <w:tcBorders>
              <w:bottom w:val="single" w:sz="8" w:color="CCEEFF"/>
            </w:tcBorders>
            <w:shd w:val="clear" w:color="auto" w:fill="CCEEFF"/>
          </w:tcPr>
          <w:p>
            <w:pPr>
              <w:spacing w:after="0"/>
              <w:rPr>
                <w:sz w:val="14"/>
                <w:szCs w:val="14"/>
                <w:color w:val="auto"/>
              </w:rPr>
            </w:pPr>
          </w:p>
        </w:tc>
        <w:tc>
          <w:tcPr>
            <w:tcW w:w="1200" w:type="dxa"/>
            <w:vAlign w:val="bottom"/>
            <w:tcBorders>
              <w:bottom w:val="single" w:sz="8" w:color="CCEEFF"/>
            </w:tcBorders>
            <w:shd w:val="clear" w:color="auto" w:fill="CCEEFF"/>
          </w:tcPr>
          <w:p>
            <w:pPr>
              <w:ind w:left="680"/>
              <w:spacing w:after="0"/>
              <w:rPr>
                <w:sz w:val="20"/>
                <w:szCs w:val="20"/>
                <w:color w:val="auto"/>
              </w:rPr>
            </w:pPr>
            <w:r>
              <w:rPr>
                <w:rFonts w:ascii="Arial" w:cs="Arial" w:eastAsia="Arial" w:hAnsi="Arial"/>
                <w:sz w:val="13"/>
                <w:szCs w:val="13"/>
                <w:color w:val="auto"/>
                <w:w w:val="82"/>
              </w:rPr>
              <w:t>3.11 years</w:t>
            </w:r>
          </w:p>
        </w:tc>
        <w:tc>
          <w:tcPr>
            <w:tcW w:w="220" w:type="dxa"/>
            <w:vAlign w:val="bottom"/>
            <w:tcBorders>
              <w:bottom w:val="single" w:sz="8" w:color="CCEEFF"/>
            </w:tcBorders>
            <w:shd w:val="clear" w:color="auto" w:fill="CCEEFF"/>
          </w:tcPr>
          <w:p>
            <w:pPr>
              <w:spacing w:after="0"/>
              <w:rPr>
                <w:sz w:val="14"/>
                <w:szCs w:val="14"/>
                <w:color w:val="auto"/>
              </w:rPr>
            </w:pPr>
          </w:p>
        </w:tc>
        <w:tc>
          <w:tcPr>
            <w:tcW w:w="180" w:type="dxa"/>
            <w:vAlign w:val="bottom"/>
            <w:tcBorders>
              <w:bottom w:val="single" w:sz="8" w:color="auto"/>
            </w:tcBorders>
            <w:shd w:val="clear" w:color="auto" w:fill="CCEEFF"/>
          </w:tcPr>
          <w:p>
            <w:pPr>
              <w:jc w:val="right"/>
              <w:ind w:right="72"/>
              <w:spacing w:after="0"/>
              <w:rPr>
                <w:sz w:val="20"/>
                <w:szCs w:val="20"/>
                <w:color w:val="auto"/>
              </w:rPr>
            </w:pPr>
            <w:r>
              <w:rPr>
                <w:rFonts w:ascii="Arial" w:cs="Arial" w:eastAsia="Arial" w:hAnsi="Arial"/>
                <w:sz w:val="10"/>
                <w:szCs w:val="10"/>
                <w:color w:val="auto"/>
                <w:w w:val="71"/>
              </w:rPr>
              <w:t>$</w:t>
            </w:r>
          </w:p>
        </w:tc>
        <w:tc>
          <w:tcPr>
            <w:tcW w:w="10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0</w:t>
            </w:r>
          </w:p>
        </w:tc>
        <w:tc>
          <w:tcPr>
            <w:tcW w:w="100" w:type="dxa"/>
            <w:vAlign w:val="bottom"/>
            <w:tcBorders>
              <w:bottom w:val="single" w:sz="8" w:color="CCEEFF"/>
            </w:tcBorders>
            <w:shd w:val="clear" w:color="auto" w:fill="CCEEFF"/>
          </w:tcPr>
          <w:p>
            <w:pPr>
              <w:spacing w:after="0"/>
              <w:rPr>
                <w:sz w:val="14"/>
                <w:szCs w:val="14"/>
                <w:color w:val="auto"/>
              </w:rPr>
            </w:pPr>
          </w:p>
        </w:tc>
      </w:tr>
    </w:tbl>
    <w:p>
      <w:pPr>
        <w:spacing w:after="0" w:line="145" w:lineRule="exact"/>
        <w:rPr>
          <w:sz w:val="20"/>
          <w:szCs w:val="20"/>
          <w:color w:val="auto"/>
        </w:rPr>
      </w:pPr>
    </w:p>
    <w:p>
      <w:pPr>
        <w:jc w:val="both"/>
        <w:ind w:left="220"/>
        <w:spacing w:after="0" w:line="267" w:lineRule="auto"/>
        <w:rPr>
          <w:sz w:val="20"/>
          <w:szCs w:val="20"/>
          <w:color w:val="auto"/>
        </w:rPr>
      </w:pPr>
      <w:r>
        <w:rPr>
          <w:rFonts w:ascii="Arial" w:cs="Arial" w:eastAsia="Arial" w:hAnsi="Arial"/>
          <w:sz w:val="13"/>
          <w:szCs w:val="13"/>
          <w:color w:val="auto"/>
        </w:rPr>
        <w:t>The intrinsic value of exercised options during the years 2018 and 2017 was $406 and $593, respectively. During the years 2018 and 2016 the Bank received $2.5 million and $3.5 million, respectively, from exercised options.</w:t>
      </w:r>
    </w:p>
    <w:p>
      <w:pPr>
        <w:spacing w:after="0" w:line="129" w:lineRule="exact"/>
        <w:rPr>
          <w:sz w:val="20"/>
          <w:szCs w:val="20"/>
          <w:color w:val="auto"/>
        </w:rPr>
      </w:pPr>
    </w:p>
    <w:p>
      <w:pPr>
        <w:ind w:left="220"/>
        <w:spacing w:after="0"/>
        <w:rPr>
          <w:sz w:val="20"/>
          <w:szCs w:val="20"/>
          <w:color w:val="auto"/>
        </w:rPr>
      </w:pPr>
      <w:r>
        <w:rPr>
          <w:rFonts w:ascii="Arial" w:cs="Arial" w:eastAsia="Arial" w:hAnsi="Arial"/>
          <w:sz w:val="13"/>
          <w:szCs w:val="13"/>
          <w:color w:val="auto"/>
        </w:rPr>
        <w:t xml:space="preserve">B. </w:t>
      </w:r>
      <w:r>
        <w:rPr>
          <w:rFonts w:ascii="Arial" w:cs="Arial" w:eastAsia="Arial" w:hAnsi="Arial"/>
          <w:sz w:val="13"/>
          <w:szCs w:val="13"/>
          <w:u w:val="single" w:color="auto"/>
          <w:color w:val="auto"/>
        </w:rPr>
        <w:t>Other plans - Expatriate Top Executives Plan</w:t>
      </w:r>
    </w:p>
    <w:p>
      <w:pPr>
        <w:spacing w:after="0" w:line="159" w:lineRule="exact"/>
        <w:rPr>
          <w:sz w:val="20"/>
          <w:szCs w:val="20"/>
          <w:color w:val="auto"/>
        </w:rPr>
      </w:pPr>
    </w:p>
    <w:p>
      <w:pPr>
        <w:jc w:val="both"/>
        <w:ind w:left="220"/>
        <w:spacing w:after="0" w:line="254" w:lineRule="auto"/>
        <w:rPr>
          <w:sz w:val="20"/>
          <w:szCs w:val="20"/>
          <w:color w:val="auto"/>
        </w:rPr>
      </w:pPr>
      <w:r>
        <w:rPr>
          <w:rFonts w:ascii="Arial" w:cs="Arial" w:eastAsia="Arial" w:hAnsi="Arial"/>
          <w:sz w:val="13"/>
          <w:szCs w:val="13"/>
          <w:color w:val="auto"/>
        </w:rPr>
        <w:t>The Bank sponsors a defined contribution plan for its expatriate top executives based in Panama, which are not eligible to participate in the Panamanian social security system. The Bank’s contributions are determined as a percentage of the annual salaries of top executives eligible for the plan, each contributing an additional amount withheld from their salary. Contributions to this plan are managed by a fund manager through a trust. The executives are entitled to the Bank’s contributions after completing at least three years of service in the Bank. During the years 2018, 2017 and 2016, the Bank charged to salaries expense $102 thousand, $163 thousand and $121 thousand, respectively, that correspond to the Bank’s contributions to this plan.</w:t>
      </w:r>
    </w:p>
    <w:p>
      <w:pPr>
        <w:spacing w:after="0" w:line="291"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F-80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14605</wp:posOffset>
            </wp:positionV>
            <wp:extent cx="7285990" cy="6350"/>
            <wp:wrapNone/>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34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85" w:right="219" w:bottom="1440" w:gutter="0" w:footer="0" w:header="0"/>
        </w:sectPr>
      </w:pPr>
    </w:p>
    <w:bookmarkStart w:id="205" w:name="page206"/>
    <w:bookmarkEnd w:id="205"/>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34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170"/>
        </w:numPr>
        <w:rPr>
          <w:rFonts w:ascii="Arial" w:cs="Arial" w:eastAsia="Arial" w:hAnsi="Arial"/>
          <w:sz w:val="13"/>
          <w:szCs w:val="13"/>
          <w:b w:val="1"/>
          <w:bCs w:val="1"/>
          <w:color w:val="auto"/>
        </w:rPr>
      </w:pPr>
      <w:r>
        <w:rPr>
          <w:rFonts w:ascii="Arial" w:cs="Arial" w:eastAsia="Arial" w:hAnsi="Arial"/>
          <w:sz w:val="13"/>
          <w:szCs w:val="13"/>
          <w:b w:val="1"/>
          <w:bCs w:val="1"/>
          <w:color w:val="auto"/>
        </w:rPr>
        <w:t>Fees and commission income</w:t>
      </w:r>
    </w:p>
    <w:p>
      <w:pPr>
        <w:spacing w:after="0" w:line="164"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Fees and commission income from contracts with customers broken down by main types of services according to the scope of IFRS 15, beginning after January 1</w:t>
      </w:r>
      <w:r>
        <w:rPr>
          <w:rFonts w:ascii="Arial" w:cs="Arial" w:eastAsia="Arial" w:hAnsi="Arial"/>
          <w:sz w:val="21"/>
          <w:szCs w:val="21"/>
          <w:color w:val="auto"/>
          <w:vertAlign w:val="superscript"/>
        </w:rPr>
        <w:t>st</w:t>
      </w:r>
      <w:r>
        <w:rPr>
          <w:rFonts w:ascii="Arial" w:cs="Arial" w:eastAsia="Arial" w:hAnsi="Arial"/>
          <w:sz w:val="13"/>
          <w:szCs w:val="13"/>
          <w:color w:val="auto"/>
        </w:rPr>
        <w:t>, 2018, are detailed below:</w:t>
      </w:r>
    </w:p>
    <w:p>
      <w:pPr>
        <w:spacing w:after="0" w:line="99" w:lineRule="exact"/>
        <w:rPr>
          <w:sz w:val="20"/>
          <w:szCs w:val="20"/>
          <w:color w:val="auto"/>
        </w:rPr>
      </w:pPr>
    </w:p>
    <w:tbl>
      <w:tblPr>
        <w:tblLayout w:type="fixed"/>
        <w:tblInd w:w="223"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2520" w:type="dxa"/>
            <w:vAlign w:val="bottom"/>
          </w:tcPr>
          <w:p>
            <w:pPr>
              <w:spacing w:after="0"/>
              <w:rPr>
                <w:sz w:val="14"/>
                <w:szCs w:val="14"/>
                <w:color w:val="auto"/>
              </w:rPr>
            </w:pPr>
          </w:p>
        </w:tc>
        <w:tc>
          <w:tcPr>
            <w:tcW w:w="124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22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40" w:type="dxa"/>
            <w:vAlign w:val="bottom"/>
            <w:tcBorders>
              <w:bottom w:val="single" w:sz="8" w:color="auto"/>
            </w:tcBorders>
          </w:tcPr>
          <w:p>
            <w:pPr>
              <w:spacing w:after="0"/>
              <w:rPr>
                <w:sz w:val="14"/>
                <w:szCs w:val="14"/>
                <w:color w:val="auto"/>
              </w:rPr>
            </w:pPr>
          </w:p>
        </w:tc>
        <w:tc>
          <w:tcPr>
            <w:tcW w:w="2840" w:type="dxa"/>
            <w:vAlign w:val="bottom"/>
            <w:tcBorders>
              <w:bottom w:val="single" w:sz="8" w:color="auto"/>
            </w:tcBorders>
            <w:gridSpan w:val="6"/>
          </w:tcPr>
          <w:p>
            <w:pPr>
              <w:jc w:val="right"/>
              <w:ind w:right="1040"/>
              <w:spacing w:after="0"/>
              <w:rPr>
                <w:sz w:val="20"/>
                <w:szCs w:val="20"/>
                <w:color w:val="auto"/>
              </w:rPr>
            </w:pPr>
            <w:r>
              <w:rPr>
                <w:rFonts w:ascii="Arial" w:cs="Arial" w:eastAsia="Arial" w:hAnsi="Arial"/>
                <w:sz w:val="13"/>
                <w:szCs w:val="13"/>
                <w:b w:val="1"/>
                <w:bCs w:val="1"/>
                <w:color w:val="auto"/>
              </w:rPr>
              <w:t>December 31, 2018</w:t>
            </w:r>
          </w:p>
        </w:tc>
        <w:tc>
          <w:tcPr>
            <w:tcW w:w="12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20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1"/>
        </w:trPr>
        <w:tc>
          <w:tcPr>
            <w:tcW w:w="20" w:type="dxa"/>
            <w:vAlign w:val="bottom"/>
          </w:tcPr>
          <w:p>
            <w:pPr>
              <w:spacing w:after="0"/>
              <w:rPr>
                <w:sz w:val="11"/>
                <w:szCs w:val="11"/>
                <w:color w:val="auto"/>
              </w:rPr>
            </w:pPr>
          </w:p>
        </w:tc>
        <w:tc>
          <w:tcPr>
            <w:tcW w:w="2520" w:type="dxa"/>
            <w:vAlign w:val="bottom"/>
          </w:tcPr>
          <w:p>
            <w:pPr>
              <w:spacing w:after="0"/>
              <w:rPr>
                <w:sz w:val="11"/>
                <w:szCs w:val="11"/>
                <w:color w:val="auto"/>
              </w:rPr>
            </w:pPr>
          </w:p>
        </w:tc>
        <w:tc>
          <w:tcPr>
            <w:tcW w:w="12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440" w:type="dxa"/>
            <w:vAlign w:val="bottom"/>
            <w:gridSpan w:val="4"/>
          </w:tcPr>
          <w:p>
            <w:pPr>
              <w:jc w:val="center"/>
              <w:ind w:right="220"/>
              <w:spacing w:after="0" w:line="131" w:lineRule="exact"/>
              <w:rPr>
                <w:sz w:val="20"/>
                <w:szCs w:val="20"/>
                <w:color w:val="auto"/>
              </w:rPr>
            </w:pPr>
            <w:r>
              <w:rPr>
                <w:rFonts w:ascii="Arial" w:cs="Arial" w:eastAsia="Arial" w:hAnsi="Arial"/>
                <w:sz w:val="13"/>
                <w:szCs w:val="13"/>
                <w:b w:val="1"/>
                <w:bCs w:val="1"/>
                <w:color w:val="auto"/>
                <w:w w:val="89"/>
              </w:rPr>
              <w:t>Stand-by</w:t>
            </w:r>
          </w:p>
        </w:tc>
        <w:tc>
          <w:tcPr>
            <w:tcW w:w="11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5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60" w:type="dxa"/>
            <w:vAlign w:val="bottom"/>
            <w:gridSpan w:val="3"/>
          </w:tcPr>
          <w:p>
            <w:pPr>
              <w:jc w:val="center"/>
              <w:ind w:right="240"/>
              <w:spacing w:after="0"/>
              <w:rPr>
                <w:sz w:val="20"/>
                <w:szCs w:val="20"/>
                <w:color w:val="auto"/>
              </w:rPr>
            </w:pPr>
            <w:r>
              <w:rPr>
                <w:rFonts w:ascii="Arial" w:cs="Arial" w:eastAsia="Arial" w:hAnsi="Arial"/>
                <w:sz w:val="13"/>
                <w:szCs w:val="13"/>
                <w:b w:val="1"/>
                <w:bCs w:val="1"/>
                <w:color w:val="auto"/>
                <w:w w:val="89"/>
              </w:rPr>
              <w:t>Documentary</w:t>
            </w:r>
          </w:p>
        </w:tc>
        <w:tc>
          <w:tcPr>
            <w:tcW w:w="1440" w:type="dxa"/>
            <w:vAlign w:val="bottom"/>
            <w:gridSpan w:val="4"/>
          </w:tcPr>
          <w:p>
            <w:pPr>
              <w:jc w:val="center"/>
              <w:ind w:right="240"/>
              <w:spacing w:after="0"/>
              <w:rPr>
                <w:sz w:val="20"/>
                <w:szCs w:val="20"/>
                <w:color w:val="auto"/>
              </w:rPr>
            </w:pPr>
            <w:r>
              <w:rPr>
                <w:rFonts w:ascii="Arial" w:cs="Arial" w:eastAsia="Arial" w:hAnsi="Arial"/>
                <w:sz w:val="13"/>
                <w:szCs w:val="13"/>
                <w:b w:val="1"/>
                <w:bCs w:val="1"/>
                <w:color w:val="auto"/>
                <w:w w:val="87"/>
              </w:rPr>
              <w:t>letters of</w:t>
            </w:r>
          </w:p>
        </w:tc>
        <w:tc>
          <w:tcPr>
            <w:tcW w:w="11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520" w:type="dxa"/>
            <w:vAlign w:val="bottom"/>
          </w:tcPr>
          <w:p>
            <w:pPr>
              <w:spacing w:after="0"/>
              <w:rPr>
                <w:sz w:val="13"/>
                <w:szCs w:val="13"/>
                <w:color w:val="auto"/>
              </w:rPr>
            </w:pPr>
          </w:p>
        </w:tc>
        <w:tc>
          <w:tcPr>
            <w:tcW w:w="146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6"/>
              </w:rPr>
              <w:t>Syndicated</w:t>
            </w:r>
          </w:p>
        </w:tc>
        <w:tc>
          <w:tcPr>
            <w:tcW w:w="1460" w:type="dxa"/>
            <w:vAlign w:val="bottom"/>
            <w:gridSpan w:val="3"/>
          </w:tcPr>
          <w:p>
            <w:pPr>
              <w:jc w:val="center"/>
              <w:ind w:right="220"/>
              <w:spacing w:after="0"/>
              <w:rPr>
                <w:sz w:val="20"/>
                <w:szCs w:val="20"/>
                <w:color w:val="auto"/>
              </w:rPr>
            </w:pPr>
            <w:r>
              <w:rPr>
                <w:rFonts w:ascii="Arial" w:cs="Arial" w:eastAsia="Arial" w:hAnsi="Arial"/>
                <w:sz w:val="13"/>
                <w:szCs w:val="13"/>
                <w:b w:val="1"/>
                <w:bCs w:val="1"/>
                <w:color w:val="auto"/>
                <w:w w:val="87"/>
              </w:rPr>
              <w:t>letters of</w:t>
            </w:r>
          </w:p>
        </w:tc>
        <w:tc>
          <w:tcPr>
            <w:tcW w:w="1440" w:type="dxa"/>
            <w:vAlign w:val="bottom"/>
            <w:gridSpan w:val="4"/>
          </w:tcPr>
          <w:p>
            <w:pPr>
              <w:jc w:val="center"/>
              <w:ind w:right="240"/>
              <w:spacing w:after="0"/>
              <w:rPr>
                <w:sz w:val="20"/>
                <w:szCs w:val="20"/>
                <w:color w:val="auto"/>
              </w:rPr>
            </w:pPr>
            <w:r>
              <w:rPr>
                <w:rFonts w:ascii="Arial" w:cs="Arial" w:eastAsia="Arial" w:hAnsi="Arial"/>
                <w:sz w:val="13"/>
                <w:szCs w:val="13"/>
                <w:b w:val="1"/>
                <w:bCs w:val="1"/>
                <w:color w:val="auto"/>
                <w:w w:val="90"/>
              </w:rPr>
              <w:t>credit and</w:t>
            </w:r>
          </w:p>
        </w:tc>
        <w:tc>
          <w:tcPr>
            <w:tcW w:w="140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5"/>
              </w:rPr>
              <w:t>Credit</w:t>
            </w: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520" w:type="dxa"/>
            <w:vAlign w:val="bottom"/>
          </w:tcPr>
          <w:p>
            <w:pPr>
              <w:spacing w:after="0"/>
              <w:rPr>
                <w:sz w:val="14"/>
                <w:szCs w:val="14"/>
                <w:color w:val="auto"/>
              </w:rPr>
            </w:pPr>
          </w:p>
        </w:tc>
        <w:tc>
          <w:tcPr>
            <w:tcW w:w="146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2"/>
              </w:rPr>
              <w:t>loans</w:t>
            </w:r>
          </w:p>
        </w:tc>
        <w:tc>
          <w:tcPr>
            <w:tcW w:w="1460" w:type="dxa"/>
            <w:vAlign w:val="bottom"/>
            <w:gridSpan w:val="3"/>
          </w:tcPr>
          <w:p>
            <w:pPr>
              <w:jc w:val="center"/>
              <w:ind w:right="220"/>
              <w:spacing w:after="0"/>
              <w:rPr>
                <w:sz w:val="20"/>
                <w:szCs w:val="20"/>
                <w:color w:val="auto"/>
              </w:rPr>
            </w:pPr>
            <w:r>
              <w:rPr>
                <w:rFonts w:ascii="Arial" w:cs="Arial" w:eastAsia="Arial" w:hAnsi="Arial"/>
                <w:sz w:val="13"/>
                <w:szCs w:val="13"/>
                <w:b w:val="1"/>
                <w:bCs w:val="1"/>
                <w:color w:val="auto"/>
                <w:w w:val="90"/>
              </w:rPr>
              <w:t>credit</w:t>
            </w:r>
          </w:p>
        </w:tc>
        <w:tc>
          <w:tcPr>
            <w:tcW w:w="1440" w:type="dxa"/>
            <w:vAlign w:val="bottom"/>
            <w:gridSpan w:val="4"/>
          </w:tcPr>
          <w:p>
            <w:pPr>
              <w:jc w:val="center"/>
              <w:ind w:right="240"/>
              <w:spacing w:after="0"/>
              <w:rPr>
                <w:sz w:val="20"/>
                <w:szCs w:val="20"/>
                <w:color w:val="auto"/>
              </w:rPr>
            </w:pPr>
            <w:r>
              <w:rPr>
                <w:rFonts w:ascii="Arial" w:cs="Arial" w:eastAsia="Arial" w:hAnsi="Arial"/>
                <w:sz w:val="13"/>
                <w:szCs w:val="13"/>
                <w:b w:val="1"/>
                <w:bCs w:val="1"/>
                <w:color w:val="auto"/>
                <w:w w:val="86"/>
              </w:rPr>
              <w:t>guarantees</w:t>
            </w:r>
          </w:p>
        </w:tc>
        <w:tc>
          <w:tcPr>
            <w:tcW w:w="14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7"/>
              </w:rPr>
              <w:t>commitments</w:t>
            </w:r>
          </w:p>
        </w:tc>
        <w:tc>
          <w:tcPr>
            <w:tcW w:w="1420" w:type="dxa"/>
            <w:vAlign w:val="bottom"/>
            <w:gridSpan w:val="2"/>
          </w:tcPr>
          <w:p>
            <w:pPr>
              <w:jc w:val="center"/>
              <w:ind w:right="183"/>
              <w:spacing w:after="0"/>
              <w:rPr>
                <w:sz w:val="20"/>
                <w:szCs w:val="20"/>
                <w:color w:val="auto"/>
              </w:rPr>
            </w:pPr>
            <w:r>
              <w:rPr>
                <w:rFonts w:ascii="Arial" w:cs="Arial" w:eastAsia="Arial" w:hAnsi="Arial"/>
                <w:sz w:val="13"/>
                <w:szCs w:val="13"/>
                <w:b w:val="1"/>
                <w:bCs w:val="1"/>
                <w:color w:val="auto"/>
                <w:w w:val="92"/>
              </w:rPr>
              <w:t>Other</w:t>
            </w:r>
          </w:p>
        </w:tc>
        <w:tc>
          <w:tcPr>
            <w:tcW w:w="1300" w:type="dxa"/>
            <w:vAlign w:val="bottom"/>
            <w:gridSpan w:val="2"/>
          </w:tcPr>
          <w:p>
            <w:pPr>
              <w:jc w:val="right"/>
              <w:ind w:right="560"/>
              <w:spacing w:after="0"/>
              <w:rPr>
                <w:sz w:val="20"/>
                <w:szCs w:val="20"/>
                <w:color w:val="auto"/>
              </w:rPr>
            </w:pPr>
            <w:r>
              <w:rPr>
                <w:rFonts w:ascii="Arial" w:cs="Arial" w:eastAsia="Arial" w:hAnsi="Arial"/>
                <w:sz w:val="13"/>
                <w:szCs w:val="13"/>
                <w:b w:val="1"/>
                <w:bCs w:val="1"/>
                <w:color w:val="auto"/>
              </w:rPr>
              <w:t>Total</w:t>
            </w: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2520" w:type="dxa"/>
            <w:vAlign w:val="bottom"/>
          </w:tcPr>
          <w:p>
            <w:pPr>
              <w:spacing w:after="0"/>
              <w:rPr>
                <w:sz w:val="12"/>
                <w:szCs w:val="12"/>
                <w:color w:val="auto"/>
              </w:rPr>
            </w:pPr>
          </w:p>
        </w:tc>
        <w:tc>
          <w:tcPr>
            <w:tcW w:w="124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2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180" w:type="dxa"/>
            <w:vAlign w:val="bottom"/>
            <w:tcBorders>
              <w:top w:val="single" w:sz="8" w:color="auto"/>
            </w:tcBorders>
          </w:tcPr>
          <w:p>
            <w:pPr>
              <w:spacing w:after="0"/>
              <w:rPr>
                <w:sz w:val="12"/>
                <w:szCs w:val="12"/>
                <w:color w:val="auto"/>
              </w:rPr>
            </w:pPr>
          </w:p>
        </w:tc>
        <w:tc>
          <w:tcPr>
            <w:tcW w:w="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1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0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2520" w:type="dxa"/>
            <w:vAlign w:val="bottom"/>
            <w:shd w:val="clear" w:color="auto" w:fill="CCEEFF"/>
          </w:tcPr>
          <w:p>
            <w:pPr>
              <w:spacing w:after="0"/>
              <w:rPr>
                <w:sz w:val="20"/>
                <w:szCs w:val="20"/>
                <w:color w:val="auto"/>
              </w:rPr>
            </w:pPr>
            <w:r>
              <w:rPr>
                <w:rFonts w:ascii="Arial" w:cs="Arial" w:eastAsia="Arial" w:hAnsi="Arial"/>
                <w:sz w:val="13"/>
                <w:szCs w:val="13"/>
                <w:color w:val="auto"/>
              </w:rPr>
              <w:t>Openning and confirmation</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7,333</w:t>
            </w:r>
          </w:p>
        </w:tc>
        <w:tc>
          <w:tcPr>
            <w:tcW w:w="200" w:type="dxa"/>
            <w:vAlign w:val="bottom"/>
            <w:shd w:val="clear" w:color="auto" w:fill="CCEEFF"/>
          </w:tcPr>
          <w:p>
            <w:pPr>
              <w:spacing w:after="0"/>
              <w:rPr>
                <w:sz w:val="13"/>
                <w:szCs w:val="13"/>
                <w:color w:val="auto"/>
              </w:rPr>
            </w:pPr>
          </w:p>
        </w:tc>
        <w:tc>
          <w:tcPr>
            <w:tcW w:w="40" w:type="dxa"/>
            <w:vAlign w:val="bottom"/>
            <w:shd w:val="clear" w:color="auto" w:fill="CCEEFF"/>
          </w:tcPr>
          <w:p>
            <w:pPr>
              <w:spacing w:after="0"/>
              <w:rPr>
                <w:sz w:val="13"/>
                <w:szCs w:val="13"/>
                <w:color w:val="auto"/>
              </w:rPr>
            </w:pPr>
          </w:p>
        </w:tc>
        <w:tc>
          <w:tcPr>
            <w:tcW w:w="1420" w:type="dxa"/>
            <w:vAlign w:val="bottom"/>
            <w:gridSpan w:val="3"/>
            <w:shd w:val="clear" w:color="auto" w:fill="CCEEFF"/>
          </w:tcPr>
          <w:p>
            <w:pPr>
              <w:jc w:val="right"/>
              <w:ind w:right="220"/>
              <w:spacing w:after="0"/>
              <w:rPr>
                <w:sz w:val="20"/>
                <w:szCs w:val="20"/>
                <w:color w:val="auto"/>
              </w:rPr>
            </w:pPr>
            <w:r>
              <w:rPr>
                <w:rFonts w:ascii="Arial" w:cs="Arial" w:eastAsia="Arial" w:hAnsi="Arial"/>
                <w:sz w:val="13"/>
                <w:szCs w:val="13"/>
                <w:color w:val="auto"/>
              </w:rPr>
              <w:t>2,460</w:t>
            </w:r>
          </w:p>
        </w:tc>
        <w:tc>
          <w:tcPr>
            <w:tcW w:w="20" w:type="dxa"/>
            <w:vAlign w:val="bottom"/>
            <w:shd w:val="clear" w:color="auto" w:fill="CCEEFF"/>
          </w:tcPr>
          <w:p>
            <w:pPr>
              <w:spacing w:after="0"/>
              <w:rPr>
                <w:sz w:val="13"/>
                <w:szCs w:val="13"/>
                <w:color w:val="auto"/>
              </w:rPr>
            </w:pP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874</w:t>
            </w:r>
          </w:p>
        </w:tc>
        <w:tc>
          <w:tcPr>
            <w:tcW w:w="1420" w:type="dxa"/>
            <w:vAlign w:val="bottom"/>
            <w:gridSpan w:val="2"/>
            <w:shd w:val="clear" w:color="auto" w:fill="CCEEFF"/>
          </w:tcPr>
          <w:p>
            <w:pPr>
              <w:jc w:val="right"/>
              <w:ind w:right="183"/>
              <w:spacing w:after="0"/>
              <w:rPr>
                <w:sz w:val="20"/>
                <w:szCs w:val="20"/>
                <w:color w:val="auto"/>
              </w:rPr>
            </w:pPr>
            <w:r>
              <w:rPr>
                <w:rFonts w:ascii="Arial" w:cs="Arial" w:eastAsia="Arial" w:hAnsi="Arial"/>
                <w:sz w:val="13"/>
                <w:szCs w:val="13"/>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10,667</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520" w:type="dxa"/>
            <w:vAlign w:val="bottom"/>
          </w:tcPr>
          <w:p>
            <w:pPr>
              <w:spacing w:after="0"/>
              <w:rPr>
                <w:sz w:val="20"/>
                <w:szCs w:val="20"/>
                <w:color w:val="auto"/>
              </w:rPr>
            </w:pPr>
            <w:r>
              <w:rPr>
                <w:rFonts w:ascii="Arial" w:cs="Arial" w:eastAsia="Arial" w:hAnsi="Arial"/>
                <w:sz w:val="13"/>
                <w:szCs w:val="13"/>
                <w:color w:val="auto"/>
              </w:rPr>
              <w:t>Negotiation and acceptance</w:t>
            </w:r>
          </w:p>
        </w:tc>
        <w:tc>
          <w:tcPr>
            <w:tcW w:w="146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tcPr>
          <w:p>
            <w:pPr>
              <w:jc w:val="right"/>
              <w:ind w:right="200"/>
              <w:spacing w:after="0"/>
              <w:rPr>
                <w:sz w:val="20"/>
                <w:szCs w:val="20"/>
                <w:color w:val="auto"/>
              </w:rPr>
            </w:pPr>
            <w:r>
              <w:rPr>
                <w:rFonts w:ascii="Arial" w:cs="Arial" w:eastAsia="Arial" w:hAnsi="Arial"/>
                <w:sz w:val="13"/>
                <w:szCs w:val="13"/>
                <w:color w:val="auto"/>
              </w:rPr>
              <w:t>379</w:t>
            </w:r>
          </w:p>
        </w:tc>
        <w:tc>
          <w:tcPr>
            <w:tcW w:w="40" w:type="dxa"/>
            <w:vAlign w:val="bottom"/>
          </w:tcPr>
          <w:p>
            <w:pPr>
              <w:spacing w:after="0"/>
              <w:rPr>
                <w:sz w:val="13"/>
                <w:szCs w:val="13"/>
                <w:color w:val="auto"/>
              </w:rPr>
            </w:pPr>
          </w:p>
        </w:tc>
        <w:tc>
          <w:tcPr>
            <w:tcW w:w="1420" w:type="dxa"/>
            <w:vAlign w:val="bottom"/>
            <w:gridSpan w:val="3"/>
          </w:tcPr>
          <w:p>
            <w:pPr>
              <w:jc w:val="right"/>
              <w:ind w:right="220"/>
              <w:spacing w:after="0"/>
              <w:rPr>
                <w:sz w:val="20"/>
                <w:szCs w:val="20"/>
                <w:color w:val="auto"/>
              </w:rPr>
            </w:pPr>
            <w:r>
              <w:rPr>
                <w:rFonts w:ascii="Arial" w:cs="Arial" w:eastAsia="Arial" w:hAnsi="Arial"/>
                <w:sz w:val="13"/>
                <w:szCs w:val="13"/>
                <w:color w:val="auto"/>
              </w:rPr>
              <w:t>100</w:t>
            </w:r>
          </w:p>
        </w:tc>
        <w:tc>
          <w:tcPr>
            <w:tcW w:w="20" w:type="dxa"/>
            <w:vAlign w:val="bottom"/>
          </w:tcPr>
          <w:p>
            <w:pPr>
              <w:spacing w:after="0"/>
              <w:rPr>
                <w:sz w:val="13"/>
                <w:szCs w:val="13"/>
                <w:color w:val="auto"/>
              </w:rPr>
            </w:pPr>
          </w:p>
        </w:tc>
        <w:tc>
          <w:tcPr>
            <w:tcW w:w="140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tcPr>
          <w:p>
            <w:pPr>
              <w:jc w:val="right"/>
              <w:ind w:right="183"/>
              <w:spacing w:after="0"/>
              <w:rPr>
                <w:sz w:val="20"/>
                <w:szCs w:val="20"/>
                <w:color w:val="auto"/>
              </w:rPr>
            </w:pPr>
            <w:r>
              <w:rPr>
                <w:rFonts w:ascii="Arial" w:cs="Arial" w:eastAsia="Arial" w:hAnsi="Arial"/>
                <w:sz w:val="13"/>
                <w:szCs w:val="13"/>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479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520" w:type="dxa"/>
            <w:vAlign w:val="bottom"/>
            <w:shd w:val="clear" w:color="auto" w:fill="CCEEFF"/>
          </w:tcPr>
          <w:p>
            <w:pPr>
              <w:spacing w:after="0"/>
              <w:rPr>
                <w:sz w:val="20"/>
                <w:szCs w:val="20"/>
                <w:color w:val="auto"/>
              </w:rPr>
            </w:pPr>
            <w:r>
              <w:rPr>
                <w:rFonts w:ascii="Arial" w:cs="Arial" w:eastAsia="Arial" w:hAnsi="Arial"/>
                <w:sz w:val="13"/>
                <w:szCs w:val="13"/>
                <w:color w:val="auto"/>
              </w:rPr>
              <w:t>Amendment</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46</w:t>
            </w:r>
          </w:p>
        </w:tc>
        <w:tc>
          <w:tcPr>
            <w:tcW w:w="200" w:type="dxa"/>
            <w:vAlign w:val="bottom"/>
            <w:shd w:val="clear" w:color="auto" w:fill="CCEEFF"/>
          </w:tcPr>
          <w:p>
            <w:pPr>
              <w:spacing w:after="0"/>
              <w:rPr>
                <w:sz w:val="13"/>
                <w:szCs w:val="13"/>
                <w:color w:val="auto"/>
              </w:rPr>
            </w:pPr>
          </w:p>
        </w:tc>
        <w:tc>
          <w:tcPr>
            <w:tcW w:w="40" w:type="dxa"/>
            <w:vAlign w:val="bottom"/>
            <w:shd w:val="clear" w:color="auto" w:fill="CCEEFF"/>
          </w:tcPr>
          <w:p>
            <w:pPr>
              <w:spacing w:after="0"/>
              <w:rPr>
                <w:sz w:val="13"/>
                <w:szCs w:val="13"/>
                <w:color w:val="auto"/>
              </w:rPr>
            </w:pPr>
          </w:p>
        </w:tc>
        <w:tc>
          <w:tcPr>
            <w:tcW w:w="1420" w:type="dxa"/>
            <w:vAlign w:val="bottom"/>
            <w:gridSpan w:val="3"/>
            <w:shd w:val="clear" w:color="auto" w:fill="CCEEFF"/>
          </w:tcPr>
          <w:p>
            <w:pPr>
              <w:jc w:val="right"/>
              <w:ind w:right="220"/>
              <w:spacing w:after="0"/>
              <w:rPr>
                <w:sz w:val="20"/>
                <w:szCs w:val="20"/>
                <w:color w:val="auto"/>
              </w:rPr>
            </w:pPr>
            <w:r>
              <w:rPr>
                <w:rFonts w:ascii="Arial" w:cs="Arial" w:eastAsia="Arial" w:hAnsi="Arial"/>
                <w:sz w:val="13"/>
                <w:szCs w:val="13"/>
                <w:color w:val="auto"/>
              </w:rPr>
              <w:t>1,230</w:t>
            </w:r>
          </w:p>
        </w:tc>
        <w:tc>
          <w:tcPr>
            <w:tcW w:w="20" w:type="dxa"/>
            <w:vAlign w:val="bottom"/>
            <w:shd w:val="clear" w:color="auto" w:fill="CCEEFF"/>
          </w:tcPr>
          <w:p>
            <w:pPr>
              <w:spacing w:after="0"/>
              <w:rPr>
                <w:sz w:val="13"/>
                <w:szCs w:val="13"/>
                <w:color w:val="auto"/>
              </w:rPr>
            </w:pP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shd w:val="clear" w:color="auto" w:fill="CCEEFF"/>
          </w:tcPr>
          <w:p>
            <w:pPr>
              <w:jc w:val="right"/>
              <w:ind w:right="183"/>
              <w:spacing w:after="0"/>
              <w:rPr>
                <w:sz w:val="20"/>
                <w:szCs w:val="20"/>
                <w:color w:val="auto"/>
              </w:rPr>
            </w:pPr>
            <w:r>
              <w:rPr>
                <w:rFonts w:ascii="Arial" w:cs="Arial" w:eastAsia="Arial" w:hAnsi="Arial"/>
                <w:sz w:val="13"/>
                <w:szCs w:val="13"/>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1,276</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520" w:type="dxa"/>
            <w:vAlign w:val="bottom"/>
          </w:tcPr>
          <w:p>
            <w:pPr>
              <w:spacing w:after="0"/>
              <w:rPr>
                <w:sz w:val="20"/>
                <w:szCs w:val="20"/>
                <w:color w:val="auto"/>
              </w:rPr>
            </w:pPr>
            <w:r>
              <w:rPr>
                <w:rFonts w:ascii="Arial" w:cs="Arial" w:eastAsia="Arial" w:hAnsi="Arial"/>
                <w:sz w:val="13"/>
                <w:szCs w:val="13"/>
                <w:color w:val="auto"/>
              </w:rPr>
              <w:t>Structuring</w:t>
            </w:r>
          </w:p>
        </w:tc>
        <w:tc>
          <w:tcPr>
            <w:tcW w:w="1460" w:type="dxa"/>
            <w:vAlign w:val="bottom"/>
            <w:gridSpan w:val="2"/>
          </w:tcPr>
          <w:p>
            <w:pPr>
              <w:jc w:val="right"/>
              <w:ind w:right="220"/>
              <w:spacing w:after="0"/>
              <w:rPr>
                <w:sz w:val="20"/>
                <w:szCs w:val="20"/>
                <w:color w:val="auto"/>
              </w:rPr>
            </w:pPr>
            <w:r>
              <w:rPr>
                <w:rFonts w:ascii="Arial" w:cs="Arial" w:eastAsia="Arial" w:hAnsi="Arial"/>
                <w:sz w:val="13"/>
                <w:szCs w:val="13"/>
                <w:color w:val="auto"/>
              </w:rPr>
              <w:t>4,625</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1420" w:type="dxa"/>
            <w:vAlign w:val="bottom"/>
            <w:gridSpan w:val="3"/>
          </w:tcPr>
          <w:p>
            <w:pPr>
              <w:jc w:val="right"/>
              <w:ind w:right="220"/>
              <w:spacing w:after="0"/>
              <w:rPr>
                <w:sz w:val="20"/>
                <w:szCs w:val="20"/>
                <w:color w:val="auto"/>
              </w:rPr>
            </w:pPr>
            <w:r>
              <w:rPr>
                <w:rFonts w:ascii="Arial" w:cs="Arial" w:eastAsia="Arial" w:hAnsi="Arial"/>
                <w:sz w:val="13"/>
                <w:szCs w:val="13"/>
                <w:color w:val="auto"/>
              </w:rPr>
              <w:t>-</w:t>
            </w:r>
          </w:p>
        </w:tc>
        <w:tc>
          <w:tcPr>
            <w:tcW w:w="20" w:type="dxa"/>
            <w:vAlign w:val="bottom"/>
          </w:tcPr>
          <w:p>
            <w:pPr>
              <w:spacing w:after="0"/>
              <w:rPr>
                <w:sz w:val="13"/>
                <w:szCs w:val="13"/>
                <w:color w:val="auto"/>
              </w:rPr>
            </w:pPr>
          </w:p>
        </w:tc>
        <w:tc>
          <w:tcPr>
            <w:tcW w:w="1400" w:type="dxa"/>
            <w:vAlign w:val="bottom"/>
            <w:gridSpan w:val="2"/>
          </w:tcPr>
          <w:p>
            <w:pPr>
              <w:jc w:val="right"/>
              <w:ind w:right="220"/>
              <w:spacing w:after="0"/>
              <w:rPr>
                <w:sz w:val="20"/>
                <w:szCs w:val="20"/>
                <w:color w:val="auto"/>
              </w:rPr>
            </w:pPr>
            <w:r>
              <w:rPr>
                <w:rFonts w:ascii="Arial" w:cs="Arial" w:eastAsia="Arial" w:hAnsi="Arial"/>
                <w:sz w:val="13"/>
                <w:szCs w:val="13"/>
                <w:color w:val="auto"/>
              </w:rPr>
              <w:t>325</w:t>
            </w:r>
          </w:p>
        </w:tc>
        <w:tc>
          <w:tcPr>
            <w:tcW w:w="1420" w:type="dxa"/>
            <w:vAlign w:val="bottom"/>
            <w:gridSpan w:val="2"/>
          </w:tcPr>
          <w:p>
            <w:pPr>
              <w:jc w:val="right"/>
              <w:ind w:right="183"/>
              <w:spacing w:after="0"/>
              <w:rPr>
                <w:sz w:val="20"/>
                <w:szCs w:val="20"/>
                <w:color w:val="auto"/>
              </w:rPr>
            </w:pPr>
            <w:r>
              <w:rPr>
                <w:rFonts w:ascii="Arial" w:cs="Arial" w:eastAsia="Arial" w:hAnsi="Arial"/>
                <w:sz w:val="13"/>
                <w:szCs w:val="13"/>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4,950</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2520" w:type="dxa"/>
            <w:vAlign w:val="bottom"/>
            <w:shd w:val="clear" w:color="auto" w:fill="CCEEFF"/>
          </w:tcPr>
          <w:p>
            <w:pPr>
              <w:spacing w:after="0"/>
              <w:rPr>
                <w:sz w:val="20"/>
                <w:szCs w:val="20"/>
                <w:color w:val="auto"/>
              </w:rPr>
            </w:pPr>
            <w:r>
              <w:rPr>
                <w:rFonts w:ascii="Arial" w:cs="Arial" w:eastAsia="Arial" w:hAnsi="Arial"/>
                <w:sz w:val="13"/>
                <w:szCs w:val="13"/>
                <w:color w:val="auto"/>
              </w:rPr>
              <w:t>Other</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(4)</w:t>
            </w:r>
          </w:p>
        </w:tc>
        <w:tc>
          <w:tcPr>
            <w:tcW w:w="40" w:type="dxa"/>
            <w:vAlign w:val="bottom"/>
            <w:shd w:val="clear" w:color="auto" w:fill="CCEEFF"/>
          </w:tcPr>
          <w:p>
            <w:pPr>
              <w:spacing w:after="0"/>
              <w:rPr>
                <w:sz w:val="14"/>
                <w:szCs w:val="14"/>
                <w:color w:val="auto"/>
              </w:rPr>
            </w:pPr>
          </w:p>
        </w:tc>
        <w:tc>
          <w:tcPr>
            <w:tcW w:w="1420" w:type="dxa"/>
            <w:vAlign w:val="bottom"/>
            <w:gridSpan w:val="3"/>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20" w:type="dxa"/>
            <w:vAlign w:val="bottom"/>
            <w:shd w:val="clear" w:color="auto" w:fill="CCEEFF"/>
          </w:tcPr>
          <w:p>
            <w:pPr>
              <w:spacing w:after="0"/>
              <w:rPr>
                <w:sz w:val="14"/>
                <w:szCs w:val="14"/>
                <w:color w:val="auto"/>
              </w:rPr>
            </w:pPr>
          </w:p>
        </w:tc>
        <w:tc>
          <w:tcPr>
            <w:tcW w:w="14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(151)</w:t>
            </w:r>
          </w:p>
        </w:tc>
        <w:tc>
          <w:tcPr>
            <w:tcW w:w="1420" w:type="dxa"/>
            <w:vAlign w:val="bottom"/>
            <w:gridSpan w:val="2"/>
            <w:shd w:val="clear" w:color="auto" w:fill="CCEEFF"/>
          </w:tcPr>
          <w:p>
            <w:pPr>
              <w:jc w:val="right"/>
              <w:ind w:right="143"/>
              <w:spacing w:after="0"/>
              <w:rPr>
                <w:sz w:val="20"/>
                <w:szCs w:val="20"/>
                <w:color w:val="auto"/>
              </w:rPr>
            </w:pPr>
            <w:r>
              <w:rPr>
                <w:rFonts w:ascii="Arial" w:cs="Arial" w:eastAsia="Arial" w:hAnsi="Arial"/>
                <w:sz w:val="13"/>
                <w:szCs w:val="13"/>
                <w:color w:val="auto"/>
              </w:rPr>
              <w:t>(32)</w:t>
            </w:r>
          </w:p>
        </w:tc>
        <w:tc>
          <w:tcPr>
            <w:tcW w:w="13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(187)</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2520" w:type="dxa"/>
            <w:vAlign w:val="bottom"/>
          </w:tcPr>
          <w:p>
            <w:pPr>
              <w:spacing w:after="0"/>
              <w:rPr>
                <w:sz w:val="14"/>
                <w:szCs w:val="14"/>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4,625</w:t>
            </w:r>
          </w:p>
        </w:tc>
        <w:tc>
          <w:tcPr>
            <w:tcW w:w="220" w:type="dxa"/>
            <w:vAlign w:val="bottom"/>
          </w:tcPr>
          <w:p>
            <w:pPr>
              <w:spacing w:after="0"/>
              <w:rPr>
                <w:sz w:val="14"/>
                <w:szCs w:val="14"/>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7,754</w:t>
            </w:r>
          </w:p>
        </w:tc>
        <w:tc>
          <w:tcPr>
            <w:tcW w:w="20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2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3"/>
                <w:szCs w:val="13"/>
                <w:b w:val="1"/>
                <w:bCs w:val="1"/>
                <w:color w:val="auto"/>
              </w:rPr>
              <w:t>3,790</w:t>
            </w:r>
          </w:p>
        </w:tc>
        <w:tc>
          <w:tcPr>
            <w:tcW w:w="2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1,048</w:t>
            </w:r>
          </w:p>
        </w:tc>
        <w:tc>
          <w:tcPr>
            <w:tcW w:w="220" w:type="dxa"/>
            <w:vAlign w:val="bottom"/>
          </w:tcPr>
          <w:p>
            <w:pPr>
              <w:spacing w:after="0"/>
              <w:rPr>
                <w:sz w:val="14"/>
                <w:szCs w:val="14"/>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(32</w:t>
            </w:r>
          </w:p>
        </w:tc>
        <w:tc>
          <w:tcPr>
            <w:tcW w:w="220" w:type="dxa"/>
            <w:vAlign w:val="bottom"/>
          </w:tcPr>
          <w:p>
            <w:pPr>
              <w:jc w:val="right"/>
              <w:ind w:right="143"/>
              <w:spacing w:after="0"/>
              <w:rPr>
                <w:sz w:val="20"/>
                <w:szCs w:val="20"/>
                <w:color w:val="auto"/>
              </w:rPr>
            </w:pPr>
            <w:r>
              <w:rPr>
                <w:rFonts w:ascii="Arial" w:cs="Arial" w:eastAsia="Arial" w:hAnsi="Arial"/>
                <w:sz w:val="7"/>
                <w:szCs w:val="7"/>
                <w:b w:val="1"/>
                <w:bCs w:val="1"/>
                <w:color w:val="auto"/>
                <w:w w:val="83"/>
              </w:rPr>
              <w:t>)</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17,185</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08"/>
        </w:trPr>
        <w:tc>
          <w:tcPr>
            <w:tcW w:w="8300" w:type="dxa"/>
            <w:vAlign w:val="bottom"/>
            <w:gridSpan w:val="13"/>
          </w:tcPr>
          <w:p>
            <w:pPr>
              <w:spacing w:after="0"/>
              <w:rPr>
                <w:sz w:val="20"/>
                <w:szCs w:val="20"/>
                <w:color w:val="auto"/>
              </w:rPr>
            </w:pPr>
            <w:r>
              <w:rPr>
                <w:rFonts w:ascii="Arial" w:cs="Arial" w:eastAsia="Arial" w:hAnsi="Arial"/>
                <w:sz w:val="13"/>
                <w:szCs w:val="13"/>
                <w:color w:val="auto"/>
                <w:w w:val="96"/>
              </w:rPr>
              <w:t>The following table provides information on the ordinary income that is expected to be recognized on the contracts in force as of December 31, 2018:</w:t>
            </w: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96"/>
        </w:trPr>
        <w:tc>
          <w:tcPr>
            <w:tcW w:w="20" w:type="dxa"/>
            <w:vAlign w:val="bottom"/>
          </w:tcPr>
          <w:p>
            <w:pPr>
              <w:spacing w:after="0"/>
              <w:rPr>
                <w:sz w:val="24"/>
                <w:szCs w:val="24"/>
                <w:color w:val="auto"/>
              </w:rPr>
            </w:pPr>
          </w:p>
        </w:tc>
        <w:tc>
          <w:tcPr>
            <w:tcW w:w="252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20" w:type="dxa"/>
            <w:vAlign w:val="bottom"/>
            <w:gridSpan w:val="2"/>
          </w:tcPr>
          <w:p>
            <w:pPr>
              <w:jc w:val="center"/>
              <w:ind w:right="183"/>
              <w:spacing w:after="0"/>
              <w:rPr>
                <w:sz w:val="20"/>
                <w:szCs w:val="20"/>
                <w:color w:val="auto"/>
              </w:rPr>
            </w:pPr>
            <w:r>
              <w:rPr>
                <w:rFonts w:ascii="Arial" w:cs="Arial" w:eastAsia="Arial" w:hAnsi="Arial"/>
                <w:sz w:val="13"/>
                <w:szCs w:val="13"/>
                <w:b w:val="1"/>
                <w:bCs w:val="1"/>
                <w:color w:val="auto"/>
                <w:w w:val="93"/>
              </w:rPr>
              <w:t>More than 2</w:t>
            </w: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520" w:type="dxa"/>
            <w:vAlign w:val="bottom"/>
          </w:tcPr>
          <w:p>
            <w:pPr>
              <w:spacing w:after="0"/>
              <w:rPr>
                <w:sz w:val="14"/>
                <w:szCs w:val="14"/>
                <w:color w:val="auto"/>
              </w:rPr>
            </w:pPr>
          </w:p>
        </w:tc>
        <w:tc>
          <w:tcPr>
            <w:tcW w:w="12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40" w:type="dxa"/>
            <w:vAlign w:val="bottom"/>
            <w:tcBorders>
              <w:bottom w:val="single" w:sz="8" w:color="auto"/>
            </w:tcBorders>
          </w:tcPr>
          <w:p>
            <w:pPr>
              <w:spacing w:after="0"/>
              <w:rPr>
                <w:sz w:val="14"/>
                <w:szCs w:val="14"/>
                <w:color w:val="auto"/>
              </w:rPr>
            </w:pPr>
          </w:p>
        </w:tc>
        <w:tc>
          <w:tcPr>
            <w:tcW w:w="1180" w:type="dxa"/>
            <w:vAlign w:val="bottom"/>
            <w:tcBorders>
              <w:bottom w:val="single" w:sz="8" w:color="auto"/>
            </w:tcBorders>
          </w:tcPr>
          <w:p>
            <w:pPr>
              <w:ind w:left="240"/>
              <w:spacing w:after="0"/>
              <w:rPr>
                <w:sz w:val="20"/>
                <w:szCs w:val="20"/>
                <w:color w:val="auto"/>
              </w:rPr>
            </w:pPr>
            <w:r>
              <w:rPr>
                <w:rFonts w:ascii="Arial" w:cs="Arial" w:eastAsia="Arial" w:hAnsi="Arial"/>
                <w:sz w:val="13"/>
                <w:szCs w:val="13"/>
                <w:b w:val="1"/>
                <w:bCs w:val="1"/>
                <w:color w:val="auto"/>
              </w:rPr>
              <w:t>Up to 1 year</w:t>
            </w:r>
          </w:p>
        </w:tc>
        <w:tc>
          <w:tcPr>
            <w:tcW w:w="240" w:type="dxa"/>
            <w:vAlign w:val="bottom"/>
            <w:gridSpan w:val="2"/>
          </w:tcPr>
          <w:p>
            <w:pPr>
              <w:spacing w:after="0"/>
              <w:rPr>
                <w:sz w:val="14"/>
                <w:szCs w:val="14"/>
                <w:color w:val="auto"/>
              </w:rPr>
            </w:pPr>
          </w:p>
        </w:tc>
        <w:tc>
          <w:tcPr>
            <w:tcW w:w="20" w:type="dxa"/>
            <w:vAlign w:val="bottom"/>
            <w:tcBorders>
              <w:bottom w:val="single" w:sz="8" w:color="auto"/>
            </w:tcBorders>
          </w:tcPr>
          <w:p>
            <w:pPr>
              <w:spacing w:after="0"/>
              <w:rPr>
                <w:sz w:val="14"/>
                <w:szCs w:val="14"/>
                <w:color w:val="auto"/>
              </w:rPr>
            </w:pPr>
          </w:p>
        </w:tc>
        <w:tc>
          <w:tcPr>
            <w:tcW w:w="118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6"/>
              </w:rPr>
              <w:t>1 to 2 years</w:t>
            </w:r>
          </w:p>
        </w:tc>
        <w:tc>
          <w:tcPr>
            <w:tcW w:w="220" w:type="dxa"/>
            <w:vAlign w:val="bottom"/>
          </w:tcPr>
          <w:p>
            <w:pPr>
              <w:spacing w:after="0"/>
              <w:rPr>
                <w:sz w:val="14"/>
                <w:szCs w:val="14"/>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2"/>
              </w:rPr>
              <w:t>years</w:t>
            </w:r>
          </w:p>
        </w:tc>
        <w:tc>
          <w:tcPr>
            <w:tcW w:w="220" w:type="dxa"/>
            <w:vAlign w:val="bottom"/>
          </w:tcPr>
          <w:p>
            <w:pPr>
              <w:spacing w:after="0"/>
              <w:rPr>
                <w:sz w:val="14"/>
                <w:szCs w:val="14"/>
                <w:color w:val="auto"/>
              </w:rPr>
            </w:pPr>
          </w:p>
        </w:tc>
        <w:tc>
          <w:tcPr>
            <w:tcW w:w="1200" w:type="dxa"/>
            <w:vAlign w:val="bottom"/>
            <w:tcBorders>
              <w:bottom w:val="single" w:sz="8" w:color="auto"/>
            </w:tcBorders>
          </w:tcPr>
          <w:p>
            <w:pPr>
              <w:jc w:val="right"/>
              <w:ind w:right="396"/>
              <w:spacing w:after="0"/>
              <w:rPr>
                <w:sz w:val="20"/>
                <w:szCs w:val="20"/>
                <w:color w:val="auto"/>
              </w:rPr>
            </w:pPr>
            <w:r>
              <w:rPr>
                <w:rFonts w:ascii="Arial" w:cs="Arial" w:eastAsia="Arial" w:hAnsi="Arial"/>
                <w:sz w:val="13"/>
                <w:szCs w:val="13"/>
                <w:b w:val="1"/>
                <w:bCs w:val="1"/>
                <w:color w:val="auto"/>
              </w:rPr>
              <w:t>Total</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bl>
    <w:p>
      <w:pPr>
        <w:spacing w:after="0" w:line="145" w:lineRule="exact"/>
        <w:rPr>
          <w:sz w:val="20"/>
          <w:szCs w:val="20"/>
          <w:color w:val="auto"/>
        </w:rPr>
      </w:pPr>
    </w:p>
    <w:p>
      <w:pPr>
        <w:sectPr>
          <w:pgSz w:w="11900" w:h="16838" w:orient="portrait"/>
          <w:cols w:equalWidth="0" w:num="1">
            <w:col w:w="11243"/>
          </w:cols>
          <w:pgMar w:left="217" w:top="685" w:right="439" w:bottom="1440" w:gutter="0" w:footer="0" w:header="0"/>
        </w:sectPr>
      </w:pPr>
    </w:p>
    <w:tbl>
      <w:tblPr>
        <w:tblLayout w:type="fixed"/>
        <w:tblInd w:w="223" w:type="dxa"/>
        <w:tblCellMar>
          <w:top w:w="0" w:type="dxa"/>
          <w:left w:w="0" w:type="dxa"/>
          <w:bottom w:w="0" w:type="dxa"/>
          <w:right w:w="0" w:type="dxa"/>
        </w:tblCellMar>
      </w:tblPr>
      <w:tr>
        <w:trPr>
          <w:trHeight w:val="162"/>
        </w:trPr>
        <w:tc>
          <w:tcPr>
            <w:tcW w:w="5380" w:type="dxa"/>
            <w:vAlign w:val="bottom"/>
          </w:tcPr>
          <w:p>
            <w:pPr>
              <w:spacing w:after="0"/>
              <w:rPr>
                <w:sz w:val="20"/>
                <w:szCs w:val="20"/>
                <w:color w:val="auto"/>
              </w:rPr>
            </w:pPr>
            <w:r>
              <w:rPr>
                <w:rFonts w:ascii="Arial" w:cs="Arial" w:eastAsia="Arial" w:hAnsi="Arial"/>
                <w:sz w:val="13"/>
                <w:szCs w:val="13"/>
                <w:color w:val="auto"/>
              </w:rPr>
              <w:t>Ordinary income expected to be recognized on the contracts as of December 31, 2018</w:t>
            </w:r>
          </w:p>
        </w:tc>
        <w:tc>
          <w:tcPr>
            <w:tcW w:w="1260" w:type="dxa"/>
            <w:vAlign w:val="bottom"/>
          </w:tcPr>
          <w:p>
            <w:pPr>
              <w:jc w:val="right"/>
              <w:spacing w:after="0"/>
              <w:rPr>
                <w:sz w:val="20"/>
                <w:szCs w:val="20"/>
                <w:color w:val="auto"/>
              </w:rPr>
            </w:pPr>
            <w:r>
              <w:rPr>
                <w:rFonts w:ascii="Arial" w:cs="Arial" w:eastAsia="Arial" w:hAnsi="Arial"/>
                <w:sz w:val="13"/>
                <w:szCs w:val="13"/>
                <w:color w:val="auto"/>
              </w:rPr>
              <w:t>1,655</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146685</wp:posOffset>
            </wp:positionH>
            <wp:positionV relativeFrom="paragraph">
              <wp:posOffset>-97155</wp:posOffset>
            </wp:positionV>
            <wp:extent cx="6992620" cy="97790"/>
            <wp:wrapNone/>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344">
                      <a:extLst>
                        <a:ext uri="{28A0092B-C50C-407E-A947-70E740481C1C}"/>
                      </a:extLst>
                    </a:blip>
                    <a:srcRect/>
                    <a:stretch>
                      <a:fillRect/>
                    </a:stretch>
                  </pic:blipFill>
                  <pic:spPr bwMode="auto">
                    <a:xfrm>
                      <a:off x="0" y="0"/>
                      <a:ext cx="6992620" cy="97790"/>
                    </a:xfrm>
                    <a:prstGeom prst="rect">
                      <a:avLst/>
                    </a:prstGeom>
                    <a:noFill/>
                  </pic:spPr>
                </pic:pic>
              </a:graphicData>
            </a:graphic>
          </wp:anchor>
        </w:drawing>
      </w:r>
    </w:p>
    <w:p>
      <w:pPr>
        <w:spacing w:after="0" w:line="126" w:lineRule="exact"/>
        <w:rPr>
          <w:sz w:val="20"/>
          <w:szCs w:val="20"/>
          <w:color w:val="auto"/>
        </w:rPr>
      </w:pPr>
    </w:p>
    <w:p>
      <w:pPr>
        <w:ind w:left="223"/>
        <w:spacing w:after="0"/>
        <w:rPr>
          <w:sz w:val="20"/>
          <w:szCs w:val="20"/>
          <w:color w:val="auto"/>
        </w:rPr>
      </w:pPr>
      <w:r>
        <w:rPr>
          <w:rFonts w:ascii="Arial" w:cs="Arial" w:eastAsia="Arial" w:hAnsi="Arial"/>
          <w:sz w:val="11"/>
          <w:szCs w:val="11"/>
          <w:color w:val="auto"/>
        </w:rPr>
        <w:t>Fees and commission income from contracts with customers recognized under IAS 18 as of December 31, 2017 are detailed below:</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549910</wp:posOffset>
            </wp:positionH>
            <wp:positionV relativeFrom="paragraph">
              <wp:posOffset>316230</wp:posOffset>
            </wp:positionV>
            <wp:extent cx="6191885" cy="104140"/>
            <wp:wrapNone/>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345">
                      <a:extLst>
                        <a:ext uri="{28A0092B-C50C-407E-A947-70E740481C1C}"/>
                      </a:extLst>
                    </a:blip>
                    <a:srcRect/>
                    <a:stretch>
                      <a:fillRect/>
                    </a:stretch>
                  </pic:blipFill>
                  <pic:spPr bwMode="auto">
                    <a:xfrm>
                      <a:off x="0" y="0"/>
                      <a:ext cx="6191885" cy="104140"/>
                    </a:xfrm>
                    <a:prstGeom prst="rect">
                      <a:avLst/>
                    </a:prstGeom>
                    <a:noFill/>
                  </pic:spPr>
                </pic:pic>
              </a:graphicData>
            </a:graphic>
          </wp:anchor>
        </w:drawing>
      </w:r>
    </w:p>
    <w:p>
      <w:pPr>
        <w:spacing w:after="0" w:line="200" w:lineRule="exact"/>
        <w:rPr>
          <w:sz w:val="20"/>
          <w:szCs w:val="20"/>
          <w:color w:val="auto"/>
        </w:rPr>
      </w:pPr>
    </w:p>
    <w:p>
      <w:pPr>
        <w:spacing w:after="0" w:line="279" w:lineRule="exact"/>
        <w:rPr>
          <w:sz w:val="20"/>
          <w:szCs w:val="20"/>
          <w:color w:val="auto"/>
        </w:rPr>
      </w:pPr>
    </w:p>
    <w:p>
      <w:pPr>
        <w:ind w:left="863"/>
        <w:spacing w:after="0"/>
        <w:rPr>
          <w:sz w:val="20"/>
          <w:szCs w:val="20"/>
          <w:color w:val="auto"/>
        </w:rPr>
      </w:pPr>
      <w:r>
        <w:rPr>
          <w:rFonts w:ascii="Arial" w:cs="Arial" w:eastAsia="Arial" w:hAnsi="Arial"/>
          <w:sz w:val="13"/>
          <w:szCs w:val="13"/>
          <w:color w:val="auto"/>
        </w:rPr>
        <w:t>Commission income – Loans &amp; commitments, net</w:t>
      </w:r>
    </w:p>
    <w:p>
      <w:pPr>
        <w:spacing w:after="0" w:line="13" w:lineRule="exact"/>
        <w:rPr>
          <w:sz w:val="20"/>
          <w:szCs w:val="20"/>
          <w:color w:val="auto"/>
        </w:rPr>
      </w:pPr>
    </w:p>
    <w:p>
      <w:pPr>
        <w:ind w:left="863"/>
        <w:spacing w:after="0"/>
        <w:rPr>
          <w:sz w:val="20"/>
          <w:szCs w:val="20"/>
          <w:color w:val="auto"/>
        </w:rPr>
      </w:pPr>
      <w:r>
        <w:rPr>
          <w:rFonts w:ascii="Arial" w:cs="Arial" w:eastAsia="Arial" w:hAnsi="Arial"/>
          <w:sz w:val="13"/>
          <w:szCs w:val="13"/>
          <w:color w:val="auto"/>
        </w:rPr>
        <w:t>Commission income - Letters of credit</w:t>
      </w:r>
    </w:p>
    <w:p>
      <w:pPr>
        <w:spacing w:after="0" w:line="5" w:lineRule="exact"/>
        <w:rPr>
          <w:sz w:val="20"/>
          <w:szCs w:val="20"/>
          <w:color w:val="auto"/>
        </w:rPr>
      </w:pPr>
    </w:p>
    <w:p>
      <w:pPr>
        <w:ind w:left="863"/>
        <w:spacing w:after="0"/>
        <w:rPr>
          <w:sz w:val="20"/>
          <w:szCs w:val="20"/>
          <w:color w:val="auto"/>
        </w:rPr>
      </w:pPr>
      <w:r>
        <w:rPr>
          <w:rFonts w:ascii="Arial" w:cs="Arial" w:eastAsia="Arial" w:hAnsi="Arial"/>
          <w:sz w:val="13"/>
          <w:szCs w:val="13"/>
          <w:color w:val="auto"/>
        </w:rPr>
        <w:t>Commission income - Structuring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549910</wp:posOffset>
            </wp:positionH>
            <wp:positionV relativeFrom="paragraph">
              <wp:posOffset>-93980</wp:posOffset>
            </wp:positionV>
            <wp:extent cx="6191885" cy="104140"/>
            <wp:wrapNone/>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346">
                      <a:extLst>
                        <a:ext uri="{28A0092B-C50C-407E-A947-70E740481C1C}"/>
                      </a:extLst>
                    </a:blip>
                    <a:srcRect/>
                    <a:stretch>
                      <a:fillRect/>
                    </a:stretch>
                  </pic:blipFill>
                  <pic:spPr bwMode="auto">
                    <a:xfrm>
                      <a:off x="0" y="0"/>
                      <a:ext cx="6191885" cy="104140"/>
                    </a:xfrm>
                    <a:prstGeom prst="rect">
                      <a:avLst/>
                    </a:prstGeom>
                    <a:noFill/>
                  </pic:spPr>
                </pic:pic>
              </a:graphicData>
            </a:graphic>
          </wp:anchor>
        </w:drawing>
      </w:r>
    </w:p>
    <w:p>
      <w:pPr>
        <w:ind w:left="863"/>
        <w:spacing w:after="0"/>
        <w:rPr>
          <w:sz w:val="20"/>
          <w:szCs w:val="20"/>
          <w:color w:val="auto"/>
        </w:rPr>
      </w:pPr>
      <w:r>
        <w:rPr>
          <w:rFonts w:ascii="Arial" w:cs="Arial" w:eastAsia="Arial" w:hAnsi="Arial"/>
          <w:sz w:val="13"/>
          <w:szCs w:val="13"/>
          <w:color w:val="auto"/>
        </w:rPr>
        <w:t>Total</w:t>
      </w:r>
    </w:p>
    <w:p>
      <w:pPr>
        <w:spacing w:after="0" w:line="20" w:lineRule="exact"/>
        <w:rPr>
          <w:sz w:val="20"/>
          <w:szCs w:val="20"/>
          <w:color w:val="auto"/>
        </w:rPr>
      </w:pPr>
      <w:r>
        <w:rPr>
          <w:sz w:val="20"/>
          <w:szCs w:val="20"/>
          <w:color w:val="auto"/>
        </w:rPr>
        <w:br w:type="column"/>
      </w: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62"/>
        </w:trPr>
        <w:tc>
          <w:tcPr>
            <w:tcW w:w="1140" w:type="dxa"/>
            <w:vAlign w:val="bottom"/>
            <w:gridSpan w:val="2"/>
          </w:tcPr>
          <w:p>
            <w:pPr>
              <w:jc w:val="right"/>
              <w:ind w:right="896"/>
              <w:spacing w:after="0"/>
              <w:rPr>
                <w:sz w:val="20"/>
                <w:szCs w:val="20"/>
                <w:color w:val="auto"/>
              </w:rPr>
            </w:pPr>
            <w:r>
              <w:rPr>
                <w:rFonts w:ascii="Arial" w:cs="Arial" w:eastAsia="Arial" w:hAnsi="Arial"/>
                <w:sz w:val="13"/>
                <w:szCs w:val="13"/>
                <w:color w:val="auto"/>
                <w:w w:val="73"/>
              </w:rPr>
              <w:t>377</w:t>
            </w:r>
          </w:p>
        </w:tc>
        <w:tc>
          <w:tcPr>
            <w:tcW w:w="180" w:type="dxa"/>
            <w:vAlign w:val="bottom"/>
          </w:tcPr>
          <w:p>
            <w:pPr>
              <w:spacing w:after="0"/>
              <w:rPr>
                <w:sz w:val="14"/>
                <w:szCs w:val="14"/>
                <w:color w:val="auto"/>
              </w:rPr>
            </w:pPr>
          </w:p>
        </w:tc>
        <w:tc>
          <w:tcPr>
            <w:tcW w:w="1080" w:type="dxa"/>
            <w:vAlign w:val="bottom"/>
          </w:tcPr>
          <w:p>
            <w:pPr>
              <w:jc w:val="right"/>
              <w:ind w:right="736"/>
              <w:spacing w:after="0"/>
              <w:rPr>
                <w:sz w:val="20"/>
                <w:szCs w:val="20"/>
                <w:color w:val="auto"/>
              </w:rPr>
            </w:pPr>
            <w:r>
              <w:rPr>
                <w:rFonts w:ascii="Arial" w:cs="Arial" w:eastAsia="Arial" w:hAnsi="Arial"/>
                <w:sz w:val="13"/>
                <w:szCs w:val="13"/>
                <w:color w:val="auto"/>
              </w:rPr>
              <w:t>761</w:t>
            </w:r>
          </w:p>
        </w:tc>
        <w:tc>
          <w:tcPr>
            <w:tcW w:w="620" w:type="dxa"/>
            <w:vAlign w:val="bottom"/>
          </w:tcPr>
          <w:p>
            <w:pPr>
              <w:jc w:val="right"/>
              <w:spacing w:after="0"/>
              <w:rPr>
                <w:sz w:val="20"/>
                <w:szCs w:val="20"/>
                <w:color w:val="auto"/>
              </w:rPr>
            </w:pPr>
            <w:r>
              <w:rPr>
                <w:rFonts w:ascii="Arial" w:cs="Arial" w:eastAsia="Arial" w:hAnsi="Arial"/>
                <w:sz w:val="13"/>
                <w:szCs w:val="13"/>
                <w:color w:val="auto"/>
              </w:rPr>
              <w:t>2,793</w:t>
            </w:r>
          </w:p>
        </w:tc>
      </w:tr>
      <w:tr>
        <w:trPr>
          <w:trHeight w:val="604"/>
        </w:trPr>
        <w:tc>
          <w:tcPr>
            <w:tcW w:w="60" w:type="dxa"/>
            <w:vAlign w:val="bottom"/>
          </w:tcPr>
          <w:p>
            <w:pPr>
              <w:spacing w:after="0"/>
              <w:rPr>
                <w:sz w:val="24"/>
                <w:szCs w:val="24"/>
                <w:color w:val="auto"/>
              </w:rPr>
            </w:pPr>
          </w:p>
        </w:tc>
        <w:tc>
          <w:tcPr>
            <w:tcW w:w="1260" w:type="dxa"/>
            <w:vAlign w:val="bottom"/>
            <w:gridSpan w:val="2"/>
          </w:tcPr>
          <w:p>
            <w:pPr>
              <w:ind w:left="160"/>
              <w:spacing w:after="0"/>
              <w:rPr>
                <w:sz w:val="20"/>
                <w:szCs w:val="20"/>
                <w:color w:val="auto"/>
              </w:rPr>
            </w:pPr>
            <w:r>
              <w:rPr>
                <w:rFonts w:ascii="Arial" w:cs="Arial" w:eastAsia="Arial" w:hAnsi="Arial"/>
                <w:sz w:val="13"/>
                <w:szCs w:val="13"/>
                <w:b w:val="1"/>
                <w:bCs w:val="1"/>
                <w:color w:val="auto"/>
              </w:rPr>
              <w:t>December 31,</w:t>
            </w:r>
          </w:p>
        </w:tc>
        <w:tc>
          <w:tcPr>
            <w:tcW w:w="1080" w:type="dxa"/>
            <w:vAlign w:val="bottom"/>
          </w:tcPr>
          <w:p>
            <w:pPr>
              <w:jc w:val="right"/>
              <w:ind w:right="96"/>
              <w:spacing w:after="0"/>
              <w:rPr>
                <w:sz w:val="20"/>
                <w:szCs w:val="20"/>
                <w:color w:val="auto"/>
              </w:rPr>
            </w:pPr>
            <w:r>
              <w:rPr>
                <w:rFonts w:ascii="Arial" w:cs="Arial" w:eastAsia="Arial" w:hAnsi="Arial"/>
                <w:sz w:val="13"/>
                <w:szCs w:val="13"/>
                <w:b w:val="1"/>
                <w:bCs w:val="1"/>
                <w:color w:val="auto"/>
              </w:rPr>
              <w:t>December 31,</w:t>
            </w:r>
          </w:p>
        </w:tc>
        <w:tc>
          <w:tcPr>
            <w:tcW w:w="620" w:type="dxa"/>
            <w:vAlign w:val="bottom"/>
          </w:tcPr>
          <w:p>
            <w:pPr>
              <w:spacing w:after="0"/>
              <w:rPr>
                <w:sz w:val="24"/>
                <w:szCs w:val="24"/>
                <w:color w:val="auto"/>
              </w:rPr>
            </w:pPr>
          </w:p>
        </w:tc>
      </w:tr>
      <w:tr>
        <w:trPr>
          <w:trHeight w:val="167"/>
        </w:trPr>
        <w:tc>
          <w:tcPr>
            <w:tcW w:w="1140" w:type="dxa"/>
            <w:vAlign w:val="bottom"/>
            <w:gridSpan w:val="2"/>
          </w:tcPr>
          <w:p>
            <w:pPr>
              <w:jc w:val="right"/>
              <w:ind w:right="356"/>
              <w:spacing w:after="0"/>
              <w:rPr>
                <w:sz w:val="20"/>
                <w:szCs w:val="20"/>
                <w:color w:val="auto"/>
              </w:rPr>
            </w:pPr>
            <w:r>
              <w:rPr>
                <w:rFonts w:ascii="Arial" w:cs="Arial" w:eastAsia="Arial" w:hAnsi="Arial"/>
                <w:sz w:val="13"/>
                <w:szCs w:val="13"/>
                <w:b w:val="1"/>
                <w:bCs w:val="1"/>
                <w:color w:val="auto"/>
              </w:rPr>
              <w:t>2017</w:t>
            </w:r>
          </w:p>
        </w:tc>
        <w:tc>
          <w:tcPr>
            <w:tcW w:w="180" w:type="dxa"/>
            <w:vAlign w:val="bottom"/>
          </w:tcPr>
          <w:p>
            <w:pPr>
              <w:spacing w:after="0"/>
              <w:rPr>
                <w:sz w:val="14"/>
                <w:szCs w:val="14"/>
                <w:color w:val="auto"/>
              </w:rPr>
            </w:pPr>
          </w:p>
        </w:tc>
        <w:tc>
          <w:tcPr>
            <w:tcW w:w="1080" w:type="dxa"/>
            <w:vAlign w:val="bottom"/>
          </w:tcPr>
          <w:p>
            <w:pPr>
              <w:jc w:val="right"/>
              <w:ind w:right="356"/>
              <w:spacing w:after="0"/>
              <w:rPr>
                <w:sz w:val="20"/>
                <w:szCs w:val="20"/>
                <w:color w:val="auto"/>
              </w:rPr>
            </w:pPr>
            <w:r>
              <w:rPr>
                <w:rFonts w:ascii="Arial" w:cs="Arial" w:eastAsia="Arial" w:hAnsi="Arial"/>
                <w:sz w:val="13"/>
                <w:szCs w:val="13"/>
                <w:b w:val="1"/>
                <w:bCs w:val="1"/>
                <w:color w:val="auto"/>
              </w:rPr>
              <w:t>2016</w:t>
            </w:r>
          </w:p>
        </w:tc>
        <w:tc>
          <w:tcPr>
            <w:tcW w:w="620" w:type="dxa"/>
            <w:vAlign w:val="bottom"/>
          </w:tcPr>
          <w:p>
            <w:pPr>
              <w:spacing w:after="0"/>
              <w:rPr>
                <w:sz w:val="14"/>
                <w:szCs w:val="14"/>
                <w:color w:val="auto"/>
              </w:rPr>
            </w:pPr>
          </w:p>
        </w:tc>
      </w:tr>
      <w:tr>
        <w:trPr>
          <w:trHeight w:val="135"/>
        </w:trPr>
        <w:tc>
          <w:tcPr>
            <w:tcW w:w="60" w:type="dxa"/>
            <w:vAlign w:val="bottom"/>
          </w:tcPr>
          <w:p>
            <w:pPr>
              <w:spacing w:after="0"/>
              <w:rPr>
                <w:sz w:val="11"/>
                <w:szCs w:val="11"/>
                <w:color w:val="auto"/>
              </w:rPr>
            </w:pPr>
          </w:p>
        </w:tc>
        <w:tc>
          <w:tcPr>
            <w:tcW w:w="1080" w:type="dxa"/>
            <w:vAlign w:val="bottom"/>
            <w:tcBorders>
              <w:top w:val="single" w:sz="8" w:color="auto"/>
            </w:tcBorders>
          </w:tcPr>
          <w:p>
            <w:pPr>
              <w:jc w:val="right"/>
              <w:spacing w:after="0" w:line="135" w:lineRule="exact"/>
              <w:rPr>
                <w:sz w:val="20"/>
                <w:szCs w:val="20"/>
                <w:color w:val="auto"/>
              </w:rPr>
            </w:pPr>
            <w:r>
              <w:rPr>
                <w:rFonts w:ascii="Arial" w:cs="Arial" w:eastAsia="Arial" w:hAnsi="Arial"/>
                <w:sz w:val="13"/>
                <w:szCs w:val="13"/>
                <w:color w:val="auto"/>
              </w:rPr>
              <w:t>476</w:t>
            </w:r>
          </w:p>
        </w:tc>
        <w:tc>
          <w:tcPr>
            <w:tcW w:w="180" w:type="dxa"/>
            <w:vAlign w:val="bottom"/>
          </w:tcPr>
          <w:p>
            <w:pPr>
              <w:spacing w:after="0"/>
              <w:rPr>
                <w:sz w:val="11"/>
                <w:szCs w:val="11"/>
                <w:color w:val="auto"/>
              </w:rPr>
            </w:pPr>
          </w:p>
        </w:tc>
        <w:tc>
          <w:tcPr>
            <w:tcW w:w="1080" w:type="dxa"/>
            <w:vAlign w:val="bottom"/>
            <w:tcBorders>
              <w:top w:val="single" w:sz="8" w:color="auto"/>
            </w:tcBorders>
          </w:tcPr>
          <w:p>
            <w:pPr>
              <w:jc w:val="right"/>
              <w:spacing w:after="0" w:line="135" w:lineRule="exact"/>
              <w:rPr>
                <w:sz w:val="20"/>
                <w:szCs w:val="20"/>
                <w:color w:val="auto"/>
              </w:rPr>
            </w:pPr>
            <w:r>
              <w:rPr>
                <w:rFonts w:ascii="Arial" w:cs="Arial" w:eastAsia="Arial" w:hAnsi="Arial"/>
                <w:sz w:val="13"/>
                <w:szCs w:val="13"/>
                <w:color w:val="auto"/>
              </w:rPr>
              <w:t>1,126</w:t>
            </w:r>
          </w:p>
        </w:tc>
        <w:tc>
          <w:tcPr>
            <w:tcW w:w="620" w:type="dxa"/>
            <w:vAlign w:val="bottom"/>
          </w:tcPr>
          <w:p>
            <w:pPr>
              <w:spacing w:after="0"/>
              <w:rPr>
                <w:sz w:val="11"/>
                <w:szCs w:val="11"/>
                <w:color w:val="auto"/>
              </w:rPr>
            </w:pPr>
          </w:p>
        </w:tc>
      </w:tr>
      <w:tr>
        <w:trPr>
          <w:trHeight w:val="162"/>
        </w:trPr>
        <w:tc>
          <w:tcPr>
            <w:tcW w:w="1140" w:type="dxa"/>
            <w:vAlign w:val="bottom"/>
            <w:gridSpan w:val="2"/>
          </w:tcPr>
          <w:p>
            <w:pPr>
              <w:jc w:val="right"/>
              <w:spacing w:after="0"/>
              <w:rPr>
                <w:sz w:val="20"/>
                <w:szCs w:val="20"/>
                <w:color w:val="auto"/>
              </w:rPr>
            </w:pPr>
            <w:r>
              <w:rPr>
                <w:rFonts w:ascii="Arial" w:cs="Arial" w:eastAsia="Arial" w:hAnsi="Arial"/>
                <w:sz w:val="13"/>
                <w:szCs w:val="13"/>
                <w:color w:val="auto"/>
              </w:rPr>
              <w:t>10,430</w:t>
            </w:r>
          </w:p>
        </w:tc>
        <w:tc>
          <w:tcPr>
            <w:tcW w:w="180" w:type="dxa"/>
            <w:vAlign w:val="bottom"/>
          </w:tcPr>
          <w:p>
            <w:pPr>
              <w:spacing w:after="0"/>
              <w:rPr>
                <w:sz w:val="14"/>
                <w:szCs w:val="14"/>
                <w:color w:val="auto"/>
              </w:rPr>
            </w:pPr>
          </w:p>
        </w:tc>
        <w:tc>
          <w:tcPr>
            <w:tcW w:w="1080" w:type="dxa"/>
            <w:vAlign w:val="bottom"/>
          </w:tcPr>
          <w:p>
            <w:pPr>
              <w:jc w:val="right"/>
              <w:spacing w:after="0"/>
              <w:rPr>
                <w:sz w:val="20"/>
                <w:szCs w:val="20"/>
                <w:color w:val="auto"/>
              </w:rPr>
            </w:pPr>
            <w:r>
              <w:rPr>
                <w:rFonts w:ascii="Arial" w:cs="Arial" w:eastAsia="Arial" w:hAnsi="Arial"/>
                <w:sz w:val="13"/>
                <w:szCs w:val="13"/>
                <w:color w:val="auto"/>
              </w:rPr>
              <w:t>7,458</w:t>
            </w:r>
          </w:p>
        </w:tc>
        <w:tc>
          <w:tcPr>
            <w:tcW w:w="620" w:type="dxa"/>
            <w:vAlign w:val="bottom"/>
          </w:tcPr>
          <w:p>
            <w:pPr>
              <w:spacing w:after="0"/>
              <w:rPr>
                <w:sz w:val="14"/>
                <w:szCs w:val="14"/>
                <w:color w:val="auto"/>
              </w:rPr>
            </w:pPr>
          </w:p>
        </w:tc>
      </w:tr>
      <w:tr>
        <w:trPr>
          <w:trHeight w:val="164"/>
        </w:trPr>
        <w:tc>
          <w:tcPr>
            <w:tcW w:w="1140" w:type="dxa"/>
            <w:vAlign w:val="bottom"/>
            <w:gridSpan w:val="2"/>
          </w:tcPr>
          <w:p>
            <w:pPr>
              <w:jc w:val="right"/>
              <w:spacing w:after="0"/>
              <w:rPr>
                <w:sz w:val="20"/>
                <w:szCs w:val="20"/>
                <w:color w:val="auto"/>
              </w:rPr>
            </w:pPr>
            <w:r>
              <w:rPr>
                <w:rFonts w:ascii="Arial" w:cs="Arial" w:eastAsia="Arial" w:hAnsi="Arial"/>
                <w:sz w:val="13"/>
                <w:szCs w:val="13"/>
                <w:color w:val="auto"/>
              </w:rPr>
              <w:t>6,608</w:t>
            </w:r>
          </w:p>
        </w:tc>
        <w:tc>
          <w:tcPr>
            <w:tcW w:w="180" w:type="dxa"/>
            <w:vAlign w:val="bottom"/>
          </w:tcPr>
          <w:p>
            <w:pPr>
              <w:spacing w:after="0"/>
              <w:rPr>
                <w:sz w:val="14"/>
                <w:szCs w:val="14"/>
                <w:color w:val="auto"/>
              </w:rPr>
            </w:pPr>
          </w:p>
        </w:tc>
        <w:tc>
          <w:tcPr>
            <w:tcW w:w="1080" w:type="dxa"/>
            <w:vAlign w:val="bottom"/>
          </w:tcPr>
          <w:p>
            <w:pPr>
              <w:jc w:val="right"/>
              <w:spacing w:after="0"/>
              <w:rPr>
                <w:sz w:val="20"/>
                <w:szCs w:val="20"/>
                <w:color w:val="auto"/>
              </w:rPr>
            </w:pPr>
            <w:r>
              <w:rPr>
                <w:rFonts w:ascii="Arial" w:cs="Arial" w:eastAsia="Arial" w:hAnsi="Arial"/>
                <w:sz w:val="13"/>
                <w:szCs w:val="13"/>
                <w:color w:val="auto"/>
              </w:rPr>
              <w:t>5,722</w:t>
            </w:r>
          </w:p>
        </w:tc>
        <w:tc>
          <w:tcPr>
            <w:tcW w:w="620" w:type="dxa"/>
            <w:vAlign w:val="bottom"/>
          </w:tcPr>
          <w:p>
            <w:pPr>
              <w:spacing w:after="0"/>
              <w:rPr>
                <w:sz w:val="14"/>
                <w:szCs w:val="14"/>
                <w:color w:val="auto"/>
              </w:rPr>
            </w:pPr>
          </w:p>
        </w:tc>
      </w:tr>
      <w:tr>
        <w:trPr>
          <w:trHeight w:val="162"/>
        </w:trPr>
        <w:tc>
          <w:tcPr>
            <w:tcW w:w="60" w:type="dxa"/>
            <w:vAlign w:val="bottom"/>
          </w:tcPr>
          <w:p>
            <w:pPr>
              <w:spacing w:after="0"/>
              <w:rPr>
                <w:sz w:val="14"/>
                <w:szCs w:val="14"/>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17,514</w:t>
            </w:r>
          </w:p>
        </w:tc>
        <w:tc>
          <w:tcPr>
            <w:tcW w:w="180" w:type="dxa"/>
            <w:vAlign w:val="bottom"/>
          </w:tcPr>
          <w:p>
            <w:pPr>
              <w:spacing w:after="0"/>
              <w:rPr>
                <w:sz w:val="14"/>
                <w:szCs w:val="14"/>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14,306</w:t>
            </w:r>
          </w:p>
        </w:tc>
        <w:tc>
          <w:tcPr>
            <w:tcW w:w="620" w:type="dxa"/>
            <w:vAlign w:val="bottom"/>
          </w:tcPr>
          <w:p>
            <w:pPr>
              <w:spacing w:after="0"/>
              <w:rPr>
                <w:sz w:val="14"/>
                <w:szCs w:val="14"/>
                <w:color w:val="auto"/>
              </w:rPr>
            </w:pPr>
          </w:p>
        </w:tc>
      </w:tr>
    </w:tbl>
    <w:p>
      <w:pPr>
        <w:spacing w:after="0" w:line="200" w:lineRule="exact"/>
        <w:rPr>
          <w:sz w:val="20"/>
          <w:szCs w:val="20"/>
          <w:color w:val="auto"/>
        </w:rPr>
      </w:pPr>
    </w:p>
    <w:p>
      <w:pPr>
        <w:sectPr>
          <w:pgSz w:w="11900" w:h="16838" w:orient="portrait"/>
          <w:cols w:equalWidth="0" w:num="2">
            <w:col w:w="7403" w:space="720"/>
            <w:col w:w="3120"/>
          </w:cols>
          <w:pgMar w:left="217" w:top="685" w:right="439" w:bottom="1440" w:gutter="0" w:footer="0" w:header="0"/>
          <w:type w:val="continuous"/>
        </w:sectPr>
      </w:pPr>
    </w:p>
    <w:p>
      <w:pPr>
        <w:spacing w:after="0" w:line="99" w:lineRule="exact"/>
        <w:rPr>
          <w:sz w:val="20"/>
          <w:szCs w:val="20"/>
          <w:color w:val="auto"/>
        </w:rPr>
      </w:pPr>
    </w:p>
    <w:p>
      <w:pPr>
        <w:jc w:val="center"/>
        <w:ind w:right="-242"/>
        <w:spacing w:after="0"/>
        <w:rPr>
          <w:sz w:val="20"/>
          <w:szCs w:val="20"/>
          <w:color w:val="auto"/>
        </w:rPr>
      </w:pPr>
      <w:r>
        <w:rPr>
          <w:rFonts w:ascii="Arial" w:cs="Arial" w:eastAsia="Arial" w:hAnsi="Arial"/>
          <w:sz w:val="11"/>
          <w:szCs w:val="11"/>
          <w:color w:val="auto"/>
        </w:rPr>
        <w:t>F-81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29210</wp:posOffset>
            </wp:positionV>
            <wp:extent cx="7285990" cy="6350"/>
            <wp:wrapNone/>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34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243"/>
          </w:cols>
          <w:pgMar w:left="217" w:top="685" w:right="439" w:bottom="1440" w:gutter="0" w:footer="0" w:header="0"/>
          <w:type w:val="continuous"/>
        </w:sectPr>
      </w:pPr>
    </w:p>
    <w:bookmarkStart w:id="206" w:name="page207"/>
    <w:bookmarkEnd w:id="206"/>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34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right="9620" w:hanging="223"/>
        <w:spacing w:after="0" w:line="588" w:lineRule="auto"/>
        <w:tabs>
          <w:tab w:leader="none" w:pos="223" w:val="left"/>
        </w:tabs>
        <w:numPr>
          <w:ilvl w:val="0"/>
          <w:numId w:val="171"/>
        </w:numPr>
        <w:rPr>
          <w:rFonts w:ascii="Arial" w:cs="Arial" w:eastAsia="Arial" w:hAnsi="Arial"/>
          <w:sz w:val="11"/>
          <w:szCs w:val="11"/>
          <w:b w:val="1"/>
          <w:bCs w:val="1"/>
          <w:color w:val="auto"/>
        </w:rPr>
      </w:pPr>
      <w:r>
        <w:rPr>
          <w:rFonts w:ascii="Arial" w:cs="Arial" w:eastAsia="Arial" w:hAnsi="Arial"/>
          <w:sz w:val="11"/>
          <w:szCs w:val="11"/>
          <w:b w:val="1"/>
          <w:bCs w:val="1"/>
          <w:color w:val="auto"/>
        </w:rPr>
        <w:t xml:space="preserve">Business segment information </w:t>
      </w:r>
      <w:r>
        <w:rPr>
          <w:rFonts w:ascii="Arial" w:cs="Arial" w:eastAsia="Arial" w:hAnsi="Arial"/>
          <w:sz w:val="11"/>
          <w:szCs w:val="11"/>
          <w:b w:val="1"/>
          <w:bCs w:val="1"/>
          <w:u w:val="single" w:color="auto"/>
          <w:color w:val="auto"/>
        </w:rPr>
        <w:t>Basis for segmentation</w:t>
      </w:r>
    </w:p>
    <w:p>
      <w:pPr>
        <w:jc w:val="both"/>
        <w:ind w:left="223" w:right="20"/>
        <w:spacing w:after="0" w:line="314" w:lineRule="auto"/>
        <w:rPr>
          <w:rFonts w:ascii="Arial" w:cs="Arial" w:eastAsia="Arial" w:hAnsi="Arial"/>
          <w:sz w:val="11"/>
          <w:szCs w:val="11"/>
          <w:b w:val="1"/>
          <w:bCs w:val="1"/>
          <w:color w:val="auto"/>
        </w:rPr>
      </w:pPr>
      <w:r>
        <w:rPr>
          <w:rFonts w:ascii="Arial" w:cs="Arial" w:eastAsia="Arial" w:hAnsi="Arial"/>
          <w:sz w:val="11"/>
          <w:szCs w:val="11"/>
          <w:color w:val="auto"/>
        </w:rPr>
        <w:t>The Bank’s activities are managed and executed in two business segments: Commercial and Treasury. The business segment results are determined based on the Bank’s managerial accounting process as defined by IFRS 8 – Operating Segments, which assigns assets, liabilities, revenue and expense items to each business segment on a systematic basis. The maximum decision-making operating authority of the Bank is represented by the Chief Executive Officer and the Executive Committee, which review the internal management reports for each division at least every six months. Segment profit, as included in the internal management reports is used to measure performance as management believes that this information is the most relevant in evaluating the results of the respective segments relative to other entities that operate within the same industry.</w:t>
      </w:r>
    </w:p>
    <w:p>
      <w:pPr>
        <w:spacing w:after="0" w:line="108" w:lineRule="exact"/>
        <w:rPr>
          <w:rFonts w:ascii="Arial" w:cs="Arial" w:eastAsia="Arial" w:hAnsi="Arial"/>
          <w:sz w:val="11"/>
          <w:szCs w:val="11"/>
          <w:b w:val="1"/>
          <w:bCs w:val="1"/>
          <w:color w:val="auto"/>
        </w:rPr>
      </w:pPr>
    </w:p>
    <w:p>
      <w:pPr>
        <w:jc w:val="both"/>
        <w:ind w:left="223"/>
        <w:spacing w:after="0" w:line="254" w:lineRule="auto"/>
        <w:rPr>
          <w:rFonts w:ascii="Arial" w:cs="Arial" w:eastAsia="Arial" w:hAnsi="Arial"/>
          <w:sz w:val="11"/>
          <w:szCs w:val="11"/>
          <w:b w:val="1"/>
          <w:bCs w:val="1"/>
          <w:color w:val="auto"/>
        </w:rPr>
      </w:pPr>
      <w:r>
        <w:rPr>
          <w:rFonts w:ascii="Arial" w:cs="Arial" w:eastAsia="Arial" w:hAnsi="Arial"/>
          <w:sz w:val="13"/>
          <w:szCs w:val="13"/>
          <w:color w:val="auto"/>
        </w:rPr>
        <w:t>The Bank’s net interest income represents the main driver of profits; therefore, the Bank presents its interest-earning assets by business segment, to give an indication of the size of business generating net interest income. Interest-earning assets also generate gains and losses on sales, mainly from financial instruments at fair value through OCI and financial instruments at fair value through profit or loss, which are included in net other income, in the Treasury Segment. The Bank also discloses its other assets and contingencies by business segment, to give an indication of the size of business that generates net fees and commissions, also included in net other income, in the Commercial Business Segment.</w:t>
      </w:r>
    </w:p>
    <w:p>
      <w:pPr>
        <w:spacing w:after="0" w:line="137" w:lineRule="exact"/>
        <w:rPr>
          <w:rFonts w:ascii="Arial" w:cs="Arial" w:eastAsia="Arial" w:hAnsi="Arial"/>
          <w:sz w:val="11"/>
          <w:szCs w:val="11"/>
          <w:b w:val="1"/>
          <w:bCs w:val="1"/>
          <w:color w:val="auto"/>
        </w:rPr>
      </w:pPr>
    </w:p>
    <w:p>
      <w:pPr>
        <w:jc w:val="both"/>
        <w:ind w:left="223"/>
        <w:spacing w:after="0" w:line="257" w:lineRule="auto"/>
        <w:rPr>
          <w:rFonts w:ascii="Arial" w:cs="Arial" w:eastAsia="Arial" w:hAnsi="Arial"/>
          <w:sz w:val="11"/>
          <w:szCs w:val="11"/>
          <w:b w:val="1"/>
          <w:bCs w:val="1"/>
          <w:color w:val="auto"/>
        </w:rPr>
      </w:pPr>
      <w:r>
        <w:rPr>
          <w:rFonts w:ascii="Arial" w:cs="Arial" w:eastAsia="Arial" w:hAnsi="Arial"/>
          <w:sz w:val="13"/>
          <w:szCs w:val="13"/>
          <w:color w:val="auto"/>
        </w:rPr>
        <w:t>The Commercial Business Segment encompasses the Bank’s core business of financial intermediation and fee generation activities catering to corporations, financial institutions and investors in Latin America. These activities include the origination of bilateral short-term and medium-term loans, structured and syndicated credits, loan commitments, and financial guarantee contracts such as issued and confirmed letters of credit, stand-by letters of credit, guarantees covering commercial risk, and other assets consisting of customers’ liabilities under acceptances.</w:t>
      </w:r>
    </w:p>
    <w:p>
      <w:pPr>
        <w:spacing w:after="0" w:line="135" w:lineRule="exact"/>
        <w:rPr>
          <w:rFonts w:ascii="Arial" w:cs="Arial" w:eastAsia="Arial" w:hAnsi="Arial"/>
          <w:sz w:val="11"/>
          <w:szCs w:val="11"/>
          <w:b w:val="1"/>
          <w:bCs w:val="1"/>
          <w:color w:val="auto"/>
        </w:rPr>
      </w:pPr>
    </w:p>
    <w:p>
      <w:pPr>
        <w:jc w:val="both"/>
        <w:ind w:left="223"/>
        <w:spacing w:after="0" w:line="257" w:lineRule="auto"/>
        <w:rPr>
          <w:rFonts w:ascii="Arial" w:cs="Arial" w:eastAsia="Arial" w:hAnsi="Arial"/>
          <w:sz w:val="11"/>
          <w:szCs w:val="11"/>
          <w:b w:val="1"/>
          <w:bCs w:val="1"/>
          <w:color w:val="auto"/>
        </w:rPr>
      </w:pPr>
      <w:r>
        <w:rPr>
          <w:rFonts w:ascii="Arial" w:cs="Arial" w:eastAsia="Arial" w:hAnsi="Arial"/>
          <w:sz w:val="13"/>
          <w:szCs w:val="13"/>
          <w:color w:val="auto"/>
        </w:rPr>
        <w:t>Profits from the Commercial Business Segment include (i) net interest income from loans; (ii) fees and commissions from the issuance, confirmation and negotiation of letters of credit, guarantees and loan commitments, and through loan structuring and syndication activities; (iii) gain on sale of loans generated through loan intermediation activities, such as sales in the secondary market and distribution in the primary market; (iv) impairment loss on financial instruments; and (v) direct and allocated operating expenses.</w:t>
      </w:r>
    </w:p>
    <w:p>
      <w:pPr>
        <w:spacing w:after="0" w:line="135" w:lineRule="exact"/>
        <w:rPr>
          <w:rFonts w:ascii="Arial" w:cs="Arial" w:eastAsia="Arial" w:hAnsi="Arial"/>
          <w:sz w:val="11"/>
          <w:szCs w:val="11"/>
          <w:b w:val="1"/>
          <w:bCs w:val="1"/>
          <w:color w:val="auto"/>
        </w:rPr>
      </w:pPr>
    </w:p>
    <w:p>
      <w:pPr>
        <w:jc w:val="both"/>
        <w:ind w:left="223"/>
        <w:spacing w:after="0" w:line="281" w:lineRule="auto"/>
        <w:rPr>
          <w:rFonts w:ascii="Arial" w:cs="Arial" w:eastAsia="Arial" w:hAnsi="Arial"/>
          <w:sz w:val="11"/>
          <w:szCs w:val="11"/>
          <w:b w:val="1"/>
          <w:bCs w:val="1"/>
          <w:color w:val="auto"/>
        </w:rPr>
      </w:pPr>
      <w:r>
        <w:rPr>
          <w:rFonts w:ascii="Arial" w:cs="Arial" w:eastAsia="Arial" w:hAnsi="Arial"/>
          <w:sz w:val="12"/>
          <w:szCs w:val="12"/>
          <w:color w:val="auto"/>
        </w:rPr>
        <w:t>The Treasury Business Segment focuses on managing the Bank’s investment portfolio, and the overall structure of its assets and liabilities to achieve more efficient funding and liquidity positions for the Bank, mitigating the traditional financial risks associated with the balance sheet, such as interest rate, liquidity, price and currency risks. Interest-earning assets managed by the Treasury Business Segment include liquidity positions in cash and cash equivalents, and financial instruments related to the investment management activities, consisting of securities at FVOCI and securities at amortized cost. The Treasury Business Segment also manages the Bank’s interest-bearing liabilities, which constitute its funding sources, mainly deposits, short- and long-term borrowings and debt.</w:t>
      </w:r>
    </w:p>
    <w:p>
      <w:pPr>
        <w:spacing w:after="0" w:line="123" w:lineRule="exact"/>
        <w:rPr>
          <w:rFonts w:ascii="Arial" w:cs="Arial" w:eastAsia="Arial" w:hAnsi="Arial"/>
          <w:sz w:val="11"/>
          <w:szCs w:val="11"/>
          <w:b w:val="1"/>
          <w:bCs w:val="1"/>
          <w:color w:val="auto"/>
        </w:rPr>
      </w:pPr>
    </w:p>
    <w:p>
      <w:pPr>
        <w:jc w:val="both"/>
        <w:ind w:left="223" w:right="20"/>
        <w:spacing w:after="0" w:line="257" w:lineRule="auto"/>
        <w:rPr>
          <w:rFonts w:ascii="Arial" w:cs="Arial" w:eastAsia="Arial" w:hAnsi="Arial"/>
          <w:sz w:val="11"/>
          <w:szCs w:val="11"/>
          <w:b w:val="1"/>
          <w:bCs w:val="1"/>
          <w:color w:val="auto"/>
        </w:rPr>
      </w:pPr>
      <w:r>
        <w:rPr>
          <w:rFonts w:ascii="Arial" w:cs="Arial" w:eastAsia="Arial" w:hAnsi="Arial"/>
          <w:sz w:val="13"/>
          <w:szCs w:val="13"/>
          <w:color w:val="auto"/>
        </w:rPr>
        <w:t>Profits from the Treasury Business Segment include net interest income derived from the above mentioned treasury assets and liabilities, and related net other income (net results from derivative financial instruments and foreign currency exchange, gain (loss) per financial instruments at FVTPL, gain (loss) on sale of securities at FVOCI, and other income), recovery or impairment loss on financial instruments, and direct and allocated operating expenses.</w:t>
      </w:r>
    </w:p>
    <w:p>
      <w:pPr>
        <w:spacing w:after="0" w:line="290"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F-82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34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207" w:name="page208"/>
    <w:bookmarkEnd w:id="207"/>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35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right="8960" w:hanging="223"/>
        <w:spacing w:after="0" w:line="588" w:lineRule="auto"/>
        <w:tabs>
          <w:tab w:leader="none" w:pos="223" w:val="left"/>
        </w:tabs>
        <w:numPr>
          <w:ilvl w:val="0"/>
          <w:numId w:val="172"/>
        </w:numPr>
        <w:rPr>
          <w:rFonts w:ascii="Arial" w:cs="Arial" w:eastAsia="Arial" w:hAnsi="Arial"/>
          <w:sz w:val="11"/>
          <w:szCs w:val="11"/>
          <w:b w:val="1"/>
          <w:bCs w:val="1"/>
          <w:color w:val="auto"/>
        </w:rPr>
      </w:pPr>
      <w:r>
        <w:rPr>
          <w:rFonts w:ascii="Arial" w:cs="Arial" w:eastAsia="Arial" w:hAnsi="Arial"/>
          <w:sz w:val="11"/>
          <w:szCs w:val="11"/>
          <w:b w:val="1"/>
          <w:bCs w:val="1"/>
          <w:color w:val="auto"/>
        </w:rPr>
        <w:t xml:space="preserve">Business segment information (continued) </w:t>
      </w:r>
      <w:r>
        <w:rPr>
          <w:rFonts w:ascii="Arial" w:cs="Arial" w:eastAsia="Arial" w:hAnsi="Arial"/>
          <w:sz w:val="11"/>
          <w:szCs w:val="11"/>
          <w:b w:val="1"/>
          <w:bCs w:val="1"/>
          <w:u w:val="single" w:color="auto"/>
          <w:color w:val="auto"/>
        </w:rPr>
        <w:t>Information about reportable segments</w:t>
      </w:r>
    </w:p>
    <w:p>
      <w:pPr>
        <w:ind w:left="223"/>
        <w:spacing w:after="0"/>
        <w:rPr>
          <w:rFonts w:ascii="Arial" w:cs="Arial" w:eastAsia="Arial" w:hAnsi="Arial"/>
          <w:sz w:val="11"/>
          <w:szCs w:val="11"/>
          <w:b w:val="1"/>
          <w:bCs w:val="1"/>
          <w:color w:val="auto"/>
        </w:rPr>
      </w:pPr>
      <w:r>
        <w:rPr>
          <w:rFonts w:ascii="Arial" w:cs="Arial" w:eastAsia="Arial" w:hAnsi="Arial"/>
          <w:sz w:val="13"/>
          <w:szCs w:val="13"/>
          <w:color w:val="auto"/>
        </w:rPr>
        <w:t>The following table provides certain information regarding the Bank’s operations by segment:</w:t>
      </w:r>
    </w:p>
    <w:p>
      <w:pPr>
        <w:spacing w:after="0" w:line="164" w:lineRule="exact"/>
        <w:rPr>
          <w:sz w:val="20"/>
          <w:szCs w:val="20"/>
          <w:color w:val="auto"/>
        </w:rPr>
      </w:pPr>
    </w:p>
    <w:tbl>
      <w:tblPr>
        <w:tblLayout w:type="fixed"/>
        <w:tblInd w:w="3" w:type="dxa"/>
        <w:tblCellMar>
          <w:top w:w="0" w:type="dxa"/>
          <w:left w:w="0" w:type="dxa"/>
          <w:bottom w:w="0" w:type="dxa"/>
          <w:right w:w="0" w:type="dxa"/>
        </w:tblCellMar>
      </w:tblPr>
      <w:tr>
        <w:trPr>
          <w:trHeight w:val="167"/>
        </w:trPr>
        <w:tc>
          <w:tcPr>
            <w:tcW w:w="220" w:type="dxa"/>
            <w:vAlign w:val="bottom"/>
          </w:tcPr>
          <w:p>
            <w:pPr>
              <w:spacing w:after="0"/>
              <w:rPr>
                <w:sz w:val="14"/>
                <w:szCs w:val="14"/>
                <w:color w:val="auto"/>
              </w:rPr>
            </w:pPr>
          </w:p>
        </w:tc>
        <w:tc>
          <w:tcPr>
            <w:tcW w:w="3720" w:type="dxa"/>
            <w:vAlign w:val="bottom"/>
          </w:tcPr>
          <w:p>
            <w:pPr>
              <w:spacing w:after="0"/>
              <w:rPr>
                <w:sz w:val="14"/>
                <w:szCs w:val="14"/>
                <w:color w:val="auto"/>
              </w:rPr>
            </w:pPr>
          </w:p>
        </w:tc>
        <w:tc>
          <w:tcPr>
            <w:tcW w:w="3120" w:type="dxa"/>
            <w:vAlign w:val="bottom"/>
          </w:tcPr>
          <w:p>
            <w:pPr>
              <w:spacing w:after="0"/>
              <w:rPr>
                <w:sz w:val="14"/>
                <w:szCs w:val="14"/>
                <w:color w:val="auto"/>
              </w:rPr>
            </w:pPr>
          </w:p>
        </w:tc>
        <w:tc>
          <w:tcPr>
            <w:tcW w:w="122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420" w:type="dxa"/>
            <w:vAlign w:val="bottom"/>
            <w:tcBorders>
              <w:bottom w:val="single" w:sz="8" w:color="auto"/>
            </w:tcBorders>
            <w:gridSpan w:val="2"/>
          </w:tcPr>
          <w:p>
            <w:pPr>
              <w:jc w:val="right"/>
              <w:ind w:right="320"/>
              <w:spacing w:after="0"/>
              <w:rPr>
                <w:sz w:val="20"/>
                <w:szCs w:val="20"/>
                <w:color w:val="auto"/>
              </w:rPr>
            </w:pPr>
            <w:r>
              <w:rPr>
                <w:rFonts w:ascii="Arial" w:cs="Arial" w:eastAsia="Arial" w:hAnsi="Arial"/>
                <w:sz w:val="13"/>
                <w:szCs w:val="13"/>
                <w:b w:val="1"/>
                <w:bCs w:val="1"/>
                <w:color w:val="auto"/>
                <w:w w:val="92"/>
              </w:rPr>
              <w:t>December 31, 2018</w:t>
            </w:r>
          </w:p>
        </w:tc>
        <w:tc>
          <w:tcPr>
            <w:tcW w:w="120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720" w:type="dxa"/>
            <w:vAlign w:val="bottom"/>
          </w:tcPr>
          <w:p>
            <w:pPr>
              <w:spacing w:after="0"/>
              <w:rPr>
                <w:sz w:val="13"/>
                <w:szCs w:val="13"/>
                <w:color w:val="auto"/>
              </w:rPr>
            </w:pPr>
          </w:p>
        </w:tc>
        <w:tc>
          <w:tcPr>
            <w:tcW w:w="3120" w:type="dxa"/>
            <w:vAlign w:val="bottom"/>
          </w:tcPr>
          <w:p>
            <w:pPr>
              <w:spacing w:after="0"/>
              <w:rPr>
                <w:sz w:val="13"/>
                <w:szCs w:val="13"/>
                <w:color w:val="auto"/>
              </w:rPr>
            </w:pPr>
          </w:p>
        </w:tc>
        <w:tc>
          <w:tcPr>
            <w:tcW w:w="1460" w:type="dxa"/>
            <w:vAlign w:val="bottom"/>
            <w:gridSpan w:val="2"/>
          </w:tcPr>
          <w:p>
            <w:pPr>
              <w:jc w:val="right"/>
              <w:ind w:right="560"/>
              <w:spacing w:after="0"/>
              <w:rPr>
                <w:sz w:val="20"/>
                <w:szCs w:val="20"/>
                <w:color w:val="auto"/>
              </w:rPr>
            </w:pPr>
            <w:r>
              <w:rPr>
                <w:rFonts w:ascii="Arial" w:cs="Arial" w:eastAsia="Arial" w:hAnsi="Arial"/>
                <w:sz w:val="13"/>
                <w:szCs w:val="13"/>
                <w:b w:val="1"/>
                <w:bCs w:val="1"/>
                <w:color w:val="auto"/>
              </w:rPr>
              <w:t>Comercial</w:t>
            </w:r>
          </w:p>
        </w:tc>
        <w:tc>
          <w:tcPr>
            <w:tcW w:w="1420" w:type="dxa"/>
            <w:vAlign w:val="bottom"/>
            <w:gridSpan w:val="2"/>
          </w:tcPr>
          <w:p>
            <w:pPr>
              <w:jc w:val="right"/>
              <w:ind w:right="580"/>
              <w:spacing w:after="0"/>
              <w:rPr>
                <w:sz w:val="20"/>
                <w:szCs w:val="20"/>
                <w:color w:val="auto"/>
              </w:rPr>
            </w:pPr>
            <w:r>
              <w:rPr>
                <w:rFonts w:ascii="Arial" w:cs="Arial" w:eastAsia="Arial" w:hAnsi="Arial"/>
                <w:sz w:val="13"/>
                <w:szCs w:val="13"/>
                <w:b w:val="1"/>
                <w:bCs w:val="1"/>
                <w:color w:val="auto"/>
              </w:rPr>
              <w:t>Treasury</w:t>
            </w:r>
          </w:p>
        </w:tc>
        <w:tc>
          <w:tcPr>
            <w:tcW w:w="1200" w:type="dxa"/>
            <w:vAlign w:val="bottom"/>
          </w:tcPr>
          <w:p>
            <w:pPr>
              <w:jc w:val="right"/>
              <w:ind w:right="396"/>
              <w:spacing w:after="0"/>
              <w:rPr>
                <w:sz w:val="20"/>
                <w:szCs w:val="20"/>
                <w:color w:val="auto"/>
              </w:rPr>
            </w:pPr>
            <w:r>
              <w:rPr>
                <w:rFonts w:ascii="Arial" w:cs="Arial" w:eastAsia="Arial" w:hAnsi="Arial"/>
                <w:sz w:val="13"/>
                <w:szCs w:val="13"/>
                <w:b w:val="1"/>
                <w:bCs w:val="1"/>
                <w:color w:val="auto"/>
              </w:rPr>
              <w:t>Total</w:t>
            </w: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3720" w:type="dxa"/>
            <w:vAlign w:val="bottom"/>
            <w:tcBorders>
              <w:top w:val="single" w:sz="8" w:color="CCEEFF"/>
            </w:tcBorders>
            <w:shd w:val="clear" w:color="auto" w:fill="CCEEFF"/>
          </w:tcPr>
          <w:p>
            <w:pPr>
              <w:ind w:left="120"/>
              <w:spacing w:after="0" w:line="143" w:lineRule="exact"/>
              <w:rPr>
                <w:sz w:val="20"/>
                <w:szCs w:val="20"/>
                <w:color w:val="auto"/>
              </w:rPr>
            </w:pPr>
            <w:r>
              <w:rPr>
                <w:rFonts w:ascii="Arial" w:cs="Arial" w:eastAsia="Arial" w:hAnsi="Arial"/>
                <w:sz w:val="13"/>
                <w:szCs w:val="13"/>
                <w:color w:val="auto"/>
              </w:rPr>
              <w:t>Interest income</w:t>
            </w:r>
          </w:p>
        </w:tc>
        <w:tc>
          <w:tcPr>
            <w:tcW w:w="312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239,976</w:t>
            </w:r>
          </w:p>
        </w:tc>
        <w:tc>
          <w:tcPr>
            <w:tcW w:w="24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18,514</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258,490</w:t>
            </w:r>
          </w:p>
        </w:tc>
        <w:tc>
          <w:tcPr>
            <w:tcW w:w="100" w:type="dxa"/>
            <w:vAlign w:val="bottom"/>
            <w:tcBorders>
              <w:top w:val="single" w:sz="8" w:color="CCEEFF"/>
            </w:tcBorders>
            <w:shd w:val="clear" w:color="auto" w:fill="CCEEFF"/>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720" w:type="dxa"/>
            <w:vAlign w:val="bottom"/>
          </w:tcPr>
          <w:p>
            <w:pPr>
              <w:ind w:left="120"/>
              <w:spacing w:after="0"/>
              <w:rPr>
                <w:sz w:val="20"/>
                <w:szCs w:val="20"/>
                <w:color w:val="auto"/>
              </w:rPr>
            </w:pPr>
            <w:r>
              <w:rPr>
                <w:rFonts w:ascii="Arial" w:cs="Arial" w:eastAsia="Arial" w:hAnsi="Arial"/>
                <w:sz w:val="13"/>
                <w:szCs w:val="13"/>
                <w:color w:val="auto"/>
              </w:rPr>
              <w:t>Interest expense</w:t>
            </w:r>
          </w:p>
        </w:tc>
        <w:tc>
          <w:tcPr>
            <w:tcW w:w="434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1420" w:type="dxa"/>
            <w:vAlign w:val="bottom"/>
            <w:gridSpan w:val="2"/>
          </w:tcPr>
          <w:p>
            <w:pPr>
              <w:jc w:val="right"/>
              <w:ind w:right="180"/>
              <w:spacing w:after="0"/>
              <w:rPr>
                <w:sz w:val="20"/>
                <w:szCs w:val="20"/>
                <w:color w:val="auto"/>
              </w:rPr>
            </w:pPr>
            <w:r>
              <w:rPr>
                <w:rFonts w:ascii="Arial" w:cs="Arial" w:eastAsia="Arial" w:hAnsi="Arial"/>
                <w:sz w:val="13"/>
                <w:szCs w:val="13"/>
                <w:color w:val="auto"/>
              </w:rPr>
              <w:t>(148,747)</w:t>
            </w:r>
          </w:p>
        </w:tc>
        <w:tc>
          <w:tcPr>
            <w:tcW w:w="1300" w:type="dxa"/>
            <w:vAlign w:val="bottom"/>
            <w:gridSpan w:val="2"/>
          </w:tcPr>
          <w:p>
            <w:pPr>
              <w:jc w:val="right"/>
              <w:ind w:right="60"/>
              <w:spacing w:after="0"/>
              <w:rPr>
                <w:sz w:val="20"/>
                <w:szCs w:val="20"/>
                <w:color w:val="auto"/>
              </w:rPr>
            </w:pPr>
            <w:r>
              <w:rPr>
                <w:rFonts w:ascii="Arial" w:cs="Arial" w:eastAsia="Arial" w:hAnsi="Arial"/>
                <w:sz w:val="13"/>
                <w:szCs w:val="13"/>
                <w:color w:val="auto"/>
              </w:rPr>
              <w:t>(148,747)</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37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Inter-segment net interest income</w:t>
            </w:r>
          </w:p>
        </w:tc>
        <w:tc>
          <w:tcPr>
            <w:tcW w:w="4580" w:type="dxa"/>
            <w:vAlign w:val="bottom"/>
            <w:gridSpan w:val="3"/>
            <w:shd w:val="clear" w:color="auto" w:fill="CCEEFF"/>
          </w:tcPr>
          <w:p>
            <w:pPr>
              <w:jc w:val="right"/>
              <w:ind w:right="200"/>
              <w:spacing w:after="0"/>
              <w:rPr>
                <w:sz w:val="20"/>
                <w:szCs w:val="20"/>
                <w:color w:val="auto"/>
              </w:rPr>
            </w:pPr>
            <w:r>
              <w:rPr>
                <w:rFonts w:ascii="Arial" w:cs="Arial" w:eastAsia="Arial" w:hAnsi="Arial"/>
                <w:sz w:val="13"/>
                <w:szCs w:val="13"/>
                <w:color w:val="auto"/>
              </w:rPr>
              <w:t>(130,195)</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130,195</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3940" w:type="dxa"/>
            <w:vAlign w:val="bottom"/>
            <w:gridSpan w:val="2"/>
          </w:tcPr>
          <w:p>
            <w:pPr>
              <w:ind w:left="220"/>
              <w:spacing w:after="0" w:line="143" w:lineRule="exact"/>
              <w:rPr>
                <w:sz w:val="20"/>
                <w:szCs w:val="20"/>
                <w:color w:val="auto"/>
              </w:rPr>
            </w:pPr>
            <w:r>
              <w:rPr>
                <w:rFonts w:ascii="Arial" w:cs="Arial" w:eastAsia="Arial" w:hAnsi="Arial"/>
                <w:sz w:val="13"/>
                <w:szCs w:val="13"/>
                <w:color w:val="auto"/>
              </w:rPr>
              <w:t>Net interest income</w:t>
            </w:r>
          </w:p>
        </w:tc>
        <w:tc>
          <w:tcPr>
            <w:tcW w:w="3120" w:type="dxa"/>
            <w:vAlign w:val="bottom"/>
          </w:tcPr>
          <w:p>
            <w:pPr>
              <w:spacing w:after="0"/>
              <w:rPr>
                <w:sz w:val="12"/>
                <w:szCs w:val="12"/>
                <w:color w:val="auto"/>
              </w:rPr>
            </w:pPr>
          </w:p>
        </w:tc>
        <w:tc>
          <w:tcPr>
            <w:tcW w:w="122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109,781</w:t>
            </w:r>
          </w:p>
        </w:tc>
        <w:tc>
          <w:tcPr>
            <w:tcW w:w="24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(38)</w:t>
            </w:r>
          </w:p>
        </w:tc>
        <w:tc>
          <w:tcPr>
            <w:tcW w:w="22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109,743</w:t>
            </w:r>
          </w:p>
        </w:tc>
        <w:tc>
          <w:tcPr>
            <w:tcW w:w="1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3720" w:type="dxa"/>
            <w:vAlign w:val="bottom"/>
            <w:shd w:val="clear" w:color="auto" w:fill="CCEEFF"/>
          </w:tcPr>
          <w:p>
            <w:pPr>
              <w:spacing w:after="0"/>
              <w:rPr>
                <w:sz w:val="20"/>
                <w:szCs w:val="20"/>
                <w:color w:val="auto"/>
              </w:rPr>
            </w:pPr>
            <w:r>
              <w:rPr>
                <w:rFonts w:ascii="Arial" w:cs="Arial" w:eastAsia="Arial" w:hAnsi="Arial"/>
                <w:sz w:val="13"/>
                <w:szCs w:val="13"/>
                <w:color w:val="auto"/>
              </w:rPr>
              <w:t>Other income (expense), net</w:t>
            </w:r>
          </w:p>
        </w:tc>
        <w:tc>
          <w:tcPr>
            <w:tcW w:w="4580" w:type="dxa"/>
            <w:vAlign w:val="bottom"/>
            <w:gridSpan w:val="3"/>
            <w:shd w:val="clear" w:color="auto" w:fill="CCEEFF"/>
          </w:tcPr>
          <w:p>
            <w:pPr>
              <w:jc w:val="right"/>
              <w:ind w:right="240"/>
              <w:spacing w:after="0"/>
              <w:rPr>
                <w:sz w:val="20"/>
                <w:szCs w:val="20"/>
                <w:color w:val="auto"/>
              </w:rPr>
            </w:pPr>
            <w:r>
              <w:rPr>
                <w:rFonts w:ascii="Arial" w:cs="Arial" w:eastAsia="Arial" w:hAnsi="Arial"/>
                <w:sz w:val="13"/>
                <w:szCs w:val="13"/>
                <w:color w:val="auto"/>
              </w:rPr>
              <w:t>18,002</w:t>
            </w:r>
          </w:p>
        </w:tc>
        <w:tc>
          <w:tcPr>
            <w:tcW w:w="14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(156)</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17,846</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3940" w:type="dxa"/>
            <w:vAlign w:val="bottom"/>
            <w:gridSpan w:val="2"/>
          </w:tcPr>
          <w:p>
            <w:pPr>
              <w:ind w:left="220"/>
              <w:spacing w:after="0" w:line="143" w:lineRule="exact"/>
              <w:rPr>
                <w:sz w:val="20"/>
                <w:szCs w:val="20"/>
                <w:color w:val="auto"/>
              </w:rPr>
            </w:pPr>
            <w:r>
              <w:rPr>
                <w:rFonts w:ascii="Arial" w:cs="Arial" w:eastAsia="Arial" w:hAnsi="Arial"/>
                <w:sz w:val="13"/>
                <w:szCs w:val="13"/>
                <w:color w:val="auto"/>
              </w:rPr>
              <w:t>Total income</w:t>
            </w:r>
          </w:p>
        </w:tc>
        <w:tc>
          <w:tcPr>
            <w:tcW w:w="3120" w:type="dxa"/>
            <w:vAlign w:val="bottom"/>
          </w:tcPr>
          <w:p>
            <w:pPr>
              <w:spacing w:after="0"/>
              <w:rPr>
                <w:sz w:val="12"/>
                <w:szCs w:val="12"/>
                <w:color w:val="auto"/>
              </w:rPr>
            </w:pPr>
          </w:p>
        </w:tc>
        <w:tc>
          <w:tcPr>
            <w:tcW w:w="122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127,783</w:t>
            </w:r>
          </w:p>
        </w:tc>
        <w:tc>
          <w:tcPr>
            <w:tcW w:w="24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(194)</w:t>
            </w:r>
          </w:p>
        </w:tc>
        <w:tc>
          <w:tcPr>
            <w:tcW w:w="22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127,589</w:t>
            </w:r>
          </w:p>
        </w:tc>
        <w:tc>
          <w:tcPr>
            <w:tcW w:w="1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3720" w:type="dxa"/>
            <w:vAlign w:val="bottom"/>
            <w:shd w:val="clear" w:color="auto" w:fill="CCEEFF"/>
          </w:tcPr>
          <w:p>
            <w:pPr>
              <w:spacing w:after="0"/>
              <w:rPr>
                <w:sz w:val="13"/>
                <w:szCs w:val="13"/>
                <w:color w:val="auto"/>
              </w:rPr>
            </w:pPr>
          </w:p>
        </w:tc>
        <w:tc>
          <w:tcPr>
            <w:tcW w:w="3120" w:type="dxa"/>
            <w:vAlign w:val="bottom"/>
            <w:shd w:val="clear" w:color="auto" w:fill="CCEEFF"/>
          </w:tcPr>
          <w:p>
            <w:pPr>
              <w:spacing w:after="0"/>
              <w:rPr>
                <w:sz w:val="13"/>
                <w:szCs w:val="13"/>
                <w:color w:val="auto"/>
              </w:rPr>
            </w:pPr>
          </w:p>
        </w:tc>
        <w:tc>
          <w:tcPr>
            <w:tcW w:w="12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3720" w:type="dxa"/>
            <w:vAlign w:val="bottom"/>
          </w:tcPr>
          <w:p>
            <w:pPr>
              <w:spacing w:after="0"/>
              <w:rPr>
                <w:sz w:val="20"/>
                <w:szCs w:val="20"/>
                <w:color w:val="auto"/>
              </w:rPr>
            </w:pPr>
            <w:r>
              <w:rPr>
                <w:rFonts w:ascii="Arial" w:cs="Arial" w:eastAsia="Arial" w:hAnsi="Arial"/>
                <w:sz w:val="13"/>
                <w:szCs w:val="13"/>
                <w:color w:val="auto"/>
              </w:rPr>
              <w:t>Impairment loss on financial assets</w:t>
            </w:r>
          </w:p>
        </w:tc>
        <w:tc>
          <w:tcPr>
            <w:tcW w:w="4580" w:type="dxa"/>
            <w:vAlign w:val="bottom"/>
            <w:gridSpan w:val="3"/>
          </w:tcPr>
          <w:p>
            <w:pPr>
              <w:jc w:val="right"/>
              <w:ind w:right="200"/>
              <w:spacing w:after="0"/>
              <w:rPr>
                <w:sz w:val="20"/>
                <w:szCs w:val="20"/>
                <w:color w:val="auto"/>
              </w:rPr>
            </w:pPr>
            <w:r>
              <w:rPr>
                <w:rFonts w:ascii="Arial" w:cs="Arial" w:eastAsia="Arial" w:hAnsi="Arial"/>
                <w:sz w:val="13"/>
                <w:szCs w:val="13"/>
                <w:color w:val="auto"/>
              </w:rPr>
              <w:t>(57,621)</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106</w:t>
            </w:r>
          </w:p>
        </w:tc>
        <w:tc>
          <w:tcPr>
            <w:tcW w:w="1300" w:type="dxa"/>
            <w:vAlign w:val="bottom"/>
            <w:gridSpan w:val="2"/>
          </w:tcPr>
          <w:p>
            <w:pPr>
              <w:jc w:val="right"/>
              <w:ind w:right="60"/>
              <w:spacing w:after="0"/>
              <w:rPr>
                <w:sz w:val="20"/>
                <w:szCs w:val="20"/>
                <w:color w:val="auto"/>
              </w:rPr>
            </w:pPr>
            <w:r>
              <w:rPr>
                <w:rFonts w:ascii="Arial" w:cs="Arial" w:eastAsia="Arial" w:hAnsi="Arial"/>
                <w:sz w:val="13"/>
                <w:szCs w:val="13"/>
                <w:color w:val="auto"/>
              </w:rPr>
              <w:t>(57,515)</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720" w:type="dxa"/>
            <w:vAlign w:val="bottom"/>
            <w:shd w:val="clear" w:color="auto" w:fill="CCEEFF"/>
          </w:tcPr>
          <w:p>
            <w:pPr>
              <w:spacing w:after="0"/>
              <w:rPr>
                <w:sz w:val="20"/>
                <w:szCs w:val="20"/>
                <w:color w:val="auto"/>
              </w:rPr>
            </w:pPr>
            <w:r>
              <w:rPr>
                <w:rFonts w:ascii="Arial" w:cs="Arial" w:eastAsia="Arial" w:hAnsi="Arial"/>
                <w:sz w:val="13"/>
                <w:szCs w:val="13"/>
                <w:color w:val="auto"/>
              </w:rPr>
              <w:t>Impairment loss on non-financial assets</w:t>
            </w:r>
          </w:p>
        </w:tc>
        <w:tc>
          <w:tcPr>
            <w:tcW w:w="4580" w:type="dxa"/>
            <w:vAlign w:val="bottom"/>
            <w:gridSpan w:val="3"/>
            <w:shd w:val="clear" w:color="auto" w:fill="CCEEFF"/>
          </w:tcPr>
          <w:p>
            <w:pPr>
              <w:jc w:val="right"/>
              <w:ind w:right="200"/>
              <w:spacing w:after="0"/>
              <w:rPr>
                <w:sz w:val="20"/>
                <w:szCs w:val="20"/>
                <w:color w:val="auto"/>
              </w:rPr>
            </w:pPr>
            <w:r>
              <w:rPr>
                <w:rFonts w:ascii="Arial" w:cs="Arial" w:eastAsia="Arial" w:hAnsi="Arial"/>
                <w:sz w:val="13"/>
                <w:szCs w:val="13"/>
                <w:color w:val="auto"/>
              </w:rPr>
              <w:t>(5,967)</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(5,967)</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3720" w:type="dxa"/>
            <w:vAlign w:val="bottom"/>
          </w:tcPr>
          <w:p>
            <w:pPr>
              <w:spacing w:after="0"/>
              <w:rPr>
                <w:sz w:val="20"/>
                <w:szCs w:val="20"/>
                <w:color w:val="auto"/>
              </w:rPr>
            </w:pPr>
            <w:r>
              <w:rPr>
                <w:rFonts w:ascii="Arial" w:cs="Arial" w:eastAsia="Arial" w:hAnsi="Arial"/>
                <w:sz w:val="13"/>
                <w:szCs w:val="13"/>
                <w:color w:val="auto"/>
              </w:rPr>
              <w:t>Operating expenses</w:t>
            </w:r>
          </w:p>
        </w:tc>
        <w:tc>
          <w:tcPr>
            <w:tcW w:w="4580" w:type="dxa"/>
            <w:vAlign w:val="bottom"/>
            <w:gridSpan w:val="3"/>
          </w:tcPr>
          <w:p>
            <w:pPr>
              <w:jc w:val="right"/>
              <w:ind w:right="200"/>
              <w:spacing w:after="0"/>
              <w:rPr>
                <w:sz w:val="20"/>
                <w:szCs w:val="20"/>
                <w:color w:val="auto"/>
              </w:rPr>
            </w:pPr>
            <w:r>
              <w:rPr>
                <w:rFonts w:ascii="Arial" w:cs="Arial" w:eastAsia="Arial" w:hAnsi="Arial"/>
                <w:sz w:val="13"/>
                <w:szCs w:val="13"/>
                <w:color w:val="auto"/>
              </w:rPr>
              <w:t>(37,436)</w:t>
            </w:r>
          </w:p>
        </w:tc>
        <w:tc>
          <w:tcPr>
            <w:tcW w:w="1420" w:type="dxa"/>
            <w:vAlign w:val="bottom"/>
            <w:gridSpan w:val="2"/>
          </w:tcPr>
          <w:p>
            <w:pPr>
              <w:jc w:val="right"/>
              <w:ind w:right="180"/>
              <w:spacing w:after="0"/>
              <w:rPr>
                <w:sz w:val="20"/>
                <w:szCs w:val="20"/>
                <w:color w:val="auto"/>
              </w:rPr>
            </w:pPr>
            <w:r>
              <w:rPr>
                <w:rFonts w:ascii="Arial" w:cs="Arial" w:eastAsia="Arial" w:hAnsi="Arial"/>
                <w:sz w:val="13"/>
                <w:szCs w:val="13"/>
                <w:color w:val="auto"/>
              </w:rPr>
              <w:t>(11,482)</w:t>
            </w:r>
          </w:p>
        </w:tc>
        <w:tc>
          <w:tcPr>
            <w:tcW w:w="1300" w:type="dxa"/>
            <w:vAlign w:val="bottom"/>
            <w:gridSpan w:val="2"/>
          </w:tcPr>
          <w:p>
            <w:pPr>
              <w:jc w:val="right"/>
              <w:ind w:right="60"/>
              <w:spacing w:after="0"/>
              <w:rPr>
                <w:sz w:val="20"/>
                <w:szCs w:val="20"/>
                <w:color w:val="auto"/>
              </w:rPr>
            </w:pPr>
            <w:r>
              <w:rPr>
                <w:rFonts w:ascii="Arial" w:cs="Arial" w:eastAsia="Arial" w:hAnsi="Arial"/>
                <w:sz w:val="13"/>
                <w:szCs w:val="13"/>
                <w:color w:val="auto"/>
              </w:rPr>
              <w:t>(48,918)</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372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Segment profit (loss) for the year</w:t>
            </w:r>
          </w:p>
        </w:tc>
        <w:tc>
          <w:tcPr>
            <w:tcW w:w="312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26,759</w:t>
            </w:r>
          </w:p>
        </w:tc>
        <w:tc>
          <w:tcPr>
            <w:tcW w:w="24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(11,570)</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b w:val="1"/>
                <w:bCs w:val="1"/>
                <w:color w:val="auto"/>
              </w:rPr>
              <w:t>15,189</w:t>
            </w:r>
          </w:p>
        </w:tc>
        <w:tc>
          <w:tcPr>
            <w:tcW w:w="100" w:type="dxa"/>
            <w:vAlign w:val="bottom"/>
            <w:tcBorders>
              <w:top w:val="single" w:sz="8" w:color="CCEEFF"/>
            </w:tcBorders>
            <w:shd w:val="clear" w:color="auto" w:fill="CCEEFF"/>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3720" w:type="dxa"/>
            <w:vAlign w:val="bottom"/>
          </w:tcPr>
          <w:p>
            <w:pPr>
              <w:spacing w:after="0"/>
              <w:rPr>
                <w:sz w:val="13"/>
                <w:szCs w:val="13"/>
                <w:color w:val="auto"/>
              </w:rPr>
            </w:pPr>
          </w:p>
        </w:tc>
        <w:tc>
          <w:tcPr>
            <w:tcW w:w="312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372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Segment Assets</w:t>
            </w:r>
          </w:p>
        </w:tc>
        <w:tc>
          <w:tcPr>
            <w:tcW w:w="4340" w:type="dxa"/>
            <w:vAlign w:val="bottom"/>
            <w:gridSpan w:val="2"/>
            <w:shd w:val="clear" w:color="auto" w:fill="CCEEFF"/>
          </w:tcPr>
          <w:p>
            <w:pPr>
              <w:jc w:val="right"/>
              <w:spacing w:after="0"/>
              <w:rPr>
                <w:sz w:val="20"/>
                <w:szCs w:val="20"/>
                <w:color w:val="auto"/>
              </w:rPr>
            </w:pPr>
            <w:r>
              <w:rPr>
                <w:rFonts w:ascii="Arial" w:cs="Arial" w:eastAsia="Arial" w:hAnsi="Arial"/>
                <w:sz w:val="13"/>
                <w:szCs w:val="13"/>
                <w:b w:val="1"/>
                <w:bCs w:val="1"/>
                <w:color w:val="auto"/>
              </w:rPr>
              <w:t>5,726,977</w:t>
            </w:r>
          </w:p>
        </w:tc>
        <w:tc>
          <w:tcPr>
            <w:tcW w:w="24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b w:val="1"/>
                <w:bCs w:val="1"/>
                <w:color w:val="auto"/>
              </w:rPr>
              <w:t>1,857,196</w:t>
            </w: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b w:val="1"/>
                <w:bCs w:val="1"/>
                <w:color w:val="auto"/>
              </w:rPr>
              <w:t>7,584,173</w:t>
            </w:r>
          </w:p>
        </w:tc>
        <w:tc>
          <w:tcPr>
            <w:tcW w:w="100" w:type="dxa"/>
            <w:vAlign w:val="bottom"/>
            <w:shd w:val="clear" w:color="auto" w:fill="CCEEFF"/>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6"/>
        </w:trPr>
        <w:tc>
          <w:tcPr>
            <w:tcW w:w="220" w:type="dxa"/>
            <w:vAlign w:val="bottom"/>
          </w:tcPr>
          <w:p>
            <w:pPr>
              <w:spacing w:after="0"/>
              <w:rPr>
                <w:sz w:val="14"/>
                <w:szCs w:val="14"/>
                <w:color w:val="auto"/>
              </w:rPr>
            </w:pPr>
          </w:p>
        </w:tc>
        <w:tc>
          <w:tcPr>
            <w:tcW w:w="3720" w:type="dxa"/>
            <w:vAlign w:val="bottom"/>
          </w:tcPr>
          <w:p>
            <w:pPr>
              <w:spacing w:after="0"/>
              <w:rPr>
                <w:sz w:val="20"/>
                <w:szCs w:val="20"/>
                <w:color w:val="auto"/>
              </w:rPr>
            </w:pPr>
            <w:r>
              <w:rPr>
                <w:rFonts w:ascii="Arial" w:cs="Arial" w:eastAsia="Arial" w:hAnsi="Arial"/>
                <w:sz w:val="13"/>
                <w:szCs w:val="13"/>
                <w:b w:val="1"/>
                <w:bCs w:val="1"/>
                <w:color w:val="auto"/>
              </w:rPr>
              <w:t>Segment Liabilities</w:t>
            </w:r>
          </w:p>
        </w:tc>
        <w:tc>
          <w:tcPr>
            <w:tcW w:w="4580" w:type="dxa"/>
            <w:vAlign w:val="bottom"/>
            <w:gridSpan w:val="3"/>
          </w:tcPr>
          <w:p>
            <w:pPr>
              <w:jc w:val="right"/>
              <w:ind w:right="240"/>
              <w:spacing w:after="0"/>
              <w:rPr>
                <w:sz w:val="20"/>
                <w:szCs w:val="20"/>
                <w:color w:val="auto"/>
              </w:rPr>
            </w:pPr>
            <w:r>
              <w:rPr>
                <w:rFonts w:ascii="Arial" w:cs="Arial" w:eastAsia="Arial" w:hAnsi="Arial"/>
                <w:sz w:val="13"/>
                <w:szCs w:val="13"/>
                <w:b w:val="1"/>
                <w:bCs w:val="1"/>
                <w:color w:val="auto"/>
              </w:rPr>
              <w:t>12,985</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b w:val="1"/>
                <w:bCs w:val="1"/>
                <w:color w:val="auto"/>
              </w:rPr>
              <w:t>6,588,995</w:t>
            </w:r>
          </w:p>
        </w:tc>
        <w:tc>
          <w:tcPr>
            <w:tcW w:w="1200" w:type="dxa"/>
            <w:vAlign w:val="bottom"/>
          </w:tcPr>
          <w:p>
            <w:pPr>
              <w:jc w:val="right"/>
              <w:spacing w:after="0"/>
              <w:rPr>
                <w:sz w:val="20"/>
                <w:szCs w:val="20"/>
                <w:color w:val="auto"/>
              </w:rPr>
            </w:pPr>
            <w:r>
              <w:rPr>
                <w:rFonts w:ascii="Arial" w:cs="Arial" w:eastAsia="Arial" w:hAnsi="Arial"/>
                <w:sz w:val="13"/>
                <w:szCs w:val="13"/>
                <w:b w:val="1"/>
                <w:bCs w:val="1"/>
                <w:color w:val="auto"/>
              </w:rPr>
              <w:t>6,601,980</w:t>
            </w:r>
          </w:p>
        </w:tc>
        <w:tc>
          <w:tcPr>
            <w:tcW w:w="1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05"/>
        </w:trPr>
        <w:tc>
          <w:tcPr>
            <w:tcW w:w="220" w:type="dxa"/>
            <w:vAlign w:val="bottom"/>
          </w:tcPr>
          <w:p>
            <w:pPr>
              <w:spacing w:after="0"/>
              <w:rPr>
                <w:sz w:val="24"/>
                <w:szCs w:val="24"/>
                <w:color w:val="auto"/>
              </w:rPr>
            </w:pPr>
          </w:p>
        </w:tc>
        <w:tc>
          <w:tcPr>
            <w:tcW w:w="3720" w:type="dxa"/>
            <w:vAlign w:val="bottom"/>
          </w:tcPr>
          <w:p>
            <w:pPr>
              <w:spacing w:after="0"/>
              <w:rPr>
                <w:sz w:val="24"/>
                <w:szCs w:val="24"/>
                <w:color w:val="auto"/>
              </w:rPr>
            </w:pPr>
          </w:p>
        </w:tc>
        <w:tc>
          <w:tcPr>
            <w:tcW w:w="3120" w:type="dxa"/>
            <w:vAlign w:val="bottom"/>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gridSpan w:val="2"/>
          </w:tcPr>
          <w:p>
            <w:pPr>
              <w:jc w:val="right"/>
              <w:ind w:right="320"/>
              <w:spacing w:after="0"/>
              <w:rPr>
                <w:sz w:val="20"/>
                <w:szCs w:val="20"/>
                <w:color w:val="auto"/>
              </w:rPr>
            </w:pPr>
            <w:r>
              <w:rPr>
                <w:rFonts w:ascii="Arial" w:cs="Arial" w:eastAsia="Arial" w:hAnsi="Arial"/>
                <w:sz w:val="13"/>
                <w:szCs w:val="13"/>
                <w:b w:val="1"/>
                <w:bCs w:val="1"/>
                <w:color w:val="auto"/>
                <w:w w:val="92"/>
              </w:rPr>
              <w:t>December 31, 2017</w:t>
            </w:r>
          </w:p>
        </w:tc>
        <w:tc>
          <w:tcPr>
            <w:tcW w:w="120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720" w:type="dxa"/>
            <w:vAlign w:val="bottom"/>
          </w:tcPr>
          <w:p>
            <w:pPr>
              <w:spacing w:after="0"/>
              <w:rPr>
                <w:sz w:val="13"/>
                <w:szCs w:val="13"/>
                <w:color w:val="auto"/>
              </w:rPr>
            </w:pPr>
          </w:p>
        </w:tc>
        <w:tc>
          <w:tcPr>
            <w:tcW w:w="3120" w:type="dxa"/>
            <w:vAlign w:val="bottom"/>
          </w:tcPr>
          <w:p>
            <w:pPr>
              <w:spacing w:after="0"/>
              <w:rPr>
                <w:sz w:val="13"/>
                <w:szCs w:val="13"/>
                <w:color w:val="auto"/>
              </w:rPr>
            </w:pPr>
          </w:p>
        </w:tc>
        <w:tc>
          <w:tcPr>
            <w:tcW w:w="1460" w:type="dxa"/>
            <w:vAlign w:val="bottom"/>
            <w:gridSpan w:val="2"/>
          </w:tcPr>
          <w:p>
            <w:pPr>
              <w:jc w:val="right"/>
              <w:ind w:right="560"/>
              <w:spacing w:after="0"/>
              <w:rPr>
                <w:sz w:val="20"/>
                <w:szCs w:val="20"/>
                <w:color w:val="auto"/>
              </w:rPr>
            </w:pPr>
            <w:r>
              <w:rPr>
                <w:rFonts w:ascii="Arial" w:cs="Arial" w:eastAsia="Arial" w:hAnsi="Arial"/>
                <w:sz w:val="13"/>
                <w:szCs w:val="13"/>
                <w:b w:val="1"/>
                <w:bCs w:val="1"/>
                <w:color w:val="auto"/>
              </w:rPr>
              <w:t>Comercial</w:t>
            </w:r>
          </w:p>
        </w:tc>
        <w:tc>
          <w:tcPr>
            <w:tcW w:w="1420" w:type="dxa"/>
            <w:vAlign w:val="bottom"/>
            <w:gridSpan w:val="2"/>
          </w:tcPr>
          <w:p>
            <w:pPr>
              <w:jc w:val="right"/>
              <w:ind w:right="580"/>
              <w:spacing w:after="0"/>
              <w:rPr>
                <w:sz w:val="20"/>
                <w:szCs w:val="20"/>
                <w:color w:val="auto"/>
              </w:rPr>
            </w:pPr>
            <w:r>
              <w:rPr>
                <w:rFonts w:ascii="Arial" w:cs="Arial" w:eastAsia="Arial" w:hAnsi="Arial"/>
                <w:sz w:val="13"/>
                <w:szCs w:val="13"/>
                <w:b w:val="1"/>
                <w:bCs w:val="1"/>
                <w:color w:val="auto"/>
              </w:rPr>
              <w:t>Treasury</w:t>
            </w:r>
          </w:p>
        </w:tc>
        <w:tc>
          <w:tcPr>
            <w:tcW w:w="1200" w:type="dxa"/>
            <w:vAlign w:val="bottom"/>
          </w:tcPr>
          <w:p>
            <w:pPr>
              <w:jc w:val="right"/>
              <w:ind w:right="396"/>
              <w:spacing w:after="0"/>
              <w:rPr>
                <w:sz w:val="20"/>
                <w:szCs w:val="20"/>
                <w:color w:val="auto"/>
              </w:rPr>
            </w:pPr>
            <w:r>
              <w:rPr>
                <w:rFonts w:ascii="Arial" w:cs="Arial" w:eastAsia="Arial" w:hAnsi="Arial"/>
                <w:sz w:val="13"/>
                <w:szCs w:val="13"/>
                <w:b w:val="1"/>
                <w:bCs w:val="1"/>
                <w:color w:val="auto"/>
              </w:rPr>
              <w:t>Total</w:t>
            </w: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3720" w:type="dxa"/>
            <w:vAlign w:val="bottom"/>
            <w:tcBorders>
              <w:top w:val="single" w:sz="8" w:color="CCEEFF"/>
            </w:tcBorders>
            <w:shd w:val="clear" w:color="auto" w:fill="CCEEFF"/>
          </w:tcPr>
          <w:p>
            <w:pPr>
              <w:ind w:left="120"/>
              <w:spacing w:after="0" w:line="143" w:lineRule="exact"/>
              <w:rPr>
                <w:sz w:val="20"/>
                <w:szCs w:val="20"/>
                <w:color w:val="auto"/>
              </w:rPr>
            </w:pPr>
            <w:r>
              <w:rPr>
                <w:rFonts w:ascii="Arial" w:cs="Arial" w:eastAsia="Arial" w:hAnsi="Arial"/>
                <w:sz w:val="13"/>
                <w:szCs w:val="13"/>
                <w:color w:val="auto"/>
              </w:rPr>
              <w:t>Interest income</w:t>
            </w:r>
          </w:p>
        </w:tc>
        <w:tc>
          <w:tcPr>
            <w:tcW w:w="312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213,326</w:t>
            </w:r>
          </w:p>
        </w:tc>
        <w:tc>
          <w:tcPr>
            <w:tcW w:w="24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12,753</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226,079</w:t>
            </w:r>
          </w:p>
        </w:tc>
        <w:tc>
          <w:tcPr>
            <w:tcW w:w="100" w:type="dxa"/>
            <w:vAlign w:val="bottom"/>
            <w:tcBorders>
              <w:top w:val="single" w:sz="8" w:color="CCEEFF"/>
            </w:tcBorders>
            <w:shd w:val="clear" w:color="auto" w:fill="CCEEFF"/>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720" w:type="dxa"/>
            <w:vAlign w:val="bottom"/>
          </w:tcPr>
          <w:p>
            <w:pPr>
              <w:ind w:left="120"/>
              <w:spacing w:after="0"/>
              <w:rPr>
                <w:sz w:val="20"/>
                <w:szCs w:val="20"/>
                <w:color w:val="auto"/>
              </w:rPr>
            </w:pPr>
            <w:r>
              <w:rPr>
                <w:rFonts w:ascii="Arial" w:cs="Arial" w:eastAsia="Arial" w:hAnsi="Arial"/>
                <w:sz w:val="13"/>
                <w:szCs w:val="13"/>
                <w:color w:val="auto"/>
              </w:rPr>
              <w:t>Interest expense</w:t>
            </w:r>
          </w:p>
        </w:tc>
        <w:tc>
          <w:tcPr>
            <w:tcW w:w="434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1420" w:type="dxa"/>
            <w:vAlign w:val="bottom"/>
            <w:gridSpan w:val="2"/>
          </w:tcPr>
          <w:p>
            <w:pPr>
              <w:jc w:val="right"/>
              <w:ind w:right="180"/>
              <w:spacing w:after="0"/>
              <w:rPr>
                <w:sz w:val="20"/>
                <w:szCs w:val="20"/>
                <w:color w:val="auto"/>
              </w:rPr>
            </w:pPr>
            <w:r>
              <w:rPr>
                <w:rFonts w:ascii="Arial" w:cs="Arial" w:eastAsia="Arial" w:hAnsi="Arial"/>
                <w:sz w:val="13"/>
                <w:szCs w:val="13"/>
                <w:color w:val="auto"/>
              </w:rPr>
              <w:t>(106,264)</w:t>
            </w:r>
          </w:p>
        </w:tc>
        <w:tc>
          <w:tcPr>
            <w:tcW w:w="1300" w:type="dxa"/>
            <w:vAlign w:val="bottom"/>
            <w:gridSpan w:val="2"/>
          </w:tcPr>
          <w:p>
            <w:pPr>
              <w:jc w:val="right"/>
              <w:ind w:right="60"/>
              <w:spacing w:after="0"/>
              <w:rPr>
                <w:sz w:val="20"/>
                <w:szCs w:val="20"/>
                <w:color w:val="auto"/>
              </w:rPr>
            </w:pPr>
            <w:r>
              <w:rPr>
                <w:rFonts w:ascii="Arial" w:cs="Arial" w:eastAsia="Arial" w:hAnsi="Arial"/>
                <w:sz w:val="13"/>
                <w:szCs w:val="13"/>
                <w:color w:val="auto"/>
              </w:rPr>
              <w:t>(106,264)</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3720" w:type="dxa"/>
            <w:vAlign w:val="bottom"/>
            <w:shd w:val="clear" w:color="auto" w:fill="CCEEFF"/>
          </w:tcPr>
          <w:p>
            <w:pPr>
              <w:ind w:left="120"/>
              <w:spacing w:after="0"/>
              <w:rPr>
                <w:sz w:val="20"/>
                <w:szCs w:val="20"/>
                <w:color w:val="auto"/>
              </w:rPr>
            </w:pPr>
            <w:r>
              <w:rPr>
                <w:rFonts w:ascii="Arial" w:cs="Arial" w:eastAsia="Arial" w:hAnsi="Arial"/>
                <w:sz w:val="13"/>
                <w:szCs w:val="13"/>
                <w:color w:val="auto"/>
              </w:rPr>
              <w:t>Inter-segment net interest income</w:t>
            </w:r>
          </w:p>
        </w:tc>
        <w:tc>
          <w:tcPr>
            <w:tcW w:w="4580" w:type="dxa"/>
            <w:vAlign w:val="bottom"/>
            <w:gridSpan w:val="3"/>
            <w:shd w:val="clear" w:color="auto" w:fill="CCEEFF"/>
          </w:tcPr>
          <w:p>
            <w:pPr>
              <w:jc w:val="right"/>
              <w:ind w:right="200"/>
              <w:spacing w:after="0"/>
              <w:rPr>
                <w:sz w:val="20"/>
                <w:szCs w:val="20"/>
                <w:color w:val="auto"/>
              </w:rPr>
            </w:pPr>
            <w:r>
              <w:rPr>
                <w:rFonts w:ascii="Arial" w:cs="Arial" w:eastAsia="Arial" w:hAnsi="Arial"/>
                <w:sz w:val="13"/>
                <w:szCs w:val="13"/>
                <w:color w:val="auto"/>
              </w:rPr>
              <w:t>(92,745)</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92,745</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3940" w:type="dxa"/>
            <w:vAlign w:val="bottom"/>
            <w:gridSpan w:val="2"/>
          </w:tcPr>
          <w:p>
            <w:pPr>
              <w:ind w:left="220"/>
              <w:spacing w:after="0" w:line="143" w:lineRule="exact"/>
              <w:rPr>
                <w:sz w:val="20"/>
                <w:szCs w:val="20"/>
                <w:color w:val="auto"/>
              </w:rPr>
            </w:pPr>
            <w:r>
              <w:rPr>
                <w:rFonts w:ascii="Arial" w:cs="Arial" w:eastAsia="Arial" w:hAnsi="Arial"/>
                <w:sz w:val="13"/>
                <w:szCs w:val="13"/>
                <w:color w:val="auto"/>
              </w:rPr>
              <w:t>Net interest income</w:t>
            </w:r>
          </w:p>
        </w:tc>
        <w:tc>
          <w:tcPr>
            <w:tcW w:w="3120" w:type="dxa"/>
            <w:vAlign w:val="bottom"/>
          </w:tcPr>
          <w:p>
            <w:pPr>
              <w:spacing w:after="0"/>
              <w:rPr>
                <w:sz w:val="12"/>
                <w:szCs w:val="12"/>
                <w:color w:val="auto"/>
              </w:rPr>
            </w:pPr>
          </w:p>
        </w:tc>
        <w:tc>
          <w:tcPr>
            <w:tcW w:w="122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120,581</w:t>
            </w:r>
          </w:p>
        </w:tc>
        <w:tc>
          <w:tcPr>
            <w:tcW w:w="24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(766)</w:t>
            </w:r>
          </w:p>
        </w:tc>
        <w:tc>
          <w:tcPr>
            <w:tcW w:w="22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119,815</w:t>
            </w:r>
          </w:p>
        </w:tc>
        <w:tc>
          <w:tcPr>
            <w:tcW w:w="1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3720" w:type="dxa"/>
            <w:vAlign w:val="bottom"/>
            <w:shd w:val="clear" w:color="auto" w:fill="CCEEFF"/>
          </w:tcPr>
          <w:p>
            <w:pPr>
              <w:spacing w:after="0"/>
              <w:rPr>
                <w:sz w:val="20"/>
                <w:szCs w:val="20"/>
                <w:color w:val="auto"/>
              </w:rPr>
            </w:pPr>
            <w:r>
              <w:rPr>
                <w:rFonts w:ascii="Arial" w:cs="Arial" w:eastAsia="Arial" w:hAnsi="Arial"/>
                <w:sz w:val="13"/>
                <w:szCs w:val="13"/>
                <w:color w:val="auto"/>
              </w:rPr>
              <w:t>Other income (expense), net</w:t>
            </w:r>
          </w:p>
        </w:tc>
        <w:tc>
          <w:tcPr>
            <w:tcW w:w="4580" w:type="dxa"/>
            <w:vAlign w:val="bottom"/>
            <w:gridSpan w:val="3"/>
            <w:shd w:val="clear" w:color="auto" w:fill="CCEEFF"/>
          </w:tcPr>
          <w:p>
            <w:pPr>
              <w:jc w:val="right"/>
              <w:ind w:right="240"/>
              <w:spacing w:after="0"/>
              <w:rPr>
                <w:sz w:val="20"/>
                <w:szCs w:val="20"/>
                <w:color w:val="auto"/>
              </w:rPr>
            </w:pPr>
            <w:r>
              <w:rPr>
                <w:rFonts w:ascii="Arial" w:cs="Arial" w:eastAsia="Arial" w:hAnsi="Arial"/>
                <w:sz w:val="13"/>
                <w:szCs w:val="13"/>
                <w:color w:val="auto"/>
              </w:rPr>
              <w:t>18,926</w:t>
            </w:r>
          </w:p>
        </w:tc>
        <w:tc>
          <w:tcPr>
            <w:tcW w:w="14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(428)</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18,498</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3940" w:type="dxa"/>
            <w:vAlign w:val="bottom"/>
            <w:gridSpan w:val="2"/>
          </w:tcPr>
          <w:p>
            <w:pPr>
              <w:ind w:left="220"/>
              <w:spacing w:after="0" w:line="143" w:lineRule="exact"/>
              <w:rPr>
                <w:sz w:val="20"/>
                <w:szCs w:val="20"/>
                <w:color w:val="auto"/>
              </w:rPr>
            </w:pPr>
            <w:r>
              <w:rPr>
                <w:rFonts w:ascii="Arial" w:cs="Arial" w:eastAsia="Arial" w:hAnsi="Arial"/>
                <w:sz w:val="13"/>
                <w:szCs w:val="13"/>
                <w:color w:val="auto"/>
              </w:rPr>
              <w:t>Total income</w:t>
            </w:r>
          </w:p>
        </w:tc>
        <w:tc>
          <w:tcPr>
            <w:tcW w:w="3120" w:type="dxa"/>
            <w:vAlign w:val="bottom"/>
          </w:tcPr>
          <w:p>
            <w:pPr>
              <w:spacing w:after="0"/>
              <w:rPr>
                <w:sz w:val="12"/>
                <w:szCs w:val="12"/>
                <w:color w:val="auto"/>
              </w:rPr>
            </w:pPr>
          </w:p>
        </w:tc>
        <w:tc>
          <w:tcPr>
            <w:tcW w:w="122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139,507</w:t>
            </w:r>
          </w:p>
        </w:tc>
        <w:tc>
          <w:tcPr>
            <w:tcW w:w="24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(1,194)</w:t>
            </w:r>
          </w:p>
        </w:tc>
        <w:tc>
          <w:tcPr>
            <w:tcW w:w="22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138,313</w:t>
            </w:r>
          </w:p>
        </w:tc>
        <w:tc>
          <w:tcPr>
            <w:tcW w:w="1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3720" w:type="dxa"/>
            <w:vAlign w:val="bottom"/>
            <w:shd w:val="clear" w:color="auto" w:fill="CCEEFF"/>
          </w:tcPr>
          <w:p>
            <w:pPr>
              <w:spacing w:after="0"/>
              <w:rPr>
                <w:sz w:val="13"/>
                <w:szCs w:val="13"/>
                <w:color w:val="auto"/>
              </w:rPr>
            </w:pPr>
          </w:p>
        </w:tc>
        <w:tc>
          <w:tcPr>
            <w:tcW w:w="4580" w:type="dxa"/>
            <w:vAlign w:val="bottom"/>
            <w:gridSpan w:val="3"/>
            <w:shd w:val="clear" w:color="auto" w:fill="CCEEFF"/>
          </w:tcPr>
          <w:p>
            <w:pPr>
              <w:spacing w:after="0"/>
              <w:rPr>
                <w:sz w:val="13"/>
                <w:szCs w:val="13"/>
                <w:color w:val="auto"/>
              </w:rPr>
            </w:pPr>
          </w:p>
        </w:tc>
        <w:tc>
          <w:tcPr>
            <w:tcW w:w="1420" w:type="dxa"/>
            <w:vAlign w:val="bottom"/>
            <w:gridSpan w:val="2"/>
            <w:shd w:val="clear" w:color="auto" w:fill="CCEEFF"/>
          </w:tcPr>
          <w:p>
            <w:pPr>
              <w:spacing w:after="0"/>
              <w:rPr>
                <w:sz w:val="13"/>
                <w:szCs w:val="13"/>
                <w:color w:val="auto"/>
              </w:rPr>
            </w:pPr>
          </w:p>
        </w:tc>
        <w:tc>
          <w:tcPr>
            <w:tcW w:w="1300" w:type="dxa"/>
            <w:vAlign w:val="bottom"/>
            <w:gridSpan w:val="2"/>
            <w:shd w:val="clear" w:color="auto" w:fill="CCEEFF"/>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3720" w:type="dxa"/>
            <w:vAlign w:val="bottom"/>
          </w:tcPr>
          <w:p>
            <w:pPr>
              <w:spacing w:after="0"/>
              <w:rPr>
                <w:sz w:val="20"/>
                <w:szCs w:val="20"/>
                <w:color w:val="auto"/>
              </w:rPr>
            </w:pPr>
            <w:r>
              <w:rPr>
                <w:rFonts w:ascii="Arial" w:cs="Arial" w:eastAsia="Arial" w:hAnsi="Arial"/>
                <w:sz w:val="13"/>
                <w:szCs w:val="13"/>
                <w:color w:val="auto"/>
              </w:rPr>
              <w:t>Impairment loss on financial assets</w:t>
            </w:r>
          </w:p>
        </w:tc>
        <w:tc>
          <w:tcPr>
            <w:tcW w:w="4580" w:type="dxa"/>
            <w:vAlign w:val="bottom"/>
            <w:gridSpan w:val="3"/>
          </w:tcPr>
          <w:p>
            <w:pPr>
              <w:jc w:val="right"/>
              <w:ind w:right="200"/>
              <w:spacing w:after="0"/>
              <w:rPr>
                <w:sz w:val="20"/>
                <w:szCs w:val="20"/>
                <w:color w:val="auto"/>
              </w:rPr>
            </w:pPr>
            <w:r>
              <w:rPr>
                <w:rFonts w:ascii="Arial" w:cs="Arial" w:eastAsia="Arial" w:hAnsi="Arial"/>
                <w:sz w:val="13"/>
                <w:szCs w:val="13"/>
                <w:color w:val="auto"/>
              </w:rPr>
              <w:t>(9,928)</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489</w:t>
            </w:r>
          </w:p>
        </w:tc>
        <w:tc>
          <w:tcPr>
            <w:tcW w:w="1300" w:type="dxa"/>
            <w:vAlign w:val="bottom"/>
            <w:gridSpan w:val="2"/>
          </w:tcPr>
          <w:p>
            <w:pPr>
              <w:jc w:val="right"/>
              <w:ind w:right="60"/>
              <w:spacing w:after="0"/>
              <w:rPr>
                <w:sz w:val="20"/>
                <w:szCs w:val="20"/>
                <w:color w:val="auto"/>
              </w:rPr>
            </w:pPr>
            <w:r>
              <w:rPr>
                <w:rFonts w:ascii="Arial" w:cs="Arial" w:eastAsia="Arial" w:hAnsi="Arial"/>
                <w:sz w:val="13"/>
                <w:szCs w:val="13"/>
                <w:color w:val="auto"/>
              </w:rPr>
              <w:t>(9,439)</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3720" w:type="dxa"/>
            <w:vAlign w:val="bottom"/>
            <w:shd w:val="clear" w:color="auto" w:fill="CCEEFF"/>
          </w:tcPr>
          <w:p>
            <w:pPr>
              <w:spacing w:after="0"/>
              <w:rPr>
                <w:sz w:val="20"/>
                <w:szCs w:val="20"/>
                <w:color w:val="auto"/>
              </w:rPr>
            </w:pPr>
            <w:r>
              <w:rPr>
                <w:rFonts w:ascii="Arial" w:cs="Arial" w:eastAsia="Arial" w:hAnsi="Arial"/>
                <w:sz w:val="13"/>
                <w:szCs w:val="13"/>
                <w:color w:val="auto"/>
              </w:rPr>
              <w:t>Operating expenses</w:t>
            </w:r>
          </w:p>
        </w:tc>
        <w:tc>
          <w:tcPr>
            <w:tcW w:w="4580" w:type="dxa"/>
            <w:vAlign w:val="bottom"/>
            <w:gridSpan w:val="3"/>
            <w:shd w:val="clear" w:color="auto" w:fill="CCEEFF"/>
          </w:tcPr>
          <w:p>
            <w:pPr>
              <w:jc w:val="right"/>
              <w:ind w:right="200"/>
              <w:spacing w:after="0"/>
              <w:rPr>
                <w:sz w:val="20"/>
                <w:szCs w:val="20"/>
                <w:color w:val="auto"/>
              </w:rPr>
            </w:pPr>
            <w:r>
              <w:rPr>
                <w:rFonts w:ascii="Arial" w:cs="Arial" w:eastAsia="Arial" w:hAnsi="Arial"/>
                <w:sz w:val="13"/>
                <w:szCs w:val="13"/>
                <w:color w:val="auto"/>
              </w:rPr>
              <w:t>(35,916)</w:t>
            </w:r>
          </w:p>
        </w:tc>
        <w:tc>
          <w:tcPr>
            <w:tcW w:w="14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(10,959)</w:t>
            </w:r>
          </w:p>
        </w:tc>
        <w:tc>
          <w:tcPr>
            <w:tcW w:w="13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(46,875)</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3720" w:type="dxa"/>
            <w:vAlign w:val="bottom"/>
          </w:tcPr>
          <w:p>
            <w:pPr>
              <w:spacing w:after="0" w:line="144" w:lineRule="exact"/>
              <w:rPr>
                <w:sz w:val="20"/>
                <w:szCs w:val="20"/>
                <w:color w:val="auto"/>
              </w:rPr>
            </w:pPr>
            <w:r>
              <w:rPr>
                <w:rFonts w:ascii="Arial" w:cs="Arial" w:eastAsia="Arial" w:hAnsi="Arial"/>
                <w:sz w:val="13"/>
                <w:szCs w:val="13"/>
                <w:b w:val="1"/>
                <w:bCs w:val="1"/>
                <w:color w:val="auto"/>
              </w:rPr>
              <w:t>Segment profit (loss) for the year</w:t>
            </w:r>
          </w:p>
        </w:tc>
        <w:tc>
          <w:tcPr>
            <w:tcW w:w="3120" w:type="dxa"/>
            <w:vAlign w:val="bottom"/>
          </w:tcPr>
          <w:p>
            <w:pPr>
              <w:spacing w:after="0"/>
              <w:rPr>
                <w:sz w:val="12"/>
                <w:szCs w:val="12"/>
                <w:color w:val="auto"/>
              </w:rPr>
            </w:pPr>
          </w:p>
        </w:tc>
        <w:tc>
          <w:tcPr>
            <w:tcW w:w="122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93,663</w:t>
            </w:r>
          </w:p>
        </w:tc>
        <w:tc>
          <w:tcPr>
            <w:tcW w:w="24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(11,664)</w:t>
            </w:r>
          </w:p>
        </w:tc>
        <w:tc>
          <w:tcPr>
            <w:tcW w:w="22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81,999</w:t>
            </w:r>
          </w:p>
        </w:tc>
        <w:tc>
          <w:tcPr>
            <w:tcW w:w="1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3720" w:type="dxa"/>
            <w:vAlign w:val="bottom"/>
            <w:shd w:val="clear" w:color="auto" w:fill="CCEEFF"/>
          </w:tcPr>
          <w:p>
            <w:pPr>
              <w:spacing w:after="0"/>
              <w:rPr>
                <w:sz w:val="13"/>
                <w:szCs w:val="13"/>
                <w:color w:val="auto"/>
              </w:rPr>
            </w:pPr>
          </w:p>
        </w:tc>
        <w:tc>
          <w:tcPr>
            <w:tcW w:w="4340" w:type="dxa"/>
            <w:vAlign w:val="bottom"/>
            <w:gridSpan w:val="2"/>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3720" w:type="dxa"/>
            <w:vAlign w:val="bottom"/>
          </w:tcPr>
          <w:p>
            <w:pPr>
              <w:spacing w:after="0"/>
              <w:rPr>
                <w:sz w:val="20"/>
                <w:szCs w:val="20"/>
                <w:color w:val="auto"/>
              </w:rPr>
            </w:pPr>
            <w:r>
              <w:rPr>
                <w:rFonts w:ascii="Arial" w:cs="Arial" w:eastAsia="Arial" w:hAnsi="Arial"/>
                <w:sz w:val="13"/>
                <w:szCs w:val="13"/>
                <w:b w:val="1"/>
                <w:bCs w:val="1"/>
                <w:color w:val="auto"/>
              </w:rPr>
              <w:t>Segment Assets</w:t>
            </w:r>
          </w:p>
        </w:tc>
        <w:tc>
          <w:tcPr>
            <w:tcW w:w="4340" w:type="dxa"/>
            <w:vAlign w:val="bottom"/>
            <w:gridSpan w:val="2"/>
          </w:tcPr>
          <w:p>
            <w:pPr>
              <w:jc w:val="right"/>
              <w:spacing w:after="0"/>
              <w:rPr>
                <w:sz w:val="20"/>
                <w:szCs w:val="20"/>
                <w:color w:val="auto"/>
              </w:rPr>
            </w:pPr>
            <w:r>
              <w:rPr>
                <w:rFonts w:ascii="Arial" w:cs="Arial" w:eastAsia="Arial" w:hAnsi="Arial"/>
                <w:sz w:val="13"/>
                <w:szCs w:val="13"/>
                <w:b w:val="1"/>
                <w:bCs w:val="1"/>
                <w:color w:val="auto"/>
              </w:rPr>
              <w:t>5,470,947</w:t>
            </w:r>
          </w:p>
        </w:tc>
        <w:tc>
          <w:tcPr>
            <w:tcW w:w="240" w:type="dxa"/>
            <w:vAlign w:val="bottom"/>
          </w:tcPr>
          <w:p>
            <w:pPr>
              <w:spacing w:after="0"/>
              <w:rPr>
                <w:sz w:val="13"/>
                <w:szCs w:val="13"/>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b w:val="1"/>
                <w:bCs w:val="1"/>
                <w:color w:val="auto"/>
              </w:rPr>
              <w:t>772,517</w:t>
            </w:r>
          </w:p>
        </w:tc>
        <w:tc>
          <w:tcPr>
            <w:tcW w:w="1200" w:type="dxa"/>
            <w:vAlign w:val="bottom"/>
          </w:tcPr>
          <w:p>
            <w:pPr>
              <w:jc w:val="right"/>
              <w:spacing w:after="0"/>
              <w:rPr>
                <w:sz w:val="20"/>
                <w:szCs w:val="20"/>
                <w:color w:val="auto"/>
              </w:rPr>
            </w:pPr>
            <w:r>
              <w:rPr>
                <w:rFonts w:ascii="Arial" w:cs="Arial" w:eastAsia="Arial" w:hAnsi="Arial"/>
                <w:sz w:val="13"/>
                <w:szCs w:val="13"/>
                <w:b w:val="1"/>
                <w:bCs w:val="1"/>
                <w:color w:val="auto"/>
              </w:rPr>
              <w:t>6,243,464</w:t>
            </w: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72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Segment Liabilities</w:t>
            </w:r>
          </w:p>
        </w:tc>
        <w:tc>
          <w:tcPr>
            <w:tcW w:w="4580" w:type="dxa"/>
            <w:vAlign w:val="bottom"/>
            <w:gridSpan w:val="3"/>
            <w:shd w:val="clear" w:color="auto" w:fill="CCEEFF"/>
          </w:tcPr>
          <w:p>
            <w:pPr>
              <w:jc w:val="right"/>
              <w:ind w:right="240"/>
              <w:spacing w:after="0"/>
              <w:rPr>
                <w:sz w:val="20"/>
                <w:szCs w:val="20"/>
                <w:color w:val="auto"/>
              </w:rPr>
            </w:pPr>
            <w:r>
              <w:rPr>
                <w:rFonts w:ascii="Arial" w:cs="Arial" w:eastAsia="Arial" w:hAnsi="Arial"/>
                <w:sz w:val="13"/>
                <w:szCs w:val="13"/>
                <w:b w:val="1"/>
                <w:bCs w:val="1"/>
                <w:color w:val="auto"/>
              </w:rPr>
              <w:t>13,214</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b w:val="1"/>
                <w:bCs w:val="1"/>
                <w:color w:val="auto"/>
              </w:rPr>
              <w:t>5,191,170</w:t>
            </w: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b w:val="1"/>
                <w:bCs w:val="1"/>
                <w:color w:val="auto"/>
              </w:rPr>
              <w:t>5,204,384</w:t>
            </w:r>
          </w:p>
        </w:tc>
        <w:tc>
          <w:tcPr>
            <w:tcW w:w="100" w:type="dxa"/>
            <w:vAlign w:val="bottom"/>
            <w:shd w:val="clear" w:color="auto" w:fill="CCEEFF"/>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467"/>
        </w:trPr>
        <w:tc>
          <w:tcPr>
            <w:tcW w:w="220" w:type="dxa"/>
            <w:vAlign w:val="bottom"/>
            <w:tcBorders>
              <w:bottom w:val="single" w:sz="8" w:color="auto"/>
            </w:tcBorders>
          </w:tcPr>
          <w:p>
            <w:pPr>
              <w:spacing w:after="0"/>
              <w:rPr>
                <w:sz w:val="24"/>
                <w:szCs w:val="24"/>
                <w:color w:val="auto"/>
              </w:rPr>
            </w:pPr>
          </w:p>
        </w:tc>
        <w:tc>
          <w:tcPr>
            <w:tcW w:w="3720" w:type="dxa"/>
            <w:vAlign w:val="bottom"/>
            <w:tcBorders>
              <w:bottom w:val="single" w:sz="8" w:color="auto"/>
            </w:tcBorders>
          </w:tcPr>
          <w:p>
            <w:pPr>
              <w:spacing w:after="0"/>
              <w:rPr>
                <w:sz w:val="24"/>
                <w:szCs w:val="24"/>
                <w:color w:val="auto"/>
              </w:rPr>
            </w:pPr>
          </w:p>
        </w:tc>
        <w:tc>
          <w:tcPr>
            <w:tcW w:w="4580" w:type="dxa"/>
            <w:vAlign w:val="bottom"/>
            <w:tcBorders>
              <w:bottom w:val="single" w:sz="8" w:color="auto"/>
            </w:tcBorders>
            <w:gridSpan w:val="3"/>
          </w:tcPr>
          <w:p>
            <w:pPr>
              <w:jc w:val="right"/>
              <w:ind w:right="2660"/>
              <w:spacing w:after="0"/>
              <w:rPr>
                <w:sz w:val="20"/>
                <w:szCs w:val="20"/>
                <w:color w:val="auto"/>
              </w:rPr>
            </w:pPr>
            <w:r>
              <w:rPr>
                <w:rFonts w:ascii="Arial" w:cs="Arial" w:eastAsia="Arial" w:hAnsi="Arial"/>
                <w:sz w:val="13"/>
                <w:szCs w:val="13"/>
                <w:color w:val="auto"/>
              </w:rPr>
              <w:t>F-83</w:t>
            </w: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3"/>
          </w:cols>
          <w:pgMar w:left="217" w:top="685" w:right="199" w:bottom="1440" w:gutter="0" w:footer="0" w:header="0"/>
        </w:sectPr>
      </w:pPr>
    </w:p>
    <w:bookmarkStart w:id="208" w:name="page209"/>
    <w:bookmarkEnd w:id="208"/>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35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tbl>
      <w:tblPr>
        <w:tblLayout w:type="fixed"/>
        <w:tblInd w:w="0" w:type="dxa"/>
        <w:tblCellMar>
          <w:top w:w="0" w:type="dxa"/>
          <w:left w:w="0" w:type="dxa"/>
          <w:bottom w:w="0" w:type="dxa"/>
          <w:right w:w="0" w:type="dxa"/>
        </w:tblCellMar>
      </w:tblPr>
      <w:tr>
        <w:trPr>
          <w:trHeight w:val="166"/>
        </w:trPr>
        <w:tc>
          <w:tcPr>
            <w:tcW w:w="7060" w:type="dxa"/>
            <w:vAlign w:val="bottom"/>
            <w:gridSpan w:val="3"/>
          </w:tcPr>
          <w:p>
            <w:pPr>
              <w:spacing w:after="0"/>
              <w:rPr>
                <w:sz w:val="20"/>
                <w:szCs w:val="20"/>
                <w:color w:val="auto"/>
              </w:rPr>
            </w:pPr>
            <w:r>
              <w:rPr>
                <w:rFonts w:ascii="Arial" w:cs="Arial" w:eastAsia="Arial" w:hAnsi="Arial"/>
                <w:sz w:val="13"/>
                <w:szCs w:val="13"/>
                <w:b w:val="1"/>
                <w:bCs w:val="1"/>
                <w:color w:val="auto"/>
              </w:rPr>
              <w:t>25. Business segment information (continued)</w:t>
            </w:r>
          </w:p>
        </w:tc>
        <w:tc>
          <w:tcPr>
            <w:tcW w:w="12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80"/>
        </w:trPr>
        <w:tc>
          <w:tcPr>
            <w:tcW w:w="7060" w:type="dxa"/>
            <w:vAlign w:val="bottom"/>
            <w:gridSpan w:val="3"/>
          </w:tcPr>
          <w:p>
            <w:pPr>
              <w:ind w:left="220"/>
              <w:spacing w:after="0"/>
              <w:rPr>
                <w:sz w:val="20"/>
                <w:szCs w:val="20"/>
                <w:color w:val="auto"/>
              </w:rPr>
            </w:pPr>
            <w:r>
              <w:rPr>
                <w:rFonts w:ascii="Arial" w:cs="Arial" w:eastAsia="Arial" w:hAnsi="Arial"/>
                <w:sz w:val="13"/>
                <w:szCs w:val="13"/>
                <w:b w:val="1"/>
                <w:bCs w:val="1"/>
                <w:color w:val="auto"/>
              </w:rPr>
              <w:t>Information about reportable segments (continued)</w:t>
            </w:r>
          </w:p>
        </w:tc>
        <w:tc>
          <w:tcPr>
            <w:tcW w:w="122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26"/>
        </w:trPr>
        <w:tc>
          <w:tcPr>
            <w:tcW w:w="220" w:type="dxa"/>
            <w:vAlign w:val="bottom"/>
          </w:tcPr>
          <w:p>
            <w:pPr>
              <w:spacing w:after="0"/>
              <w:rPr>
                <w:sz w:val="24"/>
                <w:szCs w:val="24"/>
                <w:color w:val="auto"/>
              </w:rPr>
            </w:pPr>
          </w:p>
        </w:tc>
        <w:tc>
          <w:tcPr>
            <w:tcW w:w="2820" w:type="dxa"/>
            <w:vAlign w:val="bottom"/>
            <w:tcBorders>
              <w:top w:val="single" w:sz="8" w:color="auto"/>
            </w:tcBorders>
          </w:tcPr>
          <w:p>
            <w:pPr>
              <w:spacing w:after="0"/>
              <w:rPr>
                <w:sz w:val="24"/>
                <w:szCs w:val="24"/>
                <w:color w:val="auto"/>
              </w:rPr>
            </w:pPr>
          </w:p>
        </w:tc>
        <w:tc>
          <w:tcPr>
            <w:tcW w:w="4020" w:type="dxa"/>
            <w:vAlign w:val="bottom"/>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gridSpan w:val="2"/>
          </w:tcPr>
          <w:p>
            <w:pPr>
              <w:jc w:val="right"/>
              <w:ind w:right="320"/>
              <w:spacing w:after="0"/>
              <w:rPr>
                <w:sz w:val="20"/>
                <w:szCs w:val="20"/>
                <w:color w:val="auto"/>
              </w:rPr>
            </w:pPr>
            <w:r>
              <w:rPr>
                <w:rFonts w:ascii="Arial" w:cs="Arial" w:eastAsia="Arial" w:hAnsi="Arial"/>
                <w:sz w:val="13"/>
                <w:szCs w:val="13"/>
                <w:b w:val="1"/>
                <w:bCs w:val="1"/>
                <w:color w:val="auto"/>
                <w:w w:val="92"/>
              </w:rPr>
              <w:t>December 31, 2016</w:t>
            </w:r>
          </w:p>
        </w:tc>
        <w:tc>
          <w:tcPr>
            <w:tcW w:w="120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2820" w:type="dxa"/>
            <w:vAlign w:val="bottom"/>
          </w:tcPr>
          <w:p>
            <w:pPr>
              <w:spacing w:after="0"/>
              <w:rPr>
                <w:sz w:val="13"/>
                <w:szCs w:val="13"/>
                <w:color w:val="auto"/>
              </w:rPr>
            </w:pPr>
          </w:p>
        </w:tc>
        <w:tc>
          <w:tcPr>
            <w:tcW w:w="4020" w:type="dxa"/>
            <w:vAlign w:val="bottom"/>
          </w:tcPr>
          <w:p>
            <w:pPr>
              <w:spacing w:after="0"/>
              <w:rPr>
                <w:sz w:val="13"/>
                <w:szCs w:val="13"/>
                <w:color w:val="auto"/>
              </w:rPr>
            </w:pPr>
          </w:p>
        </w:tc>
        <w:tc>
          <w:tcPr>
            <w:tcW w:w="1460" w:type="dxa"/>
            <w:vAlign w:val="bottom"/>
            <w:gridSpan w:val="2"/>
          </w:tcPr>
          <w:p>
            <w:pPr>
              <w:jc w:val="right"/>
              <w:ind w:right="560"/>
              <w:spacing w:after="0"/>
              <w:rPr>
                <w:sz w:val="20"/>
                <w:szCs w:val="20"/>
                <w:color w:val="auto"/>
              </w:rPr>
            </w:pPr>
            <w:r>
              <w:rPr>
                <w:rFonts w:ascii="Arial" w:cs="Arial" w:eastAsia="Arial" w:hAnsi="Arial"/>
                <w:sz w:val="13"/>
                <w:szCs w:val="13"/>
                <w:b w:val="1"/>
                <w:bCs w:val="1"/>
                <w:color w:val="auto"/>
              </w:rPr>
              <w:t>Comercial</w:t>
            </w:r>
          </w:p>
        </w:tc>
        <w:tc>
          <w:tcPr>
            <w:tcW w:w="1420" w:type="dxa"/>
            <w:vAlign w:val="bottom"/>
            <w:gridSpan w:val="2"/>
          </w:tcPr>
          <w:p>
            <w:pPr>
              <w:jc w:val="right"/>
              <w:ind w:right="580"/>
              <w:spacing w:after="0"/>
              <w:rPr>
                <w:sz w:val="20"/>
                <w:szCs w:val="20"/>
                <w:color w:val="auto"/>
              </w:rPr>
            </w:pPr>
            <w:r>
              <w:rPr>
                <w:rFonts w:ascii="Arial" w:cs="Arial" w:eastAsia="Arial" w:hAnsi="Arial"/>
                <w:sz w:val="13"/>
                <w:szCs w:val="13"/>
                <w:b w:val="1"/>
                <w:bCs w:val="1"/>
                <w:color w:val="auto"/>
              </w:rPr>
              <w:t>Treasury</w:t>
            </w:r>
          </w:p>
        </w:tc>
        <w:tc>
          <w:tcPr>
            <w:tcW w:w="1200" w:type="dxa"/>
            <w:vAlign w:val="bottom"/>
          </w:tcPr>
          <w:p>
            <w:pPr>
              <w:jc w:val="right"/>
              <w:ind w:right="396"/>
              <w:spacing w:after="0"/>
              <w:rPr>
                <w:sz w:val="20"/>
                <w:szCs w:val="20"/>
                <w:color w:val="auto"/>
              </w:rPr>
            </w:pPr>
            <w:r>
              <w:rPr>
                <w:rFonts w:ascii="Arial" w:cs="Arial" w:eastAsia="Arial" w:hAnsi="Arial"/>
                <w:sz w:val="13"/>
                <w:szCs w:val="13"/>
                <w:b w:val="1"/>
                <w:bCs w:val="1"/>
                <w:color w:val="auto"/>
              </w:rPr>
              <w:t>Total</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6840" w:type="dxa"/>
            <w:vAlign w:val="bottom"/>
            <w:tcBorders>
              <w:top w:val="single" w:sz="8" w:color="CCEEFF"/>
            </w:tcBorders>
            <w:gridSpan w:val="2"/>
            <w:shd w:val="clear" w:color="auto" w:fill="CCEEFF"/>
          </w:tcPr>
          <w:p>
            <w:pPr>
              <w:ind w:left="120"/>
              <w:spacing w:after="0" w:line="143" w:lineRule="exact"/>
              <w:rPr>
                <w:sz w:val="20"/>
                <w:szCs w:val="20"/>
                <w:color w:val="auto"/>
              </w:rPr>
            </w:pPr>
            <w:r>
              <w:rPr>
                <w:rFonts w:ascii="Arial" w:cs="Arial" w:eastAsia="Arial" w:hAnsi="Arial"/>
                <w:sz w:val="13"/>
                <w:szCs w:val="13"/>
                <w:color w:val="auto"/>
              </w:rPr>
              <w:t>Interest income</w:t>
            </w:r>
          </w:p>
        </w:tc>
        <w:tc>
          <w:tcPr>
            <w:tcW w:w="12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236,392</w:t>
            </w:r>
          </w:p>
        </w:tc>
        <w:tc>
          <w:tcPr>
            <w:tcW w:w="24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9,506</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245,898</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6840" w:type="dxa"/>
            <w:vAlign w:val="bottom"/>
            <w:gridSpan w:val="2"/>
          </w:tcPr>
          <w:p>
            <w:pPr>
              <w:ind w:left="120"/>
              <w:spacing w:after="0"/>
              <w:rPr>
                <w:sz w:val="20"/>
                <w:szCs w:val="20"/>
                <w:color w:val="auto"/>
              </w:rPr>
            </w:pPr>
            <w:r>
              <w:rPr>
                <w:rFonts w:ascii="Arial" w:cs="Arial" w:eastAsia="Arial" w:hAnsi="Arial"/>
                <w:sz w:val="13"/>
                <w:szCs w:val="13"/>
                <w:color w:val="auto"/>
              </w:rPr>
              <w:t>Interest expense</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1420" w:type="dxa"/>
            <w:vAlign w:val="bottom"/>
            <w:gridSpan w:val="2"/>
          </w:tcPr>
          <w:p>
            <w:pPr>
              <w:jc w:val="right"/>
              <w:ind w:right="180"/>
              <w:spacing w:after="0"/>
              <w:rPr>
                <w:sz w:val="20"/>
                <w:szCs w:val="20"/>
                <w:color w:val="auto"/>
              </w:rPr>
            </w:pPr>
            <w:r>
              <w:rPr>
                <w:rFonts w:ascii="Arial" w:cs="Arial" w:eastAsia="Arial" w:hAnsi="Arial"/>
                <w:sz w:val="13"/>
                <w:szCs w:val="13"/>
                <w:color w:val="auto"/>
              </w:rPr>
              <w:t>(90,689)</w:t>
            </w:r>
          </w:p>
        </w:tc>
        <w:tc>
          <w:tcPr>
            <w:tcW w:w="1300" w:type="dxa"/>
            <w:vAlign w:val="bottom"/>
            <w:gridSpan w:val="2"/>
          </w:tcPr>
          <w:p>
            <w:pPr>
              <w:jc w:val="right"/>
              <w:ind w:right="60"/>
              <w:spacing w:after="0"/>
              <w:rPr>
                <w:sz w:val="20"/>
                <w:szCs w:val="20"/>
                <w:color w:val="auto"/>
              </w:rPr>
            </w:pPr>
            <w:r>
              <w:rPr>
                <w:rFonts w:ascii="Arial" w:cs="Arial" w:eastAsia="Arial" w:hAnsi="Arial"/>
                <w:sz w:val="13"/>
                <w:szCs w:val="13"/>
                <w:color w:val="auto"/>
              </w:rPr>
              <w:t>(90,689)</w:t>
            </w: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6840" w:type="dxa"/>
            <w:vAlign w:val="bottom"/>
            <w:gridSpan w:val="2"/>
            <w:shd w:val="clear" w:color="auto" w:fill="CCEEFF"/>
          </w:tcPr>
          <w:p>
            <w:pPr>
              <w:ind w:left="120"/>
              <w:spacing w:after="0"/>
              <w:rPr>
                <w:sz w:val="20"/>
                <w:szCs w:val="20"/>
                <w:color w:val="auto"/>
              </w:rPr>
            </w:pPr>
            <w:r>
              <w:rPr>
                <w:rFonts w:ascii="Arial" w:cs="Arial" w:eastAsia="Arial" w:hAnsi="Arial"/>
                <w:sz w:val="13"/>
                <w:szCs w:val="13"/>
                <w:color w:val="auto"/>
              </w:rPr>
              <w:t>Inter-segment net interest income</w:t>
            </w: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(96,017)</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96,017</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44"/>
        </w:trPr>
        <w:tc>
          <w:tcPr>
            <w:tcW w:w="7060" w:type="dxa"/>
            <w:vAlign w:val="bottom"/>
            <w:gridSpan w:val="3"/>
          </w:tcPr>
          <w:p>
            <w:pPr>
              <w:ind w:left="220"/>
              <w:spacing w:after="0" w:line="143" w:lineRule="exact"/>
              <w:rPr>
                <w:sz w:val="20"/>
                <w:szCs w:val="20"/>
                <w:color w:val="auto"/>
              </w:rPr>
            </w:pPr>
            <w:r>
              <w:rPr>
                <w:rFonts w:ascii="Arial" w:cs="Arial" w:eastAsia="Arial" w:hAnsi="Arial"/>
                <w:sz w:val="13"/>
                <w:szCs w:val="13"/>
                <w:color w:val="auto"/>
              </w:rPr>
              <w:t>Net interest income</w:t>
            </w:r>
          </w:p>
        </w:tc>
        <w:tc>
          <w:tcPr>
            <w:tcW w:w="122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140,375</w:t>
            </w:r>
          </w:p>
        </w:tc>
        <w:tc>
          <w:tcPr>
            <w:tcW w:w="24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14,834</w:t>
            </w:r>
          </w:p>
        </w:tc>
        <w:tc>
          <w:tcPr>
            <w:tcW w:w="22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155,209</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68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Other income (expense), net</w:t>
            </w: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16,333</w:t>
            </w:r>
          </w:p>
        </w:tc>
        <w:tc>
          <w:tcPr>
            <w:tcW w:w="14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(3,568)</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12,765</w:t>
            </w:r>
          </w:p>
        </w:tc>
        <w:tc>
          <w:tcPr>
            <w:tcW w:w="0" w:type="dxa"/>
            <w:vAlign w:val="bottom"/>
          </w:tcPr>
          <w:p>
            <w:pPr>
              <w:spacing w:after="0"/>
              <w:rPr>
                <w:sz w:val="1"/>
                <w:szCs w:val="1"/>
                <w:color w:val="auto"/>
              </w:rPr>
            </w:pPr>
          </w:p>
        </w:tc>
      </w:tr>
      <w:tr>
        <w:trPr>
          <w:trHeight w:val="144"/>
        </w:trPr>
        <w:tc>
          <w:tcPr>
            <w:tcW w:w="7060" w:type="dxa"/>
            <w:vAlign w:val="bottom"/>
            <w:gridSpan w:val="3"/>
          </w:tcPr>
          <w:p>
            <w:pPr>
              <w:ind w:left="220"/>
              <w:spacing w:after="0" w:line="143" w:lineRule="exact"/>
              <w:rPr>
                <w:sz w:val="20"/>
                <w:szCs w:val="20"/>
                <w:color w:val="auto"/>
              </w:rPr>
            </w:pPr>
            <w:r>
              <w:rPr>
                <w:rFonts w:ascii="Arial" w:cs="Arial" w:eastAsia="Arial" w:hAnsi="Arial"/>
                <w:sz w:val="13"/>
                <w:szCs w:val="13"/>
                <w:color w:val="auto"/>
              </w:rPr>
              <w:t>Total income</w:t>
            </w:r>
          </w:p>
        </w:tc>
        <w:tc>
          <w:tcPr>
            <w:tcW w:w="122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156,708</w:t>
            </w:r>
          </w:p>
        </w:tc>
        <w:tc>
          <w:tcPr>
            <w:tcW w:w="24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11,266</w:t>
            </w:r>
          </w:p>
        </w:tc>
        <w:tc>
          <w:tcPr>
            <w:tcW w:w="22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167,974</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2820" w:type="dxa"/>
            <w:vAlign w:val="bottom"/>
            <w:shd w:val="clear" w:color="auto" w:fill="CCEEFF"/>
          </w:tcPr>
          <w:p>
            <w:pPr>
              <w:spacing w:after="0"/>
              <w:rPr>
                <w:sz w:val="13"/>
                <w:szCs w:val="13"/>
                <w:color w:val="auto"/>
              </w:rPr>
            </w:pPr>
          </w:p>
        </w:tc>
        <w:tc>
          <w:tcPr>
            <w:tcW w:w="4020" w:type="dxa"/>
            <w:vAlign w:val="bottom"/>
            <w:shd w:val="clear" w:color="auto" w:fill="CCEEFF"/>
          </w:tcPr>
          <w:p>
            <w:pPr>
              <w:spacing w:after="0"/>
              <w:rPr>
                <w:sz w:val="13"/>
                <w:szCs w:val="13"/>
                <w:color w:val="auto"/>
              </w:rPr>
            </w:pPr>
          </w:p>
        </w:tc>
        <w:tc>
          <w:tcPr>
            <w:tcW w:w="12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6840" w:type="dxa"/>
            <w:vAlign w:val="bottom"/>
            <w:gridSpan w:val="2"/>
          </w:tcPr>
          <w:p>
            <w:pPr>
              <w:spacing w:after="0"/>
              <w:rPr>
                <w:sz w:val="20"/>
                <w:szCs w:val="20"/>
                <w:color w:val="auto"/>
              </w:rPr>
            </w:pPr>
            <w:r>
              <w:rPr>
                <w:rFonts w:ascii="Arial" w:cs="Arial" w:eastAsia="Arial" w:hAnsi="Arial"/>
                <w:sz w:val="13"/>
                <w:szCs w:val="13"/>
                <w:color w:val="auto"/>
              </w:rPr>
              <w:t>Impairment loss on financial assets</w:t>
            </w:r>
          </w:p>
        </w:tc>
        <w:tc>
          <w:tcPr>
            <w:tcW w:w="1460" w:type="dxa"/>
            <w:vAlign w:val="bottom"/>
            <w:gridSpan w:val="2"/>
          </w:tcPr>
          <w:p>
            <w:pPr>
              <w:jc w:val="right"/>
              <w:ind w:right="200"/>
              <w:spacing w:after="0"/>
              <w:rPr>
                <w:sz w:val="20"/>
                <w:szCs w:val="20"/>
                <w:color w:val="auto"/>
              </w:rPr>
            </w:pPr>
            <w:r>
              <w:rPr>
                <w:rFonts w:ascii="Arial" w:cs="Arial" w:eastAsia="Arial" w:hAnsi="Arial"/>
                <w:sz w:val="13"/>
                <w:szCs w:val="13"/>
                <w:color w:val="auto"/>
              </w:rPr>
              <w:t>(35,112)</w:t>
            </w:r>
          </w:p>
        </w:tc>
        <w:tc>
          <w:tcPr>
            <w:tcW w:w="1420" w:type="dxa"/>
            <w:vAlign w:val="bottom"/>
            <w:gridSpan w:val="2"/>
          </w:tcPr>
          <w:p>
            <w:pPr>
              <w:jc w:val="right"/>
              <w:ind w:right="180"/>
              <w:spacing w:after="0"/>
              <w:rPr>
                <w:sz w:val="20"/>
                <w:szCs w:val="20"/>
                <w:color w:val="auto"/>
              </w:rPr>
            </w:pPr>
            <w:r>
              <w:rPr>
                <w:rFonts w:ascii="Arial" w:cs="Arial" w:eastAsia="Arial" w:hAnsi="Arial"/>
                <w:sz w:val="13"/>
                <w:szCs w:val="13"/>
                <w:color w:val="auto"/>
              </w:rPr>
              <w:t>(3)</w:t>
            </w:r>
          </w:p>
        </w:tc>
        <w:tc>
          <w:tcPr>
            <w:tcW w:w="1300" w:type="dxa"/>
            <w:vAlign w:val="bottom"/>
            <w:gridSpan w:val="2"/>
          </w:tcPr>
          <w:p>
            <w:pPr>
              <w:jc w:val="right"/>
              <w:ind w:right="60"/>
              <w:spacing w:after="0"/>
              <w:rPr>
                <w:sz w:val="20"/>
                <w:szCs w:val="20"/>
                <w:color w:val="auto"/>
              </w:rPr>
            </w:pPr>
            <w:r>
              <w:rPr>
                <w:rFonts w:ascii="Arial" w:cs="Arial" w:eastAsia="Arial" w:hAnsi="Arial"/>
                <w:sz w:val="13"/>
                <w:szCs w:val="13"/>
                <w:color w:val="auto"/>
              </w:rPr>
              <w:t>(35,115)</w:t>
            </w: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68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Operating expenses</w:t>
            </w: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(34,599)</w:t>
            </w:r>
          </w:p>
        </w:tc>
        <w:tc>
          <w:tcPr>
            <w:tcW w:w="14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(11,215)</w:t>
            </w:r>
          </w:p>
        </w:tc>
        <w:tc>
          <w:tcPr>
            <w:tcW w:w="13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(45,814)</w:t>
            </w: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6840" w:type="dxa"/>
            <w:vAlign w:val="bottom"/>
            <w:gridSpan w:val="2"/>
          </w:tcPr>
          <w:p>
            <w:pPr>
              <w:spacing w:after="0" w:line="144" w:lineRule="exact"/>
              <w:rPr>
                <w:sz w:val="20"/>
                <w:szCs w:val="20"/>
                <w:color w:val="auto"/>
              </w:rPr>
            </w:pPr>
            <w:r>
              <w:rPr>
                <w:rFonts w:ascii="Arial" w:cs="Arial" w:eastAsia="Arial" w:hAnsi="Arial"/>
                <w:sz w:val="13"/>
                <w:szCs w:val="13"/>
                <w:b w:val="1"/>
                <w:bCs w:val="1"/>
                <w:color w:val="auto"/>
              </w:rPr>
              <w:t>Segment profit for the year</w:t>
            </w:r>
          </w:p>
        </w:tc>
        <w:tc>
          <w:tcPr>
            <w:tcW w:w="122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86,997</w:t>
            </w:r>
          </w:p>
        </w:tc>
        <w:tc>
          <w:tcPr>
            <w:tcW w:w="24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47</w:t>
            </w:r>
          </w:p>
        </w:tc>
        <w:tc>
          <w:tcPr>
            <w:tcW w:w="22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87,045</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2820" w:type="dxa"/>
            <w:vAlign w:val="bottom"/>
            <w:shd w:val="clear" w:color="auto" w:fill="CCEEFF"/>
          </w:tcPr>
          <w:p>
            <w:pPr>
              <w:spacing w:after="0"/>
              <w:rPr>
                <w:sz w:val="13"/>
                <w:szCs w:val="13"/>
                <w:color w:val="auto"/>
              </w:rPr>
            </w:pPr>
          </w:p>
        </w:tc>
        <w:tc>
          <w:tcPr>
            <w:tcW w:w="4020" w:type="dxa"/>
            <w:vAlign w:val="bottom"/>
            <w:shd w:val="clear" w:color="auto" w:fill="CCEEFF"/>
          </w:tcPr>
          <w:p>
            <w:pPr>
              <w:spacing w:after="0"/>
              <w:rPr>
                <w:sz w:val="13"/>
                <w:szCs w:val="13"/>
                <w:color w:val="auto"/>
              </w:rPr>
            </w:pPr>
          </w:p>
        </w:tc>
        <w:tc>
          <w:tcPr>
            <w:tcW w:w="12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6840" w:type="dxa"/>
            <w:vAlign w:val="bottom"/>
            <w:gridSpan w:val="2"/>
          </w:tcPr>
          <w:p>
            <w:pPr>
              <w:spacing w:after="0"/>
              <w:rPr>
                <w:sz w:val="20"/>
                <w:szCs w:val="20"/>
                <w:color w:val="auto"/>
              </w:rPr>
            </w:pPr>
            <w:r>
              <w:rPr>
                <w:rFonts w:ascii="Arial" w:cs="Arial" w:eastAsia="Arial" w:hAnsi="Arial"/>
                <w:sz w:val="13"/>
                <w:szCs w:val="13"/>
                <w:b w:val="1"/>
                <w:bCs w:val="1"/>
                <w:color w:val="auto"/>
              </w:rPr>
              <w:t>Segment Assets</w:t>
            </w:r>
          </w:p>
        </w:tc>
        <w:tc>
          <w:tcPr>
            <w:tcW w:w="1220" w:type="dxa"/>
            <w:vAlign w:val="bottom"/>
          </w:tcPr>
          <w:p>
            <w:pPr>
              <w:jc w:val="right"/>
              <w:spacing w:after="0"/>
              <w:rPr>
                <w:sz w:val="20"/>
                <w:szCs w:val="20"/>
                <w:color w:val="auto"/>
              </w:rPr>
            </w:pPr>
            <w:r>
              <w:rPr>
                <w:rFonts w:ascii="Arial" w:cs="Arial" w:eastAsia="Arial" w:hAnsi="Arial"/>
                <w:sz w:val="13"/>
                <w:szCs w:val="13"/>
                <w:b w:val="1"/>
                <w:bCs w:val="1"/>
                <w:color w:val="auto"/>
              </w:rPr>
              <w:t>5,969,902</w:t>
            </w:r>
          </w:p>
        </w:tc>
        <w:tc>
          <w:tcPr>
            <w:tcW w:w="240" w:type="dxa"/>
            <w:vAlign w:val="bottom"/>
          </w:tcPr>
          <w:p>
            <w:pPr>
              <w:spacing w:after="0"/>
              <w:rPr>
                <w:sz w:val="13"/>
                <w:szCs w:val="13"/>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b w:val="1"/>
                <w:bCs w:val="1"/>
                <w:color w:val="auto"/>
              </w:rPr>
              <w:t>1,188,406</w:t>
            </w:r>
          </w:p>
        </w:tc>
        <w:tc>
          <w:tcPr>
            <w:tcW w:w="1200" w:type="dxa"/>
            <w:vAlign w:val="bottom"/>
          </w:tcPr>
          <w:p>
            <w:pPr>
              <w:jc w:val="right"/>
              <w:spacing w:after="0"/>
              <w:rPr>
                <w:sz w:val="20"/>
                <w:szCs w:val="20"/>
                <w:color w:val="auto"/>
              </w:rPr>
            </w:pPr>
            <w:r>
              <w:rPr>
                <w:rFonts w:ascii="Arial" w:cs="Arial" w:eastAsia="Arial" w:hAnsi="Arial"/>
                <w:sz w:val="13"/>
                <w:szCs w:val="13"/>
                <w:b w:val="1"/>
                <w:bCs w:val="1"/>
                <w:color w:val="auto"/>
              </w:rPr>
              <w:t>7,158,308</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6840" w:type="dxa"/>
            <w:vAlign w:val="bottom"/>
            <w:gridSpan w:val="2"/>
            <w:shd w:val="clear" w:color="auto" w:fill="CCEEFF"/>
          </w:tcPr>
          <w:p>
            <w:pPr>
              <w:spacing w:after="0"/>
              <w:rPr>
                <w:sz w:val="20"/>
                <w:szCs w:val="20"/>
                <w:color w:val="auto"/>
              </w:rPr>
            </w:pPr>
            <w:r>
              <w:rPr>
                <w:rFonts w:ascii="Arial" w:cs="Arial" w:eastAsia="Arial" w:hAnsi="Arial"/>
                <w:sz w:val="13"/>
                <w:szCs w:val="13"/>
                <w:b w:val="1"/>
                <w:bCs w:val="1"/>
                <w:color w:val="auto"/>
              </w:rPr>
              <w:t>Segment Liabilities</w:t>
            </w: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b w:val="1"/>
                <w:bCs w:val="1"/>
                <w:color w:val="auto"/>
              </w:rPr>
              <w:t>25,163</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b w:val="1"/>
                <w:bCs w:val="1"/>
                <w:color w:val="auto"/>
              </w:rPr>
              <w:t>6,125,954</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b w:val="1"/>
                <w:bCs w:val="1"/>
                <w:color w:val="auto"/>
              </w:rPr>
              <w:t>6,151,117</w:t>
            </w:r>
          </w:p>
        </w:tc>
        <w:tc>
          <w:tcPr>
            <w:tcW w:w="0" w:type="dxa"/>
            <w:vAlign w:val="bottom"/>
          </w:tcPr>
          <w:p>
            <w:pPr>
              <w:spacing w:after="0"/>
              <w:rPr>
                <w:sz w:val="1"/>
                <w:szCs w:val="1"/>
                <w:color w:val="auto"/>
              </w:rPr>
            </w:pPr>
          </w:p>
        </w:tc>
      </w:tr>
    </w:tbl>
    <w:p>
      <w:pPr>
        <w:spacing w:after="0" w:line="141" w:lineRule="exact"/>
        <w:rPr>
          <w:sz w:val="20"/>
          <w:szCs w:val="20"/>
          <w:color w:val="auto"/>
        </w:rPr>
      </w:pPr>
    </w:p>
    <w:p>
      <w:pPr>
        <w:ind w:left="220"/>
        <w:spacing w:after="0"/>
        <w:rPr>
          <w:sz w:val="20"/>
          <w:szCs w:val="20"/>
          <w:color w:val="auto"/>
        </w:rPr>
      </w:pPr>
      <w:r>
        <w:rPr>
          <w:rFonts w:ascii="Arial" w:cs="Arial" w:eastAsia="Arial" w:hAnsi="Arial"/>
          <w:sz w:val="13"/>
          <w:szCs w:val="13"/>
          <w:b w:val="1"/>
          <w:bCs w:val="1"/>
          <w:color w:val="auto"/>
        </w:rPr>
        <w:t>Reconciliation of information on reportable segments: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144780</wp:posOffset>
            </wp:positionH>
            <wp:positionV relativeFrom="paragraph">
              <wp:posOffset>10795</wp:posOffset>
            </wp:positionV>
            <wp:extent cx="6992620" cy="6350"/>
            <wp:wrapNone/>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352">
                      <a:extLst>
                        <a:ext uri="{28A0092B-C50C-407E-A947-70E740481C1C}"/>
                      </a:extLst>
                    </a:blip>
                    <a:srcRect/>
                    <a:stretch>
                      <a:fillRect/>
                    </a:stretch>
                  </pic:blipFill>
                  <pic:spPr bwMode="auto">
                    <a:xfrm>
                      <a:off x="0" y="0"/>
                      <a:ext cx="6992620" cy="6350"/>
                    </a:xfrm>
                    <a:prstGeom prst="rect">
                      <a:avLst/>
                    </a:prstGeom>
                    <a:noFill/>
                  </pic:spPr>
                </pic:pic>
              </a:graphicData>
            </a:graphic>
          </wp:anchor>
        </w:drawing>
      </w:r>
    </w:p>
    <w:p>
      <w:pPr>
        <w:sectPr>
          <w:pgSz w:w="11900" w:h="16838" w:orient="portrait"/>
          <w:cols w:equalWidth="0" w:num="1">
            <w:col w:w="11480"/>
          </w:cols>
          <w:pgMar w:left="220" w:top="685" w:right="199" w:bottom="1440" w:gutter="0" w:footer="0" w:header="0"/>
        </w:sectPr>
      </w:pPr>
    </w:p>
    <w:p>
      <w:pPr>
        <w:spacing w:after="0" w:line="191" w:lineRule="exact"/>
        <w:rPr>
          <w:sz w:val="20"/>
          <w:szCs w:val="20"/>
          <w:color w:val="auto"/>
        </w:rPr>
      </w:pPr>
    </w:p>
    <w:p>
      <w:pPr>
        <w:ind w:left="220"/>
        <w:spacing w:after="0"/>
        <w:rPr>
          <w:sz w:val="20"/>
          <w:szCs w:val="20"/>
          <w:color w:val="auto"/>
        </w:rPr>
      </w:pPr>
      <w:r>
        <w:rPr>
          <w:rFonts w:ascii="Arial" w:cs="Arial" w:eastAsia="Arial" w:hAnsi="Arial"/>
          <w:sz w:val="13"/>
          <w:szCs w:val="13"/>
          <w:color w:val="auto"/>
        </w:rPr>
        <w:t>Profit:</w:t>
      </w:r>
    </w:p>
    <w:p>
      <w:pPr>
        <w:spacing w:after="0" w:line="13" w:lineRule="exact"/>
        <w:rPr>
          <w:sz w:val="20"/>
          <w:szCs w:val="20"/>
          <w:color w:val="auto"/>
        </w:rPr>
      </w:pPr>
    </w:p>
    <w:p>
      <w:pPr>
        <w:ind w:left="340"/>
        <w:spacing w:after="0"/>
        <w:rPr>
          <w:sz w:val="20"/>
          <w:szCs w:val="20"/>
          <w:color w:val="auto"/>
        </w:rPr>
      </w:pPr>
      <w:r>
        <w:rPr>
          <w:rFonts w:ascii="Arial" w:cs="Arial" w:eastAsia="Arial" w:hAnsi="Arial"/>
          <w:sz w:val="13"/>
          <w:szCs w:val="13"/>
          <w:color w:val="auto"/>
        </w:rPr>
        <w:t>Total profit from reportable segments</w:t>
      </w:r>
    </w:p>
    <w:p>
      <w:pPr>
        <w:spacing w:after="0" w:line="5" w:lineRule="exact"/>
        <w:rPr>
          <w:sz w:val="20"/>
          <w:szCs w:val="20"/>
          <w:color w:val="auto"/>
        </w:rPr>
      </w:pPr>
    </w:p>
    <w:p>
      <w:pPr>
        <w:ind w:left="340"/>
        <w:spacing w:after="0"/>
        <w:rPr>
          <w:sz w:val="20"/>
          <w:szCs w:val="20"/>
          <w:color w:val="auto"/>
        </w:rPr>
      </w:pPr>
      <w:r>
        <w:rPr>
          <w:rFonts w:ascii="Arial" w:cs="Arial" w:eastAsia="Arial" w:hAnsi="Arial"/>
          <w:sz w:val="11"/>
          <w:szCs w:val="11"/>
          <w:color w:val="auto"/>
        </w:rPr>
        <w:t>Impairment loss on non-financial assets - unallocated</w:t>
      </w:r>
    </w:p>
    <w:p>
      <w:pPr>
        <w:spacing w:after="0" w:line="29" w:lineRule="exact"/>
        <w:rPr>
          <w:sz w:val="20"/>
          <w:szCs w:val="20"/>
          <w:color w:val="auto"/>
        </w:rPr>
      </w:pPr>
    </w:p>
    <w:p>
      <w:pPr>
        <w:ind w:left="220"/>
        <w:spacing w:after="0"/>
        <w:rPr>
          <w:sz w:val="20"/>
          <w:szCs w:val="20"/>
          <w:color w:val="auto"/>
        </w:rPr>
      </w:pPr>
      <w:r>
        <w:rPr>
          <w:rFonts w:ascii="Arial" w:cs="Arial" w:eastAsia="Arial" w:hAnsi="Arial"/>
          <w:sz w:val="13"/>
          <w:szCs w:val="13"/>
          <w:color w:val="auto"/>
        </w:rPr>
        <w:t>Consolidated profit for the year</w:t>
      </w:r>
    </w:p>
    <w:p>
      <w:pPr>
        <w:spacing w:after="0" w:line="20" w:lineRule="exact"/>
        <w:rPr>
          <w:sz w:val="20"/>
          <w:szCs w:val="20"/>
          <w:color w:val="auto"/>
        </w:rPr>
      </w:pPr>
      <w:r>
        <w:rPr>
          <w:sz w:val="20"/>
          <w:szCs w:val="20"/>
          <w:color w:val="auto"/>
        </w:rPr>
        <w:br w:type="column"/>
      </w:r>
    </w:p>
    <w:p>
      <w:pPr>
        <w:spacing w:after="0" w:line="4"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67"/>
        </w:trPr>
        <w:tc>
          <w:tcPr>
            <w:tcW w:w="1220" w:type="dxa"/>
            <w:vAlign w:val="bottom"/>
            <w:tcBorders>
              <w:bottom w:val="single" w:sz="8" w:color="auto"/>
            </w:tcBorders>
          </w:tcPr>
          <w:p>
            <w:pPr>
              <w:jc w:val="right"/>
              <w:ind w:right="416"/>
              <w:spacing w:after="0"/>
              <w:rPr>
                <w:sz w:val="20"/>
                <w:szCs w:val="20"/>
                <w:color w:val="auto"/>
              </w:rPr>
            </w:pPr>
            <w:r>
              <w:rPr>
                <w:rFonts w:ascii="Arial" w:cs="Arial" w:eastAsia="Arial" w:hAnsi="Arial"/>
                <w:sz w:val="13"/>
                <w:szCs w:val="13"/>
                <w:b w:val="1"/>
                <w:bCs w:val="1"/>
                <w:color w:val="auto"/>
              </w:rPr>
              <w:t>2018</w:t>
            </w:r>
          </w:p>
        </w:tc>
        <w:tc>
          <w:tcPr>
            <w:tcW w:w="240" w:type="dxa"/>
            <w:vAlign w:val="bottom"/>
          </w:tcPr>
          <w:p>
            <w:pPr>
              <w:spacing w:after="0"/>
              <w:rPr>
                <w:sz w:val="14"/>
                <w:szCs w:val="14"/>
                <w:color w:val="auto"/>
              </w:rPr>
            </w:pPr>
          </w:p>
        </w:tc>
        <w:tc>
          <w:tcPr>
            <w:tcW w:w="1200" w:type="dxa"/>
            <w:vAlign w:val="bottom"/>
            <w:tcBorders>
              <w:bottom w:val="single" w:sz="8" w:color="auto"/>
            </w:tcBorders>
          </w:tcPr>
          <w:p>
            <w:pPr>
              <w:jc w:val="right"/>
              <w:ind w:right="416"/>
              <w:spacing w:after="0"/>
              <w:rPr>
                <w:sz w:val="20"/>
                <w:szCs w:val="20"/>
                <w:color w:val="auto"/>
              </w:rPr>
            </w:pPr>
            <w:r>
              <w:rPr>
                <w:rFonts w:ascii="Arial" w:cs="Arial" w:eastAsia="Arial" w:hAnsi="Arial"/>
                <w:sz w:val="13"/>
                <w:szCs w:val="13"/>
                <w:b w:val="1"/>
                <w:bCs w:val="1"/>
                <w:color w:val="auto"/>
              </w:rPr>
              <w:t>2017</w:t>
            </w:r>
          </w:p>
        </w:tc>
        <w:tc>
          <w:tcPr>
            <w:tcW w:w="220" w:type="dxa"/>
            <w:vAlign w:val="bottom"/>
          </w:tcPr>
          <w:p>
            <w:pPr>
              <w:spacing w:after="0"/>
              <w:rPr>
                <w:sz w:val="14"/>
                <w:szCs w:val="14"/>
                <w:color w:val="auto"/>
              </w:rPr>
            </w:pPr>
          </w:p>
        </w:tc>
        <w:tc>
          <w:tcPr>
            <w:tcW w:w="1200" w:type="dxa"/>
            <w:vAlign w:val="bottom"/>
            <w:tcBorders>
              <w:bottom w:val="single" w:sz="8" w:color="auto"/>
            </w:tcBorders>
          </w:tcPr>
          <w:p>
            <w:pPr>
              <w:jc w:val="right"/>
              <w:ind w:right="416"/>
              <w:spacing w:after="0"/>
              <w:rPr>
                <w:sz w:val="20"/>
                <w:szCs w:val="20"/>
                <w:color w:val="auto"/>
              </w:rPr>
            </w:pPr>
            <w:r>
              <w:rPr>
                <w:rFonts w:ascii="Arial" w:cs="Arial" w:eastAsia="Arial" w:hAnsi="Arial"/>
                <w:sz w:val="13"/>
                <w:szCs w:val="13"/>
                <w:b w:val="1"/>
                <w:bCs w:val="1"/>
                <w:color w:val="auto"/>
              </w:rPr>
              <w:t>2016</w:t>
            </w:r>
          </w:p>
        </w:tc>
      </w:tr>
      <w:tr>
        <w:trPr>
          <w:trHeight w:val="289"/>
        </w:trPr>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15,189</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81,999</w:t>
            </w:r>
          </w:p>
        </w:tc>
        <w:tc>
          <w:tcPr>
            <w:tcW w:w="1200" w:type="dxa"/>
            <w:vAlign w:val="bottom"/>
          </w:tcPr>
          <w:p>
            <w:pPr>
              <w:jc w:val="right"/>
              <w:spacing w:after="0"/>
              <w:rPr>
                <w:sz w:val="20"/>
                <w:szCs w:val="20"/>
                <w:color w:val="auto"/>
              </w:rPr>
            </w:pPr>
            <w:r>
              <w:rPr>
                <w:rFonts w:ascii="Arial" w:cs="Arial" w:eastAsia="Arial" w:hAnsi="Arial"/>
                <w:sz w:val="13"/>
                <w:szCs w:val="13"/>
                <w:color w:val="auto"/>
              </w:rPr>
              <w:t>87,045</w:t>
            </w:r>
          </w:p>
        </w:tc>
      </w:tr>
      <w:tr>
        <w:trPr>
          <w:trHeight w:val="172"/>
        </w:trPr>
        <w:tc>
          <w:tcPr>
            <w:tcW w:w="1460" w:type="dxa"/>
            <w:vAlign w:val="bottom"/>
            <w:gridSpan w:val="2"/>
          </w:tcPr>
          <w:p>
            <w:pPr>
              <w:jc w:val="right"/>
              <w:ind w:right="200"/>
              <w:spacing w:after="0"/>
              <w:rPr>
                <w:sz w:val="20"/>
                <w:szCs w:val="20"/>
                <w:color w:val="auto"/>
              </w:rPr>
            </w:pPr>
            <w:r>
              <w:rPr>
                <w:rFonts w:ascii="Arial" w:cs="Arial" w:eastAsia="Arial" w:hAnsi="Arial"/>
                <w:sz w:val="13"/>
                <w:szCs w:val="13"/>
                <w:color w:val="auto"/>
              </w:rPr>
              <w:t>(4,051)</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r>
      <w:tr>
        <w:trPr>
          <w:trHeight w:val="162"/>
        </w:trPr>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color w:val="auto"/>
              </w:rPr>
              <w:t>11,138</w:t>
            </w:r>
          </w:p>
        </w:tc>
        <w:tc>
          <w:tcPr>
            <w:tcW w:w="240" w:type="dxa"/>
            <w:vAlign w:val="bottom"/>
          </w:tcPr>
          <w:p>
            <w:pPr>
              <w:spacing w:after="0"/>
              <w:rPr>
                <w:sz w:val="14"/>
                <w:szCs w:val="14"/>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color w:val="auto"/>
              </w:rPr>
              <w:t>81,999</w:t>
            </w:r>
          </w:p>
        </w:tc>
        <w:tc>
          <w:tcPr>
            <w:tcW w:w="220" w:type="dxa"/>
            <w:vAlign w:val="bottom"/>
          </w:tcPr>
          <w:p>
            <w:pPr>
              <w:spacing w:after="0"/>
              <w:rPr>
                <w:sz w:val="14"/>
                <w:szCs w:val="14"/>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color w:val="auto"/>
              </w:rPr>
              <w:t>87,045</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-4337685</wp:posOffset>
            </wp:positionH>
            <wp:positionV relativeFrom="paragraph">
              <wp:posOffset>-433070</wp:posOffset>
            </wp:positionV>
            <wp:extent cx="6992620" cy="104140"/>
            <wp:wrapNone/>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353">
                      <a:extLst>
                        <a:ext uri="{28A0092B-C50C-407E-A947-70E740481C1C}"/>
                      </a:extLst>
                    </a:blip>
                    <a:srcRect/>
                    <a:stretch>
                      <a:fillRect/>
                    </a:stretch>
                  </pic:blipFill>
                  <pic:spPr bwMode="auto">
                    <a:xfrm>
                      <a:off x="0" y="0"/>
                      <a:ext cx="6992620" cy="104140"/>
                    </a:xfrm>
                    <a:prstGeom prst="rect">
                      <a:avLst/>
                    </a:prstGeom>
                    <a:noFill/>
                  </pic:spPr>
                </pic:pic>
              </a:graphicData>
            </a:graphic>
          </wp:anchor>
        </w:drawing>
        <w:drawing>
          <wp:anchor simplePos="0" relativeHeight="251657728" behindDoc="1" locked="0" layoutInCell="0" allowOverlap="1">
            <wp:simplePos x="0" y="0"/>
            <wp:positionH relativeFrom="column">
              <wp:posOffset>-4337685</wp:posOffset>
            </wp:positionH>
            <wp:positionV relativeFrom="paragraph">
              <wp:posOffset>-231775</wp:posOffset>
            </wp:positionV>
            <wp:extent cx="6992620" cy="104140"/>
            <wp:wrapNone/>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354">
                      <a:extLst>
                        <a:ext uri="{28A0092B-C50C-407E-A947-70E740481C1C}"/>
                      </a:extLst>
                    </a:blip>
                    <a:srcRect/>
                    <a:stretch>
                      <a:fillRect/>
                    </a:stretch>
                  </pic:blipFill>
                  <pic:spPr bwMode="auto">
                    <a:xfrm>
                      <a:off x="0" y="0"/>
                      <a:ext cx="6992620" cy="104140"/>
                    </a:xfrm>
                    <a:prstGeom prst="rect">
                      <a:avLst/>
                    </a:prstGeom>
                    <a:noFill/>
                  </pic:spPr>
                </pic:pic>
              </a:graphicData>
            </a:graphic>
          </wp:anchor>
        </w:drawing>
      </w:r>
    </w:p>
    <w:p>
      <w:pPr>
        <w:spacing w:after="0" w:line="20" w:lineRule="exact"/>
        <w:rPr>
          <w:sz w:val="20"/>
          <w:szCs w:val="20"/>
          <w:color w:val="auto"/>
        </w:rPr>
      </w:pPr>
    </w:p>
    <w:p>
      <w:pPr>
        <w:sectPr>
          <w:pgSz w:w="11900" w:h="16838" w:orient="portrait"/>
          <w:cols w:equalWidth="0" w:num="2">
            <w:col w:w="6340" w:space="720"/>
            <w:col w:w="4420"/>
          </w:cols>
          <w:pgMar w:left="220" w:top="685" w:right="199" w:bottom="1440" w:gutter="0" w:footer="0" w:header="0"/>
          <w:type w:val="continuous"/>
        </w:sectPr>
      </w:pPr>
    </w:p>
    <w:tbl>
      <w:tblPr>
        <w:tblLayout w:type="fixed"/>
        <w:tblInd w:w="0" w:type="dxa"/>
        <w:tblCellMar>
          <w:top w:w="0" w:type="dxa"/>
          <w:left w:w="0" w:type="dxa"/>
          <w:bottom w:w="0" w:type="dxa"/>
          <w:right w:w="0" w:type="dxa"/>
        </w:tblCellMar>
      </w:tblPr>
      <w:tr>
        <w:trPr>
          <w:trHeight w:val="134"/>
        </w:trPr>
        <w:tc>
          <w:tcPr>
            <w:tcW w:w="220" w:type="dxa"/>
            <w:vAlign w:val="bottom"/>
          </w:tcPr>
          <w:p>
            <w:pPr>
              <w:spacing w:after="0"/>
              <w:rPr>
                <w:sz w:val="11"/>
                <w:szCs w:val="11"/>
                <w:color w:val="auto"/>
              </w:rPr>
            </w:pPr>
          </w:p>
        </w:tc>
        <w:tc>
          <w:tcPr>
            <w:tcW w:w="4300" w:type="dxa"/>
            <w:vAlign w:val="bottom"/>
            <w:shd w:val="clear" w:color="auto" w:fill="CCEEFF"/>
          </w:tcPr>
          <w:p>
            <w:pPr>
              <w:spacing w:after="0"/>
              <w:rPr>
                <w:sz w:val="11"/>
                <w:szCs w:val="11"/>
                <w:color w:val="auto"/>
              </w:rPr>
            </w:pPr>
          </w:p>
        </w:tc>
        <w:tc>
          <w:tcPr>
            <w:tcW w:w="2540" w:type="dxa"/>
            <w:vAlign w:val="bottom"/>
            <w:shd w:val="clear" w:color="auto" w:fill="CCEEFF"/>
          </w:tcPr>
          <w:p>
            <w:pPr>
              <w:spacing w:after="0"/>
              <w:rPr>
                <w:sz w:val="11"/>
                <w:szCs w:val="11"/>
                <w:color w:val="auto"/>
              </w:rPr>
            </w:pPr>
          </w:p>
        </w:tc>
        <w:tc>
          <w:tcPr>
            <w:tcW w:w="12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2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4520" w:type="dxa"/>
            <w:vAlign w:val="bottom"/>
            <w:gridSpan w:val="2"/>
          </w:tcPr>
          <w:p>
            <w:pPr>
              <w:ind w:left="220"/>
              <w:spacing w:after="0"/>
              <w:rPr>
                <w:sz w:val="20"/>
                <w:szCs w:val="20"/>
                <w:color w:val="auto"/>
              </w:rPr>
            </w:pPr>
            <w:r>
              <w:rPr>
                <w:rFonts w:ascii="Arial" w:cs="Arial" w:eastAsia="Arial" w:hAnsi="Arial"/>
                <w:sz w:val="13"/>
                <w:szCs w:val="13"/>
                <w:color w:val="auto"/>
              </w:rPr>
              <w:t>Assets:</w:t>
            </w:r>
          </w:p>
        </w:tc>
        <w:tc>
          <w:tcPr>
            <w:tcW w:w="254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300" w:type="dxa"/>
            <w:vAlign w:val="bottom"/>
            <w:shd w:val="clear" w:color="auto" w:fill="CCEEFF"/>
          </w:tcPr>
          <w:p>
            <w:pPr>
              <w:ind w:left="120"/>
              <w:spacing w:after="0"/>
              <w:rPr>
                <w:sz w:val="20"/>
                <w:szCs w:val="20"/>
                <w:color w:val="auto"/>
              </w:rPr>
            </w:pPr>
            <w:r>
              <w:rPr>
                <w:rFonts w:ascii="Arial" w:cs="Arial" w:eastAsia="Arial" w:hAnsi="Arial"/>
                <w:sz w:val="13"/>
                <w:szCs w:val="13"/>
                <w:color w:val="auto"/>
              </w:rPr>
              <w:t>Total assets from reportable segments</w:t>
            </w:r>
          </w:p>
        </w:tc>
        <w:tc>
          <w:tcPr>
            <w:tcW w:w="376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7,584,173</w:t>
            </w:r>
          </w:p>
        </w:tc>
        <w:tc>
          <w:tcPr>
            <w:tcW w:w="24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6,243,464</w:t>
            </w:r>
          </w:p>
        </w:tc>
        <w:tc>
          <w:tcPr>
            <w:tcW w:w="12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7,158,308</w:t>
            </w:r>
          </w:p>
        </w:tc>
        <w:tc>
          <w:tcPr>
            <w:tcW w:w="100" w:type="dxa"/>
            <w:vAlign w:val="bottom"/>
            <w:shd w:val="clear" w:color="auto" w:fill="CCEEFF"/>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300" w:type="dxa"/>
            <w:vAlign w:val="bottom"/>
          </w:tcPr>
          <w:p>
            <w:pPr>
              <w:ind w:left="240"/>
              <w:spacing w:after="0"/>
              <w:rPr>
                <w:sz w:val="20"/>
                <w:szCs w:val="20"/>
                <w:color w:val="auto"/>
              </w:rPr>
            </w:pPr>
            <w:r>
              <w:rPr>
                <w:rFonts w:ascii="Arial" w:cs="Arial" w:eastAsia="Arial" w:hAnsi="Arial"/>
                <w:sz w:val="13"/>
                <w:szCs w:val="13"/>
                <w:color w:val="auto"/>
              </w:rPr>
              <w:t>Equipment and leasehold improvements, net - unallocated</w:t>
            </w:r>
          </w:p>
        </w:tc>
        <w:tc>
          <w:tcPr>
            <w:tcW w:w="3760" w:type="dxa"/>
            <w:vAlign w:val="bottom"/>
            <w:gridSpan w:val="2"/>
          </w:tcPr>
          <w:p>
            <w:pPr>
              <w:jc w:val="right"/>
              <w:spacing w:after="0"/>
              <w:rPr>
                <w:sz w:val="20"/>
                <w:szCs w:val="20"/>
                <w:color w:val="auto"/>
              </w:rPr>
            </w:pPr>
            <w:r>
              <w:rPr>
                <w:rFonts w:ascii="Arial" w:cs="Arial" w:eastAsia="Arial" w:hAnsi="Arial"/>
                <w:sz w:val="13"/>
                <w:szCs w:val="13"/>
                <w:color w:val="auto"/>
              </w:rPr>
              <w:t>6,686</w:t>
            </w:r>
          </w:p>
        </w:tc>
        <w:tc>
          <w:tcPr>
            <w:tcW w:w="240" w:type="dxa"/>
            <w:vAlign w:val="bottom"/>
          </w:tcPr>
          <w:p>
            <w:pPr>
              <w:spacing w:after="0"/>
              <w:rPr>
                <w:sz w:val="13"/>
                <w:szCs w:val="13"/>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7,420</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8,549</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300" w:type="dxa"/>
            <w:vAlign w:val="bottom"/>
            <w:shd w:val="clear" w:color="auto" w:fill="CCEEFF"/>
          </w:tcPr>
          <w:p>
            <w:pPr>
              <w:ind w:left="240"/>
              <w:spacing w:after="0"/>
              <w:rPr>
                <w:sz w:val="20"/>
                <w:szCs w:val="20"/>
                <w:color w:val="auto"/>
              </w:rPr>
            </w:pPr>
            <w:r>
              <w:rPr>
                <w:rFonts w:ascii="Arial" w:cs="Arial" w:eastAsia="Arial" w:hAnsi="Arial"/>
                <w:sz w:val="13"/>
                <w:szCs w:val="13"/>
                <w:color w:val="auto"/>
              </w:rPr>
              <w:t>Intangibles, net - unallocated</w:t>
            </w:r>
          </w:p>
        </w:tc>
        <w:tc>
          <w:tcPr>
            <w:tcW w:w="376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1,633</w:t>
            </w:r>
          </w:p>
        </w:tc>
        <w:tc>
          <w:tcPr>
            <w:tcW w:w="24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5,425</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2,909</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4300" w:type="dxa"/>
            <w:vAlign w:val="bottom"/>
          </w:tcPr>
          <w:p>
            <w:pPr>
              <w:ind w:left="240"/>
              <w:spacing w:after="0"/>
              <w:rPr>
                <w:sz w:val="20"/>
                <w:szCs w:val="20"/>
                <w:color w:val="auto"/>
              </w:rPr>
            </w:pPr>
            <w:r>
              <w:rPr>
                <w:rFonts w:ascii="Arial" w:cs="Arial" w:eastAsia="Arial" w:hAnsi="Arial"/>
                <w:sz w:val="13"/>
                <w:szCs w:val="13"/>
                <w:color w:val="auto"/>
              </w:rPr>
              <w:t>Other assets - unallocated</w:t>
            </w:r>
          </w:p>
        </w:tc>
        <w:tc>
          <w:tcPr>
            <w:tcW w:w="4000" w:type="dxa"/>
            <w:vAlign w:val="bottom"/>
            <w:gridSpan w:val="3"/>
          </w:tcPr>
          <w:p>
            <w:pPr>
              <w:jc w:val="right"/>
              <w:ind w:right="240"/>
              <w:spacing w:after="0"/>
              <w:rPr>
                <w:sz w:val="20"/>
                <w:szCs w:val="20"/>
                <w:color w:val="auto"/>
              </w:rPr>
            </w:pPr>
            <w:r>
              <w:rPr>
                <w:rFonts w:ascii="Arial" w:cs="Arial" w:eastAsia="Arial" w:hAnsi="Arial"/>
                <w:sz w:val="13"/>
                <w:szCs w:val="13"/>
                <w:color w:val="auto"/>
              </w:rPr>
              <w:t>16,693</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11,438</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11,016</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300" w:type="dxa"/>
            <w:vAlign w:val="bottom"/>
            <w:tcBorders>
              <w:top w:val="single" w:sz="8" w:color="CCEEFF"/>
            </w:tcBorders>
            <w:shd w:val="clear" w:color="auto" w:fill="CCEEFF"/>
          </w:tcPr>
          <w:p>
            <w:pPr>
              <w:ind w:left="120"/>
              <w:spacing w:after="0" w:line="143" w:lineRule="exact"/>
              <w:rPr>
                <w:sz w:val="20"/>
                <w:szCs w:val="20"/>
                <w:color w:val="auto"/>
              </w:rPr>
            </w:pPr>
            <w:r>
              <w:rPr>
                <w:rFonts w:ascii="Arial" w:cs="Arial" w:eastAsia="Arial" w:hAnsi="Arial"/>
                <w:sz w:val="13"/>
                <w:szCs w:val="13"/>
                <w:color w:val="auto"/>
              </w:rPr>
              <w:t>Unallocated amounts</w:t>
            </w:r>
          </w:p>
        </w:tc>
        <w:tc>
          <w:tcPr>
            <w:tcW w:w="254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25,012</w:t>
            </w:r>
          </w:p>
        </w:tc>
        <w:tc>
          <w:tcPr>
            <w:tcW w:w="24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24,283</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22,474</w:t>
            </w:r>
          </w:p>
        </w:tc>
        <w:tc>
          <w:tcPr>
            <w:tcW w:w="100" w:type="dxa"/>
            <w:vAlign w:val="bottom"/>
            <w:tcBorders>
              <w:top w:val="single" w:sz="8" w:color="CCEEFF"/>
            </w:tcBorders>
            <w:shd w:val="clear" w:color="auto" w:fill="CCEEFF"/>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4520" w:type="dxa"/>
            <w:vAlign w:val="bottom"/>
            <w:gridSpan w:val="2"/>
          </w:tcPr>
          <w:p>
            <w:pPr>
              <w:ind w:left="220"/>
              <w:spacing w:after="0" w:line="143" w:lineRule="exact"/>
              <w:rPr>
                <w:sz w:val="20"/>
                <w:szCs w:val="20"/>
                <w:color w:val="auto"/>
              </w:rPr>
            </w:pPr>
            <w:r>
              <w:rPr>
                <w:rFonts w:ascii="Arial" w:cs="Arial" w:eastAsia="Arial" w:hAnsi="Arial"/>
                <w:sz w:val="13"/>
                <w:szCs w:val="13"/>
                <w:color w:val="auto"/>
              </w:rPr>
              <w:t>Consolidated total assets</w:t>
            </w:r>
          </w:p>
        </w:tc>
        <w:tc>
          <w:tcPr>
            <w:tcW w:w="2540" w:type="dxa"/>
            <w:vAlign w:val="bottom"/>
          </w:tcPr>
          <w:p>
            <w:pPr>
              <w:spacing w:after="0"/>
              <w:rPr>
                <w:sz w:val="12"/>
                <w:szCs w:val="12"/>
                <w:color w:val="auto"/>
              </w:rPr>
            </w:pPr>
          </w:p>
        </w:tc>
        <w:tc>
          <w:tcPr>
            <w:tcW w:w="1220" w:type="dxa"/>
            <w:vAlign w:val="bottom"/>
          </w:tcPr>
          <w:p>
            <w:pPr>
              <w:jc w:val="right"/>
              <w:spacing w:after="0" w:line="144" w:lineRule="exact"/>
              <w:rPr>
                <w:sz w:val="20"/>
                <w:szCs w:val="20"/>
                <w:color w:val="auto"/>
              </w:rPr>
            </w:pPr>
            <w:r>
              <w:rPr>
                <w:rFonts w:ascii="Arial" w:cs="Arial" w:eastAsia="Arial" w:hAnsi="Arial"/>
                <w:sz w:val="13"/>
                <w:szCs w:val="13"/>
                <w:color w:val="auto"/>
              </w:rPr>
              <w:t>7,609,185</w:t>
            </w:r>
          </w:p>
        </w:tc>
        <w:tc>
          <w:tcPr>
            <w:tcW w:w="240" w:type="dxa"/>
            <w:vAlign w:val="bottom"/>
          </w:tcPr>
          <w:p>
            <w:pPr>
              <w:spacing w:after="0"/>
              <w:rPr>
                <w:sz w:val="12"/>
                <w:szCs w:val="12"/>
                <w:color w:val="auto"/>
              </w:rPr>
            </w:pPr>
          </w:p>
        </w:tc>
        <w:tc>
          <w:tcPr>
            <w:tcW w:w="1200" w:type="dxa"/>
            <w:vAlign w:val="bottom"/>
          </w:tcPr>
          <w:p>
            <w:pPr>
              <w:jc w:val="right"/>
              <w:spacing w:after="0" w:line="144" w:lineRule="exact"/>
              <w:rPr>
                <w:sz w:val="20"/>
                <w:szCs w:val="20"/>
                <w:color w:val="auto"/>
              </w:rPr>
            </w:pPr>
            <w:r>
              <w:rPr>
                <w:rFonts w:ascii="Arial" w:cs="Arial" w:eastAsia="Arial" w:hAnsi="Arial"/>
                <w:sz w:val="13"/>
                <w:szCs w:val="13"/>
                <w:color w:val="auto"/>
              </w:rPr>
              <w:t>6,267,747</w:t>
            </w:r>
          </w:p>
        </w:tc>
        <w:tc>
          <w:tcPr>
            <w:tcW w:w="220" w:type="dxa"/>
            <w:vAlign w:val="bottom"/>
          </w:tcPr>
          <w:p>
            <w:pPr>
              <w:spacing w:after="0"/>
              <w:rPr>
                <w:sz w:val="12"/>
                <w:szCs w:val="12"/>
                <w:color w:val="auto"/>
              </w:rPr>
            </w:pPr>
          </w:p>
        </w:tc>
        <w:tc>
          <w:tcPr>
            <w:tcW w:w="1200" w:type="dxa"/>
            <w:vAlign w:val="bottom"/>
          </w:tcPr>
          <w:p>
            <w:pPr>
              <w:jc w:val="right"/>
              <w:spacing w:after="0" w:line="144" w:lineRule="exact"/>
              <w:rPr>
                <w:sz w:val="20"/>
                <w:szCs w:val="20"/>
                <w:color w:val="auto"/>
              </w:rPr>
            </w:pPr>
            <w:r>
              <w:rPr>
                <w:rFonts w:ascii="Arial" w:cs="Arial" w:eastAsia="Arial" w:hAnsi="Arial"/>
                <w:sz w:val="13"/>
                <w:szCs w:val="13"/>
                <w:color w:val="auto"/>
              </w:rPr>
              <w:t>7,180,783</w:t>
            </w:r>
          </w:p>
        </w:tc>
        <w:tc>
          <w:tcPr>
            <w:tcW w:w="1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4300" w:type="dxa"/>
            <w:vAlign w:val="bottom"/>
            <w:shd w:val="clear" w:color="auto" w:fill="CCEEFF"/>
          </w:tcPr>
          <w:p>
            <w:pPr>
              <w:spacing w:after="0"/>
              <w:rPr>
                <w:sz w:val="13"/>
                <w:szCs w:val="13"/>
                <w:color w:val="auto"/>
              </w:rPr>
            </w:pPr>
          </w:p>
        </w:tc>
        <w:tc>
          <w:tcPr>
            <w:tcW w:w="2540" w:type="dxa"/>
            <w:vAlign w:val="bottom"/>
            <w:shd w:val="clear" w:color="auto" w:fill="CCEEFF"/>
          </w:tcPr>
          <w:p>
            <w:pPr>
              <w:spacing w:after="0"/>
              <w:rPr>
                <w:sz w:val="13"/>
                <w:szCs w:val="13"/>
                <w:color w:val="auto"/>
              </w:rPr>
            </w:pPr>
          </w:p>
        </w:tc>
        <w:tc>
          <w:tcPr>
            <w:tcW w:w="12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4300" w:type="dxa"/>
            <w:vAlign w:val="bottom"/>
          </w:tcPr>
          <w:p>
            <w:pPr>
              <w:spacing w:after="0"/>
              <w:rPr>
                <w:sz w:val="20"/>
                <w:szCs w:val="20"/>
                <w:color w:val="auto"/>
              </w:rPr>
            </w:pPr>
            <w:r>
              <w:rPr>
                <w:rFonts w:ascii="Arial" w:cs="Arial" w:eastAsia="Arial" w:hAnsi="Arial"/>
                <w:sz w:val="13"/>
                <w:szCs w:val="13"/>
                <w:color w:val="auto"/>
              </w:rPr>
              <w:t>Liabilities:</w:t>
            </w:r>
          </w:p>
        </w:tc>
        <w:tc>
          <w:tcPr>
            <w:tcW w:w="254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300" w:type="dxa"/>
            <w:vAlign w:val="bottom"/>
            <w:shd w:val="clear" w:color="auto" w:fill="CCEEFF"/>
          </w:tcPr>
          <w:p>
            <w:pPr>
              <w:ind w:left="120"/>
              <w:spacing w:after="0"/>
              <w:rPr>
                <w:sz w:val="20"/>
                <w:szCs w:val="20"/>
                <w:color w:val="auto"/>
              </w:rPr>
            </w:pPr>
            <w:r>
              <w:rPr>
                <w:rFonts w:ascii="Arial" w:cs="Arial" w:eastAsia="Arial" w:hAnsi="Arial"/>
                <w:sz w:val="13"/>
                <w:szCs w:val="13"/>
                <w:color w:val="auto"/>
              </w:rPr>
              <w:t>Total liabilities from reportable segments</w:t>
            </w:r>
          </w:p>
        </w:tc>
        <w:tc>
          <w:tcPr>
            <w:tcW w:w="376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6,601,980</w:t>
            </w:r>
          </w:p>
        </w:tc>
        <w:tc>
          <w:tcPr>
            <w:tcW w:w="24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5,204,384</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6,151,117</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4300" w:type="dxa"/>
            <w:vAlign w:val="bottom"/>
          </w:tcPr>
          <w:p>
            <w:pPr>
              <w:ind w:left="120"/>
              <w:spacing w:after="0"/>
              <w:rPr>
                <w:sz w:val="20"/>
                <w:szCs w:val="20"/>
                <w:color w:val="auto"/>
              </w:rPr>
            </w:pPr>
            <w:r>
              <w:rPr>
                <w:rFonts w:ascii="Arial" w:cs="Arial" w:eastAsia="Arial" w:hAnsi="Arial"/>
                <w:sz w:val="13"/>
                <w:szCs w:val="13"/>
                <w:color w:val="auto"/>
              </w:rPr>
              <w:t>Other liabilities - unallocated</w:t>
            </w:r>
          </w:p>
        </w:tc>
        <w:tc>
          <w:tcPr>
            <w:tcW w:w="4000" w:type="dxa"/>
            <w:vAlign w:val="bottom"/>
            <w:gridSpan w:val="3"/>
          </w:tcPr>
          <w:p>
            <w:pPr>
              <w:jc w:val="right"/>
              <w:ind w:right="240"/>
              <w:spacing w:after="0"/>
              <w:rPr>
                <w:sz w:val="20"/>
                <w:szCs w:val="20"/>
                <w:color w:val="auto"/>
              </w:rPr>
            </w:pPr>
            <w:r>
              <w:rPr>
                <w:rFonts w:ascii="Arial" w:cs="Arial" w:eastAsia="Arial" w:hAnsi="Arial"/>
                <w:sz w:val="13"/>
                <w:szCs w:val="13"/>
                <w:color w:val="auto"/>
              </w:rPr>
              <w:t>13,615</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20,551</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18,352</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300" w:type="dxa"/>
            <w:vAlign w:val="bottom"/>
            <w:tcBorders>
              <w:top w:val="single" w:sz="8" w:color="CCEEFF"/>
            </w:tcBorders>
            <w:shd w:val="clear" w:color="auto" w:fill="CCEEFF"/>
          </w:tcPr>
          <w:p>
            <w:pPr>
              <w:ind w:left="120"/>
              <w:spacing w:after="0" w:line="143" w:lineRule="exact"/>
              <w:rPr>
                <w:sz w:val="20"/>
                <w:szCs w:val="20"/>
                <w:color w:val="auto"/>
              </w:rPr>
            </w:pPr>
            <w:r>
              <w:rPr>
                <w:rFonts w:ascii="Arial" w:cs="Arial" w:eastAsia="Arial" w:hAnsi="Arial"/>
                <w:sz w:val="13"/>
                <w:szCs w:val="13"/>
                <w:color w:val="auto"/>
              </w:rPr>
              <w:t>Unallocated amounts</w:t>
            </w:r>
          </w:p>
        </w:tc>
        <w:tc>
          <w:tcPr>
            <w:tcW w:w="254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13,615</w:t>
            </w:r>
          </w:p>
        </w:tc>
        <w:tc>
          <w:tcPr>
            <w:tcW w:w="24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20,551</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18,352</w:t>
            </w:r>
          </w:p>
        </w:tc>
        <w:tc>
          <w:tcPr>
            <w:tcW w:w="100" w:type="dxa"/>
            <w:vAlign w:val="bottom"/>
            <w:tcBorders>
              <w:top w:val="single" w:sz="8" w:color="CCEEFF"/>
            </w:tcBorders>
            <w:shd w:val="clear" w:color="auto" w:fill="CCEEFF"/>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4300" w:type="dxa"/>
            <w:vAlign w:val="bottom"/>
          </w:tcPr>
          <w:p>
            <w:pPr>
              <w:spacing w:after="0" w:line="143" w:lineRule="exact"/>
              <w:rPr>
                <w:sz w:val="20"/>
                <w:szCs w:val="20"/>
                <w:color w:val="auto"/>
              </w:rPr>
            </w:pPr>
            <w:r>
              <w:rPr>
                <w:rFonts w:ascii="Arial" w:cs="Arial" w:eastAsia="Arial" w:hAnsi="Arial"/>
                <w:sz w:val="13"/>
                <w:szCs w:val="13"/>
                <w:color w:val="auto"/>
              </w:rPr>
              <w:t>Consolidated total liabilities</w:t>
            </w:r>
          </w:p>
        </w:tc>
        <w:tc>
          <w:tcPr>
            <w:tcW w:w="2540" w:type="dxa"/>
            <w:vAlign w:val="bottom"/>
          </w:tcPr>
          <w:p>
            <w:pPr>
              <w:spacing w:after="0"/>
              <w:rPr>
                <w:sz w:val="14"/>
                <w:szCs w:val="14"/>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6,615,595</w:t>
            </w:r>
          </w:p>
        </w:tc>
        <w:tc>
          <w:tcPr>
            <w:tcW w:w="240" w:type="dxa"/>
            <w:vAlign w:val="bottom"/>
          </w:tcPr>
          <w:p>
            <w:pPr>
              <w:spacing w:after="0"/>
              <w:rPr>
                <w:sz w:val="14"/>
                <w:szCs w:val="1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5,224,935</w:t>
            </w:r>
          </w:p>
        </w:tc>
        <w:tc>
          <w:tcPr>
            <w:tcW w:w="220" w:type="dxa"/>
            <w:vAlign w:val="bottom"/>
          </w:tcPr>
          <w:p>
            <w:pPr>
              <w:spacing w:after="0"/>
              <w:rPr>
                <w:sz w:val="14"/>
                <w:szCs w:val="1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6,169,469</w:t>
            </w:r>
          </w:p>
        </w:tc>
        <w:tc>
          <w:tcPr>
            <w:tcW w:w="1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467"/>
        </w:trPr>
        <w:tc>
          <w:tcPr>
            <w:tcW w:w="220" w:type="dxa"/>
            <w:vAlign w:val="bottom"/>
            <w:tcBorders>
              <w:bottom w:val="single" w:sz="8" w:color="auto"/>
            </w:tcBorders>
          </w:tcPr>
          <w:p>
            <w:pPr>
              <w:spacing w:after="0"/>
              <w:rPr>
                <w:sz w:val="24"/>
                <w:szCs w:val="24"/>
                <w:color w:val="auto"/>
              </w:rPr>
            </w:pPr>
          </w:p>
        </w:tc>
        <w:tc>
          <w:tcPr>
            <w:tcW w:w="4300" w:type="dxa"/>
            <w:vAlign w:val="bottom"/>
            <w:tcBorders>
              <w:bottom w:val="single" w:sz="8" w:color="auto"/>
            </w:tcBorders>
          </w:tcPr>
          <w:p>
            <w:pPr>
              <w:spacing w:after="0"/>
              <w:rPr>
                <w:sz w:val="24"/>
                <w:szCs w:val="24"/>
                <w:color w:val="auto"/>
              </w:rPr>
            </w:pPr>
          </w:p>
        </w:tc>
        <w:tc>
          <w:tcPr>
            <w:tcW w:w="4000" w:type="dxa"/>
            <w:vAlign w:val="bottom"/>
            <w:tcBorders>
              <w:bottom w:val="single" w:sz="8" w:color="auto"/>
            </w:tcBorders>
            <w:gridSpan w:val="3"/>
          </w:tcPr>
          <w:p>
            <w:pPr>
              <w:jc w:val="right"/>
              <w:ind w:right="2660"/>
              <w:spacing w:after="0"/>
              <w:rPr>
                <w:sz w:val="20"/>
                <w:szCs w:val="20"/>
                <w:color w:val="auto"/>
              </w:rPr>
            </w:pPr>
            <w:r>
              <w:rPr>
                <w:rFonts w:ascii="Arial" w:cs="Arial" w:eastAsia="Arial" w:hAnsi="Arial"/>
                <w:sz w:val="13"/>
                <w:szCs w:val="13"/>
                <w:color w:val="auto"/>
              </w:rPr>
              <w:t>F-84</w:t>
            </w: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0"/>
          </w:cols>
          <w:pgMar w:left="220" w:top="685" w:right="199" w:bottom="1440" w:gutter="0" w:footer="0" w:header="0"/>
          <w:type w:val="continuous"/>
        </w:sectPr>
      </w:pPr>
    </w:p>
    <w:bookmarkStart w:id="209" w:name="page210"/>
    <w:bookmarkEnd w:id="209"/>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35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right="8940" w:hanging="223"/>
        <w:spacing w:after="0" w:line="497" w:lineRule="auto"/>
        <w:tabs>
          <w:tab w:leader="none" w:pos="223" w:val="left"/>
        </w:tabs>
        <w:numPr>
          <w:ilvl w:val="0"/>
          <w:numId w:val="173"/>
        </w:numPr>
        <w:rPr>
          <w:rFonts w:ascii="Arial" w:cs="Arial" w:eastAsia="Arial" w:hAnsi="Arial"/>
          <w:sz w:val="13"/>
          <w:szCs w:val="13"/>
          <w:b w:val="1"/>
          <w:bCs w:val="1"/>
          <w:color w:val="auto"/>
        </w:rPr>
      </w:pPr>
      <w:r>
        <w:rPr>
          <w:rFonts w:ascii="Arial" w:cs="Arial" w:eastAsia="Arial" w:hAnsi="Arial"/>
          <w:sz w:val="13"/>
          <w:szCs w:val="13"/>
          <w:b w:val="1"/>
          <w:bCs w:val="1"/>
          <w:color w:val="auto"/>
        </w:rPr>
        <w:t xml:space="preserve">Business segment information (continued) </w:t>
      </w:r>
      <w:r>
        <w:rPr>
          <w:rFonts w:ascii="Arial" w:cs="Arial" w:eastAsia="Arial" w:hAnsi="Arial"/>
          <w:sz w:val="13"/>
          <w:szCs w:val="13"/>
          <w:b w:val="1"/>
          <w:bCs w:val="1"/>
          <w:u w:val="single" w:color="auto"/>
          <w:color w:val="auto"/>
        </w:rPr>
        <w:t>Geographic information</w:t>
      </w:r>
    </w:p>
    <w:p>
      <w:pPr>
        <w:ind w:left="223"/>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The geographic information analyses the Bank’s revenue and non-current assets by the Bank’s country of domicile and other countries. In presenting the geographic information below, segment revenue is based on customer’s country risk and segment non-current assets are based on the geographic location of the assets.</w:t>
      </w:r>
    </w:p>
    <w:p>
      <w:pPr>
        <w:spacing w:after="0" w:line="135" w:lineRule="exact"/>
        <w:rPr>
          <w:sz w:val="20"/>
          <w:szCs w:val="20"/>
          <w:color w:val="auto"/>
        </w:rPr>
      </w:pPr>
    </w:p>
    <w:tbl>
      <w:tblPr>
        <w:tblLayout w:type="fixed"/>
        <w:tblInd w:w="223" w:type="dxa"/>
        <w:tblCellMar>
          <w:top w:w="0" w:type="dxa"/>
          <w:left w:w="0" w:type="dxa"/>
          <w:bottom w:w="0" w:type="dxa"/>
          <w:right w:w="0" w:type="dxa"/>
        </w:tblCellMar>
      </w:tblPr>
      <w:tr>
        <w:trPr>
          <w:trHeight w:val="167"/>
        </w:trPr>
        <w:tc>
          <w:tcPr>
            <w:tcW w:w="2100" w:type="dxa"/>
            <w:vAlign w:val="bottom"/>
          </w:tcPr>
          <w:p>
            <w:pPr>
              <w:spacing w:after="0"/>
              <w:rPr>
                <w:sz w:val="20"/>
                <w:szCs w:val="20"/>
                <w:color w:val="auto"/>
              </w:rPr>
            </w:pPr>
            <w:r>
              <w:rPr>
                <w:rFonts w:ascii="Arial" w:cs="Arial" w:eastAsia="Arial" w:hAnsi="Arial"/>
                <w:sz w:val="13"/>
                <w:szCs w:val="13"/>
                <w:b w:val="1"/>
                <w:bCs w:val="1"/>
                <w:color w:val="auto"/>
              </w:rPr>
              <w:t>2018</w:t>
            </w:r>
          </w:p>
        </w:tc>
        <w:tc>
          <w:tcPr>
            <w:tcW w:w="120" w:type="dxa"/>
            <w:vAlign w:val="bottom"/>
          </w:tcPr>
          <w:p>
            <w:pPr>
              <w:spacing w:after="0"/>
              <w:rPr>
                <w:sz w:val="14"/>
                <w:szCs w:val="14"/>
                <w:color w:val="auto"/>
              </w:rPr>
            </w:pPr>
          </w:p>
        </w:tc>
        <w:tc>
          <w:tcPr>
            <w:tcW w:w="1020" w:type="dxa"/>
            <w:vAlign w:val="bottom"/>
            <w:gridSpan w:val="2"/>
          </w:tcPr>
          <w:p>
            <w:pPr>
              <w:jc w:val="right"/>
              <w:ind w:right="400"/>
              <w:spacing w:after="0"/>
              <w:rPr>
                <w:sz w:val="20"/>
                <w:szCs w:val="20"/>
                <w:color w:val="auto"/>
              </w:rPr>
            </w:pPr>
            <w:r>
              <w:rPr>
                <w:rFonts w:ascii="Arial" w:cs="Arial" w:eastAsia="Arial" w:hAnsi="Arial"/>
                <w:sz w:val="13"/>
                <w:szCs w:val="13"/>
                <w:b w:val="1"/>
                <w:bCs w:val="1"/>
                <w:color w:val="auto"/>
              </w:rPr>
              <w:t>Panama</w:t>
            </w:r>
          </w:p>
        </w:tc>
        <w:tc>
          <w:tcPr>
            <w:tcW w:w="1000" w:type="dxa"/>
            <w:vAlign w:val="bottom"/>
            <w:gridSpan w:val="2"/>
          </w:tcPr>
          <w:p>
            <w:pPr>
              <w:ind w:left="220"/>
              <w:spacing w:after="0"/>
              <w:rPr>
                <w:sz w:val="20"/>
                <w:szCs w:val="20"/>
                <w:color w:val="auto"/>
              </w:rPr>
            </w:pPr>
            <w:r>
              <w:rPr>
                <w:rFonts w:ascii="Arial" w:cs="Arial" w:eastAsia="Arial" w:hAnsi="Arial"/>
                <w:sz w:val="13"/>
                <w:szCs w:val="13"/>
                <w:b w:val="1"/>
                <w:bCs w:val="1"/>
                <w:color w:val="auto"/>
              </w:rPr>
              <w:t>Brazil</w:t>
            </w:r>
          </w:p>
        </w:tc>
        <w:tc>
          <w:tcPr>
            <w:tcW w:w="1020" w:type="dxa"/>
            <w:vAlign w:val="bottom"/>
            <w:gridSpan w:val="2"/>
          </w:tcPr>
          <w:p>
            <w:pPr>
              <w:jc w:val="right"/>
              <w:ind w:right="420"/>
              <w:spacing w:after="0"/>
              <w:rPr>
                <w:sz w:val="20"/>
                <w:szCs w:val="20"/>
                <w:color w:val="auto"/>
              </w:rPr>
            </w:pPr>
            <w:r>
              <w:rPr>
                <w:rFonts w:ascii="Arial" w:cs="Arial" w:eastAsia="Arial" w:hAnsi="Arial"/>
                <w:sz w:val="13"/>
                <w:szCs w:val="13"/>
                <w:b w:val="1"/>
                <w:bCs w:val="1"/>
                <w:color w:val="auto"/>
              </w:rPr>
              <w:t>Mexico</w:t>
            </w:r>
          </w:p>
        </w:tc>
        <w:tc>
          <w:tcPr>
            <w:tcW w:w="1000" w:type="dxa"/>
            <w:vAlign w:val="bottom"/>
            <w:gridSpan w:val="2"/>
          </w:tcPr>
          <w:p>
            <w:pPr>
              <w:ind w:left="120"/>
              <w:spacing w:after="0"/>
              <w:rPr>
                <w:sz w:val="20"/>
                <w:szCs w:val="20"/>
                <w:color w:val="auto"/>
              </w:rPr>
            </w:pPr>
            <w:r>
              <w:rPr>
                <w:rFonts w:ascii="Arial" w:cs="Arial" w:eastAsia="Arial" w:hAnsi="Arial"/>
                <w:sz w:val="13"/>
                <w:szCs w:val="13"/>
                <w:b w:val="1"/>
                <w:bCs w:val="1"/>
                <w:color w:val="auto"/>
              </w:rPr>
              <w:t>Colombia</w:t>
            </w:r>
          </w:p>
        </w:tc>
        <w:tc>
          <w:tcPr>
            <w:tcW w:w="980" w:type="dxa"/>
            <w:vAlign w:val="bottom"/>
            <w:gridSpan w:val="2"/>
          </w:tcPr>
          <w:p>
            <w:pPr>
              <w:jc w:val="right"/>
              <w:ind w:right="300"/>
              <w:spacing w:after="0"/>
              <w:rPr>
                <w:sz w:val="20"/>
                <w:szCs w:val="20"/>
                <w:color w:val="auto"/>
              </w:rPr>
            </w:pPr>
            <w:r>
              <w:rPr>
                <w:rFonts w:ascii="Arial" w:cs="Arial" w:eastAsia="Arial" w:hAnsi="Arial"/>
                <w:sz w:val="13"/>
                <w:szCs w:val="13"/>
                <w:b w:val="1"/>
                <w:bCs w:val="1"/>
                <w:color w:val="auto"/>
                <w:w w:val="98"/>
              </w:rPr>
              <w:t>Costa Rica</w:t>
            </w:r>
          </w:p>
        </w:tc>
        <w:tc>
          <w:tcPr>
            <w:tcW w:w="960" w:type="dxa"/>
            <w:vAlign w:val="bottom"/>
            <w:gridSpan w:val="2"/>
          </w:tcPr>
          <w:p>
            <w:pPr>
              <w:ind w:left="140"/>
              <w:spacing w:after="0"/>
              <w:rPr>
                <w:sz w:val="20"/>
                <w:szCs w:val="20"/>
                <w:color w:val="auto"/>
              </w:rPr>
            </w:pPr>
            <w:r>
              <w:rPr>
                <w:rFonts w:ascii="Arial" w:cs="Arial" w:eastAsia="Arial" w:hAnsi="Arial"/>
                <w:sz w:val="13"/>
                <w:szCs w:val="13"/>
                <w:b w:val="1"/>
                <w:bCs w:val="1"/>
                <w:color w:val="auto"/>
              </w:rPr>
              <w:t>Ecuador</w:t>
            </w:r>
          </w:p>
        </w:tc>
        <w:tc>
          <w:tcPr>
            <w:tcW w:w="980" w:type="dxa"/>
            <w:vAlign w:val="bottom"/>
            <w:gridSpan w:val="2"/>
          </w:tcPr>
          <w:p>
            <w:pPr>
              <w:jc w:val="right"/>
              <w:ind w:right="320"/>
              <w:spacing w:after="0"/>
              <w:rPr>
                <w:sz w:val="20"/>
                <w:szCs w:val="20"/>
                <w:color w:val="auto"/>
              </w:rPr>
            </w:pPr>
            <w:r>
              <w:rPr>
                <w:rFonts w:ascii="Arial" w:cs="Arial" w:eastAsia="Arial" w:hAnsi="Arial"/>
                <w:sz w:val="13"/>
                <w:szCs w:val="13"/>
                <w:b w:val="1"/>
                <w:bCs w:val="1"/>
                <w:color w:val="auto"/>
              </w:rPr>
              <w:t>Argentina</w:t>
            </w:r>
          </w:p>
        </w:tc>
        <w:tc>
          <w:tcPr>
            <w:tcW w:w="980" w:type="dxa"/>
            <w:vAlign w:val="bottom"/>
            <w:gridSpan w:val="2"/>
          </w:tcPr>
          <w:p>
            <w:pPr>
              <w:jc w:val="right"/>
              <w:ind w:right="440"/>
              <w:spacing w:after="0"/>
              <w:rPr>
                <w:sz w:val="20"/>
                <w:szCs w:val="20"/>
                <w:color w:val="auto"/>
              </w:rPr>
            </w:pPr>
            <w:r>
              <w:rPr>
                <w:rFonts w:ascii="Arial" w:cs="Arial" w:eastAsia="Arial" w:hAnsi="Arial"/>
                <w:sz w:val="13"/>
                <w:szCs w:val="13"/>
                <w:b w:val="1"/>
                <w:bCs w:val="1"/>
                <w:color w:val="auto"/>
              </w:rPr>
              <w:t>Other</w:t>
            </w:r>
          </w:p>
        </w:tc>
        <w:tc>
          <w:tcPr>
            <w:tcW w:w="860" w:type="dxa"/>
            <w:vAlign w:val="bottom"/>
            <w:gridSpan w:val="2"/>
          </w:tcPr>
          <w:p>
            <w:pPr>
              <w:ind w:left="240"/>
              <w:spacing w:after="0"/>
              <w:rPr>
                <w:sz w:val="20"/>
                <w:szCs w:val="20"/>
                <w:color w:val="auto"/>
              </w:rPr>
            </w:pPr>
            <w:r>
              <w:rPr>
                <w:rFonts w:ascii="Arial" w:cs="Arial" w:eastAsia="Arial" w:hAnsi="Arial"/>
                <w:sz w:val="13"/>
                <w:szCs w:val="13"/>
                <w:b w:val="1"/>
                <w:bCs w:val="1"/>
                <w:color w:val="auto"/>
              </w:rPr>
              <w:t>Total</w:t>
            </w:r>
          </w:p>
        </w:tc>
      </w:tr>
      <w:tr>
        <w:trPr>
          <w:trHeight w:val="144"/>
        </w:trPr>
        <w:tc>
          <w:tcPr>
            <w:tcW w:w="2100" w:type="dxa"/>
            <w:vAlign w:val="bottom"/>
            <w:tcBorders>
              <w:top w:val="single" w:sz="8" w:color="auto"/>
            </w:tcBorders>
            <w:shd w:val="clear" w:color="auto" w:fill="CCEEFF"/>
          </w:tcPr>
          <w:p>
            <w:pPr>
              <w:spacing w:after="0" w:line="144" w:lineRule="exact"/>
              <w:rPr>
                <w:sz w:val="20"/>
                <w:szCs w:val="20"/>
                <w:color w:val="auto"/>
              </w:rPr>
            </w:pPr>
            <w:r>
              <w:rPr>
                <w:rFonts w:ascii="Arial" w:cs="Arial" w:eastAsia="Arial" w:hAnsi="Arial"/>
                <w:sz w:val="13"/>
                <w:szCs w:val="13"/>
                <w:color w:val="auto"/>
              </w:rPr>
              <w:t>Total revenues</w:t>
            </w:r>
          </w:p>
        </w:tc>
        <w:tc>
          <w:tcPr>
            <w:tcW w:w="1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13,913</w:t>
            </w:r>
          </w:p>
        </w:tc>
        <w:tc>
          <w:tcPr>
            <w:tcW w:w="24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17,887</w:t>
            </w:r>
          </w:p>
        </w:tc>
        <w:tc>
          <w:tcPr>
            <w:tcW w:w="2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14,577</w:t>
            </w:r>
          </w:p>
        </w:tc>
        <w:tc>
          <w:tcPr>
            <w:tcW w:w="24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15,440</w:t>
            </w:r>
          </w:p>
        </w:tc>
        <w:tc>
          <w:tcPr>
            <w:tcW w:w="22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11,115</w:t>
            </w:r>
          </w:p>
        </w:tc>
        <w:tc>
          <w:tcPr>
            <w:tcW w:w="22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10,414</w:t>
            </w:r>
          </w:p>
        </w:tc>
        <w:tc>
          <w:tcPr>
            <w:tcW w:w="20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9,959</w:t>
            </w:r>
          </w:p>
        </w:tc>
        <w:tc>
          <w:tcPr>
            <w:tcW w:w="22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34,284</w:t>
            </w:r>
          </w:p>
        </w:tc>
        <w:tc>
          <w:tcPr>
            <w:tcW w:w="2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right w:val="single" w:sz="8" w:color="CCEEFF"/>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127,589</w:t>
            </w:r>
          </w:p>
        </w:tc>
        <w:tc>
          <w:tcPr>
            <w:tcW w:w="80" w:type="dxa"/>
            <w:vAlign w:val="bottom"/>
            <w:tcBorders>
              <w:top w:val="single" w:sz="8" w:color="CCEEFF"/>
            </w:tcBorders>
            <w:shd w:val="clear" w:color="auto" w:fill="CCEEFF"/>
          </w:tcPr>
          <w:p>
            <w:pPr>
              <w:spacing w:after="0"/>
              <w:rPr>
                <w:sz w:val="12"/>
                <w:szCs w:val="12"/>
                <w:color w:val="auto"/>
              </w:rPr>
            </w:pPr>
          </w:p>
        </w:tc>
      </w:tr>
      <w:tr>
        <w:trPr>
          <w:trHeight w:val="163"/>
        </w:trPr>
        <w:tc>
          <w:tcPr>
            <w:tcW w:w="2220" w:type="dxa"/>
            <w:vAlign w:val="bottom"/>
            <w:gridSpan w:val="2"/>
          </w:tcPr>
          <w:p>
            <w:pPr>
              <w:spacing w:after="0"/>
              <w:rPr>
                <w:sz w:val="20"/>
                <w:szCs w:val="20"/>
                <w:color w:val="auto"/>
              </w:rPr>
            </w:pPr>
            <w:r>
              <w:rPr>
                <w:rFonts w:ascii="Arial" w:cs="Arial" w:eastAsia="Arial" w:hAnsi="Arial"/>
                <w:sz w:val="13"/>
                <w:szCs w:val="13"/>
                <w:color w:val="auto"/>
              </w:rPr>
              <w:t>Non-current assets*</w:t>
            </w:r>
          </w:p>
        </w:tc>
        <w:tc>
          <w:tcPr>
            <w:tcW w:w="1020" w:type="dxa"/>
            <w:vAlign w:val="bottom"/>
            <w:gridSpan w:val="2"/>
          </w:tcPr>
          <w:p>
            <w:pPr>
              <w:jc w:val="right"/>
              <w:ind w:right="240"/>
              <w:spacing w:after="0"/>
              <w:rPr>
                <w:sz w:val="20"/>
                <w:szCs w:val="20"/>
                <w:color w:val="auto"/>
              </w:rPr>
            </w:pPr>
            <w:r>
              <w:rPr>
                <w:rFonts w:ascii="Arial" w:cs="Arial" w:eastAsia="Arial" w:hAnsi="Arial"/>
                <w:sz w:val="13"/>
                <w:szCs w:val="13"/>
                <w:color w:val="auto"/>
              </w:rPr>
              <w:t>6,520</w:t>
            </w: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126</w:t>
            </w:r>
          </w:p>
        </w:tc>
        <w:tc>
          <w:tcPr>
            <w:tcW w:w="1020" w:type="dxa"/>
            <w:vAlign w:val="bottom"/>
            <w:gridSpan w:val="2"/>
          </w:tcPr>
          <w:p>
            <w:pPr>
              <w:jc w:val="right"/>
              <w:ind w:right="240"/>
              <w:spacing w:after="0"/>
              <w:rPr>
                <w:sz w:val="20"/>
                <w:szCs w:val="20"/>
                <w:color w:val="auto"/>
              </w:rPr>
            </w:pPr>
            <w:r>
              <w:rPr>
                <w:rFonts w:ascii="Arial" w:cs="Arial" w:eastAsia="Arial" w:hAnsi="Arial"/>
                <w:sz w:val="13"/>
                <w:szCs w:val="13"/>
                <w:color w:val="auto"/>
              </w:rPr>
              <w:t>1,495</w:t>
            </w: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7</w:t>
            </w:r>
          </w:p>
        </w:tc>
        <w:tc>
          <w:tcPr>
            <w:tcW w:w="76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76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4"/>
                <w:szCs w:val="14"/>
                <w:color w:val="auto"/>
              </w:rPr>
            </w:pPr>
          </w:p>
        </w:tc>
        <w:tc>
          <w:tcPr>
            <w:tcW w:w="760" w:type="dxa"/>
            <w:vAlign w:val="bottom"/>
          </w:tcPr>
          <w:p>
            <w:pPr>
              <w:jc w:val="right"/>
              <w:spacing w:after="0"/>
              <w:rPr>
                <w:sz w:val="20"/>
                <w:szCs w:val="20"/>
                <w:color w:val="auto"/>
              </w:rPr>
            </w:pPr>
            <w:r>
              <w:rPr>
                <w:rFonts w:ascii="Arial" w:cs="Arial" w:eastAsia="Arial" w:hAnsi="Arial"/>
                <w:sz w:val="13"/>
                <w:szCs w:val="13"/>
                <w:color w:val="auto"/>
              </w:rPr>
              <w:t>37</w:t>
            </w:r>
          </w:p>
        </w:tc>
        <w:tc>
          <w:tcPr>
            <w:tcW w:w="220" w:type="dxa"/>
            <w:vAlign w:val="bottom"/>
          </w:tcPr>
          <w:p>
            <w:pPr>
              <w:spacing w:after="0"/>
              <w:rPr>
                <w:sz w:val="14"/>
                <w:szCs w:val="14"/>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3"/>
                <w:szCs w:val="13"/>
                <w:color w:val="auto"/>
              </w:rPr>
              <w:t>134</w:t>
            </w:r>
          </w:p>
        </w:tc>
        <w:tc>
          <w:tcPr>
            <w:tcW w:w="780" w:type="dxa"/>
            <w:vAlign w:val="bottom"/>
          </w:tcPr>
          <w:p>
            <w:pPr>
              <w:jc w:val="right"/>
              <w:spacing w:after="0"/>
              <w:rPr>
                <w:sz w:val="20"/>
                <w:szCs w:val="20"/>
                <w:color w:val="auto"/>
              </w:rPr>
            </w:pPr>
            <w:r>
              <w:rPr>
                <w:rFonts w:ascii="Arial" w:cs="Arial" w:eastAsia="Arial" w:hAnsi="Arial"/>
                <w:sz w:val="13"/>
                <w:szCs w:val="13"/>
                <w:color w:val="auto"/>
              </w:rPr>
              <w:t>8,319</w:t>
            </w:r>
          </w:p>
        </w:tc>
        <w:tc>
          <w:tcPr>
            <w:tcW w:w="80" w:type="dxa"/>
            <w:vAlign w:val="bottom"/>
          </w:tcPr>
          <w:p>
            <w:pPr>
              <w:spacing w:after="0"/>
              <w:rPr>
                <w:sz w:val="14"/>
                <w:szCs w:val="14"/>
                <w:color w:val="auto"/>
              </w:rPr>
            </w:pPr>
          </w:p>
        </w:tc>
      </w:tr>
      <w:tr>
        <w:trPr>
          <w:trHeight w:val="144"/>
        </w:trPr>
        <w:tc>
          <w:tcPr>
            <w:tcW w:w="210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2017</w:t>
            </w:r>
          </w:p>
        </w:tc>
        <w:tc>
          <w:tcPr>
            <w:tcW w:w="1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right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r>
      <w:tr>
        <w:trPr>
          <w:trHeight w:val="154"/>
        </w:trPr>
        <w:tc>
          <w:tcPr>
            <w:tcW w:w="2220" w:type="dxa"/>
            <w:vAlign w:val="bottom"/>
            <w:gridSpan w:val="2"/>
          </w:tcPr>
          <w:p>
            <w:pPr>
              <w:spacing w:after="0"/>
              <w:rPr>
                <w:sz w:val="20"/>
                <w:szCs w:val="20"/>
                <w:color w:val="auto"/>
              </w:rPr>
            </w:pPr>
            <w:r>
              <w:rPr>
                <w:rFonts w:ascii="Arial" w:cs="Arial" w:eastAsia="Arial" w:hAnsi="Arial"/>
                <w:sz w:val="13"/>
                <w:szCs w:val="13"/>
                <w:color w:val="auto"/>
              </w:rPr>
              <w:t>Total revenues</w:t>
            </w:r>
          </w:p>
        </w:tc>
        <w:tc>
          <w:tcPr>
            <w:tcW w:w="1020" w:type="dxa"/>
            <w:vAlign w:val="bottom"/>
            <w:gridSpan w:val="2"/>
          </w:tcPr>
          <w:p>
            <w:pPr>
              <w:jc w:val="right"/>
              <w:ind w:right="240"/>
              <w:spacing w:after="0"/>
              <w:rPr>
                <w:sz w:val="20"/>
                <w:szCs w:val="20"/>
                <w:color w:val="auto"/>
              </w:rPr>
            </w:pPr>
            <w:r>
              <w:rPr>
                <w:rFonts w:ascii="Arial" w:cs="Arial" w:eastAsia="Arial" w:hAnsi="Arial"/>
                <w:sz w:val="13"/>
                <w:szCs w:val="13"/>
                <w:color w:val="auto"/>
              </w:rPr>
              <w:t>10,829</w:t>
            </w: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27,908</w:t>
            </w:r>
          </w:p>
        </w:tc>
        <w:tc>
          <w:tcPr>
            <w:tcW w:w="1020" w:type="dxa"/>
            <w:vAlign w:val="bottom"/>
            <w:gridSpan w:val="2"/>
          </w:tcPr>
          <w:p>
            <w:pPr>
              <w:jc w:val="right"/>
              <w:ind w:right="240"/>
              <w:spacing w:after="0"/>
              <w:rPr>
                <w:sz w:val="20"/>
                <w:szCs w:val="20"/>
                <w:color w:val="auto"/>
              </w:rPr>
            </w:pPr>
            <w:r>
              <w:rPr>
                <w:rFonts w:ascii="Arial" w:cs="Arial" w:eastAsia="Arial" w:hAnsi="Arial"/>
                <w:sz w:val="13"/>
                <w:szCs w:val="13"/>
                <w:color w:val="auto"/>
              </w:rPr>
              <w:t>17,451</w:t>
            </w: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18,465</w:t>
            </w:r>
          </w:p>
        </w:tc>
        <w:tc>
          <w:tcPr>
            <w:tcW w:w="760" w:type="dxa"/>
            <w:vAlign w:val="bottom"/>
          </w:tcPr>
          <w:p>
            <w:pPr>
              <w:jc w:val="right"/>
              <w:spacing w:after="0"/>
              <w:rPr>
                <w:sz w:val="20"/>
                <w:szCs w:val="20"/>
                <w:color w:val="auto"/>
              </w:rPr>
            </w:pPr>
            <w:r>
              <w:rPr>
                <w:rFonts w:ascii="Arial" w:cs="Arial" w:eastAsia="Arial" w:hAnsi="Arial"/>
                <w:sz w:val="13"/>
                <w:szCs w:val="13"/>
                <w:color w:val="auto"/>
              </w:rPr>
              <w:t>11,814</w:t>
            </w:r>
          </w:p>
        </w:tc>
        <w:tc>
          <w:tcPr>
            <w:tcW w:w="220" w:type="dxa"/>
            <w:vAlign w:val="bottom"/>
          </w:tcPr>
          <w:p>
            <w:pPr>
              <w:spacing w:after="0"/>
              <w:rPr>
                <w:sz w:val="13"/>
                <w:szCs w:val="13"/>
                <w:color w:val="auto"/>
              </w:rPr>
            </w:pPr>
          </w:p>
        </w:tc>
        <w:tc>
          <w:tcPr>
            <w:tcW w:w="960" w:type="dxa"/>
            <w:vAlign w:val="bottom"/>
            <w:gridSpan w:val="2"/>
          </w:tcPr>
          <w:p>
            <w:pPr>
              <w:jc w:val="right"/>
              <w:ind w:right="200"/>
              <w:spacing w:after="0"/>
              <w:rPr>
                <w:sz w:val="20"/>
                <w:szCs w:val="20"/>
                <w:color w:val="auto"/>
              </w:rPr>
            </w:pPr>
            <w:r>
              <w:rPr>
                <w:rFonts w:ascii="Arial" w:cs="Arial" w:eastAsia="Arial" w:hAnsi="Arial"/>
                <w:sz w:val="13"/>
                <w:szCs w:val="13"/>
                <w:color w:val="auto"/>
              </w:rPr>
              <w:t>9,545</w:t>
            </w:r>
          </w:p>
        </w:tc>
        <w:tc>
          <w:tcPr>
            <w:tcW w:w="980" w:type="dxa"/>
            <w:vAlign w:val="bottom"/>
            <w:gridSpan w:val="2"/>
          </w:tcPr>
          <w:p>
            <w:pPr>
              <w:jc w:val="right"/>
              <w:ind w:right="220"/>
              <w:spacing w:after="0"/>
              <w:rPr>
                <w:sz w:val="20"/>
                <w:szCs w:val="20"/>
                <w:color w:val="auto"/>
              </w:rPr>
            </w:pPr>
            <w:r>
              <w:rPr>
                <w:rFonts w:ascii="Arial" w:cs="Arial" w:eastAsia="Arial" w:hAnsi="Arial"/>
                <w:sz w:val="13"/>
                <w:szCs w:val="13"/>
                <w:color w:val="auto"/>
              </w:rPr>
              <w:t>6,975</w:t>
            </w:r>
          </w:p>
        </w:tc>
        <w:tc>
          <w:tcPr>
            <w:tcW w:w="980" w:type="dxa"/>
            <w:vAlign w:val="bottom"/>
            <w:gridSpan w:val="2"/>
          </w:tcPr>
          <w:p>
            <w:pPr>
              <w:jc w:val="right"/>
              <w:ind w:right="220"/>
              <w:spacing w:after="0"/>
              <w:rPr>
                <w:sz w:val="20"/>
                <w:szCs w:val="20"/>
                <w:color w:val="auto"/>
              </w:rPr>
            </w:pPr>
            <w:r>
              <w:rPr>
                <w:rFonts w:ascii="Arial" w:cs="Arial" w:eastAsia="Arial" w:hAnsi="Arial"/>
                <w:sz w:val="13"/>
                <w:szCs w:val="13"/>
                <w:color w:val="auto"/>
              </w:rPr>
              <w:t>35,326</w:t>
            </w:r>
          </w:p>
        </w:tc>
        <w:tc>
          <w:tcPr>
            <w:tcW w:w="780" w:type="dxa"/>
            <w:vAlign w:val="bottom"/>
          </w:tcPr>
          <w:p>
            <w:pPr>
              <w:jc w:val="right"/>
              <w:spacing w:after="0"/>
              <w:rPr>
                <w:sz w:val="20"/>
                <w:szCs w:val="20"/>
                <w:color w:val="auto"/>
              </w:rPr>
            </w:pPr>
            <w:r>
              <w:rPr>
                <w:rFonts w:ascii="Arial" w:cs="Arial" w:eastAsia="Arial" w:hAnsi="Arial"/>
                <w:sz w:val="13"/>
                <w:szCs w:val="13"/>
                <w:color w:val="auto"/>
              </w:rPr>
              <w:t>138,313</w:t>
            </w:r>
          </w:p>
        </w:tc>
        <w:tc>
          <w:tcPr>
            <w:tcW w:w="80" w:type="dxa"/>
            <w:vAlign w:val="bottom"/>
          </w:tcPr>
          <w:p>
            <w:pPr>
              <w:spacing w:after="0"/>
              <w:rPr>
                <w:sz w:val="13"/>
                <w:szCs w:val="13"/>
                <w:color w:val="auto"/>
              </w:rPr>
            </w:pPr>
          </w:p>
        </w:tc>
      </w:tr>
      <w:tr>
        <w:trPr>
          <w:trHeight w:val="164"/>
        </w:trPr>
        <w:tc>
          <w:tcPr>
            <w:tcW w:w="222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Non-current assets*</w:t>
            </w:r>
          </w:p>
        </w:tc>
        <w:tc>
          <w:tcPr>
            <w:tcW w:w="10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15,934</w:t>
            </w: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88</w:t>
            </w:r>
          </w:p>
        </w:tc>
        <w:tc>
          <w:tcPr>
            <w:tcW w:w="10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1,702</w:t>
            </w: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16</w:t>
            </w:r>
          </w:p>
        </w:tc>
        <w:tc>
          <w:tcPr>
            <w:tcW w:w="7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4"/>
                <w:szCs w:val="14"/>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4"/>
                <w:szCs w:val="14"/>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33</w:t>
            </w:r>
          </w:p>
        </w:tc>
        <w:tc>
          <w:tcPr>
            <w:tcW w:w="22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192</w:t>
            </w:r>
          </w:p>
        </w:tc>
        <w:tc>
          <w:tcPr>
            <w:tcW w:w="78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17,965</w:t>
            </w:r>
          </w:p>
        </w:tc>
        <w:tc>
          <w:tcPr>
            <w:tcW w:w="80" w:type="dxa"/>
            <w:vAlign w:val="bottom"/>
            <w:shd w:val="clear" w:color="auto" w:fill="CCEEFF"/>
          </w:tcPr>
          <w:p>
            <w:pPr>
              <w:spacing w:after="0"/>
              <w:rPr>
                <w:sz w:val="14"/>
                <w:szCs w:val="14"/>
                <w:color w:val="auto"/>
              </w:rPr>
            </w:pPr>
          </w:p>
        </w:tc>
      </w:tr>
      <w:tr>
        <w:trPr>
          <w:trHeight w:val="144"/>
        </w:trPr>
        <w:tc>
          <w:tcPr>
            <w:tcW w:w="2100" w:type="dxa"/>
            <w:vAlign w:val="bottom"/>
          </w:tcPr>
          <w:p>
            <w:pPr>
              <w:spacing w:after="0" w:line="144" w:lineRule="exact"/>
              <w:rPr>
                <w:sz w:val="20"/>
                <w:szCs w:val="20"/>
                <w:color w:val="auto"/>
              </w:rPr>
            </w:pPr>
            <w:r>
              <w:rPr>
                <w:rFonts w:ascii="Arial" w:cs="Arial" w:eastAsia="Arial" w:hAnsi="Arial"/>
                <w:sz w:val="13"/>
                <w:szCs w:val="13"/>
                <w:b w:val="1"/>
                <w:bCs w:val="1"/>
                <w:color w:val="auto"/>
              </w:rPr>
              <w:t>2016</w:t>
            </w:r>
          </w:p>
        </w:tc>
        <w:tc>
          <w:tcPr>
            <w:tcW w:w="12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6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80" w:type="dxa"/>
            <w:vAlign w:val="bottom"/>
          </w:tcPr>
          <w:p>
            <w:pPr>
              <w:spacing w:after="0"/>
              <w:rPr>
                <w:sz w:val="12"/>
                <w:szCs w:val="12"/>
                <w:color w:val="auto"/>
              </w:rPr>
            </w:pPr>
          </w:p>
        </w:tc>
      </w:tr>
      <w:tr>
        <w:trPr>
          <w:trHeight w:val="154"/>
        </w:trPr>
        <w:tc>
          <w:tcPr>
            <w:tcW w:w="222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Total revenues</w:t>
            </w:r>
          </w:p>
        </w:tc>
        <w:tc>
          <w:tcPr>
            <w:tcW w:w="10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14,870</w:t>
            </w: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34,740</w:t>
            </w:r>
          </w:p>
        </w:tc>
        <w:tc>
          <w:tcPr>
            <w:tcW w:w="10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21,197</w:t>
            </w: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17,077</w:t>
            </w: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9,752</w:t>
            </w:r>
          </w:p>
        </w:tc>
        <w:tc>
          <w:tcPr>
            <w:tcW w:w="9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7,229</w:t>
            </w:r>
          </w:p>
        </w:tc>
        <w:tc>
          <w:tcPr>
            <w:tcW w:w="7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11,183</w:t>
            </w:r>
          </w:p>
        </w:tc>
        <w:tc>
          <w:tcPr>
            <w:tcW w:w="22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51,926</w:t>
            </w:r>
          </w:p>
        </w:tc>
        <w:tc>
          <w:tcPr>
            <w:tcW w:w="78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167,974</w:t>
            </w:r>
          </w:p>
        </w:tc>
        <w:tc>
          <w:tcPr>
            <w:tcW w:w="80" w:type="dxa"/>
            <w:vAlign w:val="bottom"/>
            <w:shd w:val="clear" w:color="auto" w:fill="CCEEFF"/>
          </w:tcPr>
          <w:p>
            <w:pPr>
              <w:spacing w:after="0"/>
              <w:rPr>
                <w:sz w:val="13"/>
                <w:szCs w:val="13"/>
                <w:color w:val="auto"/>
              </w:rPr>
            </w:pPr>
          </w:p>
        </w:tc>
      </w:tr>
      <w:tr>
        <w:trPr>
          <w:trHeight w:val="163"/>
        </w:trPr>
        <w:tc>
          <w:tcPr>
            <w:tcW w:w="2220" w:type="dxa"/>
            <w:vAlign w:val="bottom"/>
            <w:gridSpan w:val="2"/>
          </w:tcPr>
          <w:p>
            <w:pPr>
              <w:spacing w:after="0"/>
              <w:rPr>
                <w:sz w:val="20"/>
                <w:szCs w:val="20"/>
                <w:color w:val="auto"/>
              </w:rPr>
            </w:pPr>
            <w:r>
              <w:rPr>
                <w:rFonts w:ascii="Arial" w:cs="Arial" w:eastAsia="Arial" w:hAnsi="Arial"/>
                <w:sz w:val="13"/>
                <w:szCs w:val="13"/>
                <w:color w:val="auto"/>
              </w:rPr>
              <w:t>Non-current assets*</w:t>
            </w:r>
          </w:p>
        </w:tc>
        <w:tc>
          <w:tcPr>
            <w:tcW w:w="1020" w:type="dxa"/>
            <w:vAlign w:val="bottom"/>
            <w:gridSpan w:val="2"/>
          </w:tcPr>
          <w:p>
            <w:pPr>
              <w:jc w:val="right"/>
              <w:ind w:right="240"/>
              <w:spacing w:after="0"/>
              <w:rPr>
                <w:sz w:val="20"/>
                <w:szCs w:val="20"/>
                <w:color w:val="auto"/>
              </w:rPr>
            </w:pPr>
            <w:r>
              <w:rPr>
                <w:rFonts w:ascii="Arial" w:cs="Arial" w:eastAsia="Arial" w:hAnsi="Arial"/>
                <w:sz w:val="13"/>
                <w:szCs w:val="13"/>
                <w:color w:val="auto"/>
              </w:rPr>
              <w:t>9,346</w:t>
            </w: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90</w:t>
            </w:r>
          </w:p>
        </w:tc>
        <w:tc>
          <w:tcPr>
            <w:tcW w:w="1020" w:type="dxa"/>
            <w:vAlign w:val="bottom"/>
            <w:gridSpan w:val="2"/>
          </w:tcPr>
          <w:p>
            <w:pPr>
              <w:jc w:val="right"/>
              <w:ind w:right="240"/>
              <w:spacing w:after="0"/>
              <w:rPr>
                <w:sz w:val="20"/>
                <w:szCs w:val="20"/>
                <w:color w:val="auto"/>
              </w:rPr>
            </w:pPr>
            <w:r>
              <w:rPr>
                <w:rFonts w:ascii="Arial" w:cs="Arial" w:eastAsia="Arial" w:hAnsi="Arial"/>
                <w:sz w:val="13"/>
                <w:szCs w:val="13"/>
                <w:color w:val="auto"/>
              </w:rPr>
              <w:t>1,828</w:t>
            </w: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23</w:t>
            </w:r>
          </w:p>
        </w:tc>
        <w:tc>
          <w:tcPr>
            <w:tcW w:w="76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76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4"/>
                <w:szCs w:val="14"/>
                <w:color w:val="auto"/>
              </w:rPr>
            </w:pPr>
          </w:p>
        </w:tc>
        <w:tc>
          <w:tcPr>
            <w:tcW w:w="760" w:type="dxa"/>
            <w:vAlign w:val="bottom"/>
          </w:tcPr>
          <w:p>
            <w:pPr>
              <w:jc w:val="right"/>
              <w:spacing w:after="0"/>
              <w:rPr>
                <w:sz w:val="20"/>
                <w:szCs w:val="20"/>
                <w:color w:val="auto"/>
              </w:rPr>
            </w:pPr>
            <w:r>
              <w:rPr>
                <w:rFonts w:ascii="Arial" w:cs="Arial" w:eastAsia="Arial" w:hAnsi="Arial"/>
                <w:sz w:val="13"/>
                <w:szCs w:val="13"/>
                <w:color w:val="auto"/>
              </w:rPr>
              <w:t>51</w:t>
            </w:r>
          </w:p>
        </w:tc>
        <w:tc>
          <w:tcPr>
            <w:tcW w:w="220" w:type="dxa"/>
            <w:vAlign w:val="bottom"/>
          </w:tcPr>
          <w:p>
            <w:pPr>
              <w:spacing w:after="0"/>
              <w:rPr>
                <w:sz w:val="14"/>
                <w:szCs w:val="14"/>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3"/>
                <w:szCs w:val="13"/>
                <w:color w:val="auto"/>
              </w:rPr>
              <w:t>264</w:t>
            </w:r>
          </w:p>
        </w:tc>
        <w:tc>
          <w:tcPr>
            <w:tcW w:w="780" w:type="dxa"/>
            <w:vAlign w:val="bottom"/>
          </w:tcPr>
          <w:p>
            <w:pPr>
              <w:jc w:val="right"/>
              <w:spacing w:after="0"/>
              <w:rPr>
                <w:sz w:val="20"/>
                <w:szCs w:val="20"/>
                <w:color w:val="auto"/>
              </w:rPr>
            </w:pPr>
            <w:r>
              <w:rPr>
                <w:rFonts w:ascii="Arial" w:cs="Arial" w:eastAsia="Arial" w:hAnsi="Arial"/>
                <w:sz w:val="13"/>
                <w:szCs w:val="13"/>
                <w:color w:val="auto"/>
              </w:rPr>
              <w:t>11,602</w:t>
            </w:r>
          </w:p>
        </w:tc>
        <w:tc>
          <w:tcPr>
            <w:tcW w:w="80" w:type="dxa"/>
            <w:vAlign w:val="bottom"/>
          </w:tcPr>
          <w:p>
            <w:pPr>
              <w:spacing w:after="0"/>
              <w:rPr>
                <w:sz w:val="14"/>
                <w:szCs w:val="14"/>
                <w:color w:val="auto"/>
              </w:rPr>
            </w:pPr>
          </w:p>
        </w:tc>
      </w:tr>
      <w:tr>
        <w:trPr>
          <w:trHeight w:val="20"/>
        </w:trPr>
        <w:tc>
          <w:tcPr>
            <w:tcW w:w="2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tcBorders>
              <w:right w:val="single" w:sz="8" w:color="auto"/>
            </w:tcBorders>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45" w:lineRule="exact"/>
        <w:rPr>
          <w:sz w:val="20"/>
          <w:szCs w:val="20"/>
          <w:color w:val="auto"/>
        </w:rPr>
      </w:pPr>
    </w:p>
    <w:p>
      <w:pPr>
        <w:ind w:left="703" w:hanging="241"/>
        <w:spacing w:after="0"/>
        <w:tabs>
          <w:tab w:leader="none" w:pos="703" w:val="left"/>
        </w:tabs>
        <w:numPr>
          <w:ilvl w:val="0"/>
          <w:numId w:val="174"/>
        </w:numPr>
        <w:rPr>
          <w:rFonts w:ascii="Arial" w:cs="Arial" w:eastAsia="Arial" w:hAnsi="Arial"/>
          <w:sz w:val="13"/>
          <w:szCs w:val="13"/>
          <w:color w:val="auto"/>
        </w:rPr>
      </w:pPr>
      <w:r>
        <w:rPr>
          <w:rFonts w:ascii="Arial" w:cs="Arial" w:eastAsia="Arial" w:hAnsi="Arial"/>
          <w:sz w:val="13"/>
          <w:szCs w:val="13"/>
          <w:color w:val="auto"/>
        </w:rPr>
        <w:t>Includes equipment and lesehold improvements, intangibles and investment properties.</w:t>
      </w:r>
    </w:p>
    <w:p>
      <w:pPr>
        <w:spacing w:after="0" w:line="155" w:lineRule="exact"/>
        <w:rPr>
          <w:sz w:val="20"/>
          <w:szCs w:val="20"/>
          <w:color w:val="auto"/>
        </w:rPr>
      </w:pPr>
    </w:p>
    <w:p>
      <w:pPr>
        <w:ind w:left="223"/>
        <w:spacing w:after="0"/>
        <w:rPr>
          <w:sz w:val="20"/>
          <w:szCs w:val="20"/>
          <w:color w:val="auto"/>
        </w:rPr>
      </w:pPr>
      <w:r>
        <w:rPr>
          <w:rFonts w:ascii="Arial" w:cs="Arial" w:eastAsia="Arial" w:hAnsi="Arial"/>
          <w:sz w:val="13"/>
          <w:szCs w:val="13"/>
          <w:b w:val="1"/>
          <w:bCs w:val="1"/>
          <w:u w:val="single" w:color="auto"/>
          <w:color w:val="auto"/>
        </w:rPr>
        <w:t>Disaggregation of revenue from contract with customers</w:t>
      </w:r>
    </w:p>
    <w:p>
      <w:pPr>
        <w:spacing w:after="0" w:line="163" w:lineRule="exact"/>
        <w:rPr>
          <w:sz w:val="20"/>
          <w:szCs w:val="20"/>
          <w:color w:val="auto"/>
        </w:rPr>
      </w:pPr>
    </w:p>
    <w:p>
      <w:pPr>
        <w:ind w:left="223"/>
        <w:spacing w:after="0"/>
        <w:rPr>
          <w:sz w:val="20"/>
          <w:szCs w:val="20"/>
          <w:color w:val="auto"/>
        </w:rPr>
      </w:pPr>
      <w:r>
        <w:rPr>
          <w:rFonts w:ascii="Arial" w:cs="Arial" w:eastAsia="Arial" w:hAnsi="Arial"/>
          <w:sz w:val="13"/>
          <w:szCs w:val="13"/>
          <w:color w:val="auto"/>
        </w:rPr>
        <w:t>As of December 31, 2018, 2017, and 2016, respectively, the Bank has no customer, either individually or as group of companies, that represents more than 10% of the total revenues.</w:t>
      </w:r>
    </w:p>
    <w:p>
      <w:pPr>
        <w:spacing w:after="0" w:line="313"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F-85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35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85" w:right="219" w:bottom="1440" w:gutter="0" w:footer="0" w:header="0"/>
        </w:sectPr>
      </w:pPr>
    </w:p>
    <w:bookmarkStart w:id="210" w:name="page211"/>
    <w:bookmarkEnd w:id="210"/>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35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175"/>
        </w:numPr>
        <w:rPr>
          <w:rFonts w:ascii="Arial" w:cs="Arial" w:eastAsia="Arial" w:hAnsi="Arial"/>
          <w:sz w:val="13"/>
          <w:szCs w:val="13"/>
          <w:b w:val="1"/>
          <w:bCs w:val="1"/>
          <w:color w:val="auto"/>
        </w:rPr>
      </w:pPr>
      <w:r>
        <w:rPr>
          <w:rFonts w:ascii="Arial" w:cs="Arial" w:eastAsia="Arial" w:hAnsi="Arial"/>
          <w:sz w:val="13"/>
          <w:szCs w:val="13"/>
          <w:b w:val="1"/>
          <w:bCs w:val="1"/>
          <w:color w:val="auto"/>
        </w:rPr>
        <w:t>Fair value of financial instruments</w:t>
      </w:r>
    </w:p>
    <w:p>
      <w:pPr>
        <w:spacing w:after="0" w:line="162" w:lineRule="exact"/>
        <w:rPr>
          <w:rFonts w:ascii="Arial" w:cs="Arial" w:eastAsia="Arial" w:hAnsi="Arial"/>
          <w:sz w:val="13"/>
          <w:szCs w:val="13"/>
          <w:b w:val="1"/>
          <w:bCs w:val="1"/>
          <w:color w:val="auto"/>
        </w:rPr>
      </w:pPr>
    </w:p>
    <w:p>
      <w:pPr>
        <w:jc w:val="both"/>
        <w:ind w:left="223"/>
        <w:spacing w:after="0" w:line="250" w:lineRule="auto"/>
        <w:rPr>
          <w:rFonts w:ascii="Arial" w:cs="Arial" w:eastAsia="Arial" w:hAnsi="Arial"/>
          <w:sz w:val="13"/>
          <w:szCs w:val="13"/>
          <w:b w:val="1"/>
          <w:bCs w:val="1"/>
          <w:color w:val="auto"/>
        </w:rPr>
      </w:pPr>
      <w:r>
        <w:rPr>
          <w:rFonts w:ascii="Arial" w:cs="Arial" w:eastAsia="Arial" w:hAnsi="Arial"/>
          <w:sz w:val="13"/>
          <w:szCs w:val="13"/>
          <w:color w:val="auto"/>
        </w:rPr>
        <w:t>The Bank determines the fair value of its financial instruments using the fair value hierarchy established in IFRS 13 - Fair Value Measurements and Disclosure, which requires the Bank to maximize the use of observable inputs (those that reflect the assumptions that market participants would use in pricing the asset or liability developed based on market information obtained from sources independent of the reporting entity) and to minimize the use of unobservable inputs (those that reflect the reporting entity’s own assumptions about the inputs that market participants would use in pricing the asset or liability developed based on the best information available in the circumstances) when measuring fair value. Fair value is used on a recurring basis to measure assets and liabilities in which fair value is the primary basis of accounting. Additionally, fair value is used on a non-recurring basis to assess assets and liabilities for impairment or for disclosure purposes. Fair value is defined as the price that would be received to sell an asset or paid to transfer a liability in an orderly transaction between market participants at the measurement date. Depending on the nature of the asset or liability, the Bank uses some valuation techniques and assumptions when estimating fair value. The Bank applied the following fair value hierarchy:</w:t>
      </w:r>
    </w:p>
    <w:p>
      <w:pPr>
        <w:spacing w:after="0" w:line="142" w:lineRule="exact"/>
        <w:rPr>
          <w:sz w:val="20"/>
          <w:szCs w:val="20"/>
          <w:color w:val="auto"/>
        </w:rPr>
      </w:pPr>
    </w:p>
    <w:p>
      <w:pPr>
        <w:ind w:left="583"/>
        <w:spacing w:after="0"/>
        <w:rPr>
          <w:sz w:val="20"/>
          <w:szCs w:val="20"/>
          <w:color w:val="auto"/>
        </w:rPr>
      </w:pPr>
      <w:r>
        <w:rPr>
          <w:rFonts w:ascii="Arial" w:cs="Arial" w:eastAsia="Arial" w:hAnsi="Arial"/>
          <w:sz w:val="13"/>
          <w:szCs w:val="13"/>
          <w:color w:val="auto"/>
        </w:rPr>
        <w:t>Level 1 – Assets or liabilities for which an identical instrument is traded in an active market, such as publicly-traded instruments or futures contracts.</w:t>
      </w:r>
    </w:p>
    <w:p>
      <w:pPr>
        <w:spacing w:after="0" w:line="159" w:lineRule="exact"/>
        <w:rPr>
          <w:sz w:val="20"/>
          <w:szCs w:val="20"/>
          <w:color w:val="auto"/>
        </w:rPr>
      </w:pPr>
    </w:p>
    <w:p>
      <w:pPr>
        <w:ind w:left="583" w:right="20"/>
        <w:spacing w:after="0" w:line="267" w:lineRule="auto"/>
        <w:rPr>
          <w:sz w:val="20"/>
          <w:szCs w:val="20"/>
          <w:color w:val="auto"/>
        </w:rPr>
      </w:pPr>
      <w:r>
        <w:rPr>
          <w:rFonts w:ascii="Arial" w:cs="Arial" w:eastAsia="Arial" w:hAnsi="Arial"/>
          <w:sz w:val="13"/>
          <w:szCs w:val="13"/>
          <w:color w:val="auto"/>
        </w:rPr>
        <w:t>Level 2 – Assets or liabilities valued based on observable market data for similar instruments, quoted prices in markets that are not active; or other observable inputs that can be corroborated by observable market data for substantially the full term of the asset or liability.</w:t>
      </w:r>
    </w:p>
    <w:p>
      <w:pPr>
        <w:spacing w:after="0" w:line="129" w:lineRule="exact"/>
        <w:rPr>
          <w:sz w:val="20"/>
          <w:szCs w:val="20"/>
          <w:color w:val="auto"/>
        </w:rPr>
      </w:pPr>
    </w:p>
    <w:p>
      <w:pPr>
        <w:ind w:left="583" w:right="20"/>
        <w:spacing w:after="0" w:line="267" w:lineRule="auto"/>
        <w:rPr>
          <w:sz w:val="20"/>
          <w:szCs w:val="20"/>
          <w:color w:val="auto"/>
        </w:rPr>
      </w:pPr>
      <w:r>
        <w:rPr>
          <w:rFonts w:ascii="Arial" w:cs="Arial" w:eastAsia="Arial" w:hAnsi="Arial"/>
          <w:sz w:val="13"/>
          <w:szCs w:val="13"/>
          <w:color w:val="auto"/>
        </w:rPr>
        <w:t>Level 3 – Assets or liabilities for which significant valuation inputs are not readily observable in the market; instruments measured based on the best available information, which might include some internally-developed data, and considers risk premiums that a market participant would require.</w:t>
      </w:r>
    </w:p>
    <w:p>
      <w:pPr>
        <w:spacing w:after="0" w:line="129" w:lineRule="exact"/>
        <w:rPr>
          <w:sz w:val="20"/>
          <w:szCs w:val="20"/>
          <w:color w:val="auto"/>
        </w:rPr>
      </w:pPr>
    </w:p>
    <w:p>
      <w:pPr>
        <w:jc w:val="both"/>
        <w:ind w:left="223"/>
        <w:spacing w:after="0" w:line="252" w:lineRule="auto"/>
        <w:rPr>
          <w:sz w:val="20"/>
          <w:szCs w:val="20"/>
          <w:color w:val="auto"/>
        </w:rPr>
      </w:pPr>
      <w:r>
        <w:rPr>
          <w:rFonts w:ascii="Arial" w:cs="Arial" w:eastAsia="Arial" w:hAnsi="Arial"/>
          <w:sz w:val="13"/>
          <w:szCs w:val="13"/>
          <w:color w:val="auto"/>
        </w:rPr>
        <w:t>When determining the fair value measurements for assets and liabilities that are required or permitted to be recorded at fair value, the Bank considers the principal or most advantageous market in which it would transact and considers the inputs that market participants would use when pricing the asset or liability. When possible, the Bank uses active markets and observable prices to value identical assets or liabilities. When identical assets and liabilities are not traded in active markets, the Bank uses observable market information for similar assets and liabilities. However, certain assets and liabilities are not actively traded in observable markets and the Bank must use alternative valuation techniques to determine the fair value measurement. The frequency of transactions, the size of the bid-ask spread and the size of the investment are factors considered in determining the liquidity of markets and the relevance of observed prices in those markets.</w:t>
      </w:r>
    </w:p>
    <w:p>
      <w:pPr>
        <w:spacing w:after="0" w:line="139" w:lineRule="exact"/>
        <w:rPr>
          <w:sz w:val="20"/>
          <w:szCs w:val="20"/>
          <w:color w:val="auto"/>
        </w:rPr>
      </w:pPr>
    </w:p>
    <w:p>
      <w:pPr>
        <w:jc w:val="both"/>
        <w:ind w:left="223" w:right="20"/>
        <w:spacing w:after="0" w:line="267" w:lineRule="auto"/>
        <w:rPr>
          <w:sz w:val="20"/>
          <w:szCs w:val="20"/>
          <w:color w:val="auto"/>
        </w:rPr>
      </w:pPr>
      <w:r>
        <w:rPr>
          <w:rFonts w:ascii="Arial" w:cs="Arial" w:eastAsia="Arial" w:hAnsi="Arial"/>
          <w:sz w:val="13"/>
          <w:szCs w:val="13"/>
          <w:color w:val="auto"/>
        </w:rPr>
        <w:t>When there has been a significant decrease in the valuation of the financial asset or liability, or in the level of activity for a financial asset or liability, the Bank uses the present value technique which considers market information to determine a representative fair value in usual market conditions.</w:t>
      </w:r>
    </w:p>
    <w:p>
      <w:pPr>
        <w:spacing w:after="0" w:line="129" w:lineRule="exact"/>
        <w:rPr>
          <w:sz w:val="20"/>
          <w:szCs w:val="20"/>
          <w:color w:val="auto"/>
        </w:rPr>
      </w:pPr>
    </w:p>
    <w:p>
      <w:pPr>
        <w:ind w:left="223"/>
        <w:spacing w:after="0"/>
        <w:rPr>
          <w:sz w:val="20"/>
          <w:szCs w:val="20"/>
          <w:color w:val="auto"/>
        </w:rPr>
      </w:pPr>
      <w:r>
        <w:rPr>
          <w:rFonts w:ascii="Arial" w:cs="Arial" w:eastAsia="Arial" w:hAnsi="Arial"/>
          <w:sz w:val="13"/>
          <w:szCs w:val="13"/>
          <w:u w:val="single" w:color="auto"/>
          <w:color w:val="auto"/>
        </w:rPr>
        <w:t>Recurring valuation</w:t>
      </w:r>
      <w:r>
        <w:rPr>
          <w:rFonts w:ascii="Arial" w:cs="Arial" w:eastAsia="Arial" w:hAnsi="Arial"/>
          <w:sz w:val="13"/>
          <w:szCs w:val="13"/>
          <w:color w:val="auto"/>
        </w:rPr>
        <w:t>:</w:t>
      </w:r>
    </w:p>
    <w:p>
      <w:pPr>
        <w:spacing w:after="0" w:line="159" w:lineRule="exact"/>
        <w:rPr>
          <w:sz w:val="20"/>
          <w:szCs w:val="20"/>
          <w:color w:val="auto"/>
        </w:rPr>
      </w:pPr>
    </w:p>
    <w:p>
      <w:pPr>
        <w:jc w:val="both"/>
        <w:ind w:left="223" w:right="20"/>
        <w:spacing w:after="0" w:line="267" w:lineRule="auto"/>
        <w:rPr>
          <w:sz w:val="20"/>
          <w:szCs w:val="20"/>
          <w:color w:val="auto"/>
        </w:rPr>
      </w:pPr>
      <w:r>
        <w:rPr>
          <w:rFonts w:ascii="Arial" w:cs="Arial" w:eastAsia="Arial" w:hAnsi="Arial"/>
          <w:sz w:val="13"/>
          <w:szCs w:val="13"/>
          <w:color w:val="auto"/>
        </w:rPr>
        <w:t>A description of the valuation methodologies used for assets and liabilities measured at fair value on a recurring basis, including the general classification of such assets and liabilities under the fair value hierarchy is presented below:</w:t>
      </w:r>
    </w:p>
    <w:p>
      <w:pPr>
        <w:spacing w:after="0" w:line="129" w:lineRule="exact"/>
        <w:rPr>
          <w:sz w:val="20"/>
          <w:szCs w:val="20"/>
          <w:color w:val="auto"/>
        </w:rPr>
      </w:pPr>
    </w:p>
    <w:p>
      <w:pPr>
        <w:ind w:left="223"/>
        <w:spacing w:after="0"/>
        <w:rPr>
          <w:sz w:val="20"/>
          <w:szCs w:val="20"/>
          <w:color w:val="auto"/>
        </w:rPr>
      </w:pPr>
      <w:r>
        <w:rPr>
          <w:rFonts w:ascii="Arial" w:cs="Arial" w:eastAsia="Arial" w:hAnsi="Arial"/>
          <w:sz w:val="13"/>
          <w:szCs w:val="13"/>
          <w:u w:val="single" w:color="auto"/>
          <w:color w:val="auto"/>
        </w:rPr>
        <w:t>Financial instruments at FVTPL and FVOCI</w:t>
      </w:r>
    </w:p>
    <w:p>
      <w:pPr>
        <w:spacing w:after="0" w:line="159" w:lineRule="exact"/>
        <w:rPr>
          <w:sz w:val="20"/>
          <w:szCs w:val="20"/>
          <w:color w:val="auto"/>
        </w:rPr>
      </w:pPr>
    </w:p>
    <w:p>
      <w:pPr>
        <w:jc w:val="both"/>
        <w:ind w:left="223" w:right="20"/>
        <w:spacing w:after="0" w:line="267" w:lineRule="auto"/>
        <w:rPr>
          <w:sz w:val="20"/>
          <w:szCs w:val="20"/>
          <w:color w:val="auto"/>
        </w:rPr>
      </w:pPr>
      <w:r>
        <w:rPr>
          <w:rFonts w:ascii="Arial" w:cs="Arial" w:eastAsia="Arial" w:hAnsi="Arial"/>
          <w:sz w:val="13"/>
          <w:szCs w:val="13"/>
          <w:color w:val="auto"/>
        </w:rPr>
        <w:t>Financial instruments at FVTPL are carried at fair value, which is based upon quoted prices when available, or if quoted market prices are not available, on discounted expected cash flows using market rates commensurate with the credit quality and maturity of the security.</w:t>
      </w:r>
    </w:p>
    <w:p>
      <w:pPr>
        <w:spacing w:after="0" w:line="129" w:lineRule="exact"/>
        <w:rPr>
          <w:sz w:val="20"/>
          <w:szCs w:val="20"/>
          <w:color w:val="auto"/>
        </w:rPr>
      </w:pPr>
    </w:p>
    <w:p>
      <w:pPr>
        <w:jc w:val="both"/>
        <w:ind w:left="223" w:right="20"/>
        <w:spacing w:after="0" w:line="267" w:lineRule="auto"/>
        <w:rPr>
          <w:sz w:val="20"/>
          <w:szCs w:val="20"/>
          <w:color w:val="auto"/>
        </w:rPr>
      </w:pPr>
      <w:r>
        <w:rPr>
          <w:rFonts w:ascii="Arial" w:cs="Arial" w:eastAsia="Arial" w:hAnsi="Arial"/>
          <w:sz w:val="13"/>
          <w:szCs w:val="13"/>
          <w:color w:val="auto"/>
        </w:rPr>
        <w:t>Financial instruments at FVOCI are carried at fair value, based on quoted market prices when available, or if quoted market prices are not available, based on discounted expected cash flows using market rates commensurate with the credit quality and maturity of the security.</w:t>
      </w:r>
    </w:p>
    <w:p>
      <w:pPr>
        <w:spacing w:after="0" w:line="283"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F-86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35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211" w:name="page212"/>
    <w:bookmarkEnd w:id="211"/>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35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right="8340" w:hanging="223"/>
        <w:spacing w:after="0" w:line="588" w:lineRule="auto"/>
        <w:tabs>
          <w:tab w:leader="none" w:pos="223" w:val="left"/>
        </w:tabs>
        <w:numPr>
          <w:ilvl w:val="0"/>
          <w:numId w:val="176"/>
        </w:numPr>
        <w:rPr>
          <w:rFonts w:ascii="Arial" w:cs="Arial" w:eastAsia="Arial" w:hAnsi="Arial"/>
          <w:sz w:val="11"/>
          <w:szCs w:val="11"/>
          <w:b w:val="1"/>
          <w:bCs w:val="1"/>
          <w:color w:val="auto"/>
        </w:rPr>
      </w:pPr>
      <w:r>
        <w:rPr>
          <w:rFonts w:ascii="Arial" w:cs="Arial" w:eastAsia="Arial" w:hAnsi="Arial"/>
          <w:sz w:val="11"/>
          <w:szCs w:val="11"/>
          <w:b w:val="1"/>
          <w:bCs w:val="1"/>
          <w:color w:val="auto"/>
        </w:rPr>
        <w:t xml:space="preserve">Fair value of financial instruments (continued) </w:t>
      </w:r>
      <w:r>
        <w:rPr>
          <w:rFonts w:ascii="Arial" w:cs="Arial" w:eastAsia="Arial" w:hAnsi="Arial"/>
          <w:sz w:val="11"/>
          <w:szCs w:val="11"/>
          <w:u w:val="single" w:color="auto"/>
          <w:color w:val="auto"/>
        </w:rPr>
        <w:t>Financial instruments at FVTPL and FVOCI (continued)</w:t>
      </w:r>
    </w:p>
    <w:p>
      <w:pPr>
        <w:jc w:val="both"/>
        <w:ind w:left="223" w:right="20"/>
        <w:spacing w:after="0" w:line="257" w:lineRule="auto"/>
        <w:rPr>
          <w:rFonts w:ascii="Arial" w:cs="Arial" w:eastAsia="Arial" w:hAnsi="Arial"/>
          <w:sz w:val="11"/>
          <w:szCs w:val="11"/>
          <w:b w:val="1"/>
          <w:bCs w:val="1"/>
          <w:color w:val="auto"/>
        </w:rPr>
      </w:pPr>
      <w:r>
        <w:rPr>
          <w:rFonts w:ascii="Arial" w:cs="Arial" w:eastAsia="Arial" w:hAnsi="Arial"/>
          <w:sz w:val="13"/>
          <w:szCs w:val="13"/>
          <w:color w:val="auto"/>
        </w:rPr>
        <w:t>When quoted prices are available in an active market, financial instruments at FVOCI and financial instruments at FVTPL are classified in level 1 of the fair value hierarchy. If quoted market prices are not available or they are available in markets that are not active, then fair values are estimated based upon quoted prices for similar instruments, or where these are not available, by using internal valuation techniques, principally discounted cash flows models. Such securities are classified within levels 2 and 3 of the fair value hierarchy.</w:t>
      </w:r>
    </w:p>
    <w:p>
      <w:pPr>
        <w:spacing w:after="0" w:line="135" w:lineRule="exact"/>
        <w:rPr>
          <w:rFonts w:ascii="Arial" w:cs="Arial" w:eastAsia="Arial" w:hAnsi="Arial"/>
          <w:sz w:val="11"/>
          <w:szCs w:val="11"/>
          <w:b w:val="1"/>
          <w:bCs w:val="1"/>
          <w:color w:val="auto"/>
        </w:rPr>
      </w:pPr>
    </w:p>
    <w:p>
      <w:pPr>
        <w:ind w:left="223"/>
        <w:spacing w:after="0"/>
        <w:rPr>
          <w:rFonts w:ascii="Arial" w:cs="Arial" w:eastAsia="Arial" w:hAnsi="Arial"/>
          <w:sz w:val="11"/>
          <w:szCs w:val="11"/>
          <w:b w:val="1"/>
          <w:bCs w:val="1"/>
          <w:color w:val="auto"/>
        </w:rPr>
      </w:pPr>
      <w:r>
        <w:rPr>
          <w:rFonts w:ascii="Arial" w:cs="Arial" w:eastAsia="Arial" w:hAnsi="Arial"/>
          <w:sz w:val="13"/>
          <w:szCs w:val="13"/>
          <w:u w:val="single" w:color="auto"/>
          <w:color w:val="auto"/>
        </w:rPr>
        <w:t>Derivative financial instruments</w:t>
      </w:r>
    </w:p>
    <w:p>
      <w:pPr>
        <w:spacing w:after="0" w:line="158" w:lineRule="exact"/>
        <w:rPr>
          <w:rFonts w:ascii="Arial" w:cs="Arial" w:eastAsia="Arial" w:hAnsi="Arial"/>
          <w:sz w:val="11"/>
          <w:szCs w:val="11"/>
          <w:b w:val="1"/>
          <w:bCs w:val="1"/>
          <w:color w:val="auto"/>
        </w:rPr>
      </w:pPr>
    </w:p>
    <w:p>
      <w:pPr>
        <w:ind w:left="223" w:right="20"/>
        <w:spacing w:after="0" w:line="267" w:lineRule="auto"/>
        <w:rPr>
          <w:rFonts w:ascii="Arial" w:cs="Arial" w:eastAsia="Arial" w:hAnsi="Arial"/>
          <w:sz w:val="11"/>
          <w:szCs w:val="11"/>
          <w:b w:val="1"/>
          <w:bCs w:val="1"/>
          <w:color w:val="auto"/>
        </w:rPr>
      </w:pPr>
      <w:r>
        <w:rPr>
          <w:rFonts w:ascii="Arial" w:cs="Arial" w:eastAsia="Arial" w:hAnsi="Arial"/>
          <w:sz w:val="13"/>
          <w:szCs w:val="13"/>
          <w:color w:val="auto"/>
        </w:rPr>
        <w:t>The valuation techniques and inputs depend on the type of derivative and the nature of the underlying instrument. Exchange-traded derivatives that are valued using quoted prices are classified within level 1 of the fair value hierarchy.</w:t>
      </w:r>
    </w:p>
    <w:p>
      <w:pPr>
        <w:spacing w:after="0" w:line="129" w:lineRule="exact"/>
        <w:rPr>
          <w:rFonts w:ascii="Arial" w:cs="Arial" w:eastAsia="Arial" w:hAnsi="Arial"/>
          <w:sz w:val="11"/>
          <w:szCs w:val="11"/>
          <w:b w:val="1"/>
          <w:bCs w:val="1"/>
          <w:color w:val="auto"/>
        </w:rPr>
      </w:pPr>
    </w:p>
    <w:p>
      <w:pPr>
        <w:jc w:val="both"/>
        <w:ind w:left="223"/>
        <w:spacing w:after="0" w:line="257" w:lineRule="auto"/>
        <w:rPr>
          <w:rFonts w:ascii="Arial" w:cs="Arial" w:eastAsia="Arial" w:hAnsi="Arial"/>
          <w:sz w:val="11"/>
          <w:szCs w:val="11"/>
          <w:b w:val="1"/>
          <w:bCs w:val="1"/>
          <w:color w:val="auto"/>
        </w:rPr>
      </w:pPr>
      <w:r>
        <w:rPr>
          <w:rFonts w:ascii="Arial" w:cs="Arial" w:eastAsia="Arial" w:hAnsi="Arial"/>
          <w:sz w:val="13"/>
          <w:szCs w:val="13"/>
          <w:color w:val="auto"/>
        </w:rPr>
        <w:t>For those derivative contracts without quoted market prices, fair value is based on internal valuation techniques using inputs that are readily observable and that can be validated by information available in the market. The principal technique used to value these instruments is the discounted cash flows model and the key inputs considered in this technique include interest rate yield curves and foreign exchange rates. These derivatives are classified within level 2 of the fair value hierarchy.</w:t>
      </w:r>
    </w:p>
    <w:p>
      <w:pPr>
        <w:spacing w:after="0" w:line="135" w:lineRule="exact"/>
        <w:rPr>
          <w:rFonts w:ascii="Arial" w:cs="Arial" w:eastAsia="Arial" w:hAnsi="Arial"/>
          <w:sz w:val="11"/>
          <w:szCs w:val="11"/>
          <w:b w:val="1"/>
          <w:bCs w:val="1"/>
          <w:color w:val="auto"/>
        </w:rPr>
      </w:pPr>
    </w:p>
    <w:p>
      <w:pPr>
        <w:jc w:val="both"/>
        <w:ind w:left="223" w:right="20"/>
        <w:spacing w:after="0" w:line="257" w:lineRule="auto"/>
        <w:rPr>
          <w:rFonts w:ascii="Arial" w:cs="Arial" w:eastAsia="Arial" w:hAnsi="Arial"/>
          <w:sz w:val="11"/>
          <w:szCs w:val="11"/>
          <w:b w:val="1"/>
          <w:bCs w:val="1"/>
          <w:color w:val="auto"/>
        </w:rPr>
      </w:pPr>
      <w:r>
        <w:rPr>
          <w:rFonts w:ascii="Arial" w:cs="Arial" w:eastAsia="Arial" w:hAnsi="Arial"/>
          <w:sz w:val="13"/>
          <w:szCs w:val="13"/>
          <w:color w:val="auto"/>
        </w:rPr>
        <w:t>The fair value adjustments applied by the Bank to its derivative carrying values include credit valuation adjustments (“CVA”), which are applied to OTC derivative instruments, in which the base valuation generally discounts expected cash flows using the Overnight Index Swap (“OIS”) interest rate curves. Because not all counterparties have the same credit risk as that implied by the relevant OIS curve, a CVA is necessary to incorporate the market view of both, counterparty credit risk and the Bank’s own credit risk, in the valuation.</w:t>
      </w:r>
    </w:p>
    <w:p>
      <w:pPr>
        <w:spacing w:after="0" w:line="135" w:lineRule="exact"/>
        <w:rPr>
          <w:rFonts w:ascii="Arial" w:cs="Arial" w:eastAsia="Arial" w:hAnsi="Arial"/>
          <w:sz w:val="11"/>
          <w:szCs w:val="11"/>
          <w:b w:val="1"/>
          <w:bCs w:val="1"/>
          <w:color w:val="auto"/>
        </w:rPr>
      </w:pPr>
    </w:p>
    <w:p>
      <w:pPr>
        <w:jc w:val="both"/>
        <w:ind w:left="223" w:right="20"/>
        <w:spacing w:after="0" w:line="252" w:lineRule="auto"/>
        <w:rPr>
          <w:rFonts w:ascii="Arial" w:cs="Arial" w:eastAsia="Arial" w:hAnsi="Arial"/>
          <w:sz w:val="11"/>
          <w:szCs w:val="11"/>
          <w:b w:val="1"/>
          <w:bCs w:val="1"/>
          <w:color w:val="auto"/>
        </w:rPr>
      </w:pPr>
      <w:r>
        <w:rPr>
          <w:rFonts w:ascii="Arial" w:cs="Arial" w:eastAsia="Arial" w:hAnsi="Arial"/>
          <w:sz w:val="13"/>
          <w:szCs w:val="13"/>
          <w:color w:val="auto"/>
        </w:rPr>
        <w:t>Own-credit and counterparty CVA is determined using a fair value curve consistent with the Bank’s or counterparty credit rating. The CVA is designed to incorporate a market view of the credit risk inherent in the derivative portfolio. However, most of the Bank’s derivative instruments are negotiated bilateral contracts and are not commonly transferred to third parties. Derivative instruments are normally settled contractually, or if terminated early, are terminated at a value negotiated bilaterally between the counterparties. Therefore, the CVA (both counterparty and own-credit) may not be realized upon a settlement or termination in the normal course of business. In addition, all or a portion of the CVA may be reversed or otherwise adjusted in future periods in the event of changes in the credit risk of the Bank or its counterparties or due to the anticipated termination of the transactions.</w:t>
      </w:r>
    </w:p>
    <w:p>
      <w:pPr>
        <w:spacing w:after="0" w:line="293"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F-87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36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212" w:name="page213"/>
    <w:bookmarkEnd w:id="212"/>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36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177"/>
        </w:numPr>
        <w:rPr>
          <w:rFonts w:ascii="Arial" w:cs="Arial" w:eastAsia="Arial" w:hAnsi="Arial"/>
          <w:sz w:val="13"/>
          <w:szCs w:val="13"/>
          <w:b w:val="1"/>
          <w:bCs w:val="1"/>
          <w:color w:val="auto"/>
        </w:rPr>
      </w:pPr>
      <w:r>
        <w:rPr>
          <w:rFonts w:ascii="Arial" w:cs="Arial" w:eastAsia="Arial" w:hAnsi="Arial"/>
          <w:sz w:val="13"/>
          <w:szCs w:val="13"/>
          <w:b w:val="1"/>
          <w:bCs w:val="1"/>
          <w:color w:val="auto"/>
        </w:rPr>
        <w:t>Fair value of financial instruments (continued)</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Financial instruments measured at fair value on a recurring basis by caption on the consolidated statement of financial position using the fair value hierarchy are described below:</w:t>
      </w:r>
    </w:p>
    <w:p>
      <w:pPr>
        <w:spacing w:after="0" w:line="164" w:lineRule="exact"/>
        <w:rPr>
          <w:sz w:val="20"/>
          <w:szCs w:val="20"/>
          <w:color w:val="auto"/>
        </w:rPr>
      </w:pPr>
    </w:p>
    <w:tbl>
      <w:tblPr>
        <w:tblLayout w:type="fixed"/>
        <w:tblInd w:w="223"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3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4860" w:type="dxa"/>
            <w:vAlign w:val="bottom"/>
          </w:tcPr>
          <w:p>
            <w:pPr>
              <w:spacing w:after="0"/>
              <w:rPr>
                <w:sz w:val="14"/>
                <w:szCs w:val="14"/>
                <w:color w:val="auto"/>
              </w:rPr>
            </w:pPr>
          </w:p>
        </w:tc>
        <w:tc>
          <w:tcPr>
            <w:tcW w:w="10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2280" w:type="dxa"/>
            <w:vAlign w:val="bottom"/>
            <w:tcBorders>
              <w:bottom w:val="single" w:sz="8" w:color="auto"/>
            </w:tcBorders>
            <w:gridSpan w:val="4"/>
          </w:tcPr>
          <w:p>
            <w:pPr>
              <w:ind w:left="760"/>
              <w:spacing w:after="0"/>
              <w:rPr>
                <w:sz w:val="20"/>
                <w:szCs w:val="20"/>
                <w:color w:val="auto"/>
              </w:rPr>
            </w:pPr>
            <w:r>
              <w:rPr>
                <w:rFonts w:ascii="Arial" w:cs="Arial" w:eastAsia="Arial" w:hAnsi="Arial"/>
                <w:sz w:val="13"/>
                <w:szCs w:val="13"/>
                <w:b w:val="1"/>
                <w:bCs w:val="1"/>
                <w:color w:val="auto"/>
              </w:rPr>
              <w:t>December 31, 2018</w:t>
            </w:r>
          </w:p>
        </w:tc>
        <w:tc>
          <w:tcPr>
            <w:tcW w:w="34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20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40" w:type="dxa"/>
            <w:vAlign w:val="bottom"/>
            <w:tcBorders>
              <w:bottom w:val="single" w:sz="8" w:color="CCEEFF"/>
            </w:tcBorders>
          </w:tcPr>
          <w:p>
            <w:pPr>
              <w:spacing w:after="0"/>
              <w:rPr>
                <w:sz w:val="13"/>
                <w:szCs w:val="13"/>
                <w:color w:val="auto"/>
              </w:rPr>
            </w:pPr>
          </w:p>
        </w:tc>
        <w:tc>
          <w:tcPr>
            <w:tcW w:w="200" w:type="dxa"/>
            <w:vAlign w:val="bottom"/>
            <w:tcBorders>
              <w:bottom w:val="single" w:sz="8" w:color="CCEEFF"/>
            </w:tcBorders>
          </w:tcPr>
          <w:p>
            <w:pPr>
              <w:spacing w:after="0"/>
              <w:rPr>
                <w:sz w:val="13"/>
                <w:szCs w:val="13"/>
                <w:color w:val="auto"/>
              </w:rPr>
            </w:pPr>
          </w:p>
        </w:tc>
        <w:tc>
          <w:tcPr>
            <w:tcW w:w="4860" w:type="dxa"/>
            <w:vAlign w:val="bottom"/>
            <w:tcBorders>
              <w:bottom w:val="single" w:sz="8" w:color="CCEEFF"/>
            </w:tcBorders>
          </w:tcPr>
          <w:p>
            <w:pPr>
              <w:spacing w:after="0"/>
              <w:rPr>
                <w:sz w:val="13"/>
                <w:szCs w:val="13"/>
                <w:color w:val="auto"/>
              </w:rPr>
            </w:pPr>
          </w:p>
        </w:tc>
        <w:tc>
          <w:tcPr>
            <w:tcW w:w="1000" w:type="dxa"/>
            <w:vAlign w:val="bottom"/>
            <w:tcBorders>
              <w:bottom w:val="single" w:sz="8" w:color="auto"/>
            </w:tcBorders>
          </w:tcPr>
          <w:p>
            <w:pPr>
              <w:ind w:left="420"/>
              <w:spacing w:after="0"/>
              <w:rPr>
                <w:sz w:val="20"/>
                <w:szCs w:val="20"/>
                <w:color w:val="auto"/>
              </w:rPr>
            </w:pPr>
            <w:r>
              <w:rPr>
                <w:rFonts w:ascii="Arial" w:cs="Arial" w:eastAsia="Arial" w:hAnsi="Arial"/>
                <w:sz w:val="13"/>
                <w:szCs w:val="13"/>
                <w:b w:val="1"/>
                <w:bCs w:val="1"/>
                <w:color w:val="auto"/>
              </w:rPr>
              <w:t>Level 1</w:t>
            </w:r>
          </w:p>
        </w:tc>
        <w:tc>
          <w:tcPr>
            <w:tcW w:w="220" w:type="dxa"/>
            <w:vAlign w:val="bottom"/>
            <w:tcBorders>
              <w:bottom w:val="single" w:sz="8" w:color="auto"/>
            </w:tcBorders>
          </w:tcPr>
          <w:p>
            <w:pPr>
              <w:spacing w:after="0"/>
              <w:rPr>
                <w:sz w:val="13"/>
                <w:szCs w:val="13"/>
                <w:color w:val="auto"/>
              </w:rPr>
            </w:pPr>
          </w:p>
        </w:tc>
        <w:tc>
          <w:tcPr>
            <w:tcW w:w="240" w:type="dxa"/>
            <w:vAlign w:val="bottom"/>
            <w:tcBorders>
              <w:bottom w:val="single" w:sz="8" w:color="CCEEFF"/>
            </w:tcBorders>
          </w:tcPr>
          <w:p>
            <w:pPr>
              <w:spacing w:after="0"/>
              <w:rPr>
                <w:sz w:val="13"/>
                <w:szCs w:val="13"/>
                <w:color w:val="auto"/>
              </w:rPr>
            </w:pPr>
          </w:p>
        </w:tc>
        <w:tc>
          <w:tcPr>
            <w:tcW w:w="820" w:type="dxa"/>
            <w:vAlign w:val="bottom"/>
            <w:tcBorders>
              <w:bottom w:val="single" w:sz="8" w:color="auto"/>
            </w:tcBorders>
          </w:tcPr>
          <w:p>
            <w:pPr>
              <w:ind w:left="400"/>
              <w:spacing w:after="0"/>
              <w:rPr>
                <w:sz w:val="20"/>
                <w:szCs w:val="20"/>
                <w:color w:val="auto"/>
              </w:rPr>
            </w:pPr>
            <w:r>
              <w:rPr>
                <w:rFonts w:ascii="Arial" w:cs="Arial" w:eastAsia="Arial" w:hAnsi="Arial"/>
                <w:sz w:val="13"/>
                <w:szCs w:val="13"/>
                <w:b w:val="1"/>
                <w:bCs w:val="1"/>
                <w:color w:val="auto"/>
                <w:w w:val="90"/>
              </w:rPr>
              <w:t>Level 2</w:t>
            </w:r>
          </w:p>
        </w:tc>
        <w:tc>
          <w:tcPr>
            <w:tcW w:w="380" w:type="dxa"/>
            <w:vAlign w:val="bottom"/>
            <w:tcBorders>
              <w:bottom w:val="single" w:sz="8" w:color="auto"/>
            </w:tcBorders>
          </w:tcPr>
          <w:p>
            <w:pPr>
              <w:spacing w:after="0"/>
              <w:rPr>
                <w:sz w:val="13"/>
                <w:szCs w:val="13"/>
                <w:color w:val="auto"/>
              </w:rPr>
            </w:pPr>
          </w:p>
        </w:tc>
        <w:tc>
          <w:tcPr>
            <w:tcW w:w="220" w:type="dxa"/>
            <w:vAlign w:val="bottom"/>
            <w:tcBorders>
              <w:bottom w:val="single" w:sz="8" w:color="CCEEFF"/>
            </w:tcBorders>
          </w:tcPr>
          <w:p>
            <w:pPr>
              <w:spacing w:after="0"/>
              <w:rPr>
                <w:sz w:val="13"/>
                <w:szCs w:val="13"/>
                <w:color w:val="auto"/>
              </w:rPr>
            </w:pPr>
          </w:p>
        </w:tc>
        <w:tc>
          <w:tcPr>
            <w:tcW w:w="860" w:type="dxa"/>
            <w:vAlign w:val="bottom"/>
            <w:tcBorders>
              <w:bottom w:val="single" w:sz="8" w:color="auto"/>
            </w:tcBorders>
          </w:tcPr>
          <w:p>
            <w:pPr>
              <w:ind w:left="400"/>
              <w:spacing w:after="0"/>
              <w:rPr>
                <w:sz w:val="20"/>
                <w:szCs w:val="20"/>
                <w:color w:val="auto"/>
              </w:rPr>
            </w:pPr>
            <w:r>
              <w:rPr>
                <w:rFonts w:ascii="Arial" w:cs="Arial" w:eastAsia="Arial" w:hAnsi="Arial"/>
                <w:sz w:val="13"/>
                <w:szCs w:val="13"/>
                <w:b w:val="1"/>
                <w:bCs w:val="1"/>
                <w:color w:val="auto"/>
                <w:w w:val="99"/>
              </w:rPr>
              <w:t>Level 3</w:t>
            </w:r>
          </w:p>
        </w:tc>
        <w:tc>
          <w:tcPr>
            <w:tcW w:w="340" w:type="dxa"/>
            <w:vAlign w:val="bottom"/>
            <w:tcBorders>
              <w:bottom w:val="single" w:sz="8" w:color="auto"/>
            </w:tcBorders>
          </w:tcPr>
          <w:p>
            <w:pPr>
              <w:spacing w:after="0"/>
              <w:rPr>
                <w:sz w:val="13"/>
                <w:szCs w:val="13"/>
                <w:color w:val="auto"/>
              </w:rPr>
            </w:pPr>
          </w:p>
        </w:tc>
        <w:tc>
          <w:tcPr>
            <w:tcW w:w="220" w:type="dxa"/>
            <w:vAlign w:val="bottom"/>
            <w:tcBorders>
              <w:bottom w:val="single" w:sz="8" w:color="CCEEFF"/>
            </w:tcBorders>
          </w:tcPr>
          <w:p>
            <w:pPr>
              <w:spacing w:after="0"/>
              <w:rPr>
                <w:sz w:val="13"/>
                <w:szCs w:val="13"/>
                <w:color w:val="auto"/>
              </w:rPr>
            </w:pPr>
          </w:p>
        </w:tc>
        <w:tc>
          <w:tcPr>
            <w:tcW w:w="1200" w:type="dxa"/>
            <w:vAlign w:val="bottom"/>
            <w:tcBorders>
              <w:bottom w:val="single" w:sz="8" w:color="auto"/>
            </w:tcBorders>
          </w:tcPr>
          <w:p>
            <w:pPr>
              <w:jc w:val="right"/>
              <w:ind w:right="396"/>
              <w:spacing w:after="0"/>
              <w:rPr>
                <w:sz w:val="20"/>
                <w:szCs w:val="20"/>
                <w:color w:val="auto"/>
              </w:rPr>
            </w:pPr>
            <w:r>
              <w:rPr>
                <w:rFonts w:ascii="Arial" w:cs="Arial" w:eastAsia="Arial" w:hAnsi="Arial"/>
                <w:sz w:val="13"/>
                <w:szCs w:val="13"/>
                <w:b w:val="1"/>
                <w:bCs w:val="1"/>
                <w:color w:val="auto"/>
              </w:rPr>
              <w:t>Total</w:t>
            </w:r>
          </w:p>
        </w:tc>
        <w:tc>
          <w:tcPr>
            <w:tcW w:w="100" w:type="dxa"/>
            <w:vAlign w:val="bottom"/>
            <w:tcBorders>
              <w:bottom w:val="single" w:sz="8" w:color="CCEEFF"/>
            </w:tcBorders>
            <w:gridSpan w:val="2"/>
          </w:tcPr>
          <w:p>
            <w:pPr>
              <w:spacing w:after="0"/>
              <w:rPr>
                <w:sz w:val="13"/>
                <w:szCs w:val="13"/>
                <w:color w:val="auto"/>
              </w:rPr>
            </w:pPr>
          </w:p>
        </w:tc>
        <w:tc>
          <w:tcPr>
            <w:tcW w:w="0" w:type="dxa"/>
            <w:vAlign w:val="bottom"/>
          </w:tcPr>
          <w:p>
            <w:pPr>
              <w:spacing w:after="0"/>
              <w:rPr>
                <w:sz w:val="1"/>
                <w:szCs w:val="1"/>
                <w:color w:val="auto"/>
              </w:rPr>
            </w:pPr>
          </w:p>
        </w:tc>
      </w:tr>
      <w:tr>
        <w:trPr>
          <w:trHeight w:val="124"/>
        </w:trPr>
        <w:tc>
          <w:tcPr>
            <w:tcW w:w="20" w:type="dxa"/>
            <w:vAlign w:val="bottom"/>
          </w:tcPr>
          <w:p>
            <w:pPr>
              <w:spacing w:after="0"/>
              <w:rPr>
                <w:sz w:val="10"/>
                <w:szCs w:val="10"/>
                <w:color w:val="auto"/>
              </w:rPr>
            </w:pPr>
          </w:p>
        </w:tc>
        <w:tc>
          <w:tcPr>
            <w:tcW w:w="340" w:type="dxa"/>
            <w:vAlign w:val="bottom"/>
            <w:tcBorders>
              <w:bottom w:val="single" w:sz="8" w:color="auto"/>
            </w:tcBorders>
            <w:shd w:val="clear" w:color="auto" w:fill="CCEEFF"/>
          </w:tcPr>
          <w:p>
            <w:pPr>
              <w:spacing w:after="0" w:line="105" w:lineRule="exact"/>
              <w:rPr>
                <w:sz w:val="20"/>
                <w:szCs w:val="20"/>
                <w:color w:val="auto"/>
              </w:rPr>
            </w:pPr>
            <w:r>
              <w:rPr>
                <w:rFonts w:ascii="Arial" w:cs="Arial" w:eastAsia="Arial" w:hAnsi="Arial"/>
                <w:sz w:val="12"/>
                <w:szCs w:val="12"/>
                <w:b w:val="1"/>
                <w:bCs w:val="1"/>
                <w:color w:val="auto"/>
                <w:w w:val="81"/>
              </w:rPr>
              <w:t>Assets</w:t>
            </w:r>
          </w:p>
        </w:tc>
        <w:tc>
          <w:tcPr>
            <w:tcW w:w="5060" w:type="dxa"/>
            <w:vAlign w:val="bottom"/>
            <w:tcBorders>
              <w:bottom w:val="single" w:sz="8" w:color="CCEEFF"/>
            </w:tcBorders>
            <w:gridSpan w:val="2"/>
            <w:shd w:val="clear" w:color="auto" w:fill="CCEEFF"/>
          </w:tcPr>
          <w:p>
            <w:pPr>
              <w:spacing w:after="0"/>
              <w:rPr>
                <w:sz w:val="10"/>
                <w:szCs w:val="10"/>
                <w:color w:val="auto"/>
              </w:rPr>
            </w:pPr>
          </w:p>
        </w:tc>
        <w:tc>
          <w:tcPr>
            <w:tcW w:w="1000" w:type="dxa"/>
            <w:vAlign w:val="bottom"/>
            <w:tcBorders>
              <w:bottom w:val="single" w:sz="8" w:color="CCEEFF"/>
            </w:tcBorders>
            <w:shd w:val="clear" w:color="auto" w:fill="CCEEFF"/>
          </w:tcPr>
          <w:p>
            <w:pPr>
              <w:spacing w:after="0"/>
              <w:rPr>
                <w:sz w:val="10"/>
                <w:szCs w:val="10"/>
                <w:color w:val="auto"/>
              </w:rPr>
            </w:pPr>
          </w:p>
        </w:tc>
        <w:tc>
          <w:tcPr>
            <w:tcW w:w="220" w:type="dxa"/>
            <w:vAlign w:val="bottom"/>
            <w:tcBorders>
              <w:bottom w:val="single" w:sz="8" w:color="CCEEFF"/>
            </w:tcBorders>
            <w:shd w:val="clear" w:color="auto" w:fill="CCEEFF"/>
          </w:tcPr>
          <w:p>
            <w:pPr>
              <w:spacing w:after="0"/>
              <w:rPr>
                <w:sz w:val="10"/>
                <w:szCs w:val="10"/>
                <w:color w:val="auto"/>
              </w:rPr>
            </w:pPr>
          </w:p>
        </w:tc>
        <w:tc>
          <w:tcPr>
            <w:tcW w:w="240" w:type="dxa"/>
            <w:vAlign w:val="bottom"/>
            <w:tcBorders>
              <w:bottom w:val="single" w:sz="8" w:color="CCEEFF"/>
            </w:tcBorders>
            <w:shd w:val="clear" w:color="auto" w:fill="CCEEFF"/>
          </w:tcPr>
          <w:p>
            <w:pPr>
              <w:spacing w:after="0"/>
              <w:rPr>
                <w:sz w:val="10"/>
                <w:szCs w:val="10"/>
                <w:color w:val="auto"/>
              </w:rPr>
            </w:pPr>
          </w:p>
        </w:tc>
        <w:tc>
          <w:tcPr>
            <w:tcW w:w="820" w:type="dxa"/>
            <w:vAlign w:val="bottom"/>
            <w:tcBorders>
              <w:bottom w:val="single" w:sz="8" w:color="CCEEFF"/>
            </w:tcBorders>
            <w:shd w:val="clear" w:color="auto" w:fill="CCEEFF"/>
          </w:tcPr>
          <w:p>
            <w:pPr>
              <w:spacing w:after="0"/>
              <w:rPr>
                <w:sz w:val="10"/>
                <w:szCs w:val="10"/>
                <w:color w:val="auto"/>
              </w:rPr>
            </w:pPr>
          </w:p>
        </w:tc>
        <w:tc>
          <w:tcPr>
            <w:tcW w:w="380" w:type="dxa"/>
            <w:vAlign w:val="bottom"/>
            <w:tcBorders>
              <w:bottom w:val="single" w:sz="8" w:color="CCEEFF"/>
            </w:tcBorders>
            <w:shd w:val="clear" w:color="auto" w:fill="CCEEFF"/>
          </w:tcPr>
          <w:p>
            <w:pPr>
              <w:spacing w:after="0"/>
              <w:rPr>
                <w:sz w:val="10"/>
                <w:szCs w:val="10"/>
                <w:color w:val="auto"/>
              </w:rPr>
            </w:pPr>
          </w:p>
        </w:tc>
        <w:tc>
          <w:tcPr>
            <w:tcW w:w="220" w:type="dxa"/>
            <w:vAlign w:val="bottom"/>
            <w:tcBorders>
              <w:bottom w:val="single" w:sz="8" w:color="CCEEFF"/>
            </w:tcBorders>
            <w:shd w:val="clear" w:color="auto" w:fill="CCEEFF"/>
          </w:tcPr>
          <w:p>
            <w:pPr>
              <w:spacing w:after="0"/>
              <w:rPr>
                <w:sz w:val="10"/>
                <w:szCs w:val="10"/>
                <w:color w:val="auto"/>
              </w:rPr>
            </w:pPr>
          </w:p>
        </w:tc>
        <w:tc>
          <w:tcPr>
            <w:tcW w:w="860" w:type="dxa"/>
            <w:vAlign w:val="bottom"/>
            <w:tcBorders>
              <w:bottom w:val="single" w:sz="8" w:color="CCEEFF"/>
            </w:tcBorders>
            <w:shd w:val="clear" w:color="auto" w:fill="CCEEFF"/>
          </w:tcPr>
          <w:p>
            <w:pPr>
              <w:spacing w:after="0"/>
              <w:rPr>
                <w:sz w:val="10"/>
                <w:szCs w:val="10"/>
                <w:color w:val="auto"/>
              </w:rPr>
            </w:pPr>
          </w:p>
        </w:tc>
        <w:tc>
          <w:tcPr>
            <w:tcW w:w="340" w:type="dxa"/>
            <w:vAlign w:val="bottom"/>
            <w:tcBorders>
              <w:bottom w:val="single" w:sz="8" w:color="CCEEFF"/>
            </w:tcBorders>
            <w:shd w:val="clear" w:color="auto" w:fill="CCEEFF"/>
          </w:tcPr>
          <w:p>
            <w:pPr>
              <w:spacing w:after="0"/>
              <w:rPr>
                <w:sz w:val="10"/>
                <w:szCs w:val="10"/>
                <w:color w:val="auto"/>
              </w:rPr>
            </w:pPr>
          </w:p>
        </w:tc>
        <w:tc>
          <w:tcPr>
            <w:tcW w:w="220" w:type="dxa"/>
            <w:vAlign w:val="bottom"/>
            <w:tcBorders>
              <w:bottom w:val="single" w:sz="8" w:color="CCEEFF"/>
            </w:tcBorders>
            <w:shd w:val="clear" w:color="auto" w:fill="CCEEFF"/>
          </w:tcPr>
          <w:p>
            <w:pPr>
              <w:spacing w:after="0"/>
              <w:rPr>
                <w:sz w:val="10"/>
                <w:szCs w:val="10"/>
                <w:color w:val="auto"/>
              </w:rPr>
            </w:pPr>
          </w:p>
        </w:tc>
        <w:tc>
          <w:tcPr>
            <w:tcW w:w="1200" w:type="dxa"/>
            <w:vAlign w:val="bottom"/>
            <w:tcBorders>
              <w:bottom w:val="single" w:sz="8" w:color="CCEEFF"/>
            </w:tcBorders>
            <w:shd w:val="clear" w:color="auto" w:fill="CCEEFF"/>
          </w:tcPr>
          <w:p>
            <w:pPr>
              <w:spacing w:after="0"/>
              <w:rPr>
                <w:sz w:val="10"/>
                <w:szCs w:val="10"/>
                <w:color w:val="auto"/>
              </w:rPr>
            </w:pPr>
          </w:p>
        </w:tc>
        <w:tc>
          <w:tcPr>
            <w:tcW w:w="20" w:type="dxa"/>
            <w:vAlign w:val="bottom"/>
            <w:tcBorders>
              <w:bottom w:val="single" w:sz="8" w:color="CCEEFF"/>
            </w:tcBorders>
            <w:shd w:val="clear" w:color="auto" w:fill="CCEEFF"/>
          </w:tcPr>
          <w:p>
            <w:pPr>
              <w:spacing w:after="0"/>
              <w:rPr>
                <w:sz w:val="10"/>
                <w:szCs w:val="10"/>
                <w:color w:val="auto"/>
              </w:rPr>
            </w:pPr>
          </w:p>
        </w:tc>
        <w:tc>
          <w:tcPr>
            <w:tcW w:w="80" w:type="dxa"/>
            <w:vAlign w:val="bottom"/>
            <w:tcBorders>
              <w:bottom w:val="single" w:sz="8" w:color="CCEEFF"/>
            </w:tcBorders>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400" w:type="dxa"/>
            <w:vAlign w:val="bottom"/>
            <w:gridSpan w:val="4"/>
          </w:tcPr>
          <w:p>
            <w:pPr>
              <w:spacing w:after="0"/>
              <w:rPr>
                <w:sz w:val="20"/>
                <w:szCs w:val="20"/>
                <w:color w:val="auto"/>
              </w:rPr>
            </w:pPr>
            <w:r>
              <w:rPr>
                <w:rFonts w:ascii="Arial" w:cs="Arial" w:eastAsia="Arial" w:hAnsi="Arial"/>
                <w:sz w:val="13"/>
                <w:szCs w:val="13"/>
                <w:color w:val="auto"/>
              </w:rPr>
              <w:t>Securities and other financial assets:</w:t>
            </w:r>
          </w:p>
        </w:tc>
        <w:tc>
          <w:tcPr>
            <w:tcW w:w="2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3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3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83"/>
        </w:trPr>
        <w:tc>
          <w:tcPr>
            <w:tcW w:w="20" w:type="dxa"/>
            <w:vAlign w:val="bottom"/>
          </w:tcPr>
          <w:p>
            <w:pPr>
              <w:spacing w:after="0"/>
              <w:rPr>
                <w:sz w:val="15"/>
                <w:szCs w:val="15"/>
                <w:color w:val="auto"/>
              </w:rPr>
            </w:pPr>
          </w:p>
        </w:tc>
        <w:tc>
          <w:tcPr>
            <w:tcW w:w="6400" w:type="dxa"/>
            <w:vAlign w:val="bottom"/>
            <w:gridSpan w:val="4"/>
            <w:shd w:val="clear" w:color="auto" w:fill="CCEEFF"/>
          </w:tcPr>
          <w:p>
            <w:pPr>
              <w:ind w:left="100"/>
              <w:spacing w:after="0" w:line="183" w:lineRule="exact"/>
              <w:rPr>
                <w:sz w:val="20"/>
                <w:szCs w:val="20"/>
                <w:color w:val="auto"/>
              </w:rPr>
            </w:pPr>
            <w:r>
              <w:rPr>
                <w:rFonts w:ascii="Arial" w:cs="Arial" w:eastAsia="Arial" w:hAnsi="Arial"/>
                <w:sz w:val="13"/>
                <w:szCs w:val="13"/>
                <w:color w:val="auto"/>
              </w:rPr>
              <w:t xml:space="preserve">Securities at FVOCI - Corporate debt </w:t>
            </w:r>
            <w:r>
              <w:rPr>
                <w:rFonts w:ascii="Arial" w:cs="Arial" w:eastAsia="Arial" w:hAnsi="Arial"/>
                <w:sz w:val="21"/>
                <w:szCs w:val="21"/>
                <w:color w:val="auto"/>
                <w:vertAlign w:val="superscript"/>
              </w:rPr>
              <w:t>(1)</w:t>
            </w:r>
          </w:p>
        </w:tc>
        <w:tc>
          <w:tcPr>
            <w:tcW w:w="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5"/>
                <w:szCs w:val="15"/>
                <w:color w:val="auto"/>
              </w:rPr>
            </w:pPr>
          </w:p>
        </w:tc>
        <w:tc>
          <w:tcPr>
            <w:tcW w:w="820" w:type="dxa"/>
            <w:vAlign w:val="bottom"/>
            <w:shd w:val="clear" w:color="auto" w:fill="CCEEFF"/>
          </w:tcPr>
          <w:p>
            <w:pPr>
              <w:spacing w:after="0"/>
              <w:rPr>
                <w:sz w:val="15"/>
                <w:szCs w:val="15"/>
                <w:color w:val="auto"/>
              </w:rPr>
            </w:pPr>
          </w:p>
        </w:tc>
        <w:tc>
          <w:tcPr>
            <w:tcW w:w="6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6,157</w:t>
            </w:r>
          </w:p>
        </w:tc>
        <w:tc>
          <w:tcPr>
            <w:tcW w:w="860" w:type="dxa"/>
            <w:vAlign w:val="bottom"/>
            <w:shd w:val="clear" w:color="auto" w:fill="CCEEFF"/>
          </w:tcPr>
          <w:p>
            <w:pPr>
              <w:spacing w:after="0"/>
              <w:rPr>
                <w:sz w:val="15"/>
                <w:szCs w:val="15"/>
                <w:color w:val="auto"/>
              </w:rPr>
            </w:pPr>
          </w:p>
        </w:tc>
        <w:tc>
          <w:tcPr>
            <w:tcW w:w="5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6,157</w:t>
            </w:r>
          </w:p>
        </w:tc>
        <w:tc>
          <w:tcPr>
            <w:tcW w:w="8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83"/>
        </w:trPr>
        <w:tc>
          <w:tcPr>
            <w:tcW w:w="20" w:type="dxa"/>
            <w:vAlign w:val="bottom"/>
          </w:tcPr>
          <w:p>
            <w:pPr>
              <w:spacing w:after="0"/>
              <w:rPr>
                <w:sz w:val="15"/>
                <w:szCs w:val="15"/>
                <w:color w:val="auto"/>
              </w:rPr>
            </w:pPr>
          </w:p>
        </w:tc>
        <w:tc>
          <w:tcPr>
            <w:tcW w:w="6400" w:type="dxa"/>
            <w:vAlign w:val="bottom"/>
            <w:gridSpan w:val="4"/>
          </w:tcPr>
          <w:p>
            <w:pPr>
              <w:ind w:left="100"/>
              <w:spacing w:after="0" w:line="183" w:lineRule="exact"/>
              <w:rPr>
                <w:sz w:val="20"/>
                <w:szCs w:val="20"/>
                <w:color w:val="auto"/>
              </w:rPr>
            </w:pPr>
            <w:r>
              <w:rPr>
                <w:rFonts w:ascii="Arial" w:cs="Arial" w:eastAsia="Arial" w:hAnsi="Arial"/>
                <w:sz w:val="13"/>
                <w:szCs w:val="13"/>
                <w:color w:val="auto"/>
              </w:rPr>
              <w:t xml:space="preserve">Securities at FVOCI - Sovereign debt </w:t>
            </w:r>
            <w:r>
              <w:rPr>
                <w:rFonts w:ascii="Arial" w:cs="Arial" w:eastAsia="Arial" w:hAnsi="Arial"/>
                <w:sz w:val="21"/>
                <w:szCs w:val="21"/>
                <w:color w:val="auto"/>
                <w:vertAlign w:val="superscript"/>
              </w:rPr>
              <w:t>(1)</w:t>
            </w:r>
          </w:p>
        </w:tc>
        <w:tc>
          <w:tcPr>
            <w:tcW w:w="22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5"/>
                <w:szCs w:val="15"/>
                <w:color w:val="auto"/>
              </w:rPr>
            </w:pPr>
          </w:p>
        </w:tc>
        <w:tc>
          <w:tcPr>
            <w:tcW w:w="820" w:type="dxa"/>
            <w:vAlign w:val="bottom"/>
          </w:tcPr>
          <w:p>
            <w:pPr>
              <w:spacing w:after="0"/>
              <w:rPr>
                <w:sz w:val="15"/>
                <w:szCs w:val="15"/>
                <w:color w:val="auto"/>
              </w:rPr>
            </w:pPr>
          </w:p>
        </w:tc>
        <w:tc>
          <w:tcPr>
            <w:tcW w:w="600" w:type="dxa"/>
            <w:vAlign w:val="bottom"/>
            <w:gridSpan w:val="2"/>
          </w:tcPr>
          <w:p>
            <w:pPr>
              <w:jc w:val="right"/>
              <w:ind w:right="220"/>
              <w:spacing w:after="0"/>
              <w:rPr>
                <w:sz w:val="20"/>
                <w:szCs w:val="20"/>
                <w:color w:val="auto"/>
              </w:rPr>
            </w:pPr>
            <w:r>
              <w:rPr>
                <w:rFonts w:ascii="Arial" w:cs="Arial" w:eastAsia="Arial" w:hAnsi="Arial"/>
                <w:sz w:val="13"/>
                <w:szCs w:val="13"/>
                <w:color w:val="auto"/>
                <w:w w:val="90"/>
              </w:rPr>
              <w:t>15,641</w:t>
            </w:r>
          </w:p>
        </w:tc>
        <w:tc>
          <w:tcPr>
            <w:tcW w:w="860" w:type="dxa"/>
            <w:vAlign w:val="bottom"/>
          </w:tcPr>
          <w:p>
            <w:pPr>
              <w:spacing w:after="0"/>
              <w:rPr>
                <w:sz w:val="15"/>
                <w:szCs w:val="15"/>
                <w:color w:val="auto"/>
              </w:rPr>
            </w:pPr>
          </w:p>
        </w:tc>
        <w:tc>
          <w:tcPr>
            <w:tcW w:w="56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220" w:type="dxa"/>
            <w:vAlign w:val="bottom"/>
            <w:gridSpan w:val="2"/>
          </w:tcPr>
          <w:p>
            <w:pPr>
              <w:jc w:val="right"/>
              <w:ind w:right="20"/>
              <w:spacing w:after="0"/>
              <w:rPr>
                <w:sz w:val="20"/>
                <w:szCs w:val="20"/>
                <w:color w:val="auto"/>
              </w:rPr>
            </w:pPr>
            <w:r>
              <w:rPr>
                <w:rFonts w:ascii="Arial" w:cs="Arial" w:eastAsia="Arial" w:hAnsi="Arial"/>
                <w:sz w:val="13"/>
                <w:szCs w:val="13"/>
                <w:color w:val="auto"/>
              </w:rPr>
              <w:t>15,641</w:t>
            </w: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83"/>
        </w:trPr>
        <w:tc>
          <w:tcPr>
            <w:tcW w:w="20" w:type="dxa"/>
            <w:vAlign w:val="bottom"/>
          </w:tcPr>
          <w:p>
            <w:pPr>
              <w:spacing w:after="0"/>
              <w:rPr>
                <w:sz w:val="15"/>
                <w:szCs w:val="15"/>
                <w:color w:val="auto"/>
              </w:rPr>
            </w:pPr>
          </w:p>
        </w:tc>
        <w:tc>
          <w:tcPr>
            <w:tcW w:w="6400" w:type="dxa"/>
            <w:vAlign w:val="bottom"/>
            <w:gridSpan w:val="4"/>
            <w:shd w:val="clear" w:color="auto" w:fill="CCEEFF"/>
          </w:tcPr>
          <w:p>
            <w:pPr>
              <w:ind w:left="100"/>
              <w:spacing w:after="0" w:line="183" w:lineRule="exact"/>
              <w:rPr>
                <w:sz w:val="20"/>
                <w:szCs w:val="20"/>
                <w:color w:val="auto"/>
              </w:rPr>
            </w:pPr>
            <w:r>
              <w:rPr>
                <w:rFonts w:ascii="Arial" w:cs="Arial" w:eastAsia="Arial" w:hAnsi="Arial"/>
                <w:sz w:val="13"/>
                <w:szCs w:val="13"/>
                <w:color w:val="auto"/>
              </w:rPr>
              <w:t xml:space="preserve">Equity instrument at FVOCI </w:t>
            </w:r>
            <w:r>
              <w:rPr>
                <w:rFonts w:ascii="Arial" w:cs="Arial" w:eastAsia="Arial" w:hAnsi="Arial"/>
                <w:sz w:val="21"/>
                <w:szCs w:val="21"/>
                <w:color w:val="auto"/>
                <w:vertAlign w:val="superscript"/>
              </w:rPr>
              <w:t>(1)</w:t>
            </w:r>
          </w:p>
        </w:tc>
        <w:tc>
          <w:tcPr>
            <w:tcW w:w="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5"/>
                <w:szCs w:val="15"/>
                <w:color w:val="auto"/>
              </w:rPr>
            </w:pPr>
          </w:p>
        </w:tc>
        <w:tc>
          <w:tcPr>
            <w:tcW w:w="820" w:type="dxa"/>
            <w:vAlign w:val="bottom"/>
            <w:shd w:val="clear" w:color="auto" w:fill="CCEEFF"/>
          </w:tcPr>
          <w:p>
            <w:pPr>
              <w:spacing w:after="0"/>
              <w:rPr>
                <w:sz w:val="15"/>
                <w:szCs w:val="15"/>
                <w:color w:val="auto"/>
              </w:rPr>
            </w:pPr>
          </w:p>
        </w:tc>
        <w:tc>
          <w:tcPr>
            <w:tcW w:w="6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6,273</w:t>
            </w:r>
          </w:p>
        </w:tc>
        <w:tc>
          <w:tcPr>
            <w:tcW w:w="860" w:type="dxa"/>
            <w:vAlign w:val="bottom"/>
            <w:shd w:val="clear" w:color="auto" w:fill="CCEEFF"/>
          </w:tcPr>
          <w:p>
            <w:pPr>
              <w:spacing w:after="0"/>
              <w:rPr>
                <w:sz w:val="15"/>
                <w:szCs w:val="15"/>
                <w:color w:val="auto"/>
              </w:rPr>
            </w:pPr>
          </w:p>
        </w:tc>
        <w:tc>
          <w:tcPr>
            <w:tcW w:w="5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6,273</w:t>
            </w:r>
          </w:p>
        </w:tc>
        <w:tc>
          <w:tcPr>
            <w:tcW w:w="8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6400" w:type="dxa"/>
            <w:vAlign w:val="bottom"/>
            <w:gridSpan w:val="4"/>
          </w:tcPr>
          <w:p>
            <w:pPr>
              <w:ind w:left="100"/>
              <w:spacing w:after="0"/>
              <w:rPr>
                <w:sz w:val="20"/>
                <w:szCs w:val="20"/>
                <w:color w:val="auto"/>
              </w:rPr>
            </w:pPr>
            <w:r>
              <w:rPr>
                <w:rFonts w:ascii="Arial" w:cs="Arial" w:eastAsia="Arial" w:hAnsi="Arial"/>
                <w:sz w:val="13"/>
                <w:szCs w:val="13"/>
                <w:color w:val="auto"/>
              </w:rPr>
              <w:t>Debt instrument at fair value through profit or loss</w:t>
            </w:r>
          </w:p>
        </w:tc>
        <w:tc>
          <w:tcPr>
            <w:tcW w:w="22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60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860" w:type="dxa"/>
            <w:vAlign w:val="bottom"/>
          </w:tcPr>
          <w:p>
            <w:pPr>
              <w:spacing w:after="0"/>
              <w:rPr>
                <w:sz w:val="14"/>
                <w:szCs w:val="14"/>
                <w:color w:val="auto"/>
              </w:rPr>
            </w:pPr>
          </w:p>
        </w:tc>
        <w:tc>
          <w:tcPr>
            <w:tcW w:w="560" w:type="dxa"/>
            <w:vAlign w:val="bottom"/>
            <w:gridSpan w:val="2"/>
          </w:tcPr>
          <w:p>
            <w:pPr>
              <w:jc w:val="right"/>
              <w:ind w:right="220"/>
              <w:spacing w:after="0"/>
              <w:rPr>
                <w:sz w:val="20"/>
                <w:szCs w:val="20"/>
                <w:color w:val="auto"/>
              </w:rPr>
            </w:pPr>
            <w:r>
              <w:rPr>
                <w:rFonts w:ascii="Arial" w:cs="Arial" w:eastAsia="Arial" w:hAnsi="Arial"/>
                <w:sz w:val="13"/>
                <w:szCs w:val="13"/>
                <w:color w:val="auto"/>
                <w:w w:val="98"/>
              </w:rPr>
              <w:t>8,750</w:t>
            </w:r>
          </w:p>
        </w:tc>
        <w:tc>
          <w:tcPr>
            <w:tcW w:w="1220" w:type="dxa"/>
            <w:vAlign w:val="bottom"/>
            <w:gridSpan w:val="2"/>
          </w:tcPr>
          <w:p>
            <w:pPr>
              <w:jc w:val="right"/>
              <w:ind w:right="20"/>
              <w:spacing w:after="0"/>
              <w:rPr>
                <w:sz w:val="20"/>
                <w:szCs w:val="20"/>
                <w:color w:val="auto"/>
              </w:rPr>
            </w:pPr>
            <w:r>
              <w:rPr>
                <w:rFonts w:ascii="Arial" w:cs="Arial" w:eastAsia="Arial" w:hAnsi="Arial"/>
                <w:sz w:val="13"/>
                <w:szCs w:val="13"/>
                <w:color w:val="auto"/>
              </w:rPr>
              <w:t>8,750</w:t>
            </w: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400" w:type="dxa"/>
            <w:vAlign w:val="bottom"/>
            <w:tcBorders>
              <w:top w:val="single" w:sz="8" w:color="CCEEFF"/>
            </w:tcBorders>
            <w:gridSpan w:val="3"/>
            <w:shd w:val="clear" w:color="auto" w:fill="CCEEFF"/>
          </w:tcPr>
          <w:p>
            <w:pPr>
              <w:spacing w:after="0" w:line="143" w:lineRule="exact"/>
              <w:rPr>
                <w:sz w:val="20"/>
                <w:szCs w:val="20"/>
                <w:color w:val="auto"/>
              </w:rPr>
            </w:pPr>
            <w:r>
              <w:rPr>
                <w:rFonts w:ascii="Arial" w:cs="Arial" w:eastAsia="Arial" w:hAnsi="Arial"/>
                <w:sz w:val="13"/>
                <w:szCs w:val="13"/>
                <w:color w:val="auto"/>
              </w:rPr>
              <w:t>Total securities and other financial assets</w:t>
            </w:r>
          </w:p>
        </w:tc>
        <w:tc>
          <w:tcPr>
            <w:tcW w:w="1000" w:type="dxa"/>
            <w:vAlign w:val="bottom"/>
            <w:tcBorders>
              <w:top w:val="single" w:sz="8" w:color="auto"/>
              <w:bottom w:val="single" w:sz="8" w:color="auto"/>
            </w:tcBorders>
            <w:shd w:val="clear" w:color="auto" w:fill="CCEEFF"/>
          </w:tcPr>
          <w:p>
            <w:pPr>
              <w:spacing w:after="0"/>
              <w:rPr>
                <w:sz w:val="12"/>
                <w:szCs w:val="12"/>
                <w:color w:val="auto"/>
              </w:rPr>
            </w:pPr>
          </w:p>
        </w:tc>
        <w:tc>
          <w:tcPr>
            <w:tcW w:w="2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4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bottom w:val="single" w:sz="8" w:color="auto"/>
            </w:tcBorders>
            <w:shd w:val="clear" w:color="auto" w:fill="CCEEFF"/>
          </w:tcPr>
          <w:p>
            <w:pPr>
              <w:spacing w:after="0"/>
              <w:rPr>
                <w:sz w:val="12"/>
                <w:szCs w:val="12"/>
                <w:color w:val="auto"/>
              </w:rPr>
            </w:pPr>
          </w:p>
        </w:tc>
        <w:tc>
          <w:tcPr>
            <w:tcW w:w="3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w w:val="90"/>
              </w:rPr>
              <w:t>28,071</w:t>
            </w: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bottom w:val="single" w:sz="8" w:color="auto"/>
            </w:tcBorders>
            <w:shd w:val="clear" w:color="auto" w:fill="CCEEFF"/>
          </w:tcPr>
          <w:p>
            <w:pPr>
              <w:spacing w:after="0"/>
              <w:rPr>
                <w:sz w:val="12"/>
                <w:szCs w:val="12"/>
                <w:color w:val="auto"/>
              </w:rPr>
            </w:pPr>
          </w:p>
        </w:tc>
        <w:tc>
          <w:tcPr>
            <w:tcW w:w="3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w w:val="98"/>
              </w:rPr>
              <w:t>8,750</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36,821</w:t>
            </w: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3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486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3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3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400" w:type="dxa"/>
            <w:vAlign w:val="bottom"/>
            <w:gridSpan w:val="4"/>
            <w:shd w:val="clear" w:color="auto" w:fill="CCEEFF"/>
          </w:tcPr>
          <w:p>
            <w:pPr>
              <w:spacing w:after="0"/>
              <w:rPr>
                <w:sz w:val="20"/>
                <w:szCs w:val="20"/>
                <w:color w:val="auto"/>
              </w:rPr>
            </w:pPr>
            <w:r>
              <w:rPr>
                <w:rFonts w:ascii="Arial" w:cs="Arial" w:eastAsia="Arial" w:hAnsi="Arial"/>
                <w:sz w:val="13"/>
                <w:szCs w:val="13"/>
                <w:color w:val="auto"/>
              </w:rPr>
              <w:t>Derivative financial instruments - assets:</w:t>
            </w:r>
          </w:p>
        </w:tc>
        <w:tc>
          <w:tcPr>
            <w:tcW w:w="2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3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3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400" w:type="dxa"/>
            <w:vAlign w:val="bottom"/>
            <w:gridSpan w:val="4"/>
          </w:tcPr>
          <w:p>
            <w:pPr>
              <w:ind w:left="100"/>
              <w:spacing w:after="0"/>
              <w:rPr>
                <w:sz w:val="20"/>
                <w:szCs w:val="20"/>
                <w:color w:val="auto"/>
              </w:rPr>
            </w:pPr>
            <w:r>
              <w:rPr>
                <w:rFonts w:ascii="Arial" w:cs="Arial" w:eastAsia="Arial" w:hAnsi="Arial"/>
                <w:sz w:val="13"/>
                <w:szCs w:val="13"/>
                <w:color w:val="auto"/>
              </w:rPr>
              <w:t>Interest rate swaps</w:t>
            </w:r>
          </w:p>
        </w:tc>
        <w:tc>
          <w:tcPr>
            <w:tcW w:w="22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600" w:type="dxa"/>
            <w:vAlign w:val="bottom"/>
            <w:gridSpan w:val="2"/>
          </w:tcPr>
          <w:p>
            <w:pPr>
              <w:jc w:val="right"/>
              <w:ind w:right="220"/>
              <w:spacing w:after="0"/>
              <w:rPr>
                <w:sz w:val="20"/>
                <w:szCs w:val="20"/>
                <w:color w:val="auto"/>
              </w:rPr>
            </w:pPr>
            <w:r>
              <w:rPr>
                <w:rFonts w:ascii="Arial" w:cs="Arial" w:eastAsia="Arial" w:hAnsi="Arial"/>
                <w:sz w:val="13"/>
                <w:szCs w:val="13"/>
                <w:color w:val="auto"/>
              </w:rPr>
              <w:t>621</w:t>
            </w:r>
          </w:p>
        </w:tc>
        <w:tc>
          <w:tcPr>
            <w:tcW w:w="860" w:type="dxa"/>
            <w:vAlign w:val="bottom"/>
          </w:tcPr>
          <w:p>
            <w:pPr>
              <w:spacing w:after="0"/>
              <w:rPr>
                <w:sz w:val="13"/>
                <w:szCs w:val="13"/>
                <w:color w:val="auto"/>
              </w:rPr>
            </w:pPr>
          </w:p>
        </w:tc>
        <w:tc>
          <w:tcPr>
            <w:tcW w:w="56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220" w:type="dxa"/>
            <w:vAlign w:val="bottom"/>
            <w:gridSpan w:val="2"/>
          </w:tcPr>
          <w:p>
            <w:pPr>
              <w:jc w:val="right"/>
              <w:ind w:right="20"/>
              <w:spacing w:after="0"/>
              <w:rPr>
                <w:sz w:val="20"/>
                <w:szCs w:val="20"/>
                <w:color w:val="auto"/>
              </w:rPr>
            </w:pPr>
            <w:r>
              <w:rPr>
                <w:rFonts w:ascii="Arial" w:cs="Arial" w:eastAsia="Arial" w:hAnsi="Arial"/>
                <w:sz w:val="13"/>
                <w:szCs w:val="13"/>
                <w:color w:val="auto"/>
              </w:rPr>
              <w:t>621</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400" w:type="dxa"/>
            <w:vAlign w:val="bottom"/>
            <w:gridSpan w:val="4"/>
            <w:shd w:val="clear" w:color="auto" w:fill="CCEEFF"/>
          </w:tcPr>
          <w:p>
            <w:pPr>
              <w:ind w:left="100"/>
              <w:spacing w:after="0"/>
              <w:rPr>
                <w:sz w:val="20"/>
                <w:szCs w:val="20"/>
                <w:color w:val="auto"/>
              </w:rPr>
            </w:pPr>
            <w:r>
              <w:rPr>
                <w:rFonts w:ascii="Arial" w:cs="Arial" w:eastAsia="Arial" w:hAnsi="Arial"/>
                <w:sz w:val="13"/>
                <w:szCs w:val="13"/>
                <w:color w:val="auto"/>
              </w:rPr>
              <w:t>Cross-currency swaps</w:t>
            </w:r>
          </w:p>
        </w:tc>
        <w:tc>
          <w:tcPr>
            <w:tcW w:w="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6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1,134</w:t>
            </w:r>
          </w:p>
        </w:tc>
        <w:tc>
          <w:tcPr>
            <w:tcW w:w="860" w:type="dxa"/>
            <w:vAlign w:val="bottom"/>
            <w:shd w:val="clear" w:color="auto" w:fill="CCEEFF"/>
          </w:tcPr>
          <w:p>
            <w:pPr>
              <w:spacing w:after="0"/>
              <w:rPr>
                <w:sz w:val="13"/>
                <w:szCs w:val="13"/>
                <w:color w:val="auto"/>
              </w:rPr>
            </w:pPr>
          </w:p>
        </w:tc>
        <w:tc>
          <w:tcPr>
            <w:tcW w:w="5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1,134</w:t>
            </w: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6400" w:type="dxa"/>
            <w:vAlign w:val="bottom"/>
            <w:gridSpan w:val="4"/>
          </w:tcPr>
          <w:p>
            <w:pPr>
              <w:ind w:left="100"/>
              <w:spacing w:after="0"/>
              <w:rPr>
                <w:sz w:val="20"/>
                <w:szCs w:val="20"/>
                <w:color w:val="auto"/>
              </w:rPr>
            </w:pPr>
            <w:r>
              <w:rPr>
                <w:rFonts w:ascii="Arial" w:cs="Arial" w:eastAsia="Arial" w:hAnsi="Arial"/>
                <w:sz w:val="13"/>
                <w:szCs w:val="13"/>
                <w:color w:val="auto"/>
              </w:rPr>
              <w:t>Foreign exchange forwards</w:t>
            </w:r>
          </w:p>
        </w:tc>
        <w:tc>
          <w:tcPr>
            <w:tcW w:w="22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600" w:type="dxa"/>
            <w:vAlign w:val="bottom"/>
            <w:gridSpan w:val="2"/>
          </w:tcPr>
          <w:p>
            <w:pPr>
              <w:jc w:val="right"/>
              <w:ind w:right="220"/>
              <w:spacing w:after="0"/>
              <w:rPr>
                <w:sz w:val="20"/>
                <w:szCs w:val="20"/>
                <w:color w:val="auto"/>
              </w:rPr>
            </w:pPr>
            <w:r>
              <w:rPr>
                <w:rFonts w:ascii="Arial" w:cs="Arial" w:eastAsia="Arial" w:hAnsi="Arial"/>
                <w:sz w:val="13"/>
                <w:szCs w:val="13"/>
                <w:color w:val="auto"/>
              </w:rPr>
              <w:t>933</w:t>
            </w:r>
          </w:p>
        </w:tc>
        <w:tc>
          <w:tcPr>
            <w:tcW w:w="860" w:type="dxa"/>
            <w:vAlign w:val="bottom"/>
          </w:tcPr>
          <w:p>
            <w:pPr>
              <w:spacing w:after="0"/>
              <w:rPr>
                <w:sz w:val="14"/>
                <w:szCs w:val="14"/>
                <w:color w:val="auto"/>
              </w:rPr>
            </w:pPr>
          </w:p>
        </w:tc>
        <w:tc>
          <w:tcPr>
            <w:tcW w:w="56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220" w:type="dxa"/>
            <w:vAlign w:val="bottom"/>
            <w:gridSpan w:val="2"/>
          </w:tcPr>
          <w:p>
            <w:pPr>
              <w:jc w:val="right"/>
              <w:ind w:right="20"/>
              <w:spacing w:after="0"/>
              <w:rPr>
                <w:sz w:val="20"/>
                <w:szCs w:val="20"/>
                <w:color w:val="auto"/>
              </w:rPr>
            </w:pPr>
            <w:r>
              <w:rPr>
                <w:rFonts w:ascii="Arial" w:cs="Arial" w:eastAsia="Arial" w:hAnsi="Arial"/>
                <w:sz w:val="13"/>
                <w:szCs w:val="13"/>
                <w:color w:val="auto"/>
              </w:rPr>
              <w:t>933</w:t>
            </w: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400" w:type="dxa"/>
            <w:vAlign w:val="bottom"/>
            <w:tcBorders>
              <w:top w:val="single" w:sz="8" w:color="CCEEFF"/>
            </w:tcBorders>
            <w:gridSpan w:val="3"/>
            <w:shd w:val="clear" w:color="auto" w:fill="CCEEFF"/>
          </w:tcPr>
          <w:p>
            <w:pPr>
              <w:spacing w:after="0" w:line="143" w:lineRule="exact"/>
              <w:rPr>
                <w:sz w:val="20"/>
                <w:szCs w:val="20"/>
                <w:color w:val="auto"/>
              </w:rPr>
            </w:pPr>
            <w:r>
              <w:rPr>
                <w:rFonts w:ascii="Arial" w:cs="Arial" w:eastAsia="Arial" w:hAnsi="Arial"/>
                <w:sz w:val="13"/>
                <w:szCs w:val="13"/>
                <w:color w:val="auto"/>
              </w:rPr>
              <w:t>Total derivative financial instrument assets</w:t>
            </w:r>
          </w:p>
        </w:tc>
        <w:tc>
          <w:tcPr>
            <w:tcW w:w="1000" w:type="dxa"/>
            <w:vAlign w:val="bottom"/>
            <w:tcBorders>
              <w:top w:val="single" w:sz="8" w:color="auto"/>
              <w:bottom w:val="single" w:sz="8" w:color="auto"/>
            </w:tcBorders>
            <w:shd w:val="clear" w:color="auto" w:fill="CCEEFF"/>
          </w:tcPr>
          <w:p>
            <w:pPr>
              <w:spacing w:after="0"/>
              <w:rPr>
                <w:sz w:val="12"/>
                <w:szCs w:val="12"/>
                <w:color w:val="auto"/>
              </w:rPr>
            </w:pPr>
          </w:p>
        </w:tc>
        <w:tc>
          <w:tcPr>
            <w:tcW w:w="2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4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bottom w:val="single" w:sz="8" w:color="auto"/>
            </w:tcBorders>
            <w:shd w:val="clear" w:color="auto" w:fill="CCEEFF"/>
          </w:tcPr>
          <w:p>
            <w:pPr>
              <w:spacing w:after="0"/>
              <w:rPr>
                <w:sz w:val="12"/>
                <w:szCs w:val="12"/>
                <w:color w:val="auto"/>
              </w:rPr>
            </w:pPr>
          </w:p>
        </w:tc>
        <w:tc>
          <w:tcPr>
            <w:tcW w:w="3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2,688</w:t>
            </w: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bottom w:val="single" w:sz="8" w:color="auto"/>
            </w:tcBorders>
            <w:shd w:val="clear" w:color="auto" w:fill="CCEEFF"/>
          </w:tcPr>
          <w:p>
            <w:pPr>
              <w:spacing w:after="0"/>
              <w:rPr>
                <w:sz w:val="12"/>
                <w:szCs w:val="12"/>
                <w:color w:val="auto"/>
              </w:rPr>
            </w:pPr>
          </w:p>
        </w:tc>
        <w:tc>
          <w:tcPr>
            <w:tcW w:w="3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2,688</w:t>
            </w: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5400" w:type="dxa"/>
            <w:vAlign w:val="bottom"/>
            <w:tcBorders>
              <w:bottom w:val="single" w:sz="8" w:color="CCEEFF"/>
            </w:tcBorders>
            <w:gridSpan w:val="3"/>
          </w:tcPr>
          <w:p>
            <w:pPr>
              <w:spacing w:after="0" w:line="146" w:lineRule="exact"/>
              <w:rPr>
                <w:sz w:val="20"/>
                <w:szCs w:val="20"/>
                <w:color w:val="auto"/>
              </w:rPr>
            </w:pPr>
            <w:r>
              <w:rPr>
                <w:rFonts w:ascii="Arial" w:cs="Arial" w:eastAsia="Arial" w:hAnsi="Arial"/>
                <w:sz w:val="13"/>
                <w:szCs w:val="13"/>
                <w:b w:val="1"/>
                <w:bCs w:val="1"/>
                <w:color w:val="auto"/>
              </w:rPr>
              <w:t>Total assets at fair value</w:t>
            </w:r>
          </w:p>
        </w:tc>
        <w:tc>
          <w:tcPr>
            <w:tcW w:w="10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w:t>
            </w:r>
          </w:p>
        </w:tc>
        <w:tc>
          <w:tcPr>
            <w:tcW w:w="240" w:type="dxa"/>
            <w:vAlign w:val="bottom"/>
            <w:tcBorders>
              <w:bottom w:val="single" w:sz="8" w:color="CCEEFF"/>
            </w:tcBorders>
          </w:tcPr>
          <w:p>
            <w:pPr>
              <w:spacing w:after="0"/>
              <w:rPr>
                <w:sz w:val="14"/>
                <w:szCs w:val="14"/>
                <w:color w:val="auto"/>
              </w:rPr>
            </w:pPr>
          </w:p>
        </w:tc>
        <w:tc>
          <w:tcPr>
            <w:tcW w:w="820" w:type="dxa"/>
            <w:vAlign w:val="bottom"/>
            <w:tcBorders>
              <w:bottom w:val="single" w:sz="8" w:color="auto"/>
            </w:tcBorders>
          </w:tcPr>
          <w:p>
            <w:pPr>
              <w:spacing w:after="0"/>
              <w:rPr>
                <w:sz w:val="14"/>
                <w:szCs w:val="14"/>
                <w:color w:val="auto"/>
              </w:rPr>
            </w:pPr>
          </w:p>
        </w:tc>
        <w:tc>
          <w:tcPr>
            <w:tcW w:w="38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w w:val="90"/>
              </w:rPr>
              <w:t>30,759</w:t>
            </w:r>
          </w:p>
        </w:tc>
        <w:tc>
          <w:tcPr>
            <w:tcW w:w="220" w:type="dxa"/>
            <w:vAlign w:val="bottom"/>
            <w:tcBorders>
              <w:bottom w:val="single" w:sz="8" w:color="CCEEFF"/>
            </w:tcBorders>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34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w w:val="98"/>
              </w:rPr>
              <w:t>8,750</w:t>
            </w:r>
          </w:p>
        </w:tc>
        <w:tc>
          <w:tcPr>
            <w:tcW w:w="220" w:type="dxa"/>
            <w:vAlign w:val="bottom"/>
            <w:tcBorders>
              <w:bottom w:val="single" w:sz="8" w:color="CCEEFF"/>
            </w:tcBorders>
          </w:tcPr>
          <w:p>
            <w:pPr>
              <w:spacing w:after="0"/>
              <w:rPr>
                <w:sz w:val="14"/>
                <w:szCs w:val="1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39,509</w:t>
            </w:r>
          </w:p>
        </w:tc>
        <w:tc>
          <w:tcPr>
            <w:tcW w:w="20" w:type="dxa"/>
            <w:vAlign w:val="bottom"/>
            <w:tcBorders>
              <w:bottom w:val="single" w:sz="8" w:color="CCEEFF"/>
            </w:tcBorders>
          </w:tcPr>
          <w:p>
            <w:pPr>
              <w:spacing w:after="0"/>
              <w:rPr>
                <w:sz w:val="14"/>
                <w:szCs w:val="14"/>
                <w:color w:val="auto"/>
              </w:rPr>
            </w:pPr>
          </w:p>
        </w:tc>
        <w:tc>
          <w:tcPr>
            <w:tcW w:w="8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34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4860" w:type="dxa"/>
            <w:vAlign w:val="bottom"/>
            <w:shd w:val="clear" w:color="auto" w:fill="CCEEFF"/>
          </w:tcPr>
          <w:p>
            <w:pPr>
              <w:spacing w:after="0"/>
              <w:rPr>
                <w:sz w:val="13"/>
                <w:szCs w:val="13"/>
                <w:color w:val="auto"/>
              </w:rPr>
            </w:pPr>
          </w:p>
        </w:tc>
        <w:tc>
          <w:tcPr>
            <w:tcW w:w="10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3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3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540" w:type="dxa"/>
            <w:vAlign w:val="bottom"/>
            <w:tcBorders>
              <w:bottom w:val="single" w:sz="8" w:color="auto"/>
            </w:tcBorders>
            <w:gridSpan w:val="2"/>
          </w:tcPr>
          <w:p>
            <w:pPr>
              <w:spacing w:after="0" w:line="125" w:lineRule="exact"/>
              <w:rPr>
                <w:sz w:val="20"/>
                <w:szCs w:val="20"/>
                <w:color w:val="auto"/>
              </w:rPr>
            </w:pPr>
            <w:r>
              <w:rPr>
                <w:rFonts w:ascii="Arial" w:cs="Arial" w:eastAsia="Arial" w:hAnsi="Arial"/>
                <w:sz w:val="13"/>
                <w:szCs w:val="13"/>
                <w:b w:val="1"/>
                <w:bCs w:val="1"/>
                <w:color w:val="auto"/>
                <w:w w:val="86"/>
              </w:rPr>
              <w:t>Liabilities</w:t>
            </w:r>
          </w:p>
        </w:tc>
        <w:tc>
          <w:tcPr>
            <w:tcW w:w="5860" w:type="dxa"/>
            <w:vAlign w:val="bottom"/>
            <w:gridSpan w:val="2"/>
          </w:tcPr>
          <w:p>
            <w:pPr>
              <w:spacing w:after="0"/>
              <w:rPr>
                <w:sz w:val="11"/>
                <w:szCs w:val="11"/>
                <w:color w:val="auto"/>
              </w:rPr>
            </w:pPr>
          </w:p>
        </w:tc>
        <w:tc>
          <w:tcPr>
            <w:tcW w:w="2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3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3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400" w:type="dxa"/>
            <w:vAlign w:val="bottom"/>
            <w:gridSpan w:val="4"/>
            <w:shd w:val="clear" w:color="auto" w:fill="CCEEFF"/>
          </w:tcPr>
          <w:p>
            <w:pPr>
              <w:spacing w:after="0"/>
              <w:rPr>
                <w:sz w:val="20"/>
                <w:szCs w:val="20"/>
                <w:color w:val="auto"/>
              </w:rPr>
            </w:pPr>
            <w:r>
              <w:rPr>
                <w:rFonts w:ascii="Arial" w:cs="Arial" w:eastAsia="Arial" w:hAnsi="Arial"/>
                <w:sz w:val="13"/>
                <w:szCs w:val="13"/>
                <w:color w:val="auto"/>
              </w:rPr>
              <w:t>Derivative financial instruments - liabilities:</w:t>
            </w:r>
          </w:p>
        </w:tc>
        <w:tc>
          <w:tcPr>
            <w:tcW w:w="2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3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3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400" w:type="dxa"/>
            <w:vAlign w:val="bottom"/>
            <w:gridSpan w:val="4"/>
          </w:tcPr>
          <w:p>
            <w:pPr>
              <w:ind w:left="100"/>
              <w:spacing w:after="0"/>
              <w:rPr>
                <w:sz w:val="20"/>
                <w:szCs w:val="20"/>
                <w:color w:val="auto"/>
              </w:rPr>
            </w:pPr>
            <w:r>
              <w:rPr>
                <w:rFonts w:ascii="Arial" w:cs="Arial" w:eastAsia="Arial" w:hAnsi="Arial"/>
                <w:sz w:val="13"/>
                <w:szCs w:val="13"/>
                <w:color w:val="auto"/>
              </w:rPr>
              <w:t>Interest rate swaps</w:t>
            </w:r>
          </w:p>
        </w:tc>
        <w:tc>
          <w:tcPr>
            <w:tcW w:w="22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600" w:type="dxa"/>
            <w:vAlign w:val="bottom"/>
            <w:gridSpan w:val="2"/>
          </w:tcPr>
          <w:p>
            <w:pPr>
              <w:jc w:val="right"/>
              <w:ind w:right="220"/>
              <w:spacing w:after="0"/>
              <w:rPr>
                <w:sz w:val="20"/>
                <w:szCs w:val="20"/>
                <w:color w:val="auto"/>
              </w:rPr>
            </w:pPr>
            <w:r>
              <w:rPr>
                <w:rFonts w:ascii="Arial" w:cs="Arial" w:eastAsia="Arial" w:hAnsi="Arial"/>
                <w:sz w:val="13"/>
                <w:szCs w:val="13"/>
                <w:color w:val="auto"/>
              </w:rPr>
              <w:t>9,410</w:t>
            </w:r>
          </w:p>
        </w:tc>
        <w:tc>
          <w:tcPr>
            <w:tcW w:w="860" w:type="dxa"/>
            <w:vAlign w:val="bottom"/>
          </w:tcPr>
          <w:p>
            <w:pPr>
              <w:spacing w:after="0"/>
              <w:rPr>
                <w:sz w:val="13"/>
                <w:szCs w:val="13"/>
                <w:color w:val="auto"/>
              </w:rPr>
            </w:pPr>
          </w:p>
        </w:tc>
        <w:tc>
          <w:tcPr>
            <w:tcW w:w="56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220" w:type="dxa"/>
            <w:vAlign w:val="bottom"/>
            <w:gridSpan w:val="2"/>
          </w:tcPr>
          <w:p>
            <w:pPr>
              <w:jc w:val="right"/>
              <w:ind w:right="20"/>
              <w:spacing w:after="0"/>
              <w:rPr>
                <w:sz w:val="20"/>
                <w:szCs w:val="20"/>
                <w:color w:val="auto"/>
              </w:rPr>
            </w:pPr>
            <w:r>
              <w:rPr>
                <w:rFonts w:ascii="Arial" w:cs="Arial" w:eastAsia="Arial" w:hAnsi="Arial"/>
                <w:sz w:val="13"/>
                <w:szCs w:val="13"/>
                <w:color w:val="auto"/>
              </w:rPr>
              <w:t>9,410</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400" w:type="dxa"/>
            <w:vAlign w:val="bottom"/>
            <w:gridSpan w:val="4"/>
            <w:shd w:val="clear" w:color="auto" w:fill="CCEEFF"/>
          </w:tcPr>
          <w:p>
            <w:pPr>
              <w:ind w:left="100"/>
              <w:spacing w:after="0"/>
              <w:rPr>
                <w:sz w:val="20"/>
                <w:szCs w:val="20"/>
                <w:color w:val="auto"/>
              </w:rPr>
            </w:pPr>
            <w:r>
              <w:rPr>
                <w:rFonts w:ascii="Arial" w:cs="Arial" w:eastAsia="Arial" w:hAnsi="Arial"/>
                <w:sz w:val="13"/>
                <w:szCs w:val="13"/>
                <w:color w:val="auto"/>
              </w:rPr>
              <w:t>Cross-currency swaps</w:t>
            </w:r>
          </w:p>
        </w:tc>
        <w:tc>
          <w:tcPr>
            <w:tcW w:w="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6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w w:val="90"/>
              </w:rPr>
              <w:t>17,378</w:t>
            </w:r>
          </w:p>
        </w:tc>
        <w:tc>
          <w:tcPr>
            <w:tcW w:w="860" w:type="dxa"/>
            <w:vAlign w:val="bottom"/>
            <w:shd w:val="clear" w:color="auto" w:fill="CCEEFF"/>
          </w:tcPr>
          <w:p>
            <w:pPr>
              <w:spacing w:after="0"/>
              <w:rPr>
                <w:sz w:val="13"/>
                <w:szCs w:val="13"/>
                <w:color w:val="auto"/>
              </w:rPr>
            </w:pPr>
          </w:p>
        </w:tc>
        <w:tc>
          <w:tcPr>
            <w:tcW w:w="5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17,378</w:t>
            </w: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6400" w:type="dxa"/>
            <w:vAlign w:val="bottom"/>
            <w:gridSpan w:val="4"/>
          </w:tcPr>
          <w:p>
            <w:pPr>
              <w:ind w:left="100"/>
              <w:spacing w:after="0"/>
              <w:rPr>
                <w:sz w:val="20"/>
                <w:szCs w:val="20"/>
                <w:color w:val="auto"/>
              </w:rPr>
            </w:pPr>
            <w:r>
              <w:rPr>
                <w:rFonts w:ascii="Arial" w:cs="Arial" w:eastAsia="Arial" w:hAnsi="Arial"/>
                <w:sz w:val="13"/>
                <w:szCs w:val="13"/>
                <w:color w:val="auto"/>
              </w:rPr>
              <w:t>Foreign exchange forwards</w:t>
            </w:r>
          </w:p>
        </w:tc>
        <w:tc>
          <w:tcPr>
            <w:tcW w:w="22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600" w:type="dxa"/>
            <w:vAlign w:val="bottom"/>
            <w:gridSpan w:val="2"/>
          </w:tcPr>
          <w:p>
            <w:pPr>
              <w:jc w:val="right"/>
              <w:ind w:right="220"/>
              <w:spacing w:after="0"/>
              <w:rPr>
                <w:sz w:val="20"/>
                <w:szCs w:val="20"/>
                <w:color w:val="auto"/>
              </w:rPr>
            </w:pPr>
            <w:r>
              <w:rPr>
                <w:rFonts w:ascii="Arial" w:cs="Arial" w:eastAsia="Arial" w:hAnsi="Arial"/>
                <w:sz w:val="13"/>
                <w:szCs w:val="13"/>
                <w:color w:val="auto"/>
              </w:rPr>
              <w:t>7,255</w:t>
            </w:r>
          </w:p>
        </w:tc>
        <w:tc>
          <w:tcPr>
            <w:tcW w:w="860" w:type="dxa"/>
            <w:vAlign w:val="bottom"/>
          </w:tcPr>
          <w:p>
            <w:pPr>
              <w:spacing w:after="0"/>
              <w:rPr>
                <w:sz w:val="14"/>
                <w:szCs w:val="14"/>
                <w:color w:val="auto"/>
              </w:rPr>
            </w:pPr>
          </w:p>
        </w:tc>
        <w:tc>
          <w:tcPr>
            <w:tcW w:w="56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220" w:type="dxa"/>
            <w:vAlign w:val="bottom"/>
            <w:gridSpan w:val="2"/>
          </w:tcPr>
          <w:p>
            <w:pPr>
              <w:jc w:val="right"/>
              <w:ind w:right="20"/>
              <w:spacing w:after="0"/>
              <w:rPr>
                <w:sz w:val="20"/>
                <w:szCs w:val="20"/>
                <w:color w:val="auto"/>
              </w:rPr>
            </w:pPr>
            <w:r>
              <w:rPr>
                <w:rFonts w:ascii="Arial" w:cs="Arial" w:eastAsia="Arial" w:hAnsi="Arial"/>
                <w:sz w:val="13"/>
                <w:szCs w:val="13"/>
                <w:color w:val="auto"/>
              </w:rPr>
              <w:t>7,255</w:t>
            </w: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400" w:type="dxa"/>
            <w:vAlign w:val="bottom"/>
            <w:tcBorders>
              <w:top w:val="single" w:sz="8" w:color="CCEEFF"/>
            </w:tcBorders>
            <w:gridSpan w:val="3"/>
            <w:shd w:val="clear" w:color="auto" w:fill="CCEEFF"/>
          </w:tcPr>
          <w:p>
            <w:pPr>
              <w:spacing w:after="0" w:line="143" w:lineRule="exact"/>
              <w:rPr>
                <w:sz w:val="20"/>
                <w:szCs w:val="20"/>
                <w:color w:val="auto"/>
              </w:rPr>
            </w:pPr>
            <w:r>
              <w:rPr>
                <w:rFonts w:ascii="Arial" w:cs="Arial" w:eastAsia="Arial" w:hAnsi="Arial"/>
                <w:sz w:val="13"/>
                <w:szCs w:val="13"/>
                <w:color w:val="auto"/>
              </w:rPr>
              <w:t>Total derivative financial instruments - liabilities</w:t>
            </w:r>
          </w:p>
        </w:tc>
        <w:tc>
          <w:tcPr>
            <w:tcW w:w="1000" w:type="dxa"/>
            <w:vAlign w:val="bottom"/>
            <w:tcBorders>
              <w:top w:val="single" w:sz="8" w:color="auto"/>
              <w:bottom w:val="single" w:sz="8" w:color="auto"/>
            </w:tcBorders>
            <w:shd w:val="clear" w:color="auto" w:fill="CCEEFF"/>
          </w:tcPr>
          <w:p>
            <w:pPr>
              <w:spacing w:after="0"/>
              <w:rPr>
                <w:sz w:val="12"/>
                <w:szCs w:val="12"/>
                <w:color w:val="auto"/>
              </w:rPr>
            </w:pPr>
          </w:p>
        </w:tc>
        <w:tc>
          <w:tcPr>
            <w:tcW w:w="2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4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bottom w:val="single" w:sz="8" w:color="auto"/>
            </w:tcBorders>
            <w:shd w:val="clear" w:color="auto" w:fill="CCEEFF"/>
          </w:tcPr>
          <w:p>
            <w:pPr>
              <w:spacing w:after="0"/>
              <w:rPr>
                <w:sz w:val="12"/>
                <w:szCs w:val="12"/>
                <w:color w:val="auto"/>
              </w:rPr>
            </w:pPr>
          </w:p>
        </w:tc>
        <w:tc>
          <w:tcPr>
            <w:tcW w:w="3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w w:val="90"/>
              </w:rPr>
              <w:t>34,043</w:t>
            </w: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bottom w:val="single" w:sz="8" w:color="auto"/>
            </w:tcBorders>
            <w:shd w:val="clear" w:color="auto" w:fill="CCEEFF"/>
          </w:tcPr>
          <w:p>
            <w:pPr>
              <w:spacing w:after="0"/>
              <w:rPr>
                <w:sz w:val="12"/>
                <w:szCs w:val="12"/>
                <w:color w:val="auto"/>
              </w:rPr>
            </w:pPr>
          </w:p>
        </w:tc>
        <w:tc>
          <w:tcPr>
            <w:tcW w:w="3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34,043</w:t>
            </w: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5400" w:type="dxa"/>
            <w:vAlign w:val="bottom"/>
            <w:gridSpan w:val="3"/>
          </w:tcPr>
          <w:p>
            <w:pPr>
              <w:spacing w:after="0" w:line="146" w:lineRule="exact"/>
              <w:rPr>
                <w:sz w:val="20"/>
                <w:szCs w:val="20"/>
                <w:color w:val="auto"/>
              </w:rPr>
            </w:pPr>
            <w:r>
              <w:rPr>
                <w:rFonts w:ascii="Arial" w:cs="Arial" w:eastAsia="Arial" w:hAnsi="Arial"/>
                <w:sz w:val="13"/>
                <w:szCs w:val="13"/>
                <w:b w:val="1"/>
                <w:bCs w:val="1"/>
                <w:color w:val="auto"/>
              </w:rPr>
              <w:t>Total liabilities at fair value</w:t>
            </w:r>
          </w:p>
        </w:tc>
        <w:tc>
          <w:tcPr>
            <w:tcW w:w="10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w:t>
            </w:r>
          </w:p>
        </w:tc>
        <w:tc>
          <w:tcPr>
            <w:tcW w:w="240" w:type="dxa"/>
            <w:vAlign w:val="bottom"/>
          </w:tcPr>
          <w:p>
            <w:pPr>
              <w:spacing w:after="0"/>
              <w:rPr>
                <w:sz w:val="14"/>
                <w:szCs w:val="14"/>
                <w:color w:val="auto"/>
              </w:rPr>
            </w:pPr>
          </w:p>
        </w:tc>
        <w:tc>
          <w:tcPr>
            <w:tcW w:w="820" w:type="dxa"/>
            <w:vAlign w:val="bottom"/>
            <w:tcBorders>
              <w:bottom w:val="single" w:sz="8" w:color="auto"/>
            </w:tcBorders>
          </w:tcPr>
          <w:p>
            <w:pPr>
              <w:spacing w:after="0"/>
              <w:rPr>
                <w:sz w:val="14"/>
                <w:szCs w:val="14"/>
                <w:color w:val="auto"/>
              </w:rPr>
            </w:pPr>
          </w:p>
        </w:tc>
        <w:tc>
          <w:tcPr>
            <w:tcW w:w="38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w w:val="90"/>
              </w:rPr>
              <w:t>34,043</w:t>
            </w:r>
          </w:p>
        </w:tc>
        <w:tc>
          <w:tcPr>
            <w:tcW w:w="220" w:type="dxa"/>
            <w:vAlign w:val="bottom"/>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34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w:t>
            </w:r>
          </w:p>
        </w:tc>
        <w:tc>
          <w:tcPr>
            <w:tcW w:w="220" w:type="dxa"/>
            <w:vAlign w:val="bottom"/>
          </w:tcPr>
          <w:p>
            <w:pPr>
              <w:spacing w:after="0"/>
              <w:rPr>
                <w:sz w:val="14"/>
                <w:szCs w:val="1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34,043</w:t>
            </w:r>
          </w:p>
        </w:tc>
        <w:tc>
          <w:tcPr>
            <w:tcW w:w="20" w:type="dxa"/>
            <w:vAlign w:val="bottom"/>
            <w:tcBorders>
              <w:bottom w:val="single" w:sz="8" w:color="auto"/>
            </w:tcBorders>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bl>
    <w:p>
      <w:pPr>
        <w:spacing w:after="0" w:line="145" w:lineRule="exact"/>
        <w:rPr>
          <w:sz w:val="20"/>
          <w:szCs w:val="20"/>
          <w:color w:val="auto"/>
        </w:rPr>
      </w:pPr>
    </w:p>
    <w:p>
      <w:pPr>
        <w:ind w:left="463" w:hanging="232"/>
        <w:spacing w:after="0" w:line="194" w:lineRule="auto"/>
        <w:tabs>
          <w:tab w:leader="none" w:pos="463" w:val="left"/>
        </w:tabs>
        <w:numPr>
          <w:ilvl w:val="0"/>
          <w:numId w:val="178"/>
        </w:numPr>
        <w:rPr>
          <w:rFonts w:ascii="Arial" w:cs="Arial" w:eastAsia="Arial" w:hAnsi="Arial"/>
          <w:sz w:val="21"/>
          <w:szCs w:val="21"/>
          <w:color w:val="222222"/>
          <w:vertAlign w:val="superscript"/>
        </w:rPr>
      </w:pPr>
      <w:r>
        <w:rPr>
          <w:rFonts w:ascii="Arial" w:cs="Arial" w:eastAsia="Arial" w:hAnsi="Arial"/>
          <w:sz w:val="13"/>
          <w:szCs w:val="13"/>
          <w:color w:val="222222"/>
        </w:rPr>
        <w:t>At December 31, 2018, investment securities and equity instrument at FVOCI for $21.8 million and $6.3 million, respectively; were reclassified from level 1 to level 2 of the fair value hierarchy due to changes in market conditions causing that the quoted prices were no longer active for these financial instruments.</w:t>
      </w:r>
    </w:p>
    <w:p>
      <w:pPr>
        <w:spacing w:after="0" w:line="319" w:lineRule="exact"/>
        <w:rPr>
          <w:sz w:val="20"/>
          <w:szCs w:val="20"/>
          <w:color w:val="auto"/>
        </w:rPr>
      </w:pPr>
    </w:p>
    <w:p>
      <w:pPr>
        <w:jc w:val="center"/>
        <w:ind w:right="-22"/>
        <w:spacing w:after="0"/>
        <w:rPr>
          <w:sz w:val="20"/>
          <w:szCs w:val="20"/>
          <w:color w:val="auto"/>
        </w:rPr>
      </w:pPr>
      <w:r>
        <w:rPr>
          <w:rFonts w:ascii="Arial" w:cs="Arial" w:eastAsia="Arial" w:hAnsi="Arial"/>
          <w:sz w:val="13"/>
          <w:szCs w:val="13"/>
          <w:color w:val="auto"/>
        </w:rPr>
        <w:t>F-88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36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85" w:right="219" w:bottom="1440" w:gutter="0" w:footer="0" w:header="0"/>
        </w:sectPr>
      </w:pPr>
    </w:p>
    <w:bookmarkStart w:id="213" w:name="page214"/>
    <w:bookmarkEnd w:id="213"/>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36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26. Fair value of financial instruments (continued)</w:t>
      </w:r>
    </w:p>
    <w:p>
      <w:pPr>
        <w:spacing w:after="0" w:line="168" w:lineRule="exact"/>
        <w:rPr>
          <w:sz w:val="20"/>
          <w:szCs w:val="20"/>
          <w:color w:val="auto"/>
        </w:rPr>
      </w:pPr>
    </w:p>
    <w:tbl>
      <w:tblPr>
        <w:tblLayout w:type="fixed"/>
        <w:tblInd w:w="220"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3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4860" w:type="dxa"/>
            <w:vAlign w:val="bottom"/>
          </w:tcPr>
          <w:p>
            <w:pPr>
              <w:spacing w:after="0"/>
              <w:rPr>
                <w:sz w:val="14"/>
                <w:szCs w:val="14"/>
                <w:color w:val="auto"/>
              </w:rPr>
            </w:pPr>
          </w:p>
        </w:tc>
        <w:tc>
          <w:tcPr>
            <w:tcW w:w="840" w:type="dxa"/>
            <w:vAlign w:val="bottom"/>
            <w:tcBorders>
              <w:bottom w:val="single" w:sz="8" w:color="auto"/>
            </w:tcBorders>
          </w:tcPr>
          <w:p>
            <w:pPr>
              <w:spacing w:after="0"/>
              <w:rPr>
                <w:sz w:val="14"/>
                <w:szCs w:val="14"/>
                <w:color w:val="auto"/>
              </w:rPr>
            </w:pPr>
          </w:p>
        </w:tc>
        <w:tc>
          <w:tcPr>
            <w:tcW w:w="38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2400" w:type="dxa"/>
            <w:vAlign w:val="bottom"/>
            <w:tcBorders>
              <w:bottom w:val="single" w:sz="8" w:color="auto"/>
            </w:tcBorders>
            <w:gridSpan w:val="4"/>
          </w:tcPr>
          <w:p>
            <w:pPr>
              <w:ind w:left="760"/>
              <w:spacing w:after="0"/>
              <w:rPr>
                <w:sz w:val="20"/>
                <w:szCs w:val="20"/>
                <w:color w:val="auto"/>
              </w:rPr>
            </w:pPr>
            <w:r>
              <w:rPr>
                <w:rFonts w:ascii="Arial" w:cs="Arial" w:eastAsia="Arial" w:hAnsi="Arial"/>
                <w:sz w:val="13"/>
                <w:szCs w:val="13"/>
                <w:b w:val="1"/>
                <w:bCs w:val="1"/>
                <w:color w:val="auto"/>
              </w:rPr>
              <w:t>December 31, 2017</w:t>
            </w:r>
          </w:p>
        </w:tc>
        <w:tc>
          <w:tcPr>
            <w:tcW w:w="22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20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40" w:type="dxa"/>
            <w:vAlign w:val="bottom"/>
            <w:tcBorders>
              <w:bottom w:val="single" w:sz="8" w:color="CCEEFF"/>
            </w:tcBorders>
          </w:tcPr>
          <w:p>
            <w:pPr>
              <w:spacing w:after="0"/>
              <w:rPr>
                <w:sz w:val="13"/>
                <w:szCs w:val="13"/>
                <w:color w:val="auto"/>
              </w:rPr>
            </w:pPr>
          </w:p>
        </w:tc>
        <w:tc>
          <w:tcPr>
            <w:tcW w:w="200" w:type="dxa"/>
            <w:vAlign w:val="bottom"/>
            <w:tcBorders>
              <w:bottom w:val="single" w:sz="8" w:color="CCEEFF"/>
            </w:tcBorders>
          </w:tcPr>
          <w:p>
            <w:pPr>
              <w:spacing w:after="0"/>
              <w:rPr>
                <w:sz w:val="13"/>
                <w:szCs w:val="13"/>
                <w:color w:val="auto"/>
              </w:rPr>
            </w:pPr>
          </w:p>
        </w:tc>
        <w:tc>
          <w:tcPr>
            <w:tcW w:w="4860" w:type="dxa"/>
            <w:vAlign w:val="bottom"/>
            <w:tcBorders>
              <w:bottom w:val="single" w:sz="8" w:color="CCEEFF"/>
            </w:tcBorders>
          </w:tcPr>
          <w:p>
            <w:pPr>
              <w:spacing w:after="0"/>
              <w:rPr>
                <w:sz w:val="13"/>
                <w:szCs w:val="13"/>
                <w:color w:val="auto"/>
              </w:rPr>
            </w:pPr>
          </w:p>
        </w:tc>
        <w:tc>
          <w:tcPr>
            <w:tcW w:w="840" w:type="dxa"/>
            <w:vAlign w:val="bottom"/>
            <w:tcBorders>
              <w:bottom w:val="single" w:sz="8" w:color="auto"/>
            </w:tcBorders>
          </w:tcPr>
          <w:p>
            <w:pPr>
              <w:ind w:left="420"/>
              <w:spacing w:after="0"/>
              <w:rPr>
                <w:sz w:val="20"/>
                <w:szCs w:val="20"/>
                <w:color w:val="auto"/>
              </w:rPr>
            </w:pPr>
            <w:r>
              <w:rPr>
                <w:rFonts w:ascii="Arial" w:cs="Arial" w:eastAsia="Arial" w:hAnsi="Arial"/>
                <w:sz w:val="13"/>
                <w:szCs w:val="13"/>
                <w:b w:val="1"/>
                <w:bCs w:val="1"/>
                <w:color w:val="auto"/>
                <w:w w:val="90"/>
              </w:rPr>
              <w:t>Level 1</w:t>
            </w:r>
          </w:p>
        </w:tc>
        <w:tc>
          <w:tcPr>
            <w:tcW w:w="380" w:type="dxa"/>
            <w:vAlign w:val="bottom"/>
            <w:tcBorders>
              <w:bottom w:val="single" w:sz="8" w:color="auto"/>
            </w:tcBorders>
          </w:tcPr>
          <w:p>
            <w:pPr>
              <w:spacing w:after="0"/>
              <w:rPr>
                <w:sz w:val="13"/>
                <w:szCs w:val="13"/>
                <w:color w:val="auto"/>
              </w:rPr>
            </w:pPr>
          </w:p>
        </w:tc>
        <w:tc>
          <w:tcPr>
            <w:tcW w:w="240" w:type="dxa"/>
            <w:vAlign w:val="bottom"/>
            <w:tcBorders>
              <w:bottom w:val="single" w:sz="8" w:color="CCEEFF"/>
            </w:tcBorders>
          </w:tcPr>
          <w:p>
            <w:pPr>
              <w:spacing w:after="0"/>
              <w:rPr>
                <w:sz w:val="13"/>
                <w:szCs w:val="13"/>
                <w:color w:val="auto"/>
              </w:rPr>
            </w:pPr>
          </w:p>
        </w:tc>
        <w:tc>
          <w:tcPr>
            <w:tcW w:w="820" w:type="dxa"/>
            <w:vAlign w:val="bottom"/>
            <w:tcBorders>
              <w:bottom w:val="single" w:sz="8" w:color="auto"/>
            </w:tcBorders>
          </w:tcPr>
          <w:p>
            <w:pPr>
              <w:ind w:left="400"/>
              <w:spacing w:after="0"/>
              <w:rPr>
                <w:sz w:val="20"/>
                <w:szCs w:val="20"/>
                <w:color w:val="auto"/>
              </w:rPr>
            </w:pPr>
            <w:r>
              <w:rPr>
                <w:rFonts w:ascii="Arial" w:cs="Arial" w:eastAsia="Arial" w:hAnsi="Arial"/>
                <w:sz w:val="13"/>
                <w:szCs w:val="13"/>
                <w:b w:val="1"/>
                <w:bCs w:val="1"/>
                <w:color w:val="auto"/>
                <w:w w:val="90"/>
              </w:rPr>
              <w:t>Level 2</w:t>
            </w:r>
          </w:p>
        </w:tc>
        <w:tc>
          <w:tcPr>
            <w:tcW w:w="380" w:type="dxa"/>
            <w:vAlign w:val="bottom"/>
            <w:tcBorders>
              <w:bottom w:val="single" w:sz="8" w:color="auto"/>
            </w:tcBorders>
          </w:tcPr>
          <w:p>
            <w:pPr>
              <w:spacing w:after="0"/>
              <w:rPr>
                <w:sz w:val="13"/>
                <w:szCs w:val="13"/>
                <w:color w:val="auto"/>
              </w:rPr>
            </w:pPr>
          </w:p>
        </w:tc>
        <w:tc>
          <w:tcPr>
            <w:tcW w:w="220" w:type="dxa"/>
            <w:vAlign w:val="bottom"/>
            <w:tcBorders>
              <w:bottom w:val="single" w:sz="8" w:color="CCEEFF"/>
            </w:tcBorders>
          </w:tcPr>
          <w:p>
            <w:pPr>
              <w:spacing w:after="0"/>
              <w:rPr>
                <w:sz w:val="13"/>
                <w:szCs w:val="13"/>
                <w:color w:val="auto"/>
              </w:rPr>
            </w:pPr>
          </w:p>
        </w:tc>
        <w:tc>
          <w:tcPr>
            <w:tcW w:w="980" w:type="dxa"/>
            <w:vAlign w:val="bottom"/>
            <w:tcBorders>
              <w:bottom w:val="single" w:sz="8" w:color="auto"/>
            </w:tcBorders>
          </w:tcPr>
          <w:p>
            <w:pPr>
              <w:ind w:left="400"/>
              <w:spacing w:after="0"/>
              <w:rPr>
                <w:sz w:val="20"/>
                <w:szCs w:val="20"/>
                <w:color w:val="auto"/>
              </w:rPr>
            </w:pPr>
            <w:r>
              <w:rPr>
                <w:rFonts w:ascii="Arial" w:cs="Arial" w:eastAsia="Arial" w:hAnsi="Arial"/>
                <w:sz w:val="13"/>
                <w:szCs w:val="13"/>
                <w:b w:val="1"/>
                <w:bCs w:val="1"/>
                <w:color w:val="auto"/>
              </w:rPr>
              <w:t>Level 3</w:t>
            </w:r>
          </w:p>
        </w:tc>
        <w:tc>
          <w:tcPr>
            <w:tcW w:w="220" w:type="dxa"/>
            <w:vAlign w:val="bottom"/>
            <w:tcBorders>
              <w:bottom w:val="single" w:sz="8" w:color="auto"/>
            </w:tcBorders>
          </w:tcPr>
          <w:p>
            <w:pPr>
              <w:spacing w:after="0"/>
              <w:rPr>
                <w:sz w:val="13"/>
                <w:szCs w:val="13"/>
                <w:color w:val="auto"/>
              </w:rPr>
            </w:pPr>
          </w:p>
        </w:tc>
        <w:tc>
          <w:tcPr>
            <w:tcW w:w="220" w:type="dxa"/>
            <w:vAlign w:val="bottom"/>
            <w:tcBorders>
              <w:bottom w:val="single" w:sz="8" w:color="CCEEFF"/>
            </w:tcBorders>
          </w:tcPr>
          <w:p>
            <w:pPr>
              <w:spacing w:after="0"/>
              <w:rPr>
                <w:sz w:val="13"/>
                <w:szCs w:val="13"/>
                <w:color w:val="auto"/>
              </w:rPr>
            </w:pPr>
          </w:p>
        </w:tc>
        <w:tc>
          <w:tcPr>
            <w:tcW w:w="1200" w:type="dxa"/>
            <w:vAlign w:val="bottom"/>
            <w:tcBorders>
              <w:bottom w:val="single" w:sz="8" w:color="auto"/>
            </w:tcBorders>
          </w:tcPr>
          <w:p>
            <w:pPr>
              <w:jc w:val="right"/>
              <w:ind w:right="396"/>
              <w:spacing w:after="0"/>
              <w:rPr>
                <w:sz w:val="20"/>
                <w:szCs w:val="20"/>
                <w:color w:val="auto"/>
              </w:rPr>
            </w:pPr>
            <w:r>
              <w:rPr>
                <w:rFonts w:ascii="Arial" w:cs="Arial" w:eastAsia="Arial" w:hAnsi="Arial"/>
                <w:sz w:val="13"/>
                <w:szCs w:val="13"/>
                <w:b w:val="1"/>
                <w:bCs w:val="1"/>
                <w:color w:val="auto"/>
              </w:rPr>
              <w:t>Total</w:t>
            </w:r>
          </w:p>
        </w:tc>
        <w:tc>
          <w:tcPr>
            <w:tcW w:w="100" w:type="dxa"/>
            <w:vAlign w:val="bottom"/>
            <w:tcBorders>
              <w:bottom w:val="single" w:sz="8" w:color="CCEEFF"/>
            </w:tcBorders>
          </w:tcPr>
          <w:p>
            <w:pPr>
              <w:spacing w:after="0"/>
              <w:rPr>
                <w:sz w:val="13"/>
                <w:szCs w:val="13"/>
                <w:color w:val="auto"/>
              </w:rPr>
            </w:pPr>
          </w:p>
        </w:tc>
        <w:tc>
          <w:tcPr>
            <w:tcW w:w="0" w:type="dxa"/>
            <w:vAlign w:val="bottom"/>
          </w:tcPr>
          <w:p>
            <w:pPr>
              <w:spacing w:after="0"/>
              <w:rPr>
                <w:sz w:val="1"/>
                <w:szCs w:val="1"/>
                <w:color w:val="auto"/>
              </w:rPr>
            </w:pPr>
          </w:p>
        </w:tc>
      </w:tr>
      <w:tr>
        <w:trPr>
          <w:trHeight w:val="124"/>
        </w:trPr>
        <w:tc>
          <w:tcPr>
            <w:tcW w:w="20" w:type="dxa"/>
            <w:vAlign w:val="bottom"/>
          </w:tcPr>
          <w:p>
            <w:pPr>
              <w:spacing w:after="0"/>
              <w:rPr>
                <w:sz w:val="10"/>
                <w:szCs w:val="10"/>
                <w:color w:val="auto"/>
              </w:rPr>
            </w:pPr>
          </w:p>
        </w:tc>
        <w:tc>
          <w:tcPr>
            <w:tcW w:w="340" w:type="dxa"/>
            <w:vAlign w:val="bottom"/>
            <w:tcBorders>
              <w:bottom w:val="single" w:sz="8" w:color="auto"/>
            </w:tcBorders>
            <w:shd w:val="clear" w:color="auto" w:fill="CCEEFF"/>
          </w:tcPr>
          <w:p>
            <w:pPr>
              <w:spacing w:after="0" w:line="115" w:lineRule="exact"/>
              <w:rPr>
                <w:sz w:val="20"/>
                <w:szCs w:val="20"/>
                <w:color w:val="auto"/>
              </w:rPr>
            </w:pPr>
            <w:r>
              <w:rPr>
                <w:rFonts w:ascii="Arial" w:cs="Arial" w:eastAsia="Arial" w:hAnsi="Arial"/>
                <w:sz w:val="13"/>
                <w:szCs w:val="13"/>
                <w:b w:val="1"/>
                <w:bCs w:val="1"/>
                <w:color w:val="auto"/>
                <w:w w:val="74"/>
              </w:rPr>
              <w:t>Assets</w:t>
            </w:r>
          </w:p>
        </w:tc>
        <w:tc>
          <w:tcPr>
            <w:tcW w:w="5060" w:type="dxa"/>
            <w:vAlign w:val="bottom"/>
            <w:tcBorders>
              <w:bottom w:val="single" w:sz="8" w:color="CCEEFF"/>
            </w:tcBorders>
            <w:gridSpan w:val="2"/>
            <w:shd w:val="clear" w:color="auto" w:fill="CCEEFF"/>
          </w:tcPr>
          <w:p>
            <w:pPr>
              <w:spacing w:after="0"/>
              <w:rPr>
                <w:sz w:val="10"/>
                <w:szCs w:val="10"/>
                <w:color w:val="auto"/>
              </w:rPr>
            </w:pPr>
          </w:p>
        </w:tc>
        <w:tc>
          <w:tcPr>
            <w:tcW w:w="840" w:type="dxa"/>
            <w:vAlign w:val="bottom"/>
            <w:tcBorders>
              <w:bottom w:val="single" w:sz="8" w:color="CCEEFF"/>
            </w:tcBorders>
            <w:shd w:val="clear" w:color="auto" w:fill="CCEEFF"/>
          </w:tcPr>
          <w:p>
            <w:pPr>
              <w:spacing w:after="0"/>
              <w:rPr>
                <w:sz w:val="10"/>
                <w:szCs w:val="10"/>
                <w:color w:val="auto"/>
              </w:rPr>
            </w:pPr>
          </w:p>
        </w:tc>
        <w:tc>
          <w:tcPr>
            <w:tcW w:w="380" w:type="dxa"/>
            <w:vAlign w:val="bottom"/>
            <w:tcBorders>
              <w:bottom w:val="single" w:sz="8" w:color="CCEEFF"/>
            </w:tcBorders>
            <w:shd w:val="clear" w:color="auto" w:fill="CCEEFF"/>
          </w:tcPr>
          <w:p>
            <w:pPr>
              <w:spacing w:after="0"/>
              <w:rPr>
                <w:sz w:val="10"/>
                <w:szCs w:val="10"/>
                <w:color w:val="auto"/>
              </w:rPr>
            </w:pPr>
          </w:p>
        </w:tc>
        <w:tc>
          <w:tcPr>
            <w:tcW w:w="240" w:type="dxa"/>
            <w:vAlign w:val="bottom"/>
            <w:tcBorders>
              <w:bottom w:val="single" w:sz="8" w:color="CCEEFF"/>
            </w:tcBorders>
            <w:shd w:val="clear" w:color="auto" w:fill="CCEEFF"/>
          </w:tcPr>
          <w:p>
            <w:pPr>
              <w:spacing w:after="0"/>
              <w:rPr>
                <w:sz w:val="10"/>
                <w:szCs w:val="10"/>
                <w:color w:val="auto"/>
              </w:rPr>
            </w:pPr>
          </w:p>
        </w:tc>
        <w:tc>
          <w:tcPr>
            <w:tcW w:w="820" w:type="dxa"/>
            <w:vAlign w:val="bottom"/>
            <w:tcBorders>
              <w:bottom w:val="single" w:sz="8" w:color="CCEEFF"/>
            </w:tcBorders>
            <w:shd w:val="clear" w:color="auto" w:fill="CCEEFF"/>
          </w:tcPr>
          <w:p>
            <w:pPr>
              <w:spacing w:after="0"/>
              <w:rPr>
                <w:sz w:val="10"/>
                <w:szCs w:val="10"/>
                <w:color w:val="auto"/>
              </w:rPr>
            </w:pPr>
          </w:p>
        </w:tc>
        <w:tc>
          <w:tcPr>
            <w:tcW w:w="380" w:type="dxa"/>
            <w:vAlign w:val="bottom"/>
            <w:tcBorders>
              <w:bottom w:val="single" w:sz="8" w:color="CCEEFF"/>
            </w:tcBorders>
            <w:shd w:val="clear" w:color="auto" w:fill="CCEEFF"/>
          </w:tcPr>
          <w:p>
            <w:pPr>
              <w:spacing w:after="0"/>
              <w:rPr>
                <w:sz w:val="10"/>
                <w:szCs w:val="10"/>
                <w:color w:val="auto"/>
              </w:rPr>
            </w:pPr>
          </w:p>
        </w:tc>
        <w:tc>
          <w:tcPr>
            <w:tcW w:w="220" w:type="dxa"/>
            <w:vAlign w:val="bottom"/>
            <w:tcBorders>
              <w:bottom w:val="single" w:sz="8" w:color="CCEEFF"/>
            </w:tcBorders>
            <w:shd w:val="clear" w:color="auto" w:fill="CCEEFF"/>
          </w:tcPr>
          <w:p>
            <w:pPr>
              <w:spacing w:after="0"/>
              <w:rPr>
                <w:sz w:val="10"/>
                <w:szCs w:val="10"/>
                <w:color w:val="auto"/>
              </w:rPr>
            </w:pPr>
          </w:p>
        </w:tc>
        <w:tc>
          <w:tcPr>
            <w:tcW w:w="980" w:type="dxa"/>
            <w:vAlign w:val="bottom"/>
            <w:tcBorders>
              <w:bottom w:val="single" w:sz="8" w:color="CCEEFF"/>
            </w:tcBorders>
            <w:shd w:val="clear" w:color="auto" w:fill="CCEEFF"/>
          </w:tcPr>
          <w:p>
            <w:pPr>
              <w:spacing w:after="0"/>
              <w:rPr>
                <w:sz w:val="10"/>
                <w:szCs w:val="10"/>
                <w:color w:val="auto"/>
              </w:rPr>
            </w:pPr>
          </w:p>
        </w:tc>
        <w:tc>
          <w:tcPr>
            <w:tcW w:w="220" w:type="dxa"/>
            <w:vAlign w:val="bottom"/>
            <w:tcBorders>
              <w:bottom w:val="single" w:sz="8" w:color="CCEEFF"/>
            </w:tcBorders>
            <w:shd w:val="clear" w:color="auto" w:fill="CCEEFF"/>
          </w:tcPr>
          <w:p>
            <w:pPr>
              <w:spacing w:after="0"/>
              <w:rPr>
                <w:sz w:val="10"/>
                <w:szCs w:val="10"/>
                <w:color w:val="auto"/>
              </w:rPr>
            </w:pPr>
          </w:p>
        </w:tc>
        <w:tc>
          <w:tcPr>
            <w:tcW w:w="220" w:type="dxa"/>
            <w:vAlign w:val="bottom"/>
            <w:tcBorders>
              <w:bottom w:val="single" w:sz="8" w:color="CCEEFF"/>
            </w:tcBorders>
            <w:shd w:val="clear" w:color="auto" w:fill="CCEEFF"/>
          </w:tcPr>
          <w:p>
            <w:pPr>
              <w:spacing w:after="0"/>
              <w:rPr>
                <w:sz w:val="10"/>
                <w:szCs w:val="10"/>
                <w:color w:val="auto"/>
              </w:rPr>
            </w:pPr>
          </w:p>
        </w:tc>
        <w:tc>
          <w:tcPr>
            <w:tcW w:w="1200" w:type="dxa"/>
            <w:vAlign w:val="bottom"/>
            <w:tcBorders>
              <w:bottom w:val="single" w:sz="8" w:color="CCEEFF"/>
            </w:tcBorders>
            <w:shd w:val="clear" w:color="auto" w:fill="CCEEFF"/>
          </w:tcPr>
          <w:p>
            <w:pPr>
              <w:spacing w:after="0"/>
              <w:rPr>
                <w:sz w:val="10"/>
                <w:szCs w:val="10"/>
                <w:color w:val="auto"/>
              </w:rPr>
            </w:pPr>
          </w:p>
        </w:tc>
        <w:tc>
          <w:tcPr>
            <w:tcW w:w="100" w:type="dxa"/>
            <w:vAlign w:val="bottom"/>
            <w:tcBorders>
              <w:bottom w:val="single" w:sz="8" w:color="CCEEFF"/>
            </w:tcBorders>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240" w:type="dxa"/>
            <w:vAlign w:val="bottom"/>
            <w:gridSpan w:val="4"/>
          </w:tcPr>
          <w:p>
            <w:pPr>
              <w:spacing w:after="0"/>
              <w:rPr>
                <w:sz w:val="20"/>
                <w:szCs w:val="20"/>
                <w:color w:val="auto"/>
              </w:rPr>
            </w:pPr>
            <w:r>
              <w:rPr>
                <w:rFonts w:ascii="Arial" w:cs="Arial" w:eastAsia="Arial" w:hAnsi="Arial"/>
                <w:sz w:val="13"/>
                <w:szCs w:val="13"/>
                <w:color w:val="auto"/>
              </w:rPr>
              <w:t>Securities and other financial assets:</w:t>
            </w:r>
          </w:p>
        </w:tc>
        <w:tc>
          <w:tcPr>
            <w:tcW w:w="3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3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83"/>
        </w:trPr>
        <w:tc>
          <w:tcPr>
            <w:tcW w:w="20" w:type="dxa"/>
            <w:vAlign w:val="bottom"/>
          </w:tcPr>
          <w:p>
            <w:pPr>
              <w:spacing w:after="0"/>
              <w:rPr>
                <w:sz w:val="15"/>
                <w:szCs w:val="15"/>
                <w:color w:val="auto"/>
              </w:rPr>
            </w:pPr>
          </w:p>
        </w:tc>
        <w:tc>
          <w:tcPr>
            <w:tcW w:w="6240" w:type="dxa"/>
            <w:vAlign w:val="bottom"/>
            <w:gridSpan w:val="4"/>
            <w:shd w:val="clear" w:color="auto" w:fill="CCEEFF"/>
          </w:tcPr>
          <w:p>
            <w:pPr>
              <w:ind w:left="100"/>
              <w:spacing w:after="0" w:line="183" w:lineRule="exact"/>
              <w:rPr>
                <w:sz w:val="20"/>
                <w:szCs w:val="20"/>
                <w:color w:val="auto"/>
              </w:rPr>
            </w:pPr>
            <w:r>
              <w:rPr>
                <w:rFonts w:ascii="Arial" w:cs="Arial" w:eastAsia="Arial" w:hAnsi="Arial"/>
                <w:sz w:val="13"/>
                <w:szCs w:val="13"/>
                <w:color w:val="auto"/>
              </w:rPr>
              <w:t xml:space="preserve">Securities at FVOCI - Sovereign debt </w:t>
            </w:r>
            <w:r>
              <w:rPr>
                <w:rFonts w:ascii="Arial" w:cs="Arial" w:eastAsia="Arial" w:hAnsi="Arial"/>
                <w:sz w:val="21"/>
                <w:szCs w:val="21"/>
                <w:color w:val="auto"/>
                <w:vertAlign w:val="superscript"/>
              </w:rPr>
              <w:t>(2)</w:t>
            </w:r>
          </w:p>
        </w:tc>
        <w:tc>
          <w:tcPr>
            <w:tcW w:w="6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w w:val="90"/>
              </w:rPr>
              <w:t>16,733</w:t>
            </w:r>
          </w:p>
        </w:tc>
        <w:tc>
          <w:tcPr>
            <w:tcW w:w="820" w:type="dxa"/>
            <w:vAlign w:val="bottom"/>
            <w:shd w:val="clear" w:color="auto" w:fill="CCEEFF"/>
          </w:tcPr>
          <w:p>
            <w:pPr>
              <w:spacing w:after="0"/>
              <w:rPr>
                <w:sz w:val="15"/>
                <w:szCs w:val="15"/>
                <w:color w:val="auto"/>
              </w:rPr>
            </w:pPr>
          </w:p>
        </w:tc>
        <w:tc>
          <w:tcPr>
            <w:tcW w:w="6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980" w:type="dxa"/>
            <w:vAlign w:val="bottom"/>
            <w:shd w:val="clear" w:color="auto" w:fill="CCEEFF"/>
          </w:tcPr>
          <w:p>
            <w:pPr>
              <w:spacing w:after="0"/>
              <w:rPr>
                <w:sz w:val="15"/>
                <w:szCs w:val="15"/>
                <w:color w:val="auto"/>
              </w:rPr>
            </w:pPr>
          </w:p>
        </w:tc>
        <w:tc>
          <w:tcPr>
            <w:tcW w:w="4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16,733</w:t>
            </w: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6240" w:type="dxa"/>
            <w:vAlign w:val="bottom"/>
            <w:gridSpan w:val="4"/>
          </w:tcPr>
          <w:p>
            <w:pPr>
              <w:ind w:left="100"/>
              <w:spacing w:after="0"/>
              <w:rPr>
                <w:sz w:val="20"/>
                <w:szCs w:val="20"/>
                <w:color w:val="auto"/>
              </w:rPr>
            </w:pPr>
            <w:r>
              <w:rPr>
                <w:rFonts w:ascii="Arial" w:cs="Arial" w:eastAsia="Arial" w:hAnsi="Arial"/>
                <w:sz w:val="13"/>
                <w:szCs w:val="13"/>
                <w:color w:val="auto"/>
              </w:rPr>
              <w:t>Equity instrument at FVOCI</w:t>
            </w:r>
          </w:p>
        </w:tc>
        <w:tc>
          <w:tcPr>
            <w:tcW w:w="380" w:type="dxa"/>
            <w:vAlign w:val="bottom"/>
          </w:tcPr>
          <w:p>
            <w:pPr>
              <w:jc w:val="right"/>
              <w:spacing w:after="0"/>
              <w:rPr>
                <w:sz w:val="20"/>
                <w:szCs w:val="20"/>
                <w:color w:val="auto"/>
              </w:rPr>
            </w:pPr>
            <w:r>
              <w:rPr>
                <w:rFonts w:ascii="Arial" w:cs="Arial" w:eastAsia="Arial" w:hAnsi="Arial"/>
                <w:sz w:val="13"/>
                <w:szCs w:val="13"/>
                <w:color w:val="auto"/>
              </w:rPr>
              <w:t>8,402</w:t>
            </w:r>
          </w:p>
        </w:tc>
        <w:tc>
          <w:tcPr>
            <w:tcW w:w="24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60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980" w:type="dxa"/>
            <w:vAlign w:val="bottom"/>
          </w:tcPr>
          <w:p>
            <w:pPr>
              <w:spacing w:after="0"/>
              <w:rPr>
                <w:sz w:val="14"/>
                <w:szCs w:val="14"/>
                <w:color w:val="auto"/>
              </w:rPr>
            </w:pPr>
          </w:p>
        </w:tc>
        <w:tc>
          <w:tcPr>
            <w:tcW w:w="44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8,402</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400" w:type="dxa"/>
            <w:vAlign w:val="bottom"/>
            <w:tcBorders>
              <w:top w:val="single" w:sz="8" w:color="CCEEFF"/>
            </w:tcBorders>
            <w:gridSpan w:val="3"/>
            <w:shd w:val="clear" w:color="auto" w:fill="CCEEFF"/>
          </w:tcPr>
          <w:p>
            <w:pPr>
              <w:spacing w:after="0" w:line="143" w:lineRule="exact"/>
              <w:rPr>
                <w:sz w:val="20"/>
                <w:szCs w:val="20"/>
                <w:color w:val="auto"/>
              </w:rPr>
            </w:pPr>
            <w:r>
              <w:rPr>
                <w:rFonts w:ascii="Arial" w:cs="Arial" w:eastAsia="Arial" w:hAnsi="Arial"/>
                <w:sz w:val="13"/>
                <w:szCs w:val="13"/>
                <w:color w:val="auto"/>
              </w:rPr>
              <w:t>Total securities and other financial assets</w:t>
            </w:r>
          </w:p>
        </w:tc>
        <w:tc>
          <w:tcPr>
            <w:tcW w:w="840" w:type="dxa"/>
            <w:vAlign w:val="bottom"/>
            <w:tcBorders>
              <w:top w:val="single" w:sz="8" w:color="auto"/>
              <w:bottom w:val="single" w:sz="8" w:color="auto"/>
            </w:tcBorders>
            <w:shd w:val="clear" w:color="auto" w:fill="CCEEFF"/>
          </w:tcPr>
          <w:p>
            <w:pPr>
              <w:spacing w:after="0"/>
              <w:rPr>
                <w:sz w:val="12"/>
                <w:szCs w:val="12"/>
                <w:color w:val="auto"/>
              </w:rPr>
            </w:pPr>
          </w:p>
        </w:tc>
        <w:tc>
          <w:tcPr>
            <w:tcW w:w="3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w w:val="90"/>
              </w:rPr>
              <w:t>25,135</w:t>
            </w:r>
          </w:p>
        </w:tc>
        <w:tc>
          <w:tcPr>
            <w:tcW w:w="24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bottom w:val="single" w:sz="8" w:color="auto"/>
            </w:tcBorders>
            <w:shd w:val="clear" w:color="auto" w:fill="CCEEFF"/>
          </w:tcPr>
          <w:p>
            <w:pPr>
              <w:spacing w:after="0"/>
              <w:rPr>
                <w:sz w:val="12"/>
                <w:szCs w:val="12"/>
                <w:color w:val="auto"/>
              </w:rPr>
            </w:pPr>
          </w:p>
        </w:tc>
        <w:tc>
          <w:tcPr>
            <w:tcW w:w="3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bottom w:val="single" w:sz="8" w:color="auto"/>
            </w:tcBorders>
            <w:shd w:val="clear" w:color="auto" w:fill="CCEEFF"/>
          </w:tcPr>
          <w:p>
            <w:pPr>
              <w:spacing w:after="0"/>
              <w:rPr>
                <w:sz w:val="12"/>
                <w:szCs w:val="12"/>
                <w:color w:val="auto"/>
              </w:rPr>
            </w:pPr>
          </w:p>
        </w:tc>
        <w:tc>
          <w:tcPr>
            <w:tcW w:w="2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25,135</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3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486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3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3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240" w:type="dxa"/>
            <w:vAlign w:val="bottom"/>
            <w:gridSpan w:val="4"/>
            <w:shd w:val="clear" w:color="auto" w:fill="CCEEFF"/>
          </w:tcPr>
          <w:p>
            <w:pPr>
              <w:spacing w:after="0"/>
              <w:rPr>
                <w:sz w:val="20"/>
                <w:szCs w:val="20"/>
                <w:color w:val="auto"/>
              </w:rPr>
            </w:pPr>
            <w:r>
              <w:rPr>
                <w:rFonts w:ascii="Arial" w:cs="Arial" w:eastAsia="Arial" w:hAnsi="Arial"/>
                <w:sz w:val="13"/>
                <w:szCs w:val="13"/>
                <w:color w:val="auto"/>
              </w:rPr>
              <w:t>Derivative financial instruments assets:</w:t>
            </w:r>
          </w:p>
        </w:tc>
        <w:tc>
          <w:tcPr>
            <w:tcW w:w="3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3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9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240" w:type="dxa"/>
            <w:vAlign w:val="bottom"/>
            <w:gridSpan w:val="4"/>
          </w:tcPr>
          <w:p>
            <w:pPr>
              <w:ind w:left="100"/>
              <w:spacing w:after="0"/>
              <w:rPr>
                <w:sz w:val="20"/>
                <w:szCs w:val="20"/>
                <w:color w:val="auto"/>
              </w:rPr>
            </w:pPr>
            <w:r>
              <w:rPr>
                <w:rFonts w:ascii="Arial" w:cs="Arial" w:eastAsia="Arial" w:hAnsi="Arial"/>
                <w:sz w:val="13"/>
                <w:szCs w:val="13"/>
                <w:color w:val="auto"/>
              </w:rPr>
              <w:t>Interest rate swaps</w:t>
            </w:r>
          </w:p>
        </w:tc>
        <w:tc>
          <w:tcPr>
            <w:tcW w:w="38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600" w:type="dxa"/>
            <w:vAlign w:val="bottom"/>
            <w:gridSpan w:val="2"/>
          </w:tcPr>
          <w:p>
            <w:pPr>
              <w:jc w:val="right"/>
              <w:ind w:right="220"/>
              <w:spacing w:after="0"/>
              <w:rPr>
                <w:sz w:val="20"/>
                <w:szCs w:val="20"/>
                <w:color w:val="auto"/>
              </w:rPr>
            </w:pPr>
            <w:r>
              <w:rPr>
                <w:rFonts w:ascii="Arial" w:cs="Arial" w:eastAsia="Arial" w:hAnsi="Arial"/>
                <w:sz w:val="13"/>
                <w:szCs w:val="13"/>
                <w:color w:val="auto"/>
              </w:rPr>
              <w:t>129</w:t>
            </w:r>
          </w:p>
        </w:tc>
        <w:tc>
          <w:tcPr>
            <w:tcW w:w="980" w:type="dxa"/>
            <w:vAlign w:val="bottom"/>
          </w:tcPr>
          <w:p>
            <w:pPr>
              <w:spacing w:after="0"/>
              <w:rPr>
                <w:sz w:val="13"/>
                <w:szCs w:val="13"/>
                <w:color w:val="auto"/>
              </w:rPr>
            </w:pPr>
          </w:p>
        </w:tc>
        <w:tc>
          <w:tcPr>
            <w:tcW w:w="44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129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240" w:type="dxa"/>
            <w:vAlign w:val="bottom"/>
            <w:gridSpan w:val="4"/>
            <w:shd w:val="clear" w:color="auto" w:fill="CCEEFF"/>
          </w:tcPr>
          <w:p>
            <w:pPr>
              <w:ind w:left="100"/>
              <w:spacing w:after="0"/>
              <w:rPr>
                <w:sz w:val="20"/>
                <w:szCs w:val="20"/>
                <w:color w:val="auto"/>
              </w:rPr>
            </w:pPr>
            <w:r>
              <w:rPr>
                <w:rFonts w:ascii="Arial" w:cs="Arial" w:eastAsia="Arial" w:hAnsi="Arial"/>
                <w:sz w:val="13"/>
                <w:szCs w:val="13"/>
                <w:color w:val="auto"/>
              </w:rPr>
              <w:t>Cross-currency swaps</w:t>
            </w:r>
          </w:p>
        </w:tc>
        <w:tc>
          <w:tcPr>
            <w:tcW w:w="3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6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4,550</w:t>
            </w:r>
          </w:p>
        </w:tc>
        <w:tc>
          <w:tcPr>
            <w:tcW w:w="980" w:type="dxa"/>
            <w:vAlign w:val="bottom"/>
            <w:shd w:val="clear" w:color="auto" w:fill="CCEEFF"/>
          </w:tcPr>
          <w:p>
            <w:pPr>
              <w:spacing w:after="0"/>
              <w:rPr>
                <w:sz w:val="13"/>
                <w:szCs w:val="13"/>
                <w:color w:val="auto"/>
              </w:rPr>
            </w:pPr>
          </w:p>
        </w:tc>
        <w:tc>
          <w:tcPr>
            <w:tcW w:w="4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4,550</w:t>
            </w: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6240" w:type="dxa"/>
            <w:vAlign w:val="bottom"/>
            <w:gridSpan w:val="4"/>
          </w:tcPr>
          <w:p>
            <w:pPr>
              <w:ind w:left="100"/>
              <w:spacing w:after="0"/>
              <w:rPr>
                <w:sz w:val="20"/>
                <w:szCs w:val="20"/>
                <w:color w:val="auto"/>
              </w:rPr>
            </w:pPr>
            <w:r>
              <w:rPr>
                <w:rFonts w:ascii="Arial" w:cs="Arial" w:eastAsia="Arial" w:hAnsi="Arial"/>
                <w:sz w:val="13"/>
                <w:szCs w:val="13"/>
                <w:color w:val="auto"/>
              </w:rPr>
              <w:t>Foreign exchange forwards</w:t>
            </w:r>
          </w:p>
        </w:tc>
        <w:tc>
          <w:tcPr>
            <w:tcW w:w="38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600" w:type="dxa"/>
            <w:vAlign w:val="bottom"/>
            <w:gridSpan w:val="2"/>
          </w:tcPr>
          <w:p>
            <w:pPr>
              <w:jc w:val="right"/>
              <w:ind w:right="220"/>
              <w:spacing w:after="0"/>
              <w:rPr>
                <w:sz w:val="20"/>
                <w:szCs w:val="20"/>
                <w:color w:val="auto"/>
              </w:rPr>
            </w:pPr>
            <w:r>
              <w:rPr>
                <w:rFonts w:ascii="Arial" w:cs="Arial" w:eastAsia="Arial" w:hAnsi="Arial"/>
                <w:sz w:val="13"/>
                <w:szCs w:val="13"/>
                <w:color w:val="auto"/>
              </w:rPr>
              <w:t>8,659</w:t>
            </w:r>
          </w:p>
        </w:tc>
        <w:tc>
          <w:tcPr>
            <w:tcW w:w="980" w:type="dxa"/>
            <w:vAlign w:val="bottom"/>
          </w:tcPr>
          <w:p>
            <w:pPr>
              <w:spacing w:after="0"/>
              <w:rPr>
                <w:sz w:val="14"/>
                <w:szCs w:val="14"/>
                <w:color w:val="auto"/>
              </w:rPr>
            </w:pPr>
          </w:p>
        </w:tc>
        <w:tc>
          <w:tcPr>
            <w:tcW w:w="44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8,659</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400" w:type="dxa"/>
            <w:vAlign w:val="bottom"/>
            <w:tcBorders>
              <w:top w:val="single" w:sz="8" w:color="CCEEFF"/>
            </w:tcBorders>
            <w:gridSpan w:val="3"/>
            <w:shd w:val="clear" w:color="auto" w:fill="CCEEFF"/>
          </w:tcPr>
          <w:p>
            <w:pPr>
              <w:spacing w:after="0" w:line="143" w:lineRule="exact"/>
              <w:rPr>
                <w:sz w:val="20"/>
                <w:szCs w:val="20"/>
                <w:color w:val="auto"/>
              </w:rPr>
            </w:pPr>
            <w:r>
              <w:rPr>
                <w:rFonts w:ascii="Arial" w:cs="Arial" w:eastAsia="Arial" w:hAnsi="Arial"/>
                <w:sz w:val="13"/>
                <w:szCs w:val="13"/>
                <w:color w:val="auto"/>
              </w:rPr>
              <w:t>Total derivative financial instruments - assets</w:t>
            </w:r>
          </w:p>
        </w:tc>
        <w:tc>
          <w:tcPr>
            <w:tcW w:w="840" w:type="dxa"/>
            <w:vAlign w:val="bottom"/>
            <w:tcBorders>
              <w:top w:val="single" w:sz="8" w:color="auto"/>
              <w:bottom w:val="single" w:sz="8" w:color="auto"/>
            </w:tcBorders>
            <w:shd w:val="clear" w:color="auto" w:fill="CCEEFF"/>
          </w:tcPr>
          <w:p>
            <w:pPr>
              <w:spacing w:after="0"/>
              <w:rPr>
                <w:sz w:val="12"/>
                <w:szCs w:val="12"/>
                <w:color w:val="auto"/>
              </w:rPr>
            </w:pPr>
          </w:p>
        </w:tc>
        <w:tc>
          <w:tcPr>
            <w:tcW w:w="3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4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bottom w:val="single" w:sz="8" w:color="auto"/>
            </w:tcBorders>
            <w:shd w:val="clear" w:color="auto" w:fill="CCEEFF"/>
          </w:tcPr>
          <w:p>
            <w:pPr>
              <w:spacing w:after="0"/>
              <w:rPr>
                <w:sz w:val="12"/>
                <w:szCs w:val="12"/>
                <w:color w:val="auto"/>
              </w:rPr>
            </w:pPr>
          </w:p>
        </w:tc>
        <w:tc>
          <w:tcPr>
            <w:tcW w:w="38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w w:val="90"/>
              </w:rPr>
              <w:t>13,338</w:t>
            </w:r>
          </w:p>
        </w:tc>
        <w:tc>
          <w:tcPr>
            <w:tcW w:w="22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bottom w:val="single" w:sz="8" w:color="auto"/>
            </w:tcBorders>
            <w:shd w:val="clear" w:color="auto" w:fill="CCEEFF"/>
          </w:tcPr>
          <w:p>
            <w:pPr>
              <w:spacing w:after="0"/>
              <w:rPr>
                <w:sz w:val="12"/>
                <w:szCs w:val="12"/>
                <w:color w:val="auto"/>
              </w:rPr>
            </w:pPr>
          </w:p>
        </w:tc>
        <w:tc>
          <w:tcPr>
            <w:tcW w:w="2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13,338</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5400" w:type="dxa"/>
            <w:vAlign w:val="bottom"/>
            <w:tcBorders>
              <w:bottom w:val="single" w:sz="8" w:color="CCEEFF"/>
            </w:tcBorders>
            <w:gridSpan w:val="3"/>
          </w:tcPr>
          <w:p>
            <w:pPr>
              <w:spacing w:after="0" w:line="146" w:lineRule="exact"/>
              <w:rPr>
                <w:sz w:val="20"/>
                <w:szCs w:val="20"/>
                <w:color w:val="auto"/>
              </w:rPr>
            </w:pPr>
            <w:r>
              <w:rPr>
                <w:rFonts w:ascii="Arial" w:cs="Arial" w:eastAsia="Arial" w:hAnsi="Arial"/>
                <w:sz w:val="13"/>
                <w:szCs w:val="13"/>
                <w:b w:val="1"/>
                <w:bCs w:val="1"/>
                <w:color w:val="auto"/>
              </w:rPr>
              <w:t>Total assets at fair value</w:t>
            </w:r>
          </w:p>
        </w:tc>
        <w:tc>
          <w:tcPr>
            <w:tcW w:w="840" w:type="dxa"/>
            <w:vAlign w:val="bottom"/>
            <w:tcBorders>
              <w:bottom w:val="single" w:sz="8" w:color="auto"/>
            </w:tcBorders>
          </w:tcPr>
          <w:p>
            <w:pPr>
              <w:spacing w:after="0"/>
              <w:rPr>
                <w:sz w:val="14"/>
                <w:szCs w:val="14"/>
                <w:color w:val="auto"/>
              </w:rPr>
            </w:pPr>
          </w:p>
        </w:tc>
        <w:tc>
          <w:tcPr>
            <w:tcW w:w="38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w w:val="90"/>
              </w:rPr>
              <w:t>25,135</w:t>
            </w:r>
          </w:p>
        </w:tc>
        <w:tc>
          <w:tcPr>
            <w:tcW w:w="240" w:type="dxa"/>
            <w:vAlign w:val="bottom"/>
            <w:tcBorders>
              <w:bottom w:val="single" w:sz="8" w:color="CCEEFF"/>
            </w:tcBorders>
          </w:tcPr>
          <w:p>
            <w:pPr>
              <w:spacing w:after="0"/>
              <w:rPr>
                <w:sz w:val="14"/>
                <w:szCs w:val="14"/>
                <w:color w:val="auto"/>
              </w:rPr>
            </w:pPr>
          </w:p>
        </w:tc>
        <w:tc>
          <w:tcPr>
            <w:tcW w:w="820" w:type="dxa"/>
            <w:vAlign w:val="bottom"/>
            <w:tcBorders>
              <w:bottom w:val="single" w:sz="8" w:color="auto"/>
            </w:tcBorders>
          </w:tcPr>
          <w:p>
            <w:pPr>
              <w:spacing w:after="0"/>
              <w:rPr>
                <w:sz w:val="14"/>
                <w:szCs w:val="14"/>
                <w:color w:val="auto"/>
              </w:rPr>
            </w:pPr>
          </w:p>
        </w:tc>
        <w:tc>
          <w:tcPr>
            <w:tcW w:w="38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w w:val="90"/>
              </w:rPr>
              <w:t>13,338</w:t>
            </w:r>
          </w:p>
        </w:tc>
        <w:tc>
          <w:tcPr>
            <w:tcW w:w="220" w:type="dxa"/>
            <w:vAlign w:val="bottom"/>
            <w:tcBorders>
              <w:bottom w:val="single" w:sz="8" w:color="CCEEFF"/>
            </w:tcBorders>
          </w:tcPr>
          <w:p>
            <w:pPr>
              <w:spacing w:after="0"/>
              <w:rPr>
                <w:sz w:val="14"/>
                <w:szCs w:val="14"/>
                <w:color w:val="auto"/>
              </w:rPr>
            </w:pPr>
          </w:p>
        </w:tc>
        <w:tc>
          <w:tcPr>
            <w:tcW w:w="9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w:t>
            </w:r>
          </w:p>
        </w:tc>
        <w:tc>
          <w:tcPr>
            <w:tcW w:w="220" w:type="dxa"/>
            <w:vAlign w:val="bottom"/>
            <w:tcBorders>
              <w:bottom w:val="single" w:sz="8" w:color="CCEEFF"/>
            </w:tcBorders>
          </w:tcPr>
          <w:p>
            <w:pPr>
              <w:spacing w:after="0"/>
              <w:rPr>
                <w:sz w:val="14"/>
                <w:szCs w:val="1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38,473</w:t>
            </w:r>
          </w:p>
        </w:tc>
        <w:tc>
          <w:tcPr>
            <w:tcW w:w="10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34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4860" w:type="dxa"/>
            <w:vAlign w:val="bottom"/>
            <w:shd w:val="clear" w:color="auto" w:fill="CCEEFF"/>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3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3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9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540" w:type="dxa"/>
            <w:vAlign w:val="bottom"/>
            <w:tcBorders>
              <w:bottom w:val="single" w:sz="8" w:color="auto"/>
            </w:tcBorders>
            <w:gridSpan w:val="2"/>
          </w:tcPr>
          <w:p>
            <w:pPr>
              <w:spacing w:after="0" w:line="125" w:lineRule="exact"/>
              <w:rPr>
                <w:sz w:val="20"/>
                <w:szCs w:val="20"/>
                <w:color w:val="auto"/>
              </w:rPr>
            </w:pPr>
            <w:r>
              <w:rPr>
                <w:rFonts w:ascii="Arial" w:cs="Arial" w:eastAsia="Arial" w:hAnsi="Arial"/>
                <w:sz w:val="13"/>
                <w:szCs w:val="13"/>
                <w:b w:val="1"/>
                <w:bCs w:val="1"/>
                <w:color w:val="auto"/>
                <w:w w:val="86"/>
              </w:rPr>
              <w:t>Liabilities</w:t>
            </w:r>
          </w:p>
        </w:tc>
        <w:tc>
          <w:tcPr>
            <w:tcW w:w="5700" w:type="dxa"/>
            <w:vAlign w:val="bottom"/>
            <w:gridSpan w:val="2"/>
          </w:tcPr>
          <w:p>
            <w:pPr>
              <w:spacing w:after="0"/>
              <w:rPr>
                <w:sz w:val="11"/>
                <w:szCs w:val="11"/>
                <w:color w:val="auto"/>
              </w:rPr>
            </w:pPr>
          </w:p>
        </w:tc>
        <w:tc>
          <w:tcPr>
            <w:tcW w:w="3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3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240" w:type="dxa"/>
            <w:vAlign w:val="bottom"/>
            <w:gridSpan w:val="4"/>
            <w:shd w:val="clear" w:color="auto" w:fill="CCEEFF"/>
          </w:tcPr>
          <w:p>
            <w:pPr>
              <w:spacing w:after="0"/>
              <w:rPr>
                <w:sz w:val="20"/>
                <w:szCs w:val="20"/>
                <w:color w:val="auto"/>
              </w:rPr>
            </w:pPr>
            <w:r>
              <w:rPr>
                <w:rFonts w:ascii="Arial" w:cs="Arial" w:eastAsia="Arial" w:hAnsi="Arial"/>
                <w:sz w:val="13"/>
                <w:szCs w:val="13"/>
                <w:color w:val="auto"/>
              </w:rPr>
              <w:t>Derivative financial instruments liabilities:</w:t>
            </w:r>
          </w:p>
        </w:tc>
        <w:tc>
          <w:tcPr>
            <w:tcW w:w="3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3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9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240" w:type="dxa"/>
            <w:vAlign w:val="bottom"/>
            <w:gridSpan w:val="4"/>
          </w:tcPr>
          <w:p>
            <w:pPr>
              <w:ind w:left="100"/>
              <w:spacing w:after="0"/>
              <w:rPr>
                <w:sz w:val="20"/>
                <w:szCs w:val="20"/>
                <w:color w:val="auto"/>
              </w:rPr>
            </w:pPr>
            <w:r>
              <w:rPr>
                <w:rFonts w:ascii="Arial" w:cs="Arial" w:eastAsia="Arial" w:hAnsi="Arial"/>
                <w:sz w:val="13"/>
                <w:szCs w:val="13"/>
                <w:color w:val="auto"/>
              </w:rPr>
              <w:t>Interest rate swaps</w:t>
            </w:r>
          </w:p>
        </w:tc>
        <w:tc>
          <w:tcPr>
            <w:tcW w:w="38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600" w:type="dxa"/>
            <w:vAlign w:val="bottom"/>
            <w:gridSpan w:val="2"/>
          </w:tcPr>
          <w:p>
            <w:pPr>
              <w:jc w:val="right"/>
              <w:ind w:right="220"/>
              <w:spacing w:after="0"/>
              <w:rPr>
                <w:sz w:val="20"/>
                <w:szCs w:val="20"/>
                <w:color w:val="auto"/>
              </w:rPr>
            </w:pPr>
            <w:r>
              <w:rPr>
                <w:rFonts w:ascii="Arial" w:cs="Arial" w:eastAsia="Arial" w:hAnsi="Arial"/>
                <w:sz w:val="13"/>
                <w:szCs w:val="13"/>
                <w:color w:val="auto"/>
              </w:rPr>
              <w:t>4,789</w:t>
            </w:r>
          </w:p>
        </w:tc>
        <w:tc>
          <w:tcPr>
            <w:tcW w:w="980" w:type="dxa"/>
            <w:vAlign w:val="bottom"/>
          </w:tcPr>
          <w:p>
            <w:pPr>
              <w:spacing w:after="0"/>
              <w:rPr>
                <w:sz w:val="13"/>
                <w:szCs w:val="13"/>
                <w:color w:val="auto"/>
              </w:rPr>
            </w:pPr>
          </w:p>
        </w:tc>
        <w:tc>
          <w:tcPr>
            <w:tcW w:w="44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4,789</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6240" w:type="dxa"/>
            <w:vAlign w:val="bottom"/>
            <w:gridSpan w:val="4"/>
            <w:shd w:val="clear" w:color="auto" w:fill="CCEEFF"/>
          </w:tcPr>
          <w:p>
            <w:pPr>
              <w:ind w:left="100"/>
              <w:spacing w:after="0"/>
              <w:rPr>
                <w:sz w:val="20"/>
                <w:szCs w:val="20"/>
                <w:color w:val="auto"/>
              </w:rPr>
            </w:pPr>
            <w:r>
              <w:rPr>
                <w:rFonts w:ascii="Arial" w:cs="Arial" w:eastAsia="Arial" w:hAnsi="Arial"/>
                <w:sz w:val="13"/>
                <w:szCs w:val="13"/>
                <w:color w:val="auto"/>
              </w:rPr>
              <w:t>Cross-currency swaps</w:t>
            </w:r>
          </w:p>
        </w:tc>
        <w:tc>
          <w:tcPr>
            <w:tcW w:w="3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4"/>
                <w:szCs w:val="14"/>
                <w:color w:val="auto"/>
              </w:rPr>
            </w:pPr>
          </w:p>
        </w:tc>
        <w:tc>
          <w:tcPr>
            <w:tcW w:w="820" w:type="dxa"/>
            <w:vAlign w:val="bottom"/>
            <w:shd w:val="clear" w:color="auto" w:fill="CCEEFF"/>
          </w:tcPr>
          <w:p>
            <w:pPr>
              <w:spacing w:after="0"/>
              <w:rPr>
                <w:sz w:val="14"/>
                <w:szCs w:val="14"/>
                <w:color w:val="auto"/>
              </w:rPr>
            </w:pPr>
          </w:p>
        </w:tc>
        <w:tc>
          <w:tcPr>
            <w:tcW w:w="6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w w:val="90"/>
              </w:rPr>
              <w:t>30,154</w:t>
            </w:r>
          </w:p>
        </w:tc>
        <w:tc>
          <w:tcPr>
            <w:tcW w:w="980" w:type="dxa"/>
            <w:vAlign w:val="bottom"/>
            <w:shd w:val="clear" w:color="auto" w:fill="CCEEFF"/>
          </w:tcPr>
          <w:p>
            <w:pPr>
              <w:spacing w:after="0"/>
              <w:rPr>
                <w:sz w:val="14"/>
                <w:szCs w:val="14"/>
                <w:color w:val="auto"/>
              </w:rPr>
            </w:pPr>
          </w:p>
        </w:tc>
        <w:tc>
          <w:tcPr>
            <w:tcW w:w="4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30,154</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400" w:type="dxa"/>
            <w:vAlign w:val="bottom"/>
            <w:tcBorders>
              <w:bottom w:val="single" w:sz="8" w:color="CCEEFF"/>
            </w:tcBorders>
            <w:gridSpan w:val="3"/>
          </w:tcPr>
          <w:p>
            <w:pPr>
              <w:spacing w:after="0" w:line="143" w:lineRule="exact"/>
              <w:rPr>
                <w:sz w:val="20"/>
                <w:szCs w:val="20"/>
                <w:color w:val="auto"/>
              </w:rPr>
            </w:pPr>
            <w:r>
              <w:rPr>
                <w:rFonts w:ascii="Arial" w:cs="Arial" w:eastAsia="Arial" w:hAnsi="Arial"/>
                <w:sz w:val="13"/>
                <w:szCs w:val="13"/>
                <w:color w:val="auto"/>
              </w:rPr>
              <w:t>Total derivative financial instruments - liabilities</w:t>
            </w:r>
          </w:p>
        </w:tc>
        <w:tc>
          <w:tcPr>
            <w:tcW w:w="840" w:type="dxa"/>
            <w:vAlign w:val="bottom"/>
            <w:tcBorders>
              <w:top w:val="single" w:sz="8" w:color="auto"/>
              <w:bottom w:val="single" w:sz="8" w:color="auto"/>
            </w:tcBorders>
          </w:tcPr>
          <w:p>
            <w:pPr>
              <w:spacing w:after="0"/>
              <w:rPr>
                <w:sz w:val="12"/>
                <w:szCs w:val="12"/>
                <w:color w:val="auto"/>
              </w:rPr>
            </w:pPr>
          </w:p>
        </w:tc>
        <w:tc>
          <w:tcPr>
            <w:tcW w:w="3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w:t>
            </w:r>
          </w:p>
        </w:tc>
        <w:tc>
          <w:tcPr>
            <w:tcW w:w="240" w:type="dxa"/>
            <w:vAlign w:val="bottom"/>
            <w:tcBorders>
              <w:bottom w:val="single" w:sz="8" w:color="CCEEFF"/>
            </w:tcBorders>
          </w:tcPr>
          <w:p>
            <w:pPr>
              <w:spacing w:after="0"/>
              <w:rPr>
                <w:sz w:val="12"/>
                <w:szCs w:val="12"/>
                <w:color w:val="auto"/>
              </w:rPr>
            </w:pPr>
          </w:p>
        </w:tc>
        <w:tc>
          <w:tcPr>
            <w:tcW w:w="820" w:type="dxa"/>
            <w:vAlign w:val="bottom"/>
            <w:tcBorders>
              <w:top w:val="single" w:sz="8" w:color="auto"/>
              <w:bottom w:val="single" w:sz="8" w:color="auto"/>
            </w:tcBorders>
          </w:tcPr>
          <w:p>
            <w:pPr>
              <w:spacing w:after="0"/>
              <w:rPr>
                <w:sz w:val="12"/>
                <w:szCs w:val="12"/>
                <w:color w:val="auto"/>
              </w:rPr>
            </w:pPr>
          </w:p>
        </w:tc>
        <w:tc>
          <w:tcPr>
            <w:tcW w:w="3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w w:val="90"/>
              </w:rPr>
              <w:t>34,943</w:t>
            </w:r>
          </w:p>
        </w:tc>
        <w:tc>
          <w:tcPr>
            <w:tcW w:w="220" w:type="dxa"/>
            <w:vAlign w:val="bottom"/>
            <w:tcBorders>
              <w:bottom w:val="single" w:sz="8" w:color="CCEEFF"/>
            </w:tcBorders>
          </w:tcPr>
          <w:p>
            <w:pPr>
              <w:spacing w:after="0"/>
              <w:rPr>
                <w:sz w:val="12"/>
                <w:szCs w:val="12"/>
                <w:color w:val="auto"/>
              </w:rPr>
            </w:pPr>
          </w:p>
        </w:tc>
        <w:tc>
          <w:tcPr>
            <w:tcW w:w="980" w:type="dxa"/>
            <w:vAlign w:val="bottom"/>
            <w:tcBorders>
              <w:top w:val="single" w:sz="8" w:color="auto"/>
              <w:bottom w:val="single" w:sz="8" w:color="auto"/>
            </w:tcBorders>
          </w:tcPr>
          <w:p>
            <w:pPr>
              <w:spacing w:after="0"/>
              <w:rPr>
                <w:sz w:val="12"/>
                <w:szCs w:val="12"/>
                <w:color w:val="auto"/>
              </w:rPr>
            </w:pPr>
          </w:p>
        </w:tc>
        <w:tc>
          <w:tcPr>
            <w:tcW w:w="22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bottom w:val="single" w:sz="8" w:color="CCEEFF"/>
            </w:tcBorders>
          </w:tcPr>
          <w:p>
            <w:pPr>
              <w:spacing w:after="0"/>
              <w:rPr>
                <w:sz w:val="12"/>
                <w:szCs w:val="12"/>
                <w:color w:val="auto"/>
              </w:rPr>
            </w:pPr>
          </w:p>
        </w:tc>
        <w:tc>
          <w:tcPr>
            <w:tcW w:w="120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34,943</w:t>
            </w:r>
          </w:p>
        </w:tc>
        <w:tc>
          <w:tcPr>
            <w:tcW w:w="100" w:type="dxa"/>
            <w:vAlign w:val="bottom"/>
            <w:tcBorders>
              <w:bottom w:val="single" w:sz="8" w:color="CCEEFF"/>
            </w:tcBorders>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5400" w:type="dxa"/>
            <w:vAlign w:val="bottom"/>
            <w:tcBorders>
              <w:bottom w:val="single" w:sz="8" w:color="CCEEFF"/>
            </w:tcBorders>
            <w:gridSpan w:val="3"/>
            <w:shd w:val="clear" w:color="auto" w:fill="CCEEFF"/>
          </w:tcPr>
          <w:p>
            <w:pPr>
              <w:spacing w:after="0" w:line="146" w:lineRule="exact"/>
              <w:rPr>
                <w:sz w:val="20"/>
                <w:szCs w:val="20"/>
                <w:color w:val="auto"/>
              </w:rPr>
            </w:pPr>
            <w:r>
              <w:rPr>
                <w:rFonts w:ascii="Arial" w:cs="Arial" w:eastAsia="Arial" w:hAnsi="Arial"/>
                <w:sz w:val="13"/>
                <w:szCs w:val="13"/>
                <w:b w:val="1"/>
                <w:bCs w:val="1"/>
                <w:color w:val="auto"/>
              </w:rPr>
              <w:t>Total liabilities at fair value</w:t>
            </w:r>
          </w:p>
        </w:tc>
        <w:tc>
          <w:tcPr>
            <w:tcW w:w="840" w:type="dxa"/>
            <w:vAlign w:val="bottom"/>
            <w:tcBorders>
              <w:bottom w:val="single" w:sz="8" w:color="auto"/>
            </w:tcBorders>
            <w:shd w:val="clear" w:color="auto" w:fill="CCEEFF"/>
          </w:tcPr>
          <w:p>
            <w:pPr>
              <w:spacing w:after="0"/>
              <w:rPr>
                <w:sz w:val="14"/>
                <w:szCs w:val="14"/>
                <w:color w:val="auto"/>
              </w:rPr>
            </w:pPr>
          </w:p>
        </w:tc>
        <w:tc>
          <w:tcPr>
            <w:tcW w:w="3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w:t>
            </w:r>
          </w:p>
        </w:tc>
        <w:tc>
          <w:tcPr>
            <w:tcW w:w="240" w:type="dxa"/>
            <w:vAlign w:val="bottom"/>
            <w:tcBorders>
              <w:bottom w:val="single" w:sz="8" w:color="CCEEFF"/>
            </w:tcBorders>
            <w:shd w:val="clear" w:color="auto" w:fill="CCEEFF"/>
          </w:tcPr>
          <w:p>
            <w:pPr>
              <w:spacing w:after="0"/>
              <w:rPr>
                <w:sz w:val="14"/>
                <w:szCs w:val="14"/>
                <w:color w:val="auto"/>
              </w:rPr>
            </w:pPr>
          </w:p>
        </w:tc>
        <w:tc>
          <w:tcPr>
            <w:tcW w:w="820" w:type="dxa"/>
            <w:vAlign w:val="bottom"/>
            <w:tcBorders>
              <w:bottom w:val="single" w:sz="8" w:color="auto"/>
            </w:tcBorders>
            <w:shd w:val="clear" w:color="auto" w:fill="CCEEFF"/>
          </w:tcPr>
          <w:p>
            <w:pPr>
              <w:spacing w:after="0"/>
              <w:rPr>
                <w:sz w:val="14"/>
                <w:szCs w:val="14"/>
                <w:color w:val="auto"/>
              </w:rPr>
            </w:pPr>
          </w:p>
        </w:tc>
        <w:tc>
          <w:tcPr>
            <w:tcW w:w="3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w w:val="90"/>
              </w:rPr>
              <w:t>34,943</w:t>
            </w:r>
          </w:p>
        </w:tc>
        <w:tc>
          <w:tcPr>
            <w:tcW w:w="220" w:type="dxa"/>
            <w:vAlign w:val="bottom"/>
            <w:tcBorders>
              <w:bottom w:val="single" w:sz="8" w:color="CCEEFF"/>
            </w:tcBorders>
            <w:shd w:val="clear" w:color="auto" w:fill="CCEEFF"/>
          </w:tcPr>
          <w:p>
            <w:pPr>
              <w:spacing w:after="0"/>
              <w:rPr>
                <w:sz w:val="14"/>
                <w:szCs w:val="14"/>
                <w:color w:val="auto"/>
              </w:rPr>
            </w:pPr>
          </w:p>
        </w:tc>
        <w:tc>
          <w:tcPr>
            <w:tcW w:w="980" w:type="dxa"/>
            <w:vAlign w:val="bottom"/>
            <w:tcBorders>
              <w:bottom w:val="single" w:sz="8" w:color="auto"/>
            </w:tcBorders>
            <w:shd w:val="clear" w:color="auto" w:fill="CCEEFF"/>
          </w:tcPr>
          <w:p>
            <w:pPr>
              <w:spacing w:after="0"/>
              <w:rPr>
                <w:sz w:val="14"/>
                <w:szCs w:val="14"/>
                <w:color w:val="auto"/>
              </w:rPr>
            </w:pPr>
          </w:p>
        </w:tc>
        <w:tc>
          <w:tcPr>
            <w:tcW w:w="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w:t>
            </w:r>
          </w:p>
        </w:tc>
        <w:tc>
          <w:tcPr>
            <w:tcW w:w="220" w:type="dxa"/>
            <w:vAlign w:val="bottom"/>
            <w:tcBorders>
              <w:bottom w:val="single" w:sz="8" w:color="CCEEFF"/>
            </w:tcBorders>
            <w:shd w:val="clear" w:color="auto" w:fill="CCEEFF"/>
          </w:tcPr>
          <w:p>
            <w:pPr>
              <w:spacing w:after="0"/>
              <w:rPr>
                <w:sz w:val="14"/>
                <w:szCs w:val="14"/>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34,943</w:t>
            </w:r>
          </w:p>
        </w:tc>
        <w:tc>
          <w:tcPr>
            <w:tcW w:w="100" w:type="dxa"/>
            <w:vAlign w:val="bottom"/>
            <w:tcBorders>
              <w:bottom w:val="single" w:sz="8" w:color="CCEEFF"/>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bl>
    <w:p>
      <w:pPr>
        <w:spacing w:after="0" w:line="145" w:lineRule="exact"/>
        <w:rPr>
          <w:sz w:val="20"/>
          <w:szCs w:val="20"/>
          <w:color w:val="auto"/>
        </w:rPr>
      </w:pPr>
    </w:p>
    <w:p>
      <w:pPr>
        <w:ind w:left="800" w:hanging="225"/>
        <w:spacing w:after="0" w:line="194" w:lineRule="auto"/>
        <w:tabs>
          <w:tab w:leader="none" w:pos="800" w:val="left"/>
        </w:tabs>
        <w:numPr>
          <w:ilvl w:val="0"/>
          <w:numId w:val="179"/>
        </w:numPr>
        <w:rPr>
          <w:rFonts w:ascii="Arial" w:cs="Arial" w:eastAsia="Arial" w:hAnsi="Arial"/>
          <w:sz w:val="21"/>
          <w:szCs w:val="21"/>
          <w:color w:val="222222"/>
          <w:vertAlign w:val="superscript"/>
        </w:rPr>
      </w:pPr>
      <w:r>
        <w:rPr>
          <w:rFonts w:ascii="Arial" w:cs="Arial" w:eastAsia="Arial" w:hAnsi="Arial"/>
          <w:sz w:val="13"/>
          <w:szCs w:val="13"/>
          <w:color w:val="222222"/>
        </w:rPr>
        <w:t>At December 31, 2017, securities at FVOCI with a carrying amount of $3.0 million were reclassified from level 2 to level 1 of the fair value hierarchy, due to an upgrade valuation of Bloomberg “BVAL” from 7 to 10 during 2017.</w:t>
      </w:r>
    </w:p>
    <w:p>
      <w:pPr>
        <w:spacing w:after="0" w:line="146" w:lineRule="exact"/>
        <w:rPr>
          <w:sz w:val="20"/>
          <w:szCs w:val="20"/>
          <w:color w:val="auto"/>
        </w:rPr>
      </w:pPr>
    </w:p>
    <w:p>
      <w:pPr>
        <w:jc w:val="both"/>
        <w:ind w:left="220"/>
        <w:spacing w:after="0" w:line="267" w:lineRule="auto"/>
        <w:rPr>
          <w:sz w:val="20"/>
          <w:szCs w:val="20"/>
          <w:color w:val="auto"/>
        </w:rPr>
      </w:pPr>
      <w:r>
        <w:rPr>
          <w:rFonts w:ascii="Arial" w:cs="Arial" w:eastAsia="Arial" w:hAnsi="Arial"/>
          <w:sz w:val="13"/>
          <w:szCs w:val="13"/>
          <w:color w:val="auto"/>
        </w:rPr>
        <w:t>Fair value calculations are only provided for a limited portion of the Bank’s financial assets and liabilities. Due to a wide range of valuation techniques and the degree of subjectivity used in making the estimates, comparison of fair value information of the Bank and other companies may not be meaningful for comparative analysis.</w:t>
      </w:r>
    </w:p>
    <w:p>
      <w:pPr>
        <w:spacing w:after="0" w:line="129" w:lineRule="exact"/>
        <w:rPr>
          <w:sz w:val="20"/>
          <w:szCs w:val="20"/>
          <w:color w:val="auto"/>
        </w:rPr>
      </w:pPr>
    </w:p>
    <w:p>
      <w:pPr>
        <w:ind w:left="220"/>
        <w:spacing w:after="0"/>
        <w:rPr>
          <w:sz w:val="20"/>
          <w:szCs w:val="20"/>
          <w:color w:val="auto"/>
        </w:rPr>
      </w:pPr>
      <w:r>
        <w:rPr>
          <w:rFonts w:ascii="Arial" w:cs="Arial" w:eastAsia="Arial" w:hAnsi="Arial"/>
          <w:sz w:val="13"/>
          <w:szCs w:val="13"/>
          <w:u w:val="single" w:color="auto"/>
          <w:color w:val="222222"/>
        </w:rPr>
        <w:t>Non-recurring valuation</w:t>
      </w:r>
      <w:r>
        <w:rPr>
          <w:rFonts w:ascii="Arial" w:cs="Arial" w:eastAsia="Arial" w:hAnsi="Arial"/>
          <w:sz w:val="13"/>
          <w:szCs w:val="13"/>
          <w:color w:val="222222"/>
        </w:rPr>
        <w:t>:</w:t>
      </w:r>
    </w:p>
    <w:p>
      <w:pPr>
        <w:spacing w:after="0" w:line="159" w:lineRule="exact"/>
        <w:rPr>
          <w:sz w:val="20"/>
          <w:szCs w:val="20"/>
          <w:color w:val="auto"/>
        </w:rPr>
      </w:pPr>
    </w:p>
    <w:p>
      <w:pPr>
        <w:ind w:left="220"/>
        <w:spacing w:after="0"/>
        <w:rPr>
          <w:sz w:val="20"/>
          <w:szCs w:val="20"/>
          <w:color w:val="auto"/>
        </w:rPr>
      </w:pPr>
      <w:r>
        <w:rPr>
          <w:rFonts w:ascii="Arial" w:cs="Arial" w:eastAsia="Arial" w:hAnsi="Arial"/>
          <w:sz w:val="13"/>
          <w:szCs w:val="13"/>
          <w:color w:val="222222"/>
        </w:rPr>
        <w:t>The following methods and inputs were used by the Bank’s management in estimating the fair values of financial instruments whose fair value is not measured on a recurring basis:</w:t>
      </w:r>
    </w:p>
    <w:p>
      <w:pPr>
        <w:spacing w:after="0" w:line="159" w:lineRule="exact"/>
        <w:rPr>
          <w:sz w:val="20"/>
          <w:szCs w:val="20"/>
          <w:color w:val="auto"/>
        </w:rPr>
      </w:pPr>
    </w:p>
    <w:p>
      <w:pPr>
        <w:ind w:left="220"/>
        <w:spacing w:after="0"/>
        <w:rPr>
          <w:sz w:val="20"/>
          <w:szCs w:val="20"/>
          <w:color w:val="auto"/>
        </w:rPr>
      </w:pPr>
      <w:r>
        <w:rPr>
          <w:rFonts w:ascii="Arial" w:cs="Arial" w:eastAsia="Arial" w:hAnsi="Arial"/>
          <w:sz w:val="13"/>
          <w:szCs w:val="13"/>
          <w:u w:val="single" w:color="auto"/>
          <w:color w:val="auto"/>
        </w:rPr>
        <w:t>Financial instruments with carrying value that approximates fair value</w:t>
      </w:r>
    </w:p>
    <w:p>
      <w:pPr>
        <w:spacing w:after="0" w:line="159" w:lineRule="exact"/>
        <w:rPr>
          <w:sz w:val="20"/>
          <w:szCs w:val="20"/>
          <w:color w:val="auto"/>
        </w:rPr>
      </w:pPr>
    </w:p>
    <w:p>
      <w:pPr>
        <w:jc w:val="both"/>
        <w:ind w:left="220"/>
        <w:spacing w:after="0" w:line="257" w:lineRule="auto"/>
        <w:rPr>
          <w:sz w:val="20"/>
          <w:szCs w:val="20"/>
          <w:color w:val="auto"/>
        </w:rPr>
      </w:pPr>
      <w:r>
        <w:rPr>
          <w:rFonts w:ascii="Arial" w:cs="Arial" w:eastAsia="Arial" w:hAnsi="Arial"/>
          <w:sz w:val="13"/>
          <w:szCs w:val="13"/>
          <w:color w:val="auto"/>
        </w:rPr>
        <w:t>The carrying value of certain financial assets, including cash and due from banks, interest-bearing deposits in banks, customers’ liabilities under acceptances, interest receivable and certain financial liabilities including customer’s demand and time deposits, securities sold under repurchase agreements, interest payable, and acceptances outstanding, due to their short-term nature, is considered to approximate their fair value. These instruments are classified in Level 2.</w:t>
      </w:r>
    </w:p>
    <w:p>
      <w:pPr>
        <w:spacing w:after="0" w:line="290"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F-89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14605</wp:posOffset>
            </wp:positionV>
            <wp:extent cx="7285990" cy="6350"/>
            <wp:wrapNone/>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36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85" w:right="219" w:bottom="1440" w:gutter="0" w:footer="0" w:header="0"/>
        </w:sectPr>
      </w:pPr>
    </w:p>
    <w:bookmarkStart w:id="214" w:name="page215"/>
    <w:bookmarkEnd w:id="214"/>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36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right="8700" w:hanging="223"/>
        <w:spacing w:after="0" w:line="539" w:lineRule="auto"/>
        <w:tabs>
          <w:tab w:leader="none" w:pos="223" w:val="left"/>
        </w:tabs>
        <w:numPr>
          <w:ilvl w:val="0"/>
          <w:numId w:val="180"/>
        </w:numPr>
        <w:rPr>
          <w:rFonts w:ascii="Arial" w:cs="Arial" w:eastAsia="Arial" w:hAnsi="Arial"/>
          <w:sz w:val="12"/>
          <w:szCs w:val="12"/>
          <w:b w:val="1"/>
          <w:bCs w:val="1"/>
          <w:color w:val="auto"/>
        </w:rPr>
      </w:pPr>
      <w:r>
        <w:rPr>
          <w:rFonts w:ascii="Arial" w:cs="Arial" w:eastAsia="Arial" w:hAnsi="Arial"/>
          <w:sz w:val="12"/>
          <w:szCs w:val="12"/>
          <w:b w:val="1"/>
          <w:bCs w:val="1"/>
          <w:color w:val="auto"/>
        </w:rPr>
        <w:t xml:space="preserve">Fair value of financial instruments (continued) </w:t>
      </w:r>
      <w:r>
        <w:rPr>
          <w:rFonts w:ascii="Arial" w:cs="Arial" w:eastAsia="Arial" w:hAnsi="Arial"/>
          <w:sz w:val="12"/>
          <w:szCs w:val="12"/>
          <w:u w:val="single" w:color="auto"/>
          <w:color w:val="222222"/>
        </w:rPr>
        <w:t>Non-recurring basic (continued)</w:t>
      </w:r>
    </w:p>
    <w:p>
      <w:pPr>
        <w:ind w:left="223"/>
        <w:spacing w:after="0"/>
        <w:rPr>
          <w:rFonts w:ascii="Arial" w:cs="Arial" w:eastAsia="Arial" w:hAnsi="Arial"/>
          <w:sz w:val="12"/>
          <w:szCs w:val="12"/>
          <w:b w:val="1"/>
          <w:bCs w:val="1"/>
          <w:color w:val="auto"/>
        </w:rPr>
      </w:pPr>
      <w:r>
        <w:rPr>
          <w:rFonts w:ascii="Arial" w:cs="Arial" w:eastAsia="Arial" w:hAnsi="Arial"/>
          <w:sz w:val="13"/>
          <w:szCs w:val="13"/>
          <w:u w:val="single" w:color="auto"/>
          <w:color w:val="auto"/>
        </w:rPr>
        <w:t>Securities at amortized cost</w:t>
      </w:r>
    </w:p>
    <w:p>
      <w:pPr>
        <w:spacing w:after="0" w:line="158" w:lineRule="exact"/>
        <w:rPr>
          <w:rFonts w:ascii="Arial" w:cs="Arial" w:eastAsia="Arial" w:hAnsi="Arial"/>
          <w:sz w:val="12"/>
          <w:szCs w:val="12"/>
          <w:b w:val="1"/>
          <w:bCs w:val="1"/>
          <w:color w:val="auto"/>
        </w:rPr>
      </w:pPr>
    </w:p>
    <w:p>
      <w:pPr>
        <w:ind w:left="223" w:right="20"/>
        <w:spacing w:after="0" w:line="310" w:lineRule="auto"/>
        <w:rPr>
          <w:rFonts w:ascii="Arial" w:cs="Arial" w:eastAsia="Arial" w:hAnsi="Arial"/>
          <w:sz w:val="12"/>
          <w:szCs w:val="12"/>
          <w:b w:val="1"/>
          <w:bCs w:val="1"/>
          <w:color w:val="auto"/>
        </w:rPr>
      </w:pPr>
      <w:r>
        <w:rPr>
          <w:rFonts w:ascii="Arial" w:cs="Arial" w:eastAsia="Arial" w:hAnsi="Arial"/>
          <w:sz w:val="12"/>
          <w:szCs w:val="12"/>
          <w:color w:val="auto"/>
        </w:rPr>
        <w:t>The fair value has been estimated upon current market quotations, where available. If quoted market prices are not available, fair value has been estimated based upon quoted prices of similar instruments, or where these are not available, on discounted expected cash flows using market rates commensurate with the credit quality and maturity of the security. These securities are classified in Levels 1 and 2.</w:t>
      </w:r>
    </w:p>
    <w:p>
      <w:pPr>
        <w:spacing w:after="0" w:line="105" w:lineRule="exact"/>
        <w:rPr>
          <w:rFonts w:ascii="Arial" w:cs="Arial" w:eastAsia="Arial" w:hAnsi="Arial"/>
          <w:sz w:val="12"/>
          <w:szCs w:val="12"/>
          <w:b w:val="1"/>
          <w:bCs w:val="1"/>
          <w:color w:val="auto"/>
        </w:rPr>
      </w:pPr>
    </w:p>
    <w:p>
      <w:pPr>
        <w:ind w:left="223"/>
        <w:spacing w:after="0"/>
        <w:rPr>
          <w:rFonts w:ascii="Arial" w:cs="Arial" w:eastAsia="Arial" w:hAnsi="Arial"/>
          <w:sz w:val="12"/>
          <w:szCs w:val="12"/>
          <w:b w:val="1"/>
          <w:bCs w:val="1"/>
          <w:color w:val="auto"/>
        </w:rPr>
      </w:pPr>
      <w:r>
        <w:rPr>
          <w:rFonts w:ascii="Arial" w:cs="Arial" w:eastAsia="Arial" w:hAnsi="Arial"/>
          <w:sz w:val="13"/>
          <w:szCs w:val="13"/>
          <w:u w:val="single" w:color="auto"/>
          <w:color w:val="auto"/>
        </w:rPr>
        <w:t>Loans</w:t>
      </w:r>
    </w:p>
    <w:p>
      <w:pPr>
        <w:spacing w:after="0" w:line="158" w:lineRule="exact"/>
        <w:rPr>
          <w:rFonts w:ascii="Arial" w:cs="Arial" w:eastAsia="Arial" w:hAnsi="Arial"/>
          <w:sz w:val="12"/>
          <w:szCs w:val="12"/>
          <w:b w:val="1"/>
          <w:bCs w:val="1"/>
          <w:color w:val="auto"/>
        </w:rPr>
      </w:pPr>
    </w:p>
    <w:p>
      <w:pPr>
        <w:ind w:left="223" w:right="20"/>
        <w:spacing w:after="0" w:line="267" w:lineRule="auto"/>
        <w:rPr>
          <w:rFonts w:ascii="Arial" w:cs="Arial" w:eastAsia="Arial" w:hAnsi="Arial"/>
          <w:sz w:val="12"/>
          <w:szCs w:val="12"/>
          <w:b w:val="1"/>
          <w:bCs w:val="1"/>
          <w:color w:val="auto"/>
        </w:rPr>
      </w:pPr>
      <w:r>
        <w:rPr>
          <w:rFonts w:ascii="Arial" w:cs="Arial" w:eastAsia="Arial" w:hAnsi="Arial"/>
          <w:sz w:val="13"/>
          <w:szCs w:val="13"/>
          <w:color w:val="auto"/>
        </w:rPr>
        <w:t>The fair value of the loan portfolio, including impaired loans, is estimated by discounting future cash flows using the current rates at which loans would be made to borrowers with similar credit ratings and for the same remaining maturities, considering the contractual terms in effect as of December 31 of the relevant year. These assets are classified in Levels 2 and 3.</w:t>
      </w:r>
    </w:p>
    <w:p>
      <w:pPr>
        <w:spacing w:after="0" w:line="129" w:lineRule="exact"/>
        <w:rPr>
          <w:rFonts w:ascii="Arial" w:cs="Arial" w:eastAsia="Arial" w:hAnsi="Arial"/>
          <w:sz w:val="12"/>
          <w:szCs w:val="12"/>
          <w:b w:val="1"/>
          <w:bCs w:val="1"/>
          <w:color w:val="auto"/>
        </w:rPr>
      </w:pPr>
    </w:p>
    <w:p>
      <w:pPr>
        <w:ind w:left="223"/>
        <w:spacing w:after="0"/>
        <w:rPr>
          <w:rFonts w:ascii="Arial" w:cs="Arial" w:eastAsia="Arial" w:hAnsi="Arial"/>
          <w:sz w:val="12"/>
          <w:szCs w:val="12"/>
          <w:b w:val="1"/>
          <w:bCs w:val="1"/>
          <w:color w:val="auto"/>
        </w:rPr>
      </w:pPr>
      <w:r>
        <w:rPr>
          <w:rFonts w:ascii="Arial" w:cs="Arial" w:eastAsia="Arial" w:hAnsi="Arial"/>
          <w:sz w:val="13"/>
          <w:szCs w:val="13"/>
          <w:u w:val="single" w:color="auto"/>
          <w:color w:val="auto"/>
        </w:rPr>
        <w:t>Transfer of financial assets</w:t>
      </w:r>
    </w:p>
    <w:p>
      <w:pPr>
        <w:spacing w:after="0" w:line="158" w:lineRule="exact"/>
        <w:rPr>
          <w:rFonts w:ascii="Arial" w:cs="Arial" w:eastAsia="Arial" w:hAnsi="Arial"/>
          <w:sz w:val="12"/>
          <w:szCs w:val="12"/>
          <w:b w:val="1"/>
          <w:bCs w:val="1"/>
          <w:color w:val="auto"/>
        </w:rPr>
      </w:pPr>
    </w:p>
    <w:p>
      <w:pPr>
        <w:jc w:val="both"/>
        <w:ind w:left="223"/>
        <w:spacing w:after="0" w:line="257" w:lineRule="auto"/>
        <w:rPr>
          <w:rFonts w:ascii="Arial" w:cs="Arial" w:eastAsia="Arial" w:hAnsi="Arial"/>
          <w:sz w:val="12"/>
          <w:szCs w:val="12"/>
          <w:b w:val="1"/>
          <w:bCs w:val="1"/>
          <w:color w:val="auto"/>
        </w:rPr>
      </w:pPr>
      <w:r>
        <w:rPr>
          <w:rFonts w:ascii="Arial" w:cs="Arial" w:eastAsia="Arial" w:hAnsi="Arial"/>
          <w:sz w:val="13"/>
          <w:szCs w:val="13"/>
          <w:color w:val="auto"/>
        </w:rPr>
        <w:t>Gains or losses on sale of loans depend in part on the carrying amount of the financial assets involved in the transfer, and their fair value at the date of transfer. The fair value of these instruments is determined based upon quoted market prices when available or is based on the present value of future expected cash flows using information related to credit losses, prepayment speeds, forward yield curves, and discounted rates commensurate with the risk involved.</w:t>
      </w:r>
    </w:p>
    <w:p>
      <w:pPr>
        <w:spacing w:after="0" w:line="135" w:lineRule="exact"/>
        <w:rPr>
          <w:rFonts w:ascii="Arial" w:cs="Arial" w:eastAsia="Arial" w:hAnsi="Arial"/>
          <w:sz w:val="12"/>
          <w:szCs w:val="12"/>
          <w:b w:val="1"/>
          <w:bCs w:val="1"/>
          <w:color w:val="auto"/>
        </w:rPr>
      </w:pPr>
    </w:p>
    <w:p>
      <w:pPr>
        <w:ind w:left="223"/>
        <w:spacing w:after="0"/>
        <w:rPr>
          <w:rFonts w:ascii="Arial" w:cs="Arial" w:eastAsia="Arial" w:hAnsi="Arial"/>
          <w:sz w:val="12"/>
          <w:szCs w:val="12"/>
          <w:b w:val="1"/>
          <w:bCs w:val="1"/>
          <w:color w:val="auto"/>
        </w:rPr>
      </w:pPr>
      <w:r>
        <w:rPr>
          <w:rFonts w:ascii="Arial" w:cs="Arial" w:eastAsia="Arial" w:hAnsi="Arial"/>
          <w:sz w:val="13"/>
          <w:szCs w:val="13"/>
          <w:u w:val="single" w:color="auto"/>
          <w:color w:val="auto"/>
        </w:rPr>
        <w:t>Short and long-term borrowings and debt</w:t>
      </w:r>
    </w:p>
    <w:p>
      <w:pPr>
        <w:spacing w:after="0" w:line="158" w:lineRule="exact"/>
        <w:rPr>
          <w:rFonts w:ascii="Arial" w:cs="Arial" w:eastAsia="Arial" w:hAnsi="Arial"/>
          <w:sz w:val="12"/>
          <w:szCs w:val="12"/>
          <w:b w:val="1"/>
          <w:bCs w:val="1"/>
          <w:color w:val="auto"/>
        </w:rPr>
      </w:pPr>
    </w:p>
    <w:p>
      <w:pPr>
        <w:ind w:left="223" w:right="20"/>
        <w:spacing w:after="0" w:line="267" w:lineRule="auto"/>
        <w:rPr>
          <w:rFonts w:ascii="Arial" w:cs="Arial" w:eastAsia="Arial" w:hAnsi="Arial"/>
          <w:sz w:val="12"/>
          <w:szCs w:val="12"/>
          <w:b w:val="1"/>
          <w:bCs w:val="1"/>
          <w:color w:val="auto"/>
        </w:rPr>
      </w:pPr>
      <w:r>
        <w:rPr>
          <w:rFonts w:ascii="Arial" w:cs="Arial" w:eastAsia="Arial" w:hAnsi="Arial"/>
          <w:sz w:val="13"/>
          <w:szCs w:val="13"/>
          <w:color w:val="auto"/>
        </w:rPr>
        <w:t>The fair value of short and long-term borrowings and debt is estimated using discounted future cash flows based on the current incremental borrowing rates for similar types of borrowing arrangements, considering the changes in the Bank’s credit margin. These liabilities are classified in Level 2.</w:t>
      </w:r>
    </w:p>
    <w:p>
      <w:pPr>
        <w:spacing w:after="0" w:line="129" w:lineRule="exact"/>
        <w:rPr>
          <w:rFonts w:ascii="Arial" w:cs="Arial" w:eastAsia="Arial" w:hAnsi="Arial"/>
          <w:sz w:val="12"/>
          <w:szCs w:val="12"/>
          <w:b w:val="1"/>
          <w:bCs w:val="1"/>
          <w:color w:val="auto"/>
        </w:rPr>
      </w:pPr>
    </w:p>
    <w:p>
      <w:pPr>
        <w:ind w:left="223"/>
        <w:spacing w:after="0"/>
        <w:rPr>
          <w:rFonts w:ascii="Arial" w:cs="Arial" w:eastAsia="Arial" w:hAnsi="Arial"/>
          <w:sz w:val="12"/>
          <w:szCs w:val="12"/>
          <w:b w:val="1"/>
          <w:bCs w:val="1"/>
          <w:color w:val="auto"/>
        </w:rPr>
      </w:pPr>
      <w:r>
        <w:rPr>
          <w:rFonts w:ascii="Arial" w:cs="Arial" w:eastAsia="Arial" w:hAnsi="Arial"/>
          <w:sz w:val="13"/>
          <w:szCs w:val="13"/>
          <w:u w:val="single" w:color="auto"/>
          <w:color w:val="auto"/>
        </w:rPr>
        <w:t>Valuation framework</w:t>
      </w:r>
    </w:p>
    <w:p>
      <w:pPr>
        <w:spacing w:after="0" w:line="158" w:lineRule="exact"/>
        <w:rPr>
          <w:rFonts w:ascii="Arial" w:cs="Arial" w:eastAsia="Arial" w:hAnsi="Arial"/>
          <w:sz w:val="12"/>
          <w:szCs w:val="12"/>
          <w:b w:val="1"/>
          <w:bCs w:val="1"/>
          <w:color w:val="auto"/>
        </w:rPr>
      </w:pPr>
    </w:p>
    <w:p>
      <w:pPr>
        <w:ind w:left="223" w:right="20"/>
        <w:spacing w:after="0" w:line="267" w:lineRule="auto"/>
        <w:rPr>
          <w:rFonts w:ascii="Arial" w:cs="Arial" w:eastAsia="Arial" w:hAnsi="Arial"/>
          <w:sz w:val="12"/>
          <w:szCs w:val="12"/>
          <w:b w:val="1"/>
          <w:bCs w:val="1"/>
          <w:color w:val="auto"/>
        </w:rPr>
      </w:pPr>
      <w:r>
        <w:rPr>
          <w:rFonts w:ascii="Arial" w:cs="Arial" w:eastAsia="Arial" w:hAnsi="Arial"/>
          <w:sz w:val="13"/>
          <w:szCs w:val="13"/>
          <w:color w:val="auto"/>
        </w:rPr>
        <w:t>The Bank has an established control framework for the measurement of fair values, which is independent of front office management, verifying the valuation results of the derivative financial instruments, securities and other financial instrument significantly measured. Specific controls include:</w:t>
      </w:r>
    </w:p>
    <w:p>
      <w:pPr>
        <w:spacing w:after="0" w:line="129" w:lineRule="exact"/>
        <w:rPr>
          <w:rFonts w:ascii="Arial" w:cs="Arial" w:eastAsia="Arial" w:hAnsi="Arial"/>
          <w:sz w:val="12"/>
          <w:szCs w:val="12"/>
          <w:b w:val="1"/>
          <w:bCs w:val="1"/>
          <w:color w:val="auto"/>
        </w:rPr>
      </w:pPr>
    </w:p>
    <w:p>
      <w:pPr>
        <w:ind w:left="703" w:hanging="241"/>
        <w:spacing w:after="0"/>
        <w:tabs>
          <w:tab w:leader="none" w:pos="703" w:val="left"/>
        </w:tabs>
        <w:numPr>
          <w:ilvl w:val="1"/>
          <w:numId w:val="180"/>
        </w:numPr>
        <w:rPr>
          <w:rFonts w:ascii="Arial" w:cs="Arial" w:eastAsia="Arial" w:hAnsi="Arial"/>
          <w:sz w:val="13"/>
          <w:szCs w:val="13"/>
          <w:color w:val="auto"/>
        </w:rPr>
      </w:pPr>
      <w:r>
        <w:rPr>
          <w:rFonts w:ascii="Arial" w:cs="Arial" w:eastAsia="Arial" w:hAnsi="Arial"/>
          <w:sz w:val="13"/>
          <w:szCs w:val="13"/>
          <w:color w:val="auto"/>
        </w:rPr>
        <w:t>Verification of observable pricing</w:t>
      </w:r>
    </w:p>
    <w:p>
      <w:pPr>
        <w:spacing w:after="0" w:line="12" w:lineRule="exact"/>
        <w:rPr>
          <w:rFonts w:ascii="Arial" w:cs="Arial" w:eastAsia="Arial" w:hAnsi="Arial"/>
          <w:sz w:val="13"/>
          <w:szCs w:val="13"/>
          <w:color w:val="auto"/>
        </w:rPr>
      </w:pPr>
    </w:p>
    <w:p>
      <w:pPr>
        <w:ind w:left="703" w:hanging="241"/>
        <w:spacing w:after="0"/>
        <w:tabs>
          <w:tab w:leader="none" w:pos="703" w:val="left"/>
        </w:tabs>
        <w:numPr>
          <w:ilvl w:val="1"/>
          <w:numId w:val="180"/>
        </w:numPr>
        <w:rPr>
          <w:rFonts w:ascii="Arial" w:cs="Arial" w:eastAsia="Arial" w:hAnsi="Arial"/>
          <w:sz w:val="13"/>
          <w:szCs w:val="13"/>
          <w:color w:val="auto"/>
        </w:rPr>
      </w:pPr>
      <w:r>
        <w:rPr>
          <w:rFonts w:ascii="Arial" w:cs="Arial" w:eastAsia="Arial" w:hAnsi="Arial"/>
          <w:sz w:val="13"/>
          <w:szCs w:val="13"/>
          <w:color w:val="auto"/>
        </w:rPr>
        <w:t>Verification of re – performance of model valuations</w:t>
      </w:r>
    </w:p>
    <w:p>
      <w:pPr>
        <w:spacing w:after="0" w:line="4" w:lineRule="exact"/>
        <w:rPr>
          <w:rFonts w:ascii="Arial" w:cs="Arial" w:eastAsia="Arial" w:hAnsi="Arial"/>
          <w:sz w:val="13"/>
          <w:szCs w:val="13"/>
          <w:color w:val="auto"/>
        </w:rPr>
      </w:pPr>
    </w:p>
    <w:p>
      <w:pPr>
        <w:ind w:left="703" w:hanging="241"/>
        <w:spacing w:after="0"/>
        <w:tabs>
          <w:tab w:leader="none" w:pos="703" w:val="left"/>
        </w:tabs>
        <w:numPr>
          <w:ilvl w:val="1"/>
          <w:numId w:val="180"/>
        </w:numPr>
        <w:rPr>
          <w:rFonts w:ascii="Arial" w:cs="Arial" w:eastAsia="Arial" w:hAnsi="Arial"/>
          <w:sz w:val="13"/>
          <w:szCs w:val="13"/>
          <w:color w:val="auto"/>
        </w:rPr>
      </w:pPr>
      <w:r>
        <w:rPr>
          <w:rFonts w:ascii="Arial" w:cs="Arial" w:eastAsia="Arial" w:hAnsi="Arial"/>
          <w:sz w:val="13"/>
          <w:szCs w:val="13"/>
          <w:color w:val="auto"/>
        </w:rPr>
        <w:t>A review and approval process for new models and changes to existing models</w:t>
      </w:r>
    </w:p>
    <w:p>
      <w:pPr>
        <w:spacing w:after="0" w:line="4" w:lineRule="exact"/>
        <w:rPr>
          <w:rFonts w:ascii="Arial" w:cs="Arial" w:eastAsia="Arial" w:hAnsi="Arial"/>
          <w:sz w:val="13"/>
          <w:szCs w:val="13"/>
          <w:color w:val="auto"/>
        </w:rPr>
      </w:pPr>
    </w:p>
    <w:p>
      <w:pPr>
        <w:ind w:left="703" w:hanging="241"/>
        <w:spacing w:after="0"/>
        <w:tabs>
          <w:tab w:leader="none" w:pos="703" w:val="left"/>
        </w:tabs>
        <w:numPr>
          <w:ilvl w:val="1"/>
          <w:numId w:val="180"/>
        </w:numPr>
        <w:rPr>
          <w:rFonts w:ascii="Arial" w:cs="Arial" w:eastAsia="Arial" w:hAnsi="Arial"/>
          <w:sz w:val="13"/>
          <w:szCs w:val="13"/>
          <w:color w:val="auto"/>
        </w:rPr>
      </w:pPr>
      <w:r>
        <w:rPr>
          <w:rFonts w:ascii="Arial" w:cs="Arial" w:eastAsia="Arial" w:hAnsi="Arial"/>
          <w:sz w:val="13"/>
          <w:szCs w:val="13"/>
          <w:color w:val="auto"/>
        </w:rPr>
        <w:t>Annual calibration and back testing of models against observed market transactions</w:t>
      </w:r>
    </w:p>
    <w:p>
      <w:pPr>
        <w:spacing w:after="0" w:line="4" w:lineRule="exact"/>
        <w:rPr>
          <w:rFonts w:ascii="Arial" w:cs="Arial" w:eastAsia="Arial" w:hAnsi="Arial"/>
          <w:sz w:val="13"/>
          <w:szCs w:val="13"/>
          <w:color w:val="auto"/>
        </w:rPr>
      </w:pPr>
    </w:p>
    <w:p>
      <w:pPr>
        <w:ind w:left="703" w:hanging="241"/>
        <w:spacing w:after="0"/>
        <w:tabs>
          <w:tab w:leader="none" w:pos="703" w:val="left"/>
        </w:tabs>
        <w:numPr>
          <w:ilvl w:val="1"/>
          <w:numId w:val="180"/>
        </w:numPr>
        <w:rPr>
          <w:rFonts w:ascii="Arial" w:cs="Arial" w:eastAsia="Arial" w:hAnsi="Arial"/>
          <w:sz w:val="13"/>
          <w:szCs w:val="13"/>
          <w:color w:val="auto"/>
        </w:rPr>
      </w:pPr>
      <w:r>
        <w:rPr>
          <w:rFonts w:ascii="Arial" w:cs="Arial" w:eastAsia="Arial" w:hAnsi="Arial"/>
          <w:sz w:val="13"/>
          <w:szCs w:val="13"/>
          <w:color w:val="auto"/>
        </w:rPr>
        <w:t>Analysis and evaluation of the significant valuation movements</w:t>
      </w:r>
    </w:p>
    <w:p>
      <w:pPr>
        <w:spacing w:after="0" w:line="4" w:lineRule="exact"/>
        <w:rPr>
          <w:rFonts w:ascii="Arial" w:cs="Arial" w:eastAsia="Arial" w:hAnsi="Arial"/>
          <w:sz w:val="13"/>
          <w:szCs w:val="13"/>
          <w:color w:val="auto"/>
        </w:rPr>
      </w:pPr>
    </w:p>
    <w:p>
      <w:pPr>
        <w:ind w:left="703" w:hanging="241"/>
        <w:spacing w:after="0"/>
        <w:tabs>
          <w:tab w:leader="none" w:pos="703" w:val="left"/>
        </w:tabs>
        <w:numPr>
          <w:ilvl w:val="1"/>
          <w:numId w:val="180"/>
        </w:numPr>
        <w:rPr>
          <w:rFonts w:ascii="Arial" w:cs="Arial" w:eastAsia="Arial" w:hAnsi="Arial"/>
          <w:sz w:val="13"/>
          <w:szCs w:val="13"/>
          <w:color w:val="auto"/>
        </w:rPr>
      </w:pPr>
      <w:r>
        <w:rPr>
          <w:rFonts w:ascii="Arial" w:cs="Arial" w:eastAsia="Arial" w:hAnsi="Arial"/>
          <w:sz w:val="13"/>
          <w:szCs w:val="13"/>
          <w:color w:val="auto"/>
        </w:rPr>
        <w:t>Review of the significant unobservable inputs, valuation adjustments and changes to the fair value measurement of Level 3 instruments.</w:t>
      </w:r>
    </w:p>
    <w:p>
      <w:pPr>
        <w:spacing w:after="0" w:line="304"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F-90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36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215" w:name="page216"/>
    <w:bookmarkEnd w:id="215"/>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36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181"/>
        </w:numPr>
        <w:rPr>
          <w:rFonts w:ascii="Arial" w:cs="Arial" w:eastAsia="Arial" w:hAnsi="Arial"/>
          <w:sz w:val="13"/>
          <w:szCs w:val="13"/>
          <w:b w:val="1"/>
          <w:bCs w:val="1"/>
          <w:color w:val="auto"/>
        </w:rPr>
      </w:pPr>
      <w:r>
        <w:rPr>
          <w:rFonts w:ascii="Arial" w:cs="Arial" w:eastAsia="Arial" w:hAnsi="Arial"/>
          <w:sz w:val="13"/>
          <w:szCs w:val="13"/>
          <w:b w:val="1"/>
          <w:bCs w:val="1"/>
          <w:color w:val="auto"/>
        </w:rPr>
        <w:t>Fair value of financial instruments (continued)</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following table provides information on the carrying value and an estimated fair value of the Bank’s financial instruments that are not measured on a recurring basis:</w:t>
      </w:r>
    </w:p>
    <w:p>
      <w:pPr>
        <w:spacing w:after="0" w:line="164" w:lineRule="exact"/>
        <w:rPr>
          <w:sz w:val="20"/>
          <w:szCs w:val="20"/>
          <w:color w:val="auto"/>
        </w:rPr>
      </w:pPr>
    </w:p>
    <w:tbl>
      <w:tblPr>
        <w:tblLayout w:type="fixed"/>
        <w:tblInd w:w="223"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3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3420" w:type="dxa"/>
            <w:vAlign w:val="bottom"/>
          </w:tcPr>
          <w:p>
            <w:pPr>
              <w:spacing w:after="0"/>
              <w:rPr>
                <w:sz w:val="14"/>
                <w:szCs w:val="14"/>
                <w:color w:val="auto"/>
              </w:rPr>
            </w:pPr>
          </w:p>
        </w:tc>
        <w:tc>
          <w:tcPr>
            <w:tcW w:w="122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22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420" w:type="dxa"/>
            <w:vAlign w:val="bottom"/>
            <w:tcBorders>
              <w:bottom w:val="single" w:sz="8" w:color="auto"/>
            </w:tcBorders>
            <w:gridSpan w:val="2"/>
          </w:tcPr>
          <w:p>
            <w:pPr>
              <w:jc w:val="right"/>
              <w:ind w:right="340"/>
              <w:spacing w:after="0"/>
              <w:rPr>
                <w:sz w:val="20"/>
                <w:szCs w:val="20"/>
                <w:color w:val="auto"/>
              </w:rPr>
            </w:pPr>
            <w:r>
              <w:rPr>
                <w:rFonts w:ascii="Arial" w:cs="Arial" w:eastAsia="Arial" w:hAnsi="Arial"/>
                <w:sz w:val="13"/>
                <w:szCs w:val="13"/>
                <w:b w:val="1"/>
                <w:bCs w:val="1"/>
                <w:color w:val="auto"/>
                <w:w w:val="90"/>
              </w:rPr>
              <w:t>December 31, 2018</w:t>
            </w:r>
          </w:p>
        </w:tc>
        <w:tc>
          <w:tcPr>
            <w:tcW w:w="12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20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1"/>
        </w:trPr>
        <w:tc>
          <w:tcPr>
            <w:tcW w:w="20" w:type="dxa"/>
            <w:vAlign w:val="bottom"/>
          </w:tcPr>
          <w:p>
            <w:pPr>
              <w:spacing w:after="0"/>
              <w:rPr>
                <w:sz w:val="11"/>
                <w:szCs w:val="11"/>
                <w:color w:val="auto"/>
              </w:rPr>
            </w:pPr>
          </w:p>
        </w:tc>
        <w:tc>
          <w:tcPr>
            <w:tcW w:w="3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3420" w:type="dxa"/>
            <w:vAlign w:val="bottom"/>
          </w:tcPr>
          <w:p>
            <w:pPr>
              <w:spacing w:after="0"/>
              <w:rPr>
                <w:sz w:val="11"/>
                <w:szCs w:val="11"/>
                <w:color w:val="auto"/>
              </w:rPr>
            </w:pPr>
          </w:p>
        </w:tc>
        <w:tc>
          <w:tcPr>
            <w:tcW w:w="1460" w:type="dxa"/>
            <w:vAlign w:val="bottom"/>
            <w:gridSpan w:val="2"/>
          </w:tcPr>
          <w:p>
            <w:pPr>
              <w:jc w:val="right"/>
              <w:ind w:right="600"/>
              <w:spacing w:after="0" w:line="131" w:lineRule="exact"/>
              <w:rPr>
                <w:sz w:val="20"/>
                <w:szCs w:val="20"/>
                <w:color w:val="auto"/>
              </w:rPr>
            </w:pPr>
            <w:r>
              <w:rPr>
                <w:rFonts w:ascii="Arial" w:cs="Arial" w:eastAsia="Arial" w:hAnsi="Arial"/>
                <w:sz w:val="13"/>
                <w:szCs w:val="13"/>
                <w:b w:val="1"/>
                <w:bCs w:val="1"/>
                <w:color w:val="auto"/>
              </w:rPr>
              <w:t>Carrying</w:t>
            </w:r>
          </w:p>
        </w:tc>
        <w:tc>
          <w:tcPr>
            <w:tcW w:w="1440" w:type="dxa"/>
            <w:vAlign w:val="bottom"/>
            <w:gridSpan w:val="2"/>
          </w:tcPr>
          <w:p>
            <w:pPr>
              <w:jc w:val="center"/>
              <w:ind w:right="220"/>
              <w:spacing w:after="0" w:line="131" w:lineRule="exact"/>
              <w:rPr>
                <w:sz w:val="20"/>
                <w:szCs w:val="20"/>
                <w:color w:val="auto"/>
              </w:rPr>
            </w:pPr>
            <w:r>
              <w:rPr>
                <w:rFonts w:ascii="Arial" w:cs="Arial" w:eastAsia="Arial" w:hAnsi="Arial"/>
                <w:sz w:val="13"/>
                <w:szCs w:val="13"/>
                <w:b w:val="1"/>
                <w:bCs w:val="1"/>
                <w:color w:val="auto"/>
                <w:w w:val="92"/>
              </w:rPr>
              <w:t>Fair</w:t>
            </w:r>
          </w:p>
        </w:tc>
        <w:tc>
          <w:tcPr>
            <w:tcW w:w="12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3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3420" w:type="dxa"/>
            <w:vAlign w:val="bottom"/>
          </w:tcPr>
          <w:p>
            <w:pPr>
              <w:spacing w:after="0"/>
              <w:rPr>
                <w:sz w:val="14"/>
                <w:szCs w:val="14"/>
                <w:color w:val="auto"/>
              </w:rPr>
            </w:pPr>
          </w:p>
        </w:tc>
        <w:tc>
          <w:tcPr>
            <w:tcW w:w="1460" w:type="dxa"/>
            <w:vAlign w:val="bottom"/>
            <w:gridSpan w:val="2"/>
          </w:tcPr>
          <w:p>
            <w:pPr>
              <w:jc w:val="right"/>
              <w:ind w:right="700"/>
              <w:spacing w:after="0"/>
              <w:rPr>
                <w:sz w:val="20"/>
                <w:szCs w:val="20"/>
                <w:color w:val="auto"/>
              </w:rPr>
            </w:pPr>
            <w:r>
              <w:rPr>
                <w:rFonts w:ascii="Arial" w:cs="Arial" w:eastAsia="Arial" w:hAnsi="Arial"/>
                <w:sz w:val="13"/>
                <w:szCs w:val="13"/>
                <w:b w:val="1"/>
                <w:bCs w:val="1"/>
                <w:color w:val="auto"/>
              </w:rPr>
              <w:t>value</w:t>
            </w:r>
          </w:p>
        </w:tc>
        <w:tc>
          <w:tcPr>
            <w:tcW w:w="144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0"/>
              </w:rPr>
              <w:t>value</w:t>
            </w:r>
          </w:p>
        </w:tc>
        <w:tc>
          <w:tcPr>
            <w:tcW w:w="1420" w:type="dxa"/>
            <w:vAlign w:val="bottom"/>
            <w:gridSpan w:val="2"/>
          </w:tcPr>
          <w:p>
            <w:pPr>
              <w:jc w:val="right"/>
              <w:ind w:right="620"/>
              <w:spacing w:after="0"/>
              <w:rPr>
                <w:sz w:val="20"/>
                <w:szCs w:val="20"/>
                <w:color w:val="auto"/>
              </w:rPr>
            </w:pPr>
            <w:r>
              <w:rPr>
                <w:rFonts w:ascii="Arial" w:cs="Arial" w:eastAsia="Arial" w:hAnsi="Arial"/>
                <w:sz w:val="13"/>
                <w:szCs w:val="13"/>
                <w:b w:val="1"/>
                <w:bCs w:val="1"/>
                <w:color w:val="auto"/>
              </w:rPr>
              <w:t>Level 1</w:t>
            </w:r>
          </w:p>
        </w:tc>
        <w:tc>
          <w:tcPr>
            <w:tcW w:w="1420" w:type="dxa"/>
            <w:vAlign w:val="bottom"/>
            <w:gridSpan w:val="2"/>
          </w:tcPr>
          <w:p>
            <w:pPr>
              <w:ind w:left="400"/>
              <w:spacing w:after="0"/>
              <w:rPr>
                <w:sz w:val="20"/>
                <w:szCs w:val="20"/>
                <w:color w:val="auto"/>
              </w:rPr>
            </w:pPr>
            <w:r>
              <w:rPr>
                <w:rFonts w:ascii="Arial" w:cs="Arial" w:eastAsia="Arial" w:hAnsi="Arial"/>
                <w:sz w:val="13"/>
                <w:szCs w:val="13"/>
                <w:b w:val="1"/>
                <w:bCs w:val="1"/>
                <w:color w:val="auto"/>
              </w:rPr>
              <w:t>Level 2</w:t>
            </w:r>
          </w:p>
        </w:tc>
        <w:tc>
          <w:tcPr>
            <w:tcW w:w="1300" w:type="dxa"/>
            <w:vAlign w:val="bottom"/>
            <w:gridSpan w:val="2"/>
          </w:tcPr>
          <w:p>
            <w:pPr>
              <w:ind w:left="400"/>
              <w:spacing w:after="0"/>
              <w:rPr>
                <w:sz w:val="20"/>
                <w:szCs w:val="20"/>
                <w:color w:val="auto"/>
              </w:rPr>
            </w:pPr>
            <w:r>
              <w:rPr>
                <w:rFonts w:ascii="Arial" w:cs="Arial" w:eastAsia="Arial" w:hAnsi="Arial"/>
                <w:sz w:val="13"/>
                <w:szCs w:val="13"/>
                <w:b w:val="1"/>
                <w:bCs w:val="1"/>
                <w:color w:val="auto"/>
              </w:rPr>
              <w:t>Level 3</w:t>
            </w:r>
          </w:p>
        </w:tc>
        <w:tc>
          <w:tcPr>
            <w:tcW w:w="0" w:type="dxa"/>
            <w:vAlign w:val="bottom"/>
          </w:tcPr>
          <w:p>
            <w:pPr>
              <w:spacing w:after="0"/>
              <w:rPr>
                <w:sz w:val="1"/>
                <w:szCs w:val="1"/>
                <w:color w:val="auto"/>
              </w:rPr>
            </w:pPr>
          </w:p>
        </w:tc>
      </w:tr>
      <w:tr>
        <w:trPr>
          <w:trHeight w:val="124"/>
        </w:trPr>
        <w:tc>
          <w:tcPr>
            <w:tcW w:w="20" w:type="dxa"/>
            <w:vAlign w:val="bottom"/>
          </w:tcPr>
          <w:p>
            <w:pPr>
              <w:spacing w:after="0"/>
              <w:rPr>
                <w:sz w:val="10"/>
                <w:szCs w:val="10"/>
                <w:color w:val="auto"/>
              </w:rPr>
            </w:pPr>
          </w:p>
        </w:tc>
        <w:tc>
          <w:tcPr>
            <w:tcW w:w="340" w:type="dxa"/>
            <w:vAlign w:val="bottom"/>
            <w:tcBorders>
              <w:top w:val="single" w:sz="8" w:color="CCEEFF"/>
              <w:bottom w:val="single" w:sz="8" w:color="auto"/>
            </w:tcBorders>
            <w:shd w:val="clear" w:color="auto" w:fill="CCEEFF"/>
          </w:tcPr>
          <w:p>
            <w:pPr>
              <w:spacing w:after="0" w:line="116" w:lineRule="exact"/>
              <w:rPr>
                <w:sz w:val="20"/>
                <w:szCs w:val="20"/>
                <w:color w:val="auto"/>
              </w:rPr>
            </w:pPr>
            <w:r>
              <w:rPr>
                <w:rFonts w:ascii="Arial" w:cs="Arial" w:eastAsia="Arial" w:hAnsi="Arial"/>
                <w:sz w:val="13"/>
                <w:szCs w:val="13"/>
                <w:b w:val="1"/>
                <w:bCs w:val="1"/>
                <w:color w:val="auto"/>
                <w:w w:val="74"/>
              </w:rPr>
              <w:t>Assets</w:t>
            </w:r>
          </w:p>
        </w:tc>
        <w:tc>
          <w:tcPr>
            <w:tcW w:w="3620" w:type="dxa"/>
            <w:vAlign w:val="bottom"/>
            <w:tcBorders>
              <w:top w:val="single" w:sz="8" w:color="CCEEFF"/>
              <w:bottom w:val="single" w:sz="8" w:color="CCEEFF"/>
            </w:tcBorders>
            <w:gridSpan w:val="2"/>
            <w:shd w:val="clear" w:color="auto" w:fill="CCEEFF"/>
          </w:tcPr>
          <w:p>
            <w:pPr>
              <w:spacing w:after="0"/>
              <w:rPr>
                <w:sz w:val="10"/>
                <w:szCs w:val="10"/>
                <w:color w:val="auto"/>
              </w:rPr>
            </w:pPr>
          </w:p>
        </w:tc>
        <w:tc>
          <w:tcPr>
            <w:tcW w:w="1220" w:type="dxa"/>
            <w:vAlign w:val="bottom"/>
            <w:tcBorders>
              <w:top w:val="single" w:sz="8" w:color="auto"/>
              <w:bottom w:val="single" w:sz="8" w:color="CCEEFF"/>
            </w:tcBorders>
            <w:shd w:val="clear" w:color="auto" w:fill="CCEEFF"/>
          </w:tcPr>
          <w:p>
            <w:pPr>
              <w:spacing w:after="0"/>
              <w:rPr>
                <w:sz w:val="10"/>
                <w:szCs w:val="10"/>
                <w:color w:val="auto"/>
              </w:rPr>
            </w:pPr>
          </w:p>
        </w:tc>
        <w:tc>
          <w:tcPr>
            <w:tcW w:w="240" w:type="dxa"/>
            <w:vAlign w:val="bottom"/>
            <w:tcBorders>
              <w:top w:val="single" w:sz="8" w:color="CCEEFF"/>
              <w:bottom w:val="single" w:sz="8" w:color="CCEEFF"/>
            </w:tcBorders>
            <w:shd w:val="clear" w:color="auto" w:fill="CCEEFF"/>
          </w:tcPr>
          <w:p>
            <w:pPr>
              <w:spacing w:after="0"/>
              <w:rPr>
                <w:sz w:val="10"/>
                <w:szCs w:val="10"/>
                <w:color w:val="auto"/>
              </w:rPr>
            </w:pPr>
          </w:p>
        </w:tc>
        <w:tc>
          <w:tcPr>
            <w:tcW w:w="1220" w:type="dxa"/>
            <w:vAlign w:val="bottom"/>
            <w:tcBorders>
              <w:top w:val="single" w:sz="8" w:color="auto"/>
              <w:bottom w:val="single" w:sz="8" w:color="CCEEFF"/>
            </w:tcBorders>
            <w:shd w:val="clear" w:color="auto" w:fill="CCEEFF"/>
          </w:tcPr>
          <w:p>
            <w:pPr>
              <w:spacing w:after="0"/>
              <w:rPr>
                <w:sz w:val="10"/>
                <w:szCs w:val="10"/>
                <w:color w:val="auto"/>
              </w:rPr>
            </w:pPr>
          </w:p>
        </w:tc>
        <w:tc>
          <w:tcPr>
            <w:tcW w:w="220" w:type="dxa"/>
            <w:vAlign w:val="bottom"/>
            <w:tcBorders>
              <w:top w:val="single" w:sz="8" w:color="CCEEFF"/>
              <w:bottom w:val="single" w:sz="8" w:color="CCEEFF"/>
            </w:tcBorders>
            <w:shd w:val="clear" w:color="auto" w:fill="CCEEFF"/>
          </w:tcPr>
          <w:p>
            <w:pPr>
              <w:spacing w:after="0"/>
              <w:rPr>
                <w:sz w:val="10"/>
                <w:szCs w:val="10"/>
                <w:color w:val="auto"/>
              </w:rPr>
            </w:pPr>
          </w:p>
        </w:tc>
        <w:tc>
          <w:tcPr>
            <w:tcW w:w="1200" w:type="dxa"/>
            <w:vAlign w:val="bottom"/>
            <w:tcBorders>
              <w:top w:val="single" w:sz="8" w:color="auto"/>
              <w:bottom w:val="single" w:sz="8" w:color="CCEEFF"/>
            </w:tcBorders>
            <w:shd w:val="clear" w:color="auto" w:fill="CCEEFF"/>
          </w:tcPr>
          <w:p>
            <w:pPr>
              <w:spacing w:after="0"/>
              <w:rPr>
                <w:sz w:val="10"/>
                <w:szCs w:val="10"/>
                <w:color w:val="auto"/>
              </w:rPr>
            </w:pPr>
          </w:p>
        </w:tc>
        <w:tc>
          <w:tcPr>
            <w:tcW w:w="220" w:type="dxa"/>
            <w:vAlign w:val="bottom"/>
            <w:tcBorders>
              <w:top w:val="single" w:sz="8" w:color="CCEEFF"/>
              <w:bottom w:val="single" w:sz="8" w:color="CCEEFF"/>
            </w:tcBorders>
            <w:shd w:val="clear" w:color="auto" w:fill="CCEEFF"/>
          </w:tcPr>
          <w:p>
            <w:pPr>
              <w:spacing w:after="0"/>
              <w:rPr>
                <w:sz w:val="10"/>
                <w:szCs w:val="10"/>
                <w:color w:val="auto"/>
              </w:rPr>
            </w:pPr>
          </w:p>
        </w:tc>
        <w:tc>
          <w:tcPr>
            <w:tcW w:w="1200" w:type="dxa"/>
            <w:vAlign w:val="bottom"/>
            <w:tcBorders>
              <w:top w:val="single" w:sz="8" w:color="auto"/>
              <w:bottom w:val="single" w:sz="8" w:color="CCEEFF"/>
            </w:tcBorders>
            <w:shd w:val="clear" w:color="auto" w:fill="CCEEFF"/>
          </w:tcPr>
          <w:p>
            <w:pPr>
              <w:spacing w:after="0"/>
              <w:rPr>
                <w:sz w:val="10"/>
                <w:szCs w:val="10"/>
                <w:color w:val="auto"/>
              </w:rPr>
            </w:pPr>
          </w:p>
        </w:tc>
        <w:tc>
          <w:tcPr>
            <w:tcW w:w="220" w:type="dxa"/>
            <w:vAlign w:val="bottom"/>
            <w:tcBorders>
              <w:top w:val="single" w:sz="8" w:color="CCEEFF"/>
              <w:bottom w:val="single" w:sz="8" w:color="CCEEFF"/>
            </w:tcBorders>
            <w:shd w:val="clear" w:color="auto" w:fill="CCEEFF"/>
          </w:tcPr>
          <w:p>
            <w:pPr>
              <w:spacing w:after="0"/>
              <w:rPr>
                <w:sz w:val="10"/>
                <w:szCs w:val="10"/>
                <w:color w:val="auto"/>
              </w:rPr>
            </w:pPr>
          </w:p>
        </w:tc>
        <w:tc>
          <w:tcPr>
            <w:tcW w:w="1200" w:type="dxa"/>
            <w:vAlign w:val="bottom"/>
            <w:tcBorders>
              <w:top w:val="single" w:sz="8" w:color="auto"/>
              <w:bottom w:val="single" w:sz="8" w:color="CCEEFF"/>
            </w:tcBorders>
            <w:shd w:val="clear" w:color="auto" w:fill="CCEEFF"/>
          </w:tcPr>
          <w:p>
            <w:pPr>
              <w:spacing w:after="0"/>
              <w:rPr>
                <w:sz w:val="10"/>
                <w:szCs w:val="10"/>
                <w:color w:val="auto"/>
              </w:rPr>
            </w:pPr>
          </w:p>
        </w:tc>
        <w:tc>
          <w:tcPr>
            <w:tcW w:w="100" w:type="dxa"/>
            <w:vAlign w:val="bottom"/>
            <w:tcBorders>
              <w:top w:val="single" w:sz="8" w:color="CCEEFF"/>
              <w:bottom w:val="single" w:sz="8" w:color="CCEEFF"/>
            </w:tcBorders>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960" w:type="dxa"/>
            <w:vAlign w:val="bottom"/>
            <w:gridSpan w:val="3"/>
          </w:tcPr>
          <w:p>
            <w:pPr>
              <w:spacing w:after="0"/>
              <w:rPr>
                <w:sz w:val="20"/>
                <w:szCs w:val="20"/>
                <w:color w:val="auto"/>
              </w:rPr>
            </w:pPr>
            <w:r>
              <w:rPr>
                <w:rFonts w:ascii="Arial" w:cs="Arial" w:eastAsia="Arial" w:hAnsi="Arial"/>
                <w:sz w:val="13"/>
                <w:szCs w:val="13"/>
                <w:color w:val="auto"/>
              </w:rPr>
              <w:t>Cash and deposits on banks</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1,745,652</w:t>
            </w:r>
          </w:p>
        </w:tc>
        <w:tc>
          <w:tcPr>
            <w:tcW w:w="1220" w:type="dxa"/>
            <w:vAlign w:val="bottom"/>
          </w:tcPr>
          <w:p>
            <w:pPr>
              <w:jc w:val="right"/>
              <w:spacing w:after="0"/>
              <w:rPr>
                <w:sz w:val="20"/>
                <w:szCs w:val="20"/>
                <w:color w:val="auto"/>
              </w:rPr>
            </w:pPr>
            <w:r>
              <w:rPr>
                <w:rFonts w:ascii="Arial" w:cs="Arial" w:eastAsia="Arial" w:hAnsi="Arial"/>
                <w:sz w:val="13"/>
                <w:szCs w:val="13"/>
                <w:color w:val="auto"/>
              </w:rPr>
              <w:t>1,745,652</w:t>
            </w:r>
          </w:p>
        </w:tc>
        <w:tc>
          <w:tcPr>
            <w:tcW w:w="220" w:type="dxa"/>
            <w:vAlign w:val="bottom"/>
          </w:tcPr>
          <w:p>
            <w:pPr>
              <w:spacing w:after="0"/>
              <w:rPr>
                <w:sz w:val="13"/>
                <w:szCs w:val="13"/>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1,745,652</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83"/>
        </w:trPr>
        <w:tc>
          <w:tcPr>
            <w:tcW w:w="20" w:type="dxa"/>
            <w:vAlign w:val="bottom"/>
          </w:tcPr>
          <w:p>
            <w:pPr>
              <w:spacing w:after="0"/>
              <w:rPr>
                <w:sz w:val="15"/>
                <w:szCs w:val="15"/>
                <w:color w:val="auto"/>
              </w:rPr>
            </w:pPr>
          </w:p>
        </w:tc>
        <w:tc>
          <w:tcPr>
            <w:tcW w:w="3960" w:type="dxa"/>
            <w:vAlign w:val="bottom"/>
            <w:gridSpan w:val="3"/>
            <w:shd w:val="clear" w:color="auto" w:fill="CCEEFF"/>
          </w:tcPr>
          <w:p>
            <w:pPr>
              <w:spacing w:after="0" w:line="183" w:lineRule="exact"/>
              <w:rPr>
                <w:sz w:val="20"/>
                <w:szCs w:val="20"/>
                <w:color w:val="auto"/>
              </w:rPr>
            </w:pPr>
            <w:r>
              <w:rPr>
                <w:rFonts w:ascii="Arial" w:cs="Arial" w:eastAsia="Arial" w:hAnsi="Arial"/>
                <w:sz w:val="13"/>
                <w:szCs w:val="13"/>
                <w:color w:val="auto"/>
              </w:rPr>
              <w:t xml:space="preserve">Securities at amortized cost </w:t>
            </w:r>
            <w:r>
              <w:rPr>
                <w:rFonts w:ascii="Arial" w:cs="Arial" w:eastAsia="Arial" w:hAnsi="Arial"/>
                <w:sz w:val="21"/>
                <w:szCs w:val="21"/>
                <w:color w:val="auto"/>
                <w:vertAlign w:val="superscript"/>
              </w:rPr>
              <w:t>(1) (3)</w:t>
            </w: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86,326</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85,036</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73,869</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11,167</w:t>
            </w:r>
          </w:p>
        </w:tc>
        <w:tc>
          <w:tcPr>
            <w:tcW w:w="0" w:type="dxa"/>
            <w:vAlign w:val="bottom"/>
          </w:tcPr>
          <w:p>
            <w:pPr>
              <w:spacing w:after="0"/>
              <w:rPr>
                <w:sz w:val="1"/>
                <w:szCs w:val="1"/>
                <w:color w:val="auto"/>
              </w:rPr>
            </w:pPr>
          </w:p>
        </w:tc>
      </w:tr>
      <w:tr>
        <w:trPr>
          <w:trHeight w:val="183"/>
        </w:trPr>
        <w:tc>
          <w:tcPr>
            <w:tcW w:w="20" w:type="dxa"/>
            <w:vAlign w:val="bottom"/>
          </w:tcPr>
          <w:p>
            <w:pPr>
              <w:spacing w:after="0"/>
              <w:rPr>
                <w:sz w:val="15"/>
                <w:szCs w:val="15"/>
                <w:color w:val="auto"/>
              </w:rPr>
            </w:pPr>
          </w:p>
        </w:tc>
        <w:tc>
          <w:tcPr>
            <w:tcW w:w="3960" w:type="dxa"/>
            <w:vAlign w:val="bottom"/>
            <w:gridSpan w:val="3"/>
          </w:tcPr>
          <w:p>
            <w:pPr>
              <w:spacing w:after="0" w:line="183" w:lineRule="exact"/>
              <w:rPr>
                <w:sz w:val="20"/>
                <w:szCs w:val="20"/>
                <w:color w:val="auto"/>
              </w:rPr>
            </w:pPr>
            <w:r>
              <w:rPr>
                <w:rFonts w:ascii="Arial" w:cs="Arial" w:eastAsia="Arial" w:hAnsi="Arial"/>
                <w:sz w:val="13"/>
                <w:szCs w:val="13"/>
                <w:color w:val="auto"/>
              </w:rPr>
              <w:t xml:space="preserve">Loans, net </w:t>
            </w:r>
            <w:r>
              <w:rPr>
                <w:rFonts w:ascii="Arial" w:cs="Arial" w:eastAsia="Arial" w:hAnsi="Arial"/>
                <w:sz w:val="21"/>
                <w:szCs w:val="21"/>
                <w:color w:val="auto"/>
                <w:vertAlign w:val="superscript"/>
              </w:rPr>
              <w:t>(2)</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5,702,258</w:t>
            </w:r>
          </w:p>
        </w:tc>
        <w:tc>
          <w:tcPr>
            <w:tcW w:w="1220" w:type="dxa"/>
            <w:vAlign w:val="bottom"/>
          </w:tcPr>
          <w:p>
            <w:pPr>
              <w:jc w:val="right"/>
              <w:spacing w:after="0"/>
              <w:rPr>
                <w:sz w:val="20"/>
                <w:szCs w:val="20"/>
                <w:color w:val="auto"/>
              </w:rPr>
            </w:pPr>
            <w:r>
              <w:rPr>
                <w:rFonts w:ascii="Arial" w:cs="Arial" w:eastAsia="Arial" w:hAnsi="Arial"/>
                <w:sz w:val="13"/>
                <w:szCs w:val="13"/>
                <w:color w:val="auto"/>
              </w:rPr>
              <w:t>5,958,540</w:t>
            </w:r>
          </w:p>
        </w:tc>
        <w:tc>
          <w:tcPr>
            <w:tcW w:w="220" w:type="dxa"/>
            <w:vAlign w:val="bottom"/>
          </w:tcPr>
          <w:p>
            <w:pPr>
              <w:spacing w:after="0"/>
              <w:rPr>
                <w:sz w:val="15"/>
                <w:szCs w:val="15"/>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5,884,527</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74,013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96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Customers' liabilities under acceptances</w:t>
            </w: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9,696</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9,696</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9,696</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3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342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540" w:type="dxa"/>
            <w:vAlign w:val="bottom"/>
            <w:tcBorders>
              <w:bottom w:val="single" w:sz="8" w:color="auto"/>
            </w:tcBorders>
            <w:gridSpan w:val="2"/>
            <w:shd w:val="clear" w:color="auto" w:fill="CCEEFF"/>
          </w:tcPr>
          <w:p>
            <w:pPr>
              <w:spacing w:after="0" w:line="125" w:lineRule="exact"/>
              <w:rPr>
                <w:sz w:val="20"/>
                <w:szCs w:val="20"/>
                <w:color w:val="auto"/>
              </w:rPr>
            </w:pPr>
            <w:r>
              <w:rPr>
                <w:rFonts w:ascii="Arial" w:cs="Arial" w:eastAsia="Arial" w:hAnsi="Arial"/>
                <w:sz w:val="13"/>
                <w:szCs w:val="13"/>
                <w:b w:val="1"/>
                <w:bCs w:val="1"/>
                <w:color w:val="auto"/>
                <w:w w:val="86"/>
              </w:rPr>
              <w:t>Liabilities</w:t>
            </w:r>
          </w:p>
        </w:tc>
        <w:tc>
          <w:tcPr>
            <w:tcW w:w="3420" w:type="dxa"/>
            <w:vAlign w:val="bottom"/>
            <w:tcBorders>
              <w:bottom w:val="single" w:sz="8" w:color="CCEEFF"/>
            </w:tcBorders>
            <w:shd w:val="clear" w:color="auto" w:fill="CCEEFF"/>
          </w:tcPr>
          <w:p>
            <w:pPr>
              <w:spacing w:after="0"/>
              <w:rPr>
                <w:sz w:val="11"/>
                <w:szCs w:val="11"/>
                <w:color w:val="auto"/>
              </w:rPr>
            </w:pPr>
          </w:p>
        </w:tc>
        <w:tc>
          <w:tcPr>
            <w:tcW w:w="1220" w:type="dxa"/>
            <w:vAlign w:val="bottom"/>
            <w:tcBorders>
              <w:bottom w:val="single" w:sz="8" w:color="CCEEFF"/>
            </w:tcBorders>
            <w:shd w:val="clear" w:color="auto" w:fill="CCEEFF"/>
          </w:tcPr>
          <w:p>
            <w:pPr>
              <w:spacing w:after="0"/>
              <w:rPr>
                <w:sz w:val="11"/>
                <w:szCs w:val="11"/>
                <w:color w:val="auto"/>
              </w:rPr>
            </w:pPr>
          </w:p>
        </w:tc>
        <w:tc>
          <w:tcPr>
            <w:tcW w:w="240" w:type="dxa"/>
            <w:vAlign w:val="bottom"/>
            <w:tcBorders>
              <w:bottom w:val="single" w:sz="8" w:color="CCEEFF"/>
            </w:tcBorders>
            <w:shd w:val="clear" w:color="auto" w:fill="CCEEFF"/>
          </w:tcPr>
          <w:p>
            <w:pPr>
              <w:spacing w:after="0"/>
              <w:rPr>
                <w:sz w:val="11"/>
                <w:szCs w:val="11"/>
                <w:color w:val="auto"/>
              </w:rPr>
            </w:pPr>
          </w:p>
        </w:tc>
        <w:tc>
          <w:tcPr>
            <w:tcW w:w="1220" w:type="dxa"/>
            <w:vAlign w:val="bottom"/>
            <w:tcBorders>
              <w:bottom w:val="single" w:sz="8" w:color="CCEEFF"/>
            </w:tcBorders>
            <w:shd w:val="clear" w:color="auto" w:fill="CCEEFF"/>
          </w:tcPr>
          <w:p>
            <w:pPr>
              <w:spacing w:after="0"/>
              <w:rPr>
                <w:sz w:val="11"/>
                <w:szCs w:val="11"/>
                <w:color w:val="auto"/>
              </w:rPr>
            </w:pPr>
          </w:p>
        </w:tc>
        <w:tc>
          <w:tcPr>
            <w:tcW w:w="220" w:type="dxa"/>
            <w:vAlign w:val="bottom"/>
            <w:tcBorders>
              <w:bottom w:val="single" w:sz="8" w:color="CCEEFF"/>
            </w:tcBorders>
            <w:shd w:val="clear" w:color="auto" w:fill="CCEEFF"/>
          </w:tcPr>
          <w:p>
            <w:pPr>
              <w:spacing w:after="0"/>
              <w:rPr>
                <w:sz w:val="11"/>
                <w:szCs w:val="11"/>
                <w:color w:val="auto"/>
              </w:rPr>
            </w:pPr>
          </w:p>
        </w:tc>
        <w:tc>
          <w:tcPr>
            <w:tcW w:w="1200" w:type="dxa"/>
            <w:vAlign w:val="bottom"/>
            <w:tcBorders>
              <w:bottom w:val="single" w:sz="8" w:color="CCEEFF"/>
            </w:tcBorders>
            <w:shd w:val="clear" w:color="auto" w:fill="CCEEFF"/>
          </w:tcPr>
          <w:p>
            <w:pPr>
              <w:spacing w:after="0"/>
              <w:rPr>
                <w:sz w:val="11"/>
                <w:szCs w:val="11"/>
                <w:color w:val="auto"/>
              </w:rPr>
            </w:pPr>
          </w:p>
        </w:tc>
        <w:tc>
          <w:tcPr>
            <w:tcW w:w="220" w:type="dxa"/>
            <w:vAlign w:val="bottom"/>
            <w:tcBorders>
              <w:bottom w:val="single" w:sz="8" w:color="CCEEFF"/>
            </w:tcBorders>
            <w:shd w:val="clear" w:color="auto" w:fill="CCEEFF"/>
          </w:tcPr>
          <w:p>
            <w:pPr>
              <w:spacing w:after="0"/>
              <w:rPr>
                <w:sz w:val="11"/>
                <w:szCs w:val="11"/>
                <w:color w:val="auto"/>
              </w:rPr>
            </w:pPr>
          </w:p>
        </w:tc>
        <w:tc>
          <w:tcPr>
            <w:tcW w:w="1200" w:type="dxa"/>
            <w:vAlign w:val="bottom"/>
            <w:tcBorders>
              <w:bottom w:val="single" w:sz="8" w:color="CCEEFF"/>
            </w:tcBorders>
            <w:shd w:val="clear" w:color="auto" w:fill="CCEEFF"/>
          </w:tcPr>
          <w:p>
            <w:pPr>
              <w:spacing w:after="0"/>
              <w:rPr>
                <w:sz w:val="11"/>
                <w:szCs w:val="11"/>
                <w:color w:val="auto"/>
              </w:rPr>
            </w:pPr>
          </w:p>
        </w:tc>
        <w:tc>
          <w:tcPr>
            <w:tcW w:w="220" w:type="dxa"/>
            <w:vAlign w:val="bottom"/>
            <w:tcBorders>
              <w:bottom w:val="single" w:sz="8" w:color="CCEEFF"/>
            </w:tcBorders>
            <w:shd w:val="clear" w:color="auto" w:fill="CCEEFF"/>
          </w:tcPr>
          <w:p>
            <w:pPr>
              <w:spacing w:after="0"/>
              <w:rPr>
                <w:sz w:val="11"/>
                <w:szCs w:val="11"/>
                <w:color w:val="auto"/>
              </w:rPr>
            </w:pPr>
          </w:p>
        </w:tc>
        <w:tc>
          <w:tcPr>
            <w:tcW w:w="1200" w:type="dxa"/>
            <w:vAlign w:val="bottom"/>
            <w:tcBorders>
              <w:bottom w:val="single" w:sz="8" w:color="CCEEFF"/>
            </w:tcBorders>
            <w:shd w:val="clear" w:color="auto" w:fill="CCEEFF"/>
          </w:tcPr>
          <w:p>
            <w:pPr>
              <w:spacing w:after="0"/>
              <w:rPr>
                <w:sz w:val="11"/>
                <w:szCs w:val="11"/>
                <w:color w:val="auto"/>
              </w:rPr>
            </w:pPr>
          </w:p>
        </w:tc>
        <w:tc>
          <w:tcPr>
            <w:tcW w:w="100" w:type="dxa"/>
            <w:vAlign w:val="bottom"/>
            <w:tcBorders>
              <w:bottom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960" w:type="dxa"/>
            <w:vAlign w:val="bottom"/>
            <w:gridSpan w:val="3"/>
          </w:tcPr>
          <w:p>
            <w:pPr>
              <w:spacing w:after="0"/>
              <w:rPr>
                <w:sz w:val="20"/>
                <w:szCs w:val="20"/>
                <w:color w:val="auto"/>
              </w:rPr>
            </w:pPr>
            <w:r>
              <w:rPr>
                <w:rFonts w:ascii="Arial" w:cs="Arial" w:eastAsia="Arial" w:hAnsi="Arial"/>
                <w:sz w:val="13"/>
                <w:szCs w:val="13"/>
                <w:color w:val="auto"/>
              </w:rPr>
              <w:t>Deposits</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2,970,822</w:t>
            </w:r>
          </w:p>
        </w:tc>
        <w:tc>
          <w:tcPr>
            <w:tcW w:w="1220" w:type="dxa"/>
            <w:vAlign w:val="bottom"/>
          </w:tcPr>
          <w:p>
            <w:pPr>
              <w:jc w:val="right"/>
              <w:spacing w:after="0"/>
              <w:rPr>
                <w:sz w:val="20"/>
                <w:szCs w:val="20"/>
                <w:color w:val="auto"/>
              </w:rPr>
            </w:pPr>
            <w:r>
              <w:rPr>
                <w:rFonts w:ascii="Arial" w:cs="Arial" w:eastAsia="Arial" w:hAnsi="Arial"/>
                <w:sz w:val="13"/>
                <w:szCs w:val="13"/>
                <w:color w:val="auto"/>
              </w:rPr>
              <w:t>2,970,822</w:t>
            </w:r>
          </w:p>
        </w:tc>
        <w:tc>
          <w:tcPr>
            <w:tcW w:w="220" w:type="dxa"/>
            <w:vAlign w:val="bottom"/>
          </w:tcPr>
          <w:p>
            <w:pPr>
              <w:spacing w:after="0"/>
              <w:rPr>
                <w:sz w:val="13"/>
                <w:szCs w:val="13"/>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2,970,822</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96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Securities sold under repurchase agreements</w:t>
            </w: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39,767</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39,767</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39,767</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960" w:type="dxa"/>
            <w:vAlign w:val="bottom"/>
            <w:gridSpan w:val="3"/>
          </w:tcPr>
          <w:p>
            <w:pPr>
              <w:spacing w:after="0"/>
              <w:rPr>
                <w:sz w:val="20"/>
                <w:szCs w:val="20"/>
                <w:color w:val="auto"/>
              </w:rPr>
            </w:pPr>
            <w:r>
              <w:rPr>
                <w:rFonts w:ascii="Arial" w:cs="Arial" w:eastAsia="Arial" w:hAnsi="Arial"/>
                <w:sz w:val="13"/>
                <w:szCs w:val="13"/>
                <w:color w:val="auto"/>
              </w:rPr>
              <w:t>Borrowings and debt, net</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3,518,446</w:t>
            </w:r>
          </w:p>
        </w:tc>
        <w:tc>
          <w:tcPr>
            <w:tcW w:w="1220" w:type="dxa"/>
            <w:vAlign w:val="bottom"/>
          </w:tcPr>
          <w:p>
            <w:pPr>
              <w:jc w:val="right"/>
              <w:spacing w:after="0"/>
              <w:rPr>
                <w:sz w:val="20"/>
                <w:szCs w:val="20"/>
                <w:color w:val="auto"/>
              </w:rPr>
            </w:pPr>
            <w:r>
              <w:rPr>
                <w:rFonts w:ascii="Arial" w:cs="Arial" w:eastAsia="Arial" w:hAnsi="Arial"/>
                <w:sz w:val="13"/>
                <w:szCs w:val="13"/>
                <w:color w:val="auto"/>
              </w:rPr>
              <w:t>3,558,763</w:t>
            </w:r>
          </w:p>
        </w:tc>
        <w:tc>
          <w:tcPr>
            <w:tcW w:w="220" w:type="dxa"/>
            <w:vAlign w:val="bottom"/>
          </w:tcPr>
          <w:p>
            <w:pPr>
              <w:spacing w:after="0"/>
              <w:rPr>
                <w:sz w:val="13"/>
                <w:szCs w:val="13"/>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3,558,763</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96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Customers' liabilities under acceptances</w:t>
            </w: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9,696</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9,696</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9,696</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45"/>
        </w:trPr>
        <w:tc>
          <w:tcPr>
            <w:tcW w:w="20" w:type="dxa"/>
            <w:vAlign w:val="bottom"/>
          </w:tcPr>
          <w:p>
            <w:pPr>
              <w:spacing w:after="0"/>
              <w:rPr>
                <w:sz w:val="12"/>
                <w:szCs w:val="12"/>
                <w:color w:val="auto"/>
              </w:rPr>
            </w:pPr>
          </w:p>
        </w:tc>
        <w:tc>
          <w:tcPr>
            <w:tcW w:w="3960" w:type="dxa"/>
            <w:vAlign w:val="bottom"/>
            <w:gridSpan w:val="3"/>
          </w:tcPr>
          <w:p>
            <w:pPr>
              <w:spacing w:after="0" w:line="146" w:lineRule="exact"/>
              <w:rPr>
                <w:sz w:val="20"/>
                <w:szCs w:val="20"/>
                <w:color w:val="auto"/>
              </w:rPr>
            </w:pPr>
            <w:r>
              <w:rPr>
                <w:rFonts w:ascii="Arial" w:cs="Arial" w:eastAsia="Arial" w:hAnsi="Arial"/>
                <w:sz w:val="13"/>
                <w:szCs w:val="13"/>
                <w:color w:val="auto"/>
                <w:w w:val="95"/>
              </w:rPr>
              <w:t>Allowance for expected credit losses on loan commitments and financial</w:t>
            </w:r>
          </w:p>
        </w:tc>
        <w:tc>
          <w:tcPr>
            <w:tcW w:w="12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3980" w:type="dxa"/>
            <w:vAlign w:val="bottom"/>
            <w:gridSpan w:val="4"/>
          </w:tcPr>
          <w:p>
            <w:pPr>
              <w:spacing w:after="0"/>
              <w:rPr>
                <w:sz w:val="20"/>
                <w:szCs w:val="20"/>
                <w:color w:val="auto"/>
              </w:rPr>
            </w:pPr>
            <w:r>
              <w:rPr>
                <w:rFonts w:ascii="Arial" w:cs="Arial" w:eastAsia="Arial" w:hAnsi="Arial"/>
                <w:sz w:val="13"/>
                <w:szCs w:val="13"/>
                <w:color w:val="auto"/>
              </w:rPr>
              <w:t>guarantee contracts</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3,289</w:t>
            </w:r>
          </w:p>
        </w:tc>
        <w:tc>
          <w:tcPr>
            <w:tcW w:w="1440" w:type="dxa"/>
            <w:vAlign w:val="bottom"/>
            <w:gridSpan w:val="2"/>
          </w:tcPr>
          <w:p>
            <w:pPr>
              <w:jc w:val="right"/>
              <w:ind w:right="220"/>
              <w:spacing w:after="0"/>
              <w:rPr>
                <w:sz w:val="20"/>
                <w:szCs w:val="20"/>
                <w:color w:val="auto"/>
              </w:rPr>
            </w:pPr>
            <w:r>
              <w:rPr>
                <w:rFonts w:ascii="Arial" w:cs="Arial" w:eastAsia="Arial" w:hAnsi="Arial"/>
                <w:sz w:val="13"/>
                <w:szCs w:val="13"/>
                <w:color w:val="auto"/>
              </w:rPr>
              <w:t>3,289</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3,289</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bl>
    <w:p>
      <w:pPr>
        <w:spacing w:after="0" w:line="151" w:lineRule="exact"/>
        <w:rPr>
          <w:sz w:val="20"/>
          <w:szCs w:val="20"/>
          <w:color w:val="auto"/>
        </w:rPr>
      </w:pPr>
    </w:p>
    <w:tbl>
      <w:tblPr>
        <w:tblLayout w:type="fixed"/>
        <w:tblInd w:w="223"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3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3420" w:type="dxa"/>
            <w:vAlign w:val="bottom"/>
          </w:tcPr>
          <w:p>
            <w:pPr>
              <w:spacing w:after="0"/>
              <w:rPr>
                <w:sz w:val="14"/>
                <w:szCs w:val="14"/>
                <w:color w:val="auto"/>
              </w:rPr>
            </w:pPr>
          </w:p>
        </w:tc>
        <w:tc>
          <w:tcPr>
            <w:tcW w:w="122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22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420" w:type="dxa"/>
            <w:vAlign w:val="bottom"/>
            <w:tcBorders>
              <w:bottom w:val="single" w:sz="8" w:color="auto"/>
            </w:tcBorders>
            <w:gridSpan w:val="2"/>
          </w:tcPr>
          <w:p>
            <w:pPr>
              <w:jc w:val="right"/>
              <w:ind w:right="340"/>
              <w:spacing w:after="0"/>
              <w:rPr>
                <w:sz w:val="20"/>
                <w:szCs w:val="20"/>
                <w:color w:val="auto"/>
              </w:rPr>
            </w:pPr>
            <w:r>
              <w:rPr>
                <w:rFonts w:ascii="Arial" w:cs="Arial" w:eastAsia="Arial" w:hAnsi="Arial"/>
                <w:sz w:val="13"/>
                <w:szCs w:val="13"/>
                <w:b w:val="1"/>
                <w:bCs w:val="1"/>
                <w:color w:val="auto"/>
                <w:w w:val="90"/>
              </w:rPr>
              <w:t>December 31, 2017</w:t>
            </w:r>
          </w:p>
        </w:tc>
        <w:tc>
          <w:tcPr>
            <w:tcW w:w="12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20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1"/>
        </w:trPr>
        <w:tc>
          <w:tcPr>
            <w:tcW w:w="20" w:type="dxa"/>
            <w:vAlign w:val="bottom"/>
          </w:tcPr>
          <w:p>
            <w:pPr>
              <w:spacing w:after="0"/>
              <w:rPr>
                <w:sz w:val="11"/>
                <w:szCs w:val="11"/>
                <w:color w:val="auto"/>
              </w:rPr>
            </w:pPr>
          </w:p>
        </w:tc>
        <w:tc>
          <w:tcPr>
            <w:tcW w:w="3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3420" w:type="dxa"/>
            <w:vAlign w:val="bottom"/>
          </w:tcPr>
          <w:p>
            <w:pPr>
              <w:spacing w:after="0"/>
              <w:rPr>
                <w:sz w:val="11"/>
                <w:szCs w:val="11"/>
                <w:color w:val="auto"/>
              </w:rPr>
            </w:pPr>
          </w:p>
        </w:tc>
        <w:tc>
          <w:tcPr>
            <w:tcW w:w="1460" w:type="dxa"/>
            <w:vAlign w:val="bottom"/>
            <w:gridSpan w:val="2"/>
          </w:tcPr>
          <w:p>
            <w:pPr>
              <w:jc w:val="right"/>
              <w:ind w:right="600"/>
              <w:spacing w:after="0" w:line="131" w:lineRule="exact"/>
              <w:rPr>
                <w:sz w:val="20"/>
                <w:szCs w:val="20"/>
                <w:color w:val="auto"/>
              </w:rPr>
            </w:pPr>
            <w:r>
              <w:rPr>
                <w:rFonts w:ascii="Arial" w:cs="Arial" w:eastAsia="Arial" w:hAnsi="Arial"/>
                <w:sz w:val="13"/>
                <w:szCs w:val="13"/>
                <w:b w:val="1"/>
                <w:bCs w:val="1"/>
                <w:color w:val="auto"/>
              </w:rPr>
              <w:t>Carrying</w:t>
            </w:r>
          </w:p>
        </w:tc>
        <w:tc>
          <w:tcPr>
            <w:tcW w:w="1440" w:type="dxa"/>
            <w:vAlign w:val="bottom"/>
            <w:gridSpan w:val="2"/>
          </w:tcPr>
          <w:p>
            <w:pPr>
              <w:jc w:val="center"/>
              <w:ind w:right="220"/>
              <w:spacing w:after="0" w:line="131" w:lineRule="exact"/>
              <w:rPr>
                <w:sz w:val="20"/>
                <w:szCs w:val="20"/>
                <w:color w:val="auto"/>
              </w:rPr>
            </w:pPr>
            <w:r>
              <w:rPr>
                <w:rFonts w:ascii="Arial" w:cs="Arial" w:eastAsia="Arial" w:hAnsi="Arial"/>
                <w:sz w:val="13"/>
                <w:szCs w:val="13"/>
                <w:b w:val="1"/>
                <w:bCs w:val="1"/>
                <w:color w:val="auto"/>
                <w:w w:val="92"/>
              </w:rPr>
              <w:t>Fair</w:t>
            </w:r>
          </w:p>
        </w:tc>
        <w:tc>
          <w:tcPr>
            <w:tcW w:w="12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3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3420" w:type="dxa"/>
            <w:vAlign w:val="bottom"/>
          </w:tcPr>
          <w:p>
            <w:pPr>
              <w:spacing w:after="0"/>
              <w:rPr>
                <w:sz w:val="14"/>
                <w:szCs w:val="14"/>
                <w:color w:val="auto"/>
              </w:rPr>
            </w:pPr>
          </w:p>
        </w:tc>
        <w:tc>
          <w:tcPr>
            <w:tcW w:w="1460" w:type="dxa"/>
            <w:vAlign w:val="bottom"/>
            <w:gridSpan w:val="2"/>
          </w:tcPr>
          <w:p>
            <w:pPr>
              <w:jc w:val="right"/>
              <w:ind w:right="700"/>
              <w:spacing w:after="0"/>
              <w:rPr>
                <w:sz w:val="20"/>
                <w:szCs w:val="20"/>
                <w:color w:val="auto"/>
              </w:rPr>
            </w:pPr>
            <w:r>
              <w:rPr>
                <w:rFonts w:ascii="Arial" w:cs="Arial" w:eastAsia="Arial" w:hAnsi="Arial"/>
                <w:sz w:val="13"/>
                <w:szCs w:val="13"/>
                <w:b w:val="1"/>
                <w:bCs w:val="1"/>
                <w:color w:val="auto"/>
              </w:rPr>
              <w:t>value</w:t>
            </w:r>
          </w:p>
        </w:tc>
        <w:tc>
          <w:tcPr>
            <w:tcW w:w="144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0"/>
              </w:rPr>
              <w:t>value</w:t>
            </w:r>
          </w:p>
        </w:tc>
        <w:tc>
          <w:tcPr>
            <w:tcW w:w="1420" w:type="dxa"/>
            <w:vAlign w:val="bottom"/>
            <w:gridSpan w:val="2"/>
          </w:tcPr>
          <w:p>
            <w:pPr>
              <w:jc w:val="right"/>
              <w:ind w:right="620"/>
              <w:spacing w:after="0"/>
              <w:rPr>
                <w:sz w:val="20"/>
                <w:szCs w:val="20"/>
                <w:color w:val="auto"/>
              </w:rPr>
            </w:pPr>
            <w:r>
              <w:rPr>
                <w:rFonts w:ascii="Arial" w:cs="Arial" w:eastAsia="Arial" w:hAnsi="Arial"/>
                <w:sz w:val="13"/>
                <w:szCs w:val="13"/>
                <w:b w:val="1"/>
                <w:bCs w:val="1"/>
                <w:color w:val="auto"/>
              </w:rPr>
              <w:t>Level 1</w:t>
            </w:r>
          </w:p>
        </w:tc>
        <w:tc>
          <w:tcPr>
            <w:tcW w:w="1420" w:type="dxa"/>
            <w:vAlign w:val="bottom"/>
            <w:gridSpan w:val="2"/>
          </w:tcPr>
          <w:p>
            <w:pPr>
              <w:ind w:left="400"/>
              <w:spacing w:after="0"/>
              <w:rPr>
                <w:sz w:val="20"/>
                <w:szCs w:val="20"/>
                <w:color w:val="auto"/>
              </w:rPr>
            </w:pPr>
            <w:r>
              <w:rPr>
                <w:rFonts w:ascii="Arial" w:cs="Arial" w:eastAsia="Arial" w:hAnsi="Arial"/>
                <w:sz w:val="13"/>
                <w:szCs w:val="13"/>
                <w:b w:val="1"/>
                <w:bCs w:val="1"/>
                <w:color w:val="auto"/>
              </w:rPr>
              <w:t>Level 2</w:t>
            </w:r>
          </w:p>
        </w:tc>
        <w:tc>
          <w:tcPr>
            <w:tcW w:w="1300" w:type="dxa"/>
            <w:vAlign w:val="bottom"/>
            <w:gridSpan w:val="2"/>
          </w:tcPr>
          <w:p>
            <w:pPr>
              <w:ind w:left="400"/>
              <w:spacing w:after="0"/>
              <w:rPr>
                <w:sz w:val="20"/>
                <w:szCs w:val="20"/>
                <w:color w:val="auto"/>
              </w:rPr>
            </w:pPr>
            <w:r>
              <w:rPr>
                <w:rFonts w:ascii="Arial" w:cs="Arial" w:eastAsia="Arial" w:hAnsi="Arial"/>
                <w:sz w:val="13"/>
                <w:szCs w:val="13"/>
                <w:b w:val="1"/>
                <w:bCs w:val="1"/>
                <w:color w:val="auto"/>
              </w:rPr>
              <w:t>Level 3</w:t>
            </w:r>
          </w:p>
        </w:tc>
        <w:tc>
          <w:tcPr>
            <w:tcW w:w="0" w:type="dxa"/>
            <w:vAlign w:val="bottom"/>
          </w:tcPr>
          <w:p>
            <w:pPr>
              <w:spacing w:after="0"/>
              <w:rPr>
                <w:sz w:val="1"/>
                <w:szCs w:val="1"/>
                <w:color w:val="auto"/>
              </w:rPr>
            </w:pPr>
          </w:p>
        </w:tc>
      </w:tr>
      <w:tr>
        <w:trPr>
          <w:trHeight w:val="124"/>
        </w:trPr>
        <w:tc>
          <w:tcPr>
            <w:tcW w:w="20" w:type="dxa"/>
            <w:vAlign w:val="bottom"/>
          </w:tcPr>
          <w:p>
            <w:pPr>
              <w:spacing w:after="0"/>
              <w:rPr>
                <w:sz w:val="10"/>
                <w:szCs w:val="10"/>
                <w:color w:val="auto"/>
              </w:rPr>
            </w:pPr>
          </w:p>
        </w:tc>
        <w:tc>
          <w:tcPr>
            <w:tcW w:w="340" w:type="dxa"/>
            <w:vAlign w:val="bottom"/>
            <w:tcBorders>
              <w:top w:val="single" w:sz="8" w:color="CCEEFF"/>
              <w:bottom w:val="single" w:sz="8" w:color="auto"/>
            </w:tcBorders>
            <w:shd w:val="clear" w:color="auto" w:fill="CCEEFF"/>
          </w:tcPr>
          <w:p>
            <w:pPr>
              <w:spacing w:after="0" w:line="116" w:lineRule="exact"/>
              <w:rPr>
                <w:sz w:val="20"/>
                <w:szCs w:val="20"/>
                <w:color w:val="auto"/>
              </w:rPr>
            </w:pPr>
            <w:r>
              <w:rPr>
                <w:rFonts w:ascii="Arial" w:cs="Arial" w:eastAsia="Arial" w:hAnsi="Arial"/>
                <w:sz w:val="13"/>
                <w:szCs w:val="13"/>
                <w:b w:val="1"/>
                <w:bCs w:val="1"/>
                <w:color w:val="auto"/>
                <w:w w:val="74"/>
              </w:rPr>
              <w:t>Assets</w:t>
            </w:r>
          </w:p>
        </w:tc>
        <w:tc>
          <w:tcPr>
            <w:tcW w:w="3620" w:type="dxa"/>
            <w:vAlign w:val="bottom"/>
            <w:tcBorders>
              <w:top w:val="single" w:sz="8" w:color="CCEEFF"/>
              <w:bottom w:val="single" w:sz="8" w:color="CCEEFF"/>
            </w:tcBorders>
            <w:gridSpan w:val="2"/>
            <w:shd w:val="clear" w:color="auto" w:fill="CCEEFF"/>
          </w:tcPr>
          <w:p>
            <w:pPr>
              <w:spacing w:after="0"/>
              <w:rPr>
                <w:sz w:val="10"/>
                <w:szCs w:val="10"/>
                <w:color w:val="auto"/>
              </w:rPr>
            </w:pPr>
          </w:p>
        </w:tc>
        <w:tc>
          <w:tcPr>
            <w:tcW w:w="1220" w:type="dxa"/>
            <w:vAlign w:val="bottom"/>
            <w:tcBorders>
              <w:top w:val="single" w:sz="8" w:color="auto"/>
              <w:bottom w:val="single" w:sz="8" w:color="CCEEFF"/>
            </w:tcBorders>
            <w:shd w:val="clear" w:color="auto" w:fill="CCEEFF"/>
          </w:tcPr>
          <w:p>
            <w:pPr>
              <w:spacing w:after="0"/>
              <w:rPr>
                <w:sz w:val="10"/>
                <w:szCs w:val="10"/>
                <w:color w:val="auto"/>
              </w:rPr>
            </w:pPr>
          </w:p>
        </w:tc>
        <w:tc>
          <w:tcPr>
            <w:tcW w:w="240" w:type="dxa"/>
            <w:vAlign w:val="bottom"/>
            <w:tcBorders>
              <w:top w:val="single" w:sz="8" w:color="CCEEFF"/>
              <w:bottom w:val="single" w:sz="8" w:color="CCEEFF"/>
            </w:tcBorders>
            <w:shd w:val="clear" w:color="auto" w:fill="CCEEFF"/>
          </w:tcPr>
          <w:p>
            <w:pPr>
              <w:spacing w:after="0"/>
              <w:rPr>
                <w:sz w:val="10"/>
                <w:szCs w:val="10"/>
                <w:color w:val="auto"/>
              </w:rPr>
            </w:pPr>
          </w:p>
        </w:tc>
        <w:tc>
          <w:tcPr>
            <w:tcW w:w="1220" w:type="dxa"/>
            <w:vAlign w:val="bottom"/>
            <w:tcBorders>
              <w:top w:val="single" w:sz="8" w:color="auto"/>
              <w:bottom w:val="single" w:sz="8" w:color="CCEEFF"/>
            </w:tcBorders>
            <w:shd w:val="clear" w:color="auto" w:fill="CCEEFF"/>
          </w:tcPr>
          <w:p>
            <w:pPr>
              <w:spacing w:after="0"/>
              <w:rPr>
                <w:sz w:val="10"/>
                <w:szCs w:val="10"/>
                <w:color w:val="auto"/>
              </w:rPr>
            </w:pPr>
          </w:p>
        </w:tc>
        <w:tc>
          <w:tcPr>
            <w:tcW w:w="220" w:type="dxa"/>
            <w:vAlign w:val="bottom"/>
            <w:tcBorders>
              <w:top w:val="single" w:sz="8" w:color="CCEEFF"/>
              <w:bottom w:val="single" w:sz="8" w:color="CCEEFF"/>
            </w:tcBorders>
            <w:shd w:val="clear" w:color="auto" w:fill="CCEEFF"/>
          </w:tcPr>
          <w:p>
            <w:pPr>
              <w:spacing w:after="0"/>
              <w:rPr>
                <w:sz w:val="10"/>
                <w:szCs w:val="10"/>
                <w:color w:val="auto"/>
              </w:rPr>
            </w:pPr>
          </w:p>
        </w:tc>
        <w:tc>
          <w:tcPr>
            <w:tcW w:w="1200" w:type="dxa"/>
            <w:vAlign w:val="bottom"/>
            <w:tcBorders>
              <w:top w:val="single" w:sz="8" w:color="auto"/>
              <w:bottom w:val="single" w:sz="8" w:color="CCEEFF"/>
            </w:tcBorders>
            <w:shd w:val="clear" w:color="auto" w:fill="CCEEFF"/>
          </w:tcPr>
          <w:p>
            <w:pPr>
              <w:spacing w:after="0"/>
              <w:rPr>
                <w:sz w:val="10"/>
                <w:szCs w:val="10"/>
                <w:color w:val="auto"/>
              </w:rPr>
            </w:pPr>
          </w:p>
        </w:tc>
        <w:tc>
          <w:tcPr>
            <w:tcW w:w="220" w:type="dxa"/>
            <w:vAlign w:val="bottom"/>
            <w:tcBorders>
              <w:top w:val="single" w:sz="8" w:color="CCEEFF"/>
              <w:bottom w:val="single" w:sz="8" w:color="CCEEFF"/>
            </w:tcBorders>
            <w:shd w:val="clear" w:color="auto" w:fill="CCEEFF"/>
          </w:tcPr>
          <w:p>
            <w:pPr>
              <w:spacing w:after="0"/>
              <w:rPr>
                <w:sz w:val="10"/>
                <w:szCs w:val="10"/>
                <w:color w:val="auto"/>
              </w:rPr>
            </w:pPr>
          </w:p>
        </w:tc>
        <w:tc>
          <w:tcPr>
            <w:tcW w:w="1200" w:type="dxa"/>
            <w:vAlign w:val="bottom"/>
            <w:tcBorders>
              <w:top w:val="single" w:sz="8" w:color="auto"/>
              <w:bottom w:val="single" w:sz="8" w:color="CCEEFF"/>
            </w:tcBorders>
            <w:shd w:val="clear" w:color="auto" w:fill="CCEEFF"/>
          </w:tcPr>
          <w:p>
            <w:pPr>
              <w:spacing w:after="0"/>
              <w:rPr>
                <w:sz w:val="10"/>
                <w:szCs w:val="10"/>
                <w:color w:val="auto"/>
              </w:rPr>
            </w:pPr>
          </w:p>
        </w:tc>
        <w:tc>
          <w:tcPr>
            <w:tcW w:w="220" w:type="dxa"/>
            <w:vAlign w:val="bottom"/>
            <w:tcBorders>
              <w:top w:val="single" w:sz="8" w:color="CCEEFF"/>
              <w:bottom w:val="single" w:sz="8" w:color="CCEEFF"/>
            </w:tcBorders>
            <w:shd w:val="clear" w:color="auto" w:fill="CCEEFF"/>
          </w:tcPr>
          <w:p>
            <w:pPr>
              <w:spacing w:after="0"/>
              <w:rPr>
                <w:sz w:val="10"/>
                <w:szCs w:val="10"/>
                <w:color w:val="auto"/>
              </w:rPr>
            </w:pPr>
          </w:p>
        </w:tc>
        <w:tc>
          <w:tcPr>
            <w:tcW w:w="1200" w:type="dxa"/>
            <w:vAlign w:val="bottom"/>
            <w:tcBorders>
              <w:top w:val="single" w:sz="8" w:color="auto"/>
              <w:bottom w:val="single" w:sz="8" w:color="CCEEFF"/>
            </w:tcBorders>
            <w:shd w:val="clear" w:color="auto" w:fill="CCEEFF"/>
          </w:tcPr>
          <w:p>
            <w:pPr>
              <w:spacing w:after="0"/>
              <w:rPr>
                <w:sz w:val="10"/>
                <w:szCs w:val="10"/>
                <w:color w:val="auto"/>
              </w:rPr>
            </w:pPr>
          </w:p>
        </w:tc>
        <w:tc>
          <w:tcPr>
            <w:tcW w:w="100" w:type="dxa"/>
            <w:vAlign w:val="bottom"/>
            <w:tcBorders>
              <w:top w:val="single" w:sz="8" w:color="CCEEFF"/>
              <w:bottom w:val="single" w:sz="8" w:color="CCEEFF"/>
            </w:tcBorders>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960" w:type="dxa"/>
            <w:vAlign w:val="bottom"/>
            <w:gridSpan w:val="3"/>
          </w:tcPr>
          <w:p>
            <w:pPr>
              <w:spacing w:after="0"/>
              <w:rPr>
                <w:sz w:val="20"/>
                <w:szCs w:val="20"/>
                <w:color w:val="auto"/>
              </w:rPr>
            </w:pPr>
            <w:r>
              <w:rPr>
                <w:rFonts w:ascii="Arial" w:cs="Arial" w:eastAsia="Arial" w:hAnsi="Arial"/>
                <w:sz w:val="13"/>
                <w:szCs w:val="13"/>
                <w:color w:val="auto"/>
              </w:rPr>
              <w:t>Cash and deposits on banks</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672,048</w:t>
            </w:r>
          </w:p>
        </w:tc>
        <w:tc>
          <w:tcPr>
            <w:tcW w:w="1440" w:type="dxa"/>
            <w:vAlign w:val="bottom"/>
            <w:gridSpan w:val="2"/>
          </w:tcPr>
          <w:p>
            <w:pPr>
              <w:jc w:val="right"/>
              <w:ind w:right="220"/>
              <w:spacing w:after="0"/>
              <w:rPr>
                <w:sz w:val="20"/>
                <w:szCs w:val="20"/>
                <w:color w:val="auto"/>
              </w:rPr>
            </w:pPr>
            <w:r>
              <w:rPr>
                <w:rFonts w:ascii="Arial" w:cs="Arial" w:eastAsia="Arial" w:hAnsi="Arial"/>
                <w:sz w:val="13"/>
                <w:szCs w:val="13"/>
                <w:color w:val="auto"/>
              </w:rPr>
              <w:t>672,048</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672,048</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83"/>
        </w:trPr>
        <w:tc>
          <w:tcPr>
            <w:tcW w:w="20" w:type="dxa"/>
            <w:vAlign w:val="bottom"/>
          </w:tcPr>
          <w:p>
            <w:pPr>
              <w:spacing w:after="0"/>
              <w:rPr>
                <w:sz w:val="15"/>
                <w:szCs w:val="15"/>
                <w:color w:val="auto"/>
              </w:rPr>
            </w:pPr>
          </w:p>
        </w:tc>
        <w:tc>
          <w:tcPr>
            <w:tcW w:w="3960" w:type="dxa"/>
            <w:vAlign w:val="bottom"/>
            <w:gridSpan w:val="3"/>
            <w:shd w:val="clear" w:color="auto" w:fill="CCEEFF"/>
          </w:tcPr>
          <w:p>
            <w:pPr>
              <w:spacing w:after="0" w:line="183" w:lineRule="exact"/>
              <w:rPr>
                <w:sz w:val="20"/>
                <w:szCs w:val="20"/>
                <w:color w:val="auto"/>
              </w:rPr>
            </w:pPr>
            <w:r>
              <w:rPr>
                <w:rFonts w:ascii="Arial" w:cs="Arial" w:eastAsia="Arial" w:hAnsi="Arial"/>
                <w:sz w:val="13"/>
                <w:szCs w:val="13"/>
                <w:color w:val="auto"/>
              </w:rPr>
              <w:t xml:space="preserve">Securities at amortized cost </w:t>
            </w:r>
            <w:r>
              <w:rPr>
                <w:rFonts w:ascii="Arial" w:cs="Arial" w:eastAsia="Arial" w:hAnsi="Arial"/>
                <w:sz w:val="21"/>
                <w:szCs w:val="21"/>
                <w:color w:val="auto"/>
                <w:vertAlign w:val="superscript"/>
              </w:rPr>
              <w:t>(1)</w:t>
            </w: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69,974</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69,006</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50,581</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8,447</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9,978</w:t>
            </w:r>
          </w:p>
        </w:tc>
        <w:tc>
          <w:tcPr>
            <w:tcW w:w="0" w:type="dxa"/>
            <w:vAlign w:val="bottom"/>
          </w:tcPr>
          <w:p>
            <w:pPr>
              <w:spacing w:after="0"/>
              <w:rPr>
                <w:sz w:val="1"/>
                <w:szCs w:val="1"/>
                <w:color w:val="auto"/>
              </w:rPr>
            </w:pPr>
          </w:p>
        </w:tc>
      </w:tr>
      <w:tr>
        <w:trPr>
          <w:trHeight w:val="183"/>
        </w:trPr>
        <w:tc>
          <w:tcPr>
            <w:tcW w:w="20" w:type="dxa"/>
            <w:vAlign w:val="bottom"/>
          </w:tcPr>
          <w:p>
            <w:pPr>
              <w:spacing w:after="0"/>
              <w:rPr>
                <w:sz w:val="15"/>
                <w:szCs w:val="15"/>
                <w:color w:val="auto"/>
              </w:rPr>
            </w:pPr>
          </w:p>
        </w:tc>
        <w:tc>
          <w:tcPr>
            <w:tcW w:w="3960" w:type="dxa"/>
            <w:vAlign w:val="bottom"/>
            <w:gridSpan w:val="3"/>
          </w:tcPr>
          <w:p>
            <w:pPr>
              <w:spacing w:after="0" w:line="183" w:lineRule="exact"/>
              <w:rPr>
                <w:sz w:val="20"/>
                <w:szCs w:val="20"/>
                <w:color w:val="auto"/>
              </w:rPr>
            </w:pPr>
            <w:r>
              <w:rPr>
                <w:rFonts w:ascii="Arial" w:cs="Arial" w:eastAsia="Arial" w:hAnsi="Arial"/>
                <w:sz w:val="13"/>
                <w:szCs w:val="13"/>
                <w:color w:val="auto"/>
              </w:rPr>
              <w:t xml:space="preserve">Loans, net </w:t>
            </w:r>
            <w:r>
              <w:rPr>
                <w:rFonts w:ascii="Arial" w:cs="Arial" w:eastAsia="Arial" w:hAnsi="Arial"/>
                <w:sz w:val="21"/>
                <w:szCs w:val="21"/>
                <w:color w:val="auto"/>
                <w:vertAlign w:val="superscript"/>
              </w:rPr>
              <w:t>(2)</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5,448,788</w:t>
            </w:r>
          </w:p>
        </w:tc>
        <w:tc>
          <w:tcPr>
            <w:tcW w:w="1220" w:type="dxa"/>
            <w:vAlign w:val="bottom"/>
          </w:tcPr>
          <w:p>
            <w:pPr>
              <w:jc w:val="right"/>
              <w:spacing w:after="0"/>
              <w:rPr>
                <w:sz w:val="20"/>
                <w:szCs w:val="20"/>
                <w:color w:val="auto"/>
              </w:rPr>
            </w:pPr>
            <w:r>
              <w:rPr>
                <w:rFonts w:ascii="Arial" w:cs="Arial" w:eastAsia="Arial" w:hAnsi="Arial"/>
                <w:sz w:val="13"/>
                <w:szCs w:val="13"/>
                <w:color w:val="auto"/>
              </w:rPr>
              <w:t>5,550,704</w:t>
            </w:r>
          </w:p>
        </w:tc>
        <w:tc>
          <w:tcPr>
            <w:tcW w:w="220" w:type="dxa"/>
            <w:vAlign w:val="bottom"/>
          </w:tcPr>
          <w:p>
            <w:pPr>
              <w:spacing w:after="0"/>
              <w:rPr>
                <w:sz w:val="15"/>
                <w:szCs w:val="15"/>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5,550,704</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96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Customers' liabilities under acceptances</w:t>
            </w: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6,369</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6,369</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6,369</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3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342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540" w:type="dxa"/>
            <w:vAlign w:val="bottom"/>
            <w:tcBorders>
              <w:bottom w:val="single" w:sz="8" w:color="auto"/>
            </w:tcBorders>
            <w:gridSpan w:val="2"/>
            <w:shd w:val="clear" w:color="auto" w:fill="CCEEFF"/>
          </w:tcPr>
          <w:p>
            <w:pPr>
              <w:spacing w:after="0" w:line="125" w:lineRule="exact"/>
              <w:rPr>
                <w:sz w:val="20"/>
                <w:szCs w:val="20"/>
                <w:color w:val="auto"/>
              </w:rPr>
            </w:pPr>
            <w:r>
              <w:rPr>
                <w:rFonts w:ascii="Arial" w:cs="Arial" w:eastAsia="Arial" w:hAnsi="Arial"/>
                <w:sz w:val="13"/>
                <w:szCs w:val="13"/>
                <w:b w:val="1"/>
                <w:bCs w:val="1"/>
                <w:color w:val="auto"/>
                <w:w w:val="86"/>
              </w:rPr>
              <w:t>Liabilities</w:t>
            </w:r>
          </w:p>
        </w:tc>
        <w:tc>
          <w:tcPr>
            <w:tcW w:w="3420" w:type="dxa"/>
            <w:vAlign w:val="bottom"/>
            <w:tcBorders>
              <w:bottom w:val="single" w:sz="8" w:color="CCEEFF"/>
            </w:tcBorders>
            <w:shd w:val="clear" w:color="auto" w:fill="CCEEFF"/>
          </w:tcPr>
          <w:p>
            <w:pPr>
              <w:spacing w:after="0"/>
              <w:rPr>
                <w:sz w:val="11"/>
                <w:szCs w:val="11"/>
                <w:color w:val="auto"/>
              </w:rPr>
            </w:pPr>
          </w:p>
        </w:tc>
        <w:tc>
          <w:tcPr>
            <w:tcW w:w="1220" w:type="dxa"/>
            <w:vAlign w:val="bottom"/>
            <w:tcBorders>
              <w:bottom w:val="single" w:sz="8" w:color="CCEEFF"/>
            </w:tcBorders>
            <w:shd w:val="clear" w:color="auto" w:fill="CCEEFF"/>
          </w:tcPr>
          <w:p>
            <w:pPr>
              <w:spacing w:after="0"/>
              <w:rPr>
                <w:sz w:val="11"/>
                <w:szCs w:val="11"/>
                <w:color w:val="auto"/>
              </w:rPr>
            </w:pPr>
          </w:p>
        </w:tc>
        <w:tc>
          <w:tcPr>
            <w:tcW w:w="240" w:type="dxa"/>
            <w:vAlign w:val="bottom"/>
            <w:tcBorders>
              <w:bottom w:val="single" w:sz="8" w:color="CCEEFF"/>
            </w:tcBorders>
            <w:shd w:val="clear" w:color="auto" w:fill="CCEEFF"/>
          </w:tcPr>
          <w:p>
            <w:pPr>
              <w:spacing w:after="0"/>
              <w:rPr>
                <w:sz w:val="11"/>
                <w:szCs w:val="11"/>
                <w:color w:val="auto"/>
              </w:rPr>
            </w:pPr>
          </w:p>
        </w:tc>
        <w:tc>
          <w:tcPr>
            <w:tcW w:w="1220" w:type="dxa"/>
            <w:vAlign w:val="bottom"/>
            <w:tcBorders>
              <w:bottom w:val="single" w:sz="8" w:color="CCEEFF"/>
            </w:tcBorders>
            <w:shd w:val="clear" w:color="auto" w:fill="CCEEFF"/>
          </w:tcPr>
          <w:p>
            <w:pPr>
              <w:spacing w:after="0"/>
              <w:rPr>
                <w:sz w:val="11"/>
                <w:szCs w:val="11"/>
                <w:color w:val="auto"/>
              </w:rPr>
            </w:pPr>
          </w:p>
        </w:tc>
        <w:tc>
          <w:tcPr>
            <w:tcW w:w="220" w:type="dxa"/>
            <w:vAlign w:val="bottom"/>
            <w:tcBorders>
              <w:bottom w:val="single" w:sz="8" w:color="CCEEFF"/>
            </w:tcBorders>
            <w:shd w:val="clear" w:color="auto" w:fill="CCEEFF"/>
          </w:tcPr>
          <w:p>
            <w:pPr>
              <w:spacing w:after="0"/>
              <w:rPr>
                <w:sz w:val="11"/>
                <w:szCs w:val="11"/>
                <w:color w:val="auto"/>
              </w:rPr>
            </w:pPr>
          </w:p>
        </w:tc>
        <w:tc>
          <w:tcPr>
            <w:tcW w:w="1200" w:type="dxa"/>
            <w:vAlign w:val="bottom"/>
            <w:tcBorders>
              <w:bottom w:val="single" w:sz="8" w:color="CCEEFF"/>
            </w:tcBorders>
            <w:shd w:val="clear" w:color="auto" w:fill="CCEEFF"/>
          </w:tcPr>
          <w:p>
            <w:pPr>
              <w:spacing w:after="0"/>
              <w:rPr>
                <w:sz w:val="11"/>
                <w:szCs w:val="11"/>
                <w:color w:val="auto"/>
              </w:rPr>
            </w:pPr>
          </w:p>
        </w:tc>
        <w:tc>
          <w:tcPr>
            <w:tcW w:w="220" w:type="dxa"/>
            <w:vAlign w:val="bottom"/>
            <w:tcBorders>
              <w:bottom w:val="single" w:sz="8" w:color="CCEEFF"/>
            </w:tcBorders>
            <w:shd w:val="clear" w:color="auto" w:fill="CCEEFF"/>
          </w:tcPr>
          <w:p>
            <w:pPr>
              <w:spacing w:after="0"/>
              <w:rPr>
                <w:sz w:val="11"/>
                <w:szCs w:val="11"/>
                <w:color w:val="auto"/>
              </w:rPr>
            </w:pPr>
          </w:p>
        </w:tc>
        <w:tc>
          <w:tcPr>
            <w:tcW w:w="1200" w:type="dxa"/>
            <w:vAlign w:val="bottom"/>
            <w:tcBorders>
              <w:bottom w:val="single" w:sz="8" w:color="CCEEFF"/>
            </w:tcBorders>
            <w:shd w:val="clear" w:color="auto" w:fill="CCEEFF"/>
          </w:tcPr>
          <w:p>
            <w:pPr>
              <w:spacing w:after="0"/>
              <w:rPr>
                <w:sz w:val="11"/>
                <w:szCs w:val="11"/>
                <w:color w:val="auto"/>
              </w:rPr>
            </w:pPr>
          </w:p>
        </w:tc>
        <w:tc>
          <w:tcPr>
            <w:tcW w:w="220" w:type="dxa"/>
            <w:vAlign w:val="bottom"/>
            <w:tcBorders>
              <w:bottom w:val="single" w:sz="8" w:color="CCEEFF"/>
            </w:tcBorders>
            <w:shd w:val="clear" w:color="auto" w:fill="CCEEFF"/>
          </w:tcPr>
          <w:p>
            <w:pPr>
              <w:spacing w:after="0"/>
              <w:rPr>
                <w:sz w:val="11"/>
                <w:szCs w:val="11"/>
                <w:color w:val="auto"/>
              </w:rPr>
            </w:pPr>
          </w:p>
        </w:tc>
        <w:tc>
          <w:tcPr>
            <w:tcW w:w="1200" w:type="dxa"/>
            <w:vAlign w:val="bottom"/>
            <w:tcBorders>
              <w:bottom w:val="single" w:sz="8" w:color="CCEEFF"/>
            </w:tcBorders>
            <w:shd w:val="clear" w:color="auto" w:fill="CCEEFF"/>
          </w:tcPr>
          <w:p>
            <w:pPr>
              <w:spacing w:after="0"/>
              <w:rPr>
                <w:sz w:val="11"/>
                <w:szCs w:val="11"/>
                <w:color w:val="auto"/>
              </w:rPr>
            </w:pPr>
          </w:p>
        </w:tc>
        <w:tc>
          <w:tcPr>
            <w:tcW w:w="100" w:type="dxa"/>
            <w:vAlign w:val="bottom"/>
            <w:tcBorders>
              <w:bottom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960" w:type="dxa"/>
            <w:vAlign w:val="bottom"/>
            <w:gridSpan w:val="3"/>
          </w:tcPr>
          <w:p>
            <w:pPr>
              <w:spacing w:after="0"/>
              <w:rPr>
                <w:sz w:val="20"/>
                <w:szCs w:val="20"/>
                <w:color w:val="auto"/>
              </w:rPr>
            </w:pPr>
            <w:r>
              <w:rPr>
                <w:rFonts w:ascii="Arial" w:cs="Arial" w:eastAsia="Arial" w:hAnsi="Arial"/>
                <w:sz w:val="13"/>
                <w:szCs w:val="13"/>
                <w:color w:val="auto"/>
              </w:rPr>
              <w:t>Deposits</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2,928,844</w:t>
            </w:r>
          </w:p>
        </w:tc>
        <w:tc>
          <w:tcPr>
            <w:tcW w:w="1220" w:type="dxa"/>
            <w:vAlign w:val="bottom"/>
          </w:tcPr>
          <w:p>
            <w:pPr>
              <w:jc w:val="right"/>
              <w:spacing w:after="0"/>
              <w:rPr>
                <w:sz w:val="20"/>
                <w:szCs w:val="20"/>
                <w:color w:val="auto"/>
              </w:rPr>
            </w:pPr>
            <w:r>
              <w:rPr>
                <w:rFonts w:ascii="Arial" w:cs="Arial" w:eastAsia="Arial" w:hAnsi="Arial"/>
                <w:sz w:val="13"/>
                <w:szCs w:val="13"/>
                <w:color w:val="auto"/>
              </w:rPr>
              <w:t>2,928,844</w:t>
            </w:r>
          </w:p>
        </w:tc>
        <w:tc>
          <w:tcPr>
            <w:tcW w:w="220" w:type="dxa"/>
            <w:vAlign w:val="bottom"/>
          </w:tcPr>
          <w:p>
            <w:pPr>
              <w:spacing w:after="0"/>
              <w:rPr>
                <w:sz w:val="13"/>
                <w:szCs w:val="13"/>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2,928,844</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96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Borrowings and debt, net</w:t>
            </w: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2,211,567</w:t>
            </w:r>
          </w:p>
        </w:tc>
        <w:tc>
          <w:tcPr>
            <w:tcW w:w="1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2,231,017</w:t>
            </w:r>
          </w:p>
        </w:tc>
        <w:tc>
          <w:tcPr>
            <w:tcW w:w="22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2,231,017</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960" w:type="dxa"/>
            <w:vAlign w:val="bottom"/>
            <w:gridSpan w:val="3"/>
          </w:tcPr>
          <w:p>
            <w:pPr>
              <w:spacing w:after="0"/>
              <w:rPr>
                <w:sz w:val="20"/>
                <w:szCs w:val="20"/>
                <w:color w:val="auto"/>
              </w:rPr>
            </w:pPr>
            <w:r>
              <w:rPr>
                <w:rFonts w:ascii="Arial" w:cs="Arial" w:eastAsia="Arial" w:hAnsi="Arial"/>
                <w:sz w:val="13"/>
                <w:szCs w:val="13"/>
                <w:color w:val="auto"/>
              </w:rPr>
              <w:t>Customers' liabilities under acceptances</w:t>
            </w:r>
          </w:p>
        </w:tc>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6,369</w:t>
            </w:r>
          </w:p>
        </w:tc>
        <w:tc>
          <w:tcPr>
            <w:tcW w:w="1440" w:type="dxa"/>
            <w:vAlign w:val="bottom"/>
            <w:gridSpan w:val="2"/>
          </w:tcPr>
          <w:p>
            <w:pPr>
              <w:jc w:val="right"/>
              <w:ind w:right="220"/>
              <w:spacing w:after="0"/>
              <w:rPr>
                <w:sz w:val="20"/>
                <w:szCs w:val="20"/>
                <w:color w:val="auto"/>
              </w:rPr>
            </w:pPr>
            <w:r>
              <w:rPr>
                <w:rFonts w:ascii="Arial" w:cs="Arial" w:eastAsia="Arial" w:hAnsi="Arial"/>
                <w:sz w:val="13"/>
                <w:szCs w:val="13"/>
                <w:color w:val="auto"/>
              </w:rPr>
              <w:t>6,369</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6,369</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45"/>
        </w:trPr>
        <w:tc>
          <w:tcPr>
            <w:tcW w:w="20" w:type="dxa"/>
            <w:vAlign w:val="bottom"/>
          </w:tcPr>
          <w:p>
            <w:pPr>
              <w:spacing w:after="0"/>
              <w:rPr>
                <w:sz w:val="12"/>
                <w:szCs w:val="12"/>
                <w:color w:val="auto"/>
              </w:rPr>
            </w:pPr>
          </w:p>
        </w:tc>
        <w:tc>
          <w:tcPr>
            <w:tcW w:w="3960" w:type="dxa"/>
            <w:vAlign w:val="bottom"/>
            <w:gridSpan w:val="3"/>
            <w:shd w:val="clear" w:color="auto" w:fill="CCEEFF"/>
          </w:tcPr>
          <w:p>
            <w:pPr>
              <w:spacing w:after="0" w:line="146" w:lineRule="exact"/>
              <w:rPr>
                <w:sz w:val="20"/>
                <w:szCs w:val="20"/>
                <w:color w:val="auto"/>
              </w:rPr>
            </w:pPr>
            <w:r>
              <w:rPr>
                <w:rFonts w:ascii="Arial" w:cs="Arial" w:eastAsia="Arial" w:hAnsi="Arial"/>
                <w:sz w:val="13"/>
                <w:szCs w:val="13"/>
                <w:color w:val="auto"/>
                <w:w w:val="95"/>
              </w:rPr>
              <w:t>Allowance for expected credit losses on loan commitments and financial</w:t>
            </w:r>
          </w:p>
        </w:tc>
        <w:tc>
          <w:tcPr>
            <w:tcW w:w="12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396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guarantee contracts</w:t>
            </w: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6,845</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6,845</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6,845</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bl>
    <w:p>
      <w:pPr>
        <w:spacing w:after="0" w:line="145" w:lineRule="exact"/>
        <w:rPr>
          <w:sz w:val="20"/>
          <w:szCs w:val="20"/>
          <w:color w:val="auto"/>
        </w:rPr>
      </w:pPr>
    </w:p>
    <w:p>
      <w:pPr>
        <w:ind w:left="463" w:right="20" w:hanging="232"/>
        <w:spacing w:after="0" w:line="194" w:lineRule="auto"/>
        <w:tabs>
          <w:tab w:leader="none" w:pos="463" w:val="left"/>
        </w:tabs>
        <w:numPr>
          <w:ilvl w:val="0"/>
          <w:numId w:val="182"/>
        </w:numPr>
        <w:rPr>
          <w:rFonts w:ascii="Arial" w:cs="Arial" w:eastAsia="Arial" w:hAnsi="Arial"/>
          <w:sz w:val="21"/>
          <w:szCs w:val="21"/>
          <w:b w:val="1"/>
          <w:bCs w:val="1"/>
          <w:color w:val="auto"/>
          <w:vertAlign w:val="superscript"/>
        </w:rPr>
      </w:pPr>
      <w:r>
        <w:rPr>
          <w:rFonts w:ascii="Arial" w:cs="Arial" w:eastAsia="Arial" w:hAnsi="Arial"/>
          <w:sz w:val="13"/>
          <w:szCs w:val="13"/>
          <w:color w:val="auto"/>
        </w:rPr>
        <w:t>The carrying value of securities at amortized cost is net of the accrued interest receivable of $1.1 million and the allowance for expected credit losses of $0.1 million as of December 31, 2018, and the accrued interest receivable of $1.0 million and the allowance for expected credit losses $0.2 million as of December 31, 2017.</w:t>
      </w:r>
    </w:p>
    <w:p>
      <w:pPr>
        <w:spacing w:after="0" w:line="146" w:lineRule="exact"/>
        <w:rPr>
          <w:rFonts w:ascii="Arial" w:cs="Arial" w:eastAsia="Arial" w:hAnsi="Arial"/>
          <w:sz w:val="21"/>
          <w:szCs w:val="21"/>
          <w:b w:val="1"/>
          <w:bCs w:val="1"/>
          <w:color w:val="auto"/>
          <w:vertAlign w:val="superscript"/>
        </w:rPr>
      </w:pPr>
    </w:p>
    <w:p>
      <w:pPr>
        <w:jc w:val="both"/>
        <w:ind w:left="463" w:hanging="232"/>
        <w:spacing w:after="0" w:line="208" w:lineRule="auto"/>
        <w:tabs>
          <w:tab w:leader="none" w:pos="463" w:val="left"/>
        </w:tabs>
        <w:numPr>
          <w:ilvl w:val="0"/>
          <w:numId w:val="182"/>
        </w:numPr>
        <w:rPr>
          <w:rFonts w:ascii="Arial" w:cs="Arial" w:eastAsia="Arial" w:hAnsi="Arial"/>
          <w:sz w:val="21"/>
          <w:szCs w:val="21"/>
          <w:b w:val="1"/>
          <w:bCs w:val="1"/>
          <w:color w:val="auto"/>
          <w:vertAlign w:val="superscript"/>
        </w:rPr>
      </w:pPr>
      <w:r>
        <w:rPr>
          <w:rFonts w:ascii="Arial" w:cs="Arial" w:eastAsia="Arial" w:hAnsi="Arial"/>
          <w:sz w:val="13"/>
          <w:szCs w:val="13"/>
          <w:color w:val="auto"/>
        </w:rPr>
        <w:t>The carrying value of loans at amortized cost is net of the accrued interest receivable of $41.1 million, the allowance for expected credit losses of $100.8 million and unearned interest and deferred fees of $16.5 million for December 31, 2018, and the accrued interest receivable of $29.4 million, the allowance for expected credit losses of $81.3 million and unearned interest and deferred fees of $5.0 million for December 31, 2017.</w:t>
      </w:r>
    </w:p>
    <w:p>
      <w:pPr>
        <w:spacing w:after="0" w:line="147" w:lineRule="exact"/>
        <w:rPr>
          <w:rFonts w:ascii="Arial" w:cs="Arial" w:eastAsia="Arial" w:hAnsi="Arial"/>
          <w:sz w:val="21"/>
          <w:szCs w:val="21"/>
          <w:b w:val="1"/>
          <w:bCs w:val="1"/>
          <w:color w:val="auto"/>
          <w:vertAlign w:val="superscript"/>
        </w:rPr>
      </w:pPr>
    </w:p>
    <w:p>
      <w:pPr>
        <w:ind w:left="463" w:right="20" w:hanging="232"/>
        <w:spacing w:after="0" w:line="194" w:lineRule="auto"/>
        <w:tabs>
          <w:tab w:leader="none" w:pos="463" w:val="left"/>
        </w:tabs>
        <w:numPr>
          <w:ilvl w:val="0"/>
          <w:numId w:val="182"/>
        </w:numPr>
        <w:rPr>
          <w:rFonts w:ascii="Arial" w:cs="Arial" w:eastAsia="Arial" w:hAnsi="Arial"/>
          <w:sz w:val="21"/>
          <w:szCs w:val="21"/>
          <w:b w:val="1"/>
          <w:bCs w:val="1"/>
          <w:color w:val="auto"/>
          <w:vertAlign w:val="superscript"/>
        </w:rPr>
      </w:pPr>
      <w:r>
        <w:rPr>
          <w:rFonts w:ascii="Arial" w:cs="Arial" w:eastAsia="Arial" w:hAnsi="Arial"/>
          <w:sz w:val="13"/>
          <w:szCs w:val="13"/>
          <w:color w:val="auto"/>
        </w:rPr>
        <w:t>At December 31, 2018, investment securities at amortized cost were reclassified from level 1 to level 2 of the fair value hierarchy due to changes in market conditions causing that the quoted prices were no longer active for these financial instruments.</w:t>
      </w:r>
    </w:p>
    <w:p>
      <w:pPr>
        <w:spacing w:after="0" w:line="300"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F-91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36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216" w:name="page217"/>
    <w:bookmarkEnd w:id="216"/>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36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right="8680" w:hanging="223"/>
        <w:spacing w:after="0" w:line="496" w:lineRule="auto"/>
        <w:tabs>
          <w:tab w:leader="none" w:pos="223" w:val="left"/>
        </w:tabs>
        <w:numPr>
          <w:ilvl w:val="0"/>
          <w:numId w:val="183"/>
        </w:numPr>
        <w:rPr>
          <w:rFonts w:ascii="Arial" w:cs="Arial" w:eastAsia="Arial" w:hAnsi="Arial"/>
          <w:sz w:val="13"/>
          <w:szCs w:val="13"/>
          <w:b w:val="1"/>
          <w:bCs w:val="1"/>
          <w:color w:val="auto"/>
        </w:rPr>
      </w:pPr>
      <w:r>
        <w:rPr>
          <w:rFonts w:ascii="Arial" w:cs="Arial" w:eastAsia="Arial" w:hAnsi="Arial"/>
          <w:sz w:val="13"/>
          <w:szCs w:val="13"/>
          <w:b w:val="1"/>
          <w:bCs w:val="1"/>
          <w:color w:val="auto"/>
        </w:rPr>
        <w:t xml:space="preserve">Fair value of financial instruments (continued) Level 3 fair value measurements </w:t>
      </w:r>
      <w:r>
        <w:rPr>
          <w:rFonts w:ascii="Arial" w:cs="Arial" w:eastAsia="Arial" w:hAnsi="Arial"/>
          <w:sz w:val="13"/>
          <w:szCs w:val="13"/>
          <w:u w:val="single" w:color="auto"/>
          <w:color w:val="auto"/>
        </w:rPr>
        <w:t>Reconciliation</w:t>
      </w:r>
    </w:p>
    <w:p>
      <w:pPr>
        <w:spacing w:after="0" w:line="1"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222222"/>
        </w:rPr>
        <w:t>The following table presents the movement of instruments measured at Level 3 fair value :</w:t>
      </w:r>
    </w:p>
    <w:p>
      <w:pPr>
        <w:spacing w:after="0" w:line="167" w:lineRule="exact"/>
        <w:rPr>
          <w:sz w:val="20"/>
          <w:szCs w:val="20"/>
          <w:color w:val="auto"/>
        </w:rPr>
      </w:pPr>
    </w:p>
    <w:tbl>
      <w:tblPr>
        <w:tblLayout w:type="fixed"/>
        <w:tblInd w:w="223" w:type="dxa"/>
        <w:tblCellMar>
          <w:top w:w="0" w:type="dxa"/>
          <w:left w:w="0" w:type="dxa"/>
          <w:bottom w:w="0" w:type="dxa"/>
          <w:right w:w="0" w:type="dxa"/>
        </w:tblCellMar>
      </w:tblPr>
      <w:tr>
        <w:trPr>
          <w:trHeight w:val="154"/>
        </w:trPr>
        <w:tc>
          <w:tcPr>
            <w:tcW w:w="4800" w:type="dxa"/>
            <w:vAlign w:val="bottom"/>
            <w:shd w:val="clear" w:color="auto" w:fill="CCEEFF"/>
          </w:tcPr>
          <w:p>
            <w:pPr>
              <w:spacing w:after="0"/>
              <w:rPr>
                <w:sz w:val="20"/>
                <w:szCs w:val="20"/>
                <w:color w:val="auto"/>
              </w:rPr>
            </w:pPr>
            <w:r>
              <w:rPr>
                <w:rFonts w:ascii="Arial" w:cs="Arial" w:eastAsia="Arial" w:hAnsi="Arial"/>
                <w:sz w:val="13"/>
                <w:szCs w:val="13"/>
                <w:color w:val="auto"/>
              </w:rPr>
              <w:t>Carrying amount as of January 1, 2018</w:t>
            </w: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w:t>
            </w:r>
          </w:p>
        </w:tc>
      </w:tr>
      <w:tr>
        <w:trPr>
          <w:trHeight w:val="163"/>
        </w:trPr>
        <w:tc>
          <w:tcPr>
            <w:tcW w:w="4800" w:type="dxa"/>
            <w:vAlign w:val="bottom"/>
          </w:tcPr>
          <w:p>
            <w:pPr>
              <w:spacing w:after="0"/>
              <w:rPr>
                <w:sz w:val="20"/>
                <w:szCs w:val="20"/>
                <w:color w:val="auto"/>
              </w:rPr>
            </w:pPr>
            <w:r>
              <w:rPr>
                <w:rFonts w:ascii="Arial" w:cs="Arial" w:eastAsia="Arial" w:hAnsi="Arial"/>
                <w:sz w:val="13"/>
                <w:szCs w:val="13"/>
                <w:color w:val="auto"/>
              </w:rPr>
              <w:t>Origination</w:t>
            </w:r>
          </w:p>
        </w:tc>
        <w:tc>
          <w:tcPr>
            <w:tcW w:w="940" w:type="dxa"/>
            <w:vAlign w:val="bottom"/>
            <w:gridSpan w:val="2"/>
          </w:tcPr>
          <w:p>
            <w:pPr>
              <w:jc w:val="right"/>
              <w:ind w:right="40"/>
              <w:spacing w:after="0"/>
              <w:rPr>
                <w:sz w:val="20"/>
                <w:szCs w:val="20"/>
                <w:color w:val="auto"/>
              </w:rPr>
            </w:pPr>
            <w:r>
              <w:rPr>
                <w:rFonts w:ascii="Arial" w:cs="Arial" w:eastAsia="Arial" w:hAnsi="Arial"/>
                <w:sz w:val="13"/>
                <w:szCs w:val="13"/>
                <w:color w:val="auto"/>
              </w:rPr>
              <w:t>8,750</w:t>
            </w:r>
          </w:p>
        </w:tc>
      </w:tr>
      <w:tr>
        <w:trPr>
          <w:trHeight w:val="163"/>
        </w:trPr>
        <w:tc>
          <w:tcPr>
            <w:tcW w:w="4800" w:type="dxa"/>
            <w:vAlign w:val="bottom"/>
            <w:tcBorders>
              <w:top w:val="single" w:sz="8" w:color="CCEEFF"/>
              <w:bottom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Carrying amount as of December 31, 2018</w:t>
            </w: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8,750</w:t>
            </w:r>
          </w:p>
        </w:tc>
        <w:tc>
          <w:tcPr>
            <w:tcW w:w="40" w:type="dxa"/>
            <w:vAlign w:val="bottom"/>
            <w:tcBorders>
              <w:top w:val="single" w:sz="8" w:color="CCEEFF"/>
              <w:bottom w:val="single" w:sz="8" w:color="CCEEFF"/>
            </w:tcBorders>
            <w:shd w:val="clear" w:color="auto" w:fill="CCEEFF"/>
          </w:tcPr>
          <w:p>
            <w:pPr>
              <w:spacing w:after="0"/>
              <w:rPr>
                <w:sz w:val="14"/>
                <w:szCs w:val="14"/>
                <w:color w:val="auto"/>
              </w:rPr>
            </w:pPr>
          </w:p>
        </w:tc>
      </w:tr>
    </w:tbl>
    <w:p>
      <w:pPr>
        <w:spacing w:after="0" w:line="141" w:lineRule="exact"/>
        <w:rPr>
          <w:sz w:val="20"/>
          <w:szCs w:val="20"/>
          <w:color w:val="auto"/>
        </w:rPr>
      </w:pPr>
    </w:p>
    <w:p>
      <w:pPr>
        <w:ind w:left="223"/>
        <w:spacing w:after="0"/>
        <w:rPr>
          <w:sz w:val="20"/>
          <w:szCs w:val="20"/>
          <w:color w:val="auto"/>
        </w:rPr>
      </w:pPr>
      <w:r>
        <w:rPr>
          <w:rFonts w:ascii="Arial" w:cs="Arial" w:eastAsia="Arial" w:hAnsi="Arial"/>
          <w:sz w:val="13"/>
          <w:szCs w:val="13"/>
          <w:b w:val="1"/>
          <w:bCs w:val="1"/>
          <w:color w:val="auto"/>
        </w:rPr>
        <w:t>Unobservable inputs used in the fair value mesurements</w:t>
      </w:r>
    </w:p>
    <w:p>
      <w:pPr>
        <w:spacing w:after="0" w:line="163" w:lineRule="exact"/>
        <w:rPr>
          <w:sz w:val="20"/>
          <w:szCs w:val="20"/>
          <w:color w:val="auto"/>
        </w:rPr>
      </w:pPr>
    </w:p>
    <w:p>
      <w:pPr>
        <w:ind w:left="223"/>
        <w:spacing w:after="0"/>
        <w:rPr>
          <w:sz w:val="20"/>
          <w:szCs w:val="20"/>
          <w:color w:val="auto"/>
        </w:rPr>
      </w:pPr>
      <w:r>
        <w:rPr>
          <w:rFonts w:ascii="Arial" w:cs="Arial" w:eastAsia="Arial" w:hAnsi="Arial"/>
          <w:sz w:val="13"/>
          <w:szCs w:val="13"/>
          <w:color w:val="auto"/>
        </w:rPr>
        <w:t>The following tables provides information about the significant inputs used in the measurement of instruments at Level 3 fair value:</w:t>
      </w:r>
    </w:p>
    <w:p>
      <w:pPr>
        <w:spacing w:after="0" w:line="155" w:lineRule="exact"/>
        <w:rPr>
          <w:sz w:val="20"/>
          <w:szCs w:val="20"/>
          <w:color w:val="auto"/>
        </w:rPr>
      </w:pPr>
    </w:p>
    <w:tbl>
      <w:tblPr>
        <w:tblLayout w:type="fixed"/>
        <w:tblInd w:w="223" w:type="dxa"/>
        <w:tblCellMar>
          <w:top w:w="0" w:type="dxa"/>
          <w:left w:w="0" w:type="dxa"/>
          <w:bottom w:w="0" w:type="dxa"/>
          <w:right w:w="0" w:type="dxa"/>
        </w:tblCellMar>
      </w:tblPr>
      <w:tr>
        <w:trPr>
          <w:trHeight w:val="154"/>
        </w:trPr>
        <w:tc>
          <w:tcPr>
            <w:tcW w:w="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400" w:type="dxa"/>
            <w:vAlign w:val="bottom"/>
          </w:tcPr>
          <w:p>
            <w:pPr>
              <w:spacing w:after="0"/>
              <w:rPr>
                <w:sz w:val="13"/>
                <w:szCs w:val="13"/>
                <w:color w:val="auto"/>
              </w:rPr>
            </w:pPr>
          </w:p>
        </w:tc>
        <w:tc>
          <w:tcPr>
            <w:tcW w:w="1840" w:type="dxa"/>
            <w:vAlign w:val="bottom"/>
          </w:tcPr>
          <w:p>
            <w:pPr>
              <w:jc w:val="center"/>
              <w:ind w:right="56"/>
              <w:spacing w:after="0"/>
              <w:rPr>
                <w:sz w:val="20"/>
                <w:szCs w:val="20"/>
                <w:color w:val="auto"/>
              </w:rPr>
            </w:pPr>
            <w:r>
              <w:rPr>
                <w:rFonts w:ascii="Arial" w:cs="Arial" w:eastAsia="Arial" w:hAnsi="Arial"/>
                <w:sz w:val="13"/>
                <w:szCs w:val="13"/>
                <w:b w:val="1"/>
                <w:bCs w:val="1"/>
                <w:color w:val="auto"/>
                <w:w w:val="89"/>
              </w:rPr>
              <w:t>Type of financial</w:t>
            </w:r>
          </w:p>
        </w:tc>
        <w:tc>
          <w:tcPr>
            <w:tcW w:w="15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44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92"/>
              </w:rPr>
              <w:t>Fair value</w:t>
            </w:r>
          </w:p>
        </w:tc>
        <w:tc>
          <w:tcPr>
            <w:tcW w:w="1540" w:type="dxa"/>
            <w:vAlign w:val="bottom"/>
            <w:gridSpan w:val="2"/>
          </w:tcPr>
          <w:p>
            <w:pPr>
              <w:jc w:val="center"/>
              <w:ind w:right="120"/>
              <w:spacing w:after="0"/>
              <w:rPr>
                <w:sz w:val="20"/>
                <w:szCs w:val="20"/>
                <w:color w:val="auto"/>
              </w:rPr>
            </w:pPr>
            <w:r>
              <w:rPr>
                <w:rFonts w:ascii="Arial" w:cs="Arial" w:eastAsia="Arial" w:hAnsi="Arial"/>
                <w:sz w:val="13"/>
                <w:szCs w:val="13"/>
                <w:b w:val="1"/>
                <w:bCs w:val="1"/>
                <w:color w:val="auto"/>
                <w:w w:val="88"/>
              </w:rPr>
              <w:t>Measurement</w:t>
            </w:r>
          </w:p>
        </w:tc>
        <w:tc>
          <w:tcPr>
            <w:tcW w:w="17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400" w:type="dxa"/>
            <w:vAlign w:val="bottom"/>
          </w:tcPr>
          <w:p>
            <w:pPr>
              <w:spacing w:after="0"/>
              <w:rPr>
                <w:sz w:val="14"/>
                <w:szCs w:val="14"/>
                <w:color w:val="auto"/>
              </w:rPr>
            </w:pPr>
          </w:p>
        </w:tc>
        <w:tc>
          <w:tcPr>
            <w:tcW w:w="1840" w:type="dxa"/>
            <w:vAlign w:val="bottom"/>
          </w:tcPr>
          <w:p>
            <w:pPr>
              <w:jc w:val="center"/>
              <w:ind w:right="56"/>
              <w:spacing w:after="0"/>
              <w:rPr>
                <w:sz w:val="20"/>
                <w:szCs w:val="20"/>
                <w:color w:val="auto"/>
              </w:rPr>
            </w:pPr>
            <w:r>
              <w:rPr>
                <w:rFonts w:ascii="Arial" w:cs="Arial" w:eastAsia="Arial" w:hAnsi="Arial"/>
                <w:sz w:val="13"/>
                <w:szCs w:val="13"/>
                <w:b w:val="1"/>
                <w:bCs w:val="1"/>
                <w:color w:val="auto"/>
                <w:w w:val="85"/>
              </w:rPr>
              <w:t>instruments</w:t>
            </w:r>
          </w:p>
        </w:tc>
        <w:tc>
          <w:tcPr>
            <w:tcW w:w="15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44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8"/>
              </w:rPr>
              <w:t>December 31, 2018</w:t>
            </w:r>
          </w:p>
        </w:tc>
        <w:tc>
          <w:tcPr>
            <w:tcW w:w="1540" w:type="dxa"/>
            <w:vAlign w:val="bottom"/>
            <w:gridSpan w:val="2"/>
          </w:tcPr>
          <w:p>
            <w:pPr>
              <w:jc w:val="center"/>
              <w:ind w:right="120"/>
              <w:spacing w:after="0"/>
              <w:rPr>
                <w:sz w:val="20"/>
                <w:szCs w:val="20"/>
                <w:color w:val="auto"/>
              </w:rPr>
            </w:pPr>
            <w:r>
              <w:rPr>
                <w:rFonts w:ascii="Arial" w:cs="Arial" w:eastAsia="Arial" w:hAnsi="Arial"/>
                <w:sz w:val="13"/>
                <w:szCs w:val="13"/>
                <w:b w:val="1"/>
                <w:bCs w:val="1"/>
                <w:color w:val="auto"/>
                <w:w w:val="84"/>
              </w:rPr>
              <w:t>techniques</w:t>
            </w:r>
          </w:p>
        </w:tc>
        <w:tc>
          <w:tcPr>
            <w:tcW w:w="1720" w:type="dxa"/>
            <w:vAlign w:val="bottom"/>
          </w:tcPr>
          <w:p>
            <w:pPr>
              <w:jc w:val="center"/>
              <w:spacing w:after="0"/>
              <w:rPr>
                <w:sz w:val="20"/>
                <w:szCs w:val="20"/>
                <w:color w:val="auto"/>
              </w:rPr>
            </w:pPr>
            <w:r>
              <w:rPr>
                <w:rFonts w:ascii="Arial" w:cs="Arial" w:eastAsia="Arial" w:hAnsi="Arial"/>
                <w:sz w:val="13"/>
                <w:szCs w:val="13"/>
                <w:b w:val="1"/>
                <w:bCs w:val="1"/>
                <w:color w:val="auto"/>
                <w:w w:val="87"/>
              </w:rPr>
              <w:t>Significant unobservable inputs</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1200" w:type="dxa"/>
            <w:vAlign w:val="bottom"/>
            <w:tcBorders>
              <w:top w:val="single" w:sz="8" w:color="auto"/>
            </w:tcBorders>
          </w:tcPr>
          <w:p>
            <w:pPr>
              <w:spacing w:after="0"/>
              <w:rPr>
                <w:sz w:val="12"/>
                <w:szCs w:val="12"/>
                <w:color w:val="auto"/>
              </w:rPr>
            </w:pPr>
          </w:p>
        </w:tc>
        <w:tc>
          <w:tcPr>
            <w:tcW w:w="400" w:type="dxa"/>
            <w:vAlign w:val="bottom"/>
            <w:tcBorders>
              <w:top w:val="single" w:sz="8" w:color="auto"/>
            </w:tcBorders>
          </w:tcPr>
          <w:p>
            <w:pPr>
              <w:spacing w:after="0"/>
              <w:rPr>
                <w:sz w:val="12"/>
                <w:szCs w:val="12"/>
                <w:color w:val="auto"/>
              </w:rPr>
            </w:pPr>
          </w:p>
        </w:tc>
        <w:tc>
          <w:tcPr>
            <w:tcW w:w="1840" w:type="dxa"/>
            <w:vAlign w:val="bottom"/>
            <w:tcBorders>
              <w:top w:val="single" w:sz="8" w:color="auto"/>
            </w:tcBorders>
          </w:tcPr>
          <w:p>
            <w:pPr>
              <w:spacing w:after="0"/>
              <w:rPr>
                <w:sz w:val="12"/>
                <w:szCs w:val="12"/>
                <w:color w:val="auto"/>
              </w:rPr>
            </w:pPr>
          </w:p>
        </w:tc>
        <w:tc>
          <w:tcPr>
            <w:tcW w:w="150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24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144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720" w:type="dxa"/>
            <w:vAlign w:val="bottom"/>
            <w:tcBorders>
              <w:top w:val="single" w:sz="8" w:color="auto"/>
            </w:tcBorders>
          </w:tcPr>
          <w:p>
            <w:pPr>
              <w:spacing w:after="0"/>
              <w:rPr>
                <w:sz w:val="12"/>
                <w:szCs w:val="12"/>
                <w:color w:val="auto"/>
              </w:rPr>
            </w:pPr>
          </w:p>
        </w:tc>
        <w:tc>
          <w:tcPr>
            <w:tcW w:w="0" w:type="dxa"/>
            <w:vAlign w:val="bottom"/>
          </w:tcPr>
          <w:p>
            <w:pPr>
              <w:spacing w:after="0"/>
              <w:rPr>
                <w:sz w:val="1"/>
                <w:szCs w:val="1"/>
                <w:color w:val="auto"/>
              </w:rPr>
            </w:pPr>
          </w:p>
        </w:tc>
      </w:tr>
      <w:tr>
        <w:trPr>
          <w:trHeight w:val="145"/>
        </w:trPr>
        <w:tc>
          <w:tcPr>
            <w:tcW w:w="20" w:type="dxa"/>
            <w:vAlign w:val="bottom"/>
          </w:tcPr>
          <w:p>
            <w:pPr>
              <w:spacing w:after="0"/>
              <w:rPr>
                <w:sz w:val="12"/>
                <w:szCs w:val="12"/>
                <w:color w:val="auto"/>
              </w:rPr>
            </w:pPr>
          </w:p>
        </w:tc>
        <w:tc>
          <w:tcPr>
            <w:tcW w:w="1200" w:type="dxa"/>
            <w:vAlign w:val="bottom"/>
            <w:shd w:val="clear" w:color="auto" w:fill="CCEEFF"/>
          </w:tcPr>
          <w:p>
            <w:pPr>
              <w:spacing w:after="0"/>
              <w:rPr>
                <w:sz w:val="12"/>
                <w:szCs w:val="12"/>
                <w:color w:val="auto"/>
              </w:rPr>
            </w:pPr>
          </w:p>
        </w:tc>
        <w:tc>
          <w:tcPr>
            <w:tcW w:w="400" w:type="dxa"/>
            <w:vAlign w:val="bottom"/>
            <w:shd w:val="clear" w:color="auto" w:fill="CCEEFF"/>
          </w:tcPr>
          <w:p>
            <w:pPr>
              <w:spacing w:after="0"/>
              <w:rPr>
                <w:sz w:val="12"/>
                <w:szCs w:val="12"/>
                <w:color w:val="auto"/>
              </w:rPr>
            </w:pPr>
          </w:p>
        </w:tc>
        <w:tc>
          <w:tcPr>
            <w:tcW w:w="1840" w:type="dxa"/>
            <w:vAlign w:val="bottom"/>
            <w:shd w:val="clear" w:color="auto" w:fill="CCEEFF"/>
          </w:tcPr>
          <w:p>
            <w:pPr>
              <w:spacing w:after="0"/>
              <w:rPr>
                <w:sz w:val="12"/>
                <w:szCs w:val="12"/>
                <w:color w:val="auto"/>
              </w:rPr>
            </w:pPr>
          </w:p>
        </w:tc>
        <w:tc>
          <w:tcPr>
            <w:tcW w:w="15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440" w:type="dxa"/>
            <w:vAlign w:val="bottom"/>
            <w:shd w:val="clear" w:color="auto" w:fill="CCEEFF"/>
          </w:tcPr>
          <w:p>
            <w:pPr>
              <w:spacing w:after="0"/>
              <w:rPr>
                <w:sz w:val="12"/>
                <w:szCs w:val="12"/>
                <w:color w:val="auto"/>
              </w:rPr>
            </w:pPr>
          </w:p>
        </w:tc>
        <w:tc>
          <w:tcPr>
            <w:tcW w:w="100" w:type="dxa"/>
            <w:vAlign w:val="bottom"/>
            <w:tcBorders>
              <w:right w:val="single" w:sz="8" w:color="CCEEFF"/>
            </w:tcBorders>
            <w:shd w:val="clear" w:color="auto" w:fill="CCEEFF"/>
          </w:tcPr>
          <w:p>
            <w:pPr>
              <w:spacing w:after="0"/>
              <w:rPr>
                <w:sz w:val="12"/>
                <w:szCs w:val="12"/>
                <w:color w:val="auto"/>
              </w:rPr>
            </w:pPr>
          </w:p>
        </w:tc>
        <w:tc>
          <w:tcPr>
            <w:tcW w:w="1720" w:type="dxa"/>
            <w:vAlign w:val="bottom"/>
            <w:shd w:val="clear" w:color="auto" w:fill="CCEEFF"/>
          </w:tcPr>
          <w:p>
            <w:pPr>
              <w:jc w:val="center"/>
              <w:spacing w:after="0" w:line="146" w:lineRule="exact"/>
              <w:rPr>
                <w:sz w:val="20"/>
                <w:szCs w:val="20"/>
                <w:color w:val="auto"/>
              </w:rPr>
            </w:pPr>
            <w:r>
              <w:rPr>
                <w:rFonts w:ascii="Arial" w:cs="Arial" w:eastAsia="Arial" w:hAnsi="Arial"/>
                <w:sz w:val="13"/>
                <w:szCs w:val="13"/>
                <w:color w:val="auto"/>
                <w:w w:val="91"/>
              </w:rPr>
              <w:t>Discount rate</w:t>
            </w: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344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At fair value through profit or loss (debentures)</w:t>
            </w:r>
          </w:p>
        </w:tc>
        <w:tc>
          <w:tcPr>
            <w:tcW w:w="3040" w:type="dxa"/>
            <w:vAlign w:val="bottom"/>
            <w:gridSpan w:val="4"/>
            <w:shd w:val="clear" w:color="auto" w:fill="CCEEFF"/>
          </w:tcPr>
          <w:p>
            <w:pPr>
              <w:jc w:val="right"/>
              <w:ind w:right="200"/>
              <w:spacing w:after="0"/>
              <w:rPr>
                <w:sz w:val="20"/>
                <w:szCs w:val="20"/>
                <w:color w:val="auto"/>
              </w:rPr>
            </w:pPr>
            <w:r>
              <w:rPr>
                <w:rFonts w:ascii="Arial" w:cs="Arial" w:eastAsia="Arial" w:hAnsi="Arial"/>
                <w:sz w:val="13"/>
                <w:szCs w:val="13"/>
                <w:color w:val="auto"/>
              </w:rPr>
              <w:t>8,750</w:t>
            </w:r>
          </w:p>
        </w:tc>
        <w:tc>
          <w:tcPr>
            <w:tcW w:w="1540" w:type="dxa"/>
            <w:vAlign w:val="bottom"/>
            <w:tcBorders>
              <w:right w:val="single" w:sz="8" w:color="CCEEFF"/>
            </w:tcBorders>
            <w:gridSpan w:val="2"/>
            <w:shd w:val="clear" w:color="auto" w:fill="CCEEFF"/>
          </w:tcPr>
          <w:p>
            <w:pPr>
              <w:jc w:val="center"/>
              <w:ind w:right="100"/>
              <w:spacing w:after="0"/>
              <w:rPr>
                <w:sz w:val="20"/>
                <w:szCs w:val="20"/>
                <w:color w:val="auto"/>
              </w:rPr>
            </w:pPr>
            <w:r>
              <w:rPr>
                <w:rFonts w:ascii="Arial" w:cs="Arial" w:eastAsia="Arial" w:hAnsi="Arial"/>
                <w:sz w:val="13"/>
                <w:szCs w:val="13"/>
                <w:color w:val="auto"/>
                <w:w w:val="89"/>
              </w:rPr>
              <w:t>Discounted cash flows</w:t>
            </w:r>
          </w:p>
        </w:tc>
        <w:tc>
          <w:tcPr>
            <w:tcW w:w="1720" w:type="dxa"/>
            <w:vAlign w:val="bottom"/>
            <w:shd w:val="clear" w:color="auto" w:fill="CCEEFF"/>
          </w:tcPr>
          <w:p>
            <w:pPr>
              <w:jc w:val="center"/>
              <w:spacing w:after="0"/>
              <w:rPr>
                <w:sz w:val="20"/>
                <w:szCs w:val="20"/>
                <w:color w:val="auto"/>
              </w:rPr>
            </w:pPr>
            <w:r>
              <w:rPr>
                <w:rFonts w:ascii="Arial" w:cs="Arial" w:eastAsia="Arial" w:hAnsi="Arial"/>
                <w:sz w:val="13"/>
                <w:szCs w:val="13"/>
                <w:color w:val="auto"/>
                <w:w w:val="92"/>
              </w:rPr>
              <w:t>Premiun or liquidity rate</w:t>
            </w:r>
          </w:p>
        </w:tc>
        <w:tc>
          <w:tcPr>
            <w:tcW w:w="0" w:type="dxa"/>
            <w:vAlign w:val="bottom"/>
          </w:tcPr>
          <w:p>
            <w:pPr>
              <w:spacing w:after="0"/>
              <w:rPr>
                <w:sz w:val="1"/>
                <w:szCs w:val="1"/>
                <w:color w:val="auto"/>
              </w:rPr>
            </w:pPr>
          </w:p>
        </w:tc>
      </w:tr>
      <w:tr>
        <w:trPr>
          <w:trHeight w:val="295"/>
        </w:trPr>
        <w:tc>
          <w:tcPr>
            <w:tcW w:w="20" w:type="dxa"/>
            <w:vAlign w:val="bottom"/>
          </w:tcPr>
          <w:p>
            <w:pPr>
              <w:spacing w:after="0"/>
              <w:rPr>
                <w:sz w:val="24"/>
                <w:szCs w:val="24"/>
                <w:color w:val="auto"/>
              </w:rPr>
            </w:pPr>
          </w:p>
        </w:tc>
        <w:tc>
          <w:tcPr>
            <w:tcW w:w="1600" w:type="dxa"/>
            <w:vAlign w:val="bottom"/>
            <w:gridSpan w:val="2"/>
          </w:tcPr>
          <w:p>
            <w:pPr>
              <w:ind w:left="360"/>
              <w:spacing w:after="0"/>
              <w:rPr>
                <w:sz w:val="20"/>
                <w:szCs w:val="20"/>
                <w:color w:val="auto"/>
              </w:rPr>
            </w:pPr>
            <w:r>
              <w:rPr>
                <w:rFonts w:ascii="Arial" w:cs="Arial" w:eastAsia="Arial" w:hAnsi="Arial"/>
                <w:sz w:val="13"/>
                <w:szCs w:val="13"/>
                <w:b w:val="1"/>
                <w:bCs w:val="1"/>
                <w:color w:val="auto"/>
              </w:rPr>
              <w:t>Range of</w:t>
            </w:r>
          </w:p>
        </w:tc>
        <w:tc>
          <w:tcPr>
            <w:tcW w:w="184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4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7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1600" w:type="dxa"/>
            <w:vAlign w:val="bottom"/>
            <w:gridSpan w:val="2"/>
          </w:tcPr>
          <w:p>
            <w:pPr>
              <w:ind w:left="340"/>
              <w:spacing w:after="0"/>
              <w:rPr>
                <w:sz w:val="20"/>
                <w:szCs w:val="20"/>
                <w:color w:val="auto"/>
              </w:rPr>
            </w:pPr>
            <w:r>
              <w:rPr>
                <w:rFonts w:ascii="Arial" w:cs="Arial" w:eastAsia="Arial" w:hAnsi="Arial"/>
                <w:sz w:val="13"/>
                <w:szCs w:val="13"/>
                <w:b w:val="1"/>
                <w:bCs w:val="1"/>
                <w:color w:val="auto"/>
              </w:rPr>
              <w:t>estimates</w:t>
            </w:r>
          </w:p>
        </w:tc>
        <w:tc>
          <w:tcPr>
            <w:tcW w:w="1840" w:type="dxa"/>
            <w:vAlign w:val="bottom"/>
          </w:tcPr>
          <w:p>
            <w:pPr>
              <w:spacing w:after="0"/>
              <w:rPr>
                <w:sz w:val="14"/>
                <w:szCs w:val="14"/>
                <w:color w:val="auto"/>
              </w:rPr>
            </w:pPr>
          </w:p>
        </w:tc>
        <w:tc>
          <w:tcPr>
            <w:tcW w:w="3040" w:type="dxa"/>
            <w:vAlign w:val="bottom"/>
            <w:gridSpan w:val="4"/>
          </w:tcPr>
          <w:p>
            <w:pPr>
              <w:jc w:val="right"/>
              <w:ind w:right="820"/>
              <w:spacing w:after="0"/>
              <w:rPr>
                <w:sz w:val="20"/>
                <w:szCs w:val="20"/>
                <w:color w:val="auto"/>
              </w:rPr>
            </w:pPr>
            <w:r>
              <w:rPr>
                <w:rFonts w:ascii="Arial" w:cs="Arial" w:eastAsia="Arial" w:hAnsi="Arial"/>
                <w:sz w:val="13"/>
                <w:szCs w:val="13"/>
                <w:b w:val="1"/>
                <w:bCs w:val="1"/>
                <w:color w:val="auto"/>
              </w:rPr>
              <w:t>Unobservable inputs sensibility</w:t>
            </w:r>
          </w:p>
        </w:tc>
        <w:tc>
          <w:tcPr>
            <w:tcW w:w="14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7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1200" w:type="dxa"/>
            <w:vAlign w:val="bottom"/>
            <w:tcBorders>
              <w:top w:val="single" w:sz="8" w:color="auto"/>
            </w:tcBorders>
          </w:tcPr>
          <w:p>
            <w:pPr>
              <w:spacing w:after="0"/>
              <w:rPr>
                <w:sz w:val="12"/>
                <w:szCs w:val="12"/>
                <w:color w:val="auto"/>
              </w:rPr>
            </w:pPr>
          </w:p>
        </w:tc>
        <w:tc>
          <w:tcPr>
            <w:tcW w:w="400" w:type="dxa"/>
            <w:vAlign w:val="bottom"/>
          </w:tcPr>
          <w:p>
            <w:pPr>
              <w:spacing w:after="0"/>
              <w:rPr>
                <w:sz w:val="12"/>
                <w:szCs w:val="12"/>
                <w:color w:val="auto"/>
              </w:rPr>
            </w:pPr>
          </w:p>
        </w:tc>
        <w:tc>
          <w:tcPr>
            <w:tcW w:w="1840" w:type="dxa"/>
            <w:vAlign w:val="bottom"/>
            <w:tcBorders>
              <w:top w:val="single" w:sz="8" w:color="auto"/>
            </w:tcBorders>
          </w:tcPr>
          <w:p>
            <w:pPr>
              <w:spacing w:after="0"/>
              <w:rPr>
                <w:sz w:val="12"/>
                <w:szCs w:val="12"/>
                <w:color w:val="auto"/>
              </w:rPr>
            </w:pPr>
          </w:p>
        </w:tc>
        <w:tc>
          <w:tcPr>
            <w:tcW w:w="1500" w:type="dxa"/>
            <w:vAlign w:val="bottom"/>
            <w:tcBorders>
              <w:top w:val="single" w:sz="8" w:color="auto"/>
            </w:tcBorders>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1240" w:type="dxa"/>
            <w:vAlign w:val="bottom"/>
            <w:tcBorders>
              <w:top w:val="single" w:sz="8" w:color="auto"/>
            </w:tcBorders>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1440" w:type="dxa"/>
            <w:vAlign w:val="bottom"/>
            <w:tcBorders>
              <w:top w:val="single" w:sz="8" w:color="auto"/>
            </w:tcBorders>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17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1200" w:type="dxa"/>
            <w:vAlign w:val="bottom"/>
            <w:shd w:val="clear" w:color="auto" w:fill="CCEEFF"/>
          </w:tcPr>
          <w:p>
            <w:pPr>
              <w:jc w:val="right"/>
              <w:ind w:right="336"/>
              <w:spacing w:after="0"/>
              <w:rPr>
                <w:sz w:val="20"/>
                <w:szCs w:val="20"/>
                <w:color w:val="auto"/>
              </w:rPr>
            </w:pPr>
            <w:r>
              <w:rPr>
                <w:rFonts w:ascii="Arial" w:cs="Arial" w:eastAsia="Arial" w:hAnsi="Arial"/>
                <w:sz w:val="13"/>
                <w:szCs w:val="13"/>
                <w:color w:val="auto"/>
              </w:rPr>
              <w:t>18.28%</w:t>
            </w:r>
          </w:p>
        </w:tc>
        <w:tc>
          <w:tcPr>
            <w:tcW w:w="400" w:type="dxa"/>
            <w:vAlign w:val="bottom"/>
            <w:shd w:val="clear" w:color="auto" w:fill="CCEEFF"/>
          </w:tcPr>
          <w:p>
            <w:pPr>
              <w:spacing w:after="0"/>
              <w:rPr>
                <w:sz w:val="13"/>
                <w:szCs w:val="13"/>
                <w:color w:val="auto"/>
              </w:rPr>
            </w:pPr>
          </w:p>
        </w:tc>
        <w:tc>
          <w:tcPr>
            <w:tcW w:w="4880" w:type="dxa"/>
            <w:vAlign w:val="bottom"/>
            <w:gridSpan w:val="5"/>
            <w:shd w:val="clear" w:color="auto" w:fill="CCEEFF"/>
          </w:tcPr>
          <w:p>
            <w:pPr>
              <w:spacing w:after="0"/>
              <w:rPr>
                <w:sz w:val="20"/>
                <w:szCs w:val="20"/>
                <w:color w:val="auto"/>
              </w:rPr>
            </w:pPr>
            <w:r>
              <w:rPr>
                <w:rFonts w:ascii="Arial" w:cs="Arial" w:eastAsia="Arial" w:hAnsi="Arial"/>
                <w:sz w:val="13"/>
                <w:szCs w:val="13"/>
                <w:color w:val="auto"/>
              </w:rPr>
              <w:t>Significant increases would lead to a lower fair value</w:t>
            </w:r>
          </w:p>
        </w:tc>
        <w:tc>
          <w:tcPr>
            <w:tcW w:w="1440" w:type="dxa"/>
            <w:vAlign w:val="bottom"/>
            <w:shd w:val="clear" w:color="auto" w:fill="CCEEFF"/>
          </w:tcPr>
          <w:p>
            <w:pPr>
              <w:spacing w:after="0"/>
              <w:rPr>
                <w:sz w:val="13"/>
                <w:szCs w:val="13"/>
                <w:color w:val="auto"/>
              </w:rPr>
            </w:pPr>
          </w:p>
        </w:tc>
        <w:tc>
          <w:tcPr>
            <w:tcW w:w="100" w:type="dxa"/>
            <w:vAlign w:val="bottom"/>
            <w:tcBorders>
              <w:right w:val="single" w:sz="8" w:color="CCEEFF"/>
            </w:tcBorders>
            <w:shd w:val="clear" w:color="auto" w:fill="CCEEFF"/>
          </w:tcPr>
          <w:p>
            <w:pPr>
              <w:spacing w:after="0"/>
              <w:rPr>
                <w:sz w:val="13"/>
                <w:szCs w:val="13"/>
                <w:color w:val="auto"/>
              </w:rPr>
            </w:pPr>
          </w:p>
        </w:tc>
        <w:tc>
          <w:tcPr>
            <w:tcW w:w="17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1200" w:type="dxa"/>
            <w:vAlign w:val="bottom"/>
          </w:tcPr>
          <w:p>
            <w:pPr>
              <w:jc w:val="right"/>
              <w:ind w:right="416"/>
              <w:spacing w:after="0"/>
              <w:rPr>
                <w:sz w:val="20"/>
                <w:szCs w:val="20"/>
                <w:color w:val="auto"/>
              </w:rPr>
            </w:pPr>
            <w:r>
              <w:rPr>
                <w:rFonts w:ascii="Arial" w:cs="Arial" w:eastAsia="Arial" w:hAnsi="Arial"/>
                <w:sz w:val="13"/>
                <w:szCs w:val="13"/>
                <w:color w:val="auto"/>
              </w:rPr>
              <w:t>45%</w:t>
            </w:r>
          </w:p>
        </w:tc>
        <w:tc>
          <w:tcPr>
            <w:tcW w:w="400" w:type="dxa"/>
            <w:vAlign w:val="bottom"/>
          </w:tcPr>
          <w:p>
            <w:pPr>
              <w:spacing w:after="0"/>
              <w:rPr>
                <w:sz w:val="14"/>
                <w:szCs w:val="14"/>
                <w:color w:val="auto"/>
              </w:rPr>
            </w:pPr>
          </w:p>
        </w:tc>
        <w:tc>
          <w:tcPr>
            <w:tcW w:w="4880" w:type="dxa"/>
            <w:vAlign w:val="bottom"/>
            <w:gridSpan w:val="5"/>
          </w:tcPr>
          <w:p>
            <w:pPr>
              <w:spacing w:after="0"/>
              <w:rPr>
                <w:sz w:val="20"/>
                <w:szCs w:val="20"/>
                <w:color w:val="auto"/>
              </w:rPr>
            </w:pPr>
            <w:r>
              <w:rPr>
                <w:rFonts w:ascii="Arial" w:cs="Arial" w:eastAsia="Arial" w:hAnsi="Arial"/>
                <w:sz w:val="13"/>
                <w:szCs w:val="13"/>
                <w:color w:val="auto"/>
              </w:rPr>
              <w:t>Significant increases would lead to a lower fair value</w:t>
            </w:r>
          </w:p>
        </w:tc>
        <w:tc>
          <w:tcPr>
            <w:tcW w:w="14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720" w:type="dxa"/>
            <w:vAlign w:val="bottom"/>
          </w:tcPr>
          <w:p>
            <w:pPr>
              <w:spacing w:after="0"/>
              <w:rPr>
                <w:sz w:val="14"/>
                <w:szCs w:val="14"/>
                <w:color w:val="auto"/>
              </w:rPr>
            </w:pPr>
          </w:p>
        </w:tc>
        <w:tc>
          <w:tcPr>
            <w:tcW w:w="0" w:type="dxa"/>
            <w:vAlign w:val="bottom"/>
          </w:tcPr>
          <w:p>
            <w:pPr>
              <w:spacing w:after="0"/>
              <w:rPr>
                <w:sz w:val="1"/>
                <w:szCs w:val="1"/>
                <w:color w:val="auto"/>
              </w:rPr>
            </w:pPr>
          </w:p>
        </w:tc>
      </w:tr>
    </w:tbl>
    <w:p>
      <w:pPr>
        <w:spacing w:after="0" w:line="137" w:lineRule="exact"/>
        <w:rPr>
          <w:sz w:val="20"/>
          <w:szCs w:val="20"/>
          <w:color w:val="auto"/>
        </w:rPr>
      </w:pPr>
    </w:p>
    <w:p>
      <w:pPr>
        <w:ind w:left="223"/>
        <w:spacing w:after="0"/>
        <w:rPr>
          <w:sz w:val="20"/>
          <w:szCs w:val="20"/>
          <w:color w:val="auto"/>
        </w:rPr>
      </w:pPr>
      <w:r>
        <w:rPr>
          <w:rFonts w:ascii="Arial" w:cs="Arial" w:eastAsia="Arial" w:hAnsi="Arial"/>
          <w:sz w:val="13"/>
          <w:szCs w:val="13"/>
          <w:color w:val="auto"/>
        </w:rPr>
        <w:t>Significant unobservable inputs were developed as follows:</w:t>
      </w:r>
    </w:p>
    <w:p>
      <w:pPr>
        <w:spacing w:after="0" w:line="159" w:lineRule="exact"/>
        <w:rPr>
          <w:sz w:val="20"/>
          <w:szCs w:val="20"/>
          <w:color w:val="auto"/>
        </w:rPr>
      </w:pPr>
    </w:p>
    <w:p>
      <w:pPr>
        <w:ind w:left="223"/>
        <w:spacing w:after="0"/>
        <w:rPr>
          <w:sz w:val="20"/>
          <w:szCs w:val="20"/>
          <w:color w:val="auto"/>
        </w:rPr>
      </w:pPr>
      <w:r>
        <w:rPr>
          <w:rFonts w:ascii="Arial" w:cs="Arial" w:eastAsia="Arial" w:hAnsi="Arial"/>
          <w:sz w:val="12"/>
          <w:szCs w:val="12"/>
          <w:color w:val="auto"/>
        </w:rPr>
        <w:t>a). The discount rate was derived from the discount rate of a similar company in the same line of business. For the discount rate, the debt-equity structure for the Issuer of the securities was applied.</w:t>
      </w:r>
    </w:p>
    <w:p>
      <w:pPr>
        <w:spacing w:after="0" w:line="170" w:lineRule="exact"/>
        <w:rPr>
          <w:sz w:val="20"/>
          <w:szCs w:val="20"/>
          <w:color w:val="auto"/>
        </w:rPr>
      </w:pPr>
    </w:p>
    <w:p>
      <w:pPr>
        <w:ind w:left="223"/>
        <w:spacing w:after="0"/>
        <w:rPr>
          <w:sz w:val="20"/>
          <w:szCs w:val="20"/>
          <w:color w:val="auto"/>
        </w:rPr>
      </w:pPr>
      <w:r>
        <w:rPr>
          <w:rFonts w:ascii="Arial" w:cs="Arial" w:eastAsia="Arial" w:hAnsi="Arial"/>
          <w:sz w:val="13"/>
          <w:szCs w:val="13"/>
          <w:color w:val="auto"/>
        </w:rPr>
        <w:t>b) The premium or liquidity rate was derived from liquidity cost studies carried out by experts and then subsequently from knowledge of management of similar businesses.</w:t>
      </w:r>
    </w:p>
    <w:p>
      <w:pPr>
        <w:spacing w:after="0" w:line="155" w:lineRule="exact"/>
        <w:rPr>
          <w:sz w:val="20"/>
          <w:szCs w:val="20"/>
          <w:color w:val="auto"/>
        </w:rPr>
      </w:pPr>
    </w:p>
    <w:p>
      <w:pPr>
        <w:ind w:left="223"/>
        <w:spacing w:after="0"/>
        <w:rPr>
          <w:sz w:val="20"/>
          <w:szCs w:val="20"/>
          <w:color w:val="auto"/>
        </w:rPr>
      </w:pPr>
      <w:r>
        <w:rPr>
          <w:rFonts w:ascii="Arial" w:cs="Arial" w:eastAsia="Arial" w:hAnsi="Arial"/>
          <w:sz w:val="13"/>
          <w:szCs w:val="13"/>
          <w:b w:val="1"/>
          <w:bCs w:val="1"/>
          <w:color w:val="auto"/>
        </w:rPr>
        <w:t>Effect of unobservable inputs in fair value measurement</w:t>
      </w:r>
    </w:p>
    <w:p>
      <w:pPr>
        <w:spacing w:after="0" w:line="163" w:lineRule="exact"/>
        <w:rPr>
          <w:sz w:val="20"/>
          <w:szCs w:val="20"/>
          <w:color w:val="auto"/>
        </w:rPr>
      </w:pPr>
    </w:p>
    <w:p>
      <w:pPr>
        <w:ind w:left="223"/>
        <w:spacing w:after="0" w:line="267" w:lineRule="auto"/>
        <w:rPr>
          <w:sz w:val="20"/>
          <w:szCs w:val="20"/>
          <w:color w:val="auto"/>
        </w:rPr>
      </w:pPr>
      <w:r>
        <w:rPr>
          <w:rFonts w:ascii="Arial" w:cs="Arial" w:eastAsia="Arial" w:hAnsi="Arial"/>
          <w:sz w:val="13"/>
          <w:szCs w:val="13"/>
          <w:color w:val="auto"/>
        </w:rPr>
        <w:t>Although management considers that its estimates of fair value are appropriate, the use of different methodologies or assumptions can generate different Level 3 fair values for measurements . Changing one or more assumptions used can generate the following effect:</w:t>
      </w:r>
    </w:p>
    <w:p>
      <w:pPr>
        <w:sectPr>
          <w:pgSz w:w="11900" w:h="16838" w:orient="portrait"/>
          <w:cols w:equalWidth="0" w:num="1">
            <w:col w:w="11463"/>
          </w:cols>
          <w:pgMar w:left="217" w:top="685" w:right="219" w:bottom="1440" w:gutter="0" w:footer="0" w:header="0"/>
        </w:sectPr>
      </w:pPr>
    </w:p>
    <w:p>
      <w:pPr>
        <w:spacing w:after="0" w:line="308" w:lineRule="exact"/>
        <w:rPr>
          <w:sz w:val="20"/>
          <w:szCs w:val="20"/>
          <w:color w:val="auto"/>
        </w:rPr>
      </w:pPr>
    </w:p>
    <w:p>
      <w:pPr>
        <w:ind w:left="223"/>
        <w:spacing w:after="0"/>
        <w:rPr>
          <w:sz w:val="20"/>
          <w:szCs w:val="20"/>
          <w:color w:val="auto"/>
        </w:rPr>
      </w:pPr>
      <w:r>
        <w:rPr>
          <w:rFonts w:ascii="Arial" w:cs="Arial" w:eastAsia="Arial" w:hAnsi="Arial"/>
          <w:sz w:val="13"/>
          <w:szCs w:val="13"/>
          <w:b w:val="1"/>
          <w:bCs w:val="1"/>
          <w:color w:val="auto"/>
        </w:rPr>
        <w:t>December 31, 2018</w:t>
      </w:r>
    </w:p>
    <w:p>
      <w:pPr>
        <w:spacing w:after="0" w:line="17" w:lineRule="exact"/>
        <w:rPr>
          <w:sz w:val="20"/>
          <w:szCs w:val="20"/>
          <w:color w:val="auto"/>
        </w:rPr>
      </w:pPr>
    </w:p>
    <w:p>
      <w:pPr>
        <w:ind w:left="223"/>
        <w:spacing w:after="0"/>
        <w:rPr>
          <w:sz w:val="20"/>
          <w:szCs w:val="20"/>
          <w:color w:val="auto"/>
        </w:rPr>
      </w:pPr>
      <w:r>
        <w:rPr>
          <w:rFonts w:ascii="Arial" w:cs="Arial" w:eastAsia="Arial" w:hAnsi="Arial"/>
          <w:sz w:val="11"/>
          <w:szCs w:val="11"/>
          <w:color w:val="auto"/>
        </w:rPr>
        <w:t>Other assets at fair value through profit or loss (debenture)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146685</wp:posOffset>
            </wp:positionH>
            <wp:positionV relativeFrom="paragraph">
              <wp:posOffset>-79375</wp:posOffset>
            </wp:positionV>
            <wp:extent cx="6552565" cy="116205"/>
            <wp:wrapNone/>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0">
                      <a:extLst>
                        <a:ext uri="{28A0092B-C50C-407E-A947-70E740481C1C}"/>
                      </a:extLst>
                    </a:blip>
                    <a:srcRect/>
                    <a:stretch>
                      <a:fillRect/>
                    </a:stretch>
                  </pic:blipFill>
                  <pic:spPr bwMode="auto">
                    <a:xfrm>
                      <a:off x="0" y="0"/>
                      <a:ext cx="6552565" cy="116205"/>
                    </a:xfrm>
                    <a:prstGeom prst="rect">
                      <a:avLst/>
                    </a:prstGeom>
                    <a:noFill/>
                  </pic:spPr>
                </pic:pic>
              </a:graphicData>
            </a:graphic>
          </wp:anchor>
        </w:drawing>
      </w:r>
    </w:p>
    <w:p>
      <w:pPr>
        <w:spacing w:after="0" w:line="201" w:lineRule="exact"/>
        <w:rPr>
          <w:sz w:val="20"/>
          <w:szCs w:val="20"/>
          <w:color w:val="auto"/>
        </w:rPr>
      </w:pPr>
    </w:p>
    <w:p>
      <w:pPr>
        <w:ind w:left="463" w:hanging="232"/>
        <w:spacing w:after="0"/>
        <w:tabs>
          <w:tab w:leader="none" w:pos="463" w:val="left"/>
        </w:tabs>
        <w:numPr>
          <w:ilvl w:val="0"/>
          <w:numId w:val="184"/>
        </w:numPr>
        <w:rPr>
          <w:rFonts w:ascii="Arial" w:cs="Arial" w:eastAsia="Arial" w:hAnsi="Arial"/>
          <w:sz w:val="12"/>
          <w:szCs w:val="12"/>
          <w:color w:val="auto"/>
        </w:rPr>
      </w:pPr>
      <w:r>
        <w:rPr>
          <w:rFonts w:ascii="Arial" w:cs="Arial" w:eastAsia="Arial" w:hAnsi="Arial"/>
          <w:sz w:val="12"/>
          <w:szCs w:val="12"/>
          <w:color w:val="auto"/>
        </w:rPr>
        <w:t>Changes in +100 bps in the unobservable variables.</w:t>
      </w:r>
    </w:p>
    <w:p>
      <w:pPr>
        <w:spacing w:after="0" w:line="20" w:lineRule="exact"/>
        <w:rPr>
          <w:sz w:val="20"/>
          <w:szCs w:val="20"/>
          <w:color w:val="auto"/>
        </w:rPr>
      </w:pPr>
      <w:r>
        <w:rPr>
          <w:sz w:val="20"/>
          <w:szCs w:val="20"/>
          <w:color w:val="auto"/>
        </w:rPr>
        <w:br w:type="column"/>
      </w:r>
    </w:p>
    <w:p>
      <w:pPr>
        <w:spacing w:after="0" w:line="115" w:lineRule="exact"/>
        <w:rPr>
          <w:sz w:val="20"/>
          <w:szCs w:val="20"/>
          <w:color w:val="auto"/>
        </w:rPr>
      </w:pPr>
    </w:p>
    <w:p>
      <w:pPr>
        <w:ind w:left="960"/>
        <w:spacing w:after="0"/>
        <w:rPr>
          <w:sz w:val="20"/>
          <w:szCs w:val="20"/>
          <w:color w:val="auto"/>
        </w:rPr>
      </w:pPr>
      <w:r>
        <w:rPr>
          <w:rFonts w:ascii="Arial" w:cs="Arial" w:eastAsia="Arial" w:hAnsi="Arial"/>
          <w:sz w:val="13"/>
          <w:szCs w:val="13"/>
          <w:b w:val="1"/>
          <w:bCs w:val="1"/>
          <w:color w:val="auto"/>
        </w:rPr>
        <w:t>Effect on income*</w:t>
      </w:r>
    </w:p>
    <w:p>
      <w:pPr>
        <w:spacing w:after="0" w:line="17" w:lineRule="exact"/>
        <w:rPr>
          <w:sz w:val="20"/>
          <w:szCs w:val="20"/>
          <w:color w:val="auto"/>
        </w:rPr>
      </w:pPr>
    </w:p>
    <w:tbl>
      <w:tblPr>
        <w:tblLayout w:type="fixed"/>
        <w:tblInd w:w="0" w:type="dxa"/>
        <w:tblCellMar>
          <w:top w:w="0" w:type="dxa"/>
          <w:left w:w="0" w:type="dxa"/>
          <w:bottom w:w="0" w:type="dxa"/>
          <w:right w:w="0" w:type="dxa"/>
        </w:tblCellMar>
      </w:tblPr>
      <w:tr>
        <w:trPr>
          <w:trHeight w:val="154"/>
        </w:trPr>
        <w:tc>
          <w:tcPr>
            <w:tcW w:w="1560" w:type="dxa"/>
            <w:vAlign w:val="bottom"/>
            <w:tcBorders>
              <w:top w:val="single" w:sz="8" w:color="auto"/>
            </w:tcBorders>
            <w:gridSpan w:val="2"/>
          </w:tcPr>
          <w:p>
            <w:pPr>
              <w:jc w:val="right"/>
              <w:ind w:right="443"/>
              <w:spacing w:after="0"/>
              <w:rPr>
                <w:sz w:val="20"/>
                <w:szCs w:val="20"/>
                <w:color w:val="auto"/>
              </w:rPr>
            </w:pPr>
            <w:r>
              <w:rPr>
                <w:rFonts w:ascii="Arial" w:cs="Arial" w:eastAsia="Arial" w:hAnsi="Arial"/>
                <w:sz w:val="13"/>
                <w:szCs w:val="13"/>
                <w:b w:val="1"/>
                <w:bCs w:val="1"/>
                <w:color w:val="auto"/>
              </w:rPr>
              <w:t>Negative effect</w:t>
            </w:r>
          </w:p>
        </w:tc>
        <w:tc>
          <w:tcPr>
            <w:tcW w:w="1340" w:type="dxa"/>
            <w:vAlign w:val="bottom"/>
            <w:tcBorders>
              <w:top w:val="single" w:sz="8" w:color="auto"/>
            </w:tcBorders>
          </w:tcPr>
          <w:p>
            <w:pPr>
              <w:jc w:val="right"/>
              <w:ind w:right="236"/>
              <w:spacing w:after="0"/>
              <w:rPr>
                <w:sz w:val="20"/>
                <w:szCs w:val="20"/>
                <w:color w:val="auto"/>
              </w:rPr>
            </w:pPr>
            <w:r>
              <w:rPr>
                <w:rFonts w:ascii="Arial" w:cs="Arial" w:eastAsia="Arial" w:hAnsi="Arial"/>
                <w:sz w:val="13"/>
                <w:szCs w:val="13"/>
                <w:b w:val="1"/>
                <w:bCs w:val="1"/>
                <w:color w:val="auto"/>
              </w:rPr>
              <w:t>Positive effect</w:t>
            </w:r>
          </w:p>
        </w:tc>
      </w:tr>
      <w:tr>
        <w:trPr>
          <w:trHeight w:val="162"/>
        </w:trPr>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color w:val="auto"/>
              </w:rPr>
              <w:t>(659</w:t>
            </w:r>
          </w:p>
        </w:tc>
        <w:tc>
          <w:tcPr>
            <w:tcW w:w="200" w:type="dxa"/>
            <w:vAlign w:val="bottom"/>
          </w:tcPr>
          <w:p>
            <w:pPr>
              <w:jc w:val="right"/>
              <w:ind w:right="123"/>
              <w:spacing w:after="0"/>
              <w:rPr>
                <w:sz w:val="20"/>
                <w:szCs w:val="20"/>
                <w:color w:val="auto"/>
              </w:rPr>
            </w:pPr>
            <w:r>
              <w:rPr>
                <w:rFonts w:ascii="Arial" w:cs="Arial" w:eastAsia="Arial" w:hAnsi="Arial"/>
                <w:sz w:val="7"/>
                <w:szCs w:val="7"/>
                <w:color w:val="auto"/>
                <w:w w:val="83"/>
              </w:rPr>
              <w:t>)</w:t>
            </w: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color w:val="auto"/>
              </w:rPr>
              <w:t>714</w:t>
            </w:r>
          </w:p>
        </w:tc>
      </w:tr>
    </w:tbl>
    <w:p>
      <w:pPr>
        <w:spacing w:after="0" w:line="483" w:lineRule="exact"/>
        <w:rPr>
          <w:sz w:val="20"/>
          <w:szCs w:val="20"/>
          <w:color w:val="auto"/>
        </w:rPr>
      </w:pPr>
    </w:p>
    <w:p>
      <w:pPr>
        <w:sectPr>
          <w:pgSz w:w="11900" w:h="16838" w:orient="portrait"/>
          <w:cols w:equalWidth="0" w:num="2">
            <w:col w:w="6843" w:space="720"/>
            <w:col w:w="3900"/>
          </w:cols>
          <w:pgMar w:left="217" w:top="685" w:right="219" w:bottom="1440" w:gutter="0" w:footer="0" w:header="0"/>
          <w:type w:val="continuous"/>
        </w:sectPr>
      </w:pPr>
    </w:p>
    <w:p>
      <w:pPr>
        <w:spacing w:after="0" w:line="124" w:lineRule="exact"/>
        <w:rPr>
          <w:sz w:val="20"/>
          <w:szCs w:val="20"/>
          <w:color w:val="auto"/>
        </w:rPr>
      </w:pPr>
    </w:p>
    <w:p>
      <w:pPr>
        <w:jc w:val="center"/>
        <w:ind w:right="-22"/>
        <w:spacing w:after="0"/>
        <w:rPr>
          <w:sz w:val="20"/>
          <w:szCs w:val="20"/>
          <w:color w:val="auto"/>
        </w:rPr>
      </w:pPr>
      <w:r>
        <w:rPr>
          <w:rFonts w:ascii="Arial" w:cs="Arial" w:eastAsia="Arial" w:hAnsi="Arial"/>
          <w:sz w:val="11"/>
          <w:szCs w:val="11"/>
          <w:color w:val="auto"/>
        </w:rPr>
        <w:t>F-92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29210</wp:posOffset>
            </wp:positionV>
            <wp:extent cx="7285990" cy="6350"/>
            <wp:wrapNone/>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37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85" w:right="219" w:bottom="1440" w:gutter="0" w:footer="0" w:header="0"/>
          <w:type w:val="continuous"/>
        </w:sectPr>
      </w:pPr>
    </w:p>
    <w:bookmarkStart w:id="217" w:name="page218"/>
    <w:bookmarkEnd w:id="217"/>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37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185"/>
        </w:numPr>
        <w:rPr>
          <w:rFonts w:ascii="Arial" w:cs="Arial" w:eastAsia="Arial" w:hAnsi="Arial"/>
          <w:sz w:val="13"/>
          <w:szCs w:val="13"/>
          <w:b w:val="1"/>
          <w:bCs w:val="1"/>
          <w:color w:val="auto"/>
        </w:rPr>
      </w:pPr>
      <w:r>
        <w:rPr>
          <w:rFonts w:ascii="Arial" w:cs="Arial" w:eastAsia="Arial" w:hAnsi="Arial"/>
          <w:sz w:val="13"/>
          <w:szCs w:val="13"/>
          <w:b w:val="1"/>
          <w:bCs w:val="1"/>
          <w:color w:val="auto"/>
        </w:rPr>
        <w:t>Related party transactions</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detail of the assets and liabilities with related private corporations and financial institutions is as follows:</w:t>
      </w:r>
    </w:p>
    <w:p>
      <w:pPr>
        <w:spacing w:after="0" w:line="155" w:lineRule="exact"/>
        <w:rPr>
          <w:sz w:val="20"/>
          <w:szCs w:val="20"/>
          <w:color w:val="auto"/>
        </w:rPr>
      </w:pPr>
    </w:p>
    <w:tbl>
      <w:tblPr>
        <w:tblLayout w:type="fixed"/>
        <w:tblInd w:w="3" w:type="dxa"/>
        <w:tblCellMar>
          <w:top w:w="0" w:type="dxa"/>
          <w:left w:w="0" w:type="dxa"/>
          <w:bottom w:w="0" w:type="dxa"/>
          <w:right w:w="0" w:type="dxa"/>
        </w:tblCellMar>
      </w:tblPr>
      <w:tr>
        <w:trPr>
          <w:trHeight w:val="164"/>
        </w:trPr>
        <w:tc>
          <w:tcPr>
            <w:tcW w:w="220" w:type="dxa"/>
            <w:vAlign w:val="bottom"/>
          </w:tcPr>
          <w:p>
            <w:pPr>
              <w:spacing w:after="0"/>
              <w:rPr>
                <w:sz w:val="14"/>
                <w:szCs w:val="14"/>
                <w:color w:val="auto"/>
              </w:rPr>
            </w:pPr>
          </w:p>
        </w:tc>
        <w:tc>
          <w:tcPr>
            <w:tcW w:w="4460" w:type="dxa"/>
            <w:vAlign w:val="bottom"/>
          </w:tcPr>
          <w:p>
            <w:pPr>
              <w:spacing w:after="0"/>
              <w:rPr>
                <w:sz w:val="14"/>
                <w:szCs w:val="14"/>
                <w:color w:val="auto"/>
              </w:rPr>
            </w:pPr>
          </w:p>
        </w:tc>
        <w:tc>
          <w:tcPr>
            <w:tcW w:w="3820" w:type="dxa"/>
            <w:vAlign w:val="bottom"/>
          </w:tcPr>
          <w:p>
            <w:pPr>
              <w:spacing w:after="0"/>
              <w:rPr>
                <w:sz w:val="14"/>
                <w:szCs w:val="14"/>
                <w:color w:val="auto"/>
              </w:rPr>
            </w:pPr>
          </w:p>
        </w:tc>
        <w:tc>
          <w:tcPr>
            <w:tcW w:w="1440" w:type="dxa"/>
            <w:vAlign w:val="bottom"/>
            <w:gridSpan w:val="2"/>
          </w:tcPr>
          <w:p>
            <w:pPr>
              <w:jc w:val="center"/>
              <w:ind w:right="183"/>
              <w:spacing w:after="0"/>
              <w:rPr>
                <w:sz w:val="20"/>
                <w:szCs w:val="20"/>
                <w:color w:val="auto"/>
              </w:rPr>
            </w:pPr>
            <w:r>
              <w:rPr>
                <w:rFonts w:ascii="Arial" w:cs="Arial" w:eastAsia="Arial" w:hAnsi="Arial"/>
                <w:sz w:val="13"/>
                <w:szCs w:val="13"/>
                <w:b w:val="1"/>
                <w:bCs w:val="1"/>
                <w:color w:val="auto"/>
                <w:w w:val="87"/>
              </w:rPr>
              <w:t>Decembre 31,</w:t>
            </w:r>
          </w:p>
        </w:tc>
        <w:tc>
          <w:tcPr>
            <w:tcW w:w="1300" w:type="dxa"/>
            <w:vAlign w:val="bottom"/>
            <w:gridSpan w:val="2"/>
          </w:tcPr>
          <w:p>
            <w:pPr>
              <w:jc w:val="center"/>
              <w:ind w:right="83"/>
              <w:spacing w:after="0"/>
              <w:rPr>
                <w:sz w:val="20"/>
                <w:szCs w:val="20"/>
                <w:color w:val="auto"/>
              </w:rPr>
            </w:pPr>
            <w:r>
              <w:rPr>
                <w:rFonts w:ascii="Arial" w:cs="Arial" w:eastAsia="Arial" w:hAnsi="Arial"/>
                <w:sz w:val="13"/>
                <w:szCs w:val="13"/>
                <w:b w:val="1"/>
                <w:bCs w:val="1"/>
                <w:color w:val="auto"/>
                <w:w w:val="87"/>
              </w:rPr>
              <w:t>Decembre 31,</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6"/>
        </w:trPr>
        <w:tc>
          <w:tcPr>
            <w:tcW w:w="220" w:type="dxa"/>
            <w:vAlign w:val="bottom"/>
          </w:tcPr>
          <w:p>
            <w:pPr>
              <w:spacing w:after="0"/>
              <w:rPr>
                <w:sz w:val="14"/>
                <w:szCs w:val="14"/>
                <w:color w:val="auto"/>
              </w:rPr>
            </w:pPr>
          </w:p>
        </w:tc>
        <w:tc>
          <w:tcPr>
            <w:tcW w:w="4460" w:type="dxa"/>
            <w:vAlign w:val="bottom"/>
          </w:tcPr>
          <w:p>
            <w:pPr>
              <w:spacing w:after="0"/>
              <w:rPr>
                <w:sz w:val="14"/>
                <w:szCs w:val="14"/>
                <w:color w:val="auto"/>
              </w:rPr>
            </w:pPr>
          </w:p>
        </w:tc>
        <w:tc>
          <w:tcPr>
            <w:tcW w:w="5040" w:type="dxa"/>
            <w:vAlign w:val="bottom"/>
            <w:gridSpan w:val="2"/>
          </w:tcPr>
          <w:p>
            <w:pPr>
              <w:jc w:val="center"/>
              <w:ind w:left="3756"/>
              <w:spacing w:after="0"/>
              <w:rPr>
                <w:sz w:val="20"/>
                <w:szCs w:val="20"/>
                <w:color w:val="auto"/>
              </w:rPr>
            </w:pPr>
            <w:r>
              <w:rPr>
                <w:rFonts w:ascii="Arial" w:cs="Arial" w:eastAsia="Arial" w:hAnsi="Arial"/>
                <w:sz w:val="13"/>
                <w:szCs w:val="13"/>
                <w:b w:val="1"/>
                <w:bCs w:val="1"/>
                <w:color w:val="auto"/>
                <w:w w:val="89"/>
              </w:rPr>
              <w:t>2018</w:t>
            </w:r>
          </w:p>
        </w:tc>
        <w:tc>
          <w:tcPr>
            <w:tcW w:w="220" w:type="dxa"/>
            <w:vAlign w:val="bottom"/>
          </w:tcPr>
          <w:p>
            <w:pPr>
              <w:spacing w:after="0"/>
              <w:rPr>
                <w:sz w:val="14"/>
                <w:szCs w:val="14"/>
                <w:color w:val="auto"/>
              </w:rPr>
            </w:pPr>
          </w:p>
        </w:tc>
        <w:tc>
          <w:tcPr>
            <w:tcW w:w="1200" w:type="dxa"/>
            <w:vAlign w:val="bottom"/>
          </w:tcPr>
          <w:p>
            <w:pPr>
              <w:jc w:val="center"/>
              <w:spacing w:after="0"/>
              <w:rPr>
                <w:sz w:val="20"/>
                <w:szCs w:val="20"/>
                <w:color w:val="auto"/>
              </w:rPr>
            </w:pPr>
            <w:r>
              <w:rPr>
                <w:rFonts w:ascii="Arial" w:cs="Arial" w:eastAsia="Arial" w:hAnsi="Arial"/>
                <w:sz w:val="13"/>
                <w:szCs w:val="13"/>
                <w:b w:val="1"/>
                <w:bCs w:val="1"/>
                <w:color w:val="auto"/>
                <w:w w:val="89"/>
              </w:rPr>
              <w:t>2017</w:t>
            </w:r>
          </w:p>
        </w:tc>
        <w:tc>
          <w:tcPr>
            <w:tcW w:w="1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46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Assets</w:t>
            </w:r>
          </w:p>
        </w:tc>
        <w:tc>
          <w:tcPr>
            <w:tcW w:w="382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60" w:type="dxa"/>
            <w:vAlign w:val="bottom"/>
          </w:tcPr>
          <w:p>
            <w:pPr>
              <w:ind w:left="120"/>
              <w:spacing w:after="0"/>
              <w:rPr>
                <w:sz w:val="20"/>
                <w:szCs w:val="20"/>
                <w:color w:val="auto"/>
              </w:rPr>
            </w:pPr>
            <w:r>
              <w:rPr>
                <w:rFonts w:ascii="Arial" w:cs="Arial" w:eastAsia="Arial" w:hAnsi="Arial"/>
                <w:sz w:val="13"/>
                <w:szCs w:val="13"/>
                <w:color w:val="auto"/>
              </w:rPr>
              <w:t>Demand deposits</w:t>
            </w:r>
          </w:p>
        </w:tc>
        <w:tc>
          <w:tcPr>
            <w:tcW w:w="5260" w:type="dxa"/>
            <w:vAlign w:val="bottom"/>
            <w:gridSpan w:val="3"/>
          </w:tcPr>
          <w:p>
            <w:pPr>
              <w:jc w:val="right"/>
              <w:ind w:right="183"/>
              <w:spacing w:after="0"/>
              <w:rPr>
                <w:sz w:val="20"/>
                <w:szCs w:val="20"/>
                <w:color w:val="auto"/>
              </w:rPr>
            </w:pPr>
            <w:r>
              <w:rPr>
                <w:rFonts w:ascii="Arial" w:cs="Arial" w:eastAsia="Arial" w:hAnsi="Arial"/>
                <w:sz w:val="13"/>
                <w:szCs w:val="13"/>
                <w:color w:val="auto"/>
              </w:rPr>
              <w:t>5,179</w:t>
            </w:r>
          </w:p>
        </w:tc>
        <w:tc>
          <w:tcPr>
            <w:tcW w:w="1300" w:type="dxa"/>
            <w:vAlign w:val="bottom"/>
            <w:gridSpan w:val="2"/>
          </w:tcPr>
          <w:p>
            <w:pPr>
              <w:jc w:val="right"/>
              <w:ind w:right="63"/>
              <w:spacing w:after="0"/>
              <w:rPr>
                <w:sz w:val="20"/>
                <w:szCs w:val="20"/>
                <w:color w:val="auto"/>
              </w:rPr>
            </w:pPr>
            <w:r>
              <w:rPr>
                <w:rFonts w:ascii="Arial" w:cs="Arial" w:eastAsia="Arial" w:hAnsi="Arial"/>
                <w:sz w:val="13"/>
                <w:szCs w:val="13"/>
                <w:color w:val="auto"/>
              </w:rPr>
              <w:t>1,809</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60" w:type="dxa"/>
            <w:vAlign w:val="bottom"/>
            <w:shd w:val="clear" w:color="auto" w:fill="CCEEFF"/>
          </w:tcPr>
          <w:p>
            <w:pPr>
              <w:ind w:left="120"/>
              <w:spacing w:after="0"/>
              <w:rPr>
                <w:sz w:val="20"/>
                <w:szCs w:val="20"/>
                <w:color w:val="auto"/>
              </w:rPr>
            </w:pPr>
            <w:r>
              <w:rPr>
                <w:rFonts w:ascii="Arial" w:cs="Arial" w:eastAsia="Arial" w:hAnsi="Arial"/>
                <w:sz w:val="13"/>
                <w:szCs w:val="13"/>
                <w:color w:val="auto"/>
              </w:rPr>
              <w:t>Loans</w:t>
            </w:r>
          </w:p>
        </w:tc>
        <w:tc>
          <w:tcPr>
            <w:tcW w:w="5260" w:type="dxa"/>
            <w:vAlign w:val="bottom"/>
            <w:gridSpan w:val="3"/>
            <w:shd w:val="clear" w:color="auto" w:fill="CCEEFF"/>
          </w:tcPr>
          <w:p>
            <w:pPr>
              <w:jc w:val="right"/>
              <w:ind w:right="183"/>
              <w:spacing w:after="0"/>
              <w:rPr>
                <w:sz w:val="20"/>
                <w:szCs w:val="20"/>
                <w:color w:val="auto"/>
              </w:rPr>
            </w:pPr>
            <w:r>
              <w:rPr>
                <w:rFonts w:ascii="Arial" w:cs="Arial" w:eastAsia="Arial" w:hAnsi="Arial"/>
                <w:sz w:val="13"/>
                <w:szCs w:val="13"/>
                <w:color w:val="auto"/>
              </w:rPr>
              <w:t>202,578</w:t>
            </w:r>
          </w:p>
        </w:tc>
        <w:tc>
          <w:tcPr>
            <w:tcW w:w="1300" w:type="dxa"/>
            <w:vAlign w:val="bottom"/>
            <w:gridSpan w:val="2"/>
            <w:shd w:val="clear" w:color="auto" w:fill="CCEEFF"/>
          </w:tcPr>
          <w:p>
            <w:pPr>
              <w:jc w:val="right"/>
              <w:ind w:right="63"/>
              <w:spacing w:after="0"/>
              <w:rPr>
                <w:sz w:val="20"/>
                <w:szCs w:val="20"/>
                <w:color w:val="auto"/>
              </w:rPr>
            </w:pPr>
            <w:r>
              <w:rPr>
                <w:rFonts w:ascii="Arial" w:cs="Arial" w:eastAsia="Arial" w:hAnsi="Arial"/>
                <w:sz w:val="13"/>
                <w:szCs w:val="13"/>
                <w:color w:val="auto"/>
              </w:rPr>
              <w:t>83,031</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60" w:type="dxa"/>
            <w:vAlign w:val="bottom"/>
          </w:tcPr>
          <w:p>
            <w:pPr>
              <w:ind w:left="120"/>
              <w:spacing w:after="0"/>
              <w:rPr>
                <w:sz w:val="20"/>
                <w:szCs w:val="20"/>
                <w:color w:val="auto"/>
              </w:rPr>
            </w:pPr>
            <w:r>
              <w:rPr>
                <w:rFonts w:ascii="Arial" w:cs="Arial" w:eastAsia="Arial" w:hAnsi="Arial"/>
                <w:sz w:val="13"/>
                <w:szCs w:val="13"/>
                <w:color w:val="auto"/>
              </w:rPr>
              <w:t>Allowance for loans losses</w:t>
            </w:r>
          </w:p>
        </w:tc>
        <w:tc>
          <w:tcPr>
            <w:tcW w:w="5260" w:type="dxa"/>
            <w:vAlign w:val="bottom"/>
            <w:gridSpan w:val="3"/>
          </w:tcPr>
          <w:p>
            <w:pPr>
              <w:jc w:val="right"/>
              <w:ind w:right="143"/>
              <w:spacing w:after="0"/>
              <w:rPr>
                <w:sz w:val="20"/>
                <w:szCs w:val="20"/>
                <w:color w:val="auto"/>
              </w:rPr>
            </w:pPr>
            <w:r>
              <w:rPr>
                <w:rFonts w:ascii="Arial" w:cs="Arial" w:eastAsia="Arial" w:hAnsi="Arial"/>
                <w:sz w:val="13"/>
                <w:szCs w:val="13"/>
                <w:color w:val="auto"/>
              </w:rPr>
              <w:t>(1,837)</w:t>
            </w:r>
          </w:p>
        </w:tc>
        <w:tc>
          <w:tcPr>
            <w:tcW w:w="1300" w:type="dxa"/>
            <w:vAlign w:val="bottom"/>
            <w:gridSpan w:val="2"/>
          </w:tcPr>
          <w:p>
            <w:pPr>
              <w:jc w:val="right"/>
              <w:ind w:right="23"/>
              <w:spacing w:after="0"/>
              <w:rPr>
                <w:sz w:val="20"/>
                <w:szCs w:val="20"/>
                <w:color w:val="auto"/>
              </w:rPr>
            </w:pPr>
            <w:r>
              <w:rPr>
                <w:rFonts w:ascii="Arial" w:cs="Arial" w:eastAsia="Arial" w:hAnsi="Arial"/>
                <w:sz w:val="13"/>
                <w:szCs w:val="13"/>
                <w:color w:val="auto"/>
              </w:rPr>
              <w:t>(204)</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460" w:type="dxa"/>
            <w:vAlign w:val="bottom"/>
            <w:shd w:val="clear" w:color="auto" w:fill="CCEEFF"/>
          </w:tcPr>
          <w:p>
            <w:pPr>
              <w:ind w:left="120"/>
              <w:spacing w:after="0"/>
              <w:rPr>
                <w:sz w:val="20"/>
                <w:szCs w:val="20"/>
                <w:color w:val="auto"/>
              </w:rPr>
            </w:pPr>
            <w:r>
              <w:rPr>
                <w:rFonts w:ascii="Arial" w:cs="Arial" w:eastAsia="Arial" w:hAnsi="Arial"/>
                <w:sz w:val="13"/>
                <w:szCs w:val="13"/>
                <w:color w:val="auto"/>
              </w:rPr>
              <w:t>Securities at fair value through other comprehensive income</w:t>
            </w:r>
          </w:p>
        </w:tc>
        <w:tc>
          <w:tcPr>
            <w:tcW w:w="5260" w:type="dxa"/>
            <w:vAlign w:val="bottom"/>
            <w:gridSpan w:val="3"/>
            <w:shd w:val="clear" w:color="auto" w:fill="CCEEFF"/>
          </w:tcPr>
          <w:p>
            <w:pPr>
              <w:jc w:val="right"/>
              <w:ind w:right="183"/>
              <w:spacing w:after="0"/>
              <w:rPr>
                <w:sz w:val="20"/>
                <w:szCs w:val="20"/>
                <w:color w:val="auto"/>
              </w:rPr>
            </w:pPr>
            <w:r>
              <w:rPr>
                <w:rFonts w:ascii="Arial" w:cs="Arial" w:eastAsia="Arial" w:hAnsi="Arial"/>
                <w:sz w:val="13"/>
                <w:szCs w:val="13"/>
                <w:color w:val="auto"/>
              </w:rPr>
              <w:t>2,887</w:t>
            </w:r>
          </w:p>
        </w:tc>
        <w:tc>
          <w:tcPr>
            <w:tcW w:w="1300" w:type="dxa"/>
            <w:vAlign w:val="bottom"/>
            <w:gridSpan w:val="2"/>
            <w:shd w:val="clear" w:color="auto" w:fill="CCEEFF"/>
          </w:tcPr>
          <w:p>
            <w:pPr>
              <w:jc w:val="right"/>
              <w:ind w:right="63"/>
              <w:spacing w:after="0"/>
              <w:rPr>
                <w:sz w:val="20"/>
                <w:szCs w:val="20"/>
                <w:color w:val="auto"/>
              </w:rPr>
            </w:pPr>
            <w:r>
              <w:rPr>
                <w:rFonts w:ascii="Arial" w:cs="Arial" w:eastAsia="Arial" w:hAnsi="Arial"/>
                <w:sz w:val="13"/>
                <w:szCs w:val="13"/>
                <w:color w:val="auto"/>
              </w:rPr>
              <w:t>2,954</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4460" w:type="dxa"/>
            <w:vAlign w:val="bottom"/>
            <w:tcBorders>
              <w:bottom w:val="single" w:sz="8" w:color="CCEEFF"/>
            </w:tcBorders>
          </w:tcPr>
          <w:p>
            <w:pPr>
              <w:spacing w:after="0" w:line="146" w:lineRule="exact"/>
              <w:rPr>
                <w:sz w:val="20"/>
                <w:szCs w:val="20"/>
                <w:color w:val="auto"/>
              </w:rPr>
            </w:pPr>
            <w:r>
              <w:rPr>
                <w:rFonts w:ascii="Arial" w:cs="Arial" w:eastAsia="Arial" w:hAnsi="Arial"/>
                <w:sz w:val="13"/>
                <w:szCs w:val="13"/>
                <w:b w:val="1"/>
                <w:bCs w:val="1"/>
                <w:color w:val="auto"/>
              </w:rPr>
              <w:t>Total asset</w:t>
            </w:r>
          </w:p>
        </w:tc>
        <w:tc>
          <w:tcPr>
            <w:tcW w:w="3820" w:type="dxa"/>
            <w:vAlign w:val="bottom"/>
            <w:tcBorders>
              <w:bottom w:val="single" w:sz="8" w:color="CCEEFF"/>
            </w:tcBorders>
          </w:tcPr>
          <w:p>
            <w:pPr>
              <w:spacing w:after="0"/>
              <w:rPr>
                <w:sz w:val="14"/>
                <w:szCs w:val="14"/>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208,807</w:t>
            </w:r>
          </w:p>
        </w:tc>
        <w:tc>
          <w:tcPr>
            <w:tcW w:w="220" w:type="dxa"/>
            <w:vAlign w:val="bottom"/>
            <w:tcBorders>
              <w:bottom w:val="single" w:sz="8" w:color="CCEEFF"/>
            </w:tcBorders>
          </w:tcPr>
          <w:p>
            <w:pPr>
              <w:spacing w:after="0"/>
              <w:rPr>
                <w:sz w:val="14"/>
                <w:szCs w:val="14"/>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87,590</w:t>
            </w:r>
          </w:p>
        </w:tc>
        <w:tc>
          <w:tcPr>
            <w:tcW w:w="100" w:type="dxa"/>
            <w:vAlign w:val="bottom"/>
            <w:tcBorders>
              <w:bottom w:val="single" w:sz="8" w:color="CCEEFF"/>
            </w:tcBorders>
          </w:tcPr>
          <w:p>
            <w:pPr>
              <w:spacing w:after="0"/>
              <w:rPr>
                <w:sz w:val="14"/>
                <w:szCs w:val="14"/>
                <w:color w:val="auto"/>
              </w:rPr>
            </w:pP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4460" w:type="dxa"/>
            <w:vAlign w:val="bottom"/>
            <w:shd w:val="clear" w:color="auto" w:fill="CCEEFF"/>
          </w:tcPr>
          <w:p>
            <w:pPr>
              <w:spacing w:after="0"/>
              <w:rPr>
                <w:sz w:val="13"/>
                <w:szCs w:val="13"/>
                <w:color w:val="auto"/>
              </w:rPr>
            </w:pPr>
          </w:p>
        </w:tc>
        <w:tc>
          <w:tcPr>
            <w:tcW w:w="3820" w:type="dxa"/>
            <w:vAlign w:val="bottom"/>
            <w:shd w:val="clear" w:color="auto" w:fill="CCEEFF"/>
          </w:tcPr>
          <w:p>
            <w:pPr>
              <w:spacing w:after="0"/>
              <w:rPr>
                <w:sz w:val="13"/>
                <w:szCs w:val="13"/>
                <w:color w:val="auto"/>
              </w:rPr>
            </w:pPr>
          </w:p>
        </w:tc>
        <w:tc>
          <w:tcPr>
            <w:tcW w:w="12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4460" w:type="dxa"/>
            <w:vAlign w:val="bottom"/>
          </w:tcPr>
          <w:p>
            <w:pPr>
              <w:spacing w:after="0"/>
              <w:rPr>
                <w:sz w:val="20"/>
                <w:szCs w:val="20"/>
                <w:color w:val="auto"/>
              </w:rPr>
            </w:pPr>
            <w:r>
              <w:rPr>
                <w:rFonts w:ascii="Arial" w:cs="Arial" w:eastAsia="Arial" w:hAnsi="Arial"/>
                <w:sz w:val="13"/>
                <w:szCs w:val="13"/>
                <w:b w:val="1"/>
                <w:bCs w:val="1"/>
                <w:color w:val="auto"/>
              </w:rPr>
              <w:t>Liabilities</w:t>
            </w:r>
          </w:p>
        </w:tc>
        <w:tc>
          <w:tcPr>
            <w:tcW w:w="382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60" w:type="dxa"/>
            <w:vAlign w:val="bottom"/>
            <w:shd w:val="clear" w:color="auto" w:fill="CCEEFF"/>
          </w:tcPr>
          <w:p>
            <w:pPr>
              <w:ind w:left="120"/>
              <w:spacing w:after="0"/>
              <w:rPr>
                <w:sz w:val="20"/>
                <w:szCs w:val="20"/>
                <w:color w:val="auto"/>
              </w:rPr>
            </w:pPr>
            <w:r>
              <w:rPr>
                <w:rFonts w:ascii="Arial" w:cs="Arial" w:eastAsia="Arial" w:hAnsi="Arial"/>
                <w:sz w:val="13"/>
                <w:szCs w:val="13"/>
                <w:color w:val="auto"/>
              </w:rPr>
              <w:t>Demand deposits</w:t>
            </w:r>
          </w:p>
        </w:tc>
        <w:tc>
          <w:tcPr>
            <w:tcW w:w="5260" w:type="dxa"/>
            <w:vAlign w:val="bottom"/>
            <w:gridSpan w:val="3"/>
            <w:shd w:val="clear" w:color="auto" w:fill="CCEEFF"/>
          </w:tcPr>
          <w:p>
            <w:pPr>
              <w:jc w:val="right"/>
              <w:ind w:right="183"/>
              <w:spacing w:after="0"/>
              <w:rPr>
                <w:sz w:val="20"/>
                <w:szCs w:val="20"/>
                <w:color w:val="auto"/>
              </w:rPr>
            </w:pPr>
            <w:r>
              <w:rPr>
                <w:rFonts w:ascii="Arial" w:cs="Arial" w:eastAsia="Arial" w:hAnsi="Arial"/>
                <w:sz w:val="13"/>
                <w:szCs w:val="13"/>
                <w:color w:val="auto"/>
              </w:rPr>
              <w:t>200,000</w:t>
            </w:r>
          </w:p>
        </w:tc>
        <w:tc>
          <w:tcPr>
            <w:tcW w:w="1300" w:type="dxa"/>
            <w:vAlign w:val="bottom"/>
            <w:gridSpan w:val="2"/>
            <w:shd w:val="clear" w:color="auto" w:fill="CCEEFF"/>
          </w:tcPr>
          <w:p>
            <w:pPr>
              <w:jc w:val="right"/>
              <w:ind w:right="63"/>
              <w:spacing w:after="0"/>
              <w:rPr>
                <w:sz w:val="20"/>
                <w:szCs w:val="20"/>
                <w:color w:val="auto"/>
              </w:rPr>
            </w:pPr>
            <w:r>
              <w:rPr>
                <w:rFonts w:ascii="Arial" w:cs="Arial" w:eastAsia="Arial" w:hAnsi="Arial"/>
                <w:sz w:val="13"/>
                <w:szCs w:val="13"/>
                <w:color w:val="auto"/>
              </w:rPr>
              <w:t>50,000</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4460" w:type="dxa"/>
            <w:vAlign w:val="bottom"/>
          </w:tcPr>
          <w:p>
            <w:pPr>
              <w:ind w:left="120"/>
              <w:spacing w:after="0"/>
              <w:rPr>
                <w:sz w:val="20"/>
                <w:szCs w:val="20"/>
                <w:color w:val="auto"/>
              </w:rPr>
            </w:pPr>
            <w:r>
              <w:rPr>
                <w:rFonts w:ascii="Arial" w:cs="Arial" w:eastAsia="Arial" w:hAnsi="Arial"/>
                <w:sz w:val="13"/>
                <w:szCs w:val="13"/>
                <w:color w:val="auto"/>
              </w:rPr>
              <w:t>Time deposits</w:t>
            </w:r>
          </w:p>
        </w:tc>
        <w:tc>
          <w:tcPr>
            <w:tcW w:w="5260" w:type="dxa"/>
            <w:vAlign w:val="bottom"/>
            <w:gridSpan w:val="3"/>
          </w:tcPr>
          <w:p>
            <w:pPr>
              <w:jc w:val="right"/>
              <w:ind w:right="183"/>
              <w:spacing w:after="0"/>
              <w:rPr>
                <w:sz w:val="20"/>
                <w:szCs w:val="20"/>
                <w:color w:val="auto"/>
              </w:rPr>
            </w:pPr>
            <w:r>
              <w:rPr>
                <w:rFonts w:ascii="Arial" w:cs="Arial" w:eastAsia="Arial" w:hAnsi="Arial"/>
                <w:sz w:val="13"/>
                <w:szCs w:val="13"/>
                <w:color w:val="auto"/>
              </w:rPr>
              <w:t>40,000</w:t>
            </w:r>
          </w:p>
        </w:tc>
        <w:tc>
          <w:tcPr>
            <w:tcW w:w="1300" w:type="dxa"/>
            <w:vAlign w:val="bottom"/>
            <w:gridSpan w:val="2"/>
          </w:tcPr>
          <w:p>
            <w:pPr>
              <w:jc w:val="right"/>
              <w:ind w:right="63"/>
              <w:spacing w:after="0"/>
              <w:rPr>
                <w:sz w:val="20"/>
                <w:szCs w:val="20"/>
                <w:color w:val="auto"/>
              </w:rPr>
            </w:pPr>
            <w:r>
              <w:rPr>
                <w:rFonts w:ascii="Arial" w:cs="Arial" w:eastAsia="Arial" w:hAnsi="Arial"/>
                <w:sz w:val="13"/>
                <w:szCs w:val="13"/>
                <w:color w:val="auto"/>
              </w:rPr>
              <w:t>190,000</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4"/>
        </w:trPr>
        <w:tc>
          <w:tcPr>
            <w:tcW w:w="220" w:type="dxa"/>
            <w:vAlign w:val="bottom"/>
          </w:tcPr>
          <w:p>
            <w:pPr>
              <w:spacing w:after="0"/>
              <w:rPr>
                <w:sz w:val="15"/>
                <w:szCs w:val="15"/>
                <w:color w:val="auto"/>
              </w:rPr>
            </w:pPr>
          </w:p>
        </w:tc>
        <w:tc>
          <w:tcPr>
            <w:tcW w:w="4460" w:type="dxa"/>
            <w:vAlign w:val="bottom"/>
            <w:tcBorders>
              <w:top w:val="single" w:sz="8" w:color="CCEEFF"/>
              <w:bottom w:val="single" w:sz="8" w:color="CCEEFF"/>
            </w:tcBorders>
            <w:shd w:val="clear" w:color="auto" w:fill="CCEEFF"/>
          </w:tcPr>
          <w:p>
            <w:pPr>
              <w:spacing w:after="0" w:line="147" w:lineRule="exact"/>
              <w:rPr>
                <w:sz w:val="20"/>
                <w:szCs w:val="20"/>
                <w:color w:val="auto"/>
              </w:rPr>
            </w:pPr>
            <w:r>
              <w:rPr>
                <w:rFonts w:ascii="Arial" w:cs="Arial" w:eastAsia="Arial" w:hAnsi="Arial"/>
                <w:sz w:val="13"/>
                <w:szCs w:val="13"/>
                <w:b w:val="1"/>
                <w:bCs w:val="1"/>
                <w:color w:val="auto"/>
              </w:rPr>
              <w:t>Total liabilities</w:t>
            </w:r>
          </w:p>
        </w:tc>
        <w:tc>
          <w:tcPr>
            <w:tcW w:w="3820" w:type="dxa"/>
            <w:vAlign w:val="bottom"/>
            <w:tcBorders>
              <w:top w:val="single" w:sz="8" w:color="CCEEFF"/>
              <w:bottom w:val="single" w:sz="8" w:color="CCEEFF"/>
            </w:tcBorders>
            <w:shd w:val="clear" w:color="auto" w:fill="CCEEFF"/>
          </w:tcPr>
          <w:p>
            <w:pPr>
              <w:spacing w:after="0"/>
              <w:rPr>
                <w:sz w:val="15"/>
                <w:szCs w:val="15"/>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240,000</w:t>
            </w:r>
          </w:p>
        </w:tc>
        <w:tc>
          <w:tcPr>
            <w:tcW w:w="220" w:type="dxa"/>
            <w:vAlign w:val="bottom"/>
            <w:tcBorders>
              <w:top w:val="single" w:sz="8" w:color="CCEEFF"/>
              <w:bottom w:val="single" w:sz="8" w:color="CCEEFF"/>
            </w:tcBorders>
            <w:shd w:val="clear" w:color="auto" w:fill="CCEEFF"/>
          </w:tcPr>
          <w:p>
            <w:pPr>
              <w:spacing w:after="0"/>
              <w:rPr>
                <w:sz w:val="15"/>
                <w:szCs w:val="15"/>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240,000</w:t>
            </w:r>
          </w:p>
        </w:tc>
        <w:tc>
          <w:tcPr>
            <w:tcW w:w="100" w:type="dxa"/>
            <w:vAlign w:val="bottom"/>
            <w:tcBorders>
              <w:top w:val="single" w:sz="8" w:color="CCEEFF"/>
              <w:bottom w:val="single" w:sz="8" w:color="CCEEFF"/>
            </w:tcBorders>
            <w:shd w:val="clear" w:color="auto" w:fill="CCEEFF"/>
          </w:tcPr>
          <w:p>
            <w:pPr>
              <w:spacing w:after="0"/>
              <w:rPr>
                <w:sz w:val="15"/>
                <w:szCs w:val="15"/>
                <w:color w:val="auto"/>
              </w:rPr>
            </w:pPr>
          </w:p>
        </w:tc>
        <w:tc>
          <w:tcPr>
            <w:tcW w:w="2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96"/>
        </w:trPr>
        <w:tc>
          <w:tcPr>
            <w:tcW w:w="4680" w:type="dxa"/>
            <w:vAlign w:val="bottom"/>
            <w:gridSpan w:val="2"/>
          </w:tcPr>
          <w:p>
            <w:pPr>
              <w:ind w:left="220"/>
              <w:spacing w:after="0"/>
              <w:rPr>
                <w:sz w:val="20"/>
                <w:szCs w:val="20"/>
                <w:color w:val="auto"/>
              </w:rPr>
            </w:pPr>
            <w:r>
              <w:rPr>
                <w:rFonts w:ascii="Arial" w:cs="Arial" w:eastAsia="Arial" w:hAnsi="Arial"/>
                <w:sz w:val="13"/>
                <w:szCs w:val="13"/>
                <w:color w:val="auto"/>
              </w:rPr>
              <w:t>The detail of income and expenses with related parties is as follows:</w:t>
            </w:r>
          </w:p>
        </w:tc>
        <w:tc>
          <w:tcPr>
            <w:tcW w:w="382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96"/>
        </w:trPr>
        <w:tc>
          <w:tcPr>
            <w:tcW w:w="220" w:type="dxa"/>
            <w:vAlign w:val="bottom"/>
          </w:tcPr>
          <w:p>
            <w:pPr>
              <w:spacing w:after="0"/>
              <w:rPr>
                <w:sz w:val="24"/>
                <w:szCs w:val="24"/>
                <w:color w:val="auto"/>
              </w:rPr>
            </w:pPr>
          </w:p>
        </w:tc>
        <w:tc>
          <w:tcPr>
            <w:tcW w:w="4460" w:type="dxa"/>
            <w:vAlign w:val="bottom"/>
          </w:tcPr>
          <w:p>
            <w:pPr>
              <w:spacing w:after="0"/>
              <w:rPr>
                <w:sz w:val="24"/>
                <w:szCs w:val="24"/>
                <w:color w:val="auto"/>
              </w:rPr>
            </w:pPr>
          </w:p>
        </w:tc>
        <w:tc>
          <w:tcPr>
            <w:tcW w:w="3820" w:type="dxa"/>
            <w:vAlign w:val="bottom"/>
          </w:tcPr>
          <w:p>
            <w:pPr>
              <w:spacing w:after="0"/>
              <w:rPr>
                <w:sz w:val="24"/>
                <w:szCs w:val="24"/>
                <w:color w:val="auto"/>
              </w:rPr>
            </w:pPr>
          </w:p>
        </w:tc>
        <w:tc>
          <w:tcPr>
            <w:tcW w:w="1440" w:type="dxa"/>
            <w:vAlign w:val="bottom"/>
            <w:gridSpan w:val="2"/>
          </w:tcPr>
          <w:p>
            <w:pPr>
              <w:jc w:val="center"/>
              <w:ind w:right="183"/>
              <w:spacing w:after="0"/>
              <w:rPr>
                <w:sz w:val="20"/>
                <w:szCs w:val="20"/>
                <w:color w:val="auto"/>
              </w:rPr>
            </w:pPr>
            <w:r>
              <w:rPr>
                <w:rFonts w:ascii="Arial" w:cs="Arial" w:eastAsia="Arial" w:hAnsi="Arial"/>
                <w:sz w:val="13"/>
                <w:szCs w:val="13"/>
                <w:b w:val="1"/>
                <w:bCs w:val="1"/>
                <w:color w:val="auto"/>
                <w:w w:val="87"/>
              </w:rPr>
              <w:t>December 31,</w:t>
            </w:r>
          </w:p>
        </w:tc>
        <w:tc>
          <w:tcPr>
            <w:tcW w:w="1300" w:type="dxa"/>
            <w:vAlign w:val="bottom"/>
            <w:gridSpan w:val="2"/>
          </w:tcPr>
          <w:p>
            <w:pPr>
              <w:jc w:val="center"/>
              <w:ind w:right="83"/>
              <w:spacing w:after="0"/>
              <w:rPr>
                <w:sz w:val="20"/>
                <w:szCs w:val="20"/>
                <w:color w:val="auto"/>
              </w:rPr>
            </w:pPr>
            <w:r>
              <w:rPr>
                <w:rFonts w:ascii="Arial" w:cs="Arial" w:eastAsia="Arial" w:hAnsi="Arial"/>
                <w:sz w:val="13"/>
                <w:szCs w:val="13"/>
                <w:b w:val="1"/>
                <w:bCs w:val="1"/>
                <w:color w:val="auto"/>
                <w:w w:val="87"/>
              </w:rPr>
              <w:t>December 31,</w:t>
            </w: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66"/>
        </w:trPr>
        <w:tc>
          <w:tcPr>
            <w:tcW w:w="220" w:type="dxa"/>
            <w:vAlign w:val="bottom"/>
          </w:tcPr>
          <w:p>
            <w:pPr>
              <w:spacing w:after="0"/>
              <w:rPr>
                <w:sz w:val="14"/>
                <w:szCs w:val="14"/>
                <w:color w:val="auto"/>
              </w:rPr>
            </w:pPr>
          </w:p>
        </w:tc>
        <w:tc>
          <w:tcPr>
            <w:tcW w:w="4460" w:type="dxa"/>
            <w:vAlign w:val="bottom"/>
          </w:tcPr>
          <w:p>
            <w:pPr>
              <w:spacing w:after="0"/>
              <w:rPr>
                <w:sz w:val="14"/>
                <w:szCs w:val="14"/>
                <w:color w:val="auto"/>
              </w:rPr>
            </w:pPr>
          </w:p>
        </w:tc>
        <w:tc>
          <w:tcPr>
            <w:tcW w:w="5040" w:type="dxa"/>
            <w:vAlign w:val="bottom"/>
            <w:gridSpan w:val="2"/>
          </w:tcPr>
          <w:p>
            <w:pPr>
              <w:jc w:val="center"/>
              <w:ind w:left="3756"/>
              <w:spacing w:after="0"/>
              <w:rPr>
                <w:sz w:val="20"/>
                <w:szCs w:val="20"/>
                <w:color w:val="auto"/>
              </w:rPr>
            </w:pPr>
            <w:r>
              <w:rPr>
                <w:rFonts w:ascii="Arial" w:cs="Arial" w:eastAsia="Arial" w:hAnsi="Arial"/>
                <w:sz w:val="13"/>
                <w:szCs w:val="13"/>
                <w:b w:val="1"/>
                <w:bCs w:val="1"/>
                <w:color w:val="auto"/>
                <w:w w:val="89"/>
              </w:rPr>
              <w:t>2018</w:t>
            </w:r>
          </w:p>
        </w:tc>
        <w:tc>
          <w:tcPr>
            <w:tcW w:w="220" w:type="dxa"/>
            <w:vAlign w:val="bottom"/>
          </w:tcPr>
          <w:p>
            <w:pPr>
              <w:spacing w:after="0"/>
              <w:rPr>
                <w:sz w:val="14"/>
                <w:szCs w:val="14"/>
                <w:color w:val="auto"/>
              </w:rPr>
            </w:pPr>
          </w:p>
        </w:tc>
        <w:tc>
          <w:tcPr>
            <w:tcW w:w="1200" w:type="dxa"/>
            <w:vAlign w:val="bottom"/>
          </w:tcPr>
          <w:p>
            <w:pPr>
              <w:jc w:val="center"/>
              <w:spacing w:after="0"/>
              <w:rPr>
                <w:sz w:val="20"/>
                <w:szCs w:val="20"/>
                <w:color w:val="auto"/>
              </w:rPr>
            </w:pPr>
            <w:r>
              <w:rPr>
                <w:rFonts w:ascii="Arial" w:cs="Arial" w:eastAsia="Arial" w:hAnsi="Arial"/>
                <w:sz w:val="13"/>
                <w:szCs w:val="13"/>
                <w:b w:val="1"/>
                <w:bCs w:val="1"/>
                <w:color w:val="auto"/>
                <w:w w:val="89"/>
              </w:rPr>
              <w:t>2017</w:t>
            </w:r>
          </w:p>
        </w:tc>
        <w:tc>
          <w:tcPr>
            <w:tcW w:w="1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46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Interest income</w:t>
            </w:r>
          </w:p>
        </w:tc>
        <w:tc>
          <w:tcPr>
            <w:tcW w:w="382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4460" w:type="dxa"/>
            <w:vAlign w:val="bottom"/>
          </w:tcPr>
          <w:p>
            <w:pPr>
              <w:ind w:left="120"/>
              <w:spacing w:after="0"/>
              <w:rPr>
                <w:sz w:val="20"/>
                <w:szCs w:val="20"/>
                <w:color w:val="auto"/>
              </w:rPr>
            </w:pPr>
            <w:r>
              <w:rPr>
                <w:rFonts w:ascii="Arial" w:cs="Arial" w:eastAsia="Arial" w:hAnsi="Arial"/>
                <w:sz w:val="13"/>
                <w:szCs w:val="13"/>
                <w:color w:val="auto"/>
              </w:rPr>
              <w:t>Loans</w:t>
            </w:r>
          </w:p>
        </w:tc>
        <w:tc>
          <w:tcPr>
            <w:tcW w:w="5260" w:type="dxa"/>
            <w:vAlign w:val="bottom"/>
            <w:gridSpan w:val="3"/>
          </w:tcPr>
          <w:p>
            <w:pPr>
              <w:jc w:val="right"/>
              <w:ind w:right="183"/>
              <w:spacing w:after="0"/>
              <w:rPr>
                <w:sz w:val="20"/>
                <w:szCs w:val="20"/>
                <w:color w:val="auto"/>
              </w:rPr>
            </w:pPr>
            <w:r>
              <w:rPr>
                <w:rFonts w:ascii="Arial" w:cs="Arial" w:eastAsia="Arial" w:hAnsi="Arial"/>
                <w:sz w:val="13"/>
                <w:szCs w:val="13"/>
                <w:color w:val="auto"/>
              </w:rPr>
              <w:t>2,751</w:t>
            </w:r>
          </w:p>
        </w:tc>
        <w:tc>
          <w:tcPr>
            <w:tcW w:w="1300" w:type="dxa"/>
            <w:vAlign w:val="bottom"/>
            <w:gridSpan w:val="2"/>
          </w:tcPr>
          <w:p>
            <w:pPr>
              <w:jc w:val="right"/>
              <w:ind w:right="63"/>
              <w:spacing w:after="0"/>
              <w:rPr>
                <w:sz w:val="20"/>
                <w:szCs w:val="20"/>
                <w:color w:val="auto"/>
              </w:rPr>
            </w:pPr>
            <w:r>
              <w:rPr>
                <w:rFonts w:ascii="Arial" w:cs="Arial" w:eastAsia="Arial" w:hAnsi="Arial"/>
                <w:sz w:val="13"/>
                <w:szCs w:val="13"/>
                <w:color w:val="auto"/>
              </w:rPr>
              <w:t>985</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460" w:type="dxa"/>
            <w:vAlign w:val="bottom"/>
            <w:tcBorders>
              <w:top w:val="single" w:sz="8" w:color="CCEEFF"/>
            </w:tcBorders>
            <w:shd w:val="clear" w:color="auto" w:fill="CCEEFF"/>
          </w:tcPr>
          <w:p>
            <w:pPr>
              <w:ind w:left="120"/>
              <w:spacing w:after="0" w:line="143" w:lineRule="exact"/>
              <w:rPr>
                <w:sz w:val="20"/>
                <w:szCs w:val="20"/>
                <w:color w:val="auto"/>
              </w:rPr>
            </w:pPr>
            <w:r>
              <w:rPr>
                <w:rFonts w:ascii="Arial" w:cs="Arial" w:eastAsia="Arial" w:hAnsi="Arial"/>
                <w:sz w:val="13"/>
                <w:szCs w:val="13"/>
                <w:color w:val="auto"/>
              </w:rPr>
              <w:t>Securities at amortized cost</w:t>
            </w:r>
          </w:p>
        </w:tc>
        <w:tc>
          <w:tcPr>
            <w:tcW w:w="382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100" w:type="dxa"/>
            <w:vAlign w:val="bottom"/>
            <w:tcBorders>
              <w:top w:val="single" w:sz="8" w:color="CCEEFF"/>
            </w:tcBorders>
            <w:shd w:val="clear" w:color="auto" w:fill="CCEEFF"/>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4680" w:type="dxa"/>
            <w:vAlign w:val="bottom"/>
            <w:gridSpan w:val="2"/>
          </w:tcPr>
          <w:p>
            <w:pPr>
              <w:ind w:left="220"/>
              <w:spacing w:after="0" w:line="143" w:lineRule="exact"/>
              <w:rPr>
                <w:sz w:val="20"/>
                <w:szCs w:val="20"/>
                <w:color w:val="auto"/>
              </w:rPr>
            </w:pPr>
            <w:r>
              <w:rPr>
                <w:rFonts w:ascii="Arial" w:cs="Arial" w:eastAsia="Arial" w:hAnsi="Arial"/>
                <w:sz w:val="13"/>
                <w:szCs w:val="13"/>
                <w:color w:val="auto"/>
              </w:rPr>
              <w:t>Total interest income</w:t>
            </w:r>
          </w:p>
        </w:tc>
        <w:tc>
          <w:tcPr>
            <w:tcW w:w="3820" w:type="dxa"/>
            <w:vAlign w:val="bottom"/>
          </w:tcPr>
          <w:p>
            <w:pPr>
              <w:spacing w:after="0"/>
              <w:rPr>
                <w:sz w:val="12"/>
                <w:szCs w:val="12"/>
                <w:color w:val="auto"/>
              </w:rPr>
            </w:pPr>
          </w:p>
        </w:tc>
        <w:tc>
          <w:tcPr>
            <w:tcW w:w="1220" w:type="dxa"/>
            <w:vAlign w:val="bottom"/>
          </w:tcPr>
          <w:p>
            <w:pPr>
              <w:jc w:val="right"/>
              <w:spacing w:after="0" w:line="144" w:lineRule="exact"/>
              <w:rPr>
                <w:sz w:val="20"/>
                <w:szCs w:val="20"/>
                <w:color w:val="auto"/>
              </w:rPr>
            </w:pPr>
            <w:r>
              <w:rPr>
                <w:rFonts w:ascii="Arial" w:cs="Arial" w:eastAsia="Arial" w:hAnsi="Arial"/>
                <w:sz w:val="13"/>
                <w:szCs w:val="13"/>
                <w:color w:val="auto"/>
              </w:rPr>
              <w:t>2,751</w:t>
            </w:r>
          </w:p>
        </w:tc>
        <w:tc>
          <w:tcPr>
            <w:tcW w:w="220" w:type="dxa"/>
            <w:vAlign w:val="bottom"/>
          </w:tcPr>
          <w:p>
            <w:pPr>
              <w:spacing w:after="0"/>
              <w:rPr>
                <w:sz w:val="12"/>
                <w:szCs w:val="12"/>
                <w:color w:val="auto"/>
              </w:rPr>
            </w:pPr>
          </w:p>
        </w:tc>
        <w:tc>
          <w:tcPr>
            <w:tcW w:w="1200" w:type="dxa"/>
            <w:vAlign w:val="bottom"/>
          </w:tcPr>
          <w:p>
            <w:pPr>
              <w:jc w:val="right"/>
              <w:spacing w:after="0" w:line="144" w:lineRule="exact"/>
              <w:rPr>
                <w:sz w:val="20"/>
                <w:szCs w:val="20"/>
                <w:color w:val="auto"/>
              </w:rPr>
            </w:pPr>
            <w:r>
              <w:rPr>
                <w:rFonts w:ascii="Arial" w:cs="Arial" w:eastAsia="Arial" w:hAnsi="Arial"/>
                <w:sz w:val="13"/>
                <w:szCs w:val="13"/>
                <w:color w:val="auto"/>
              </w:rPr>
              <w:t>985</w:t>
            </w:r>
          </w:p>
        </w:tc>
        <w:tc>
          <w:tcPr>
            <w:tcW w:w="1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6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Interest expense</w:t>
            </w:r>
          </w:p>
        </w:tc>
        <w:tc>
          <w:tcPr>
            <w:tcW w:w="3820" w:type="dxa"/>
            <w:vAlign w:val="bottom"/>
            <w:shd w:val="clear" w:color="auto" w:fill="CCEEFF"/>
          </w:tcPr>
          <w:p>
            <w:pPr>
              <w:spacing w:after="0"/>
              <w:rPr>
                <w:sz w:val="13"/>
                <w:szCs w:val="13"/>
                <w:color w:val="auto"/>
              </w:rPr>
            </w:pPr>
          </w:p>
        </w:tc>
        <w:tc>
          <w:tcPr>
            <w:tcW w:w="12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460" w:type="dxa"/>
            <w:vAlign w:val="bottom"/>
          </w:tcPr>
          <w:p>
            <w:pPr>
              <w:ind w:left="120"/>
              <w:spacing w:after="0"/>
              <w:rPr>
                <w:sz w:val="20"/>
                <w:szCs w:val="20"/>
                <w:color w:val="auto"/>
              </w:rPr>
            </w:pPr>
            <w:r>
              <w:rPr>
                <w:rFonts w:ascii="Arial" w:cs="Arial" w:eastAsia="Arial" w:hAnsi="Arial"/>
                <w:sz w:val="13"/>
                <w:szCs w:val="13"/>
                <w:color w:val="auto"/>
              </w:rPr>
              <w:t>Deposits</w:t>
            </w:r>
          </w:p>
        </w:tc>
        <w:tc>
          <w:tcPr>
            <w:tcW w:w="5260" w:type="dxa"/>
            <w:vAlign w:val="bottom"/>
            <w:gridSpan w:val="3"/>
          </w:tcPr>
          <w:p>
            <w:pPr>
              <w:jc w:val="right"/>
              <w:ind w:right="143"/>
              <w:spacing w:after="0"/>
              <w:rPr>
                <w:sz w:val="20"/>
                <w:szCs w:val="20"/>
                <w:color w:val="auto"/>
              </w:rPr>
            </w:pPr>
            <w:r>
              <w:rPr>
                <w:rFonts w:ascii="Arial" w:cs="Arial" w:eastAsia="Arial" w:hAnsi="Arial"/>
                <w:sz w:val="13"/>
                <w:szCs w:val="13"/>
                <w:color w:val="auto"/>
              </w:rPr>
              <w:t>(984)</w:t>
            </w:r>
          </w:p>
        </w:tc>
        <w:tc>
          <w:tcPr>
            <w:tcW w:w="1300" w:type="dxa"/>
            <w:vAlign w:val="bottom"/>
            <w:gridSpan w:val="2"/>
          </w:tcPr>
          <w:p>
            <w:pPr>
              <w:jc w:val="right"/>
              <w:ind w:right="23"/>
              <w:spacing w:after="0"/>
              <w:rPr>
                <w:sz w:val="20"/>
                <w:szCs w:val="20"/>
                <w:color w:val="auto"/>
              </w:rPr>
            </w:pPr>
            <w:r>
              <w:rPr>
                <w:rFonts w:ascii="Arial" w:cs="Arial" w:eastAsia="Arial" w:hAnsi="Arial"/>
                <w:sz w:val="13"/>
                <w:szCs w:val="13"/>
                <w:color w:val="auto"/>
              </w:rPr>
              <w:t>(530)</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460" w:type="dxa"/>
            <w:vAlign w:val="bottom"/>
            <w:tcBorders>
              <w:top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Total interest expense</w:t>
            </w:r>
          </w:p>
        </w:tc>
        <w:tc>
          <w:tcPr>
            <w:tcW w:w="382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(984)</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(530)</w:t>
            </w:r>
          </w:p>
        </w:tc>
        <w:tc>
          <w:tcPr>
            <w:tcW w:w="100" w:type="dxa"/>
            <w:vAlign w:val="bottom"/>
            <w:tcBorders>
              <w:top w:val="single" w:sz="8" w:color="CCEEFF"/>
            </w:tcBorders>
            <w:shd w:val="clear" w:color="auto" w:fill="CCEEFF"/>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20" w:type="dxa"/>
            <w:vAlign w:val="bottom"/>
            <w:vMerge w:val="restart"/>
          </w:tcPr>
          <w:p>
            <w:pPr>
              <w:spacing w:after="0"/>
              <w:rPr>
                <w:sz w:val="12"/>
                <w:szCs w:val="12"/>
                <w:color w:val="auto"/>
              </w:rPr>
            </w:pPr>
          </w:p>
        </w:tc>
        <w:tc>
          <w:tcPr>
            <w:tcW w:w="4460" w:type="dxa"/>
            <w:vAlign w:val="bottom"/>
          </w:tcPr>
          <w:p>
            <w:pPr>
              <w:spacing w:after="0"/>
              <w:rPr>
                <w:sz w:val="12"/>
                <w:szCs w:val="12"/>
                <w:color w:val="auto"/>
              </w:rPr>
            </w:pPr>
          </w:p>
        </w:tc>
        <w:tc>
          <w:tcPr>
            <w:tcW w:w="3820" w:type="dxa"/>
            <w:vAlign w:val="bottom"/>
          </w:tcPr>
          <w:p>
            <w:pPr>
              <w:spacing w:after="0"/>
              <w:rPr>
                <w:sz w:val="12"/>
                <w:szCs w:val="12"/>
                <w:color w:val="auto"/>
              </w:rPr>
            </w:pPr>
          </w:p>
        </w:tc>
        <w:tc>
          <w:tcPr>
            <w:tcW w:w="1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4"/>
        </w:trPr>
        <w:tc>
          <w:tcPr>
            <w:tcW w:w="220" w:type="dxa"/>
            <w:vAlign w:val="bottom"/>
            <w:vMerge w:val="continue"/>
          </w:tcPr>
          <w:p>
            <w:pPr>
              <w:spacing w:after="0"/>
              <w:rPr>
                <w:sz w:val="14"/>
                <w:szCs w:val="14"/>
                <w:color w:val="auto"/>
              </w:rPr>
            </w:pPr>
          </w:p>
        </w:tc>
        <w:tc>
          <w:tcPr>
            <w:tcW w:w="446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Net interest income</w:t>
            </w:r>
          </w:p>
        </w:tc>
        <w:tc>
          <w:tcPr>
            <w:tcW w:w="5260" w:type="dxa"/>
            <w:vAlign w:val="bottom"/>
            <w:gridSpan w:val="3"/>
            <w:shd w:val="clear" w:color="auto" w:fill="CCEEFF"/>
          </w:tcPr>
          <w:p>
            <w:pPr>
              <w:jc w:val="right"/>
              <w:ind w:right="183"/>
              <w:spacing w:after="0"/>
              <w:rPr>
                <w:sz w:val="20"/>
                <w:szCs w:val="20"/>
                <w:color w:val="auto"/>
              </w:rPr>
            </w:pPr>
            <w:r>
              <w:rPr>
                <w:rFonts w:ascii="Arial" w:cs="Arial" w:eastAsia="Arial" w:hAnsi="Arial"/>
                <w:sz w:val="13"/>
                <w:szCs w:val="13"/>
                <w:b w:val="1"/>
                <w:bCs w:val="1"/>
                <w:color w:val="auto"/>
              </w:rPr>
              <w:t>1,767</w:t>
            </w:r>
          </w:p>
        </w:tc>
        <w:tc>
          <w:tcPr>
            <w:tcW w:w="1300" w:type="dxa"/>
            <w:vAlign w:val="bottom"/>
            <w:gridSpan w:val="2"/>
            <w:shd w:val="clear" w:color="auto" w:fill="CCEEFF"/>
          </w:tcPr>
          <w:p>
            <w:pPr>
              <w:jc w:val="right"/>
              <w:ind w:right="63"/>
              <w:spacing w:after="0"/>
              <w:rPr>
                <w:sz w:val="20"/>
                <w:szCs w:val="20"/>
                <w:color w:val="auto"/>
              </w:rPr>
            </w:pPr>
            <w:r>
              <w:rPr>
                <w:rFonts w:ascii="Arial" w:cs="Arial" w:eastAsia="Arial" w:hAnsi="Arial"/>
                <w:sz w:val="13"/>
                <w:szCs w:val="13"/>
                <w:b w:val="1"/>
                <w:bCs w:val="1"/>
                <w:color w:val="auto"/>
              </w:rPr>
              <w:t>455</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vMerge w:val="restart"/>
          </w:tcPr>
          <w:p>
            <w:pPr>
              <w:spacing w:after="0"/>
              <w:rPr>
                <w:sz w:val="12"/>
                <w:szCs w:val="12"/>
                <w:color w:val="auto"/>
              </w:rPr>
            </w:pPr>
          </w:p>
        </w:tc>
        <w:tc>
          <w:tcPr>
            <w:tcW w:w="4460" w:type="dxa"/>
            <w:vAlign w:val="bottom"/>
          </w:tcPr>
          <w:p>
            <w:pPr>
              <w:spacing w:after="0"/>
              <w:rPr>
                <w:sz w:val="12"/>
                <w:szCs w:val="12"/>
                <w:color w:val="auto"/>
              </w:rPr>
            </w:pPr>
          </w:p>
        </w:tc>
        <w:tc>
          <w:tcPr>
            <w:tcW w:w="3820" w:type="dxa"/>
            <w:vAlign w:val="bottom"/>
          </w:tcPr>
          <w:p>
            <w:pPr>
              <w:spacing w:after="0"/>
              <w:rPr>
                <w:sz w:val="12"/>
                <w:szCs w:val="12"/>
                <w:color w:val="auto"/>
              </w:rPr>
            </w:pPr>
          </w:p>
        </w:tc>
        <w:tc>
          <w:tcPr>
            <w:tcW w:w="12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0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446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Other income (expense)</w:t>
            </w:r>
          </w:p>
        </w:tc>
        <w:tc>
          <w:tcPr>
            <w:tcW w:w="3820" w:type="dxa"/>
            <w:vAlign w:val="bottom"/>
            <w:shd w:val="clear" w:color="auto" w:fill="CCEEFF"/>
          </w:tcPr>
          <w:p>
            <w:pPr>
              <w:spacing w:after="0"/>
              <w:rPr>
                <w:sz w:val="13"/>
                <w:szCs w:val="13"/>
                <w:color w:val="auto"/>
              </w:rPr>
            </w:pPr>
          </w:p>
        </w:tc>
        <w:tc>
          <w:tcPr>
            <w:tcW w:w="12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60" w:type="dxa"/>
            <w:vAlign w:val="bottom"/>
          </w:tcPr>
          <w:p>
            <w:pPr>
              <w:ind w:left="120"/>
              <w:spacing w:after="0"/>
              <w:rPr>
                <w:sz w:val="20"/>
                <w:szCs w:val="20"/>
                <w:color w:val="auto"/>
              </w:rPr>
            </w:pPr>
            <w:r>
              <w:rPr>
                <w:rFonts w:ascii="Arial" w:cs="Arial" w:eastAsia="Arial" w:hAnsi="Arial"/>
                <w:sz w:val="13"/>
                <w:szCs w:val="13"/>
                <w:color w:val="auto"/>
              </w:rPr>
              <w:t>Fees and commissions, net</w:t>
            </w:r>
          </w:p>
        </w:tc>
        <w:tc>
          <w:tcPr>
            <w:tcW w:w="5260" w:type="dxa"/>
            <w:vAlign w:val="bottom"/>
            <w:gridSpan w:val="3"/>
          </w:tcPr>
          <w:p>
            <w:pPr>
              <w:jc w:val="right"/>
              <w:ind w:right="183"/>
              <w:spacing w:after="0"/>
              <w:rPr>
                <w:sz w:val="20"/>
                <w:szCs w:val="20"/>
                <w:color w:val="auto"/>
              </w:rPr>
            </w:pPr>
            <w:r>
              <w:rPr>
                <w:rFonts w:ascii="Arial" w:cs="Arial" w:eastAsia="Arial" w:hAnsi="Arial"/>
                <w:sz w:val="13"/>
                <w:szCs w:val="13"/>
                <w:color w:val="auto"/>
              </w:rPr>
              <w:t>1</w:t>
            </w:r>
          </w:p>
        </w:tc>
        <w:tc>
          <w:tcPr>
            <w:tcW w:w="1300" w:type="dxa"/>
            <w:vAlign w:val="bottom"/>
            <w:gridSpan w:val="2"/>
          </w:tcPr>
          <w:p>
            <w:pPr>
              <w:jc w:val="right"/>
              <w:ind w:right="63"/>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60" w:type="dxa"/>
            <w:vAlign w:val="bottom"/>
            <w:shd w:val="clear" w:color="auto" w:fill="CCEEFF"/>
          </w:tcPr>
          <w:p>
            <w:pPr>
              <w:ind w:left="120"/>
              <w:spacing w:after="0"/>
              <w:rPr>
                <w:sz w:val="20"/>
                <w:szCs w:val="20"/>
                <w:color w:val="auto"/>
              </w:rPr>
            </w:pPr>
            <w:r>
              <w:rPr>
                <w:rFonts w:ascii="Arial" w:cs="Arial" w:eastAsia="Arial" w:hAnsi="Arial"/>
                <w:sz w:val="13"/>
                <w:szCs w:val="13"/>
                <w:color w:val="auto"/>
              </w:rPr>
              <w:t>Gain on financial instruments, net</w:t>
            </w:r>
          </w:p>
        </w:tc>
        <w:tc>
          <w:tcPr>
            <w:tcW w:w="5260" w:type="dxa"/>
            <w:vAlign w:val="bottom"/>
            <w:gridSpan w:val="3"/>
            <w:shd w:val="clear" w:color="auto" w:fill="CCEEFF"/>
          </w:tcPr>
          <w:p>
            <w:pPr>
              <w:jc w:val="right"/>
              <w:ind w:right="183"/>
              <w:spacing w:after="0"/>
              <w:rPr>
                <w:sz w:val="20"/>
                <w:szCs w:val="20"/>
                <w:color w:val="auto"/>
              </w:rPr>
            </w:pPr>
            <w:r>
              <w:rPr>
                <w:rFonts w:ascii="Arial" w:cs="Arial" w:eastAsia="Arial" w:hAnsi="Arial"/>
                <w:sz w:val="13"/>
                <w:szCs w:val="13"/>
                <w:color w:val="auto"/>
              </w:rPr>
              <w:t>41</w:t>
            </w:r>
          </w:p>
        </w:tc>
        <w:tc>
          <w:tcPr>
            <w:tcW w:w="1300" w:type="dxa"/>
            <w:vAlign w:val="bottom"/>
            <w:gridSpan w:val="2"/>
            <w:shd w:val="clear" w:color="auto" w:fill="CCEEFF"/>
          </w:tcPr>
          <w:p>
            <w:pPr>
              <w:jc w:val="right"/>
              <w:ind w:right="63"/>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4460" w:type="dxa"/>
            <w:vAlign w:val="bottom"/>
          </w:tcPr>
          <w:p>
            <w:pPr>
              <w:ind w:left="120"/>
              <w:spacing w:after="0"/>
              <w:rPr>
                <w:sz w:val="20"/>
                <w:szCs w:val="20"/>
                <w:color w:val="auto"/>
              </w:rPr>
            </w:pPr>
            <w:r>
              <w:rPr>
                <w:rFonts w:ascii="Arial" w:cs="Arial" w:eastAsia="Arial" w:hAnsi="Arial"/>
                <w:sz w:val="13"/>
                <w:szCs w:val="13"/>
                <w:color w:val="auto"/>
              </w:rPr>
              <w:t>Other income, net</w:t>
            </w:r>
          </w:p>
        </w:tc>
        <w:tc>
          <w:tcPr>
            <w:tcW w:w="5260" w:type="dxa"/>
            <w:vAlign w:val="bottom"/>
            <w:gridSpan w:val="3"/>
          </w:tcPr>
          <w:p>
            <w:pPr>
              <w:jc w:val="right"/>
              <w:ind w:right="183"/>
              <w:spacing w:after="0"/>
              <w:rPr>
                <w:sz w:val="20"/>
                <w:szCs w:val="20"/>
                <w:color w:val="auto"/>
              </w:rPr>
            </w:pPr>
            <w:r>
              <w:rPr>
                <w:rFonts w:ascii="Arial" w:cs="Arial" w:eastAsia="Arial" w:hAnsi="Arial"/>
                <w:sz w:val="13"/>
                <w:szCs w:val="13"/>
                <w:color w:val="auto"/>
              </w:rPr>
              <w:t>1</w:t>
            </w:r>
          </w:p>
        </w:tc>
        <w:tc>
          <w:tcPr>
            <w:tcW w:w="1300" w:type="dxa"/>
            <w:vAlign w:val="bottom"/>
            <w:gridSpan w:val="2"/>
          </w:tcPr>
          <w:p>
            <w:pPr>
              <w:jc w:val="right"/>
              <w:ind w:right="63"/>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460" w:type="dxa"/>
            <w:vAlign w:val="bottom"/>
            <w:tcBorders>
              <w:top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Total other income, net</w:t>
            </w:r>
          </w:p>
        </w:tc>
        <w:tc>
          <w:tcPr>
            <w:tcW w:w="382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43</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100" w:type="dxa"/>
            <w:vAlign w:val="bottom"/>
            <w:tcBorders>
              <w:top w:val="single" w:sz="8" w:color="CCEEFF"/>
            </w:tcBorders>
            <w:shd w:val="clear" w:color="auto" w:fill="CCEEFF"/>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20" w:type="dxa"/>
            <w:vAlign w:val="bottom"/>
            <w:vMerge w:val="restart"/>
          </w:tcPr>
          <w:p>
            <w:pPr>
              <w:spacing w:after="0"/>
              <w:rPr>
                <w:sz w:val="12"/>
                <w:szCs w:val="12"/>
                <w:color w:val="auto"/>
              </w:rPr>
            </w:pPr>
          </w:p>
        </w:tc>
        <w:tc>
          <w:tcPr>
            <w:tcW w:w="4460" w:type="dxa"/>
            <w:vAlign w:val="bottom"/>
          </w:tcPr>
          <w:p>
            <w:pPr>
              <w:spacing w:after="0"/>
              <w:rPr>
                <w:sz w:val="12"/>
                <w:szCs w:val="12"/>
                <w:color w:val="auto"/>
              </w:rPr>
            </w:pPr>
          </w:p>
        </w:tc>
        <w:tc>
          <w:tcPr>
            <w:tcW w:w="3820" w:type="dxa"/>
            <w:vAlign w:val="bottom"/>
          </w:tcPr>
          <w:p>
            <w:pPr>
              <w:spacing w:after="0"/>
              <w:rPr>
                <w:sz w:val="12"/>
                <w:szCs w:val="12"/>
                <w:color w:val="auto"/>
              </w:rPr>
            </w:pPr>
          </w:p>
        </w:tc>
        <w:tc>
          <w:tcPr>
            <w:tcW w:w="1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4460" w:type="dxa"/>
            <w:vAlign w:val="bottom"/>
            <w:shd w:val="clear" w:color="auto" w:fill="CCEEFF"/>
          </w:tcPr>
          <w:p>
            <w:pPr>
              <w:spacing w:after="0"/>
              <w:rPr>
                <w:sz w:val="20"/>
                <w:szCs w:val="20"/>
                <w:color w:val="auto"/>
              </w:rPr>
            </w:pPr>
            <w:r>
              <w:rPr>
                <w:rFonts w:ascii="Arial" w:cs="Arial" w:eastAsia="Arial" w:hAnsi="Arial"/>
                <w:sz w:val="13"/>
                <w:szCs w:val="13"/>
                <w:color w:val="auto"/>
              </w:rPr>
              <w:t>Operating expenses</w:t>
            </w:r>
          </w:p>
        </w:tc>
        <w:tc>
          <w:tcPr>
            <w:tcW w:w="3820" w:type="dxa"/>
            <w:vAlign w:val="bottom"/>
            <w:shd w:val="clear" w:color="auto" w:fill="CCEEFF"/>
          </w:tcPr>
          <w:p>
            <w:pPr>
              <w:spacing w:after="0"/>
              <w:rPr>
                <w:sz w:val="13"/>
                <w:szCs w:val="13"/>
                <w:color w:val="auto"/>
              </w:rPr>
            </w:pPr>
          </w:p>
        </w:tc>
        <w:tc>
          <w:tcPr>
            <w:tcW w:w="12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460" w:type="dxa"/>
            <w:vAlign w:val="bottom"/>
          </w:tcPr>
          <w:p>
            <w:pPr>
              <w:ind w:left="120"/>
              <w:spacing w:after="0"/>
              <w:rPr>
                <w:sz w:val="20"/>
                <w:szCs w:val="20"/>
                <w:color w:val="auto"/>
              </w:rPr>
            </w:pPr>
            <w:r>
              <w:rPr>
                <w:rFonts w:ascii="Arial" w:cs="Arial" w:eastAsia="Arial" w:hAnsi="Arial"/>
                <w:sz w:val="13"/>
                <w:szCs w:val="13"/>
                <w:color w:val="auto"/>
              </w:rPr>
              <w:t>Other expenses</w:t>
            </w:r>
          </w:p>
        </w:tc>
        <w:tc>
          <w:tcPr>
            <w:tcW w:w="5260" w:type="dxa"/>
            <w:vAlign w:val="bottom"/>
            <w:gridSpan w:val="3"/>
          </w:tcPr>
          <w:p>
            <w:pPr>
              <w:jc w:val="right"/>
              <w:ind w:right="143"/>
              <w:spacing w:after="0"/>
              <w:rPr>
                <w:sz w:val="20"/>
                <w:szCs w:val="20"/>
                <w:color w:val="auto"/>
              </w:rPr>
            </w:pPr>
            <w:r>
              <w:rPr>
                <w:rFonts w:ascii="Arial" w:cs="Arial" w:eastAsia="Arial" w:hAnsi="Arial"/>
                <w:sz w:val="13"/>
                <w:szCs w:val="13"/>
                <w:color w:val="auto"/>
              </w:rPr>
              <w:t>(2,287)</w:t>
            </w:r>
          </w:p>
        </w:tc>
        <w:tc>
          <w:tcPr>
            <w:tcW w:w="1300" w:type="dxa"/>
            <w:vAlign w:val="bottom"/>
            <w:gridSpan w:val="2"/>
          </w:tcPr>
          <w:p>
            <w:pPr>
              <w:jc w:val="right"/>
              <w:ind w:right="23"/>
              <w:spacing w:after="0"/>
              <w:rPr>
                <w:sz w:val="20"/>
                <w:szCs w:val="20"/>
                <w:color w:val="auto"/>
              </w:rPr>
            </w:pPr>
            <w:r>
              <w:rPr>
                <w:rFonts w:ascii="Arial" w:cs="Arial" w:eastAsia="Arial" w:hAnsi="Arial"/>
                <w:sz w:val="13"/>
                <w:szCs w:val="13"/>
                <w:color w:val="auto"/>
              </w:rPr>
              <w:t>(2,149)</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460" w:type="dxa"/>
            <w:vAlign w:val="bottom"/>
            <w:tcBorders>
              <w:top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Total operating expenses</w:t>
            </w:r>
          </w:p>
        </w:tc>
        <w:tc>
          <w:tcPr>
            <w:tcW w:w="382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(2,287)</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(2,149)</w:t>
            </w:r>
          </w:p>
        </w:tc>
        <w:tc>
          <w:tcPr>
            <w:tcW w:w="100" w:type="dxa"/>
            <w:vAlign w:val="bottom"/>
            <w:tcBorders>
              <w:top w:val="single" w:sz="8" w:color="CCEEFF"/>
            </w:tcBorders>
            <w:shd w:val="clear" w:color="auto" w:fill="CCEEFF"/>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4460" w:type="dxa"/>
            <w:vAlign w:val="bottom"/>
          </w:tcPr>
          <w:p>
            <w:pPr>
              <w:spacing w:after="0" w:line="146" w:lineRule="exact"/>
              <w:rPr>
                <w:sz w:val="20"/>
                <w:szCs w:val="20"/>
                <w:color w:val="auto"/>
              </w:rPr>
            </w:pPr>
            <w:r>
              <w:rPr>
                <w:rFonts w:ascii="Arial" w:cs="Arial" w:eastAsia="Arial" w:hAnsi="Arial"/>
                <w:sz w:val="13"/>
                <w:szCs w:val="13"/>
                <w:b w:val="1"/>
                <w:bCs w:val="1"/>
                <w:color w:val="auto"/>
              </w:rPr>
              <w:t>Net income from related parties</w:t>
            </w:r>
          </w:p>
        </w:tc>
        <w:tc>
          <w:tcPr>
            <w:tcW w:w="3820" w:type="dxa"/>
            <w:vAlign w:val="bottom"/>
          </w:tcPr>
          <w:p>
            <w:pPr>
              <w:spacing w:after="0"/>
              <w:rPr>
                <w:sz w:val="14"/>
                <w:szCs w:val="14"/>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(477</w:t>
            </w:r>
          </w:p>
        </w:tc>
        <w:tc>
          <w:tcPr>
            <w:tcW w:w="220" w:type="dxa"/>
            <w:vAlign w:val="bottom"/>
          </w:tcPr>
          <w:p>
            <w:pPr>
              <w:jc w:val="right"/>
              <w:ind w:right="143"/>
              <w:spacing w:after="0"/>
              <w:rPr>
                <w:sz w:val="20"/>
                <w:szCs w:val="20"/>
                <w:color w:val="auto"/>
              </w:rPr>
            </w:pPr>
            <w:r>
              <w:rPr>
                <w:rFonts w:ascii="Arial" w:cs="Arial" w:eastAsia="Arial" w:hAnsi="Arial"/>
                <w:sz w:val="7"/>
                <w:szCs w:val="7"/>
                <w:b w:val="1"/>
                <w:bCs w:val="1"/>
                <w:color w:val="auto"/>
                <w:w w:val="83"/>
              </w:rPr>
              <w:t>)</w:t>
            </w: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(1,694</w:t>
            </w:r>
          </w:p>
        </w:tc>
        <w:tc>
          <w:tcPr>
            <w:tcW w:w="100" w:type="dxa"/>
            <w:vAlign w:val="bottom"/>
          </w:tcPr>
          <w:p>
            <w:pPr>
              <w:jc w:val="right"/>
              <w:ind w:right="23"/>
              <w:spacing w:after="0"/>
              <w:rPr>
                <w:sz w:val="20"/>
                <w:szCs w:val="20"/>
                <w:color w:val="auto"/>
              </w:rPr>
            </w:pPr>
            <w:r>
              <w:rPr>
                <w:rFonts w:ascii="Arial" w:cs="Arial" w:eastAsia="Arial" w:hAnsi="Arial"/>
                <w:sz w:val="7"/>
                <w:szCs w:val="7"/>
                <w:b w:val="1"/>
                <w:bCs w:val="1"/>
                <w:color w:val="auto"/>
                <w:w w:val="83"/>
              </w:rPr>
              <w:t>)</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467"/>
        </w:trPr>
        <w:tc>
          <w:tcPr>
            <w:tcW w:w="220" w:type="dxa"/>
            <w:vAlign w:val="bottom"/>
            <w:tcBorders>
              <w:bottom w:val="single" w:sz="8" w:color="auto"/>
            </w:tcBorders>
          </w:tcPr>
          <w:p>
            <w:pPr>
              <w:spacing w:after="0"/>
              <w:rPr>
                <w:sz w:val="24"/>
                <w:szCs w:val="24"/>
                <w:color w:val="auto"/>
              </w:rPr>
            </w:pPr>
          </w:p>
        </w:tc>
        <w:tc>
          <w:tcPr>
            <w:tcW w:w="4460" w:type="dxa"/>
            <w:vAlign w:val="bottom"/>
            <w:tcBorders>
              <w:bottom w:val="single" w:sz="8" w:color="auto"/>
            </w:tcBorders>
          </w:tcPr>
          <w:p>
            <w:pPr>
              <w:spacing w:after="0"/>
              <w:rPr>
                <w:sz w:val="24"/>
                <w:szCs w:val="24"/>
                <w:color w:val="auto"/>
              </w:rPr>
            </w:pPr>
          </w:p>
        </w:tc>
        <w:tc>
          <w:tcPr>
            <w:tcW w:w="5260" w:type="dxa"/>
            <w:vAlign w:val="bottom"/>
            <w:tcBorders>
              <w:bottom w:val="single" w:sz="8" w:color="auto"/>
            </w:tcBorders>
            <w:gridSpan w:val="3"/>
          </w:tcPr>
          <w:p>
            <w:pPr>
              <w:jc w:val="right"/>
              <w:ind w:right="4043"/>
              <w:spacing w:after="0"/>
              <w:rPr>
                <w:sz w:val="20"/>
                <w:szCs w:val="20"/>
                <w:color w:val="auto"/>
              </w:rPr>
            </w:pPr>
            <w:r>
              <w:rPr>
                <w:rFonts w:ascii="Arial" w:cs="Arial" w:eastAsia="Arial" w:hAnsi="Arial"/>
                <w:sz w:val="13"/>
                <w:szCs w:val="13"/>
                <w:color w:val="auto"/>
              </w:rPr>
              <w:t>F-93</w:t>
            </w: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3"/>
          </w:cols>
          <w:pgMar w:left="217" w:top="685" w:right="199" w:bottom="1440" w:gutter="0" w:footer="0" w:header="0"/>
        </w:sectPr>
      </w:pPr>
    </w:p>
    <w:bookmarkStart w:id="218" w:name="page219"/>
    <w:bookmarkEnd w:id="218"/>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37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right="9100" w:hanging="223"/>
        <w:spacing w:after="0" w:line="588" w:lineRule="auto"/>
        <w:tabs>
          <w:tab w:leader="none" w:pos="223" w:val="left"/>
        </w:tabs>
        <w:numPr>
          <w:ilvl w:val="0"/>
          <w:numId w:val="186"/>
        </w:numPr>
        <w:rPr>
          <w:rFonts w:ascii="Arial" w:cs="Arial" w:eastAsia="Arial" w:hAnsi="Arial"/>
          <w:sz w:val="11"/>
          <w:szCs w:val="11"/>
          <w:b w:val="1"/>
          <w:bCs w:val="1"/>
          <w:color w:val="auto"/>
        </w:rPr>
      </w:pPr>
      <w:r>
        <w:rPr>
          <w:rFonts w:ascii="Arial" w:cs="Arial" w:eastAsia="Arial" w:hAnsi="Arial"/>
          <w:sz w:val="11"/>
          <w:szCs w:val="11"/>
          <w:b w:val="1"/>
          <w:bCs w:val="1"/>
          <w:color w:val="auto"/>
        </w:rPr>
        <w:t>Related party transactions (continued) Directors and executives’ compensation</w:t>
      </w:r>
    </w:p>
    <w:p>
      <w:pPr>
        <w:ind w:left="223"/>
        <w:spacing w:after="0"/>
        <w:rPr>
          <w:rFonts w:ascii="Arial" w:cs="Arial" w:eastAsia="Arial" w:hAnsi="Arial"/>
          <w:sz w:val="11"/>
          <w:szCs w:val="11"/>
          <w:b w:val="1"/>
          <w:bCs w:val="1"/>
          <w:color w:val="auto"/>
        </w:rPr>
      </w:pPr>
      <w:r>
        <w:rPr>
          <w:rFonts w:ascii="Arial" w:cs="Arial" w:eastAsia="Arial" w:hAnsi="Arial"/>
          <w:sz w:val="13"/>
          <w:szCs w:val="13"/>
          <w:color w:val="auto"/>
        </w:rPr>
        <w:t>During the reporting periods, total compensation paid to directors and the executives of Bladex as representatives of the Bank amounted to:</w:t>
      </w:r>
    </w:p>
    <w:p>
      <w:pPr>
        <w:spacing w:after="0" w:line="164" w:lineRule="exact"/>
        <w:rPr>
          <w:sz w:val="20"/>
          <w:szCs w:val="20"/>
          <w:color w:val="auto"/>
        </w:rPr>
      </w:pPr>
    </w:p>
    <w:tbl>
      <w:tblPr>
        <w:tblLayout w:type="fixed"/>
        <w:tblInd w:w="3" w:type="dxa"/>
        <w:tblCellMar>
          <w:top w:w="0" w:type="dxa"/>
          <w:left w:w="0" w:type="dxa"/>
          <w:bottom w:w="0" w:type="dxa"/>
          <w:right w:w="0" w:type="dxa"/>
        </w:tblCellMar>
      </w:tblPr>
      <w:tr>
        <w:trPr>
          <w:trHeight w:val="167"/>
        </w:trPr>
        <w:tc>
          <w:tcPr>
            <w:tcW w:w="220" w:type="dxa"/>
            <w:vAlign w:val="bottom"/>
          </w:tcPr>
          <w:p>
            <w:pPr>
              <w:spacing w:after="0"/>
              <w:rPr>
                <w:sz w:val="14"/>
                <w:szCs w:val="14"/>
                <w:color w:val="auto"/>
              </w:rPr>
            </w:pPr>
          </w:p>
        </w:tc>
        <w:tc>
          <w:tcPr>
            <w:tcW w:w="560" w:type="dxa"/>
            <w:vAlign w:val="bottom"/>
          </w:tcPr>
          <w:p>
            <w:pPr>
              <w:spacing w:after="0"/>
              <w:rPr>
                <w:sz w:val="14"/>
                <w:szCs w:val="14"/>
                <w:color w:val="auto"/>
              </w:rPr>
            </w:pPr>
          </w:p>
        </w:tc>
        <w:tc>
          <w:tcPr>
            <w:tcW w:w="3160" w:type="dxa"/>
            <w:vAlign w:val="bottom"/>
          </w:tcPr>
          <w:p>
            <w:pPr>
              <w:spacing w:after="0"/>
              <w:rPr>
                <w:sz w:val="14"/>
                <w:szCs w:val="14"/>
                <w:color w:val="auto"/>
              </w:rPr>
            </w:pPr>
          </w:p>
        </w:tc>
        <w:tc>
          <w:tcPr>
            <w:tcW w:w="3120" w:type="dxa"/>
            <w:vAlign w:val="bottom"/>
          </w:tcPr>
          <w:p>
            <w:pPr>
              <w:spacing w:after="0"/>
              <w:rPr>
                <w:sz w:val="14"/>
                <w:szCs w:val="14"/>
                <w:color w:val="auto"/>
              </w:rPr>
            </w:pPr>
          </w:p>
        </w:tc>
        <w:tc>
          <w:tcPr>
            <w:tcW w:w="122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420" w:type="dxa"/>
            <w:vAlign w:val="bottom"/>
            <w:tcBorders>
              <w:bottom w:val="single" w:sz="8" w:color="auto"/>
            </w:tcBorders>
            <w:gridSpan w:val="2"/>
          </w:tcPr>
          <w:p>
            <w:pPr>
              <w:ind w:left="200"/>
              <w:spacing w:after="0"/>
              <w:rPr>
                <w:sz w:val="20"/>
                <w:szCs w:val="20"/>
                <w:color w:val="auto"/>
              </w:rPr>
            </w:pPr>
            <w:r>
              <w:rPr>
                <w:rFonts w:ascii="Arial" w:cs="Arial" w:eastAsia="Arial" w:hAnsi="Arial"/>
                <w:sz w:val="13"/>
                <w:szCs w:val="13"/>
                <w:b w:val="1"/>
                <w:bCs w:val="1"/>
                <w:color w:val="auto"/>
              </w:rPr>
              <w:t>December 31,</w:t>
            </w:r>
          </w:p>
        </w:tc>
        <w:tc>
          <w:tcPr>
            <w:tcW w:w="120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240" w:type="dxa"/>
            <w:vAlign w:val="bottom"/>
          </w:tcPr>
          <w:p>
            <w:pPr>
              <w:spacing w:after="0"/>
              <w:rPr>
                <w:sz w:val="14"/>
                <w:szCs w:val="14"/>
                <w:color w:val="auto"/>
              </w:rPr>
            </w:pPr>
          </w:p>
        </w:tc>
      </w:tr>
      <w:tr>
        <w:trPr>
          <w:trHeight w:val="154"/>
        </w:trPr>
        <w:tc>
          <w:tcPr>
            <w:tcW w:w="220" w:type="dxa"/>
            <w:vAlign w:val="bottom"/>
          </w:tcPr>
          <w:p>
            <w:pPr>
              <w:spacing w:after="0"/>
              <w:rPr>
                <w:sz w:val="13"/>
                <w:szCs w:val="13"/>
                <w:color w:val="auto"/>
              </w:rPr>
            </w:pPr>
          </w:p>
        </w:tc>
        <w:tc>
          <w:tcPr>
            <w:tcW w:w="560" w:type="dxa"/>
            <w:vAlign w:val="bottom"/>
            <w:tcBorders>
              <w:bottom w:val="single" w:sz="8" w:color="CCEEFF"/>
            </w:tcBorders>
          </w:tcPr>
          <w:p>
            <w:pPr>
              <w:spacing w:after="0"/>
              <w:rPr>
                <w:sz w:val="13"/>
                <w:szCs w:val="13"/>
                <w:color w:val="auto"/>
              </w:rPr>
            </w:pPr>
          </w:p>
        </w:tc>
        <w:tc>
          <w:tcPr>
            <w:tcW w:w="3160" w:type="dxa"/>
            <w:vAlign w:val="bottom"/>
            <w:tcBorders>
              <w:bottom w:val="single" w:sz="8" w:color="CCEEFF"/>
            </w:tcBorders>
          </w:tcPr>
          <w:p>
            <w:pPr>
              <w:spacing w:after="0"/>
              <w:rPr>
                <w:sz w:val="13"/>
                <w:szCs w:val="13"/>
                <w:color w:val="auto"/>
              </w:rPr>
            </w:pPr>
          </w:p>
        </w:tc>
        <w:tc>
          <w:tcPr>
            <w:tcW w:w="3120" w:type="dxa"/>
            <w:vAlign w:val="bottom"/>
            <w:tcBorders>
              <w:bottom w:val="single" w:sz="8" w:color="CCEEFF"/>
            </w:tcBorders>
          </w:tcPr>
          <w:p>
            <w:pPr>
              <w:spacing w:after="0"/>
              <w:rPr>
                <w:sz w:val="13"/>
                <w:szCs w:val="13"/>
                <w:color w:val="auto"/>
              </w:rPr>
            </w:pPr>
          </w:p>
        </w:tc>
        <w:tc>
          <w:tcPr>
            <w:tcW w:w="1220" w:type="dxa"/>
            <w:vAlign w:val="bottom"/>
            <w:tcBorders>
              <w:bottom w:val="single" w:sz="8" w:color="auto"/>
            </w:tcBorders>
          </w:tcPr>
          <w:p>
            <w:pPr>
              <w:jc w:val="right"/>
              <w:ind w:right="416"/>
              <w:spacing w:after="0"/>
              <w:rPr>
                <w:sz w:val="20"/>
                <w:szCs w:val="20"/>
                <w:color w:val="auto"/>
              </w:rPr>
            </w:pPr>
            <w:r>
              <w:rPr>
                <w:rFonts w:ascii="Arial" w:cs="Arial" w:eastAsia="Arial" w:hAnsi="Arial"/>
                <w:sz w:val="13"/>
                <w:szCs w:val="13"/>
                <w:b w:val="1"/>
                <w:bCs w:val="1"/>
                <w:color w:val="auto"/>
              </w:rPr>
              <w:t>2018</w:t>
            </w:r>
          </w:p>
        </w:tc>
        <w:tc>
          <w:tcPr>
            <w:tcW w:w="240" w:type="dxa"/>
            <w:vAlign w:val="bottom"/>
            <w:tcBorders>
              <w:bottom w:val="single" w:sz="8" w:color="CCEEFF"/>
            </w:tcBorders>
          </w:tcPr>
          <w:p>
            <w:pPr>
              <w:spacing w:after="0"/>
              <w:rPr>
                <w:sz w:val="13"/>
                <w:szCs w:val="13"/>
                <w:color w:val="auto"/>
              </w:rPr>
            </w:pPr>
          </w:p>
        </w:tc>
        <w:tc>
          <w:tcPr>
            <w:tcW w:w="1200" w:type="dxa"/>
            <w:vAlign w:val="bottom"/>
            <w:tcBorders>
              <w:bottom w:val="single" w:sz="8" w:color="auto"/>
            </w:tcBorders>
          </w:tcPr>
          <w:p>
            <w:pPr>
              <w:jc w:val="right"/>
              <w:ind w:right="416"/>
              <w:spacing w:after="0"/>
              <w:rPr>
                <w:sz w:val="20"/>
                <w:szCs w:val="20"/>
                <w:color w:val="auto"/>
              </w:rPr>
            </w:pPr>
            <w:r>
              <w:rPr>
                <w:rFonts w:ascii="Arial" w:cs="Arial" w:eastAsia="Arial" w:hAnsi="Arial"/>
                <w:sz w:val="13"/>
                <w:szCs w:val="13"/>
                <w:b w:val="1"/>
                <w:bCs w:val="1"/>
                <w:color w:val="auto"/>
              </w:rPr>
              <w:t>2017</w:t>
            </w:r>
          </w:p>
        </w:tc>
        <w:tc>
          <w:tcPr>
            <w:tcW w:w="220" w:type="dxa"/>
            <w:vAlign w:val="bottom"/>
            <w:tcBorders>
              <w:bottom w:val="single" w:sz="8" w:color="CCEEFF"/>
            </w:tcBorders>
          </w:tcPr>
          <w:p>
            <w:pPr>
              <w:spacing w:after="0"/>
              <w:rPr>
                <w:sz w:val="13"/>
                <w:szCs w:val="13"/>
                <w:color w:val="auto"/>
              </w:rPr>
            </w:pPr>
          </w:p>
        </w:tc>
        <w:tc>
          <w:tcPr>
            <w:tcW w:w="1200" w:type="dxa"/>
            <w:vAlign w:val="bottom"/>
            <w:tcBorders>
              <w:bottom w:val="single" w:sz="8" w:color="auto"/>
            </w:tcBorders>
          </w:tcPr>
          <w:p>
            <w:pPr>
              <w:jc w:val="right"/>
              <w:ind w:right="416"/>
              <w:spacing w:after="0"/>
              <w:rPr>
                <w:sz w:val="20"/>
                <w:szCs w:val="20"/>
                <w:color w:val="auto"/>
              </w:rPr>
            </w:pPr>
            <w:r>
              <w:rPr>
                <w:rFonts w:ascii="Arial" w:cs="Arial" w:eastAsia="Arial" w:hAnsi="Arial"/>
                <w:sz w:val="13"/>
                <w:szCs w:val="13"/>
                <w:b w:val="1"/>
                <w:bCs w:val="1"/>
                <w:color w:val="auto"/>
              </w:rPr>
              <w:t>2016</w:t>
            </w:r>
          </w:p>
        </w:tc>
        <w:tc>
          <w:tcPr>
            <w:tcW w:w="100" w:type="dxa"/>
            <w:vAlign w:val="bottom"/>
            <w:tcBorders>
              <w:bottom w:val="single" w:sz="8" w:color="CCEEFF"/>
            </w:tcBorders>
          </w:tcPr>
          <w:p>
            <w:pPr>
              <w:spacing w:after="0"/>
              <w:rPr>
                <w:sz w:val="13"/>
                <w:szCs w:val="13"/>
                <w:color w:val="auto"/>
              </w:rPr>
            </w:pPr>
          </w:p>
        </w:tc>
        <w:tc>
          <w:tcPr>
            <w:tcW w:w="240" w:type="dxa"/>
            <w:vAlign w:val="bottom"/>
          </w:tcPr>
          <w:p>
            <w:pPr>
              <w:spacing w:after="0"/>
              <w:rPr>
                <w:sz w:val="13"/>
                <w:szCs w:val="13"/>
                <w:color w:val="auto"/>
              </w:rPr>
            </w:pPr>
          </w:p>
        </w:tc>
      </w:tr>
      <w:tr>
        <w:trPr>
          <w:trHeight w:val="124"/>
        </w:trPr>
        <w:tc>
          <w:tcPr>
            <w:tcW w:w="220" w:type="dxa"/>
            <w:vAlign w:val="bottom"/>
          </w:tcPr>
          <w:p>
            <w:pPr>
              <w:spacing w:after="0"/>
              <w:rPr>
                <w:sz w:val="10"/>
                <w:szCs w:val="10"/>
                <w:color w:val="auto"/>
              </w:rPr>
            </w:pPr>
          </w:p>
        </w:tc>
        <w:tc>
          <w:tcPr>
            <w:tcW w:w="560" w:type="dxa"/>
            <w:vAlign w:val="bottom"/>
            <w:tcBorders>
              <w:bottom w:val="single" w:sz="8" w:color="auto"/>
            </w:tcBorders>
            <w:shd w:val="clear" w:color="auto" w:fill="CCEEFF"/>
          </w:tcPr>
          <w:p>
            <w:pPr>
              <w:spacing w:after="0" w:line="115" w:lineRule="exact"/>
              <w:rPr>
                <w:sz w:val="20"/>
                <w:szCs w:val="20"/>
                <w:color w:val="auto"/>
              </w:rPr>
            </w:pPr>
            <w:r>
              <w:rPr>
                <w:rFonts w:ascii="Arial" w:cs="Arial" w:eastAsia="Arial" w:hAnsi="Arial"/>
                <w:sz w:val="13"/>
                <w:szCs w:val="13"/>
                <w:b w:val="1"/>
                <w:bCs w:val="1"/>
                <w:color w:val="auto"/>
                <w:w w:val="82"/>
              </w:rPr>
              <w:t>Expenses:</w:t>
            </w:r>
          </w:p>
        </w:tc>
        <w:tc>
          <w:tcPr>
            <w:tcW w:w="3160" w:type="dxa"/>
            <w:vAlign w:val="bottom"/>
            <w:tcBorders>
              <w:bottom w:val="single" w:sz="8" w:color="CCEEFF"/>
            </w:tcBorders>
            <w:shd w:val="clear" w:color="auto" w:fill="CCEEFF"/>
          </w:tcPr>
          <w:p>
            <w:pPr>
              <w:spacing w:after="0"/>
              <w:rPr>
                <w:sz w:val="10"/>
                <w:szCs w:val="10"/>
                <w:color w:val="auto"/>
              </w:rPr>
            </w:pPr>
          </w:p>
        </w:tc>
        <w:tc>
          <w:tcPr>
            <w:tcW w:w="3120" w:type="dxa"/>
            <w:vAlign w:val="bottom"/>
            <w:tcBorders>
              <w:bottom w:val="single" w:sz="8" w:color="CCEEFF"/>
            </w:tcBorders>
            <w:shd w:val="clear" w:color="auto" w:fill="CCEEFF"/>
          </w:tcPr>
          <w:p>
            <w:pPr>
              <w:spacing w:after="0"/>
              <w:rPr>
                <w:sz w:val="10"/>
                <w:szCs w:val="10"/>
                <w:color w:val="auto"/>
              </w:rPr>
            </w:pPr>
          </w:p>
        </w:tc>
        <w:tc>
          <w:tcPr>
            <w:tcW w:w="1220" w:type="dxa"/>
            <w:vAlign w:val="bottom"/>
            <w:tcBorders>
              <w:bottom w:val="single" w:sz="8" w:color="CCEEFF"/>
            </w:tcBorders>
            <w:shd w:val="clear" w:color="auto" w:fill="CCEEFF"/>
          </w:tcPr>
          <w:p>
            <w:pPr>
              <w:spacing w:after="0"/>
              <w:rPr>
                <w:sz w:val="10"/>
                <w:szCs w:val="10"/>
                <w:color w:val="auto"/>
              </w:rPr>
            </w:pPr>
          </w:p>
        </w:tc>
        <w:tc>
          <w:tcPr>
            <w:tcW w:w="240" w:type="dxa"/>
            <w:vAlign w:val="bottom"/>
            <w:tcBorders>
              <w:bottom w:val="single" w:sz="8" w:color="CCEEFF"/>
            </w:tcBorders>
            <w:shd w:val="clear" w:color="auto" w:fill="CCEEFF"/>
          </w:tcPr>
          <w:p>
            <w:pPr>
              <w:spacing w:after="0"/>
              <w:rPr>
                <w:sz w:val="10"/>
                <w:szCs w:val="10"/>
                <w:color w:val="auto"/>
              </w:rPr>
            </w:pPr>
          </w:p>
        </w:tc>
        <w:tc>
          <w:tcPr>
            <w:tcW w:w="1200" w:type="dxa"/>
            <w:vAlign w:val="bottom"/>
            <w:tcBorders>
              <w:bottom w:val="single" w:sz="8" w:color="CCEEFF"/>
            </w:tcBorders>
            <w:shd w:val="clear" w:color="auto" w:fill="CCEEFF"/>
          </w:tcPr>
          <w:p>
            <w:pPr>
              <w:spacing w:after="0"/>
              <w:rPr>
                <w:sz w:val="10"/>
                <w:szCs w:val="10"/>
                <w:color w:val="auto"/>
              </w:rPr>
            </w:pPr>
          </w:p>
        </w:tc>
        <w:tc>
          <w:tcPr>
            <w:tcW w:w="220" w:type="dxa"/>
            <w:vAlign w:val="bottom"/>
            <w:tcBorders>
              <w:bottom w:val="single" w:sz="8" w:color="CCEEFF"/>
            </w:tcBorders>
            <w:shd w:val="clear" w:color="auto" w:fill="CCEEFF"/>
          </w:tcPr>
          <w:p>
            <w:pPr>
              <w:spacing w:after="0"/>
              <w:rPr>
                <w:sz w:val="10"/>
                <w:szCs w:val="10"/>
                <w:color w:val="auto"/>
              </w:rPr>
            </w:pPr>
          </w:p>
        </w:tc>
        <w:tc>
          <w:tcPr>
            <w:tcW w:w="1200" w:type="dxa"/>
            <w:vAlign w:val="bottom"/>
            <w:tcBorders>
              <w:bottom w:val="single" w:sz="8" w:color="CCEEFF"/>
            </w:tcBorders>
            <w:shd w:val="clear" w:color="auto" w:fill="CCEEFF"/>
          </w:tcPr>
          <w:p>
            <w:pPr>
              <w:spacing w:after="0"/>
              <w:rPr>
                <w:sz w:val="10"/>
                <w:szCs w:val="10"/>
                <w:color w:val="auto"/>
              </w:rPr>
            </w:pPr>
          </w:p>
        </w:tc>
        <w:tc>
          <w:tcPr>
            <w:tcW w:w="100" w:type="dxa"/>
            <w:vAlign w:val="bottom"/>
            <w:tcBorders>
              <w:bottom w:val="single" w:sz="8" w:color="CCEEFF"/>
            </w:tcBorders>
            <w:shd w:val="clear" w:color="auto" w:fill="CCEEFF"/>
          </w:tcPr>
          <w:p>
            <w:pPr>
              <w:spacing w:after="0"/>
              <w:rPr>
                <w:sz w:val="10"/>
                <w:szCs w:val="10"/>
                <w:color w:val="auto"/>
              </w:rPr>
            </w:pPr>
          </w:p>
        </w:tc>
        <w:tc>
          <w:tcPr>
            <w:tcW w:w="240" w:type="dxa"/>
            <w:vAlign w:val="bottom"/>
          </w:tcPr>
          <w:p>
            <w:pPr>
              <w:spacing w:after="0"/>
              <w:rPr>
                <w:sz w:val="10"/>
                <w:szCs w:val="10"/>
                <w:color w:val="auto"/>
              </w:rPr>
            </w:pPr>
          </w:p>
        </w:tc>
      </w:tr>
      <w:tr>
        <w:trPr>
          <w:trHeight w:val="182"/>
        </w:trPr>
        <w:tc>
          <w:tcPr>
            <w:tcW w:w="220" w:type="dxa"/>
            <w:vAlign w:val="bottom"/>
          </w:tcPr>
          <w:p>
            <w:pPr>
              <w:spacing w:after="0"/>
              <w:rPr>
                <w:sz w:val="15"/>
                <w:szCs w:val="15"/>
                <w:color w:val="auto"/>
              </w:rPr>
            </w:pPr>
          </w:p>
        </w:tc>
        <w:tc>
          <w:tcPr>
            <w:tcW w:w="3720" w:type="dxa"/>
            <w:vAlign w:val="bottom"/>
            <w:gridSpan w:val="2"/>
          </w:tcPr>
          <w:p>
            <w:pPr>
              <w:spacing w:after="0"/>
              <w:rPr>
                <w:sz w:val="20"/>
                <w:szCs w:val="20"/>
                <w:color w:val="auto"/>
              </w:rPr>
            </w:pPr>
            <w:r>
              <w:rPr>
                <w:rFonts w:ascii="Arial" w:cs="Arial" w:eastAsia="Arial" w:hAnsi="Arial"/>
                <w:sz w:val="13"/>
                <w:szCs w:val="13"/>
                <w:color w:val="auto"/>
              </w:rPr>
              <w:t>Compensation costs to directors</w:t>
            </w:r>
          </w:p>
        </w:tc>
        <w:tc>
          <w:tcPr>
            <w:tcW w:w="4340" w:type="dxa"/>
            <w:vAlign w:val="bottom"/>
            <w:gridSpan w:val="2"/>
          </w:tcPr>
          <w:p>
            <w:pPr>
              <w:jc w:val="right"/>
              <w:spacing w:after="0"/>
              <w:rPr>
                <w:sz w:val="20"/>
                <w:szCs w:val="20"/>
                <w:color w:val="auto"/>
              </w:rPr>
            </w:pPr>
            <w:r>
              <w:rPr>
                <w:rFonts w:ascii="Arial" w:cs="Arial" w:eastAsia="Arial" w:hAnsi="Arial"/>
                <w:sz w:val="13"/>
                <w:szCs w:val="13"/>
                <w:color w:val="auto"/>
              </w:rPr>
              <w:t>2,331</w:t>
            </w:r>
          </w:p>
        </w:tc>
        <w:tc>
          <w:tcPr>
            <w:tcW w:w="240" w:type="dxa"/>
            <w:vAlign w:val="bottom"/>
          </w:tcPr>
          <w:p>
            <w:pPr>
              <w:spacing w:after="0"/>
              <w:rPr>
                <w:sz w:val="15"/>
                <w:szCs w:val="15"/>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2,581</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2,428</w:t>
            </w:r>
          </w:p>
        </w:tc>
        <w:tc>
          <w:tcPr>
            <w:tcW w:w="240" w:type="dxa"/>
            <w:vAlign w:val="bottom"/>
          </w:tcPr>
          <w:p>
            <w:pPr>
              <w:spacing w:after="0"/>
              <w:rPr>
                <w:sz w:val="15"/>
                <w:szCs w:val="15"/>
                <w:color w:val="auto"/>
              </w:rPr>
            </w:pPr>
          </w:p>
        </w:tc>
      </w:tr>
      <w:tr>
        <w:trPr>
          <w:trHeight w:val="154"/>
        </w:trPr>
        <w:tc>
          <w:tcPr>
            <w:tcW w:w="220" w:type="dxa"/>
            <w:vAlign w:val="bottom"/>
          </w:tcPr>
          <w:p>
            <w:pPr>
              <w:spacing w:after="0"/>
              <w:rPr>
                <w:sz w:val="13"/>
                <w:szCs w:val="13"/>
                <w:color w:val="auto"/>
              </w:rPr>
            </w:pPr>
          </w:p>
        </w:tc>
        <w:tc>
          <w:tcPr>
            <w:tcW w:w="3720" w:type="dxa"/>
            <w:vAlign w:val="bottom"/>
            <w:tcBorders>
              <w:top w:val="single" w:sz="8" w:color="CCEEFF"/>
            </w:tcBorders>
            <w:gridSpan w:val="2"/>
            <w:shd w:val="clear" w:color="auto" w:fill="CCEEFF"/>
          </w:tcPr>
          <w:p>
            <w:pPr>
              <w:spacing w:after="0" w:line="143" w:lineRule="exact"/>
              <w:rPr>
                <w:sz w:val="20"/>
                <w:szCs w:val="20"/>
                <w:color w:val="auto"/>
              </w:rPr>
            </w:pPr>
            <w:r>
              <w:rPr>
                <w:rFonts w:ascii="Arial" w:cs="Arial" w:eastAsia="Arial" w:hAnsi="Arial"/>
                <w:sz w:val="13"/>
                <w:szCs w:val="13"/>
                <w:color w:val="auto"/>
              </w:rPr>
              <w:t>Compensation costs to executives</w:t>
            </w:r>
          </w:p>
        </w:tc>
        <w:tc>
          <w:tcPr>
            <w:tcW w:w="3120" w:type="dxa"/>
            <w:vAlign w:val="bottom"/>
            <w:tcBorders>
              <w:top w:val="single" w:sz="8" w:color="CCEEFF"/>
            </w:tcBorders>
            <w:shd w:val="clear" w:color="auto" w:fill="CCEEFF"/>
          </w:tcPr>
          <w:p>
            <w:pPr>
              <w:spacing w:after="0"/>
              <w:rPr>
                <w:sz w:val="13"/>
                <w:szCs w:val="13"/>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4,943</w:t>
            </w:r>
          </w:p>
        </w:tc>
        <w:tc>
          <w:tcPr>
            <w:tcW w:w="240" w:type="dxa"/>
            <w:vAlign w:val="bottom"/>
            <w:tcBorders>
              <w:top w:val="single" w:sz="8" w:color="CCEEFF"/>
            </w:tcBorders>
            <w:shd w:val="clear" w:color="auto" w:fill="CCEEFF"/>
          </w:tcPr>
          <w:p>
            <w:pPr>
              <w:spacing w:after="0"/>
              <w:rPr>
                <w:sz w:val="13"/>
                <w:szCs w:val="13"/>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3,299</w:t>
            </w:r>
          </w:p>
        </w:tc>
        <w:tc>
          <w:tcPr>
            <w:tcW w:w="220" w:type="dxa"/>
            <w:vAlign w:val="bottom"/>
            <w:tcBorders>
              <w:top w:val="single" w:sz="8" w:color="CCEEFF"/>
            </w:tcBorders>
            <w:shd w:val="clear" w:color="auto" w:fill="CCEEFF"/>
          </w:tcPr>
          <w:p>
            <w:pPr>
              <w:spacing w:after="0"/>
              <w:rPr>
                <w:sz w:val="13"/>
                <w:szCs w:val="13"/>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5,601</w:t>
            </w:r>
          </w:p>
        </w:tc>
        <w:tc>
          <w:tcPr>
            <w:tcW w:w="100" w:type="dxa"/>
            <w:vAlign w:val="bottom"/>
            <w:tcBorders>
              <w:top w:val="single" w:sz="8" w:color="CCEEFF"/>
            </w:tcBorders>
            <w:shd w:val="clear" w:color="auto" w:fill="CCEEFF"/>
          </w:tcPr>
          <w:p>
            <w:pPr>
              <w:spacing w:after="0"/>
              <w:rPr>
                <w:sz w:val="13"/>
                <w:szCs w:val="13"/>
                <w:color w:val="auto"/>
              </w:rPr>
            </w:pPr>
          </w:p>
        </w:tc>
        <w:tc>
          <w:tcPr>
            <w:tcW w:w="240" w:type="dxa"/>
            <w:vAlign w:val="bottom"/>
          </w:tcPr>
          <w:p>
            <w:pPr>
              <w:spacing w:after="0"/>
              <w:rPr>
                <w:sz w:val="13"/>
                <w:szCs w:val="13"/>
                <w:color w:val="auto"/>
              </w:rPr>
            </w:pPr>
          </w:p>
        </w:tc>
      </w:tr>
      <w:tr>
        <w:trPr>
          <w:trHeight w:val="29"/>
        </w:trPr>
        <w:tc>
          <w:tcPr>
            <w:tcW w:w="780" w:type="dxa"/>
            <w:vAlign w:val="bottom"/>
            <w:gridSpan w:val="2"/>
          </w:tcPr>
          <w:p>
            <w:pPr>
              <w:spacing w:after="0"/>
              <w:rPr>
                <w:sz w:val="2"/>
                <w:szCs w:val="2"/>
                <w:color w:val="auto"/>
              </w:rPr>
            </w:pPr>
          </w:p>
        </w:tc>
        <w:tc>
          <w:tcPr>
            <w:tcW w:w="6280" w:type="dxa"/>
            <w:vAlign w:val="bottom"/>
            <w:gridSpan w:val="2"/>
            <w:shd w:val="clear" w:color="auto" w:fill="CCEEFF"/>
          </w:tcPr>
          <w:p>
            <w:pPr>
              <w:spacing w:after="0"/>
              <w:rPr>
                <w:sz w:val="2"/>
                <w:szCs w:val="2"/>
                <w:color w:val="auto"/>
              </w:rPr>
            </w:pPr>
          </w:p>
        </w:tc>
        <w:tc>
          <w:tcPr>
            <w:tcW w:w="122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240" w:type="dxa"/>
            <w:vAlign w:val="bottom"/>
          </w:tcPr>
          <w:p>
            <w:pPr>
              <w:spacing w:after="0"/>
              <w:rPr>
                <w:sz w:val="2"/>
                <w:szCs w:val="2"/>
                <w:color w:val="auto"/>
              </w:rPr>
            </w:pPr>
          </w:p>
        </w:tc>
      </w:tr>
      <w:tr>
        <w:trPr>
          <w:trHeight w:val="308"/>
        </w:trPr>
        <w:tc>
          <w:tcPr>
            <w:tcW w:w="8520" w:type="dxa"/>
            <w:vAlign w:val="bottom"/>
            <w:gridSpan w:val="6"/>
          </w:tcPr>
          <w:p>
            <w:pPr>
              <w:ind w:left="220"/>
              <w:spacing w:after="0"/>
              <w:rPr>
                <w:sz w:val="20"/>
                <w:szCs w:val="20"/>
                <w:color w:val="auto"/>
              </w:rPr>
            </w:pPr>
            <w:r>
              <w:rPr>
                <w:rFonts w:ascii="Arial" w:cs="Arial" w:eastAsia="Arial" w:hAnsi="Arial"/>
                <w:sz w:val="13"/>
                <w:szCs w:val="13"/>
                <w:color w:val="auto"/>
                <w:w w:val="99"/>
              </w:rPr>
              <w:t>Compensation costs to directors and executives, include annual cash retainers and the cost of granted restricted stock and restricted stock units.</w:t>
            </w: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r>
      <w:tr>
        <w:trPr>
          <w:trHeight w:val="308"/>
        </w:trPr>
        <w:tc>
          <w:tcPr>
            <w:tcW w:w="3940" w:type="dxa"/>
            <w:vAlign w:val="bottom"/>
            <w:gridSpan w:val="3"/>
          </w:tcPr>
          <w:p>
            <w:pPr>
              <w:spacing w:after="0"/>
              <w:rPr>
                <w:sz w:val="20"/>
                <w:szCs w:val="20"/>
                <w:color w:val="auto"/>
              </w:rPr>
            </w:pPr>
            <w:r>
              <w:rPr>
                <w:rFonts w:ascii="Arial" w:cs="Arial" w:eastAsia="Arial" w:hAnsi="Arial"/>
                <w:sz w:val="13"/>
                <w:szCs w:val="13"/>
                <w:b w:val="1"/>
                <w:bCs w:val="1"/>
                <w:color w:val="auto"/>
              </w:rPr>
              <w:t>28. Salaries and other employee expenses</w:t>
            </w:r>
          </w:p>
        </w:tc>
        <w:tc>
          <w:tcPr>
            <w:tcW w:w="312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r>
      <w:tr>
        <w:trPr>
          <w:trHeight w:val="305"/>
        </w:trPr>
        <w:tc>
          <w:tcPr>
            <w:tcW w:w="22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3160" w:type="dxa"/>
            <w:vAlign w:val="bottom"/>
          </w:tcPr>
          <w:p>
            <w:pPr>
              <w:spacing w:after="0"/>
              <w:rPr>
                <w:sz w:val="24"/>
                <w:szCs w:val="24"/>
                <w:color w:val="auto"/>
              </w:rPr>
            </w:pPr>
          </w:p>
        </w:tc>
        <w:tc>
          <w:tcPr>
            <w:tcW w:w="3120" w:type="dxa"/>
            <w:vAlign w:val="bottom"/>
          </w:tcPr>
          <w:p>
            <w:pPr>
              <w:spacing w:after="0"/>
              <w:rPr>
                <w:sz w:val="24"/>
                <w:szCs w:val="24"/>
                <w:color w:val="auto"/>
              </w:rPr>
            </w:pPr>
          </w:p>
        </w:tc>
        <w:tc>
          <w:tcPr>
            <w:tcW w:w="1460" w:type="dxa"/>
            <w:vAlign w:val="bottom"/>
            <w:gridSpan w:val="2"/>
          </w:tcPr>
          <w:p>
            <w:pPr>
              <w:jc w:val="right"/>
              <w:ind w:right="480"/>
              <w:spacing w:after="0"/>
              <w:rPr>
                <w:sz w:val="20"/>
                <w:szCs w:val="20"/>
                <w:color w:val="auto"/>
              </w:rPr>
            </w:pPr>
            <w:r>
              <w:rPr>
                <w:rFonts w:ascii="Arial" w:cs="Arial" w:eastAsia="Arial" w:hAnsi="Arial"/>
                <w:sz w:val="13"/>
                <w:szCs w:val="13"/>
                <w:b w:val="1"/>
                <w:bCs w:val="1"/>
                <w:color w:val="auto"/>
              </w:rPr>
              <w:t>December 31,</w:t>
            </w:r>
          </w:p>
        </w:tc>
        <w:tc>
          <w:tcPr>
            <w:tcW w:w="1420" w:type="dxa"/>
            <w:vAlign w:val="bottom"/>
            <w:gridSpan w:val="2"/>
          </w:tcPr>
          <w:p>
            <w:pPr>
              <w:ind w:left="220"/>
              <w:spacing w:after="0"/>
              <w:rPr>
                <w:sz w:val="20"/>
                <w:szCs w:val="20"/>
                <w:color w:val="auto"/>
              </w:rPr>
            </w:pPr>
            <w:r>
              <w:rPr>
                <w:rFonts w:ascii="Arial" w:cs="Arial" w:eastAsia="Arial" w:hAnsi="Arial"/>
                <w:sz w:val="13"/>
                <w:szCs w:val="13"/>
                <w:b w:val="1"/>
                <w:bCs w:val="1"/>
                <w:color w:val="auto"/>
              </w:rPr>
              <w:t>December 31,</w:t>
            </w:r>
          </w:p>
        </w:tc>
        <w:tc>
          <w:tcPr>
            <w:tcW w:w="1300" w:type="dxa"/>
            <w:vAlign w:val="bottom"/>
            <w:gridSpan w:val="2"/>
          </w:tcPr>
          <w:p>
            <w:pPr>
              <w:ind w:left="220"/>
              <w:spacing w:after="0"/>
              <w:rPr>
                <w:sz w:val="20"/>
                <w:szCs w:val="20"/>
                <w:color w:val="auto"/>
              </w:rPr>
            </w:pPr>
            <w:r>
              <w:rPr>
                <w:rFonts w:ascii="Arial" w:cs="Arial" w:eastAsia="Arial" w:hAnsi="Arial"/>
                <w:sz w:val="13"/>
                <w:szCs w:val="13"/>
                <w:b w:val="1"/>
                <w:bCs w:val="1"/>
                <w:color w:val="auto"/>
              </w:rPr>
              <w:t>December 31,</w:t>
            </w:r>
          </w:p>
        </w:tc>
        <w:tc>
          <w:tcPr>
            <w:tcW w:w="240" w:type="dxa"/>
            <w:vAlign w:val="bottom"/>
          </w:tcPr>
          <w:p>
            <w:pPr>
              <w:spacing w:after="0"/>
              <w:rPr>
                <w:sz w:val="24"/>
                <w:szCs w:val="24"/>
                <w:color w:val="auto"/>
              </w:rPr>
            </w:pPr>
          </w:p>
        </w:tc>
      </w:tr>
      <w:tr>
        <w:trPr>
          <w:trHeight w:val="167"/>
        </w:trPr>
        <w:tc>
          <w:tcPr>
            <w:tcW w:w="220" w:type="dxa"/>
            <w:vAlign w:val="bottom"/>
          </w:tcPr>
          <w:p>
            <w:pPr>
              <w:spacing w:after="0"/>
              <w:rPr>
                <w:sz w:val="14"/>
                <w:szCs w:val="14"/>
                <w:color w:val="auto"/>
              </w:rPr>
            </w:pPr>
          </w:p>
        </w:tc>
        <w:tc>
          <w:tcPr>
            <w:tcW w:w="560" w:type="dxa"/>
            <w:vAlign w:val="bottom"/>
          </w:tcPr>
          <w:p>
            <w:pPr>
              <w:spacing w:after="0"/>
              <w:rPr>
                <w:sz w:val="14"/>
                <w:szCs w:val="14"/>
                <w:color w:val="auto"/>
              </w:rPr>
            </w:pPr>
          </w:p>
        </w:tc>
        <w:tc>
          <w:tcPr>
            <w:tcW w:w="3160" w:type="dxa"/>
            <w:vAlign w:val="bottom"/>
          </w:tcPr>
          <w:p>
            <w:pPr>
              <w:spacing w:after="0"/>
              <w:rPr>
                <w:sz w:val="14"/>
                <w:szCs w:val="14"/>
                <w:color w:val="auto"/>
              </w:rPr>
            </w:pPr>
          </w:p>
        </w:tc>
        <w:tc>
          <w:tcPr>
            <w:tcW w:w="4340" w:type="dxa"/>
            <w:vAlign w:val="bottom"/>
            <w:gridSpan w:val="2"/>
          </w:tcPr>
          <w:p>
            <w:pPr>
              <w:jc w:val="right"/>
              <w:ind w:right="416"/>
              <w:spacing w:after="0"/>
              <w:rPr>
                <w:sz w:val="20"/>
                <w:szCs w:val="20"/>
                <w:color w:val="auto"/>
              </w:rPr>
            </w:pPr>
            <w:r>
              <w:rPr>
                <w:rFonts w:ascii="Arial" w:cs="Arial" w:eastAsia="Arial" w:hAnsi="Arial"/>
                <w:sz w:val="13"/>
                <w:szCs w:val="13"/>
                <w:b w:val="1"/>
                <w:bCs w:val="1"/>
                <w:color w:val="auto"/>
              </w:rPr>
              <w:t>2018</w:t>
            </w:r>
          </w:p>
        </w:tc>
        <w:tc>
          <w:tcPr>
            <w:tcW w:w="240" w:type="dxa"/>
            <w:vAlign w:val="bottom"/>
          </w:tcPr>
          <w:p>
            <w:pPr>
              <w:spacing w:after="0"/>
              <w:rPr>
                <w:sz w:val="14"/>
                <w:szCs w:val="14"/>
                <w:color w:val="auto"/>
              </w:rPr>
            </w:pPr>
          </w:p>
        </w:tc>
        <w:tc>
          <w:tcPr>
            <w:tcW w:w="1200" w:type="dxa"/>
            <w:vAlign w:val="bottom"/>
          </w:tcPr>
          <w:p>
            <w:pPr>
              <w:jc w:val="right"/>
              <w:ind w:right="416"/>
              <w:spacing w:after="0"/>
              <w:rPr>
                <w:sz w:val="20"/>
                <w:szCs w:val="20"/>
                <w:color w:val="auto"/>
              </w:rPr>
            </w:pPr>
            <w:r>
              <w:rPr>
                <w:rFonts w:ascii="Arial" w:cs="Arial" w:eastAsia="Arial" w:hAnsi="Arial"/>
                <w:sz w:val="13"/>
                <w:szCs w:val="13"/>
                <w:b w:val="1"/>
                <w:bCs w:val="1"/>
                <w:color w:val="auto"/>
              </w:rPr>
              <w:t>2017</w:t>
            </w:r>
          </w:p>
        </w:tc>
        <w:tc>
          <w:tcPr>
            <w:tcW w:w="220" w:type="dxa"/>
            <w:vAlign w:val="bottom"/>
          </w:tcPr>
          <w:p>
            <w:pPr>
              <w:spacing w:after="0"/>
              <w:rPr>
                <w:sz w:val="14"/>
                <w:szCs w:val="14"/>
                <w:color w:val="auto"/>
              </w:rPr>
            </w:pPr>
          </w:p>
        </w:tc>
        <w:tc>
          <w:tcPr>
            <w:tcW w:w="1200" w:type="dxa"/>
            <w:vAlign w:val="bottom"/>
          </w:tcPr>
          <w:p>
            <w:pPr>
              <w:jc w:val="right"/>
              <w:ind w:right="416"/>
              <w:spacing w:after="0"/>
              <w:rPr>
                <w:sz w:val="20"/>
                <w:szCs w:val="20"/>
                <w:color w:val="auto"/>
              </w:rPr>
            </w:pPr>
            <w:r>
              <w:rPr>
                <w:rFonts w:ascii="Arial" w:cs="Arial" w:eastAsia="Arial" w:hAnsi="Arial"/>
                <w:sz w:val="13"/>
                <w:szCs w:val="13"/>
                <w:b w:val="1"/>
                <w:bCs w:val="1"/>
                <w:color w:val="auto"/>
              </w:rPr>
              <w:t>2016</w:t>
            </w:r>
          </w:p>
        </w:tc>
        <w:tc>
          <w:tcPr>
            <w:tcW w:w="100" w:type="dxa"/>
            <w:vAlign w:val="bottom"/>
          </w:tcPr>
          <w:p>
            <w:pPr>
              <w:spacing w:after="0"/>
              <w:rPr>
                <w:sz w:val="14"/>
                <w:szCs w:val="14"/>
                <w:color w:val="auto"/>
              </w:rPr>
            </w:pPr>
          </w:p>
        </w:tc>
        <w:tc>
          <w:tcPr>
            <w:tcW w:w="240" w:type="dxa"/>
            <w:vAlign w:val="bottom"/>
          </w:tcPr>
          <w:p>
            <w:pPr>
              <w:spacing w:after="0"/>
              <w:rPr>
                <w:sz w:val="14"/>
                <w:szCs w:val="14"/>
                <w:color w:val="auto"/>
              </w:rPr>
            </w:pPr>
          </w:p>
        </w:tc>
      </w:tr>
      <w:tr>
        <w:trPr>
          <w:trHeight w:val="144"/>
        </w:trPr>
        <w:tc>
          <w:tcPr>
            <w:tcW w:w="220" w:type="dxa"/>
            <w:vAlign w:val="bottom"/>
          </w:tcPr>
          <w:p>
            <w:pPr>
              <w:spacing w:after="0"/>
              <w:rPr>
                <w:sz w:val="12"/>
                <w:szCs w:val="12"/>
                <w:color w:val="auto"/>
              </w:rPr>
            </w:pPr>
          </w:p>
        </w:tc>
        <w:tc>
          <w:tcPr>
            <w:tcW w:w="3720" w:type="dxa"/>
            <w:vAlign w:val="bottom"/>
            <w:tcBorders>
              <w:top w:val="single" w:sz="8" w:color="CCEEFF"/>
            </w:tcBorders>
            <w:gridSpan w:val="2"/>
            <w:shd w:val="clear" w:color="auto" w:fill="CCEEFF"/>
          </w:tcPr>
          <w:p>
            <w:pPr>
              <w:spacing w:after="0" w:line="144" w:lineRule="exact"/>
              <w:rPr>
                <w:sz w:val="20"/>
                <w:szCs w:val="20"/>
                <w:color w:val="auto"/>
              </w:rPr>
            </w:pPr>
            <w:r>
              <w:rPr>
                <w:rFonts w:ascii="Arial" w:cs="Arial" w:eastAsia="Arial" w:hAnsi="Arial"/>
                <w:sz w:val="13"/>
                <w:szCs w:val="13"/>
                <w:color w:val="auto"/>
              </w:rPr>
              <w:t>Wages and salaries</w:t>
            </w:r>
          </w:p>
        </w:tc>
        <w:tc>
          <w:tcPr>
            <w:tcW w:w="3120" w:type="dxa"/>
            <w:vAlign w:val="bottom"/>
            <w:tcBorders>
              <w:top w:val="single" w:sz="8" w:color="CCEEFF"/>
            </w:tcBorders>
            <w:shd w:val="clear" w:color="auto" w:fill="CCEEFF"/>
          </w:tcPr>
          <w:p>
            <w:pPr>
              <w:spacing w:after="0"/>
              <w:rPr>
                <w:sz w:val="12"/>
                <w:szCs w:val="12"/>
                <w:color w:val="auto"/>
              </w:rPr>
            </w:pPr>
          </w:p>
        </w:tc>
        <w:tc>
          <w:tcPr>
            <w:tcW w:w="12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18,487</w:t>
            </w:r>
          </w:p>
        </w:tc>
        <w:tc>
          <w:tcPr>
            <w:tcW w:w="24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16,191</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16,132</w:t>
            </w:r>
          </w:p>
        </w:tc>
        <w:tc>
          <w:tcPr>
            <w:tcW w:w="100" w:type="dxa"/>
            <w:vAlign w:val="bottom"/>
            <w:tcBorders>
              <w:top w:val="single" w:sz="8" w:color="CCEEFF"/>
            </w:tcBorders>
            <w:shd w:val="clear" w:color="auto" w:fill="CCEEFF"/>
          </w:tcPr>
          <w:p>
            <w:pPr>
              <w:spacing w:after="0"/>
              <w:rPr>
                <w:sz w:val="12"/>
                <w:szCs w:val="12"/>
                <w:color w:val="auto"/>
              </w:rPr>
            </w:pPr>
          </w:p>
        </w:tc>
        <w:tc>
          <w:tcPr>
            <w:tcW w:w="240" w:type="dxa"/>
            <w:vAlign w:val="bottom"/>
          </w:tcPr>
          <w:p>
            <w:pPr>
              <w:spacing w:after="0"/>
              <w:rPr>
                <w:sz w:val="12"/>
                <w:szCs w:val="12"/>
                <w:color w:val="auto"/>
              </w:rPr>
            </w:pPr>
          </w:p>
        </w:tc>
      </w:tr>
      <w:tr>
        <w:trPr>
          <w:trHeight w:val="154"/>
        </w:trPr>
        <w:tc>
          <w:tcPr>
            <w:tcW w:w="220" w:type="dxa"/>
            <w:vAlign w:val="bottom"/>
          </w:tcPr>
          <w:p>
            <w:pPr>
              <w:spacing w:after="0"/>
              <w:rPr>
                <w:sz w:val="13"/>
                <w:szCs w:val="13"/>
                <w:color w:val="auto"/>
              </w:rPr>
            </w:pPr>
          </w:p>
        </w:tc>
        <w:tc>
          <w:tcPr>
            <w:tcW w:w="3720" w:type="dxa"/>
            <w:vAlign w:val="bottom"/>
            <w:gridSpan w:val="2"/>
          </w:tcPr>
          <w:p>
            <w:pPr>
              <w:spacing w:after="0"/>
              <w:rPr>
                <w:sz w:val="20"/>
                <w:szCs w:val="20"/>
                <w:color w:val="auto"/>
              </w:rPr>
            </w:pPr>
            <w:r>
              <w:rPr>
                <w:rFonts w:ascii="Arial" w:cs="Arial" w:eastAsia="Arial" w:hAnsi="Arial"/>
                <w:sz w:val="13"/>
                <w:szCs w:val="13"/>
                <w:color w:val="auto"/>
              </w:rPr>
              <w:t>Payroll taxes</w:t>
            </w:r>
          </w:p>
        </w:tc>
        <w:tc>
          <w:tcPr>
            <w:tcW w:w="4340" w:type="dxa"/>
            <w:vAlign w:val="bottom"/>
            <w:gridSpan w:val="2"/>
          </w:tcPr>
          <w:p>
            <w:pPr>
              <w:jc w:val="right"/>
              <w:spacing w:after="0"/>
              <w:rPr>
                <w:sz w:val="20"/>
                <w:szCs w:val="20"/>
                <w:color w:val="auto"/>
              </w:rPr>
            </w:pPr>
            <w:r>
              <w:rPr>
                <w:rFonts w:ascii="Arial" w:cs="Arial" w:eastAsia="Arial" w:hAnsi="Arial"/>
                <w:sz w:val="13"/>
                <w:szCs w:val="13"/>
                <w:color w:val="auto"/>
              </w:rPr>
              <w:t>2,120</w:t>
            </w:r>
          </w:p>
        </w:tc>
        <w:tc>
          <w:tcPr>
            <w:tcW w:w="240" w:type="dxa"/>
            <w:vAlign w:val="bottom"/>
          </w:tcPr>
          <w:p>
            <w:pPr>
              <w:spacing w:after="0"/>
              <w:rPr>
                <w:sz w:val="13"/>
                <w:szCs w:val="13"/>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2,629</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2,244</w:t>
            </w:r>
          </w:p>
        </w:tc>
        <w:tc>
          <w:tcPr>
            <w:tcW w:w="24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372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Personnel benefits</w:t>
            </w:r>
          </w:p>
        </w:tc>
        <w:tc>
          <w:tcPr>
            <w:tcW w:w="434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6,732</w:t>
            </w:r>
          </w:p>
        </w:tc>
        <w:tc>
          <w:tcPr>
            <w:tcW w:w="24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8,644</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5,231</w:t>
            </w:r>
          </w:p>
        </w:tc>
        <w:tc>
          <w:tcPr>
            <w:tcW w:w="240" w:type="dxa"/>
            <w:vAlign w:val="bottom"/>
          </w:tcPr>
          <w:p>
            <w:pPr>
              <w:spacing w:after="0"/>
              <w:rPr>
                <w:sz w:val="13"/>
                <w:szCs w:val="13"/>
                <w:color w:val="auto"/>
              </w:rPr>
            </w:pPr>
          </w:p>
        </w:tc>
      </w:tr>
      <w:tr>
        <w:trPr>
          <w:trHeight w:val="163"/>
        </w:trPr>
        <w:tc>
          <w:tcPr>
            <w:tcW w:w="220" w:type="dxa"/>
            <w:vAlign w:val="bottom"/>
          </w:tcPr>
          <w:p>
            <w:pPr>
              <w:spacing w:after="0"/>
              <w:rPr>
                <w:sz w:val="14"/>
                <w:szCs w:val="14"/>
                <w:color w:val="auto"/>
              </w:rPr>
            </w:pPr>
          </w:p>
        </w:tc>
        <w:tc>
          <w:tcPr>
            <w:tcW w:w="3720" w:type="dxa"/>
            <w:vAlign w:val="bottom"/>
            <w:gridSpan w:val="2"/>
          </w:tcPr>
          <w:p>
            <w:pPr>
              <w:spacing w:after="0"/>
              <w:rPr>
                <w:sz w:val="20"/>
                <w:szCs w:val="20"/>
                <w:color w:val="auto"/>
              </w:rPr>
            </w:pPr>
            <w:r>
              <w:rPr>
                <w:rFonts w:ascii="Arial" w:cs="Arial" w:eastAsia="Arial" w:hAnsi="Arial"/>
                <w:sz w:val="13"/>
                <w:szCs w:val="13"/>
                <w:color w:val="auto"/>
              </w:rPr>
              <w:t>Share–based payments</w:t>
            </w:r>
          </w:p>
        </w:tc>
        <w:tc>
          <w:tcPr>
            <w:tcW w:w="4580" w:type="dxa"/>
            <w:vAlign w:val="bottom"/>
            <w:gridSpan w:val="3"/>
          </w:tcPr>
          <w:p>
            <w:pPr>
              <w:jc w:val="right"/>
              <w:ind w:right="240"/>
              <w:spacing w:after="0"/>
              <w:rPr>
                <w:sz w:val="20"/>
                <w:szCs w:val="20"/>
                <w:color w:val="auto"/>
              </w:rPr>
            </w:pPr>
            <w:r>
              <w:rPr>
                <w:rFonts w:ascii="Arial" w:cs="Arial" w:eastAsia="Arial" w:hAnsi="Arial"/>
                <w:sz w:val="13"/>
                <w:szCs w:val="13"/>
                <w:color w:val="auto"/>
              </w:rPr>
              <w:t>650</w:t>
            </w: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189</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1,589</w:t>
            </w:r>
          </w:p>
        </w:tc>
        <w:tc>
          <w:tcPr>
            <w:tcW w:w="240" w:type="dxa"/>
            <w:vAlign w:val="bottom"/>
          </w:tcPr>
          <w:p>
            <w:pPr>
              <w:spacing w:after="0"/>
              <w:rPr>
                <w:sz w:val="14"/>
                <w:szCs w:val="14"/>
                <w:color w:val="auto"/>
              </w:rPr>
            </w:pPr>
          </w:p>
        </w:tc>
      </w:tr>
      <w:tr>
        <w:trPr>
          <w:trHeight w:val="174"/>
        </w:trPr>
        <w:tc>
          <w:tcPr>
            <w:tcW w:w="220" w:type="dxa"/>
            <w:vAlign w:val="bottom"/>
          </w:tcPr>
          <w:p>
            <w:pPr>
              <w:spacing w:after="0"/>
              <w:rPr>
                <w:sz w:val="15"/>
                <w:szCs w:val="15"/>
                <w:color w:val="auto"/>
              </w:rPr>
            </w:pPr>
          </w:p>
        </w:tc>
        <w:tc>
          <w:tcPr>
            <w:tcW w:w="3720" w:type="dxa"/>
            <w:vAlign w:val="bottom"/>
            <w:tcBorders>
              <w:top w:val="single" w:sz="8" w:color="CCEEFF"/>
              <w:bottom w:val="single" w:sz="8" w:color="CCEEFF"/>
            </w:tcBorders>
            <w:gridSpan w:val="2"/>
            <w:shd w:val="clear" w:color="auto" w:fill="CCEEFF"/>
          </w:tcPr>
          <w:p>
            <w:pPr>
              <w:spacing w:after="0" w:line="143" w:lineRule="exact"/>
              <w:rPr>
                <w:sz w:val="20"/>
                <w:szCs w:val="20"/>
                <w:color w:val="auto"/>
              </w:rPr>
            </w:pPr>
            <w:r>
              <w:rPr>
                <w:rFonts w:ascii="Arial" w:cs="Arial" w:eastAsia="Arial" w:hAnsi="Arial"/>
                <w:sz w:val="13"/>
                <w:szCs w:val="13"/>
                <w:color w:val="auto"/>
              </w:rPr>
              <w:t>Total</w:t>
            </w:r>
          </w:p>
        </w:tc>
        <w:tc>
          <w:tcPr>
            <w:tcW w:w="3120" w:type="dxa"/>
            <w:vAlign w:val="bottom"/>
            <w:tcBorders>
              <w:top w:val="single" w:sz="8" w:color="CCEEFF"/>
              <w:bottom w:val="single" w:sz="8" w:color="CCEEFF"/>
            </w:tcBorders>
            <w:shd w:val="clear" w:color="auto" w:fill="CCEEFF"/>
          </w:tcPr>
          <w:p>
            <w:pPr>
              <w:spacing w:after="0"/>
              <w:rPr>
                <w:sz w:val="15"/>
                <w:szCs w:val="15"/>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27,989</w:t>
            </w:r>
          </w:p>
        </w:tc>
        <w:tc>
          <w:tcPr>
            <w:tcW w:w="240" w:type="dxa"/>
            <w:vAlign w:val="bottom"/>
            <w:tcBorders>
              <w:top w:val="single" w:sz="8" w:color="CCEEFF"/>
              <w:bottom w:val="single" w:sz="8" w:color="CCEEFF"/>
            </w:tcBorders>
            <w:shd w:val="clear" w:color="auto" w:fill="CCEEFF"/>
          </w:tcPr>
          <w:p>
            <w:pPr>
              <w:spacing w:after="0"/>
              <w:rPr>
                <w:sz w:val="15"/>
                <w:szCs w:val="15"/>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27,653</w:t>
            </w:r>
          </w:p>
        </w:tc>
        <w:tc>
          <w:tcPr>
            <w:tcW w:w="220" w:type="dxa"/>
            <w:vAlign w:val="bottom"/>
            <w:tcBorders>
              <w:top w:val="single" w:sz="8" w:color="CCEEFF"/>
              <w:bottom w:val="single" w:sz="8" w:color="CCEEFF"/>
            </w:tcBorders>
            <w:shd w:val="clear" w:color="auto" w:fill="CCEEFF"/>
          </w:tcPr>
          <w:p>
            <w:pPr>
              <w:spacing w:after="0"/>
              <w:rPr>
                <w:sz w:val="15"/>
                <w:szCs w:val="15"/>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25,196</w:t>
            </w:r>
          </w:p>
        </w:tc>
        <w:tc>
          <w:tcPr>
            <w:tcW w:w="100" w:type="dxa"/>
            <w:vAlign w:val="bottom"/>
            <w:tcBorders>
              <w:top w:val="single" w:sz="8" w:color="CCEEFF"/>
              <w:bottom w:val="single" w:sz="8" w:color="CCEEFF"/>
            </w:tcBorders>
            <w:shd w:val="clear" w:color="auto" w:fill="CCEEFF"/>
          </w:tcPr>
          <w:p>
            <w:pPr>
              <w:spacing w:after="0"/>
              <w:rPr>
                <w:sz w:val="15"/>
                <w:szCs w:val="15"/>
                <w:color w:val="auto"/>
              </w:rPr>
            </w:pPr>
          </w:p>
        </w:tc>
        <w:tc>
          <w:tcPr>
            <w:tcW w:w="240" w:type="dxa"/>
            <w:vAlign w:val="bottom"/>
          </w:tcPr>
          <w:p>
            <w:pPr>
              <w:spacing w:after="0"/>
              <w:rPr>
                <w:sz w:val="15"/>
                <w:szCs w:val="15"/>
                <w:color w:val="auto"/>
              </w:rPr>
            </w:pPr>
          </w:p>
        </w:tc>
      </w:tr>
      <w:tr>
        <w:trPr>
          <w:trHeight w:val="296"/>
        </w:trPr>
        <w:tc>
          <w:tcPr>
            <w:tcW w:w="3940" w:type="dxa"/>
            <w:vAlign w:val="bottom"/>
            <w:gridSpan w:val="3"/>
          </w:tcPr>
          <w:p>
            <w:pPr>
              <w:spacing w:after="0"/>
              <w:rPr>
                <w:sz w:val="20"/>
                <w:szCs w:val="20"/>
                <w:color w:val="auto"/>
              </w:rPr>
            </w:pPr>
            <w:r>
              <w:rPr>
                <w:rFonts w:ascii="Arial" w:cs="Arial" w:eastAsia="Arial" w:hAnsi="Arial"/>
                <w:sz w:val="13"/>
                <w:szCs w:val="13"/>
                <w:b w:val="1"/>
                <w:bCs w:val="1"/>
                <w:color w:val="auto"/>
              </w:rPr>
              <w:t>29. Other expenses</w:t>
            </w:r>
          </w:p>
        </w:tc>
        <w:tc>
          <w:tcPr>
            <w:tcW w:w="312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r>
      <w:tr>
        <w:trPr>
          <w:trHeight w:val="318"/>
        </w:trPr>
        <w:tc>
          <w:tcPr>
            <w:tcW w:w="22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3160" w:type="dxa"/>
            <w:vAlign w:val="bottom"/>
          </w:tcPr>
          <w:p>
            <w:pPr>
              <w:spacing w:after="0"/>
              <w:rPr>
                <w:sz w:val="24"/>
                <w:szCs w:val="24"/>
                <w:color w:val="auto"/>
              </w:rPr>
            </w:pPr>
          </w:p>
        </w:tc>
        <w:tc>
          <w:tcPr>
            <w:tcW w:w="3120" w:type="dxa"/>
            <w:vAlign w:val="bottom"/>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gridSpan w:val="2"/>
          </w:tcPr>
          <w:p>
            <w:pPr>
              <w:ind w:left="200"/>
              <w:spacing w:after="0"/>
              <w:rPr>
                <w:sz w:val="20"/>
                <w:szCs w:val="20"/>
                <w:color w:val="auto"/>
              </w:rPr>
            </w:pPr>
            <w:r>
              <w:rPr>
                <w:rFonts w:ascii="Arial" w:cs="Arial" w:eastAsia="Arial" w:hAnsi="Arial"/>
                <w:sz w:val="13"/>
                <w:szCs w:val="13"/>
                <w:b w:val="1"/>
                <w:bCs w:val="1"/>
                <w:color w:val="auto"/>
              </w:rPr>
              <w:t>December 31,</w:t>
            </w:r>
          </w:p>
        </w:tc>
        <w:tc>
          <w:tcPr>
            <w:tcW w:w="120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r>
      <w:tr>
        <w:trPr>
          <w:trHeight w:val="154"/>
        </w:trPr>
        <w:tc>
          <w:tcPr>
            <w:tcW w:w="220" w:type="dxa"/>
            <w:vAlign w:val="bottom"/>
          </w:tcPr>
          <w:p>
            <w:pPr>
              <w:spacing w:after="0"/>
              <w:rPr>
                <w:sz w:val="13"/>
                <w:szCs w:val="13"/>
                <w:color w:val="auto"/>
              </w:rPr>
            </w:pPr>
          </w:p>
        </w:tc>
        <w:tc>
          <w:tcPr>
            <w:tcW w:w="560" w:type="dxa"/>
            <w:vAlign w:val="bottom"/>
            <w:tcBorders>
              <w:bottom w:val="single" w:sz="8" w:color="CCEEFF"/>
            </w:tcBorders>
          </w:tcPr>
          <w:p>
            <w:pPr>
              <w:spacing w:after="0"/>
              <w:rPr>
                <w:sz w:val="13"/>
                <w:szCs w:val="13"/>
                <w:color w:val="auto"/>
              </w:rPr>
            </w:pPr>
          </w:p>
        </w:tc>
        <w:tc>
          <w:tcPr>
            <w:tcW w:w="3160" w:type="dxa"/>
            <w:vAlign w:val="bottom"/>
            <w:tcBorders>
              <w:bottom w:val="single" w:sz="8" w:color="CCEEFF"/>
            </w:tcBorders>
          </w:tcPr>
          <w:p>
            <w:pPr>
              <w:spacing w:after="0"/>
              <w:rPr>
                <w:sz w:val="13"/>
                <w:szCs w:val="13"/>
                <w:color w:val="auto"/>
              </w:rPr>
            </w:pPr>
          </w:p>
        </w:tc>
        <w:tc>
          <w:tcPr>
            <w:tcW w:w="3120" w:type="dxa"/>
            <w:vAlign w:val="bottom"/>
            <w:tcBorders>
              <w:bottom w:val="single" w:sz="8" w:color="CCEEFF"/>
            </w:tcBorders>
          </w:tcPr>
          <w:p>
            <w:pPr>
              <w:spacing w:after="0"/>
              <w:rPr>
                <w:sz w:val="13"/>
                <w:szCs w:val="13"/>
                <w:color w:val="auto"/>
              </w:rPr>
            </w:pPr>
          </w:p>
        </w:tc>
        <w:tc>
          <w:tcPr>
            <w:tcW w:w="1220" w:type="dxa"/>
            <w:vAlign w:val="bottom"/>
            <w:tcBorders>
              <w:bottom w:val="single" w:sz="8" w:color="auto"/>
            </w:tcBorders>
          </w:tcPr>
          <w:p>
            <w:pPr>
              <w:jc w:val="right"/>
              <w:ind w:right="416"/>
              <w:spacing w:after="0"/>
              <w:rPr>
                <w:sz w:val="20"/>
                <w:szCs w:val="20"/>
                <w:color w:val="auto"/>
              </w:rPr>
            </w:pPr>
            <w:r>
              <w:rPr>
                <w:rFonts w:ascii="Arial" w:cs="Arial" w:eastAsia="Arial" w:hAnsi="Arial"/>
                <w:sz w:val="13"/>
                <w:szCs w:val="13"/>
                <w:b w:val="1"/>
                <w:bCs w:val="1"/>
                <w:color w:val="auto"/>
              </w:rPr>
              <w:t>2018</w:t>
            </w:r>
          </w:p>
        </w:tc>
        <w:tc>
          <w:tcPr>
            <w:tcW w:w="240" w:type="dxa"/>
            <w:vAlign w:val="bottom"/>
            <w:tcBorders>
              <w:bottom w:val="single" w:sz="8" w:color="CCEEFF"/>
            </w:tcBorders>
          </w:tcPr>
          <w:p>
            <w:pPr>
              <w:spacing w:after="0"/>
              <w:rPr>
                <w:sz w:val="13"/>
                <w:szCs w:val="13"/>
                <w:color w:val="auto"/>
              </w:rPr>
            </w:pPr>
          </w:p>
        </w:tc>
        <w:tc>
          <w:tcPr>
            <w:tcW w:w="1200" w:type="dxa"/>
            <w:vAlign w:val="bottom"/>
            <w:tcBorders>
              <w:bottom w:val="single" w:sz="8" w:color="auto"/>
            </w:tcBorders>
          </w:tcPr>
          <w:p>
            <w:pPr>
              <w:jc w:val="right"/>
              <w:ind w:right="416"/>
              <w:spacing w:after="0"/>
              <w:rPr>
                <w:sz w:val="20"/>
                <w:szCs w:val="20"/>
                <w:color w:val="auto"/>
              </w:rPr>
            </w:pPr>
            <w:r>
              <w:rPr>
                <w:rFonts w:ascii="Arial" w:cs="Arial" w:eastAsia="Arial" w:hAnsi="Arial"/>
                <w:sz w:val="13"/>
                <w:szCs w:val="13"/>
                <w:b w:val="1"/>
                <w:bCs w:val="1"/>
                <w:color w:val="auto"/>
              </w:rPr>
              <w:t>2017</w:t>
            </w:r>
          </w:p>
        </w:tc>
        <w:tc>
          <w:tcPr>
            <w:tcW w:w="220" w:type="dxa"/>
            <w:vAlign w:val="bottom"/>
            <w:tcBorders>
              <w:bottom w:val="single" w:sz="8" w:color="CCEEFF"/>
            </w:tcBorders>
          </w:tcPr>
          <w:p>
            <w:pPr>
              <w:spacing w:after="0"/>
              <w:rPr>
                <w:sz w:val="13"/>
                <w:szCs w:val="13"/>
                <w:color w:val="auto"/>
              </w:rPr>
            </w:pPr>
          </w:p>
        </w:tc>
        <w:tc>
          <w:tcPr>
            <w:tcW w:w="1200" w:type="dxa"/>
            <w:vAlign w:val="bottom"/>
            <w:tcBorders>
              <w:bottom w:val="single" w:sz="8" w:color="auto"/>
            </w:tcBorders>
          </w:tcPr>
          <w:p>
            <w:pPr>
              <w:jc w:val="right"/>
              <w:ind w:right="416"/>
              <w:spacing w:after="0"/>
              <w:rPr>
                <w:sz w:val="20"/>
                <w:szCs w:val="20"/>
                <w:color w:val="auto"/>
              </w:rPr>
            </w:pPr>
            <w:r>
              <w:rPr>
                <w:rFonts w:ascii="Arial" w:cs="Arial" w:eastAsia="Arial" w:hAnsi="Arial"/>
                <w:sz w:val="13"/>
                <w:szCs w:val="13"/>
                <w:b w:val="1"/>
                <w:bCs w:val="1"/>
                <w:color w:val="auto"/>
              </w:rPr>
              <w:t>2016</w:t>
            </w:r>
          </w:p>
        </w:tc>
        <w:tc>
          <w:tcPr>
            <w:tcW w:w="100" w:type="dxa"/>
            <w:vAlign w:val="bottom"/>
            <w:tcBorders>
              <w:bottom w:val="single" w:sz="8" w:color="CCEEFF"/>
            </w:tcBorders>
          </w:tcPr>
          <w:p>
            <w:pPr>
              <w:spacing w:after="0"/>
              <w:rPr>
                <w:sz w:val="13"/>
                <w:szCs w:val="13"/>
                <w:color w:val="auto"/>
              </w:rPr>
            </w:pPr>
          </w:p>
        </w:tc>
        <w:tc>
          <w:tcPr>
            <w:tcW w:w="240" w:type="dxa"/>
            <w:vAlign w:val="bottom"/>
          </w:tcPr>
          <w:p>
            <w:pPr>
              <w:spacing w:after="0"/>
              <w:rPr>
                <w:sz w:val="13"/>
                <w:szCs w:val="13"/>
                <w:color w:val="auto"/>
              </w:rPr>
            </w:pPr>
          </w:p>
        </w:tc>
      </w:tr>
      <w:tr>
        <w:trPr>
          <w:trHeight w:val="144"/>
        </w:trPr>
        <w:tc>
          <w:tcPr>
            <w:tcW w:w="220" w:type="dxa"/>
            <w:vAlign w:val="bottom"/>
          </w:tcPr>
          <w:p>
            <w:pPr>
              <w:spacing w:after="0"/>
              <w:rPr>
                <w:sz w:val="12"/>
                <w:szCs w:val="12"/>
                <w:color w:val="auto"/>
              </w:rPr>
            </w:pPr>
          </w:p>
        </w:tc>
        <w:tc>
          <w:tcPr>
            <w:tcW w:w="3720" w:type="dxa"/>
            <w:vAlign w:val="bottom"/>
            <w:gridSpan w:val="2"/>
            <w:shd w:val="clear" w:color="auto" w:fill="CCEEFF"/>
          </w:tcPr>
          <w:p>
            <w:pPr>
              <w:spacing w:after="0" w:line="143" w:lineRule="exact"/>
              <w:rPr>
                <w:sz w:val="20"/>
                <w:szCs w:val="20"/>
                <w:color w:val="auto"/>
              </w:rPr>
            </w:pPr>
            <w:r>
              <w:rPr>
                <w:rFonts w:ascii="Arial" w:cs="Arial" w:eastAsia="Arial" w:hAnsi="Arial"/>
                <w:sz w:val="13"/>
                <w:szCs w:val="13"/>
                <w:color w:val="auto"/>
              </w:rPr>
              <w:t>Advertising and marketing</w:t>
            </w:r>
          </w:p>
        </w:tc>
        <w:tc>
          <w:tcPr>
            <w:tcW w:w="3120" w:type="dxa"/>
            <w:vAlign w:val="bottom"/>
            <w:shd w:val="clear" w:color="auto" w:fill="CCEEFF"/>
          </w:tcPr>
          <w:p>
            <w:pPr>
              <w:spacing w:after="0"/>
              <w:rPr>
                <w:sz w:val="12"/>
                <w:szCs w:val="12"/>
                <w:color w:val="auto"/>
              </w:rPr>
            </w:pPr>
          </w:p>
        </w:tc>
        <w:tc>
          <w:tcPr>
            <w:tcW w:w="122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color w:val="auto"/>
              </w:rPr>
              <w:t>337</w:t>
            </w:r>
          </w:p>
        </w:tc>
        <w:tc>
          <w:tcPr>
            <w:tcW w:w="240" w:type="dxa"/>
            <w:vAlign w:val="bottom"/>
            <w:shd w:val="clear" w:color="auto" w:fill="CCEEFF"/>
          </w:tcPr>
          <w:p>
            <w:pPr>
              <w:spacing w:after="0"/>
              <w:rPr>
                <w:sz w:val="12"/>
                <w:szCs w:val="12"/>
                <w:color w:val="auto"/>
              </w:rPr>
            </w:pPr>
          </w:p>
        </w:tc>
        <w:tc>
          <w:tcPr>
            <w:tcW w:w="120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color w:val="auto"/>
              </w:rPr>
              <w:t>683</w:t>
            </w:r>
          </w:p>
        </w:tc>
        <w:tc>
          <w:tcPr>
            <w:tcW w:w="220" w:type="dxa"/>
            <w:vAlign w:val="bottom"/>
            <w:shd w:val="clear" w:color="auto" w:fill="CCEEFF"/>
          </w:tcPr>
          <w:p>
            <w:pPr>
              <w:spacing w:after="0"/>
              <w:rPr>
                <w:sz w:val="12"/>
                <w:szCs w:val="12"/>
                <w:color w:val="auto"/>
              </w:rPr>
            </w:pPr>
          </w:p>
        </w:tc>
        <w:tc>
          <w:tcPr>
            <w:tcW w:w="120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color w:val="auto"/>
              </w:rPr>
              <w:t>785</w:t>
            </w:r>
          </w:p>
        </w:tc>
        <w:tc>
          <w:tcPr>
            <w:tcW w:w="100" w:type="dxa"/>
            <w:vAlign w:val="bottom"/>
            <w:shd w:val="clear" w:color="auto" w:fill="CCEEFF"/>
          </w:tcPr>
          <w:p>
            <w:pPr>
              <w:spacing w:after="0"/>
              <w:rPr>
                <w:sz w:val="12"/>
                <w:szCs w:val="12"/>
                <w:color w:val="auto"/>
              </w:rPr>
            </w:pPr>
          </w:p>
        </w:tc>
        <w:tc>
          <w:tcPr>
            <w:tcW w:w="240" w:type="dxa"/>
            <w:vAlign w:val="bottom"/>
          </w:tcPr>
          <w:p>
            <w:pPr>
              <w:spacing w:after="0"/>
              <w:rPr>
                <w:sz w:val="12"/>
                <w:szCs w:val="12"/>
                <w:color w:val="auto"/>
              </w:rPr>
            </w:pPr>
          </w:p>
        </w:tc>
      </w:tr>
      <w:tr>
        <w:trPr>
          <w:trHeight w:val="154"/>
        </w:trPr>
        <w:tc>
          <w:tcPr>
            <w:tcW w:w="220" w:type="dxa"/>
            <w:vAlign w:val="bottom"/>
          </w:tcPr>
          <w:p>
            <w:pPr>
              <w:spacing w:after="0"/>
              <w:rPr>
                <w:sz w:val="13"/>
                <w:szCs w:val="13"/>
                <w:color w:val="auto"/>
              </w:rPr>
            </w:pPr>
          </w:p>
        </w:tc>
        <w:tc>
          <w:tcPr>
            <w:tcW w:w="3720" w:type="dxa"/>
            <w:vAlign w:val="bottom"/>
            <w:gridSpan w:val="2"/>
          </w:tcPr>
          <w:p>
            <w:pPr>
              <w:spacing w:after="0"/>
              <w:rPr>
                <w:sz w:val="20"/>
                <w:szCs w:val="20"/>
                <w:color w:val="auto"/>
              </w:rPr>
            </w:pPr>
            <w:r>
              <w:rPr>
                <w:rFonts w:ascii="Arial" w:cs="Arial" w:eastAsia="Arial" w:hAnsi="Arial"/>
                <w:sz w:val="13"/>
                <w:szCs w:val="13"/>
                <w:color w:val="auto"/>
              </w:rPr>
              <w:t>Regulatory fees</w:t>
            </w:r>
          </w:p>
        </w:tc>
        <w:tc>
          <w:tcPr>
            <w:tcW w:w="4340" w:type="dxa"/>
            <w:vAlign w:val="bottom"/>
            <w:gridSpan w:val="2"/>
          </w:tcPr>
          <w:p>
            <w:pPr>
              <w:jc w:val="right"/>
              <w:spacing w:after="0"/>
              <w:rPr>
                <w:sz w:val="20"/>
                <w:szCs w:val="20"/>
                <w:color w:val="auto"/>
              </w:rPr>
            </w:pPr>
            <w:r>
              <w:rPr>
                <w:rFonts w:ascii="Arial" w:cs="Arial" w:eastAsia="Arial" w:hAnsi="Arial"/>
                <w:sz w:val="13"/>
                <w:szCs w:val="13"/>
                <w:color w:val="auto"/>
              </w:rPr>
              <w:t>1,246</w:t>
            </w:r>
          </w:p>
        </w:tc>
        <w:tc>
          <w:tcPr>
            <w:tcW w:w="240" w:type="dxa"/>
            <w:vAlign w:val="bottom"/>
          </w:tcPr>
          <w:p>
            <w:pPr>
              <w:spacing w:after="0"/>
              <w:rPr>
                <w:sz w:val="13"/>
                <w:szCs w:val="13"/>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977</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1,348</w:t>
            </w:r>
          </w:p>
        </w:tc>
        <w:tc>
          <w:tcPr>
            <w:tcW w:w="24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372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Rental - office premises and equipment</w:t>
            </w:r>
          </w:p>
        </w:tc>
        <w:tc>
          <w:tcPr>
            <w:tcW w:w="434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2,913</w:t>
            </w:r>
          </w:p>
        </w:tc>
        <w:tc>
          <w:tcPr>
            <w:tcW w:w="24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2,394</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2,681</w:t>
            </w:r>
          </w:p>
        </w:tc>
        <w:tc>
          <w:tcPr>
            <w:tcW w:w="24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3720" w:type="dxa"/>
            <w:vAlign w:val="bottom"/>
            <w:gridSpan w:val="2"/>
          </w:tcPr>
          <w:p>
            <w:pPr>
              <w:spacing w:after="0"/>
              <w:rPr>
                <w:sz w:val="20"/>
                <w:szCs w:val="20"/>
                <w:color w:val="auto"/>
              </w:rPr>
            </w:pPr>
            <w:r>
              <w:rPr>
                <w:rFonts w:ascii="Arial" w:cs="Arial" w:eastAsia="Arial" w:hAnsi="Arial"/>
                <w:sz w:val="13"/>
                <w:szCs w:val="13"/>
                <w:color w:val="auto"/>
              </w:rPr>
              <w:t>Administrative</w:t>
            </w:r>
          </w:p>
        </w:tc>
        <w:tc>
          <w:tcPr>
            <w:tcW w:w="4340" w:type="dxa"/>
            <w:vAlign w:val="bottom"/>
            <w:gridSpan w:val="2"/>
          </w:tcPr>
          <w:p>
            <w:pPr>
              <w:jc w:val="right"/>
              <w:spacing w:after="0"/>
              <w:rPr>
                <w:sz w:val="20"/>
                <w:szCs w:val="20"/>
                <w:color w:val="auto"/>
              </w:rPr>
            </w:pPr>
            <w:r>
              <w:rPr>
                <w:rFonts w:ascii="Arial" w:cs="Arial" w:eastAsia="Arial" w:hAnsi="Arial"/>
                <w:sz w:val="13"/>
                <w:szCs w:val="13"/>
                <w:color w:val="auto"/>
              </w:rPr>
              <w:t>6,391</w:t>
            </w:r>
          </w:p>
        </w:tc>
        <w:tc>
          <w:tcPr>
            <w:tcW w:w="240" w:type="dxa"/>
            <w:vAlign w:val="bottom"/>
          </w:tcPr>
          <w:p>
            <w:pPr>
              <w:spacing w:after="0"/>
              <w:rPr>
                <w:sz w:val="13"/>
                <w:szCs w:val="13"/>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6,846</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7,468</w:t>
            </w:r>
          </w:p>
        </w:tc>
        <w:tc>
          <w:tcPr>
            <w:tcW w:w="24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372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Professional services</w:t>
            </w:r>
          </w:p>
        </w:tc>
        <w:tc>
          <w:tcPr>
            <w:tcW w:w="434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4,293</w:t>
            </w:r>
          </w:p>
        </w:tc>
        <w:tc>
          <w:tcPr>
            <w:tcW w:w="240" w:type="dxa"/>
            <w:vAlign w:val="bottom"/>
            <w:shd w:val="clear" w:color="auto" w:fill="CCEEFF"/>
          </w:tcPr>
          <w:p>
            <w:pPr>
              <w:spacing w:after="0"/>
              <w:rPr>
                <w:sz w:val="13"/>
                <w:szCs w:val="13"/>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3,911</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4,255</w:t>
            </w:r>
          </w:p>
        </w:tc>
        <w:tc>
          <w:tcPr>
            <w:tcW w:w="24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3720" w:type="dxa"/>
            <w:vAlign w:val="bottom"/>
            <w:gridSpan w:val="2"/>
          </w:tcPr>
          <w:p>
            <w:pPr>
              <w:spacing w:after="0"/>
              <w:rPr>
                <w:sz w:val="20"/>
                <w:szCs w:val="20"/>
                <w:color w:val="auto"/>
              </w:rPr>
            </w:pPr>
            <w:r>
              <w:rPr>
                <w:rFonts w:ascii="Arial" w:cs="Arial" w:eastAsia="Arial" w:hAnsi="Arial"/>
                <w:sz w:val="13"/>
                <w:szCs w:val="13"/>
                <w:color w:val="auto"/>
              </w:rPr>
              <w:t>Maintenance and repairs</w:t>
            </w:r>
          </w:p>
        </w:tc>
        <w:tc>
          <w:tcPr>
            <w:tcW w:w="4340" w:type="dxa"/>
            <w:vAlign w:val="bottom"/>
            <w:gridSpan w:val="2"/>
          </w:tcPr>
          <w:p>
            <w:pPr>
              <w:jc w:val="right"/>
              <w:spacing w:after="0"/>
              <w:rPr>
                <w:sz w:val="20"/>
                <w:szCs w:val="20"/>
                <w:color w:val="auto"/>
              </w:rPr>
            </w:pPr>
            <w:r>
              <w:rPr>
                <w:rFonts w:ascii="Arial" w:cs="Arial" w:eastAsia="Arial" w:hAnsi="Arial"/>
                <w:sz w:val="13"/>
                <w:szCs w:val="13"/>
                <w:color w:val="auto"/>
              </w:rPr>
              <w:t>2,912</w:t>
            </w:r>
          </w:p>
        </w:tc>
        <w:tc>
          <w:tcPr>
            <w:tcW w:w="240" w:type="dxa"/>
            <w:vAlign w:val="bottom"/>
          </w:tcPr>
          <w:p>
            <w:pPr>
              <w:spacing w:after="0"/>
              <w:rPr>
                <w:sz w:val="13"/>
                <w:szCs w:val="13"/>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1,673</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1,866</w:t>
            </w:r>
          </w:p>
        </w:tc>
        <w:tc>
          <w:tcPr>
            <w:tcW w:w="240" w:type="dxa"/>
            <w:vAlign w:val="bottom"/>
          </w:tcPr>
          <w:p>
            <w:pPr>
              <w:spacing w:after="0"/>
              <w:rPr>
                <w:sz w:val="13"/>
                <w:szCs w:val="13"/>
                <w:color w:val="auto"/>
              </w:rPr>
            </w:pPr>
          </w:p>
        </w:tc>
      </w:tr>
      <w:tr>
        <w:trPr>
          <w:trHeight w:val="164"/>
        </w:trPr>
        <w:tc>
          <w:tcPr>
            <w:tcW w:w="220" w:type="dxa"/>
            <w:vAlign w:val="bottom"/>
          </w:tcPr>
          <w:p>
            <w:pPr>
              <w:spacing w:after="0"/>
              <w:rPr>
                <w:sz w:val="14"/>
                <w:szCs w:val="14"/>
                <w:color w:val="auto"/>
              </w:rPr>
            </w:pPr>
          </w:p>
        </w:tc>
        <w:tc>
          <w:tcPr>
            <w:tcW w:w="372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Other</w:t>
            </w:r>
          </w:p>
        </w:tc>
        <w:tc>
          <w:tcPr>
            <w:tcW w:w="4580" w:type="dxa"/>
            <w:vAlign w:val="bottom"/>
            <w:gridSpan w:val="3"/>
            <w:shd w:val="clear" w:color="auto" w:fill="CCEEFF"/>
          </w:tcPr>
          <w:p>
            <w:pPr>
              <w:jc w:val="right"/>
              <w:ind w:right="240"/>
              <w:spacing w:after="0"/>
              <w:rPr>
                <w:sz w:val="20"/>
                <w:szCs w:val="20"/>
                <w:color w:val="auto"/>
              </w:rPr>
            </w:pPr>
            <w:r>
              <w:rPr>
                <w:rFonts w:ascii="Arial" w:cs="Arial" w:eastAsia="Arial" w:hAnsi="Arial"/>
                <w:sz w:val="13"/>
                <w:szCs w:val="13"/>
                <w:color w:val="auto"/>
              </w:rPr>
              <w:t>379</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322</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129</w:t>
            </w:r>
          </w:p>
        </w:tc>
        <w:tc>
          <w:tcPr>
            <w:tcW w:w="240" w:type="dxa"/>
            <w:vAlign w:val="bottom"/>
          </w:tcPr>
          <w:p>
            <w:pPr>
              <w:spacing w:after="0"/>
              <w:rPr>
                <w:sz w:val="14"/>
                <w:szCs w:val="14"/>
                <w:color w:val="auto"/>
              </w:rPr>
            </w:pPr>
          </w:p>
        </w:tc>
      </w:tr>
      <w:tr>
        <w:trPr>
          <w:trHeight w:val="162"/>
        </w:trPr>
        <w:tc>
          <w:tcPr>
            <w:tcW w:w="220" w:type="dxa"/>
            <w:vAlign w:val="bottom"/>
          </w:tcPr>
          <w:p>
            <w:pPr>
              <w:spacing w:after="0"/>
              <w:rPr>
                <w:sz w:val="14"/>
                <w:szCs w:val="14"/>
                <w:color w:val="auto"/>
              </w:rPr>
            </w:pPr>
          </w:p>
        </w:tc>
        <w:tc>
          <w:tcPr>
            <w:tcW w:w="3720" w:type="dxa"/>
            <w:vAlign w:val="bottom"/>
            <w:gridSpan w:val="2"/>
          </w:tcPr>
          <w:p>
            <w:pPr>
              <w:spacing w:after="0" w:line="143" w:lineRule="exact"/>
              <w:rPr>
                <w:sz w:val="20"/>
                <w:szCs w:val="20"/>
                <w:color w:val="auto"/>
              </w:rPr>
            </w:pPr>
            <w:r>
              <w:rPr>
                <w:rFonts w:ascii="Arial" w:cs="Arial" w:eastAsia="Arial" w:hAnsi="Arial"/>
                <w:sz w:val="13"/>
                <w:szCs w:val="13"/>
                <w:color w:val="auto"/>
              </w:rPr>
              <w:t>Total</w:t>
            </w:r>
          </w:p>
        </w:tc>
        <w:tc>
          <w:tcPr>
            <w:tcW w:w="3120" w:type="dxa"/>
            <w:vAlign w:val="bottom"/>
          </w:tcPr>
          <w:p>
            <w:pPr>
              <w:spacing w:after="0"/>
              <w:rPr>
                <w:sz w:val="14"/>
                <w:szCs w:val="14"/>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18,471</w:t>
            </w:r>
          </w:p>
        </w:tc>
        <w:tc>
          <w:tcPr>
            <w:tcW w:w="240" w:type="dxa"/>
            <w:vAlign w:val="bottom"/>
          </w:tcPr>
          <w:p>
            <w:pPr>
              <w:spacing w:after="0"/>
              <w:rPr>
                <w:sz w:val="14"/>
                <w:szCs w:val="14"/>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16,806</w:t>
            </w:r>
          </w:p>
        </w:tc>
        <w:tc>
          <w:tcPr>
            <w:tcW w:w="220" w:type="dxa"/>
            <w:vAlign w:val="bottom"/>
          </w:tcPr>
          <w:p>
            <w:pPr>
              <w:spacing w:after="0"/>
              <w:rPr>
                <w:sz w:val="14"/>
                <w:szCs w:val="14"/>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18,532</w:t>
            </w:r>
          </w:p>
        </w:tc>
        <w:tc>
          <w:tcPr>
            <w:tcW w:w="100" w:type="dxa"/>
            <w:vAlign w:val="bottom"/>
          </w:tcPr>
          <w:p>
            <w:pPr>
              <w:spacing w:after="0"/>
              <w:rPr>
                <w:sz w:val="14"/>
                <w:szCs w:val="14"/>
                <w:color w:val="auto"/>
              </w:rPr>
            </w:pPr>
          </w:p>
        </w:tc>
        <w:tc>
          <w:tcPr>
            <w:tcW w:w="240" w:type="dxa"/>
            <w:vAlign w:val="bottom"/>
          </w:tcPr>
          <w:p>
            <w:pPr>
              <w:spacing w:after="0"/>
              <w:rPr>
                <w:sz w:val="14"/>
                <w:szCs w:val="14"/>
                <w:color w:val="auto"/>
              </w:rPr>
            </w:pPr>
          </w:p>
        </w:tc>
      </w:tr>
      <w:tr>
        <w:trPr>
          <w:trHeight w:val="467"/>
        </w:trPr>
        <w:tc>
          <w:tcPr>
            <w:tcW w:w="22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3160" w:type="dxa"/>
            <w:vAlign w:val="bottom"/>
            <w:tcBorders>
              <w:bottom w:val="single" w:sz="8" w:color="auto"/>
            </w:tcBorders>
          </w:tcPr>
          <w:p>
            <w:pPr>
              <w:spacing w:after="0"/>
              <w:rPr>
                <w:sz w:val="24"/>
                <w:szCs w:val="24"/>
                <w:color w:val="auto"/>
              </w:rPr>
            </w:pPr>
          </w:p>
        </w:tc>
        <w:tc>
          <w:tcPr>
            <w:tcW w:w="4580" w:type="dxa"/>
            <w:vAlign w:val="bottom"/>
            <w:tcBorders>
              <w:bottom w:val="single" w:sz="8" w:color="auto"/>
            </w:tcBorders>
            <w:gridSpan w:val="3"/>
          </w:tcPr>
          <w:p>
            <w:pPr>
              <w:jc w:val="right"/>
              <w:ind w:right="2660"/>
              <w:spacing w:after="0"/>
              <w:rPr>
                <w:sz w:val="20"/>
                <w:szCs w:val="20"/>
                <w:color w:val="auto"/>
              </w:rPr>
            </w:pPr>
            <w:r>
              <w:rPr>
                <w:rFonts w:ascii="Arial" w:cs="Arial" w:eastAsia="Arial" w:hAnsi="Arial"/>
                <w:sz w:val="13"/>
                <w:szCs w:val="13"/>
                <w:color w:val="auto"/>
              </w:rPr>
              <w:t>F-94</w:t>
            </w: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r>
    </w:tbl>
    <w:p>
      <w:pPr>
        <w:sectPr>
          <w:pgSz w:w="11900" w:h="16838" w:orient="portrait"/>
          <w:cols w:equalWidth="0" w:num="1">
            <w:col w:w="11483"/>
          </w:cols>
          <w:pgMar w:left="217" w:top="685" w:right="199" w:bottom="1440" w:gutter="0" w:footer="0" w:header="0"/>
        </w:sectPr>
      </w:pPr>
    </w:p>
    <w:bookmarkStart w:id="219" w:name="page220"/>
    <w:bookmarkEnd w:id="219"/>
    <w:p>
      <w:pPr>
        <w:ind w:left="3"/>
        <w:spacing w:after="0"/>
        <w:rPr>
          <w:sz w:val="20"/>
          <w:szCs w:val="20"/>
          <w:color w:val="auto"/>
        </w:rPr>
      </w:pPr>
      <w:r>
        <w:rPr>
          <w:rFonts w:ascii="Arial" w:cs="Arial" w:eastAsia="Arial" w:hAnsi="Arial"/>
          <w:sz w:val="12"/>
          <w:szCs w:val="12"/>
          <w:b w:val="1"/>
          <w:bCs w:val="1"/>
          <w:color w:val="auto"/>
        </w:rPr>
        <w:t>Banco Latinoamericano de Comercio Exterior, S. A. and Subsidiaries</w:t>
      </w:r>
    </w:p>
    <w:p>
      <w:pPr>
        <w:spacing w:after="0" w:line="28"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1"/>
          <w:szCs w:val="11"/>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17780</wp:posOffset>
            </wp:positionV>
            <wp:extent cx="7285990" cy="6350"/>
            <wp:wrapNone/>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37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85" w:right="219" w:bottom="1440" w:gutter="0" w:footer="0" w:header="0"/>
        </w:sectPr>
      </w:pPr>
    </w:p>
    <w:p>
      <w:pPr>
        <w:spacing w:after="0" w:line="179" w:lineRule="exact"/>
        <w:rPr>
          <w:sz w:val="20"/>
          <w:szCs w:val="20"/>
          <w:color w:val="auto"/>
        </w:rPr>
      </w:pPr>
    </w:p>
    <w:p>
      <w:pPr>
        <w:ind w:left="223" w:hanging="223"/>
        <w:spacing w:after="0"/>
        <w:tabs>
          <w:tab w:leader="none" w:pos="223" w:val="left"/>
        </w:tabs>
        <w:numPr>
          <w:ilvl w:val="0"/>
          <w:numId w:val="187"/>
        </w:numPr>
        <w:rPr>
          <w:rFonts w:ascii="Arial" w:cs="Arial" w:eastAsia="Arial" w:hAnsi="Arial"/>
          <w:sz w:val="13"/>
          <w:szCs w:val="13"/>
          <w:b w:val="1"/>
          <w:bCs w:val="1"/>
          <w:color w:val="auto"/>
        </w:rPr>
      </w:pPr>
      <w:r>
        <w:rPr>
          <w:rFonts w:ascii="Arial" w:cs="Arial" w:eastAsia="Arial" w:hAnsi="Arial"/>
          <w:sz w:val="13"/>
          <w:szCs w:val="13"/>
          <w:b w:val="1"/>
          <w:bCs w:val="1"/>
          <w:color w:val="auto"/>
        </w:rPr>
        <w:t>Commitments and contingencies</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u w:val="single" w:color="auto"/>
          <w:color w:val="auto"/>
        </w:rPr>
        <w:t>Operating lease commitments – Bank as lessee</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1"/>
          <w:szCs w:val="11"/>
          <w:color w:val="auto"/>
        </w:rPr>
        <w:t>Future minimum lease payments under cancellable operating leases are as follows:</w:t>
      </w:r>
    </w:p>
    <w:p>
      <w:pPr>
        <w:spacing w:after="0" w:line="200" w:lineRule="exact"/>
        <w:rPr>
          <w:rFonts w:ascii="Arial" w:cs="Arial" w:eastAsia="Arial" w:hAnsi="Arial"/>
          <w:sz w:val="13"/>
          <w:szCs w:val="13"/>
          <w:b w:val="1"/>
          <w:bCs w:val="1"/>
          <w:color w:val="auto"/>
        </w:rPr>
      </w:pPr>
    </w:p>
    <w:p>
      <w:pPr>
        <w:spacing w:after="0" w:line="32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Within 1 year</w:t>
      </w:r>
    </w:p>
    <w:p>
      <w:pPr>
        <w:spacing w:after="0" w:line="12" w:lineRule="exact"/>
        <w:rPr>
          <w:rFonts w:ascii="Arial" w:cs="Arial" w:eastAsia="Arial" w:hAnsi="Arial"/>
          <w:sz w:val="13"/>
          <w:szCs w:val="13"/>
          <w:b w:val="1"/>
          <w:bCs w:val="1"/>
          <w:color w:val="auto"/>
        </w:rPr>
      </w:pPr>
    </w:p>
    <w:p>
      <w:pPr>
        <w:ind w:left="223" w:right="4160"/>
        <w:spacing w:after="0" w:line="248" w:lineRule="auto"/>
        <w:rPr>
          <w:rFonts w:ascii="Arial" w:cs="Arial" w:eastAsia="Arial" w:hAnsi="Arial"/>
          <w:sz w:val="13"/>
          <w:szCs w:val="13"/>
          <w:b w:val="1"/>
          <w:bCs w:val="1"/>
          <w:color w:val="auto"/>
        </w:rPr>
      </w:pPr>
      <w:r>
        <w:rPr>
          <w:rFonts w:ascii="Arial" w:cs="Arial" w:eastAsia="Arial" w:hAnsi="Arial"/>
          <w:sz w:val="13"/>
          <w:szCs w:val="13"/>
          <w:color w:val="auto"/>
        </w:rPr>
        <w:t>After 1 year but not more than 5 years More than 5 years</w:t>
      </w: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Total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146685</wp:posOffset>
            </wp:positionH>
            <wp:positionV relativeFrom="paragraph">
              <wp:posOffset>-394335</wp:posOffset>
            </wp:positionV>
            <wp:extent cx="6992620" cy="104140"/>
            <wp:wrapNone/>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375">
                      <a:extLst>
                        <a:ext uri="{28A0092B-C50C-407E-A947-70E740481C1C}"/>
                      </a:extLst>
                    </a:blip>
                    <a:srcRect/>
                    <a:stretch>
                      <a:fillRect/>
                    </a:stretch>
                  </pic:blipFill>
                  <pic:spPr bwMode="auto">
                    <a:xfrm>
                      <a:off x="0" y="0"/>
                      <a:ext cx="6992620" cy="104140"/>
                    </a:xfrm>
                    <a:prstGeom prst="rect">
                      <a:avLst/>
                    </a:prstGeom>
                    <a:noFill/>
                  </pic:spPr>
                </pic:pic>
              </a:graphicData>
            </a:graphic>
          </wp:anchor>
        </w:drawing>
        <w:drawing>
          <wp:anchor simplePos="0" relativeHeight="251657728" behindDoc="1" locked="0" layoutInCell="0" allowOverlap="1">
            <wp:simplePos x="0" y="0"/>
            <wp:positionH relativeFrom="column">
              <wp:posOffset>146685</wp:posOffset>
            </wp:positionH>
            <wp:positionV relativeFrom="paragraph">
              <wp:posOffset>-192405</wp:posOffset>
            </wp:positionV>
            <wp:extent cx="6992620" cy="104140"/>
            <wp:wrapNone/>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376">
                      <a:extLst>
                        <a:ext uri="{28A0092B-C50C-407E-A947-70E740481C1C}"/>
                      </a:extLst>
                    </a:blip>
                    <a:srcRect/>
                    <a:stretch>
                      <a:fillRect/>
                    </a:stretch>
                  </pic:blipFill>
                  <pic:spPr bwMode="auto">
                    <a:xfrm>
                      <a:off x="0" y="0"/>
                      <a:ext cx="6992620" cy="104140"/>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3" w:lineRule="exact"/>
        <w:rPr>
          <w:sz w:val="20"/>
          <w:szCs w:val="20"/>
          <w:color w:val="auto"/>
        </w:rPr>
      </w:pPr>
    </w:p>
    <w:p>
      <w:pPr>
        <w:ind w:left="1660"/>
        <w:spacing w:after="0"/>
        <w:rPr>
          <w:sz w:val="20"/>
          <w:szCs w:val="20"/>
          <w:color w:val="auto"/>
        </w:rPr>
      </w:pPr>
      <w:r>
        <w:rPr>
          <w:rFonts w:ascii="Arial" w:cs="Arial" w:eastAsia="Arial" w:hAnsi="Arial"/>
          <w:sz w:val="13"/>
          <w:szCs w:val="13"/>
          <w:b w:val="1"/>
          <w:bCs w:val="1"/>
          <w:color w:val="auto"/>
        </w:rPr>
        <w:t>December 31,</w:t>
      </w:r>
    </w:p>
    <w:p>
      <w:pPr>
        <w:spacing w:after="0" w:line="17" w:lineRule="exact"/>
        <w:rPr>
          <w:sz w:val="20"/>
          <w:szCs w:val="20"/>
          <w:color w:val="auto"/>
        </w:rPr>
      </w:pPr>
    </w:p>
    <w:tbl>
      <w:tblPr>
        <w:tblLayout w:type="fixed"/>
        <w:tblInd w:w="0" w:type="dxa"/>
        <w:tblCellMar>
          <w:top w:w="0" w:type="dxa"/>
          <w:left w:w="0" w:type="dxa"/>
          <w:bottom w:w="0" w:type="dxa"/>
          <w:right w:w="0" w:type="dxa"/>
        </w:tblCellMar>
      </w:tblPr>
      <w:tr>
        <w:trPr>
          <w:trHeight w:val="154"/>
        </w:trPr>
        <w:tc>
          <w:tcPr>
            <w:tcW w:w="1220" w:type="dxa"/>
            <w:vAlign w:val="bottom"/>
            <w:tcBorders>
              <w:top w:val="single" w:sz="8" w:color="auto"/>
              <w:bottom w:val="single" w:sz="8" w:color="auto"/>
            </w:tcBorders>
          </w:tcPr>
          <w:p>
            <w:pPr>
              <w:jc w:val="right"/>
              <w:ind w:right="416"/>
              <w:spacing w:after="0"/>
              <w:rPr>
                <w:sz w:val="20"/>
                <w:szCs w:val="20"/>
                <w:color w:val="auto"/>
              </w:rPr>
            </w:pPr>
            <w:r>
              <w:rPr>
                <w:rFonts w:ascii="Arial" w:cs="Arial" w:eastAsia="Arial" w:hAnsi="Arial"/>
                <w:sz w:val="13"/>
                <w:szCs w:val="13"/>
                <w:b w:val="1"/>
                <w:bCs w:val="1"/>
                <w:color w:val="auto"/>
              </w:rPr>
              <w:t>2018</w:t>
            </w:r>
          </w:p>
        </w:tc>
        <w:tc>
          <w:tcPr>
            <w:tcW w:w="240" w:type="dxa"/>
            <w:vAlign w:val="bottom"/>
            <w:tcBorders>
              <w:top w:val="single" w:sz="8" w:color="auto"/>
            </w:tcBorders>
          </w:tcPr>
          <w:p>
            <w:pPr>
              <w:spacing w:after="0"/>
              <w:rPr>
                <w:sz w:val="13"/>
                <w:szCs w:val="13"/>
                <w:color w:val="auto"/>
              </w:rPr>
            </w:pPr>
          </w:p>
        </w:tc>
        <w:tc>
          <w:tcPr>
            <w:tcW w:w="1200" w:type="dxa"/>
            <w:vAlign w:val="bottom"/>
            <w:tcBorders>
              <w:top w:val="single" w:sz="8" w:color="auto"/>
              <w:bottom w:val="single" w:sz="8" w:color="auto"/>
            </w:tcBorders>
          </w:tcPr>
          <w:p>
            <w:pPr>
              <w:jc w:val="right"/>
              <w:ind w:right="416"/>
              <w:spacing w:after="0"/>
              <w:rPr>
                <w:sz w:val="20"/>
                <w:szCs w:val="20"/>
                <w:color w:val="auto"/>
              </w:rPr>
            </w:pPr>
            <w:r>
              <w:rPr>
                <w:rFonts w:ascii="Arial" w:cs="Arial" w:eastAsia="Arial" w:hAnsi="Arial"/>
                <w:sz w:val="13"/>
                <w:szCs w:val="13"/>
                <w:b w:val="1"/>
                <w:bCs w:val="1"/>
                <w:color w:val="auto"/>
              </w:rPr>
              <w:t>2017</w:t>
            </w:r>
          </w:p>
        </w:tc>
        <w:tc>
          <w:tcPr>
            <w:tcW w:w="220" w:type="dxa"/>
            <w:vAlign w:val="bottom"/>
            <w:tcBorders>
              <w:top w:val="single" w:sz="8" w:color="auto"/>
            </w:tcBorders>
          </w:tcPr>
          <w:p>
            <w:pPr>
              <w:spacing w:after="0"/>
              <w:rPr>
                <w:sz w:val="13"/>
                <w:szCs w:val="13"/>
                <w:color w:val="auto"/>
              </w:rPr>
            </w:pPr>
          </w:p>
        </w:tc>
        <w:tc>
          <w:tcPr>
            <w:tcW w:w="1200" w:type="dxa"/>
            <w:vAlign w:val="bottom"/>
            <w:tcBorders>
              <w:top w:val="single" w:sz="8" w:color="auto"/>
              <w:bottom w:val="single" w:sz="8" w:color="auto"/>
            </w:tcBorders>
          </w:tcPr>
          <w:p>
            <w:pPr>
              <w:jc w:val="right"/>
              <w:ind w:right="416"/>
              <w:spacing w:after="0"/>
              <w:rPr>
                <w:sz w:val="20"/>
                <w:szCs w:val="20"/>
                <w:color w:val="auto"/>
              </w:rPr>
            </w:pPr>
            <w:r>
              <w:rPr>
                <w:rFonts w:ascii="Arial" w:cs="Arial" w:eastAsia="Arial" w:hAnsi="Arial"/>
                <w:sz w:val="13"/>
                <w:szCs w:val="13"/>
                <w:b w:val="1"/>
                <w:bCs w:val="1"/>
                <w:color w:val="auto"/>
              </w:rPr>
              <w:t>2016</w:t>
            </w:r>
          </w:p>
        </w:tc>
        <w:tc>
          <w:tcPr>
            <w:tcW w:w="20" w:type="dxa"/>
            <w:vAlign w:val="bottom"/>
          </w:tcPr>
          <w:p>
            <w:pPr>
              <w:spacing w:after="0"/>
              <w:rPr>
                <w:sz w:val="13"/>
                <w:szCs w:val="13"/>
                <w:color w:val="auto"/>
              </w:rPr>
            </w:pPr>
          </w:p>
        </w:tc>
      </w:tr>
      <w:tr>
        <w:trPr>
          <w:trHeight w:val="135"/>
        </w:trPr>
        <w:tc>
          <w:tcPr>
            <w:tcW w:w="1220" w:type="dxa"/>
            <w:vAlign w:val="bottom"/>
          </w:tcPr>
          <w:p>
            <w:pPr>
              <w:jc w:val="right"/>
              <w:spacing w:after="0" w:line="135" w:lineRule="exact"/>
              <w:rPr>
                <w:sz w:val="20"/>
                <w:szCs w:val="20"/>
                <w:color w:val="auto"/>
              </w:rPr>
            </w:pPr>
            <w:r>
              <w:rPr>
                <w:rFonts w:ascii="Arial" w:cs="Arial" w:eastAsia="Arial" w:hAnsi="Arial"/>
                <w:sz w:val="13"/>
                <w:szCs w:val="13"/>
                <w:color w:val="auto"/>
              </w:rPr>
              <w:t>2,120</w:t>
            </w:r>
          </w:p>
        </w:tc>
        <w:tc>
          <w:tcPr>
            <w:tcW w:w="240" w:type="dxa"/>
            <w:vAlign w:val="bottom"/>
          </w:tcPr>
          <w:p>
            <w:pPr>
              <w:spacing w:after="0"/>
              <w:rPr>
                <w:sz w:val="11"/>
                <w:szCs w:val="11"/>
                <w:color w:val="auto"/>
              </w:rPr>
            </w:pPr>
          </w:p>
        </w:tc>
        <w:tc>
          <w:tcPr>
            <w:tcW w:w="1200" w:type="dxa"/>
            <w:vAlign w:val="bottom"/>
          </w:tcPr>
          <w:p>
            <w:pPr>
              <w:jc w:val="right"/>
              <w:spacing w:after="0" w:line="135" w:lineRule="exact"/>
              <w:rPr>
                <w:sz w:val="20"/>
                <w:szCs w:val="20"/>
                <w:color w:val="auto"/>
              </w:rPr>
            </w:pPr>
            <w:r>
              <w:rPr>
                <w:rFonts w:ascii="Arial" w:cs="Arial" w:eastAsia="Arial" w:hAnsi="Arial"/>
                <w:sz w:val="13"/>
                <w:szCs w:val="13"/>
                <w:color w:val="auto"/>
              </w:rPr>
              <w:t>2,006</w:t>
            </w:r>
          </w:p>
        </w:tc>
        <w:tc>
          <w:tcPr>
            <w:tcW w:w="220" w:type="dxa"/>
            <w:vAlign w:val="bottom"/>
          </w:tcPr>
          <w:p>
            <w:pPr>
              <w:spacing w:after="0"/>
              <w:rPr>
                <w:sz w:val="11"/>
                <w:szCs w:val="11"/>
                <w:color w:val="auto"/>
              </w:rPr>
            </w:pPr>
          </w:p>
        </w:tc>
        <w:tc>
          <w:tcPr>
            <w:tcW w:w="1200" w:type="dxa"/>
            <w:vAlign w:val="bottom"/>
          </w:tcPr>
          <w:p>
            <w:pPr>
              <w:jc w:val="right"/>
              <w:spacing w:after="0" w:line="135" w:lineRule="exact"/>
              <w:rPr>
                <w:sz w:val="20"/>
                <w:szCs w:val="20"/>
                <w:color w:val="auto"/>
              </w:rPr>
            </w:pPr>
            <w:r>
              <w:rPr>
                <w:rFonts w:ascii="Arial" w:cs="Arial" w:eastAsia="Arial" w:hAnsi="Arial"/>
                <w:sz w:val="13"/>
                <w:szCs w:val="13"/>
                <w:color w:val="auto"/>
              </w:rPr>
              <w:t>1,984</w:t>
            </w:r>
          </w:p>
        </w:tc>
        <w:tc>
          <w:tcPr>
            <w:tcW w:w="20" w:type="dxa"/>
            <w:vAlign w:val="bottom"/>
          </w:tcPr>
          <w:p>
            <w:pPr>
              <w:spacing w:after="0"/>
              <w:rPr>
                <w:sz w:val="11"/>
                <w:szCs w:val="11"/>
                <w:color w:val="auto"/>
              </w:rPr>
            </w:pPr>
          </w:p>
        </w:tc>
      </w:tr>
      <w:tr>
        <w:trPr>
          <w:trHeight w:val="162"/>
        </w:trPr>
        <w:tc>
          <w:tcPr>
            <w:tcW w:w="1220" w:type="dxa"/>
            <w:vAlign w:val="bottom"/>
          </w:tcPr>
          <w:p>
            <w:pPr>
              <w:jc w:val="right"/>
              <w:spacing w:after="0"/>
              <w:rPr>
                <w:sz w:val="20"/>
                <w:szCs w:val="20"/>
                <w:color w:val="auto"/>
              </w:rPr>
            </w:pPr>
            <w:r>
              <w:rPr>
                <w:rFonts w:ascii="Arial" w:cs="Arial" w:eastAsia="Arial" w:hAnsi="Arial"/>
                <w:sz w:val="13"/>
                <w:szCs w:val="13"/>
                <w:color w:val="auto"/>
              </w:rPr>
              <w:t>7,734</w:t>
            </w:r>
          </w:p>
        </w:tc>
        <w:tc>
          <w:tcPr>
            <w:tcW w:w="240" w:type="dxa"/>
            <w:vAlign w:val="bottom"/>
          </w:tcPr>
          <w:p>
            <w:pPr>
              <w:spacing w:after="0"/>
              <w:rPr>
                <w:sz w:val="14"/>
                <w:szCs w:val="14"/>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7,335</w:t>
            </w:r>
          </w:p>
        </w:tc>
        <w:tc>
          <w:tcPr>
            <w:tcW w:w="1220" w:type="dxa"/>
            <w:vAlign w:val="bottom"/>
            <w:gridSpan w:val="2"/>
          </w:tcPr>
          <w:p>
            <w:pPr>
              <w:jc w:val="right"/>
              <w:ind w:right="20"/>
              <w:spacing w:after="0"/>
              <w:rPr>
                <w:sz w:val="20"/>
                <w:szCs w:val="20"/>
                <w:color w:val="auto"/>
              </w:rPr>
            </w:pPr>
            <w:r>
              <w:rPr>
                <w:rFonts w:ascii="Arial" w:cs="Arial" w:eastAsia="Arial" w:hAnsi="Arial"/>
                <w:sz w:val="13"/>
                <w:szCs w:val="13"/>
                <w:color w:val="auto"/>
              </w:rPr>
              <w:t>7,362</w:t>
            </w:r>
          </w:p>
        </w:tc>
      </w:tr>
      <w:tr>
        <w:trPr>
          <w:trHeight w:val="164"/>
        </w:trPr>
        <w:tc>
          <w:tcPr>
            <w:tcW w:w="1220" w:type="dxa"/>
            <w:vAlign w:val="bottom"/>
          </w:tcPr>
          <w:p>
            <w:pPr>
              <w:jc w:val="right"/>
              <w:spacing w:after="0"/>
              <w:rPr>
                <w:sz w:val="20"/>
                <w:szCs w:val="20"/>
                <w:color w:val="auto"/>
              </w:rPr>
            </w:pPr>
            <w:r>
              <w:rPr>
                <w:rFonts w:ascii="Arial" w:cs="Arial" w:eastAsia="Arial" w:hAnsi="Arial"/>
                <w:sz w:val="13"/>
                <w:szCs w:val="13"/>
                <w:color w:val="auto"/>
              </w:rPr>
              <w:t>6,936</w:t>
            </w:r>
          </w:p>
        </w:tc>
        <w:tc>
          <w:tcPr>
            <w:tcW w:w="240" w:type="dxa"/>
            <w:vAlign w:val="bottom"/>
          </w:tcPr>
          <w:p>
            <w:pPr>
              <w:spacing w:after="0"/>
              <w:rPr>
                <w:sz w:val="14"/>
                <w:szCs w:val="14"/>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8,814</w:t>
            </w:r>
          </w:p>
        </w:tc>
        <w:tc>
          <w:tcPr>
            <w:tcW w:w="1220" w:type="dxa"/>
            <w:vAlign w:val="bottom"/>
            <w:gridSpan w:val="2"/>
          </w:tcPr>
          <w:p>
            <w:pPr>
              <w:jc w:val="right"/>
              <w:ind w:right="20"/>
              <w:spacing w:after="0"/>
              <w:rPr>
                <w:sz w:val="20"/>
                <w:szCs w:val="20"/>
                <w:color w:val="auto"/>
              </w:rPr>
            </w:pPr>
            <w:r>
              <w:rPr>
                <w:rFonts w:ascii="Arial" w:cs="Arial" w:eastAsia="Arial" w:hAnsi="Arial"/>
                <w:sz w:val="13"/>
                <w:szCs w:val="13"/>
                <w:color w:val="auto"/>
              </w:rPr>
              <w:t>10,638</w:t>
            </w:r>
          </w:p>
        </w:tc>
      </w:tr>
      <w:tr>
        <w:trPr>
          <w:trHeight w:val="162"/>
        </w:trPr>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16,790</w:t>
            </w:r>
          </w:p>
        </w:tc>
        <w:tc>
          <w:tcPr>
            <w:tcW w:w="240" w:type="dxa"/>
            <w:vAlign w:val="bottom"/>
          </w:tcPr>
          <w:p>
            <w:pPr>
              <w:spacing w:after="0"/>
              <w:rPr>
                <w:sz w:val="14"/>
                <w:szCs w:val="14"/>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18,155</w:t>
            </w:r>
          </w:p>
        </w:tc>
        <w:tc>
          <w:tcPr>
            <w:tcW w:w="220" w:type="dxa"/>
            <w:vAlign w:val="bottom"/>
          </w:tcPr>
          <w:p>
            <w:pPr>
              <w:spacing w:after="0"/>
              <w:rPr>
                <w:sz w:val="14"/>
                <w:szCs w:val="14"/>
                <w:color w:val="auto"/>
              </w:rPr>
            </w:pPr>
          </w:p>
        </w:tc>
        <w:tc>
          <w:tcPr>
            <w:tcW w:w="122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3"/>
                <w:szCs w:val="13"/>
                <w:b w:val="1"/>
                <w:bCs w:val="1"/>
                <w:color w:val="auto"/>
              </w:rPr>
              <w:t>19,984</w:t>
            </w:r>
          </w:p>
        </w:tc>
      </w:tr>
    </w:tbl>
    <w:p>
      <w:pPr>
        <w:spacing w:after="0" w:line="145" w:lineRule="exact"/>
        <w:rPr>
          <w:sz w:val="20"/>
          <w:szCs w:val="20"/>
          <w:color w:val="auto"/>
        </w:rPr>
      </w:pPr>
    </w:p>
    <w:p>
      <w:pPr>
        <w:sectPr>
          <w:pgSz w:w="11900" w:h="16838" w:orient="portrait"/>
          <w:cols w:equalWidth="0" w:num="2">
            <w:col w:w="6343" w:space="720"/>
            <w:col w:w="4400"/>
          </w:cols>
          <w:pgMar w:left="217" w:top="685" w:right="219" w:bottom="1440" w:gutter="0" w:footer="0" w:header="0"/>
          <w:type w:val="continuous"/>
        </w:sectPr>
      </w:pPr>
    </w:p>
    <w:p>
      <w:pPr>
        <w:ind w:left="223"/>
        <w:spacing w:after="0"/>
        <w:rPr>
          <w:sz w:val="20"/>
          <w:szCs w:val="20"/>
          <w:color w:val="auto"/>
        </w:rPr>
      </w:pPr>
      <w:r>
        <w:rPr>
          <w:rFonts w:ascii="Arial" w:cs="Arial" w:eastAsia="Arial" w:hAnsi="Arial"/>
          <w:sz w:val="13"/>
          <w:szCs w:val="13"/>
          <w:color w:val="auto"/>
        </w:rPr>
        <w:t>The total amount of expenses recognized in connection with such leases during the years 2018, 2017 and 2016 are $2.4 million, $2.3 million and $2.6 million, respectively.</w:t>
      </w:r>
    </w:p>
    <w:p>
      <w:pPr>
        <w:spacing w:after="0" w:line="159" w:lineRule="exact"/>
        <w:rPr>
          <w:sz w:val="20"/>
          <w:szCs w:val="20"/>
          <w:color w:val="auto"/>
        </w:rPr>
      </w:pPr>
    </w:p>
    <w:p>
      <w:pPr>
        <w:ind w:left="223"/>
        <w:spacing w:after="0"/>
        <w:rPr>
          <w:sz w:val="20"/>
          <w:szCs w:val="20"/>
          <w:color w:val="auto"/>
        </w:rPr>
      </w:pPr>
      <w:r>
        <w:rPr>
          <w:rFonts w:ascii="Arial" w:cs="Arial" w:eastAsia="Arial" w:hAnsi="Arial"/>
          <w:sz w:val="13"/>
          <w:szCs w:val="13"/>
          <w:u w:val="single" w:color="auto"/>
          <w:color w:val="auto"/>
        </w:rPr>
        <w:t>Operating leases – Bank as sub-lessor</w:t>
      </w:r>
    </w:p>
    <w:p>
      <w:pPr>
        <w:spacing w:after="0" w:line="159" w:lineRule="exact"/>
        <w:rPr>
          <w:sz w:val="20"/>
          <w:szCs w:val="20"/>
          <w:color w:val="auto"/>
        </w:rPr>
      </w:pPr>
    </w:p>
    <w:p>
      <w:pPr>
        <w:ind w:left="223"/>
        <w:spacing w:after="0"/>
        <w:rPr>
          <w:sz w:val="20"/>
          <w:szCs w:val="20"/>
          <w:color w:val="auto"/>
        </w:rPr>
      </w:pPr>
      <w:r>
        <w:rPr>
          <w:rFonts w:ascii="Arial" w:cs="Arial" w:eastAsia="Arial" w:hAnsi="Arial"/>
          <w:sz w:val="13"/>
          <w:szCs w:val="13"/>
          <w:color w:val="auto"/>
        </w:rPr>
        <w:t>Future minimum lease payments under cancellable operating sub-leases areas follows:</w:t>
      </w:r>
    </w:p>
    <w:p>
      <w:pPr>
        <w:spacing w:after="0" w:line="164" w:lineRule="exact"/>
        <w:rPr>
          <w:sz w:val="20"/>
          <w:szCs w:val="20"/>
          <w:color w:val="auto"/>
        </w:rPr>
      </w:pPr>
    </w:p>
    <w:p>
      <w:pPr>
        <w:ind w:left="8723"/>
        <w:spacing w:after="0"/>
        <w:rPr>
          <w:sz w:val="20"/>
          <w:szCs w:val="20"/>
          <w:color w:val="auto"/>
        </w:rPr>
      </w:pPr>
      <w:r>
        <w:rPr>
          <w:rFonts w:ascii="Arial" w:cs="Arial" w:eastAsia="Arial" w:hAnsi="Arial"/>
          <w:sz w:val="13"/>
          <w:szCs w:val="13"/>
          <w:b w:val="1"/>
          <w:bCs w:val="1"/>
          <w:color w:val="auto"/>
        </w:rPr>
        <w:t>December 31,</w:t>
      </w:r>
    </w:p>
    <w:p>
      <w:pPr>
        <w:spacing w:after="0" w:line="17" w:lineRule="exact"/>
        <w:rPr>
          <w:sz w:val="20"/>
          <w:szCs w:val="20"/>
          <w:color w:val="auto"/>
        </w:rPr>
      </w:pPr>
    </w:p>
    <w:tbl>
      <w:tblPr>
        <w:tblLayout w:type="fixed"/>
        <w:tblInd w:w="223" w:type="dxa"/>
        <w:tblCellMar>
          <w:top w:w="0" w:type="dxa"/>
          <w:left w:w="0" w:type="dxa"/>
          <w:bottom w:w="0" w:type="dxa"/>
          <w:right w:w="0" w:type="dxa"/>
        </w:tblCellMar>
      </w:tblPr>
      <w:tr>
        <w:trPr>
          <w:trHeight w:val="154"/>
        </w:trPr>
        <w:tc>
          <w:tcPr>
            <w:tcW w:w="6840" w:type="dxa"/>
            <w:vAlign w:val="bottom"/>
          </w:tcPr>
          <w:p>
            <w:pPr>
              <w:spacing w:after="0"/>
              <w:rPr>
                <w:sz w:val="13"/>
                <w:szCs w:val="13"/>
                <w:color w:val="auto"/>
              </w:rPr>
            </w:pPr>
          </w:p>
        </w:tc>
        <w:tc>
          <w:tcPr>
            <w:tcW w:w="880" w:type="dxa"/>
            <w:vAlign w:val="bottom"/>
            <w:tcBorders>
              <w:top w:val="single" w:sz="8" w:color="auto"/>
            </w:tcBorders>
          </w:tcPr>
          <w:p>
            <w:pPr>
              <w:jc w:val="right"/>
              <w:ind w:right="76"/>
              <w:spacing w:after="0"/>
              <w:rPr>
                <w:sz w:val="20"/>
                <w:szCs w:val="20"/>
                <w:color w:val="auto"/>
              </w:rPr>
            </w:pPr>
            <w:r>
              <w:rPr>
                <w:rFonts w:ascii="Arial" w:cs="Arial" w:eastAsia="Arial" w:hAnsi="Arial"/>
                <w:sz w:val="13"/>
                <w:szCs w:val="13"/>
                <w:b w:val="1"/>
                <w:bCs w:val="1"/>
                <w:color w:val="auto"/>
              </w:rPr>
              <w:t>2018</w:t>
            </w:r>
          </w:p>
        </w:tc>
        <w:tc>
          <w:tcPr>
            <w:tcW w:w="1440" w:type="dxa"/>
            <w:vAlign w:val="bottom"/>
            <w:tcBorders>
              <w:top w:val="single" w:sz="8" w:color="auto"/>
            </w:tcBorders>
            <w:gridSpan w:val="3"/>
          </w:tcPr>
          <w:p>
            <w:pPr>
              <w:jc w:val="right"/>
              <w:ind w:right="140"/>
              <w:spacing w:after="0"/>
              <w:rPr>
                <w:sz w:val="20"/>
                <w:szCs w:val="20"/>
                <w:color w:val="auto"/>
              </w:rPr>
            </w:pPr>
            <w:r>
              <w:rPr>
                <w:rFonts w:ascii="Arial" w:cs="Arial" w:eastAsia="Arial" w:hAnsi="Arial"/>
                <w:sz w:val="13"/>
                <w:szCs w:val="13"/>
                <w:b w:val="1"/>
                <w:bCs w:val="1"/>
                <w:color w:val="auto"/>
              </w:rPr>
              <w:t>2017</w:t>
            </w:r>
          </w:p>
        </w:tc>
        <w:tc>
          <w:tcPr>
            <w:tcW w:w="340" w:type="dxa"/>
            <w:vAlign w:val="bottom"/>
            <w:tcBorders>
              <w:top w:val="single" w:sz="8" w:color="auto"/>
            </w:tcBorders>
          </w:tcPr>
          <w:p>
            <w:pPr>
              <w:spacing w:after="0"/>
              <w:rPr>
                <w:sz w:val="13"/>
                <w:szCs w:val="13"/>
                <w:color w:val="auto"/>
              </w:rPr>
            </w:pPr>
          </w:p>
        </w:tc>
        <w:tc>
          <w:tcPr>
            <w:tcW w:w="220" w:type="dxa"/>
            <w:vAlign w:val="bottom"/>
            <w:tcBorders>
              <w:top w:val="single" w:sz="8" w:color="auto"/>
            </w:tcBorders>
          </w:tcPr>
          <w:p>
            <w:pPr>
              <w:spacing w:after="0"/>
              <w:rPr>
                <w:sz w:val="13"/>
                <w:szCs w:val="13"/>
                <w:color w:val="auto"/>
              </w:rPr>
            </w:pPr>
          </w:p>
        </w:tc>
        <w:tc>
          <w:tcPr>
            <w:tcW w:w="1200" w:type="dxa"/>
            <w:vAlign w:val="bottom"/>
            <w:tcBorders>
              <w:top w:val="single" w:sz="8" w:color="auto"/>
            </w:tcBorders>
          </w:tcPr>
          <w:p>
            <w:pPr>
              <w:jc w:val="right"/>
              <w:ind w:right="416"/>
              <w:spacing w:after="0"/>
              <w:rPr>
                <w:sz w:val="20"/>
                <w:szCs w:val="20"/>
                <w:color w:val="auto"/>
              </w:rPr>
            </w:pPr>
            <w:r>
              <w:rPr>
                <w:rFonts w:ascii="Arial" w:cs="Arial" w:eastAsia="Arial" w:hAnsi="Arial"/>
                <w:sz w:val="13"/>
                <w:szCs w:val="13"/>
                <w:b w:val="1"/>
                <w:bCs w:val="1"/>
                <w:color w:val="auto"/>
              </w:rPr>
              <w:t>2016</w:t>
            </w:r>
          </w:p>
        </w:tc>
        <w:tc>
          <w:tcPr>
            <w:tcW w:w="100" w:type="dxa"/>
            <w:vAlign w:val="bottom"/>
          </w:tcPr>
          <w:p>
            <w:pPr>
              <w:spacing w:after="0"/>
              <w:rPr>
                <w:sz w:val="13"/>
                <w:szCs w:val="13"/>
                <w:color w:val="auto"/>
              </w:rPr>
            </w:pPr>
          </w:p>
        </w:tc>
      </w:tr>
      <w:tr>
        <w:trPr>
          <w:trHeight w:val="144"/>
        </w:trPr>
        <w:tc>
          <w:tcPr>
            <w:tcW w:w="6840" w:type="dxa"/>
            <w:vAlign w:val="bottom"/>
            <w:tcBorders>
              <w:top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Within 1 year</w:t>
            </w:r>
          </w:p>
        </w:tc>
        <w:tc>
          <w:tcPr>
            <w:tcW w:w="880" w:type="dxa"/>
            <w:vAlign w:val="bottom"/>
            <w:tcBorders>
              <w:top w:val="single" w:sz="8" w:color="auto"/>
            </w:tcBorders>
            <w:shd w:val="clear" w:color="auto" w:fill="CCEEFF"/>
          </w:tcPr>
          <w:p>
            <w:pPr>
              <w:spacing w:after="0"/>
              <w:rPr>
                <w:sz w:val="12"/>
                <w:szCs w:val="12"/>
                <w:color w:val="auto"/>
              </w:rPr>
            </w:pPr>
          </w:p>
        </w:tc>
        <w:tc>
          <w:tcPr>
            <w:tcW w:w="34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243</w:t>
            </w:r>
          </w:p>
        </w:tc>
        <w:tc>
          <w:tcPr>
            <w:tcW w:w="24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spacing w:after="0"/>
              <w:rPr>
                <w:sz w:val="12"/>
                <w:szCs w:val="12"/>
                <w:color w:val="auto"/>
              </w:rPr>
            </w:pPr>
          </w:p>
        </w:tc>
        <w:tc>
          <w:tcPr>
            <w:tcW w:w="34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300</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289</w:t>
            </w:r>
          </w:p>
        </w:tc>
        <w:tc>
          <w:tcPr>
            <w:tcW w:w="100" w:type="dxa"/>
            <w:vAlign w:val="bottom"/>
            <w:tcBorders>
              <w:top w:val="single" w:sz="8" w:color="CCEEFF"/>
            </w:tcBorders>
            <w:shd w:val="clear" w:color="auto" w:fill="CCEEFF"/>
          </w:tcPr>
          <w:p>
            <w:pPr>
              <w:spacing w:after="0"/>
              <w:rPr>
                <w:sz w:val="12"/>
                <w:szCs w:val="12"/>
                <w:color w:val="auto"/>
              </w:rPr>
            </w:pPr>
          </w:p>
        </w:tc>
      </w:tr>
      <w:tr>
        <w:trPr>
          <w:trHeight w:val="163"/>
        </w:trPr>
        <w:tc>
          <w:tcPr>
            <w:tcW w:w="7720" w:type="dxa"/>
            <w:vAlign w:val="bottom"/>
            <w:gridSpan w:val="2"/>
          </w:tcPr>
          <w:p>
            <w:pPr>
              <w:spacing w:after="0"/>
              <w:rPr>
                <w:sz w:val="20"/>
                <w:szCs w:val="20"/>
                <w:color w:val="auto"/>
              </w:rPr>
            </w:pPr>
            <w:r>
              <w:rPr>
                <w:rFonts w:ascii="Arial" w:cs="Arial" w:eastAsia="Arial" w:hAnsi="Arial"/>
                <w:sz w:val="13"/>
                <w:szCs w:val="13"/>
                <w:color w:val="auto"/>
              </w:rPr>
              <w:t>After 1 year but not more than 5 years</w:t>
            </w:r>
          </w:p>
        </w:tc>
        <w:tc>
          <w:tcPr>
            <w:tcW w:w="34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560" w:type="dxa"/>
            <w:vAlign w:val="bottom"/>
            <w:gridSpan w:val="2"/>
          </w:tcPr>
          <w:p>
            <w:pPr>
              <w:jc w:val="right"/>
              <w:ind w:right="220"/>
              <w:spacing w:after="0"/>
              <w:rPr>
                <w:sz w:val="20"/>
                <w:szCs w:val="20"/>
                <w:color w:val="auto"/>
              </w:rPr>
            </w:pPr>
            <w:r>
              <w:rPr>
                <w:rFonts w:ascii="Arial" w:cs="Arial" w:eastAsia="Arial" w:hAnsi="Arial"/>
                <w:sz w:val="13"/>
                <w:szCs w:val="13"/>
                <w:color w:val="auto"/>
              </w:rPr>
              <w:t>243</w:t>
            </w:r>
          </w:p>
        </w:tc>
        <w:tc>
          <w:tcPr>
            <w:tcW w:w="1300" w:type="dxa"/>
            <w:vAlign w:val="bottom"/>
            <w:gridSpan w:val="2"/>
          </w:tcPr>
          <w:p>
            <w:pPr>
              <w:jc w:val="right"/>
              <w:ind w:right="100"/>
              <w:spacing w:after="0"/>
              <w:rPr>
                <w:sz w:val="20"/>
                <w:szCs w:val="20"/>
                <w:color w:val="auto"/>
              </w:rPr>
            </w:pPr>
            <w:r>
              <w:rPr>
                <w:rFonts w:ascii="Arial" w:cs="Arial" w:eastAsia="Arial" w:hAnsi="Arial"/>
                <w:sz w:val="13"/>
                <w:szCs w:val="13"/>
                <w:color w:val="auto"/>
              </w:rPr>
              <w:t>646</w:t>
            </w:r>
          </w:p>
        </w:tc>
      </w:tr>
      <w:tr>
        <w:trPr>
          <w:trHeight w:val="163"/>
        </w:trPr>
        <w:tc>
          <w:tcPr>
            <w:tcW w:w="6840" w:type="dxa"/>
            <w:vAlign w:val="bottom"/>
            <w:tcBorders>
              <w:top w:val="single" w:sz="8" w:color="CCEEFF"/>
              <w:bottom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Total</w:t>
            </w:r>
          </w:p>
        </w:tc>
        <w:tc>
          <w:tcPr>
            <w:tcW w:w="880" w:type="dxa"/>
            <w:vAlign w:val="bottom"/>
            <w:tcBorders>
              <w:top w:val="single" w:sz="8" w:color="auto"/>
              <w:bottom w:val="single" w:sz="8" w:color="auto"/>
            </w:tcBorders>
            <w:shd w:val="clear" w:color="auto" w:fill="CCEEFF"/>
          </w:tcPr>
          <w:p>
            <w:pPr>
              <w:spacing w:after="0"/>
              <w:rPr>
                <w:sz w:val="14"/>
                <w:szCs w:val="14"/>
                <w:color w:val="auto"/>
              </w:rPr>
            </w:pPr>
          </w:p>
        </w:tc>
        <w:tc>
          <w:tcPr>
            <w:tcW w:w="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243</w:t>
            </w: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860" w:type="dxa"/>
            <w:vAlign w:val="bottom"/>
            <w:tcBorders>
              <w:top w:val="single" w:sz="8" w:color="auto"/>
              <w:bottom w:val="single" w:sz="8" w:color="auto"/>
            </w:tcBorders>
            <w:shd w:val="clear" w:color="auto" w:fill="CCEEFF"/>
          </w:tcPr>
          <w:p>
            <w:pPr>
              <w:spacing w:after="0"/>
              <w:rPr>
                <w:sz w:val="14"/>
                <w:szCs w:val="14"/>
                <w:color w:val="auto"/>
              </w:rPr>
            </w:pPr>
          </w:p>
        </w:tc>
        <w:tc>
          <w:tcPr>
            <w:tcW w:w="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543</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935</w:t>
            </w: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r>
    </w:tbl>
    <w:p>
      <w:pPr>
        <w:spacing w:after="0" w:line="145" w:lineRule="exact"/>
        <w:rPr>
          <w:sz w:val="20"/>
          <w:szCs w:val="20"/>
          <w:color w:val="auto"/>
        </w:rPr>
      </w:pPr>
    </w:p>
    <w:p>
      <w:pPr>
        <w:ind w:left="223"/>
        <w:spacing w:after="0"/>
        <w:rPr>
          <w:sz w:val="20"/>
          <w:szCs w:val="20"/>
          <w:color w:val="auto"/>
        </w:rPr>
      </w:pPr>
      <w:r>
        <w:rPr>
          <w:rFonts w:ascii="Arial" w:cs="Arial" w:eastAsia="Arial" w:hAnsi="Arial"/>
          <w:sz w:val="13"/>
          <w:szCs w:val="13"/>
          <w:color w:val="auto"/>
        </w:rPr>
        <w:t>The total amount of income recognized in connection with such leases during 2018, 2017 and 2016 are $323thousand, $275 thousand y $436 thousand, respectively.</w:t>
      </w:r>
    </w:p>
    <w:p>
      <w:pPr>
        <w:spacing w:after="0" w:line="155" w:lineRule="exact"/>
        <w:rPr>
          <w:sz w:val="20"/>
          <w:szCs w:val="20"/>
          <w:color w:val="auto"/>
        </w:rPr>
      </w:pPr>
    </w:p>
    <w:p>
      <w:pPr>
        <w:ind w:left="223" w:hanging="223"/>
        <w:spacing w:after="0"/>
        <w:tabs>
          <w:tab w:leader="none" w:pos="223" w:val="left"/>
        </w:tabs>
        <w:numPr>
          <w:ilvl w:val="0"/>
          <w:numId w:val="188"/>
        </w:numPr>
        <w:rPr>
          <w:rFonts w:ascii="Arial" w:cs="Arial" w:eastAsia="Arial" w:hAnsi="Arial"/>
          <w:sz w:val="13"/>
          <w:szCs w:val="13"/>
          <w:b w:val="1"/>
          <w:bCs w:val="1"/>
          <w:color w:val="auto"/>
        </w:rPr>
      </w:pPr>
      <w:r>
        <w:rPr>
          <w:rFonts w:ascii="Arial" w:cs="Arial" w:eastAsia="Arial" w:hAnsi="Arial"/>
          <w:sz w:val="13"/>
          <w:szCs w:val="13"/>
          <w:b w:val="1"/>
          <w:bCs w:val="1"/>
          <w:color w:val="auto"/>
        </w:rPr>
        <w:t>Litigation</w:t>
      </w:r>
    </w:p>
    <w:p>
      <w:pPr>
        <w:spacing w:after="0" w:line="162" w:lineRule="exact"/>
        <w:rPr>
          <w:rFonts w:ascii="Arial" w:cs="Arial" w:eastAsia="Arial" w:hAnsi="Arial"/>
          <w:sz w:val="13"/>
          <w:szCs w:val="13"/>
          <w:b w:val="1"/>
          <w:bCs w:val="1"/>
          <w:color w:val="auto"/>
        </w:rPr>
      </w:pPr>
    </w:p>
    <w:p>
      <w:pPr>
        <w:ind w:left="223"/>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Bladex is not engaged in any litigation that is significant to the Bank’s business or, to the best of the knowledge of Bank’s management, that is likely to have an adverse effect on its business, consolidated financial position or its consolidated financial performance.</w:t>
      </w:r>
    </w:p>
    <w:p>
      <w:pPr>
        <w:spacing w:after="0" w:line="125" w:lineRule="exact"/>
        <w:rPr>
          <w:rFonts w:ascii="Arial" w:cs="Arial" w:eastAsia="Arial" w:hAnsi="Arial"/>
          <w:sz w:val="13"/>
          <w:szCs w:val="13"/>
          <w:b w:val="1"/>
          <w:bCs w:val="1"/>
          <w:color w:val="auto"/>
        </w:rPr>
      </w:pPr>
    </w:p>
    <w:p>
      <w:pPr>
        <w:ind w:left="223" w:hanging="223"/>
        <w:spacing w:after="0"/>
        <w:tabs>
          <w:tab w:leader="none" w:pos="223" w:val="left"/>
        </w:tabs>
        <w:numPr>
          <w:ilvl w:val="0"/>
          <w:numId w:val="188"/>
        </w:numPr>
        <w:rPr>
          <w:rFonts w:ascii="Arial" w:cs="Arial" w:eastAsia="Arial" w:hAnsi="Arial"/>
          <w:sz w:val="13"/>
          <w:szCs w:val="13"/>
          <w:b w:val="1"/>
          <w:bCs w:val="1"/>
          <w:color w:val="auto"/>
        </w:rPr>
      </w:pPr>
      <w:r>
        <w:rPr>
          <w:rFonts w:ascii="Arial" w:cs="Arial" w:eastAsia="Arial" w:hAnsi="Arial"/>
          <w:sz w:val="13"/>
          <w:szCs w:val="13"/>
          <w:b w:val="1"/>
          <w:bCs w:val="1"/>
          <w:color w:val="auto"/>
        </w:rPr>
        <w:t>Risk management</w:t>
      </w:r>
    </w:p>
    <w:p>
      <w:pPr>
        <w:spacing w:after="0" w:line="162" w:lineRule="exact"/>
        <w:rPr>
          <w:rFonts w:ascii="Arial" w:cs="Arial" w:eastAsia="Arial" w:hAnsi="Arial"/>
          <w:sz w:val="13"/>
          <w:szCs w:val="13"/>
          <w:b w:val="1"/>
          <w:bCs w:val="1"/>
          <w:color w:val="auto"/>
        </w:rPr>
      </w:pPr>
    </w:p>
    <w:p>
      <w:pPr>
        <w:jc w:val="both"/>
        <w:ind w:left="223"/>
        <w:spacing w:after="0" w:line="257" w:lineRule="auto"/>
        <w:rPr>
          <w:rFonts w:ascii="Arial" w:cs="Arial" w:eastAsia="Arial" w:hAnsi="Arial"/>
          <w:sz w:val="13"/>
          <w:szCs w:val="13"/>
          <w:b w:val="1"/>
          <w:bCs w:val="1"/>
          <w:color w:val="auto"/>
        </w:rPr>
      </w:pPr>
      <w:r>
        <w:rPr>
          <w:rFonts w:ascii="Arial" w:cs="Arial" w:eastAsia="Arial" w:hAnsi="Arial"/>
          <w:sz w:val="13"/>
          <w:szCs w:val="13"/>
          <w:color w:val="auto"/>
        </w:rPr>
        <w:t>Risk is inherent in the Bank’s activities, but it is managed through a process of ongoing identification, measurement and monitoring, subject to risk limits and other controls. This risk management process is critical to the Bank’s continuing profitability and each individual within the Bank is accountable for the risk exposures relating to his or her responsibilities. The Bank is exposed to market, credit, compliance and liquidity risks. It is also subject to country risk and various operating risks.</w:t>
      </w:r>
    </w:p>
    <w:p>
      <w:pPr>
        <w:spacing w:after="0" w:line="135" w:lineRule="exact"/>
        <w:rPr>
          <w:rFonts w:ascii="Arial" w:cs="Arial" w:eastAsia="Arial" w:hAnsi="Arial"/>
          <w:sz w:val="13"/>
          <w:szCs w:val="13"/>
          <w:b w:val="1"/>
          <w:bCs w:val="1"/>
          <w:color w:val="auto"/>
        </w:rPr>
      </w:pPr>
    </w:p>
    <w:p>
      <w:pPr>
        <w:ind w:left="223"/>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The Board of Directors is responsible for the overall risk management approach and for approving the risk management strategies and principles. The Board has appointed a Risk Committee which has the responsibility to monitor the overall risk process within the Bank.</w:t>
      </w:r>
    </w:p>
    <w:p>
      <w:pPr>
        <w:spacing w:after="0" w:line="129" w:lineRule="exact"/>
        <w:rPr>
          <w:rFonts w:ascii="Arial" w:cs="Arial" w:eastAsia="Arial" w:hAnsi="Arial"/>
          <w:sz w:val="13"/>
          <w:szCs w:val="13"/>
          <w:b w:val="1"/>
          <w:bCs w:val="1"/>
          <w:color w:val="auto"/>
        </w:rPr>
      </w:pPr>
    </w:p>
    <w:p>
      <w:pPr>
        <w:ind w:left="223"/>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The Risk Committee has the overall responsibility for the development of the risk strategy and implementing principles, frameworks, policies and limits. The Risk Committee is responsible for managing risk decisions and monitoring risk levels and reports on a weekly basis to the Executive Committee.</w:t>
      </w:r>
    </w:p>
    <w:p>
      <w:pPr>
        <w:spacing w:after="0" w:line="283"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F-95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37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85" w:right="219" w:bottom="1440" w:gutter="0" w:footer="0" w:header="0"/>
          <w:type w:val="continuous"/>
        </w:sectPr>
      </w:pPr>
    </w:p>
    <w:bookmarkStart w:id="220" w:name="page221"/>
    <w:bookmarkEnd w:id="220"/>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15240</wp:posOffset>
            </wp:positionV>
            <wp:extent cx="7285990" cy="6350"/>
            <wp:wrapNone/>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37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74" w:lineRule="exact"/>
        <w:rPr>
          <w:sz w:val="20"/>
          <w:szCs w:val="20"/>
          <w:color w:val="auto"/>
        </w:rPr>
      </w:pPr>
    </w:p>
    <w:p>
      <w:pPr>
        <w:ind w:left="223" w:hanging="223"/>
        <w:spacing w:after="0"/>
        <w:tabs>
          <w:tab w:leader="none" w:pos="223" w:val="left"/>
        </w:tabs>
        <w:numPr>
          <w:ilvl w:val="0"/>
          <w:numId w:val="189"/>
        </w:numPr>
        <w:rPr>
          <w:rFonts w:ascii="Arial" w:cs="Arial" w:eastAsia="Arial" w:hAnsi="Arial"/>
          <w:sz w:val="13"/>
          <w:szCs w:val="13"/>
          <w:b w:val="1"/>
          <w:bCs w:val="1"/>
          <w:color w:val="auto"/>
        </w:rPr>
      </w:pPr>
      <w:r>
        <w:rPr>
          <w:rFonts w:ascii="Arial" w:cs="Arial" w:eastAsia="Arial" w:hAnsi="Arial"/>
          <w:sz w:val="13"/>
          <w:szCs w:val="13"/>
          <w:b w:val="1"/>
          <w:bCs w:val="1"/>
          <w:color w:val="auto"/>
        </w:rPr>
        <w:t>Risk management (continued)</w:t>
      </w:r>
    </w:p>
    <w:p>
      <w:pPr>
        <w:spacing w:after="0" w:line="162" w:lineRule="exact"/>
        <w:rPr>
          <w:rFonts w:ascii="Arial" w:cs="Arial" w:eastAsia="Arial" w:hAnsi="Arial"/>
          <w:sz w:val="13"/>
          <w:szCs w:val="13"/>
          <w:b w:val="1"/>
          <w:bCs w:val="1"/>
          <w:color w:val="auto"/>
        </w:rPr>
      </w:pPr>
    </w:p>
    <w:p>
      <w:pPr>
        <w:ind w:left="223"/>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The Risk Management Unit is responsible for implementing and maintaining risk related procedures to ensure an independent control process is maintained. The Unit works closely with the Risk Committee to ensure that procedures are compliant with the overall framework.</w:t>
      </w:r>
    </w:p>
    <w:p>
      <w:pPr>
        <w:spacing w:after="0" w:line="129" w:lineRule="exact"/>
        <w:rPr>
          <w:rFonts w:ascii="Arial" w:cs="Arial" w:eastAsia="Arial" w:hAnsi="Arial"/>
          <w:sz w:val="13"/>
          <w:szCs w:val="13"/>
          <w:b w:val="1"/>
          <w:bCs w:val="1"/>
          <w:color w:val="auto"/>
        </w:rPr>
      </w:pPr>
    </w:p>
    <w:p>
      <w:pPr>
        <w:ind w:left="223"/>
        <w:spacing w:after="0" w:line="310" w:lineRule="auto"/>
        <w:rPr>
          <w:rFonts w:ascii="Arial" w:cs="Arial" w:eastAsia="Arial" w:hAnsi="Arial"/>
          <w:sz w:val="13"/>
          <w:szCs w:val="13"/>
          <w:b w:val="1"/>
          <w:bCs w:val="1"/>
          <w:color w:val="auto"/>
        </w:rPr>
      </w:pPr>
      <w:r>
        <w:rPr>
          <w:rFonts w:ascii="Arial" w:cs="Arial" w:eastAsia="Arial" w:hAnsi="Arial"/>
          <w:sz w:val="12"/>
          <w:szCs w:val="12"/>
          <w:color w:val="auto"/>
        </w:rPr>
        <w:t>The Risk Management Unit is responsible for monitoring compliance with risk principles, policies and limits across the Bank. This Unit also ensures the complete capture of the risks in risk measurement and reporting systems. Exceptions are reported on a daily basis, where necessary, to the Risk Committee, and the relevant actions are taken to address exceptions and any areas of weakness.</w:t>
      </w:r>
    </w:p>
    <w:p>
      <w:pPr>
        <w:spacing w:after="0" w:line="105" w:lineRule="exact"/>
        <w:rPr>
          <w:rFonts w:ascii="Arial" w:cs="Arial" w:eastAsia="Arial" w:hAnsi="Arial"/>
          <w:sz w:val="13"/>
          <w:szCs w:val="13"/>
          <w:b w:val="1"/>
          <w:bCs w:val="1"/>
          <w:color w:val="auto"/>
        </w:rPr>
      </w:pPr>
    </w:p>
    <w:p>
      <w:pPr>
        <w:jc w:val="both"/>
        <w:ind w:left="223"/>
        <w:spacing w:after="0" w:line="289" w:lineRule="auto"/>
        <w:rPr>
          <w:rFonts w:ascii="Arial" w:cs="Arial" w:eastAsia="Arial" w:hAnsi="Arial"/>
          <w:sz w:val="13"/>
          <w:szCs w:val="13"/>
          <w:b w:val="1"/>
          <w:bCs w:val="1"/>
          <w:color w:val="auto"/>
        </w:rPr>
      </w:pPr>
      <w:r>
        <w:rPr>
          <w:rFonts w:ascii="Arial" w:cs="Arial" w:eastAsia="Arial" w:hAnsi="Arial"/>
          <w:sz w:val="12"/>
          <w:szCs w:val="12"/>
          <w:color w:val="auto"/>
        </w:rPr>
        <w:t>The Bank ‘s Assets/Liabilities Committee (ALCO) is responsible for managing the Bank’s assets and liabilities and the overall financial structure. It is also primarily responsible for the funding and liquidity of the Bank. The Bank’s policy is that risk management processes throughout the Bank are audited annually by the Internal Audit function, which examines both the adequacy of the procedures and the Bank’s compliance with the procedures. Internal Audit discusses the results of all assessments with management and reports its findings and recommendations to the Audit Committee.</w:t>
      </w:r>
    </w:p>
    <w:p>
      <w:pPr>
        <w:spacing w:after="0" w:line="117"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u w:val="single" w:color="auto"/>
          <w:color w:val="auto"/>
        </w:rPr>
        <w:t>Risk measurement and reporting systems</w:t>
      </w:r>
    </w:p>
    <w:p>
      <w:pPr>
        <w:spacing w:after="0" w:line="158" w:lineRule="exact"/>
        <w:rPr>
          <w:rFonts w:ascii="Arial" w:cs="Arial" w:eastAsia="Arial" w:hAnsi="Arial"/>
          <w:sz w:val="13"/>
          <w:szCs w:val="13"/>
          <w:b w:val="1"/>
          <w:bCs w:val="1"/>
          <w:color w:val="auto"/>
        </w:rPr>
      </w:pPr>
    </w:p>
    <w:p>
      <w:pPr>
        <w:jc w:val="both"/>
        <w:ind w:left="223"/>
        <w:spacing w:after="0" w:line="257" w:lineRule="auto"/>
        <w:rPr>
          <w:rFonts w:ascii="Arial" w:cs="Arial" w:eastAsia="Arial" w:hAnsi="Arial"/>
          <w:sz w:val="13"/>
          <w:szCs w:val="13"/>
          <w:b w:val="1"/>
          <w:bCs w:val="1"/>
          <w:color w:val="auto"/>
        </w:rPr>
      </w:pPr>
      <w:r>
        <w:rPr>
          <w:rFonts w:ascii="Arial" w:cs="Arial" w:eastAsia="Arial" w:hAnsi="Arial"/>
          <w:sz w:val="13"/>
          <w:szCs w:val="13"/>
          <w:color w:val="auto"/>
        </w:rPr>
        <w:t>The Bank’s risks are measured using a method that reflects both the expected loss likely to arise in normal circumstances and unexpected losses, which are an estimate of the ultimate actual loss based on statistical models. The models make use of probabilities derived from historical experience, adjusted to reflect the economic environment. The Bank also runs worst-case scenarios that would arise in the event that extreme events which are unlikely to occur do, in fact, occur.</w:t>
      </w:r>
    </w:p>
    <w:p>
      <w:pPr>
        <w:spacing w:after="0" w:line="135" w:lineRule="exact"/>
        <w:rPr>
          <w:rFonts w:ascii="Arial" w:cs="Arial" w:eastAsia="Arial" w:hAnsi="Arial"/>
          <w:sz w:val="13"/>
          <w:szCs w:val="13"/>
          <w:b w:val="1"/>
          <w:bCs w:val="1"/>
          <w:color w:val="auto"/>
        </w:rPr>
      </w:pPr>
    </w:p>
    <w:p>
      <w:pPr>
        <w:jc w:val="both"/>
        <w:ind w:left="223"/>
        <w:spacing w:after="0" w:line="254" w:lineRule="auto"/>
        <w:rPr>
          <w:rFonts w:ascii="Arial" w:cs="Arial" w:eastAsia="Arial" w:hAnsi="Arial"/>
          <w:sz w:val="13"/>
          <w:szCs w:val="13"/>
          <w:b w:val="1"/>
          <w:bCs w:val="1"/>
          <w:color w:val="auto"/>
        </w:rPr>
      </w:pPr>
      <w:r>
        <w:rPr>
          <w:rFonts w:ascii="Arial" w:cs="Arial" w:eastAsia="Arial" w:hAnsi="Arial"/>
          <w:sz w:val="13"/>
          <w:szCs w:val="13"/>
          <w:color w:val="auto"/>
        </w:rPr>
        <w:t>Monitoring and controlling risks is primarily performed based on limits established by the Bank. These limits reflect the business strategy and market environment of the Bank as well as the level of risk that the Bank is willing to accept, with additional emphasis on selected industries. In addition, the Bank’s policy is to measure and monitor the overall risk bearing capacity in relation to the aggregate risk exposure across all risk types and activities. Information compiled from all the businesses is examined and processed to analyze, control and identify risks on a timely basis. This information is presented and explained to the Board of Directors, the Risk Committee, and the head of each business division.</w:t>
      </w:r>
    </w:p>
    <w:p>
      <w:pPr>
        <w:spacing w:after="0" w:line="137" w:lineRule="exact"/>
        <w:rPr>
          <w:rFonts w:ascii="Arial" w:cs="Arial" w:eastAsia="Arial" w:hAnsi="Arial"/>
          <w:sz w:val="13"/>
          <w:szCs w:val="13"/>
          <w:b w:val="1"/>
          <w:bCs w:val="1"/>
          <w:color w:val="auto"/>
        </w:rPr>
      </w:pPr>
    </w:p>
    <w:p>
      <w:pPr>
        <w:jc w:val="both"/>
        <w:ind w:left="223"/>
        <w:spacing w:after="0" w:line="257" w:lineRule="auto"/>
        <w:rPr>
          <w:rFonts w:ascii="Arial" w:cs="Arial" w:eastAsia="Arial" w:hAnsi="Arial"/>
          <w:sz w:val="13"/>
          <w:szCs w:val="13"/>
          <w:b w:val="1"/>
          <w:bCs w:val="1"/>
          <w:color w:val="auto"/>
        </w:rPr>
      </w:pPr>
      <w:r>
        <w:rPr>
          <w:rFonts w:ascii="Arial" w:cs="Arial" w:eastAsia="Arial" w:hAnsi="Arial"/>
          <w:sz w:val="13"/>
          <w:szCs w:val="13"/>
          <w:color w:val="auto"/>
        </w:rPr>
        <w:t>The report includes aggregate credit exposure, credit metric forecasts, market risk sensitivities, stop losses, liquidity ratios and risk profile changes. On a monthly basis, the Bank prepares detailed reporting of industry, customer and geographic risks. Senior management assesses the appropriateness of the allowance for credit losses on a monthly basis. The Supervisory Board receives a comprehensive risk report once a quarter which is designed to provide all the necessary information to assess and conclude on the risks of the Bank.</w:t>
      </w:r>
    </w:p>
    <w:p>
      <w:pPr>
        <w:spacing w:after="0" w:line="135" w:lineRule="exact"/>
        <w:rPr>
          <w:rFonts w:ascii="Arial" w:cs="Arial" w:eastAsia="Arial" w:hAnsi="Arial"/>
          <w:sz w:val="13"/>
          <w:szCs w:val="13"/>
          <w:b w:val="1"/>
          <w:bCs w:val="1"/>
          <w:color w:val="auto"/>
        </w:rPr>
      </w:pPr>
    </w:p>
    <w:p>
      <w:pPr>
        <w:ind w:left="223" w:right="1140"/>
        <w:spacing w:after="0" w:line="494" w:lineRule="auto"/>
        <w:rPr>
          <w:rFonts w:ascii="Arial" w:cs="Arial" w:eastAsia="Arial" w:hAnsi="Arial"/>
          <w:sz w:val="13"/>
          <w:szCs w:val="13"/>
          <w:b w:val="1"/>
          <w:bCs w:val="1"/>
          <w:color w:val="auto"/>
        </w:rPr>
      </w:pPr>
      <w:r>
        <w:rPr>
          <w:rFonts w:ascii="Arial" w:cs="Arial" w:eastAsia="Arial" w:hAnsi="Arial"/>
          <w:sz w:val="13"/>
          <w:szCs w:val="13"/>
          <w:color w:val="auto"/>
        </w:rPr>
        <w:t xml:space="preserve">For all levels throughout the Bank, specifically tailored risk reports are prepared and distributed to ensure that all business divisions have access to extensive, necessary and up–to–date information. </w:t>
      </w:r>
      <w:r>
        <w:rPr>
          <w:rFonts w:ascii="Arial" w:cs="Arial" w:eastAsia="Arial" w:hAnsi="Arial"/>
          <w:sz w:val="13"/>
          <w:szCs w:val="13"/>
          <w:u w:val="single" w:color="auto"/>
          <w:color w:val="auto"/>
        </w:rPr>
        <w:t>Risk mitigation</w:t>
      </w:r>
    </w:p>
    <w:p>
      <w:pPr>
        <w:ind w:left="223"/>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As part of its overall risk management, the Bank uses derivatives and other instruments to manage exposures resulting from changes in interest rates, foreign currencies, equity risks, credit risks, and exposures arising from forecast transactions.</w:t>
      </w:r>
    </w:p>
    <w:p>
      <w:pPr>
        <w:spacing w:after="0" w:line="129" w:lineRule="exact"/>
        <w:rPr>
          <w:rFonts w:ascii="Arial" w:cs="Arial" w:eastAsia="Arial" w:hAnsi="Arial"/>
          <w:sz w:val="13"/>
          <w:szCs w:val="13"/>
          <w:b w:val="1"/>
          <w:bCs w:val="1"/>
          <w:color w:val="auto"/>
        </w:rPr>
      </w:pPr>
    </w:p>
    <w:p>
      <w:pPr>
        <w:ind w:left="223"/>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In accordance with the Bank’s policy, the risk profile is assessed before entering into hedge transactions, which are authorized by the appropriate level of seniority within the Bank. The effectiveness of hedges is assessed by the Risk Controlling Unit (based on economic considerations rather than the IFRS hedge accounting regulations).</w:t>
      </w:r>
    </w:p>
    <w:p>
      <w:pPr>
        <w:spacing w:after="0" w:line="129" w:lineRule="exact"/>
        <w:rPr>
          <w:rFonts w:ascii="Arial" w:cs="Arial" w:eastAsia="Arial" w:hAnsi="Arial"/>
          <w:sz w:val="13"/>
          <w:szCs w:val="13"/>
          <w:b w:val="1"/>
          <w:bCs w:val="1"/>
          <w:color w:val="auto"/>
        </w:rPr>
      </w:pPr>
    </w:p>
    <w:p>
      <w:pPr>
        <w:ind w:left="223"/>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The effectiveness of all the hedge relationships is monitored by the Risk Controlling Unit quarterly. In situations of ineffectiveness, the Bank will enter into a new hedge relationship to mitigate risk on a continuous basis.</w:t>
      </w:r>
    </w:p>
    <w:p>
      <w:pPr>
        <w:spacing w:after="0" w:line="283"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F-96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37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85" w:right="219" w:bottom="1440" w:gutter="0" w:footer="0" w:header="0"/>
        </w:sectPr>
      </w:pPr>
    </w:p>
    <w:bookmarkStart w:id="221" w:name="page222"/>
    <w:bookmarkEnd w:id="221"/>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15240</wp:posOffset>
            </wp:positionV>
            <wp:extent cx="7285990" cy="6350"/>
            <wp:wrapNone/>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38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74" w:lineRule="exact"/>
        <w:rPr>
          <w:sz w:val="20"/>
          <w:szCs w:val="20"/>
          <w:color w:val="auto"/>
        </w:rPr>
      </w:pPr>
    </w:p>
    <w:p>
      <w:pPr>
        <w:ind w:left="223" w:right="9600" w:hanging="223"/>
        <w:spacing w:after="0" w:line="588" w:lineRule="auto"/>
        <w:tabs>
          <w:tab w:leader="none" w:pos="223" w:val="left"/>
        </w:tabs>
        <w:numPr>
          <w:ilvl w:val="0"/>
          <w:numId w:val="190"/>
        </w:numPr>
        <w:rPr>
          <w:rFonts w:ascii="Arial" w:cs="Arial" w:eastAsia="Arial" w:hAnsi="Arial"/>
          <w:sz w:val="11"/>
          <w:szCs w:val="11"/>
          <w:b w:val="1"/>
          <w:bCs w:val="1"/>
          <w:color w:val="auto"/>
        </w:rPr>
      </w:pPr>
      <w:r>
        <w:rPr>
          <w:rFonts w:ascii="Arial" w:cs="Arial" w:eastAsia="Arial" w:hAnsi="Arial"/>
          <w:sz w:val="11"/>
          <w:szCs w:val="11"/>
          <w:b w:val="1"/>
          <w:bCs w:val="1"/>
          <w:color w:val="auto"/>
        </w:rPr>
        <w:t xml:space="preserve">Risk management (continued) </w:t>
      </w:r>
      <w:r>
        <w:rPr>
          <w:rFonts w:ascii="Arial" w:cs="Arial" w:eastAsia="Arial" w:hAnsi="Arial"/>
          <w:sz w:val="11"/>
          <w:szCs w:val="11"/>
          <w:u w:val="single" w:color="auto"/>
          <w:color w:val="auto"/>
        </w:rPr>
        <w:t>Risk concentration</w:t>
      </w:r>
    </w:p>
    <w:p>
      <w:pPr>
        <w:jc w:val="both"/>
        <w:ind w:left="223" w:right="20"/>
        <w:spacing w:after="0" w:line="281" w:lineRule="auto"/>
        <w:rPr>
          <w:rFonts w:ascii="Arial" w:cs="Arial" w:eastAsia="Arial" w:hAnsi="Arial"/>
          <w:sz w:val="11"/>
          <w:szCs w:val="11"/>
          <w:b w:val="1"/>
          <w:bCs w:val="1"/>
          <w:color w:val="auto"/>
        </w:rPr>
      </w:pPr>
      <w:r>
        <w:rPr>
          <w:rFonts w:ascii="Arial" w:cs="Arial" w:eastAsia="Arial" w:hAnsi="Arial"/>
          <w:sz w:val="12"/>
          <w:szCs w:val="12"/>
          <w:color w:val="auto"/>
        </w:rPr>
        <w:t>Concentrations arise when a number of counterparties are engaged in similar business activities, or activities in the same geographical region, or have similar economic features that would cause their ability to meet contractual obligations to be similarly affected by changes in economic, political or other conditions. Concentrations indicate the relative sensitivity of the Bank’s performance to developments affecting a particular industry or geographical location. To avoid excessive concentrations of risk, the Bank’s policies and procedures include specific guidelines to focus on maintaining a diversified portfolio. Identified concentrations of credit risks are controlled and managed accordingly. Selective hedging is used within the Bank to manage risk concentrations at both the relationship and industry / country levels.</w:t>
      </w:r>
    </w:p>
    <w:p>
      <w:pPr>
        <w:spacing w:after="0" w:line="123" w:lineRule="exact"/>
        <w:rPr>
          <w:rFonts w:ascii="Arial" w:cs="Arial" w:eastAsia="Arial" w:hAnsi="Arial"/>
          <w:sz w:val="11"/>
          <w:szCs w:val="11"/>
          <w:b w:val="1"/>
          <w:bCs w:val="1"/>
          <w:color w:val="auto"/>
        </w:rPr>
      </w:pPr>
    </w:p>
    <w:p>
      <w:pPr>
        <w:ind w:left="223"/>
        <w:spacing w:after="0"/>
        <w:rPr>
          <w:rFonts w:ascii="Arial" w:cs="Arial" w:eastAsia="Arial" w:hAnsi="Arial"/>
          <w:sz w:val="11"/>
          <w:szCs w:val="11"/>
          <w:b w:val="1"/>
          <w:bCs w:val="1"/>
          <w:color w:val="auto"/>
        </w:rPr>
      </w:pPr>
      <w:r>
        <w:rPr>
          <w:rFonts w:ascii="Arial" w:cs="Arial" w:eastAsia="Arial" w:hAnsi="Arial"/>
          <w:sz w:val="13"/>
          <w:szCs w:val="13"/>
          <w:color w:val="auto"/>
        </w:rPr>
        <w:t>The Bank has exposure to the following risks from financial instruments:</w:t>
      </w:r>
    </w:p>
    <w:p>
      <w:pPr>
        <w:spacing w:after="0" w:line="154" w:lineRule="exact"/>
        <w:rPr>
          <w:rFonts w:ascii="Arial" w:cs="Arial" w:eastAsia="Arial" w:hAnsi="Arial"/>
          <w:sz w:val="11"/>
          <w:szCs w:val="11"/>
          <w:b w:val="1"/>
          <w:bCs w:val="1"/>
          <w:color w:val="auto"/>
        </w:rPr>
      </w:pPr>
    </w:p>
    <w:p>
      <w:pPr>
        <w:ind w:left="223"/>
        <w:spacing w:after="0"/>
        <w:rPr>
          <w:rFonts w:ascii="Arial" w:cs="Arial" w:eastAsia="Arial" w:hAnsi="Arial"/>
          <w:sz w:val="11"/>
          <w:szCs w:val="11"/>
          <w:b w:val="1"/>
          <w:bCs w:val="1"/>
          <w:color w:val="auto"/>
        </w:rPr>
      </w:pPr>
      <w:r>
        <w:rPr>
          <w:rFonts w:ascii="Arial" w:cs="Arial" w:eastAsia="Arial" w:hAnsi="Arial"/>
          <w:sz w:val="13"/>
          <w:szCs w:val="13"/>
          <w:b w:val="1"/>
          <w:bCs w:val="1"/>
          <w:color w:val="auto"/>
        </w:rPr>
        <w:t>Credit risk</w:t>
      </w:r>
    </w:p>
    <w:p>
      <w:pPr>
        <w:spacing w:after="0" w:line="162" w:lineRule="exact"/>
        <w:rPr>
          <w:rFonts w:ascii="Arial" w:cs="Arial" w:eastAsia="Arial" w:hAnsi="Arial"/>
          <w:sz w:val="11"/>
          <w:szCs w:val="11"/>
          <w:b w:val="1"/>
          <w:bCs w:val="1"/>
          <w:color w:val="auto"/>
        </w:rPr>
      </w:pPr>
    </w:p>
    <w:p>
      <w:pPr>
        <w:ind w:left="223"/>
        <w:spacing w:after="0" w:line="267" w:lineRule="auto"/>
        <w:rPr>
          <w:rFonts w:ascii="Arial" w:cs="Arial" w:eastAsia="Arial" w:hAnsi="Arial"/>
          <w:sz w:val="11"/>
          <w:szCs w:val="11"/>
          <w:b w:val="1"/>
          <w:bCs w:val="1"/>
          <w:color w:val="auto"/>
        </w:rPr>
      </w:pPr>
      <w:r>
        <w:rPr>
          <w:rFonts w:ascii="Arial" w:cs="Arial" w:eastAsia="Arial" w:hAnsi="Arial"/>
          <w:sz w:val="13"/>
          <w:szCs w:val="13"/>
          <w:color w:val="auto"/>
        </w:rPr>
        <w:t>Credit risk is the risk that the Bank will incur a loss because its customers or counterparties may fail to discharge their contractual obligations. The Bank manages and controls credit risk by setting limits on the amount of risk it is willing to accept for individual counterparties and for geographical and industry concentrations, and by monitoring exposures in relation to such limits.</w:t>
      </w:r>
    </w:p>
    <w:p>
      <w:pPr>
        <w:spacing w:after="0" w:line="129" w:lineRule="exact"/>
        <w:rPr>
          <w:rFonts w:ascii="Arial" w:cs="Arial" w:eastAsia="Arial" w:hAnsi="Arial"/>
          <w:sz w:val="11"/>
          <w:szCs w:val="11"/>
          <w:b w:val="1"/>
          <w:bCs w:val="1"/>
          <w:color w:val="auto"/>
        </w:rPr>
      </w:pPr>
    </w:p>
    <w:p>
      <w:pPr>
        <w:jc w:val="both"/>
        <w:ind w:left="223" w:right="20"/>
        <w:spacing w:after="0" w:line="257" w:lineRule="auto"/>
        <w:rPr>
          <w:rFonts w:ascii="Arial" w:cs="Arial" w:eastAsia="Arial" w:hAnsi="Arial"/>
          <w:sz w:val="11"/>
          <w:szCs w:val="11"/>
          <w:b w:val="1"/>
          <w:bCs w:val="1"/>
          <w:color w:val="auto"/>
        </w:rPr>
      </w:pPr>
      <w:r>
        <w:rPr>
          <w:rFonts w:ascii="Arial" w:cs="Arial" w:eastAsia="Arial" w:hAnsi="Arial"/>
          <w:sz w:val="13"/>
          <w:szCs w:val="13"/>
          <w:color w:val="auto"/>
        </w:rPr>
        <w:t>The Bank has established a credit quality review process to provide early identification of possible changes in the creditworthiness of counterparties, including regular collateral revisions. Counterparty limits are established using a credit risk classification system, which assigns each counterparty a risk rating. Risk ratings are subject to regular revision. The credit quality review process aims to allow the Bank to assess the potential loss because of the risks to which it is exposed to and take corrective action.</w:t>
      </w:r>
    </w:p>
    <w:p>
      <w:pPr>
        <w:spacing w:after="0" w:line="135" w:lineRule="exact"/>
        <w:rPr>
          <w:rFonts w:ascii="Arial" w:cs="Arial" w:eastAsia="Arial" w:hAnsi="Arial"/>
          <w:sz w:val="11"/>
          <w:szCs w:val="11"/>
          <w:b w:val="1"/>
          <w:bCs w:val="1"/>
          <w:color w:val="auto"/>
        </w:rPr>
      </w:pPr>
    </w:p>
    <w:p>
      <w:pPr>
        <w:ind w:left="223"/>
        <w:spacing w:after="0"/>
        <w:rPr>
          <w:rFonts w:ascii="Arial" w:cs="Arial" w:eastAsia="Arial" w:hAnsi="Arial"/>
          <w:sz w:val="11"/>
          <w:szCs w:val="11"/>
          <w:b w:val="1"/>
          <w:bCs w:val="1"/>
          <w:color w:val="auto"/>
        </w:rPr>
      </w:pPr>
      <w:r>
        <w:rPr>
          <w:rFonts w:ascii="Arial" w:cs="Arial" w:eastAsia="Arial" w:hAnsi="Arial"/>
          <w:sz w:val="13"/>
          <w:szCs w:val="13"/>
          <w:u w:val="single" w:color="auto"/>
          <w:color w:val="auto"/>
        </w:rPr>
        <w:t>Individually assessed allowances</w:t>
      </w:r>
    </w:p>
    <w:p>
      <w:pPr>
        <w:spacing w:after="0" w:line="158" w:lineRule="exact"/>
        <w:rPr>
          <w:rFonts w:ascii="Arial" w:cs="Arial" w:eastAsia="Arial" w:hAnsi="Arial"/>
          <w:sz w:val="11"/>
          <w:szCs w:val="11"/>
          <w:b w:val="1"/>
          <w:bCs w:val="1"/>
          <w:color w:val="auto"/>
        </w:rPr>
      </w:pPr>
    </w:p>
    <w:p>
      <w:pPr>
        <w:jc w:val="both"/>
        <w:ind w:left="223"/>
        <w:spacing w:after="0" w:line="254" w:lineRule="auto"/>
        <w:rPr>
          <w:rFonts w:ascii="Arial" w:cs="Arial" w:eastAsia="Arial" w:hAnsi="Arial"/>
          <w:sz w:val="11"/>
          <w:szCs w:val="11"/>
          <w:b w:val="1"/>
          <w:bCs w:val="1"/>
          <w:color w:val="auto"/>
        </w:rPr>
      </w:pPr>
      <w:r>
        <w:rPr>
          <w:rFonts w:ascii="Arial" w:cs="Arial" w:eastAsia="Arial" w:hAnsi="Arial"/>
          <w:sz w:val="13"/>
          <w:szCs w:val="13"/>
          <w:color w:val="auto"/>
        </w:rPr>
        <w:t>The Bank determines the allowances appropriate for each individually significant loan or advance on an individual basis, considering any overdue payments of interests, credit rating downgrades, or breach of the original terms of the contract. Items considered when determining allowance amounts include the sustainability of the counterparty’s business plan, its ability to improve performance if it is facing a financial difficulty, projected receipts and the expected payout should bankruptcy ensue, the availability of other financial support, the realizable value of collateral and the timing of the expected cash flows. Allowances for losses are evaluated at each reporting date, unless unforeseen circumstances require more careful attention.</w:t>
      </w:r>
    </w:p>
    <w:p>
      <w:pPr>
        <w:spacing w:after="0" w:line="137" w:lineRule="exact"/>
        <w:rPr>
          <w:rFonts w:ascii="Arial" w:cs="Arial" w:eastAsia="Arial" w:hAnsi="Arial"/>
          <w:sz w:val="11"/>
          <w:szCs w:val="11"/>
          <w:b w:val="1"/>
          <w:bCs w:val="1"/>
          <w:color w:val="auto"/>
        </w:rPr>
      </w:pPr>
    </w:p>
    <w:p>
      <w:pPr>
        <w:ind w:left="223"/>
        <w:spacing w:after="0"/>
        <w:rPr>
          <w:rFonts w:ascii="Arial" w:cs="Arial" w:eastAsia="Arial" w:hAnsi="Arial"/>
          <w:sz w:val="11"/>
          <w:szCs w:val="11"/>
          <w:b w:val="1"/>
          <w:bCs w:val="1"/>
          <w:color w:val="auto"/>
        </w:rPr>
      </w:pPr>
      <w:r>
        <w:rPr>
          <w:rFonts w:ascii="Arial" w:cs="Arial" w:eastAsia="Arial" w:hAnsi="Arial"/>
          <w:sz w:val="13"/>
          <w:szCs w:val="13"/>
          <w:u w:val="single" w:color="auto"/>
          <w:color w:val="auto"/>
        </w:rPr>
        <w:t>Collectively assessed allowances</w:t>
      </w:r>
    </w:p>
    <w:p>
      <w:pPr>
        <w:spacing w:after="0" w:line="158" w:lineRule="exact"/>
        <w:rPr>
          <w:rFonts w:ascii="Arial" w:cs="Arial" w:eastAsia="Arial" w:hAnsi="Arial"/>
          <w:sz w:val="11"/>
          <w:szCs w:val="11"/>
          <w:b w:val="1"/>
          <w:bCs w:val="1"/>
          <w:color w:val="auto"/>
        </w:rPr>
      </w:pPr>
    </w:p>
    <w:p>
      <w:pPr>
        <w:ind w:left="223" w:right="20"/>
        <w:spacing w:after="0" w:line="267" w:lineRule="auto"/>
        <w:rPr>
          <w:rFonts w:ascii="Arial" w:cs="Arial" w:eastAsia="Arial" w:hAnsi="Arial"/>
          <w:sz w:val="11"/>
          <w:szCs w:val="11"/>
          <w:b w:val="1"/>
          <w:bCs w:val="1"/>
          <w:color w:val="auto"/>
        </w:rPr>
      </w:pPr>
      <w:r>
        <w:rPr>
          <w:rFonts w:ascii="Arial" w:cs="Arial" w:eastAsia="Arial" w:hAnsi="Arial"/>
          <w:sz w:val="13"/>
          <w:szCs w:val="13"/>
          <w:color w:val="auto"/>
        </w:rPr>
        <w:t>Allowances for expected credit losses are assessed collectively for losses on credit facilities and for debt investments at amortized cost, with similar characteristics, when assessing credit risk provided that no impairment has been evidence.</w:t>
      </w:r>
    </w:p>
    <w:p>
      <w:pPr>
        <w:spacing w:after="0" w:line="129" w:lineRule="exact"/>
        <w:rPr>
          <w:rFonts w:ascii="Arial" w:cs="Arial" w:eastAsia="Arial" w:hAnsi="Arial"/>
          <w:sz w:val="11"/>
          <w:szCs w:val="11"/>
          <w:b w:val="1"/>
          <w:bCs w:val="1"/>
          <w:color w:val="auto"/>
        </w:rPr>
      </w:pPr>
    </w:p>
    <w:p>
      <w:pPr>
        <w:jc w:val="both"/>
        <w:ind w:left="223"/>
        <w:spacing w:after="0" w:line="289" w:lineRule="auto"/>
        <w:rPr>
          <w:rFonts w:ascii="Arial" w:cs="Arial" w:eastAsia="Arial" w:hAnsi="Arial"/>
          <w:sz w:val="11"/>
          <w:szCs w:val="11"/>
          <w:b w:val="1"/>
          <w:bCs w:val="1"/>
          <w:color w:val="auto"/>
        </w:rPr>
      </w:pPr>
      <w:r>
        <w:rPr>
          <w:rFonts w:ascii="Arial" w:cs="Arial" w:eastAsia="Arial" w:hAnsi="Arial"/>
          <w:sz w:val="12"/>
          <w:szCs w:val="12"/>
          <w:color w:val="auto"/>
        </w:rPr>
        <w:t>The Bank generally bases its analyses on historical experience and prospective information. However, when there are significant market developments, regional and/or global, the Bank would include these macroeconomic factors within its assessments. These factors include, depending on the characteristics of the individual or collective assessment: unemployment rates, current levels of bad debt, changes in the law, changes in regulation, bankruptcy trends, and other consumer data. The Bank may use the aforementioned factors as appropriate to adjust the impairment allowances.</w:t>
      </w:r>
    </w:p>
    <w:p>
      <w:pPr>
        <w:spacing w:after="0" w:line="117" w:lineRule="exact"/>
        <w:rPr>
          <w:rFonts w:ascii="Arial" w:cs="Arial" w:eastAsia="Arial" w:hAnsi="Arial"/>
          <w:sz w:val="11"/>
          <w:szCs w:val="11"/>
          <w:b w:val="1"/>
          <w:bCs w:val="1"/>
          <w:color w:val="auto"/>
        </w:rPr>
      </w:pPr>
    </w:p>
    <w:p>
      <w:pPr>
        <w:jc w:val="both"/>
        <w:ind w:left="223"/>
        <w:spacing w:after="0" w:line="278" w:lineRule="auto"/>
        <w:rPr>
          <w:rFonts w:ascii="Arial" w:cs="Arial" w:eastAsia="Arial" w:hAnsi="Arial"/>
          <w:sz w:val="11"/>
          <w:szCs w:val="11"/>
          <w:b w:val="1"/>
          <w:bCs w:val="1"/>
          <w:color w:val="auto"/>
        </w:rPr>
      </w:pPr>
      <w:r>
        <w:rPr>
          <w:rFonts w:ascii="Arial" w:cs="Arial" w:eastAsia="Arial" w:hAnsi="Arial"/>
          <w:sz w:val="12"/>
          <w:szCs w:val="12"/>
          <w:color w:val="auto"/>
        </w:rPr>
        <w:t>Allowances are evaluated separately at each reporting date for each portfolio. The collective assessment is made for groups of assets with similar risk characteristics, in order to determine whether provision should be made due to incurred loss events for which there is objective evidence, but the effects of which are not yet evident in the individual loan assessments. The collective assessment takes into account data from the loan portfolio (such as historical losses on the portfolio, levels of arrears, credit utilization, loan to collateral ratios and expected receipts and recoveries once impaired) or economic data (such as current economic conditions, unemployment and local or industry specific conditions). The approximate lapse between the time when a loss is likely to have been incurred and the time it will be identified as requiring an individually assessed impairment allowance is also taken into consideration. The impairment allowance is then reviewed by credit management to ensure alignment with the Bank’s overall policy.</w:t>
      </w:r>
    </w:p>
    <w:p>
      <w:pPr>
        <w:spacing w:after="0" w:line="124" w:lineRule="exact"/>
        <w:rPr>
          <w:rFonts w:ascii="Arial" w:cs="Arial" w:eastAsia="Arial" w:hAnsi="Arial"/>
          <w:sz w:val="11"/>
          <w:szCs w:val="11"/>
          <w:b w:val="1"/>
          <w:bCs w:val="1"/>
          <w:color w:val="auto"/>
        </w:rPr>
      </w:pPr>
    </w:p>
    <w:p>
      <w:pPr>
        <w:ind w:left="223"/>
        <w:spacing w:after="0"/>
        <w:rPr>
          <w:rFonts w:ascii="Arial" w:cs="Arial" w:eastAsia="Arial" w:hAnsi="Arial"/>
          <w:sz w:val="11"/>
          <w:szCs w:val="11"/>
          <w:b w:val="1"/>
          <w:bCs w:val="1"/>
          <w:color w:val="auto"/>
        </w:rPr>
      </w:pPr>
      <w:r>
        <w:rPr>
          <w:rFonts w:ascii="Arial" w:cs="Arial" w:eastAsia="Arial" w:hAnsi="Arial"/>
          <w:sz w:val="13"/>
          <w:szCs w:val="13"/>
          <w:color w:val="auto"/>
        </w:rPr>
        <w:t>Financial guarantees and letters of credit are assessed in a similar manner as for loans at amortized cost.</w:t>
      </w:r>
    </w:p>
    <w:p>
      <w:pPr>
        <w:spacing w:after="0" w:line="313"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F-97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38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222" w:name="page223"/>
    <w:bookmarkEnd w:id="222"/>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38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right="9600" w:hanging="223"/>
        <w:spacing w:after="0" w:line="588" w:lineRule="auto"/>
        <w:tabs>
          <w:tab w:leader="none" w:pos="223" w:val="left"/>
        </w:tabs>
        <w:numPr>
          <w:ilvl w:val="0"/>
          <w:numId w:val="191"/>
        </w:numPr>
        <w:rPr>
          <w:rFonts w:ascii="Arial" w:cs="Arial" w:eastAsia="Arial" w:hAnsi="Arial"/>
          <w:sz w:val="11"/>
          <w:szCs w:val="11"/>
          <w:b w:val="1"/>
          <w:bCs w:val="1"/>
          <w:color w:val="auto"/>
        </w:rPr>
      </w:pPr>
      <w:r>
        <w:rPr>
          <w:rFonts w:ascii="Arial" w:cs="Arial" w:eastAsia="Arial" w:hAnsi="Arial"/>
          <w:sz w:val="11"/>
          <w:szCs w:val="11"/>
          <w:b w:val="1"/>
          <w:bCs w:val="1"/>
          <w:color w:val="auto"/>
        </w:rPr>
        <w:t>Risk management (continued) Credit risk (continued)</w:t>
      </w:r>
    </w:p>
    <w:p>
      <w:pPr>
        <w:ind w:left="223"/>
        <w:spacing w:after="0"/>
        <w:rPr>
          <w:rFonts w:ascii="Arial" w:cs="Arial" w:eastAsia="Arial" w:hAnsi="Arial"/>
          <w:sz w:val="11"/>
          <w:szCs w:val="11"/>
          <w:b w:val="1"/>
          <w:bCs w:val="1"/>
          <w:color w:val="auto"/>
        </w:rPr>
      </w:pPr>
      <w:r>
        <w:rPr>
          <w:rFonts w:ascii="Arial" w:cs="Arial" w:eastAsia="Arial" w:hAnsi="Arial"/>
          <w:sz w:val="13"/>
          <w:szCs w:val="13"/>
          <w:u w:val="single" w:color="auto"/>
          <w:color w:val="auto"/>
        </w:rPr>
        <w:t>Derivative financial instrument risks</w:t>
      </w:r>
    </w:p>
    <w:p>
      <w:pPr>
        <w:spacing w:after="0" w:line="158" w:lineRule="exact"/>
        <w:rPr>
          <w:rFonts w:ascii="Arial" w:cs="Arial" w:eastAsia="Arial" w:hAnsi="Arial"/>
          <w:sz w:val="11"/>
          <w:szCs w:val="11"/>
          <w:b w:val="1"/>
          <w:bCs w:val="1"/>
          <w:color w:val="auto"/>
        </w:rPr>
      </w:pPr>
    </w:p>
    <w:p>
      <w:pPr>
        <w:ind w:left="223" w:right="20"/>
        <w:spacing w:after="0" w:line="267" w:lineRule="auto"/>
        <w:rPr>
          <w:rFonts w:ascii="Arial" w:cs="Arial" w:eastAsia="Arial" w:hAnsi="Arial"/>
          <w:sz w:val="11"/>
          <w:szCs w:val="11"/>
          <w:b w:val="1"/>
          <w:bCs w:val="1"/>
          <w:color w:val="auto"/>
        </w:rPr>
      </w:pPr>
      <w:r>
        <w:rPr>
          <w:rFonts w:ascii="Arial" w:cs="Arial" w:eastAsia="Arial" w:hAnsi="Arial"/>
          <w:sz w:val="13"/>
          <w:szCs w:val="13"/>
          <w:color w:val="auto"/>
        </w:rPr>
        <w:t>Credit risk arising from derivative financial instruments is, at any time, limited to those with positive fair values, as recorded on the consolidated statement of financial position at fair value. With gross–settled derivatives, the Bank is also exposed to a settlement risk, being the risk that the Bank honors its obligation, but the counterparty fails to deliver the counter value.</w:t>
      </w:r>
    </w:p>
    <w:p>
      <w:pPr>
        <w:spacing w:after="0" w:line="129" w:lineRule="exact"/>
        <w:rPr>
          <w:rFonts w:ascii="Arial" w:cs="Arial" w:eastAsia="Arial" w:hAnsi="Arial"/>
          <w:sz w:val="11"/>
          <w:szCs w:val="11"/>
          <w:b w:val="1"/>
          <w:bCs w:val="1"/>
          <w:color w:val="auto"/>
        </w:rPr>
      </w:pPr>
    </w:p>
    <w:p>
      <w:pPr>
        <w:ind w:left="223"/>
        <w:spacing w:after="0"/>
        <w:rPr>
          <w:rFonts w:ascii="Arial" w:cs="Arial" w:eastAsia="Arial" w:hAnsi="Arial"/>
          <w:sz w:val="11"/>
          <w:szCs w:val="11"/>
          <w:b w:val="1"/>
          <w:bCs w:val="1"/>
          <w:color w:val="auto"/>
        </w:rPr>
      </w:pPr>
      <w:r>
        <w:rPr>
          <w:rFonts w:ascii="Arial" w:cs="Arial" w:eastAsia="Arial" w:hAnsi="Arial"/>
          <w:sz w:val="13"/>
          <w:szCs w:val="13"/>
          <w:u w:val="single" w:color="auto"/>
          <w:color w:val="auto"/>
        </w:rPr>
        <w:t>Credit–related commitments risks</w:t>
      </w:r>
    </w:p>
    <w:p>
      <w:pPr>
        <w:spacing w:after="0" w:line="158" w:lineRule="exact"/>
        <w:rPr>
          <w:rFonts w:ascii="Arial" w:cs="Arial" w:eastAsia="Arial" w:hAnsi="Arial"/>
          <w:sz w:val="11"/>
          <w:szCs w:val="11"/>
          <w:b w:val="1"/>
          <w:bCs w:val="1"/>
          <w:color w:val="auto"/>
        </w:rPr>
      </w:pPr>
    </w:p>
    <w:p>
      <w:pPr>
        <w:jc w:val="both"/>
        <w:ind w:left="223" w:right="20"/>
        <w:spacing w:after="0" w:line="257" w:lineRule="auto"/>
        <w:rPr>
          <w:rFonts w:ascii="Arial" w:cs="Arial" w:eastAsia="Arial" w:hAnsi="Arial"/>
          <w:sz w:val="11"/>
          <w:szCs w:val="11"/>
          <w:b w:val="1"/>
          <w:bCs w:val="1"/>
          <w:color w:val="auto"/>
        </w:rPr>
      </w:pPr>
      <w:r>
        <w:rPr>
          <w:rFonts w:ascii="Arial" w:cs="Arial" w:eastAsia="Arial" w:hAnsi="Arial"/>
          <w:sz w:val="13"/>
          <w:szCs w:val="13"/>
          <w:color w:val="auto"/>
        </w:rPr>
        <w:t>The Bank makes available to its customers guarantees that may require that the Bank makes payments on their behalf and enters into commitments to extend credit lines to secure their liquidity needs. Letters of credit and guarantees (including standby letters of credit) commit the Bank to make payments on behalf of customers in the event of a specific act, generally related to the import or export of goods. Such commitments expose the Bank to risks similar to those on loans and are mitigated by the same control processes and policies.</w:t>
      </w:r>
    </w:p>
    <w:p>
      <w:pPr>
        <w:spacing w:after="0" w:line="135" w:lineRule="exact"/>
        <w:rPr>
          <w:rFonts w:ascii="Arial" w:cs="Arial" w:eastAsia="Arial" w:hAnsi="Arial"/>
          <w:sz w:val="11"/>
          <w:szCs w:val="11"/>
          <w:b w:val="1"/>
          <w:bCs w:val="1"/>
          <w:color w:val="auto"/>
        </w:rPr>
      </w:pPr>
    </w:p>
    <w:p>
      <w:pPr>
        <w:ind w:left="223"/>
        <w:spacing w:after="0"/>
        <w:rPr>
          <w:rFonts w:ascii="Arial" w:cs="Arial" w:eastAsia="Arial" w:hAnsi="Arial"/>
          <w:sz w:val="11"/>
          <w:szCs w:val="11"/>
          <w:b w:val="1"/>
          <w:bCs w:val="1"/>
          <w:color w:val="auto"/>
        </w:rPr>
      </w:pPr>
      <w:r>
        <w:rPr>
          <w:rFonts w:ascii="Arial" w:cs="Arial" w:eastAsia="Arial" w:hAnsi="Arial"/>
          <w:sz w:val="13"/>
          <w:szCs w:val="13"/>
          <w:u w:val="single" w:color="auto"/>
          <w:color w:val="auto"/>
        </w:rPr>
        <w:t>Collateral and other credit enhancements</w:t>
      </w:r>
    </w:p>
    <w:p>
      <w:pPr>
        <w:spacing w:after="0" w:line="159" w:lineRule="exact"/>
        <w:rPr>
          <w:sz w:val="20"/>
          <w:szCs w:val="20"/>
          <w:color w:val="auto"/>
        </w:rPr>
      </w:pPr>
    </w:p>
    <w:p>
      <w:pPr>
        <w:ind w:left="223"/>
        <w:spacing w:after="0"/>
        <w:rPr>
          <w:sz w:val="20"/>
          <w:szCs w:val="20"/>
          <w:color w:val="auto"/>
        </w:rPr>
      </w:pPr>
      <w:r>
        <w:rPr>
          <w:rFonts w:ascii="Arial" w:cs="Arial" w:eastAsia="Arial" w:hAnsi="Arial"/>
          <w:sz w:val="12"/>
          <w:szCs w:val="12"/>
          <w:color w:val="auto"/>
        </w:rPr>
        <w:t>The amount and type of collateral required depends on an assessment of the credit risk of the counterparty. Guidelines are in place covering the acceptability and valuation of each type of collateral.</w:t>
      </w:r>
    </w:p>
    <w:p>
      <w:pPr>
        <w:spacing w:after="0" w:line="170" w:lineRule="exact"/>
        <w:rPr>
          <w:sz w:val="20"/>
          <w:szCs w:val="20"/>
          <w:color w:val="auto"/>
        </w:rPr>
      </w:pPr>
    </w:p>
    <w:p>
      <w:pPr>
        <w:ind w:left="223"/>
        <w:spacing w:after="0"/>
        <w:rPr>
          <w:sz w:val="20"/>
          <w:szCs w:val="20"/>
          <w:color w:val="auto"/>
        </w:rPr>
      </w:pPr>
      <w:r>
        <w:rPr>
          <w:rFonts w:ascii="Arial" w:cs="Arial" w:eastAsia="Arial" w:hAnsi="Arial"/>
          <w:sz w:val="13"/>
          <w:szCs w:val="13"/>
          <w:color w:val="auto"/>
        </w:rPr>
        <w:t>The main types of collateral obtained are, as follows:</w:t>
      </w:r>
    </w:p>
    <w:p>
      <w:pPr>
        <w:spacing w:after="0" w:line="159" w:lineRule="exact"/>
        <w:rPr>
          <w:sz w:val="20"/>
          <w:szCs w:val="20"/>
          <w:color w:val="auto"/>
        </w:rPr>
      </w:pPr>
    </w:p>
    <w:p>
      <w:pPr>
        <w:ind w:left="703" w:hanging="241"/>
        <w:spacing w:after="0"/>
        <w:tabs>
          <w:tab w:leader="none" w:pos="703" w:val="left"/>
        </w:tabs>
        <w:numPr>
          <w:ilvl w:val="0"/>
          <w:numId w:val="192"/>
        </w:numPr>
        <w:rPr>
          <w:rFonts w:ascii="Arial" w:cs="Arial" w:eastAsia="Arial" w:hAnsi="Arial"/>
          <w:sz w:val="13"/>
          <w:szCs w:val="13"/>
          <w:color w:val="auto"/>
        </w:rPr>
      </w:pPr>
      <w:r>
        <w:rPr>
          <w:rFonts w:ascii="Arial" w:cs="Arial" w:eastAsia="Arial" w:hAnsi="Arial"/>
          <w:sz w:val="13"/>
          <w:szCs w:val="13"/>
          <w:color w:val="auto"/>
        </w:rPr>
        <w:t>For commercial lending, liens on real estate properties, inventory and trade receivables.</w:t>
      </w:r>
    </w:p>
    <w:p>
      <w:pPr>
        <w:spacing w:after="0" w:line="159" w:lineRule="exact"/>
        <w:rPr>
          <w:sz w:val="20"/>
          <w:szCs w:val="20"/>
          <w:color w:val="auto"/>
        </w:rPr>
      </w:pPr>
    </w:p>
    <w:p>
      <w:pPr>
        <w:jc w:val="both"/>
        <w:ind w:left="223" w:right="20"/>
        <w:spacing w:after="0" w:line="257" w:lineRule="auto"/>
        <w:rPr>
          <w:sz w:val="20"/>
          <w:szCs w:val="20"/>
          <w:color w:val="auto"/>
        </w:rPr>
      </w:pPr>
      <w:r>
        <w:rPr>
          <w:rFonts w:ascii="Arial" w:cs="Arial" w:eastAsia="Arial" w:hAnsi="Arial"/>
          <w:sz w:val="13"/>
          <w:szCs w:val="13"/>
          <w:color w:val="auto"/>
        </w:rPr>
        <w:t>The Bank also obtains guarantees from parent companies for loans to their subsidiaries. Management monitors the market value of collateral and will request additional collateral in accordance with the underlying agreement. It is the Bank’s policy to dispose of repossessed properties in an orderly fashion. The proceeds are used to reduce or repay the outstanding claim. In general, the Bank does not occupy repossessed properties for business use.</w:t>
      </w:r>
    </w:p>
    <w:p>
      <w:pPr>
        <w:spacing w:after="0" w:line="136" w:lineRule="exact"/>
        <w:rPr>
          <w:sz w:val="20"/>
          <w:szCs w:val="20"/>
          <w:color w:val="auto"/>
        </w:rPr>
      </w:pPr>
    </w:p>
    <w:p>
      <w:pPr>
        <w:jc w:val="both"/>
        <w:ind w:left="223" w:right="20"/>
        <w:spacing w:after="0" w:line="257" w:lineRule="auto"/>
        <w:rPr>
          <w:sz w:val="20"/>
          <w:szCs w:val="20"/>
          <w:color w:val="auto"/>
        </w:rPr>
      </w:pPr>
      <w:r>
        <w:rPr>
          <w:rFonts w:ascii="Arial" w:cs="Arial" w:eastAsia="Arial" w:hAnsi="Arial"/>
          <w:sz w:val="13"/>
          <w:szCs w:val="13"/>
          <w:color w:val="auto"/>
        </w:rPr>
        <w:t>The Bank also makes use of master netting agreements with counterparties with whom a significant volume of transactions are undertaken. Such arrangements provide for single net settlement of all financial instruments covered by the agreements in the event of default on any one contract. Master netting arrangements do not normally result in an offset of balance–sheet assets and liabilities unless certain conditions for offsetting are met.</w:t>
      </w:r>
    </w:p>
    <w:p>
      <w:pPr>
        <w:spacing w:after="0" w:line="136" w:lineRule="exact"/>
        <w:rPr>
          <w:sz w:val="20"/>
          <w:szCs w:val="20"/>
          <w:color w:val="auto"/>
        </w:rPr>
      </w:pPr>
    </w:p>
    <w:p>
      <w:pPr>
        <w:ind w:left="223"/>
        <w:spacing w:after="0"/>
        <w:rPr>
          <w:sz w:val="20"/>
          <w:szCs w:val="20"/>
          <w:color w:val="auto"/>
        </w:rPr>
      </w:pPr>
      <w:r>
        <w:rPr>
          <w:rFonts w:ascii="Arial" w:cs="Arial" w:eastAsia="Arial" w:hAnsi="Arial"/>
          <w:sz w:val="13"/>
          <w:szCs w:val="13"/>
          <w:color w:val="auto"/>
        </w:rPr>
        <w:t>Although master netting arrangements may significantly reduce credit risk, it should be noted that:</w:t>
      </w:r>
    </w:p>
    <w:p>
      <w:pPr>
        <w:spacing w:after="0" w:line="159" w:lineRule="exact"/>
        <w:rPr>
          <w:sz w:val="20"/>
          <w:szCs w:val="20"/>
          <w:color w:val="auto"/>
        </w:rPr>
      </w:pPr>
    </w:p>
    <w:p>
      <w:pPr>
        <w:ind w:left="703" w:hanging="241"/>
        <w:spacing w:after="0"/>
        <w:tabs>
          <w:tab w:leader="none" w:pos="703" w:val="left"/>
        </w:tabs>
        <w:numPr>
          <w:ilvl w:val="0"/>
          <w:numId w:val="193"/>
        </w:numPr>
        <w:rPr>
          <w:rFonts w:ascii="Arial" w:cs="Arial" w:eastAsia="Arial" w:hAnsi="Arial"/>
          <w:sz w:val="13"/>
          <w:szCs w:val="13"/>
          <w:color w:val="auto"/>
        </w:rPr>
      </w:pPr>
      <w:r>
        <w:rPr>
          <w:rFonts w:ascii="Arial" w:cs="Arial" w:eastAsia="Arial" w:hAnsi="Arial"/>
          <w:sz w:val="13"/>
          <w:szCs w:val="13"/>
          <w:color w:val="auto"/>
        </w:rPr>
        <w:t>Credit risk is eliminated only to the extent that amounts due to the same counterparty will be settled after the assets are realized.</w:t>
      </w:r>
    </w:p>
    <w:p>
      <w:pPr>
        <w:spacing w:after="0" w:line="12" w:lineRule="exact"/>
        <w:rPr>
          <w:rFonts w:ascii="Arial" w:cs="Arial" w:eastAsia="Arial" w:hAnsi="Arial"/>
          <w:sz w:val="13"/>
          <w:szCs w:val="13"/>
          <w:color w:val="auto"/>
        </w:rPr>
      </w:pPr>
    </w:p>
    <w:p>
      <w:pPr>
        <w:ind w:left="703" w:hanging="241"/>
        <w:spacing w:after="0"/>
        <w:tabs>
          <w:tab w:leader="none" w:pos="703" w:val="left"/>
        </w:tabs>
        <w:numPr>
          <w:ilvl w:val="0"/>
          <w:numId w:val="193"/>
        </w:numPr>
        <w:rPr>
          <w:rFonts w:ascii="Arial" w:cs="Arial" w:eastAsia="Arial" w:hAnsi="Arial"/>
          <w:sz w:val="13"/>
          <w:szCs w:val="13"/>
          <w:color w:val="auto"/>
        </w:rPr>
      </w:pPr>
      <w:r>
        <w:rPr>
          <w:rFonts w:ascii="Arial" w:cs="Arial" w:eastAsia="Arial" w:hAnsi="Arial"/>
          <w:sz w:val="13"/>
          <w:szCs w:val="13"/>
          <w:color w:val="auto"/>
        </w:rPr>
        <w:t>The extent to which overall credit risk is reduced may change substantially within a short period because the exposure is affected by each transaction subject to the arrangement.</w:t>
      </w:r>
    </w:p>
    <w:p>
      <w:pPr>
        <w:spacing w:after="0" w:line="150" w:lineRule="exact"/>
        <w:rPr>
          <w:sz w:val="20"/>
          <w:szCs w:val="20"/>
          <w:color w:val="auto"/>
        </w:rPr>
      </w:pPr>
    </w:p>
    <w:p>
      <w:pPr>
        <w:ind w:left="223"/>
        <w:spacing w:after="0" w:line="267" w:lineRule="auto"/>
        <w:rPr>
          <w:sz w:val="20"/>
          <w:szCs w:val="20"/>
          <w:color w:val="auto"/>
        </w:rPr>
      </w:pPr>
      <w:r>
        <w:rPr>
          <w:rFonts w:ascii="Arial" w:cs="Arial" w:eastAsia="Arial" w:hAnsi="Arial"/>
          <w:sz w:val="13"/>
          <w:szCs w:val="13"/>
          <w:color w:val="auto"/>
        </w:rPr>
        <w:t>The Bank holds guarantees and other financial credit enhancements against certain exposures in the loan portfolio. As of December 31, 2018, and 2017, the coverage ratio to the carrying amount of the loan portfolio was 8% and 7% respectively.</w:t>
      </w:r>
    </w:p>
    <w:p>
      <w:pPr>
        <w:spacing w:after="0" w:line="283"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F-98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38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223" w:name="page224"/>
    <w:bookmarkEnd w:id="223"/>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38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32. Risk management (continued)</w:t>
      </w:r>
    </w:p>
    <w:p>
      <w:pPr>
        <w:spacing w:after="0" w:line="159" w:lineRule="exact"/>
        <w:rPr>
          <w:sz w:val="20"/>
          <w:szCs w:val="20"/>
          <w:color w:val="auto"/>
        </w:rPr>
      </w:pPr>
    </w:p>
    <w:p>
      <w:pPr>
        <w:ind w:left="220"/>
        <w:spacing w:after="0"/>
        <w:rPr>
          <w:sz w:val="20"/>
          <w:szCs w:val="20"/>
          <w:color w:val="auto"/>
        </w:rPr>
      </w:pPr>
      <w:r>
        <w:rPr>
          <w:rFonts w:ascii="Arial" w:cs="Arial" w:eastAsia="Arial" w:hAnsi="Arial"/>
          <w:sz w:val="13"/>
          <w:szCs w:val="13"/>
          <w:b w:val="1"/>
          <w:bCs w:val="1"/>
          <w:color w:val="auto"/>
        </w:rPr>
        <w:t>Credit risk (continued)</w:t>
      </w:r>
    </w:p>
    <w:p>
      <w:pPr>
        <w:spacing w:after="0" w:line="163" w:lineRule="exact"/>
        <w:rPr>
          <w:sz w:val="20"/>
          <w:szCs w:val="20"/>
          <w:color w:val="auto"/>
        </w:rPr>
      </w:pPr>
    </w:p>
    <w:p>
      <w:pPr>
        <w:ind w:left="260"/>
        <w:spacing w:after="0"/>
        <w:rPr>
          <w:sz w:val="20"/>
          <w:szCs w:val="20"/>
          <w:color w:val="auto"/>
        </w:rPr>
      </w:pPr>
      <w:r>
        <w:rPr>
          <w:rFonts w:ascii="Arial" w:cs="Arial" w:eastAsia="Arial" w:hAnsi="Arial"/>
          <w:sz w:val="13"/>
          <w:szCs w:val="13"/>
          <w:u w:val="single" w:color="auto"/>
          <w:color w:val="auto"/>
        </w:rPr>
        <w:t>Implementation of forward-looking information</w:t>
      </w:r>
    </w:p>
    <w:p>
      <w:pPr>
        <w:spacing w:after="0" w:line="159" w:lineRule="exact"/>
        <w:rPr>
          <w:sz w:val="20"/>
          <w:szCs w:val="20"/>
          <w:color w:val="auto"/>
        </w:rPr>
      </w:pPr>
    </w:p>
    <w:p>
      <w:pPr>
        <w:jc w:val="both"/>
        <w:ind w:left="260" w:right="20"/>
        <w:spacing w:after="0" w:line="252" w:lineRule="auto"/>
        <w:rPr>
          <w:sz w:val="20"/>
          <w:szCs w:val="20"/>
          <w:color w:val="auto"/>
        </w:rPr>
      </w:pPr>
      <w:r>
        <w:rPr>
          <w:rFonts w:ascii="Arial" w:cs="Arial" w:eastAsia="Arial" w:hAnsi="Arial"/>
          <w:sz w:val="13"/>
          <w:szCs w:val="13"/>
          <w:color w:val="auto"/>
        </w:rPr>
        <w:t>The Bank incorporates information of the economic environments on a forward-looking view, when assessing whether the credit risk of a financial instrument has significantly increased since initial recognition. This is done through a rating model which includes projections of the inputs under analysis, and of the expected credit loss measurement, based on suggestions of areas such as Credit Risk, Economic Studies and Loan Recovery of the Bank. The results of the alert model are analyzed through a severity indicator to total risk resulting of the estimations and assumptions of several macroeconomics factors. These estimations and assumptions are supported under a base scenario associated to a probability of occurrence of 95%. Other scenarios represent optimistic and pessimistic results. The implementation and interpretation of the outcomes of the alert are based on the expert judgement of management</w:t>
      </w:r>
    </w:p>
    <w:p>
      <w:pPr>
        <w:spacing w:after="0" w:line="139" w:lineRule="exact"/>
        <w:rPr>
          <w:sz w:val="20"/>
          <w:szCs w:val="20"/>
          <w:color w:val="auto"/>
        </w:rPr>
      </w:pPr>
    </w:p>
    <w:p>
      <w:pPr>
        <w:jc w:val="both"/>
        <w:ind w:left="260" w:right="20"/>
        <w:spacing w:after="0" w:line="360" w:lineRule="auto"/>
        <w:rPr>
          <w:sz w:val="20"/>
          <w:szCs w:val="20"/>
          <w:color w:val="auto"/>
        </w:rPr>
      </w:pPr>
      <w:r>
        <w:rPr>
          <w:rFonts w:ascii="Arial" w:cs="Arial" w:eastAsia="Arial" w:hAnsi="Arial"/>
          <w:sz w:val="11"/>
          <w:szCs w:val="11"/>
          <w:color w:val="auto"/>
        </w:rPr>
        <w:t>The external information, analyzed using the alert model, could include economic data and projections published by governmental committees, monetary agencies (e.g., Federal Reserve Bank and countries where respective the Bank operates), supranational organizations (International Monetary Fund, The World Bank, World Trade Organization), private sector, academic projections, credit rating agencies, among other.</w:t>
      </w:r>
    </w:p>
    <w:p>
      <w:pPr>
        <w:spacing w:after="0" w:line="83" w:lineRule="exact"/>
        <w:rPr>
          <w:sz w:val="20"/>
          <w:szCs w:val="20"/>
          <w:color w:val="auto"/>
        </w:rPr>
      </w:pPr>
    </w:p>
    <w:p>
      <w:pPr>
        <w:ind w:left="260"/>
        <w:spacing w:after="0"/>
        <w:rPr>
          <w:sz w:val="20"/>
          <w:szCs w:val="20"/>
          <w:color w:val="auto"/>
        </w:rPr>
      </w:pPr>
      <w:r>
        <w:rPr>
          <w:rFonts w:ascii="Arial" w:cs="Arial" w:eastAsia="Arial" w:hAnsi="Arial"/>
          <w:sz w:val="13"/>
          <w:szCs w:val="13"/>
          <w:color w:val="auto"/>
        </w:rPr>
        <w:t>Principal macroeconomies variables of the model with forward-looking scenarios</w:t>
      </w:r>
    </w:p>
    <w:p>
      <w:pPr>
        <w:spacing w:after="0" w:line="155" w:lineRule="exact"/>
        <w:rPr>
          <w:sz w:val="20"/>
          <w:szCs w:val="20"/>
          <w:color w:val="auto"/>
        </w:rPr>
      </w:pPr>
    </w:p>
    <w:tbl>
      <w:tblPr>
        <w:tblLayout w:type="fixed"/>
        <w:tblInd w:w="0" w:type="dxa"/>
        <w:tblCellMar>
          <w:top w:w="0" w:type="dxa"/>
          <w:left w:w="0" w:type="dxa"/>
          <w:bottom w:w="0" w:type="dxa"/>
          <w:right w:w="0" w:type="dxa"/>
        </w:tblCellMar>
      </w:tblPr>
      <w:tr>
        <w:trPr>
          <w:trHeight w:val="158"/>
        </w:trPr>
        <w:tc>
          <w:tcPr>
            <w:tcW w:w="3420" w:type="dxa"/>
            <w:vAlign w:val="bottom"/>
          </w:tcPr>
          <w:p>
            <w:pPr>
              <w:ind w:left="220"/>
              <w:spacing w:after="0"/>
              <w:rPr>
                <w:sz w:val="20"/>
                <w:szCs w:val="20"/>
                <w:color w:val="auto"/>
              </w:rPr>
            </w:pPr>
            <w:r>
              <w:rPr>
                <w:rFonts w:ascii="Arial" w:cs="Arial" w:eastAsia="Arial" w:hAnsi="Arial"/>
                <w:sz w:val="13"/>
                <w:szCs w:val="13"/>
                <w:b w:val="1"/>
                <w:bCs w:val="1"/>
                <w:color w:val="auto"/>
              </w:rPr>
              <w:t>Variable</w:t>
            </w:r>
          </w:p>
        </w:tc>
        <w:tc>
          <w:tcPr>
            <w:tcW w:w="8060" w:type="dxa"/>
            <w:vAlign w:val="bottom"/>
          </w:tcPr>
          <w:p>
            <w:pPr>
              <w:ind w:left="4040"/>
              <w:spacing w:after="0"/>
              <w:rPr>
                <w:sz w:val="20"/>
                <w:szCs w:val="20"/>
                <w:color w:val="auto"/>
              </w:rPr>
            </w:pPr>
            <w:r>
              <w:rPr>
                <w:rFonts w:ascii="Arial" w:cs="Arial" w:eastAsia="Arial" w:hAnsi="Arial"/>
                <w:sz w:val="13"/>
                <w:szCs w:val="13"/>
                <w:b w:val="1"/>
                <w:bCs w:val="1"/>
                <w:color w:val="auto"/>
              </w:rPr>
              <w:t>Description</w:t>
            </w:r>
          </w:p>
        </w:tc>
      </w:tr>
      <w:tr>
        <w:trPr>
          <w:trHeight w:val="154"/>
        </w:trPr>
        <w:tc>
          <w:tcPr>
            <w:tcW w:w="3420" w:type="dxa"/>
            <w:vAlign w:val="bottom"/>
          </w:tcPr>
          <w:p>
            <w:pPr>
              <w:ind w:left="220"/>
              <w:spacing w:after="0"/>
              <w:rPr>
                <w:sz w:val="20"/>
                <w:szCs w:val="20"/>
                <w:color w:val="auto"/>
              </w:rPr>
            </w:pPr>
            <w:r>
              <w:rPr>
                <w:rFonts w:ascii="Arial" w:cs="Arial" w:eastAsia="Arial" w:hAnsi="Arial"/>
                <w:sz w:val="13"/>
                <w:szCs w:val="13"/>
                <w:color w:val="auto"/>
              </w:rPr>
              <w:t>GDP Growth (Var.%)</w:t>
            </w:r>
          </w:p>
        </w:tc>
        <w:tc>
          <w:tcPr>
            <w:tcW w:w="8060" w:type="dxa"/>
            <w:vAlign w:val="bottom"/>
          </w:tcPr>
          <w:p>
            <w:pPr>
              <w:ind w:left="880"/>
              <w:spacing w:after="0"/>
              <w:rPr>
                <w:sz w:val="20"/>
                <w:szCs w:val="20"/>
                <w:color w:val="auto"/>
              </w:rPr>
            </w:pPr>
            <w:r>
              <w:rPr>
                <w:rFonts w:ascii="Arial" w:cs="Arial" w:eastAsia="Arial" w:hAnsi="Arial"/>
                <w:sz w:val="13"/>
                <w:szCs w:val="13"/>
                <w:color w:val="auto"/>
              </w:rPr>
              <w:t>% Variation in the growth of weighted Gross Domestic Product (GDP) for Latin American countries.</w:t>
            </w:r>
          </w:p>
        </w:tc>
      </w:tr>
      <w:tr>
        <w:trPr>
          <w:trHeight w:val="154"/>
        </w:trPr>
        <w:tc>
          <w:tcPr>
            <w:tcW w:w="3420" w:type="dxa"/>
            <w:vAlign w:val="bottom"/>
          </w:tcPr>
          <w:p>
            <w:pPr>
              <w:ind w:left="220"/>
              <w:spacing w:after="0"/>
              <w:rPr>
                <w:sz w:val="20"/>
                <w:szCs w:val="20"/>
                <w:color w:val="auto"/>
              </w:rPr>
            </w:pPr>
            <w:r>
              <w:rPr>
                <w:rFonts w:ascii="Arial" w:cs="Arial" w:eastAsia="Arial" w:hAnsi="Arial"/>
                <w:sz w:val="13"/>
                <w:szCs w:val="13"/>
                <w:color w:val="auto"/>
              </w:rPr>
              <w:t>ComEx Growth (Var.%)</w:t>
            </w:r>
          </w:p>
        </w:tc>
        <w:tc>
          <w:tcPr>
            <w:tcW w:w="8060" w:type="dxa"/>
            <w:vAlign w:val="bottom"/>
          </w:tcPr>
          <w:p>
            <w:pPr>
              <w:ind w:left="880"/>
              <w:spacing w:after="0"/>
              <w:rPr>
                <w:sz w:val="20"/>
                <w:szCs w:val="20"/>
                <w:color w:val="auto"/>
              </w:rPr>
            </w:pPr>
            <w:r>
              <w:rPr>
                <w:rFonts w:ascii="Arial" w:cs="Arial" w:eastAsia="Arial" w:hAnsi="Arial"/>
                <w:sz w:val="13"/>
                <w:szCs w:val="13"/>
                <w:color w:val="auto"/>
              </w:rPr>
              <w:t>% Variation in foreign trade growth (Exp. + Imp.) weighted for Latin American countries.</w:t>
            </w:r>
          </w:p>
        </w:tc>
      </w:tr>
      <w:tr>
        <w:trPr>
          <w:trHeight w:val="154"/>
        </w:trPr>
        <w:tc>
          <w:tcPr>
            <w:tcW w:w="3420" w:type="dxa"/>
            <w:vAlign w:val="bottom"/>
          </w:tcPr>
          <w:p>
            <w:pPr>
              <w:ind w:left="220"/>
              <w:spacing w:after="0"/>
              <w:rPr>
                <w:sz w:val="20"/>
                <w:szCs w:val="20"/>
                <w:color w:val="auto"/>
              </w:rPr>
            </w:pPr>
            <w:r>
              <w:rPr>
                <w:rFonts w:ascii="Arial" w:cs="Arial" w:eastAsia="Arial" w:hAnsi="Arial"/>
                <w:sz w:val="13"/>
                <w:szCs w:val="13"/>
                <w:color w:val="auto"/>
              </w:rPr>
              <w:t>Commodities Price Index 2005 = 100</w:t>
            </w:r>
          </w:p>
        </w:tc>
        <w:tc>
          <w:tcPr>
            <w:tcW w:w="8060" w:type="dxa"/>
            <w:vAlign w:val="bottom"/>
          </w:tcPr>
          <w:p>
            <w:pPr>
              <w:ind w:left="880"/>
              <w:spacing w:after="0"/>
              <w:rPr>
                <w:sz w:val="20"/>
                <w:szCs w:val="20"/>
                <w:color w:val="auto"/>
              </w:rPr>
            </w:pPr>
            <w:r>
              <w:rPr>
                <w:rFonts w:ascii="Arial" w:cs="Arial" w:eastAsia="Arial" w:hAnsi="Arial"/>
                <w:sz w:val="13"/>
                <w:szCs w:val="13"/>
                <w:color w:val="auto"/>
              </w:rPr>
              <w:t>Global indicator of the weighted value of commodity prices (including fuel prices).</w:t>
            </w:r>
          </w:p>
        </w:tc>
      </w:tr>
      <w:tr>
        <w:trPr>
          <w:trHeight w:val="154"/>
        </w:trPr>
        <w:tc>
          <w:tcPr>
            <w:tcW w:w="3420" w:type="dxa"/>
            <w:vAlign w:val="bottom"/>
          </w:tcPr>
          <w:p>
            <w:pPr>
              <w:ind w:left="220"/>
              <w:spacing w:after="0"/>
              <w:rPr>
                <w:sz w:val="20"/>
                <w:szCs w:val="20"/>
                <w:color w:val="auto"/>
              </w:rPr>
            </w:pPr>
            <w:r>
              <w:rPr>
                <w:rFonts w:ascii="Arial" w:cs="Arial" w:eastAsia="Arial" w:hAnsi="Arial"/>
                <w:sz w:val="13"/>
                <w:szCs w:val="13"/>
                <w:color w:val="auto"/>
              </w:rPr>
              <w:t>FED interest rate (%)</w:t>
            </w:r>
          </w:p>
        </w:tc>
        <w:tc>
          <w:tcPr>
            <w:tcW w:w="8060" w:type="dxa"/>
            <w:vAlign w:val="bottom"/>
          </w:tcPr>
          <w:p>
            <w:pPr>
              <w:ind w:left="880"/>
              <w:spacing w:after="0"/>
              <w:rPr>
                <w:sz w:val="20"/>
                <w:szCs w:val="20"/>
                <w:color w:val="auto"/>
              </w:rPr>
            </w:pPr>
            <w:r>
              <w:rPr>
                <w:rFonts w:ascii="Arial" w:cs="Arial" w:eastAsia="Arial" w:hAnsi="Arial"/>
                <w:sz w:val="13"/>
                <w:szCs w:val="13"/>
                <w:color w:val="auto"/>
              </w:rPr>
              <w:t>Interest rate for interbank loans according to the Federal Reserve of the United States of America.</w:t>
            </w:r>
          </w:p>
        </w:tc>
      </w:tr>
      <w:tr>
        <w:trPr>
          <w:trHeight w:val="154"/>
        </w:trPr>
        <w:tc>
          <w:tcPr>
            <w:tcW w:w="3420" w:type="dxa"/>
            <w:vAlign w:val="bottom"/>
          </w:tcPr>
          <w:p>
            <w:pPr>
              <w:ind w:left="220"/>
              <w:spacing w:after="0"/>
              <w:rPr>
                <w:sz w:val="20"/>
                <w:szCs w:val="20"/>
                <w:color w:val="auto"/>
              </w:rPr>
            </w:pPr>
            <w:r>
              <w:rPr>
                <w:rFonts w:ascii="Arial" w:cs="Arial" w:eastAsia="Arial" w:hAnsi="Arial"/>
                <w:sz w:val="13"/>
                <w:szCs w:val="13"/>
                <w:color w:val="auto"/>
              </w:rPr>
              <w:t>USD vs Global Currencies Index 1973 = 100</w:t>
            </w:r>
          </w:p>
        </w:tc>
        <w:tc>
          <w:tcPr>
            <w:tcW w:w="8060" w:type="dxa"/>
            <w:vAlign w:val="bottom"/>
          </w:tcPr>
          <w:p>
            <w:pPr>
              <w:ind w:left="880"/>
              <w:spacing w:after="0"/>
              <w:rPr>
                <w:sz w:val="20"/>
                <w:szCs w:val="20"/>
                <w:color w:val="auto"/>
              </w:rPr>
            </w:pPr>
            <w:r>
              <w:rPr>
                <w:rFonts w:ascii="Arial" w:cs="Arial" w:eastAsia="Arial" w:hAnsi="Arial"/>
                <w:sz w:val="13"/>
                <w:szCs w:val="13"/>
                <w:color w:val="auto"/>
              </w:rPr>
              <w:t>%Variation in the US dollar vs Group of Global Currencies (relevant in the market).</w:t>
            </w:r>
          </w:p>
        </w:tc>
      </w:tr>
      <w:tr>
        <w:trPr>
          <w:trHeight w:val="154"/>
        </w:trPr>
        <w:tc>
          <w:tcPr>
            <w:tcW w:w="3420" w:type="dxa"/>
            <w:vAlign w:val="bottom"/>
          </w:tcPr>
          <w:p>
            <w:pPr>
              <w:ind w:left="220"/>
              <w:spacing w:after="0"/>
              <w:rPr>
                <w:sz w:val="20"/>
                <w:szCs w:val="20"/>
                <w:color w:val="auto"/>
              </w:rPr>
            </w:pPr>
            <w:r>
              <w:rPr>
                <w:rFonts w:ascii="Arial" w:cs="Arial" w:eastAsia="Arial" w:hAnsi="Arial"/>
                <w:sz w:val="13"/>
                <w:szCs w:val="13"/>
                <w:color w:val="auto"/>
              </w:rPr>
              <w:t>PMI Index</w:t>
            </w:r>
          </w:p>
        </w:tc>
        <w:tc>
          <w:tcPr>
            <w:tcW w:w="8060" w:type="dxa"/>
            <w:vAlign w:val="bottom"/>
          </w:tcPr>
          <w:p>
            <w:pPr>
              <w:ind w:left="880"/>
              <w:spacing w:after="0"/>
              <w:rPr>
                <w:sz w:val="20"/>
                <w:szCs w:val="20"/>
                <w:color w:val="auto"/>
              </w:rPr>
            </w:pPr>
            <w:r>
              <w:rPr>
                <w:rFonts w:ascii="Arial" w:cs="Arial" w:eastAsia="Arial" w:hAnsi="Arial"/>
                <w:sz w:val="13"/>
                <w:szCs w:val="13"/>
                <w:color w:val="auto"/>
                <w:w w:val="97"/>
              </w:rPr>
              <w:t>% Variation in the Manufacturing Production Index (PMI) China (50%) / % Variation in the Manufacturing Production Index (PMI)</w:t>
            </w:r>
          </w:p>
        </w:tc>
      </w:tr>
      <w:tr>
        <w:trPr>
          <w:trHeight w:val="162"/>
        </w:trPr>
        <w:tc>
          <w:tcPr>
            <w:tcW w:w="3420" w:type="dxa"/>
            <w:vAlign w:val="bottom"/>
          </w:tcPr>
          <w:p>
            <w:pPr>
              <w:spacing w:after="0"/>
              <w:rPr>
                <w:sz w:val="14"/>
                <w:szCs w:val="14"/>
                <w:color w:val="auto"/>
              </w:rPr>
            </w:pPr>
          </w:p>
        </w:tc>
        <w:tc>
          <w:tcPr>
            <w:tcW w:w="8060" w:type="dxa"/>
            <w:vAlign w:val="bottom"/>
          </w:tcPr>
          <w:p>
            <w:pPr>
              <w:ind w:left="880"/>
              <w:spacing w:after="0"/>
              <w:rPr>
                <w:sz w:val="20"/>
                <w:szCs w:val="20"/>
                <w:color w:val="auto"/>
              </w:rPr>
            </w:pPr>
            <w:r>
              <w:rPr>
                <w:rFonts w:ascii="Arial" w:cs="Arial" w:eastAsia="Arial" w:hAnsi="Arial"/>
                <w:sz w:val="13"/>
                <w:szCs w:val="13"/>
                <w:color w:val="auto"/>
              </w:rPr>
              <w:t>United States of America (50%).</w:t>
            </w:r>
          </w:p>
        </w:tc>
      </w:tr>
      <w:tr>
        <w:trPr>
          <w:trHeight w:val="467"/>
        </w:trPr>
        <w:tc>
          <w:tcPr>
            <w:tcW w:w="3420" w:type="dxa"/>
            <w:vAlign w:val="bottom"/>
            <w:tcBorders>
              <w:bottom w:val="single" w:sz="8" w:color="auto"/>
            </w:tcBorders>
          </w:tcPr>
          <w:p>
            <w:pPr>
              <w:spacing w:after="0"/>
              <w:rPr>
                <w:sz w:val="24"/>
                <w:szCs w:val="24"/>
                <w:color w:val="auto"/>
              </w:rPr>
            </w:pPr>
          </w:p>
        </w:tc>
        <w:tc>
          <w:tcPr>
            <w:tcW w:w="8060" w:type="dxa"/>
            <w:vAlign w:val="bottom"/>
            <w:tcBorders>
              <w:bottom w:val="single" w:sz="8" w:color="auto"/>
            </w:tcBorders>
          </w:tcPr>
          <w:p>
            <w:pPr>
              <w:ind w:left="2200"/>
              <w:spacing w:after="0"/>
              <w:rPr>
                <w:sz w:val="20"/>
                <w:szCs w:val="20"/>
                <w:color w:val="auto"/>
              </w:rPr>
            </w:pPr>
            <w:r>
              <w:rPr>
                <w:rFonts w:ascii="Arial" w:cs="Arial" w:eastAsia="Arial" w:hAnsi="Arial"/>
                <w:sz w:val="13"/>
                <w:szCs w:val="13"/>
                <w:color w:val="auto"/>
              </w:rPr>
              <w:t>F-99</w:t>
            </w:r>
          </w:p>
        </w:tc>
      </w:tr>
    </w:tbl>
    <w:p>
      <w:pPr>
        <w:sectPr>
          <w:pgSz w:w="11900" w:h="16838" w:orient="portrait"/>
          <w:cols w:equalWidth="0" w:num="1">
            <w:col w:w="11480"/>
          </w:cols>
          <w:pgMar w:left="220" w:top="685" w:right="199" w:bottom="1440" w:gutter="0" w:footer="0" w:header="0"/>
        </w:sectPr>
      </w:pPr>
    </w:p>
    <w:bookmarkStart w:id="224" w:name="page225"/>
    <w:bookmarkEnd w:id="224"/>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38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right="9600" w:hanging="223"/>
        <w:spacing w:after="0" w:line="588" w:lineRule="auto"/>
        <w:tabs>
          <w:tab w:leader="none" w:pos="223" w:val="left"/>
        </w:tabs>
        <w:numPr>
          <w:ilvl w:val="0"/>
          <w:numId w:val="194"/>
        </w:numPr>
        <w:rPr>
          <w:rFonts w:ascii="Arial" w:cs="Arial" w:eastAsia="Arial" w:hAnsi="Arial"/>
          <w:sz w:val="11"/>
          <w:szCs w:val="11"/>
          <w:b w:val="1"/>
          <w:bCs w:val="1"/>
          <w:color w:val="auto"/>
        </w:rPr>
      </w:pPr>
      <w:r>
        <w:rPr>
          <w:rFonts w:ascii="Arial" w:cs="Arial" w:eastAsia="Arial" w:hAnsi="Arial"/>
          <w:sz w:val="11"/>
          <w:szCs w:val="11"/>
          <w:b w:val="1"/>
          <w:bCs w:val="1"/>
          <w:color w:val="auto"/>
        </w:rPr>
        <w:t>Risk management (continued) Credit risk (continued)</w:t>
      </w:r>
    </w:p>
    <w:p>
      <w:pPr>
        <w:ind w:left="263"/>
        <w:spacing w:after="0"/>
        <w:rPr>
          <w:rFonts w:ascii="Arial" w:cs="Arial" w:eastAsia="Arial" w:hAnsi="Arial"/>
          <w:sz w:val="11"/>
          <w:szCs w:val="11"/>
          <w:b w:val="1"/>
          <w:bCs w:val="1"/>
          <w:color w:val="auto"/>
        </w:rPr>
      </w:pPr>
      <w:r>
        <w:rPr>
          <w:rFonts w:ascii="Arial" w:cs="Arial" w:eastAsia="Arial" w:hAnsi="Arial"/>
          <w:sz w:val="13"/>
          <w:szCs w:val="13"/>
          <w:u w:val="single" w:color="auto"/>
          <w:color w:val="auto"/>
        </w:rPr>
        <w:t>Implementation of forward-looking information (continued)</w:t>
      </w:r>
    </w:p>
    <w:p>
      <w:pPr>
        <w:spacing w:after="0" w:line="164" w:lineRule="exact"/>
        <w:rPr>
          <w:sz w:val="20"/>
          <w:szCs w:val="20"/>
          <w:color w:val="auto"/>
        </w:rPr>
      </w:pPr>
    </w:p>
    <w:tbl>
      <w:tblPr>
        <w:tblLayout w:type="fixed"/>
        <w:tblInd w:w="3" w:type="dxa"/>
        <w:tblCellMar>
          <w:top w:w="0" w:type="dxa"/>
          <w:left w:w="0" w:type="dxa"/>
          <w:bottom w:w="0" w:type="dxa"/>
          <w:right w:w="0" w:type="dxa"/>
        </w:tblCellMar>
      </w:tblPr>
      <w:tr>
        <w:trPr>
          <w:trHeight w:val="167"/>
        </w:trPr>
        <w:tc>
          <w:tcPr>
            <w:tcW w:w="1440" w:type="dxa"/>
            <w:vAlign w:val="bottom"/>
          </w:tcPr>
          <w:p>
            <w:pPr>
              <w:spacing w:after="0"/>
              <w:rPr>
                <w:sz w:val="14"/>
                <w:szCs w:val="14"/>
                <w:color w:val="auto"/>
              </w:rPr>
            </w:pPr>
          </w:p>
        </w:tc>
        <w:tc>
          <w:tcPr>
            <w:tcW w:w="186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90"/>
              </w:rPr>
              <w:t>Variable</w:t>
            </w:r>
          </w:p>
        </w:tc>
        <w:tc>
          <w:tcPr>
            <w:tcW w:w="80" w:type="dxa"/>
            <w:vAlign w:val="bottom"/>
            <w:tcBorders>
              <w:bottom w:val="single" w:sz="8" w:color="CCEEFF"/>
            </w:tcBorders>
          </w:tcPr>
          <w:p>
            <w:pPr>
              <w:spacing w:after="0"/>
              <w:rPr>
                <w:sz w:val="14"/>
                <w:szCs w:val="14"/>
                <w:color w:val="auto"/>
              </w:rPr>
            </w:pPr>
          </w:p>
        </w:tc>
        <w:tc>
          <w:tcPr>
            <w:tcW w:w="102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3"/>
              </w:rPr>
              <w:t>Scenario</w:t>
            </w:r>
          </w:p>
        </w:tc>
        <w:tc>
          <w:tcPr>
            <w:tcW w:w="80" w:type="dxa"/>
            <w:vAlign w:val="bottom"/>
            <w:tcBorders>
              <w:bottom w:val="single" w:sz="8" w:color="CCEEFF"/>
            </w:tcBorders>
          </w:tcPr>
          <w:p>
            <w:pPr>
              <w:spacing w:after="0"/>
              <w:rPr>
                <w:sz w:val="14"/>
                <w:szCs w:val="14"/>
                <w:color w:val="auto"/>
              </w:rPr>
            </w:pPr>
          </w:p>
        </w:tc>
        <w:tc>
          <w:tcPr>
            <w:tcW w:w="940" w:type="dxa"/>
            <w:vAlign w:val="bottom"/>
            <w:tcBorders>
              <w:bottom w:val="single" w:sz="8" w:color="auto"/>
            </w:tcBorders>
          </w:tcPr>
          <w:p>
            <w:pPr>
              <w:jc w:val="right"/>
              <w:ind w:right="276"/>
              <w:spacing w:after="0"/>
              <w:rPr>
                <w:sz w:val="20"/>
                <w:szCs w:val="20"/>
                <w:color w:val="auto"/>
              </w:rPr>
            </w:pPr>
            <w:r>
              <w:rPr>
                <w:rFonts w:ascii="Arial" w:cs="Arial" w:eastAsia="Arial" w:hAnsi="Arial"/>
                <w:sz w:val="13"/>
                <w:szCs w:val="13"/>
                <w:b w:val="1"/>
                <w:bCs w:val="1"/>
                <w:color w:val="auto"/>
              </w:rPr>
              <w:t>2018</w:t>
            </w:r>
          </w:p>
        </w:tc>
        <w:tc>
          <w:tcPr>
            <w:tcW w:w="140" w:type="dxa"/>
            <w:vAlign w:val="bottom"/>
            <w:tcBorders>
              <w:bottom w:val="single" w:sz="8" w:color="CCEEFF"/>
            </w:tcBorders>
          </w:tcPr>
          <w:p>
            <w:pPr>
              <w:spacing w:after="0"/>
              <w:rPr>
                <w:sz w:val="14"/>
                <w:szCs w:val="14"/>
                <w:color w:val="auto"/>
              </w:rPr>
            </w:pPr>
          </w:p>
        </w:tc>
        <w:tc>
          <w:tcPr>
            <w:tcW w:w="40" w:type="dxa"/>
            <w:vAlign w:val="bottom"/>
            <w:tcBorders>
              <w:bottom w:val="single" w:sz="8" w:color="CCEEFF"/>
            </w:tcBorders>
          </w:tcPr>
          <w:p>
            <w:pPr>
              <w:spacing w:after="0"/>
              <w:rPr>
                <w:sz w:val="14"/>
                <w:szCs w:val="14"/>
                <w:color w:val="auto"/>
              </w:rPr>
            </w:pPr>
          </w:p>
        </w:tc>
        <w:tc>
          <w:tcPr>
            <w:tcW w:w="940" w:type="dxa"/>
            <w:vAlign w:val="bottom"/>
            <w:tcBorders>
              <w:bottom w:val="single" w:sz="8" w:color="auto"/>
            </w:tcBorders>
          </w:tcPr>
          <w:p>
            <w:pPr>
              <w:jc w:val="right"/>
              <w:ind w:right="276"/>
              <w:spacing w:after="0"/>
              <w:rPr>
                <w:sz w:val="20"/>
                <w:szCs w:val="20"/>
                <w:color w:val="auto"/>
              </w:rPr>
            </w:pPr>
            <w:r>
              <w:rPr>
                <w:rFonts w:ascii="Arial" w:cs="Arial" w:eastAsia="Arial" w:hAnsi="Arial"/>
                <w:sz w:val="13"/>
                <w:szCs w:val="13"/>
                <w:b w:val="1"/>
                <w:bCs w:val="1"/>
                <w:color w:val="auto"/>
              </w:rPr>
              <w:t>2019</w:t>
            </w:r>
          </w:p>
        </w:tc>
        <w:tc>
          <w:tcPr>
            <w:tcW w:w="200" w:type="dxa"/>
            <w:vAlign w:val="bottom"/>
            <w:tcBorders>
              <w:bottom w:val="single" w:sz="8" w:color="CCEEFF"/>
            </w:tcBorders>
          </w:tcPr>
          <w:p>
            <w:pPr>
              <w:spacing w:after="0"/>
              <w:rPr>
                <w:sz w:val="14"/>
                <w:szCs w:val="14"/>
                <w:color w:val="auto"/>
              </w:rPr>
            </w:pPr>
          </w:p>
        </w:tc>
        <w:tc>
          <w:tcPr>
            <w:tcW w:w="920" w:type="dxa"/>
            <w:vAlign w:val="bottom"/>
            <w:tcBorders>
              <w:bottom w:val="single" w:sz="8" w:color="auto"/>
            </w:tcBorders>
          </w:tcPr>
          <w:p>
            <w:pPr>
              <w:jc w:val="right"/>
              <w:ind w:right="256"/>
              <w:spacing w:after="0"/>
              <w:rPr>
                <w:sz w:val="20"/>
                <w:szCs w:val="20"/>
                <w:color w:val="auto"/>
              </w:rPr>
            </w:pPr>
            <w:r>
              <w:rPr>
                <w:rFonts w:ascii="Arial" w:cs="Arial" w:eastAsia="Arial" w:hAnsi="Arial"/>
                <w:sz w:val="13"/>
                <w:szCs w:val="13"/>
                <w:b w:val="1"/>
                <w:bCs w:val="1"/>
                <w:color w:val="auto"/>
              </w:rPr>
              <w:t>2020</w:t>
            </w:r>
          </w:p>
        </w:tc>
        <w:tc>
          <w:tcPr>
            <w:tcW w:w="200" w:type="dxa"/>
            <w:vAlign w:val="bottom"/>
            <w:tcBorders>
              <w:bottom w:val="single" w:sz="8" w:color="CCEEFF"/>
            </w:tcBorders>
          </w:tcPr>
          <w:p>
            <w:pPr>
              <w:spacing w:after="0"/>
              <w:rPr>
                <w:sz w:val="14"/>
                <w:szCs w:val="14"/>
                <w:color w:val="auto"/>
              </w:rPr>
            </w:pPr>
          </w:p>
        </w:tc>
        <w:tc>
          <w:tcPr>
            <w:tcW w:w="940" w:type="dxa"/>
            <w:vAlign w:val="bottom"/>
            <w:tcBorders>
              <w:bottom w:val="single" w:sz="8" w:color="auto"/>
            </w:tcBorders>
          </w:tcPr>
          <w:p>
            <w:pPr>
              <w:jc w:val="right"/>
              <w:ind w:right="276"/>
              <w:spacing w:after="0"/>
              <w:rPr>
                <w:sz w:val="20"/>
                <w:szCs w:val="20"/>
                <w:color w:val="auto"/>
              </w:rPr>
            </w:pPr>
            <w:r>
              <w:rPr>
                <w:rFonts w:ascii="Arial" w:cs="Arial" w:eastAsia="Arial" w:hAnsi="Arial"/>
                <w:sz w:val="13"/>
                <w:szCs w:val="13"/>
                <w:b w:val="1"/>
                <w:bCs w:val="1"/>
                <w:color w:val="auto"/>
              </w:rPr>
              <w:t>2021</w:t>
            </w:r>
          </w:p>
        </w:tc>
        <w:tc>
          <w:tcPr>
            <w:tcW w:w="180" w:type="dxa"/>
            <w:vAlign w:val="bottom"/>
            <w:tcBorders>
              <w:bottom w:val="single" w:sz="8" w:color="CCEEFF"/>
            </w:tcBorders>
          </w:tcPr>
          <w:p>
            <w:pPr>
              <w:spacing w:after="0"/>
              <w:rPr>
                <w:sz w:val="14"/>
                <w:szCs w:val="14"/>
                <w:color w:val="auto"/>
              </w:rPr>
            </w:pPr>
          </w:p>
        </w:tc>
        <w:tc>
          <w:tcPr>
            <w:tcW w:w="940" w:type="dxa"/>
            <w:vAlign w:val="bottom"/>
            <w:tcBorders>
              <w:bottom w:val="single" w:sz="8" w:color="auto"/>
            </w:tcBorders>
          </w:tcPr>
          <w:p>
            <w:pPr>
              <w:jc w:val="right"/>
              <w:ind w:right="276"/>
              <w:spacing w:after="0"/>
              <w:rPr>
                <w:sz w:val="20"/>
                <w:szCs w:val="20"/>
                <w:color w:val="auto"/>
              </w:rPr>
            </w:pPr>
            <w:r>
              <w:rPr>
                <w:rFonts w:ascii="Arial" w:cs="Arial" w:eastAsia="Arial" w:hAnsi="Arial"/>
                <w:sz w:val="13"/>
                <w:szCs w:val="13"/>
                <w:b w:val="1"/>
                <w:bCs w:val="1"/>
                <w:color w:val="auto"/>
              </w:rPr>
              <w:t>2022</w:t>
            </w:r>
          </w:p>
        </w:tc>
        <w:tc>
          <w:tcPr>
            <w:tcW w:w="120" w:type="dxa"/>
            <w:vAlign w:val="bottom"/>
            <w:tcBorders>
              <w:bottom w:val="single" w:sz="8" w:color="CCEEFF"/>
            </w:tcBorders>
          </w:tcPr>
          <w:p>
            <w:pPr>
              <w:spacing w:after="0"/>
              <w:rPr>
                <w:sz w:val="14"/>
                <w:szCs w:val="14"/>
                <w:color w:val="auto"/>
              </w:rPr>
            </w:pPr>
          </w:p>
        </w:tc>
        <w:tc>
          <w:tcPr>
            <w:tcW w:w="1440" w:type="dxa"/>
            <w:vAlign w:val="bottom"/>
          </w:tcPr>
          <w:p>
            <w:pPr>
              <w:spacing w:after="0"/>
              <w:rPr>
                <w:sz w:val="14"/>
                <w:szCs w:val="14"/>
                <w:color w:val="auto"/>
              </w:rPr>
            </w:pPr>
          </w:p>
        </w:tc>
      </w:tr>
      <w:tr>
        <w:trPr>
          <w:trHeight w:val="144"/>
        </w:trPr>
        <w:tc>
          <w:tcPr>
            <w:tcW w:w="1440" w:type="dxa"/>
            <w:vAlign w:val="bottom"/>
          </w:tcPr>
          <w:p>
            <w:pPr>
              <w:spacing w:after="0"/>
              <w:rPr>
                <w:sz w:val="12"/>
                <w:szCs w:val="12"/>
                <w:color w:val="auto"/>
              </w:rPr>
            </w:pPr>
          </w:p>
        </w:tc>
        <w:tc>
          <w:tcPr>
            <w:tcW w:w="1860" w:type="dxa"/>
            <w:vAlign w:val="bottom"/>
            <w:shd w:val="clear" w:color="auto" w:fill="CCEEFF"/>
          </w:tcPr>
          <w:p>
            <w:pPr>
              <w:jc w:val="center"/>
              <w:spacing w:after="0" w:line="144" w:lineRule="exact"/>
              <w:rPr>
                <w:sz w:val="20"/>
                <w:szCs w:val="20"/>
                <w:color w:val="auto"/>
              </w:rPr>
            </w:pPr>
            <w:r>
              <w:rPr>
                <w:rFonts w:ascii="Arial" w:cs="Arial" w:eastAsia="Arial" w:hAnsi="Arial"/>
                <w:sz w:val="13"/>
                <w:szCs w:val="13"/>
                <w:b w:val="1"/>
                <w:bCs w:val="1"/>
                <w:color w:val="auto"/>
                <w:w w:val="93"/>
              </w:rPr>
              <w:t>GDP Growth</w:t>
            </w:r>
          </w:p>
        </w:tc>
        <w:tc>
          <w:tcPr>
            <w:tcW w:w="80" w:type="dxa"/>
            <w:vAlign w:val="bottom"/>
            <w:shd w:val="clear" w:color="auto" w:fill="CCEEFF"/>
          </w:tcPr>
          <w:p>
            <w:pPr>
              <w:spacing w:after="0"/>
              <w:rPr>
                <w:sz w:val="12"/>
                <w:szCs w:val="12"/>
                <w:color w:val="auto"/>
              </w:rPr>
            </w:pPr>
          </w:p>
        </w:tc>
        <w:tc>
          <w:tcPr>
            <w:tcW w:w="1020" w:type="dxa"/>
            <w:vAlign w:val="bottom"/>
            <w:shd w:val="clear" w:color="auto" w:fill="CCEEFF"/>
          </w:tcPr>
          <w:p>
            <w:pPr>
              <w:jc w:val="center"/>
              <w:spacing w:after="0" w:line="144" w:lineRule="exact"/>
              <w:rPr>
                <w:sz w:val="20"/>
                <w:szCs w:val="20"/>
                <w:color w:val="auto"/>
              </w:rPr>
            </w:pPr>
            <w:r>
              <w:rPr>
                <w:rFonts w:ascii="Arial" w:cs="Arial" w:eastAsia="Arial" w:hAnsi="Arial"/>
                <w:sz w:val="13"/>
                <w:szCs w:val="13"/>
                <w:b w:val="1"/>
                <w:bCs w:val="1"/>
                <w:color w:val="auto"/>
                <w:w w:val="93"/>
              </w:rPr>
              <w:t>Central</w:t>
            </w:r>
          </w:p>
        </w:tc>
        <w:tc>
          <w:tcPr>
            <w:tcW w:w="8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40"/>
              <w:spacing w:after="0" w:line="144" w:lineRule="exact"/>
              <w:rPr>
                <w:sz w:val="20"/>
                <w:szCs w:val="20"/>
                <w:color w:val="auto"/>
              </w:rPr>
            </w:pPr>
            <w:r>
              <w:rPr>
                <w:rFonts w:ascii="Arial" w:cs="Arial" w:eastAsia="Arial" w:hAnsi="Arial"/>
                <w:sz w:val="13"/>
                <w:szCs w:val="13"/>
                <w:color w:val="auto"/>
              </w:rPr>
              <w:t>1.2%</w:t>
            </w:r>
          </w:p>
        </w:tc>
        <w:tc>
          <w:tcPr>
            <w:tcW w:w="4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100"/>
              <w:spacing w:after="0" w:line="144" w:lineRule="exact"/>
              <w:rPr>
                <w:sz w:val="20"/>
                <w:szCs w:val="20"/>
                <w:color w:val="auto"/>
              </w:rPr>
            </w:pPr>
            <w:r>
              <w:rPr>
                <w:rFonts w:ascii="Arial" w:cs="Arial" w:eastAsia="Arial" w:hAnsi="Arial"/>
                <w:sz w:val="13"/>
                <w:szCs w:val="13"/>
                <w:color w:val="auto"/>
              </w:rPr>
              <w:t>2.2%</w:t>
            </w:r>
          </w:p>
        </w:tc>
        <w:tc>
          <w:tcPr>
            <w:tcW w:w="1120" w:type="dxa"/>
            <w:vAlign w:val="bottom"/>
            <w:gridSpan w:val="2"/>
            <w:shd w:val="clear" w:color="auto" w:fill="CCEEFF"/>
          </w:tcPr>
          <w:p>
            <w:pPr>
              <w:jc w:val="right"/>
              <w:ind w:right="80"/>
              <w:spacing w:after="0" w:line="144" w:lineRule="exact"/>
              <w:rPr>
                <w:sz w:val="20"/>
                <w:szCs w:val="20"/>
                <w:color w:val="auto"/>
              </w:rPr>
            </w:pPr>
            <w:r>
              <w:rPr>
                <w:rFonts w:ascii="Arial" w:cs="Arial" w:eastAsia="Arial" w:hAnsi="Arial"/>
                <w:sz w:val="13"/>
                <w:szCs w:val="13"/>
                <w:color w:val="auto"/>
              </w:rPr>
              <w:t>2.7%</w:t>
            </w:r>
          </w:p>
        </w:tc>
        <w:tc>
          <w:tcPr>
            <w:tcW w:w="1120" w:type="dxa"/>
            <w:vAlign w:val="bottom"/>
            <w:gridSpan w:val="2"/>
            <w:shd w:val="clear" w:color="auto" w:fill="CCEEFF"/>
          </w:tcPr>
          <w:p>
            <w:pPr>
              <w:jc w:val="right"/>
              <w:ind w:right="80"/>
              <w:spacing w:after="0" w:line="144" w:lineRule="exact"/>
              <w:rPr>
                <w:sz w:val="20"/>
                <w:szCs w:val="20"/>
                <w:color w:val="auto"/>
              </w:rPr>
            </w:pPr>
            <w:r>
              <w:rPr>
                <w:rFonts w:ascii="Arial" w:cs="Arial" w:eastAsia="Arial" w:hAnsi="Arial"/>
                <w:sz w:val="13"/>
                <w:szCs w:val="13"/>
                <w:color w:val="auto"/>
              </w:rPr>
              <w:t>2.7%</w:t>
            </w:r>
          </w:p>
        </w:tc>
        <w:tc>
          <w:tcPr>
            <w:tcW w:w="1060" w:type="dxa"/>
            <w:vAlign w:val="bottom"/>
            <w:gridSpan w:val="2"/>
            <w:shd w:val="clear" w:color="auto" w:fill="CCEEFF"/>
          </w:tcPr>
          <w:p>
            <w:pPr>
              <w:jc w:val="right"/>
              <w:ind w:right="20"/>
              <w:spacing w:after="0" w:line="144" w:lineRule="exact"/>
              <w:rPr>
                <w:sz w:val="20"/>
                <w:szCs w:val="20"/>
                <w:color w:val="auto"/>
              </w:rPr>
            </w:pPr>
            <w:r>
              <w:rPr>
                <w:rFonts w:ascii="Arial" w:cs="Arial" w:eastAsia="Arial" w:hAnsi="Arial"/>
                <w:sz w:val="13"/>
                <w:szCs w:val="13"/>
                <w:color w:val="auto"/>
              </w:rPr>
              <w:t>2.8%</w:t>
            </w:r>
          </w:p>
        </w:tc>
        <w:tc>
          <w:tcPr>
            <w:tcW w:w="1440" w:type="dxa"/>
            <w:vAlign w:val="bottom"/>
          </w:tcPr>
          <w:p>
            <w:pPr>
              <w:spacing w:after="0"/>
              <w:rPr>
                <w:sz w:val="12"/>
                <w:szCs w:val="12"/>
                <w:color w:val="auto"/>
              </w:rPr>
            </w:pPr>
          </w:p>
        </w:tc>
      </w:tr>
      <w:tr>
        <w:trPr>
          <w:trHeight w:val="154"/>
        </w:trPr>
        <w:tc>
          <w:tcPr>
            <w:tcW w:w="1440" w:type="dxa"/>
            <w:vAlign w:val="bottom"/>
          </w:tcPr>
          <w:p>
            <w:pPr>
              <w:spacing w:after="0"/>
              <w:rPr>
                <w:sz w:val="13"/>
                <w:szCs w:val="13"/>
                <w:color w:val="auto"/>
              </w:rPr>
            </w:pPr>
          </w:p>
        </w:tc>
        <w:tc>
          <w:tcPr>
            <w:tcW w:w="1860" w:type="dxa"/>
            <w:vAlign w:val="bottom"/>
            <w:shd w:val="clear" w:color="auto" w:fill="CCEEFF"/>
          </w:tcPr>
          <w:p>
            <w:pPr>
              <w:jc w:val="center"/>
              <w:spacing w:after="0"/>
              <w:rPr>
                <w:sz w:val="20"/>
                <w:szCs w:val="20"/>
                <w:color w:val="auto"/>
              </w:rPr>
            </w:pPr>
            <w:r>
              <w:rPr>
                <w:rFonts w:ascii="Arial" w:cs="Arial" w:eastAsia="Arial" w:hAnsi="Arial"/>
                <w:sz w:val="13"/>
                <w:szCs w:val="13"/>
                <w:b w:val="1"/>
                <w:bCs w:val="1"/>
                <w:color w:val="auto"/>
                <w:w w:val="98"/>
              </w:rPr>
              <w:t>(Var.%)</w:t>
            </w:r>
          </w:p>
        </w:tc>
        <w:tc>
          <w:tcPr>
            <w:tcW w:w="8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center"/>
              <w:ind w:right="80"/>
              <w:spacing w:after="0"/>
              <w:rPr>
                <w:sz w:val="20"/>
                <w:szCs w:val="20"/>
                <w:color w:val="auto"/>
              </w:rPr>
            </w:pPr>
            <w:r>
              <w:rPr>
                <w:rFonts w:ascii="Arial" w:cs="Arial" w:eastAsia="Arial" w:hAnsi="Arial"/>
                <w:sz w:val="13"/>
                <w:szCs w:val="13"/>
                <w:b w:val="1"/>
                <w:bCs w:val="1"/>
                <w:color w:val="auto"/>
                <w:w w:val="87"/>
              </w:rPr>
              <w:t>Upside</w:t>
            </w:r>
          </w:p>
        </w:tc>
        <w:tc>
          <w:tcPr>
            <w:tcW w:w="108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2.7%</w:t>
            </w:r>
          </w:p>
        </w:tc>
        <w:tc>
          <w:tcPr>
            <w:tcW w:w="1180" w:type="dxa"/>
            <w:vAlign w:val="bottom"/>
            <w:gridSpan w:val="3"/>
            <w:shd w:val="clear" w:color="auto" w:fill="CCEEFF"/>
          </w:tcPr>
          <w:p>
            <w:pPr>
              <w:jc w:val="right"/>
              <w:ind w:right="100"/>
              <w:spacing w:after="0"/>
              <w:rPr>
                <w:sz w:val="20"/>
                <w:szCs w:val="20"/>
                <w:color w:val="auto"/>
              </w:rPr>
            </w:pPr>
            <w:r>
              <w:rPr>
                <w:rFonts w:ascii="Arial" w:cs="Arial" w:eastAsia="Arial" w:hAnsi="Arial"/>
                <w:sz w:val="13"/>
                <w:szCs w:val="13"/>
                <w:color w:val="auto"/>
              </w:rPr>
              <w:t>3.5%</w:t>
            </w:r>
          </w:p>
        </w:tc>
        <w:tc>
          <w:tcPr>
            <w:tcW w:w="11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3.6%</w:t>
            </w:r>
          </w:p>
        </w:tc>
        <w:tc>
          <w:tcPr>
            <w:tcW w:w="11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3.8%</w:t>
            </w: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3.8%</w:t>
            </w:r>
          </w:p>
        </w:tc>
        <w:tc>
          <w:tcPr>
            <w:tcW w:w="1440" w:type="dxa"/>
            <w:vAlign w:val="bottom"/>
          </w:tcPr>
          <w:p>
            <w:pPr>
              <w:spacing w:after="0"/>
              <w:rPr>
                <w:sz w:val="13"/>
                <w:szCs w:val="13"/>
                <w:color w:val="auto"/>
              </w:rPr>
            </w:pPr>
          </w:p>
        </w:tc>
      </w:tr>
      <w:tr>
        <w:trPr>
          <w:trHeight w:val="154"/>
        </w:trPr>
        <w:tc>
          <w:tcPr>
            <w:tcW w:w="1440" w:type="dxa"/>
            <w:vAlign w:val="bottom"/>
          </w:tcPr>
          <w:p>
            <w:pPr>
              <w:spacing w:after="0"/>
              <w:rPr>
                <w:sz w:val="13"/>
                <w:szCs w:val="13"/>
                <w:color w:val="auto"/>
              </w:rPr>
            </w:pPr>
          </w:p>
        </w:tc>
        <w:tc>
          <w:tcPr>
            <w:tcW w:w="186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center"/>
              <w:ind w:right="80"/>
              <w:spacing w:after="0"/>
              <w:rPr>
                <w:sz w:val="20"/>
                <w:szCs w:val="20"/>
                <w:color w:val="auto"/>
              </w:rPr>
            </w:pPr>
            <w:r>
              <w:rPr>
                <w:rFonts w:ascii="Arial" w:cs="Arial" w:eastAsia="Arial" w:hAnsi="Arial"/>
                <w:sz w:val="13"/>
                <w:szCs w:val="13"/>
                <w:b w:val="1"/>
                <w:bCs w:val="1"/>
                <w:color w:val="auto"/>
                <w:w w:val="87"/>
              </w:rPr>
              <w:t>Downside</w:t>
            </w:r>
          </w:p>
        </w:tc>
        <w:tc>
          <w:tcPr>
            <w:tcW w:w="108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0.4%</w:t>
            </w:r>
          </w:p>
        </w:tc>
        <w:tc>
          <w:tcPr>
            <w:tcW w:w="1180" w:type="dxa"/>
            <w:vAlign w:val="bottom"/>
            <w:gridSpan w:val="3"/>
            <w:shd w:val="clear" w:color="auto" w:fill="CCEEFF"/>
          </w:tcPr>
          <w:p>
            <w:pPr>
              <w:jc w:val="right"/>
              <w:ind w:right="100"/>
              <w:spacing w:after="0"/>
              <w:rPr>
                <w:sz w:val="20"/>
                <w:szCs w:val="20"/>
                <w:color w:val="auto"/>
              </w:rPr>
            </w:pPr>
            <w:r>
              <w:rPr>
                <w:rFonts w:ascii="Arial" w:cs="Arial" w:eastAsia="Arial" w:hAnsi="Arial"/>
                <w:sz w:val="13"/>
                <w:szCs w:val="13"/>
                <w:color w:val="auto"/>
              </w:rPr>
              <w:t>1.1%</w:t>
            </w:r>
          </w:p>
        </w:tc>
        <w:tc>
          <w:tcPr>
            <w:tcW w:w="11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1.3%</w:t>
            </w:r>
          </w:p>
        </w:tc>
        <w:tc>
          <w:tcPr>
            <w:tcW w:w="11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1.4%</w:t>
            </w: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1.5%</w:t>
            </w:r>
          </w:p>
        </w:tc>
        <w:tc>
          <w:tcPr>
            <w:tcW w:w="1440" w:type="dxa"/>
            <w:vAlign w:val="bottom"/>
          </w:tcPr>
          <w:p>
            <w:pPr>
              <w:spacing w:after="0"/>
              <w:rPr>
                <w:sz w:val="13"/>
                <w:szCs w:val="13"/>
                <w:color w:val="auto"/>
              </w:rPr>
            </w:pPr>
          </w:p>
        </w:tc>
      </w:tr>
      <w:tr>
        <w:trPr>
          <w:trHeight w:val="154"/>
        </w:trPr>
        <w:tc>
          <w:tcPr>
            <w:tcW w:w="1440" w:type="dxa"/>
            <w:vAlign w:val="bottom"/>
          </w:tcPr>
          <w:p>
            <w:pPr>
              <w:spacing w:after="0"/>
              <w:rPr>
                <w:sz w:val="13"/>
                <w:szCs w:val="13"/>
                <w:color w:val="auto"/>
              </w:rPr>
            </w:pPr>
          </w:p>
        </w:tc>
        <w:tc>
          <w:tcPr>
            <w:tcW w:w="18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40" w:type="dxa"/>
            <w:vAlign w:val="bottom"/>
          </w:tcPr>
          <w:p>
            <w:pPr>
              <w:spacing w:after="0"/>
              <w:rPr>
                <w:sz w:val="13"/>
                <w:szCs w:val="13"/>
                <w:color w:val="auto"/>
              </w:rPr>
            </w:pPr>
          </w:p>
        </w:tc>
      </w:tr>
      <w:tr>
        <w:trPr>
          <w:trHeight w:val="154"/>
        </w:trPr>
        <w:tc>
          <w:tcPr>
            <w:tcW w:w="1440" w:type="dxa"/>
            <w:vAlign w:val="bottom"/>
          </w:tcPr>
          <w:p>
            <w:pPr>
              <w:spacing w:after="0"/>
              <w:rPr>
                <w:sz w:val="13"/>
                <w:szCs w:val="13"/>
                <w:color w:val="auto"/>
              </w:rPr>
            </w:pPr>
          </w:p>
        </w:tc>
        <w:tc>
          <w:tcPr>
            <w:tcW w:w="1860" w:type="dxa"/>
            <w:vAlign w:val="bottom"/>
            <w:shd w:val="clear" w:color="auto" w:fill="CCEEFF"/>
          </w:tcPr>
          <w:p>
            <w:pPr>
              <w:jc w:val="center"/>
              <w:spacing w:after="0"/>
              <w:rPr>
                <w:sz w:val="20"/>
                <w:szCs w:val="20"/>
                <w:color w:val="auto"/>
              </w:rPr>
            </w:pPr>
            <w:r>
              <w:rPr>
                <w:rFonts w:ascii="Arial" w:cs="Arial" w:eastAsia="Arial" w:hAnsi="Arial"/>
                <w:sz w:val="13"/>
                <w:szCs w:val="13"/>
                <w:b w:val="1"/>
                <w:bCs w:val="1"/>
                <w:color w:val="auto"/>
                <w:w w:val="93"/>
              </w:rPr>
              <w:t>ComEx Growth</w:t>
            </w:r>
          </w:p>
        </w:tc>
        <w:tc>
          <w:tcPr>
            <w:tcW w:w="8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center"/>
              <w:ind w:right="80"/>
              <w:spacing w:after="0"/>
              <w:rPr>
                <w:sz w:val="20"/>
                <w:szCs w:val="20"/>
                <w:color w:val="auto"/>
              </w:rPr>
            </w:pPr>
            <w:r>
              <w:rPr>
                <w:rFonts w:ascii="Arial" w:cs="Arial" w:eastAsia="Arial" w:hAnsi="Arial"/>
                <w:sz w:val="13"/>
                <w:szCs w:val="13"/>
                <w:b w:val="1"/>
                <w:bCs w:val="1"/>
                <w:color w:val="auto"/>
                <w:w w:val="93"/>
              </w:rPr>
              <w:t>Central</w:t>
            </w:r>
          </w:p>
        </w:tc>
        <w:tc>
          <w:tcPr>
            <w:tcW w:w="108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8.2%</w:t>
            </w:r>
          </w:p>
        </w:tc>
        <w:tc>
          <w:tcPr>
            <w:tcW w:w="1180" w:type="dxa"/>
            <w:vAlign w:val="bottom"/>
            <w:gridSpan w:val="3"/>
            <w:shd w:val="clear" w:color="auto" w:fill="CCEEFF"/>
          </w:tcPr>
          <w:p>
            <w:pPr>
              <w:jc w:val="right"/>
              <w:ind w:right="100"/>
              <w:spacing w:after="0"/>
              <w:rPr>
                <w:sz w:val="20"/>
                <w:szCs w:val="20"/>
                <w:color w:val="auto"/>
              </w:rPr>
            </w:pPr>
            <w:r>
              <w:rPr>
                <w:rFonts w:ascii="Arial" w:cs="Arial" w:eastAsia="Arial" w:hAnsi="Arial"/>
                <w:sz w:val="13"/>
                <w:szCs w:val="13"/>
                <w:color w:val="auto"/>
              </w:rPr>
              <w:t>4.6%</w:t>
            </w:r>
          </w:p>
        </w:tc>
        <w:tc>
          <w:tcPr>
            <w:tcW w:w="11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4.4%</w:t>
            </w:r>
          </w:p>
        </w:tc>
        <w:tc>
          <w:tcPr>
            <w:tcW w:w="11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6.8%</w:t>
            </w: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6.9%</w:t>
            </w:r>
          </w:p>
        </w:tc>
        <w:tc>
          <w:tcPr>
            <w:tcW w:w="1440" w:type="dxa"/>
            <w:vAlign w:val="bottom"/>
          </w:tcPr>
          <w:p>
            <w:pPr>
              <w:spacing w:after="0"/>
              <w:rPr>
                <w:sz w:val="13"/>
                <w:szCs w:val="13"/>
                <w:color w:val="auto"/>
              </w:rPr>
            </w:pPr>
          </w:p>
        </w:tc>
      </w:tr>
      <w:tr>
        <w:trPr>
          <w:trHeight w:val="154"/>
        </w:trPr>
        <w:tc>
          <w:tcPr>
            <w:tcW w:w="1440" w:type="dxa"/>
            <w:vAlign w:val="bottom"/>
          </w:tcPr>
          <w:p>
            <w:pPr>
              <w:spacing w:after="0"/>
              <w:rPr>
                <w:sz w:val="13"/>
                <w:szCs w:val="13"/>
                <w:color w:val="auto"/>
              </w:rPr>
            </w:pPr>
          </w:p>
        </w:tc>
        <w:tc>
          <w:tcPr>
            <w:tcW w:w="1860" w:type="dxa"/>
            <w:vAlign w:val="bottom"/>
            <w:shd w:val="clear" w:color="auto" w:fill="CCEEFF"/>
          </w:tcPr>
          <w:p>
            <w:pPr>
              <w:jc w:val="center"/>
              <w:spacing w:after="0"/>
              <w:rPr>
                <w:sz w:val="20"/>
                <w:szCs w:val="20"/>
                <w:color w:val="auto"/>
              </w:rPr>
            </w:pPr>
            <w:r>
              <w:rPr>
                <w:rFonts w:ascii="Arial" w:cs="Arial" w:eastAsia="Arial" w:hAnsi="Arial"/>
                <w:sz w:val="13"/>
                <w:szCs w:val="13"/>
                <w:b w:val="1"/>
                <w:bCs w:val="1"/>
                <w:color w:val="auto"/>
                <w:w w:val="94"/>
              </w:rPr>
              <w:t>Index (Var.%)</w:t>
            </w:r>
          </w:p>
        </w:tc>
        <w:tc>
          <w:tcPr>
            <w:tcW w:w="8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center"/>
              <w:ind w:right="80"/>
              <w:spacing w:after="0"/>
              <w:rPr>
                <w:sz w:val="20"/>
                <w:szCs w:val="20"/>
                <w:color w:val="auto"/>
              </w:rPr>
            </w:pPr>
            <w:r>
              <w:rPr>
                <w:rFonts w:ascii="Arial" w:cs="Arial" w:eastAsia="Arial" w:hAnsi="Arial"/>
                <w:sz w:val="13"/>
                <w:szCs w:val="13"/>
                <w:b w:val="1"/>
                <w:bCs w:val="1"/>
                <w:color w:val="auto"/>
                <w:w w:val="87"/>
              </w:rPr>
              <w:t>Upside</w:t>
            </w:r>
          </w:p>
        </w:tc>
        <w:tc>
          <w:tcPr>
            <w:tcW w:w="108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11.8%</w:t>
            </w:r>
          </w:p>
        </w:tc>
        <w:tc>
          <w:tcPr>
            <w:tcW w:w="1180" w:type="dxa"/>
            <w:vAlign w:val="bottom"/>
            <w:gridSpan w:val="3"/>
            <w:shd w:val="clear" w:color="auto" w:fill="CCEEFF"/>
          </w:tcPr>
          <w:p>
            <w:pPr>
              <w:jc w:val="right"/>
              <w:ind w:right="100"/>
              <w:spacing w:after="0"/>
              <w:rPr>
                <w:sz w:val="20"/>
                <w:szCs w:val="20"/>
                <w:color w:val="auto"/>
              </w:rPr>
            </w:pPr>
            <w:r>
              <w:rPr>
                <w:rFonts w:ascii="Arial" w:cs="Arial" w:eastAsia="Arial" w:hAnsi="Arial"/>
                <w:sz w:val="13"/>
                <w:szCs w:val="13"/>
                <w:color w:val="auto"/>
              </w:rPr>
              <w:t>9.6%</w:t>
            </w:r>
          </w:p>
        </w:tc>
        <w:tc>
          <w:tcPr>
            <w:tcW w:w="11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10.2%</w:t>
            </w:r>
          </w:p>
        </w:tc>
        <w:tc>
          <w:tcPr>
            <w:tcW w:w="11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10.5%</w:t>
            </w: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10.6%</w:t>
            </w:r>
          </w:p>
        </w:tc>
        <w:tc>
          <w:tcPr>
            <w:tcW w:w="1440" w:type="dxa"/>
            <w:vAlign w:val="bottom"/>
          </w:tcPr>
          <w:p>
            <w:pPr>
              <w:spacing w:after="0"/>
              <w:rPr>
                <w:sz w:val="13"/>
                <w:szCs w:val="13"/>
                <w:color w:val="auto"/>
              </w:rPr>
            </w:pPr>
          </w:p>
        </w:tc>
      </w:tr>
      <w:tr>
        <w:trPr>
          <w:trHeight w:val="154"/>
        </w:trPr>
        <w:tc>
          <w:tcPr>
            <w:tcW w:w="1440" w:type="dxa"/>
            <w:vAlign w:val="bottom"/>
          </w:tcPr>
          <w:p>
            <w:pPr>
              <w:spacing w:after="0"/>
              <w:rPr>
                <w:sz w:val="13"/>
                <w:szCs w:val="13"/>
                <w:color w:val="auto"/>
              </w:rPr>
            </w:pPr>
          </w:p>
        </w:tc>
        <w:tc>
          <w:tcPr>
            <w:tcW w:w="186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center"/>
              <w:ind w:right="80"/>
              <w:spacing w:after="0"/>
              <w:rPr>
                <w:sz w:val="20"/>
                <w:szCs w:val="20"/>
                <w:color w:val="auto"/>
              </w:rPr>
            </w:pPr>
            <w:r>
              <w:rPr>
                <w:rFonts w:ascii="Arial" w:cs="Arial" w:eastAsia="Arial" w:hAnsi="Arial"/>
                <w:sz w:val="13"/>
                <w:szCs w:val="13"/>
                <w:b w:val="1"/>
                <w:bCs w:val="1"/>
                <w:color w:val="auto"/>
                <w:w w:val="87"/>
              </w:rPr>
              <w:t>Downside</w:t>
            </w:r>
          </w:p>
        </w:tc>
        <w:tc>
          <w:tcPr>
            <w:tcW w:w="108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4.1%</w:t>
            </w:r>
          </w:p>
        </w:tc>
        <w:tc>
          <w:tcPr>
            <w:tcW w:w="1180" w:type="dxa"/>
            <w:vAlign w:val="bottom"/>
            <w:gridSpan w:val="3"/>
            <w:shd w:val="clear" w:color="auto" w:fill="CCEEFF"/>
          </w:tcPr>
          <w:p>
            <w:pPr>
              <w:jc w:val="right"/>
              <w:ind w:right="100"/>
              <w:spacing w:after="0"/>
              <w:rPr>
                <w:sz w:val="20"/>
                <w:szCs w:val="20"/>
                <w:color w:val="auto"/>
              </w:rPr>
            </w:pPr>
            <w:r>
              <w:rPr>
                <w:rFonts w:ascii="Arial" w:cs="Arial" w:eastAsia="Arial" w:hAnsi="Arial"/>
                <w:sz w:val="13"/>
                <w:szCs w:val="13"/>
                <w:color w:val="auto"/>
              </w:rPr>
              <w:t>1.8%</w:t>
            </w:r>
          </w:p>
        </w:tc>
        <w:tc>
          <w:tcPr>
            <w:tcW w:w="11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2.5%</w:t>
            </w:r>
          </w:p>
        </w:tc>
        <w:tc>
          <w:tcPr>
            <w:tcW w:w="11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2.7%</w:t>
            </w: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2.8%</w:t>
            </w:r>
          </w:p>
        </w:tc>
        <w:tc>
          <w:tcPr>
            <w:tcW w:w="1440" w:type="dxa"/>
            <w:vAlign w:val="bottom"/>
          </w:tcPr>
          <w:p>
            <w:pPr>
              <w:spacing w:after="0"/>
              <w:rPr>
                <w:sz w:val="13"/>
                <w:szCs w:val="13"/>
                <w:color w:val="auto"/>
              </w:rPr>
            </w:pPr>
          </w:p>
        </w:tc>
      </w:tr>
      <w:tr>
        <w:trPr>
          <w:trHeight w:val="154"/>
        </w:trPr>
        <w:tc>
          <w:tcPr>
            <w:tcW w:w="1440" w:type="dxa"/>
            <w:vAlign w:val="bottom"/>
          </w:tcPr>
          <w:p>
            <w:pPr>
              <w:spacing w:after="0"/>
              <w:rPr>
                <w:sz w:val="13"/>
                <w:szCs w:val="13"/>
                <w:color w:val="auto"/>
              </w:rPr>
            </w:pPr>
          </w:p>
        </w:tc>
        <w:tc>
          <w:tcPr>
            <w:tcW w:w="18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40" w:type="dxa"/>
            <w:vAlign w:val="bottom"/>
          </w:tcPr>
          <w:p>
            <w:pPr>
              <w:spacing w:after="0"/>
              <w:rPr>
                <w:sz w:val="13"/>
                <w:szCs w:val="13"/>
                <w:color w:val="auto"/>
              </w:rPr>
            </w:pPr>
          </w:p>
        </w:tc>
      </w:tr>
      <w:tr>
        <w:trPr>
          <w:trHeight w:val="154"/>
        </w:trPr>
        <w:tc>
          <w:tcPr>
            <w:tcW w:w="1440" w:type="dxa"/>
            <w:vAlign w:val="bottom"/>
          </w:tcPr>
          <w:p>
            <w:pPr>
              <w:spacing w:after="0"/>
              <w:rPr>
                <w:sz w:val="13"/>
                <w:szCs w:val="13"/>
                <w:color w:val="auto"/>
              </w:rPr>
            </w:pPr>
          </w:p>
        </w:tc>
        <w:tc>
          <w:tcPr>
            <w:tcW w:w="1860" w:type="dxa"/>
            <w:vAlign w:val="bottom"/>
            <w:shd w:val="clear" w:color="auto" w:fill="CCEEFF"/>
          </w:tcPr>
          <w:p>
            <w:pPr>
              <w:jc w:val="center"/>
              <w:spacing w:after="0"/>
              <w:rPr>
                <w:sz w:val="20"/>
                <w:szCs w:val="20"/>
                <w:color w:val="auto"/>
              </w:rPr>
            </w:pPr>
            <w:r>
              <w:rPr>
                <w:rFonts w:ascii="Arial" w:cs="Arial" w:eastAsia="Arial" w:hAnsi="Arial"/>
                <w:sz w:val="13"/>
                <w:szCs w:val="13"/>
                <w:b w:val="1"/>
                <w:bCs w:val="1"/>
                <w:color w:val="auto"/>
                <w:w w:val="87"/>
              </w:rPr>
              <w:t>Commodities</w:t>
            </w:r>
          </w:p>
        </w:tc>
        <w:tc>
          <w:tcPr>
            <w:tcW w:w="8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center"/>
              <w:ind w:right="80"/>
              <w:spacing w:after="0"/>
              <w:rPr>
                <w:sz w:val="20"/>
                <w:szCs w:val="20"/>
                <w:color w:val="auto"/>
              </w:rPr>
            </w:pPr>
            <w:r>
              <w:rPr>
                <w:rFonts w:ascii="Arial" w:cs="Arial" w:eastAsia="Arial" w:hAnsi="Arial"/>
                <w:sz w:val="13"/>
                <w:szCs w:val="13"/>
                <w:b w:val="1"/>
                <w:bCs w:val="1"/>
                <w:color w:val="auto"/>
                <w:w w:val="93"/>
              </w:rPr>
              <w:t>Central</w:t>
            </w: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136.4</w:t>
            </w:r>
          </w:p>
        </w:tc>
        <w:tc>
          <w:tcPr>
            <w:tcW w:w="1180" w:type="dxa"/>
            <w:vAlign w:val="bottom"/>
            <w:gridSpan w:val="3"/>
            <w:shd w:val="clear" w:color="auto" w:fill="CCEEFF"/>
          </w:tcPr>
          <w:p>
            <w:pPr>
              <w:jc w:val="right"/>
              <w:ind w:right="200"/>
              <w:spacing w:after="0"/>
              <w:rPr>
                <w:sz w:val="20"/>
                <w:szCs w:val="20"/>
                <w:color w:val="auto"/>
              </w:rPr>
            </w:pPr>
            <w:r>
              <w:rPr>
                <w:rFonts w:ascii="Arial" w:cs="Arial" w:eastAsia="Arial" w:hAnsi="Arial"/>
                <w:sz w:val="13"/>
                <w:szCs w:val="13"/>
                <w:color w:val="auto"/>
              </w:rPr>
              <w:t>134.6</w:t>
            </w:r>
          </w:p>
        </w:tc>
        <w:tc>
          <w:tcPr>
            <w:tcW w:w="11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130.7</w:t>
            </w:r>
          </w:p>
        </w:tc>
        <w:tc>
          <w:tcPr>
            <w:tcW w:w="9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128.0</w:t>
            </w:r>
          </w:p>
        </w:tc>
        <w:tc>
          <w:tcPr>
            <w:tcW w:w="180" w:type="dxa"/>
            <w:vAlign w:val="bottom"/>
            <w:shd w:val="clear" w:color="auto" w:fill="CCEEFF"/>
          </w:tcPr>
          <w:p>
            <w:pPr>
              <w:spacing w:after="0"/>
              <w:rPr>
                <w:sz w:val="13"/>
                <w:szCs w:val="13"/>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126.1</w:t>
            </w:r>
          </w:p>
        </w:tc>
        <w:tc>
          <w:tcPr>
            <w:tcW w:w="120" w:type="dxa"/>
            <w:vAlign w:val="bottom"/>
            <w:shd w:val="clear" w:color="auto" w:fill="CCEEFF"/>
          </w:tcPr>
          <w:p>
            <w:pPr>
              <w:spacing w:after="0"/>
              <w:rPr>
                <w:sz w:val="13"/>
                <w:szCs w:val="13"/>
                <w:color w:val="auto"/>
              </w:rPr>
            </w:pPr>
          </w:p>
        </w:tc>
        <w:tc>
          <w:tcPr>
            <w:tcW w:w="1440" w:type="dxa"/>
            <w:vAlign w:val="bottom"/>
          </w:tcPr>
          <w:p>
            <w:pPr>
              <w:spacing w:after="0"/>
              <w:rPr>
                <w:sz w:val="13"/>
                <w:szCs w:val="13"/>
                <w:color w:val="auto"/>
              </w:rPr>
            </w:pPr>
          </w:p>
        </w:tc>
      </w:tr>
      <w:tr>
        <w:trPr>
          <w:trHeight w:val="154"/>
        </w:trPr>
        <w:tc>
          <w:tcPr>
            <w:tcW w:w="1440" w:type="dxa"/>
            <w:vAlign w:val="bottom"/>
          </w:tcPr>
          <w:p>
            <w:pPr>
              <w:spacing w:after="0"/>
              <w:rPr>
                <w:sz w:val="13"/>
                <w:szCs w:val="13"/>
                <w:color w:val="auto"/>
              </w:rPr>
            </w:pPr>
          </w:p>
        </w:tc>
        <w:tc>
          <w:tcPr>
            <w:tcW w:w="1860" w:type="dxa"/>
            <w:vAlign w:val="bottom"/>
            <w:shd w:val="clear" w:color="auto" w:fill="CCEEFF"/>
          </w:tcPr>
          <w:p>
            <w:pPr>
              <w:jc w:val="center"/>
              <w:spacing w:after="0"/>
              <w:rPr>
                <w:sz w:val="20"/>
                <w:szCs w:val="20"/>
                <w:color w:val="auto"/>
              </w:rPr>
            </w:pPr>
            <w:r>
              <w:rPr>
                <w:rFonts w:ascii="Arial" w:cs="Arial" w:eastAsia="Arial" w:hAnsi="Arial"/>
                <w:sz w:val="13"/>
                <w:szCs w:val="13"/>
                <w:b w:val="1"/>
                <w:bCs w:val="1"/>
                <w:color w:val="auto"/>
                <w:w w:val="90"/>
              </w:rPr>
              <w:t>Price Index 2005</w:t>
            </w:r>
          </w:p>
        </w:tc>
        <w:tc>
          <w:tcPr>
            <w:tcW w:w="8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center"/>
              <w:ind w:right="80"/>
              <w:spacing w:after="0"/>
              <w:rPr>
                <w:sz w:val="20"/>
                <w:szCs w:val="20"/>
                <w:color w:val="auto"/>
              </w:rPr>
            </w:pPr>
            <w:r>
              <w:rPr>
                <w:rFonts w:ascii="Arial" w:cs="Arial" w:eastAsia="Arial" w:hAnsi="Arial"/>
                <w:sz w:val="13"/>
                <w:szCs w:val="13"/>
                <w:b w:val="1"/>
                <w:bCs w:val="1"/>
                <w:color w:val="auto"/>
                <w:w w:val="87"/>
              </w:rPr>
              <w:t>Upside</w:t>
            </w: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152.5</w:t>
            </w:r>
          </w:p>
        </w:tc>
        <w:tc>
          <w:tcPr>
            <w:tcW w:w="1180" w:type="dxa"/>
            <w:vAlign w:val="bottom"/>
            <w:gridSpan w:val="3"/>
            <w:shd w:val="clear" w:color="auto" w:fill="CCEEFF"/>
          </w:tcPr>
          <w:p>
            <w:pPr>
              <w:jc w:val="right"/>
              <w:ind w:right="200"/>
              <w:spacing w:after="0"/>
              <w:rPr>
                <w:sz w:val="20"/>
                <w:szCs w:val="20"/>
                <w:color w:val="auto"/>
              </w:rPr>
            </w:pPr>
            <w:r>
              <w:rPr>
                <w:rFonts w:ascii="Arial" w:cs="Arial" w:eastAsia="Arial" w:hAnsi="Arial"/>
                <w:sz w:val="13"/>
                <w:szCs w:val="13"/>
                <w:color w:val="auto"/>
              </w:rPr>
              <w:t>149.8</w:t>
            </w:r>
          </w:p>
        </w:tc>
        <w:tc>
          <w:tcPr>
            <w:tcW w:w="11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148.2</w:t>
            </w:r>
          </w:p>
        </w:tc>
        <w:tc>
          <w:tcPr>
            <w:tcW w:w="9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148.7</w:t>
            </w:r>
          </w:p>
        </w:tc>
        <w:tc>
          <w:tcPr>
            <w:tcW w:w="180" w:type="dxa"/>
            <w:vAlign w:val="bottom"/>
            <w:shd w:val="clear" w:color="auto" w:fill="CCEEFF"/>
          </w:tcPr>
          <w:p>
            <w:pPr>
              <w:spacing w:after="0"/>
              <w:rPr>
                <w:sz w:val="13"/>
                <w:szCs w:val="13"/>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151.0</w:t>
            </w:r>
          </w:p>
        </w:tc>
        <w:tc>
          <w:tcPr>
            <w:tcW w:w="120" w:type="dxa"/>
            <w:vAlign w:val="bottom"/>
            <w:shd w:val="clear" w:color="auto" w:fill="CCEEFF"/>
          </w:tcPr>
          <w:p>
            <w:pPr>
              <w:spacing w:after="0"/>
              <w:rPr>
                <w:sz w:val="13"/>
                <w:szCs w:val="13"/>
                <w:color w:val="auto"/>
              </w:rPr>
            </w:pPr>
          </w:p>
        </w:tc>
        <w:tc>
          <w:tcPr>
            <w:tcW w:w="1440" w:type="dxa"/>
            <w:vAlign w:val="bottom"/>
          </w:tcPr>
          <w:p>
            <w:pPr>
              <w:spacing w:after="0"/>
              <w:rPr>
                <w:sz w:val="13"/>
                <w:szCs w:val="13"/>
                <w:color w:val="auto"/>
              </w:rPr>
            </w:pPr>
          </w:p>
        </w:tc>
      </w:tr>
      <w:tr>
        <w:trPr>
          <w:trHeight w:val="154"/>
        </w:trPr>
        <w:tc>
          <w:tcPr>
            <w:tcW w:w="1440" w:type="dxa"/>
            <w:vAlign w:val="bottom"/>
          </w:tcPr>
          <w:p>
            <w:pPr>
              <w:spacing w:after="0"/>
              <w:rPr>
                <w:sz w:val="13"/>
                <w:szCs w:val="13"/>
                <w:color w:val="auto"/>
              </w:rPr>
            </w:pPr>
          </w:p>
        </w:tc>
        <w:tc>
          <w:tcPr>
            <w:tcW w:w="1860" w:type="dxa"/>
            <w:vAlign w:val="bottom"/>
            <w:shd w:val="clear" w:color="auto" w:fill="CCEEFF"/>
          </w:tcPr>
          <w:p>
            <w:pPr>
              <w:jc w:val="center"/>
              <w:spacing w:after="0"/>
              <w:rPr>
                <w:sz w:val="20"/>
                <w:szCs w:val="20"/>
                <w:color w:val="auto"/>
              </w:rPr>
            </w:pPr>
            <w:r>
              <w:rPr>
                <w:rFonts w:ascii="Arial" w:cs="Arial" w:eastAsia="Arial" w:hAnsi="Arial"/>
                <w:sz w:val="13"/>
                <w:szCs w:val="13"/>
                <w:b w:val="1"/>
                <w:bCs w:val="1"/>
                <w:color w:val="auto"/>
                <w:w w:val="91"/>
              </w:rPr>
              <w:t>= 100</w:t>
            </w:r>
          </w:p>
        </w:tc>
        <w:tc>
          <w:tcPr>
            <w:tcW w:w="8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center"/>
              <w:ind w:right="80"/>
              <w:spacing w:after="0"/>
              <w:rPr>
                <w:sz w:val="20"/>
                <w:szCs w:val="20"/>
                <w:color w:val="auto"/>
              </w:rPr>
            </w:pPr>
            <w:r>
              <w:rPr>
                <w:rFonts w:ascii="Arial" w:cs="Arial" w:eastAsia="Arial" w:hAnsi="Arial"/>
                <w:sz w:val="13"/>
                <w:szCs w:val="13"/>
                <w:b w:val="1"/>
                <w:bCs w:val="1"/>
                <w:color w:val="auto"/>
                <w:w w:val="87"/>
              </w:rPr>
              <w:t>Downside</w:t>
            </w: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109.3</w:t>
            </w:r>
          </w:p>
        </w:tc>
        <w:tc>
          <w:tcPr>
            <w:tcW w:w="1180" w:type="dxa"/>
            <w:vAlign w:val="bottom"/>
            <w:gridSpan w:val="3"/>
            <w:shd w:val="clear" w:color="auto" w:fill="CCEEFF"/>
          </w:tcPr>
          <w:p>
            <w:pPr>
              <w:jc w:val="right"/>
              <w:ind w:right="200"/>
              <w:spacing w:after="0"/>
              <w:rPr>
                <w:sz w:val="20"/>
                <w:szCs w:val="20"/>
                <w:color w:val="auto"/>
              </w:rPr>
            </w:pPr>
            <w:r>
              <w:rPr>
                <w:rFonts w:ascii="Arial" w:cs="Arial" w:eastAsia="Arial" w:hAnsi="Arial"/>
                <w:sz w:val="13"/>
                <w:szCs w:val="13"/>
                <w:color w:val="auto"/>
              </w:rPr>
              <w:t>103.0</w:t>
            </w:r>
          </w:p>
        </w:tc>
        <w:tc>
          <w:tcPr>
            <w:tcW w:w="11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97.8</w:t>
            </w:r>
          </w:p>
        </w:tc>
        <w:tc>
          <w:tcPr>
            <w:tcW w:w="11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94.2</w:t>
            </w: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91.9</w:t>
            </w:r>
          </w:p>
        </w:tc>
        <w:tc>
          <w:tcPr>
            <w:tcW w:w="1440" w:type="dxa"/>
            <w:vAlign w:val="bottom"/>
          </w:tcPr>
          <w:p>
            <w:pPr>
              <w:spacing w:after="0"/>
              <w:rPr>
                <w:sz w:val="13"/>
                <w:szCs w:val="13"/>
                <w:color w:val="auto"/>
              </w:rPr>
            </w:pPr>
          </w:p>
        </w:tc>
      </w:tr>
      <w:tr>
        <w:trPr>
          <w:trHeight w:val="154"/>
        </w:trPr>
        <w:tc>
          <w:tcPr>
            <w:tcW w:w="1440" w:type="dxa"/>
            <w:vAlign w:val="bottom"/>
          </w:tcPr>
          <w:p>
            <w:pPr>
              <w:spacing w:after="0"/>
              <w:rPr>
                <w:sz w:val="13"/>
                <w:szCs w:val="13"/>
                <w:color w:val="auto"/>
              </w:rPr>
            </w:pPr>
          </w:p>
        </w:tc>
        <w:tc>
          <w:tcPr>
            <w:tcW w:w="18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40" w:type="dxa"/>
            <w:vAlign w:val="bottom"/>
          </w:tcPr>
          <w:p>
            <w:pPr>
              <w:spacing w:after="0"/>
              <w:rPr>
                <w:sz w:val="13"/>
                <w:szCs w:val="13"/>
                <w:color w:val="auto"/>
              </w:rPr>
            </w:pPr>
          </w:p>
        </w:tc>
      </w:tr>
      <w:tr>
        <w:trPr>
          <w:trHeight w:val="154"/>
        </w:trPr>
        <w:tc>
          <w:tcPr>
            <w:tcW w:w="1440" w:type="dxa"/>
            <w:vAlign w:val="bottom"/>
          </w:tcPr>
          <w:p>
            <w:pPr>
              <w:spacing w:after="0"/>
              <w:rPr>
                <w:sz w:val="13"/>
                <w:szCs w:val="13"/>
                <w:color w:val="auto"/>
              </w:rPr>
            </w:pPr>
          </w:p>
        </w:tc>
        <w:tc>
          <w:tcPr>
            <w:tcW w:w="1860" w:type="dxa"/>
            <w:vAlign w:val="bottom"/>
            <w:shd w:val="clear" w:color="auto" w:fill="CCEEFF"/>
          </w:tcPr>
          <w:p>
            <w:pPr>
              <w:jc w:val="center"/>
              <w:spacing w:after="0"/>
              <w:rPr>
                <w:sz w:val="20"/>
                <w:szCs w:val="20"/>
                <w:color w:val="auto"/>
              </w:rPr>
            </w:pPr>
            <w:r>
              <w:rPr>
                <w:rFonts w:ascii="Arial" w:cs="Arial" w:eastAsia="Arial" w:hAnsi="Arial"/>
                <w:sz w:val="13"/>
                <w:szCs w:val="13"/>
                <w:b w:val="1"/>
                <w:bCs w:val="1"/>
                <w:color w:val="auto"/>
                <w:w w:val="92"/>
              </w:rPr>
              <w:t>Interest Rate FED</w:t>
            </w:r>
          </w:p>
        </w:tc>
        <w:tc>
          <w:tcPr>
            <w:tcW w:w="8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center"/>
              <w:ind w:right="80"/>
              <w:spacing w:after="0"/>
              <w:rPr>
                <w:sz w:val="20"/>
                <w:szCs w:val="20"/>
                <w:color w:val="auto"/>
              </w:rPr>
            </w:pPr>
            <w:r>
              <w:rPr>
                <w:rFonts w:ascii="Arial" w:cs="Arial" w:eastAsia="Arial" w:hAnsi="Arial"/>
                <w:sz w:val="13"/>
                <w:szCs w:val="13"/>
                <w:b w:val="1"/>
                <w:bCs w:val="1"/>
                <w:color w:val="auto"/>
                <w:w w:val="93"/>
              </w:rPr>
              <w:t>Central</w:t>
            </w:r>
          </w:p>
        </w:tc>
        <w:tc>
          <w:tcPr>
            <w:tcW w:w="108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2.4%</w:t>
            </w:r>
          </w:p>
        </w:tc>
        <w:tc>
          <w:tcPr>
            <w:tcW w:w="1180" w:type="dxa"/>
            <w:vAlign w:val="bottom"/>
            <w:gridSpan w:val="3"/>
            <w:shd w:val="clear" w:color="auto" w:fill="CCEEFF"/>
          </w:tcPr>
          <w:p>
            <w:pPr>
              <w:jc w:val="right"/>
              <w:ind w:right="100"/>
              <w:spacing w:after="0"/>
              <w:rPr>
                <w:sz w:val="20"/>
                <w:szCs w:val="20"/>
                <w:color w:val="auto"/>
              </w:rPr>
            </w:pPr>
            <w:r>
              <w:rPr>
                <w:rFonts w:ascii="Arial" w:cs="Arial" w:eastAsia="Arial" w:hAnsi="Arial"/>
                <w:sz w:val="13"/>
                <w:szCs w:val="13"/>
                <w:color w:val="auto"/>
              </w:rPr>
              <w:t>3.0%</w:t>
            </w:r>
          </w:p>
        </w:tc>
        <w:tc>
          <w:tcPr>
            <w:tcW w:w="11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3.1%</w:t>
            </w:r>
          </w:p>
        </w:tc>
        <w:tc>
          <w:tcPr>
            <w:tcW w:w="11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3.6%</w:t>
            </w: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4.3%</w:t>
            </w:r>
          </w:p>
        </w:tc>
        <w:tc>
          <w:tcPr>
            <w:tcW w:w="1440" w:type="dxa"/>
            <w:vAlign w:val="bottom"/>
          </w:tcPr>
          <w:p>
            <w:pPr>
              <w:spacing w:after="0"/>
              <w:rPr>
                <w:sz w:val="13"/>
                <w:szCs w:val="13"/>
                <w:color w:val="auto"/>
              </w:rPr>
            </w:pPr>
          </w:p>
        </w:tc>
      </w:tr>
      <w:tr>
        <w:trPr>
          <w:trHeight w:val="154"/>
        </w:trPr>
        <w:tc>
          <w:tcPr>
            <w:tcW w:w="1440" w:type="dxa"/>
            <w:vAlign w:val="bottom"/>
          </w:tcPr>
          <w:p>
            <w:pPr>
              <w:spacing w:after="0"/>
              <w:rPr>
                <w:sz w:val="13"/>
                <w:szCs w:val="13"/>
                <w:color w:val="auto"/>
              </w:rPr>
            </w:pPr>
          </w:p>
        </w:tc>
        <w:tc>
          <w:tcPr>
            <w:tcW w:w="1860" w:type="dxa"/>
            <w:vAlign w:val="bottom"/>
            <w:shd w:val="clear" w:color="auto" w:fill="CCEEFF"/>
          </w:tcPr>
          <w:p>
            <w:pPr>
              <w:jc w:val="center"/>
              <w:spacing w:after="0"/>
              <w:rPr>
                <w:sz w:val="20"/>
                <w:szCs w:val="20"/>
                <w:color w:val="auto"/>
              </w:rPr>
            </w:pPr>
            <w:r>
              <w:rPr>
                <w:rFonts w:ascii="Arial" w:cs="Arial" w:eastAsia="Arial" w:hAnsi="Arial"/>
                <w:sz w:val="13"/>
                <w:szCs w:val="13"/>
                <w:b w:val="1"/>
                <w:bCs w:val="1"/>
                <w:color w:val="auto"/>
              </w:rPr>
              <w:t>(%)</w:t>
            </w:r>
          </w:p>
        </w:tc>
        <w:tc>
          <w:tcPr>
            <w:tcW w:w="8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center"/>
              <w:ind w:right="80"/>
              <w:spacing w:after="0"/>
              <w:rPr>
                <w:sz w:val="20"/>
                <w:szCs w:val="20"/>
                <w:color w:val="auto"/>
              </w:rPr>
            </w:pPr>
            <w:r>
              <w:rPr>
                <w:rFonts w:ascii="Arial" w:cs="Arial" w:eastAsia="Arial" w:hAnsi="Arial"/>
                <w:sz w:val="13"/>
                <w:szCs w:val="13"/>
                <w:b w:val="1"/>
                <w:bCs w:val="1"/>
                <w:color w:val="auto"/>
                <w:w w:val="87"/>
              </w:rPr>
              <w:t>Upside</w:t>
            </w:r>
          </w:p>
        </w:tc>
        <w:tc>
          <w:tcPr>
            <w:tcW w:w="108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2.1%</w:t>
            </w:r>
          </w:p>
        </w:tc>
        <w:tc>
          <w:tcPr>
            <w:tcW w:w="1180" w:type="dxa"/>
            <w:vAlign w:val="bottom"/>
            <w:gridSpan w:val="3"/>
            <w:shd w:val="clear" w:color="auto" w:fill="CCEEFF"/>
          </w:tcPr>
          <w:p>
            <w:pPr>
              <w:jc w:val="right"/>
              <w:ind w:right="100"/>
              <w:spacing w:after="0"/>
              <w:rPr>
                <w:sz w:val="20"/>
                <w:szCs w:val="20"/>
                <w:color w:val="auto"/>
              </w:rPr>
            </w:pPr>
            <w:r>
              <w:rPr>
                <w:rFonts w:ascii="Arial" w:cs="Arial" w:eastAsia="Arial" w:hAnsi="Arial"/>
                <w:sz w:val="13"/>
                <w:szCs w:val="13"/>
                <w:color w:val="auto"/>
              </w:rPr>
              <w:t>2.7%</w:t>
            </w:r>
          </w:p>
        </w:tc>
        <w:tc>
          <w:tcPr>
            <w:tcW w:w="11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2.8%</w:t>
            </w:r>
          </w:p>
        </w:tc>
        <w:tc>
          <w:tcPr>
            <w:tcW w:w="11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3.4%</w:t>
            </w: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4.0%</w:t>
            </w:r>
          </w:p>
        </w:tc>
        <w:tc>
          <w:tcPr>
            <w:tcW w:w="1440" w:type="dxa"/>
            <w:vAlign w:val="bottom"/>
          </w:tcPr>
          <w:p>
            <w:pPr>
              <w:spacing w:after="0"/>
              <w:rPr>
                <w:sz w:val="13"/>
                <w:szCs w:val="13"/>
                <w:color w:val="auto"/>
              </w:rPr>
            </w:pPr>
          </w:p>
        </w:tc>
      </w:tr>
      <w:tr>
        <w:trPr>
          <w:trHeight w:val="154"/>
        </w:trPr>
        <w:tc>
          <w:tcPr>
            <w:tcW w:w="1440" w:type="dxa"/>
            <w:vAlign w:val="bottom"/>
          </w:tcPr>
          <w:p>
            <w:pPr>
              <w:spacing w:after="0"/>
              <w:rPr>
                <w:sz w:val="13"/>
                <w:szCs w:val="13"/>
                <w:color w:val="auto"/>
              </w:rPr>
            </w:pPr>
          </w:p>
        </w:tc>
        <w:tc>
          <w:tcPr>
            <w:tcW w:w="186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center"/>
              <w:ind w:right="80"/>
              <w:spacing w:after="0"/>
              <w:rPr>
                <w:sz w:val="20"/>
                <w:szCs w:val="20"/>
                <w:color w:val="auto"/>
              </w:rPr>
            </w:pPr>
            <w:r>
              <w:rPr>
                <w:rFonts w:ascii="Arial" w:cs="Arial" w:eastAsia="Arial" w:hAnsi="Arial"/>
                <w:sz w:val="13"/>
                <w:szCs w:val="13"/>
                <w:b w:val="1"/>
                <w:bCs w:val="1"/>
                <w:color w:val="auto"/>
                <w:w w:val="87"/>
              </w:rPr>
              <w:t>Downside</w:t>
            </w:r>
          </w:p>
        </w:tc>
        <w:tc>
          <w:tcPr>
            <w:tcW w:w="108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2.6%</w:t>
            </w:r>
          </w:p>
        </w:tc>
        <w:tc>
          <w:tcPr>
            <w:tcW w:w="1180" w:type="dxa"/>
            <w:vAlign w:val="bottom"/>
            <w:gridSpan w:val="3"/>
            <w:shd w:val="clear" w:color="auto" w:fill="CCEEFF"/>
          </w:tcPr>
          <w:p>
            <w:pPr>
              <w:jc w:val="right"/>
              <w:ind w:right="100"/>
              <w:spacing w:after="0"/>
              <w:rPr>
                <w:sz w:val="20"/>
                <w:szCs w:val="20"/>
                <w:color w:val="auto"/>
              </w:rPr>
            </w:pPr>
            <w:r>
              <w:rPr>
                <w:rFonts w:ascii="Arial" w:cs="Arial" w:eastAsia="Arial" w:hAnsi="Arial"/>
                <w:sz w:val="13"/>
                <w:szCs w:val="13"/>
                <w:color w:val="auto"/>
              </w:rPr>
              <w:t>3.2%</w:t>
            </w:r>
          </w:p>
        </w:tc>
        <w:tc>
          <w:tcPr>
            <w:tcW w:w="11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3.3%</w:t>
            </w:r>
          </w:p>
        </w:tc>
        <w:tc>
          <w:tcPr>
            <w:tcW w:w="11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3.9%</w:t>
            </w: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4.5%</w:t>
            </w:r>
          </w:p>
        </w:tc>
        <w:tc>
          <w:tcPr>
            <w:tcW w:w="1440" w:type="dxa"/>
            <w:vAlign w:val="bottom"/>
          </w:tcPr>
          <w:p>
            <w:pPr>
              <w:spacing w:after="0"/>
              <w:rPr>
                <w:sz w:val="13"/>
                <w:szCs w:val="13"/>
                <w:color w:val="auto"/>
              </w:rPr>
            </w:pPr>
          </w:p>
        </w:tc>
      </w:tr>
      <w:tr>
        <w:trPr>
          <w:trHeight w:val="154"/>
        </w:trPr>
        <w:tc>
          <w:tcPr>
            <w:tcW w:w="1440" w:type="dxa"/>
            <w:vAlign w:val="bottom"/>
          </w:tcPr>
          <w:p>
            <w:pPr>
              <w:spacing w:after="0"/>
              <w:rPr>
                <w:sz w:val="13"/>
                <w:szCs w:val="13"/>
                <w:color w:val="auto"/>
              </w:rPr>
            </w:pPr>
          </w:p>
        </w:tc>
        <w:tc>
          <w:tcPr>
            <w:tcW w:w="18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40" w:type="dxa"/>
            <w:vAlign w:val="bottom"/>
          </w:tcPr>
          <w:p>
            <w:pPr>
              <w:spacing w:after="0"/>
              <w:rPr>
                <w:sz w:val="13"/>
                <w:szCs w:val="13"/>
                <w:color w:val="auto"/>
              </w:rPr>
            </w:pPr>
          </w:p>
        </w:tc>
      </w:tr>
      <w:tr>
        <w:trPr>
          <w:trHeight w:val="154"/>
        </w:trPr>
        <w:tc>
          <w:tcPr>
            <w:tcW w:w="1440" w:type="dxa"/>
            <w:vAlign w:val="bottom"/>
          </w:tcPr>
          <w:p>
            <w:pPr>
              <w:spacing w:after="0"/>
              <w:rPr>
                <w:sz w:val="13"/>
                <w:szCs w:val="13"/>
                <w:color w:val="auto"/>
              </w:rPr>
            </w:pPr>
          </w:p>
        </w:tc>
        <w:tc>
          <w:tcPr>
            <w:tcW w:w="1860" w:type="dxa"/>
            <w:vAlign w:val="bottom"/>
            <w:shd w:val="clear" w:color="auto" w:fill="CCEEFF"/>
          </w:tcPr>
          <w:p>
            <w:pPr>
              <w:jc w:val="center"/>
              <w:spacing w:after="0"/>
              <w:rPr>
                <w:sz w:val="20"/>
                <w:szCs w:val="20"/>
                <w:color w:val="auto"/>
              </w:rPr>
            </w:pPr>
            <w:r>
              <w:rPr>
                <w:rFonts w:ascii="Arial" w:cs="Arial" w:eastAsia="Arial" w:hAnsi="Arial"/>
                <w:sz w:val="13"/>
                <w:szCs w:val="13"/>
                <w:b w:val="1"/>
                <w:bCs w:val="1"/>
                <w:color w:val="auto"/>
                <w:w w:val="89"/>
              </w:rPr>
              <w:t>USD vs Global</w:t>
            </w:r>
          </w:p>
        </w:tc>
        <w:tc>
          <w:tcPr>
            <w:tcW w:w="8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center"/>
              <w:ind w:right="80"/>
              <w:spacing w:after="0"/>
              <w:rPr>
                <w:sz w:val="20"/>
                <w:szCs w:val="20"/>
                <w:color w:val="auto"/>
              </w:rPr>
            </w:pPr>
            <w:r>
              <w:rPr>
                <w:rFonts w:ascii="Arial" w:cs="Arial" w:eastAsia="Arial" w:hAnsi="Arial"/>
                <w:sz w:val="13"/>
                <w:szCs w:val="13"/>
                <w:b w:val="1"/>
                <w:bCs w:val="1"/>
                <w:color w:val="auto"/>
                <w:w w:val="93"/>
              </w:rPr>
              <w:t>Central</w:t>
            </w: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94.6</w:t>
            </w:r>
          </w:p>
        </w:tc>
        <w:tc>
          <w:tcPr>
            <w:tcW w:w="1180" w:type="dxa"/>
            <w:vAlign w:val="bottom"/>
            <w:gridSpan w:val="3"/>
            <w:shd w:val="clear" w:color="auto" w:fill="CCEEFF"/>
          </w:tcPr>
          <w:p>
            <w:pPr>
              <w:jc w:val="right"/>
              <w:ind w:right="200"/>
              <w:spacing w:after="0"/>
              <w:rPr>
                <w:sz w:val="20"/>
                <w:szCs w:val="20"/>
                <w:color w:val="auto"/>
              </w:rPr>
            </w:pPr>
            <w:r>
              <w:rPr>
                <w:rFonts w:ascii="Arial" w:cs="Arial" w:eastAsia="Arial" w:hAnsi="Arial"/>
                <w:sz w:val="13"/>
                <w:szCs w:val="13"/>
                <w:color w:val="auto"/>
              </w:rPr>
              <w:t>99.0</w:t>
            </w:r>
          </w:p>
        </w:tc>
        <w:tc>
          <w:tcPr>
            <w:tcW w:w="11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101.5</w:t>
            </w:r>
          </w:p>
        </w:tc>
        <w:tc>
          <w:tcPr>
            <w:tcW w:w="9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103.5</w:t>
            </w:r>
          </w:p>
        </w:tc>
        <w:tc>
          <w:tcPr>
            <w:tcW w:w="180" w:type="dxa"/>
            <w:vAlign w:val="bottom"/>
            <w:shd w:val="clear" w:color="auto" w:fill="CCEEFF"/>
          </w:tcPr>
          <w:p>
            <w:pPr>
              <w:spacing w:after="0"/>
              <w:rPr>
                <w:sz w:val="13"/>
                <w:szCs w:val="13"/>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105.6</w:t>
            </w:r>
          </w:p>
        </w:tc>
        <w:tc>
          <w:tcPr>
            <w:tcW w:w="120" w:type="dxa"/>
            <w:vAlign w:val="bottom"/>
            <w:shd w:val="clear" w:color="auto" w:fill="CCEEFF"/>
          </w:tcPr>
          <w:p>
            <w:pPr>
              <w:spacing w:after="0"/>
              <w:rPr>
                <w:sz w:val="13"/>
                <w:szCs w:val="13"/>
                <w:color w:val="auto"/>
              </w:rPr>
            </w:pPr>
          </w:p>
        </w:tc>
        <w:tc>
          <w:tcPr>
            <w:tcW w:w="1440" w:type="dxa"/>
            <w:vAlign w:val="bottom"/>
          </w:tcPr>
          <w:p>
            <w:pPr>
              <w:spacing w:after="0"/>
              <w:rPr>
                <w:sz w:val="13"/>
                <w:szCs w:val="13"/>
                <w:color w:val="auto"/>
              </w:rPr>
            </w:pPr>
          </w:p>
        </w:tc>
      </w:tr>
      <w:tr>
        <w:trPr>
          <w:trHeight w:val="154"/>
        </w:trPr>
        <w:tc>
          <w:tcPr>
            <w:tcW w:w="1440" w:type="dxa"/>
            <w:vAlign w:val="bottom"/>
          </w:tcPr>
          <w:p>
            <w:pPr>
              <w:spacing w:after="0"/>
              <w:rPr>
                <w:sz w:val="13"/>
                <w:szCs w:val="13"/>
                <w:color w:val="auto"/>
              </w:rPr>
            </w:pPr>
          </w:p>
        </w:tc>
        <w:tc>
          <w:tcPr>
            <w:tcW w:w="1860" w:type="dxa"/>
            <w:vAlign w:val="bottom"/>
            <w:shd w:val="clear" w:color="auto" w:fill="CCEEFF"/>
          </w:tcPr>
          <w:p>
            <w:pPr>
              <w:jc w:val="center"/>
              <w:spacing w:after="0"/>
              <w:rPr>
                <w:sz w:val="20"/>
                <w:szCs w:val="20"/>
                <w:color w:val="auto"/>
              </w:rPr>
            </w:pPr>
            <w:r>
              <w:rPr>
                <w:rFonts w:ascii="Arial" w:cs="Arial" w:eastAsia="Arial" w:hAnsi="Arial"/>
                <w:sz w:val="13"/>
                <w:szCs w:val="13"/>
                <w:b w:val="1"/>
                <w:bCs w:val="1"/>
                <w:color w:val="auto"/>
                <w:w w:val="89"/>
              </w:rPr>
              <w:t>Currencies Index</w:t>
            </w:r>
          </w:p>
        </w:tc>
        <w:tc>
          <w:tcPr>
            <w:tcW w:w="8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center"/>
              <w:ind w:right="80"/>
              <w:spacing w:after="0"/>
              <w:rPr>
                <w:sz w:val="20"/>
                <w:szCs w:val="20"/>
                <w:color w:val="auto"/>
              </w:rPr>
            </w:pPr>
            <w:r>
              <w:rPr>
                <w:rFonts w:ascii="Arial" w:cs="Arial" w:eastAsia="Arial" w:hAnsi="Arial"/>
                <w:sz w:val="13"/>
                <w:szCs w:val="13"/>
                <w:b w:val="1"/>
                <w:bCs w:val="1"/>
                <w:color w:val="auto"/>
                <w:w w:val="87"/>
              </w:rPr>
              <w:t>Upside</w:t>
            </w: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90.6</w:t>
            </w:r>
          </w:p>
        </w:tc>
        <w:tc>
          <w:tcPr>
            <w:tcW w:w="1180" w:type="dxa"/>
            <w:vAlign w:val="bottom"/>
            <w:gridSpan w:val="3"/>
            <w:shd w:val="clear" w:color="auto" w:fill="CCEEFF"/>
          </w:tcPr>
          <w:p>
            <w:pPr>
              <w:jc w:val="right"/>
              <w:ind w:right="200"/>
              <w:spacing w:after="0"/>
              <w:rPr>
                <w:sz w:val="20"/>
                <w:szCs w:val="20"/>
                <w:color w:val="auto"/>
              </w:rPr>
            </w:pPr>
            <w:r>
              <w:rPr>
                <w:rFonts w:ascii="Arial" w:cs="Arial" w:eastAsia="Arial" w:hAnsi="Arial"/>
                <w:sz w:val="13"/>
                <w:szCs w:val="13"/>
                <w:color w:val="auto"/>
              </w:rPr>
              <w:t>95.0</w:t>
            </w:r>
          </w:p>
        </w:tc>
        <w:tc>
          <w:tcPr>
            <w:tcW w:w="11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97.5</w:t>
            </w:r>
          </w:p>
        </w:tc>
        <w:tc>
          <w:tcPr>
            <w:tcW w:w="11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99.5</w:t>
            </w:r>
          </w:p>
        </w:tc>
        <w:tc>
          <w:tcPr>
            <w:tcW w:w="9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101.6</w:t>
            </w:r>
          </w:p>
        </w:tc>
        <w:tc>
          <w:tcPr>
            <w:tcW w:w="120" w:type="dxa"/>
            <w:vAlign w:val="bottom"/>
            <w:shd w:val="clear" w:color="auto" w:fill="CCEEFF"/>
          </w:tcPr>
          <w:p>
            <w:pPr>
              <w:spacing w:after="0"/>
              <w:rPr>
                <w:sz w:val="13"/>
                <w:szCs w:val="13"/>
                <w:color w:val="auto"/>
              </w:rPr>
            </w:pPr>
          </w:p>
        </w:tc>
        <w:tc>
          <w:tcPr>
            <w:tcW w:w="1440" w:type="dxa"/>
            <w:vAlign w:val="bottom"/>
          </w:tcPr>
          <w:p>
            <w:pPr>
              <w:spacing w:after="0"/>
              <w:rPr>
                <w:sz w:val="13"/>
                <w:szCs w:val="13"/>
                <w:color w:val="auto"/>
              </w:rPr>
            </w:pPr>
          </w:p>
        </w:tc>
      </w:tr>
      <w:tr>
        <w:trPr>
          <w:trHeight w:val="154"/>
        </w:trPr>
        <w:tc>
          <w:tcPr>
            <w:tcW w:w="1440" w:type="dxa"/>
            <w:vAlign w:val="bottom"/>
          </w:tcPr>
          <w:p>
            <w:pPr>
              <w:spacing w:after="0"/>
              <w:rPr>
                <w:sz w:val="13"/>
                <w:szCs w:val="13"/>
                <w:color w:val="auto"/>
              </w:rPr>
            </w:pPr>
          </w:p>
        </w:tc>
        <w:tc>
          <w:tcPr>
            <w:tcW w:w="1860" w:type="dxa"/>
            <w:vAlign w:val="bottom"/>
            <w:shd w:val="clear" w:color="auto" w:fill="CCEEFF"/>
          </w:tcPr>
          <w:p>
            <w:pPr>
              <w:jc w:val="center"/>
              <w:spacing w:after="0"/>
              <w:rPr>
                <w:sz w:val="20"/>
                <w:szCs w:val="20"/>
                <w:color w:val="auto"/>
              </w:rPr>
            </w:pPr>
            <w:r>
              <w:rPr>
                <w:rFonts w:ascii="Arial" w:cs="Arial" w:eastAsia="Arial" w:hAnsi="Arial"/>
                <w:sz w:val="13"/>
                <w:szCs w:val="13"/>
                <w:b w:val="1"/>
                <w:bCs w:val="1"/>
                <w:color w:val="auto"/>
                <w:w w:val="88"/>
              </w:rPr>
              <w:t>1973 = 100</w:t>
            </w:r>
          </w:p>
        </w:tc>
        <w:tc>
          <w:tcPr>
            <w:tcW w:w="8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center"/>
              <w:ind w:right="80"/>
              <w:spacing w:after="0"/>
              <w:rPr>
                <w:sz w:val="20"/>
                <w:szCs w:val="20"/>
                <w:color w:val="auto"/>
              </w:rPr>
            </w:pPr>
            <w:r>
              <w:rPr>
                <w:rFonts w:ascii="Arial" w:cs="Arial" w:eastAsia="Arial" w:hAnsi="Arial"/>
                <w:sz w:val="13"/>
                <w:szCs w:val="13"/>
                <w:b w:val="1"/>
                <w:bCs w:val="1"/>
                <w:color w:val="auto"/>
                <w:w w:val="87"/>
              </w:rPr>
              <w:t>Downside</w:t>
            </w: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98.6</w:t>
            </w:r>
          </w:p>
        </w:tc>
        <w:tc>
          <w:tcPr>
            <w:tcW w:w="1180" w:type="dxa"/>
            <w:vAlign w:val="bottom"/>
            <w:gridSpan w:val="3"/>
            <w:shd w:val="clear" w:color="auto" w:fill="CCEEFF"/>
          </w:tcPr>
          <w:p>
            <w:pPr>
              <w:jc w:val="right"/>
              <w:ind w:right="200"/>
              <w:spacing w:after="0"/>
              <w:rPr>
                <w:sz w:val="20"/>
                <w:szCs w:val="20"/>
                <w:color w:val="auto"/>
              </w:rPr>
            </w:pPr>
            <w:r>
              <w:rPr>
                <w:rFonts w:ascii="Arial" w:cs="Arial" w:eastAsia="Arial" w:hAnsi="Arial"/>
                <w:sz w:val="13"/>
                <w:szCs w:val="13"/>
                <w:color w:val="auto"/>
              </w:rPr>
              <w:t>103.0</w:t>
            </w:r>
          </w:p>
        </w:tc>
        <w:tc>
          <w:tcPr>
            <w:tcW w:w="11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105.5</w:t>
            </w:r>
          </w:p>
        </w:tc>
        <w:tc>
          <w:tcPr>
            <w:tcW w:w="9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107.5</w:t>
            </w:r>
          </w:p>
        </w:tc>
        <w:tc>
          <w:tcPr>
            <w:tcW w:w="180" w:type="dxa"/>
            <w:vAlign w:val="bottom"/>
            <w:shd w:val="clear" w:color="auto" w:fill="CCEEFF"/>
          </w:tcPr>
          <w:p>
            <w:pPr>
              <w:spacing w:after="0"/>
              <w:rPr>
                <w:sz w:val="13"/>
                <w:szCs w:val="13"/>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109.6</w:t>
            </w:r>
          </w:p>
        </w:tc>
        <w:tc>
          <w:tcPr>
            <w:tcW w:w="120" w:type="dxa"/>
            <w:vAlign w:val="bottom"/>
            <w:shd w:val="clear" w:color="auto" w:fill="CCEEFF"/>
          </w:tcPr>
          <w:p>
            <w:pPr>
              <w:spacing w:after="0"/>
              <w:rPr>
                <w:sz w:val="13"/>
                <w:szCs w:val="13"/>
                <w:color w:val="auto"/>
              </w:rPr>
            </w:pPr>
          </w:p>
        </w:tc>
        <w:tc>
          <w:tcPr>
            <w:tcW w:w="1440" w:type="dxa"/>
            <w:vAlign w:val="bottom"/>
          </w:tcPr>
          <w:p>
            <w:pPr>
              <w:spacing w:after="0"/>
              <w:rPr>
                <w:sz w:val="13"/>
                <w:szCs w:val="13"/>
                <w:color w:val="auto"/>
              </w:rPr>
            </w:pPr>
          </w:p>
        </w:tc>
      </w:tr>
      <w:tr>
        <w:trPr>
          <w:trHeight w:val="154"/>
        </w:trPr>
        <w:tc>
          <w:tcPr>
            <w:tcW w:w="1440" w:type="dxa"/>
            <w:vAlign w:val="bottom"/>
          </w:tcPr>
          <w:p>
            <w:pPr>
              <w:spacing w:after="0"/>
              <w:rPr>
                <w:sz w:val="13"/>
                <w:szCs w:val="13"/>
                <w:color w:val="auto"/>
              </w:rPr>
            </w:pPr>
          </w:p>
        </w:tc>
        <w:tc>
          <w:tcPr>
            <w:tcW w:w="18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40" w:type="dxa"/>
            <w:vAlign w:val="bottom"/>
          </w:tcPr>
          <w:p>
            <w:pPr>
              <w:spacing w:after="0"/>
              <w:rPr>
                <w:sz w:val="13"/>
                <w:szCs w:val="13"/>
                <w:color w:val="auto"/>
              </w:rPr>
            </w:pPr>
          </w:p>
        </w:tc>
      </w:tr>
      <w:tr>
        <w:trPr>
          <w:trHeight w:val="154"/>
        </w:trPr>
        <w:tc>
          <w:tcPr>
            <w:tcW w:w="1440" w:type="dxa"/>
            <w:vAlign w:val="bottom"/>
          </w:tcPr>
          <w:p>
            <w:pPr>
              <w:spacing w:after="0"/>
              <w:rPr>
                <w:sz w:val="13"/>
                <w:szCs w:val="13"/>
                <w:color w:val="auto"/>
              </w:rPr>
            </w:pPr>
          </w:p>
        </w:tc>
        <w:tc>
          <w:tcPr>
            <w:tcW w:w="1860" w:type="dxa"/>
            <w:vAlign w:val="bottom"/>
            <w:shd w:val="clear" w:color="auto" w:fill="CCEEFF"/>
          </w:tcPr>
          <w:p>
            <w:pPr>
              <w:jc w:val="center"/>
              <w:spacing w:after="0"/>
              <w:rPr>
                <w:sz w:val="20"/>
                <w:szCs w:val="20"/>
                <w:color w:val="auto"/>
              </w:rPr>
            </w:pPr>
            <w:r>
              <w:rPr>
                <w:rFonts w:ascii="Arial" w:cs="Arial" w:eastAsia="Arial" w:hAnsi="Arial"/>
                <w:sz w:val="13"/>
                <w:szCs w:val="13"/>
                <w:b w:val="1"/>
                <w:bCs w:val="1"/>
                <w:color w:val="auto"/>
                <w:w w:val="98"/>
              </w:rPr>
              <w:t>PMI Index</w:t>
            </w:r>
          </w:p>
        </w:tc>
        <w:tc>
          <w:tcPr>
            <w:tcW w:w="8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center"/>
              <w:ind w:right="80"/>
              <w:spacing w:after="0"/>
              <w:rPr>
                <w:sz w:val="20"/>
                <w:szCs w:val="20"/>
                <w:color w:val="auto"/>
              </w:rPr>
            </w:pPr>
            <w:r>
              <w:rPr>
                <w:rFonts w:ascii="Arial" w:cs="Arial" w:eastAsia="Arial" w:hAnsi="Arial"/>
                <w:sz w:val="13"/>
                <w:szCs w:val="13"/>
                <w:b w:val="1"/>
                <w:bCs w:val="1"/>
                <w:color w:val="auto"/>
                <w:w w:val="93"/>
              </w:rPr>
              <w:t>Central</w:t>
            </w: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51.0</w:t>
            </w:r>
          </w:p>
        </w:tc>
        <w:tc>
          <w:tcPr>
            <w:tcW w:w="1180" w:type="dxa"/>
            <w:vAlign w:val="bottom"/>
            <w:gridSpan w:val="3"/>
            <w:shd w:val="clear" w:color="auto" w:fill="CCEEFF"/>
          </w:tcPr>
          <w:p>
            <w:pPr>
              <w:jc w:val="right"/>
              <w:ind w:right="200"/>
              <w:spacing w:after="0"/>
              <w:rPr>
                <w:sz w:val="20"/>
                <w:szCs w:val="20"/>
                <w:color w:val="auto"/>
              </w:rPr>
            </w:pPr>
            <w:r>
              <w:rPr>
                <w:rFonts w:ascii="Arial" w:cs="Arial" w:eastAsia="Arial" w:hAnsi="Arial"/>
                <w:sz w:val="13"/>
                <w:szCs w:val="13"/>
                <w:color w:val="auto"/>
              </w:rPr>
              <w:t>50.5</w:t>
            </w:r>
          </w:p>
        </w:tc>
        <w:tc>
          <w:tcPr>
            <w:tcW w:w="11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50.4</w:t>
            </w:r>
          </w:p>
        </w:tc>
        <w:tc>
          <w:tcPr>
            <w:tcW w:w="11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50.3</w:t>
            </w: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50.1</w:t>
            </w:r>
          </w:p>
        </w:tc>
        <w:tc>
          <w:tcPr>
            <w:tcW w:w="1440" w:type="dxa"/>
            <w:vAlign w:val="bottom"/>
          </w:tcPr>
          <w:p>
            <w:pPr>
              <w:spacing w:after="0"/>
              <w:rPr>
                <w:sz w:val="13"/>
                <w:szCs w:val="13"/>
                <w:color w:val="auto"/>
              </w:rPr>
            </w:pPr>
          </w:p>
        </w:tc>
      </w:tr>
      <w:tr>
        <w:trPr>
          <w:trHeight w:val="154"/>
        </w:trPr>
        <w:tc>
          <w:tcPr>
            <w:tcW w:w="1440" w:type="dxa"/>
            <w:vAlign w:val="bottom"/>
          </w:tcPr>
          <w:p>
            <w:pPr>
              <w:spacing w:after="0"/>
              <w:rPr>
                <w:sz w:val="13"/>
                <w:szCs w:val="13"/>
                <w:color w:val="auto"/>
              </w:rPr>
            </w:pPr>
          </w:p>
        </w:tc>
        <w:tc>
          <w:tcPr>
            <w:tcW w:w="186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center"/>
              <w:ind w:right="80"/>
              <w:spacing w:after="0"/>
              <w:rPr>
                <w:sz w:val="20"/>
                <w:szCs w:val="20"/>
                <w:color w:val="auto"/>
              </w:rPr>
            </w:pPr>
            <w:r>
              <w:rPr>
                <w:rFonts w:ascii="Arial" w:cs="Arial" w:eastAsia="Arial" w:hAnsi="Arial"/>
                <w:sz w:val="13"/>
                <w:szCs w:val="13"/>
                <w:b w:val="1"/>
                <w:bCs w:val="1"/>
                <w:color w:val="auto"/>
                <w:w w:val="87"/>
              </w:rPr>
              <w:t>Upside</w:t>
            </w: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53.3</w:t>
            </w:r>
          </w:p>
        </w:tc>
        <w:tc>
          <w:tcPr>
            <w:tcW w:w="1180" w:type="dxa"/>
            <w:vAlign w:val="bottom"/>
            <w:gridSpan w:val="3"/>
            <w:shd w:val="clear" w:color="auto" w:fill="CCEEFF"/>
          </w:tcPr>
          <w:p>
            <w:pPr>
              <w:jc w:val="right"/>
              <w:ind w:right="200"/>
              <w:spacing w:after="0"/>
              <w:rPr>
                <w:sz w:val="20"/>
                <w:szCs w:val="20"/>
                <w:color w:val="auto"/>
              </w:rPr>
            </w:pPr>
            <w:r>
              <w:rPr>
                <w:rFonts w:ascii="Arial" w:cs="Arial" w:eastAsia="Arial" w:hAnsi="Arial"/>
                <w:sz w:val="13"/>
                <w:szCs w:val="13"/>
                <w:color w:val="auto"/>
              </w:rPr>
              <w:t>54.5</w:t>
            </w:r>
          </w:p>
        </w:tc>
        <w:tc>
          <w:tcPr>
            <w:tcW w:w="11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55.2</w:t>
            </w:r>
          </w:p>
        </w:tc>
        <w:tc>
          <w:tcPr>
            <w:tcW w:w="11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55.7</w:t>
            </w: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56.1</w:t>
            </w:r>
          </w:p>
        </w:tc>
        <w:tc>
          <w:tcPr>
            <w:tcW w:w="1440" w:type="dxa"/>
            <w:vAlign w:val="bottom"/>
          </w:tcPr>
          <w:p>
            <w:pPr>
              <w:spacing w:after="0"/>
              <w:rPr>
                <w:sz w:val="13"/>
                <w:szCs w:val="13"/>
                <w:color w:val="auto"/>
              </w:rPr>
            </w:pPr>
          </w:p>
        </w:tc>
      </w:tr>
      <w:tr>
        <w:trPr>
          <w:trHeight w:val="154"/>
        </w:trPr>
        <w:tc>
          <w:tcPr>
            <w:tcW w:w="1440" w:type="dxa"/>
            <w:vAlign w:val="bottom"/>
          </w:tcPr>
          <w:p>
            <w:pPr>
              <w:spacing w:after="0"/>
              <w:rPr>
                <w:sz w:val="13"/>
                <w:szCs w:val="13"/>
                <w:color w:val="auto"/>
              </w:rPr>
            </w:pPr>
          </w:p>
        </w:tc>
        <w:tc>
          <w:tcPr>
            <w:tcW w:w="186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100" w:type="dxa"/>
            <w:vAlign w:val="bottom"/>
            <w:gridSpan w:val="2"/>
            <w:shd w:val="clear" w:color="auto" w:fill="CCEEFF"/>
          </w:tcPr>
          <w:p>
            <w:pPr>
              <w:jc w:val="center"/>
              <w:ind w:right="80"/>
              <w:spacing w:after="0"/>
              <w:rPr>
                <w:sz w:val="20"/>
                <w:szCs w:val="20"/>
                <w:color w:val="auto"/>
              </w:rPr>
            </w:pPr>
            <w:r>
              <w:rPr>
                <w:rFonts w:ascii="Arial" w:cs="Arial" w:eastAsia="Arial" w:hAnsi="Arial"/>
                <w:sz w:val="13"/>
                <w:szCs w:val="13"/>
                <w:b w:val="1"/>
                <w:bCs w:val="1"/>
                <w:color w:val="auto"/>
                <w:w w:val="87"/>
              </w:rPr>
              <w:t>Downside</w:t>
            </w: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50.1</w:t>
            </w:r>
          </w:p>
        </w:tc>
        <w:tc>
          <w:tcPr>
            <w:tcW w:w="1180" w:type="dxa"/>
            <w:vAlign w:val="bottom"/>
            <w:gridSpan w:val="3"/>
            <w:shd w:val="clear" w:color="auto" w:fill="CCEEFF"/>
          </w:tcPr>
          <w:p>
            <w:pPr>
              <w:jc w:val="right"/>
              <w:ind w:right="200"/>
              <w:spacing w:after="0"/>
              <w:rPr>
                <w:sz w:val="20"/>
                <w:szCs w:val="20"/>
                <w:color w:val="auto"/>
              </w:rPr>
            </w:pPr>
            <w:r>
              <w:rPr>
                <w:rFonts w:ascii="Arial" w:cs="Arial" w:eastAsia="Arial" w:hAnsi="Arial"/>
                <w:sz w:val="13"/>
                <w:szCs w:val="13"/>
                <w:color w:val="auto"/>
              </w:rPr>
              <w:t>48.9</w:t>
            </w:r>
          </w:p>
        </w:tc>
        <w:tc>
          <w:tcPr>
            <w:tcW w:w="112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48.4</w:t>
            </w:r>
          </w:p>
        </w:tc>
        <w:tc>
          <w:tcPr>
            <w:tcW w:w="11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48.0</w:t>
            </w: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47.7</w:t>
            </w:r>
          </w:p>
        </w:tc>
        <w:tc>
          <w:tcPr>
            <w:tcW w:w="1440" w:type="dxa"/>
            <w:vAlign w:val="bottom"/>
          </w:tcPr>
          <w:p>
            <w:pPr>
              <w:spacing w:after="0"/>
              <w:rPr>
                <w:sz w:val="13"/>
                <w:szCs w:val="13"/>
                <w:color w:val="auto"/>
              </w:rPr>
            </w:pPr>
          </w:p>
        </w:tc>
      </w:tr>
      <w:tr>
        <w:trPr>
          <w:trHeight w:val="457"/>
        </w:trPr>
        <w:tc>
          <w:tcPr>
            <w:tcW w:w="1440" w:type="dxa"/>
            <w:vAlign w:val="bottom"/>
            <w:tcBorders>
              <w:bottom w:val="single" w:sz="8" w:color="auto"/>
            </w:tcBorders>
          </w:tcPr>
          <w:p>
            <w:pPr>
              <w:spacing w:after="0"/>
              <w:rPr>
                <w:sz w:val="24"/>
                <w:szCs w:val="24"/>
                <w:color w:val="auto"/>
              </w:rPr>
            </w:pPr>
          </w:p>
        </w:tc>
        <w:tc>
          <w:tcPr>
            <w:tcW w:w="18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gridSpan w:val="3"/>
          </w:tcPr>
          <w:p>
            <w:pPr>
              <w:jc w:val="right"/>
              <w:ind w:right="840"/>
              <w:spacing w:after="0"/>
              <w:rPr>
                <w:sz w:val="20"/>
                <w:szCs w:val="20"/>
                <w:color w:val="auto"/>
              </w:rPr>
            </w:pPr>
            <w:r>
              <w:rPr>
                <w:rFonts w:ascii="Arial" w:cs="Arial" w:eastAsia="Arial" w:hAnsi="Arial"/>
                <w:sz w:val="13"/>
                <w:szCs w:val="13"/>
                <w:color w:val="auto"/>
                <w:w w:val="94"/>
              </w:rPr>
              <w:t>F-100</w:t>
            </w:r>
          </w:p>
        </w:tc>
        <w:tc>
          <w:tcPr>
            <w:tcW w:w="9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440" w:type="dxa"/>
            <w:vAlign w:val="bottom"/>
            <w:tcBorders>
              <w:bottom w:val="single" w:sz="8" w:color="auto"/>
            </w:tcBorders>
          </w:tcPr>
          <w:p>
            <w:pPr>
              <w:spacing w:after="0"/>
              <w:rPr>
                <w:sz w:val="24"/>
                <w:szCs w:val="24"/>
                <w:color w:val="auto"/>
              </w:rPr>
            </w:pPr>
          </w:p>
        </w:tc>
      </w:tr>
    </w:tbl>
    <w:p>
      <w:pPr>
        <w:sectPr>
          <w:pgSz w:w="11900" w:h="16838" w:orient="portrait"/>
          <w:cols w:equalWidth="0" w:num="1">
            <w:col w:w="11483"/>
          </w:cols>
          <w:pgMar w:left="217" w:top="685" w:right="199" w:bottom="1440" w:gutter="0" w:footer="0" w:header="0"/>
        </w:sectPr>
      </w:pPr>
    </w:p>
    <w:bookmarkStart w:id="225" w:name="page226"/>
    <w:bookmarkEnd w:id="225"/>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38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right="9600" w:hanging="223"/>
        <w:spacing w:after="0" w:line="497" w:lineRule="auto"/>
        <w:tabs>
          <w:tab w:leader="none" w:pos="223" w:val="left"/>
        </w:tabs>
        <w:numPr>
          <w:ilvl w:val="0"/>
          <w:numId w:val="195"/>
        </w:numPr>
        <w:rPr>
          <w:rFonts w:ascii="Arial" w:cs="Arial" w:eastAsia="Arial" w:hAnsi="Arial"/>
          <w:sz w:val="13"/>
          <w:szCs w:val="13"/>
          <w:b w:val="1"/>
          <w:bCs w:val="1"/>
          <w:color w:val="auto"/>
        </w:rPr>
      </w:pPr>
      <w:r>
        <w:rPr>
          <w:rFonts w:ascii="Arial" w:cs="Arial" w:eastAsia="Arial" w:hAnsi="Arial"/>
          <w:sz w:val="13"/>
          <w:szCs w:val="13"/>
          <w:b w:val="1"/>
          <w:bCs w:val="1"/>
          <w:color w:val="auto"/>
        </w:rPr>
        <w:t>Risk management (continued) Liquidity risk</w:t>
      </w: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Liquidity refers to the Bank’s ability to maintain adequate cash flows to fund operations and meet obligations and other commitments on a timely basis.</w:t>
      </w:r>
    </w:p>
    <w:p>
      <w:pPr>
        <w:spacing w:after="0" w:line="158" w:lineRule="exact"/>
        <w:rPr>
          <w:rFonts w:ascii="Arial" w:cs="Arial" w:eastAsia="Arial" w:hAnsi="Arial"/>
          <w:sz w:val="13"/>
          <w:szCs w:val="13"/>
          <w:b w:val="1"/>
          <w:bCs w:val="1"/>
          <w:color w:val="auto"/>
        </w:rPr>
      </w:pPr>
    </w:p>
    <w:p>
      <w:pPr>
        <w:jc w:val="both"/>
        <w:ind w:left="223"/>
        <w:spacing w:after="0" w:line="254" w:lineRule="auto"/>
        <w:rPr>
          <w:rFonts w:ascii="Arial" w:cs="Arial" w:eastAsia="Arial" w:hAnsi="Arial"/>
          <w:sz w:val="13"/>
          <w:szCs w:val="13"/>
          <w:b w:val="1"/>
          <w:bCs w:val="1"/>
          <w:color w:val="auto"/>
        </w:rPr>
      </w:pPr>
      <w:r>
        <w:rPr>
          <w:rFonts w:ascii="Arial" w:cs="Arial" w:eastAsia="Arial" w:hAnsi="Arial"/>
          <w:sz w:val="13"/>
          <w:szCs w:val="13"/>
          <w:color w:val="auto"/>
        </w:rPr>
        <w:t>As established by the Bank’s liquidity policy, the Bank’s liquid assets are held in overnight deposits with the Federal Reserve Bank of New York or in the form of interbank deposits with reputable international banks that have A1, P1, or F1 ratings from two of the major internationally – recognized rating agencies and are primarily located outside of the Region. In addition, the Bank’s liquidity policy allows for investing in negotiable money market instruments, including Euro certificates of deposit, commercial paper, and other liquid instruments with maturities of up to three years. These instruments must be of investment grade quality A or better, must have a liquid secondary market and be considered as such according to Basel III rules.</w:t>
      </w:r>
    </w:p>
    <w:p>
      <w:pPr>
        <w:spacing w:after="0" w:line="137" w:lineRule="exact"/>
        <w:rPr>
          <w:rFonts w:ascii="Arial" w:cs="Arial" w:eastAsia="Arial" w:hAnsi="Arial"/>
          <w:sz w:val="13"/>
          <w:szCs w:val="13"/>
          <w:b w:val="1"/>
          <w:bCs w:val="1"/>
          <w:color w:val="auto"/>
        </w:rPr>
      </w:pPr>
    </w:p>
    <w:p>
      <w:pPr>
        <w:jc w:val="both"/>
        <w:ind w:left="223"/>
        <w:spacing w:after="0" w:line="257" w:lineRule="auto"/>
        <w:rPr>
          <w:rFonts w:ascii="Arial" w:cs="Arial" w:eastAsia="Arial" w:hAnsi="Arial"/>
          <w:sz w:val="13"/>
          <w:szCs w:val="13"/>
          <w:b w:val="1"/>
          <w:bCs w:val="1"/>
          <w:color w:val="auto"/>
        </w:rPr>
      </w:pPr>
      <w:r>
        <w:rPr>
          <w:rFonts w:ascii="Arial" w:cs="Arial" w:eastAsia="Arial" w:hAnsi="Arial"/>
          <w:sz w:val="13"/>
          <w:szCs w:val="13"/>
          <w:color w:val="auto"/>
        </w:rPr>
        <w:t>The Bank performs daily reviews, controls and periodic stress tests on its liquidity position, including the application of a series of limits to restrict its overall liquidity risk and to monitor the liquidity level according to the macroeconomic environment. The Bank determines the level of liquid assets to be held on a daily basis, by adopting a Liquidity Coverage Ratio methodology referencing the Basel Committee guidelines. Additionally, the Liquidity Coverage Ratio is complemented with the use of the Net Stable Funding Ratio (NSFR) to maintain an adequate long-term funding structure</w:t>
      </w:r>
      <w:r>
        <w:rPr>
          <w:rFonts w:ascii="Arial" w:cs="Arial" w:eastAsia="Arial" w:hAnsi="Arial"/>
          <w:sz w:val="13"/>
          <w:szCs w:val="13"/>
          <w:color w:val="222222"/>
        </w:rPr>
        <w:t>.</w:t>
      </w:r>
    </w:p>
    <w:p>
      <w:pPr>
        <w:spacing w:after="0" w:line="135" w:lineRule="exact"/>
        <w:rPr>
          <w:rFonts w:ascii="Arial" w:cs="Arial" w:eastAsia="Arial" w:hAnsi="Arial"/>
          <w:sz w:val="13"/>
          <w:szCs w:val="13"/>
          <w:b w:val="1"/>
          <w:bCs w:val="1"/>
          <w:color w:val="auto"/>
        </w:rPr>
      </w:pP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Specific limits have been established to control (1) cumulative maturity “gaps” between assets and liabilities, for each maturity classification presented in the Bank’s internal liquidity reports, and (2) concentrations of deposits taken from any client or Dmdeconomic group maturing in one day and total maximum deposits maturing in one day.</w:t>
      </w:r>
    </w:p>
    <w:p>
      <w:pPr>
        <w:spacing w:after="0" w:line="129" w:lineRule="exact"/>
        <w:rPr>
          <w:rFonts w:ascii="Arial" w:cs="Arial" w:eastAsia="Arial" w:hAnsi="Arial"/>
          <w:sz w:val="13"/>
          <w:szCs w:val="13"/>
          <w:b w:val="1"/>
          <w:bCs w:val="1"/>
          <w:color w:val="auto"/>
        </w:rPr>
      </w:pPr>
    </w:p>
    <w:p>
      <w:pPr>
        <w:jc w:val="both"/>
        <w:ind w:left="223"/>
        <w:spacing w:after="0" w:line="257" w:lineRule="auto"/>
        <w:rPr>
          <w:rFonts w:ascii="Arial" w:cs="Arial" w:eastAsia="Arial" w:hAnsi="Arial"/>
          <w:sz w:val="13"/>
          <w:szCs w:val="13"/>
          <w:b w:val="1"/>
          <w:bCs w:val="1"/>
          <w:color w:val="auto"/>
        </w:rPr>
      </w:pPr>
      <w:r>
        <w:rPr>
          <w:rFonts w:ascii="Arial" w:cs="Arial" w:eastAsia="Arial" w:hAnsi="Arial"/>
          <w:sz w:val="13"/>
          <w:szCs w:val="13"/>
          <w:color w:val="auto"/>
        </w:rPr>
        <w:t>The Bank follows a Contingent Liquidity Plan. The plan contemplates the regular monitoring of several quantified internal and external reference benchmarks (such as deposit level, Emerging Markets Bonds Index Plus, LIBOR-OIS spread and market interest rates), which in cases of high volatility would trigger implementation of a series of precautionary measures to reinforce the Bank’s liquidity position. In the Bank’s opinion, its liquidity position is adequate for the Bank’s present requirements.</w:t>
      </w:r>
    </w:p>
    <w:p>
      <w:pPr>
        <w:sectPr>
          <w:pgSz w:w="11900" w:h="16838" w:orient="portrait"/>
          <w:cols w:equalWidth="0" w:num="1">
            <w:col w:w="11483"/>
          </w:cols>
          <w:pgMar w:left="217" w:top="675" w:right="199" w:bottom="1440" w:gutter="0" w:footer="0" w:header="0"/>
        </w:sectPr>
      </w:pPr>
    </w:p>
    <w:p>
      <w:pPr>
        <w:spacing w:after="0" w:line="136" w:lineRule="exact"/>
        <w:rPr>
          <w:sz w:val="20"/>
          <w:szCs w:val="20"/>
          <w:color w:val="auto"/>
        </w:rPr>
      </w:pPr>
    </w:p>
    <w:p>
      <w:pPr>
        <w:ind w:left="223"/>
        <w:spacing w:after="0"/>
        <w:rPr>
          <w:sz w:val="20"/>
          <w:szCs w:val="20"/>
          <w:color w:val="auto"/>
        </w:rPr>
      </w:pPr>
      <w:r>
        <w:rPr>
          <w:rFonts w:ascii="Arial" w:cs="Arial" w:eastAsia="Arial" w:hAnsi="Arial"/>
          <w:sz w:val="11"/>
          <w:szCs w:val="11"/>
          <w:color w:val="auto"/>
        </w:rPr>
        <w:t>The following table shows the Bank’s liquid assets, by principal geographic area:</w:t>
      </w:r>
    </w:p>
    <w:p>
      <w:pPr>
        <w:spacing w:after="0" w:line="355" w:lineRule="exact"/>
        <w:rPr>
          <w:sz w:val="20"/>
          <w:szCs w:val="20"/>
          <w:color w:val="auto"/>
        </w:rPr>
      </w:pPr>
    </w:p>
    <w:p>
      <w:pPr>
        <w:ind w:left="863"/>
        <w:spacing w:after="0"/>
        <w:rPr>
          <w:sz w:val="20"/>
          <w:szCs w:val="20"/>
          <w:color w:val="auto"/>
        </w:rPr>
      </w:pPr>
      <w:r>
        <w:rPr>
          <w:rFonts w:ascii="Arial" w:cs="Arial" w:eastAsia="Arial" w:hAnsi="Arial"/>
          <w:sz w:val="13"/>
          <w:szCs w:val="13"/>
          <w:b w:val="1"/>
          <w:bCs w:val="1"/>
          <w:i w:val="1"/>
          <w:iCs w:val="1"/>
          <w:color w:val="auto"/>
        </w:rPr>
        <w:t>(in million of US$)</w:t>
      </w:r>
    </w:p>
    <w:p>
      <w:pPr>
        <w:spacing w:after="0" w:line="178" w:lineRule="exact"/>
        <w:rPr>
          <w:sz w:val="20"/>
          <w:szCs w:val="20"/>
          <w:color w:val="auto"/>
        </w:rPr>
      </w:pPr>
    </w:p>
    <w:p>
      <w:pPr>
        <w:ind w:left="863"/>
        <w:spacing w:after="0"/>
        <w:rPr>
          <w:sz w:val="20"/>
          <w:szCs w:val="20"/>
          <w:color w:val="auto"/>
        </w:rPr>
      </w:pPr>
      <w:r>
        <w:rPr>
          <w:rFonts w:ascii="Arial" w:cs="Arial" w:eastAsia="Arial" w:hAnsi="Arial"/>
          <w:sz w:val="13"/>
          <w:szCs w:val="13"/>
          <w:color w:val="auto"/>
        </w:rPr>
        <w:t>United States of America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549910</wp:posOffset>
            </wp:positionH>
            <wp:positionV relativeFrom="paragraph">
              <wp:posOffset>-88900</wp:posOffset>
            </wp:positionV>
            <wp:extent cx="6191885" cy="97790"/>
            <wp:wrapNone/>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387">
                      <a:extLst>
                        <a:ext uri="{28A0092B-C50C-407E-A947-70E740481C1C}"/>
                      </a:extLst>
                    </a:blip>
                    <a:srcRect/>
                    <a:stretch>
                      <a:fillRect/>
                    </a:stretch>
                  </pic:blipFill>
                  <pic:spPr bwMode="auto">
                    <a:xfrm>
                      <a:off x="0" y="0"/>
                      <a:ext cx="6191885" cy="97790"/>
                    </a:xfrm>
                    <a:prstGeom prst="rect">
                      <a:avLst/>
                    </a:prstGeom>
                    <a:noFill/>
                  </pic:spPr>
                </pic:pic>
              </a:graphicData>
            </a:graphic>
          </wp:anchor>
        </w:drawing>
      </w:r>
    </w:p>
    <w:p>
      <w:pPr>
        <w:ind w:left="863"/>
        <w:spacing w:after="0"/>
        <w:rPr>
          <w:sz w:val="20"/>
          <w:szCs w:val="20"/>
          <w:color w:val="auto"/>
        </w:rPr>
      </w:pPr>
      <w:r>
        <w:rPr>
          <w:rFonts w:ascii="Arial" w:cs="Arial" w:eastAsia="Arial" w:hAnsi="Arial"/>
          <w:sz w:val="13"/>
          <w:szCs w:val="13"/>
          <w:color w:val="auto"/>
        </w:rPr>
        <w:t>Others O.E.C.D.countries</w:t>
      </w:r>
    </w:p>
    <w:p>
      <w:pPr>
        <w:spacing w:after="0" w:line="5" w:lineRule="exact"/>
        <w:rPr>
          <w:sz w:val="20"/>
          <w:szCs w:val="20"/>
          <w:color w:val="auto"/>
        </w:rPr>
      </w:pPr>
    </w:p>
    <w:p>
      <w:pPr>
        <w:ind w:left="863"/>
        <w:spacing w:after="0"/>
        <w:rPr>
          <w:sz w:val="20"/>
          <w:szCs w:val="20"/>
          <w:color w:val="auto"/>
        </w:rPr>
      </w:pPr>
      <w:r>
        <w:rPr>
          <w:rFonts w:ascii="Arial" w:cs="Arial" w:eastAsia="Arial" w:hAnsi="Arial"/>
          <w:sz w:val="13"/>
          <w:szCs w:val="13"/>
          <w:color w:val="auto"/>
        </w:rPr>
        <w:t>Latin America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549910</wp:posOffset>
            </wp:positionH>
            <wp:positionV relativeFrom="paragraph">
              <wp:posOffset>-93980</wp:posOffset>
            </wp:positionV>
            <wp:extent cx="6191885" cy="104140"/>
            <wp:wrapNone/>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388">
                      <a:extLst>
                        <a:ext uri="{28A0092B-C50C-407E-A947-70E740481C1C}"/>
                      </a:extLst>
                    </a:blip>
                    <a:srcRect/>
                    <a:stretch>
                      <a:fillRect/>
                    </a:stretch>
                  </pic:blipFill>
                  <pic:spPr bwMode="auto">
                    <a:xfrm>
                      <a:off x="0" y="0"/>
                      <a:ext cx="6191885" cy="104140"/>
                    </a:xfrm>
                    <a:prstGeom prst="rect">
                      <a:avLst/>
                    </a:prstGeom>
                    <a:noFill/>
                  </pic:spPr>
                </pic:pic>
              </a:graphicData>
            </a:graphic>
          </wp:anchor>
        </w:drawing>
      </w:r>
    </w:p>
    <w:p>
      <w:pPr>
        <w:ind w:left="863"/>
        <w:spacing w:after="0"/>
        <w:rPr>
          <w:sz w:val="20"/>
          <w:szCs w:val="20"/>
          <w:color w:val="auto"/>
        </w:rPr>
      </w:pPr>
      <w:r>
        <w:rPr>
          <w:rFonts w:ascii="Arial" w:cs="Arial" w:eastAsia="Arial" w:hAnsi="Arial"/>
          <w:sz w:val="13"/>
          <w:szCs w:val="13"/>
          <w:b w:val="1"/>
          <w:bCs w:val="1"/>
          <w:color w:val="auto"/>
        </w:rPr>
        <w:t>Total</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29" w:lineRule="exact"/>
        <w:rPr>
          <w:sz w:val="20"/>
          <w:szCs w:val="20"/>
          <w:color w:val="auto"/>
        </w:rPr>
      </w:pPr>
    </w:p>
    <w:p>
      <w:pPr>
        <w:ind w:left="980"/>
        <w:spacing w:after="0"/>
        <w:rPr>
          <w:sz w:val="20"/>
          <w:szCs w:val="20"/>
          <w:color w:val="auto"/>
        </w:rPr>
      </w:pPr>
      <w:r>
        <w:rPr>
          <w:rFonts w:ascii="Arial" w:cs="Arial" w:eastAsia="Arial" w:hAnsi="Arial"/>
          <w:sz w:val="13"/>
          <w:szCs w:val="13"/>
          <w:b w:val="1"/>
          <w:bCs w:val="1"/>
          <w:color w:val="auto"/>
        </w:rPr>
        <w:t>December 31,</w:t>
      </w:r>
    </w:p>
    <w:p>
      <w:pPr>
        <w:spacing w:after="0" w:line="17" w:lineRule="exact"/>
        <w:rPr>
          <w:sz w:val="20"/>
          <w:szCs w:val="20"/>
          <w:color w:val="auto"/>
        </w:rPr>
      </w:pPr>
    </w:p>
    <w:tbl>
      <w:tblPr>
        <w:tblLayout w:type="fixed"/>
        <w:tblInd w:w="0" w:type="dxa"/>
        <w:tblCellMar>
          <w:top w:w="0" w:type="dxa"/>
          <w:left w:w="0" w:type="dxa"/>
          <w:bottom w:w="0" w:type="dxa"/>
          <w:right w:w="0" w:type="dxa"/>
        </w:tblCellMar>
      </w:tblPr>
      <w:tr>
        <w:trPr>
          <w:trHeight w:val="154"/>
        </w:trPr>
        <w:tc>
          <w:tcPr>
            <w:tcW w:w="1260" w:type="dxa"/>
            <w:vAlign w:val="bottom"/>
            <w:tcBorders>
              <w:top w:val="single" w:sz="8" w:color="auto"/>
              <w:bottom w:val="single" w:sz="8" w:color="auto"/>
            </w:tcBorders>
          </w:tcPr>
          <w:p>
            <w:pPr>
              <w:jc w:val="right"/>
              <w:ind w:right="436"/>
              <w:spacing w:after="0"/>
              <w:rPr>
                <w:sz w:val="20"/>
                <w:szCs w:val="20"/>
                <w:color w:val="auto"/>
              </w:rPr>
            </w:pPr>
            <w:r>
              <w:rPr>
                <w:rFonts w:ascii="Arial" w:cs="Arial" w:eastAsia="Arial" w:hAnsi="Arial"/>
                <w:sz w:val="13"/>
                <w:szCs w:val="13"/>
                <w:b w:val="1"/>
                <w:bCs w:val="1"/>
                <w:color w:val="auto"/>
              </w:rPr>
              <w:t>2018</w:t>
            </w:r>
          </w:p>
        </w:tc>
        <w:tc>
          <w:tcPr>
            <w:tcW w:w="200" w:type="dxa"/>
            <w:vAlign w:val="bottom"/>
            <w:tcBorders>
              <w:top w:val="single" w:sz="8" w:color="auto"/>
            </w:tcBorders>
          </w:tcPr>
          <w:p>
            <w:pPr>
              <w:spacing w:after="0"/>
              <w:rPr>
                <w:sz w:val="13"/>
                <w:szCs w:val="13"/>
                <w:color w:val="auto"/>
              </w:rPr>
            </w:pPr>
          </w:p>
        </w:tc>
        <w:tc>
          <w:tcPr>
            <w:tcW w:w="1260" w:type="dxa"/>
            <w:vAlign w:val="bottom"/>
            <w:tcBorders>
              <w:top w:val="single" w:sz="8" w:color="auto"/>
              <w:bottom w:val="single" w:sz="8" w:color="auto"/>
            </w:tcBorders>
          </w:tcPr>
          <w:p>
            <w:pPr>
              <w:jc w:val="right"/>
              <w:ind w:right="436"/>
              <w:spacing w:after="0"/>
              <w:rPr>
                <w:sz w:val="20"/>
                <w:szCs w:val="20"/>
                <w:color w:val="auto"/>
              </w:rPr>
            </w:pPr>
            <w:r>
              <w:rPr>
                <w:rFonts w:ascii="Arial" w:cs="Arial" w:eastAsia="Arial" w:hAnsi="Arial"/>
                <w:sz w:val="13"/>
                <w:szCs w:val="13"/>
                <w:b w:val="1"/>
                <w:bCs w:val="1"/>
                <w:color w:val="auto"/>
              </w:rPr>
              <w:t>2017</w:t>
            </w:r>
          </w:p>
        </w:tc>
      </w:tr>
      <w:tr>
        <w:trPr>
          <w:trHeight w:val="289"/>
        </w:trPr>
        <w:tc>
          <w:tcPr>
            <w:tcW w:w="1260" w:type="dxa"/>
            <w:vAlign w:val="bottom"/>
          </w:tcPr>
          <w:p>
            <w:pPr>
              <w:jc w:val="right"/>
              <w:spacing w:after="0"/>
              <w:rPr>
                <w:sz w:val="20"/>
                <w:szCs w:val="20"/>
                <w:color w:val="auto"/>
              </w:rPr>
            </w:pPr>
            <w:r>
              <w:rPr>
                <w:rFonts w:ascii="Arial" w:cs="Arial" w:eastAsia="Arial" w:hAnsi="Arial"/>
                <w:sz w:val="13"/>
                <w:szCs w:val="13"/>
                <w:color w:val="auto"/>
              </w:rPr>
              <w:t>1,650</w:t>
            </w:r>
          </w:p>
        </w:tc>
        <w:tc>
          <w:tcPr>
            <w:tcW w:w="200" w:type="dxa"/>
            <w:vAlign w:val="bottom"/>
          </w:tcPr>
          <w:p>
            <w:pPr>
              <w:spacing w:after="0"/>
              <w:rPr>
                <w:sz w:val="24"/>
                <w:szCs w:val="24"/>
                <w:color w:val="auto"/>
              </w:rPr>
            </w:pPr>
          </w:p>
        </w:tc>
        <w:tc>
          <w:tcPr>
            <w:tcW w:w="1260" w:type="dxa"/>
            <w:vAlign w:val="bottom"/>
          </w:tcPr>
          <w:p>
            <w:pPr>
              <w:jc w:val="right"/>
              <w:spacing w:after="0"/>
              <w:rPr>
                <w:sz w:val="20"/>
                <w:szCs w:val="20"/>
                <w:color w:val="auto"/>
              </w:rPr>
            </w:pPr>
            <w:r>
              <w:rPr>
                <w:rFonts w:ascii="Arial" w:cs="Arial" w:eastAsia="Arial" w:hAnsi="Arial"/>
                <w:sz w:val="13"/>
                <w:szCs w:val="13"/>
                <w:color w:val="auto"/>
              </w:rPr>
              <w:t>612</w:t>
            </w:r>
          </w:p>
        </w:tc>
      </w:tr>
      <w:tr>
        <w:trPr>
          <w:trHeight w:val="162"/>
        </w:trPr>
        <w:tc>
          <w:tcPr>
            <w:tcW w:w="1260" w:type="dxa"/>
            <w:vAlign w:val="bottom"/>
          </w:tcPr>
          <w:p>
            <w:pPr>
              <w:jc w:val="right"/>
              <w:spacing w:after="0"/>
              <w:rPr>
                <w:sz w:val="20"/>
                <w:szCs w:val="20"/>
                <w:color w:val="auto"/>
              </w:rPr>
            </w:pPr>
            <w:r>
              <w:rPr>
                <w:rFonts w:ascii="Arial" w:cs="Arial" w:eastAsia="Arial" w:hAnsi="Arial"/>
                <w:sz w:val="13"/>
                <w:szCs w:val="13"/>
                <w:color w:val="auto"/>
              </w:rPr>
              <w:t>50</w:t>
            </w:r>
          </w:p>
        </w:tc>
        <w:tc>
          <w:tcPr>
            <w:tcW w:w="200" w:type="dxa"/>
            <w:vAlign w:val="bottom"/>
          </w:tcPr>
          <w:p>
            <w:pPr>
              <w:spacing w:after="0"/>
              <w:rPr>
                <w:sz w:val="14"/>
                <w:szCs w:val="14"/>
                <w:color w:val="auto"/>
              </w:rPr>
            </w:pPr>
          </w:p>
        </w:tc>
        <w:tc>
          <w:tcPr>
            <w:tcW w:w="1260" w:type="dxa"/>
            <w:vAlign w:val="bottom"/>
          </w:tcPr>
          <w:p>
            <w:pPr>
              <w:jc w:val="right"/>
              <w:spacing w:after="0"/>
              <w:rPr>
                <w:sz w:val="20"/>
                <w:szCs w:val="20"/>
                <w:color w:val="auto"/>
              </w:rPr>
            </w:pPr>
            <w:r>
              <w:rPr>
                <w:rFonts w:ascii="Arial" w:cs="Arial" w:eastAsia="Arial" w:hAnsi="Arial"/>
                <w:sz w:val="13"/>
                <w:szCs w:val="13"/>
                <w:color w:val="auto"/>
              </w:rPr>
              <w:t>-</w:t>
            </w:r>
          </w:p>
        </w:tc>
      </w:tr>
      <w:tr>
        <w:trPr>
          <w:trHeight w:val="164"/>
        </w:trPr>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6</w:t>
            </w:r>
          </w:p>
        </w:tc>
        <w:tc>
          <w:tcPr>
            <w:tcW w:w="200" w:type="dxa"/>
            <w:vAlign w:val="bottom"/>
          </w:tcPr>
          <w:p>
            <w:pPr>
              <w:spacing w:after="0"/>
              <w:rPr>
                <w:sz w:val="14"/>
                <w:szCs w:val="14"/>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7</w:t>
            </w:r>
          </w:p>
        </w:tc>
      </w:tr>
      <w:tr>
        <w:trPr>
          <w:trHeight w:val="162"/>
        </w:trPr>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1,706</w:t>
            </w:r>
          </w:p>
        </w:tc>
        <w:tc>
          <w:tcPr>
            <w:tcW w:w="200" w:type="dxa"/>
            <w:vAlign w:val="bottom"/>
          </w:tcPr>
          <w:p>
            <w:pPr>
              <w:spacing w:after="0"/>
              <w:rPr>
                <w:sz w:val="14"/>
                <w:szCs w:val="14"/>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619</w:t>
            </w:r>
          </w:p>
        </w:tc>
      </w:tr>
    </w:tbl>
    <w:p>
      <w:pPr>
        <w:spacing w:after="0" w:line="145" w:lineRule="exact"/>
        <w:rPr>
          <w:sz w:val="20"/>
          <w:szCs w:val="20"/>
          <w:color w:val="auto"/>
        </w:rPr>
      </w:pPr>
    </w:p>
    <w:p>
      <w:pPr>
        <w:sectPr>
          <w:pgSz w:w="11900" w:h="16838" w:orient="portrait"/>
          <w:cols w:equalWidth="0" w:num="2">
            <w:col w:w="7083" w:space="720"/>
            <w:col w:w="3680"/>
          </w:cols>
          <w:pgMar w:left="217" w:top="675" w:right="199" w:bottom="1440" w:gutter="0" w:footer="0" w:header="0"/>
          <w:type w:val="continuous"/>
        </w:sectPr>
      </w:pPr>
    </w:p>
    <w:p>
      <w:pPr>
        <w:jc w:val="both"/>
        <w:ind w:left="223"/>
        <w:spacing w:after="0" w:line="281" w:lineRule="auto"/>
        <w:rPr>
          <w:sz w:val="20"/>
          <w:szCs w:val="20"/>
          <w:color w:val="auto"/>
        </w:rPr>
      </w:pPr>
      <w:r>
        <w:rPr>
          <w:rFonts w:ascii="Arial" w:cs="Arial" w:eastAsia="Arial" w:hAnsi="Arial"/>
          <w:sz w:val="12"/>
          <w:szCs w:val="12"/>
          <w:color w:val="auto"/>
        </w:rPr>
        <w:t>As of December 31, 2018, and 2017, the Bank’s 24-hour deposits from customers (demand deposit accounts and call deposits) amounted to $725 million and $478 million, respectively; representing 24% and 16% of the Bank’s total deposits, respectively. The liquidity requirement resulting from these maturities is satisfied by the Bank’s liquid assets, which as of December 31, 2018 and 2017 were $1,706 million and $619 million, respectively (representing 57% and 21% of total deposits, respectively) of which $1,648 million, or 97% and $609 million, or 98%, as of December 31, 2018 and 2017, respectively, of liquid assets were deposited at the Federal Reserve Bank of New York. The remaining liquid assets consisted of short-term funds deposited with other banks.</w:t>
      </w:r>
    </w:p>
    <w:p>
      <w:pPr>
        <w:spacing w:after="0" w:line="124" w:lineRule="exact"/>
        <w:rPr>
          <w:sz w:val="20"/>
          <w:szCs w:val="20"/>
          <w:color w:val="auto"/>
        </w:rPr>
      </w:pPr>
    </w:p>
    <w:p>
      <w:pPr>
        <w:jc w:val="both"/>
        <w:ind w:left="223" w:right="20"/>
        <w:spacing w:after="0" w:line="254" w:lineRule="auto"/>
        <w:rPr>
          <w:sz w:val="20"/>
          <w:szCs w:val="20"/>
          <w:color w:val="auto"/>
        </w:rPr>
      </w:pPr>
      <w:r>
        <w:rPr>
          <w:rFonts w:ascii="Arial" w:cs="Arial" w:eastAsia="Arial" w:hAnsi="Arial"/>
          <w:sz w:val="13"/>
          <w:szCs w:val="13"/>
          <w:color w:val="auto"/>
        </w:rPr>
        <w:t>While the Bank’s liabilities generally mature over somewhat shorter periods than its assets, the associated liquidity risk is diminished by the short-term nature of the loan portfolio, as the Bank is engaged primarily in the financing of foreign trade. As of December 31, 2018, and 2017, the Bank’s short-term loan and investment securities portfolio (maturing within one year based on original contractual term) totaled $3,688 million and $3,746 million, respectively. As of December 31, 2018, and 2017, it had an average original term to maturity of 226 and 203 days, respectively, and an average remaining term to maturity of 118 days and 112 days, respectively.</w:t>
      </w:r>
    </w:p>
    <w:p>
      <w:pPr>
        <w:spacing w:after="0" w:line="291" w:lineRule="exact"/>
        <w:rPr>
          <w:sz w:val="20"/>
          <w:szCs w:val="20"/>
          <w:color w:val="auto"/>
        </w:rPr>
      </w:pPr>
    </w:p>
    <w:p>
      <w:pPr>
        <w:jc w:val="center"/>
        <w:ind w:right="17"/>
        <w:spacing w:after="0"/>
        <w:rPr>
          <w:sz w:val="20"/>
          <w:szCs w:val="20"/>
          <w:color w:val="auto"/>
        </w:rPr>
      </w:pPr>
      <w:r>
        <w:rPr>
          <w:rFonts w:ascii="Arial" w:cs="Arial" w:eastAsia="Arial" w:hAnsi="Arial"/>
          <w:sz w:val="13"/>
          <w:szCs w:val="13"/>
          <w:color w:val="auto"/>
        </w:rPr>
        <w:t>F-101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38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75" w:right="199" w:bottom="1440" w:gutter="0" w:footer="0" w:header="0"/>
          <w:type w:val="continuous"/>
        </w:sectPr>
      </w:pPr>
    </w:p>
    <w:bookmarkStart w:id="226" w:name="page227"/>
    <w:bookmarkEnd w:id="226"/>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39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right="9600" w:hanging="223"/>
        <w:spacing w:after="0" w:line="588" w:lineRule="auto"/>
        <w:tabs>
          <w:tab w:leader="none" w:pos="223" w:val="left"/>
        </w:tabs>
        <w:numPr>
          <w:ilvl w:val="0"/>
          <w:numId w:val="196"/>
        </w:numPr>
        <w:rPr>
          <w:rFonts w:ascii="Arial" w:cs="Arial" w:eastAsia="Arial" w:hAnsi="Arial"/>
          <w:sz w:val="11"/>
          <w:szCs w:val="11"/>
          <w:b w:val="1"/>
          <w:bCs w:val="1"/>
          <w:color w:val="auto"/>
        </w:rPr>
      </w:pPr>
      <w:r>
        <w:rPr>
          <w:rFonts w:ascii="Arial" w:cs="Arial" w:eastAsia="Arial" w:hAnsi="Arial"/>
          <w:sz w:val="11"/>
          <w:szCs w:val="11"/>
          <w:b w:val="1"/>
          <w:bCs w:val="1"/>
          <w:color w:val="auto"/>
        </w:rPr>
        <w:t>Risk management (continued) Liquidity risk (continued)</w:t>
      </w:r>
    </w:p>
    <w:p>
      <w:pPr>
        <w:jc w:val="both"/>
        <w:ind w:left="223" w:right="20"/>
        <w:spacing w:after="0" w:line="281" w:lineRule="auto"/>
        <w:rPr>
          <w:rFonts w:ascii="Arial" w:cs="Arial" w:eastAsia="Arial" w:hAnsi="Arial"/>
          <w:sz w:val="11"/>
          <w:szCs w:val="11"/>
          <w:b w:val="1"/>
          <w:bCs w:val="1"/>
          <w:color w:val="auto"/>
        </w:rPr>
      </w:pPr>
      <w:r>
        <w:rPr>
          <w:rFonts w:ascii="Arial" w:cs="Arial" w:eastAsia="Arial" w:hAnsi="Arial"/>
          <w:sz w:val="12"/>
          <w:szCs w:val="12"/>
          <w:color w:val="auto"/>
        </w:rPr>
        <w:t>Medium-term assets (loans and investment securities maturing beyond one year based on original contractual term) totaled $2,197 million and $1,872 million as of December 31, 2018 and 2017, respectively. Of that amount, $98 million and $86 million corresponded to the Bank’s investment securities as of December 31, 2018 and 2017. The remaining $2,099 million and $1,786 million in medium-term assets corresponded to the Bank’s loan portfolio as of December 31, 2018 and 2017, respectively. As of December 31, 2018, and 2017, the medium-term assets had an average original term to maturity of three years and nine months and four years, respectively; and an average remaining term to maturity of one year and ten months (688days), and one year and nine months (655 days), respectively.</w:t>
      </w:r>
    </w:p>
    <w:p>
      <w:pPr>
        <w:spacing w:after="0" w:line="123" w:lineRule="exact"/>
        <w:rPr>
          <w:rFonts w:ascii="Arial" w:cs="Arial" w:eastAsia="Arial" w:hAnsi="Arial"/>
          <w:sz w:val="11"/>
          <w:szCs w:val="11"/>
          <w:b w:val="1"/>
          <w:bCs w:val="1"/>
          <w:color w:val="auto"/>
        </w:rPr>
      </w:pPr>
    </w:p>
    <w:p>
      <w:pPr>
        <w:ind w:left="223" w:right="20"/>
        <w:spacing w:after="0" w:line="267" w:lineRule="auto"/>
        <w:rPr>
          <w:rFonts w:ascii="Arial" w:cs="Arial" w:eastAsia="Arial" w:hAnsi="Arial"/>
          <w:sz w:val="11"/>
          <w:szCs w:val="11"/>
          <w:b w:val="1"/>
          <w:bCs w:val="1"/>
          <w:color w:val="auto"/>
        </w:rPr>
      </w:pPr>
      <w:r>
        <w:rPr>
          <w:rFonts w:ascii="Arial" w:cs="Arial" w:eastAsia="Arial" w:hAnsi="Arial"/>
          <w:sz w:val="13"/>
          <w:szCs w:val="13"/>
          <w:color w:val="auto"/>
        </w:rPr>
        <w:t>While the Bank’s liabilities generally mature over somewhat shorter periods than its assets, the associated liquidity risk is diminished by the short-term nature of the loan portfolio, as the Bank is engaged primarily in the financing of foreign trade.</w:t>
      </w:r>
    </w:p>
    <w:p>
      <w:pPr>
        <w:spacing w:after="0" w:line="129" w:lineRule="exact"/>
        <w:rPr>
          <w:rFonts w:ascii="Arial" w:cs="Arial" w:eastAsia="Arial" w:hAnsi="Arial"/>
          <w:sz w:val="11"/>
          <w:szCs w:val="11"/>
          <w:b w:val="1"/>
          <w:bCs w:val="1"/>
          <w:color w:val="auto"/>
        </w:rPr>
      </w:pPr>
    </w:p>
    <w:p>
      <w:pPr>
        <w:ind w:left="223"/>
        <w:spacing w:after="0"/>
        <w:rPr>
          <w:rFonts w:ascii="Arial" w:cs="Arial" w:eastAsia="Arial" w:hAnsi="Arial"/>
          <w:sz w:val="11"/>
          <w:szCs w:val="11"/>
          <w:b w:val="1"/>
          <w:bCs w:val="1"/>
          <w:color w:val="auto"/>
        </w:rPr>
      </w:pPr>
      <w:r>
        <w:rPr>
          <w:rFonts w:ascii="Arial" w:cs="Arial" w:eastAsia="Arial" w:hAnsi="Arial"/>
          <w:sz w:val="13"/>
          <w:szCs w:val="13"/>
          <w:color w:val="auto"/>
        </w:rPr>
        <w:t>The following table details the Banks’s future cash flows between assets and liabilities grouped by its remaining maturity with respect to the contractual maturity:</w:t>
      </w:r>
    </w:p>
    <w:p>
      <w:pPr>
        <w:spacing w:after="0" w:line="164" w:lineRule="exact"/>
        <w:rPr>
          <w:sz w:val="20"/>
          <w:szCs w:val="20"/>
          <w:color w:val="auto"/>
        </w:rPr>
      </w:pPr>
    </w:p>
    <w:tbl>
      <w:tblPr>
        <w:tblLayout w:type="fixed"/>
        <w:tblInd w:w="3" w:type="dxa"/>
        <w:tblCellMar>
          <w:top w:w="0" w:type="dxa"/>
          <w:left w:w="0" w:type="dxa"/>
          <w:bottom w:w="0" w:type="dxa"/>
          <w:right w:w="0" w:type="dxa"/>
        </w:tblCellMar>
      </w:tblPr>
      <w:tr>
        <w:trPr>
          <w:trHeight w:val="166"/>
        </w:trPr>
        <w:tc>
          <w:tcPr>
            <w:tcW w:w="220" w:type="dxa"/>
            <w:vAlign w:val="bottom"/>
          </w:tcPr>
          <w:p>
            <w:pPr>
              <w:spacing w:after="0"/>
              <w:rPr>
                <w:sz w:val="14"/>
                <w:szCs w:val="14"/>
                <w:color w:val="auto"/>
              </w:rPr>
            </w:pPr>
          </w:p>
        </w:tc>
        <w:tc>
          <w:tcPr>
            <w:tcW w:w="4160" w:type="dxa"/>
            <w:vAlign w:val="bottom"/>
          </w:tcPr>
          <w:p>
            <w:pPr>
              <w:spacing w:after="0"/>
              <w:rPr>
                <w:sz w:val="14"/>
                <w:szCs w:val="14"/>
                <w:color w:val="auto"/>
              </w:rPr>
            </w:pPr>
          </w:p>
        </w:tc>
        <w:tc>
          <w:tcPr>
            <w:tcW w:w="76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76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760" w:type="dxa"/>
            <w:vAlign w:val="bottom"/>
            <w:tcBorders>
              <w:bottom w:val="single" w:sz="8" w:color="auto"/>
            </w:tcBorders>
          </w:tcPr>
          <w:p>
            <w:pPr>
              <w:spacing w:after="0"/>
              <w:rPr>
                <w:sz w:val="14"/>
                <w:szCs w:val="14"/>
                <w:color w:val="auto"/>
              </w:rPr>
            </w:pPr>
          </w:p>
        </w:tc>
        <w:tc>
          <w:tcPr>
            <w:tcW w:w="1200" w:type="dxa"/>
            <w:vAlign w:val="bottom"/>
            <w:tcBorders>
              <w:bottom w:val="single" w:sz="8" w:color="auto"/>
            </w:tcBorders>
            <w:gridSpan w:val="3"/>
          </w:tcPr>
          <w:p>
            <w:pPr>
              <w:jc w:val="right"/>
              <w:ind w:right="83"/>
              <w:spacing w:after="0"/>
              <w:rPr>
                <w:sz w:val="20"/>
                <w:szCs w:val="20"/>
                <w:color w:val="auto"/>
              </w:rPr>
            </w:pPr>
            <w:r>
              <w:rPr>
                <w:rFonts w:ascii="Arial" w:cs="Arial" w:eastAsia="Arial" w:hAnsi="Arial"/>
                <w:sz w:val="13"/>
                <w:szCs w:val="13"/>
                <w:b w:val="1"/>
                <w:bCs w:val="1"/>
                <w:color w:val="auto"/>
                <w:w w:val="90"/>
              </w:rPr>
              <w:t>December 31, 2018</w:t>
            </w:r>
          </w:p>
        </w:tc>
        <w:tc>
          <w:tcPr>
            <w:tcW w:w="76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76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76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1"/>
        </w:trPr>
        <w:tc>
          <w:tcPr>
            <w:tcW w:w="220" w:type="dxa"/>
            <w:vAlign w:val="bottom"/>
          </w:tcPr>
          <w:p>
            <w:pPr>
              <w:spacing w:after="0"/>
              <w:rPr>
                <w:sz w:val="11"/>
                <w:szCs w:val="11"/>
                <w:color w:val="auto"/>
              </w:rPr>
            </w:pPr>
          </w:p>
        </w:tc>
        <w:tc>
          <w:tcPr>
            <w:tcW w:w="4160" w:type="dxa"/>
            <w:vAlign w:val="bottom"/>
          </w:tcPr>
          <w:p>
            <w:pPr>
              <w:spacing w:after="0"/>
              <w:rPr>
                <w:sz w:val="11"/>
                <w:szCs w:val="11"/>
                <w:color w:val="auto"/>
              </w:rPr>
            </w:pPr>
          </w:p>
        </w:tc>
        <w:tc>
          <w:tcPr>
            <w:tcW w:w="1000" w:type="dxa"/>
            <w:vAlign w:val="bottom"/>
            <w:gridSpan w:val="2"/>
          </w:tcPr>
          <w:p>
            <w:pPr>
              <w:jc w:val="right"/>
              <w:ind w:right="383"/>
              <w:spacing w:after="0" w:line="131" w:lineRule="exact"/>
              <w:rPr>
                <w:sz w:val="20"/>
                <w:szCs w:val="20"/>
                <w:color w:val="auto"/>
              </w:rPr>
            </w:pPr>
            <w:r>
              <w:rPr>
                <w:rFonts w:ascii="Arial" w:cs="Arial" w:eastAsia="Arial" w:hAnsi="Arial"/>
                <w:sz w:val="13"/>
                <w:szCs w:val="13"/>
                <w:b w:val="1"/>
                <w:bCs w:val="1"/>
                <w:color w:val="auto"/>
              </w:rPr>
              <w:t>Up to 3</w:t>
            </w:r>
          </w:p>
        </w:tc>
        <w:tc>
          <w:tcPr>
            <w:tcW w:w="1000" w:type="dxa"/>
            <w:vAlign w:val="bottom"/>
            <w:gridSpan w:val="2"/>
          </w:tcPr>
          <w:p>
            <w:pPr>
              <w:jc w:val="right"/>
              <w:ind w:right="396"/>
              <w:spacing w:after="0" w:line="131" w:lineRule="exact"/>
              <w:rPr>
                <w:sz w:val="20"/>
                <w:szCs w:val="20"/>
                <w:color w:val="auto"/>
              </w:rPr>
            </w:pPr>
            <w:r>
              <w:rPr>
                <w:rFonts w:ascii="Arial" w:cs="Arial" w:eastAsia="Arial" w:hAnsi="Arial"/>
                <w:sz w:val="13"/>
                <w:szCs w:val="13"/>
                <w:b w:val="1"/>
                <w:bCs w:val="1"/>
                <w:color w:val="auto"/>
              </w:rPr>
              <w:t>3 to 6</w:t>
            </w:r>
          </w:p>
        </w:tc>
        <w:tc>
          <w:tcPr>
            <w:tcW w:w="1000" w:type="dxa"/>
            <w:vAlign w:val="bottom"/>
            <w:gridSpan w:val="2"/>
          </w:tcPr>
          <w:p>
            <w:pPr>
              <w:jc w:val="right"/>
              <w:ind w:right="236"/>
              <w:spacing w:after="0" w:line="131" w:lineRule="exact"/>
              <w:rPr>
                <w:sz w:val="20"/>
                <w:szCs w:val="20"/>
                <w:color w:val="auto"/>
              </w:rPr>
            </w:pPr>
            <w:r>
              <w:rPr>
                <w:rFonts w:ascii="Arial" w:cs="Arial" w:eastAsia="Arial" w:hAnsi="Arial"/>
                <w:sz w:val="13"/>
                <w:szCs w:val="13"/>
                <w:b w:val="1"/>
                <w:bCs w:val="1"/>
                <w:color w:val="auto"/>
                <w:w w:val="92"/>
              </w:rPr>
              <w:t>6 months to</w:t>
            </w:r>
          </w:p>
        </w:tc>
        <w:tc>
          <w:tcPr>
            <w:tcW w:w="7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960" w:type="dxa"/>
            <w:vAlign w:val="bottom"/>
            <w:gridSpan w:val="2"/>
          </w:tcPr>
          <w:p>
            <w:pPr>
              <w:jc w:val="right"/>
              <w:ind w:right="283"/>
              <w:spacing w:after="0" w:line="131" w:lineRule="exact"/>
              <w:rPr>
                <w:sz w:val="20"/>
                <w:szCs w:val="20"/>
                <w:color w:val="auto"/>
              </w:rPr>
            </w:pPr>
            <w:r>
              <w:rPr>
                <w:rFonts w:ascii="Arial" w:cs="Arial" w:eastAsia="Arial" w:hAnsi="Arial"/>
                <w:sz w:val="13"/>
                <w:szCs w:val="13"/>
                <w:b w:val="1"/>
                <w:bCs w:val="1"/>
                <w:color w:val="auto"/>
                <w:w w:val="99"/>
              </w:rPr>
              <w:t>More than</w:t>
            </w:r>
          </w:p>
        </w:tc>
        <w:tc>
          <w:tcPr>
            <w:tcW w:w="960" w:type="dxa"/>
            <w:vAlign w:val="bottom"/>
            <w:gridSpan w:val="2"/>
          </w:tcPr>
          <w:p>
            <w:pPr>
              <w:jc w:val="right"/>
              <w:ind w:right="203"/>
              <w:spacing w:after="0" w:line="131" w:lineRule="exact"/>
              <w:rPr>
                <w:sz w:val="20"/>
                <w:szCs w:val="20"/>
                <w:color w:val="auto"/>
              </w:rPr>
            </w:pPr>
            <w:r>
              <w:rPr>
                <w:rFonts w:ascii="Arial" w:cs="Arial" w:eastAsia="Arial" w:hAnsi="Arial"/>
                <w:sz w:val="13"/>
                <w:szCs w:val="13"/>
                <w:b w:val="1"/>
                <w:bCs w:val="1"/>
                <w:color w:val="auto"/>
                <w:w w:val="88"/>
              </w:rPr>
              <w:t>Gross Inflow</w:t>
            </w:r>
          </w:p>
        </w:tc>
        <w:tc>
          <w:tcPr>
            <w:tcW w:w="760" w:type="dxa"/>
            <w:vAlign w:val="bottom"/>
          </w:tcPr>
          <w:p>
            <w:pPr>
              <w:jc w:val="right"/>
              <w:ind w:right="76"/>
              <w:spacing w:after="0" w:line="131" w:lineRule="exact"/>
              <w:rPr>
                <w:sz w:val="20"/>
                <w:szCs w:val="20"/>
                <w:color w:val="auto"/>
              </w:rPr>
            </w:pPr>
            <w:r>
              <w:rPr>
                <w:rFonts w:ascii="Arial" w:cs="Arial" w:eastAsia="Arial" w:hAnsi="Arial"/>
                <w:sz w:val="13"/>
                <w:szCs w:val="13"/>
                <w:b w:val="1"/>
                <w:bCs w:val="1"/>
                <w:color w:val="auto"/>
              </w:rPr>
              <w:t>Carrying</w:t>
            </w:r>
          </w:p>
        </w:tc>
        <w:tc>
          <w:tcPr>
            <w:tcW w:w="10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20" w:type="dxa"/>
            <w:vAlign w:val="bottom"/>
          </w:tcPr>
          <w:p>
            <w:pPr>
              <w:spacing w:after="0"/>
              <w:rPr>
                <w:sz w:val="14"/>
                <w:szCs w:val="14"/>
                <w:color w:val="auto"/>
              </w:rPr>
            </w:pPr>
          </w:p>
        </w:tc>
        <w:tc>
          <w:tcPr>
            <w:tcW w:w="4160" w:type="dxa"/>
            <w:vAlign w:val="bottom"/>
          </w:tcPr>
          <w:p>
            <w:pPr>
              <w:ind w:left="1700"/>
              <w:spacing w:after="0"/>
              <w:rPr>
                <w:sz w:val="20"/>
                <w:szCs w:val="20"/>
                <w:color w:val="auto"/>
              </w:rPr>
            </w:pPr>
            <w:r>
              <w:rPr>
                <w:rFonts w:ascii="Arial" w:cs="Arial" w:eastAsia="Arial" w:hAnsi="Arial"/>
                <w:sz w:val="13"/>
                <w:szCs w:val="13"/>
                <w:b w:val="1"/>
                <w:bCs w:val="1"/>
                <w:color w:val="auto"/>
              </w:rPr>
              <w:t>Description</w:t>
            </w:r>
          </w:p>
        </w:tc>
        <w:tc>
          <w:tcPr>
            <w:tcW w:w="1000" w:type="dxa"/>
            <w:vAlign w:val="bottom"/>
            <w:gridSpan w:val="2"/>
          </w:tcPr>
          <w:p>
            <w:pPr>
              <w:jc w:val="right"/>
              <w:ind w:right="383"/>
              <w:spacing w:after="0"/>
              <w:rPr>
                <w:sz w:val="20"/>
                <w:szCs w:val="20"/>
                <w:color w:val="auto"/>
              </w:rPr>
            </w:pPr>
            <w:r>
              <w:rPr>
                <w:rFonts w:ascii="Arial" w:cs="Arial" w:eastAsia="Arial" w:hAnsi="Arial"/>
                <w:sz w:val="13"/>
                <w:szCs w:val="13"/>
                <w:b w:val="1"/>
                <w:bCs w:val="1"/>
                <w:color w:val="auto"/>
              </w:rPr>
              <w:t>months</w:t>
            </w:r>
          </w:p>
        </w:tc>
        <w:tc>
          <w:tcPr>
            <w:tcW w:w="1000" w:type="dxa"/>
            <w:vAlign w:val="bottom"/>
            <w:gridSpan w:val="2"/>
          </w:tcPr>
          <w:p>
            <w:pPr>
              <w:jc w:val="right"/>
              <w:ind w:right="356"/>
              <w:spacing w:after="0"/>
              <w:rPr>
                <w:sz w:val="20"/>
                <w:szCs w:val="20"/>
                <w:color w:val="auto"/>
              </w:rPr>
            </w:pPr>
            <w:r>
              <w:rPr>
                <w:rFonts w:ascii="Arial" w:cs="Arial" w:eastAsia="Arial" w:hAnsi="Arial"/>
                <w:sz w:val="13"/>
                <w:szCs w:val="13"/>
                <w:b w:val="1"/>
                <w:bCs w:val="1"/>
                <w:color w:val="auto"/>
              </w:rPr>
              <w:t>months</w:t>
            </w:r>
          </w:p>
        </w:tc>
        <w:tc>
          <w:tcPr>
            <w:tcW w:w="1000" w:type="dxa"/>
            <w:vAlign w:val="bottom"/>
            <w:gridSpan w:val="2"/>
          </w:tcPr>
          <w:p>
            <w:pPr>
              <w:jc w:val="right"/>
              <w:ind w:right="376"/>
              <w:spacing w:after="0"/>
              <w:rPr>
                <w:sz w:val="20"/>
                <w:szCs w:val="20"/>
                <w:color w:val="auto"/>
              </w:rPr>
            </w:pPr>
            <w:r>
              <w:rPr>
                <w:rFonts w:ascii="Arial" w:cs="Arial" w:eastAsia="Arial" w:hAnsi="Arial"/>
                <w:sz w:val="13"/>
                <w:szCs w:val="13"/>
                <w:b w:val="1"/>
                <w:bCs w:val="1"/>
                <w:color w:val="auto"/>
              </w:rPr>
              <w:t>1 year</w:t>
            </w:r>
          </w:p>
        </w:tc>
        <w:tc>
          <w:tcPr>
            <w:tcW w:w="960" w:type="dxa"/>
            <w:vAlign w:val="bottom"/>
            <w:gridSpan w:val="2"/>
          </w:tcPr>
          <w:p>
            <w:pPr>
              <w:jc w:val="right"/>
              <w:ind w:right="243"/>
              <w:spacing w:after="0"/>
              <w:rPr>
                <w:sz w:val="20"/>
                <w:szCs w:val="20"/>
                <w:color w:val="auto"/>
              </w:rPr>
            </w:pPr>
            <w:r>
              <w:rPr>
                <w:rFonts w:ascii="Arial" w:cs="Arial" w:eastAsia="Arial" w:hAnsi="Arial"/>
                <w:sz w:val="13"/>
                <w:szCs w:val="13"/>
                <w:b w:val="1"/>
                <w:bCs w:val="1"/>
                <w:color w:val="auto"/>
                <w:w w:val="92"/>
              </w:rPr>
              <w:t>1 to 5 years</w:t>
            </w:r>
          </w:p>
        </w:tc>
        <w:tc>
          <w:tcPr>
            <w:tcW w:w="960" w:type="dxa"/>
            <w:vAlign w:val="bottom"/>
            <w:gridSpan w:val="2"/>
          </w:tcPr>
          <w:p>
            <w:pPr>
              <w:jc w:val="right"/>
              <w:ind w:right="343"/>
              <w:spacing w:after="0"/>
              <w:rPr>
                <w:sz w:val="20"/>
                <w:szCs w:val="20"/>
                <w:color w:val="auto"/>
              </w:rPr>
            </w:pPr>
            <w:r>
              <w:rPr>
                <w:rFonts w:ascii="Arial" w:cs="Arial" w:eastAsia="Arial" w:hAnsi="Arial"/>
                <w:sz w:val="13"/>
                <w:szCs w:val="13"/>
                <w:b w:val="1"/>
                <w:bCs w:val="1"/>
                <w:color w:val="auto"/>
              </w:rPr>
              <w:t>5 years</w:t>
            </w:r>
          </w:p>
        </w:tc>
        <w:tc>
          <w:tcPr>
            <w:tcW w:w="960" w:type="dxa"/>
            <w:vAlign w:val="bottom"/>
            <w:gridSpan w:val="2"/>
          </w:tcPr>
          <w:p>
            <w:pPr>
              <w:jc w:val="right"/>
              <w:ind w:right="283"/>
              <w:spacing w:after="0"/>
              <w:rPr>
                <w:sz w:val="20"/>
                <w:szCs w:val="20"/>
                <w:color w:val="auto"/>
              </w:rPr>
            </w:pPr>
            <w:r>
              <w:rPr>
                <w:rFonts w:ascii="Arial" w:cs="Arial" w:eastAsia="Arial" w:hAnsi="Arial"/>
                <w:sz w:val="13"/>
                <w:szCs w:val="13"/>
                <w:b w:val="1"/>
                <w:bCs w:val="1"/>
                <w:color w:val="auto"/>
              </w:rPr>
              <w:t>(outflow)</w:t>
            </w:r>
          </w:p>
        </w:tc>
        <w:tc>
          <w:tcPr>
            <w:tcW w:w="860" w:type="dxa"/>
            <w:vAlign w:val="bottom"/>
            <w:gridSpan w:val="2"/>
          </w:tcPr>
          <w:p>
            <w:pPr>
              <w:jc w:val="right"/>
              <w:ind w:right="223"/>
              <w:spacing w:after="0"/>
              <w:rPr>
                <w:sz w:val="20"/>
                <w:szCs w:val="20"/>
                <w:color w:val="auto"/>
              </w:rPr>
            </w:pPr>
            <w:r>
              <w:rPr>
                <w:rFonts w:ascii="Arial" w:cs="Arial" w:eastAsia="Arial" w:hAnsi="Arial"/>
                <w:sz w:val="13"/>
                <w:szCs w:val="13"/>
                <w:b w:val="1"/>
                <w:bCs w:val="1"/>
                <w:color w:val="auto"/>
              </w:rPr>
              <w:t>amount</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vMerge w:val="restart"/>
          </w:tcPr>
          <w:p>
            <w:pPr>
              <w:spacing w:after="0"/>
              <w:rPr>
                <w:sz w:val="12"/>
                <w:szCs w:val="12"/>
                <w:color w:val="auto"/>
              </w:rPr>
            </w:pPr>
          </w:p>
        </w:tc>
        <w:tc>
          <w:tcPr>
            <w:tcW w:w="4160" w:type="dxa"/>
            <w:vAlign w:val="bottom"/>
          </w:tcPr>
          <w:p>
            <w:pPr>
              <w:spacing w:after="0"/>
              <w:rPr>
                <w:sz w:val="12"/>
                <w:szCs w:val="12"/>
                <w:color w:val="auto"/>
              </w:rPr>
            </w:pPr>
          </w:p>
        </w:tc>
        <w:tc>
          <w:tcPr>
            <w:tcW w:w="76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76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76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76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416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Assets</w:t>
            </w:r>
          </w:p>
        </w:tc>
        <w:tc>
          <w:tcPr>
            <w:tcW w:w="7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7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7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76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76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76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7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160" w:type="dxa"/>
            <w:vAlign w:val="bottom"/>
          </w:tcPr>
          <w:p>
            <w:pPr>
              <w:spacing w:after="0"/>
              <w:rPr>
                <w:sz w:val="20"/>
                <w:szCs w:val="20"/>
                <w:color w:val="auto"/>
              </w:rPr>
            </w:pPr>
            <w:r>
              <w:rPr>
                <w:rFonts w:ascii="Arial" w:cs="Arial" w:eastAsia="Arial" w:hAnsi="Arial"/>
                <w:sz w:val="13"/>
                <w:szCs w:val="13"/>
                <w:color w:val="auto"/>
              </w:rPr>
              <w:t>Cash and cash equivalents</w:t>
            </w:r>
          </w:p>
        </w:tc>
        <w:tc>
          <w:tcPr>
            <w:tcW w:w="760" w:type="dxa"/>
            <w:vAlign w:val="bottom"/>
          </w:tcPr>
          <w:p>
            <w:pPr>
              <w:jc w:val="right"/>
              <w:spacing w:after="0"/>
              <w:rPr>
                <w:sz w:val="20"/>
                <w:szCs w:val="20"/>
                <w:color w:val="auto"/>
              </w:rPr>
            </w:pPr>
            <w:r>
              <w:rPr>
                <w:rFonts w:ascii="Arial" w:cs="Arial" w:eastAsia="Arial" w:hAnsi="Arial"/>
                <w:sz w:val="13"/>
                <w:szCs w:val="13"/>
                <w:color w:val="auto"/>
              </w:rPr>
              <w:t>1,745,671</w:t>
            </w:r>
          </w:p>
        </w:tc>
        <w:tc>
          <w:tcPr>
            <w:tcW w:w="240" w:type="dxa"/>
            <w:vAlign w:val="bottom"/>
          </w:tcPr>
          <w:p>
            <w:pPr>
              <w:spacing w:after="0"/>
              <w:rPr>
                <w:sz w:val="13"/>
                <w:szCs w:val="13"/>
                <w:color w:val="auto"/>
              </w:rPr>
            </w:pPr>
          </w:p>
        </w:tc>
        <w:tc>
          <w:tcPr>
            <w:tcW w:w="1000" w:type="dxa"/>
            <w:vAlign w:val="bottom"/>
            <w:gridSpan w:val="2"/>
          </w:tcPr>
          <w:p>
            <w:pPr>
              <w:jc w:val="right"/>
              <w:ind w:right="176"/>
              <w:spacing w:after="0"/>
              <w:rPr>
                <w:sz w:val="20"/>
                <w:szCs w:val="20"/>
                <w:color w:val="auto"/>
              </w:rPr>
            </w:pPr>
            <w:r>
              <w:rPr>
                <w:rFonts w:ascii="Arial" w:cs="Arial" w:eastAsia="Arial" w:hAnsi="Arial"/>
                <w:sz w:val="13"/>
                <w:szCs w:val="13"/>
                <w:color w:val="auto"/>
              </w:rPr>
              <w:t>-</w:t>
            </w:r>
          </w:p>
        </w:tc>
        <w:tc>
          <w:tcPr>
            <w:tcW w:w="1000" w:type="dxa"/>
            <w:vAlign w:val="bottom"/>
            <w:gridSpan w:val="2"/>
          </w:tcPr>
          <w:p>
            <w:pPr>
              <w:jc w:val="right"/>
              <w:ind w:right="176"/>
              <w:spacing w:after="0"/>
              <w:rPr>
                <w:sz w:val="20"/>
                <w:szCs w:val="20"/>
                <w:color w:val="auto"/>
              </w:rPr>
            </w:pPr>
            <w:r>
              <w:rPr>
                <w:rFonts w:ascii="Arial" w:cs="Arial" w:eastAsia="Arial" w:hAnsi="Arial"/>
                <w:sz w:val="13"/>
                <w:szCs w:val="13"/>
                <w:color w:val="auto"/>
              </w:rPr>
              <w:t>-</w:t>
            </w:r>
          </w:p>
        </w:tc>
        <w:tc>
          <w:tcPr>
            <w:tcW w:w="76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76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960" w:type="dxa"/>
            <w:vAlign w:val="bottom"/>
            <w:gridSpan w:val="2"/>
          </w:tcPr>
          <w:p>
            <w:pPr>
              <w:jc w:val="right"/>
              <w:ind w:right="163"/>
              <w:spacing w:after="0"/>
              <w:rPr>
                <w:sz w:val="20"/>
                <w:szCs w:val="20"/>
                <w:color w:val="auto"/>
              </w:rPr>
            </w:pPr>
            <w:r>
              <w:rPr>
                <w:rFonts w:ascii="Arial" w:cs="Arial" w:eastAsia="Arial" w:hAnsi="Arial"/>
                <w:sz w:val="13"/>
                <w:szCs w:val="13"/>
                <w:color w:val="auto"/>
              </w:rPr>
              <w:t>1,745,671</w:t>
            </w:r>
          </w:p>
        </w:tc>
        <w:tc>
          <w:tcPr>
            <w:tcW w:w="860" w:type="dxa"/>
            <w:vAlign w:val="bottom"/>
            <w:gridSpan w:val="2"/>
          </w:tcPr>
          <w:p>
            <w:pPr>
              <w:jc w:val="right"/>
              <w:ind w:right="63"/>
              <w:spacing w:after="0"/>
              <w:rPr>
                <w:sz w:val="20"/>
                <w:szCs w:val="20"/>
                <w:color w:val="auto"/>
              </w:rPr>
            </w:pPr>
            <w:r>
              <w:rPr>
                <w:rFonts w:ascii="Arial" w:cs="Arial" w:eastAsia="Arial" w:hAnsi="Arial"/>
                <w:sz w:val="13"/>
                <w:szCs w:val="13"/>
                <w:color w:val="auto"/>
              </w:rPr>
              <w:t>1,745,652</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160" w:type="dxa"/>
            <w:vAlign w:val="bottom"/>
            <w:shd w:val="clear" w:color="auto" w:fill="CCEEFF"/>
          </w:tcPr>
          <w:p>
            <w:pPr>
              <w:spacing w:after="0"/>
              <w:rPr>
                <w:sz w:val="20"/>
                <w:szCs w:val="20"/>
                <w:color w:val="auto"/>
              </w:rPr>
            </w:pPr>
            <w:r>
              <w:rPr>
                <w:rFonts w:ascii="Arial" w:cs="Arial" w:eastAsia="Arial" w:hAnsi="Arial"/>
                <w:sz w:val="13"/>
                <w:szCs w:val="13"/>
                <w:color w:val="auto"/>
              </w:rPr>
              <w:t>Securities and other financial assets, net</w:t>
            </w:r>
          </w:p>
        </w:tc>
        <w:tc>
          <w:tcPr>
            <w:tcW w:w="1000" w:type="dxa"/>
            <w:vAlign w:val="bottom"/>
            <w:gridSpan w:val="2"/>
            <w:shd w:val="clear" w:color="auto" w:fill="CCEEFF"/>
          </w:tcPr>
          <w:p>
            <w:pPr>
              <w:jc w:val="right"/>
              <w:ind w:right="203"/>
              <w:spacing w:after="0"/>
              <w:rPr>
                <w:sz w:val="20"/>
                <w:szCs w:val="20"/>
                <w:color w:val="auto"/>
              </w:rPr>
            </w:pPr>
            <w:r>
              <w:rPr>
                <w:rFonts w:ascii="Arial" w:cs="Arial" w:eastAsia="Arial" w:hAnsi="Arial"/>
                <w:sz w:val="13"/>
                <w:szCs w:val="13"/>
                <w:color w:val="auto"/>
              </w:rPr>
              <w:t>14,870</w:t>
            </w:r>
          </w:p>
        </w:tc>
        <w:tc>
          <w:tcPr>
            <w:tcW w:w="1000" w:type="dxa"/>
            <w:vAlign w:val="bottom"/>
            <w:gridSpan w:val="2"/>
            <w:shd w:val="clear" w:color="auto" w:fill="CCEEFF"/>
          </w:tcPr>
          <w:p>
            <w:pPr>
              <w:jc w:val="right"/>
              <w:ind w:right="176"/>
              <w:spacing w:after="0"/>
              <w:rPr>
                <w:sz w:val="20"/>
                <w:szCs w:val="20"/>
                <w:color w:val="auto"/>
              </w:rPr>
            </w:pPr>
            <w:r>
              <w:rPr>
                <w:rFonts w:ascii="Arial" w:cs="Arial" w:eastAsia="Arial" w:hAnsi="Arial"/>
                <w:sz w:val="13"/>
                <w:szCs w:val="13"/>
                <w:color w:val="auto"/>
              </w:rPr>
              <w:t>5,152</w:t>
            </w:r>
          </w:p>
        </w:tc>
        <w:tc>
          <w:tcPr>
            <w:tcW w:w="1000" w:type="dxa"/>
            <w:vAlign w:val="bottom"/>
            <w:gridSpan w:val="2"/>
            <w:shd w:val="clear" w:color="auto" w:fill="CCEEFF"/>
          </w:tcPr>
          <w:p>
            <w:pPr>
              <w:jc w:val="right"/>
              <w:ind w:right="176"/>
              <w:spacing w:after="0"/>
              <w:rPr>
                <w:sz w:val="20"/>
                <w:szCs w:val="20"/>
                <w:color w:val="auto"/>
              </w:rPr>
            </w:pPr>
            <w:r>
              <w:rPr>
                <w:rFonts w:ascii="Arial" w:cs="Arial" w:eastAsia="Arial" w:hAnsi="Arial"/>
                <w:sz w:val="13"/>
                <w:szCs w:val="13"/>
                <w:color w:val="auto"/>
              </w:rPr>
              <w:t>21,702</w:t>
            </w:r>
          </w:p>
        </w:tc>
        <w:tc>
          <w:tcPr>
            <w:tcW w:w="960" w:type="dxa"/>
            <w:vAlign w:val="bottom"/>
            <w:gridSpan w:val="2"/>
            <w:shd w:val="clear" w:color="auto" w:fill="CCEEFF"/>
          </w:tcPr>
          <w:p>
            <w:pPr>
              <w:jc w:val="right"/>
              <w:ind w:right="163"/>
              <w:spacing w:after="0"/>
              <w:rPr>
                <w:sz w:val="20"/>
                <w:szCs w:val="20"/>
                <w:color w:val="auto"/>
              </w:rPr>
            </w:pPr>
            <w:r>
              <w:rPr>
                <w:rFonts w:ascii="Arial" w:cs="Arial" w:eastAsia="Arial" w:hAnsi="Arial"/>
                <w:sz w:val="13"/>
                <w:szCs w:val="13"/>
                <w:color w:val="auto"/>
              </w:rPr>
              <w:t>69,802</w:t>
            </w:r>
          </w:p>
        </w:tc>
        <w:tc>
          <w:tcPr>
            <w:tcW w:w="960" w:type="dxa"/>
            <w:vAlign w:val="bottom"/>
            <w:gridSpan w:val="2"/>
            <w:shd w:val="clear" w:color="auto" w:fill="CCEEFF"/>
          </w:tcPr>
          <w:p>
            <w:pPr>
              <w:jc w:val="right"/>
              <w:ind w:right="163"/>
              <w:spacing w:after="0"/>
              <w:rPr>
                <w:sz w:val="20"/>
                <w:szCs w:val="20"/>
                <w:color w:val="auto"/>
              </w:rPr>
            </w:pPr>
            <w:r>
              <w:rPr>
                <w:rFonts w:ascii="Arial" w:cs="Arial" w:eastAsia="Arial" w:hAnsi="Arial"/>
                <w:sz w:val="13"/>
                <w:szCs w:val="13"/>
                <w:color w:val="auto"/>
              </w:rPr>
              <w:t>13,993</w:t>
            </w:r>
          </w:p>
        </w:tc>
        <w:tc>
          <w:tcPr>
            <w:tcW w:w="960" w:type="dxa"/>
            <w:vAlign w:val="bottom"/>
            <w:gridSpan w:val="2"/>
            <w:shd w:val="clear" w:color="auto" w:fill="CCEEFF"/>
          </w:tcPr>
          <w:p>
            <w:pPr>
              <w:jc w:val="right"/>
              <w:ind w:right="163"/>
              <w:spacing w:after="0"/>
              <w:rPr>
                <w:sz w:val="20"/>
                <w:szCs w:val="20"/>
                <w:color w:val="auto"/>
              </w:rPr>
            </w:pPr>
            <w:r>
              <w:rPr>
                <w:rFonts w:ascii="Arial" w:cs="Arial" w:eastAsia="Arial" w:hAnsi="Arial"/>
                <w:sz w:val="13"/>
                <w:szCs w:val="13"/>
                <w:color w:val="auto"/>
              </w:rPr>
              <w:t>125,519</w:t>
            </w:r>
          </w:p>
        </w:tc>
        <w:tc>
          <w:tcPr>
            <w:tcW w:w="860" w:type="dxa"/>
            <w:vAlign w:val="bottom"/>
            <w:gridSpan w:val="2"/>
            <w:shd w:val="clear" w:color="auto" w:fill="CCEEFF"/>
          </w:tcPr>
          <w:p>
            <w:pPr>
              <w:jc w:val="right"/>
              <w:ind w:right="63"/>
              <w:spacing w:after="0"/>
              <w:rPr>
                <w:sz w:val="20"/>
                <w:szCs w:val="20"/>
                <w:color w:val="auto"/>
              </w:rPr>
            </w:pPr>
            <w:r>
              <w:rPr>
                <w:rFonts w:ascii="Arial" w:cs="Arial" w:eastAsia="Arial" w:hAnsi="Arial"/>
                <w:sz w:val="13"/>
                <w:szCs w:val="13"/>
                <w:color w:val="auto"/>
              </w:rPr>
              <w:t>123,598</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160" w:type="dxa"/>
            <w:vAlign w:val="bottom"/>
          </w:tcPr>
          <w:p>
            <w:pPr>
              <w:spacing w:after="0"/>
              <w:rPr>
                <w:sz w:val="20"/>
                <w:szCs w:val="20"/>
                <w:color w:val="auto"/>
              </w:rPr>
            </w:pPr>
            <w:r>
              <w:rPr>
                <w:rFonts w:ascii="Arial" w:cs="Arial" w:eastAsia="Arial" w:hAnsi="Arial"/>
                <w:sz w:val="13"/>
                <w:szCs w:val="13"/>
                <w:color w:val="auto"/>
              </w:rPr>
              <w:t>Loans, net</w:t>
            </w:r>
          </w:p>
        </w:tc>
        <w:tc>
          <w:tcPr>
            <w:tcW w:w="760" w:type="dxa"/>
            <w:vAlign w:val="bottom"/>
          </w:tcPr>
          <w:p>
            <w:pPr>
              <w:jc w:val="right"/>
              <w:spacing w:after="0"/>
              <w:rPr>
                <w:sz w:val="20"/>
                <w:szCs w:val="20"/>
                <w:color w:val="auto"/>
              </w:rPr>
            </w:pPr>
            <w:r>
              <w:rPr>
                <w:rFonts w:ascii="Arial" w:cs="Arial" w:eastAsia="Arial" w:hAnsi="Arial"/>
                <w:sz w:val="13"/>
                <w:szCs w:val="13"/>
                <w:color w:val="auto"/>
              </w:rPr>
              <w:t>1,873,995</w:t>
            </w:r>
          </w:p>
        </w:tc>
        <w:tc>
          <w:tcPr>
            <w:tcW w:w="240" w:type="dxa"/>
            <w:vAlign w:val="bottom"/>
          </w:tcPr>
          <w:p>
            <w:pPr>
              <w:spacing w:after="0"/>
              <w:rPr>
                <w:sz w:val="13"/>
                <w:szCs w:val="13"/>
                <w:color w:val="auto"/>
              </w:rPr>
            </w:pPr>
          </w:p>
        </w:tc>
        <w:tc>
          <w:tcPr>
            <w:tcW w:w="1000" w:type="dxa"/>
            <w:vAlign w:val="bottom"/>
            <w:gridSpan w:val="2"/>
          </w:tcPr>
          <w:p>
            <w:pPr>
              <w:jc w:val="right"/>
              <w:ind w:right="176"/>
              <w:spacing w:after="0"/>
              <w:rPr>
                <w:sz w:val="20"/>
                <w:szCs w:val="20"/>
                <w:color w:val="auto"/>
              </w:rPr>
            </w:pPr>
            <w:r>
              <w:rPr>
                <w:rFonts w:ascii="Arial" w:cs="Arial" w:eastAsia="Arial" w:hAnsi="Arial"/>
                <w:sz w:val="13"/>
                <w:szCs w:val="13"/>
                <w:color w:val="auto"/>
              </w:rPr>
              <w:t>1,434,229</w:t>
            </w:r>
          </w:p>
        </w:tc>
        <w:tc>
          <w:tcPr>
            <w:tcW w:w="1000" w:type="dxa"/>
            <w:vAlign w:val="bottom"/>
            <w:gridSpan w:val="2"/>
          </w:tcPr>
          <w:p>
            <w:pPr>
              <w:jc w:val="right"/>
              <w:ind w:right="176"/>
              <w:spacing w:after="0"/>
              <w:rPr>
                <w:sz w:val="20"/>
                <w:szCs w:val="20"/>
                <w:color w:val="auto"/>
              </w:rPr>
            </w:pPr>
            <w:r>
              <w:rPr>
                <w:rFonts w:ascii="Arial" w:cs="Arial" w:eastAsia="Arial" w:hAnsi="Arial"/>
                <w:sz w:val="13"/>
                <w:szCs w:val="13"/>
                <w:color w:val="auto"/>
              </w:rPr>
              <w:t>972,201</w:t>
            </w:r>
          </w:p>
        </w:tc>
        <w:tc>
          <w:tcPr>
            <w:tcW w:w="760" w:type="dxa"/>
            <w:vAlign w:val="bottom"/>
          </w:tcPr>
          <w:p>
            <w:pPr>
              <w:jc w:val="right"/>
              <w:spacing w:after="0"/>
              <w:rPr>
                <w:sz w:val="20"/>
                <w:szCs w:val="20"/>
                <w:color w:val="auto"/>
              </w:rPr>
            </w:pPr>
            <w:r>
              <w:rPr>
                <w:rFonts w:ascii="Arial" w:cs="Arial" w:eastAsia="Arial" w:hAnsi="Arial"/>
                <w:sz w:val="13"/>
                <w:szCs w:val="13"/>
                <w:color w:val="auto"/>
              </w:rPr>
              <w:t>1,611,558</w:t>
            </w:r>
          </w:p>
        </w:tc>
        <w:tc>
          <w:tcPr>
            <w:tcW w:w="200" w:type="dxa"/>
            <w:vAlign w:val="bottom"/>
          </w:tcPr>
          <w:p>
            <w:pPr>
              <w:spacing w:after="0"/>
              <w:rPr>
                <w:sz w:val="13"/>
                <w:szCs w:val="13"/>
                <w:color w:val="auto"/>
              </w:rPr>
            </w:pPr>
          </w:p>
        </w:tc>
        <w:tc>
          <w:tcPr>
            <w:tcW w:w="960" w:type="dxa"/>
            <w:vAlign w:val="bottom"/>
            <w:gridSpan w:val="2"/>
          </w:tcPr>
          <w:p>
            <w:pPr>
              <w:jc w:val="right"/>
              <w:ind w:right="163"/>
              <w:spacing w:after="0"/>
              <w:rPr>
                <w:sz w:val="20"/>
                <w:szCs w:val="20"/>
                <w:color w:val="auto"/>
              </w:rPr>
            </w:pPr>
            <w:r>
              <w:rPr>
                <w:rFonts w:ascii="Arial" w:cs="Arial" w:eastAsia="Arial" w:hAnsi="Arial"/>
                <w:sz w:val="13"/>
                <w:szCs w:val="13"/>
                <w:color w:val="auto"/>
              </w:rPr>
              <w:t>19,785</w:t>
            </w:r>
          </w:p>
        </w:tc>
        <w:tc>
          <w:tcPr>
            <w:tcW w:w="960" w:type="dxa"/>
            <w:vAlign w:val="bottom"/>
            <w:gridSpan w:val="2"/>
          </w:tcPr>
          <w:p>
            <w:pPr>
              <w:jc w:val="right"/>
              <w:ind w:right="163"/>
              <w:spacing w:after="0"/>
              <w:rPr>
                <w:sz w:val="20"/>
                <w:szCs w:val="20"/>
                <w:color w:val="auto"/>
              </w:rPr>
            </w:pPr>
            <w:r>
              <w:rPr>
                <w:rFonts w:ascii="Arial" w:cs="Arial" w:eastAsia="Arial" w:hAnsi="Arial"/>
                <w:sz w:val="13"/>
                <w:szCs w:val="13"/>
                <w:color w:val="auto"/>
              </w:rPr>
              <w:t>5,911,768</w:t>
            </w:r>
          </w:p>
        </w:tc>
        <w:tc>
          <w:tcPr>
            <w:tcW w:w="860" w:type="dxa"/>
            <w:vAlign w:val="bottom"/>
            <w:gridSpan w:val="2"/>
          </w:tcPr>
          <w:p>
            <w:pPr>
              <w:jc w:val="right"/>
              <w:ind w:right="63"/>
              <w:spacing w:after="0"/>
              <w:rPr>
                <w:sz w:val="20"/>
                <w:szCs w:val="20"/>
                <w:color w:val="auto"/>
              </w:rPr>
            </w:pPr>
            <w:r>
              <w:rPr>
                <w:rFonts w:ascii="Arial" w:cs="Arial" w:eastAsia="Arial" w:hAnsi="Arial"/>
                <w:sz w:val="13"/>
                <w:szCs w:val="13"/>
                <w:color w:val="auto"/>
              </w:rPr>
              <w:t>5,702,258</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160" w:type="dxa"/>
            <w:vAlign w:val="bottom"/>
            <w:shd w:val="clear" w:color="auto" w:fill="CCEEFF"/>
          </w:tcPr>
          <w:p>
            <w:pPr>
              <w:spacing w:after="0"/>
              <w:rPr>
                <w:sz w:val="20"/>
                <w:szCs w:val="20"/>
                <w:color w:val="auto"/>
              </w:rPr>
            </w:pPr>
            <w:r>
              <w:rPr>
                <w:rFonts w:ascii="Arial" w:cs="Arial" w:eastAsia="Arial" w:hAnsi="Arial"/>
                <w:sz w:val="13"/>
                <w:szCs w:val="13"/>
                <w:color w:val="auto"/>
              </w:rPr>
              <w:t>Derivative financial instruments – assets</w:t>
            </w:r>
          </w:p>
        </w:tc>
        <w:tc>
          <w:tcPr>
            <w:tcW w:w="1000" w:type="dxa"/>
            <w:vAlign w:val="bottom"/>
            <w:gridSpan w:val="2"/>
            <w:shd w:val="clear" w:color="auto" w:fill="CCEEFF"/>
          </w:tcPr>
          <w:p>
            <w:pPr>
              <w:jc w:val="right"/>
              <w:ind w:right="163"/>
              <w:spacing w:after="0"/>
              <w:rPr>
                <w:sz w:val="20"/>
                <w:szCs w:val="20"/>
                <w:color w:val="auto"/>
              </w:rPr>
            </w:pPr>
            <w:r>
              <w:rPr>
                <w:rFonts w:ascii="Arial" w:cs="Arial" w:eastAsia="Arial" w:hAnsi="Arial"/>
                <w:sz w:val="13"/>
                <w:szCs w:val="13"/>
                <w:color w:val="auto"/>
              </w:rPr>
              <w:t>(2,104)</w:t>
            </w:r>
          </w:p>
        </w:tc>
        <w:tc>
          <w:tcPr>
            <w:tcW w:w="1000" w:type="dxa"/>
            <w:vAlign w:val="bottom"/>
            <w:gridSpan w:val="2"/>
            <w:shd w:val="clear" w:color="auto" w:fill="CCEEFF"/>
          </w:tcPr>
          <w:p>
            <w:pPr>
              <w:jc w:val="right"/>
              <w:ind w:right="176"/>
              <w:spacing w:after="0"/>
              <w:rPr>
                <w:sz w:val="20"/>
                <w:szCs w:val="20"/>
                <w:color w:val="auto"/>
              </w:rPr>
            </w:pPr>
            <w:r>
              <w:rPr>
                <w:rFonts w:ascii="Arial" w:cs="Arial" w:eastAsia="Arial" w:hAnsi="Arial"/>
                <w:sz w:val="13"/>
                <w:szCs w:val="13"/>
                <w:color w:val="auto"/>
              </w:rPr>
              <w:t>19</w:t>
            </w:r>
          </w:p>
        </w:tc>
        <w:tc>
          <w:tcPr>
            <w:tcW w:w="1000" w:type="dxa"/>
            <w:vAlign w:val="bottom"/>
            <w:gridSpan w:val="2"/>
            <w:shd w:val="clear" w:color="auto" w:fill="CCEEFF"/>
          </w:tcPr>
          <w:p>
            <w:pPr>
              <w:jc w:val="right"/>
              <w:ind w:right="176"/>
              <w:spacing w:after="0"/>
              <w:rPr>
                <w:sz w:val="20"/>
                <w:szCs w:val="20"/>
                <w:color w:val="auto"/>
              </w:rPr>
            </w:pPr>
            <w:r>
              <w:rPr>
                <w:rFonts w:ascii="Arial" w:cs="Arial" w:eastAsia="Arial" w:hAnsi="Arial"/>
                <w:sz w:val="13"/>
                <w:szCs w:val="13"/>
                <w:color w:val="auto"/>
              </w:rPr>
              <w:t>78</w:t>
            </w:r>
          </w:p>
        </w:tc>
        <w:tc>
          <w:tcPr>
            <w:tcW w:w="960" w:type="dxa"/>
            <w:vAlign w:val="bottom"/>
            <w:gridSpan w:val="2"/>
            <w:shd w:val="clear" w:color="auto" w:fill="CCEEFF"/>
          </w:tcPr>
          <w:p>
            <w:pPr>
              <w:jc w:val="right"/>
              <w:ind w:right="163"/>
              <w:spacing w:after="0"/>
              <w:rPr>
                <w:sz w:val="20"/>
                <w:szCs w:val="20"/>
                <w:color w:val="auto"/>
              </w:rPr>
            </w:pPr>
            <w:r>
              <w:rPr>
                <w:rFonts w:ascii="Arial" w:cs="Arial" w:eastAsia="Arial" w:hAnsi="Arial"/>
                <w:sz w:val="13"/>
                <w:szCs w:val="13"/>
                <w:color w:val="auto"/>
              </w:rPr>
              <w:t>1,111</w:t>
            </w:r>
          </w:p>
        </w:tc>
        <w:tc>
          <w:tcPr>
            <w:tcW w:w="7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4"/>
                <w:szCs w:val="14"/>
                <w:color w:val="auto"/>
              </w:rPr>
            </w:pPr>
          </w:p>
        </w:tc>
        <w:tc>
          <w:tcPr>
            <w:tcW w:w="960" w:type="dxa"/>
            <w:vAlign w:val="bottom"/>
            <w:gridSpan w:val="2"/>
            <w:shd w:val="clear" w:color="auto" w:fill="CCEEFF"/>
          </w:tcPr>
          <w:p>
            <w:pPr>
              <w:jc w:val="right"/>
              <w:ind w:right="123"/>
              <w:spacing w:after="0"/>
              <w:rPr>
                <w:sz w:val="20"/>
                <w:szCs w:val="20"/>
                <w:color w:val="auto"/>
              </w:rPr>
            </w:pPr>
            <w:r>
              <w:rPr>
                <w:rFonts w:ascii="Arial" w:cs="Arial" w:eastAsia="Arial" w:hAnsi="Arial"/>
                <w:sz w:val="13"/>
                <w:szCs w:val="13"/>
                <w:color w:val="auto"/>
              </w:rPr>
              <w:t>(896)</w:t>
            </w:r>
          </w:p>
        </w:tc>
        <w:tc>
          <w:tcPr>
            <w:tcW w:w="860" w:type="dxa"/>
            <w:vAlign w:val="bottom"/>
            <w:gridSpan w:val="2"/>
            <w:shd w:val="clear" w:color="auto" w:fill="CCEEFF"/>
          </w:tcPr>
          <w:p>
            <w:pPr>
              <w:jc w:val="right"/>
              <w:ind w:right="63"/>
              <w:spacing w:after="0"/>
              <w:rPr>
                <w:sz w:val="20"/>
                <w:szCs w:val="20"/>
                <w:color w:val="auto"/>
              </w:rPr>
            </w:pPr>
            <w:r>
              <w:rPr>
                <w:rFonts w:ascii="Arial" w:cs="Arial" w:eastAsia="Arial" w:hAnsi="Arial"/>
                <w:sz w:val="13"/>
                <w:szCs w:val="13"/>
                <w:color w:val="auto"/>
              </w:rPr>
              <w:t>2,688</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4160" w:type="dxa"/>
            <w:vAlign w:val="bottom"/>
            <w:tcBorders>
              <w:bottom w:val="single" w:sz="8" w:color="CCEEFF"/>
            </w:tcBorders>
          </w:tcPr>
          <w:p>
            <w:pPr>
              <w:spacing w:after="0" w:line="146" w:lineRule="exact"/>
              <w:rPr>
                <w:sz w:val="20"/>
                <w:szCs w:val="20"/>
                <w:color w:val="auto"/>
              </w:rPr>
            </w:pPr>
            <w:r>
              <w:rPr>
                <w:rFonts w:ascii="Arial" w:cs="Arial" w:eastAsia="Arial" w:hAnsi="Arial"/>
                <w:sz w:val="13"/>
                <w:szCs w:val="13"/>
                <w:b w:val="1"/>
                <w:bCs w:val="1"/>
                <w:color w:val="auto"/>
              </w:rPr>
              <w:t>Total</w:t>
            </w: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3,632,432</w:t>
            </w:r>
          </w:p>
        </w:tc>
        <w:tc>
          <w:tcPr>
            <w:tcW w:w="240" w:type="dxa"/>
            <w:vAlign w:val="bottom"/>
            <w:tcBorders>
              <w:bottom w:val="single" w:sz="8" w:color="CCEEFF"/>
            </w:tcBorders>
          </w:tcPr>
          <w:p>
            <w:pPr>
              <w:spacing w:after="0"/>
              <w:rPr>
                <w:sz w:val="14"/>
                <w:szCs w:val="14"/>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1,439,400</w:t>
            </w:r>
          </w:p>
        </w:tc>
        <w:tc>
          <w:tcPr>
            <w:tcW w:w="240" w:type="dxa"/>
            <w:vAlign w:val="bottom"/>
            <w:tcBorders>
              <w:bottom w:val="single" w:sz="8" w:color="CCEEFF"/>
            </w:tcBorders>
          </w:tcPr>
          <w:p>
            <w:pPr>
              <w:spacing w:after="0"/>
              <w:rPr>
                <w:sz w:val="14"/>
                <w:szCs w:val="14"/>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993,981</w:t>
            </w:r>
          </w:p>
        </w:tc>
        <w:tc>
          <w:tcPr>
            <w:tcW w:w="240" w:type="dxa"/>
            <w:vAlign w:val="bottom"/>
            <w:tcBorders>
              <w:bottom w:val="single" w:sz="8" w:color="CCEEFF"/>
            </w:tcBorders>
          </w:tcPr>
          <w:p>
            <w:pPr>
              <w:spacing w:after="0"/>
              <w:rPr>
                <w:sz w:val="14"/>
                <w:szCs w:val="14"/>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1,682,471</w:t>
            </w:r>
          </w:p>
        </w:tc>
        <w:tc>
          <w:tcPr>
            <w:tcW w:w="200" w:type="dxa"/>
            <w:vAlign w:val="bottom"/>
            <w:tcBorders>
              <w:bottom w:val="single" w:sz="8" w:color="CCEEFF"/>
            </w:tcBorders>
          </w:tcPr>
          <w:p>
            <w:pPr>
              <w:spacing w:after="0"/>
              <w:rPr>
                <w:sz w:val="14"/>
                <w:szCs w:val="14"/>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33,778</w:t>
            </w:r>
          </w:p>
        </w:tc>
        <w:tc>
          <w:tcPr>
            <w:tcW w:w="200" w:type="dxa"/>
            <w:vAlign w:val="bottom"/>
            <w:tcBorders>
              <w:bottom w:val="single" w:sz="8" w:color="CCEEFF"/>
            </w:tcBorders>
          </w:tcPr>
          <w:p>
            <w:pPr>
              <w:spacing w:after="0"/>
              <w:rPr>
                <w:sz w:val="14"/>
                <w:szCs w:val="14"/>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7,782,062</w:t>
            </w:r>
          </w:p>
        </w:tc>
        <w:tc>
          <w:tcPr>
            <w:tcW w:w="200" w:type="dxa"/>
            <w:vAlign w:val="bottom"/>
            <w:tcBorders>
              <w:bottom w:val="single" w:sz="8" w:color="CCEEFF"/>
            </w:tcBorders>
          </w:tcPr>
          <w:p>
            <w:pPr>
              <w:spacing w:after="0"/>
              <w:rPr>
                <w:sz w:val="14"/>
                <w:szCs w:val="14"/>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7,574,196</w:t>
            </w:r>
          </w:p>
        </w:tc>
        <w:tc>
          <w:tcPr>
            <w:tcW w:w="100" w:type="dxa"/>
            <w:vAlign w:val="bottom"/>
            <w:tcBorders>
              <w:bottom w:val="single" w:sz="8" w:color="CCEEFF"/>
            </w:tcBorders>
          </w:tcPr>
          <w:p>
            <w:pPr>
              <w:spacing w:after="0"/>
              <w:rPr>
                <w:sz w:val="14"/>
                <w:szCs w:val="14"/>
                <w:color w:val="auto"/>
              </w:rPr>
            </w:pP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4160" w:type="dxa"/>
            <w:vAlign w:val="bottom"/>
            <w:shd w:val="clear" w:color="auto" w:fill="CCEEFF"/>
          </w:tcPr>
          <w:p>
            <w:pPr>
              <w:spacing w:after="0"/>
              <w:rPr>
                <w:sz w:val="13"/>
                <w:szCs w:val="13"/>
                <w:color w:val="auto"/>
              </w:rPr>
            </w:pPr>
          </w:p>
        </w:tc>
        <w:tc>
          <w:tcPr>
            <w:tcW w:w="7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7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7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76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76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76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7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4160" w:type="dxa"/>
            <w:vAlign w:val="bottom"/>
          </w:tcPr>
          <w:p>
            <w:pPr>
              <w:spacing w:after="0"/>
              <w:rPr>
                <w:sz w:val="20"/>
                <w:szCs w:val="20"/>
                <w:color w:val="auto"/>
              </w:rPr>
            </w:pPr>
            <w:r>
              <w:rPr>
                <w:rFonts w:ascii="Arial" w:cs="Arial" w:eastAsia="Arial" w:hAnsi="Arial"/>
                <w:sz w:val="13"/>
                <w:szCs w:val="13"/>
                <w:b w:val="1"/>
                <w:bCs w:val="1"/>
                <w:color w:val="auto"/>
              </w:rPr>
              <w:t>Liabilities</w:t>
            </w:r>
          </w:p>
        </w:tc>
        <w:tc>
          <w:tcPr>
            <w:tcW w:w="7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160" w:type="dxa"/>
            <w:vAlign w:val="bottom"/>
            <w:shd w:val="clear" w:color="auto" w:fill="CCEEFF"/>
          </w:tcPr>
          <w:p>
            <w:pPr>
              <w:spacing w:after="0"/>
              <w:rPr>
                <w:sz w:val="20"/>
                <w:szCs w:val="20"/>
                <w:color w:val="auto"/>
              </w:rPr>
            </w:pPr>
            <w:r>
              <w:rPr>
                <w:rFonts w:ascii="Arial" w:cs="Arial" w:eastAsia="Arial" w:hAnsi="Arial"/>
                <w:sz w:val="13"/>
                <w:szCs w:val="13"/>
                <w:color w:val="auto"/>
              </w:rPr>
              <w:t>Deposits</w:t>
            </w:r>
          </w:p>
        </w:tc>
        <w:tc>
          <w:tcPr>
            <w:tcW w:w="1000" w:type="dxa"/>
            <w:vAlign w:val="bottom"/>
            <w:gridSpan w:val="2"/>
            <w:shd w:val="clear" w:color="auto" w:fill="CCEEFF"/>
          </w:tcPr>
          <w:p>
            <w:pPr>
              <w:jc w:val="right"/>
              <w:ind w:right="163"/>
              <w:spacing w:after="0"/>
              <w:rPr>
                <w:sz w:val="20"/>
                <w:szCs w:val="20"/>
                <w:color w:val="auto"/>
              </w:rPr>
            </w:pPr>
            <w:r>
              <w:rPr>
                <w:rFonts w:ascii="Arial" w:cs="Arial" w:eastAsia="Arial" w:hAnsi="Arial"/>
                <w:sz w:val="13"/>
                <w:szCs w:val="13"/>
                <w:color w:val="auto"/>
              </w:rPr>
              <w:t>(2,515,096)</w:t>
            </w:r>
          </w:p>
        </w:tc>
        <w:tc>
          <w:tcPr>
            <w:tcW w:w="1000" w:type="dxa"/>
            <w:vAlign w:val="bottom"/>
            <w:gridSpan w:val="2"/>
            <w:shd w:val="clear" w:color="auto" w:fill="CCEEFF"/>
          </w:tcPr>
          <w:p>
            <w:pPr>
              <w:jc w:val="right"/>
              <w:ind w:right="116"/>
              <w:spacing w:after="0"/>
              <w:rPr>
                <w:sz w:val="20"/>
                <w:szCs w:val="20"/>
                <w:color w:val="auto"/>
              </w:rPr>
            </w:pPr>
            <w:r>
              <w:rPr>
                <w:rFonts w:ascii="Arial" w:cs="Arial" w:eastAsia="Arial" w:hAnsi="Arial"/>
                <w:sz w:val="13"/>
                <w:szCs w:val="13"/>
                <w:color w:val="auto"/>
              </w:rPr>
              <w:t>(291,804)</w:t>
            </w:r>
          </w:p>
        </w:tc>
        <w:tc>
          <w:tcPr>
            <w:tcW w:w="1000" w:type="dxa"/>
            <w:vAlign w:val="bottom"/>
            <w:gridSpan w:val="2"/>
            <w:shd w:val="clear" w:color="auto" w:fill="CCEEFF"/>
          </w:tcPr>
          <w:p>
            <w:pPr>
              <w:jc w:val="right"/>
              <w:ind w:right="116"/>
              <w:spacing w:after="0"/>
              <w:rPr>
                <w:sz w:val="20"/>
                <w:szCs w:val="20"/>
                <w:color w:val="auto"/>
              </w:rPr>
            </w:pPr>
            <w:r>
              <w:rPr>
                <w:rFonts w:ascii="Arial" w:cs="Arial" w:eastAsia="Arial" w:hAnsi="Arial"/>
                <w:sz w:val="13"/>
                <w:szCs w:val="13"/>
                <w:color w:val="auto"/>
              </w:rPr>
              <w:t>(184,360)</w:t>
            </w:r>
          </w:p>
        </w:tc>
        <w:tc>
          <w:tcPr>
            <w:tcW w:w="7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123"/>
              <w:spacing w:after="0"/>
              <w:rPr>
                <w:sz w:val="20"/>
                <w:szCs w:val="20"/>
                <w:color w:val="auto"/>
              </w:rPr>
            </w:pPr>
            <w:r>
              <w:rPr>
                <w:rFonts w:ascii="Arial" w:cs="Arial" w:eastAsia="Arial" w:hAnsi="Arial"/>
                <w:sz w:val="13"/>
                <w:szCs w:val="13"/>
                <w:color w:val="auto"/>
              </w:rPr>
              <w:t>(2,991,260)</w:t>
            </w:r>
          </w:p>
        </w:tc>
        <w:tc>
          <w:tcPr>
            <w:tcW w:w="860" w:type="dxa"/>
            <w:vAlign w:val="bottom"/>
            <w:gridSpan w:val="2"/>
            <w:shd w:val="clear" w:color="auto" w:fill="CCEEFF"/>
          </w:tcPr>
          <w:p>
            <w:pPr>
              <w:jc w:val="right"/>
              <w:ind w:right="23"/>
              <w:spacing w:after="0"/>
              <w:rPr>
                <w:sz w:val="20"/>
                <w:szCs w:val="20"/>
                <w:color w:val="auto"/>
              </w:rPr>
            </w:pPr>
            <w:r>
              <w:rPr>
                <w:rFonts w:ascii="Arial" w:cs="Arial" w:eastAsia="Arial" w:hAnsi="Arial"/>
                <w:sz w:val="13"/>
                <w:szCs w:val="13"/>
                <w:color w:val="auto"/>
              </w:rPr>
              <w:t>(2,982,976)</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160" w:type="dxa"/>
            <w:vAlign w:val="bottom"/>
          </w:tcPr>
          <w:p>
            <w:pPr>
              <w:spacing w:after="0"/>
              <w:rPr>
                <w:sz w:val="20"/>
                <w:szCs w:val="20"/>
                <w:color w:val="auto"/>
              </w:rPr>
            </w:pPr>
            <w:r>
              <w:rPr>
                <w:rFonts w:ascii="Arial" w:cs="Arial" w:eastAsia="Arial" w:hAnsi="Arial"/>
                <w:sz w:val="13"/>
                <w:szCs w:val="13"/>
                <w:color w:val="auto"/>
              </w:rPr>
              <w:t>Securities sold under repurchase agreements</w:t>
            </w:r>
          </w:p>
        </w:tc>
        <w:tc>
          <w:tcPr>
            <w:tcW w:w="1000" w:type="dxa"/>
            <w:vAlign w:val="bottom"/>
            <w:gridSpan w:val="2"/>
          </w:tcPr>
          <w:p>
            <w:pPr>
              <w:jc w:val="right"/>
              <w:ind w:right="163"/>
              <w:spacing w:after="0"/>
              <w:rPr>
                <w:sz w:val="20"/>
                <w:szCs w:val="20"/>
                <w:color w:val="auto"/>
              </w:rPr>
            </w:pPr>
            <w:r>
              <w:rPr>
                <w:rFonts w:ascii="Arial" w:cs="Arial" w:eastAsia="Arial" w:hAnsi="Arial"/>
                <w:sz w:val="13"/>
                <w:szCs w:val="13"/>
                <w:color w:val="auto"/>
              </w:rPr>
              <w:t>(11,604)</w:t>
            </w:r>
          </w:p>
        </w:tc>
        <w:tc>
          <w:tcPr>
            <w:tcW w:w="1000" w:type="dxa"/>
            <w:vAlign w:val="bottom"/>
            <w:gridSpan w:val="2"/>
          </w:tcPr>
          <w:p>
            <w:pPr>
              <w:jc w:val="right"/>
              <w:ind w:right="176"/>
              <w:spacing w:after="0"/>
              <w:rPr>
                <w:sz w:val="20"/>
                <w:szCs w:val="20"/>
                <w:color w:val="auto"/>
              </w:rPr>
            </w:pPr>
            <w:r>
              <w:rPr>
                <w:rFonts w:ascii="Arial" w:cs="Arial" w:eastAsia="Arial" w:hAnsi="Arial"/>
                <w:sz w:val="13"/>
                <w:szCs w:val="13"/>
                <w:color w:val="auto"/>
              </w:rPr>
              <w:t>-</w:t>
            </w:r>
          </w:p>
        </w:tc>
        <w:tc>
          <w:tcPr>
            <w:tcW w:w="1000" w:type="dxa"/>
            <w:vAlign w:val="bottom"/>
            <w:gridSpan w:val="2"/>
          </w:tcPr>
          <w:p>
            <w:pPr>
              <w:jc w:val="right"/>
              <w:ind w:right="116"/>
              <w:spacing w:after="0"/>
              <w:rPr>
                <w:sz w:val="20"/>
                <w:szCs w:val="20"/>
                <w:color w:val="auto"/>
              </w:rPr>
            </w:pPr>
            <w:r>
              <w:rPr>
                <w:rFonts w:ascii="Arial" w:cs="Arial" w:eastAsia="Arial" w:hAnsi="Arial"/>
                <w:sz w:val="13"/>
                <w:szCs w:val="13"/>
                <w:color w:val="auto"/>
              </w:rPr>
              <w:t>(28,873)</w:t>
            </w:r>
          </w:p>
        </w:tc>
        <w:tc>
          <w:tcPr>
            <w:tcW w:w="76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76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960" w:type="dxa"/>
            <w:vAlign w:val="bottom"/>
            <w:gridSpan w:val="2"/>
          </w:tcPr>
          <w:p>
            <w:pPr>
              <w:jc w:val="right"/>
              <w:ind w:right="123"/>
              <w:spacing w:after="0"/>
              <w:rPr>
                <w:sz w:val="20"/>
                <w:szCs w:val="20"/>
                <w:color w:val="auto"/>
              </w:rPr>
            </w:pPr>
            <w:r>
              <w:rPr>
                <w:rFonts w:ascii="Arial" w:cs="Arial" w:eastAsia="Arial" w:hAnsi="Arial"/>
                <w:sz w:val="13"/>
                <w:szCs w:val="13"/>
                <w:color w:val="auto"/>
              </w:rPr>
              <w:t>(40,477)</w:t>
            </w:r>
          </w:p>
        </w:tc>
        <w:tc>
          <w:tcPr>
            <w:tcW w:w="860" w:type="dxa"/>
            <w:vAlign w:val="bottom"/>
            <w:gridSpan w:val="2"/>
          </w:tcPr>
          <w:p>
            <w:pPr>
              <w:jc w:val="right"/>
              <w:ind w:right="23"/>
              <w:spacing w:after="0"/>
              <w:rPr>
                <w:sz w:val="20"/>
                <w:szCs w:val="20"/>
                <w:color w:val="auto"/>
              </w:rPr>
            </w:pPr>
            <w:r>
              <w:rPr>
                <w:rFonts w:ascii="Arial" w:cs="Arial" w:eastAsia="Arial" w:hAnsi="Arial"/>
                <w:sz w:val="13"/>
                <w:szCs w:val="13"/>
                <w:color w:val="auto"/>
              </w:rPr>
              <w:t>(39,767)</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160" w:type="dxa"/>
            <w:vAlign w:val="bottom"/>
            <w:shd w:val="clear" w:color="auto" w:fill="CCEEFF"/>
          </w:tcPr>
          <w:p>
            <w:pPr>
              <w:spacing w:after="0"/>
              <w:rPr>
                <w:sz w:val="20"/>
                <w:szCs w:val="20"/>
                <w:color w:val="auto"/>
              </w:rPr>
            </w:pPr>
            <w:r>
              <w:rPr>
                <w:rFonts w:ascii="Arial" w:cs="Arial" w:eastAsia="Arial" w:hAnsi="Arial"/>
                <w:sz w:val="13"/>
                <w:szCs w:val="13"/>
                <w:color w:val="auto"/>
              </w:rPr>
              <w:t>Borrowings and debt, net</w:t>
            </w:r>
          </w:p>
        </w:tc>
        <w:tc>
          <w:tcPr>
            <w:tcW w:w="1000" w:type="dxa"/>
            <w:vAlign w:val="bottom"/>
            <w:gridSpan w:val="2"/>
            <w:shd w:val="clear" w:color="auto" w:fill="CCEEFF"/>
          </w:tcPr>
          <w:p>
            <w:pPr>
              <w:jc w:val="right"/>
              <w:ind w:right="163"/>
              <w:spacing w:after="0"/>
              <w:rPr>
                <w:sz w:val="20"/>
                <w:szCs w:val="20"/>
                <w:color w:val="auto"/>
              </w:rPr>
            </w:pPr>
            <w:r>
              <w:rPr>
                <w:rFonts w:ascii="Arial" w:cs="Arial" w:eastAsia="Arial" w:hAnsi="Arial"/>
                <w:sz w:val="13"/>
                <w:szCs w:val="13"/>
                <w:color w:val="auto"/>
              </w:rPr>
              <w:t>(956,634)</w:t>
            </w:r>
          </w:p>
        </w:tc>
        <w:tc>
          <w:tcPr>
            <w:tcW w:w="1000" w:type="dxa"/>
            <w:vAlign w:val="bottom"/>
            <w:gridSpan w:val="2"/>
            <w:shd w:val="clear" w:color="auto" w:fill="CCEEFF"/>
          </w:tcPr>
          <w:p>
            <w:pPr>
              <w:jc w:val="right"/>
              <w:ind w:right="116"/>
              <w:spacing w:after="0"/>
              <w:rPr>
                <w:sz w:val="20"/>
                <w:szCs w:val="20"/>
                <w:color w:val="auto"/>
              </w:rPr>
            </w:pPr>
            <w:r>
              <w:rPr>
                <w:rFonts w:ascii="Arial" w:cs="Arial" w:eastAsia="Arial" w:hAnsi="Arial"/>
                <w:sz w:val="13"/>
                <w:szCs w:val="13"/>
                <w:color w:val="auto"/>
              </w:rPr>
              <w:t>(402,871)</w:t>
            </w:r>
          </w:p>
        </w:tc>
        <w:tc>
          <w:tcPr>
            <w:tcW w:w="1000" w:type="dxa"/>
            <w:vAlign w:val="bottom"/>
            <w:gridSpan w:val="2"/>
            <w:shd w:val="clear" w:color="auto" w:fill="CCEEFF"/>
          </w:tcPr>
          <w:p>
            <w:pPr>
              <w:jc w:val="right"/>
              <w:ind w:right="116"/>
              <w:spacing w:after="0"/>
              <w:rPr>
                <w:sz w:val="20"/>
                <w:szCs w:val="20"/>
                <w:color w:val="auto"/>
              </w:rPr>
            </w:pPr>
            <w:r>
              <w:rPr>
                <w:rFonts w:ascii="Arial" w:cs="Arial" w:eastAsia="Arial" w:hAnsi="Arial"/>
                <w:sz w:val="13"/>
                <w:szCs w:val="13"/>
                <w:color w:val="auto"/>
              </w:rPr>
              <w:t>(958,442)</w:t>
            </w:r>
          </w:p>
        </w:tc>
        <w:tc>
          <w:tcPr>
            <w:tcW w:w="960" w:type="dxa"/>
            <w:vAlign w:val="bottom"/>
            <w:gridSpan w:val="2"/>
            <w:shd w:val="clear" w:color="auto" w:fill="CCEEFF"/>
          </w:tcPr>
          <w:p>
            <w:pPr>
              <w:jc w:val="right"/>
              <w:ind w:right="123"/>
              <w:spacing w:after="0"/>
              <w:rPr>
                <w:sz w:val="20"/>
                <w:szCs w:val="20"/>
                <w:color w:val="auto"/>
              </w:rPr>
            </w:pPr>
            <w:r>
              <w:rPr>
                <w:rFonts w:ascii="Arial" w:cs="Arial" w:eastAsia="Arial" w:hAnsi="Arial"/>
                <w:sz w:val="13"/>
                <w:szCs w:val="13"/>
                <w:color w:val="auto"/>
              </w:rPr>
              <w:t>(1,281,454)</w:t>
            </w:r>
          </w:p>
        </w:tc>
        <w:tc>
          <w:tcPr>
            <w:tcW w:w="960" w:type="dxa"/>
            <w:vAlign w:val="bottom"/>
            <w:gridSpan w:val="2"/>
            <w:shd w:val="clear" w:color="auto" w:fill="CCEEFF"/>
          </w:tcPr>
          <w:p>
            <w:pPr>
              <w:jc w:val="right"/>
              <w:ind w:right="123"/>
              <w:spacing w:after="0"/>
              <w:rPr>
                <w:sz w:val="20"/>
                <w:szCs w:val="20"/>
                <w:color w:val="auto"/>
              </w:rPr>
            </w:pPr>
            <w:r>
              <w:rPr>
                <w:rFonts w:ascii="Arial" w:cs="Arial" w:eastAsia="Arial" w:hAnsi="Arial"/>
                <w:sz w:val="13"/>
                <w:szCs w:val="13"/>
                <w:color w:val="auto"/>
              </w:rPr>
              <w:t>(68,464)</w:t>
            </w:r>
          </w:p>
        </w:tc>
        <w:tc>
          <w:tcPr>
            <w:tcW w:w="960" w:type="dxa"/>
            <w:vAlign w:val="bottom"/>
            <w:gridSpan w:val="2"/>
            <w:shd w:val="clear" w:color="auto" w:fill="CCEEFF"/>
          </w:tcPr>
          <w:p>
            <w:pPr>
              <w:jc w:val="right"/>
              <w:ind w:right="123"/>
              <w:spacing w:after="0"/>
              <w:rPr>
                <w:sz w:val="20"/>
                <w:szCs w:val="20"/>
                <w:color w:val="auto"/>
              </w:rPr>
            </w:pPr>
            <w:r>
              <w:rPr>
                <w:rFonts w:ascii="Arial" w:cs="Arial" w:eastAsia="Arial" w:hAnsi="Arial"/>
                <w:sz w:val="13"/>
                <w:szCs w:val="13"/>
                <w:color w:val="auto"/>
              </w:rPr>
              <w:t>(3,667,865)</w:t>
            </w:r>
          </w:p>
        </w:tc>
        <w:tc>
          <w:tcPr>
            <w:tcW w:w="860" w:type="dxa"/>
            <w:vAlign w:val="bottom"/>
            <w:gridSpan w:val="2"/>
            <w:shd w:val="clear" w:color="auto" w:fill="CCEEFF"/>
          </w:tcPr>
          <w:p>
            <w:pPr>
              <w:jc w:val="right"/>
              <w:ind w:right="23"/>
              <w:spacing w:after="0"/>
              <w:rPr>
                <w:sz w:val="20"/>
                <w:szCs w:val="20"/>
                <w:color w:val="auto"/>
              </w:rPr>
            </w:pPr>
            <w:r>
              <w:rPr>
                <w:rFonts w:ascii="Arial" w:cs="Arial" w:eastAsia="Arial" w:hAnsi="Arial"/>
                <w:sz w:val="13"/>
                <w:szCs w:val="13"/>
                <w:color w:val="auto"/>
              </w:rPr>
              <w:t>(3,532,209)</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160" w:type="dxa"/>
            <w:vAlign w:val="bottom"/>
          </w:tcPr>
          <w:p>
            <w:pPr>
              <w:spacing w:after="0"/>
              <w:rPr>
                <w:sz w:val="20"/>
                <w:szCs w:val="20"/>
                <w:color w:val="auto"/>
              </w:rPr>
            </w:pPr>
            <w:r>
              <w:rPr>
                <w:rFonts w:ascii="Arial" w:cs="Arial" w:eastAsia="Arial" w:hAnsi="Arial"/>
                <w:sz w:val="13"/>
                <w:szCs w:val="13"/>
                <w:color w:val="auto"/>
              </w:rPr>
              <w:t>Derivative financial instruments – liabilities</w:t>
            </w:r>
          </w:p>
        </w:tc>
        <w:tc>
          <w:tcPr>
            <w:tcW w:w="1000" w:type="dxa"/>
            <w:vAlign w:val="bottom"/>
            <w:gridSpan w:val="2"/>
          </w:tcPr>
          <w:p>
            <w:pPr>
              <w:jc w:val="right"/>
              <w:ind w:right="163"/>
              <w:spacing w:after="0"/>
              <w:rPr>
                <w:sz w:val="20"/>
                <w:szCs w:val="20"/>
                <w:color w:val="auto"/>
              </w:rPr>
            </w:pPr>
            <w:r>
              <w:rPr>
                <w:rFonts w:ascii="Arial" w:cs="Arial" w:eastAsia="Arial" w:hAnsi="Arial"/>
                <w:sz w:val="13"/>
                <w:szCs w:val="13"/>
                <w:color w:val="auto"/>
              </w:rPr>
              <w:t>(4,421)</w:t>
            </w:r>
          </w:p>
        </w:tc>
        <w:tc>
          <w:tcPr>
            <w:tcW w:w="1000" w:type="dxa"/>
            <w:vAlign w:val="bottom"/>
            <w:gridSpan w:val="2"/>
          </w:tcPr>
          <w:p>
            <w:pPr>
              <w:jc w:val="right"/>
              <w:ind w:right="116"/>
              <w:spacing w:after="0"/>
              <w:rPr>
                <w:sz w:val="20"/>
                <w:szCs w:val="20"/>
                <w:color w:val="auto"/>
              </w:rPr>
            </w:pPr>
            <w:r>
              <w:rPr>
                <w:rFonts w:ascii="Arial" w:cs="Arial" w:eastAsia="Arial" w:hAnsi="Arial"/>
                <w:sz w:val="13"/>
                <w:szCs w:val="13"/>
                <w:color w:val="auto"/>
              </w:rPr>
              <w:t>(8,516)</w:t>
            </w:r>
          </w:p>
        </w:tc>
        <w:tc>
          <w:tcPr>
            <w:tcW w:w="1000" w:type="dxa"/>
            <w:vAlign w:val="bottom"/>
            <w:gridSpan w:val="2"/>
          </w:tcPr>
          <w:p>
            <w:pPr>
              <w:jc w:val="right"/>
              <w:ind w:right="116"/>
              <w:spacing w:after="0"/>
              <w:rPr>
                <w:sz w:val="20"/>
                <w:szCs w:val="20"/>
                <w:color w:val="auto"/>
              </w:rPr>
            </w:pPr>
            <w:r>
              <w:rPr>
                <w:rFonts w:ascii="Arial" w:cs="Arial" w:eastAsia="Arial" w:hAnsi="Arial"/>
                <w:sz w:val="13"/>
                <w:szCs w:val="13"/>
                <w:color w:val="auto"/>
              </w:rPr>
              <w:t>(3,946)</w:t>
            </w:r>
          </w:p>
        </w:tc>
        <w:tc>
          <w:tcPr>
            <w:tcW w:w="960" w:type="dxa"/>
            <w:vAlign w:val="bottom"/>
            <w:gridSpan w:val="2"/>
          </w:tcPr>
          <w:p>
            <w:pPr>
              <w:jc w:val="right"/>
              <w:ind w:right="123"/>
              <w:spacing w:after="0"/>
              <w:rPr>
                <w:sz w:val="20"/>
                <w:szCs w:val="20"/>
                <w:color w:val="auto"/>
              </w:rPr>
            </w:pPr>
            <w:r>
              <w:rPr>
                <w:rFonts w:ascii="Arial" w:cs="Arial" w:eastAsia="Arial" w:hAnsi="Arial"/>
                <w:sz w:val="13"/>
                <w:szCs w:val="13"/>
                <w:color w:val="auto"/>
              </w:rPr>
              <w:t>(8,634)</w:t>
            </w:r>
          </w:p>
        </w:tc>
        <w:tc>
          <w:tcPr>
            <w:tcW w:w="960" w:type="dxa"/>
            <w:vAlign w:val="bottom"/>
            <w:gridSpan w:val="2"/>
          </w:tcPr>
          <w:p>
            <w:pPr>
              <w:jc w:val="right"/>
              <w:ind w:right="123"/>
              <w:spacing w:after="0"/>
              <w:rPr>
                <w:sz w:val="20"/>
                <w:szCs w:val="20"/>
                <w:color w:val="auto"/>
              </w:rPr>
            </w:pPr>
            <w:r>
              <w:rPr>
                <w:rFonts w:ascii="Arial" w:cs="Arial" w:eastAsia="Arial" w:hAnsi="Arial"/>
                <w:sz w:val="13"/>
                <w:szCs w:val="13"/>
                <w:color w:val="auto"/>
              </w:rPr>
              <w:t>(3,260)</w:t>
            </w:r>
          </w:p>
        </w:tc>
        <w:tc>
          <w:tcPr>
            <w:tcW w:w="960" w:type="dxa"/>
            <w:vAlign w:val="bottom"/>
            <w:gridSpan w:val="2"/>
          </w:tcPr>
          <w:p>
            <w:pPr>
              <w:jc w:val="right"/>
              <w:ind w:right="123"/>
              <w:spacing w:after="0"/>
              <w:rPr>
                <w:sz w:val="20"/>
                <w:szCs w:val="20"/>
                <w:color w:val="auto"/>
              </w:rPr>
            </w:pPr>
            <w:r>
              <w:rPr>
                <w:rFonts w:ascii="Arial" w:cs="Arial" w:eastAsia="Arial" w:hAnsi="Arial"/>
                <w:sz w:val="13"/>
                <w:szCs w:val="13"/>
                <w:color w:val="auto"/>
              </w:rPr>
              <w:t>(28,777)</w:t>
            </w:r>
          </w:p>
        </w:tc>
        <w:tc>
          <w:tcPr>
            <w:tcW w:w="860" w:type="dxa"/>
            <w:vAlign w:val="bottom"/>
            <w:gridSpan w:val="2"/>
          </w:tcPr>
          <w:p>
            <w:pPr>
              <w:jc w:val="right"/>
              <w:ind w:right="23"/>
              <w:spacing w:after="0"/>
              <w:rPr>
                <w:sz w:val="20"/>
                <w:szCs w:val="20"/>
                <w:color w:val="auto"/>
              </w:rPr>
            </w:pPr>
            <w:r>
              <w:rPr>
                <w:rFonts w:ascii="Arial" w:cs="Arial" w:eastAsia="Arial" w:hAnsi="Arial"/>
                <w:sz w:val="13"/>
                <w:szCs w:val="13"/>
                <w:color w:val="auto"/>
              </w:rPr>
              <w:t>(34,043)</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4160" w:type="dxa"/>
            <w:vAlign w:val="bottom"/>
            <w:tcBorders>
              <w:top w:val="single" w:sz="8" w:color="CCEEFF"/>
              <w:bottom w:val="single" w:sz="8" w:color="CCEEFF"/>
            </w:tcBorders>
            <w:shd w:val="clear" w:color="auto" w:fill="CCEEFF"/>
          </w:tcPr>
          <w:p>
            <w:pPr>
              <w:spacing w:after="0" w:line="146" w:lineRule="exact"/>
              <w:rPr>
                <w:sz w:val="20"/>
                <w:szCs w:val="20"/>
                <w:color w:val="auto"/>
              </w:rPr>
            </w:pPr>
            <w:r>
              <w:rPr>
                <w:rFonts w:ascii="Arial" w:cs="Arial" w:eastAsia="Arial" w:hAnsi="Arial"/>
                <w:sz w:val="13"/>
                <w:szCs w:val="13"/>
                <w:b w:val="1"/>
                <w:bCs w:val="1"/>
                <w:color w:val="auto"/>
              </w:rPr>
              <w:t>Total</w:t>
            </w: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(3,487,755</w:t>
            </w:r>
          </w:p>
        </w:tc>
        <w:tc>
          <w:tcPr>
            <w:tcW w:w="240" w:type="dxa"/>
            <w:vAlign w:val="bottom"/>
            <w:tcBorders>
              <w:top w:val="single" w:sz="8" w:color="CCEEFF"/>
              <w:bottom w:val="single" w:sz="8" w:color="CCEEFF"/>
            </w:tcBorders>
            <w:shd w:val="clear" w:color="auto" w:fill="CCEEFF"/>
          </w:tcPr>
          <w:p>
            <w:pPr>
              <w:jc w:val="right"/>
              <w:ind w:right="163"/>
              <w:spacing w:after="0"/>
              <w:rPr>
                <w:sz w:val="20"/>
                <w:szCs w:val="20"/>
                <w:color w:val="auto"/>
              </w:rPr>
            </w:pPr>
            <w:r>
              <w:rPr>
                <w:rFonts w:ascii="Arial" w:cs="Arial" w:eastAsia="Arial" w:hAnsi="Arial"/>
                <w:sz w:val="7"/>
                <w:szCs w:val="7"/>
                <w:b w:val="1"/>
                <w:bCs w:val="1"/>
                <w:color w:val="auto"/>
                <w:w w:val="83"/>
              </w:rPr>
              <w:t>)</w:t>
            </w: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(703,191</w:t>
            </w:r>
          </w:p>
        </w:tc>
        <w:tc>
          <w:tcPr>
            <w:tcW w:w="240" w:type="dxa"/>
            <w:vAlign w:val="bottom"/>
            <w:tcBorders>
              <w:top w:val="single" w:sz="8" w:color="CCEEFF"/>
              <w:bottom w:val="single" w:sz="8" w:color="CCEEFF"/>
            </w:tcBorders>
            <w:shd w:val="clear" w:color="auto" w:fill="CCEEFF"/>
          </w:tcPr>
          <w:p>
            <w:pPr>
              <w:jc w:val="right"/>
              <w:ind w:right="116"/>
              <w:spacing w:after="0" w:line="146" w:lineRule="exact"/>
              <w:rPr>
                <w:sz w:val="20"/>
                <w:szCs w:val="20"/>
                <w:color w:val="auto"/>
              </w:rPr>
            </w:pPr>
            <w:r>
              <w:rPr>
                <w:rFonts w:ascii="Arial" w:cs="Arial" w:eastAsia="Arial" w:hAnsi="Arial"/>
                <w:sz w:val="13"/>
                <w:szCs w:val="13"/>
                <w:b w:val="1"/>
                <w:bCs w:val="1"/>
                <w:color w:val="auto"/>
                <w:w w:val="91"/>
              </w:rPr>
              <w:t>)</w:t>
            </w: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(1,175,621</w:t>
            </w:r>
          </w:p>
        </w:tc>
        <w:tc>
          <w:tcPr>
            <w:tcW w:w="240" w:type="dxa"/>
            <w:vAlign w:val="bottom"/>
            <w:tcBorders>
              <w:top w:val="single" w:sz="8" w:color="CCEEFF"/>
              <w:bottom w:val="single" w:sz="8" w:color="CCEEFF"/>
            </w:tcBorders>
            <w:shd w:val="clear" w:color="auto" w:fill="CCEEFF"/>
          </w:tcPr>
          <w:p>
            <w:pPr>
              <w:jc w:val="right"/>
              <w:ind w:right="116"/>
              <w:spacing w:after="0" w:line="146" w:lineRule="exact"/>
              <w:rPr>
                <w:sz w:val="20"/>
                <w:szCs w:val="20"/>
                <w:color w:val="auto"/>
              </w:rPr>
            </w:pPr>
            <w:r>
              <w:rPr>
                <w:rFonts w:ascii="Arial" w:cs="Arial" w:eastAsia="Arial" w:hAnsi="Arial"/>
                <w:sz w:val="13"/>
                <w:szCs w:val="13"/>
                <w:b w:val="1"/>
                <w:bCs w:val="1"/>
                <w:color w:val="auto"/>
                <w:w w:val="91"/>
              </w:rPr>
              <w:t>)</w:t>
            </w: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(1,290,088</w:t>
            </w:r>
          </w:p>
        </w:tc>
        <w:tc>
          <w:tcPr>
            <w:tcW w:w="200" w:type="dxa"/>
            <w:vAlign w:val="bottom"/>
            <w:tcBorders>
              <w:top w:val="single" w:sz="8" w:color="CCEEFF"/>
              <w:bottom w:val="single" w:sz="8" w:color="CCEEFF"/>
            </w:tcBorders>
            <w:shd w:val="clear" w:color="auto" w:fill="CCEEFF"/>
          </w:tcPr>
          <w:p>
            <w:pPr>
              <w:jc w:val="right"/>
              <w:ind w:right="123"/>
              <w:spacing w:after="0"/>
              <w:rPr>
                <w:sz w:val="20"/>
                <w:szCs w:val="20"/>
                <w:color w:val="auto"/>
              </w:rPr>
            </w:pPr>
            <w:r>
              <w:rPr>
                <w:rFonts w:ascii="Arial" w:cs="Arial" w:eastAsia="Arial" w:hAnsi="Arial"/>
                <w:sz w:val="7"/>
                <w:szCs w:val="7"/>
                <w:b w:val="1"/>
                <w:bCs w:val="1"/>
                <w:color w:val="auto"/>
                <w:w w:val="83"/>
              </w:rPr>
              <w:t>)</w:t>
            </w: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(71,724</w:t>
            </w:r>
          </w:p>
        </w:tc>
        <w:tc>
          <w:tcPr>
            <w:tcW w:w="200" w:type="dxa"/>
            <w:vAlign w:val="bottom"/>
            <w:tcBorders>
              <w:top w:val="single" w:sz="8" w:color="CCEEFF"/>
              <w:bottom w:val="single" w:sz="8" w:color="CCEEFF"/>
            </w:tcBorders>
            <w:shd w:val="clear" w:color="auto" w:fill="CCEEFF"/>
          </w:tcPr>
          <w:p>
            <w:pPr>
              <w:jc w:val="right"/>
              <w:ind w:right="123"/>
              <w:spacing w:after="0"/>
              <w:rPr>
                <w:sz w:val="20"/>
                <w:szCs w:val="20"/>
                <w:color w:val="auto"/>
              </w:rPr>
            </w:pPr>
            <w:r>
              <w:rPr>
                <w:rFonts w:ascii="Arial" w:cs="Arial" w:eastAsia="Arial" w:hAnsi="Arial"/>
                <w:sz w:val="7"/>
                <w:szCs w:val="7"/>
                <w:b w:val="1"/>
                <w:bCs w:val="1"/>
                <w:color w:val="auto"/>
                <w:w w:val="83"/>
              </w:rPr>
              <w:t>)</w:t>
            </w: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(6,728,379</w:t>
            </w:r>
          </w:p>
        </w:tc>
        <w:tc>
          <w:tcPr>
            <w:tcW w:w="200" w:type="dxa"/>
            <w:vAlign w:val="bottom"/>
            <w:tcBorders>
              <w:top w:val="single" w:sz="8" w:color="CCEEFF"/>
              <w:bottom w:val="single" w:sz="8" w:color="CCEEFF"/>
            </w:tcBorders>
            <w:shd w:val="clear" w:color="auto" w:fill="CCEEFF"/>
          </w:tcPr>
          <w:p>
            <w:pPr>
              <w:jc w:val="right"/>
              <w:ind w:right="123"/>
              <w:spacing w:after="0"/>
              <w:rPr>
                <w:sz w:val="20"/>
                <w:szCs w:val="20"/>
                <w:color w:val="auto"/>
              </w:rPr>
            </w:pPr>
            <w:r>
              <w:rPr>
                <w:rFonts w:ascii="Arial" w:cs="Arial" w:eastAsia="Arial" w:hAnsi="Arial"/>
                <w:sz w:val="7"/>
                <w:szCs w:val="7"/>
                <w:b w:val="1"/>
                <w:bCs w:val="1"/>
                <w:color w:val="auto"/>
                <w:w w:val="83"/>
              </w:rPr>
              <w:t>)</w:t>
            </w: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(6,588,995</w:t>
            </w:r>
          </w:p>
        </w:tc>
        <w:tc>
          <w:tcPr>
            <w:tcW w:w="100" w:type="dxa"/>
            <w:vAlign w:val="bottom"/>
            <w:tcBorders>
              <w:top w:val="single" w:sz="8" w:color="CCEEFF"/>
              <w:bottom w:val="single" w:sz="8" w:color="CCEEFF"/>
            </w:tcBorders>
            <w:shd w:val="clear" w:color="auto" w:fill="CCEEFF"/>
          </w:tcPr>
          <w:p>
            <w:pPr>
              <w:jc w:val="right"/>
              <w:ind w:right="23"/>
              <w:spacing w:after="0"/>
              <w:rPr>
                <w:sz w:val="20"/>
                <w:szCs w:val="20"/>
                <w:color w:val="auto"/>
              </w:rPr>
            </w:pPr>
            <w:r>
              <w:rPr>
                <w:rFonts w:ascii="Arial" w:cs="Arial" w:eastAsia="Arial" w:hAnsi="Arial"/>
                <w:sz w:val="7"/>
                <w:szCs w:val="7"/>
                <w:b w:val="1"/>
                <w:bCs w:val="1"/>
                <w:color w:val="auto"/>
                <w:w w:val="83"/>
              </w:rPr>
              <w:t>)</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416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4160" w:type="dxa"/>
            <w:vAlign w:val="bottom"/>
            <w:shd w:val="clear" w:color="auto" w:fill="CCEEFF"/>
          </w:tcPr>
          <w:p>
            <w:pPr>
              <w:spacing w:after="0"/>
              <w:rPr>
                <w:sz w:val="20"/>
                <w:szCs w:val="20"/>
                <w:color w:val="auto"/>
              </w:rPr>
            </w:pPr>
            <w:r>
              <w:rPr>
                <w:rFonts w:ascii="Arial" w:cs="Arial" w:eastAsia="Arial" w:hAnsi="Arial"/>
                <w:sz w:val="13"/>
                <w:szCs w:val="13"/>
                <w:color w:val="auto"/>
              </w:rPr>
              <w:t>Confirmed letters of credit</w:t>
            </w:r>
          </w:p>
        </w:tc>
        <w:tc>
          <w:tcPr>
            <w:tcW w:w="1000" w:type="dxa"/>
            <w:vAlign w:val="bottom"/>
            <w:gridSpan w:val="2"/>
            <w:shd w:val="clear" w:color="auto" w:fill="CCEEFF"/>
          </w:tcPr>
          <w:p>
            <w:pPr>
              <w:jc w:val="right"/>
              <w:ind w:right="203"/>
              <w:spacing w:after="0"/>
              <w:rPr>
                <w:sz w:val="20"/>
                <w:szCs w:val="20"/>
                <w:color w:val="auto"/>
              </w:rPr>
            </w:pPr>
            <w:r>
              <w:rPr>
                <w:rFonts w:ascii="Arial" w:cs="Arial" w:eastAsia="Arial" w:hAnsi="Arial"/>
                <w:sz w:val="13"/>
                <w:szCs w:val="13"/>
                <w:color w:val="auto"/>
              </w:rPr>
              <w:t>75,720</w:t>
            </w:r>
          </w:p>
        </w:tc>
        <w:tc>
          <w:tcPr>
            <w:tcW w:w="1000" w:type="dxa"/>
            <w:vAlign w:val="bottom"/>
            <w:gridSpan w:val="2"/>
            <w:shd w:val="clear" w:color="auto" w:fill="CCEEFF"/>
          </w:tcPr>
          <w:p>
            <w:pPr>
              <w:jc w:val="right"/>
              <w:ind w:right="176"/>
              <w:spacing w:after="0"/>
              <w:rPr>
                <w:sz w:val="20"/>
                <w:szCs w:val="20"/>
                <w:color w:val="auto"/>
              </w:rPr>
            </w:pPr>
            <w:r>
              <w:rPr>
                <w:rFonts w:ascii="Arial" w:cs="Arial" w:eastAsia="Arial" w:hAnsi="Arial"/>
                <w:sz w:val="13"/>
                <w:szCs w:val="13"/>
                <w:color w:val="auto"/>
              </w:rPr>
              <w:t>141,985</w:t>
            </w:r>
          </w:p>
        </w:tc>
        <w:tc>
          <w:tcPr>
            <w:tcW w:w="1000" w:type="dxa"/>
            <w:vAlign w:val="bottom"/>
            <w:gridSpan w:val="2"/>
            <w:shd w:val="clear" w:color="auto" w:fill="CCEEFF"/>
          </w:tcPr>
          <w:p>
            <w:pPr>
              <w:jc w:val="right"/>
              <w:ind w:right="176"/>
              <w:spacing w:after="0"/>
              <w:rPr>
                <w:sz w:val="20"/>
                <w:szCs w:val="20"/>
                <w:color w:val="auto"/>
              </w:rPr>
            </w:pPr>
            <w:r>
              <w:rPr>
                <w:rFonts w:ascii="Arial" w:cs="Arial" w:eastAsia="Arial" w:hAnsi="Arial"/>
                <w:sz w:val="13"/>
                <w:szCs w:val="13"/>
                <w:color w:val="auto"/>
              </w:rPr>
              <w:t>1,283</w:t>
            </w:r>
          </w:p>
        </w:tc>
        <w:tc>
          <w:tcPr>
            <w:tcW w:w="7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163"/>
              <w:spacing w:after="0"/>
              <w:rPr>
                <w:sz w:val="20"/>
                <w:szCs w:val="20"/>
                <w:color w:val="auto"/>
              </w:rPr>
            </w:pPr>
            <w:r>
              <w:rPr>
                <w:rFonts w:ascii="Arial" w:cs="Arial" w:eastAsia="Arial" w:hAnsi="Arial"/>
                <w:sz w:val="13"/>
                <w:szCs w:val="13"/>
                <w:color w:val="auto"/>
              </w:rPr>
              <w:t>218,988</w:t>
            </w:r>
          </w:p>
        </w:tc>
        <w:tc>
          <w:tcPr>
            <w:tcW w:w="860" w:type="dxa"/>
            <w:vAlign w:val="bottom"/>
            <w:gridSpan w:val="2"/>
            <w:shd w:val="clear" w:color="auto" w:fill="CCEEFF"/>
          </w:tcPr>
          <w:p>
            <w:pPr>
              <w:jc w:val="right"/>
              <w:ind w:right="63"/>
              <w:spacing w:after="0"/>
              <w:rPr>
                <w:sz w:val="20"/>
                <w:szCs w:val="20"/>
                <w:color w:val="auto"/>
              </w:rPr>
            </w:pPr>
            <w:r>
              <w:rPr>
                <w:rFonts w:ascii="Arial" w:cs="Arial" w:eastAsia="Arial" w:hAnsi="Arial"/>
                <w:sz w:val="13"/>
                <w:szCs w:val="13"/>
                <w:color w:val="auto"/>
              </w:rPr>
              <w:t>218,988</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160" w:type="dxa"/>
            <w:vAlign w:val="bottom"/>
          </w:tcPr>
          <w:p>
            <w:pPr>
              <w:spacing w:after="0"/>
              <w:rPr>
                <w:sz w:val="20"/>
                <w:szCs w:val="20"/>
                <w:color w:val="auto"/>
              </w:rPr>
            </w:pPr>
            <w:r>
              <w:rPr>
                <w:rFonts w:ascii="Arial" w:cs="Arial" w:eastAsia="Arial" w:hAnsi="Arial"/>
                <w:sz w:val="13"/>
                <w:szCs w:val="13"/>
                <w:color w:val="auto"/>
              </w:rPr>
              <w:t>Stand-by letters of credit and guaranteed – commercial risk</w:t>
            </w:r>
          </w:p>
        </w:tc>
        <w:tc>
          <w:tcPr>
            <w:tcW w:w="1000" w:type="dxa"/>
            <w:vAlign w:val="bottom"/>
            <w:gridSpan w:val="2"/>
          </w:tcPr>
          <w:p>
            <w:pPr>
              <w:jc w:val="right"/>
              <w:ind w:right="203"/>
              <w:spacing w:after="0"/>
              <w:rPr>
                <w:sz w:val="20"/>
                <w:szCs w:val="20"/>
                <w:color w:val="auto"/>
              </w:rPr>
            </w:pPr>
            <w:r>
              <w:rPr>
                <w:rFonts w:ascii="Arial" w:cs="Arial" w:eastAsia="Arial" w:hAnsi="Arial"/>
                <w:sz w:val="13"/>
                <w:szCs w:val="13"/>
                <w:color w:val="auto"/>
              </w:rPr>
              <w:t>75,273</w:t>
            </w:r>
          </w:p>
        </w:tc>
        <w:tc>
          <w:tcPr>
            <w:tcW w:w="1000" w:type="dxa"/>
            <w:vAlign w:val="bottom"/>
            <w:gridSpan w:val="2"/>
          </w:tcPr>
          <w:p>
            <w:pPr>
              <w:jc w:val="right"/>
              <w:ind w:right="176"/>
              <w:spacing w:after="0"/>
              <w:rPr>
                <w:sz w:val="20"/>
                <w:szCs w:val="20"/>
                <w:color w:val="auto"/>
              </w:rPr>
            </w:pPr>
            <w:r>
              <w:rPr>
                <w:rFonts w:ascii="Arial" w:cs="Arial" w:eastAsia="Arial" w:hAnsi="Arial"/>
                <w:sz w:val="13"/>
                <w:szCs w:val="13"/>
                <w:color w:val="auto"/>
              </w:rPr>
              <w:t>31,107</w:t>
            </w:r>
          </w:p>
        </w:tc>
        <w:tc>
          <w:tcPr>
            <w:tcW w:w="1000" w:type="dxa"/>
            <w:vAlign w:val="bottom"/>
            <w:gridSpan w:val="2"/>
          </w:tcPr>
          <w:p>
            <w:pPr>
              <w:jc w:val="right"/>
              <w:ind w:right="176"/>
              <w:spacing w:after="0"/>
              <w:rPr>
                <w:sz w:val="20"/>
                <w:szCs w:val="20"/>
                <w:color w:val="auto"/>
              </w:rPr>
            </w:pPr>
            <w:r>
              <w:rPr>
                <w:rFonts w:ascii="Arial" w:cs="Arial" w:eastAsia="Arial" w:hAnsi="Arial"/>
                <w:sz w:val="13"/>
                <w:szCs w:val="13"/>
                <w:color w:val="auto"/>
              </w:rPr>
              <w:t>73,176</w:t>
            </w:r>
          </w:p>
        </w:tc>
        <w:tc>
          <w:tcPr>
            <w:tcW w:w="960" w:type="dxa"/>
            <w:vAlign w:val="bottom"/>
            <w:gridSpan w:val="2"/>
          </w:tcPr>
          <w:p>
            <w:pPr>
              <w:jc w:val="right"/>
              <w:ind w:right="163"/>
              <w:spacing w:after="0"/>
              <w:rPr>
                <w:sz w:val="20"/>
                <w:szCs w:val="20"/>
                <w:color w:val="auto"/>
              </w:rPr>
            </w:pPr>
            <w:r>
              <w:rPr>
                <w:rFonts w:ascii="Arial" w:cs="Arial" w:eastAsia="Arial" w:hAnsi="Arial"/>
                <w:sz w:val="13"/>
                <w:szCs w:val="13"/>
                <w:color w:val="auto"/>
              </w:rPr>
              <w:t>200</w:t>
            </w:r>
          </w:p>
        </w:tc>
        <w:tc>
          <w:tcPr>
            <w:tcW w:w="76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960" w:type="dxa"/>
            <w:vAlign w:val="bottom"/>
            <w:gridSpan w:val="2"/>
          </w:tcPr>
          <w:p>
            <w:pPr>
              <w:jc w:val="right"/>
              <w:ind w:right="163"/>
              <w:spacing w:after="0"/>
              <w:rPr>
                <w:sz w:val="20"/>
                <w:szCs w:val="20"/>
                <w:color w:val="auto"/>
              </w:rPr>
            </w:pPr>
            <w:r>
              <w:rPr>
                <w:rFonts w:ascii="Arial" w:cs="Arial" w:eastAsia="Arial" w:hAnsi="Arial"/>
                <w:sz w:val="13"/>
                <w:szCs w:val="13"/>
                <w:color w:val="auto"/>
              </w:rPr>
              <w:t>179,756</w:t>
            </w:r>
          </w:p>
        </w:tc>
        <w:tc>
          <w:tcPr>
            <w:tcW w:w="860" w:type="dxa"/>
            <w:vAlign w:val="bottom"/>
            <w:gridSpan w:val="2"/>
          </w:tcPr>
          <w:p>
            <w:pPr>
              <w:jc w:val="right"/>
              <w:ind w:right="63"/>
              <w:spacing w:after="0"/>
              <w:rPr>
                <w:sz w:val="20"/>
                <w:szCs w:val="20"/>
                <w:color w:val="auto"/>
              </w:rPr>
            </w:pPr>
            <w:r>
              <w:rPr>
                <w:rFonts w:ascii="Arial" w:cs="Arial" w:eastAsia="Arial" w:hAnsi="Arial"/>
                <w:sz w:val="13"/>
                <w:szCs w:val="13"/>
                <w:color w:val="auto"/>
              </w:rPr>
              <w:t>179,756</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160" w:type="dxa"/>
            <w:vAlign w:val="bottom"/>
            <w:shd w:val="clear" w:color="auto" w:fill="CCEEFF"/>
          </w:tcPr>
          <w:p>
            <w:pPr>
              <w:spacing w:after="0"/>
              <w:rPr>
                <w:sz w:val="20"/>
                <w:szCs w:val="20"/>
                <w:color w:val="auto"/>
              </w:rPr>
            </w:pPr>
            <w:r>
              <w:rPr>
                <w:rFonts w:ascii="Arial" w:cs="Arial" w:eastAsia="Arial" w:hAnsi="Arial"/>
                <w:sz w:val="13"/>
                <w:szCs w:val="13"/>
                <w:color w:val="auto"/>
              </w:rPr>
              <w:t>Credit commitments</w:t>
            </w:r>
          </w:p>
        </w:tc>
        <w:tc>
          <w:tcPr>
            <w:tcW w:w="1000" w:type="dxa"/>
            <w:vAlign w:val="bottom"/>
            <w:gridSpan w:val="2"/>
            <w:shd w:val="clear" w:color="auto" w:fill="CCEEFF"/>
          </w:tcPr>
          <w:p>
            <w:pPr>
              <w:jc w:val="right"/>
              <w:ind w:right="203"/>
              <w:spacing w:after="0"/>
              <w:rPr>
                <w:sz w:val="20"/>
                <w:szCs w:val="20"/>
                <w:color w:val="auto"/>
              </w:rPr>
            </w:pPr>
            <w:r>
              <w:rPr>
                <w:rFonts w:ascii="Arial" w:cs="Arial" w:eastAsia="Arial" w:hAnsi="Arial"/>
                <w:sz w:val="13"/>
                <w:szCs w:val="13"/>
                <w:color w:val="auto"/>
              </w:rPr>
              <w:t>36,000</w:t>
            </w:r>
          </w:p>
        </w:tc>
        <w:tc>
          <w:tcPr>
            <w:tcW w:w="1000" w:type="dxa"/>
            <w:vAlign w:val="bottom"/>
            <w:gridSpan w:val="2"/>
            <w:shd w:val="clear" w:color="auto" w:fill="CCEEFF"/>
          </w:tcPr>
          <w:p>
            <w:pPr>
              <w:jc w:val="right"/>
              <w:ind w:right="176"/>
              <w:spacing w:after="0"/>
              <w:rPr>
                <w:sz w:val="20"/>
                <w:szCs w:val="20"/>
                <w:color w:val="auto"/>
              </w:rPr>
            </w:pPr>
            <w:r>
              <w:rPr>
                <w:rFonts w:ascii="Arial" w:cs="Arial" w:eastAsia="Arial" w:hAnsi="Arial"/>
                <w:sz w:val="13"/>
                <w:szCs w:val="13"/>
                <w:color w:val="auto"/>
              </w:rPr>
              <w:t>-</w:t>
            </w:r>
          </w:p>
        </w:tc>
        <w:tc>
          <w:tcPr>
            <w:tcW w:w="1000" w:type="dxa"/>
            <w:vAlign w:val="bottom"/>
            <w:gridSpan w:val="2"/>
            <w:shd w:val="clear" w:color="auto" w:fill="CCEEFF"/>
          </w:tcPr>
          <w:p>
            <w:pPr>
              <w:jc w:val="right"/>
              <w:ind w:right="176"/>
              <w:spacing w:after="0"/>
              <w:rPr>
                <w:sz w:val="20"/>
                <w:szCs w:val="20"/>
                <w:color w:val="auto"/>
              </w:rPr>
            </w:pPr>
            <w:r>
              <w:rPr>
                <w:rFonts w:ascii="Arial" w:cs="Arial" w:eastAsia="Arial" w:hAnsi="Arial"/>
                <w:sz w:val="13"/>
                <w:szCs w:val="13"/>
                <w:color w:val="auto"/>
              </w:rPr>
              <w:t>-</w:t>
            </w:r>
          </w:p>
        </w:tc>
        <w:tc>
          <w:tcPr>
            <w:tcW w:w="960" w:type="dxa"/>
            <w:vAlign w:val="bottom"/>
            <w:gridSpan w:val="2"/>
            <w:shd w:val="clear" w:color="auto" w:fill="CCEEFF"/>
          </w:tcPr>
          <w:p>
            <w:pPr>
              <w:jc w:val="right"/>
              <w:ind w:right="163"/>
              <w:spacing w:after="0"/>
              <w:rPr>
                <w:sz w:val="20"/>
                <w:szCs w:val="20"/>
                <w:color w:val="auto"/>
              </w:rPr>
            </w:pPr>
            <w:r>
              <w:rPr>
                <w:rFonts w:ascii="Arial" w:cs="Arial" w:eastAsia="Arial" w:hAnsi="Arial"/>
                <w:sz w:val="13"/>
                <w:szCs w:val="13"/>
                <w:color w:val="auto"/>
              </w:rPr>
              <w:t>67,143</w:t>
            </w:r>
          </w:p>
        </w:tc>
        <w:tc>
          <w:tcPr>
            <w:tcW w:w="7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4"/>
                <w:szCs w:val="14"/>
                <w:color w:val="auto"/>
              </w:rPr>
            </w:pPr>
          </w:p>
        </w:tc>
        <w:tc>
          <w:tcPr>
            <w:tcW w:w="960" w:type="dxa"/>
            <w:vAlign w:val="bottom"/>
            <w:gridSpan w:val="2"/>
            <w:shd w:val="clear" w:color="auto" w:fill="CCEEFF"/>
          </w:tcPr>
          <w:p>
            <w:pPr>
              <w:jc w:val="right"/>
              <w:ind w:right="163"/>
              <w:spacing w:after="0"/>
              <w:rPr>
                <w:sz w:val="20"/>
                <w:szCs w:val="20"/>
                <w:color w:val="auto"/>
              </w:rPr>
            </w:pPr>
            <w:r>
              <w:rPr>
                <w:rFonts w:ascii="Arial" w:cs="Arial" w:eastAsia="Arial" w:hAnsi="Arial"/>
                <w:sz w:val="13"/>
                <w:szCs w:val="13"/>
                <w:color w:val="auto"/>
              </w:rPr>
              <w:t>103,143</w:t>
            </w:r>
          </w:p>
        </w:tc>
        <w:tc>
          <w:tcPr>
            <w:tcW w:w="860" w:type="dxa"/>
            <w:vAlign w:val="bottom"/>
            <w:gridSpan w:val="2"/>
            <w:shd w:val="clear" w:color="auto" w:fill="CCEEFF"/>
          </w:tcPr>
          <w:p>
            <w:pPr>
              <w:jc w:val="right"/>
              <w:ind w:right="63"/>
              <w:spacing w:after="0"/>
              <w:rPr>
                <w:sz w:val="20"/>
                <w:szCs w:val="20"/>
                <w:color w:val="auto"/>
              </w:rPr>
            </w:pPr>
            <w:r>
              <w:rPr>
                <w:rFonts w:ascii="Arial" w:cs="Arial" w:eastAsia="Arial" w:hAnsi="Arial"/>
                <w:sz w:val="13"/>
                <w:szCs w:val="13"/>
                <w:color w:val="auto"/>
              </w:rPr>
              <w:t>103,143</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4160" w:type="dxa"/>
            <w:vAlign w:val="bottom"/>
            <w:tcBorders>
              <w:bottom w:val="single" w:sz="8" w:color="CCEEFF"/>
            </w:tcBorders>
          </w:tcPr>
          <w:p>
            <w:pPr>
              <w:spacing w:after="0" w:line="146" w:lineRule="exact"/>
              <w:rPr>
                <w:sz w:val="20"/>
                <w:szCs w:val="20"/>
                <w:color w:val="auto"/>
              </w:rPr>
            </w:pPr>
            <w:r>
              <w:rPr>
                <w:rFonts w:ascii="Arial" w:cs="Arial" w:eastAsia="Arial" w:hAnsi="Arial"/>
                <w:sz w:val="13"/>
                <w:szCs w:val="13"/>
                <w:b w:val="1"/>
                <w:bCs w:val="1"/>
                <w:color w:val="auto"/>
              </w:rPr>
              <w:t>Total Contingencies</w:t>
            </w: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186,993</w:t>
            </w:r>
          </w:p>
        </w:tc>
        <w:tc>
          <w:tcPr>
            <w:tcW w:w="240" w:type="dxa"/>
            <w:vAlign w:val="bottom"/>
            <w:tcBorders>
              <w:bottom w:val="single" w:sz="8" w:color="CCEEFF"/>
            </w:tcBorders>
          </w:tcPr>
          <w:p>
            <w:pPr>
              <w:spacing w:after="0"/>
              <w:rPr>
                <w:sz w:val="14"/>
                <w:szCs w:val="14"/>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173,092</w:t>
            </w:r>
          </w:p>
        </w:tc>
        <w:tc>
          <w:tcPr>
            <w:tcW w:w="240" w:type="dxa"/>
            <w:vAlign w:val="bottom"/>
            <w:tcBorders>
              <w:bottom w:val="single" w:sz="8" w:color="CCEEFF"/>
            </w:tcBorders>
          </w:tcPr>
          <w:p>
            <w:pPr>
              <w:spacing w:after="0"/>
              <w:rPr>
                <w:sz w:val="14"/>
                <w:szCs w:val="14"/>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74,458</w:t>
            </w:r>
          </w:p>
        </w:tc>
        <w:tc>
          <w:tcPr>
            <w:tcW w:w="240" w:type="dxa"/>
            <w:vAlign w:val="bottom"/>
            <w:tcBorders>
              <w:bottom w:val="single" w:sz="8" w:color="CCEEFF"/>
            </w:tcBorders>
          </w:tcPr>
          <w:p>
            <w:pPr>
              <w:spacing w:after="0"/>
              <w:rPr>
                <w:sz w:val="14"/>
                <w:szCs w:val="14"/>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67,343</w:t>
            </w:r>
          </w:p>
        </w:tc>
        <w:tc>
          <w:tcPr>
            <w:tcW w:w="200" w:type="dxa"/>
            <w:vAlign w:val="bottom"/>
            <w:tcBorders>
              <w:bottom w:val="single" w:sz="8" w:color="CCEEFF"/>
            </w:tcBorders>
          </w:tcPr>
          <w:p>
            <w:pPr>
              <w:spacing w:after="0"/>
              <w:rPr>
                <w:sz w:val="14"/>
                <w:szCs w:val="14"/>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color w:val="auto"/>
              </w:rPr>
              <w:t>-</w:t>
            </w:r>
          </w:p>
        </w:tc>
        <w:tc>
          <w:tcPr>
            <w:tcW w:w="200" w:type="dxa"/>
            <w:vAlign w:val="bottom"/>
            <w:tcBorders>
              <w:bottom w:val="single" w:sz="8" w:color="CCEEFF"/>
            </w:tcBorders>
          </w:tcPr>
          <w:p>
            <w:pPr>
              <w:spacing w:after="0"/>
              <w:rPr>
                <w:sz w:val="14"/>
                <w:szCs w:val="14"/>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501,886</w:t>
            </w:r>
          </w:p>
        </w:tc>
        <w:tc>
          <w:tcPr>
            <w:tcW w:w="200" w:type="dxa"/>
            <w:vAlign w:val="bottom"/>
            <w:tcBorders>
              <w:bottom w:val="single" w:sz="8" w:color="CCEEFF"/>
            </w:tcBorders>
          </w:tcPr>
          <w:p>
            <w:pPr>
              <w:spacing w:after="0"/>
              <w:rPr>
                <w:sz w:val="14"/>
                <w:szCs w:val="14"/>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501,886</w:t>
            </w:r>
          </w:p>
        </w:tc>
        <w:tc>
          <w:tcPr>
            <w:tcW w:w="100" w:type="dxa"/>
            <w:vAlign w:val="bottom"/>
            <w:tcBorders>
              <w:bottom w:val="single" w:sz="8" w:color="CCEEFF"/>
            </w:tcBorders>
          </w:tcPr>
          <w:p>
            <w:pPr>
              <w:spacing w:after="0"/>
              <w:rPr>
                <w:sz w:val="14"/>
                <w:szCs w:val="14"/>
                <w:color w:val="auto"/>
              </w:rPr>
            </w:pP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4160" w:type="dxa"/>
            <w:vAlign w:val="bottom"/>
            <w:tcBorders>
              <w:bottom w:val="single" w:sz="8" w:color="CCEEFF"/>
            </w:tcBorders>
            <w:shd w:val="clear" w:color="auto" w:fill="CCEEFF"/>
          </w:tcPr>
          <w:p>
            <w:pPr>
              <w:spacing w:after="0" w:line="148" w:lineRule="exact"/>
              <w:rPr>
                <w:sz w:val="20"/>
                <w:szCs w:val="20"/>
                <w:color w:val="auto"/>
              </w:rPr>
            </w:pPr>
            <w:r>
              <w:rPr>
                <w:rFonts w:ascii="Arial" w:cs="Arial" w:eastAsia="Arial" w:hAnsi="Arial"/>
                <w:sz w:val="13"/>
                <w:szCs w:val="13"/>
                <w:b w:val="1"/>
                <w:bCs w:val="1"/>
                <w:color w:val="auto"/>
              </w:rPr>
              <w:t>Net position</w:t>
            </w:r>
          </w:p>
        </w:tc>
        <w:tc>
          <w:tcPr>
            <w:tcW w:w="7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(42,316</w:t>
            </w:r>
          </w:p>
        </w:tc>
        <w:tc>
          <w:tcPr>
            <w:tcW w:w="240" w:type="dxa"/>
            <w:vAlign w:val="bottom"/>
            <w:tcBorders>
              <w:bottom w:val="single" w:sz="8" w:color="CCEEFF"/>
            </w:tcBorders>
            <w:shd w:val="clear" w:color="auto" w:fill="CCEEFF"/>
          </w:tcPr>
          <w:p>
            <w:pPr>
              <w:jc w:val="right"/>
              <w:ind w:right="163"/>
              <w:spacing w:after="0"/>
              <w:rPr>
                <w:sz w:val="20"/>
                <w:szCs w:val="20"/>
                <w:color w:val="auto"/>
              </w:rPr>
            </w:pPr>
            <w:r>
              <w:rPr>
                <w:rFonts w:ascii="Arial" w:cs="Arial" w:eastAsia="Arial" w:hAnsi="Arial"/>
                <w:sz w:val="7"/>
                <w:szCs w:val="7"/>
                <w:b w:val="1"/>
                <w:bCs w:val="1"/>
                <w:color w:val="auto"/>
                <w:w w:val="83"/>
              </w:rPr>
              <w:t>)</w:t>
            </w:r>
          </w:p>
        </w:tc>
        <w:tc>
          <w:tcPr>
            <w:tcW w:w="7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563,117</w:t>
            </w:r>
          </w:p>
        </w:tc>
        <w:tc>
          <w:tcPr>
            <w:tcW w:w="240" w:type="dxa"/>
            <w:vAlign w:val="bottom"/>
            <w:tcBorders>
              <w:bottom w:val="single" w:sz="8" w:color="CCEEFF"/>
            </w:tcBorders>
            <w:shd w:val="clear" w:color="auto" w:fill="CCEEFF"/>
          </w:tcPr>
          <w:p>
            <w:pPr>
              <w:spacing w:after="0"/>
              <w:rPr>
                <w:sz w:val="14"/>
                <w:szCs w:val="14"/>
                <w:color w:val="auto"/>
              </w:rPr>
            </w:pPr>
          </w:p>
        </w:tc>
        <w:tc>
          <w:tcPr>
            <w:tcW w:w="7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(256,098</w:t>
            </w:r>
          </w:p>
        </w:tc>
        <w:tc>
          <w:tcPr>
            <w:tcW w:w="240" w:type="dxa"/>
            <w:vAlign w:val="bottom"/>
            <w:tcBorders>
              <w:bottom w:val="single" w:sz="8" w:color="CCEEFF"/>
            </w:tcBorders>
            <w:shd w:val="clear" w:color="auto" w:fill="CCEEFF"/>
          </w:tcPr>
          <w:p>
            <w:pPr>
              <w:jc w:val="right"/>
              <w:ind w:right="116"/>
              <w:spacing w:after="0" w:line="148" w:lineRule="exact"/>
              <w:rPr>
                <w:sz w:val="20"/>
                <w:szCs w:val="20"/>
                <w:color w:val="auto"/>
              </w:rPr>
            </w:pPr>
            <w:r>
              <w:rPr>
                <w:rFonts w:ascii="Arial" w:cs="Arial" w:eastAsia="Arial" w:hAnsi="Arial"/>
                <w:sz w:val="13"/>
                <w:szCs w:val="13"/>
                <w:b w:val="1"/>
                <w:bCs w:val="1"/>
                <w:color w:val="auto"/>
                <w:w w:val="91"/>
              </w:rPr>
              <w:t>)</w:t>
            </w:r>
          </w:p>
        </w:tc>
        <w:tc>
          <w:tcPr>
            <w:tcW w:w="7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325,040</w:t>
            </w:r>
          </w:p>
        </w:tc>
        <w:tc>
          <w:tcPr>
            <w:tcW w:w="200" w:type="dxa"/>
            <w:vAlign w:val="bottom"/>
            <w:tcBorders>
              <w:bottom w:val="single" w:sz="8" w:color="CCEEFF"/>
            </w:tcBorders>
            <w:shd w:val="clear" w:color="auto" w:fill="CCEEFF"/>
          </w:tcPr>
          <w:p>
            <w:pPr>
              <w:spacing w:after="0"/>
              <w:rPr>
                <w:sz w:val="14"/>
                <w:szCs w:val="14"/>
                <w:color w:val="auto"/>
              </w:rPr>
            </w:pPr>
          </w:p>
        </w:tc>
        <w:tc>
          <w:tcPr>
            <w:tcW w:w="7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(37,946</w:t>
            </w:r>
          </w:p>
        </w:tc>
        <w:tc>
          <w:tcPr>
            <w:tcW w:w="200" w:type="dxa"/>
            <w:vAlign w:val="bottom"/>
            <w:tcBorders>
              <w:bottom w:val="single" w:sz="8" w:color="CCEEFF"/>
            </w:tcBorders>
            <w:shd w:val="clear" w:color="auto" w:fill="CCEEFF"/>
          </w:tcPr>
          <w:p>
            <w:pPr>
              <w:jc w:val="right"/>
              <w:ind w:right="123"/>
              <w:spacing w:after="0"/>
              <w:rPr>
                <w:sz w:val="20"/>
                <w:szCs w:val="20"/>
                <w:color w:val="auto"/>
              </w:rPr>
            </w:pPr>
            <w:r>
              <w:rPr>
                <w:rFonts w:ascii="Arial" w:cs="Arial" w:eastAsia="Arial" w:hAnsi="Arial"/>
                <w:sz w:val="7"/>
                <w:szCs w:val="7"/>
                <w:b w:val="1"/>
                <w:bCs w:val="1"/>
                <w:color w:val="auto"/>
                <w:w w:val="83"/>
              </w:rPr>
              <w:t>)</w:t>
            </w:r>
          </w:p>
        </w:tc>
        <w:tc>
          <w:tcPr>
            <w:tcW w:w="7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551,797</w:t>
            </w:r>
          </w:p>
        </w:tc>
        <w:tc>
          <w:tcPr>
            <w:tcW w:w="200" w:type="dxa"/>
            <w:vAlign w:val="bottom"/>
            <w:tcBorders>
              <w:bottom w:val="single" w:sz="8" w:color="CCEEFF"/>
            </w:tcBorders>
            <w:shd w:val="clear" w:color="auto" w:fill="CCEEFF"/>
          </w:tcPr>
          <w:p>
            <w:pPr>
              <w:spacing w:after="0"/>
              <w:rPr>
                <w:sz w:val="14"/>
                <w:szCs w:val="14"/>
                <w:color w:val="auto"/>
              </w:rPr>
            </w:pPr>
          </w:p>
        </w:tc>
        <w:tc>
          <w:tcPr>
            <w:tcW w:w="7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483,315</w:t>
            </w:r>
          </w:p>
        </w:tc>
        <w:tc>
          <w:tcPr>
            <w:tcW w:w="100" w:type="dxa"/>
            <w:vAlign w:val="bottom"/>
            <w:tcBorders>
              <w:bottom w:val="single" w:sz="8" w:color="CCEEFF"/>
            </w:tcBorders>
            <w:shd w:val="clear" w:color="auto" w:fill="CCEEFF"/>
          </w:tcPr>
          <w:p>
            <w:pPr>
              <w:spacing w:after="0"/>
              <w:rPr>
                <w:sz w:val="14"/>
                <w:szCs w:val="14"/>
                <w:color w:val="auto"/>
              </w:rPr>
            </w:pP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467"/>
        </w:trPr>
        <w:tc>
          <w:tcPr>
            <w:tcW w:w="220" w:type="dxa"/>
            <w:vAlign w:val="bottom"/>
            <w:tcBorders>
              <w:bottom w:val="single" w:sz="8" w:color="auto"/>
            </w:tcBorders>
          </w:tcPr>
          <w:p>
            <w:pPr>
              <w:spacing w:after="0"/>
              <w:rPr>
                <w:sz w:val="24"/>
                <w:szCs w:val="24"/>
                <w:color w:val="auto"/>
              </w:rPr>
            </w:pPr>
          </w:p>
        </w:tc>
        <w:tc>
          <w:tcPr>
            <w:tcW w:w="416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gridSpan w:val="2"/>
          </w:tcPr>
          <w:p>
            <w:pPr>
              <w:jc w:val="right"/>
              <w:ind w:right="416"/>
              <w:spacing w:after="0"/>
              <w:rPr>
                <w:sz w:val="20"/>
                <w:szCs w:val="20"/>
                <w:color w:val="auto"/>
              </w:rPr>
            </w:pPr>
            <w:r>
              <w:rPr>
                <w:rFonts w:ascii="Arial" w:cs="Arial" w:eastAsia="Arial" w:hAnsi="Arial"/>
                <w:sz w:val="13"/>
                <w:szCs w:val="13"/>
                <w:color w:val="auto"/>
              </w:rPr>
              <w:t>F-102</w:t>
            </w:r>
          </w:p>
        </w:tc>
        <w:tc>
          <w:tcPr>
            <w:tcW w:w="76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3"/>
          </w:cols>
          <w:pgMar w:left="217" w:top="685" w:right="199" w:bottom="1440" w:gutter="0" w:footer="0" w:header="0"/>
        </w:sectPr>
      </w:pPr>
    </w:p>
    <w:bookmarkStart w:id="227" w:name="page228"/>
    <w:bookmarkEnd w:id="227"/>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39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tbl>
      <w:tblPr>
        <w:tblLayout w:type="fixed"/>
        <w:tblInd w:w="0" w:type="dxa"/>
        <w:tblCellMar>
          <w:top w:w="0" w:type="dxa"/>
          <w:left w:w="0" w:type="dxa"/>
          <w:bottom w:w="0" w:type="dxa"/>
          <w:right w:w="0" w:type="dxa"/>
        </w:tblCellMar>
      </w:tblPr>
      <w:tr>
        <w:trPr>
          <w:trHeight w:val="166"/>
        </w:trPr>
        <w:tc>
          <w:tcPr>
            <w:tcW w:w="4380" w:type="dxa"/>
            <w:vAlign w:val="bottom"/>
            <w:gridSpan w:val="2"/>
          </w:tcPr>
          <w:p>
            <w:pPr>
              <w:spacing w:after="0"/>
              <w:rPr>
                <w:sz w:val="20"/>
                <w:szCs w:val="20"/>
                <w:color w:val="auto"/>
              </w:rPr>
            </w:pPr>
            <w:r>
              <w:rPr>
                <w:rFonts w:ascii="Arial" w:cs="Arial" w:eastAsia="Arial" w:hAnsi="Arial"/>
                <w:sz w:val="13"/>
                <w:szCs w:val="13"/>
                <w:b w:val="1"/>
                <w:bCs w:val="1"/>
                <w:color w:val="auto"/>
              </w:rPr>
              <w:t>32. Risk management (continued)</w:t>
            </w:r>
          </w:p>
        </w:tc>
        <w:tc>
          <w:tcPr>
            <w:tcW w:w="76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08"/>
        </w:trPr>
        <w:tc>
          <w:tcPr>
            <w:tcW w:w="4380" w:type="dxa"/>
            <w:vAlign w:val="bottom"/>
            <w:gridSpan w:val="2"/>
          </w:tcPr>
          <w:p>
            <w:pPr>
              <w:ind w:left="220"/>
              <w:spacing w:after="0"/>
              <w:rPr>
                <w:sz w:val="20"/>
                <w:szCs w:val="20"/>
                <w:color w:val="auto"/>
              </w:rPr>
            </w:pPr>
            <w:r>
              <w:rPr>
                <w:rFonts w:ascii="Arial" w:cs="Arial" w:eastAsia="Arial" w:hAnsi="Arial"/>
                <w:sz w:val="13"/>
                <w:szCs w:val="13"/>
                <w:b w:val="1"/>
                <w:bCs w:val="1"/>
                <w:color w:val="auto"/>
              </w:rPr>
              <w:t>Liquidity risk (continued)</w:t>
            </w:r>
          </w:p>
        </w:tc>
        <w:tc>
          <w:tcPr>
            <w:tcW w:w="76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18"/>
        </w:trPr>
        <w:tc>
          <w:tcPr>
            <w:tcW w:w="220" w:type="dxa"/>
            <w:vAlign w:val="bottom"/>
          </w:tcPr>
          <w:p>
            <w:pPr>
              <w:spacing w:after="0"/>
              <w:rPr>
                <w:sz w:val="24"/>
                <w:szCs w:val="24"/>
                <w:color w:val="auto"/>
              </w:rPr>
            </w:pPr>
          </w:p>
        </w:tc>
        <w:tc>
          <w:tcPr>
            <w:tcW w:w="4160" w:type="dxa"/>
            <w:vAlign w:val="bottom"/>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gridSpan w:val="3"/>
          </w:tcPr>
          <w:p>
            <w:pPr>
              <w:jc w:val="right"/>
              <w:ind w:right="83"/>
              <w:spacing w:after="0"/>
              <w:rPr>
                <w:sz w:val="20"/>
                <w:szCs w:val="20"/>
                <w:color w:val="auto"/>
              </w:rPr>
            </w:pPr>
            <w:r>
              <w:rPr>
                <w:rFonts w:ascii="Arial" w:cs="Arial" w:eastAsia="Arial" w:hAnsi="Arial"/>
                <w:sz w:val="13"/>
                <w:szCs w:val="13"/>
                <w:b w:val="1"/>
                <w:bCs w:val="1"/>
                <w:color w:val="auto"/>
                <w:w w:val="90"/>
              </w:rPr>
              <w:t>December 31, 2017</w:t>
            </w:r>
          </w:p>
        </w:tc>
        <w:tc>
          <w:tcPr>
            <w:tcW w:w="7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31"/>
        </w:trPr>
        <w:tc>
          <w:tcPr>
            <w:tcW w:w="220" w:type="dxa"/>
            <w:vAlign w:val="bottom"/>
          </w:tcPr>
          <w:p>
            <w:pPr>
              <w:spacing w:after="0"/>
              <w:rPr>
                <w:sz w:val="11"/>
                <w:szCs w:val="11"/>
                <w:color w:val="auto"/>
              </w:rPr>
            </w:pPr>
          </w:p>
        </w:tc>
        <w:tc>
          <w:tcPr>
            <w:tcW w:w="4160" w:type="dxa"/>
            <w:vAlign w:val="bottom"/>
          </w:tcPr>
          <w:p>
            <w:pPr>
              <w:spacing w:after="0"/>
              <w:rPr>
                <w:sz w:val="11"/>
                <w:szCs w:val="11"/>
                <w:color w:val="auto"/>
              </w:rPr>
            </w:pPr>
          </w:p>
        </w:tc>
        <w:tc>
          <w:tcPr>
            <w:tcW w:w="1000" w:type="dxa"/>
            <w:vAlign w:val="bottom"/>
            <w:gridSpan w:val="2"/>
          </w:tcPr>
          <w:p>
            <w:pPr>
              <w:jc w:val="right"/>
              <w:ind w:right="383"/>
              <w:spacing w:after="0" w:line="131" w:lineRule="exact"/>
              <w:rPr>
                <w:sz w:val="20"/>
                <w:szCs w:val="20"/>
                <w:color w:val="auto"/>
              </w:rPr>
            </w:pPr>
            <w:r>
              <w:rPr>
                <w:rFonts w:ascii="Arial" w:cs="Arial" w:eastAsia="Arial" w:hAnsi="Arial"/>
                <w:sz w:val="13"/>
                <w:szCs w:val="13"/>
                <w:b w:val="1"/>
                <w:bCs w:val="1"/>
                <w:color w:val="auto"/>
              </w:rPr>
              <w:t>Up to 3</w:t>
            </w:r>
          </w:p>
        </w:tc>
        <w:tc>
          <w:tcPr>
            <w:tcW w:w="1000" w:type="dxa"/>
            <w:vAlign w:val="bottom"/>
            <w:gridSpan w:val="2"/>
          </w:tcPr>
          <w:p>
            <w:pPr>
              <w:jc w:val="right"/>
              <w:ind w:right="396"/>
              <w:spacing w:after="0" w:line="131" w:lineRule="exact"/>
              <w:rPr>
                <w:sz w:val="20"/>
                <w:szCs w:val="20"/>
                <w:color w:val="auto"/>
              </w:rPr>
            </w:pPr>
            <w:r>
              <w:rPr>
                <w:rFonts w:ascii="Arial" w:cs="Arial" w:eastAsia="Arial" w:hAnsi="Arial"/>
                <w:sz w:val="13"/>
                <w:szCs w:val="13"/>
                <w:b w:val="1"/>
                <w:bCs w:val="1"/>
                <w:color w:val="auto"/>
              </w:rPr>
              <w:t>3 to 6</w:t>
            </w:r>
          </w:p>
        </w:tc>
        <w:tc>
          <w:tcPr>
            <w:tcW w:w="1000" w:type="dxa"/>
            <w:vAlign w:val="bottom"/>
            <w:gridSpan w:val="2"/>
          </w:tcPr>
          <w:p>
            <w:pPr>
              <w:jc w:val="right"/>
              <w:ind w:right="236"/>
              <w:spacing w:after="0" w:line="131" w:lineRule="exact"/>
              <w:rPr>
                <w:sz w:val="20"/>
                <w:szCs w:val="20"/>
                <w:color w:val="auto"/>
              </w:rPr>
            </w:pPr>
            <w:r>
              <w:rPr>
                <w:rFonts w:ascii="Arial" w:cs="Arial" w:eastAsia="Arial" w:hAnsi="Arial"/>
                <w:sz w:val="13"/>
                <w:szCs w:val="13"/>
                <w:b w:val="1"/>
                <w:bCs w:val="1"/>
                <w:color w:val="auto"/>
                <w:w w:val="92"/>
              </w:rPr>
              <w:t>6 months to</w:t>
            </w:r>
          </w:p>
        </w:tc>
        <w:tc>
          <w:tcPr>
            <w:tcW w:w="7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960" w:type="dxa"/>
            <w:vAlign w:val="bottom"/>
            <w:gridSpan w:val="2"/>
          </w:tcPr>
          <w:p>
            <w:pPr>
              <w:jc w:val="right"/>
              <w:ind w:right="263"/>
              <w:spacing w:after="0" w:line="131" w:lineRule="exact"/>
              <w:rPr>
                <w:sz w:val="20"/>
                <w:szCs w:val="20"/>
                <w:color w:val="auto"/>
              </w:rPr>
            </w:pPr>
            <w:r>
              <w:rPr>
                <w:rFonts w:ascii="Arial" w:cs="Arial" w:eastAsia="Arial" w:hAnsi="Arial"/>
                <w:sz w:val="13"/>
                <w:szCs w:val="13"/>
                <w:b w:val="1"/>
                <w:bCs w:val="1"/>
                <w:color w:val="auto"/>
              </w:rPr>
              <w:t>More than</w:t>
            </w:r>
          </w:p>
        </w:tc>
        <w:tc>
          <w:tcPr>
            <w:tcW w:w="960" w:type="dxa"/>
            <w:vAlign w:val="bottom"/>
            <w:gridSpan w:val="2"/>
          </w:tcPr>
          <w:p>
            <w:pPr>
              <w:jc w:val="right"/>
              <w:ind w:right="183"/>
              <w:spacing w:after="0" w:line="131" w:lineRule="exact"/>
              <w:rPr>
                <w:sz w:val="20"/>
                <w:szCs w:val="20"/>
                <w:color w:val="auto"/>
              </w:rPr>
            </w:pPr>
            <w:r>
              <w:rPr>
                <w:rFonts w:ascii="Arial" w:cs="Arial" w:eastAsia="Arial" w:hAnsi="Arial"/>
                <w:sz w:val="13"/>
                <w:szCs w:val="13"/>
                <w:b w:val="1"/>
                <w:bCs w:val="1"/>
                <w:color w:val="auto"/>
                <w:w w:val="91"/>
              </w:rPr>
              <w:t>Gross Inflow</w:t>
            </w:r>
          </w:p>
        </w:tc>
        <w:tc>
          <w:tcPr>
            <w:tcW w:w="760" w:type="dxa"/>
            <w:vAlign w:val="bottom"/>
          </w:tcPr>
          <w:p>
            <w:pPr>
              <w:jc w:val="right"/>
              <w:ind w:right="56"/>
              <w:spacing w:after="0" w:line="131" w:lineRule="exact"/>
              <w:rPr>
                <w:sz w:val="20"/>
                <w:szCs w:val="20"/>
                <w:color w:val="auto"/>
              </w:rPr>
            </w:pPr>
            <w:r>
              <w:rPr>
                <w:rFonts w:ascii="Arial" w:cs="Arial" w:eastAsia="Arial" w:hAnsi="Arial"/>
                <w:sz w:val="13"/>
                <w:szCs w:val="13"/>
                <w:b w:val="1"/>
                <w:bCs w:val="1"/>
                <w:color w:val="auto"/>
              </w:rPr>
              <w:t>Carrying</w:t>
            </w:r>
          </w:p>
        </w:tc>
        <w:tc>
          <w:tcPr>
            <w:tcW w:w="10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20" w:type="dxa"/>
            <w:vAlign w:val="bottom"/>
          </w:tcPr>
          <w:p>
            <w:pPr>
              <w:spacing w:after="0"/>
              <w:rPr>
                <w:sz w:val="14"/>
                <w:szCs w:val="14"/>
                <w:color w:val="auto"/>
              </w:rPr>
            </w:pPr>
          </w:p>
        </w:tc>
        <w:tc>
          <w:tcPr>
            <w:tcW w:w="4160" w:type="dxa"/>
            <w:vAlign w:val="bottom"/>
          </w:tcPr>
          <w:p>
            <w:pPr>
              <w:ind w:left="1700"/>
              <w:spacing w:after="0"/>
              <w:rPr>
                <w:sz w:val="20"/>
                <w:szCs w:val="20"/>
                <w:color w:val="auto"/>
              </w:rPr>
            </w:pPr>
            <w:r>
              <w:rPr>
                <w:rFonts w:ascii="Arial" w:cs="Arial" w:eastAsia="Arial" w:hAnsi="Arial"/>
                <w:sz w:val="13"/>
                <w:szCs w:val="13"/>
                <w:b w:val="1"/>
                <w:bCs w:val="1"/>
                <w:color w:val="auto"/>
              </w:rPr>
              <w:t>Description</w:t>
            </w:r>
          </w:p>
        </w:tc>
        <w:tc>
          <w:tcPr>
            <w:tcW w:w="1000" w:type="dxa"/>
            <w:vAlign w:val="bottom"/>
            <w:gridSpan w:val="2"/>
          </w:tcPr>
          <w:p>
            <w:pPr>
              <w:jc w:val="right"/>
              <w:ind w:right="383"/>
              <w:spacing w:after="0"/>
              <w:rPr>
                <w:sz w:val="20"/>
                <w:szCs w:val="20"/>
                <w:color w:val="auto"/>
              </w:rPr>
            </w:pPr>
            <w:r>
              <w:rPr>
                <w:rFonts w:ascii="Arial" w:cs="Arial" w:eastAsia="Arial" w:hAnsi="Arial"/>
                <w:sz w:val="13"/>
                <w:szCs w:val="13"/>
                <w:b w:val="1"/>
                <w:bCs w:val="1"/>
                <w:color w:val="auto"/>
              </w:rPr>
              <w:t>months</w:t>
            </w:r>
          </w:p>
        </w:tc>
        <w:tc>
          <w:tcPr>
            <w:tcW w:w="1000" w:type="dxa"/>
            <w:vAlign w:val="bottom"/>
            <w:gridSpan w:val="2"/>
          </w:tcPr>
          <w:p>
            <w:pPr>
              <w:jc w:val="right"/>
              <w:ind w:right="356"/>
              <w:spacing w:after="0"/>
              <w:rPr>
                <w:sz w:val="20"/>
                <w:szCs w:val="20"/>
                <w:color w:val="auto"/>
              </w:rPr>
            </w:pPr>
            <w:r>
              <w:rPr>
                <w:rFonts w:ascii="Arial" w:cs="Arial" w:eastAsia="Arial" w:hAnsi="Arial"/>
                <w:sz w:val="13"/>
                <w:szCs w:val="13"/>
                <w:b w:val="1"/>
                <w:bCs w:val="1"/>
                <w:color w:val="auto"/>
              </w:rPr>
              <w:t>months</w:t>
            </w:r>
          </w:p>
        </w:tc>
        <w:tc>
          <w:tcPr>
            <w:tcW w:w="1000" w:type="dxa"/>
            <w:vAlign w:val="bottom"/>
            <w:gridSpan w:val="2"/>
          </w:tcPr>
          <w:p>
            <w:pPr>
              <w:jc w:val="right"/>
              <w:ind w:right="376"/>
              <w:spacing w:after="0"/>
              <w:rPr>
                <w:sz w:val="20"/>
                <w:szCs w:val="20"/>
                <w:color w:val="auto"/>
              </w:rPr>
            </w:pPr>
            <w:r>
              <w:rPr>
                <w:rFonts w:ascii="Arial" w:cs="Arial" w:eastAsia="Arial" w:hAnsi="Arial"/>
                <w:sz w:val="13"/>
                <w:szCs w:val="13"/>
                <w:b w:val="1"/>
                <w:bCs w:val="1"/>
                <w:color w:val="auto"/>
              </w:rPr>
              <w:t>1 year</w:t>
            </w:r>
          </w:p>
        </w:tc>
        <w:tc>
          <w:tcPr>
            <w:tcW w:w="960" w:type="dxa"/>
            <w:vAlign w:val="bottom"/>
            <w:gridSpan w:val="2"/>
          </w:tcPr>
          <w:p>
            <w:pPr>
              <w:jc w:val="right"/>
              <w:ind w:right="243"/>
              <w:spacing w:after="0"/>
              <w:rPr>
                <w:sz w:val="20"/>
                <w:szCs w:val="20"/>
                <w:color w:val="auto"/>
              </w:rPr>
            </w:pPr>
            <w:r>
              <w:rPr>
                <w:rFonts w:ascii="Arial" w:cs="Arial" w:eastAsia="Arial" w:hAnsi="Arial"/>
                <w:sz w:val="13"/>
                <w:szCs w:val="13"/>
                <w:b w:val="1"/>
                <w:bCs w:val="1"/>
                <w:color w:val="auto"/>
                <w:w w:val="92"/>
              </w:rPr>
              <w:t>1 to 5 years</w:t>
            </w:r>
          </w:p>
        </w:tc>
        <w:tc>
          <w:tcPr>
            <w:tcW w:w="960" w:type="dxa"/>
            <w:vAlign w:val="bottom"/>
            <w:gridSpan w:val="2"/>
          </w:tcPr>
          <w:p>
            <w:pPr>
              <w:jc w:val="right"/>
              <w:ind w:right="343"/>
              <w:spacing w:after="0"/>
              <w:rPr>
                <w:sz w:val="20"/>
                <w:szCs w:val="20"/>
                <w:color w:val="auto"/>
              </w:rPr>
            </w:pPr>
            <w:r>
              <w:rPr>
                <w:rFonts w:ascii="Arial" w:cs="Arial" w:eastAsia="Arial" w:hAnsi="Arial"/>
                <w:sz w:val="13"/>
                <w:szCs w:val="13"/>
                <w:b w:val="1"/>
                <w:bCs w:val="1"/>
                <w:color w:val="auto"/>
              </w:rPr>
              <w:t>5 years</w:t>
            </w:r>
          </w:p>
        </w:tc>
        <w:tc>
          <w:tcPr>
            <w:tcW w:w="960" w:type="dxa"/>
            <w:vAlign w:val="bottom"/>
            <w:gridSpan w:val="2"/>
          </w:tcPr>
          <w:p>
            <w:pPr>
              <w:jc w:val="right"/>
              <w:ind w:right="283"/>
              <w:spacing w:after="0"/>
              <w:rPr>
                <w:sz w:val="20"/>
                <w:szCs w:val="20"/>
                <w:color w:val="auto"/>
              </w:rPr>
            </w:pPr>
            <w:r>
              <w:rPr>
                <w:rFonts w:ascii="Arial" w:cs="Arial" w:eastAsia="Arial" w:hAnsi="Arial"/>
                <w:sz w:val="13"/>
                <w:szCs w:val="13"/>
                <w:b w:val="1"/>
                <w:bCs w:val="1"/>
                <w:color w:val="auto"/>
              </w:rPr>
              <w:t>(outflow)</w:t>
            </w:r>
          </w:p>
        </w:tc>
        <w:tc>
          <w:tcPr>
            <w:tcW w:w="860" w:type="dxa"/>
            <w:vAlign w:val="bottom"/>
            <w:gridSpan w:val="2"/>
          </w:tcPr>
          <w:p>
            <w:pPr>
              <w:jc w:val="right"/>
              <w:ind w:right="223"/>
              <w:spacing w:after="0"/>
              <w:rPr>
                <w:sz w:val="20"/>
                <w:szCs w:val="20"/>
                <w:color w:val="auto"/>
              </w:rPr>
            </w:pPr>
            <w:r>
              <w:rPr>
                <w:rFonts w:ascii="Arial" w:cs="Arial" w:eastAsia="Arial" w:hAnsi="Arial"/>
                <w:sz w:val="13"/>
                <w:szCs w:val="13"/>
                <w:b w:val="1"/>
                <w:bCs w:val="1"/>
                <w:color w:val="auto"/>
              </w:rPr>
              <w:t>amount</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vMerge w:val="restart"/>
          </w:tcPr>
          <w:p>
            <w:pPr>
              <w:spacing w:after="0"/>
              <w:rPr>
                <w:sz w:val="12"/>
                <w:szCs w:val="12"/>
                <w:color w:val="auto"/>
              </w:rPr>
            </w:pPr>
          </w:p>
        </w:tc>
        <w:tc>
          <w:tcPr>
            <w:tcW w:w="4160" w:type="dxa"/>
            <w:vAlign w:val="bottom"/>
          </w:tcPr>
          <w:p>
            <w:pPr>
              <w:spacing w:after="0"/>
              <w:rPr>
                <w:sz w:val="12"/>
                <w:szCs w:val="12"/>
                <w:color w:val="auto"/>
              </w:rPr>
            </w:pPr>
          </w:p>
        </w:tc>
        <w:tc>
          <w:tcPr>
            <w:tcW w:w="76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76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76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76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416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Assets</w:t>
            </w:r>
          </w:p>
        </w:tc>
        <w:tc>
          <w:tcPr>
            <w:tcW w:w="7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7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7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76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76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76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7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160" w:type="dxa"/>
            <w:vAlign w:val="bottom"/>
          </w:tcPr>
          <w:p>
            <w:pPr>
              <w:spacing w:after="0"/>
              <w:rPr>
                <w:sz w:val="20"/>
                <w:szCs w:val="20"/>
                <w:color w:val="auto"/>
              </w:rPr>
            </w:pPr>
            <w:r>
              <w:rPr>
                <w:rFonts w:ascii="Arial" w:cs="Arial" w:eastAsia="Arial" w:hAnsi="Arial"/>
                <w:sz w:val="13"/>
                <w:szCs w:val="13"/>
                <w:color w:val="auto"/>
              </w:rPr>
              <w:t>Cash and cash equivalents</w:t>
            </w:r>
          </w:p>
        </w:tc>
        <w:tc>
          <w:tcPr>
            <w:tcW w:w="760" w:type="dxa"/>
            <w:vAlign w:val="bottom"/>
          </w:tcPr>
          <w:p>
            <w:pPr>
              <w:jc w:val="right"/>
              <w:spacing w:after="0"/>
              <w:rPr>
                <w:sz w:val="20"/>
                <w:szCs w:val="20"/>
                <w:color w:val="auto"/>
              </w:rPr>
            </w:pPr>
            <w:r>
              <w:rPr>
                <w:rFonts w:ascii="Arial" w:cs="Arial" w:eastAsia="Arial" w:hAnsi="Arial"/>
                <w:sz w:val="13"/>
                <w:szCs w:val="13"/>
                <w:color w:val="auto"/>
              </w:rPr>
              <w:t>672,048</w:t>
            </w:r>
          </w:p>
        </w:tc>
        <w:tc>
          <w:tcPr>
            <w:tcW w:w="240" w:type="dxa"/>
            <w:vAlign w:val="bottom"/>
          </w:tcPr>
          <w:p>
            <w:pPr>
              <w:spacing w:after="0"/>
              <w:rPr>
                <w:sz w:val="13"/>
                <w:szCs w:val="13"/>
                <w:color w:val="auto"/>
              </w:rPr>
            </w:pPr>
          </w:p>
        </w:tc>
        <w:tc>
          <w:tcPr>
            <w:tcW w:w="1000" w:type="dxa"/>
            <w:vAlign w:val="bottom"/>
            <w:gridSpan w:val="2"/>
          </w:tcPr>
          <w:p>
            <w:pPr>
              <w:jc w:val="right"/>
              <w:ind w:right="176"/>
              <w:spacing w:after="0"/>
              <w:rPr>
                <w:sz w:val="20"/>
                <w:szCs w:val="20"/>
                <w:color w:val="auto"/>
              </w:rPr>
            </w:pPr>
            <w:r>
              <w:rPr>
                <w:rFonts w:ascii="Arial" w:cs="Arial" w:eastAsia="Arial" w:hAnsi="Arial"/>
                <w:sz w:val="13"/>
                <w:szCs w:val="13"/>
                <w:color w:val="auto"/>
              </w:rPr>
              <w:t>-</w:t>
            </w:r>
          </w:p>
        </w:tc>
        <w:tc>
          <w:tcPr>
            <w:tcW w:w="1000" w:type="dxa"/>
            <w:vAlign w:val="bottom"/>
            <w:gridSpan w:val="2"/>
          </w:tcPr>
          <w:p>
            <w:pPr>
              <w:jc w:val="right"/>
              <w:ind w:right="176"/>
              <w:spacing w:after="0"/>
              <w:rPr>
                <w:sz w:val="20"/>
                <w:szCs w:val="20"/>
                <w:color w:val="auto"/>
              </w:rPr>
            </w:pPr>
            <w:r>
              <w:rPr>
                <w:rFonts w:ascii="Arial" w:cs="Arial" w:eastAsia="Arial" w:hAnsi="Arial"/>
                <w:sz w:val="13"/>
                <w:szCs w:val="13"/>
                <w:color w:val="auto"/>
              </w:rPr>
              <w:t>-</w:t>
            </w:r>
          </w:p>
        </w:tc>
        <w:tc>
          <w:tcPr>
            <w:tcW w:w="76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76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960" w:type="dxa"/>
            <w:vAlign w:val="bottom"/>
            <w:gridSpan w:val="2"/>
          </w:tcPr>
          <w:p>
            <w:pPr>
              <w:jc w:val="right"/>
              <w:ind w:right="163"/>
              <w:spacing w:after="0"/>
              <w:rPr>
                <w:sz w:val="20"/>
                <w:szCs w:val="20"/>
                <w:color w:val="auto"/>
              </w:rPr>
            </w:pPr>
            <w:r>
              <w:rPr>
                <w:rFonts w:ascii="Arial" w:cs="Arial" w:eastAsia="Arial" w:hAnsi="Arial"/>
                <w:sz w:val="13"/>
                <w:szCs w:val="13"/>
                <w:color w:val="auto"/>
              </w:rPr>
              <w:t>672,048</w:t>
            </w:r>
          </w:p>
        </w:tc>
        <w:tc>
          <w:tcPr>
            <w:tcW w:w="860" w:type="dxa"/>
            <w:vAlign w:val="bottom"/>
            <w:gridSpan w:val="2"/>
          </w:tcPr>
          <w:p>
            <w:pPr>
              <w:jc w:val="right"/>
              <w:ind w:right="63"/>
              <w:spacing w:after="0"/>
              <w:rPr>
                <w:sz w:val="20"/>
                <w:szCs w:val="20"/>
                <w:color w:val="auto"/>
              </w:rPr>
            </w:pPr>
            <w:r>
              <w:rPr>
                <w:rFonts w:ascii="Arial" w:cs="Arial" w:eastAsia="Arial" w:hAnsi="Arial"/>
                <w:sz w:val="13"/>
                <w:szCs w:val="13"/>
                <w:color w:val="auto"/>
              </w:rPr>
              <w:t>672,048</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160" w:type="dxa"/>
            <w:vAlign w:val="bottom"/>
            <w:shd w:val="clear" w:color="auto" w:fill="CCEEFF"/>
          </w:tcPr>
          <w:p>
            <w:pPr>
              <w:spacing w:after="0"/>
              <w:rPr>
                <w:sz w:val="20"/>
                <w:szCs w:val="20"/>
                <w:color w:val="auto"/>
              </w:rPr>
            </w:pPr>
            <w:r>
              <w:rPr>
                <w:rFonts w:ascii="Arial" w:cs="Arial" w:eastAsia="Arial" w:hAnsi="Arial"/>
                <w:sz w:val="13"/>
                <w:szCs w:val="13"/>
                <w:color w:val="auto"/>
              </w:rPr>
              <w:t>Securities and other financial assets, net</w:t>
            </w:r>
          </w:p>
        </w:tc>
        <w:tc>
          <w:tcPr>
            <w:tcW w:w="7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2,431</w:t>
            </w:r>
          </w:p>
        </w:tc>
        <w:tc>
          <w:tcPr>
            <w:tcW w:w="24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176"/>
              <w:spacing w:after="0"/>
              <w:rPr>
                <w:sz w:val="20"/>
                <w:szCs w:val="20"/>
                <w:color w:val="auto"/>
              </w:rPr>
            </w:pPr>
            <w:r>
              <w:rPr>
                <w:rFonts w:ascii="Arial" w:cs="Arial" w:eastAsia="Arial" w:hAnsi="Arial"/>
                <w:sz w:val="13"/>
                <w:szCs w:val="13"/>
                <w:color w:val="auto"/>
              </w:rPr>
              <w:t>7,556</w:t>
            </w:r>
          </w:p>
        </w:tc>
        <w:tc>
          <w:tcPr>
            <w:tcW w:w="1000" w:type="dxa"/>
            <w:vAlign w:val="bottom"/>
            <w:gridSpan w:val="2"/>
            <w:shd w:val="clear" w:color="auto" w:fill="CCEEFF"/>
          </w:tcPr>
          <w:p>
            <w:pPr>
              <w:jc w:val="right"/>
              <w:ind w:right="176"/>
              <w:spacing w:after="0"/>
              <w:rPr>
                <w:sz w:val="20"/>
                <w:szCs w:val="20"/>
                <w:color w:val="auto"/>
              </w:rPr>
            </w:pPr>
            <w:r>
              <w:rPr>
                <w:rFonts w:ascii="Arial" w:cs="Arial" w:eastAsia="Arial" w:hAnsi="Arial"/>
                <w:sz w:val="13"/>
                <w:szCs w:val="13"/>
                <w:color w:val="auto"/>
              </w:rPr>
              <w:t>4,009</w:t>
            </w:r>
          </w:p>
        </w:tc>
        <w:tc>
          <w:tcPr>
            <w:tcW w:w="960" w:type="dxa"/>
            <w:vAlign w:val="bottom"/>
            <w:gridSpan w:val="2"/>
            <w:shd w:val="clear" w:color="auto" w:fill="CCEEFF"/>
          </w:tcPr>
          <w:p>
            <w:pPr>
              <w:jc w:val="right"/>
              <w:ind w:right="163"/>
              <w:spacing w:after="0"/>
              <w:rPr>
                <w:sz w:val="20"/>
                <w:szCs w:val="20"/>
                <w:color w:val="auto"/>
              </w:rPr>
            </w:pPr>
            <w:r>
              <w:rPr>
                <w:rFonts w:ascii="Arial" w:cs="Arial" w:eastAsia="Arial" w:hAnsi="Arial"/>
                <w:sz w:val="13"/>
                <w:szCs w:val="13"/>
                <w:color w:val="auto"/>
              </w:rPr>
              <w:t>79,398</w:t>
            </w:r>
          </w:p>
        </w:tc>
        <w:tc>
          <w:tcPr>
            <w:tcW w:w="7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163"/>
              <w:spacing w:after="0"/>
              <w:rPr>
                <w:sz w:val="20"/>
                <w:szCs w:val="20"/>
                <w:color w:val="auto"/>
              </w:rPr>
            </w:pPr>
            <w:r>
              <w:rPr>
                <w:rFonts w:ascii="Arial" w:cs="Arial" w:eastAsia="Arial" w:hAnsi="Arial"/>
                <w:sz w:val="13"/>
                <w:szCs w:val="13"/>
                <w:color w:val="auto"/>
              </w:rPr>
              <w:t>93,394</w:t>
            </w:r>
          </w:p>
        </w:tc>
        <w:tc>
          <w:tcPr>
            <w:tcW w:w="860" w:type="dxa"/>
            <w:vAlign w:val="bottom"/>
            <w:gridSpan w:val="2"/>
            <w:shd w:val="clear" w:color="auto" w:fill="CCEEFF"/>
          </w:tcPr>
          <w:p>
            <w:pPr>
              <w:jc w:val="right"/>
              <w:ind w:right="63"/>
              <w:spacing w:after="0"/>
              <w:rPr>
                <w:sz w:val="20"/>
                <w:szCs w:val="20"/>
                <w:color w:val="auto"/>
              </w:rPr>
            </w:pPr>
            <w:r>
              <w:rPr>
                <w:rFonts w:ascii="Arial" w:cs="Arial" w:eastAsia="Arial" w:hAnsi="Arial"/>
                <w:sz w:val="13"/>
                <w:szCs w:val="13"/>
                <w:color w:val="auto"/>
              </w:rPr>
              <w:t>95,484</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160" w:type="dxa"/>
            <w:vAlign w:val="bottom"/>
          </w:tcPr>
          <w:p>
            <w:pPr>
              <w:spacing w:after="0"/>
              <w:rPr>
                <w:sz w:val="20"/>
                <w:szCs w:val="20"/>
                <w:color w:val="auto"/>
              </w:rPr>
            </w:pPr>
            <w:r>
              <w:rPr>
                <w:rFonts w:ascii="Arial" w:cs="Arial" w:eastAsia="Arial" w:hAnsi="Arial"/>
                <w:sz w:val="13"/>
                <w:szCs w:val="13"/>
                <w:color w:val="auto"/>
              </w:rPr>
              <w:t>Loans, net</w:t>
            </w:r>
          </w:p>
        </w:tc>
        <w:tc>
          <w:tcPr>
            <w:tcW w:w="760" w:type="dxa"/>
            <w:vAlign w:val="bottom"/>
          </w:tcPr>
          <w:p>
            <w:pPr>
              <w:jc w:val="right"/>
              <w:spacing w:after="0"/>
              <w:rPr>
                <w:sz w:val="20"/>
                <w:szCs w:val="20"/>
                <w:color w:val="auto"/>
              </w:rPr>
            </w:pPr>
            <w:r>
              <w:rPr>
                <w:rFonts w:ascii="Arial" w:cs="Arial" w:eastAsia="Arial" w:hAnsi="Arial"/>
                <w:sz w:val="13"/>
                <w:szCs w:val="13"/>
                <w:color w:val="auto"/>
              </w:rPr>
              <w:t>2,007,222</w:t>
            </w:r>
          </w:p>
        </w:tc>
        <w:tc>
          <w:tcPr>
            <w:tcW w:w="240" w:type="dxa"/>
            <w:vAlign w:val="bottom"/>
          </w:tcPr>
          <w:p>
            <w:pPr>
              <w:spacing w:after="0"/>
              <w:rPr>
                <w:sz w:val="13"/>
                <w:szCs w:val="13"/>
                <w:color w:val="auto"/>
              </w:rPr>
            </w:pPr>
          </w:p>
        </w:tc>
        <w:tc>
          <w:tcPr>
            <w:tcW w:w="1000" w:type="dxa"/>
            <w:vAlign w:val="bottom"/>
            <w:gridSpan w:val="2"/>
          </w:tcPr>
          <w:p>
            <w:pPr>
              <w:jc w:val="right"/>
              <w:ind w:right="176"/>
              <w:spacing w:after="0"/>
              <w:rPr>
                <w:sz w:val="20"/>
                <w:szCs w:val="20"/>
                <w:color w:val="auto"/>
              </w:rPr>
            </w:pPr>
            <w:r>
              <w:rPr>
                <w:rFonts w:ascii="Arial" w:cs="Arial" w:eastAsia="Arial" w:hAnsi="Arial"/>
                <w:sz w:val="13"/>
                <w:szCs w:val="13"/>
                <w:color w:val="auto"/>
              </w:rPr>
              <w:t>1,293,249</w:t>
            </w:r>
          </w:p>
        </w:tc>
        <w:tc>
          <w:tcPr>
            <w:tcW w:w="1000" w:type="dxa"/>
            <w:vAlign w:val="bottom"/>
            <w:gridSpan w:val="2"/>
          </w:tcPr>
          <w:p>
            <w:pPr>
              <w:jc w:val="right"/>
              <w:ind w:right="176"/>
              <w:spacing w:after="0"/>
              <w:rPr>
                <w:sz w:val="20"/>
                <w:szCs w:val="20"/>
                <w:color w:val="auto"/>
              </w:rPr>
            </w:pPr>
            <w:r>
              <w:rPr>
                <w:rFonts w:ascii="Arial" w:cs="Arial" w:eastAsia="Arial" w:hAnsi="Arial"/>
                <w:sz w:val="13"/>
                <w:szCs w:val="13"/>
                <w:color w:val="auto"/>
              </w:rPr>
              <w:t>1,081,319</w:t>
            </w:r>
          </w:p>
        </w:tc>
        <w:tc>
          <w:tcPr>
            <w:tcW w:w="760" w:type="dxa"/>
            <w:vAlign w:val="bottom"/>
          </w:tcPr>
          <w:p>
            <w:pPr>
              <w:jc w:val="right"/>
              <w:spacing w:after="0"/>
              <w:rPr>
                <w:sz w:val="20"/>
                <w:szCs w:val="20"/>
                <w:color w:val="auto"/>
              </w:rPr>
            </w:pPr>
            <w:r>
              <w:rPr>
                <w:rFonts w:ascii="Arial" w:cs="Arial" w:eastAsia="Arial" w:hAnsi="Arial"/>
                <w:sz w:val="13"/>
                <w:szCs w:val="13"/>
                <w:color w:val="auto"/>
              </w:rPr>
              <w:t>1,176,532</w:t>
            </w:r>
          </w:p>
        </w:tc>
        <w:tc>
          <w:tcPr>
            <w:tcW w:w="200" w:type="dxa"/>
            <w:vAlign w:val="bottom"/>
          </w:tcPr>
          <w:p>
            <w:pPr>
              <w:spacing w:after="0"/>
              <w:rPr>
                <w:sz w:val="13"/>
                <w:szCs w:val="13"/>
                <w:color w:val="auto"/>
              </w:rPr>
            </w:pPr>
          </w:p>
        </w:tc>
        <w:tc>
          <w:tcPr>
            <w:tcW w:w="960" w:type="dxa"/>
            <w:vAlign w:val="bottom"/>
            <w:gridSpan w:val="2"/>
          </w:tcPr>
          <w:p>
            <w:pPr>
              <w:jc w:val="right"/>
              <w:ind w:right="163"/>
              <w:spacing w:after="0"/>
              <w:rPr>
                <w:sz w:val="20"/>
                <w:szCs w:val="20"/>
                <w:color w:val="auto"/>
              </w:rPr>
            </w:pPr>
            <w:r>
              <w:rPr>
                <w:rFonts w:ascii="Arial" w:cs="Arial" w:eastAsia="Arial" w:hAnsi="Arial"/>
                <w:sz w:val="13"/>
                <w:szCs w:val="13"/>
                <w:color w:val="auto"/>
              </w:rPr>
              <w:t>21,387</w:t>
            </w:r>
          </w:p>
        </w:tc>
        <w:tc>
          <w:tcPr>
            <w:tcW w:w="960" w:type="dxa"/>
            <w:vAlign w:val="bottom"/>
            <w:gridSpan w:val="2"/>
          </w:tcPr>
          <w:p>
            <w:pPr>
              <w:jc w:val="right"/>
              <w:ind w:right="163"/>
              <w:spacing w:after="0"/>
              <w:rPr>
                <w:sz w:val="20"/>
                <w:szCs w:val="20"/>
                <w:color w:val="auto"/>
              </w:rPr>
            </w:pPr>
            <w:r>
              <w:rPr>
                <w:rFonts w:ascii="Arial" w:cs="Arial" w:eastAsia="Arial" w:hAnsi="Arial"/>
                <w:sz w:val="13"/>
                <w:szCs w:val="13"/>
                <w:color w:val="auto"/>
              </w:rPr>
              <w:t>5,579,709</w:t>
            </w:r>
          </w:p>
        </w:tc>
        <w:tc>
          <w:tcPr>
            <w:tcW w:w="860" w:type="dxa"/>
            <w:vAlign w:val="bottom"/>
            <w:gridSpan w:val="2"/>
          </w:tcPr>
          <w:p>
            <w:pPr>
              <w:jc w:val="right"/>
              <w:ind w:right="63"/>
              <w:spacing w:after="0"/>
              <w:rPr>
                <w:sz w:val="20"/>
                <w:szCs w:val="20"/>
                <w:color w:val="auto"/>
              </w:rPr>
            </w:pPr>
            <w:r>
              <w:rPr>
                <w:rFonts w:ascii="Arial" w:cs="Arial" w:eastAsia="Arial" w:hAnsi="Arial"/>
                <w:sz w:val="13"/>
                <w:szCs w:val="13"/>
                <w:color w:val="auto"/>
              </w:rPr>
              <w:t>5,448,788</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160" w:type="dxa"/>
            <w:vAlign w:val="bottom"/>
            <w:shd w:val="clear" w:color="auto" w:fill="CCEEFF"/>
          </w:tcPr>
          <w:p>
            <w:pPr>
              <w:spacing w:after="0"/>
              <w:rPr>
                <w:sz w:val="20"/>
                <w:szCs w:val="20"/>
                <w:color w:val="auto"/>
              </w:rPr>
            </w:pPr>
            <w:r>
              <w:rPr>
                <w:rFonts w:ascii="Arial" w:cs="Arial" w:eastAsia="Arial" w:hAnsi="Arial"/>
                <w:sz w:val="13"/>
                <w:szCs w:val="13"/>
                <w:color w:val="auto"/>
              </w:rPr>
              <w:t>Derivative financial instruments - assets</w:t>
            </w:r>
          </w:p>
        </w:tc>
        <w:tc>
          <w:tcPr>
            <w:tcW w:w="7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3,624</w:t>
            </w:r>
          </w:p>
        </w:tc>
        <w:tc>
          <w:tcPr>
            <w:tcW w:w="240" w:type="dxa"/>
            <w:vAlign w:val="bottom"/>
            <w:shd w:val="clear" w:color="auto" w:fill="CCEEFF"/>
          </w:tcPr>
          <w:p>
            <w:pPr>
              <w:spacing w:after="0"/>
              <w:rPr>
                <w:sz w:val="14"/>
                <w:szCs w:val="14"/>
                <w:color w:val="auto"/>
              </w:rPr>
            </w:pPr>
          </w:p>
        </w:tc>
        <w:tc>
          <w:tcPr>
            <w:tcW w:w="1000" w:type="dxa"/>
            <w:vAlign w:val="bottom"/>
            <w:gridSpan w:val="2"/>
            <w:shd w:val="clear" w:color="auto" w:fill="CCEEFF"/>
          </w:tcPr>
          <w:p>
            <w:pPr>
              <w:jc w:val="right"/>
              <w:ind w:right="176"/>
              <w:spacing w:after="0"/>
              <w:rPr>
                <w:sz w:val="20"/>
                <w:szCs w:val="20"/>
                <w:color w:val="auto"/>
              </w:rPr>
            </w:pPr>
            <w:r>
              <w:rPr>
                <w:rFonts w:ascii="Arial" w:cs="Arial" w:eastAsia="Arial" w:hAnsi="Arial"/>
                <w:sz w:val="13"/>
                <w:szCs w:val="13"/>
                <w:color w:val="auto"/>
              </w:rPr>
              <w:t>652</w:t>
            </w:r>
          </w:p>
        </w:tc>
        <w:tc>
          <w:tcPr>
            <w:tcW w:w="1000" w:type="dxa"/>
            <w:vAlign w:val="bottom"/>
            <w:gridSpan w:val="2"/>
            <w:shd w:val="clear" w:color="auto" w:fill="CCEEFF"/>
          </w:tcPr>
          <w:p>
            <w:pPr>
              <w:jc w:val="right"/>
              <w:ind w:right="176"/>
              <w:spacing w:after="0"/>
              <w:rPr>
                <w:sz w:val="20"/>
                <w:szCs w:val="20"/>
                <w:color w:val="auto"/>
              </w:rPr>
            </w:pPr>
            <w:r>
              <w:rPr>
                <w:rFonts w:ascii="Arial" w:cs="Arial" w:eastAsia="Arial" w:hAnsi="Arial"/>
                <w:sz w:val="13"/>
                <w:szCs w:val="13"/>
                <w:color w:val="auto"/>
              </w:rPr>
              <w:t>5,134</w:t>
            </w:r>
          </w:p>
        </w:tc>
        <w:tc>
          <w:tcPr>
            <w:tcW w:w="7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3,090</w:t>
            </w:r>
          </w:p>
        </w:tc>
        <w:tc>
          <w:tcPr>
            <w:tcW w:w="200" w:type="dxa"/>
            <w:vAlign w:val="bottom"/>
            <w:shd w:val="clear" w:color="auto" w:fill="CCEEFF"/>
          </w:tcPr>
          <w:p>
            <w:pPr>
              <w:spacing w:after="0"/>
              <w:rPr>
                <w:sz w:val="14"/>
                <w:szCs w:val="14"/>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838</w:t>
            </w:r>
          </w:p>
        </w:tc>
        <w:tc>
          <w:tcPr>
            <w:tcW w:w="200" w:type="dxa"/>
            <w:vAlign w:val="bottom"/>
            <w:shd w:val="clear" w:color="auto" w:fill="CCEEFF"/>
          </w:tcPr>
          <w:p>
            <w:pPr>
              <w:spacing w:after="0"/>
              <w:rPr>
                <w:sz w:val="14"/>
                <w:szCs w:val="14"/>
                <w:color w:val="auto"/>
              </w:rPr>
            </w:pPr>
          </w:p>
        </w:tc>
        <w:tc>
          <w:tcPr>
            <w:tcW w:w="960" w:type="dxa"/>
            <w:vAlign w:val="bottom"/>
            <w:gridSpan w:val="2"/>
            <w:shd w:val="clear" w:color="auto" w:fill="CCEEFF"/>
          </w:tcPr>
          <w:p>
            <w:pPr>
              <w:jc w:val="right"/>
              <w:ind w:right="163"/>
              <w:spacing w:after="0"/>
              <w:rPr>
                <w:sz w:val="20"/>
                <w:szCs w:val="20"/>
                <w:color w:val="auto"/>
              </w:rPr>
            </w:pPr>
            <w:r>
              <w:rPr>
                <w:rFonts w:ascii="Arial" w:cs="Arial" w:eastAsia="Arial" w:hAnsi="Arial"/>
                <w:sz w:val="13"/>
                <w:szCs w:val="13"/>
                <w:color w:val="auto"/>
              </w:rPr>
              <w:t>13,338</w:t>
            </w:r>
          </w:p>
        </w:tc>
        <w:tc>
          <w:tcPr>
            <w:tcW w:w="860" w:type="dxa"/>
            <w:vAlign w:val="bottom"/>
            <w:gridSpan w:val="2"/>
            <w:shd w:val="clear" w:color="auto" w:fill="CCEEFF"/>
          </w:tcPr>
          <w:p>
            <w:pPr>
              <w:jc w:val="right"/>
              <w:ind w:right="63"/>
              <w:spacing w:after="0"/>
              <w:rPr>
                <w:sz w:val="20"/>
                <w:szCs w:val="20"/>
                <w:color w:val="auto"/>
              </w:rPr>
            </w:pPr>
            <w:r>
              <w:rPr>
                <w:rFonts w:ascii="Arial" w:cs="Arial" w:eastAsia="Arial" w:hAnsi="Arial"/>
                <w:sz w:val="13"/>
                <w:szCs w:val="13"/>
                <w:color w:val="auto"/>
              </w:rPr>
              <w:t>13,338</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4160" w:type="dxa"/>
            <w:vAlign w:val="bottom"/>
            <w:tcBorders>
              <w:bottom w:val="single" w:sz="8" w:color="CCEEFF"/>
            </w:tcBorders>
          </w:tcPr>
          <w:p>
            <w:pPr>
              <w:spacing w:after="0" w:line="146" w:lineRule="exact"/>
              <w:rPr>
                <w:sz w:val="20"/>
                <w:szCs w:val="20"/>
                <w:color w:val="auto"/>
              </w:rPr>
            </w:pPr>
            <w:r>
              <w:rPr>
                <w:rFonts w:ascii="Arial" w:cs="Arial" w:eastAsia="Arial" w:hAnsi="Arial"/>
                <w:sz w:val="13"/>
                <w:szCs w:val="13"/>
                <w:b w:val="1"/>
                <w:bCs w:val="1"/>
                <w:color w:val="auto"/>
              </w:rPr>
              <w:t>Total</w:t>
            </w: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2,685,325</w:t>
            </w:r>
          </w:p>
        </w:tc>
        <w:tc>
          <w:tcPr>
            <w:tcW w:w="240" w:type="dxa"/>
            <w:vAlign w:val="bottom"/>
            <w:tcBorders>
              <w:bottom w:val="single" w:sz="8" w:color="CCEEFF"/>
            </w:tcBorders>
          </w:tcPr>
          <w:p>
            <w:pPr>
              <w:spacing w:after="0"/>
              <w:rPr>
                <w:sz w:val="14"/>
                <w:szCs w:val="14"/>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1,301,457</w:t>
            </w:r>
          </w:p>
        </w:tc>
        <w:tc>
          <w:tcPr>
            <w:tcW w:w="240" w:type="dxa"/>
            <w:vAlign w:val="bottom"/>
            <w:tcBorders>
              <w:bottom w:val="single" w:sz="8" w:color="CCEEFF"/>
            </w:tcBorders>
          </w:tcPr>
          <w:p>
            <w:pPr>
              <w:spacing w:after="0"/>
              <w:rPr>
                <w:sz w:val="14"/>
                <w:szCs w:val="14"/>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1,090,462</w:t>
            </w:r>
          </w:p>
        </w:tc>
        <w:tc>
          <w:tcPr>
            <w:tcW w:w="240" w:type="dxa"/>
            <w:vAlign w:val="bottom"/>
            <w:tcBorders>
              <w:bottom w:val="single" w:sz="8" w:color="CCEEFF"/>
            </w:tcBorders>
          </w:tcPr>
          <w:p>
            <w:pPr>
              <w:spacing w:after="0"/>
              <w:rPr>
                <w:sz w:val="14"/>
                <w:szCs w:val="14"/>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1,259,020</w:t>
            </w:r>
          </w:p>
        </w:tc>
        <w:tc>
          <w:tcPr>
            <w:tcW w:w="200" w:type="dxa"/>
            <w:vAlign w:val="bottom"/>
            <w:tcBorders>
              <w:bottom w:val="single" w:sz="8" w:color="CCEEFF"/>
            </w:tcBorders>
          </w:tcPr>
          <w:p>
            <w:pPr>
              <w:spacing w:after="0"/>
              <w:rPr>
                <w:sz w:val="14"/>
                <w:szCs w:val="14"/>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22,225</w:t>
            </w:r>
          </w:p>
        </w:tc>
        <w:tc>
          <w:tcPr>
            <w:tcW w:w="200" w:type="dxa"/>
            <w:vAlign w:val="bottom"/>
            <w:tcBorders>
              <w:bottom w:val="single" w:sz="8" w:color="CCEEFF"/>
            </w:tcBorders>
          </w:tcPr>
          <w:p>
            <w:pPr>
              <w:spacing w:after="0"/>
              <w:rPr>
                <w:sz w:val="14"/>
                <w:szCs w:val="14"/>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6,358,489</w:t>
            </w:r>
          </w:p>
        </w:tc>
        <w:tc>
          <w:tcPr>
            <w:tcW w:w="200" w:type="dxa"/>
            <w:vAlign w:val="bottom"/>
            <w:tcBorders>
              <w:bottom w:val="single" w:sz="8" w:color="CCEEFF"/>
            </w:tcBorders>
          </w:tcPr>
          <w:p>
            <w:pPr>
              <w:spacing w:after="0"/>
              <w:rPr>
                <w:sz w:val="14"/>
                <w:szCs w:val="14"/>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6,229,658</w:t>
            </w:r>
          </w:p>
        </w:tc>
        <w:tc>
          <w:tcPr>
            <w:tcW w:w="100" w:type="dxa"/>
            <w:vAlign w:val="bottom"/>
            <w:tcBorders>
              <w:bottom w:val="single" w:sz="8" w:color="CCEEFF"/>
            </w:tcBorders>
          </w:tcPr>
          <w:p>
            <w:pPr>
              <w:spacing w:after="0"/>
              <w:rPr>
                <w:sz w:val="14"/>
                <w:szCs w:val="14"/>
                <w:color w:val="auto"/>
              </w:rPr>
            </w:pP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4160" w:type="dxa"/>
            <w:vAlign w:val="bottom"/>
            <w:shd w:val="clear" w:color="auto" w:fill="CCEEFF"/>
          </w:tcPr>
          <w:p>
            <w:pPr>
              <w:spacing w:after="0"/>
              <w:rPr>
                <w:sz w:val="13"/>
                <w:szCs w:val="13"/>
                <w:color w:val="auto"/>
              </w:rPr>
            </w:pPr>
          </w:p>
        </w:tc>
        <w:tc>
          <w:tcPr>
            <w:tcW w:w="7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7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76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76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76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76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7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4160" w:type="dxa"/>
            <w:vAlign w:val="bottom"/>
          </w:tcPr>
          <w:p>
            <w:pPr>
              <w:spacing w:after="0"/>
              <w:rPr>
                <w:sz w:val="20"/>
                <w:szCs w:val="20"/>
                <w:color w:val="auto"/>
              </w:rPr>
            </w:pPr>
            <w:r>
              <w:rPr>
                <w:rFonts w:ascii="Arial" w:cs="Arial" w:eastAsia="Arial" w:hAnsi="Arial"/>
                <w:sz w:val="13"/>
                <w:szCs w:val="13"/>
                <w:b w:val="1"/>
                <w:bCs w:val="1"/>
                <w:color w:val="auto"/>
              </w:rPr>
              <w:t>Liabilities</w:t>
            </w:r>
          </w:p>
        </w:tc>
        <w:tc>
          <w:tcPr>
            <w:tcW w:w="7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160" w:type="dxa"/>
            <w:vAlign w:val="bottom"/>
            <w:shd w:val="clear" w:color="auto" w:fill="CCEEFF"/>
          </w:tcPr>
          <w:p>
            <w:pPr>
              <w:spacing w:after="0"/>
              <w:rPr>
                <w:sz w:val="20"/>
                <w:szCs w:val="20"/>
                <w:color w:val="auto"/>
              </w:rPr>
            </w:pPr>
            <w:r>
              <w:rPr>
                <w:rFonts w:ascii="Arial" w:cs="Arial" w:eastAsia="Arial" w:hAnsi="Arial"/>
                <w:sz w:val="13"/>
                <w:szCs w:val="13"/>
                <w:color w:val="auto"/>
              </w:rPr>
              <w:t>Deposits</w:t>
            </w:r>
          </w:p>
        </w:tc>
        <w:tc>
          <w:tcPr>
            <w:tcW w:w="1000" w:type="dxa"/>
            <w:vAlign w:val="bottom"/>
            <w:gridSpan w:val="2"/>
            <w:shd w:val="clear" w:color="auto" w:fill="CCEEFF"/>
          </w:tcPr>
          <w:p>
            <w:pPr>
              <w:jc w:val="right"/>
              <w:ind w:right="163"/>
              <w:spacing w:after="0"/>
              <w:rPr>
                <w:sz w:val="20"/>
                <w:szCs w:val="20"/>
                <w:color w:val="auto"/>
              </w:rPr>
            </w:pPr>
            <w:r>
              <w:rPr>
                <w:rFonts w:ascii="Arial" w:cs="Arial" w:eastAsia="Arial" w:hAnsi="Arial"/>
                <w:sz w:val="13"/>
                <w:szCs w:val="13"/>
                <w:color w:val="auto"/>
              </w:rPr>
              <w:t>(2,331,137)</w:t>
            </w:r>
          </w:p>
        </w:tc>
        <w:tc>
          <w:tcPr>
            <w:tcW w:w="1000" w:type="dxa"/>
            <w:vAlign w:val="bottom"/>
            <w:gridSpan w:val="2"/>
            <w:shd w:val="clear" w:color="auto" w:fill="CCEEFF"/>
          </w:tcPr>
          <w:p>
            <w:pPr>
              <w:jc w:val="right"/>
              <w:ind w:right="116"/>
              <w:spacing w:after="0"/>
              <w:rPr>
                <w:sz w:val="20"/>
                <w:szCs w:val="20"/>
                <w:color w:val="auto"/>
              </w:rPr>
            </w:pPr>
            <w:r>
              <w:rPr>
                <w:rFonts w:ascii="Arial" w:cs="Arial" w:eastAsia="Arial" w:hAnsi="Arial"/>
                <w:sz w:val="13"/>
                <w:szCs w:val="13"/>
                <w:color w:val="auto"/>
              </w:rPr>
              <w:t>(310,128)</w:t>
            </w:r>
          </w:p>
        </w:tc>
        <w:tc>
          <w:tcPr>
            <w:tcW w:w="1000" w:type="dxa"/>
            <w:vAlign w:val="bottom"/>
            <w:gridSpan w:val="2"/>
            <w:shd w:val="clear" w:color="auto" w:fill="CCEEFF"/>
          </w:tcPr>
          <w:p>
            <w:pPr>
              <w:jc w:val="right"/>
              <w:ind w:right="116"/>
              <w:spacing w:after="0"/>
              <w:rPr>
                <w:sz w:val="20"/>
                <w:szCs w:val="20"/>
                <w:color w:val="auto"/>
              </w:rPr>
            </w:pPr>
            <w:r>
              <w:rPr>
                <w:rFonts w:ascii="Arial" w:cs="Arial" w:eastAsia="Arial" w:hAnsi="Arial"/>
                <w:sz w:val="13"/>
                <w:szCs w:val="13"/>
                <w:color w:val="auto"/>
              </w:rPr>
              <w:t>(199,423)</w:t>
            </w:r>
          </w:p>
        </w:tc>
        <w:tc>
          <w:tcPr>
            <w:tcW w:w="960" w:type="dxa"/>
            <w:vAlign w:val="bottom"/>
            <w:gridSpan w:val="2"/>
            <w:shd w:val="clear" w:color="auto" w:fill="CCEEFF"/>
          </w:tcPr>
          <w:p>
            <w:pPr>
              <w:jc w:val="right"/>
              <w:ind w:right="123"/>
              <w:spacing w:after="0"/>
              <w:rPr>
                <w:sz w:val="20"/>
                <w:szCs w:val="20"/>
                <w:color w:val="auto"/>
              </w:rPr>
            </w:pPr>
            <w:r>
              <w:rPr>
                <w:rFonts w:ascii="Arial" w:cs="Arial" w:eastAsia="Arial" w:hAnsi="Arial"/>
                <w:sz w:val="13"/>
                <w:szCs w:val="13"/>
                <w:color w:val="auto"/>
              </w:rPr>
              <w:t>(102,107)</w:t>
            </w:r>
          </w:p>
        </w:tc>
        <w:tc>
          <w:tcPr>
            <w:tcW w:w="7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123"/>
              <w:spacing w:after="0"/>
              <w:rPr>
                <w:sz w:val="20"/>
                <w:szCs w:val="20"/>
                <w:color w:val="auto"/>
              </w:rPr>
            </w:pPr>
            <w:r>
              <w:rPr>
                <w:rFonts w:ascii="Arial" w:cs="Arial" w:eastAsia="Arial" w:hAnsi="Arial"/>
                <w:sz w:val="13"/>
                <w:szCs w:val="13"/>
                <w:color w:val="auto"/>
              </w:rPr>
              <w:t>(2,942,795)</w:t>
            </w:r>
          </w:p>
        </w:tc>
        <w:tc>
          <w:tcPr>
            <w:tcW w:w="860" w:type="dxa"/>
            <w:vAlign w:val="bottom"/>
            <w:gridSpan w:val="2"/>
            <w:shd w:val="clear" w:color="auto" w:fill="CCEEFF"/>
          </w:tcPr>
          <w:p>
            <w:pPr>
              <w:jc w:val="right"/>
              <w:ind w:right="23"/>
              <w:spacing w:after="0"/>
              <w:rPr>
                <w:sz w:val="20"/>
                <w:szCs w:val="20"/>
                <w:color w:val="auto"/>
              </w:rPr>
            </w:pPr>
            <w:r>
              <w:rPr>
                <w:rFonts w:ascii="Arial" w:cs="Arial" w:eastAsia="Arial" w:hAnsi="Arial"/>
                <w:sz w:val="13"/>
                <w:szCs w:val="13"/>
                <w:color w:val="auto"/>
              </w:rPr>
              <w:t>(2,937,105)</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160" w:type="dxa"/>
            <w:vAlign w:val="bottom"/>
          </w:tcPr>
          <w:p>
            <w:pPr>
              <w:spacing w:after="0"/>
              <w:rPr>
                <w:sz w:val="20"/>
                <w:szCs w:val="20"/>
                <w:color w:val="auto"/>
              </w:rPr>
            </w:pPr>
            <w:r>
              <w:rPr>
                <w:rFonts w:ascii="Arial" w:cs="Arial" w:eastAsia="Arial" w:hAnsi="Arial"/>
                <w:sz w:val="13"/>
                <w:szCs w:val="13"/>
                <w:color w:val="auto"/>
              </w:rPr>
              <w:t>Securities sold under repurchase agreement</w:t>
            </w:r>
          </w:p>
        </w:tc>
        <w:tc>
          <w:tcPr>
            <w:tcW w:w="76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1000" w:type="dxa"/>
            <w:vAlign w:val="bottom"/>
            <w:gridSpan w:val="2"/>
          </w:tcPr>
          <w:p>
            <w:pPr>
              <w:jc w:val="right"/>
              <w:ind w:right="176"/>
              <w:spacing w:after="0"/>
              <w:rPr>
                <w:sz w:val="20"/>
                <w:szCs w:val="20"/>
                <w:color w:val="auto"/>
              </w:rPr>
            </w:pPr>
            <w:r>
              <w:rPr>
                <w:rFonts w:ascii="Arial" w:cs="Arial" w:eastAsia="Arial" w:hAnsi="Arial"/>
                <w:sz w:val="13"/>
                <w:szCs w:val="13"/>
                <w:color w:val="auto"/>
              </w:rPr>
              <w:t>-</w:t>
            </w:r>
          </w:p>
        </w:tc>
        <w:tc>
          <w:tcPr>
            <w:tcW w:w="1000" w:type="dxa"/>
            <w:vAlign w:val="bottom"/>
            <w:gridSpan w:val="2"/>
          </w:tcPr>
          <w:p>
            <w:pPr>
              <w:jc w:val="right"/>
              <w:ind w:right="176"/>
              <w:spacing w:after="0"/>
              <w:rPr>
                <w:sz w:val="20"/>
                <w:szCs w:val="20"/>
                <w:color w:val="auto"/>
              </w:rPr>
            </w:pPr>
            <w:r>
              <w:rPr>
                <w:rFonts w:ascii="Arial" w:cs="Arial" w:eastAsia="Arial" w:hAnsi="Arial"/>
                <w:sz w:val="13"/>
                <w:szCs w:val="13"/>
                <w:color w:val="auto"/>
              </w:rPr>
              <w:t>-</w:t>
            </w:r>
          </w:p>
        </w:tc>
        <w:tc>
          <w:tcPr>
            <w:tcW w:w="76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76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960" w:type="dxa"/>
            <w:vAlign w:val="bottom"/>
            <w:gridSpan w:val="2"/>
          </w:tcPr>
          <w:p>
            <w:pPr>
              <w:jc w:val="right"/>
              <w:ind w:right="163"/>
              <w:spacing w:after="0"/>
              <w:rPr>
                <w:sz w:val="20"/>
                <w:szCs w:val="20"/>
                <w:color w:val="auto"/>
              </w:rPr>
            </w:pPr>
            <w:r>
              <w:rPr>
                <w:rFonts w:ascii="Arial" w:cs="Arial" w:eastAsia="Arial" w:hAnsi="Arial"/>
                <w:sz w:val="13"/>
                <w:szCs w:val="13"/>
                <w:color w:val="auto"/>
              </w:rPr>
              <w:t>-</w:t>
            </w:r>
          </w:p>
        </w:tc>
        <w:tc>
          <w:tcPr>
            <w:tcW w:w="860" w:type="dxa"/>
            <w:vAlign w:val="bottom"/>
            <w:gridSpan w:val="2"/>
          </w:tcPr>
          <w:p>
            <w:pPr>
              <w:jc w:val="right"/>
              <w:ind w:right="63"/>
              <w:spacing w:after="0"/>
              <w:rPr>
                <w:sz w:val="20"/>
                <w:szCs w:val="20"/>
                <w:color w:val="auto"/>
              </w:rPr>
            </w:pPr>
            <w:r>
              <w:rPr>
                <w:rFonts w:ascii="Arial" w:cs="Arial" w:eastAsia="Arial" w:hAnsi="Arial"/>
                <w:sz w:val="13"/>
                <w:szCs w:val="13"/>
                <w:color w:val="auto"/>
              </w:rPr>
              <w:t>-</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160" w:type="dxa"/>
            <w:vAlign w:val="bottom"/>
            <w:shd w:val="clear" w:color="auto" w:fill="CCEEFF"/>
          </w:tcPr>
          <w:p>
            <w:pPr>
              <w:spacing w:after="0"/>
              <w:rPr>
                <w:sz w:val="20"/>
                <w:szCs w:val="20"/>
                <w:color w:val="auto"/>
              </w:rPr>
            </w:pPr>
            <w:r>
              <w:rPr>
                <w:rFonts w:ascii="Arial" w:cs="Arial" w:eastAsia="Arial" w:hAnsi="Arial"/>
                <w:sz w:val="13"/>
                <w:szCs w:val="13"/>
                <w:color w:val="auto"/>
              </w:rPr>
              <w:t>Borrowings and debt, net</w:t>
            </w:r>
          </w:p>
        </w:tc>
        <w:tc>
          <w:tcPr>
            <w:tcW w:w="1000" w:type="dxa"/>
            <w:vAlign w:val="bottom"/>
            <w:gridSpan w:val="2"/>
            <w:shd w:val="clear" w:color="auto" w:fill="CCEEFF"/>
          </w:tcPr>
          <w:p>
            <w:pPr>
              <w:jc w:val="right"/>
              <w:ind w:right="163"/>
              <w:spacing w:after="0"/>
              <w:rPr>
                <w:sz w:val="20"/>
                <w:szCs w:val="20"/>
                <w:color w:val="auto"/>
              </w:rPr>
            </w:pPr>
            <w:r>
              <w:rPr>
                <w:rFonts w:ascii="Arial" w:cs="Arial" w:eastAsia="Arial" w:hAnsi="Arial"/>
                <w:sz w:val="13"/>
                <w:szCs w:val="13"/>
                <w:color w:val="auto"/>
              </w:rPr>
              <w:t>(788,085)</w:t>
            </w:r>
          </w:p>
        </w:tc>
        <w:tc>
          <w:tcPr>
            <w:tcW w:w="1000" w:type="dxa"/>
            <w:vAlign w:val="bottom"/>
            <w:gridSpan w:val="2"/>
            <w:shd w:val="clear" w:color="auto" w:fill="CCEEFF"/>
          </w:tcPr>
          <w:p>
            <w:pPr>
              <w:jc w:val="right"/>
              <w:ind w:right="116"/>
              <w:spacing w:after="0"/>
              <w:rPr>
                <w:sz w:val="20"/>
                <w:szCs w:val="20"/>
                <w:color w:val="auto"/>
              </w:rPr>
            </w:pPr>
            <w:r>
              <w:rPr>
                <w:rFonts w:ascii="Arial" w:cs="Arial" w:eastAsia="Arial" w:hAnsi="Arial"/>
                <w:sz w:val="13"/>
                <w:szCs w:val="13"/>
                <w:color w:val="auto"/>
              </w:rPr>
              <w:t>(143,589)</w:t>
            </w:r>
          </w:p>
        </w:tc>
        <w:tc>
          <w:tcPr>
            <w:tcW w:w="1000" w:type="dxa"/>
            <w:vAlign w:val="bottom"/>
            <w:gridSpan w:val="2"/>
            <w:shd w:val="clear" w:color="auto" w:fill="CCEEFF"/>
          </w:tcPr>
          <w:p>
            <w:pPr>
              <w:jc w:val="right"/>
              <w:ind w:right="116"/>
              <w:spacing w:after="0"/>
              <w:rPr>
                <w:sz w:val="20"/>
                <w:szCs w:val="20"/>
                <w:color w:val="auto"/>
              </w:rPr>
            </w:pPr>
            <w:r>
              <w:rPr>
                <w:rFonts w:ascii="Arial" w:cs="Arial" w:eastAsia="Arial" w:hAnsi="Arial"/>
                <w:sz w:val="13"/>
                <w:szCs w:val="13"/>
                <w:color w:val="auto"/>
              </w:rPr>
              <w:t>(297,373)</w:t>
            </w:r>
          </w:p>
        </w:tc>
        <w:tc>
          <w:tcPr>
            <w:tcW w:w="960" w:type="dxa"/>
            <w:vAlign w:val="bottom"/>
            <w:gridSpan w:val="2"/>
            <w:shd w:val="clear" w:color="auto" w:fill="CCEEFF"/>
          </w:tcPr>
          <w:p>
            <w:pPr>
              <w:jc w:val="right"/>
              <w:ind w:right="123"/>
              <w:spacing w:after="0"/>
              <w:rPr>
                <w:sz w:val="20"/>
                <w:szCs w:val="20"/>
                <w:color w:val="auto"/>
              </w:rPr>
            </w:pPr>
            <w:r>
              <w:rPr>
                <w:rFonts w:ascii="Arial" w:cs="Arial" w:eastAsia="Arial" w:hAnsi="Arial"/>
                <w:sz w:val="13"/>
                <w:szCs w:val="13"/>
                <w:color w:val="auto"/>
              </w:rPr>
              <w:t>(1,013,083)</w:t>
            </w:r>
          </w:p>
        </w:tc>
        <w:tc>
          <w:tcPr>
            <w:tcW w:w="960" w:type="dxa"/>
            <w:vAlign w:val="bottom"/>
            <w:gridSpan w:val="2"/>
            <w:shd w:val="clear" w:color="auto" w:fill="CCEEFF"/>
          </w:tcPr>
          <w:p>
            <w:pPr>
              <w:jc w:val="right"/>
              <w:ind w:right="123"/>
              <w:spacing w:after="0"/>
              <w:rPr>
                <w:sz w:val="20"/>
                <w:szCs w:val="20"/>
                <w:color w:val="auto"/>
              </w:rPr>
            </w:pPr>
            <w:r>
              <w:rPr>
                <w:rFonts w:ascii="Arial" w:cs="Arial" w:eastAsia="Arial" w:hAnsi="Arial"/>
                <w:sz w:val="13"/>
                <w:szCs w:val="13"/>
                <w:color w:val="auto"/>
              </w:rPr>
              <w:t>(76,078)</w:t>
            </w:r>
          </w:p>
        </w:tc>
        <w:tc>
          <w:tcPr>
            <w:tcW w:w="960" w:type="dxa"/>
            <w:vAlign w:val="bottom"/>
            <w:gridSpan w:val="2"/>
            <w:shd w:val="clear" w:color="auto" w:fill="CCEEFF"/>
          </w:tcPr>
          <w:p>
            <w:pPr>
              <w:jc w:val="right"/>
              <w:ind w:right="123"/>
              <w:spacing w:after="0"/>
              <w:rPr>
                <w:sz w:val="20"/>
                <w:szCs w:val="20"/>
                <w:color w:val="auto"/>
              </w:rPr>
            </w:pPr>
            <w:r>
              <w:rPr>
                <w:rFonts w:ascii="Arial" w:cs="Arial" w:eastAsia="Arial" w:hAnsi="Arial"/>
                <w:sz w:val="13"/>
                <w:szCs w:val="13"/>
                <w:color w:val="auto"/>
              </w:rPr>
              <w:t>(2,318,208)</w:t>
            </w:r>
          </w:p>
        </w:tc>
        <w:tc>
          <w:tcPr>
            <w:tcW w:w="860" w:type="dxa"/>
            <w:vAlign w:val="bottom"/>
            <w:gridSpan w:val="2"/>
            <w:shd w:val="clear" w:color="auto" w:fill="CCEEFF"/>
          </w:tcPr>
          <w:p>
            <w:pPr>
              <w:jc w:val="right"/>
              <w:ind w:right="23"/>
              <w:spacing w:after="0"/>
              <w:rPr>
                <w:sz w:val="20"/>
                <w:szCs w:val="20"/>
                <w:color w:val="auto"/>
              </w:rPr>
            </w:pPr>
            <w:r>
              <w:rPr>
                <w:rFonts w:ascii="Arial" w:cs="Arial" w:eastAsia="Arial" w:hAnsi="Arial"/>
                <w:sz w:val="13"/>
                <w:szCs w:val="13"/>
                <w:color w:val="auto"/>
              </w:rPr>
              <w:t>(2,219,122)</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160" w:type="dxa"/>
            <w:vAlign w:val="bottom"/>
          </w:tcPr>
          <w:p>
            <w:pPr>
              <w:spacing w:after="0"/>
              <w:rPr>
                <w:sz w:val="20"/>
                <w:szCs w:val="20"/>
                <w:color w:val="auto"/>
              </w:rPr>
            </w:pPr>
            <w:r>
              <w:rPr>
                <w:rFonts w:ascii="Arial" w:cs="Arial" w:eastAsia="Arial" w:hAnsi="Arial"/>
                <w:sz w:val="13"/>
                <w:szCs w:val="13"/>
                <w:color w:val="auto"/>
              </w:rPr>
              <w:t>Derivative financial instruments - liabilities</w:t>
            </w:r>
          </w:p>
        </w:tc>
        <w:tc>
          <w:tcPr>
            <w:tcW w:w="1000" w:type="dxa"/>
            <w:vAlign w:val="bottom"/>
            <w:gridSpan w:val="2"/>
          </w:tcPr>
          <w:p>
            <w:pPr>
              <w:jc w:val="right"/>
              <w:ind w:right="163"/>
              <w:spacing w:after="0"/>
              <w:rPr>
                <w:sz w:val="20"/>
                <w:szCs w:val="20"/>
                <w:color w:val="auto"/>
              </w:rPr>
            </w:pPr>
            <w:r>
              <w:rPr>
                <w:rFonts w:ascii="Arial" w:cs="Arial" w:eastAsia="Arial" w:hAnsi="Arial"/>
                <w:sz w:val="13"/>
                <w:szCs w:val="13"/>
                <w:color w:val="auto"/>
              </w:rPr>
              <w:t>(4,421)</w:t>
            </w:r>
          </w:p>
        </w:tc>
        <w:tc>
          <w:tcPr>
            <w:tcW w:w="1000" w:type="dxa"/>
            <w:vAlign w:val="bottom"/>
            <w:gridSpan w:val="2"/>
          </w:tcPr>
          <w:p>
            <w:pPr>
              <w:jc w:val="right"/>
              <w:ind w:right="116"/>
              <w:spacing w:after="0"/>
              <w:rPr>
                <w:sz w:val="20"/>
                <w:szCs w:val="20"/>
                <w:color w:val="auto"/>
              </w:rPr>
            </w:pPr>
            <w:r>
              <w:rPr>
                <w:rFonts w:ascii="Arial" w:cs="Arial" w:eastAsia="Arial" w:hAnsi="Arial"/>
                <w:sz w:val="13"/>
                <w:szCs w:val="13"/>
                <w:color w:val="auto"/>
              </w:rPr>
              <w:t>(8,516)</w:t>
            </w:r>
          </w:p>
        </w:tc>
        <w:tc>
          <w:tcPr>
            <w:tcW w:w="1000" w:type="dxa"/>
            <w:vAlign w:val="bottom"/>
            <w:gridSpan w:val="2"/>
          </w:tcPr>
          <w:p>
            <w:pPr>
              <w:jc w:val="right"/>
              <w:ind w:right="116"/>
              <w:spacing w:after="0"/>
              <w:rPr>
                <w:sz w:val="20"/>
                <w:szCs w:val="20"/>
                <w:color w:val="auto"/>
              </w:rPr>
            </w:pPr>
            <w:r>
              <w:rPr>
                <w:rFonts w:ascii="Arial" w:cs="Arial" w:eastAsia="Arial" w:hAnsi="Arial"/>
                <w:sz w:val="13"/>
                <w:szCs w:val="13"/>
                <w:color w:val="auto"/>
              </w:rPr>
              <w:t>(3,946)</w:t>
            </w:r>
          </w:p>
        </w:tc>
        <w:tc>
          <w:tcPr>
            <w:tcW w:w="960" w:type="dxa"/>
            <w:vAlign w:val="bottom"/>
            <w:gridSpan w:val="2"/>
          </w:tcPr>
          <w:p>
            <w:pPr>
              <w:jc w:val="right"/>
              <w:ind w:right="123"/>
              <w:spacing w:after="0"/>
              <w:rPr>
                <w:sz w:val="20"/>
                <w:szCs w:val="20"/>
                <w:color w:val="auto"/>
              </w:rPr>
            </w:pPr>
            <w:r>
              <w:rPr>
                <w:rFonts w:ascii="Arial" w:cs="Arial" w:eastAsia="Arial" w:hAnsi="Arial"/>
                <w:sz w:val="13"/>
                <w:szCs w:val="13"/>
                <w:color w:val="auto"/>
              </w:rPr>
              <w:t>(8,634)</w:t>
            </w:r>
          </w:p>
        </w:tc>
        <w:tc>
          <w:tcPr>
            <w:tcW w:w="960" w:type="dxa"/>
            <w:vAlign w:val="bottom"/>
            <w:gridSpan w:val="2"/>
          </w:tcPr>
          <w:p>
            <w:pPr>
              <w:jc w:val="right"/>
              <w:ind w:right="123"/>
              <w:spacing w:after="0"/>
              <w:rPr>
                <w:sz w:val="20"/>
                <w:szCs w:val="20"/>
                <w:color w:val="auto"/>
              </w:rPr>
            </w:pPr>
            <w:r>
              <w:rPr>
                <w:rFonts w:ascii="Arial" w:cs="Arial" w:eastAsia="Arial" w:hAnsi="Arial"/>
                <w:sz w:val="13"/>
                <w:szCs w:val="13"/>
                <w:color w:val="auto"/>
              </w:rPr>
              <w:t>(3,260)</w:t>
            </w:r>
          </w:p>
        </w:tc>
        <w:tc>
          <w:tcPr>
            <w:tcW w:w="960" w:type="dxa"/>
            <w:vAlign w:val="bottom"/>
            <w:gridSpan w:val="2"/>
          </w:tcPr>
          <w:p>
            <w:pPr>
              <w:jc w:val="right"/>
              <w:ind w:right="123"/>
              <w:spacing w:after="0"/>
              <w:rPr>
                <w:sz w:val="20"/>
                <w:szCs w:val="20"/>
                <w:color w:val="auto"/>
              </w:rPr>
            </w:pPr>
            <w:r>
              <w:rPr>
                <w:rFonts w:ascii="Arial" w:cs="Arial" w:eastAsia="Arial" w:hAnsi="Arial"/>
                <w:sz w:val="13"/>
                <w:szCs w:val="13"/>
                <w:color w:val="auto"/>
              </w:rPr>
              <w:t>(28,777)</w:t>
            </w:r>
          </w:p>
        </w:tc>
        <w:tc>
          <w:tcPr>
            <w:tcW w:w="860" w:type="dxa"/>
            <w:vAlign w:val="bottom"/>
            <w:gridSpan w:val="2"/>
          </w:tcPr>
          <w:p>
            <w:pPr>
              <w:jc w:val="right"/>
              <w:ind w:right="23"/>
              <w:spacing w:after="0"/>
              <w:rPr>
                <w:sz w:val="20"/>
                <w:szCs w:val="20"/>
                <w:color w:val="auto"/>
              </w:rPr>
            </w:pPr>
            <w:r>
              <w:rPr>
                <w:rFonts w:ascii="Arial" w:cs="Arial" w:eastAsia="Arial" w:hAnsi="Arial"/>
                <w:sz w:val="13"/>
                <w:szCs w:val="13"/>
                <w:color w:val="auto"/>
              </w:rPr>
              <w:t>(34,943)</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4160" w:type="dxa"/>
            <w:vAlign w:val="bottom"/>
            <w:tcBorders>
              <w:top w:val="single" w:sz="8" w:color="CCEEFF"/>
              <w:bottom w:val="single" w:sz="8" w:color="CCEEFF"/>
            </w:tcBorders>
            <w:shd w:val="clear" w:color="auto" w:fill="CCEEFF"/>
          </w:tcPr>
          <w:p>
            <w:pPr>
              <w:spacing w:after="0" w:line="146" w:lineRule="exact"/>
              <w:rPr>
                <w:sz w:val="20"/>
                <w:szCs w:val="20"/>
                <w:color w:val="auto"/>
              </w:rPr>
            </w:pPr>
            <w:r>
              <w:rPr>
                <w:rFonts w:ascii="Arial" w:cs="Arial" w:eastAsia="Arial" w:hAnsi="Arial"/>
                <w:sz w:val="13"/>
                <w:szCs w:val="13"/>
                <w:b w:val="1"/>
                <w:bCs w:val="1"/>
                <w:color w:val="auto"/>
              </w:rPr>
              <w:t>Total</w:t>
            </w: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(3,123,643</w:t>
            </w:r>
          </w:p>
        </w:tc>
        <w:tc>
          <w:tcPr>
            <w:tcW w:w="240" w:type="dxa"/>
            <w:vAlign w:val="bottom"/>
            <w:tcBorders>
              <w:top w:val="single" w:sz="8" w:color="CCEEFF"/>
              <w:bottom w:val="single" w:sz="8" w:color="CCEEFF"/>
            </w:tcBorders>
            <w:shd w:val="clear" w:color="auto" w:fill="CCEEFF"/>
          </w:tcPr>
          <w:p>
            <w:pPr>
              <w:jc w:val="right"/>
              <w:ind w:right="163"/>
              <w:spacing w:after="0"/>
              <w:rPr>
                <w:sz w:val="20"/>
                <w:szCs w:val="20"/>
                <w:color w:val="auto"/>
              </w:rPr>
            </w:pPr>
            <w:r>
              <w:rPr>
                <w:rFonts w:ascii="Arial" w:cs="Arial" w:eastAsia="Arial" w:hAnsi="Arial"/>
                <w:sz w:val="7"/>
                <w:szCs w:val="7"/>
                <w:b w:val="1"/>
                <w:bCs w:val="1"/>
                <w:color w:val="auto"/>
                <w:w w:val="83"/>
              </w:rPr>
              <w:t>)</w:t>
            </w: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(462,233</w:t>
            </w:r>
          </w:p>
        </w:tc>
        <w:tc>
          <w:tcPr>
            <w:tcW w:w="240" w:type="dxa"/>
            <w:vAlign w:val="bottom"/>
            <w:tcBorders>
              <w:top w:val="single" w:sz="8" w:color="CCEEFF"/>
              <w:bottom w:val="single" w:sz="8" w:color="CCEEFF"/>
            </w:tcBorders>
            <w:shd w:val="clear" w:color="auto" w:fill="CCEEFF"/>
          </w:tcPr>
          <w:p>
            <w:pPr>
              <w:jc w:val="right"/>
              <w:ind w:right="116"/>
              <w:spacing w:after="0" w:line="146" w:lineRule="exact"/>
              <w:rPr>
                <w:sz w:val="20"/>
                <w:szCs w:val="20"/>
                <w:color w:val="auto"/>
              </w:rPr>
            </w:pPr>
            <w:r>
              <w:rPr>
                <w:rFonts w:ascii="Arial" w:cs="Arial" w:eastAsia="Arial" w:hAnsi="Arial"/>
                <w:sz w:val="13"/>
                <w:szCs w:val="13"/>
                <w:b w:val="1"/>
                <w:bCs w:val="1"/>
                <w:color w:val="auto"/>
                <w:w w:val="91"/>
              </w:rPr>
              <w:t>)</w:t>
            </w: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(500,742</w:t>
            </w:r>
          </w:p>
        </w:tc>
        <w:tc>
          <w:tcPr>
            <w:tcW w:w="240" w:type="dxa"/>
            <w:vAlign w:val="bottom"/>
            <w:tcBorders>
              <w:top w:val="single" w:sz="8" w:color="CCEEFF"/>
              <w:bottom w:val="single" w:sz="8" w:color="CCEEFF"/>
            </w:tcBorders>
            <w:shd w:val="clear" w:color="auto" w:fill="CCEEFF"/>
          </w:tcPr>
          <w:p>
            <w:pPr>
              <w:jc w:val="right"/>
              <w:ind w:right="116"/>
              <w:spacing w:after="0" w:line="146" w:lineRule="exact"/>
              <w:rPr>
                <w:sz w:val="20"/>
                <w:szCs w:val="20"/>
                <w:color w:val="auto"/>
              </w:rPr>
            </w:pPr>
            <w:r>
              <w:rPr>
                <w:rFonts w:ascii="Arial" w:cs="Arial" w:eastAsia="Arial" w:hAnsi="Arial"/>
                <w:sz w:val="13"/>
                <w:szCs w:val="13"/>
                <w:b w:val="1"/>
                <w:bCs w:val="1"/>
                <w:color w:val="auto"/>
                <w:w w:val="91"/>
              </w:rPr>
              <w:t>)</w:t>
            </w: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(1,123,824</w:t>
            </w:r>
          </w:p>
        </w:tc>
        <w:tc>
          <w:tcPr>
            <w:tcW w:w="200" w:type="dxa"/>
            <w:vAlign w:val="bottom"/>
            <w:tcBorders>
              <w:top w:val="single" w:sz="8" w:color="CCEEFF"/>
              <w:bottom w:val="single" w:sz="8" w:color="CCEEFF"/>
            </w:tcBorders>
            <w:shd w:val="clear" w:color="auto" w:fill="CCEEFF"/>
          </w:tcPr>
          <w:p>
            <w:pPr>
              <w:jc w:val="right"/>
              <w:ind w:right="123"/>
              <w:spacing w:after="0"/>
              <w:rPr>
                <w:sz w:val="20"/>
                <w:szCs w:val="20"/>
                <w:color w:val="auto"/>
              </w:rPr>
            </w:pPr>
            <w:r>
              <w:rPr>
                <w:rFonts w:ascii="Arial" w:cs="Arial" w:eastAsia="Arial" w:hAnsi="Arial"/>
                <w:sz w:val="7"/>
                <w:szCs w:val="7"/>
                <w:b w:val="1"/>
                <w:bCs w:val="1"/>
                <w:color w:val="auto"/>
                <w:w w:val="83"/>
              </w:rPr>
              <w:t>)</w:t>
            </w: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(79,338</w:t>
            </w:r>
          </w:p>
        </w:tc>
        <w:tc>
          <w:tcPr>
            <w:tcW w:w="200" w:type="dxa"/>
            <w:vAlign w:val="bottom"/>
            <w:tcBorders>
              <w:top w:val="single" w:sz="8" w:color="CCEEFF"/>
              <w:bottom w:val="single" w:sz="8" w:color="CCEEFF"/>
            </w:tcBorders>
            <w:shd w:val="clear" w:color="auto" w:fill="CCEEFF"/>
          </w:tcPr>
          <w:p>
            <w:pPr>
              <w:jc w:val="right"/>
              <w:ind w:right="123"/>
              <w:spacing w:after="0"/>
              <w:rPr>
                <w:sz w:val="20"/>
                <w:szCs w:val="20"/>
                <w:color w:val="auto"/>
              </w:rPr>
            </w:pPr>
            <w:r>
              <w:rPr>
                <w:rFonts w:ascii="Arial" w:cs="Arial" w:eastAsia="Arial" w:hAnsi="Arial"/>
                <w:sz w:val="7"/>
                <w:szCs w:val="7"/>
                <w:b w:val="1"/>
                <w:bCs w:val="1"/>
                <w:color w:val="auto"/>
                <w:w w:val="83"/>
              </w:rPr>
              <w:t>)</w:t>
            </w: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(5,289,780</w:t>
            </w:r>
          </w:p>
        </w:tc>
        <w:tc>
          <w:tcPr>
            <w:tcW w:w="200" w:type="dxa"/>
            <w:vAlign w:val="bottom"/>
            <w:tcBorders>
              <w:top w:val="single" w:sz="8" w:color="CCEEFF"/>
              <w:bottom w:val="single" w:sz="8" w:color="CCEEFF"/>
            </w:tcBorders>
            <w:shd w:val="clear" w:color="auto" w:fill="CCEEFF"/>
          </w:tcPr>
          <w:p>
            <w:pPr>
              <w:jc w:val="right"/>
              <w:ind w:right="123"/>
              <w:spacing w:after="0"/>
              <w:rPr>
                <w:sz w:val="20"/>
                <w:szCs w:val="20"/>
                <w:color w:val="auto"/>
              </w:rPr>
            </w:pPr>
            <w:r>
              <w:rPr>
                <w:rFonts w:ascii="Arial" w:cs="Arial" w:eastAsia="Arial" w:hAnsi="Arial"/>
                <w:sz w:val="7"/>
                <w:szCs w:val="7"/>
                <w:b w:val="1"/>
                <w:bCs w:val="1"/>
                <w:color w:val="auto"/>
                <w:w w:val="83"/>
              </w:rPr>
              <w:t>)</w:t>
            </w: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(5,191,170</w:t>
            </w:r>
          </w:p>
        </w:tc>
        <w:tc>
          <w:tcPr>
            <w:tcW w:w="100" w:type="dxa"/>
            <w:vAlign w:val="bottom"/>
            <w:tcBorders>
              <w:top w:val="single" w:sz="8" w:color="CCEEFF"/>
              <w:bottom w:val="single" w:sz="8" w:color="CCEEFF"/>
            </w:tcBorders>
            <w:shd w:val="clear" w:color="auto" w:fill="CCEEFF"/>
          </w:tcPr>
          <w:p>
            <w:pPr>
              <w:jc w:val="right"/>
              <w:ind w:right="23"/>
              <w:spacing w:after="0"/>
              <w:rPr>
                <w:sz w:val="20"/>
                <w:szCs w:val="20"/>
                <w:color w:val="auto"/>
              </w:rPr>
            </w:pPr>
            <w:r>
              <w:rPr>
                <w:rFonts w:ascii="Arial" w:cs="Arial" w:eastAsia="Arial" w:hAnsi="Arial"/>
                <w:sz w:val="7"/>
                <w:szCs w:val="7"/>
                <w:b w:val="1"/>
                <w:bCs w:val="1"/>
                <w:color w:val="auto"/>
                <w:w w:val="83"/>
              </w:rPr>
              <w:t>)</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416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4160" w:type="dxa"/>
            <w:vAlign w:val="bottom"/>
            <w:shd w:val="clear" w:color="auto" w:fill="CCEEFF"/>
          </w:tcPr>
          <w:p>
            <w:pPr>
              <w:spacing w:after="0"/>
              <w:rPr>
                <w:sz w:val="20"/>
                <w:szCs w:val="20"/>
                <w:color w:val="auto"/>
              </w:rPr>
            </w:pPr>
            <w:r>
              <w:rPr>
                <w:rFonts w:ascii="Arial" w:cs="Arial" w:eastAsia="Arial" w:hAnsi="Arial"/>
                <w:sz w:val="13"/>
                <w:szCs w:val="13"/>
                <w:color w:val="auto"/>
              </w:rPr>
              <w:t>Confirmed letters of credit</w:t>
            </w:r>
          </w:p>
        </w:tc>
        <w:tc>
          <w:tcPr>
            <w:tcW w:w="7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169,042</w:t>
            </w:r>
          </w:p>
        </w:tc>
        <w:tc>
          <w:tcPr>
            <w:tcW w:w="24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176"/>
              <w:spacing w:after="0"/>
              <w:rPr>
                <w:sz w:val="20"/>
                <w:szCs w:val="20"/>
                <w:color w:val="auto"/>
              </w:rPr>
            </w:pPr>
            <w:r>
              <w:rPr>
                <w:rFonts w:ascii="Arial" w:cs="Arial" w:eastAsia="Arial" w:hAnsi="Arial"/>
                <w:sz w:val="13"/>
                <w:szCs w:val="13"/>
                <w:color w:val="auto"/>
              </w:rPr>
              <w:t>101,403</w:t>
            </w:r>
          </w:p>
        </w:tc>
        <w:tc>
          <w:tcPr>
            <w:tcW w:w="1000" w:type="dxa"/>
            <w:vAlign w:val="bottom"/>
            <w:gridSpan w:val="2"/>
            <w:shd w:val="clear" w:color="auto" w:fill="CCEEFF"/>
          </w:tcPr>
          <w:p>
            <w:pPr>
              <w:jc w:val="right"/>
              <w:ind w:right="176"/>
              <w:spacing w:after="0"/>
              <w:rPr>
                <w:sz w:val="20"/>
                <w:szCs w:val="20"/>
                <w:color w:val="auto"/>
              </w:rPr>
            </w:pPr>
            <w:r>
              <w:rPr>
                <w:rFonts w:ascii="Arial" w:cs="Arial" w:eastAsia="Arial" w:hAnsi="Arial"/>
                <w:sz w:val="13"/>
                <w:szCs w:val="13"/>
                <w:color w:val="auto"/>
              </w:rPr>
              <w:t>3,004</w:t>
            </w:r>
          </w:p>
        </w:tc>
        <w:tc>
          <w:tcPr>
            <w:tcW w:w="7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163"/>
              <w:spacing w:after="0"/>
              <w:rPr>
                <w:sz w:val="20"/>
                <w:szCs w:val="20"/>
                <w:color w:val="auto"/>
              </w:rPr>
            </w:pPr>
            <w:r>
              <w:rPr>
                <w:rFonts w:ascii="Arial" w:cs="Arial" w:eastAsia="Arial" w:hAnsi="Arial"/>
                <w:sz w:val="13"/>
                <w:szCs w:val="13"/>
                <w:color w:val="auto"/>
              </w:rPr>
              <w:t>273,449</w:t>
            </w:r>
          </w:p>
        </w:tc>
        <w:tc>
          <w:tcPr>
            <w:tcW w:w="860" w:type="dxa"/>
            <w:vAlign w:val="bottom"/>
            <w:gridSpan w:val="2"/>
            <w:shd w:val="clear" w:color="auto" w:fill="CCEEFF"/>
          </w:tcPr>
          <w:p>
            <w:pPr>
              <w:jc w:val="right"/>
              <w:ind w:right="63"/>
              <w:spacing w:after="0"/>
              <w:rPr>
                <w:sz w:val="20"/>
                <w:szCs w:val="20"/>
                <w:color w:val="auto"/>
              </w:rPr>
            </w:pPr>
            <w:r>
              <w:rPr>
                <w:rFonts w:ascii="Arial" w:cs="Arial" w:eastAsia="Arial" w:hAnsi="Arial"/>
                <w:sz w:val="13"/>
                <w:szCs w:val="13"/>
                <w:color w:val="auto"/>
              </w:rPr>
              <w:t>273,449</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160" w:type="dxa"/>
            <w:vAlign w:val="bottom"/>
          </w:tcPr>
          <w:p>
            <w:pPr>
              <w:spacing w:after="0"/>
              <w:rPr>
                <w:sz w:val="20"/>
                <w:szCs w:val="20"/>
                <w:color w:val="auto"/>
              </w:rPr>
            </w:pPr>
            <w:r>
              <w:rPr>
                <w:rFonts w:ascii="Arial" w:cs="Arial" w:eastAsia="Arial" w:hAnsi="Arial"/>
                <w:sz w:val="13"/>
                <w:szCs w:val="13"/>
                <w:color w:val="auto"/>
              </w:rPr>
              <w:t>Stand-by letters of credit and guaranteed –  commercial risk</w:t>
            </w:r>
          </w:p>
        </w:tc>
        <w:tc>
          <w:tcPr>
            <w:tcW w:w="1000" w:type="dxa"/>
            <w:vAlign w:val="bottom"/>
            <w:gridSpan w:val="2"/>
          </w:tcPr>
          <w:p>
            <w:pPr>
              <w:jc w:val="right"/>
              <w:ind w:right="203"/>
              <w:spacing w:after="0"/>
              <w:rPr>
                <w:sz w:val="20"/>
                <w:szCs w:val="20"/>
                <w:color w:val="auto"/>
              </w:rPr>
            </w:pPr>
            <w:r>
              <w:rPr>
                <w:rFonts w:ascii="Arial" w:cs="Arial" w:eastAsia="Arial" w:hAnsi="Arial"/>
                <w:sz w:val="13"/>
                <w:szCs w:val="13"/>
                <w:color w:val="auto"/>
              </w:rPr>
              <w:t>18,687</w:t>
            </w:r>
          </w:p>
        </w:tc>
        <w:tc>
          <w:tcPr>
            <w:tcW w:w="1000" w:type="dxa"/>
            <w:vAlign w:val="bottom"/>
            <w:gridSpan w:val="2"/>
          </w:tcPr>
          <w:p>
            <w:pPr>
              <w:jc w:val="right"/>
              <w:ind w:right="176"/>
              <w:spacing w:after="0"/>
              <w:rPr>
                <w:sz w:val="20"/>
                <w:szCs w:val="20"/>
                <w:color w:val="auto"/>
              </w:rPr>
            </w:pPr>
            <w:r>
              <w:rPr>
                <w:rFonts w:ascii="Arial" w:cs="Arial" w:eastAsia="Arial" w:hAnsi="Arial"/>
                <w:sz w:val="13"/>
                <w:szCs w:val="13"/>
                <w:color w:val="auto"/>
              </w:rPr>
              <w:t>72,080</w:t>
            </w:r>
          </w:p>
        </w:tc>
        <w:tc>
          <w:tcPr>
            <w:tcW w:w="1000" w:type="dxa"/>
            <w:vAlign w:val="bottom"/>
            <w:gridSpan w:val="2"/>
          </w:tcPr>
          <w:p>
            <w:pPr>
              <w:jc w:val="right"/>
              <w:ind w:right="176"/>
              <w:spacing w:after="0"/>
              <w:rPr>
                <w:sz w:val="20"/>
                <w:szCs w:val="20"/>
                <w:color w:val="auto"/>
              </w:rPr>
            </w:pPr>
            <w:r>
              <w:rPr>
                <w:rFonts w:ascii="Arial" w:cs="Arial" w:eastAsia="Arial" w:hAnsi="Arial"/>
                <w:sz w:val="13"/>
                <w:szCs w:val="13"/>
                <w:color w:val="auto"/>
              </w:rPr>
              <w:t>77,952</w:t>
            </w:r>
          </w:p>
        </w:tc>
        <w:tc>
          <w:tcPr>
            <w:tcW w:w="960" w:type="dxa"/>
            <w:vAlign w:val="bottom"/>
            <w:gridSpan w:val="2"/>
          </w:tcPr>
          <w:p>
            <w:pPr>
              <w:jc w:val="right"/>
              <w:ind w:right="163"/>
              <w:spacing w:after="0"/>
              <w:rPr>
                <w:sz w:val="20"/>
                <w:szCs w:val="20"/>
                <w:color w:val="auto"/>
              </w:rPr>
            </w:pPr>
            <w:r>
              <w:rPr>
                <w:rFonts w:ascii="Arial" w:cs="Arial" w:eastAsia="Arial" w:hAnsi="Arial"/>
                <w:sz w:val="13"/>
                <w:szCs w:val="13"/>
                <w:color w:val="auto"/>
              </w:rPr>
              <w:t>257</w:t>
            </w:r>
          </w:p>
        </w:tc>
        <w:tc>
          <w:tcPr>
            <w:tcW w:w="76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960" w:type="dxa"/>
            <w:vAlign w:val="bottom"/>
            <w:gridSpan w:val="2"/>
          </w:tcPr>
          <w:p>
            <w:pPr>
              <w:jc w:val="right"/>
              <w:ind w:right="163"/>
              <w:spacing w:after="0"/>
              <w:rPr>
                <w:sz w:val="20"/>
                <w:szCs w:val="20"/>
                <w:color w:val="auto"/>
              </w:rPr>
            </w:pPr>
            <w:r>
              <w:rPr>
                <w:rFonts w:ascii="Arial" w:cs="Arial" w:eastAsia="Arial" w:hAnsi="Arial"/>
                <w:sz w:val="13"/>
                <w:szCs w:val="13"/>
                <w:color w:val="auto"/>
              </w:rPr>
              <w:t>168,976</w:t>
            </w:r>
          </w:p>
        </w:tc>
        <w:tc>
          <w:tcPr>
            <w:tcW w:w="860" w:type="dxa"/>
            <w:vAlign w:val="bottom"/>
            <w:gridSpan w:val="2"/>
          </w:tcPr>
          <w:p>
            <w:pPr>
              <w:jc w:val="right"/>
              <w:ind w:right="63"/>
              <w:spacing w:after="0"/>
              <w:rPr>
                <w:sz w:val="20"/>
                <w:szCs w:val="20"/>
                <w:color w:val="auto"/>
              </w:rPr>
            </w:pPr>
            <w:r>
              <w:rPr>
                <w:rFonts w:ascii="Arial" w:cs="Arial" w:eastAsia="Arial" w:hAnsi="Arial"/>
                <w:sz w:val="13"/>
                <w:szCs w:val="13"/>
                <w:color w:val="auto"/>
              </w:rPr>
              <w:t>168,976</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160" w:type="dxa"/>
            <w:vAlign w:val="bottom"/>
            <w:shd w:val="clear" w:color="auto" w:fill="CCEEFF"/>
          </w:tcPr>
          <w:p>
            <w:pPr>
              <w:spacing w:after="0"/>
              <w:rPr>
                <w:sz w:val="20"/>
                <w:szCs w:val="20"/>
                <w:color w:val="auto"/>
              </w:rPr>
            </w:pPr>
            <w:r>
              <w:rPr>
                <w:rFonts w:ascii="Arial" w:cs="Arial" w:eastAsia="Arial" w:hAnsi="Arial"/>
                <w:sz w:val="13"/>
                <w:szCs w:val="13"/>
                <w:color w:val="auto"/>
              </w:rPr>
              <w:t>Credit commitments</w:t>
            </w:r>
          </w:p>
        </w:tc>
        <w:tc>
          <w:tcPr>
            <w:tcW w:w="7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4"/>
                <w:szCs w:val="14"/>
                <w:color w:val="auto"/>
              </w:rPr>
            </w:pPr>
          </w:p>
        </w:tc>
        <w:tc>
          <w:tcPr>
            <w:tcW w:w="1000" w:type="dxa"/>
            <w:vAlign w:val="bottom"/>
            <w:gridSpan w:val="2"/>
            <w:shd w:val="clear" w:color="auto" w:fill="CCEEFF"/>
          </w:tcPr>
          <w:p>
            <w:pPr>
              <w:jc w:val="right"/>
              <w:ind w:right="176"/>
              <w:spacing w:after="0"/>
              <w:rPr>
                <w:sz w:val="20"/>
                <w:szCs w:val="20"/>
                <w:color w:val="auto"/>
              </w:rPr>
            </w:pPr>
            <w:r>
              <w:rPr>
                <w:rFonts w:ascii="Arial" w:cs="Arial" w:eastAsia="Arial" w:hAnsi="Arial"/>
                <w:sz w:val="13"/>
                <w:szCs w:val="13"/>
                <w:color w:val="auto"/>
              </w:rPr>
              <w:t>15,000</w:t>
            </w:r>
          </w:p>
        </w:tc>
        <w:tc>
          <w:tcPr>
            <w:tcW w:w="1000" w:type="dxa"/>
            <w:vAlign w:val="bottom"/>
            <w:gridSpan w:val="2"/>
            <w:shd w:val="clear" w:color="auto" w:fill="CCEEFF"/>
          </w:tcPr>
          <w:p>
            <w:pPr>
              <w:jc w:val="right"/>
              <w:ind w:right="176"/>
              <w:spacing w:after="0"/>
              <w:rPr>
                <w:sz w:val="20"/>
                <w:szCs w:val="20"/>
                <w:color w:val="auto"/>
              </w:rPr>
            </w:pPr>
            <w:r>
              <w:rPr>
                <w:rFonts w:ascii="Arial" w:cs="Arial" w:eastAsia="Arial" w:hAnsi="Arial"/>
                <w:sz w:val="13"/>
                <w:szCs w:val="13"/>
                <w:color w:val="auto"/>
              </w:rPr>
              <w:t>-</w:t>
            </w:r>
          </w:p>
        </w:tc>
        <w:tc>
          <w:tcPr>
            <w:tcW w:w="960" w:type="dxa"/>
            <w:vAlign w:val="bottom"/>
            <w:gridSpan w:val="2"/>
            <w:shd w:val="clear" w:color="auto" w:fill="CCEEFF"/>
          </w:tcPr>
          <w:p>
            <w:pPr>
              <w:jc w:val="right"/>
              <w:ind w:right="163"/>
              <w:spacing w:after="0"/>
              <w:rPr>
                <w:sz w:val="20"/>
                <w:szCs w:val="20"/>
                <w:color w:val="auto"/>
              </w:rPr>
            </w:pPr>
            <w:r>
              <w:rPr>
                <w:rFonts w:ascii="Arial" w:cs="Arial" w:eastAsia="Arial" w:hAnsi="Arial"/>
                <w:sz w:val="13"/>
                <w:szCs w:val="13"/>
                <w:color w:val="auto"/>
              </w:rPr>
              <w:t>30,000</w:t>
            </w:r>
          </w:p>
        </w:tc>
        <w:tc>
          <w:tcPr>
            <w:tcW w:w="7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578</w:t>
            </w:r>
          </w:p>
        </w:tc>
        <w:tc>
          <w:tcPr>
            <w:tcW w:w="200" w:type="dxa"/>
            <w:vAlign w:val="bottom"/>
            <w:shd w:val="clear" w:color="auto" w:fill="CCEEFF"/>
          </w:tcPr>
          <w:p>
            <w:pPr>
              <w:spacing w:after="0"/>
              <w:rPr>
                <w:sz w:val="14"/>
                <w:szCs w:val="14"/>
                <w:color w:val="auto"/>
              </w:rPr>
            </w:pPr>
          </w:p>
        </w:tc>
        <w:tc>
          <w:tcPr>
            <w:tcW w:w="960" w:type="dxa"/>
            <w:vAlign w:val="bottom"/>
            <w:gridSpan w:val="2"/>
            <w:shd w:val="clear" w:color="auto" w:fill="CCEEFF"/>
          </w:tcPr>
          <w:p>
            <w:pPr>
              <w:jc w:val="right"/>
              <w:ind w:right="163"/>
              <w:spacing w:after="0"/>
              <w:rPr>
                <w:sz w:val="20"/>
                <w:szCs w:val="20"/>
                <w:color w:val="auto"/>
              </w:rPr>
            </w:pPr>
            <w:r>
              <w:rPr>
                <w:rFonts w:ascii="Arial" w:cs="Arial" w:eastAsia="Arial" w:hAnsi="Arial"/>
                <w:sz w:val="13"/>
                <w:szCs w:val="13"/>
                <w:color w:val="auto"/>
              </w:rPr>
              <w:t>45,578</w:t>
            </w:r>
          </w:p>
        </w:tc>
        <w:tc>
          <w:tcPr>
            <w:tcW w:w="860" w:type="dxa"/>
            <w:vAlign w:val="bottom"/>
            <w:gridSpan w:val="2"/>
            <w:shd w:val="clear" w:color="auto" w:fill="CCEEFF"/>
          </w:tcPr>
          <w:p>
            <w:pPr>
              <w:jc w:val="right"/>
              <w:ind w:right="63"/>
              <w:spacing w:after="0"/>
              <w:rPr>
                <w:sz w:val="20"/>
                <w:szCs w:val="20"/>
                <w:color w:val="auto"/>
              </w:rPr>
            </w:pPr>
            <w:r>
              <w:rPr>
                <w:rFonts w:ascii="Arial" w:cs="Arial" w:eastAsia="Arial" w:hAnsi="Arial"/>
                <w:sz w:val="13"/>
                <w:szCs w:val="13"/>
                <w:color w:val="auto"/>
              </w:rPr>
              <w:t>45,578</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4160" w:type="dxa"/>
            <w:vAlign w:val="bottom"/>
            <w:tcBorders>
              <w:bottom w:val="single" w:sz="8" w:color="CCEEFF"/>
            </w:tcBorders>
          </w:tcPr>
          <w:p>
            <w:pPr>
              <w:spacing w:after="0" w:line="146" w:lineRule="exact"/>
              <w:rPr>
                <w:sz w:val="20"/>
                <w:szCs w:val="20"/>
                <w:color w:val="auto"/>
              </w:rPr>
            </w:pPr>
            <w:r>
              <w:rPr>
                <w:rFonts w:ascii="Arial" w:cs="Arial" w:eastAsia="Arial" w:hAnsi="Arial"/>
                <w:sz w:val="13"/>
                <w:szCs w:val="13"/>
                <w:b w:val="1"/>
                <w:bCs w:val="1"/>
                <w:color w:val="auto"/>
              </w:rPr>
              <w:t>Total Contingencies</w:t>
            </w: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187,729</w:t>
            </w:r>
          </w:p>
        </w:tc>
        <w:tc>
          <w:tcPr>
            <w:tcW w:w="240" w:type="dxa"/>
            <w:vAlign w:val="bottom"/>
            <w:tcBorders>
              <w:bottom w:val="single" w:sz="8" w:color="CCEEFF"/>
            </w:tcBorders>
          </w:tcPr>
          <w:p>
            <w:pPr>
              <w:spacing w:after="0"/>
              <w:rPr>
                <w:sz w:val="14"/>
                <w:szCs w:val="14"/>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188,483</w:t>
            </w:r>
          </w:p>
        </w:tc>
        <w:tc>
          <w:tcPr>
            <w:tcW w:w="240" w:type="dxa"/>
            <w:vAlign w:val="bottom"/>
            <w:tcBorders>
              <w:bottom w:val="single" w:sz="8" w:color="CCEEFF"/>
            </w:tcBorders>
          </w:tcPr>
          <w:p>
            <w:pPr>
              <w:spacing w:after="0"/>
              <w:rPr>
                <w:sz w:val="14"/>
                <w:szCs w:val="14"/>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80,956</w:t>
            </w:r>
          </w:p>
        </w:tc>
        <w:tc>
          <w:tcPr>
            <w:tcW w:w="240" w:type="dxa"/>
            <w:vAlign w:val="bottom"/>
            <w:tcBorders>
              <w:bottom w:val="single" w:sz="8" w:color="CCEEFF"/>
            </w:tcBorders>
          </w:tcPr>
          <w:p>
            <w:pPr>
              <w:spacing w:after="0"/>
              <w:rPr>
                <w:sz w:val="14"/>
                <w:szCs w:val="14"/>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30,257</w:t>
            </w:r>
          </w:p>
        </w:tc>
        <w:tc>
          <w:tcPr>
            <w:tcW w:w="200" w:type="dxa"/>
            <w:vAlign w:val="bottom"/>
            <w:tcBorders>
              <w:bottom w:val="single" w:sz="8" w:color="CCEEFF"/>
            </w:tcBorders>
          </w:tcPr>
          <w:p>
            <w:pPr>
              <w:spacing w:after="0"/>
              <w:rPr>
                <w:sz w:val="14"/>
                <w:szCs w:val="14"/>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578</w:t>
            </w:r>
          </w:p>
        </w:tc>
        <w:tc>
          <w:tcPr>
            <w:tcW w:w="200" w:type="dxa"/>
            <w:vAlign w:val="bottom"/>
            <w:tcBorders>
              <w:bottom w:val="single" w:sz="8" w:color="CCEEFF"/>
            </w:tcBorders>
          </w:tcPr>
          <w:p>
            <w:pPr>
              <w:spacing w:after="0"/>
              <w:rPr>
                <w:sz w:val="14"/>
                <w:szCs w:val="14"/>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488,003</w:t>
            </w:r>
          </w:p>
        </w:tc>
        <w:tc>
          <w:tcPr>
            <w:tcW w:w="200" w:type="dxa"/>
            <w:vAlign w:val="bottom"/>
            <w:tcBorders>
              <w:bottom w:val="single" w:sz="8" w:color="CCEEFF"/>
            </w:tcBorders>
          </w:tcPr>
          <w:p>
            <w:pPr>
              <w:spacing w:after="0"/>
              <w:rPr>
                <w:sz w:val="14"/>
                <w:szCs w:val="14"/>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488,003</w:t>
            </w:r>
          </w:p>
        </w:tc>
        <w:tc>
          <w:tcPr>
            <w:tcW w:w="100" w:type="dxa"/>
            <w:vAlign w:val="bottom"/>
            <w:tcBorders>
              <w:bottom w:val="single" w:sz="8" w:color="CCEEFF"/>
            </w:tcBorders>
          </w:tcPr>
          <w:p>
            <w:pPr>
              <w:spacing w:after="0"/>
              <w:rPr>
                <w:sz w:val="14"/>
                <w:szCs w:val="14"/>
                <w:color w:val="auto"/>
              </w:rPr>
            </w:pP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4160" w:type="dxa"/>
            <w:vAlign w:val="bottom"/>
            <w:tcBorders>
              <w:bottom w:val="single" w:sz="8" w:color="CCEEFF"/>
            </w:tcBorders>
            <w:shd w:val="clear" w:color="auto" w:fill="CCEEFF"/>
          </w:tcPr>
          <w:p>
            <w:pPr>
              <w:spacing w:after="0" w:line="148" w:lineRule="exact"/>
              <w:rPr>
                <w:sz w:val="20"/>
                <w:szCs w:val="20"/>
                <w:color w:val="auto"/>
              </w:rPr>
            </w:pPr>
            <w:r>
              <w:rPr>
                <w:rFonts w:ascii="Arial" w:cs="Arial" w:eastAsia="Arial" w:hAnsi="Arial"/>
                <w:sz w:val="13"/>
                <w:szCs w:val="13"/>
                <w:b w:val="1"/>
                <w:bCs w:val="1"/>
                <w:color w:val="auto"/>
              </w:rPr>
              <w:t>Net position</w:t>
            </w:r>
          </w:p>
        </w:tc>
        <w:tc>
          <w:tcPr>
            <w:tcW w:w="7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(626,047</w:t>
            </w:r>
          </w:p>
        </w:tc>
        <w:tc>
          <w:tcPr>
            <w:tcW w:w="240" w:type="dxa"/>
            <w:vAlign w:val="bottom"/>
            <w:tcBorders>
              <w:bottom w:val="single" w:sz="8" w:color="CCEEFF"/>
            </w:tcBorders>
            <w:shd w:val="clear" w:color="auto" w:fill="CCEEFF"/>
          </w:tcPr>
          <w:p>
            <w:pPr>
              <w:jc w:val="right"/>
              <w:ind w:right="163"/>
              <w:spacing w:after="0"/>
              <w:rPr>
                <w:sz w:val="20"/>
                <w:szCs w:val="20"/>
                <w:color w:val="auto"/>
              </w:rPr>
            </w:pPr>
            <w:r>
              <w:rPr>
                <w:rFonts w:ascii="Arial" w:cs="Arial" w:eastAsia="Arial" w:hAnsi="Arial"/>
                <w:sz w:val="7"/>
                <w:szCs w:val="7"/>
                <w:b w:val="1"/>
                <w:bCs w:val="1"/>
                <w:color w:val="auto"/>
                <w:w w:val="83"/>
              </w:rPr>
              <w:t>)</w:t>
            </w:r>
          </w:p>
        </w:tc>
        <w:tc>
          <w:tcPr>
            <w:tcW w:w="7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650,741</w:t>
            </w:r>
          </w:p>
        </w:tc>
        <w:tc>
          <w:tcPr>
            <w:tcW w:w="240" w:type="dxa"/>
            <w:vAlign w:val="bottom"/>
            <w:tcBorders>
              <w:bottom w:val="single" w:sz="8" w:color="CCEEFF"/>
            </w:tcBorders>
            <w:shd w:val="clear" w:color="auto" w:fill="CCEEFF"/>
          </w:tcPr>
          <w:p>
            <w:pPr>
              <w:spacing w:after="0"/>
              <w:rPr>
                <w:sz w:val="14"/>
                <w:szCs w:val="14"/>
                <w:color w:val="auto"/>
              </w:rPr>
            </w:pPr>
          </w:p>
        </w:tc>
        <w:tc>
          <w:tcPr>
            <w:tcW w:w="7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508,765</w:t>
            </w:r>
          </w:p>
        </w:tc>
        <w:tc>
          <w:tcPr>
            <w:tcW w:w="240" w:type="dxa"/>
            <w:vAlign w:val="bottom"/>
            <w:tcBorders>
              <w:bottom w:val="single" w:sz="8" w:color="CCEEFF"/>
            </w:tcBorders>
            <w:shd w:val="clear" w:color="auto" w:fill="CCEEFF"/>
          </w:tcPr>
          <w:p>
            <w:pPr>
              <w:spacing w:after="0"/>
              <w:rPr>
                <w:sz w:val="14"/>
                <w:szCs w:val="14"/>
                <w:color w:val="auto"/>
              </w:rPr>
            </w:pPr>
          </w:p>
        </w:tc>
        <w:tc>
          <w:tcPr>
            <w:tcW w:w="7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104,939</w:t>
            </w:r>
          </w:p>
        </w:tc>
        <w:tc>
          <w:tcPr>
            <w:tcW w:w="200" w:type="dxa"/>
            <w:vAlign w:val="bottom"/>
            <w:tcBorders>
              <w:bottom w:val="single" w:sz="8" w:color="CCEEFF"/>
            </w:tcBorders>
            <w:shd w:val="clear" w:color="auto" w:fill="CCEEFF"/>
          </w:tcPr>
          <w:p>
            <w:pPr>
              <w:spacing w:after="0"/>
              <w:rPr>
                <w:sz w:val="14"/>
                <w:szCs w:val="14"/>
                <w:color w:val="auto"/>
              </w:rPr>
            </w:pPr>
          </w:p>
        </w:tc>
        <w:tc>
          <w:tcPr>
            <w:tcW w:w="7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(57,691</w:t>
            </w:r>
          </w:p>
        </w:tc>
        <w:tc>
          <w:tcPr>
            <w:tcW w:w="200" w:type="dxa"/>
            <w:vAlign w:val="bottom"/>
            <w:tcBorders>
              <w:bottom w:val="single" w:sz="8" w:color="CCEEFF"/>
            </w:tcBorders>
            <w:shd w:val="clear" w:color="auto" w:fill="CCEEFF"/>
          </w:tcPr>
          <w:p>
            <w:pPr>
              <w:jc w:val="right"/>
              <w:ind w:right="123"/>
              <w:spacing w:after="0"/>
              <w:rPr>
                <w:sz w:val="20"/>
                <w:szCs w:val="20"/>
                <w:color w:val="auto"/>
              </w:rPr>
            </w:pPr>
            <w:r>
              <w:rPr>
                <w:rFonts w:ascii="Arial" w:cs="Arial" w:eastAsia="Arial" w:hAnsi="Arial"/>
                <w:sz w:val="7"/>
                <w:szCs w:val="7"/>
                <w:b w:val="1"/>
                <w:bCs w:val="1"/>
                <w:color w:val="auto"/>
                <w:w w:val="83"/>
              </w:rPr>
              <w:t>)</w:t>
            </w:r>
          </w:p>
        </w:tc>
        <w:tc>
          <w:tcPr>
            <w:tcW w:w="7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580,706</w:t>
            </w:r>
          </w:p>
        </w:tc>
        <w:tc>
          <w:tcPr>
            <w:tcW w:w="200" w:type="dxa"/>
            <w:vAlign w:val="bottom"/>
            <w:tcBorders>
              <w:bottom w:val="single" w:sz="8" w:color="CCEEFF"/>
            </w:tcBorders>
            <w:shd w:val="clear" w:color="auto" w:fill="CCEEFF"/>
          </w:tcPr>
          <w:p>
            <w:pPr>
              <w:spacing w:after="0"/>
              <w:rPr>
                <w:sz w:val="14"/>
                <w:szCs w:val="14"/>
                <w:color w:val="auto"/>
              </w:rPr>
            </w:pPr>
          </w:p>
        </w:tc>
        <w:tc>
          <w:tcPr>
            <w:tcW w:w="7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550,486</w:t>
            </w:r>
          </w:p>
        </w:tc>
        <w:tc>
          <w:tcPr>
            <w:tcW w:w="100" w:type="dxa"/>
            <w:vAlign w:val="bottom"/>
            <w:tcBorders>
              <w:bottom w:val="single" w:sz="8" w:color="CCEEFF"/>
            </w:tcBorders>
            <w:shd w:val="clear" w:color="auto" w:fill="CCEEFF"/>
          </w:tcPr>
          <w:p>
            <w:pPr>
              <w:spacing w:after="0"/>
              <w:rPr>
                <w:sz w:val="14"/>
                <w:szCs w:val="14"/>
                <w:color w:val="auto"/>
              </w:rPr>
            </w:pP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467"/>
        </w:trPr>
        <w:tc>
          <w:tcPr>
            <w:tcW w:w="220" w:type="dxa"/>
            <w:vAlign w:val="bottom"/>
            <w:tcBorders>
              <w:bottom w:val="single" w:sz="8" w:color="auto"/>
            </w:tcBorders>
          </w:tcPr>
          <w:p>
            <w:pPr>
              <w:spacing w:after="0"/>
              <w:rPr>
                <w:sz w:val="24"/>
                <w:szCs w:val="24"/>
                <w:color w:val="auto"/>
              </w:rPr>
            </w:pPr>
          </w:p>
        </w:tc>
        <w:tc>
          <w:tcPr>
            <w:tcW w:w="416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gridSpan w:val="2"/>
          </w:tcPr>
          <w:p>
            <w:pPr>
              <w:jc w:val="right"/>
              <w:ind w:right="416"/>
              <w:spacing w:after="0"/>
              <w:rPr>
                <w:sz w:val="20"/>
                <w:szCs w:val="20"/>
                <w:color w:val="auto"/>
              </w:rPr>
            </w:pPr>
            <w:r>
              <w:rPr>
                <w:rFonts w:ascii="Arial" w:cs="Arial" w:eastAsia="Arial" w:hAnsi="Arial"/>
                <w:sz w:val="13"/>
                <w:szCs w:val="13"/>
                <w:color w:val="auto"/>
              </w:rPr>
              <w:t>F-103</w:t>
            </w:r>
          </w:p>
        </w:tc>
        <w:tc>
          <w:tcPr>
            <w:tcW w:w="76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0"/>
          </w:cols>
          <w:pgMar w:left="220" w:top="685" w:right="199" w:bottom="1440" w:gutter="0" w:footer="0" w:header="0"/>
        </w:sectPr>
      </w:pPr>
    </w:p>
    <w:bookmarkStart w:id="228" w:name="page229"/>
    <w:bookmarkEnd w:id="228"/>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39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right="9600" w:hanging="223"/>
        <w:spacing w:after="0" w:line="497" w:lineRule="auto"/>
        <w:tabs>
          <w:tab w:leader="none" w:pos="223" w:val="left"/>
        </w:tabs>
        <w:numPr>
          <w:ilvl w:val="0"/>
          <w:numId w:val="197"/>
        </w:numPr>
        <w:rPr>
          <w:rFonts w:ascii="Arial" w:cs="Arial" w:eastAsia="Arial" w:hAnsi="Arial"/>
          <w:sz w:val="13"/>
          <w:szCs w:val="13"/>
          <w:b w:val="1"/>
          <w:bCs w:val="1"/>
          <w:color w:val="auto"/>
        </w:rPr>
      </w:pPr>
      <w:r>
        <w:rPr>
          <w:rFonts w:ascii="Arial" w:cs="Arial" w:eastAsia="Arial" w:hAnsi="Arial"/>
          <w:sz w:val="13"/>
          <w:szCs w:val="13"/>
          <w:b w:val="1"/>
          <w:bCs w:val="1"/>
          <w:color w:val="auto"/>
        </w:rPr>
        <w:t>Risk management (continued) Market risk</w:t>
      </w:r>
    </w:p>
    <w:p>
      <w:pPr>
        <w:jc w:val="both"/>
        <w:ind w:left="223" w:right="20"/>
        <w:spacing w:after="0" w:line="314" w:lineRule="auto"/>
        <w:rPr>
          <w:rFonts w:ascii="Arial" w:cs="Arial" w:eastAsia="Arial" w:hAnsi="Arial"/>
          <w:sz w:val="13"/>
          <w:szCs w:val="13"/>
          <w:b w:val="1"/>
          <w:bCs w:val="1"/>
          <w:color w:val="auto"/>
        </w:rPr>
      </w:pPr>
      <w:r>
        <w:rPr>
          <w:rFonts w:ascii="Arial" w:cs="Arial" w:eastAsia="Arial" w:hAnsi="Arial"/>
          <w:sz w:val="11"/>
          <w:szCs w:val="11"/>
          <w:color w:val="auto"/>
        </w:rPr>
        <w:t>Market risk generally represents the risk that values of assets and liabilities or revenues will be adversely affected by changes in market conditions. Market risk is inherent in the financial instruments associated with many of the Bank’s operations and activities, including loans, deposits, securities at amortized cost and financial instruments through OCI and profit or loss, short- and long-term borrowings and debt, derivatives and financial liabilities through profit or loss. This risk may result from fluctuations in different parameters: interest rates, currency exchange rates, inflation rates and changes in the implied volatility. Accordingly, depending on the instruments or activities impacted, market risks can have wide ranging, complex adverse effects on the Bank’s consolidated financial statement, financial performance, cash flows and business.</w:t>
      </w:r>
    </w:p>
    <w:p>
      <w:pPr>
        <w:spacing w:after="0" w:line="10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u w:val="single" w:color="auto"/>
          <w:color w:val="auto"/>
        </w:rPr>
        <w:t>Interest rate risk</w:t>
      </w:r>
    </w:p>
    <w:p>
      <w:pPr>
        <w:spacing w:after="0" w:line="158" w:lineRule="exact"/>
        <w:rPr>
          <w:rFonts w:ascii="Arial" w:cs="Arial" w:eastAsia="Arial" w:hAnsi="Arial"/>
          <w:sz w:val="13"/>
          <w:szCs w:val="13"/>
          <w:b w:val="1"/>
          <w:bCs w:val="1"/>
          <w:color w:val="auto"/>
        </w:rPr>
      </w:pPr>
    </w:p>
    <w:p>
      <w:pPr>
        <w:jc w:val="both"/>
        <w:ind w:left="223"/>
        <w:spacing w:after="0" w:line="254" w:lineRule="auto"/>
        <w:rPr>
          <w:rFonts w:ascii="Arial" w:cs="Arial" w:eastAsia="Arial" w:hAnsi="Arial"/>
          <w:sz w:val="13"/>
          <w:szCs w:val="13"/>
          <w:b w:val="1"/>
          <w:bCs w:val="1"/>
          <w:color w:val="auto"/>
        </w:rPr>
      </w:pPr>
      <w:r>
        <w:rPr>
          <w:rFonts w:ascii="Arial" w:cs="Arial" w:eastAsia="Arial" w:hAnsi="Arial"/>
          <w:sz w:val="13"/>
          <w:szCs w:val="13"/>
          <w:color w:val="auto"/>
        </w:rPr>
        <w:t>The Bank endeavors to manage its assets and liabilities in order to reduce the potential adverse effects on the net interest income that could be produced by interest rate changes. The Bank’s interest rate risk is the exposure of earnings (current and potential) and capital to adverse changes in interest rates and is managed by attempting to match the term and repricing characteristics of the Bank’s interest rate sensitive assets and liabilities. The Bank’s policy with respect to interest rate risk provides that the Bank establishes limits with regards to: (1) changes in net interest income due to a potential impact, given certain movements in interest rates and (2) changes in the amount of available equity funds of the Bank, given a one basis point movement in interest rates.</w:t>
      </w:r>
    </w:p>
    <w:p>
      <w:pPr>
        <w:spacing w:after="0" w:line="137" w:lineRule="exact"/>
        <w:rPr>
          <w:rFonts w:ascii="Arial" w:cs="Arial" w:eastAsia="Arial" w:hAnsi="Arial"/>
          <w:sz w:val="13"/>
          <w:szCs w:val="13"/>
          <w:b w:val="1"/>
          <w:bCs w:val="1"/>
          <w:color w:val="auto"/>
        </w:rPr>
      </w:pP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The following summary table presents a sensitivity analysis of the effect on the Bank’s results of operations and equity derived from a reasonable variation in interest rates which its financial obligations are subject to, based on change in points.</w:t>
      </w:r>
    </w:p>
    <w:p>
      <w:pPr>
        <w:spacing w:after="0" w:line="279" w:lineRule="exact"/>
        <w:rPr>
          <w:sz w:val="20"/>
          <w:szCs w:val="20"/>
          <w:color w:val="auto"/>
        </w:rPr>
      </w:pPr>
    </w:p>
    <w:tbl>
      <w:tblPr>
        <w:tblLayout w:type="fixed"/>
        <w:tblInd w:w="1143" w:type="dxa"/>
        <w:tblCellMar>
          <w:top w:w="0" w:type="dxa"/>
          <w:left w:w="0" w:type="dxa"/>
          <w:bottom w:w="0" w:type="dxa"/>
          <w:right w:w="0" w:type="dxa"/>
        </w:tblCellMar>
      </w:tblPr>
      <w:tr>
        <w:trPr>
          <w:trHeight w:val="154"/>
        </w:trPr>
        <w:tc>
          <w:tcPr>
            <w:tcW w:w="20" w:type="dxa"/>
            <w:vAlign w:val="bottom"/>
          </w:tcPr>
          <w:p>
            <w:pPr>
              <w:spacing w:after="0"/>
              <w:rPr>
                <w:sz w:val="13"/>
                <w:szCs w:val="13"/>
                <w:color w:val="auto"/>
              </w:rPr>
            </w:pPr>
          </w:p>
        </w:tc>
        <w:tc>
          <w:tcPr>
            <w:tcW w:w="5700" w:type="dxa"/>
            <w:vAlign w:val="bottom"/>
          </w:tcPr>
          <w:p>
            <w:pPr>
              <w:spacing w:after="0"/>
              <w:rPr>
                <w:sz w:val="13"/>
                <w:szCs w:val="13"/>
                <w:color w:val="auto"/>
              </w:rPr>
            </w:pPr>
          </w:p>
        </w:tc>
        <w:tc>
          <w:tcPr>
            <w:tcW w:w="120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9"/>
              </w:rPr>
              <w:t>Change in</w:t>
            </w:r>
          </w:p>
        </w:tc>
        <w:tc>
          <w:tcPr>
            <w:tcW w:w="1180" w:type="dxa"/>
            <w:vAlign w:val="bottom"/>
            <w:gridSpan w:val="2"/>
          </w:tcPr>
          <w:p>
            <w:pPr>
              <w:jc w:val="right"/>
              <w:ind w:right="403"/>
              <w:spacing w:after="0"/>
              <w:rPr>
                <w:sz w:val="20"/>
                <w:szCs w:val="20"/>
                <w:color w:val="auto"/>
              </w:rPr>
            </w:pPr>
            <w:r>
              <w:rPr>
                <w:rFonts w:ascii="Arial" w:cs="Arial" w:eastAsia="Arial" w:hAnsi="Arial"/>
                <w:sz w:val="13"/>
                <w:szCs w:val="13"/>
                <w:b w:val="1"/>
                <w:bCs w:val="1"/>
                <w:color w:val="auto"/>
              </w:rPr>
              <w:t>Effect on</w:t>
            </w:r>
          </w:p>
        </w:tc>
        <w:tc>
          <w:tcPr>
            <w:tcW w:w="1080" w:type="dxa"/>
            <w:vAlign w:val="bottom"/>
            <w:gridSpan w:val="2"/>
          </w:tcPr>
          <w:p>
            <w:pPr>
              <w:jc w:val="right"/>
              <w:ind w:right="340"/>
              <w:spacing w:after="0"/>
              <w:rPr>
                <w:sz w:val="20"/>
                <w:szCs w:val="20"/>
                <w:color w:val="auto"/>
              </w:rPr>
            </w:pPr>
            <w:r>
              <w:rPr>
                <w:rFonts w:ascii="Arial" w:cs="Arial" w:eastAsia="Arial" w:hAnsi="Arial"/>
                <w:sz w:val="13"/>
                <w:szCs w:val="13"/>
                <w:b w:val="1"/>
                <w:bCs w:val="1"/>
                <w:color w:val="auto"/>
              </w:rPr>
              <w:t>Effect on</w:t>
            </w: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5700" w:type="dxa"/>
            <w:vAlign w:val="bottom"/>
          </w:tcPr>
          <w:p>
            <w:pPr>
              <w:spacing w:after="0"/>
              <w:rPr>
                <w:sz w:val="14"/>
                <w:szCs w:val="14"/>
                <w:color w:val="auto"/>
              </w:rPr>
            </w:pPr>
          </w:p>
        </w:tc>
        <w:tc>
          <w:tcPr>
            <w:tcW w:w="12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8"/>
              </w:rPr>
              <w:t>interest rate</w:t>
            </w:r>
          </w:p>
        </w:tc>
        <w:tc>
          <w:tcPr>
            <w:tcW w:w="1180" w:type="dxa"/>
            <w:vAlign w:val="bottom"/>
            <w:gridSpan w:val="2"/>
          </w:tcPr>
          <w:p>
            <w:pPr>
              <w:jc w:val="right"/>
              <w:ind w:right="443"/>
              <w:spacing w:after="0"/>
              <w:rPr>
                <w:sz w:val="20"/>
                <w:szCs w:val="20"/>
                <w:color w:val="auto"/>
              </w:rPr>
            </w:pPr>
            <w:r>
              <w:rPr>
                <w:rFonts w:ascii="Arial" w:cs="Arial" w:eastAsia="Arial" w:hAnsi="Arial"/>
                <w:sz w:val="13"/>
                <w:szCs w:val="13"/>
                <w:b w:val="1"/>
                <w:bCs w:val="1"/>
                <w:color w:val="auto"/>
              </w:rPr>
              <w:t>income</w:t>
            </w:r>
          </w:p>
        </w:tc>
        <w:tc>
          <w:tcPr>
            <w:tcW w:w="1080" w:type="dxa"/>
            <w:vAlign w:val="bottom"/>
            <w:gridSpan w:val="2"/>
          </w:tcPr>
          <w:p>
            <w:pPr>
              <w:jc w:val="right"/>
              <w:ind w:right="420"/>
              <w:spacing w:after="0"/>
              <w:rPr>
                <w:sz w:val="20"/>
                <w:szCs w:val="20"/>
                <w:color w:val="auto"/>
              </w:rPr>
            </w:pPr>
            <w:r>
              <w:rPr>
                <w:rFonts w:ascii="Arial" w:cs="Arial" w:eastAsia="Arial" w:hAnsi="Arial"/>
                <w:sz w:val="13"/>
                <w:szCs w:val="13"/>
                <w:b w:val="1"/>
                <w:bCs w:val="1"/>
                <w:color w:val="auto"/>
              </w:rPr>
              <w:t>equity</w:t>
            </w: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5700" w:type="dxa"/>
            <w:vAlign w:val="bottom"/>
          </w:tcPr>
          <w:p>
            <w:pPr>
              <w:spacing w:after="0"/>
              <w:rPr>
                <w:sz w:val="12"/>
                <w:szCs w:val="12"/>
                <w:color w:val="auto"/>
              </w:rPr>
            </w:pPr>
          </w:p>
        </w:tc>
        <w:tc>
          <w:tcPr>
            <w:tcW w:w="102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100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1000" w:type="dxa"/>
            <w:vAlign w:val="bottom"/>
            <w:tcBorders>
              <w:top w:val="single" w:sz="8" w:color="auto"/>
            </w:tcBorders>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93"/>
        </w:trPr>
        <w:tc>
          <w:tcPr>
            <w:tcW w:w="20" w:type="dxa"/>
            <w:vAlign w:val="bottom"/>
            <w:vMerge w:val="continue"/>
          </w:tcPr>
          <w:p>
            <w:pPr>
              <w:spacing w:after="0"/>
              <w:rPr>
                <w:sz w:val="16"/>
                <w:szCs w:val="16"/>
                <w:color w:val="auto"/>
              </w:rPr>
            </w:pPr>
          </w:p>
        </w:tc>
        <w:tc>
          <w:tcPr>
            <w:tcW w:w="5700" w:type="dxa"/>
            <w:vAlign w:val="bottom"/>
            <w:shd w:val="clear" w:color="auto" w:fill="CCEEFF"/>
          </w:tcPr>
          <w:p>
            <w:pPr>
              <w:spacing w:after="0"/>
              <w:rPr>
                <w:sz w:val="20"/>
                <w:szCs w:val="20"/>
                <w:color w:val="auto"/>
              </w:rPr>
            </w:pPr>
            <w:r>
              <w:rPr>
                <w:rFonts w:ascii="Arial" w:cs="Arial" w:eastAsia="Arial" w:hAnsi="Arial"/>
                <w:sz w:val="13"/>
                <w:szCs w:val="13"/>
                <w:color w:val="auto"/>
              </w:rPr>
              <w:t>December 31, 2018</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+200 bps</w:t>
            </w:r>
          </w:p>
        </w:tc>
        <w:tc>
          <w:tcPr>
            <w:tcW w:w="10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5,881</w:t>
            </w:r>
          </w:p>
        </w:tc>
        <w:tc>
          <w:tcPr>
            <w:tcW w:w="180" w:type="dxa"/>
            <w:vAlign w:val="bottom"/>
            <w:shd w:val="clear" w:color="auto" w:fill="CCEEFF"/>
          </w:tcPr>
          <w:p>
            <w:pPr>
              <w:spacing w:after="0"/>
              <w:rPr>
                <w:sz w:val="16"/>
                <w:szCs w:val="16"/>
                <w:color w:val="auto"/>
              </w:rPr>
            </w:pPr>
          </w:p>
        </w:tc>
        <w:tc>
          <w:tcPr>
            <w:tcW w:w="108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(20,508)</w:t>
            </w:r>
          </w:p>
        </w:tc>
        <w:tc>
          <w:tcPr>
            <w:tcW w:w="0" w:type="dxa"/>
            <w:vAlign w:val="bottom"/>
          </w:tcPr>
          <w:p>
            <w:pPr>
              <w:spacing w:after="0"/>
              <w:rPr>
                <w:sz w:val="1"/>
                <w:szCs w:val="1"/>
                <w:color w:val="auto"/>
              </w:rPr>
            </w:pPr>
          </w:p>
        </w:tc>
      </w:tr>
      <w:tr>
        <w:trPr>
          <w:trHeight w:val="152"/>
        </w:trPr>
        <w:tc>
          <w:tcPr>
            <w:tcW w:w="20" w:type="dxa"/>
            <w:vAlign w:val="bottom"/>
          </w:tcPr>
          <w:p>
            <w:pPr>
              <w:spacing w:after="0"/>
              <w:rPr>
                <w:sz w:val="13"/>
                <w:szCs w:val="13"/>
                <w:color w:val="auto"/>
              </w:rPr>
            </w:pPr>
          </w:p>
        </w:tc>
        <w:tc>
          <w:tcPr>
            <w:tcW w:w="5700" w:type="dxa"/>
            <w:vAlign w:val="bottom"/>
            <w:tcBorders>
              <w:top w:val="single" w:sz="8" w:color="CCEEFF"/>
              <w:bottom w:val="single" w:sz="8" w:color="CCEEFF"/>
            </w:tcBorders>
          </w:tcPr>
          <w:p>
            <w:pPr>
              <w:spacing w:after="0"/>
              <w:rPr>
                <w:sz w:val="13"/>
                <w:szCs w:val="13"/>
                <w:color w:val="auto"/>
              </w:rPr>
            </w:pPr>
          </w:p>
        </w:tc>
        <w:tc>
          <w:tcPr>
            <w:tcW w:w="1200" w:type="dxa"/>
            <w:vAlign w:val="bottom"/>
            <w:tcBorders>
              <w:top w:val="single" w:sz="8" w:color="CCEEFF"/>
              <w:bottom w:val="single" w:sz="8" w:color="CCEEFF"/>
            </w:tcBorders>
            <w:gridSpan w:val="2"/>
          </w:tcPr>
          <w:p>
            <w:pPr>
              <w:jc w:val="right"/>
              <w:ind w:right="200"/>
              <w:spacing w:after="0" w:line="143" w:lineRule="exact"/>
              <w:rPr>
                <w:sz w:val="20"/>
                <w:szCs w:val="20"/>
                <w:color w:val="auto"/>
              </w:rPr>
            </w:pPr>
            <w:r>
              <w:rPr>
                <w:rFonts w:ascii="Arial" w:cs="Arial" w:eastAsia="Arial" w:hAnsi="Arial"/>
                <w:sz w:val="13"/>
                <w:szCs w:val="13"/>
                <w:color w:val="auto"/>
              </w:rPr>
              <w:t>-200 bps</w:t>
            </w:r>
          </w:p>
        </w:tc>
        <w:tc>
          <w:tcPr>
            <w:tcW w:w="100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(5,298</w:t>
            </w:r>
          </w:p>
        </w:tc>
        <w:tc>
          <w:tcPr>
            <w:tcW w:w="180" w:type="dxa"/>
            <w:vAlign w:val="bottom"/>
            <w:tcBorders>
              <w:top w:val="single" w:sz="8" w:color="CCEEFF"/>
              <w:bottom w:val="single" w:sz="8" w:color="CCEEFF"/>
            </w:tcBorders>
          </w:tcPr>
          <w:p>
            <w:pPr>
              <w:jc w:val="right"/>
              <w:ind w:right="103"/>
              <w:spacing w:after="0"/>
              <w:rPr>
                <w:sz w:val="20"/>
                <w:szCs w:val="20"/>
                <w:color w:val="auto"/>
              </w:rPr>
            </w:pPr>
            <w:r>
              <w:rPr>
                <w:rFonts w:ascii="Arial" w:cs="Arial" w:eastAsia="Arial" w:hAnsi="Arial"/>
                <w:sz w:val="7"/>
                <w:szCs w:val="7"/>
                <w:color w:val="auto"/>
                <w:w w:val="83"/>
              </w:rPr>
              <w:t>)</w:t>
            </w:r>
          </w:p>
        </w:tc>
        <w:tc>
          <w:tcPr>
            <w:tcW w:w="100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20,508</w:t>
            </w:r>
          </w:p>
        </w:tc>
        <w:tc>
          <w:tcPr>
            <w:tcW w:w="80" w:type="dxa"/>
            <w:vAlign w:val="bottom"/>
            <w:tcBorders>
              <w:top w:val="single" w:sz="8" w:color="CCEEFF"/>
              <w:bottom w:val="single" w:sz="8" w:color="CCEEFF"/>
            </w:tcBorders>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700" w:type="dxa"/>
            <w:vAlign w:val="bottom"/>
            <w:shd w:val="clear" w:color="auto" w:fill="CCEEFF"/>
          </w:tcPr>
          <w:p>
            <w:pPr>
              <w:spacing w:after="0"/>
              <w:rPr>
                <w:sz w:val="13"/>
                <w:szCs w:val="13"/>
                <w:color w:val="auto"/>
              </w:rPr>
            </w:pPr>
          </w:p>
        </w:tc>
        <w:tc>
          <w:tcPr>
            <w:tcW w:w="102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100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100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82"/>
        </w:trPr>
        <w:tc>
          <w:tcPr>
            <w:tcW w:w="20" w:type="dxa"/>
            <w:vAlign w:val="bottom"/>
            <w:vMerge w:val="continue"/>
          </w:tcPr>
          <w:p>
            <w:pPr>
              <w:spacing w:after="0"/>
              <w:rPr>
                <w:sz w:val="15"/>
                <w:szCs w:val="15"/>
                <w:color w:val="auto"/>
              </w:rPr>
            </w:pPr>
          </w:p>
        </w:tc>
        <w:tc>
          <w:tcPr>
            <w:tcW w:w="5700" w:type="dxa"/>
            <w:vAlign w:val="bottom"/>
          </w:tcPr>
          <w:p>
            <w:pPr>
              <w:spacing w:after="0"/>
              <w:rPr>
                <w:sz w:val="20"/>
                <w:szCs w:val="20"/>
                <w:color w:val="auto"/>
              </w:rPr>
            </w:pPr>
            <w:r>
              <w:rPr>
                <w:rFonts w:ascii="Arial" w:cs="Arial" w:eastAsia="Arial" w:hAnsi="Arial"/>
                <w:sz w:val="13"/>
                <w:szCs w:val="13"/>
                <w:color w:val="auto"/>
              </w:rPr>
              <w:t>December 31, 2017</w:t>
            </w:r>
          </w:p>
        </w:tc>
        <w:tc>
          <w:tcPr>
            <w:tcW w:w="1200" w:type="dxa"/>
            <w:vAlign w:val="bottom"/>
            <w:gridSpan w:val="2"/>
          </w:tcPr>
          <w:p>
            <w:pPr>
              <w:jc w:val="right"/>
              <w:ind w:right="200"/>
              <w:spacing w:after="0"/>
              <w:rPr>
                <w:sz w:val="20"/>
                <w:szCs w:val="20"/>
                <w:color w:val="auto"/>
              </w:rPr>
            </w:pPr>
            <w:r>
              <w:rPr>
                <w:rFonts w:ascii="Arial" w:cs="Arial" w:eastAsia="Arial" w:hAnsi="Arial"/>
                <w:sz w:val="13"/>
                <w:szCs w:val="13"/>
                <w:color w:val="auto"/>
              </w:rPr>
              <w:t>+200 bps</w:t>
            </w:r>
          </w:p>
        </w:tc>
        <w:tc>
          <w:tcPr>
            <w:tcW w:w="1000" w:type="dxa"/>
            <w:vAlign w:val="bottom"/>
          </w:tcPr>
          <w:p>
            <w:pPr>
              <w:jc w:val="right"/>
              <w:spacing w:after="0"/>
              <w:rPr>
                <w:sz w:val="20"/>
                <w:szCs w:val="20"/>
                <w:color w:val="auto"/>
              </w:rPr>
            </w:pPr>
            <w:r>
              <w:rPr>
                <w:rFonts w:ascii="Arial" w:cs="Arial" w:eastAsia="Arial" w:hAnsi="Arial"/>
                <w:sz w:val="13"/>
                <w:szCs w:val="13"/>
                <w:color w:val="auto"/>
              </w:rPr>
              <w:t>16,945</w:t>
            </w:r>
          </w:p>
        </w:tc>
        <w:tc>
          <w:tcPr>
            <w:tcW w:w="180" w:type="dxa"/>
            <w:vAlign w:val="bottom"/>
          </w:tcPr>
          <w:p>
            <w:pPr>
              <w:spacing w:after="0"/>
              <w:rPr>
                <w:sz w:val="15"/>
                <w:szCs w:val="15"/>
                <w:color w:val="auto"/>
              </w:rPr>
            </w:pPr>
          </w:p>
        </w:tc>
        <w:tc>
          <w:tcPr>
            <w:tcW w:w="1080" w:type="dxa"/>
            <w:vAlign w:val="bottom"/>
            <w:gridSpan w:val="2"/>
          </w:tcPr>
          <w:p>
            <w:pPr>
              <w:jc w:val="right"/>
              <w:ind w:right="40"/>
              <w:spacing w:after="0"/>
              <w:rPr>
                <w:sz w:val="20"/>
                <w:szCs w:val="20"/>
                <w:color w:val="auto"/>
              </w:rPr>
            </w:pPr>
            <w:r>
              <w:rPr>
                <w:rFonts w:ascii="Arial" w:cs="Arial" w:eastAsia="Arial" w:hAnsi="Arial"/>
                <w:sz w:val="13"/>
                <w:szCs w:val="13"/>
                <w:color w:val="auto"/>
              </w:rPr>
              <w:t>(19,025)</w:t>
            </w: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5700" w:type="dxa"/>
            <w:vAlign w:val="bottom"/>
            <w:tcBorders>
              <w:top w:val="single" w:sz="8" w:color="CCEEFF"/>
              <w:bottom w:val="single" w:sz="8" w:color="CCEEFF"/>
            </w:tcBorders>
            <w:shd w:val="clear" w:color="auto" w:fill="CCEEFF"/>
          </w:tcPr>
          <w:p>
            <w:pPr>
              <w:spacing w:after="0"/>
              <w:rPr>
                <w:sz w:val="14"/>
                <w:szCs w:val="14"/>
                <w:color w:val="auto"/>
              </w:rPr>
            </w:pPr>
          </w:p>
        </w:tc>
        <w:tc>
          <w:tcPr>
            <w:tcW w:w="1200" w:type="dxa"/>
            <w:vAlign w:val="bottom"/>
            <w:tcBorders>
              <w:top w:val="single" w:sz="8" w:color="CCEEFF"/>
              <w:bottom w:val="single" w:sz="8" w:color="CCEEFF"/>
            </w:tcBorders>
            <w:gridSpan w:val="2"/>
            <w:shd w:val="clear" w:color="auto" w:fill="CCEEFF"/>
          </w:tcPr>
          <w:p>
            <w:pPr>
              <w:jc w:val="right"/>
              <w:ind w:right="200"/>
              <w:spacing w:after="0" w:line="143" w:lineRule="exact"/>
              <w:rPr>
                <w:sz w:val="20"/>
                <w:szCs w:val="20"/>
                <w:color w:val="auto"/>
              </w:rPr>
            </w:pPr>
            <w:r>
              <w:rPr>
                <w:rFonts w:ascii="Arial" w:cs="Arial" w:eastAsia="Arial" w:hAnsi="Arial"/>
                <w:sz w:val="13"/>
                <w:szCs w:val="13"/>
                <w:color w:val="auto"/>
              </w:rPr>
              <w:t>-200 bps</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(16,674</w:t>
            </w:r>
          </w:p>
        </w:tc>
        <w:tc>
          <w:tcPr>
            <w:tcW w:w="180" w:type="dxa"/>
            <w:vAlign w:val="bottom"/>
            <w:tcBorders>
              <w:top w:val="single" w:sz="8" w:color="CCEEFF"/>
              <w:bottom w:val="single" w:sz="8" w:color="CCEEFF"/>
            </w:tcBorders>
            <w:shd w:val="clear" w:color="auto" w:fill="CCEEFF"/>
          </w:tcPr>
          <w:p>
            <w:pPr>
              <w:jc w:val="right"/>
              <w:ind w:right="103"/>
              <w:spacing w:after="0"/>
              <w:rPr>
                <w:sz w:val="20"/>
                <w:szCs w:val="20"/>
                <w:color w:val="auto"/>
              </w:rPr>
            </w:pPr>
            <w:r>
              <w:rPr>
                <w:rFonts w:ascii="Arial" w:cs="Arial" w:eastAsia="Arial" w:hAnsi="Arial"/>
                <w:sz w:val="7"/>
                <w:szCs w:val="7"/>
                <w:color w:val="auto"/>
                <w:w w:val="83"/>
              </w:rPr>
              <w:t>)</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color w:val="auto"/>
              </w:rPr>
              <w:t>19,025</w:t>
            </w:r>
          </w:p>
        </w:tc>
        <w:tc>
          <w:tcPr>
            <w:tcW w:w="80" w:type="dxa"/>
            <w:vAlign w:val="bottom"/>
            <w:tcBorders>
              <w:top w:val="single" w:sz="8" w:color="CCEEFF"/>
              <w:bottom w:val="single" w:sz="8" w:color="CCEEFF"/>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bl>
    <w:p>
      <w:pPr>
        <w:spacing w:after="0" w:line="145" w:lineRule="exact"/>
        <w:rPr>
          <w:sz w:val="20"/>
          <w:szCs w:val="20"/>
          <w:color w:val="auto"/>
        </w:rPr>
      </w:pPr>
    </w:p>
    <w:p>
      <w:pPr>
        <w:ind w:left="223"/>
        <w:spacing w:after="0" w:line="267" w:lineRule="auto"/>
        <w:rPr>
          <w:sz w:val="20"/>
          <w:szCs w:val="20"/>
          <w:color w:val="auto"/>
        </w:rPr>
      </w:pPr>
      <w:r>
        <w:rPr>
          <w:rFonts w:ascii="Arial" w:cs="Arial" w:eastAsia="Arial" w:hAnsi="Arial"/>
          <w:sz w:val="13"/>
          <w:szCs w:val="13"/>
          <w:color w:val="auto"/>
        </w:rPr>
        <w:t>This analysis is based on the prior year changes in interest rates and assesses the impact on income, with balances as of December 31, 2018 and December 31, 2017. This sensitivity provides an idea of the changes in interest rates, taking as example the volatility of the interest rate of the previous year.</w:t>
      </w:r>
    </w:p>
    <w:p>
      <w:pPr>
        <w:spacing w:after="0" w:line="283"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F-104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39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229" w:name="page230"/>
    <w:bookmarkEnd w:id="229"/>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39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right="9600" w:hanging="223"/>
        <w:spacing w:after="0" w:line="587" w:lineRule="auto"/>
        <w:tabs>
          <w:tab w:leader="none" w:pos="223" w:val="left"/>
        </w:tabs>
        <w:numPr>
          <w:ilvl w:val="0"/>
          <w:numId w:val="198"/>
        </w:numPr>
        <w:rPr>
          <w:rFonts w:ascii="Arial" w:cs="Arial" w:eastAsia="Arial" w:hAnsi="Arial"/>
          <w:sz w:val="11"/>
          <w:szCs w:val="11"/>
          <w:b w:val="1"/>
          <w:bCs w:val="1"/>
          <w:color w:val="auto"/>
        </w:rPr>
      </w:pPr>
      <w:r>
        <w:rPr>
          <w:rFonts w:ascii="Arial" w:cs="Arial" w:eastAsia="Arial" w:hAnsi="Arial"/>
          <w:sz w:val="11"/>
          <w:szCs w:val="11"/>
          <w:b w:val="1"/>
          <w:bCs w:val="1"/>
          <w:color w:val="auto"/>
        </w:rPr>
        <w:t xml:space="preserve">Risk management (continued) Market risk (continued) </w:t>
      </w:r>
      <w:r>
        <w:rPr>
          <w:rFonts w:ascii="Arial" w:cs="Arial" w:eastAsia="Arial" w:hAnsi="Arial"/>
          <w:sz w:val="11"/>
          <w:szCs w:val="11"/>
          <w:u w:val="single" w:color="auto"/>
          <w:color w:val="auto"/>
        </w:rPr>
        <w:t>Interest rate risk</w:t>
      </w:r>
      <w:r>
        <w:rPr>
          <w:rFonts w:ascii="Arial" w:cs="Arial" w:eastAsia="Arial" w:hAnsi="Arial"/>
          <w:sz w:val="11"/>
          <w:szCs w:val="11"/>
          <w:color w:val="auto"/>
        </w:rPr>
        <w:t xml:space="preserve"> (continued)</w:t>
      </w:r>
    </w:p>
    <w:p>
      <w:pPr>
        <w:ind w:left="223"/>
        <w:spacing w:after="0"/>
        <w:rPr>
          <w:rFonts w:ascii="Arial" w:cs="Arial" w:eastAsia="Arial" w:hAnsi="Arial"/>
          <w:sz w:val="11"/>
          <w:szCs w:val="11"/>
          <w:b w:val="1"/>
          <w:bCs w:val="1"/>
          <w:color w:val="auto"/>
        </w:rPr>
      </w:pPr>
      <w:r>
        <w:rPr>
          <w:rFonts w:ascii="Arial" w:cs="Arial" w:eastAsia="Arial" w:hAnsi="Arial"/>
          <w:sz w:val="13"/>
          <w:szCs w:val="13"/>
          <w:color w:val="auto"/>
        </w:rPr>
        <w:t>The table below summarizes the Bank's exposure based on the terms of repricing of interest rates on financial assets and liabilities.</w:t>
      </w:r>
    </w:p>
    <w:p>
      <w:pPr>
        <w:spacing w:after="0" w:line="164" w:lineRule="exact"/>
        <w:rPr>
          <w:sz w:val="20"/>
          <w:szCs w:val="20"/>
          <w:color w:val="auto"/>
        </w:rPr>
      </w:pPr>
    </w:p>
    <w:tbl>
      <w:tblPr>
        <w:tblLayout w:type="fixed"/>
        <w:tblInd w:w="3" w:type="dxa"/>
        <w:tblCellMar>
          <w:top w:w="0" w:type="dxa"/>
          <w:left w:w="0" w:type="dxa"/>
          <w:bottom w:w="0" w:type="dxa"/>
          <w:right w:w="0" w:type="dxa"/>
        </w:tblCellMar>
      </w:tblPr>
      <w:tr>
        <w:trPr>
          <w:trHeight w:val="167"/>
        </w:trPr>
        <w:tc>
          <w:tcPr>
            <w:tcW w:w="220" w:type="dxa"/>
            <w:vAlign w:val="bottom"/>
          </w:tcPr>
          <w:p>
            <w:pPr>
              <w:spacing w:after="0"/>
              <w:rPr>
                <w:sz w:val="14"/>
                <w:szCs w:val="14"/>
                <w:color w:val="auto"/>
              </w:rPr>
            </w:pPr>
          </w:p>
        </w:tc>
        <w:tc>
          <w:tcPr>
            <w:tcW w:w="4480" w:type="dxa"/>
            <w:vAlign w:val="bottom"/>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72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2160" w:type="dxa"/>
            <w:vAlign w:val="bottom"/>
            <w:tcBorders>
              <w:bottom w:val="single" w:sz="8" w:color="auto"/>
            </w:tcBorders>
            <w:gridSpan w:val="4"/>
          </w:tcPr>
          <w:p>
            <w:pPr>
              <w:jc w:val="right"/>
              <w:ind w:right="663"/>
              <w:spacing w:after="0"/>
              <w:rPr>
                <w:sz w:val="20"/>
                <w:szCs w:val="20"/>
                <w:color w:val="auto"/>
              </w:rPr>
            </w:pPr>
            <w:r>
              <w:rPr>
                <w:rFonts w:ascii="Arial" w:cs="Arial" w:eastAsia="Arial" w:hAnsi="Arial"/>
                <w:sz w:val="13"/>
                <w:szCs w:val="13"/>
                <w:b w:val="1"/>
                <w:bCs w:val="1"/>
                <w:color w:val="auto"/>
              </w:rPr>
              <w:t>December 31, 2018</w:t>
            </w:r>
          </w:p>
        </w:tc>
        <w:tc>
          <w:tcPr>
            <w:tcW w:w="8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1"/>
        </w:trPr>
        <w:tc>
          <w:tcPr>
            <w:tcW w:w="220" w:type="dxa"/>
            <w:vAlign w:val="bottom"/>
          </w:tcPr>
          <w:p>
            <w:pPr>
              <w:spacing w:after="0"/>
              <w:rPr>
                <w:sz w:val="11"/>
                <w:szCs w:val="11"/>
                <w:color w:val="auto"/>
              </w:rPr>
            </w:pPr>
          </w:p>
        </w:tc>
        <w:tc>
          <w:tcPr>
            <w:tcW w:w="4480" w:type="dxa"/>
            <w:vAlign w:val="bottom"/>
          </w:tcPr>
          <w:p>
            <w:pPr>
              <w:spacing w:after="0"/>
              <w:rPr>
                <w:sz w:val="11"/>
                <w:szCs w:val="11"/>
                <w:color w:val="auto"/>
              </w:rPr>
            </w:pPr>
          </w:p>
        </w:tc>
        <w:tc>
          <w:tcPr>
            <w:tcW w:w="1280" w:type="dxa"/>
            <w:vAlign w:val="bottom"/>
            <w:gridSpan w:val="3"/>
          </w:tcPr>
          <w:p>
            <w:pPr>
              <w:ind w:left="240"/>
              <w:spacing w:after="0" w:line="131" w:lineRule="exact"/>
              <w:rPr>
                <w:sz w:val="20"/>
                <w:szCs w:val="20"/>
                <w:color w:val="auto"/>
              </w:rPr>
            </w:pPr>
            <w:r>
              <w:rPr>
                <w:rFonts w:ascii="Arial" w:cs="Arial" w:eastAsia="Arial" w:hAnsi="Arial"/>
                <w:sz w:val="13"/>
                <w:szCs w:val="13"/>
                <w:b w:val="1"/>
                <w:bCs w:val="1"/>
                <w:color w:val="auto"/>
              </w:rPr>
              <w:t>Up to 3</w:t>
            </w:r>
          </w:p>
        </w:tc>
        <w:tc>
          <w:tcPr>
            <w:tcW w:w="940" w:type="dxa"/>
            <w:vAlign w:val="bottom"/>
            <w:gridSpan w:val="2"/>
          </w:tcPr>
          <w:p>
            <w:pPr>
              <w:jc w:val="right"/>
              <w:ind w:right="520"/>
              <w:spacing w:after="0" w:line="131" w:lineRule="exact"/>
              <w:rPr>
                <w:sz w:val="20"/>
                <w:szCs w:val="20"/>
                <w:color w:val="auto"/>
              </w:rPr>
            </w:pPr>
            <w:r>
              <w:rPr>
                <w:rFonts w:ascii="Arial" w:cs="Arial" w:eastAsia="Arial" w:hAnsi="Arial"/>
                <w:sz w:val="13"/>
                <w:szCs w:val="13"/>
                <w:b w:val="1"/>
                <w:bCs w:val="1"/>
                <w:color w:val="auto"/>
              </w:rPr>
              <w:t>3 to 6</w:t>
            </w:r>
          </w:p>
        </w:tc>
        <w:tc>
          <w:tcPr>
            <w:tcW w:w="1080" w:type="dxa"/>
            <w:vAlign w:val="bottom"/>
            <w:gridSpan w:val="2"/>
          </w:tcPr>
          <w:p>
            <w:pPr>
              <w:jc w:val="right"/>
              <w:ind w:right="383"/>
              <w:spacing w:after="0" w:line="131" w:lineRule="exact"/>
              <w:rPr>
                <w:sz w:val="20"/>
                <w:szCs w:val="20"/>
                <w:color w:val="auto"/>
              </w:rPr>
            </w:pPr>
            <w:r>
              <w:rPr>
                <w:rFonts w:ascii="Arial" w:cs="Arial" w:eastAsia="Arial" w:hAnsi="Arial"/>
                <w:sz w:val="13"/>
                <w:szCs w:val="13"/>
                <w:b w:val="1"/>
                <w:bCs w:val="1"/>
                <w:color w:val="auto"/>
              </w:rPr>
              <w:t>6 months</w:t>
            </w: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80" w:type="dxa"/>
            <w:vAlign w:val="bottom"/>
            <w:gridSpan w:val="2"/>
          </w:tcPr>
          <w:p>
            <w:pPr>
              <w:jc w:val="right"/>
              <w:ind w:right="380"/>
              <w:spacing w:after="0" w:line="131" w:lineRule="exact"/>
              <w:rPr>
                <w:sz w:val="20"/>
                <w:szCs w:val="20"/>
                <w:color w:val="auto"/>
              </w:rPr>
            </w:pPr>
            <w:r>
              <w:rPr>
                <w:rFonts w:ascii="Arial" w:cs="Arial" w:eastAsia="Arial" w:hAnsi="Arial"/>
                <w:sz w:val="13"/>
                <w:szCs w:val="13"/>
                <w:b w:val="1"/>
                <w:bCs w:val="1"/>
                <w:color w:val="auto"/>
              </w:rPr>
              <w:t>More than</w:t>
            </w:r>
          </w:p>
        </w:tc>
        <w:tc>
          <w:tcPr>
            <w:tcW w:w="8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6"/>
        </w:trPr>
        <w:tc>
          <w:tcPr>
            <w:tcW w:w="4700" w:type="dxa"/>
            <w:vAlign w:val="bottom"/>
            <w:gridSpan w:val="2"/>
          </w:tcPr>
          <w:p>
            <w:pPr>
              <w:ind w:left="220"/>
              <w:spacing w:after="0"/>
              <w:rPr>
                <w:sz w:val="20"/>
                <w:szCs w:val="20"/>
                <w:color w:val="auto"/>
              </w:rPr>
            </w:pPr>
            <w:r>
              <w:rPr>
                <w:rFonts w:ascii="Arial" w:cs="Arial" w:eastAsia="Arial" w:hAnsi="Arial"/>
                <w:sz w:val="13"/>
                <w:szCs w:val="13"/>
                <w:b w:val="1"/>
                <w:bCs w:val="1"/>
                <w:color w:val="auto"/>
              </w:rPr>
              <w:t>Description</w:t>
            </w:r>
          </w:p>
        </w:tc>
        <w:tc>
          <w:tcPr>
            <w:tcW w:w="1280" w:type="dxa"/>
            <w:vAlign w:val="bottom"/>
            <w:gridSpan w:val="3"/>
          </w:tcPr>
          <w:p>
            <w:pPr>
              <w:ind w:left="240"/>
              <w:spacing w:after="0"/>
              <w:rPr>
                <w:sz w:val="20"/>
                <w:szCs w:val="20"/>
                <w:color w:val="auto"/>
              </w:rPr>
            </w:pPr>
            <w:r>
              <w:rPr>
                <w:rFonts w:ascii="Arial" w:cs="Arial" w:eastAsia="Arial" w:hAnsi="Arial"/>
                <w:sz w:val="13"/>
                <w:szCs w:val="13"/>
                <w:b w:val="1"/>
                <w:bCs w:val="1"/>
                <w:color w:val="auto"/>
              </w:rPr>
              <w:t>months</w:t>
            </w:r>
          </w:p>
        </w:tc>
        <w:tc>
          <w:tcPr>
            <w:tcW w:w="940" w:type="dxa"/>
            <w:vAlign w:val="bottom"/>
            <w:gridSpan w:val="2"/>
          </w:tcPr>
          <w:p>
            <w:pPr>
              <w:jc w:val="right"/>
              <w:ind w:right="460"/>
              <w:spacing w:after="0"/>
              <w:rPr>
                <w:sz w:val="20"/>
                <w:szCs w:val="20"/>
                <w:color w:val="auto"/>
              </w:rPr>
            </w:pPr>
            <w:r>
              <w:rPr>
                <w:rFonts w:ascii="Arial" w:cs="Arial" w:eastAsia="Arial" w:hAnsi="Arial"/>
                <w:sz w:val="13"/>
                <w:szCs w:val="13"/>
                <w:b w:val="1"/>
                <w:bCs w:val="1"/>
                <w:color w:val="auto"/>
                <w:w w:val="97"/>
              </w:rPr>
              <w:t>months</w:t>
            </w:r>
          </w:p>
        </w:tc>
        <w:tc>
          <w:tcPr>
            <w:tcW w:w="1080" w:type="dxa"/>
            <w:vAlign w:val="bottom"/>
            <w:gridSpan w:val="2"/>
          </w:tcPr>
          <w:p>
            <w:pPr>
              <w:jc w:val="right"/>
              <w:ind w:right="383"/>
              <w:spacing w:after="0"/>
              <w:rPr>
                <w:sz w:val="20"/>
                <w:szCs w:val="20"/>
                <w:color w:val="auto"/>
              </w:rPr>
            </w:pPr>
            <w:r>
              <w:rPr>
                <w:rFonts w:ascii="Arial" w:cs="Arial" w:eastAsia="Arial" w:hAnsi="Arial"/>
                <w:sz w:val="13"/>
                <w:szCs w:val="13"/>
                <w:b w:val="1"/>
                <w:bCs w:val="1"/>
                <w:color w:val="auto"/>
              </w:rPr>
              <w:t>to 1 year</w:t>
            </w:r>
          </w:p>
        </w:tc>
        <w:tc>
          <w:tcPr>
            <w:tcW w:w="1080" w:type="dxa"/>
            <w:vAlign w:val="bottom"/>
            <w:gridSpan w:val="2"/>
          </w:tcPr>
          <w:p>
            <w:pPr>
              <w:jc w:val="right"/>
              <w:ind w:right="303"/>
              <w:spacing w:after="0"/>
              <w:rPr>
                <w:sz w:val="20"/>
                <w:szCs w:val="20"/>
                <w:color w:val="auto"/>
              </w:rPr>
            </w:pPr>
            <w:r>
              <w:rPr>
                <w:rFonts w:ascii="Arial" w:cs="Arial" w:eastAsia="Arial" w:hAnsi="Arial"/>
                <w:sz w:val="13"/>
                <w:szCs w:val="13"/>
                <w:b w:val="1"/>
                <w:bCs w:val="1"/>
                <w:color w:val="auto"/>
              </w:rPr>
              <w:t>1 to 5 years</w:t>
            </w:r>
          </w:p>
        </w:tc>
        <w:tc>
          <w:tcPr>
            <w:tcW w:w="1080" w:type="dxa"/>
            <w:vAlign w:val="bottom"/>
            <w:gridSpan w:val="2"/>
          </w:tcPr>
          <w:p>
            <w:pPr>
              <w:jc w:val="right"/>
              <w:ind w:right="460"/>
              <w:spacing w:after="0"/>
              <w:rPr>
                <w:sz w:val="20"/>
                <w:szCs w:val="20"/>
                <w:color w:val="auto"/>
              </w:rPr>
            </w:pPr>
            <w:r>
              <w:rPr>
                <w:rFonts w:ascii="Arial" w:cs="Arial" w:eastAsia="Arial" w:hAnsi="Arial"/>
                <w:sz w:val="13"/>
                <w:szCs w:val="13"/>
                <w:b w:val="1"/>
                <w:bCs w:val="1"/>
                <w:color w:val="auto"/>
              </w:rPr>
              <w:t>5 years</w:t>
            </w:r>
          </w:p>
        </w:tc>
        <w:tc>
          <w:tcPr>
            <w:tcW w:w="960" w:type="dxa"/>
            <w:vAlign w:val="bottom"/>
            <w:gridSpan w:val="2"/>
          </w:tcPr>
          <w:p>
            <w:pPr>
              <w:jc w:val="right"/>
              <w:ind w:right="363"/>
              <w:spacing w:after="0"/>
              <w:rPr>
                <w:sz w:val="20"/>
                <w:szCs w:val="20"/>
                <w:color w:val="auto"/>
              </w:rPr>
            </w:pPr>
            <w:r>
              <w:rPr>
                <w:rFonts w:ascii="Arial" w:cs="Arial" w:eastAsia="Arial" w:hAnsi="Arial"/>
                <w:sz w:val="13"/>
                <w:szCs w:val="13"/>
                <w:b w:val="1"/>
                <w:bCs w:val="1"/>
                <w:color w:val="auto"/>
              </w:rPr>
              <w:t>Total</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48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Assets</w:t>
            </w:r>
          </w:p>
        </w:tc>
        <w:tc>
          <w:tcPr>
            <w:tcW w:w="8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7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3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80" w:type="dxa"/>
            <w:vAlign w:val="bottom"/>
          </w:tcPr>
          <w:p>
            <w:pPr>
              <w:spacing w:after="0"/>
              <w:rPr>
                <w:sz w:val="20"/>
                <w:szCs w:val="20"/>
                <w:color w:val="auto"/>
              </w:rPr>
            </w:pPr>
            <w:r>
              <w:rPr>
                <w:rFonts w:ascii="Arial" w:cs="Arial" w:eastAsia="Arial" w:hAnsi="Arial"/>
                <w:sz w:val="13"/>
                <w:szCs w:val="13"/>
                <w:color w:val="auto"/>
              </w:rPr>
              <w:t>Time deposits</w:t>
            </w:r>
          </w:p>
        </w:tc>
        <w:tc>
          <w:tcPr>
            <w:tcW w:w="1120" w:type="dxa"/>
            <w:vAlign w:val="bottom"/>
            <w:gridSpan w:val="2"/>
          </w:tcPr>
          <w:p>
            <w:pPr>
              <w:jc w:val="right"/>
              <w:ind w:right="176"/>
              <w:spacing w:after="0"/>
              <w:rPr>
                <w:sz w:val="20"/>
                <w:szCs w:val="20"/>
                <w:color w:val="auto"/>
              </w:rPr>
            </w:pPr>
            <w:r>
              <w:rPr>
                <w:rFonts w:ascii="Arial" w:cs="Arial" w:eastAsia="Arial" w:hAnsi="Arial"/>
                <w:sz w:val="13"/>
                <w:szCs w:val="13"/>
                <w:color w:val="auto"/>
              </w:rPr>
              <w:t>50,000</w:t>
            </w:r>
          </w:p>
        </w:tc>
        <w:tc>
          <w:tcPr>
            <w:tcW w:w="160" w:type="dxa"/>
            <w:vAlign w:val="bottom"/>
          </w:tcPr>
          <w:p>
            <w:pPr>
              <w:spacing w:after="0"/>
              <w:rPr>
                <w:sz w:val="13"/>
                <w:szCs w:val="13"/>
                <w:color w:val="auto"/>
              </w:rPr>
            </w:pPr>
          </w:p>
        </w:tc>
        <w:tc>
          <w:tcPr>
            <w:tcW w:w="7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080" w:type="dxa"/>
            <w:vAlign w:val="bottom"/>
            <w:gridSpan w:val="2"/>
          </w:tcPr>
          <w:p>
            <w:pPr>
              <w:jc w:val="right"/>
              <w:ind w:right="183"/>
              <w:spacing w:after="0"/>
              <w:rPr>
                <w:sz w:val="20"/>
                <w:szCs w:val="20"/>
                <w:color w:val="auto"/>
              </w:rPr>
            </w:pPr>
            <w:r>
              <w:rPr>
                <w:rFonts w:ascii="Arial" w:cs="Arial" w:eastAsia="Arial" w:hAnsi="Arial"/>
                <w:sz w:val="13"/>
                <w:szCs w:val="13"/>
                <w:color w:val="auto"/>
              </w:rPr>
              <w:t>-</w:t>
            </w:r>
          </w:p>
        </w:tc>
        <w:tc>
          <w:tcPr>
            <w:tcW w:w="1080" w:type="dxa"/>
            <w:vAlign w:val="bottom"/>
            <w:gridSpan w:val="2"/>
          </w:tcPr>
          <w:p>
            <w:pPr>
              <w:jc w:val="right"/>
              <w:ind w:right="183"/>
              <w:spacing w:after="0"/>
              <w:rPr>
                <w:sz w:val="20"/>
                <w:szCs w:val="20"/>
                <w:color w:val="auto"/>
              </w:rPr>
            </w:pPr>
            <w:r>
              <w:rPr>
                <w:rFonts w:ascii="Arial" w:cs="Arial" w:eastAsia="Arial" w:hAnsi="Arial"/>
                <w:sz w:val="13"/>
                <w:szCs w:val="13"/>
                <w:color w:val="auto"/>
              </w:rPr>
              <w:t>-</w:t>
            </w:r>
          </w:p>
        </w:tc>
        <w:tc>
          <w:tcPr>
            <w:tcW w:w="86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960" w:type="dxa"/>
            <w:vAlign w:val="bottom"/>
            <w:gridSpan w:val="2"/>
          </w:tcPr>
          <w:p>
            <w:pPr>
              <w:jc w:val="right"/>
              <w:ind w:right="63"/>
              <w:spacing w:after="0"/>
              <w:rPr>
                <w:sz w:val="20"/>
                <w:szCs w:val="20"/>
                <w:color w:val="auto"/>
              </w:rPr>
            </w:pPr>
            <w:r>
              <w:rPr>
                <w:rFonts w:ascii="Arial" w:cs="Arial" w:eastAsia="Arial" w:hAnsi="Arial"/>
                <w:sz w:val="13"/>
                <w:szCs w:val="13"/>
                <w:color w:val="auto"/>
              </w:rPr>
              <w:t>50,000</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80" w:type="dxa"/>
            <w:vAlign w:val="bottom"/>
            <w:shd w:val="clear" w:color="auto" w:fill="CCEEFF"/>
          </w:tcPr>
          <w:p>
            <w:pPr>
              <w:spacing w:after="0"/>
              <w:rPr>
                <w:sz w:val="20"/>
                <w:szCs w:val="20"/>
                <w:color w:val="auto"/>
              </w:rPr>
            </w:pPr>
            <w:r>
              <w:rPr>
                <w:rFonts w:ascii="Arial" w:cs="Arial" w:eastAsia="Arial" w:hAnsi="Arial"/>
                <w:sz w:val="13"/>
                <w:szCs w:val="13"/>
                <w:color w:val="auto"/>
              </w:rPr>
              <w:t>Securities and other financial assets</w:t>
            </w:r>
          </w:p>
        </w:tc>
        <w:tc>
          <w:tcPr>
            <w:tcW w:w="1120" w:type="dxa"/>
            <w:vAlign w:val="bottom"/>
            <w:gridSpan w:val="2"/>
            <w:shd w:val="clear" w:color="auto" w:fill="CCEEFF"/>
          </w:tcPr>
          <w:p>
            <w:pPr>
              <w:jc w:val="right"/>
              <w:ind w:right="176"/>
              <w:spacing w:after="0"/>
              <w:rPr>
                <w:sz w:val="20"/>
                <w:szCs w:val="20"/>
                <w:color w:val="auto"/>
              </w:rPr>
            </w:pPr>
            <w:r>
              <w:rPr>
                <w:rFonts w:ascii="Arial" w:cs="Arial" w:eastAsia="Arial" w:hAnsi="Arial"/>
                <w:sz w:val="13"/>
                <w:szCs w:val="13"/>
                <w:color w:val="auto"/>
              </w:rPr>
              <w:t>12,833</w:t>
            </w:r>
          </w:p>
        </w:tc>
        <w:tc>
          <w:tcPr>
            <w:tcW w:w="160" w:type="dxa"/>
            <w:vAlign w:val="bottom"/>
            <w:shd w:val="clear" w:color="auto" w:fill="CCEEFF"/>
          </w:tcPr>
          <w:p>
            <w:pPr>
              <w:spacing w:after="0"/>
              <w:rPr>
                <w:sz w:val="13"/>
                <w:szCs w:val="13"/>
                <w:color w:val="auto"/>
              </w:rPr>
            </w:pPr>
          </w:p>
        </w:tc>
        <w:tc>
          <w:tcPr>
            <w:tcW w:w="7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3,279</w:t>
            </w:r>
          </w:p>
        </w:tc>
        <w:tc>
          <w:tcPr>
            <w:tcW w:w="22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83"/>
              <w:spacing w:after="0"/>
              <w:rPr>
                <w:sz w:val="20"/>
                <w:szCs w:val="20"/>
                <w:color w:val="auto"/>
              </w:rPr>
            </w:pPr>
            <w:r>
              <w:rPr>
                <w:rFonts w:ascii="Arial" w:cs="Arial" w:eastAsia="Arial" w:hAnsi="Arial"/>
                <w:sz w:val="13"/>
                <w:szCs w:val="13"/>
                <w:color w:val="auto"/>
              </w:rPr>
              <w:t>20,181</w:t>
            </w:r>
          </w:p>
        </w:tc>
        <w:tc>
          <w:tcPr>
            <w:tcW w:w="1080" w:type="dxa"/>
            <w:vAlign w:val="bottom"/>
            <w:gridSpan w:val="2"/>
            <w:shd w:val="clear" w:color="auto" w:fill="CCEEFF"/>
          </w:tcPr>
          <w:p>
            <w:pPr>
              <w:jc w:val="right"/>
              <w:ind w:right="183"/>
              <w:spacing w:after="0"/>
              <w:rPr>
                <w:sz w:val="20"/>
                <w:szCs w:val="20"/>
                <w:color w:val="auto"/>
              </w:rPr>
            </w:pPr>
            <w:r>
              <w:rPr>
                <w:rFonts w:ascii="Arial" w:cs="Arial" w:eastAsia="Arial" w:hAnsi="Arial"/>
                <w:sz w:val="13"/>
                <w:szCs w:val="13"/>
                <w:color w:val="auto"/>
              </w:rPr>
              <w:t>64,673</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6,157</w:t>
            </w:r>
          </w:p>
        </w:tc>
        <w:tc>
          <w:tcPr>
            <w:tcW w:w="960" w:type="dxa"/>
            <w:vAlign w:val="bottom"/>
            <w:gridSpan w:val="2"/>
            <w:shd w:val="clear" w:color="auto" w:fill="CCEEFF"/>
          </w:tcPr>
          <w:p>
            <w:pPr>
              <w:jc w:val="right"/>
              <w:ind w:right="63"/>
              <w:spacing w:after="0"/>
              <w:rPr>
                <w:sz w:val="20"/>
                <w:szCs w:val="20"/>
                <w:color w:val="auto"/>
              </w:rPr>
            </w:pPr>
            <w:r>
              <w:rPr>
                <w:rFonts w:ascii="Arial" w:cs="Arial" w:eastAsia="Arial" w:hAnsi="Arial"/>
                <w:sz w:val="13"/>
                <w:szCs w:val="13"/>
                <w:color w:val="auto"/>
              </w:rPr>
              <w:t>107,124</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80" w:type="dxa"/>
            <w:vAlign w:val="bottom"/>
          </w:tcPr>
          <w:p>
            <w:pPr>
              <w:spacing w:after="0"/>
              <w:rPr>
                <w:sz w:val="20"/>
                <w:szCs w:val="20"/>
                <w:color w:val="auto"/>
              </w:rPr>
            </w:pPr>
            <w:r>
              <w:rPr>
                <w:rFonts w:ascii="Arial" w:cs="Arial" w:eastAsia="Arial" w:hAnsi="Arial"/>
                <w:sz w:val="13"/>
                <w:szCs w:val="13"/>
                <w:color w:val="auto"/>
              </w:rPr>
              <w:t>Securities at FVOCI</w:t>
            </w:r>
          </w:p>
        </w:tc>
        <w:tc>
          <w:tcPr>
            <w:tcW w:w="880" w:type="dxa"/>
            <w:vAlign w:val="bottom"/>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7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080" w:type="dxa"/>
            <w:vAlign w:val="bottom"/>
            <w:gridSpan w:val="2"/>
          </w:tcPr>
          <w:p>
            <w:pPr>
              <w:jc w:val="right"/>
              <w:ind w:right="183"/>
              <w:spacing w:after="0"/>
              <w:rPr>
                <w:sz w:val="20"/>
                <w:szCs w:val="20"/>
                <w:color w:val="auto"/>
              </w:rPr>
            </w:pPr>
            <w:r>
              <w:rPr>
                <w:rFonts w:ascii="Arial" w:cs="Arial" w:eastAsia="Arial" w:hAnsi="Arial"/>
                <w:sz w:val="13"/>
                <w:szCs w:val="13"/>
                <w:color w:val="auto"/>
              </w:rPr>
              <w:t>7,743</w:t>
            </w:r>
          </w:p>
        </w:tc>
        <w:tc>
          <w:tcPr>
            <w:tcW w:w="1080" w:type="dxa"/>
            <w:vAlign w:val="bottom"/>
            <w:gridSpan w:val="2"/>
          </w:tcPr>
          <w:p>
            <w:pPr>
              <w:jc w:val="right"/>
              <w:ind w:right="183"/>
              <w:spacing w:after="0"/>
              <w:rPr>
                <w:sz w:val="20"/>
                <w:szCs w:val="20"/>
                <w:color w:val="auto"/>
              </w:rPr>
            </w:pPr>
            <w:r>
              <w:rPr>
                <w:rFonts w:ascii="Arial" w:cs="Arial" w:eastAsia="Arial" w:hAnsi="Arial"/>
                <w:sz w:val="13"/>
                <w:szCs w:val="13"/>
                <w:color w:val="auto"/>
              </w:rPr>
              <w:t>7,898</w:t>
            </w: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6,157</w:t>
            </w:r>
          </w:p>
        </w:tc>
        <w:tc>
          <w:tcPr>
            <w:tcW w:w="960" w:type="dxa"/>
            <w:vAlign w:val="bottom"/>
            <w:gridSpan w:val="2"/>
          </w:tcPr>
          <w:p>
            <w:pPr>
              <w:jc w:val="right"/>
              <w:ind w:right="63"/>
              <w:spacing w:after="0"/>
              <w:rPr>
                <w:sz w:val="20"/>
                <w:szCs w:val="20"/>
                <w:color w:val="auto"/>
              </w:rPr>
            </w:pPr>
            <w:r>
              <w:rPr>
                <w:rFonts w:ascii="Arial" w:cs="Arial" w:eastAsia="Arial" w:hAnsi="Arial"/>
                <w:sz w:val="13"/>
                <w:szCs w:val="13"/>
                <w:color w:val="auto"/>
              </w:rPr>
              <w:t>21,798</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80" w:type="dxa"/>
            <w:vAlign w:val="bottom"/>
            <w:shd w:val="clear" w:color="auto" w:fill="CCEEFF"/>
          </w:tcPr>
          <w:p>
            <w:pPr>
              <w:spacing w:after="0"/>
              <w:rPr>
                <w:sz w:val="20"/>
                <w:szCs w:val="20"/>
                <w:color w:val="auto"/>
              </w:rPr>
            </w:pPr>
            <w:r>
              <w:rPr>
                <w:rFonts w:ascii="Arial" w:cs="Arial" w:eastAsia="Arial" w:hAnsi="Arial"/>
                <w:sz w:val="13"/>
                <w:szCs w:val="13"/>
                <w:color w:val="auto"/>
              </w:rPr>
              <w:t>Securities at amortized cost</w:t>
            </w:r>
          </w:p>
        </w:tc>
        <w:tc>
          <w:tcPr>
            <w:tcW w:w="1120" w:type="dxa"/>
            <w:vAlign w:val="bottom"/>
            <w:gridSpan w:val="2"/>
            <w:shd w:val="clear" w:color="auto" w:fill="CCEEFF"/>
          </w:tcPr>
          <w:p>
            <w:pPr>
              <w:jc w:val="right"/>
              <w:ind w:right="176"/>
              <w:spacing w:after="0"/>
              <w:rPr>
                <w:sz w:val="20"/>
                <w:szCs w:val="20"/>
                <w:color w:val="auto"/>
              </w:rPr>
            </w:pPr>
            <w:r>
              <w:rPr>
                <w:rFonts w:ascii="Arial" w:cs="Arial" w:eastAsia="Arial" w:hAnsi="Arial"/>
                <w:sz w:val="13"/>
                <w:szCs w:val="13"/>
                <w:color w:val="auto"/>
              </w:rPr>
              <w:t>12,833</w:t>
            </w:r>
          </w:p>
        </w:tc>
        <w:tc>
          <w:tcPr>
            <w:tcW w:w="160" w:type="dxa"/>
            <w:vAlign w:val="bottom"/>
            <w:shd w:val="clear" w:color="auto" w:fill="CCEEFF"/>
          </w:tcPr>
          <w:p>
            <w:pPr>
              <w:spacing w:after="0"/>
              <w:rPr>
                <w:sz w:val="13"/>
                <w:szCs w:val="13"/>
                <w:color w:val="auto"/>
              </w:rPr>
            </w:pPr>
          </w:p>
        </w:tc>
        <w:tc>
          <w:tcPr>
            <w:tcW w:w="7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3,279</w:t>
            </w:r>
          </w:p>
        </w:tc>
        <w:tc>
          <w:tcPr>
            <w:tcW w:w="22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83"/>
              <w:spacing w:after="0"/>
              <w:rPr>
                <w:sz w:val="20"/>
                <w:szCs w:val="20"/>
                <w:color w:val="auto"/>
              </w:rPr>
            </w:pPr>
            <w:r>
              <w:rPr>
                <w:rFonts w:ascii="Arial" w:cs="Arial" w:eastAsia="Arial" w:hAnsi="Arial"/>
                <w:sz w:val="13"/>
                <w:szCs w:val="13"/>
                <w:color w:val="auto"/>
              </w:rPr>
              <w:t>12,439</w:t>
            </w:r>
          </w:p>
        </w:tc>
        <w:tc>
          <w:tcPr>
            <w:tcW w:w="1080" w:type="dxa"/>
            <w:vAlign w:val="bottom"/>
            <w:gridSpan w:val="2"/>
            <w:shd w:val="clear" w:color="auto" w:fill="CCEEFF"/>
          </w:tcPr>
          <w:p>
            <w:pPr>
              <w:jc w:val="right"/>
              <w:ind w:right="183"/>
              <w:spacing w:after="0"/>
              <w:rPr>
                <w:sz w:val="20"/>
                <w:szCs w:val="20"/>
                <w:color w:val="auto"/>
              </w:rPr>
            </w:pPr>
            <w:r>
              <w:rPr>
                <w:rFonts w:ascii="Arial" w:cs="Arial" w:eastAsia="Arial" w:hAnsi="Arial"/>
                <w:sz w:val="13"/>
                <w:szCs w:val="13"/>
                <w:color w:val="auto"/>
              </w:rPr>
              <w:t>56,775</w:t>
            </w:r>
          </w:p>
        </w:tc>
        <w:tc>
          <w:tcPr>
            <w:tcW w:w="8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63"/>
              <w:spacing w:after="0"/>
              <w:rPr>
                <w:sz w:val="20"/>
                <w:szCs w:val="20"/>
                <w:color w:val="auto"/>
              </w:rPr>
            </w:pPr>
            <w:r>
              <w:rPr>
                <w:rFonts w:ascii="Arial" w:cs="Arial" w:eastAsia="Arial" w:hAnsi="Arial"/>
                <w:sz w:val="13"/>
                <w:szCs w:val="13"/>
                <w:color w:val="auto"/>
              </w:rPr>
              <w:t>85,326</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4480" w:type="dxa"/>
            <w:vAlign w:val="bottom"/>
          </w:tcPr>
          <w:p>
            <w:pPr>
              <w:spacing w:after="0"/>
              <w:rPr>
                <w:sz w:val="20"/>
                <w:szCs w:val="20"/>
                <w:color w:val="auto"/>
              </w:rPr>
            </w:pPr>
            <w:r>
              <w:rPr>
                <w:rFonts w:ascii="Arial" w:cs="Arial" w:eastAsia="Arial" w:hAnsi="Arial"/>
                <w:sz w:val="13"/>
                <w:szCs w:val="13"/>
                <w:color w:val="auto"/>
              </w:rPr>
              <w:t>Loans</w:t>
            </w:r>
          </w:p>
        </w:tc>
        <w:tc>
          <w:tcPr>
            <w:tcW w:w="880" w:type="dxa"/>
            <w:vAlign w:val="bottom"/>
          </w:tcPr>
          <w:p>
            <w:pPr>
              <w:jc w:val="right"/>
              <w:spacing w:after="0"/>
              <w:rPr>
                <w:sz w:val="20"/>
                <w:szCs w:val="20"/>
                <w:color w:val="auto"/>
              </w:rPr>
            </w:pPr>
            <w:r>
              <w:rPr>
                <w:rFonts w:ascii="Arial" w:cs="Arial" w:eastAsia="Arial" w:hAnsi="Arial"/>
                <w:sz w:val="13"/>
                <w:szCs w:val="13"/>
                <w:color w:val="auto"/>
              </w:rPr>
              <w:t>4,002,558</w:t>
            </w:r>
          </w:p>
        </w:tc>
        <w:tc>
          <w:tcPr>
            <w:tcW w:w="24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20" w:type="dxa"/>
            <w:vAlign w:val="bottom"/>
          </w:tcPr>
          <w:p>
            <w:pPr>
              <w:jc w:val="right"/>
              <w:spacing w:after="0"/>
              <w:rPr>
                <w:sz w:val="20"/>
                <w:szCs w:val="20"/>
                <w:color w:val="auto"/>
              </w:rPr>
            </w:pPr>
            <w:r>
              <w:rPr>
                <w:rFonts w:ascii="Arial" w:cs="Arial" w:eastAsia="Arial" w:hAnsi="Arial"/>
                <w:sz w:val="13"/>
                <w:szCs w:val="13"/>
                <w:color w:val="auto"/>
              </w:rPr>
              <w:t>1,259,088</w:t>
            </w:r>
          </w:p>
        </w:tc>
        <w:tc>
          <w:tcPr>
            <w:tcW w:w="220" w:type="dxa"/>
            <w:vAlign w:val="bottom"/>
          </w:tcPr>
          <w:p>
            <w:pPr>
              <w:spacing w:after="0"/>
              <w:rPr>
                <w:sz w:val="14"/>
                <w:szCs w:val="14"/>
                <w:color w:val="auto"/>
              </w:rPr>
            </w:pPr>
          </w:p>
        </w:tc>
        <w:tc>
          <w:tcPr>
            <w:tcW w:w="1080" w:type="dxa"/>
            <w:vAlign w:val="bottom"/>
            <w:gridSpan w:val="2"/>
          </w:tcPr>
          <w:p>
            <w:pPr>
              <w:jc w:val="right"/>
              <w:ind w:right="183"/>
              <w:spacing w:after="0"/>
              <w:rPr>
                <w:sz w:val="20"/>
                <w:szCs w:val="20"/>
                <w:color w:val="auto"/>
              </w:rPr>
            </w:pPr>
            <w:r>
              <w:rPr>
                <w:rFonts w:ascii="Arial" w:cs="Arial" w:eastAsia="Arial" w:hAnsi="Arial"/>
                <w:sz w:val="13"/>
                <w:szCs w:val="13"/>
                <w:color w:val="auto"/>
              </w:rPr>
              <w:t>331,875</w:t>
            </w:r>
          </w:p>
        </w:tc>
        <w:tc>
          <w:tcPr>
            <w:tcW w:w="1080" w:type="dxa"/>
            <w:vAlign w:val="bottom"/>
            <w:gridSpan w:val="2"/>
          </w:tcPr>
          <w:p>
            <w:pPr>
              <w:jc w:val="right"/>
              <w:ind w:right="183"/>
              <w:spacing w:after="0"/>
              <w:rPr>
                <w:sz w:val="20"/>
                <w:szCs w:val="20"/>
                <w:color w:val="auto"/>
              </w:rPr>
            </w:pPr>
            <w:r>
              <w:rPr>
                <w:rFonts w:ascii="Arial" w:cs="Arial" w:eastAsia="Arial" w:hAnsi="Arial"/>
                <w:sz w:val="13"/>
                <w:szCs w:val="13"/>
                <w:color w:val="auto"/>
              </w:rPr>
              <w:t>177,301</w:t>
            </w: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7,602</w:t>
            </w:r>
          </w:p>
        </w:tc>
        <w:tc>
          <w:tcPr>
            <w:tcW w:w="960" w:type="dxa"/>
            <w:vAlign w:val="bottom"/>
            <w:gridSpan w:val="2"/>
          </w:tcPr>
          <w:p>
            <w:pPr>
              <w:jc w:val="right"/>
              <w:ind w:right="63"/>
              <w:spacing w:after="0"/>
              <w:rPr>
                <w:sz w:val="20"/>
                <w:szCs w:val="20"/>
                <w:color w:val="auto"/>
              </w:rPr>
            </w:pPr>
            <w:r>
              <w:rPr>
                <w:rFonts w:ascii="Arial" w:cs="Arial" w:eastAsia="Arial" w:hAnsi="Arial"/>
                <w:sz w:val="13"/>
                <w:szCs w:val="13"/>
                <w:color w:val="auto"/>
              </w:rPr>
              <w:t>5,778,424</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48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color w:val="auto"/>
              </w:rPr>
              <w:t>Total assets</w:t>
            </w:r>
          </w:p>
        </w:tc>
        <w:tc>
          <w:tcPr>
            <w:tcW w:w="8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4,065,392</w:t>
            </w:r>
          </w:p>
        </w:tc>
        <w:tc>
          <w:tcPr>
            <w:tcW w:w="24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7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1,262,367</w:t>
            </w: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352,056</w:t>
            </w: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241,974</w:t>
            </w: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13,759</w:t>
            </w: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5,935,548</w:t>
            </w:r>
          </w:p>
        </w:tc>
        <w:tc>
          <w:tcPr>
            <w:tcW w:w="100" w:type="dxa"/>
            <w:vAlign w:val="bottom"/>
            <w:tcBorders>
              <w:top w:val="single" w:sz="8" w:color="CCEEFF"/>
            </w:tcBorders>
            <w:shd w:val="clear" w:color="auto" w:fill="CCEEFF"/>
          </w:tcPr>
          <w:p>
            <w:pPr>
              <w:spacing w:after="0"/>
              <w:rPr>
                <w:sz w:val="12"/>
                <w:szCs w:val="12"/>
                <w:color w:val="auto"/>
              </w:rPr>
            </w:pPr>
          </w:p>
        </w:tc>
        <w:tc>
          <w:tcPr>
            <w:tcW w:w="3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448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448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Liabilities</w:t>
            </w:r>
          </w:p>
        </w:tc>
        <w:tc>
          <w:tcPr>
            <w:tcW w:w="8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80" w:type="dxa"/>
            <w:vAlign w:val="bottom"/>
          </w:tcPr>
          <w:p>
            <w:pPr>
              <w:spacing w:after="0"/>
              <w:rPr>
                <w:sz w:val="20"/>
                <w:szCs w:val="20"/>
                <w:color w:val="auto"/>
              </w:rPr>
            </w:pPr>
            <w:r>
              <w:rPr>
                <w:rFonts w:ascii="Arial" w:cs="Arial" w:eastAsia="Arial" w:hAnsi="Arial"/>
                <w:sz w:val="13"/>
                <w:szCs w:val="13"/>
                <w:color w:val="auto"/>
              </w:rPr>
              <w:t>Deposits</w:t>
            </w:r>
          </w:p>
        </w:tc>
        <w:tc>
          <w:tcPr>
            <w:tcW w:w="1120" w:type="dxa"/>
            <w:vAlign w:val="bottom"/>
            <w:gridSpan w:val="2"/>
          </w:tcPr>
          <w:p>
            <w:pPr>
              <w:jc w:val="right"/>
              <w:ind w:right="116"/>
              <w:spacing w:after="0"/>
              <w:rPr>
                <w:sz w:val="20"/>
                <w:szCs w:val="20"/>
                <w:color w:val="auto"/>
              </w:rPr>
            </w:pPr>
            <w:r>
              <w:rPr>
                <w:rFonts w:ascii="Arial" w:cs="Arial" w:eastAsia="Arial" w:hAnsi="Arial"/>
                <w:sz w:val="13"/>
                <w:szCs w:val="13"/>
                <w:color w:val="auto"/>
              </w:rPr>
              <w:t>(2,292,696)</w:t>
            </w:r>
          </w:p>
        </w:tc>
        <w:tc>
          <w:tcPr>
            <w:tcW w:w="160" w:type="dxa"/>
            <w:vAlign w:val="bottom"/>
          </w:tcPr>
          <w:p>
            <w:pPr>
              <w:spacing w:after="0"/>
              <w:rPr>
                <w:sz w:val="13"/>
                <w:szCs w:val="13"/>
                <w:color w:val="auto"/>
              </w:rPr>
            </w:pPr>
          </w:p>
        </w:tc>
        <w:tc>
          <w:tcPr>
            <w:tcW w:w="940" w:type="dxa"/>
            <w:vAlign w:val="bottom"/>
            <w:gridSpan w:val="2"/>
          </w:tcPr>
          <w:p>
            <w:pPr>
              <w:jc w:val="right"/>
              <w:ind w:right="180"/>
              <w:spacing w:after="0"/>
              <w:rPr>
                <w:sz w:val="20"/>
                <w:szCs w:val="20"/>
                <w:color w:val="auto"/>
              </w:rPr>
            </w:pPr>
            <w:r>
              <w:rPr>
                <w:rFonts w:ascii="Arial" w:cs="Arial" w:eastAsia="Arial" w:hAnsi="Arial"/>
                <w:sz w:val="13"/>
                <w:szCs w:val="13"/>
                <w:color w:val="auto"/>
              </w:rPr>
              <w:t>(285,492)</w:t>
            </w:r>
          </w:p>
        </w:tc>
        <w:tc>
          <w:tcPr>
            <w:tcW w:w="1080" w:type="dxa"/>
            <w:vAlign w:val="bottom"/>
            <w:gridSpan w:val="2"/>
          </w:tcPr>
          <w:p>
            <w:pPr>
              <w:jc w:val="right"/>
              <w:ind w:right="143"/>
              <w:spacing w:after="0"/>
              <w:rPr>
                <w:sz w:val="20"/>
                <w:szCs w:val="20"/>
                <w:color w:val="auto"/>
              </w:rPr>
            </w:pPr>
            <w:r>
              <w:rPr>
                <w:rFonts w:ascii="Arial" w:cs="Arial" w:eastAsia="Arial" w:hAnsi="Arial"/>
                <w:sz w:val="13"/>
                <w:szCs w:val="13"/>
                <w:color w:val="auto"/>
              </w:rPr>
              <w:t>(181,253)</w:t>
            </w:r>
          </w:p>
        </w:tc>
        <w:tc>
          <w:tcPr>
            <w:tcW w:w="1080" w:type="dxa"/>
            <w:vAlign w:val="bottom"/>
            <w:gridSpan w:val="2"/>
          </w:tcPr>
          <w:p>
            <w:pPr>
              <w:jc w:val="right"/>
              <w:ind w:right="183"/>
              <w:spacing w:after="0"/>
              <w:rPr>
                <w:sz w:val="20"/>
                <w:szCs w:val="20"/>
                <w:color w:val="auto"/>
              </w:rPr>
            </w:pPr>
            <w:r>
              <w:rPr>
                <w:rFonts w:ascii="Arial" w:cs="Arial" w:eastAsia="Arial" w:hAnsi="Arial"/>
                <w:sz w:val="13"/>
                <w:szCs w:val="13"/>
                <w:color w:val="auto"/>
              </w:rPr>
              <w:t>-</w:t>
            </w:r>
          </w:p>
        </w:tc>
        <w:tc>
          <w:tcPr>
            <w:tcW w:w="86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960" w:type="dxa"/>
            <w:vAlign w:val="bottom"/>
            <w:gridSpan w:val="2"/>
          </w:tcPr>
          <w:p>
            <w:pPr>
              <w:jc w:val="right"/>
              <w:ind w:right="23"/>
              <w:spacing w:after="0"/>
              <w:rPr>
                <w:sz w:val="20"/>
                <w:szCs w:val="20"/>
                <w:color w:val="auto"/>
              </w:rPr>
            </w:pPr>
            <w:r>
              <w:rPr>
                <w:rFonts w:ascii="Arial" w:cs="Arial" w:eastAsia="Arial" w:hAnsi="Arial"/>
                <w:sz w:val="13"/>
                <w:szCs w:val="13"/>
                <w:color w:val="auto"/>
              </w:rPr>
              <w:t>(2,759,441)</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80" w:type="dxa"/>
            <w:vAlign w:val="bottom"/>
            <w:shd w:val="clear" w:color="auto" w:fill="CCEEFF"/>
          </w:tcPr>
          <w:p>
            <w:pPr>
              <w:spacing w:after="0"/>
              <w:rPr>
                <w:sz w:val="20"/>
                <w:szCs w:val="20"/>
                <w:color w:val="auto"/>
              </w:rPr>
            </w:pPr>
            <w:r>
              <w:rPr>
                <w:rFonts w:ascii="Arial" w:cs="Arial" w:eastAsia="Arial" w:hAnsi="Arial"/>
                <w:sz w:val="13"/>
                <w:szCs w:val="13"/>
                <w:color w:val="auto"/>
              </w:rPr>
              <w:t>Securities sold under repurchase agreements</w:t>
            </w:r>
          </w:p>
        </w:tc>
        <w:tc>
          <w:tcPr>
            <w:tcW w:w="1120" w:type="dxa"/>
            <w:vAlign w:val="bottom"/>
            <w:gridSpan w:val="2"/>
            <w:shd w:val="clear" w:color="auto" w:fill="CCEEFF"/>
          </w:tcPr>
          <w:p>
            <w:pPr>
              <w:jc w:val="right"/>
              <w:ind w:right="116"/>
              <w:spacing w:after="0"/>
              <w:rPr>
                <w:sz w:val="20"/>
                <w:szCs w:val="20"/>
                <w:color w:val="auto"/>
              </w:rPr>
            </w:pPr>
            <w:r>
              <w:rPr>
                <w:rFonts w:ascii="Arial" w:cs="Arial" w:eastAsia="Arial" w:hAnsi="Arial"/>
                <w:sz w:val="13"/>
                <w:szCs w:val="13"/>
                <w:color w:val="auto"/>
              </w:rPr>
              <w:t>(11,535)</w:t>
            </w:r>
          </w:p>
        </w:tc>
        <w:tc>
          <w:tcPr>
            <w:tcW w:w="160" w:type="dxa"/>
            <w:vAlign w:val="bottom"/>
            <w:shd w:val="clear" w:color="auto" w:fill="CCEEFF"/>
          </w:tcPr>
          <w:p>
            <w:pPr>
              <w:spacing w:after="0"/>
              <w:rPr>
                <w:sz w:val="13"/>
                <w:szCs w:val="13"/>
                <w:color w:val="auto"/>
              </w:rPr>
            </w:pPr>
          </w:p>
        </w:tc>
        <w:tc>
          <w:tcPr>
            <w:tcW w:w="7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43"/>
              <w:spacing w:after="0"/>
              <w:rPr>
                <w:sz w:val="20"/>
                <w:szCs w:val="20"/>
                <w:color w:val="auto"/>
              </w:rPr>
            </w:pPr>
            <w:r>
              <w:rPr>
                <w:rFonts w:ascii="Arial" w:cs="Arial" w:eastAsia="Arial" w:hAnsi="Arial"/>
                <w:sz w:val="13"/>
                <w:szCs w:val="13"/>
                <w:color w:val="auto"/>
              </w:rPr>
              <w:t>(28,232)</w:t>
            </w:r>
          </w:p>
        </w:tc>
        <w:tc>
          <w:tcPr>
            <w:tcW w:w="1080" w:type="dxa"/>
            <w:vAlign w:val="bottom"/>
            <w:gridSpan w:val="2"/>
            <w:shd w:val="clear" w:color="auto" w:fill="CCEEFF"/>
          </w:tcPr>
          <w:p>
            <w:pPr>
              <w:jc w:val="right"/>
              <w:ind w:right="183"/>
              <w:spacing w:after="0"/>
              <w:rPr>
                <w:sz w:val="20"/>
                <w:szCs w:val="20"/>
                <w:color w:val="auto"/>
              </w:rPr>
            </w:pPr>
            <w:r>
              <w:rPr>
                <w:rFonts w:ascii="Arial" w:cs="Arial" w:eastAsia="Arial" w:hAnsi="Arial"/>
                <w:sz w:val="13"/>
                <w:szCs w:val="13"/>
                <w:color w:val="auto"/>
              </w:rPr>
              <w:t>-</w:t>
            </w:r>
          </w:p>
        </w:tc>
        <w:tc>
          <w:tcPr>
            <w:tcW w:w="8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23"/>
              <w:spacing w:after="0"/>
              <w:rPr>
                <w:sz w:val="20"/>
                <w:szCs w:val="20"/>
                <w:color w:val="auto"/>
              </w:rPr>
            </w:pPr>
            <w:r>
              <w:rPr>
                <w:rFonts w:ascii="Arial" w:cs="Arial" w:eastAsia="Arial" w:hAnsi="Arial"/>
                <w:sz w:val="13"/>
                <w:szCs w:val="13"/>
                <w:color w:val="auto"/>
              </w:rPr>
              <w:t>(39,767)</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480" w:type="dxa"/>
            <w:vAlign w:val="bottom"/>
          </w:tcPr>
          <w:p>
            <w:pPr>
              <w:spacing w:after="0"/>
              <w:rPr>
                <w:sz w:val="20"/>
                <w:szCs w:val="20"/>
                <w:color w:val="auto"/>
              </w:rPr>
            </w:pPr>
            <w:r>
              <w:rPr>
                <w:rFonts w:ascii="Arial" w:cs="Arial" w:eastAsia="Arial" w:hAnsi="Arial"/>
                <w:sz w:val="13"/>
                <w:szCs w:val="13"/>
                <w:color w:val="auto"/>
              </w:rPr>
              <w:t>Borrowings and debt</w:t>
            </w:r>
          </w:p>
        </w:tc>
        <w:tc>
          <w:tcPr>
            <w:tcW w:w="1120" w:type="dxa"/>
            <w:vAlign w:val="bottom"/>
            <w:gridSpan w:val="2"/>
          </w:tcPr>
          <w:p>
            <w:pPr>
              <w:jc w:val="right"/>
              <w:ind w:right="116"/>
              <w:spacing w:after="0"/>
              <w:rPr>
                <w:sz w:val="20"/>
                <w:szCs w:val="20"/>
                <w:color w:val="auto"/>
              </w:rPr>
            </w:pPr>
            <w:r>
              <w:rPr>
                <w:rFonts w:ascii="Arial" w:cs="Arial" w:eastAsia="Arial" w:hAnsi="Arial"/>
                <w:sz w:val="13"/>
                <w:szCs w:val="13"/>
                <w:color w:val="auto"/>
              </w:rPr>
              <w:t>(2,827,219)</w:t>
            </w:r>
          </w:p>
        </w:tc>
        <w:tc>
          <w:tcPr>
            <w:tcW w:w="160" w:type="dxa"/>
            <w:vAlign w:val="bottom"/>
          </w:tcPr>
          <w:p>
            <w:pPr>
              <w:spacing w:after="0"/>
              <w:rPr>
                <w:sz w:val="14"/>
                <w:szCs w:val="14"/>
                <w:color w:val="auto"/>
              </w:rPr>
            </w:pPr>
          </w:p>
        </w:tc>
        <w:tc>
          <w:tcPr>
            <w:tcW w:w="940" w:type="dxa"/>
            <w:vAlign w:val="bottom"/>
            <w:gridSpan w:val="2"/>
          </w:tcPr>
          <w:p>
            <w:pPr>
              <w:jc w:val="right"/>
              <w:ind w:right="180"/>
              <w:spacing w:after="0"/>
              <w:rPr>
                <w:sz w:val="20"/>
                <w:szCs w:val="20"/>
                <w:color w:val="auto"/>
              </w:rPr>
            </w:pPr>
            <w:r>
              <w:rPr>
                <w:rFonts w:ascii="Arial" w:cs="Arial" w:eastAsia="Arial" w:hAnsi="Arial"/>
                <w:sz w:val="13"/>
                <w:szCs w:val="13"/>
                <w:color w:val="auto"/>
              </w:rPr>
              <w:t>(142,799)</w:t>
            </w:r>
          </w:p>
        </w:tc>
        <w:tc>
          <w:tcPr>
            <w:tcW w:w="1080" w:type="dxa"/>
            <w:vAlign w:val="bottom"/>
            <w:gridSpan w:val="2"/>
          </w:tcPr>
          <w:p>
            <w:pPr>
              <w:jc w:val="right"/>
              <w:ind w:right="143"/>
              <w:spacing w:after="0"/>
              <w:rPr>
                <w:sz w:val="20"/>
                <w:szCs w:val="20"/>
                <w:color w:val="auto"/>
              </w:rPr>
            </w:pPr>
            <w:r>
              <w:rPr>
                <w:rFonts w:ascii="Arial" w:cs="Arial" w:eastAsia="Arial" w:hAnsi="Arial"/>
                <w:sz w:val="13"/>
                <w:szCs w:val="13"/>
                <w:color w:val="auto"/>
              </w:rPr>
              <w:t>(78,572)</w:t>
            </w:r>
          </w:p>
        </w:tc>
        <w:tc>
          <w:tcPr>
            <w:tcW w:w="1080" w:type="dxa"/>
            <w:vAlign w:val="bottom"/>
            <w:gridSpan w:val="2"/>
          </w:tcPr>
          <w:p>
            <w:pPr>
              <w:jc w:val="right"/>
              <w:ind w:right="143"/>
              <w:spacing w:after="0"/>
              <w:rPr>
                <w:sz w:val="20"/>
                <w:szCs w:val="20"/>
                <w:color w:val="auto"/>
              </w:rPr>
            </w:pPr>
            <w:r>
              <w:rPr>
                <w:rFonts w:ascii="Arial" w:cs="Arial" w:eastAsia="Arial" w:hAnsi="Arial"/>
                <w:sz w:val="13"/>
                <w:szCs w:val="13"/>
                <w:color w:val="auto"/>
              </w:rPr>
              <w:t>(409,541)</w:t>
            </w:r>
          </w:p>
        </w:tc>
        <w:tc>
          <w:tcPr>
            <w:tcW w:w="1080" w:type="dxa"/>
            <w:vAlign w:val="bottom"/>
            <w:gridSpan w:val="2"/>
          </w:tcPr>
          <w:p>
            <w:pPr>
              <w:jc w:val="right"/>
              <w:ind w:right="180"/>
              <w:spacing w:after="0"/>
              <w:rPr>
                <w:sz w:val="20"/>
                <w:szCs w:val="20"/>
                <w:color w:val="auto"/>
              </w:rPr>
            </w:pPr>
            <w:r>
              <w:rPr>
                <w:rFonts w:ascii="Arial" w:cs="Arial" w:eastAsia="Arial" w:hAnsi="Arial"/>
                <w:sz w:val="13"/>
                <w:szCs w:val="13"/>
                <w:color w:val="auto"/>
              </w:rPr>
              <w:t>(60,315)</w:t>
            </w:r>
          </w:p>
        </w:tc>
        <w:tc>
          <w:tcPr>
            <w:tcW w:w="960" w:type="dxa"/>
            <w:vAlign w:val="bottom"/>
            <w:gridSpan w:val="2"/>
          </w:tcPr>
          <w:p>
            <w:pPr>
              <w:jc w:val="right"/>
              <w:ind w:right="23"/>
              <w:spacing w:after="0"/>
              <w:rPr>
                <w:sz w:val="20"/>
                <w:szCs w:val="20"/>
                <w:color w:val="auto"/>
              </w:rPr>
            </w:pPr>
            <w:r>
              <w:rPr>
                <w:rFonts w:ascii="Arial" w:cs="Arial" w:eastAsia="Arial" w:hAnsi="Arial"/>
                <w:sz w:val="13"/>
                <w:szCs w:val="13"/>
                <w:color w:val="auto"/>
              </w:rPr>
              <w:t>(3,518,446)</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480" w:type="dxa"/>
            <w:vAlign w:val="bottom"/>
            <w:tcBorders>
              <w:top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Total liabilities</w:t>
            </w:r>
          </w:p>
        </w:tc>
        <w:tc>
          <w:tcPr>
            <w:tcW w:w="8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(5,131,450)</w:t>
            </w:r>
          </w:p>
        </w:tc>
        <w:tc>
          <w:tcPr>
            <w:tcW w:w="24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7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(428,291)</w:t>
            </w: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(288,057)</w:t>
            </w: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(409,541)</w:t>
            </w: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(60,315)</w:t>
            </w: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(6,317,654)</w:t>
            </w:r>
          </w:p>
        </w:tc>
        <w:tc>
          <w:tcPr>
            <w:tcW w:w="100" w:type="dxa"/>
            <w:vAlign w:val="bottom"/>
            <w:tcBorders>
              <w:top w:val="single" w:sz="8" w:color="CCEEFF"/>
            </w:tcBorders>
            <w:shd w:val="clear" w:color="auto" w:fill="CCEEFF"/>
          </w:tcPr>
          <w:p>
            <w:pPr>
              <w:spacing w:after="0"/>
              <w:rPr>
                <w:sz w:val="12"/>
                <w:szCs w:val="12"/>
                <w:color w:val="auto"/>
              </w:rPr>
            </w:pPr>
          </w:p>
        </w:tc>
        <w:tc>
          <w:tcPr>
            <w:tcW w:w="3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480" w:type="dxa"/>
            <w:vAlign w:val="bottom"/>
          </w:tcPr>
          <w:p>
            <w:pPr>
              <w:spacing w:after="0"/>
              <w:rPr>
                <w:sz w:val="20"/>
                <w:szCs w:val="20"/>
                <w:color w:val="auto"/>
              </w:rPr>
            </w:pPr>
            <w:r>
              <w:rPr>
                <w:rFonts w:ascii="Arial" w:cs="Arial" w:eastAsia="Arial" w:hAnsi="Arial"/>
                <w:sz w:val="13"/>
                <w:szCs w:val="13"/>
                <w:color w:val="auto"/>
                <w:w w:val="99"/>
              </w:rPr>
              <w:t>Net effect of derivative financial instruments held for interest risk management</w:t>
            </w:r>
          </w:p>
        </w:tc>
        <w:tc>
          <w:tcPr>
            <w:tcW w:w="1120" w:type="dxa"/>
            <w:vAlign w:val="bottom"/>
            <w:gridSpan w:val="2"/>
          </w:tcPr>
          <w:p>
            <w:pPr>
              <w:jc w:val="right"/>
              <w:ind w:right="116"/>
              <w:spacing w:after="0"/>
              <w:rPr>
                <w:sz w:val="20"/>
                <w:szCs w:val="20"/>
                <w:color w:val="auto"/>
              </w:rPr>
            </w:pPr>
            <w:r>
              <w:rPr>
                <w:rFonts w:ascii="Arial" w:cs="Arial" w:eastAsia="Arial" w:hAnsi="Arial"/>
                <w:sz w:val="13"/>
                <w:szCs w:val="13"/>
                <w:color w:val="auto"/>
              </w:rPr>
              <w:t>(139,362)</w:t>
            </w:r>
          </w:p>
        </w:tc>
        <w:tc>
          <w:tcPr>
            <w:tcW w:w="160" w:type="dxa"/>
            <w:vAlign w:val="bottom"/>
          </w:tcPr>
          <w:p>
            <w:pPr>
              <w:spacing w:after="0"/>
              <w:rPr>
                <w:sz w:val="14"/>
                <w:szCs w:val="14"/>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3"/>
                <w:szCs w:val="13"/>
                <w:color w:val="auto"/>
              </w:rPr>
              <w:t>58,748</w:t>
            </w:r>
          </w:p>
        </w:tc>
        <w:tc>
          <w:tcPr>
            <w:tcW w:w="1080" w:type="dxa"/>
            <w:vAlign w:val="bottom"/>
            <w:gridSpan w:val="2"/>
          </w:tcPr>
          <w:p>
            <w:pPr>
              <w:jc w:val="right"/>
              <w:ind w:right="143"/>
              <w:spacing w:after="0"/>
              <w:rPr>
                <w:sz w:val="20"/>
                <w:szCs w:val="20"/>
                <w:color w:val="auto"/>
              </w:rPr>
            </w:pPr>
            <w:r>
              <w:rPr>
                <w:rFonts w:ascii="Arial" w:cs="Arial" w:eastAsia="Arial" w:hAnsi="Arial"/>
                <w:sz w:val="13"/>
                <w:szCs w:val="13"/>
                <w:color w:val="auto"/>
              </w:rPr>
              <w:t>(159,500)</w:t>
            </w:r>
          </w:p>
        </w:tc>
        <w:tc>
          <w:tcPr>
            <w:tcW w:w="1080" w:type="dxa"/>
            <w:vAlign w:val="bottom"/>
            <w:gridSpan w:val="2"/>
          </w:tcPr>
          <w:p>
            <w:pPr>
              <w:jc w:val="right"/>
              <w:ind w:right="183"/>
              <w:spacing w:after="0"/>
              <w:rPr>
                <w:sz w:val="20"/>
                <w:szCs w:val="20"/>
                <w:color w:val="auto"/>
              </w:rPr>
            </w:pPr>
            <w:r>
              <w:rPr>
                <w:rFonts w:ascii="Arial" w:cs="Arial" w:eastAsia="Arial" w:hAnsi="Arial"/>
                <w:sz w:val="13"/>
                <w:szCs w:val="13"/>
                <w:color w:val="auto"/>
              </w:rPr>
              <w:t>160,037</w:t>
            </w: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57,188</w:t>
            </w:r>
          </w:p>
        </w:tc>
        <w:tc>
          <w:tcPr>
            <w:tcW w:w="960" w:type="dxa"/>
            <w:vAlign w:val="bottom"/>
            <w:gridSpan w:val="2"/>
          </w:tcPr>
          <w:p>
            <w:pPr>
              <w:jc w:val="right"/>
              <w:ind w:right="23"/>
              <w:spacing w:after="0"/>
              <w:rPr>
                <w:sz w:val="20"/>
                <w:szCs w:val="20"/>
                <w:color w:val="auto"/>
              </w:rPr>
            </w:pPr>
            <w:r>
              <w:rPr>
                <w:rFonts w:ascii="Arial" w:cs="Arial" w:eastAsia="Arial" w:hAnsi="Arial"/>
                <w:sz w:val="13"/>
                <w:szCs w:val="13"/>
                <w:color w:val="auto"/>
              </w:rPr>
              <w:t>(22,889)</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4480" w:type="dxa"/>
            <w:vAlign w:val="bottom"/>
            <w:tcBorders>
              <w:top w:val="single" w:sz="8" w:color="CCEEFF"/>
              <w:bottom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Total interest rate sensitivity</w:t>
            </w: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(1,205,420</w:t>
            </w:r>
          </w:p>
        </w:tc>
        <w:tc>
          <w:tcPr>
            <w:tcW w:w="240" w:type="dxa"/>
            <w:vAlign w:val="bottom"/>
            <w:tcBorders>
              <w:top w:val="single" w:sz="8" w:color="CCEEFF"/>
              <w:bottom w:val="single" w:sz="8" w:color="CCEEFF"/>
            </w:tcBorders>
            <w:shd w:val="clear" w:color="auto" w:fill="CCEEFF"/>
          </w:tcPr>
          <w:p>
            <w:pPr>
              <w:spacing w:after="0" w:line="146" w:lineRule="exact"/>
              <w:rPr>
                <w:sz w:val="20"/>
                <w:szCs w:val="20"/>
                <w:color w:val="auto"/>
              </w:rPr>
            </w:pPr>
            <w:r>
              <w:rPr>
                <w:rFonts w:ascii="Arial" w:cs="Arial" w:eastAsia="Arial" w:hAnsi="Arial"/>
                <w:sz w:val="13"/>
                <w:szCs w:val="13"/>
                <w:b w:val="1"/>
                <w:bCs w:val="1"/>
                <w:color w:val="auto"/>
              </w:rPr>
              <w:t>)</w:t>
            </w:r>
          </w:p>
        </w:tc>
        <w:tc>
          <w:tcPr>
            <w:tcW w:w="160" w:type="dxa"/>
            <w:vAlign w:val="bottom"/>
            <w:tcBorders>
              <w:top w:val="single" w:sz="8" w:color="auto"/>
              <w:bottom w:val="single" w:sz="8" w:color="auto"/>
            </w:tcBorders>
            <w:shd w:val="clear" w:color="auto" w:fill="CCEEFF"/>
          </w:tcPr>
          <w:p>
            <w:pPr>
              <w:spacing w:after="0"/>
              <w:rPr>
                <w:sz w:val="14"/>
                <w:szCs w:val="14"/>
                <w:color w:val="auto"/>
              </w:rPr>
            </w:pPr>
          </w:p>
        </w:tc>
        <w:tc>
          <w:tcPr>
            <w:tcW w:w="7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892,824</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(95,500</w:t>
            </w:r>
          </w:p>
        </w:tc>
        <w:tc>
          <w:tcPr>
            <w:tcW w:w="220" w:type="dxa"/>
            <w:vAlign w:val="bottom"/>
            <w:tcBorders>
              <w:top w:val="single" w:sz="8" w:color="CCEEFF"/>
              <w:bottom w:val="single" w:sz="8" w:color="CCEEFF"/>
            </w:tcBorders>
            <w:shd w:val="clear" w:color="auto" w:fill="CCEEFF"/>
          </w:tcPr>
          <w:p>
            <w:pPr>
              <w:jc w:val="right"/>
              <w:ind w:right="143"/>
              <w:spacing w:after="0"/>
              <w:rPr>
                <w:sz w:val="20"/>
                <w:szCs w:val="20"/>
                <w:color w:val="auto"/>
              </w:rPr>
            </w:pPr>
            <w:r>
              <w:rPr>
                <w:rFonts w:ascii="Arial" w:cs="Arial" w:eastAsia="Arial" w:hAnsi="Arial"/>
                <w:sz w:val="7"/>
                <w:szCs w:val="7"/>
                <w:b w:val="1"/>
                <w:bCs w:val="1"/>
                <w:color w:val="auto"/>
                <w:w w:val="83"/>
              </w:rPr>
              <w:t>)</w:t>
            </w: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(7,530</w:t>
            </w:r>
          </w:p>
        </w:tc>
        <w:tc>
          <w:tcPr>
            <w:tcW w:w="220" w:type="dxa"/>
            <w:vAlign w:val="bottom"/>
            <w:tcBorders>
              <w:top w:val="single" w:sz="8" w:color="CCEEFF"/>
              <w:bottom w:val="single" w:sz="8" w:color="CCEEFF"/>
            </w:tcBorders>
            <w:shd w:val="clear" w:color="auto" w:fill="CCEEFF"/>
          </w:tcPr>
          <w:p>
            <w:pPr>
              <w:jc w:val="right"/>
              <w:ind w:right="143"/>
              <w:spacing w:after="0"/>
              <w:rPr>
                <w:sz w:val="20"/>
                <w:szCs w:val="20"/>
                <w:color w:val="auto"/>
              </w:rPr>
            </w:pPr>
            <w:r>
              <w:rPr>
                <w:rFonts w:ascii="Arial" w:cs="Arial" w:eastAsia="Arial" w:hAnsi="Arial"/>
                <w:sz w:val="7"/>
                <w:szCs w:val="7"/>
                <w:b w:val="1"/>
                <w:bCs w:val="1"/>
                <w:color w:val="auto"/>
                <w:w w:val="83"/>
              </w:rPr>
              <w:t>)</w:t>
            </w: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10,632</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(404,995</w:t>
            </w:r>
          </w:p>
        </w:tc>
        <w:tc>
          <w:tcPr>
            <w:tcW w:w="100" w:type="dxa"/>
            <w:vAlign w:val="bottom"/>
            <w:tcBorders>
              <w:top w:val="single" w:sz="8" w:color="CCEEFF"/>
              <w:bottom w:val="single" w:sz="8" w:color="CCEEFF"/>
            </w:tcBorders>
            <w:shd w:val="clear" w:color="auto" w:fill="CCEEFF"/>
          </w:tcPr>
          <w:p>
            <w:pPr>
              <w:jc w:val="right"/>
              <w:ind w:right="23"/>
              <w:spacing w:after="0"/>
              <w:rPr>
                <w:sz w:val="20"/>
                <w:szCs w:val="20"/>
                <w:color w:val="auto"/>
              </w:rPr>
            </w:pPr>
            <w:r>
              <w:rPr>
                <w:rFonts w:ascii="Arial" w:cs="Arial" w:eastAsia="Arial" w:hAnsi="Arial"/>
                <w:sz w:val="7"/>
                <w:szCs w:val="7"/>
                <w:b w:val="1"/>
                <w:bCs w:val="1"/>
                <w:color w:val="auto"/>
                <w:w w:val="83"/>
              </w:rPr>
              <w:t>)</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17"/>
        </w:trPr>
        <w:tc>
          <w:tcPr>
            <w:tcW w:w="220" w:type="dxa"/>
            <w:vAlign w:val="bottom"/>
          </w:tcPr>
          <w:p>
            <w:pPr>
              <w:spacing w:after="0"/>
              <w:rPr>
                <w:sz w:val="24"/>
                <w:szCs w:val="24"/>
                <w:color w:val="auto"/>
              </w:rPr>
            </w:pPr>
          </w:p>
        </w:tc>
        <w:tc>
          <w:tcPr>
            <w:tcW w:w="4480" w:type="dxa"/>
            <w:vAlign w:val="bottom"/>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160" w:type="dxa"/>
            <w:vAlign w:val="bottom"/>
            <w:tcBorders>
              <w:bottom w:val="single" w:sz="8" w:color="auto"/>
            </w:tcBorders>
            <w:gridSpan w:val="4"/>
          </w:tcPr>
          <w:p>
            <w:pPr>
              <w:jc w:val="right"/>
              <w:ind w:right="663"/>
              <w:spacing w:after="0"/>
              <w:rPr>
                <w:sz w:val="20"/>
                <w:szCs w:val="20"/>
                <w:color w:val="auto"/>
              </w:rPr>
            </w:pPr>
            <w:r>
              <w:rPr>
                <w:rFonts w:ascii="Arial" w:cs="Arial" w:eastAsia="Arial" w:hAnsi="Arial"/>
                <w:sz w:val="13"/>
                <w:szCs w:val="13"/>
                <w:b w:val="1"/>
                <w:bCs w:val="1"/>
                <w:color w:val="auto"/>
              </w:rPr>
              <w:t>December 31, 2017</w:t>
            </w:r>
          </w:p>
        </w:tc>
        <w:tc>
          <w:tcPr>
            <w:tcW w:w="8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31"/>
        </w:trPr>
        <w:tc>
          <w:tcPr>
            <w:tcW w:w="220" w:type="dxa"/>
            <w:vAlign w:val="bottom"/>
          </w:tcPr>
          <w:p>
            <w:pPr>
              <w:spacing w:after="0"/>
              <w:rPr>
                <w:sz w:val="11"/>
                <w:szCs w:val="11"/>
                <w:color w:val="auto"/>
              </w:rPr>
            </w:pPr>
          </w:p>
        </w:tc>
        <w:tc>
          <w:tcPr>
            <w:tcW w:w="4480" w:type="dxa"/>
            <w:vAlign w:val="bottom"/>
          </w:tcPr>
          <w:p>
            <w:pPr>
              <w:spacing w:after="0"/>
              <w:rPr>
                <w:sz w:val="11"/>
                <w:szCs w:val="11"/>
                <w:color w:val="auto"/>
              </w:rPr>
            </w:pPr>
          </w:p>
        </w:tc>
        <w:tc>
          <w:tcPr>
            <w:tcW w:w="1280" w:type="dxa"/>
            <w:vAlign w:val="bottom"/>
            <w:gridSpan w:val="3"/>
          </w:tcPr>
          <w:p>
            <w:pPr>
              <w:ind w:left="240"/>
              <w:spacing w:after="0" w:line="131" w:lineRule="exact"/>
              <w:rPr>
                <w:sz w:val="20"/>
                <w:szCs w:val="20"/>
                <w:color w:val="auto"/>
              </w:rPr>
            </w:pPr>
            <w:r>
              <w:rPr>
                <w:rFonts w:ascii="Arial" w:cs="Arial" w:eastAsia="Arial" w:hAnsi="Arial"/>
                <w:sz w:val="13"/>
                <w:szCs w:val="13"/>
                <w:b w:val="1"/>
                <w:bCs w:val="1"/>
                <w:color w:val="auto"/>
              </w:rPr>
              <w:t>Up to 3</w:t>
            </w:r>
          </w:p>
        </w:tc>
        <w:tc>
          <w:tcPr>
            <w:tcW w:w="940" w:type="dxa"/>
            <w:vAlign w:val="bottom"/>
            <w:gridSpan w:val="2"/>
          </w:tcPr>
          <w:p>
            <w:pPr>
              <w:jc w:val="right"/>
              <w:ind w:right="500"/>
              <w:spacing w:after="0" w:line="131" w:lineRule="exact"/>
              <w:rPr>
                <w:sz w:val="20"/>
                <w:szCs w:val="20"/>
                <w:color w:val="auto"/>
              </w:rPr>
            </w:pPr>
            <w:r>
              <w:rPr>
                <w:rFonts w:ascii="Arial" w:cs="Arial" w:eastAsia="Arial" w:hAnsi="Arial"/>
                <w:sz w:val="13"/>
                <w:szCs w:val="13"/>
                <w:b w:val="1"/>
                <w:bCs w:val="1"/>
                <w:color w:val="auto"/>
              </w:rPr>
              <w:t>3 to 6</w:t>
            </w:r>
          </w:p>
        </w:tc>
        <w:tc>
          <w:tcPr>
            <w:tcW w:w="1080" w:type="dxa"/>
            <w:vAlign w:val="bottom"/>
            <w:gridSpan w:val="2"/>
          </w:tcPr>
          <w:p>
            <w:pPr>
              <w:jc w:val="right"/>
              <w:ind w:right="303"/>
              <w:spacing w:after="0" w:line="131" w:lineRule="exact"/>
              <w:rPr>
                <w:sz w:val="20"/>
                <w:szCs w:val="20"/>
                <w:color w:val="auto"/>
              </w:rPr>
            </w:pPr>
            <w:r>
              <w:rPr>
                <w:rFonts w:ascii="Arial" w:cs="Arial" w:eastAsia="Arial" w:hAnsi="Arial"/>
                <w:sz w:val="13"/>
                <w:szCs w:val="13"/>
                <w:b w:val="1"/>
                <w:bCs w:val="1"/>
                <w:color w:val="auto"/>
                <w:w w:val="97"/>
              </w:rPr>
              <w:t>6 months to</w:t>
            </w: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80" w:type="dxa"/>
            <w:vAlign w:val="bottom"/>
            <w:gridSpan w:val="2"/>
          </w:tcPr>
          <w:p>
            <w:pPr>
              <w:jc w:val="right"/>
              <w:ind w:right="380"/>
              <w:spacing w:after="0" w:line="131" w:lineRule="exact"/>
              <w:rPr>
                <w:sz w:val="20"/>
                <w:szCs w:val="20"/>
                <w:color w:val="auto"/>
              </w:rPr>
            </w:pPr>
            <w:r>
              <w:rPr>
                <w:rFonts w:ascii="Arial" w:cs="Arial" w:eastAsia="Arial" w:hAnsi="Arial"/>
                <w:sz w:val="13"/>
                <w:szCs w:val="13"/>
                <w:b w:val="1"/>
                <w:bCs w:val="1"/>
                <w:color w:val="auto"/>
              </w:rPr>
              <w:t>More than</w:t>
            </w:r>
          </w:p>
        </w:tc>
        <w:tc>
          <w:tcPr>
            <w:tcW w:w="8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6"/>
        </w:trPr>
        <w:tc>
          <w:tcPr>
            <w:tcW w:w="4700" w:type="dxa"/>
            <w:vAlign w:val="bottom"/>
            <w:gridSpan w:val="2"/>
          </w:tcPr>
          <w:p>
            <w:pPr>
              <w:ind w:left="220"/>
              <w:spacing w:after="0"/>
              <w:rPr>
                <w:sz w:val="20"/>
                <w:szCs w:val="20"/>
                <w:color w:val="auto"/>
              </w:rPr>
            </w:pPr>
            <w:r>
              <w:rPr>
                <w:rFonts w:ascii="Arial" w:cs="Arial" w:eastAsia="Arial" w:hAnsi="Arial"/>
                <w:sz w:val="13"/>
                <w:szCs w:val="13"/>
                <w:b w:val="1"/>
                <w:bCs w:val="1"/>
                <w:color w:val="auto"/>
              </w:rPr>
              <w:t>Description</w:t>
            </w:r>
          </w:p>
        </w:tc>
        <w:tc>
          <w:tcPr>
            <w:tcW w:w="1280" w:type="dxa"/>
            <w:vAlign w:val="bottom"/>
            <w:gridSpan w:val="3"/>
          </w:tcPr>
          <w:p>
            <w:pPr>
              <w:ind w:left="240"/>
              <w:spacing w:after="0"/>
              <w:rPr>
                <w:sz w:val="20"/>
                <w:szCs w:val="20"/>
                <w:color w:val="auto"/>
              </w:rPr>
            </w:pPr>
            <w:r>
              <w:rPr>
                <w:rFonts w:ascii="Arial" w:cs="Arial" w:eastAsia="Arial" w:hAnsi="Arial"/>
                <w:sz w:val="13"/>
                <w:szCs w:val="13"/>
                <w:b w:val="1"/>
                <w:bCs w:val="1"/>
                <w:color w:val="auto"/>
              </w:rPr>
              <w:t>months</w:t>
            </w:r>
          </w:p>
        </w:tc>
        <w:tc>
          <w:tcPr>
            <w:tcW w:w="940" w:type="dxa"/>
            <w:vAlign w:val="bottom"/>
            <w:gridSpan w:val="2"/>
          </w:tcPr>
          <w:p>
            <w:pPr>
              <w:jc w:val="right"/>
              <w:ind w:right="440"/>
              <w:spacing w:after="0"/>
              <w:rPr>
                <w:sz w:val="20"/>
                <w:szCs w:val="20"/>
                <w:color w:val="auto"/>
              </w:rPr>
            </w:pPr>
            <w:r>
              <w:rPr>
                <w:rFonts w:ascii="Arial" w:cs="Arial" w:eastAsia="Arial" w:hAnsi="Arial"/>
                <w:sz w:val="13"/>
                <w:szCs w:val="13"/>
                <w:b w:val="1"/>
                <w:bCs w:val="1"/>
                <w:color w:val="auto"/>
              </w:rPr>
              <w:t>months</w:t>
            </w:r>
          </w:p>
        </w:tc>
        <w:tc>
          <w:tcPr>
            <w:tcW w:w="1080" w:type="dxa"/>
            <w:vAlign w:val="bottom"/>
            <w:gridSpan w:val="2"/>
          </w:tcPr>
          <w:p>
            <w:pPr>
              <w:jc w:val="right"/>
              <w:ind w:right="443"/>
              <w:spacing w:after="0"/>
              <w:rPr>
                <w:sz w:val="20"/>
                <w:szCs w:val="20"/>
                <w:color w:val="auto"/>
              </w:rPr>
            </w:pPr>
            <w:r>
              <w:rPr>
                <w:rFonts w:ascii="Arial" w:cs="Arial" w:eastAsia="Arial" w:hAnsi="Arial"/>
                <w:sz w:val="13"/>
                <w:szCs w:val="13"/>
                <w:b w:val="1"/>
                <w:bCs w:val="1"/>
                <w:color w:val="auto"/>
              </w:rPr>
              <w:t>1 year</w:t>
            </w:r>
          </w:p>
        </w:tc>
        <w:tc>
          <w:tcPr>
            <w:tcW w:w="1080" w:type="dxa"/>
            <w:vAlign w:val="bottom"/>
            <w:gridSpan w:val="2"/>
          </w:tcPr>
          <w:p>
            <w:pPr>
              <w:jc w:val="right"/>
              <w:ind w:right="303"/>
              <w:spacing w:after="0"/>
              <w:rPr>
                <w:sz w:val="20"/>
                <w:szCs w:val="20"/>
                <w:color w:val="auto"/>
              </w:rPr>
            </w:pPr>
            <w:r>
              <w:rPr>
                <w:rFonts w:ascii="Arial" w:cs="Arial" w:eastAsia="Arial" w:hAnsi="Arial"/>
                <w:sz w:val="13"/>
                <w:szCs w:val="13"/>
                <w:b w:val="1"/>
                <w:bCs w:val="1"/>
                <w:color w:val="auto"/>
              </w:rPr>
              <w:t>1 to 5 years</w:t>
            </w:r>
          </w:p>
        </w:tc>
        <w:tc>
          <w:tcPr>
            <w:tcW w:w="1080" w:type="dxa"/>
            <w:vAlign w:val="bottom"/>
            <w:gridSpan w:val="2"/>
          </w:tcPr>
          <w:p>
            <w:pPr>
              <w:jc w:val="right"/>
              <w:ind w:right="460"/>
              <w:spacing w:after="0"/>
              <w:rPr>
                <w:sz w:val="20"/>
                <w:szCs w:val="20"/>
                <w:color w:val="auto"/>
              </w:rPr>
            </w:pPr>
            <w:r>
              <w:rPr>
                <w:rFonts w:ascii="Arial" w:cs="Arial" w:eastAsia="Arial" w:hAnsi="Arial"/>
                <w:sz w:val="13"/>
                <w:szCs w:val="13"/>
                <w:b w:val="1"/>
                <w:bCs w:val="1"/>
                <w:color w:val="auto"/>
              </w:rPr>
              <w:t>5 years</w:t>
            </w:r>
          </w:p>
        </w:tc>
        <w:tc>
          <w:tcPr>
            <w:tcW w:w="960" w:type="dxa"/>
            <w:vAlign w:val="bottom"/>
            <w:gridSpan w:val="2"/>
          </w:tcPr>
          <w:p>
            <w:pPr>
              <w:jc w:val="right"/>
              <w:ind w:right="363"/>
              <w:spacing w:after="0"/>
              <w:rPr>
                <w:sz w:val="20"/>
                <w:szCs w:val="20"/>
                <w:color w:val="auto"/>
              </w:rPr>
            </w:pPr>
            <w:r>
              <w:rPr>
                <w:rFonts w:ascii="Arial" w:cs="Arial" w:eastAsia="Arial" w:hAnsi="Arial"/>
                <w:sz w:val="13"/>
                <w:szCs w:val="13"/>
                <w:b w:val="1"/>
                <w:bCs w:val="1"/>
                <w:color w:val="auto"/>
              </w:rPr>
              <w:t>Total</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48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Assets</w:t>
            </w:r>
          </w:p>
        </w:tc>
        <w:tc>
          <w:tcPr>
            <w:tcW w:w="8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7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3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80" w:type="dxa"/>
            <w:vAlign w:val="bottom"/>
          </w:tcPr>
          <w:p>
            <w:pPr>
              <w:spacing w:after="0"/>
              <w:rPr>
                <w:sz w:val="20"/>
                <w:szCs w:val="20"/>
                <w:color w:val="auto"/>
              </w:rPr>
            </w:pPr>
            <w:r>
              <w:rPr>
                <w:rFonts w:ascii="Arial" w:cs="Arial" w:eastAsia="Arial" w:hAnsi="Arial"/>
                <w:sz w:val="13"/>
                <w:szCs w:val="13"/>
                <w:color w:val="auto"/>
              </w:rPr>
              <w:t>Securities and other financial assets</w:t>
            </w:r>
          </w:p>
        </w:tc>
        <w:tc>
          <w:tcPr>
            <w:tcW w:w="880" w:type="dxa"/>
            <w:vAlign w:val="bottom"/>
          </w:tcPr>
          <w:p>
            <w:pPr>
              <w:jc w:val="right"/>
              <w:spacing w:after="0"/>
              <w:rPr>
                <w:sz w:val="20"/>
                <w:szCs w:val="20"/>
                <w:color w:val="auto"/>
              </w:rPr>
            </w:pPr>
            <w:r>
              <w:rPr>
                <w:rFonts w:ascii="Arial" w:cs="Arial" w:eastAsia="Arial" w:hAnsi="Arial"/>
                <w:sz w:val="13"/>
                <w:szCs w:val="13"/>
                <w:color w:val="auto"/>
              </w:rPr>
              <w:t>706</w:t>
            </w:r>
          </w:p>
        </w:tc>
        <w:tc>
          <w:tcPr>
            <w:tcW w:w="24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720" w:type="dxa"/>
            <w:vAlign w:val="bottom"/>
          </w:tcPr>
          <w:p>
            <w:pPr>
              <w:jc w:val="right"/>
              <w:spacing w:after="0"/>
              <w:rPr>
                <w:sz w:val="20"/>
                <w:szCs w:val="20"/>
                <w:color w:val="auto"/>
              </w:rPr>
            </w:pPr>
            <w:r>
              <w:rPr>
                <w:rFonts w:ascii="Arial" w:cs="Arial" w:eastAsia="Arial" w:hAnsi="Arial"/>
                <w:sz w:val="13"/>
                <w:szCs w:val="13"/>
                <w:color w:val="auto"/>
              </w:rPr>
              <w:t>281</w:t>
            </w:r>
          </w:p>
        </w:tc>
        <w:tc>
          <w:tcPr>
            <w:tcW w:w="220" w:type="dxa"/>
            <w:vAlign w:val="bottom"/>
          </w:tcPr>
          <w:p>
            <w:pPr>
              <w:spacing w:after="0"/>
              <w:rPr>
                <w:sz w:val="13"/>
                <w:szCs w:val="13"/>
                <w:color w:val="auto"/>
              </w:rPr>
            </w:pPr>
          </w:p>
        </w:tc>
        <w:tc>
          <w:tcPr>
            <w:tcW w:w="1080" w:type="dxa"/>
            <w:vAlign w:val="bottom"/>
            <w:gridSpan w:val="2"/>
          </w:tcPr>
          <w:p>
            <w:pPr>
              <w:jc w:val="right"/>
              <w:ind w:right="183"/>
              <w:spacing w:after="0"/>
              <w:rPr>
                <w:sz w:val="20"/>
                <w:szCs w:val="20"/>
                <w:color w:val="auto"/>
              </w:rPr>
            </w:pPr>
            <w:r>
              <w:rPr>
                <w:rFonts w:ascii="Arial" w:cs="Arial" w:eastAsia="Arial" w:hAnsi="Arial"/>
                <w:sz w:val="13"/>
                <w:szCs w:val="13"/>
                <w:color w:val="auto"/>
              </w:rPr>
              <w:t>7,056</w:t>
            </w:r>
          </w:p>
        </w:tc>
        <w:tc>
          <w:tcPr>
            <w:tcW w:w="1080" w:type="dxa"/>
            <w:vAlign w:val="bottom"/>
            <w:gridSpan w:val="2"/>
          </w:tcPr>
          <w:p>
            <w:pPr>
              <w:jc w:val="right"/>
              <w:ind w:right="183"/>
              <w:spacing w:after="0"/>
              <w:rPr>
                <w:sz w:val="20"/>
                <w:szCs w:val="20"/>
                <w:color w:val="auto"/>
              </w:rPr>
            </w:pPr>
            <w:r>
              <w:rPr>
                <w:rFonts w:ascii="Arial" w:cs="Arial" w:eastAsia="Arial" w:hAnsi="Arial"/>
                <w:sz w:val="13"/>
                <w:szCs w:val="13"/>
                <w:color w:val="auto"/>
              </w:rPr>
              <w:t>77,821</w:t>
            </w:r>
          </w:p>
        </w:tc>
        <w:tc>
          <w:tcPr>
            <w:tcW w:w="86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960" w:type="dxa"/>
            <w:vAlign w:val="bottom"/>
            <w:gridSpan w:val="2"/>
          </w:tcPr>
          <w:p>
            <w:pPr>
              <w:jc w:val="right"/>
              <w:ind w:right="63"/>
              <w:spacing w:after="0"/>
              <w:rPr>
                <w:sz w:val="20"/>
                <w:szCs w:val="20"/>
                <w:color w:val="auto"/>
              </w:rPr>
            </w:pPr>
            <w:r>
              <w:rPr>
                <w:rFonts w:ascii="Arial" w:cs="Arial" w:eastAsia="Arial" w:hAnsi="Arial"/>
                <w:sz w:val="13"/>
                <w:szCs w:val="13"/>
                <w:color w:val="auto"/>
              </w:rPr>
              <w:t>85,864</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80" w:type="dxa"/>
            <w:vAlign w:val="bottom"/>
            <w:shd w:val="clear" w:color="auto" w:fill="CCEEFF"/>
          </w:tcPr>
          <w:p>
            <w:pPr>
              <w:spacing w:after="0"/>
              <w:rPr>
                <w:sz w:val="20"/>
                <w:szCs w:val="20"/>
                <w:color w:val="auto"/>
              </w:rPr>
            </w:pPr>
            <w:r>
              <w:rPr>
                <w:rFonts w:ascii="Arial" w:cs="Arial" w:eastAsia="Arial" w:hAnsi="Arial"/>
                <w:sz w:val="13"/>
                <w:szCs w:val="13"/>
                <w:color w:val="auto"/>
              </w:rPr>
              <w:t>Securities at FVOCI</w:t>
            </w:r>
          </w:p>
        </w:tc>
        <w:tc>
          <w:tcPr>
            <w:tcW w:w="8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6</w:t>
            </w:r>
          </w:p>
        </w:tc>
        <w:tc>
          <w:tcPr>
            <w:tcW w:w="24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7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w:t>
            </w:r>
          </w:p>
        </w:tc>
        <w:tc>
          <w:tcPr>
            <w:tcW w:w="220" w:type="dxa"/>
            <w:vAlign w:val="bottom"/>
            <w:shd w:val="clear" w:color="auto" w:fill="CCEEFF"/>
          </w:tcPr>
          <w:p>
            <w:pPr>
              <w:spacing w:after="0"/>
              <w:rPr>
                <w:sz w:val="13"/>
                <w:szCs w:val="13"/>
                <w:color w:val="auto"/>
              </w:rPr>
            </w:pPr>
          </w:p>
        </w:tc>
        <w:tc>
          <w:tcPr>
            <w:tcW w:w="1080" w:type="dxa"/>
            <w:vAlign w:val="bottom"/>
            <w:gridSpan w:val="2"/>
            <w:shd w:val="clear" w:color="auto" w:fill="CCEEFF"/>
          </w:tcPr>
          <w:p>
            <w:pPr>
              <w:jc w:val="right"/>
              <w:ind w:right="183"/>
              <w:spacing w:after="0"/>
              <w:rPr>
                <w:sz w:val="20"/>
                <w:szCs w:val="20"/>
                <w:color w:val="auto"/>
              </w:rPr>
            </w:pPr>
            <w:r>
              <w:rPr>
                <w:rFonts w:ascii="Arial" w:cs="Arial" w:eastAsia="Arial" w:hAnsi="Arial"/>
                <w:sz w:val="13"/>
                <w:szCs w:val="13"/>
                <w:color w:val="auto"/>
              </w:rPr>
              <w:t>57</w:t>
            </w:r>
          </w:p>
        </w:tc>
        <w:tc>
          <w:tcPr>
            <w:tcW w:w="1080" w:type="dxa"/>
            <w:vAlign w:val="bottom"/>
            <w:gridSpan w:val="2"/>
            <w:shd w:val="clear" w:color="auto" w:fill="CCEEFF"/>
          </w:tcPr>
          <w:p>
            <w:pPr>
              <w:jc w:val="right"/>
              <w:ind w:right="183"/>
              <w:spacing w:after="0"/>
              <w:rPr>
                <w:sz w:val="20"/>
                <w:szCs w:val="20"/>
                <w:color w:val="auto"/>
              </w:rPr>
            </w:pPr>
            <w:r>
              <w:rPr>
                <w:rFonts w:ascii="Arial" w:cs="Arial" w:eastAsia="Arial" w:hAnsi="Arial"/>
                <w:sz w:val="13"/>
                <w:szCs w:val="13"/>
                <w:color w:val="auto"/>
              </w:rPr>
              <w:t>17,746</w:t>
            </w:r>
          </w:p>
        </w:tc>
        <w:tc>
          <w:tcPr>
            <w:tcW w:w="8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63"/>
              <w:spacing w:after="0"/>
              <w:rPr>
                <w:sz w:val="20"/>
                <w:szCs w:val="20"/>
                <w:color w:val="auto"/>
              </w:rPr>
            </w:pPr>
            <w:r>
              <w:rPr>
                <w:rFonts w:ascii="Arial" w:cs="Arial" w:eastAsia="Arial" w:hAnsi="Arial"/>
                <w:sz w:val="13"/>
                <w:szCs w:val="13"/>
                <w:color w:val="auto"/>
              </w:rPr>
              <w:t>17,811</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80" w:type="dxa"/>
            <w:vAlign w:val="bottom"/>
          </w:tcPr>
          <w:p>
            <w:pPr>
              <w:spacing w:after="0"/>
              <w:rPr>
                <w:sz w:val="20"/>
                <w:szCs w:val="20"/>
                <w:color w:val="auto"/>
              </w:rPr>
            </w:pPr>
            <w:r>
              <w:rPr>
                <w:rFonts w:ascii="Arial" w:cs="Arial" w:eastAsia="Arial" w:hAnsi="Arial"/>
                <w:sz w:val="13"/>
                <w:szCs w:val="13"/>
                <w:color w:val="auto"/>
              </w:rPr>
              <w:t>Securities at amortized cost</w:t>
            </w:r>
          </w:p>
        </w:tc>
        <w:tc>
          <w:tcPr>
            <w:tcW w:w="880" w:type="dxa"/>
            <w:vAlign w:val="bottom"/>
          </w:tcPr>
          <w:p>
            <w:pPr>
              <w:jc w:val="right"/>
              <w:spacing w:after="0"/>
              <w:rPr>
                <w:sz w:val="20"/>
                <w:szCs w:val="20"/>
                <w:color w:val="auto"/>
              </w:rPr>
            </w:pPr>
            <w:r>
              <w:rPr>
                <w:rFonts w:ascii="Arial" w:cs="Arial" w:eastAsia="Arial" w:hAnsi="Arial"/>
                <w:sz w:val="13"/>
                <w:szCs w:val="13"/>
                <w:color w:val="auto"/>
              </w:rPr>
              <w:t>700</w:t>
            </w:r>
          </w:p>
        </w:tc>
        <w:tc>
          <w:tcPr>
            <w:tcW w:w="24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720" w:type="dxa"/>
            <w:vAlign w:val="bottom"/>
          </w:tcPr>
          <w:p>
            <w:pPr>
              <w:jc w:val="right"/>
              <w:spacing w:after="0"/>
              <w:rPr>
                <w:sz w:val="20"/>
                <w:szCs w:val="20"/>
                <w:color w:val="auto"/>
              </w:rPr>
            </w:pPr>
            <w:r>
              <w:rPr>
                <w:rFonts w:ascii="Arial" w:cs="Arial" w:eastAsia="Arial" w:hAnsi="Arial"/>
                <w:sz w:val="13"/>
                <w:szCs w:val="13"/>
                <w:color w:val="auto"/>
              </w:rPr>
              <w:t>279</w:t>
            </w:r>
          </w:p>
        </w:tc>
        <w:tc>
          <w:tcPr>
            <w:tcW w:w="220" w:type="dxa"/>
            <w:vAlign w:val="bottom"/>
          </w:tcPr>
          <w:p>
            <w:pPr>
              <w:spacing w:after="0"/>
              <w:rPr>
                <w:sz w:val="13"/>
                <w:szCs w:val="13"/>
                <w:color w:val="auto"/>
              </w:rPr>
            </w:pPr>
          </w:p>
        </w:tc>
        <w:tc>
          <w:tcPr>
            <w:tcW w:w="1080" w:type="dxa"/>
            <w:vAlign w:val="bottom"/>
            <w:gridSpan w:val="2"/>
          </w:tcPr>
          <w:p>
            <w:pPr>
              <w:jc w:val="right"/>
              <w:ind w:right="183"/>
              <w:spacing w:after="0"/>
              <w:rPr>
                <w:sz w:val="20"/>
                <w:szCs w:val="20"/>
                <w:color w:val="auto"/>
              </w:rPr>
            </w:pPr>
            <w:r>
              <w:rPr>
                <w:rFonts w:ascii="Arial" w:cs="Arial" w:eastAsia="Arial" w:hAnsi="Arial"/>
                <w:sz w:val="13"/>
                <w:szCs w:val="13"/>
                <w:color w:val="auto"/>
              </w:rPr>
              <w:t>6,999</w:t>
            </w:r>
          </w:p>
        </w:tc>
        <w:tc>
          <w:tcPr>
            <w:tcW w:w="1080" w:type="dxa"/>
            <w:vAlign w:val="bottom"/>
            <w:gridSpan w:val="2"/>
          </w:tcPr>
          <w:p>
            <w:pPr>
              <w:jc w:val="right"/>
              <w:ind w:right="183"/>
              <w:spacing w:after="0"/>
              <w:rPr>
                <w:sz w:val="20"/>
                <w:szCs w:val="20"/>
                <w:color w:val="auto"/>
              </w:rPr>
            </w:pPr>
            <w:r>
              <w:rPr>
                <w:rFonts w:ascii="Arial" w:cs="Arial" w:eastAsia="Arial" w:hAnsi="Arial"/>
                <w:sz w:val="13"/>
                <w:szCs w:val="13"/>
                <w:color w:val="auto"/>
              </w:rPr>
              <w:t>60,075</w:t>
            </w:r>
          </w:p>
        </w:tc>
        <w:tc>
          <w:tcPr>
            <w:tcW w:w="86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960" w:type="dxa"/>
            <w:vAlign w:val="bottom"/>
            <w:gridSpan w:val="2"/>
          </w:tcPr>
          <w:p>
            <w:pPr>
              <w:jc w:val="right"/>
              <w:ind w:right="63"/>
              <w:spacing w:after="0"/>
              <w:rPr>
                <w:sz w:val="20"/>
                <w:szCs w:val="20"/>
                <w:color w:val="auto"/>
              </w:rPr>
            </w:pPr>
            <w:r>
              <w:rPr>
                <w:rFonts w:ascii="Arial" w:cs="Arial" w:eastAsia="Arial" w:hAnsi="Arial"/>
                <w:sz w:val="13"/>
                <w:szCs w:val="13"/>
                <w:color w:val="auto"/>
              </w:rPr>
              <w:t>68,053</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480" w:type="dxa"/>
            <w:vAlign w:val="bottom"/>
            <w:shd w:val="clear" w:color="auto" w:fill="CCEEFF"/>
          </w:tcPr>
          <w:p>
            <w:pPr>
              <w:spacing w:after="0"/>
              <w:rPr>
                <w:sz w:val="20"/>
                <w:szCs w:val="20"/>
                <w:color w:val="auto"/>
              </w:rPr>
            </w:pPr>
            <w:r>
              <w:rPr>
                <w:rFonts w:ascii="Arial" w:cs="Arial" w:eastAsia="Arial" w:hAnsi="Arial"/>
                <w:sz w:val="13"/>
                <w:szCs w:val="13"/>
                <w:color w:val="auto"/>
              </w:rPr>
              <w:t>Loans</w:t>
            </w:r>
          </w:p>
        </w:tc>
        <w:tc>
          <w:tcPr>
            <w:tcW w:w="8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4,067,639</w:t>
            </w:r>
          </w:p>
        </w:tc>
        <w:tc>
          <w:tcPr>
            <w:tcW w:w="24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7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952,542</w:t>
            </w:r>
          </w:p>
        </w:tc>
        <w:tc>
          <w:tcPr>
            <w:tcW w:w="220" w:type="dxa"/>
            <w:vAlign w:val="bottom"/>
            <w:shd w:val="clear" w:color="auto" w:fill="CCEEFF"/>
          </w:tcPr>
          <w:p>
            <w:pPr>
              <w:spacing w:after="0"/>
              <w:rPr>
                <w:sz w:val="14"/>
                <w:szCs w:val="14"/>
                <w:color w:val="auto"/>
              </w:rPr>
            </w:pPr>
          </w:p>
        </w:tc>
        <w:tc>
          <w:tcPr>
            <w:tcW w:w="1080" w:type="dxa"/>
            <w:vAlign w:val="bottom"/>
            <w:gridSpan w:val="2"/>
            <w:shd w:val="clear" w:color="auto" w:fill="CCEEFF"/>
          </w:tcPr>
          <w:p>
            <w:pPr>
              <w:jc w:val="right"/>
              <w:ind w:right="183"/>
              <w:spacing w:after="0"/>
              <w:rPr>
                <w:sz w:val="20"/>
                <w:szCs w:val="20"/>
                <w:color w:val="auto"/>
              </w:rPr>
            </w:pPr>
            <w:r>
              <w:rPr>
                <w:rFonts w:ascii="Arial" w:cs="Arial" w:eastAsia="Arial" w:hAnsi="Arial"/>
                <w:sz w:val="13"/>
                <w:szCs w:val="13"/>
                <w:color w:val="auto"/>
              </w:rPr>
              <w:t>301,334</w:t>
            </w:r>
          </w:p>
        </w:tc>
        <w:tc>
          <w:tcPr>
            <w:tcW w:w="1080" w:type="dxa"/>
            <w:vAlign w:val="bottom"/>
            <w:gridSpan w:val="2"/>
            <w:shd w:val="clear" w:color="auto" w:fill="CCEEFF"/>
          </w:tcPr>
          <w:p>
            <w:pPr>
              <w:jc w:val="right"/>
              <w:ind w:right="183"/>
              <w:spacing w:after="0"/>
              <w:rPr>
                <w:sz w:val="20"/>
                <w:szCs w:val="20"/>
                <w:color w:val="auto"/>
              </w:rPr>
            </w:pPr>
            <w:r>
              <w:rPr>
                <w:rFonts w:ascii="Arial" w:cs="Arial" w:eastAsia="Arial" w:hAnsi="Arial"/>
                <w:sz w:val="13"/>
                <w:szCs w:val="13"/>
                <w:color w:val="auto"/>
              </w:rPr>
              <w:t>173,550</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10,593</w:t>
            </w:r>
          </w:p>
        </w:tc>
        <w:tc>
          <w:tcPr>
            <w:tcW w:w="960" w:type="dxa"/>
            <w:vAlign w:val="bottom"/>
            <w:gridSpan w:val="2"/>
            <w:shd w:val="clear" w:color="auto" w:fill="CCEEFF"/>
          </w:tcPr>
          <w:p>
            <w:pPr>
              <w:jc w:val="right"/>
              <w:ind w:right="63"/>
              <w:spacing w:after="0"/>
              <w:rPr>
                <w:sz w:val="20"/>
                <w:szCs w:val="20"/>
                <w:color w:val="auto"/>
              </w:rPr>
            </w:pPr>
            <w:r>
              <w:rPr>
                <w:rFonts w:ascii="Arial" w:cs="Arial" w:eastAsia="Arial" w:hAnsi="Arial"/>
                <w:sz w:val="13"/>
                <w:szCs w:val="13"/>
                <w:color w:val="auto"/>
              </w:rPr>
              <w:t>5,505,658</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4700" w:type="dxa"/>
            <w:vAlign w:val="bottom"/>
            <w:gridSpan w:val="2"/>
          </w:tcPr>
          <w:p>
            <w:pPr>
              <w:ind w:left="220"/>
              <w:spacing w:after="0" w:line="143" w:lineRule="exact"/>
              <w:rPr>
                <w:sz w:val="20"/>
                <w:szCs w:val="20"/>
                <w:color w:val="auto"/>
              </w:rPr>
            </w:pPr>
            <w:r>
              <w:rPr>
                <w:rFonts w:ascii="Arial" w:cs="Arial" w:eastAsia="Arial" w:hAnsi="Arial"/>
                <w:sz w:val="13"/>
                <w:szCs w:val="13"/>
                <w:color w:val="auto"/>
              </w:rPr>
              <w:t>Total assets</w:t>
            </w:r>
          </w:p>
        </w:tc>
        <w:tc>
          <w:tcPr>
            <w:tcW w:w="88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4,068,345</w:t>
            </w:r>
          </w:p>
        </w:tc>
        <w:tc>
          <w:tcPr>
            <w:tcW w:w="24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72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952,823</w:t>
            </w:r>
          </w:p>
        </w:tc>
        <w:tc>
          <w:tcPr>
            <w:tcW w:w="220" w:type="dxa"/>
            <w:vAlign w:val="bottom"/>
          </w:tcPr>
          <w:p>
            <w:pPr>
              <w:spacing w:after="0"/>
              <w:rPr>
                <w:sz w:val="12"/>
                <w:szCs w:val="12"/>
                <w:color w:val="auto"/>
              </w:rPr>
            </w:pPr>
          </w:p>
        </w:tc>
        <w:tc>
          <w:tcPr>
            <w:tcW w:w="86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308,390</w:t>
            </w:r>
          </w:p>
        </w:tc>
        <w:tc>
          <w:tcPr>
            <w:tcW w:w="220" w:type="dxa"/>
            <w:vAlign w:val="bottom"/>
          </w:tcPr>
          <w:p>
            <w:pPr>
              <w:spacing w:after="0"/>
              <w:rPr>
                <w:sz w:val="12"/>
                <w:szCs w:val="12"/>
                <w:color w:val="auto"/>
              </w:rPr>
            </w:pPr>
          </w:p>
        </w:tc>
        <w:tc>
          <w:tcPr>
            <w:tcW w:w="86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251,371</w:t>
            </w:r>
          </w:p>
        </w:tc>
        <w:tc>
          <w:tcPr>
            <w:tcW w:w="220" w:type="dxa"/>
            <w:vAlign w:val="bottom"/>
          </w:tcPr>
          <w:p>
            <w:pPr>
              <w:spacing w:after="0"/>
              <w:rPr>
                <w:sz w:val="12"/>
                <w:szCs w:val="12"/>
                <w:color w:val="auto"/>
              </w:rPr>
            </w:pPr>
          </w:p>
        </w:tc>
        <w:tc>
          <w:tcPr>
            <w:tcW w:w="86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10,593</w:t>
            </w:r>
          </w:p>
        </w:tc>
        <w:tc>
          <w:tcPr>
            <w:tcW w:w="220" w:type="dxa"/>
            <w:vAlign w:val="bottom"/>
          </w:tcPr>
          <w:p>
            <w:pPr>
              <w:spacing w:after="0"/>
              <w:rPr>
                <w:sz w:val="12"/>
                <w:szCs w:val="12"/>
                <w:color w:val="auto"/>
              </w:rPr>
            </w:pPr>
          </w:p>
        </w:tc>
        <w:tc>
          <w:tcPr>
            <w:tcW w:w="86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5,591,522</w:t>
            </w:r>
          </w:p>
        </w:tc>
        <w:tc>
          <w:tcPr>
            <w:tcW w:w="10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4480" w:type="dxa"/>
            <w:vAlign w:val="bottom"/>
            <w:shd w:val="clear" w:color="auto" w:fill="CCEEFF"/>
          </w:tcPr>
          <w:p>
            <w:pPr>
              <w:spacing w:after="0"/>
              <w:rPr>
                <w:sz w:val="13"/>
                <w:szCs w:val="13"/>
                <w:color w:val="auto"/>
              </w:rPr>
            </w:pPr>
          </w:p>
        </w:tc>
        <w:tc>
          <w:tcPr>
            <w:tcW w:w="8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7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4480" w:type="dxa"/>
            <w:vAlign w:val="bottom"/>
          </w:tcPr>
          <w:p>
            <w:pPr>
              <w:spacing w:after="0"/>
              <w:rPr>
                <w:sz w:val="20"/>
                <w:szCs w:val="20"/>
                <w:color w:val="auto"/>
              </w:rPr>
            </w:pPr>
            <w:r>
              <w:rPr>
                <w:rFonts w:ascii="Arial" w:cs="Arial" w:eastAsia="Arial" w:hAnsi="Arial"/>
                <w:sz w:val="13"/>
                <w:szCs w:val="13"/>
                <w:b w:val="1"/>
                <w:bCs w:val="1"/>
                <w:color w:val="auto"/>
              </w:rPr>
              <w:t>Liabilities</w:t>
            </w:r>
          </w:p>
        </w:tc>
        <w:tc>
          <w:tcPr>
            <w:tcW w:w="8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80" w:type="dxa"/>
            <w:vAlign w:val="bottom"/>
            <w:shd w:val="clear" w:color="auto" w:fill="CCEEFF"/>
          </w:tcPr>
          <w:p>
            <w:pPr>
              <w:spacing w:after="0"/>
              <w:rPr>
                <w:sz w:val="20"/>
                <w:szCs w:val="20"/>
                <w:color w:val="auto"/>
              </w:rPr>
            </w:pPr>
            <w:r>
              <w:rPr>
                <w:rFonts w:ascii="Arial" w:cs="Arial" w:eastAsia="Arial" w:hAnsi="Arial"/>
                <w:sz w:val="13"/>
                <w:szCs w:val="13"/>
                <w:color w:val="auto"/>
              </w:rPr>
              <w:t>Deposits</w:t>
            </w:r>
          </w:p>
        </w:tc>
        <w:tc>
          <w:tcPr>
            <w:tcW w:w="1120" w:type="dxa"/>
            <w:vAlign w:val="bottom"/>
            <w:gridSpan w:val="2"/>
            <w:shd w:val="clear" w:color="auto" w:fill="CCEEFF"/>
          </w:tcPr>
          <w:p>
            <w:pPr>
              <w:jc w:val="right"/>
              <w:ind w:right="116"/>
              <w:spacing w:after="0"/>
              <w:rPr>
                <w:sz w:val="20"/>
                <w:szCs w:val="20"/>
                <w:color w:val="auto"/>
              </w:rPr>
            </w:pPr>
            <w:r>
              <w:rPr>
                <w:rFonts w:ascii="Arial" w:cs="Arial" w:eastAsia="Arial" w:hAnsi="Arial"/>
                <w:sz w:val="13"/>
                <w:szCs w:val="13"/>
                <w:color w:val="auto"/>
              </w:rPr>
              <w:t>(2,242,220)</w:t>
            </w:r>
          </w:p>
        </w:tc>
        <w:tc>
          <w:tcPr>
            <w:tcW w:w="160" w:type="dxa"/>
            <w:vAlign w:val="bottom"/>
            <w:shd w:val="clear" w:color="auto" w:fill="CCEEFF"/>
          </w:tcPr>
          <w:p>
            <w:pPr>
              <w:spacing w:after="0"/>
              <w:rPr>
                <w:sz w:val="13"/>
                <w:szCs w:val="13"/>
                <w:color w:val="auto"/>
              </w:rPr>
            </w:pPr>
          </w:p>
        </w:tc>
        <w:tc>
          <w:tcPr>
            <w:tcW w:w="94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(305,415)</w:t>
            </w:r>
          </w:p>
        </w:tc>
        <w:tc>
          <w:tcPr>
            <w:tcW w:w="1080" w:type="dxa"/>
            <w:vAlign w:val="bottom"/>
            <w:gridSpan w:val="2"/>
            <w:shd w:val="clear" w:color="auto" w:fill="CCEEFF"/>
          </w:tcPr>
          <w:p>
            <w:pPr>
              <w:jc w:val="right"/>
              <w:ind w:right="143"/>
              <w:spacing w:after="0"/>
              <w:rPr>
                <w:sz w:val="20"/>
                <w:szCs w:val="20"/>
                <w:color w:val="auto"/>
              </w:rPr>
            </w:pPr>
            <w:r>
              <w:rPr>
                <w:rFonts w:ascii="Arial" w:cs="Arial" w:eastAsia="Arial" w:hAnsi="Arial"/>
                <w:sz w:val="13"/>
                <w:szCs w:val="13"/>
                <w:color w:val="auto"/>
              </w:rPr>
              <w:t>(197,060)</w:t>
            </w:r>
          </w:p>
        </w:tc>
        <w:tc>
          <w:tcPr>
            <w:tcW w:w="1080" w:type="dxa"/>
            <w:vAlign w:val="bottom"/>
            <w:gridSpan w:val="2"/>
            <w:shd w:val="clear" w:color="auto" w:fill="CCEEFF"/>
          </w:tcPr>
          <w:p>
            <w:pPr>
              <w:jc w:val="right"/>
              <w:ind w:right="143"/>
              <w:spacing w:after="0"/>
              <w:rPr>
                <w:sz w:val="20"/>
                <w:szCs w:val="20"/>
                <w:color w:val="auto"/>
              </w:rPr>
            </w:pPr>
            <w:r>
              <w:rPr>
                <w:rFonts w:ascii="Arial" w:cs="Arial" w:eastAsia="Arial" w:hAnsi="Arial"/>
                <w:sz w:val="13"/>
                <w:szCs w:val="13"/>
                <w:color w:val="auto"/>
              </w:rPr>
              <w:t>(102,085)</w:t>
            </w:r>
          </w:p>
        </w:tc>
        <w:tc>
          <w:tcPr>
            <w:tcW w:w="8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23"/>
              <w:spacing w:after="0"/>
              <w:rPr>
                <w:sz w:val="20"/>
                <w:szCs w:val="20"/>
                <w:color w:val="auto"/>
              </w:rPr>
            </w:pPr>
            <w:r>
              <w:rPr>
                <w:rFonts w:ascii="Arial" w:cs="Arial" w:eastAsia="Arial" w:hAnsi="Arial"/>
                <w:sz w:val="13"/>
                <w:szCs w:val="13"/>
                <w:color w:val="auto"/>
              </w:rPr>
              <w:t>(2,846,780)</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480" w:type="dxa"/>
            <w:vAlign w:val="bottom"/>
          </w:tcPr>
          <w:p>
            <w:pPr>
              <w:spacing w:after="0"/>
              <w:rPr>
                <w:sz w:val="20"/>
                <w:szCs w:val="20"/>
                <w:color w:val="auto"/>
              </w:rPr>
            </w:pPr>
            <w:r>
              <w:rPr>
                <w:rFonts w:ascii="Arial" w:cs="Arial" w:eastAsia="Arial" w:hAnsi="Arial"/>
                <w:sz w:val="13"/>
                <w:szCs w:val="13"/>
                <w:color w:val="auto"/>
              </w:rPr>
              <w:t>Borrowings and debt</w:t>
            </w:r>
          </w:p>
        </w:tc>
        <w:tc>
          <w:tcPr>
            <w:tcW w:w="1120" w:type="dxa"/>
            <w:vAlign w:val="bottom"/>
            <w:gridSpan w:val="2"/>
          </w:tcPr>
          <w:p>
            <w:pPr>
              <w:jc w:val="right"/>
              <w:ind w:right="116"/>
              <w:spacing w:after="0"/>
              <w:rPr>
                <w:sz w:val="20"/>
                <w:szCs w:val="20"/>
                <w:color w:val="auto"/>
              </w:rPr>
            </w:pPr>
            <w:r>
              <w:rPr>
                <w:rFonts w:ascii="Arial" w:cs="Arial" w:eastAsia="Arial" w:hAnsi="Arial"/>
                <w:sz w:val="13"/>
                <w:szCs w:val="13"/>
                <w:color w:val="auto"/>
              </w:rPr>
              <w:t>(1,585,145)</w:t>
            </w:r>
          </w:p>
        </w:tc>
        <w:tc>
          <w:tcPr>
            <w:tcW w:w="160" w:type="dxa"/>
            <w:vAlign w:val="bottom"/>
          </w:tcPr>
          <w:p>
            <w:pPr>
              <w:spacing w:after="0"/>
              <w:rPr>
                <w:sz w:val="14"/>
                <w:szCs w:val="14"/>
                <w:color w:val="auto"/>
              </w:rPr>
            </w:pPr>
          </w:p>
        </w:tc>
        <w:tc>
          <w:tcPr>
            <w:tcW w:w="940" w:type="dxa"/>
            <w:vAlign w:val="bottom"/>
            <w:gridSpan w:val="2"/>
          </w:tcPr>
          <w:p>
            <w:pPr>
              <w:jc w:val="right"/>
              <w:ind w:right="180"/>
              <w:spacing w:after="0"/>
              <w:rPr>
                <w:sz w:val="20"/>
                <w:szCs w:val="20"/>
                <w:color w:val="auto"/>
              </w:rPr>
            </w:pPr>
            <w:r>
              <w:rPr>
                <w:rFonts w:ascii="Arial" w:cs="Arial" w:eastAsia="Arial" w:hAnsi="Arial"/>
                <w:sz w:val="13"/>
                <w:szCs w:val="13"/>
                <w:color w:val="auto"/>
              </w:rPr>
              <w:t>(2,538)</w:t>
            </w:r>
          </w:p>
        </w:tc>
        <w:tc>
          <w:tcPr>
            <w:tcW w:w="1080" w:type="dxa"/>
            <w:vAlign w:val="bottom"/>
            <w:gridSpan w:val="2"/>
          </w:tcPr>
          <w:p>
            <w:pPr>
              <w:jc w:val="right"/>
              <w:ind w:right="143"/>
              <w:spacing w:after="0"/>
              <w:rPr>
                <w:sz w:val="20"/>
                <w:szCs w:val="20"/>
                <w:color w:val="auto"/>
              </w:rPr>
            </w:pPr>
            <w:r>
              <w:rPr>
                <w:rFonts w:ascii="Arial" w:cs="Arial" w:eastAsia="Arial" w:hAnsi="Arial"/>
                <w:sz w:val="13"/>
                <w:szCs w:val="13"/>
                <w:color w:val="auto"/>
              </w:rPr>
              <w:t>(85,232)</w:t>
            </w:r>
          </w:p>
        </w:tc>
        <w:tc>
          <w:tcPr>
            <w:tcW w:w="1080" w:type="dxa"/>
            <w:vAlign w:val="bottom"/>
            <w:gridSpan w:val="2"/>
          </w:tcPr>
          <w:p>
            <w:pPr>
              <w:jc w:val="right"/>
              <w:ind w:right="143"/>
              <w:spacing w:after="0"/>
              <w:rPr>
                <w:sz w:val="20"/>
                <w:szCs w:val="20"/>
                <w:color w:val="auto"/>
              </w:rPr>
            </w:pPr>
            <w:r>
              <w:rPr>
                <w:rFonts w:ascii="Arial" w:cs="Arial" w:eastAsia="Arial" w:hAnsi="Arial"/>
                <w:sz w:val="13"/>
                <w:szCs w:val="13"/>
                <w:color w:val="auto"/>
              </w:rPr>
              <w:t>(482,814)</w:t>
            </w:r>
          </w:p>
        </w:tc>
        <w:tc>
          <w:tcPr>
            <w:tcW w:w="1080" w:type="dxa"/>
            <w:vAlign w:val="bottom"/>
            <w:gridSpan w:val="2"/>
          </w:tcPr>
          <w:p>
            <w:pPr>
              <w:jc w:val="right"/>
              <w:ind w:right="180"/>
              <w:spacing w:after="0"/>
              <w:rPr>
                <w:sz w:val="20"/>
                <w:szCs w:val="20"/>
                <w:color w:val="auto"/>
              </w:rPr>
            </w:pPr>
            <w:r>
              <w:rPr>
                <w:rFonts w:ascii="Arial" w:cs="Arial" w:eastAsia="Arial" w:hAnsi="Arial"/>
                <w:sz w:val="13"/>
                <w:szCs w:val="13"/>
                <w:color w:val="auto"/>
              </w:rPr>
              <w:t>(55,838)</w:t>
            </w:r>
          </w:p>
        </w:tc>
        <w:tc>
          <w:tcPr>
            <w:tcW w:w="960" w:type="dxa"/>
            <w:vAlign w:val="bottom"/>
            <w:gridSpan w:val="2"/>
          </w:tcPr>
          <w:p>
            <w:pPr>
              <w:jc w:val="right"/>
              <w:ind w:right="23"/>
              <w:spacing w:after="0"/>
              <w:rPr>
                <w:sz w:val="20"/>
                <w:szCs w:val="20"/>
                <w:color w:val="auto"/>
              </w:rPr>
            </w:pPr>
            <w:r>
              <w:rPr>
                <w:rFonts w:ascii="Arial" w:cs="Arial" w:eastAsia="Arial" w:hAnsi="Arial"/>
                <w:sz w:val="13"/>
                <w:szCs w:val="13"/>
                <w:color w:val="auto"/>
              </w:rPr>
              <w:t>(2,211,567)</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480" w:type="dxa"/>
            <w:vAlign w:val="bottom"/>
            <w:tcBorders>
              <w:top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Total liabilities</w:t>
            </w:r>
          </w:p>
        </w:tc>
        <w:tc>
          <w:tcPr>
            <w:tcW w:w="8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(3,827,365)</w:t>
            </w:r>
          </w:p>
        </w:tc>
        <w:tc>
          <w:tcPr>
            <w:tcW w:w="24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72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(307,953)</w:t>
            </w: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(282,292)</w:t>
            </w: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(584,899)</w:t>
            </w: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(55,838)</w:t>
            </w: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(5,058,347)</w:t>
            </w:r>
          </w:p>
        </w:tc>
        <w:tc>
          <w:tcPr>
            <w:tcW w:w="100" w:type="dxa"/>
            <w:vAlign w:val="bottom"/>
            <w:tcBorders>
              <w:top w:val="single" w:sz="8" w:color="CCEEFF"/>
            </w:tcBorders>
            <w:shd w:val="clear" w:color="auto" w:fill="CCEEFF"/>
          </w:tcPr>
          <w:p>
            <w:pPr>
              <w:spacing w:after="0"/>
              <w:rPr>
                <w:sz w:val="12"/>
                <w:szCs w:val="12"/>
                <w:color w:val="auto"/>
              </w:rPr>
            </w:pPr>
          </w:p>
        </w:tc>
        <w:tc>
          <w:tcPr>
            <w:tcW w:w="3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480" w:type="dxa"/>
            <w:vAlign w:val="bottom"/>
          </w:tcPr>
          <w:p>
            <w:pPr>
              <w:spacing w:after="0"/>
              <w:rPr>
                <w:sz w:val="20"/>
                <w:szCs w:val="20"/>
                <w:color w:val="auto"/>
              </w:rPr>
            </w:pPr>
            <w:r>
              <w:rPr>
                <w:rFonts w:ascii="Arial" w:cs="Arial" w:eastAsia="Arial" w:hAnsi="Arial"/>
                <w:sz w:val="13"/>
                <w:szCs w:val="13"/>
                <w:color w:val="auto"/>
                <w:w w:val="99"/>
              </w:rPr>
              <w:t>Net effect of derivative financial instruments held for interest risk management</w:t>
            </w:r>
          </w:p>
        </w:tc>
        <w:tc>
          <w:tcPr>
            <w:tcW w:w="1120" w:type="dxa"/>
            <w:vAlign w:val="bottom"/>
            <w:gridSpan w:val="2"/>
          </w:tcPr>
          <w:p>
            <w:pPr>
              <w:jc w:val="right"/>
              <w:ind w:right="116"/>
              <w:spacing w:after="0"/>
              <w:rPr>
                <w:sz w:val="20"/>
                <w:szCs w:val="20"/>
                <w:color w:val="auto"/>
              </w:rPr>
            </w:pPr>
            <w:r>
              <w:rPr>
                <w:rFonts w:ascii="Arial" w:cs="Arial" w:eastAsia="Arial" w:hAnsi="Arial"/>
                <w:sz w:val="13"/>
                <w:szCs w:val="13"/>
                <w:color w:val="auto"/>
              </w:rPr>
              <w:t>(114,739)</w:t>
            </w:r>
          </w:p>
        </w:tc>
        <w:tc>
          <w:tcPr>
            <w:tcW w:w="160" w:type="dxa"/>
            <w:vAlign w:val="bottom"/>
          </w:tcPr>
          <w:p>
            <w:pPr>
              <w:spacing w:after="0"/>
              <w:rPr>
                <w:sz w:val="14"/>
                <w:szCs w:val="14"/>
                <w:color w:val="auto"/>
              </w:rPr>
            </w:pPr>
          </w:p>
        </w:tc>
        <w:tc>
          <w:tcPr>
            <w:tcW w:w="940" w:type="dxa"/>
            <w:vAlign w:val="bottom"/>
            <w:gridSpan w:val="2"/>
          </w:tcPr>
          <w:p>
            <w:pPr>
              <w:jc w:val="right"/>
              <w:ind w:right="180"/>
              <w:spacing w:after="0"/>
              <w:rPr>
                <w:sz w:val="20"/>
                <w:szCs w:val="20"/>
                <w:color w:val="auto"/>
              </w:rPr>
            </w:pPr>
            <w:r>
              <w:rPr>
                <w:rFonts w:ascii="Arial" w:cs="Arial" w:eastAsia="Arial" w:hAnsi="Arial"/>
                <w:sz w:val="13"/>
                <w:szCs w:val="13"/>
                <w:color w:val="auto"/>
              </w:rPr>
              <w:t>(134,540)</w:t>
            </w:r>
          </w:p>
        </w:tc>
        <w:tc>
          <w:tcPr>
            <w:tcW w:w="1080" w:type="dxa"/>
            <w:vAlign w:val="bottom"/>
            <w:gridSpan w:val="2"/>
          </w:tcPr>
          <w:p>
            <w:pPr>
              <w:jc w:val="right"/>
              <w:ind w:right="143"/>
              <w:spacing w:after="0"/>
              <w:rPr>
                <w:sz w:val="20"/>
                <w:szCs w:val="20"/>
                <w:color w:val="auto"/>
              </w:rPr>
            </w:pPr>
            <w:r>
              <w:rPr>
                <w:rFonts w:ascii="Arial" w:cs="Arial" w:eastAsia="Arial" w:hAnsi="Arial"/>
                <w:sz w:val="13"/>
                <w:szCs w:val="13"/>
                <w:color w:val="auto"/>
              </w:rPr>
              <w:t>(193,623)</w:t>
            </w:r>
          </w:p>
        </w:tc>
        <w:tc>
          <w:tcPr>
            <w:tcW w:w="1080" w:type="dxa"/>
            <w:vAlign w:val="bottom"/>
            <w:gridSpan w:val="2"/>
          </w:tcPr>
          <w:p>
            <w:pPr>
              <w:jc w:val="right"/>
              <w:ind w:right="183"/>
              <w:spacing w:after="0"/>
              <w:rPr>
                <w:sz w:val="20"/>
                <w:szCs w:val="20"/>
                <w:color w:val="auto"/>
              </w:rPr>
            </w:pPr>
            <w:r>
              <w:rPr>
                <w:rFonts w:ascii="Arial" w:cs="Arial" w:eastAsia="Arial" w:hAnsi="Arial"/>
                <w:sz w:val="13"/>
                <w:szCs w:val="13"/>
                <w:color w:val="auto"/>
              </w:rPr>
              <w:t>344,683</w:t>
            </w: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60,050</w:t>
            </w:r>
          </w:p>
        </w:tc>
        <w:tc>
          <w:tcPr>
            <w:tcW w:w="960" w:type="dxa"/>
            <w:vAlign w:val="bottom"/>
            <w:gridSpan w:val="2"/>
          </w:tcPr>
          <w:p>
            <w:pPr>
              <w:jc w:val="right"/>
              <w:ind w:right="23"/>
              <w:spacing w:after="0"/>
              <w:rPr>
                <w:sz w:val="20"/>
                <w:szCs w:val="20"/>
                <w:color w:val="auto"/>
              </w:rPr>
            </w:pPr>
            <w:r>
              <w:rPr>
                <w:rFonts w:ascii="Arial" w:cs="Arial" w:eastAsia="Arial" w:hAnsi="Arial"/>
                <w:sz w:val="13"/>
                <w:szCs w:val="13"/>
                <w:color w:val="auto"/>
              </w:rPr>
              <w:t>(38,169)</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4480" w:type="dxa"/>
            <w:vAlign w:val="bottom"/>
            <w:tcBorders>
              <w:top w:val="single" w:sz="8" w:color="CCEEFF"/>
              <w:bottom w:val="single" w:sz="8" w:color="CCEEFF"/>
            </w:tcBorders>
            <w:shd w:val="clear" w:color="auto" w:fill="CCEEFF"/>
          </w:tcPr>
          <w:p>
            <w:pPr>
              <w:spacing w:after="0" w:line="143" w:lineRule="exact"/>
              <w:rPr>
                <w:sz w:val="20"/>
                <w:szCs w:val="20"/>
                <w:color w:val="auto"/>
              </w:rPr>
            </w:pPr>
            <w:r>
              <w:rPr>
                <w:rFonts w:ascii="Arial" w:cs="Arial" w:eastAsia="Arial" w:hAnsi="Arial"/>
                <w:sz w:val="13"/>
                <w:szCs w:val="13"/>
                <w:color w:val="auto"/>
              </w:rPr>
              <w:t>Total interest rate sensitivity</w:t>
            </w: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126,241</w:t>
            </w: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160" w:type="dxa"/>
            <w:vAlign w:val="bottom"/>
            <w:tcBorders>
              <w:top w:val="single" w:sz="8" w:color="auto"/>
              <w:bottom w:val="single" w:sz="8" w:color="auto"/>
            </w:tcBorders>
            <w:shd w:val="clear" w:color="auto" w:fill="CCEEFF"/>
          </w:tcPr>
          <w:p>
            <w:pPr>
              <w:spacing w:after="0"/>
              <w:rPr>
                <w:sz w:val="14"/>
                <w:szCs w:val="14"/>
                <w:color w:val="auto"/>
              </w:rPr>
            </w:pPr>
          </w:p>
        </w:tc>
        <w:tc>
          <w:tcPr>
            <w:tcW w:w="7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510,330</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(167,525</w:t>
            </w:r>
          </w:p>
        </w:tc>
        <w:tc>
          <w:tcPr>
            <w:tcW w:w="220" w:type="dxa"/>
            <w:vAlign w:val="bottom"/>
            <w:tcBorders>
              <w:top w:val="single" w:sz="8" w:color="CCEEFF"/>
              <w:bottom w:val="single" w:sz="8" w:color="CCEEFF"/>
            </w:tcBorders>
            <w:shd w:val="clear" w:color="auto" w:fill="CCEEFF"/>
          </w:tcPr>
          <w:p>
            <w:pPr>
              <w:jc w:val="right"/>
              <w:ind w:right="143"/>
              <w:spacing w:after="0"/>
              <w:rPr>
                <w:sz w:val="20"/>
                <w:szCs w:val="20"/>
                <w:color w:val="auto"/>
              </w:rPr>
            </w:pPr>
            <w:r>
              <w:rPr>
                <w:rFonts w:ascii="Arial" w:cs="Arial" w:eastAsia="Arial" w:hAnsi="Arial"/>
                <w:sz w:val="7"/>
                <w:szCs w:val="7"/>
                <w:b w:val="1"/>
                <w:bCs w:val="1"/>
                <w:color w:val="auto"/>
                <w:w w:val="83"/>
              </w:rPr>
              <w:t>)</w:t>
            </w: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11,155</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14,805</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495,006</w:t>
            </w: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467"/>
        </w:trPr>
        <w:tc>
          <w:tcPr>
            <w:tcW w:w="220" w:type="dxa"/>
            <w:vAlign w:val="bottom"/>
            <w:tcBorders>
              <w:bottom w:val="single" w:sz="8" w:color="auto"/>
            </w:tcBorders>
          </w:tcPr>
          <w:p>
            <w:pPr>
              <w:spacing w:after="0"/>
              <w:rPr>
                <w:sz w:val="24"/>
                <w:szCs w:val="24"/>
                <w:color w:val="auto"/>
              </w:rPr>
            </w:pPr>
          </w:p>
        </w:tc>
        <w:tc>
          <w:tcPr>
            <w:tcW w:w="4480" w:type="dxa"/>
            <w:vAlign w:val="bottom"/>
            <w:tcBorders>
              <w:bottom w:val="single" w:sz="8" w:color="auto"/>
            </w:tcBorders>
          </w:tcPr>
          <w:p>
            <w:pPr>
              <w:spacing w:after="0"/>
              <w:rPr>
                <w:sz w:val="24"/>
                <w:szCs w:val="24"/>
                <w:color w:val="auto"/>
              </w:rPr>
            </w:pPr>
          </w:p>
        </w:tc>
        <w:tc>
          <w:tcPr>
            <w:tcW w:w="1280" w:type="dxa"/>
            <w:vAlign w:val="bottom"/>
            <w:tcBorders>
              <w:bottom w:val="single" w:sz="8" w:color="auto"/>
            </w:tcBorders>
            <w:gridSpan w:val="3"/>
          </w:tcPr>
          <w:p>
            <w:pPr>
              <w:ind w:left="880"/>
              <w:spacing w:after="0"/>
              <w:rPr>
                <w:sz w:val="20"/>
                <w:szCs w:val="20"/>
                <w:color w:val="auto"/>
              </w:rPr>
            </w:pPr>
            <w:r>
              <w:rPr>
                <w:rFonts w:ascii="Arial" w:cs="Arial" w:eastAsia="Arial" w:hAnsi="Arial"/>
                <w:sz w:val="13"/>
                <w:szCs w:val="13"/>
                <w:color w:val="auto"/>
              </w:rPr>
              <w:t>F-105</w:t>
            </w:r>
          </w:p>
        </w:tc>
        <w:tc>
          <w:tcPr>
            <w:tcW w:w="7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3"/>
          </w:cols>
          <w:pgMar w:left="217" w:top="685" w:right="199" w:bottom="1440" w:gutter="0" w:footer="0" w:header="0"/>
        </w:sectPr>
      </w:pPr>
    </w:p>
    <w:bookmarkStart w:id="230" w:name="page231"/>
    <w:bookmarkEnd w:id="230"/>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39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right="9600" w:hanging="223"/>
        <w:spacing w:after="0" w:line="496" w:lineRule="auto"/>
        <w:tabs>
          <w:tab w:leader="none" w:pos="223" w:val="left"/>
        </w:tabs>
        <w:numPr>
          <w:ilvl w:val="0"/>
          <w:numId w:val="199"/>
        </w:numPr>
        <w:rPr>
          <w:rFonts w:ascii="Arial" w:cs="Arial" w:eastAsia="Arial" w:hAnsi="Arial"/>
          <w:sz w:val="13"/>
          <w:szCs w:val="13"/>
          <w:b w:val="1"/>
          <w:bCs w:val="1"/>
          <w:color w:val="auto"/>
        </w:rPr>
      </w:pPr>
      <w:r>
        <w:rPr>
          <w:rFonts w:ascii="Arial" w:cs="Arial" w:eastAsia="Arial" w:hAnsi="Arial"/>
          <w:sz w:val="13"/>
          <w:szCs w:val="13"/>
          <w:b w:val="1"/>
          <w:bCs w:val="1"/>
          <w:color w:val="auto"/>
        </w:rPr>
        <w:t xml:space="preserve">Risk management (continued) Market risk (continued) </w:t>
      </w:r>
      <w:r>
        <w:rPr>
          <w:rFonts w:ascii="Arial" w:cs="Arial" w:eastAsia="Arial" w:hAnsi="Arial"/>
          <w:sz w:val="13"/>
          <w:szCs w:val="13"/>
          <w:u w:val="single" w:color="auto"/>
          <w:color w:val="auto"/>
        </w:rPr>
        <w:t>Currency risk</w:t>
      </w:r>
    </w:p>
    <w:p>
      <w:pPr>
        <w:spacing w:after="0" w:line="1" w:lineRule="exact"/>
        <w:rPr>
          <w:rFonts w:ascii="Arial" w:cs="Arial" w:eastAsia="Arial" w:hAnsi="Arial"/>
          <w:sz w:val="13"/>
          <w:szCs w:val="13"/>
          <w:b w:val="1"/>
          <w:bCs w:val="1"/>
          <w:color w:val="auto"/>
        </w:rPr>
      </w:pPr>
    </w:p>
    <w:p>
      <w:pPr>
        <w:jc w:val="both"/>
        <w:ind w:left="223"/>
        <w:spacing w:after="0" w:line="257" w:lineRule="auto"/>
        <w:rPr>
          <w:rFonts w:ascii="Arial" w:cs="Arial" w:eastAsia="Arial" w:hAnsi="Arial"/>
          <w:sz w:val="13"/>
          <w:szCs w:val="13"/>
          <w:b w:val="1"/>
          <w:bCs w:val="1"/>
          <w:color w:val="auto"/>
        </w:rPr>
      </w:pPr>
      <w:r>
        <w:rPr>
          <w:rFonts w:ascii="Arial" w:cs="Arial" w:eastAsia="Arial" w:hAnsi="Arial"/>
          <w:sz w:val="13"/>
          <w:szCs w:val="13"/>
          <w:color w:val="auto"/>
        </w:rPr>
        <w:t>Currency risk is the risk that the value of a financial instrument will fluctuate because of changes in exchange rates of foreign currencies, and other financial variables, as well as the reaction of market participants to political and economic events. For purposes of accounting standards this risk does not come from financial instruments that are not monetary items, or for financial instruments denominated in the functional currency. Exposure to currency risk is low since the Bank’s has maximum exposure limits established by the Board.</w:t>
      </w:r>
    </w:p>
    <w:p>
      <w:pPr>
        <w:spacing w:after="0" w:line="135" w:lineRule="exact"/>
        <w:rPr>
          <w:rFonts w:ascii="Arial" w:cs="Arial" w:eastAsia="Arial" w:hAnsi="Arial"/>
          <w:sz w:val="13"/>
          <w:szCs w:val="13"/>
          <w:b w:val="1"/>
          <w:bCs w:val="1"/>
          <w:color w:val="auto"/>
        </w:rPr>
      </w:pP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Most of the Bank’s assets and most of its liabilities are denominated in US dollars and, hence, the Bank does not incur in a significant currency exchange risk. The currency exchange rate risk is mitigated by using derivatives, which, although perfectly hedged economically, may generate a certain accounting volatility.</w:t>
      </w:r>
    </w:p>
    <w:p>
      <w:pPr>
        <w:spacing w:after="0" w:line="129"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2"/>
          <w:szCs w:val="12"/>
          <w:color w:val="auto"/>
        </w:rPr>
        <w:t>For the rest of the net currency position, the Bank uses economic hedges as a strategy for managing risk for its different currencies and does not foresee a significant risk associated to the volatility that may rise.</w:t>
      </w:r>
    </w:p>
    <w:p>
      <w:pPr>
        <w:spacing w:after="0" w:line="170" w:lineRule="exact"/>
        <w:rPr>
          <w:rFonts w:ascii="Arial" w:cs="Arial" w:eastAsia="Arial" w:hAnsi="Arial"/>
          <w:sz w:val="13"/>
          <w:szCs w:val="13"/>
          <w:b w:val="1"/>
          <w:bCs w:val="1"/>
          <w:color w:val="auto"/>
        </w:rPr>
      </w:pP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The following table details the maximum to foreign currency, where all assets and liabilities are presented based on their book value, except for derivatives, which are included within other assets and other liabilities at fair value.</w:t>
      </w:r>
    </w:p>
    <w:p>
      <w:pPr>
        <w:spacing w:after="0" w:line="135" w:lineRule="exact"/>
        <w:rPr>
          <w:sz w:val="20"/>
          <w:szCs w:val="20"/>
          <w:color w:val="auto"/>
        </w:rPr>
      </w:pPr>
    </w:p>
    <w:tbl>
      <w:tblPr>
        <w:tblLayout w:type="fixed"/>
        <w:tblInd w:w="223"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3380" w:type="dxa"/>
            <w:vAlign w:val="bottom"/>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2160" w:type="dxa"/>
            <w:vAlign w:val="bottom"/>
            <w:tcBorders>
              <w:bottom w:val="single" w:sz="8" w:color="auto"/>
            </w:tcBorders>
            <w:gridSpan w:val="4"/>
          </w:tcPr>
          <w:p>
            <w:pPr>
              <w:jc w:val="right"/>
              <w:spacing w:after="0"/>
              <w:rPr>
                <w:sz w:val="20"/>
                <w:szCs w:val="20"/>
                <w:color w:val="auto"/>
              </w:rPr>
            </w:pPr>
            <w:r>
              <w:rPr>
                <w:rFonts w:ascii="Arial" w:cs="Arial" w:eastAsia="Arial" w:hAnsi="Arial"/>
                <w:sz w:val="13"/>
                <w:szCs w:val="13"/>
                <w:b w:val="1"/>
                <w:bCs w:val="1"/>
                <w:color w:val="auto"/>
              </w:rPr>
              <w:t>(In US dollar thousands)</w:t>
            </w:r>
          </w:p>
        </w:tc>
        <w:tc>
          <w:tcPr>
            <w:tcW w:w="8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4"/>
        </w:trPr>
        <w:tc>
          <w:tcPr>
            <w:tcW w:w="20" w:type="dxa"/>
            <w:vAlign w:val="bottom"/>
          </w:tcPr>
          <w:p>
            <w:pPr>
              <w:spacing w:after="0"/>
              <w:rPr>
                <w:sz w:val="11"/>
                <w:szCs w:val="11"/>
                <w:color w:val="auto"/>
              </w:rPr>
            </w:pPr>
          </w:p>
        </w:tc>
        <w:tc>
          <w:tcPr>
            <w:tcW w:w="3380" w:type="dxa"/>
            <w:vAlign w:val="bottom"/>
          </w:tcPr>
          <w:p>
            <w:pPr>
              <w:spacing w:after="0"/>
              <w:rPr>
                <w:sz w:val="11"/>
                <w:szCs w:val="11"/>
                <w:color w:val="auto"/>
              </w:rPr>
            </w:pPr>
          </w:p>
        </w:tc>
        <w:tc>
          <w:tcPr>
            <w:tcW w:w="1120" w:type="dxa"/>
            <w:vAlign w:val="bottom"/>
            <w:gridSpan w:val="2"/>
          </w:tcPr>
          <w:p>
            <w:pPr>
              <w:jc w:val="right"/>
              <w:ind w:right="420"/>
              <w:spacing w:after="0" w:line="134" w:lineRule="exact"/>
              <w:rPr>
                <w:sz w:val="20"/>
                <w:szCs w:val="20"/>
                <w:color w:val="auto"/>
              </w:rPr>
            </w:pPr>
            <w:r>
              <w:rPr>
                <w:rFonts w:ascii="Arial" w:cs="Arial" w:eastAsia="Arial" w:hAnsi="Arial"/>
                <w:sz w:val="13"/>
                <w:szCs w:val="13"/>
                <w:b w:val="1"/>
                <w:bCs w:val="1"/>
                <w:color w:val="auto"/>
              </w:rPr>
              <w:t>Brazilian</w:t>
            </w:r>
          </w:p>
        </w:tc>
        <w:tc>
          <w:tcPr>
            <w:tcW w:w="1100" w:type="dxa"/>
            <w:vAlign w:val="bottom"/>
            <w:gridSpan w:val="2"/>
          </w:tcPr>
          <w:p>
            <w:pPr>
              <w:jc w:val="center"/>
              <w:ind w:right="260"/>
              <w:spacing w:after="0" w:line="134" w:lineRule="exact"/>
              <w:rPr>
                <w:sz w:val="20"/>
                <w:szCs w:val="20"/>
                <w:color w:val="auto"/>
              </w:rPr>
            </w:pPr>
            <w:r>
              <w:rPr>
                <w:rFonts w:ascii="Arial" w:cs="Arial" w:eastAsia="Arial" w:hAnsi="Arial"/>
                <w:sz w:val="13"/>
                <w:szCs w:val="13"/>
                <w:b w:val="1"/>
                <w:bCs w:val="1"/>
                <w:color w:val="auto"/>
                <w:w w:val="86"/>
              </w:rPr>
              <w:t>European</w:t>
            </w:r>
          </w:p>
        </w:tc>
        <w:tc>
          <w:tcPr>
            <w:tcW w:w="1080" w:type="dxa"/>
            <w:vAlign w:val="bottom"/>
            <w:gridSpan w:val="2"/>
          </w:tcPr>
          <w:p>
            <w:pPr>
              <w:jc w:val="center"/>
              <w:ind w:right="220"/>
              <w:spacing w:after="0" w:line="134" w:lineRule="exact"/>
              <w:rPr>
                <w:sz w:val="20"/>
                <w:szCs w:val="20"/>
                <w:color w:val="auto"/>
              </w:rPr>
            </w:pPr>
            <w:r>
              <w:rPr>
                <w:rFonts w:ascii="Arial" w:cs="Arial" w:eastAsia="Arial" w:hAnsi="Arial"/>
                <w:sz w:val="13"/>
                <w:szCs w:val="13"/>
                <w:b w:val="1"/>
                <w:bCs w:val="1"/>
                <w:color w:val="auto"/>
                <w:w w:val="84"/>
              </w:rPr>
              <w:t>Japanese</w:t>
            </w:r>
          </w:p>
        </w:tc>
        <w:tc>
          <w:tcPr>
            <w:tcW w:w="1080" w:type="dxa"/>
            <w:vAlign w:val="bottom"/>
            <w:gridSpan w:val="2"/>
          </w:tcPr>
          <w:p>
            <w:pPr>
              <w:jc w:val="right"/>
              <w:ind w:right="340"/>
              <w:spacing w:after="0" w:line="134" w:lineRule="exact"/>
              <w:rPr>
                <w:sz w:val="20"/>
                <w:szCs w:val="20"/>
                <w:color w:val="auto"/>
              </w:rPr>
            </w:pPr>
            <w:r>
              <w:rPr>
                <w:rFonts w:ascii="Arial" w:cs="Arial" w:eastAsia="Arial" w:hAnsi="Arial"/>
                <w:sz w:val="13"/>
                <w:szCs w:val="13"/>
                <w:b w:val="1"/>
                <w:bCs w:val="1"/>
                <w:color w:val="auto"/>
              </w:rPr>
              <w:t>Colombian</w:t>
            </w:r>
          </w:p>
        </w:tc>
        <w:tc>
          <w:tcPr>
            <w:tcW w:w="1080" w:type="dxa"/>
            <w:vAlign w:val="bottom"/>
            <w:gridSpan w:val="2"/>
          </w:tcPr>
          <w:p>
            <w:pPr>
              <w:jc w:val="right"/>
              <w:ind w:right="403"/>
              <w:spacing w:after="0" w:line="134" w:lineRule="exact"/>
              <w:rPr>
                <w:sz w:val="20"/>
                <w:szCs w:val="20"/>
                <w:color w:val="auto"/>
              </w:rPr>
            </w:pPr>
            <w:r>
              <w:rPr>
                <w:rFonts w:ascii="Arial" w:cs="Arial" w:eastAsia="Arial" w:hAnsi="Arial"/>
                <w:sz w:val="13"/>
                <w:szCs w:val="13"/>
                <w:b w:val="1"/>
                <w:bCs w:val="1"/>
                <w:color w:val="auto"/>
              </w:rPr>
              <w:t>Mexican</w:t>
            </w:r>
          </w:p>
        </w:tc>
        <w:tc>
          <w:tcPr>
            <w:tcW w:w="1080" w:type="dxa"/>
            <w:vAlign w:val="bottom"/>
            <w:gridSpan w:val="2"/>
          </w:tcPr>
          <w:p>
            <w:pPr>
              <w:jc w:val="center"/>
              <w:ind w:right="260"/>
              <w:spacing w:after="0" w:line="134" w:lineRule="exact"/>
              <w:rPr>
                <w:sz w:val="20"/>
                <w:szCs w:val="20"/>
                <w:color w:val="auto"/>
              </w:rPr>
            </w:pPr>
            <w:r>
              <w:rPr>
                <w:rFonts w:ascii="Arial" w:cs="Arial" w:eastAsia="Arial" w:hAnsi="Arial"/>
                <w:sz w:val="13"/>
                <w:szCs w:val="13"/>
                <w:b w:val="1"/>
                <w:bCs w:val="1"/>
                <w:color w:val="auto"/>
                <w:w w:val="97"/>
              </w:rPr>
              <w:t>Other</w:t>
            </w:r>
          </w:p>
        </w:tc>
        <w:tc>
          <w:tcPr>
            <w:tcW w:w="8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93"/>
        </w:trPr>
        <w:tc>
          <w:tcPr>
            <w:tcW w:w="20" w:type="dxa"/>
            <w:vAlign w:val="bottom"/>
          </w:tcPr>
          <w:p>
            <w:pPr>
              <w:spacing w:after="0"/>
              <w:rPr>
                <w:sz w:val="16"/>
                <w:szCs w:val="16"/>
                <w:color w:val="auto"/>
              </w:rPr>
            </w:pPr>
          </w:p>
        </w:tc>
        <w:tc>
          <w:tcPr>
            <w:tcW w:w="3380" w:type="dxa"/>
            <w:vAlign w:val="bottom"/>
          </w:tcPr>
          <w:p>
            <w:pPr>
              <w:spacing w:after="0"/>
              <w:rPr>
                <w:sz w:val="16"/>
                <w:szCs w:val="16"/>
                <w:color w:val="auto"/>
              </w:rPr>
            </w:pPr>
          </w:p>
        </w:tc>
        <w:tc>
          <w:tcPr>
            <w:tcW w:w="1120" w:type="dxa"/>
            <w:vAlign w:val="bottom"/>
            <w:gridSpan w:val="2"/>
          </w:tcPr>
          <w:p>
            <w:pPr>
              <w:jc w:val="right"/>
              <w:ind w:right="560"/>
              <w:spacing w:after="0"/>
              <w:rPr>
                <w:sz w:val="20"/>
                <w:szCs w:val="20"/>
                <w:color w:val="auto"/>
              </w:rPr>
            </w:pPr>
            <w:r>
              <w:rPr>
                <w:rFonts w:ascii="Arial" w:cs="Arial" w:eastAsia="Arial" w:hAnsi="Arial"/>
                <w:sz w:val="13"/>
                <w:szCs w:val="13"/>
                <w:b w:val="1"/>
                <w:bCs w:val="1"/>
                <w:color w:val="auto"/>
              </w:rPr>
              <w:t>Real</w:t>
            </w:r>
          </w:p>
        </w:tc>
        <w:tc>
          <w:tcPr>
            <w:tcW w:w="11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4"/>
              </w:rPr>
              <w:t>Euro</w:t>
            </w:r>
          </w:p>
        </w:tc>
        <w:tc>
          <w:tcPr>
            <w:tcW w:w="108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2"/>
              </w:rPr>
              <w:t>Yen</w:t>
            </w:r>
          </w:p>
        </w:tc>
        <w:tc>
          <w:tcPr>
            <w:tcW w:w="1080" w:type="dxa"/>
            <w:vAlign w:val="bottom"/>
            <w:gridSpan w:val="2"/>
          </w:tcPr>
          <w:p>
            <w:pPr>
              <w:jc w:val="right"/>
              <w:ind w:right="520"/>
              <w:spacing w:after="0"/>
              <w:rPr>
                <w:sz w:val="20"/>
                <w:szCs w:val="20"/>
                <w:color w:val="auto"/>
              </w:rPr>
            </w:pPr>
            <w:r>
              <w:rPr>
                <w:rFonts w:ascii="Arial" w:cs="Arial" w:eastAsia="Arial" w:hAnsi="Arial"/>
                <w:sz w:val="13"/>
                <w:szCs w:val="13"/>
                <w:b w:val="1"/>
                <w:bCs w:val="1"/>
                <w:color w:val="auto"/>
              </w:rPr>
              <w:t>Peso</w:t>
            </w:r>
          </w:p>
        </w:tc>
        <w:tc>
          <w:tcPr>
            <w:tcW w:w="1080" w:type="dxa"/>
            <w:vAlign w:val="bottom"/>
            <w:gridSpan w:val="2"/>
          </w:tcPr>
          <w:p>
            <w:pPr>
              <w:jc w:val="right"/>
              <w:ind w:right="483"/>
              <w:spacing w:after="0"/>
              <w:rPr>
                <w:sz w:val="20"/>
                <w:szCs w:val="20"/>
                <w:color w:val="auto"/>
              </w:rPr>
            </w:pPr>
            <w:r>
              <w:rPr>
                <w:rFonts w:ascii="Arial" w:cs="Arial" w:eastAsia="Arial" w:hAnsi="Arial"/>
                <w:sz w:val="13"/>
                <w:szCs w:val="13"/>
                <w:b w:val="1"/>
                <w:bCs w:val="1"/>
                <w:color w:val="auto"/>
              </w:rPr>
              <w:t>Peso</w:t>
            </w:r>
          </w:p>
        </w:tc>
        <w:tc>
          <w:tcPr>
            <w:tcW w:w="1080" w:type="dxa"/>
            <w:vAlign w:val="bottom"/>
            <w:gridSpan w:val="2"/>
          </w:tcPr>
          <w:p>
            <w:pPr>
              <w:jc w:val="center"/>
              <w:ind w:right="220"/>
              <w:spacing w:after="0" w:line="193" w:lineRule="exact"/>
              <w:rPr>
                <w:sz w:val="20"/>
                <w:szCs w:val="20"/>
                <w:color w:val="auto"/>
              </w:rPr>
            </w:pPr>
            <w:r>
              <w:rPr>
                <w:rFonts w:ascii="Arial" w:cs="Arial" w:eastAsia="Arial" w:hAnsi="Arial"/>
                <w:sz w:val="13"/>
                <w:szCs w:val="13"/>
                <w:b w:val="1"/>
                <w:bCs w:val="1"/>
                <w:color w:val="auto"/>
                <w:w w:val="84"/>
              </w:rPr>
              <w:t>currencies</w:t>
            </w:r>
            <w:r>
              <w:rPr>
                <w:rFonts w:ascii="Arial" w:cs="Arial" w:eastAsia="Arial" w:hAnsi="Arial"/>
                <w:sz w:val="21"/>
                <w:szCs w:val="21"/>
                <w:b w:val="1"/>
                <w:bCs w:val="1"/>
                <w:color w:val="auto"/>
                <w:w w:val="84"/>
                <w:vertAlign w:val="superscript"/>
              </w:rPr>
              <w:t>(1)</w:t>
            </w:r>
          </w:p>
        </w:tc>
        <w:tc>
          <w:tcPr>
            <w:tcW w:w="960" w:type="dxa"/>
            <w:vAlign w:val="bottom"/>
            <w:gridSpan w:val="2"/>
          </w:tcPr>
          <w:p>
            <w:pPr>
              <w:jc w:val="right"/>
              <w:ind w:right="395"/>
              <w:spacing w:after="0"/>
              <w:rPr>
                <w:sz w:val="20"/>
                <w:szCs w:val="20"/>
                <w:color w:val="auto"/>
              </w:rPr>
            </w:pPr>
            <w:r>
              <w:rPr>
                <w:rFonts w:ascii="Arial" w:cs="Arial" w:eastAsia="Arial" w:hAnsi="Arial"/>
                <w:sz w:val="13"/>
                <w:szCs w:val="13"/>
                <w:b w:val="1"/>
                <w:bCs w:val="1"/>
                <w:color w:val="auto"/>
              </w:rPr>
              <w:t>Total</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3380" w:type="dxa"/>
            <w:vAlign w:val="bottom"/>
            <w:tcBorders>
              <w:top w:val="single" w:sz="8" w:color="CCEEFF"/>
            </w:tcBorders>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Exchange rate</w:t>
            </w:r>
          </w:p>
        </w:tc>
        <w:tc>
          <w:tcPr>
            <w:tcW w:w="8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3.87</w:t>
            </w:r>
          </w:p>
        </w:tc>
        <w:tc>
          <w:tcPr>
            <w:tcW w:w="24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1.14</w:t>
            </w: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109.98</w:t>
            </w: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3,253.00</w:t>
            </w: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19.66</w:t>
            </w: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right w:val="single" w:sz="8" w:color="CCEEFF"/>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338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3380" w:type="dxa"/>
            <w:vAlign w:val="bottom"/>
            <w:shd w:val="clear" w:color="auto" w:fill="CCEEFF"/>
          </w:tcPr>
          <w:p>
            <w:pPr>
              <w:spacing w:after="0"/>
              <w:rPr>
                <w:sz w:val="20"/>
                <w:szCs w:val="20"/>
                <w:color w:val="auto"/>
              </w:rPr>
            </w:pPr>
            <w:r>
              <w:rPr>
                <w:rFonts w:ascii="Arial" w:cs="Arial" w:eastAsia="Arial" w:hAnsi="Arial"/>
                <w:sz w:val="13"/>
                <w:szCs w:val="13"/>
                <w:b w:val="1"/>
                <w:bCs w:val="1"/>
                <w:color w:val="auto"/>
              </w:rPr>
              <w:t>Assets</w:t>
            </w:r>
          </w:p>
        </w:tc>
        <w:tc>
          <w:tcPr>
            <w:tcW w:w="8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80" w:type="dxa"/>
            <w:vAlign w:val="bottom"/>
            <w:tcBorders>
              <w:right w:val="single" w:sz="8" w:color="CCEEFF"/>
            </w:tcBorders>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380" w:type="dxa"/>
            <w:vAlign w:val="bottom"/>
          </w:tcPr>
          <w:p>
            <w:pPr>
              <w:spacing w:after="0"/>
              <w:rPr>
                <w:sz w:val="20"/>
                <w:szCs w:val="20"/>
                <w:color w:val="auto"/>
              </w:rPr>
            </w:pPr>
            <w:r>
              <w:rPr>
                <w:rFonts w:ascii="Arial" w:cs="Arial" w:eastAsia="Arial" w:hAnsi="Arial"/>
                <w:sz w:val="13"/>
                <w:szCs w:val="13"/>
                <w:color w:val="auto"/>
              </w:rPr>
              <w:t>Cash and cash equivalents</w:t>
            </w:r>
          </w:p>
        </w:tc>
        <w:tc>
          <w:tcPr>
            <w:tcW w:w="1120" w:type="dxa"/>
            <w:vAlign w:val="bottom"/>
            <w:gridSpan w:val="2"/>
          </w:tcPr>
          <w:p>
            <w:pPr>
              <w:jc w:val="right"/>
              <w:ind w:right="240"/>
              <w:spacing w:after="0"/>
              <w:rPr>
                <w:sz w:val="20"/>
                <w:szCs w:val="20"/>
                <w:color w:val="auto"/>
              </w:rPr>
            </w:pPr>
            <w:r>
              <w:rPr>
                <w:rFonts w:ascii="Arial" w:cs="Arial" w:eastAsia="Arial" w:hAnsi="Arial"/>
                <w:sz w:val="13"/>
                <w:szCs w:val="13"/>
                <w:color w:val="auto"/>
              </w:rPr>
              <w:t>291</w:t>
            </w:r>
          </w:p>
        </w:tc>
        <w:tc>
          <w:tcPr>
            <w:tcW w:w="880" w:type="dxa"/>
            <w:vAlign w:val="bottom"/>
          </w:tcPr>
          <w:p>
            <w:pPr>
              <w:jc w:val="right"/>
              <w:spacing w:after="0"/>
              <w:rPr>
                <w:sz w:val="20"/>
                <w:szCs w:val="20"/>
                <w:color w:val="auto"/>
              </w:rPr>
            </w:pPr>
            <w:r>
              <w:rPr>
                <w:rFonts w:ascii="Arial" w:cs="Arial" w:eastAsia="Arial" w:hAnsi="Arial"/>
                <w:sz w:val="13"/>
                <w:szCs w:val="13"/>
                <w:color w:val="auto"/>
              </w:rPr>
              <w:t>16</w:t>
            </w:r>
          </w:p>
        </w:tc>
        <w:tc>
          <w:tcPr>
            <w:tcW w:w="22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1</w:t>
            </w:r>
          </w:p>
        </w:tc>
        <w:tc>
          <w:tcPr>
            <w:tcW w:w="220" w:type="dxa"/>
            <w:vAlign w:val="bottom"/>
          </w:tcPr>
          <w:p>
            <w:pPr>
              <w:spacing w:after="0"/>
              <w:rPr>
                <w:sz w:val="13"/>
                <w:szCs w:val="13"/>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62</w:t>
            </w:r>
          </w:p>
        </w:tc>
        <w:tc>
          <w:tcPr>
            <w:tcW w:w="1080" w:type="dxa"/>
            <w:vAlign w:val="bottom"/>
            <w:gridSpan w:val="2"/>
          </w:tcPr>
          <w:p>
            <w:pPr>
              <w:jc w:val="right"/>
              <w:ind w:right="183"/>
              <w:spacing w:after="0"/>
              <w:rPr>
                <w:sz w:val="20"/>
                <w:szCs w:val="20"/>
                <w:color w:val="auto"/>
              </w:rPr>
            </w:pPr>
            <w:r>
              <w:rPr>
                <w:rFonts w:ascii="Arial" w:cs="Arial" w:eastAsia="Arial" w:hAnsi="Arial"/>
                <w:sz w:val="13"/>
                <w:szCs w:val="13"/>
                <w:color w:val="auto"/>
              </w:rPr>
              <w:t>505</w:t>
            </w:r>
          </w:p>
        </w:tc>
        <w:tc>
          <w:tcPr>
            <w:tcW w:w="860" w:type="dxa"/>
            <w:vAlign w:val="bottom"/>
          </w:tcPr>
          <w:p>
            <w:pPr>
              <w:jc w:val="right"/>
              <w:spacing w:after="0"/>
              <w:rPr>
                <w:sz w:val="20"/>
                <w:szCs w:val="20"/>
                <w:color w:val="auto"/>
              </w:rPr>
            </w:pPr>
            <w:r>
              <w:rPr>
                <w:rFonts w:ascii="Arial" w:cs="Arial" w:eastAsia="Arial" w:hAnsi="Arial"/>
                <w:sz w:val="13"/>
                <w:szCs w:val="13"/>
                <w:color w:val="auto"/>
              </w:rPr>
              <w:t>44</w:t>
            </w:r>
          </w:p>
        </w:tc>
        <w:tc>
          <w:tcPr>
            <w:tcW w:w="22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919</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3380" w:type="dxa"/>
            <w:vAlign w:val="bottom"/>
            <w:shd w:val="clear" w:color="auto" w:fill="CCEEFF"/>
          </w:tcPr>
          <w:p>
            <w:pPr>
              <w:spacing w:after="0"/>
              <w:rPr>
                <w:sz w:val="20"/>
                <w:szCs w:val="20"/>
                <w:color w:val="auto"/>
              </w:rPr>
            </w:pPr>
            <w:r>
              <w:rPr>
                <w:rFonts w:ascii="Arial" w:cs="Arial" w:eastAsia="Arial" w:hAnsi="Arial"/>
                <w:sz w:val="13"/>
                <w:szCs w:val="13"/>
                <w:color w:val="auto"/>
              </w:rPr>
              <w:t>Loans</w:t>
            </w:r>
          </w:p>
        </w:tc>
        <w:tc>
          <w:tcPr>
            <w:tcW w:w="11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b w:val="1"/>
                <w:bCs w:val="1"/>
                <w:color w:val="auto"/>
              </w:rPr>
              <w:t>-</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b w:val="1"/>
                <w:bCs w:val="1"/>
                <w:color w:val="auto"/>
              </w:rPr>
              <w:t>-</w:t>
            </w:r>
          </w:p>
        </w:tc>
        <w:tc>
          <w:tcPr>
            <w:tcW w:w="860" w:type="dxa"/>
            <w:vAlign w:val="bottom"/>
            <w:shd w:val="clear" w:color="auto" w:fill="CCEEFF"/>
          </w:tcPr>
          <w:p>
            <w:pPr>
              <w:jc w:val="right"/>
              <w:spacing w:after="0"/>
              <w:rPr>
                <w:sz w:val="20"/>
                <w:szCs w:val="20"/>
                <w:color w:val="auto"/>
              </w:rPr>
            </w:pPr>
            <w:r>
              <w:rPr>
                <w:rFonts w:ascii="Arial" w:cs="Arial" w:eastAsia="Arial" w:hAnsi="Arial"/>
                <w:sz w:val="13"/>
                <w:szCs w:val="13"/>
                <w:b w:val="1"/>
                <w:bCs w:val="1"/>
                <w:color w:val="auto"/>
              </w:rPr>
              <w:t>-</w:t>
            </w:r>
          </w:p>
        </w:tc>
        <w:tc>
          <w:tcPr>
            <w:tcW w:w="220" w:type="dxa"/>
            <w:vAlign w:val="bottom"/>
            <w:shd w:val="clear" w:color="auto" w:fill="CCEEFF"/>
          </w:tcPr>
          <w:p>
            <w:pPr>
              <w:spacing w:after="0"/>
              <w:rPr>
                <w:sz w:val="14"/>
                <w:szCs w:val="14"/>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b w:val="1"/>
                <w:bCs w:val="1"/>
                <w:color w:val="auto"/>
              </w:rPr>
              <w:t>-</w:t>
            </w:r>
          </w:p>
        </w:tc>
        <w:tc>
          <w:tcPr>
            <w:tcW w:w="1080" w:type="dxa"/>
            <w:vAlign w:val="bottom"/>
            <w:gridSpan w:val="2"/>
            <w:shd w:val="clear" w:color="auto" w:fill="CCEEFF"/>
          </w:tcPr>
          <w:p>
            <w:pPr>
              <w:jc w:val="right"/>
              <w:ind w:right="183"/>
              <w:spacing w:after="0"/>
              <w:rPr>
                <w:sz w:val="20"/>
                <w:szCs w:val="20"/>
                <w:color w:val="auto"/>
              </w:rPr>
            </w:pPr>
            <w:r>
              <w:rPr>
                <w:rFonts w:ascii="Arial" w:cs="Arial" w:eastAsia="Arial" w:hAnsi="Arial"/>
                <w:sz w:val="13"/>
                <w:szCs w:val="13"/>
                <w:color w:val="auto"/>
              </w:rPr>
              <w:t>173,953</w:t>
            </w:r>
          </w:p>
        </w:tc>
        <w:tc>
          <w:tcPr>
            <w:tcW w:w="860" w:type="dxa"/>
            <w:vAlign w:val="bottom"/>
            <w:shd w:val="clear" w:color="auto" w:fill="CCEEFF"/>
          </w:tcPr>
          <w:p>
            <w:pPr>
              <w:jc w:val="right"/>
              <w:spacing w:after="0"/>
              <w:rPr>
                <w:sz w:val="20"/>
                <w:szCs w:val="20"/>
                <w:color w:val="auto"/>
              </w:rPr>
            </w:pPr>
            <w:r>
              <w:rPr>
                <w:rFonts w:ascii="Arial" w:cs="Arial" w:eastAsia="Arial" w:hAnsi="Arial"/>
                <w:sz w:val="13"/>
                <w:szCs w:val="13"/>
                <w:b w:val="1"/>
                <w:bCs w:val="1"/>
                <w:color w:val="auto"/>
              </w:rPr>
              <w:t>-</w:t>
            </w:r>
          </w:p>
        </w:tc>
        <w:tc>
          <w:tcPr>
            <w:tcW w:w="220" w:type="dxa"/>
            <w:vAlign w:val="bottom"/>
            <w:shd w:val="clear" w:color="auto" w:fill="CCEEFF"/>
          </w:tcPr>
          <w:p>
            <w:pPr>
              <w:spacing w:after="0"/>
              <w:rPr>
                <w:sz w:val="14"/>
                <w:szCs w:val="14"/>
                <w:color w:val="auto"/>
              </w:rPr>
            </w:pPr>
          </w:p>
        </w:tc>
        <w:tc>
          <w:tcPr>
            <w:tcW w:w="88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173,953</w:t>
            </w:r>
          </w:p>
        </w:tc>
        <w:tc>
          <w:tcPr>
            <w:tcW w:w="8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380" w:type="dxa"/>
            <w:vAlign w:val="bottom"/>
            <w:tcBorders>
              <w:bottom w:val="single" w:sz="8" w:color="CCEEFF"/>
            </w:tcBorders>
          </w:tcPr>
          <w:p>
            <w:pPr>
              <w:spacing w:after="0" w:line="143" w:lineRule="exact"/>
              <w:rPr>
                <w:sz w:val="20"/>
                <w:szCs w:val="20"/>
                <w:color w:val="auto"/>
              </w:rPr>
            </w:pPr>
            <w:r>
              <w:rPr>
                <w:rFonts w:ascii="Arial" w:cs="Arial" w:eastAsia="Arial" w:hAnsi="Arial"/>
                <w:sz w:val="13"/>
                <w:szCs w:val="13"/>
                <w:color w:val="auto"/>
              </w:rPr>
              <w:t>Total assets</w:t>
            </w: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291</w:t>
            </w:r>
          </w:p>
        </w:tc>
        <w:tc>
          <w:tcPr>
            <w:tcW w:w="240" w:type="dxa"/>
            <w:vAlign w:val="bottom"/>
            <w:tcBorders>
              <w:bottom w:val="single" w:sz="8" w:color="CCEEFF"/>
            </w:tcBorders>
          </w:tcPr>
          <w:p>
            <w:pPr>
              <w:spacing w:after="0"/>
              <w:rPr>
                <w:sz w:val="14"/>
                <w:szCs w:val="14"/>
                <w:color w:val="auto"/>
              </w:rPr>
            </w:pP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16</w:t>
            </w:r>
          </w:p>
        </w:tc>
        <w:tc>
          <w:tcPr>
            <w:tcW w:w="220" w:type="dxa"/>
            <w:vAlign w:val="bottom"/>
            <w:tcBorders>
              <w:bottom w:val="single" w:sz="8" w:color="CCEEFF"/>
            </w:tcBorders>
          </w:tcPr>
          <w:p>
            <w:pPr>
              <w:spacing w:after="0"/>
              <w:rPr>
                <w:sz w:val="14"/>
                <w:szCs w:val="14"/>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w:t>
            </w:r>
          </w:p>
        </w:tc>
        <w:tc>
          <w:tcPr>
            <w:tcW w:w="220" w:type="dxa"/>
            <w:vAlign w:val="bottom"/>
            <w:tcBorders>
              <w:bottom w:val="single" w:sz="8" w:color="CCEEFF"/>
            </w:tcBorders>
          </w:tcPr>
          <w:p>
            <w:pPr>
              <w:spacing w:after="0"/>
              <w:rPr>
                <w:sz w:val="14"/>
                <w:szCs w:val="14"/>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62</w:t>
            </w:r>
          </w:p>
        </w:tc>
        <w:tc>
          <w:tcPr>
            <w:tcW w:w="220" w:type="dxa"/>
            <w:vAlign w:val="bottom"/>
            <w:tcBorders>
              <w:bottom w:val="single" w:sz="8" w:color="CCEEFF"/>
            </w:tcBorders>
          </w:tcPr>
          <w:p>
            <w:pPr>
              <w:spacing w:after="0"/>
              <w:rPr>
                <w:sz w:val="14"/>
                <w:szCs w:val="14"/>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174,458</w:t>
            </w:r>
          </w:p>
        </w:tc>
        <w:tc>
          <w:tcPr>
            <w:tcW w:w="220" w:type="dxa"/>
            <w:vAlign w:val="bottom"/>
            <w:tcBorders>
              <w:bottom w:val="single" w:sz="8" w:color="CCEEFF"/>
            </w:tcBorders>
          </w:tcPr>
          <w:p>
            <w:pPr>
              <w:spacing w:after="0"/>
              <w:rPr>
                <w:sz w:val="14"/>
                <w:szCs w:val="14"/>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44</w:t>
            </w:r>
          </w:p>
        </w:tc>
        <w:tc>
          <w:tcPr>
            <w:tcW w:w="220" w:type="dxa"/>
            <w:vAlign w:val="bottom"/>
            <w:tcBorders>
              <w:bottom w:val="single" w:sz="8" w:color="CCEEFF"/>
            </w:tcBorders>
          </w:tcPr>
          <w:p>
            <w:pPr>
              <w:spacing w:after="0"/>
              <w:rPr>
                <w:sz w:val="14"/>
                <w:szCs w:val="14"/>
                <w:color w:val="auto"/>
              </w:rPr>
            </w:pP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174,872</w:t>
            </w:r>
          </w:p>
        </w:tc>
        <w:tc>
          <w:tcPr>
            <w:tcW w:w="8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3380" w:type="dxa"/>
            <w:vAlign w:val="bottom"/>
            <w:shd w:val="clear" w:color="auto" w:fill="CCEEFF"/>
          </w:tcPr>
          <w:p>
            <w:pPr>
              <w:spacing w:after="0"/>
              <w:rPr>
                <w:sz w:val="13"/>
                <w:szCs w:val="13"/>
                <w:color w:val="auto"/>
              </w:rPr>
            </w:pPr>
          </w:p>
        </w:tc>
        <w:tc>
          <w:tcPr>
            <w:tcW w:w="8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80" w:type="dxa"/>
            <w:vAlign w:val="bottom"/>
            <w:tcBorders>
              <w:right w:val="single" w:sz="8" w:color="CCEEFF"/>
            </w:tcBorders>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3380" w:type="dxa"/>
            <w:vAlign w:val="bottom"/>
          </w:tcPr>
          <w:p>
            <w:pPr>
              <w:spacing w:after="0"/>
              <w:rPr>
                <w:sz w:val="20"/>
                <w:szCs w:val="20"/>
                <w:color w:val="auto"/>
              </w:rPr>
            </w:pPr>
            <w:r>
              <w:rPr>
                <w:rFonts w:ascii="Arial" w:cs="Arial" w:eastAsia="Arial" w:hAnsi="Arial"/>
                <w:sz w:val="13"/>
                <w:szCs w:val="13"/>
                <w:b w:val="1"/>
                <w:bCs w:val="1"/>
                <w:color w:val="auto"/>
              </w:rPr>
              <w:t>Liabilities</w:t>
            </w:r>
          </w:p>
        </w:tc>
        <w:tc>
          <w:tcPr>
            <w:tcW w:w="8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3380" w:type="dxa"/>
            <w:vAlign w:val="bottom"/>
            <w:shd w:val="clear" w:color="auto" w:fill="CCEEFF"/>
          </w:tcPr>
          <w:p>
            <w:pPr>
              <w:spacing w:after="0"/>
              <w:rPr>
                <w:sz w:val="20"/>
                <w:szCs w:val="20"/>
                <w:color w:val="auto"/>
              </w:rPr>
            </w:pPr>
            <w:r>
              <w:rPr>
                <w:rFonts w:ascii="Arial" w:cs="Arial" w:eastAsia="Arial" w:hAnsi="Arial"/>
                <w:sz w:val="13"/>
                <w:szCs w:val="13"/>
                <w:color w:val="auto"/>
              </w:rPr>
              <w:t>Borrowings and debt</w:t>
            </w:r>
          </w:p>
        </w:tc>
        <w:tc>
          <w:tcPr>
            <w:tcW w:w="11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b w:val="1"/>
                <w:bCs w:val="1"/>
                <w:color w:val="auto"/>
              </w:rPr>
              <w:t>-</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b w:val="1"/>
                <w:bCs w:val="1"/>
                <w:color w:val="auto"/>
              </w:rPr>
              <w:t>-</w:t>
            </w:r>
          </w:p>
        </w:tc>
        <w:tc>
          <w:tcPr>
            <w:tcW w:w="860" w:type="dxa"/>
            <w:vAlign w:val="bottom"/>
            <w:shd w:val="clear" w:color="auto" w:fill="CCEEFF"/>
          </w:tcPr>
          <w:p>
            <w:pPr>
              <w:jc w:val="right"/>
              <w:spacing w:after="0"/>
              <w:rPr>
                <w:sz w:val="20"/>
                <w:szCs w:val="20"/>
                <w:color w:val="auto"/>
              </w:rPr>
            </w:pPr>
            <w:r>
              <w:rPr>
                <w:rFonts w:ascii="Arial" w:cs="Arial" w:eastAsia="Arial" w:hAnsi="Arial"/>
                <w:sz w:val="13"/>
                <w:szCs w:val="13"/>
                <w:b w:val="1"/>
                <w:bCs w:val="1"/>
                <w:color w:val="auto"/>
              </w:rPr>
              <w:t>-</w:t>
            </w:r>
          </w:p>
        </w:tc>
        <w:tc>
          <w:tcPr>
            <w:tcW w:w="220" w:type="dxa"/>
            <w:vAlign w:val="bottom"/>
            <w:shd w:val="clear" w:color="auto" w:fill="CCEEFF"/>
          </w:tcPr>
          <w:p>
            <w:pPr>
              <w:spacing w:after="0"/>
              <w:rPr>
                <w:sz w:val="14"/>
                <w:szCs w:val="14"/>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b w:val="1"/>
                <w:bCs w:val="1"/>
                <w:color w:val="auto"/>
              </w:rPr>
              <w:t>-</w:t>
            </w:r>
          </w:p>
        </w:tc>
        <w:tc>
          <w:tcPr>
            <w:tcW w:w="1080" w:type="dxa"/>
            <w:vAlign w:val="bottom"/>
            <w:gridSpan w:val="2"/>
            <w:shd w:val="clear" w:color="auto" w:fill="CCEEFF"/>
          </w:tcPr>
          <w:p>
            <w:pPr>
              <w:jc w:val="right"/>
              <w:ind w:right="143"/>
              <w:spacing w:after="0"/>
              <w:rPr>
                <w:sz w:val="20"/>
                <w:szCs w:val="20"/>
                <w:color w:val="auto"/>
              </w:rPr>
            </w:pPr>
            <w:r>
              <w:rPr>
                <w:rFonts w:ascii="Arial" w:cs="Arial" w:eastAsia="Arial" w:hAnsi="Arial"/>
                <w:sz w:val="13"/>
                <w:szCs w:val="13"/>
                <w:color w:val="auto"/>
              </w:rPr>
              <w:t>(173,577)</w:t>
            </w:r>
          </w:p>
        </w:tc>
        <w:tc>
          <w:tcPr>
            <w:tcW w:w="860" w:type="dxa"/>
            <w:vAlign w:val="bottom"/>
            <w:shd w:val="clear" w:color="auto" w:fill="CCEEFF"/>
          </w:tcPr>
          <w:p>
            <w:pPr>
              <w:jc w:val="right"/>
              <w:spacing w:after="0"/>
              <w:rPr>
                <w:sz w:val="20"/>
                <w:szCs w:val="20"/>
                <w:color w:val="auto"/>
              </w:rPr>
            </w:pPr>
            <w:r>
              <w:rPr>
                <w:rFonts w:ascii="Arial" w:cs="Arial" w:eastAsia="Arial" w:hAnsi="Arial"/>
                <w:sz w:val="13"/>
                <w:szCs w:val="13"/>
                <w:b w:val="1"/>
                <w:bCs w:val="1"/>
                <w:color w:val="auto"/>
              </w:rPr>
              <w:t>-</w:t>
            </w:r>
          </w:p>
        </w:tc>
        <w:tc>
          <w:tcPr>
            <w:tcW w:w="220" w:type="dxa"/>
            <w:vAlign w:val="bottom"/>
            <w:shd w:val="clear" w:color="auto" w:fill="CCEEFF"/>
          </w:tcPr>
          <w:p>
            <w:pPr>
              <w:spacing w:after="0"/>
              <w:rPr>
                <w:sz w:val="14"/>
                <w:szCs w:val="14"/>
                <w:color w:val="auto"/>
              </w:rPr>
            </w:pPr>
          </w:p>
        </w:tc>
        <w:tc>
          <w:tcPr>
            <w:tcW w:w="960" w:type="dxa"/>
            <w:vAlign w:val="bottom"/>
            <w:gridSpan w:val="2"/>
            <w:shd w:val="clear" w:color="auto" w:fill="CCEEFF"/>
          </w:tcPr>
          <w:p>
            <w:pPr>
              <w:jc w:val="right"/>
              <w:ind w:right="55"/>
              <w:spacing w:after="0"/>
              <w:rPr>
                <w:sz w:val="20"/>
                <w:szCs w:val="20"/>
                <w:color w:val="auto"/>
              </w:rPr>
            </w:pPr>
            <w:r>
              <w:rPr>
                <w:rFonts w:ascii="Arial" w:cs="Arial" w:eastAsia="Arial" w:hAnsi="Arial"/>
                <w:sz w:val="13"/>
                <w:szCs w:val="13"/>
                <w:color w:val="auto"/>
              </w:rPr>
              <w:t>(173,577)</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380" w:type="dxa"/>
            <w:vAlign w:val="bottom"/>
            <w:tcBorders>
              <w:bottom w:val="single" w:sz="8" w:color="CCEEFF"/>
            </w:tcBorders>
          </w:tcPr>
          <w:p>
            <w:pPr>
              <w:spacing w:after="0" w:line="143" w:lineRule="exact"/>
              <w:rPr>
                <w:sz w:val="20"/>
                <w:szCs w:val="20"/>
                <w:color w:val="auto"/>
              </w:rPr>
            </w:pPr>
            <w:r>
              <w:rPr>
                <w:rFonts w:ascii="Arial" w:cs="Arial" w:eastAsia="Arial" w:hAnsi="Arial"/>
                <w:sz w:val="13"/>
                <w:szCs w:val="13"/>
                <w:color w:val="auto"/>
              </w:rPr>
              <w:t>Total liabilities</w:t>
            </w: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w:t>
            </w:r>
          </w:p>
        </w:tc>
        <w:tc>
          <w:tcPr>
            <w:tcW w:w="240" w:type="dxa"/>
            <w:vAlign w:val="bottom"/>
            <w:tcBorders>
              <w:bottom w:val="single" w:sz="8" w:color="CCEEFF"/>
            </w:tcBorders>
          </w:tcPr>
          <w:p>
            <w:pPr>
              <w:spacing w:after="0"/>
              <w:rPr>
                <w:sz w:val="14"/>
                <w:szCs w:val="14"/>
                <w:color w:val="auto"/>
              </w:rPr>
            </w:pP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w:t>
            </w:r>
          </w:p>
        </w:tc>
        <w:tc>
          <w:tcPr>
            <w:tcW w:w="220" w:type="dxa"/>
            <w:vAlign w:val="bottom"/>
            <w:tcBorders>
              <w:bottom w:val="single" w:sz="8" w:color="CCEEFF"/>
            </w:tcBorders>
          </w:tcPr>
          <w:p>
            <w:pPr>
              <w:spacing w:after="0"/>
              <w:rPr>
                <w:sz w:val="14"/>
                <w:szCs w:val="14"/>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w:t>
            </w:r>
          </w:p>
        </w:tc>
        <w:tc>
          <w:tcPr>
            <w:tcW w:w="220" w:type="dxa"/>
            <w:vAlign w:val="bottom"/>
            <w:tcBorders>
              <w:bottom w:val="single" w:sz="8" w:color="CCEEFF"/>
            </w:tcBorders>
          </w:tcPr>
          <w:p>
            <w:pPr>
              <w:spacing w:after="0"/>
              <w:rPr>
                <w:sz w:val="14"/>
                <w:szCs w:val="14"/>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w:t>
            </w:r>
          </w:p>
        </w:tc>
        <w:tc>
          <w:tcPr>
            <w:tcW w:w="220" w:type="dxa"/>
            <w:vAlign w:val="bottom"/>
            <w:tcBorders>
              <w:bottom w:val="single" w:sz="8" w:color="CCEEFF"/>
            </w:tcBorders>
          </w:tcPr>
          <w:p>
            <w:pPr>
              <w:spacing w:after="0"/>
              <w:rPr>
                <w:sz w:val="14"/>
                <w:szCs w:val="14"/>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(173,577</w:t>
            </w:r>
          </w:p>
        </w:tc>
        <w:tc>
          <w:tcPr>
            <w:tcW w:w="220" w:type="dxa"/>
            <w:vAlign w:val="bottom"/>
            <w:tcBorders>
              <w:bottom w:val="single" w:sz="8" w:color="CCEEFF"/>
            </w:tcBorders>
          </w:tcPr>
          <w:p>
            <w:pPr>
              <w:jc w:val="right"/>
              <w:ind w:right="143"/>
              <w:spacing w:after="0"/>
              <w:rPr>
                <w:sz w:val="20"/>
                <w:szCs w:val="20"/>
                <w:color w:val="auto"/>
              </w:rPr>
            </w:pPr>
            <w:r>
              <w:rPr>
                <w:rFonts w:ascii="Arial" w:cs="Arial" w:eastAsia="Arial" w:hAnsi="Arial"/>
                <w:sz w:val="7"/>
                <w:szCs w:val="7"/>
                <w:b w:val="1"/>
                <w:bCs w:val="1"/>
                <w:color w:val="auto"/>
                <w:w w:val="83"/>
              </w:rPr>
              <w:t>)</w:t>
            </w: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w:t>
            </w:r>
          </w:p>
        </w:tc>
        <w:tc>
          <w:tcPr>
            <w:tcW w:w="220" w:type="dxa"/>
            <w:vAlign w:val="bottom"/>
            <w:tcBorders>
              <w:bottom w:val="single" w:sz="8" w:color="CCEEFF"/>
            </w:tcBorders>
          </w:tcPr>
          <w:p>
            <w:pPr>
              <w:spacing w:after="0"/>
              <w:rPr>
                <w:sz w:val="14"/>
                <w:szCs w:val="14"/>
                <w:color w:val="auto"/>
              </w:rPr>
            </w:pP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(173,577</w:t>
            </w:r>
          </w:p>
        </w:tc>
        <w:tc>
          <w:tcPr>
            <w:tcW w:w="80" w:type="dxa"/>
            <w:vAlign w:val="bottom"/>
            <w:tcBorders>
              <w:bottom w:val="single" w:sz="8" w:color="CCEEFF"/>
            </w:tcBorders>
          </w:tcPr>
          <w:p>
            <w:pPr>
              <w:jc w:val="right"/>
              <w:ind w:right="55"/>
              <w:spacing w:after="0"/>
              <w:rPr>
                <w:sz w:val="20"/>
                <w:szCs w:val="20"/>
                <w:color w:val="auto"/>
              </w:rPr>
            </w:pPr>
            <w:r>
              <w:rPr>
                <w:rFonts w:ascii="Arial" w:cs="Arial" w:eastAsia="Arial" w:hAnsi="Arial"/>
                <w:sz w:val="1"/>
                <w:szCs w:val="1"/>
                <w:b w:val="1"/>
                <w:bCs w:val="1"/>
                <w:color w:val="auto"/>
                <w:w w:val="4294967281"/>
              </w:rPr>
              <w:t>)</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3380" w:type="dxa"/>
            <w:vAlign w:val="bottom"/>
            <w:shd w:val="clear" w:color="auto" w:fill="CCEEFF"/>
          </w:tcPr>
          <w:p>
            <w:pPr>
              <w:spacing w:after="0"/>
              <w:rPr>
                <w:sz w:val="13"/>
                <w:szCs w:val="13"/>
                <w:color w:val="auto"/>
              </w:rPr>
            </w:pPr>
          </w:p>
        </w:tc>
        <w:tc>
          <w:tcPr>
            <w:tcW w:w="8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80" w:type="dxa"/>
            <w:vAlign w:val="bottom"/>
            <w:tcBorders>
              <w:right w:val="single" w:sz="8" w:color="CCEEFF"/>
            </w:tcBorders>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73"/>
        </w:trPr>
        <w:tc>
          <w:tcPr>
            <w:tcW w:w="20" w:type="dxa"/>
            <w:vAlign w:val="bottom"/>
            <w:vMerge w:val="continue"/>
          </w:tcPr>
          <w:p>
            <w:pPr>
              <w:spacing w:after="0"/>
              <w:rPr>
                <w:sz w:val="15"/>
                <w:szCs w:val="15"/>
                <w:color w:val="auto"/>
              </w:rPr>
            </w:pPr>
          </w:p>
        </w:tc>
        <w:tc>
          <w:tcPr>
            <w:tcW w:w="3380" w:type="dxa"/>
            <w:vAlign w:val="bottom"/>
          </w:tcPr>
          <w:p>
            <w:pPr>
              <w:spacing w:after="0"/>
              <w:rPr>
                <w:sz w:val="20"/>
                <w:szCs w:val="20"/>
                <w:color w:val="auto"/>
              </w:rPr>
            </w:pPr>
            <w:r>
              <w:rPr>
                <w:rFonts w:ascii="Arial" w:cs="Arial" w:eastAsia="Arial" w:hAnsi="Arial"/>
                <w:sz w:val="13"/>
                <w:szCs w:val="13"/>
                <w:b w:val="1"/>
                <w:bCs w:val="1"/>
                <w:color w:val="auto"/>
              </w:rPr>
              <w:t>Net currency position</w:t>
            </w:r>
          </w:p>
        </w:tc>
        <w:tc>
          <w:tcPr>
            <w:tcW w:w="1120" w:type="dxa"/>
            <w:vAlign w:val="bottom"/>
            <w:gridSpan w:val="2"/>
          </w:tcPr>
          <w:p>
            <w:pPr>
              <w:jc w:val="right"/>
              <w:ind w:right="240"/>
              <w:spacing w:after="0"/>
              <w:rPr>
                <w:sz w:val="20"/>
                <w:szCs w:val="20"/>
                <w:color w:val="auto"/>
              </w:rPr>
            </w:pPr>
            <w:r>
              <w:rPr>
                <w:rFonts w:ascii="Arial" w:cs="Arial" w:eastAsia="Arial" w:hAnsi="Arial"/>
                <w:sz w:val="13"/>
                <w:szCs w:val="13"/>
                <w:b w:val="1"/>
                <w:bCs w:val="1"/>
                <w:color w:val="auto"/>
              </w:rPr>
              <w:t>291</w:t>
            </w:r>
          </w:p>
        </w:tc>
        <w:tc>
          <w:tcPr>
            <w:tcW w:w="880" w:type="dxa"/>
            <w:vAlign w:val="bottom"/>
          </w:tcPr>
          <w:p>
            <w:pPr>
              <w:jc w:val="right"/>
              <w:spacing w:after="0"/>
              <w:rPr>
                <w:sz w:val="20"/>
                <w:szCs w:val="20"/>
                <w:color w:val="auto"/>
              </w:rPr>
            </w:pPr>
            <w:r>
              <w:rPr>
                <w:rFonts w:ascii="Arial" w:cs="Arial" w:eastAsia="Arial" w:hAnsi="Arial"/>
                <w:sz w:val="13"/>
                <w:szCs w:val="13"/>
                <w:b w:val="1"/>
                <w:bCs w:val="1"/>
                <w:color w:val="auto"/>
              </w:rPr>
              <w:t>16</w:t>
            </w:r>
          </w:p>
        </w:tc>
        <w:tc>
          <w:tcPr>
            <w:tcW w:w="220" w:type="dxa"/>
            <w:vAlign w:val="bottom"/>
          </w:tcPr>
          <w:p>
            <w:pPr>
              <w:spacing w:after="0"/>
              <w:rPr>
                <w:sz w:val="15"/>
                <w:szCs w:val="15"/>
                <w:color w:val="auto"/>
              </w:rPr>
            </w:pPr>
          </w:p>
        </w:tc>
        <w:tc>
          <w:tcPr>
            <w:tcW w:w="860" w:type="dxa"/>
            <w:vAlign w:val="bottom"/>
          </w:tcPr>
          <w:p>
            <w:pPr>
              <w:jc w:val="right"/>
              <w:spacing w:after="0"/>
              <w:rPr>
                <w:sz w:val="20"/>
                <w:szCs w:val="20"/>
                <w:color w:val="auto"/>
              </w:rPr>
            </w:pPr>
            <w:r>
              <w:rPr>
                <w:rFonts w:ascii="Arial" w:cs="Arial" w:eastAsia="Arial" w:hAnsi="Arial"/>
                <w:sz w:val="13"/>
                <w:szCs w:val="13"/>
                <w:b w:val="1"/>
                <w:bCs w:val="1"/>
                <w:color w:val="auto"/>
              </w:rPr>
              <w:t>1</w:t>
            </w:r>
          </w:p>
        </w:tc>
        <w:tc>
          <w:tcPr>
            <w:tcW w:w="220" w:type="dxa"/>
            <w:vAlign w:val="bottom"/>
          </w:tcPr>
          <w:p>
            <w:pPr>
              <w:spacing w:after="0"/>
              <w:rPr>
                <w:sz w:val="15"/>
                <w:szCs w:val="15"/>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3"/>
                <w:szCs w:val="13"/>
                <w:b w:val="1"/>
                <w:bCs w:val="1"/>
                <w:color w:val="auto"/>
              </w:rPr>
              <w:t>62</w:t>
            </w:r>
          </w:p>
        </w:tc>
        <w:tc>
          <w:tcPr>
            <w:tcW w:w="1080" w:type="dxa"/>
            <w:vAlign w:val="bottom"/>
            <w:gridSpan w:val="2"/>
          </w:tcPr>
          <w:p>
            <w:pPr>
              <w:jc w:val="right"/>
              <w:ind w:right="183"/>
              <w:spacing w:after="0"/>
              <w:rPr>
                <w:sz w:val="20"/>
                <w:szCs w:val="20"/>
                <w:color w:val="auto"/>
              </w:rPr>
            </w:pPr>
            <w:r>
              <w:rPr>
                <w:rFonts w:ascii="Arial" w:cs="Arial" w:eastAsia="Arial" w:hAnsi="Arial"/>
                <w:sz w:val="13"/>
                <w:szCs w:val="13"/>
                <w:b w:val="1"/>
                <w:bCs w:val="1"/>
                <w:color w:val="auto"/>
              </w:rPr>
              <w:t>881</w:t>
            </w:r>
          </w:p>
        </w:tc>
        <w:tc>
          <w:tcPr>
            <w:tcW w:w="860" w:type="dxa"/>
            <w:vAlign w:val="bottom"/>
          </w:tcPr>
          <w:p>
            <w:pPr>
              <w:jc w:val="right"/>
              <w:spacing w:after="0"/>
              <w:rPr>
                <w:sz w:val="20"/>
                <w:szCs w:val="20"/>
                <w:color w:val="auto"/>
              </w:rPr>
            </w:pPr>
            <w:r>
              <w:rPr>
                <w:rFonts w:ascii="Arial" w:cs="Arial" w:eastAsia="Arial" w:hAnsi="Arial"/>
                <w:sz w:val="13"/>
                <w:szCs w:val="13"/>
                <w:b w:val="1"/>
                <w:bCs w:val="1"/>
                <w:color w:val="auto"/>
              </w:rPr>
              <w:t>44</w:t>
            </w:r>
          </w:p>
        </w:tc>
        <w:tc>
          <w:tcPr>
            <w:tcW w:w="220" w:type="dxa"/>
            <w:vAlign w:val="bottom"/>
          </w:tcPr>
          <w:p>
            <w:pPr>
              <w:spacing w:after="0"/>
              <w:rPr>
                <w:sz w:val="15"/>
                <w:szCs w:val="15"/>
                <w:color w:val="auto"/>
              </w:rPr>
            </w:pPr>
          </w:p>
        </w:tc>
        <w:tc>
          <w:tcPr>
            <w:tcW w:w="880" w:type="dxa"/>
            <w:vAlign w:val="bottom"/>
          </w:tcPr>
          <w:p>
            <w:pPr>
              <w:jc w:val="right"/>
              <w:spacing w:after="0"/>
              <w:rPr>
                <w:sz w:val="20"/>
                <w:szCs w:val="20"/>
                <w:color w:val="auto"/>
              </w:rPr>
            </w:pPr>
            <w:r>
              <w:rPr>
                <w:rFonts w:ascii="Arial" w:cs="Arial" w:eastAsia="Arial" w:hAnsi="Arial"/>
                <w:sz w:val="13"/>
                <w:szCs w:val="13"/>
                <w:b w:val="1"/>
                <w:bCs w:val="1"/>
                <w:color w:val="auto"/>
              </w:rPr>
              <w:t>1,295</w:t>
            </w: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9"/>
        </w:trPr>
        <w:tc>
          <w:tcPr>
            <w:tcW w:w="20" w:type="dxa"/>
            <w:vAlign w:val="bottom"/>
          </w:tcPr>
          <w:p>
            <w:pPr>
              <w:spacing w:after="0"/>
              <w:rPr>
                <w:sz w:val="2"/>
                <w:szCs w:val="2"/>
                <w:color w:val="auto"/>
              </w:rPr>
            </w:pPr>
          </w:p>
        </w:tc>
        <w:tc>
          <w:tcPr>
            <w:tcW w:w="3380" w:type="dxa"/>
            <w:vAlign w:val="bottom"/>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240" w:type="dxa"/>
            <w:vAlign w:val="bottom"/>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86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86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86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86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880" w:type="dxa"/>
            <w:vAlign w:val="bottom"/>
            <w:tcBorders>
              <w:right w:val="single" w:sz="8" w:color="auto"/>
            </w:tcBorders>
            <w:shd w:val="clear" w:color="auto" w:fill="000000"/>
          </w:tcPr>
          <w:p>
            <w:pPr>
              <w:spacing w:after="0"/>
              <w:rPr>
                <w:sz w:val="2"/>
                <w:szCs w:val="2"/>
                <w:color w:val="auto"/>
              </w:rPr>
            </w:pPr>
          </w:p>
        </w:tc>
        <w:tc>
          <w:tcPr>
            <w:tcW w:w="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145" w:lineRule="exact"/>
        <w:rPr>
          <w:sz w:val="20"/>
          <w:szCs w:val="20"/>
          <w:color w:val="auto"/>
        </w:rPr>
      </w:pPr>
    </w:p>
    <w:p>
      <w:pPr>
        <w:ind w:left="5583" w:right="4140" w:hanging="5121"/>
        <w:spacing w:after="0" w:line="685" w:lineRule="auto"/>
        <w:tabs>
          <w:tab w:leader="none" w:pos="630" w:val="left"/>
        </w:tabs>
        <w:numPr>
          <w:ilvl w:val="0"/>
          <w:numId w:val="200"/>
        </w:numPr>
        <w:rPr>
          <w:rFonts w:ascii="Arial" w:cs="Arial" w:eastAsia="Arial" w:hAnsi="Arial"/>
          <w:sz w:val="20"/>
          <w:szCs w:val="20"/>
          <w:b w:val="1"/>
          <w:bCs w:val="1"/>
          <w:color w:val="auto"/>
          <w:vertAlign w:val="superscript"/>
        </w:rPr>
      </w:pPr>
      <w:r>
        <w:rPr>
          <w:rFonts w:ascii="Arial" w:cs="Arial" w:eastAsia="Arial" w:hAnsi="Arial"/>
          <w:sz w:val="12"/>
          <w:szCs w:val="12"/>
          <w:color w:val="auto"/>
        </w:rPr>
        <w:t>It includes other currencies such as: Argentine pesos, Australian dollar, Swiss franc, Sterling pound, Peruvian soles and Renminbi. F-106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-263525</wp:posOffset>
            </wp:positionV>
            <wp:extent cx="7285990" cy="6350"/>
            <wp:wrapNone/>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39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231" w:name="page232"/>
    <w:bookmarkEnd w:id="231"/>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39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tbl>
      <w:tblPr>
        <w:tblLayout w:type="fixed"/>
        <w:tblInd w:w="0" w:type="dxa"/>
        <w:tblCellMar>
          <w:top w:w="0" w:type="dxa"/>
          <w:left w:w="0" w:type="dxa"/>
          <w:bottom w:w="0" w:type="dxa"/>
          <w:right w:w="0" w:type="dxa"/>
        </w:tblCellMar>
      </w:tblPr>
      <w:tr>
        <w:trPr>
          <w:trHeight w:val="166"/>
        </w:trPr>
        <w:tc>
          <w:tcPr>
            <w:tcW w:w="3620" w:type="dxa"/>
            <w:vAlign w:val="bottom"/>
            <w:gridSpan w:val="3"/>
          </w:tcPr>
          <w:p>
            <w:pPr>
              <w:spacing w:after="0"/>
              <w:rPr>
                <w:sz w:val="20"/>
                <w:szCs w:val="20"/>
                <w:color w:val="auto"/>
              </w:rPr>
            </w:pPr>
            <w:r>
              <w:rPr>
                <w:rFonts w:ascii="Arial" w:cs="Arial" w:eastAsia="Arial" w:hAnsi="Arial"/>
                <w:sz w:val="13"/>
                <w:szCs w:val="13"/>
                <w:b w:val="1"/>
                <w:bCs w:val="1"/>
                <w:color w:val="auto"/>
              </w:rPr>
              <w:t>32. Risk management (continued)</w:t>
            </w:r>
          </w:p>
        </w:tc>
        <w:tc>
          <w:tcPr>
            <w:tcW w:w="8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8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08"/>
        </w:trPr>
        <w:tc>
          <w:tcPr>
            <w:tcW w:w="3620" w:type="dxa"/>
            <w:vAlign w:val="bottom"/>
            <w:gridSpan w:val="3"/>
          </w:tcPr>
          <w:p>
            <w:pPr>
              <w:ind w:left="220"/>
              <w:spacing w:after="0"/>
              <w:rPr>
                <w:sz w:val="20"/>
                <w:szCs w:val="20"/>
                <w:color w:val="auto"/>
              </w:rPr>
            </w:pPr>
            <w:r>
              <w:rPr>
                <w:rFonts w:ascii="Arial" w:cs="Arial" w:eastAsia="Arial" w:hAnsi="Arial"/>
                <w:sz w:val="13"/>
                <w:szCs w:val="13"/>
                <w:b w:val="1"/>
                <w:bCs w:val="1"/>
                <w:color w:val="auto"/>
              </w:rPr>
              <w:t>Market risk (continued)</w:t>
            </w:r>
          </w:p>
        </w:tc>
        <w:tc>
          <w:tcPr>
            <w:tcW w:w="8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80"/>
        </w:trPr>
        <w:tc>
          <w:tcPr>
            <w:tcW w:w="3620" w:type="dxa"/>
            <w:vAlign w:val="bottom"/>
            <w:gridSpan w:val="3"/>
          </w:tcPr>
          <w:p>
            <w:pPr>
              <w:ind w:left="220"/>
              <w:spacing w:after="0"/>
              <w:rPr>
                <w:sz w:val="20"/>
                <w:szCs w:val="20"/>
                <w:color w:val="auto"/>
              </w:rPr>
            </w:pPr>
            <w:r>
              <w:rPr>
                <w:rFonts w:ascii="Arial" w:cs="Arial" w:eastAsia="Arial" w:hAnsi="Arial"/>
                <w:sz w:val="13"/>
                <w:szCs w:val="13"/>
                <w:color w:val="auto"/>
              </w:rPr>
              <w:t>Currency risk (continued)</w:t>
            </w:r>
          </w:p>
        </w:tc>
        <w:tc>
          <w:tcPr>
            <w:tcW w:w="8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14"/>
        </w:trPr>
        <w:tc>
          <w:tcPr>
            <w:tcW w:w="220" w:type="dxa"/>
            <w:vAlign w:val="bottom"/>
          </w:tcPr>
          <w:p>
            <w:pPr>
              <w:spacing w:after="0"/>
              <w:rPr>
                <w:sz w:val="24"/>
                <w:szCs w:val="24"/>
                <w:color w:val="auto"/>
              </w:rPr>
            </w:pPr>
          </w:p>
        </w:tc>
        <w:tc>
          <w:tcPr>
            <w:tcW w:w="700" w:type="dxa"/>
            <w:vAlign w:val="bottom"/>
            <w:tcBorders>
              <w:top w:val="single" w:sz="8" w:color="auto"/>
            </w:tcBorders>
          </w:tcPr>
          <w:p>
            <w:pPr>
              <w:spacing w:after="0"/>
              <w:rPr>
                <w:sz w:val="24"/>
                <w:szCs w:val="24"/>
                <w:color w:val="auto"/>
              </w:rPr>
            </w:pPr>
          </w:p>
        </w:tc>
        <w:tc>
          <w:tcPr>
            <w:tcW w:w="270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1300" w:type="dxa"/>
            <w:vAlign w:val="bottom"/>
            <w:gridSpan w:val="3"/>
          </w:tcPr>
          <w:p>
            <w:pPr>
              <w:jc w:val="right"/>
              <w:ind w:right="160"/>
              <w:spacing w:after="0"/>
              <w:rPr>
                <w:sz w:val="20"/>
                <w:szCs w:val="20"/>
                <w:color w:val="auto"/>
              </w:rPr>
            </w:pPr>
            <w:r>
              <w:rPr>
                <w:rFonts w:ascii="Arial" w:cs="Arial" w:eastAsia="Arial" w:hAnsi="Arial"/>
                <w:sz w:val="13"/>
                <w:szCs w:val="13"/>
                <w:b w:val="1"/>
                <w:bCs w:val="1"/>
                <w:color w:val="auto"/>
                <w:w w:val="95"/>
              </w:rPr>
              <w:t>December 31, 2017</w:t>
            </w:r>
          </w:p>
        </w:tc>
        <w:tc>
          <w:tcPr>
            <w:tcW w:w="8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67"/>
        </w:trPr>
        <w:tc>
          <w:tcPr>
            <w:tcW w:w="220" w:type="dxa"/>
            <w:vAlign w:val="bottom"/>
          </w:tcPr>
          <w:p>
            <w:pPr>
              <w:spacing w:after="0"/>
              <w:rPr>
                <w:sz w:val="14"/>
                <w:szCs w:val="14"/>
                <w:color w:val="auto"/>
              </w:rPr>
            </w:pPr>
          </w:p>
        </w:tc>
        <w:tc>
          <w:tcPr>
            <w:tcW w:w="700" w:type="dxa"/>
            <w:vAlign w:val="bottom"/>
          </w:tcPr>
          <w:p>
            <w:pPr>
              <w:spacing w:after="0"/>
              <w:rPr>
                <w:sz w:val="14"/>
                <w:szCs w:val="14"/>
                <w:color w:val="auto"/>
              </w:rPr>
            </w:pPr>
          </w:p>
        </w:tc>
        <w:tc>
          <w:tcPr>
            <w:tcW w:w="2700" w:type="dxa"/>
            <w:vAlign w:val="bottom"/>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2160" w:type="dxa"/>
            <w:vAlign w:val="bottom"/>
            <w:tcBorders>
              <w:bottom w:val="single" w:sz="8" w:color="auto"/>
            </w:tcBorders>
            <w:gridSpan w:val="4"/>
          </w:tcPr>
          <w:p>
            <w:pPr>
              <w:jc w:val="right"/>
              <w:spacing w:after="0"/>
              <w:rPr>
                <w:sz w:val="20"/>
                <w:szCs w:val="20"/>
                <w:color w:val="auto"/>
              </w:rPr>
            </w:pPr>
            <w:r>
              <w:rPr>
                <w:rFonts w:ascii="Arial" w:cs="Arial" w:eastAsia="Arial" w:hAnsi="Arial"/>
                <w:sz w:val="13"/>
                <w:szCs w:val="13"/>
                <w:b w:val="1"/>
                <w:bCs w:val="1"/>
                <w:color w:val="auto"/>
              </w:rPr>
              <w:t>(In US dollar thousands)</w:t>
            </w:r>
          </w:p>
        </w:tc>
        <w:tc>
          <w:tcPr>
            <w:tcW w:w="8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4"/>
        </w:trPr>
        <w:tc>
          <w:tcPr>
            <w:tcW w:w="22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700" w:type="dxa"/>
            <w:vAlign w:val="bottom"/>
          </w:tcPr>
          <w:p>
            <w:pPr>
              <w:spacing w:after="0"/>
              <w:rPr>
                <w:sz w:val="11"/>
                <w:szCs w:val="11"/>
                <w:color w:val="auto"/>
              </w:rPr>
            </w:pPr>
          </w:p>
        </w:tc>
        <w:tc>
          <w:tcPr>
            <w:tcW w:w="1120" w:type="dxa"/>
            <w:vAlign w:val="bottom"/>
            <w:gridSpan w:val="2"/>
          </w:tcPr>
          <w:p>
            <w:pPr>
              <w:jc w:val="right"/>
              <w:ind w:right="420"/>
              <w:spacing w:after="0" w:line="134" w:lineRule="exact"/>
              <w:rPr>
                <w:sz w:val="20"/>
                <w:szCs w:val="20"/>
                <w:color w:val="auto"/>
              </w:rPr>
            </w:pPr>
            <w:r>
              <w:rPr>
                <w:rFonts w:ascii="Arial" w:cs="Arial" w:eastAsia="Arial" w:hAnsi="Arial"/>
                <w:sz w:val="13"/>
                <w:szCs w:val="13"/>
                <w:b w:val="1"/>
                <w:bCs w:val="1"/>
                <w:color w:val="auto"/>
              </w:rPr>
              <w:t>Brazilian</w:t>
            </w:r>
          </w:p>
        </w:tc>
        <w:tc>
          <w:tcPr>
            <w:tcW w:w="1100" w:type="dxa"/>
            <w:vAlign w:val="bottom"/>
            <w:gridSpan w:val="2"/>
          </w:tcPr>
          <w:p>
            <w:pPr>
              <w:jc w:val="center"/>
              <w:ind w:right="240"/>
              <w:spacing w:after="0" w:line="134" w:lineRule="exact"/>
              <w:rPr>
                <w:sz w:val="20"/>
                <w:szCs w:val="20"/>
                <w:color w:val="auto"/>
              </w:rPr>
            </w:pPr>
            <w:r>
              <w:rPr>
                <w:rFonts w:ascii="Arial" w:cs="Arial" w:eastAsia="Arial" w:hAnsi="Arial"/>
                <w:sz w:val="13"/>
                <w:szCs w:val="13"/>
                <w:b w:val="1"/>
                <w:bCs w:val="1"/>
                <w:color w:val="auto"/>
                <w:w w:val="89"/>
              </w:rPr>
              <w:t>European</w:t>
            </w:r>
          </w:p>
        </w:tc>
        <w:tc>
          <w:tcPr>
            <w:tcW w:w="860" w:type="dxa"/>
            <w:vAlign w:val="bottom"/>
          </w:tcPr>
          <w:p>
            <w:pPr>
              <w:jc w:val="right"/>
              <w:ind w:right="116"/>
              <w:spacing w:after="0" w:line="134" w:lineRule="exact"/>
              <w:rPr>
                <w:sz w:val="20"/>
                <w:szCs w:val="20"/>
                <w:color w:val="auto"/>
              </w:rPr>
            </w:pPr>
            <w:r>
              <w:rPr>
                <w:rFonts w:ascii="Arial" w:cs="Arial" w:eastAsia="Arial" w:hAnsi="Arial"/>
                <w:sz w:val="13"/>
                <w:szCs w:val="13"/>
                <w:b w:val="1"/>
                <w:bCs w:val="1"/>
                <w:color w:val="auto"/>
              </w:rPr>
              <w:t>Japanese</w:t>
            </w:r>
          </w:p>
        </w:tc>
        <w:tc>
          <w:tcPr>
            <w:tcW w:w="220" w:type="dxa"/>
            <w:vAlign w:val="bottom"/>
          </w:tcPr>
          <w:p>
            <w:pPr>
              <w:spacing w:after="0"/>
              <w:rPr>
                <w:sz w:val="11"/>
                <w:szCs w:val="11"/>
                <w:color w:val="auto"/>
              </w:rPr>
            </w:pPr>
          </w:p>
        </w:tc>
        <w:tc>
          <w:tcPr>
            <w:tcW w:w="1080" w:type="dxa"/>
            <w:vAlign w:val="bottom"/>
            <w:gridSpan w:val="2"/>
          </w:tcPr>
          <w:p>
            <w:pPr>
              <w:jc w:val="right"/>
              <w:ind w:right="360"/>
              <w:spacing w:after="0" w:line="134" w:lineRule="exact"/>
              <w:rPr>
                <w:sz w:val="20"/>
                <w:szCs w:val="20"/>
                <w:color w:val="auto"/>
              </w:rPr>
            </w:pPr>
            <w:r>
              <w:rPr>
                <w:rFonts w:ascii="Arial" w:cs="Arial" w:eastAsia="Arial" w:hAnsi="Arial"/>
                <w:sz w:val="13"/>
                <w:szCs w:val="13"/>
                <w:b w:val="1"/>
                <w:bCs w:val="1"/>
                <w:color w:val="auto"/>
              </w:rPr>
              <w:t>Colombian</w:t>
            </w:r>
          </w:p>
        </w:tc>
        <w:tc>
          <w:tcPr>
            <w:tcW w:w="1080" w:type="dxa"/>
            <w:vAlign w:val="bottom"/>
            <w:gridSpan w:val="2"/>
          </w:tcPr>
          <w:p>
            <w:pPr>
              <w:jc w:val="right"/>
              <w:ind w:right="383"/>
              <w:spacing w:after="0" w:line="134" w:lineRule="exact"/>
              <w:rPr>
                <w:sz w:val="20"/>
                <w:szCs w:val="20"/>
                <w:color w:val="auto"/>
              </w:rPr>
            </w:pPr>
            <w:r>
              <w:rPr>
                <w:rFonts w:ascii="Arial" w:cs="Arial" w:eastAsia="Arial" w:hAnsi="Arial"/>
                <w:sz w:val="13"/>
                <w:szCs w:val="13"/>
                <w:b w:val="1"/>
                <w:bCs w:val="1"/>
                <w:color w:val="auto"/>
              </w:rPr>
              <w:t>Mexican</w:t>
            </w:r>
          </w:p>
        </w:tc>
        <w:tc>
          <w:tcPr>
            <w:tcW w:w="1080" w:type="dxa"/>
            <w:vAlign w:val="bottom"/>
            <w:gridSpan w:val="2"/>
          </w:tcPr>
          <w:p>
            <w:pPr>
              <w:jc w:val="center"/>
              <w:ind w:right="220"/>
              <w:spacing w:after="0" w:line="134" w:lineRule="exact"/>
              <w:rPr>
                <w:sz w:val="20"/>
                <w:szCs w:val="20"/>
                <w:color w:val="auto"/>
              </w:rPr>
            </w:pPr>
            <w:r>
              <w:rPr>
                <w:rFonts w:ascii="Arial" w:cs="Arial" w:eastAsia="Arial" w:hAnsi="Arial"/>
                <w:sz w:val="13"/>
                <w:szCs w:val="13"/>
                <w:b w:val="1"/>
                <w:bCs w:val="1"/>
                <w:color w:val="auto"/>
                <w:w w:val="97"/>
              </w:rPr>
              <w:t>Other</w:t>
            </w:r>
          </w:p>
        </w:tc>
        <w:tc>
          <w:tcPr>
            <w:tcW w:w="8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93"/>
        </w:trPr>
        <w:tc>
          <w:tcPr>
            <w:tcW w:w="220" w:type="dxa"/>
            <w:vAlign w:val="bottom"/>
          </w:tcPr>
          <w:p>
            <w:pPr>
              <w:spacing w:after="0"/>
              <w:rPr>
                <w:sz w:val="16"/>
                <w:szCs w:val="16"/>
                <w:color w:val="auto"/>
              </w:rPr>
            </w:pPr>
          </w:p>
        </w:tc>
        <w:tc>
          <w:tcPr>
            <w:tcW w:w="700" w:type="dxa"/>
            <w:vAlign w:val="bottom"/>
          </w:tcPr>
          <w:p>
            <w:pPr>
              <w:spacing w:after="0"/>
              <w:rPr>
                <w:sz w:val="16"/>
                <w:szCs w:val="16"/>
                <w:color w:val="auto"/>
              </w:rPr>
            </w:pPr>
          </w:p>
        </w:tc>
        <w:tc>
          <w:tcPr>
            <w:tcW w:w="2700" w:type="dxa"/>
            <w:vAlign w:val="bottom"/>
          </w:tcPr>
          <w:p>
            <w:pPr>
              <w:spacing w:after="0"/>
              <w:rPr>
                <w:sz w:val="16"/>
                <w:szCs w:val="16"/>
                <w:color w:val="auto"/>
              </w:rPr>
            </w:pPr>
          </w:p>
        </w:tc>
        <w:tc>
          <w:tcPr>
            <w:tcW w:w="1120" w:type="dxa"/>
            <w:vAlign w:val="bottom"/>
            <w:gridSpan w:val="2"/>
          </w:tcPr>
          <w:p>
            <w:pPr>
              <w:jc w:val="right"/>
              <w:ind w:right="560"/>
              <w:spacing w:after="0"/>
              <w:rPr>
                <w:sz w:val="20"/>
                <w:szCs w:val="20"/>
                <w:color w:val="auto"/>
              </w:rPr>
            </w:pPr>
            <w:r>
              <w:rPr>
                <w:rFonts w:ascii="Arial" w:cs="Arial" w:eastAsia="Arial" w:hAnsi="Arial"/>
                <w:sz w:val="13"/>
                <w:szCs w:val="13"/>
                <w:b w:val="1"/>
                <w:bCs w:val="1"/>
                <w:color w:val="auto"/>
              </w:rPr>
              <w:t>Real</w:t>
            </w:r>
          </w:p>
        </w:tc>
        <w:tc>
          <w:tcPr>
            <w:tcW w:w="11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4"/>
              </w:rPr>
              <w:t>Euro</w:t>
            </w:r>
          </w:p>
        </w:tc>
        <w:tc>
          <w:tcPr>
            <w:tcW w:w="860" w:type="dxa"/>
            <w:vAlign w:val="bottom"/>
          </w:tcPr>
          <w:p>
            <w:pPr>
              <w:jc w:val="right"/>
              <w:ind w:right="256"/>
              <w:spacing w:after="0"/>
              <w:rPr>
                <w:sz w:val="20"/>
                <w:szCs w:val="20"/>
                <w:color w:val="auto"/>
              </w:rPr>
            </w:pPr>
            <w:r>
              <w:rPr>
                <w:rFonts w:ascii="Arial" w:cs="Arial" w:eastAsia="Arial" w:hAnsi="Arial"/>
                <w:sz w:val="13"/>
                <w:szCs w:val="13"/>
                <w:b w:val="1"/>
                <w:bCs w:val="1"/>
                <w:color w:val="auto"/>
              </w:rPr>
              <w:t>Yen</w:t>
            </w:r>
          </w:p>
        </w:tc>
        <w:tc>
          <w:tcPr>
            <w:tcW w:w="220" w:type="dxa"/>
            <w:vAlign w:val="bottom"/>
          </w:tcPr>
          <w:p>
            <w:pPr>
              <w:spacing w:after="0"/>
              <w:rPr>
                <w:sz w:val="16"/>
                <w:szCs w:val="16"/>
                <w:color w:val="auto"/>
              </w:rPr>
            </w:pPr>
          </w:p>
        </w:tc>
        <w:tc>
          <w:tcPr>
            <w:tcW w:w="1080" w:type="dxa"/>
            <w:vAlign w:val="bottom"/>
            <w:gridSpan w:val="2"/>
          </w:tcPr>
          <w:p>
            <w:pPr>
              <w:jc w:val="right"/>
              <w:ind w:right="520"/>
              <w:spacing w:after="0"/>
              <w:rPr>
                <w:sz w:val="20"/>
                <w:szCs w:val="20"/>
                <w:color w:val="auto"/>
              </w:rPr>
            </w:pPr>
            <w:r>
              <w:rPr>
                <w:rFonts w:ascii="Arial" w:cs="Arial" w:eastAsia="Arial" w:hAnsi="Arial"/>
                <w:sz w:val="13"/>
                <w:szCs w:val="13"/>
                <w:b w:val="1"/>
                <w:bCs w:val="1"/>
                <w:color w:val="auto"/>
              </w:rPr>
              <w:t>Peso</w:t>
            </w:r>
          </w:p>
        </w:tc>
        <w:tc>
          <w:tcPr>
            <w:tcW w:w="1080" w:type="dxa"/>
            <w:vAlign w:val="bottom"/>
            <w:gridSpan w:val="2"/>
          </w:tcPr>
          <w:p>
            <w:pPr>
              <w:jc w:val="right"/>
              <w:ind w:right="483"/>
              <w:spacing w:after="0"/>
              <w:rPr>
                <w:sz w:val="20"/>
                <w:szCs w:val="20"/>
                <w:color w:val="auto"/>
              </w:rPr>
            </w:pPr>
            <w:r>
              <w:rPr>
                <w:rFonts w:ascii="Arial" w:cs="Arial" w:eastAsia="Arial" w:hAnsi="Arial"/>
                <w:sz w:val="13"/>
                <w:szCs w:val="13"/>
                <w:b w:val="1"/>
                <w:bCs w:val="1"/>
                <w:color w:val="auto"/>
              </w:rPr>
              <w:t>Peso</w:t>
            </w:r>
          </w:p>
        </w:tc>
        <w:tc>
          <w:tcPr>
            <w:tcW w:w="1080" w:type="dxa"/>
            <w:vAlign w:val="bottom"/>
            <w:gridSpan w:val="2"/>
          </w:tcPr>
          <w:p>
            <w:pPr>
              <w:jc w:val="center"/>
              <w:ind w:right="220"/>
              <w:spacing w:after="0" w:line="193" w:lineRule="exact"/>
              <w:rPr>
                <w:sz w:val="20"/>
                <w:szCs w:val="20"/>
                <w:color w:val="auto"/>
              </w:rPr>
            </w:pPr>
            <w:r>
              <w:rPr>
                <w:rFonts w:ascii="Arial" w:cs="Arial" w:eastAsia="Arial" w:hAnsi="Arial"/>
                <w:sz w:val="13"/>
                <w:szCs w:val="13"/>
                <w:b w:val="1"/>
                <w:bCs w:val="1"/>
                <w:color w:val="auto"/>
                <w:w w:val="84"/>
              </w:rPr>
              <w:t>currencies</w:t>
            </w:r>
            <w:r>
              <w:rPr>
                <w:rFonts w:ascii="Arial" w:cs="Arial" w:eastAsia="Arial" w:hAnsi="Arial"/>
                <w:sz w:val="21"/>
                <w:szCs w:val="21"/>
                <w:b w:val="1"/>
                <w:bCs w:val="1"/>
                <w:color w:val="auto"/>
                <w:w w:val="84"/>
                <w:vertAlign w:val="superscript"/>
              </w:rPr>
              <w:t>(1)</w:t>
            </w:r>
          </w:p>
        </w:tc>
        <w:tc>
          <w:tcPr>
            <w:tcW w:w="960" w:type="dxa"/>
            <w:vAlign w:val="bottom"/>
            <w:gridSpan w:val="2"/>
          </w:tcPr>
          <w:p>
            <w:pPr>
              <w:jc w:val="right"/>
              <w:ind w:right="363"/>
              <w:spacing w:after="0"/>
              <w:rPr>
                <w:sz w:val="20"/>
                <w:szCs w:val="20"/>
                <w:color w:val="auto"/>
              </w:rPr>
            </w:pPr>
            <w:r>
              <w:rPr>
                <w:rFonts w:ascii="Arial" w:cs="Arial" w:eastAsia="Arial" w:hAnsi="Arial"/>
                <w:sz w:val="13"/>
                <w:szCs w:val="13"/>
                <w:b w:val="1"/>
                <w:bCs w:val="1"/>
                <w:color w:val="auto"/>
              </w:rPr>
              <w:t>Total</w:t>
            </w: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3400" w:type="dxa"/>
            <w:vAlign w:val="bottom"/>
            <w:tcBorders>
              <w:top w:val="single" w:sz="8" w:color="CCEEFF"/>
            </w:tcBorders>
            <w:gridSpan w:val="2"/>
            <w:shd w:val="clear" w:color="auto" w:fill="CCEEFF"/>
          </w:tcPr>
          <w:p>
            <w:pPr>
              <w:spacing w:after="0" w:line="144" w:lineRule="exact"/>
              <w:rPr>
                <w:sz w:val="20"/>
                <w:szCs w:val="20"/>
                <w:color w:val="auto"/>
              </w:rPr>
            </w:pPr>
            <w:r>
              <w:rPr>
                <w:rFonts w:ascii="Arial" w:cs="Arial" w:eastAsia="Arial" w:hAnsi="Arial"/>
                <w:sz w:val="13"/>
                <w:szCs w:val="13"/>
                <w:b w:val="1"/>
                <w:bCs w:val="1"/>
                <w:color w:val="auto"/>
              </w:rPr>
              <w:t>Exchange rate</w:t>
            </w:r>
          </w:p>
        </w:tc>
        <w:tc>
          <w:tcPr>
            <w:tcW w:w="8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3.31</w:t>
            </w:r>
          </w:p>
        </w:tc>
        <w:tc>
          <w:tcPr>
            <w:tcW w:w="24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1.20</w:t>
            </w: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112.66</w:t>
            </w: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2,985.78</w:t>
            </w: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19.67</w:t>
            </w: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700" w:type="dxa"/>
            <w:vAlign w:val="bottom"/>
          </w:tcPr>
          <w:p>
            <w:pPr>
              <w:spacing w:after="0"/>
              <w:rPr>
                <w:sz w:val="13"/>
                <w:szCs w:val="13"/>
                <w:color w:val="auto"/>
              </w:rPr>
            </w:pPr>
          </w:p>
        </w:tc>
        <w:tc>
          <w:tcPr>
            <w:tcW w:w="270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3400" w:type="dxa"/>
            <w:vAlign w:val="bottom"/>
            <w:gridSpan w:val="2"/>
            <w:shd w:val="clear" w:color="auto" w:fill="CCEEFF"/>
          </w:tcPr>
          <w:p>
            <w:pPr>
              <w:spacing w:after="0"/>
              <w:rPr>
                <w:sz w:val="20"/>
                <w:szCs w:val="20"/>
                <w:color w:val="auto"/>
              </w:rPr>
            </w:pPr>
            <w:r>
              <w:rPr>
                <w:rFonts w:ascii="Arial" w:cs="Arial" w:eastAsia="Arial" w:hAnsi="Arial"/>
                <w:sz w:val="13"/>
                <w:szCs w:val="13"/>
                <w:b w:val="1"/>
                <w:bCs w:val="1"/>
                <w:color w:val="auto"/>
              </w:rPr>
              <w:t>Assets</w:t>
            </w:r>
          </w:p>
        </w:tc>
        <w:tc>
          <w:tcPr>
            <w:tcW w:w="8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400" w:type="dxa"/>
            <w:vAlign w:val="bottom"/>
            <w:gridSpan w:val="2"/>
          </w:tcPr>
          <w:p>
            <w:pPr>
              <w:spacing w:after="0"/>
              <w:rPr>
                <w:sz w:val="20"/>
                <w:szCs w:val="20"/>
                <w:color w:val="auto"/>
              </w:rPr>
            </w:pPr>
            <w:r>
              <w:rPr>
                <w:rFonts w:ascii="Arial" w:cs="Arial" w:eastAsia="Arial" w:hAnsi="Arial"/>
                <w:sz w:val="13"/>
                <w:szCs w:val="13"/>
                <w:color w:val="auto"/>
              </w:rPr>
              <w:t>Cash and cash equivalents</w:t>
            </w:r>
          </w:p>
        </w:tc>
        <w:tc>
          <w:tcPr>
            <w:tcW w:w="1120" w:type="dxa"/>
            <w:vAlign w:val="bottom"/>
            <w:gridSpan w:val="2"/>
          </w:tcPr>
          <w:p>
            <w:pPr>
              <w:jc w:val="right"/>
              <w:ind w:right="240"/>
              <w:spacing w:after="0"/>
              <w:rPr>
                <w:sz w:val="20"/>
                <w:szCs w:val="20"/>
                <w:color w:val="auto"/>
              </w:rPr>
            </w:pPr>
            <w:r>
              <w:rPr>
                <w:rFonts w:ascii="Arial" w:cs="Arial" w:eastAsia="Arial" w:hAnsi="Arial"/>
                <w:sz w:val="13"/>
                <w:szCs w:val="13"/>
                <w:color w:val="auto"/>
              </w:rPr>
              <w:t>87</w:t>
            </w:r>
          </w:p>
        </w:tc>
        <w:tc>
          <w:tcPr>
            <w:tcW w:w="1100" w:type="dxa"/>
            <w:vAlign w:val="bottom"/>
            <w:gridSpan w:val="2"/>
          </w:tcPr>
          <w:p>
            <w:pPr>
              <w:jc w:val="right"/>
              <w:ind w:right="220"/>
              <w:spacing w:after="0"/>
              <w:rPr>
                <w:sz w:val="20"/>
                <w:szCs w:val="20"/>
                <w:color w:val="auto"/>
              </w:rPr>
            </w:pPr>
            <w:r>
              <w:rPr>
                <w:rFonts w:ascii="Arial" w:cs="Arial" w:eastAsia="Arial" w:hAnsi="Arial"/>
                <w:sz w:val="13"/>
                <w:szCs w:val="13"/>
                <w:color w:val="auto"/>
              </w:rPr>
              <w:t>2</w:t>
            </w:r>
          </w:p>
        </w:tc>
        <w:tc>
          <w:tcPr>
            <w:tcW w:w="860" w:type="dxa"/>
            <w:vAlign w:val="bottom"/>
          </w:tcPr>
          <w:p>
            <w:pPr>
              <w:jc w:val="right"/>
              <w:spacing w:after="0"/>
              <w:rPr>
                <w:sz w:val="20"/>
                <w:szCs w:val="20"/>
                <w:color w:val="auto"/>
              </w:rPr>
            </w:pPr>
            <w:r>
              <w:rPr>
                <w:rFonts w:ascii="Arial" w:cs="Arial" w:eastAsia="Arial" w:hAnsi="Arial"/>
                <w:sz w:val="13"/>
                <w:szCs w:val="13"/>
                <w:color w:val="auto"/>
              </w:rPr>
              <w:t>4</w:t>
            </w:r>
          </w:p>
        </w:tc>
        <w:tc>
          <w:tcPr>
            <w:tcW w:w="1300" w:type="dxa"/>
            <w:vAlign w:val="bottom"/>
            <w:gridSpan w:val="3"/>
          </w:tcPr>
          <w:p>
            <w:pPr>
              <w:jc w:val="right"/>
              <w:ind w:right="220"/>
              <w:spacing w:after="0"/>
              <w:rPr>
                <w:sz w:val="20"/>
                <w:szCs w:val="20"/>
                <w:color w:val="auto"/>
              </w:rPr>
            </w:pPr>
            <w:r>
              <w:rPr>
                <w:rFonts w:ascii="Arial" w:cs="Arial" w:eastAsia="Arial" w:hAnsi="Arial"/>
                <w:sz w:val="13"/>
                <w:szCs w:val="13"/>
                <w:color w:val="auto"/>
              </w:rPr>
              <w:t>91</w:t>
            </w:r>
          </w:p>
        </w:tc>
        <w:tc>
          <w:tcPr>
            <w:tcW w:w="1080" w:type="dxa"/>
            <w:vAlign w:val="bottom"/>
            <w:gridSpan w:val="2"/>
          </w:tcPr>
          <w:p>
            <w:pPr>
              <w:jc w:val="right"/>
              <w:ind w:right="183"/>
              <w:spacing w:after="0"/>
              <w:rPr>
                <w:sz w:val="20"/>
                <w:szCs w:val="20"/>
                <w:color w:val="auto"/>
              </w:rPr>
            </w:pPr>
            <w:r>
              <w:rPr>
                <w:rFonts w:ascii="Arial" w:cs="Arial" w:eastAsia="Arial" w:hAnsi="Arial"/>
                <w:sz w:val="13"/>
                <w:szCs w:val="13"/>
                <w:color w:val="auto"/>
              </w:rPr>
              <w:t>369</w:t>
            </w:r>
          </w:p>
        </w:tc>
        <w:tc>
          <w:tcPr>
            <w:tcW w:w="860" w:type="dxa"/>
            <w:vAlign w:val="bottom"/>
          </w:tcPr>
          <w:p>
            <w:pPr>
              <w:jc w:val="right"/>
              <w:spacing w:after="0"/>
              <w:rPr>
                <w:sz w:val="20"/>
                <w:szCs w:val="20"/>
                <w:color w:val="auto"/>
              </w:rPr>
            </w:pPr>
            <w:r>
              <w:rPr>
                <w:rFonts w:ascii="Arial" w:cs="Arial" w:eastAsia="Arial" w:hAnsi="Arial"/>
                <w:sz w:val="13"/>
                <w:szCs w:val="13"/>
                <w:color w:val="auto"/>
              </w:rPr>
              <w:t>75</w:t>
            </w:r>
          </w:p>
        </w:tc>
        <w:tc>
          <w:tcPr>
            <w:tcW w:w="220" w:type="dxa"/>
            <w:vAlign w:val="bottom"/>
          </w:tcPr>
          <w:p>
            <w:pPr>
              <w:spacing w:after="0"/>
              <w:rPr>
                <w:sz w:val="13"/>
                <w:szCs w:val="13"/>
                <w:color w:val="auto"/>
              </w:rPr>
            </w:pPr>
          </w:p>
        </w:tc>
        <w:tc>
          <w:tcPr>
            <w:tcW w:w="960" w:type="dxa"/>
            <w:vAlign w:val="bottom"/>
            <w:gridSpan w:val="2"/>
          </w:tcPr>
          <w:p>
            <w:pPr>
              <w:jc w:val="right"/>
              <w:ind w:right="63"/>
              <w:spacing w:after="0"/>
              <w:rPr>
                <w:sz w:val="20"/>
                <w:szCs w:val="20"/>
                <w:color w:val="auto"/>
              </w:rPr>
            </w:pPr>
            <w:r>
              <w:rPr>
                <w:rFonts w:ascii="Arial" w:cs="Arial" w:eastAsia="Arial" w:hAnsi="Arial"/>
                <w:sz w:val="13"/>
                <w:szCs w:val="13"/>
                <w:color w:val="auto"/>
              </w:rPr>
              <w:t>628</w:t>
            </w: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40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Securities and other financial assets</w:t>
            </w:r>
          </w:p>
        </w:tc>
        <w:tc>
          <w:tcPr>
            <w:tcW w:w="11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168</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8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1300" w:type="dxa"/>
            <w:vAlign w:val="bottom"/>
            <w:gridSpan w:val="3"/>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080" w:type="dxa"/>
            <w:vAlign w:val="bottom"/>
            <w:gridSpan w:val="2"/>
            <w:shd w:val="clear" w:color="auto" w:fill="CCEEFF"/>
          </w:tcPr>
          <w:p>
            <w:pPr>
              <w:jc w:val="right"/>
              <w:ind w:right="183"/>
              <w:spacing w:after="0"/>
              <w:rPr>
                <w:sz w:val="20"/>
                <w:szCs w:val="20"/>
                <w:color w:val="auto"/>
              </w:rPr>
            </w:pPr>
            <w:r>
              <w:rPr>
                <w:rFonts w:ascii="Arial" w:cs="Arial" w:eastAsia="Arial" w:hAnsi="Arial"/>
                <w:sz w:val="13"/>
                <w:szCs w:val="13"/>
                <w:color w:val="auto"/>
              </w:rPr>
              <w:t>-</w:t>
            </w:r>
          </w:p>
        </w:tc>
        <w:tc>
          <w:tcPr>
            <w:tcW w:w="8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EEFF"/>
          </w:tcPr>
          <w:p>
            <w:pPr>
              <w:spacing w:after="0"/>
              <w:rPr>
                <w:sz w:val="13"/>
                <w:szCs w:val="13"/>
                <w:color w:val="auto"/>
              </w:rPr>
            </w:pPr>
          </w:p>
        </w:tc>
        <w:tc>
          <w:tcPr>
            <w:tcW w:w="960" w:type="dxa"/>
            <w:vAlign w:val="bottom"/>
            <w:gridSpan w:val="2"/>
            <w:shd w:val="clear" w:color="auto" w:fill="CCEEFF"/>
          </w:tcPr>
          <w:p>
            <w:pPr>
              <w:jc w:val="right"/>
              <w:ind w:right="63"/>
              <w:spacing w:after="0"/>
              <w:rPr>
                <w:sz w:val="20"/>
                <w:szCs w:val="20"/>
                <w:color w:val="auto"/>
              </w:rPr>
            </w:pPr>
            <w:r>
              <w:rPr>
                <w:rFonts w:ascii="Arial" w:cs="Arial" w:eastAsia="Arial" w:hAnsi="Arial"/>
                <w:sz w:val="13"/>
                <w:szCs w:val="13"/>
                <w:color w:val="auto"/>
              </w:rPr>
              <w:t>168</w:t>
            </w: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3400" w:type="dxa"/>
            <w:vAlign w:val="bottom"/>
            <w:gridSpan w:val="2"/>
          </w:tcPr>
          <w:p>
            <w:pPr>
              <w:spacing w:after="0"/>
              <w:rPr>
                <w:sz w:val="20"/>
                <w:szCs w:val="20"/>
                <w:color w:val="auto"/>
              </w:rPr>
            </w:pPr>
            <w:r>
              <w:rPr>
                <w:rFonts w:ascii="Arial" w:cs="Arial" w:eastAsia="Arial" w:hAnsi="Arial"/>
                <w:sz w:val="13"/>
                <w:szCs w:val="13"/>
                <w:color w:val="auto"/>
              </w:rPr>
              <w:t>Loans</w:t>
            </w:r>
          </w:p>
        </w:tc>
        <w:tc>
          <w:tcPr>
            <w:tcW w:w="112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10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860" w:type="dxa"/>
            <w:vAlign w:val="bottom"/>
          </w:tcPr>
          <w:p>
            <w:pPr>
              <w:jc w:val="right"/>
              <w:spacing w:after="0"/>
              <w:rPr>
                <w:sz w:val="20"/>
                <w:szCs w:val="20"/>
                <w:color w:val="auto"/>
              </w:rPr>
            </w:pPr>
            <w:r>
              <w:rPr>
                <w:rFonts w:ascii="Arial" w:cs="Arial" w:eastAsia="Arial" w:hAnsi="Arial"/>
                <w:sz w:val="13"/>
                <w:szCs w:val="13"/>
                <w:color w:val="auto"/>
              </w:rPr>
              <w:t>-</w:t>
            </w:r>
          </w:p>
        </w:tc>
        <w:tc>
          <w:tcPr>
            <w:tcW w:w="1300" w:type="dxa"/>
            <w:vAlign w:val="bottom"/>
            <w:gridSpan w:val="3"/>
          </w:tcPr>
          <w:p>
            <w:pPr>
              <w:jc w:val="right"/>
              <w:ind w:right="220"/>
              <w:spacing w:after="0"/>
              <w:rPr>
                <w:sz w:val="20"/>
                <w:szCs w:val="20"/>
                <w:color w:val="auto"/>
              </w:rPr>
            </w:pPr>
            <w:r>
              <w:rPr>
                <w:rFonts w:ascii="Arial" w:cs="Arial" w:eastAsia="Arial" w:hAnsi="Arial"/>
                <w:sz w:val="13"/>
                <w:szCs w:val="13"/>
                <w:color w:val="auto"/>
              </w:rPr>
              <w:t>-</w:t>
            </w:r>
          </w:p>
        </w:tc>
        <w:tc>
          <w:tcPr>
            <w:tcW w:w="1080" w:type="dxa"/>
            <w:vAlign w:val="bottom"/>
            <w:gridSpan w:val="2"/>
          </w:tcPr>
          <w:p>
            <w:pPr>
              <w:jc w:val="right"/>
              <w:ind w:right="183"/>
              <w:spacing w:after="0"/>
              <w:rPr>
                <w:sz w:val="20"/>
                <w:szCs w:val="20"/>
                <w:color w:val="auto"/>
              </w:rPr>
            </w:pPr>
            <w:r>
              <w:rPr>
                <w:rFonts w:ascii="Arial" w:cs="Arial" w:eastAsia="Arial" w:hAnsi="Arial"/>
                <w:sz w:val="13"/>
                <w:szCs w:val="13"/>
                <w:color w:val="auto"/>
              </w:rPr>
              <w:t>143,182</w:t>
            </w:r>
          </w:p>
        </w:tc>
        <w:tc>
          <w:tcPr>
            <w:tcW w:w="86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960" w:type="dxa"/>
            <w:vAlign w:val="bottom"/>
            <w:gridSpan w:val="2"/>
          </w:tcPr>
          <w:p>
            <w:pPr>
              <w:jc w:val="right"/>
              <w:ind w:right="63"/>
              <w:spacing w:after="0"/>
              <w:rPr>
                <w:sz w:val="20"/>
                <w:szCs w:val="20"/>
                <w:color w:val="auto"/>
              </w:rPr>
            </w:pPr>
            <w:r>
              <w:rPr>
                <w:rFonts w:ascii="Arial" w:cs="Arial" w:eastAsia="Arial" w:hAnsi="Arial"/>
                <w:sz w:val="13"/>
                <w:szCs w:val="13"/>
                <w:color w:val="auto"/>
              </w:rPr>
              <w:t>143,182</w:t>
            </w: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3400" w:type="dxa"/>
            <w:vAlign w:val="bottom"/>
            <w:tcBorders>
              <w:top w:val="single" w:sz="8" w:color="CCEEFF"/>
              <w:bottom w:val="single" w:sz="8" w:color="CCEEFF"/>
            </w:tcBorders>
            <w:gridSpan w:val="2"/>
            <w:shd w:val="clear" w:color="auto" w:fill="CCEEFF"/>
          </w:tcPr>
          <w:p>
            <w:pPr>
              <w:spacing w:after="0" w:line="143" w:lineRule="exact"/>
              <w:rPr>
                <w:sz w:val="20"/>
                <w:szCs w:val="20"/>
                <w:color w:val="auto"/>
              </w:rPr>
            </w:pPr>
            <w:r>
              <w:rPr>
                <w:rFonts w:ascii="Arial" w:cs="Arial" w:eastAsia="Arial" w:hAnsi="Arial"/>
                <w:sz w:val="13"/>
                <w:szCs w:val="13"/>
                <w:color w:val="auto"/>
              </w:rPr>
              <w:t>Total assets</w:t>
            </w: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255</w:t>
            </w: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2</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4</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91</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143,551</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75</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143,978</w:t>
            </w: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700" w:type="dxa"/>
            <w:vAlign w:val="bottom"/>
          </w:tcPr>
          <w:p>
            <w:pPr>
              <w:spacing w:after="0"/>
              <w:rPr>
                <w:sz w:val="13"/>
                <w:szCs w:val="13"/>
                <w:color w:val="auto"/>
              </w:rPr>
            </w:pPr>
          </w:p>
        </w:tc>
        <w:tc>
          <w:tcPr>
            <w:tcW w:w="270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3400" w:type="dxa"/>
            <w:vAlign w:val="bottom"/>
            <w:gridSpan w:val="2"/>
            <w:shd w:val="clear" w:color="auto" w:fill="CCEEFF"/>
          </w:tcPr>
          <w:p>
            <w:pPr>
              <w:spacing w:after="0"/>
              <w:rPr>
                <w:sz w:val="20"/>
                <w:szCs w:val="20"/>
                <w:color w:val="auto"/>
              </w:rPr>
            </w:pPr>
            <w:r>
              <w:rPr>
                <w:rFonts w:ascii="Arial" w:cs="Arial" w:eastAsia="Arial" w:hAnsi="Arial"/>
                <w:sz w:val="13"/>
                <w:szCs w:val="13"/>
                <w:b w:val="1"/>
                <w:bCs w:val="1"/>
                <w:color w:val="auto"/>
              </w:rPr>
              <w:t>Liabilities</w:t>
            </w:r>
          </w:p>
        </w:tc>
        <w:tc>
          <w:tcPr>
            <w:tcW w:w="88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8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3400" w:type="dxa"/>
            <w:vAlign w:val="bottom"/>
            <w:gridSpan w:val="2"/>
          </w:tcPr>
          <w:p>
            <w:pPr>
              <w:spacing w:after="0"/>
              <w:rPr>
                <w:sz w:val="20"/>
                <w:szCs w:val="20"/>
                <w:color w:val="auto"/>
              </w:rPr>
            </w:pPr>
            <w:r>
              <w:rPr>
                <w:rFonts w:ascii="Arial" w:cs="Arial" w:eastAsia="Arial" w:hAnsi="Arial"/>
                <w:sz w:val="13"/>
                <w:szCs w:val="13"/>
                <w:color w:val="auto"/>
              </w:rPr>
              <w:t>Borrowings and debt</w:t>
            </w:r>
          </w:p>
        </w:tc>
        <w:tc>
          <w:tcPr>
            <w:tcW w:w="1120" w:type="dxa"/>
            <w:vAlign w:val="bottom"/>
            <w:gridSpan w:val="2"/>
          </w:tcPr>
          <w:p>
            <w:pPr>
              <w:jc w:val="right"/>
              <w:ind w:right="240"/>
              <w:spacing w:after="0"/>
              <w:rPr>
                <w:sz w:val="20"/>
                <w:szCs w:val="20"/>
                <w:color w:val="auto"/>
              </w:rPr>
            </w:pPr>
            <w:r>
              <w:rPr>
                <w:rFonts w:ascii="Arial" w:cs="Arial" w:eastAsia="Arial" w:hAnsi="Arial"/>
                <w:sz w:val="13"/>
                <w:szCs w:val="13"/>
                <w:color w:val="auto"/>
              </w:rPr>
              <w:t>-</w:t>
            </w:r>
          </w:p>
        </w:tc>
        <w:tc>
          <w:tcPr>
            <w:tcW w:w="110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860" w:type="dxa"/>
            <w:vAlign w:val="bottom"/>
          </w:tcPr>
          <w:p>
            <w:pPr>
              <w:jc w:val="right"/>
              <w:spacing w:after="0"/>
              <w:rPr>
                <w:sz w:val="20"/>
                <w:szCs w:val="20"/>
                <w:color w:val="auto"/>
              </w:rPr>
            </w:pPr>
            <w:r>
              <w:rPr>
                <w:rFonts w:ascii="Arial" w:cs="Arial" w:eastAsia="Arial" w:hAnsi="Arial"/>
                <w:sz w:val="13"/>
                <w:szCs w:val="13"/>
                <w:color w:val="auto"/>
              </w:rPr>
              <w:t>-</w:t>
            </w:r>
          </w:p>
        </w:tc>
        <w:tc>
          <w:tcPr>
            <w:tcW w:w="1300" w:type="dxa"/>
            <w:vAlign w:val="bottom"/>
            <w:gridSpan w:val="3"/>
          </w:tcPr>
          <w:p>
            <w:pPr>
              <w:jc w:val="right"/>
              <w:ind w:right="220"/>
              <w:spacing w:after="0"/>
              <w:rPr>
                <w:sz w:val="20"/>
                <w:szCs w:val="20"/>
                <w:color w:val="auto"/>
              </w:rPr>
            </w:pPr>
            <w:r>
              <w:rPr>
                <w:rFonts w:ascii="Arial" w:cs="Arial" w:eastAsia="Arial" w:hAnsi="Arial"/>
                <w:sz w:val="13"/>
                <w:szCs w:val="13"/>
                <w:color w:val="auto"/>
              </w:rPr>
              <w:t>-</w:t>
            </w:r>
          </w:p>
        </w:tc>
        <w:tc>
          <w:tcPr>
            <w:tcW w:w="1080" w:type="dxa"/>
            <w:vAlign w:val="bottom"/>
            <w:gridSpan w:val="2"/>
          </w:tcPr>
          <w:p>
            <w:pPr>
              <w:jc w:val="right"/>
              <w:ind w:right="143"/>
              <w:spacing w:after="0"/>
              <w:rPr>
                <w:sz w:val="20"/>
                <w:szCs w:val="20"/>
                <w:color w:val="auto"/>
              </w:rPr>
            </w:pPr>
            <w:r>
              <w:rPr>
                <w:rFonts w:ascii="Arial" w:cs="Arial" w:eastAsia="Arial" w:hAnsi="Arial"/>
                <w:sz w:val="13"/>
                <w:szCs w:val="13"/>
                <w:color w:val="auto"/>
              </w:rPr>
              <w:t>(143,661)</w:t>
            </w:r>
          </w:p>
        </w:tc>
        <w:tc>
          <w:tcPr>
            <w:tcW w:w="86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960" w:type="dxa"/>
            <w:vAlign w:val="bottom"/>
            <w:gridSpan w:val="2"/>
          </w:tcPr>
          <w:p>
            <w:pPr>
              <w:jc w:val="right"/>
              <w:ind w:right="23"/>
              <w:spacing w:after="0"/>
              <w:rPr>
                <w:sz w:val="20"/>
                <w:szCs w:val="20"/>
                <w:color w:val="auto"/>
              </w:rPr>
            </w:pPr>
            <w:r>
              <w:rPr>
                <w:rFonts w:ascii="Arial" w:cs="Arial" w:eastAsia="Arial" w:hAnsi="Arial"/>
                <w:sz w:val="13"/>
                <w:szCs w:val="13"/>
                <w:color w:val="auto"/>
              </w:rPr>
              <w:t>(143,661)</w:t>
            </w: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3400" w:type="dxa"/>
            <w:vAlign w:val="bottom"/>
            <w:tcBorders>
              <w:top w:val="single" w:sz="8" w:color="CCEEFF"/>
              <w:bottom w:val="single" w:sz="8" w:color="CCEEFF"/>
            </w:tcBorders>
            <w:gridSpan w:val="2"/>
            <w:shd w:val="clear" w:color="auto" w:fill="CCEEFF"/>
          </w:tcPr>
          <w:p>
            <w:pPr>
              <w:spacing w:after="0" w:line="143" w:lineRule="exact"/>
              <w:rPr>
                <w:sz w:val="20"/>
                <w:szCs w:val="20"/>
                <w:color w:val="auto"/>
              </w:rPr>
            </w:pPr>
            <w:r>
              <w:rPr>
                <w:rFonts w:ascii="Arial" w:cs="Arial" w:eastAsia="Arial" w:hAnsi="Arial"/>
                <w:sz w:val="13"/>
                <w:szCs w:val="13"/>
                <w:color w:val="auto"/>
              </w:rPr>
              <w:t>Total liabilities</w:t>
            </w: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w:t>
            </w: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(143,661</w:t>
            </w:r>
          </w:p>
        </w:tc>
        <w:tc>
          <w:tcPr>
            <w:tcW w:w="220" w:type="dxa"/>
            <w:vAlign w:val="bottom"/>
            <w:tcBorders>
              <w:top w:val="single" w:sz="8" w:color="CCEEFF"/>
              <w:bottom w:val="single" w:sz="8" w:color="CCEEFF"/>
            </w:tcBorders>
            <w:shd w:val="clear" w:color="auto" w:fill="CCEEFF"/>
          </w:tcPr>
          <w:p>
            <w:pPr>
              <w:jc w:val="right"/>
              <w:ind w:right="143"/>
              <w:spacing w:after="0"/>
              <w:rPr>
                <w:sz w:val="20"/>
                <w:szCs w:val="20"/>
                <w:color w:val="auto"/>
              </w:rPr>
            </w:pPr>
            <w:r>
              <w:rPr>
                <w:rFonts w:ascii="Arial" w:cs="Arial" w:eastAsia="Arial" w:hAnsi="Arial"/>
                <w:sz w:val="7"/>
                <w:szCs w:val="7"/>
                <w:b w:val="1"/>
                <w:bCs w:val="1"/>
                <w:color w:val="auto"/>
                <w:w w:val="83"/>
              </w:rPr>
              <w:t>)</w:t>
            </w: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(143,661</w:t>
            </w:r>
          </w:p>
        </w:tc>
        <w:tc>
          <w:tcPr>
            <w:tcW w:w="100" w:type="dxa"/>
            <w:vAlign w:val="bottom"/>
            <w:tcBorders>
              <w:top w:val="single" w:sz="8" w:color="CCEEFF"/>
              <w:bottom w:val="single" w:sz="8" w:color="CCEEFF"/>
            </w:tcBorders>
            <w:shd w:val="clear" w:color="auto" w:fill="CCEEFF"/>
          </w:tcPr>
          <w:p>
            <w:pPr>
              <w:jc w:val="right"/>
              <w:ind w:right="23"/>
              <w:spacing w:after="0"/>
              <w:rPr>
                <w:sz w:val="20"/>
                <w:szCs w:val="20"/>
                <w:color w:val="auto"/>
              </w:rPr>
            </w:pPr>
            <w:r>
              <w:rPr>
                <w:rFonts w:ascii="Arial" w:cs="Arial" w:eastAsia="Arial" w:hAnsi="Arial"/>
                <w:sz w:val="7"/>
                <w:szCs w:val="7"/>
                <w:b w:val="1"/>
                <w:bCs w:val="1"/>
                <w:color w:val="auto"/>
                <w:w w:val="83"/>
              </w:rPr>
              <w:t>)</w:t>
            </w: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700" w:type="dxa"/>
            <w:vAlign w:val="bottom"/>
          </w:tcPr>
          <w:p>
            <w:pPr>
              <w:spacing w:after="0"/>
              <w:rPr>
                <w:sz w:val="13"/>
                <w:szCs w:val="13"/>
                <w:color w:val="auto"/>
              </w:rPr>
            </w:pPr>
          </w:p>
        </w:tc>
        <w:tc>
          <w:tcPr>
            <w:tcW w:w="270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73"/>
        </w:trPr>
        <w:tc>
          <w:tcPr>
            <w:tcW w:w="220" w:type="dxa"/>
            <w:vAlign w:val="bottom"/>
            <w:vMerge w:val="continue"/>
          </w:tcPr>
          <w:p>
            <w:pPr>
              <w:spacing w:after="0"/>
              <w:rPr>
                <w:sz w:val="15"/>
                <w:szCs w:val="15"/>
                <w:color w:val="auto"/>
              </w:rPr>
            </w:pPr>
          </w:p>
        </w:tc>
        <w:tc>
          <w:tcPr>
            <w:tcW w:w="3400" w:type="dxa"/>
            <w:vAlign w:val="bottom"/>
            <w:gridSpan w:val="2"/>
            <w:shd w:val="clear" w:color="auto" w:fill="CCEEFF"/>
          </w:tcPr>
          <w:p>
            <w:pPr>
              <w:spacing w:after="0"/>
              <w:rPr>
                <w:sz w:val="20"/>
                <w:szCs w:val="20"/>
                <w:color w:val="auto"/>
              </w:rPr>
            </w:pPr>
            <w:r>
              <w:rPr>
                <w:rFonts w:ascii="Arial" w:cs="Arial" w:eastAsia="Arial" w:hAnsi="Arial"/>
                <w:sz w:val="13"/>
                <w:szCs w:val="13"/>
                <w:b w:val="1"/>
                <w:bCs w:val="1"/>
                <w:color w:val="auto"/>
              </w:rPr>
              <w:t>Net currency position</w:t>
            </w:r>
          </w:p>
        </w:tc>
        <w:tc>
          <w:tcPr>
            <w:tcW w:w="11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b w:val="1"/>
                <w:bCs w:val="1"/>
                <w:color w:val="auto"/>
              </w:rPr>
              <w:t>255</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b w:val="1"/>
                <w:bCs w:val="1"/>
                <w:color w:val="auto"/>
              </w:rPr>
              <w:t>2</w:t>
            </w:r>
          </w:p>
        </w:tc>
        <w:tc>
          <w:tcPr>
            <w:tcW w:w="860" w:type="dxa"/>
            <w:vAlign w:val="bottom"/>
            <w:shd w:val="clear" w:color="auto" w:fill="CCEEFF"/>
          </w:tcPr>
          <w:p>
            <w:pPr>
              <w:jc w:val="right"/>
              <w:spacing w:after="0"/>
              <w:rPr>
                <w:sz w:val="20"/>
                <w:szCs w:val="20"/>
                <w:color w:val="auto"/>
              </w:rPr>
            </w:pPr>
            <w:r>
              <w:rPr>
                <w:rFonts w:ascii="Arial" w:cs="Arial" w:eastAsia="Arial" w:hAnsi="Arial"/>
                <w:sz w:val="13"/>
                <w:szCs w:val="13"/>
                <w:b w:val="1"/>
                <w:bCs w:val="1"/>
                <w:color w:val="auto"/>
              </w:rPr>
              <w:t>4</w:t>
            </w:r>
          </w:p>
        </w:tc>
        <w:tc>
          <w:tcPr>
            <w:tcW w:w="1300" w:type="dxa"/>
            <w:vAlign w:val="bottom"/>
            <w:gridSpan w:val="3"/>
            <w:shd w:val="clear" w:color="auto" w:fill="CCEEFF"/>
          </w:tcPr>
          <w:p>
            <w:pPr>
              <w:jc w:val="right"/>
              <w:ind w:right="220"/>
              <w:spacing w:after="0"/>
              <w:rPr>
                <w:sz w:val="20"/>
                <w:szCs w:val="20"/>
                <w:color w:val="auto"/>
              </w:rPr>
            </w:pPr>
            <w:r>
              <w:rPr>
                <w:rFonts w:ascii="Arial" w:cs="Arial" w:eastAsia="Arial" w:hAnsi="Arial"/>
                <w:sz w:val="13"/>
                <w:szCs w:val="13"/>
                <w:b w:val="1"/>
                <w:bCs w:val="1"/>
                <w:color w:val="auto"/>
              </w:rPr>
              <w:t>91</w:t>
            </w:r>
          </w:p>
        </w:tc>
        <w:tc>
          <w:tcPr>
            <w:tcW w:w="1080" w:type="dxa"/>
            <w:vAlign w:val="bottom"/>
            <w:gridSpan w:val="2"/>
            <w:shd w:val="clear" w:color="auto" w:fill="CCEEFF"/>
          </w:tcPr>
          <w:p>
            <w:pPr>
              <w:jc w:val="right"/>
              <w:ind w:right="143"/>
              <w:spacing w:after="0"/>
              <w:rPr>
                <w:sz w:val="20"/>
                <w:szCs w:val="20"/>
                <w:color w:val="auto"/>
              </w:rPr>
            </w:pPr>
            <w:r>
              <w:rPr>
                <w:rFonts w:ascii="Arial" w:cs="Arial" w:eastAsia="Arial" w:hAnsi="Arial"/>
                <w:sz w:val="13"/>
                <w:szCs w:val="13"/>
                <w:b w:val="1"/>
                <w:bCs w:val="1"/>
                <w:color w:val="auto"/>
              </w:rPr>
              <w:t>(110)</w:t>
            </w:r>
          </w:p>
        </w:tc>
        <w:tc>
          <w:tcPr>
            <w:tcW w:w="860" w:type="dxa"/>
            <w:vAlign w:val="bottom"/>
            <w:shd w:val="clear" w:color="auto" w:fill="CCEEFF"/>
          </w:tcPr>
          <w:p>
            <w:pPr>
              <w:jc w:val="right"/>
              <w:spacing w:after="0"/>
              <w:rPr>
                <w:sz w:val="20"/>
                <w:szCs w:val="20"/>
                <w:color w:val="auto"/>
              </w:rPr>
            </w:pPr>
            <w:r>
              <w:rPr>
                <w:rFonts w:ascii="Arial" w:cs="Arial" w:eastAsia="Arial" w:hAnsi="Arial"/>
                <w:sz w:val="13"/>
                <w:szCs w:val="13"/>
                <w:b w:val="1"/>
                <w:bCs w:val="1"/>
                <w:color w:val="auto"/>
              </w:rPr>
              <w:t>75</w:t>
            </w:r>
          </w:p>
        </w:tc>
        <w:tc>
          <w:tcPr>
            <w:tcW w:w="220" w:type="dxa"/>
            <w:vAlign w:val="bottom"/>
            <w:shd w:val="clear" w:color="auto" w:fill="CCEEFF"/>
          </w:tcPr>
          <w:p>
            <w:pPr>
              <w:spacing w:after="0"/>
              <w:rPr>
                <w:sz w:val="15"/>
                <w:szCs w:val="15"/>
                <w:color w:val="auto"/>
              </w:rPr>
            </w:pPr>
          </w:p>
        </w:tc>
        <w:tc>
          <w:tcPr>
            <w:tcW w:w="960" w:type="dxa"/>
            <w:vAlign w:val="bottom"/>
            <w:gridSpan w:val="2"/>
            <w:shd w:val="clear" w:color="auto" w:fill="CCEEFF"/>
          </w:tcPr>
          <w:p>
            <w:pPr>
              <w:jc w:val="right"/>
              <w:ind w:right="63"/>
              <w:spacing w:after="0"/>
              <w:rPr>
                <w:sz w:val="20"/>
                <w:szCs w:val="20"/>
                <w:color w:val="auto"/>
              </w:rPr>
            </w:pPr>
            <w:r>
              <w:rPr>
                <w:rFonts w:ascii="Arial" w:cs="Arial" w:eastAsia="Arial" w:hAnsi="Arial"/>
                <w:sz w:val="13"/>
                <w:szCs w:val="13"/>
                <w:b w:val="1"/>
                <w:bCs w:val="1"/>
                <w:color w:val="auto"/>
              </w:rPr>
              <w:t>317</w:t>
            </w:r>
          </w:p>
        </w:tc>
        <w:tc>
          <w:tcPr>
            <w:tcW w:w="0" w:type="dxa"/>
            <w:vAlign w:val="bottom"/>
          </w:tcPr>
          <w:p>
            <w:pPr>
              <w:spacing w:after="0"/>
              <w:rPr>
                <w:sz w:val="1"/>
                <w:szCs w:val="1"/>
                <w:color w:val="auto"/>
              </w:rPr>
            </w:pPr>
          </w:p>
        </w:tc>
      </w:tr>
      <w:tr>
        <w:trPr>
          <w:trHeight w:val="29"/>
        </w:trPr>
        <w:tc>
          <w:tcPr>
            <w:tcW w:w="220" w:type="dxa"/>
            <w:vAlign w:val="bottom"/>
          </w:tcPr>
          <w:p>
            <w:pPr>
              <w:spacing w:after="0"/>
              <w:rPr>
                <w:sz w:val="2"/>
                <w:szCs w:val="2"/>
                <w:color w:val="auto"/>
              </w:rPr>
            </w:pPr>
          </w:p>
        </w:tc>
        <w:tc>
          <w:tcPr>
            <w:tcW w:w="700" w:type="dxa"/>
            <w:vAlign w:val="bottom"/>
            <w:shd w:val="clear" w:color="auto" w:fill="CCEEFF"/>
          </w:tcPr>
          <w:p>
            <w:pPr>
              <w:spacing w:after="0"/>
              <w:rPr>
                <w:sz w:val="2"/>
                <w:szCs w:val="2"/>
                <w:color w:val="auto"/>
              </w:rPr>
            </w:pPr>
          </w:p>
        </w:tc>
        <w:tc>
          <w:tcPr>
            <w:tcW w:w="2700" w:type="dxa"/>
            <w:vAlign w:val="bottom"/>
            <w:shd w:val="clear" w:color="auto" w:fill="CCEEFF"/>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240" w:type="dxa"/>
            <w:vAlign w:val="bottom"/>
            <w:shd w:val="clear" w:color="auto" w:fill="CCEEFF"/>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86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86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86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860" w:type="dxa"/>
            <w:vAlign w:val="bottom"/>
            <w:shd w:val="clear" w:color="auto" w:fill="000000"/>
          </w:tcPr>
          <w:p>
            <w:pPr>
              <w:spacing w:after="0"/>
              <w:rPr>
                <w:sz w:val="2"/>
                <w:szCs w:val="2"/>
                <w:color w:val="auto"/>
              </w:rPr>
            </w:pPr>
          </w:p>
        </w:tc>
        <w:tc>
          <w:tcPr>
            <w:tcW w:w="220" w:type="dxa"/>
            <w:vAlign w:val="bottom"/>
            <w:shd w:val="clear" w:color="auto" w:fill="CCEEFF"/>
          </w:tcPr>
          <w:p>
            <w:pPr>
              <w:spacing w:after="0"/>
              <w:rPr>
                <w:sz w:val="2"/>
                <w:szCs w:val="2"/>
                <w:color w:val="auto"/>
              </w:rPr>
            </w:pPr>
          </w:p>
        </w:tc>
        <w:tc>
          <w:tcPr>
            <w:tcW w:w="860" w:type="dxa"/>
            <w:vAlign w:val="bottom"/>
            <w:shd w:val="clear" w:color="auto" w:fill="000000"/>
          </w:tcPr>
          <w:p>
            <w:pPr>
              <w:spacing w:after="0"/>
              <w:rPr>
                <w:sz w:val="2"/>
                <w:szCs w:val="2"/>
                <w:color w:val="auto"/>
              </w:rPr>
            </w:pPr>
          </w:p>
        </w:tc>
        <w:tc>
          <w:tcPr>
            <w:tcW w:w="10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66" w:lineRule="exact"/>
        <w:rPr>
          <w:sz w:val="20"/>
          <w:szCs w:val="20"/>
          <w:color w:val="auto"/>
        </w:rPr>
      </w:pPr>
    </w:p>
    <w:p>
      <w:pPr>
        <w:ind w:left="700" w:hanging="241"/>
        <w:spacing w:after="0"/>
        <w:tabs>
          <w:tab w:leader="none" w:pos="700" w:val="left"/>
        </w:tabs>
        <w:numPr>
          <w:ilvl w:val="0"/>
          <w:numId w:val="201"/>
        </w:numPr>
        <w:rPr>
          <w:rFonts w:ascii="Arial" w:cs="Arial" w:eastAsia="Arial" w:hAnsi="Arial"/>
          <w:sz w:val="21"/>
          <w:szCs w:val="21"/>
          <w:b w:val="1"/>
          <w:bCs w:val="1"/>
          <w:color w:val="auto"/>
          <w:vertAlign w:val="superscript"/>
        </w:rPr>
      </w:pPr>
      <w:r>
        <w:rPr>
          <w:rFonts w:ascii="Arial" w:cs="Arial" w:eastAsia="Arial" w:hAnsi="Arial"/>
          <w:sz w:val="13"/>
          <w:szCs w:val="13"/>
          <w:color w:val="auto"/>
        </w:rPr>
        <w:t>It includes other currencies such as: Argentine pesos, Australian dollar, Swiss franc, Sterling pound, Peruvian soles and Renminbi.</w:t>
      </w:r>
    </w:p>
    <w:p>
      <w:pPr>
        <w:spacing w:after="0" w:line="142" w:lineRule="exact"/>
        <w:rPr>
          <w:sz w:val="20"/>
          <w:szCs w:val="20"/>
          <w:color w:val="auto"/>
        </w:rPr>
      </w:pPr>
    </w:p>
    <w:p>
      <w:pPr>
        <w:ind w:left="220"/>
        <w:spacing w:after="0"/>
        <w:rPr>
          <w:sz w:val="20"/>
          <w:szCs w:val="20"/>
          <w:color w:val="auto"/>
        </w:rPr>
      </w:pPr>
      <w:r>
        <w:rPr>
          <w:rFonts w:ascii="Arial" w:cs="Arial" w:eastAsia="Arial" w:hAnsi="Arial"/>
          <w:sz w:val="13"/>
          <w:szCs w:val="13"/>
          <w:b w:val="1"/>
          <w:bCs w:val="1"/>
          <w:color w:val="auto"/>
        </w:rPr>
        <w:t>Operational Risk</w:t>
      </w:r>
    </w:p>
    <w:p>
      <w:pPr>
        <w:spacing w:after="0" w:line="163" w:lineRule="exact"/>
        <w:rPr>
          <w:sz w:val="20"/>
          <w:szCs w:val="20"/>
          <w:color w:val="auto"/>
        </w:rPr>
      </w:pPr>
    </w:p>
    <w:p>
      <w:pPr>
        <w:jc w:val="both"/>
        <w:ind w:left="220"/>
        <w:spacing w:after="0" w:line="252" w:lineRule="auto"/>
        <w:rPr>
          <w:sz w:val="20"/>
          <w:szCs w:val="20"/>
          <w:color w:val="auto"/>
        </w:rPr>
      </w:pPr>
      <w:r>
        <w:rPr>
          <w:rFonts w:ascii="Arial" w:cs="Arial" w:eastAsia="Arial" w:hAnsi="Arial"/>
          <w:sz w:val="13"/>
          <w:szCs w:val="13"/>
          <w:color w:val="auto"/>
        </w:rPr>
        <w:t>Operational risk is the risk of loss arising from systems failure, human error, fraud or external events. When controls fail to operate effectively, operational risks can cause damage to reputation, have legal or regulatory implications, or lead to financial loss. The Bank, like all financial institutions, is exposed to operational risks, including the risk of fraud by employees and outsiders, failure to obtain proper internal authorizations, failure to properly document transactions, equipment failures, and errors by employees, and any failure, interruption or breach in the security or operation of the Bank’s information technology systems could result in interruptions in such activities. Operational problems or errors may occur, and their occurrence may have a material adverse impact on the Bank’s business, consolidated financial position, financial performance and cash flows.</w:t>
      </w:r>
    </w:p>
    <w:p>
      <w:pPr>
        <w:spacing w:after="0" w:line="139" w:lineRule="exact"/>
        <w:rPr>
          <w:sz w:val="20"/>
          <w:szCs w:val="20"/>
          <w:color w:val="auto"/>
        </w:rPr>
      </w:pPr>
    </w:p>
    <w:p>
      <w:pPr>
        <w:jc w:val="both"/>
        <w:ind w:left="220"/>
        <w:spacing w:after="0" w:line="267" w:lineRule="auto"/>
        <w:rPr>
          <w:sz w:val="20"/>
          <w:szCs w:val="20"/>
          <w:color w:val="auto"/>
        </w:rPr>
      </w:pPr>
      <w:r>
        <w:rPr>
          <w:rFonts w:ascii="Arial" w:cs="Arial" w:eastAsia="Arial" w:hAnsi="Arial"/>
          <w:sz w:val="13"/>
          <w:szCs w:val="13"/>
          <w:color w:val="auto"/>
        </w:rPr>
        <w:t>The Bank cannot expect to eliminate all operational risks, but it endeavors to manage these risks through a control framework and by monitoring and responding to potential risks. Controls include effective segregation of duties, access, authorization and reconciliation procedures, staff training and assessment processes, as well as the use of internal audit.</w:t>
      </w:r>
    </w:p>
    <w:p>
      <w:pPr>
        <w:spacing w:after="0" w:line="283" w:lineRule="exact"/>
        <w:rPr>
          <w:sz w:val="20"/>
          <w:szCs w:val="20"/>
          <w:color w:val="auto"/>
        </w:rPr>
      </w:pPr>
    </w:p>
    <w:p>
      <w:pPr>
        <w:jc w:val="center"/>
        <w:ind w:right="-19"/>
        <w:spacing w:after="0"/>
        <w:rPr>
          <w:sz w:val="20"/>
          <w:szCs w:val="20"/>
          <w:color w:val="auto"/>
        </w:rPr>
      </w:pPr>
      <w:r>
        <w:rPr>
          <w:rFonts w:ascii="Arial" w:cs="Arial" w:eastAsia="Arial" w:hAnsi="Arial"/>
          <w:sz w:val="13"/>
          <w:szCs w:val="13"/>
          <w:color w:val="auto"/>
        </w:rPr>
        <w:t>F-107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14605</wp:posOffset>
            </wp:positionV>
            <wp:extent cx="7285990" cy="6350"/>
            <wp:wrapNone/>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39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85" w:right="219" w:bottom="1440" w:gutter="0" w:footer="0" w:header="0"/>
        </w:sectPr>
      </w:pPr>
    </w:p>
    <w:bookmarkStart w:id="232" w:name="page233"/>
    <w:bookmarkEnd w:id="232"/>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39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right="9500" w:hanging="223"/>
        <w:spacing w:after="0" w:line="497" w:lineRule="auto"/>
        <w:tabs>
          <w:tab w:leader="none" w:pos="223" w:val="left"/>
        </w:tabs>
        <w:numPr>
          <w:ilvl w:val="0"/>
          <w:numId w:val="202"/>
        </w:numPr>
        <w:rPr>
          <w:rFonts w:ascii="Arial" w:cs="Arial" w:eastAsia="Arial" w:hAnsi="Arial"/>
          <w:sz w:val="13"/>
          <w:szCs w:val="13"/>
          <w:b w:val="1"/>
          <w:bCs w:val="1"/>
          <w:color w:val="auto"/>
        </w:rPr>
      </w:pPr>
      <w:r>
        <w:rPr>
          <w:rFonts w:ascii="Arial" w:cs="Arial" w:eastAsia="Arial" w:hAnsi="Arial"/>
          <w:sz w:val="13"/>
          <w:szCs w:val="13"/>
          <w:b w:val="1"/>
          <w:bCs w:val="1"/>
          <w:color w:val="auto"/>
        </w:rPr>
        <w:t xml:space="preserve">Applicable laws and regulations </w:t>
      </w:r>
      <w:r>
        <w:rPr>
          <w:rFonts w:ascii="Arial" w:cs="Arial" w:eastAsia="Arial" w:hAnsi="Arial"/>
          <w:sz w:val="13"/>
          <w:szCs w:val="13"/>
          <w:u w:val="single" w:color="auto"/>
          <w:color w:val="auto"/>
        </w:rPr>
        <w:t>Liquidity index</w:t>
      </w:r>
    </w:p>
    <w:p>
      <w:pPr>
        <w:jc w:val="both"/>
        <w:ind w:left="223"/>
        <w:spacing w:after="0" w:line="254" w:lineRule="auto"/>
        <w:rPr>
          <w:rFonts w:ascii="Arial" w:cs="Arial" w:eastAsia="Arial" w:hAnsi="Arial"/>
          <w:sz w:val="13"/>
          <w:szCs w:val="13"/>
          <w:b w:val="1"/>
          <w:bCs w:val="1"/>
          <w:color w:val="auto"/>
        </w:rPr>
      </w:pPr>
      <w:r>
        <w:rPr>
          <w:rFonts w:ascii="Arial" w:cs="Arial" w:eastAsia="Arial" w:hAnsi="Arial"/>
          <w:sz w:val="13"/>
          <w:szCs w:val="13"/>
          <w:color w:val="auto"/>
        </w:rPr>
        <w:t>The Rule No. 2-2018 issued by the Superintendence of Banks of Panama (SBP) establishes that every general license or international license bank must guarantee, with a higher level of confidence, that it is in the position to face its intraday liquidity obligations in a period when liquidity pressure may affect the lending market. For that purpose, the Superintendence of Banks of Panama has established a short-term liquidity coverage ratio known as “Liquidy Coverage Ratio or LCR”. This ratio is measured through the quotient of two amounts, the first one corresponds to the high-quality liquid assets and the second one corresponds to the net cash outflows in 30 days.</w:t>
      </w:r>
    </w:p>
    <w:p>
      <w:pPr>
        <w:spacing w:after="0" w:line="137"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As of December 31, 2018, the minimum LCR to be reported to the SBP was 25%. The Bank´s LCR as of December 31, 2018 was 238%.</w:t>
      </w:r>
    </w:p>
    <w:p>
      <w:pPr>
        <w:spacing w:after="0" w:line="158" w:lineRule="exact"/>
        <w:rPr>
          <w:rFonts w:ascii="Arial" w:cs="Arial" w:eastAsia="Arial" w:hAnsi="Arial"/>
          <w:sz w:val="13"/>
          <w:szCs w:val="13"/>
          <w:b w:val="1"/>
          <w:bCs w:val="1"/>
          <w:color w:val="auto"/>
        </w:rPr>
      </w:pPr>
    </w:p>
    <w:p>
      <w:pPr>
        <w:ind w:left="223" w:right="20"/>
        <w:spacing w:after="0" w:line="310" w:lineRule="auto"/>
        <w:rPr>
          <w:rFonts w:ascii="Arial" w:cs="Arial" w:eastAsia="Arial" w:hAnsi="Arial"/>
          <w:sz w:val="13"/>
          <w:szCs w:val="13"/>
          <w:b w:val="1"/>
          <w:bCs w:val="1"/>
          <w:color w:val="auto"/>
        </w:rPr>
      </w:pPr>
      <w:r>
        <w:rPr>
          <w:rFonts w:ascii="Arial" w:cs="Arial" w:eastAsia="Arial" w:hAnsi="Arial"/>
          <w:sz w:val="12"/>
          <w:szCs w:val="12"/>
          <w:color w:val="auto"/>
        </w:rPr>
        <w:t>The Rule No. 4-2008 issued by the Superintendence of Banks of Panama (SBP) establishes that every general license or international license bank must maintain, always, a minimum balance of liquid assets equivalent to 30% of the gross total of its deposits in the Republic of Panama or overseas up to 186 days, counted from the reporting date. The formula is based on the following parameters:</w:t>
      </w:r>
    </w:p>
    <w:p>
      <w:pPr>
        <w:spacing w:after="0" w:line="106" w:lineRule="exact"/>
        <w:rPr>
          <w:sz w:val="20"/>
          <w:szCs w:val="20"/>
          <w:color w:val="auto"/>
        </w:rPr>
      </w:pPr>
    </w:p>
    <w:tbl>
      <w:tblPr>
        <w:tblLayout w:type="fixed"/>
        <w:tblInd w:w="463" w:type="dxa"/>
        <w:tblCellMar>
          <w:top w:w="0" w:type="dxa"/>
          <w:left w:w="0" w:type="dxa"/>
          <w:bottom w:w="0" w:type="dxa"/>
          <w:right w:w="0" w:type="dxa"/>
        </w:tblCellMar>
      </w:tblPr>
      <w:tr>
        <w:trPr>
          <w:trHeight w:val="163"/>
        </w:trPr>
        <w:tc>
          <w:tcPr>
            <w:tcW w:w="3400" w:type="dxa"/>
            <w:vAlign w:val="bottom"/>
            <w:tcBorders>
              <w:bottom w:val="single" w:sz="8" w:color="auto"/>
            </w:tcBorders>
          </w:tcPr>
          <w:p>
            <w:pPr>
              <w:jc w:val="center"/>
              <w:spacing w:after="0"/>
              <w:rPr>
                <w:sz w:val="20"/>
                <w:szCs w:val="20"/>
                <w:color w:val="auto"/>
              </w:rPr>
            </w:pPr>
            <w:r>
              <w:rPr>
                <w:rFonts w:ascii="Arial" w:cs="Arial" w:eastAsia="Arial" w:hAnsi="Arial"/>
                <w:sz w:val="13"/>
                <w:szCs w:val="13"/>
                <w:color w:val="auto"/>
                <w:w w:val="89"/>
              </w:rPr>
              <w:t>Liquid assets</w:t>
            </w:r>
          </w:p>
        </w:tc>
        <w:tc>
          <w:tcPr>
            <w:tcW w:w="1560" w:type="dxa"/>
            <w:vAlign w:val="bottom"/>
            <w:vMerge w:val="restart"/>
          </w:tcPr>
          <w:p>
            <w:pPr>
              <w:ind w:left="80"/>
              <w:spacing w:after="0"/>
              <w:rPr>
                <w:sz w:val="20"/>
                <w:szCs w:val="20"/>
                <w:color w:val="auto"/>
              </w:rPr>
            </w:pPr>
            <w:r>
              <w:rPr>
                <w:rFonts w:ascii="Arial" w:cs="Arial" w:eastAsia="Arial" w:hAnsi="Arial"/>
                <w:sz w:val="13"/>
                <w:szCs w:val="13"/>
                <w:color w:val="auto"/>
                <w:w w:val="93"/>
              </w:rPr>
              <w:t>x 100 = X% (Liquidity ratio)</w:t>
            </w:r>
          </w:p>
        </w:tc>
        <w:tc>
          <w:tcPr>
            <w:tcW w:w="0" w:type="dxa"/>
            <w:vAlign w:val="bottom"/>
          </w:tcPr>
          <w:p>
            <w:pPr>
              <w:spacing w:after="0"/>
              <w:rPr>
                <w:sz w:val="1"/>
                <w:szCs w:val="1"/>
                <w:color w:val="auto"/>
              </w:rPr>
            </w:pPr>
          </w:p>
        </w:tc>
      </w:tr>
      <w:tr>
        <w:trPr>
          <w:trHeight w:val="57"/>
        </w:trPr>
        <w:tc>
          <w:tcPr>
            <w:tcW w:w="3400" w:type="dxa"/>
            <w:vAlign w:val="bottom"/>
            <w:vMerge w:val="restart"/>
          </w:tcPr>
          <w:p>
            <w:pPr>
              <w:jc w:val="center"/>
              <w:spacing w:after="0"/>
              <w:rPr>
                <w:sz w:val="20"/>
                <w:szCs w:val="20"/>
                <w:color w:val="auto"/>
              </w:rPr>
            </w:pPr>
            <w:r>
              <w:rPr>
                <w:rFonts w:ascii="Arial" w:cs="Arial" w:eastAsia="Arial" w:hAnsi="Arial"/>
                <w:sz w:val="13"/>
                <w:szCs w:val="13"/>
                <w:color w:val="auto"/>
                <w:w w:val="91"/>
              </w:rPr>
              <w:t>Liabilities (Deposits Received)</w:t>
            </w:r>
          </w:p>
        </w:tc>
        <w:tc>
          <w:tcPr>
            <w:tcW w:w="1560" w:type="dxa"/>
            <w:vAlign w:val="bottom"/>
            <w:vMerge w:val="continue"/>
          </w:tcPr>
          <w:p>
            <w:pPr>
              <w:spacing w:after="0"/>
              <w:rPr>
                <w:sz w:val="4"/>
                <w:szCs w:val="4"/>
                <w:color w:val="auto"/>
              </w:rPr>
            </w:pPr>
          </w:p>
        </w:tc>
        <w:tc>
          <w:tcPr>
            <w:tcW w:w="0" w:type="dxa"/>
            <w:vAlign w:val="bottom"/>
          </w:tcPr>
          <w:p>
            <w:pPr>
              <w:spacing w:after="0"/>
              <w:rPr>
                <w:sz w:val="1"/>
                <w:szCs w:val="1"/>
                <w:color w:val="auto"/>
              </w:rPr>
            </w:pPr>
          </w:p>
        </w:tc>
      </w:tr>
      <w:tr>
        <w:trPr>
          <w:trHeight w:val="95"/>
        </w:trPr>
        <w:tc>
          <w:tcPr>
            <w:tcW w:w="3400" w:type="dxa"/>
            <w:vAlign w:val="bottom"/>
            <w:vMerge w:val="continue"/>
          </w:tcPr>
          <w:p>
            <w:pPr>
              <w:spacing w:after="0"/>
              <w:rPr>
                <w:sz w:val="8"/>
                <w:szCs w:val="8"/>
                <w:color w:val="auto"/>
              </w:rPr>
            </w:pPr>
          </w:p>
        </w:tc>
        <w:tc>
          <w:tcPr>
            <w:tcW w:w="1560" w:type="dxa"/>
            <w:vAlign w:val="bottom"/>
          </w:tcPr>
          <w:p>
            <w:pPr>
              <w:spacing w:after="0"/>
              <w:rPr>
                <w:sz w:val="8"/>
                <w:szCs w:val="8"/>
                <w:color w:val="auto"/>
              </w:rPr>
            </w:pPr>
          </w:p>
        </w:tc>
        <w:tc>
          <w:tcPr>
            <w:tcW w:w="0" w:type="dxa"/>
            <w:vAlign w:val="bottom"/>
          </w:tcPr>
          <w:p>
            <w:pPr>
              <w:spacing w:after="0"/>
              <w:rPr>
                <w:sz w:val="1"/>
                <w:szCs w:val="1"/>
                <w:color w:val="auto"/>
              </w:rPr>
            </w:pPr>
          </w:p>
        </w:tc>
      </w:tr>
    </w:tbl>
    <w:p>
      <w:pPr>
        <w:spacing w:after="0" w:line="137" w:lineRule="exact"/>
        <w:rPr>
          <w:sz w:val="20"/>
          <w:szCs w:val="20"/>
          <w:color w:val="auto"/>
        </w:rPr>
      </w:pPr>
    </w:p>
    <w:p>
      <w:pPr>
        <w:ind w:left="223"/>
        <w:spacing w:after="0"/>
        <w:rPr>
          <w:sz w:val="20"/>
          <w:szCs w:val="20"/>
          <w:color w:val="auto"/>
        </w:rPr>
      </w:pPr>
      <w:r>
        <w:rPr>
          <w:rFonts w:ascii="Arial" w:cs="Arial" w:eastAsia="Arial" w:hAnsi="Arial"/>
          <w:sz w:val="13"/>
          <w:szCs w:val="13"/>
          <w:color w:val="auto"/>
        </w:rPr>
        <w:t>As of December 31, 2018, and December 31, 2017, the percentage of the liquidity index reported by the Bank to the regulator was 124.39% and 88.78%, respectively.</w:t>
      </w:r>
    </w:p>
    <w:p>
      <w:pPr>
        <w:spacing w:after="0" w:line="159" w:lineRule="exact"/>
        <w:rPr>
          <w:sz w:val="20"/>
          <w:szCs w:val="20"/>
          <w:color w:val="auto"/>
        </w:rPr>
      </w:pPr>
    </w:p>
    <w:p>
      <w:pPr>
        <w:ind w:left="223"/>
        <w:spacing w:after="0"/>
        <w:rPr>
          <w:sz w:val="20"/>
          <w:szCs w:val="20"/>
          <w:color w:val="auto"/>
        </w:rPr>
      </w:pPr>
      <w:r>
        <w:rPr>
          <w:rFonts w:ascii="Arial" w:cs="Arial" w:eastAsia="Arial" w:hAnsi="Arial"/>
          <w:sz w:val="13"/>
          <w:szCs w:val="13"/>
          <w:u w:val="single" w:color="auto"/>
          <w:color w:val="auto"/>
        </w:rPr>
        <w:t>Capital adequacy</w:t>
      </w:r>
    </w:p>
    <w:p>
      <w:pPr>
        <w:spacing w:after="0" w:line="159" w:lineRule="exact"/>
        <w:rPr>
          <w:sz w:val="20"/>
          <w:szCs w:val="20"/>
          <w:color w:val="auto"/>
        </w:rPr>
      </w:pPr>
    </w:p>
    <w:p>
      <w:pPr>
        <w:jc w:val="both"/>
        <w:ind w:left="223" w:right="20"/>
        <w:spacing w:after="0" w:line="254" w:lineRule="auto"/>
        <w:rPr>
          <w:sz w:val="20"/>
          <w:szCs w:val="20"/>
          <w:color w:val="auto"/>
        </w:rPr>
      </w:pPr>
      <w:r>
        <w:rPr>
          <w:rFonts w:ascii="Arial" w:cs="Arial" w:eastAsia="Arial" w:hAnsi="Arial"/>
          <w:sz w:val="13"/>
          <w:szCs w:val="13"/>
          <w:color w:val="auto"/>
        </w:rPr>
        <w:t>The Banking Law in the Republic of Panama and the Rules No. 01-2015 and 03-2016 require that the general license banks maintain a total capital adequacy index that shall not be lower, at any time, than 8% of total assets and off-balance sheet irrevocable contingency transactions, weighted according to their risks; and ordinary primary capital that shall not be less than 4.5% of its assets and off-balance sheet transactions that represent an irrevocable contingency, weighted based on their risks; and a primary capital that shall not be less than 6% of its assets and off-balance sheet transactions that represent an irrevocable contingency, weighted based on their risks.</w:t>
      </w:r>
    </w:p>
    <w:p>
      <w:pPr>
        <w:spacing w:after="0" w:line="137" w:lineRule="exact"/>
        <w:rPr>
          <w:sz w:val="20"/>
          <w:szCs w:val="20"/>
          <w:color w:val="auto"/>
        </w:rPr>
      </w:pPr>
    </w:p>
    <w:p>
      <w:pPr>
        <w:jc w:val="both"/>
        <w:ind w:left="223" w:right="20"/>
        <w:spacing w:after="0" w:line="267" w:lineRule="auto"/>
        <w:rPr>
          <w:sz w:val="20"/>
          <w:szCs w:val="20"/>
          <w:color w:val="auto"/>
        </w:rPr>
      </w:pPr>
      <w:r>
        <w:rPr>
          <w:rFonts w:ascii="Arial" w:cs="Arial" w:eastAsia="Arial" w:hAnsi="Arial"/>
          <w:sz w:val="13"/>
          <w:szCs w:val="13"/>
          <w:color w:val="auto"/>
        </w:rPr>
        <w:t>The primary objectives of the Bank’s capital management policy are to ensure that the Bank complies with capital requirements imposed by local regulator and maintains strong credit ratings and healthy capital ratios to support its business and to maximize shareholder value.</w:t>
      </w:r>
    </w:p>
    <w:p>
      <w:pPr>
        <w:spacing w:after="0" w:line="129" w:lineRule="exact"/>
        <w:rPr>
          <w:sz w:val="20"/>
          <w:szCs w:val="20"/>
          <w:color w:val="auto"/>
        </w:rPr>
      </w:pPr>
    </w:p>
    <w:p>
      <w:pPr>
        <w:jc w:val="both"/>
        <w:ind w:left="223"/>
        <w:spacing w:after="0" w:line="257" w:lineRule="auto"/>
        <w:rPr>
          <w:sz w:val="20"/>
          <w:szCs w:val="20"/>
          <w:color w:val="auto"/>
        </w:rPr>
      </w:pPr>
      <w:r>
        <w:rPr>
          <w:rFonts w:ascii="Arial" w:cs="Arial" w:eastAsia="Arial" w:hAnsi="Arial"/>
          <w:sz w:val="13"/>
          <w:szCs w:val="13"/>
          <w:color w:val="auto"/>
        </w:rPr>
        <w:t>The Bank manages its capital structure and adjusts it according to changes in economic conditions and the risk characteristics of its activities. To maintain or adjust the capital structure, the Bank may adjust the amount of dividend payment to shareholders, return capital to shareholders or issue capital securities. No changes have been made to the objectives, policies and processes from the previous years. However, they are under constant review by the Board.</w:t>
      </w:r>
    </w:p>
    <w:p>
      <w:pPr>
        <w:spacing w:after="0" w:line="132" w:lineRule="exact"/>
        <w:rPr>
          <w:sz w:val="20"/>
          <w:szCs w:val="20"/>
          <w:color w:val="auto"/>
        </w:rPr>
      </w:pPr>
    </w:p>
    <w:tbl>
      <w:tblPr>
        <w:tblLayout w:type="fixed"/>
        <w:tblInd w:w="3" w:type="dxa"/>
        <w:tblCellMar>
          <w:top w:w="0" w:type="dxa"/>
          <w:left w:w="0" w:type="dxa"/>
          <w:bottom w:w="0" w:type="dxa"/>
          <w:right w:w="0" w:type="dxa"/>
        </w:tblCellMar>
      </w:tblPr>
      <w:tr>
        <w:trPr>
          <w:trHeight w:val="154"/>
        </w:trPr>
        <w:tc>
          <w:tcPr>
            <w:tcW w:w="220" w:type="dxa"/>
            <w:vAlign w:val="bottom"/>
          </w:tcPr>
          <w:p>
            <w:pPr>
              <w:spacing w:after="0"/>
              <w:rPr>
                <w:sz w:val="13"/>
                <w:szCs w:val="13"/>
                <w:color w:val="auto"/>
              </w:rPr>
            </w:pPr>
          </w:p>
        </w:tc>
        <w:tc>
          <w:tcPr>
            <w:tcW w:w="3220" w:type="dxa"/>
            <w:vAlign w:val="bottom"/>
          </w:tcPr>
          <w:p>
            <w:pPr>
              <w:spacing w:after="0"/>
              <w:rPr>
                <w:sz w:val="13"/>
                <w:szCs w:val="13"/>
                <w:color w:val="auto"/>
              </w:rPr>
            </w:pPr>
          </w:p>
        </w:tc>
        <w:tc>
          <w:tcPr>
            <w:tcW w:w="4540" w:type="dxa"/>
            <w:vAlign w:val="bottom"/>
          </w:tcPr>
          <w:p>
            <w:pPr>
              <w:spacing w:after="0"/>
              <w:rPr>
                <w:sz w:val="13"/>
                <w:szCs w:val="13"/>
                <w:color w:val="auto"/>
              </w:rPr>
            </w:pPr>
          </w:p>
        </w:tc>
        <w:tc>
          <w:tcPr>
            <w:tcW w:w="1620" w:type="dxa"/>
            <w:vAlign w:val="bottom"/>
            <w:gridSpan w:val="2"/>
          </w:tcPr>
          <w:p>
            <w:pPr>
              <w:jc w:val="right"/>
              <w:ind w:right="481"/>
              <w:spacing w:after="0"/>
              <w:rPr>
                <w:sz w:val="20"/>
                <w:szCs w:val="20"/>
                <w:color w:val="auto"/>
              </w:rPr>
            </w:pPr>
            <w:r>
              <w:rPr>
                <w:rFonts w:ascii="Arial" w:cs="Arial" w:eastAsia="Arial" w:hAnsi="Arial"/>
                <w:sz w:val="13"/>
                <w:szCs w:val="13"/>
                <w:b w:val="1"/>
                <w:bCs w:val="1"/>
                <w:color w:val="auto"/>
              </w:rPr>
              <w:t>December 31,</w:t>
            </w:r>
          </w:p>
        </w:tc>
        <w:tc>
          <w:tcPr>
            <w:tcW w:w="1520" w:type="dxa"/>
            <w:vAlign w:val="bottom"/>
            <w:gridSpan w:val="2"/>
          </w:tcPr>
          <w:p>
            <w:pPr>
              <w:jc w:val="right"/>
              <w:ind w:right="376"/>
              <w:spacing w:after="0"/>
              <w:rPr>
                <w:sz w:val="20"/>
                <w:szCs w:val="20"/>
                <w:color w:val="auto"/>
              </w:rPr>
            </w:pPr>
            <w:r>
              <w:rPr>
                <w:rFonts w:ascii="Arial" w:cs="Arial" w:eastAsia="Arial" w:hAnsi="Arial"/>
                <w:sz w:val="13"/>
                <w:szCs w:val="13"/>
                <w:b w:val="1"/>
                <w:bCs w:val="1"/>
                <w:color w:val="auto"/>
              </w:rPr>
              <w:t>December 31,</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6"/>
        </w:trPr>
        <w:tc>
          <w:tcPr>
            <w:tcW w:w="220" w:type="dxa"/>
            <w:vAlign w:val="bottom"/>
          </w:tcPr>
          <w:p>
            <w:pPr>
              <w:spacing w:after="0"/>
              <w:rPr>
                <w:sz w:val="14"/>
                <w:szCs w:val="14"/>
                <w:color w:val="auto"/>
              </w:rPr>
            </w:pPr>
          </w:p>
        </w:tc>
        <w:tc>
          <w:tcPr>
            <w:tcW w:w="3220" w:type="dxa"/>
            <w:vAlign w:val="bottom"/>
            <w:tcBorders>
              <w:bottom w:val="single" w:sz="8" w:color="CCEEFF"/>
            </w:tcBorders>
          </w:tcPr>
          <w:p>
            <w:pPr>
              <w:spacing w:after="0"/>
              <w:rPr>
                <w:sz w:val="14"/>
                <w:szCs w:val="14"/>
                <w:color w:val="auto"/>
              </w:rPr>
            </w:pPr>
          </w:p>
        </w:tc>
        <w:tc>
          <w:tcPr>
            <w:tcW w:w="4540" w:type="dxa"/>
            <w:vAlign w:val="bottom"/>
            <w:tcBorders>
              <w:bottom w:val="single" w:sz="8" w:color="CCEEFF"/>
            </w:tcBorders>
          </w:tcPr>
          <w:p>
            <w:pPr>
              <w:spacing w:after="0"/>
              <w:rPr>
                <w:sz w:val="14"/>
                <w:szCs w:val="14"/>
                <w:color w:val="auto"/>
              </w:rPr>
            </w:pPr>
          </w:p>
        </w:tc>
        <w:tc>
          <w:tcPr>
            <w:tcW w:w="1400" w:type="dxa"/>
            <w:vAlign w:val="bottom"/>
            <w:tcBorders>
              <w:bottom w:val="single" w:sz="8" w:color="auto"/>
            </w:tcBorders>
          </w:tcPr>
          <w:p>
            <w:pPr>
              <w:jc w:val="right"/>
              <w:ind w:right="516"/>
              <w:spacing w:after="0"/>
              <w:rPr>
                <w:sz w:val="20"/>
                <w:szCs w:val="20"/>
                <w:color w:val="auto"/>
              </w:rPr>
            </w:pPr>
            <w:r>
              <w:rPr>
                <w:rFonts w:ascii="Arial" w:cs="Arial" w:eastAsia="Arial" w:hAnsi="Arial"/>
                <w:sz w:val="13"/>
                <w:szCs w:val="13"/>
                <w:b w:val="1"/>
                <w:bCs w:val="1"/>
                <w:color w:val="auto"/>
              </w:rPr>
              <w:t>2018</w:t>
            </w:r>
          </w:p>
        </w:tc>
        <w:tc>
          <w:tcPr>
            <w:tcW w:w="220" w:type="dxa"/>
            <w:vAlign w:val="bottom"/>
            <w:tcBorders>
              <w:bottom w:val="single" w:sz="8" w:color="CCEEFF"/>
            </w:tcBorders>
          </w:tcPr>
          <w:p>
            <w:pPr>
              <w:spacing w:after="0"/>
              <w:rPr>
                <w:sz w:val="14"/>
                <w:szCs w:val="14"/>
                <w:color w:val="auto"/>
              </w:rPr>
            </w:pPr>
          </w:p>
        </w:tc>
        <w:tc>
          <w:tcPr>
            <w:tcW w:w="1400" w:type="dxa"/>
            <w:vAlign w:val="bottom"/>
            <w:tcBorders>
              <w:bottom w:val="single" w:sz="8" w:color="auto"/>
            </w:tcBorders>
          </w:tcPr>
          <w:p>
            <w:pPr>
              <w:jc w:val="right"/>
              <w:ind w:right="496"/>
              <w:spacing w:after="0"/>
              <w:rPr>
                <w:sz w:val="20"/>
                <w:szCs w:val="20"/>
                <w:color w:val="auto"/>
              </w:rPr>
            </w:pPr>
            <w:r>
              <w:rPr>
                <w:rFonts w:ascii="Arial" w:cs="Arial" w:eastAsia="Arial" w:hAnsi="Arial"/>
                <w:sz w:val="13"/>
                <w:szCs w:val="13"/>
                <w:b w:val="1"/>
                <w:bCs w:val="1"/>
                <w:color w:val="auto"/>
              </w:rPr>
              <w:t>2017</w:t>
            </w:r>
          </w:p>
        </w:tc>
        <w:tc>
          <w:tcPr>
            <w:tcW w:w="120" w:type="dxa"/>
            <w:vAlign w:val="bottom"/>
            <w:tcBorders>
              <w:bottom w:val="single" w:sz="8" w:color="CCEEFF"/>
            </w:tcBorders>
          </w:tcPr>
          <w:p>
            <w:pPr>
              <w:spacing w:after="0"/>
              <w:rPr>
                <w:sz w:val="14"/>
                <w:szCs w:val="14"/>
                <w:color w:val="auto"/>
              </w:rPr>
            </w:pP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3220" w:type="dxa"/>
            <w:vAlign w:val="bottom"/>
            <w:shd w:val="clear" w:color="auto" w:fill="CCEEFF"/>
          </w:tcPr>
          <w:p>
            <w:pPr>
              <w:spacing w:after="0" w:line="143" w:lineRule="exact"/>
              <w:rPr>
                <w:sz w:val="20"/>
                <w:szCs w:val="20"/>
                <w:color w:val="auto"/>
              </w:rPr>
            </w:pPr>
            <w:r>
              <w:rPr>
                <w:rFonts w:ascii="Arial" w:cs="Arial" w:eastAsia="Arial" w:hAnsi="Arial"/>
                <w:sz w:val="13"/>
                <w:szCs w:val="13"/>
                <w:color w:val="auto"/>
              </w:rPr>
              <w:t>Tier 1 capital</w:t>
            </w:r>
          </w:p>
        </w:tc>
        <w:tc>
          <w:tcPr>
            <w:tcW w:w="6160" w:type="dxa"/>
            <w:vAlign w:val="bottom"/>
            <w:gridSpan w:val="3"/>
            <w:shd w:val="clear" w:color="auto" w:fill="CCEEFF"/>
          </w:tcPr>
          <w:p>
            <w:pPr>
              <w:jc w:val="right"/>
              <w:ind w:right="161"/>
              <w:spacing w:after="0"/>
              <w:rPr>
                <w:sz w:val="20"/>
                <w:szCs w:val="20"/>
                <w:color w:val="auto"/>
              </w:rPr>
            </w:pPr>
            <w:r>
              <w:rPr>
                <w:rFonts w:ascii="Arial" w:cs="Arial" w:eastAsia="Arial" w:hAnsi="Arial"/>
                <w:sz w:val="13"/>
                <w:szCs w:val="13"/>
                <w:color w:val="auto"/>
              </w:rPr>
              <w:t>995,743</w:t>
            </w:r>
          </w:p>
        </w:tc>
        <w:tc>
          <w:tcPr>
            <w:tcW w:w="1520" w:type="dxa"/>
            <w:vAlign w:val="bottom"/>
            <w:gridSpan w:val="2"/>
            <w:shd w:val="clear" w:color="auto" w:fill="CCEEFF"/>
          </w:tcPr>
          <w:p>
            <w:pPr>
              <w:jc w:val="right"/>
              <w:ind w:right="56"/>
              <w:spacing w:after="0"/>
              <w:rPr>
                <w:sz w:val="20"/>
                <w:szCs w:val="20"/>
                <w:color w:val="auto"/>
              </w:rPr>
            </w:pPr>
            <w:r>
              <w:rPr>
                <w:rFonts w:ascii="Arial" w:cs="Arial" w:eastAsia="Arial" w:hAnsi="Arial"/>
                <w:sz w:val="13"/>
                <w:szCs w:val="13"/>
                <w:color w:val="auto"/>
              </w:rPr>
              <w:t>1,048,304</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3220" w:type="dxa"/>
            <w:vAlign w:val="bottom"/>
            <w:tcBorders>
              <w:top w:val="single" w:sz="8" w:color="CCEEFF"/>
            </w:tcBorders>
          </w:tcPr>
          <w:p>
            <w:pPr>
              <w:spacing w:after="0"/>
              <w:rPr>
                <w:sz w:val="13"/>
                <w:szCs w:val="13"/>
                <w:color w:val="auto"/>
              </w:rPr>
            </w:pPr>
          </w:p>
        </w:tc>
        <w:tc>
          <w:tcPr>
            <w:tcW w:w="4540" w:type="dxa"/>
            <w:vAlign w:val="bottom"/>
            <w:tcBorders>
              <w:top w:val="single" w:sz="8" w:color="CCEEFF"/>
            </w:tcBorders>
          </w:tcPr>
          <w:p>
            <w:pPr>
              <w:spacing w:after="0"/>
              <w:rPr>
                <w:sz w:val="13"/>
                <w:szCs w:val="13"/>
                <w:color w:val="auto"/>
              </w:rPr>
            </w:pPr>
          </w:p>
        </w:tc>
        <w:tc>
          <w:tcPr>
            <w:tcW w:w="1400" w:type="dxa"/>
            <w:vAlign w:val="bottom"/>
            <w:tcBorders>
              <w:top w:val="single" w:sz="8" w:color="auto"/>
            </w:tcBorders>
          </w:tcPr>
          <w:p>
            <w:pPr>
              <w:spacing w:after="0"/>
              <w:rPr>
                <w:sz w:val="13"/>
                <w:szCs w:val="13"/>
                <w:color w:val="auto"/>
              </w:rPr>
            </w:pPr>
          </w:p>
        </w:tc>
        <w:tc>
          <w:tcPr>
            <w:tcW w:w="220" w:type="dxa"/>
            <w:vAlign w:val="bottom"/>
            <w:tcBorders>
              <w:top w:val="single" w:sz="8" w:color="CCEEFF"/>
            </w:tcBorders>
          </w:tcPr>
          <w:p>
            <w:pPr>
              <w:spacing w:after="0"/>
              <w:rPr>
                <w:sz w:val="13"/>
                <w:szCs w:val="13"/>
                <w:color w:val="auto"/>
              </w:rPr>
            </w:pPr>
          </w:p>
        </w:tc>
        <w:tc>
          <w:tcPr>
            <w:tcW w:w="1400" w:type="dxa"/>
            <w:vAlign w:val="bottom"/>
            <w:tcBorders>
              <w:top w:val="single" w:sz="8" w:color="auto"/>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93"/>
        </w:trPr>
        <w:tc>
          <w:tcPr>
            <w:tcW w:w="220" w:type="dxa"/>
            <w:vAlign w:val="bottom"/>
            <w:vMerge w:val="continue"/>
          </w:tcPr>
          <w:p>
            <w:pPr>
              <w:spacing w:after="0"/>
              <w:rPr>
                <w:sz w:val="16"/>
                <w:szCs w:val="16"/>
                <w:color w:val="auto"/>
              </w:rPr>
            </w:pPr>
          </w:p>
        </w:tc>
        <w:tc>
          <w:tcPr>
            <w:tcW w:w="3220" w:type="dxa"/>
            <w:vAlign w:val="bottom"/>
            <w:shd w:val="clear" w:color="auto" w:fill="CCEEFF"/>
          </w:tcPr>
          <w:p>
            <w:pPr>
              <w:spacing w:after="0"/>
              <w:rPr>
                <w:sz w:val="20"/>
                <w:szCs w:val="20"/>
                <w:color w:val="auto"/>
              </w:rPr>
            </w:pPr>
            <w:r>
              <w:rPr>
                <w:rFonts w:ascii="Arial" w:cs="Arial" w:eastAsia="Arial" w:hAnsi="Arial"/>
                <w:sz w:val="13"/>
                <w:szCs w:val="13"/>
                <w:color w:val="auto"/>
              </w:rPr>
              <w:t>Risk weighted assets</w:t>
            </w:r>
          </w:p>
        </w:tc>
        <w:tc>
          <w:tcPr>
            <w:tcW w:w="6160" w:type="dxa"/>
            <w:vAlign w:val="bottom"/>
            <w:gridSpan w:val="3"/>
            <w:shd w:val="clear" w:color="auto" w:fill="CCEEFF"/>
          </w:tcPr>
          <w:p>
            <w:pPr>
              <w:jc w:val="right"/>
              <w:ind w:right="161"/>
              <w:spacing w:after="0"/>
              <w:rPr>
                <w:sz w:val="20"/>
                <w:szCs w:val="20"/>
                <w:color w:val="auto"/>
              </w:rPr>
            </w:pPr>
            <w:r>
              <w:rPr>
                <w:rFonts w:ascii="Arial" w:cs="Arial" w:eastAsia="Arial" w:hAnsi="Arial"/>
                <w:sz w:val="13"/>
                <w:szCs w:val="13"/>
                <w:color w:val="auto"/>
              </w:rPr>
              <w:t>5,830,875</w:t>
            </w:r>
          </w:p>
        </w:tc>
        <w:tc>
          <w:tcPr>
            <w:tcW w:w="1520" w:type="dxa"/>
            <w:vAlign w:val="bottom"/>
            <w:gridSpan w:val="2"/>
            <w:shd w:val="clear" w:color="auto" w:fill="CCEEFF"/>
          </w:tcPr>
          <w:p>
            <w:pPr>
              <w:jc w:val="right"/>
              <w:ind w:right="56"/>
              <w:spacing w:after="0"/>
              <w:rPr>
                <w:sz w:val="20"/>
                <w:szCs w:val="20"/>
                <w:color w:val="auto"/>
              </w:rPr>
            </w:pPr>
            <w:r>
              <w:rPr>
                <w:rFonts w:ascii="Arial" w:cs="Arial" w:eastAsia="Arial" w:hAnsi="Arial"/>
                <w:sz w:val="13"/>
                <w:szCs w:val="13"/>
                <w:color w:val="auto"/>
              </w:rPr>
              <w:t>5,601,518</w:t>
            </w:r>
          </w:p>
        </w:tc>
        <w:tc>
          <w:tcPr>
            <w:tcW w:w="3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52"/>
        </w:trPr>
        <w:tc>
          <w:tcPr>
            <w:tcW w:w="220" w:type="dxa"/>
            <w:vAlign w:val="bottom"/>
          </w:tcPr>
          <w:p>
            <w:pPr>
              <w:spacing w:after="0"/>
              <w:rPr>
                <w:sz w:val="13"/>
                <w:szCs w:val="13"/>
                <w:color w:val="auto"/>
              </w:rPr>
            </w:pPr>
          </w:p>
        </w:tc>
        <w:tc>
          <w:tcPr>
            <w:tcW w:w="3220" w:type="dxa"/>
            <w:vAlign w:val="bottom"/>
            <w:tcBorders>
              <w:top w:val="single" w:sz="8" w:color="CCEEFF"/>
            </w:tcBorders>
          </w:tcPr>
          <w:p>
            <w:pPr>
              <w:spacing w:after="0" w:line="143" w:lineRule="exact"/>
              <w:rPr>
                <w:sz w:val="20"/>
                <w:szCs w:val="20"/>
                <w:color w:val="auto"/>
              </w:rPr>
            </w:pPr>
            <w:r>
              <w:rPr>
                <w:rFonts w:ascii="Arial" w:cs="Arial" w:eastAsia="Arial" w:hAnsi="Arial"/>
                <w:sz w:val="13"/>
                <w:szCs w:val="13"/>
                <w:color w:val="auto"/>
              </w:rPr>
              <w:t>Tier 1 capital ratio</w:t>
            </w:r>
          </w:p>
        </w:tc>
        <w:tc>
          <w:tcPr>
            <w:tcW w:w="4540" w:type="dxa"/>
            <w:vAlign w:val="bottom"/>
            <w:tcBorders>
              <w:top w:val="single" w:sz="8" w:color="CCEEFF"/>
            </w:tcBorders>
          </w:tcPr>
          <w:p>
            <w:pPr>
              <w:spacing w:after="0"/>
              <w:rPr>
                <w:sz w:val="13"/>
                <w:szCs w:val="13"/>
                <w:color w:val="auto"/>
              </w:rPr>
            </w:pPr>
          </w:p>
        </w:tc>
        <w:tc>
          <w:tcPr>
            <w:tcW w:w="140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17.08</w:t>
            </w:r>
          </w:p>
        </w:tc>
        <w:tc>
          <w:tcPr>
            <w:tcW w:w="220" w:type="dxa"/>
            <w:vAlign w:val="bottom"/>
            <w:tcBorders>
              <w:top w:val="single" w:sz="8" w:color="CCEEFF"/>
            </w:tcBorders>
          </w:tcPr>
          <w:p>
            <w:pPr>
              <w:jc w:val="right"/>
              <w:ind w:right="61"/>
              <w:spacing w:after="0"/>
              <w:rPr>
                <w:sz w:val="20"/>
                <w:szCs w:val="20"/>
                <w:color w:val="auto"/>
              </w:rPr>
            </w:pPr>
            <w:r>
              <w:rPr>
                <w:rFonts w:ascii="Arial" w:cs="Arial" w:eastAsia="Arial" w:hAnsi="Arial"/>
                <w:sz w:val="12"/>
                <w:szCs w:val="12"/>
                <w:color w:val="auto"/>
                <w:w w:val="74"/>
              </w:rPr>
              <w:t>%</w:t>
            </w:r>
          </w:p>
        </w:tc>
        <w:tc>
          <w:tcPr>
            <w:tcW w:w="140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18.71</w:t>
            </w:r>
          </w:p>
        </w:tc>
        <w:tc>
          <w:tcPr>
            <w:tcW w:w="120" w:type="dxa"/>
            <w:vAlign w:val="bottom"/>
            <w:tcBorders>
              <w:top w:val="single" w:sz="8" w:color="CCEEFF"/>
            </w:tcBorders>
          </w:tcPr>
          <w:p>
            <w:pPr>
              <w:jc w:val="right"/>
              <w:spacing w:after="0" w:line="143" w:lineRule="exact"/>
              <w:rPr>
                <w:sz w:val="20"/>
                <w:szCs w:val="20"/>
                <w:color w:val="auto"/>
              </w:rPr>
            </w:pPr>
            <w:r>
              <w:rPr>
                <w:rFonts w:ascii="Arial" w:cs="Arial" w:eastAsia="Arial" w:hAnsi="Arial"/>
                <w:sz w:val="13"/>
                <w:szCs w:val="13"/>
                <w:color w:val="auto"/>
                <w:w w:val="86"/>
              </w:rPr>
              <w:t>%</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467"/>
        </w:trPr>
        <w:tc>
          <w:tcPr>
            <w:tcW w:w="220" w:type="dxa"/>
            <w:vAlign w:val="bottom"/>
            <w:tcBorders>
              <w:bottom w:val="single" w:sz="8" w:color="auto"/>
            </w:tcBorders>
          </w:tcPr>
          <w:p>
            <w:pPr>
              <w:spacing w:after="0"/>
              <w:rPr>
                <w:sz w:val="24"/>
                <w:szCs w:val="24"/>
                <w:color w:val="auto"/>
              </w:rPr>
            </w:pPr>
          </w:p>
        </w:tc>
        <w:tc>
          <w:tcPr>
            <w:tcW w:w="3220" w:type="dxa"/>
            <w:vAlign w:val="bottom"/>
            <w:tcBorders>
              <w:bottom w:val="single" w:sz="8" w:color="auto"/>
            </w:tcBorders>
          </w:tcPr>
          <w:p>
            <w:pPr>
              <w:spacing w:after="0"/>
              <w:rPr>
                <w:sz w:val="24"/>
                <w:szCs w:val="24"/>
                <w:color w:val="auto"/>
              </w:rPr>
            </w:pPr>
          </w:p>
        </w:tc>
        <w:tc>
          <w:tcPr>
            <w:tcW w:w="6160" w:type="dxa"/>
            <w:vAlign w:val="bottom"/>
            <w:tcBorders>
              <w:bottom w:val="single" w:sz="8" w:color="auto"/>
            </w:tcBorders>
            <w:gridSpan w:val="3"/>
          </w:tcPr>
          <w:p>
            <w:pPr>
              <w:jc w:val="right"/>
              <w:ind w:right="3641"/>
              <w:spacing w:after="0"/>
              <w:rPr>
                <w:sz w:val="20"/>
                <w:szCs w:val="20"/>
                <w:color w:val="auto"/>
              </w:rPr>
            </w:pPr>
            <w:r>
              <w:rPr>
                <w:rFonts w:ascii="Arial" w:cs="Arial" w:eastAsia="Arial" w:hAnsi="Arial"/>
                <w:sz w:val="13"/>
                <w:szCs w:val="13"/>
                <w:color w:val="auto"/>
              </w:rPr>
              <w:t>F-108</w:t>
            </w:r>
          </w:p>
        </w:tc>
        <w:tc>
          <w:tcPr>
            <w:tcW w:w="14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3"/>
          </w:cols>
          <w:pgMar w:left="217" w:top="685" w:right="199" w:bottom="1440" w:gutter="0" w:footer="0" w:header="0"/>
        </w:sectPr>
      </w:pPr>
    </w:p>
    <w:bookmarkStart w:id="233" w:name="page234"/>
    <w:bookmarkEnd w:id="233"/>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40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right="8840" w:hanging="223"/>
        <w:spacing w:after="0" w:line="497" w:lineRule="auto"/>
        <w:tabs>
          <w:tab w:leader="none" w:pos="223" w:val="left"/>
        </w:tabs>
        <w:numPr>
          <w:ilvl w:val="0"/>
          <w:numId w:val="203"/>
        </w:numPr>
        <w:rPr>
          <w:rFonts w:ascii="Arial" w:cs="Arial" w:eastAsia="Arial" w:hAnsi="Arial"/>
          <w:sz w:val="13"/>
          <w:szCs w:val="13"/>
          <w:b w:val="1"/>
          <w:bCs w:val="1"/>
          <w:color w:val="auto"/>
        </w:rPr>
      </w:pPr>
      <w:r>
        <w:rPr>
          <w:rFonts w:ascii="Arial" w:cs="Arial" w:eastAsia="Arial" w:hAnsi="Arial"/>
          <w:sz w:val="13"/>
          <w:szCs w:val="13"/>
          <w:b w:val="1"/>
          <w:bCs w:val="1"/>
          <w:color w:val="auto"/>
        </w:rPr>
        <w:t xml:space="preserve">Applicable laws and regulations (continued) </w:t>
      </w:r>
      <w:r>
        <w:rPr>
          <w:rFonts w:ascii="Arial" w:cs="Arial" w:eastAsia="Arial" w:hAnsi="Arial"/>
          <w:sz w:val="13"/>
          <w:szCs w:val="13"/>
          <w:u w:val="single" w:color="auto"/>
          <w:color w:val="auto"/>
        </w:rPr>
        <w:t>Leverage Coefficient</w:t>
      </w:r>
    </w:p>
    <w:p>
      <w:pPr>
        <w:jc w:val="both"/>
        <w:ind w:left="223" w:right="20"/>
        <w:spacing w:after="0" w:line="257" w:lineRule="auto"/>
        <w:rPr>
          <w:rFonts w:ascii="Arial" w:cs="Arial" w:eastAsia="Arial" w:hAnsi="Arial"/>
          <w:sz w:val="13"/>
          <w:szCs w:val="13"/>
          <w:b w:val="1"/>
          <w:bCs w:val="1"/>
          <w:color w:val="auto"/>
        </w:rPr>
      </w:pPr>
      <w:r>
        <w:rPr>
          <w:rFonts w:ascii="Arial" w:cs="Arial" w:eastAsia="Arial" w:hAnsi="Arial"/>
          <w:sz w:val="13"/>
          <w:szCs w:val="13"/>
          <w:color w:val="222222"/>
        </w:rPr>
        <w:t xml:space="preserve">Article 17 of the Rule No. 1-2015 establishes the leverage coefficient of a regulated entity by means of the quotient between the ordinary primary capital and the total exposure for unweighted assets inside and outside the statement of financial position established by the </w:t>
      </w:r>
      <w:r>
        <w:rPr>
          <w:rFonts w:ascii="Arial" w:cs="Arial" w:eastAsia="Arial" w:hAnsi="Arial"/>
          <w:sz w:val="13"/>
          <w:szCs w:val="13"/>
          <w:color w:val="000000"/>
        </w:rPr>
        <w:t>Superintendence of Banks of Panama (SBP)</w:t>
      </w:r>
      <w:r>
        <w:rPr>
          <w:rFonts w:ascii="Arial" w:cs="Arial" w:eastAsia="Arial" w:hAnsi="Arial"/>
          <w:sz w:val="13"/>
          <w:szCs w:val="13"/>
          <w:color w:val="222222"/>
        </w:rPr>
        <w:t>. For the determination of the exposure of off-balance-sheet operations, the criteria established for credit and counterparty credit risk positions will be used. The exposure of the derivatives will be the fair value at which it is recorded in the entity's assets.</w:t>
      </w:r>
    </w:p>
    <w:p>
      <w:pPr>
        <w:spacing w:after="0" w:line="135"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222222"/>
        </w:rPr>
        <w:t>The leverage ratio cannot be lower, at any time, than 3%. The Bank will inform to SBP as often as the compliance with the leverage ratio is determined.</w:t>
      </w:r>
    </w:p>
    <w:p>
      <w:pPr>
        <w:spacing w:after="0" w:line="155" w:lineRule="exact"/>
        <w:rPr>
          <w:sz w:val="20"/>
          <w:szCs w:val="20"/>
          <w:color w:val="auto"/>
        </w:rPr>
      </w:pPr>
    </w:p>
    <w:tbl>
      <w:tblPr>
        <w:tblLayout w:type="fixed"/>
        <w:tblInd w:w="463" w:type="dxa"/>
        <w:tblCellMar>
          <w:top w:w="0" w:type="dxa"/>
          <w:left w:w="0" w:type="dxa"/>
          <w:bottom w:w="0" w:type="dxa"/>
          <w:right w:w="0" w:type="dxa"/>
        </w:tblCellMar>
      </w:tblPr>
      <w:tr>
        <w:trPr>
          <w:trHeight w:val="154"/>
        </w:trPr>
        <w:tc>
          <w:tcPr>
            <w:tcW w:w="20" w:type="dxa"/>
            <w:vAlign w:val="bottom"/>
          </w:tcPr>
          <w:p>
            <w:pPr>
              <w:spacing w:after="0"/>
              <w:rPr>
                <w:sz w:val="13"/>
                <w:szCs w:val="13"/>
                <w:color w:val="auto"/>
              </w:rPr>
            </w:pPr>
          </w:p>
        </w:tc>
        <w:tc>
          <w:tcPr>
            <w:tcW w:w="6060" w:type="dxa"/>
            <w:vAlign w:val="bottom"/>
          </w:tcPr>
          <w:p>
            <w:pPr>
              <w:spacing w:after="0"/>
              <w:rPr>
                <w:sz w:val="13"/>
                <w:szCs w:val="13"/>
                <w:color w:val="auto"/>
              </w:rPr>
            </w:pPr>
          </w:p>
        </w:tc>
        <w:tc>
          <w:tcPr>
            <w:tcW w:w="1300" w:type="dxa"/>
            <w:vAlign w:val="bottom"/>
            <w:gridSpan w:val="2"/>
          </w:tcPr>
          <w:p>
            <w:pPr>
              <w:jc w:val="center"/>
              <w:ind w:right="116"/>
              <w:spacing w:after="0"/>
              <w:rPr>
                <w:sz w:val="20"/>
                <w:szCs w:val="20"/>
                <w:color w:val="auto"/>
              </w:rPr>
            </w:pPr>
            <w:r>
              <w:rPr>
                <w:rFonts w:ascii="Arial" w:cs="Arial" w:eastAsia="Arial" w:hAnsi="Arial"/>
                <w:sz w:val="13"/>
                <w:szCs w:val="13"/>
                <w:b w:val="1"/>
                <w:bCs w:val="1"/>
                <w:color w:val="auto"/>
                <w:w w:val="89"/>
              </w:rPr>
              <w:t>December 31,</w:t>
            </w:r>
          </w:p>
        </w:tc>
        <w:tc>
          <w:tcPr>
            <w:tcW w:w="1220" w:type="dxa"/>
            <w:vAlign w:val="bottom"/>
            <w:gridSpan w:val="2"/>
          </w:tcPr>
          <w:p>
            <w:pPr>
              <w:jc w:val="right"/>
              <w:ind w:right="236"/>
              <w:spacing w:after="0"/>
              <w:rPr>
                <w:sz w:val="20"/>
                <w:szCs w:val="20"/>
                <w:color w:val="auto"/>
              </w:rPr>
            </w:pPr>
            <w:r>
              <w:rPr>
                <w:rFonts w:ascii="Arial" w:cs="Arial" w:eastAsia="Arial" w:hAnsi="Arial"/>
                <w:sz w:val="13"/>
                <w:szCs w:val="13"/>
                <w:b w:val="1"/>
                <w:bCs w:val="1"/>
                <w:color w:val="auto"/>
              </w:rPr>
              <w:t>December 31,</w:t>
            </w: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6060" w:type="dxa"/>
            <w:vAlign w:val="bottom"/>
            <w:tcBorders>
              <w:bottom w:val="single" w:sz="8" w:color="CCEEFF"/>
            </w:tcBorders>
          </w:tcPr>
          <w:p>
            <w:pPr>
              <w:spacing w:after="0"/>
              <w:rPr>
                <w:sz w:val="14"/>
                <w:szCs w:val="14"/>
                <w:color w:val="auto"/>
              </w:rPr>
            </w:pPr>
          </w:p>
        </w:tc>
        <w:tc>
          <w:tcPr>
            <w:tcW w:w="1100" w:type="dxa"/>
            <w:vAlign w:val="bottom"/>
            <w:tcBorders>
              <w:bottom w:val="single" w:sz="8" w:color="auto"/>
            </w:tcBorders>
          </w:tcPr>
          <w:p>
            <w:pPr>
              <w:jc w:val="right"/>
              <w:ind w:right="356"/>
              <w:spacing w:after="0"/>
              <w:rPr>
                <w:sz w:val="20"/>
                <w:szCs w:val="20"/>
                <w:color w:val="auto"/>
              </w:rPr>
            </w:pPr>
            <w:r>
              <w:rPr>
                <w:rFonts w:ascii="Arial" w:cs="Arial" w:eastAsia="Arial" w:hAnsi="Arial"/>
                <w:sz w:val="13"/>
                <w:szCs w:val="13"/>
                <w:b w:val="1"/>
                <w:bCs w:val="1"/>
                <w:color w:val="auto"/>
              </w:rPr>
              <w:t>2018</w:t>
            </w:r>
          </w:p>
        </w:tc>
        <w:tc>
          <w:tcPr>
            <w:tcW w:w="200" w:type="dxa"/>
            <w:vAlign w:val="bottom"/>
            <w:tcBorders>
              <w:bottom w:val="single" w:sz="8" w:color="CCEEFF"/>
            </w:tcBorders>
          </w:tcPr>
          <w:p>
            <w:pPr>
              <w:spacing w:after="0"/>
              <w:rPr>
                <w:sz w:val="14"/>
                <w:szCs w:val="14"/>
                <w:color w:val="auto"/>
              </w:rPr>
            </w:pPr>
          </w:p>
        </w:tc>
        <w:tc>
          <w:tcPr>
            <w:tcW w:w="1100" w:type="dxa"/>
            <w:vAlign w:val="bottom"/>
            <w:tcBorders>
              <w:bottom w:val="single" w:sz="8" w:color="auto"/>
            </w:tcBorders>
          </w:tcPr>
          <w:p>
            <w:pPr>
              <w:jc w:val="right"/>
              <w:ind w:right="356"/>
              <w:spacing w:after="0"/>
              <w:rPr>
                <w:sz w:val="20"/>
                <w:szCs w:val="20"/>
                <w:color w:val="auto"/>
              </w:rPr>
            </w:pPr>
            <w:r>
              <w:rPr>
                <w:rFonts w:ascii="Arial" w:cs="Arial" w:eastAsia="Arial" w:hAnsi="Arial"/>
                <w:sz w:val="13"/>
                <w:szCs w:val="13"/>
                <w:b w:val="1"/>
                <w:bCs w:val="1"/>
                <w:color w:val="auto"/>
              </w:rPr>
              <w:t>2017</w:t>
            </w:r>
          </w:p>
        </w:tc>
        <w:tc>
          <w:tcPr>
            <w:tcW w:w="12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6060" w:type="dxa"/>
            <w:vAlign w:val="bottom"/>
            <w:shd w:val="clear" w:color="auto" w:fill="CCEEFF"/>
          </w:tcPr>
          <w:p>
            <w:pPr>
              <w:spacing w:after="0" w:line="143" w:lineRule="exact"/>
              <w:rPr>
                <w:sz w:val="20"/>
                <w:szCs w:val="20"/>
                <w:color w:val="auto"/>
              </w:rPr>
            </w:pPr>
            <w:r>
              <w:rPr>
                <w:rFonts w:ascii="Arial" w:cs="Arial" w:eastAsia="Arial" w:hAnsi="Arial"/>
                <w:sz w:val="13"/>
                <w:szCs w:val="13"/>
                <w:color w:val="auto"/>
              </w:rPr>
              <w:t>Ordinary capital</w:t>
            </w:r>
          </w:p>
        </w:tc>
        <w:tc>
          <w:tcPr>
            <w:tcW w:w="1300" w:type="dxa"/>
            <w:vAlign w:val="bottom"/>
            <w:gridSpan w:val="2"/>
            <w:shd w:val="clear" w:color="auto" w:fill="CCEEFF"/>
          </w:tcPr>
          <w:p>
            <w:pPr>
              <w:jc w:val="right"/>
              <w:ind w:right="136"/>
              <w:spacing w:after="0"/>
              <w:rPr>
                <w:sz w:val="20"/>
                <w:szCs w:val="20"/>
                <w:color w:val="auto"/>
              </w:rPr>
            </w:pPr>
            <w:r>
              <w:rPr>
                <w:rFonts w:ascii="Arial" w:cs="Arial" w:eastAsia="Arial" w:hAnsi="Arial"/>
                <w:sz w:val="13"/>
                <w:szCs w:val="13"/>
                <w:color w:val="auto"/>
              </w:rPr>
              <w:t>859,725</w:t>
            </w:r>
          </w:p>
        </w:tc>
        <w:tc>
          <w:tcPr>
            <w:tcW w:w="11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939,548</w:t>
            </w: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060" w:type="dxa"/>
            <w:vAlign w:val="bottom"/>
            <w:tcBorders>
              <w:top w:val="single" w:sz="8" w:color="CCEEFF"/>
            </w:tcBorders>
          </w:tcPr>
          <w:p>
            <w:pPr>
              <w:spacing w:after="0"/>
              <w:rPr>
                <w:sz w:val="13"/>
                <w:szCs w:val="13"/>
                <w:color w:val="auto"/>
              </w:rPr>
            </w:pPr>
          </w:p>
        </w:tc>
        <w:tc>
          <w:tcPr>
            <w:tcW w:w="1100" w:type="dxa"/>
            <w:vAlign w:val="bottom"/>
            <w:tcBorders>
              <w:top w:val="single" w:sz="8" w:color="auto"/>
            </w:tcBorders>
          </w:tcPr>
          <w:p>
            <w:pPr>
              <w:spacing w:after="0"/>
              <w:rPr>
                <w:sz w:val="13"/>
                <w:szCs w:val="13"/>
                <w:color w:val="auto"/>
              </w:rPr>
            </w:pPr>
          </w:p>
        </w:tc>
        <w:tc>
          <w:tcPr>
            <w:tcW w:w="200" w:type="dxa"/>
            <w:vAlign w:val="bottom"/>
            <w:tcBorders>
              <w:top w:val="single" w:sz="8" w:color="CCEEFF"/>
            </w:tcBorders>
          </w:tcPr>
          <w:p>
            <w:pPr>
              <w:spacing w:after="0"/>
              <w:rPr>
                <w:sz w:val="13"/>
                <w:szCs w:val="13"/>
                <w:color w:val="auto"/>
              </w:rPr>
            </w:pPr>
          </w:p>
        </w:tc>
        <w:tc>
          <w:tcPr>
            <w:tcW w:w="1100" w:type="dxa"/>
            <w:vAlign w:val="bottom"/>
            <w:tcBorders>
              <w:top w:val="single" w:sz="8" w:color="auto"/>
            </w:tcBorders>
          </w:tcPr>
          <w:p>
            <w:pPr>
              <w:spacing w:after="0"/>
              <w:rPr>
                <w:sz w:val="13"/>
                <w:szCs w:val="13"/>
                <w:color w:val="auto"/>
              </w:rPr>
            </w:pPr>
          </w:p>
        </w:tc>
        <w:tc>
          <w:tcPr>
            <w:tcW w:w="120" w:type="dxa"/>
            <w:vAlign w:val="bottom"/>
            <w:tcBorders>
              <w:top w:val="single" w:sz="8" w:color="CCEEFF"/>
            </w:tcBorders>
          </w:tcPr>
          <w:p>
            <w:pPr>
              <w:spacing w:after="0"/>
              <w:rPr>
                <w:sz w:val="13"/>
                <w:szCs w:val="13"/>
                <w:color w:val="auto"/>
              </w:rPr>
            </w:pPr>
          </w:p>
        </w:tc>
        <w:tc>
          <w:tcPr>
            <w:tcW w:w="0" w:type="dxa"/>
            <w:vAlign w:val="bottom"/>
          </w:tcPr>
          <w:p>
            <w:pPr>
              <w:spacing w:after="0"/>
              <w:rPr>
                <w:sz w:val="1"/>
                <w:szCs w:val="1"/>
                <w:color w:val="auto"/>
              </w:rPr>
            </w:pPr>
          </w:p>
        </w:tc>
      </w:tr>
      <w:tr>
        <w:trPr>
          <w:trHeight w:val="193"/>
        </w:trPr>
        <w:tc>
          <w:tcPr>
            <w:tcW w:w="20" w:type="dxa"/>
            <w:vAlign w:val="bottom"/>
            <w:vMerge w:val="continue"/>
          </w:tcPr>
          <w:p>
            <w:pPr>
              <w:spacing w:after="0"/>
              <w:rPr>
                <w:sz w:val="16"/>
                <w:szCs w:val="16"/>
                <w:color w:val="auto"/>
              </w:rPr>
            </w:pPr>
          </w:p>
        </w:tc>
        <w:tc>
          <w:tcPr>
            <w:tcW w:w="6060" w:type="dxa"/>
            <w:vAlign w:val="bottom"/>
            <w:shd w:val="clear" w:color="auto" w:fill="CCEEFF"/>
          </w:tcPr>
          <w:p>
            <w:pPr>
              <w:spacing w:after="0"/>
              <w:rPr>
                <w:sz w:val="20"/>
                <w:szCs w:val="20"/>
                <w:color w:val="auto"/>
              </w:rPr>
            </w:pPr>
            <w:r>
              <w:rPr>
                <w:rFonts w:ascii="Arial" w:cs="Arial" w:eastAsia="Arial" w:hAnsi="Arial"/>
                <w:sz w:val="13"/>
                <w:szCs w:val="13"/>
                <w:color w:val="auto"/>
              </w:rPr>
              <w:t>Risk weighted assets</w:t>
            </w:r>
          </w:p>
        </w:tc>
        <w:tc>
          <w:tcPr>
            <w:tcW w:w="1300" w:type="dxa"/>
            <w:vAlign w:val="bottom"/>
            <w:gridSpan w:val="2"/>
            <w:shd w:val="clear" w:color="auto" w:fill="CCEEFF"/>
          </w:tcPr>
          <w:p>
            <w:pPr>
              <w:jc w:val="right"/>
              <w:ind w:right="136"/>
              <w:spacing w:after="0"/>
              <w:rPr>
                <w:sz w:val="20"/>
                <w:szCs w:val="20"/>
                <w:color w:val="auto"/>
              </w:rPr>
            </w:pPr>
            <w:r>
              <w:rPr>
                <w:rFonts w:ascii="Arial" w:cs="Arial" w:eastAsia="Arial" w:hAnsi="Arial"/>
                <w:sz w:val="13"/>
                <w:szCs w:val="13"/>
                <w:color w:val="auto"/>
              </w:rPr>
              <w:t>7,779,919</w:t>
            </w:r>
          </w:p>
        </w:tc>
        <w:tc>
          <w:tcPr>
            <w:tcW w:w="11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6,478,314</w:t>
            </w:r>
          </w:p>
        </w:tc>
        <w:tc>
          <w:tcPr>
            <w:tcW w:w="12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52"/>
        </w:trPr>
        <w:tc>
          <w:tcPr>
            <w:tcW w:w="20" w:type="dxa"/>
            <w:vAlign w:val="bottom"/>
          </w:tcPr>
          <w:p>
            <w:pPr>
              <w:spacing w:after="0"/>
              <w:rPr>
                <w:sz w:val="13"/>
                <w:szCs w:val="13"/>
                <w:color w:val="auto"/>
              </w:rPr>
            </w:pPr>
          </w:p>
        </w:tc>
        <w:tc>
          <w:tcPr>
            <w:tcW w:w="6060" w:type="dxa"/>
            <w:vAlign w:val="bottom"/>
            <w:tcBorders>
              <w:top w:val="single" w:sz="8" w:color="CCEEFF"/>
            </w:tcBorders>
          </w:tcPr>
          <w:p>
            <w:pPr>
              <w:spacing w:after="0" w:line="143" w:lineRule="exact"/>
              <w:rPr>
                <w:sz w:val="20"/>
                <w:szCs w:val="20"/>
                <w:color w:val="auto"/>
              </w:rPr>
            </w:pPr>
            <w:r>
              <w:rPr>
                <w:rFonts w:ascii="Arial" w:cs="Arial" w:eastAsia="Arial" w:hAnsi="Arial"/>
                <w:sz w:val="13"/>
                <w:szCs w:val="13"/>
                <w:color w:val="auto"/>
              </w:rPr>
              <w:t>Leverage coefficient</w:t>
            </w:r>
          </w:p>
        </w:tc>
        <w:tc>
          <w:tcPr>
            <w:tcW w:w="110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11.05</w:t>
            </w:r>
          </w:p>
        </w:tc>
        <w:tc>
          <w:tcPr>
            <w:tcW w:w="200" w:type="dxa"/>
            <w:vAlign w:val="bottom"/>
            <w:tcBorders>
              <w:top w:val="single" w:sz="8" w:color="CCEEFF"/>
            </w:tcBorders>
          </w:tcPr>
          <w:p>
            <w:pPr>
              <w:jc w:val="right"/>
              <w:ind w:right="16"/>
              <w:spacing w:after="0" w:line="143" w:lineRule="exact"/>
              <w:rPr>
                <w:sz w:val="20"/>
                <w:szCs w:val="20"/>
                <w:color w:val="auto"/>
              </w:rPr>
            </w:pPr>
            <w:r>
              <w:rPr>
                <w:rFonts w:ascii="Arial" w:cs="Arial" w:eastAsia="Arial" w:hAnsi="Arial"/>
                <w:sz w:val="13"/>
                <w:szCs w:val="13"/>
                <w:color w:val="auto"/>
                <w:w w:val="86"/>
              </w:rPr>
              <w:t>%</w:t>
            </w:r>
          </w:p>
        </w:tc>
        <w:tc>
          <w:tcPr>
            <w:tcW w:w="110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14.50</w:t>
            </w:r>
          </w:p>
        </w:tc>
        <w:tc>
          <w:tcPr>
            <w:tcW w:w="120" w:type="dxa"/>
            <w:vAlign w:val="bottom"/>
            <w:tcBorders>
              <w:top w:val="single" w:sz="8" w:color="CCEEFF"/>
            </w:tcBorders>
          </w:tcPr>
          <w:p>
            <w:pPr>
              <w:jc w:val="right"/>
              <w:spacing w:after="0" w:line="143" w:lineRule="exact"/>
              <w:rPr>
                <w:sz w:val="20"/>
                <w:szCs w:val="20"/>
                <w:color w:val="auto"/>
              </w:rPr>
            </w:pPr>
            <w:r>
              <w:rPr>
                <w:rFonts w:ascii="Arial" w:cs="Arial" w:eastAsia="Arial" w:hAnsi="Arial"/>
                <w:sz w:val="13"/>
                <w:szCs w:val="13"/>
                <w:color w:val="auto"/>
                <w:w w:val="86"/>
              </w:rPr>
              <w:t>%</w:t>
            </w:r>
          </w:p>
        </w:tc>
        <w:tc>
          <w:tcPr>
            <w:tcW w:w="0" w:type="dxa"/>
            <w:vAlign w:val="bottom"/>
          </w:tcPr>
          <w:p>
            <w:pPr>
              <w:spacing w:after="0"/>
              <w:rPr>
                <w:sz w:val="1"/>
                <w:szCs w:val="1"/>
                <w:color w:val="auto"/>
              </w:rPr>
            </w:pPr>
          </w:p>
        </w:tc>
      </w:tr>
    </w:tbl>
    <w:p>
      <w:pPr>
        <w:spacing w:after="0" w:line="145" w:lineRule="exact"/>
        <w:rPr>
          <w:sz w:val="20"/>
          <w:szCs w:val="20"/>
          <w:color w:val="auto"/>
        </w:rPr>
      </w:pPr>
    </w:p>
    <w:p>
      <w:pPr>
        <w:ind w:left="223"/>
        <w:spacing w:after="0"/>
        <w:rPr>
          <w:sz w:val="20"/>
          <w:szCs w:val="20"/>
          <w:color w:val="auto"/>
        </w:rPr>
      </w:pPr>
      <w:r>
        <w:rPr>
          <w:rFonts w:ascii="Arial" w:cs="Arial" w:eastAsia="Arial" w:hAnsi="Arial"/>
          <w:sz w:val="13"/>
          <w:szCs w:val="13"/>
          <w:u w:val="single" w:color="auto"/>
          <w:color w:val="auto"/>
        </w:rPr>
        <w:t>Specific credit provisions</w:t>
      </w:r>
    </w:p>
    <w:p>
      <w:pPr>
        <w:spacing w:after="0" w:line="159" w:lineRule="exact"/>
        <w:rPr>
          <w:sz w:val="20"/>
          <w:szCs w:val="20"/>
          <w:color w:val="auto"/>
        </w:rPr>
      </w:pPr>
    </w:p>
    <w:p>
      <w:pPr>
        <w:jc w:val="both"/>
        <w:ind w:left="223" w:right="20"/>
        <w:spacing w:after="0" w:line="257" w:lineRule="auto"/>
        <w:rPr>
          <w:sz w:val="20"/>
          <w:szCs w:val="20"/>
          <w:color w:val="auto"/>
        </w:rPr>
      </w:pPr>
      <w:r>
        <w:rPr>
          <w:rFonts w:ascii="Arial" w:cs="Arial" w:eastAsia="Arial" w:hAnsi="Arial"/>
          <w:sz w:val="13"/>
          <w:szCs w:val="13"/>
          <w:color w:val="auto"/>
        </w:rPr>
        <w:t>Rule No. 4-2013, modified by Rule No. 8-2014, states that the specific provisions are originated from the objective and concrete evidence of impairment. These provisions must be established for credit facilities classified according to the risk categories denominated as: special mention, substandard, doubtful, or unrecoverable, both for individual credit facilities as for a group of such facilities. In the case of a group, it corresponds to circumstances that indicate the existence of deterioration in credit quality, although individual identification is still not possible.</w:t>
      </w:r>
    </w:p>
    <w:p>
      <w:pPr>
        <w:spacing w:after="0" w:line="136" w:lineRule="exact"/>
        <w:rPr>
          <w:sz w:val="20"/>
          <w:szCs w:val="20"/>
          <w:color w:val="auto"/>
        </w:rPr>
      </w:pPr>
    </w:p>
    <w:p>
      <w:pPr>
        <w:jc w:val="both"/>
        <w:ind w:left="223" w:right="20"/>
        <w:spacing w:after="0" w:line="257" w:lineRule="auto"/>
        <w:rPr>
          <w:sz w:val="20"/>
          <w:szCs w:val="20"/>
          <w:color w:val="auto"/>
        </w:rPr>
      </w:pPr>
      <w:r>
        <w:rPr>
          <w:rFonts w:ascii="Arial" w:cs="Arial" w:eastAsia="Arial" w:hAnsi="Arial"/>
          <w:sz w:val="13"/>
          <w:szCs w:val="13"/>
          <w:color w:val="auto"/>
        </w:rPr>
        <w:t>Banks must calculate and maintain at all times the amount of the specific provisions determined by the methodology specified in this Rule, which takes into account the balance owed of each credit facility classified in any of the categories subject to provision, mentioned in the paragraph above; the present value of each guarantee available in order to mitigate risk, as established by type of collateral; and a weighting table that applies to the net exposure balance subject to loss of such credit facilities.</w:t>
      </w:r>
    </w:p>
    <w:p>
      <w:pPr>
        <w:spacing w:after="0" w:line="136" w:lineRule="exact"/>
        <w:rPr>
          <w:sz w:val="20"/>
          <w:szCs w:val="20"/>
          <w:color w:val="auto"/>
        </w:rPr>
      </w:pPr>
    </w:p>
    <w:p>
      <w:pPr>
        <w:ind w:left="223"/>
        <w:spacing w:after="0"/>
        <w:rPr>
          <w:sz w:val="20"/>
          <w:szCs w:val="20"/>
          <w:color w:val="auto"/>
        </w:rPr>
      </w:pPr>
      <w:r>
        <w:rPr>
          <w:rFonts w:ascii="Arial" w:cs="Arial" w:eastAsia="Arial" w:hAnsi="Arial"/>
          <w:sz w:val="12"/>
          <w:szCs w:val="12"/>
          <w:color w:val="auto"/>
        </w:rPr>
        <w:t>Article 34 of this Rule establishes that all credits must be classified in the following five (5) categories, according to their default risk and loan conditions, and establishes a minimum reserve for each classification:</w:t>
      </w:r>
    </w:p>
    <w:p>
      <w:pPr>
        <w:spacing w:after="0" w:line="24" w:lineRule="exact"/>
        <w:rPr>
          <w:sz w:val="20"/>
          <w:szCs w:val="20"/>
          <w:color w:val="auto"/>
        </w:rPr>
      </w:pPr>
    </w:p>
    <w:p>
      <w:pPr>
        <w:ind w:left="223"/>
        <w:spacing w:after="0"/>
        <w:rPr>
          <w:sz w:val="20"/>
          <w:szCs w:val="20"/>
          <w:color w:val="auto"/>
        </w:rPr>
      </w:pPr>
      <w:r>
        <w:rPr>
          <w:rFonts w:ascii="Arial" w:cs="Arial" w:eastAsia="Arial" w:hAnsi="Arial"/>
          <w:sz w:val="13"/>
          <w:szCs w:val="13"/>
          <w:color w:val="auto"/>
        </w:rPr>
        <w:t>normal 0%, special mention 2%, substandard 15%, doubtful 50%, and unrecoverable 100%.</w:t>
      </w:r>
    </w:p>
    <w:p>
      <w:pPr>
        <w:spacing w:after="0" w:line="150" w:lineRule="exact"/>
        <w:rPr>
          <w:sz w:val="20"/>
          <w:szCs w:val="20"/>
          <w:color w:val="auto"/>
        </w:rPr>
      </w:pPr>
    </w:p>
    <w:p>
      <w:pPr>
        <w:jc w:val="both"/>
        <w:ind w:left="223" w:right="20"/>
        <w:spacing w:after="0" w:line="257" w:lineRule="auto"/>
        <w:rPr>
          <w:sz w:val="20"/>
          <w:szCs w:val="20"/>
          <w:color w:val="auto"/>
        </w:rPr>
      </w:pPr>
      <w:r>
        <w:rPr>
          <w:rFonts w:ascii="Arial" w:cs="Arial" w:eastAsia="Arial" w:hAnsi="Arial"/>
          <w:sz w:val="13"/>
          <w:szCs w:val="13"/>
          <w:color w:val="auto"/>
        </w:rPr>
        <w:t>If there is an excess in the specific provision, calculated in accordance with this Rule, compared to the provision calculated in accordance with IFRS, this excess will be accounted for as a regulatory credit reserve in equity and will increase or decrease with appropriations from/to retained earnings. The balance of the regulatory credit reserve will not be considered as capital funds for calculating certain ratios or prudential indicators mentioned in the Rule.</w:t>
      </w:r>
    </w:p>
    <w:p>
      <w:pPr>
        <w:spacing w:after="0" w:line="290"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F-109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40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234" w:name="page235"/>
    <w:bookmarkEnd w:id="234"/>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40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right="8840" w:hanging="223"/>
        <w:spacing w:after="0" w:line="588" w:lineRule="auto"/>
        <w:tabs>
          <w:tab w:leader="none" w:pos="223" w:val="left"/>
        </w:tabs>
        <w:numPr>
          <w:ilvl w:val="0"/>
          <w:numId w:val="204"/>
        </w:numPr>
        <w:rPr>
          <w:rFonts w:ascii="Arial" w:cs="Arial" w:eastAsia="Arial" w:hAnsi="Arial"/>
          <w:sz w:val="11"/>
          <w:szCs w:val="11"/>
          <w:b w:val="1"/>
          <w:bCs w:val="1"/>
          <w:color w:val="auto"/>
        </w:rPr>
      </w:pPr>
      <w:r>
        <w:rPr>
          <w:rFonts w:ascii="Arial" w:cs="Arial" w:eastAsia="Arial" w:hAnsi="Arial"/>
          <w:sz w:val="11"/>
          <w:szCs w:val="11"/>
          <w:b w:val="1"/>
          <w:bCs w:val="1"/>
          <w:color w:val="auto"/>
        </w:rPr>
        <w:t xml:space="preserve">Applicable laws and regulations (continued) </w:t>
      </w:r>
      <w:r>
        <w:rPr>
          <w:rFonts w:ascii="Arial" w:cs="Arial" w:eastAsia="Arial" w:hAnsi="Arial"/>
          <w:sz w:val="11"/>
          <w:szCs w:val="11"/>
          <w:u w:val="single" w:color="auto"/>
          <w:color w:val="auto"/>
        </w:rPr>
        <w:t>Specific credit provisions (continued)</w:t>
      </w:r>
    </w:p>
    <w:p>
      <w:pPr>
        <w:ind w:left="223"/>
        <w:spacing w:after="0"/>
        <w:rPr>
          <w:rFonts w:ascii="Arial" w:cs="Arial" w:eastAsia="Arial" w:hAnsi="Arial"/>
          <w:sz w:val="11"/>
          <w:szCs w:val="11"/>
          <w:b w:val="1"/>
          <w:bCs w:val="1"/>
          <w:color w:val="auto"/>
        </w:rPr>
      </w:pPr>
      <w:r>
        <w:rPr>
          <w:rFonts w:ascii="Arial" w:cs="Arial" w:eastAsia="Arial" w:hAnsi="Arial"/>
          <w:sz w:val="13"/>
          <w:szCs w:val="13"/>
          <w:color w:val="auto"/>
        </w:rPr>
        <w:t>Based on the classification of risks, collateral and in compliance with SBP Rule No. 4-2013, the Bank classified the loan portfolio as follows:</w:t>
      </w:r>
    </w:p>
    <w:p>
      <w:pPr>
        <w:spacing w:after="0" w:line="164" w:lineRule="exact"/>
        <w:rPr>
          <w:sz w:val="20"/>
          <w:szCs w:val="20"/>
          <w:color w:val="auto"/>
        </w:rPr>
      </w:pPr>
    </w:p>
    <w:tbl>
      <w:tblPr>
        <w:tblLayout w:type="fixed"/>
        <w:tblInd w:w="223" w:type="dxa"/>
        <w:tblCellMar>
          <w:top w:w="0" w:type="dxa"/>
          <w:left w:w="0" w:type="dxa"/>
          <w:bottom w:w="0" w:type="dxa"/>
          <w:right w:w="0" w:type="dxa"/>
        </w:tblCellMar>
      </w:tblPr>
      <w:tr>
        <w:trPr>
          <w:trHeight w:val="166"/>
        </w:trPr>
        <w:tc>
          <w:tcPr>
            <w:tcW w:w="20" w:type="dxa"/>
            <w:vAlign w:val="bottom"/>
          </w:tcPr>
          <w:p>
            <w:pPr>
              <w:spacing w:after="0"/>
              <w:rPr>
                <w:sz w:val="14"/>
                <w:szCs w:val="14"/>
                <w:color w:val="auto"/>
              </w:rPr>
            </w:pPr>
          </w:p>
        </w:tc>
        <w:tc>
          <w:tcPr>
            <w:tcW w:w="22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16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14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2680" w:type="dxa"/>
            <w:vAlign w:val="bottom"/>
            <w:tcBorders>
              <w:bottom w:val="single" w:sz="8" w:color="auto"/>
            </w:tcBorders>
            <w:gridSpan w:val="4"/>
          </w:tcPr>
          <w:p>
            <w:pPr>
              <w:ind w:left="680"/>
              <w:spacing w:after="0"/>
              <w:rPr>
                <w:sz w:val="20"/>
                <w:szCs w:val="20"/>
                <w:color w:val="auto"/>
              </w:rPr>
            </w:pPr>
            <w:r>
              <w:rPr>
                <w:rFonts w:ascii="Arial" w:cs="Arial" w:eastAsia="Arial" w:hAnsi="Arial"/>
                <w:sz w:val="13"/>
                <w:szCs w:val="13"/>
                <w:b w:val="1"/>
                <w:bCs w:val="1"/>
                <w:color w:val="auto"/>
              </w:rPr>
              <w:t>December 31, 2018</w:t>
            </w:r>
          </w:p>
        </w:tc>
        <w:tc>
          <w:tcPr>
            <w:tcW w:w="114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114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360" w:type="dxa"/>
            <w:vAlign w:val="bottom"/>
            <w:gridSpan w:val="2"/>
          </w:tcPr>
          <w:p>
            <w:pPr>
              <w:ind w:left="960"/>
              <w:spacing w:after="0"/>
              <w:rPr>
                <w:sz w:val="20"/>
                <w:szCs w:val="20"/>
                <w:color w:val="auto"/>
              </w:rPr>
            </w:pPr>
            <w:r>
              <w:rPr>
                <w:rFonts w:ascii="Arial" w:cs="Arial" w:eastAsia="Arial" w:hAnsi="Arial"/>
                <w:sz w:val="13"/>
                <w:szCs w:val="13"/>
                <w:b w:val="1"/>
                <w:bCs w:val="1"/>
                <w:color w:val="auto"/>
              </w:rPr>
              <w:t>Loans</w:t>
            </w:r>
          </w:p>
        </w:tc>
        <w:tc>
          <w:tcPr>
            <w:tcW w:w="1360" w:type="dxa"/>
            <w:vAlign w:val="bottom"/>
            <w:gridSpan w:val="2"/>
          </w:tcPr>
          <w:p>
            <w:pPr>
              <w:ind w:left="360"/>
              <w:spacing w:after="0"/>
              <w:rPr>
                <w:sz w:val="20"/>
                <w:szCs w:val="20"/>
                <w:color w:val="auto"/>
              </w:rPr>
            </w:pPr>
            <w:r>
              <w:rPr>
                <w:rFonts w:ascii="Arial" w:cs="Arial" w:eastAsia="Arial" w:hAnsi="Arial"/>
                <w:sz w:val="13"/>
                <w:szCs w:val="13"/>
                <w:b w:val="1"/>
                <w:bCs w:val="1"/>
                <w:color w:val="auto"/>
              </w:rPr>
              <w:t>Normal</w:t>
            </w:r>
          </w:p>
        </w:tc>
        <w:tc>
          <w:tcPr>
            <w:tcW w:w="1360" w:type="dxa"/>
            <w:vAlign w:val="bottom"/>
            <w:gridSpan w:val="2"/>
          </w:tcPr>
          <w:p>
            <w:pPr>
              <w:ind w:left="140"/>
              <w:spacing w:after="0"/>
              <w:rPr>
                <w:sz w:val="20"/>
                <w:szCs w:val="20"/>
                <w:color w:val="auto"/>
              </w:rPr>
            </w:pPr>
            <w:r>
              <w:rPr>
                <w:rFonts w:ascii="Arial" w:cs="Arial" w:eastAsia="Arial" w:hAnsi="Arial"/>
                <w:sz w:val="13"/>
                <w:szCs w:val="13"/>
                <w:b w:val="1"/>
                <w:bCs w:val="1"/>
                <w:color w:val="auto"/>
              </w:rPr>
              <w:t>Special Mention</w:t>
            </w:r>
          </w:p>
        </w:tc>
        <w:tc>
          <w:tcPr>
            <w:tcW w:w="1360" w:type="dxa"/>
            <w:vAlign w:val="bottom"/>
            <w:gridSpan w:val="2"/>
          </w:tcPr>
          <w:p>
            <w:pPr>
              <w:jc w:val="right"/>
              <w:ind w:right="440"/>
              <w:spacing w:after="0"/>
              <w:rPr>
                <w:sz w:val="20"/>
                <w:szCs w:val="20"/>
                <w:color w:val="auto"/>
              </w:rPr>
            </w:pPr>
            <w:r>
              <w:rPr>
                <w:rFonts w:ascii="Arial" w:cs="Arial" w:eastAsia="Arial" w:hAnsi="Arial"/>
                <w:sz w:val="13"/>
                <w:szCs w:val="13"/>
                <w:b w:val="1"/>
                <w:bCs w:val="1"/>
                <w:color w:val="auto"/>
              </w:rPr>
              <w:t>Substandard</w:t>
            </w:r>
          </w:p>
        </w:tc>
        <w:tc>
          <w:tcPr>
            <w:tcW w:w="1320" w:type="dxa"/>
            <w:vAlign w:val="bottom"/>
            <w:gridSpan w:val="2"/>
          </w:tcPr>
          <w:p>
            <w:pPr>
              <w:ind w:left="320"/>
              <w:spacing w:after="0"/>
              <w:rPr>
                <w:sz w:val="20"/>
                <w:szCs w:val="20"/>
                <w:color w:val="auto"/>
              </w:rPr>
            </w:pPr>
            <w:r>
              <w:rPr>
                <w:rFonts w:ascii="Arial" w:cs="Arial" w:eastAsia="Arial" w:hAnsi="Arial"/>
                <w:sz w:val="13"/>
                <w:szCs w:val="13"/>
                <w:b w:val="1"/>
                <w:bCs w:val="1"/>
                <w:color w:val="auto"/>
              </w:rPr>
              <w:t>Doubtful</w:t>
            </w:r>
          </w:p>
        </w:tc>
        <w:tc>
          <w:tcPr>
            <w:tcW w:w="1320" w:type="dxa"/>
            <w:vAlign w:val="bottom"/>
            <w:gridSpan w:val="2"/>
          </w:tcPr>
          <w:p>
            <w:pPr>
              <w:ind w:left="160"/>
              <w:spacing w:after="0"/>
              <w:rPr>
                <w:sz w:val="20"/>
                <w:szCs w:val="20"/>
                <w:color w:val="auto"/>
              </w:rPr>
            </w:pPr>
            <w:r>
              <w:rPr>
                <w:rFonts w:ascii="Arial" w:cs="Arial" w:eastAsia="Arial" w:hAnsi="Arial"/>
                <w:sz w:val="13"/>
                <w:szCs w:val="13"/>
                <w:b w:val="1"/>
                <w:bCs w:val="1"/>
                <w:color w:val="auto"/>
              </w:rPr>
              <w:t>Unrecoverable</w:t>
            </w:r>
          </w:p>
        </w:tc>
        <w:tc>
          <w:tcPr>
            <w:tcW w:w="1140" w:type="dxa"/>
            <w:vAlign w:val="bottom"/>
          </w:tcPr>
          <w:p>
            <w:pPr>
              <w:jc w:val="right"/>
              <w:ind w:right="376"/>
              <w:spacing w:after="0"/>
              <w:rPr>
                <w:sz w:val="20"/>
                <w:szCs w:val="20"/>
                <w:color w:val="auto"/>
              </w:rPr>
            </w:pPr>
            <w:r>
              <w:rPr>
                <w:rFonts w:ascii="Arial" w:cs="Arial" w:eastAsia="Arial" w:hAnsi="Arial"/>
                <w:sz w:val="13"/>
                <w:szCs w:val="13"/>
                <w:b w:val="1"/>
                <w:bCs w:val="1"/>
                <w:color w:val="auto"/>
              </w:rPr>
              <w:t>Total</w:t>
            </w:r>
          </w:p>
        </w:tc>
        <w:tc>
          <w:tcPr>
            <w:tcW w:w="2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2260" w:type="dxa"/>
            <w:vAlign w:val="bottom"/>
            <w:tcBorders>
              <w:top w:val="single" w:sz="8" w:color="auto"/>
            </w:tcBorders>
            <w:shd w:val="clear" w:color="auto" w:fill="CCEEFF"/>
          </w:tcPr>
          <w:p>
            <w:pPr>
              <w:spacing w:after="0" w:line="144" w:lineRule="exact"/>
              <w:rPr>
                <w:sz w:val="20"/>
                <w:szCs w:val="20"/>
                <w:color w:val="auto"/>
              </w:rPr>
            </w:pPr>
            <w:r>
              <w:rPr>
                <w:rFonts w:ascii="Arial" w:cs="Arial" w:eastAsia="Arial" w:hAnsi="Arial"/>
                <w:sz w:val="13"/>
                <w:szCs w:val="13"/>
                <w:color w:val="auto"/>
              </w:rPr>
              <w:t>Corporations</w:t>
            </w:r>
          </w:p>
        </w:tc>
        <w:tc>
          <w:tcPr>
            <w:tcW w:w="100" w:type="dxa"/>
            <w:vAlign w:val="bottom"/>
            <w:tcBorders>
              <w:top w:val="single" w:sz="8" w:color="CCEEFF"/>
            </w:tcBorders>
            <w:shd w:val="clear" w:color="auto" w:fill="CCEEFF"/>
          </w:tcPr>
          <w:p>
            <w:pPr>
              <w:spacing w:after="0"/>
              <w:rPr>
                <w:sz w:val="12"/>
                <w:szCs w:val="12"/>
                <w:color w:val="auto"/>
              </w:rPr>
            </w:pPr>
          </w:p>
        </w:tc>
        <w:tc>
          <w:tcPr>
            <w:tcW w:w="11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2,630,932</w:t>
            </w:r>
          </w:p>
        </w:tc>
        <w:tc>
          <w:tcPr>
            <w:tcW w:w="200" w:type="dxa"/>
            <w:vAlign w:val="bottom"/>
            <w:tcBorders>
              <w:top w:val="single" w:sz="8" w:color="CCEEFF"/>
            </w:tcBorders>
            <w:shd w:val="clear" w:color="auto" w:fill="CCEEFF"/>
          </w:tcPr>
          <w:p>
            <w:pPr>
              <w:spacing w:after="0"/>
              <w:rPr>
                <w:sz w:val="12"/>
                <w:szCs w:val="12"/>
                <w:color w:val="auto"/>
              </w:rPr>
            </w:pPr>
          </w:p>
        </w:tc>
        <w:tc>
          <w:tcPr>
            <w:tcW w:w="1140" w:type="dxa"/>
            <w:vAlign w:val="bottom"/>
            <w:tcBorders>
              <w:top w:val="single" w:sz="8" w:color="auto"/>
            </w:tcBorders>
            <w:shd w:val="clear" w:color="auto" w:fill="CCEEFF"/>
          </w:tcPr>
          <w:p>
            <w:pPr>
              <w:ind w:left="1100"/>
              <w:spacing w:after="0"/>
              <w:rPr>
                <w:sz w:val="20"/>
                <w:szCs w:val="20"/>
                <w:color w:val="auto"/>
              </w:rPr>
            </w:pPr>
            <w:r>
              <w:rPr>
                <w:rFonts w:ascii="Arial" w:cs="Arial" w:eastAsia="Arial" w:hAnsi="Arial"/>
                <w:sz w:val="7"/>
                <w:szCs w:val="7"/>
                <w:color w:val="auto"/>
                <w:w w:val="83"/>
              </w:rPr>
              <w:t>-</w:t>
            </w:r>
          </w:p>
        </w:tc>
        <w:tc>
          <w:tcPr>
            <w:tcW w:w="220" w:type="dxa"/>
            <w:vAlign w:val="bottom"/>
            <w:tcBorders>
              <w:top w:val="single" w:sz="8" w:color="CCEEFF"/>
            </w:tcBorders>
            <w:shd w:val="clear" w:color="auto" w:fill="CCEEFF"/>
          </w:tcPr>
          <w:p>
            <w:pPr>
              <w:spacing w:after="0"/>
              <w:rPr>
                <w:sz w:val="12"/>
                <w:szCs w:val="12"/>
                <w:color w:val="auto"/>
              </w:rPr>
            </w:pPr>
          </w:p>
        </w:tc>
        <w:tc>
          <w:tcPr>
            <w:tcW w:w="114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14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64,701</w:t>
            </w:r>
          </w:p>
        </w:tc>
        <w:tc>
          <w:tcPr>
            <w:tcW w:w="180" w:type="dxa"/>
            <w:vAlign w:val="bottom"/>
            <w:tcBorders>
              <w:top w:val="single" w:sz="8" w:color="CCEEFF"/>
            </w:tcBorders>
            <w:shd w:val="clear" w:color="auto" w:fill="CCEEFF"/>
          </w:tcPr>
          <w:p>
            <w:pPr>
              <w:spacing w:after="0"/>
              <w:rPr>
                <w:sz w:val="12"/>
                <w:szCs w:val="12"/>
                <w:color w:val="auto"/>
              </w:rPr>
            </w:pPr>
          </w:p>
        </w:tc>
        <w:tc>
          <w:tcPr>
            <w:tcW w:w="114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180" w:type="dxa"/>
            <w:vAlign w:val="bottom"/>
            <w:tcBorders>
              <w:top w:val="single" w:sz="8" w:color="CCEEFF"/>
            </w:tcBorders>
            <w:shd w:val="clear" w:color="auto" w:fill="CCEEFF"/>
          </w:tcPr>
          <w:p>
            <w:pPr>
              <w:spacing w:after="0"/>
              <w:rPr>
                <w:sz w:val="12"/>
                <w:szCs w:val="12"/>
                <w:color w:val="auto"/>
              </w:rPr>
            </w:pPr>
          </w:p>
        </w:tc>
        <w:tc>
          <w:tcPr>
            <w:tcW w:w="114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2,695,633</w:t>
            </w:r>
          </w:p>
        </w:tc>
        <w:tc>
          <w:tcPr>
            <w:tcW w:w="2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360" w:type="dxa"/>
            <w:vAlign w:val="bottom"/>
            <w:gridSpan w:val="2"/>
          </w:tcPr>
          <w:p>
            <w:pPr>
              <w:spacing w:after="0"/>
              <w:rPr>
                <w:sz w:val="20"/>
                <w:szCs w:val="20"/>
                <w:color w:val="auto"/>
              </w:rPr>
            </w:pPr>
            <w:r>
              <w:rPr>
                <w:rFonts w:ascii="Arial" w:cs="Arial" w:eastAsia="Arial" w:hAnsi="Arial"/>
                <w:sz w:val="13"/>
                <w:szCs w:val="13"/>
                <w:color w:val="auto"/>
              </w:rPr>
              <w:t>Banks:</w:t>
            </w:r>
          </w:p>
        </w:tc>
        <w:tc>
          <w:tcPr>
            <w:tcW w:w="11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140" w:type="dxa"/>
            <w:vAlign w:val="bottom"/>
          </w:tcPr>
          <w:p>
            <w:pPr>
              <w:jc w:val="right"/>
              <w:spacing w:after="0"/>
              <w:rPr>
                <w:sz w:val="20"/>
                <w:szCs w:val="20"/>
                <w:color w:val="auto"/>
              </w:rPr>
            </w:pPr>
            <w:r>
              <w:rPr>
                <w:rFonts w:ascii="Arial" w:cs="Arial" w:eastAsia="Arial" w:hAnsi="Arial"/>
                <w:sz w:val="13"/>
                <w:szCs w:val="13"/>
                <w:color w:val="auto"/>
              </w:rPr>
              <w:t>-</w:t>
            </w:r>
          </w:p>
        </w:tc>
        <w:tc>
          <w:tcPr>
            <w:tcW w:w="2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360" w:type="dxa"/>
            <w:vAlign w:val="bottom"/>
            <w:gridSpan w:val="2"/>
            <w:shd w:val="clear" w:color="auto" w:fill="CCEEFF"/>
          </w:tcPr>
          <w:p>
            <w:pPr>
              <w:ind w:left="120"/>
              <w:spacing w:after="0"/>
              <w:rPr>
                <w:sz w:val="20"/>
                <w:szCs w:val="20"/>
                <w:color w:val="auto"/>
              </w:rPr>
            </w:pPr>
            <w:r>
              <w:rPr>
                <w:rFonts w:ascii="Arial" w:cs="Arial" w:eastAsia="Arial" w:hAnsi="Arial"/>
                <w:sz w:val="13"/>
                <w:szCs w:val="13"/>
                <w:color w:val="auto"/>
              </w:rPr>
              <w:t>Private</w:t>
            </w:r>
          </w:p>
        </w:tc>
        <w:tc>
          <w:tcPr>
            <w:tcW w:w="11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2,458,691</w:t>
            </w:r>
          </w:p>
        </w:tc>
        <w:tc>
          <w:tcPr>
            <w:tcW w:w="200" w:type="dxa"/>
            <w:vAlign w:val="bottom"/>
            <w:shd w:val="clear" w:color="auto" w:fill="CCEEFF"/>
          </w:tcPr>
          <w:p>
            <w:pPr>
              <w:spacing w:after="0"/>
              <w:rPr>
                <w:sz w:val="13"/>
                <w:szCs w:val="13"/>
                <w:color w:val="auto"/>
              </w:rPr>
            </w:pPr>
          </w:p>
        </w:tc>
        <w:tc>
          <w:tcPr>
            <w:tcW w:w="1360" w:type="dxa"/>
            <w:vAlign w:val="bottom"/>
            <w:gridSpan w:val="2"/>
            <w:shd w:val="clear" w:color="auto" w:fill="CCEEFF"/>
          </w:tcPr>
          <w:p>
            <w:pPr>
              <w:ind w:left="1100"/>
              <w:spacing w:after="0"/>
              <w:rPr>
                <w:sz w:val="20"/>
                <w:szCs w:val="20"/>
                <w:color w:val="auto"/>
              </w:rPr>
            </w:pPr>
            <w:r>
              <w:rPr>
                <w:rFonts w:ascii="Arial" w:cs="Arial" w:eastAsia="Arial" w:hAnsi="Arial"/>
                <w:sz w:val="13"/>
                <w:szCs w:val="13"/>
                <w:color w:val="auto"/>
              </w:rPr>
              <w:t>-</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3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w:t>
            </w:r>
          </w:p>
        </w:tc>
        <w:tc>
          <w:tcPr>
            <w:tcW w:w="13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w:t>
            </w:r>
          </w:p>
        </w:tc>
        <w:tc>
          <w:tcPr>
            <w:tcW w:w="11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2,458,691</w:t>
            </w:r>
          </w:p>
        </w:tc>
        <w:tc>
          <w:tcPr>
            <w:tcW w:w="2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2360" w:type="dxa"/>
            <w:vAlign w:val="bottom"/>
            <w:gridSpan w:val="2"/>
          </w:tcPr>
          <w:p>
            <w:pPr>
              <w:ind w:left="120"/>
              <w:spacing w:after="0"/>
              <w:rPr>
                <w:sz w:val="20"/>
                <w:szCs w:val="20"/>
                <w:color w:val="auto"/>
              </w:rPr>
            </w:pPr>
            <w:r>
              <w:rPr>
                <w:rFonts w:ascii="Arial" w:cs="Arial" w:eastAsia="Arial" w:hAnsi="Arial"/>
                <w:sz w:val="13"/>
                <w:szCs w:val="13"/>
                <w:color w:val="auto"/>
              </w:rPr>
              <w:t>State-owned</w:t>
            </w:r>
          </w:p>
        </w:tc>
        <w:tc>
          <w:tcPr>
            <w:tcW w:w="1360" w:type="dxa"/>
            <w:vAlign w:val="bottom"/>
            <w:gridSpan w:val="2"/>
          </w:tcPr>
          <w:p>
            <w:pPr>
              <w:jc w:val="right"/>
              <w:ind w:right="200"/>
              <w:spacing w:after="0"/>
              <w:rPr>
                <w:sz w:val="20"/>
                <w:szCs w:val="20"/>
                <w:color w:val="auto"/>
              </w:rPr>
            </w:pPr>
            <w:r>
              <w:rPr>
                <w:rFonts w:ascii="Arial" w:cs="Arial" w:eastAsia="Arial" w:hAnsi="Arial"/>
                <w:sz w:val="13"/>
                <w:szCs w:val="13"/>
                <w:color w:val="auto"/>
              </w:rPr>
              <w:t>624,100</w:t>
            </w:r>
          </w:p>
        </w:tc>
        <w:tc>
          <w:tcPr>
            <w:tcW w:w="1360" w:type="dxa"/>
            <w:vAlign w:val="bottom"/>
            <w:gridSpan w:val="2"/>
          </w:tcPr>
          <w:p>
            <w:pPr>
              <w:ind w:left="1100"/>
              <w:spacing w:after="0"/>
              <w:rPr>
                <w:sz w:val="20"/>
                <w:szCs w:val="20"/>
                <w:color w:val="auto"/>
              </w:rPr>
            </w:pPr>
            <w:r>
              <w:rPr>
                <w:rFonts w:ascii="Arial" w:cs="Arial" w:eastAsia="Arial" w:hAnsi="Arial"/>
                <w:sz w:val="13"/>
                <w:szCs w:val="13"/>
                <w:color w:val="auto"/>
              </w:rPr>
              <w:t>-</w:t>
            </w:r>
          </w:p>
        </w:tc>
        <w:tc>
          <w:tcPr>
            <w:tcW w:w="136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320" w:type="dxa"/>
            <w:vAlign w:val="bottom"/>
            <w:gridSpan w:val="2"/>
          </w:tcPr>
          <w:p>
            <w:pPr>
              <w:jc w:val="right"/>
              <w:ind w:right="180"/>
              <w:spacing w:after="0"/>
              <w:rPr>
                <w:sz w:val="20"/>
                <w:szCs w:val="20"/>
                <w:color w:val="auto"/>
              </w:rPr>
            </w:pPr>
            <w:r>
              <w:rPr>
                <w:rFonts w:ascii="Arial" w:cs="Arial" w:eastAsia="Arial" w:hAnsi="Arial"/>
                <w:sz w:val="13"/>
                <w:szCs w:val="13"/>
                <w:color w:val="auto"/>
              </w:rPr>
              <w:t>-</w:t>
            </w:r>
          </w:p>
        </w:tc>
        <w:tc>
          <w:tcPr>
            <w:tcW w:w="1320" w:type="dxa"/>
            <w:vAlign w:val="bottom"/>
            <w:gridSpan w:val="2"/>
          </w:tcPr>
          <w:p>
            <w:pPr>
              <w:jc w:val="right"/>
              <w:ind w:right="180"/>
              <w:spacing w:after="0"/>
              <w:rPr>
                <w:sz w:val="20"/>
                <w:szCs w:val="20"/>
                <w:color w:val="auto"/>
              </w:rPr>
            </w:pPr>
            <w:r>
              <w:rPr>
                <w:rFonts w:ascii="Arial" w:cs="Arial" w:eastAsia="Arial" w:hAnsi="Arial"/>
                <w:sz w:val="13"/>
                <w:szCs w:val="13"/>
                <w:color w:val="auto"/>
              </w:rPr>
              <w:t>-</w:t>
            </w:r>
          </w:p>
        </w:tc>
        <w:tc>
          <w:tcPr>
            <w:tcW w:w="1160" w:type="dxa"/>
            <w:vAlign w:val="bottom"/>
            <w:gridSpan w:val="2"/>
          </w:tcPr>
          <w:p>
            <w:pPr>
              <w:jc w:val="right"/>
              <w:ind w:right="20"/>
              <w:spacing w:after="0"/>
              <w:rPr>
                <w:sz w:val="20"/>
                <w:szCs w:val="20"/>
                <w:color w:val="auto"/>
              </w:rPr>
            </w:pPr>
            <w:r>
              <w:rPr>
                <w:rFonts w:ascii="Arial" w:cs="Arial" w:eastAsia="Arial" w:hAnsi="Arial"/>
                <w:sz w:val="13"/>
                <w:szCs w:val="13"/>
                <w:color w:val="auto"/>
              </w:rPr>
              <w:t>624,100</w:t>
            </w:r>
          </w:p>
        </w:tc>
        <w:tc>
          <w:tcPr>
            <w:tcW w:w="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226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16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3,082,791</w:t>
            </w:r>
          </w:p>
        </w:tc>
        <w:tc>
          <w:tcPr>
            <w:tcW w:w="200" w:type="dxa"/>
            <w:vAlign w:val="bottom"/>
            <w:tcBorders>
              <w:top w:val="single" w:sz="8" w:color="CCEEFF"/>
            </w:tcBorders>
            <w:shd w:val="clear" w:color="auto" w:fill="CCEEFF"/>
          </w:tcPr>
          <w:p>
            <w:pPr>
              <w:spacing w:after="0"/>
              <w:rPr>
                <w:sz w:val="12"/>
                <w:szCs w:val="12"/>
                <w:color w:val="auto"/>
              </w:rPr>
            </w:pPr>
          </w:p>
        </w:tc>
        <w:tc>
          <w:tcPr>
            <w:tcW w:w="1140" w:type="dxa"/>
            <w:vAlign w:val="bottom"/>
            <w:tcBorders>
              <w:top w:val="single" w:sz="8" w:color="auto"/>
              <w:bottom w:val="single" w:sz="8" w:color="auto"/>
            </w:tcBorders>
            <w:shd w:val="clear" w:color="auto" w:fill="CCEEFF"/>
          </w:tcPr>
          <w:p>
            <w:pPr>
              <w:ind w:left="1100"/>
              <w:spacing w:after="0"/>
              <w:rPr>
                <w:sz w:val="20"/>
                <w:szCs w:val="20"/>
                <w:color w:val="auto"/>
              </w:rPr>
            </w:pPr>
            <w:r>
              <w:rPr>
                <w:rFonts w:ascii="Arial" w:cs="Arial" w:eastAsia="Arial" w:hAnsi="Arial"/>
                <w:sz w:val="7"/>
                <w:szCs w:val="7"/>
                <w:color w:val="auto"/>
                <w:w w:val="83"/>
              </w:rPr>
              <w:t>-</w:t>
            </w:r>
          </w:p>
        </w:tc>
        <w:tc>
          <w:tcPr>
            <w:tcW w:w="220" w:type="dxa"/>
            <w:vAlign w:val="bottom"/>
            <w:tcBorders>
              <w:top w:val="single" w:sz="8" w:color="CCEEFF"/>
            </w:tcBorders>
            <w:shd w:val="clear" w:color="auto" w:fill="CCEEFF"/>
          </w:tcPr>
          <w:p>
            <w:pPr>
              <w:spacing w:after="0"/>
              <w:rPr>
                <w:sz w:val="12"/>
                <w:szCs w:val="12"/>
                <w:color w:val="auto"/>
              </w:rPr>
            </w:pPr>
          </w:p>
        </w:tc>
        <w:tc>
          <w:tcPr>
            <w:tcW w:w="11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1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180" w:type="dxa"/>
            <w:vAlign w:val="bottom"/>
            <w:tcBorders>
              <w:top w:val="single" w:sz="8" w:color="CCEEFF"/>
            </w:tcBorders>
            <w:shd w:val="clear" w:color="auto" w:fill="CCEEFF"/>
          </w:tcPr>
          <w:p>
            <w:pPr>
              <w:spacing w:after="0"/>
              <w:rPr>
                <w:sz w:val="12"/>
                <w:szCs w:val="12"/>
                <w:color w:val="auto"/>
              </w:rPr>
            </w:pPr>
          </w:p>
        </w:tc>
        <w:tc>
          <w:tcPr>
            <w:tcW w:w="11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180" w:type="dxa"/>
            <w:vAlign w:val="bottom"/>
            <w:tcBorders>
              <w:top w:val="single" w:sz="8" w:color="CCEEFF"/>
            </w:tcBorders>
            <w:shd w:val="clear" w:color="auto" w:fill="CCEEFF"/>
          </w:tcPr>
          <w:p>
            <w:pPr>
              <w:spacing w:after="0"/>
              <w:rPr>
                <w:sz w:val="12"/>
                <w:szCs w:val="12"/>
                <w:color w:val="auto"/>
              </w:rPr>
            </w:pPr>
          </w:p>
        </w:tc>
        <w:tc>
          <w:tcPr>
            <w:tcW w:w="11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3,082,791</w:t>
            </w:r>
          </w:p>
        </w:tc>
        <w:tc>
          <w:tcPr>
            <w:tcW w:w="2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2360" w:type="dxa"/>
            <w:vAlign w:val="bottom"/>
            <w:tcBorders>
              <w:bottom w:val="single" w:sz="8" w:color="CCEEFF"/>
            </w:tcBorders>
            <w:gridSpan w:val="2"/>
          </w:tcPr>
          <w:p>
            <w:pPr>
              <w:spacing w:after="0" w:line="143" w:lineRule="exact"/>
              <w:rPr>
                <w:sz w:val="20"/>
                <w:szCs w:val="20"/>
                <w:color w:val="auto"/>
              </w:rPr>
            </w:pPr>
            <w:r>
              <w:rPr>
                <w:rFonts w:ascii="Arial" w:cs="Arial" w:eastAsia="Arial" w:hAnsi="Arial"/>
                <w:sz w:val="13"/>
                <w:szCs w:val="13"/>
                <w:color w:val="auto"/>
              </w:rPr>
              <w:t>Total</w:t>
            </w: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5,713,723</w:t>
            </w:r>
          </w:p>
        </w:tc>
        <w:tc>
          <w:tcPr>
            <w:tcW w:w="200" w:type="dxa"/>
            <w:vAlign w:val="bottom"/>
            <w:tcBorders>
              <w:bottom w:val="single" w:sz="8" w:color="CCEEFF"/>
            </w:tcBorders>
          </w:tcPr>
          <w:p>
            <w:pPr>
              <w:spacing w:after="0"/>
              <w:rPr>
                <w:sz w:val="14"/>
                <w:szCs w:val="14"/>
                <w:color w:val="auto"/>
              </w:rPr>
            </w:pPr>
          </w:p>
        </w:tc>
        <w:tc>
          <w:tcPr>
            <w:tcW w:w="1140" w:type="dxa"/>
            <w:vAlign w:val="bottom"/>
            <w:tcBorders>
              <w:bottom w:val="single" w:sz="8" w:color="auto"/>
            </w:tcBorders>
          </w:tcPr>
          <w:p>
            <w:pPr>
              <w:ind w:left="1100"/>
              <w:spacing w:after="0"/>
              <w:rPr>
                <w:sz w:val="20"/>
                <w:szCs w:val="20"/>
                <w:color w:val="auto"/>
              </w:rPr>
            </w:pPr>
            <w:r>
              <w:rPr>
                <w:rFonts w:ascii="Arial" w:cs="Arial" w:eastAsia="Arial" w:hAnsi="Arial"/>
                <w:sz w:val="7"/>
                <w:szCs w:val="7"/>
                <w:b w:val="1"/>
                <w:bCs w:val="1"/>
                <w:color w:val="auto"/>
                <w:w w:val="83"/>
              </w:rPr>
              <w:t>-</w:t>
            </w:r>
          </w:p>
        </w:tc>
        <w:tc>
          <w:tcPr>
            <w:tcW w:w="220" w:type="dxa"/>
            <w:vAlign w:val="bottom"/>
            <w:tcBorders>
              <w:bottom w:val="single" w:sz="8" w:color="CCEEFF"/>
            </w:tcBorders>
          </w:tcPr>
          <w:p>
            <w:pPr>
              <w:spacing w:after="0"/>
              <w:rPr>
                <w:sz w:val="14"/>
                <w:szCs w:val="14"/>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w:t>
            </w:r>
          </w:p>
        </w:tc>
        <w:tc>
          <w:tcPr>
            <w:tcW w:w="220" w:type="dxa"/>
            <w:vAlign w:val="bottom"/>
            <w:tcBorders>
              <w:bottom w:val="single" w:sz="8" w:color="CCEEFF"/>
            </w:tcBorders>
          </w:tcPr>
          <w:p>
            <w:pPr>
              <w:spacing w:after="0"/>
              <w:rPr>
                <w:sz w:val="14"/>
                <w:szCs w:val="14"/>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64,701</w:t>
            </w:r>
          </w:p>
        </w:tc>
        <w:tc>
          <w:tcPr>
            <w:tcW w:w="180" w:type="dxa"/>
            <w:vAlign w:val="bottom"/>
            <w:tcBorders>
              <w:bottom w:val="single" w:sz="8" w:color="CCEEFF"/>
            </w:tcBorders>
          </w:tcPr>
          <w:p>
            <w:pPr>
              <w:spacing w:after="0"/>
              <w:rPr>
                <w:sz w:val="14"/>
                <w:szCs w:val="14"/>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w:t>
            </w:r>
          </w:p>
        </w:tc>
        <w:tc>
          <w:tcPr>
            <w:tcW w:w="180" w:type="dxa"/>
            <w:vAlign w:val="bottom"/>
            <w:tcBorders>
              <w:bottom w:val="single" w:sz="8" w:color="CCEEFF"/>
            </w:tcBorders>
          </w:tcPr>
          <w:p>
            <w:pPr>
              <w:spacing w:after="0"/>
              <w:rPr>
                <w:sz w:val="14"/>
                <w:szCs w:val="14"/>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5,778,424</w:t>
            </w:r>
          </w:p>
        </w:tc>
        <w:tc>
          <w:tcPr>
            <w:tcW w:w="20" w:type="dxa"/>
            <w:vAlign w:val="bottom"/>
            <w:tcBorders>
              <w:bottom w:val="single" w:sz="8" w:color="CCEEFF"/>
            </w:tcBorders>
          </w:tcPr>
          <w:p>
            <w:pPr>
              <w:spacing w:after="0"/>
              <w:rPr>
                <w:sz w:val="14"/>
                <w:szCs w:val="14"/>
                <w:color w:val="auto"/>
              </w:rPr>
            </w:pPr>
          </w:p>
        </w:tc>
        <w:tc>
          <w:tcPr>
            <w:tcW w:w="6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22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16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2360" w:type="dxa"/>
            <w:vAlign w:val="bottom"/>
            <w:gridSpan w:val="2"/>
          </w:tcPr>
          <w:p>
            <w:pPr>
              <w:spacing w:after="0"/>
              <w:rPr>
                <w:sz w:val="20"/>
                <w:szCs w:val="20"/>
                <w:color w:val="auto"/>
              </w:rPr>
            </w:pPr>
            <w:r>
              <w:rPr>
                <w:rFonts w:ascii="Arial" w:cs="Arial" w:eastAsia="Arial" w:hAnsi="Arial"/>
                <w:sz w:val="13"/>
                <w:szCs w:val="13"/>
                <w:color w:val="auto"/>
              </w:rPr>
              <w:t>Loans provision:</w:t>
            </w:r>
          </w:p>
        </w:tc>
        <w:tc>
          <w:tcPr>
            <w:tcW w:w="11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2360" w:type="dxa"/>
            <w:vAlign w:val="bottom"/>
            <w:gridSpan w:val="2"/>
            <w:shd w:val="clear" w:color="auto" w:fill="CCEEFF"/>
          </w:tcPr>
          <w:p>
            <w:pPr>
              <w:ind w:left="60"/>
              <w:spacing w:after="0"/>
              <w:rPr>
                <w:sz w:val="20"/>
                <w:szCs w:val="20"/>
                <w:color w:val="auto"/>
              </w:rPr>
            </w:pPr>
            <w:r>
              <w:rPr>
                <w:rFonts w:ascii="Arial" w:cs="Arial" w:eastAsia="Arial" w:hAnsi="Arial"/>
                <w:sz w:val="13"/>
                <w:szCs w:val="13"/>
                <w:color w:val="auto"/>
              </w:rPr>
              <w:t>Specific</w:t>
            </w:r>
          </w:p>
        </w:tc>
        <w:tc>
          <w:tcPr>
            <w:tcW w:w="11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4"/>
                <w:szCs w:val="14"/>
                <w:color w:val="auto"/>
              </w:rPr>
            </w:pPr>
          </w:p>
        </w:tc>
        <w:tc>
          <w:tcPr>
            <w:tcW w:w="1360" w:type="dxa"/>
            <w:vAlign w:val="bottom"/>
            <w:gridSpan w:val="2"/>
            <w:shd w:val="clear" w:color="auto" w:fill="CCEEFF"/>
          </w:tcPr>
          <w:p>
            <w:pPr>
              <w:ind w:left="1100"/>
              <w:spacing w:after="0"/>
              <w:rPr>
                <w:sz w:val="20"/>
                <w:szCs w:val="20"/>
                <w:color w:val="auto"/>
              </w:rPr>
            </w:pPr>
            <w:r>
              <w:rPr>
                <w:rFonts w:ascii="Arial" w:cs="Arial" w:eastAsia="Arial" w:hAnsi="Arial"/>
                <w:sz w:val="13"/>
                <w:szCs w:val="13"/>
                <w:color w:val="auto"/>
              </w:rPr>
              <w:t>-</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3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48,383</w:t>
            </w:r>
          </w:p>
        </w:tc>
        <w:tc>
          <w:tcPr>
            <w:tcW w:w="13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w:t>
            </w:r>
          </w:p>
        </w:tc>
        <w:tc>
          <w:tcPr>
            <w:tcW w:w="11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48,383</w:t>
            </w:r>
          </w:p>
        </w:tc>
        <w:tc>
          <w:tcPr>
            <w:tcW w:w="6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2360" w:type="dxa"/>
            <w:vAlign w:val="bottom"/>
            <w:gridSpan w:val="2"/>
          </w:tcPr>
          <w:p>
            <w:pPr>
              <w:spacing w:after="0" w:line="143" w:lineRule="exact"/>
              <w:rPr>
                <w:sz w:val="20"/>
                <w:szCs w:val="20"/>
                <w:color w:val="auto"/>
              </w:rPr>
            </w:pPr>
            <w:r>
              <w:rPr>
                <w:rFonts w:ascii="Arial" w:cs="Arial" w:eastAsia="Arial" w:hAnsi="Arial"/>
                <w:sz w:val="13"/>
                <w:szCs w:val="13"/>
                <w:color w:val="auto"/>
              </w:rPr>
              <w:t>Total</w:t>
            </w: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w:t>
            </w:r>
          </w:p>
        </w:tc>
        <w:tc>
          <w:tcPr>
            <w:tcW w:w="200" w:type="dxa"/>
            <w:vAlign w:val="bottom"/>
          </w:tcPr>
          <w:p>
            <w:pPr>
              <w:spacing w:after="0"/>
              <w:rPr>
                <w:sz w:val="14"/>
                <w:szCs w:val="14"/>
                <w:color w:val="auto"/>
              </w:rPr>
            </w:pPr>
          </w:p>
        </w:tc>
        <w:tc>
          <w:tcPr>
            <w:tcW w:w="1140" w:type="dxa"/>
            <w:vAlign w:val="bottom"/>
            <w:tcBorders>
              <w:top w:val="single" w:sz="8" w:color="auto"/>
              <w:bottom w:val="single" w:sz="8" w:color="auto"/>
            </w:tcBorders>
          </w:tcPr>
          <w:p>
            <w:pPr>
              <w:ind w:left="1100"/>
              <w:spacing w:after="0"/>
              <w:rPr>
                <w:sz w:val="20"/>
                <w:szCs w:val="20"/>
                <w:color w:val="auto"/>
              </w:rPr>
            </w:pPr>
            <w:r>
              <w:rPr>
                <w:rFonts w:ascii="Arial" w:cs="Arial" w:eastAsia="Arial" w:hAnsi="Arial"/>
                <w:sz w:val="7"/>
                <w:szCs w:val="7"/>
                <w:b w:val="1"/>
                <w:bCs w:val="1"/>
                <w:color w:val="auto"/>
                <w:w w:val="83"/>
              </w:rPr>
              <w:t>-</w:t>
            </w:r>
          </w:p>
        </w:tc>
        <w:tc>
          <w:tcPr>
            <w:tcW w:w="220" w:type="dxa"/>
            <w:vAlign w:val="bottom"/>
          </w:tcPr>
          <w:p>
            <w:pPr>
              <w:spacing w:after="0"/>
              <w:rPr>
                <w:sz w:val="14"/>
                <w:szCs w:val="14"/>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w:t>
            </w:r>
          </w:p>
        </w:tc>
        <w:tc>
          <w:tcPr>
            <w:tcW w:w="220" w:type="dxa"/>
            <w:vAlign w:val="bottom"/>
          </w:tcPr>
          <w:p>
            <w:pPr>
              <w:spacing w:after="0"/>
              <w:rPr>
                <w:sz w:val="14"/>
                <w:szCs w:val="14"/>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48,383</w:t>
            </w:r>
          </w:p>
        </w:tc>
        <w:tc>
          <w:tcPr>
            <w:tcW w:w="180" w:type="dxa"/>
            <w:vAlign w:val="bottom"/>
          </w:tcPr>
          <w:p>
            <w:pPr>
              <w:spacing w:after="0"/>
              <w:rPr>
                <w:sz w:val="14"/>
                <w:szCs w:val="14"/>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w:t>
            </w:r>
          </w:p>
        </w:tc>
        <w:tc>
          <w:tcPr>
            <w:tcW w:w="180" w:type="dxa"/>
            <w:vAlign w:val="bottom"/>
          </w:tcPr>
          <w:p>
            <w:pPr>
              <w:spacing w:after="0"/>
              <w:rPr>
                <w:sz w:val="14"/>
                <w:szCs w:val="14"/>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48,383</w:t>
            </w:r>
          </w:p>
        </w:tc>
        <w:tc>
          <w:tcPr>
            <w:tcW w:w="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17"/>
        </w:trPr>
        <w:tc>
          <w:tcPr>
            <w:tcW w:w="20" w:type="dxa"/>
            <w:vAlign w:val="bottom"/>
          </w:tcPr>
          <w:p>
            <w:pPr>
              <w:spacing w:after="0"/>
              <w:rPr>
                <w:sz w:val="24"/>
                <w:szCs w:val="24"/>
                <w:color w:val="auto"/>
              </w:rPr>
            </w:pPr>
          </w:p>
        </w:tc>
        <w:tc>
          <w:tcPr>
            <w:tcW w:w="22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680" w:type="dxa"/>
            <w:vAlign w:val="bottom"/>
            <w:tcBorders>
              <w:bottom w:val="single" w:sz="8" w:color="auto"/>
            </w:tcBorders>
            <w:gridSpan w:val="4"/>
          </w:tcPr>
          <w:p>
            <w:pPr>
              <w:ind w:left="680"/>
              <w:spacing w:after="0"/>
              <w:rPr>
                <w:sz w:val="20"/>
                <w:szCs w:val="20"/>
                <w:color w:val="auto"/>
              </w:rPr>
            </w:pPr>
            <w:r>
              <w:rPr>
                <w:rFonts w:ascii="Arial" w:cs="Arial" w:eastAsia="Arial" w:hAnsi="Arial"/>
                <w:sz w:val="13"/>
                <w:szCs w:val="13"/>
                <w:b w:val="1"/>
                <w:bCs w:val="1"/>
                <w:color w:val="auto"/>
              </w:rPr>
              <w:t>December 31, 2017</w:t>
            </w:r>
          </w:p>
        </w:tc>
        <w:tc>
          <w:tcPr>
            <w:tcW w:w="11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360" w:type="dxa"/>
            <w:vAlign w:val="bottom"/>
            <w:gridSpan w:val="2"/>
          </w:tcPr>
          <w:p>
            <w:pPr>
              <w:ind w:left="960"/>
              <w:spacing w:after="0"/>
              <w:rPr>
                <w:sz w:val="20"/>
                <w:szCs w:val="20"/>
                <w:color w:val="auto"/>
              </w:rPr>
            </w:pPr>
            <w:r>
              <w:rPr>
                <w:rFonts w:ascii="Arial" w:cs="Arial" w:eastAsia="Arial" w:hAnsi="Arial"/>
                <w:sz w:val="13"/>
                <w:szCs w:val="13"/>
                <w:b w:val="1"/>
                <w:bCs w:val="1"/>
                <w:color w:val="auto"/>
              </w:rPr>
              <w:t>Loans</w:t>
            </w:r>
          </w:p>
        </w:tc>
        <w:tc>
          <w:tcPr>
            <w:tcW w:w="1360" w:type="dxa"/>
            <w:vAlign w:val="bottom"/>
            <w:gridSpan w:val="2"/>
          </w:tcPr>
          <w:p>
            <w:pPr>
              <w:ind w:left="360"/>
              <w:spacing w:after="0"/>
              <w:rPr>
                <w:sz w:val="20"/>
                <w:szCs w:val="20"/>
                <w:color w:val="auto"/>
              </w:rPr>
            </w:pPr>
            <w:r>
              <w:rPr>
                <w:rFonts w:ascii="Arial" w:cs="Arial" w:eastAsia="Arial" w:hAnsi="Arial"/>
                <w:sz w:val="13"/>
                <w:szCs w:val="13"/>
                <w:b w:val="1"/>
                <w:bCs w:val="1"/>
                <w:color w:val="auto"/>
              </w:rPr>
              <w:t>Normal</w:t>
            </w:r>
          </w:p>
        </w:tc>
        <w:tc>
          <w:tcPr>
            <w:tcW w:w="1360" w:type="dxa"/>
            <w:vAlign w:val="bottom"/>
            <w:gridSpan w:val="2"/>
          </w:tcPr>
          <w:p>
            <w:pPr>
              <w:ind w:left="140"/>
              <w:spacing w:after="0"/>
              <w:rPr>
                <w:sz w:val="20"/>
                <w:szCs w:val="20"/>
                <w:color w:val="auto"/>
              </w:rPr>
            </w:pPr>
            <w:r>
              <w:rPr>
                <w:rFonts w:ascii="Arial" w:cs="Arial" w:eastAsia="Arial" w:hAnsi="Arial"/>
                <w:sz w:val="13"/>
                <w:szCs w:val="13"/>
                <w:b w:val="1"/>
                <w:bCs w:val="1"/>
                <w:color w:val="auto"/>
              </w:rPr>
              <w:t>Special Mention</w:t>
            </w:r>
          </w:p>
        </w:tc>
        <w:tc>
          <w:tcPr>
            <w:tcW w:w="1360" w:type="dxa"/>
            <w:vAlign w:val="bottom"/>
            <w:gridSpan w:val="2"/>
          </w:tcPr>
          <w:p>
            <w:pPr>
              <w:jc w:val="right"/>
              <w:ind w:right="440"/>
              <w:spacing w:after="0"/>
              <w:rPr>
                <w:sz w:val="20"/>
                <w:szCs w:val="20"/>
                <w:color w:val="auto"/>
              </w:rPr>
            </w:pPr>
            <w:r>
              <w:rPr>
                <w:rFonts w:ascii="Arial" w:cs="Arial" w:eastAsia="Arial" w:hAnsi="Arial"/>
                <w:sz w:val="13"/>
                <w:szCs w:val="13"/>
                <w:b w:val="1"/>
                <w:bCs w:val="1"/>
                <w:color w:val="auto"/>
              </w:rPr>
              <w:t>Substandard</w:t>
            </w:r>
          </w:p>
        </w:tc>
        <w:tc>
          <w:tcPr>
            <w:tcW w:w="1320" w:type="dxa"/>
            <w:vAlign w:val="bottom"/>
            <w:gridSpan w:val="2"/>
          </w:tcPr>
          <w:p>
            <w:pPr>
              <w:ind w:left="320"/>
              <w:spacing w:after="0"/>
              <w:rPr>
                <w:sz w:val="20"/>
                <w:szCs w:val="20"/>
                <w:color w:val="auto"/>
              </w:rPr>
            </w:pPr>
            <w:r>
              <w:rPr>
                <w:rFonts w:ascii="Arial" w:cs="Arial" w:eastAsia="Arial" w:hAnsi="Arial"/>
                <w:sz w:val="13"/>
                <w:szCs w:val="13"/>
                <w:b w:val="1"/>
                <w:bCs w:val="1"/>
                <w:color w:val="auto"/>
              </w:rPr>
              <w:t>Doubtful</w:t>
            </w:r>
          </w:p>
        </w:tc>
        <w:tc>
          <w:tcPr>
            <w:tcW w:w="1320" w:type="dxa"/>
            <w:vAlign w:val="bottom"/>
            <w:gridSpan w:val="2"/>
          </w:tcPr>
          <w:p>
            <w:pPr>
              <w:ind w:left="160"/>
              <w:spacing w:after="0"/>
              <w:rPr>
                <w:sz w:val="20"/>
                <w:szCs w:val="20"/>
                <w:color w:val="auto"/>
              </w:rPr>
            </w:pPr>
            <w:r>
              <w:rPr>
                <w:rFonts w:ascii="Arial" w:cs="Arial" w:eastAsia="Arial" w:hAnsi="Arial"/>
                <w:sz w:val="13"/>
                <w:szCs w:val="13"/>
                <w:b w:val="1"/>
                <w:bCs w:val="1"/>
                <w:color w:val="auto"/>
              </w:rPr>
              <w:t>Unrecoverable</w:t>
            </w:r>
          </w:p>
        </w:tc>
        <w:tc>
          <w:tcPr>
            <w:tcW w:w="1140" w:type="dxa"/>
            <w:vAlign w:val="bottom"/>
          </w:tcPr>
          <w:p>
            <w:pPr>
              <w:jc w:val="right"/>
              <w:ind w:right="376"/>
              <w:spacing w:after="0"/>
              <w:rPr>
                <w:sz w:val="20"/>
                <w:szCs w:val="20"/>
                <w:color w:val="auto"/>
              </w:rPr>
            </w:pPr>
            <w:r>
              <w:rPr>
                <w:rFonts w:ascii="Arial" w:cs="Arial" w:eastAsia="Arial" w:hAnsi="Arial"/>
                <w:sz w:val="13"/>
                <w:szCs w:val="13"/>
                <w:b w:val="1"/>
                <w:bCs w:val="1"/>
                <w:color w:val="auto"/>
              </w:rPr>
              <w:t>Total</w:t>
            </w:r>
          </w:p>
        </w:tc>
        <w:tc>
          <w:tcPr>
            <w:tcW w:w="80" w:type="dxa"/>
            <w:vAlign w:val="bottom"/>
            <w:gridSpan w:val="2"/>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2260" w:type="dxa"/>
            <w:vAlign w:val="bottom"/>
            <w:tcBorders>
              <w:top w:val="single" w:sz="8" w:color="auto"/>
            </w:tcBorders>
            <w:shd w:val="clear" w:color="auto" w:fill="CCEEFF"/>
          </w:tcPr>
          <w:p>
            <w:pPr>
              <w:spacing w:after="0" w:line="144" w:lineRule="exact"/>
              <w:rPr>
                <w:sz w:val="20"/>
                <w:szCs w:val="20"/>
                <w:color w:val="auto"/>
              </w:rPr>
            </w:pPr>
            <w:r>
              <w:rPr>
                <w:rFonts w:ascii="Arial" w:cs="Arial" w:eastAsia="Arial" w:hAnsi="Arial"/>
                <w:sz w:val="13"/>
                <w:szCs w:val="13"/>
                <w:color w:val="auto"/>
              </w:rPr>
              <w:t>Corporations</w:t>
            </w:r>
          </w:p>
        </w:tc>
        <w:tc>
          <w:tcPr>
            <w:tcW w:w="100" w:type="dxa"/>
            <w:vAlign w:val="bottom"/>
            <w:tcBorders>
              <w:top w:val="single" w:sz="8" w:color="CCEEFF"/>
            </w:tcBorders>
            <w:shd w:val="clear" w:color="auto" w:fill="CCEEFF"/>
          </w:tcPr>
          <w:p>
            <w:pPr>
              <w:spacing w:after="0"/>
              <w:rPr>
                <w:sz w:val="12"/>
                <w:szCs w:val="12"/>
                <w:color w:val="auto"/>
              </w:rPr>
            </w:pPr>
          </w:p>
        </w:tc>
        <w:tc>
          <w:tcPr>
            <w:tcW w:w="116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3,050,900</w:t>
            </w:r>
          </w:p>
        </w:tc>
        <w:tc>
          <w:tcPr>
            <w:tcW w:w="200" w:type="dxa"/>
            <w:vAlign w:val="bottom"/>
            <w:tcBorders>
              <w:top w:val="single" w:sz="8" w:color="CCEEFF"/>
            </w:tcBorders>
            <w:shd w:val="clear" w:color="auto" w:fill="CCEEFF"/>
          </w:tcPr>
          <w:p>
            <w:pPr>
              <w:spacing w:after="0"/>
              <w:rPr>
                <w:sz w:val="12"/>
                <w:szCs w:val="12"/>
                <w:color w:val="auto"/>
              </w:rPr>
            </w:pPr>
          </w:p>
        </w:tc>
        <w:tc>
          <w:tcPr>
            <w:tcW w:w="1140" w:type="dxa"/>
            <w:vAlign w:val="bottom"/>
            <w:tcBorders>
              <w:top w:val="single" w:sz="8" w:color="auto"/>
            </w:tcBorders>
            <w:shd w:val="clear" w:color="auto" w:fill="CCEEFF"/>
          </w:tcPr>
          <w:p>
            <w:pPr>
              <w:ind w:left="1100"/>
              <w:spacing w:after="0"/>
              <w:rPr>
                <w:sz w:val="20"/>
                <w:szCs w:val="20"/>
                <w:color w:val="auto"/>
              </w:rPr>
            </w:pPr>
            <w:r>
              <w:rPr>
                <w:rFonts w:ascii="Arial" w:cs="Arial" w:eastAsia="Arial" w:hAnsi="Arial"/>
                <w:sz w:val="7"/>
                <w:szCs w:val="7"/>
                <w:color w:val="auto"/>
                <w:w w:val="83"/>
              </w:rPr>
              <w:t>-</w:t>
            </w:r>
          </w:p>
        </w:tc>
        <w:tc>
          <w:tcPr>
            <w:tcW w:w="220" w:type="dxa"/>
            <w:vAlign w:val="bottom"/>
            <w:tcBorders>
              <w:top w:val="single" w:sz="8" w:color="CCEEFF"/>
            </w:tcBorders>
            <w:shd w:val="clear" w:color="auto" w:fill="CCEEFF"/>
          </w:tcPr>
          <w:p>
            <w:pPr>
              <w:spacing w:after="0"/>
              <w:rPr>
                <w:sz w:val="12"/>
                <w:szCs w:val="12"/>
                <w:color w:val="auto"/>
              </w:rPr>
            </w:pPr>
          </w:p>
        </w:tc>
        <w:tc>
          <w:tcPr>
            <w:tcW w:w="114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23,759</w:t>
            </w:r>
          </w:p>
        </w:tc>
        <w:tc>
          <w:tcPr>
            <w:tcW w:w="220" w:type="dxa"/>
            <w:vAlign w:val="bottom"/>
            <w:tcBorders>
              <w:top w:val="single" w:sz="8" w:color="CCEEFF"/>
            </w:tcBorders>
            <w:shd w:val="clear" w:color="auto" w:fill="CCEEFF"/>
          </w:tcPr>
          <w:p>
            <w:pPr>
              <w:spacing w:after="0"/>
              <w:rPr>
                <w:sz w:val="12"/>
                <w:szCs w:val="12"/>
                <w:color w:val="auto"/>
              </w:rPr>
            </w:pPr>
          </w:p>
        </w:tc>
        <w:tc>
          <w:tcPr>
            <w:tcW w:w="114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180" w:type="dxa"/>
            <w:vAlign w:val="bottom"/>
            <w:tcBorders>
              <w:top w:val="single" w:sz="8" w:color="CCEEFF"/>
            </w:tcBorders>
            <w:shd w:val="clear" w:color="auto" w:fill="CCEEFF"/>
          </w:tcPr>
          <w:p>
            <w:pPr>
              <w:spacing w:after="0"/>
              <w:rPr>
                <w:sz w:val="12"/>
                <w:szCs w:val="12"/>
                <w:color w:val="auto"/>
              </w:rPr>
            </w:pPr>
          </w:p>
        </w:tc>
        <w:tc>
          <w:tcPr>
            <w:tcW w:w="114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35,000</w:t>
            </w:r>
          </w:p>
        </w:tc>
        <w:tc>
          <w:tcPr>
            <w:tcW w:w="180" w:type="dxa"/>
            <w:vAlign w:val="bottom"/>
            <w:tcBorders>
              <w:top w:val="single" w:sz="8" w:color="CCEEFF"/>
            </w:tcBorders>
            <w:shd w:val="clear" w:color="auto" w:fill="CCEEFF"/>
          </w:tcPr>
          <w:p>
            <w:pPr>
              <w:spacing w:after="0"/>
              <w:rPr>
                <w:sz w:val="12"/>
                <w:szCs w:val="12"/>
                <w:color w:val="auto"/>
              </w:rPr>
            </w:pPr>
          </w:p>
        </w:tc>
        <w:tc>
          <w:tcPr>
            <w:tcW w:w="1140" w:type="dxa"/>
            <w:vAlign w:val="bottom"/>
            <w:tcBorders>
              <w:top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3,109,659</w:t>
            </w:r>
          </w:p>
        </w:tc>
        <w:tc>
          <w:tcPr>
            <w:tcW w:w="2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360" w:type="dxa"/>
            <w:vAlign w:val="bottom"/>
            <w:gridSpan w:val="2"/>
          </w:tcPr>
          <w:p>
            <w:pPr>
              <w:spacing w:after="0"/>
              <w:rPr>
                <w:sz w:val="20"/>
                <w:szCs w:val="20"/>
                <w:color w:val="auto"/>
              </w:rPr>
            </w:pPr>
            <w:r>
              <w:rPr>
                <w:rFonts w:ascii="Arial" w:cs="Arial" w:eastAsia="Arial" w:hAnsi="Arial"/>
                <w:sz w:val="13"/>
                <w:szCs w:val="13"/>
                <w:color w:val="auto"/>
              </w:rPr>
              <w:t>Banks:</w:t>
            </w:r>
          </w:p>
        </w:tc>
        <w:tc>
          <w:tcPr>
            <w:tcW w:w="11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360" w:type="dxa"/>
            <w:vAlign w:val="bottom"/>
            <w:gridSpan w:val="2"/>
            <w:shd w:val="clear" w:color="auto" w:fill="CCEEFF"/>
          </w:tcPr>
          <w:p>
            <w:pPr>
              <w:ind w:left="120"/>
              <w:spacing w:after="0"/>
              <w:rPr>
                <w:sz w:val="20"/>
                <w:szCs w:val="20"/>
                <w:color w:val="auto"/>
              </w:rPr>
            </w:pPr>
            <w:r>
              <w:rPr>
                <w:rFonts w:ascii="Arial" w:cs="Arial" w:eastAsia="Arial" w:hAnsi="Arial"/>
                <w:sz w:val="13"/>
                <w:szCs w:val="13"/>
                <w:color w:val="auto"/>
              </w:rPr>
              <w:t>Private</w:t>
            </w:r>
          </w:p>
        </w:tc>
        <w:tc>
          <w:tcPr>
            <w:tcW w:w="11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1,822,350</w:t>
            </w:r>
          </w:p>
        </w:tc>
        <w:tc>
          <w:tcPr>
            <w:tcW w:w="200" w:type="dxa"/>
            <w:vAlign w:val="bottom"/>
            <w:shd w:val="clear" w:color="auto" w:fill="CCEEFF"/>
          </w:tcPr>
          <w:p>
            <w:pPr>
              <w:spacing w:after="0"/>
              <w:rPr>
                <w:sz w:val="13"/>
                <w:szCs w:val="13"/>
                <w:color w:val="auto"/>
              </w:rPr>
            </w:pPr>
          </w:p>
        </w:tc>
        <w:tc>
          <w:tcPr>
            <w:tcW w:w="1360" w:type="dxa"/>
            <w:vAlign w:val="bottom"/>
            <w:gridSpan w:val="2"/>
            <w:shd w:val="clear" w:color="auto" w:fill="CCEEFF"/>
          </w:tcPr>
          <w:p>
            <w:pPr>
              <w:ind w:left="1100"/>
              <w:spacing w:after="0"/>
              <w:rPr>
                <w:sz w:val="20"/>
                <w:szCs w:val="20"/>
                <w:color w:val="auto"/>
              </w:rPr>
            </w:pPr>
            <w:r>
              <w:rPr>
                <w:rFonts w:ascii="Arial" w:cs="Arial" w:eastAsia="Arial" w:hAnsi="Arial"/>
                <w:sz w:val="13"/>
                <w:szCs w:val="13"/>
                <w:color w:val="auto"/>
              </w:rPr>
              <w:t>-</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3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w:t>
            </w:r>
          </w:p>
        </w:tc>
        <w:tc>
          <w:tcPr>
            <w:tcW w:w="13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w:t>
            </w:r>
          </w:p>
        </w:tc>
        <w:tc>
          <w:tcPr>
            <w:tcW w:w="11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1,822,350</w:t>
            </w:r>
          </w:p>
        </w:tc>
        <w:tc>
          <w:tcPr>
            <w:tcW w:w="2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2360" w:type="dxa"/>
            <w:vAlign w:val="bottom"/>
            <w:gridSpan w:val="2"/>
          </w:tcPr>
          <w:p>
            <w:pPr>
              <w:ind w:left="120"/>
              <w:spacing w:after="0"/>
              <w:rPr>
                <w:sz w:val="20"/>
                <w:szCs w:val="20"/>
                <w:color w:val="auto"/>
              </w:rPr>
            </w:pPr>
            <w:r>
              <w:rPr>
                <w:rFonts w:ascii="Arial" w:cs="Arial" w:eastAsia="Arial" w:hAnsi="Arial"/>
                <w:sz w:val="13"/>
                <w:szCs w:val="13"/>
                <w:color w:val="auto"/>
              </w:rPr>
              <w:t>State-owned</w:t>
            </w:r>
          </w:p>
        </w:tc>
        <w:tc>
          <w:tcPr>
            <w:tcW w:w="1360" w:type="dxa"/>
            <w:vAlign w:val="bottom"/>
            <w:gridSpan w:val="2"/>
          </w:tcPr>
          <w:p>
            <w:pPr>
              <w:jc w:val="right"/>
              <w:ind w:right="200"/>
              <w:spacing w:after="0"/>
              <w:rPr>
                <w:sz w:val="20"/>
                <w:szCs w:val="20"/>
                <w:color w:val="auto"/>
              </w:rPr>
            </w:pPr>
            <w:r>
              <w:rPr>
                <w:rFonts w:ascii="Arial" w:cs="Arial" w:eastAsia="Arial" w:hAnsi="Arial"/>
                <w:sz w:val="13"/>
                <w:szCs w:val="13"/>
                <w:color w:val="auto"/>
              </w:rPr>
              <w:t>573,649</w:t>
            </w:r>
          </w:p>
        </w:tc>
        <w:tc>
          <w:tcPr>
            <w:tcW w:w="1360" w:type="dxa"/>
            <w:vAlign w:val="bottom"/>
            <w:gridSpan w:val="2"/>
          </w:tcPr>
          <w:p>
            <w:pPr>
              <w:ind w:left="1100"/>
              <w:spacing w:after="0"/>
              <w:rPr>
                <w:sz w:val="20"/>
                <w:szCs w:val="20"/>
                <w:color w:val="auto"/>
              </w:rPr>
            </w:pPr>
            <w:r>
              <w:rPr>
                <w:rFonts w:ascii="Arial" w:cs="Arial" w:eastAsia="Arial" w:hAnsi="Arial"/>
                <w:sz w:val="13"/>
                <w:szCs w:val="13"/>
                <w:color w:val="auto"/>
              </w:rPr>
              <w:t>-</w:t>
            </w:r>
          </w:p>
        </w:tc>
        <w:tc>
          <w:tcPr>
            <w:tcW w:w="136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320" w:type="dxa"/>
            <w:vAlign w:val="bottom"/>
            <w:gridSpan w:val="2"/>
          </w:tcPr>
          <w:p>
            <w:pPr>
              <w:jc w:val="right"/>
              <w:ind w:right="180"/>
              <w:spacing w:after="0"/>
              <w:rPr>
                <w:sz w:val="20"/>
                <w:szCs w:val="20"/>
                <w:color w:val="auto"/>
              </w:rPr>
            </w:pPr>
            <w:r>
              <w:rPr>
                <w:rFonts w:ascii="Arial" w:cs="Arial" w:eastAsia="Arial" w:hAnsi="Arial"/>
                <w:sz w:val="13"/>
                <w:szCs w:val="13"/>
                <w:color w:val="auto"/>
              </w:rPr>
              <w:t>-</w:t>
            </w:r>
          </w:p>
        </w:tc>
        <w:tc>
          <w:tcPr>
            <w:tcW w:w="1320" w:type="dxa"/>
            <w:vAlign w:val="bottom"/>
            <w:gridSpan w:val="2"/>
          </w:tcPr>
          <w:p>
            <w:pPr>
              <w:jc w:val="right"/>
              <w:ind w:right="180"/>
              <w:spacing w:after="0"/>
              <w:rPr>
                <w:sz w:val="20"/>
                <w:szCs w:val="20"/>
                <w:color w:val="auto"/>
              </w:rPr>
            </w:pPr>
            <w:r>
              <w:rPr>
                <w:rFonts w:ascii="Arial" w:cs="Arial" w:eastAsia="Arial" w:hAnsi="Arial"/>
                <w:sz w:val="13"/>
                <w:szCs w:val="13"/>
                <w:color w:val="auto"/>
              </w:rPr>
              <w:t>-</w:t>
            </w:r>
          </w:p>
        </w:tc>
        <w:tc>
          <w:tcPr>
            <w:tcW w:w="1160" w:type="dxa"/>
            <w:vAlign w:val="bottom"/>
            <w:gridSpan w:val="2"/>
          </w:tcPr>
          <w:p>
            <w:pPr>
              <w:jc w:val="right"/>
              <w:ind w:right="20"/>
              <w:spacing w:after="0"/>
              <w:rPr>
                <w:sz w:val="20"/>
                <w:szCs w:val="20"/>
                <w:color w:val="auto"/>
              </w:rPr>
            </w:pPr>
            <w:r>
              <w:rPr>
                <w:rFonts w:ascii="Arial" w:cs="Arial" w:eastAsia="Arial" w:hAnsi="Arial"/>
                <w:sz w:val="13"/>
                <w:szCs w:val="13"/>
                <w:color w:val="auto"/>
              </w:rPr>
              <w:t>573,649</w:t>
            </w:r>
          </w:p>
        </w:tc>
        <w:tc>
          <w:tcPr>
            <w:tcW w:w="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226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16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2,395,999</w:t>
            </w:r>
          </w:p>
        </w:tc>
        <w:tc>
          <w:tcPr>
            <w:tcW w:w="200" w:type="dxa"/>
            <w:vAlign w:val="bottom"/>
            <w:tcBorders>
              <w:top w:val="single" w:sz="8" w:color="CCEEFF"/>
            </w:tcBorders>
            <w:shd w:val="clear" w:color="auto" w:fill="CCEEFF"/>
          </w:tcPr>
          <w:p>
            <w:pPr>
              <w:spacing w:after="0"/>
              <w:rPr>
                <w:sz w:val="12"/>
                <w:szCs w:val="12"/>
                <w:color w:val="auto"/>
              </w:rPr>
            </w:pPr>
          </w:p>
        </w:tc>
        <w:tc>
          <w:tcPr>
            <w:tcW w:w="1140" w:type="dxa"/>
            <w:vAlign w:val="bottom"/>
            <w:tcBorders>
              <w:top w:val="single" w:sz="8" w:color="auto"/>
              <w:bottom w:val="single" w:sz="8" w:color="auto"/>
            </w:tcBorders>
            <w:shd w:val="clear" w:color="auto" w:fill="CCEEFF"/>
          </w:tcPr>
          <w:p>
            <w:pPr>
              <w:ind w:left="1100"/>
              <w:spacing w:after="0"/>
              <w:rPr>
                <w:sz w:val="20"/>
                <w:szCs w:val="20"/>
                <w:color w:val="auto"/>
              </w:rPr>
            </w:pPr>
            <w:r>
              <w:rPr>
                <w:rFonts w:ascii="Arial" w:cs="Arial" w:eastAsia="Arial" w:hAnsi="Arial"/>
                <w:sz w:val="7"/>
                <w:szCs w:val="7"/>
                <w:color w:val="auto"/>
                <w:w w:val="83"/>
              </w:rPr>
              <w:t>-</w:t>
            </w:r>
          </w:p>
        </w:tc>
        <w:tc>
          <w:tcPr>
            <w:tcW w:w="220" w:type="dxa"/>
            <w:vAlign w:val="bottom"/>
            <w:tcBorders>
              <w:top w:val="single" w:sz="8" w:color="CCEEFF"/>
            </w:tcBorders>
            <w:shd w:val="clear" w:color="auto" w:fill="CCEEFF"/>
          </w:tcPr>
          <w:p>
            <w:pPr>
              <w:spacing w:after="0"/>
              <w:rPr>
                <w:sz w:val="12"/>
                <w:szCs w:val="12"/>
                <w:color w:val="auto"/>
              </w:rPr>
            </w:pPr>
          </w:p>
        </w:tc>
        <w:tc>
          <w:tcPr>
            <w:tcW w:w="11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1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180" w:type="dxa"/>
            <w:vAlign w:val="bottom"/>
            <w:tcBorders>
              <w:top w:val="single" w:sz="8" w:color="CCEEFF"/>
            </w:tcBorders>
            <w:shd w:val="clear" w:color="auto" w:fill="CCEEFF"/>
          </w:tcPr>
          <w:p>
            <w:pPr>
              <w:spacing w:after="0"/>
              <w:rPr>
                <w:sz w:val="12"/>
                <w:szCs w:val="12"/>
                <w:color w:val="auto"/>
              </w:rPr>
            </w:pPr>
          </w:p>
        </w:tc>
        <w:tc>
          <w:tcPr>
            <w:tcW w:w="11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w:t>
            </w:r>
          </w:p>
        </w:tc>
        <w:tc>
          <w:tcPr>
            <w:tcW w:w="180" w:type="dxa"/>
            <w:vAlign w:val="bottom"/>
            <w:tcBorders>
              <w:top w:val="single" w:sz="8" w:color="CCEEFF"/>
            </w:tcBorders>
            <w:shd w:val="clear" w:color="auto" w:fill="CCEEFF"/>
          </w:tcPr>
          <w:p>
            <w:pPr>
              <w:spacing w:after="0"/>
              <w:rPr>
                <w:sz w:val="12"/>
                <w:szCs w:val="12"/>
                <w:color w:val="auto"/>
              </w:rPr>
            </w:pPr>
          </w:p>
        </w:tc>
        <w:tc>
          <w:tcPr>
            <w:tcW w:w="1140" w:type="dxa"/>
            <w:vAlign w:val="bottom"/>
            <w:tcBorders>
              <w:top w:val="single" w:sz="8" w:color="auto"/>
              <w:bottom w:val="single" w:sz="8" w:color="auto"/>
            </w:tcBorders>
            <w:shd w:val="clear" w:color="auto" w:fill="CCEEFF"/>
          </w:tcPr>
          <w:p>
            <w:pPr>
              <w:jc w:val="right"/>
              <w:spacing w:after="0" w:line="144" w:lineRule="exact"/>
              <w:rPr>
                <w:sz w:val="20"/>
                <w:szCs w:val="20"/>
                <w:color w:val="auto"/>
              </w:rPr>
            </w:pPr>
            <w:r>
              <w:rPr>
                <w:rFonts w:ascii="Arial" w:cs="Arial" w:eastAsia="Arial" w:hAnsi="Arial"/>
                <w:sz w:val="13"/>
                <w:szCs w:val="13"/>
                <w:color w:val="auto"/>
              </w:rPr>
              <w:t>2,395,999</w:t>
            </w:r>
          </w:p>
        </w:tc>
        <w:tc>
          <w:tcPr>
            <w:tcW w:w="2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2360" w:type="dxa"/>
            <w:vAlign w:val="bottom"/>
            <w:tcBorders>
              <w:bottom w:val="single" w:sz="8" w:color="CCEEFF"/>
            </w:tcBorders>
            <w:gridSpan w:val="2"/>
          </w:tcPr>
          <w:p>
            <w:pPr>
              <w:spacing w:after="0" w:line="143" w:lineRule="exact"/>
              <w:rPr>
                <w:sz w:val="20"/>
                <w:szCs w:val="20"/>
                <w:color w:val="auto"/>
              </w:rPr>
            </w:pPr>
            <w:r>
              <w:rPr>
                <w:rFonts w:ascii="Arial" w:cs="Arial" w:eastAsia="Arial" w:hAnsi="Arial"/>
                <w:sz w:val="13"/>
                <w:szCs w:val="13"/>
                <w:color w:val="auto"/>
              </w:rPr>
              <w:t>Total</w:t>
            </w: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5,446,899</w:t>
            </w:r>
          </w:p>
        </w:tc>
        <w:tc>
          <w:tcPr>
            <w:tcW w:w="200" w:type="dxa"/>
            <w:vAlign w:val="bottom"/>
            <w:tcBorders>
              <w:bottom w:val="single" w:sz="8" w:color="CCEEFF"/>
            </w:tcBorders>
          </w:tcPr>
          <w:p>
            <w:pPr>
              <w:spacing w:after="0"/>
              <w:rPr>
                <w:sz w:val="14"/>
                <w:szCs w:val="14"/>
                <w:color w:val="auto"/>
              </w:rPr>
            </w:pPr>
          </w:p>
        </w:tc>
        <w:tc>
          <w:tcPr>
            <w:tcW w:w="1140" w:type="dxa"/>
            <w:vAlign w:val="bottom"/>
            <w:tcBorders>
              <w:bottom w:val="single" w:sz="8" w:color="auto"/>
            </w:tcBorders>
          </w:tcPr>
          <w:p>
            <w:pPr>
              <w:ind w:left="1100"/>
              <w:spacing w:after="0"/>
              <w:rPr>
                <w:sz w:val="20"/>
                <w:szCs w:val="20"/>
                <w:color w:val="auto"/>
              </w:rPr>
            </w:pPr>
            <w:r>
              <w:rPr>
                <w:rFonts w:ascii="Arial" w:cs="Arial" w:eastAsia="Arial" w:hAnsi="Arial"/>
                <w:sz w:val="7"/>
                <w:szCs w:val="7"/>
                <w:b w:val="1"/>
                <w:bCs w:val="1"/>
                <w:color w:val="auto"/>
                <w:w w:val="83"/>
              </w:rPr>
              <w:t>-</w:t>
            </w:r>
          </w:p>
        </w:tc>
        <w:tc>
          <w:tcPr>
            <w:tcW w:w="220" w:type="dxa"/>
            <w:vAlign w:val="bottom"/>
            <w:tcBorders>
              <w:bottom w:val="single" w:sz="8" w:color="CCEEFF"/>
            </w:tcBorders>
          </w:tcPr>
          <w:p>
            <w:pPr>
              <w:spacing w:after="0"/>
              <w:rPr>
                <w:sz w:val="14"/>
                <w:szCs w:val="14"/>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23,759</w:t>
            </w:r>
          </w:p>
        </w:tc>
        <w:tc>
          <w:tcPr>
            <w:tcW w:w="220" w:type="dxa"/>
            <w:vAlign w:val="bottom"/>
            <w:tcBorders>
              <w:bottom w:val="single" w:sz="8" w:color="CCEEFF"/>
            </w:tcBorders>
          </w:tcPr>
          <w:p>
            <w:pPr>
              <w:spacing w:after="0"/>
              <w:rPr>
                <w:sz w:val="14"/>
                <w:szCs w:val="14"/>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w:t>
            </w:r>
          </w:p>
        </w:tc>
        <w:tc>
          <w:tcPr>
            <w:tcW w:w="180" w:type="dxa"/>
            <w:vAlign w:val="bottom"/>
            <w:tcBorders>
              <w:bottom w:val="single" w:sz="8" w:color="CCEEFF"/>
            </w:tcBorders>
          </w:tcPr>
          <w:p>
            <w:pPr>
              <w:spacing w:after="0"/>
              <w:rPr>
                <w:sz w:val="14"/>
                <w:szCs w:val="14"/>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35,000</w:t>
            </w:r>
          </w:p>
        </w:tc>
        <w:tc>
          <w:tcPr>
            <w:tcW w:w="180" w:type="dxa"/>
            <w:vAlign w:val="bottom"/>
            <w:tcBorders>
              <w:bottom w:val="single" w:sz="8" w:color="CCEEFF"/>
            </w:tcBorders>
          </w:tcPr>
          <w:p>
            <w:pPr>
              <w:spacing w:after="0"/>
              <w:rPr>
                <w:sz w:val="14"/>
                <w:szCs w:val="14"/>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5,505,658</w:t>
            </w:r>
          </w:p>
        </w:tc>
        <w:tc>
          <w:tcPr>
            <w:tcW w:w="20" w:type="dxa"/>
            <w:vAlign w:val="bottom"/>
            <w:tcBorders>
              <w:bottom w:val="single" w:sz="8" w:color="CCEEFF"/>
            </w:tcBorders>
          </w:tcPr>
          <w:p>
            <w:pPr>
              <w:spacing w:after="0"/>
              <w:rPr>
                <w:sz w:val="14"/>
                <w:szCs w:val="14"/>
                <w:color w:val="auto"/>
              </w:rPr>
            </w:pPr>
          </w:p>
        </w:tc>
        <w:tc>
          <w:tcPr>
            <w:tcW w:w="6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22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16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180" w:type="dxa"/>
            <w:vAlign w:val="bottom"/>
            <w:shd w:val="clear" w:color="auto" w:fill="CCEEFF"/>
          </w:tcPr>
          <w:p>
            <w:pPr>
              <w:spacing w:after="0"/>
              <w:rPr>
                <w:sz w:val="13"/>
                <w:szCs w:val="13"/>
                <w:color w:val="auto"/>
              </w:rPr>
            </w:pPr>
          </w:p>
        </w:tc>
        <w:tc>
          <w:tcPr>
            <w:tcW w:w="114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2360" w:type="dxa"/>
            <w:vAlign w:val="bottom"/>
            <w:gridSpan w:val="2"/>
          </w:tcPr>
          <w:p>
            <w:pPr>
              <w:spacing w:after="0"/>
              <w:rPr>
                <w:sz w:val="20"/>
                <w:szCs w:val="20"/>
                <w:color w:val="auto"/>
              </w:rPr>
            </w:pPr>
            <w:r>
              <w:rPr>
                <w:rFonts w:ascii="Arial" w:cs="Arial" w:eastAsia="Arial" w:hAnsi="Arial"/>
                <w:sz w:val="13"/>
                <w:szCs w:val="13"/>
                <w:color w:val="auto"/>
              </w:rPr>
              <w:t>Loans provision:</w:t>
            </w:r>
          </w:p>
        </w:tc>
        <w:tc>
          <w:tcPr>
            <w:tcW w:w="11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2360" w:type="dxa"/>
            <w:vAlign w:val="bottom"/>
            <w:gridSpan w:val="2"/>
            <w:shd w:val="clear" w:color="auto" w:fill="CCEEFF"/>
          </w:tcPr>
          <w:p>
            <w:pPr>
              <w:ind w:left="60"/>
              <w:spacing w:after="0"/>
              <w:rPr>
                <w:sz w:val="20"/>
                <w:szCs w:val="20"/>
                <w:color w:val="auto"/>
              </w:rPr>
            </w:pPr>
            <w:r>
              <w:rPr>
                <w:rFonts w:ascii="Arial" w:cs="Arial" w:eastAsia="Arial" w:hAnsi="Arial"/>
                <w:sz w:val="13"/>
                <w:szCs w:val="13"/>
                <w:color w:val="auto"/>
              </w:rPr>
              <w:t>Specific</w:t>
            </w:r>
          </w:p>
        </w:tc>
        <w:tc>
          <w:tcPr>
            <w:tcW w:w="11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4"/>
                <w:szCs w:val="14"/>
                <w:color w:val="auto"/>
              </w:rPr>
            </w:pPr>
          </w:p>
        </w:tc>
        <w:tc>
          <w:tcPr>
            <w:tcW w:w="1360" w:type="dxa"/>
            <w:vAlign w:val="bottom"/>
            <w:gridSpan w:val="2"/>
            <w:shd w:val="clear" w:color="auto" w:fill="CCEEFF"/>
          </w:tcPr>
          <w:p>
            <w:pPr>
              <w:ind w:left="1100"/>
              <w:spacing w:after="0"/>
              <w:rPr>
                <w:sz w:val="20"/>
                <w:szCs w:val="20"/>
                <w:color w:val="auto"/>
              </w:rPr>
            </w:pPr>
            <w:r>
              <w:rPr>
                <w:rFonts w:ascii="Arial" w:cs="Arial" w:eastAsia="Arial" w:hAnsi="Arial"/>
                <w:sz w:val="13"/>
                <w:szCs w:val="13"/>
                <w:color w:val="auto"/>
              </w:rPr>
              <w:t>-</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7,238</w:t>
            </w:r>
          </w:p>
        </w:tc>
        <w:tc>
          <w:tcPr>
            <w:tcW w:w="13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w:t>
            </w:r>
          </w:p>
        </w:tc>
        <w:tc>
          <w:tcPr>
            <w:tcW w:w="13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17,500</w:t>
            </w:r>
          </w:p>
        </w:tc>
        <w:tc>
          <w:tcPr>
            <w:tcW w:w="11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24,738</w:t>
            </w:r>
          </w:p>
        </w:tc>
        <w:tc>
          <w:tcPr>
            <w:tcW w:w="6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2360" w:type="dxa"/>
            <w:vAlign w:val="bottom"/>
            <w:gridSpan w:val="2"/>
          </w:tcPr>
          <w:p>
            <w:pPr>
              <w:spacing w:after="0" w:line="143" w:lineRule="exact"/>
              <w:rPr>
                <w:sz w:val="20"/>
                <w:szCs w:val="20"/>
                <w:color w:val="auto"/>
              </w:rPr>
            </w:pPr>
            <w:r>
              <w:rPr>
                <w:rFonts w:ascii="Arial" w:cs="Arial" w:eastAsia="Arial" w:hAnsi="Arial"/>
                <w:sz w:val="13"/>
                <w:szCs w:val="13"/>
                <w:color w:val="auto"/>
              </w:rPr>
              <w:t>Total</w:t>
            </w: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w:t>
            </w:r>
          </w:p>
        </w:tc>
        <w:tc>
          <w:tcPr>
            <w:tcW w:w="200" w:type="dxa"/>
            <w:vAlign w:val="bottom"/>
          </w:tcPr>
          <w:p>
            <w:pPr>
              <w:spacing w:after="0"/>
              <w:rPr>
                <w:sz w:val="14"/>
                <w:szCs w:val="14"/>
                <w:color w:val="auto"/>
              </w:rPr>
            </w:pPr>
          </w:p>
        </w:tc>
        <w:tc>
          <w:tcPr>
            <w:tcW w:w="1140" w:type="dxa"/>
            <w:vAlign w:val="bottom"/>
            <w:tcBorders>
              <w:top w:val="single" w:sz="8" w:color="auto"/>
              <w:bottom w:val="single" w:sz="8" w:color="auto"/>
            </w:tcBorders>
          </w:tcPr>
          <w:p>
            <w:pPr>
              <w:ind w:left="1100"/>
              <w:spacing w:after="0"/>
              <w:rPr>
                <w:sz w:val="20"/>
                <w:szCs w:val="20"/>
                <w:color w:val="auto"/>
              </w:rPr>
            </w:pPr>
            <w:r>
              <w:rPr>
                <w:rFonts w:ascii="Arial" w:cs="Arial" w:eastAsia="Arial" w:hAnsi="Arial"/>
                <w:sz w:val="7"/>
                <w:szCs w:val="7"/>
                <w:b w:val="1"/>
                <w:bCs w:val="1"/>
                <w:color w:val="auto"/>
                <w:w w:val="83"/>
              </w:rPr>
              <w:t>-</w:t>
            </w:r>
          </w:p>
        </w:tc>
        <w:tc>
          <w:tcPr>
            <w:tcW w:w="220" w:type="dxa"/>
            <w:vAlign w:val="bottom"/>
          </w:tcPr>
          <w:p>
            <w:pPr>
              <w:spacing w:after="0"/>
              <w:rPr>
                <w:sz w:val="14"/>
                <w:szCs w:val="14"/>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7,238</w:t>
            </w:r>
          </w:p>
        </w:tc>
        <w:tc>
          <w:tcPr>
            <w:tcW w:w="220" w:type="dxa"/>
            <w:vAlign w:val="bottom"/>
          </w:tcPr>
          <w:p>
            <w:pPr>
              <w:spacing w:after="0"/>
              <w:rPr>
                <w:sz w:val="14"/>
                <w:szCs w:val="14"/>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w:t>
            </w:r>
          </w:p>
        </w:tc>
        <w:tc>
          <w:tcPr>
            <w:tcW w:w="180" w:type="dxa"/>
            <w:vAlign w:val="bottom"/>
          </w:tcPr>
          <w:p>
            <w:pPr>
              <w:spacing w:after="0"/>
              <w:rPr>
                <w:sz w:val="14"/>
                <w:szCs w:val="14"/>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17,500</w:t>
            </w:r>
          </w:p>
        </w:tc>
        <w:tc>
          <w:tcPr>
            <w:tcW w:w="180" w:type="dxa"/>
            <w:vAlign w:val="bottom"/>
          </w:tcPr>
          <w:p>
            <w:pPr>
              <w:spacing w:after="0"/>
              <w:rPr>
                <w:sz w:val="14"/>
                <w:szCs w:val="14"/>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24,738</w:t>
            </w:r>
          </w:p>
        </w:tc>
        <w:tc>
          <w:tcPr>
            <w:tcW w:w="20" w:type="dxa"/>
            <w:vAlign w:val="bottom"/>
            <w:tcBorders>
              <w:bottom w:val="single" w:sz="8" w:color="auto"/>
            </w:tcBorders>
          </w:tcPr>
          <w:p>
            <w:pPr>
              <w:spacing w:after="0"/>
              <w:rPr>
                <w:sz w:val="14"/>
                <w:szCs w:val="14"/>
                <w:color w:val="auto"/>
              </w:rPr>
            </w:pPr>
          </w:p>
        </w:tc>
        <w:tc>
          <w:tcPr>
            <w:tcW w:w="60" w:type="dxa"/>
            <w:vAlign w:val="bottom"/>
          </w:tcPr>
          <w:p>
            <w:pPr>
              <w:spacing w:after="0"/>
              <w:rPr>
                <w:sz w:val="14"/>
                <w:szCs w:val="14"/>
                <w:color w:val="auto"/>
              </w:rPr>
            </w:pPr>
          </w:p>
        </w:tc>
        <w:tc>
          <w:tcPr>
            <w:tcW w:w="0" w:type="dxa"/>
            <w:vAlign w:val="bottom"/>
          </w:tcPr>
          <w:p>
            <w:pPr>
              <w:spacing w:after="0"/>
              <w:rPr>
                <w:sz w:val="1"/>
                <w:szCs w:val="1"/>
                <w:color w:val="auto"/>
              </w:rPr>
            </w:pPr>
          </w:p>
        </w:tc>
      </w:tr>
    </w:tbl>
    <w:p>
      <w:pPr>
        <w:spacing w:after="0" w:line="145" w:lineRule="exact"/>
        <w:rPr>
          <w:sz w:val="20"/>
          <w:szCs w:val="20"/>
          <w:color w:val="auto"/>
        </w:rPr>
      </w:pPr>
    </w:p>
    <w:p>
      <w:pPr>
        <w:ind w:left="223"/>
        <w:spacing w:after="0"/>
        <w:rPr>
          <w:sz w:val="20"/>
          <w:szCs w:val="20"/>
          <w:color w:val="auto"/>
        </w:rPr>
      </w:pPr>
      <w:r>
        <w:rPr>
          <w:rFonts w:ascii="Arial" w:cs="Arial" w:eastAsia="Arial" w:hAnsi="Arial"/>
          <w:sz w:val="13"/>
          <w:szCs w:val="13"/>
          <w:color w:val="auto"/>
        </w:rPr>
        <w:t>As of December 31, 2018, and December 31, 2017, the total restructured loans amounted to $9.0 million and $32.9 million, respectively.</w:t>
      </w:r>
    </w:p>
    <w:p>
      <w:pPr>
        <w:spacing w:after="0" w:line="159" w:lineRule="exact"/>
        <w:rPr>
          <w:sz w:val="20"/>
          <w:szCs w:val="20"/>
          <w:color w:val="auto"/>
        </w:rPr>
      </w:pPr>
    </w:p>
    <w:p>
      <w:pPr>
        <w:ind w:left="223"/>
        <w:spacing w:after="0"/>
        <w:rPr>
          <w:sz w:val="20"/>
          <w:szCs w:val="20"/>
          <w:color w:val="auto"/>
        </w:rPr>
      </w:pPr>
      <w:r>
        <w:rPr>
          <w:rFonts w:ascii="Arial" w:cs="Arial" w:eastAsia="Arial" w:hAnsi="Arial"/>
          <w:sz w:val="13"/>
          <w:szCs w:val="13"/>
          <w:color w:val="auto"/>
        </w:rPr>
        <w:t>For statutory purposes only, non-accruing loans are presented by category as follows:</w:t>
      </w:r>
    </w:p>
    <w:p>
      <w:pPr>
        <w:spacing w:after="0" w:line="164" w:lineRule="exact"/>
        <w:rPr>
          <w:sz w:val="20"/>
          <w:szCs w:val="20"/>
          <w:color w:val="auto"/>
        </w:rPr>
      </w:pPr>
    </w:p>
    <w:tbl>
      <w:tblPr>
        <w:tblLayout w:type="fixed"/>
        <w:tblInd w:w="3" w:type="dxa"/>
        <w:tblCellMar>
          <w:top w:w="0" w:type="dxa"/>
          <w:left w:w="0" w:type="dxa"/>
          <w:bottom w:w="0" w:type="dxa"/>
          <w:right w:w="0" w:type="dxa"/>
        </w:tblCellMar>
      </w:tblPr>
      <w:tr>
        <w:trPr>
          <w:trHeight w:val="167"/>
        </w:trPr>
        <w:tc>
          <w:tcPr>
            <w:tcW w:w="220" w:type="dxa"/>
            <w:vAlign w:val="bottom"/>
          </w:tcPr>
          <w:p>
            <w:pPr>
              <w:spacing w:after="0"/>
              <w:rPr>
                <w:sz w:val="14"/>
                <w:szCs w:val="14"/>
                <w:color w:val="auto"/>
              </w:rPr>
            </w:pPr>
          </w:p>
        </w:tc>
        <w:tc>
          <w:tcPr>
            <w:tcW w:w="2380" w:type="dxa"/>
            <w:vAlign w:val="bottom"/>
            <w:gridSpan w:val="2"/>
            <w:vMerge w:val="restart"/>
          </w:tcPr>
          <w:p>
            <w:pPr>
              <w:jc w:val="center"/>
              <w:ind w:right="100"/>
              <w:spacing w:after="0"/>
              <w:rPr>
                <w:sz w:val="20"/>
                <w:szCs w:val="20"/>
                <w:color w:val="auto"/>
              </w:rPr>
            </w:pPr>
            <w:r>
              <w:rPr>
                <w:rFonts w:ascii="Arial" w:cs="Arial" w:eastAsia="Arial" w:hAnsi="Arial"/>
                <w:sz w:val="13"/>
                <w:szCs w:val="13"/>
                <w:b w:val="1"/>
                <w:bCs w:val="1"/>
                <w:color w:val="auto"/>
                <w:w w:val="90"/>
              </w:rPr>
              <w:t>Non-accruing</w:t>
            </w:r>
          </w:p>
        </w:tc>
        <w:tc>
          <w:tcPr>
            <w:tcW w:w="116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14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2680" w:type="dxa"/>
            <w:vAlign w:val="bottom"/>
            <w:tcBorders>
              <w:bottom w:val="single" w:sz="8" w:color="auto"/>
            </w:tcBorders>
            <w:gridSpan w:val="4"/>
          </w:tcPr>
          <w:p>
            <w:pPr>
              <w:ind w:left="680"/>
              <w:spacing w:after="0"/>
              <w:rPr>
                <w:sz w:val="20"/>
                <w:szCs w:val="20"/>
                <w:color w:val="auto"/>
              </w:rPr>
            </w:pPr>
            <w:r>
              <w:rPr>
                <w:rFonts w:ascii="Arial" w:cs="Arial" w:eastAsia="Arial" w:hAnsi="Arial"/>
                <w:sz w:val="13"/>
                <w:szCs w:val="13"/>
                <w:b w:val="1"/>
                <w:bCs w:val="1"/>
                <w:color w:val="auto"/>
              </w:rPr>
              <w:t>December 31, 2018</w:t>
            </w:r>
          </w:p>
        </w:tc>
        <w:tc>
          <w:tcPr>
            <w:tcW w:w="114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1140" w:type="dxa"/>
            <w:vAlign w:val="bottom"/>
            <w:tcBorders>
              <w:bottom w:val="single" w:sz="8" w:color="auto"/>
            </w:tcBorders>
          </w:tcPr>
          <w:p>
            <w:pPr>
              <w:spacing w:after="0"/>
              <w:rPr>
                <w:sz w:val="14"/>
                <w:szCs w:val="14"/>
                <w:color w:val="auto"/>
              </w:rPr>
            </w:pPr>
          </w:p>
        </w:tc>
        <w:tc>
          <w:tcPr>
            <w:tcW w:w="8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21"/>
        </w:trPr>
        <w:tc>
          <w:tcPr>
            <w:tcW w:w="220" w:type="dxa"/>
            <w:vAlign w:val="bottom"/>
          </w:tcPr>
          <w:p>
            <w:pPr>
              <w:spacing w:after="0"/>
              <w:rPr>
                <w:sz w:val="10"/>
                <w:szCs w:val="10"/>
                <w:color w:val="auto"/>
              </w:rPr>
            </w:pPr>
          </w:p>
        </w:tc>
        <w:tc>
          <w:tcPr>
            <w:tcW w:w="2380" w:type="dxa"/>
            <w:vAlign w:val="bottom"/>
            <w:gridSpan w:val="2"/>
            <w:vMerge w:val="continue"/>
          </w:tcPr>
          <w:p>
            <w:pPr>
              <w:spacing w:after="0"/>
              <w:rPr>
                <w:sz w:val="10"/>
                <w:szCs w:val="10"/>
                <w:color w:val="auto"/>
              </w:rPr>
            </w:pPr>
          </w:p>
        </w:tc>
        <w:tc>
          <w:tcPr>
            <w:tcW w:w="116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11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1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14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114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11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9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7"/>
        </w:trPr>
        <w:tc>
          <w:tcPr>
            <w:tcW w:w="220" w:type="dxa"/>
            <w:vAlign w:val="bottom"/>
          </w:tcPr>
          <w:p>
            <w:pPr>
              <w:spacing w:after="0"/>
              <w:rPr>
                <w:sz w:val="14"/>
                <w:szCs w:val="14"/>
                <w:color w:val="auto"/>
              </w:rPr>
            </w:pPr>
          </w:p>
        </w:tc>
        <w:tc>
          <w:tcPr>
            <w:tcW w:w="228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2"/>
              </w:rPr>
              <w:t>loans</w:t>
            </w:r>
          </w:p>
        </w:tc>
        <w:tc>
          <w:tcPr>
            <w:tcW w:w="100" w:type="dxa"/>
            <w:vAlign w:val="bottom"/>
            <w:tcBorders>
              <w:bottom w:val="single" w:sz="8" w:color="CCEEFF"/>
            </w:tcBorders>
          </w:tcPr>
          <w:p>
            <w:pPr>
              <w:spacing w:after="0"/>
              <w:rPr>
                <w:sz w:val="14"/>
                <w:szCs w:val="14"/>
                <w:color w:val="auto"/>
              </w:rPr>
            </w:pPr>
          </w:p>
        </w:tc>
        <w:tc>
          <w:tcPr>
            <w:tcW w:w="1160" w:type="dxa"/>
            <w:vAlign w:val="bottom"/>
            <w:tcBorders>
              <w:bottom w:val="single" w:sz="8" w:color="auto"/>
            </w:tcBorders>
          </w:tcPr>
          <w:p>
            <w:pPr>
              <w:jc w:val="right"/>
              <w:ind w:right="316"/>
              <w:spacing w:after="0"/>
              <w:rPr>
                <w:sz w:val="20"/>
                <w:szCs w:val="20"/>
                <w:color w:val="auto"/>
              </w:rPr>
            </w:pPr>
            <w:r>
              <w:rPr>
                <w:rFonts w:ascii="Arial" w:cs="Arial" w:eastAsia="Arial" w:hAnsi="Arial"/>
                <w:sz w:val="13"/>
                <w:szCs w:val="13"/>
                <w:b w:val="1"/>
                <w:bCs w:val="1"/>
                <w:color w:val="auto"/>
              </w:rPr>
              <w:t>Normal</w:t>
            </w:r>
          </w:p>
        </w:tc>
        <w:tc>
          <w:tcPr>
            <w:tcW w:w="200" w:type="dxa"/>
            <w:vAlign w:val="bottom"/>
            <w:tcBorders>
              <w:bottom w:val="single" w:sz="8" w:color="CCEEFF"/>
            </w:tcBorders>
          </w:tcPr>
          <w:p>
            <w:pPr>
              <w:spacing w:after="0"/>
              <w:rPr>
                <w:sz w:val="14"/>
                <w:szCs w:val="14"/>
                <w:color w:val="auto"/>
              </w:rPr>
            </w:pPr>
          </w:p>
        </w:tc>
        <w:tc>
          <w:tcPr>
            <w:tcW w:w="1140" w:type="dxa"/>
            <w:vAlign w:val="bottom"/>
            <w:tcBorders>
              <w:bottom w:val="single" w:sz="8" w:color="auto"/>
            </w:tcBorders>
          </w:tcPr>
          <w:p>
            <w:pPr>
              <w:ind w:left="140"/>
              <w:spacing w:after="0"/>
              <w:rPr>
                <w:sz w:val="20"/>
                <w:szCs w:val="20"/>
                <w:color w:val="auto"/>
              </w:rPr>
            </w:pPr>
            <w:r>
              <w:rPr>
                <w:rFonts w:ascii="Arial" w:cs="Arial" w:eastAsia="Arial" w:hAnsi="Arial"/>
                <w:sz w:val="13"/>
                <w:szCs w:val="13"/>
                <w:b w:val="1"/>
                <w:bCs w:val="1"/>
                <w:color w:val="auto"/>
                <w:w w:val="98"/>
              </w:rPr>
              <w:t>Special Mention</w:t>
            </w:r>
          </w:p>
        </w:tc>
        <w:tc>
          <w:tcPr>
            <w:tcW w:w="220" w:type="dxa"/>
            <w:vAlign w:val="bottom"/>
            <w:tcBorders>
              <w:bottom w:val="single" w:sz="8" w:color="CCEEFF"/>
            </w:tcBorders>
          </w:tcPr>
          <w:p>
            <w:pPr>
              <w:spacing w:after="0"/>
              <w:rPr>
                <w:sz w:val="14"/>
                <w:szCs w:val="14"/>
                <w:color w:val="auto"/>
              </w:rPr>
            </w:pPr>
          </w:p>
        </w:tc>
        <w:tc>
          <w:tcPr>
            <w:tcW w:w="1140" w:type="dxa"/>
            <w:vAlign w:val="bottom"/>
            <w:tcBorders>
              <w:bottom w:val="single" w:sz="8" w:color="auto"/>
            </w:tcBorders>
          </w:tcPr>
          <w:p>
            <w:pPr>
              <w:jc w:val="right"/>
              <w:ind w:right="156"/>
              <w:spacing w:after="0"/>
              <w:rPr>
                <w:sz w:val="20"/>
                <w:szCs w:val="20"/>
                <w:color w:val="auto"/>
              </w:rPr>
            </w:pPr>
            <w:r>
              <w:rPr>
                <w:rFonts w:ascii="Arial" w:cs="Arial" w:eastAsia="Arial" w:hAnsi="Arial"/>
                <w:sz w:val="13"/>
                <w:szCs w:val="13"/>
                <w:b w:val="1"/>
                <w:bCs w:val="1"/>
                <w:color w:val="auto"/>
              </w:rPr>
              <w:t>Substandard</w:t>
            </w:r>
          </w:p>
        </w:tc>
        <w:tc>
          <w:tcPr>
            <w:tcW w:w="220" w:type="dxa"/>
            <w:vAlign w:val="bottom"/>
            <w:tcBorders>
              <w:bottom w:val="single" w:sz="8" w:color="CCEEFF"/>
            </w:tcBorders>
          </w:tcPr>
          <w:p>
            <w:pPr>
              <w:spacing w:after="0"/>
              <w:rPr>
                <w:sz w:val="14"/>
                <w:szCs w:val="14"/>
                <w:color w:val="auto"/>
              </w:rPr>
            </w:pPr>
          </w:p>
        </w:tc>
        <w:tc>
          <w:tcPr>
            <w:tcW w:w="1140" w:type="dxa"/>
            <w:vAlign w:val="bottom"/>
            <w:tcBorders>
              <w:bottom w:val="single" w:sz="8" w:color="auto"/>
            </w:tcBorders>
          </w:tcPr>
          <w:p>
            <w:pPr>
              <w:jc w:val="right"/>
              <w:ind w:right="256"/>
              <w:spacing w:after="0"/>
              <w:rPr>
                <w:sz w:val="20"/>
                <w:szCs w:val="20"/>
                <w:color w:val="auto"/>
              </w:rPr>
            </w:pPr>
            <w:r>
              <w:rPr>
                <w:rFonts w:ascii="Arial" w:cs="Arial" w:eastAsia="Arial" w:hAnsi="Arial"/>
                <w:sz w:val="13"/>
                <w:szCs w:val="13"/>
                <w:b w:val="1"/>
                <w:bCs w:val="1"/>
                <w:color w:val="auto"/>
              </w:rPr>
              <w:t>Doubtful</w:t>
            </w:r>
          </w:p>
        </w:tc>
        <w:tc>
          <w:tcPr>
            <w:tcW w:w="180" w:type="dxa"/>
            <w:vAlign w:val="bottom"/>
            <w:tcBorders>
              <w:bottom w:val="single" w:sz="8" w:color="CCEEFF"/>
            </w:tcBorders>
          </w:tcPr>
          <w:p>
            <w:pPr>
              <w:spacing w:after="0"/>
              <w:rPr>
                <w:sz w:val="14"/>
                <w:szCs w:val="14"/>
                <w:color w:val="auto"/>
              </w:rPr>
            </w:pPr>
          </w:p>
        </w:tc>
        <w:tc>
          <w:tcPr>
            <w:tcW w:w="1140" w:type="dxa"/>
            <w:vAlign w:val="bottom"/>
            <w:tcBorders>
              <w:bottom w:val="single" w:sz="8" w:color="auto"/>
            </w:tcBorders>
          </w:tcPr>
          <w:p>
            <w:pPr>
              <w:jc w:val="right"/>
              <w:ind w:right="96"/>
              <w:spacing w:after="0"/>
              <w:rPr>
                <w:sz w:val="20"/>
                <w:szCs w:val="20"/>
                <w:color w:val="auto"/>
              </w:rPr>
            </w:pPr>
            <w:r>
              <w:rPr>
                <w:rFonts w:ascii="Arial" w:cs="Arial" w:eastAsia="Arial" w:hAnsi="Arial"/>
                <w:sz w:val="13"/>
                <w:szCs w:val="13"/>
                <w:b w:val="1"/>
                <w:bCs w:val="1"/>
                <w:color w:val="auto"/>
              </w:rPr>
              <w:t>Unrecoverable</w:t>
            </w:r>
          </w:p>
        </w:tc>
        <w:tc>
          <w:tcPr>
            <w:tcW w:w="180" w:type="dxa"/>
            <w:vAlign w:val="bottom"/>
            <w:tcBorders>
              <w:bottom w:val="single" w:sz="8" w:color="CCEEFF"/>
            </w:tcBorders>
          </w:tcPr>
          <w:p>
            <w:pPr>
              <w:spacing w:after="0"/>
              <w:rPr>
                <w:sz w:val="14"/>
                <w:szCs w:val="14"/>
                <w:color w:val="auto"/>
              </w:rPr>
            </w:pPr>
          </w:p>
        </w:tc>
        <w:tc>
          <w:tcPr>
            <w:tcW w:w="1140" w:type="dxa"/>
            <w:vAlign w:val="bottom"/>
            <w:tcBorders>
              <w:bottom w:val="single" w:sz="8" w:color="auto"/>
            </w:tcBorders>
          </w:tcPr>
          <w:p>
            <w:pPr>
              <w:jc w:val="right"/>
              <w:ind w:right="376"/>
              <w:spacing w:after="0"/>
              <w:rPr>
                <w:sz w:val="20"/>
                <w:szCs w:val="20"/>
                <w:color w:val="auto"/>
              </w:rPr>
            </w:pPr>
            <w:r>
              <w:rPr>
                <w:rFonts w:ascii="Arial" w:cs="Arial" w:eastAsia="Arial" w:hAnsi="Arial"/>
                <w:sz w:val="13"/>
                <w:szCs w:val="13"/>
                <w:b w:val="1"/>
                <w:bCs w:val="1"/>
                <w:color w:val="auto"/>
              </w:rPr>
              <w:t>Total</w:t>
            </w:r>
          </w:p>
        </w:tc>
        <w:tc>
          <w:tcPr>
            <w:tcW w:w="80" w:type="dxa"/>
            <w:vAlign w:val="bottom"/>
            <w:tcBorders>
              <w:bottom w:val="single" w:sz="8" w:color="CCEEFF"/>
            </w:tcBorders>
          </w:tcPr>
          <w:p>
            <w:pPr>
              <w:spacing w:after="0"/>
              <w:rPr>
                <w:sz w:val="14"/>
                <w:szCs w:val="14"/>
                <w:color w:val="auto"/>
              </w:rPr>
            </w:pPr>
          </w:p>
        </w:tc>
        <w:tc>
          <w:tcPr>
            <w:tcW w:w="9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2280" w:type="dxa"/>
            <w:vAlign w:val="bottom"/>
            <w:shd w:val="clear" w:color="auto" w:fill="CCEEFF"/>
          </w:tcPr>
          <w:p>
            <w:pPr>
              <w:spacing w:after="0"/>
              <w:rPr>
                <w:sz w:val="20"/>
                <w:szCs w:val="20"/>
                <w:color w:val="auto"/>
              </w:rPr>
            </w:pPr>
            <w:r>
              <w:rPr>
                <w:rFonts w:ascii="Arial" w:cs="Arial" w:eastAsia="Arial" w:hAnsi="Arial"/>
                <w:sz w:val="13"/>
                <w:szCs w:val="13"/>
                <w:color w:val="auto"/>
              </w:rPr>
              <w:t>Impaired loans</w:t>
            </w:r>
          </w:p>
        </w:tc>
        <w:tc>
          <w:tcPr>
            <w:tcW w:w="100" w:type="dxa"/>
            <w:vAlign w:val="bottom"/>
            <w:shd w:val="clear" w:color="auto" w:fill="CCEEFF"/>
          </w:tcPr>
          <w:p>
            <w:pPr>
              <w:spacing w:after="0"/>
              <w:rPr>
                <w:sz w:val="13"/>
                <w:szCs w:val="13"/>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EEFF"/>
          </w:tcPr>
          <w:p>
            <w:pPr>
              <w:spacing w:after="0"/>
              <w:rPr>
                <w:sz w:val="13"/>
                <w:szCs w:val="13"/>
                <w:color w:val="auto"/>
              </w:rPr>
            </w:pPr>
          </w:p>
        </w:tc>
        <w:tc>
          <w:tcPr>
            <w:tcW w:w="1360" w:type="dxa"/>
            <w:vAlign w:val="bottom"/>
            <w:gridSpan w:val="2"/>
            <w:shd w:val="clear" w:color="auto" w:fill="CCEEFF"/>
          </w:tcPr>
          <w:p>
            <w:pPr>
              <w:ind w:left="1100"/>
              <w:spacing w:after="0"/>
              <w:rPr>
                <w:sz w:val="20"/>
                <w:szCs w:val="20"/>
                <w:color w:val="auto"/>
              </w:rPr>
            </w:pPr>
            <w:r>
              <w:rPr>
                <w:rFonts w:ascii="Arial" w:cs="Arial" w:eastAsia="Arial" w:hAnsi="Arial"/>
                <w:sz w:val="13"/>
                <w:szCs w:val="13"/>
                <w:color w:val="auto"/>
              </w:rPr>
              <w:t>-</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w:t>
            </w:r>
          </w:p>
        </w:tc>
        <w:tc>
          <w:tcPr>
            <w:tcW w:w="13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64,701</w:t>
            </w:r>
          </w:p>
        </w:tc>
        <w:tc>
          <w:tcPr>
            <w:tcW w:w="13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w:t>
            </w:r>
          </w:p>
        </w:tc>
        <w:tc>
          <w:tcPr>
            <w:tcW w:w="12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64,701</w:t>
            </w:r>
          </w:p>
        </w:tc>
        <w:tc>
          <w:tcPr>
            <w:tcW w:w="9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2380" w:type="dxa"/>
            <w:vAlign w:val="bottom"/>
            <w:gridSpan w:val="2"/>
          </w:tcPr>
          <w:p>
            <w:pPr>
              <w:spacing w:after="0" w:line="143" w:lineRule="exact"/>
              <w:rPr>
                <w:sz w:val="20"/>
                <w:szCs w:val="20"/>
                <w:color w:val="auto"/>
              </w:rPr>
            </w:pPr>
            <w:r>
              <w:rPr>
                <w:rFonts w:ascii="Arial" w:cs="Arial" w:eastAsia="Arial" w:hAnsi="Arial"/>
                <w:sz w:val="13"/>
                <w:szCs w:val="13"/>
                <w:color w:val="auto"/>
              </w:rPr>
              <w:t>Total</w:t>
            </w: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w:t>
            </w:r>
          </w:p>
        </w:tc>
        <w:tc>
          <w:tcPr>
            <w:tcW w:w="200" w:type="dxa"/>
            <w:vAlign w:val="bottom"/>
          </w:tcPr>
          <w:p>
            <w:pPr>
              <w:spacing w:after="0"/>
              <w:rPr>
                <w:sz w:val="14"/>
                <w:szCs w:val="14"/>
                <w:color w:val="auto"/>
              </w:rPr>
            </w:pPr>
          </w:p>
        </w:tc>
        <w:tc>
          <w:tcPr>
            <w:tcW w:w="1140" w:type="dxa"/>
            <w:vAlign w:val="bottom"/>
            <w:tcBorders>
              <w:top w:val="single" w:sz="8" w:color="auto"/>
              <w:bottom w:val="single" w:sz="8" w:color="auto"/>
            </w:tcBorders>
          </w:tcPr>
          <w:p>
            <w:pPr>
              <w:ind w:left="1100"/>
              <w:spacing w:after="0"/>
              <w:rPr>
                <w:sz w:val="20"/>
                <w:szCs w:val="20"/>
                <w:color w:val="auto"/>
              </w:rPr>
            </w:pPr>
            <w:r>
              <w:rPr>
                <w:rFonts w:ascii="Arial" w:cs="Arial" w:eastAsia="Arial" w:hAnsi="Arial"/>
                <w:sz w:val="7"/>
                <w:szCs w:val="7"/>
                <w:b w:val="1"/>
                <w:bCs w:val="1"/>
                <w:color w:val="auto"/>
                <w:w w:val="83"/>
              </w:rPr>
              <w:t>-</w:t>
            </w:r>
          </w:p>
        </w:tc>
        <w:tc>
          <w:tcPr>
            <w:tcW w:w="220" w:type="dxa"/>
            <w:vAlign w:val="bottom"/>
          </w:tcPr>
          <w:p>
            <w:pPr>
              <w:spacing w:after="0"/>
              <w:rPr>
                <w:sz w:val="14"/>
                <w:szCs w:val="14"/>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w:t>
            </w:r>
          </w:p>
        </w:tc>
        <w:tc>
          <w:tcPr>
            <w:tcW w:w="220" w:type="dxa"/>
            <w:vAlign w:val="bottom"/>
          </w:tcPr>
          <w:p>
            <w:pPr>
              <w:spacing w:after="0"/>
              <w:rPr>
                <w:sz w:val="14"/>
                <w:szCs w:val="14"/>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64,701</w:t>
            </w:r>
          </w:p>
        </w:tc>
        <w:tc>
          <w:tcPr>
            <w:tcW w:w="180" w:type="dxa"/>
            <w:vAlign w:val="bottom"/>
          </w:tcPr>
          <w:p>
            <w:pPr>
              <w:spacing w:after="0"/>
              <w:rPr>
                <w:sz w:val="14"/>
                <w:szCs w:val="14"/>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w:t>
            </w:r>
          </w:p>
        </w:tc>
        <w:tc>
          <w:tcPr>
            <w:tcW w:w="180" w:type="dxa"/>
            <w:vAlign w:val="bottom"/>
          </w:tcPr>
          <w:p>
            <w:pPr>
              <w:spacing w:after="0"/>
              <w:rPr>
                <w:sz w:val="14"/>
                <w:szCs w:val="14"/>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64,701</w:t>
            </w:r>
          </w:p>
        </w:tc>
        <w:tc>
          <w:tcPr>
            <w:tcW w:w="8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467"/>
        </w:trPr>
        <w:tc>
          <w:tcPr>
            <w:tcW w:w="220" w:type="dxa"/>
            <w:vAlign w:val="bottom"/>
            <w:tcBorders>
              <w:bottom w:val="single" w:sz="8" w:color="auto"/>
            </w:tcBorders>
          </w:tcPr>
          <w:p>
            <w:pPr>
              <w:spacing w:after="0"/>
              <w:rPr>
                <w:sz w:val="24"/>
                <w:szCs w:val="24"/>
                <w:color w:val="auto"/>
              </w:rPr>
            </w:pPr>
          </w:p>
        </w:tc>
        <w:tc>
          <w:tcPr>
            <w:tcW w:w="22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60" w:type="dxa"/>
            <w:vAlign w:val="bottom"/>
            <w:tcBorders>
              <w:bottom w:val="single" w:sz="8" w:color="auto"/>
            </w:tcBorders>
            <w:gridSpan w:val="2"/>
          </w:tcPr>
          <w:p>
            <w:pPr>
              <w:jc w:val="right"/>
              <w:ind w:right="800"/>
              <w:spacing w:after="0"/>
              <w:rPr>
                <w:sz w:val="20"/>
                <w:szCs w:val="20"/>
                <w:color w:val="auto"/>
              </w:rPr>
            </w:pPr>
            <w:r>
              <w:rPr>
                <w:rFonts w:ascii="Arial" w:cs="Arial" w:eastAsia="Arial" w:hAnsi="Arial"/>
                <w:sz w:val="13"/>
                <w:szCs w:val="13"/>
                <w:color w:val="auto"/>
              </w:rPr>
              <w:t>F-110</w:t>
            </w:r>
          </w:p>
        </w:tc>
        <w:tc>
          <w:tcPr>
            <w:tcW w:w="11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3"/>
          </w:cols>
          <w:pgMar w:left="217" w:top="685" w:right="199" w:bottom="1440" w:gutter="0" w:footer="0" w:header="0"/>
        </w:sectPr>
      </w:pPr>
    </w:p>
    <w:bookmarkStart w:id="235" w:name="page236"/>
    <w:bookmarkEnd w:id="235"/>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40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33. Applicable laws and regulations (continued)</w:t>
      </w:r>
    </w:p>
    <w:p>
      <w:pPr>
        <w:spacing w:after="0" w:line="168" w:lineRule="exact"/>
        <w:rPr>
          <w:sz w:val="20"/>
          <w:szCs w:val="20"/>
          <w:color w:val="auto"/>
        </w:rPr>
      </w:pPr>
    </w:p>
    <w:tbl>
      <w:tblPr>
        <w:tblLayout w:type="fixed"/>
        <w:tblInd w:w="220"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2500" w:type="dxa"/>
            <w:vAlign w:val="bottom"/>
            <w:gridSpan w:val="2"/>
            <w:vMerge w:val="restart"/>
          </w:tcPr>
          <w:p>
            <w:pPr>
              <w:jc w:val="center"/>
              <w:ind w:right="120"/>
              <w:spacing w:after="0"/>
              <w:rPr>
                <w:sz w:val="20"/>
                <w:szCs w:val="20"/>
                <w:color w:val="auto"/>
              </w:rPr>
            </w:pPr>
            <w:r>
              <w:rPr>
                <w:rFonts w:ascii="Arial" w:cs="Arial" w:eastAsia="Arial" w:hAnsi="Arial"/>
                <w:sz w:val="13"/>
                <w:szCs w:val="13"/>
                <w:b w:val="1"/>
                <w:bCs w:val="1"/>
                <w:color w:val="auto"/>
                <w:w w:val="88"/>
              </w:rPr>
              <w:t>Non-accruing</w:t>
            </w:r>
          </w:p>
        </w:tc>
        <w:tc>
          <w:tcPr>
            <w:tcW w:w="32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10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2600" w:type="dxa"/>
            <w:vAlign w:val="bottom"/>
            <w:tcBorders>
              <w:bottom w:val="single" w:sz="8" w:color="auto"/>
            </w:tcBorders>
            <w:gridSpan w:val="4"/>
          </w:tcPr>
          <w:p>
            <w:pPr>
              <w:jc w:val="right"/>
              <w:ind w:right="820"/>
              <w:spacing w:after="0"/>
              <w:rPr>
                <w:sz w:val="20"/>
                <w:szCs w:val="20"/>
                <w:color w:val="auto"/>
              </w:rPr>
            </w:pPr>
            <w:r>
              <w:rPr>
                <w:rFonts w:ascii="Arial" w:cs="Arial" w:eastAsia="Arial" w:hAnsi="Arial"/>
                <w:sz w:val="13"/>
                <w:szCs w:val="13"/>
                <w:b w:val="1"/>
                <w:bCs w:val="1"/>
                <w:color w:val="auto"/>
              </w:rPr>
              <w:t>December 31,2017</w:t>
            </w:r>
          </w:p>
        </w:tc>
        <w:tc>
          <w:tcPr>
            <w:tcW w:w="220" w:type="dxa"/>
            <w:vAlign w:val="bottom"/>
            <w:tcBorders>
              <w:bottom w:val="single" w:sz="8" w:color="auto"/>
            </w:tcBorders>
          </w:tcPr>
          <w:p>
            <w:pPr>
              <w:spacing w:after="0"/>
              <w:rPr>
                <w:sz w:val="14"/>
                <w:szCs w:val="14"/>
                <w:color w:val="auto"/>
              </w:rPr>
            </w:pPr>
          </w:p>
        </w:tc>
        <w:tc>
          <w:tcPr>
            <w:tcW w:w="9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20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21"/>
        </w:trPr>
        <w:tc>
          <w:tcPr>
            <w:tcW w:w="20" w:type="dxa"/>
            <w:vAlign w:val="bottom"/>
          </w:tcPr>
          <w:p>
            <w:pPr>
              <w:spacing w:after="0"/>
              <w:rPr>
                <w:sz w:val="10"/>
                <w:szCs w:val="10"/>
                <w:color w:val="auto"/>
              </w:rPr>
            </w:pPr>
          </w:p>
        </w:tc>
        <w:tc>
          <w:tcPr>
            <w:tcW w:w="2500" w:type="dxa"/>
            <w:vAlign w:val="bottom"/>
            <w:gridSpan w:val="2"/>
            <w:vMerge w:val="continue"/>
          </w:tcPr>
          <w:p>
            <w:pPr>
              <w:spacing w:after="0"/>
              <w:rPr>
                <w:sz w:val="10"/>
                <w:szCs w:val="10"/>
                <w:color w:val="auto"/>
              </w:rPr>
            </w:pPr>
          </w:p>
        </w:tc>
        <w:tc>
          <w:tcPr>
            <w:tcW w:w="32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1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12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9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9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120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40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8"/>
              </w:rPr>
              <w:t>loans</w:t>
            </w:r>
          </w:p>
        </w:tc>
        <w:tc>
          <w:tcPr>
            <w:tcW w:w="100" w:type="dxa"/>
            <w:vAlign w:val="bottom"/>
            <w:tcBorders>
              <w:bottom w:val="single" w:sz="8" w:color="CCEEFF"/>
            </w:tcBorders>
          </w:tcPr>
          <w:p>
            <w:pPr>
              <w:spacing w:after="0"/>
              <w:rPr>
                <w:sz w:val="14"/>
                <w:szCs w:val="14"/>
                <w:color w:val="auto"/>
              </w:rPr>
            </w:pPr>
          </w:p>
        </w:tc>
        <w:tc>
          <w:tcPr>
            <w:tcW w:w="32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ind w:left="80"/>
              <w:spacing w:after="0"/>
              <w:rPr>
                <w:sz w:val="20"/>
                <w:szCs w:val="20"/>
                <w:color w:val="auto"/>
              </w:rPr>
            </w:pPr>
            <w:r>
              <w:rPr>
                <w:rFonts w:ascii="Arial" w:cs="Arial" w:eastAsia="Arial" w:hAnsi="Arial"/>
                <w:sz w:val="13"/>
                <w:szCs w:val="13"/>
                <w:b w:val="1"/>
                <w:bCs w:val="1"/>
                <w:color w:val="auto"/>
              </w:rPr>
              <w:t>Normal</w:t>
            </w:r>
          </w:p>
        </w:tc>
        <w:tc>
          <w:tcPr>
            <w:tcW w:w="220" w:type="dxa"/>
            <w:vAlign w:val="bottom"/>
            <w:tcBorders>
              <w:bottom w:val="single" w:sz="8" w:color="auto"/>
            </w:tcBorders>
          </w:tcPr>
          <w:p>
            <w:pPr>
              <w:spacing w:after="0"/>
              <w:rPr>
                <w:sz w:val="14"/>
                <w:szCs w:val="14"/>
                <w:color w:val="auto"/>
              </w:rPr>
            </w:pPr>
          </w:p>
        </w:tc>
        <w:tc>
          <w:tcPr>
            <w:tcW w:w="240" w:type="dxa"/>
            <w:vAlign w:val="bottom"/>
            <w:tcBorders>
              <w:bottom w:val="single" w:sz="8" w:color="CCEEFF"/>
            </w:tcBorders>
          </w:tcPr>
          <w:p>
            <w:pPr>
              <w:spacing w:after="0"/>
              <w:rPr>
                <w:sz w:val="14"/>
                <w:szCs w:val="14"/>
                <w:color w:val="auto"/>
              </w:rPr>
            </w:pPr>
          </w:p>
        </w:tc>
        <w:tc>
          <w:tcPr>
            <w:tcW w:w="1100" w:type="dxa"/>
            <w:vAlign w:val="bottom"/>
            <w:tcBorders>
              <w:bottom w:val="single" w:sz="8" w:color="auto"/>
            </w:tcBorders>
          </w:tcPr>
          <w:p>
            <w:pPr>
              <w:ind w:left="160"/>
              <w:spacing w:after="0"/>
              <w:rPr>
                <w:sz w:val="20"/>
                <w:szCs w:val="20"/>
                <w:color w:val="auto"/>
              </w:rPr>
            </w:pPr>
            <w:r>
              <w:rPr>
                <w:rFonts w:ascii="Arial" w:cs="Arial" w:eastAsia="Arial" w:hAnsi="Arial"/>
                <w:sz w:val="13"/>
                <w:szCs w:val="13"/>
                <w:b w:val="1"/>
                <w:bCs w:val="1"/>
                <w:color w:val="auto"/>
                <w:w w:val="92"/>
              </w:rPr>
              <w:t>Special Mention</w:t>
            </w:r>
          </w:p>
        </w:tc>
        <w:tc>
          <w:tcPr>
            <w:tcW w:w="100" w:type="dxa"/>
            <w:vAlign w:val="bottom"/>
            <w:tcBorders>
              <w:bottom w:val="single" w:sz="8" w:color="auto"/>
            </w:tcBorders>
          </w:tcPr>
          <w:p>
            <w:pPr>
              <w:spacing w:after="0"/>
              <w:rPr>
                <w:sz w:val="14"/>
                <w:szCs w:val="14"/>
                <w:color w:val="auto"/>
              </w:rPr>
            </w:pPr>
          </w:p>
        </w:tc>
        <w:tc>
          <w:tcPr>
            <w:tcW w:w="200" w:type="dxa"/>
            <w:vAlign w:val="bottom"/>
            <w:tcBorders>
              <w:bottom w:val="single" w:sz="8" w:color="CCEEFF"/>
            </w:tcBorders>
          </w:tcPr>
          <w:p>
            <w:pPr>
              <w:spacing w:after="0"/>
              <w:rPr>
                <w:sz w:val="14"/>
                <w:szCs w:val="14"/>
                <w:color w:val="auto"/>
              </w:rPr>
            </w:pPr>
          </w:p>
        </w:tc>
        <w:tc>
          <w:tcPr>
            <w:tcW w:w="1200" w:type="dxa"/>
            <w:vAlign w:val="bottom"/>
            <w:tcBorders>
              <w:bottom w:val="single" w:sz="8" w:color="auto"/>
            </w:tcBorders>
          </w:tcPr>
          <w:p>
            <w:pPr>
              <w:jc w:val="right"/>
              <w:ind w:right="176"/>
              <w:spacing w:after="0"/>
              <w:rPr>
                <w:sz w:val="20"/>
                <w:szCs w:val="20"/>
                <w:color w:val="auto"/>
              </w:rPr>
            </w:pPr>
            <w:r>
              <w:rPr>
                <w:rFonts w:ascii="Arial" w:cs="Arial" w:eastAsia="Arial" w:hAnsi="Arial"/>
                <w:sz w:val="13"/>
                <w:szCs w:val="13"/>
                <w:b w:val="1"/>
                <w:bCs w:val="1"/>
                <w:color w:val="auto"/>
              </w:rPr>
              <w:t>Substandard</w:t>
            </w:r>
          </w:p>
        </w:tc>
        <w:tc>
          <w:tcPr>
            <w:tcW w:w="220" w:type="dxa"/>
            <w:vAlign w:val="bottom"/>
            <w:tcBorders>
              <w:bottom w:val="single" w:sz="8" w:color="CCEEFF"/>
            </w:tcBorders>
          </w:tcPr>
          <w:p>
            <w:pPr>
              <w:spacing w:after="0"/>
              <w:rPr>
                <w:sz w:val="14"/>
                <w:szCs w:val="14"/>
                <w:color w:val="auto"/>
              </w:rPr>
            </w:pPr>
          </w:p>
        </w:tc>
        <w:tc>
          <w:tcPr>
            <w:tcW w:w="1180" w:type="dxa"/>
            <w:vAlign w:val="bottom"/>
            <w:tcBorders>
              <w:bottom w:val="single" w:sz="8" w:color="auto"/>
            </w:tcBorders>
            <w:gridSpan w:val="2"/>
          </w:tcPr>
          <w:p>
            <w:pPr>
              <w:jc w:val="right"/>
              <w:ind w:right="340"/>
              <w:spacing w:after="0"/>
              <w:rPr>
                <w:sz w:val="20"/>
                <w:szCs w:val="20"/>
                <w:color w:val="auto"/>
              </w:rPr>
            </w:pPr>
            <w:r>
              <w:rPr>
                <w:rFonts w:ascii="Arial" w:cs="Arial" w:eastAsia="Arial" w:hAnsi="Arial"/>
                <w:sz w:val="13"/>
                <w:szCs w:val="13"/>
                <w:b w:val="1"/>
                <w:bCs w:val="1"/>
                <w:color w:val="auto"/>
              </w:rPr>
              <w:t>Doubtful</w:t>
            </w:r>
          </w:p>
        </w:tc>
        <w:tc>
          <w:tcPr>
            <w:tcW w:w="220" w:type="dxa"/>
            <w:vAlign w:val="bottom"/>
            <w:tcBorders>
              <w:bottom w:val="single" w:sz="8" w:color="CCEEFF"/>
            </w:tcBorders>
          </w:tcPr>
          <w:p>
            <w:pPr>
              <w:spacing w:after="0"/>
              <w:rPr>
                <w:sz w:val="14"/>
                <w:szCs w:val="14"/>
                <w:color w:val="auto"/>
              </w:rPr>
            </w:pPr>
          </w:p>
        </w:tc>
        <w:tc>
          <w:tcPr>
            <w:tcW w:w="1200" w:type="dxa"/>
            <w:vAlign w:val="bottom"/>
            <w:tcBorders>
              <w:bottom w:val="single" w:sz="8" w:color="auto"/>
            </w:tcBorders>
            <w:gridSpan w:val="2"/>
          </w:tcPr>
          <w:p>
            <w:pPr>
              <w:jc w:val="right"/>
              <w:ind w:right="200"/>
              <w:spacing w:after="0"/>
              <w:rPr>
                <w:sz w:val="20"/>
                <w:szCs w:val="20"/>
                <w:color w:val="auto"/>
              </w:rPr>
            </w:pPr>
            <w:r>
              <w:rPr>
                <w:rFonts w:ascii="Arial" w:cs="Arial" w:eastAsia="Arial" w:hAnsi="Arial"/>
                <w:sz w:val="13"/>
                <w:szCs w:val="13"/>
                <w:b w:val="1"/>
                <w:bCs w:val="1"/>
                <w:color w:val="auto"/>
              </w:rPr>
              <w:t>Unrecoverable</w:t>
            </w:r>
          </w:p>
        </w:tc>
        <w:tc>
          <w:tcPr>
            <w:tcW w:w="200" w:type="dxa"/>
            <w:vAlign w:val="bottom"/>
            <w:tcBorders>
              <w:bottom w:val="single" w:sz="8" w:color="CCEEFF"/>
            </w:tcBorders>
          </w:tcPr>
          <w:p>
            <w:pPr>
              <w:spacing w:after="0"/>
              <w:rPr>
                <w:sz w:val="14"/>
                <w:szCs w:val="14"/>
                <w:color w:val="auto"/>
              </w:rPr>
            </w:pPr>
          </w:p>
        </w:tc>
        <w:tc>
          <w:tcPr>
            <w:tcW w:w="1200" w:type="dxa"/>
            <w:vAlign w:val="bottom"/>
            <w:tcBorders>
              <w:bottom w:val="single" w:sz="8" w:color="auto"/>
            </w:tcBorders>
          </w:tcPr>
          <w:p>
            <w:pPr>
              <w:jc w:val="right"/>
              <w:ind w:right="396"/>
              <w:spacing w:after="0"/>
              <w:rPr>
                <w:sz w:val="20"/>
                <w:szCs w:val="20"/>
                <w:color w:val="auto"/>
              </w:rPr>
            </w:pPr>
            <w:r>
              <w:rPr>
                <w:rFonts w:ascii="Arial" w:cs="Arial" w:eastAsia="Arial" w:hAnsi="Arial"/>
                <w:sz w:val="13"/>
                <w:szCs w:val="13"/>
                <w:b w:val="1"/>
                <w:bCs w:val="1"/>
                <w:color w:val="auto"/>
              </w:rPr>
              <w:t>Total</w:t>
            </w:r>
          </w:p>
        </w:tc>
        <w:tc>
          <w:tcPr>
            <w:tcW w:w="100" w:type="dxa"/>
            <w:vAlign w:val="bottom"/>
            <w:tcBorders>
              <w:bottom w:val="single" w:sz="8" w:color="CCEEFF"/>
            </w:tcBorders>
            <w:gridSpan w:val="2"/>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2400" w:type="dxa"/>
            <w:vAlign w:val="bottom"/>
            <w:shd w:val="clear" w:color="auto" w:fill="CCEEFF"/>
          </w:tcPr>
          <w:p>
            <w:pPr>
              <w:spacing w:after="0"/>
              <w:rPr>
                <w:sz w:val="20"/>
                <w:szCs w:val="20"/>
                <w:color w:val="auto"/>
              </w:rPr>
            </w:pPr>
            <w:r>
              <w:rPr>
                <w:rFonts w:ascii="Arial" w:cs="Arial" w:eastAsia="Arial" w:hAnsi="Arial"/>
                <w:sz w:val="13"/>
                <w:szCs w:val="13"/>
                <w:color w:val="auto"/>
              </w:rPr>
              <w:t>Impaired loans</w:t>
            </w:r>
          </w:p>
        </w:tc>
        <w:tc>
          <w:tcPr>
            <w:tcW w:w="10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680" w:type="dxa"/>
            <w:vAlign w:val="bottom"/>
            <w:shd w:val="clear" w:color="auto" w:fill="CCEEFF"/>
          </w:tcPr>
          <w:p>
            <w:pPr>
              <w:spacing w:after="0"/>
              <w:rPr>
                <w:sz w:val="13"/>
                <w:szCs w:val="13"/>
                <w:color w:val="auto"/>
              </w:rPr>
            </w:pPr>
          </w:p>
        </w:tc>
        <w:tc>
          <w:tcPr>
            <w:tcW w:w="2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240" w:type="dxa"/>
            <w:vAlign w:val="bottom"/>
            <w:shd w:val="clear" w:color="auto" w:fill="CCEEFF"/>
          </w:tcPr>
          <w:p>
            <w:pPr>
              <w:spacing w:after="0"/>
              <w:rPr>
                <w:sz w:val="13"/>
                <w:szCs w:val="13"/>
                <w:color w:val="auto"/>
              </w:rPr>
            </w:pPr>
          </w:p>
        </w:tc>
        <w:tc>
          <w:tcPr>
            <w:tcW w:w="1100" w:type="dxa"/>
            <w:vAlign w:val="bottom"/>
            <w:shd w:val="clear" w:color="auto" w:fill="CCEEFF"/>
          </w:tcPr>
          <w:p>
            <w:pPr>
              <w:spacing w:after="0"/>
              <w:rPr>
                <w:sz w:val="13"/>
                <w:szCs w:val="13"/>
                <w:color w:val="auto"/>
              </w:rPr>
            </w:pPr>
          </w:p>
        </w:tc>
        <w:tc>
          <w:tcPr>
            <w:tcW w:w="30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23,759</w:t>
            </w:r>
          </w:p>
        </w:tc>
        <w:tc>
          <w:tcPr>
            <w:tcW w:w="118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1620" w:type="dxa"/>
            <w:vAlign w:val="bottom"/>
            <w:gridSpan w:val="4"/>
            <w:shd w:val="clear" w:color="auto" w:fill="CCEEFF"/>
          </w:tcPr>
          <w:p>
            <w:pPr>
              <w:jc w:val="right"/>
              <w:ind w:right="200"/>
              <w:spacing w:after="0"/>
              <w:rPr>
                <w:sz w:val="20"/>
                <w:szCs w:val="20"/>
                <w:color w:val="auto"/>
              </w:rPr>
            </w:pPr>
            <w:r>
              <w:rPr>
                <w:rFonts w:ascii="Arial" w:cs="Arial" w:eastAsia="Arial" w:hAnsi="Arial"/>
                <w:sz w:val="13"/>
                <w:szCs w:val="13"/>
                <w:color w:val="auto"/>
              </w:rPr>
              <w:t>35,000</w:t>
            </w:r>
          </w:p>
        </w:tc>
        <w:tc>
          <w:tcPr>
            <w:tcW w:w="1300" w:type="dxa"/>
            <w:vAlign w:val="bottom"/>
            <w:gridSpan w:val="3"/>
            <w:shd w:val="clear" w:color="auto" w:fill="CCEEFF"/>
          </w:tcPr>
          <w:p>
            <w:pPr>
              <w:jc w:val="right"/>
              <w:ind w:right="100"/>
              <w:spacing w:after="0"/>
              <w:rPr>
                <w:sz w:val="20"/>
                <w:szCs w:val="20"/>
                <w:color w:val="auto"/>
              </w:rPr>
            </w:pPr>
            <w:r>
              <w:rPr>
                <w:rFonts w:ascii="Arial" w:cs="Arial" w:eastAsia="Arial" w:hAnsi="Arial"/>
                <w:sz w:val="13"/>
                <w:szCs w:val="13"/>
                <w:color w:val="auto"/>
              </w:rPr>
              <w:t>58,759</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2500" w:type="dxa"/>
            <w:vAlign w:val="bottom"/>
            <w:gridSpan w:val="2"/>
          </w:tcPr>
          <w:p>
            <w:pPr>
              <w:spacing w:after="0" w:line="143" w:lineRule="exact"/>
              <w:rPr>
                <w:sz w:val="20"/>
                <w:szCs w:val="20"/>
                <w:color w:val="auto"/>
              </w:rPr>
            </w:pPr>
            <w:r>
              <w:rPr>
                <w:rFonts w:ascii="Arial" w:cs="Arial" w:eastAsia="Arial" w:hAnsi="Arial"/>
                <w:sz w:val="13"/>
                <w:szCs w:val="13"/>
                <w:color w:val="auto"/>
              </w:rPr>
              <w:t>Total</w:t>
            </w:r>
          </w:p>
        </w:tc>
        <w:tc>
          <w:tcPr>
            <w:tcW w:w="320" w:type="dxa"/>
            <w:vAlign w:val="bottom"/>
            <w:tcBorders>
              <w:top w:val="single" w:sz="8" w:color="auto"/>
              <w:bottom w:val="single" w:sz="8" w:color="auto"/>
            </w:tcBorders>
          </w:tcPr>
          <w:p>
            <w:pPr>
              <w:spacing w:after="0"/>
              <w:rPr>
                <w:sz w:val="14"/>
                <w:szCs w:val="14"/>
                <w:color w:val="auto"/>
              </w:rPr>
            </w:pPr>
          </w:p>
        </w:tc>
        <w:tc>
          <w:tcPr>
            <w:tcW w:w="680" w:type="dxa"/>
            <w:vAlign w:val="bottom"/>
            <w:tcBorders>
              <w:top w:val="single" w:sz="8" w:color="auto"/>
              <w:bottom w:val="single" w:sz="8" w:color="auto"/>
            </w:tcBorders>
          </w:tcPr>
          <w:p>
            <w:pPr>
              <w:spacing w:after="0"/>
              <w:rPr>
                <w:sz w:val="14"/>
                <w:szCs w:val="14"/>
                <w:color w:val="auto"/>
              </w:rPr>
            </w:pPr>
          </w:p>
        </w:tc>
        <w:tc>
          <w:tcPr>
            <w:tcW w:w="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w:t>
            </w:r>
          </w:p>
        </w:tc>
        <w:tc>
          <w:tcPr>
            <w:tcW w:w="240" w:type="dxa"/>
            <w:vAlign w:val="bottom"/>
          </w:tcPr>
          <w:p>
            <w:pPr>
              <w:spacing w:after="0"/>
              <w:rPr>
                <w:sz w:val="14"/>
                <w:szCs w:val="14"/>
                <w:color w:val="auto"/>
              </w:rPr>
            </w:pPr>
          </w:p>
        </w:tc>
        <w:tc>
          <w:tcPr>
            <w:tcW w:w="1100" w:type="dxa"/>
            <w:vAlign w:val="bottom"/>
            <w:tcBorders>
              <w:top w:val="single" w:sz="8" w:color="auto"/>
              <w:bottom w:val="single" w:sz="8" w:color="auto"/>
            </w:tcBorders>
          </w:tcPr>
          <w:p>
            <w:pPr>
              <w:spacing w:after="0"/>
              <w:rPr>
                <w:sz w:val="14"/>
                <w:szCs w:val="14"/>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w:t>
            </w:r>
          </w:p>
        </w:tc>
        <w:tc>
          <w:tcPr>
            <w:tcW w:w="200" w:type="dxa"/>
            <w:vAlign w:val="bottom"/>
          </w:tcPr>
          <w:p>
            <w:pPr>
              <w:spacing w:after="0"/>
              <w:rPr>
                <w:sz w:val="14"/>
                <w:szCs w:val="14"/>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23,759</w:t>
            </w:r>
          </w:p>
        </w:tc>
        <w:tc>
          <w:tcPr>
            <w:tcW w:w="220" w:type="dxa"/>
            <w:vAlign w:val="bottom"/>
          </w:tcPr>
          <w:p>
            <w:pPr>
              <w:spacing w:after="0"/>
              <w:rPr>
                <w:sz w:val="14"/>
                <w:szCs w:val="14"/>
                <w:color w:val="auto"/>
              </w:rPr>
            </w:pPr>
          </w:p>
        </w:tc>
        <w:tc>
          <w:tcPr>
            <w:tcW w:w="118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3"/>
                <w:szCs w:val="13"/>
                <w:b w:val="1"/>
                <w:bCs w:val="1"/>
                <w:color w:val="auto"/>
              </w:rPr>
              <w:t>-</w:t>
            </w:r>
          </w:p>
        </w:tc>
        <w:tc>
          <w:tcPr>
            <w:tcW w:w="220" w:type="dxa"/>
            <w:vAlign w:val="bottom"/>
          </w:tcPr>
          <w:p>
            <w:pPr>
              <w:spacing w:after="0"/>
              <w:rPr>
                <w:sz w:val="14"/>
                <w:szCs w:val="14"/>
                <w:color w:val="auto"/>
              </w:rPr>
            </w:pPr>
          </w:p>
        </w:tc>
        <w:tc>
          <w:tcPr>
            <w:tcW w:w="12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3"/>
                <w:szCs w:val="13"/>
                <w:b w:val="1"/>
                <w:bCs w:val="1"/>
                <w:color w:val="auto"/>
              </w:rPr>
              <w:t>35,000</w:t>
            </w:r>
          </w:p>
        </w:tc>
        <w:tc>
          <w:tcPr>
            <w:tcW w:w="200" w:type="dxa"/>
            <w:vAlign w:val="bottom"/>
          </w:tcPr>
          <w:p>
            <w:pPr>
              <w:spacing w:after="0"/>
              <w:rPr>
                <w:sz w:val="14"/>
                <w:szCs w:val="14"/>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58,759</w:t>
            </w: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95"/>
        </w:trPr>
        <w:tc>
          <w:tcPr>
            <w:tcW w:w="20" w:type="dxa"/>
            <w:vAlign w:val="bottom"/>
          </w:tcPr>
          <w:p>
            <w:pPr>
              <w:spacing w:after="0"/>
              <w:rPr>
                <w:sz w:val="24"/>
                <w:szCs w:val="24"/>
                <w:color w:val="auto"/>
              </w:rPr>
            </w:pPr>
          </w:p>
        </w:tc>
        <w:tc>
          <w:tcPr>
            <w:tcW w:w="24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620" w:type="dxa"/>
            <w:vAlign w:val="bottom"/>
            <w:gridSpan w:val="4"/>
          </w:tcPr>
          <w:p>
            <w:pPr>
              <w:ind w:left="120"/>
              <w:spacing w:after="0"/>
              <w:rPr>
                <w:sz w:val="20"/>
                <w:szCs w:val="20"/>
                <w:color w:val="auto"/>
              </w:rPr>
            </w:pPr>
            <w:r>
              <w:rPr>
                <w:rFonts w:ascii="Arial" w:cs="Arial" w:eastAsia="Arial" w:hAnsi="Arial"/>
                <w:sz w:val="13"/>
                <w:szCs w:val="13"/>
                <w:b w:val="1"/>
                <w:bCs w:val="1"/>
                <w:color w:val="auto"/>
              </w:rPr>
              <w:t>December 31,</w:t>
            </w:r>
          </w:p>
        </w:tc>
        <w:tc>
          <w:tcPr>
            <w:tcW w:w="1300" w:type="dxa"/>
            <w:vAlign w:val="bottom"/>
            <w:gridSpan w:val="3"/>
          </w:tcPr>
          <w:p>
            <w:pPr>
              <w:ind w:left="120"/>
              <w:spacing w:after="0"/>
              <w:rPr>
                <w:sz w:val="20"/>
                <w:szCs w:val="20"/>
                <w:color w:val="auto"/>
              </w:rPr>
            </w:pPr>
            <w:r>
              <w:rPr>
                <w:rFonts w:ascii="Arial" w:cs="Arial" w:eastAsia="Arial" w:hAnsi="Arial"/>
                <w:sz w:val="13"/>
                <w:szCs w:val="13"/>
                <w:b w:val="1"/>
                <w:bCs w:val="1"/>
                <w:color w:val="auto"/>
              </w:rPr>
              <w:t>December 31,</w:t>
            </w: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4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200" w:type="dxa"/>
            <w:vAlign w:val="bottom"/>
            <w:tcBorders>
              <w:bottom w:val="single" w:sz="8" w:color="auto"/>
            </w:tcBorders>
            <w:gridSpan w:val="2"/>
          </w:tcPr>
          <w:p>
            <w:pPr>
              <w:jc w:val="right"/>
              <w:ind w:right="516"/>
              <w:spacing w:after="0"/>
              <w:rPr>
                <w:sz w:val="20"/>
                <w:szCs w:val="20"/>
                <w:color w:val="auto"/>
              </w:rPr>
            </w:pPr>
            <w:r>
              <w:rPr>
                <w:rFonts w:ascii="Arial" w:cs="Arial" w:eastAsia="Arial" w:hAnsi="Arial"/>
                <w:sz w:val="13"/>
                <w:szCs w:val="13"/>
                <w:b w:val="1"/>
                <w:bCs w:val="1"/>
                <w:color w:val="auto"/>
              </w:rPr>
              <w:t>2018</w:t>
            </w:r>
          </w:p>
        </w:tc>
        <w:tc>
          <w:tcPr>
            <w:tcW w:w="220" w:type="dxa"/>
            <w:vAlign w:val="bottom"/>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200" w:type="dxa"/>
            <w:vAlign w:val="bottom"/>
            <w:tcBorders>
              <w:bottom w:val="single" w:sz="8" w:color="auto"/>
            </w:tcBorders>
          </w:tcPr>
          <w:p>
            <w:pPr>
              <w:jc w:val="right"/>
              <w:ind w:right="516"/>
              <w:spacing w:after="0"/>
              <w:rPr>
                <w:sz w:val="20"/>
                <w:szCs w:val="20"/>
                <w:color w:val="auto"/>
              </w:rPr>
            </w:pPr>
            <w:r>
              <w:rPr>
                <w:rFonts w:ascii="Arial" w:cs="Arial" w:eastAsia="Arial" w:hAnsi="Arial"/>
                <w:sz w:val="13"/>
                <w:szCs w:val="13"/>
                <w:b w:val="1"/>
                <w:bCs w:val="1"/>
                <w:color w:val="auto"/>
              </w:rPr>
              <w:t>2017</w:t>
            </w: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24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2820" w:type="dxa"/>
            <w:vAlign w:val="bottom"/>
            <w:gridSpan w:val="3"/>
            <w:shd w:val="clear" w:color="auto" w:fill="CCEEFF"/>
          </w:tcPr>
          <w:p>
            <w:pPr>
              <w:spacing w:after="0"/>
              <w:rPr>
                <w:sz w:val="20"/>
                <w:szCs w:val="20"/>
                <w:color w:val="auto"/>
              </w:rPr>
            </w:pPr>
            <w:r>
              <w:rPr>
                <w:rFonts w:ascii="Arial" w:cs="Arial" w:eastAsia="Arial" w:hAnsi="Arial"/>
                <w:sz w:val="13"/>
                <w:szCs w:val="13"/>
                <w:color w:val="auto"/>
              </w:rPr>
              <w:t>Non-accruing loans:</w:t>
            </w:r>
          </w:p>
        </w:tc>
        <w:tc>
          <w:tcPr>
            <w:tcW w:w="6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1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9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98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200" w:type="dxa"/>
            <w:vAlign w:val="bottom"/>
            <w:shd w:val="clear" w:color="auto" w:fill="CCEEFF"/>
          </w:tcPr>
          <w:p>
            <w:pPr>
              <w:spacing w:after="0"/>
              <w:rPr>
                <w:sz w:val="13"/>
                <w:szCs w:val="13"/>
                <w:color w:val="auto"/>
              </w:rPr>
            </w:pPr>
          </w:p>
        </w:tc>
        <w:tc>
          <w:tcPr>
            <w:tcW w:w="120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2820" w:type="dxa"/>
            <w:vAlign w:val="bottom"/>
            <w:gridSpan w:val="3"/>
          </w:tcPr>
          <w:p>
            <w:pPr>
              <w:ind w:left="60"/>
              <w:spacing w:after="0"/>
              <w:rPr>
                <w:sz w:val="20"/>
                <w:szCs w:val="20"/>
                <w:color w:val="auto"/>
              </w:rPr>
            </w:pPr>
            <w:r>
              <w:rPr>
                <w:rFonts w:ascii="Arial" w:cs="Arial" w:eastAsia="Arial" w:hAnsi="Arial"/>
                <w:sz w:val="13"/>
                <w:szCs w:val="13"/>
                <w:color w:val="auto"/>
              </w:rPr>
              <w:t>Private corporations</w:t>
            </w:r>
          </w:p>
        </w:tc>
        <w:tc>
          <w:tcPr>
            <w:tcW w:w="6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2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420" w:type="dxa"/>
            <w:vAlign w:val="bottom"/>
            <w:gridSpan w:val="3"/>
          </w:tcPr>
          <w:p>
            <w:pPr>
              <w:jc w:val="right"/>
              <w:ind w:right="220"/>
              <w:spacing w:after="0"/>
              <w:rPr>
                <w:sz w:val="20"/>
                <w:szCs w:val="20"/>
                <w:color w:val="auto"/>
              </w:rPr>
            </w:pPr>
            <w:r>
              <w:rPr>
                <w:rFonts w:ascii="Arial" w:cs="Arial" w:eastAsia="Arial" w:hAnsi="Arial"/>
                <w:sz w:val="13"/>
                <w:szCs w:val="13"/>
                <w:color w:val="auto"/>
              </w:rPr>
              <w:t>64,701</w:t>
            </w:r>
          </w:p>
        </w:tc>
        <w:tc>
          <w:tcPr>
            <w:tcW w:w="200" w:type="dxa"/>
            <w:vAlign w:val="bottom"/>
          </w:tcPr>
          <w:p>
            <w:pPr>
              <w:spacing w:after="0"/>
              <w:rPr>
                <w:sz w:val="14"/>
                <w:szCs w:val="14"/>
                <w:color w:val="auto"/>
              </w:rPr>
            </w:pPr>
          </w:p>
        </w:tc>
        <w:tc>
          <w:tcPr>
            <w:tcW w:w="1300" w:type="dxa"/>
            <w:vAlign w:val="bottom"/>
            <w:gridSpan w:val="3"/>
          </w:tcPr>
          <w:p>
            <w:pPr>
              <w:jc w:val="right"/>
              <w:ind w:right="100"/>
              <w:spacing w:after="0"/>
              <w:rPr>
                <w:sz w:val="20"/>
                <w:szCs w:val="20"/>
                <w:color w:val="auto"/>
              </w:rPr>
            </w:pPr>
            <w:r>
              <w:rPr>
                <w:rFonts w:ascii="Arial" w:cs="Arial" w:eastAsia="Arial" w:hAnsi="Arial"/>
                <w:sz w:val="13"/>
                <w:szCs w:val="13"/>
                <w:color w:val="auto"/>
              </w:rPr>
              <w:t>58,759</w:t>
            </w: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2820" w:type="dxa"/>
            <w:vAlign w:val="bottom"/>
            <w:tcBorders>
              <w:top w:val="single" w:sz="8" w:color="CCEEFF"/>
              <w:bottom w:val="single" w:sz="8" w:color="CCEEFF"/>
            </w:tcBorders>
            <w:gridSpan w:val="3"/>
            <w:shd w:val="clear" w:color="auto" w:fill="CCEEFF"/>
          </w:tcPr>
          <w:p>
            <w:pPr>
              <w:spacing w:after="0" w:line="143" w:lineRule="exact"/>
              <w:rPr>
                <w:sz w:val="20"/>
                <w:szCs w:val="20"/>
                <w:color w:val="auto"/>
              </w:rPr>
            </w:pPr>
            <w:r>
              <w:rPr>
                <w:rFonts w:ascii="Arial" w:cs="Arial" w:eastAsia="Arial" w:hAnsi="Arial"/>
                <w:sz w:val="13"/>
                <w:szCs w:val="13"/>
                <w:color w:val="auto"/>
              </w:rPr>
              <w:t>Total non-accruing loans</w:t>
            </w:r>
          </w:p>
        </w:tc>
        <w:tc>
          <w:tcPr>
            <w:tcW w:w="680" w:type="dxa"/>
            <w:vAlign w:val="bottom"/>
            <w:tcBorders>
              <w:top w:val="single" w:sz="8" w:color="CCEEFF"/>
              <w:bottom w:val="single" w:sz="8" w:color="CCEEFF"/>
            </w:tcBorders>
            <w:shd w:val="clear" w:color="auto" w:fill="CCEEFF"/>
          </w:tcPr>
          <w:p>
            <w:pPr>
              <w:spacing w:after="0"/>
              <w:rPr>
                <w:sz w:val="14"/>
                <w:szCs w:val="14"/>
                <w:color w:val="auto"/>
              </w:rPr>
            </w:pP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240" w:type="dxa"/>
            <w:vAlign w:val="bottom"/>
            <w:tcBorders>
              <w:top w:val="single" w:sz="8" w:color="CCEEFF"/>
              <w:bottom w:val="single" w:sz="8" w:color="CCEEFF"/>
            </w:tcBorders>
            <w:shd w:val="clear" w:color="auto" w:fill="CCEEFF"/>
          </w:tcPr>
          <w:p>
            <w:pPr>
              <w:spacing w:after="0"/>
              <w:rPr>
                <w:sz w:val="14"/>
                <w:szCs w:val="14"/>
                <w:color w:val="auto"/>
              </w:rPr>
            </w:pPr>
          </w:p>
        </w:tc>
        <w:tc>
          <w:tcPr>
            <w:tcW w:w="1100" w:type="dxa"/>
            <w:vAlign w:val="bottom"/>
            <w:tcBorders>
              <w:top w:val="single" w:sz="8" w:color="CCEEFF"/>
              <w:bottom w:val="single" w:sz="8" w:color="CCEEFF"/>
            </w:tcBorders>
            <w:shd w:val="clear" w:color="auto" w:fill="CCEEFF"/>
          </w:tcPr>
          <w:p>
            <w:pPr>
              <w:spacing w:after="0"/>
              <w:rPr>
                <w:sz w:val="14"/>
                <w:szCs w:val="14"/>
                <w:color w:val="auto"/>
              </w:rPr>
            </w:pP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c>
          <w:tcPr>
            <w:tcW w:w="200" w:type="dxa"/>
            <w:vAlign w:val="bottom"/>
            <w:tcBorders>
              <w:top w:val="single" w:sz="8" w:color="CCEEFF"/>
              <w:bottom w:val="single" w:sz="8" w:color="CCEEFF"/>
            </w:tcBorders>
            <w:shd w:val="clear" w:color="auto" w:fill="CCEEFF"/>
          </w:tcPr>
          <w:p>
            <w:pPr>
              <w:spacing w:after="0"/>
              <w:rPr>
                <w:sz w:val="14"/>
                <w:szCs w:val="14"/>
                <w:color w:val="auto"/>
              </w:rPr>
            </w:pPr>
          </w:p>
        </w:tc>
        <w:tc>
          <w:tcPr>
            <w:tcW w:w="1200" w:type="dxa"/>
            <w:vAlign w:val="bottom"/>
            <w:tcBorders>
              <w:top w:val="single" w:sz="8" w:color="CCEEFF"/>
              <w:bottom w:val="single" w:sz="8" w:color="CCEEFF"/>
            </w:tcBorders>
            <w:shd w:val="clear" w:color="auto" w:fill="CCEEFF"/>
          </w:tcPr>
          <w:p>
            <w:pPr>
              <w:spacing w:after="0"/>
              <w:rPr>
                <w:sz w:val="14"/>
                <w:szCs w:val="14"/>
                <w:color w:val="auto"/>
              </w:rPr>
            </w:pP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960" w:type="dxa"/>
            <w:vAlign w:val="bottom"/>
            <w:tcBorders>
              <w:top w:val="single" w:sz="8" w:color="CCEEFF"/>
              <w:bottom w:val="single" w:sz="8" w:color="CCEEFF"/>
            </w:tcBorders>
            <w:shd w:val="clear" w:color="auto" w:fill="CCEEFF"/>
          </w:tcPr>
          <w:p>
            <w:pPr>
              <w:spacing w:after="0"/>
              <w:rPr>
                <w:sz w:val="14"/>
                <w:szCs w:val="14"/>
                <w:color w:val="auto"/>
              </w:rPr>
            </w:pPr>
          </w:p>
        </w:tc>
        <w:tc>
          <w:tcPr>
            <w:tcW w:w="220" w:type="dxa"/>
            <w:vAlign w:val="bottom"/>
            <w:tcBorders>
              <w:top w:val="single" w:sz="8" w:color="auto"/>
              <w:bottom w:val="single" w:sz="8" w:color="auto"/>
            </w:tcBorders>
            <w:shd w:val="clear" w:color="auto" w:fill="CCEEFF"/>
          </w:tcPr>
          <w:p>
            <w:pPr>
              <w:spacing w:after="0"/>
              <w:rPr>
                <w:sz w:val="14"/>
                <w:szCs w:val="14"/>
                <w:color w:val="auto"/>
              </w:rPr>
            </w:pPr>
          </w:p>
        </w:tc>
        <w:tc>
          <w:tcPr>
            <w:tcW w:w="120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3"/>
                <w:szCs w:val="13"/>
                <w:b w:val="1"/>
                <w:bCs w:val="1"/>
                <w:color w:val="auto"/>
              </w:rPr>
              <w:t>64,701</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200" w:type="dxa"/>
            <w:vAlign w:val="bottom"/>
            <w:tcBorders>
              <w:top w:val="single" w:sz="8" w:color="auto"/>
              <w:bottom w:val="single" w:sz="8" w:color="auto"/>
            </w:tcBorders>
            <w:shd w:val="clear" w:color="auto" w:fill="CCEEFF"/>
          </w:tcPr>
          <w:p>
            <w:pPr>
              <w:spacing w:after="0"/>
              <w:rPr>
                <w:sz w:val="14"/>
                <w:szCs w:val="14"/>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58,759</w:t>
            </w:r>
          </w:p>
        </w:tc>
        <w:tc>
          <w:tcPr>
            <w:tcW w:w="100" w:type="dxa"/>
            <w:vAlign w:val="bottom"/>
            <w:tcBorders>
              <w:top w:val="single" w:sz="8" w:color="CCEEFF"/>
              <w:bottom w:val="single" w:sz="8" w:color="CCEEFF"/>
            </w:tcBorders>
            <w:gridSpan w:val="2"/>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24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6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1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93"/>
        </w:trPr>
        <w:tc>
          <w:tcPr>
            <w:tcW w:w="20" w:type="dxa"/>
            <w:vAlign w:val="bottom"/>
            <w:vMerge w:val="continue"/>
          </w:tcPr>
          <w:p>
            <w:pPr>
              <w:spacing w:after="0"/>
              <w:rPr>
                <w:sz w:val="16"/>
                <w:szCs w:val="16"/>
                <w:color w:val="auto"/>
              </w:rPr>
            </w:pPr>
          </w:p>
        </w:tc>
        <w:tc>
          <w:tcPr>
            <w:tcW w:w="5060" w:type="dxa"/>
            <w:vAlign w:val="bottom"/>
            <w:gridSpan w:val="7"/>
            <w:shd w:val="clear" w:color="auto" w:fill="CCEEFF"/>
          </w:tcPr>
          <w:p>
            <w:pPr>
              <w:spacing w:after="0"/>
              <w:rPr>
                <w:sz w:val="20"/>
                <w:szCs w:val="20"/>
                <w:color w:val="auto"/>
              </w:rPr>
            </w:pPr>
            <w:r>
              <w:rPr>
                <w:rFonts w:ascii="Arial" w:cs="Arial" w:eastAsia="Arial" w:hAnsi="Arial"/>
                <w:sz w:val="13"/>
                <w:szCs w:val="13"/>
                <w:color w:val="auto"/>
              </w:rPr>
              <w:t>Interest that would be reversed if the loans had been classified as non-accruing loans</w:t>
            </w:r>
          </w:p>
        </w:tc>
        <w:tc>
          <w:tcPr>
            <w:tcW w:w="10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20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1,056</w:t>
            </w:r>
          </w:p>
        </w:tc>
        <w:tc>
          <w:tcPr>
            <w:tcW w:w="22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3,257</w:t>
            </w:r>
          </w:p>
        </w:tc>
        <w:tc>
          <w:tcPr>
            <w:tcW w:w="8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52"/>
        </w:trPr>
        <w:tc>
          <w:tcPr>
            <w:tcW w:w="20" w:type="dxa"/>
            <w:vAlign w:val="bottom"/>
          </w:tcPr>
          <w:p>
            <w:pPr>
              <w:spacing w:after="0"/>
              <w:rPr>
                <w:sz w:val="13"/>
                <w:szCs w:val="13"/>
                <w:color w:val="auto"/>
              </w:rPr>
            </w:pPr>
          </w:p>
        </w:tc>
        <w:tc>
          <w:tcPr>
            <w:tcW w:w="2820" w:type="dxa"/>
            <w:vAlign w:val="bottom"/>
            <w:tcBorders>
              <w:top w:val="single" w:sz="8" w:color="CCEEFF"/>
            </w:tcBorders>
            <w:gridSpan w:val="3"/>
          </w:tcPr>
          <w:p>
            <w:pPr>
              <w:spacing w:after="0" w:line="143" w:lineRule="exact"/>
              <w:rPr>
                <w:sz w:val="20"/>
                <w:szCs w:val="20"/>
                <w:color w:val="auto"/>
              </w:rPr>
            </w:pPr>
            <w:r>
              <w:rPr>
                <w:rFonts w:ascii="Arial" w:cs="Arial" w:eastAsia="Arial" w:hAnsi="Arial"/>
                <w:sz w:val="13"/>
                <w:szCs w:val="13"/>
                <w:color w:val="auto"/>
                <w:w w:val="91"/>
              </w:rPr>
              <w:t>Income from collected interest on non-accruing loans</w:t>
            </w:r>
          </w:p>
        </w:tc>
        <w:tc>
          <w:tcPr>
            <w:tcW w:w="680" w:type="dxa"/>
            <w:vAlign w:val="bottom"/>
            <w:tcBorders>
              <w:top w:val="single" w:sz="8" w:color="CCEEFF"/>
            </w:tcBorders>
          </w:tcPr>
          <w:p>
            <w:pPr>
              <w:spacing w:after="0"/>
              <w:rPr>
                <w:sz w:val="13"/>
                <w:szCs w:val="13"/>
                <w:color w:val="auto"/>
              </w:rPr>
            </w:pPr>
          </w:p>
        </w:tc>
        <w:tc>
          <w:tcPr>
            <w:tcW w:w="220" w:type="dxa"/>
            <w:vAlign w:val="bottom"/>
            <w:tcBorders>
              <w:top w:val="single" w:sz="8" w:color="CCEEFF"/>
            </w:tcBorders>
          </w:tcPr>
          <w:p>
            <w:pPr>
              <w:spacing w:after="0"/>
              <w:rPr>
                <w:sz w:val="13"/>
                <w:szCs w:val="13"/>
                <w:color w:val="auto"/>
              </w:rPr>
            </w:pPr>
          </w:p>
        </w:tc>
        <w:tc>
          <w:tcPr>
            <w:tcW w:w="240" w:type="dxa"/>
            <w:vAlign w:val="bottom"/>
            <w:tcBorders>
              <w:top w:val="single" w:sz="8" w:color="CCEEFF"/>
            </w:tcBorders>
          </w:tcPr>
          <w:p>
            <w:pPr>
              <w:spacing w:after="0"/>
              <w:rPr>
                <w:sz w:val="13"/>
                <w:szCs w:val="13"/>
                <w:color w:val="auto"/>
              </w:rPr>
            </w:pPr>
          </w:p>
        </w:tc>
        <w:tc>
          <w:tcPr>
            <w:tcW w:w="1100" w:type="dxa"/>
            <w:vAlign w:val="bottom"/>
            <w:tcBorders>
              <w:top w:val="single" w:sz="8" w:color="CCEEFF"/>
            </w:tcBorders>
          </w:tcPr>
          <w:p>
            <w:pPr>
              <w:spacing w:after="0"/>
              <w:rPr>
                <w:sz w:val="13"/>
                <w:szCs w:val="13"/>
                <w:color w:val="auto"/>
              </w:rPr>
            </w:pPr>
          </w:p>
        </w:tc>
        <w:tc>
          <w:tcPr>
            <w:tcW w:w="100" w:type="dxa"/>
            <w:vAlign w:val="bottom"/>
            <w:tcBorders>
              <w:top w:val="single" w:sz="8" w:color="CCEEFF"/>
            </w:tcBorders>
          </w:tcPr>
          <w:p>
            <w:pPr>
              <w:spacing w:after="0"/>
              <w:rPr>
                <w:sz w:val="13"/>
                <w:szCs w:val="13"/>
                <w:color w:val="auto"/>
              </w:rPr>
            </w:pPr>
          </w:p>
        </w:tc>
        <w:tc>
          <w:tcPr>
            <w:tcW w:w="200" w:type="dxa"/>
            <w:vAlign w:val="bottom"/>
            <w:tcBorders>
              <w:top w:val="single" w:sz="8" w:color="CCEEFF"/>
            </w:tcBorders>
          </w:tcPr>
          <w:p>
            <w:pPr>
              <w:spacing w:after="0"/>
              <w:rPr>
                <w:sz w:val="13"/>
                <w:szCs w:val="13"/>
                <w:color w:val="auto"/>
              </w:rPr>
            </w:pPr>
          </w:p>
        </w:tc>
        <w:tc>
          <w:tcPr>
            <w:tcW w:w="1200" w:type="dxa"/>
            <w:vAlign w:val="bottom"/>
            <w:tcBorders>
              <w:top w:val="single" w:sz="8" w:color="CCEEFF"/>
            </w:tcBorders>
          </w:tcPr>
          <w:p>
            <w:pPr>
              <w:spacing w:after="0"/>
              <w:rPr>
                <w:sz w:val="13"/>
                <w:szCs w:val="13"/>
                <w:color w:val="auto"/>
              </w:rPr>
            </w:pPr>
          </w:p>
        </w:tc>
        <w:tc>
          <w:tcPr>
            <w:tcW w:w="220" w:type="dxa"/>
            <w:vAlign w:val="bottom"/>
            <w:tcBorders>
              <w:top w:val="single" w:sz="8" w:color="CCEEFF"/>
            </w:tcBorders>
          </w:tcPr>
          <w:p>
            <w:pPr>
              <w:spacing w:after="0"/>
              <w:rPr>
                <w:sz w:val="13"/>
                <w:szCs w:val="13"/>
                <w:color w:val="auto"/>
              </w:rPr>
            </w:pPr>
          </w:p>
        </w:tc>
        <w:tc>
          <w:tcPr>
            <w:tcW w:w="960" w:type="dxa"/>
            <w:vAlign w:val="bottom"/>
            <w:tcBorders>
              <w:top w:val="single" w:sz="8" w:color="CCEEFF"/>
            </w:tcBorders>
          </w:tcPr>
          <w:p>
            <w:pPr>
              <w:spacing w:after="0"/>
              <w:rPr>
                <w:sz w:val="13"/>
                <w:szCs w:val="13"/>
                <w:color w:val="auto"/>
              </w:rPr>
            </w:pPr>
          </w:p>
        </w:tc>
        <w:tc>
          <w:tcPr>
            <w:tcW w:w="220" w:type="dxa"/>
            <w:vAlign w:val="bottom"/>
            <w:tcBorders>
              <w:top w:val="single" w:sz="8" w:color="auto"/>
              <w:bottom w:val="single" w:sz="8" w:color="auto"/>
            </w:tcBorders>
          </w:tcPr>
          <w:p>
            <w:pPr>
              <w:spacing w:after="0"/>
              <w:rPr>
                <w:sz w:val="13"/>
                <w:szCs w:val="13"/>
                <w:color w:val="auto"/>
              </w:rPr>
            </w:pPr>
          </w:p>
        </w:tc>
        <w:tc>
          <w:tcPr>
            <w:tcW w:w="1200" w:type="dxa"/>
            <w:vAlign w:val="bottom"/>
            <w:tcBorders>
              <w:top w:val="single" w:sz="8" w:color="auto"/>
              <w:bottom w:val="single" w:sz="8" w:color="auto"/>
            </w:tcBorders>
            <w:gridSpan w:val="2"/>
          </w:tcPr>
          <w:p>
            <w:pPr>
              <w:jc w:val="right"/>
              <w:spacing w:after="0" w:line="143" w:lineRule="exact"/>
              <w:rPr>
                <w:sz w:val="20"/>
                <w:szCs w:val="20"/>
                <w:color w:val="auto"/>
              </w:rPr>
            </w:pPr>
            <w:r>
              <w:rPr>
                <w:rFonts w:ascii="Arial" w:cs="Arial" w:eastAsia="Arial" w:hAnsi="Arial"/>
                <w:sz w:val="13"/>
                <w:szCs w:val="13"/>
                <w:color w:val="auto"/>
              </w:rPr>
              <w:t>2,879</w:t>
            </w:r>
          </w:p>
        </w:tc>
        <w:tc>
          <w:tcPr>
            <w:tcW w:w="220" w:type="dxa"/>
            <w:vAlign w:val="bottom"/>
            <w:tcBorders>
              <w:top w:val="single" w:sz="8" w:color="CCEEFF"/>
            </w:tcBorders>
          </w:tcPr>
          <w:p>
            <w:pPr>
              <w:spacing w:after="0"/>
              <w:rPr>
                <w:sz w:val="13"/>
                <w:szCs w:val="13"/>
                <w:color w:val="auto"/>
              </w:rPr>
            </w:pPr>
          </w:p>
        </w:tc>
        <w:tc>
          <w:tcPr>
            <w:tcW w:w="200" w:type="dxa"/>
            <w:vAlign w:val="bottom"/>
            <w:tcBorders>
              <w:top w:val="single" w:sz="8" w:color="auto"/>
              <w:bottom w:val="single" w:sz="8" w:color="auto"/>
            </w:tcBorders>
          </w:tcPr>
          <w:p>
            <w:pPr>
              <w:spacing w:after="0"/>
              <w:rPr>
                <w:sz w:val="13"/>
                <w:szCs w:val="13"/>
                <w:color w:val="auto"/>
              </w:rPr>
            </w:pPr>
          </w:p>
        </w:tc>
        <w:tc>
          <w:tcPr>
            <w:tcW w:w="120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551</w:t>
            </w:r>
          </w:p>
        </w:tc>
        <w:tc>
          <w:tcPr>
            <w:tcW w:w="20" w:type="dxa"/>
            <w:vAlign w:val="bottom"/>
            <w:tcBorders>
              <w:top w:val="single" w:sz="8" w:color="CCEEFF"/>
              <w:bottom w:val="single" w:sz="8" w:color="auto"/>
            </w:tcBorders>
          </w:tcPr>
          <w:p>
            <w:pPr>
              <w:spacing w:after="0"/>
              <w:rPr>
                <w:sz w:val="13"/>
                <w:szCs w:val="13"/>
                <w:color w:val="auto"/>
              </w:rPr>
            </w:pPr>
          </w:p>
        </w:tc>
        <w:tc>
          <w:tcPr>
            <w:tcW w:w="80" w:type="dxa"/>
            <w:vAlign w:val="bottom"/>
            <w:tcBorders>
              <w:top w:val="single" w:sz="8" w:color="CCEEFF"/>
            </w:tcBorders>
          </w:tcPr>
          <w:p>
            <w:pPr>
              <w:spacing w:after="0"/>
              <w:rPr>
                <w:sz w:val="13"/>
                <w:szCs w:val="13"/>
                <w:color w:val="auto"/>
              </w:rPr>
            </w:pPr>
          </w:p>
        </w:tc>
        <w:tc>
          <w:tcPr>
            <w:tcW w:w="0" w:type="dxa"/>
            <w:vAlign w:val="bottom"/>
          </w:tcPr>
          <w:p>
            <w:pPr>
              <w:spacing w:after="0"/>
              <w:rPr>
                <w:sz w:val="1"/>
                <w:szCs w:val="1"/>
                <w:color w:val="auto"/>
              </w:rPr>
            </w:pPr>
          </w:p>
        </w:tc>
      </w:tr>
    </w:tbl>
    <w:p>
      <w:pPr>
        <w:spacing w:after="0" w:line="145" w:lineRule="exact"/>
        <w:rPr>
          <w:sz w:val="20"/>
          <w:szCs w:val="20"/>
          <w:color w:val="auto"/>
        </w:rPr>
      </w:pPr>
    </w:p>
    <w:p>
      <w:pPr>
        <w:ind w:left="220"/>
        <w:spacing w:after="0"/>
        <w:rPr>
          <w:sz w:val="20"/>
          <w:szCs w:val="20"/>
          <w:color w:val="auto"/>
        </w:rPr>
      </w:pPr>
      <w:r>
        <w:rPr>
          <w:rFonts w:ascii="Arial" w:cs="Arial" w:eastAsia="Arial" w:hAnsi="Arial"/>
          <w:sz w:val="13"/>
          <w:szCs w:val="13"/>
          <w:u w:val="single" w:color="auto"/>
          <w:color w:val="auto"/>
        </w:rPr>
        <w:t>Credit risk coverage - dynamic provision</w:t>
      </w:r>
    </w:p>
    <w:p>
      <w:pPr>
        <w:spacing w:after="0" w:line="159" w:lineRule="exact"/>
        <w:rPr>
          <w:sz w:val="20"/>
          <w:szCs w:val="20"/>
          <w:color w:val="auto"/>
        </w:rPr>
      </w:pPr>
    </w:p>
    <w:p>
      <w:pPr>
        <w:ind w:left="220" w:right="180"/>
        <w:spacing w:after="0" w:line="267" w:lineRule="auto"/>
        <w:rPr>
          <w:sz w:val="20"/>
          <w:szCs w:val="20"/>
          <w:color w:val="auto"/>
        </w:rPr>
      </w:pPr>
      <w:r>
        <w:rPr>
          <w:rFonts w:ascii="Arial" w:cs="Arial" w:eastAsia="Arial" w:hAnsi="Arial"/>
          <w:sz w:val="13"/>
          <w:szCs w:val="13"/>
          <w:color w:val="auto"/>
        </w:rPr>
        <w:t>The Superintendence of Banks of Panama by means of Rule No. 4-2013, establishes the compulsory constitution of a dynamic provision in addition to the specific credit provision as part of the total provisions for the credit risk coverage.</w:t>
      </w:r>
    </w:p>
    <w:p>
      <w:pPr>
        <w:spacing w:after="0" w:line="129" w:lineRule="exact"/>
        <w:rPr>
          <w:sz w:val="20"/>
          <w:szCs w:val="20"/>
          <w:color w:val="auto"/>
        </w:rPr>
      </w:pPr>
    </w:p>
    <w:p>
      <w:pPr>
        <w:ind w:left="220"/>
        <w:spacing w:after="0"/>
        <w:rPr>
          <w:sz w:val="20"/>
          <w:szCs w:val="20"/>
          <w:color w:val="auto"/>
        </w:rPr>
      </w:pPr>
      <w:r>
        <w:rPr>
          <w:rFonts w:ascii="Arial" w:cs="Arial" w:eastAsia="Arial" w:hAnsi="Arial"/>
          <w:sz w:val="12"/>
          <w:szCs w:val="12"/>
          <w:color w:val="auto"/>
        </w:rPr>
        <w:t>The dynamic provision is an equity item associated to the regulatory capital, but does not replace or offset the capital adequacy requirements established by the Superintendence of Banks of Panama.</w:t>
      </w:r>
    </w:p>
    <w:p>
      <w:pPr>
        <w:spacing w:after="0" w:line="170" w:lineRule="exact"/>
        <w:rPr>
          <w:sz w:val="20"/>
          <w:szCs w:val="20"/>
          <w:color w:val="auto"/>
        </w:rPr>
      </w:pPr>
    </w:p>
    <w:p>
      <w:pPr>
        <w:ind w:left="220"/>
        <w:spacing w:after="0"/>
        <w:rPr>
          <w:sz w:val="20"/>
          <w:szCs w:val="20"/>
          <w:color w:val="auto"/>
        </w:rPr>
      </w:pPr>
      <w:r>
        <w:rPr>
          <w:rFonts w:ascii="Arial" w:cs="Arial" w:eastAsia="Arial" w:hAnsi="Arial"/>
          <w:sz w:val="13"/>
          <w:szCs w:val="13"/>
          <w:u w:val="single" w:color="auto"/>
          <w:color w:val="auto"/>
        </w:rPr>
        <w:t>Methodology for the constitution of the regulatory credit reserve</w:t>
      </w:r>
    </w:p>
    <w:p>
      <w:pPr>
        <w:spacing w:after="0" w:line="159" w:lineRule="exact"/>
        <w:rPr>
          <w:sz w:val="20"/>
          <w:szCs w:val="20"/>
          <w:color w:val="auto"/>
        </w:rPr>
      </w:pPr>
    </w:p>
    <w:p>
      <w:pPr>
        <w:jc w:val="both"/>
        <w:ind w:left="220"/>
        <w:spacing w:after="0" w:line="257" w:lineRule="auto"/>
        <w:rPr>
          <w:sz w:val="20"/>
          <w:szCs w:val="20"/>
          <w:color w:val="auto"/>
        </w:rPr>
      </w:pPr>
      <w:r>
        <w:rPr>
          <w:rFonts w:ascii="Arial" w:cs="Arial" w:eastAsia="Arial" w:hAnsi="Arial"/>
          <w:sz w:val="13"/>
          <w:szCs w:val="13"/>
          <w:color w:val="auto"/>
        </w:rPr>
        <w:t>The Superintendence of Banks of Panama by means of the General Resolution of Board of Directors SBP-GJD-0003-2013 of July 9, 2013, establishes the accounting methodology for differences that arise between the application of the International Financial Reporting Standards (IFRS) and the application of prudential regulations issued by the SBP; as well as the additional disclosures required to be included in the notes to the consolidated financial statements.</w:t>
      </w:r>
    </w:p>
    <w:p>
      <w:pPr>
        <w:spacing w:after="0" w:line="136" w:lineRule="exact"/>
        <w:rPr>
          <w:sz w:val="20"/>
          <w:szCs w:val="20"/>
          <w:color w:val="auto"/>
        </w:rPr>
      </w:pPr>
    </w:p>
    <w:p>
      <w:pPr>
        <w:ind w:left="220"/>
        <w:spacing w:after="0"/>
        <w:rPr>
          <w:sz w:val="20"/>
          <w:szCs w:val="20"/>
          <w:color w:val="auto"/>
        </w:rPr>
      </w:pPr>
      <w:r>
        <w:rPr>
          <w:rFonts w:ascii="Arial" w:cs="Arial" w:eastAsia="Arial" w:hAnsi="Arial"/>
          <w:sz w:val="13"/>
          <w:szCs w:val="13"/>
          <w:color w:val="auto"/>
        </w:rPr>
        <w:t>The parameters established in this methodology are the following:</w:t>
      </w:r>
    </w:p>
    <w:p>
      <w:pPr>
        <w:spacing w:after="0" w:line="159" w:lineRule="exact"/>
        <w:rPr>
          <w:sz w:val="20"/>
          <w:szCs w:val="20"/>
          <w:color w:val="auto"/>
        </w:rPr>
      </w:pPr>
    </w:p>
    <w:p>
      <w:pPr>
        <w:ind w:left="460" w:hanging="232"/>
        <w:spacing w:after="0"/>
        <w:tabs>
          <w:tab w:leader="none" w:pos="460" w:val="left"/>
        </w:tabs>
        <w:numPr>
          <w:ilvl w:val="0"/>
          <w:numId w:val="205"/>
        </w:numPr>
        <w:rPr>
          <w:rFonts w:ascii="Arial" w:cs="Arial" w:eastAsia="Arial" w:hAnsi="Arial"/>
          <w:sz w:val="11"/>
          <w:szCs w:val="11"/>
          <w:color w:val="auto"/>
        </w:rPr>
      </w:pPr>
      <w:r>
        <w:rPr>
          <w:rFonts w:ascii="Arial" w:cs="Arial" w:eastAsia="Arial" w:hAnsi="Arial"/>
          <w:sz w:val="11"/>
          <w:szCs w:val="11"/>
          <w:color w:val="auto"/>
        </w:rPr>
        <w:t>The calculations of accounting balances in accordance with IFRS and the prudential standards issued by the Superintendence of Banks of Panama will be carried out and the respective figures will be compared.</w:t>
      </w:r>
    </w:p>
    <w:p>
      <w:pPr>
        <w:spacing w:after="0" w:line="181" w:lineRule="exact"/>
        <w:rPr>
          <w:rFonts w:ascii="Arial" w:cs="Arial" w:eastAsia="Arial" w:hAnsi="Arial"/>
          <w:sz w:val="11"/>
          <w:szCs w:val="11"/>
          <w:color w:val="auto"/>
        </w:rPr>
      </w:pPr>
    </w:p>
    <w:p>
      <w:pPr>
        <w:ind w:left="460" w:right="20" w:hanging="232"/>
        <w:spacing w:after="0" w:line="267" w:lineRule="auto"/>
        <w:tabs>
          <w:tab w:leader="none" w:pos="460" w:val="left"/>
        </w:tabs>
        <w:numPr>
          <w:ilvl w:val="0"/>
          <w:numId w:val="205"/>
        </w:numPr>
        <w:rPr>
          <w:rFonts w:ascii="Arial" w:cs="Arial" w:eastAsia="Arial" w:hAnsi="Arial"/>
          <w:sz w:val="13"/>
          <w:szCs w:val="13"/>
          <w:color w:val="auto"/>
        </w:rPr>
      </w:pPr>
      <w:r>
        <w:rPr>
          <w:rFonts w:ascii="Arial" w:cs="Arial" w:eastAsia="Arial" w:hAnsi="Arial"/>
          <w:sz w:val="13"/>
          <w:szCs w:val="13"/>
          <w:color w:val="auto"/>
        </w:rPr>
        <w:t>When the calculation made in accordance with IFRS results in a greater reserve or provision for the bank compared to the one resulting from the use of the prudential standards issued by the SBP, the Bank will account the IFRS figures.</w:t>
      </w:r>
    </w:p>
    <w:p>
      <w:pPr>
        <w:spacing w:after="0" w:line="129" w:lineRule="exact"/>
        <w:rPr>
          <w:rFonts w:ascii="Arial" w:cs="Arial" w:eastAsia="Arial" w:hAnsi="Arial"/>
          <w:sz w:val="13"/>
          <w:szCs w:val="13"/>
          <w:color w:val="auto"/>
        </w:rPr>
      </w:pPr>
    </w:p>
    <w:p>
      <w:pPr>
        <w:jc w:val="both"/>
        <w:ind w:left="460" w:right="20" w:hanging="232"/>
        <w:spacing w:after="0" w:line="257" w:lineRule="auto"/>
        <w:tabs>
          <w:tab w:leader="none" w:pos="460" w:val="left"/>
        </w:tabs>
        <w:numPr>
          <w:ilvl w:val="0"/>
          <w:numId w:val="205"/>
        </w:numPr>
        <w:rPr>
          <w:rFonts w:ascii="Arial" w:cs="Arial" w:eastAsia="Arial" w:hAnsi="Arial"/>
          <w:sz w:val="13"/>
          <w:szCs w:val="13"/>
          <w:color w:val="auto"/>
        </w:rPr>
      </w:pPr>
      <w:r>
        <w:rPr>
          <w:rFonts w:ascii="Arial" w:cs="Arial" w:eastAsia="Arial" w:hAnsi="Arial"/>
          <w:sz w:val="13"/>
          <w:szCs w:val="13"/>
          <w:color w:val="auto"/>
        </w:rPr>
        <w:t>When the impact of the use of prudential standards results in a greater reserve or provision for the Bank, the effect of the application of IFRS will be recognized in profit or loss, and the difference between IFRS calculation compared to the prudential standards calculation will be appropriated from retained earnings as a regulatory credit reserve. If the bank does not have sufficient retained earnings, the difference will be presented as an accumulated deficit account.</w:t>
      </w:r>
    </w:p>
    <w:p>
      <w:pPr>
        <w:spacing w:after="0" w:line="135" w:lineRule="exact"/>
        <w:rPr>
          <w:rFonts w:ascii="Arial" w:cs="Arial" w:eastAsia="Arial" w:hAnsi="Arial"/>
          <w:sz w:val="13"/>
          <w:szCs w:val="13"/>
          <w:color w:val="auto"/>
        </w:rPr>
      </w:pPr>
    </w:p>
    <w:p>
      <w:pPr>
        <w:ind w:left="460" w:hanging="232"/>
        <w:spacing w:after="0"/>
        <w:tabs>
          <w:tab w:leader="none" w:pos="460" w:val="left"/>
        </w:tabs>
        <w:numPr>
          <w:ilvl w:val="0"/>
          <w:numId w:val="205"/>
        </w:numPr>
        <w:rPr>
          <w:rFonts w:ascii="Arial" w:cs="Arial" w:eastAsia="Arial" w:hAnsi="Arial"/>
          <w:sz w:val="12"/>
          <w:szCs w:val="12"/>
          <w:color w:val="auto"/>
        </w:rPr>
      </w:pPr>
      <w:r>
        <w:rPr>
          <w:rFonts w:ascii="Arial" w:cs="Arial" w:eastAsia="Arial" w:hAnsi="Arial"/>
          <w:sz w:val="12"/>
          <w:szCs w:val="12"/>
          <w:color w:val="auto"/>
        </w:rPr>
        <w:t>The regulatory credit reserve mentioned in paragraph 3 of this Rule may not be reversed against the retained earnings as long as there are differences between IFRS and the originated prudential regulations.</w:t>
      </w:r>
    </w:p>
    <w:p>
      <w:pPr>
        <w:spacing w:after="0" w:line="343"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F-111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14605</wp:posOffset>
            </wp:positionV>
            <wp:extent cx="7285990" cy="6350"/>
            <wp:wrapNone/>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40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5" w:right="199" w:bottom="1440" w:gutter="0" w:footer="0" w:header="0"/>
        </w:sectPr>
      </w:pPr>
    </w:p>
    <w:bookmarkStart w:id="236" w:name="page237"/>
    <w:bookmarkEnd w:id="236"/>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color w:val="auto"/>
        </w:rPr>
        <w:t>Notes to the consolidated financial statements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wp:posOffset>
            </wp:positionV>
            <wp:extent cx="7285990" cy="6350"/>
            <wp:wrapNone/>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40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p>
      <w:pPr>
        <w:ind w:left="223" w:hanging="223"/>
        <w:spacing w:after="0"/>
        <w:tabs>
          <w:tab w:leader="none" w:pos="223" w:val="left"/>
        </w:tabs>
        <w:numPr>
          <w:ilvl w:val="0"/>
          <w:numId w:val="206"/>
        </w:numPr>
        <w:rPr>
          <w:rFonts w:ascii="Arial" w:cs="Arial" w:eastAsia="Arial" w:hAnsi="Arial"/>
          <w:sz w:val="13"/>
          <w:szCs w:val="13"/>
          <w:b w:val="1"/>
          <w:bCs w:val="1"/>
          <w:color w:val="auto"/>
        </w:rPr>
      </w:pPr>
      <w:r>
        <w:rPr>
          <w:rFonts w:ascii="Arial" w:cs="Arial" w:eastAsia="Arial" w:hAnsi="Arial"/>
          <w:sz w:val="13"/>
          <w:szCs w:val="13"/>
          <w:b w:val="1"/>
          <w:bCs w:val="1"/>
          <w:color w:val="auto"/>
        </w:rPr>
        <w:t>Applicable laws and regulations (continued)</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u w:val="single" w:color="auto"/>
          <w:color w:val="auto"/>
        </w:rPr>
        <w:t>Methodology for the constitution of the regulatory credit reserve (continued)</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Considering that the Bank presents its consolidated financial statements under IFRS, specifically for its expected credit reserves</w:t>
      </w:r>
    </w:p>
    <w:p>
      <w:pPr>
        <w:spacing w:after="0" w:line="12" w:lineRule="exact"/>
        <w:rPr>
          <w:rFonts w:ascii="Arial" w:cs="Arial" w:eastAsia="Arial" w:hAnsi="Arial"/>
          <w:sz w:val="13"/>
          <w:szCs w:val="13"/>
          <w:b w:val="1"/>
          <w:bCs w:val="1"/>
          <w:color w:val="auto"/>
        </w:rPr>
      </w:pPr>
    </w:p>
    <w:p>
      <w:pPr>
        <w:ind w:left="223" w:right="20"/>
        <w:spacing w:after="0" w:line="254" w:lineRule="auto"/>
        <w:rPr>
          <w:rFonts w:ascii="Arial" w:cs="Arial" w:eastAsia="Arial" w:hAnsi="Arial"/>
          <w:sz w:val="13"/>
          <w:szCs w:val="13"/>
          <w:b w:val="1"/>
          <w:bCs w:val="1"/>
          <w:color w:val="auto"/>
        </w:rPr>
      </w:pPr>
      <w:r>
        <w:rPr>
          <w:rFonts w:ascii="Arial" w:cs="Arial" w:eastAsia="Arial" w:hAnsi="Arial"/>
          <w:sz w:val="13"/>
          <w:szCs w:val="13"/>
          <w:color w:val="auto"/>
        </w:rPr>
        <w:t>under IFRS 9, the line "Regulatory credit reserve" established by the Superintendence of Banks of Panama has been used to present the difference between the application of the accounting standard used and the prudential regulations of the Superintendence of Banks of Panama to comply with the requirements of Rule No. 4-2013.</w:t>
      </w:r>
    </w:p>
    <w:p>
      <w:pPr>
        <w:spacing w:after="0" w:line="137" w:lineRule="exact"/>
        <w:rPr>
          <w:rFonts w:ascii="Arial" w:cs="Arial" w:eastAsia="Arial" w:hAnsi="Arial"/>
          <w:sz w:val="13"/>
          <w:szCs w:val="13"/>
          <w:b w:val="1"/>
          <w:bCs w:val="1"/>
          <w:color w:val="auto"/>
        </w:rPr>
      </w:pPr>
    </w:p>
    <w:p>
      <w:pPr>
        <w:jc w:val="both"/>
        <w:ind w:left="223" w:right="20"/>
        <w:spacing w:after="0" w:line="257" w:lineRule="auto"/>
        <w:rPr>
          <w:rFonts w:ascii="Arial" w:cs="Arial" w:eastAsia="Arial" w:hAnsi="Arial"/>
          <w:sz w:val="13"/>
          <w:szCs w:val="13"/>
          <w:b w:val="1"/>
          <w:bCs w:val="1"/>
          <w:color w:val="auto"/>
        </w:rPr>
      </w:pPr>
      <w:r>
        <w:rPr>
          <w:rFonts w:ascii="Arial" w:cs="Arial" w:eastAsia="Arial" w:hAnsi="Arial"/>
          <w:sz w:val="13"/>
          <w:szCs w:val="13"/>
          <w:color w:val="auto"/>
        </w:rPr>
        <w:t>As of December 31, 2018, and December 31, 2017, the total amount of the dynamic provision and the regulatory credit reserve calculated according to the guidelines of Rule No. 4-2013 of the Superintendence of Banks of Panama is $136.0 million and $129.2 million, respectively, appropriated from retained earnings for purposes of compliance with local regulatory requirements. This appropriation is restricted from dividend distribution in order to comply with local regulations. The provision and reserve are detailed as follows:</w:t>
      </w:r>
    </w:p>
    <w:p>
      <w:pPr>
        <w:spacing w:after="0" w:line="132" w:lineRule="exact"/>
        <w:rPr>
          <w:sz w:val="20"/>
          <w:szCs w:val="20"/>
          <w:color w:val="auto"/>
        </w:rPr>
      </w:pPr>
    </w:p>
    <w:tbl>
      <w:tblPr>
        <w:tblLayout w:type="fixed"/>
        <w:tblInd w:w="223" w:type="dxa"/>
        <w:tblCellMar>
          <w:top w:w="0" w:type="dxa"/>
          <w:left w:w="0" w:type="dxa"/>
          <w:bottom w:w="0" w:type="dxa"/>
          <w:right w:w="0" w:type="dxa"/>
        </w:tblCellMar>
      </w:tblPr>
      <w:tr>
        <w:trPr>
          <w:trHeight w:val="154"/>
        </w:trPr>
        <w:tc>
          <w:tcPr>
            <w:tcW w:w="7760" w:type="dxa"/>
            <w:vAlign w:val="bottom"/>
          </w:tcPr>
          <w:p>
            <w:pPr>
              <w:spacing w:after="0"/>
              <w:rPr>
                <w:sz w:val="13"/>
                <w:szCs w:val="13"/>
                <w:color w:val="auto"/>
              </w:rPr>
            </w:pPr>
          </w:p>
        </w:tc>
        <w:tc>
          <w:tcPr>
            <w:tcW w:w="1640" w:type="dxa"/>
            <w:vAlign w:val="bottom"/>
            <w:gridSpan w:val="2"/>
          </w:tcPr>
          <w:p>
            <w:pPr>
              <w:ind w:left="340"/>
              <w:spacing w:after="0"/>
              <w:rPr>
                <w:sz w:val="20"/>
                <w:szCs w:val="20"/>
                <w:color w:val="auto"/>
              </w:rPr>
            </w:pPr>
            <w:r>
              <w:rPr>
                <w:rFonts w:ascii="Arial" w:cs="Arial" w:eastAsia="Arial" w:hAnsi="Arial"/>
                <w:sz w:val="13"/>
                <w:szCs w:val="13"/>
                <w:b w:val="1"/>
                <w:bCs w:val="1"/>
                <w:color w:val="auto"/>
              </w:rPr>
              <w:t>December 31,</w:t>
            </w:r>
          </w:p>
        </w:tc>
        <w:tc>
          <w:tcPr>
            <w:tcW w:w="1500" w:type="dxa"/>
            <w:vAlign w:val="bottom"/>
            <w:gridSpan w:val="2"/>
          </w:tcPr>
          <w:p>
            <w:pPr>
              <w:ind w:left="300"/>
              <w:spacing w:after="0"/>
              <w:rPr>
                <w:sz w:val="20"/>
                <w:szCs w:val="20"/>
                <w:color w:val="auto"/>
              </w:rPr>
            </w:pPr>
            <w:r>
              <w:rPr>
                <w:rFonts w:ascii="Arial" w:cs="Arial" w:eastAsia="Arial" w:hAnsi="Arial"/>
                <w:sz w:val="13"/>
                <w:szCs w:val="13"/>
                <w:b w:val="1"/>
                <w:bCs w:val="1"/>
                <w:color w:val="auto"/>
              </w:rPr>
              <w:t>December 31,</w:t>
            </w:r>
          </w:p>
        </w:tc>
      </w:tr>
      <w:tr>
        <w:trPr>
          <w:trHeight w:val="167"/>
        </w:trPr>
        <w:tc>
          <w:tcPr>
            <w:tcW w:w="7760" w:type="dxa"/>
            <w:vAlign w:val="bottom"/>
            <w:tcBorders>
              <w:bottom w:val="single" w:sz="8" w:color="CCEEFF"/>
            </w:tcBorders>
          </w:tcPr>
          <w:p>
            <w:pPr>
              <w:spacing w:after="0"/>
              <w:rPr>
                <w:sz w:val="14"/>
                <w:szCs w:val="14"/>
                <w:color w:val="auto"/>
              </w:rPr>
            </w:pPr>
          </w:p>
        </w:tc>
        <w:tc>
          <w:tcPr>
            <w:tcW w:w="1420" w:type="dxa"/>
            <w:vAlign w:val="bottom"/>
            <w:tcBorders>
              <w:bottom w:val="single" w:sz="8" w:color="auto"/>
            </w:tcBorders>
          </w:tcPr>
          <w:p>
            <w:pPr>
              <w:jc w:val="right"/>
              <w:ind w:right="496"/>
              <w:spacing w:after="0"/>
              <w:rPr>
                <w:sz w:val="20"/>
                <w:szCs w:val="20"/>
                <w:color w:val="auto"/>
              </w:rPr>
            </w:pPr>
            <w:r>
              <w:rPr>
                <w:rFonts w:ascii="Arial" w:cs="Arial" w:eastAsia="Arial" w:hAnsi="Arial"/>
                <w:sz w:val="13"/>
                <w:szCs w:val="13"/>
                <w:b w:val="1"/>
                <w:bCs w:val="1"/>
                <w:color w:val="auto"/>
              </w:rPr>
              <w:t>2018</w:t>
            </w:r>
          </w:p>
        </w:tc>
        <w:tc>
          <w:tcPr>
            <w:tcW w:w="220" w:type="dxa"/>
            <w:vAlign w:val="bottom"/>
            <w:tcBorders>
              <w:bottom w:val="single" w:sz="8" w:color="CCEEFF"/>
            </w:tcBorders>
          </w:tcPr>
          <w:p>
            <w:pPr>
              <w:spacing w:after="0"/>
              <w:rPr>
                <w:sz w:val="14"/>
                <w:szCs w:val="14"/>
                <w:color w:val="auto"/>
              </w:rPr>
            </w:pPr>
          </w:p>
        </w:tc>
        <w:tc>
          <w:tcPr>
            <w:tcW w:w="1400" w:type="dxa"/>
            <w:vAlign w:val="bottom"/>
            <w:tcBorders>
              <w:bottom w:val="single" w:sz="8" w:color="auto"/>
            </w:tcBorders>
          </w:tcPr>
          <w:p>
            <w:pPr>
              <w:jc w:val="right"/>
              <w:ind w:right="476"/>
              <w:spacing w:after="0"/>
              <w:rPr>
                <w:sz w:val="20"/>
                <w:szCs w:val="20"/>
                <w:color w:val="auto"/>
              </w:rPr>
            </w:pPr>
            <w:r>
              <w:rPr>
                <w:rFonts w:ascii="Arial" w:cs="Arial" w:eastAsia="Arial" w:hAnsi="Arial"/>
                <w:sz w:val="13"/>
                <w:szCs w:val="13"/>
                <w:b w:val="1"/>
                <w:bCs w:val="1"/>
                <w:color w:val="auto"/>
              </w:rPr>
              <w:t>2017</w:t>
            </w:r>
          </w:p>
        </w:tc>
        <w:tc>
          <w:tcPr>
            <w:tcW w:w="100" w:type="dxa"/>
            <w:vAlign w:val="bottom"/>
            <w:tcBorders>
              <w:bottom w:val="single" w:sz="8" w:color="CCEEFF"/>
            </w:tcBorders>
          </w:tcPr>
          <w:p>
            <w:pPr>
              <w:spacing w:after="0"/>
              <w:rPr>
                <w:sz w:val="14"/>
                <w:szCs w:val="14"/>
                <w:color w:val="auto"/>
              </w:rPr>
            </w:pPr>
          </w:p>
        </w:tc>
      </w:tr>
      <w:tr>
        <w:trPr>
          <w:trHeight w:val="144"/>
        </w:trPr>
        <w:tc>
          <w:tcPr>
            <w:tcW w:w="7760" w:type="dxa"/>
            <w:vAlign w:val="bottom"/>
            <w:shd w:val="clear" w:color="auto" w:fill="CCEEFF"/>
          </w:tcPr>
          <w:p>
            <w:pPr>
              <w:spacing w:after="0" w:line="144" w:lineRule="exact"/>
              <w:rPr>
                <w:sz w:val="20"/>
                <w:szCs w:val="20"/>
                <w:color w:val="auto"/>
              </w:rPr>
            </w:pPr>
            <w:r>
              <w:rPr>
                <w:rFonts w:ascii="Arial" w:cs="Arial" w:eastAsia="Arial" w:hAnsi="Arial"/>
                <w:sz w:val="13"/>
                <w:szCs w:val="13"/>
                <w:color w:val="auto"/>
              </w:rPr>
              <w:t>Dynamic provision</w:t>
            </w:r>
          </w:p>
        </w:tc>
        <w:tc>
          <w:tcPr>
            <w:tcW w:w="142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color w:val="auto"/>
              </w:rPr>
              <w:t>136,019</w:t>
            </w:r>
          </w:p>
        </w:tc>
        <w:tc>
          <w:tcPr>
            <w:tcW w:w="220" w:type="dxa"/>
            <w:vAlign w:val="bottom"/>
            <w:shd w:val="clear" w:color="auto" w:fill="CCEEFF"/>
          </w:tcPr>
          <w:p>
            <w:pPr>
              <w:spacing w:after="0"/>
              <w:rPr>
                <w:sz w:val="12"/>
                <w:szCs w:val="12"/>
                <w:color w:val="auto"/>
              </w:rPr>
            </w:pPr>
          </w:p>
        </w:tc>
        <w:tc>
          <w:tcPr>
            <w:tcW w:w="1400" w:type="dxa"/>
            <w:vAlign w:val="bottom"/>
            <w:shd w:val="clear" w:color="auto" w:fill="CCEEFF"/>
          </w:tcPr>
          <w:p>
            <w:pPr>
              <w:jc w:val="right"/>
              <w:spacing w:after="0" w:line="144" w:lineRule="exact"/>
              <w:rPr>
                <w:sz w:val="20"/>
                <w:szCs w:val="20"/>
                <w:color w:val="auto"/>
              </w:rPr>
            </w:pPr>
            <w:r>
              <w:rPr>
                <w:rFonts w:ascii="Arial" w:cs="Arial" w:eastAsia="Arial" w:hAnsi="Arial"/>
                <w:sz w:val="13"/>
                <w:szCs w:val="13"/>
                <w:color w:val="auto"/>
              </w:rPr>
              <w:t>108,756</w:t>
            </w:r>
          </w:p>
        </w:tc>
        <w:tc>
          <w:tcPr>
            <w:tcW w:w="100" w:type="dxa"/>
            <w:vAlign w:val="bottom"/>
            <w:shd w:val="clear" w:color="auto" w:fill="CCEEFF"/>
          </w:tcPr>
          <w:p>
            <w:pPr>
              <w:spacing w:after="0"/>
              <w:rPr>
                <w:sz w:val="12"/>
                <w:szCs w:val="12"/>
                <w:color w:val="auto"/>
              </w:rPr>
            </w:pPr>
          </w:p>
        </w:tc>
      </w:tr>
      <w:tr>
        <w:trPr>
          <w:trHeight w:val="163"/>
        </w:trPr>
        <w:tc>
          <w:tcPr>
            <w:tcW w:w="7760" w:type="dxa"/>
            <w:vAlign w:val="bottom"/>
          </w:tcPr>
          <w:p>
            <w:pPr>
              <w:spacing w:after="0"/>
              <w:rPr>
                <w:sz w:val="20"/>
                <w:szCs w:val="20"/>
                <w:color w:val="auto"/>
              </w:rPr>
            </w:pPr>
            <w:r>
              <w:rPr>
                <w:rFonts w:ascii="Arial" w:cs="Arial" w:eastAsia="Arial" w:hAnsi="Arial"/>
                <w:sz w:val="13"/>
                <w:szCs w:val="13"/>
                <w:color w:val="auto"/>
              </w:rPr>
              <w:t>Regulatory credit reserve</w:t>
            </w:r>
          </w:p>
        </w:tc>
        <w:tc>
          <w:tcPr>
            <w:tcW w:w="14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500" w:type="dxa"/>
            <w:vAlign w:val="bottom"/>
            <w:gridSpan w:val="2"/>
          </w:tcPr>
          <w:p>
            <w:pPr>
              <w:jc w:val="right"/>
              <w:ind w:right="100"/>
              <w:spacing w:after="0"/>
              <w:rPr>
                <w:sz w:val="20"/>
                <w:szCs w:val="20"/>
                <w:color w:val="auto"/>
              </w:rPr>
            </w:pPr>
            <w:r>
              <w:rPr>
                <w:rFonts w:ascii="Arial" w:cs="Arial" w:eastAsia="Arial" w:hAnsi="Arial"/>
                <w:sz w:val="13"/>
                <w:szCs w:val="13"/>
                <w:color w:val="auto"/>
              </w:rPr>
              <w:t>20,498</w:t>
            </w:r>
          </w:p>
        </w:tc>
      </w:tr>
      <w:tr>
        <w:trPr>
          <w:trHeight w:val="162"/>
        </w:trPr>
        <w:tc>
          <w:tcPr>
            <w:tcW w:w="7760" w:type="dxa"/>
            <w:vAlign w:val="bottom"/>
            <w:tcBorders>
              <w:top w:val="single" w:sz="8" w:color="CCEEFF"/>
              <w:bottom w:val="single" w:sz="8" w:color="CCEEFF"/>
            </w:tcBorders>
            <w:shd w:val="clear" w:color="auto" w:fill="CCEEFF"/>
          </w:tcPr>
          <w:p>
            <w:pPr>
              <w:spacing w:after="0"/>
              <w:rPr>
                <w:sz w:val="14"/>
                <w:szCs w:val="14"/>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136,019</w:t>
            </w:r>
          </w:p>
        </w:tc>
        <w:tc>
          <w:tcPr>
            <w:tcW w:w="220" w:type="dxa"/>
            <w:vAlign w:val="bottom"/>
            <w:tcBorders>
              <w:top w:val="single" w:sz="8" w:color="CCEEFF"/>
              <w:bottom w:val="single" w:sz="8" w:color="CCEEFF"/>
            </w:tcBorders>
            <w:shd w:val="clear" w:color="auto" w:fill="CCEEFF"/>
          </w:tcPr>
          <w:p>
            <w:pPr>
              <w:spacing w:after="0"/>
              <w:rPr>
                <w:sz w:val="14"/>
                <w:szCs w:val="14"/>
                <w:color w:val="auto"/>
              </w:rPr>
            </w:pPr>
          </w:p>
        </w:tc>
        <w:tc>
          <w:tcPr>
            <w:tcW w:w="1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3"/>
                <w:szCs w:val="13"/>
                <w:b w:val="1"/>
                <w:bCs w:val="1"/>
                <w:color w:val="auto"/>
              </w:rPr>
              <w:t>129,254</w:t>
            </w:r>
          </w:p>
        </w:tc>
        <w:tc>
          <w:tcPr>
            <w:tcW w:w="100" w:type="dxa"/>
            <w:vAlign w:val="bottom"/>
            <w:tcBorders>
              <w:top w:val="single" w:sz="8" w:color="CCEEFF"/>
              <w:bottom w:val="single" w:sz="8" w:color="CCEEFF"/>
            </w:tcBorders>
            <w:shd w:val="clear" w:color="auto" w:fill="CCEEFF"/>
          </w:tcPr>
          <w:p>
            <w:pPr>
              <w:spacing w:after="0"/>
              <w:rPr>
                <w:sz w:val="14"/>
                <w:szCs w:val="14"/>
                <w:color w:val="auto"/>
              </w:rPr>
            </w:pPr>
          </w:p>
        </w:tc>
      </w:tr>
    </w:tbl>
    <w:p>
      <w:pPr>
        <w:spacing w:after="0" w:line="145" w:lineRule="exact"/>
        <w:rPr>
          <w:sz w:val="20"/>
          <w:szCs w:val="20"/>
          <w:color w:val="auto"/>
        </w:rPr>
      </w:pPr>
    </w:p>
    <w:p>
      <w:pPr>
        <w:ind w:left="223"/>
        <w:spacing w:after="0"/>
        <w:rPr>
          <w:sz w:val="20"/>
          <w:szCs w:val="20"/>
          <w:color w:val="auto"/>
        </w:rPr>
      </w:pPr>
      <w:r>
        <w:rPr>
          <w:rFonts w:ascii="Arial" w:cs="Arial" w:eastAsia="Arial" w:hAnsi="Arial"/>
          <w:sz w:val="13"/>
          <w:szCs w:val="13"/>
          <w:u w:val="single" w:color="auto"/>
          <w:color w:val="auto"/>
        </w:rPr>
        <w:t>Capital reserve</w:t>
      </w:r>
    </w:p>
    <w:p>
      <w:pPr>
        <w:spacing w:after="0" w:line="159" w:lineRule="exact"/>
        <w:rPr>
          <w:sz w:val="20"/>
          <w:szCs w:val="20"/>
          <w:color w:val="auto"/>
        </w:rPr>
      </w:pPr>
    </w:p>
    <w:p>
      <w:pPr>
        <w:ind w:left="223" w:right="20"/>
        <w:spacing w:after="0" w:line="267" w:lineRule="auto"/>
        <w:rPr>
          <w:sz w:val="20"/>
          <w:szCs w:val="20"/>
          <w:color w:val="auto"/>
        </w:rPr>
      </w:pPr>
      <w:r>
        <w:rPr>
          <w:rFonts w:ascii="Arial" w:cs="Arial" w:eastAsia="Arial" w:hAnsi="Arial"/>
          <w:sz w:val="13"/>
          <w:szCs w:val="13"/>
          <w:color w:val="auto"/>
        </w:rPr>
        <w:t>In addition to capital reserves required by regulations, the Bank maintains a capital reserve of $95.2 million, which was voluntarily established. Pursuant to Article No. 69 of the Banking Law, reduction of capital reserves requires prior approval of SBP.</w:t>
      </w:r>
    </w:p>
    <w:p>
      <w:pPr>
        <w:spacing w:after="0" w:line="125" w:lineRule="exact"/>
        <w:rPr>
          <w:sz w:val="20"/>
          <w:szCs w:val="20"/>
          <w:color w:val="auto"/>
        </w:rPr>
      </w:pPr>
    </w:p>
    <w:p>
      <w:pPr>
        <w:ind w:left="223" w:hanging="223"/>
        <w:spacing w:after="0"/>
        <w:tabs>
          <w:tab w:leader="none" w:pos="223" w:val="left"/>
        </w:tabs>
        <w:numPr>
          <w:ilvl w:val="0"/>
          <w:numId w:val="207"/>
        </w:numPr>
        <w:rPr>
          <w:rFonts w:ascii="Arial" w:cs="Arial" w:eastAsia="Arial" w:hAnsi="Arial"/>
          <w:sz w:val="13"/>
          <w:szCs w:val="13"/>
          <w:b w:val="1"/>
          <w:bCs w:val="1"/>
          <w:color w:val="auto"/>
        </w:rPr>
      </w:pPr>
      <w:r>
        <w:rPr>
          <w:rFonts w:ascii="Arial" w:cs="Arial" w:eastAsia="Arial" w:hAnsi="Arial"/>
          <w:sz w:val="13"/>
          <w:szCs w:val="13"/>
          <w:b w:val="1"/>
          <w:bCs w:val="1"/>
          <w:color w:val="auto"/>
        </w:rPr>
        <w:t>Subsequent Events</w:t>
      </w:r>
    </w:p>
    <w:p>
      <w:pPr>
        <w:spacing w:after="0" w:line="162" w:lineRule="exact"/>
        <w:rPr>
          <w:rFonts w:ascii="Arial" w:cs="Arial" w:eastAsia="Arial" w:hAnsi="Arial"/>
          <w:sz w:val="13"/>
          <w:szCs w:val="13"/>
          <w:b w:val="1"/>
          <w:bCs w:val="1"/>
          <w:color w:val="auto"/>
        </w:rPr>
      </w:pPr>
    </w:p>
    <w:p>
      <w:pPr>
        <w:ind w:left="223"/>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Bladex announced a quarterly cash dividend of $0.385 US dollar cents per share corresponding to the fourth quarter of 2018. The cash dividend was approved by the Board of Directors at its meeting held on February 19, 2019 and it is payable on March 26, 2019 to the Bank’s stockholders as of March 11, 2019 record date.</w:t>
      </w:r>
    </w:p>
    <w:p>
      <w:pPr>
        <w:spacing w:after="0" w:line="283"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F-112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40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237" w:name="page238"/>
    <w:bookmarkEnd w:id="237"/>
    <w:p>
      <w:pPr>
        <w:jc w:val="right"/>
        <w:spacing w:after="0"/>
        <w:rPr>
          <w:sz w:val="20"/>
          <w:szCs w:val="20"/>
          <w:color w:val="auto"/>
        </w:rPr>
      </w:pPr>
      <w:r>
        <w:rPr>
          <w:rFonts w:ascii="Arial" w:cs="Arial" w:eastAsia="Arial" w:hAnsi="Arial"/>
          <w:sz w:val="13"/>
          <w:szCs w:val="13"/>
          <w:b w:val="1"/>
          <w:bCs w:val="1"/>
          <w:color w:val="auto"/>
        </w:rPr>
        <w:t>Exhibit 8.1</w:t>
      </w:r>
    </w:p>
    <w:p>
      <w:pPr>
        <w:spacing w:after="0" w:line="313" w:lineRule="exact"/>
        <w:rPr>
          <w:sz w:val="20"/>
          <w:szCs w:val="20"/>
          <w:color w:val="auto"/>
        </w:rPr>
      </w:pPr>
    </w:p>
    <w:tbl>
      <w:tblPr>
        <w:tblLayout w:type="fixed"/>
        <w:tblInd w:w="0" w:type="dxa"/>
        <w:tblCellMar>
          <w:top w:w="0" w:type="dxa"/>
          <w:left w:w="0" w:type="dxa"/>
          <w:bottom w:w="0" w:type="dxa"/>
          <w:right w:w="0" w:type="dxa"/>
        </w:tblCellMar>
      </w:tblPr>
      <w:tr>
        <w:trPr>
          <w:trHeight w:val="166"/>
        </w:trPr>
        <w:tc>
          <w:tcPr>
            <w:tcW w:w="3200" w:type="dxa"/>
            <w:vAlign w:val="bottom"/>
          </w:tcPr>
          <w:p>
            <w:pPr>
              <w:spacing w:after="0"/>
              <w:rPr>
                <w:sz w:val="14"/>
                <w:szCs w:val="14"/>
                <w:color w:val="auto"/>
              </w:rPr>
            </w:pPr>
          </w:p>
        </w:tc>
        <w:tc>
          <w:tcPr>
            <w:tcW w:w="8280" w:type="dxa"/>
            <w:vAlign w:val="bottom"/>
          </w:tcPr>
          <w:p>
            <w:pPr>
              <w:ind w:left="700"/>
              <w:spacing w:after="0"/>
              <w:rPr>
                <w:sz w:val="20"/>
                <w:szCs w:val="20"/>
                <w:color w:val="auto"/>
              </w:rPr>
            </w:pPr>
            <w:r>
              <w:rPr>
                <w:rFonts w:ascii="Arial" w:cs="Arial" w:eastAsia="Arial" w:hAnsi="Arial"/>
                <w:sz w:val="13"/>
                <w:szCs w:val="13"/>
                <w:b w:val="1"/>
                <w:bCs w:val="1"/>
                <w:color w:val="auto"/>
              </w:rPr>
              <w:t>Subsidiaries of Banco Latinoamericano de Comercio Exterior, S.A.</w:t>
            </w:r>
          </w:p>
        </w:tc>
      </w:tr>
      <w:tr>
        <w:trPr>
          <w:trHeight w:val="450"/>
        </w:trPr>
        <w:tc>
          <w:tcPr>
            <w:tcW w:w="3200" w:type="dxa"/>
            <w:vAlign w:val="bottom"/>
          </w:tcPr>
          <w:p>
            <w:pPr>
              <w:spacing w:after="0"/>
              <w:rPr>
                <w:sz w:val="24"/>
                <w:szCs w:val="24"/>
                <w:color w:val="auto"/>
              </w:rPr>
            </w:pPr>
          </w:p>
        </w:tc>
        <w:tc>
          <w:tcPr>
            <w:tcW w:w="8280" w:type="dxa"/>
            <w:vAlign w:val="bottom"/>
          </w:tcPr>
          <w:p>
            <w:pPr>
              <w:ind w:left="6320"/>
              <w:spacing w:after="0"/>
              <w:rPr>
                <w:sz w:val="20"/>
                <w:szCs w:val="20"/>
                <w:color w:val="auto"/>
              </w:rPr>
            </w:pPr>
            <w:r>
              <w:rPr>
                <w:rFonts w:ascii="Arial" w:cs="Arial" w:eastAsia="Arial" w:hAnsi="Arial"/>
                <w:sz w:val="13"/>
                <w:szCs w:val="13"/>
                <w:b w:val="1"/>
                <w:bCs w:val="1"/>
                <w:color w:val="auto"/>
              </w:rPr>
              <w:t>Jurisdiction</w:t>
            </w:r>
          </w:p>
        </w:tc>
      </w:tr>
      <w:tr>
        <w:trPr>
          <w:trHeight w:val="166"/>
        </w:trPr>
        <w:tc>
          <w:tcPr>
            <w:tcW w:w="3200" w:type="dxa"/>
            <w:vAlign w:val="bottom"/>
          </w:tcPr>
          <w:p>
            <w:pPr>
              <w:spacing w:after="0"/>
              <w:rPr>
                <w:sz w:val="20"/>
                <w:szCs w:val="20"/>
                <w:color w:val="auto"/>
              </w:rPr>
            </w:pPr>
            <w:r>
              <w:rPr>
                <w:rFonts w:ascii="Arial" w:cs="Arial" w:eastAsia="Arial" w:hAnsi="Arial"/>
                <w:sz w:val="13"/>
                <w:szCs w:val="13"/>
                <w:b w:val="1"/>
                <w:bCs w:val="1"/>
                <w:color w:val="auto"/>
              </w:rPr>
              <w:t>Name of Subsidiary</w:t>
            </w:r>
          </w:p>
        </w:tc>
        <w:tc>
          <w:tcPr>
            <w:tcW w:w="8280" w:type="dxa"/>
            <w:vAlign w:val="bottom"/>
          </w:tcPr>
          <w:p>
            <w:pPr>
              <w:ind w:left="6320"/>
              <w:spacing w:after="0"/>
              <w:rPr>
                <w:sz w:val="20"/>
                <w:szCs w:val="20"/>
                <w:color w:val="auto"/>
              </w:rPr>
            </w:pPr>
            <w:r>
              <w:rPr>
                <w:rFonts w:ascii="Arial" w:cs="Arial" w:eastAsia="Arial" w:hAnsi="Arial"/>
                <w:sz w:val="13"/>
                <w:szCs w:val="13"/>
                <w:b w:val="1"/>
                <w:bCs w:val="1"/>
                <w:color w:val="auto"/>
              </w:rPr>
              <w:t>of Incorporation</w:t>
            </w:r>
          </w:p>
        </w:tc>
      </w:tr>
      <w:tr>
        <w:trPr>
          <w:trHeight w:val="308"/>
        </w:trPr>
        <w:tc>
          <w:tcPr>
            <w:tcW w:w="3200" w:type="dxa"/>
            <w:vAlign w:val="bottom"/>
          </w:tcPr>
          <w:p>
            <w:pPr>
              <w:spacing w:after="0"/>
              <w:rPr>
                <w:sz w:val="20"/>
                <w:szCs w:val="20"/>
                <w:color w:val="auto"/>
              </w:rPr>
            </w:pPr>
            <w:r>
              <w:rPr>
                <w:rFonts w:ascii="Arial" w:cs="Arial" w:eastAsia="Arial" w:hAnsi="Arial"/>
                <w:sz w:val="13"/>
                <w:szCs w:val="13"/>
                <w:color w:val="auto"/>
              </w:rPr>
              <w:t>Bladex Holdings Inc.</w:t>
            </w:r>
          </w:p>
        </w:tc>
        <w:tc>
          <w:tcPr>
            <w:tcW w:w="8280" w:type="dxa"/>
            <w:vAlign w:val="bottom"/>
          </w:tcPr>
          <w:p>
            <w:pPr>
              <w:ind w:left="6320"/>
              <w:spacing w:after="0"/>
              <w:rPr>
                <w:sz w:val="20"/>
                <w:szCs w:val="20"/>
                <w:color w:val="auto"/>
              </w:rPr>
            </w:pPr>
            <w:r>
              <w:rPr>
                <w:rFonts w:ascii="Arial" w:cs="Arial" w:eastAsia="Arial" w:hAnsi="Arial"/>
                <w:sz w:val="13"/>
                <w:szCs w:val="13"/>
                <w:color w:val="auto"/>
              </w:rPr>
              <w:t>United States</w:t>
            </w:r>
          </w:p>
        </w:tc>
      </w:tr>
      <w:tr>
        <w:trPr>
          <w:trHeight w:val="308"/>
        </w:trPr>
        <w:tc>
          <w:tcPr>
            <w:tcW w:w="3200" w:type="dxa"/>
            <w:vAlign w:val="bottom"/>
          </w:tcPr>
          <w:p>
            <w:pPr>
              <w:spacing w:after="0"/>
              <w:rPr>
                <w:sz w:val="20"/>
                <w:szCs w:val="20"/>
                <w:color w:val="auto"/>
              </w:rPr>
            </w:pPr>
            <w:r>
              <w:rPr>
                <w:rFonts w:ascii="Arial" w:cs="Arial" w:eastAsia="Arial" w:hAnsi="Arial"/>
                <w:sz w:val="13"/>
                <w:szCs w:val="13"/>
                <w:color w:val="auto"/>
              </w:rPr>
              <w:t>Bladex Representação Ltda.</w:t>
            </w:r>
          </w:p>
        </w:tc>
        <w:tc>
          <w:tcPr>
            <w:tcW w:w="8280" w:type="dxa"/>
            <w:vAlign w:val="bottom"/>
          </w:tcPr>
          <w:p>
            <w:pPr>
              <w:ind w:left="6320"/>
              <w:spacing w:after="0"/>
              <w:rPr>
                <w:sz w:val="20"/>
                <w:szCs w:val="20"/>
                <w:color w:val="auto"/>
              </w:rPr>
            </w:pPr>
            <w:r>
              <w:rPr>
                <w:rFonts w:ascii="Arial" w:cs="Arial" w:eastAsia="Arial" w:hAnsi="Arial"/>
                <w:sz w:val="13"/>
                <w:szCs w:val="13"/>
                <w:color w:val="auto"/>
              </w:rPr>
              <w:t>Brazil</w:t>
            </w:r>
          </w:p>
        </w:tc>
      </w:tr>
      <w:tr>
        <w:trPr>
          <w:trHeight w:val="308"/>
        </w:trPr>
        <w:tc>
          <w:tcPr>
            <w:tcW w:w="3200" w:type="dxa"/>
            <w:vAlign w:val="bottom"/>
          </w:tcPr>
          <w:p>
            <w:pPr>
              <w:spacing w:after="0"/>
              <w:rPr>
                <w:sz w:val="20"/>
                <w:szCs w:val="20"/>
                <w:color w:val="auto"/>
              </w:rPr>
            </w:pPr>
            <w:r>
              <w:rPr>
                <w:rFonts w:ascii="Arial" w:cs="Arial" w:eastAsia="Arial" w:hAnsi="Arial"/>
                <w:sz w:val="13"/>
                <w:szCs w:val="13"/>
                <w:color w:val="auto"/>
              </w:rPr>
              <w:t>Bladex Development Corp.</w:t>
            </w:r>
          </w:p>
        </w:tc>
        <w:tc>
          <w:tcPr>
            <w:tcW w:w="8280" w:type="dxa"/>
            <w:vAlign w:val="bottom"/>
          </w:tcPr>
          <w:p>
            <w:pPr>
              <w:ind w:left="6320"/>
              <w:spacing w:after="0"/>
              <w:rPr>
                <w:sz w:val="20"/>
                <w:szCs w:val="20"/>
                <w:color w:val="auto"/>
              </w:rPr>
            </w:pPr>
            <w:r>
              <w:rPr>
                <w:rFonts w:ascii="Arial" w:cs="Arial" w:eastAsia="Arial" w:hAnsi="Arial"/>
                <w:sz w:val="13"/>
                <w:szCs w:val="13"/>
                <w:color w:val="auto"/>
              </w:rPr>
              <w:t>Panama</w:t>
            </w:r>
          </w:p>
        </w:tc>
      </w:tr>
      <w:tr>
        <w:trPr>
          <w:trHeight w:val="308"/>
        </w:trPr>
        <w:tc>
          <w:tcPr>
            <w:tcW w:w="3200" w:type="dxa"/>
            <w:vAlign w:val="bottom"/>
          </w:tcPr>
          <w:p>
            <w:pPr>
              <w:spacing w:after="0"/>
              <w:rPr>
                <w:sz w:val="20"/>
                <w:szCs w:val="20"/>
                <w:color w:val="auto"/>
              </w:rPr>
            </w:pPr>
            <w:r>
              <w:rPr>
                <w:rFonts w:ascii="Arial" w:cs="Arial" w:eastAsia="Arial" w:hAnsi="Arial"/>
                <w:sz w:val="13"/>
                <w:szCs w:val="13"/>
                <w:color w:val="auto"/>
              </w:rPr>
              <w:t>BLX Soluciones, S.A. de C.V., SOFOM, E.N.R.</w:t>
            </w:r>
          </w:p>
        </w:tc>
        <w:tc>
          <w:tcPr>
            <w:tcW w:w="8280" w:type="dxa"/>
            <w:vAlign w:val="bottom"/>
          </w:tcPr>
          <w:p>
            <w:pPr>
              <w:ind w:left="6320"/>
              <w:spacing w:after="0"/>
              <w:rPr>
                <w:sz w:val="20"/>
                <w:szCs w:val="20"/>
                <w:color w:val="auto"/>
              </w:rPr>
            </w:pPr>
            <w:r>
              <w:rPr>
                <w:rFonts w:ascii="Arial" w:cs="Arial" w:eastAsia="Arial" w:hAnsi="Arial"/>
                <w:sz w:val="13"/>
                <w:szCs w:val="13"/>
                <w:color w:val="auto"/>
              </w:rPr>
              <w:t>Mexico</w:t>
            </w:r>
          </w:p>
        </w:tc>
      </w:tr>
      <w:tr>
        <w:trPr>
          <w:trHeight w:val="482"/>
        </w:trPr>
        <w:tc>
          <w:tcPr>
            <w:tcW w:w="3200" w:type="dxa"/>
            <w:vAlign w:val="bottom"/>
            <w:tcBorders>
              <w:bottom w:val="single" w:sz="8" w:color="auto"/>
            </w:tcBorders>
          </w:tcPr>
          <w:p>
            <w:pPr>
              <w:spacing w:after="0"/>
              <w:rPr>
                <w:sz w:val="24"/>
                <w:szCs w:val="24"/>
                <w:color w:val="auto"/>
              </w:rPr>
            </w:pPr>
          </w:p>
        </w:tc>
        <w:tc>
          <w:tcPr>
            <w:tcW w:w="8280" w:type="dxa"/>
            <w:vAlign w:val="bottom"/>
            <w:tcBorders>
              <w:bottom w:val="single" w:sz="8" w:color="auto"/>
            </w:tcBorders>
          </w:tcPr>
          <w:p>
            <w:pPr>
              <w:spacing w:after="0"/>
              <w:rPr>
                <w:sz w:val="24"/>
                <w:szCs w:val="24"/>
                <w:color w:val="auto"/>
              </w:rPr>
            </w:pPr>
          </w:p>
        </w:tc>
      </w:tr>
    </w:tbl>
    <w:p>
      <w:pPr>
        <w:sectPr>
          <w:pgSz w:w="11900" w:h="16838" w:orient="portrait"/>
          <w:cols w:equalWidth="0" w:num="1">
            <w:col w:w="11480"/>
          </w:cols>
          <w:pgMar w:left="220" w:top="126" w:right="199" w:bottom="1440" w:gutter="0" w:footer="0" w:header="0"/>
        </w:sectPr>
      </w:pPr>
    </w:p>
    <w:bookmarkStart w:id="238" w:name="page239"/>
    <w:bookmarkEnd w:id="238"/>
    <w:p>
      <w:pPr>
        <w:jc w:val="right"/>
        <w:spacing w:after="0"/>
        <w:rPr>
          <w:sz w:val="20"/>
          <w:szCs w:val="20"/>
          <w:color w:val="auto"/>
        </w:rPr>
      </w:pPr>
      <w:r>
        <w:rPr>
          <w:rFonts w:ascii="Arial" w:cs="Arial" w:eastAsia="Arial" w:hAnsi="Arial"/>
          <w:sz w:val="15"/>
          <w:szCs w:val="15"/>
          <w:b w:val="1"/>
          <w:bCs w:val="1"/>
          <w:color w:val="auto"/>
        </w:rPr>
        <w:t>Exhibit 11.1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2809875</wp:posOffset>
            </wp:positionH>
            <wp:positionV relativeFrom="paragraph">
              <wp:posOffset>239395</wp:posOffset>
            </wp:positionV>
            <wp:extent cx="1662430" cy="807085"/>
            <wp:wrapNone/>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407">
                      <a:extLst>
                        <a:ext uri="{28A0092B-C50C-407E-A947-70E740481C1C}"/>
                      </a:extLst>
                    </a:blip>
                    <a:srcRect/>
                    <a:stretch>
                      <a:fillRect/>
                    </a:stretch>
                  </pic:blipFill>
                  <pic:spPr bwMode="auto">
                    <a:xfrm>
                      <a:off x="0" y="0"/>
                      <a:ext cx="1662430" cy="80708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1" w:lineRule="exact"/>
        <w:rPr>
          <w:sz w:val="20"/>
          <w:szCs w:val="20"/>
          <w:color w:val="auto"/>
        </w:rPr>
      </w:pPr>
    </w:p>
    <w:p>
      <w:pPr>
        <w:jc w:val="center"/>
        <w:spacing w:after="0"/>
        <w:rPr>
          <w:sz w:val="20"/>
          <w:szCs w:val="20"/>
          <w:color w:val="auto"/>
        </w:rPr>
      </w:pPr>
      <w:r>
        <w:rPr>
          <w:rFonts w:ascii="Arial" w:cs="Arial" w:eastAsia="Arial" w:hAnsi="Arial"/>
          <w:sz w:val="31"/>
          <w:szCs w:val="31"/>
          <w:b w:val="1"/>
          <w:bCs w:val="1"/>
          <w:color w:val="auto"/>
        </w:rPr>
        <w:t>CODE OF ETHICS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UPDATED: April 2019</w:t>
      </w:r>
    </w:p>
    <w:p>
      <w:pPr>
        <w:spacing w:after="0" w:line="163" w:lineRule="exact"/>
        <w:rPr>
          <w:sz w:val="20"/>
          <w:szCs w:val="20"/>
          <w:color w:val="auto"/>
        </w:rPr>
      </w:pPr>
    </w:p>
    <w:p>
      <w:pPr>
        <w:spacing w:after="0"/>
        <w:rPr>
          <w:sz w:val="20"/>
          <w:szCs w:val="20"/>
          <w:color w:val="auto"/>
        </w:rPr>
      </w:pPr>
      <w:r>
        <w:rPr>
          <w:rFonts w:ascii="Arial" w:cs="Arial" w:eastAsia="Arial" w:hAnsi="Arial"/>
          <w:sz w:val="13"/>
          <w:szCs w:val="13"/>
          <w:color w:val="auto"/>
        </w:rPr>
        <w:t>Approved by the Board of Directors at their meeting held on April 16th, 2019, as stated in the respective minutes.</w:t>
      </w:r>
    </w:p>
    <w:p>
      <w:pPr>
        <w:spacing w:after="0" w:line="313" w:lineRule="exact"/>
        <w:rPr>
          <w:sz w:val="20"/>
          <w:szCs w:val="20"/>
          <w:color w:val="auto"/>
        </w:rPr>
      </w:pPr>
    </w:p>
    <w:p>
      <w:pPr>
        <w:jc w:val="right"/>
        <w:spacing w:after="0"/>
        <w:rPr>
          <w:sz w:val="20"/>
          <w:szCs w:val="20"/>
          <w:color w:val="auto"/>
        </w:rPr>
      </w:pPr>
      <w:r>
        <w:rPr>
          <w:rFonts w:ascii="Arial" w:cs="Arial" w:eastAsia="Arial" w:hAnsi="Arial"/>
          <w:sz w:val="13"/>
          <w:szCs w:val="13"/>
          <w:color w:val="auto"/>
        </w:rPr>
        <w:t>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40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292" w:right="199" w:bottom="1440" w:gutter="0" w:footer="0" w:header="0"/>
        </w:sectPr>
      </w:pPr>
    </w:p>
    <w:bookmarkStart w:id="239" w:name="page240"/>
    <w:bookmarkEnd w:id="239"/>
    <w:p>
      <w:pPr>
        <w:jc w:val="center"/>
        <w:spacing w:after="0"/>
        <w:rPr>
          <w:sz w:val="20"/>
          <w:szCs w:val="20"/>
          <w:color w:val="auto"/>
        </w:rPr>
      </w:pPr>
      <w:r>
        <w:rPr>
          <w:rFonts w:ascii="Arial" w:cs="Arial" w:eastAsia="Arial" w:hAnsi="Arial"/>
          <w:sz w:val="13"/>
          <w:szCs w:val="13"/>
          <w:b w:val="1"/>
          <w:bCs w:val="1"/>
          <w:color w:val="auto"/>
        </w:rPr>
        <w:t>PROLOGUE</w:t>
      </w:r>
    </w:p>
    <w:p>
      <w:pPr>
        <w:spacing w:after="0" w:line="163" w:lineRule="exact"/>
        <w:rPr>
          <w:sz w:val="20"/>
          <w:szCs w:val="20"/>
          <w:color w:val="auto"/>
        </w:rPr>
      </w:pPr>
    </w:p>
    <w:p>
      <w:pPr>
        <w:jc w:val="both"/>
        <w:ind w:right="20"/>
        <w:spacing w:after="0" w:line="254" w:lineRule="auto"/>
        <w:rPr>
          <w:sz w:val="20"/>
          <w:szCs w:val="20"/>
          <w:color w:val="auto"/>
        </w:rPr>
      </w:pPr>
      <w:r>
        <w:rPr>
          <w:rFonts w:ascii="Arial" w:cs="Arial" w:eastAsia="Arial" w:hAnsi="Arial"/>
          <w:sz w:val="13"/>
          <w:szCs w:val="13"/>
          <w:color w:val="auto"/>
        </w:rPr>
        <w:t>This Code of Ethics (hereinafter referred to as the “Code” of Banco Latinoamericano de Comercio Exterior, S.A. (Foreign Trade Bank of Latin America, Inc., hereinafter also called “Bladex” the “Bank”, the “Institution”, the “Organization” or “us”) contains the general principles and policies that should guide the ethical-professional conduct of the Organization’s Employees and Directors. Its objective is to uphold the values that are fundamental for a proper conduct of the Institution’s business and management, in line with the principles and values of the Bank that, as a regional Bank, with a shareholding structure representing both the public and the private sectors, conjugates a series of interests that require guidelines for undertaking its business and activities.</w:t>
      </w:r>
    </w:p>
    <w:p>
      <w:pPr>
        <w:spacing w:after="0" w:line="137"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It is essential for the Institution to have a clear direction of the Organization in line with the fundamental principles and values of human beings and the environment in which we operate; hence this Code aims to define the action framework that would enable us to attain such commitment. People and work become one, discarding any duality or incoherence between the work and individual behavior in the concrete undertaking of business and vis-à-vis the shareholders.</w:t>
      </w:r>
    </w:p>
    <w:p>
      <w:pPr>
        <w:spacing w:after="0" w:line="136"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The Bank’s Customers should not only receive products of an adequate quality according to their price, but also an honest, transparent and trustworthy treatment. Each shareholder, in turn, deserves to receive, from Bladex, a precise, timely and transparent accounting. The Institution has a moral responsibility to look after the interests of all those involved in its activities, even more so when considering that we are a financial entity that depends on the trust people have placed in us.</w:t>
      </w:r>
    </w:p>
    <w:p>
      <w:pPr>
        <w:spacing w:after="0" w:line="136"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The Bank is a company that works with the money and securities of third parties, a particularity that requires trust and honesty in each of its functions, both toward the inside as well as to the outside of the Organization. The relationship between the Bank and its Shareholders, Employees, Customers, Suppliers and its social environment is based on trust, correctness and honesty, which will make it possible for all participants in the system to trust each other.</w:t>
      </w:r>
    </w:p>
    <w:p>
      <w:pPr>
        <w:spacing w:after="0" w:line="136"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This trust depends on the way that Bladex members put the Organization’s values in practice when they go about their jobs, thus extolling the high ethical standards being promoted by Bladex, the preservation of the confidentiality of its Customers’ information, the avoidance of conflicts of interest and the compliance with the laws and regulations governing the Bank’s activities.</w:t>
      </w:r>
    </w:p>
    <w:p>
      <w:pPr>
        <w:spacing w:after="0" w:line="129" w:lineRule="exact"/>
        <w:rPr>
          <w:sz w:val="20"/>
          <w:szCs w:val="20"/>
          <w:color w:val="auto"/>
        </w:rPr>
      </w:pPr>
    </w:p>
    <w:p>
      <w:pPr>
        <w:jc w:val="both"/>
        <w:spacing w:after="0" w:line="252" w:lineRule="auto"/>
        <w:rPr>
          <w:sz w:val="20"/>
          <w:szCs w:val="20"/>
          <w:color w:val="auto"/>
        </w:rPr>
      </w:pPr>
      <w:r>
        <w:rPr>
          <w:rFonts w:ascii="Arial" w:cs="Arial" w:eastAsia="Arial" w:hAnsi="Arial"/>
          <w:sz w:val="13"/>
          <w:szCs w:val="13"/>
          <w:color w:val="auto"/>
        </w:rPr>
        <w:t>Bladex does neither finance any business, nor intents to get into any business relationship with financial institutions or companies that do not follow such ethical standards, nor with those of which we are aware of their participation in unlawful or degrading businesses or such business as may go against public security or be harmful to the environment or that may not fully comply with current legal dispositions in force. We uphold a policy of complete rejection of and auto-protection against, any activities that may be linked to money laundering, the financing of terrorism, the financing of the proliferation of weapons of mass destruction, fraud, graft, corruption or similar practices, whatever their derivation may be and it is the obligation of each member of this Organization to join forces with the different actions being promoted in that sense for monitoring, detecting or helping to identify and reject any activity that might violate this Policy.</w:t>
      </w:r>
    </w:p>
    <w:p>
      <w:pPr>
        <w:spacing w:after="0" w:line="293" w:lineRule="exact"/>
        <w:rPr>
          <w:sz w:val="20"/>
          <w:szCs w:val="20"/>
          <w:color w:val="auto"/>
        </w:rPr>
      </w:pPr>
    </w:p>
    <w:p>
      <w:pPr>
        <w:jc w:val="right"/>
        <w:spacing w:after="0"/>
        <w:rPr>
          <w:sz w:val="20"/>
          <w:szCs w:val="20"/>
          <w:color w:val="auto"/>
        </w:rPr>
      </w:pPr>
      <w:r>
        <w:rPr>
          <w:rFonts w:ascii="Arial" w:cs="Arial" w:eastAsia="Arial" w:hAnsi="Arial"/>
          <w:sz w:val="13"/>
          <w:szCs w:val="13"/>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40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5" w:right="199" w:bottom="1440" w:gutter="0" w:footer="0" w:header="0"/>
        </w:sectPr>
      </w:pPr>
    </w:p>
    <w:bookmarkStart w:id="240" w:name="page241"/>
    <w:bookmarkEnd w:id="240"/>
    <w:p>
      <w:pPr>
        <w:ind w:right="20"/>
        <w:spacing w:after="0" w:line="267" w:lineRule="auto"/>
        <w:rPr>
          <w:sz w:val="20"/>
          <w:szCs w:val="20"/>
          <w:color w:val="auto"/>
        </w:rPr>
      </w:pPr>
      <w:r>
        <w:rPr>
          <w:rFonts w:ascii="Arial" w:cs="Arial" w:eastAsia="Arial" w:hAnsi="Arial"/>
          <w:sz w:val="13"/>
          <w:szCs w:val="13"/>
          <w:color w:val="auto"/>
        </w:rPr>
        <w:t>For certain specific matters that require detailed regulations, the norms of this Code shall be developed or complemented with those set forth in the manuals, policies and guidelines that are currently in force, as they may be revised from time to time, or as they may be issued in future.</w:t>
      </w:r>
    </w:p>
    <w:p>
      <w:pPr>
        <w:spacing w:after="0" w:line="283" w:lineRule="exact"/>
        <w:rPr>
          <w:sz w:val="20"/>
          <w:szCs w:val="20"/>
          <w:color w:val="auto"/>
        </w:rPr>
      </w:pPr>
    </w:p>
    <w:p>
      <w:pPr>
        <w:jc w:val="right"/>
        <w:spacing w:after="0"/>
        <w:rPr>
          <w:sz w:val="20"/>
          <w:szCs w:val="20"/>
          <w:color w:val="auto"/>
        </w:rPr>
      </w:pPr>
      <w:r>
        <w:rPr>
          <w:rFonts w:ascii="Arial" w:cs="Arial" w:eastAsia="Arial" w:hAnsi="Arial"/>
          <w:sz w:val="13"/>
          <w:szCs w:val="13"/>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41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241" w:name="page242"/>
    <w:bookmarkEnd w:id="241"/>
    <w:tbl>
      <w:tblPr>
        <w:tblLayout w:type="fixed"/>
        <w:tblInd w:w="0" w:type="dxa"/>
        <w:tblCellMar>
          <w:top w:w="0" w:type="dxa"/>
          <w:left w:w="0" w:type="dxa"/>
          <w:bottom w:w="0" w:type="dxa"/>
          <w:right w:w="0" w:type="dxa"/>
        </w:tblCellMar>
      </w:tblPr>
      <w:tr>
        <w:trPr>
          <w:trHeight w:val="162"/>
        </w:trPr>
        <w:tc>
          <w:tcPr>
            <w:tcW w:w="9300" w:type="dxa"/>
            <w:vAlign w:val="bottom"/>
          </w:tcPr>
          <w:p>
            <w:pPr>
              <w:spacing w:after="0"/>
              <w:rPr>
                <w:sz w:val="20"/>
                <w:szCs w:val="20"/>
                <w:color w:val="auto"/>
              </w:rPr>
            </w:pPr>
            <w:r>
              <w:rPr>
                <w:rFonts w:ascii="Arial" w:cs="Arial" w:eastAsia="Arial" w:hAnsi="Arial"/>
                <w:sz w:val="13"/>
                <w:szCs w:val="13"/>
                <w:color w:val="365F91"/>
              </w:rPr>
              <w:t>Contents</w:t>
            </w:r>
          </w:p>
        </w:tc>
        <w:tc>
          <w:tcPr>
            <w:tcW w:w="2180" w:type="dxa"/>
            <w:vAlign w:val="bottom"/>
          </w:tcPr>
          <w:p>
            <w:pPr>
              <w:spacing w:after="0"/>
              <w:rPr>
                <w:sz w:val="14"/>
                <w:szCs w:val="14"/>
                <w:color w:val="auto"/>
              </w:rPr>
            </w:pPr>
          </w:p>
        </w:tc>
      </w:tr>
      <w:tr>
        <w:trPr>
          <w:trHeight w:val="144"/>
        </w:trPr>
        <w:tc>
          <w:tcPr>
            <w:tcW w:w="9300" w:type="dxa"/>
            <w:vAlign w:val="bottom"/>
          </w:tcPr>
          <w:p>
            <w:pPr>
              <w:spacing w:after="0" w:line="144" w:lineRule="exact"/>
              <w:rPr>
                <w:sz w:val="20"/>
                <w:szCs w:val="20"/>
                <w:color w:val="auto"/>
              </w:rPr>
            </w:pPr>
            <w:r>
              <w:rPr>
                <w:rFonts w:ascii="Arial" w:cs="Arial" w:eastAsia="Arial" w:hAnsi="Arial"/>
                <w:sz w:val="13"/>
                <w:szCs w:val="13"/>
                <w:color w:val="auto"/>
              </w:rPr>
              <w:t>I. INTRODUCTION</w:t>
            </w:r>
          </w:p>
        </w:tc>
        <w:tc>
          <w:tcPr>
            <w:tcW w:w="2180" w:type="dxa"/>
            <w:vAlign w:val="bottom"/>
          </w:tcPr>
          <w:p>
            <w:pPr>
              <w:jc w:val="right"/>
              <w:spacing w:after="0" w:line="144" w:lineRule="exact"/>
              <w:rPr>
                <w:sz w:val="20"/>
                <w:szCs w:val="20"/>
                <w:color w:val="auto"/>
              </w:rPr>
            </w:pPr>
            <w:r>
              <w:rPr>
                <w:rFonts w:ascii="Arial" w:cs="Arial" w:eastAsia="Arial" w:hAnsi="Arial"/>
                <w:sz w:val="13"/>
                <w:szCs w:val="13"/>
                <w:color w:val="auto"/>
              </w:rPr>
              <w:t>5</w:t>
            </w:r>
          </w:p>
        </w:tc>
      </w:tr>
      <w:tr>
        <w:trPr>
          <w:trHeight w:val="144"/>
        </w:trPr>
        <w:tc>
          <w:tcPr>
            <w:tcW w:w="9300" w:type="dxa"/>
            <w:vAlign w:val="bottom"/>
          </w:tcPr>
          <w:p>
            <w:pPr>
              <w:ind w:left="140"/>
              <w:spacing w:after="0" w:line="144" w:lineRule="exact"/>
              <w:rPr>
                <w:sz w:val="20"/>
                <w:szCs w:val="20"/>
                <w:color w:val="auto"/>
              </w:rPr>
            </w:pPr>
            <w:r>
              <w:rPr>
                <w:rFonts w:ascii="Arial" w:cs="Arial" w:eastAsia="Arial" w:hAnsi="Arial"/>
                <w:sz w:val="13"/>
                <w:szCs w:val="13"/>
                <w:color w:val="auto"/>
              </w:rPr>
              <w:t>General Principles and Objectives</w:t>
            </w:r>
          </w:p>
        </w:tc>
        <w:tc>
          <w:tcPr>
            <w:tcW w:w="2180" w:type="dxa"/>
            <w:vAlign w:val="bottom"/>
          </w:tcPr>
          <w:p>
            <w:pPr>
              <w:jc w:val="right"/>
              <w:spacing w:after="0" w:line="144" w:lineRule="exact"/>
              <w:rPr>
                <w:sz w:val="20"/>
                <w:szCs w:val="20"/>
                <w:color w:val="auto"/>
              </w:rPr>
            </w:pPr>
            <w:r>
              <w:rPr>
                <w:rFonts w:ascii="Arial" w:cs="Arial" w:eastAsia="Arial" w:hAnsi="Arial"/>
                <w:sz w:val="13"/>
                <w:szCs w:val="13"/>
                <w:color w:val="auto"/>
              </w:rPr>
              <w:t>5</w:t>
            </w:r>
          </w:p>
        </w:tc>
      </w:tr>
      <w:tr>
        <w:trPr>
          <w:trHeight w:val="144"/>
        </w:trPr>
        <w:tc>
          <w:tcPr>
            <w:tcW w:w="9300" w:type="dxa"/>
            <w:vAlign w:val="bottom"/>
          </w:tcPr>
          <w:p>
            <w:pPr>
              <w:spacing w:after="0" w:line="144" w:lineRule="exact"/>
              <w:rPr>
                <w:sz w:val="20"/>
                <w:szCs w:val="20"/>
                <w:color w:val="auto"/>
              </w:rPr>
            </w:pPr>
            <w:r>
              <w:rPr>
                <w:rFonts w:ascii="Arial" w:cs="Arial" w:eastAsia="Arial" w:hAnsi="Arial"/>
                <w:sz w:val="13"/>
                <w:szCs w:val="13"/>
                <w:color w:val="auto"/>
              </w:rPr>
              <w:t>II. PERSONS SUBJECT TO THIS CODE COMPLIANCE</w:t>
            </w:r>
          </w:p>
        </w:tc>
        <w:tc>
          <w:tcPr>
            <w:tcW w:w="2180" w:type="dxa"/>
            <w:vAlign w:val="bottom"/>
          </w:tcPr>
          <w:p>
            <w:pPr>
              <w:jc w:val="right"/>
              <w:spacing w:after="0" w:line="144" w:lineRule="exact"/>
              <w:rPr>
                <w:sz w:val="20"/>
                <w:szCs w:val="20"/>
                <w:color w:val="auto"/>
              </w:rPr>
            </w:pPr>
            <w:r>
              <w:rPr>
                <w:rFonts w:ascii="Arial" w:cs="Arial" w:eastAsia="Arial" w:hAnsi="Arial"/>
                <w:sz w:val="13"/>
                <w:szCs w:val="13"/>
                <w:color w:val="auto"/>
              </w:rPr>
              <w:t>6</w:t>
            </w:r>
          </w:p>
        </w:tc>
      </w:tr>
      <w:tr>
        <w:trPr>
          <w:trHeight w:val="144"/>
        </w:trPr>
        <w:tc>
          <w:tcPr>
            <w:tcW w:w="9300" w:type="dxa"/>
            <w:vAlign w:val="bottom"/>
          </w:tcPr>
          <w:p>
            <w:pPr>
              <w:spacing w:after="0" w:line="144" w:lineRule="exact"/>
              <w:rPr>
                <w:sz w:val="20"/>
                <w:szCs w:val="20"/>
                <w:color w:val="auto"/>
              </w:rPr>
            </w:pPr>
            <w:r>
              <w:rPr>
                <w:rFonts w:ascii="Arial" w:cs="Arial" w:eastAsia="Arial" w:hAnsi="Arial"/>
                <w:sz w:val="13"/>
                <w:szCs w:val="13"/>
                <w:color w:val="auto"/>
              </w:rPr>
              <w:t>III. FUNDAMENTAL PRINCIPLES</w:t>
            </w:r>
          </w:p>
        </w:tc>
        <w:tc>
          <w:tcPr>
            <w:tcW w:w="2180" w:type="dxa"/>
            <w:vAlign w:val="bottom"/>
          </w:tcPr>
          <w:p>
            <w:pPr>
              <w:jc w:val="right"/>
              <w:spacing w:after="0" w:line="144" w:lineRule="exact"/>
              <w:rPr>
                <w:sz w:val="20"/>
                <w:szCs w:val="20"/>
                <w:color w:val="auto"/>
              </w:rPr>
            </w:pPr>
            <w:r>
              <w:rPr>
                <w:rFonts w:ascii="Arial" w:cs="Arial" w:eastAsia="Arial" w:hAnsi="Arial"/>
                <w:sz w:val="13"/>
                <w:szCs w:val="13"/>
                <w:color w:val="auto"/>
              </w:rPr>
              <w:t>6</w:t>
            </w:r>
          </w:p>
        </w:tc>
      </w:tr>
      <w:tr>
        <w:trPr>
          <w:trHeight w:val="144"/>
        </w:trPr>
        <w:tc>
          <w:tcPr>
            <w:tcW w:w="9300" w:type="dxa"/>
            <w:vAlign w:val="bottom"/>
          </w:tcPr>
          <w:p>
            <w:pPr>
              <w:ind w:left="140"/>
              <w:spacing w:after="0" w:line="144" w:lineRule="exact"/>
              <w:rPr>
                <w:sz w:val="20"/>
                <w:szCs w:val="20"/>
                <w:color w:val="auto"/>
              </w:rPr>
            </w:pPr>
            <w:r>
              <w:rPr>
                <w:rFonts w:ascii="Arial" w:cs="Arial" w:eastAsia="Arial" w:hAnsi="Arial"/>
                <w:sz w:val="13"/>
                <w:szCs w:val="13"/>
                <w:color w:val="auto"/>
              </w:rPr>
              <w:t>III.1. Personal Finances</w:t>
            </w:r>
          </w:p>
        </w:tc>
        <w:tc>
          <w:tcPr>
            <w:tcW w:w="2180" w:type="dxa"/>
            <w:vAlign w:val="bottom"/>
          </w:tcPr>
          <w:p>
            <w:pPr>
              <w:jc w:val="right"/>
              <w:spacing w:after="0" w:line="144" w:lineRule="exact"/>
              <w:rPr>
                <w:sz w:val="20"/>
                <w:szCs w:val="20"/>
                <w:color w:val="auto"/>
              </w:rPr>
            </w:pPr>
            <w:r>
              <w:rPr>
                <w:rFonts w:ascii="Arial" w:cs="Arial" w:eastAsia="Arial" w:hAnsi="Arial"/>
                <w:sz w:val="13"/>
                <w:szCs w:val="13"/>
                <w:color w:val="auto"/>
              </w:rPr>
              <w:t>6</w:t>
            </w:r>
          </w:p>
        </w:tc>
      </w:tr>
      <w:tr>
        <w:trPr>
          <w:trHeight w:val="144"/>
        </w:trPr>
        <w:tc>
          <w:tcPr>
            <w:tcW w:w="9300" w:type="dxa"/>
            <w:vAlign w:val="bottom"/>
          </w:tcPr>
          <w:p>
            <w:pPr>
              <w:ind w:left="140"/>
              <w:spacing w:after="0" w:line="144" w:lineRule="exact"/>
              <w:rPr>
                <w:sz w:val="20"/>
                <w:szCs w:val="20"/>
                <w:color w:val="auto"/>
              </w:rPr>
            </w:pPr>
            <w:r>
              <w:rPr>
                <w:rFonts w:ascii="Arial" w:cs="Arial" w:eastAsia="Arial" w:hAnsi="Arial"/>
                <w:sz w:val="13"/>
                <w:szCs w:val="13"/>
                <w:color w:val="auto"/>
              </w:rPr>
              <w:t>III.2. Conflicts of Interest</w:t>
            </w:r>
          </w:p>
        </w:tc>
        <w:tc>
          <w:tcPr>
            <w:tcW w:w="2180" w:type="dxa"/>
            <w:vAlign w:val="bottom"/>
          </w:tcPr>
          <w:p>
            <w:pPr>
              <w:jc w:val="right"/>
              <w:spacing w:after="0" w:line="144" w:lineRule="exact"/>
              <w:rPr>
                <w:sz w:val="20"/>
                <w:szCs w:val="20"/>
                <w:color w:val="auto"/>
              </w:rPr>
            </w:pPr>
            <w:r>
              <w:rPr>
                <w:rFonts w:ascii="Arial" w:cs="Arial" w:eastAsia="Arial" w:hAnsi="Arial"/>
                <w:sz w:val="13"/>
                <w:szCs w:val="13"/>
                <w:color w:val="auto"/>
              </w:rPr>
              <w:t>7</w:t>
            </w:r>
          </w:p>
        </w:tc>
      </w:tr>
      <w:tr>
        <w:trPr>
          <w:trHeight w:val="144"/>
        </w:trPr>
        <w:tc>
          <w:tcPr>
            <w:tcW w:w="9300" w:type="dxa"/>
            <w:vAlign w:val="bottom"/>
          </w:tcPr>
          <w:p>
            <w:pPr>
              <w:ind w:left="280"/>
              <w:spacing w:after="0" w:line="144" w:lineRule="exact"/>
              <w:rPr>
                <w:sz w:val="20"/>
                <w:szCs w:val="20"/>
                <w:color w:val="auto"/>
              </w:rPr>
            </w:pPr>
            <w:r>
              <w:rPr>
                <w:rFonts w:ascii="Arial" w:cs="Arial" w:eastAsia="Arial" w:hAnsi="Arial"/>
                <w:sz w:val="13"/>
                <w:szCs w:val="13"/>
                <w:color w:val="auto"/>
              </w:rPr>
              <w:t>III.2.a. Transactions with Related Parties</w:t>
            </w:r>
          </w:p>
        </w:tc>
        <w:tc>
          <w:tcPr>
            <w:tcW w:w="2180" w:type="dxa"/>
            <w:vAlign w:val="bottom"/>
          </w:tcPr>
          <w:p>
            <w:pPr>
              <w:jc w:val="right"/>
              <w:spacing w:after="0" w:line="144" w:lineRule="exact"/>
              <w:rPr>
                <w:sz w:val="20"/>
                <w:szCs w:val="20"/>
                <w:color w:val="auto"/>
              </w:rPr>
            </w:pPr>
            <w:r>
              <w:rPr>
                <w:rFonts w:ascii="Arial" w:cs="Arial" w:eastAsia="Arial" w:hAnsi="Arial"/>
                <w:sz w:val="13"/>
                <w:szCs w:val="13"/>
                <w:color w:val="auto"/>
              </w:rPr>
              <w:t>7</w:t>
            </w:r>
          </w:p>
        </w:tc>
      </w:tr>
      <w:tr>
        <w:trPr>
          <w:trHeight w:val="144"/>
        </w:trPr>
        <w:tc>
          <w:tcPr>
            <w:tcW w:w="9300" w:type="dxa"/>
            <w:vAlign w:val="bottom"/>
          </w:tcPr>
          <w:p>
            <w:pPr>
              <w:ind w:left="280"/>
              <w:spacing w:after="0" w:line="144" w:lineRule="exact"/>
              <w:rPr>
                <w:sz w:val="20"/>
                <w:szCs w:val="20"/>
                <w:color w:val="auto"/>
              </w:rPr>
            </w:pPr>
            <w:r>
              <w:rPr>
                <w:rFonts w:ascii="Arial" w:cs="Arial" w:eastAsia="Arial" w:hAnsi="Arial"/>
                <w:sz w:val="13"/>
                <w:szCs w:val="13"/>
                <w:color w:val="auto"/>
              </w:rPr>
              <w:t>III.2.b. Invitations and Gifts</w:t>
            </w:r>
          </w:p>
        </w:tc>
        <w:tc>
          <w:tcPr>
            <w:tcW w:w="2180" w:type="dxa"/>
            <w:vAlign w:val="bottom"/>
          </w:tcPr>
          <w:p>
            <w:pPr>
              <w:jc w:val="right"/>
              <w:spacing w:after="0" w:line="144" w:lineRule="exact"/>
              <w:rPr>
                <w:sz w:val="20"/>
                <w:szCs w:val="20"/>
                <w:color w:val="auto"/>
              </w:rPr>
            </w:pPr>
            <w:r>
              <w:rPr>
                <w:rFonts w:ascii="Arial" w:cs="Arial" w:eastAsia="Arial" w:hAnsi="Arial"/>
                <w:sz w:val="13"/>
                <w:szCs w:val="13"/>
                <w:color w:val="auto"/>
              </w:rPr>
              <w:t>7</w:t>
            </w:r>
          </w:p>
        </w:tc>
      </w:tr>
      <w:tr>
        <w:trPr>
          <w:trHeight w:val="144"/>
        </w:trPr>
        <w:tc>
          <w:tcPr>
            <w:tcW w:w="9300" w:type="dxa"/>
            <w:vAlign w:val="bottom"/>
          </w:tcPr>
          <w:p>
            <w:pPr>
              <w:ind w:left="280"/>
              <w:spacing w:after="0" w:line="144" w:lineRule="exact"/>
              <w:rPr>
                <w:sz w:val="20"/>
                <w:szCs w:val="20"/>
                <w:color w:val="auto"/>
              </w:rPr>
            </w:pPr>
            <w:r>
              <w:rPr>
                <w:rFonts w:ascii="Arial" w:cs="Arial" w:eastAsia="Arial" w:hAnsi="Arial"/>
                <w:sz w:val="13"/>
                <w:szCs w:val="13"/>
                <w:color w:val="auto"/>
              </w:rPr>
              <w:t>III.2.c. Corporate Gift and Gift Delivery</w:t>
            </w:r>
          </w:p>
        </w:tc>
        <w:tc>
          <w:tcPr>
            <w:tcW w:w="2180" w:type="dxa"/>
            <w:vAlign w:val="bottom"/>
          </w:tcPr>
          <w:p>
            <w:pPr>
              <w:jc w:val="right"/>
              <w:spacing w:after="0" w:line="144" w:lineRule="exact"/>
              <w:rPr>
                <w:sz w:val="20"/>
                <w:szCs w:val="20"/>
                <w:color w:val="auto"/>
              </w:rPr>
            </w:pPr>
            <w:r>
              <w:rPr>
                <w:rFonts w:ascii="Arial" w:cs="Arial" w:eastAsia="Arial" w:hAnsi="Arial"/>
                <w:sz w:val="13"/>
                <w:szCs w:val="13"/>
                <w:color w:val="auto"/>
              </w:rPr>
              <w:t>8</w:t>
            </w:r>
          </w:p>
        </w:tc>
      </w:tr>
      <w:tr>
        <w:trPr>
          <w:trHeight w:val="144"/>
        </w:trPr>
        <w:tc>
          <w:tcPr>
            <w:tcW w:w="9300" w:type="dxa"/>
            <w:vAlign w:val="bottom"/>
          </w:tcPr>
          <w:p>
            <w:pPr>
              <w:ind w:left="280"/>
              <w:spacing w:after="0" w:line="144" w:lineRule="exact"/>
              <w:rPr>
                <w:sz w:val="20"/>
                <w:szCs w:val="20"/>
                <w:color w:val="auto"/>
              </w:rPr>
            </w:pPr>
            <w:r>
              <w:rPr>
                <w:rFonts w:ascii="Arial" w:cs="Arial" w:eastAsia="Arial" w:hAnsi="Arial"/>
                <w:sz w:val="13"/>
                <w:szCs w:val="13"/>
                <w:color w:val="auto"/>
              </w:rPr>
              <w:t>III.2.d. Relationship with Suppliers</w:t>
            </w:r>
          </w:p>
        </w:tc>
        <w:tc>
          <w:tcPr>
            <w:tcW w:w="2180" w:type="dxa"/>
            <w:vAlign w:val="bottom"/>
          </w:tcPr>
          <w:p>
            <w:pPr>
              <w:jc w:val="right"/>
              <w:spacing w:after="0" w:line="144" w:lineRule="exact"/>
              <w:rPr>
                <w:sz w:val="20"/>
                <w:szCs w:val="20"/>
                <w:color w:val="auto"/>
              </w:rPr>
            </w:pPr>
            <w:r>
              <w:rPr>
                <w:rFonts w:ascii="Arial" w:cs="Arial" w:eastAsia="Arial" w:hAnsi="Arial"/>
                <w:sz w:val="13"/>
                <w:szCs w:val="13"/>
                <w:color w:val="auto"/>
              </w:rPr>
              <w:t>8</w:t>
            </w:r>
          </w:p>
        </w:tc>
      </w:tr>
      <w:tr>
        <w:trPr>
          <w:trHeight w:val="144"/>
        </w:trPr>
        <w:tc>
          <w:tcPr>
            <w:tcW w:w="9300" w:type="dxa"/>
            <w:vAlign w:val="bottom"/>
          </w:tcPr>
          <w:p>
            <w:pPr>
              <w:ind w:left="280"/>
              <w:spacing w:after="0" w:line="144" w:lineRule="exact"/>
              <w:rPr>
                <w:sz w:val="20"/>
                <w:szCs w:val="20"/>
                <w:color w:val="auto"/>
              </w:rPr>
            </w:pPr>
            <w:r>
              <w:rPr>
                <w:rFonts w:ascii="Arial" w:cs="Arial" w:eastAsia="Arial" w:hAnsi="Arial"/>
                <w:sz w:val="13"/>
                <w:szCs w:val="13"/>
                <w:color w:val="auto"/>
              </w:rPr>
              <w:t>III.2.e. Travel Per-Diem and Expenses to be Reported</w:t>
            </w:r>
          </w:p>
        </w:tc>
        <w:tc>
          <w:tcPr>
            <w:tcW w:w="2180" w:type="dxa"/>
            <w:vAlign w:val="bottom"/>
          </w:tcPr>
          <w:p>
            <w:pPr>
              <w:jc w:val="right"/>
              <w:spacing w:after="0" w:line="144" w:lineRule="exact"/>
              <w:rPr>
                <w:sz w:val="20"/>
                <w:szCs w:val="20"/>
                <w:color w:val="auto"/>
              </w:rPr>
            </w:pPr>
            <w:r>
              <w:rPr>
                <w:rFonts w:ascii="Arial" w:cs="Arial" w:eastAsia="Arial" w:hAnsi="Arial"/>
                <w:sz w:val="13"/>
                <w:szCs w:val="13"/>
                <w:color w:val="auto"/>
              </w:rPr>
              <w:t>8</w:t>
            </w:r>
          </w:p>
        </w:tc>
      </w:tr>
      <w:tr>
        <w:trPr>
          <w:trHeight w:val="144"/>
        </w:trPr>
        <w:tc>
          <w:tcPr>
            <w:tcW w:w="9300" w:type="dxa"/>
            <w:vAlign w:val="bottom"/>
          </w:tcPr>
          <w:p>
            <w:pPr>
              <w:ind w:left="280"/>
              <w:spacing w:after="0" w:line="144" w:lineRule="exact"/>
              <w:rPr>
                <w:sz w:val="20"/>
                <w:szCs w:val="20"/>
                <w:color w:val="auto"/>
              </w:rPr>
            </w:pPr>
            <w:r>
              <w:rPr>
                <w:rFonts w:ascii="Arial" w:cs="Arial" w:eastAsia="Arial" w:hAnsi="Arial"/>
                <w:sz w:val="13"/>
                <w:szCs w:val="13"/>
                <w:color w:val="auto"/>
              </w:rPr>
              <w:t>III.2.f. Use of insider information and other related aspects</w:t>
            </w:r>
          </w:p>
        </w:tc>
        <w:tc>
          <w:tcPr>
            <w:tcW w:w="2180" w:type="dxa"/>
            <w:vAlign w:val="bottom"/>
          </w:tcPr>
          <w:p>
            <w:pPr>
              <w:jc w:val="right"/>
              <w:spacing w:after="0" w:line="144" w:lineRule="exact"/>
              <w:rPr>
                <w:sz w:val="20"/>
                <w:szCs w:val="20"/>
                <w:color w:val="auto"/>
              </w:rPr>
            </w:pPr>
            <w:r>
              <w:rPr>
                <w:rFonts w:ascii="Arial" w:cs="Arial" w:eastAsia="Arial" w:hAnsi="Arial"/>
                <w:sz w:val="13"/>
                <w:szCs w:val="13"/>
                <w:color w:val="auto"/>
              </w:rPr>
              <w:t>9</w:t>
            </w:r>
          </w:p>
        </w:tc>
      </w:tr>
      <w:tr>
        <w:trPr>
          <w:trHeight w:val="144"/>
        </w:trPr>
        <w:tc>
          <w:tcPr>
            <w:tcW w:w="9300" w:type="dxa"/>
            <w:vAlign w:val="bottom"/>
          </w:tcPr>
          <w:p>
            <w:pPr>
              <w:ind w:left="280"/>
              <w:spacing w:after="0" w:line="144" w:lineRule="exact"/>
              <w:rPr>
                <w:sz w:val="20"/>
                <w:szCs w:val="20"/>
                <w:color w:val="auto"/>
              </w:rPr>
            </w:pPr>
            <w:r>
              <w:rPr>
                <w:rFonts w:ascii="Arial" w:cs="Arial" w:eastAsia="Arial" w:hAnsi="Arial"/>
                <w:sz w:val="13"/>
                <w:szCs w:val="13"/>
                <w:color w:val="auto"/>
              </w:rPr>
              <w:t>III.2.g. Personal relationships with applicants.</w:t>
            </w:r>
          </w:p>
        </w:tc>
        <w:tc>
          <w:tcPr>
            <w:tcW w:w="2180" w:type="dxa"/>
            <w:vAlign w:val="bottom"/>
          </w:tcPr>
          <w:p>
            <w:pPr>
              <w:jc w:val="right"/>
              <w:spacing w:after="0" w:line="144" w:lineRule="exact"/>
              <w:rPr>
                <w:sz w:val="20"/>
                <w:szCs w:val="20"/>
                <w:color w:val="auto"/>
              </w:rPr>
            </w:pPr>
            <w:r>
              <w:rPr>
                <w:rFonts w:ascii="Arial" w:cs="Arial" w:eastAsia="Arial" w:hAnsi="Arial"/>
                <w:sz w:val="13"/>
                <w:szCs w:val="13"/>
                <w:color w:val="auto"/>
              </w:rPr>
              <w:t>12</w:t>
            </w:r>
          </w:p>
        </w:tc>
      </w:tr>
      <w:tr>
        <w:trPr>
          <w:trHeight w:val="144"/>
        </w:trPr>
        <w:tc>
          <w:tcPr>
            <w:tcW w:w="9300" w:type="dxa"/>
            <w:vAlign w:val="bottom"/>
          </w:tcPr>
          <w:p>
            <w:pPr>
              <w:ind w:left="140"/>
              <w:spacing w:after="0" w:line="144" w:lineRule="exact"/>
              <w:rPr>
                <w:sz w:val="20"/>
                <w:szCs w:val="20"/>
                <w:color w:val="auto"/>
              </w:rPr>
            </w:pPr>
            <w:r>
              <w:rPr>
                <w:rFonts w:ascii="Arial" w:cs="Arial" w:eastAsia="Arial" w:hAnsi="Arial"/>
                <w:sz w:val="13"/>
                <w:szCs w:val="13"/>
                <w:color w:val="auto"/>
              </w:rPr>
              <w:t>III.3. Handling Confidential Information</w:t>
            </w:r>
          </w:p>
        </w:tc>
        <w:tc>
          <w:tcPr>
            <w:tcW w:w="2180" w:type="dxa"/>
            <w:vAlign w:val="bottom"/>
          </w:tcPr>
          <w:p>
            <w:pPr>
              <w:jc w:val="right"/>
              <w:spacing w:after="0" w:line="144" w:lineRule="exact"/>
              <w:rPr>
                <w:sz w:val="20"/>
                <w:szCs w:val="20"/>
                <w:color w:val="auto"/>
              </w:rPr>
            </w:pPr>
            <w:r>
              <w:rPr>
                <w:rFonts w:ascii="Arial" w:cs="Arial" w:eastAsia="Arial" w:hAnsi="Arial"/>
                <w:sz w:val="13"/>
                <w:szCs w:val="13"/>
                <w:color w:val="auto"/>
              </w:rPr>
              <w:t>12</w:t>
            </w:r>
          </w:p>
        </w:tc>
      </w:tr>
      <w:tr>
        <w:trPr>
          <w:trHeight w:val="144"/>
        </w:trPr>
        <w:tc>
          <w:tcPr>
            <w:tcW w:w="9300" w:type="dxa"/>
            <w:vAlign w:val="bottom"/>
          </w:tcPr>
          <w:p>
            <w:pPr>
              <w:ind w:left="280"/>
              <w:spacing w:after="0" w:line="144" w:lineRule="exact"/>
              <w:rPr>
                <w:sz w:val="20"/>
                <w:szCs w:val="20"/>
                <w:color w:val="auto"/>
              </w:rPr>
            </w:pPr>
            <w:r>
              <w:rPr>
                <w:rFonts w:ascii="Arial" w:cs="Arial" w:eastAsia="Arial" w:hAnsi="Arial"/>
                <w:sz w:val="13"/>
                <w:szCs w:val="13"/>
                <w:color w:val="auto"/>
              </w:rPr>
              <w:t>III.3.a. Information safekeeping</w:t>
            </w:r>
          </w:p>
        </w:tc>
        <w:tc>
          <w:tcPr>
            <w:tcW w:w="2180" w:type="dxa"/>
            <w:vAlign w:val="bottom"/>
          </w:tcPr>
          <w:p>
            <w:pPr>
              <w:jc w:val="right"/>
              <w:spacing w:after="0" w:line="144" w:lineRule="exact"/>
              <w:rPr>
                <w:sz w:val="20"/>
                <w:szCs w:val="20"/>
                <w:color w:val="auto"/>
              </w:rPr>
            </w:pPr>
            <w:r>
              <w:rPr>
                <w:rFonts w:ascii="Arial" w:cs="Arial" w:eastAsia="Arial" w:hAnsi="Arial"/>
                <w:sz w:val="13"/>
                <w:szCs w:val="13"/>
                <w:color w:val="auto"/>
              </w:rPr>
              <w:t>12</w:t>
            </w:r>
          </w:p>
        </w:tc>
      </w:tr>
      <w:tr>
        <w:trPr>
          <w:trHeight w:val="144"/>
        </w:trPr>
        <w:tc>
          <w:tcPr>
            <w:tcW w:w="9300" w:type="dxa"/>
            <w:vAlign w:val="bottom"/>
          </w:tcPr>
          <w:p>
            <w:pPr>
              <w:ind w:left="280"/>
              <w:spacing w:after="0" w:line="144" w:lineRule="exact"/>
              <w:rPr>
                <w:sz w:val="20"/>
                <w:szCs w:val="20"/>
                <w:color w:val="auto"/>
              </w:rPr>
            </w:pPr>
            <w:r>
              <w:rPr>
                <w:rFonts w:ascii="Arial" w:cs="Arial" w:eastAsia="Arial" w:hAnsi="Arial"/>
                <w:sz w:val="13"/>
                <w:szCs w:val="13"/>
                <w:color w:val="auto"/>
              </w:rPr>
              <w:t>III.3.b. Restrictions on the flow of information</w:t>
            </w:r>
          </w:p>
        </w:tc>
        <w:tc>
          <w:tcPr>
            <w:tcW w:w="2180" w:type="dxa"/>
            <w:vAlign w:val="bottom"/>
          </w:tcPr>
          <w:p>
            <w:pPr>
              <w:jc w:val="right"/>
              <w:spacing w:after="0" w:line="144" w:lineRule="exact"/>
              <w:rPr>
                <w:sz w:val="20"/>
                <w:szCs w:val="20"/>
                <w:color w:val="auto"/>
              </w:rPr>
            </w:pPr>
            <w:r>
              <w:rPr>
                <w:rFonts w:ascii="Arial" w:cs="Arial" w:eastAsia="Arial" w:hAnsi="Arial"/>
                <w:sz w:val="13"/>
                <w:szCs w:val="13"/>
                <w:color w:val="auto"/>
              </w:rPr>
              <w:t>12</w:t>
            </w:r>
          </w:p>
        </w:tc>
      </w:tr>
      <w:tr>
        <w:trPr>
          <w:trHeight w:val="144"/>
        </w:trPr>
        <w:tc>
          <w:tcPr>
            <w:tcW w:w="9300" w:type="dxa"/>
            <w:vAlign w:val="bottom"/>
          </w:tcPr>
          <w:p>
            <w:pPr>
              <w:ind w:left="140"/>
              <w:spacing w:after="0" w:line="144" w:lineRule="exact"/>
              <w:rPr>
                <w:sz w:val="20"/>
                <w:szCs w:val="20"/>
                <w:color w:val="auto"/>
              </w:rPr>
            </w:pPr>
            <w:r>
              <w:rPr>
                <w:rFonts w:ascii="Arial" w:cs="Arial" w:eastAsia="Arial" w:hAnsi="Arial"/>
                <w:sz w:val="13"/>
                <w:szCs w:val="13"/>
                <w:color w:val="auto"/>
              </w:rPr>
              <w:t>III.4. Acting on behalf of Bladex</w:t>
            </w:r>
          </w:p>
        </w:tc>
        <w:tc>
          <w:tcPr>
            <w:tcW w:w="2180" w:type="dxa"/>
            <w:vAlign w:val="bottom"/>
          </w:tcPr>
          <w:p>
            <w:pPr>
              <w:jc w:val="right"/>
              <w:spacing w:after="0" w:line="144" w:lineRule="exact"/>
              <w:rPr>
                <w:sz w:val="20"/>
                <w:szCs w:val="20"/>
                <w:color w:val="auto"/>
              </w:rPr>
            </w:pPr>
            <w:r>
              <w:rPr>
                <w:rFonts w:ascii="Arial" w:cs="Arial" w:eastAsia="Arial" w:hAnsi="Arial"/>
                <w:sz w:val="13"/>
                <w:szCs w:val="13"/>
                <w:color w:val="auto"/>
              </w:rPr>
              <w:t>13</w:t>
            </w:r>
          </w:p>
        </w:tc>
      </w:tr>
      <w:tr>
        <w:trPr>
          <w:trHeight w:val="144"/>
        </w:trPr>
        <w:tc>
          <w:tcPr>
            <w:tcW w:w="9300" w:type="dxa"/>
            <w:vAlign w:val="bottom"/>
          </w:tcPr>
          <w:p>
            <w:pPr>
              <w:ind w:left="280"/>
              <w:spacing w:after="0" w:line="144" w:lineRule="exact"/>
              <w:rPr>
                <w:sz w:val="20"/>
                <w:szCs w:val="20"/>
                <w:color w:val="auto"/>
              </w:rPr>
            </w:pPr>
            <w:r>
              <w:rPr>
                <w:rFonts w:ascii="Arial" w:cs="Arial" w:eastAsia="Arial" w:hAnsi="Arial"/>
                <w:sz w:val="13"/>
                <w:szCs w:val="13"/>
                <w:color w:val="auto"/>
              </w:rPr>
              <w:t>III.4.a. Individual responsibility</w:t>
            </w:r>
          </w:p>
        </w:tc>
        <w:tc>
          <w:tcPr>
            <w:tcW w:w="2180" w:type="dxa"/>
            <w:vAlign w:val="bottom"/>
          </w:tcPr>
          <w:p>
            <w:pPr>
              <w:jc w:val="right"/>
              <w:spacing w:after="0" w:line="144" w:lineRule="exact"/>
              <w:rPr>
                <w:sz w:val="20"/>
                <w:szCs w:val="20"/>
                <w:color w:val="auto"/>
              </w:rPr>
            </w:pPr>
            <w:r>
              <w:rPr>
                <w:rFonts w:ascii="Arial" w:cs="Arial" w:eastAsia="Arial" w:hAnsi="Arial"/>
                <w:sz w:val="13"/>
                <w:szCs w:val="13"/>
                <w:color w:val="auto"/>
              </w:rPr>
              <w:t>13</w:t>
            </w:r>
          </w:p>
        </w:tc>
      </w:tr>
      <w:tr>
        <w:trPr>
          <w:trHeight w:val="144"/>
        </w:trPr>
        <w:tc>
          <w:tcPr>
            <w:tcW w:w="9300" w:type="dxa"/>
            <w:vAlign w:val="bottom"/>
          </w:tcPr>
          <w:p>
            <w:pPr>
              <w:ind w:left="280"/>
              <w:spacing w:after="0" w:line="144" w:lineRule="exact"/>
              <w:rPr>
                <w:sz w:val="20"/>
                <w:szCs w:val="20"/>
                <w:color w:val="auto"/>
              </w:rPr>
            </w:pPr>
            <w:r>
              <w:rPr>
                <w:rFonts w:ascii="Arial" w:cs="Arial" w:eastAsia="Arial" w:hAnsi="Arial"/>
                <w:sz w:val="13"/>
                <w:szCs w:val="13"/>
                <w:color w:val="auto"/>
              </w:rPr>
              <w:t>III.4.b. Job Responsibility</w:t>
            </w:r>
          </w:p>
        </w:tc>
        <w:tc>
          <w:tcPr>
            <w:tcW w:w="2180" w:type="dxa"/>
            <w:vAlign w:val="bottom"/>
          </w:tcPr>
          <w:p>
            <w:pPr>
              <w:jc w:val="right"/>
              <w:spacing w:after="0" w:line="144" w:lineRule="exact"/>
              <w:rPr>
                <w:sz w:val="20"/>
                <w:szCs w:val="20"/>
                <w:color w:val="auto"/>
              </w:rPr>
            </w:pPr>
            <w:r>
              <w:rPr>
                <w:rFonts w:ascii="Arial" w:cs="Arial" w:eastAsia="Arial" w:hAnsi="Arial"/>
                <w:sz w:val="13"/>
                <w:szCs w:val="13"/>
                <w:color w:val="auto"/>
              </w:rPr>
              <w:t>13</w:t>
            </w:r>
          </w:p>
        </w:tc>
      </w:tr>
      <w:tr>
        <w:trPr>
          <w:trHeight w:val="144"/>
        </w:trPr>
        <w:tc>
          <w:tcPr>
            <w:tcW w:w="9300" w:type="dxa"/>
            <w:vAlign w:val="bottom"/>
          </w:tcPr>
          <w:p>
            <w:pPr>
              <w:ind w:left="280"/>
              <w:spacing w:after="0" w:line="144" w:lineRule="exact"/>
              <w:rPr>
                <w:sz w:val="20"/>
                <w:szCs w:val="20"/>
                <w:color w:val="auto"/>
              </w:rPr>
            </w:pPr>
            <w:r>
              <w:rPr>
                <w:rFonts w:ascii="Arial" w:cs="Arial" w:eastAsia="Arial" w:hAnsi="Arial"/>
                <w:sz w:val="13"/>
                <w:szCs w:val="13"/>
                <w:color w:val="auto"/>
              </w:rPr>
              <w:t>III.4.c. Publications and Public Presentations</w:t>
            </w:r>
          </w:p>
        </w:tc>
        <w:tc>
          <w:tcPr>
            <w:tcW w:w="2180" w:type="dxa"/>
            <w:vAlign w:val="bottom"/>
          </w:tcPr>
          <w:p>
            <w:pPr>
              <w:jc w:val="right"/>
              <w:spacing w:after="0" w:line="144" w:lineRule="exact"/>
              <w:rPr>
                <w:sz w:val="20"/>
                <w:szCs w:val="20"/>
                <w:color w:val="auto"/>
              </w:rPr>
            </w:pPr>
            <w:r>
              <w:rPr>
                <w:rFonts w:ascii="Arial" w:cs="Arial" w:eastAsia="Arial" w:hAnsi="Arial"/>
                <w:sz w:val="13"/>
                <w:szCs w:val="13"/>
                <w:color w:val="auto"/>
              </w:rPr>
              <w:t>14</w:t>
            </w:r>
          </w:p>
        </w:tc>
      </w:tr>
      <w:tr>
        <w:trPr>
          <w:trHeight w:val="144"/>
        </w:trPr>
        <w:tc>
          <w:tcPr>
            <w:tcW w:w="9300" w:type="dxa"/>
            <w:vAlign w:val="bottom"/>
          </w:tcPr>
          <w:p>
            <w:pPr>
              <w:ind w:left="280"/>
              <w:spacing w:after="0" w:line="144" w:lineRule="exact"/>
              <w:rPr>
                <w:sz w:val="20"/>
                <w:szCs w:val="20"/>
                <w:color w:val="auto"/>
              </w:rPr>
            </w:pPr>
            <w:r>
              <w:rPr>
                <w:rFonts w:ascii="Arial" w:cs="Arial" w:eastAsia="Arial" w:hAnsi="Arial"/>
                <w:sz w:val="13"/>
                <w:szCs w:val="13"/>
                <w:color w:val="auto"/>
              </w:rPr>
              <w:t>III.4.d. Appointment to Public Office and other designations</w:t>
            </w:r>
          </w:p>
        </w:tc>
        <w:tc>
          <w:tcPr>
            <w:tcW w:w="2180" w:type="dxa"/>
            <w:vAlign w:val="bottom"/>
          </w:tcPr>
          <w:p>
            <w:pPr>
              <w:jc w:val="right"/>
              <w:spacing w:after="0" w:line="144" w:lineRule="exact"/>
              <w:rPr>
                <w:sz w:val="20"/>
                <w:szCs w:val="20"/>
                <w:color w:val="auto"/>
              </w:rPr>
            </w:pPr>
            <w:r>
              <w:rPr>
                <w:rFonts w:ascii="Arial" w:cs="Arial" w:eastAsia="Arial" w:hAnsi="Arial"/>
                <w:sz w:val="13"/>
                <w:szCs w:val="13"/>
                <w:color w:val="auto"/>
              </w:rPr>
              <w:t>14</w:t>
            </w:r>
          </w:p>
        </w:tc>
      </w:tr>
      <w:tr>
        <w:trPr>
          <w:trHeight w:val="144"/>
        </w:trPr>
        <w:tc>
          <w:tcPr>
            <w:tcW w:w="9300" w:type="dxa"/>
            <w:vAlign w:val="bottom"/>
          </w:tcPr>
          <w:p>
            <w:pPr>
              <w:ind w:left="280"/>
              <w:spacing w:after="0" w:line="144" w:lineRule="exact"/>
              <w:rPr>
                <w:sz w:val="20"/>
                <w:szCs w:val="20"/>
                <w:color w:val="auto"/>
              </w:rPr>
            </w:pPr>
            <w:r>
              <w:rPr>
                <w:rFonts w:ascii="Arial" w:cs="Arial" w:eastAsia="Arial" w:hAnsi="Arial"/>
                <w:sz w:val="13"/>
                <w:szCs w:val="13"/>
                <w:color w:val="auto"/>
              </w:rPr>
              <w:t>III.4.e. Exercise of attributions</w:t>
            </w:r>
          </w:p>
        </w:tc>
        <w:tc>
          <w:tcPr>
            <w:tcW w:w="2180" w:type="dxa"/>
            <w:vAlign w:val="bottom"/>
          </w:tcPr>
          <w:p>
            <w:pPr>
              <w:jc w:val="right"/>
              <w:spacing w:after="0" w:line="144" w:lineRule="exact"/>
              <w:rPr>
                <w:sz w:val="20"/>
                <w:szCs w:val="20"/>
                <w:color w:val="auto"/>
              </w:rPr>
            </w:pPr>
            <w:r>
              <w:rPr>
                <w:rFonts w:ascii="Arial" w:cs="Arial" w:eastAsia="Arial" w:hAnsi="Arial"/>
                <w:sz w:val="13"/>
                <w:szCs w:val="13"/>
                <w:color w:val="auto"/>
              </w:rPr>
              <w:t>14</w:t>
            </w:r>
          </w:p>
        </w:tc>
      </w:tr>
      <w:tr>
        <w:trPr>
          <w:trHeight w:val="144"/>
        </w:trPr>
        <w:tc>
          <w:tcPr>
            <w:tcW w:w="9300" w:type="dxa"/>
            <w:vAlign w:val="bottom"/>
          </w:tcPr>
          <w:p>
            <w:pPr>
              <w:ind w:left="140"/>
              <w:spacing w:after="0" w:line="144" w:lineRule="exact"/>
              <w:rPr>
                <w:sz w:val="20"/>
                <w:szCs w:val="20"/>
                <w:color w:val="auto"/>
              </w:rPr>
            </w:pPr>
            <w:r>
              <w:rPr>
                <w:rFonts w:ascii="Arial" w:cs="Arial" w:eastAsia="Arial" w:hAnsi="Arial"/>
                <w:sz w:val="13"/>
                <w:szCs w:val="13"/>
                <w:color w:val="auto"/>
              </w:rPr>
              <w:t>III.5 Illegitimate business and prevention of money laundering</w:t>
            </w:r>
          </w:p>
        </w:tc>
        <w:tc>
          <w:tcPr>
            <w:tcW w:w="2180" w:type="dxa"/>
            <w:vAlign w:val="bottom"/>
          </w:tcPr>
          <w:p>
            <w:pPr>
              <w:jc w:val="right"/>
              <w:spacing w:after="0" w:line="144" w:lineRule="exact"/>
              <w:rPr>
                <w:sz w:val="20"/>
                <w:szCs w:val="20"/>
                <w:color w:val="auto"/>
              </w:rPr>
            </w:pPr>
            <w:r>
              <w:rPr>
                <w:rFonts w:ascii="Arial" w:cs="Arial" w:eastAsia="Arial" w:hAnsi="Arial"/>
                <w:sz w:val="13"/>
                <w:szCs w:val="13"/>
                <w:color w:val="auto"/>
              </w:rPr>
              <w:t>15</w:t>
            </w:r>
          </w:p>
        </w:tc>
      </w:tr>
      <w:tr>
        <w:trPr>
          <w:trHeight w:val="144"/>
        </w:trPr>
        <w:tc>
          <w:tcPr>
            <w:tcW w:w="9300" w:type="dxa"/>
            <w:vAlign w:val="bottom"/>
          </w:tcPr>
          <w:p>
            <w:pPr>
              <w:ind w:left="140"/>
              <w:spacing w:after="0" w:line="144" w:lineRule="exact"/>
              <w:rPr>
                <w:sz w:val="20"/>
                <w:szCs w:val="20"/>
                <w:color w:val="auto"/>
              </w:rPr>
            </w:pPr>
            <w:r>
              <w:rPr>
                <w:rFonts w:ascii="Arial" w:cs="Arial" w:eastAsia="Arial" w:hAnsi="Arial"/>
                <w:sz w:val="13"/>
                <w:szCs w:val="13"/>
                <w:color w:val="auto"/>
              </w:rPr>
              <w:t>III.6. Personal Integrity</w:t>
            </w:r>
          </w:p>
        </w:tc>
        <w:tc>
          <w:tcPr>
            <w:tcW w:w="2180" w:type="dxa"/>
            <w:vAlign w:val="bottom"/>
          </w:tcPr>
          <w:p>
            <w:pPr>
              <w:jc w:val="right"/>
              <w:spacing w:after="0" w:line="144" w:lineRule="exact"/>
              <w:rPr>
                <w:sz w:val="20"/>
                <w:szCs w:val="20"/>
                <w:color w:val="auto"/>
              </w:rPr>
            </w:pPr>
            <w:r>
              <w:rPr>
                <w:rFonts w:ascii="Arial" w:cs="Arial" w:eastAsia="Arial" w:hAnsi="Arial"/>
                <w:sz w:val="13"/>
                <w:szCs w:val="13"/>
                <w:color w:val="auto"/>
              </w:rPr>
              <w:t>15</w:t>
            </w:r>
          </w:p>
        </w:tc>
      </w:tr>
      <w:tr>
        <w:trPr>
          <w:trHeight w:val="144"/>
        </w:trPr>
        <w:tc>
          <w:tcPr>
            <w:tcW w:w="9300" w:type="dxa"/>
            <w:vAlign w:val="bottom"/>
          </w:tcPr>
          <w:p>
            <w:pPr>
              <w:ind w:left="140"/>
              <w:spacing w:after="0" w:line="144" w:lineRule="exact"/>
              <w:rPr>
                <w:sz w:val="20"/>
                <w:szCs w:val="20"/>
                <w:color w:val="auto"/>
              </w:rPr>
            </w:pPr>
            <w:r>
              <w:rPr>
                <w:rFonts w:ascii="Arial" w:cs="Arial" w:eastAsia="Arial" w:hAnsi="Arial"/>
                <w:sz w:val="13"/>
                <w:szCs w:val="13"/>
                <w:color w:val="auto"/>
              </w:rPr>
              <w:t>III.7. Investigations</w:t>
            </w:r>
          </w:p>
        </w:tc>
        <w:tc>
          <w:tcPr>
            <w:tcW w:w="2180" w:type="dxa"/>
            <w:vAlign w:val="bottom"/>
          </w:tcPr>
          <w:p>
            <w:pPr>
              <w:jc w:val="right"/>
              <w:spacing w:after="0" w:line="144" w:lineRule="exact"/>
              <w:rPr>
                <w:sz w:val="20"/>
                <w:szCs w:val="20"/>
                <w:color w:val="auto"/>
              </w:rPr>
            </w:pPr>
            <w:r>
              <w:rPr>
                <w:rFonts w:ascii="Arial" w:cs="Arial" w:eastAsia="Arial" w:hAnsi="Arial"/>
                <w:sz w:val="13"/>
                <w:szCs w:val="13"/>
                <w:color w:val="auto"/>
              </w:rPr>
              <w:t>15</w:t>
            </w:r>
          </w:p>
        </w:tc>
      </w:tr>
      <w:tr>
        <w:trPr>
          <w:trHeight w:val="144"/>
        </w:trPr>
        <w:tc>
          <w:tcPr>
            <w:tcW w:w="9300" w:type="dxa"/>
            <w:vAlign w:val="bottom"/>
          </w:tcPr>
          <w:p>
            <w:pPr>
              <w:ind w:left="140"/>
              <w:spacing w:after="0" w:line="144" w:lineRule="exact"/>
              <w:rPr>
                <w:sz w:val="20"/>
                <w:szCs w:val="20"/>
                <w:color w:val="auto"/>
              </w:rPr>
            </w:pPr>
            <w:r>
              <w:rPr>
                <w:rFonts w:ascii="Arial" w:cs="Arial" w:eastAsia="Arial" w:hAnsi="Arial"/>
                <w:sz w:val="13"/>
                <w:szCs w:val="13"/>
                <w:color w:val="auto"/>
              </w:rPr>
              <w:t>III.8. A culture of high honesty and ethics</w:t>
            </w:r>
          </w:p>
        </w:tc>
        <w:tc>
          <w:tcPr>
            <w:tcW w:w="2180" w:type="dxa"/>
            <w:vAlign w:val="bottom"/>
          </w:tcPr>
          <w:p>
            <w:pPr>
              <w:jc w:val="right"/>
              <w:spacing w:after="0" w:line="144" w:lineRule="exact"/>
              <w:rPr>
                <w:sz w:val="20"/>
                <w:szCs w:val="20"/>
                <w:color w:val="auto"/>
              </w:rPr>
            </w:pPr>
            <w:r>
              <w:rPr>
                <w:rFonts w:ascii="Arial" w:cs="Arial" w:eastAsia="Arial" w:hAnsi="Arial"/>
                <w:sz w:val="13"/>
                <w:szCs w:val="13"/>
                <w:color w:val="auto"/>
              </w:rPr>
              <w:t>16</w:t>
            </w:r>
          </w:p>
        </w:tc>
      </w:tr>
      <w:tr>
        <w:trPr>
          <w:trHeight w:val="144"/>
        </w:trPr>
        <w:tc>
          <w:tcPr>
            <w:tcW w:w="9300" w:type="dxa"/>
            <w:vAlign w:val="bottom"/>
          </w:tcPr>
          <w:p>
            <w:pPr>
              <w:ind w:left="140"/>
              <w:spacing w:after="0" w:line="144" w:lineRule="exact"/>
              <w:rPr>
                <w:sz w:val="20"/>
                <w:szCs w:val="20"/>
                <w:color w:val="auto"/>
              </w:rPr>
            </w:pPr>
            <w:r>
              <w:rPr>
                <w:rFonts w:ascii="Arial" w:cs="Arial" w:eastAsia="Arial" w:hAnsi="Arial"/>
                <w:sz w:val="13"/>
                <w:szCs w:val="13"/>
                <w:color w:val="auto"/>
              </w:rPr>
              <w:t>III.9. Relations with the public Sector and regulatory entities</w:t>
            </w:r>
          </w:p>
        </w:tc>
        <w:tc>
          <w:tcPr>
            <w:tcW w:w="2180" w:type="dxa"/>
            <w:vAlign w:val="bottom"/>
          </w:tcPr>
          <w:p>
            <w:pPr>
              <w:jc w:val="right"/>
              <w:spacing w:after="0" w:line="144" w:lineRule="exact"/>
              <w:rPr>
                <w:sz w:val="20"/>
                <w:szCs w:val="20"/>
                <w:color w:val="auto"/>
              </w:rPr>
            </w:pPr>
            <w:r>
              <w:rPr>
                <w:rFonts w:ascii="Arial" w:cs="Arial" w:eastAsia="Arial" w:hAnsi="Arial"/>
                <w:sz w:val="13"/>
                <w:szCs w:val="13"/>
                <w:color w:val="auto"/>
              </w:rPr>
              <w:t>16</w:t>
            </w:r>
          </w:p>
        </w:tc>
      </w:tr>
      <w:tr>
        <w:trPr>
          <w:trHeight w:val="144"/>
        </w:trPr>
        <w:tc>
          <w:tcPr>
            <w:tcW w:w="9300" w:type="dxa"/>
            <w:vAlign w:val="bottom"/>
          </w:tcPr>
          <w:p>
            <w:pPr>
              <w:ind w:left="140"/>
              <w:spacing w:after="0" w:line="144" w:lineRule="exact"/>
              <w:rPr>
                <w:sz w:val="20"/>
                <w:szCs w:val="20"/>
                <w:color w:val="auto"/>
              </w:rPr>
            </w:pPr>
            <w:r>
              <w:rPr>
                <w:rFonts w:ascii="Arial" w:cs="Arial" w:eastAsia="Arial" w:hAnsi="Arial"/>
                <w:sz w:val="13"/>
                <w:szCs w:val="13"/>
                <w:color w:val="auto"/>
              </w:rPr>
              <w:t>III.10. Social network presence</w:t>
            </w:r>
          </w:p>
        </w:tc>
        <w:tc>
          <w:tcPr>
            <w:tcW w:w="2180" w:type="dxa"/>
            <w:vAlign w:val="bottom"/>
          </w:tcPr>
          <w:p>
            <w:pPr>
              <w:jc w:val="right"/>
              <w:spacing w:after="0" w:line="144" w:lineRule="exact"/>
              <w:rPr>
                <w:sz w:val="20"/>
                <w:szCs w:val="20"/>
                <w:color w:val="auto"/>
              </w:rPr>
            </w:pPr>
            <w:r>
              <w:rPr>
                <w:rFonts w:ascii="Arial" w:cs="Arial" w:eastAsia="Arial" w:hAnsi="Arial"/>
                <w:sz w:val="13"/>
                <w:szCs w:val="13"/>
                <w:color w:val="auto"/>
              </w:rPr>
              <w:t>16</w:t>
            </w:r>
          </w:p>
        </w:tc>
      </w:tr>
      <w:tr>
        <w:trPr>
          <w:trHeight w:val="144"/>
        </w:trPr>
        <w:tc>
          <w:tcPr>
            <w:tcW w:w="9300" w:type="dxa"/>
            <w:vAlign w:val="bottom"/>
          </w:tcPr>
          <w:p>
            <w:pPr>
              <w:ind w:left="140"/>
              <w:spacing w:after="0" w:line="144" w:lineRule="exact"/>
              <w:rPr>
                <w:sz w:val="20"/>
                <w:szCs w:val="20"/>
                <w:color w:val="auto"/>
              </w:rPr>
            </w:pPr>
            <w:r>
              <w:rPr>
                <w:rFonts w:ascii="Arial" w:cs="Arial" w:eastAsia="Arial" w:hAnsi="Arial"/>
                <w:sz w:val="13"/>
                <w:szCs w:val="13"/>
                <w:color w:val="auto"/>
              </w:rPr>
              <w:t>III.11. Environmental protection</w:t>
            </w:r>
          </w:p>
        </w:tc>
        <w:tc>
          <w:tcPr>
            <w:tcW w:w="2180" w:type="dxa"/>
            <w:vAlign w:val="bottom"/>
          </w:tcPr>
          <w:p>
            <w:pPr>
              <w:jc w:val="right"/>
              <w:spacing w:after="0" w:line="144" w:lineRule="exact"/>
              <w:rPr>
                <w:sz w:val="20"/>
                <w:szCs w:val="20"/>
                <w:color w:val="auto"/>
              </w:rPr>
            </w:pPr>
            <w:r>
              <w:rPr>
                <w:rFonts w:ascii="Arial" w:cs="Arial" w:eastAsia="Arial" w:hAnsi="Arial"/>
                <w:sz w:val="13"/>
                <w:szCs w:val="13"/>
                <w:color w:val="auto"/>
              </w:rPr>
              <w:t>17</w:t>
            </w:r>
          </w:p>
        </w:tc>
      </w:tr>
      <w:tr>
        <w:trPr>
          <w:trHeight w:val="144"/>
        </w:trPr>
        <w:tc>
          <w:tcPr>
            <w:tcW w:w="9300" w:type="dxa"/>
            <w:vAlign w:val="bottom"/>
          </w:tcPr>
          <w:p>
            <w:pPr>
              <w:spacing w:after="0" w:line="144" w:lineRule="exact"/>
              <w:rPr>
                <w:sz w:val="20"/>
                <w:szCs w:val="20"/>
                <w:color w:val="auto"/>
              </w:rPr>
            </w:pPr>
            <w:r>
              <w:rPr>
                <w:rFonts w:ascii="Arial" w:cs="Arial" w:eastAsia="Arial" w:hAnsi="Arial"/>
                <w:sz w:val="13"/>
                <w:szCs w:val="13"/>
                <w:color w:val="auto"/>
              </w:rPr>
              <w:t>IV. ETHICS COMMITTEE</w:t>
            </w:r>
          </w:p>
        </w:tc>
        <w:tc>
          <w:tcPr>
            <w:tcW w:w="2180" w:type="dxa"/>
            <w:vAlign w:val="bottom"/>
          </w:tcPr>
          <w:p>
            <w:pPr>
              <w:jc w:val="right"/>
              <w:spacing w:after="0" w:line="144" w:lineRule="exact"/>
              <w:rPr>
                <w:sz w:val="20"/>
                <w:szCs w:val="20"/>
                <w:color w:val="auto"/>
              </w:rPr>
            </w:pPr>
            <w:r>
              <w:rPr>
                <w:rFonts w:ascii="Arial" w:cs="Arial" w:eastAsia="Arial" w:hAnsi="Arial"/>
                <w:sz w:val="13"/>
                <w:szCs w:val="13"/>
                <w:color w:val="auto"/>
              </w:rPr>
              <w:t>17</w:t>
            </w:r>
          </w:p>
        </w:tc>
      </w:tr>
      <w:tr>
        <w:trPr>
          <w:trHeight w:val="144"/>
        </w:trPr>
        <w:tc>
          <w:tcPr>
            <w:tcW w:w="9300" w:type="dxa"/>
            <w:vAlign w:val="bottom"/>
          </w:tcPr>
          <w:p>
            <w:pPr>
              <w:spacing w:after="0" w:line="144" w:lineRule="exact"/>
              <w:rPr>
                <w:sz w:val="20"/>
                <w:szCs w:val="20"/>
                <w:color w:val="auto"/>
              </w:rPr>
            </w:pPr>
            <w:r>
              <w:rPr>
                <w:rFonts w:ascii="Arial" w:cs="Arial" w:eastAsia="Arial" w:hAnsi="Arial"/>
                <w:sz w:val="13"/>
                <w:szCs w:val="13"/>
                <w:color w:val="auto"/>
              </w:rPr>
              <w:t>V. COMPLIANCE REGULATIONS</w:t>
            </w:r>
          </w:p>
        </w:tc>
        <w:tc>
          <w:tcPr>
            <w:tcW w:w="2180" w:type="dxa"/>
            <w:vAlign w:val="bottom"/>
          </w:tcPr>
          <w:p>
            <w:pPr>
              <w:jc w:val="right"/>
              <w:spacing w:after="0" w:line="144" w:lineRule="exact"/>
              <w:rPr>
                <w:sz w:val="20"/>
                <w:szCs w:val="20"/>
                <w:color w:val="auto"/>
              </w:rPr>
            </w:pPr>
            <w:r>
              <w:rPr>
                <w:rFonts w:ascii="Arial" w:cs="Arial" w:eastAsia="Arial" w:hAnsi="Arial"/>
                <w:sz w:val="13"/>
                <w:szCs w:val="13"/>
                <w:color w:val="auto"/>
              </w:rPr>
              <w:t>17</w:t>
            </w:r>
          </w:p>
        </w:tc>
      </w:tr>
      <w:tr>
        <w:trPr>
          <w:trHeight w:val="154"/>
        </w:trPr>
        <w:tc>
          <w:tcPr>
            <w:tcW w:w="9300" w:type="dxa"/>
            <w:vAlign w:val="bottom"/>
          </w:tcPr>
          <w:p>
            <w:pPr>
              <w:spacing w:after="0"/>
              <w:rPr>
                <w:sz w:val="20"/>
                <w:szCs w:val="20"/>
                <w:color w:val="auto"/>
              </w:rPr>
            </w:pPr>
            <w:r>
              <w:rPr>
                <w:rFonts w:ascii="Arial" w:cs="Arial" w:eastAsia="Arial" w:hAnsi="Arial"/>
                <w:sz w:val="13"/>
                <w:szCs w:val="13"/>
                <w:color w:val="auto"/>
              </w:rPr>
              <w:t>SPECIAL STATEMENT BY SENIOR FINANCIAL EXECUTIVES RELATED TO THE BLADEX CODE OF ETHICS (THE "CODE")</w:t>
            </w:r>
          </w:p>
        </w:tc>
        <w:tc>
          <w:tcPr>
            <w:tcW w:w="2180" w:type="dxa"/>
            <w:vAlign w:val="bottom"/>
          </w:tcPr>
          <w:p>
            <w:pPr>
              <w:jc w:val="right"/>
              <w:spacing w:after="0"/>
              <w:rPr>
                <w:sz w:val="20"/>
                <w:szCs w:val="20"/>
                <w:color w:val="auto"/>
              </w:rPr>
            </w:pPr>
            <w:r>
              <w:rPr>
                <w:rFonts w:ascii="Arial" w:cs="Arial" w:eastAsia="Arial" w:hAnsi="Arial"/>
                <w:sz w:val="13"/>
                <w:szCs w:val="13"/>
                <w:color w:val="auto"/>
              </w:rPr>
              <w:t>18</w:t>
            </w:r>
          </w:p>
        </w:tc>
      </w:tr>
      <w:tr>
        <w:trPr>
          <w:trHeight w:val="453"/>
        </w:trPr>
        <w:tc>
          <w:tcPr>
            <w:tcW w:w="9300" w:type="dxa"/>
            <w:vAlign w:val="bottom"/>
            <w:tcBorders>
              <w:bottom w:val="single" w:sz="8" w:color="auto"/>
            </w:tcBorders>
          </w:tcPr>
          <w:p>
            <w:pPr>
              <w:spacing w:after="0"/>
              <w:rPr>
                <w:sz w:val="24"/>
                <w:szCs w:val="24"/>
                <w:color w:val="auto"/>
              </w:rPr>
            </w:pPr>
          </w:p>
        </w:tc>
        <w:tc>
          <w:tcPr>
            <w:tcW w:w="218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4</w:t>
            </w:r>
          </w:p>
        </w:tc>
      </w:tr>
    </w:tbl>
    <w:p>
      <w:pPr>
        <w:sectPr>
          <w:pgSz w:w="11900" w:h="16838" w:orient="portrait"/>
          <w:cols w:equalWidth="0" w:num="1">
            <w:col w:w="11480"/>
          </w:cols>
          <w:pgMar w:left="220" w:top="689" w:right="199" w:bottom="1440" w:gutter="0" w:footer="0" w:header="0"/>
        </w:sectPr>
      </w:pPr>
    </w:p>
    <w:bookmarkStart w:id="242" w:name="page243"/>
    <w:bookmarkEnd w:id="242"/>
    <w:p>
      <w:pPr>
        <w:spacing w:after="0"/>
        <w:rPr>
          <w:sz w:val="20"/>
          <w:szCs w:val="20"/>
          <w:color w:val="auto"/>
        </w:rPr>
      </w:pPr>
      <w:r>
        <w:rPr>
          <w:rFonts w:ascii="Arial" w:cs="Arial" w:eastAsia="Arial" w:hAnsi="Arial"/>
          <w:sz w:val="18"/>
          <w:szCs w:val="18"/>
          <w:color w:val="auto"/>
        </w:rPr>
        <w:t>I. INTRODUCTION</w:t>
      </w:r>
    </w:p>
    <w:p>
      <w:pPr>
        <w:spacing w:after="0" w:line="162" w:lineRule="exact"/>
        <w:rPr>
          <w:sz w:val="20"/>
          <w:szCs w:val="20"/>
          <w:color w:val="auto"/>
        </w:rPr>
      </w:pPr>
    </w:p>
    <w:p>
      <w:pPr>
        <w:spacing w:after="0"/>
        <w:rPr>
          <w:sz w:val="20"/>
          <w:szCs w:val="20"/>
          <w:color w:val="auto"/>
        </w:rPr>
      </w:pPr>
      <w:r>
        <w:rPr>
          <w:rFonts w:ascii="Arial" w:cs="Arial" w:eastAsia="Arial" w:hAnsi="Arial"/>
          <w:sz w:val="13"/>
          <w:szCs w:val="13"/>
          <w:color w:val="auto"/>
        </w:rPr>
        <w:t>General Principles and Objectives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This Code establishes the norms binding those that are subject hereto (People Covered by this Code), as such term is defined hereunder, to respect it and denounce any attempt to violate it.</w:t>
      </w:r>
    </w:p>
    <w:p>
      <w:pPr>
        <w:spacing w:after="0" w:line="15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Aware of the social and individual responsibilities of the different activities and functions involved in managing the Institution, the general principles and action policies are defined herein for guiding the decisions and actions of each person that is part thereof.</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color w:val="auto"/>
        </w:rPr>
        <w:t>Our mission, as members of this Institution, whether individually or collectively, is to act in line with the ethical values and principles of human beings, the Bank and society.</w:t>
      </w:r>
    </w:p>
    <w:p>
      <w:pPr>
        <w:spacing w:after="0" w:line="155" w:lineRule="exact"/>
        <w:rPr>
          <w:sz w:val="20"/>
          <w:szCs w:val="20"/>
          <w:color w:val="auto"/>
        </w:rPr>
      </w:pPr>
    </w:p>
    <w:p>
      <w:pPr>
        <w:spacing w:after="0"/>
        <w:rPr>
          <w:sz w:val="20"/>
          <w:szCs w:val="20"/>
          <w:color w:val="auto"/>
        </w:rPr>
      </w:pPr>
      <w:r>
        <w:rPr>
          <w:rFonts w:ascii="Arial" w:cs="Arial" w:eastAsia="Arial" w:hAnsi="Arial"/>
          <w:sz w:val="12"/>
          <w:szCs w:val="12"/>
          <w:color w:val="auto"/>
        </w:rPr>
        <w:t xml:space="preserve">The Institution promotes and upholds the ethical values it considers essential in its operations: </w:t>
      </w:r>
      <w:r>
        <w:rPr>
          <w:rFonts w:ascii="Arial" w:cs="Arial" w:eastAsia="Arial" w:hAnsi="Arial"/>
          <w:sz w:val="12"/>
          <w:szCs w:val="12"/>
          <w:b w:val="1"/>
          <w:bCs w:val="1"/>
          <w:color w:val="auto"/>
        </w:rPr>
        <w:t>Commitment, Humility, Excellence, Respect and Integrity (hereinafter altogether referred to as the “Values”).</w:t>
      </w:r>
    </w:p>
    <w:p>
      <w:pPr>
        <w:spacing w:after="0" w:line="174" w:lineRule="exact"/>
        <w:rPr>
          <w:sz w:val="20"/>
          <w:szCs w:val="20"/>
          <w:color w:val="auto"/>
        </w:rPr>
      </w:pPr>
    </w:p>
    <w:p>
      <w:pPr>
        <w:spacing w:after="0"/>
        <w:rPr>
          <w:sz w:val="20"/>
          <w:szCs w:val="20"/>
          <w:color w:val="auto"/>
        </w:rPr>
      </w:pPr>
      <w:r>
        <w:rPr>
          <w:rFonts w:ascii="Arial" w:cs="Arial" w:eastAsia="Arial" w:hAnsi="Arial"/>
          <w:sz w:val="13"/>
          <w:szCs w:val="13"/>
          <w:color w:val="auto"/>
        </w:rPr>
        <w:t>The main objective hereof is to fix the general ethical framework for going about their job and for each one of the Institution’s activities.</w:t>
      </w:r>
    </w:p>
    <w:p>
      <w:pPr>
        <w:spacing w:after="0" w:line="15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content hereof covers the general situations and issues that might come up in the scope of your activities, as well as such cases as may be referring more specifically to the management and workings of the Institution itself.</w:t>
      </w:r>
    </w:p>
    <w:p>
      <w:pPr>
        <w:spacing w:after="0" w:line="129" w:lineRule="exact"/>
        <w:rPr>
          <w:sz w:val="20"/>
          <w:szCs w:val="20"/>
          <w:color w:val="auto"/>
        </w:rPr>
      </w:pPr>
    </w:p>
    <w:p>
      <w:pPr>
        <w:spacing w:after="0"/>
        <w:rPr>
          <w:sz w:val="20"/>
          <w:szCs w:val="20"/>
          <w:color w:val="auto"/>
        </w:rPr>
      </w:pPr>
      <w:r>
        <w:rPr>
          <w:rFonts w:ascii="Arial" w:cs="Arial" w:eastAsia="Arial" w:hAnsi="Arial"/>
          <w:sz w:val="12"/>
          <w:szCs w:val="12"/>
          <w:color w:val="auto"/>
        </w:rPr>
        <w:t>The norms compiled in this Code make up a tool for constant consultations and knowledge; they form a guideline for the decisions to be made by each of the Bank’s members, according to their position and function.</w:t>
      </w:r>
    </w:p>
    <w:p>
      <w:pPr>
        <w:spacing w:after="0" w:line="170" w:lineRule="exact"/>
        <w:rPr>
          <w:sz w:val="20"/>
          <w:szCs w:val="20"/>
          <w:color w:val="auto"/>
        </w:rPr>
      </w:pPr>
    </w:p>
    <w:p>
      <w:pPr>
        <w:spacing w:after="0"/>
        <w:rPr>
          <w:sz w:val="20"/>
          <w:szCs w:val="20"/>
          <w:color w:val="auto"/>
        </w:rPr>
      </w:pPr>
      <w:r>
        <w:rPr>
          <w:rFonts w:ascii="Arial" w:cs="Arial" w:eastAsia="Arial" w:hAnsi="Arial"/>
          <w:sz w:val="12"/>
          <w:szCs w:val="12"/>
          <w:color w:val="auto"/>
        </w:rPr>
        <w:t>Each of the Institution’s members should act in line with these Values in a uniform way, coherently and constantly. A responsible exercise of properties and acting correctly should always be undertaken.</w:t>
      </w:r>
    </w:p>
    <w:p>
      <w:pPr>
        <w:spacing w:after="0" w:line="170"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This Code describes general conducts from an ethical point of view; however, it is everyone’s duty to assume an individual responsibility in making the Board of Directors, the Compensation Committee, the Audit Committee, Senior Management, Compliance department or Human Development department, as the case may be, aware of any facts that might generate some degree of ethical difficulty when making decisions, through the tools and mechanism the Bank has assigned thereto.</w:t>
      </w:r>
    </w:p>
    <w:p>
      <w:pPr>
        <w:spacing w:after="0" w:line="136" w:lineRule="exact"/>
        <w:rPr>
          <w:sz w:val="20"/>
          <w:szCs w:val="20"/>
          <w:color w:val="auto"/>
        </w:rPr>
      </w:pPr>
    </w:p>
    <w:p>
      <w:pPr>
        <w:spacing w:after="0"/>
        <w:rPr>
          <w:sz w:val="20"/>
          <w:szCs w:val="20"/>
          <w:color w:val="auto"/>
        </w:rPr>
      </w:pPr>
      <w:r>
        <w:rPr>
          <w:rFonts w:ascii="Arial" w:cs="Arial" w:eastAsia="Arial" w:hAnsi="Arial"/>
          <w:sz w:val="13"/>
          <w:szCs w:val="13"/>
          <w:color w:val="auto"/>
        </w:rPr>
        <w:t>Although the Code intends to address a wide range of practices and procedures, Bladex cannot foresee all the problems and situations that might arise.</w:t>
      </w:r>
    </w:p>
    <w:p>
      <w:pPr>
        <w:spacing w:after="0" w:line="159" w:lineRule="exact"/>
        <w:rPr>
          <w:sz w:val="20"/>
          <w:szCs w:val="20"/>
          <w:color w:val="auto"/>
        </w:rPr>
      </w:pPr>
    </w:p>
    <w:p>
      <w:pPr>
        <w:jc w:val="both"/>
        <w:ind w:right="20"/>
        <w:spacing w:after="0" w:line="314" w:lineRule="auto"/>
        <w:rPr>
          <w:sz w:val="20"/>
          <w:szCs w:val="20"/>
          <w:color w:val="auto"/>
        </w:rPr>
      </w:pPr>
      <w:r>
        <w:rPr>
          <w:rFonts w:ascii="Arial" w:cs="Arial" w:eastAsia="Arial" w:hAnsi="Arial"/>
          <w:sz w:val="11"/>
          <w:szCs w:val="11"/>
          <w:color w:val="auto"/>
        </w:rPr>
        <w:t>If any of the People Covered by this Code are not sure what they should do in a given situation, then they should seek additional information and guidance before acting. The People Covered by this Code should use their good judgment and common sense; if something appears incorrect or unethical, it is likely to be so. If you have any questions regarding the best course of action to be taken in a specific situation, or, if you suspect or are aware of the possible violation of any law, rule or ethical norm of Bladex, then you must immediately contact Human Development department that It will focus on how to handle the situation. Any allegations relating to possible infringements of this Code, or any other norm that develops or complements it, must be made through the tool that the Bank has provided for it, available on the Bank's intranet and on its website.</w:t>
      </w:r>
    </w:p>
    <w:p>
      <w:pPr>
        <w:spacing w:after="0" w:line="262" w:lineRule="exact"/>
        <w:rPr>
          <w:sz w:val="20"/>
          <w:szCs w:val="20"/>
          <w:color w:val="auto"/>
        </w:rPr>
      </w:pPr>
    </w:p>
    <w:p>
      <w:pPr>
        <w:jc w:val="right"/>
        <w:spacing w:after="0"/>
        <w:rPr>
          <w:sz w:val="20"/>
          <w:szCs w:val="20"/>
          <w:color w:val="auto"/>
        </w:rPr>
      </w:pPr>
      <w:r>
        <w:rPr>
          <w:rFonts w:ascii="Arial" w:cs="Arial" w:eastAsia="Arial" w:hAnsi="Arial"/>
          <w:sz w:val="13"/>
          <w:szCs w:val="13"/>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41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5" w:right="199" w:bottom="1440" w:gutter="0" w:footer="0" w:header="0"/>
        </w:sectPr>
      </w:pPr>
    </w:p>
    <w:bookmarkStart w:id="243" w:name="page244"/>
    <w:bookmarkEnd w:id="243"/>
    <w:p>
      <w:pPr>
        <w:ind w:left="3"/>
        <w:spacing w:after="0"/>
        <w:rPr>
          <w:sz w:val="20"/>
          <w:szCs w:val="20"/>
          <w:color w:val="auto"/>
        </w:rPr>
      </w:pPr>
      <w:r>
        <w:rPr>
          <w:rFonts w:ascii="Arial" w:cs="Arial" w:eastAsia="Arial" w:hAnsi="Arial"/>
          <w:sz w:val="18"/>
          <w:szCs w:val="18"/>
          <w:color w:val="auto"/>
        </w:rPr>
        <w:t>II. PERSONS SUBJECT TO THIS CODE COMPLIANCE</w:t>
      </w:r>
    </w:p>
    <w:p>
      <w:pPr>
        <w:spacing w:after="0" w:line="18" w:lineRule="exact"/>
        <w:rPr>
          <w:sz w:val="20"/>
          <w:szCs w:val="20"/>
          <w:color w:val="auto"/>
        </w:rPr>
      </w:pPr>
    </w:p>
    <w:p>
      <w:pPr>
        <w:ind w:left="3"/>
        <w:spacing w:after="0"/>
        <w:rPr>
          <w:sz w:val="20"/>
          <w:szCs w:val="20"/>
          <w:color w:val="auto"/>
        </w:rPr>
      </w:pPr>
      <w:r>
        <w:rPr>
          <w:rFonts w:ascii="Arial" w:cs="Arial" w:eastAsia="Arial" w:hAnsi="Arial"/>
          <w:sz w:val="13"/>
          <w:szCs w:val="13"/>
          <w:color w:val="auto"/>
        </w:rPr>
        <w:t>Persons Subject to this Code are, except for legal or other reasons justified by the Audit Committee, the following (hereinafter "Subject to the Code"):</w:t>
      </w:r>
    </w:p>
    <w:p>
      <w:pPr>
        <w:spacing w:after="0" w:line="149" w:lineRule="exact"/>
        <w:rPr>
          <w:sz w:val="20"/>
          <w:szCs w:val="20"/>
          <w:color w:val="auto"/>
        </w:rPr>
      </w:pPr>
    </w:p>
    <w:p>
      <w:pPr>
        <w:ind w:left="703" w:hanging="241"/>
        <w:spacing w:after="0"/>
        <w:tabs>
          <w:tab w:leader="none" w:pos="703" w:val="left"/>
        </w:tabs>
        <w:numPr>
          <w:ilvl w:val="1"/>
          <w:numId w:val="208"/>
        </w:numPr>
        <w:rPr>
          <w:rFonts w:ascii="Arial" w:cs="Arial" w:eastAsia="Arial" w:hAnsi="Arial"/>
          <w:sz w:val="13"/>
          <w:szCs w:val="13"/>
          <w:color w:val="auto"/>
        </w:rPr>
      </w:pPr>
      <w:r>
        <w:rPr>
          <w:rFonts w:ascii="Arial" w:cs="Arial" w:eastAsia="Arial" w:hAnsi="Arial"/>
          <w:sz w:val="13"/>
          <w:szCs w:val="13"/>
          <w:color w:val="auto"/>
        </w:rPr>
        <w:t>The Directors and Dignitaries of the Bank and those of its subsidiary companies.</w:t>
      </w:r>
    </w:p>
    <w:p>
      <w:pPr>
        <w:spacing w:after="0" w:line="12" w:lineRule="exact"/>
        <w:rPr>
          <w:rFonts w:ascii="Arial" w:cs="Arial" w:eastAsia="Arial" w:hAnsi="Arial"/>
          <w:sz w:val="13"/>
          <w:szCs w:val="13"/>
          <w:color w:val="auto"/>
        </w:rPr>
      </w:pPr>
    </w:p>
    <w:p>
      <w:pPr>
        <w:ind w:left="703" w:hanging="241"/>
        <w:spacing w:after="0"/>
        <w:tabs>
          <w:tab w:leader="none" w:pos="703" w:val="left"/>
        </w:tabs>
        <w:numPr>
          <w:ilvl w:val="1"/>
          <w:numId w:val="208"/>
        </w:numPr>
        <w:rPr>
          <w:rFonts w:ascii="Arial" w:cs="Arial" w:eastAsia="Arial" w:hAnsi="Arial"/>
          <w:sz w:val="13"/>
          <w:szCs w:val="13"/>
          <w:color w:val="auto"/>
        </w:rPr>
      </w:pPr>
      <w:r>
        <w:rPr>
          <w:rFonts w:ascii="Arial" w:cs="Arial" w:eastAsia="Arial" w:hAnsi="Arial"/>
          <w:sz w:val="13"/>
          <w:szCs w:val="13"/>
          <w:color w:val="auto"/>
        </w:rPr>
        <w:t>The members of the Senior Management of the Bank and its subsidiary companies.</w:t>
      </w:r>
    </w:p>
    <w:p>
      <w:pPr>
        <w:spacing w:after="0" w:line="4" w:lineRule="exact"/>
        <w:rPr>
          <w:rFonts w:ascii="Arial" w:cs="Arial" w:eastAsia="Arial" w:hAnsi="Arial"/>
          <w:sz w:val="13"/>
          <w:szCs w:val="13"/>
          <w:color w:val="auto"/>
        </w:rPr>
      </w:pPr>
    </w:p>
    <w:p>
      <w:pPr>
        <w:ind w:left="703" w:hanging="241"/>
        <w:spacing w:after="0"/>
        <w:tabs>
          <w:tab w:leader="none" w:pos="703" w:val="left"/>
        </w:tabs>
        <w:numPr>
          <w:ilvl w:val="1"/>
          <w:numId w:val="208"/>
        </w:numPr>
        <w:rPr>
          <w:rFonts w:ascii="Arial" w:cs="Arial" w:eastAsia="Arial" w:hAnsi="Arial"/>
          <w:sz w:val="13"/>
          <w:szCs w:val="13"/>
          <w:color w:val="auto"/>
        </w:rPr>
      </w:pPr>
      <w:r>
        <w:rPr>
          <w:rFonts w:ascii="Arial" w:cs="Arial" w:eastAsia="Arial" w:hAnsi="Arial"/>
          <w:sz w:val="13"/>
          <w:szCs w:val="13"/>
          <w:color w:val="auto"/>
        </w:rPr>
        <w:t>All persons (employees) who provide their services in the areas of the Bank or its subsidiaries.</w:t>
      </w:r>
    </w:p>
    <w:p>
      <w:pPr>
        <w:spacing w:after="0" w:line="4" w:lineRule="exact"/>
        <w:rPr>
          <w:rFonts w:ascii="Arial" w:cs="Arial" w:eastAsia="Arial" w:hAnsi="Arial"/>
          <w:sz w:val="13"/>
          <w:szCs w:val="13"/>
          <w:color w:val="auto"/>
        </w:rPr>
      </w:pPr>
    </w:p>
    <w:p>
      <w:pPr>
        <w:ind w:left="703" w:hanging="241"/>
        <w:spacing w:after="0"/>
        <w:tabs>
          <w:tab w:leader="none" w:pos="703" w:val="left"/>
        </w:tabs>
        <w:numPr>
          <w:ilvl w:val="1"/>
          <w:numId w:val="208"/>
        </w:numPr>
        <w:rPr>
          <w:rFonts w:ascii="Arial" w:cs="Arial" w:eastAsia="Arial" w:hAnsi="Arial"/>
          <w:sz w:val="13"/>
          <w:szCs w:val="13"/>
          <w:color w:val="auto"/>
        </w:rPr>
      </w:pPr>
      <w:r>
        <w:rPr>
          <w:rFonts w:ascii="Arial" w:cs="Arial" w:eastAsia="Arial" w:hAnsi="Arial"/>
          <w:sz w:val="13"/>
          <w:szCs w:val="13"/>
          <w:color w:val="auto"/>
        </w:rPr>
        <w:t>The representatives or agents of the Bank or its subsidiary companies directly related to its activity.</w:t>
      </w:r>
    </w:p>
    <w:p>
      <w:pPr>
        <w:spacing w:after="0" w:line="4" w:lineRule="exact"/>
        <w:rPr>
          <w:rFonts w:ascii="Arial" w:cs="Arial" w:eastAsia="Arial" w:hAnsi="Arial"/>
          <w:sz w:val="13"/>
          <w:szCs w:val="13"/>
          <w:color w:val="auto"/>
        </w:rPr>
      </w:pPr>
    </w:p>
    <w:p>
      <w:pPr>
        <w:ind w:left="703" w:hanging="241"/>
        <w:spacing w:after="0"/>
        <w:tabs>
          <w:tab w:leader="none" w:pos="703" w:val="left"/>
        </w:tabs>
        <w:numPr>
          <w:ilvl w:val="1"/>
          <w:numId w:val="208"/>
        </w:numPr>
        <w:rPr>
          <w:rFonts w:ascii="Arial" w:cs="Arial" w:eastAsia="Arial" w:hAnsi="Arial"/>
          <w:sz w:val="13"/>
          <w:szCs w:val="13"/>
          <w:color w:val="auto"/>
        </w:rPr>
      </w:pPr>
      <w:r>
        <w:rPr>
          <w:rFonts w:ascii="Arial" w:cs="Arial" w:eastAsia="Arial" w:hAnsi="Arial"/>
          <w:sz w:val="13"/>
          <w:szCs w:val="13"/>
          <w:color w:val="auto"/>
        </w:rPr>
        <w:t>Such other persons who, by the characteristics of their activity, must be subject, in the opinion of the Ethics Committee, temporarily or permanently to the provisions of this Code.</w:t>
      </w:r>
    </w:p>
    <w:p>
      <w:pPr>
        <w:spacing w:after="0" w:line="146" w:lineRule="exact"/>
        <w:rPr>
          <w:rFonts w:ascii="Arial" w:cs="Arial" w:eastAsia="Arial" w:hAnsi="Arial"/>
          <w:sz w:val="13"/>
          <w:szCs w:val="13"/>
          <w:color w:val="auto"/>
        </w:rPr>
      </w:pPr>
    </w:p>
    <w:p>
      <w:pPr>
        <w:ind w:left="263" w:hanging="263"/>
        <w:spacing w:after="0"/>
        <w:tabs>
          <w:tab w:leader="none" w:pos="263" w:val="left"/>
        </w:tabs>
        <w:numPr>
          <w:ilvl w:val="0"/>
          <w:numId w:val="208"/>
        </w:numPr>
        <w:rPr>
          <w:rFonts w:ascii="Arial" w:cs="Arial" w:eastAsia="Arial" w:hAnsi="Arial"/>
          <w:sz w:val="18"/>
          <w:szCs w:val="18"/>
          <w:color w:val="auto"/>
        </w:rPr>
      </w:pPr>
      <w:r>
        <w:rPr>
          <w:rFonts w:ascii="Arial" w:cs="Arial" w:eastAsia="Arial" w:hAnsi="Arial"/>
          <w:sz w:val="18"/>
          <w:szCs w:val="18"/>
          <w:color w:val="auto"/>
        </w:rPr>
        <w:t>FUNDAMENTAL PRINCIPLES</w:t>
      </w:r>
    </w:p>
    <w:p>
      <w:pPr>
        <w:spacing w:after="0" w:line="15" w:lineRule="exact"/>
        <w:rPr>
          <w:sz w:val="20"/>
          <w:szCs w:val="20"/>
          <w:color w:val="auto"/>
        </w:rPr>
      </w:pPr>
    </w:p>
    <w:p>
      <w:pPr>
        <w:ind w:left="3"/>
        <w:spacing w:after="0"/>
        <w:rPr>
          <w:sz w:val="20"/>
          <w:szCs w:val="20"/>
          <w:color w:val="auto"/>
        </w:rPr>
      </w:pPr>
      <w:r>
        <w:rPr>
          <w:rFonts w:ascii="Arial" w:cs="Arial" w:eastAsia="Arial" w:hAnsi="Arial"/>
          <w:sz w:val="15"/>
          <w:szCs w:val="15"/>
          <w:color w:val="auto"/>
        </w:rPr>
        <w:t>III.1. Personal Finances</w:t>
      </w:r>
    </w:p>
    <w:p>
      <w:pPr>
        <w:spacing w:after="0" w:line="148" w:lineRule="exact"/>
        <w:rPr>
          <w:sz w:val="20"/>
          <w:szCs w:val="20"/>
          <w:color w:val="auto"/>
        </w:rPr>
      </w:pPr>
    </w:p>
    <w:p>
      <w:pPr>
        <w:ind w:left="3" w:right="20"/>
        <w:spacing w:after="0" w:line="267" w:lineRule="auto"/>
        <w:rPr>
          <w:sz w:val="20"/>
          <w:szCs w:val="20"/>
          <w:color w:val="auto"/>
        </w:rPr>
      </w:pPr>
      <w:r>
        <w:rPr>
          <w:rFonts w:ascii="Arial" w:cs="Arial" w:eastAsia="Arial" w:hAnsi="Arial"/>
          <w:sz w:val="13"/>
          <w:szCs w:val="13"/>
          <w:color w:val="auto"/>
        </w:rPr>
        <w:t>Those Subject to the Code must maintain exemplary financial conduct, having to give full and timely fulfilment of their obligations and financial commitments always. It Is Imperative that those who demand this behavior from their clients have consistent behavior.</w:t>
      </w:r>
    </w:p>
    <w:p>
      <w:pPr>
        <w:spacing w:after="0" w:line="129" w:lineRule="exact"/>
        <w:rPr>
          <w:sz w:val="20"/>
          <w:szCs w:val="20"/>
          <w:color w:val="auto"/>
        </w:rPr>
      </w:pPr>
    </w:p>
    <w:p>
      <w:pPr>
        <w:ind w:left="3" w:right="20"/>
        <w:spacing w:after="0" w:line="267" w:lineRule="auto"/>
        <w:rPr>
          <w:sz w:val="20"/>
          <w:szCs w:val="20"/>
          <w:color w:val="auto"/>
        </w:rPr>
      </w:pPr>
      <w:r>
        <w:rPr>
          <w:rFonts w:ascii="Arial" w:cs="Arial" w:eastAsia="Arial" w:hAnsi="Arial"/>
          <w:sz w:val="13"/>
          <w:szCs w:val="13"/>
          <w:color w:val="auto"/>
        </w:rPr>
        <w:t>The above means that those Subject to the Code must handle their banking, financial and commercial matters in general responsibly and in accordance with their real debt capacity. A criterion of utmost prudence Must prevail in this area, which is not compatible with the existence of unpaid or overdue obligations.</w:t>
      </w:r>
    </w:p>
    <w:p>
      <w:pPr>
        <w:spacing w:after="0" w:line="129" w:lineRule="exact"/>
        <w:rPr>
          <w:sz w:val="20"/>
          <w:szCs w:val="20"/>
          <w:color w:val="auto"/>
        </w:rPr>
      </w:pPr>
    </w:p>
    <w:p>
      <w:pPr>
        <w:ind w:left="3"/>
        <w:spacing w:after="0"/>
        <w:rPr>
          <w:sz w:val="20"/>
          <w:szCs w:val="20"/>
          <w:color w:val="auto"/>
        </w:rPr>
      </w:pPr>
      <w:r>
        <w:rPr>
          <w:rFonts w:ascii="Arial" w:cs="Arial" w:eastAsia="Arial" w:hAnsi="Arial"/>
          <w:sz w:val="11"/>
          <w:szCs w:val="11"/>
          <w:color w:val="auto"/>
        </w:rPr>
        <w:t>Those Subject to the Code that require it must request loans or financing exclusively in formal and recognized financial institutions that are habitually dedicated to these turns and that are within the current legal framework.</w:t>
      </w:r>
    </w:p>
    <w:p>
      <w:pPr>
        <w:spacing w:after="0" w:line="36" w:lineRule="exact"/>
        <w:rPr>
          <w:sz w:val="20"/>
          <w:szCs w:val="20"/>
          <w:color w:val="auto"/>
        </w:rPr>
      </w:pPr>
    </w:p>
    <w:p>
      <w:pPr>
        <w:ind w:left="3"/>
        <w:spacing w:after="0"/>
        <w:rPr>
          <w:sz w:val="20"/>
          <w:szCs w:val="20"/>
          <w:color w:val="auto"/>
        </w:rPr>
      </w:pPr>
      <w:r>
        <w:rPr>
          <w:rFonts w:ascii="Arial" w:cs="Arial" w:eastAsia="Arial" w:hAnsi="Arial"/>
          <w:sz w:val="13"/>
          <w:szCs w:val="13"/>
          <w:color w:val="auto"/>
        </w:rPr>
        <w:t>Informal entities whose financings imply a high financial cost, or the creation of disproportionate guarantees are prohibited.</w:t>
      </w:r>
    </w:p>
    <w:p>
      <w:pPr>
        <w:spacing w:after="0" w:line="150" w:lineRule="exact"/>
        <w:rPr>
          <w:sz w:val="20"/>
          <w:szCs w:val="20"/>
          <w:color w:val="auto"/>
        </w:rPr>
      </w:pPr>
    </w:p>
    <w:p>
      <w:pPr>
        <w:ind w:left="3"/>
        <w:spacing w:after="0"/>
        <w:rPr>
          <w:sz w:val="20"/>
          <w:szCs w:val="20"/>
          <w:color w:val="auto"/>
        </w:rPr>
      </w:pPr>
      <w:r>
        <w:rPr>
          <w:rFonts w:ascii="Arial" w:cs="Arial" w:eastAsia="Arial" w:hAnsi="Arial"/>
          <w:sz w:val="13"/>
          <w:szCs w:val="13"/>
          <w:color w:val="auto"/>
        </w:rPr>
        <w:t>Private investments or businesses carried out by those Subject to the Code must not be contrary to the interests of the Institution, ethics or good manners.</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2"/>
          <w:szCs w:val="12"/>
          <w:color w:val="auto"/>
        </w:rPr>
        <w:t>The extending of personal loans to third parties as a habitual business practice and/or getting involved in unlawful business shall be considered as inappropriate behavior for all People Covered by this Code.</w:t>
      </w:r>
    </w:p>
    <w:p>
      <w:pPr>
        <w:spacing w:after="0" w:line="324" w:lineRule="exact"/>
        <w:rPr>
          <w:sz w:val="20"/>
          <w:szCs w:val="20"/>
          <w:color w:val="auto"/>
        </w:rPr>
      </w:pPr>
    </w:p>
    <w:p>
      <w:pPr>
        <w:jc w:val="right"/>
        <w:spacing w:after="0"/>
        <w:rPr>
          <w:sz w:val="20"/>
          <w:szCs w:val="20"/>
          <w:color w:val="auto"/>
        </w:rPr>
      </w:pPr>
      <w:r>
        <w:rPr>
          <w:rFonts w:ascii="Arial" w:cs="Arial" w:eastAsia="Arial" w:hAnsi="Arial"/>
          <w:sz w:val="13"/>
          <w:szCs w:val="13"/>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41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244" w:name="page245"/>
    <w:bookmarkEnd w:id="244"/>
    <w:p>
      <w:pPr>
        <w:ind w:left="3"/>
        <w:spacing w:after="0"/>
        <w:rPr>
          <w:sz w:val="20"/>
          <w:szCs w:val="20"/>
          <w:color w:val="auto"/>
        </w:rPr>
      </w:pPr>
      <w:r>
        <w:rPr>
          <w:rFonts w:ascii="Arial" w:cs="Arial" w:eastAsia="Arial" w:hAnsi="Arial"/>
          <w:sz w:val="15"/>
          <w:szCs w:val="15"/>
          <w:color w:val="auto"/>
        </w:rPr>
        <w:t>III.2. Conflicts of Interest</w:t>
      </w:r>
    </w:p>
    <w:p>
      <w:pPr>
        <w:spacing w:after="0" w:line="160" w:lineRule="exact"/>
        <w:rPr>
          <w:sz w:val="20"/>
          <w:szCs w:val="20"/>
          <w:color w:val="auto"/>
        </w:rPr>
      </w:pPr>
    </w:p>
    <w:p>
      <w:pPr>
        <w:jc w:val="both"/>
        <w:ind w:left="3" w:right="20"/>
        <w:spacing w:after="0" w:line="252" w:lineRule="auto"/>
        <w:rPr>
          <w:sz w:val="20"/>
          <w:szCs w:val="20"/>
          <w:color w:val="auto"/>
        </w:rPr>
      </w:pPr>
      <w:r>
        <w:rPr>
          <w:rFonts w:ascii="Arial" w:cs="Arial" w:eastAsia="Arial" w:hAnsi="Arial"/>
          <w:sz w:val="13"/>
          <w:szCs w:val="13"/>
          <w:color w:val="auto"/>
        </w:rPr>
        <w:t>Any transaction which by its nature involves the Bank and a shareholder, Director, Dignitary or employee of the Bank, or a person from whom such shareholder, Director, Dignitary or employee is a shareholder, director, official, employee or agent, or a Person with whom any of them have a family relationship (all of them, "Related Persons"), presents a situation of potential conflict of interest. Therefore, all transactions of this kind must be conducted in the best interest of the Bank, with strict adherence to applicable laws and regulations and never for the individual benefit of a shareholder, or Director, Dignitary or employee related to The Bank or its Related People. For the purposes of the application of this standard, the guidelines and policies of the Bank, will develop the scope of the concepts contained here, including, for example, the minimum shareholding that a person should have in a company or the degree of Kinship to be considered as Related Persons.</w:t>
      </w:r>
    </w:p>
    <w:p>
      <w:pPr>
        <w:spacing w:after="0" w:line="139" w:lineRule="exact"/>
        <w:rPr>
          <w:sz w:val="20"/>
          <w:szCs w:val="20"/>
          <w:color w:val="auto"/>
        </w:rPr>
      </w:pPr>
    </w:p>
    <w:p>
      <w:pPr>
        <w:ind w:left="3"/>
        <w:spacing w:after="0"/>
        <w:rPr>
          <w:sz w:val="20"/>
          <w:szCs w:val="20"/>
          <w:color w:val="auto"/>
        </w:rPr>
      </w:pPr>
      <w:r>
        <w:rPr>
          <w:rFonts w:ascii="Arial" w:cs="Arial" w:eastAsia="Arial" w:hAnsi="Arial"/>
          <w:sz w:val="13"/>
          <w:szCs w:val="13"/>
          <w:color w:val="auto"/>
        </w:rPr>
        <w:t>Regarding the decisions made by the Bank about such transaction where there might be a conflict of interest, it shall proceed as follows:</w:t>
      </w:r>
    </w:p>
    <w:p>
      <w:pPr>
        <w:spacing w:after="0" w:line="159" w:lineRule="exact"/>
        <w:rPr>
          <w:sz w:val="20"/>
          <w:szCs w:val="20"/>
          <w:color w:val="auto"/>
        </w:rPr>
      </w:pPr>
    </w:p>
    <w:p>
      <w:pPr>
        <w:ind w:left="183" w:hanging="183"/>
        <w:spacing w:after="0"/>
        <w:tabs>
          <w:tab w:leader="none" w:pos="183" w:val="left"/>
        </w:tabs>
        <w:numPr>
          <w:ilvl w:val="0"/>
          <w:numId w:val="209"/>
        </w:numPr>
        <w:rPr>
          <w:rFonts w:ascii="Arial" w:cs="Arial" w:eastAsia="Arial" w:hAnsi="Arial"/>
          <w:sz w:val="13"/>
          <w:szCs w:val="13"/>
          <w:color w:val="auto"/>
        </w:rPr>
      </w:pPr>
      <w:r>
        <w:rPr>
          <w:rFonts w:ascii="Arial" w:cs="Arial" w:eastAsia="Arial" w:hAnsi="Arial"/>
          <w:sz w:val="13"/>
          <w:szCs w:val="13"/>
          <w:color w:val="auto"/>
        </w:rPr>
        <w:t>Those Subject to the Code who may find themselves in a conflict of interest situation regarding a specific transaction shall disclose it to the Compliance Officer.</w:t>
      </w:r>
    </w:p>
    <w:p>
      <w:pPr>
        <w:spacing w:after="0" w:line="158" w:lineRule="exact"/>
        <w:rPr>
          <w:rFonts w:ascii="Arial" w:cs="Arial" w:eastAsia="Arial" w:hAnsi="Arial"/>
          <w:sz w:val="13"/>
          <w:szCs w:val="13"/>
          <w:color w:val="auto"/>
        </w:rPr>
      </w:pPr>
    </w:p>
    <w:p>
      <w:pPr>
        <w:ind w:left="183" w:right="20" w:hanging="183"/>
        <w:spacing w:after="0" w:line="267" w:lineRule="auto"/>
        <w:tabs>
          <w:tab w:leader="none" w:pos="183" w:val="left"/>
        </w:tabs>
        <w:numPr>
          <w:ilvl w:val="0"/>
          <w:numId w:val="209"/>
        </w:numPr>
        <w:rPr>
          <w:rFonts w:ascii="Arial" w:cs="Arial" w:eastAsia="Arial" w:hAnsi="Arial"/>
          <w:sz w:val="13"/>
          <w:szCs w:val="13"/>
          <w:color w:val="auto"/>
        </w:rPr>
      </w:pPr>
      <w:r>
        <w:rPr>
          <w:rFonts w:ascii="Arial" w:cs="Arial" w:eastAsia="Arial" w:hAnsi="Arial"/>
          <w:sz w:val="13"/>
          <w:szCs w:val="13"/>
          <w:color w:val="auto"/>
        </w:rPr>
        <w:t>Subject to the Code who may find themselves in a conflict of interest situation regarding a specific transaction should refrain from any communications that could influence the people in charge of such transaction, regarding the issue that causes the conflict of interest situation.</w:t>
      </w:r>
    </w:p>
    <w:p>
      <w:pPr>
        <w:spacing w:after="0" w:line="129" w:lineRule="exact"/>
        <w:rPr>
          <w:rFonts w:ascii="Arial" w:cs="Arial" w:eastAsia="Arial" w:hAnsi="Arial"/>
          <w:sz w:val="13"/>
          <w:szCs w:val="13"/>
          <w:color w:val="auto"/>
        </w:rPr>
      </w:pPr>
    </w:p>
    <w:p>
      <w:pPr>
        <w:ind w:left="183" w:hanging="183"/>
        <w:spacing w:after="0"/>
        <w:tabs>
          <w:tab w:leader="none" w:pos="183" w:val="left"/>
        </w:tabs>
        <w:numPr>
          <w:ilvl w:val="0"/>
          <w:numId w:val="209"/>
        </w:numPr>
        <w:rPr>
          <w:rFonts w:ascii="Arial" w:cs="Arial" w:eastAsia="Arial" w:hAnsi="Arial"/>
          <w:sz w:val="13"/>
          <w:szCs w:val="13"/>
          <w:color w:val="auto"/>
        </w:rPr>
      </w:pPr>
      <w:r>
        <w:rPr>
          <w:rFonts w:ascii="Arial" w:cs="Arial" w:eastAsia="Arial" w:hAnsi="Arial"/>
          <w:sz w:val="13"/>
          <w:szCs w:val="13"/>
          <w:color w:val="auto"/>
        </w:rPr>
        <w:t>If it is appropriate to take a collegiate decision regarding the transaction, then such decisions shall be made with the abstention of Subject to the Code who may have a conflict situation.</w:t>
      </w:r>
    </w:p>
    <w:p>
      <w:pPr>
        <w:spacing w:after="0" w:line="153" w:lineRule="exact"/>
        <w:rPr>
          <w:sz w:val="20"/>
          <w:szCs w:val="20"/>
          <w:color w:val="auto"/>
        </w:rPr>
      </w:pPr>
    </w:p>
    <w:p>
      <w:pPr>
        <w:ind w:left="3"/>
        <w:spacing w:after="0"/>
        <w:rPr>
          <w:sz w:val="20"/>
          <w:szCs w:val="20"/>
          <w:color w:val="auto"/>
        </w:rPr>
      </w:pPr>
      <w:r>
        <w:rPr>
          <w:rFonts w:ascii="Arial" w:cs="Arial" w:eastAsia="Arial" w:hAnsi="Arial"/>
          <w:sz w:val="15"/>
          <w:szCs w:val="15"/>
          <w:color w:val="auto"/>
        </w:rPr>
        <w:t>III.2.a. Transactions with Related Parties</w:t>
      </w:r>
    </w:p>
    <w:p>
      <w:pPr>
        <w:spacing w:after="0" w:line="160" w:lineRule="exact"/>
        <w:rPr>
          <w:sz w:val="20"/>
          <w:szCs w:val="20"/>
          <w:color w:val="auto"/>
        </w:rPr>
      </w:pPr>
    </w:p>
    <w:p>
      <w:pPr>
        <w:ind w:left="3" w:right="20"/>
        <w:spacing w:after="0" w:line="267" w:lineRule="auto"/>
        <w:rPr>
          <w:sz w:val="20"/>
          <w:szCs w:val="20"/>
          <w:color w:val="auto"/>
        </w:rPr>
      </w:pPr>
      <w:r>
        <w:rPr>
          <w:rFonts w:ascii="Arial" w:cs="Arial" w:eastAsia="Arial" w:hAnsi="Arial"/>
          <w:sz w:val="13"/>
          <w:szCs w:val="13"/>
          <w:color w:val="auto"/>
        </w:rPr>
        <w:t>Bladex strictly adheres to the dispositions that establish limits to transactions between natural and legal persons considered as "Related Parties", in force applicable in the jurisdictions in which it operates. If there are differences between the different legislations, Bladex will always adopt the most stringent and conservative.</w:t>
      </w:r>
    </w:p>
    <w:p>
      <w:pPr>
        <w:spacing w:after="0" w:line="129" w:lineRule="exact"/>
        <w:rPr>
          <w:sz w:val="20"/>
          <w:szCs w:val="20"/>
          <w:color w:val="auto"/>
        </w:rPr>
      </w:pPr>
    </w:p>
    <w:p>
      <w:pPr>
        <w:ind w:left="3" w:right="20"/>
        <w:spacing w:after="0" w:line="310" w:lineRule="auto"/>
        <w:rPr>
          <w:sz w:val="20"/>
          <w:szCs w:val="20"/>
          <w:color w:val="auto"/>
        </w:rPr>
      </w:pPr>
      <w:r>
        <w:rPr>
          <w:rFonts w:ascii="Arial" w:cs="Arial" w:eastAsia="Arial" w:hAnsi="Arial"/>
          <w:sz w:val="12"/>
          <w:szCs w:val="12"/>
          <w:color w:val="auto"/>
        </w:rPr>
        <w:t xml:space="preserve">Any transaction carried out with a Related Party must be assessed in the first instance by the Bank’s Legal and Compliance departments. This Review is intended to determine that it does not contravene the laws and regulations in force of the Republic of Panama, those issued by the </w:t>
      </w:r>
      <w:r>
        <w:rPr>
          <w:rFonts w:ascii="Arial" w:cs="Arial" w:eastAsia="Arial" w:hAnsi="Arial"/>
          <w:sz w:val="12"/>
          <w:szCs w:val="12"/>
          <w:i w:val="1"/>
          <w:iCs w:val="1"/>
          <w:color w:val="auto"/>
        </w:rPr>
        <w:t>Securities and Exchange Commission</w:t>
      </w:r>
      <w:r>
        <w:rPr>
          <w:rFonts w:ascii="Arial" w:cs="Arial" w:eastAsia="Arial" w:hAnsi="Arial"/>
          <w:sz w:val="12"/>
          <w:szCs w:val="12"/>
          <w:color w:val="auto"/>
        </w:rPr>
        <w:t xml:space="preserve"> ("SEC") of the United States of America, or any other existing legal provision applicable to the Bank.</w:t>
      </w:r>
    </w:p>
    <w:p>
      <w:pPr>
        <w:spacing w:after="0" w:line="100" w:lineRule="exact"/>
        <w:rPr>
          <w:sz w:val="20"/>
          <w:szCs w:val="20"/>
          <w:color w:val="auto"/>
        </w:rPr>
      </w:pPr>
    </w:p>
    <w:p>
      <w:pPr>
        <w:ind w:left="3"/>
        <w:spacing w:after="0"/>
        <w:rPr>
          <w:sz w:val="20"/>
          <w:szCs w:val="20"/>
          <w:color w:val="auto"/>
        </w:rPr>
      </w:pPr>
      <w:r>
        <w:rPr>
          <w:rFonts w:ascii="Arial" w:cs="Arial" w:eastAsia="Arial" w:hAnsi="Arial"/>
          <w:sz w:val="15"/>
          <w:szCs w:val="15"/>
          <w:color w:val="auto"/>
        </w:rPr>
        <w:t>III.2.b. Invitations and Gifts</w:t>
      </w:r>
    </w:p>
    <w:p>
      <w:pPr>
        <w:spacing w:after="0" w:line="160" w:lineRule="exact"/>
        <w:rPr>
          <w:sz w:val="20"/>
          <w:szCs w:val="20"/>
          <w:color w:val="auto"/>
        </w:rPr>
      </w:pPr>
    </w:p>
    <w:p>
      <w:pPr>
        <w:ind w:left="3" w:right="20"/>
        <w:spacing w:after="0" w:line="267" w:lineRule="auto"/>
        <w:rPr>
          <w:sz w:val="20"/>
          <w:szCs w:val="20"/>
          <w:color w:val="auto"/>
        </w:rPr>
      </w:pPr>
      <w:r>
        <w:rPr>
          <w:rFonts w:ascii="Arial" w:cs="Arial" w:eastAsia="Arial" w:hAnsi="Arial"/>
          <w:sz w:val="13"/>
          <w:szCs w:val="13"/>
          <w:color w:val="auto"/>
        </w:rPr>
        <w:t>None of those Subject to the Code shall request or accept from third parties’ fees, commissions, gifts, remunerations or lucrative benefits on a transaction, service or business carried out with the Institution and/or its Subsidiaries.</w:t>
      </w:r>
    </w:p>
    <w:p>
      <w:pPr>
        <w:spacing w:after="0" w:line="283" w:lineRule="exact"/>
        <w:rPr>
          <w:sz w:val="20"/>
          <w:szCs w:val="20"/>
          <w:color w:val="auto"/>
        </w:rPr>
      </w:pPr>
    </w:p>
    <w:p>
      <w:pPr>
        <w:jc w:val="right"/>
        <w:spacing w:after="0"/>
        <w:rPr>
          <w:sz w:val="20"/>
          <w:szCs w:val="20"/>
          <w:color w:val="auto"/>
        </w:rPr>
      </w:pPr>
      <w:r>
        <w:rPr>
          <w:rFonts w:ascii="Arial" w:cs="Arial" w:eastAsia="Arial" w:hAnsi="Arial"/>
          <w:sz w:val="13"/>
          <w:szCs w:val="13"/>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41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3" w:right="199" w:bottom="1440" w:gutter="0" w:footer="0" w:header="0"/>
        </w:sectPr>
      </w:pPr>
    </w:p>
    <w:bookmarkStart w:id="245" w:name="page246"/>
    <w:bookmarkEnd w:id="245"/>
    <w:p>
      <w:pPr>
        <w:jc w:val="both"/>
        <w:spacing w:after="0" w:line="326" w:lineRule="auto"/>
        <w:rPr>
          <w:sz w:val="20"/>
          <w:szCs w:val="20"/>
          <w:color w:val="auto"/>
        </w:rPr>
      </w:pPr>
      <w:r>
        <w:rPr>
          <w:rFonts w:ascii="Arial" w:cs="Arial" w:eastAsia="Arial" w:hAnsi="Arial"/>
          <w:sz w:val="11"/>
          <w:szCs w:val="11"/>
          <w:color w:val="auto"/>
        </w:rPr>
        <w:t>Exceptions to the above are any symbolic or corporate gifts, invitations to dinners or events on a work meeting. The foregoing, if it does not, under any circumstances, mean a commitment, influence or, in its character, nature or frequency, it could be interpreted as a deliberate will to affect the independence, impartiality or criterion of the person. Notwithstanding the above, those Subject to the Code shall not accept gifts or invitations of the type described in this section whose value exceeds $200. In case of doubt as to whether it is appropriate to accept a gift or an invitation, you must ask the Compliance Officer before accepting one or the other.</w:t>
      </w:r>
    </w:p>
    <w:p>
      <w:pPr>
        <w:spacing w:after="0" w:line="101" w:lineRule="exact"/>
        <w:rPr>
          <w:sz w:val="20"/>
          <w:szCs w:val="20"/>
          <w:color w:val="auto"/>
        </w:rPr>
      </w:pPr>
    </w:p>
    <w:p>
      <w:pPr>
        <w:spacing w:after="0"/>
        <w:rPr>
          <w:sz w:val="20"/>
          <w:szCs w:val="20"/>
          <w:color w:val="auto"/>
        </w:rPr>
      </w:pPr>
      <w:r>
        <w:rPr>
          <w:rFonts w:ascii="Arial" w:cs="Arial" w:eastAsia="Arial" w:hAnsi="Arial"/>
          <w:sz w:val="12"/>
          <w:szCs w:val="12"/>
          <w:color w:val="auto"/>
        </w:rPr>
        <w:t>If the situation makes it inconvenient to refuse a gift, it must be informed in writing to the Compliance Officer who may order the gift provision and the donation of the money raised to a non-profit organization.</w:t>
      </w:r>
    </w:p>
    <w:p>
      <w:pPr>
        <w:spacing w:after="0" w:line="164" w:lineRule="exact"/>
        <w:rPr>
          <w:sz w:val="20"/>
          <w:szCs w:val="20"/>
          <w:color w:val="auto"/>
        </w:rPr>
      </w:pPr>
    </w:p>
    <w:p>
      <w:pPr>
        <w:spacing w:after="0"/>
        <w:rPr>
          <w:sz w:val="20"/>
          <w:szCs w:val="20"/>
          <w:color w:val="auto"/>
        </w:rPr>
      </w:pPr>
      <w:r>
        <w:rPr>
          <w:rFonts w:ascii="Arial" w:cs="Arial" w:eastAsia="Arial" w:hAnsi="Arial"/>
          <w:sz w:val="15"/>
          <w:szCs w:val="15"/>
          <w:color w:val="auto"/>
        </w:rPr>
        <w:t>III.2.c. Corporate Gift and Gift Delivery</w:t>
      </w:r>
    </w:p>
    <w:p>
      <w:pPr>
        <w:spacing w:after="0" w:line="160"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According to the Bank's marketing policies and strategies, corporate gifts and hand-outs may be delivered to its Customers on the Bank´s behalf, if they adequately represent the corporate image of the Institution and its destination is exclusively for Customers.</w:t>
      </w:r>
    </w:p>
    <w:p>
      <w:pPr>
        <w:spacing w:after="0" w:line="12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Bank will not, nor the Subject to the Code on behalf of the latter will make, payments, donations or gifts to persons, political parties, ministries, public entities or third parties in general, with the purpose of securing a business or gaining influence in its decisions.</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color w:val="auto"/>
        </w:rPr>
        <w:t>Nor shall any compensation, benefit or gift be offered or extended to any external person or entity to influence or support the outcome of a business, even if this may have positive effects for the Bank.</w:t>
      </w:r>
    </w:p>
    <w:p>
      <w:pPr>
        <w:spacing w:after="0" w:line="153" w:lineRule="exact"/>
        <w:rPr>
          <w:sz w:val="20"/>
          <w:szCs w:val="20"/>
          <w:color w:val="auto"/>
        </w:rPr>
      </w:pPr>
    </w:p>
    <w:p>
      <w:pPr>
        <w:spacing w:after="0"/>
        <w:rPr>
          <w:sz w:val="20"/>
          <w:szCs w:val="20"/>
          <w:color w:val="auto"/>
        </w:rPr>
      </w:pPr>
      <w:r>
        <w:rPr>
          <w:rFonts w:ascii="Arial" w:cs="Arial" w:eastAsia="Arial" w:hAnsi="Arial"/>
          <w:sz w:val="15"/>
          <w:szCs w:val="15"/>
          <w:color w:val="auto"/>
        </w:rPr>
        <w:t>III.2.d. Relationship with Suppliers</w:t>
      </w:r>
    </w:p>
    <w:p>
      <w:pPr>
        <w:spacing w:after="0" w:line="160"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relationship between the Subjects to the Code and suppliers must remain strictly independent and according to the corporate interests, in faithful fulfillment of the provisions of this Code always having to privilege the parameters of utility, quality and Institution's budget.</w:t>
      </w:r>
    </w:p>
    <w:p>
      <w:pPr>
        <w:spacing w:after="0" w:line="12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In the case of external auditors, the Bank shall observe, in addition to the foregoing, the provisions of ISB standard No. 1 of the SEC and the Sarbanes-Oxley Act regarding the rules of independence prohibiting hiring of the auditors ' signature. That was part of the team that audited the Bank's financial statements and its subsidiaries over the past two years.</w:t>
      </w:r>
    </w:p>
    <w:p>
      <w:pPr>
        <w:spacing w:after="0" w:line="124" w:lineRule="exact"/>
        <w:rPr>
          <w:sz w:val="20"/>
          <w:szCs w:val="20"/>
          <w:color w:val="auto"/>
        </w:rPr>
      </w:pPr>
    </w:p>
    <w:p>
      <w:pPr>
        <w:spacing w:after="0"/>
        <w:rPr>
          <w:sz w:val="20"/>
          <w:szCs w:val="20"/>
          <w:color w:val="auto"/>
        </w:rPr>
      </w:pPr>
      <w:r>
        <w:rPr>
          <w:rFonts w:ascii="Arial" w:cs="Arial" w:eastAsia="Arial" w:hAnsi="Arial"/>
          <w:sz w:val="15"/>
          <w:szCs w:val="15"/>
          <w:color w:val="auto"/>
        </w:rPr>
        <w:t>III.2.e. Travel Per-Diem and Expenses to be Reported</w:t>
      </w:r>
    </w:p>
    <w:p>
      <w:pPr>
        <w:spacing w:after="0" w:line="160"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funds that the Institution provides to its employees for the performance of their activities They are owned by that, so they should be given the use for which they were assigned, keeping strict transparency and making the required reports in accordance with the guidelines that the Bank establishes for that purpose.</w:t>
      </w:r>
    </w:p>
    <w:p>
      <w:pPr>
        <w:spacing w:after="0" w:line="283" w:lineRule="exact"/>
        <w:rPr>
          <w:sz w:val="20"/>
          <w:szCs w:val="20"/>
          <w:color w:val="auto"/>
        </w:rPr>
      </w:pPr>
    </w:p>
    <w:p>
      <w:pPr>
        <w:jc w:val="right"/>
        <w:spacing w:after="0"/>
        <w:rPr>
          <w:sz w:val="20"/>
          <w:szCs w:val="20"/>
          <w:color w:val="auto"/>
        </w:rPr>
      </w:pPr>
      <w:r>
        <w:rPr>
          <w:rFonts w:ascii="Arial" w:cs="Arial" w:eastAsia="Arial" w:hAnsi="Arial"/>
          <w:sz w:val="13"/>
          <w:szCs w:val="13"/>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41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246" w:name="page247"/>
    <w:bookmarkEnd w:id="246"/>
    <w:p>
      <w:pPr>
        <w:spacing w:after="0"/>
        <w:rPr>
          <w:sz w:val="20"/>
          <w:szCs w:val="20"/>
          <w:color w:val="auto"/>
        </w:rPr>
      </w:pPr>
      <w:r>
        <w:rPr>
          <w:rFonts w:ascii="Arial" w:cs="Arial" w:eastAsia="Arial" w:hAnsi="Arial"/>
          <w:sz w:val="15"/>
          <w:szCs w:val="15"/>
          <w:color w:val="auto"/>
        </w:rPr>
        <w:t>III.2.f. Use of insider information and other related aspects</w:t>
      </w:r>
    </w:p>
    <w:p>
      <w:pPr>
        <w:spacing w:after="0" w:line="160" w:lineRule="exact"/>
        <w:rPr>
          <w:sz w:val="20"/>
          <w:szCs w:val="20"/>
          <w:color w:val="auto"/>
        </w:rPr>
      </w:pPr>
    </w:p>
    <w:p>
      <w:pPr>
        <w:jc w:val="both"/>
        <w:ind w:right="20"/>
        <w:spacing w:after="0" w:line="326" w:lineRule="auto"/>
        <w:rPr>
          <w:sz w:val="20"/>
          <w:szCs w:val="20"/>
          <w:color w:val="auto"/>
        </w:rPr>
      </w:pPr>
      <w:r>
        <w:rPr>
          <w:rFonts w:ascii="Arial" w:cs="Arial" w:eastAsia="Arial" w:hAnsi="Arial"/>
          <w:sz w:val="11"/>
          <w:szCs w:val="11"/>
          <w:color w:val="auto"/>
        </w:rPr>
        <w:t>All People Covered by this Code should abstain, when going about their personal investments, from using such information as they may have become aware of because of their position and work for their own benefit or that of any other person. Those who do have access to any inside or confidential information of Bladex or its securities, should abstain from trading in those instruments. In turn, those who are aware of the investment policies and strategies, plans, studies or negotiations, should not use such information, neither directly nor indirectly, for obtaining any advantage in any operations, neither for their own benefit nor for that of any third party.</w:t>
      </w:r>
    </w:p>
    <w:p>
      <w:pPr>
        <w:spacing w:after="0" w:line="101"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None of those Subject to the Code may make use of privileged information to carry out transactions with securities issued by any of the companies belonging to its client portfolio, or from any other issuer in respect of which it owns this type of Information.</w:t>
      </w:r>
    </w:p>
    <w:p>
      <w:pPr>
        <w:spacing w:after="0" w:line="129" w:lineRule="exact"/>
        <w:rPr>
          <w:sz w:val="20"/>
          <w:szCs w:val="20"/>
          <w:color w:val="auto"/>
        </w:rPr>
      </w:pPr>
    </w:p>
    <w:p>
      <w:pPr>
        <w:spacing w:after="0"/>
        <w:rPr>
          <w:sz w:val="20"/>
          <w:szCs w:val="20"/>
          <w:color w:val="auto"/>
        </w:rPr>
      </w:pPr>
      <w:r>
        <w:rPr>
          <w:rFonts w:ascii="Arial" w:cs="Arial" w:eastAsia="Arial" w:hAnsi="Arial"/>
          <w:sz w:val="12"/>
          <w:szCs w:val="12"/>
          <w:color w:val="auto"/>
        </w:rPr>
        <w:t>They are also subject to these rules of use of insider information, all currencies, rate insurance or similar insurance modalities that exist on the market financial (derivatives), simultaneous operations and short sales.</w:t>
      </w:r>
    </w:p>
    <w:p>
      <w:pPr>
        <w:spacing w:after="0" w:line="170"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Any acquisition or disposal referred to public offering securities made by any employee of the Institution that, depending on its position, accesses or can access information privileged, must be communicated to the Compliance Officer, in writing.</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color w:val="auto"/>
        </w:rPr>
        <w:t>Without prejudice to the above, it is advisable for the employees of the Institution to carry out their personal transactions for investment and non-speculative purposes.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III.2. f.1. “Window period” and “Black-out Period”</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A Window period is the time interval during which the Subject to the Code can freely trade transactions that involve shares of the Bank’s stock.</w:t>
      </w:r>
    </w:p>
    <w:p>
      <w:pPr>
        <w:spacing w:after="0" w:line="159" w:lineRule="exact"/>
        <w:rPr>
          <w:sz w:val="20"/>
          <w:szCs w:val="20"/>
          <w:color w:val="auto"/>
        </w:rPr>
      </w:pPr>
    </w:p>
    <w:p>
      <w:pPr>
        <w:jc w:val="both"/>
        <w:ind w:right="20"/>
        <w:spacing w:after="0" w:line="360" w:lineRule="auto"/>
        <w:rPr>
          <w:sz w:val="20"/>
          <w:szCs w:val="20"/>
          <w:color w:val="auto"/>
        </w:rPr>
      </w:pPr>
      <w:r>
        <w:rPr>
          <w:rFonts w:ascii="Arial" w:cs="Arial" w:eastAsia="Arial" w:hAnsi="Arial"/>
          <w:sz w:val="11"/>
          <w:szCs w:val="11"/>
          <w:color w:val="auto"/>
        </w:rPr>
        <w:t>Generally, unless there is any reason that leads the Bank to close the Open Period, it is established that it begins three (3) business days after the issuance of the press releases on the Bank's financial results and lasts for a period of forty-five (45) calendar days after the issuance of the corresponding press release, or until the 15th day of the month of the close of each quarter (March, June, September and December), whichever occurs first.</w:t>
      </w:r>
    </w:p>
    <w:p>
      <w:pPr>
        <w:spacing w:after="0" w:line="83" w:lineRule="exact"/>
        <w:rPr>
          <w:sz w:val="20"/>
          <w:szCs w:val="20"/>
          <w:color w:val="auto"/>
        </w:rPr>
      </w:pPr>
    </w:p>
    <w:p>
      <w:pPr>
        <w:spacing w:after="0"/>
        <w:rPr>
          <w:sz w:val="20"/>
          <w:szCs w:val="20"/>
          <w:color w:val="auto"/>
        </w:rPr>
      </w:pPr>
      <w:r>
        <w:rPr>
          <w:rFonts w:ascii="Arial" w:cs="Arial" w:eastAsia="Arial" w:hAnsi="Arial"/>
          <w:sz w:val="11"/>
          <w:szCs w:val="11"/>
          <w:color w:val="auto"/>
        </w:rPr>
        <w:t>The period that begins after the last day of the Open Period and ends at the end of three (3) business days after the issuance of the following press release on the Bank's financial results is called the "Blackout Period".</w:t>
      </w:r>
    </w:p>
    <w:p>
      <w:pPr>
        <w:spacing w:after="0" w:line="182" w:lineRule="exact"/>
        <w:rPr>
          <w:sz w:val="20"/>
          <w:szCs w:val="20"/>
          <w:color w:val="auto"/>
        </w:rPr>
      </w:pPr>
    </w:p>
    <w:p>
      <w:pPr>
        <w:spacing w:after="0"/>
        <w:rPr>
          <w:sz w:val="20"/>
          <w:szCs w:val="20"/>
          <w:color w:val="auto"/>
        </w:rPr>
      </w:pPr>
      <w:r>
        <w:rPr>
          <w:rFonts w:ascii="Arial" w:cs="Arial" w:eastAsia="Arial" w:hAnsi="Arial"/>
          <w:sz w:val="13"/>
          <w:szCs w:val="13"/>
          <w:color w:val="auto"/>
        </w:rPr>
        <w:t>Bladex shall retain the right to increase the duration of the Blackout Period or to restrict the window period at its entire discretion.</w:t>
      </w:r>
    </w:p>
    <w:p>
      <w:pPr>
        <w:spacing w:after="0" w:line="313" w:lineRule="exact"/>
        <w:rPr>
          <w:sz w:val="20"/>
          <w:szCs w:val="20"/>
          <w:color w:val="auto"/>
        </w:rPr>
      </w:pPr>
    </w:p>
    <w:p>
      <w:pPr>
        <w:jc w:val="right"/>
        <w:spacing w:after="0"/>
        <w:rPr>
          <w:sz w:val="20"/>
          <w:szCs w:val="20"/>
          <w:color w:val="auto"/>
        </w:rPr>
      </w:pPr>
      <w:r>
        <w:rPr>
          <w:rFonts w:ascii="Arial" w:cs="Arial" w:eastAsia="Arial" w:hAnsi="Arial"/>
          <w:sz w:val="13"/>
          <w:szCs w:val="13"/>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41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3" w:right="199" w:bottom="1440" w:gutter="0" w:footer="0" w:header="0"/>
        </w:sectPr>
      </w:pPr>
    </w:p>
    <w:bookmarkStart w:id="247" w:name="page248"/>
    <w:bookmarkEnd w:id="247"/>
    <w:p>
      <w:pPr>
        <w:ind w:right="20"/>
        <w:spacing w:after="0" w:line="267" w:lineRule="auto"/>
        <w:rPr>
          <w:sz w:val="20"/>
          <w:szCs w:val="20"/>
          <w:color w:val="auto"/>
        </w:rPr>
      </w:pPr>
      <w:r>
        <w:rPr>
          <w:rFonts w:ascii="Arial" w:cs="Arial" w:eastAsia="Arial" w:hAnsi="Arial"/>
          <w:sz w:val="13"/>
          <w:szCs w:val="13"/>
          <w:color w:val="auto"/>
        </w:rPr>
        <w:t>People Covered by this Code shall submit written notification using the form provided by the Bank thereto of any type of trades of Bladex shares carried out, immediately upon their execution, to the following persons designated thereto:</w:t>
      </w:r>
    </w:p>
    <w:p>
      <w:pPr>
        <w:spacing w:after="0" w:line="129" w:lineRule="exact"/>
        <w:rPr>
          <w:sz w:val="20"/>
          <w:szCs w:val="20"/>
          <w:color w:val="auto"/>
        </w:rPr>
      </w:pPr>
    </w:p>
    <w:p>
      <w:pPr>
        <w:ind w:left="460" w:hanging="232"/>
        <w:spacing w:after="0"/>
        <w:tabs>
          <w:tab w:leader="none" w:pos="460" w:val="left"/>
        </w:tabs>
        <w:numPr>
          <w:ilvl w:val="0"/>
          <w:numId w:val="210"/>
        </w:numPr>
        <w:rPr>
          <w:rFonts w:ascii="Arial" w:cs="Arial" w:eastAsia="Arial" w:hAnsi="Arial"/>
          <w:sz w:val="13"/>
          <w:szCs w:val="13"/>
          <w:color w:val="auto"/>
        </w:rPr>
      </w:pPr>
      <w:r>
        <w:rPr>
          <w:rFonts w:ascii="Arial" w:cs="Arial" w:eastAsia="Arial" w:hAnsi="Arial"/>
          <w:sz w:val="13"/>
          <w:szCs w:val="13"/>
          <w:color w:val="auto"/>
        </w:rPr>
        <w:t>For Bank Directors or Dignitaries, including the CEO, notification should be made to the Chairman of the Board of Directors of the Bank with a copy to the Shareholder Relations Department.</w:t>
      </w:r>
    </w:p>
    <w:p>
      <w:pPr>
        <w:spacing w:after="0" w:line="12" w:lineRule="exact"/>
        <w:rPr>
          <w:rFonts w:ascii="Arial" w:cs="Arial" w:eastAsia="Arial" w:hAnsi="Arial"/>
          <w:sz w:val="13"/>
          <w:szCs w:val="13"/>
          <w:color w:val="auto"/>
        </w:rPr>
      </w:pPr>
    </w:p>
    <w:p>
      <w:pPr>
        <w:ind w:left="460" w:hanging="232"/>
        <w:spacing w:after="0"/>
        <w:tabs>
          <w:tab w:leader="none" w:pos="460" w:val="left"/>
        </w:tabs>
        <w:numPr>
          <w:ilvl w:val="0"/>
          <w:numId w:val="210"/>
        </w:numPr>
        <w:rPr>
          <w:rFonts w:ascii="Arial" w:cs="Arial" w:eastAsia="Arial" w:hAnsi="Arial"/>
          <w:sz w:val="13"/>
          <w:szCs w:val="13"/>
          <w:color w:val="auto"/>
        </w:rPr>
      </w:pPr>
      <w:r>
        <w:rPr>
          <w:rFonts w:ascii="Arial" w:cs="Arial" w:eastAsia="Arial" w:hAnsi="Arial"/>
          <w:sz w:val="13"/>
          <w:szCs w:val="13"/>
          <w:color w:val="auto"/>
        </w:rPr>
        <w:t>For the Chairman of the Board of Directors of the Bank, notification should be made to the President of the Bank’s Audit Committee with a copy to the Shareholder Relations Department.</w:t>
      </w:r>
    </w:p>
    <w:p>
      <w:pPr>
        <w:spacing w:after="0" w:line="4" w:lineRule="exact"/>
        <w:rPr>
          <w:rFonts w:ascii="Arial" w:cs="Arial" w:eastAsia="Arial" w:hAnsi="Arial"/>
          <w:sz w:val="13"/>
          <w:szCs w:val="13"/>
          <w:color w:val="auto"/>
        </w:rPr>
      </w:pPr>
    </w:p>
    <w:p>
      <w:pPr>
        <w:ind w:left="460" w:hanging="232"/>
        <w:spacing w:after="0"/>
        <w:tabs>
          <w:tab w:leader="none" w:pos="460" w:val="left"/>
        </w:tabs>
        <w:numPr>
          <w:ilvl w:val="0"/>
          <w:numId w:val="210"/>
        </w:numPr>
        <w:rPr>
          <w:rFonts w:ascii="Arial" w:cs="Arial" w:eastAsia="Arial" w:hAnsi="Arial"/>
          <w:sz w:val="13"/>
          <w:szCs w:val="13"/>
          <w:color w:val="auto"/>
        </w:rPr>
      </w:pPr>
      <w:r>
        <w:rPr>
          <w:rFonts w:ascii="Arial" w:cs="Arial" w:eastAsia="Arial" w:hAnsi="Arial"/>
          <w:sz w:val="13"/>
          <w:szCs w:val="13"/>
          <w:color w:val="auto"/>
        </w:rPr>
        <w:t>For Bank Employees, notification should be made to the CEO with a copy to the Human Development and the Shareholders Relations departments.</w:t>
      </w:r>
    </w:p>
    <w:p>
      <w:pPr>
        <w:spacing w:after="0" w:line="150" w:lineRule="exact"/>
        <w:rPr>
          <w:sz w:val="20"/>
          <w:szCs w:val="20"/>
          <w:color w:val="auto"/>
        </w:rPr>
      </w:pPr>
    </w:p>
    <w:p>
      <w:pPr>
        <w:spacing w:after="0"/>
        <w:rPr>
          <w:sz w:val="20"/>
          <w:szCs w:val="20"/>
          <w:color w:val="auto"/>
        </w:rPr>
      </w:pPr>
      <w:r>
        <w:rPr>
          <w:rFonts w:ascii="Arial" w:cs="Arial" w:eastAsia="Arial" w:hAnsi="Arial"/>
          <w:sz w:val="13"/>
          <w:szCs w:val="13"/>
          <w:color w:val="auto"/>
        </w:rPr>
        <w:t>The above designated persons shall send copies of the completed notification forms received to the Bank’s Shareholders Relations Department in case of Directors and Dignitaries.</w:t>
      </w:r>
    </w:p>
    <w:p>
      <w:pPr>
        <w:spacing w:after="0" w:line="159" w:lineRule="exact"/>
        <w:rPr>
          <w:sz w:val="20"/>
          <w:szCs w:val="20"/>
          <w:color w:val="auto"/>
        </w:rPr>
      </w:pPr>
    </w:p>
    <w:p>
      <w:pPr>
        <w:ind w:right="20"/>
        <w:spacing w:after="0" w:line="310" w:lineRule="auto"/>
        <w:rPr>
          <w:sz w:val="20"/>
          <w:szCs w:val="20"/>
          <w:color w:val="auto"/>
        </w:rPr>
      </w:pPr>
      <w:r>
        <w:rPr>
          <w:rFonts w:ascii="Arial" w:cs="Arial" w:eastAsia="Arial" w:hAnsi="Arial"/>
          <w:sz w:val="12"/>
          <w:szCs w:val="12"/>
          <w:color w:val="auto"/>
        </w:rPr>
        <w:t>Notification forms for reporting any fact foreseen in this section are available through the Bank’s Intranet or from Shareholders Relations Department. A copy of the completed and signed form, either an original or copy received by fax or in PDF format, shall be filed in the employee records of the corresponding Director, Dignitary or Employee kept in the Bank’s Shareholders Relations and Human Development departments.</w:t>
      </w:r>
    </w:p>
    <w:p>
      <w:pPr>
        <w:spacing w:after="0" w:line="106"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The procedures established herein are applicable to any type of purchase, sale or trade of Bladex shares (including shares obtained by exercising stock options), carried out on their own account or through another party, either an individual or legal entity, including family members, friends or coworkers.</w:t>
      </w:r>
    </w:p>
    <w:p>
      <w:pPr>
        <w:spacing w:after="0" w:line="129"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Notwithstanding the above, those Subject to the Code shall abstain from carrying out trades in Bladex shares, even if within the “Window Period” set forth in this section, if they become aware of any confidential, privileged and insider information of material importance related to Bladex and its business that has not been disclosed to the market by Bladex.</w:t>
      </w:r>
    </w:p>
    <w:p>
      <w:pPr>
        <w:spacing w:after="0" w:line="129"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Any of the above-mentioned individuals to whom this policy is applicable who does not comply with the dispositions contained herein and carries out a transaction of selling/buying shares during the Black Out Period, shall reverse said transaction within two (2) weeks. Any profits obtained from this reversion shall be handed to the Bank and any loss shall be assumed by the individual.</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color w:val="auto"/>
        </w:rPr>
        <w:t>The Audit Committee of the Board of Directors shall determine the severity of the infringement and shall apply such disciplinary measures as it may deem to be appropriate.</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III.2. f.2. “Rule” 10b5-1 of the “Securities and Exchange Commission” (SEC)</w:t>
      </w:r>
    </w:p>
    <w:p>
      <w:pPr>
        <w:spacing w:after="0" w:line="159"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Any Subject to the Code has the option of establishing a contract, instruction or advance plan for the purchase and sale of shares under the Rule 10b5-1 of the Securities Exchange Act of 1934, which would allow them to purchase and/or sell shares of the bank during the period Restricted.</w:t>
      </w:r>
    </w:p>
    <w:p>
      <w:pPr>
        <w:spacing w:after="0" w:line="283" w:lineRule="exact"/>
        <w:rPr>
          <w:sz w:val="20"/>
          <w:szCs w:val="20"/>
          <w:color w:val="auto"/>
        </w:rPr>
      </w:pPr>
    </w:p>
    <w:p>
      <w:pPr>
        <w:jc w:val="right"/>
        <w:spacing w:after="0"/>
        <w:rPr>
          <w:sz w:val="20"/>
          <w:szCs w:val="20"/>
          <w:color w:val="auto"/>
        </w:rPr>
      </w:pPr>
      <w:r>
        <w:rPr>
          <w:rFonts w:ascii="Arial" w:cs="Arial" w:eastAsia="Arial" w:hAnsi="Arial"/>
          <w:sz w:val="13"/>
          <w:szCs w:val="13"/>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41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248" w:name="page249"/>
    <w:bookmarkEnd w:id="248"/>
    <w:p>
      <w:pPr>
        <w:jc w:val="both"/>
        <w:ind w:right="20"/>
        <w:spacing w:after="0" w:line="257" w:lineRule="auto"/>
        <w:rPr>
          <w:sz w:val="20"/>
          <w:szCs w:val="20"/>
          <w:color w:val="auto"/>
        </w:rPr>
      </w:pPr>
      <w:r>
        <w:rPr>
          <w:rFonts w:ascii="Arial" w:cs="Arial" w:eastAsia="Arial" w:hAnsi="Arial"/>
          <w:sz w:val="13"/>
          <w:szCs w:val="13"/>
          <w:color w:val="auto"/>
        </w:rPr>
        <w:t>Such contract, instruction or advance plan for the purchase and sale of shares adopted with the respective broker ("broker") may only be implemented for an open period and shall specify the number of shares to be purchased or sold and the Price and date of purchase or sale. As an alternative to the foregoing, a written formula or algorithm or a computer program may be included to determine the amount, price and date of the sale or purchase of shares.</w:t>
      </w:r>
    </w:p>
    <w:p>
      <w:pPr>
        <w:spacing w:after="0" w:line="136"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In any event, the contract, instruction or advance plan referred to above shall prohibit the person concerned from modifying or altering thereafter the quantity, price and date of the purchase or sale of shares, unless such modification is made during an Open period when the person concerned has no knowledge of privileged or confidential information.</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color w:val="auto"/>
        </w:rPr>
        <w:t>Any contract, instruction or advance plan for the purchase and sale of shares to be used must be previously approved in writing prior to entry into force by the following authorities:</w:t>
      </w:r>
    </w:p>
    <w:p>
      <w:pPr>
        <w:spacing w:after="0" w:line="159" w:lineRule="exact"/>
        <w:rPr>
          <w:sz w:val="20"/>
          <w:szCs w:val="20"/>
          <w:color w:val="auto"/>
        </w:rPr>
      </w:pPr>
    </w:p>
    <w:p>
      <w:pPr>
        <w:ind w:left="520" w:hanging="292"/>
        <w:spacing w:after="0"/>
        <w:tabs>
          <w:tab w:leader="none" w:pos="520" w:val="left"/>
        </w:tabs>
        <w:numPr>
          <w:ilvl w:val="0"/>
          <w:numId w:val="211"/>
        </w:numPr>
        <w:rPr>
          <w:rFonts w:ascii="Arial" w:cs="Arial" w:eastAsia="Arial" w:hAnsi="Arial"/>
          <w:sz w:val="11"/>
          <w:szCs w:val="11"/>
          <w:color w:val="auto"/>
        </w:rPr>
      </w:pPr>
      <w:r>
        <w:rPr>
          <w:rFonts w:ascii="Arial" w:cs="Arial" w:eastAsia="Arial" w:hAnsi="Arial"/>
          <w:sz w:val="11"/>
          <w:szCs w:val="11"/>
          <w:color w:val="auto"/>
        </w:rPr>
        <w:t>If the contract, instruction or advance plan for the purchase and sale of shares comes from a Director or Dignitary of the bank, including the CEO, it must be approved by the Chairman of the Board of Directors.</w:t>
      </w:r>
    </w:p>
    <w:p>
      <w:pPr>
        <w:spacing w:after="0" w:line="181" w:lineRule="exact"/>
        <w:rPr>
          <w:rFonts w:ascii="Arial" w:cs="Arial" w:eastAsia="Arial" w:hAnsi="Arial"/>
          <w:sz w:val="11"/>
          <w:szCs w:val="11"/>
          <w:color w:val="auto"/>
        </w:rPr>
      </w:pPr>
    </w:p>
    <w:p>
      <w:pPr>
        <w:ind w:left="520" w:hanging="292"/>
        <w:spacing w:after="0"/>
        <w:tabs>
          <w:tab w:leader="none" w:pos="520" w:val="left"/>
        </w:tabs>
        <w:numPr>
          <w:ilvl w:val="0"/>
          <w:numId w:val="211"/>
        </w:numPr>
        <w:rPr>
          <w:rFonts w:ascii="Arial" w:cs="Arial" w:eastAsia="Arial" w:hAnsi="Arial"/>
          <w:sz w:val="12"/>
          <w:szCs w:val="12"/>
          <w:color w:val="auto"/>
        </w:rPr>
      </w:pPr>
      <w:r>
        <w:rPr>
          <w:rFonts w:ascii="Arial" w:cs="Arial" w:eastAsia="Arial" w:hAnsi="Arial"/>
          <w:sz w:val="12"/>
          <w:szCs w:val="12"/>
          <w:color w:val="auto"/>
        </w:rPr>
        <w:t>If the contract, instruction or advance plan for the purchase and sale of shares comes from the Chairman of the Board of Directors, it must be approved by the President of the Bank's Audit Committee.</w:t>
      </w:r>
    </w:p>
    <w:p>
      <w:pPr>
        <w:spacing w:after="0" w:line="170" w:lineRule="exact"/>
        <w:rPr>
          <w:rFonts w:ascii="Arial" w:cs="Arial" w:eastAsia="Arial" w:hAnsi="Arial"/>
          <w:sz w:val="12"/>
          <w:szCs w:val="12"/>
          <w:color w:val="auto"/>
        </w:rPr>
      </w:pPr>
    </w:p>
    <w:p>
      <w:pPr>
        <w:ind w:left="520" w:hanging="292"/>
        <w:spacing w:after="0"/>
        <w:tabs>
          <w:tab w:leader="none" w:pos="520" w:val="left"/>
        </w:tabs>
        <w:numPr>
          <w:ilvl w:val="0"/>
          <w:numId w:val="211"/>
        </w:numPr>
        <w:rPr>
          <w:rFonts w:ascii="Arial" w:cs="Arial" w:eastAsia="Arial" w:hAnsi="Arial"/>
          <w:sz w:val="13"/>
          <w:szCs w:val="13"/>
          <w:color w:val="auto"/>
        </w:rPr>
      </w:pPr>
      <w:r>
        <w:rPr>
          <w:rFonts w:ascii="Arial" w:cs="Arial" w:eastAsia="Arial" w:hAnsi="Arial"/>
          <w:sz w:val="13"/>
          <w:szCs w:val="13"/>
          <w:color w:val="auto"/>
        </w:rPr>
        <w:t>If the contract, instruction or advance plan for the purchase and sale of shares comes from a Bank’s employee, it must be approved by the CEO.</w:t>
      </w:r>
    </w:p>
    <w:p>
      <w:pPr>
        <w:spacing w:after="0" w:line="15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In addition, in the case of Directors, Dignitaries and Chairman of the Board, a copy of the contract, instruction or advance plan must be sent for the purchase and sale of shares to the Shareholder Relations department, and in the case of Bank’s employees, then a copy must be sent to Human Development department.</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III.2. f.3. Revocation and modifications of contracts, instructions or anticipated plans for the purchase and sale of shares: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Any Director, Dignitary and Bank´s employee may revoke his/her contract, instruction or advance Plan of purchase and sale of shares in an open period by written notice to his/her "broker".</w:t>
      </w:r>
    </w:p>
    <w:p>
      <w:pPr>
        <w:spacing w:after="0" w:line="15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Under certain circumstances, a contract, instruction or Advance Purchase and Sale Plan of shares must be revoked. This includes circumstances such as the merger announcement or an event that would cause the transaction to violate the law or have an adverse effect on the bank. In such circumstances, the Shareholder Relations department must be authorized to notify the "broker" of the owner of the contract, instruction or Advance Plan of Purchase and Sale of shares.</w:t>
      </w:r>
    </w:p>
    <w:p>
      <w:pPr>
        <w:spacing w:after="0" w:line="290" w:lineRule="exact"/>
        <w:rPr>
          <w:sz w:val="20"/>
          <w:szCs w:val="20"/>
          <w:color w:val="auto"/>
        </w:rPr>
      </w:pPr>
    </w:p>
    <w:p>
      <w:pPr>
        <w:jc w:val="right"/>
        <w:spacing w:after="0"/>
        <w:rPr>
          <w:sz w:val="20"/>
          <w:szCs w:val="20"/>
          <w:color w:val="auto"/>
        </w:rPr>
      </w:pPr>
      <w:r>
        <w:rPr>
          <w:rFonts w:ascii="Arial" w:cs="Arial" w:eastAsia="Arial" w:hAnsi="Arial"/>
          <w:sz w:val="13"/>
          <w:szCs w:val="13"/>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41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249" w:name="page250"/>
    <w:bookmarkEnd w:id="249"/>
    <w:p>
      <w:pPr>
        <w:spacing w:after="0"/>
        <w:rPr>
          <w:sz w:val="20"/>
          <w:szCs w:val="20"/>
          <w:color w:val="auto"/>
        </w:rPr>
      </w:pPr>
      <w:r>
        <w:rPr>
          <w:rFonts w:ascii="Arial" w:cs="Arial" w:eastAsia="Arial" w:hAnsi="Arial"/>
          <w:sz w:val="15"/>
          <w:szCs w:val="15"/>
          <w:color w:val="auto"/>
        </w:rPr>
        <w:t>III.2.g. Personal relationships with applicants.</w:t>
      </w:r>
    </w:p>
    <w:p>
      <w:pPr>
        <w:spacing w:after="0" w:line="160" w:lineRule="exact"/>
        <w:rPr>
          <w:sz w:val="20"/>
          <w:szCs w:val="20"/>
          <w:color w:val="auto"/>
        </w:rPr>
      </w:pPr>
    </w:p>
    <w:p>
      <w:pPr>
        <w:spacing w:after="0"/>
        <w:rPr>
          <w:sz w:val="20"/>
          <w:szCs w:val="20"/>
          <w:color w:val="auto"/>
        </w:rPr>
      </w:pPr>
      <w:r>
        <w:rPr>
          <w:rFonts w:ascii="Arial" w:cs="Arial" w:eastAsia="Arial" w:hAnsi="Arial"/>
          <w:sz w:val="12"/>
          <w:szCs w:val="12"/>
          <w:color w:val="auto"/>
        </w:rPr>
        <w:t>In the field of recruitment and hiring of personnel, no applicant may receive preferential treatment with respect to other candidates based on personal or family relations or be the subject of any kind of discrimination.</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color w:val="auto"/>
        </w:rPr>
        <w:t>III.3. Handling Confidential Information</w:t>
      </w:r>
    </w:p>
    <w:p>
      <w:pPr>
        <w:spacing w:after="0" w:line="15" w:lineRule="exact"/>
        <w:rPr>
          <w:sz w:val="20"/>
          <w:szCs w:val="20"/>
          <w:color w:val="auto"/>
        </w:rPr>
      </w:pPr>
    </w:p>
    <w:p>
      <w:pPr>
        <w:spacing w:after="0"/>
        <w:rPr>
          <w:sz w:val="20"/>
          <w:szCs w:val="20"/>
          <w:color w:val="auto"/>
        </w:rPr>
      </w:pPr>
      <w:r>
        <w:rPr>
          <w:rFonts w:ascii="Arial" w:cs="Arial" w:eastAsia="Arial" w:hAnsi="Arial"/>
          <w:sz w:val="15"/>
          <w:szCs w:val="15"/>
          <w:color w:val="auto"/>
        </w:rPr>
        <w:t>III.3.a. Information safekeeping</w:t>
      </w:r>
    </w:p>
    <w:p>
      <w:pPr>
        <w:spacing w:after="0" w:line="148" w:lineRule="exact"/>
        <w:rPr>
          <w:sz w:val="20"/>
          <w:szCs w:val="20"/>
          <w:color w:val="auto"/>
        </w:rPr>
      </w:pPr>
    </w:p>
    <w:p>
      <w:pPr>
        <w:spacing w:after="0"/>
        <w:rPr>
          <w:sz w:val="20"/>
          <w:szCs w:val="20"/>
          <w:color w:val="auto"/>
        </w:rPr>
      </w:pPr>
      <w:r>
        <w:rPr>
          <w:rFonts w:ascii="Arial" w:cs="Arial" w:eastAsia="Arial" w:hAnsi="Arial"/>
          <w:sz w:val="12"/>
          <w:szCs w:val="12"/>
          <w:color w:val="auto"/>
        </w:rPr>
        <w:t>The information on the operations of the institution and its clients is confidential, so the use, conservation and safekeeping of the respective document must be kept strictly in accordance with the internal regulations.</w:t>
      </w:r>
    </w:p>
    <w:p>
      <w:pPr>
        <w:spacing w:after="0" w:line="170" w:lineRule="exact"/>
        <w:rPr>
          <w:sz w:val="20"/>
          <w:szCs w:val="20"/>
          <w:color w:val="auto"/>
        </w:rPr>
      </w:pPr>
    </w:p>
    <w:p>
      <w:pPr>
        <w:spacing w:after="0"/>
        <w:rPr>
          <w:sz w:val="20"/>
          <w:szCs w:val="20"/>
          <w:color w:val="auto"/>
        </w:rPr>
      </w:pPr>
      <w:r>
        <w:rPr>
          <w:rFonts w:ascii="Arial" w:cs="Arial" w:eastAsia="Arial" w:hAnsi="Arial"/>
          <w:sz w:val="13"/>
          <w:szCs w:val="13"/>
          <w:color w:val="auto"/>
        </w:rPr>
        <w:t>Therefore, it is the responsibility of every employee to keep with due security all documents and/or values in his charge, in addition to any information of the institution's and its clients ' property.</w:t>
      </w:r>
    </w:p>
    <w:p>
      <w:pPr>
        <w:spacing w:after="0" w:line="153" w:lineRule="exact"/>
        <w:rPr>
          <w:sz w:val="20"/>
          <w:szCs w:val="20"/>
          <w:color w:val="auto"/>
        </w:rPr>
      </w:pPr>
    </w:p>
    <w:p>
      <w:pPr>
        <w:spacing w:after="0"/>
        <w:rPr>
          <w:sz w:val="20"/>
          <w:szCs w:val="20"/>
          <w:color w:val="auto"/>
        </w:rPr>
      </w:pPr>
      <w:r>
        <w:rPr>
          <w:rFonts w:ascii="Arial" w:cs="Arial" w:eastAsia="Arial" w:hAnsi="Arial"/>
          <w:sz w:val="15"/>
          <w:szCs w:val="15"/>
          <w:color w:val="auto"/>
        </w:rPr>
        <w:t>III.3.b. Restrictions on the flow of information</w:t>
      </w:r>
    </w:p>
    <w:p>
      <w:pPr>
        <w:spacing w:after="0" w:line="160"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Any confidential information on issuers of public offering securities, their financial instruments or transactions in which they are involved, must be kept under strict confidentiality. It is forbidden to divulge or communicate to third parties of this information, even if they are persons of the same institution, being applicable the ethical-professional principle of banking confidentiality.</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color w:val="auto"/>
        </w:rPr>
        <w:t>If, based on labor relations within the Institution, it is necessary to communicate to a third-party confidential matter, the following procedure must be followed:</w:t>
      </w:r>
    </w:p>
    <w:p>
      <w:pPr>
        <w:spacing w:after="0" w:line="159" w:lineRule="exact"/>
        <w:rPr>
          <w:sz w:val="20"/>
          <w:szCs w:val="20"/>
          <w:color w:val="auto"/>
        </w:rPr>
      </w:pPr>
    </w:p>
    <w:p>
      <w:pPr>
        <w:ind w:left="460" w:hanging="232"/>
        <w:spacing w:after="0"/>
        <w:tabs>
          <w:tab w:leader="none" w:pos="460" w:val="left"/>
        </w:tabs>
        <w:numPr>
          <w:ilvl w:val="0"/>
          <w:numId w:val="212"/>
        </w:numPr>
        <w:rPr>
          <w:rFonts w:ascii="Arial" w:cs="Arial" w:eastAsia="Arial" w:hAnsi="Arial"/>
          <w:sz w:val="13"/>
          <w:szCs w:val="13"/>
          <w:color w:val="auto"/>
        </w:rPr>
      </w:pPr>
      <w:r>
        <w:rPr>
          <w:rFonts w:ascii="Arial" w:cs="Arial" w:eastAsia="Arial" w:hAnsi="Arial"/>
          <w:sz w:val="13"/>
          <w:szCs w:val="13"/>
          <w:color w:val="auto"/>
        </w:rPr>
        <w:t>Clearly establish that the information is confidential.</w:t>
      </w:r>
    </w:p>
    <w:p>
      <w:pPr>
        <w:spacing w:after="0" w:line="12" w:lineRule="exact"/>
        <w:rPr>
          <w:rFonts w:ascii="Arial" w:cs="Arial" w:eastAsia="Arial" w:hAnsi="Arial"/>
          <w:sz w:val="13"/>
          <w:szCs w:val="13"/>
          <w:color w:val="auto"/>
        </w:rPr>
      </w:pPr>
    </w:p>
    <w:p>
      <w:pPr>
        <w:ind w:left="460" w:hanging="232"/>
        <w:spacing w:after="0"/>
        <w:tabs>
          <w:tab w:leader="none" w:pos="460" w:val="left"/>
        </w:tabs>
        <w:numPr>
          <w:ilvl w:val="0"/>
          <w:numId w:val="212"/>
        </w:numPr>
        <w:rPr>
          <w:rFonts w:ascii="Arial" w:cs="Arial" w:eastAsia="Arial" w:hAnsi="Arial"/>
          <w:sz w:val="13"/>
          <w:szCs w:val="13"/>
          <w:color w:val="auto"/>
        </w:rPr>
      </w:pPr>
      <w:r>
        <w:rPr>
          <w:rFonts w:ascii="Arial" w:cs="Arial" w:eastAsia="Arial" w:hAnsi="Arial"/>
          <w:sz w:val="13"/>
          <w:szCs w:val="13"/>
          <w:color w:val="auto"/>
        </w:rPr>
        <w:t>To make known the restrictions on the dissemination of such information.</w:t>
      </w:r>
    </w:p>
    <w:p>
      <w:pPr>
        <w:spacing w:after="0" w:line="4" w:lineRule="exact"/>
        <w:rPr>
          <w:rFonts w:ascii="Arial" w:cs="Arial" w:eastAsia="Arial" w:hAnsi="Arial"/>
          <w:sz w:val="13"/>
          <w:szCs w:val="13"/>
          <w:color w:val="auto"/>
        </w:rPr>
      </w:pPr>
    </w:p>
    <w:p>
      <w:pPr>
        <w:ind w:left="460" w:hanging="232"/>
        <w:spacing w:after="0"/>
        <w:tabs>
          <w:tab w:leader="none" w:pos="460" w:val="left"/>
        </w:tabs>
        <w:numPr>
          <w:ilvl w:val="0"/>
          <w:numId w:val="212"/>
        </w:numPr>
        <w:rPr>
          <w:rFonts w:ascii="Arial" w:cs="Arial" w:eastAsia="Arial" w:hAnsi="Arial"/>
          <w:sz w:val="13"/>
          <w:szCs w:val="13"/>
          <w:color w:val="auto"/>
        </w:rPr>
      </w:pPr>
      <w:r>
        <w:rPr>
          <w:rFonts w:ascii="Arial" w:cs="Arial" w:eastAsia="Arial" w:hAnsi="Arial"/>
          <w:sz w:val="13"/>
          <w:szCs w:val="13"/>
          <w:color w:val="auto"/>
        </w:rPr>
        <w:t>To make known the prohibition of making financial transactions based on that information.</w:t>
      </w:r>
    </w:p>
    <w:p>
      <w:pPr>
        <w:spacing w:after="0" w:line="150"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It is prohibited to communicate, reproduce or transmit to third parties, verbally or by written or electronic means, bank information on business strategy aspects, databases, customer segmentations or any business information or Operations of the institution and its clients, even if the employee did not intervene directly.</w:t>
      </w:r>
    </w:p>
    <w:p>
      <w:pPr>
        <w:spacing w:after="0" w:line="129"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Those Subject to the Code must refrain from responding, without prior consultation to the Compliance Officer or Human Development to the questions asked about such operations or any other matter that may cause liability or damage to the Bank or its customers.</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color w:val="auto"/>
        </w:rPr>
        <w:t>It is of paramount importance the care and responsible management of the information of stock markets, both in the relationship with clients and in its correct personal administration.</w:t>
      </w:r>
    </w:p>
    <w:p>
      <w:pPr>
        <w:spacing w:after="0" w:line="159" w:lineRule="exact"/>
        <w:rPr>
          <w:sz w:val="20"/>
          <w:szCs w:val="20"/>
          <w:color w:val="auto"/>
        </w:rPr>
      </w:pPr>
    </w:p>
    <w:p>
      <w:pPr>
        <w:spacing w:after="0" w:line="267" w:lineRule="auto"/>
        <w:rPr>
          <w:sz w:val="20"/>
          <w:szCs w:val="20"/>
          <w:color w:val="auto"/>
        </w:rPr>
      </w:pPr>
      <w:r>
        <w:rPr>
          <w:rFonts w:ascii="Arial" w:cs="Arial" w:eastAsia="Arial" w:hAnsi="Arial"/>
          <w:sz w:val="13"/>
          <w:szCs w:val="13"/>
          <w:color w:val="auto"/>
        </w:rPr>
        <w:t>Likewise, the Subject to the Code to which it is appropriate to participate in the preparation of the reports and documents that Bladex must register and/or present to the respective supervisory authorities shall make a reasonable, complete, safe, timely and understandable. The same conduct shall be observed in the preparation of any other public communication carried out by the Bank.</w:t>
      </w:r>
    </w:p>
    <w:p>
      <w:pPr>
        <w:spacing w:after="0" w:line="283" w:lineRule="exact"/>
        <w:rPr>
          <w:sz w:val="20"/>
          <w:szCs w:val="20"/>
          <w:color w:val="auto"/>
        </w:rPr>
      </w:pPr>
    </w:p>
    <w:p>
      <w:pPr>
        <w:jc w:val="right"/>
        <w:spacing w:after="0"/>
        <w:rPr>
          <w:sz w:val="20"/>
          <w:szCs w:val="20"/>
          <w:color w:val="auto"/>
        </w:rPr>
      </w:pPr>
      <w:r>
        <w:rPr>
          <w:rFonts w:ascii="Arial" w:cs="Arial" w:eastAsia="Arial" w:hAnsi="Arial"/>
          <w:sz w:val="13"/>
          <w:szCs w:val="13"/>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41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3" w:right="199" w:bottom="1440" w:gutter="0" w:footer="0" w:header="0"/>
        </w:sectPr>
      </w:pPr>
    </w:p>
    <w:bookmarkStart w:id="250" w:name="page251"/>
    <w:bookmarkEnd w:id="250"/>
    <w:p>
      <w:pPr>
        <w:spacing w:after="0"/>
        <w:rPr>
          <w:sz w:val="20"/>
          <w:szCs w:val="20"/>
          <w:color w:val="auto"/>
        </w:rPr>
      </w:pPr>
      <w:r>
        <w:rPr>
          <w:rFonts w:ascii="Arial" w:cs="Arial" w:eastAsia="Arial" w:hAnsi="Arial"/>
          <w:sz w:val="18"/>
          <w:szCs w:val="18"/>
          <w:color w:val="auto"/>
        </w:rPr>
        <w:t>III.4. Acting on behalf of Bladex</w:t>
      </w:r>
    </w:p>
    <w:p>
      <w:pPr>
        <w:spacing w:after="0" w:line="15" w:lineRule="exact"/>
        <w:rPr>
          <w:sz w:val="20"/>
          <w:szCs w:val="20"/>
          <w:color w:val="auto"/>
        </w:rPr>
      </w:pPr>
    </w:p>
    <w:p>
      <w:pPr>
        <w:spacing w:after="0"/>
        <w:rPr>
          <w:sz w:val="20"/>
          <w:szCs w:val="20"/>
          <w:color w:val="auto"/>
        </w:rPr>
      </w:pPr>
      <w:r>
        <w:rPr>
          <w:rFonts w:ascii="Arial" w:cs="Arial" w:eastAsia="Arial" w:hAnsi="Arial"/>
          <w:sz w:val="15"/>
          <w:szCs w:val="15"/>
          <w:color w:val="auto"/>
        </w:rPr>
        <w:t>III.4.a. Individual responsibility</w:t>
      </w:r>
    </w:p>
    <w:p>
      <w:pPr>
        <w:spacing w:after="0" w:line="148"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As part of the institution, the employees assume the individual responsibility of their actions and behaviors, which includes the knowledge and obligatory fulfillment of the provisions established in the manuals, guidelines, regulations and internal procedures.</w:t>
      </w:r>
    </w:p>
    <w:p>
      <w:pPr>
        <w:spacing w:after="0" w:line="12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An employee shall not perform illegal acts or take any conduct that may be detrimental to the prestige, interests or assets of the Institution or its employees. If a subordinate receives instructions incompatible with the values, policies and internal norms, he or she must communicate it to the higher bodies of the Human Development department, to take the necessary measures and safeguards.</w:t>
      </w:r>
    </w:p>
    <w:p>
      <w:pPr>
        <w:spacing w:after="0" w:line="12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use of the resources that the Bank makes available to the employees, is for the exclusive purpose of the business and to carry out in a better way the assigned functions. The use of institutional e-mail should not jeopardize the image or prestige of the Bank.</w:t>
      </w:r>
    </w:p>
    <w:p>
      <w:pPr>
        <w:spacing w:after="0" w:line="12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You must keep the most complete loyalty to the Institution in all its aspects, and not use your name for personal purposes. Nor should any kind of information be published or disseminated that would violate the dignity of the Institution or its employees.</w:t>
      </w:r>
    </w:p>
    <w:p>
      <w:pPr>
        <w:spacing w:after="0" w:line="124" w:lineRule="exact"/>
        <w:rPr>
          <w:sz w:val="20"/>
          <w:szCs w:val="20"/>
          <w:color w:val="auto"/>
        </w:rPr>
      </w:pPr>
    </w:p>
    <w:p>
      <w:pPr>
        <w:spacing w:after="0"/>
        <w:rPr>
          <w:sz w:val="20"/>
          <w:szCs w:val="20"/>
          <w:color w:val="auto"/>
        </w:rPr>
      </w:pPr>
      <w:r>
        <w:rPr>
          <w:rFonts w:ascii="Arial" w:cs="Arial" w:eastAsia="Arial" w:hAnsi="Arial"/>
          <w:sz w:val="15"/>
          <w:szCs w:val="15"/>
          <w:color w:val="auto"/>
        </w:rPr>
        <w:t>III.4.b. Job Responsibility</w:t>
      </w:r>
    </w:p>
    <w:p>
      <w:pPr>
        <w:spacing w:after="0" w:line="160" w:lineRule="exact"/>
        <w:rPr>
          <w:sz w:val="20"/>
          <w:szCs w:val="20"/>
          <w:color w:val="auto"/>
        </w:rPr>
      </w:pPr>
    </w:p>
    <w:p>
      <w:pPr>
        <w:spacing w:after="0"/>
        <w:rPr>
          <w:sz w:val="20"/>
          <w:szCs w:val="20"/>
          <w:color w:val="auto"/>
        </w:rPr>
      </w:pPr>
      <w:r>
        <w:rPr>
          <w:rFonts w:ascii="Arial" w:cs="Arial" w:eastAsia="Arial" w:hAnsi="Arial"/>
          <w:sz w:val="11"/>
          <w:szCs w:val="11"/>
          <w:color w:val="auto"/>
        </w:rPr>
        <w:t>All employees must devote their time and capacity fully to the service of the Institution during working hours. Consequently, you cannot use the offices or other assets of the Institution for activities outside of your duties.</w:t>
      </w:r>
    </w:p>
    <w:p>
      <w:pPr>
        <w:spacing w:after="0" w:line="182" w:lineRule="exact"/>
        <w:rPr>
          <w:sz w:val="20"/>
          <w:szCs w:val="20"/>
          <w:color w:val="auto"/>
        </w:rPr>
      </w:pPr>
    </w:p>
    <w:p>
      <w:pPr>
        <w:jc w:val="both"/>
        <w:ind w:right="20"/>
        <w:spacing w:after="0" w:line="289" w:lineRule="auto"/>
        <w:rPr>
          <w:sz w:val="20"/>
          <w:szCs w:val="20"/>
          <w:color w:val="auto"/>
        </w:rPr>
      </w:pPr>
      <w:r>
        <w:rPr>
          <w:rFonts w:ascii="Arial" w:cs="Arial" w:eastAsia="Arial" w:hAnsi="Arial"/>
          <w:sz w:val="12"/>
          <w:szCs w:val="12"/>
          <w:color w:val="auto"/>
        </w:rPr>
        <w:t>With respect to other activities or external commitments, an employee shall not assume responsibilities or functions that may mean any kind of conflict of interest with the management of the Bank. In the absence of this contraindication, the acceptance of any work, representation or external advice for which a payment is received, must be informed in writing to the Compliance Officer and duly authorized by Human Development department. In any case, such activities should not interfere with the performance and obligations of the employee, nor do they require hours of dedication so long as to affect their physical or mental capacity.</w:t>
      </w:r>
    </w:p>
    <w:p>
      <w:pPr>
        <w:spacing w:after="0" w:line="118"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It is forbidden to the Bank's employees to provide services of any kind to other banks or financial institutions, as well as to companies that belong to or that are related to the Bank's clients, that will result in a conflict of interest and/or make to assume unfair competition for Bladex.</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color w:val="auto"/>
        </w:rPr>
        <w:t>Bladex's employees who perform university teaching should exercise such a function outside their working day.</w:t>
      </w:r>
    </w:p>
    <w:p>
      <w:pPr>
        <w:spacing w:after="0" w:line="313" w:lineRule="exact"/>
        <w:rPr>
          <w:sz w:val="20"/>
          <w:szCs w:val="20"/>
          <w:color w:val="auto"/>
        </w:rPr>
      </w:pPr>
    </w:p>
    <w:p>
      <w:pPr>
        <w:jc w:val="right"/>
        <w:spacing w:after="0"/>
        <w:rPr>
          <w:sz w:val="20"/>
          <w:szCs w:val="20"/>
          <w:color w:val="auto"/>
        </w:rPr>
      </w:pPr>
      <w:r>
        <w:rPr>
          <w:rFonts w:ascii="Arial" w:cs="Arial" w:eastAsia="Arial" w:hAnsi="Arial"/>
          <w:sz w:val="13"/>
          <w:szCs w:val="13"/>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410"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41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5" w:right="199" w:bottom="1440" w:gutter="0" w:footer="0" w:header="0"/>
        </w:sectPr>
      </w:pPr>
    </w:p>
    <w:bookmarkStart w:id="251" w:name="page252"/>
    <w:bookmarkEnd w:id="251"/>
    <w:p>
      <w:pPr>
        <w:ind w:right="20"/>
        <w:spacing w:after="0" w:line="267" w:lineRule="auto"/>
        <w:rPr>
          <w:sz w:val="20"/>
          <w:szCs w:val="20"/>
          <w:color w:val="auto"/>
        </w:rPr>
      </w:pPr>
      <w:r>
        <w:rPr>
          <w:rFonts w:ascii="Arial" w:cs="Arial" w:eastAsia="Arial" w:hAnsi="Arial"/>
          <w:sz w:val="13"/>
          <w:szCs w:val="13"/>
          <w:color w:val="auto"/>
        </w:rPr>
        <w:t>Participation in non-remunerated activities outside the institution is permitted if it does not interfere with the performance and moral conduct of the person within the Bank and is known and duly authorized by the respective supervisor.</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color w:val="auto"/>
        </w:rPr>
        <w:t>In the case of non-profit organizations, the Institution authorizes and motivates the participation of its employees in charitable and social assistance activities.</w:t>
      </w:r>
    </w:p>
    <w:p>
      <w:pPr>
        <w:spacing w:after="0" w:line="153" w:lineRule="exact"/>
        <w:rPr>
          <w:sz w:val="20"/>
          <w:szCs w:val="20"/>
          <w:color w:val="auto"/>
        </w:rPr>
      </w:pPr>
    </w:p>
    <w:p>
      <w:pPr>
        <w:spacing w:after="0"/>
        <w:rPr>
          <w:sz w:val="20"/>
          <w:szCs w:val="20"/>
          <w:color w:val="auto"/>
        </w:rPr>
      </w:pPr>
      <w:r>
        <w:rPr>
          <w:rFonts w:ascii="Arial" w:cs="Arial" w:eastAsia="Arial" w:hAnsi="Arial"/>
          <w:sz w:val="15"/>
          <w:szCs w:val="15"/>
          <w:color w:val="auto"/>
        </w:rPr>
        <w:t>III.4.c. Publications and Public Presentations</w:t>
      </w:r>
    </w:p>
    <w:p>
      <w:pPr>
        <w:spacing w:after="0" w:line="160"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Any Subject to the Code that must represent the bank in lectures, conferences, seminars or external meetings of a similar nature must inform previously the content of its presentation to, and have, the prior authorization of the corresponding supervisor.</w:t>
      </w:r>
    </w:p>
    <w:p>
      <w:pPr>
        <w:spacing w:after="0" w:line="129"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All information requirements that the media make about Bladex must be forwarded to, and previously approved by, the Marketing department, abstaining Subject to the Code of providing background or giving interviews to any media which have not been duly validated or authorized by that department.</w:t>
      </w:r>
    </w:p>
    <w:p>
      <w:pPr>
        <w:spacing w:after="0" w:line="129"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The products and services of the Institution are of its exclusive property, as well as the contribution that all Subject to the Code lends for its development and implementation. These conditions remain unchanged, even when the person is no longer linked to the Institution.</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color w:val="auto"/>
        </w:rPr>
        <w:t>Any personal communication, whether written or verbal, shall be made in its own name, not involving the Bank under any circumstances.</w:t>
      </w:r>
    </w:p>
    <w:p>
      <w:pPr>
        <w:spacing w:after="0" w:line="153" w:lineRule="exact"/>
        <w:rPr>
          <w:sz w:val="20"/>
          <w:szCs w:val="20"/>
          <w:color w:val="auto"/>
        </w:rPr>
      </w:pPr>
    </w:p>
    <w:p>
      <w:pPr>
        <w:spacing w:after="0"/>
        <w:rPr>
          <w:sz w:val="20"/>
          <w:szCs w:val="20"/>
          <w:color w:val="auto"/>
        </w:rPr>
      </w:pPr>
      <w:r>
        <w:rPr>
          <w:rFonts w:ascii="Arial" w:cs="Arial" w:eastAsia="Arial" w:hAnsi="Arial"/>
          <w:sz w:val="15"/>
          <w:szCs w:val="15"/>
          <w:color w:val="auto"/>
        </w:rPr>
        <w:t>III.4.d. Appointment to Public Office and other designations</w:t>
      </w:r>
    </w:p>
    <w:p>
      <w:pPr>
        <w:spacing w:after="0" w:line="160" w:lineRule="exact"/>
        <w:rPr>
          <w:sz w:val="20"/>
          <w:szCs w:val="20"/>
          <w:color w:val="auto"/>
        </w:rPr>
      </w:pPr>
    </w:p>
    <w:p>
      <w:pPr>
        <w:spacing w:after="0"/>
        <w:rPr>
          <w:sz w:val="20"/>
          <w:szCs w:val="20"/>
          <w:color w:val="auto"/>
        </w:rPr>
      </w:pPr>
      <w:r>
        <w:rPr>
          <w:rFonts w:ascii="Arial" w:cs="Arial" w:eastAsia="Arial" w:hAnsi="Arial"/>
          <w:sz w:val="11"/>
          <w:szCs w:val="11"/>
          <w:color w:val="auto"/>
        </w:rPr>
        <w:t>The positions or designations in public functions, are not compatible with the performance as a member of the Institution, are such charges of municipal, governmental or other public connotation, designated or elected.</w:t>
      </w:r>
    </w:p>
    <w:p>
      <w:pPr>
        <w:spacing w:after="0" w:line="36" w:lineRule="exact"/>
        <w:rPr>
          <w:sz w:val="20"/>
          <w:szCs w:val="20"/>
          <w:color w:val="auto"/>
        </w:rPr>
      </w:pPr>
    </w:p>
    <w:p>
      <w:pPr>
        <w:spacing w:after="0"/>
        <w:rPr>
          <w:sz w:val="20"/>
          <w:szCs w:val="20"/>
          <w:color w:val="auto"/>
        </w:rPr>
      </w:pPr>
      <w:r>
        <w:rPr>
          <w:rFonts w:ascii="Arial" w:cs="Arial" w:eastAsia="Arial" w:hAnsi="Arial"/>
          <w:sz w:val="13"/>
          <w:szCs w:val="13"/>
          <w:color w:val="auto"/>
        </w:rPr>
        <w:t>Except for this consideration are the functions derived from inalienable civic obligations, such as the designations as a juror of conscience, in accordance with applicable law.</w:t>
      </w:r>
    </w:p>
    <w:p>
      <w:pPr>
        <w:spacing w:after="0" w:line="150"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In any case, any Subject to the Code may request the Compliance Officer to perform public connotations that are not governmental or municipal, to the extent that there are no legal incompatibilities with his work in the Bank and that the exercise of such functions does not jeopardize the reputation of the Institution</w:t>
      </w:r>
    </w:p>
    <w:p>
      <w:pPr>
        <w:spacing w:after="0" w:line="124" w:lineRule="exact"/>
        <w:rPr>
          <w:sz w:val="20"/>
          <w:szCs w:val="20"/>
          <w:color w:val="auto"/>
        </w:rPr>
      </w:pPr>
    </w:p>
    <w:p>
      <w:pPr>
        <w:spacing w:after="0"/>
        <w:rPr>
          <w:sz w:val="20"/>
          <w:szCs w:val="20"/>
          <w:color w:val="auto"/>
        </w:rPr>
      </w:pPr>
      <w:r>
        <w:rPr>
          <w:rFonts w:ascii="Arial" w:cs="Arial" w:eastAsia="Arial" w:hAnsi="Arial"/>
          <w:sz w:val="15"/>
          <w:szCs w:val="15"/>
          <w:color w:val="auto"/>
        </w:rPr>
        <w:t>III.4.e. Exercise of attributions</w:t>
      </w:r>
    </w:p>
    <w:p>
      <w:pPr>
        <w:spacing w:after="0" w:line="160" w:lineRule="exact"/>
        <w:rPr>
          <w:sz w:val="20"/>
          <w:szCs w:val="20"/>
          <w:color w:val="auto"/>
        </w:rPr>
      </w:pPr>
    </w:p>
    <w:p>
      <w:pPr>
        <w:ind w:right="20"/>
        <w:spacing w:after="0" w:line="310" w:lineRule="auto"/>
        <w:rPr>
          <w:sz w:val="20"/>
          <w:szCs w:val="20"/>
          <w:color w:val="auto"/>
        </w:rPr>
      </w:pPr>
      <w:r>
        <w:rPr>
          <w:rFonts w:ascii="Arial" w:cs="Arial" w:eastAsia="Arial" w:hAnsi="Arial"/>
          <w:sz w:val="12"/>
          <w:szCs w:val="12"/>
          <w:color w:val="auto"/>
        </w:rPr>
        <w:t>Bladex's employees may only sign documents, represent, or exercise authority on behalf of the Bank if they have the power or the specific attribution in accordance with the position and function they perform. Any document evidencing the commitment, agreement or agreement by the Institution must be signed in accordance with the delegation of powers issued by the Board of Directors from time to time.</w:t>
      </w:r>
    </w:p>
    <w:p>
      <w:pPr>
        <w:spacing w:after="0" w:line="260" w:lineRule="exact"/>
        <w:rPr>
          <w:sz w:val="20"/>
          <w:szCs w:val="20"/>
          <w:color w:val="auto"/>
        </w:rPr>
      </w:pPr>
    </w:p>
    <w:p>
      <w:pPr>
        <w:jc w:val="right"/>
        <w:spacing w:after="0"/>
        <w:rPr>
          <w:sz w:val="20"/>
          <w:szCs w:val="20"/>
          <w:color w:val="auto"/>
        </w:rPr>
      </w:pPr>
      <w:r>
        <w:rPr>
          <w:rFonts w:ascii="Arial" w:cs="Arial" w:eastAsia="Arial" w:hAnsi="Arial"/>
          <w:sz w:val="13"/>
          <w:szCs w:val="13"/>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42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252" w:name="page253"/>
    <w:bookmarkEnd w:id="252"/>
    <w:p>
      <w:pPr>
        <w:spacing w:after="0"/>
        <w:rPr>
          <w:sz w:val="20"/>
          <w:szCs w:val="20"/>
          <w:color w:val="auto"/>
        </w:rPr>
      </w:pPr>
      <w:r>
        <w:rPr>
          <w:rFonts w:ascii="Arial" w:cs="Arial" w:eastAsia="Arial" w:hAnsi="Arial"/>
          <w:sz w:val="18"/>
          <w:szCs w:val="18"/>
          <w:color w:val="auto"/>
        </w:rPr>
        <w:t>III.5 Illegitimate business and prevention of money laundering</w:t>
      </w:r>
    </w:p>
    <w:p>
      <w:pPr>
        <w:spacing w:after="0" w:line="162"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Institution will only participate in legitimate businesses and in accordance with the law in force. It will maintain standards of quality, price and superior services, always acting within a framework of fair, legitimate and open competition. Illegal businesses are those that are not allowed by law, as well as those that do not respect and protect the internal rules of the Bank.</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color w:val="auto"/>
        </w:rPr>
        <w:t>Any attempt to "money laundering" will be considered a threat to the Institution's trust and reputation and the Bank will do everything in its power to prevent it from being used for such purposes.</w:t>
      </w:r>
    </w:p>
    <w:p>
      <w:pPr>
        <w:spacing w:after="0" w:line="159" w:lineRule="exact"/>
        <w:rPr>
          <w:sz w:val="20"/>
          <w:szCs w:val="20"/>
          <w:color w:val="auto"/>
        </w:rPr>
      </w:pPr>
    </w:p>
    <w:p>
      <w:pPr>
        <w:spacing w:after="0"/>
        <w:rPr>
          <w:sz w:val="20"/>
          <w:szCs w:val="20"/>
          <w:color w:val="auto"/>
        </w:rPr>
      </w:pPr>
      <w:r>
        <w:rPr>
          <w:rFonts w:ascii="Arial" w:cs="Arial" w:eastAsia="Arial" w:hAnsi="Arial"/>
          <w:sz w:val="12"/>
          <w:szCs w:val="12"/>
          <w:color w:val="auto"/>
        </w:rPr>
        <w:t>Any employee must comply with the policy and rules defined on the matter and when it is in the presence of a suspicious or unusual transaction, must report it directly and obligatorily to the Compliance Officer.</w:t>
      </w:r>
    </w:p>
    <w:p>
      <w:pPr>
        <w:spacing w:after="0" w:line="170"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The Bank shall not establish any relationship with natural or legal persons, whether customers, investors or suppliers, if the money or services offered by them are suspected to be the product of illegal or illegitimate activities.</w:t>
      </w:r>
    </w:p>
    <w:p>
      <w:pPr>
        <w:spacing w:after="0" w:line="126" w:lineRule="exact"/>
        <w:rPr>
          <w:sz w:val="20"/>
          <w:szCs w:val="20"/>
          <w:color w:val="auto"/>
        </w:rPr>
      </w:pPr>
    </w:p>
    <w:p>
      <w:pPr>
        <w:spacing w:after="0"/>
        <w:rPr>
          <w:sz w:val="20"/>
          <w:szCs w:val="20"/>
          <w:color w:val="auto"/>
        </w:rPr>
      </w:pPr>
      <w:r>
        <w:rPr>
          <w:rFonts w:ascii="Arial" w:cs="Arial" w:eastAsia="Arial" w:hAnsi="Arial"/>
          <w:sz w:val="18"/>
          <w:szCs w:val="18"/>
          <w:color w:val="auto"/>
        </w:rPr>
        <w:t>III.6. Personal Integrity</w:t>
      </w:r>
    </w:p>
    <w:p>
      <w:pPr>
        <w:spacing w:after="0" w:line="162"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Those Subject to the Code must always keep, inside and outside the Institution, a behavior that reflects the values promoted by the Bank. The Institution demands respect for the dignity of all its employees and of them an honest and responsible conduct in all areas of daily work.</w:t>
      </w:r>
    </w:p>
    <w:p>
      <w:pPr>
        <w:spacing w:after="0" w:line="129"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Special consideration in relation to the personal integrity deserves the prohibition to the Subject to the Code to manifest or exert any type of harassment, by any means, that can prejudice the labor situation or opportunities in the employment of any person.</w:t>
      </w:r>
    </w:p>
    <w:p>
      <w:pPr>
        <w:spacing w:after="0" w:line="129"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Arbitrary discrimination for any reason, whether race, sex, religion, disability or other, constitutes practices that are not accepted in the ethical framework defined by Bladex, this being a work center in which respect, professionalism and dignity.</w:t>
      </w:r>
    </w:p>
    <w:p>
      <w:pPr>
        <w:spacing w:after="0" w:line="129"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In the same way, it is established that Bladex will encourage people to develop a quality of life associated with concepts such as health promotion and healthy recreation. In this line, the consumption, carrying or sale of drugs, alcohol or narcotics, within the company, is strictly prohibited.</w:t>
      </w:r>
    </w:p>
    <w:p>
      <w:pPr>
        <w:spacing w:after="0" w:line="126" w:lineRule="exact"/>
        <w:rPr>
          <w:sz w:val="20"/>
          <w:szCs w:val="20"/>
          <w:color w:val="auto"/>
        </w:rPr>
      </w:pPr>
    </w:p>
    <w:p>
      <w:pPr>
        <w:spacing w:after="0"/>
        <w:rPr>
          <w:sz w:val="20"/>
          <w:szCs w:val="20"/>
          <w:color w:val="auto"/>
        </w:rPr>
      </w:pPr>
      <w:r>
        <w:rPr>
          <w:rFonts w:ascii="Arial" w:cs="Arial" w:eastAsia="Arial" w:hAnsi="Arial"/>
          <w:sz w:val="18"/>
          <w:szCs w:val="18"/>
          <w:color w:val="auto"/>
        </w:rPr>
        <w:t>III.7. Investigations</w:t>
      </w:r>
    </w:p>
    <w:p>
      <w:pPr>
        <w:spacing w:after="0" w:line="162" w:lineRule="exact"/>
        <w:rPr>
          <w:sz w:val="20"/>
          <w:szCs w:val="20"/>
          <w:color w:val="auto"/>
        </w:rPr>
      </w:pPr>
    </w:p>
    <w:p>
      <w:pPr>
        <w:spacing w:after="0"/>
        <w:rPr>
          <w:sz w:val="20"/>
          <w:szCs w:val="20"/>
          <w:color w:val="auto"/>
        </w:rPr>
      </w:pPr>
      <w:r>
        <w:rPr>
          <w:rFonts w:ascii="Arial" w:cs="Arial" w:eastAsia="Arial" w:hAnsi="Arial"/>
          <w:sz w:val="13"/>
          <w:szCs w:val="13"/>
          <w:color w:val="auto"/>
        </w:rPr>
        <w:t>It is a duty to cooperate fully with any duly authorized internal or external investigation, including, among others, those related to problems of an ethical nature, or to legal demands of any kind.</w:t>
      </w:r>
    </w:p>
    <w:p>
      <w:pPr>
        <w:spacing w:after="0" w:line="159" w:lineRule="exact"/>
        <w:rPr>
          <w:sz w:val="20"/>
          <w:szCs w:val="20"/>
          <w:color w:val="auto"/>
        </w:rPr>
      </w:pPr>
    </w:p>
    <w:p>
      <w:pPr>
        <w:ind w:right="20"/>
        <w:spacing w:after="0" w:line="310" w:lineRule="auto"/>
        <w:rPr>
          <w:sz w:val="20"/>
          <w:szCs w:val="20"/>
          <w:color w:val="auto"/>
        </w:rPr>
      </w:pPr>
      <w:r>
        <w:rPr>
          <w:rFonts w:ascii="Arial" w:cs="Arial" w:eastAsia="Arial" w:hAnsi="Arial"/>
          <w:sz w:val="12"/>
          <w:szCs w:val="12"/>
          <w:color w:val="auto"/>
        </w:rPr>
        <w:t>Making false or misleading statements to internal or external auditors, to Legal and, to Compliance, or to the representatives or regulatory entities of Bladex, may be enough cause for dismissal or termination of any relationship with Bladex. You should never withhold or stop communicating any information relating to ethical problems which, for this reason, should be put to the attention of the corresponding management levels.</w:t>
      </w:r>
    </w:p>
    <w:p>
      <w:pPr>
        <w:spacing w:after="0" w:line="260" w:lineRule="exact"/>
        <w:rPr>
          <w:sz w:val="20"/>
          <w:szCs w:val="20"/>
          <w:color w:val="auto"/>
        </w:rPr>
      </w:pPr>
    </w:p>
    <w:p>
      <w:pPr>
        <w:jc w:val="right"/>
        <w:spacing w:after="0"/>
        <w:rPr>
          <w:sz w:val="20"/>
          <w:szCs w:val="20"/>
          <w:color w:val="auto"/>
        </w:rPr>
      </w:pPr>
      <w:r>
        <w:rPr>
          <w:rFonts w:ascii="Arial" w:cs="Arial" w:eastAsia="Arial" w:hAnsi="Arial"/>
          <w:sz w:val="13"/>
          <w:szCs w:val="13"/>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42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5" w:right="199" w:bottom="1440" w:gutter="0" w:footer="0" w:header="0"/>
        </w:sectPr>
      </w:pPr>
    </w:p>
    <w:bookmarkStart w:id="253" w:name="page254"/>
    <w:bookmarkEnd w:id="253"/>
    <w:p>
      <w:pPr>
        <w:spacing w:after="0"/>
        <w:rPr>
          <w:sz w:val="20"/>
          <w:szCs w:val="20"/>
          <w:color w:val="auto"/>
        </w:rPr>
      </w:pPr>
      <w:r>
        <w:rPr>
          <w:rFonts w:ascii="Arial" w:cs="Arial" w:eastAsia="Arial" w:hAnsi="Arial"/>
          <w:sz w:val="18"/>
          <w:szCs w:val="18"/>
          <w:color w:val="auto"/>
        </w:rPr>
        <w:t>III.8. A culture of high honesty and ethics</w:t>
      </w:r>
    </w:p>
    <w:p>
      <w:pPr>
        <w:spacing w:after="0" w:line="162" w:lineRule="exact"/>
        <w:rPr>
          <w:sz w:val="20"/>
          <w:szCs w:val="20"/>
          <w:color w:val="auto"/>
        </w:rPr>
      </w:pPr>
    </w:p>
    <w:p>
      <w:pPr>
        <w:spacing w:after="0"/>
        <w:rPr>
          <w:sz w:val="20"/>
          <w:szCs w:val="20"/>
          <w:color w:val="auto"/>
        </w:rPr>
      </w:pPr>
      <w:r>
        <w:rPr>
          <w:rFonts w:ascii="Arial" w:cs="Arial" w:eastAsia="Arial" w:hAnsi="Arial"/>
          <w:sz w:val="13"/>
          <w:szCs w:val="13"/>
          <w:color w:val="auto"/>
        </w:rPr>
        <w:t>The Sarbanes-Oxley Act of 2002, issued in the United States of America, establishes the obligation to ensure adequate internal controls in the organization to:</w:t>
      </w:r>
    </w:p>
    <w:p>
      <w:pPr>
        <w:spacing w:after="0" w:line="159" w:lineRule="exact"/>
        <w:rPr>
          <w:sz w:val="20"/>
          <w:szCs w:val="20"/>
          <w:color w:val="auto"/>
        </w:rPr>
      </w:pPr>
    </w:p>
    <w:p>
      <w:pPr>
        <w:ind w:left="480" w:hanging="223"/>
        <w:spacing w:after="0"/>
        <w:tabs>
          <w:tab w:leader="none" w:pos="480" w:val="left"/>
        </w:tabs>
        <w:numPr>
          <w:ilvl w:val="0"/>
          <w:numId w:val="213"/>
        </w:numPr>
        <w:rPr>
          <w:rFonts w:ascii="Arial" w:cs="Arial" w:eastAsia="Arial" w:hAnsi="Arial"/>
          <w:sz w:val="13"/>
          <w:szCs w:val="13"/>
          <w:color w:val="auto"/>
        </w:rPr>
      </w:pPr>
      <w:r>
        <w:rPr>
          <w:rFonts w:ascii="Arial" w:cs="Arial" w:eastAsia="Arial" w:hAnsi="Arial"/>
          <w:sz w:val="13"/>
          <w:szCs w:val="13"/>
          <w:color w:val="auto"/>
        </w:rPr>
        <w:t>Ensure reasonable assurance that transactions are duly registered and are carried out only according to the authorizations of the Board of Directors;</w:t>
      </w:r>
    </w:p>
    <w:p>
      <w:pPr>
        <w:spacing w:after="0" w:line="12" w:lineRule="exact"/>
        <w:rPr>
          <w:rFonts w:ascii="Arial" w:cs="Arial" w:eastAsia="Arial" w:hAnsi="Arial"/>
          <w:sz w:val="13"/>
          <w:szCs w:val="13"/>
          <w:color w:val="auto"/>
        </w:rPr>
      </w:pPr>
    </w:p>
    <w:p>
      <w:pPr>
        <w:ind w:left="480" w:hanging="223"/>
        <w:spacing w:after="0"/>
        <w:tabs>
          <w:tab w:leader="none" w:pos="480" w:val="left"/>
        </w:tabs>
        <w:numPr>
          <w:ilvl w:val="0"/>
          <w:numId w:val="213"/>
        </w:numPr>
        <w:rPr>
          <w:rFonts w:ascii="Arial" w:cs="Arial" w:eastAsia="Arial" w:hAnsi="Arial"/>
          <w:sz w:val="13"/>
          <w:szCs w:val="13"/>
          <w:color w:val="auto"/>
        </w:rPr>
      </w:pPr>
      <w:r>
        <w:rPr>
          <w:rFonts w:ascii="Arial" w:cs="Arial" w:eastAsia="Arial" w:hAnsi="Arial"/>
          <w:sz w:val="13"/>
          <w:szCs w:val="13"/>
          <w:color w:val="auto"/>
        </w:rPr>
        <w:t>Design effective internal controls to ensure that significant information related to the Company and its consolidated subsidiaries are disclosed;</w:t>
      </w:r>
    </w:p>
    <w:p>
      <w:pPr>
        <w:spacing w:after="0" w:line="4" w:lineRule="exact"/>
        <w:rPr>
          <w:rFonts w:ascii="Arial" w:cs="Arial" w:eastAsia="Arial" w:hAnsi="Arial"/>
          <w:sz w:val="13"/>
          <w:szCs w:val="13"/>
          <w:color w:val="auto"/>
        </w:rPr>
      </w:pPr>
    </w:p>
    <w:p>
      <w:pPr>
        <w:ind w:left="480" w:hanging="223"/>
        <w:spacing w:after="0"/>
        <w:tabs>
          <w:tab w:leader="none" w:pos="480" w:val="left"/>
        </w:tabs>
        <w:numPr>
          <w:ilvl w:val="0"/>
          <w:numId w:val="213"/>
        </w:numPr>
        <w:rPr>
          <w:rFonts w:ascii="Arial" w:cs="Arial" w:eastAsia="Arial" w:hAnsi="Arial"/>
          <w:sz w:val="13"/>
          <w:szCs w:val="13"/>
          <w:color w:val="auto"/>
        </w:rPr>
      </w:pPr>
      <w:r>
        <w:rPr>
          <w:rFonts w:ascii="Arial" w:cs="Arial" w:eastAsia="Arial" w:hAnsi="Arial"/>
          <w:sz w:val="13"/>
          <w:szCs w:val="13"/>
          <w:color w:val="auto"/>
        </w:rPr>
        <w:t>Implement measures to prevent, deter and detect fraud.</w:t>
      </w:r>
    </w:p>
    <w:p>
      <w:pPr>
        <w:spacing w:after="0" w:line="150" w:lineRule="exact"/>
        <w:rPr>
          <w:sz w:val="20"/>
          <w:szCs w:val="20"/>
          <w:color w:val="auto"/>
        </w:rPr>
      </w:pPr>
    </w:p>
    <w:p>
      <w:pPr>
        <w:spacing w:after="0"/>
        <w:rPr>
          <w:sz w:val="20"/>
          <w:szCs w:val="20"/>
          <w:color w:val="auto"/>
        </w:rPr>
      </w:pPr>
      <w:r>
        <w:rPr>
          <w:rFonts w:ascii="Arial" w:cs="Arial" w:eastAsia="Arial" w:hAnsi="Arial"/>
          <w:sz w:val="12"/>
          <w:szCs w:val="12"/>
          <w:color w:val="auto"/>
        </w:rPr>
        <w:t>The implementation of these measures must be recorded in a separate document drawn up by the Bank's Management, in accordance with the general international acceptance guidelines on the subject.</w:t>
      </w:r>
    </w:p>
    <w:p>
      <w:pPr>
        <w:spacing w:after="0" w:line="170"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Bank requires maintaining information related to the events and operational risk incidents that are presented. It is the duty of all members of the Bladex task force to report and disclose in a timely manner all events or incidents of operational risk presented in the processes, both to those responsible for each department and to the Operational Risk department.</w:t>
      </w:r>
    </w:p>
    <w:p>
      <w:pPr>
        <w:spacing w:after="0" w:line="126" w:lineRule="exact"/>
        <w:rPr>
          <w:sz w:val="20"/>
          <w:szCs w:val="20"/>
          <w:color w:val="auto"/>
        </w:rPr>
      </w:pPr>
    </w:p>
    <w:p>
      <w:pPr>
        <w:spacing w:after="0"/>
        <w:rPr>
          <w:sz w:val="20"/>
          <w:szCs w:val="20"/>
          <w:color w:val="auto"/>
        </w:rPr>
      </w:pPr>
      <w:r>
        <w:rPr>
          <w:rFonts w:ascii="Arial" w:cs="Arial" w:eastAsia="Arial" w:hAnsi="Arial"/>
          <w:sz w:val="18"/>
          <w:szCs w:val="18"/>
          <w:color w:val="auto"/>
        </w:rPr>
        <w:t>III.9. Relations with the public Sector and regulatory entities</w:t>
      </w:r>
    </w:p>
    <w:p>
      <w:pPr>
        <w:spacing w:after="0" w:line="162"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deference and courtesy of Bladex and its representatives to members of the public sector and regulatory entities must be an organizational feature. These relationships should not be used for personal gain, as a member of the Bladex task force. High moral and civic standards must always be observed and respect for laws.</w:t>
      </w:r>
    </w:p>
    <w:p>
      <w:pPr>
        <w:spacing w:after="0" w:line="12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Bladex as a multinational bank is subject to several laws and regulations of its operations in the different countries in which it has a presence or operation. Failure to comply with such laws and regulations may be subject to penalties. It is the responsibility of each employee to know and understand the legal aspects applicable to the performance of the assigned tasks, to the activity of the department to which he belongs and to the Bank in its entirety, to avoid incurring acts that could cause damage to the bank.</w:t>
      </w:r>
    </w:p>
    <w:p>
      <w:pPr>
        <w:spacing w:after="0" w:line="136"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All employees must inform Compliance if they have a direct or indirect relationship with a public official or a politically exposed person. For purposes of this norm, it is considered as direct relationship that has the collaborator with his spouse, parents, children and siblings, grandparents, grandchildren, in-laws, sons, daughters and brother-in-law, as well as those with whom it holds an intimate relationship of coexistence, indirect the which refers to actions of a public or association nature.</w:t>
      </w:r>
    </w:p>
    <w:p>
      <w:pPr>
        <w:spacing w:after="0" w:line="132" w:lineRule="exact"/>
        <w:rPr>
          <w:sz w:val="20"/>
          <w:szCs w:val="20"/>
          <w:color w:val="auto"/>
        </w:rPr>
      </w:pPr>
    </w:p>
    <w:p>
      <w:pPr>
        <w:spacing w:after="0"/>
        <w:rPr>
          <w:sz w:val="20"/>
          <w:szCs w:val="20"/>
          <w:color w:val="auto"/>
        </w:rPr>
      </w:pPr>
      <w:r>
        <w:rPr>
          <w:rFonts w:ascii="Arial" w:cs="Arial" w:eastAsia="Arial" w:hAnsi="Arial"/>
          <w:sz w:val="18"/>
          <w:szCs w:val="18"/>
          <w:color w:val="auto"/>
        </w:rPr>
        <w:t>III.10. Social network presence</w:t>
      </w:r>
    </w:p>
    <w:p>
      <w:pPr>
        <w:spacing w:after="0" w:line="162" w:lineRule="exact"/>
        <w:rPr>
          <w:sz w:val="20"/>
          <w:szCs w:val="20"/>
          <w:color w:val="auto"/>
        </w:rPr>
      </w:pPr>
    </w:p>
    <w:p>
      <w:pPr>
        <w:spacing w:after="0"/>
        <w:rPr>
          <w:sz w:val="20"/>
          <w:szCs w:val="20"/>
          <w:color w:val="auto"/>
        </w:rPr>
      </w:pPr>
      <w:r>
        <w:rPr>
          <w:rFonts w:ascii="Arial" w:cs="Arial" w:eastAsia="Arial" w:hAnsi="Arial"/>
          <w:sz w:val="11"/>
          <w:szCs w:val="11"/>
          <w:color w:val="auto"/>
        </w:rPr>
        <w:t>Every Subject to the Code must apply the rules established by the Bank regarding behavior in social networks, acting with respect, using good judgment and common sense and taking care of the information they share.</w:t>
      </w:r>
    </w:p>
    <w:p>
      <w:pPr>
        <w:spacing w:after="0" w:line="36" w:lineRule="exact"/>
        <w:rPr>
          <w:sz w:val="20"/>
          <w:szCs w:val="20"/>
          <w:color w:val="auto"/>
        </w:rPr>
      </w:pPr>
    </w:p>
    <w:p>
      <w:pPr>
        <w:spacing w:after="0"/>
        <w:rPr>
          <w:sz w:val="20"/>
          <w:szCs w:val="20"/>
          <w:color w:val="auto"/>
        </w:rPr>
      </w:pPr>
      <w:r>
        <w:rPr>
          <w:rFonts w:ascii="Arial" w:cs="Arial" w:eastAsia="Arial" w:hAnsi="Arial"/>
          <w:sz w:val="13"/>
          <w:szCs w:val="13"/>
          <w:color w:val="auto"/>
        </w:rPr>
        <w:t>They must refrain from posting confidential information from Bladex, their clients or collaborators or opinions that may be attributed to Bladex.</w:t>
      </w:r>
    </w:p>
    <w:p>
      <w:pPr>
        <w:spacing w:after="0" w:line="304" w:lineRule="exact"/>
        <w:rPr>
          <w:sz w:val="20"/>
          <w:szCs w:val="20"/>
          <w:color w:val="auto"/>
        </w:rPr>
      </w:pPr>
    </w:p>
    <w:p>
      <w:pPr>
        <w:jc w:val="right"/>
        <w:spacing w:after="0"/>
        <w:rPr>
          <w:sz w:val="20"/>
          <w:szCs w:val="20"/>
          <w:color w:val="auto"/>
        </w:rPr>
      </w:pPr>
      <w:r>
        <w:rPr>
          <w:rFonts w:ascii="Arial" w:cs="Arial" w:eastAsia="Arial" w:hAnsi="Arial"/>
          <w:sz w:val="13"/>
          <w:szCs w:val="13"/>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4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42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5" w:right="199" w:bottom="1440" w:gutter="0" w:footer="0" w:header="0"/>
        </w:sectPr>
      </w:pPr>
    </w:p>
    <w:bookmarkStart w:id="254" w:name="page255"/>
    <w:bookmarkEnd w:id="254"/>
    <w:p>
      <w:pPr>
        <w:spacing w:after="0"/>
        <w:rPr>
          <w:sz w:val="20"/>
          <w:szCs w:val="20"/>
          <w:color w:val="auto"/>
        </w:rPr>
      </w:pPr>
      <w:r>
        <w:rPr>
          <w:rFonts w:ascii="Arial" w:cs="Arial" w:eastAsia="Arial" w:hAnsi="Arial"/>
          <w:sz w:val="12"/>
          <w:szCs w:val="12"/>
          <w:color w:val="auto"/>
        </w:rPr>
        <w:t>When posting information or opinion on your own behalf, Subjects to the Code should avoid referring to your status as an employee of the Bank or any other that may attribute the content posted to Bladex.</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color w:val="auto"/>
        </w:rPr>
        <w:t>III.11. Environmental protection</w:t>
      </w:r>
    </w:p>
    <w:p>
      <w:pPr>
        <w:spacing w:after="0" w:line="162"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Bank recognizes that protection of the environment is vital to the survival of society. Therefore, it favors in its businesses measures that seek the protection of the environment. The Bank also promotes its employees to the efficient use of natural resources and recycling, among others</w:t>
      </w:r>
    </w:p>
    <w:p>
      <w:pPr>
        <w:spacing w:after="0" w:line="126" w:lineRule="exact"/>
        <w:rPr>
          <w:sz w:val="20"/>
          <w:szCs w:val="20"/>
          <w:color w:val="auto"/>
        </w:rPr>
      </w:pPr>
    </w:p>
    <w:p>
      <w:pPr>
        <w:spacing w:after="0"/>
        <w:rPr>
          <w:sz w:val="20"/>
          <w:szCs w:val="20"/>
          <w:color w:val="auto"/>
        </w:rPr>
      </w:pPr>
      <w:r>
        <w:rPr>
          <w:rFonts w:ascii="Arial" w:cs="Arial" w:eastAsia="Arial" w:hAnsi="Arial"/>
          <w:sz w:val="18"/>
          <w:szCs w:val="18"/>
          <w:color w:val="auto"/>
        </w:rPr>
        <w:t>IV. ETHICS COMMITTEE</w:t>
      </w:r>
    </w:p>
    <w:p>
      <w:pPr>
        <w:spacing w:after="0" w:line="162" w:lineRule="exact"/>
        <w:rPr>
          <w:sz w:val="20"/>
          <w:szCs w:val="20"/>
          <w:color w:val="auto"/>
        </w:rPr>
      </w:pPr>
    </w:p>
    <w:p>
      <w:pPr>
        <w:jc w:val="both"/>
        <w:ind w:right="20"/>
        <w:spacing w:after="0" w:line="254" w:lineRule="auto"/>
        <w:rPr>
          <w:sz w:val="20"/>
          <w:szCs w:val="20"/>
          <w:color w:val="auto"/>
        </w:rPr>
      </w:pPr>
      <w:r>
        <w:rPr>
          <w:rFonts w:ascii="Arial" w:cs="Arial" w:eastAsia="Arial" w:hAnsi="Arial"/>
          <w:sz w:val="13"/>
          <w:szCs w:val="13"/>
          <w:color w:val="auto"/>
        </w:rPr>
        <w:t>The Bank´s Ethics Committee will be responsible for evaluating and updating this code permanently and revising and implementing the mechanisms necessary to disclose and promote the highest standards of behavior in the Institution and will be formed in accordance With the established from time to time in its internal regulations, ensuring at least the participation with voice and vote of a Director and the Executive Vice-President of Audit, who will have voice, but without vote, with the purpose of evaluating and monitoring the fulfillment of the Code of Ethics and submit periodically the outcome of the matters treated in the Ethics Committee to the Compensation Committee.</w:t>
      </w:r>
    </w:p>
    <w:p>
      <w:pPr>
        <w:spacing w:after="0" w:line="137" w:lineRule="exact"/>
        <w:rPr>
          <w:sz w:val="20"/>
          <w:szCs w:val="20"/>
          <w:color w:val="auto"/>
        </w:rPr>
      </w:pPr>
    </w:p>
    <w:p>
      <w:pPr>
        <w:jc w:val="both"/>
        <w:ind w:right="20"/>
        <w:spacing w:after="0" w:line="360" w:lineRule="auto"/>
        <w:rPr>
          <w:sz w:val="20"/>
          <w:szCs w:val="20"/>
          <w:color w:val="auto"/>
        </w:rPr>
      </w:pPr>
      <w:r>
        <w:rPr>
          <w:rFonts w:ascii="Arial" w:cs="Arial" w:eastAsia="Arial" w:hAnsi="Arial"/>
          <w:sz w:val="11"/>
          <w:szCs w:val="11"/>
          <w:color w:val="auto"/>
        </w:rPr>
        <w:t>Unless otherwise stated in this Code, the Ethics Committee shall report to the Compensation Committee on the failure of any Subject to comply with the Code of the rules contained in this Code of ethics. The Compensation Committee, in turn, will inform the Audit Committee of the occurrence of such breaches, for the knowledge of the members of the Audit Committee and for the adoption of the corresponding actions and/or penalties.</w:t>
      </w:r>
    </w:p>
    <w:p>
      <w:pPr>
        <w:spacing w:after="0" w:line="79" w:lineRule="exact"/>
        <w:rPr>
          <w:sz w:val="20"/>
          <w:szCs w:val="20"/>
          <w:color w:val="auto"/>
        </w:rPr>
      </w:pPr>
    </w:p>
    <w:p>
      <w:pPr>
        <w:spacing w:after="0"/>
        <w:rPr>
          <w:sz w:val="20"/>
          <w:szCs w:val="20"/>
          <w:color w:val="auto"/>
        </w:rPr>
      </w:pPr>
      <w:r>
        <w:rPr>
          <w:rFonts w:ascii="Arial" w:cs="Arial" w:eastAsia="Arial" w:hAnsi="Arial"/>
          <w:sz w:val="18"/>
          <w:szCs w:val="18"/>
          <w:color w:val="auto"/>
        </w:rPr>
        <w:t>V. COMPLIANCE REGULATIONS</w:t>
      </w:r>
    </w:p>
    <w:p>
      <w:pPr>
        <w:spacing w:after="0" w:line="162"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provisions contained in this Code of Ethics are mandatory for all those Subject to the Code. These provisions are complemented, for employees within a general framework, with the provisions of the employment contract, in the internal labor regulations, legal rules, banking regulations and rules of internal procedure and guidelines In force or dictate the future.</w:t>
      </w:r>
    </w:p>
    <w:p>
      <w:pPr>
        <w:spacing w:after="0" w:line="12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Bladex shall penalize those Subject to the Code for incurring any conduct which is apart from, or contravenes, the rules of the Code of Ethics, without prejudice that such conduct may constitute at the same time an infringement of the internal regulations and/or the contract of employment, where the sanctions scheme provided for in that regulation and/or the law shall also be applicable.</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color w:val="auto"/>
        </w:rPr>
        <w:t>Bladex must submit and/or make available to each Subject to the Code a copy of the Code of Ethics at the time of hiring.</w:t>
      </w:r>
    </w:p>
    <w:p>
      <w:pPr>
        <w:spacing w:after="0" w:line="313" w:lineRule="exact"/>
        <w:rPr>
          <w:sz w:val="20"/>
          <w:szCs w:val="20"/>
          <w:color w:val="auto"/>
        </w:rPr>
      </w:pPr>
    </w:p>
    <w:p>
      <w:pPr>
        <w:jc w:val="right"/>
        <w:spacing w:after="0"/>
        <w:rPr>
          <w:sz w:val="20"/>
          <w:szCs w:val="20"/>
          <w:color w:val="auto"/>
        </w:rPr>
      </w:pPr>
      <w:r>
        <w:rPr>
          <w:rFonts w:ascii="Arial" w:cs="Arial" w:eastAsia="Arial" w:hAnsi="Arial"/>
          <w:sz w:val="13"/>
          <w:szCs w:val="13"/>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42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9" w:right="199" w:bottom="1440" w:gutter="0" w:footer="0" w:header="0"/>
        </w:sectPr>
      </w:pPr>
    </w:p>
    <w:bookmarkStart w:id="255" w:name="page256"/>
    <w:bookmarkEnd w:id="255"/>
    <w:p>
      <w:pPr>
        <w:ind w:left="3"/>
        <w:spacing w:after="0"/>
        <w:rPr>
          <w:sz w:val="20"/>
          <w:szCs w:val="20"/>
          <w:color w:val="auto"/>
        </w:rPr>
      </w:pPr>
      <w:r>
        <w:rPr>
          <w:rFonts w:ascii="Arial" w:cs="Arial" w:eastAsia="Arial" w:hAnsi="Arial"/>
          <w:sz w:val="13"/>
          <w:szCs w:val="13"/>
          <w:b w:val="1"/>
          <w:bCs w:val="1"/>
          <w:color w:val="auto"/>
        </w:rPr>
        <w:t>BANCO LATINOAMERICANO DE COMERCIO EXTERIOR, S.A. (“Bladex”)</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8"/>
          <w:szCs w:val="18"/>
          <w:color w:val="auto"/>
        </w:rPr>
        <w:t>SPECIAL STATEMENT BY SENIOR FINANCIAL EXECUTIVES RELATED TO THE BLADEX CODE OF ETHICS (THE "CODE")</w:t>
      </w:r>
    </w:p>
    <w:p>
      <w:pPr>
        <w:spacing w:after="0" w:line="162" w:lineRule="exact"/>
        <w:rPr>
          <w:sz w:val="20"/>
          <w:szCs w:val="20"/>
          <w:color w:val="auto"/>
        </w:rPr>
      </w:pPr>
    </w:p>
    <w:p>
      <w:pPr>
        <w:ind w:left="3" w:right="20"/>
        <w:spacing w:after="0" w:line="267" w:lineRule="auto"/>
        <w:rPr>
          <w:sz w:val="20"/>
          <w:szCs w:val="20"/>
          <w:color w:val="auto"/>
        </w:rPr>
      </w:pPr>
      <w:r>
        <w:rPr>
          <w:rFonts w:ascii="Arial" w:cs="Arial" w:eastAsia="Arial" w:hAnsi="Arial"/>
          <w:sz w:val="13"/>
          <w:szCs w:val="13"/>
          <w:color w:val="auto"/>
        </w:rPr>
        <w:t>The CEO, the CFO and the Accounting Vice-president, as Senior Financial Executives ("Senior Executives") of Bladex, hereby accept the provisions of the Code and agree to comply with the additional provisions contained herein.</w:t>
      </w:r>
    </w:p>
    <w:p>
      <w:pPr>
        <w:spacing w:after="0" w:line="125" w:lineRule="exact"/>
        <w:rPr>
          <w:sz w:val="20"/>
          <w:szCs w:val="20"/>
          <w:color w:val="auto"/>
        </w:rPr>
      </w:pPr>
    </w:p>
    <w:p>
      <w:pPr>
        <w:ind w:left="223" w:hanging="223"/>
        <w:spacing w:after="0"/>
        <w:tabs>
          <w:tab w:leader="none" w:pos="223" w:val="left"/>
        </w:tabs>
        <w:numPr>
          <w:ilvl w:val="0"/>
          <w:numId w:val="214"/>
        </w:numPr>
        <w:rPr>
          <w:rFonts w:ascii="Arial" w:cs="Arial" w:eastAsia="Arial" w:hAnsi="Arial"/>
          <w:sz w:val="13"/>
          <w:szCs w:val="13"/>
          <w:b w:val="1"/>
          <w:bCs w:val="1"/>
          <w:color w:val="auto"/>
        </w:rPr>
      </w:pPr>
      <w:r>
        <w:rPr>
          <w:rFonts w:ascii="Arial" w:cs="Arial" w:eastAsia="Arial" w:hAnsi="Arial"/>
          <w:sz w:val="13"/>
          <w:szCs w:val="13"/>
          <w:b w:val="1"/>
          <w:bCs w:val="1"/>
          <w:color w:val="auto"/>
        </w:rPr>
        <w:t>This Special Statement by Bladex's Senior Executives is intended to promote:</w:t>
      </w:r>
    </w:p>
    <w:p>
      <w:pPr>
        <w:spacing w:after="0" w:line="162" w:lineRule="exact"/>
        <w:rPr>
          <w:rFonts w:ascii="Arial" w:cs="Arial" w:eastAsia="Arial" w:hAnsi="Arial"/>
          <w:sz w:val="13"/>
          <w:szCs w:val="13"/>
          <w:b w:val="1"/>
          <w:bCs w:val="1"/>
          <w:color w:val="auto"/>
        </w:rPr>
      </w:pPr>
    </w:p>
    <w:p>
      <w:pPr>
        <w:ind w:left="463" w:hanging="232"/>
        <w:spacing w:after="0"/>
        <w:tabs>
          <w:tab w:leader="none" w:pos="463" w:val="left"/>
        </w:tabs>
        <w:numPr>
          <w:ilvl w:val="1"/>
          <w:numId w:val="214"/>
        </w:numPr>
        <w:rPr>
          <w:rFonts w:ascii="Arial" w:cs="Arial" w:eastAsia="Arial" w:hAnsi="Arial"/>
          <w:sz w:val="13"/>
          <w:szCs w:val="13"/>
          <w:color w:val="auto"/>
        </w:rPr>
      </w:pPr>
      <w:r>
        <w:rPr>
          <w:rFonts w:ascii="Arial" w:cs="Arial" w:eastAsia="Arial" w:hAnsi="Arial"/>
          <w:sz w:val="13"/>
          <w:szCs w:val="13"/>
          <w:color w:val="auto"/>
        </w:rPr>
        <w:t>Honest and ethical conduct, including ethical management of current or apparent conflicts of interest between personal and professional relationships;</w:t>
      </w:r>
    </w:p>
    <w:p>
      <w:pPr>
        <w:spacing w:after="0" w:line="12" w:lineRule="exact"/>
        <w:rPr>
          <w:rFonts w:ascii="Arial" w:cs="Arial" w:eastAsia="Arial" w:hAnsi="Arial"/>
          <w:sz w:val="13"/>
          <w:szCs w:val="13"/>
          <w:color w:val="auto"/>
        </w:rPr>
      </w:pPr>
    </w:p>
    <w:p>
      <w:pPr>
        <w:ind w:left="463" w:right="20" w:hanging="232"/>
        <w:spacing w:after="0" w:line="247" w:lineRule="auto"/>
        <w:tabs>
          <w:tab w:leader="none" w:pos="463" w:val="left"/>
        </w:tabs>
        <w:numPr>
          <w:ilvl w:val="1"/>
          <w:numId w:val="214"/>
        </w:numPr>
        <w:rPr>
          <w:rFonts w:ascii="Arial" w:cs="Arial" w:eastAsia="Arial" w:hAnsi="Arial"/>
          <w:sz w:val="13"/>
          <w:szCs w:val="13"/>
          <w:color w:val="auto"/>
        </w:rPr>
      </w:pPr>
      <w:r>
        <w:rPr>
          <w:rFonts w:ascii="Arial" w:cs="Arial" w:eastAsia="Arial" w:hAnsi="Arial"/>
          <w:sz w:val="13"/>
          <w:szCs w:val="13"/>
          <w:color w:val="auto"/>
        </w:rPr>
        <w:t>A complete, fair, accurate, timely and understandable disclosure in the reports and documents Bladex issue or present to the "Securities and Exchange Commission" ("SEC") and other public communications made by Bladex;</w:t>
      </w:r>
    </w:p>
    <w:p>
      <w:pPr>
        <w:ind w:left="463" w:hanging="232"/>
        <w:spacing w:after="0"/>
        <w:tabs>
          <w:tab w:leader="none" w:pos="463" w:val="left"/>
        </w:tabs>
        <w:numPr>
          <w:ilvl w:val="1"/>
          <w:numId w:val="214"/>
        </w:numPr>
        <w:rPr>
          <w:rFonts w:ascii="Arial" w:cs="Arial" w:eastAsia="Arial" w:hAnsi="Arial"/>
          <w:sz w:val="13"/>
          <w:szCs w:val="13"/>
          <w:color w:val="auto"/>
        </w:rPr>
      </w:pPr>
      <w:r>
        <w:rPr>
          <w:rFonts w:ascii="Arial" w:cs="Arial" w:eastAsia="Arial" w:hAnsi="Arial"/>
          <w:sz w:val="13"/>
          <w:szCs w:val="13"/>
          <w:color w:val="auto"/>
        </w:rPr>
        <w:t>Compliance with applicable laws, government rules and regulations;</w:t>
      </w:r>
    </w:p>
    <w:p>
      <w:pPr>
        <w:spacing w:after="0" w:line="4" w:lineRule="exact"/>
        <w:rPr>
          <w:rFonts w:ascii="Arial" w:cs="Arial" w:eastAsia="Arial" w:hAnsi="Arial"/>
          <w:sz w:val="13"/>
          <w:szCs w:val="13"/>
          <w:color w:val="auto"/>
        </w:rPr>
      </w:pPr>
    </w:p>
    <w:p>
      <w:pPr>
        <w:ind w:left="463" w:hanging="232"/>
        <w:spacing w:after="0"/>
        <w:tabs>
          <w:tab w:leader="none" w:pos="463" w:val="left"/>
        </w:tabs>
        <w:numPr>
          <w:ilvl w:val="1"/>
          <w:numId w:val="214"/>
        </w:numPr>
        <w:rPr>
          <w:rFonts w:ascii="Arial" w:cs="Arial" w:eastAsia="Arial" w:hAnsi="Arial"/>
          <w:sz w:val="13"/>
          <w:szCs w:val="13"/>
          <w:color w:val="auto"/>
        </w:rPr>
      </w:pPr>
      <w:r>
        <w:rPr>
          <w:rFonts w:ascii="Arial" w:cs="Arial" w:eastAsia="Arial" w:hAnsi="Arial"/>
          <w:sz w:val="13"/>
          <w:szCs w:val="13"/>
          <w:color w:val="auto"/>
        </w:rPr>
        <w:t>Timely internal reporting of Code violations to an appropriate person or to persons identified in the Code; and</w:t>
      </w:r>
    </w:p>
    <w:p>
      <w:pPr>
        <w:spacing w:after="0" w:line="4" w:lineRule="exact"/>
        <w:rPr>
          <w:rFonts w:ascii="Arial" w:cs="Arial" w:eastAsia="Arial" w:hAnsi="Arial"/>
          <w:sz w:val="13"/>
          <w:szCs w:val="13"/>
          <w:color w:val="auto"/>
        </w:rPr>
      </w:pPr>
    </w:p>
    <w:p>
      <w:pPr>
        <w:ind w:left="463" w:hanging="232"/>
        <w:spacing w:after="0"/>
        <w:tabs>
          <w:tab w:leader="none" w:pos="463" w:val="left"/>
        </w:tabs>
        <w:numPr>
          <w:ilvl w:val="1"/>
          <w:numId w:val="214"/>
        </w:numPr>
        <w:rPr>
          <w:rFonts w:ascii="Arial" w:cs="Arial" w:eastAsia="Arial" w:hAnsi="Arial"/>
          <w:sz w:val="13"/>
          <w:szCs w:val="13"/>
          <w:color w:val="auto"/>
        </w:rPr>
      </w:pPr>
      <w:r>
        <w:rPr>
          <w:rFonts w:ascii="Arial" w:cs="Arial" w:eastAsia="Arial" w:hAnsi="Arial"/>
          <w:sz w:val="13"/>
          <w:szCs w:val="13"/>
          <w:color w:val="auto"/>
        </w:rPr>
        <w:t>The responsibility for adherence to the Code.</w:t>
      </w:r>
    </w:p>
    <w:p>
      <w:pPr>
        <w:spacing w:after="0" w:line="150" w:lineRule="exact"/>
        <w:rPr>
          <w:sz w:val="20"/>
          <w:szCs w:val="20"/>
          <w:color w:val="auto"/>
        </w:rPr>
      </w:pPr>
    </w:p>
    <w:p>
      <w:pPr>
        <w:jc w:val="both"/>
        <w:ind w:left="223"/>
        <w:spacing w:after="0" w:line="257" w:lineRule="auto"/>
        <w:rPr>
          <w:sz w:val="20"/>
          <w:szCs w:val="20"/>
          <w:color w:val="auto"/>
        </w:rPr>
      </w:pPr>
      <w:r>
        <w:rPr>
          <w:rFonts w:ascii="Arial" w:cs="Arial" w:eastAsia="Arial" w:hAnsi="Arial"/>
          <w:sz w:val="13"/>
          <w:szCs w:val="13"/>
          <w:color w:val="auto"/>
        </w:rPr>
        <w:t>Every Senior Executive must adhere to a high standard of business ethics and should be sensitive to situations that may result in current or apparent conflicts of interest. Bladex always expects its top executives to meet the principles of this Code. A violation of this Code is a cause of disciplinary action including dismissal and possible legal action. Any consultation on the application of the Code must be referred to the Audit Committee of the Board of Directors of Bladex.</w:t>
      </w:r>
    </w:p>
    <w:p>
      <w:pPr>
        <w:spacing w:after="0" w:line="132" w:lineRule="exact"/>
        <w:rPr>
          <w:sz w:val="20"/>
          <w:szCs w:val="20"/>
          <w:color w:val="auto"/>
        </w:rPr>
      </w:pPr>
    </w:p>
    <w:p>
      <w:pPr>
        <w:ind w:left="223" w:hanging="223"/>
        <w:spacing w:after="0"/>
        <w:tabs>
          <w:tab w:leader="none" w:pos="223" w:val="left"/>
        </w:tabs>
        <w:numPr>
          <w:ilvl w:val="0"/>
          <w:numId w:val="215"/>
        </w:numPr>
        <w:rPr>
          <w:rFonts w:ascii="Arial" w:cs="Arial" w:eastAsia="Arial" w:hAnsi="Arial"/>
          <w:sz w:val="13"/>
          <w:szCs w:val="13"/>
          <w:b w:val="1"/>
          <w:bCs w:val="1"/>
          <w:color w:val="auto"/>
        </w:rPr>
      </w:pPr>
      <w:r>
        <w:rPr>
          <w:rFonts w:ascii="Arial" w:cs="Arial" w:eastAsia="Arial" w:hAnsi="Arial"/>
          <w:sz w:val="13"/>
          <w:szCs w:val="13"/>
          <w:b w:val="1"/>
          <w:bCs w:val="1"/>
          <w:color w:val="auto"/>
        </w:rPr>
        <w:t>Senior Executives must ethically handle conflicts of real or apparent interest.</w:t>
      </w:r>
    </w:p>
    <w:p>
      <w:pPr>
        <w:spacing w:after="0" w:line="162" w:lineRule="exact"/>
        <w:rPr>
          <w:rFonts w:ascii="Arial" w:cs="Arial" w:eastAsia="Arial" w:hAnsi="Arial"/>
          <w:sz w:val="13"/>
          <w:szCs w:val="13"/>
          <w:b w:val="1"/>
          <w:bCs w:val="1"/>
          <w:color w:val="auto"/>
        </w:rPr>
      </w:pP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A "Conflict of interest" occurs when the private interest of a Senior Executive interferes with the interests of, or his service to, Bladex. For instance, a conflict of interest from a Senior Executive may arise if a Senior Executive, or a member of his family, receives improper personal benefits because of his position at Bladex.</w:t>
      </w:r>
    </w:p>
    <w:p>
      <w:pPr>
        <w:spacing w:after="0" w:line="129"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2"/>
          <w:szCs w:val="12"/>
          <w:color w:val="auto"/>
        </w:rPr>
        <w:t>Any Top-level Executive shall ensure that the guidelines for the handling of conflicts of interest referred to in point III. 2 of the Code are strictly followed, and to avoid situations that are typified in that point.</w:t>
      </w:r>
    </w:p>
    <w:p>
      <w:pPr>
        <w:spacing w:after="0" w:line="170" w:lineRule="exact"/>
        <w:rPr>
          <w:rFonts w:ascii="Arial" w:cs="Arial" w:eastAsia="Arial" w:hAnsi="Arial"/>
          <w:sz w:val="13"/>
          <w:szCs w:val="13"/>
          <w:b w:val="1"/>
          <w:bCs w:val="1"/>
          <w:color w:val="auto"/>
        </w:rPr>
      </w:pPr>
    </w:p>
    <w:p>
      <w:pPr>
        <w:ind w:left="223"/>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In situations involving a Top-level Executive, in which there is the appearance of, or potential, conflicts of interest, but the Top Executive believes that it is not a significant conflict of interest, the Top Executive shall obtain approval from the Committee of Audit before getting involved in such a situation. No approval of this type will be considered an exception to the Code</w:t>
      </w:r>
    </w:p>
    <w:p>
      <w:pPr>
        <w:spacing w:after="0" w:line="283" w:lineRule="exact"/>
        <w:rPr>
          <w:sz w:val="20"/>
          <w:szCs w:val="20"/>
          <w:color w:val="auto"/>
        </w:rPr>
      </w:pPr>
    </w:p>
    <w:p>
      <w:pPr>
        <w:jc w:val="right"/>
        <w:spacing w:after="0"/>
        <w:rPr>
          <w:sz w:val="20"/>
          <w:szCs w:val="20"/>
          <w:color w:val="auto"/>
        </w:rPr>
      </w:pPr>
      <w:r>
        <w:rPr>
          <w:rFonts w:ascii="Arial" w:cs="Arial" w:eastAsia="Arial" w:hAnsi="Arial"/>
          <w:sz w:val="13"/>
          <w:szCs w:val="13"/>
          <w:color w:val="auto"/>
        </w:rPr>
        <w:t>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415" name="Picture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42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256" w:name="page257"/>
    <w:bookmarkEnd w:id="256"/>
    <w:p>
      <w:pPr>
        <w:ind w:left="223" w:hanging="223"/>
        <w:spacing w:after="0"/>
        <w:tabs>
          <w:tab w:leader="none" w:pos="223" w:val="left"/>
        </w:tabs>
        <w:numPr>
          <w:ilvl w:val="0"/>
          <w:numId w:val="216"/>
        </w:numPr>
        <w:rPr>
          <w:rFonts w:ascii="Arial" w:cs="Arial" w:eastAsia="Arial" w:hAnsi="Arial"/>
          <w:sz w:val="13"/>
          <w:szCs w:val="13"/>
          <w:b w:val="1"/>
          <w:bCs w:val="1"/>
          <w:color w:val="auto"/>
        </w:rPr>
      </w:pPr>
      <w:r>
        <w:rPr>
          <w:rFonts w:ascii="Arial" w:cs="Arial" w:eastAsia="Arial" w:hAnsi="Arial"/>
          <w:sz w:val="13"/>
          <w:szCs w:val="13"/>
          <w:b w:val="1"/>
          <w:bCs w:val="1"/>
          <w:color w:val="auto"/>
        </w:rPr>
        <w:t>Disclosure and Compliance</w:t>
      </w:r>
    </w:p>
    <w:p>
      <w:pPr>
        <w:spacing w:after="0" w:line="162" w:lineRule="exact"/>
        <w:rPr>
          <w:rFonts w:ascii="Arial" w:cs="Arial" w:eastAsia="Arial" w:hAnsi="Arial"/>
          <w:sz w:val="13"/>
          <w:szCs w:val="13"/>
          <w:b w:val="1"/>
          <w:bCs w:val="1"/>
          <w:color w:val="auto"/>
        </w:rPr>
      </w:pPr>
    </w:p>
    <w:p>
      <w:pPr>
        <w:ind w:left="463" w:hanging="232"/>
        <w:spacing w:after="0"/>
        <w:tabs>
          <w:tab w:leader="none" w:pos="463" w:val="left"/>
        </w:tabs>
        <w:numPr>
          <w:ilvl w:val="1"/>
          <w:numId w:val="216"/>
        </w:numPr>
        <w:rPr>
          <w:rFonts w:ascii="Arial" w:cs="Arial" w:eastAsia="Arial" w:hAnsi="Arial"/>
          <w:sz w:val="13"/>
          <w:szCs w:val="13"/>
          <w:color w:val="auto"/>
        </w:rPr>
      </w:pPr>
      <w:r>
        <w:rPr>
          <w:rFonts w:ascii="Arial" w:cs="Arial" w:eastAsia="Arial" w:hAnsi="Arial"/>
          <w:sz w:val="13"/>
          <w:szCs w:val="13"/>
          <w:color w:val="auto"/>
        </w:rPr>
        <w:t>Every Senior Executive should be familiar with the disclosure and compliance requirements generally applicable to Bladex;</w:t>
      </w:r>
    </w:p>
    <w:p>
      <w:pPr>
        <w:spacing w:after="0" w:line="12" w:lineRule="exact"/>
        <w:rPr>
          <w:rFonts w:ascii="Arial" w:cs="Arial" w:eastAsia="Arial" w:hAnsi="Arial"/>
          <w:sz w:val="13"/>
          <w:szCs w:val="13"/>
          <w:color w:val="auto"/>
        </w:rPr>
      </w:pPr>
    </w:p>
    <w:p>
      <w:pPr>
        <w:ind w:left="463" w:right="20" w:hanging="232"/>
        <w:spacing w:after="0" w:line="247" w:lineRule="auto"/>
        <w:tabs>
          <w:tab w:leader="none" w:pos="463" w:val="left"/>
        </w:tabs>
        <w:numPr>
          <w:ilvl w:val="1"/>
          <w:numId w:val="216"/>
        </w:numPr>
        <w:rPr>
          <w:rFonts w:ascii="Arial" w:cs="Arial" w:eastAsia="Arial" w:hAnsi="Arial"/>
          <w:sz w:val="13"/>
          <w:szCs w:val="13"/>
          <w:color w:val="auto"/>
        </w:rPr>
      </w:pPr>
      <w:r>
        <w:rPr>
          <w:rFonts w:ascii="Arial" w:cs="Arial" w:eastAsia="Arial" w:hAnsi="Arial"/>
          <w:sz w:val="13"/>
          <w:szCs w:val="13"/>
          <w:color w:val="auto"/>
        </w:rPr>
        <w:t>Every Senior Executive shall refrain from misrepresenting, or causing other misrepresenting, facts about Bladex, whether in or out of Bladex, including the Directors and Dignitaries of Bladex and auditors, or government regulators and autonomous organizations.</w:t>
      </w:r>
    </w:p>
    <w:p>
      <w:pPr>
        <w:ind w:left="463" w:right="20" w:hanging="232"/>
        <w:spacing w:after="0" w:line="247" w:lineRule="auto"/>
        <w:tabs>
          <w:tab w:leader="none" w:pos="463" w:val="left"/>
        </w:tabs>
        <w:numPr>
          <w:ilvl w:val="1"/>
          <w:numId w:val="216"/>
        </w:numPr>
        <w:rPr>
          <w:rFonts w:ascii="Arial" w:cs="Arial" w:eastAsia="Arial" w:hAnsi="Arial"/>
          <w:sz w:val="13"/>
          <w:szCs w:val="13"/>
          <w:color w:val="auto"/>
        </w:rPr>
      </w:pPr>
      <w:r>
        <w:rPr>
          <w:rFonts w:ascii="Arial" w:cs="Arial" w:eastAsia="Arial" w:hAnsi="Arial"/>
          <w:sz w:val="13"/>
          <w:szCs w:val="13"/>
          <w:color w:val="auto"/>
        </w:rPr>
        <w:t>Every Senior Executive must, to the extent appropriate in their area of responsibility, consult with other executives and employees of Bladex with the aim of promoting full, fair, accurate, timely and understandable disclosures in the reports that Bladex files or present to the SEC, and in other public communications made by Bladex; and</w:t>
      </w:r>
    </w:p>
    <w:p>
      <w:pPr>
        <w:ind w:left="463" w:hanging="232"/>
        <w:spacing w:after="0"/>
        <w:tabs>
          <w:tab w:leader="none" w:pos="463" w:val="left"/>
        </w:tabs>
        <w:numPr>
          <w:ilvl w:val="1"/>
          <w:numId w:val="216"/>
        </w:numPr>
        <w:rPr>
          <w:rFonts w:ascii="Arial" w:cs="Arial" w:eastAsia="Arial" w:hAnsi="Arial"/>
          <w:sz w:val="13"/>
          <w:szCs w:val="13"/>
          <w:color w:val="auto"/>
        </w:rPr>
      </w:pPr>
      <w:r>
        <w:rPr>
          <w:rFonts w:ascii="Arial" w:cs="Arial" w:eastAsia="Arial" w:hAnsi="Arial"/>
          <w:sz w:val="13"/>
          <w:szCs w:val="13"/>
          <w:color w:val="auto"/>
        </w:rPr>
        <w:t>It is the responsibility of each Senior Executive to promote compliance with the standards and restrictions imposed by applicable laws, rules and regulations.</w:t>
      </w:r>
    </w:p>
    <w:p>
      <w:pPr>
        <w:spacing w:after="0" w:line="146"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IV. Reporting and Responsibilities</w:t>
      </w:r>
    </w:p>
    <w:p>
      <w:pPr>
        <w:spacing w:after="0" w:line="163" w:lineRule="exact"/>
        <w:rPr>
          <w:sz w:val="20"/>
          <w:szCs w:val="20"/>
          <w:color w:val="auto"/>
        </w:rPr>
      </w:pPr>
    </w:p>
    <w:p>
      <w:pPr>
        <w:ind w:left="243"/>
        <w:spacing w:after="0"/>
        <w:rPr>
          <w:sz w:val="20"/>
          <w:szCs w:val="20"/>
          <w:color w:val="auto"/>
        </w:rPr>
      </w:pPr>
      <w:r>
        <w:rPr>
          <w:rFonts w:ascii="Arial" w:cs="Arial" w:eastAsia="Arial" w:hAnsi="Arial"/>
          <w:sz w:val="13"/>
          <w:szCs w:val="13"/>
          <w:color w:val="auto"/>
        </w:rPr>
        <w:t>Each Senior Executive must:</w:t>
      </w:r>
    </w:p>
    <w:p>
      <w:pPr>
        <w:spacing w:after="0" w:line="159" w:lineRule="exact"/>
        <w:rPr>
          <w:sz w:val="20"/>
          <w:szCs w:val="20"/>
          <w:color w:val="auto"/>
        </w:rPr>
      </w:pPr>
    </w:p>
    <w:p>
      <w:pPr>
        <w:ind w:left="463" w:hanging="232"/>
        <w:spacing w:after="0"/>
        <w:tabs>
          <w:tab w:leader="none" w:pos="463" w:val="left"/>
        </w:tabs>
        <w:numPr>
          <w:ilvl w:val="0"/>
          <w:numId w:val="217"/>
        </w:numPr>
        <w:rPr>
          <w:rFonts w:ascii="Arial" w:cs="Arial" w:eastAsia="Arial" w:hAnsi="Arial"/>
          <w:sz w:val="12"/>
          <w:szCs w:val="12"/>
          <w:color w:val="auto"/>
        </w:rPr>
      </w:pPr>
      <w:r>
        <w:rPr>
          <w:rFonts w:ascii="Arial" w:cs="Arial" w:eastAsia="Arial" w:hAnsi="Arial"/>
          <w:sz w:val="12"/>
          <w:szCs w:val="12"/>
          <w:color w:val="auto"/>
        </w:rPr>
        <w:t>Once the Code has been adopted (or as subsequently applied, by becoming Senior Executive), declare in writing to the Board of Directors that they have received and read and understood the Code;</w:t>
      </w:r>
    </w:p>
    <w:p>
      <w:pPr>
        <w:spacing w:after="0" w:line="24" w:lineRule="exact"/>
        <w:rPr>
          <w:rFonts w:ascii="Arial" w:cs="Arial" w:eastAsia="Arial" w:hAnsi="Arial"/>
          <w:sz w:val="12"/>
          <w:szCs w:val="12"/>
          <w:color w:val="auto"/>
        </w:rPr>
      </w:pPr>
    </w:p>
    <w:p>
      <w:pPr>
        <w:ind w:left="463" w:hanging="232"/>
        <w:spacing w:after="0"/>
        <w:tabs>
          <w:tab w:leader="none" w:pos="463" w:val="left"/>
        </w:tabs>
        <w:numPr>
          <w:ilvl w:val="0"/>
          <w:numId w:val="217"/>
        </w:numPr>
        <w:rPr>
          <w:rFonts w:ascii="Arial" w:cs="Arial" w:eastAsia="Arial" w:hAnsi="Arial"/>
          <w:sz w:val="13"/>
          <w:szCs w:val="13"/>
          <w:color w:val="auto"/>
        </w:rPr>
      </w:pPr>
      <w:r>
        <w:rPr>
          <w:rFonts w:ascii="Arial" w:cs="Arial" w:eastAsia="Arial" w:hAnsi="Arial"/>
          <w:sz w:val="13"/>
          <w:szCs w:val="13"/>
          <w:color w:val="auto"/>
        </w:rPr>
        <w:t>Refrain from retaliating against any other Senior Executive or employee of Bladex or his family, for reports of potential violations made in good faith.</w:t>
      </w:r>
    </w:p>
    <w:p>
      <w:pPr>
        <w:spacing w:after="0" w:line="4" w:lineRule="exact"/>
        <w:rPr>
          <w:rFonts w:ascii="Arial" w:cs="Arial" w:eastAsia="Arial" w:hAnsi="Arial"/>
          <w:sz w:val="13"/>
          <w:szCs w:val="13"/>
          <w:color w:val="auto"/>
        </w:rPr>
      </w:pPr>
    </w:p>
    <w:p>
      <w:pPr>
        <w:ind w:left="463" w:hanging="232"/>
        <w:spacing w:after="0"/>
        <w:tabs>
          <w:tab w:leader="none" w:pos="463" w:val="left"/>
        </w:tabs>
        <w:numPr>
          <w:ilvl w:val="0"/>
          <w:numId w:val="217"/>
        </w:numPr>
        <w:rPr>
          <w:rFonts w:ascii="Arial" w:cs="Arial" w:eastAsia="Arial" w:hAnsi="Arial"/>
          <w:sz w:val="13"/>
          <w:szCs w:val="13"/>
          <w:color w:val="auto"/>
        </w:rPr>
      </w:pPr>
      <w:r>
        <w:rPr>
          <w:rFonts w:ascii="Arial" w:cs="Arial" w:eastAsia="Arial" w:hAnsi="Arial"/>
          <w:sz w:val="13"/>
          <w:szCs w:val="13"/>
          <w:color w:val="auto"/>
        </w:rPr>
        <w:t>Notify the Audit Committee promptly if you know of any violation of the Code, understanding that omitting to do so will be considered a violation of the same.</w:t>
      </w:r>
    </w:p>
    <w:p>
      <w:pPr>
        <w:spacing w:after="0" w:line="150" w:lineRule="exact"/>
        <w:rPr>
          <w:sz w:val="20"/>
          <w:szCs w:val="20"/>
          <w:color w:val="auto"/>
        </w:rPr>
      </w:pPr>
    </w:p>
    <w:p>
      <w:pPr>
        <w:ind w:left="223"/>
        <w:spacing w:after="0"/>
        <w:rPr>
          <w:sz w:val="20"/>
          <w:szCs w:val="20"/>
          <w:color w:val="auto"/>
        </w:rPr>
      </w:pPr>
      <w:r>
        <w:rPr>
          <w:rFonts w:ascii="Arial" w:cs="Arial" w:eastAsia="Arial" w:hAnsi="Arial"/>
          <w:sz w:val="12"/>
          <w:szCs w:val="12"/>
          <w:color w:val="auto"/>
        </w:rPr>
        <w:t>The Audit Committee is responsible for applying the Code in specific situations where doubts arise and has the authority to interpret it in any situation. Any exception should be considered by the Audit Committee.</w:t>
      </w:r>
    </w:p>
    <w:p>
      <w:pPr>
        <w:spacing w:after="0" w:line="170" w:lineRule="exact"/>
        <w:rPr>
          <w:sz w:val="20"/>
          <w:szCs w:val="20"/>
          <w:color w:val="auto"/>
        </w:rPr>
      </w:pPr>
    </w:p>
    <w:p>
      <w:pPr>
        <w:ind w:left="223"/>
        <w:spacing w:after="0"/>
        <w:rPr>
          <w:sz w:val="20"/>
          <w:szCs w:val="20"/>
          <w:color w:val="auto"/>
        </w:rPr>
      </w:pPr>
      <w:r>
        <w:rPr>
          <w:rFonts w:ascii="Arial" w:cs="Arial" w:eastAsia="Arial" w:hAnsi="Arial"/>
          <w:sz w:val="13"/>
          <w:szCs w:val="13"/>
          <w:color w:val="auto"/>
        </w:rPr>
        <w:t>Bladex will follow the following procedures in the investigations to enforce the Code:</w:t>
      </w:r>
    </w:p>
    <w:p>
      <w:pPr>
        <w:spacing w:after="0" w:line="159" w:lineRule="exact"/>
        <w:rPr>
          <w:sz w:val="20"/>
          <w:szCs w:val="20"/>
          <w:color w:val="auto"/>
        </w:rPr>
      </w:pPr>
    </w:p>
    <w:p>
      <w:pPr>
        <w:ind w:left="443" w:hanging="222"/>
        <w:spacing w:after="0"/>
        <w:tabs>
          <w:tab w:leader="none" w:pos="443" w:val="left"/>
        </w:tabs>
        <w:numPr>
          <w:ilvl w:val="1"/>
          <w:numId w:val="218"/>
        </w:numPr>
        <w:rPr>
          <w:rFonts w:ascii="Arial" w:cs="Arial" w:eastAsia="Arial" w:hAnsi="Arial"/>
          <w:sz w:val="13"/>
          <w:szCs w:val="13"/>
          <w:color w:val="auto"/>
        </w:rPr>
      </w:pPr>
      <w:r>
        <w:rPr>
          <w:rFonts w:ascii="Arial" w:cs="Arial" w:eastAsia="Arial" w:hAnsi="Arial"/>
          <w:sz w:val="13"/>
          <w:szCs w:val="13"/>
          <w:color w:val="auto"/>
        </w:rPr>
        <w:t>The Audit Committee shall take all appropriate actions to investigate any potential violations that have been reported to them;</w:t>
      </w:r>
    </w:p>
    <w:p>
      <w:pPr>
        <w:spacing w:after="0" w:line="12" w:lineRule="exact"/>
        <w:rPr>
          <w:rFonts w:ascii="Arial" w:cs="Arial" w:eastAsia="Arial" w:hAnsi="Arial"/>
          <w:sz w:val="13"/>
          <w:szCs w:val="13"/>
          <w:color w:val="auto"/>
        </w:rPr>
      </w:pPr>
    </w:p>
    <w:p>
      <w:pPr>
        <w:ind w:left="443" w:hanging="222"/>
        <w:spacing w:after="0"/>
        <w:tabs>
          <w:tab w:leader="none" w:pos="443" w:val="left"/>
        </w:tabs>
        <w:numPr>
          <w:ilvl w:val="1"/>
          <w:numId w:val="218"/>
        </w:numPr>
        <w:rPr>
          <w:rFonts w:ascii="Arial" w:cs="Arial" w:eastAsia="Arial" w:hAnsi="Arial"/>
          <w:sz w:val="13"/>
          <w:szCs w:val="13"/>
          <w:color w:val="auto"/>
        </w:rPr>
      </w:pPr>
      <w:r>
        <w:rPr>
          <w:rFonts w:ascii="Arial" w:cs="Arial" w:eastAsia="Arial" w:hAnsi="Arial"/>
          <w:sz w:val="13"/>
          <w:szCs w:val="13"/>
          <w:color w:val="auto"/>
        </w:rPr>
        <w:t>If, after the investigation, the Audit Committee believes that no violation has occurred, the Audit Committee is not required to take any other action;</w:t>
      </w:r>
    </w:p>
    <w:p>
      <w:pPr>
        <w:spacing w:after="0" w:line="4" w:lineRule="exact"/>
        <w:rPr>
          <w:rFonts w:ascii="Arial" w:cs="Arial" w:eastAsia="Arial" w:hAnsi="Arial"/>
          <w:sz w:val="13"/>
          <w:szCs w:val="13"/>
          <w:color w:val="auto"/>
        </w:rPr>
      </w:pPr>
    </w:p>
    <w:p>
      <w:pPr>
        <w:ind w:left="443" w:right="20" w:hanging="222"/>
        <w:spacing w:after="0" w:line="254" w:lineRule="auto"/>
        <w:tabs>
          <w:tab w:leader="none" w:pos="443" w:val="left"/>
        </w:tabs>
        <w:numPr>
          <w:ilvl w:val="1"/>
          <w:numId w:val="218"/>
        </w:numPr>
        <w:rPr>
          <w:rFonts w:ascii="Arial" w:cs="Arial" w:eastAsia="Arial" w:hAnsi="Arial"/>
          <w:sz w:val="13"/>
          <w:szCs w:val="13"/>
          <w:color w:val="auto"/>
        </w:rPr>
      </w:pPr>
      <w:r>
        <w:rPr>
          <w:rFonts w:ascii="Arial" w:cs="Arial" w:eastAsia="Arial" w:hAnsi="Arial"/>
          <w:sz w:val="13"/>
          <w:szCs w:val="13"/>
          <w:color w:val="auto"/>
        </w:rPr>
        <w:t>If the audit Committee determines that a violation has occurred, it shall consider appropriate measures which may include both a review of, and modifications to, applicable policies and procedures; Or the recommendation that the Top Executive get fired;</w:t>
      </w:r>
    </w:p>
    <w:p>
      <w:pPr>
        <w:spacing w:after="0" w:line="133" w:lineRule="exact"/>
        <w:rPr>
          <w:rFonts w:ascii="Arial" w:cs="Arial" w:eastAsia="Arial" w:hAnsi="Arial"/>
          <w:sz w:val="13"/>
          <w:szCs w:val="13"/>
          <w:color w:val="auto"/>
        </w:rPr>
      </w:pPr>
    </w:p>
    <w:p>
      <w:pPr>
        <w:ind w:left="223" w:hanging="223"/>
        <w:spacing w:after="0"/>
        <w:tabs>
          <w:tab w:leader="none" w:pos="223" w:val="left"/>
        </w:tabs>
        <w:numPr>
          <w:ilvl w:val="0"/>
          <w:numId w:val="218"/>
        </w:numPr>
        <w:rPr>
          <w:rFonts w:ascii="Arial" w:cs="Arial" w:eastAsia="Arial" w:hAnsi="Arial"/>
          <w:sz w:val="13"/>
          <w:szCs w:val="13"/>
          <w:b w:val="1"/>
          <w:bCs w:val="1"/>
          <w:color w:val="auto"/>
        </w:rPr>
      </w:pPr>
      <w:r>
        <w:rPr>
          <w:rFonts w:ascii="Arial" w:cs="Arial" w:eastAsia="Arial" w:hAnsi="Arial"/>
          <w:sz w:val="13"/>
          <w:szCs w:val="13"/>
          <w:b w:val="1"/>
          <w:bCs w:val="1"/>
          <w:color w:val="auto"/>
        </w:rPr>
        <w:t>Changes or exceptions to Code compliance</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Audit Committee shall be responsible for granting exceptions to compliance with the Code, as appropriate.</w:t>
      </w:r>
    </w:p>
    <w:p>
      <w:pPr>
        <w:spacing w:after="0" w:line="158" w:lineRule="exact"/>
        <w:rPr>
          <w:rFonts w:ascii="Arial" w:cs="Arial" w:eastAsia="Arial" w:hAnsi="Arial"/>
          <w:sz w:val="13"/>
          <w:szCs w:val="13"/>
          <w:b w:val="1"/>
          <w:bCs w:val="1"/>
          <w:color w:val="auto"/>
        </w:rPr>
      </w:pP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Any exception granted in accordance with the Code shall be informed and registered with the SEC and shall be reported to the shareholders of Bladex within the time limits determined by the SEC rules and any applicable law of any banking, securities or exchange regulators in Bladex appear listed.</w:t>
      </w:r>
    </w:p>
    <w:p>
      <w:pPr>
        <w:spacing w:after="0" w:line="283" w:lineRule="exact"/>
        <w:rPr>
          <w:sz w:val="20"/>
          <w:szCs w:val="20"/>
          <w:color w:val="auto"/>
        </w:rPr>
      </w:pPr>
    </w:p>
    <w:p>
      <w:pPr>
        <w:jc w:val="right"/>
        <w:spacing w:after="0"/>
        <w:rPr>
          <w:sz w:val="20"/>
          <w:szCs w:val="20"/>
          <w:color w:val="auto"/>
        </w:rPr>
      </w:pPr>
      <w:r>
        <w:rPr>
          <w:rFonts w:ascii="Arial" w:cs="Arial" w:eastAsia="Arial" w:hAnsi="Arial"/>
          <w:sz w:val="13"/>
          <w:szCs w:val="13"/>
          <w:color w:val="auto"/>
        </w:rPr>
        <w:t>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416"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42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5" w:right="199" w:bottom="1440" w:gutter="0" w:footer="0" w:header="0"/>
        </w:sectPr>
      </w:pPr>
    </w:p>
    <w:bookmarkStart w:id="257" w:name="page258"/>
    <w:bookmarkEnd w:id="257"/>
    <w:p>
      <w:pPr>
        <w:spacing w:after="0"/>
        <w:rPr>
          <w:sz w:val="20"/>
          <w:szCs w:val="20"/>
          <w:color w:val="auto"/>
        </w:rPr>
      </w:pPr>
      <w:r>
        <w:rPr>
          <w:rFonts w:ascii="Arial" w:cs="Arial" w:eastAsia="Arial" w:hAnsi="Arial"/>
          <w:sz w:val="13"/>
          <w:szCs w:val="13"/>
          <w:b w:val="1"/>
          <w:bCs w:val="1"/>
          <w:color w:val="auto"/>
        </w:rPr>
        <w:t>VI. Other policies and procedures</w:t>
      </w:r>
    </w:p>
    <w:p>
      <w:pPr>
        <w:spacing w:after="0" w:line="163" w:lineRule="exact"/>
        <w:rPr>
          <w:sz w:val="20"/>
          <w:szCs w:val="20"/>
          <w:color w:val="auto"/>
        </w:rPr>
      </w:pPr>
    </w:p>
    <w:p>
      <w:pPr>
        <w:ind w:left="220"/>
        <w:spacing w:after="0"/>
        <w:rPr>
          <w:sz w:val="20"/>
          <w:szCs w:val="20"/>
          <w:color w:val="auto"/>
        </w:rPr>
      </w:pPr>
      <w:r>
        <w:rPr>
          <w:rFonts w:ascii="Arial" w:cs="Arial" w:eastAsia="Arial" w:hAnsi="Arial"/>
          <w:sz w:val="13"/>
          <w:szCs w:val="13"/>
          <w:color w:val="auto"/>
        </w:rPr>
        <w:t>This Code shall be the only Code of Ethics adopted by Bladex for the purposes of the "Sarbanes-Oxley Act" of 2002 and the Rules and forms applicable to registered companies.</w:t>
      </w:r>
    </w:p>
    <w:p>
      <w:pPr>
        <w:spacing w:after="0" w:line="155"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VII.Amendments</w:t>
      </w:r>
    </w:p>
    <w:p>
      <w:pPr>
        <w:spacing w:after="0" w:line="163" w:lineRule="exact"/>
        <w:rPr>
          <w:sz w:val="20"/>
          <w:szCs w:val="20"/>
          <w:color w:val="auto"/>
        </w:rPr>
      </w:pPr>
    </w:p>
    <w:p>
      <w:pPr>
        <w:ind w:left="220"/>
        <w:spacing w:after="0"/>
        <w:rPr>
          <w:sz w:val="20"/>
          <w:szCs w:val="20"/>
          <w:color w:val="auto"/>
        </w:rPr>
      </w:pPr>
      <w:r>
        <w:rPr>
          <w:rFonts w:ascii="Arial" w:cs="Arial" w:eastAsia="Arial" w:hAnsi="Arial"/>
          <w:sz w:val="13"/>
          <w:szCs w:val="13"/>
          <w:color w:val="auto"/>
        </w:rPr>
        <w:t>Any amendment to the Code must be approved by the Compensation Committee and ratified by a majority vote of the Board's Audit Committee.</w:t>
      </w:r>
    </w:p>
    <w:p>
      <w:pPr>
        <w:spacing w:after="0" w:line="155"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VIII.Confidentiality</w:t>
      </w:r>
    </w:p>
    <w:p>
      <w:pPr>
        <w:spacing w:after="0" w:line="163" w:lineRule="exact"/>
        <w:rPr>
          <w:sz w:val="20"/>
          <w:szCs w:val="20"/>
          <w:color w:val="auto"/>
        </w:rPr>
      </w:pPr>
    </w:p>
    <w:p>
      <w:pPr>
        <w:ind w:left="220" w:right="20"/>
        <w:spacing w:after="0" w:line="267" w:lineRule="auto"/>
        <w:rPr>
          <w:sz w:val="20"/>
          <w:szCs w:val="20"/>
          <w:color w:val="auto"/>
        </w:rPr>
      </w:pPr>
      <w:r>
        <w:rPr>
          <w:rFonts w:ascii="Arial" w:cs="Arial" w:eastAsia="Arial" w:hAnsi="Arial"/>
          <w:sz w:val="13"/>
          <w:szCs w:val="13"/>
          <w:color w:val="auto"/>
        </w:rPr>
        <w:t>Every reports and records prepared or maintained in accordance with the Code shall be considered confidential and shall be kept and protected as such. Except as required by law or this code, such matters shall not be disclosed to anyone outside the Audit Committee and the Bladex Board of Directors.</w:t>
      </w:r>
    </w:p>
    <w:p>
      <w:pPr>
        <w:spacing w:after="0" w:line="125"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IX. Internal use</w:t>
      </w:r>
    </w:p>
    <w:p>
      <w:pPr>
        <w:spacing w:after="0" w:line="163" w:lineRule="exact"/>
        <w:rPr>
          <w:sz w:val="20"/>
          <w:szCs w:val="20"/>
          <w:color w:val="auto"/>
        </w:rPr>
      </w:pPr>
    </w:p>
    <w:p>
      <w:pPr>
        <w:ind w:left="220"/>
        <w:spacing w:after="0"/>
        <w:rPr>
          <w:sz w:val="20"/>
          <w:szCs w:val="20"/>
          <w:color w:val="auto"/>
        </w:rPr>
      </w:pPr>
      <w:r>
        <w:rPr>
          <w:rFonts w:ascii="Arial" w:cs="Arial" w:eastAsia="Arial" w:hAnsi="Arial"/>
          <w:sz w:val="13"/>
          <w:szCs w:val="13"/>
          <w:color w:val="auto"/>
        </w:rPr>
        <w:t>This Code is for internal use only of Bladex and does not represent an admission, by or on behalf of Bladex, of any fact, circumstance, or legal conclusion.</w:t>
      </w:r>
    </w:p>
    <w:p>
      <w:pPr>
        <w:spacing w:after="0" w:line="159" w:lineRule="exact"/>
        <w:rPr>
          <w:sz w:val="20"/>
          <w:szCs w:val="20"/>
          <w:color w:val="auto"/>
        </w:rPr>
      </w:pPr>
    </w:p>
    <w:p>
      <w:pPr>
        <w:ind w:left="220"/>
        <w:spacing w:after="0"/>
        <w:rPr>
          <w:sz w:val="20"/>
          <w:szCs w:val="20"/>
          <w:color w:val="auto"/>
        </w:rPr>
      </w:pPr>
      <w:r>
        <w:rPr>
          <w:rFonts w:ascii="Arial" w:cs="Arial" w:eastAsia="Arial" w:hAnsi="Arial"/>
          <w:sz w:val="12"/>
          <w:szCs w:val="12"/>
          <w:color w:val="auto"/>
        </w:rPr>
        <w:t>I have read and understood the terms of the Code. I acknowledge the responsibilities and obligations incurred by me because of being Subject to the Code. Hereby expressly agree to comply with the Code.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309245</wp:posOffset>
            </wp:positionV>
            <wp:extent cx="2555240" cy="6350"/>
            <wp:wrapNone/>
            <wp:docPr id="417" name="Pictur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426">
                      <a:extLst>
                        <a:ext uri="{28A0092B-C50C-407E-A947-70E740481C1C}"/>
                      </a:extLst>
                    </a:blip>
                    <a:srcRect/>
                    <a:stretch>
                      <a:fillRect/>
                    </a:stretch>
                  </pic:blipFill>
                  <pic:spPr bwMode="auto">
                    <a:xfrm>
                      <a:off x="0" y="0"/>
                      <a:ext cx="2555240" cy="6350"/>
                    </a:xfrm>
                    <a:prstGeom prst="rect">
                      <a:avLst/>
                    </a:prstGeom>
                    <a:noFill/>
                  </pic:spPr>
                </pic:pic>
              </a:graphicData>
            </a:graphic>
          </wp:anchor>
        </w:drawing>
      </w:r>
    </w:p>
    <w:p>
      <w:pPr>
        <w:spacing w:after="0" w:line="200" w:lineRule="exact"/>
        <w:rPr>
          <w:sz w:val="20"/>
          <w:szCs w:val="20"/>
          <w:color w:val="auto"/>
        </w:rPr>
      </w:pPr>
    </w:p>
    <w:p>
      <w:pPr>
        <w:spacing w:after="0" w:line="268" w:lineRule="exact"/>
        <w:rPr>
          <w:sz w:val="20"/>
          <w:szCs w:val="20"/>
          <w:color w:val="auto"/>
        </w:rPr>
      </w:pPr>
    </w:p>
    <w:p>
      <w:pPr>
        <w:spacing w:after="0"/>
        <w:rPr>
          <w:sz w:val="20"/>
          <w:szCs w:val="20"/>
          <w:color w:val="auto"/>
        </w:rPr>
      </w:pPr>
      <w:r>
        <w:rPr>
          <w:rFonts w:ascii="Arial" w:cs="Arial" w:eastAsia="Arial" w:hAnsi="Arial"/>
          <w:sz w:val="13"/>
          <w:szCs w:val="13"/>
          <w:color w:val="auto"/>
        </w:rPr>
        <w:t>Chief Executive Officer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4735195</wp:posOffset>
            </wp:positionH>
            <wp:positionV relativeFrom="paragraph">
              <wp:posOffset>301625</wp:posOffset>
            </wp:positionV>
            <wp:extent cx="2548890" cy="6350"/>
            <wp:wrapNone/>
            <wp:docPr id="418"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427">
                      <a:extLst>
                        <a:ext uri="{28A0092B-C50C-407E-A947-70E740481C1C}"/>
                      </a:extLst>
                    </a:blip>
                    <a:srcRect/>
                    <a:stretch>
                      <a:fillRect/>
                    </a:stretch>
                  </pic:blipFill>
                  <pic:spPr bwMode="auto">
                    <a:xfrm>
                      <a:off x="0" y="0"/>
                      <a:ext cx="2548890" cy="6350"/>
                    </a:xfrm>
                    <a:prstGeom prst="rect">
                      <a:avLst/>
                    </a:prstGeom>
                    <a:noFill/>
                  </pic:spPr>
                </pic:pic>
              </a:graphicData>
            </a:graphic>
          </wp:anchor>
        </w:drawing>
        <w:drawing>
          <wp:anchor simplePos="0" relativeHeight="251657728" behindDoc="1" locked="0" layoutInCell="0" allowOverlap="1">
            <wp:simplePos x="0" y="0"/>
            <wp:positionH relativeFrom="column">
              <wp:posOffset>-1270</wp:posOffset>
            </wp:positionH>
            <wp:positionV relativeFrom="paragraph">
              <wp:posOffset>301625</wp:posOffset>
            </wp:positionV>
            <wp:extent cx="2555240" cy="6350"/>
            <wp:wrapNone/>
            <wp:docPr id="419"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428">
                      <a:extLst>
                        <a:ext uri="{28A0092B-C50C-407E-A947-70E740481C1C}"/>
                      </a:extLst>
                    </a:blip>
                    <a:srcRect/>
                    <a:stretch>
                      <a:fillRect/>
                    </a:stretch>
                  </pic:blipFill>
                  <pic:spPr bwMode="auto">
                    <a:xfrm>
                      <a:off x="0" y="0"/>
                      <a:ext cx="2555240" cy="6350"/>
                    </a:xfrm>
                    <a:prstGeom prst="rect">
                      <a:avLst/>
                    </a:prstGeom>
                    <a:noFill/>
                  </pic:spPr>
                </pic:pic>
              </a:graphicData>
            </a:graphic>
          </wp:anchor>
        </w:drawing>
      </w:r>
    </w:p>
    <w:p>
      <w:pPr>
        <w:spacing w:after="0" w:line="200" w:lineRule="exact"/>
        <w:rPr>
          <w:sz w:val="20"/>
          <w:szCs w:val="20"/>
          <w:color w:val="auto"/>
        </w:rPr>
      </w:pPr>
    </w:p>
    <w:p>
      <w:pPr>
        <w:spacing w:after="0" w:line="256" w:lineRule="exact"/>
        <w:rPr>
          <w:sz w:val="20"/>
          <w:szCs w:val="20"/>
          <w:color w:val="auto"/>
        </w:rPr>
      </w:pPr>
    </w:p>
    <w:p>
      <w:pPr>
        <w:spacing w:after="0"/>
        <w:tabs>
          <w:tab w:leader="none" w:pos="7440" w:val="left"/>
        </w:tabs>
        <w:rPr>
          <w:sz w:val="20"/>
          <w:szCs w:val="20"/>
          <w:color w:val="auto"/>
        </w:rPr>
      </w:pPr>
      <w:r>
        <w:rPr>
          <w:rFonts w:ascii="Arial" w:cs="Arial" w:eastAsia="Arial" w:hAnsi="Arial"/>
          <w:sz w:val="13"/>
          <w:szCs w:val="13"/>
          <w:color w:val="auto"/>
        </w:rPr>
        <w:t>Chief Financial Officer</w:t>
      </w:r>
      <w:r>
        <w:rPr>
          <w:sz w:val="20"/>
          <w:szCs w:val="20"/>
          <w:color w:val="auto"/>
        </w:rPr>
        <w:tab/>
      </w:r>
      <w:r>
        <w:rPr>
          <w:rFonts w:ascii="Arial" w:cs="Arial" w:eastAsia="Arial" w:hAnsi="Arial"/>
          <w:sz w:val="11"/>
          <w:szCs w:val="11"/>
          <w:color w:val="auto"/>
        </w:rPr>
        <w:t>Accounting Vice-president</w:t>
      </w:r>
    </w:p>
    <w:p>
      <w:pPr>
        <w:spacing w:after="0" w:line="332" w:lineRule="exact"/>
        <w:rPr>
          <w:sz w:val="20"/>
          <w:szCs w:val="20"/>
          <w:color w:val="auto"/>
        </w:rPr>
      </w:pPr>
    </w:p>
    <w:p>
      <w:pPr>
        <w:jc w:val="right"/>
        <w:spacing w:after="0"/>
        <w:rPr>
          <w:sz w:val="20"/>
          <w:szCs w:val="20"/>
          <w:color w:val="auto"/>
        </w:rPr>
      </w:pPr>
      <w:r>
        <w:rPr>
          <w:rFonts w:ascii="Arial" w:cs="Arial" w:eastAsia="Arial" w:hAnsi="Arial"/>
          <w:sz w:val="13"/>
          <w:szCs w:val="13"/>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420"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42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5" w:right="199" w:bottom="1440" w:gutter="0" w:footer="0" w:header="0"/>
        </w:sectPr>
      </w:pPr>
    </w:p>
    <w:bookmarkStart w:id="258" w:name="page259"/>
    <w:bookmarkEnd w:id="258"/>
    <w:p>
      <w:pPr>
        <w:jc w:val="right"/>
        <w:spacing w:after="0"/>
        <w:rPr>
          <w:sz w:val="20"/>
          <w:szCs w:val="20"/>
          <w:color w:val="auto"/>
        </w:rPr>
      </w:pPr>
      <w:r>
        <w:rPr>
          <w:rFonts w:ascii="Arial" w:cs="Arial" w:eastAsia="Arial" w:hAnsi="Arial"/>
          <w:sz w:val="13"/>
          <w:szCs w:val="13"/>
          <w:b w:val="1"/>
          <w:bCs w:val="1"/>
          <w:color w:val="auto"/>
        </w:rPr>
        <w:t>Exhibit 12.1</w:t>
      </w:r>
    </w:p>
    <w:p>
      <w:pPr>
        <w:spacing w:after="0" w:line="159" w:lineRule="exact"/>
        <w:rPr>
          <w:sz w:val="20"/>
          <w:szCs w:val="20"/>
          <w:color w:val="auto"/>
        </w:rPr>
      </w:pPr>
    </w:p>
    <w:p>
      <w:pPr>
        <w:jc w:val="center"/>
        <w:ind w:right="-2"/>
        <w:spacing w:after="0"/>
        <w:rPr>
          <w:sz w:val="20"/>
          <w:szCs w:val="20"/>
          <w:color w:val="auto"/>
        </w:rPr>
      </w:pPr>
      <w:r>
        <w:rPr>
          <w:rFonts w:ascii="Arial" w:cs="Arial" w:eastAsia="Arial" w:hAnsi="Arial"/>
          <w:sz w:val="13"/>
          <w:szCs w:val="13"/>
          <w:b w:val="1"/>
          <w:bCs w:val="1"/>
          <w:color w:val="auto"/>
        </w:rPr>
        <w:t>CERTIFICATION</w:t>
      </w:r>
    </w:p>
    <w:p>
      <w:pPr>
        <w:spacing w:after="0" w:line="163" w:lineRule="exact"/>
        <w:rPr>
          <w:sz w:val="20"/>
          <w:szCs w:val="20"/>
          <w:color w:val="auto"/>
        </w:rPr>
      </w:pPr>
    </w:p>
    <w:p>
      <w:pPr>
        <w:ind w:left="3"/>
        <w:spacing w:after="0"/>
        <w:rPr>
          <w:sz w:val="20"/>
          <w:szCs w:val="20"/>
          <w:color w:val="auto"/>
        </w:rPr>
      </w:pPr>
      <w:r>
        <w:rPr>
          <w:rFonts w:ascii="Arial" w:cs="Arial" w:eastAsia="Arial" w:hAnsi="Arial"/>
          <w:sz w:val="13"/>
          <w:szCs w:val="13"/>
          <w:color w:val="auto"/>
        </w:rPr>
        <w:t>I, N. Gabriel Tolchinsky, certify that:</w:t>
      </w:r>
    </w:p>
    <w:p>
      <w:pPr>
        <w:spacing w:after="0" w:line="159" w:lineRule="exact"/>
        <w:rPr>
          <w:sz w:val="20"/>
          <w:szCs w:val="20"/>
          <w:color w:val="auto"/>
        </w:rPr>
      </w:pPr>
    </w:p>
    <w:p>
      <w:pPr>
        <w:ind w:left="463" w:hanging="463"/>
        <w:spacing w:after="0"/>
        <w:tabs>
          <w:tab w:leader="none" w:pos="463" w:val="left"/>
        </w:tabs>
        <w:numPr>
          <w:ilvl w:val="0"/>
          <w:numId w:val="219"/>
        </w:numPr>
        <w:rPr>
          <w:rFonts w:ascii="Arial" w:cs="Arial" w:eastAsia="Arial" w:hAnsi="Arial"/>
          <w:sz w:val="13"/>
          <w:szCs w:val="13"/>
          <w:color w:val="auto"/>
        </w:rPr>
      </w:pPr>
      <w:r>
        <w:rPr>
          <w:rFonts w:ascii="Arial" w:cs="Arial" w:eastAsia="Arial" w:hAnsi="Arial"/>
          <w:sz w:val="13"/>
          <w:szCs w:val="13"/>
          <w:color w:val="auto"/>
        </w:rPr>
        <w:t>I have reviewed this Annual Report on Form 20-F of Banco Latinoamericano de Comercio Exterior, S.A.;</w:t>
      </w:r>
    </w:p>
    <w:p>
      <w:pPr>
        <w:spacing w:after="0" w:line="158" w:lineRule="exact"/>
        <w:rPr>
          <w:rFonts w:ascii="Arial" w:cs="Arial" w:eastAsia="Arial" w:hAnsi="Arial"/>
          <w:sz w:val="13"/>
          <w:szCs w:val="13"/>
          <w:color w:val="auto"/>
        </w:rPr>
      </w:pPr>
    </w:p>
    <w:p>
      <w:pPr>
        <w:ind w:left="463" w:right="20" w:hanging="463"/>
        <w:spacing w:after="0" w:line="267" w:lineRule="auto"/>
        <w:tabs>
          <w:tab w:leader="none" w:pos="463" w:val="left"/>
        </w:tabs>
        <w:numPr>
          <w:ilvl w:val="0"/>
          <w:numId w:val="219"/>
        </w:numPr>
        <w:rPr>
          <w:rFonts w:ascii="Arial" w:cs="Arial" w:eastAsia="Arial" w:hAnsi="Arial"/>
          <w:sz w:val="13"/>
          <w:szCs w:val="13"/>
          <w:color w:val="auto"/>
        </w:rPr>
      </w:pPr>
      <w:r>
        <w:rPr>
          <w:rFonts w:ascii="Arial" w:cs="Arial" w:eastAsia="Arial" w:hAnsi="Arial"/>
          <w:sz w:val="13"/>
          <w:szCs w:val="13"/>
          <w:color w:val="auto"/>
        </w:rPr>
        <w:t>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p>
      <w:pPr>
        <w:spacing w:after="0" w:line="129" w:lineRule="exact"/>
        <w:rPr>
          <w:rFonts w:ascii="Arial" w:cs="Arial" w:eastAsia="Arial" w:hAnsi="Arial"/>
          <w:sz w:val="13"/>
          <w:szCs w:val="13"/>
          <w:color w:val="auto"/>
        </w:rPr>
      </w:pPr>
    </w:p>
    <w:p>
      <w:pPr>
        <w:ind w:left="463" w:hanging="463"/>
        <w:spacing w:after="0" w:line="267" w:lineRule="auto"/>
        <w:tabs>
          <w:tab w:leader="none" w:pos="463" w:val="left"/>
        </w:tabs>
        <w:numPr>
          <w:ilvl w:val="0"/>
          <w:numId w:val="219"/>
        </w:numPr>
        <w:rPr>
          <w:rFonts w:ascii="Arial" w:cs="Arial" w:eastAsia="Arial" w:hAnsi="Arial"/>
          <w:sz w:val="13"/>
          <w:szCs w:val="13"/>
          <w:color w:val="auto"/>
        </w:rPr>
      </w:pPr>
      <w:r>
        <w:rPr>
          <w:rFonts w:ascii="Arial" w:cs="Arial" w:eastAsia="Arial" w:hAnsi="Arial"/>
          <w:sz w:val="13"/>
          <w:szCs w:val="13"/>
          <w:color w:val="auto"/>
        </w:rPr>
        <w:t>Based on my knowledge, the financial statements, and other financial information included in this report, fairly present in all material respects the financial condition, results of operations and cash flows of the company as of, and for, the periods presented in this report;</w:t>
      </w:r>
    </w:p>
    <w:p>
      <w:pPr>
        <w:spacing w:after="0" w:line="129" w:lineRule="exact"/>
        <w:rPr>
          <w:rFonts w:ascii="Arial" w:cs="Arial" w:eastAsia="Arial" w:hAnsi="Arial"/>
          <w:sz w:val="13"/>
          <w:szCs w:val="13"/>
          <w:color w:val="auto"/>
        </w:rPr>
      </w:pPr>
    </w:p>
    <w:p>
      <w:pPr>
        <w:ind w:left="463" w:right="20" w:hanging="463"/>
        <w:spacing w:after="0" w:line="267" w:lineRule="auto"/>
        <w:tabs>
          <w:tab w:leader="none" w:pos="463" w:val="left"/>
        </w:tabs>
        <w:numPr>
          <w:ilvl w:val="0"/>
          <w:numId w:val="219"/>
        </w:numPr>
        <w:rPr>
          <w:rFonts w:ascii="Arial" w:cs="Arial" w:eastAsia="Arial" w:hAnsi="Arial"/>
          <w:sz w:val="13"/>
          <w:szCs w:val="13"/>
          <w:color w:val="auto"/>
        </w:rPr>
      </w:pPr>
      <w:r>
        <w:rPr>
          <w:rFonts w:ascii="Arial" w:cs="Arial" w:eastAsia="Arial" w:hAnsi="Arial"/>
          <w:sz w:val="13"/>
          <w:szCs w:val="13"/>
          <w:color w:val="auto"/>
        </w:rPr>
        <w:t>The company’s other certifying officer and I are responsible for establishing and maintaining disclosure controls and procedures (as defined in Exchange Act Rules 13a-15(e) and 15d-15(e)) and internal control over financial reporting (as defined in Exchange Act Rules 13a-15(f) and 15d-15(f)) for the company and have:</w:t>
      </w:r>
    </w:p>
    <w:p>
      <w:pPr>
        <w:spacing w:after="0" w:line="129" w:lineRule="exact"/>
        <w:rPr>
          <w:rFonts w:ascii="Arial" w:cs="Arial" w:eastAsia="Arial" w:hAnsi="Arial"/>
          <w:sz w:val="13"/>
          <w:szCs w:val="13"/>
          <w:color w:val="auto"/>
        </w:rPr>
      </w:pPr>
    </w:p>
    <w:p>
      <w:pPr>
        <w:ind w:left="703" w:right="20" w:hanging="241"/>
        <w:spacing w:after="0" w:line="267" w:lineRule="auto"/>
        <w:tabs>
          <w:tab w:leader="none" w:pos="703" w:val="left"/>
        </w:tabs>
        <w:numPr>
          <w:ilvl w:val="1"/>
          <w:numId w:val="219"/>
        </w:numPr>
        <w:rPr>
          <w:rFonts w:ascii="Arial" w:cs="Arial" w:eastAsia="Arial" w:hAnsi="Arial"/>
          <w:sz w:val="13"/>
          <w:szCs w:val="13"/>
          <w:color w:val="auto"/>
        </w:rPr>
      </w:pPr>
      <w:r>
        <w:rPr>
          <w:rFonts w:ascii="Arial" w:cs="Arial" w:eastAsia="Arial" w:hAnsi="Arial"/>
          <w:sz w:val="13"/>
          <w:szCs w:val="13"/>
          <w:color w:val="auto"/>
        </w:rPr>
        <w:t>Designed such disclosure controls and procedures, or caused such disclosure controls and procedures to be designed under our supervision, to ensure that material information relating to the company, including its consolidated subsidiaries, is made known to us by others within those entities, particularly during the period in which this report is being prepared;</w:t>
      </w:r>
    </w:p>
    <w:p>
      <w:pPr>
        <w:spacing w:after="0" w:line="129" w:lineRule="exact"/>
        <w:rPr>
          <w:rFonts w:ascii="Arial" w:cs="Arial" w:eastAsia="Arial" w:hAnsi="Arial"/>
          <w:sz w:val="13"/>
          <w:szCs w:val="13"/>
          <w:color w:val="auto"/>
        </w:rPr>
      </w:pPr>
    </w:p>
    <w:p>
      <w:pPr>
        <w:ind w:left="703" w:right="20" w:hanging="241"/>
        <w:spacing w:after="0" w:line="267" w:lineRule="auto"/>
        <w:tabs>
          <w:tab w:leader="none" w:pos="703" w:val="left"/>
        </w:tabs>
        <w:numPr>
          <w:ilvl w:val="1"/>
          <w:numId w:val="219"/>
        </w:numPr>
        <w:rPr>
          <w:rFonts w:ascii="Arial" w:cs="Arial" w:eastAsia="Arial" w:hAnsi="Arial"/>
          <w:sz w:val="13"/>
          <w:szCs w:val="13"/>
          <w:color w:val="auto"/>
        </w:rPr>
      </w:pPr>
      <w:r>
        <w:rPr>
          <w:rFonts w:ascii="Arial" w:cs="Arial" w:eastAsia="Arial" w:hAnsi="Arial"/>
          <w:sz w:val="13"/>
          <w:szCs w:val="13"/>
          <w:color w:val="auto"/>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p>
      <w:pPr>
        <w:spacing w:after="0" w:line="129" w:lineRule="exact"/>
        <w:rPr>
          <w:rFonts w:ascii="Arial" w:cs="Arial" w:eastAsia="Arial" w:hAnsi="Arial"/>
          <w:sz w:val="13"/>
          <w:szCs w:val="13"/>
          <w:color w:val="auto"/>
        </w:rPr>
      </w:pPr>
    </w:p>
    <w:p>
      <w:pPr>
        <w:ind w:left="703" w:right="20" w:hanging="241"/>
        <w:spacing w:after="0" w:line="267" w:lineRule="auto"/>
        <w:tabs>
          <w:tab w:leader="none" w:pos="703" w:val="left"/>
        </w:tabs>
        <w:numPr>
          <w:ilvl w:val="1"/>
          <w:numId w:val="219"/>
        </w:numPr>
        <w:rPr>
          <w:rFonts w:ascii="Arial" w:cs="Arial" w:eastAsia="Arial" w:hAnsi="Arial"/>
          <w:sz w:val="13"/>
          <w:szCs w:val="13"/>
          <w:color w:val="auto"/>
        </w:rPr>
      </w:pPr>
      <w:r>
        <w:rPr>
          <w:rFonts w:ascii="Arial" w:cs="Arial" w:eastAsia="Arial" w:hAnsi="Arial"/>
          <w:sz w:val="13"/>
          <w:szCs w:val="13"/>
          <w:color w:val="auto"/>
        </w:rPr>
        <w:t>Evaluated the effectiveness of the company’s disclosure controls and procedures and presented in this report our conclusions about the effectiveness of the disclosure controls and procedures, as of the end of the period covered by this report based on such evaluation; and</w:t>
      </w:r>
    </w:p>
    <w:p>
      <w:pPr>
        <w:spacing w:after="0" w:line="129" w:lineRule="exact"/>
        <w:rPr>
          <w:rFonts w:ascii="Arial" w:cs="Arial" w:eastAsia="Arial" w:hAnsi="Arial"/>
          <w:sz w:val="13"/>
          <w:szCs w:val="13"/>
          <w:color w:val="auto"/>
        </w:rPr>
      </w:pPr>
    </w:p>
    <w:p>
      <w:pPr>
        <w:ind w:left="703" w:right="20" w:hanging="241"/>
        <w:spacing w:after="0" w:line="267" w:lineRule="auto"/>
        <w:tabs>
          <w:tab w:leader="none" w:pos="703" w:val="left"/>
        </w:tabs>
        <w:numPr>
          <w:ilvl w:val="1"/>
          <w:numId w:val="219"/>
        </w:numPr>
        <w:rPr>
          <w:rFonts w:ascii="Arial" w:cs="Arial" w:eastAsia="Arial" w:hAnsi="Arial"/>
          <w:sz w:val="13"/>
          <w:szCs w:val="13"/>
          <w:color w:val="auto"/>
        </w:rPr>
      </w:pPr>
      <w:r>
        <w:rPr>
          <w:rFonts w:ascii="Arial" w:cs="Arial" w:eastAsia="Arial" w:hAnsi="Arial"/>
          <w:sz w:val="13"/>
          <w:szCs w:val="13"/>
          <w:color w:val="auto"/>
        </w:rPr>
        <w:t>Disclosed in this report any change in the company’s internal control over financial reporting that occurred during the period covered by the annual report that has materially affected, or is reasonably likely to materially affect, the company’s internal control over financial reporting; and</w:t>
      </w:r>
    </w:p>
    <w:p>
      <w:pPr>
        <w:spacing w:after="0" w:line="129" w:lineRule="exact"/>
        <w:rPr>
          <w:rFonts w:ascii="Arial" w:cs="Arial" w:eastAsia="Arial" w:hAnsi="Arial"/>
          <w:sz w:val="13"/>
          <w:szCs w:val="13"/>
          <w:color w:val="auto"/>
        </w:rPr>
      </w:pPr>
    </w:p>
    <w:p>
      <w:pPr>
        <w:ind w:left="463" w:right="20" w:hanging="463"/>
        <w:spacing w:after="0" w:line="267" w:lineRule="auto"/>
        <w:tabs>
          <w:tab w:leader="none" w:pos="463" w:val="left"/>
        </w:tabs>
        <w:numPr>
          <w:ilvl w:val="0"/>
          <w:numId w:val="219"/>
        </w:numPr>
        <w:rPr>
          <w:rFonts w:ascii="Arial" w:cs="Arial" w:eastAsia="Arial" w:hAnsi="Arial"/>
          <w:sz w:val="13"/>
          <w:szCs w:val="13"/>
          <w:color w:val="auto"/>
        </w:rPr>
      </w:pPr>
      <w:r>
        <w:rPr>
          <w:rFonts w:ascii="Arial" w:cs="Arial" w:eastAsia="Arial" w:hAnsi="Arial"/>
          <w:sz w:val="13"/>
          <w:szCs w:val="13"/>
          <w:color w:val="auto"/>
        </w:rPr>
        <w:t>The company’s other certifying officer and I have disclosed, based on our most recent evaluation of internal control over financial reporting, to the company’s auditors and the Audit Committee of the company’s board of directors (or persons performing the equivalent functions):</w:t>
      </w:r>
    </w:p>
    <w:p>
      <w:pPr>
        <w:spacing w:after="0" w:line="129" w:lineRule="exact"/>
        <w:rPr>
          <w:rFonts w:ascii="Arial" w:cs="Arial" w:eastAsia="Arial" w:hAnsi="Arial"/>
          <w:sz w:val="13"/>
          <w:szCs w:val="13"/>
          <w:color w:val="auto"/>
        </w:rPr>
      </w:pPr>
    </w:p>
    <w:p>
      <w:pPr>
        <w:ind w:left="743" w:right="20" w:hanging="281"/>
        <w:spacing w:after="0" w:line="267" w:lineRule="auto"/>
        <w:tabs>
          <w:tab w:leader="none" w:pos="743" w:val="left"/>
        </w:tabs>
        <w:numPr>
          <w:ilvl w:val="1"/>
          <w:numId w:val="219"/>
        </w:numPr>
        <w:rPr>
          <w:rFonts w:ascii="Arial" w:cs="Arial" w:eastAsia="Arial" w:hAnsi="Arial"/>
          <w:sz w:val="13"/>
          <w:szCs w:val="13"/>
          <w:color w:val="auto"/>
        </w:rPr>
      </w:pPr>
      <w:r>
        <w:rPr>
          <w:rFonts w:ascii="Arial" w:cs="Arial" w:eastAsia="Arial" w:hAnsi="Arial"/>
          <w:sz w:val="13"/>
          <w:szCs w:val="13"/>
          <w:color w:val="auto"/>
        </w:rPr>
        <w:t>All significant deficiencies and material weaknesses in the design or operation of internal control over financial reporting which are reasonably likely to adversely affect the company’s ability to record, process, summarize and report financial information; and</w:t>
      </w:r>
    </w:p>
    <w:p>
      <w:pPr>
        <w:spacing w:after="0" w:line="129" w:lineRule="exact"/>
        <w:rPr>
          <w:rFonts w:ascii="Arial" w:cs="Arial" w:eastAsia="Arial" w:hAnsi="Arial"/>
          <w:sz w:val="13"/>
          <w:szCs w:val="13"/>
          <w:color w:val="auto"/>
        </w:rPr>
      </w:pPr>
    </w:p>
    <w:p>
      <w:pPr>
        <w:ind w:left="743" w:hanging="281"/>
        <w:spacing w:after="0"/>
        <w:tabs>
          <w:tab w:leader="none" w:pos="743" w:val="left"/>
        </w:tabs>
        <w:numPr>
          <w:ilvl w:val="1"/>
          <w:numId w:val="219"/>
        </w:numPr>
        <w:rPr>
          <w:rFonts w:ascii="Arial" w:cs="Arial" w:eastAsia="Arial" w:hAnsi="Arial"/>
          <w:sz w:val="13"/>
          <w:szCs w:val="13"/>
          <w:color w:val="auto"/>
        </w:rPr>
      </w:pPr>
      <w:r>
        <w:rPr>
          <w:rFonts w:ascii="Arial" w:cs="Arial" w:eastAsia="Arial" w:hAnsi="Arial"/>
          <w:sz w:val="13"/>
          <w:szCs w:val="13"/>
          <w:color w:val="auto"/>
        </w:rPr>
        <w:t>Any fraud, whether or not material, that involves management or other employees who have a significant role in the company’s internal control over financial reporting.</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color w:val="auto"/>
        </w:rPr>
        <w:t>Date: April 30, 2019</w:t>
      </w:r>
    </w:p>
    <w:p>
      <w:pPr>
        <w:spacing w:after="0" w:line="159" w:lineRule="exact"/>
        <w:rPr>
          <w:sz w:val="20"/>
          <w:szCs w:val="20"/>
          <w:color w:val="auto"/>
        </w:rPr>
      </w:pPr>
    </w:p>
    <w:tbl>
      <w:tblPr>
        <w:tblLayout w:type="fixed"/>
        <w:tblInd w:w="3" w:type="dxa"/>
        <w:tblCellMar>
          <w:top w:w="0" w:type="dxa"/>
          <w:left w:w="0" w:type="dxa"/>
          <w:bottom w:w="0" w:type="dxa"/>
          <w:right w:w="0" w:type="dxa"/>
        </w:tblCellMar>
      </w:tblPr>
      <w:tr>
        <w:trPr>
          <w:trHeight w:val="163"/>
        </w:trPr>
        <w:tc>
          <w:tcPr>
            <w:tcW w:w="580" w:type="dxa"/>
            <w:vAlign w:val="bottom"/>
          </w:tcPr>
          <w:p>
            <w:pPr>
              <w:spacing w:after="0"/>
              <w:rPr>
                <w:sz w:val="20"/>
                <w:szCs w:val="20"/>
                <w:color w:val="auto"/>
              </w:rPr>
            </w:pPr>
            <w:r>
              <w:rPr>
                <w:rFonts w:ascii="Arial" w:cs="Arial" w:eastAsia="Arial" w:hAnsi="Arial"/>
                <w:sz w:val="13"/>
                <w:szCs w:val="13"/>
                <w:color w:val="auto"/>
              </w:rPr>
              <w:t>By:</w:t>
            </w:r>
          </w:p>
        </w:tc>
        <w:tc>
          <w:tcPr>
            <w:tcW w:w="5160" w:type="dxa"/>
            <w:vAlign w:val="bottom"/>
            <w:tcBorders>
              <w:bottom w:val="single" w:sz="8" w:color="auto"/>
            </w:tcBorders>
          </w:tcPr>
          <w:p>
            <w:pPr>
              <w:spacing w:after="0"/>
              <w:rPr>
                <w:sz w:val="20"/>
                <w:szCs w:val="20"/>
                <w:color w:val="auto"/>
              </w:rPr>
            </w:pPr>
            <w:r>
              <w:rPr>
                <w:rFonts w:ascii="Arial" w:cs="Arial" w:eastAsia="Arial" w:hAnsi="Arial"/>
                <w:sz w:val="13"/>
                <w:szCs w:val="13"/>
                <w:color w:val="auto"/>
              </w:rPr>
              <w:t>/s/ N. Gabriel Tolchinsky</w:t>
            </w:r>
          </w:p>
        </w:tc>
        <w:tc>
          <w:tcPr>
            <w:tcW w:w="5740" w:type="dxa"/>
            <w:vAlign w:val="bottom"/>
          </w:tcPr>
          <w:p>
            <w:pPr>
              <w:spacing w:after="0"/>
              <w:rPr>
                <w:sz w:val="14"/>
                <w:szCs w:val="14"/>
                <w:color w:val="auto"/>
              </w:rPr>
            </w:pPr>
          </w:p>
        </w:tc>
      </w:tr>
      <w:tr>
        <w:trPr>
          <w:trHeight w:val="152"/>
        </w:trPr>
        <w:tc>
          <w:tcPr>
            <w:tcW w:w="580" w:type="dxa"/>
            <w:vAlign w:val="bottom"/>
          </w:tcPr>
          <w:p>
            <w:pPr>
              <w:spacing w:after="0"/>
              <w:rPr>
                <w:sz w:val="13"/>
                <w:szCs w:val="13"/>
                <w:color w:val="auto"/>
              </w:rPr>
            </w:pPr>
          </w:p>
        </w:tc>
        <w:tc>
          <w:tcPr>
            <w:tcW w:w="5160" w:type="dxa"/>
            <w:vAlign w:val="bottom"/>
          </w:tcPr>
          <w:p>
            <w:pPr>
              <w:spacing w:after="0"/>
              <w:rPr>
                <w:sz w:val="20"/>
                <w:szCs w:val="20"/>
                <w:color w:val="auto"/>
              </w:rPr>
            </w:pPr>
            <w:r>
              <w:rPr>
                <w:rFonts w:ascii="Arial" w:cs="Arial" w:eastAsia="Arial" w:hAnsi="Arial"/>
                <w:sz w:val="13"/>
                <w:szCs w:val="13"/>
                <w:i w:val="1"/>
                <w:iCs w:val="1"/>
                <w:color w:val="auto"/>
              </w:rPr>
              <w:t>Chief Executive Officer</w:t>
            </w:r>
          </w:p>
        </w:tc>
        <w:tc>
          <w:tcPr>
            <w:tcW w:w="5740" w:type="dxa"/>
            <w:vAlign w:val="bottom"/>
          </w:tcPr>
          <w:p>
            <w:pPr>
              <w:spacing w:after="0"/>
              <w:rPr>
                <w:sz w:val="13"/>
                <w:szCs w:val="13"/>
                <w:color w:val="auto"/>
              </w:rPr>
            </w:pPr>
          </w:p>
        </w:tc>
      </w:tr>
      <w:tr>
        <w:trPr>
          <w:trHeight w:val="454"/>
        </w:trPr>
        <w:tc>
          <w:tcPr>
            <w:tcW w:w="580" w:type="dxa"/>
            <w:vAlign w:val="bottom"/>
            <w:tcBorders>
              <w:bottom w:val="single" w:sz="8" w:color="auto"/>
            </w:tcBorders>
          </w:tcPr>
          <w:p>
            <w:pPr>
              <w:spacing w:after="0"/>
              <w:rPr>
                <w:sz w:val="24"/>
                <w:szCs w:val="24"/>
                <w:color w:val="auto"/>
              </w:rPr>
            </w:pPr>
          </w:p>
        </w:tc>
        <w:tc>
          <w:tcPr>
            <w:tcW w:w="5160" w:type="dxa"/>
            <w:vAlign w:val="bottom"/>
            <w:tcBorders>
              <w:bottom w:val="single" w:sz="8" w:color="auto"/>
            </w:tcBorders>
          </w:tcPr>
          <w:p>
            <w:pPr>
              <w:spacing w:after="0"/>
              <w:rPr>
                <w:sz w:val="24"/>
                <w:szCs w:val="24"/>
                <w:color w:val="auto"/>
              </w:rPr>
            </w:pPr>
          </w:p>
        </w:tc>
        <w:tc>
          <w:tcPr>
            <w:tcW w:w="5740" w:type="dxa"/>
            <w:vAlign w:val="bottom"/>
            <w:tcBorders>
              <w:bottom w:val="single" w:sz="8" w:color="auto"/>
            </w:tcBorders>
          </w:tcPr>
          <w:p>
            <w:pPr>
              <w:spacing w:after="0"/>
              <w:rPr>
                <w:sz w:val="24"/>
                <w:szCs w:val="24"/>
                <w:color w:val="auto"/>
              </w:rPr>
            </w:pPr>
          </w:p>
        </w:tc>
      </w:tr>
    </w:tbl>
    <w:p>
      <w:pPr>
        <w:sectPr>
          <w:pgSz w:w="11900" w:h="16838" w:orient="portrait"/>
          <w:cols w:equalWidth="0" w:num="1">
            <w:col w:w="11483"/>
          </w:cols>
          <w:pgMar w:left="217" w:top="300" w:right="199" w:bottom="1440" w:gutter="0" w:footer="0" w:header="0"/>
        </w:sectPr>
      </w:pPr>
    </w:p>
    <w:bookmarkStart w:id="259" w:name="page260"/>
    <w:bookmarkEnd w:id="259"/>
    <w:p>
      <w:pPr>
        <w:jc w:val="right"/>
        <w:spacing w:after="0"/>
        <w:rPr>
          <w:sz w:val="20"/>
          <w:szCs w:val="20"/>
          <w:color w:val="auto"/>
        </w:rPr>
      </w:pPr>
      <w:r>
        <w:rPr>
          <w:rFonts w:ascii="Arial" w:cs="Arial" w:eastAsia="Arial" w:hAnsi="Arial"/>
          <w:sz w:val="13"/>
          <w:szCs w:val="13"/>
          <w:b w:val="1"/>
          <w:bCs w:val="1"/>
          <w:color w:val="auto"/>
        </w:rPr>
        <w:t>Exhibit 12.2</w:t>
      </w:r>
    </w:p>
    <w:p>
      <w:pPr>
        <w:spacing w:after="0" w:line="159" w:lineRule="exact"/>
        <w:rPr>
          <w:sz w:val="20"/>
          <w:szCs w:val="20"/>
          <w:color w:val="auto"/>
        </w:rPr>
      </w:pPr>
    </w:p>
    <w:p>
      <w:pPr>
        <w:jc w:val="center"/>
        <w:ind w:right="-2"/>
        <w:spacing w:after="0"/>
        <w:rPr>
          <w:sz w:val="20"/>
          <w:szCs w:val="20"/>
          <w:color w:val="auto"/>
        </w:rPr>
      </w:pPr>
      <w:r>
        <w:rPr>
          <w:rFonts w:ascii="Arial" w:cs="Arial" w:eastAsia="Arial" w:hAnsi="Arial"/>
          <w:sz w:val="13"/>
          <w:szCs w:val="13"/>
          <w:b w:val="1"/>
          <w:bCs w:val="1"/>
          <w:color w:val="auto"/>
        </w:rPr>
        <w:t>CERTIFICATION</w:t>
      </w:r>
    </w:p>
    <w:p>
      <w:pPr>
        <w:spacing w:after="0" w:line="163" w:lineRule="exact"/>
        <w:rPr>
          <w:sz w:val="20"/>
          <w:szCs w:val="20"/>
          <w:color w:val="auto"/>
        </w:rPr>
      </w:pPr>
    </w:p>
    <w:p>
      <w:pPr>
        <w:ind w:left="3"/>
        <w:spacing w:after="0"/>
        <w:rPr>
          <w:sz w:val="20"/>
          <w:szCs w:val="20"/>
          <w:color w:val="auto"/>
        </w:rPr>
      </w:pPr>
      <w:r>
        <w:rPr>
          <w:rFonts w:ascii="Arial" w:cs="Arial" w:eastAsia="Arial" w:hAnsi="Arial"/>
          <w:sz w:val="13"/>
          <w:szCs w:val="13"/>
          <w:color w:val="auto"/>
        </w:rPr>
        <w:t>I, Ana Graciela de Méndez, certify that:</w:t>
      </w:r>
    </w:p>
    <w:p>
      <w:pPr>
        <w:spacing w:after="0" w:line="159" w:lineRule="exact"/>
        <w:rPr>
          <w:sz w:val="20"/>
          <w:szCs w:val="20"/>
          <w:color w:val="auto"/>
        </w:rPr>
      </w:pPr>
    </w:p>
    <w:p>
      <w:pPr>
        <w:ind w:left="463" w:hanging="463"/>
        <w:spacing w:after="0"/>
        <w:tabs>
          <w:tab w:leader="none" w:pos="463" w:val="left"/>
        </w:tabs>
        <w:numPr>
          <w:ilvl w:val="0"/>
          <w:numId w:val="220"/>
        </w:numPr>
        <w:rPr>
          <w:rFonts w:ascii="Arial" w:cs="Arial" w:eastAsia="Arial" w:hAnsi="Arial"/>
          <w:sz w:val="13"/>
          <w:szCs w:val="13"/>
          <w:color w:val="auto"/>
        </w:rPr>
      </w:pPr>
      <w:r>
        <w:rPr>
          <w:rFonts w:ascii="Arial" w:cs="Arial" w:eastAsia="Arial" w:hAnsi="Arial"/>
          <w:sz w:val="13"/>
          <w:szCs w:val="13"/>
          <w:color w:val="auto"/>
        </w:rPr>
        <w:t>I have reviewed this Annual Report on Form 20-F of Banco Latinoamericano de Comercio Exterior, S.A.;</w:t>
      </w:r>
    </w:p>
    <w:p>
      <w:pPr>
        <w:spacing w:after="0" w:line="158" w:lineRule="exact"/>
        <w:rPr>
          <w:rFonts w:ascii="Arial" w:cs="Arial" w:eastAsia="Arial" w:hAnsi="Arial"/>
          <w:sz w:val="13"/>
          <w:szCs w:val="13"/>
          <w:color w:val="auto"/>
        </w:rPr>
      </w:pPr>
    </w:p>
    <w:p>
      <w:pPr>
        <w:ind w:left="463" w:right="20" w:hanging="463"/>
        <w:spacing w:after="0" w:line="267" w:lineRule="auto"/>
        <w:tabs>
          <w:tab w:leader="none" w:pos="463" w:val="left"/>
        </w:tabs>
        <w:numPr>
          <w:ilvl w:val="0"/>
          <w:numId w:val="220"/>
        </w:numPr>
        <w:rPr>
          <w:rFonts w:ascii="Arial" w:cs="Arial" w:eastAsia="Arial" w:hAnsi="Arial"/>
          <w:sz w:val="13"/>
          <w:szCs w:val="13"/>
          <w:color w:val="auto"/>
        </w:rPr>
      </w:pPr>
      <w:r>
        <w:rPr>
          <w:rFonts w:ascii="Arial" w:cs="Arial" w:eastAsia="Arial" w:hAnsi="Arial"/>
          <w:sz w:val="13"/>
          <w:szCs w:val="13"/>
          <w:color w:val="auto"/>
        </w:rPr>
        <w:t>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p>
      <w:pPr>
        <w:spacing w:after="0" w:line="129" w:lineRule="exact"/>
        <w:rPr>
          <w:rFonts w:ascii="Arial" w:cs="Arial" w:eastAsia="Arial" w:hAnsi="Arial"/>
          <w:sz w:val="13"/>
          <w:szCs w:val="13"/>
          <w:color w:val="auto"/>
        </w:rPr>
      </w:pPr>
    </w:p>
    <w:p>
      <w:pPr>
        <w:ind w:left="463" w:hanging="463"/>
        <w:spacing w:after="0" w:line="267" w:lineRule="auto"/>
        <w:tabs>
          <w:tab w:leader="none" w:pos="463" w:val="left"/>
        </w:tabs>
        <w:numPr>
          <w:ilvl w:val="0"/>
          <w:numId w:val="220"/>
        </w:numPr>
        <w:rPr>
          <w:rFonts w:ascii="Arial" w:cs="Arial" w:eastAsia="Arial" w:hAnsi="Arial"/>
          <w:sz w:val="13"/>
          <w:szCs w:val="13"/>
          <w:color w:val="auto"/>
        </w:rPr>
      </w:pPr>
      <w:r>
        <w:rPr>
          <w:rFonts w:ascii="Arial" w:cs="Arial" w:eastAsia="Arial" w:hAnsi="Arial"/>
          <w:sz w:val="13"/>
          <w:szCs w:val="13"/>
          <w:color w:val="auto"/>
        </w:rPr>
        <w:t>Based on my knowledge, the financial statements, and other financial information included in this report, fairly present in all material respects the financial condition, results of operations and cash flows of the company as of, and for, the periods presented in this report;</w:t>
      </w:r>
    </w:p>
    <w:p>
      <w:pPr>
        <w:spacing w:after="0" w:line="129" w:lineRule="exact"/>
        <w:rPr>
          <w:rFonts w:ascii="Arial" w:cs="Arial" w:eastAsia="Arial" w:hAnsi="Arial"/>
          <w:sz w:val="13"/>
          <w:szCs w:val="13"/>
          <w:color w:val="auto"/>
        </w:rPr>
      </w:pPr>
    </w:p>
    <w:p>
      <w:pPr>
        <w:ind w:left="463" w:right="20" w:hanging="463"/>
        <w:spacing w:after="0" w:line="267" w:lineRule="auto"/>
        <w:tabs>
          <w:tab w:leader="none" w:pos="463" w:val="left"/>
        </w:tabs>
        <w:numPr>
          <w:ilvl w:val="0"/>
          <w:numId w:val="220"/>
        </w:numPr>
        <w:rPr>
          <w:rFonts w:ascii="Arial" w:cs="Arial" w:eastAsia="Arial" w:hAnsi="Arial"/>
          <w:sz w:val="13"/>
          <w:szCs w:val="13"/>
          <w:color w:val="auto"/>
        </w:rPr>
      </w:pPr>
      <w:r>
        <w:rPr>
          <w:rFonts w:ascii="Arial" w:cs="Arial" w:eastAsia="Arial" w:hAnsi="Arial"/>
          <w:sz w:val="13"/>
          <w:szCs w:val="13"/>
          <w:color w:val="auto"/>
        </w:rPr>
        <w:t>The company’s other certifying officer and I are responsible for establishing and maintaining disclosure controls and procedures (as defined in Exchange Act Rules 13a-15(e) and 15d-15(e)) and internal control over financial reporting (as defined in Exchange Act Rules 13a-15(f) and 15d-15(f)) for the company and have:</w:t>
      </w:r>
    </w:p>
    <w:p>
      <w:pPr>
        <w:spacing w:after="0" w:line="129" w:lineRule="exact"/>
        <w:rPr>
          <w:rFonts w:ascii="Arial" w:cs="Arial" w:eastAsia="Arial" w:hAnsi="Arial"/>
          <w:sz w:val="13"/>
          <w:szCs w:val="13"/>
          <w:color w:val="auto"/>
        </w:rPr>
      </w:pPr>
    </w:p>
    <w:p>
      <w:pPr>
        <w:ind w:left="703" w:right="20" w:hanging="241"/>
        <w:spacing w:after="0" w:line="267" w:lineRule="auto"/>
        <w:tabs>
          <w:tab w:leader="none" w:pos="703" w:val="left"/>
        </w:tabs>
        <w:numPr>
          <w:ilvl w:val="1"/>
          <w:numId w:val="220"/>
        </w:numPr>
        <w:rPr>
          <w:rFonts w:ascii="Arial" w:cs="Arial" w:eastAsia="Arial" w:hAnsi="Arial"/>
          <w:sz w:val="13"/>
          <w:szCs w:val="13"/>
          <w:color w:val="auto"/>
        </w:rPr>
      </w:pPr>
      <w:r>
        <w:rPr>
          <w:rFonts w:ascii="Arial" w:cs="Arial" w:eastAsia="Arial" w:hAnsi="Arial"/>
          <w:sz w:val="13"/>
          <w:szCs w:val="13"/>
          <w:color w:val="auto"/>
        </w:rPr>
        <w:t>Designed such disclosure controls and procedures, or caused such disclosure controls and procedures to be designed under our supervision, to ensure that material information relating to the company, including its consolidated subsidiaries, is made known to us by others within those entities, particularly during the period in which this report is being prepared;</w:t>
      </w:r>
    </w:p>
    <w:p>
      <w:pPr>
        <w:spacing w:after="0" w:line="129" w:lineRule="exact"/>
        <w:rPr>
          <w:rFonts w:ascii="Arial" w:cs="Arial" w:eastAsia="Arial" w:hAnsi="Arial"/>
          <w:sz w:val="13"/>
          <w:szCs w:val="13"/>
          <w:color w:val="auto"/>
        </w:rPr>
      </w:pPr>
    </w:p>
    <w:p>
      <w:pPr>
        <w:ind w:left="703" w:right="20" w:hanging="241"/>
        <w:spacing w:after="0" w:line="267" w:lineRule="auto"/>
        <w:tabs>
          <w:tab w:leader="none" w:pos="703" w:val="left"/>
        </w:tabs>
        <w:numPr>
          <w:ilvl w:val="1"/>
          <w:numId w:val="220"/>
        </w:numPr>
        <w:rPr>
          <w:rFonts w:ascii="Arial" w:cs="Arial" w:eastAsia="Arial" w:hAnsi="Arial"/>
          <w:sz w:val="13"/>
          <w:szCs w:val="13"/>
          <w:color w:val="auto"/>
        </w:rPr>
      </w:pPr>
      <w:r>
        <w:rPr>
          <w:rFonts w:ascii="Arial" w:cs="Arial" w:eastAsia="Arial" w:hAnsi="Arial"/>
          <w:sz w:val="13"/>
          <w:szCs w:val="13"/>
          <w:color w:val="auto"/>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p>
      <w:pPr>
        <w:spacing w:after="0" w:line="129" w:lineRule="exact"/>
        <w:rPr>
          <w:rFonts w:ascii="Arial" w:cs="Arial" w:eastAsia="Arial" w:hAnsi="Arial"/>
          <w:sz w:val="13"/>
          <w:szCs w:val="13"/>
          <w:color w:val="auto"/>
        </w:rPr>
      </w:pPr>
    </w:p>
    <w:p>
      <w:pPr>
        <w:ind w:left="703" w:right="20" w:hanging="241"/>
        <w:spacing w:after="0" w:line="267" w:lineRule="auto"/>
        <w:tabs>
          <w:tab w:leader="none" w:pos="703" w:val="left"/>
        </w:tabs>
        <w:numPr>
          <w:ilvl w:val="1"/>
          <w:numId w:val="220"/>
        </w:numPr>
        <w:rPr>
          <w:rFonts w:ascii="Arial" w:cs="Arial" w:eastAsia="Arial" w:hAnsi="Arial"/>
          <w:sz w:val="13"/>
          <w:szCs w:val="13"/>
          <w:color w:val="auto"/>
        </w:rPr>
      </w:pPr>
      <w:r>
        <w:rPr>
          <w:rFonts w:ascii="Arial" w:cs="Arial" w:eastAsia="Arial" w:hAnsi="Arial"/>
          <w:sz w:val="13"/>
          <w:szCs w:val="13"/>
          <w:color w:val="auto"/>
        </w:rPr>
        <w:t>Evaluated the effectiveness of the company’s disclosure controls and procedures and presented in this report our conclusions about the effectiveness of the disclosure controls and procedures, as of the end of the period covered by this report based on such evaluation; and</w:t>
      </w:r>
    </w:p>
    <w:p>
      <w:pPr>
        <w:spacing w:after="0" w:line="129" w:lineRule="exact"/>
        <w:rPr>
          <w:rFonts w:ascii="Arial" w:cs="Arial" w:eastAsia="Arial" w:hAnsi="Arial"/>
          <w:sz w:val="13"/>
          <w:szCs w:val="13"/>
          <w:color w:val="auto"/>
        </w:rPr>
      </w:pPr>
    </w:p>
    <w:p>
      <w:pPr>
        <w:ind w:left="703" w:right="20" w:hanging="241"/>
        <w:spacing w:after="0" w:line="267" w:lineRule="auto"/>
        <w:tabs>
          <w:tab w:leader="none" w:pos="703" w:val="left"/>
        </w:tabs>
        <w:numPr>
          <w:ilvl w:val="1"/>
          <w:numId w:val="220"/>
        </w:numPr>
        <w:rPr>
          <w:rFonts w:ascii="Arial" w:cs="Arial" w:eastAsia="Arial" w:hAnsi="Arial"/>
          <w:sz w:val="13"/>
          <w:szCs w:val="13"/>
          <w:color w:val="auto"/>
        </w:rPr>
      </w:pPr>
      <w:r>
        <w:rPr>
          <w:rFonts w:ascii="Arial" w:cs="Arial" w:eastAsia="Arial" w:hAnsi="Arial"/>
          <w:sz w:val="13"/>
          <w:szCs w:val="13"/>
          <w:color w:val="auto"/>
        </w:rPr>
        <w:t>Disclosed in this report any change in the company’s internal control over financial reporting that occurred during the period covered by the annual report that has materially affected, or is reasonably likely to materially affect, the company’s internal control over financial reporting; and</w:t>
      </w:r>
    </w:p>
    <w:p>
      <w:pPr>
        <w:spacing w:after="0" w:line="129" w:lineRule="exact"/>
        <w:rPr>
          <w:rFonts w:ascii="Arial" w:cs="Arial" w:eastAsia="Arial" w:hAnsi="Arial"/>
          <w:sz w:val="13"/>
          <w:szCs w:val="13"/>
          <w:color w:val="auto"/>
        </w:rPr>
      </w:pPr>
    </w:p>
    <w:p>
      <w:pPr>
        <w:ind w:left="463" w:right="20" w:hanging="463"/>
        <w:spacing w:after="0" w:line="267" w:lineRule="auto"/>
        <w:tabs>
          <w:tab w:leader="none" w:pos="463" w:val="left"/>
        </w:tabs>
        <w:numPr>
          <w:ilvl w:val="0"/>
          <w:numId w:val="220"/>
        </w:numPr>
        <w:rPr>
          <w:rFonts w:ascii="Arial" w:cs="Arial" w:eastAsia="Arial" w:hAnsi="Arial"/>
          <w:sz w:val="13"/>
          <w:szCs w:val="13"/>
          <w:color w:val="auto"/>
        </w:rPr>
      </w:pPr>
      <w:r>
        <w:rPr>
          <w:rFonts w:ascii="Arial" w:cs="Arial" w:eastAsia="Arial" w:hAnsi="Arial"/>
          <w:sz w:val="13"/>
          <w:szCs w:val="13"/>
          <w:color w:val="auto"/>
        </w:rPr>
        <w:t>The company’s other certifying officer and I have disclosed, based on our most recent evaluation of internal control over financial reporting, to the company’s auditors and the Audit Committee of the company’s board of directors (or persons performing the equivalent functions):</w:t>
      </w:r>
    </w:p>
    <w:p>
      <w:pPr>
        <w:spacing w:after="0" w:line="129" w:lineRule="exact"/>
        <w:rPr>
          <w:rFonts w:ascii="Arial" w:cs="Arial" w:eastAsia="Arial" w:hAnsi="Arial"/>
          <w:sz w:val="13"/>
          <w:szCs w:val="13"/>
          <w:color w:val="auto"/>
        </w:rPr>
      </w:pPr>
    </w:p>
    <w:p>
      <w:pPr>
        <w:ind w:left="743" w:right="20" w:hanging="281"/>
        <w:spacing w:after="0" w:line="267" w:lineRule="auto"/>
        <w:tabs>
          <w:tab w:leader="none" w:pos="743" w:val="left"/>
        </w:tabs>
        <w:numPr>
          <w:ilvl w:val="1"/>
          <w:numId w:val="220"/>
        </w:numPr>
        <w:rPr>
          <w:rFonts w:ascii="Arial" w:cs="Arial" w:eastAsia="Arial" w:hAnsi="Arial"/>
          <w:sz w:val="13"/>
          <w:szCs w:val="13"/>
          <w:color w:val="auto"/>
        </w:rPr>
      </w:pPr>
      <w:r>
        <w:rPr>
          <w:rFonts w:ascii="Arial" w:cs="Arial" w:eastAsia="Arial" w:hAnsi="Arial"/>
          <w:sz w:val="13"/>
          <w:szCs w:val="13"/>
          <w:color w:val="auto"/>
        </w:rPr>
        <w:t>All significant deficiencies and material weaknesses in the design or operation of internal control over financial reporting which are reasonably likely to adversely affect the company’s ability to record, process, summarize and report financial information; and</w:t>
      </w:r>
    </w:p>
    <w:p>
      <w:pPr>
        <w:spacing w:after="0" w:line="129" w:lineRule="exact"/>
        <w:rPr>
          <w:rFonts w:ascii="Arial" w:cs="Arial" w:eastAsia="Arial" w:hAnsi="Arial"/>
          <w:sz w:val="13"/>
          <w:szCs w:val="13"/>
          <w:color w:val="auto"/>
        </w:rPr>
      </w:pPr>
    </w:p>
    <w:p>
      <w:pPr>
        <w:ind w:left="743" w:hanging="281"/>
        <w:spacing w:after="0"/>
        <w:tabs>
          <w:tab w:leader="none" w:pos="743" w:val="left"/>
        </w:tabs>
        <w:numPr>
          <w:ilvl w:val="1"/>
          <w:numId w:val="220"/>
        </w:numPr>
        <w:rPr>
          <w:rFonts w:ascii="Arial" w:cs="Arial" w:eastAsia="Arial" w:hAnsi="Arial"/>
          <w:sz w:val="13"/>
          <w:szCs w:val="13"/>
          <w:color w:val="auto"/>
        </w:rPr>
      </w:pPr>
      <w:r>
        <w:rPr>
          <w:rFonts w:ascii="Arial" w:cs="Arial" w:eastAsia="Arial" w:hAnsi="Arial"/>
          <w:sz w:val="13"/>
          <w:szCs w:val="13"/>
          <w:color w:val="auto"/>
        </w:rPr>
        <w:t>Any fraud, whether or not material, that involves management or other employees who have a significant role in the company’s internal control over financial reporting.</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color w:val="auto"/>
        </w:rPr>
        <w:t>Date: April 30, 2019</w:t>
      </w:r>
    </w:p>
    <w:p>
      <w:pPr>
        <w:spacing w:after="0" w:line="159" w:lineRule="exact"/>
        <w:rPr>
          <w:sz w:val="20"/>
          <w:szCs w:val="20"/>
          <w:color w:val="auto"/>
        </w:rPr>
      </w:pPr>
    </w:p>
    <w:tbl>
      <w:tblPr>
        <w:tblLayout w:type="fixed"/>
        <w:tblInd w:w="3" w:type="dxa"/>
        <w:tblCellMar>
          <w:top w:w="0" w:type="dxa"/>
          <w:left w:w="0" w:type="dxa"/>
          <w:bottom w:w="0" w:type="dxa"/>
          <w:right w:w="0" w:type="dxa"/>
        </w:tblCellMar>
      </w:tblPr>
      <w:tr>
        <w:trPr>
          <w:trHeight w:val="163"/>
        </w:trPr>
        <w:tc>
          <w:tcPr>
            <w:tcW w:w="580" w:type="dxa"/>
            <w:vAlign w:val="bottom"/>
          </w:tcPr>
          <w:p>
            <w:pPr>
              <w:spacing w:after="0"/>
              <w:rPr>
                <w:sz w:val="20"/>
                <w:szCs w:val="20"/>
                <w:color w:val="auto"/>
              </w:rPr>
            </w:pPr>
            <w:r>
              <w:rPr>
                <w:rFonts w:ascii="Arial" w:cs="Arial" w:eastAsia="Arial" w:hAnsi="Arial"/>
                <w:sz w:val="13"/>
                <w:szCs w:val="13"/>
                <w:color w:val="auto"/>
              </w:rPr>
              <w:t>By:</w:t>
            </w:r>
          </w:p>
        </w:tc>
        <w:tc>
          <w:tcPr>
            <w:tcW w:w="5160" w:type="dxa"/>
            <w:vAlign w:val="bottom"/>
            <w:tcBorders>
              <w:bottom w:val="single" w:sz="8" w:color="auto"/>
            </w:tcBorders>
          </w:tcPr>
          <w:p>
            <w:pPr>
              <w:spacing w:after="0"/>
              <w:rPr>
                <w:sz w:val="20"/>
                <w:szCs w:val="20"/>
                <w:color w:val="auto"/>
              </w:rPr>
            </w:pPr>
            <w:r>
              <w:rPr>
                <w:rFonts w:ascii="Arial" w:cs="Arial" w:eastAsia="Arial" w:hAnsi="Arial"/>
                <w:sz w:val="13"/>
                <w:szCs w:val="13"/>
                <w:color w:val="auto"/>
              </w:rPr>
              <w:t>/s/ Ana Graciela de Méndez</w:t>
            </w:r>
          </w:p>
        </w:tc>
        <w:tc>
          <w:tcPr>
            <w:tcW w:w="5740" w:type="dxa"/>
            <w:vAlign w:val="bottom"/>
          </w:tcPr>
          <w:p>
            <w:pPr>
              <w:spacing w:after="0"/>
              <w:rPr>
                <w:sz w:val="14"/>
                <w:szCs w:val="14"/>
                <w:color w:val="auto"/>
              </w:rPr>
            </w:pPr>
          </w:p>
        </w:tc>
      </w:tr>
      <w:tr>
        <w:trPr>
          <w:trHeight w:val="152"/>
        </w:trPr>
        <w:tc>
          <w:tcPr>
            <w:tcW w:w="580" w:type="dxa"/>
            <w:vAlign w:val="bottom"/>
          </w:tcPr>
          <w:p>
            <w:pPr>
              <w:spacing w:after="0"/>
              <w:rPr>
                <w:sz w:val="13"/>
                <w:szCs w:val="13"/>
                <w:color w:val="auto"/>
              </w:rPr>
            </w:pPr>
          </w:p>
        </w:tc>
        <w:tc>
          <w:tcPr>
            <w:tcW w:w="5160" w:type="dxa"/>
            <w:vAlign w:val="bottom"/>
          </w:tcPr>
          <w:p>
            <w:pPr>
              <w:spacing w:after="0"/>
              <w:rPr>
                <w:sz w:val="20"/>
                <w:szCs w:val="20"/>
                <w:color w:val="auto"/>
              </w:rPr>
            </w:pPr>
            <w:r>
              <w:rPr>
                <w:rFonts w:ascii="Arial" w:cs="Arial" w:eastAsia="Arial" w:hAnsi="Arial"/>
                <w:sz w:val="13"/>
                <w:szCs w:val="13"/>
                <w:i w:val="1"/>
                <w:iCs w:val="1"/>
                <w:color w:val="auto"/>
              </w:rPr>
              <w:t>Chief Financial Officer</w:t>
            </w:r>
          </w:p>
        </w:tc>
        <w:tc>
          <w:tcPr>
            <w:tcW w:w="5740" w:type="dxa"/>
            <w:vAlign w:val="bottom"/>
          </w:tcPr>
          <w:p>
            <w:pPr>
              <w:spacing w:after="0"/>
              <w:rPr>
                <w:sz w:val="13"/>
                <w:szCs w:val="13"/>
                <w:color w:val="auto"/>
              </w:rPr>
            </w:pPr>
          </w:p>
        </w:tc>
      </w:tr>
      <w:tr>
        <w:trPr>
          <w:trHeight w:val="473"/>
        </w:trPr>
        <w:tc>
          <w:tcPr>
            <w:tcW w:w="580" w:type="dxa"/>
            <w:vAlign w:val="bottom"/>
            <w:tcBorders>
              <w:bottom w:val="single" w:sz="8" w:color="auto"/>
            </w:tcBorders>
          </w:tcPr>
          <w:p>
            <w:pPr>
              <w:spacing w:after="0"/>
              <w:rPr>
                <w:sz w:val="24"/>
                <w:szCs w:val="24"/>
                <w:color w:val="auto"/>
              </w:rPr>
            </w:pPr>
          </w:p>
        </w:tc>
        <w:tc>
          <w:tcPr>
            <w:tcW w:w="5160" w:type="dxa"/>
            <w:vAlign w:val="bottom"/>
            <w:tcBorders>
              <w:bottom w:val="single" w:sz="8" w:color="auto"/>
            </w:tcBorders>
          </w:tcPr>
          <w:p>
            <w:pPr>
              <w:spacing w:after="0"/>
              <w:rPr>
                <w:sz w:val="24"/>
                <w:szCs w:val="24"/>
                <w:color w:val="auto"/>
              </w:rPr>
            </w:pPr>
          </w:p>
        </w:tc>
        <w:tc>
          <w:tcPr>
            <w:tcW w:w="5740" w:type="dxa"/>
            <w:vAlign w:val="bottom"/>
            <w:tcBorders>
              <w:bottom w:val="single" w:sz="8" w:color="auto"/>
            </w:tcBorders>
          </w:tcPr>
          <w:p>
            <w:pPr>
              <w:spacing w:after="0"/>
              <w:rPr>
                <w:sz w:val="24"/>
                <w:szCs w:val="24"/>
                <w:color w:val="auto"/>
              </w:rPr>
            </w:pPr>
          </w:p>
        </w:tc>
      </w:tr>
    </w:tbl>
    <w:p>
      <w:pPr>
        <w:sectPr>
          <w:pgSz w:w="11900" w:h="16838" w:orient="portrait"/>
          <w:cols w:equalWidth="0" w:num="1">
            <w:col w:w="11483"/>
          </w:cols>
          <w:pgMar w:left="217" w:top="280" w:right="199" w:bottom="1440" w:gutter="0" w:footer="0" w:header="0"/>
        </w:sectPr>
      </w:pPr>
    </w:p>
    <w:bookmarkStart w:id="260" w:name="page261"/>
    <w:bookmarkEnd w:id="260"/>
    <w:p>
      <w:pPr>
        <w:jc w:val="right"/>
        <w:spacing w:after="0"/>
        <w:rPr>
          <w:sz w:val="20"/>
          <w:szCs w:val="20"/>
          <w:color w:val="auto"/>
        </w:rPr>
      </w:pPr>
      <w:r>
        <w:rPr>
          <w:rFonts w:ascii="Arial" w:cs="Arial" w:eastAsia="Arial" w:hAnsi="Arial"/>
          <w:sz w:val="13"/>
          <w:szCs w:val="13"/>
          <w:b w:val="1"/>
          <w:bCs w:val="1"/>
          <w:color w:val="auto"/>
        </w:rPr>
        <w:t>Exhibit 13.1</w:t>
      </w:r>
    </w:p>
    <w:p>
      <w:pPr>
        <w:spacing w:after="0" w:line="159" w:lineRule="exact"/>
        <w:rPr>
          <w:sz w:val="20"/>
          <w:szCs w:val="20"/>
          <w:color w:val="auto"/>
        </w:rPr>
      </w:pPr>
    </w:p>
    <w:p>
      <w:pPr>
        <w:jc w:val="center"/>
        <w:spacing w:after="0"/>
        <w:rPr>
          <w:sz w:val="20"/>
          <w:szCs w:val="20"/>
          <w:color w:val="auto"/>
        </w:rPr>
      </w:pPr>
      <w:r>
        <w:rPr>
          <w:rFonts w:ascii="Arial" w:cs="Arial" w:eastAsia="Arial" w:hAnsi="Arial"/>
          <w:sz w:val="13"/>
          <w:szCs w:val="13"/>
          <w:b w:val="1"/>
          <w:bCs w:val="1"/>
          <w:color w:val="auto"/>
        </w:rPr>
        <w:t>CERTIFICATION</w:t>
      </w:r>
    </w:p>
    <w:p>
      <w:pPr>
        <w:spacing w:after="0" w:line="163"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This certification is provided pursuant to Section 906 of the Sarbanes-Oxley Act of 2002, and accompanies the Annual Report on Form 20-F (the “Report”) for the period ended December 31, 2018 of Banco Latinoamericano de Comercio Exterior, S.A. (the “Company”).</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color w:val="auto"/>
        </w:rPr>
        <w:t>I, N. Gabriel Tolchinsky, the Chief Executive Officer of the Company, certify that:</w:t>
      </w:r>
    </w:p>
    <w:p>
      <w:pPr>
        <w:spacing w:after="0" w:line="159" w:lineRule="exact"/>
        <w:rPr>
          <w:sz w:val="20"/>
          <w:szCs w:val="20"/>
          <w:color w:val="auto"/>
        </w:rPr>
      </w:pPr>
    </w:p>
    <w:p>
      <w:pPr>
        <w:ind w:left="740" w:hanging="281"/>
        <w:spacing w:after="0"/>
        <w:tabs>
          <w:tab w:leader="none" w:pos="740" w:val="left"/>
        </w:tabs>
        <w:numPr>
          <w:ilvl w:val="0"/>
          <w:numId w:val="221"/>
        </w:numPr>
        <w:rPr>
          <w:rFonts w:ascii="Arial" w:cs="Arial" w:eastAsia="Arial" w:hAnsi="Arial"/>
          <w:sz w:val="13"/>
          <w:szCs w:val="13"/>
          <w:color w:val="auto"/>
        </w:rPr>
      </w:pPr>
      <w:r>
        <w:rPr>
          <w:rFonts w:ascii="Arial" w:cs="Arial" w:eastAsia="Arial" w:hAnsi="Arial"/>
          <w:sz w:val="13"/>
          <w:szCs w:val="13"/>
          <w:color w:val="auto"/>
        </w:rPr>
        <w:t>The Report fully complies with the requirements of Section 13(a) or Section 15(d) of the Securities Exchange Act of 1934, as amended; and</w:t>
      </w:r>
    </w:p>
    <w:p>
      <w:pPr>
        <w:spacing w:after="0" w:line="158" w:lineRule="exact"/>
        <w:rPr>
          <w:rFonts w:ascii="Arial" w:cs="Arial" w:eastAsia="Arial" w:hAnsi="Arial"/>
          <w:sz w:val="13"/>
          <w:szCs w:val="13"/>
          <w:color w:val="auto"/>
        </w:rPr>
      </w:pPr>
    </w:p>
    <w:p>
      <w:pPr>
        <w:ind w:right="3280" w:firstLine="459"/>
        <w:spacing w:after="0" w:line="494" w:lineRule="auto"/>
        <w:tabs>
          <w:tab w:leader="none" w:pos="751" w:val="left"/>
        </w:tabs>
        <w:numPr>
          <w:ilvl w:val="0"/>
          <w:numId w:val="221"/>
        </w:numPr>
        <w:rPr>
          <w:rFonts w:ascii="Arial" w:cs="Arial" w:eastAsia="Arial" w:hAnsi="Arial"/>
          <w:sz w:val="13"/>
          <w:szCs w:val="13"/>
          <w:color w:val="auto"/>
        </w:rPr>
      </w:pPr>
      <w:r>
        <w:rPr>
          <w:rFonts w:ascii="Arial" w:cs="Arial" w:eastAsia="Arial" w:hAnsi="Arial"/>
          <w:sz w:val="13"/>
          <w:szCs w:val="13"/>
          <w:color w:val="auto"/>
        </w:rPr>
        <w:t>The information contained in the Report fairly presents, in all material respects, the financial condition and results of operations of the Company. Date: April 30, 2019</w:t>
      </w:r>
    </w:p>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163"/>
        </w:trPr>
        <w:tc>
          <w:tcPr>
            <w:tcW w:w="580" w:type="dxa"/>
            <w:vAlign w:val="bottom"/>
          </w:tcPr>
          <w:p>
            <w:pPr>
              <w:spacing w:after="0"/>
              <w:rPr>
                <w:sz w:val="20"/>
                <w:szCs w:val="20"/>
                <w:color w:val="auto"/>
              </w:rPr>
            </w:pPr>
            <w:r>
              <w:rPr>
                <w:rFonts w:ascii="Arial" w:cs="Arial" w:eastAsia="Arial" w:hAnsi="Arial"/>
                <w:sz w:val="13"/>
                <w:szCs w:val="13"/>
                <w:color w:val="auto"/>
              </w:rPr>
              <w:t>By:</w:t>
            </w:r>
          </w:p>
        </w:tc>
        <w:tc>
          <w:tcPr>
            <w:tcW w:w="5160" w:type="dxa"/>
            <w:vAlign w:val="bottom"/>
            <w:tcBorders>
              <w:bottom w:val="single" w:sz="8" w:color="auto"/>
            </w:tcBorders>
          </w:tcPr>
          <w:p>
            <w:pPr>
              <w:spacing w:after="0"/>
              <w:rPr>
                <w:sz w:val="20"/>
                <w:szCs w:val="20"/>
                <w:color w:val="auto"/>
              </w:rPr>
            </w:pPr>
            <w:r>
              <w:rPr>
                <w:rFonts w:ascii="Arial" w:cs="Arial" w:eastAsia="Arial" w:hAnsi="Arial"/>
                <w:sz w:val="13"/>
                <w:szCs w:val="13"/>
                <w:color w:val="auto"/>
              </w:rPr>
              <w:t>/s/ N. Gabriel Tolchinsky</w:t>
            </w:r>
          </w:p>
        </w:tc>
        <w:tc>
          <w:tcPr>
            <w:tcW w:w="5740" w:type="dxa"/>
            <w:vAlign w:val="bottom"/>
          </w:tcPr>
          <w:p>
            <w:pPr>
              <w:spacing w:after="0"/>
              <w:rPr>
                <w:sz w:val="14"/>
                <w:szCs w:val="14"/>
                <w:color w:val="auto"/>
              </w:rPr>
            </w:pPr>
          </w:p>
        </w:tc>
      </w:tr>
      <w:tr>
        <w:trPr>
          <w:trHeight w:val="152"/>
        </w:trPr>
        <w:tc>
          <w:tcPr>
            <w:tcW w:w="580" w:type="dxa"/>
            <w:vAlign w:val="bottom"/>
          </w:tcPr>
          <w:p>
            <w:pPr>
              <w:spacing w:after="0"/>
              <w:rPr>
                <w:sz w:val="13"/>
                <w:szCs w:val="13"/>
                <w:color w:val="auto"/>
              </w:rPr>
            </w:pPr>
          </w:p>
        </w:tc>
        <w:tc>
          <w:tcPr>
            <w:tcW w:w="5160" w:type="dxa"/>
            <w:vAlign w:val="bottom"/>
          </w:tcPr>
          <w:p>
            <w:pPr>
              <w:spacing w:after="0"/>
              <w:rPr>
                <w:sz w:val="20"/>
                <w:szCs w:val="20"/>
                <w:color w:val="auto"/>
              </w:rPr>
            </w:pPr>
            <w:r>
              <w:rPr>
                <w:rFonts w:ascii="Arial" w:cs="Arial" w:eastAsia="Arial" w:hAnsi="Arial"/>
                <w:sz w:val="13"/>
                <w:szCs w:val="13"/>
                <w:i w:val="1"/>
                <w:iCs w:val="1"/>
                <w:color w:val="auto"/>
              </w:rPr>
              <w:t>Chief Executive Officer</w:t>
            </w:r>
          </w:p>
        </w:tc>
        <w:tc>
          <w:tcPr>
            <w:tcW w:w="5740" w:type="dxa"/>
            <w:vAlign w:val="bottom"/>
          </w:tcPr>
          <w:p>
            <w:pPr>
              <w:spacing w:after="0"/>
              <w:rPr>
                <w:sz w:val="13"/>
                <w:szCs w:val="13"/>
                <w:color w:val="auto"/>
              </w:rPr>
            </w:pPr>
          </w:p>
        </w:tc>
      </w:tr>
      <w:tr>
        <w:trPr>
          <w:trHeight w:val="454"/>
        </w:trPr>
        <w:tc>
          <w:tcPr>
            <w:tcW w:w="580" w:type="dxa"/>
            <w:vAlign w:val="bottom"/>
            <w:tcBorders>
              <w:bottom w:val="single" w:sz="8" w:color="auto"/>
            </w:tcBorders>
          </w:tcPr>
          <w:p>
            <w:pPr>
              <w:spacing w:after="0"/>
              <w:rPr>
                <w:sz w:val="24"/>
                <w:szCs w:val="24"/>
                <w:color w:val="auto"/>
              </w:rPr>
            </w:pPr>
          </w:p>
        </w:tc>
        <w:tc>
          <w:tcPr>
            <w:tcW w:w="5160" w:type="dxa"/>
            <w:vAlign w:val="bottom"/>
            <w:tcBorders>
              <w:bottom w:val="single" w:sz="8" w:color="auto"/>
            </w:tcBorders>
          </w:tcPr>
          <w:p>
            <w:pPr>
              <w:spacing w:after="0"/>
              <w:rPr>
                <w:sz w:val="24"/>
                <w:szCs w:val="24"/>
                <w:color w:val="auto"/>
              </w:rPr>
            </w:pPr>
          </w:p>
        </w:tc>
        <w:tc>
          <w:tcPr>
            <w:tcW w:w="5740" w:type="dxa"/>
            <w:vAlign w:val="bottom"/>
            <w:tcBorders>
              <w:bottom w:val="single" w:sz="8" w:color="auto"/>
            </w:tcBorders>
          </w:tcPr>
          <w:p>
            <w:pPr>
              <w:spacing w:after="0"/>
              <w:rPr>
                <w:sz w:val="24"/>
                <w:szCs w:val="24"/>
                <w:color w:val="auto"/>
              </w:rPr>
            </w:pPr>
          </w:p>
        </w:tc>
      </w:tr>
    </w:tbl>
    <w:p>
      <w:pPr>
        <w:sectPr>
          <w:pgSz w:w="11900" w:h="16838" w:orient="portrait"/>
          <w:cols w:equalWidth="0" w:num="1">
            <w:col w:w="11480"/>
          </w:cols>
          <w:pgMar w:left="220" w:top="281" w:right="199" w:bottom="1440" w:gutter="0" w:footer="0" w:header="0"/>
        </w:sectPr>
      </w:pPr>
    </w:p>
    <w:bookmarkStart w:id="261" w:name="page262"/>
    <w:bookmarkEnd w:id="261"/>
    <w:p>
      <w:pPr>
        <w:jc w:val="right"/>
        <w:spacing w:after="0"/>
        <w:rPr>
          <w:sz w:val="20"/>
          <w:szCs w:val="20"/>
          <w:color w:val="auto"/>
        </w:rPr>
      </w:pPr>
      <w:r>
        <w:rPr>
          <w:rFonts w:ascii="Arial" w:cs="Arial" w:eastAsia="Arial" w:hAnsi="Arial"/>
          <w:sz w:val="13"/>
          <w:szCs w:val="13"/>
          <w:b w:val="1"/>
          <w:bCs w:val="1"/>
          <w:color w:val="auto"/>
        </w:rPr>
        <w:t>Exhibit 13.2</w:t>
      </w:r>
    </w:p>
    <w:p>
      <w:pPr>
        <w:spacing w:after="0" w:line="159" w:lineRule="exact"/>
        <w:rPr>
          <w:sz w:val="20"/>
          <w:szCs w:val="20"/>
          <w:color w:val="auto"/>
        </w:rPr>
      </w:pPr>
    </w:p>
    <w:p>
      <w:pPr>
        <w:jc w:val="center"/>
        <w:spacing w:after="0"/>
        <w:rPr>
          <w:sz w:val="20"/>
          <w:szCs w:val="20"/>
          <w:color w:val="auto"/>
        </w:rPr>
      </w:pPr>
      <w:r>
        <w:rPr>
          <w:rFonts w:ascii="Arial" w:cs="Arial" w:eastAsia="Arial" w:hAnsi="Arial"/>
          <w:sz w:val="13"/>
          <w:szCs w:val="13"/>
          <w:b w:val="1"/>
          <w:bCs w:val="1"/>
          <w:color w:val="auto"/>
        </w:rPr>
        <w:t>CERTIFICATION</w:t>
      </w:r>
    </w:p>
    <w:p>
      <w:pPr>
        <w:spacing w:after="0" w:line="163"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This certification is provided pursuant to Section 906 of the Sarbanes-Oxley Act of 2002, and accompanies the Annual Report on Form 20-F (the “Report”) for the period ended December 31, 2018 of Banco Latinoamericano de Comercio Exterior, S.A. (the “Company”).</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color w:val="auto"/>
        </w:rPr>
        <w:t>I, Ana Graciela de Méndez, the Chief Financial Officer of the Company, certify that:</w:t>
      </w:r>
    </w:p>
    <w:p>
      <w:pPr>
        <w:spacing w:after="0" w:line="159" w:lineRule="exact"/>
        <w:rPr>
          <w:sz w:val="20"/>
          <w:szCs w:val="20"/>
          <w:color w:val="auto"/>
        </w:rPr>
      </w:pPr>
    </w:p>
    <w:p>
      <w:pPr>
        <w:ind w:left="740" w:hanging="281"/>
        <w:spacing w:after="0"/>
        <w:tabs>
          <w:tab w:leader="none" w:pos="740" w:val="left"/>
        </w:tabs>
        <w:numPr>
          <w:ilvl w:val="0"/>
          <w:numId w:val="222"/>
        </w:numPr>
        <w:rPr>
          <w:rFonts w:ascii="Arial" w:cs="Arial" w:eastAsia="Arial" w:hAnsi="Arial"/>
          <w:sz w:val="13"/>
          <w:szCs w:val="13"/>
          <w:color w:val="auto"/>
        </w:rPr>
      </w:pPr>
      <w:r>
        <w:rPr>
          <w:rFonts w:ascii="Arial" w:cs="Arial" w:eastAsia="Arial" w:hAnsi="Arial"/>
          <w:sz w:val="13"/>
          <w:szCs w:val="13"/>
          <w:color w:val="auto"/>
        </w:rPr>
        <w:t>The Report fully complies with the requirements of Section 13(a) or Section 15(d) of the Securities Exchange Act of 1934, as amended; and</w:t>
      </w:r>
    </w:p>
    <w:p>
      <w:pPr>
        <w:spacing w:after="0" w:line="158" w:lineRule="exact"/>
        <w:rPr>
          <w:rFonts w:ascii="Arial" w:cs="Arial" w:eastAsia="Arial" w:hAnsi="Arial"/>
          <w:sz w:val="13"/>
          <w:szCs w:val="13"/>
          <w:color w:val="auto"/>
        </w:rPr>
      </w:pPr>
    </w:p>
    <w:p>
      <w:pPr>
        <w:ind w:right="3280" w:firstLine="459"/>
        <w:spacing w:after="0" w:line="494" w:lineRule="auto"/>
        <w:tabs>
          <w:tab w:leader="none" w:pos="751" w:val="left"/>
        </w:tabs>
        <w:numPr>
          <w:ilvl w:val="0"/>
          <w:numId w:val="222"/>
        </w:numPr>
        <w:rPr>
          <w:rFonts w:ascii="Arial" w:cs="Arial" w:eastAsia="Arial" w:hAnsi="Arial"/>
          <w:sz w:val="13"/>
          <w:szCs w:val="13"/>
          <w:color w:val="auto"/>
        </w:rPr>
      </w:pPr>
      <w:r>
        <w:rPr>
          <w:rFonts w:ascii="Arial" w:cs="Arial" w:eastAsia="Arial" w:hAnsi="Arial"/>
          <w:sz w:val="13"/>
          <w:szCs w:val="13"/>
          <w:color w:val="auto"/>
        </w:rPr>
        <w:t>The information contained in the Report fairly presents, in all material respects, the financial condition and results of operations of the Company. Date: April 30, 2019</w:t>
      </w:r>
    </w:p>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163"/>
        </w:trPr>
        <w:tc>
          <w:tcPr>
            <w:tcW w:w="580" w:type="dxa"/>
            <w:vAlign w:val="bottom"/>
          </w:tcPr>
          <w:p>
            <w:pPr>
              <w:spacing w:after="0"/>
              <w:rPr>
                <w:sz w:val="20"/>
                <w:szCs w:val="20"/>
                <w:color w:val="auto"/>
              </w:rPr>
            </w:pPr>
            <w:r>
              <w:rPr>
                <w:rFonts w:ascii="Arial" w:cs="Arial" w:eastAsia="Arial" w:hAnsi="Arial"/>
                <w:sz w:val="13"/>
                <w:szCs w:val="13"/>
                <w:color w:val="auto"/>
              </w:rPr>
              <w:t>By:</w:t>
            </w:r>
          </w:p>
        </w:tc>
        <w:tc>
          <w:tcPr>
            <w:tcW w:w="5160" w:type="dxa"/>
            <w:vAlign w:val="bottom"/>
            <w:tcBorders>
              <w:bottom w:val="single" w:sz="8" w:color="auto"/>
            </w:tcBorders>
          </w:tcPr>
          <w:p>
            <w:pPr>
              <w:spacing w:after="0"/>
              <w:rPr>
                <w:sz w:val="20"/>
                <w:szCs w:val="20"/>
                <w:color w:val="auto"/>
              </w:rPr>
            </w:pPr>
            <w:r>
              <w:rPr>
                <w:rFonts w:ascii="Arial" w:cs="Arial" w:eastAsia="Arial" w:hAnsi="Arial"/>
                <w:sz w:val="13"/>
                <w:szCs w:val="13"/>
                <w:color w:val="auto"/>
              </w:rPr>
              <w:t>/s/ Ana Graciela de Méndez</w:t>
            </w:r>
          </w:p>
        </w:tc>
        <w:tc>
          <w:tcPr>
            <w:tcW w:w="5740" w:type="dxa"/>
            <w:vAlign w:val="bottom"/>
          </w:tcPr>
          <w:p>
            <w:pPr>
              <w:spacing w:after="0"/>
              <w:rPr>
                <w:sz w:val="14"/>
                <w:szCs w:val="14"/>
                <w:color w:val="auto"/>
              </w:rPr>
            </w:pPr>
          </w:p>
        </w:tc>
      </w:tr>
      <w:tr>
        <w:trPr>
          <w:trHeight w:val="152"/>
        </w:trPr>
        <w:tc>
          <w:tcPr>
            <w:tcW w:w="580" w:type="dxa"/>
            <w:vAlign w:val="bottom"/>
          </w:tcPr>
          <w:p>
            <w:pPr>
              <w:spacing w:after="0"/>
              <w:rPr>
                <w:sz w:val="13"/>
                <w:szCs w:val="13"/>
                <w:color w:val="auto"/>
              </w:rPr>
            </w:pPr>
          </w:p>
        </w:tc>
        <w:tc>
          <w:tcPr>
            <w:tcW w:w="5160" w:type="dxa"/>
            <w:vAlign w:val="bottom"/>
          </w:tcPr>
          <w:p>
            <w:pPr>
              <w:spacing w:after="0"/>
              <w:rPr>
                <w:sz w:val="20"/>
                <w:szCs w:val="20"/>
                <w:color w:val="auto"/>
              </w:rPr>
            </w:pPr>
            <w:r>
              <w:rPr>
                <w:rFonts w:ascii="Arial" w:cs="Arial" w:eastAsia="Arial" w:hAnsi="Arial"/>
                <w:sz w:val="13"/>
                <w:szCs w:val="13"/>
                <w:i w:val="1"/>
                <w:iCs w:val="1"/>
                <w:color w:val="auto"/>
              </w:rPr>
              <w:t>Chief Financial Officer</w:t>
            </w:r>
          </w:p>
        </w:tc>
        <w:tc>
          <w:tcPr>
            <w:tcW w:w="5740" w:type="dxa"/>
            <w:vAlign w:val="bottom"/>
          </w:tcPr>
          <w:p>
            <w:pPr>
              <w:spacing w:after="0"/>
              <w:rPr>
                <w:sz w:val="13"/>
                <w:szCs w:val="13"/>
                <w:color w:val="auto"/>
              </w:rPr>
            </w:pPr>
          </w:p>
        </w:tc>
      </w:tr>
      <w:tr>
        <w:trPr>
          <w:trHeight w:val="454"/>
        </w:trPr>
        <w:tc>
          <w:tcPr>
            <w:tcW w:w="580" w:type="dxa"/>
            <w:vAlign w:val="bottom"/>
            <w:tcBorders>
              <w:bottom w:val="single" w:sz="8" w:color="auto"/>
            </w:tcBorders>
          </w:tcPr>
          <w:p>
            <w:pPr>
              <w:spacing w:after="0"/>
              <w:rPr>
                <w:sz w:val="24"/>
                <w:szCs w:val="24"/>
                <w:color w:val="auto"/>
              </w:rPr>
            </w:pPr>
          </w:p>
        </w:tc>
        <w:tc>
          <w:tcPr>
            <w:tcW w:w="5160" w:type="dxa"/>
            <w:vAlign w:val="bottom"/>
            <w:tcBorders>
              <w:bottom w:val="single" w:sz="8" w:color="auto"/>
            </w:tcBorders>
          </w:tcPr>
          <w:p>
            <w:pPr>
              <w:spacing w:after="0"/>
              <w:rPr>
                <w:sz w:val="24"/>
                <w:szCs w:val="24"/>
                <w:color w:val="auto"/>
              </w:rPr>
            </w:pPr>
          </w:p>
        </w:tc>
        <w:tc>
          <w:tcPr>
            <w:tcW w:w="5740" w:type="dxa"/>
            <w:vAlign w:val="bottom"/>
            <w:tcBorders>
              <w:bottom w:val="single" w:sz="8" w:color="auto"/>
            </w:tcBorders>
          </w:tcPr>
          <w:p>
            <w:pPr>
              <w:spacing w:after="0"/>
              <w:rPr>
                <w:sz w:val="24"/>
                <w:szCs w:val="24"/>
                <w:color w:val="auto"/>
              </w:rPr>
            </w:pPr>
          </w:p>
        </w:tc>
      </w:tr>
    </w:tbl>
    <w:p>
      <w:pPr>
        <w:spacing w:after="0" w:line="1" w:lineRule="exact"/>
        <w:rPr>
          <w:sz w:val="20"/>
          <w:szCs w:val="20"/>
          <w:color w:val="auto"/>
        </w:rPr>
      </w:pPr>
    </w:p>
    <w:sectPr>
      <w:pgSz w:w="11900" w:h="16838" w:orient="portrait"/>
      <w:cols w:equalWidth="0" w:num="1">
        <w:col w:w="11480"/>
      </w:cols>
      <w:pgMar w:left="220" w:top="281" w:right="19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415E286C"/>
    <w:multiLevelType w:val="hybridMultilevel"/>
    <w:lvl w:ilvl="0">
      <w:lvlJc w:val="left"/>
      <w:lvlText w:val="☐"/>
      <w:numFmt w:val="bullet"/>
      <w:start w:val="1"/>
    </w:lvl>
  </w:abstractNum>
  <w:abstractNum w:abstractNumId="1">
    <w:nsid w:val="7C58FD05"/>
    <w:multiLevelType w:val="hybridMultilevel"/>
    <w:lvl w:ilvl="0">
      <w:lvlJc w:val="left"/>
      <w:lvlText w:val="☒"/>
      <w:numFmt w:val="bullet"/>
      <w:start w:val="1"/>
    </w:lvl>
  </w:abstractNum>
  <w:abstractNum w:abstractNumId="2">
    <w:nsid w:val="23D86AAC"/>
    <w:multiLevelType w:val="hybridMultilevel"/>
    <w:lvl w:ilvl="0">
      <w:lvlJc w:val="left"/>
      <w:lvlText w:val="☐"/>
      <w:numFmt w:val="bullet"/>
      <w:start w:val="1"/>
    </w:lvl>
  </w:abstractNum>
  <w:abstractNum w:abstractNumId="3">
    <w:nsid w:val="45E6D486"/>
    <w:multiLevelType w:val="hybridMultilevel"/>
    <w:lvl w:ilvl="0">
      <w:lvlJc w:val="left"/>
      <w:lvlText w:val="☐"/>
      <w:numFmt w:val="bullet"/>
      <w:start w:val="1"/>
    </w:lvl>
  </w:abstractNum>
  <w:abstractNum w:abstractNumId="4">
    <w:nsid w:val="5C10FE21"/>
    <w:multiLevelType w:val="hybridMultilevel"/>
    <w:lvl w:ilvl="0">
      <w:lvlJc w:val="left"/>
      <w:lvlText w:val="0"/>
      <w:numFmt w:val="bullet"/>
      <w:start w:val="1"/>
    </w:lvl>
  </w:abstractNum>
  <w:abstractNum w:abstractNumId="5">
    <w:nsid w:val="E7FFA2B"/>
    <w:multiLevelType w:val="hybridMultilevel"/>
    <w:lvl w:ilvl="0">
      <w:lvlJc w:val="left"/>
      <w:lvlText w:val="†"/>
      <w:numFmt w:val="bullet"/>
      <w:start w:val="1"/>
    </w:lvl>
  </w:abstractNum>
  <w:abstractNum w:abstractNumId="6">
    <w:nsid w:val="3C5991AA"/>
    <w:multiLevelType w:val="hybridMultilevel"/>
    <w:lvl w:ilvl="0">
      <w:lvlJc w:val="left"/>
      <w:lvlText w:val="·"/>
      <w:numFmt w:val="bullet"/>
      <w:start w:val="1"/>
    </w:lvl>
  </w:abstractNum>
  <w:abstractNum w:abstractNumId="7">
    <w:nsid w:val="4BD8591A"/>
    <w:multiLevelType w:val="hybridMultilevel"/>
    <w:lvl w:ilvl="0">
      <w:lvlJc w:val="left"/>
      <w:lvlText w:val="·"/>
      <w:numFmt w:val="bullet"/>
      <w:start w:val="1"/>
    </w:lvl>
  </w:abstractNum>
  <w:abstractNum w:abstractNumId="8">
    <w:nsid w:val="78DF6A55"/>
    <w:multiLevelType w:val="hybridMultilevel"/>
    <w:lvl w:ilvl="0">
      <w:lvlJc w:val="left"/>
      <w:lvlText w:val="%1."/>
      <w:numFmt w:val="upperLetter"/>
      <w:start w:val="1"/>
    </w:lvl>
  </w:abstractNum>
  <w:abstractNum w:abstractNumId="9">
    <w:nsid w:val="39B7AAA2"/>
    <w:multiLevelType w:val="hybridMultilevel"/>
    <w:lvl w:ilvl="0">
      <w:lvlJc w:val="left"/>
      <w:lvlText w:val="(%1)"/>
      <w:numFmt w:val="decimal"/>
      <w:start w:val="1"/>
    </w:lvl>
  </w:abstractNum>
  <w:abstractNum w:abstractNumId="10">
    <w:nsid w:val="2B0D8DBE"/>
    <w:multiLevelType w:val="hybridMultilevel"/>
    <w:lvl w:ilvl="0">
      <w:lvlJc w:val="left"/>
      <w:lvlText w:val="%1."/>
      <w:numFmt w:val="upperLetter"/>
      <w:start w:val="2"/>
    </w:lvl>
  </w:abstractNum>
  <w:abstractNum w:abstractNumId="11">
    <w:nsid w:val="6C80EC70"/>
    <w:multiLevelType w:val="hybridMultilevel"/>
    <w:lvl w:ilvl="0">
      <w:lvlJc w:val="left"/>
      <w:lvlText w:val="•"/>
      <w:numFmt w:val="bullet"/>
      <w:start w:val="1"/>
    </w:lvl>
  </w:abstractNum>
  <w:abstractNum w:abstractNumId="12">
    <w:nsid w:val="379E21B5"/>
    <w:multiLevelType w:val="hybridMultilevel"/>
    <w:lvl w:ilvl="0">
      <w:lvlJc w:val="left"/>
      <w:lvlText w:val="•"/>
      <w:numFmt w:val="bullet"/>
      <w:start w:val="1"/>
    </w:lvl>
  </w:abstractNum>
  <w:abstractNum w:abstractNumId="13">
    <w:nsid w:val="69E373"/>
    <w:multiLevelType w:val="hybridMultilevel"/>
    <w:lvl w:ilvl="0">
      <w:lvlJc w:val="left"/>
      <w:lvlText w:val="%1."/>
      <w:numFmt w:val="upperLetter"/>
      <w:start w:val="1"/>
    </w:lvl>
  </w:abstractNum>
  <w:abstractNum w:abstractNumId="14">
    <w:nsid w:val="2C27173B"/>
    <w:multiLevelType w:val="hybridMultilevel"/>
    <w:lvl w:ilvl="0">
      <w:lvlJc w:val="left"/>
      <w:lvlText w:val="-"/>
      <w:numFmt w:val="bullet"/>
      <w:start w:val="1"/>
    </w:lvl>
  </w:abstractNum>
  <w:abstractNum w:abstractNumId="15">
    <w:nsid w:val="4C9B0904"/>
    <w:multiLevelType w:val="hybridMultilevel"/>
    <w:lvl w:ilvl="0">
      <w:lvlJc w:val="left"/>
      <w:lvlText w:val="%1."/>
      <w:numFmt w:val="upperLetter"/>
      <w:start w:val="2"/>
    </w:lvl>
  </w:abstractNum>
  <w:abstractNum w:abstractNumId="16">
    <w:nsid w:val="6AA7B75C"/>
    <w:multiLevelType w:val="hybridMultilevel"/>
    <w:lvl w:ilvl="0">
      <w:lvlJc w:val="left"/>
      <w:lvlText w:val="(%1)"/>
      <w:numFmt w:val="decimal"/>
      <w:start w:val="1"/>
    </w:lvl>
  </w:abstractNum>
  <w:abstractNum w:abstractNumId="17">
    <w:nsid w:val="1DF029D3"/>
    <w:multiLevelType w:val="hybridMultilevel"/>
    <w:lvl w:ilvl="0">
      <w:lvlJc w:val="left"/>
      <w:lvlText w:val="%1)"/>
      <w:numFmt w:val="decimal"/>
      <w:start w:val="1"/>
    </w:lvl>
  </w:abstractNum>
  <w:abstractNum w:abstractNumId="18">
    <w:nsid w:val="5675FF36"/>
    <w:multiLevelType w:val="hybridMultilevel"/>
    <w:lvl w:ilvl="0">
      <w:lvlJc w:val="left"/>
      <w:lvlText w:val="(%1)"/>
      <w:numFmt w:val="lowerRoman"/>
      <w:start w:val="1"/>
    </w:lvl>
  </w:abstractNum>
  <w:abstractNum w:abstractNumId="19">
    <w:nsid w:val="3DD15094"/>
    <w:multiLevelType w:val="hybridMultilevel"/>
    <w:lvl w:ilvl="0">
      <w:lvlJc w:val="left"/>
      <w:lvlText w:val="·"/>
      <w:numFmt w:val="bullet"/>
      <w:start w:val="1"/>
    </w:lvl>
  </w:abstractNum>
  <w:abstractNum w:abstractNumId="20">
    <w:nsid w:val="3DB012B3"/>
    <w:multiLevelType w:val="hybridMultilevel"/>
    <w:lvl w:ilvl="0">
      <w:lvlJc w:val="left"/>
      <w:lvlText w:val="%1."/>
      <w:numFmt w:val="upperLetter"/>
      <w:start w:val="3"/>
    </w:lvl>
  </w:abstractNum>
  <w:abstractNum w:abstractNumId="21">
    <w:nsid w:val="2708C9AF"/>
    <w:multiLevelType w:val="hybridMultilevel"/>
    <w:lvl w:ilvl="0">
      <w:lvlJc w:val="left"/>
      <w:lvlText w:val="%1."/>
      <w:numFmt w:val="upperLetter"/>
      <w:start w:val="4"/>
    </w:lvl>
  </w:abstractNum>
  <w:abstractNum w:abstractNumId="22">
    <w:nsid w:val="5B25ACE2"/>
    <w:multiLevelType w:val="hybridMultilevel"/>
    <w:lvl w:ilvl="0">
      <w:lvlJc w:val="left"/>
      <w:lvlText w:val="%1."/>
      <w:numFmt w:val="upperLetter"/>
      <w:start w:val="1"/>
    </w:lvl>
  </w:abstractNum>
  <w:abstractNum w:abstractNumId="23">
    <w:nsid w:val="175DFCF0"/>
    <w:multiLevelType w:val="hybridMultilevel"/>
    <w:lvl w:ilvl="0">
      <w:lvlJc w:val="left"/>
      <w:lvlText w:val="(%1)"/>
      <w:numFmt w:val="decimal"/>
      <w:start w:val="1"/>
    </w:lvl>
  </w:abstractNum>
  <w:abstractNum w:abstractNumId="24">
    <w:nsid w:val="4F97E3E4"/>
    <w:multiLevelType w:val="hybridMultilevel"/>
    <w:lvl w:ilvl="0">
      <w:lvlJc w:val="left"/>
      <w:lvlText w:val="(*)"/>
      <w:numFmt w:val="bullet"/>
      <w:start w:val="1"/>
    </w:lvl>
  </w:abstractNum>
  <w:abstractNum w:abstractNumId="25">
    <w:nsid w:val="53B0A9E"/>
    <w:multiLevelType w:val="hybridMultilevel"/>
    <w:lvl w:ilvl="0">
      <w:lvlJc w:val="left"/>
      <w:lvlText w:val="(%1)"/>
      <w:numFmt w:val="decimal"/>
      <w:start w:val="1"/>
    </w:lvl>
  </w:abstractNum>
  <w:abstractNum w:abstractNumId="26">
    <w:nsid w:val="34FD6B4F"/>
    <w:multiLevelType w:val="hybridMultilevel"/>
    <w:lvl w:ilvl="0">
      <w:lvlJc w:val="left"/>
      <w:lvlText w:val="(%1)"/>
      <w:numFmt w:val="lowerRoman"/>
      <w:start w:val="1"/>
    </w:lvl>
  </w:abstractNum>
  <w:abstractNum w:abstractNumId="27">
    <w:nsid w:val="5915FF32"/>
    <w:multiLevelType w:val="hybridMultilevel"/>
    <w:lvl w:ilvl="0">
      <w:lvlJc w:val="left"/>
      <w:lvlText w:val="(%1)"/>
      <w:numFmt w:val="decimal"/>
      <w:start w:val="1"/>
    </w:lvl>
  </w:abstractNum>
  <w:abstractNum w:abstractNumId="28">
    <w:nsid w:val="56438D15"/>
    <w:multiLevelType w:val="hybridMultilevel"/>
    <w:lvl w:ilvl="0">
      <w:lvlJc w:val="left"/>
      <w:lvlText w:val="-"/>
      <w:numFmt w:val="bullet"/>
      <w:start w:val="1"/>
    </w:lvl>
  </w:abstractNum>
  <w:abstractNum w:abstractNumId="29">
    <w:nsid w:val="519E3149"/>
    <w:multiLevelType w:val="hybridMultilevel"/>
    <w:lvl w:ilvl="0">
      <w:lvlJc w:val="left"/>
      <w:lvlText w:val="-"/>
      <w:numFmt w:val="bullet"/>
      <w:start w:val="1"/>
    </w:lvl>
  </w:abstractNum>
  <w:abstractNum w:abstractNumId="30">
    <w:nsid w:val="2C6E4AFD"/>
    <w:multiLevelType w:val="hybridMultilevel"/>
    <w:lvl w:ilvl="0">
      <w:lvlJc w:val="left"/>
      <w:lvlText w:val="-"/>
      <w:numFmt w:val="bullet"/>
      <w:start w:val="1"/>
    </w:lvl>
  </w:abstractNum>
  <w:abstractNum w:abstractNumId="31">
    <w:nsid w:val="17A1B582"/>
    <w:multiLevelType w:val="hybridMultilevel"/>
    <w:lvl w:ilvl="0">
      <w:lvlJc w:val="left"/>
      <w:lvlText w:val="-"/>
      <w:numFmt w:val="bullet"/>
      <w:start w:val="1"/>
    </w:lvl>
  </w:abstractNum>
  <w:abstractNum w:abstractNumId="32">
    <w:nsid w:val="4DF72E4E"/>
    <w:multiLevelType w:val="hybridMultilevel"/>
    <w:lvl w:ilvl="0">
      <w:lvlJc w:val="left"/>
      <w:lvlText w:val="(%1)"/>
      <w:numFmt w:val="decimal"/>
      <w:start w:val="1"/>
    </w:lvl>
  </w:abstractNum>
  <w:abstractNum w:abstractNumId="33">
    <w:nsid w:val="5046B5A9"/>
    <w:multiLevelType w:val="hybridMultilevel"/>
    <w:lvl w:ilvl="0">
      <w:lvlJc w:val="left"/>
      <w:lvlText w:val="-"/>
      <w:numFmt w:val="bullet"/>
      <w:start w:val="1"/>
    </w:lvl>
  </w:abstractNum>
  <w:abstractNum w:abstractNumId="34">
    <w:nsid w:val="5D888A08"/>
    <w:multiLevelType w:val="hybridMultilevel"/>
    <w:lvl w:ilvl="0">
      <w:lvlJc w:val="left"/>
      <w:lvlText w:val="-"/>
      <w:numFmt w:val="bullet"/>
      <w:start w:val="1"/>
    </w:lvl>
  </w:abstractNum>
  <w:abstractNum w:abstractNumId="35">
    <w:nsid w:val="2A082C70"/>
    <w:multiLevelType w:val="hybridMultilevel"/>
    <w:lvl w:ilvl="0">
      <w:lvlJc w:val="left"/>
      <w:lvlText w:val="-"/>
      <w:numFmt w:val="bullet"/>
      <w:start w:val="1"/>
    </w:lvl>
  </w:abstractNum>
  <w:abstractNum w:abstractNumId="36">
    <w:nsid w:val="5EC6AFD4"/>
    <w:multiLevelType w:val="hybridMultilevel"/>
    <w:lvl w:ilvl="0">
      <w:lvlJc w:val="left"/>
      <w:lvlText w:val="-"/>
      <w:numFmt w:val="bullet"/>
      <w:start w:val="1"/>
    </w:lvl>
  </w:abstractNum>
  <w:abstractNum w:abstractNumId="37">
    <w:nsid w:val="19E21BB2"/>
    <w:multiLevelType w:val="hybridMultilevel"/>
    <w:lvl w:ilvl="0">
      <w:lvlJc w:val="left"/>
      <w:lvlText w:val="%1."/>
      <w:numFmt w:val="decimal"/>
      <w:start w:val="1"/>
    </w:lvl>
  </w:abstractNum>
  <w:abstractNum w:abstractNumId="38">
    <w:nsid w:val="75E0858A"/>
    <w:multiLevelType w:val="hybridMultilevel"/>
    <w:lvl w:ilvl="0">
      <w:lvlJc w:val="left"/>
      <w:lvlText w:val="%1."/>
      <w:numFmt w:val="upperLetter"/>
      <w:start w:val="2"/>
    </w:lvl>
  </w:abstractNum>
  <w:abstractNum w:abstractNumId="39">
    <w:nsid w:val="57A61A29"/>
    <w:multiLevelType w:val="hybridMultilevel"/>
    <w:lvl w:ilvl="0">
      <w:lvlJc w:val="left"/>
      <w:lvlText w:val="(*)"/>
      <w:numFmt w:val="bullet"/>
      <w:start w:val="1"/>
    </w:lvl>
  </w:abstractNum>
  <w:abstractNum w:abstractNumId="40">
    <w:nsid w:val="5399C654"/>
    <w:multiLevelType w:val="hybridMultilevel"/>
    <w:lvl w:ilvl="0">
      <w:lvlJc w:val="left"/>
      <w:lvlText w:val="(*)"/>
      <w:numFmt w:val="bullet"/>
      <w:start w:val="1"/>
    </w:lvl>
  </w:abstractNum>
  <w:abstractNum w:abstractNumId="41">
    <w:nsid w:val="20EE1348"/>
    <w:multiLevelType w:val="hybridMultilevel"/>
    <w:lvl w:ilvl="0">
      <w:lvlJc w:val="left"/>
      <w:lvlText w:val="%1."/>
      <w:numFmt w:val="upperLetter"/>
      <w:start w:val="3"/>
    </w:lvl>
  </w:abstractNum>
  <w:abstractNum w:abstractNumId="42">
    <w:nsid w:val="4427069A"/>
    <w:multiLevelType w:val="hybridMultilevel"/>
    <w:lvl w:ilvl="0">
      <w:lvlJc w:val="left"/>
      <w:lvlText w:val="·"/>
      <w:numFmt w:val="bullet"/>
      <w:start w:val="1"/>
    </w:lvl>
  </w:abstractNum>
  <w:abstractNum w:abstractNumId="43">
    <w:nsid w:val="B37E80A"/>
    <w:multiLevelType w:val="hybridMultilevel"/>
    <w:lvl w:ilvl="0">
      <w:lvlJc w:val="left"/>
      <w:lvlText w:val="·"/>
      <w:numFmt w:val="bullet"/>
      <w:start w:val="1"/>
    </w:lvl>
  </w:abstractNum>
  <w:abstractNum w:abstractNumId="44">
    <w:nsid w:val="2157F6BC"/>
    <w:multiLevelType w:val="hybridMultilevel"/>
    <w:lvl w:ilvl="0">
      <w:lvlJc w:val="left"/>
      <w:lvlText w:val="%1."/>
      <w:numFmt w:val="upperLetter"/>
      <w:start w:val="5"/>
    </w:lvl>
  </w:abstractNum>
  <w:abstractNum w:abstractNumId="45">
    <w:nsid w:val="704E1DD5"/>
    <w:multiLevelType w:val="hybridMultilevel"/>
    <w:lvl w:ilvl="0">
      <w:lvlJc w:val="left"/>
      <w:lvlText w:val="%1."/>
      <w:numFmt w:val="upperLetter"/>
      <w:start w:val="6"/>
    </w:lvl>
  </w:abstractNum>
  <w:abstractNum w:abstractNumId="46">
    <w:nsid w:val="57D2F10E"/>
    <w:multiLevelType w:val="hybridMultilevel"/>
    <w:lvl w:ilvl="0">
      <w:lvlJc w:val="left"/>
      <w:lvlText w:val="(%1)"/>
      <w:numFmt w:val="decimal"/>
      <w:start w:val="1"/>
    </w:lvl>
  </w:abstractNum>
  <w:abstractNum w:abstractNumId="47">
    <w:nsid w:val="BFFAE18"/>
    <w:multiLevelType w:val="hybridMultilevel"/>
    <w:lvl w:ilvl="0">
      <w:lvlJc w:val="left"/>
      <w:lvlText w:val="(%1)"/>
      <w:numFmt w:val="decimal"/>
      <w:start w:val="4"/>
    </w:lvl>
  </w:abstractNum>
  <w:abstractNum w:abstractNumId="48">
    <w:nsid w:val="E3E47A8"/>
    <w:multiLevelType w:val="hybridMultilevel"/>
    <w:lvl w:ilvl="0">
      <w:lvlJc w:val="left"/>
      <w:lvlText w:val="%1."/>
      <w:numFmt w:val="upperLetter"/>
      <w:start w:val="1"/>
    </w:lvl>
  </w:abstractNum>
  <w:abstractNum w:abstractNumId="49">
    <w:nsid w:val="2E48F044"/>
    <w:multiLevelType w:val="hybridMultilevel"/>
    <w:lvl w:ilvl="0">
      <w:lvlJc w:val="left"/>
      <w:lvlText w:val="(%1)"/>
      <w:numFmt w:val="decimal"/>
      <w:start w:val="1"/>
    </w:lvl>
  </w:abstractNum>
  <w:abstractNum w:abstractNumId="50">
    <w:nsid w:val="49D0FEAC"/>
    <w:multiLevelType w:val="hybridMultilevel"/>
    <w:lvl w:ilvl="0">
      <w:lvlJc w:val="left"/>
      <w:lvlText w:val="%1."/>
      <w:numFmt w:val="upperLetter"/>
      <w:start w:val="2"/>
    </w:lvl>
  </w:abstractNum>
  <w:abstractNum w:abstractNumId="51">
    <w:nsid w:val="4BEE5A5B"/>
    <w:multiLevelType w:val="hybridMultilevel"/>
    <w:lvl w:ilvl="0">
      <w:lvlJc w:val="left"/>
      <w:lvlText w:val="*"/>
      <w:numFmt w:val="bullet"/>
      <w:start w:val="1"/>
    </w:lvl>
  </w:abstractNum>
  <w:abstractNum w:abstractNumId="52">
    <w:nsid w:val="5551B9F3"/>
    <w:multiLevelType w:val="hybridMultilevel"/>
    <w:lvl w:ilvl="0">
      <w:lvlJc w:val="left"/>
      <w:lvlText w:val="(%1)"/>
      <w:numFmt w:val="decimal"/>
      <w:start w:val="1"/>
    </w:lvl>
  </w:abstractNum>
  <w:abstractNum w:abstractNumId="53">
    <w:nsid w:val="24F6AB8E"/>
    <w:multiLevelType w:val="hybridMultilevel"/>
    <w:lvl w:ilvl="0">
      <w:lvlJc w:val="left"/>
      <w:lvlText w:val="*"/>
      <w:numFmt w:val="bullet"/>
      <w:start w:val="1"/>
    </w:lvl>
  </w:abstractNum>
  <w:abstractNum w:abstractNumId="54">
    <w:nsid w:val="634C574C"/>
    <w:multiLevelType w:val="hybridMultilevel"/>
    <w:lvl w:ilvl="0">
      <w:lvlJc w:val="left"/>
      <w:lvlText w:val="(%1)"/>
      <w:numFmt w:val="decimal"/>
      <w:start w:val="1"/>
    </w:lvl>
  </w:abstractNum>
  <w:abstractNum w:abstractNumId="55">
    <w:nsid w:val="24E99DD7"/>
    <w:multiLevelType w:val="hybridMultilevel"/>
    <w:lvl w:ilvl="0">
      <w:lvlJc w:val="left"/>
      <w:lvlText w:val="%1."/>
      <w:numFmt w:val="upperLetter"/>
      <w:start w:val="3"/>
    </w:lvl>
  </w:abstractNum>
  <w:abstractNum w:abstractNumId="56">
    <w:nsid w:val="2A31B62D"/>
    <w:multiLevelType w:val="hybridMultilevel"/>
    <w:lvl w:ilvl="0">
      <w:lvlJc w:val="left"/>
      <w:lvlText w:val="%1."/>
      <w:numFmt w:val="upperLetter"/>
      <w:start w:val="4"/>
    </w:lvl>
  </w:abstractNum>
  <w:abstractNum w:abstractNumId="57">
    <w:nsid w:val="1849C29B"/>
    <w:multiLevelType w:val="hybridMultilevel"/>
    <w:lvl w:ilvl="0">
      <w:lvlJc w:val="left"/>
      <w:lvlText w:val="(%1)"/>
      <w:numFmt w:val="decimal"/>
      <w:start w:val="1"/>
    </w:lvl>
  </w:abstractNum>
  <w:abstractNum w:abstractNumId="58">
    <w:nsid w:val="7DFF9D09"/>
    <w:multiLevelType w:val="hybridMultilevel"/>
    <w:lvl w:ilvl="0">
      <w:lvlJc w:val="left"/>
      <w:lvlText w:val="%1."/>
      <w:numFmt w:val="upperLetter"/>
      <w:start w:val="5"/>
    </w:lvl>
  </w:abstractNum>
  <w:abstractNum w:abstractNumId="59">
    <w:nsid w:val="754342"/>
    <w:multiLevelType w:val="hybridMultilevel"/>
    <w:lvl w:ilvl="0">
      <w:lvlJc w:val="left"/>
      <w:lvlText w:val="%1."/>
      <w:numFmt w:val="upperLetter"/>
      <w:start w:val="1"/>
    </w:lvl>
  </w:abstractNum>
  <w:abstractNum w:abstractNumId="60">
    <w:nsid w:val="69E7F3E5"/>
    <w:multiLevelType w:val="hybridMultilevel"/>
    <w:lvl w:ilvl="0">
      <w:lvlJc w:val="left"/>
      <w:lvlText w:val="(%1)"/>
      <w:numFmt w:val="decimal"/>
      <w:start w:val="1"/>
    </w:lvl>
  </w:abstractNum>
  <w:abstractNum w:abstractNumId="61">
    <w:nsid w:val="2A6DE806"/>
    <w:multiLevelType w:val="hybridMultilevel"/>
    <w:lvl w:ilvl="0">
      <w:lvlJc w:val="left"/>
      <w:lvlText w:val="·"/>
      <w:numFmt w:val="bullet"/>
      <w:start w:val="1"/>
    </w:lvl>
  </w:abstractNum>
  <w:abstractNum w:abstractNumId="62">
    <w:nsid w:val="1816F8C4"/>
    <w:multiLevelType w:val="hybridMultilevel"/>
    <w:lvl w:ilvl="0">
      <w:lvlJc w:val="left"/>
      <w:lvlText w:val="·"/>
      <w:numFmt w:val="bullet"/>
      <w:start w:val="1"/>
    </w:lvl>
  </w:abstractNum>
  <w:abstractNum w:abstractNumId="63">
    <w:nsid w:val="37DF2233"/>
    <w:multiLevelType w:val="hybridMultilevel"/>
    <w:lvl w:ilvl="0">
      <w:lvlJc w:val="left"/>
      <w:lvlText w:val="%1."/>
      <w:numFmt w:val="upperLetter"/>
      <w:start w:val="2"/>
    </w:lvl>
  </w:abstractNum>
  <w:abstractNum w:abstractNumId="64">
    <w:nsid w:val="7AB49DAF"/>
    <w:multiLevelType w:val="hybridMultilevel"/>
    <w:lvl w:ilvl="0">
      <w:lvlJc w:val="left"/>
      <w:lvlText w:val="%1)"/>
      <w:numFmt w:val="lowerRoman"/>
      <w:start w:val="1"/>
    </w:lvl>
  </w:abstractNum>
  <w:abstractNum w:abstractNumId="65">
    <w:nsid w:val="759F82CD"/>
    <w:multiLevelType w:val="hybridMultilevel"/>
    <w:lvl w:ilvl="0">
      <w:lvlJc w:val="left"/>
      <w:lvlText w:val="%1."/>
      <w:numFmt w:val="upperLetter"/>
      <w:start w:val="3"/>
    </w:lvl>
  </w:abstractNum>
  <w:abstractNum w:abstractNumId="66">
    <w:nsid w:val="61E74EA3"/>
    <w:multiLevelType w:val="hybridMultilevel"/>
    <w:lvl w:ilvl="0">
      <w:lvlJc w:val="left"/>
      <w:lvlText w:val="%1."/>
      <w:numFmt w:val="upperLetter"/>
      <w:start w:val="1"/>
    </w:lvl>
  </w:abstractNum>
  <w:abstractNum w:abstractNumId="67">
    <w:nsid w:val="597B4D84"/>
    <w:multiLevelType w:val="hybridMultilevel"/>
    <w:lvl w:ilvl="0">
      <w:lvlJc w:val="left"/>
      <w:lvlText w:val="%1."/>
      <w:numFmt w:val="upperLetter"/>
      <w:start w:val="2"/>
    </w:lvl>
  </w:abstractNum>
  <w:abstractNum w:abstractNumId="68">
    <w:nsid w:val="F819E7F"/>
    <w:multiLevelType w:val="hybridMultilevel"/>
    <w:lvl w:ilvl="0">
      <w:lvlJc w:val="left"/>
      <w:lvlText w:val="%1."/>
      <w:numFmt w:val="upperLetter"/>
      <w:start w:val="1"/>
    </w:lvl>
  </w:abstractNum>
  <w:abstractNum w:abstractNumId="69">
    <w:nsid w:val="57C7D42D"/>
    <w:multiLevelType w:val="hybridMultilevel"/>
    <w:lvl w:ilvl="0">
      <w:lvlJc w:val="left"/>
      <w:lvlText w:val="%1."/>
      <w:numFmt w:val="upperLetter"/>
      <w:start w:val="4"/>
    </w:lvl>
  </w:abstractNum>
  <w:abstractNum w:abstractNumId="70">
    <w:nsid w:val="312167AD"/>
    <w:multiLevelType w:val="hybridMultilevel"/>
    <w:lvl w:ilvl="0">
      <w:lvlJc w:val="left"/>
      <w:lvlText w:val="%1."/>
      <w:numFmt w:val="upperLetter"/>
      <w:start w:val="6"/>
    </w:lvl>
  </w:abstractNum>
  <w:abstractNum w:abstractNumId="71">
    <w:nsid w:val="631B64D4"/>
    <w:multiLevelType w:val="hybridMultilevel"/>
    <w:lvl w:ilvl="0">
      <w:lvlJc w:val="left"/>
      <w:lvlText w:val="%1."/>
      <w:numFmt w:val="upperLetter"/>
      <w:start w:val="1"/>
    </w:lvl>
  </w:abstractNum>
  <w:abstractNum w:abstractNumId="72">
    <w:nsid w:val="78B5E776"/>
    <w:multiLevelType w:val="hybridMultilevel"/>
    <w:lvl w:ilvl="0">
      <w:lvlJc w:val="left"/>
      <w:lvlText w:val="·"/>
      <w:numFmt w:val="bullet"/>
      <w:start w:val="1"/>
    </w:lvl>
  </w:abstractNum>
  <w:abstractNum w:abstractNumId="73">
    <w:nsid w:val="75486E47"/>
    <w:multiLevelType w:val="hybridMultilevel"/>
    <w:lvl w:ilvl="0">
      <w:lvlJc w:val="left"/>
      <w:lvlText w:val="·"/>
      <w:numFmt w:val="bullet"/>
      <w:start w:val="1"/>
    </w:lvl>
  </w:abstractNum>
  <w:abstractNum w:abstractNumId="74">
    <w:nsid w:val="6E534CDE"/>
    <w:multiLevelType w:val="hybridMultilevel"/>
    <w:lvl w:ilvl="0">
      <w:lvlJc w:val="left"/>
      <w:lvlText w:val="·"/>
      <w:numFmt w:val="bullet"/>
      <w:start w:val="1"/>
    </w:lvl>
  </w:abstractNum>
  <w:abstractNum w:abstractNumId="75">
    <w:nsid w:val="1A0DDE32"/>
    <w:multiLevelType w:val="hybridMultilevel"/>
    <w:lvl w:ilvl="0">
      <w:lvlJc w:val="left"/>
      <w:lvlText w:val="%1."/>
      <w:numFmt w:val="upperLetter"/>
      <w:start w:val="3"/>
    </w:lvl>
  </w:abstractNum>
  <w:abstractNum w:abstractNumId="76">
    <w:nsid w:val="65968C1C"/>
    <w:multiLevelType w:val="hybridMultilevel"/>
    <w:lvl w:ilvl="0">
      <w:lvlJc w:val="left"/>
      <w:lvlText w:val="%1."/>
      <w:numFmt w:val="upperLetter"/>
      <w:start w:val="4"/>
    </w:lvl>
  </w:abstractNum>
  <w:abstractNum w:abstractNumId="77">
    <w:nsid w:val="46263DEC"/>
    <w:multiLevelType w:val="hybridMultilevel"/>
    <w:lvl w:ilvl="0">
      <w:lvlJc w:val="left"/>
      <w:lvlText w:val="%1."/>
      <w:numFmt w:val="upperLetter"/>
      <w:start w:val="5"/>
    </w:lvl>
  </w:abstractNum>
  <w:abstractNum w:abstractNumId="78">
    <w:nsid w:val="260D8C4A"/>
    <w:multiLevelType w:val="hybridMultilevel"/>
    <w:lvl w:ilvl="0">
      <w:lvlJc w:val="left"/>
      <w:lvlText w:val="(%1)"/>
      <w:numFmt w:val="decimal"/>
      <w:start w:val="1"/>
    </w:lvl>
  </w:abstractNum>
  <w:abstractNum w:abstractNumId="79">
    <w:nsid w:val="73D4D3C4"/>
    <w:multiLevelType w:val="hybridMultilevel"/>
    <w:lvl w:ilvl="0">
      <w:lvlJc w:val="left"/>
      <w:lvlText w:val="(%1)"/>
      <w:numFmt w:val="decimal"/>
      <w:start w:val="3"/>
    </w:lvl>
  </w:abstractNum>
  <w:abstractNum w:abstractNumId="80">
    <w:nsid w:val="746F2E30"/>
    <w:multiLevelType w:val="hybridMultilevel"/>
    <w:lvl w:ilvl="0">
      <w:lvlJc w:val="left"/>
      <w:lvlText w:val="%1."/>
      <w:numFmt w:val="upperLetter"/>
      <w:start w:val="6"/>
    </w:lvl>
  </w:abstractNum>
  <w:abstractNum w:abstractNumId="81">
    <w:nsid w:val="6FDE8AF6"/>
    <w:multiLevelType w:val="hybridMultilevel"/>
    <w:lvl w:ilvl="0">
      <w:lvlJc w:val="left"/>
      <w:lvlText w:val="%1."/>
      <w:numFmt w:val="upperLetter"/>
      <w:start w:val="9"/>
    </w:lvl>
  </w:abstractNum>
  <w:abstractNum w:abstractNumId="82">
    <w:nsid w:val="3FC32E20"/>
    <w:multiLevelType w:val="hybridMultilevel"/>
    <w:lvl w:ilvl="0">
      <w:lvlJc w:val="left"/>
      <w:lvlText w:val="(%1)"/>
      <w:numFmt w:val="decimal"/>
      <w:start w:val="1"/>
    </w:lvl>
  </w:abstractNum>
  <w:abstractNum w:abstractNumId="83">
    <w:nsid w:val="49C0E823"/>
    <w:multiLevelType w:val="hybridMultilevel"/>
    <w:lvl w:ilvl="0">
      <w:lvlJc w:val="left"/>
      <w:lvlText w:val="(%1)"/>
      <w:numFmt w:val="decimal"/>
      <w:start w:val="1"/>
    </w:lvl>
  </w:abstractNum>
  <w:abstractNum w:abstractNumId="84">
    <w:nsid w:val="14D53685"/>
    <w:multiLevelType w:val="hybridMultilevel"/>
    <w:lvl w:ilvl="0">
      <w:lvlJc w:val="left"/>
      <w:lvlText w:val="(%1)"/>
      <w:numFmt w:val="decimal"/>
      <w:start w:val="1"/>
    </w:lvl>
  </w:abstractNum>
  <w:abstractNum w:abstractNumId="85">
    <w:nsid w:val="230F856C"/>
    <w:multiLevelType w:val="hybridMultilevel"/>
    <w:lvl w:ilvl="0">
      <w:lvlJc w:val="left"/>
      <w:lvlText w:val="(%1)"/>
      <w:numFmt w:val="decimal"/>
      <w:start w:val="1"/>
    </w:lvl>
  </w:abstractNum>
  <w:abstractNum w:abstractNumId="86">
    <w:nsid w:val="6EAA85FB"/>
    <w:multiLevelType w:val="hybridMultilevel"/>
    <w:lvl w:ilvl="0">
      <w:lvlJc w:val="left"/>
      <w:lvlText w:val="·"/>
      <w:numFmt w:val="bullet"/>
      <w:start w:val="1"/>
    </w:lvl>
  </w:abstractNum>
  <w:abstractNum w:abstractNumId="87">
    <w:nsid w:val="3F06ECB2"/>
    <w:multiLevelType w:val="hybridMultilevel"/>
    <w:lvl w:ilvl="0">
      <w:lvlJc w:val="left"/>
      <w:lvlText w:val="%1."/>
      <w:numFmt w:val="decimal"/>
      <w:start w:val="1"/>
    </w:lvl>
    <w:lvl w:ilvl="1">
      <w:lvlJc w:val="left"/>
      <w:lvlText w:val="-"/>
      <w:numFmt w:val="bullet"/>
      <w:start w:val="1"/>
    </w:lvl>
  </w:abstractNum>
  <w:abstractNum w:abstractNumId="88">
    <w:nsid w:val="3B594807"/>
    <w:multiLevelType w:val="hybridMultilevel"/>
    <w:lvl w:ilvl="0">
      <w:lvlJc w:val="left"/>
      <w:lvlText w:val="%1."/>
      <w:numFmt w:val="decimal"/>
      <w:start w:val="2"/>
    </w:lvl>
  </w:abstractNum>
  <w:abstractNum w:abstractNumId="89">
    <w:nsid w:val="6CAA2304"/>
    <w:multiLevelType w:val="hybridMultilevel"/>
    <w:lvl w:ilvl="0">
      <w:lvlJc w:val="left"/>
      <w:lvlText w:val="-"/>
      <w:numFmt w:val="bullet"/>
      <w:start w:val="1"/>
    </w:lvl>
  </w:abstractNum>
  <w:abstractNum w:abstractNumId="90">
    <w:nsid w:val="3F7C2FF4"/>
    <w:multiLevelType w:val="hybridMultilevel"/>
    <w:lvl w:ilvl="0">
      <w:lvlJc w:val="left"/>
      <w:lvlText w:val="%1."/>
      <w:numFmt w:val="decimal"/>
      <w:start w:val="2"/>
    </w:lvl>
    <w:lvl w:ilvl="1">
      <w:lvlJc w:val="left"/>
      <w:lvlText w:val="-"/>
      <w:numFmt w:val="bullet"/>
      <w:start w:val="1"/>
    </w:lvl>
  </w:abstractNum>
  <w:abstractNum w:abstractNumId="91">
    <w:nsid w:val="25413BEC"/>
    <w:multiLevelType w:val="hybridMultilevel"/>
    <w:lvl w:ilvl="0">
      <w:lvlJc w:val="left"/>
      <w:lvlText w:val="%1."/>
      <w:numFmt w:val="decimal"/>
      <w:start w:val="3"/>
    </w:lvl>
    <w:lvl w:ilvl="1">
      <w:lvlJc w:val="left"/>
      <w:lvlText w:val="-"/>
      <w:numFmt w:val="bullet"/>
      <w:start w:val="1"/>
    </w:lvl>
  </w:abstractNum>
  <w:abstractNum w:abstractNumId="92">
    <w:nsid w:val="17180B0B"/>
    <w:multiLevelType w:val="hybridMultilevel"/>
    <w:lvl w:ilvl="0">
      <w:lvlJc w:val="left"/>
      <w:lvlText w:val="%1."/>
      <w:numFmt w:val="decimal"/>
      <w:start w:val="3"/>
    </w:lvl>
  </w:abstractNum>
  <w:abstractNum w:abstractNumId="93">
    <w:nsid w:val="579328B9"/>
    <w:multiLevelType w:val="hybridMultilevel"/>
    <w:lvl w:ilvl="0">
      <w:lvlJc w:val="left"/>
      <w:lvlText w:val="%1."/>
      <w:numFmt w:val="decimal"/>
      <w:start w:val="3"/>
    </w:lvl>
  </w:abstractNum>
  <w:abstractNum w:abstractNumId="94">
    <w:nsid w:val="5D205E20"/>
    <w:multiLevelType w:val="hybridMultilevel"/>
    <w:lvl w:ilvl="0">
      <w:lvlJc w:val="left"/>
      <w:lvlText w:val="%1."/>
      <w:numFmt w:val="decimal"/>
      <w:start w:val="3"/>
    </w:lvl>
  </w:abstractNum>
  <w:abstractNum w:abstractNumId="95">
    <w:nsid w:val="11CCA8BA"/>
    <w:multiLevelType w:val="hybridMultilevel"/>
    <w:lvl w:ilvl="0">
      <w:lvlJc w:val="left"/>
      <w:lvlText w:val="%1."/>
      <w:numFmt w:val="decimal"/>
      <w:start w:val="3"/>
    </w:lvl>
    <w:lvl w:ilvl="1">
      <w:lvlJc w:val="left"/>
      <w:lvlText w:val="-"/>
      <w:numFmt w:val="bullet"/>
      <w:start w:val="1"/>
    </w:lvl>
  </w:abstractNum>
  <w:abstractNum w:abstractNumId="96">
    <w:nsid w:val="4D32AB86"/>
    <w:multiLevelType w:val="hybridMultilevel"/>
    <w:lvl w:ilvl="0">
      <w:lvlJc w:val="left"/>
      <w:lvlText w:val="%1."/>
      <w:numFmt w:val="decimal"/>
      <w:start w:val="3"/>
    </w:lvl>
    <w:lvl w:ilvl="1">
      <w:lvlJc w:val="left"/>
      <w:lvlText w:val="-"/>
      <w:numFmt w:val="bullet"/>
      <w:start w:val="1"/>
    </w:lvl>
  </w:abstractNum>
  <w:abstractNum w:abstractNumId="97">
    <w:nsid w:val="3F07ACC3"/>
    <w:multiLevelType w:val="hybridMultilevel"/>
    <w:lvl w:ilvl="0">
      <w:lvlJc w:val="left"/>
      <w:lvlText w:val="%1."/>
      <w:numFmt w:val="decimal"/>
      <w:start w:val="3"/>
    </w:lvl>
    <w:lvl w:ilvl="1">
      <w:lvlJc w:val="left"/>
      <w:lvlText w:val="-"/>
      <w:numFmt w:val="bullet"/>
      <w:start w:val="1"/>
    </w:lvl>
  </w:abstractNum>
  <w:abstractNum w:abstractNumId="98">
    <w:nsid w:val="6B47F63E"/>
    <w:multiLevelType w:val="hybridMultilevel"/>
    <w:lvl w:ilvl="0">
      <w:lvlJc w:val="left"/>
      <w:lvlText w:val="-"/>
      <w:numFmt w:val="bullet"/>
      <w:start w:val="1"/>
    </w:lvl>
  </w:abstractNum>
  <w:abstractNum w:abstractNumId="99">
    <w:nsid w:val="5CB44A05"/>
    <w:multiLevelType w:val="hybridMultilevel"/>
    <w:lvl w:ilvl="0">
      <w:lvlJc w:val="left"/>
      <w:lvlText w:val="-"/>
      <w:numFmt w:val="bullet"/>
      <w:start w:val="1"/>
    </w:lvl>
  </w:abstractNum>
  <w:abstractNum w:abstractNumId="100">
    <w:nsid w:val="16CF80F1"/>
    <w:multiLevelType w:val="hybridMultilevel"/>
    <w:lvl w:ilvl="0">
      <w:lvlJc w:val="left"/>
      <w:lvlText w:val="%1."/>
      <w:numFmt w:val="decimal"/>
      <w:start w:val="3"/>
    </w:lvl>
    <w:lvl w:ilvl="1">
      <w:lvlJc w:val="left"/>
      <w:lvlText w:val="-"/>
      <w:numFmt w:val="bullet"/>
      <w:start w:val="1"/>
    </w:lvl>
  </w:abstractNum>
  <w:abstractNum w:abstractNumId="101">
    <w:nsid w:val="1C695DEC"/>
    <w:multiLevelType w:val="hybridMultilevel"/>
    <w:lvl w:ilvl="0">
      <w:lvlJc w:val="left"/>
      <w:lvlText w:val="%1."/>
      <w:numFmt w:val="decimal"/>
      <w:start w:val="3"/>
    </w:lvl>
    <w:lvl w:ilvl="1">
      <w:lvlJc w:val="left"/>
      <w:lvlText w:val="-"/>
      <w:numFmt w:val="bullet"/>
      <w:start w:val="1"/>
    </w:lvl>
  </w:abstractNum>
  <w:abstractNum w:abstractNumId="102">
    <w:nsid w:val="3FCFAED9"/>
    <w:multiLevelType w:val="hybridMultilevel"/>
    <w:lvl w:ilvl="0">
      <w:lvlJc w:val="left"/>
      <w:lvlText w:val="%1."/>
      <w:numFmt w:val="decimal"/>
      <w:start w:val="3"/>
    </w:lvl>
    <w:lvl w:ilvl="1">
      <w:lvlJc w:val="left"/>
      <w:lvlText w:val="-"/>
      <w:numFmt w:val="bullet"/>
      <w:start w:val="1"/>
    </w:lvl>
  </w:abstractNum>
  <w:abstractNum w:abstractNumId="103">
    <w:nsid w:val="F856867"/>
    <w:multiLevelType w:val="hybridMultilevel"/>
    <w:lvl w:ilvl="0">
      <w:lvlJc w:val="left"/>
      <w:lvlText w:val="-"/>
      <w:numFmt w:val="bullet"/>
      <w:start w:val="1"/>
    </w:lvl>
  </w:abstractNum>
  <w:abstractNum w:abstractNumId="104">
    <w:nsid w:val="11B1CC33"/>
    <w:multiLevelType w:val="hybridMultilevel"/>
    <w:lvl w:ilvl="0">
      <w:lvlJc w:val="left"/>
      <w:lvlText w:val="%1."/>
      <w:numFmt w:val="decimal"/>
      <w:start w:val="3"/>
    </w:lvl>
  </w:abstractNum>
  <w:abstractNum w:abstractNumId="105">
    <w:nsid w:val="2E22FBB7"/>
    <w:multiLevelType w:val="hybridMultilevel"/>
    <w:lvl w:ilvl="0">
      <w:lvlJc w:val="left"/>
      <w:lvlText w:val="%1."/>
      <w:numFmt w:val="decimal"/>
      <w:start w:val="3"/>
    </w:lvl>
  </w:abstractNum>
  <w:abstractNum w:abstractNumId="106">
    <w:nsid w:val="29934699"/>
    <w:multiLevelType w:val="hybridMultilevel"/>
    <w:lvl w:ilvl="0">
      <w:lvlJc w:val="left"/>
      <w:lvlText w:val="(%1)"/>
      <w:numFmt w:val="decimal"/>
      <w:start w:val="1"/>
    </w:lvl>
  </w:abstractNum>
  <w:abstractNum w:abstractNumId="107">
    <w:nsid w:val="77485850"/>
    <w:multiLevelType w:val="hybridMultilevel"/>
    <w:lvl w:ilvl="0">
      <w:lvlJc w:val="left"/>
      <w:lvlText w:val="-"/>
      <w:numFmt w:val="bullet"/>
      <w:start w:val="1"/>
    </w:lvl>
  </w:abstractNum>
  <w:abstractNum w:abstractNumId="108">
    <w:nsid w:val="744939A3"/>
    <w:multiLevelType w:val="hybridMultilevel"/>
    <w:lvl w:ilvl="0">
      <w:lvlJc w:val="left"/>
      <w:lvlText w:val="%1."/>
      <w:numFmt w:val="decimal"/>
      <w:start w:val="3"/>
    </w:lvl>
    <w:lvl w:ilvl="1">
      <w:lvlJc w:val="left"/>
      <w:lvlText w:val="-"/>
      <w:numFmt w:val="bullet"/>
      <w:start w:val="1"/>
    </w:lvl>
  </w:abstractNum>
  <w:abstractNum w:abstractNumId="109">
    <w:nsid w:val="4FA0D2E3"/>
    <w:multiLevelType w:val="hybridMultilevel"/>
    <w:lvl w:ilvl="0">
      <w:lvlJc w:val="left"/>
      <w:lvlText w:val="%1."/>
      <w:numFmt w:val="decimal"/>
      <w:start w:val="3"/>
    </w:lvl>
    <w:lvl w:ilvl="1">
      <w:lvlJc w:val="left"/>
      <w:lvlText w:val="-"/>
      <w:numFmt w:val="bullet"/>
      <w:start w:val="1"/>
    </w:lvl>
  </w:abstractNum>
  <w:abstractNum w:abstractNumId="110">
    <w:nsid w:val="6B1D2C14"/>
    <w:multiLevelType w:val="hybridMultilevel"/>
    <w:lvl w:ilvl="0">
      <w:lvlJc w:val="left"/>
      <w:lvlText w:val="-"/>
      <w:numFmt w:val="bullet"/>
      <w:start w:val="1"/>
    </w:lvl>
  </w:abstractNum>
  <w:abstractNum w:abstractNumId="111">
    <w:nsid w:val="68B867D3"/>
    <w:multiLevelType w:val="hybridMultilevel"/>
    <w:lvl w:ilvl="0">
      <w:lvlJc w:val="left"/>
      <w:lvlText w:val="%1."/>
      <w:numFmt w:val="decimal"/>
      <w:start w:val="3"/>
    </w:lvl>
    <w:lvl w:ilvl="1">
      <w:lvlJc w:val="left"/>
      <w:lvlText w:val="-"/>
      <w:numFmt w:val="bullet"/>
      <w:start w:val="1"/>
    </w:lvl>
  </w:abstractNum>
  <w:abstractNum w:abstractNumId="112">
    <w:nsid w:val="3F7F5DD9"/>
    <w:multiLevelType w:val="hybridMultilevel"/>
    <w:lvl w:ilvl="0">
      <w:lvlJc w:val="left"/>
      <w:lvlText w:val="-"/>
      <w:numFmt w:val="bullet"/>
      <w:start w:val="1"/>
    </w:lvl>
  </w:abstractNum>
  <w:abstractNum w:abstractNumId="113">
    <w:nsid w:val="2AE05A34"/>
    <w:multiLevelType w:val="hybridMultilevel"/>
    <w:lvl w:ilvl="0">
      <w:lvlJc w:val="left"/>
      <w:lvlText w:val="%1."/>
      <w:numFmt w:val="decimal"/>
      <w:start w:val="3"/>
    </w:lvl>
  </w:abstractNum>
  <w:abstractNum w:abstractNumId="114">
    <w:nsid w:val="32794FF7"/>
    <w:multiLevelType w:val="hybridMultilevel"/>
    <w:lvl w:ilvl="0">
      <w:lvlJc w:val="left"/>
      <w:lvlText w:val="%1."/>
      <w:numFmt w:val="decimal"/>
      <w:start w:val="3"/>
    </w:lvl>
    <w:lvl w:ilvl="1">
      <w:lvlJc w:val="left"/>
      <w:lvlText w:val="%2."/>
      <w:numFmt w:val="decimal"/>
      <w:start w:val="1"/>
    </w:lvl>
  </w:abstractNum>
  <w:abstractNum w:abstractNumId="115">
    <w:nsid w:val="5454945E"/>
    <w:multiLevelType w:val="hybridMultilevel"/>
    <w:lvl w:ilvl="0">
      <w:lvlJc w:val="left"/>
      <w:lvlText w:val="%1."/>
      <w:numFmt w:val="decimal"/>
      <w:start w:val="3"/>
    </w:lvl>
  </w:abstractNum>
  <w:abstractNum w:abstractNumId="116">
    <w:nsid w:val="4DEFDFA0"/>
    <w:multiLevelType w:val="hybridMultilevel"/>
    <w:lvl w:ilvl="0">
      <w:lvlJc w:val="left"/>
      <w:lvlText w:val="%1."/>
      <w:numFmt w:val="decimal"/>
      <w:start w:val="3"/>
    </w:lvl>
  </w:abstractNum>
  <w:abstractNum w:abstractNumId="117">
    <w:nsid w:val="2123D5F2"/>
    <w:multiLevelType w:val="hybridMultilevel"/>
    <w:lvl w:ilvl="0">
      <w:lvlJc w:val="left"/>
      <w:lvlText w:val="%1."/>
      <w:numFmt w:val="decimal"/>
      <w:start w:val="3"/>
    </w:lvl>
  </w:abstractNum>
  <w:abstractNum w:abstractNumId="118">
    <w:nsid w:val="135B8110"/>
    <w:multiLevelType w:val="hybridMultilevel"/>
    <w:lvl w:ilvl="0">
      <w:lvlJc w:val="left"/>
      <w:lvlText w:val="%1."/>
      <w:numFmt w:val="decimal"/>
      <w:start w:val="3"/>
    </w:lvl>
  </w:abstractNum>
  <w:abstractNum w:abstractNumId="119">
    <w:nsid w:val="94927A8"/>
    <w:multiLevelType w:val="hybridMultilevel"/>
    <w:lvl w:ilvl="0">
      <w:lvlJc w:val="left"/>
      <w:lvlText w:val="-"/>
      <w:numFmt w:val="bullet"/>
      <w:start w:val="1"/>
    </w:lvl>
  </w:abstractNum>
  <w:abstractNum w:abstractNumId="120">
    <w:nsid w:val="DCDF8F6"/>
    <w:multiLevelType w:val="hybridMultilevel"/>
    <w:lvl w:ilvl="0">
      <w:lvlJc w:val="left"/>
      <w:lvlText w:val="-"/>
      <w:numFmt w:val="bullet"/>
      <w:start w:val="1"/>
    </w:lvl>
  </w:abstractNum>
  <w:abstractNum w:abstractNumId="121">
    <w:nsid w:val="52D7B105"/>
    <w:multiLevelType w:val="hybridMultilevel"/>
    <w:lvl w:ilvl="0">
      <w:lvlJc w:val="left"/>
      <w:lvlText w:val="%1."/>
      <w:numFmt w:val="decimal"/>
      <w:start w:val="3"/>
    </w:lvl>
  </w:abstractNum>
  <w:abstractNum w:abstractNumId="122">
    <w:nsid w:val="2E8A6394"/>
    <w:multiLevelType w:val="hybridMultilevel"/>
    <w:lvl w:ilvl="0">
      <w:lvlJc w:val="left"/>
      <w:lvlText w:val="%1."/>
      <w:numFmt w:val="decimal"/>
      <w:start w:val="3"/>
    </w:lvl>
  </w:abstractNum>
  <w:abstractNum w:abstractNumId="123">
    <w:nsid w:val="24E60401"/>
    <w:multiLevelType w:val="hybridMultilevel"/>
    <w:lvl w:ilvl="0">
      <w:lvlJc w:val="left"/>
      <w:lvlText w:val="%1."/>
      <w:numFmt w:val="decimal"/>
      <w:start w:val="3"/>
    </w:lvl>
  </w:abstractNum>
  <w:abstractNum w:abstractNumId="124">
    <w:nsid w:val="2A6AD9BE"/>
    <w:multiLevelType w:val="hybridMultilevel"/>
    <w:lvl w:ilvl="0">
      <w:lvlJc w:val="left"/>
      <w:lvlText w:val="%1."/>
      <w:numFmt w:val="decimal"/>
      <w:start w:val="3"/>
    </w:lvl>
  </w:abstractNum>
  <w:abstractNum w:abstractNumId="125">
    <w:nsid w:val="BAAC1B4"/>
    <w:multiLevelType w:val="hybridMultilevel"/>
    <w:lvl w:ilvl="0">
      <w:lvlJc w:val="left"/>
      <w:lvlText w:val="(%1)"/>
      <w:numFmt w:val="decimal"/>
      <w:start w:val="1"/>
    </w:lvl>
  </w:abstractNum>
  <w:abstractNum w:abstractNumId="126">
    <w:nsid w:val="36B2ACBC"/>
    <w:multiLevelType w:val="hybridMultilevel"/>
    <w:lvl w:ilvl="0">
      <w:lvlJc w:val="left"/>
      <w:lvlText w:val="%1."/>
      <w:numFmt w:val="decimal"/>
      <w:start w:val="5"/>
    </w:lvl>
  </w:abstractNum>
  <w:abstractNum w:abstractNumId="127">
    <w:nsid w:val="779D8544"/>
    <w:multiLevelType w:val="hybridMultilevel"/>
    <w:lvl w:ilvl="0">
      <w:lvlJc w:val="left"/>
      <w:lvlText w:val="%1."/>
      <w:numFmt w:val="decimal"/>
      <w:start w:val="5"/>
    </w:lvl>
  </w:abstractNum>
  <w:abstractNum w:abstractNumId="128">
    <w:nsid w:val="4AB26E78"/>
    <w:multiLevelType w:val="hybridMultilevel"/>
    <w:lvl w:ilvl="0">
      <w:lvlJc w:val="left"/>
      <w:lvlText w:val="%1."/>
      <w:numFmt w:val="decimal"/>
      <w:start w:val="5"/>
    </w:lvl>
  </w:abstractNum>
  <w:abstractNum w:abstractNumId="129">
    <w:nsid w:val="21FAA2FA"/>
    <w:multiLevelType w:val="hybridMultilevel"/>
    <w:lvl w:ilvl="0">
      <w:lvlJc w:val="left"/>
      <w:lvlText w:val="%1."/>
      <w:numFmt w:val="decimal"/>
      <w:start w:val="6"/>
    </w:lvl>
  </w:abstractNum>
  <w:abstractNum w:abstractNumId="130">
    <w:nsid w:val="5451CF49"/>
    <w:multiLevelType w:val="hybridMultilevel"/>
    <w:lvl w:ilvl="0">
      <w:lvlJc w:val="left"/>
      <w:lvlText w:val="%1."/>
      <w:numFmt w:val="decimal"/>
      <w:start w:val="6"/>
    </w:lvl>
  </w:abstractNum>
  <w:abstractNum w:abstractNumId="131">
    <w:nsid w:val="6181EF69"/>
    <w:multiLevelType w:val="hybridMultilevel"/>
    <w:lvl w:ilvl="0">
      <w:lvlJc w:val="left"/>
      <w:lvlText w:val="%1."/>
      <w:numFmt w:val="decimal"/>
      <w:start w:val="6"/>
    </w:lvl>
  </w:abstractNum>
  <w:abstractNum w:abstractNumId="132">
    <w:nsid w:val="3E6400E6"/>
    <w:multiLevelType w:val="hybridMultilevel"/>
    <w:lvl w:ilvl="0">
      <w:lvlJc w:val="left"/>
      <w:lvlText w:val="%1."/>
      <w:numFmt w:val="decimal"/>
      <w:start w:val="6"/>
    </w:lvl>
  </w:abstractNum>
  <w:abstractNum w:abstractNumId="133">
    <w:nsid w:val="14217E23"/>
    <w:multiLevelType w:val="hybridMultilevel"/>
    <w:lvl w:ilvl="0">
      <w:lvlJc w:val="left"/>
      <w:lvlText w:val="%1."/>
      <w:numFmt w:val="decimal"/>
      <w:start w:val="6"/>
    </w:lvl>
  </w:abstractNum>
  <w:abstractNum w:abstractNumId="134">
    <w:nsid w:val="710757D0"/>
    <w:multiLevelType w:val="hybridMultilevel"/>
    <w:lvl w:ilvl="0">
      <w:lvlJc w:val="left"/>
      <w:lvlText w:val="%1."/>
      <w:numFmt w:val="decimal"/>
      <w:start w:val="6"/>
    </w:lvl>
  </w:abstractNum>
  <w:abstractNum w:abstractNumId="135">
    <w:nsid w:val="5015CD1A"/>
    <w:multiLevelType w:val="hybridMultilevel"/>
    <w:lvl w:ilvl="0">
      <w:lvlJc w:val="left"/>
      <w:lvlText w:val="(%1)"/>
      <w:numFmt w:val="decimal"/>
      <w:start w:val="1"/>
    </w:lvl>
  </w:abstractNum>
  <w:abstractNum w:abstractNumId="136">
    <w:nsid w:val="424479DA"/>
    <w:multiLevelType w:val="hybridMultilevel"/>
    <w:lvl w:ilvl="0">
      <w:lvlJc w:val="left"/>
      <w:lvlText w:val="%1."/>
      <w:numFmt w:val="decimal"/>
      <w:start w:val="7"/>
    </w:lvl>
  </w:abstractNum>
  <w:abstractNum w:abstractNumId="137">
    <w:nsid w:val="1A9A9E69"/>
    <w:multiLevelType w:val="hybridMultilevel"/>
    <w:lvl w:ilvl="0">
      <w:lvlJc w:val="left"/>
      <w:lvlText w:val="%1."/>
      <w:numFmt w:val="decimal"/>
      <w:start w:val="7"/>
    </w:lvl>
  </w:abstractNum>
  <w:abstractNum w:abstractNumId="138">
    <w:nsid w:val="475E256A"/>
    <w:multiLevelType w:val="hybridMultilevel"/>
    <w:lvl w:ilvl="0">
      <w:lvlJc w:val="left"/>
      <w:lvlText w:val="%1."/>
      <w:numFmt w:val="decimal"/>
      <w:start w:val="8"/>
    </w:lvl>
  </w:abstractNum>
  <w:abstractNum w:abstractNumId="139">
    <w:nsid w:val="368DB37E"/>
    <w:multiLevelType w:val="hybridMultilevel"/>
    <w:lvl w:ilvl="0">
      <w:lvlJc w:val="left"/>
      <w:lvlText w:val="%1."/>
      <w:numFmt w:val="decimal"/>
      <w:start w:val="9"/>
    </w:lvl>
  </w:abstractNum>
  <w:abstractNum w:abstractNumId="140">
    <w:nsid w:val="6A3B714C"/>
    <w:multiLevelType w:val="hybridMultilevel"/>
    <w:lvl w:ilvl="0">
      <w:lvlJc w:val="left"/>
      <w:lvlText w:val="%1."/>
      <w:numFmt w:val="decimal"/>
      <w:start w:val="9"/>
    </w:lvl>
  </w:abstractNum>
  <w:abstractNum w:abstractNumId="141">
    <w:nsid w:val="327B517E"/>
    <w:multiLevelType w:val="hybridMultilevel"/>
    <w:lvl w:ilvl="0">
      <w:lvlJc w:val="left"/>
      <w:lvlText w:val="%1."/>
      <w:numFmt w:val="decimal"/>
      <w:start w:val="9"/>
    </w:lvl>
  </w:abstractNum>
  <w:abstractNum w:abstractNumId="142">
    <w:nsid w:val="1F461B51"/>
    <w:multiLevelType w:val="hybridMultilevel"/>
    <w:lvl w:ilvl="0">
      <w:lvlJc w:val="left"/>
      <w:lvlText w:val="%1."/>
      <w:numFmt w:val="decimal"/>
      <w:start w:val="9"/>
    </w:lvl>
  </w:abstractNum>
  <w:abstractNum w:abstractNumId="143">
    <w:nsid w:val="29BACF25"/>
    <w:multiLevelType w:val="hybridMultilevel"/>
    <w:lvl w:ilvl="0">
      <w:lvlJc w:val="left"/>
      <w:lvlText w:val="%1."/>
      <w:numFmt w:val="decimal"/>
      <w:start w:val="9"/>
    </w:lvl>
  </w:abstractNum>
  <w:abstractNum w:abstractNumId="144">
    <w:nsid w:val="5D5BABB3"/>
    <w:multiLevelType w:val="hybridMultilevel"/>
    <w:lvl w:ilvl="0">
      <w:lvlJc w:val="left"/>
      <w:lvlText w:val="%1."/>
      <w:numFmt w:val="decimal"/>
      <w:start w:val="9"/>
    </w:lvl>
  </w:abstractNum>
  <w:abstractNum w:abstractNumId="145">
    <w:nsid w:val="51BF6B48"/>
    <w:multiLevelType w:val="hybridMultilevel"/>
    <w:lvl w:ilvl="0">
      <w:lvlJc w:val="left"/>
      <w:lvlText w:val="%1."/>
      <w:numFmt w:val="decimal"/>
      <w:start w:val="9"/>
    </w:lvl>
  </w:abstractNum>
  <w:abstractNum w:abstractNumId="146">
    <w:nsid w:val="7E0F6384"/>
    <w:multiLevelType w:val="hybridMultilevel"/>
    <w:lvl w:ilvl="0">
      <w:lvlJc w:val="left"/>
      <w:lvlText w:val="%1."/>
      <w:numFmt w:val="decimal"/>
      <w:start w:val="9"/>
    </w:lvl>
  </w:abstractNum>
  <w:abstractNum w:abstractNumId="147">
    <w:nsid w:val="2B4B8B53"/>
    <w:multiLevelType w:val="hybridMultilevel"/>
    <w:lvl w:ilvl="0">
      <w:lvlJc w:val="left"/>
      <w:lvlText w:val="·"/>
      <w:numFmt w:val="bullet"/>
      <w:start w:val="1"/>
    </w:lvl>
  </w:abstractNum>
  <w:abstractNum w:abstractNumId="148">
    <w:nsid w:val="72E3413A"/>
    <w:multiLevelType w:val="hybridMultilevel"/>
    <w:lvl w:ilvl="0">
      <w:lvlJc w:val="left"/>
      <w:lvlText w:val="%1."/>
      <w:numFmt w:val="decimal"/>
      <w:start w:val="9"/>
    </w:lvl>
  </w:abstractNum>
  <w:abstractNum w:abstractNumId="149">
    <w:nsid w:val="116AE494"/>
    <w:multiLevelType w:val="hybridMultilevel"/>
    <w:lvl w:ilvl="0">
      <w:lvlJc w:val="left"/>
      <w:lvlText w:val="%1."/>
      <w:numFmt w:val="decimal"/>
      <w:start w:val="9"/>
    </w:lvl>
    <w:lvl w:ilvl="1">
      <w:lvlJc w:val="left"/>
      <w:lvlText w:val="%2)"/>
      <w:numFmt w:val="lowerLetter"/>
      <w:start w:val="1"/>
    </w:lvl>
  </w:abstractNum>
  <w:abstractNum w:abstractNumId="150">
    <w:nsid w:val="3494B2FB"/>
    <w:multiLevelType w:val="hybridMultilevel"/>
    <w:lvl w:ilvl="0">
      <w:lvlJc w:val="left"/>
      <w:lvlText w:val="%1."/>
      <w:numFmt w:val="decimal"/>
      <w:start w:val="9"/>
    </w:lvl>
    <w:lvl w:ilvl="1">
      <w:lvlJc w:val="left"/>
      <w:lvlText w:val="%2)"/>
      <w:numFmt w:val="lowerLetter"/>
      <w:start w:val="2"/>
    </w:lvl>
  </w:abstractNum>
  <w:abstractNum w:abstractNumId="151">
    <w:nsid w:val="B13A31"/>
    <w:multiLevelType w:val="hybridMultilevel"/>
    <w:lvl w:ilvl="0">
      <w:lvlJc w:val="left"/>
      <w:lvlText w:val="%1."/>
      <w:numFmt w:val="decimal"/>
      <w:start w:val="10"/>
    </w:lvl>
  </w:abstractNum>
  <w:abstractNum w:abstractNumId="152">
    <w:nsid w:val="64429599"/>
    <w:multiLevelType w:val="hybridMultilevel"/>
    <w:lvl w:ilvl="0">
      <w:lvlJc w:val="left"/>
      <w:lvlText w:val="%1."/>
      <w:numFmt w:val="decimal"/>
      <w:start w:val="11"/>
    </w:lvl>
  </w:abstractNum>
  <w:abstractNum w:abstractNumId="153">
    <w:nsid w:val="631F1690"/>
    <w:multiLevelType w:val="hybridMultilevel"/>
    <w:lvl w:ilvl="0">
      <w:lvlJc w:val="left"/>
      <w:lvlText w:val="%1."/>
      <w:numFmt w:val="decimal"/>
      <w:start w:val="12"/>
    </w:lvl>
  </w:abstractNum>
  <w:abstractNum w:abstractNumId="154">
    <w:nsid w:val="25973E32"/>
    <w:multiLevelType w:val="hybridMultilevel"/>
    <w:lvl w:ilvl="0">
      <w:lvlJc w:val="left"/>
      <w:lvlText w:val="%1."/>
      <w:numFmt w:val="decimal"/>
      <w:start w:val="13"/>
    </w:lvl>
  </w:abstractNum>
  <w:abstractNum w:abstractNumId="155">
    <w:nsid w:val="EAD6F57"/>
    <w:multiLevelType w:val="hybridMultilevel"/>
    <w:lvl w:ilvl="0">
      <w:lvlJc w:val="left"/>
      <w:lvlText w:val="(%1)"/>
      <w:numFmt w:val="decimal"/>
      <w:start w:val="1"/>
    </w:lvl>
  </w:abstractNum>
  <w:abstractNum w:abstractNumId="156">
    <w:nsid w:val="6EC9D844"/>
    <w:multiLevelType w:val="hybridMultilevel"/>
    <w:lvl w:ilvl="0">
      <w:lvlJc w:val="left"/>
      <w:lvlText w:val="%1."/>
      <w:numFmt w:val="decimal"/>
      <w:start w:val="15"/>
    </w:lvl>
  </w:abstractNum>
  <w:abstractNum w:abstractNumId="157">
    <w:nsid w:val="5C49EAEE"/>
    <w:multiLevelType w:val="hybridMultilevel"/>
    <w:lvl w:ilvl="0">
      <w:lvlJc w:val="left"/>
      <w:lvlText w:val="%1."/>
      <w:numFmt w:val="decimal"/>
      <w:start w:val="16"/>
    </w:lvl>
  </w:abstractNum>
  <w:abstractNum w:abstractNumId="158">
    <w:nsid w:val="64AF49B"/>
    <w:multiLevelType w:val="hybridMultilevel"/>
    <w:lvl w:ilvl="0">
      <w:lvlJc w:val="left"/>
      <w:lvlText w:val="%1."/>
      <w:numFmt w:val="decimal"/>
      <w:start w:val="17"/>
    </w:lvl>
  </w:abstractNum>
  <w:abstractNum w:abstractNumId="159">
    <w:nsid w:val="397C46BC"/>
    <w:multiLevelType w:val="hybridMultilevel"/>
    <w:lvl w:ilvl="0">
      <w:lvlJc w:val="left"/>
      <w:lvlText w:val="%1."/>
      <w:numFmt w:val="decimal"/>
      <w:start w:val="17"/>
    </w:lvl>
  </w:abstractNum>
  <w:abstractNum w:abstractNumId="160">
    <w:nsid w:val="7E448DE9"/>
    <w:multiLevelType w:val="hybridMultilevel"/>
    <w:lvl w:ilvl="0">
      <w:lvlJc w:val="left"/>
      <w:lvlText w:val="%1."/>
      <w:numFmt w:val="decimal"/>
      <w:start w:val="17"/>
    </w:lvl>
  </w:abstractNum>
  <w:abstractNum w:abstractNumId="161">
    <w:nsid w:val="5A9CC3E5"/>
    <w:multiLevelType w:val="hybridMultilevel"/>
    <w:lvl w:ilvl="0">
      <w:lvlJc w:val="left"/>
      <w:lvlText w:val="%1."/>
      <w:numFmt w:val="decimal"/>
      <w:start w:val="17"/>
    </w:lvl>
  </w:abstractNum>
  <w:abstractNum w:abstractNumId="162">
    <w:nsid w:val="1AFE3625"/>
    <w:multiLevelType w:val="hybridMultilevel"/>
    <w:lvl w:ilvl="0">
      <w:lvlJc w:val="left"/>
      <w:lvlText w:val="%1."/>
      <w:numFmt w:val="decimal"/>
      <w:start w:val="20"/>
    </w:lvl>
    <w:lvl w:ilvl="1">
      <w:lvlJc w:val="left"/>
      <w:lvlText w:val="%2)"/>
      <w:numFmt w:val="decimal"/>
      <w:start w:val="1"/>
    </w:lvl>
  </w:abstractNum>
  <w:abstractNum w:abstractNumId="163">
    <w:nsid w:val="3CA88ECF"/>
    <w:multiLevelType w:val="hybridMultilevel"/>
    <w:lvl w:ilvl="0">
      <w:lvlJc w:val="left"/>
      <w:lvlText w:val="%1."/>
      <w:numFmt w:val="decimal"/>
      <w:start w:val="21"/>
    </w:lvl>
  </w:abstractNum>
  <w:abstractNum w:abstractNumId="164">
    <w:nsid w:val="6EBE4208"/>
    <w:multiLevelType w:val="hybridMultilevel"/>
    <w:lvl w:ilvl="0">
      <w:lvlJc w:val="left"/>
      <w:lvlText w:val="%1."/>
      <w:numFmt w:val="decimal"/>
      <w:start w:val="22"/>
    </w:lvl>
  </w:abstractNum>
  <w:abstractNum w:abstractNumId="165">
    <w:nsid w:val="C058DF5"/>
    <w:multiLevelType w:val="hybridMultilevel"/>
    <w:lvl w:ilvl="0">
      <w:lvlJc w:val="left"/>
      <w:lvlText w:val="(%1)"/>
      <w:numFmt w:val="decimal"/>
      <w:start w:val="1"/>
    </w:lvl>
  </w:abstractNum>
  <w:abstractNum w:abstractNumId="166">
    <w:nsid w:val="CBE5BE9"/>
    <w:multiLevelType w:val="hybridMultilevel"/>
    <w:lvl w:ilvl="0">
      <w:lvlJc w:val="left"/>
      <w:lvlText w:val="%1."/>
      <w:numFmt w:val="decimal"/>
      <w:start w:val="22"/>
    </w:lvl>
  </w:abstractNum>
  <w:abstractNum w:abstractNumId="167">
    <w:nsid w:val="3102BBE2"/>
    <w:multiLevelType w:val="hybridMultilevel"/>
    <w:lvl w:ilvl="0">
      <w:lvlJc w:val="left"/>
      <w:lvlText w:val="-"/>
      <w:numFmt w:val="bullet"/>
      <w:start w:val="1"/>
    </w:lvl>
  </w:abstractNum>
  <w:abstractNum w:abstractNumId="168">
    <w:nsid w:val="26A02C5E"/>
    <w:multiLevelType w:val="hybridMultilevel"/>
    <w:lvl w:ilvl="0">
      <w:lvlJc w:val="left"/>
      <w:lvlText w:val="%1."/>
      <w:numFmt w:val="decimal"/>
      <w:start w:val="23"/>
    </w:lvl>
  </w:abstractNum>
  <w:abstractNum w:abstractNumId="169">
    <w:nsid w:val="541C8153"/>
    <w:multiLevelType w:val="hybridMultilevel"/>
    <w:lvl w:ilvl="0">
      <w:lvlJc w:val="left"/>
      <w:lvlText w:val="%1."/>
      <w:numFmt w:val="decimal"/>
      <w:start w:val="24"/>
    </w:lvl>
  </w:abstractNum>
  <w:abstractNum w:abstractNumId="170">
    <w:nsid w:val="67906F60"/>
    <w:multiLevelType w:val="hybridMultilevel"/>
    <w:lvl w:ilvl="0">
      <w:lvlJc w:val="left"/>
      <w:lvlText w:val="%1."/>
      <w:numFmt w:val="decimal"/>
      <w:start w:val="25"/>
    </w:lvl>
  </w:abstractNum>
  <w:abstractNum w:abstractNumId="171">
    <w:nsid w:val="10DB9DAA"/>
    <w:multiLevelType w:val="hybridMultilevel"/>
    <w:lvl w:ilvl="0">
      <w:lvlJc w:val="left"/>
      <w:lvlText w:val="%1."/>
      <w:numFmt w:val="decimal"/>
      <w:start w:val="25"/>
    </w:lvl>
  </w:abstractNum>
  <w:abstractNum w:abstractNumId="172">
    <w:nsid w:val="697D2D2"/>
    <w:multiLevelType w:val="hybridMultilevel"/>
    <w:lvl w:ilvl="0">
      <w:lvlJc w:val="left"/>
      <w:lvlText w:val="%1."/>
      <w:numFmt w:val="decimal"/>
      <w:start w:val="25"/>
    </w:lvl>
  </w:abstractNum>
  <w:abstractNum w:abstractNumId="173">
    <w:nsid w:val="6D68AB2"/>
    <w:multiLevelType w:val="hybridMultilevel"/>
    <w:lvl w:ilvl="0">
      <w:lvlJc w:val="left"/>
      <w:lvlText w:val="*"/>
      <w:numFmt w:val="bullet"/>
      <w:start w:val="1"/>
    </w:lvl>
  </w:abstractNum>
  <w:abstractNum w:abstractNumId="174">
    <w:nsid w:val="3A966CD0"/>
    <w:multiLevelType w:val="hybridMultilevel"/>
    <w:lvl w:ilvl="0">
      <w:lvlJc w:val="left"/>
      <w:lvlText w:val="%1."/>
      <w:numFmt w:val="decimal"/>
      <w:start w:val="26"/>
    </w:lvl>
  </w:abstractNum>
  <w:abstractNum w:abstractNumId="175">
    <w:nsid w:val="63F37E85"/>
    <w:multiLevelType w:val="hybridMultilevel"/>
    <w:lvl w:ilvl="0">
      <w:lvlJc w:val="left"/>
      <w:lvlText w:val="%1."/>
      <w:numFmt w:val="decimal"/>
      <w:start w:val="26"/>
    </w:lvl>
  </w:abstractNum>
  <w:abstractNum w:abstractNumId="176">
    <w:nsid w:val="5895F5FA"/>
    <w:multiLevelType w:val="hybridMultilevel"/>
    <w:lvl w:ilvl="0">
      <w:lvlJc w:val="left"/>
      <w:lvlText w:val="%1."/>
      <w:numFmt w:val="decimal"/>
      <w:start w:val="26"/>
    </w:lvl>
  </w:abstractNum>
  <w:abstractNum w:abstractNumId="177">
    <w:nsid w:val="38A5D054"/>
    <w:multiLevelType w:val="hybridMultilevel"/>
    <w:lvl w:ilvl="0">
      <w:lvlJc w:val="left"/>
      <w:lvlText w:val="(%1)"/>
      <w:numFmt w:val="decimal"/>
      <w:start w:val="1"/>
    </w:lvl>
  </w:abstractNum>
  <w:abstractNum w:abstractNumId="178">
    <w:nsid w:val="F3F09D8"/>
    <w:multiLevelType w:val="hybridMultilevel"/>
    <w:lvl w:ilvl="0">
      <w:lvlJc w:val="left"/>
      <w:lvlText w:val="(%1)"/>
      <w:numFmt w:val="decimal"/>
      <w:start w:val="1"/>
    </w:lvl>
  </w:abstractNum>
  <w:abstractNum w:abstractNumId="179">
    <w:nsid w:val="4B793735"/>
    <w:multiLevelType w:val="hybridMultilevel"/>
    <w:lvl w:ilvl="0">
      <w:lvlJc w:val="left"/>
      <w:lvlText w:val="%1."/>
      <w:numFmt w:val="decimal"/>
      <w:start w:val="26"/>
    </w:lvl>
    <w:lvl w:ilvl="1">
      <w:lvlJc w:val="left"/>
      <w:lvlText w:val="-"/>
      <w:numFmt w:val="bullet"/>
      <w:start w:val="1"/>
    </w:lvl>
  </w:abstractNum>
  <w:abstractNum w:abstractNumId="180">
    <w:nsid w:val="4A10B4E8"/>
    <w:multiLevelType w:val="hybridMultilevel"/>
    <w:lvl w:ilvl="0">
      <w:lvlJc w:val="left"/>
      <w:lvlText w:val="%1."/>
      <w:numFmt w:val="decimal"/>
      <w:start w:val="26"/>
    </w:lvl>
  </w:abstractNum>
  <w:abstractNum w:abstractNumId="181">
    <w:nsid w:val="43D3BCD4"/>
    <w:multiLevelType w:val="hybridMultilevel"/>
    <w:lvl w:ilvl="0">
      <w:lvlJc w:val="left"/>
      <w:lvlText w:val="(%1)"/>
      <w:numFmt w:val="decimal"/>
      <w:start w:val="1"/>
    </w:lvl>
  </w:abstractNum>
  <w:abstractNum w:abstractNumId="182">
    <w:nsid w:val="4C2A7166"/>
    <w:multiLevelType w:val="hybridMultilevel"/>
    <w:lvl w:ilvl="0">
      <w:lvlJc w:val="left"/>
      <w:lvlText w:val="%1."/>
      <w:numFmt w:val="decimal"/>
      <w:start w:val="26"/>
    </w:lvl>
  </w:abstractNum>
  <w:abstractNum w:abstractNumId="183">
    <w:nsid w:val="2E534A82"/>
    <w:multiLevelType w:val="hybridMultilevel"/>
    <w:lvl w:ilvl="0">
      <w:lvlJc w:val="left"/>
      <w:lvlText w:val="*"/>
      <w:numFmt w:val="bullet"/>
      <w:start w:val="1"/>
    </w:lvl>
  </w:abstractNum>
  <w:abstractNum w:abstractNumId="184">
    <w:nsid w:val="26F2D364"/>
    <w:multiLevelType w:val="hybridMultilevel"/>
    <w:lvl w:ilvl="0">
      <w:lvlJc w:val="left"/>
      <w:lvlText w:val="%1."/>
      <w:numFmt w:val="decimal"/>
      <w:start w:val="27"/>
    </w:lvl>
  </w:abstractNum>
  <w:abstractNum w:abstractNumId="185">
    <w:nsid w:val="71C1AF98"/>
    <w:multiLevelType w:val="hybridMultilevel"/>
    <w:lvl w:ilvl="0">
      <w:lvlJc w:val="left"/>
      <w:lvlText w:val="%1."/>
      <w:numFmt w:val="decimal"/>
      <w:start w:val="27"/>
    </w:lvl>
  </w:abstractNum>
  <w:abstractNum w:abstractNumId="186">
    <w:nsid w:val="3D00B9D9"/>
    <w:multiLevelType w:val="hybridMultilevel"/>
    <w:lvl w:ilvl="0">
      <w:lvlJc w:val="left"/>
      <w:lvlText w:val="%1."/>
      <w:numFmt w:val="decimal"/>
      <w:start w:val="30"/>
    </w:lvl>
  </w:abstractNum>
  <w:abstractNum w:abstractNumId="187">
    <w:nsid w:val="15BCABA8"/>
    <w:multiLevelType w:val="hybridMultilevel"/>
    <w:lvl w:ilvl="0">
      <w:lvlJc w:val="left"/>
      <w:lvlText w:val="%1."/>
      <w:numFmt w:val="decimal"/>
      <w:start w:val="31"/>
    </w:lvl>
  </w:abstractNum>
  <w:abstractNum w:abstractNumId="188">
    <w:nsid w:val="4E0B9A87"/>
    <w:multiLevelType w:val="hybridMultilevel"/>
    <w:lvl w:ilvl="0">
      <w:lvlJc w:val="left"/>
      <w:lvlText w:val="%1."/>
      <w:numFmt w:val="decimal"/>
      <w:start w:val="32"/>
    </w:lvl>
  </w:abstractNum>
  <w:abstractNum w:abstractNumId="189">
    <w:nsid w:val="434BAE75"/>
    <w:multiLevelType w:val="hybridMultilevel"/>
    <w:lvl w:ilvl="0">
      <w:lvlJc w:val="left"/>
      <w:lvlText w:val="%1."/>
      <w:numFmt w:val="decimal"/>
      <w:start w:val="32"/>
    </w:lvl>
  </w:abstractNum>
  <w:abstractNum w:abstractNumId="190">
    <w:nsid w:val="4F38F265"/>
    <w:multiLevelType w:val="hybridMultilevel"/>
    <w:lvl w:ilvl="0">
      <w:lvlJc w:val="left"/>
      <w:lvlText w:val="%1."/>
      <w:numFmt w:val="decimal"/>
      <w:start w:val="32"/>
    </w:lvl>
  </w:abstractNum>
  <w:abstractNum w:abstractNumId="191">
    <w:nsid w:val="4C502870"/>
    <w:multiLevelType w:val="hybridMultilevel"/>
    <w:lvl w:ilvl="0">
      <w:lvlJc w:val="left"/>
      <w:lvlText w:val="-"/>
      <w:numFmt w:val="bullet"/>
      <w:start w:val="1"/>
    </w:lvl>
  </w:abstractNum>
  <w:abstractNum w:abstractNumId="192">
    <w:nsid w:val="1DE8725A"/>
    <w:multiLevelType w:val="hybridMultilevel"/>
    <w:lvl w:ilvl="0">
      <w:lvlJc w:val="left"/>
      <w:lvlText w:val="-"/>
      <w:numFmt w:val="bullet"/>
      <w:start w:val="1"/>
    </w:lvl>
  </w:abstractNum>
  <w:abstractNum w:abstractNumId="193">
    <w:nsid w:val="6A37288A"/>
    <w:multiLevelType w:val="hybridMultilevel"/>
    <w:lvl w:ilvl="0">
      <w:lvlJc w:val="left"/>
      <w:lvlText w:val="%1."/>
      <w:numFmt w:val="decimal"/>
      <w:start w:val="32"/>
    </w:lvl>
  </w:abstractNum>
  <w:abstractNum w:abstractNumId="194">
    <w:nsid w:val="8F8B73F"/>
    <w:multiLevelType w:val="hybridMultilevel"/>
    <w:lvl w:ilvl="0">
      <w:lvlJc w:val="left"/>
      <w:lvlText w:val="%1."/>
      <w:numFmt w:val="decimal"/>
      <w:start w:val="32"/>
    </w:lvl>
  </w:abstractNum>
  <w:abstractNum w:abstractNumId="195">
    <w:nsid w:val="CA6B462"/>
    <w:multiLevelType w:val="hybridMultilevel"/>
    <w:lvl w:ilvl="0">
      <w:lvlJc w:val="left"/>
      <w:lvlText w:val="%1."/>
      <w:numFmt w:val="decimal"/>
      <w:start w:val="32"/>
    </w:lvl>
  </w:abstractNum>
  <w:abstractNum w:abstractNumId="196">
    <w:nsid w:val="763CB680"/>
    <w:multiLevelType w:val="hybridMultilevel"/>
    <w:lvl w:ilvl="0">
      <w:lvlJc w:val="left"/>
      <w:lvlText w:val="%1."/>
      <w:numFmt w:val="decimal"/>
      <w:start w:val="32"/>
    </w:lvl>
  </w:abstractNum>
  <w:abstractNum w:abstractNumId="197">
    <w:nsid w:val="15B71329"/>
    <w:multiLevelType w:val="hybridMultilevel"/>
    <w:lvl w:ilvl="0">
      <w:lvlJc w:val="left"/>
      <w:lvlText w:val="%1."/>
      <w:numFmt w:val="decimal"/>
      <w:start w:val="32"/>
    </w:lvl>
  </w:abstractNum>
  <w:abstractNum w:abstractNumId="198">
    <w:nsid w:val="3DA97044"/>
    <w:multiLevelType w:val="hybridMultilevel"/>
    <w:lvl w:ilvl="0">
      <w:lvlJc w:val="left"/>
      <w:lvlText w:val="%1."/>
      <w:numFmt w:val="decimal"/>
      <w:start w:val="32"/>
    </w:lvl>
  </w:abstractNum>
  <w:abstractNum w:abstractNumId="199">
    <w:nsid w:val="1CDCE2DE"/>
    <w:multiLevelType w:val="hybridMultilevel"/>
    <w:lvl w:ilvl="0">
      <w:lvlJc w:val="left"/>
      <w:lvlText w:val="(%1)"/>
      <w:numFmt w:val="decimal"/>
      <w:start w:val="1"/>
    </w:lvl>
  </w:abstractNum>
  <w:abstractNum w:abstractNumId="200">
    <w:nsid w:val="69D3947C"/>
    <w:multiLevelType w:val="hybridMultilevel"/>
    <w:lvl w:ilvl="0">
      <w:lvlJc w:val="left"/>
      <w:lvlText w:val="(%1)"/>
      <w:numFmt w:val="decimal"/>
      <w:start w:val="1"/>
    </w:lvl>
  </w:abstractNum>
  <w:abstractNum w:abstractNumId="201">
    <w:nsid w:val="2539DFA5"/>
    <w:multiLevelType w:val="hybridMultilevel"/>
    <w:lvl w:ilvl="0">
      <w:lvlJc w:val="left"/>
      <w:lvlText w:val="%1."/>
      <w:numFmt w:val="decimal"/>
      <w:start w:val="33"/>
    </w:lvl>
  </w:abstractNum>
  <w:abstractNum w:abstractNumId="202">
    <w:nsid w:val="2DB88089"/>
    <w:multiLevelType w:val="hybridMultilevel"/>
    <w:lvl w:ilvl="0">
      <w:lvlJc w:val="left"/>
      <w:lvlText w:val="%1."/>
      <w:numFmt w:val="decimal"/>
      <w:start w:val="33"/>
    </w:lvl>
  </w:abstractNum>
  <w:abstractNum w:abstractNumId="203">
    <w:nsid w:val="706B674E"/>
    <w:multiLevelType w:val="hybridMultilevel"/>
    <w:lvl w:ilvl="0">
      <w:lvlJc w:val="left"/>
      <w:lvlText w:val="%1."/>
      <w:numFmt w:val="decimal"/>
      <w:start w:val="33"/>
    </w:lvl>
  </w:abstractNum>
  <w:abstractNum w:abstractNumId="204">
    <w:nsid w:val="2C106A57"/>
    <w:multiLevelType w:val="hybridMultilevel"/>
    <w:lvl w:ilvl="0">
      <w:lvlJc w:val="left"/>
      <w:lvlText w:val="%1."/>
      <w:numFmt w:val="decimal"/>
      <w:start w:val="1"/>
    </w:lvl>
  </w:abstractNum>
  <w:abstractNum w:abstractNumId="205">
    <w:nsid w:val="684EED59"/>
    <w:multiLevelType w:val="hybridMultilevel"/>
    <w:lvl w:ilvl="0">
      <w:lvlJc w:val="left"/>
      <w:lvlText w:val="%1."/>
      <w:numFmt w:val="decimal"/>
      <w:start w:val="33"/>
    </w:lvl>
  </w:abstractNum>
  <w:abstractNum w:abstractNumId="206">
    <w:nsid w:val="545EE5D3"/>
    <w:multiLevelType w:val="hybridMultilevel"/>
    <w:lvl w:ilvl="0">
      <w:lvlJc w:val="left"/>
      <w:lvlText w:val="%1."/>
      <w:numFmt w:val="decimal"/>
      <w:start w:val="34"/>
    </w:lvl>
  </w:abstractNum>
  <w:abstractNum w:abstractNumId="207">
    <w:nsid w:val="4A66051"/>
    <w:multiLevelType w:val="hybridMultilevel"/>
    <w:lvl w:ilvl="0">
      <w:lvlJc w:val="left"/>
      <w:lvlText w:val="%1."/>
      <w:numFmt w:val="upperLetter"/>
      <w:start w:val="60"/>
    </w:lvl>
    <w:lvl w:ilvl="1">
      <w:lvlJc w:val="left"/>
      <w:lvlText w:val="·"/>
      <w:numFmt w:val="bullet"/>
      <w:start w:val="1"/>
    </w:lvl>
  </w:abstractNum>
  <w:abstractNum w:abstractNumId="208">
    <w:nsid w:val="20F4BDAD"/>
    <w:multiLevelType w:val="hybridMultilevel"/>
    <w:lvl w:ilvl="0">
      <w:lvlJc w:val="left"/>
      <w:lvlText w:val="•"/>
      <w:numFmt w:val="bullet"/>
      <w:start w:val="1"/>
    </w:lvl>
  </w:abstractNum>
  <w:abstractNum w:abstractNumId="209">
    <w:nsid w:val="639DEFAC"/>
    <w:multiLevelType w:val="hybridMultilevel"/>
    <w:lvl w:ilvl="0">
      <w:lvlJc w:val="left"/>
      <w:lvlText w:val="·"/>
      <w:numFmt w:val="bullet"/>
      <w:start w:val="1"/>
    </w:lvl>
  </w:abstractNum>
  <w:abstractNum w:abstractNumId="210">
    <w:nsid w:val="501F9786"/>
    <w:multiLevelType w:val="hybridMultilevel"/>
    <w:lvl w:ilvl="0">
      <w:lvlJc w:val="left"/>
      <w:lvlText w:val="·"/>
      <w:numFmt w:val="bullet"/>
      <w:start w:val="1"/>
    </w:lvl>
  </w:abstractNum>
  <w:abstractNum w:abstractNumId="211">
    <w:nsid w:val="6B057295"/>
    <w:multiLevelType w:val="hybridMultilevel"/>
    <w:lvl w:ilvl="0">
      <w:lvlJc w:val="left"/>
      <w:lvlText w:val="·"/>
      <w:numFmt w:val="bullet"/>
      <w:start w:val="1"/>
    </w:lvl>
  </w:abstractNum>
  <w:abstractNum w:abstractNumId="212">
    <w:nsid w:val="2771AC80"/>
    <w:multiLevelType w:val="hybridMultilevel"/>
    <w:lvl w:ilvl="0">
      <w:lvlJc w:val="left"/>
      <w:lvlText w:val="·"/>
      <w:numFmt w:val="bullet"/>
      <w:start w:val="1"/>
    </w:lvl>
  </w:abstractNum>
  <w:abstractNum w:abstractNumId="213">
    <w:nsid w:val="1C4A08EC"/>
    <w:multiLevelType w:val="hybridMultilevel"/>
    <w:lvl w:ilvl="0">
      <w:lvlJc w:val="left"/>
      <w:lvlText w:val="%1."/>
      <w:numFmt w:val="upperLetter"/>
      <w:start w:val="9"/>
    </w:lvl>
    <w:lvl w:ilvl="1">
      <w:lvlJc w:val="left"/>
      <w:lvlText w:val="·"/>
      <w:numFmt w:val="bullet"/>
      <w:start w:val="1"/>
    </w:lvl>
  </w:abstractNum>
  <w:abstractNum w:abstractNumId="214">
    <w:nsid w:val="1958BD17"/>
    <w:multiLevelType w:val="hybridMultilevel"/>
    <w:lvl w:ilvl="0">
      <w:lvlJc w:val="left"/>
      <w:lvlText w:val="%1."/>
      <w:numFmt w:val="upperLetter"/>
      <w:start w:val="35"/>
    </w:lvl>
  </w:abstractNum>
  <w:abstractNum w:abstractNumId="215">
    <w:nsid w:val="4E647FE4"/>
    <w:multiLevelType w:val="hybridMultilevel"/>
    <w:lvl w:ilvl="0">
      <w:lvlJc w:val="left"/>
      <w:lvlText w:val="%1."/>
      <w:numFmt w:val="upperLetter"/>
      <w:start w:val="61"/>
    </w:lvl>
    <w:lvl w:ilvl="1">
      <w:lvlJc w:val="left"/>
      <w:lvlText w:val="·"/>
      <w:numFmt w:val="bullet"/>
      <w:start w:val="1"/>
    </w:lvl>
  </w:abstractNum>
  <w:abstractNum w:abstractNumId="216">
    <w:nsid w:val="E0BB885"/>
    <w:multiLevelType w:val="hybridMultilevel"/>
    <w:lvl w:ilvl="0">
      <w:lvlJc w:val="left"/>
      <w:lvlText w:val="·"/>
      <w:numFmt w:val="bullet"/>
      <w:start w:val="1"/>
    </w:lvl>
  </w:abstractNum>
  <w:abstractNum w:abstractNumId="217">
    <w:nsid w:val="565976F1"/>
    <w:multiLevelType w:val="hybridMultilevel"/>
    <w:lvl w:ilvl="0">
      <w:lvlJc w:val="left"/>
      <w:lvlText w:val="%1."/>
      <w:numFmt w:val="upperLetter"/>
      <w:start w:val="21"/>
    </w:lvl>
    <w:lvl w:ilvl="1">
      <w:lvlJc w:val="left"/>
      <w:lvlText w:val="·"/>
      <w:numFmt w:val="bullet"/>
      <w:start w:val="1"/>
    </w:lvl>
  </w:abstractNum>
  <w:abstractNum w:abstractNumId="218">
    <w:nsid w:val="64212B8C"/>
    <w:multiLevelType w:val="hybridMultilevel"/>
    <w:lvl w:ilvl="0">
      <w:lvlJc w:val="left"/>
      <w:lvlText w:val="%1."/>
      <w:numFmt w:val="decimal"/>
      <w:start w:val="1"/>
    </w:lvl>
    <w:lvl w:ilvl="1">
      <w:lvlJc w:val="left"/>
      <w:lvlText w:val="%2)"/>
      <w:numFmt w:val="lowerLetter"/>
      <w:start w:val="1"/>
    </w:lvl>
  </w:abstractNum>
  <w:abstractNum w:abstractNumId="219">
    <w:nsid w:val="5C17530C"/>
    <w:multiLevelType w:val="hybridMultilevel"/>
    <w:lvl w:ilvl="0">
      <w:lvlJc w:val="left"/>
      <w:lvlText w:val="%1."/>
      <w:numFmt w:val="decimal"/>
      <w:start w:val="1"/>
    </w:lvl>
    <w:lvl w:ilvl="1">
      <w:lvlJc w:val="left"/>
      <w:lvlText w:val="%2)"/>
      <w:numFmt w:val="lowerLetter"/>
      <w:start w:val="1"/>
    </w:lvl>
  </w:abstractNum>
  <w:abstractNum w:abstractNumId="220">
    <w:nsid w:val="19A52566"/>
    <w:multiLevelType w:val="hybridMultilevel"/>
    <w:lvl w:ilvl="0">
      <w:lvlJc w:val="left"/>
      <w:lvlText w:val="(%1)"/>
      <w:numFmt w:val="lowerRoman"/>
      <w:start w:val="1"/>
    </w:lvl>
  </w:abstractNum>
  <w:abstractNum w:abstractNumId="221">
    <w:nsid w:val="335A1DF1"/>
    <w:multiLevelType w:val="hybridMultilevel"/>
    <w:lvl w:ilvl="0">
      <w:lvlJc w:val="left"/>
      <w:lvlText w:val="(%1)"/>
      <w:numFmt w:val="lowerRoman"/>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image" Target="media/image43.png"/><Relationship Id="rId51" Type="http://schemas.openxmlformats.org/officeDocument/2006/relationships/image" Target="media/image44.pn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png"/><Relationship Id="rId55" Type="http://schemas.openxmlformats.org/officeDocument/2006/relationships/image" Target="media/image48.png"/><Relationship Id="rId56" Type="http://schemas.openxmlformats.org/officeDocument/2006/relationships/image" Target="media/image49.png"/><Relationship Id="rId57" Type="http://schemas.openxmlformats.org/officeDocument/2006/relationships/image" Target="media/image50.png"/><Relationship Id="rId58" Type="http://schemas.openxmlformats.org/officeDocument/2006/relationships/image" Target="media/image51.png"/><Relationship Id="rId59" Type="http://schemas.openxmlformats.org/officeDocument/2006/relationships/image" Target="media/image52.png"/><Relationship Id="rId60" Type="http://schemas.openxmlformats.org/officeDocument/2006/relationships/image" Target="media/image53.png"/><Relationship Id="rId61" Type="http://schemas.openxmlformats.org/officeDocument/2006/relationships/image" Target="media/image54.png"/><Relationship Id="rId62" Type="http://schemas.openxmlformats.org/officeDocument/2006/relationships/image" Target="media/image55.png"/><Relationship Id="rId63" Type="http://schemas.openxmlformats.org/officeDocument/2006/relationships/image" Target="media/image56.png"/><Relationship Id="rId64" Type="http://schemas.openxmlformats.org/officeDocument/2006/relationships/image" Target="media/image57.png"/><Relationship Id="rId65" Type="http://schemas.openxmlformats.org/officeDocument/2006/relationships/image" Target="media/image58.png"/><Relationship Id="rId66" Type="http://schemas.openxmlformats.org/officeDocument/2006/relationships/image" Target="media/image59.png"/><Relationship Id="rId67" Type="http://schemas.openxmlformats.org/officeDocument/2006/relationships/image" Target="media/image60.png"/><Relationship Id="rId68" Type="http://schemas.openxmlformats.org/officeDocument/2006/relationships/image" Target="media/image61.png"/><Relationship Id="rId69" Type="http://schemas.openxmlformats.org/officeDocument/2006/relationships/image" Target="media/image62.png"/><Relationship Id="rId70" Type="http://schemas.openxmlformats.org/officeDocument/2006/relationships/image" Target="media/image63.png"/><Relationship Id="rId71" Type="http://schemas.openxmlformats.org/officeDocument/2006/relationships/image" Target="media/image64.png"/><Relationship Id="rId72" Type="http://schemas.openxmlformats.org/officeDocument/2006/relationships/image" Target="media/image65.png"/><Relationship Id="rId73" Type="http://schemas.openxmlformats.org/officeDocument/2006/relationships/image" Target="media/image66.png"/><Relationship Id="rId74" Type="http://schemas.openxmlformats.org/officeDocument/2006/relationships/image" Target="media/image67.png"/><Relationship Id="rId75" Type="http://schemas.openxmlformats.org/officeDocument/2006/relationships/image" Target="media/image68.png"/><Relationship Id="rId76" Type="http://schemas.openxmlformats.org/officeDocument/2006/relationships/image" Target="media/image69.png"/><Relationship Id="rId77" Type="http://schemas.openxmlformats.org/officeDocument/2006/relationships/image" Target="media/image70.png"/><Relationship Id="rId78" Type="http://schemas.openxmlformats.org/officeDocument/2006/relationships/image" Target="media/image71.png"/><Relationship Id="rId79" Type="http://schemas.openxmlformats.org/officeDocument/2006/relationships/image" Target="media/image72.png"/><Relationship Id="rId80" Type="http://schemas.openxmlformats.org/officeDocument/2006/relationships/image" Target="media/image73.png"/><Relationship Id="rId81" Type="http://schemas.openxmlformats.org/officeDocument/2006/relationships/image" Target="media/image74.png"/><Relationship Id="rId82" Type="http://schemas.openxmlformats.org/officeDocument/2006/relationships/image" Target="media/image75.png"/><Relationship Id="rId83" Type="http://schemas.openxmlformats.org/officeDocument/2006/relationships/image" Target="media/image76.png"/><Relationship Id="rId84" Type="http://schemas.openxmlformats.org/officeDocument/2006/relationships/image" Target="media/image77.png"/><Relationship Id="rId85" Type="http://schemas.openxmlformats.org/officeDocument/2006/relationships/image" Target="media/image78.png"/><Relationship Id="rId86" Type="http://schemas.openxmlformats.org/officeDocument/2006/relationships/image" Target="media/image79.png"/><Relationship Id="rId87" Type="http://schemas.openxmlformats.org/officeDocument/2006/relationships/image" Target="media/image80.png"/><Relationship Id="rId88" Type="http://schemas.openxmlformats.org/officeDocument/2006/relationships/image" Target="media/image81.png"/><Relationship Id="rId89" Type="http://schemas.openxmlformats.org/officeDocument/2006/relationships/image" Target="media/image82.png"/><Relationship Id="rId90" Type="http://schemas.openxmlformats.org/officeDocument/2006/relationships/image" Target="media/image83.png"/><Relationship Id="rId91" Type="http://schemas.openxmlformats.org/officeDocument/2006/relationships/image" Target="media/image84.png"/><Relationship Id="rId92" Type="http://schemas.openxmlformats.org/officeDocument/2006/relationships/image" Target="media/image85.png"/><Relationship Id="rId93" Type="http://schemas.openxmlformats.org/officeDocument/2006/relationships/image" Target="media/image86.png"/><Relationship Id="rId94" Type="http://schemas.openxmlformats.org/officeDocument/2006/relationships/image" Target="media/image87.png"/><Relationship Id="rId95" Type="http://schemas.openxmlformats.org/officeDocument/2006/relationships/image" Target="media/image88.png"/><Relationship Id="rId96" Type="http://schemas.openxmlformats.org/officeDocument/2006/relationships/image" Target="media/image89.png"/><Relationship Id="rId97" Type="http://schemas.openxmlformats.org/officeDocument/2006/relationships/image" Target="media/image90.png"/><Relationship Id="rId98" Type="http://schemas.openxmlformats.org/officeDocument/2006/relationships/image" Target="media/image91.png"/><Relationship Id="rId99" Type="http://schemas.openxmlformats.org/officeDocument/2006/relationships/image" Target="media/image92.png"/><Relationship Id="rId100" Type="http://schemas.openxmlformats.org/officeDocument/2006/relationships/image" Target="media/image93.png"/><Relationship Id="rId101" Type="http://schemas.openxmlformats.org/officeDocument/2006/relationships/image" Target="media/image94.png"/><Relationship Id="rId102" Type="http://schemas.openxmlformats.org/officeDocument/2006/relationships/image" Target="media/image95.png"/><Relationship Id="rId103" Type="http://schemas.openxmlformats.org/officeDocument/2006/relationships/image" Target="media/image96.png"/><Relationship Id="rId104" Type="http://schemas.openxmlformats.org/officeDocument/2006/relationships/image" Target="media/image97.png"/><Relationship Id="rId105" Type="http://schemas.openxmlformats.org/officeDocument/2006/relationships/image" Target="media/image98.png"/><Relationship Id="rId106" Type="http://schemas.openxmlformats.org/officeDocument/2006/relationships/image" Target="media/image99.png"/><Relationship Id="rId107" Type="http://schemas.openxmlformats.org/officeDocument/2006/relationships/image" Target="media/image100.png"/><Relationship Id="rId108" Type="http://schemas.openxmlformats.org/officeDocument/2006/relationships/image" Target="media/image101.png"/><Relationship Id="rId109" Type="http://schemas.openxmlformats.org/officeDocument/2006/relationships/image" Target="media/image102.png"/><Relationship Id="rId110" Type="http://schemas.openxmlformats.org/officeDocument/2006/relationships/image" Target="media/image103.png"/><Relationship Id="rId111" Type="http://schemas.openxmlformats.org/officeDocument/2006/relationships/image" Target="media/image104.png"/><Relationship Id="rId112" Type="http://schemas.openxmlformats.org/officeDocument/2006/relationships/image" Target="media/image105.png"/><Relationship Id="rId113" Type="http://schemas.openxmlformats.org/officeDocument/2006/relationships/image" Target="media/image106.png"/><Relationship Id="rId114" Type="http://schemas.openxmlformats.org/officeDocument/2006/relationships/image" Target="media/image107.png"/><Relationship Id="rId115" Type="http://schemas.openxmlformats.org/officeDocument/2006/relationships/image" Target="media/image108.png"/><Relationship Id="rId116" Type="http://schemas.openxmlformats.org/officeDocument/2006/relationships/image" Target="media/image109.png"/><Relationship Id="rId117" Type="http://schemas.openxmlformats.org/officeDocument/2006/relationships/image" Target="media/image110.png"/><Relationship Id="rId118" Type="http://schemas.openxmlformats.org/officeDocument/2006/relationships/image" Target="media/image111.png"/><Relationship Id="rId119" Type="http://schemas.openxmlformats.org/officeDocument/2006/relationships/image" Target="media/image112.png"/><Relationship Id="rId120" Type="http://schemas.openxmlformats.org/officeDocument/2006/relationships/image" Target="media/image113.png"/><Relationship Id="rId121" Type="http://schemas.openxmlformats.org/officeDocument/2006/relationships/image" Target="media/image114.png"/><Relationship Id="rId122" Type="http://schemas.openxmlformats.org/officeDocument/2006/relationships/image" Target="media/image115.png"/><Relationship Id="rId123" Type="http://schemas.openxmlformats.org/officeDocument/2006/relationships/image" Target="media/image116.png"/><Relationship Id="rId124" Type="http://schemas.openxmlformats.org/officeDocument/2006/relationships/image" Target="media/image117.png"/><Relationship Id="rId125" Type="http://schemas.openxmlformats.org/officeDocument/2006/relationships/image" Target="media/image118.png"/><Relationship Id="rId126" Type="http://schemas.openxmlformats.org/officeDocument/2006/relationships/image" Target="media/image119.png"/><Relationship Id="rId127" Type="http://schemas.openxmlformats.org/officeDocument/2006/relationships/image" Target="media/image120.png"/><Relationship Id="rId128" Type="http://schemas.openxmlformats.org/officeDocument/2006/relationships/image" Target="media/image121.png"/><Relationship Id="rId129" Type="http://schemas.openxmlformats.org/officeDocument/2006/relationships/image" Target="media/image122.png"/><Relationship Id="rId130" Type="http://schemas.openxmlformats.org/officeDocument/2006/relationships/image" Target="media/image123.png"/><Relationship Id="rId131" Type="http://schemas.openxmlformats.org/officeDocument/2006/relationships/image" Target="media/image124.png"/><Relationship Id="rId132" Type="http://schemas.openxmlformats.org/officeDocument/2006/relationships/image" Target="media/image125.png"/><Relationship Id="rId133" Type="http://schemas.openxmlformats.org/officeDocument/2006/relationships/image" Target="media/image126.png"/><Relationship Id="rId134" Type="http://schemas.openxmlformats.org/officeDocument/2006/relationships/image" Target="media/image127.png"/><Relationship Id="rId135" Type="http://schemas.openxmlformats.org/officeDocument/2006/relationships/image" Target="media/image128.png"/><Relationship Id="rId136" Type="http://schemas.openxmlformats.org/officeDocument/2006/relationships/image" Target="media/image129.png"/><Relationship Id="rId137" Type="http://schemas.openxmlformats.org/officeDocument/2006/relationships/image" Target="media/image130.png"/><Relationship Id="rId138" Type="http://schemas.openxmlformats.org/officeDocument/2006/relationships/image" Target="media/image131.png"/><Relationship Id="rId139" Type="http://schemas.openxmlformats.org/officeDocument/2006/relationships/image" Target="media/image132.png"/><Relationship Id="rId140" Type="http://schemas.openxmlformats.org/officeDocument/2006/relationships/image" Target="media/image133.png"/><Relationship Id="rId141" Type="http://schemas.openxmlformats.org/officeDocument/2006/relationships/image" Target="media/image134.jpeg"/><Relationship Id="rId142" Type="http://schemas.openxmlformats.org/officeDocument/2006/relationships/image" Target="media/image135.png"/><Relationship Id="rId143" Type="http://schemas.openxmlformats.org/officeDocument/2006/relationships/image" Target="media/image136.png"/><Relationship Id="rId144" Type="http://schemas.openxmlformats.org/officeDocument/2006/relationships/image" Target="media/image137.png"/><Relationship Id="rId145" Type="http://schemas.openxmlformats.org/officeDocument/2006/relationships/image" Target="media/image138.png"/><Relationship Id="rId146" Type="http://schemas.openxmlformats.org/officeDocument/2006/relationships/image" Target="media/image139.png"/><Relationship Id="rId149" Type="http://schemas.openxmlformats.org/officeDocument/2006/relationships/image" Target="media/image140.png"/><Relationship Id="rId150" Type="http://schemas.openxmlformats.org/officeDocument/2006/relationships/image" Target="media/image141.png"/><Relationship Id="rId151" Type="http://schemas.openxmlformats.org/officeDocument/2006/relationships/image" Target="media/image142.png"/><Relationship Id="rId152" Type="http://schemas.openxmlformats.org/officeDocument/2006/relationships/image" Target="media/image143.jpeg"/><Relationship Id="rId153" Type="http://schemas.openxmlformats.org/officeDocument/2006/relationships/image" Target="media/image144.png"/><Relationship Id="rId154" Type="http://schemas.openxmlformats.org/officeDocument/2006/relationships/image" Target="media/image145.jpeg"/><Relationship Id="rId155" Type="http://schemas.openxmlformats.org/officeDocument/2006/relationships/image" Target="media/image146.png"/><Relationship Id="rId156" Type="http://schemas.openxmlformats.org/officeDocument/2006/relationships/image" Target="media/image147.png"/><Relationship Id="rId157" Type="http://schemas.openxmlformats.org/officeDocument/2006/relationships/image" Target="media/image148.png"/><Relationship Id="rId158" Type="http://schemas.openxmlformats.org/officeDocument/2006/relationships/image" Target="media/image149.png"/><Relationship Id="rId159" Type="http://schemas.openxmlformats.org/officeDocument/2006/relationships/image" Target="media/image150.png"/><Relationship Id="rId160" Type="http://schemas.openxmlformats.org/officeDocument/2006/relationships/image" Target="media/image151.png"/><Relationship Id="rId161" Type="http://schemas.openxmlformats.org/officeDocument/2006/relationships/image" Target="media/image152.png"/><Relationship Id="rId162" Type="http://schemas.openxmlformats.org/officeDocument/2006/relationships/image" Target="media/image153.png"/><Relationship Id="rId163" Type="http://schemas.openxmlformats.org/officeDocument/2006/relationships/image" Target="media/image154.png"/><Relationship Id="rId164" Type="http://schemas.openxmlformats.org/officeDocument/2006/relationships/image" Target="media/image155.png"/><Relationship Id="rId165" Type="http://schemas.openxmlformats.org/officeDocument/2006/relationships/image" Target="media/image156.png"/><Relationship Id="rId166" Type="http://schemas.openxmlformats.org/officeDocument/2006/relationships/image" Target="media/image157.png"/><Relationship Id="rId167" Type="http://schemas.openxmlformats.org/officeDocument/2006/relationships/image" Target="media/image158.png"/><Relationship Id="rId168" Type="http://schemas.openxmlformats.org/officeDocument/2006/relationships/image" Target="media/image159.png"/><Relationship Id="rId169" Type="http://schemas.openxmlformats.org/officeDocument/2006/relationships/image" Target="media/image160.png"/><Relationship Id="rId170" Type="http://schemas.openxmlformats.org/officeDocument/2006/relationships/image" Target="media/image161.png"/><Relationship Id="rId171" Type="http://schemas.openxmlformats.org/officeDocument/2006/relationships/image" Target="media/image162.png"/><Relationship Id="rId172" Type="http://schemas.openxmlformats.org/officeDocument/2006/relationships/image" Target="media/image163.png"/><Relationship Id="rId173" Type="http://schemas.openxmlformats.org/officeDocument/2006/relationships/image" Target="media/image164.png"/><Relationship Id="rId174" Type="http://schemas.openxmlformats.org/officeDocument/2006/relationships/image" Target="media/image165.png"/><Relationship Id="rId175" Type="http://schemas.openxmlformats.org/officeDocument/2006/relationships/image" Target="media/image166.png"/><Relationship Id="rId176" Type="http://schemas.openxmlformats.org/officeDocument/2006/relationships/image" Target="media/image167.png"/><Relationship Id="rId177" Type="http://schemas.openxmlformats.org/officeDocument/2006/relationships/image" Target="media/image168.png"/><Relationship Id="rId178" Type="http://schemas.openxmlformats.org/officeDocument/2006/relationships/image" Target="media/image169.png"/><Relationship Id="rId179" Type="http://schemas.openxmlformats.org/officeDocument/2006/relationships/image" Target="media/image170.png"/><Relationship Id="rId180" Type="http://schemas.openxmlformats.org/officeDocument/2006/relationships/image" Target="media/image171.png"/><Relationship Id="rId181" Type="http://schemas.openxmlformats.org/officeDocument/2006/relationships/image" Target="media/image172.png"/><Relationship Id="rId182" Type="http://schemas.openxmlformats.org/officeDocument/2006/relationships/image" Target="media/image173.png"/><Relationship Id="rId183" Type="http://schemas.openxmlformats.org/officeDocument/2006/relationships/image" Target="media/image174.png"/><Relationship Id="rId184" Type="http://schemas.openxmlformats.org/officeDocument/2006/relationships/image" Target="media/image175.png"/><Relationship Id="rId185" Type="http://schemas.openxmlformats.org/officeDocument/2006/relationships/image" Target="media/image176.png"/><Relationship Id="rId186" Type="http://schemas.openxmlformats.org/officeDocument/2006/relationships/image" Target="media/image177.png"/><Relationship Id="rId187" Type="http://schemas.openxmlformats.org/officeDocument/2006/relationships/image" Target="media/image178.png"/><Relationship Id="rId188" Type="http://schemas.openxmlformats.org/officeDocument/2006/relationships/image" Target="media/image179.png"/><Relationship Id="rId189" Type="http://schemas.openxmlformats.org/officeDocument/2006/relationships/image" Target="media/image180.png"/><Relationship Id="rId190" Type="http://schemas.openxmlformats.org/officeDocument/2006/relationships/image" Target="media/image181.png"/><Relationship Id="rId191" Type="http://schemas.openxmlformats.org/officeDocument/2006/relationships/image" Target="media/image182.png"/><Relationship Id="rId192" Type="http://schemas.openxmlformats.org/officeDocument/2006/relationships/image" Target="media/image183.png"/><Relationship Id="rId193" Type="http://schemas.openxmlformats.org/officeDocument/2006/relationships/image" Target="media/image184.png"/><Relationship Id="rId194" Type="http://schemas.openxmlformats.org/officeDocument/2006/relationships/image" Target="media/image185.png"/><Relationship Id="rId195" Type="http://schemas.openxmlformats.org/officeDocument/2006/relationships/image" Target="media/image186.png"/><Relationship Id="rId196" Type="http://schemas.openxmlformats.org/officeDocument/2006/relationships/image" Target="media/image187.png"/><Relationship Id="rId197" Type="http://schemas.openxmlformats.org/officeDocument/2006/relationships/image" Target="media/image188.png"/><Relationship Id="rId198" Type="http://schemas.openxmlformats.org/officeDocument/2006/relationships/image" Target="media/image189.png"/><Relationship Id="rId199" Type="http://schemas.openxmlformats.org/officeDocument/2006/relationships/image" Target="media/image190.png"/><Relationship Id="rId200" Type="http://schemas.openxmlformats.org/officeDocument/2006/relationships/image" Target="media/image191.png"/><Relationship Id="rId201" Type="http://schemas.openxmlformats.org/officeDocument/2006/relationships/image" Target="media/image192.png"/><Relationship Id="rId202" Type="http://schemas.openxmlformats.org/officeDocument/2006/relationships/image" Target="media/image193.png"/><Relationship Id="rId203" Type="http://schemas.openxmlformats.org/officeDocument/2006/relationships/image" Target="media/image194.png"/><Relationship Id="rId204" Type="http://schemas.openxmlformats.org/officeDocument/2006/relationships/image" Target="media/image195.png"/><Relationship Id="rId205" Type="http://schemas.openxmlformats.org/officeDocument/2006/relationships/image" Target="media/image196.png"/><Relationship Id="rId206" Type="http://schemas.openxmlformats.org/officeDocument/2006/relationships/image" Target="media/image197.png"/><Relationship Id="rId207" Type="http://schemas.openxmlformats.org/officeDocument/2006/relationships/image" Target="media/image198.png"/><Relationship Id="rId208" Type="http://schemas.openxmlformats.org/officeDocument/2006/relationships/image" Target="media/image199.png"/><Relationship Id="rId209" Type="http://schemas.openxmlformats.org/officeDocument/2006/relationships/image" Target="media/image200.png"/><Relationship Id="rId210" Type="http://schemas.openxmlformats.org/officeDocument/2006/relationships/image" Target="media/image201.png"/><Relationship Id="rId211" Type="http://schemas.openxmlformats.org/officeDocument/2006/relationships/image" Target="media/image202.png"/><Relationship Id="rId212" Type="http://schemas.openxmlformats.org/officeDocument/2006/relationships/image" Target="media/image203.png"/><Relationship Id="rId213" Type="http://schemas.openxmlformats.org/officeDocument/2006/relationships/image" Target="media/image204.png"/><Relationship Id="rId214" Type="http://schemas.openxmlformats.org/officeDocument/2006/relationships/image" Target="media/image205.png"/><Relationship Id="rId215" Type="http://schemas.openxmlformats.org/officeDocument/2006/relationships/image" Target="media/image206.png"/><Relationship Id="rId216" Type="http://schemas.openxmlformats.org/officeDocument/2006/relationships/image" Target="media/image207.png"/><Relationship Id="rId217" Type="http://schemas.openxmlformats.org/officeDocument/2006/relationships/image" Target="media/image208.png"/><Relationship Id="rId218" Type="http://schemas.openxmlformats.org/officeDocument/2006/relationships/image" Target="media/image209.png"/><Relationship Id="rId219" Type="http://schemas.openxmlformats.org/officeDocument/2006/relationships/image" Target="media/image210.png"/><Relationship Id="rId220" Type="http://schemas.openxmlformats.org/officeDocument/2006/relationships/image" Target="media/image211.png"/><Relationship Id="rId221" Type="http://schemas.openxmlformats.org/officeDocument/2006/relationships/image" Target="media/image212.png"/><Relationship Id="rId222" Type="http://schemas.openxmlformats.org/officeDocument/2006/relationships/image" Target="media/image213.png"/><Relationship Id="rId223" Type="http://schemas.openxmlformats.org/officeDocument/2006/relationships/image" Target="media/image214.png"/><Relationship Id="rId224" Type="http://schemas.openxmlformats.org/officeDocument/2006/relationships/image" Target="media/image215.png"/><Relationship Id="rId225" Type="http://schemas.openxmlformats.org/officeDocument/2006/relationships/image" Target="media/image216.png"/><Relationship Id="rId226" Type="http://schemas.openxmlformats.org/officeDocument/2006/relationships/image" Target="media/image217.png"/><Relationship Id="rId227" Type="http://schemas.openxmlformats.org/officeDocument/2006/relationships/image" Target="media/image218.png"/><Relationship Id="rId228" Type="http://schemas.openxmlformats.org/officeDocument/2006/relationships/image" Target="media/image219.png"/><Relationship Id="rId229" Type="http://schemas.openxmlformats.org/officeDocument/2006/relationships/image" Target="media/image220.png"/><Relationship Id="rId230" Type="http://schemas.openxmlformats.org/officeDocument/2006/relationships/image" Target="media/image221.png"/><Relationship Id="rId231" Type="http://schemas.openxmlformats.org/officeDocument/2006/relationships/image" Target="media/image222.png"/><Relationship Id="rId232" Type="http://schemas.openxmlformats.org/officeDocument/2006/relationships/image" Target="media/image223.png"/><Relationship Id="rId233" Type="http://schemas.openxmlformats.org/officeDocument/2006/relationships/image" Target="media/image224.png"/><Relationship Id="rId234" Type="http://schemas.openxmlformats.org/officeDocument/2006/relationships/image" Target="media/image225.png"/><Relationship Id="rId235" Type="http://schemas.openxmlformats.org/officeDocument/2006/relationships/image" Target="media/image226.png"/><Relationship Id="rId236" Type="http://schemas.openxmlformats.org/officeDocument/2006/relationships/image" Target="media/image227.png"/><Relationship Id="rId237" Type="http://schemas.openxmlformats.org/officeDocument/2006/relationships/image" Target="media/image228.png"/><Relationship Id="rId238" Type="http://schemas.openxmlformats.org/officeDocument/2006/relationships/image" Target="media/image229.png"/><Relationship Id="rId239" Type="http://schemas.openxmlformats.org/officeDocument/2006/relationships/image" Target="media/image230.png"/><Relationship Id="rId240" Type="http://schemas.openxmlformats.org/officeDocument/2006/relationships/image" Target="media/image231.png"/><Relationship Id="rId241" Type="http://schemas.openxmlformats.org/officeDocument/2006/relationships/image" Target="media/image232.png"/><Relationship Id="rId242" Type="http://schemas.openxmlformats.org/officeDocument/2006/relationships/image" Target="media/image233.png"/><Relationship Id="rId243" Type="http://schemas.openxmlformats.org/officeDocument/2006/relationships/image" Target="media/image234.png"/><Relationship Id="rId244" Type="http://schemas.openxmlformats.org/officeDocument/2006/relationships/image" Target="media/image235.png"/><Relationship Id="rId245" Type="http://schemas.openxmlformats.org/officeDocument/2006/relationships/image" Target="media/image236.png"/><Relationship Id="rId246" Type="http://schemas.openxmlformats.org/officeDocument/2006/relationships/image" Target="media/image237.png"/><Relationship Id="rId247" Type="http://schemas.openxmlformats.org/officeDocument/2006/relationships/image" Target="media/image238.png"/><Relationship Id="rId248" Type="http://schemas.openxmlformats.org/officeDocument/2006/relationships/image" Target="media/image239.png"/><Relationship Id="rId249" Type="http://schemas.openxmlformats.org/officeDocument/2006/relationships/image" Target="media/image240.png"/><Relationship Id="rId250" Type="http://schemas.openxmlformats.org/officeDocument/2006/relationships/image" Target="media/image241.png"/><Relationship Id="rId251" Type="http://schemas.openxmlformats.org/officeDocument/2006/relationships/image" Target="media/image242.png"/><Relationship Id="rId252" Type="http://schemas.openxmlformats.org/officeDocument/2006/relationships/image" Target="media/image243.png"/><Relationship Id="rId253" Type="http://schemas.openxmlformats.org/officeDocument/2006/relationships/image" Target="media/image244.png"/><Relationship Id="rId254" Type="http://schemas.openxmlformats.org/officeDocument/2006/relationships/image" Target="media/image245.png"/><Relationship Id="rId255" Type="http://schemas.openxmlformats.org/officeDocument/2006/relationships/image" Target="media/image246.png"/><Relationship Id="rId256" Type="http://schemas.openxmlformats.org/officeDocument/2006/relationships/image" Target="media/image247.png"/><Relationship Id="rId257" Type="http://schemas.openxmlformats.org/officeDocument/2006/relationships/image" Target="media/image248.png"/><Relationship Id="rId258" Type="http://schemas.openxmlformats.org/officeDocument/2006/relationships/image" Target="media/image249.png"/><Relationship Id="rId259" Type="http://schemas.openxmlformats.org/officeDocument/2006/relationships/image" Target="media/image250.png"/><Relationship Id="rId260" Type="http://schemas.openxmlformats.org/officeDocument/2006/relationships/image" Target="media/image251.png"/><Relationship Id="rId261" Type="http://schemas.openxmlformats.org/officeDocument/2006/relationships/image" Target="media/image252.png"/><Relationship Id="rId262" Type="http://schemas.openxmlformats.org/officeDocument/2006/relationships/image" Target="media/image253.png"/><Relationship Id="rId263" Type="http://schemas.openxmlformats.org/officeDocument/2006/relationships/image" Target="media/image254.png"/><Relationship Id="rId264" Type="http://schemas.openxmlformats.org/officeDocument/2006/relationships/image" Target="media/image255.png"/><Relationship Id="rId265" Type="http://schemas.openxmlformats.org/officeDocument/2006/relationships/image" Target="media/image256.png"/><Relationship Id="rId266" Type="http://schemas.openxmlformats.org/officeDocument/2006/relationships/image" Target="media/image257.png"/><Relationship Id="rId267" Type="http://schemas.openxmlformats.org/officeDocument/2006/relationships/image" Target="media/image258.png"/><Relationship Id="rId268" Type="http://schemas.openxmlformats.org/officeDocument/2006/relationships/image" Target="media/image259.png"/><Relationship Id="rId269" Type="http://schemas.openxmlformats.org/officeDocument/2006/relationships/image" Target="media/image260.png"/><Relationship Id="rId270" Type="http://schemas.openxmlformats.org/officeDocument/2006/relationships/image" Target="media/image261.png"/><Relationship Id="rId271" Type="http://schemas.openxmlformats.org/officeDocument/2006/relationships/image" Target="media/image262.png"/><Relationship Id="rId272" Type="http://schemas.openxmlformats.org/officeDocument/2006/relationships/image" Target="media/image263.png"/><Relationship Id="rId273" Type="http://schemas.openxmlformats.org/officeDocument/2006/relationships/image" Target="media/image264.png"/><Relationship Id="rId274" Type="http://schemas.openxmlformats.org/officeDocument/2006/relationships/image" Target="media/image265.png"/><Relationship Id="rId275" Type="http://schemas.openxmlformats.org/officeDocument/2006/relationships/image" Target="media/image266.png"/><Relationship Id="rId276" Type="http://schemas.openxmlformats.org/officeDocument/2006/relationships/image" Target="media/image267.png"/><Relationship Id="rId277" Type="http://schemas.openxmlformats.org/officeDocument/2006/relationships/image" Target="media/image268.png"/><Relationship Id="rId278" Type="http://schemas.openxmlformats.org/officeDocument/2006/relationships/image" Target="media/image269.png"/><Relationship Id="rId279" Type="http://schemas.openxmlformats.org/officeDocument/2006/relationships/image" Target="media/image270.png"/><Relationship Id="rId280" Type="http://schemas.openxmlformats.org/officeDocument/2006/relationships/image" Target="media/image271.png"/><Relationship Id="rId281" Type="http://schemas.openxmlformats.org/officeDocument/2006/relationships/image" Target="media/image272.png"/><Relationship Id="rId282" Type="http://schemas.openxmlformats.org/officeDocument/2006/relationships/image" Target="media/image273.png"/><Relationship Id="rId283" Type="http://schemas.openxmlformats.org/officeDocument/2006/relationships/image" Target="media/image274.png"/><Relationship Id="rId284" Type="http://schemas.openxmlformats.org/officeDocument/2006/relationships/image" Target="media/image275.png"/><Relationship Id="rId285" Type="http://schemas.openxmlformats.org/officeDocument/2006/relationships/image" Target="media/image276.png"/><Relationship Id="rId286" Type="http://schemas.openxmlformats.org/officeDocument/2006/relationships/image" Target="media/image277.png"/><Relationship Id="rId287" Type="http://schemas.openxmlformats.org/officeDocument/2006/relationships/image" Target="media/image278.png"/><Relationship Id="rId288" Type="http://schemas.openxmlformats.org/officeDocument/2006/relationships/image" Target="media/image279.png"/><Relationship Id="rId289" Type="http://schemas.openxmlformats.org/officeDocument/2006/relationships/image" Target="media/image280.png"/><Relationship Id="rId290" Type="http://schemas.openxmlformats.org/officeDocument/2006/relationships/image" Target="media/image281.png"/><Relationship Id="rId291" Type="http://schemas.openxmlformats.org/officeDocument/2006/relationships/image" Target="media/image282.png"/><Relationship Id="rId292" Type="http://schemas.openxmlformats.org/officeDocument/2006/relationships/image" Target="media/image283.png"/><Relationship Id="rId293" Type="http://schemas.openxmlformats.org/officeDocument/2006/relationships/image" Target="media/image284.png"/><Relationship Id="rId294" Type="http://schemas.openxmlformats.org/officeDocument/2006/relationships/image" Target="media/image285.png"/><Relationship Id="rId295" Type="http://schemas.openxmlformats.org/officeDocument/2006/relationships/image" Target="media/image286.png"/><Relationship Id="rId296" Type="http://schemas.openxmlformats.org/officeDocument/2006/relationships/image" Target="media/image287.png"/><Relationship Id="rId297" Type="http://schemas.openxmlformats.org/officeDocument/2006/relationships/image" Target="media/image288.png"/><Relationship Id="rId298" Type="http://schemas.openxmlformats.org/officeDocument/2006/relationships/image" Target="media/image289.png"/><Relationship Id="rId299" Type="http://schemas.openxmlformats.org/officeDocument/2006/relationships/image" Target="media/image290.png"/><Relationship Id="rId300" Type="http://schemas.openxmlformats.org/officeDocument/2006/relationships/image" Target="media/image291.png"/><Relationship Id="rId301" Type="http://schemas.openxmlformats.org/officeDocument/2006/relationships/image" Target="media/image292.png"/><Relationship Id="rId302" Type="http://schemas.openxmlformats.org/officeDocument/2006/relationships/image" Target="media/image293.png"/><Relationship Id="rId303" Type="http://schemas.openxmlformats.org/officeDocument/2006/relationships/image" Target="media/image294.png"/><Relationship Id="rId304" Type="http://schemas.openxmlformats.org/officeDocument/2006/relationships/image" Target="media/image295.png"/><Relationship Id="rId305" Type="http://schemas.openxmlformats.org/officeDocument/2006/relationships/image" Target="media/image296.png"/><Relationship Id="rId306" Type="http://schemas.openxmlformats.org/officeDocument/2006/relationships/image" Target="media/image297.png"/><Relationship Id="rId307" Type="http://schemas.openxmlformats.org/officeDocument/2006/relationships/image" Target="media/image298.png"/><Relationship Id="rId308" Type="http://schemas.openxmlformats.org/officeDocument/2006/relationships/image" Target="media/image299.png"/><Relationship Id="rId309" Type="http://schemas.openxmlformats.org/officeDocument/2006/relationships/image" Target="media/image300.png"/><Relationship Id="rId310" Type="http://schemas.openxmlformats.org/officeDocument/2006/relationships/image" Target="media/image301.png"/><Relationship Id="rId311" Type="http://schemas.openxmlformats.org/officeDocument/2006/relationships/image" Target="media/image302.png"/><Relationship Id="rId312" Type="http://schemas.openxmlformats.org/officeDocument/2006/relationships/image" Target="media/image303.png"/><Relationship Id="rId313" Type="http://schemas.openxmlformats.org/officeDocument/2006/relationships/image" Target="media/image304.png"/><Relationship Id="rId314" Type="http://schemas.openxmlformats.org/officeDocument/2006/relationships/image" Target="media/image305.png"/><Relationship Id="rId315" Type="http://schemas.openxmlformats.org/officeDocument/2006/relationships/image" Target="media/image306.png"/><Relationship Id="rId316" Type="http://schemas.openxmlformats.org/officeDocument/2006/relationships/image" Target="media/image307.png"/><Relationship Id="rId317" Type="http://schemas.openxmlformats.org/officeDocument/2006/relationships/image" Target="media/image308.png"/><Relationship Id="rId318" Type="http://schemas.openxmlformats.org/officeDocument/2006/relationships/image" Target="media/image309.png"/><Relationship Id="rId319" Type="http://schemas.openxmlformats.org/officeDocument/2006/relationships/image" Target="media/image310.png"/><Relationship Id="rId320" Type="http://schemas.openxmlformats.org/officeDocument/2006/relationships/image" Target="media/image311.png"/><Relationship Id="rId321" Type="http://schemas.openxmlformats.org/officeDocument/2006/relationships/image" Target="media/image312.png"/><Relationship Id="rId322" Type="http://schemas.openxmlformats.org/officeDocument/2006/relationships/image" Target="media/image313.png"/><Relationship Id="rId323" Type="http://schemas.openxmlformats.org/officeDocument/2006/relationships/image" Target="media/image314.png"/><Relationship Id="rId324" Type="http://schemas.openxmlformats.org/officeDocument/2006/relationships/image" Target="media/image315.png"/><Relationship Id="rId325" Type="http://schemas.openxmlformats.org/officeDocument/2006/relationships/image" Target="media/image316.png"/><Relationship Id="rId326" Type="http://schemas.openxmlformats.org/officeDocument/2006/relationships/image" Target="media/image317.png"/><Relationship Id="rId327" Type="http://schemas.openxmlformats.org/officeDocument/2006/relationships/image" Target="media/image318.png"/><Relationship Id="rId328" Type="http://schemas.openxmlformats.org/officeDocument/2006/relationships/image" Target="media/image319.png"/><Relationship Id="rId329" Type="http://schemas.openxmlformats.org/officeDocument/2006/relationships/image" Target="media/image320.png"/><Relationship Id="rId330" Type="http://schemas.openxmlformats.org/officeDocument/2006/relationships/image" Target="media/image321.png"/><Relationship Id="rId331" Type="http://schemas.openxmlformats.org/officeDocument/2006/relationships/image" Target="media/image322.png"/><Relationship Id="rId332" Type="http://schemas.openxmlformats.org/officeDocument/2006/relationships/image" Target="media/image323.png"/><Relationship Id="rId333" Type="http://schemas.openxmlformats.org/officeDocument/2006/relationships/image" Target="media/image324.png"/><Relationship Id="rId334" Type="http://schemas.openxmlformats.org/officeDocument/2006/relationships/image" Target="media/image325.png"/><Relationship Id="rId335" Type="http://schemas.openxmlformats.org/officeDocument/2006/relationships/image" Target="media/image326.png"/><Relationship Id="rId336" Type="http://schemas.openxmlformats.org/officeDocument/2006/relationships/image" Target="media/image327.png"/><Relationship Id="rId337" Type="http://schemas.openxmlformats.org/officeDocument/2006/relationships/image" Target="media/image328.png"/><Relationship Id="rId338" Type="http://schemas.openxmlformats.org/officeDocument/2006/relationships/image" Target="media/image329.png"/><Relationship Id="rId339" Type="http://schemas.openxmlformats.org/officeDocument/2006/relationships/image" Target="media/image330.png"/><Relationship Id="rId340" Type="http://schemas.openxmlformats.org/officeDocument/2006/relationships/image" Target="media/image331.png"/><Relationship Id="rId341" Type="http://schemas.openxmlformats.org/officeDocument/2006/relationships/image" Target="media/image332.png"/><Relationship Id="rId342" Type="http://schemas.openxmlformats.org/officeDocument/2006/relationships/image" Target="media/image333.png"/><Relationship Id="rId343" Type="http://schemas.openxmlformats.org/officeDocument/2006/relationships/image" Target="media/image334.png"/><Relationship Id="rId344" Type="http://schemas.openxmlformats.org/officeDocument/2006/relationships/image" Target="media/image335.png"/><Relationship Id="rId345" Type="http://schemas.openxmlformats.org/officeDocument/2006/relationships/image" Target="media/image336.png"/><Relationship Id="rId346" Type="http://schemas.openxmlformats.org/officeDocument/2006/relationships/image" Target="media/image337.png"/><Relationship Id="rId347" Type="http://schemas.openxmlformats.org/officeDocument/2006/relationships/image" Target="media/image338.png"/><Relationship Id="rId348" Type="http://schemas.openxmlformats.org/officeDocument/2006/relationships/image" Target="media/image339.png"/><Relationship Id="rId349" Type="http://schemas.openxmlformats.org/officeDocument/2006/relationships/image" Target="media/image340.png"/><Relationship Id="rId350" Type="http://schemas.openxmlformats.org/officeDocument/2006/relationships/image" Target="media/image341.png"/><Relationship Id="rId351" Type="http://schemas.openxmlformats.org/officeDocument/2006/relationships/image" Target="media/image342.png"/><Relationship Id="rId352" Type="http://schemas.openxmlformats.org/officeDocument/2006/relationships/image" Target="media/image343.png"/><Relationship Id="rId353" Type="http://schemas.openxmlformats.org/officeDocument/2006/relationships/image" Target="media/image344.png"/><Relationship Id="rId354" Type="http://schemas.openxmlformats.org/officeDocument/2006/relationships/image" Target="media/image345.png"/><Relationship Id="rId355" Type="http://schemas.openxmlformats.org/officeDocument/2006/relationships/image" Target="media/image346.png"/><Relationship Id="rId356" Type="http://schemas.openxmlformats.org/officeDocument/2006/relationships/image" Target="media/image347.png"/><Relationship Id="rId357" Type="http://schemas.openxmlformats.org/officeDocument/2006/relationships/image" Target="media/image348.png"/><Relationship Id="rId358" Type="http://schemas.openxmlformats.org/officeDocument/2006/relationships/image" Target="media/image349.png"/><Relationship Id="rId359" Type="http://schemas.openxmlformats.org/officeDocument/2006/relationships/image" Target="media/image350.png"/><Relationship Id="rId360" Type="http://schemas.openxmlformats.org/officeDocument/2006/relationships/image" Target="media/image351.png"/><Relationship Id="rId361" Type="http://schemas.openxmlformats.org/officeDocument/2006/relationships/image" Target="media/image352.png"/><Relationship Id="rId362" Type="http://schemas.openxmlformats.org/officeDocument/2006/relationships/image" Target="media/image353.png"/><Relationship Id="rId363" Type="http://schemas.openxmlformats.org/officeDocument/2006/relationships/image" Target="media/image354.png"/><Relationship Id="rId364" Type="http://schemas.openxmlformats.org/officeDocument/2006/relationships/image" Target="media/image355.png"/><Relationship Id="rId365" Type="http://schemas.openxmlformats.org/officeDocument/2006/relationships/image" Target="media/image356.png"/><Relationship Id="rId366" Type="http://schemas.openxmlformats.org/officeDocument/2006/relationships/image" Target="media/image357.png"/><Relationship Id="rId367" Type="http://schemas.openxmlformats.org/officeDocument/2006/relationships/image" Target="media/image358.png"/><Relationship Id="rId368" Type="http://schemas.openxmlformats.org/officeDocument/2006/relationships/image" Target="media/image359.png"/><Relationship Id="rId369" Type="http://schemas.openxmlformats.org/officeDocument/2006/relationships/image" Target="media/image360.png"/><Relationship Id="rId370" Type="http://schemas.openxmlformats.org/officeDocument/2006/relationships/image" Target="media/image361.png"/><Relationship Id="rId371" Type="http://schemas.openxmlformats.org/officeDocument/2006/relationships/image" Target="media/image362.png"/><Relationship Id="rId372" Type="http://schemas.openxmlformats.org/officeDocument/2006/relationships/image" Target="media/image363.png"/><Relationship Id="rId373" Type="http://schemas.openxmlformats.org/officeDocument/2006/relationships/image" Target="media/image364.png"/><Relationship Id="rId374" Type="http://schemas.openxmlformats.org/officeDocument/2006/relationships/image" Target="media/image365.png"/><Relationship Id="rId375" Type="http://schemas.openxmlformats.org/officeDocument/2006/relationships/image" Target="media/image366.png"/><Relationship Id="rId376" Type="http://schemas.openxmlformats.org/officeDocument/2006/relationships/image" Target="media/image367.png"/><Relationship Id="rId377" Type="http://schemas.openxmlformats.org/officeDocument/2006/relationships/image" Target="media/image368.png"/><Relationship Id="rId378" Type="http://schemas.openxmlformats.org/officeDocument/2006/relationships/image" Target="media/image369.png"/><Relationship Id="rId379" Type="http://schemas.openxmlformats.org/officeDocument/2006/relationships/image" Target="media/image370.png"/><Relationship Id="rId380" Type="http://schemas.openxmlformats.org/officeDocument/2006/relationships/image" Target="media/image371.png"/><Relationship Id="rId381" Type="http://schemas.openxmlformats.org/officeDocument/2006/relationships/image" Target="media/image372.png"/><Relationship Id="rId382" Type="http://schemas.openxmlformats.org/officeDocument/2006/relationships/image" Target="media/image373.png"/><Relationship Id="rId383" Type="http://schemas.openxmlformats.org/officeDocument/2006/relationships/image" Target="media/image374.png"/><Relationship Id="rId384" Type="http://schemas.openxmlformats.org/officeDocument/2006/relationships/image" Target="media/image375.png"/><Relationship Id="rId385" Type="http://schemas.openxmlformats.org/officeDocument/2006/relationships/image" Target="media/image376.png"/><Relationship Id="rId386" Type="http://schemas.openxmlformats.org/officeDocument/2006/relationships/image" Target="media/image377.png"/><Relationship Id="rId387" Type="http://schemas.openxmlformats.org/officeDocument/2006/relationships/image" Target="media/image378.png"/><Relationship Id="rId388" Type="http://schemas.openxmlformats.org/officeDocument/2006/relationships/image" Target="media/image379.png"/><Relationship Id="rId389" Type="http://schemas.openxmlformats.org/officeDocument/2006/relationships/image" Target="media/image380.png"/><Relationship Id="rId390" Type="http://schemas.openxmlformats.org/officeDocument/2006/relationships/image" Target="media/image381.png"/><Relationship Id="rId391" Type="http://schemas.openxmlformats.org/officeDocument/2006/relationships/image" Target="media/image382.png"/><Relationship Id="rId392" Type="http://schemas.openxmlformats.org/officeDocument/2006/relationships/image" Target="media/image383.png"/><Relationship Id="rId393" Type="http://schemas.openxmlformats.org/officeDocument/2006/relationships/image" Target="media/image384.png"/><Relationship Id="rId394" Type="http://schemas.openxmlformats.org/officeDocument/2006/relationships/image" Target="media/image385.png"/><Relationship Id="rId395" Type="http://schemas.openxmlformats.org/officeDocument/2006/relationships/image" Target="media/image386.png"/><Relationship Id="rId396" Type="http://schemas.openxmlformats.org/officeDocument/2006/relationships/image" Target="media/image387.png"/><Relationship Id="rId397" Type="http://schemas.openxmlformats.org/officeDocument/2006/relationships/image" Target="media/image388.png"/><Relationship Id="rId398" Type="http://schemas.openxmlformats.org/officeDocument/2006/relationships/image" Target="media/image389.png"/><Relationship Id="rId399" Type="http://schemas.openxmlformats.org/officeDocument/2006/relationships/image" Target="media/image390.png"/><Relationship Id="rId400" Type="http://schemas.openxmlformats.org/officeDocument/2006/relationships/image" Target="media/image391.png"/><Relationship Id="rId401" Type="http://schemas.openxmlformats.org/officeDocument/2006/relationships/image" Target="media/image392.png"/><Relationship Id="rId402" Type="http://schemas.openxmlformats.org/officeDocument/2006/relationships/image" Target="media/image393.png"/><Relationship Id="rId403" Type="http://schemas.openxmlformats.org/officeDocument/2006/relationships/image" Target="media/image394.png"/><Relationship Id="rId404" Type="http://schemas.openxmlformats.org/officeDocument/2006/relationships/image" Target="media/image395.png"/><Relationship Id="rId405" Type="http://schemas.openxmlformats.org/officeDocument/2006/relationships/image" Target="media/image396.png"/><Relationship Id="rId406" Type="http://schemas.openxmlformats.org/officeDocument/2006/relationships/image" Target="media/image397.png"/><Relationship Id="rId407" Type="http://schemas.openxmlformats.org/officeDocument/2006/relationships/image" Target="media/image398.jpeg"/><Relationship Id="rId408" Type="http://schemas.openxmlformats.org/officeDocument/2006/relationships/image" Target="media/image399.png"/><Relationship Id="rId409" Type="http://schemas.openxmlformats.org/officeDocument/2006/relationships/image" Target="media/image400.png"/><Relationship Id="rId410" Type="http://schemas.openxmlformats.org/officeDocument/2006/relationships/image" Target="media/image401.png"/><Relationship Id="rId411" Type="http://schemas.openxmlformats.org/officeDocument/2006/relationships/image" Target="media/image402.png"/><Relationship Id="rId412" Type="http://schemas.openxmlformats.org/officeDocument/2006/relationships/image" Target="media/image403.png"/><Relationship Id="rId413" Type="http://schemas.openxmlformats.org/officeDocument/2006/relationships/image" Target="media/image404.png"/><Relationship Id="rId414" Type="http://schemas.openxmlformats.org/officeDocument/2006/relationships/image" Target="media/image405.png"/><Relationship Id="rId415" Type="http://schemas.openxmlformats.org/officeDocument/2006/relationships/image" Target="media/image406.png"/><Relationship Id="rId416" Type="http://schemas.openxmlformats.org/officeDocument/2006/relationships/image" Target="media/image407.png"/><Relationship Id="rId417" Type="http://schemas.openxmlformats.org/officeDocument/2006/relationships/image" Target="media/image408.png"/><Relationship Id="rId418" Type="http://schemas.openxmlformats.org/officeDocument/2006/relationships/image" Target="media/image409.png"/><Relationship Id="rId419" Type="http://schemas.openxmlformats.org/officeDocument/2006/relationships/image" Target="media/image410.png"/><Relationship Id="rId420" Type="http://schemas.openxmlformats.org/officeDocument/2006/relationships/image" Target="media/image411.png"/><Relationship Id="rId421" Type="http://schemas.openxmlformats.org/officeDocument/2006/relationships/image" Target="media/image412.png"/><Relationship Id="rId422" Type="http://schemas.openxmlformats.org/officeDocument/2006/relationships/image" Target="media/image413.png"/><Relationship Id="rId423" Type="http://schemas.openxmlformats.org/officeDocument/2006/relationships/image" Target="media/image414.png"/><Relationship Id="rId424" Type="http://schemas.openxmlformats.org/officeDocument/2006/relationships/image" Target="media/image415.png"/><Relationship Id="rId425" Type="http://schemas.openxmlformats.org/officeDocument/2006/relationships/image" Target="media/image416.png"/><Relationship Id="rId426" Type="http://schemas.openxmlformats.org/officeDocument/2006/relationships/image" Target="media/image417.png"/><Relationship Id="rId427" Type="http://schemas.openxmlformats.org/officeDocument/2006/relationships/image" Target="media/image418.png"/><Relationship Id="rId428" Type="http://schemas.openxmlformats.org/officeDocument/2006/relationships/image" Target="media/image419.png"/><Relationship Id="rId429" Type="http://schemas.openxmlformats.org/officeDocument/2006/relationships/image" Target="media/image420.png"/><Relationship Id="rId147" Type="http://schemas.openxmlformats.org/officeDocument/2006/relationships/hyperlink" Target="http://www.sec.gov/Archives/edgar/data/890541/000114420409034469/v153262_ex1-1.htm" TargetMode="External"/><Relationship Id="rId148" Type="http://schemas.openxmlformats.org/officeDocument/2006/relationships/hyperlink" Target="http://www.sec.gov/Archives/edgar/data/890541/000114420410033172/v187872_ex1-2.htm"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2019-12-03T12:44:12Z</dcterms:created>
  <dcterms:modified xsi:type="dcterms:W3CDTF">2019-12-03T12:44:12Z</dcterms:modified>
</cp:coreProperties>
</file>